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1782F">
        <w:trPr>
          <w:cantSplit/>
          <w:trHeight w:hRule="exact" w:val="851"/>
        </w:trPr>
        <w:tc>
          <w:tcPr>
            <w:tcW w:w="1276" w:type="dxa"/>
            <w:tcBorders>
              <w:bottom w:val="single" w:sz="4" w:space="0" w:color="auto"/>
            </w:tcBorders>
            <w:vAlign w:val="bottom"/>
          </w:tcPr>
          <w:p w:rsidR="00B56E9C" w:rsidRPr="0071782F" w:rsidRDefault="00B56E9C" w:rsidP="00312DF0">
            <w:pPr>
              <w:spacing w:after="80"/>
              <w:rPr>
                <w:lang w:val="fr-CH"/>
              </w:rPr>
            </w:pPr>
          </w:p>
        </w:tc>
        <w:tc>
          <w:tcPr>
            <w:tcW w:w="2268" w:type="dxa"/>
            <w:tcBorders>
              <w:bottom w:val="single" w:sz="4" w:space="0" w:color="auto"/>
            </w:tcBorders>
            <w:vAlign w:val="bottom"/>
          </w:tcPr>
          <w:p w:rsidR="00B56E9C" w:rsidRPr="0071782F" w:rsidRDefault="00B56E9C" w:rsidP="00312DF0">
            <w:pPr>
              <w:spacing w:after="80" w:line="300" w:lineRule="exact"/>
              <w:rPr>
                <w:b/>
                <w:sz w:val="24"/>
                <w:szCs w:val="24"/>
                <w:lang w:val="fr-CH"/>
              </w:rPr>
            </w:pPr>
            <w:r w:rsidRPr="0071782F">
              <w:rPr>
                <w:sz w:val="28"/>
                <w:szCs w:val="28"/>
                <w:lang w:val="fr-CH"/>
              </w:rPr>
              <w:t>Nations</w:t>
            </w:r>
            <w:r w:rsidR="00B54EA5" w:rsidRPr="0071782F">
              <w:rPr>
                <w:sz w:val="28"/>
                <w:szCs w:val="28"/>
                <w:lang w:val="fr-CH"/>
              </w:rPr>
              <w:t xml:space="preserve"> Unies</w:t>
            </w:r>
          </w:p>
        </w:tc>
        <w:tc>
          <w:tcPr>
            <w:tcW w:w="6095" w:type="dxa"/>
            <w:gridSpan w:val="2"/>
            <w:tcBorders>
              <w:bottom w:val="single" w:sz="4" w:space="0" w:color="auto"/>
            </w:tcBorders>
            <w:vAlign w:val="bottom"/>
          </w:tcPr>
          <w:p w:rsidR="00B56E9C" w:rsidRPr="0071782F" w:rsidRDefault="007273A4" w:rsidP="00312DF0">
            <w:pPr>
              <w:suppressAutoHyphens w:val="0"/>
              <w:spacing w:after="20"/>
              <w:jc w:val="right"/>
              <w:rPr>
                <w:lang w:val="fr-CH"/>
              </w:rPr>
            </w:pPr>
            <w:r w:rsidRPr="0071782F">
              <w:rPr>
                <w:sz w:val="40"/>
                <w:lang w:val="fr-CH"/>
              </w:rPr>
              <w:t>E</w:t>
            </w:r>
            <w:r w:rsidRPr="0071782F">
              <w:rPr>
                <w:lang w:val="fr-CH"/>
              </w:rPr>
              <w:t>/C.12/IRN/2</w:t>
            </w:r>
          </w:p>
        </w:tc>
      </w:tr>
      <w:tr w:rsidR="00B56E9C" w:rsidRPr="0071782F">
        <w:trPr>
          <w:cantSplit/>
          <w:trHeight w:hRule="exact" w:val="2835"/>
        </w:trPr>
        <w:tc>
          <w:tcPr>
            <w:tcW w:w="1276" w:type="dxa"/>
            <w:tcBorders>
              <w:top w:val="single" w:sz="4" w:space="0" w:color="auto"/>
              <w:bottom w:val="single" w:sz="12" w:space="0" w:color="auto"/>
            </w:tcBorders>
          </w:tcPr>
          <w:p w:rsidR="00B56E9C" w:rsidRPr="0071782F" w:rsidRDefault="00B56E9C" w:rsidP="00312DF0">
            <w:pPr>
              <w:spacing w:before="120"/>
              <w:rPr>
                <w:lang w:val="fr-CH"/>
              </w:rPr>
            </w:pPr>
            <w:r w:rsidRPr="0071782F">
              <w:rPr>
                <w:lang w:val="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71782F" w:rsidRDefault="00B54EA5" w:rsidP="00B54EA5">
            <w:pPr>
              <w:spacing w:before="120" w:line="420" w:lineRule="exact"/>
              <w:rPr>
                <w:sz w:val="40"/>
                <w:szCs w:val="40"/>
                <w:lang w:val="fr-CH"/>
              </w:rPr>
            </w:pPr>
            <w:r w:rsidRPr="0071782F">
              <w:rPr>
                <w:b/>
                <w:sz w:val="40"/>
                <w:szCs w:val="40"/>
                <w:lang w:val="fr-CH"/>
              </w:rPr>
              <w:t>Conseil économique et s</w:t>
            </w:r>
            <w:r w:rsidR="00D773DF" w:rsidRPr="0071782F">
              <w:rPr>
                <w:b/>
                <w:sz w:val="40"/>
                <w:szCs w:val="40"/>
                <w:lang w:val="fr-CH"/>
              </w:rPr>
              <w:t xml:space="preserve">ocial </w:t>
            </w:r>
          </w:p>
        </w:tc>
        <w:tc>
          <w:tcPr>
            <w:tcW w:w="2835" w:type="dxa"/>
            <w:tcBorders>
              <w:top w:val="single" w:sz="4" w:space="0" w:color="auto"/>
              <w:bottom w:val="single" w:sz="12" w:space="0" w:color="auto"/>
            </w:tcBorders>
          </w:tcPr>
          <w:p w:rsidR="007273A4" w:rsidRPr="0071782F" w:rsidRDefault="007273A4" w:rsidP="00401CAF">
            <w:pPr>
              <w:suppressAutoHyphens w:val="0"/>
              <w:spacing w:before="240" w:line="240" w:lineRule="exact"/>
              <w:rPr>
                <w:lang w:val="fr-CH"/>
              </w:rPr>
            </w:pPr>
            <w:r w:rsidRPr="0071782F">
              <w:rPr>
                <w:lang w:val="fr-CH"/>
              </w:rPr>
              <w:t xml:space="preserve">Distr. </w:t>
            </w:r>
            <w:r w:rsidR="00401CAF" w:rsidRPr="0071782F">
              <w:rPr>
                <w:lang w:val="fr-CH"/>
              </w:rPr>
              <w:t>g</w:t>
            </w:r>
            <w:r w:rsidR="00B54EA5" w:rsidRPr="0071782F">
              <w:rPr>
                <w:lang w:val="fr-CH"/>
              </w:rPr>
              <w:t>é</w:t>
            </w:r>
            <w:r w:rsidRPr="0071782F">
              <w:rPr>
                <w:lang w:val="fr-CH"/>
              </w:rPr>
              <w:t>n</w:t>
            </w:r>
            <w:r w:rsidR="00B54EA5" w:rsidRPr="0071782F">
              <w:rPr>
                <w:lang w:val="fr-CH"/>
              </w:rPr>
              <w:t>é</w:t>
            </w:r>
            <w:r w:rsidRPr="0071782F">
              <w:rPr>
                <w:lang w:val="fr-CH"/>
              </w:rPr>
              <w:t>ral</w:t>
            </w:r>
            <w:r w:rsidR="00B54EA5" w:rsidRPr="0071782F">
              <w:rPr>
                <w:lang w:val="fr-CH"/>
              </w:rPr>
              <w:t>e</w:t>
            </w:r>
          </w:p>
          <w:p w:rsidR="007273A4" w:rsidRPr="0071782F" w:rsidRDefault="007273A4" w:rsidP="00312DF0">
            <w:pPr>
              <w:suppressAutoHyphens w:val="0"/>
              <w:rPr>
                <w:lang w:val="fr-CH"/>
              </w:rPr>
            </w:pPr>
            <w:r w:rsidRPr="0071782F">
              <w:rPr>
                <w:lang w:val="fr-CH"/>
              </w:rPr>
              <w:t xml:space="preserve">16 </w:t>
            </w:r>
            <w:r w:rsidR="00B54EA5" w:rsidRPr="0071782F">
              <w:rPr>
                <w:lang w:val="fr-CH"/>
              </w:rPr>
              <w:t>mai</w:t>
            </w:r>
            <w:r w:rsidRPr="0071782F">
              <w:rPr>
                <w:lang w:val="fr-CH"/>
              </w:rPr>
              <w:t xml:space="preserve"> 2011</w:t>
            </w:r>
          </w:p>
          <w:p w:rsidR="007273A4" w:rsidRPr="0071782F" w:rsidRDefault="00B54EA5" w:rsidP="00312DF0">
            <w:pPr>
              <w:suppressAutoHyphens w:val="0"/>
              <w:rPr>
                <w:lang w:val="fr-CH"/>
              </w:rPr>
            </w:pPr>
            <w:r w:rsidRPr="0071782F">
              <w:rPr>
                <w:lang w:val="fr-CH"/>
              </w:rPr>
              <w:t>Français</w:t>
            </w:r>
          </w:p>
          <w:p w:rsidR="00B56E9C" w:rsidRPr="0071782F" w:rsidRDefault="007273A4" w:rsidP="00B54EA5">
            <w:pPr>
              <w:suppressAutoHyphens w:val="0"/>
              <w:rPr>
                <w:lang w:val="fr-CH"/>
              </w:rPr>
            </w:pPr>
            <w:r w:rsidRPr="0071782F">
              <w:rPr>
                <w:lang w:val="fr-CH"/>
              </w:rPr>
              <w:t>Original</w:t>
            </w:r>
            <w:r w:rsidR="008F7D33" w:rsidRPr="0071782F">
              <w:rPr>
                <w:lang w:val="fr-CH"/>
              </w:rPr>
              <w:t>:</w:t>
            </w:r>
            <w:r w:rsidRPr="0071782F">
              <w:rPr>
                <w:lang w:val="fr-CH"/>
              </w:rPr>
              <w:t xml:space="preserve"> </w:t>
            </w:r>
            <w:r w:rsidR="00B54EA5" w:rsidRPr="0071782F">
              <w:rPr>
                <w:lang w:val="fr-CH"/>
              </w:rPr>
              <w:t xml:space="preserve">anglais </w:t>
            </w:r>
          </w:p>
        </w:tc>
      </w:tr>
    </w:tbl>
    <w:p w:rsidR="003B4E20" w:rsidRPr="0071782F" w:rsidRDefault="003B4E20" w:rsidP="003B4E20">
      <w:pPr>
        <w:spacing w:before="120"/>
        <w:rPr>
          <w:b/>
          <w:sz w:val="24"/>
          <w:szCs w:val="24"/>
          <w:lang w:val="fr-CH"/>
        </w:rPr>
      </w:pPr>
      <w:r w:rsidRPr="0071782F">
        <w:rPr>
          <w:b/>
          <w:sz w:val="24"/>
          <w:szCs w:val="24"/>
          <w:lang w:val="fr-CH"/>
        </w:rPr>
        <w:t>Com</w:t>
      </w:r>
      <w:r w:rsidR="00B54EA5" w:rsidRPr="0071782F">
        <w:rPr>
          <w:b/>
          <w:sz w:val="24"/>
          <w:szCs w:val="24"/>
          <w:lang w:val="fr-CH"/>
        </w:rPr>
        <w:t>ité des droits économiques</w:t>
      </w:r>
      <w:r w:rsidRPr="0071782F">
        <w:rPr>
          <w:b/>
          <w:sz w:val="24"/>
          <w:szCs w:val="24"/>
          <w:lang w:val="fr-CH"/>
        </w:rPr>
        <w:t xml:space="preserve">, </w:t>
      </w:r>
      <w:r w:rsidR="00B54EA5" w:rsidRPr="0071782F">
        <w:rPr>
          <w:b/>
          <w:sz w:val="24"/>
          <w:szCs w:val="24"/>
          <w:lang w:val="fr-CH"/>
        </w:rPr>
        <w:t>sociaux et</w:t>
      </w:r>
      <w:r w:rsidRPr="0071782F">
        <w:rPr>
          <w:b/>
          <w:sz w:val="24"/>
          <w:szCs w:val="24"/>
          <w:lang w:val="fr-CH"/>
        </w:rPr>
        <w:t xml:space="preserve"> </w:t>
      </w:r>
      <w:r w:rsidR="00B54EA5" w:rsidRPr="0071782F">
        <w:rPr>
          <w:b/>
          <w:sz w:val="24"/>
          <w:szCs w:val="24"/>
          <w:lang w:val="fr-CH"/>
        </w:rPr>
        <w:t>culturels</w:t>
      </w:r>
    </w:p>
    <w:p w:rsidR="003B4E20" w:rsidRPr="0071782F" w:rsidRDefault="003B4E20" w:rsidP="006C40D6">
      <w:pPr>
        <w:pStyle w:val="HMG"/>
        <w:rPr>
          <w:lang w:val="fr-CH"/>
        </w:rPr>
      </w:pPr>
      <w:r w:rsidRPr="0071782F">
        <w:rPr>
          <w:lang w:val="fr-CH"/>
        </w:rPr>
        <w:tab/>
      </w:r>
      <w:r w:rsidRPr="0071782F">
        <w:rPr>
          <w:lang w:val="fr-CH"/>
        </w:rPr>
        <w:tab/>
      </w:r>
      <w:r w:rsidR="00B54EA5" w:rsidRPr="0071782F">
        <w:rPr>
          <w:lang w:val="fr-CH"/>
        </w:rPr>
        <w:t>Application du Pacte i</w:t>
      </w:r>
      <w:r w:rsidRPr="0071782F">
        <w:rPr>
          <w:lang w:val="fr-CH"/>
        </w:rPr>
        <w:t xml:space="preserve">nternational </w:t>
      </w:r>
      <w:r w:rsidR="00B54EA5" w:rsidRPr="0071782F">
        <w:rPr>
          <w:lang w:val="fr-CH"/>
        </w:rPr>
        <w:t>relatif aux droits économiques</w:t>
      </w:r>
      <w:r w:rsidRPr="0071782F">
        <w:rPr>
          <w:lang w:val="fr-CH"/>
        </w:rPr>
        <w:t xml:space="preserve">, </w:t>
      </w:r>
      <w:r w:rsidR="00B54EA5" w:rsidRPr="0071782F">
        <w:rPr>
          <w:lang w:val="fr-CH"/>
        </w:rPr>
        <w:t>s</w:t>
      </w:r>
      <w:r w:rsidRPr="0071782F">
        <w:rPr>
          <w:lang w:val="fr-CH"/>
        </w:rPr>
        <w:t>ocia</w:t>
      </w:r>
      <w:r w:rsidR="00B54EA5" w:rsidRPr="0071782F">
        <w:rPr>
          <w:lang w:val="fr-CH"/>
        </w:rPr>
        <w:t>ux et c</w:t>
      </w:r>
      <w:r w:rsidRPr="0071782F">
        <w:rPr>
          <w:lang w:val="fr-CH"/>
        </w:rPr>
        <w:t>ultur</w:t>
      </w:r>
      <w:r w:rsidR="00B54EA5" w:rsidRPr="0071782F">
        <w:rPr>
          <w:lang w:val="fr-CH"/>
        </w:rPr>
        <w:t xml:space="preserve">els </w:t>
      </w:r>
    </w:p>
    <w:p w:rsidR="003B4E20" w:rsidRPr="0071782F" w:rsidRDefault="003B4E20" w:rsidP="006C40D6">
      <w:pPr>
        <w:pStyle w:val="HChG"/>
        <w:rPr>
          <w:lang w:val="fr-CH"/>
        </w:rPr>
      </w:pPr>
      <w:r w:rsidRPr="0071782F">
        <w:rPr>
          <w:lang w:val="fr-CH"/>
        </w:rPr>
        <w:tab/>
      </w:r>
      <w:r w:rsidRPr="0071782F">
        <w:rPr>
          <w:lang w:val="fr-CH"/>
        </w:rPr>
        <w:tab/>
      </w:r>
      <w:r w:rsidR="00B54EA5" w:rsidRPr="0071782F">
        <w:rPr>
          <w:lang w:val="fr-CH"/>
        </w:rPr>
        <w:t xml:space="preserve">Deuxième rapport périodique présenté par les États </w:t>
      </w:r>
      <w:r w:rsidRPr="0071782F">
        <w:rPr>
          <w:lang w:val="fr-CH"/>
        </w:rPr>
        <w:t xml:space="preserve">parties </w:t>
      </w:r>
      <w:r w:rsidR="00B54EA5" w:rsidRPr="0071782F">
        <w:rPr>
          <w:lang w:val="fr-CH"/>
        </w:rPr>
        <w:t xml:space="preserve">en vertu des </w:t>
      </w:r>
      <w:r w:rsidR="00723F2B" w:rsidRPr="0071782F">
        <w:rPr>
          <w:lang w:val="fr-CH"/>
        </w:rPr>
        <w:t>articles </w:t>
      </w:r>
      <w:r w:rsidRPr="0071782F">
        <w:rPr>
          <w:lang w:val="fr-CH"/>
        </w:rPr>
        <w:t xml:space="preserve">16 </w:t>
      </w:r>
      <w:r w:rsidR="00B54EA5" w:rsidRPr="0071782F">
        <w:rPr>
          <w:lang w:val="fr-CH"/>
        </w:rPr>
        <w:t>et</w:t>
      </w:r>
      <w:r w:rsidRPr="0071782F">
        <w:rPr>
          <w:lang w:val="fr-CH"/>
        </w:rPr>
        <w:t xml:space="preserve"> 17 </w:t>
      </w:r>
      <w:r w:rsidR="00B54EA5" w:rsidRPr="0071782F">
        <w:rPr>
          <w:lang w:val="fr-CH"/>
        </w:rPr>
        <w:t xml:space="preserve">du Pacte </w:t>
      </w:r>
    </w:p>
    <w:p w:rsidR="003B4E20" w:rsidRPr="0071782F" w:rsidRDefault="003B4E20" w:rsidP="006C40D6">
      <w:pPr>
        <w:pStyle w:val="HMG"/>
        <w:rPr>
          <w:lang w:val="fr-CH"/>
        </w:rPr>
      </w:pPr>
      <w:r w:rsidRPr="0071782F">
        <w:rPr>
          <w:lang w:val="fr-CH"/>
        </w:rPr>
        <w:tab/>
      </w:r>
      <w:r w:rsidRPr="0071782F">
        <w:rPr>
          <w:lang w:val="fr-CH"/>
        </w:rPr>
        <w:tab/>
        <w:t>R</w:t>
      </w:r>
      <w:r w:rsidR="00B54EA5" w:rsidRPr="0071782F">
        <w:rPr>
          <w:lang w:val="fr-CH"/>
        </w:rPr>
        <w:t>épublique islamique d’</w:t>
      </w:r>
      <w:r w:rsidRPr="0071782F">
        <w:rPr>
          <w:lang w:val="fr-CH"/>
        </w:rPr>
        <w:t>Iran</w:t>
      </w:r>
      <w:r w:rsidR="00302880" w:rsidRPr="0071782F">
        <w:rPr>
          <w:rStyle w:val="FootnoteReference"/>
          <w:b w:val="0"/>
          <w:sz w:val="20"/>
          <w:vertAlign w:val="baseline"/>
          <w:lang w:val="fr-CH"/>
        </w:rPr>
        <w:footnoteReference w:customMarkFollows="1" w:id="2"/>
        <w:t>*</w:t>
      </w:r>
    </w:p>
    <w:p w:rsidR="007273A4" w:rsidRPr="0071782F" w:rsidRDefault="003B4E20" w:rsidP="007D201E">
      <w:pPr>
        <w:pStyle w:val="SingleTxtG"/>
        <w:jc w:val="right"/>
        <w:rPr>
          <w:lang w:val="fr-CH"/>
        </w:rPr>
      </w:pPr>
      <w:r w:rsidRPr="0071782F">
        <w:rPr>
          <w:lang w:val="fr-CH"/>
        </w:rPr>
        <w:t xml:space="preserve">[3 </w:t>
      </w:r>
      <w:r w:rsidR="00B54EA5" w:rsidRPr="0071782F">
        <w:rPr>
          <w:lang w:val="fr-CH"/>
        </w:rPr>
        <w:t xml:space="preserve">novembre </w:t>
      </w:r>
      <w:r w:rsidRPr="0071782F">
        <w:rPr>
          <w:lang w:val="fr-CH"/>
        </w:rPr>
        <w:t>2009]</w:t>
      </w:r>
    </w:p>
    <w:p w:rsidR="00177D28" w:rsidRPr="0071782F" w:rsidRDefault="00177D28" w:rsidP="007D201E">
      <w:pPr>
        <w:pStyle w:val="HChG"/>
        <w:keepNext w:val="0"/>
        <w:keepLines w:val="0"/>
        <w:rPr>
          <w:lang w:val="fr-CH"/>
        </w:rPr>
      </w:pPr>
      <w:r w:rsidRPr="0071782F">
        <w:rPr>
          <w:lang w:val="fr-CH"/>
        </w:rPr>
        <w:br w:type="page"/>
      </w:r>
      <w:r w:rsidRPr="0071782F">
        <w:rPr>
          <w:lang w:val="fr-CH"/>
        </w:rPr>
        <w:tab/>
      </w:r>
      <w:r w:rsidRPr="0071782F">
        <w:rPr>
          <w:lang w:val="fr-CH"/>
        </w:rPr>
        <w:tab/>
        <w:t xml:space="preserve">Introduction </w:t>
      </w:r>
    </w:p>
    <w:p w:rsidR="00177D28" w:rsidRPr="0071782F" w:rsidRDefault="00177D28" w:rsidP="00B07C67">
      <w:pPr>
        <w:pStyle w:val="SingleTxtG"/>
        <w:rPr>
          <w:lang w:val="fr-CH"/>
        </w:rPr>
      </w:pPr>
      <w:r w:rsidRPr="0071782F">
        <w:rPr>
          <w:lang w:val="fr-CH"/>
        </w:rPr>
        <w:t>1.</w:t>
      </w:r>
      <w:r w:rsidRPr="0071782F">
        <w:rPr>
          <w:lang w:val="fr-CH"/>
        </w:rPr>
        <w:tab/>
      </w:r>
      <w:r w:rsidR="00CC38C1" w:rsidRPr="0071782F">
        <w:rPr>
          <w:lang w:val="fr-CH"/>
        </w:rPr>
        <w:t>La République islamique d’</w:t>
      </w:r>
      <w:r w:rsidRPr="0071782F">
        <w:rPr>
          <w:lang w:val="fr-CH"/>
        </w:rPr>
        <w:t xml:space="preserve">Iran </w:t>
      </w:r>
      <w:r w:rsidR="00CC38C1" w:rsidRPr="0071782F">
        <w:rPr>
          <w:lang w:val="fr-CH"/>
        </w:rPr>
        <w:t>est partie au Pacte i</w:t>
      </w:r>
      <w:r w:rsidRPr="0071782F">
        <w:rPr>
          <w:lang w:val="fr-CH"/>
        </w:rPr>
        <w:t xml:space="preserve">nternational </w:t>
      </w:r>
      <w:r w:rsidR="00CC38C1" w:rsidRPr="0071782F">
        <w:rPr>
          <w:lang w:val="fr-CH"/>
        </w:rPr>
        <w:t>relatif aux droits économiques, s</w:t>
      </w:r>
      <w:r w:rsidRPr="0071782F">
        <w:rPr>
          <w:lang w:val="fr-CH"/>
        </w:rPr>
        <w:t>ocia</w:t>
      </w:r>
      <w:r w:rsidR="00CC38C1" w:rsidRPr="0071782F">
        <w:rPr>
          <w:lang w:val="fr-CH"/>
        </w:rPr>
        <w:t>ux et culture</w:t>
      </w:r>
      <w:r w:rsidRPr="0071782F">
        <w:rPr>
          <w:lang w:val="fr-CH"/>
        </w:rPr>
        <w:t>l</w:t>
      </w:r>
      <w:r w:rsidR="00CC38C1" w:rsidRPr="0071782F">
        <w:rPr>
          <w:lang w:val="fr-CH"/>
        </w:rPr>
        <w:t>s</w:t>
      </w:r>
      <w:r w:rsidRPr="0071782F">
        <w:rPr>
          <w:lang w:val="fr-CH"/>
        </w:rPr>
        <w:t xml:space="preserve">. </w:t>
      </w:r>
      <w:r w:rsidR="00CC38C1" w:rsidRPr="0071782F">
        <w:rPr>
          <w:lang w:val="fr-CH"/>
        </w:rPr>
        <w:t>L’</w:t>
      </w:r>
      <w:r w:rsidRPr="0071782F">
        <w:rPr>
          <w:lang w:val="fr-CH"/>
        </w:rPr>
        <w:t xml:space="preserve">Iran </w:t>
      </w:r>
      <w:r w:rsidR="00CC38C1" w:rsidRPr="0071782F">
        <w:rPr>
          <w:lang w:val="fr-CH"/>
        </w:rPr>
        <w:t xml:space="preserve">a adhéré à ce Pacte en </w:t>
      </w:r>
      <w:r w:rsidRPr="0071782F">
        <w:rPr>
          <w:lang w:val="fr-CH"/>
        </w:rPr>
        <w:t xml:space="preserve">1975. </w:t>
      </w:r>
      <w:r w:rsidR="00CC38C1" w:rsidRPr="0071782F">
        <w:rPr>
          <w:lang w:val="fr-CH"/>
        </w:rPr>
        <w:t xml:space="preserve">Les dispositions du Pacte ont été incorporées dans </w:t>
      </w:r>
      <w:r w:rsidRPr="0071782F">
        <w:rPr>
          <w:lang w:val="fr-CH"/>
        </w:rPr>
        <w:t>diff</w:t>
      </w:r>
      <w:r w:rsidR="00CC38C1" w:rsidRPr="0071782F">
        <w:rPr>
          <w:lang w:val="fr-CH"/>
        </w:rPr>
        <w:t>é</w:t>
      </w:r>
      <w:r w:rsidRPr="0071782F">
        <w:rPr>
          <w:lang w:val="fr-CH"/>
        </w:rPr>
        <w:t>rent</w:t>
      </w:r>
      <w:r w:rsidR="00CC38C1" w:rsidRPr="0071782F">
        <w:rPr>
          <w:lang w:val="fr-CH"/>
        </w:rPr>
        <w:t>s</w:t>
      </w:r>
      <w:r w:rsidRPr="0071782F">
        <w:rPr>
          <w:lang w:val="fr-CH"/>
        </w:rPr>
        <w:t xml:space="preserve"> </w:t>
      </w:r>
      <w:r w:rsidR="007464B9">
        <w:rPr>
          <w:lang w:val="fr-CH"/>
        </w:rPr>
        <w:t xml:space="preserve">articles </w:t>
      </w:r>
      <w:r w:rsidR="00CC38C1" w:rsidRPr="0071782F">
        <w:rPr>
          <w:lang w:val="fr-CH"/>
        </w:rPr>
        <w:t xml:space="preserve">de la </w:t>
      </w:r>
      <w:r w:rsidRPr="0071782F">
        <w:rPr>
          <w:lang w:val="fr-CH"/>
        </w:rPr>
        <w:t xml:space="preserve">Constitution </w:t>
      </w:r>
      <w:r w:rsidR="00CC38C1" w:rsidRPr="0071782F">
        <w:rPr>
          <w:lang w:val="fr-CH"/>
        </w:rPr>
        <w:t>de la République islamique d’Iran</w:t>
      </w:r>
      <w:r w:rsidRPr="0071782F">
        <w:rPr>
          <w:lang w:val="fr-CH"/>
        </w:rPr>
        <w:t xml:space="preserve">. </w:t>
      </w:r>
      <w:r w:rsidR="00CC38C1" w:rsidRPr="0071782F">
        <w:rPr>
          <w:lang w:val="fr-CH"/>
        </w:rPr>
        <w:t xml:space="preserve">D’ailleurs, l’un des principaux objectifs que poursuit le </w:t>
      </w:r>
      <w:r w:rsidR="00B07C67" w:rsidRPr="0071782F">
        <w:rPr>
          <w:lang w:val="fr-CH"/>
        </w:rPr>
        <w:t xml:space="preserve">régime </w:t>
      </w:r>
      <w:r w:rsidR="00CC38C1" w:rsidRPr="0071782F">
        <w:rPr>
          <w:lang w:val="fr-CH"/>
        </w:rPr>
        <w:t>de la République islamique d’Iran depuis sa création consiste à améliorer le niveau de vie de la population du pays.</w:t>
      </w:r>
      <w:r w:rsidRPr="0071782F">
        <w:rPr>
          <w:lang w:val="fr-CH"/>
        </w:rPr>
        <w:t xml:space="preserve"> </w:t>
      </w:r>
    </w:p>
    <w:p w:rsidR="00177D28" w:rsidRPr="007D201E" w:rsidRDefault="00177D28" w:rsidP="007B1FF1">
      <w:pPr>
        <w:pStyle w:val="SingleTxtG"/>
        <w:ind w:left="1701"/>
        <w:rPr>
          <w:spacing w:val="-2"/>
          <w:lang w:val="fr-CH"/>
        </w:rPr>
      </w:pPr>
      <w:r w:rsidRPr="007D201E">
        <w:rPr>
          <w:spacing w:val="-2"/>
          <w:lang w:val="fr-CH"/>
        </w:rPr>
        <w:t>1.1</w:t>
      </w:r>
      <w:r w:rsidR="00AB0C1F" w:rsidRPr="007D201E">
        <w:rPr>
          <w:spacing w:val="-2"/>
          <w:lang w:val="fr-CH"/>
        </w:rPr>
        <w:t>.</w:t>
      </w:r>
      <w:r w:rsidRPr="007D201E">
        <w:rPr>
          <w:spacing w:val="-2"/>
          <w:lang w:val="fr-CH"/>
        </w:rPr>
        <w:tab/>
      </w:r>
      <w:r w:rsidR="00CC38C1" w:rsidRPr="007D201E">
        <w:rPr>
          <w:spacing w:val="-2"/>
          <w:lang w:val="fr-CH"/>
        </w:rPr>
        <w:t xml:space="preserve">Depuis le </w:t>
      </w:r>
      <w:r w:rsidRPr="007D201E">
        <w:rPr>
          <w:spacing w:val="-2"/>
          <w:lang w:val="fr-CH"/>
        </w:rPr>
        <w:t>tri</w:t>
      </w:r>
      <w:r w:rsidR="00CC38C1" w:rsidRPr="007D201E">
        <w:rPr>
          <w:spacing w:val="-2"/>
          <w:lang w:val="fr-CH"/>
        </w:rPr>
        <w:t>o</w:t>
      </w:r>
      <w:r w:rsidRPr="007D201E">
        <w:rPr>
          <w:spacing w:val="-2"/>
          <w:lang w:val="fr-CH"/>
        </w:rPr>
        <w:t>mph</w:t>
      </w:r>
      <w:r w:rsidR="00CC38C1" w:rsidRPr="007D201E">
        <w:rPr>
          <w:spacing w:val="-2"/>
          <w:lang w:val="fr-CH"/>
        </w:rPr>
        <w:t>e</w:t>
      </w:r>
      <w:r w:rsidRPr="007D201E">
        <w:rPr>
          <w:spacing w:val="-2"/>
          <w:lang w:val="fr-CH"/>
        </w:rPr>
        <w:t xml:space="preserve"> </w:t>
      </w:r>
      <w:r w:rsidR="00CC38C1" w:rsidRPr="007D201E">
        <w:rPr>
          <w:spacing w:val="-2"/>
          <w:lang w:val="fr-CH"/>
        </w:rPr>
        <w:t>de la</w:t>
      </w:r>
      <w:r w:rsidRPr="007D201E">
        <w:rPr>
          <w:spacing w:val="-2"/>
          <w:lang w:val="fr-CH"/>
        </w:rPr>
        <w:t xml:space="preserve"> R</w:t>
      </w:r>
      <w:r w:rsidR="00CC38C1" w:rsidRPr="007D201E">
        <w:rPr>
          <w:spacing w:val="-2"/>
          <w:lang w:val="fr-CH"/>
        </w:rPr>
        <w:t>é</w:t>
      </w:r>
      <w:r w:rsidRPr="007D201E">
        <w:rPr>
          <w:spacing w:val="-2"/>
          <w:lang w:val="fr-CH"/>
        </w:rPr>
        <w:t xml:space="preserve">volution </w:t>
      </w:r>
      <w:r w:rsidR="00CC38C1" w:rsidRPr="007D201E">
        <w:rPr>
          <w:spacing w:val="-2"/>
          <w:lang w:val="fr-CH"/>
        </w:rPr>
        <w:t>islamique e</w:t>
      </w:r>
      <w:r w:rsidRPr="007D201E">
        <w:rPr>
          <w:spacing w:val="-2"/>
          <w:lang w:val="fr-CH"/>
        </w:rPr>
        <w:t xml:space="preserve">n Iran </w:t>
      </w:r>
      <w:r w:rsidR="00CC38C1" w:rsidRPr="007D201E">
        <w:rPr>
          <w:spacing w:val="-2"/>
          <w:lang w:val="fr-CH"/>
        </w:rPr>
        <w:t>e</w:t>
      </w:r>
      <w:r w:rsidRPr="007D201E">
        <w:rPr>
          <w:spacing w:val="-2"/>
          <w:lang w:val="fr-CH"/>
        </w:rPr>
        <w:t xml:space="preserve">n </w:t>
      </w:r>
      <w:r w:rsidR="00CC38C1" w:rsidRPr="007D201E">
        <w:rPr>
          <w:spacing w:val="-2"/>
          <w:lang w:val="fr-CH"/>
        </w:rPr>
        <w:t xml:space="preserve">février </w:t>
      </w:r>
      <w:r w:rsidRPr="007D201E">
        <w:rPr>
          <w:spacing w:val="-2"/>
          <w:lang w:val="fr-CH"/>
        </w:rPr>
        <w:t xml:space="preserve">1979, </w:t>
      </w:r>
      <w:r w:rsidR="00CC38C1" w:rsidRPr="007D201E">
        <w:rPr>
          <w:spacing w:val="-2"/>
          <w:lang w:val="fr-CH"/>
        </w:rPr>
        <w:t xml:space="preserve">plusieurs </w:t>
      </w:r>
      <w:r w:rsidRPr="007D201E">
        <w:rPr>
          <w:spacing w:val="-2"/>
          <w:lang w:val="fr-CH"/>
        </w:rPr>
        <w:t xml:space="preserve">institutions </w:t>
      </w:r>
      <w:r w:rsidR="00CC38C1" w:rsidRPr="007D201E">
        <w:rPr>
          <w:spacing w:val="-2"/>
          <w:lang w:val="fr-CH"/>
        </w:rPr>
        <w:t>ont été créées pour contribuer à améliorer le niveau de vie de la population iranienne, en particulier dans les régions reculées et dé</w:t>
      </w:r>
      <w:r w:rsidR="007B1FF1" w:rsidRPr="007D201E">
        <w:rPr>
          <w:spacing w:val="-2"/>
          <w:lang w:val="fr-CH"/>
        </w:rPr>
        <w:t>favoris</w:t>
      </w:r>
      <w:r w:rsidR="00CC38C1" w:rsidRPr="007D201E">
        <w:rPr>
          <w:spacing w:val="-2"/>
          <w:lang w:val="fr-CH"/>
        </w:rPr>
        <w:t>ées du pays.</w:t>
      </w:r>
      <w:r w:rsidR="00D36718" w:rsidRPr="007D201E">
        <w:rPr>
          <w:spacing w:val="-2"/>
          <w:lang w:val="fr-CH"/>
        </w:rPr>
        <w:t xml:space="preserve"> </w:t>
      </w:r>
      <w:r w:rsidR="00CC38C1" w:rsidRPr="007D201E">
        <w:rPr>
          <w:spacing w:val="-2"/>
          <w:lang w:val="fr-CH"/>
        </w:rPr>
        <w:t>Ces institutions sont notamment le Comité de secours Imam Khomeini</w:t>
      </w:r>
      <w:r w:rsidRPr="007D201E">
        <w:rPr>
          <w:spacing w:val="-2"/>
          <w:lang w:val="fr-CH"/>
        </w:rPr>
        <w:t xml:space="preserve">, </w:t>
      </w:r>
      <w:r w:rsidR="00CC38C1" w:rsidRPr="007D201E">
        <w:rPr>
          <w:spacing w:val="-2"/>
          <w:lang w:val="fr-CH"/>
        </w:rPr>
        <w:t xml:space="preserve">la Fondation de la </w:t>
      </w:r>
      <w:r w:rsidRPr="007D201E">
        <w:rPr>
          <w:spacing w:val="-2"/>
          <w:lang w:val="fr-CH"/>
        </w:rPr>
        <w:t>R</w:t>
      </w:r>
      <w:r w:rsidR="00CC38C1" w:rsidRPr="007D201E">
        <w:rPr>
          <w:spacing w:val="-2"/>
          <w:lang w:val="fr-CH"/>
        </w:rPr>
        <w:t>é</w:t>
      </w:r>
      <w:r w:rsidRPr="007D201E">
        <w:rPr>
          <w:spacing w:val="-2"/>
          <w:lang w:val="fr-CH"/>
        </w:rPr>
        <w:t xml:space="preserve">volution </w:t>
      </w:r>
      <w:r w:rsidR="00CC38C1" w:rsidRPr="007D201E">
        <w:rPr>
          <w:spacing w:val="-2"/>
          <w:lang w:val="fr-CH"/>
        </w:rPr>
        <w:t>islamique pour le logement</w:t>
      </w:r>
      <w:r w:rsidRPr="007D201E">
        <w:rPr>
          <w:spacing w:val="-2"/>
          <w:lang w:val="fr-CH"/>
        </w:rPr>
        <w:t xml:space="preserve">, </w:t>
      </w:r>
      <w:r w:rsidR="00CC38C1" w:rsidRPr="007D201E">
        <w:rPr>
          <w:spacing w:val="-2"/>
          <w:lang w:val="fr-CH"/>
        </w:rPr>
        <w:t>le Centre pour les régions dé</w:t>
      </w:r>
      <w:r w:rsidR="007B1FF1" w:rsidRPr="007D201E">
        <w:rPr>
          <w:spacing w:val="-2"/>
          <w:lang w:val="fr-CH"/>
        </w:rPr>
        <w:t>favoris</w:t>
      </w:r>
      <w:r w:rsidR="00CC38C1" w:rsidRPr="007D201E">
        <w:rPr>
          <w:spacing w:val="-2"/>
          <w:lang w:val="fr-CH"/>
        </w:rPr>
        <w:t>ées de la Présidence</w:t>
      </w:r>
      <w:r w:rsidRPr="007D201E">
        <w:rPr>
          <w:spacing w:val="-2"/>
          <w:lang w:val="fr-CH"/>
        </w:rPr>
        <w:t xml:space="preserve">, </w:t>
      </w:r>
      <w:r w:rsidR="009B748C" w:rsidRPr="007D201E">
        <w:rPr>
          <w:spacing w:val="-2"/>
          <w:lang w:val="fr-CH"/>
        </w:rPr>
        <w:t xml:space="preserve">le </w:t>
      </w:r>
      <w:r w:rsidR="007B1FF1" w:rsidRPr="007D201E">
        <w:rPr>
          <w:spacing w:val="-2"/>
          <w:lang w:val="fr-CH"/>
        </w:rPr>
        <w:t>Dj</w:t>
      </w:r>
      <w:r w:rsidR="009B748C" w:rsidRPr="007D201E">
        <w:rPr>
          <w:spacing w:val="-2"/>
          <w:lang w:val="fr-CH"/>
        </w:rPr>
        <w:t>ihad de la c</w:t>
      </w:r>
      <w:r w:rsidRPr="007D201E">
        <w:rPr>
          <w:spacing w:val="-2"/>
          <w:lang w:val="fr-CH"/>
        </w:rPr>
        <w:t>onstruction (</w:t>
      </w:r>
      <w:r w:rsidR="00CC38C1" w:rsidRPr="007D201E">
        <w:rPr>
          <w:spacing w:val="-2"/>
          <w:lang w:val="fr-CH"/>
        </w:rPr>
        <w:t>qui a par la suite fusionné avec le Ministère de l’a</w:t>
      </w:r>
      <w:r w:rsidRPr="007D201E">
        <w:rPr>
          <w:spacing w:val="-2"/>
          <w:lang w:val="fr-CH"/>
        </w:rPr>
        <w:t xml:space="preserve">griculture), </w:t>
      </w:r>
      <w:r w:rsidR="00CC38C1" w:rsidRPr="007D201E">
        <w:rPr>
          <w:spacing w:val="-2"/>
          <w:lang w:val="fr-CH"/>
        </w:rPr>
        <w:t>le Mouvement pour l’alphabétisation</w:t>
      </w:r>
      <w:r w:rsidR="007B1FF1" w:rsidRPr="007D201E">
        <w:rPr>
          <w:spacing w:val="-2"/>
          <w:lang w:val="fr-CH"/>
        </w:rPr>
        <w:t xml:space="preserve">, les Janbazan de </w:t>
      </w:r>
      <w:r w:rsidR="00CC38C1" w:rsidRPr="007D201E">
        <w:rPr>
          <w:spacing w:val="-2"/>
          <w:lang w:val="fr-CH"/>
        </w:rPr>
        <w:t xml:space="preserve">la Révolution islamique et </w:t>
      </w:r>
      <w:r w:rsidR="007B1FF1" w:rsidRPr="007D201E">
        <w:rPr>
          <w:spacing w:val="-2"/>
          <w:lang w:val="fr-CH"/>
        </w:rPr>
        <w:t xml:space="preserve">la Fondation </w:t>
      </w:r>
      <w:r w:rsidRPr="007D201E">
        <w:rPr>
          <w:spacing w:val="-2"/>
          <w:lang w:val="fr-CH"/>
        </w:rPr>
        <w:t>Mostazafan</w:t>
      </w:r>
      <w:r w:rsidR="009B748C" w:rsidRPr="007D201E">
        <w:rPr>
          <w:spacing w:val="-2"/>
          <w:lang w:val="fr-CH"/>
        </w:rPr>
        <w:t xml:space="preserve">. Ces institutions </w:t>
      </w:r>
      <w:r w:rsidR="00CC38C1" w:rsidRPr="007D201E">
        <w:rPr>
          <w:spacing w:val="-2"/>
          <w:lang w:val="fr-CH"/>
        </w:rPr>
        <w:t>ont été créées pour améliorer les conditions de vie, en particulier dans les zones défavorisées du pays</w:t>
      </w:r>
      <w:r w:rsidRPr="007D201E">
        <w:rPr>
          <w:spacing w:val="-2"/>
          <w:lang w:val="fr-CH"/>
        </w:rPr>
        <w:t xml:space="preserve">. </w:t>
      </w:r>
    </w:p>
    <w:p w:rsidR="00177D28" w:rsidRPr="0071782F" w:rsidRDefault="00177D28" w:rsidP="00177D28">
      <w:pPr>
        <w:pStyle w:val="SingleTxtG"/>
        <w:ind w:left="1701"/>
        <w:rPr>
          <w:lang w:val="fr-CH"/>
        </w:rPr>
      </w:pPr>
      <w:r w:rsidRPr="0071782F">
        <w:rPr>
          <w:lang w:val="fr-CH"/>
        </w:rPr>
        <w:t>1.2</w:t>
      </w:r>
      <w:r w:rsidR="00AB0C1F" w:rsidRPr="0071782F">
        <w:rPr>
          <w:lang w:val="fr-CH"/>
        </w:rPr>
        <w:t>.</w:t>
      </w:r>
      <w:r w:rsidRPr="0071782F">
        <w:rPr>
          <w:lang w:val="fr-CH"/>
        </w:rPr>
        <w:tab/>
      </w:r>
      <w:r w:rsidR="00897343" w:rsidRPr="0071782F">
        <w:rPr>
          <w:lang w:val="fr-CH"/>
        </w:rPr>
        <w:t xml:space="preserve">Pour garantir de meilleures conditions de vie aux groupes défavorisés de la société, ces </w:t>
      </w:r>
      <w:r w:rsidRPr="0071782F">
        <w:rPr>
          <w:lang w:val="fr-CH"/>
        </w:rPr>
        <w:t xml:space="preserve">institutions </w:t>
      </w:r>
      <w:r w:rsidR="00897343" w:rsidRPr="0071782F">
        <w:rPr>
          <w:lang w:val="fr-CH"/>
        </w:rPr>
        <w:t xml:space="preserve">sont notamment chargées de mettre à leur disposition </w:t>
      </w:r>
      <w:r w:rsidR="003F25A2">
        <w:rPr>
          <w:lang w:val="fr-CH"/>
        </w:rPr>
        <w:t>des logements</w:t>
      </w:r>
      <w:r w:rsidR="00897343" w:rsidRPr="0071782F">
        <w:rPr>
          <w:lang w:val="fr-CH"/>
        </w:rPr>
        <w:t xml:space="preserve"> appropriés en nombre suffisant et des centres d’alphabétisation, de fournir un appui à la cellule familiale et de trouver des emplois aux ruraux tout en contribuant au développement rural</w:t>
      </w:r>
      <w:r w:rsidRPr="0071782F">
        <w:rPr>
          <w:lang w:val="fr-CH"/>
        </w:rPr>
        <w:t xml:space="preserve">. </w:t>
      </w:r>
    </w:p>
    <w:p w:rsidR="00177D28" w:rsidRPr="0071782F" w:rsidRDefault="00177D28" w:rsidP="00177D28">
      <w:pPr>
        <w:pStyle w:val="H1G"/>
        <w:rPr>
          <w:lang w:val="fr-CH"/>
        </w:rPr>
      </w:pPr>
      <w:r w:rsidRPr="0071782F">
        <w:rPr>
          <w:lang w:val="fr-CH"/>
        </w:rPr>
        <w:tab/>
      </w:r>
      <w:r w:rsidRPr="0071782F">
        <w:rPr>
          <w:lang w:val="fr-CH"/>
        </w:rPr>
        <w:tab/>
      </w:r>
      <w:r w:rsidR="00897343" w:rsidRPr="0071782F">
        <w:rPr>
          <w:lang w:val="fr-CH"/>
        </w:rPr>
        <w:t xml:space="preserve">Création du </w:t>
      </w:r>
      <w:r w:rsidR="00401CAF" w:rsidRPr="0071782F">
        <w:rPr>
          <w:lang w:val="fr-CH"/>
        </w:rPr>
        <w:t>C</w:t>
      </w:r>
      <w:r w:rsidR="00897343" w:rsidRPr="0071782F">
        <w:rPr>
          <w:lang w:val="fr-CH"/>
        </w:rPr>
        <w:t xml:space="preserve">omité national </w:t>
      </w:r>
    </w:p>
    <w:p w:rsidR="00177D28" w:rsidRPr="0071782F" w:rsidRDefault="00177D28" w:rsidP="007B1FF1">
      <w:pPr>
        <w:pStyle w:val="SingleTxtG"/>
        <w:rPr>
          <w:lang w:val="fr-CH"/>
        </w:rPr>
      </w:pPr>
      <w:r w:rsidRPr="0071782F">
        <w:rPr>
          <w:lang w:val="fr-CH"/>
        </w:rPr>
        <w:t>2.</w:t>
      </w:r>
      <w:r w:rsidRPr="0071782F">
        <w:rPr>
          <w:lang w:val="fr-CH"/>
        </w:rPr>
        <w:tab/>
      </w:r>
      <w:r w:rsidR="00E6538B" w:rsidRPr="0071782F">
        <w:rPr>
          <w:lang w:val="fr-CH"/>
        </w:rPr>
        <w:t xml:space="preserve">Pour établir le rapport de la </w:t>
      </w:r>
      <w:r w:rsidRPr="0071782F">
        <w:rPr>
          <w:lang w:val="fr-CH"/>
        </w:rPr>
        <w:t>R</w:t>
      </w:r>
      <w:r w:rsidR="00E6538B" w:rsidRPr="0071782F">
        <w:rPr>
          <w:lang w:val="fr-CH"/>
        </w:rPr>
        <w:t>épublique islamique d’</w:t>
      </w:r>
      <w:r w:rsidRPr="0071782F">
        <w:rPr>
          <w:lang w:val="fr-CH"/>
        </w:rPr>
        <w:t xml:space="preserve">Iran </w:t>
      </w:r>
      <w:r w:rsidR="00E6538B" w:rsidRPr="0071782F">
        <w:rPr>
          <w:lang w:val="fr-CH"/>
        </w:rPr>
        <w:t>sur l’application du Pacte i</w:t>
      </w:r>
      <w:r w:rsidRPr="0071782F">
        <w:rPr>
          <w:lang w:val="fr-CH"/>
        </w:rPr>
        <w:t xml:space="preserve">nternational </w:t>
      </w:r>
      <w:r w:rsidR="00E6538B" w:rsidRPr="0071782F">
        <w:rPr>
          <w:lang w:val="fr-CH"/>
        </w:rPr>
        <w:t>relatif aux droits é</w:t>
      </w:r>
      <w:r w:rsidRPr="0071782F">
        <w:rPr>
          <w:lang w:val="fr-CH"/>
        </w:rPr>
        <w:t>conomi</w:t>
      </w:r>
      <w:r w:rsidR="00E6538B" w:rsidRPr="0071782F">
        <w:rPr>
          <w:lang w:val="fr-CH"/>
        </w:rPr>
        <w:t>ques</w:t>
      </w:r>
      <w:r w:rsidRPr="0071782F">
        <w:rPr>
          <w:lang w:val="fr-CH"/>
        </w:rPr>
        <w:t xml:space="preserve">, </w:t>
      </w:r>
      <w:r w:rsidR="00E6538B" w:rsidRPr="0071782F">
        <w:rPr>
          <w:lang w:val="fr-CH"/>
        </w:rPr>
        <w:t>s</w:t>
      </w:r>
      <w:r w:rsidRPr="0071782F">
        <w:rPr>
          <w:lang w:val="fr-CH"/>
        </w:rPr>
        <w:t>ocia</w:t>
      </w:r>
      <w:r w:rsidR="00E6538B" w:rsidRPr="0071782F">
        <w:rPr>
          <w:lang w:val="fr-CH"/>
        </w:rPr>
        <w:t>ux et c</w:t>
      </w:r>
      <w:r w:rsidRPr="0071782F">
        <w:rPr>
          <w:lang w:val="fr-CH"/>
        </w:rPr>
        <w:t>ultur</w:t>
      </w:r>
      <w:r w:rsidR="00E6538B" w:rsidRPr="0071782F">
        <w:rPr>
          <w:lang w:val="fr-CH"/>
        </w:rPr>
        <w:t>e</w:t>
      </w:r>
      <w:r w:rsidRPr="0071782F">
        <w:rPr>
          <w:lang w:val="fr-CH"/>
        </w:rPr>
        <w:t>l</w:t>
      </w:r>
      <w:r w:rsidR="00E6538B" w:rsidRPr="0071782F">
        <w:rPr>
          <w:lang w:val="fr-CH"/>
        </w:rPr>
        <w:t>s</w:t>
      </w:r>
      <w:r w:rsidRPr="0071782F">
        <w:rPr>
          <w:lang w:val="fr-CH"/>
        </w:rPr>
        <w:t xml:space="preserve">, </w:t>
      </w:r>
      <w:r w:rsidR="00E6538B" w:rsidRPr="0071782F">
        <w:rPr>
          <w:lang w:val="fr-CH"/>
        </w:rPr>
        <w:t>le Ministère des affaires étrangères a créé en son sein le Comité n</w:t>
      </w:r>
      <w:r w:rsidRPr="0071782F">
        <w:rPr>
          <w:lang w:val="fr-CH"/>
        </w:rPr>
        <w:t xml:space="preserve">ational </w:t>
      </w:r>
      <w:r w:rsidR="007B1FF1" w:rsidRPr="0071782F">
        <w:rPr>
          <w:lang w:val="fr-CH"/>
        </w:rPr>
        <w:t xml:space="preserve">de rédaction du </w:t>
      </w:r>
      <w:r w:rsidR="00E6538B" w:rsidRPr="0071782F">
        <w:rPr>
          <w:lang w:val="fr-CH"/>
        </w:rPr>
        <w:t>rapport de pays, auquel ont siégé des représentants des ministères et institutions énumérés ci-après</w:t>
      </w:r>
      <w:r w:rsidR="008F7D33" w:rsidRPr="0071782F">
        <w:rPr>
          <w:lang w:val="fr-CH"/>
        </w:rPr>
        <w:t>:</w:t>
      </w:r>
      <w:r w:rsidR="00E6538B" w:rsidRPr="0071782F">
        <w:rPr>
          <w:lang w:val="fr-CH"/>
        </w:rPr>
        <w:t xml:space="preserve"> </w:t>
      </w:r>
      <w:r w:rsidRPr="0071782F">
        <w:rPr>
          <w:lang w:val="fr-CH"/>
        </w:rPr>
        <w:t>Minist</w:t>
      </w:r>
      <w:r w:rsidR="00E6538B" w:rsidRPr="0071782F">
        <w:rPr>
          <w:lang w:val="fr-CH"/>
        </w:rPr>
        <w:t>ère de l’éducation</w:t>
      </w:r>
      <w:r w:rsidRPr="0071782F">
        <w:rPr>
          <w:lang w:val="fr-CH"/>
        </w:rPr>
        <w:t xml:space="preserve">, </w:t>
      </w:r>
      <w:r w:rsidR="00BD5FF1" w:rsidRPr="0071782F">
        <w:rPr>
          <w:lang w:val="fr-CH"/>
        </w:rPr>
        <w:t>Ministère de la santé et de la formation médicale</w:t>
      </w:r>
      <w:r w:rsidR="00E6538B" w:rsidRPr="0071782F">
        <w:rPr>
          <w:lang w:val="fr-CH"/>
        </w:rPr>
        <w:t xml:space="preserve">, Ministère du logement et de l’aménagement urbain, </w:t>
      </w:r>
      <w:r w:rsidRPr="0071782F">
        <w:rPr>
          <w:lang w:val="fr-CH"/>
        </w:rPr>
        <w:t>Minist</w:t>
      </w:r>
      <w:r w:rsidR="00E6538B" w:rsidRPr="0071782F">
        <w:rPr>
          <w:lang w:val="fr-CH"/>
        </w:rPr>
        <w:t xml:space="preserve">ère </w:t>
      </w:r>
      <w:r w:rsidR="007B1FF1" w:rsidRPr="0071782F">
        <w:rPr>
          <w:lang w:val="fr-CH"/>
        </w:rPr>
        <w:t xml:space="preserve">des </w:t>
      </w:r>
      <w:r w:rsidR="00E6538B" w:rsidRPr="0071782F">
        <w:rPr>
          <w:lang w:val="fr-CH"/>
        </w:rPr>
        <w:t>s</w:t>
      </w:r>
      <w:r w:rsidRPr="0071782F">
        <w:rPr>
          <w:lang w:val="fr-CH"/>
        </w:rPr>
        <w:t>cience</w:t>
      </w:r>
      <w:r w:rsidR="007B1FF1" w:rsidRPr="0071782F">
        <w:rPr>
          <w:lang w:val="fr-CH"/>
        </w:rPr>
        <w:t>s</w:t>
      </w:r>
      <w:r w:rsidRPr="0071782F">
        <w:rPr>
          <w:lang w:val="fr-CH"/>
        </w:rPr>
        <w:t xml:space="preserve">, </w:t>
      </w:r>
      <w:r w:rsidR="00E6538B" w:rsidRPr="0071782F">
        <w:rPr>
          <w:lang w:val="fr-CH"/>
        </w:rPr>
        <w:t>de la recherche et de la t</w:t>
      </w:r>
      <w:r w:rsidRPr="0071782F">
        <w:rPr>
          <w:lang w:val="fr-CH"/>
        </w:rPr>
        <w:t>echnolog</w:t>
      </w:r>
      <w:r w:rsidR="00E6538B" w:rsidRPr="0071782F">
        <w:rPr>
          <w:lang w:val="fr-CH"/>
        </w:rPr>
        <w:t>ie</w:t>
      </w:r>
      <w:r w:rsidRPr="0071782F">
        <w:rPr>
          <w:lang w:val="fr-CH"/>
        </w:rPr>
        <w:t>, Minist</w:t>
      </w:r>
      <w:r w:rsidR="00E6538B" w:rsidRPr="0071782F">
        <w:rPr>
          <w:lang w:val="fr-CH"/>
        </w:rPr>
        <w:t>ère de l’agriculture</w:t>
      </w:r>
      <w:r w:rsidRPr="0071782F">
        <w:rPr>
          <w:lang w:val="fr-CH"/>
        </w:rPr>
        <w:t>, Minist</w:t>
      </w:r>
      <w:r w:rsidR="00E6538B" w:rsidRPr="0071782F">
        <w:rPr>
          <w:lang w:val="fr-CH"/>
        </w:rPr>
        <w:t>ère du travail et des affaires sociales</w:t>
      </w:r>
      <w:r w:rsidRPr="0071782F">
        <w:rPr>
          <w:lang w:val="fr-CH"/>
        </w:rPr>
        <w:t>, Minist</w:t>
      </w:r>
      <w:r w:rsidR="00E6538B" w:rsidRPr="0071782F">
        <w:rPr>
          <w:lang w:val="fr-CH"/>
        </w:rPr>
        <w:t>ère de la culture et de l’orientation i</w:t>
      </w:r>
      <w:r w:rsidRPr="0071782F">
        <w:rPr>
          <w:lang w:val="fr-CH"/>
        </w:rPr>
        <w:t>slami</w:t>
      </w:r>
      <w:r w:rsidR="00E6538B" w:rsidRPr="0071782F">
        <w:rPr>
          <w:lang w:val="fr-CH"/>
        </w:rPr>
        <w:t>que</w:t>
      </w:r>
      <w:r w:rsidR="007B1FF1" w:rsidRPr="0071782F">
        <w:rPr>
          <w:lang w:val="fr-CH"/>
        </w:rPr>
        <w:t>s</w:t>
      </w:r>
      <w:r w:rsidRPr="0071782F">
        <w:rPr>
          <w:lang w:val="fr-CH"/>
        </w:rPr>
        <w:t>, Minist</w:t>
      </w:r>
      <w:r w:rsidR="00E6538B" w:rsidRPr="0071782F">
        <w:rPr>
          <w:lang w:val="fr-CH"/>
        </w:rPr>
        <w:t xml:space="preserve">ère des finances et </w:t>
      </w:r>
      <w:r w:rsidR="009B748C" w:rsidRPr="0071782F">
        <w:rPr>
          <w:lang w:val="fr-CH"/>
        </w:rPr>
        <w:t xml:space="preserve">des </w:t>
      </w:r>
      <w:r w:rsidR="00E6538B" w:rsidRPr="0071782F">
        <w:rPr>
          <w:lang w:val="fr-CH"/>
        </w:rPr>
        <w:t>affaires économiques</w:t>
      </w:r>
      <w:r w:rsidRPr="0071782F">
        <w:rPr>
          <w:lang w:val="fr-CH"/>
        </w:rPr>
        <w:t>, Minist</w:t>
      </w:r>
      <w:r w:rsidR="00E6538B" w:rsidRPr="0071782F">
        <w:rPr>
          <w:lang w:val="fr-CH"/>
        </w:rPr>
        <w:t>ère de l’intérieur</w:t>
      </w:r>
      <w:r w:rsidRPr="0071782F">
        <w:rPr>
          <w:lang w:val="fr-CH"/>
        </w:rPr>
        <w:t>, Minist</w:t>
      </w:r>
      <w:r w:rsidR="00E6538B" w:rsidRPr="0071782F">
        <w:rPr>
          <w:lang w:val="fr-CH"/>
        </w:rPr>
        <w:t>ère des coopé</w:t>
      </w:r>
      <w:r w:rsidRPr="0071782F">
        <w:rPr>
          <w:lang w:val="fr-CH"/>
        </w:rPr>
        <w:t xml:space="preserve">ratives, </w:t>
      </w:r>
      <w:r w:rsidR="00E6538B" w:rsidRPr="0071782F">
        <w:rPr>
          <w:lang w:val="fr-CH"/>
        </w:rPr>
        <w:t>Commission islamique des droits de l'homme</w:t>
      </w:r>
      <w:r w:rsidRPr="0071782F">
        <w:rPr>
          <w:lang w:val="fr-CH"/>
        </w:rPr>
        <w:t xml:space="preserve">, </w:t>
      </w:r>
      <w:r w:rsidR="00E6538B" w:rsidRPr="0071782F">
        <w:rPr>
          <w:lang w:val="fr-CH"/>
        </w:rPr>
        <w:t>Comité de secours Imam Khomeini</w:t>
      </w:r>
      <w:r w:rsidRPr="0071782F">
        <w:rPr>
          <w:lang w:val="fr-CH"/>
        </w:rPr>
        <w:t xml:space="preserve">, </w:t>
      </w:r>
      <w:r w:rsidR="00E6538B" w:rsidRPr="0071782F">
        <w:rPr>
          <w:lang w:val="fr-CH"/>
        </w:rPr>
        <w:t>Mouvement pour l’alphabétisation</w:t>
      </w:r>
      <w:r w:rsidRPr="0071782F">
        <w:rPr>
          <w:lang w:val="fr-CH"/>
        </w:rPr>
        <w:t xml:space="preserve">, </w:t>
      </w:r>
      <w:r w:rsidR="00E6538B" w:rsidRPr="0071782F">
        <w:rPr>
          <w:lang w:val="fr-CH"/>
        </w:rPr>
        <w:t>Organisation de la sécurité sociale</w:t>
      </w:r>
      <w:r w:rsidRPr="0071782F">
        <w:rPr>
          <w:lang w:val="fr-CH"/>
        </w:rPr>
        <w:t xml:space="preserve">, </w:t>
      </w:r>
      <w:r w:rsidR="00E6538B" w:rsidRPr="0071782F">
        <w:rPr>
          <w:lang w:val="fr-CH"/>
        </w:rPr>
        <w:t>Organisation publique de protection sociale</w:t>
      </w:r>
      <w:r w:rsidRPr="0071782F">
        <w:rPr>
          <w:lang w:val="fr-CH"/>
        </w:rPr>
        <w:t xml:space="preserve">, </w:t>
      </w:r>
      <w:r w:rsidR="00E6538B" w:rsidRPr="0071782F">
        <w:rPr>
          <w:lang w:val="fr-CH"/>
        </w:rPr>
        <w:t xml:space="preserve">Centre pour les affaires familiales et féminines </w:t>
      </w:r>
      <w:r w:rsidR="007B1FF1" w:rsidRPr="0071782F">
        <w:rPr>
          <w:lang w:val="fr-CH"/>
        </w:rPr>
        <w:t xml:space="preserve">du </w:t>
      </w:r>
      <w:r w:rsidR="008B5333" w:rsidRPr="0071782F">
        <w:rPr>
          <w:lang w:val="fr-CH"/>
        </w:rPr>
        <w:t>Bureau</w:t>
      </w:r>
      <w:r w:rsidR="007B1FF1" w:rsidRPr="0071782F">
        <w:rPr>
          <w:lang w:val="fr-CH"/>
        </w:rPr>
        <w:t xml:space="preserve"> </w:t>
      </w:r>
      <w:r w:rsidR="00E6538B" w:rsidRPr="0071782F">
        <w:rPr>
          <w:lang w:val="fr-CH"/>
        </w:rPr>
        <w:t>de la Présidence</w:t>
      </w:r>
      <w:r w:rsidRPr="0071782F">
        <w:rPr>
          <w:lang w:val="fr-CH"/>
        </w:rPr>
        <w:t xml:space="preserve">, </w:t>
      </w:r>
      <w:r w:rsidR="00E6538B" w:rsidRPr="0071782F">
        <w:rPr>
          <w:lang w:val="fr-CH"/>
        </w:rPr>
        <w:t>appareil judiciaire</w:t>
      </w:r>
      <w:r w:rsidRPr="0071782F">
        <w:rPr>
          <w:lang w:val="fr-CH"/>
        </w:rPr>
        <w:t xml:space="preserve">, </w:t>
      </w:r>
      <w:r w:rsidR="00E6538B" w:rsidRPr="0071782F">
        <w:rPr>
          <w:lang w:val="fr-CH"/>
        </w:rPr>
        <w:t>Parlement</w:t>
      </w:r>
      <w:r w:rsidRPr="0071782F">
        <w:rPr>
          <w:lang w:val="fr-CH"/>
        </w:rPr>
        <w:t xml:space="preserve">, </w:t>
      </w:r>
      <w:r w:rsidR="00E6538B" w:rsidRPr="0071782F">
        <w:rPr>
          <w:lang w:val="fr-CH"/>
        </w:rPr>
        <w:t xml:space="preserve">Centre public de statistiques, Direction de la planification et du contrôle stratégiques de la Présidence </w:t>
      </w:r>
      <w:r w:rsidRPr="0071782F">
        <w:rPr>
          <w:lang w:val="fr-CH"/>
        </w:rPr>
        <w:t>(</w:t>
      </w:r>
      <w:r w:rsidR="00E6538B" w:rsidRPr="0071782F">
        <w:rPr>
          <w:lang w:val="fr-CH"/>
        </w:rPr>
        <w:t>ex-Organis</w:t>
      </w:r>
      <w:r w:rsidR="009B748C" w:rsidRPr="0071782F">
        <w:rPr>
          <w:lang w:val="fr-CH"/>
        </w:rPr>
        <w:t>me public</w:t>
      </w:r>
      <w:r w:rsidR="00E6538B" w:rsidRPr="0071782F">
        <w:rPr>
          <w:lang w:val="fr-CH"/>
        </w:rPr>
        <w:t xml:space="preserve"> de gestion et de planification</w:t>
      </w:r>
      <w:r w:rsidRPr="0071782F">
        <w:rPr>
          <w:lang w:val="fr-CH"/>
        </w:rPr>
        <w:t xml:space="preserve">), </w:t>
      </w:r>
      <w:r w:rsidR="00E6538B" w:rsidRPr="0071782F">
        <w:rPr>
          <w:lang w:val="fr-CH"/>
        </w:rPr>
        <w:t>Fondation de la Révolution islamique pour le logement</w:t>
      </w:r>
      <w:r w:rsidRPr="0071782F">
        <w:rPr>
          <w:lang w:val="fr-CH"/>
        </w:rPr>
        <w:t xml:space="preserve">, </w:t>
      </w:r>
      <w:r w:rsidR="00E6538B" w:rsidRPr="0071782F">
        <w:rPr>
          <w:lang w:val="fr-CH"/>
        </w:rPr>
        <w:t xml:space="preserve">Centre pour les régions </w:t>
      </w:r>
      <w:r w:rsidR="007B1FF1" w:rsidRPr="0071782F">
        <w:rPr>
          <w:lang w:val="fr-CH"/>
        </w:rPr>
        <w:t xml:space="preserve">défavorisées du </w:t>
      </w:r>
      <w:r w:rsidR="008B5333" w:rsidRPr="0071782F">
        <w:rPr>
          <w:lang w:val="fr-CH"/>
        </w:rPr>
        <w:t>Bureau</w:t>
      </w:r>
      <w:r w:rsidR="007B1FF1" w:rsidRPr="0071782F">
        <w:rPr>
          <w:lang w:val="fr-CH"/>
        </w:rPr>
        <w:t xml:space="preserve"> </w:t>
      </w:r>
      <w:r w:rsidR="00E6538B" w:rsidRPr="0071782F">
        <w:rPr>
          <w:lang w:val="fr-CH"/>
        </w:rPr>
        <w:t>de la Présidence et</w:t>
      </w:r>
      <w:r w:rsidRPr="0071782F">
        <w:rPr>
          <w:lang w:val="fr-CH"/>
        </w:rPr>
        <w:t xml:space="preserve"> </w:t>
      </w:r>
      <w:r w:rsidR="007B1FF1" w:rsidRPr="0071782F">
        <w:rPr>
          <w:lang w:val="fr-CH"/>
        </w:rPr>
        <w:t xml:space="preserve">Banque </w:t>
      </w:r>
      <w:r w:rsidRPr="0071782F">
        <w:rPr>
          <w:lang w:val="fr-CH"/>
        </w:rPr>
        <w:t>Maskan (</w:t>
      </w:r>
      <w:r w:rsidR="00E6538B" w:rsidRPr="0071782F">
        <w:rPr>
          <w:lang w:val="fr-CH"/>
        </w:rPr>
        <w:t>logement</w:t>
      </w:r>
      <w:r w:rsidRPr="0071782F">
        <w:rPr>
          <w:lang w:val="fr-CH"/>
        </w:rPr>
        <w:t>).</w:t>
      </w:r>
    </w:p>
    <w:p w:rsidR="00177D28" w:rsidRPr="0071782F" w:rsidRDefault="00177D28" w:rsidP="007B1FF1">
      <w:pPr>
        <w:pStyle w:val="SingleTxtG"/>
        <w:ind w:left="1701"/>
        <w:rPr>
          <w:lang w:val="fr-CH"/>
        </w:rPr>
      </w:pPr>
      <w:r w:rsidRPr="0071782F">
        <w:rPr>
          <w:lang w:val="fr-CH"/>
        </w:rPr>
        <w:t>2.1</w:t>
      </w:r>
      <w:r w:rsidR="00AB0C1F" w:rsidRPr="0071782F">
        <w:rPr>
          <w:lang w:val="fr-CH"/>
        </w:rPr>
        <w:t>.</w:t>
      </w:r>
      <w:r w:rsidRPr="0071782F">
        <w:rPr>
          <w:lang w:val="fr-CH"/>
        </w:rPr>
        <w:tab/>
      </w:r>
      <w:r w:rsidR="00E6538B" w:rsidRPr="0071782F">
        <w:rPr>
          <w:lang w:val="fr-CH"/>
        </w:rPr>
        <w:t xml:space="preserve">Certains professeurs d’université et militants des droits de l'homme ont également assisté aux séances du </w:t>
      </w:r>
      <w:r w:rsidR="007B1FF1" w:rsidRPr="0071782F">
        <w:rPr>
          <w:lang w:val="fr-CH"/>
        </w:rPr>
        <w:t>C</w:t>
      </w:r>
      <w:r w:rsidR="00E6538B" w:rsidRPr="0071782F">
        <w:rPr>
          <w:lang w:val="fr-CH"/>
        </w:rPr>
        <w:t>omité</w:t>
      </w:r>
      <w:r w:rsidRPr="0071782F">
        <w:rPr>
          <w:lang w:val="fr-CH"/>
        </w:rPr>
        <w:t xml:space="preserve">. </w:t>
      </w:r>
      <w:r w:rsidR="00E6538B" w:rsidRPr="0071782F">
        <w:rPr>
          <w:lang w:val="fr-CH"/>
        </w:rPr>
        <w:t xml:space="preserve">Celui-ci a tenu un certain nombre de séances au cours desquelles les représentants de ministères et </w:t>
      </w:r>
      <w:r w:rsidR="007B1FF1" w:rsidRPr="0071782F">
        <w:rPr>
          <w:lang w:val="fr-CH"/>
        </w:rPr>
        <w:t>d’</w:t>
      </w:r>
      <w:r w:rsidRPr="0071782F">
        <w:rPr>
          <w:lang w:val="fr-CH"/>
        </w:rPr>
        <w:t xml:space="preserve">institutions </w:t>
      </w:r>
      <w:r w:rsidR="00E6538B" w:rsidRPr="0071782F">
        <w:rPr>
          <w:lang w:val="fr-CH"/>
        </w:rPr>
        <w:t>ont présenté les rapports sur les activités menées par ces derniers dans leurs domaines respectifs, rapports qui ont ensuite fait l’objet d’un débat approfondi</w:t>
      </w:r>
      <w:r w:rsidRPr="0071782F">
        <w:rPr>
          <w:lang w:val="fr-CH"/>
        </w:rPr>
        <w:t xml:space="preserve">. </w:t>
      </w:r>
    </w:p>
    <w:p w:rsidR="00177D28" w:rsidRPr="0071782F" w:rsidRDefault="00177D28" w:rsidP="00177D28">
      <w:pPr>
        <w:pStyle w:val="H1G"/>
        <w:rPr>
          <w:lang w:val="fr-CH"/>
        </w:rPr>
      </w:pPr>
      <w:r w:rsidRPr="0071782F">
        <w:rPr>
          <w:lang w:val="fr-CH"/>
        </w:rPr>
        <w:tab/>
      </w:r>
      <w:r w:rsidRPr="0071782F">
        <w:rPr>
          <w:lang w:val="fr-CH"/>
        </w:rPr>
        <w:tab/>
      </w:r>
      <w:r w:rsidR="00E6538B" w:rsidRPr="0071782F">
        <w:rPr>
          <w:lang w:val="fr-CH"/>
        </w:rPr>
        <w:t xml:space="preserve">Établissement du rapport de pays sur l’application du Pacte </w:t>
      </w:r>
    </w:p>
    <w:p w:rsidR="00177D28" w:rsidRPr="0071782F" w:rsidRDefault="00177D28" w:rsidP="007B1FF1">
      <w:pPr>
        <w:pStyle w:val="SingleTxtG"/>
        <w:rPr>
          <w:lang w:val="fr-CH"/>
        </w:rPr>
      </w:pPr>
      <w:r w:rsidRPr="0071782F">
        <w:rPr>
          <w:lang w:val="fr-CH"/>
        </w:rPr>
        <w:t>3.</w:t>
      </w:r>
      <w:r w:rsidRPr="0071782F">
        <w:rPr>
          <w:lang w:val="fr-CH"/>
        </w:rPr>
        <w:tab/>
      </w:r>
      <w:r w:rsidR="00E6538B" w:rsidRPr="0071782F">
        <w:rPr>
          <w:lang w:val="fr-CH"/>
        </w:rPr>
        <w:t xml:space="preserve">Il a été tenu compte des directives de l’Organisation des Nations Unies </w:t>
      </w:r>
      <w:r w:rsidR="007B1FF1" w:rsidRPr="0071782F">
        <w:rPr>
          <w:lang w:val="fr-CH"/>
        </w:rPr>
        <w:t xml:space="preserve">lors de </w:t>
      </w:r>
      <w:r w:rsidR="00E6538B" w:rsidRPr="0071782F">
        <w:rPr>
          <w:lang w:val="fr-CH"/>
        </w:rPr>
        <w:t xml:space="preserve">l’établissement du rapport de pays sur l’application du Pacte. C’est ainsi que, conformément au modèle de l’ONU, chaque section du rapport est consacrée à un </w:t>
      </w:r>
      <w:r w:rsidR="003F25A2">
        <w:rPr>
          <w:lang w:val="fr-CH"/>
        </w:rPr>
        <w:t xml:space="preserve">article </w:t>
      </w:r>
      <w:r w:rsidR="00E6538B" w:rsidRPr="0071782F">
        <w:rPr>
          <w:lang w:val="fr-CH"/>
        </w:rPr>
        <w:t xml:space="preserve">du Pacte. Toutes les </w:t>
      </w:r>
      <w:r w:rsidRPr="0071782F">
        <w:rPr>
          <w:lang w:val="fr-CH"/>
        </w:rPr>
        <w:t>section</w:t>
      </w:r>
      <w:r w:rsidR="00E6538B" w:rsidRPr="0071782F">
        <w:rPr>
          <w:lang w:val="fr-CH"/>
        </w:rPr>
        <w:t>s</w:t>
      </w:r>
      <w:r w:rsidRPr="0071782F">
        <w:rPr>
          <w:lang w:val="fr-CH"/>
        </w:rPr>
        <w:t xml:space="preserve"> </w:t>
      </w:r>
      <w:r w:rsidR="00E6538B" w:rsidRPr="0071782F">
        <w:rPr>
          <w:lang w:val="fr-CH"/>
        </w:rPr>
        <w:t xml:space="preserve">s’ouvrent sur une brève introduction qui énonce le contenu de la section considérée et évoque les </w:t>
      </w:r>
      <w:r w:rsidR="005D4568" w:rsidRPr="0071782F">
        <w:rPr>
          <w:lang w:val="fr-CH"/>
        </w:rPr>
        <w:t xml:space="preserve">articles </w:t>
      </w:r>
      <w:r w:rsidR="00E6538B" w:rsidRPr="0071782F">
        <w:rPr>
          <w:lang w:val="fr-CH"/>
        </w:rPr>
        <w:t xml:space="preserve">de la Constitution de la </w:t>
      </w:r>
      <w:r w:rsidRPr="0071782F">
        <w:rPr>
          <w:lang w:val="fr-CH"/>
        </w:rPr>
        <w:t>R</w:t>
      </w:r>
      <w:r w:rsidR="00E6538B" w:rsidRPr="0071782F">
        <w:rPr>
          <w:lang w:val="fr-CH"/>
        </w:rPr>
        <w:t>é</w:t>
      </w:r>
      <w:r w:rsidRPr="0071782F">
        <w:rPr>
          <w:lang w:val="fr-CH"/>
        </w:rPr>
        <w:t>publi</w:t>
      </w:r>
      <w:r w:rsidR="00E6538B" w:rsidRPr="0071782F">
        <w:rPr>
          <w:lang w:val="fr-CH"/>
        </w:rPr>
        <w:t>que islamique d’</w:t>
      </w:r>
      <w:r w:rsidRPr="0071782F">
        <w:rPr>
          <w:lang w:val="fr-CH"/>
        </w:rPr>
        <w:t xml:space="preserve">Iran </w:t>
      </w:r>
      <w:r w:rsidR="00E6538B" w:rsidRPr="0071782F">
        <w:rPr>
          <w:lang w:val="fr-CH"/>
        </w:rPr>
        <w:t xml:space="preserve">qui s’y rapportent ainsi que les règles et règlements du troisième plan de développement du pays qui concernent chaque </w:t>
      </w:r>
      <w:r w:rsidR="007464B9">
        <w:rPr>
          <w:lang w:val="fr-CH"/>
        </w:rPr>
        <w:t xml:space="preserve">article </w:t>
      </w:r>
      <w:r w:rsidR="00E6538B" w:rsidRPr="0071782F">
        <w:rPr>
          <w:lang w:val="fr-CH"/>
        </w:rPr>
        <w:t xml:space="preserve">ou thème traité. Sont ensuite présentées les activités menées par chaque ministère ou organisation locale pour donner effet aux dispositions de </w:t>
      </w:r>
      <w:r w:rsidR="00723F2B" w:rsidRPr="0071782F">
        <w:rPr>
          <w:lang w:val="fr-CH"/>
        </w:rPr>
        <w:t>l’</w:t>
      </w:r>
      <w:r w:rsidR="00943A69" w:rsidRPr="0071782F">
        <w:rPr>
          <w:lang w:val="fr-CH"/>
        </w:rPr>
        <w:t>article</w:t>
      </w:r>
      <w:r w:rsidR="005D4568" w:rsidRPr="0071782F">
        <w:rPr>
          <w:lang w:val="fr-CH"/>
        </w:rPr>
        <w:t xml:space="preserve"> </w:t>
      </w:r>
      <w:r w:rsidR="00E6538B" w:rsidRPr="0071782F">
        <w:rPr>
          <w:lang w:val="fr-CH"/>
        </w:rPr>
        <w:t>en question.</w:t>
      </w:r>
      <w:r w:rsidRPr="0071782F">
        <w:rPr>
          <w:lang w:val="fr-CH"/>
        </w:rPr>
        <w:t xml:space="preserve"> </w:t>
      </w:r>
    </w:p>
    <w:p w:rsidR="00177D28" w:rsidRPr="0071782F" w:rsidRDefault="00177D28" w:rsidP="00972AC7">
      <w:pPr>
        <w:pStyle w:val="SingleTxtG"/>
        <w:ind w:left="1701"/>
        <w:rPr>
          <w:lang w:val="fr-CH"/>
        </w:rPr>
      </w:pPr>
      <w:r w:rsidRPr="0071782F">
        <w:rPr>
          <w:lang w:val="fr-CH"/>
        </w:rPr>
        <w:t>3.1</w:t>
      </w:r>
      <w:r w:rsidR="00AB0C1F" w:rsidRPr="0071782F">
        <w:rPr>
          <w:lang w:val="fr-CH"/>
        </w:rPr>
        <w:t>.</w:t>
      </w:r>
      <w:r w:rsidRPr="0071782F">
        <w:rPr>
          <w:lang w:val="fr-CH"/>
        </w:rPr>
        <w:tab/>
      </w:r>
      <w:r w:rsidR="00477121" w:rsidRPr="0071782F">
        <w:rPr>
          <w:lang w:val="fr-CH"/>
        </w:rPr>
        <w:t xml:space="preserve">Le </w:t>
      </w:r>
      <w:r w:rsidRPr="0071782F">
        <w:rPr>
          <w:lang w:val="fr-CH"/>
        </w:rPr>
        <w:t>pr</w:t>
      </w:r>
      <w:r w:rsidR="00477121" w:rsidRPr="0071782F">
        <w:rPr>
          <w:lang w:val="fr-CH"/>
        </w:rPr>
        <w:t>é</w:t>
      </w:r>
      <w:r w:rsidRPr="0071782F">
        <w:rPr>
          <w:lang w:val="fr-CH"/>
        </w:rPr>
        <w:t>sent r</w:t>
      </w:r>
      <w:r w:rsidR="00477121" w:rsidRPr="0071782F">
        <w:rPr>
          <w:lang w:val="fr-CH"/>
        </w:rPr>
        <w:t>apport, qui décrit les activités et mesures destinées à concrétiser les droits que consacre le Pacte, porte pour l’essentiel sur la décennie écoulée et plus particulièrement les cinq dernières années.</w:t>
      </w:r>
      <w:r w:rsidR="00D36718">
        <w:rPr>
          <w:lang w:val="fr-CH"/>
        </w:rPr>
        <w:t xml:space="preserve"> </w:t>
      </w:r>
    </w:p>
    <w:p w:rsidR="00177D28" w:rsidRPr="0071782F" w:rsidRDefault="00177D28" w:rsidP="007B1FF1">
      <w:pPr>
        <w:pStyle w:val="SingleTxtG"/>
        <w:ind w:left="1701"/>
        <w:rPr>
          <w:lang w:val="fr-CH"/>
        </w:rPr>
      </w:pPr>
      <w:r w:rsidRPr="0071782F">
        <w:rPr>
          <w:lang w:val="fr-CH"/>
        </w:rPr>
        <w:t>3.2</w:t>
      </w:r>
      <w:r w:rsidR="00AB0C1F" w:rsidRPr="0071782F">
        <w:rPr>
          <w:lang w:val="fr-CH"/>
        </w:rPr>
        <w:t>.</w:t>
      </w:r>
      <w:r w:rsidRPr="0071782F">
        <w:rPr>
          <w:lang w:val="fr-CH"/>
        </w:rPr>
        <w:tab/>
      </w:r>
      <w:r w:rsidR="00477121" w:rsidRPr="0071782F">
        <w:rPr>
          <w:lang w:val="fr-CH"/>
        </w:rPr>
        <w:t>La période considérée est d’autan</w:t>
      </w:r>
      <w:r w:rsidR="009B748C" w:rsidRPr="0071782F">
        <w:rPr>
          <w:lang w:val="fr-CH"/>
        </w:rPr>
        <w:t xml:space="preserve">t plus importante que le </w:t>
      </w:r>
      <w:r w:rsidR="007B1FF1" w:rsidRPr="0071782F">
        <w:rPr>
          <w:lang w:val="fr-CH"/>
        </w:rPr>
        <w:t>G</w:t>
      </w:r>
      <w:r w:rsidR="00477121" w:rsidRPr="0071782F">
        <w:rPr>
          <w:lang w:val="fr-CH"/>
        </w:rPr>
        <w:t xml:space="preserve">ouvernement a non seulement </w:t>
      </w:r>
      <w:r w:rsidR="00C45E1E" w:rsidRPr="0071782F">
        <w:rPr>
          <w:lang w:val="fr-CH"/>
        </w:rPr>
        <w:t xml:space="preserve">poursuivi l’exécution des plans de </w:t>
      </w:r>
      <w:r w:rsidRPr="0071782F">
        <w:rPr>
          <w:lang w:val="fr-CH"/>
        </w:rPr>
        <w:t xml:space="preserve">reconstruction </w:t>
      </w:r>
      <w:r w:rsidR="00C45E1E" w:rsidRPr="0071782F">
        <w:rPr>
          <w:lang w:val="fr-CH"/>
        </w:rPr>
        <w:t xml:space="preserve">du pays après huit années d’une guerre qui avait été imposée à celui-ci, mais </w:t>
      </w:r>
      <w:r w:rsidR="007B1FF1" w:rsidRPr="0071782F">
        <w:rPr>
          <w:lang w:val="fr-CH"/>
        </w:rPr>
        <w:t xml:space="preserve">a </w:t>
      </w:r>
      <w:r w:rsidR="00C45E1E" w:rsidRPr="0071782F">
        <w:rPr>
          <w:lang w:val="fr-CH"/>
        </w:rPr>
        <w:t>aussi exécuté les programmes de développement socioéconomique et culturel inscrits dans le quatrième plan quinquennal de développement économique, s</w:t>
      </w:r>
      <w:r w:rsidRPr="0071782F">
        <w:rPr>
          <w:lang w:val="fr-CH"/>
        </w:rPr>
        <w:t xml:space="preserve">ocial </w:t>
      </w:r>
      <w:r w:rsidR="00C45E1E" w:rsidRPr="0071782F">
        <w:rPr>
          <w:lang w:val="fr-CH"/>
        </w:rPr>
        <w:t>et</w:t>
      </w:r>
      <w:r w:rsidRPr="0071782F">
        <w:rPr>
          <w:lang w:val="fr-CH"/>
        </w:rPr>
        <w:t xml:space="preserve"> </w:t>
      </w:r>
      <w:r w:rsidR="00C45E1E" w:rsidRPr="0071782F">
        <w:rPr>
          <w:lang w:val="fr-CH"/>
        </w:rPr>
        <w:t>c</w:t>
      </w:r>
      <w:r w:rsidRPr="0071782F">
        <w:rPr>
          <w:lang w:val="fr-CH"/>
        </w:rPr>
        <w:t>ultur</w:t>
      </w:r>
      <w:r w:rsidR="00C45E1E" w:rsidRPr="0071782F">
        <w:rPr>
          <w:lang w:val="fr-CH"/>
        </w:rPr>
        <w:t>e</w:t>
      </w:r>
      <w:r w:rsidRPr="0071782F">
        <w:rPr>
          <w:lang w:val="fr-CH"/>
        </w:rPr>
        <w:t xml:space="preserve">l </w:t>
      </w:r>
      <w:r w:rsidR="00C45E1E" w:rsidRPr="0071782F">
        <w:rPr>
          <w:lang w:val="fr-CH"/>
        </w:rPr>
        <w:t>du pays</w:t>
      </w:r>
      <w:r w:rsidRPr="0071782F">
        <w:rPr>
          <w:lang w:val="fr-CH"/>
        </w:rPr>
        <w:t xml:space="preserve">. </w:t>
      </w:r>
      <w:r w:rsidR="00C45E1E" w:rsidRPr="0071782F">
        <w:rPr>
          <w:lang w:val="fr-CH"/>
        </w:rPr>
        <w:t>De surcroît, au cours de la période considérée, le Plan stratégique sur vingt</w:t>
      </w:r>
      <w:r w:rsidR="00D82C96" w:rsidRPr="0071782F">
        <w:rPr>
          <w:lang w:val="fr-CH"/>
        </w:rPr>
        <w:t> ans</w:t>
      </w:r>
      <w:r w:rsidR="00C45E1E" w:rsidRPr="0071782F">
        <w:rPr>
          <w:lang w:val="fr-CH"/>
        </w:rPr>
        <w:t xml:space="preserve"> pour le développement du pays d’ici à 2025 a été rédigé et adopté, et le </w:t>
      </w:r>
      <w:r w:rsidR="007B1FF1" w:rsidRPr="0071782F">
        <w:rPr>
          <w:lang w:val="fr-CH"/>
        </w:rPr>
        <w:t>G</w:t>
      </w:r>
      <w:r w:rsidR="00C45E1E" w:rsidRPr="0071782F">
        <w:rPr>
          <w:lang w:val="fr-CH"/>
        </w:rPr>
        <w:t xml:space="preserve">ouvernement a été chargé de le mettre en </w:t>
      </w:r>
      <w:r w:rsidR="00D5366B" w:rsidRPr="0071782F">
        <w:rPr>
          <w:lang w:val="fr-CH"/>
        </w:rPr>
        <w:t>œuvre</w:t>
      </w:r>
      <w:r w:rsidRPr="0071782F">
        <w:rPr>
          <w:lang w:val="fr-CH"/>
        </w:rPr>
        <w:t xml:space="preserve">. </w:t>
      </w:r>
    </w:p>
    <w:p w:rsidR="00177D28" w:rsidRPr="0071782F" w:rsidRDefault="00177D28" w:rsidP="00972AC7">
      <w:pPr>
        <w:pStyle w:val="SingleTxtG"/>
        <w:ind w:left="1701"/>
        <w:rPr>
          <w:lang w:val="fr-CH"/>
        </w:rPr>
      </w:pPr>
      <w:r w:rsidRPr="0071782F">
        <w:rPr>
          <w:lang w:val="fr-CH"/>
        </w:rPr>
        <w:t>3.3</w:t>
      </w:r>
      <w:r w:rsidR="00AB0C1F" w:rsidRPr="0071782F">
        <w:rPr>
          <w:lang w:val="fr-CH"/>
        </w:rPr>
        <w:t>.</w:t>
      </w:r>
      <w:r w:rsidRPr="0071782F">
        <w:rPr>
          <w:lang w:val="fr-CH"/>
        </w:rPr>
        <w:tab/>
      </w:r>
      <w:r w:rsidR="00C3355E" w:rsidRPr="0071782F">
        <w:rPr>
          <w:lang w:val="fr-CH"/>
        </w:rPr>
        <w:t xml:space="preserve">À quoi il convient d’ajouter l’effort de </w:t>
      </w:r>
      <w:r w:rsidRPr="0071782F">
        <w:rPr>
          <w:lang w:val="fr-CH"/>
        </w:rPr>
        <w:t xml:space="preserve">reconstruction </w:t>
      </w:r>
      <w:r w:rsidR="00C3355E" w:rsidRPr="0071782F">
        <w:rPr>
          <w:lang w:val="fr-CH"/>
        </w:rPr>
        <w:t>et d’indemnisation des dommages causés par des catastrophes naturelles, telles que tremblements de terre et inondations, qui se sont produites pendant la même période et ont lourdement grevé le budget de l’État</w:t>
      </w:r>
      <w:r w:rsidRPr="0071782F">
        <w:rPr>
          <w:lang w:val="fr-CH"/>
        </w:rPr>
        <w:t>.</w:t>
      </w:r>
    </w:p>
    <w:p w:rsidR="00972AC7" w:rsidRPr="0071782F" w:rsidRDefault="00972AC7" w:rsidP="00D5366B">
      <w:pPr>
        <w:pStyle w:val="SingleTxtG"/>
        <w:ind w:left="1701"/>
        <w:rPr>
          <w:lang w:val="fr-CH"/>
        </w:rPr>
      </w:pPr>
      <w:r w:rsidRPr="0071782F">
        <w:rPr>
          <w:lang w:val="fr-CH"/>
        </w:rPr>
        <w:t>3.4</w:t>
      </w:r>
      <w:r w:rsidR="00AB0C1F" w:rsidRPr="0071782F">
        <w:rPr>
          <w:lang w:val="fr-CH"/>
        </w:rPr>
        <w:t>.</w:t>
      </w:r>
      <w:r w:rsidRPr="0071782F">
        <w:rPr>
          <w:lang w:val="fr-CH"/>
        </w:rPr>
        <w:tab/>
      </w:r>
      <w:r w:rsidR="00C3355E" w:rsidRPr="0071782F">
        <w:rPr>
          <w:lang w:val="fr-CH"/>
        </w:rPr>
        <w:t xml:space="preserve">L’accroissement rapide de la </w:t>
      </w:r>
      <w:r w:rsidRPr="0071782F">
        <w:rPr>
          <w:lang w:val="fr-CH"/>
        </w:rPr>
        <w:t xml:space="preserve">population </w:t>
      </w:r>
      <w:r w:rsidR="00C3355E" w:rsidRPr="0071782F">
        <w:rPr>
          <w:lang w:val="fr-CH"/>
        </w:rPr>
        <w:t>pendant la décennie qui a suivi la Révolution islamique a gonflé la pyramide des âges au niveau des jeunes</w:t>
      </w:r>
      <w:r w:rsidRPr="0071782F">
        <w:rPr>
          <w:lang w:val="fr-CH"/>
        </w:rPr>
        <w:t xml:space="preserve">. </w:t>
      </w:r>
      <w:r w:rsidR="00C3355E" w:rsidRPr="0071782F">
        <w:rPr>
          <w:lang w:val="fr-CH"/>
        </w:rPr>
        <w:t xml:space="preserve">Cette </w:t>
      </w:r>
      <w:r w:rsidRPr="0071782F">
        <w:rPr>
          <w:lang w:val="fr-CH"/>
        </w:rPr>
        <w:t xml:space="preserve">explosion </w:t>
      </w:r>
      <w:r w:rsidR="00C3355E" w:rsidRPr="0071782F">
        <w:rPr>
          <w:lang w:val="fr-CH"/>
        </w:rPr>
        <w:t xml:space="preserve">démographique a obligé le </w:t>
      </w:r>
      <w:r w:rsidR="009D647B" w:rsidRPr="0071782F">
        <w:rPr>
          <w:lang w:val="fr-CH"/>
        </w:rPr>
        <w:t>G</w:t>
      </w:r>
      <w:r w:rsidR="00C3355E" w:rsidRPr="0071782F">
        <w:rPr>
          <w:lang w:val="fr-CH"/>
        </w:rPr>
        <w:t>ouvernement à affecter d’énormes capitaux à la satisfaction des besoins fondamentaux de la société.</w:t>
      </w:r>
      <w:r w:rsidRPr="0071782F">
        <w:rPr>
          <w:lang w:val="fr-CH"/>
        </w:rPr>
        <w:t xml:space="preserve"> </w:t>
      </w:r>
    </w:p>
    <w:p w:rsidR="00972AC7" w:rsidRPr="0071782F" w:rsidRDefault="00972AC7" w:rsidP="00972AC7">
      <w:pPr>
        <w:pStyle w:val="SingleTxtG"/>
        <w:ind w:left="1701"/>
        <w:rPr>
          <w:lang w:val="fr-CH"/>
        </w:rPr>
      </w:pPr>
      <w:r w:rsidRPr="0071782F">
        <w:rPr>
          <w:lang w:val="fr-CH"/>
        </w:rPr>
        <w:t>3.5</w:t>
      </w:r>
      <w:r w:rsidR="00AB0C1F" w:rsidRPr="0071782F">
        <w:rPr>
          <w:lang w:val="fr-CH"/>
        </w:rPr>
        <w:t>.</w:t>
      </w:r>
      <w:r w:rsidRPr="0071782F">
        <w:rPr>
          <w:lang w:val="fr-CH"/>
        </w:rPr>
        <w:tab/>
        <w:t>I</w:t>
      </w:r>
      <w:r w:rsidR="00CF6896" w:rsidRPr="0071782F">
        <w:rPr>
          <w:lang w:val="fr-CH"/>
        </w:rPr>
        <w:t xml:space="preserve">l convient d’indiquer qu’en l’espace d’une seule décennie, la population du pays est passée de </w:t>
      </w:r>
      <w:r w:rsidRPr="0071782F">
        <w:rPr>
          <w:lang w:val="fr-CH"/>
        </w:rPr>
        <w:t>61</w:t>
      </w:r>
      <w:r w:rsidR="00097CDB" w:rsidRPr="0071782F">
        <w:rPr>
          <w:lang w:val="fr-CH"/>
        </w:rPr>
        <w:t> millions</w:t>
      </w:r>
      <w:r w:rsidRPr="0071782F">
        <w:rPr>
          <w:lang w:val="fr-CH"/>
        </w:rPr>
        <w:t xml:space="preserve"> </w:t>
      </w:r>
      <w:r w:rsidR="00CF6896" w:rsidRPr="0071782F">
        <w:rPr>
          <w:lang w:val="fr-CH"/>
        </w:rPr>
        <w:t>d’habitants e</w:t>
      </w:r>
      <w:r w:rsidRPr="0071782F">
        <w:rPr>
          <w:lang w:val="fr-CH"/>
        </w:rPr>
        <w:t xml:space="preserve">n 1996 </w:t>
      </w:r>
      <w:r w:rsidR="00CF6896" w:rsidRPr="0071782F">
        <w:rPr>
          <w:lang w:val="fr-CH"/>
        </w:rPr>
        <w:t xml:space="preserve">à plus de </w:t>
      </w:r>
      <w:r w:rsidRPr="0071782F">
        <w:rPr>
          <w:lang w:val="fr-CH"/>
        </w:rPr>
        <w:t>70</w:t>
      </w:r>
      <w:r w:rsidR="00097CDB" w:rsidRPr="0071782F">
        <w:rPr>
          <w:lang w:val="fr-CH"/>
        </w:rPr>
        <w:t> millions</w:t>
      </w:r>
      <w:r w:rsidRPr="0071782F">
        <w:rPr>
          <w:lang w:val="fr-CH"/>
        </w:rPr>
        <w:t xml:space="preserve"> </w:t>
      </w:r>
      <w:r w:rsidR="00CF6896" w:rsidRPr="0071782F">
        <w:rPr>
          <w:lang w:val="fr-CH"/>
        </w:rPr>
        <w:t>e</w:t>
      </w:r>
      <w:r w:rsidRPr="0071782F">
        <w:rPr>
          <w:lang w:val="fr-CH"/>
        </w:rPr>
        <w:t xml:space="preserve">n 2006. </w:t>
      </w:r>
      <w:r w:rsidR="00CF6896" w:rsidRPr="0071782F">
        <w:rPr>
          <w:lang w:val="fr-CH"/>
        </w:rPr>
        <w:t xml:space="preserve">Quant à la répartition par sexe de cette </w:t>
      </w:r>
      <w:r w:rsidRPr="0071782F">
        <w:rPr>
          <w:lang w:val="fr-CH"/>
        </w:rPr>
        <w:t xml:space="preserve">population, </w:t>
      </w:r>
      <w:r w:rsidR="00CF6896" w:rsidRPr="0071782F">
        <w:rPr>
          <w:lang w:val="fr-CH"/>
        </w:rPr>
        <w:t xml:space="preserve">les proportions respectives d’hommes et de femmes sont très proches l’une de l’autre </w:t>
      </w:r>
      <w:r w:rsidRPr="0071782F">
        <w:rPr>
          <w:lang w:val="fr-CH"/>
        </w:rPr>
        <w:t>(36</w:t>
      </w:r>
      <w:r w:rsidR="00097CDB" w:rsidRPr="0071782F">
        <w:rPr>
          <w:lang w:val="fr-CH"/>
        </w:rPr>
        <w:t> millions</w:t>
      </w:r>
      <w:r w:rsidR="00CF6896" w:rsidRPr="0071782F">
        <w:rPr>
          <w:lang w:val="fr-CH"/>
        </w:rPr>
        <w:t xml:space="preserve"> d’hommes </w:t>
      </w:r>
      <w:r w:rsidR="009B748C" w:rsidRPr="0071782F">
        <w:rPr>
          <w:lang w:val="fr-CH"/>
        </w:rPr>
        <w:t xml:space="preserve">et </w:t>
      </w:r>
      <w:r w:rsidRPr="0071782F">
        <w:rPr>
          <w:lang w:val="fr-CH"/>
        </w:rPr>
        <w:t>34</w:t>
      </w:r>
      <w:r w:rsidR="00CF6896" w:rsidRPr="0071782F">
        <w:rPr>
          <w:lang w:val="fr-CH"/>
        </w:rPr>
        <w:t>,</w:t>
      </w:r>
      <w:r w:rsidRPr="0071782F">
        <w:rPr>
          <w:lang w:val="fr-CH"/>
        </w:rPr>
        <w:t>5</w:t>
      </w:r>
      <w:r w:rsidR="00097CDB" w:rsidRPr="0071782F">
        <w:rPr>
          <w:lang w:val="fr-CH"/>
        </w:rPr>
        <w:t> millions</w:t>
      </w:r>
      <w:r w:rsidR="00CF6896" w:rsidRPr="0071782F">
        <w:rPr>
          <w:lang w:val="fr-CH"/>
        </w:rPr>
        <w:t xml:space="preserve"> de femmes</w:t>
      </w:r>
      <w:r w:rsidRPr="0071782F">
        <w:rPr>
          <w:lang w:val="fr-CH"/>
        </w:rPr>
        <w:t>).</w:t>
      </w:r>
    </w:p>
    <w:p w:rsidR="00972AC7" w:rsidRPr="0071782F" w:rsidRDefault="00972AC7" w:rsidP="00972AC7">
      <w:pPr>
        <w:pStyle w:val="SingleTxtG"/>
        <w:ind w:left="1701"/>
        <w:rPr>
          <w:lang w:val="fr-CH"/>
        </w:rPr>
      </w:pPr>
      <w:r w:rsidRPr="0071782F">
        <w:rPr>
          <w:lang w:val="fr-CH"/>
        </w:rPr>
        <w:t>3.1</w:t>
      </w:r>
      <w:r w:rsidR="00AB0C1F" w:rsidRPr="0071782F">
        <w:rPr>
          <w:lang w:val="fr-CH"/>
        </w:rPr>
        <w:t>.</w:t>
      </w:r>
      <w:r w:rsidRPr="0071782F">
        <w:rPr>
          <w:lang w:val="fr-CH"/>
        </w:rPr>
        <w:tab/>
      </w:r>
      <w:r w:rsidR="00CF6896" w:rsidRPr="0071782F">
        <w:rPr>
          <w:lang w:val="fr-CH"/>
        </w:rPr>
        <w:t>E</w:t>
      </w:r>
      <w:r w:rsidRPr="0071782F">
        <w:rPr>
          <w:lang w:val="fr-CH"/>
        </w:rPr>
        <w:t>n 2006, 88</w:t>
      </w:r>
      <w:r w:rsidR="00CF6896" w:rsidRPr="0071782F">
        <w:rPr>
          <w:lang w:val="fr-CH"/>
        </w:rPr>
        <w:t>,</w:t>
      </w:r>
      <w:r w:rsidRPr="0071782F">
        <w:rPr>
          <w:lang w:val="fr-CH"/>
        </w:rPr>
        <w:t>74</w:t>
      </w:r>
      <w:r w:rsidR="007E5125" w:rsidRPr="0071782F">
        <w:rPr>
          <w:lang w:val="fr-CH"/>
        </w:rPr>
        <w:t>%</w:t>
      </w:r>
      <w:r w:rsidRPr="0071782F">
        <w:rPr>
          <w:lang w:val="fr-CH"/>
        </w:rPr>
        <w:t xml:space="preserve"> </w:t>
      </w:r>
      <w:r w:rsidR="00CF6896" w:rsidRPr="0071782F">
        <w:rPr>
          <w:lang w:val="fr-CH"/>
        </w:rPr>
        <w:t>des Iraniens âgés de plus de six</w:t>
      </w:r>
      <w:r w:rsidR="00D82C96" w:rsidRPr="0071782F">
        <w:rPr>
          <w:lang w:val="fr-CH"/>
        </w:rPr>
        <w:t> ans</w:t>
      </w:r>
      <w:r w:rsidR="00CF6896" w:rsidRPr="0071782F">
        <w:rPr>
          <w:lang w:val="fr-CH"/>
        </w:rPr>
        <w:t xml:space="preserve"> étaient alphabétisés</w:t>
      </w:r>
      <w:r w:rsidRPr="0071782F">
        <w:rPr>
          <w:lang w:val="fr-CH"/>
        </w:rPr>
        <w:t>.</w:t>
      </w:r>
    </w:p>
    <w:p w:rsidR="00972AC7" w:rsidRPr="0071782F" w:rsidRDefault="00972AC7" w:rsidP="00972AC7">
      <w:pPr>
        <w:pStyle w:val="SingleTxtG"/>
        <w:ind w:left="1701"/>
        <w:rPr>
          <w:lang w:val="fr-CH"/>
        </w:rPr>
      </w:pPr>
      <w:r w:rsidRPr="0071782F">
        <w:rPr>
          <w:lang w:val="fr-CH"/>
        </w:rPr>
        <w:t>3.2</w:t>
      </w:r>
      <w:r w:rsidR="00AB0C1F" w:rsidRPr="0071782F">
        <w:rPr>
          <w:lang w:val="fr-CH"/>
        </w:rPr>
        <w:t>.</w:t>
      </w:r>
      <w:r w:rsidRPr="0071782F">
        <w:rPr>
          <w:lang w:val="fr-CH"/>
        </w:rPr>
        <w:tab/>
      </w:r>
      <w:r w:rsidR="00CF6896" w:rsidRPr="0071782F">
        <w:rPr>
          <w:lang w:val="fr-CH"/>
        </w:rPr>
        <w:t xml:space="preserve">L’effectif de la population active, qui était d’environ </w:t>
      </w:r>
      <w:r w:rsidRPr="0071782F">
        <w:rPr>
          <w:lang w:val="fr-CH"/>
        </w:rPr>
        <w:t>16</w:t>
      </w:r>
      <w:r w:rsidR="00097CDB" w:rsidRPr="0071782F">
        <w:rPr>
          <w:lang w:val="fr-CH"/>
        </w:rPr>
        <w:t> millions</w:t>
      </w:r>
      <w:r w:rsidRPr="0071782F">
        <w:rPr>
          <w:lang w:val="fr-CH"/>
        </w:rPr>
        <w:t xml:space="preserve"> </w:t>
      </w:r>
      <w:r w:rsidR="00CF6896" w:rsidRPr="0071782F">
        <w:rPr>
          <w:lang w:val="fr-CH"/>
        </w:rPr>
        <w:t>e</w:t>
      </w:r>
      <w:r w:rsidRPr="0071782F">
        <w:rPr>
          <w:lang w:val="fr-CH"/>
        </w:rPr>
        <w:t>n 1996</w:t>
      </w:r>
      <w:r w:rsidR="00CF6896" w:rsidRPr="0071782F">
        <w:rPr>
          <w:lang w:val="fr-CH"/>
        </w:rPr>
        <w:t xml:space="preserve">, est passé </w:t>
      </w:r>
      <w:r w:rsidR="009B748C" w:rsidRPr="0071782F">
        <w:rPr>
          <w:lang w:val="fr-CH"/>
        </w:rPr>
        <w:t xml:space="preserve">à </w:t>
      </w:r>
      <w:r w:rsidRPr="0071782F">
        <w:rPr>
          <w:lang w:val="fr-CH"/>
        </w:rPr>
        <w:t>25</w:t>
      </w:r>
      <w:r w:rsidR="00097CDB" w:rsidRPr="0071782F">
        <w:rPr>
          <w:lang w:val="fr-CH"/>
        </w:rPr>
        <w:t> millions</w:t>
      </w:r>
      <w:r w:rsidRPr="0071782F">
        <w:rPr>
          <w:lang w:val="fr-CH"/>
        </w:rPr>
        <w:t xml:space="preserve"> </w:t>
      </w:r>
      <w:r w:rsidR="00CF6896" w:rsidRPr="0071782F">
        <w:rPr>
          <w:lang w:val="fr-CH"/>
        </w:rPr>
        <w:t>e</w:t>
      </w:r>
      <w:r w:rsidRPr="0071782F">
        <w:rPr>
          <w:lang w:val="fr-CH"/>
        </w:rPr>
        <w:t xml:space="preserve">n 2006. </w:t>
      </w:r>
    </w:p>
    <w:p w:rsidR="00972AC7" w:rsidRPr="0071782F" w:rsidRDefault="00972AC7" w:rsidP="00972AC7">
      <w:pPr>
        <w:pStyle w:val="SingleTxtG"/>
        <w:ind w:left="1701"/>
        <w:rPr>
          <w:lang w:val="fr-CH"/>
        </w:rPr>
      </w:pPr>
      <w:r w:rsidRPr="0071782F">
        <w:rPr>
          <w:lang w:val="fr-CH"/>
        </w:rPr>
        <w:t>3.3</w:t>
      </w:r>
      <w:r w:rsidR="00AB0C1F" w:rsidRPr="0071782F">
        <w:rPr>
          <w:lang w:val="fr-CH"/>
        </w:rPr>
        <w:t>.</w:t>
      </w:r>
      <w:r w:rsidRPr="0071782F">
        <w:rPr>
          <w:lang w:val="fr-CH"/>
        </w:rPr>
        <w:tab/>
      </w:r>
      <w:r w:rsidR="00CF6896" w:rsidRPr="0071782F">
        <w:rPr>
          <w:lang w:val="fr-CH"/>
        </w:rPr>
        <w:t>E</w:t>
      </w:r>
      <w:r w:rsidRPr="0071782F">
        <w:rPr>
          <w:lang w:val="fr-CH"/>
        </w:rPr>
        <w:t>n 2006, 88</w:t>
      </w:r>
      <w:r w:rsidR="00CF6896" w:rsidRPr="0071782F">
        <w:rPr>
          <w:lang w:val="fr-CH"/>
        </w:rPr>
        <w:t>,</w:t>
      </w:r>
      <w:r w:rsidRPr="0071782F">
        <w:rPr>
          <w:lang w:val="fr-CH"/>
        </w:rPr>
        <w:t>18</w:t>
      </w:r>
      <w:r w:rsidR="007E5125" w:rsidRPr="0071782F">
        <w:rPr>
          <w:lang w:val="fr-CH"/>
        </w:rPr>
        <w:t>%</w:t>
      </w:r>
      <w:r w:rsidRPr="0071782F">
        <w:rPr>
          <w:lang w:val="fr-CH"/>
        </w:rPr>
        <w:t xml:space="preserve"> </w:t>
      </w:r>
      <w:r w:rsidR="00CF6896" w:rsidRPr="0071782F">
        <w:rPr>
          <w:lang w:val="fr-CH"/>
        </w:rPr>
        <w:t xml:space="preserve">des actifs âgés de plus de </w:t>
      </w:r>
      <w:r w:rsidRPr="0071782F">
        <w:rPr>
          <w:lang w:val="fr-CH"/>
        </w:rPr>
        <w:t>10</w:t>
      </w:r>
      <w:r w:rsidR="00D82C96" w:rsidRPr="0071782F">
        <w:rPr>
          <w:lang w:val="fr-CH"/>
        </w:rPr>
        <w:t> ans</w:t>
      </w:r>
      <w:r w:rsidR="00CF6896" w:rsidRPr="0071782F">
        <w:rPr>
          <w:lang w:val="fr-CH"/>
        </w:rPr>
        <w:t xml:space="preserve"> exerçaient un emploi</w:t>
      </w:r>
      <w:r w:rsidRPr="0071782F">
        <w:rPr>
          <w:lang w:val="fr-CH"/>
        </w:rPr>
        <w:t xml:space="preserve">. </w:t>
      </w:r>
      <w:r w:rsidR="00CF6896" w:rsidRPr="0071782F">
        <w:rPr>
          <w:lang w:val="fr-CH"/>
        </w:rPr>
        <w:t>Ces chiffres indiquent un accroissement du nombre des nouveaux actifs.</w:t>
      </w:r>
      <w:r w:rsidRPr="0071782F">
        <w:rPr>
          <w:lang w:val="fr-CH"/>
        </w:rPr>
        <w:t xml:space="preserve"> </w:t>
      </w:r>
    </w:p>
    <w:p w:rsidR="00972AC7" w:rsidRPr="0071782F" w:rsidRDefault="00972AC7" w:rsidP="00972AC7">
      <w:pPr>
        <w:pStyle w:val="SingleTxtG"/>
        <w:ind w:left="1701"/>
        <w:rPr>
          <w:lang w:val="fr-CH"/>
        </w:rPr>
      </w:pPr>
      <w:r w:rsidRPr="0071782F">
        <w:rPr>
          <w:lang w:val="fr-CH"/>
        </w:rPr>
        <w:t>3.4</w:t>
      </w:r>
      <w:r w:rsidR="00AB0C1F" w:rsidRPr="0071782F">
        <w:rPr>
          <w:lang w:val="fr-CH"/>
        </w:rPr>
        <w:t>.</w:t>
      </w:r>
      <w:r w:rsidRPr="0071782F">
        <w:rPr>
          <w:lang w:val="fr-CH"/>
        </w:rPr>
        <w:tab/>
      </w:r>
      <w:r w:rsidR="00CF6896" w:rsidRPr="0071782F">
        <w:rPr>
          <w:lang w:val="fr-CH"/>
        </w:rPr>
        <w:t>Le développement de l’enseignement secondaire et supérieur ainsi que de la formation professionnelle et technique a ralenti le rythme de l’entrée des actifs sur le marché du travail, mais l’arrivée chaque année de 800</w:t>
      </w:r>
      <w:r w:rsidR="003F25A2">
        <w:rPr>
          <w:lang w:val="fr-CH"/>
        </w:rPr>
        <w:t> </w:t>
      </w:r>
      <w:r w:rsidRPr="0071782F">
        <w:rPr>
          <w:lang w:val="fr-CH"/>
        </w:rPr>
        <w:t>000</w:t>
      </w:r>
      <w:r w:rsidR="00097CDB" w:rsidRPr="0071782F">
        <w:rPr>
          <w:lang w:val="fr-CH"/>
        </w:rPr>
        <w:t> personnes</w:t>
      </w:r>
      <w:r w:rsidR="00CF6896" w:rsidRPr="0071782F">
        <w:rPr>
          <w:lang w:val="fr-CH"/>
        </w:rPr>
        <w:t xml:space="preserve"> sur </w:t>
      </w:r>
      <w:r w:rsidR="009B748C" w:rsidRPr="0071782F">
        <w:rPr>
          <w:lang w:val="fr-CH"/>
        </w:rPr>
        <w:t>c</w:t>
      </w:r>
      <w:r w:rsidR="00CF6896" w:rsidRPr="0071782F">
        <w:rPr>
          <w:lang w:val="fr-CH"/>
        </w:rPr>
        <w:t>e marché montre bien l’ampleur de l’effort demandé à l’économie nationale, qui doit créer des emplois afin d’absorber un nombre aussi impressionnant de nouveaux demandeurs d’emploi</w:t>
      </w:r>
      <w:r w:rsidRPr="0071782F">
        <w:rPr>
          <w:lang w:val="fr-CH"/>
        </w:rPr>
        <w:t>.</w:t>
      </w:r>
    </w:p>
    <w:p w:rsidR="00972AC7" w:rsidRPr="0071782F" w:rsidRDefault="00972AC7" w:rsidP="00972AC7">
      <w:pPr>
        <w:pStyle w:val="H1G"/>
        <w:rPr>
          <w:lang w:val="fr-CH"/>
        </w:rPr>
      </w:pPr>
      <w:r w:rsidRPr="0071782F">
        <w:rPr>
          <w:lang w:val="fr-CH"/>
        </w:rPr>
        <w:tab/>
      </w:r>
      <w:r w:rsidRPr="0071782F">
        <w:rPr>
          <w:lang w:val="fr-CH"/>
        </w:rPr>
        <w:tab/>
      </w:r>
      <w:r w:rsidR="00CF6896" w:rsidRPr="0071782F">
        <w:rPr>
          <w:lang w:val="fr-CH"/>
        </w:rPr>
        <w:t>Les droits é</w:t>
      </w:r>
      <w:r w:rsidRPr="0071782F">
        <w:rPr>
          <w:lang w:val="fr-CH"/>
        </w:rPr>
        <w:t>conomi</w:t>
      </w:r>
      <w:r w:rsidR="00CF6896" w:rsidRPr="0071782F">
        <w:rPr>
          <w:lang w:val="fr-CH"/>
        </w:rPr>
        <w:t>ques, sociaux et culturels</w:t>
      </w:r>
      <w:r w:rsidRPr="0071782F">
        <w:rPr>
          <w:lang w:val="fr-CH"/>
        </w:rPr>
        <w:t xml:space="preserve"> </w:t>
      </w:r>
      <w:r w:rsidR="00CF6896" w:rsidRPr="0071782F">
        <w:rPr>
          <w:lang w:val="fr-CH"/>
        </w:rPr>
        <w:t xml:space="preserve">dans la </w:t>
      </w:r>
      <w:r w:rsidRPr="0071782F">
        <w:rPr>
          <w:lang w:val="fr-CH"/>
        </w:rPr>
        <w:t xml:space="preserve">Constitution </w:t>
      </w:r>
      <w:r w:rsidR="00CF6896" w:rsidRPr="0071782F">
        <w:rPr>
          <w:lang w:val="fr-CH"/>
        </w:rPr>
        <w:t xml:space="preserve">de la </w:t>
      </w:r>
      <w:r w:rsidRPr="0071782F">
        <w:rPr>
          <w:lang w:val="fr-CH"/>
        </w:rPr>
        <w:t>R</w:t>
      </w:r>
      <w:r w:rsidR="00CF6896" w:rsidRPr="0071782F">
        <w:rPr>
          <w:lang w:val="fr-CH"/>
        </w:rPr>
        <w:t>é</w:t>
      </w:r>
      <w:r w:rsidRPr="0071782F">
        <w:rPr>
          <w:lang w:val="fr-CH"/>
        </w:rPr>
        <w:t>publi</w:t>
      </w:r>
      <w:r w:rsidR="00CF6896" w:rsidRPr="0071782F">
        <w:rPr>
          <w:lang w:val="fr-CH"/>
        </w:rPr>
        <w:t>que islamique d’</w:t>
      </w:r>
      <w:r w:rsidRPr="0071782F">
        <w:rPr>
          <w:lang w:val="fr-CH"/>
        </w:rPr>
        <w:t>Iran</w:t>
      </w:r>
    </w:p>
    <w:p w:rsidR="00972AC7" w:rsidRPr="0071782F" w:rsidRDefault="00972AC7" w:rsidP="00972AC7">
      <w:pPr>
        <w:pStyle w:val="SingleTxtG"/>
        <w:rPr>
          <w:lang w:val="fr-CH"/>
        </w:rPr>
      </w:pPr>
      <w:r w:rsidRPr="0071782F">
        <w:rPr>
          <w:lang w:val="fr-CH"/>
        </w:rPr>
        <w:t>4.</w:t>
      </w:r>
      <w:r w:rsidRPr="0071782F">
        <w:rPr>
          <w:lang w:val="fr-CH"/>
        </w:rPr>
        <w:tab/>
      </w:r>
      <w:r w:rsidR="0022448D" w:rsidRPr="0071782F">
        <w:rPr>
          <w:lang w:val="fr-CH"/>
        </w:rPr>
        <w:t xml:space="preserve">La </w:t>
      </w:r>
      <w:r w:rsidRPr="0071782F">
        <w:rPr>
          <w:lang w:val="fr-CH"/>
        </w:rPr>
        <w:t xml:space="preserve">nature </w:t>
      </w:r>
      <w:r w:rsidR="0022448D" w:rsidRPr="0071782F">
        <w:rPr>
          <w:lang w:val="fr-CH"/>
        </w:rPr>
        <w:t xml:space="preserve">des droits de la population qui relèvent de la catégorie des droits économiques, sociaux et culturels et les obligations du </w:t>
      </w:r>
      <w:r w:rsidR="00921E65" w:rsidRPr="0071782F">
        <w:rPr>
          <w:lang w:val="fr-CH"/>
        </w:rPr>
        <w:t>g</w:t>
      </w:r>
      <w:r w:rsidR="0022448D" w:rsidRPr="0071782F">
        <w:rPr>
          <w:lang w:val="fr-CH"/>
        </w:rPr>
        <w:t xml:space="preserve">ouvernement en ce qui les concerne ont été énoncés dans le troisième chapitre de la </w:t>
      </w:r>
      <w:r w:rsidRPr="0071782F">
        <w:rPr>
          <w:lang w:val="fr-CH"/>
        </w:rPr>
        <w:t>Constitution</w:t>
      </w:r>
      <w:r w:rsidR="0022448D" w:rsidRPr="0071782F">
        <w:rPr>
          <w:lang w:val="fr-CH"/>
        </w:rPr>
        <w:t xml:space="preserve">, intitulé </w:t>
      </w:r>
      <w:r w:rsidR="00A62149" w:rsidRPr="0071782F">
        <w:rPr>
          <w:lang w:val="fr-CH"/>
        </w:rPr>
        <w:t>"</w:t>
      </w:r>
      <w:r w:rsidR="00921E65" w:rsidRPr="0071782F">
        <w:rPr>
          <w:lang w:val="fr-CH"/>
        </w:rPr>
        <w:t>L</w:t>
      </w:r>
      <w:r w:rsidR="0022448D" w:rsidRPr="0071782F">
        <w:rPr>
          <w:lang w:val="fr-CH"/>
        </w:rPr>
        <w:t>es droits de la nation</w:t>
      </w:r>
      <w:r w:rsidR="00A62149" w:rsidRPr="0071782F">
        <w:rPr>
          <w:lang w:val="fr-CH"/>
        </w:rPr>
        <w:t>"</w:t>
      </w:r>
      <w:r w:rsidRPr="0071782F">
        <w:rPr>
          <w:lang w:val="fr-CH"/>
        </w:rPr>
        <w:t xml:space="preserve">. </w:t>
      </w:r>
      <w:r w:rsidR="0022448D" w:rsidRPr="0071782F">
        <w:rPr>
          <w:lang w:val="fr-CH"/>
        </w:rPr>
        <w:t xml:space="preserve">On peut notamment mentionner le droit au travail </w:t>
      </w:r>
      <w:r w:rsidRPr="0071782F">
        <w:rPr>
          <w:lang w:val="fr-CH"/>
        </w:rPr>
        <w:t>(</w:t>
      </w:r>
      <w:r w:rsidR="00097CDB" w:rsidRPr="0071782F">
        <w:rPr>
          <w:lang w:val="fr-CH"/>
        </w:rPr>
        <w:t>art.</w:t>
      </w:r>
      <w:r w:rsidR="00943A69" w:rsidRPr="0071782F">
        <w:rPr>
          <w:lang w:val="fr-CH"/>
        </w:rPr>
        <w:t> </w:t>
      </w:r>
      <w:r w:rsidRPr="0071782F">
        <w:rPr>
          <w:lang w:val="fr-CH"/>
        </w:rPr>
        <w:t xml:space="preserve">28), </w:t>
      </w:r>
      <w:r w:rsidR="0022448D" w:rsidRPr="0071782F">
        <w:rPr>
          <w:lang w:val="fr-CH"/>
        </w:rPr>
        <w:t xml:space="preserve">l’appui aux mères et la </w:t>
      </w:r>
      <w:r w:rsidRPr="0071782F">
        <w:rPr>
          <w:lang w:val="fr-CH"/>
        </w:rPr>
        <w:t xml:space="preserve">protection </w:t>
      </w:r>
      <w:r w:rsidR="0022448D" w:rsidRPr="0071782F">
        <w:rPr>
          <w:lang w:val="fr-CH"/>
        </w:rPr>
        <w:t xml:space="preserve">de </w:t>
      </w:r>
      <w:r w:rsidR="00B71907" w:rsidRPr="0071782F">
        <w:rPr>
          <w:lang w:val="fr-CH"/>
        </w:rPr>
        <w:t>la famille</w:t>
      </w:r>
      <w:r w:rsidR="0022448D" w:rsidRPr="0071782F">
        <w:rPr>
          <w:lang w:val="fr-CH"/>
        </w:rPr>
        <w:t xml:space="preserve"> </w:t>
      </w:r>
      <w:r w:rsidRPr="0071782F">
        <w:rPr>
          <w:lang w:val="fr-CH"/>
        </w:rPr>
        <w:t>(</w:t>
      </w:r>
      <w:r w:rsidR="00097CDB" w:rsidRPr="0071782F">
        <w:rPr>
          <w:lang w:val="fr-CH"/>
        </w:rPr>
        <w:t>art.</w:t>
      </w:r>
      <w:r w:rsidR="003F25A2">
        <w:rPr>
          <w:lang w:val="fr-CH"/>
        </w:rPr>
        <w:t> </w:t>
      </w:r>
      <w:r w:rsidRPr="0071782F">
        <w:rPr>
          <w:lang w:val="fr-CH"/>
        </w:rPr>
        <w:t xml:space="preserve">21), </w:t>
      </w:r>
      <w:r w:rsidR="0022448D" w:rsidRPr="0071782F">
        <w:rPr>
          <w:lang w:val="fr-CH"/>
        </w:rPr>
        <w:t xml:space="preserve">le droit à la sécurité sociale </w:t>
      </w:r>
      <w:r w:rsidRPr="0071782F">
        <w:rPr>
          <w:lang w:val="fr-CH"/>
        </w:rPr>
        <w:t>(</w:t>
      </w:r>
      <w:r w:rsidR="00097CDB" w:rsidRPr="0071782F">
        <w:rPr>
          <w:lang w:val="fr-CH"/>
        </w:rPr>
        <w:t>art.</w:t>
      </w:r>
      <w:r w:rsidR="00943A69" w:rsidRPr="0071782F">
        <w:rPr>
          <w:lang w:val="fr-CH"/>
        </w:rPr>
        <w:t> </w:t>
      </w:r>
      <w:r w:rsidRPr="0071782F">
        <w:rPr>
          <w:lang w:val="fr-CH"/>
        </w:rPr>
        <w:t xml:space="preserve">29), </w:t>
      </w:r>
      <w:r w:rsidR="0022448D" w:rsidRPr="0071782F">
        <w:rPr>
          <w:lang w:val="fr-CH"/>
        </w:rPr>
        <w:t xml:space="preserve">le droit à une éducation gratuite jusqu’à la fin du cycle d’études secondaires </w:t>
      </w:r>
      <w:r w:rsidRPr="0071782F">
        <w:rPr>
          <w:lang w:val="fr-CH"/>
        </w:rPr>
        <w:t>(</w:t>
      </w:r>
      <w:r w:rsidR="00097CDB" w:rsidRPr="0071782F">
        <w:rPr>
          <w:lang w:val="fr-CH"/>
        </w:rPr>
        <w:t>art.</w:t>
      </w:r>
      <w:r w:rsidR="00943A69" w:rsidRPr="0071782F">
        <w:rPr>
          <w:lang w:val="fr-CH"/>
        </w:rPr>
        <w:t> </w:t>
      </w:r>
      <w:r w:rsidRPr="0071782F">
        <w:rPr>
          <w:lang w:val="fr-CH"/>
        </w:rPr>
        <w:t xml:space="preserve">30) </w:t>
      </w:r>
      <w:r w:rsidR="0022448D" w:rsidRPr="0071782F">
        <w:rPr>
          <w:lang w:val="fr-CH"/>
        </w:rPr>
        <w:t xml:space="preserve">et le droit à un logement décent </w:t>
      </w:r>
      <w:r w:rsidRPr="0071782F">
        <w:rPr>
          <w:lang w:val="fr-CH"/>
        </w:rPr>
        <w:t>(</w:t>
      </w:r>
      <w:r w:rsidR="00097CDB" w:rsidRPr="0071782F">
        <w:rPr>
          <w:lang w:val="fr-CH"/>
        </w:rPr>
        <w:t>art. </w:t>
      </w:r>
      <w:r w:rsidRPr="0071782F">
        <w:rPr>
          <w:lang w:val="fr-CH"/>
        </w:rPr>
        <w:t xml:space="preserve">31). </w:t>
      </w:r>
    </w:p>
    <w:p w:rsidR="00972AC7" w:rsidRPr="0071782F" w:rsidRDefault="00972AC7" w:rsidP="00972AC7">
      <w:pPr>
        <w:pStyle w:val="SingleTxtG"/>
        <w:ind w:left="1701"/>
        <w:rPr>
          <w:lang w:val="fr-CH"/>
        </w:rPr>
      </w:pPr>
      <w:r w:rsidRPr="0071782F">
        <w:rPr>
          <w:lang w:val="fr-CH"/>
        </w:rPr>
        <w:t>4.1</w:t>
      </w:r>
      <w:r w:rsidR="00AB0C1F" w:rsidRPr="0071782F">
        <w:rPr>
          <w:lang w:val="fr-CH"/>
        </w:rPr>
        <w:t>.</w:t>
      </w:r>
      <w:r w:rsidRPr="0071782F">
        <w:rPr>
          <w:lang w:val="fr-CH"/>
        </w:rPr>
        <w:tab/>
      </w:r>
      <w:r w:rsidR="006E1E53" w:rsidRPr="0071782F">
        <w:rPr>
          <w:lang w:val="fr-CH"/>
        </w:rPr>
        <w:t xml:space="preserve">De surcroît, </w:t>
      </w:r>
      <w:r w:rsidR="00723F2B" w:rsidRPr="0071782F">
        <w:rPr>
          <w:lang w:val="fr-CH"/>
        </w:rPr>
        <w:t>l’</w:t>
      </w:r>
      <w:r w:rsidR="00943A69" w:rsidRPr="0071782F">
        <w:rPr>
          <w:lang w:val="fr-CH"/>
        </w:rPr>
        <w:t>article </w:t>
      </w:r>
      <w:r w:rsidRPr="0071782F">
        <w:rPr>
          <w:lang w:val="fr-CH"/>
        </w:rPr>
        <w:t>43 (</w:t>
      </w:r>
      <w:r w:rsidR="006E1E53" w:rsidRPr="0071782F">
        <w:rPr>
          <w:lang w:val="fr-CH"/>
        </w:rPr>
        <w:t>figurant dans le chapitre</w:t>
      </w:r>
      <w:r w:rsidR="00B07302">
        <w:rPr>
          <w:lang w:val="fr-CH"/>
        </w:rPr>
        <w:t> </w:t>
      </w:r>
      <w:r w:rsidR="006E1E53" w:rsidRPr="0071782F">
        <w:rPr>
          <w:lang w:val="fr-CH"/>
        </w:rPr>
        <w:t>4 relatif aux affaires économiques et financières</w:t>
      </w:r>
      <w:r w:rsidRPr="0071782F">
        <w:rPr>
          <w:lang w:val="fr-CH"/>
        </w:rPr>
        <w:t xml:space="preserve">) </w:t>
      </w:r>
      <w:r w:rsidR="006E1E53" w:rsidRPr="0071782F">
        <w:rPr>
          <w:lang w:val="fr-CH"/>
        </w:rPr>
        <w:t xml:space="preserve">prévoit </w:t>
      </w:r>
      <w:r w:rsidR="000B34B7" w:rsidRPr="0071782F">
        <w:rPr>
          <w:lang w:val="fr-CH"/>
        </w:rPr>
        <w:t>la prise en charge des</w:t>
      </w:r>
      <w:r w:rsidR="006E1E53" w:rsidRPr="0071782F">
        <w:rPr>
          <w:lang w:val="fr-CH"/>
        </w:rPr>
        <w:t xml:space="preserve"> besoins essentiels, tels que le logement, la nourriture, l’habillement, l’assainissement, les soins de santé, l’éducation et les moyens nécessaires pour fonder </w:t>
      </w:r>
      <w:r w:rsidR="001F3F05" w:rsidRPr="0071782F">
        <w:rPr>
          <w:lang w:val="fr-CH"/>
        </w:rPr>
        <w:t>une famille</w:t>
      </w:r>
      <w:r w:rsidR="006E1E53" w:rsidRPr="0071782F">
        <w:rPr>
          <w:lang w:val="fr-CH"/>
        </w:rPr>
        <w:t xml:space="preserve">, de même que </w:t>
      </w:r>
      <w:r w:rsidR="00A62149" w:rsidRPr="0071782F">
        <w:rPr>
          <w:lang w:val="fr-CH"/>
        </w:rPr>
        <w:t>"</w:t>
      </w:r>
      <w:r w:rsidR="006E1E53" w:rsidRPr="0071782F">
        <w:rPr>
          <w:lang w:val="fr-CH"/>
        </w:rPr>
        <w:t xml:space="preserve">la mise à profit des </w:t>
      </w:r>
      <w:r w:rsidRPr="0071782F">
        <w:rPr>
          <w:lang w:val="fr-CH"/>
        </w:rPr>
        <w:t>science</w:t>
      </w:r>
      <w:r w:rsidR="006E1E53" w:rsidRPr="0071782F">
        <w:rPr>
          <w:lang w:val="fr-CH"/>
        </w:rPr>
        <w:t>s et des techniques et la formation d’une main-d’</w:t>
      </w:r>
      <w:r w:rsidR="00D5366B" w:rsidRPr="0071782F">
        <w:rPr>
          <w:lang w:val="fr-CH"/>
        </w:rPr>
        <w:t>œuvre</w:t>
      </w:r>
      <w:r w:rsidR="006E1E53" w:rsidRPr="0071782F">
        <w:rPr>
          <w:lang w:val="fr-CH"/>
        </w:rPr>
        <w:t xml:space="preserve"> suffisamment abondante pour répondre aux besoins du développement économique du pays</w:t>
      </w:r>
      <w:r w:rsidR="00A62149" w:rsidRPr="0071782F">
        <w:rPr>
          <w:lang w:val="fr-CH"/>
        </w:rPr>
        <w:t>"</w:t>
      </w:r>
      <w:r w:rsidR="006E1E53" w:rsidRPr="0071782F">
        <w:rPr>
          <w:lang w:val="fr-CH"/>
        </w:rPr>
        <w:t xml:space="preserve">, ce qui peut être considéré comme relevant de la </w:t>
      </w:r>
      <w:r w:rsidRPr="0071782F">
        <w:rPr>
          <w:lang w:val="fr-CH"/>
        </w:rPr>
        <w:t>cat</w:t>
      </w:r>
      <w:r w:rsidR="006E1E53" w:rsidRPr="0071782F">
        <w:rPr>
          <w:lang w:val="fr-CH"/>
        </w:rPr>
        <w:t>é</w:t>
      </w:r>
      <w:r w:rsidRPr="0071782F">
        <w:rPr>
          <w:lang w:val="fr-CH"/>
        </w:rPr>
        <w:t>gor</w:t>
      </w:r>
      <w:r w:rsidR="006E1E53" w:rsidRPr="0071782F">
        <w:rPr>
          <w:lang w:val="fr-CH"/>
        </w:rPr>
        <w:t>ie des droits économiques</w:t>
      </w:r>
      <w:r w:rsidRPr="0071782F">
        <w:rPr>
          <w:lang w:val="fr-CH"/>
        </w:rPr>
        <w:t>, socia</w:t>
      </w:r>
      <w:r w:rsidR="006E1E53" w:rsidRPr="0071782F">
        <w:rPr>
          <w:lang w:val="fr-CH"/>
        </w:rPr>
        <w:t>ux et culture</w:t>
      </w:r>
      <w:r w:rsidRPr="0071782F">
        <w:rPr>
          <w:lang w:val="fr-CH"/>
        </w:rPr>
        <w:t>l</w:t>
      </w:r>
      <w:r w:rsidR="006E1E53" w:rsidRPr="0071782F">
        <w:rPr>
          <w:lang w:val="fr-CH"/>
        </w:rPr>
        <w:t>s</w:t>
      </w:r>
      <w:r w:rsidRPr="0071782F">
        <w:rPr>
          <w:lang w:val="fr-CH"/>
        </w:rPr>
        <w:t xml:space="preserve">. </w:t>
      </w:r>
      <w:r w:rsidR="006E1E53" w:rsidRPr="0071782F">
        <w:rPr>
          <w:lang w:val="fr-CH"/>
        </w:rPr>
        <w:t xml:space="preserve">Il résulte clairement des </w:t>
      </w:r>
      <w:r w:rsidR="00723F2B" w:rsidRPr="0071782F">
        <w:rPr>
          <w:lang w:val="fr-CH"/>
        </w:rPr>
        <w:t>articles </w:t>
      </w:r>
      <w:r w:rsidR="006E1E53" w:rsidRPr="0071782F">
        <w:rPr>
          <w:lang w:val="fr-CH"/>
        </w:rPr>
        <w:t xml:space="preserve">susvisés que le </w:t>
      </w:r>
      <w:r w:rsidR="00921E65" w:rsidRPr="0071782F">
        <w:rPr>
          <w:lang w:val="fr-CH"/>
        </w:rPr>
        <w:t>g</w:t>
      </w:r>
      <w:r w:rsidR="006E1E53" w:rsidRPr="0071782F">
        <w:rPr>
          <w:lang w:val="fr-CH"/>
        </w:rPr>
        <w:t>ouvernement est tenu de satisfaire aux besoins de chaque citoyen du pays et de lui fourni l’appui nécessaire.</w:t>
      </w:r>
      <w:r w:rsidRPr="0071782F">
        <w:rPr>
          <w:lang w:val="fr-CH"/>
        </w:rPr>
        <w:t xml:space="preserve"> </w:t>
      </w:r>
    </w:p>
    <w:p w:rsidR="00972AC7" w:rsidRPr="0071782F" w:rsidRDefault="00972AC7" w:rsidP="009D647B">
      <w:pPr>
        <w:pStyle w:val="H1G"/>
        <w:rPr>
          <w:lang w:val="fr-CH"/>
        </w:rPr>
      </w:pPr>
      <w:r w:rsidRPr="0071782F">
        <w:rPr>
          <w:lang w:val="fr-CH"/>
        </w:rPr>
        <w:tab/>
      </w:r>
      <w:r w:rsidRPr="0071782F">
        <w:rPr>
          <w:lang w:val="fr-CH"/>
        </w:rPr>
        <w:tab/>
      </w:r>
      <w:r w:rsidR="006E1E53" w:rsidRPr="0071782F">
        <w:rPr>
          <w:lang w:val="fr-CH"/>
        </w:rPr>
        <w:t xml:space="preserve">Les règles et règlements prévus dans les plans </w:t>
      </w:r>
      <w:r w:rsidR="009D647B" w:rsidRPr="0071782F">
        <w:rPr>
          <w:lang w:val="fr-CH"/>
        </w:rPr>
        <w:t xml:space="preserve">nationaux </w:t>
      </w:r>
      <w:r w:rsidR="006E1E53" w:rsidRPr="0071782F">
        <w:rPr>
          <w:lang w:val="fr-CH"/>
        </w:rPr>
        <w:t xml:space="preserve">de développement </w:t>
      </w:r>
    </w:p>
    <w:p w:rsidR="00972AC7" w:rsidRPr="0071782F" w:rsidRDefault="00972AC7" w:rsidP="009D647B">
      <w:pPr>
        <w:pStyle w:val="SingleTxtG"/>
        <w:rPr>
          <w:lang w:val="fr-CH"/>
        </w:rPr>
      </w:pPr>
      <w:r w:rsidRPr="0071782F">
        <w:rPr>
          <w:lang w:val="fr-CH"/>
        </w:rPr>
        <w:t>5.</w:t>
      </w:r>
      <w:r w:rsidRPr="0071782F">
        <w:rPr>
          <w:lang w:val="fr-CH"/>
        </w:rPr>
        <w:tab/>
      </w:r>
      <w:r w:rsidR="006E1E53" w:rsidRPr="0071782F">
        <w:rPr>
          <w:lang w:val="fr-CH"/>
        </w:rPr>
        <w:t xml:space="preserve">Dans les années 90, le Parlement a approuvé trois plans </w:t>
      </w:r>
      <w:r w:rsidR="009D647B" w:rsidRPr="0071782F">
        <w:rPr>
          <w:lang w:val="fr-CH"/>
        </w:rPr>
        <w:t xml:space="preserve">nationaux </w:t>
      </w:r>
      <w:r w:rsidR="006E1E53" w:rsidRPr="0071782F">
        <w:rPr>
          <w:lang w:val="fr-CH"/>
        </w:rPr>
        <w:t>de développement économique, social et culturel</w:t>
      </w:r>
      <w:r w:rsidR="009D647B" w:rsidRPr="0071782F">
        <w:rPr>
          <w:lang w:val="fr-CH"/>
        </w:rPr>
        <w:t xml:space="preserve">, </w:t>
      </w:r>
      <w:r w:rsidR="006E1E53" w:rsidRPr="0071782F">
        <w:rPr>
          <w:lang w:val="fr-CH"/>
        </w:rPr>
        <w:t xml:space="preserve">qui ont été exécutés au cours des périodes </w:t>
      </w:r>
      <w:r w:rsidRPr="0071782F">
        <w:rPr>
          <w:lang w:val="fr-CH"/>
        </w:rPr>
        <w:t>1989</w:t>
      </w:r>
      <w:r w:rsidR="006E1E53" w:rsidRPr="0071782F">
        <w:rPr>
          <w:lang w:val="fr-CH"/>
        </w:rPr>
        <w:t>-</w:t>
      </w:r>
      <w:r w:rsidRPr="0071782F">
        <w:rPr>
          <w:lang w:val="fr-CH"/>
        </w:rPr>
        <w:t>1993, 1995</w:t>
      </w:r>
      <w:r w:rsidR="006E1E53" w:rsidRPr="0071782F">
        <w:rPr>
          <w:lang w:val="fr-CH"/>
        </w:rPr>
        <w:t>-</w:t>
      </w:r>
      <w:r w:rsidRPr="0071782F">
        <w:rPr>
          <w:lang w:val="fr-CH"/>
        </w:rPr>
        <w:t xml:space="preserve">1999 </w:t>
      </w:r>
      <w:r w:rsidR="006E1E53" w:rsidRPr="0071782F">
        <w:rPr>
          <w:lang w:val="fr-CH"/>
        </w:rPr>
        <w:t>et</w:t>
      </w:r>
      <w:r w:rsidRPr="0071782F">
        <w:rPr>
          <w:lang w:val="fr-CH"/>
        </w:rPr>
        <w:t xml:space="preserve"> 1999</w:t>
      </w:r>
      <w:r w:rsidR="006E1E53" w:rsidRPr="0071782F">
        <w:rPr>
          <w:lang w:val="fr-CH"/>
        </w:rPr>
        <w:t>-</w:t>
      </w:r>
      <w:r w:rsidRPr="0071782F">
        <w:rPr>
          <w:lang w:val="fr-CH"/>
        </w:rPr>
        <w:t>2004</w:t>
      </w:r>
      <w:r w:rsidR="006E1E53" w:rsidRPr="0071782F">
        <w:rPr>
          <w:lang w:val="fr-CH"/>
        </w:rPr>
        <w:t>, respectivement</w:t>
      </w:r>
      <w:r w:rsidRPr="0071782F">
        <w:rPr>
          <w:lang w:val="fr-CH"/>
        </w:rPr>
        <w:t xml:space="preserve">. </w:t>
      </w:r>
      <w:r w:rsidR="006E1E53" w:rsidRPr="0071782F">
        <w:rPr>
          <w:lang w:val="fr-CH"/>
        </w:rPr>
        <w:t>L’</w:t>
      </w:r>
      <w:r w:rsidRPr="0071782F">
        <w:rPr>
          <w:lang w:val="fr-CH"/>
        </w:rPr>
        <w:t>ex</w:t>
      </w:r>
      <w:r w:rsidR="006E1E53" w:rsidRPr="0071782F">
        <w:rPr>
          <w:lang w:val="fr-CH"/>
        </w:rPr>
        <w:t>é</w:t>
      </w:r>
      <w:r w:rsidRPr="0071782F">
        <w:rPr>
          <w:lang w:val="fr-CH"/>
        </w:rPr>
        <w:t xml:space="preserve">cution </w:t>
      </w:r>
      <w:r w:rsidR="006E1E53" w:rsidRPr="0071782F">
        <w:rPr>
          <w:lang w:val="fr-CH"/>
        </w:rPr>
        <w:t xml:space="preserve">du quatrième plan </w:t>
      </w:r>
      <w:r w:rsidR="009D647B" w:rsidRPr="0071782F">
        <w:rPr>
          <w:lang w:val="fr-CH"/>
        </w:rPr>
        <w:t xml:space="preserve">national </w:t>
      </w:r>
      <w:r w:rsidR="006E1E53" w:rsidRPr="0071782F">
        <w:rPr>
          <w:lang w:val="fr-CH"/>
        </w:rPr>
        <w:t>de développement a commencé en 2005 et se poursuivait à la date où le présent rapport a été établi.</w:t>
      </w:r>
    </w:p>
    <w:p w:rsidR="00972AC7" w:rsidRPr="0071782F" w:rsidRDefault="00972AC7" w:rsidP="009D647B">
      <w:pPr>
        <w:pStyle w:val="SingleTxtG"/>
        <w:ind w:left="1701"/>
        <w:rPr>
          <w:lang w:val="fr-CH"/>
        </w:rPr>
      </w:pPr>
      <w:r w:rsidRPr="0071782F">
        <w:rPr>
          <w:lang w:val="fr-CH"/>
        </w:rPr>
        <w:t>5.1</w:t>
      </w:r>
      <w:r w:rsidR="00AB0C1F" w:rsidRPr="0071782F">
        <w:rPr>
          <w:lang w:val="fr-CH"/>
        </w:rPr>
        <w:t>.</w:t>
      </w:r>
      <w:r w:rsidRPr="0071782F">
        <w:rPr>
          <w:lang w:val="fr-CH"/>
        </w:rPr>
        <w:tab/>
      </w:r>
      <w:r w:rsidR="00280BEF" w:rsidRPr="0071782F">
        <w:rPr>
          <w:lang w:val="fr-CH"/>
        </w:rPr>
        <w:t xml:space="preserve">Les plans </w:t>
      </w:r>
      <w:r w:rsidR="009D647B" w:rsidRPr="0071782F">
        <w:rPr>
          <w:lang w:val="fr-CH"/>
        </w:rPr>
        <w:t xml:space="preserve">nationaux </w:t>
      </w:r>
      <w:r w:rsidR="00280BEF" w:rsidRPr="0071782F">
        <w:rPr>
          <w:lang w:val="fr-CH"/>
        </w:rPr>
        <w:t>de développement é</w:t>
      </w:r>
      <w:r w:rsidRPr="0071782F">
        <w:rPr>
          <w:lang w:val="fr-CH"/>
        </w:rPr>
        <w:t>conomi</w:t>
      </w:r>
      <w:r w:rsidR="00280BEF" w:rsidRPr="0071782F">
        <w:rPr>
          <w:lang w:val="fr-CH"/>
        </w:rPr>
        <w:t>que</w:t>
      </w:r>
      <w:r w:rsidRPr="0071782F">
        <w:rPr>
          <w:lang w:val="fr-CH"/>
        </w:rPr>
        <w:t xml:space="preserve">, social </w:t>
      </w:r>
      <w:r w:rsidR="00280BEF" w:rsidRPr="0071782F">
        <w:rPr>
          <w:lang w:val="fr-CH"/>
        </w:rPr>
        <w:t>et culture</w:t>
      </w:r>
      <w:r w:rsidRPr="0071782F">
        <w:rPr>
          <w:lang w:val="fr-CH"/>
        </w:rPr>
        <w:t xml:space="preserve">l </w:t>
      </w:r>
      <w:r w:rsidR="00280BEF" w:rsidRPr="0071782F">
        <w:rPr>
          <w:lang w:val="fr-CH"/>
        </w:rPr>
        <w:t>ont été établis et exécutés compte tenu de l’expérience antérieure et des réalités et potentialités des secteurs économique, social et culturel, en vue de développer le pays et d’améliorer les conditions et le niveau de vie de la population</w:t>
      </w:r>
      <w:r w:rsidRPr="0071782F">
        <w:rPr>
          <w:lang w:val="fr-CH"/>
        </w:rPr>
        <w:t xml:space="preserve">. </w:t>
      </w:r>
    </w:p>
    <w:p w:rsidR="00972AC7" w:rsidRPr="0071782F" w:rsidRDefault="00972AC7" w:rsidP="00B24FBB">
      <w:pPr>
        <w:pStyle w:val="SingleTxtG"/>
        <w:ind w:left="1701"/>
        <w:rPr>
          <w:lang w:val="fr-CH"/>
        </w:rPr>
      </w:pPr>
      <w:r w:rsidRPr="0071782F">
        <w:rPr>
          <w:lang w:val="fr-CH"/>
        </w:rPr>
        <w:t>5.2</w:t>
      </w:r>
      <w:r w:rsidR="00AB0C1F" w:rsidRPr="0071782F">
        <w:rPr>
          <w:lang w:val="fr-CH"/>
        </w:rPr>
        <w:t>.</w:t>
      </w:r>
      <w:r w:rsidRPr="0071782F">
        <w:rPr>
          <w:lang w:val="fr-CH"/>
        </w:rPr>
        <w:tab/>
      </w:r>
      <w:r w:rsidR="00280BEF" w:rsidRPr="0071782F">
        <w:rPr>
          <w:lang w:val="fr-CH"/>
        </w:rPr>
        <w:t>Le troisième plan énonce en 26 chapitres un ensemble de règles et de règlements correspondant aux différents secteurs de l’économie et aux différents groupes de la société et représentant tout à la fois le cadre juridique de l’</w:t>
      </w:r>
      <w:r w:rsidRPr="0071782F">
        <w:rPr>
          <w:lang w:val="fr-CH"/>
        </w:rPr>
        <w:t xml:space="preserve">administration </w:t>
      </w:r>
      <w:r w:rsidR="00280BEF" w:rsidRPr="0071782F">
        <w:rPr>
          <w:lang w:val="fr-CH"/>
        </w:rPr>
        <w:t xml:space="preserve">publique et un instrument de planification et de mise en </w:t>
      </w:r>
      <w:r w:rsidR="00D5366B" w:rsidRPr="0071782F">
        <w:rPr>
          <w:lang w:val="fr-CH"/>
        </w:rPr>
        <w:t>œuvre</w:t>
      </w:r>
      <w:r w:rsidR="00280BEF" w:rsidRPr="0071782F">
        <w:rPr>
          <w:lang w:val="fr-CH"/>
        </w:rPr>
        <w:t xml:space="preserve"> des orientations stratégiques à imprimer aux secteurs économique, social et culturel.</w:t>
      </w:r>
      <w:r w:rsidRPr="0071782F">
        <w:rPr>
          <w:lang w:val="fr-CH"/>
        </w:rPr>
        <w:t xml:space="preserve"> </w:t>
      </w:r>
    </w:p>
    <w:p w:rsidR="00972AC7" w:rsidRPr="0071782F" w:rsidRDefault="00972AC7" w:rsidP="00B24FBB">
      <w:pPr>
        <w:pStyle w:val="SingleTxtG"/>
        <w:ind w:left="1701"/>
        <w:rPr>
          <w:lang w:val="fr-CH"/>
        </w:rPr>
      </w:pPr>
      <w:r w:rsidRPr="0071782F">
        <w:rPr>
          <w:lang w:val="fr-CH"/>
        </w:rPr>
        <w:t>5.3</w:t>
      </w:r>
      <w:r w:rsidR="00AB0C1F" w:rsidRPr="0071782F">
        <w:rPr>
          <w:lang w:val="fr-CH"/>
        </w:rPr>
        <w:t>.</w:t>
      </w:r>
      <w:r w:rsidRPr="0071782F">
        <w:rPr>
          <w:lang w:val="fr-CH"/>
        </w:rPr>
        <w:tab/>
      </w:r>
      <w:r w:rsidR="00E61CEE" w:rsidRPr="0071782F">
        <w:rPr>
          <w:lang w:val="fr-CH"/>
        </w:rPr>
        <w:t xml:space="preserve">Le troisième plan définit les orientations et les règles et règlements nécessaires pour améliorer le niveau de vie de la population. Certains de ces règles et règlements concernent le logement, l’éducation, la </w:t>
      </w:r>
      <w:r w:rsidRPr="0071782F">
        <w:rPr>
          <w:lang w:val="fr-CH"/>
        </w:rPr>
        <w:t xml:space="preserve">culture </w:t>
      </w:r>
      <w:r w:rsidR="00E61CEE" w:rsidRPr="0071782F">
        <w:rPr>
          <w:lang w:val="fr-CH"/>
        </w:rPr>
        <w:t xml:space="preserve">et les </w:t>
      </w:r>
      <w:r w:rsidRPr="0071782F">
        <w:rPr>
          <w:lang w:val="fr-CH"/>
        </w:rPr>
        <w:t xml:space="preserve">arts, </w:t>
      </w:r>
      <w:r w:rsidR="00E61CEE" w:rsidRPr="0071782F">
        <w:rPr>
          <w:lang w:val="fr-CH"/>
        </w:rPr>
        <w:t xml:space="preserve">l’éducation physique, les </w:t>
      </w:r>
      <w:r w:rsidR="002C4FEA" w:rsidRPr="0071782F">
        <w:rPr>
          <w:lang w:val="fr-CH"/>
        </w:rPr>
        <w:t>questions</w:t>
      </w:r>
      <w:r w:rsidR="00E61CEE" w:rsidRPr="0071782F">
        <w:rPr>
          <w:lang w:val="fr-CH"/>
        </w:rPr>
        <w:t xml:space="preserve"> judiciaires, la santé et les soins médicaux, ainsi que l’aménagement urbain et le développement rural</w:t>
      </w:r>
      <w:r w:rsidRPr="0071782F">
        <w:rPr>
          <w:lang w:val="fr-CH"/>
        </w:rPr>
        <w:t xml:space="preserve">. </w:t>
      </w:r>
    </w:p>
    <w:p w:rsidR="00972AC7" w:rsidRPr="0071782F" w:rsidRDefault="00972AC7" w:rsidP="00B24FBB">
      <w:pPr>
        <w:pStyle w:val="H1G"/>
        <w:rPr>
          <w:lang w:val="fr-CH"/>
        </w:rPr>
      </w:pPr>
      <w:r w:rsidRPr="0071782F">
        <w:rPr>
          <w:lang w:val="fr-CH"/>
        </w:rPr>
        <w:tab/>
      </w:r>
      <w:r w:rsidRPr="0071782F">
        <w:rPr>
          <w:lang w:val="fr-CH"/>
        </w:rPr>
        <w:tab/>
      </w:r>
      <w:r w:rsidR="00E61CEE" w:rsidRPr="0071782F">
        <w:rPr>
          <w:lang w:val="fr-CH"/>
        </w:rPr>
        <w:t xml:space="preserve">Les réalisations du quatrième plan de développement </w:t>
      </w:r>
      <w:r w:rsidR="006F1D70" w:rsidRPr="0071782F">
        <w:rPr>
          <w:lang w:val="fr-CH"/>
        </w:rPr>
        <w:t>(2005</w:t>
      </w:r>
      <w:r w:rsidR="00E61CEE" w:rsidRPr="0071782F">
        <w:rPr>
          <w:lang w:val="fr-CH"/>
        </w:rPr>
        <w:t>-</w:t>
      </w:r>
      <w:r w:rsidRPr="0071782F">
        <w:rPr>
          <w:lang w:val="fr-CH"/>
        </w:rPr>
        <w:t>2009)</w:t>
      </w:r>
    </w:p>
    <w:p w:rsidR="00972AC7" w:rsidRPr="0071782F" w:rsidRDefault="00972AC7" w:rsidP="00972AC7">
      <w:pPr>
        <w:pStyle w:val="SingleTxtG"/>
        <w:rPr>
          <w:lang w:val="fr-CH"/>
        </w:rPr>
      </w:pPr>
      <w:r w:rsidRPr="0071782F">
        <w:rPr>
          <w:lang w:val="fr-CH"/>
        </w:rPr>
        <w:t>6.</w:t>
      </w:r>
      <w:r w:rsidRPr="0071782F">
        <w:rPr>
          <w:lang w:val="fr-CH"/>
        </w:rPr>
        <w:tab/>
      </w:r>
      <w:r w:rsidR="00E61CEE" w:rsidRPr="0071782F">
        <w:rPr>
          <w:lang w:val="fr-CH"/>
        </w:rPr>
        <w:t>L’</w:t>
      </w:r>
      <w:r w:rsidRPr="0071782F">
        <w:rPr>
          <w:lang w:val="fr-CH"/>
        </w:rPr>
        <w:t>ex</w:t>
      </w:r>
      <w:r w:rsidR="00E61CEE" w:rsidRPr="0071782F">
        <w:rPr>
          <w:lang w:val="fr-CH"/>
        </w:rPr>
        <w:t>é</w:t>
      </w:r>
      <w:r w:rsidRPr="0071782F">
        <w:rPr>
          <w:lang w:val="fr-CH"/>
        </w:rPr>
        <w:t xml:space="preserve">cution </w:t>
      </w:r>
      <w:r w:rsidR="00E61CEE" w:rsidRPr="0071782F">
        <w:rPr>
          <w:lang w:val="fr-CH"/>
        </w:rPr>
        <w:t xml:space="preserve">des plans de développement a entraîné des changements importants dans le pays. Le quatrième plan contient un ensemble de règles et règlements répartis en sept sections, 15 chapitres et </w:t>
      </w:r>
      <w:r w:rsidRPr="0071782F">
        <w:rPr>
          <w:lang w:val="fr-CH"/>
        </w:rPr>
        <w:t xml:space="preserve">275 </w:t>
      </w:r>
      <w:r w:rsidR="00D82C96" w:rsidRPr="0071782F">
        <w:rPr>
          <w:lang w:val="fr-CH"/>
        </w:rPr>
        <w:t xml:space="preserve">articles </w:t>
      </w:r>
      <w:r w:rsidR="00E61CEE" w:rsidRPr="0071782F">
        <w:rPr>
          <w:lang w:val="fr-CH"/>
        </w:rPr>
        <w:t xml:space="preserve">correspondant aux </w:t>
      </w:r>
      <w:r w:rsidRPr="0071782F">
        <w:rPr>
          <w:lang w:val="fr-CH"/>
        </w:rPr>
        <w:t>diff</w:t>
      </w:r>
      <w:r w:rsidR="00E61CEE" w:rsidRPr="0071782F">
        <w:rPr>
          <w:lang w:val="fr-CH"/>
        </w:rPr>
        <w:t>é</w:t>
      </w:r>
      <w:r w:rsidRPr="0071782F">
        <w:rPr>
          <w:lang w:val="fr-CH"/>
        </w:rPr>
        <w:t>rent</w:t>
      </w:r>
      <w:r w:rsidR="00E61CEE" w:rsidRPr="0071782F">
        <w:rPr>
          <w:lang w:val="fr-CH"/>
        </w:rPr>
        <w:t>s</w:t>
      </w:r>
      <w:r w:rsidRPr="0071782F">
        <w:rPr>
          <w:lang w:val="fr-CH"/>
        </w:rPr>
        <w:t xml:space="preserve"> sect</w:t>
      </w:r>
      <w:r w:rsidR="00E61CEE" w:rsidRPr="0071782F">
        <w:rPr>
          <w:lang w:val="fr-CH"/>
        </w:rPr>
        <w:t>eu</w:t>
      </w:r>
      <w:r w:rsidRPr="0071782F">
        <w:rPr>
          <w:lang w:val="fr-CH"/>
        </w:rPr>
        <w:t xml:space="preserve">rs. </w:t>
      </w:r>
      <w:r w:rsidR="00E61CEE" w:rsidRPr="0071782F">
        <w:rPr>
          <w:lang w:val="fr-CH"/>
        </w:rPr>
        <w:t xml:space="preserve">Ce </w:t>
      </w:r>
      <w:r w:rsidRPr="0071782F">
        <w:rPr>
          <w:lang w:val="fr-CH"/>
        </w:rPr>
        <w:t>plan</w:t>
      </w:r>
      <w:r w:rsidR="00E61CEE" w:rsidRPr="0071782F">
        <w:rPr>
          <w:lang w:val="fr-CH"/>
        </w:rPr>
        <w:t>, qui pose les fondements du plan stratégique de développement qui se propose de moderniser l’Iran, s’emploie à jeter et consolider les bases nécessaires au développement, à la gestion et à l’intégration des différentes branches de l’économie dans le contexte général de la société iranienne.</w:t>
      </w:r>
      <w:r w:rsidR="00D36718">
        <w:rPr>
          <w:lang w:val="fr-CH"/>
        </w:rPr>
        <w:t xml:space="preserve"> </w:t>
      </w:r>
    </w:p>
    <w:p w:rsidR="00972AC7" w:rsidRPr="0071782F" w:rsidRDefault="00972AC7" w:rsidP="00B24FBB">
      <w:pPr>
        <w:pStyle w:val="SingleTxtG"/>
        <w:ind w:left="1701"/>
        <w:rPr>
          <w:lang w:val="fr-CH"/>
        </w:rPr>
      </w:pPr>
      <w:r w:rsidRPr="0071782F">
        <w:rPr>
          <w:lang w:val="fr-CH"/>
        </w:rPr>
        <w:t>6.1</w:t>
      </w:r>
      <w:r w:rsidR="00AB0C1F" w:rsidRPr="0071782F">
        <w:rPr>
          <w:lang w:val="fr-CH"/>
        </w:rPr>
        <w:t>.</w:t>
      </w:r>
      <w:r w:rsidRPr="0071782F">
        <w:rPr>
          <w:lang w:val="fr-CH"/>
        </w:rPr>
        <w:tab/>
      </w:r>
      <w:r w:rsidR="009A4AD2" w:rsidRPr="0071782F">
        <w:rPr>
          <w:lang w:val="fr-CH"/>
        </w:rPr>
        <w:t>Au vu des impératifs du Plan stratégique sur 20</w:t>
      </w:r>
      <w:r w:rsidR="00D82C96" w:rsidRPr="0071782F">
        <w:rPr>
          <w:lang w:val="fr-CH"/>
        </w:rPr>
        <w:t> ans</w:t>
      </w:r>
      <w:r w:rsidR="009A4AD2" w:rsidRPr="0071782F">
        <w:rPr>
          <w:lang w:val="fr-CH"/>
        </w:rPr>
        <w:t xml:space="preserve"> pour le développement du pays et de l’état actuel de la croissance et du développement économiques, on peut prévoir que les autorités nationales de planification devront, au cours des deux décennies qui viennent, assumer les missions suivantes</w:t>
      </w:r>
      <w:r w:rsidR="008F7D33" w:rsidRPr="0071782F">
        <w:rPr>
          <w:lang w:val="fr-CH"/>
        </w:rPr>
        <w:t>:</w:t>
      </w:r>
      <w:r w:rsidR="009A4AD2" w:rsidRPr="0071782F">
        <w:rPr>
          <w:lang w:val="fr-CH"/>
        </w:rPr>
        <w:t xml:space="preserve"> </w:t>
      </w:r>
    </w:p>
    <w:p w:rsidR="00972AC7" w:rsidRPr="0071782F" w:rsidRDefault="00972AC7" w:rsidP="00A90208">
      <w:pPr>
        <w:pStyle w:val="SingleTxtG"/>
        <w:ind w:left="1701"/>
        <w:rPr>
          <w:lang w:val="fr-CH"/>
        </w:rPr>
      </w:pPr>
      <w:r w:rsidRPr="0071782F">
        <w:rPr>
          <w:lang w:val="fr-CH"/>
        </w:rPr>
        <w:t>6.2</w:t>
      </w:r>
      <w:r w:rsidR="00AB0C1F" w:rsidRPr="0071782F">
        <w:rPr>
          <w:lang w:val="fr-CH"/>
        </w:rPr>
        <w:t>.</w:t>
      </w:r>
      <w:r w:rsidRPr="0071782F">
        <w:rPr>
          <w:lang w:val="fr-CH"/>
        </w:rPr>
        <w:tab/>
      </w:r>
      <w:r w:rsidR="00A90208" w:rsidRPr="0071782F">
        <w:rPr>
          <w:lang w:val="fr-CH"/>
        </w:rPr>
        <w:t>Quatrième</w:t>
      </w:r>
      <w:r w:rsidR="009A4AD2" w:rsidRPr="0071782F">
        <w:rPr>
          <w:lang w:val="fr-CH"/>
        </w:rPr>
        <w:t xml:space="preserve"> plan de développement quinquennal</w:t>
      </w:r>
      <w:r w:rsidR="008F7D33" w:rsidRPr="0071782F">
        <w:rPr>
          <w:lang w:val="fr-CH"/>
        </w:rPr>
        <w:t>:</w:t>
      </w:r>
      <w:r w:rsidRPr="0071782F">
        <w:rPr>
          <w:lang w:val="fr-CH"/>
        </w:rPr>
        <w:t xml:space="preserve"> </w:t>
      </w:r>
      <w:r w:rsidR="009A4AD2" w:rsidRPr="0071782F">
        <w:rPr>
          <w:lang w:val="fr-CH"/>
        </w:rPr>
        <w:t>une croissance économique stable fondée sur le savoir</w:t>
      </w:r>
      <w:r w:rsidR="006F1D70" w:rsidRPr="0071782F">
        <w:rPr>
          <w:lang w:val="fr-CH"/>
        </w:rPr>
        <w:t>.</w:t>
      </w:r>
    </w:p>
    <w:p w:rsidR="00972AC7" w:rsidRPr="0071782F" w:rsidRDefault="00972AC7" w:rsidP="00B24FBB">
      <w:pPr>
        <w:pStyle w:val="SingleTxtG"/>
        <w:ind w:left="1701"/>
        <w:rPr>
          <w:lang w:val="fr-CH"/>
        </w:rPr>
      </w:pPr>
      <w:r w:rsidRPr="0071782F">
        <w:rPr>
          <w:lang w:val="fr-CH"/>
        </w:rPr>
        <w:t>6.3</w:t>
      </w:r>
      <w:r w:rsidR="00AB0C1F" w:rsidRPr="0071782F">
        <w:rPr>
          <w:lang w:val="fr-CH"/>
        </w:rPr>
        <w:t>.</w:t>
      </w:r>
      <w:r w:rsidRPr="0071782F">
        <w:rPr>
          <w:lang w:val="fr-CH"/>
        </w:rPr>
        <w:tab/>
      </w:r>
      <w:r w:rsidR="00A90208" w:rsidRPr="0071782F">
        <w:rPr>
          <w:lang w:val="fr-CH"/>
        </w:rPr>
        <w:t>Cinquième</w:t>
      </w:r>
      <w:r w:rsidR="009A4AD2" w:rsidRPr="0071782F">
        <w:rPr>
          <w:lang w:val="fr-CH"/>
        </w:rPr>
        <w:t xml:space="preserve"> plan de développement quinquennal</w:t>
      </w:r>
      <w:r w:rsidR="008F7D33" w:rsidRPr="0071782F">
        <w:rPr>
          <w:lang w:val="fr-CH"/>
        </w:rPr>
        <w:t>:</w:t>
      </w:r>
      <w:r w:rsidRPr="0071782F">
        <w:rPr>
          <w:lang w:val="fr-CH"/>
        </w:rPr>
        <w:t xml:space="preserve"> consolidation </w:t>
      </w:r>
      <w:r w:rsidR="009A4AD2" w:rsidRPr="0071782F">
        <w:rPr>
          <w:lang w:val="fr-CH"/>
        </w:rPr>
        <w:t xml:space="preserve">et </w:t>
      </w:r>
      <w:r w:rsidRPr="0071782F">
        <w:rPr>
          <w:lang w:val="fr-CH"/>
        </w:rPr>
        <w:t>stabili</w:t>
      </w:r>
      <w:r w:rsidR="009A4AD2" w:rsidRPr="0071782F">
        <w:rPr>
          <w:lang w:val="fr-CH"/>
        </w:rPr>
        <w:t>s</w:t>
      </w:r>
      <w:r w:rsidRPr="0071782F">
        <w:rPr>
          <w:lang w:val="fr-CH"/>
        </w:rPr>
        <w:t xml:space="preserve">ation </w:t>
      </w:r>
      <w:r w:rsidR="009A4AD2" w:rsidRPr="0071782F">
        <w:rPr>
          <w:lang w:val="fr-CH"/>
        </w:rPr>
        <w:t>des éléments essentiels de la croissance économique et de la protection sociale</w:t>
      </w:r>
      <w:r w:rsidR="006F1D70" w:rsidRPr="0071782F">
        <w:rPr>
          <w:lang w:val="fr-CH"/>
        </w:rPr>
        <w:t>.</w:t>
      </w:r>
    </w:p>
    <w:p w:rsidR="00972AC7" w:rsidRPr="0071782F" w:rsidRDefault="00972AC7" w:rsidP="00B24FBB">
      <w:pPr>
        <w:pStyle w:val="SingleTxtG"/>
        <w:ind w:left="1701"/>
        <w:rPr>
          <w:lang w:val="fr-CH"/>
        </w:rPr>
      </w:pPr>
      <w:r w:rsidRPr="0071782F">
        <w:rPr>
          <w:lang w:val="fr-CH"/>
        </w:rPr>
        <w:t>6.4</w:t>
      </w:r>
      <w:r w:rsidR="00AB0C1F" w:rsidRPr="0071782F">
        <w:rPr>
          <w:lang w:val="fr-CH"/>
        </w:rPr>
        <w:t>.</w:t>
      </w:r>
      <w:r w:rsidRPr="0071782F">
        <w:rPr>
          <w:lang w:val="fr-CH"/>
        </w:rPr>
        <w:tab/>
      </w:r>
      <w:r w:rsidR="00A90208" w:rsidRPr="0071782F">
        <w:rPr>
          <w:lang w:val="fr-CH"/>
        </w:rPr>
        <w:t>Sixième</w:t>
      </w:r>
      <w:r w:rsidRPr="0071782F">
        <w:rPr>
          <w:lang w:val="fr-CH"/>
        </w:rPr>
        <w:t xml:space="preserve"> </w:t>
      </w:r>
      <w:r w:rsidR="009A4AD2" w:rsidRPr="0071782F">
        <w:rPr>
          <w:lang w:val="fr-CH"/>
        </w:rPr>
        <w:t xml:space="preserve">et </w:t>
      </w:r>
      <w:r w:rsidR="00A90208" w:rsidRPr="0071782F">
        <w:rPr>
          <w:lang w:val="fr-CH"/>
        </w:rPr>
        <w:t>septième</w:t>
      </w:r>
      <w:r w:rsidRPr="0071782F">
        <w:rPr>
          <w:lang w:val="fr-CH"/>
        </w:rPr>
        <w:t xml:space="preserve"> </w:t>
      </w:r>
      <w:r w:rsidR="009A4AD2" w:rsidRPr="0071782F">
        <w:rPr>
          <w:lang w:val="fr-CH"/>
        </w:rPr>
        <w:t>plans de développement quinquennal</w:t>
      </w:r>
      <w:r w:rsidR="008F7D33" w:rsidRPr="0071782F">
        <w:rPr>
          <w:lang w:val="fr-CH"/>
        </w:rPr>
        <w:t>:</w:t>
      </w:r>
      <w:r w:rsidR="009A4AD2" w:rsidRPr="0071782F">
        <w:rPr>
          <w:lang w:val="fr-CH"/>
        </w:rPr>
        <w:t xml:space="preserve"> croissance économique</w:t>
      </w:r>
      <w:r w:rsidR="00D36718">
        <w:rPr>
          <w:lang w:val="fr-CH"/>
        </w:rPr>
        <w:t xml:space="preserve"> </w:t>
      </w:r>
      <w:r w:rsidR="009A4AD2" w:rsidRPr="0071782F">
        <w:rPr>
          <w:lang w:val="fr-CH"/>
        </w:rPr>
        <w:t>fondée sur le savoir continu et</w:t>
      </w:r>
      <w:r w:rsidRPr="0071782F">
        <w:rPr>
          <w:lang w:val="fr-CH"/>
        </w:rPr>
        <w:t xml:space="preserve"> stable </w:t>
      </w:r>
      <w:r w:rsidR="009A4AD2" w:rsidRPr="0071782F">
        <w:rPr>
          <w:lang w:val="fr-CH"/>
        </w:rPr>
        <w:t>et justice sociale</w:t>
      </w:r>
      <w:r w:rsidR="006F1D70" w:rsidRPr="0071782F">
        <w:rPr>
          <w:lang w:val="fr-CH"/>
        </w:rPr>
        <w:t>.</w:t>
      </w:r>
    </w:p>
    <w:p w:rsidR="00972AC7" w:rsidRPr="0071782F" w:rsidRDefault="00972AC7" w:rsidP="00B24FBB">
      <w:pPr>
        <w:pStyle w:val="SingleTxtG"/>
        <w:ind w:left="1701"/>
        <w:rPr>
          <w:lang w:val="fr-CH"/>
        </w:rPr>
      </w:pPr>
      <w:r w:rsidRPr="0071782F">
        <w:rPr>
          <w:lang w:val="fr-CH"/>
        </w:rPr>
        <w:t>6.5</w:t>
      </w:r>
      <w:r w:rsidR="00EF6CFA" w:rsidRPr="0071782F">
        <w:rPr>
          <w:lang w:val="fr-CH"/>
        </w:rPr>
        <w:t>.</w:t>
      </w:r>
      <w:r w:rsidRPr="0071782F">
        <w:rPr>
          <w:lang w:val="fr-CH"/>
        </w:rPr>
        <w:tab/>
      </w:r>
      <w:r w:rsidR="009A4AD2" w:rsidRPr="0071782F">
        <w:rPr>
          <w:lang w:val="fr-CH"/>
        </w:rPr>
        <w:t xml:space="preserve">Le </w:t>
      </w:r>
      <w:r w:rsidR="00A90208" w:rsidRPr="0071782F">
        <w:rPr>
          <w:lang w:val="fr-CH"/>
        </w:rPr>
        <w:t>quatrième</w:t>
      </w:r>
      <w:r w:rsidRPr="0071782F">
        <w:rPr>
          <w:lang w:val="fr-CH"/>
        </w:rPr>
        <w:t xml:space="preserve"> </w:t>
      </w:r>
      <w:r w:rsidR="009A4AD2" w:rsidRPr="0071782F">
        <w:rPr>
          <w:lang w:val="fr-CH"/>
        </w:rPr>
        <w:t>plan de développement quinquennal a prévu et poursuivi quatre objectif</w:t>
      </w:r>
      <w:r w:rsidR="00D82C96" w:rsidRPr="0071782F">
        <w:rPr>
          <w:lang w:val="fr-CH"/>
        </w:rPr>
        <w:t>s</w:t>
      </w:r>
      <w:r w:rsidR="009A4AD2" w:rsidRPr="0071782F">
        <w:rPr>
          <w:lang w:val="fr-CH"/>
        </w:rPr>
        <w:t xml:space="preserve"> principaux</w:t>
      </w:r>
      <w:r w:rsidR="00FF3300" w:rsidRPr="0071782F">
        <w:rPr>
          <w:lang w:val="fr-CH"/>
        </w:rPr>
        <w:t>.</w:t>
      </w:r>
      <w:r w:rsidRPr="0071782F">
        <w:rPr>
          <w:lang w:val="fr-CH"/>
        </w:rPr>
        <w:t xml:space="preserve"> </w:t>
      </w:r>
    </w:p>
    <w:p w:rsidR="00972AC7" w:rsidRPr="0071782F" w:rsidRDefault="00972AC7" w:rsidP="00B24FBB">
      <w:pPr>
        <w:pStyle w:val="SingleTxtG"/>
        <w:ind w:left="1701"/>
        <w:rPr>
          <w:lang w:val="fr-CH"/>
        </w:rPr>
      </w:pPr>
      <w:r w:rsidRPr="0071782F">
        <w:rPr>
          <w:lang w:val="fr-CH"/>
        </w:rPr>
        <w:t>6.6</w:t>
      </w:r>
      <w:r w:rsidR="00EF6CFA" w:rsidRPr="0071782F">
        <w:rPr>
          <w:lang w:val="fr-CH"/>
        </w:rPr>
        <w:t>.</w:t>
      </w:r>
      <w:r w:rsidRPr="0071782F">
        <w:rPr>
          <w:lang w:val="fr-CH"/>
        </w:rPr>
        <w:tab/>
      </w:r>
      <w:r w:rsidR="009A4AD2" w:rsidRPr="0071782F">
        <w:rPr>
          <w:lang w:val="fr-CH"/>
        </w:rPr>
        <w:t xml:space="preserve">Une économie fondée sur le savoir et la justice </w:t>
      </w:r>
      <w:r w:rsidRPr="0071782F">
        <w:rPr>
          <w:lang w:val="fr-CH"/>
        </w:rPr>
        <w:t xml:space="preserve">capable </w:t>
      </w:r>
      <w:r w:rsidR="009A4AD2" w:rsidRPr="0071782F">
        <w:rPr>
          <w:lang w:val="fr-CH"/>
        </w:rPr>
        <w:t>d’interagir avec l’économie mondiale</w:t>
      </w:r>
      <w:r w:rsidR="00FF3300" w:rsidRPr="0071782F">
        <w:rPr>
          <w:lang w:val="fr-CH"/>
        </w:rPr>
        <w:t>.</w:t>
      </w:r>
    </w:p>
    <w:p w:rsidR="00972AC7" w:rsidRPr="0071782F" w:rsidRDefault="00FF3300" w:rsidP="00B24FBB">
      <w:pPr>
        <w:pStyle w:val="SingleTxtG"/>
        <w:ind w:left="1701"/>
        <w:rPr>
          <w:lang w:val="fr-CH"/>
        </w:rPr>
      </w:pPr>
      <w:r w:rsidRPr="0071782F">
        <w:rPr>
          <w:lang w:val="fr-CH"/>
        </w:rPr>
        <w:t>6.7</w:t>
      </w:r>
      <w:r w:rsidR="00EF6CFA" w:rsidRPr="0071782F">
        <w:rPr>
          <w:lang w:val="fr-CH"/>
        </w:rPr>
        <w:t>.</w:t>
      </w:r>
      <w:r w:rsidRPr="0071782F">
        <w:rPr>
          <w:lang w:val="fr-CH"/>
        </w:rPr>
        <w:tab/>
      </w:r>
      <w:r w:rsidR="009A4AD2" w:rsidRPr="0071782F">
        <w:rPr>
          <w:lang w:val="fr-CH"/>
        </w:rPr>
        <w:t>Une sécurité nationale fiable et pleinement dissuasive</w:t>
      </w:r>
      <w:r w:rsidRPr="0071782F">
        <w:rPr>
          <w:lang w:val="fr-CH"/>
        </w:rPr>
        <w:t>.</w:t>
      </w:r>
    </w:p>
    <w:p w:rsidR="00972AC7" w:rsidRPr="0071782F" w:rsidRDefault="00972AC7" w:rsidP="00B24FBB">
      <w:pPr>
        <w:pStyle w:val="SingleTxtG"/>
        <w:ind w:left="1701"/>
        <w:rPr>
          <w:lang w:val="fr-CH"/>
        </w:rPr>
      </w:pPr>
      <w:r w:rsidRPr="0071782F">
        <w:rPr>
          <w:lang w:val="fr-CH"/>
        </w:rPr>
        <w:t>6.8</w:t>
      </w:r>
      <w:r w:rsidR="00EF6CFA" w:rsidRPr="0071782F">
        <w:rPr>
          <w:lang w:val="fr-CH"/>
        </w:rPr>
        <w:t>.</w:t>
      </w:r>
      <w:r w:rsidRPr="0071782F">
        <w:rPr>
          <w:lang w:val="fr-CH"/>
        </w:rPr>
        <w:tab/>
      </w:r>
      <w:r w:rsidR="009A4AD2" w:rsidRPr="0071782F">
        <w:rPr>
          <w:lang w:val="fr-CH"/>
        </w:rPr>
        <w:t>La p</w:t>
      </w:r>
      <w:r w:rsidRPr="0071782F">
        <w:rPr>
          <w:lang w:val="fr-CH"/>
        </w:rPr>
        <w:t xml:space="preserve">rotection </w:t>
      </w:r>
      <w:r w:rsidR="009A4AD2" w:rsidRPr="0071782F">
        <w:rPr>
          <w:lang w:val="fr-CH"/>
        </w:rPr>
        <w:t>de la culture et de l’identité iraniennes</w:t>
      </w:r>
      <w:r w:rsidR="00FF3300" w:rsidRPr="0071782F">
        <w:rPr>
          <w:lang w:val="fr-CH"/>
        </w:rPr>
        <w:t>.</w:t>
      </w:r>
    </w:p>
    <w:p w:rsidR="00972AC7" w:rsidRPr="0071782F" w:rsidRDefault="00972AC7" w:rsidP="00B24FBB">
      <w:pPr>
        <w:pStyle w:val="SingleTxtG"/>
        <w:ind w:left="1701"/>
        <w:rPr>
          <w:lang w:val="fr-CH"/>
        </w:rPr>
      </w:pPr>
      <w:r w:rsidRPr="0071782F">
        <w:rPr>
          <w:lang w:val="fr-CH"/>
        </w:rPr>
        <w:t>6.9</w:t>
      </w:r>
      <w:r w:rsidR="00EF6CFA" w:rsidRPr="0071782F">
        <w:rPr>
          <w:lang w:val="fr-CH"/>
        </w:rPr>
        <w:t>.</w:t>
      </w:r>
      <w:r w:rsidRPr="0071782F">
        <w:rPr>
          <w:lang w:val="fr-CH"/>
        </w:rPr>
        <w:tab/>
      </w:r>
      <w:r w:rsidR="009A4AD2" w:rsidRPr="0071782F">
        <w:rPr>
          <w:lang w:val="fr-CH"/>
        </w:rPr>
        <w:t>Une souveraine</w:t>
      </w:r>
      <w:r w:rsidR="008B3492" w:rsidRPr="0071782F">
        <w:rPr>
          <w:lang w:val="fr-CH"/>
        </w:rPr>
        <w:t>té réelle et une bonne gouvernanc</w:t>
      </w:r>
      <w:r w:rsidR="009A4AD2" w:rsidRPr="0071782F">
        <w:rPr>
          <w:lang w:val="fr-CH"/>
        </w:rPr>
        <w:t>e</w:t>
      </w:r>
      <w:r w:rsidRPr="0071782F">
        <w:rPr>
          <w:lang w:val="fr-CH"/>
        </w:rPr>
        <w:t>.</w:t>
      </w:r>
    </w:p>
    <w:p w:rsidR="00972AC7" w:rsidRPr="0071782F" w:rsidRDefault="00972AC7" w:rsidP="00B24FBB">
      <w:pPr>
        <w:pStyle w:val="H1G"/>
        <w:rPr>
          <w:lang w:val="fr-CH"/>
        </w:rPr>
      </w:pPr>
      <w:r w:rsidRPr="0071782F">
        <w:rPr>
          <w:lang w:val="fr-CH"/>
        </w:rPr>
        <w:tab/>
      </w:r>
      <w:r w:rsidRPr="0071782F">
        <w:rPr>
          <w:lang w:val="fr-CH"/>
        </w:rPr>
        <w:tab/>
      </w:r>
      <w:r w:rsidR="009A4AD2" w:rsidRPr="0071782F">
        <w:rPr>
          <w:lang w:val="fr-CH"/>
        </w:rPr>
        <w:t xml:space="preserve">Les acquis des deux premières années du </w:t>
      </w:r>
      <w:r w:rsidR="00A90208" w:rsidRPr="0071782F">
        <w:rPr>
          <w:lang w:val="fr-CH"/>
        </w:rPr>
        <w:t>quatrième</w:t>
      </w:r>
      <w:r w:rsidR="009A4AD2" w:rsidRPr="0071782F">
        <w:rPr>
          <w:lang w:val="fr-CH"/>
        </w:rPr>
        <w:t xml:space="preserve"> plan de développement </w:t>
      </w:r>
    </w:p>
    <w:p w:rsidR="00972AC7" w:rsidRPr="0071782F" w:rsidRDefault="00972AC7" w:rsidP="00972AC7">
      <w:pPr>
        <w:pStyle w:val="SingleTxtG"/>
        <w:rPr>
          <w:lang w:val="fr-CH"/>
        </w:rPr>
      </w:pPr>
      <w:r w:rsidRPr="0071782F">
        <w:rPr>
          <w:lang w:val="fr-CH"/>
        </w:rPr>
        <w:t>7.</w:t>
      </w:r>
      <w:r w:rsidRPr="0071782F">
        <w:rPr>
          <w:lang w:val="fr-CH"/>
        </w:rPr>
        <w:tab/>
      </w:r>
      <w:r w:rsidR="00723F2B" w:rsidRPr="0071782F">
        <w:rPr>
          <w:lang w:val="fr-CH"/>
        </w:rPr>
        <w:t>L’</w:t>
      </w:r>
      <w:r w:rsidR="00943A69" w:rsidRPr="0071782F">
        <w:rPr>
          <w:lang w:val="fr-CH"/>
        </w:rPr>
        <w:t>article </w:t>
      </w:r>
      <w:r w:rsidRPr="0071782F">
        <w:rPr>
          <w:lang w:val="fr-CH"/>
        </w:rPr>
        <w:t>157</w:t>
      </w:r>
      <w:r w:rsidR="00500442" w:rsidRPr="0071782F">
        <w:rPr>
          <w:lang w:val="fr-CH"/>
        </w:rPr>
        <w:t xml:space="preserve"> de la loi relative au </w:t>
      </w:r>
      <w:r w:rsidR="00A90208" w:rsidRPr="0071782F">
        <w:rPr>
          <w:lang w:val="fr-CH"/>
        </w:rPr>
        <w:t>quatrième</w:t>
      </w:r>
      <w:r w:rsidRPr="0071782F">
        <w:rPr>
          <w:lang w:val="fr-CH"/>
        </w:rPr>
        <w:t xml:space="preserve"> </w:t>
      </w:r>
      <w:r w:rsidR="00500442" w:rsidRPr="0071782F">
        <w:rPr>
          <w:lang w:val="fr-CH"/>
        </w:rPr>
        <w:t xml:space="preserve">plan de développement fait obligation au </w:t>
      </w:r>
      <w:r w:rsidRPr="0071782F">
        <w:rPr>
          <w:lang w:val="fr-CH"/>
        </w:rPr>
        <w:t>Pr</w:t>
      </w:r>
      <w:r w:rsidR="00500442" w:rsidRPr="0071782F">
        <w:rPr>
          <w:lang w:val="fr-CH"/>
        </w:rPr>
        <w:t>é</w:t>
      </w:r>
      <w:r w:rsidRPr="0071782F">
        <w:rPr>
          <w:lang w:val="fr-CH"/>
        </w:rPr>
        <w:t xml:space="preserve">sident </w:t>
      </w:r>
      <w:r w:rsidR="00500442" w:rsidRPr="0071782F">
        <w:rPr>
          <w:lang w:val="fr-CH"/>
        </w:rPr>
        <w:t xml:space="preserve">de la République de </w:t>
      </w:r>
      <w:r w:rsidRPr="0071782F">
        <w:rPr>
          <w:lang w:val="fr-CH"/>
        </w:rPr>
        <w:t>pr</w:t>
      </w:r>
      <w:r w:rsidR="00500442" w:rsidRPr="0071782F">
        <w:rPr>
          <w:lang w:val="fr-CH"/>
        </w:rPr>
        <w:t>é</w:t>
      </w:r>
      <w:r w:rsidRPr="0071782F">
        <w:rPr>
          <w:lang w:val="fr-CH"/>
        </w:rPr>
        <w:t>sent</w:t>
      </w:r>
      <w:r w:rsidR="00500442" w:rsidRPr="0071782F">
        <w:rPr>
          <w:lang w:val="fr-CH"/>
        </w:rPr>
        <w:t>er</w:t>
      </w:r>
      <w:r w:rsidRPr="0071782F">
        <w:rPr>
          <w:lang w:val="fr-CH"/>
        </w:rPr>
        <w:t xml:space="preserve"> </w:t>
      </w:r>
      <w:r w:rsidR="00500442" w:rsidRPr="0071782F">
        <w:rPr>
          <w:lang w:val="fr-CH"/>
        </w:rPr>
        <w:t xml:space="preserve">au Parlement, à la fin de chaque année, un </w:t>
      </w:r>
      <w:r w:rsidR="00A62149" w:rsidRPr="0071782F">
        <w:rPr>
          <w:lang w:val="fr-CH"/>
        </w:rPr>
        <w:t>"</w:t>
      </w:r>
      <w:r w:rsidR="00500442" w:rsidRPr="0071782F">
        <w:rPr>
          <w:lang w:val="fr-CH"/>
        </w:rPr>
        <w:t>rapport de suivi et d’évaluation</w:t>
      </w:r>
      <w:r w:rsidR="00A62149" w:rsidRPr="0071782F">
        <w:rPr>
          <w:lang w:val="fr-CH"/>
        </w:rPr>
        <w:t>"</w:t>
      </w:r>
      <w:r w:rsidRPr="0071782F">
        <w:rPr>
          <w:lang w:val="fr-CH"/>
        </w:rPr>
        <w:t xml:space="preserve"> </w:t>
      </w:r>
      <w:r w:rsidR="00500442" w:rsidRPr="0071782F">
        <w:rPr>
          <w:lang w:val="fr-CH"/>
        </w:rPr>
        <w:t>des progrès réalisés dans l’exécution du plan, afin de garantir la bonne exécution de celui-ci</w:t>
      </w:r>
      <w:r w:rsidRPr="0071782F">
        <w:rPr>
          <w:lang w:val="fr-CH"/>
        </w:rPr>
        <w:t xml:space="preserve">. </w:t>
      </w:r>
      <w:r w:rsidR="00500442" w:rsidRPr="0071782F">
        <w:rPr>
          <w:lang w:val="fr-CH"/>
        </w:rPr>
        <w:t>Jusqu’à présent, les</w:t>
      </w:r>
      <w:r w:rsidRPr="0071782F">
        <w:rPr>
          <w:lang w:val="fr-CH"/>
        </w:rPr>
        <w:t xml:space="preserve"> </w:t>
      </w:r>
      <w:r w:rsidR="00A62149" w:rsidRPr="0071782F">
        <w:rPr>
          <w:lang w:val="fr-CH"/>
        </w:rPr>
        <w:t>"</w:t>
      </w:r>
      <w:r w:rsidR="00500442" w:rsidRPr="0071782F">
        <w:rPr>
          <w:lang w:val="fr-CH"/>
        </w:rPr>
        <w:t>rapports de suivi et d’é</w:t>
      </w:r>
      <w:r w:rsidRPr="0071782F">
        <w:rPr>
          <w:lang w:val="fr-CH"/>
        </w:rPr>
        <w:t>valuation</w:t>
      </w:r>
      <w:r w:rsidR="00A62149" w:rsidRPr="0071782F">
        <w:rPr>
          <w:lang w:val="fr-CH"/>
        </w:rPr>
        <w:t>"</w:t>
      </w:r>
      <w:r w:rsidRPr="0071782F">
        <w:rPr>
          <w:lang w:val="fr-CH"/>
        </w:rPr>
        <w:t xml:space="preserve"> </w:t>
      </w:r>
      <w:r w:rsidR="00500442" w:rsidRPr="0071782F">
        <w:rPr>
          <w:lang w:val="fr-CH"/>
        </w:rPr>
        <w:t xml:space="preserve">correspondant à la première </w:t>
      </w:r>
      <w:r w:rsidRPr="0071782F">
        <w:rPr>
          <w:lang w:val="fr-CH"/>
        </w:rPr>
        <w:t xml:space="preserve">(2005) </w:t>
      </w:r>
      <w:r w:rsidR="00500442" w:rsidRPr="0071782F">
        <w:rPr>
          <w:lang w:val="fr-CH"/>
        </w:rPr>
        <w:t xml:space="preserve">et à la deuxième </w:t>
      </w:r>
      <w:r w:rsidRPr="0071782F">
        <w:rPr>
          <w:lang w:val="fr-CH"/>
        </w:rPr>
        <w:t xml:space="preserve">(2006) </w:t>
      </w:r>
      <w:r w:rsidR="00500442" w:rsidRPr="0071782F">
        <w:rPr>
          <w:lang w:val="fr-CH"/>
        </w:rPr>
        <w:t xml:space="preserve">années d’exécution du </w:t>
      </w:r>
      <w:r w:rsidRPr="0071782F">
        <w:rPr>
          <w:lang w:val="fr-CH"/>
        </w:rPr>
        <w:t xml:space="preserve">plan </w:t>
      </w:r>
      <w:r w:rsidR="00500442" w:rsidRPr="0071782F">
        <w:rPr>
          <w:lang w:val="fr-CH"/>
        </w:rPr>
        <w:t xml:space="preserve">ont été présentés au Parlement en </w:t>
      </w:r>
      <w:r w:rsidRPr="0071782F">
        <w:rPr>
          <w:lang w:val="fr-CH"/>
        </w:rPr>
        <w:t xml:space="preserve">44 </w:t>
      </w:r>
      <w:r w:rsidR="00500442" w:rsidRPr="0071782F">
        <w:rPr>
          <w:lang w:val="fr-CH"/>
        </w:rPr>
        <w:t xml:space="preserve">et </w:t>
      </w:r>
      <w:r w:rsidRPr="0071782F">
        <w:rPr>
          <w:lang w:val="fr-CH"/>
        </w:rPr>
        <w:t>47 chap</w:t>
      </w:r>
      <w:r w:rsidR="00500442" w:rsidRPr="0071782F">
        <w:rPr>
          <w:lang w:val="fr-CH"/>
        </w:rPr>
        <w:t xml:space="preserve">itres, respectivement </w:t>
      </w:r>
      <w:r w:rsidRPr="0071782F">
        <w:rPr>
          <w:lang w:val="fr-CH"/>
        </w:rPr>
        <w:t>(</w:t>
      </w:r>
      <w:r w:rsidR="00500442" w:rsidRPr="0071782F">
        <w:rPr>
          <w:lang w:val="fr-CH"/>
        </w:rPr>
        <w:t xml:space="preserve">chaque rapport étant publié en trois </w:t>
      </w:r>
      <w:r w:rsidRPr="0071782F">
        <w:rPr>
          <w:lang w:val="fr-CH"/>
        </w:rPr>
        <w:t xml:space="preserve">volumes). </w:t>
      </w:r>
    </w:p>
    <w:p w:rsidR="00972AC7" w:rsidRPr="0071782F" w:rsidRDefault="00972AC7" w:rsidP="00B24FBB">
      <w:pPr>
        <w:pStyle w:val="SingleTxtG"/>
        <w:ind w:left="1701"/>
        <w:rPr>
          <w:lang w:val="fr-CH"/>
        </w:rPr>
      </w:pPr>
      <w:r w:rsidRPr="0071782F">
        <w:rPr>
          <w:lang w:val="fr-CH"/>
        </w:rPr>
        <w:t>7.1</w:t>
      </w:r>
      <w:r w:rsidR="00EF6CFA" w:rsidRPr="0071782F">
        <w:rPr>
          <w:lang w:val="fr-CH"/>
        </w:rPr>
        <w:t>.</w:t>
      </w:r>
      <w:r w:rsidRPr="0071782F">
        <w:rPr>
          <w:lang w:val="fr-CH"/>
        </w:rPr>
        <w:tab/>
      </w:r>
      <w:r w:rsidR="00500442" w:rsidRPr="0071782F">
        <w:rPr>
          <w:lang w:val="fr-CH"/>
        </w:rPr>
        <w:t xml:space="preserve">On trouvera ci-après un résumé du rapport sur l’économie du pays pour 2006 et une synthèse des résultats des deux premières années du </w:t>
      </w:r>
      <w:r w:rsidR="00A90208" w:rsidRPr="0071782F">
        <w:rPr>
          <w:lang w:val="fr-CH"/>
        </w:rPr>
        <w:t>quatrième</w:t>
      </w:r>
      <w:r w:rsidR="00500442" w:rsidRPr="0071782F">
        <w:rPr>
          <w:lang w:val="fr-CH"/>
        </w:rPr>
        <w:t xml:space="preserve"> plan de développement</w:t>
      </w:r>
      <w:r w:rsidR="00E13BE4" w:rsidRPr="0071782F">
        <w:rPr>
          <w:lang w:val="fr-CH"/>
        </w:rPr>
        <w:t>.</w:t>
      </w:r>
    </w:p>
    <w:p w:rsidR="00972AC7" w:rsidRPr="0071782F" w:rsidRDefault="00972AC7" w:rsidP="00B24FBB">
      <w:pPr>
        <w:pStyle w:val="H23G"/>
        <w:rPr>
          <w:lang w:val="fr-CH"/>
        </w:rPr>
      </w:pPr>
      <w:r w:rsidRPr="0071782F">
        <w:rPr>
          <w:lang w:val="fr-CH"/>
        </w:rPr>
        <w:tab/>
      </w:r>
      <w:r w:rsidRPr="0071782F">
        <w:rPr>
          <w:lang w:val="fr-CH"/>
        </w:rPr>
        <w:tab/>
        <w:t>Population</w:t>
      </w:r>
    </w:p>
    <w:p w:rsidR="00972AC7" w:rsidRPr="0071782F" w:rsidRDefault="00972AC7" w:rsidP="00972AC7">
      <w:pPr>
        <w:pStyle w:val="SingleTxtG"/>
        <w:rPr>
          <w:lang w:val="fr-CH"/>
        </w:rPr>
      </w:pPr>
      <w:r w:rsidRPr="0071782F">
        <w:rPr>
          <w:lang w:val="fr-CH"/>
        </w:rPr>
        <w:t>8.</w:t>
      </w:r>
      <w:r w:rsidRPr="0071782F">
        <w:rPr>
          <w:lang w:val="fr-CH"/>
        </w:rPr>
        <w:tab/>
      </w:r>
      <w:r w:rsidR="00500442" w:rsidRPr="0071782F">
        <w:rPr>
          <w:lang w:val="fr-CH"/>
        </w:rPr>
        <w:t>Selon les données du dernier recensement, effectué en 2006, le pays comptait alors</w:t>
      </w:r>
      <w:r w:rsidR="00D36718">
        <w:rPr>
          <w:lang w:val="fr-CH"/>
        </w:rPr>
        <w:t xml:space="preserve"> </w:t>
      </w:r>
      <w:r w:rsidRPr="0071782F">
        <w:rPr>
          <w:lang w:val="fr-CH"/>
        </w:rPr>
        <w:t>70</w:t>
      </w:r>
      <w:r w:rsidR="00500442" w:rsidRPr="0071782F">
        <w:rPr>
          <w:lang w:val="fr-CH"/>
        </w:rPr>
        <w:t xml:space="preserve"> 496 </w:t>
      </w:r>
      <w:r w:rsidRPr="0071782F">
        <w:rPr>
          <w:lang w:val="fr-CH"/>
        </w:rPr>
        <w:t>000</w:t>
      </w:r>
      <w:r w:rsidR="00BF435F" w:rsidRPr="0071782F">
        <w:rPr>
          <w:lang w:val="fr-CH"/>
        </w:rPr>
        <w:t> habitants</w:t>
      </w:r>
      <w:r w:rsidR="00500442" w:rsidRPr="0071782F">
        <w:rPr>
          <w:lang w:val="fr-CH"/>
        </w:rPr>
        <w:t xml:space="preserve">, soit une augmentation de </w:t>
      </w:r>
      <w:r w:rsidRPr="0071782F">
        <w:rPr>
          <w:lang w:val="fr-CH"/>
        </w:rPr>
        <w:t>10</w:t>
      </w:r>
      <w:r w:rsidR="00500442" w:rsidRPr="0071782F">
        <w:rPr>
          <w:lang w:val="fr-CH"/>
        </w:rPr>
        <w:t>,</w:t>
      </w:r>
      <w:r w:rsidRPr="0071782F">
        <w:rPr>
          <w:lang w:val="fr-CH"/>
        </w:rPr>
        <w:t>5</w:t>
      </w:r>
      <w:r w:rsidR="00097CDB" w:rsidRPr="0071782F">
        <w:rPr>
          <w:lang w:val="fr-CH"/>
        </w:rPr>
        <w:t> millions</w:t>
      </w:r>
      <w:r w:rsidRPr="0071782F">
        <w:rPr>
          <w:lang w:val="fr-CH"/>
        </w:rPr>
        <w:t xml:space="preserve"> </w:t>
      </w:r>
      <w:r w:rsidR="00D82C96" w:rsidRPr="0071782F">
        <w:rPr>
          <w:lang w:val="fr-CH"/>
        </w:rPr>
        <w:t>de personnes</w:t>
      </w:r>
      <w:r w:rsidR="00500442" w:rsidRPr="0071782F">
        <w:rPr>
          <w:lang w:val="fr-CH"/>
        </w:rPr>
        <w:t xml:space="preserve"> par rapport au recensement précédent effectué en </w:t>
      </w:r>
      <w:r w:rsidRPr="0071782F">
        <w:rPr>
          <w:lang w:val="fr-CH"/>
        </w:rPr>
        <w:t>1996.</w:t>
      </w:r>
    </w:p>
    <w:p w:rsidR="00972AC7" w:rsidRPr="0071782F" w:rsidRDefault="00972AC7" w:rsidP="00B24FBB">
      <w:pPr>
        <w:pStyle w:val="SingleTxtG"/>
        <w:ind w:left="1701"/>
        <w:rPr>
          <w:lang w:val="fr-CH"/>
        </w:rPr>
      </w:pPr>
      <w:r w:rsidRPr="0071782F">
        <w:rPr>
          <w:lang w:val="fr-CH"/>
        </w:rPr>
        <w:t>8.1</w:t>
      </w:r>
      <w:r w:rsidR="00EF6CFA" w:rsidRPr="0071782F">
        <w:rPr>
          <w:lang w:val="fr-CH"/>
        </w:rPr>
        <w:t>.</w:t>
      </w:r>
      <w:r w:rsidRPr="0071782F">
        <w:rPr>
          <w:lang w:val="fr-CH"/>
        </w:rPr>
        <w:tab/>
      </w:r>
      <w:r w:rsidR="00500442" w:rsidRPr="0071782F">
        <w:rPr>
          <w:lang w:val="fr-CH"/>
        </w:rPr>
        <w:t>Il ressort d’une enquête sur les naissances et les décès déclarés au cours de cette période que le taux brut de natalité moyen a été de 18 pour 1 000, tandis que le taux brut de mortalité moyen était de six pour 1 000; l’écart entre ces deux taux représente le taux d’accroissement naturel moyen de la population, qui s’est établi à 1,2</w:t>
      </w:r>
      <w:r w:rsidR="007E5125" w:rsidRPr="0071782F">
        <w:rPr>
          <w:lang w:val="fr-CH"/>
        </w:rPr>
        <w:t>%</w:t>
      </w:r>
      <w:r w:rsidR="00500442" w:rsidRPr="0071782F">
        <w:rPr>
          <w:lang w:val="fr-CH"/>
        </w:rPr>
        <w:t xml:space="preserve"> au cours de cette période</w:t>
      </w:r>
      <w:r w:rsidRPr="0071782F">
        <w:rPr>
          <w:lang w:val="fr-CH"/>
        </w:rPr>
        <w:t xml:space="preserve">. </w:t>
      </w:r>
    </w:p>
    <w:p w:rsidR="00972AC7" w:rsidRPr="0071782F" w:rsidRDefault="00972AC7" w:rsidP="00B24FBB">
      <w:pPr>
        <w:pStyle w:val="SingleTxtG"/>
        <w:ind w:left="1701"/>
        <w:rPr>
          <w:lang w:val="fr-CH"/>
        </w:rPr>
      </w:pPr>
      <w:r w:rsidRPr="0071782F">
        <w:rPr>
          <w:lang w:val="fr-CH"/>
        </w:rPr>
        <w:t>8.2</w:t>
      </w:r>
      <w:r w:rsidR="00EF6CFA" w:rsidRPr="0071782F">
        <w:rPr>
          <w:lang w:val="fr-CH"/>
        </w:rPr>
        <w:t>.</w:t>
      </w:r>
      <w:r w:rsidRPr="0071782F">
        <w:rPr>
          <w:lang w:val="fr-CH"/>
        </w:rPr>
        <w:tab/>
      </w:r>
      <w:r w:rsidR="00FD1775" w:rsidRPr="0071782F">
        <w:rPr>
          <w:lang w:val="fr-CH"/>
        </w:rPr>
        <w:t>Ces dernières années, le très grand nombre d’enfants nés dans les années 70 et venus grossir les rangs des jeunes, et la diminution du rapport des jeunes à l’ensemble de la population ont considérablement renforcé la proportion du groupe d’âge de 15 à 64</w:t>
      </w:r>
      <w:r w:rsidR="00D82C96" w:rsidRPr="0071782F">
        <w:rPr>
          <w:lang w:val="fr-CH"/>
        </w:rPr>
        <w:t> ans</w:t>
      </w:r>
      <w:r w:rsidRPr="0071782F">
        <w:rPr>
          <w:lang w:val="fr-CH"/>
        </w:rPr>
        <w:t xml:space="preserve">. </w:t>
      </w:r>
      <w:r w:rsidR="00FD1775" w:rsidRPr="0071782F">
        <w:rPr>
          <w:lang w:val="fr-CH"/>
        </w:rPr>
        <w:t xml:space="preserve">Cette </w:t>
      </w:r>
      <w:r w:rsidRPr="0071782F">
        <w:rPr>
          <w:lang w:val="fr-CH"/>
        </w:rPr>
        <w:t xml:space="preserve">explosion </w:t>
      </w:r>
      <w:r w:rsidR="00FD1775" w:rsidRPr="0071782F">
        <w:rPr>
          <w:lang w:val="fr-CH"/>
        </w:rPr>
        <w:t>démographique s’est plus particulièrement manifestée dans le cas du groupe d’âge de 15 à 29</w:t>
      </w:r>
      <w:r w:rsidR="00D82C96" w:rsidRPr="0071782F">
        <w:rPr>
          <w:lang w:val="fr-CH"/>
        </w:rPr>
        <w:t> ans</w:t>
      </w:r>
      <w:r w:rsidR="00FD1775" w:rsidRPr="0071782F">
        <w:rPr>
          <w:lang w:val="fr-CH"/>
        </w:rPr>
        <w:t xml:space="preserve">, qui est passé de </w:t>
      </w:r>
      <w:r w:rsidRPr="0071782F">
        <w:rPr>
          <w:lang w:val="fr-CH"/>
        </w:rPr>
        <w:t>17</w:t>
      </w:r>
      <w:r w:rsidR="00097CDB" w:rsidRPr="0071782F">
        <w:rPr>
          <w:lang w:val="fr-CH"/>
        </w:rPr>
        <w:t> millions</w:t>
      </w:r>
      <w:r w:rsidRPr="0071782F">
        <w:rPr>
          <w:lang w:val="fr-CH"/>
        </w:rPr>
        <w:t xml:space="preserve"> </w:t>
      </w:r>
      <w:r w:rsidR="00D82C96" w:rsidRPr="0071782F">
        <w:rPr>
          <w:lang w:val="fr-CH"/>
        </w:rPr>
        <w:t>de personnes</w:t>
      </w:r>
      <w:r w:rsidR="00FD1775" w:rsidRPr="0071782F">
        <w:rPr>
          <w:lang w:val="fr-CH"/>
        </w:rPr>
        <w:t xml:space="preserve"> e</w:t>
      </w:r>
      <w:r w:rsidRPr="0071782F">
        <w:rPr>
          <w:lang w:val="fr-CH"/>
        </w:rPr>
        <w:t xml:space="preserve">n 1996 </w:t>
      </w:r>
      <w:r w:rsidR="00FD1775" w:rsidRPr="0071782F">
        <w:rPr>
          <w:lang w:val="fr-CH"/>
        </w:rPr>
        <w:t>à</w:t>
      </w:r>
      <w:r w:rsidRPr="0071782F">
        <w:rPr>
          <w:lang w:val="fr-CH"/>
        </w:rPr>
        <w:t xml:space="preserve"> 25</w:t>
      </w:r>
      <w:r w:rsidR="00097CDB" w:rsidRPr="0071782F">
        <w:rPr>
          <w:lang w:val="fr-CH"/>
        </w:rPr>
        <w:t> millions</w:t>
      </w:r>
      <w:r w:rsidRPr="0071782F">
        <w:rPr>
          <w:lang w:val="fr-CH"/>
        </w:rPr>
        <w:t xml:space="preserve"> </w:t>
      </w:r>
      <w:r w:rsidR="00FD1775" w:rsidRPr="0071782F">
        <w:rPr>
          <w:lang w:val="fr-CH"/>
        </w:rPr>
        <w:t>e</w:t>
      </w:r>
      <w:r w:rsidRPr="0071782F">
        <w:rPr>
          <w:lang w:val="fr-CH"/>
        </w:rPr>
        <w:t xml:space="preserve">n 2006. </w:t>
      </w:r>
      <w:r w:rsidR="00FD1775" w:rsidRPr="0071782F">
        <w:rPr>
          <w:lang w:val="fr-CH"/>
        </w:rPr>
        <w:t>La forte augmentation de l’effectif de la population de jeunes et la manière dont il convient de satisfaire aux besoins fondamentaux de ce groupe d’âge vont demeurer l’une des principales préoccupations du gouvernement dans les années qui viennent.</w:t>
      </w:r>
      <w:r w:rsidRPr="0071782F">
        <w:rPr>
          <w:lang w:val="fr-CH"/>
        </w:rPr>
        <w:t xml:space="preserve"> </w:t>
      </w:r>
    </w:p>
    <w:p w:rsidR="00972AC7" w:rsidRPr="0071782F" w:rsidRDefault="00972AC7" w:rsidP="00B24FBB">
      <w:pPr>
        <w:pStyle w:val="H23G"/>
        <w:rPr>
          <w:lang w:val="fr-CH"/>
        </w:rPr>
      </w:pPr>
      <w:r w:rsidRPr="0071782F">
        <w:rPr>
          <w:lang w:val="fr-CH"/>
        </w:rPr>
        <w:tab/>
      </w:r>
      <w:r w:rsidRPr="0071782F">
        <w:rPr>
          <w:lang w:val="fr-CH"/>
        </w:rPr>
        <w:tab/>
      </w:r>
      <w:r w:rsidR="00FD1775" w:rsidRPr="0071782F">
        <w:rPr>
          <w:lang w:val="fr-CH"/>
        </w:rPr>
        <w:t xml:space="preserve">Marché du travail </w:t>
      </w:r>
    </w:p>
    <w:p w:rsidR="00972AC7" w:rsidRPr="0071782F" w:rsidRDefault="00972AC7" w:rsidP="00972AC7">
      <w:pPr>
        <w:pStyle w:val="SingleTxtG"/>
        <w:rPr>
          <w:lang w:val="fr-CH"/>
        </w:rPr>
      </w:pPr>
      <w:r w:rsidRPr="0071782F">
        <w:rPr>
          <w:lang w:val="fr-CH"/>
        </w:rPr>
        <w:t>9.</w:t>
      </w:r>
      <w:r w:rsidRPr="0071782F">
        <w:rPr>
          <w:lang w:val="fr-CH"/>
        </w:rPr>
        <w:tab/>
      </w:r>
      <w:r w:rsidR="00FD1775" w:rsidRPr="0071782F">
        <w:rPr>
          <w:lang w:val="fr-CH"/>
        </w:rPr>
        <w:t xml:space="preserve">Selon les </w:t>
      </w:r>
      <w:r w:rsidRPr="0071782F">
        <w:rPr>
          <w:lang w:val="fr-CH"/>
        </w:rPr>
        <w:t>statisti</w:t>
      </w:r>
      <w:r w:rsidR="00FD1775" w:rsidRPr="0071782F">
        <w:rPr>
          <w:lang w:val="fr-CH"/>
        </w:rPr>
        <w:t>que</w:t>
      </w:r>
      <w:r w:rsidRPr="0071782F">
        <w:rPr>
          <w:lang w:val="fr-CH"/>
        </w:rPr>
        <w:t xml:space="preserve">s </w:t>
      </w:r>
      <w:r w:rsidR="00FD1775" w:rsidRPr="0071782F">
        <w:rPr>
          <w:lang w:val="fr-CH"/>
        </w:rPr>
        <w:t xml:space="preserve">publiées par </w:t>
      </w:r>
      <w:r w:rsidR="009D0F8D" w:rsidRPr="0071782F">
        <w:rPr>
          <w:lang w:val="fr-CH"/>
        </w:rPr>
        <w:t xml:space="preserve">le </w:t>
      </w:r>
      <w:r w:rsidRPr="0071782F">
        <w:rPr>
          <w:lang w:val="fr-CH"/>
        </w:rPr>
        <w:t>Minist</w:t>
      </w:r>
      <w:r w:rsidR="009D0F8D" w:rsidRPr="0071782F">
        <w:rPr>
          <w:lang w:val="fr-CH"/>
        </w:rPr>
        <w:t xml:space="preserve">ère du travail et des affaires sociales, quelque 166 </w:t>
      </w:r>
      <w:r w:rsidRPr="0071782F">
        <w:rPr>
          <w:lang w:val="fr-CH"/>
        </w:rPr>
        <w:t xml:space="preserve">000 </w:t>
      </w:r>
      <w:r w:rsidR="009D0F8D" w:rsidRPr="0071782F">
        <w:rPr>
          <w:lang w:val="fr-CH"/>
        </w:rPr>
        <w:t xml:space="preserve">programmes d’emploi étaient devenus opérationnels à la fin du premier trimestre de 2006, permettant de créer environ </w:t>
      </w:r>
      <w:r w:rsidRPr="0071782F">
        <w:rPr>
          <w:lang w:val="fr-CH"/>
        </w:rPr>
        <w:t>426</w:t>
      </w:r>
      <w:r w:rsidR="003F25A2">
        <w:rPr>
          <w:lang w:val="fr-CH"/>
        </w:rPr>
        <w:t> </w:t>
      </w:r>
      <w:r w:rsidRPr="0071782F">
        <w:rPr>
          <w:lang w:val="fr-CH"/>
        </w:rPr>
        <w:t xml:space="preserve">000 </w:t>
      </w:r>
      <w:r w:rsidR="009D0F8D" w:rsidRPr="0071782F">
        <w:rPr>
          <w:lang w:val="fr-CH"/>
        </w:rPr>
        <w:t xml:space="preserve">nouveaux emplois, dont </w:t>
      </w:r>
      <w:r w:rsidRPr="0071782F">
        <w:rPr>
          <w:lang w:val="fr-CH"/>
        </w:rPr>
        <w:t>36</w:t>
      </w:r>
      <w:r w:rsidR="009D0F8D" w:rsidRPr="0071782F">
        <w:rPr>
          <w:lang w:val="fr-CH"/>
        </w:rPr>
        <w:t>,</w:t>
      </w:r>
      <w:r w:rsidRPr="0071782F">
        <w:rPr>
          <w:lang w:val="fr-CH"/>
        </w:rPr>
        <w:t>8</w:t>
      </w:r>
      <w:r w:rsidR="007E5125" w:rsidRPr="0071782F">
        <w:rPr>
          <w:lang w:val="fr-CH"/>
        </w:rPr>
        <w:t>%</w:t>
      </w:r>
      <w:r w:rsidRPr="0071782F">
        <w:rPr>
          <w:lang w:val="fr-CH"/>
        </w:rPr>
        <w:t>, 35</w:t>
      </w:r>
      <w:r w:rsidR="009D0F8D" w:rsidRPr="0071782F">
        <w:rPr>
          <w:lang w:val="fr-CH"/>
        </w:rPr>
        <w:t>,</w:t>
      </w:r>
      <w:r w:rsidRPr="0071782F">
        <w:rPr>
          <w:lang w:val="fr-CH"/>
        </w:rPr>
        <w:t>9</w:t>
      </w:r>
      <w:r w:rsidR="007E5125" w:rsidRPr="0071782F">
        <w:rPr>
          <w:lang w:val="fr-CH"/>
        </w:rPr>
        <w:t>%</w:t>
      </w:r>
      <w:r w:rsidRPr="0071782F">
        <w:rPr>
          <w:lang w:val="fr-CH"/>
        </w:rPr>
        <w:t>, 22</w:t>
      </w:r>
      <w:r w:rsidR="009D0F8D" w:rsidRPr="0071782F">
        <w:rPr>
          <w:lang w:val="fr-CH"/>
        </w:rPr>
        <w:t>,</w:t>
      </w:r>
      <w:r w:rsidRPr="0071782F">
        <w:rPr>
          <w:lang w:val="fr-CH"/>
        </w:rPr>
        <w:t>7</w:t>
      </w:r>
      <w:r w:rsidR="007E5125" w:rsidRPr="0071782F">
        <w:rPr>
          <w:lang w:val="fr-CH"/>
        </w:rPr>
        <w:t>%</w:t>
      </w:r>
      <w:r w:rsidRPr="0071782F">
        <w:rPr>
          <w:lang w:val="fr-CH"/>
        </w:rPr>
        <w:t xml:space="preserve"> </w:t>
      </w:r>
      <w:r w:rsidR="009D0F8D" w:rsidRPr="0071782F">
        <w:rPr>
          <w:lang w:val="fr-CH"/>
        </w:rPr>
        <w:t>et</w:t>
      </w:r>
      <w:r w:rsidRPr="0071782F">
        <w:rPr>
          <w:lang w:val="fr-CH"/>
        </w:rPr>
        <w:t xml:space="preserve"> 4</w:t>
      </w:r>
      <w:r w:rsidR="009D0F8D" w:rsidRPr="0071782F">
        <w:rPr>
          <w:lang w:val="fr-CH"/>
        </w:rPr>
        <w:t>,</w:t>
      </w:r>
      <w:r w:rsidRPr="0071782F">
        <w:rPr>
          <w:lang w:val="fr-CH"/>
        </w:rPr>
        <w:t>7</w:t>
      </w:r>
      <w:r w:rsidR="007E5125" w:rsidRPr="0071782F">
        <w:rPr>
          <w:lang w:val="fr-CH"/>
        </w:rPr>
        <w:t>%</w:t>
      </w:r>
      <w:r w:rsidRPr="0071782F">
        <w:rPr>
          <w:lang w:val="fr-CH"/>
        </w:rPr>
        <w:t xml:space="preserve"> </w:t>
      </w:r>
      <w:r w:rsidR="009D0F8D" w:rsidRPr="0071782F">
        <w:rPr>
          <w:lang w:val="fr-CH"/>
        </w:rPr>
        <w:t>dans l’</w:t>
      </w:r>
      <w:r w:rsidRPr="0071782F">
        <w:rPr>
          <w:lang w:val="fr-CH"/>
        </w:rPr>
        <w:t>agricultur</w:t>
      </w:r>
      <w:r w:rsidR="009D0F8D" w:rsidRPr="0071782F">
        <w:rPr>
          <w:lang w:val="fr-CH"/>
        </w:rPr>
        <w:t>e</w:t>
      </w:r>
      <w:r w:rsidRPr="0071782F">
        <w:rPr>
          <w:lang w:val="fr-CH"/>
        </w:rPr>
        <w:t xml:space="preserve">, </w:t>
      </w:r>
      <w:r w:rsidR="009D0F8D" w:rsidRPr="0071782F">
        <w:rPr>
          <w:lang w:val="fr-CH"/>
        </w:rPr>
        <w:t>l’</w:t>
      </w:r>
      <w:r w:rsidRPr="0071782F">
        <w:rPr>
          <w:lang w:val="fr-CH"/>
        </w:rPr>
        <w:t>industri</w:t>
      </w:r>
      <w:r w:rsidR="009D0F8D" w:rsidRPr="0071782F">
        <w:rPr>
          <w:lang w:val="fr-CH"/>
        </w:rPr>
        <w:t xml:space="preserve">e, les </w:t>
      </w:r>
      <w:r w:rsidRPr="0071782F">
        <w:rPr>
          <w:lang w:val="fr-CH"/>
        </w:rPr>
        <w:t>service</w:t>
      </w:r>
      <w:r w:rsidR="009D0F8D" w:rsidRPr="0071782F">
        <w:rPr>
          <w:lang w:val="fr-CH"/>
        </w:rPr>
        <w:t>s et le secteur du logement, respectivement</w:t>
      </w:r>
      <w:r w:rsidRPr="0071782F">
        <w:rPr>
          <w:lang w:val="fr-CH"/>
        </w:rPr>
        <w:t>.</w:t>
      </w:r>
    </w:p>
    <w:p w:rsidR="00972AC7" w:rsidRPr="0071782F" w:rsidRDefault="00972AC7" w:rsidP="00B55247">
      <w:pPr>
        <w:pStyle w:val="SingleTxtG"/>
        <w:ind w:left="1701"/>
        <w:rPr>
          <w:lang w:val="fr-CH"/>
        </w:rPr>
      </w:pPr>
      <w:r w:rsidRPr="0071782F">
        <w:rPr>
          <w:lang w:val="fr-CH"/>
        </w:rPr>
        <w:t>9.1</w:t>
      </w:r>
      <w:r w:rsidR="00EF6CFA" w:rsidRPr="0071782F">
        <w:rPr>
          <w:lang w:val="fr-CH"/>
        </w:rPr>
        <w:t>.</w:t>
      </w:r>
      <w:r w:rsidRPr="0071782F">
        <w:rPr>
          <w:lang w:val="fr-CH"/>
        </w:rPr>
        <w:tab/>
      </w:r>
      <w:r w:rsidR="000F6728" w:rsidRPr="0071782F">
        <w:rPr>
          <w:lang w:val="fr-CH"/>
        </w:rPr>
        <w:t xml:space="preserve">Selon les données du recensement de </w:t>
      </w:r>
      <w:r w:rsidRPr="0071782F">
        <w:rPr>
          <w:lang w:val="fr-CH"/>
        </w:rPr>
        <w:t xml:space="preserve">2006, </w:t>
      </w:r>
      <w:r w:rsidR="000F6728" w:rsidRPr="0071782F">
        <w:rPr>
          <w:lang w:val="fr-CH"/>
        </w:rPr>
        <w:t xml:space="preserve">le taux de chômage et le taux d’activité ont été cette année-là de </w:t>
      </w:r>
      <w:r w:rsidRPr="0071782F">
        <w:rPr>
          <w:lang w:val="fr-CH"/>
        </w:rPr>
        <w:t>12</w:t>
      </w:r>
      <w:r w:rsidR="000F6728" w:rsidRPr="0071782F">
        <w:rPr>
          <w:lang w:val="fr-CH"/>
        </w:rPr>
        <w:t>,</w:t>
      </w:r>
      <w:r w:rsidRPr="0071782F">
        <w:rPr>
          <w:lang w:val="fr-CH"/>
        </w:rPr>
        <w:t>75</w:t>
      </w:r>
      <w:r w:rsidR="007E5125" w:rsidRPr="0071782F">
        <w:rPr>
          <w:lang w:val="fr-CH"/>
        </w:rPr>
        <w:t>%</w:t>
      </w:r>
      <w:r w:rsidRPr="0071782F">
        <w:rPr>
          <w:lang w:val="fr-CH"/>
        </w:rPr>
        <w:t xml:space="preserve"> </w:t>
      </w:r>
      <w:r w:rsidR="000F6728" w:rsidRPr="0071782F">
        <w:rPr>
          <w:lang w:val="fr-CH"/>
        </w:rPr>
        <w:t xml:space="preserve">et </w:t>
      </w:r>
      <w:r w:rsidRPr="0071782F">
        <w:rPr>
          <w:lang w:val="fr-CH"/>
        </w:rPr>
        <w:t>39</w:t>
      </w:r>
      <w:r w:rsidR="000F6728" w:rsidRPr="0071782F">
        <w:rPr>
          <w:lang w:val="fr-CH"/>
        </w:rPr>
        <w:t>,</w:t>
      </w:r>
      <w:r w:rsidRPr="0071782F">
        <w:rPr>
          <w:lang w:val="fr-CH"/>
        </w:rPr>
        <w:t>4</w:t>
      </w:r>
      <w:r w:rsidR="007E5125" w:rsidRPr="0071782F">
        <w:rPr>
          <w:lang w:val="fr-CH"/>
        </w:rPr>
        <w:t>%</w:t>
      </w:r>
      <w:r w:rsidR="000F6728" w:rsidRPr="0071782F">
        <w:rPr>
          <w:lang w:val="fr-CH"/>
        </w:rPr>
        <w:t>, respectivement</w:t>
      </w:r>
      <w:r w:rsidRPr="0071782F">
        <w:rPr>
          <w:lang w:val="fr-CH"/>
        </w:rPr>
        <w:t xml:space="preserve">. </w:t>
      </w:r>
      <w:r w:rsidR="000F6728" w:rsidRPr="0071782F">
        <w:rPr>
          <w:lang w:val="fr-CH"/>
        </w:rPr>
        <w:t xml:space="preserve">Le nombre </w:t>
      </w:r>
      <w:r w:rsidR="00D82C96" w:rsidRPr="0071782F">
        <w:rPr>
          <w:lang w:val="fr-CH"/>
        </w:rPr>
        <w:t>de personnes</w:t>
      </w:r>
      <w:r w:rsidR="000F6728" w:rsidRPr="0071782F">
        <w:rPr>
          <w:lang w:val="fr-CH"/>
        </w:rPr>
        <w:t xml:space="preserve"> ayant un emploi et le nombre de chômeurs à la recherche d’un emploi étaient respectivement de </w:t>
      </w:r>
      <w:r w:rsidRPr="0071782F">
        <w:rPr>
          <w:lang w:val="fr-CH"/>
        </w:rPr>
        <w:t>20</w:t>
      </w:r>
      <w:r w:rsidR="000F6728" w:rsidRPr="0071782F">
        <w:rPr>
          <w:lang w:val="fr-CH"/>
        </w:rPr>
        <w:t xml:space="preserve"> 476 </w:t>
      </w:r>
      <w:r w:rsidRPr="0071782F">
        <w:rPr>
          <w:lang w:val="fr-CH"/>
        </w:rPr>
        <w:t xml:space="preserve">000 </w:t>
      </w:r>
      <w:r w:rsidR="000F6728" w:rsidRPr="0071782F">
        <w:rPr>
          <w:lang w:val="fr-CH"/>
        </w:rPr>
        <w:t xml:space="preserve">et de </w:t>
      </w:r>
      <w:r w:rsidRPr="0071782F">
        <w:rPr>
          <w:lang w:val="fr-CH"/>
        </w:rPr>
        <w:t>2</w:t>
      </w:r>
      <w:r w:rsidR="000F6728" w:rsidRPr="0071782F">
        <w:rPr>
          <w:lang w:val="fr-CH"/>
        </w:rPr>
        <w:t> </w:t>
      </w:r>
      <w:r w:rsidRPr="0071782F">
        <w:rPr>
          <w:lang w:val="fr-CH"/>
        </w:rPr>
        <w:t>992</w:t>
      </w:r>
      <w:r w:rsidR="000F6728" w:rsidRPr="0071782F">
        <w:rPr>
          <w:lang w:val="fr-CH"/>
        </w:rPr>
        <w:t xml:space="preserve"> </w:t>
      </w:r>
      <w:r w:rsidRPr="0071782F">
        <w:rPr>
          <w:lang w:val="fr-CH"/>
        </w:rPr>
        <w:t xml:space="preserve">000. </w:t>
      </w:r>
      <w:r w:rsidR="000F6728" w:rsidRPr="0071782F">
        <w:rPr>
          <w:lang w:val="fr-CH"/>
        </w:rPr>
        <w:t xml:space="preserve">Le nombre des nouveaux arrivants sur le marché du travail est passé </w:t>
      </w:r>
      <w:r w:rsidR="008B3492" w:rsidRPr="0071782F">
        <w:rPr>
          <w:lang w:val="fr-CH"/>
        </w:rPr>
        <w:t xml:space="preserve">en 2006 </w:t>
      </w:r>
      <w:r w:rsidR="000F6728" w:rsidRPr="0071782F">
        <w:rPr>
          <w:lang w:val="fr-CH"/>
        </w:rPr>
        <w:t xml:space="preserve">à 810 </w:t>
      </w:r>
      <w:r w:rsidRPr="0071782F">
        <w:rPr>
          <w:lang w:val="fr-CH"/>
        </w:rPr>
        <w:t xml:space="preserve">000. </w:t>
      </w:r>
      <w:r w:rsidR="000F6728" w:rsidRPr="0071782F">
        <w:rPr>
          <w:lang w:val="fr-CH"/>
        </w:rPr>
        <w:t xml:space="preserve">Certes, l’évolution de ce nombre est due en partie au changement apporté </w:t>
      </w:r>
      <w:r w:rsidR="008B3492" w:rsidRPr="0071782F">
        <w:rPr>
          <w:lang w:val="fr-CH"/>
        </w:rPr>
        <w:t xml:space="preserve">cette année-là </w:t>
      </w:r>
      <w:r w:rsidR="000F6728" w:rsidRPr="0071782F">
        <w:rPr>
          <w:lang w:val="fr-CH"/>
        </w:rPr>
        <w:t xml:space="preserve">aux </w:t>
      </w:r>
      <w:r w:rsidRPr="0071782F">
        <w:rPr>
          <w:lang w:val="fr-CH"/>
        </w:rPr>
        <w:t>d</w:t>
      </w:r>
      <w:r w:rsidR="000F6728" w:rsidRPr="0071782F">
        <w:rPr>
          <w:lang w:val="fr-CH"/>
        </w:rPr>
        <w:t>é</w:t>
      </w:r>
      <w:r w:rsidRPr="0071782F">
        <w:rPr>
          <w:lang w:val="fr-CH"/>
        </w:rPr>
        <w:t xml:space="preserve">finitions </w:t>
      </w:r>
      <w:r w:rsidR="000F6728" w:rsidRPr="0071782F">
        <w:rPr>
          <w:lang w:val="fr-CH"/>
        </w:rPr>
        <w:t>de l’emploi et du chômage</w:t>
      </w:r>
      <w:r w:rsidRPr="0071782F">
        <w:rPr>
          <w:lang w:val="fr-CH"/>
        </w:rPr>
        <w:t xml:space="preserve">. </w:t>
      </w:r>
    </w:p>
    <w:p w:rsidR="00972AC7" w:rsidRPr="0071782F" w:rsidRDefault="00972AC7" w:rsidP="00B55247">
      <w:pPr>
        <w:pStyle w:val="SingleTxtG"/>
        <w:ind w:left="1701"/>
        <w:rPr>
          <w:lang w:val="fr-CH"/>
        </w:rPr>
      </w:pPr>
      <w:r w:rsidRPr="0071782F">
        <w:rPr>
          <w:lang w:val="fr-CH"/>
        </w:rPr>
        <w:t>9.2</w:t>
      </w:r>
      <w:r w:rsidR="00EF6CFA" w:rsidRPr="0071782F">
        <w:rPr>
          <w:lang w:val="fr-CH"/>
        </w:rPr>
        <w:t>.</w:t>
      </w:r>
      <w:r w:rsidRPr="0071782F">
        <w:rPr>
          <w:lang w:val="fr-CH"/>
        </w:rPr>
        <w:tab/>
      </w:r>
      <w:r w:rsidR="000F6728" w:rsidRPr="0071782F">
        <w:rPr>
          <w:lang w:val="fr-CH"/>
        </w:rPr>
        <w:t>Le taux de chômage a légèrement baissé en 2006 (12,75</w:t>
      </w:r>
      <w:r w:rsidR="007E5125" w:rsidRPr="0071782F">
        <w:rPr>
          <w:lang w:val="fr-CH"/>
        </w:rPr>
        <w:t>%</w:t>
      </w:r>
      <w:r w:rsidR="00D82C96" w:rsidRPr="0071782F">
        <w:rPr>
          <w:lang w:val="fr-CH"/>
        </w:rPr>
        <w:t>) par rapport à </w:t>
      </w:r>
      <w:r w:rsidR="000F6728" w:rsidRPr="0071782F">
        <w:rPr>
          <w:lang w:val="fr-CH"/>
        </w:rPr>
        <w:t>2005 (</w:t>
      </w:r>
      <w:r w:rsidRPr="0071782F">
        <w:rPr>
          <w:lang w:val="fr-CH"/>
        </w:rPr>
        <w:t>13</w:t>
      </w:r>
      <w:r w:rsidR="000F6728" w:rsidRPr="0071782F">
        <w:rPr>
          <w:lang w:val="fr-CH"/>
        </w:rPr>
        <w:t>,</w:t>
      </w:r>
      <w:r w:rsidRPr="0071782F">
        <w:rPr>
          <w:lang w:val="fr-CH"/>
        </w:rPr>
        <w:t>09</w:t>
      </w:r>
      <w:r w:rsidR="007E5125" w:rsidRPr="0071782F">
        <w:rPr>
          <w:lang w:val="fr-CH"/>
        </w:rPr>
        <w:t>%</w:t>
      </w:r>
      <w:r w:rsidR="000F6728"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9.3</w:t>
      </w:r>
      <w:r w:rsidR="00EF6CFA" w:rsidRPr="0071782F">
        <w:rPr>
          <w:lang w:val="fr-CH"/>
        </w:rPr>
        <w:t>.</w:t>
      </w:r>
      <w:r w:rsidRPr="0071782F">
        <w:rPr>
          <w:lang w:val="fr-CH"/>
        </w:rPr>
        <w:tab/>
      </w:r>
      <w:r w:rsidR="000F6728" w:rsidRPr="0071782F">
        <w:rPr>
          <w:lang w:val="fr-CH"/>
        </w:rPr>
        <w:t xml:space="preserve">Les autres résultats de l’enquête sur les indicateurs clés du marché du travail sont présentés ci-après. </w:t>
      </w:r>
    </w:p>
    <w:p w:rsidR="00972AC7" w:rsidRPr="0071782F" w:rsidRDefault="00972AC7" w:rsidP="00B55247">
      <w:pPr>
        <w:pStyle w:val="SingleTxtG"/>
        <w:ind w:left="1701"/>
        <w:rPr>
          <w:lang w:val="fr-CH"/>
        </w:rPr>
      </w:pPr>
      <w:r w:rsidRPr="0071782F">
        <w:rPr>
          <w:lang w:val="fr-CH"/>
        </w:rPr>
        <w:t>9.4</w:t>
      </w:r>
      <w:r w:rsidR="00EF6CFA" w:rsidRPr="0071782F">
        <w:rPr>
          <w:lang w:val="fr-CH"/>
        </w:rPr>
        <w:t>.</w:t>
      </w:r>
      <w:r w:rsidRPr="0071782F">
        <w:rPr>
          <w:lang w:val="fr-CH"/>
        </w:rPr>
        <w:tab/>
      </w:r>
      <w:r w:rsidR="00413A64" w:rsidRPr="0071782F">
        <w:rPr>
          <w:lang w:val="fr-CH"/>
        </w:rPr>
        <w:t>Le taux de chômage des jeunes appartenant aux groupes d’âge de 15 à 19</w:t>
      </w:r>
      <w:r w:rsidR="00D82C96" w:rsidRPr="0071782F">
        <w:rPr>
          <w:lang w:val="fr-CH"/>
        </w:rPr>
        <w:t> ans</w:t>
      </w:r>
      <w:r w:rsidR="00413A64" w:rsidRPr="0071782F">
        <w:rPr>
          <w:lang w:val="fr-CH"/>
        </w:rPr>
        <w:t xml:space="preserve"> et de 20 à 24</w:t>
      </w:r>
      <w:r w:rsidR="00D82C96" w:rsidRPr="0071782F">
        <w:rPr>
          <w:lang w:val="fr-CH"/>
        </w:rPr>
        <w:t> ans</w:t>
      </w:r>
      <w:r w:rsidR="00413A64" w:rsidRPr="0071782F">
        <w:rPr>
          <w:lang w:val="fr-CH"/>
        </w:rPr>
        <w:t xml:space="preserve"> est nettement plus élevé et infiniment plus grave que le taux de chômage des adultes.</w:t>
      </w:r>
      <w:r w:rsidRPr="0071782F">
        <w:rPr>
          <w:lang w:val="fr-CH"/>
        </w:rPr>
        <w:t xml:space="preserve"> </w:t>
      </w:r>
    </w:p>
    <w:p w:rsidR="00972AC7" w:rsidRPr="0071782F" w:rsidRDefault="00972AC7" w:rsidP="00B55247">
      <w:pPr>
        <w:pStyle w:val="SingleTxtG"/>
        <w:ind w:left="1701"/>
        <w:rPr>
          <w:lang w:val="fr-CH"/>
        </w:rPr>
      </w:pPr>
      <w:r w:rsidRPr="0071782F">
        <w:rPr>
          <w:lang w:val="fr-CH"/>
        </w:rPr>
        <w:t>9.5</w:t>
      </w:r>
      <w:r w:rsidR="00EF6CFA" w:rsidRPr="0071782F">
        <w:rPr>
          <w:lang w:val="fr-CH"/>
        </w:rPr>
        <w:t>.</w:t>
      </w:r>
      <w:r w:rsidRPr="0071782F">
        <w:rPr>
          <w:lang w:val="fr-CH"/>
        </w:rPr>
        <w:tab/>
      </w:r>
      <w:r w:rsidR="00413A64" w:rsidRPr="0071782F">
        <w:rPr>
          <w:lang w:val="fr-CH"/>
        </w:rPr>
        <w:t xml:space="preserve">Le taux de chômage féminin est </w:t>
      </w:r>
      <w:r w:rsidRPr="0071782F">
        <w:rPr>
          <w:lang w:val="fr-CH"/>
        </w:rPr>
        <w:t>2</w:t>
      </w:r>
      <w:r w:rsidR="00413A64" w:rsidRPr="0071782F">
        <w:rPr>
          <w:lang w:val="fr-CH"/>
        </w:rPr>
        <w:t>,</w:t>
      </w:r>
      <w:r w:rsidRPr="0071782F">
        <w:rPr>
          <w:lang w:val="fr-CH"/>
        </w:rPr>
        <w:t xml:space="preserve">2 </w:t>
      </w:r>
      <w:r w:rsidR="00413A64" w:rsidRPr="0071782F">
        <w:rPr>
          <w:lang w:val="fr-CH"/>
        </w:rPr>
        <w:t>fois supérieur au taux de chômage masculin, ce qui dé</w:t>
      </w:r>
      <w:r w:rsidR="003F25A2">
        <w:rPr>
          <w:lang w:val="fr-CH"/>
        </w:rPr>
        <w:t xml:space="preserve">note </w:t>
      </w:r>
      <w:r w:rsidR="00413A64" w:rsidRPr="0071782F">
        <w:rPr>
          <w:lang w:val="fr-CH"/>
        </w:rPr>
        <w:t>un profond déséquilibre entre les sexes sur le marché du travail.</w:t>
      </w:r>
    </w:p>
    <w:p w:rsidR="00972AC7" w:rsidRPr="0071782F" w:rsidRDefault="00972AC7" w:rsidP="00B55247">
      <w:pPr>
        <w:pStyle w:val="SingleTxtG"/>
        <w:ind w:left="1701"/>
        <w:rPr>
          <w:lang w:val="fr-CH"/>
        </w:rPr>
      </w:pPr>
      <w:r w:rsidRPr="0071782F">
        <w:rPr>
          <w:lang w:val="fr-CH"/>
        </w:rPr>
        <w:t>9.6</w:t>
      </w:r>
      <w:r w:rsidR="00EF6CFA" w:rsidRPr="0071782F">
        <w:rPr>
          <w:lang w:val="fr-CH"/>
        </w:rPr>
        <w:t>.</w:t>
      </w:r>
      <w:r w:rsidRPr="0071782F">
        <w:rPr>
          <w:lang w:val="fr-CH"/>
        </w:rPr>
        <w:tab/>
      </w:r>
      <w:r w:rsidR="00413A64" w:rsidRPr="0071782F">
        <w:rPr>
          <w:lang w:val="fr-CH"/>
        </w:rPr>
        <w:t xml:space="preserve">Le taux d’activité </w:t>
      </w:r>
      <w:r w:rsidR="007F37CE" w:rsidRPr="0071782F">
        <w:rPr>
          <w:lang w:val="fr-CH"/>
        </w:rPr>
        <w:t>des personnes</w:t>
      </w:r>
      <w:r w:rsidR="00413A64" w:rsidRPr="0071782F">
        <w:rPr>
          <w:lang w:val="fr-CH"/>
        </w:rPr>
        <w:t xml:space="preserve"> âgées (à partir de 55</w:t>
      </w:r>
      <w:r w:rsidR="00D82C96" w:rsidRPr="0071782F">
        <w:rPr>
          <w:lang w:val="fr-CH"/>
        </w:rPr>
        <w:t> ans</w:t>
      </w:r>
      <w:r w:rsidR="00413A64" w:rsidRPr="0071782F">
        <w:rPr>
          <w:lang w:val="fr-CH"/>
        </w:rPr>
        <w:t xml:space="preserve">) a été ramené de </w:t>
      </w:r>
      <w:r w:rsidRPr="0071782F">
        <w:rPr>
          <w:lang w:val="fr-CH"/>
        </w:rPr>
        <w:t>37</w:t>
      </w:r>
      <w:r w:rsidR="00413A64" w:rsidRPr="0071782F">
        <w:rPr>
          <w:lang w:val="fr-CH"/>
        </w:rPr>
        <w:t>,</w:t>
      </w:r>
      <w:r w:rsidRPr="0071782F">
        <w:rPr>
          <w:lang w:val="fr-CH"/>
        </w:rPr>
        <w:t>1</w:t>
      </w:r>
      <w:r w:rsidR="007E5125" w:rsidRPr="0071782F">
        <w:rPr>
          <w:lang w:val="fr-CH"/>
        </w:rPr>
        <w:t>%</w:t>
      </w:r>
      <w:r w:rsidRPr="0071782F">
        <w:rPr>
          <w:lang w:val="fr-CH"/>
        </w:rPr>
        <w:t xml:space="preserve"> </w:t>
      </w:r>
      <w:r w:rsidR="00413A64" w:rsidRPr="0071782F">
        <w:rPr>
          <w:lang w:val="fr-CH"/>
        </w:rPr>
        <w:t>e</w:t>
      </w:r>
      <w:r w:rsidRPr="0071782F">
        <w:rPr>
          <w:lang w:val="fr-CH"/>
        </w:rPr>
        <w:t xml:space="preserve">n 1996 </w:t>
      </w:r>
      <w:r w:rsidR="00413A64" w:rsidRPr="0071782F">
        <w:rPr>
          <w:lang w:val="fr-CH"/>
        </w:rPr>
        <w:t>à</w:t>
      </w:r>
      <w:r w:rsidRPr="0071782F">
        <w:rPr>
          <w:lang w:val="fr-CH"/>
        </w:rPr>
        <w:t xml:space="preserve"> 27</w:t>
      </w:r>
      <w:r w:rsidR="00413A64" w:rsidRPr="0071782F">
        <w:rPr>
          <w:lang w:val="fr-CH"/>
        </w:rPr>
        <w:t>,</w:t>
      </w:r>
      <w:r w:rsidRPr="0071782F">
        <w:rPr>
          <w:lang w:val="fr-CH"/>
        </w:rPr>
        <w:t>8</w:t>
      </w:r>
      <w:r w:rsidR="007E5125" w:rsidRPr="0071782F">
        <w:rPr>
          <w:lang w:val="fr-CH"/>
        </w:rPr>
        <w:t>%</w:t>
      </w:r>
      <w:r w:rsidRPr="0071782F">
        <w:rPr>
          <w:lang w:val="fr-CH"/>
        </w:rPr>
        <w:t xml:space="preserve"> </w:t>
      </w:r>
      <w:r w:rsidR="00413A64" w:rsidRPr="0071782F">
        <w:rPr>
          <w:lang w:val="fr-CH"/>
        </w:rPr>
        <w:t>e</w:t>
      </w:r>
      <w:r w:rsidRPr="0071782F">
        <w:rPr>
          <w:lang w:val="fr-CH"/>
        </w:rPr>
        <w:t xml:space="preserve">n 2006, </w:t>
      </w:r>
      <w:r w:rsidR="00413A64" w:rsidRPr="0071782F">
        <w:rPr>
          <w:lang w:val="fr-CH"/>
        </w:rPr>
        <w:t>ce qui indique que le système de sécurité sociale s’est amélioré</w:t>
      </w:r>
      <w:r w:rsidRPr="0071782F">
        <w:rPr>
          <w:lang w:val="fr-CH"/>
        </w:rPr>
        <w:t>.</w:t>
      </w:r>
    </w:p>
    <w:p w:rsidR="00972AC7" w:rsidRPr="0071782F" w:rsidRDefault="00972AC7" w:rsidP="00B55247">
      <w:pPr>
        <w:pStyle w:val="SingleTxtG"/>
        <w:ind w:left="1701"/>
        <w:rPr>
          <w:lang w:val="fr-CH"/>
        </w:rPr>
      </w:pPr>
      <w:r w:rsidRPr="0071782F">
        <w:rPr>
          <w:lang w:val="fr-CH"/>
        </w:rPr>
        <w:t>9.7</w:t>
      </w:r>
      <w:r w:rsidR="00EF6CFA" w:rsidRPr="0071782F">
        <w:rPr>
          <w:lang w:val="fr-CH"/>
        </w:rPr>
        <w:t>.</w:t>
      </w:r>
      <w:r w:rsidRPr="0071782F">
        <w:rPr>
          <w:lang w:val="fr-CH"/>
        </w:rPr>
        <w:tab/>
      </w:r>
      <w:r w:rsidR="00413A64" w:rsidRPr="0071782F">
        <w:rPr>
          <w:lang w:val="fr-CH"/>
        </w:rPr>
        <w:t xml:space="preserve">Au cours de la décennie achevée en 2006, l’accroissement des écarts de taux de chômage </w:t>
      </w:r>
      <w:r w:rsidR="008B3492" w:rsidRPr="0071782F">
        <w:rPr>
          <w:lang w:val="fr-CH"/>
        </w:rPr>
        <w:t>entre</w:t>
      </w:r>
      <w:r w:rsidR="00413A64" w:rsidRPr="0071782F">
        <w:rPr>
          <w:lang w:val="fr-CH"/>
        </w:rPr>
        <w:t xml:space="preserve"> les provinces du pays s’est établi aux alentours de </w:t>
      </w:r>
      <w:r w:rsidRPr="0071782F">
        <w:rPr>
          <w:lang w:val="fr-CH"/>
        </w:rPr>
        <w:t>0</w:t>
      </w:r>
      <w:r w:rsidR="00413A64" w:rsidRPr="0071782F">
        <w:rPr>
          <w:lang w:val="fr-CH"/>
        </w:rPr>
        <w:t>,</w:t>
      </w:r>
      <w:r w:rsidRPr="0071782F">
        <w:rPr>
          <w:lang w:val="fr-CH"/>
        </w:rPr>
        <w:t>3</w:t>
      </w:r>
      <w:r w:rsidR="007E5125" w:rsidRPr="0071782F">
        <w:rPr>
          <w:lang w:val="fr-CH"/>
        </w:rPr>
        <w:t>%</w:t>
      </w:r>
      <w:r w:rsidR="00413A64" w:rsidRPr="0071782F">
        <w:rPr>
          <w:lang w:val="fr-CH"/>
        </w:rPr>
        <w:t xml:space="preserve">, si bien que l’écart entre le taux de chômage le plus élevé et le taux le plus faible parmi les provinces s’est creusé, passant de </w:t>
      </w:r>
      <w:r w:rsidRPr="0071782F">
        <w:rPr>
          <w:lang w:val="fr-CH"/>
        </w:rPr>
        <w:t>13</w:t>
      </w:r>
      <w:r w:rsidR="00413A64" w:rsidRPr="0071782F">
        <w:rPr>
          <w:lang w:val="fr-CH"/>
        </w:rPr>
        <w:t>,</w:t>
      </w:r>
      <w:r w:rsidRPr="0071782F">
        <w:rPr>
          <w:lang w:val="fr-CH"/>
        </w:rPr>
        <w:t>3</w:t>
      </w:r>
      <w:r w:rsidR="007E5125" w:rsidRPr="0071782F">
        <w:rPr>
          <w:lang w:val="fr-CH"/>
        </w:rPr>
        <w:t>%</w:t>
      </w:r>
      <w:r w:rsidRPr="0071782F">
        <w:rPr>
          <w:lang w:val="fr-CH"/>
        </w:rPr>
        <w:t xml:space="preserve"> </w:t>
      </w:r>
      <w:r w:rsidR="00413A64" w:rsidRPr="0071782F">
        <w:rPr>
          <w:lang w:val="fr-CH"/>
        </w:rPr>
        <w:t>à</w:t>
      </w:r>
      <w:r w:rsidRPr="0071782F">
        <w:rPr>
          <w:lang w:val="fr-CH"/>
        </w:rPr>
        <w:t xml:space="preserve"> 13</w:t>
      </w:r>
      <w:r w:rsidR="00413A64" w:rsidRPr="0071782F">
        <w:rPr>
          <w:lang w:val="fr-CH"/>
        </w:rPr>
        <w:t>,</w:t>
      </w:r>
      <w:r w:rsidRPr="0071782F">
        <w:rPr>
          <w:lang w:val="fr-CH"/>
        </w:rPr>
        <w:t>6</w:t>
      </w:r>
      <w:r w:rsidR="007E5125" w:rsidRPr="0071782F">
        <w:rPr>
          <w:lang w:val="fr-CH"/>
        </w:rPr>
        <w:t>%</w:t>
      </w:r>
      <w:r w:rsidRPr="0071782F">
        <w:rPr>
          <w:lang w:val="fr-CH"/>
        </w:rPr>
        <w:t xml:space="preserve">. </w:t>
      </w:r>
      <w:r w:rsidR="00D82C96" w:rsidRPr="0071782F">
        <w:rPr>
          <w:lang w:val="fr-CH"/>
        </w:rPr>
        <w:t>Ce taux a légèrement baissé en </w:t>
      </w:r>
      <w:r w:rsidRPr="0071782F">
        <w:rPr>
          <w:lang w:val="fr-CH"/>
        </w:rPr>
        <w:t>2006</w:t>
      </w:r>
      <w:r w:rsidR="00413A64" w:rsidRPr="0071782F">
        <w:rPr>
          <w:lang w:val="fr-CH"/>
        </w:rPr>
        <w:t xml:space="preserve">, ramené à </w:t>
      </w:r>
      <w:r w:rsidRPr="0071782F">
        <w:rPr>
          <w:lang w:val="fr-CH"/>
        </w:rPr>
        <w:t>12</w:t>
      </w:r>
      <w:r w:rsidR="00413A64" w:rsidRPr="0071782F">
        <w:rPr>
          <w:lang w:val="fr-CH"/>
        </w:rPr>
        <w:t>,</w:t>
      </w:r>
      <w:r w:rsidRPr="0071782F">
        <w:rPr>
          <w:lang w:val="fr-CH"/>
        </w:rPr>
        <w:t>75</w:t>
      </w:r>
      <w:r w:rsidR="007E5125" w:rsidRPr="0071782F">
        <w:rPr>
          <w:lang w:val="fr-CH"/>
        </w:rPr>
        <w:t>%</w:t>
      </w:r>
      <w:r w:rsidRPr="0071782F">
        <w:rPr>
          <w:lang w:val="fr-CH"/>
        </w:rPr>
        <w:t xml:space="preserve"> </w:t>
      </w:r>
      <w:r w:rsidR="00413A64" w:rsidRPr="0071782F">
        <w:rPr>
          <w:lang w:val="fr-CH"/>
        </w:rPr>
        <w:t xml:space="preserve">de </w:t>
      </w:r>
      <w:r w:rsidRPr="0071782F">
        <w:rPr>
          <w:lang w:val="fr-CH"/>
        </w:rPr>
        <w:t>13</w:t>
      </w:r>
      <w:r w:rsidR="00413A64" w:rsidRPr="0071782F">
        <w:rPr>
          <w:lang w:val="fr-CH"/>
        </w:rPr>
        <w:t>,</w:t>
      </w:r>
      <w:r w:rsidRPr="0071782F">
        <w:rPr>
          <w:lang w:val="fr-CH"/>
        </w:rPr>
        <w:t>09</w:t>
      </w:r>
      <w:r w:rsidR="007E5125" w:rsidRPr="0071782F">
        <w:rPr>
          <w:lang w:val="fr-CH"/>
        </w:rPr>
        <w:t>%</w:t>
      </w:r>
      <w:r w:rsidRPr="0071782F">
        <w:rPr>
          <w:lang w:val="fr-CH"/>
        </w:rPr>
        <w:t xml:space="preserve"> </w:t>
      </w:r>
      <w:r w:rsidR="00413A64" w:rsidRPr="0071782F">
        <w:rPr>
          <w:lang w:val="fr-CH"/>
        </w:rPr>
        <w:t>e</w:t>
      </w:r>
      <w:r w:rsidRPr="0071782F">
        <w:rPr>
          <w:lang w:val="fr-CH"/>
        </w:rPr>
        <w:t xml:space="preserve">n 2005. </w:t>
      </w:r>
      <w:r w:rsidR="00413A64" w:rsidRPr="0071782F">
        <w:rPr>
          <w:lang w:val="fr-CH"/>
        </w:rPr>
        <w:t>On voit que le déséquilibre entre régions a été nettement marqué.</w:t>
      </w:r>
      <w:r w:rsidRPr="0071782F">
        <w:rPr>
          <w:lang w:val="fr-CH"/>
        </w:rPr>
        <w:t xml:space="preserve"> </w:t>
      </w:r>
    </w:p>
    <w:p w:rsidR="00972AC7" w:rsidRPr="0071782F" w:rsidRDefault="00972AC7" w:rsidP="00B55247">
      <w:pPr>
        <w:pStyle w:val="SingleTxtG"/>
        <w:ind w:left="1701"/>
        <w:rPr>
          <w:lang w:val="fr-CH"/>
        </w:rPr>
      </w:pPr>
      <w:r w:rsidRPr="0071782F">
        <w:rPr>
          <w:lang w:val="fr-CH"/>
        </w:rPr>
        <w:t>9.8</w:t>
      </w:r>
      <w:r w:rsidR="00EF6CFA" w:rsidRPr="0071782F">
        <w:rPr>
          <w:lang w:val="fr-CH"/>
        </w:rPr>
        <w:t>.</w:t>
      </w:r>
      <w:r w:rsidRPr="0071782F">
        <w:rPr>
          <w:lang w:val="fr-CH"/>
        </w:rPr>
        <w:tab/>
      </w:r>
      <w:r w:rsidR="0005284D" w:rsidRPr="0071782F">
        <w:rPr>
          <w:lang w:val="fr-CH"/>
        </w:rPr>
        <w:t xml:space="preserve">La proportion </w:t>
      </w:r>
      <w:r w:rsidR="007F37CE" w:rsidRPr="0071782F">
        <w:rPr>
          <w:lang w:val="fr-CH"/>
        </w:rPr>
        <w:t>des personnes</w:t>
      </w:r>
      <w:r w:rsidR="0005284D" w:rsidRPr="0071782F">
        <w:rPr>
          <w:lang w:val="fr-CH"/>
        </w:rPr>
        <w:t xml:space="preserve"> employées dans les secteurs privé et public a tendance à diminuer depuis quelques décennies</w:t>
      </w:r>
      <w:r w:rsidRPr="0071782F">
        <w:rPr>
          <w:lang w:val="fr-CH"/>
        </w:rPr>
        <w:t xml:space="preserve">. </w:t>
      </w:r>
      <w:r w:rsidR="0005284D" w:rsidRPr="0071782F">
        <w:rPr>
          <w:lang w:val="fr-CH"/>
        </w:rPr>
        <w:t xml:space="preserve">Cette tendance s’est poursuivie au cours des deux premières années du </w:t>
      </w:r>
      <w:r w:rsidR="00A90208" w:rsidRPr="0071782F">
        <w:rPr>
          <w:lang w:val="fr-CH"/>
        </w:rPr>
        <w:t>quatrième</w:t>
      </w:r>
      <w:r w:rsidR="0005284D" w:rsidRPr="0071782F">
        <w:rPr>
          <w:lang w:val="fr-CH"/>
        </w:rPr>
        <w:t xml:space="preserve"> plan de développement</w:t>
      </w:r>
      <w:r w:rsidRPr="0071782F">
        <w:rPr>
          <w:lang w:val="fr-CH"/>
        </w:rPr>
        <w:t>.</w:t>
      </w:r>
    </w:p>
    <w:p w:rsidR="00972AC7" w:rsidRPr="0071782F" w:rsidRDefault="00972AC7" w:rsidP="00B55247">
      <w:pPr>
        <w:pStyle w:val="SingleTxtG"/>
        <w:ind w:left="1701"/>
        <w:rPr>
          <w:lang w:val="fr-CH"/>
        </w:rPr>
      </w:pPr>
      <w:r w:rsidRPr="0071782F">
        <w:rPr>
          <w:lang w:val="fr-CH"/>
        </w:rPr>
        <w:t>9.9</w:t>
      </w:r>
      <w:r w:rsidR="00EF6CFA" w:rsidRPr="0071782F">
        <w:rPr>
          <w:lang w:val="fr-CH"/>
        </w:rPr>
        <w:t>.</w:t>
      </w:r>
      <w:r w:rsidRPr="0071782F">
        <w:rPr>
          <w:lang w:val="fr-CH"/>
        </w:rPr>
        <w:tab/>
      </w:r>
      <w:r w:rsidR="0005284D" w:rsidRPr="0071782F">
        <w:rPr>
          <w:lang w:val="fr-CH"/>
        </w:rPr>
        <w:t xml:space="preserve">Pendant ces deux années-là, le nombre </w:t>
      </w:r>
      <w:r w:rsidR="00D82C96" w:rsidRPr="0071782F">
        <w:rPr>
          <w:lang w:val="fr-CH"/>
        </w:rPr>
        <w:t>de personnes</w:t>
      </w:r>
      <w:r w:rsidR="0005284D" w:rsidRPr="0071782F">
        <w:rPr>
          <w:lang w:val="fr-CH"/>
        </w:rPr>
        <w:t xml:space="preserve"> exerçant un emploi spécialisé et le nombre de titulaires d’un diplôme d’études supérieures exerçant un emploi, qui sont deux indicateur</w:t>
      </w:r>
      <w:r w:rsidRPr="0071782F">
        <w:rPr>
          <w:lang w:val="fr-CH"/>
        </w:rPr>
        <w:t xml:space="preserve">s </w:t>
      </w:r>
      <w:r w:rsidR="0005284D" w:rsidRPr="0071782F">
        <w:rPr>
          <w:lang w:val="fr-CH"/>
        </w:rPr>
        <w:t xml:space="preserve">du développement d’activités économiques modernes et fondées sur le savoir, ont progressé de </w:t>
      </w:r>
      <w:r w:rsidRPr="0071782F">
        <w:rPr>
          <w:lang w:val="fr-CH"/>
        </w:rPr>
        <w:t>0</w:t>
      </w:r>
      <w:r w:rsidR="0005284D" w:rsidRPr="0071782F">
        <w:rPr>
          <w:lang w:val="fr-CH"/>
        </w:rPr>
        <w:t>,</w:t>
      </w:r>
      <w:r w:rsidRPr="0071782F">
        <w:rPr>
          <w:lang w:val="fr-CH"/>
        </w:rPr>
        <w:t>1</w:t>
      </w:r>
      <w:r w:rsidR="007E5125" w:rsidRPr="0071782F">
        <w:rPr>
          <w:lang w:val="fr-CH"/>
        </w:rPr>
        <w:t>%</w:t>
      </w:r>
      <w:r w:rsidRPr="0071782F">
        <w:rPr>
          <w:lang w:val="fr-CH"/>
        </w:rPr>
        <w:t xml:space="preserve"> </w:t>
      </w:r>
      <w:r w:rsidR="0005284D" w:rsidRPr="0071782F">
        <w:rPr>
          <w:lang w:val="fr-CH"/>
        </w:rPr>
        <w:t xml:space="preserve">et de </w:t>
      </w:r>
      <w:r w:rsidRPr="0071782F">
        <w:rPr>
          <w:lang w:val="fr-CH"/>
        </w:rPr>
        <w:t>1</w:t>
      </w:r>
      <w:r w:rsidR="0005284D" w:rsidRPr="0071782F">
        <w:rPr>
          <w:lang w:val="fr-CH"/>
        </w:rPr>
        <w:t>,</w:t>
      </w:r>
      <w:r w:rsidRPr="0071782F">
        <w:rPr>
          <w:lang w:val="fr-CH"/>
        </w:rPr>
        <w:t>3</w:t>
      </w:r>
      <w:r w:rsidR="007E5125" w:rsidRPr="0071782F">
        <w:rPr>
          <w:lang w:val="fr-CH"/>
        </w:rPr>
        <w:t>%</w:t>
      </w:r>
      <w:r w:rsidR="0005284D" w:rsidRPr="0071782F">
        <w:rPr>
          <w:lang w:val="fr-CH"/>
        </w:rPr>
        <w:t>, respectivement</w:t>
      </w:r>
      <w:r w:rsidRPr="0071782F">
        <w:rPr>
          <w:lang w:val="fr-CH"/>
        </w:rPr>
        <w:t xml:space="preserve">. </w:t>
      </w:r>
    </w:p>
    <w:p w:rsidR="00972AC7" w:rsidRPr="0071782F" w:rsidRDefault="00972AC7" w:rsidP="00B55247">
      <w:pPr>
        <w:pStyle w:val="SingleTxtG"/>
        <w:ind w:left="1701"/>
        <w:rPr>
          <w:lang w:val="fr-CH"/>
        </w:rPr>
      </w:pPr>
      <w:r w:rsidRPr="0071782F">
        <w:rPr>
          <w:lang w:val="fr-CH"/>
        </w:rPr>
        <w:t>9.10</w:t>
      </w:r>
      <w:r w:rsidR="00EF6CFA" w:rsidRPr="0071782F">
        <w:rPr>
          <w:lang w:val="fr-CH"/>
        </w:rPr>
        <w:t>.</w:t>
      </w:r>
      <w:r w:rsidRPr="0071782F">
        <w:rPr>
          <w:lang w:val="fr-CH"/>
        </w:rPr>
        <w:tab/>
      </w:r>
      <w:r w:rsidR="00217786" w:rsidRPr="0071782F">
        <w:rPr>
          <w:lang w:val="fr-CH"/>
        </w:rPr>
        <w:t>Pendant les deux premières années du plan, l’indicateur de la productivité de la main-d’</w:t>
      </w:r>
      <w:r w:rsidR="00D5366B" w:rsidRPr="0071782F">
        <w:rPr>
          <w:lang w:val="fr-CH"/>
        </w:rPr>
        <w:t>œuvre</w:t>
      </w:r>
      <w:r w:rsidR="00217786" w:rsidRPr="0071782F">
        <w:rPr>
          <w:lang w:val="fr-CH"/>
        </w:rPr>
        <w:t xml:space="preserve"> a augmenté de </w:t>
      </w:r>
      <w:r w:rsidRPr="0071782F">
        <w:rPr>
          <w:lang w:val="fr-CH"/>
        </w:rPr>
        <w:t>2</w:t>
      </w:r>
      <w:r w:rsidR="00217786" w:rsidRPr="0071782F">
        <w:rPr>
          <w:lang w:val="fr-CH"/>
        </w:rPr>
        <w:t>,</w:t>
      </w:r>
      <w:r w:rsidRPr="0071782F">
        <w:rPr>
          <w:lang w:val="fr-CH"/>
        </w:rPr>
        <w:t>1</w:t>
      </w:r>
      <w:r w:rsidR="007E5125" w:rsidRPr="0071782F">
        <w:rPr>
          <w:lang w:val="fr-CH"/>
        </w:rPr>
        <w:t>%</w:t>
      </w:r>
      <w:r w:rsidRPr="0071782F">
        <w:rPr>
          <w:lang w:val="fr-CH"/>
        </w:rPr>
        <w:t xml:space="preserve"> </w:t>
      </w:r>
      <w:r w:rsidR="00217786" w:rsidRPr="0071782F">
        <w:rPr>
          <w:lang w:val="fr-CH"/>
        </w:rPr>
        <w:t>e</w:t>
      </w:r>
      <w:r w:rsidRPr="0071782F">
        <w:rPr>
          <w:lang w:val="fr-CH"/>
        </w:rPr>
        <w:t xml:space="preserve">n </w:t>
      </w:r>
      <w:r w:rsidR="00217786" w:rsidRPr="0071782F">
        <w:rPr>
          <w:lang w:val="fr-CH"/>
        </w:rPr>
        <w:t>moyenne, ce qui traduit un recul du taux de chômage caché dans l’ensemble de l’économie.</w:t>
      </w:r>
    </w:p>
    <w:p w:rsidR="00972AC7" w:rsidRPr="0071782F" w:rsidRDefault="00972AC7" w:rsidP="00B55247">
      <w:pPr>
        <w:pStyle w:val="H23G"/>
        <w:rPr>
          <w:lang w:val="fr-CH"/>
        </w:rPr>
      </w:pPr>
      <w:r w:rsidRPr="0071782F">
        <w:rPr>
          <w:lang w:val="fr-CH"/>
        </w:rPr>
        <w:tab/>
      </w:r>
      <w:r w:rsidRPr="0071782F">
        <w:rPr>
          <w:lang w:val="fr-CH"/>
        </w:rPr>
        <w:tab/>
      </w:r>
      <w:r w:rsidR="00EC5163" w:rsidRPr="0071782F">
        <w:rPr>
          <w:lang w:val="fr-CH"/>
        </w:rPr>
        <w:t xml:space="preserve">Indicateur du développement humain </w:t>
      </w:r>
    </w:p>
    <w:p w:rsidR="00972AC7" w:rsidRPr="0071782F" w:rsidRDefault="00972AC7" w:rsidP="00B55247">
      <w:pPr>
        <w:pStyle w:val="SingleTxtG"/>
        <w:ind w:left="1701"/>
        <w:rPr>
          <w:lang w:val="fr-CH"/>
        </w:rPr>
      </w:pPr>
      <w:r w:rsidRPr="0071782F">
        <w:rPr>
          <w:lang w:val="fr-CH"/>
        </w:rPr>
        <w:t>9.11</w:t>
      </w:r>
      <w:r w:rsidR="00EF6CFA" w:rsidRPr="0071782F">
        <w:rPr>
          <w:lang w:val="fr-CH"/>
        </w:rPr>
        <w:t>.</w:t>
      </w:r>
      <w:r w:rsidRPr="0071782F">
        <w:rPr>
          <w:lang w:val="fr-CH"/>
        </w:rPr>
        <w:tab/>
      </w:r>
      <w:r w:rsidR="00EC5163" w:rsidRPr="0071782F">
        <w:rPr>
          <w:lang w:val="fr-CH"/>
        </w:rPr>
        <w:t xml:space="preserve">L’indicateur du développement humain est passé de </w:t>
      </w:r>
      <w:r w:rsidRPr="0071782F">
        <w:rPr>
          <w:lang w:val="fr-CH"/>
        </w:rPr>
        <w:t>0</w:t>
      </w:r>
      <w:r w:rsidR="00EC5163" w:rsidRPr="0071782F">
        <w:rPr>
          <w:lang w:val="fr-CH"/>
        </w:rPr>
        <w:t>,</w:t>
      </w:r>
      <w:r w:rsidRPr="0071782F">
        <w:rPr>
          <w:lang w:val="fr-CH"/>
        </w:rPr>
        <w:t xml:space="preserve">729 </w:t>
      </w:r>
      <w:r w:rsidR="00EC5163" w:rsidRPr="0071782F">
        <w:rPr>
          <w:lang w:val="fr-CH"/>
        </w:rPr>
        <w:t>e</w:t>
      </w:r>
      <w:r w:rsidRPr="0071782F">
        <w:rPr>
          <w:lang w:val="fr-CH"/>
        </w:rPr>
        <w:t xml:space="preserve">n 2001 </w:t>
      </w:r>
      <w:r w:rsidR="00EC5163" w:rsidRPr="0071782F">
        <w:rPr>
          <w:lang w:val="fr-CH"/>
        </w:rPr>
        <w:t>à</w:t>
      </w:r>
      <w:r w:rsidRPr="0071782F">
        <w:rPr>
          <w:lang w:val="fr-CH"/>
        </w:rPr>
        <w:t xml:space="preserve"> 0</w:t>
      </w:r>
      <w:r w:rsidR="00EC5163" w:rsidRPr="0071782F">
        <w:rPr>
          <w:lang w:val="fr-CH"/>
        </w:rPr>
        <w:t>,</w:t>
      </w:r>
      <w:r w:rsidRPr="0071782F">
        <w:rPr>
          <w:lang w:val="fr-CH"/>
        </w:rPr>
        <w:t xml:space="preserve">741 </w:t>
      </w:r>
      <w:r w:rsidR="00EC5163" w:rsidRPr="0071782F">
        <w:rPr>
          <w:lang w:val="fr-CH"/>
        </w:rPr>
        <w:t>e</w:t>
      </w:r>
      <w:r w:rsidR="007D201E">
        <w:rPr>
          <w:lang w:val="fr-CH"/>
        </w:rPr>
        <w:t>n </w:t>
      </w:r>
      <w:r w:rsidRPr="0071782F">
        <w:rPr>
          <w:lang w:val="fr-CH"/>
        </w:rPr>
        <w:t xml:space="preserve">2002, </w:t>
      </w:r>
      <w:r w:rsidR="00EC5163" w:rsidRPr="0071782F">
        <w:rPr>
          <w:lang w:val="fr-CH"/>
        </w:rPr>
        <w:t xml:space="preserve">puis à </w:t>
      </w:r>
      <w:r w:rsidRPr="0071782F">
        <w:rPr>
          <w:lang w:val="fr-CH"/>
        </w:rPr>
        <w:t>0</w:t>
      </w:r>
      <w:r w:rsidR="00EC5163" w:rsidRPr="0071782F">
        <w:rPr>
          <w:lang w:val="fr-CH"/>
        </w:rPr>
        <w:t>,</w:t>
      </w:r>
      <w:r w:rsidRPr="0071782F">
        <w:rPr>
          <w:lang w:val="fr-CH"/>
        </w:rPr>
        <w:t xml:space="preserve">761 </w:t>
      </w:r>
      <w:r w:rsidR="00EC5163" w:rsidRPr="0071782F">
        <w:rPr>
          <w:lang w:val="fr-CH"/>
        </w:rPr>
        <w:t>e</w:t>
      </w:r>
      <w:r w:rsidRPr="0071782F">
        <w:rPr>
          <w:lang w:val="fr-CH"/>
        </w:rPr>
        <w:t xml:space="preserve">n 2003 </w:t>
      </w:r>
      <w:r w:rsidR="00EC5163" w:rsidRPr="0071782F">
        <w:rPr>
          <w:lang w:val="fr-CH"/>
        </w:rPr>
        <w:t>et à 0,</w:t>
      </w:r>
      <w:r w:rsidRPr="0071782F">
        <w:rPr>
          <w:lang w:val="fr-CH"/>
        </w:rPr>
        <w:t xml:space="preserve">77 </w:t>
      </w:r>
      <w:r w:rsidR="00EC5163" w:rsidRPr="0071782F">
        <w:rPr>
          <w:lang w:val="fr-CH"/>
        </w:rPr>
        <w:t>e</w:t>
      </w:r>
      <w:r w:rsidRPr="0071782F">
        <w:rPr>
          <w:lang w:val="fr-CH"/>
        </w:rPr>
        <w:t xml:space="preserve">n 2004. </w:t>
      </w:r>
      <w:r w:rsidR="00EC5163" w:rsidRPr="0071782F">
        <w:rPr>
          <w:lang w:val="fr-CH"/>
        </w:rPr>
        <w:t>E</w:t>
      </w:r>
      <w:r w:rsidRPr="0071782F">
        <w:rPr>
          <w:lang w:val="fr-CH"/>
        </w:rPr>
        <w:t xml:space="preserve">n 2004, </w:t>
      </w:r>
      <w:r w:rsidR="00EC5163" w:rsidRPr="0071782F">
        <w:rPr>
          <w:lang w:val="fr-CH"/>
        </w:rPr>
        <w:t>les indicateurs du PIB, de l’éducation et de l’espérance de vie se sont établis à 0,</w:t>
      </w:r>
      <w:r w:rsidRPr="0071782F">
        <w:rPr>
          <w:lang w:val="fr-CH"/>
        </w:rPr>
        <w:t>722, 0</w:t>
      </w:r>
      <w:r w:rsidR="00EC5163" w:rsidRPr="0071782F">
        <w:rPr>
          <w:lang w:val="fr-CH"/>
        </w:rPr>
        <w:t>,</w:t>
      </w:r>
      <w:r w:rsidRPr="0071782F">
        <w:rPr>
          <w:lang w:val="fr-CH"/>
        </w:rPr>
        <w:t xml:space="preserve">846 </w:t>
      </w:r>
      <w:r w:rsidR="00EC5163" w:rsidRPr="0071782F">
        <w:rPr>
          <w:lang w:val="fr-CH"/>
        </w:rPr>
        <w:t>et 0,</w:t>
      </w:r>
      <w:r w:rsidRPr="0071782F">
        <w:rPr>
          <w:lang w:val="fr-CH"/>
        </w:rPr>
        <w:t>741</w:t>
      </w:r>
      <w:r w:rsidR="00EC5163" w:rsidRPr="0071782F">
        <w:rPr>
          <w:lang w:val="fr-CH"/>
        </w:rPr>
        <w:t>, respectivement</w:t>
      </w:r>
      <w:r w:rsidRPr="0071782F">
        <w:rPr>
          <w:lang w:val="fr-CH"/>
        </w:rPr>
        <w:t xml:space="preserve">. </w:t>
      </w:r>
    </w:p>
    <w:p w:rsidR="00972AC7" w:rsidRPr="0071782F" w:rsidRDefault="00972AC7" w:rsidP="00B55247">
      <w:pPr>
        <w:pStyle w:val="SingleTxtG"/>
        <w:ind w:left="1701"/>
        <w:rPr>
          <w:lang w:val="fr-CH"/>
        </w:rPr>
      </w:pPr>
      <w:r w:rsidRPr="0071782F">
        <w:rPr>
          <w:lang w:val="fr-CH"/>
        </w:rPr>
        <w:t>9.12</w:t>
      </w:r>
      <w:r w:rsidR="00EF6CFA" w:rsidRPr="0071782F">
        <w:rPr>
          <w:lang w:val="fr-CH"/>
        </w:rPr>
        <w:t>.</w:t>
      </w:r>
      <w:r w:rsidRPr="0071782F">
        <w:rPr>
          <w:lang w:val="fr-CH"/>
        </w:rPr>
        <w:tab/>
      </w:r>
      <w:r w:rsidR="00EC5163" w:rsidRPr="0071782F">
        <w:rPr>
          <w:lang w:val="fr-CH"/>
        </w:rPr>
        <w:t xml:space="preserve">En 2005, l’indicateur du revenu </w:t>
      </w:r>
      <w:r w:rsidRPr="0071782F">
        <w:rPr>
          <w:lang w:val="fr-CH"/>
        </w:rPr>
        <w:t xml:space="preserve">national </w:t>
      </w:r>
      <w:r w:rsidR="00EC5163" w:rsidRPr="0071782F">
        <w:rPr>
          <w:lang w:val="fr-CH"/>
        </w:rPr>
        <w:t>est passé à 0,</w:t>
      </w:r>
      <w:r w:rsidRPr="0071782F">
        <w:rPr>
          <w:lang w:val="fr-CH"/>
        </w:rPr>
        <w:t xml:space="preserve">729 </w:t>
      </w:r>
      <w:r w:rsidR="00EC5163" w:rsidRPr="0071782F">
        <w:rPr>
          <w:lang w:val="fr-CH"/>
        </w:rPr>
        <w:t>en raison de l’augmentation du revenu par habitant</w:t>
      </w:r>
      <w:r w:rsidRPr="0071782F">
        <w:rPr>
          <w:lang w:val="fr-CH"/>
        </w:rPr>
        <w:t xml:space="preserve">. </w:t>
      </w:r>
      <w:r w:rsidR="00EC5163" w:rsidRPr="0071782F">
        <w:rPr>
          <w:lang w:val="fr-CH"/>
        </w:rPr>
        <w:t xml:space="preserve">L’indicateur de l’espérance de vie a progressé de </w:t>
      </w:r>
      <w:r w:rsidRPr="0071782F">
        <w:rPr>
          <w:lang w:val="fr-CH"/>
        </w:rPr>
        <w:t>0</w:t>
      </w:r>
      <w:r w:rsidR="00EC5163" w:rsidRPr="0071782F">
        <w:rPr>
          <w:lang w:val="fr-CH"/>
        </w:rPr>
        <w:t>,</w:t>
      </w:r>
      <w:r w:rsidRPr="0071782F">
        <w:rPr>
          <w:lang w:val="fr-CH"/>
        </w:rPr>
        <w:t xml:space="preserve">841 </w:t>
      </w:r>
      <w:r w:rsidR="00EC5163" w:rsidRPr="0071782F">
        <w:rPr>
          <w:lang w:val="fr-CH"/>
        </w:rPr>
        <w:t>e</w:t>
      </w:r>
      <w:r w:rsidRPr="0071782F">
        <w:rPr>
          <w:lang w:val="fr-CH"/>
        </w:rPr>
        <w:t xml:space="preserve">n 2004 </w:t>
      </w:r>
      <w:r w:rsidR="00EC5163" w:rsidRPr="0071782F">
        <w:rPr>
          <w:lang w:val="fr-CH"/>
        </w:rPr>
        <w:t>à</w:t>
      </w:r>
      <w:r w:rsidRPr="0071782F">
        <w:rPr>
          <w:lang w:val="fr-CH"/>
        </w:rPr>
        <w:t xml:space="preserve"> 0</w:t>
      </w:r>
      <w:r w:rsidR="00EC5163" w:rsidRPr="0071782F">
        <w:rPr>
          <w:lang w:val="fr-CH"/>
        </w:rPr>
        <w:t>,</w:t>
      </w:r>
      <w:r w:rsidRPr="0071782F">
        <w:rPr>
          <w:lang w:val="fr-CH"/>
        </w:rPr>
        <w:t xml:space="preserve">849 </w:t>
      </w:r>
      <w:r w:rsidR="00EC5163" w:rsidRPr="0071782F">
        <w:rPr>
          <w:lang w:val="fr-CH"/>
        </w:rPr>
        <w:t>e</w:t>
      </w:r>
      <w:r w:rsidRPr="0071782F">
        <w:rPr>
          <w:lang w:val="fr-CH"/>
        </w:rPr>
        <w:t xml:space="preserve">n 2005. </w:t>
      </w:r>
      <w:r w:rsidR="00EC5163" w:rsidRPr="0071782F">
        <w:rPr>
          <w:lang w:val="fr-CH"/>
        </w:rPr>
        <w:t xml:space="preserve">L’amélioration des indicateurs susvisés a permis à l’indicateur du développement humain de passer de </w:t>
      </w:r>
      <w:r w:rsidRPr="0071782F">
        <w:rPr>
          <w:lang w:val="fr-CH"/>
        </w:rPr>
        <w:t>0</w:t>
      </w:r>
      <w:r w:rsidR="00EC5163" w:rsidRPr="0071782F">
        <w:rPr>
          <w:lang w:val="fr-CH"/>
        </w:rPr>
        <w:t>,</w:t>
      </w:r>
      <w:r w:rsidRPr="0071782F">
        <w:rPr>
          <w:lang w:val="fr-CH"/>
        </w:rPr>
        <w:t xml:space="preserve">77 </w:t>
      </w:r>
      <w:r w:rsidR="00EC5163" w:rsidRPr="0071782F">
        <w:rPr>
          <w:lang w:val="fr-CH"/>
        </w:rPr>
        <w:t>e</w:t>
      </w:r>
      <w:r w:rsidRPr="0071782F">
        <w:rPr>
          <w:lang w:val="fr-CH"/>
        </w:rPr>
        <w:t xml:space="preserve">n 2004 </w:t>
      </w:r>
      <w:r w:rsidR="00EC5163" w:rsidRPr="0071782F">
        <w:rPr>
          <w:lang w:val="fr-CH"/>
        </w:rPr>
        <w:t xml:space="preserve">à </w:t>
      </w:r>
      <w:r w:rsidRPr="0071782F">
        <w:rPr>
          <w:lang w:val="fr-CH"/>
        </w:rPr>
        <w:t>0</w:t>
      </w:r>
      <w:r w:rsidR="00EC5163" w:rsidRPr="0071782F">
        <w:rPr>
          <w:lang w:val="fr-CH"/>
        </w:rPr>
        <w:t>,</w:t>
      </w:r>
      <w:r w:rsidRPr="0071782F">
        <w:rPr>
          <w:lang w:val="fr-CH"/>
        </w:rPr>
        <w:t xml:space="preserve">777 </w:t>
      </w:r>
      <w:r w:rsidR="00EC5163" w:rsidRPr="0071782F">
        <w:rPr>
          <w:lang w:val="fr-CH"/>
        </w:rPr>
        <w:t>e</w:t>
      </w:r>
      <w:r w:rsidRPr="0071782F">
        <w:rPr>
          <w:lang w:val="fr-CH"/>
        </w:rPr>
        <w:t xml:space="preserve">n 2005. </w:t>
      </w:r>
      <w:r w:rsidR="00EC5163" w:rsidRPr="0071782F">
        <w:rPr>
          <w:lang w:val="fr-CH"/>
        </w:rPr>
        <w:t>Le taux de croissance de l’indicateur d</w:t>
      </w:r>
      <w:r w:rsidR="00A62149" w:rsidRPr="0071782F">
        <w:rPr>
          <w:lang w:val="fr-CH"/>
        </w:rPr>
        <w:t>u développement humain a été de </w:t>
      </w:r>
      <w:r w:rsidRPr="0071782F">
        <w:rPr>
          <w:lang w:val="fr-CH"/>
        </w:rPr>
        <w:t>1</w:t>
      </w:r>
      <w:r w:rsidR="007E5125" w:rsidRPr="0071782F">
        <w:rPr>
          <w:lang w:val="fr-CH"/>
        </w:rPr>
        <w:t>%</w:t>
      </w:r>
      <w:r w:rsidRPr="0071782F">
        <w:rPr>
          <w:lang w:val="fr-CH"/>
        </w:rPr>
        <w:t xml:space="preserve"> </w:t>
      </w:r>
      <w:r w:rsidR="00EC5163" w:rsidRPr="0071782F">
        <w:rPr>
          <w:lang w:val="fr-CH"/>
        </w:rPr>
        <w:t>e</w:t>
      </w:r>
      <w:r w:rsidRPr="0071782F">
        <w:rPr>
          <w:lang w:val="fr-CH"/>
        </w:rPr>
        <w:t xml:space="preserve">n 2005. </w:t>
      </w:r>
    </w:p>
    <w:p w:rsidR="00972AC7" w:rsidRPr="0071782F" w:rsidRDefault="00972AC7" w:rsidP="00B55247">
      <w:pPr>
        <w:pStyle w:val="SingleTxtG"/>
        <w:ind w:left="1701"/>
        <w:rPr>
          <w:lang w:val="fr-CH"/>
        </w:rPr>
      </w:pPr>
      <w:r w:rsidRPr="0071782F">
        <w:rPr>
          <w:lang w:val="fr-CH"/>
        </w:rPr>
        <w:t>9.13</w:t>
      </w:r>
      <w:r w:rsidR="00EF6CFA" w:rsidRPr="0071782F">
        <w:rPr>
          <w:lang w:val="fr-CH"/>
        </w:rPr>
        <w:t>.</w:t>
      </w:r>
      <w:r w:rsidRPr="0071782F">
        <w:rPr>
          <w:lang w:val="fr-CH"/>
        </w:rPr>
        <w:tab/>
      </w:r>
      <w:r w:rsidR="00EC5163" w:rsidRPr="0071782F">
        <w:rPr>
          <w:lang w:val="fr-CH"/>
        </w:rPr>
        <w:t xml:space="preserve">À l’heure actuelle, la République islamique d’Iran appartient à la catégorie des pays à indicateur de développement humain moyen </w:t>
      </w:r>
      <w:r w:rsidRPr="0071782F">
        <w:rPr>
          <w:lang w:val="fr-CH"/>
        </w:rPr>
        <w:t>(</w:t>
      </w:r>
      <w:r w:rsidR="00EC5163" w:rsidRPr="0071782F">
        <w:rPr>
          <w:lang w:val="fr-CH"/>
        </w:rPr>
        <w:t>l’indicateur de développement humain des pays où il est élevé est supérieur à 0,</w:t>
      </w:r>
      <w:r w:rsidRPr="0071782F">
        <w:rPr>
          <w:lang w:val="fr-CH"/>
        </w:rPr>
        <w:t xml:space="preserve">80). </w:t>
      </w:r>
    </w:p>
    <w:p w:rsidR="00972AC7" w:rsidRPr="0071782F" w:rsidRDefault="00972AC7" w:rsidP="00B55247">
      <w:pPr>
        <w:pStyle w:val="SingleTxtG"/>
        <w:ind w:left="1701"/>
        <w:rPr>
          <w:lang w:val="fr-CH"/>
        </w:rPr>
      </w:pPr>
      <w:r w:rsidRPr="0071782F">
        <w:rPr>
          <w:lang w:val="fr-CH"/>
        </w:rPr>
        <w:t>9.14</w:t>
      </w:r>
      <w:r w:rsidR="00EF6CFA" w:rsidRPr="0071782F">
        <w:rPr>
          <w:lang w:val="fr-CH"/>
        </w:rPr>
        <w:t>.</w:t>
      </w:r>
      <w:r w:rsidRPr="0071782F">
        <w:rPr>
          <w:lang w:val="fr-CH"/>
        </w:rPr>
        <w:tab/>
        <w:t>A</w:t>
      </w:r>
      <w:r w:rsidR="00EC5163" w:rsidRPr="0071782F">
        <w:rPr>
          <w:lang w:val="fr-CH"/>
        </w:rPr>
        <w:t xml:space="preserve">u niveau des provinces, les indicateurs de développement humain des provinces de </w:t>
      </w:r>
      <w:r w:rsidRPr="0071782F">
        <w:rPr>
          <w:lang w:val="fr-CH"/>
        </w:rPr>
        <w:t>T</w:t>
      </w:r>
      <w:r w:rsidR="00EC5163" w:rsidRPr="0071782F">
        <w:rPr>
          <w:lang w:val="fr-CH"/>
        </w:rPr>
        <w:t>éhéran</w:t>
      </w:r>
      <w:r w:rsidRPr="0071782F">
        <w:rPr>
          <w:lang w:val="fr-CH"/>
        </w:rPr>
        <w:t xml:space="preserve">, </w:t>
      </w:r>
      <w:r w:rsidR="00EC5163" w:rsidRPr="0071782F">
        <w:rPr>
          <w:lang w:val="fr-CH"/>
        </w:rPr>
        <w:t>d’</w:t>
      </w:r>
      <w:r w:rsidRPr="0071782F">
        <w:rPr>
          <w:lang w:val="fr-CH"/>
        </w:rPr>
        <w:t>Is</w:t>
      </w:r>
      <w:r w:rsidR="00EC5163" w:rsidRPr="0071782F">
        <w:rPr>
          <w:lang w:val="fr-CH"/>
        </w:rPr>
        <w:t>p</w:t>
      </w:r>
      <w:r w:rsidRPr="0071782F">
        <w:rPr>
          <w:lang w:val="fr-CH"/>
        </w:rPr>
        <w:t xml:space="preserve">ahan, </w:t>
      </w:r>
      <w:r w:rsidR="00EC5163" w:rsidRPr="0071782F">
        <w:rPr>
          <w:lang w:val="fr-CH"/>
        </w:rPr>
        <w:t xml:space="preserve">de </w:t>
      </w:r>
      <w:r w:rsidRPr="0071782F">
        <w:rPr>
          <w:lang w:val="fr-CH"/>
        </w:rPr>
        <w:t xml:space="preserve">Qazvin, </w:t>
      </w:r>
      <w:r w:rsidR="00EC5163" w:rsidRPr="0071782F">
        <w:rPr>
          <w:lang w:val="fr-CH"/>
        </w:rPr>
        <w:t xml:space="preserve">de </w:t>
      </w:r>
      <w:r w:rsidRPr="0071782F">
        <w:rPr>
          <w:lang w:val="fr-CH"/>
        </w:rPr>
        <w:t xml:space="preserve">Gilan, </w:t>
      </w:r>
      <w:r w:rsidR="00EC5163" w:rsidRPr="0071782F">
        <w:rPr>
          <w:lang w:val="fr-CH"/>
        </w:rPr>
        <w:t xml:space="preserve">de </w:t>
      </w:r>
      <w:r w:rsidRPr="0071782F">
        <w:rPr>
          <w:lang w:val="fr-CH"/>
        </w:rPr>
        <w:t xml:space="preserve">Fars </w:t>
      </w:r>
      <w:r w:rsidR="00D6275F" w:rsidRPr="0071782F">
        <w:rPr>
          <w:lang w:val="fr-CH"/>
        </w:rPr>
        <w:t xml:space="preserve">et de </w:t>
      </w:r>
      <w:r w:rsidRPr="0071782F">
        <w:rPr>
          <w:lang w:val="fr-CH"/>
        </w:rPr>
        <w:t xml:space="preserve">Yazd </w:t>
      </w:r>
      <w:r w:rsidR="00EC5163" w:rsidRPr="0071782F">
        <w:rPr>
          <w:lang w:val="fr-CH"/>
        </w:rPr>
        <w:t>sont supérieurs à ceux des autres provinces car les niveaux de revenu et d’instruction y sont supérieurs et l’espérance de vie plus longue</w:t>
      </w:r>
      <w:r w:rsidRPr="0071782F">
        <w:rPr>
          <w:lang w:val="fr-CH"/>
        </w:rPr>
        <w:t xml:space="preserve">. </w:t>
      </w:r>
      <w:r w:rsidR="00EC5163" w:rsidRPr="0071782F">
        <w:rPr>
          <w:lang w:val="fr-CH"/>
        </w:rPr>
        <w:t xml:space="preserve">Le taux d’alphabétisation des adultes et l’accès à l’eau salubre sont deux autres indicateurs importants du point de vue du développement humain. En </w:t>
      </w:r>
      <w:r w:rsidRPr="0071782F">
        <w:rPr>
          <w:lang w:val="fr-CH"/>
        </w:rPr>
        <w:t xml:space="preserve">2002, </w:t>
      </w:r>
      <w:r w:rsidR="00EC5163" w:rsidRPr="0071782F">
        <w:rPr>
          <w:lang w:val="fr-CH"/>
        </w:rPr>
        <w:t>l’</w:t>
      </w:r>
      <w:r w:rsidRPr="0071782F">
        <w:rPr>
          <w:lang w:val="fr-CH"/>
        </w:rPr>
        <w:t>acc</w:t>
      </w:r>
      <w:r w:rsidR="00EC5163" w:rsidRPr="0071782F">
        <w:rPr>
          <w:lang w:val="fr-CH"/>
        </w:rPr>
        <w:t>è</w:t>
      </w:r>
      <w:r w:rsidRPr="0071782F">
        <w:rPr>
          <w:lang w:val="fr-CH"/>
        </w:rPr>
        <w:t xml:space="preserve">s </w:t>
      </w:r>
      <w:r w:rsidR="00EC5163" w:rsidRPr="0071782F">
        <w:rPr>
          <w:lang w:val="fr-CH"/>
        </w:rPr>
        <w:t xml:space="preserve">à l’eau salubre était de </w:t>
      </w:r>
      <w:r w:rsidRPr="0071782F">
        <w:rPr>
          <w:lang w:val="fr-CH"/>
        </w:rPr>
        <w:t>98</w:t>
      </w:r>
      <w:r w:rsidR="00EC5163" w:rsidRPr="0071782F">
        <w:rPr>
          <w:lang w:val="fr-CH"/>
        </w:rPr>
        <w:t>,</w:t>
      </w:r>
      <w:r w:rsidRPr="0071782F">
        <w:rPr>
          <w:lang w:val="fr-CH"/>
        </w:rPr>
        <w:t>8</w:t>
      </w:r>
      <w:r w:rsidR="007E5125" w:rsidRPr="0071782F">
        <w:rPr>
          <w:lang w:val="fr-CH"/>
        </w:rPr>
        <w:t>%</w:t>
      </w:r>
      <w:r w:rsidRPr="0071782F">
        <w:rPr>
          <w:lang w:val="fr-CH"/>
        </w:rPr>
        <w:t xml:space="preserve"> </w:t>
      </w:r>
      <w:r w:rsidR="00EC5163" w:rsidRPr="0071782F">
        <w:rPr>
          <w:lang w:val="fr-CH"/>
        </w:rPr>
        <w:t xml:space="preserve">en milieu urbain et de </w:t>
      </w:r>
      <w:r w:rsidRPr="0071782F">
        <w:rPr>
          <w:lang w:val="fr-CH"/>
        </w:rPr>
        <w:t>87</w:t>
      </w:r>
      <w:r w:rsidR="00EC5163" w:rsidRPr="0071782F">
        <w:rPr>
          <w:lang w:val="fr-CH"/>
        </w:rPr>
        <w:t>,</w:t>
      </w:r>
      <w:r w:rsidRPr="0071782F">
        <w:rPr>
          <w:lang w:val="fr-CH"/>
        </w:rPr>
        <w:t>45</w:t>
      </w:r>
      <w:r w:rsidR="007E5125" w:rsidRPr="0071782F">
        <w:rPr>
          <w:lang w:val="fr-CH"/>
        </w:rPr>
        <w:t>%</w:t>
      </w:r>
      <w:r w:rsidR="00EC5163" w:rsidRPr="0071782F">
        <w:rPr>
          <w:lang w:val="fr-CH"/>
        </w:rPr>
        <w:t xml:space="preserve"> en milieu rural</w:t>
      </w:r>
      <w:r w:rsidRPr="0071782F">
        <w:rPr>
          <w:lang w:val="fr-CH"/>
        </w:rPr>
        <w:t xml:space="preserve">. </w:t>
      </w:r>
      <w:r w:rsidR="00EC5163" w:rsidRPr="0071782F">
        <w:rPr>
          <w:lang w:val="fr-CH"/>
        </w:rPr>
        <w:t xml:space="preserve">Ces taux sont passés à </w:t>
      </w:r>
      <w:r w:rsidRPr="0071782F">
        <w:rPr>
          <w:lang w:val="fr-CH"/>
        </w:rPr>
        <w:t>99</w:t>
      </w:r>
      <w:r w:rsidR="00EC5163" w:rsidRPr="0071782F">
        <w:rPr>
          <w:lang w:val="fr-CH"/>
        </w:rPr>
        <w:t>,</w:t>
      </w:r>
      <w:r w:rsidRPr="0071782F">
        <w:rPr>
          <w:lang w:val="fr-CH"/>
        </w:rPr>
        <w:t>1</w:t>
      </w:r>
      <w:r w:rsidR="007E5125" w:rsidRPr="0071782F">
        <w:rPr>
          <w:lang w:val="fr-CH"/>
        </w:rPr>
        <w:t>%</w:t>
      </w:r>
      <w:r w:rsidR="00EC5163" w:rsidRPr="0071782F">
        <w:rPr>
          <w:lang w:val="fr-CH"/>
        </w:rPr>
        <w:t xml:space="preserve"> et </w:t>
      </w:r>
      <w:r w:rsidRPr="0071782F">
        <w:rPr>
          <w:lang w:val="fr-CH"/>
        </w:rPr>
        <w:t>88</w:t>
      </w:r>
      <w:r w:rsidR="00EC5163" w:rsidRPr="0071782F">
        <w:rPr>
          <w:lang w:val="fr-CH"/>
        </w:rPr>
        <w:t>,</w:t>
      </w:r>
      <w:r w:rsidRPr="0071782F">
        <w:rPr>
          <w:lang w:val="fr-CH"/>
        </w:rPr>
        <w:t>9</w:t>
      </w:r>
      <w:r w:rsidR="007E5125" w:rsidRPr="0071782F">
        <w:rPr>
          <w:lang w:val="fr-CH"/>
        </w:rPr>
        <w:t>%</w:t>
      </w:r>
      <w:r w:rsidR="00EC5163" w:rsidRPr="0071782F">
        <w:rPr>
          <w:lang w:val="fr-CH"/>
        </w:rPr>
        <w:t xml:space="preserve">, respectivement, en </w:t>
      </w:r>
      <w:r w:rsidRPr="0071782F">
        <w:rPr>
          <w:lang w:val="fr-CH"/>
        </w:rPr>
        <w:t xml:space="preserve">2006. </w:t>
      </w:r>
      <w:r w:rsidR="00EC5163" w:rsidRPr="0071782F">
        <w:rPr>
          <w:lang w:val="fr-CH"/>
        </w:rPr>
        <w:t xml:space="preserve">Le taux d’alphabétisation des adultes est passé de </w:t>
      </w:r>
      <w:r w:rsidRPr="0071782F">
        <w:rPr>
          <w:lang w:val="fr-CH"/>
        </w:rPr>
        <w:t>80</w:t>
      </w:r>
      <w:r w:rsidR="00EC5163" w:rsidRPr="0071782F">
        <w:rPr>
          <w:lang w:val="fr-CH"/>
        </w:rPr>
        <w:t>,</w:t>
      </w:r>
      <w:r w:rsidRPr="0071782F">
        <w:rPr>
          <w:lang w:val="fr-CH"/>
        </w:rPr>
        <w:t>8</w:t>
      </w:r>
      <w:r w:rsidR="007E5125" w:rsidRPr="0071782F">
        <w:rPr>
          <w:lang w:val="fr-CH"/>
        </w:rPr>
        <w:t>%</w:t>
      </w:r>
      <w:r w:rsidRPr="0071782F">
        <w:rPr>
          <w:lang w:val="fr-CH"/>
        </w:rPr>
        <w:t xml:space="preserve"> </w:t>
      </w:r>
      <w:r w:rsidR="00EC5163" w:rsidRPr="0071782F">
        <w:rPr>
          <w:lang w:val="fr-CH"/>
        </w:rPr>
        <w:t>e</w:t>
      </w:r>
      <w:r w:rsidRPr="0071782F">
        <w:rPr>
          <w:lang w:val="fr-CH"/>
        </w:rPr>
        <w:t xml:space="preserve">n 2002 </w:t>
      </w:r>
      <w:r w:rsidR="00EC5163" w:rsidRPr="0071782F">
        <w:rPr>
          <w:lang w:val="fr-CH"/>
        </w:rPr>
        <w:t>à</w:t>
      </w:r>
      <w:r w:rsidRPr="0071782F">
        <w:rPr>
          <w:lang w:val="fr-CH"/>
        </w:rPr>
        <w:t xml:space="preserve"> 82</w:t>
      </w:r>
      <w:r w:rsidR="007E5125" w:rsidRPr="0071782F">
        <w:rPr>
          <w:lang w:val="fr-CH"/>
        </w:rPr>
        <w:t>%</w:t>
      </w:r>
      <w:r w:rsidRPr="0071782F">
        <w:rPr>
          <w:lang w:val="fr-CH"/>
        </w:rPr>
        <w:t xml:space="preserve"> </w:t>
      </w:r>
      <w:r w:rsidR="00EC5163" w:rsidRPr="0071782F">
        <w:rPr>
          <w:lang w:val="fr-CH"/>
        </w:rPr>
        <w:t>e</w:t>
      </w:r>
      <w:r w:rsidRPr="0071782F">
        <w:rPr>
          <w:lang w:val="fr-CH"/>
        </w:rPr>
        <w:t xml:space="preserve">n 2006. </w:t>
      </w:r>
    </w:p>
    <w:p w:rsidR="00972AC7" w:rsidRPr="0071782F" w:rsidRDefault="00972AC7" w:rsidP="00B55247">
      <w:pPr>
        <w:pStyle w:val="H23G"/>
        <w:rPr>
          <w:lang w:val="fr-CH"/>
        </w:rPr>
      </w:pPr>
      <w:r w:rsidRPr="0071782F">
        <w:rPr>
          <w:lang w:val="fr-CH"/>
        </w:rPr>
        <w:tab/>
      </w:r>
      <w:r w:rsidRPr="0071782F">
        <w:rPr>
          <w:lang w:val="fr-CH"/>
        </w:rPr>
        <w:tab/>
      </w:r>
      <w:r w:rsidR="00EC5163" w:rsidRPr="0071782F">
        <w:rPr>
          <w:lang w:val="fr-CH"/>
        </w:rPr>
        <w:t xml:space="preserve">Croissance économique </w:t>
      </w:r>
    </w:p>
    <w:p w:rsidR="00972AC7" w:rsidRPr="0071782F" w:rsidRDefault="00972AC7" w:rsidP="00972AC7">
      <w:pPr>
        <w:pStyle w:val="SingleTxtG"/>
        <w:rPr>
          <w:lang w:val="fr-CH"/>
        </w:rPr>
      </w:pPr>
      <w:r w:rsidRPr="0071782F">
        <w:rPr>
          <w:lang w:val="fr-CH"/>
        </w:rPr>
        <w:t>10.</w:t>
      </w:r>
      <w:r w:rsidRPr="0071782F">
        <w:rPr>
          <w:lang w:val="fr-CH"/>
        </w:rPr>
        <w:tab/>
      </w:r>
      <w:r w:rsidR="00D56AB4" w:rsidRPr="0071782F">
        <w:rPr>
          <w:lang w:val="fr-CH"/>
        </w:rPr>
        <w:t xml:space="preserve">En 2006, la croissance économique a été plutôt bonne et orientée à la hausse. La même année, le PIB a connu une croissance de </w:t>
      </w:r>
      <w:r w:rsidRPr="0071782F">
        <w:rPr>
          <w:lang w:val="fr-CH"/>
        </w:rPr>
        <w:t>6</w:t>
      </w:r>
      <w:r w:rsidR="00D56AB4" w:rsidRPr="0071782F">
        <w:rPr>
          <w:lang w:val="fr-CH"/>
        </w:rPr>
        <w:t>,</w:t>
      </w:r>
      <w:r w:rsidRPr="0071782F">
        <w:rPr>
          <w:lang w:val="fr-CH"/>
        </w:rPr>
        <w:t>2</w:t>
      </w:r>
      <w:r w:rsidR="007E5125" w:rsidRPr="0071782F">
        <w:rPr>
          <w:lang w:val="fr-CH"/>
        </w:rPr>
        <w:t>%</w:t>
      </w:r>
      <w:r w:rsidR="00D56AB4" w:rsidRPr="0071782F">
        <w:rPr>
          <w:lang w:val="fr-CH"/>
        </w:rPr>
        <w:t xml:space="preserve">, passant de </w:t>
      </w:r>
      <w:r w:rsidRPr="0071782F">
        <w:rPr>
          <w:lang w:val="fr-CH"/>
        </w:rPr>
        <w:t>420</w:t>
      </w:r>
      <w:r w:rsidR="00D6275F" w:rsidRPr="0071782F">
        <w:rPr>
          <w:lang w:val="fr-CH"/>
        </w:rPr>
        <w:t xml:space="preserve"> </w:t>
      </w:r>
      <w:r w:rsidRPr="0071782F">
        <w:rPr>
          <w:lang w:val="fr-CH"/>
        </w:rPr>
        <w:t>928</w:t>
      </w:r>
      <w:r w:rsidR="008553D9" w:rsidRPr="0071782F">
        <w:rPr>
          <w:lang w:val="fr-CH"/>
        </w:rPr>
        <w:t> milliard</w:t>
      </w:r>
      <w:r w:rsidR="00097CDB" w:rsidRPr="0071782F">
        <w:rPr>
          <w:lang w:val="fr-CH"/>
        </w:rPr>
        <w:t>s</w:t>
      </w:r>
      <w:r w:rsidR="00D56AB4" w:rsidRPr="0071782F">
        <w:rPr>
          <w:lang w:val="fr-CH"/>
        </w:rPr>
        <w:t xml:space="preserve"> </w:t>
      </w:r>
      <w:r w:rsidR="003B1403" w:rsidRPr="0071782F">
        <w:rPr>
          <w:lang w:val="fr-CH"/>
        </w:rPr>
        <w:t>de rials</w:t>
      </w:r>
      <w:r w:rsidRPr="0071782F">
        <w:rPr>
          <w:lang w:val="fr-CH"/>
        </w:rPr>
        <w:t xml:space="preserve"> </w:t>
      </w:r>
      <w:r w:rsidR="00D56AB4" w:rsidRPr="0071782F">
        <w:rPr>
          <w:lang w:val="fr-CH"/>
        </w:rPr>
        <w:t>iraniens e</w:t>
      </w:r>
      <w:r w:rsidRPr="0071782F">
        <w:rPr>
          <w:lang w:val="fr-CH"/>
        </w:rPr>
        <w:t xml:space="preserve">n 2005 </w:t>
      </w:r>
      <w:r w:rsidR="00D56AB4" w:rsidRPr="0071782F">
        <w:rPr>
          <w:lang w:val="fr-CH"/>
        </w:rPr>
        <w:t xml:space="preserve">à environ </w:t>
      </w:r>
      <w:r w:rsidRPr="0071782F">
        <w:rPr>
          <w:lang w:val="fr-CH"/>
        </w:rPr>
        <w:t>446</w:t>
      </w:r>
      <w:r w:rsidR="00D6275F" w:rsidRPr="0071782F">
        <w:rPr>
          <w:lang w:val="fr-CH"/>
        </w:rPr>
        <w:t xml:space="preserve"> </w:t>
      </w:r>
      <w:r w:rsidRPr="0071782F">
        <w:rPr>
          <w:lang w:val="fr-CH"/>
        </w:rPr>
        <w:t>880</w:t>
      </w:r>
      <w:r w:rsidR="008553D9" w:rsidRPr="0071782F">
        <w:rPr>
          <w:lang w:val="fr-CH"/>
        </w:rPr>
        <w:t> milliard</w:t>
      </w:r>
      <w:r w:rsidR="00097CDB" w:rsidRPr="0071782F">
        <w:rPr>
          <w:lang w:val="fr-CH"/>
        </w:rPr>
        <w:t>s</w:t>
      </w:r>
      <w:r w:rsidR="00D56AB4" w:rsidRPr="0071782F">
        <w:rPr>
          <w:lang w:val="fr-CH"/>
        </w:rPr>
        <w:t xml:space="preserve"> en </w:t>
      </w:r>
      <w:r w:rsidRPr="0071782F">
        <w:rPr>
          <w:lang w:val="fr-CH"/>
        </w:rPr>
        <w:t xml:space="preserve">2007. </w:t>
      </w:r>
      <w:r w:rsidR="00D56AB4" w:rsidRPr="0071782F">
        <w:rPr>
          <w:lang w:val="fr-CH"/>
        </w:rPr>
        <w:t xml:space="preserve">Les </w:t>
      </w:r>
      <w:r w:rsidRPr="0071782F">
        <w:rPr>
          <w:lang w:val="fr-CH"/>
        </w:rPr>
        <w:t>6</w:t>
      </w:r>
      <w:r w:rsidR="00D56AB4" w:rsidRPr="0071782F">
        <w:rPr>
          <w:lang w:val="fr-CH"/>
        </w:rPr>
        <w:t>,</w:t>
      </w:r>
      <w:r w:rsidRPr="0071782F">
        <w:rPr>
          <w:lang w:val="fr-CH"/>
        </w:rPr>
        <w:t>2</w:t>
      </w:r>
      <w:r w:rsidR="007E5125" w:rsidRPr="0071782F">
        <w:rPr>
          <w:lang w:val="fr-CH"/>
        </w:rPr>
        <w:t>%</w:t>
      </w:r>
      <w:r w:rsidRPr="0071782F">
        <w:rPr>
          <w:lang w:val="fr-CH"/>
        </w:rPr>
        <w:t xml:space="preserve"> </w:t>
      </w:r>
      <w:r w:rsidR="00D56AB4" w:rsidRPr="0071782F">
        <w:rPr>
          <w:lang w:val="fr-CH"/>
        </w:rPr>
        <w:t xml:space="preserve">de croissance économique enregistrés en </w:t>
      </w:r>
      <w:r w:rsidRPr="0071782F">
        <w:rPr>
          <w:lang w:val="fr-CH"/>
        </w:rPr>
        <w:t>2006</w:t>
      </w:r>
      <w:r w:rsidR="00D56AB4" w:rsidRPr="0071782F">
        <w:rPr>
          <w:lang w:val="fr-CH"/>
        </w:rPr>
        <w:t xml:space="preserve"> sont dus pour une bonne part à l’amélioration des résultats des secteurs pétrolier, </w:t>
      </w:r>
      <w:r w:rsidRPr="0071782F">
        <w:rPr>
          <w:lang w:val="fr-CH"/>
        </w:rPr>
        <w:t>industri</w:t>
      </w:r>
      <w:r w:rsidR="00D56AB4" w:rsidRPr="0071782F">
        <w:rPr>
          <w:lang w:val="fr-CH"/>
        </w:rPr>
        <w:t>e</w:t>
      </w:r>
      <w:r w:rsidRPr="0071782F">
        <w:rPr>
          <w:lang w:val="fr-CH"/>
        </w:rPr>
        <w:t>l</w:t>
      </w:r>
      <w:r w:rsidR="00D56AB4" w:rsidRPr="0071782F">
        <w:rPr>
          <w:lang w:val="fr-CH"/>
        </w:rPr>
        <w:t xml:space="preserve"> et minier, et de certains services par rapport à l’année précédente</w:t>
      </w:r>
      <w:r w:rsidRPr="0071782F">
        <w:rPr>
          <w:lang w:val="fr-CH"/>
        </w:rPr>
        <w:t xml:space="preserve">. </w:t>
      </w:r>
    </w:p>
    <w:p w:rsidR="00972AC7" w:rsidRPr="0071782F" w:rsidRDefault="00972AC7" w:rsidP="00B55247">
      <w:pPr>
        <w:pStyle w:val="SingleTxtG"/>
        <w:ind w:left="1701"/>
        <w:rPr>
          <w:lang w:val="fr-CH"/>
        </w:rPr>
      </w:pPr>
      <w:r w:rsidRPr="0071782F">
        <w:rPr>
          <w:lang w:val="fr-CH"/>
        </w:rPr>
        <w:t>10.1</w:t>
      </w:r>
      <w:r w:rsidR="00EF6CFA" w:rsidRPr="0071782F">
        <w:rPr>
          <w:lang w:val="fr-CH"/>
        </w:rPr>
        <w:t>.</w:t>
      </w:r>
      <w:r w:rsidRPr="0071782F">
        <w:rPr>
          <w:lang w:val="fr-CH"/>
        </w:rPr>
        <w:tab/>
      </w:r>
      <w:r w:rsidR="00C7318F" w:rsidRPr="0071782F">
        <w:rPr>
          <w:lang w:val="fr-CH"/>
        </w:rPr>
        <w:t>L’appui dont l’agriculture a bénéficié ces dernières années sous la forme d’un accès élargi aux services bancaires pour les agriculteurs, de remises de dettes consenties à ces derniers par le système bancaire et de l’</w:t>
      </w:r>
      <w:r w:rsidRPr="0071782F">
        <w:rPr>
          <w:lang w:val="fr-CH"/>
        </w:rPr>
        <w:t xml:space="preserve">allocation </w:t>
      </w:r>
      <w:r w:rsidR="00C7318F" w:rsidRPr="0071782F">
        <w:rPr>
          <w:lang w:val="fr-CH"/>
        </w:rPr>
        <w:t xml:space="preserve">de subventions supplémentaires aux produits agricoles, et l’amélioration du taux moyen de pluviométrie ont permis à ce secteur d’enregistrer une croissance de </w:t>
      </w:r>
      <w:r w:rsidRPr="0071782F">
        <w:rPr>
          <w:lang w:val="fr-CH"/>
        </w:rPr>
        <w:t>9</w:t>
      </w:r>
      <w:r w:rsidR="00C7318F" w:rsidRPr="0071782F">
        <w:rPr>
          <w:lang w:val="fr-CH"/>
        </w:rPr>
        <w:t>,</w:t>
      </w:r>
      <w:r w:rsidRPr="0071782F">
        <w:rPr>
          <w:lang w:val="fr-CH"/>
        </w:rPr>
        <w:t>3</w:t>
      </w:r>
      <w:r w:rsidR="007E5125" w:rsidRPr="0071782F">
        <w:rPr>
          <w:lang w:val="fr-CH"/>
        </w:rPr>
        <w:t>%</w:t>
      </w:r>
      <w:r w:rsidRPr="0071782F">
        <w:rPr>
          <w:lang w:val="fr-CH"/>
        </w:rPr>
        <w:t xml:space="preserve"> </w:t>
      </w:r>
      <w:r w:rsidR="00C7318F" w:rsidRPr="0071782F">
        <w:rPr>
          <w:lang w:val="fr-CH"/>
        </w:rPr>
        <w:t>e</w:t>
      </w:r>
      <w:r w:rsidRPr="0071782F">
        <w:rPr>
          <w:lang w:val="fr-CH"/>
        </w:rPr>
        <w:t xml:space="preserve">n 2005 </w:t>
      </w:r>
      <w:r w:rsidR="00C7318F" w:rsidRPr="0071782F">
        <w:rPr>
          <w:lang w:val="fr-CH"/>
        </w:rPr>
        <w:t xml:space="preserve">et de </w:t>
      </w:r>
      <w:r w:rsidRPr="0071782F">
        <w:rPr>
          <w:lang w:val="fr-CH"/>
        </w:rPr>
        <w:t>47</w:t>
      </w:r>
      <w:r w:rsidR="007E5125" w:rsidRPr="0071782F">
        <w:rPr>
          <w:lang w:val="fr-CH"/>
        </w:rPr>
        <w:t>%</w:t>
      </w:r>
      <w:r w:rsidRPr="0071782F">
        <w:rPr>
          <w:lang w:val="fr-CH"/>
        </w:rPr>
        <w:t xml:space="preserve"> </w:t>
      </w:r>
      <w:r w:rsidR="00C7318F" w:rsidRPr="0071782F">
        <w:rPr>
          <w:lang w:val="fr-CH"/>
        </w:rPr>
        <w:t>e</w:t>
      </w:r>
      <w:r w:rsidRPr="0071782F">
        <w:rPr>
          <w:lang w:val="fr-CH"/>
        </w:rPr>
        <w:t xml:space="preserve">n 2006. </w:t>
      </w:r>
    </w:p>
    <w:p w:rsidR="00972AC7" w:rsidRPr="0071782F" w:rsidRDefault="00972AC7" w:rsidP="00B55247">
      <w:pPr>
        <w:pStyle w:val="SingleTxtG"/>
        <w:ind w:left="1701"/>
        <w:rPr>
          <w:lang w:val="fr-CH"/>
        </w:rPr>
      </w:pPr>
      <w:r w:rsidRPr="0071782F">
        <w:rPr>
          <w:lang w:val="fr-CH"/>
        </w:rPr>
        <w:t>10.2</w:t>
      </w:r>
      <w:r w:rsidR="00EF6CFA" w:rsidRPr="0071782F">
        <w:rPr>
          <w:lang w:val="fr-CH"/>
        </w:rPr>
        <w:t>.</w:t>
      </w:r>
      <w:r w:rsidRPr="0071782F">
        <w:rPr>
          <w:lang w:val="fr-CH"/>
        </w:rPr>
        <w:tab/>
      </w:r>
      <w:r w:rsidR="003F58AD" w:rsidRPr="0071782F">
        <w:rPr>
          <w:lang w:val="fr-CH"/>
        </w:rPr>
        <w:t>Le secteur pétrolier a continué de jouer son rôle de locomotive de l’économie</w:t>
      </w:r>
      <w:r w:rsidRPr="0071782F">
        <w:rPr>
          <w:lang w:val="fr-CH"/>
        </w:rPr>
        <w:t xml:space="preserve">. </w:t>
      </w:r>
      <w:r w:rsidR="003F58AD" w:rsidRPr="0071782F">
        <w:rPr>
          <w:lang w:val="fr-CH"/>
        </w:rPr>
        <w:t xml:space="preserve">En 2006, il a enregistré un taux de croissance de </w:t>
      </w:r>
      <w:r w:rsidRPr="0071782F">
        <w:rPr>
          <w:lang w:val="fr-CH"/>
        </w:rPr>
        <w:t>3</w:t>
      </w:r>
      <w:r w:rsidR="007E5125" w:rsidRPr="0071782F">
        <w:rPr>
          <w:lang w:val="fr-CH"/>
        </w:rPr>
        <w:t>%</w:t>
      </w:r>
      <w:r w:rsidRPr="0071782F">
        <w:rPr>
          <w:lang w:val="fr-CH"/>
        </w:rPr>
        <w:t xml:space="preserve"> </w:t>
      </w:r>
      <w:r w:rsidR="003F58AD" w:rsidRPr="0071782F">
        <w:rPr>
          <w:lang w:val="fr-CH"/>
        </w:rPr>
        <w:t xml:space="preserve">et sa part du PIB a atteint </w:t>
      </w:r>
      <w:r w:rsidRPr="0071782F">
        <w:rPr>
          <w:lang w:val="fr-CH"/>
        </w:rPr>
        <w:t>10</w:t>
      </w:r>
      <w:r w:rsidR="003F58AD" w:rsidRPr="0071782F">
        <w:rPr>
          <w:lang w:val="fr-CH"/>
        </w:rPr>
        <w:t>,</w:t>
      </w:r>
      <w:r w:rsidRPr="0071782F">
        <w:rPr>
          <w:lang w:val="fr-CH"/>
        </w:rPr>
        <w:t>7</w:t>
      </w:r>
      <w:r w:rsidR="007E5125"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10.3</w:t>
      </w:r>
      <w:r w:rsidR="00EF6CFA" w:rsidRPr="0071782F">
        <w:rPr>
          <w:lang w:val="fr-CH"/>
        </w:rPr>
        <w:t>.</w:t>
      </w:r>
      <w:r w:rsidRPr="0071782F">
        <w:rPr>
          <w:lang w:val="fr-CH"/>
        </w:rPr>
        <w:tab/>
      </w:r>
      <w:r w:rsidR="0058082E" w:rsidRPr="0071782F">
        <w:rPr>
          <w:lang w:val="fr-CH"/>
        </w:rPr>
        <w:t xml:space="preserve">L’approbation et la mise en </w:t>
      </w:r>
      <w:r w:rsidR="00D5366B" w:rsidRPr="0071782F">
        <w:rPr>
          <w:lang w:val="fr-CH"/>
        </w:rPr>
        <w:t>œuvre</w:t>
      </w:r>
      <w:r w:rsidR="0058082E" w:rsidRPr="0071782F">
        <w:rPr>
          <w:lang w:val="fr-CH"/>
        </w:rPr>
        <w:t xml:space="preserve"> du programme de développement de petites entreprises offrant un rendement rapide du capital investi et créatrices d’emplois, et l’adoption de la loi sur le fonds de garantie des investissements pour ces petites entreprises permettent de soutenir la production nationale, notamment les branches d’activité modernes qui bénéficient ainsi d’un meilleur accès au crédit bancaire, ce qui a fait faire un bond aux activités industrielles et minières</w:t>
      </w:r>
      <w:r w:rsidR="008F7D33" w:rsidRPr="0071782F">
        <w:rPr>
          <w:lang w:val="fr-CH"/>
        </w:rPr>
        <w:t>:</w:t>
      </w:r>
      <w:r w:rsidR="0058082E" w:rsidRPr="0071782F">
        <w:rPr>
          <w:lang w:val="fr-CH"/>
        </w:rPr>
        <w:t xml:space="preserve"> la valeur ajoutée du secteur minier est passée en 2006 à </w:t>
      </w:r>
      <w:r w:rsidRPr="0071782F">
        <w:rPr>
          <w:lang w:val="fr-CH"/>
        </w:rPr>
        <w:t>13</w:t>
      </w:r>
      <w:r w:rsidR="0058082E" w:rsidRPr="0071782F">
        <w:rPr>
          <w:lang w:val="fr-CH"/>
        </w:rPr>
        <w:t>,</w:t>
      </w:r>
      <w:r w:rsidRPr="0071782F">
        <w:rPr>
          <w:lang w:val="fr-CH"/>
        </w:rPr>
        <w:t>4</w:t>
      </w:r>
      <w:r w:rsidR="007E5125" w:rsidRPr="0071782F">
        <w:rPr>
          <w:lang w:val="fr-CH"/>
        </w:rPr>
        <w:t>%</w:t>
      </w:r>
      <w:r w:rsidRPr="0071782F">
        <w:rPr>
          <w:lang w:val="fr-CH"/>
        </w:rPr>
        <w:t xml:space="preserve"> </w:t>
      </w:r>
      <w:r w:rsidR="0058082E" w:rsidRPr="0071782F">
        <w:rPr>
          <w:lang w:val="fr-CH"/>
        </w:rPr>
        <w:t>e</w:t>
      </w:r>
      <w:r w:rsidR="00A62149" w:rsidRPr="0071782F">
        <w:rPr>
          <w:lang w:val="fr-CH"/>
        </w:rPr>
        <w:t>t celle du secteur industriel à </w:t>
      </w:r>
      <w:r w:rsidRPr="0071782F">
        <w:rPr>
          <w:lang w:val="fr-CH"/>
        </w:rPr>
        <w:t>9</w:t>
      </w:r>
      <w:r w:rsidR="0058082E" w:rsidRPr="0071782F">
        <w:rPr>
          <w:lang w:val="fr-CH"/>
        </w:rPr>
        <w:t>,</w:t>
      </w:r>
      <w:r w:rsidRPr="0071782F">
        <w:rPr>
          <w:lang w:val="fr-CH"/>
        </w:rPr>
        <w:t>5</w:t>
      </w:r>
      <w:r w:rsidR="007E5125"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10.4</w:t>
      </w:r>
      <w:r w:rsidR="00EF6CFA" w:rsidRPr="0071782F">
        <w:rPr>
          <w:lang w:val="fr-CH"/>
        </w:rPr>
        <w:t>.</w:t>
      </w:r>
      <w:r w:rsidRPr="0071782F">
        <w:rPr>
          <w:lang w:val="fr-CH"/>
        </w:rPr>
        <w:tab/>
      </w:r>
      <w:r w:rsidR="004860EB" w:rsidRPr="0071782F">
        <w:rPr>
          <w:lang w:val="fr-CH"/>
        </w:rPr>
        <w:t xml:space="preserve">Dans le secteur </w:t>
      </w:r>
      <w:r w:rsidR="00A758F9" w:rsidRPr="0071782F">
        <w:rPr>
          <w:lang w:val="fr-CH"/>
        </w:rPr>
        <w:t>de la construction</w:t>
      </w:r>
      <w:r w:rsidR="004860EB" w:rsidRPr="0071782F">
        <w:rPr>
          <w:lang w:val="fr-CH"/>
        </w:rPr>
        <w:t xml:space="preserve">, l’appui fourni par l’État en vue de l’achèvement de projets d’infrastructure en souffrance, la mise à disposition des secteurs </w:t>
      </w:r>
      <w:r w:rsidR="00A758F9" w:rsidRPr="0071782F">
        <w:rPr>
          <w:lang w:val="fr-CH"/>
        </w:rPr>
        <w:t xml:space="preserve">de la construction </w:t>
      </w:r>
      <w:r w:rsidR="004860EB" w:rsidRPr="0071782F">
        <w:rPr>
          <w:lang w:val="fr-CH"/>
        </w:rPr>
        <w:t xml:space="preserve">et du logement de </w:t>
      </w:r>
      <w:r w:rsidR="00D6275F" w:rsidRPr="0071782F">
        <w:rPr>
          <w:lang w:val="fr-CH"/>
        </w:rPr>
        <w:t>crédits</w:t>
      </w:r>
      <w:r w:rsidR="004860EB" w:rsidRPr="0071782F">
        <w:rPr>
          <w:lang w:val="fr-CH"/>
        </w:rPr>
        <w:t xml:space="preserve"> bancaires plus </w:t>
      </w:r>
      <w:r w:rsidR="00D6275F" w:rsidRPr="0071782F">
        <w:rPr>
          <w:lang w:val="fr-CH"/>
        </w:rPr>
        <w:t>importants</w:t>
      </w:r>
      <w:r w:rsidR="004860EB" w:rsidRPr="0071782F">
        <w:rPr>
          <w:lang w:val="fr-CH"/>
        </w:rPr>
        <w:t xml:space="preserve">, la fourniture </w:t>
      </w:r>
      <w:r w:rsidR="003F25A2">
        <w:rPr>
          <w:lang w:val="fr-CH"/>
        </w:rPr>
        <w:t>de logements</w:t>
      </w:r>
      <w:r w:rsidR="004860EB" w:rsidRPr="0071782F">
        <w:rPr>
          <w:lang w:val="fr-CH"/>
        </w:rPr>
        <w:t xml:space="preserve"> </w:t>
      </w:r>
      <w:r w:rsidR="00A234E8" w:rsidRPr="0071782F">
        <w:rPr>
          <w:lang w:val="fr-CH"/>
        </w:rPr>
        <w:t>aux familles</w:t>
      </w:r>
      <w:r w:rsidR="004860EB" w:rsidRPr="0071782F">
        <w:rPr>
          <w:lang w:val="fr-CH"/>
        </w:rPr>
        <w:t xml:space="preserve"> pauvres et à faible revenu et la rénovation </w:t>
      </w:r>
      <w:r w:rsidR="003F25A2">
        <w:rPr>
          <w:lang w:val="fr-CH"/>
        </w:rPr>
        <w:t>des logements</w:t>
      </w:r>
      <w:r w:rsidR="004860EB" w:rsidRPr="0071782F">
        <w:rPr>
          <w:lang w:val="fr-CH"/>
        </w:rPr>
        <w:t xml:space="preserve"> ruraux ont permis à la valeur ajoutée du secteur </w:t>
      </w:r>
      <w:r w:rsidR="00A758F9" w:rsidRPr="0071782F">
        <w:rPr>
          <w:lang w:val="fr-CH"/>
        </w:rPr>
        <w:t xml:space="preserve">de la construction </w:t>
      </w:r>
      <w:r w:rsidR="004860EB" w:rsidRPr="0071782F">
        <w:rPr>
          <w:lang w:val="fr-CH"/>
        </w:rPr>
        <w:t xml:space="preserve">d’enregistrer un taux de croissance moyen de </w:t>
      </w:r>
      <w:r w:rsidRPr="0071782F">
        <w:rPr>
          <w:lang w:val="fr-CH"/>
        </w:rPr>
        <w:t>4</w:t>
      </w:r>
      <w:r w:rsidR="004860EB" w:rsidRPr="0071782F">
        <w:rPr>
          <w:lang w:val="fr-CH"/>
        </w:rPr>
        <w:t>,</w:t>
      </w:r>
      <w:r w:rsidRPr="0071782F">
        <w:rPr>
          <w:lang w:val="fr-CH"/>
        </w:rPr>
        <w:t>1</w:t>
      </w:r>
      <w:r w:rsidR="007E5125" w:rsidRPr="0071782F">
        <w:rPr>
          <w:lang w:val="fr-CH"/>
        </w:rPr>
        <w:t>%</w:t>
      </w:r>
      <w:r w:rsidRPr="0071782F">
        <w:rPr>
          <w:lang w:val="fr-CH"/>
        </w:rPr>
        <w:t xml:space="preserve"> </w:t>
      </w:r>
      <w:r w:rsidR="004860EB" w:rsidRPr="0071782F">
        <w:rPr>
          <w:lang w:val="fr-CH"/>
        </w:rPr>
        <w:t xml:space="preserve">au cours des deux premières années du </w:t>
      </w:r>
      <w:r w:rsidR="00A90208" w:rsidRPr="0071782F">
        <w:rPr>
          <w:lang w:val="fr-CH"/>
        </w:rPr>
        <w:t>quatrième</w:t>
      </w:r>
      <w:r w:rsidR="004860EB" w:rsidRPr="0071782F">
        <w:rPr>
          <w:lang w:val="fr-CH"/>
        </w:rPr>
        <w:t xml:space="preserve"> plan de développement </w:t>
      </w:r>
      <w:r w:rsidRPr="0071782F">
        <w:rPr>
          <w:lang w:val="fr-CH"/>
        </w:rPr>
        <w:t xml:space="preserve">(2005 </w:t>
      </w:r>
      <w:r w:rsidR="004860EB" w:rsidRPr="0071782F">
        <w:rPr>
          <w:lang w:val="fr-CH"/>
        </w:rPr>
        <w:t>et</w:t>
      </w:r>
      <w:r w:rsidRPr="0071782F">
        <w:rPr>
          <w:lang w:val="fr-CH"/>
        </w:rPr>
        <w:t xml:space="preserve"> 2006). </w:t>
      </w:r>
    </w:p>
    <w:p w:rsidR="00972AC7" w:rsidRPr="0071782F" w:rsidRDefault="00972AC7" w:rsidP="00B55247">
      <w:pPr>
        <w:pStyle w:val="H23G"/>
        <w:rPr>
          <w:lang w:val="fr-CH"/>
        </w:rPr>
      </w:pPr>
      <w:r w:rsidRPr="0071782F">
        <w:rPr>
          <w:lang w:val="fr-CH"/>
        </w:rPr>
        <w:tab/>
      </w:r>
      <w:r w:rsidRPr="0071782F">
        <w:rPr>
          <w:lang w:val="fr-CH"/>
        </w:rPr>
        <w:tab/>
        <w:t xml:space="preserve">Budget </w:t>
      </w:r>
      <w:r w:rsidR="002A552D" w:rsidRPr="0071782F">
        <w:rPr>
          <w:lang w:val="fr-CH"/>
        </w:rPr>
        <w:t>et situation financière de l’État</w:t>
      </w:r>
    </w:p>
    <w:p w:rsidR="00972AC7" w:rsidRPr="0071782F" w:rsidRDefault="00972AC7" w:rsidP="00972AC7">
      <w:pPr>
        <w:pStyle w:val="SingleTxtG"/>
        <w:rPr>
          <w:lang w:val="fr-CH"/>
        </w:rPr>
      </w:pPr>
      <w:r w:rsidRPr="0071782F">
        <w:rPr>
          <w:lang w:val="fr-CH"/>
        </w:rPr>
        <w:t>11.</w:t>
      </w:r>
      <w:r w:rsidRPr="0071782F">
        <w:rPr>
          <w:lang w:val="fr-CH"/>
        </w:rPr>
        <w:tab/>
      </w:r>
      <w:r w:rsidR="002A552D" w:rsidRPr="0071782F">
        <w:rPr>
          <w:lang w:val="fr-CH"/>
        </w:rPr>
        <w:t xml:space="preserve">Il ressort d’une enquête sur l’efficacité des sources de financement et leur utilisation en 2006 et d’une comparaison entre les parts de la vente de pétrole brut, des recettes fiscales et des autres sources de recettes et entre leurs utilisations, y compris les crédits (courants) affectés aux dépenses et l’achat d’immobilisations au cours de la deuxième année du </w:t>
      </w:r>
      <w:r w:rsidR="00A90208" w:rsidRPr="0071782F">
        <w:rPr>
          <w:lang w:val="fr-CH"/>
        </w:rPr>
        <w:t>quatrième</w:t>
      </w:r>
      <w:r w:rsidR="002A552D" w:rsidRPr="0071782F">
        <w:rPr>
          <w:lang w:val="fr-CH"/>
        </w:rPr>
        <w:t xml:space="preserve"> plan de développement, que</w:t>
      </w:r>
      <w:r w:rsidR="008F7D33" w:rsidRPr="0071782F">
        <w:rPr>
          <w:lang w:val="fr-CH"/>
        </w:rPr>
        <w:t>:</w:t>
      </w:r>
    </w:p>
    <w:p w:rsidR="00972AC7" w:rsidRPr="0071782F" w:rsidRDefault="00972AC7" w:rsidP="00B55247">
      <w:pPr>
        <w:pStyle w:val="SingleTxtG"/>
        <w:ind w:left="1701"/>
        <w:rPr>
          <w:lang w:val="fr-CH"/>
        </w:rPr>
      </w:pPr>
      <w:r w:rsidRPr="0071782F">
        <w:rPr>
          <w:lang w:val="fr-CH"/>
        </w:rPr>
        <w:t>11.1</w:t>
      </w:r>
      <w:r w:rsidR="00EF6CFA" w:rsidRPr="0071782F">
        <w:rPr>
          <w:lang w:val="fr-CH"/>
        </w:rPr>
        <w:t>.</w:t>
      </w:r>
      <w:r w:rsidRPr="0071782F">
        <w:rPr>
          <w:lang w:val="fr-CH"/>
        </w:rPr>
        <w:tab/>
      </w:r>
      <w:r w:rsidR="002A552D" w:rsidRPr="0071782F">
        <w:rPr>
          <w:lang w:val="fr-CH"/>
        </w:rPr>
        <w:t xml:space="preserve">En 2006, le </w:t>
      </w:r>
      <w:r w:rsidRPr="0071782F">
        <w:rPr>
          <w:lang w:val="fr-CH"/>
        </w:rPr>
        <w:t xml:space="preserve">budget </w:t>
      </w:r>
      <w:r w:rsidR="002A552D" w:rsidRPr="0071782F">
        <w:rPr>
          <w:lang w:val="fr-CH"/>
        </w:rPr>
        <w:t xml:space="preserve">général du pays a connu une croissance de </w:t>
      </w:r>
      <w:r w:rsidRPr="0071782F">
        <w:rPr>
          <w:lang w:val="fr-CH"/>
        </w:rPr>
        <w:t>22</w:t>
      </w:r>
      <w:r w:rsidR="002A552D" w:rsidRPr="0071782F">
        <w:rPr>
          <w:lang w:val="fr-CH"/>
        </w:rPr>
        <w:t>,</w:t>
      </w:r>
      <w:r w:rsidRPr="0071782F">
        <w:rPr>
          <w:lang w:val="fr-CH"/>
        </w:rPr>
        <w:t>1</w:t>
      </w:r>
      <w:r w:rsidR="007E5125" w:rsidRPr="0071782F">
        <w:rPr>
          <w:lang w:val="fr-CH"/>
        </w:rPr>
        <w:t>%</w:t>
      </w:r>
      <w:r w:rsidRPr="0071782F">
        <w:rPr>
          <w:lang w:val="fr-CH"/>
        </w:rPr>
        <w:t xml:space="preserve"> </w:t>
      </w:r>
      <w:r w:rsidR="002A552D" w:rsidRPr="0071782F">
        <w:rPr>
          <w:lang w:val="fr-CH"/>
        </w:rPr>
        <w:t xml:space="preserve">par rapport aux exercices précédents, ce qui l’a fait passer, en volume, de </w:t>
      </w:r>
      <w:r w:rsidRPr="0071782F">
        <w:rPr>
          <w:lang w:val="fr-CH"/>
        </w:rPr>
        <w:t>470</w:t>
      </w:r>
      <w:r w:rsidR="002A552D" w:rsidRPr="0071782F">
        <w:rPr>
          <w:lang w:val="fr-CH"/>
        </w:rPr>
        <w:t> </w:t>
      </w:r>
      <w:r w:rsidRPr="0071782F">
        <w:rPr>
          <w:lang w:val="fr-CH"/>
        </w:rPr>
        <w:t>990</w:t>
      </w:r>
      <w:r w:rsidR="002A552D" w:rsidRPr="0071782F">
        <w:rPr>
          <w:lang w:val="fr-CH"/>
        </w:rPr>
        <w:t>,</w:t>
      </w:r>
      <w:r w:rsidRPr="0071782F">
        <w:rPr>
          <w:lang w:val="fr-CH"/>
        </w:rPr>
        <w:t>1</w:t>
      </w:r>
      <w:r w:rsidR="008553D9" w:rsidRPr="0071782F">
        <w:rPr>
          <w:lang w:val="fr-CH"/>
        </w:rPr>
        <w:t> milliard</w:t>
      </w:r>
      <w:r w:rsidR="00097CDB" w:rsidRPr="0071782F">
        <w:rPr>
          <w:lang w:val="fr-CH"/>
        </w:rPr>
        <w:t>s</w:t>
      </w:r>
      <w:r w:rsidR="002A552D" w:rsidRPr="0071782F">
        <w:rPr>
          <w:lang w:val="fr-CH"/>
        </w:rPr>
        <w:t xml:space="preserve"> </w:t>
      </w:r>
      <w:r w:rsidR="003B1403" w:rsidRPr="0071782F">
        <w:rPr>
          <w:lang w:val="fr-CH"/>
        </w:rPr>
        <w:t>de rials</w:t>
      </w:r>
      <w:r w:rsidRPr="0071782F">
        <w:rPr>
          <w:lang w:val="fr-CH"/>
        </w:rPr>
        <w:t xml:space="preserve"> </w:t>
      </w:r>
      <w:r w:rsidR="002A552D" w:rsidRPr="0071782F">
        <w:rPr>
          <w:lang w:val="fr-CH"/>
        </w:rPr>
        <w:t>e</w:t>
      </w:r>
      <w:r w:rsidRPr="0071782F">
        <w:rPr>
          <w:lang w:val="fr-CH"/>
        </w:rPr>
        <w:t xml:space="preserve">n 2005 </w:t>
      </w:r>
      <w:r w:rsidR="002A552D" w:rsidRPr="0071782F">
        <w:rPr>
          <w:lang w:val="fr-CH"/>
        </w:rPr>
        <w:t>à</w:t>
      </w:r>
      <w:r w:rsidRPr="0071782F">
        <w:rPr>
          <w:lang w:val="fr-CH"/>
        </w:rPr>
        <w:t xml:space="preserve"> 574</w:t>
      </w:r>
      <w:r w:rsidR="002A552D" w:rsidRPr="0071782F">
        <w:rPr>
          <w:lang w:val="fr-CH"/>
        </w:rPr>
        <w:t> 984,</w:t>
      </w:r>
      <w:r w:rsidRPr="0071782F">
        <w:rPr>
          <w:lang w:val="fr-CH"/>
        </w:rPr>
        <w:t>2</w:t>
      </w:r>
      <w:r w:rsidR="008553D9" w:rsidRPr="0071782F">
        <w:rPr>
          <w:lang w:val="fr-CH"/>
        </w:rPr>
        <w:t> milliard</w:t>
      </w:r>
      <w:r w:rsidR="00097CDB" w:rsidRPr="0071782F">
        <w:rPr>
          <w:lang w:val="fr-CH"/>
        </w:rPr>
        <w:t>s</w:t>
      </w:r>
      <w:r w:rsidR="002A552D" w:rsidRPr="0071782F">
        <w:rPr>
          <w:lang w:val="fr-CH"/>
        </w:rPr>
        <w:t xml:space="preserve"> en </w:t>
      </w:r>
      <w:r w:rsidRPr="0071782F">
        <w:rPr>
          <w:lang w:val="fr-CH"/>
        </w:rPr>
        <w:t>2006</w:t>
      </w:r>
      <w:r w:rsidR="00B205D1" w:rsidRPr="0071782F">
        <w:rPr>
          <w:lang w:val="fr-CH"/>
        </w:rPr>
        <w:t>.</w:t>
      </w:r>
    </w:p>
    <w:p w:rsidR="00972AC7" w:rsidRPr="0071782F" w:rsidRDefault="00972AC7" w:rsidP="00B55247">
      <w:pPr>
        <w:pStyle w:val="SingleTxtG"/>
        <w:ind w:left="1701"/>
        <w:rPr>
          <w:lang w:val="fr-CH"/>
        </w:rPr>
      </w:pPr>
      <w:r w:rsidRPr="0071782F">
        <w:rPr>
          <w:lang w:val="fr-CH"/>
        </w:rPr>
        <w:t>11.2</w:t>
      </w:r>
      <w:r w:rsidR="00EF6CFA" w:rsidRPr="0071782F">
        <w:rPr>
          <w:lang w:val="fr-CH"/>
        </w:rPr>
        <w:t>.</w:t>
      </w:r>
      <w:r w:rsidRPr="0071782F">
        <w:rPr>
          <w:lang w:val="fr-CH"/>
        </w:rPr>
        <w:tab/>
      </w:r>
      <w:r w:rsidR="002A552D" w:rsidRPr="0071782F">
        <w:rPr>
          <w:lang w:val="fr-CH"/>
        </w:rPr>
        <w:t xml:space="preserve">La part des recettes fiscales dans le budget général a été ramenée </w:t>
      </w:r>
      <w:r w:rsidR="00D6275F" w:rsidRPr="0071782F">
        <w:rPr>
          <w:lang w:val="fr-CH"/>
        </w:rPr>
        <w:t xml:space="preserve">de </w:t>
      </w:r>
      <w:r w:rsidRPr="0071782F">
        <w:rPr>
          <w:lang w:val="fr-CH"/>
        </w:rPr>
        <w:t>28</w:t>
      </w:r>
      <w:r w:rsidR="002A552D" w:rsidRPr="0071782F">
        <w:rPr>
          <w:lang w:val="fr-CH"/>
        </w:rPr>
        <w:t>,</w:t>
      </w:r>
      <w:r w:rsidRPr="0071782F">
        <w:rPr>
          <w:lang w:val="fr-CH"/>
        </w:rPr>
        <w:t>6</w:t>
      </w:r>
      <w:r w:rsidR="007E5125" w:rsidRPr="0071782F">
        <w:rPr>
          <w:lang w:val="fr-CH"/>
        </w:rPr>
        <w:t>%</w:t>
      </w:r>
      <w:r w:rsidRPr="0071782F">
        <w:rPr>
          <w:lang w:val="fr-CH"/>
        </w:rPr>
        <w:t xml:space="preserve"> </w:t>
      </w:r>
      <w:r w:rsidR="002A552D" w:rsidRPr="0071782F">
        <w:rPr>
          <w:lang w:val="fr-CH"/>
        </w:rPr>
        <w:t>e</w:t>
      </w:r>
      <w:r w:rsidRPr="0071782F">
        <w:rPr>
          <w:lang w:val="fr-CH"/>
        </w:rPr>
        <w:t xml:space="preserve">n 2005 </w:t>
      </w:r>
      <w:r w:rsidR="002A552D" w:rsidRPr="0071782F">
        <w:rPr>
          <w:lang w:val="fr-CH"/>
        </w:rPr>
        <w:t>à</w:t>
      </w:r>
      <w:r w:rsidRPr="0071782F">
        <w:rPr>
          <w:lang w:val="fr-CH"/>
        </w:rPr>
        <w:t xml:space="preserve"> 26</w:t>
      </w:r>
      <w:r w:rsidR="002A552D" w:rsidRPr="0071782F">
        <w:rPr>
          <w:lang w:val="fr-CH"/>
        </w:rPr>
        <w:t>,</w:t>
      </w:r>
      <w:r w:rsidRPr="0071782F">
        <w:rPr>
          <w:lang w:val="fr-CH"/>
        </w:rPr>
        <w:t>4</w:t>
      </w:r>
      <w:r w:rsidR="007E5125" w:rsidRPr="0071782F">
        <w:rPr>
          <w:lang w:val="fr-CH"/>
        </w:rPr>
        <w:t>%</w:t>
      </w:r>
      <w:r w:rsidR="002A552D" w:rsidRPr="0071782F">
        <w:rPr>
          <w:lang w:val="fr-CH"/>
        </w:rPr>
        <w:t xml:space="preserve"> e</w:t>
      </w:r>
      <w:r w:rsidRPr="0071782F">
        <w:rPr>
          <w:lang w:val="fr-CH"/>
        </w:rPr>
        <w:t>n 2006</w:t>
      </w:r>
      <w:r w:rsidR="00B205D1" w:rsidRPr="0071782F">
        <w:rPr>
          <w:lang w:val="fr-CH"/>
        </w:rPr>
        <w:t>.</w:t>
      </w:r>
    </w:p>
    <w:p w:rsidR="00972AC7" w:rsidRPr="0071782F" w:rsidRDefault="00972AC7" w:rsidP="00B55247">
      <w:pPr>
        <w:pStyle w:val="SingleTxtG"/>
        <w:ind w:left="1701"/>
        <w:rPr>
          <w:lang w:val="fr-CH"/>
        </w:rPr>
      </w:pPr>
      <w:r w:rsidRPr="0071782F">
        <w:rPr>
          <w:lang w:val="fr-CH"/>
        </w:rPr>
        <w:t>11.3</w:t>
      </w:r>
      <w:r w:rsidR="00EF6CFA" w:rsidRPr="0071782F">
        <w:rPr>
          <w:lang w:val="fr-CH"/>
        </w:rPr>
        <w:t>.</w:t>
      </w:r>
      <w:r w:rsidRPr="0071782F">
        <w:rPr>
          <w:lang w:val="fr-CH"/>
        </w:rPr>
        <w:tab/>
      </w:r>
      <w:r w:rsidR="002A552D" w:rsidRPr="0071782F">
        <w:rPr>
          <w:lang w:val="fr-CH"/>
        </w:rPr>
        <w:t xml:space="preserve">Le taux de croissance des recettes fiscales a été ramené de </w:t>
      </w:r>
      <w:r w:rsidRPr="0071782F">
        <w:rPr>
          <w:lang w:val="fr-CH"/>
        </w:rPr>
        <w:t>59</w:t>
      </w:r>
      <w:r w:rsidR="002A552D" w:rsidRPr="0071782F">
        <w:rPr>
          <w:lang w:val="fr-CH"/>
        </w:rPr>
        <w:t>,</w:t>
      </w:r>
      <w:r w:rsidRPr="0071782F">
        <w:rPr>
          <w:lang w:val="fr-CH"/>
        </w:rPr>
        <w:t>4</w:t>
      </w:r>
      <w:r w:rsidR="007E5125" w:rsidRPr="0071782F">
        <w:rPr>
          <w:lang w:val="fr-CH"/>
        </w:rPr>
        <w:t>%</w:t>
      </w:r>
      <w:r w:rsidRPr="0071782F">
        <w:rPr>
          <w:lang w:val="fr-CH"/>
        </w:rPr>
        <w:t xml:space="preserve"> </w:t>
      </w:r>
      <w:r w:rsidR="002A552D" w:rsidRPr="0071782F">
        <w:rPr>
          <w:lang w:val="fr-CH"/>
        </w:rPr>
        <w:t>e</w:t>
      </w:r>
      <w:r w:rsidRPr="0071782F">
        <w:rPr>
          <w:lang w:val="fr-CH"/>
        </w:rPr>
        <w:t xml:space="preserve">n 2005 </w:t>
      </w:r>
      <w:r w:rsidR="002A552D" w:rsidRPr="0071782F">
        <w:rPr>
          <w:lang w:val="fr-CH"/>
        </w:rPr>
        <w:t>à</w:t>
      </w:r>
      <w:r w:rsidRPr="0071782F">
        <w:rPr>
          <w:lang w:val="fr-CH"/>
        </w:rPr>
        <w:t xml:space="preserve"> 12</w:t>
      </w:r>
      <w:r w:rsidR="002A552D" w:rsidRPr="0071782F">
        <w:rPr>
          <w:lang w:val="fr-CH"/>
        </w:rPr>
        <w:t>,</w:t>
      </w:r>
      <w:r w:rsidRPr="0071782F">
        <w:rPr>
          <w:lang w:val="fr-CH"/>
        </w:rPr>
        <w:t>7</w:t>
      </w:r>
      <w:r w:rsidR="007E5125" w:rsidRPr="0071782F">
        <w:rPr>
          <w:lang w:val="fr-CH"/>
        </w:rPr>
        <w:t>%</w:t>
      </w:r>
      <w:r w:rsidRPr="0071782F">
        <w:rPr>
          <w:lang w:val="fr-CH"/>
        </w:rPr>
        <w:t xml:space="preserve"> </w:t>
      </w:r>
      <w:r w:rsidR="002A552D" w:rsidRPr="0071782F">
        <w:rPr>
          <w:lang w:val="fr-CH"/>
        </w:rPr>
        <w:t>e</w:t>
      </w:r>
      <w:r w:rsidRPr="0071782F">
        <w:rPr>
          <w:lang w:val="fr-CH"/>
        </w:rPr>
        <w:t>n 2006</w:t>
      </w:r>
      <w:r w:rsidR="00B205D1"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11.4</w:t>
      </w:r>
      <w:r w:rsidR="00EF6CFA" w:rsidRPr="0071782F">
        <w:rPr>
          <w:lang w:val="fr-CH"/>
        </w:rPr>
        <w:t>.</w:t>
      </w:r>
      <w:r w:rsidRPr="0071782F">
        <w:rPr>
          <w:lang w:val="fr-CH"/>
        </w:rPr>
        <w:tab/>
      </w:r>
      <w:r w:rsidR="008A78F4" w:rsidRPr="0071782F">
        <w:rPr>
          <w:lang w:val="fr-CH"/>
        </w:rPr>
        <w:t xml:space="preserve">Le ratio recettes fiscales/crédits (courants) affectés aux dépenses a été ramené de </w:t>
      </w:r>
      <w:r w:rsidRPr="0071782F">
        <w:rPr>
          <w:lang w:val="fr-CH"/>
        </w:rPr>
        <w:t>40</w:t>
      </w:r>
      <w:r w:rsidR="008A78F4" w:rsidRPr="0071782F">
        <w:rPr>
          <w:lang w:val="fr-CH"/>
        </w:rPr>
        <w:t>,</w:t>
      </w:r>
      <w:r w:rsidRPr="0071782F">
        <w:rPr>
          <w:lang w:val="fr-CH"/>
        </w:rPr>
        <w:t>6</w:t>
      </w:r>
      <w:r w:rsidR="007E5125" w:rsidRPr="0071782F">
        <w:rPr>
          <w:lang w:val="fr-CH"/>
        </w:rPr>
        <w:t>%</w:t>
      </w:r>
      <w:r w:rsidRPr="0071782F">
        <w:rPr>
          <w:lang w:val="fr-CH"/>
        </w:rPr>
        <w:t xml:space="preserve"> </w:t>
      </w:r>
      <w:r w:rsidR="008A78F4" w:rsidRPr="0071782F">
        <w:rPr>
          <w:lang w:val="fr-CH"/>
        </w:rPr>
        <w:t>e</w:t>
      </w:r>
      <w:r w:rsidRPr="0071782F">
        <w:rPr>
          <w:lang w:val="fr-CH"/>
        </w:rPr>
        <w:t xml:space="preserve">n 2005 </w:t>
      </w:r>
      <w:r w:rsidR="008A78F4" w:rsidRPr="0071782F">
        <w:rPr>
          <w:lang w:val="fr-CH"/>
        </w:rPr>
        <w:t>à</w:t>
      </w:r>
      <w:r w:rsidRPr="0071782F">
        <w:rPr>
          <w:lang w:val="fr-CH"/>
        </w:rPr>
        <w:t xml:space="preserve"> 36</w:t>
      </w:r>
      <w:r w:rsidR="008A78F4" w:rsidRPr="0071782F">
        <w:rPr>
          <w:lang w:val="fr-CH"/>
        </w:rPr>
        <w:t>,</w:t>
      </w:r>
      <w:r w:rsidRPr="0071782F">
        <w:rPr>
          <w:lang w:val="fr-CH"/>
        </w:rPr>
        <w:t>4</w:t>
      </w:r>
      <w:r w:rsidR="007E5125" w:rsidRPr="0071782F">
        <w:rPr>
          <w:lang w:val="fr-CH"/>
        </w:rPr>
        <w:t>%</w:t>
      </w:r>
      <w:r w:rsidRPr="0071782F">
        <w:rPr>
          <w:lang w:val="fr-CH"/>
        </w:rPr>
        <w:t xml:space="preserve"> </w:t>
      </w:r>
      <w:r w:rsidR="008A78F4" w:rsidRPr="0071782F">
        <w:rPr>
          <w:lang w:val="fr-CH"/>
        </w:rPr>
        <w:t>e</w:t>
      </w:r>
      <w:r w:rsidRPr="0071782F">
        <w:rPr>
          <w:lang w:val="fr-CH"/>
        </w:rPr>
        <w:t>n 2006</w:t>
      </w:r>
      <w:r w:rsidR="00B205D1" w:rsidRPr="0071782F">
        <w:rPr>
          <w:lang w:val="fr-CH"/>
        </w:rPr>
        <w:t>.</w:t>
      </w:r>
    </w:p>
    <w:p w:rsidR="00972AC7" w:rsidRPr="0071782F" w:rsidRDefault="00972AC7" w:rsidP="00B55247">
      <w:pPr>
        <w:pStyle w:val="SingleTxtG"/>
        <w:ind w:left="1701"/>
        <w:rPr>
          <w:lang w:val="fr-CH"/>
        </w:rPr>
      </w:pPr>
      <w:r w:rsidRPr="0071782F">
        <w:rPr>
          <w:lang w:val="fr-CH"/>
        </w:rPr>
        <w:t>11.5</w:t>
      </w:r>
      <w:r w:rsidR="00EF6CFA" w:rsidRPr="0071782F">
        <w:rPr>
          <w:lang w:val="fr-CH"/>
        </w:rPr>
        <w:t>.</w:t>
      </w:r>
      <w:r w:rsidR="00B205D1" w:rsidRPr="0071782F">
        <w:rPr>
          <w:lang w:val="fr-CH"/>
        </w:rPr>
        <w:tab/>
      </w:r>
      <w:r w:rsidR="008A78F4" w:rsidRPr="0071782F">
        <w:rPr>
          <w:lang w:val="fr-CH"/>
        </w:rPr>
        <w:t xml:space="preserve">L’efficacité des crédits alloués aux plans et projets nationaux s’est améliorée de </w:t>
      </w:r>
      <w:r w:rsidRPr="0071782F">
        <w:rPr>
          <w:lang w:val="fr-CH"/>
        </w:rPr>
        <w:t>21.5%</w:t>
      </w:r>
      <w:r w:rsidR="00B205D1"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11.6</w:t>
      </w:r>
      <w:r w:rsidR="00EF6CFA" w:rsidRPr="0071782F">
        <w:rPr>
          <w:lang w:val="fr-CH"/>
        </w:rPr>
        <w:t>.</w:t>
      </w:r>
      <w:r w:rsidRPr="0071782F">
        <w:rPr>
          <w:lang w:val="fr-CH"/>
        </w:rPr>
        <w:tab/>
      </w:r>
      <w:r w:rsidR="008A78F4" w:rsidRPr="0071782F">
        <w:rPr>
          <w:lang w:val="fr-CH"/>
        </w:rPr>
        <w:t xml:space="preserve">Le montant </w:t>
      </w:r>
      <w:r w:rsidRPr="0071782F">
        <w:rPr>
          <w:lang w:val="fr-CH"/>
        </w:rPr>
        <w:t xml:space="preserve">total </w:t>
      </w:r>
      <w:r w:rsidR="008A78F4" w:rsidRPr="0071782F">
        <w:rPr>
          <w:lang w:val="fr-CH"/>
        </w:rPr>
        <w:t xml:space="preserve">des </w:t>
      </w:r>
      <w:r w:rsidRPr="0071782F">
        <w:rPr>
          <w:lang w:val="fr-CH"/>
        </w:rPr>
        <w:t>cr</w:t>
      </w:r>
      <w:r w:rsidR="008A78F4" w:rsidRPr="0071782F">
        <w:rPr>
          <w:lang w:val="fr-CH"/>
        </w:rPr>
        <w:t>é</w:t>
      </w:r>
      <w:r w:rsidRPr="0071782F">
        <w:rPr>
          <w:lang w:val="fr-CH"/>
        </w:rPr>
        <w:t>dits allo</w:t>
      </w:r>
      <w:r w:rsidR="008A78F4" w:rsidRPr="0071782F">
        <w:rPr>
          <w:lang w:val="fr-CH"/>
        </w:rPr>
        <w:t xml:space="preserve">ués aux </w:t>
      </w:r>
      <w:r w:rsidRPr="0071782F">
        <w:rPr>
          <w:lang w:val="fr-CH"/>
        </w:rPr>
        <w:t xml:space="preserve">provinces </w:t>
      </w:r>
      <w:r w:rsidR="008A78F4" w:rsidRPr="0071782F">
        <w:rPr>
          <w:lang w:val="fr-CH"/>
        </w:rPr>
        <w:t xml:space="preserve">a augmenté de </w:t>
      </w:r>
      <w:r w:rsidRPr="0071782F">
        <w:rPr>
          <w:lang w:val="fr-CH"/>
        </w:rPr>
        <w:t>31</w:t>
      </w:r>
      <w:r w:rsidR="008A78F4" w:rsidRPr="0071782F">
        <w:rPr>
          <w:lang w:val="fr-CH"/>
        </w:rPr>
        <w:t>,</w:t>
      </w:r>
      <w:r w:rsidRPr="0071782F">
        <w:rPr>
          <w:lang w:val="fr-CH"/>
        </w:rPr>
        <w:t>5</w:t>
      </w:r>
      <w:r w:rsidR="007E5125" w:rsidRPr="0071782F">
        <w:rPr>
          <w:lang w:val="fr-CH"/>
        </w:rPr>
        <w:t>%</w:t>
      </w:r>
      <w:r w:rsidRPr="0071782F">
        <w:rPr>
          <w:lang w:val="fr-CH"/>
        </w:rPr>
        <w:t xml:space="preserve"> </w:t>
      </w:r>
      <w:r w:rsidR="008A78F4" w:rsidRPr="0071782F">
        <w:rPr>
          <w:lang w:val="fr-CH"/>
        </w:rPr>
        <w:t>e</w:t>
      </w:r>
      <w:r w:rsidRPr="0071782F">
        <w:rPr>
          <w:lang w:val="fr-CH"/>
        </w:rPr>
        <w:t xml:space="preserve">n 2006 </w:t>
      </w:r>
      <w:r w:rsidR="008A78F4" w:rsidRPr="0071782F">
        <w:rPr>
          <w:lang w:val="fr-CH"/>
        </w:rPr>
        <w:t>par rapport aux exercices précédents</w:t>
      </w:r>
      <w:r w:rsidR="00B205D1" w:rsidRPr="0071782F">
        <w:rPr>
          <w:lang w:val="fr-CH"/>
        </w:rPr>
        <w:t>.</w:t>
      </w:r>
    </w:p>
    <w:p w:rsidR="00972AC7" w:rsidRPr="0071782F" w:rsidRDefault="00972AC7" w:rsidP="00B55247">
      <w:pPr>
        <w:pStyle w:val="SingleTxtG"/>
        <w:ind w:left="1701"/>
        <w:rPr>
          <w:lang w:val="fr-CH"/>
        </w:rPr>
      </w:pPr>
      <w:r w:rsidRPr="0071782F">
        <w:rPr>
          <w:lang w:val="fr-CH"/>
        </w:rPr>
        <w:t>11.7</w:t>
      </w:r>
      <w:r w:rsidR="00EF6CFA" w:rsidRPr="0071782F">
        <w:rPr>
          <w:lang w:val="fr-CH"/>
        </w:rPr>
        <w:t>.</w:t>
      </w:r>
      <w:r w:rsidRPr="0071782F">
        <w:rPr>
          <w:lang w:val="fr-CH"/>
        </w:rPr>
        <w:tab/>
      </w:r>
      <w:r w:rsidR="008A78F4" w:rsidRPr="0071782F">
        <w:rPr>
          <w:lang w:val="fr-CH"/>
        </w:rPr>
        <w:t xml:space="preserve">L’accroissement de </w:t>
      </w:r>
      <w:r w:rsidRPr="0071782F">
        <w:rPr>
          <w:lang w:val="fr-CH"/>
        </w:rPr>
        <w:t>112</w:t>
      </w:r>
      <w:r w:rsidR="008A78F4" w:rsidRPr="0071782F">
        <w:rPr>
          <w:lang w:val="fr-CH"/>
        </w:rPr>
        <w:t>,</w:t>
      </w:r>
      <w:r w:rsidRPr="0071782F">
        <w:rPr>
          <w:lang w:val="fr-CH"/>
        </w:rPr>
        <w:t>5</w:t>
      </w:r>
      <w:r w:rsidR="007E5125" w:rsidRPr="0071782F">
        <w:rPr>
          <w:lang w:val="fr-CH"/>
        </w:rPr>
        <w:t>%</w:t>
      </w:r>
      <w:r w:rsidRPr="0071782F">
        <w:rPr>
          <w:lang w:val="fr-CH"/>
        </w:rPr>
        <w:t xml:space="preserve"> </w:t>
      </w:r>
      <w:r w:rsidR="008A78F4" w:rsidRPr="0071782F">
        <w:rPr>
          <w:lang w:val="fr-CH"/>
        </w:rPr>
        <w:t xml:space="preserve">des recettes des provinces prévu s’est matérialisé en </w:t>
      </w:r>
      <w:r w:rsidRPr="0071782F">
        <w:rPr>
          <w:lang w:val="fr-CH"/>
        </w:rPr>
        <w:t xml:space="preserve">2006. </w:t>
      </w:r>
    </w:p>
    <w:p w:rsidR="00972AC7" w:rsidRPr="0071782F" w:rsidRDefault="00972AC7" w:rsidP="00B55247">
      <w:pPr>
        <w:pStyle w:val="H23G"/>
        <w:rPr>
          <w:lang w:val="fr-CH"/>
        </w:rPr>
      </w:pPr>
      <w:r w:rsidRPr="0071782F">
        <w:rPr>
          <w:lang w:val="fr-CH"/>
        </w:rPr>
        <w:tab/>
      </w:r>
      <w:r w:rsidRPr="0071782F">
        <w:rPr>
          <w:lang w:val="fr-CH"/>
        </w:rPr>
        <w:tab/>
      </w:r>
      <w:r w:rsidR="008A78F4" w:rsidRPr="0071782F">
        <w:rPr>
          <w:lang w:val="fr-CH"/>
        </w:rPr>
        <w:t>Tendance des prix et de l’</w:t>
      </w:r>
      <w:r w:rsidRPr="0071782F">
        <w:rPr>
          <w:lang w:val="fr-CH"/>
        </w:rPr>
        <w:t xml:space="preserve">inflation </w:t>
      </w:r>
    </w:p>
    <w:p w:rsidR="00972AC7" w:rsidRPr="0071782F" w:rsidRDefault="00972AC7" w:rsidP="00972AC7">
      <w:pPr>
        <w:pStyle w:val="SingleTxtG"/>
        <w:rPr>
          <w:lang w:val="fr-CH"/>
        </w:rPr>
      </w:pPr>
      <w:r w:rsidRPr="0071782F">
        <w:rPr>
          <w:lang w:val="fr-CH"/>
        </w:rPr>
        <w:t>12.</w:t>
      </w:r>
      <w:r w:rsidRPr="0071782F">
        <w:rPr>
          <w:lang w:val="fr-CH"/>
        </w:rPr>
        <w:tab/>
      </w:r>
      <w:r w:rsidR="008A78F4" w:rsidRPr="0071782F">
        <w:rPr>
          <w:lang w:val="fr-CH"/>
        </w:rPr>
        <w:t xml:space="preserve">Le niveau général des prix s’est élevé de </w:t>
      </w:r>
      <w:r w:rsidRPr="0071782F">
        <w:rPr>
          <w:lang w:val="fr-CH"/>
        </w:rPr>
        <w:t>11</w:t>
      </w:r>
      <w:r w:rsidR="008A78F4" w:rsidRPr="0071782F">
        <w:rPr>
          <w:lang w:val="fr-CH"/>
        </w:rPr>
        <w:t>,</w:t>
      </w:r>
      <w:r w:rsidRPr="0071782F">
        <w:rPr>
          <w:lang w:val="fr-CH"/>
        </w:rPr>
        <w:t>9</w:t>
      </w:r>
      <w:r w:rsidR="007E5125" w:rsidRPr="0071782F">
        <w:rPr>
          <w:lang w:val="fr-CH"/>
        </w:rPr>
        <w:t>%</w:t>
      </w:r>
      <w:r w:rsidRPr="0071782F">
        <w:rPr>
          <w:lang w:val="fr-CH"/>
        </w:rPr>
        <w:t xml:space="preserve"> </w:t>
      </w:r>
      <w:r w:rsidR="008A78F4" w:rsidRPr="0071782F">
        <w:rPr>
          <w:lang w:val="fr-CH"/>
        </w:rPr>
        <w:t>e</w:t>
      </w:r>
      <w:r w:rsidRPr="0071782F">
        <w:rPr>
          <w:lang w:val="fr-CH"/>
        </w:rPr>
        <w:t xml:space="preserve">n 2006 </w:t>
      </w:r>
      <w:r w:rsidR="008A78F4" w:rsidRPr="0071782F">
        <w:rPr>
          <w:lang w:val="fr-CH"/>
        </w:rPr>
        <w:t xml:space="preserve">par rapport à la nouvelle année de référence et au nouveau panier </w:t>
      </w:r>
      <w:r w:rsidRPr="0071782F">
        <w:rPr>
          <w:lang w:val="fr-CH"/>
        </w:rPr>
        <w:t xml:space="preserve">(2004 = 100), </w:t>
      </w:r>
      <w:r w:rsidR="008A78F4" w:rsidRPr="0071782F">
        <w:rPr>
          <w:lang w:val="fr-CH"/>
        </w:rPr>
        <w:t xml:space="preserve">soit </w:t>
      </w:r>
      <w:r w:rsidRPr="0071782F">
        <w:rPr>
          <w:lang w:val="fr-CH"/>
        </w:rPr>
        <w:t>4</w:t>
      </w:r>
      <w:r w:rsidR="007E5125" w:rsidRPr="0071782F">
        <w:rPr>
          <w:lang w:val="fr-CH"/>
        </w:rPr>
        <w:t>%</w:t>
      </w:r>
      <w:r w:rsidRPr="0071782F">
        <w:rPr>
          <w:lang w:val="fr-CH"/>
        </w:rPr>
        <w:t xml:space="preserve"> </w:t>
      </w:r>
      <w:r w:rsidR="008A78F4" w:rsidRPr="0071782F">
        <w:rPr>
          <w:lang w:val="fr-CH"/>
        </w:rPr>
        <w:t xml:space="preserve">de plus que le taux prévu par le </w:t>
      </w:r>
      <w:r w:rsidR="00A90208" w:rsidRPr="0071782F">
        <w:rPr>
          <w:lang w:val="fr-CH"/>
        </w:rPr>
        <w:t>quatrième</w:t>
      </w:r>
      <w:r w:rsidR="008A78F4" w:rsidRPr="0071782F">
        <w:rPr>
          <w:lang w:val="fr-CH"/>
        </w:rPr>
        <w:t xml:space="preserve"> plan de développement</w:t>
      </w:r>
      <w:r w:rsidRPr="0071782F">
        <w:rPr>
          <w:lang w:val="fr-CH"/>
        </w:rPr>
        <w:t xml:space="preserve"> (</w:t>
      </w:r>
      <w:r w:rsidR="008A78F4" w:rsidRPr="0071782F">
        <w:rPr>
          <w:lang w:val="fr-CH"/>
        </w:rPr>
        <w:t>le taux d’</w:t>
      </w:r>
      <w:r w:rsidRPr="0071782F">
        <w:rPr>
          <w:lang w:val="fr-CH"/>
        </w:rPr>
        <w:t xml:space="preserve">inflation </w:t>
      </w:r>
      <w:r w:rsidR="008A78F4" w:rsidRPr="0071782F">
        <w:rPr>
          <w:lang w:val="fr-CH"/>
        </w:rPr>
        <w:t xml:space="preserve">a été de </w:t>
      </w:r>
      <w:r w:rsidRPr="0071782F">
        <w:rPr>
          <w:lang w:val="fr-CH"/>
        </w:rPr>
        <w:t>13</w:t>
      </w:r>
      <w:r w:rsidR="008A78F4" w:rsidRPr="0071782F">
        <w:rPr>
          <w:lang w:val="fr-CH"/>
        </w:rPr>
        <w:t>,</w:t>
      </w:r>
      <w:r w:rsidRPr="0071782F">
        <w:rPr>
          <w:lang w:val="fr-CH"/>
        </w:rPr>
        <w:t>6</w:t>
      </w:r>
      <w:r w:rsidR="007E5125" w:rsidRPr="0071782F">
        <w:rPr>
          <w:lang w:val="fr-CH"/>
        </w:rPr>
        <w:t>%</w:t>
      </w:r>
      <w:r w:rsidRPr="0071782F">
        <w:rPr>
          <w:lang w:val="fr-CH"/>
        </w:rPr>
        <w:t xml:space="preserve"> </w:t>
      </w:r>
      <w:r w:rsidR="008A78F4" w:rsidRPr="0071782F">
        <w:rPr>
          <w:lang w:val="fr-CH"/>
        </w:rPr>
        <w:t>e</w:t>
      </w:r>
      <w:r w:rsidRPr="0071782F">
        <w:rPr>
          <w:lang w:val="fr-CH"/>
        </w:rPr>
        <w:t xml:space="preserve">n 2006 </w:t>
      </w:r>
      <w:r w:rsidR="008A78F4" w:rsidRPr="0071782F">
        <w:rPr>
          <w:lang w:val="fr-CH"/>
        </w:rPr>
        <w:t xml:space="preserve">sur la base des indicateurs de l’ancienne année de référence et de l’ancien panier </w:t>
      </w:r>
      <w:r w:rsidRPr="0071782F">
        <w:rPr>
          <w:lang w:val="fr-CH"/>
        </w:rPr>
        <w:t xml:space="preserve">(1997 = 100), </w:t>
      </w:r>
      <w:r w:rsidR="008A78F4" w:rsidRPr="0071782F">
        <w:rPr>
          <w:lang w:val="fr-CH"/>
        </w:rPr>
        <w:t xml:space="preserve">soit </w:t>
      </w:r>
      <w:r w:rsidRPr="0071782F">
        <w:rPr>
          <w:lang w:val="fr-CH"/>
        </w:rPr>
        <w:t>2</w:t>
      </w:r>
      <w:r w:rsidR="008A78F4" w:rsidRPr="0071782F">
        <w:rPr>
          <w:lang w:val="fr-CH"/>
        </w:rPr>
        <w:t>,</w:t>
      </w:r>
      <w:r w:rsidRPr="0071782F">
        <w:rPr>
          <w:lang w:val="fr-CH"/>
        </w:rPr>
        <w:t>1</w:t>
      </w:r>
      <w:r w:rsidR="007E5125" w:rsidRPr="0071782F">
        <w:rPr>
          <w:lang w:val="fr-CH"/>
        </w:rPr>
        <w:t>%</w:t>
      </w:r>
      <w:r w:rsidRPr="0071782F">
        <w:rPr>
          <w:lang w:val="fr-CH"/>
        </w:rPr>
        <w:t xml:space="preserve"> </w:t>
      </w:r>
      <w:r w:rsidR="008A78F4" w:rsidRPr="0071782F">
        <w:rPr>
          <w:lang w:val="fr-CH"/>
        </w:rPr>
        <w:t>de plus que le taux prévu par le plan</w:t>
      </w:r>
      <w:r w:rsidR="003A4FA6"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12.1</w:t>
      </w:r>
      <w:r w:rsidR="00EF6CFA" w:rsidRPr="0071782F">
        <w:rPr>
          <w:lang w:val="fr-CH"/>
        </w:rPr>
        <w:t>.</w:t>
      </w:r>
      <w:r w:rsidRPr="0071782F">
        <w:rPr>
          <w:lang w:val="fr-CH"/>
        </w:rPr>
        <w:tab/>
      </w:r>
      <w:r w:rsidR="006D0A3D" w:rsidRPr="0071782F">
        <w:rPr>
          <w:lang w:val="fr-CH"/>
        </w:rPr>
        <w:t xml:space="preserve">Le maintien en 2006 d’un taux de liquidité élevé </w:t>
      </w:r>
      <w:r w:rsidRPr="0071782F">
        <w:rPr>
          <w:lang w:val="fr-CH"/>
        </w:rPr>
        <w:t>(39</w:t>
      </w:r>
      <w:r w:rsidR="006D0A3D" w:rsidRPr="0071782F">
        <w:rPr>
          <w:lang w:val="fr-CH"/>
        </w:rPr>
        <w:t>,</w:t>
      </w:r>
      <w:r w:rsidRPr="0071782F">
        <w:rPr>
          <w:lang w:val="fr-CH"/>
        </w:rPr>
        <w:t>4</w:t>
      </w:r>
      <w:r w:rsidR="007E5125" w:rsidRPr="0071782F">
        <w:rPr>
          <w:lang w:val="fr-CH"/>
        </w:rPr>
        <w:t>%</w:t>
      </w:r>
      <w:r w:rsidRPr="0071782F">
        <w:rPr>
          <w:lang w:val="fr-CH"/>
        </w:rPr>
        <w:t xml:space="preserve">), </w:t>
      </w:r>
      <w:r w:rsidR="006D0A3D" w:rsidRPr="0071782F">
        <w:rPr>
          <w:lang w:val="fr-CH"/>
        </w:rPr>
        <w:t>l’</w:t>
      </w:r>
      <w:r w:rsidRPr="0071782F">
        <w:rPr>
          <w:lang w:val="fr-CH"/>
        </w:rPr>
        <w:t>adoption</w:t>
      </w:r>
      <w:r w:rsidR="006D0A3D" w:rsidRPr="0071782F">
        <w:rPr>
          <w:lang w:val="fr-CH"/>
        </w:rPr>
        <w:t xml:space="preserve"> d’une politique budgétaire inflationniste (le gouvernement a présenté au Parlement quatre amendements budgétaires qui ont été financés par les recettes pétrolières prélevées sur le fonds de réserves de devises étrangères</w:t>
      </w:r>
      <w:r w:rsidRPr="0071782F">
        <w:rPr>
          <w:lang w:val="fr-CH"/>
        </w:rPr>
        <w:t xml:space="preserve">), </w:t>
      </w:r>
      <w:r w:rsidR="006D0A3D" w:rsidRPr="0071782F">
        <w:rPr>
          <w:lang w:val="fr-CH"/>
        </w:rPr>
        <w:t>l’augmentation des prix de l’immobilier à l’achat et à la location, qui a entraîné celle de l’indice des prix du logement, des combustibles et de l’éclairage, ainsi que les anticipations inflationnistes croissantes sont quelques-unes des causes importantes de l’augmentation de l’indice des prix à la consommation de biens et de services.</w:t>
      </w:r>
      <w:r w:rsidR="00D36718">
        <w:rPr>
          <w:lang w:val="fr-CH"/>
        </w:rPr>
        <w:t xml:space="preserve"> </w:t>
      </w:r>
    </w:p>
    <w:p w:rsidR="00972AC7" w:rsidRPr="0071782F" w:rsidRDefault="00972AC7" w:rsidP="00B55247">
      <w:pPr>
        <w:pStyle w:val="SingleTxtG"/>
        <w:ind w:left="1701"/>
        <w:rPr>
          <w:lang w:val="fr-CH"/>
        </w:rPr>
      </w:pPr>
      <w:r w:rsidRPr="0071782F">
        <w:rPr>
          <w:lang w:val="fr-CH"/>
        </w:rPr>
        <w:t>12.2</w:t>
      </w:r>
      <w:r w:rsidR="00EF6CFA" w:rsidRPr="0071782F">
        <w:rPr>
          <w:lang w:val="fr-CH"/>
        </w:rPr>
        <w:t>.</w:t>
      </w:r>
      <w:r w:rsidRPr="0071782F">
        <w:rPr>
          <w:lang w:val="fr-CH"/>
        </w:rPr>
        <w:tab/>
      </w:r>
      <w:r w:rsidR="006602DC" w:rsidRPr="0071782F">
        <w:rPr>
          <w:lang w:val="fr-CH"/>
        </w:rPr>
        <w:t xml:space="preserve">D’un autre côté, certaines politiques déflationnistes ont également été adoptées, parmi lesquelles la </w:t>
      </w:r>
      <w:r w:rsidRPr="0071782F">
        <w:rPr>
          <w:lang w:val="fr-CH"/>
        </w:rPr>
        <w:t>stabili</w:t>
      </w:r>
      <w:r w:rsidR="006602DC" w:rsidRPr="0071782F">
        <w:rPr>
          <w:lang w:val="fr-CH"/>
        </w:rPr>
        <w:t>s</w:t>
      </w:r>
      <w:r w:rsidRPr="0071782F">
        <w:rPr>
          <w:lang w:val="fr-CH"/>
        </w:rPr>
        <w:t xml:space="preserve">ation </w:t>
      </w:r>
      <w:r w:rsidR="006602DC" w:rsidRPr="0071782F">
        <w:rPr>
          <w:lang w:val="fr-CH"/>
        </w:rPr>
        <w:t>des prix, la réglementation des marchés par un accroissement des importations</w:t>
      </w:r>
      <w:r w:rsidRPr="0071782F">
        <w:rPr>
          <w:lang w:val="fr-CH"/>
        </w:rPr>
        <w:t xml:space="preserve"> (</w:t>
      </w:r>
      <w:r w:rsidR="006602DC" w:rsidRPr="0071782F">
        <w:rPr>
          <w:lang w:val="fr-CH"/>
        </w:rPr>
        <w:t xml:space="preserve">la valeur en dollars des importations a augmenté de </w:t>
      </w:r>
      <w:r w:rsidRPr="0071782F">
        <w:rPr>
          <w:lang w:val="fr-CH"/>
        </w:rPr>
        <w:t>5</w:t>
      </w:r>
      <w:r w:rsidR="007E5125" w:rsidRPr="0071782F">
        <w:rPr>
          <w:lang w:val="fr-CH"/>
        </w:rPr>
        <w:t>%</w:t>
      </w:r>
      <w:r w:rsidRPr="0071782F">
        <w:rPr>
          <w:lang w:val="fr-CH"/>
        </w:rPr>
        <w:t xml:space="preserve">), </w:t>
      </w:r>
      <w:r w:rsidR="006602DC" w:rsidRPr="0071782F">
        <w:rPr>
          <w:lang w:val="fr-CH"/>
        </w:rPr>
        <w:t>une légère modification des droits à l’</w:t>
      </w:r>
      <w:r w:rsidRPr="0071782F">
        <w:rPr>
          <w:lang w:val="fr-CH"/>
        </w:rPr>
        <w:t>import</w:t>
      </w:r>
      <w:r w:rsidR="006602DC" w:rsidRPr="0071782F">
        <w:rPr>
          <w:lang w:val="fr-CH"/>
        </w:rPr>
        <w:t>ation</w:t>
      </w:r>
      <w:r w:rsidRPr="0071782F">
        <w:rPr>
          <w:lang w:val="fr-CH"/>
        </w:rPr>
        <w:t xml:space="preserve">, </w:t>
      </w:r>
      <w:r w:rsidR="006602DC" w:rsidRPr="0071782F">
        <w:rPr>
          <w:lang w:val="fr-CH"/>
        </w:rPr>
        <w:t xml:space="preserve">l’émission d’obligations par la banque centrale et </w:t>
      </w:r>
      <w:r w:rsidR="002A0BF6" w:rsidRPr="0071782F">
        <w:rPr>
          <w:lang w:val="fr-CH"/>
        </w:rPr>
        <w:t xml:space="preserve">une </w:t>
      </w:r>
      <w:r w:rsidR="006602DC" w:rsidRPr="0071782F">
        <w:rPr>
          <w:lang w:val="fr-CH"/>
        </w:rPr>
        <w:t xml:space="preserve">augmentation de la </w:t>
      </w:r>
      <w:r w:rsidRPr="0071782F">
        <w:rPr>
          <w:lang w:val="fr-CH"/>
        </w:rPr>
        <w:t>production</w:t>
      </w:r>
      <w:r w:rsidR="006602DC" w:rsidRPr="0071782F">
        <w:rPr>
          <w:lang w:val="fr-CH"/>
        </w:rPr>
        <w:t xml:space="preserve"> par le biais de l’a</w:t>
      </w:r>
      <w:r w:rsidR="002A0BF6" w:rsidRPr="0071782F">
        <w:rPr>
          <w:lang w:val="fr-CH"/>
        </w:rPr>
        <w:t>llocation de crédit</w:t>
      </w:r>
      <w:r w:rsidR="006602DC" w:rsidRPr="0071782F">
        <w:rPr>
          <w:lang w:val="fr-CH"/>
        </w:rPr>
        <w:t>s bancaires</w:t>
      </w:r>
      <w:r w:rsidR="002A0BF6" w:rsidRPr="0071782F">
        <w:rPr>
          <w:lang w:val="fr-CH"/>
        </w:rPr>
        <w:t xml:space="preserve"> à des projets </w:t>
      </w:r>
      <w:r w:rsidR="006602DC" w:rsidRPr="0071782F">
        <w:rPr>
          <w:lang w:val="fr-CH"/>
        </w:rPr>
        <w:t>offrant un rendement rapid</w:t>
      </w:r>
      <w:r w:rsidR="002A0BF6" w:rsidRPr="0071782F">
        <w:rPr>
          <w:lang w:val="fr-CH"/>
        </w:rPr>
        <w:t xml:space="preserve">e du capital investi et créateurs </w:t>
      </w:r>
      <w:r w:rsidR="006602DC" w:rsidRPr="0071782F">
        <w:rPr>
          <w:lang w:val="fr-CH"/>
        </w:rPr>
        <w:t>d’emplois</w:t>
      </w:r>
      <w:r w:rsidRPr="0071782F">
        <w:rPr>
          <w:lang w:val="fr-CH"/>
        </w:rPr>
        <w:t xml:space="preserve">. </w:t>
      </w:r>
    </w:p>
    <w:p w:rsidR="00972AC7" w:rsidRPr="0071782F" w:rsidRDefault="00972AC7" w:rsidP="00B55247">
      <w:pPr>
        <w:pStyle w:val="H23G"/>
        <w:rPr>
          <w:lang w:val="fr-CH"/>
        </w:rPr>
      </w:pPr>
      <w:r w:rsidRPr="0071782F">
        <w:rPr>
          <w:lang w:val="fr-CH"/>
        </w:rPr>
        <w:tab/>
      </w:r>
      <w:r w:rsidRPr="0071782F">
        <w:rPr>
          <w:lang w:val="fr-CH"/>
        </w:rPr>
        <w:tab/>
      </w:r>
      <w:r w:rsidR="006602DC" w:rsidRPr="0071782F">
        <w:rPr>
          <w:lang w:val="fr-CH"/>
        </w:rPr>
        <w:t xml:space="preserve">Marchés financiers et instruments des politiques financières </w:t>
      </w:r>
    </w:p>
    <w:p w:rsidR="00972AC7" w:rsidRPr="0071782F" w:rsidRDefault="00972AC7" w:rsidP="00B55247">
      <w:pPr>
        <w:pStyle w:val="H4G"/>
        <w:rPr>
          <w:lang w:val="fr-CH"/>
        </w:rPr>
      </w:pPr>
      <w:r w:rsidRPr="0071782F">
        <w:rPr>
          <w:lang w:val="fr-CH"/>
        </w:rPr>
        <w:tab/>
      </w:r>
      <w:r w:rsidRPr="0071782F">
        <w:rPr>
          <w:lang w:val="fr-CH"/>
        </w:rPr>
        <w:tab/>
      </w:r>
      <w:r w:rsidR="006602DC" w:rsidRPr="0071782F">
        <w:rPr>
          <w:lang w:val="fr-CH"/>
        </w:rPr>
        <w:t xml:space="preserve">Marché boursier </w:t>
      </w:r>
    </w:p>
    <w:p w:rsidR="00972AC7" w:rsidRPr="0071782F" w:rsidRDefault="00972AC7" w:rsidP="00972AC7">
      <w:pPr>
        <w:pStyle w:val="SingleTxtG"/>
        <w:rPr>
          <w:lang w:val="fr-CH"/>
        </w:rPr>
      </w:pPr>
      <w:r w:rsidRPr="0071782F">
        <w:rPr>
          <w:lang w:val="fr-CH"/>
        </w:rPr>
        <w:t>13.</w:t>
      </w:r>
      <w:r w:rsidRPr="0071782F">
        <w:rPr>
          <w:lang w:val="fr-CH"/>
        </w:rPr>
        <w:tab/>
      </w:r>
      <w:r w:rsidR="006602DC" w:rsidRPr="0071782F">
        <w:rPr>
          <w:lang w:val="fr-CH"/>
        </w:rPr>
        <w:t xml:space="preserve">D’une façon générale, les résultats du marché boursier montrent qu’à la suite de fluctuations </w:t>
      </w:r>
      <w:r w:rsidR="003A4FA6" w:rsidRPr="0071782F">
        <w:rPr>
          <w:lang w:val="fr-CH"/>
        </w:rPr>
        <w:t>a</w:t>
      </w:r>
      <w:r w:rsidR="006602DC" w:rsidRPr="0071782F">
        <w:rPr>
          <w:lang w:val="fr-CH"/>
        </w:rPr>
        <w:t>u début de 2005 et de la disparition des bulles spéculatives, ainsi que de l’adoption de la nouvelle loi sur les valeurs mobilières, ce marché s’est stabilisé et a enregistré des résultats prometteurs en 2006. Cette année-là, l’indice général des prix, la valeur générale du marché, et le volume et la valeur des actions échangées sur le marché boursier ont enregistré un taux de croissance de 3,</w:t>
      </w:r>
      <w:r w:rsidRPr="0071782F">
        <w:rPr>
          <w:lang w:val="fr-CH"/>
        </w:rPr>
        <w:t>8</w:t>
      </w:r>
      <w:r w:rsidR="007E5125" w:rsidRPr="0071782F">
        <w:rPr>
          <w:lang w:val="fr-CH"/>
        </w:rPr>
        <w:t>%</w:t>
      </w:r>
      <w:r w:rsidRPr="0071782F">
        <w:rPr>
          <w:lang w:val="fr-CH"/>
        </w:rPr>
        <w:t>, 21</w:t>
      </w:r>
      <w:r w:rsidR="006602DC" w:rsidRPr="0071782F">
        <w:rPr>
          <w:lang w:val="fr-CH"/>
        </w:rPr>
        <w:t>,</w:t>
      </w:r>
      <w:r w:rsidRPr="0071782F">
        <w:rPr>
          <w:lang w:val="fr-CH"/>
        </w:rPr>
        <w:t>3</w:t>
      </w:r>
      <w:r w:rsidR="007E5125" w:rsidRPr="0071782F">
        <w:rPr>
          <w:lang w:val="fr-CH"/>
        </w:rPr>
        <w:t>%</w:t>
      </w:r>
      <w:r w:rsidRPr="0071782F">
        <w:rPr>
          <w:lang w:val="fr-CH"/>
        </w:rPr>
        <w:t xml:space="preserve"> </w:t>
      </w:r>
      <w:r w:rsidR="006602DC" w:rsidRPr="0071782F">
        <w:rPr>
          <w:lang w:val="fr-CH"/>
        </w:rPr>
        <w:t>et</w:t>
      </w:r>
      <w:r w:rsidRPr="0071782F">
        <w:rPr>
          <w:lang w:val="fr-CH"/>
        </w:rPr>
        <w:t xml:space="preserve"> 8</w:t>
      </w:r>
      <w:r w:rsidR="00A62149" w:rsidRPr="0071782F">
        <w:rPr>
          <w:lang w:val="fr-CH"/>
        </w:rPr>
        <w:t>,</w:t>
      </w:r>
      <w:r w:rsidRPr="0071782F">
        <w:rPr>
          <w:lang w:val="fr-CH"/>
        </w:rPr>
        <w:t>8</w:t>
      </w:r>
      <w:r w:rsidR="007E5125" w:rsidRPr="0071782F">
        <w:rPr>
          <w:lang w:val="fr-CH"/>
        </w:rPr>
        <w:t>%</w:t>
      </w:r>
      <w:r w:rsidR="006602DC" w:rsidRPr="0071782F">
        <w:rPr>
          <w:lang w:val="fr-CH"/>
        </w:rPr>
        <w:t>, respectivement</w:t>
      </w:r>
      <w:r w:rsidRPr="0071782F">
        <w:rPr>
          <w:lang w:val="fr-CH"/>
        </w:rPr>
        <w:t xml:space="preserve">. </w:t>
      </w:r>
    </w:p>
    <w:p w:rsidR="00972AC7" w:rsidRPr="0071782F" w:rsidRDefault="00972AC7" w:rsidP="00B55247">
      <w:pPr>
        <w:pStyle w:val="SingleTxtG"/>
        <w:ind w:left="1701"/>
        <w:rPr>
          <w:lang w:val="fr-CH"/>
        </w:rPr>
      </w:pPr>
      <w:r w:rsidRPr="0071782F">
        <w:rPr>
          <w:lang w:val="fr-CH"/>
        </w:rPr>
        <w:t>13.1</w:t>
      </w:r>
      <w:r w:rsidR="00EF6CFA" w:rsidRPr="0071782F">
        <w:rPr>
          <w:lang w:val="fr-CH"/>
        </w:rPr>
        <w:t>.</w:t>
      </w:r>
      <w:r w:rsidRPr="0071782F">
        <w:rPr>
          <w:lang w:val="fr-CH"/>
        </w:rPr>
        <w:tab/>
      </w:r>
      <w:r w:rsidR="006602DC" w:rsidRPr="0071782F">
        <w:rPr>
          <w:lang w:val="fr-CH"/>
        </w:rPr>
        <w:t xml:space="preserve">De surcroît, le volume et la valeur des obligations d’État échangées sur le marché en </w:t>
      </w:r>
      <w:r w:rsidRPr="0071782F">
        <w:rPr>
          <w:lang w:val="fr-CH"/>
        </w:rPr>
        <w:t xml:space="preserve">2006 </w:t>
      </w:r>
      <w:r w:rsidR="006602DC" w:rsidRPr="0071782F">
        <w:rPr>
          <w:lang w:val="fr-CH"/>
        </w:rPr>
        <w:t xml:space="preserve">ont augmenté de </w:t>
      </w:r>
      <w:r w:rsidRPr="0071782F">
        <w:rPr>
          <w:lang w:val="fr-CH"/>
        </w:rPr>
        <w:t>1</w:t>
      </w:r>
      <w:r w:rsidR="006602DC" w:rsidRPr="0071782F">
        <w:rPr>
          <w:lang w:val="fr-CH"/>
        </w:rPr>
        <w:t> </w:t>
      </w:r>
      <w:r w:rsidRPr="0071782F">
        <w:rPr>
          <w:lang w:val="fr-CH"/>
        </w:rPr>
        <w:t>114</w:t>
      </w:r>
      <w:r w:rsidR="006602DC" w:rsidRPr="0071782F">
        <w:rPr>
          <w:lang w:val="fr-CH"/>
        </w:rPr>
        <w:t>,</w:t>
      </w:r>
      <w:r w:rsidRPr="0071782F">
        <w:rPr>
          <w:lang w:val="fr-CH"/>
        </w:rPr>
        <w:t>9</w:t>
      </w:r>
      <w:r w:rsidR="007E5125" w:rsidRPr="0071782F">
        <w:rPr>
          <w:lang w:val="fr-CH"/>
        </w:rPr>
        <w:t>%</w:t>
      </w:r>
      <w:r w:rsidRPr="0071782F">
        <w:rPr>
          <w:lang w:val="fr-CH"/>
        </w:rPr>
        <w:t xml:space="preserve"> </w:t>
      </w:r>
      <w:r w:rsidR="006602DC" w:rsidRPr="0071782F">
        <w:rPr>
          <w:lang w:val="fr-CH"/>
        </w:rPr>
        <w:t xml:space="preserve">et de </w:t>
      </w:r>
      <w:r w:rsidRPr="0071782F">
        <w:rPr>
          <w:lang w:val="fr-CH"/>
        </w:rPr>
        <w:t>548</w:t>
      </w:r>
      <w:r w:rsidR="007E5125" w:rsidRPr="0071782F">
        <w:rPr>
          <w:lang w:val="fr-CH"/>
        </w:rPr>
        <w:t>%</w:t>
      </w:r>
      <w:r w:rsidR="006602DC" w:rsidRPr="0071782F">
        <w:rPr>
          <w:lang w:val="fr-CH"/>
        </w:rPr>
        <w:t>, respectivement</w:t>
      </w:r>
      <w:r w:rsidRPr="0071782F">
        <w:rPr>
          <w:lang w:val="fr-CH"/>
        </w:rPr>
        <w:t xml:space="preserve">. </w:t>
      </w:r>
      <w:r w:rsidR="006602DC" w:rsidRPr="0071782F">
        <w:rPr>
          <w:lang w:val="fr-CH"/>
        </w:rPr>
        <w:t xml:space="preserve">Cela montre la </w:t>
      </w:r>
      <w:r w:rsidRPr="0071782F">
        <w:rPr>
          <w:lang w:val="fr-CH"/>
        </w:rPr>
        <w:t>d</w:t>
      </w:r>
      <w:r w:rsidR="006602DC" w:rsidRPr="0071782F">
        <w:rPr>
          <w:lang w:val="fr-CH"/>
        </w:rPr>
        <w:t>é</w:t>
      </w:r>
      <w:r w:rsidRPr="0071782F">
        <w:rPr>
          <w:lang w:val="fr-CH"/>
        </w:rPr>
        <w:t xml:space="preserve">termination </w:t>
      </w:r>
      <w:r w:rsidR="006602DC" w:rsidRPr="0071782F">
        <w:rPr>
          <w:lang w:val="fr-CH"/>
        </w:rPr>
        <w:t xml:space="preserve">du marché boursier de </w:t>
      </w:r>
      <w:r w:rsidRPr="0071782F">
        <w:rPr>
          <w:lang w:val="fr-CH"/>
        </w:rPr>
        <w:t>collabor</w:t>
      </w:r>
      <w:r w:rsidR="006602DC" w:rsidRPr="0071782F">
        <w:rPr>
          <w:lang w:val="fr-CH"/>
        </w:rPr>
        <w:t xml:space="preserve">er avec les </w:t>
      </w:r>
      <w:r w:rsidRPr="0071782F">
        <w:rPr>
          <w:lang w:val="fr-CH"/>
        </w:rPr>
        <w:t xml:space="preserve">institutions </w:t>
      </w:r>
      <w:r w:rsidR="006602DC" w:rsidRPr="0071782F">
        <w:rPr>
          <w:lang w:val="fr-CH"/>
        </w:rPr>
        <w:t>et organis</w:t>
      </w:r>
      <w:r w:rsidRPr="0071782F">
        <w:rPr>
          <w:lang w:val="fr-CH"/>
        </w:rPr>
        <w:t xml:space="preserve">ations </w:t>
      </w:r>
      <w:r w:rsidR="006602DC" w:rsidRPr="0071782F">
        <w:rPr>
          <w:lang w:val="fr-CH"/>
        </w:rPr>
        <w:t xml:space="preserve">compétentes en vue de garantir l’application par le gouvernement des dispositions de </w:t>
      </w:r>
      <w:r w:rsidR="00723F2B" w:rsidRPr="0071782F">
        <w:rPr>
          <w:lang w:val="fr-CH"/>
        </w:rPr>
        <w:t>l’</w:t>
      </w:r>
      <w:r w:rsidR="00943A69" w:rsidRPr="0071782F">
        <w:rPr>
          <w:lang w:val="fr-CH"/>
        </w:rPr>
        <w:t>article </w:t>
      </w:r>
      <w:r w:rsidRPr="0071782F">
        <w:rPr>
          <w:lang w:val="fr-CH"/>
        </w:rPr>
        <w:t xml:space="preserve">44 </w:t>
      </w:r>
      <w:r w:rsidR="006602DC" w:rsidRPr="0071782F">
        <w:rPr>
          <w:lang w:val="fr-CH"/>
        </w:rPr>
        <w:t xml:space="preserve">de la </w:t>
      </w:r>
      <w:r w:rsidRPr="0071782F">
        <w:rPr>
          <w:lang w:val="fr-CH"/>
        </w:rPr>
        <w:t>Constitution.</w:t>
      </w:r>
    </w:p>
    <w:p w:rsidR="00972AC7" w:rsidRPr="0071782F" w:rsidRDefault="00972AC7" w:rsidP="00B55247">
      <w:pPr>
        <w:pStyle w:val="SingleTxtG"/>
        <w:ind w:left="1701"/>
        <w:rPr>
          <w:lang w:val="fr-CH"/>
        </w:rPr>
      </w:pPr>
      <w:r w:rsidRPr="0071782F">
        <w:rPr>
          <w:lang w:val="fr-CH"/>
        </w:rPr>
        <w:t>13.2</w:t>
      </w:r>
      <w:r w:rsidR="00EF6CFA" w:rsidRPr="0071782F">
        <w:rPr>
          <w:lang w:val="fr-CH"/>
        </w:rPr>
        <w:t>.</w:t>
      </w:r>
      <w:r w:rsidRPr="0071782F">
        <w:rPr>
          <w:lang w:val="fr-CH"/>
        </w:rPr>
        <w:tab/>
      </w:r>
      <w:r w:rsidR="006E23CB" w:rsidRPr="0071782F">
        <w:rPr>
          <w:lang w:val="fr-CH"/>
        </w:rPr>
        <w:t xml:space="preserve">Il convient de noter qu’au cours des deux années écoulées, l’indice général du marché boursier, qui est un indice des prix, a baissé car les investisseurs ont préféré </w:t>
      </w:r>
      <w:r w:rsidRPr="0071782F">
        <w:rPr>
          <w:lang w:val="fr-CH"/>
        </w:rPr>
        <w:t>divi</w:t>
      </w:r>
      <w:r w:rsidR="006E23CB" w:rsidRPr="0071782F">
        <w:rPr>
          <w:lang w:val="fr-CH"/>
        </w:rPr>
        <w:t>ser les bénéfices et augmenter le capital</w:t>
      </w:r>
      <w:r w:rsidRPr="0071782F">
        <w:rPr>
          <w:lang w:val="fr-CH"/>
        </w:rPr>
        <w:t xml:space="preserve">. </w:t>
      </w:r>
      <w:r w:rsidR="006E23CB" w:rsidRPr="0071782F">
        <w:rPr>
          <w:lang w:val="fr-CH"/>
        </w:rPr>
        <w:t>En conséquence, l’indice général</w:t>
      </w:r>
      <w:r w:rsidRPr="0071782F">
        <w:rPr>
          <w:lang w:val="fr-CH"/>
        </w:rPr>
        <w:t xml:space="preserve"> (TEPIX) </w:t>
      </w:r>
      <w:r w:rsidR="006E23CB" w:rsidRPr="0071782F">
        <w:rPr>
          <w:lang w:val="fr-CH"/>
        </w:rPr>
        <w:t xml:space="preserve">a été ramené de 12 </w:t>
      </w:r>
      <w:r w:rsidRPr="0071782F">
        <w:rPr>
          <w:lang w:val="fr-CH"/>
        </w:rPr>
        <w:t xml:space="preserve">417 </w:t>
      </w:r>
      <w:r w:rsidR="006E23CB" w:rsidRPr="0071782F">
        <w:rPr>
          <w:lang w:val="fr-CH"/>
        </w:rPr>
        <w:t xml:space="preserve">à 9 </w:t>
      </w:r>
      <w:r w:rsidRPr="0071782F">
        <w:rPr>
          <w:lang w:val="fr-CH"/>
        </w:rPr>
        <w:t>294</w:t>
      </w:r>
      <w:r w:rsidR="006E23CB" w:rsidRPr="0071782F">
        <w:rPr>
          <w:lang w:val="fr-CH"/>
        </w:rPr>
        <w:t xml:space="preserve"> au cours de cette période</w:t>
      </w:r>
      <w:r w:rsidRPr="0071782F">
        <w:rPr>
          <w:lang w:val="fr-CH"/>
        </w:rPr>
        <w:t xml:space="preserve">. </w:t>
      </w:r>
    </w:p>
    <w:p w:rsidR="00972AC7" w:rsidRPr="0071782F" w:rsidRDefault="00972AC7" w:rsidP="00B55247">
      <w:pPr>
        <w:pStyle w:val="H4G"/>
        <w:rPr>
          <w:lang w:val="fr-CH"/>
        </w:rPr>
      </w:pPr>
      <w:r w:rsidRPr="0071782F">
        <w:rPr>
          <w:lang w:val="fr-CH"/>
        </w:rPr>
        <w:tab/>
      </w:r>
      <w:r w:rsidRPr="0071782F">
        <w:rPr>
          <w:lang w:val="fr-CH"/>
        </w:rPr>
        <w:tab/>
      </w:r>
      <w:r w:rsidR="006E23CB" w:rsidRPr="0071782F">
        <w:rPr>
          <w:lang w:val="fr-CH"/>
        </w:rPr>
        <w:t xml:space="preserve">Émission d’obligations </w:t>
      </w:r>
    </w:p>
    <w:p w:rsidR="00972AC7" w:rsidRPr="0071782F" w:rsidRDefault="006E23CB" w:rsidP="00972AC7">
      <w:pPr>
        <w:pStyle w:val="SingleTxtG"/>
        <w:rPr>
          <w:lang w:val="fr-CH"/>
        </w:rPr>
      </w:pPr>
      <w:r w:rsidRPr="0071782F">
        <w:rPr>
          <w:lang w:val="fr-CH"/>
        </w:rPr>
        <w:t>14.</w:t>
      </w:r>
      <w:r w:rsidRPr="0071782F">
        <w:rPr>
          <w:lang w:val="fr-CH"/>
        </w:rPr>
        <w:tab/>
        <w:t>E</w:t>
      </w:r>
      <w:r w:rsidR="00972AC7" w:rsidRPr="0071782F">
        <w:rPr>
          <w:lang w:val="fr-CH"/>
        </w:rPr>
        <w:t xml:space="preserve">n 2006, </w:t>
      </w:r>
      <w:r w:rsidRPr="0071782F">
        <w:rPr>
          <w:lang w:val="fr-CH"/>
        </w:rPr>
        <w:t xml:space="preserve">la valeur des obligations inscrites au budget de d’État s’est établie à </w:t>
      </w:r>
      <w:r w:rsidR="00972AC7" w:rsidRPr="0071782F">
        <w:rPr>
          <w:lang w:val="fr-CH"/>
        </w:rPr>
        <w:t>5</w:t>
      </w:r>
      <w:r w:rsidRPr="0071782F">
        <w:rPr>
          <w:lang w:val="fr-CH"/>
        </w:rPr>
        <w:t> </w:t>
      </w:r>
      <w:r w:rsidR="00972AC7" w:rsidRPr="0071782F">
        <w:rPr>
          <w:lang w:val="fr-CH"/>
        </w:rPr>
        <w:t>040</w:t>
      </w:r>
      <w:r w:rsidRPr="0071782F">
        <w:rPr>
          <w:lang w:val="fr-CH"/>
        </w:rPr>
        <w:t>,</w:t>
      </w:r>
      <w:r w:rsidR="00972AC7" w:rsidRPr="0071782F">
        <w:rPr>
          <w:lang w:val="fr-CH"/>
        </w:rPr>
        <w:t>3</w:t>
      </w:r>
      <w:r w:rsidR="008553D9" w:rsidRPr="0071782F">
        <w:rPr>
          <w:lang w:val="fr-CH"/>
        </w:rPr>
        <w:t> milliard</w:t>
      </w:r>
      <w:r w:rsidR="00097CDB" w:rsidRPr="0071782F">
        <w:rPr>
          <w:lang w:val="fr-CH"/>
        </w:rPr>
        <w:t>s</w:t>
      </w:r>
      <w:r w:rsidRPr="0071782F">
        <w:rPr>
          <w:lang w:val="fr-CH"/>
        </w:rPr>
        <w:t xml:space="preserve"> </w:t>
      </w:r>
      <w:r w:rsidR="003B1403" w:rsidRPr="0071782F">
        <w:rPr>
          <w:lang w:val="fr-CH"/>
        </w:rPr>
        <w:t>de rials</w:t>
      </w:r>
      <w:r w:rsidRPr="0071782F">
        <w:rPr>
          <w:lang w:val="fr-CH"/>
        </w:rPr>
        <w:t xml:space="preserve">, en baisse de </w:t>
      </w:r>
      <w:r w:rsidR="00972AC7" w:rsidRPr="0071782F">
        <w:rPr>
          <w:lang w:val="fr-CH"/>
        </w:rPr>
        <w:t>40</w:t>
      </w:r>
      <w:r w:rsidRPr="0071782F">
        <w:rPr>
          <w:lang w:val="fr-CH"/>
        </w:rPr>
        <w:t>,</w:t>
      </w:r>
      <w:r w:rsidR="00972AC7" w:rsidRPr="0071782F">
        <w:rPr>
          <w:lang w:val="fr-CH"/>
        </w:rPr>
        <w:t>7</w:t>
      </w:r>
      <w:r w:rsidR="007E5125" w:rsidRPr="0071782F">
        <w:rPr>
          <w:lang w:val="fr-CH"/>
        </w:rPr>
        <w:t>%</w:t>
      </w:r>
      <w:r w:rsidR="00972AC7" w:rsidRPr="0071782F">
        <w:rPr>
          <w:lang w:val="fr-CH"/>
        </w:rPr>
        <w:t xml:space="preserve"> </w:t>
      </w:r>
      <w:r w:rsidRPr="0071782F">
        <w:rPr>
          <w:lang w:val="fr-CH"/>
        </w:rPr>
        <w:t xml:space="preserve">par rapport à </w:t>
      </w:r>
      <w:r w:rsidR="00972AC7" w:rsidRPr="0071782F">
        <w:rPr>
          <w:lang w:val="fr-CH"/>
        </w:rPr>
        <w:t xml:space="preserve">2005. </w:t>
      </w:r>
      <w:r w:rsidRPr="0071782F">
        <w:rPr>
          <w:lang w:val="fr-CH"/>
        </w:rPr>
        <w:t xml:space="preserve">Les obligations d’État non inscrites au budget ont enregistré une croissance de </w:t>
      </w:r>
      <w:r w:rsidR="00972AC7" w:rsidRPr="0071782F">
        <w:rPr>
          <w:lang w:val="fr-CH"/>
        </w:rPr>
        <w:t>85</w:t>
      </w:r>
      <w:r w:rsidRPr="0071782F">
        <w:rPr>
          <w:lang w:val="fr-CH"/>
        </w:rPr>
        <w:t>,</w:t>
      </w:r>
      <w:r w:rsidR="00972AC7" w:rsidRPr="0071782F">
        <w:rPr>
          <w:lang w:val="fr-CH"/>
        </w:rPr>
        <w:t>4</w:t>
      </w:r>
      <w:r w:rsidR="007E5125" w:rsidRPr="0071782F">
        <w:rPr>
          <w:lang w:val="fr-CH"/>
        </w:rPr>
        <w:t>%</w:t>
      </w:r>
      <w:r w:rsidR="00972AC7" w:rsidRPr="0071782F">
        <w:rPr>
          <w:lang w:val="fr-CH"/>
        </w:rPr>
        <w:t xml:space="preserve"> </w:t>
      </w:r>
      <w:r w:rsidRPr="0071782F">
        <w:rPr>
          <w:lang w:val="fr-CH"/>
        </w:rPr>
        <w:t>e</w:t>
      </w:r>
      <w:r w:rsidR="00972AC7" w:rsidRPr="0071782F">
        <w:rPr>
          <w:lang w:val="fr-CH"/>
        </w:rPr>
        <w:t xml:space="preserve">n 2006 </w:t>
      </w:r>
      <w:r w:rsidRPr="0071782F">
        <w:rPr>
          <w:lang w:val="fr-CH"/>
        </w:rPr>
        <w:t xml:space="preserve">par rapport à </w:t>
      </w:r>
      <w:r w:rsidR="00972AC7" w:rsidRPr="0071782F">
        <w:rPr>
          <w:lang w:val="fr-CH"/>
        </w:rPr>
        <w:t>2005</w:t>
      </w:r>
      <w:r w:rsidRPr="0071782F">
        <w:rPr>
          <w:lang w:val="fr-CH"/>
        </w:rPr>
        <w:t>, pour atteindre une valeur de 5 </w:t>
      </w:r>
      <w:r w:rsidR="00972AC7" w:rsidRPr="0071782F">
        <w:rPr>
          <w:lang w:val="fr-CH"/>
        </w:rPr>
        <w:t>934</w:t>
      </w:r>
      <w:r w:rsidRPr="0071782F">
        <w:rPr>
          <w:lang w:val="fr-CH"/>
        </w:rPr>
        <w:t>,</w:t>
      </w:r>
      <w:r w:rsidR="00972AC7" w:rsidRPr="0071782F">
        <w:rPr>
          <w:lang w:val="fr-CH"/>
        </w:rPr>
        <w:t>8</w:t>
      </w:r>
      <w:r w:rsidR="008553D9" w:rsidRPr="0071782F">
        <w:rPr>
          <w:lang w:val="fr-CH"/>
        </w:rPr>
        <w:t> milliard</w:t>
      </w:r>
      <w:r w:rsidR="00097CDB" w:rsidRPr="0071782F">
        <w:rPr>
          <w:lang w:val="fr-CH"/>
        </w:rPr>
        <w:t>s</w:t>
      </w:r>
      <w:r w:rsidRPr="0071782F">
        <w:rPr>
          <w:lang w:val="fr-CH"/>
        </w:rPr>
        <w:t xml:space="preserve"> </w:t>
      </w:r>
      <w:r w:rsidR="003B1403" w:rsidRPr="0071782F">
        <w:rPr>
          <w:lang w:val="fr-CH"/>
        </w:rPr>
        <w:t>de rials</w:t>
      </w:r>
      <w:r w:rsidR="00972AC7" w:rsidRPr="0071782F">
        <w:rPr>
          <w:lang w:val="fr-CH"/>
        </w:rPr>
        <w:t xml:space="preserve">. </w:t>
      </w:r>
      <w:r w:rsidRPr="0071782F">
        <w:rPr>
          <w:lang w:val="fr-CH"/>
        </w:rPr>
        <w:t xml:space="preserve">La valeur globale des obligations inscrites au budget venant à échéance en 2006 s’est établie aux alentours de </w:t>
      </w:r>
      <w:r w:rsidR="00972AC7" w:rsidRPr="0071782F">
        <w:rPr>
          <w:lang w:val="fr-CH"/>
        </w:rPr>
        <w:t>38</w:t>
      </w:r>
      <w:r w:rsidRPr="0071782F">
        <w:rPr>
          <w:lang w:val="fr-CH"/>
        </w:rPr>
        <w:t>,</w:t>
      </w:r>
      <w:r w:rsidR="00972AC7" w:rsidRPr="0071782F">
        <w:rPr>
          <w:lang w:val="fr-CH"/>
        </w:rPr>
        <w:t>04</w:t>
      </w:r>
      <w:r w:rsidR="008553D9" w:rsidRPr="0071782F">
        <w:rPr>
          <w:lang w:val="fr-CH"/>
        </w:rPr>
        <w:t> milliard</w:t>
      </w:r>
      <w:r w:rsidR="00097CDB" w:rsidRPr="0071782F">
        <w:rPr>
          <w:lang w:val="fr-CH"/>
        </w:rPr>
        <w:t>s</w:t>
      </w:r>
      <w:r w:rsidRPr="0071782F">
        <w:rPr>
          <w:lang w:val="fr-CH"/>
        </w:rPr>
        <w:t xml:space="preserve"> </w:t>
      </w:r>
      <w:r w:rsidR="003B1403" w:rsidRPr="0071782F">
        <w:rPr>
          <w:lang w:val="fr-CH"/>
        </w:rPr>
        <w:t>de rials</w:t>
      </w:r>
      <w:r w:rsidR="00972AC7" w:rsidRPr="0071782F">
        <w:rPr>
          <w:lang w:val="fr-CH"/>
        </w:rPr>
        <w:t xml:space="preserve">, </w:t>
      </w:r>
      <w:r w:rsidRPr="0071782F">
        <w:rPr>
          <w:lang w:val="fr-CH"/>
        </w:rPr>
        <w:t xml:space="preserve">soit une augmentation de </w:t>
      </w:r>
      <w:r w:rsidR="00972AC7" w:rsidRPr="0071782F">
        <w:rPr>
          <w:lang w:val="fr-CH"/>
        </w:rPr>
        <w:t>183</w:t>
      </w:r>
      <w:r w:rsidR="007E5125" w:rsidRPr="0071782F">
        <w:rPr>
          <w:lang w:val="fr-CH"/>
        </w:rPr>
        <w:t>%</w:t>
      </w:r>
      <w:r w:rsidR="00972AC7" w:rsidRPr="0071782F">
        <w:rPr>
          <w:lang w:val="fr-CH"/>
        </w:rPr>
        <w:t xml:space="preserve"> </w:t>
      </w:r>
      <w:r w:rsidRPr="0071782F">
        <w:rPr>
          <w:lang w:val="fr-CH"/>
        </w:rPr>
        <w:t>par rapport à l’année précédente</w:t>
      </w:r>
      <w:r w:rsidR="00972AC7" w:rsidRPr="0071782F">
        <w:rPr>
          <w:lang w:val="fr-CH"/>
        </w:rPr>
        <w:t xml:space="preserve">. </w:t>
      </w:r>
      <w:r w:rsidRPr="0071782F">
        <w:rPr>
          <w:lang w:val="fr-CH"/>
        </w:rPr>
        <w:t>Cela met en évidence l’importance en volume des obligations émises au cours des années antérieures qui n’avaient pas servi à exécuter des projets rémunérateurs</w:t>
      </w:r>
      <w:r w:rsidR="00972AC7" w:rsidRPr="0071782F">
        <w:rPr>
          <w:lang w:val="fr-CH"/>
        </w:rPr>
        <w:t xml:space="preserve">. </w:t>
      </w:r>
      <w:r w:rsidRPr="0071782F">
        <w:rPr>
          <w:lang w:val="fr-CH"/>
        </w:rPr>
        <w:t xml:space="preserve">Par ailleurs, la valeur des obligations inscrites au budget venant à échéance la même année s’est élevée à </w:t>
      </w:r>
      <w:r w:rsidR="00972AC7" w:rsidRPr="0071782F">
        <w:rPr>
          <w:lang w:val="fr-CH"/>
        </w:rPr>
        <w:t>3</w:t>
      </w:r>
      <w:r w:rsidRPr="0071782F">
        <w:rPr>
          <w:lang w:val="fr-CH"/>
        </w:rPr>
        <w:t> </w:t>
      </w:r>
      <w:r w:rsidR="00972AC7" w:rsidRPr="0071782F">
        <w:rPr>
          <w:lang w:val="fr-CH"/>
        </w:rPr>
        <w:t>277</w:t>
      </w:r>
      <w:r w:rsidRPr="0071782F">
        <w:rPr>
          <w:lang w:val="fr-CH"/>
        </w:rPr>
        <w:t>,</w:t>
      </w:r>
      <w:r w:rsidR="00972AC7" w:rsidRPr="0071782F">
        <w:rPr>
          <w:lang w:val="fr-CH"/>
        </w:rPr>
        <w:t>3</w:t>
      </w:r>
      <w:r w:rsidR="008553D9" w:rsidRPr="0071782F">
        <w:rPr>
          <w:lang w:val="fr-CH"/>
        </w:rPr>
        <w:t> milliard</w:t>
      </w:r>
      <w:r w:rsidR="00097CDB" w:rsidRPr="0071782F">
        <w:rPr>
          <w:lang w:val="fr-CH"/>
        </w:rPr>
        <w:t>s</w:t>
      </w:r>
      <w:r w:rsidRPr="0071782F">
        <w:rPr>
          <w:lang w:val="fr-CH"/>
        </w:rPr>
        <w:t xml:space="preserve"> </w:t>
      </w:r>
      <w:r w:rsidR="003B1403" w:rsidRPr="0071782F">
        <w:rPr>
          <w:lang w:val="fr-CH"/>
        </w:rPr>
        <w:t>de rials</w:t>
      </w:r>
      <w:r w:rsidR="00972AC7" w:rsidRPr="0071782F">
        <w:rPr>
          <w:lang w:val="fr-CH"/>
        </w:rPr>
        <w:t xml:space="preserve">, </w:t>
      </w:r>
      <w:r w:rsidRPr="0071782F">
        <w:rPr>
          <w:lang w:val="fr-CH"/>
        </w:rPr>
        <w:t xml:space="preserve">en augmentation de </w:t>
      </w:r>
      <w:r w:rsidR="00972AC7" w:rsidRPr="0071782F">
        <w:rPr>
          <w:lang w:val="fr-CH"/>
        </w:rPr>
        <w:t>134</w:t>
      </w:r>
      <w:r w:rsidR="007E5125" w:rsidRPr="0071782F">
        <w:rPr>
          <w:lang w:val="fr-CH"/>
        </w:rPr>
        <w:t>%</w:t>
      </w:r>
      <w:r w:rsidR="00972AC7" w:rsidRPr="0071782F">
        <w:rPr>
          <w:lang w:val="fr-CH"/>
        </w:rPr>
        <w:t xml:space="preserve"> </w:t>
      </w:r>
      <w:r w:rsidRPr="0071782F">
        <w:rPr>
          <w:lang w:val="fr-CH"/>
        </w:rPr>
        <w:t>par rapport à l’année précédente</w:t>
      </w:r>
      <w:r w:rsidR="00972AC7" w:rsidRPr="0071782F">
        <w:rPr>
          <w:lang w:val="fr-CH"/>
        </w:rPr>
        <w:t xml:space="preserve">. </w:t>
      </w:r>
    </w:p>
    <w:p w:rsidR="00972AC7" w:rsidRPr="0071782F" w:rsidRDefault="00972AC7" w:rsidP="00B55247">
      <w:pPr>
        <w:pStyle w:val="H4G"/>
        <w:rPr>
          <w:lang w:val="fr-CH"/>
        </w:rPr>
      </w:pPr>
      <w:r w:rsidRPr="0071782F">
        <w:rPr>
          <w:lang w:val="fr-CH"/>
        </w:rPr>
        <w:tab/>
      </w:r>
      <w:r w:rsidRPr="0071782F">
        <w:rPr>
          <w:lang w:val="fr-CH"/>
        </w:rPr>
        <w:tab/>
      </w:r>
      <w:r w:rsidR="006E23CB" w:rsidRPr="0071782F">
        <w:rPr>
          <w:lang w:val="fr-CH"/>
        </w:rPr>
        <w:t>Vente d’entreprises publiques</w:t>
      </w:r>
      <w:r w:rsidRPr="0071782F">
        <w:rPr>
          <w:lang w:val="fr-CH"/>
        </w:rPr>
        <w:t>, privati</w:t>
      </w:r>
      <w:r w:rsidR="006E23CB" w:rsidRPr="0071782F">
        <w:rPr>
          <w:lang w:val="fr-CH"/>
        </w:rPr>
        <w:t>s</w:t>
      </w:r>
      <w:r w:rsidRPr="0071782F">
        <w:rPr>
          <w:lang w:val="fr-CH"/>
        </w:rPr>
        <w:t xml:space="preserve">ation </w:t>
      </w:r>
      <w:r w:rsidR="006E23CB" w:rsidRPr="0071782F">
        <w:rPr>
          <w:lang w:val="fr-CH"/>
        </w:rPr>
        <w:t>et réglementation des monopol</w:t>
      </w:r>
      <w:r w:rsidRPr="0071782F">
        <w:rPr>
          <w:lang w:val="fr-CH"/>
        </w:rPr>
        <w:t>es</w:t>
      </w:r>
    </w:p>
    <w:p w:rsidR="00972AC7" w:rsidRPr="0071782F" w:rsidRDefault="00972AC7" w:rsidP="00972AC7">
      <w:pPr>
        <w:pStyle w:val="SingleTxtG"/>
        <w:rPr>
          <w:lang w:val="fr-CH"/>
        </w:rPr>
      </w:pPr>
      <w:r w:rsidRPr="0071782F">
        <w:rPr>
          <w:lang w:val="fr-CH"/>
        </w:rPr>
        <w:t>15.</w:t>
      </w:r>
      <w:r w:rsidRPr="0071782F">
        <w:rPr>
          <w:lang w:val="fr-CH"/>
        </w:rPr>
        <w:tab/>
      </w:r>
      <w:r w:rsidR="005779EE" w:rsidRPr="0071782F">
        <w:rPr>
          <w:lang w:val="fr-CH"/>
        </w:rPr>
        <w:t xml:space="preserve">Le </w:t>
      </w:r>
      <w:r w:rsidRPr="0071782F">
        <w:rPr>
          <w:lang w:val="fr-CH"/>
        </w:rPr>
        <w:t>program</w:t>
      </w:r>
      <w:r w:rsidR="005779EE" w:rsidRPr="0071782F">
        <w:rPr>
          <w:lang w:val="fr-CH"/>
        </w:rPr>
        <w:t xml:space="preserve">me de </w:t>
      </w:r>
      <w:r w:rsidRPr="0071782F">
        <w:rPr>
          <w:lang w:val="fr-CH"/>
        </w:rPr>
        <w:t>privati</w:t>
      </w:r>
      <w:r w:rsidR="005779EE" w:rsidRPr="0071782F">
        <w:rPr>
          <w:lang w:val="fr-CH"/>
        </w:rPr>
        <w:t>s</w:t>
      </w:r>
      <w:r w:rsidRPr="0071782F">
        <w:rPr>
          <w:lang w:val="fr-CH"/>
        </w:rPr>
        <w:t xml:space="preserve">ation </w:t>
      </w:r>
      <w:r w:rsidR="005779EE" w:rsidRPr="0071782F">
        <w:rPr>
          <w:lang w:val="fr-CH"/>
        </w:rPr>
        <w:t>et de vente d’entreprises publiques est à l’étude depuis le début du premier plan de développement.</w:t>
      </w:r>
      <w:r w:rsidRPr="0071782F">
        <w:rPr>
          <w:lang w:val="fr-CH"/>
        </w:rPr>
        <w:t xml:space="preserve"> </w:t>
      </w:r>
      <w:r w:rsidR="005779EE" w:rsidRPr="0071782F">
        <w:rPr>
          <w:lang w:val="fr-CH"/>
        </w:rPr>
        <w:t>E</w:t>
      </w:r>
      <w:r w:rsidRPr="0071782F">
        <w:rPr>
          <w:lang w:val="fr-CH"/>
        </w:rPr>
        <w:t xml:space="preserve">n 2006, </w:t>
      </w:r>
      <w:r w:rsidR="005779EE" w:rsidRPr="0071782F">
        <w:rPr>
          <w:lang w:val="fr-CH"/>
        </w:rPr>
        <w:t xml:space="preserve">dans le cadre de la première partie des politiques générales concernant </w:t>
      </w:r>
      <w:r w:rsidR="00723F2B" w:rsidRPr="0071782F">
        <w:rPr>
          <w:lang w:val="fr-CH"/>
        </w:rPr>
        <w:t>l’</w:t>
      </w:r>
      <w:r w:rsidR="00943A69" w:rsidRPr="0071782F">
        <w:rPr>
          <w:lang w:val="fr-CH"/>
        </w:rPr>
        <w:t>article </w:t>
      </w:r>
      <w:r w:rsidRPr="0071782F">
        <w:rPr>
          <w:lang w:val="fr-CH"/>
        </w:rPr>
        <w:t xml:space="preserve">44 </w:t>
      </w:r>
      <w:r w:rsidR="005779EE" w:rsidRPr="0071782F">
        <w:rPr>
          <w:lang w:val="fr-CH"/>
        </w:rPr>
        <w:t>de la Constitution proclamées par le</w:t>
      </w:r>
      <w:r w:rsidR="00D36718">
        <w:rPr>
          <w:lang w:val="fr-CH"/>
        </w:rPr>
        <w:t xml:space="preserve"> </w:t>
      </w:r>
      <w:r w:rsidR="005779EE" w:rsidRPr="0071782F">
        <w:rPr>
          <w:lang w:val="fr-CH"/>
        </w:rPr>
        <w:t xml:space="preserve">Guide suprême, </w:t>
      </w:r>
      <w:r w:rsidR="006B786B" w:rsidRPr="0071782F">
        <w:rPr>
          <w:lang w:val="fr-CH"/>
        </w:rPr>
        <w:t>l’alinéa </w:t>
      </w:r>
      <w:r w:rsidR="005779EE" w:rsidRPr="0071782F">
        <w:rPr>
          <w:lang w:val="fr-CH"/>
        </w:rPr>
        <w:t xml:space="preserve">c desdites politiques intitulé </w:t>
      </w:r>
      <w:r w:rsidR="00A62149" w:rsidRPr="0071782F">
        <w:rPr>
          <w:lang w:val="fr-CH"/>
        </w:rPr>
        <w:t>"</w:t>
      </w:r>
      <w:r w:rsidR="00FA5E28" w:rsidRPr="0071782F">
        <w:rPr>
          <w:lang w:val="fr-CH"/>
        </w:rPr>
        <w:t>P</w:t>
      </w:r>
      <w:r w:rsidR="005779EE" w:rsidRPr="0071782F">
        <w:rPr>
          <w:lang w:val="fr-CH"/>
        </w:rPr>
        <w:t>olitiques générales applicables au développement du secteur privé par le biais de la vente des entreprises publiques</w:t>
      </w:r>
      <w:r w:rsidR="00A62149" w:rsidRPr="0071782F">
        <w:rPr>
          <w:lang w:val="fr-CH"/>
        </w:rPr>
        <w:t>"</w:t>
      </w:r>
      <w:r w:rsidRPr="0071782F">
        <w:rPr>
          <w:lang w:val="fr-CH"/>
        </w:rPr>
        <w:t xml:space="preserve"> </w:t>
      </w:r>
      <w:r w:rsidR="005779EE" w:rsidRPr="0071782F">
        <w:rPr>
          <w:lang w:val="fr-CH"/>
        </w:rPr>
        <w:t>a été présenté au gouvernement aux fins d’application</w:t>
      </w:r>
      <w:r w:rsidR="008F7D33" w:rsidRPr="0071782F">
        <w:rPr>
          <w:lang w:val="fr-CH"/>
        </w:rPr>
        <w:t>:</w:t>
      </w:r>
      <w:r w:rsidR="00A62149" w:rsidRPr="0071782F">
        <w:rPr>
          <w:lang w:val="fr-CH"/>
        </w:rPr>
        <w:t xml:space="preserve"> </w:t>
      </w:r>
    </w:p>
    <w:p w:rsidR="00972AC7" w:rsidRPr="0071782F" w:rsidRDefault="00972AC7" w:rsidP="00B55247">
      <w:pPr>
        <w:pStyle w:val="SingleTxtG"/>
        <w:ind w:left="1701"/>
        <w:rPr>
          <w:lang w:val="fr-CH"/>
        </w:rPr>
      </w:pPr>
      <w:r w:rsidRPr="0071782F">
        <w:rPr>
          <w:lang w:val="fr-CH"/>
        </w:rPr>
        <w:t>15.1</w:t>
      </w:r>
      <w:r w:rsidR="00EF6CFA" w:rsidRPr="0071782F">
        <w:rPr>
          <w:lang w:val="fr-CH"/>
        </w:rPr>
        <w:t>.</w:t>
      </w:r>
      <w:r w:rsidRPr="0071782F">
        <w:rPr>
          <w:lang w:val="fr-CH"/>
        </w:rPr>
        <w:tab/>
      </w:r>
      <w:r w:rsidR="005779EE" w:rsidRPr="0071782F">
        <w:rPr>
          <w:lang w:val="fr-CH"/>
        </w:rPr>
        <w:t xml:space="preserve">Pour réaliser les objectifs des politiques générales concernant </w:t>
      </w:r>
      <w:r w:rsidR="00723F2B" w:rsidRPr="0071782F">
        <w:rPr>
          <w:lang w:val="fr-CH"/>
        </w:rPr>
        <w:t>l’</w:t>
      </w:r>
      <w:r w:rsidR="00943A69" w:rsidRPr="0071782F">
        <w:rPr>
          <w:lang w:val="fr-CH"/>
        </w:rPr>
        <w:t>article </w:t>
      </w:r>
      <w:r w:rsidR="005779EE" w:rsidRPr="0071782F">
        <w:rPr>
          <w:lang w:val="fr-CH"/>
        </w:rPr>
        <w:t xml:space="preserve">44 de la Constitution, plus de </w:t>
      </w:r>
      <w:r w:rsidRPr="0071782F">
        <w:rPr>
          <w:lang w:val="fr-CH"/>
        </w:rPr>
        <w:t>1</w:t>
      </w:r>
      <w:r w:rsidR="005779EE" w:rsidRPr="0071782F">
        <w:rPr>
          <w:lang w:val="fr-CH"/>
        </w:rPr>
        <w:t>,</w:t>
      </w:r>
      <w:r w:rsidRPr="0071782F">
        <w:rPr>
          <w:lang w:val="fr-CH"/>
        </w:rPr>
        <w:t>919</w:t>
      </w:r>
      <w:r w:rsidR="008553D9" w:rsidRPr="0071782F">
        <w:rPr>
          <w:lang w:val="fr-CH"/>
        </w:rPr>
        <w:t> milliard</w:t>
      </w:r>
      <w:r w:rsidR="005779EE" w:rsidRPr="0071782F">
        <w:rPr>
          <w:lang w:val="fr-CH"/>
        </w:rPr>
        <w:t xml:space="preserve"> d’actions, d’une valeur supérieure à </w:t>
      </w:r>
      <w:r w:rsidRPr="0071782F">
        <w:rPr>
          <w:lang w:val="fr-CH"/>
        </w:rPr>
        <w:t>4</w:t>
      </w:r>
      <w:r w:rsidR="005779EE" w:rsidRPr="0071782F">
        <w:rPr>
          <w:lang w:val="fr-CH"/>
        </w:rPr>
        <w:t> 126,</w:t>
      </w:r>
      <w:r w:rsidRPr="0071782F">
        <w:rPr>
          <w:lang w:val="fr-CH"/>
        </w:rPr>
        <w:t>2</w:t>
      </w:r>
      <w:r w:rsidR="008553D9" w:rsidRPr="0071782F">
        <w:rPr>
          <w:lang w:val="fr-CH"/>
        </w:rPr>
        <w:t> milliard</w:t>
      </w:r>
      <w:r w:rsidR="00097CDB" w:rsidRPr="0071782F">
        <w:rPr>
          <w:lang w:val="fr-CH"/>
        </w:rPr>
        <w:t>s</w:t>
      </w:r>
      <w:r w:rsidR="005779EE" w:rsidRPr="0071782F">
        <w:rPr>
          <w:lang w:val="fr-CH"/>
        </w:rPr>
        <w:t xml:space="preserve"> </w:t>
      </w:r>
      <w:r w:rsidR="003B1403" w:rsidRPr="0071782F">
        <w:rPr>
          <w:lang w:val="fr-CH"/>
        </w:rPr>
        <w:t>de rials</w:t>
      </w:r>
      <w:r w:rsidR="005779EE" w:rsidRPr="0071782F">
        <w:rPr>
          <w:lang w:val="fr-CH"/>
        </w:rPr>
        <w:t>,</w:t>
      </w:r>
      <w:r w:rsidRPr="0071782F">
        <w:rPr>
          <w:lang w:val="fr-CH"/>
        </w:rPr>
        <w:t xml:space="preserve"> </w:t>
      </w:r>
      <w:r w:rsidR="005779EE" w:rsidRPr="0071782F">
        <w:rPr>
          <w:lang w:val="fr-CH"/>
        </w:rPr>
        <w:t xml:space="preserve">ont été vendues en </w:t>
      </w:r>
      <w:r w:rsidRPr="0071782F">
        <w:rPr>
          <w:lang w:val="fr-CH"/>
        </w:rPr>
        <w:t xml:space="preserve">2006 </w:t>
      </w:r>
      <w:r w:rsidR="005779EE" w:rsidRPr="0071782F">
        <w:rPr>
          <w:lang w:val="fr-CH"/>
        </w:rPr>
        <w:t xml:space="preserve">conformément aux dispositions réglementaires en vigueur </w:t>
      </w:r>
      <w:r w:rsidRPr="0071782F">
        <w:rPr>
          <w:lang w:val="fr-CH"/>
        </w:rPr>
        <w:t>(</w:t>
      </w:r>
      <w:r w:rsidR="005779EE" w:rsidRPr="0071782F">
        <w:rPr>
          <w:lang w:val="fr-CH"/>
        </w:rPr>
        <w:t xml:space="preserve">loi relative au </w:t>
      </w:r>
      <w:r w:rsidR="00A90208" w:rsidRPr="0071782F">
        <w:rPr>
          <w:lang w:val="fr-CH"/>
        </w:rPr>
        <w:t>quatrième</w:t>
      </w:r>
      <w:r w:rsidR="005779EE" w:rsidRPr="0071782F">
        <w:rPr>
          <w:lang w:val="fr-CH"/>
        </w:rPr>
        <w:t xml:space="preserve"> plan de développement</w:t>
      </w:r>
      <w:r w:rsidRPr="0071782F">
        <w:rPr>
          <w:lang w:val="fr-CH"/>
        </w:rPr>
        <w:t xml:space="preserve">). </w:t>
      </w:r>
    </w:p>
    <w:p w:rsidR="00972AC7" w:rsidRPr="0071782F" w:rsidRDefault="00972AC7" w:rsidP="00B55247">
      <w:pPr>
        <w:pStyle w:val="SingleTxtG"/>
        <w:ind w:left="1701"/>
        <w:rPr>
          <w:lang w:val="fr-CH"/>
        </w:rPr>
      </w:pPr>
      <w:r w:rsidRPr="0071782F">
        <w:rPr>
          <w:lang w:val="fr-CH"/>
        </w:rPr>
        <w:t>15.2</w:t>
      </w:r>
      <w:r w:rsidR="00EF6CFA" w:rsidRPr="0071782F">
        <w:rPr>
          <w:lang w:val="fr-CH"/>
        </w:rPr>
        <w:t>.</w:t>
      </w:r>
      <w:r w:rsidRPr="0071782F">
        <w:rPr>
          <w:lang w:val="fr-CH"/>
        </w:rPr>
        <w:tab/>
      </w:r>
      <w:r w:rsidR="0002573B" w:rsidRPr="0071782F">
        <w:rPr>
          <w:lang w:val="fr-CH"/>
        </w:rPr>
        <w:t>Dans le cadre du programme officiel d’émission d’</w:t>
      </w:r>
      <w:r w:rsidR="00A62149" w:rsidRPr="0071782F">
        <w:rPr>
          <w:lang w:val="fr-CH"/>
        </w:rPr>
        <w:t>"</w:t>
      </w:r>
      <w:r w:rsidR="0002573B" w:rsidRPr="0071782F">
        <w:rPr>
          <w:lang w:val="fr-CH"/>
        </w:rPr>
        <w:t>actions de justice</w:t>
      </w:r>
      <w:r w:rsidR="00A62149" w:rsidRPr="0071782F">
        <w:rPr>
          <w:lang w:val="fr-CH"/>
        </w:rPr>
        <w:t>"</w:t>
      </w:r>
      <w:r w:rsidR="0002573B" w:rsidRPr="0071782F">
        <w:rPr>
          <w:lang w:val="fr-CH"/>
        </w:rPr>
        <w:t xml:space="preserve"> à l’intention </w:t>
      </w:r>
      <w:r w:rsidR="004E45FB" w:rsidRPr="0071782F">
        <w:rPr>
          <w:lang w:val="fr-CH"/>
        </w:rPr>
        <w:t>des familles</w:t>
      </w:r>
      <w:r w:rsidR="0002573B" w:rsidRPr="0071782F">
        <w:rPr>
          <w:lang w:val="fr-CH"/>
        </w:rPr>
        <w:t xml:space="preserve"> pauvres et à faible revenu, la création des</w:t>
      </w:r>
      <w:r w:rsidRPr="0071782F">
        <w:rPr>
          <w:lang w:val="fr-CH"/>
        </w:rPr>
        <w:t xml:space="preserve"> institutions </w:t>
      </w:r>
      <w:r w:rsidR="0002573B" w:rsidRPr="0071782F">
        <w:rPr>
          <w:lang w:val="fr-CH"/>
        </w:rPr>
        <w:t xml:space="preserve">et autorités compétentes a permis de distribuer les actions de </w:t>
      </w:r>
      <w:r w:rsidRPr="0071782F">
        <w:rPr>
          <w:lang w:val="fr-CH"/>
        </w:rPr>
        <w:t xml:space="preserve">14 </w:t>
      </w:r>
      <w:r w:rsidR="0002573B" w:rsidRPr="0071782F">
        <w:rPr>
          <w:lang w:val="fr-CH"/>
        </w:rPr>
        <w:t xml:space="preserve">entreprises, d’une valeur de </w:t>
      </w:r>
      <w:r w:rsidRPr="0071782F">
        <w:rPr>
          <w:lang w:val="fr-CH"/>
        </w:rPr>
        <w:t>21</w:t>
      </w:r>
      <w:r w:rsidR="00E16059">
        <w:rPr>
          <w:lang w:val="fr-CH"/>
        </w:rPr>
        <w:t> </w:t>
      </w:r>
      <w:r w:rsidRPr="0071782F">
        <w:rPr>
          <w:lang w:val="fr-CH"/>
        </w:rPr>
        <w:t>793</w:t>
      </w:r>
      <w:r w:rsidR="008553D9" w:rsidRPr="0071782F">
        <w:rPr>
          <w:lang w:val="fr-CH"/>
        </w:rPr>
        <w:t> milliard</w:t>
      </w:r>
      <w:r w:rsidR="00097CDB" w:rsidRPr="0071782F">
        <w:rPr>
          <w:lang w:val="fr-CH"/>
        </w:rPr>
        <w:t>s</w:t>
      </w:r>
      <w:r w:rsidR="0002573B" w:rsidRPr="0071782F">
        <w:rPr>
          <w:lang w:val="fr-CH"/>
        </w:rPr>
        <w:t xml:space="preserve"> </w:t>
      </w:r>
      <w:r w:rsidR="003B1403" w:rsidRPr="0071782F">
        <w:rPr>
          <w:lang w:val="fr-CH"/>
        </w:rPr>
        <w:t>de rials</w:t>
      </w:r>
      <w:r w:rsidR="0002573B" w:rsidRPr="0071782F">
        <w:rPr>
          <w:lang w:val="fr-CH"/>
        </w:rPr>
        <w:t xml:space="preserve">, à </w:t>
      </w:r>
      <w:r w:rsidRPr="0071782F">
        <w:rPr>
          <w:lang w:val="fr-CH"/>
        </w:rPr>
        <w:t>4</w:t>
      </w:r>
      <w:r w:rsidR="0002573B" w:rsidRPr="0071782F">
        <w:rPr>
          <w:lang w:val="fr-CH"/>
        </w:rPr>
        <w:t> 981</w:t>
      </w:r>
      <w:r w:rsidR="009A208A" w:rsidRPr="0071782F">
        <w:rPr>
          <w:lang w:val="fr-CH"/>
        </w:rPr>
        <w:t> </w:t>
      </w:r>
      <w:r w:rsidRPr="0071782F">
        <w:rPr>
          <w:lang w:val="fr-CH"/>
        </w:rPr>
        <w:t>507</w:t>
      </w:r>
      <w:r w:rsidR="00097CDB" w:rsidRPr="0071782F">
        <w:rPr>
          <w:lang w:val="fr-CH"/>
        </w:rPr>
        <w:t> personnes</w:t>
      </w:r>
      <w:r w:rsidR="0002573B" w:rsidRPr="0071782F">
        <w:rPr>
          <w:lang w:val="fr-CH"/>
        </w:rPr>
        <w:t xml:space="preserve"> appartenant au groupe social aux revenus les plus faibles.</w:t>
      </w:r>
      <w:r w:rsidRPr="0071782F">
        <w:rPr>
          <w:lang w:val="fr-CH"/>
        </w:rPr>
        <w:t xml:space="preserve"> </w:t>
      </w:r>
    </w:p>
    <w:p w:rsidR="00972AC7" w:rsidRPr="0071782F" w:rsidRDefault="00972AC7" w:rsidP="00B55247">
      <w:pPr>
        <w:pStyle w:val="H1G"/>
        <w:rPr>
          <w:lang w:val="fr-CH"/>
        </w:rPr>
      </w:pPr>
      <w:r w:rsidRPr="0071782F">
        <w:rPr>
          <w:lang w:val="fr-CH"/>
        </w:rPr>
        <w:tab/>
      </w:r>
      <w:r w:rsidRPr="0071782F">
        <w:rPr>
          <w:lang w:val="fr-CH"/>
        </w:rPr>
        <w:tab/>
      </w:r>
      <w:r w:rsidR="00FA5E28" w:rsidRPr="0071782F">
        <w:rPr>
          <w:lang w:val="fr-CH"/>
        </w:rPr>
        <w:t>É</w:t>
      </w:r>
      <w:r w:rsidR="0002573B" w:rsidRPr="0071782F">
        <w:rPr>
          <w:lang w:val="fr-CH"/>
        </w:rPr>
        <w:t xml:space="preserve">tat d’avancement des </w:t>
      </w:r>
      <w:r w:rsidRPr="0071782F">
        <w:rPr>
          <w:lang w:val="fr-CH"/>
        </w:rPr>
        <w:t xml:space="preserve">plans </w:t>
      </w:r>
      <w:r w:rsidR="0002573B" w:rsidRPr="0071782F">
        <w:rPr>
          <w:lang w:val="fr-CH"/>
        </w:rPr>
        <w:t xml:space="preserve">et projets nationaux </w:t>
      </w:r>
    </w:p>
    <w:p w:rsidR="00972AC7" w:rsidRPr="0071782F" w:rsidRDefault="00972AC7" w:rsidP="00B55247">
      <w:pPr>
        <w:pStyle w:val="H23G"/>
        <w:rPr>
          <w:lang w:val="fr-CH"/>
        </w:rPr>
      </w:pPr>
      <w:r w:rsidRPr="0071782F">
        <w:rPr>
          <w:lang w:val="fr-CH"/>
        </w:rPr>
        <w:tab/>
      </w:r>
      <w:r w:rsidRPr="0071782F">
        <w:rPr>
          <w:lang w:val="fr-CH"/>
        </w:rPr>
        <w:tab/>
      </w:r>
      <w:r w:rsidR="0002573B" w:rsidRPr="0071782F">
        <w:rPr>
          <w:lang w:val="fr-CH"/>
        </w:rPr>
        <w:t xml:space="preserve">Résultats des plans de développement </w:t>
      </w:r>
    </w:p>
    <w:p w:rsidR="00972AC7" w:rsidRPr="0071782F" w:rsidRDefault="00972AC7" w:rsidP="00972AC7">
      <w:pPr>
        <w:pStyle w:val="SingleTxtG"/>
        <w:rPr>
          <w:lang w:val="fr-CH"/>
        </w:rPr>
      </w:pPr>
      <w:r w:rsidRPr="0071782F">
        <w:rPr>
          <w:lang w:val="fr-CH"/>
        </w:rPr>
        <w:t>16.</w:t>
      </w:r>
      <w:r w:rsidRPr="0071782F">
        <w:rPr>
          <w:lang w:val="fr-CH"/>
        </w:rPr>
        <w:tab/>
      </w:r>
      <w:r w:rsidR="00E15139" w:rsidRPr="0071782F">
        <w:rPr>
          <w:lang w:val="fr-CH"/>
        </w:rPr>
        <w:t>E</w:t>
      </w:r>
      <w:r w:rsidRPr="0071782F">
        <w:rPr>
          <w:lang w:val="fr-CH"/>
        </w:rPr>
        <w:t xml:space="preserve">n 2006, </w:t>
      </w:r>
      <w:r w:rsidR="00E15139" w:rsidRPr="0071782F">
        <w:rPr>
          <w:lang w:val="fr-CH"/>
        </w:rPr>
        <w:t xml:space="preserve">quelque </w:t>
      </w:r>
      <w:r w:rsidRPr="0071782F">
        <w:rPr>
          <w:lang w:val="fr-CH"/>
        </w:rPr>
        <w:t>83</w:t>
      </w:r>
      <w:r w:rsidR="00A62149" w:rsidRPr="0071782F">
        <w:rPr>
          <w:lang w:val="fr-CH"/>
        </w:rPr>
        <w:t> </w:t>
      </w:r>
      <w:r w:rsidRPr="0071782F">
        <w:rPr>
          <w:lang w:val="fr-CH"/>
        </w:rPr>
        <w:t>199</w:t>
      </w:r>
      <w:r w:rsidR="008553D9" w:rsidRPr="0071782F">
        <w:rPr>
          <w:lang w:val="fr-CH"/>
        </w:rPr>
        <w:t> milliard</w:t>
      </w:r>
      <w:r w:rsidR="00097CDB" w:rsidRPr="0071782F">
        <w:rPr>
          <w:lang w:val="fr-CH"/>
        </w:rPr>
        <w:t>s</w:t>
      </w:r>
      <w:r w:rsidR="00E15139" w:rsidRPr="0071782F">
        <w:rPr>
          <w:lang w:val="fr-CH"/>
        </w:rPr>
        <w:t xml:space="preserve"> </w:t>
      </w:r>
      <w:r w:rsidR="003B1403" w:rsidRPr="0071782F">
        <w:rPr>
          <w:lang w:val="fr-CH"/>
        </w:rPr>
        <w:t>de rials</w:t>
      </w:r>
      <w:r w:rsidRPr="0071782F">
        <w:rPr>
          <w:lang w:val="fr-CH"/>
        </w:rPr>
        <w:t xml:space="preserve"> </w:t>
      </w:r>
      <w:r w:rsidR="00E15139" w:rsidRPr="0071782F">
        <w:rPr>
          <w:lang w:val="fr-CH"/>
        </w:rPr>
        <w:t>de r</w:t>
      </w:r>
      <w:r w:rsidR="009A208A" w:rsidRPr="0071782F">
        <w:rPr>
          <w:lang w:val="fr-CH"/>
        </w:rPr>
        <w:t>ecettes publiques et quelque 87 </w:t>
      </w:r>
      <w:r w:rsidR="00E15139" w:rsidRPr="0071782F">
        <w:rPr>
          <w:lang w:val="fr-CH"/>
        </w:rPr>
        <w:t>101</w:t>
      </w:r>
      <w:r w:rsidR="008553D9" w:rsidRPr="0071782F">
        <w:rPr>
          <w:lang w:val="fr-CH"/>
        </w:rPr>
        <w:t> milliard</w:t>
      </w:r>
      <w:r w:rsidR="00097CDB" w:rsidRPr="0071782F">
        <w:rPr>
          <w:lang w:val="fr-CH"/>
        </w:rPr>
        <w:t>s</w:t>
      </w:r>
      <w:r w:rsidR="00E15139" w:rsidRPr="0071782F">
        <w:rPr>
          <w:lang w:val="fr-CH"/>
        </w:rPr>
        <w:t xml:space="preserve"> de fonds provenant d’autres sources ont été affectés à l’</w:t>
      </w:r>
      <w:r w:rsidRPr="0071782F">
        <w:rPr>
          <w:lang w:val="fr-CH"/>
        </w:rPr>
        <w:t>ex</w:t>
      </w:r>
      <w:r w:rsidR="00E15139" w:rsidRPr="0071782F">
        <w:rPr>
          <w:lang w:val="fr-CH"/>
        </w:rPr>
        <w:t>é</w:t>
      </w:r>
      <w:r w:rsidRPr="0071782F">
        <w:rPr>
          <w:lang w:val="fr-CH"/>
        </w:rPr>
        <w:t xml:space="preserve">cution </w:t>
      </w:r>
      <w:r w:rsidR="009A208A" w:rsidRPr="0071782F">
        <w:rPr>
          <w:lang w:val="fr-CH"/>
        </w:rPr>
        <w:t>de 1 500 </w:t>
      </w:r>
      <w:r w:rsidRPr="0071782F">
        <w:rPr>
          <w:lang w:val="fr-CH"/>
        </w:rPr>
        <w:t xml:space="preserve">plans </w:t>
      </w:r>
      <w:r w:rsidR="00E15139" w:rsidRPr="0071782F">
        <w:rPr>
          <w:lang w:val="fr-CH"/>
        </w:rPr>
        <w:t xml:space="preserve">nationaux </w:t>
      </w:r>
      <w:r w:rsidRPr="0071782F">
        <w:rPr>
          <w:lang w:val="fr-CH"/>
        </w:rPr>
        <w:t>(</w:t>
      </w:r>
      <w:r w:rsidR="00E15139" w:rsidRPr="0071782F">
        <w:rPr>
          <w:lang w:val="fr-CH"/>
        </w:rPr>
        <w:t xml:space="preserve">qui représentaient </w:t>
      </w:r>
      <w:r w:rsidRPr="0071782F">
        <w:rPr>
          <w:lang w:val="fr-CH"/>
        </w:rPr>
        <w:t>4</w:t>
      </w:r>
      <w:r w:rsidR="00E15139" w:rsidRPr="0071782F">
        <w:rPr>
          <w:lang w:val="fr-CH"/>
        </w:rPr>
        <w:t xml:space="preserve"> 834 proje</w:t>
      </w:r>
      <w:r w:rsidRPr="0071782F">
        <w:rPr>
          <w:lang w:val="fr-CH"/>
        </w:rPr>
        <w:t xml:space="preserve">ts). </w:t>
      </w:r>
      <w:r w:rsidR="00E15139" w:rsidRPr="0071782F">
        <w:rPr>
          <w:lang w:val="fr-CH"/>
        </w:rPr>
        <w:t xml:space="preserve">Cette année-là, le nombre de </w:t>
      </w:r>
      <w:r w:rsidRPr="0071782F">
        <w:rPr>
          <w:lang w:val="fr-CH"/>
        </w:rPr>
        <w:t xml:space="preserve">plans </w:t>
      </w:r>
      <w:r w:rsidR="00E15139" w:rsidRPr="0071782F">
        <w:rPr>
          <w:lang w:val="fr-CH"/>
        </w:rPr>
        <w:t xml:space="preserve">nationaux et de projets a diminué de </w:t>
      </w:r>
      <w:r w:rsidRPr="0071782F">
        <w:rPr>
          <w:lang w:val="fr-CH"/>
        </w:rPr>
        <w:t>14</w:t>
      </w:r>
      <w:r w:rsidR="00E15139" w:rsidRPr="0071782F">
        <w:rPr>
          <w:lang w:val="fr-CH"/>
        </w:rPr>
        <w:t>,</w:t>
      </w:r>
      <w:r w:rsidRPr="0071782F">
        <w:rPr>
          <w:lang w:val="fr-CH"/>
        </w:rPr>
        <w:t>7</w:t>
      </w:r>
      <w:r w:rsidR="007E5125" w:rsidRPr="0071782F">
        <w:rPr>
          <w:lang w:val="fr-CH"/>
        </w:rPr>
        <w:t>%</w:t>
      </w:r>
      <w:r w:rsidR="00E15139" w:rsidRPr="0071782F">
        <w:rPr>
          <w:lang w:val="fr-CH"/>
        </w:rPr>
        <w:t xml:space="preserve"> et de </w:t>
      </w:r>
      <w:r w:rsidRPr="0071782F">
        <w:rPr>
          <w:lang w:val="fr-CH"/>
        </w:rPr>
        <w:t>25</w:t>
      </w:r>
      <w:r w:rsidR="00E15139" w:rsidRPr="0071782F">
        <w:rPr>
          <w:lang w:val="fr-CH"/>
        </w:rPr>
        <w:t>,</w:t>
      </w:r>
      <w:r w:rsidRPr="0071782F">
        <w:rPr>
          <w:lang w:val="fr-CH"/>
        </w:rPr>
        <w:t>4</w:t>
      </w:r>
      <w:r w:rsidR="007E5125" w:rsidRPr="0071782F">
        <w:rPr>
          <w:lang w:val="fr-CH"/>
        </w:rPr>
        <w:t>%</w:t>
      </w:r>
      <w:r w:rsidR="00E15139" w:rsidRPr="0071782F">
        <w:rPr>
          <w:lang w:val="fr-CH"/>
        </w:rPr>
        <w:t xml:space="preserve">, respectivement, par rapport </w:t>
      </w:r>
      <w:r w:rsidR="00BF48F4" w:rsidRPr="0071782F">
        <w:rPr>
          <w:lang w:val="fr-CH"/>
        </w:rPr>
        <w:t>à </w:t>
      </w:r>
      <w:r w:rsidRPr="0071782F">
        <w:rPr>
          <w:lang w:val="fr-CH"/>
        </w:rPr>
        <w:t>2005.</w:t>
      </w:r>
    </w:p>
    <w:p w:rsidR="00972AC7" w:rsidRPr="0071782F" w:rsidRDefault="00972AC7" w:rsidP="00B55247">
      <w:pPr>
        <w:pStyle w:val="H23G"/>
        <w:rPr>
          <w:lang w:val="fr-CH"/>
        </w:rPr>
      </w:pPr>
      <w:r w:rsidRPr="0071782F">
        <w:rPr>
          <w:lang w:val="fr-CH"/>
        </w:rPr>
        <w:tab/>
      </w:r>
      <w:r w:rsidRPr="0071782F">
        <w:rPr>
          <w:lang w:val="fr-CH"/>
        </w:rPr>
        <w:tab/>
      </w:r>
      <w:r w:rsidR="00E15139" w:rsidRPr="0071782F">
        <w:rPr>
          <w:lang w:val="fr-CH"/>
        </w:rPr>
        <w:t xml:space="preserve">Étude et recherche </w:t>
      </w:r>
    </w:p>
    <w:p w:rsidR="00972AC7" w:rsidRPr="0071782F" w:rsidRDefault="00E15139" w:rsidP="00972AC7">
      <w:pPr>
        <w:pStyle w:val="SingleTxtG"/>
        <w:rPr>
          <w:lang w:val="fr-CH"/>
        </w:rPr>
      </w:pPr>
      <w:r w:rsidRPr="0071782F">
        <w:rPr>
          <w:lang w:val="fr-CH"/>
        </w:rPr>
        <w:t>17.</w:t>
      </w:r>
      <w:r w:rsidRPr="0071782F">
        <w:rPr>
          <w:lang w:val="fr-CH"/>
        </w:rPr>
        <w:tab/>
        <w:t>E</w:t>
      </w:r>
      <w:r w:rsidR="00972AC7" w:rsidRPr="0071782F">
        <w:rPr>
          <w:lang w:val="fr-CH"/>
        </w:rPr>
        <w:t xml:space="preserve">n 2006, 296 </w:t>
      </w:r>
      <w:r w:rsidRPr="0071782F">
        <w:rPr>
          <w:lang w:val="fr-CH"/>
        </w:rPr>
        <w:t xml:space="preserve">projets d’étude et de recherche ont été entrepris grâce à des crédits d’un montant total de </w:t>
      </w:r>
      <w:r w:rsidR="00972AC7" w:rsidRPr="0071782F">
        <w:rPr>
          <w:lang w:val="fr-CH"/>
        </w:rPr>
        <w:t>4</w:t>
      </w:r>
      <w:r w:rsidR="00E16059">
        <w:rPr>
          <w:lang w:val="fr-CH"/>
        </w:rPr>
        <w:t> </w:t>
      </w:r>
      <w:r w:rsidR="00972AC7" w:rsidRPr="0071782F">
        <w:rPr>
          <w:lang w:val="fr-CH"/>
        </w:rPr>
        <w:t>471</w:t>
      </w:r>
      <w:r w:rsidR="008553D9" w:rsidRPr="0071782F">
        <w:rPr>
          <w:lang w:val="fr-CH"/>
        </w:rPr>
        <w:t> milliard</w:t>
      </w:r>
      <w:r w:rsidR="00097CDB" w:rsidRPr="0071782F">
        <w:rPr>
          <w:lang w:val="fr-CH"/>
        </w:rPr>
        <w:t>s</w:t>
      </w:r>
      <w:r w:rsidRPr="0071782F">
        <w:rPr>
          <w:lang w:val="fr-CH"/>
        </w:rPr>
        <w:t xml:space="preserve"> </w:t>
      </w:r>
      <w:r w:rsidR="003B1403" w:rsidRPr="0071782F">
        <w:rPr>
          <w:lang w:val="fr-CH"/>
        </w:rPr>
        <w:t>de rials</w:t>
      </w:r>
      <w:r w:rsidR="00972AC7" w:rsidRPr="0071782F">
        <w:rPr>
          <w:lang w:val="fr-CH"/>
        </w:rPr>
        <w:t xml:space="preserve">. </w:t>
      </w:r>
      <w:r w:rsidRPr="0071782F">
        <w:rPr>
          <w:lang w:val="fr-CH"/>
        </w:rPr>
        <w:t xml:space="preserve">Le secteur de l’énergie et celui du logement et de l’aménagement urbains et ruraux ont représenté </w:t>
      </w:r>
      <w:r w:rsidR="00972AC7" w:rsidRPr="0071782F">
        <w:rPr>
          <w:lang w:val="fr-CH"/>
        </w:rPr>
        <w:t>24</w:t>
      </w:r>
      <w:r w:rsidRPr="0071782F">
        <w:rPr>
          <w:lang w:val="fr-CH"/>
        </w:rPr>
        <w:t>,</w:t>
      </w:r>
      <w:r w:rsidR="00972AC7" w:rsidRPr="0071782F">
        <w:rPr>
          <w:lang w:val="fr-CH"/>
        </w:rPr>
        <w:t xml:space="preserve">45 </w:t>
      </w:r>
      <w:r w:rsidRPr="0071782F">
        <w:rPr>
          <w:lang w:val="fr-CH"/>
        </w:rPr>
        <w:t>et</w:t>
      </w:r>
      <w:r w:rsidR="00972AC7" w:rsidRPr="0071782F">
        <w:rPr>
          <w:lang w:val="fr-CH"/>
        </w:rPr>
        <w:t xml:space="preserve"> 12</w:t>
      </w:r>
      <w:r w:rsidRPr="0071782F">
        <w:rPr>
          <w:lang w:val="fr-CH"/>
        </w:rPr>
        <w:t>,</w:t>
      </w:r>
      <w:r w:rsidR="00972AC7" w:rsidRPr="0071782F">
        <w:rPr>
          <w:lang w:val="fr-CH"/>
        </w:rPr>
        <w:t>8</w:t>
      </w:r>
      <w:r w:rsidR="007E5125" w:rsidRPr="0071782F">
        <w:rPr>
          <w:lang w:val="fr-CH"/>
        </w:rPr>
        <w:t>%</w:t>
      </w:r>
      <w:r w:rsidRPr="0071782F">
        <w:rPr>
          <w:lang w:val="fr-CH"/>
        </w:rPr>
        <w:t>, respectivement, de ce montant</w:t>
      </w:r>
      <w:r w:rsidR="00972AC7" w:rsidRPr="0071782F">
        <w:rPr>
          <w:lang w:val="fr-CH"/>
        </w:rPr>
        <w:t>; 62</w:t>
      </w:r>
      <w:r w:rsidRPr="0071782F">
        <w:rPr>
          <w:lang w:val="fr-CH"/>
        </w:rPr>
        <w:t>,</w:t>
      </w:r>
      <w:r w:rsidR="00972AC7" w:rsidRPr="0071782F">
        <w:rPr>
          <w:lang w:val="fr-CH"/>
        </w:rPr>
        <w:t>8</w:t>
      </w:r>
      <w:r w:rsidR="007E5125" w:rsidRPr="0071782F">
        <w:rPr>
          <w:lang w:val="fr-CH"/>
        </w:rPr>
        <w:t>%</w:t>
      </w:r>
      <w:r w:rsidR="00972AC7" w:rsidRPr="0071782F">
        <w:rPr>
          <w:lang w:val="fr-CH"/>
        </w:rPr>
        <w:t xml:space="preserve"> </w:t>
      </w:r>
      <w:r w:rsidRPr="0071782F">
        <w:rPr>
          <w:lang w:val="fr-CH"/>
        </w:rPr>
        <w:t>de ces crédits ont été alloués à d’autres secteurs</w:t>
      </w:r>
      <w:r w:rsidR="00972AC7" w:rsidRPr="0071782F">
        <w:rPr>
          <w:lang w:val="fr-CH"/>
        </w:rPr>
        <w:t xml:space="preserve">. </w:t>
      </w:r>
      <w:r w:rsidRPr="0071782F">
        <w:rPr>
          <w:lang w:val="fr-CH"/>
        </w:rPr>
        <w:t xml:space="preserve">Le montant des crédits alloués aux projets d’étude et de recherche en 2006 a baissé de </w:t>
      </w:r>
      <w:r w:rsidR="00972AC7" w:rsidRPr="0071782F">
        <w:rPr>
          <w:lang w:val="fr-CH"/>
        </w:rPr>
        <w:t>55</w:t>
      </w:r>
      <w:r w:rsidR="007E5125" w:rsidRPr="0071782F">
        <w:rPr>
          <w:lang w:val="fr-CH"/>
        </w:rPr>
        <w:t>%</w:t>
      </w:r>
      <w:r w:rsidR="00972AC7" w:rsidRPr="0071782F">
        <w:rPr>
          <w:lang w:val="fr-CH"/>
        </w:rPr>
        <w:t xml:space="preserve"> </w:t>
      </w:r>
      <w:r w:rsidRPr="0071782F">
        <w:rPr>
          <w:lang w:val="fr-CH"/>
        </w:rPr>
        <w:t>par rapport à l’année antérieure</w:t>
      </w:r>
      <w:r w:rsidR="00972AC7" w:rsidRPr="0071782F">
        <w:rPr>
          <w:lang w:val="fr-CH"/>
        </w:rPr>
        <w:t>.</w:t>
      </w:r>
    </w:p>
    <w:p w:rsidR="00972AC7" w:rsidRPr="0071782F" w:rsidRDefault="00972AC7" w:rsidP="00B55247">
      <w:pPr>
        <w:pStyle w:val="H23G"/>
        <w:rPr>
          <w:lang w:val="fr-CH"/>
        </w:rPr>
      </w:pPr>
      <w:r w:rsidRPr="0071782F">
        <w:rPr>
          <w:lang w:val="fr-CH"/>
        </w:rPr>
        <w:tab/>
      </w:r>
      <w:r w:rsidRPr="0071782F">
        <w:rPr>
          <w:lang w:val="fr-CH"/>
        </w:rPr>
        <w:tab/>
      </w:r>
      <w:r w:rsidR="00E15139" w:rsidRPr="0071782F">
        <w:rPr>
          <w:lang w:val="fr-CH"/>
        </w:rPr>
        <w:t xml:space="preserve">Démarrage de nouveaux projets </w:t>
      </w:r>
    </w:p>
    <w:p w:rsidR="00972AC7" w:rsidRPr="0071782F" w:rsidRDefault="00972AC7" w:rsidP="00972AC7">
      <w:pPr>
        <w:pStyle w:val="SingleTxtG"/>
        <w:rPr>
          <w:lang w:val="fr-CH"/>
        </w:rPr>
      </w:pPr>
      <w:r w:rsidRPr="0071782F">
        <w:rPr>
          <w:lang w:val="fr-CH"/>
        </w:rPr>
        <w:t>18.</w:t>
      </w:r>
      <w:r w:rsidRPr="0071782F">
        <w:rPr>
          <w:lang w:val="fr-CH"/>
        </w:rPr>
        <w:tab/>
      </w:r>
      <w:r w:rsidR="009C65FA" w:rsidRPr="0071782F">
        <w:rPr>
          <w:lang w:val="fr-CH"/>
        </w:rPr>
        <w:t>E</w:t>
      </w:r>
      <w:r w:rsidRPr="0071782F">
        <w:rPr>
          <w:lang w:val="fr-CH"/>
        </w:rPr>
        <w:t xml:space="preserve">n 2006, </w:t>
      </w:r>
      <w:r w:rsidR="009C65FA" w:rsidRPr="0071782F">
        <w:rPr>
          <w:lang w:val="fr-CH"/>
        </w:rPr>
        <w:t>l’exé</w:t>
      </w:r>
      <w:r w:rsidRPr="0071782F">
        <w:rPr>
          <w:lang w:val="fr-CH"/>
        </w:rPr>
        <w:t xml:space="preserve">cution </w:t>
      </w:r>
      <w:r w:rsidR="009C65FA" w:rsidRPr="0071782F">
        <w:rPr>
          <w:lang w:val="fr-CH"/>
        </w:rPr>
        <w:t>de</w:t>
      </w:r>
      <w:r w:rsidRPr="0071782F">
        <w:rPr>
          <w:lang w:val="fr-CH"/>
        </w:rPr>
        <w:t xml:space="preserve"> 709 n</w:t>
      </w:r>
      <w:r w:rsidR="009C65FA" w:rsidRPr="0071782F">
        <w:rPr>
          <w:lang w:val="fr-CH"/>
        </w:rPr>
        <w:t>ouveaux proje</w:t>
      </w:r>
      <w:r w:rsidRPr="0071782F">
        <w:rPr>
          <w:lang w:val="fr-CH"/>
        </w:rPr>
        <w:t xml:space="preserve">ts </w:t>
      </w:r>
      <w:r w:rsidR="009C65FA" w:rsidRPr="0071782F">
        <w:rPr>
          <w:lang w:val="fr-CH"/>
        </w:rPr>
        <w:t>a commencé avec des crédits d’un montant de 54</w:t>
      </w:r>
      <w:r w:rsidR="00E16059">
        <w:rPr>
          <w:lang w:val="fr-CH"/>
        </w:rPr>
        <w:t> </w:t>
      </w:r>
      <w:r w:rsidRPr="0071782F">
        <w:rPr>
          <w:lang w:val="fr-CH"/>
        </w:rPr>
        <w:t>410</w:t>
      </w:r>
      <w:r w:rsidR="008553D9" w:rsidRPr="0071782F">
        <w:rPr>
          <w:lang w:val="fr-CH"/>
        </w:rPr>
        <w:t> milliard</w:t>
      </w:r>
      <w:r w:rsidR="00097CDB" w:rsidRPr="0071782F">
        <w:rPr>
          <w:lang w:val="fr-CH"/>
        </w:rPr>
        <w:t>s</w:t>
      </w:r>
      <w:r w:rsidR="009C65FA" w:rsidRPr="0071782F">
        <w:rPr>
          <w:lang w:val="fr-CH"/>
        </w:rPr>
        <w:t xml:space="preserve"> </w:t>
      </w:r>
      <w:r w:rsidR="003B1403" w:rsidRPr="0071782F">
        <w:rPr>
          <w:lang w:val="fr-CH"/>
        </w:rPr>
        <w:t>de rials</w:t>
      </w:r>
      <w:r w:rsidRPr="0071782F">
        <w:rPr>
          <w:lang w:val="fr-CH"/>
        </w:rPr>
        <w:t xml:space="preserve">. </w:t>
      </w:r>
      <w:r w:rsidR="009C65FA" w:rsidRPr="0071782F">
        <w:rPr>
          <w:lang w:val="fr-CH"/>
        </w:rPr>
        <w:t xml:space="preserve">Les nouveaux projets ont représenté </w:t>
      </w:r>
      <w:r w:rsidRPr="0071782F">
        <w:rPr>
          <w:lang w:val="fr-CH"/>
        </w:rPr>
        <w:t>14</w:t>
      </w:r>
      <w:r w:rsidR="009C65FA" w:rsidRPr="0071782F">
        <w:rPr>
          <w:lang w:val="fr-CH"/>
        </w:rPr>
        <w:t>,</w:t>
      </w:r>
      <w:r w:rsidRPr="0071782F">
        <w:rPr>
          <w:lang w:val="fr-CH"/>
        </w:rPr>
        <w:t>7</w:t>
      </w:r>
      <w:r w:rsidR="007E5125" w:rsidRPr="0071782F">
        <w:rPr>
          <w:lang w:val="fr-CH"/>
        </w:rPr>
        <w:t>%</w:t>
      </w:r>
      <w:r w:rsidRPr="0071782F">
        <w:rPr>
          <w:lang w:val="fr-CH"/>
        </w:rPr>
        <w:t xml:space="preserve"> </w:t>
      </w:r>
      <w:r w:rsidR="009C65FA" w:rsidRPr="0071782F">
        <w:rPr>
          <w:lang w:val="fr-CH"/>
        </w:rPr>
        <w:t xml:space="preserve">du nombre total des projets de cette année-là pour environ </w:t>
      </w:r>
      <w:r w:rsidRPr="0071782F">
        <w:rPr>
          <w:lang w:val="fr-CH"/>
        </w:rPr>
        <w:t>29</w:t>
      </w:r>
      <w:r w:rsidR="009C65FA" w:rsidRPr="0071782F">
        <w:rPr>
          <w:lang w:val="fr-CH"/>
        </w:rPr>
        <w:t>,</w:t>
      </w:r>
      <w:r w:rsidRPr="0071782F">
        <w:rPr>
          <w:lang w:val="fr-CH"/>
        </w:rPr>
        <w:t>1</w:t>
      </w:r>
      <w:r w:rsidR="007E5125" w:rsidRPr="0071782F">
        <w:rPr>
          <w:lang w:val="fr-CH"/>
        </w:rPr>
        <w:t>%</w:t>
      </w:r>
      <w:r w:rsidRPr="0071782F">
        <w:rPr>
          <w:lang w:val="fr-CH"/>
        </w:rPr>
        <w:t xml:space="preserve"> </w:t>
      </w:r>
      <w:r w:rsidR="009C65FA" w:rsidRPr="0071782F">
        <w:rPr>
          <w:lang w:val="fr-CH"/>
        </w:rPr>
        <w:t xml:space="preserve">du montant des crédits alloués à l’ensemble des projets, en baisse de </w:t>
      </w:r>
      <w:r w:rsidRPr="0071782F">
        <w:rPr>
          <w:lang w:val="fr-CH"/>
        </w:rPr>
        <w:t>13</w:t>
      </w:r>
      <w:r w:rsidR="009C65FA" w:rsidRPr="0071782F">
        <w:rPr>
          <w:lang w:val="fr-CH"/>
        </w:rPr>
        <w:t>,</w:t>
      </w:r>
      <w:r w:rsidRPr="0071782F">
        <w:rPr>
          <w:lang w:val="fr-CH"/>
        </w:rPr>
        <w:t>3</w:t>
      </w:r>
      <w:r w:rsidR="007E5125" w:rsidRPr="0071782F">
        <w:rPr>
          <w:lang w:val="fr-CH"/>
        </w:rPr>
        <w:t>%</w:t>
      </w:r>
      <w:r w:rsidRPr="0071782F">
        <w:rPr>
          <w:lang w:val="fr-CH"/>
        </w:rPr>
        <w:t xml:space="preserve"> </w:t>
      </w:r>
      <w:r w:rsidR="009C65FA" w:rsidRPr="0071782F">
        <w:rPr>
          <w:lang w:val="fr-CH"/>
        </w:rPr>
        <w:t xml:space="preserve">et de </w:t>
      </w:r>
      <w:r w:rsidRPr="0071782F">
        <w:rPr>
          <w:lang w:val="fr-CH"/>
        </w:rPr>
        <w:t>2</w:t>
      </w:r>
      <w:r w:rsidR="007E5125" w:rsidRPr="0071782F">
        <w:rPr>
          <w:lang w:val="fr-CH"/>
        </w:rPr>
        <w:t>%</w:t>
      </w:r>
      <w:r w:rsidR="009C65FA" w:rsidRPr="0071782F">
        <w:rPr>
          <w:lang w:val="fr-CH"/>
        </w:rPr>
        <w:t>, respectivement, par rapport à l’année antérieure</w:t>
      </w:r>
      <w:r w:rsidRPr="0071782F">
        <w:rPr>
          <w:lang w:val="fr-CH"/>
        </w:rPr>
        <w:t xml:space="preserve">. </w:t>
      </w:r>
    </w:p>
    <w:p w:rsidR="00972AC7" w:rsidRPr="0071782F" w:rsidRDefault="00972AC7" w:rsidP="00B55247">
      <w:pPr>
        <w:pStyle w:val="H23G"/>
        <w:rPr>
          <w:lang w:val="fr-CH"/>
        </w:rPr>
      </w:pPr>
      <w:r w:rsidRPr="0071782F">
        <w:rPr>
          <w:lang w:val="fr-CH"/>
        </w:rPr>
        <w:tab/>
      </w:r>
      <w:r w:rsidRPr="0071782F">
        <w:rPr>
          <w:lang w:val="fr-CH"/>
        </w:rPr>
        <w:tab/>
      </w:r>
      <w:r w:rsidR="009C65FA" w:rsidRPr="0071782F">
        <w:rPr>
          <w:lang w:val="fr-CH"/>
        </w:rPr>
        <w:t xml:space="preserve">Achèvement des projets </w:t>
      </w:r>
    </w:p>
    <w:p w:rsidR="00972AC7" w:rsidRPr="0071782F" w:rsidRDefault="00972AC7" w:rsidP="00972AC7">
      <w:pPr>
        <w:pStyle w:val="SingleTxtG"/>
        <w:rPr>
          <w:lang w:val="fr-CH"/>
        </w:rPr>
      </w:pPr>
      <w:r w:rsidRPr="0071782F">
        <w:rPr>
          <w:lang w:val="fr-CH"/>
        </w:rPr>
        <w:t>19.</w:t>
      </w:r>
      <w:r w:rsidRPr="0071782F">
        <w:rPr>
          <w:lang w:val="fr-CH"/>
        </w:rPr>
        <w:tab/>
      </w:r>
      <w:r w:rsidR="009C65FA" w:rsidRPr="0071782F">
        <w:rPr>
          <w:lang w:val="fr-CH"/>
        </w:rPr>
        <w:t>Dans les accords conclus aux fins de l’e</w:t>
      </w:r>
      <w:r w:rsidRPr="0071782F">
        <w:rPr>
          <w:lang w:val="fr-CH"/>
        </w:rPr>
        <w:t>x</w:t>
      </w:r>
      <w:r w:rsidR="009C65FA" w:rsidRPr="0071782F">
        <w:rPr>
          <w:lang w:val="fr-CH"/>
        </w:rPr>
        <w:t>é</w:t>
      </w:r>
      <w:r w:rsidRPr="0071782F">
        <w:rPr>
          <w:lang w:val="fr-CH"/>
        </w:rPr>
        <w:t xml:space="preserve">cution </w:t>
      </w:r>
      <w:r w:rsidR="009C65FA" w:rsidRPr="0071782F">
        <w:rPr>
          <w:lang w:val="fr-CH"/>
        </w:rPr>
        <w:t xml:space="preserve">desdits projets, l’année </w:t>
      </w:r>
      <w:r w:rsidRPr="0071782F">
        <w:rPr>
          <w:lang w:val="fr-CH"/>
        </w:rPr>
        <w:t xml:space="preserve">2006 </w:t>
      </w:r>
      <w:r w:rsidR="009C65FA" w:rsidRPr="0071782F">
        <w:rPr>
          <w:lang w:val="fr-CH"/>
        </w:rPr>
        <w:t xml:space="preserve">devait marquer l’achèvement de </w:t>
      </w:r>
      <w:r w:rsidRPr="0071782F">
        <w:rPr>
          <w:lang w:val="fr-CH"/>
        </w:rPr>
        <w:t>1</w:t>
      </w:r>
      <w:r w:rsidR="003F25A2">
        <w:rPr>
          <w:lang w:val="fr-CH"/>
        </w:rPr>
        <w:t> </w:t>
      </w:r>
      <w:r w:rsidRPr="0071782F">
        <w:rPr>
          <w:lang w:val="fr-CH"/>
        </w:rPr>
        <w:t xml:space="preserve">509 projets, </w:t>
      </w:r>
      <w:r w:rsidR="009C65FA" w:rsidRPr="0071782F">
        <w:rPr>
          <w:lang w:val="fr-CH"/>
        </w:rPr>
        <w:t xml:space="preserve">représentant </w:t>
      </w:r>
      <w:r w:rsidRPr="0071782F">
        <w:rPr>
          <w:lang w:val="fr-CH"/>
        </w:rPr>
        <w:t>31</w:t>
      </w:r>
      <w:r w:rsidR="009C65FA" w:rsidRPr="0071782F">
        <w:rPr>
          <w:lang w:val="fr-CH"/>
        </w:rPr>
        <w:t>,</w:t>
      </w:r>
      <w:r w:rsidRPr="0071782F">
        <w:rPr>
          <w:lang w:val="fr-CH"/>
        </w:rPr>
        <w:t>2</w:t>
      </w:r>
      <w:r w:rsidR="007E5125" w:rsidRPr="0071782F">
        <w:rPr>
          <w:lang w:val="fr-CH"/>
        </w:rPr>
        <w:t>%</w:t>
      </w:r>
      <w:r w:rsidRPr="0071782F">
        <w:rPr>
          <w:lang w:val="fr-CH"/>
        </w:rPr>
        <w:t xml:space="preserve"> </w:t>
      </w:r>
      <w:r w:rsidR="009C65FA" w:rsidRPr="0071782F">
        <w:rPr>
          <w:lang w:val="fr-CH"/>
        </w:rPr>
        <w:t xml:space="preserve">du nombre </w:t>
      </w:r>
      <w:r w:rsidRPr="0071782F">
        <w:rPr>
          <w:lang w:val="fr-CH"/>
        </w:rPr>
        <w:t xml:space="preserve">total </w:t>
      </w:r>
      <w:r w:rsidR="009C65FA" w:rsidRPr="0071782F">
        <w:rPr>
          <w:lang w:val="fr-CH"/>
        </w:rPr>
        <w:t>des projets pour un montant de crédits égal à 67</w:t>
      </w:r>
      <w:r w:rsidR="00E16059">
        <w:rPr>
          <w:lang w:val="fr-CH"/>
        </w:rPr>
        <w:t> </w:t>
      </w:r>
      <w:r w:rsidRPr="0071782F">
        <w:rPr>
          <w:lang w:val="fr-CH"/>
        </w:rPr>
        <w:t>073</w:t>
      </w:r>
      <w:r w:rsidR="008553D9" w:rsidRPr="0071782F">
        <w:rPr>
          <w:lang w:val="fr-CH"/>
        </w:rPr>
        <w:t> milliard</w:t>
      </w:r>
      <w:r w:rsidR="00097CDB" w:rsidRPr="0071782F">
        <w:rPr>
          <w:lang w:val="fr-CH"/>
        </w:rPr>
        <w:t>s</w:t>
      </w:r>
      <w:r w:rsidR="009C65FA" w:rsidRPr="0071782F">
        <w:rPr>
          <w:lang w:val="fr-CH"/>
        </w:rPr>
        <w:t xml:space="preserve"> </w:t>
      </w:r>
      <w:r w:rsidR="003B1403" w:rsidRPr="0071782F">
        <w:rPr>
          <w:lang w:val="fr-CH"/>
        </w:rPr>
        <w:t>de rials</w:t>
      </w:r>
      <w:r w:rsidRPr="0071782F">
        <w:rPr>
          <w:lang w:val="fr-CH"/>
        </w:rPr>
        <w:t xml:space="preserve"> (</w:t>
      </w:r>
      <w:r w:rsidR="009C65FA" w:rsidRPr="0071782F">
        <w:rPr>
          <w:lang w:val="fr-CH"/>
        </w:rPr>
        <w:t xml:space="preserve">soit </w:t>
      </w:r>
      <w:r w:rsidRPr="0071782F">
        <w:rPr>
          <w:lang w:val="fr-CH"/>
        </w:rPr>
        <w:t>35</w:t>
      </w:r>
      <w:r w:rsidR="009C65FA" w:rsidRPr="0071782F">
        <w:rPr>
          <w:lang w:val="fr-CH"/>
        </w:rPr>
        <w:t>,</w:t>
      </w:r>
      <w:r w:rsidRPr="0071782F">
        <w:rPr>
          <w:lang w:val="fr-CH"/>
        </w:rPr>
        <w:t>9</w:t>
      </w:r>
      <w:r w:rsidR="007E5125" w:rsidRPr="0071782F">
        <w:rPr>
          <w:lang w:val="fr-CH"/>
        </w:rPr>
        <w:t>%</w:t>
      </w:r>
      <w:r w:rsidRPr="0071782F">
        <w:rPr>
          <w:lang w:val="fr-CH"/>
        </w:rPr>
        <w:t xml:space="preserve"> </w:t>
      </w:r>
      <w:r w:rsidR="009C65FA" w:rsidRPr="0071782F">
        <w:rPr>
          <w:lang w:val="fr-CH"/>
        </w:rPr>
        <w:t>du montant total des crédits alloués aux projets de cette année-là). Il est resso</w:t>
      </w:r>
      <w:r w:rsidR="00337D13" w:rsidRPr="0071782F">
        <w:rPr>
          <w:lang w:val="fr-CH"/>
        </w:rPr>
        <w:t>rti des visites de suivi des pro</w:t>
      </w:r>
      <w:r w:rsidR="009C65FA" w:rsidRPr="0071782F">
        <w:rPr>
          <w:lang w:val="fr-CH"/>
        </w:rPr>
        <w:t xml:space="preserve">jets que </w:t>
      </w:r>
      <w:r w:rsidRPr="0071782F">
        <w:rPr>
          <w:lang w:val="fr-CH"/>
        </w:rPr>
        <w:t>51</w:t>
      </w:r>
      <w:r w:rsidR="009C65FA" w:rsidRPr="0071782F">
        <w:rPr>
          <w:lang w:val="fr-CH"/>
        </w:rPr>
        <w:t>,</w:t>
      </w:r>
      <w:r w:rsidRPr="0071782F">
        <w:rPr>
          <w:lang w:val="fr-CH"/>
        </w:rPr>
        <w:t>8</w:t>
      </w:r>
      <w:r w:rsidR="007E5125" w:rsidRPr="0071782F">
        <w:rPr>
          <w:lang w:val="fr-CH"/>
        </w:rPr>
        <w:t>%</w:t>
      </w:r>
      <w:r w:rsidRPr="0071782F">
        <w:rPr>
          <w:lang w:val="fr-CH"/>
        </w:rPr>
        <w:t xml:space="preserve"> </w:t>
      </w:r>
      <w:r w:rsidR="009C65FA" w:rsidRPr="0071782F">
        <w:rPr>
          <w:lang w:val="fr-CH"/>
        </w:rPr>
        <w:t>d’entre eux ont été achevés au cours de la même année</w:t>
      </w:r>
      <w:r w:rsidRPr="0071782F">
        <w:rPr>
          <w:lang w:val="fr-CH"/>
        </w:rPr>
        <w:t xml:space="preserve">. </w:t>
      </w:r>
      <w:r w:rsidR="009C65FA" w:rsidRPr="0071782F">
        <w:rPr>
          <w:lang w:val="fr-CH"/>
        </w:rPr>
        <w:t>E</w:t>
      </w:r>
      <w:r w:rsidRPr="0071782F">
        <w:rPr>
          <w:lang w:val="fr-CH"/>
        </w:rPr>
        <w:t xml:space="preserve">n </w:t>
      </w:r>
      <w:r w:rsidR="009C65FA" w:rsidRPr="0071782F">
        <w:rPr>
          <w:lang w:val="fr-CH"/>
        </w:rPr>
        <w:t xml:space="preserve">d’autres termes, </w:t>
      </w:r>
      <w:r w:rsidR="00BF48F4" w:rsidRPr="0071782F">
        <w:rPr>
          <w:lang w:val="fr-CH"/>
        </w:rPr>
        <w:t>591 </w:t>
      </w:r>
      <w:r w:rsidR="009C65FA" w:rsidRPr="0071782F">
        <w:rPr>
          <w:lang w:val="fr-CH"/>
        </w:rPr>
        <w:t xml:space="preserve">projets sur </w:t>
      </w:r>
      <w:r w:rsidRPr="0071782F">
        <w:rPr>
          <w:lang w:val="fr-CH"/>
        </w:rPr>
        <w:t>1</w:t>
      </w:r>
      <w:r w:rsidR="003F25A2">
        <w:rPr>
          <w:lang w:val="fr-CH"/>
        </w:rPr>
        <w:t> </w:t>
      </w:r>
      <w:r w:rsidRPr="0071782F">
        <w:rPr>
          <w:lang w:val="fr-CH"/>
        </w:rPr>
        <w:t xml:space="preserve">142 </w:t>
      </w:r>
      <w:r w:rsidR="009C65FA" w:rsidRPr="0071782F">
        <w:rPr>
          <w:lang w:val="fr-CH"/>
        </w:rPr>
        <w:t>ont été achevés dans les délais prescrits</w:t>
      </w:r>
      <w:r w:rsidRPr="0071782F">
        <w:rPr>
          <w:lang w:val="fr-CH"/>
        </w:rPr>
        <w:t xml:space="preserve">. </w:t>
      </w:r>
      <w:r w:rsidR="009C65FA" w:rsidRPr="0071782F">
        <w:rPr>
          <w:lang w:val="fr-CH"/>
        </w:rPr>
        <w:t>L’indicateur d’achèvement des projets a enregistré en 2006 une baisse de 1</w:t>
      </w:r>
      <w:r w:rsidR="007E5125" w:rsidRPr="0071782F">
        <w:rPr>
          <w:lang w:val="fr-CH"/>
        </w:rPr>
        <w:t>%</w:t>
      </w:r>
      <w:r w:rsidR="009C65FA" w:rsidRPr="0071782F">
        <w:rPr>
          <w:lang w:val="fr-CH"/>
        </w:rPr>
        <w:t xml:space="preserve"> par rapport à 2005. </w:t>
      </w:r>
    </w:p>
    <w:p w:rsidR="00972AC7" w:rsidRPr="0071782F" w:rsidRDefault="00972AC7" w:rsidP="00B55247">
      <w:pPr>
        <w:pStyle w:val="H1G"/>
        <w:rPr>
          <w:lang w:val="fr-CH"/>
        </w:rPr>
      </w:pPr>
      <w:r w:rsidRPr="0071782F">
        <w:rPr>
          <w:lang w:val="fr-CH"/>
        </w:rPr>
        <w:tab/>
      </w:r>
      <w:r w:rsidRPr="0071782F">
        <w:rPr>
          <w:lang w:val="fr-CH"/>
        </w:rPr>
        <w:tab/>
      </w:r>
      <w:r w:rsidR="00782549" w:rsidRPr="0071782F">
        <w:rPr>
          <w:lang w:val="fr-CH"/>
        </w:rPr>
        <w:t xml:space="preserve">Politiques environnementales </w:t>
      </w:r>
    </w:p>
    <w:p w:rsidR="00972AC7" w:rsidRPr="0071782F" w:rsidRDefault="00972AC7" w:rsidP="00972AC7">
      <w:pPr>
        <w:pStyle w:val="SingleTxtG"/>
        <w:rPr>
          <w:lang w:val="fr-CH"/>
        </w:rPr>
      </w:pPr>
      <w:r w:rsidRPr="0071782F">
        <w:rPr>
          <w:lang w:val="fr-CH"/>
        </w:rPr>
        <w:t>20.</w:t>
      </w:r>
      <w:r w:rsidRPr="0071782F">
        <w:rPr>
          <w:lang w:val="fr-CH"/>
        </w:rPr>
        <w:tab/>
      </w:r>
      <w:r w:rsidR="00782549" w:rsidRPr="0071782F">
        <w:rPr>
          <w:lang w:val="fr-CH"/>
        </w:rPr>
        <w:t>Les années récentes ont vu mettre tout particulièrement l’accent sur l’i</w:t>
      </w:r>
      <w:r w:rsidRPr="0071782F">
        <w:rPr>
          <w:lang w:val="fr-CH"/>
        </w:rPr>
        <w:t xml:space="preserve">nclusion </w:t>
      </w:r>
      <w:r w:rsidR="00782549" w:rsidRPr="0071782F">
        <w:rPr>
          <w:lang w:val="fr-CH"/>
        </w:rPr>
        <w:t xml:space="preserve">des préoccupations en matière d’environnement dans les plans et dispositions générales à long et moyen termes du pays, comme en témoignent les </w:t>
      </w:r>
      <w:r w:rsidRPr="0071782F">
        <w:rPr>
          <w:lang w:val="fr-CH"/>
        </w:rPr>
        <w:t>diff</w:t>
      </w:r>
      <w:r w:rsidR="00782549" w:rsidRPr="0071782F">
        <w:rPr>
          <w:lang w:val="fr-CH"/>
        </w:rPr>
        <w:t>é</w:t>
      </w:r>
      <w:r w:rsidRPr="0071782F">
        <w:rPr>
          <w:lang w:val="fr-CH"/>
        </w:rPr>
        <w:t>rent</w:t>
      </w:r>
      <w:r w:rsidR="00782549" w:rsidRPr="0071782F">
        <w:rPr>
          <w:lang w:val="fr-CH"/>
        </w:rPr>
        <w:t>s</w:t>
      </w:r>
      <w:r w:rsidRPr="0071782F">
        <w:rPr>
          <w:lang w:val="fr-CH"/>
        </w:rPr>
        <w:t xml:space="preserve"> documents </w:t>
      </w:r>
      <w:r w:rsidR="00782549" w:rsidRPr="0071782F">
        <w:rPr>
          <w:lang w:val="fr-CH"/>
        </w:rPr>
        <w:t>qui se rapportent au Plan stratégique sur 20</w:t>
      </w:r>
      <w:r w:rsidR="00D82C96" w:rsidRPr="0071782F">
        <w:rPr>
          <w:lang w:val="fr-CH"/>
        </w:rPr>
        <w:t> ans</w:t>
      </w:r>
      <w:r w:rsidR="00782549" w:rsidRPr="0071782F">
        <w:rPr>
          <w:lang w:val="fr-CH"/>
        </w:rPr>
        <w:t xml:space="preserve"> pour le développement du pays et aux</w:t>
      </w:r>
      <w:r w:rsidR="0000752B" w:rsidRPr="0071782F">
        <w:rPr>
          <w:lang w:val="fr-CH"/>
        </w:rPr>
        <w:t xml:space="preserve"> </w:t>
      </w:r>
      <w:r w:rsidR="00782549" w:rsidRPr="0071782F">
        <w:rPr>
          <w:lang w:val="fr-CH"/>
        </w:rPr>
        <w:t>politiques connexes.</w:t>
      </w:r>
      <w:r w:rsidRPr="0071782F">
        <w:rPr>
          <w:lang w:val="fr-CH"/>
        </w:rPr>
        <w:t xml:space="preserve"> </w:t>
      </w:r>
      <w:r w:rsidR="00BF48F4" w:rsidRPr="0071782F">
        <w:rPr>
          <w:lang w:val="fr-CH"/>
        </w:rPr>
        <w:t>À </w:t>
      </w:r>
      <w:r w:rsidR="00782549" w:rsidRPr="0071782F">
        <w:rPr>
          <w:lang w:val="fr-CH"/>
        </w:rPr>
        <w:t xml:space="preserve">cet égard, on peut se référer au </w:t>
      </w:r>
      <w:r w:rsidR="00723F2B" w:rsidRPr="0071782F">
        <w:rPr>
          <w:lang w:val="fr-CH"/>
        </w:rPr>
        <w:t>paragraphe </w:t>
      </w:r>
      <w:r w:rsidRPr="0071782F">
        <w:rPr>
          <w:lang w:val="fr-CH"/>
        </w:rPr>
        <w:t xml:space="preserve">4 </w:t>
      </w:r>
      <w:r w:rsidR="00782549" w:rsidRPr="0071782F">
        <w:rPr>
          <w:lang w:val="fr-CH"/>
        </w:rPr>
        <w:t xml:space="preserve">du Plan stratégique, qui prévoit l’exercice des droits à la santé, à la protection sociale, à la sécurité alimentaire et à la sécurité sociale, garantit l’égalité des chances, une juste répartition des revenus, la consolidation de la cellule familiale, la réduction de la pauvreté et un environnement non pollué, et affirme la nécessité de lutter contre la </w:t>
      </w:r>
      <w:r w:rsidRPr="0071782F">
        <w:rPr>
          <w:lang w:val="fr-CH"/>
        </w:rPr>
        <w:t xml:space="preserve">corruption </w:t>
      </w:r>
      <w:r w:rsidR="00782549" w:rsidRPr="0071782F">
        <w:rPr>
          <w:lang w:val="fr-CH"/>
        </w:rPr>
        <w:t xml:space="preserve">et la </w:t>
      </w:r>
      <w:r w:rsidRPr="0071782F">
        <w:rPr>
          <w:lang w:val="fr-CH"/>
        </w:rPr>
        <w:t xml:space="preserve">discrimination. </w:t>
      </w:r>
      <w:r w:rsidR="00782549" w:rsidRPr="0071782F">
        <w:rPr>
          <w:lang w:val="fr-CH"/>
        </w:rPr>
        <w:t xml:space="preserve">Par ailleurs, </w:t>
      </w:r>
      <w:r w:rsidR="006B786B" w:rsidRPr="0071782F">
        <w:rPr>
          <w:lang w:val="fr-CH"/>
        </w:rPr>
        <w:t>l’alinéa </w:t>
      </w:r>
      <w:r w:rsidR="00782549" w:rsidRPr="0071782F">
        <w:rPr>
          <w:lang w:val="fr-CH"/>
        </w:rPr>
        <w:t xml:space="preserve">5 du </w:t>
      </w:r>
      <w:r w:rsidR="00723F2B" w:rsidRPr="0071782F">
        <w:rPr>
          <w:lang w:val="fr-CH"/>
        </w:rPr>
        <w:t>paragraphe </w:t>
      </w:r>
      <w:r w:rsidRPr="0071782F">
        <w:rPr>
          <w:lang w:val="fr-CH"/>
        </w:rPr>
        <w:t>19 (</w:t>
      </w:r>
      <w:r w:rsidR="00782549" w:rsidRPr="0071782F">
        <w:rPr>
          <w:lang w:val="fr-CH"/>
        </w:rPr>
        <w:t xml:space="preserve">sur les affaires </w:t>
      </w:r>
      <w:r w:rsidRPr="0071782F">
        <w:rPr>
          <w:lang w:val="fr-CH"/>
        </w:rPr>
        <w:t>social</w:t>
      </w:r>
      <w:r w:rsidR="00782549" w:rsidRPr="0071782F">
        <w:rPr>
          <w:lang w:val="fr-CH"/>
        </w:rPr>
        <w:t>es</w:t>
      </w:r>
      <w:r w:rsidRPr="0071782F">
        <w:rPr>
          <w:lang w:val="fr-CH"/>
        </w:rPr>
        <w:t>, politi</w:t>
      </w:r>
      <w:r w:rsidR="00782549" w:rsidRPr="0071782F">
        <w:rPr>
          <w:lang w:val="fr-CH"/>
        </w:rPr>
        <w:t>ques</w:t>
      </w:r>
      <w:r w:rsidRPr="0071782F">
        <w:rPr>
          <w:lang w:val="fr-CH"/>
        </w:rPr>
        <w:t xml:space="preserve">, </w:t>
      </w:r>
      <w:r w:rsidR="00782549" w:rsidRPr="0071782F">
        <w:rPr>
          <w:lang w:val="fr-CH"/>
        </w:rPr>
        <w:t>de dé</w:t>
      </w:r>
      <w:r w:rsidRPr="0071782F">
        <w:rPr>
          <w:lang w:val="fr-CH"/>
        </w:rPr>
        <w:t xml:space="preserve">fense </w:t>
      </w:r>
      <w:r w:rsidR="00782549" w:rsidRPr="0071782F">
        <w:rPr>
          <w:lang w:val="fr-CH"/>
        </w:rPr>
        <w:t>et de séc</w:t>
      </w:r>
      <w:r w:rsidRPr="0071782F">
        <w:rPr>
          <w:lang w:val="fr-CH"/>
        </w:rPr>
        <w:t>urit</w:t>
      </w:r>
      <w:r w:rsidR="00782549" w:rsidRPr="0071782F">
        <w:rPr>
          <w:lang w:val="fr-CH"/>
        </w:rPr>
        <w:t>é</w:t>
      </w:r>
      <w:r w:rsidRPr="0071782F">
        <w:rPr>
          <w:lang w:val="fr-CH"/>
        </w:rPr>
        <w:t>) s</w:t>
      </w:r>
      <w:r w:rsidR="00782549" w:rsidRPr="0071782F">
        <w:rPr>
          <w:lang w:val="fr-CH"/>
        </w:rPr>
        <w:t>ouligne la nécessité d’une protection de l’</w:t>
      </w:r>
      <w:r w:rsidRPr="0071782F">
        <w:rPr>
          <w:lang w:val="fr-CH"/>
        </w:rPr>
        <w:t>environ</w:t>
      </w:r>
      <w:r w:rsidR="00782549" w:rsidRPr="0071782F">
        <w:rPr>
          <w:lang w:val="fr-CH"/>
        </w:rPr>
        <w:t>ne</w:t>
      </w:r>
      <w:r w:rsidRPr="0071782F">
        <w:rPr>
          <w:lang w:val="fr-CH"/>
        </w:rPr>
        <w:t xml:space="preserve">ment </w:t>
      </w:r>
      <w:r w:rsidR="00782549" w:rsidRPr="0071782F">
        <w:rPr>
          <w:lang w:val="fr-CH"/>
        </w:rPr>
        <w:t xml:space="preserve">et d’une préservation et d’une régénération des ressources naturelles, et le </w:t>
      </w:r>
      <w:r w:rsidR="00723F2B" w:rsidRPr="0071782F">
        <w:rPr>
          <w:lang w:val="fr-CH"/>
        </w:rPr>
        <w:t>paragraphe </w:t>
      </w:r>
      <w:r w:rsidR="00782549" w:rsidRPr="0071782F">
        <w:rPr>
          <w:lang w:val="fr-CH"/>
        </w:rPr>
        <w:t>40 (consacré aux affaires économiques) fait référence à l’</w:t>
      </w:r>
      <w:r w:rsidRPr="0071782F">
        <w:rPr>
          <w:lang w:val="fr-CH"/>
        </w:rPr>
        <w:t xml:space="preserve">importance </w:t>
      </w:r>
      <w:r w:rsidR="00782549" w:rsidRPr="0071782F">
        <w:rPr>
          <w:lang w:val="fr-CH"/>
        </w:rPr>
        <w:t>de l’</w:t>
      </w:r>
      <w:r w:rsidRPr="0071782F">
        <w:rPr>
          <w:lang w:val="fr-CH"/>
        </w:rPr>
        <w:t xml:space="preserve">extraction, </w:t>
      </w:r>
      <w:r w:rsidR="00782549" w:rsidRPr="0071782F">
        <w:rPr>
          <w:lang w:val="fr-CH"/>
        </w:rPr>
        <w:t>de la récupération, de la fourniture, de l’utilisation rationnelle et de la consommation de l’eau et à la valeur de celle-ci sur les plans économique</w:t>
      </w:r>
      <w:r w:rsidRPr="0071782F">
        <w:rPr>
          <w:lang w:val="fr-CH"/>
        </w:rPr>
        <w:t>, s</w:t>
      </w:r>
      <w:r w:rsidR="00782549" w:rsidRPr="0071782F">
        <w:rPr>
          <w:lang w:val="fr-CH"/>
        </w:rPr>
        <w:t>é</w:t>
      </w:r>
      <w:r w:rsidRPr="0071782F">
        <w:rPr>
          <w:lang w:val="fr-CH"/>
        </w:rPr>
        <w:t>curit</w:t>
      </w:r>
      <w:r w:rsidR="00782549" w:rsidRPr="0071782F">
        <w:rPr>
          <w:lang w:val="fr-CH"/>
        </w:rPr>
        <w:t>aire</w:t>
      </w:r>
      <w:r w:rsidRPr="0071782F">
        <w:rPr>
          <w:lang w:val="fr-CH"/>
        </w:rPr>
        <w:t>, politi</w:t>
      </w:r>
      <w:r w:rsidR="00782549" w:rsidRPr="0071782F">
        <w:rPr>
          <w:lang w:val="fr-CH"/>
        </w:rPr>
        <w:t xml:space="preserve">que et </w:t>
      </w:r>
      <w:r w:rsidRPr="0071782F">
        <w:rPr>
          <w:lang w:val="fr-CH"/>
        </w:rPr>
        <w:t>environ</w:t>
      </w:r>
      <w:r w:rsidR="00782549" w:rsidRPr="0071782F">
        <w:rPr>
          <w:lang w:val="fr-CH"/>
        </w:rPr>
        <w:t>ne</w:t>
      </w:r>
      <w:r w:rsidRPr="0071782F">
        <w:rPr>
          <w:lang w:val="fr-CH"/>
        </w:rPr>
        <w:t>mental.</w:t>
      </w:r>
    </w:p>
    <w:p w:rsidR="00972AC7" w:rsidRPr="0071782F" w:rsidRDefault="00972AC7" w:rsidP="00B55247">
      <w:pPr>
        <w:pStyle w:val="SingleTxtG"/>
        <w:ind w:left="1701"/>
        <w:rPr>
          <w:lang w:val="fr-CH"/>
        </w:rPr>
      </w:pPr>
      <w:r w:rsidRPr="0071782F">
        <w:rPr>
          <w:lang w:val="fr-CH"/>
        </w:rPr>
        <w:t>20.1</w:t>
      </w:r>
      <w:r w:rsidR="00EF6CFA" w:rsidRPr="0071782F">
        <w:rPr>
          <w:lang w:val="fr-CH"/>
        </w:rPr>
        <w:t>.</w:t>
      </w:r>
      <w:r w:rsidRPr="0071782F">
        <w:rPr>
          <w:lang w:val="fr-CH"/>
        </w:rPr>
        <w:tab/>
      </w:r>
      <w:r w:rsidR="00AB0BC8" w:rsidRPr="0071782F">
        <w:rPr>
          <w:lang w:val="fr-CH"/>
        </w:rPr>
        <w:t xml:space="preserve">La </w:t>
      </w:r>
      <w:r w:rsidRPr="0071782F">
        <w:rPr>
          <w:lang w:val="fr-CH"/>
        </w:rPr>
        <w:t>protection</w:t>
      </w:r>
      <w:r w:rsidR="00AB0BC8" w:rsidRPr="0071782F">
        <w:rPr>
          <w:lang w:val="fr-CH"/>
        </w:rPr>
        <w:t xml:space="preserve"> de l’environnement, l’aménagement du territoire et l’équilibre entre les régions figurent parmi les </w:t>
      </w:r>
      <w:r w:rsidRPr="0071782F">
        <w:rPr>
          <w:lang w:val="fr-CH"/>
        </w:rPr>
        <w:t xml:space="preserve">12 concepts </w:t>
      </w:r>
      <w:r w:rsidR="00AB0BC8" w:rsidRPr="0071782F">
        <w:rPr>
          <w:lang w:val="fr-CH"/>
        </w:rPr>
        <w:t xml:space="preserve">sur lesquels s’appuie la loi relative au </w:t>
      </w:r>
      <w:r w:rsidR="00A90208" w:rsidRPr="0071782F">
        <w:rPr>
          <w:lang w:val="fr-CH"/>
        </w:rPr>
        <w:t>quatrième</w:t>
      </w:r>
      <w:r w:rsidR="00AB0BC8" w:rsidRPr="0071782F">
        <w:rPr>
          <w:lang w:val="fr-CH"/>
        </w:rPr>
        <w:t xml:space="preserve"> plan de développement; il en est question dans les </w:t>
      </w:r>
      <w:r w:rsidR="00723F2B" w:rsidRPr="0071782F">
        <w:rPr>
          <w:lang w:val="fr-CH"/>
        </w:rPr>
        <w:t>articles </w:t>
      </w:r>
      <w:r w:rsidRPr="0071782F">
        <w:rPr>
          <w:lang w:val="fr-CH"/>
        </w:rPr>
        <w:t xml:space="preserve">51 </w:t>
      </w:r>
      <w:r w:rsidR="00AB0BC8" w:rsidRPr="0071782F">
        <w:rPr>
          <w:lang w:val="fr-CH"/>
        </w:rPr>
        <w:t xml:space="preserve">à </w:t>
      </w:r>
      <w:r w:rsidRPr="0071782F">
        <w:rPr>
          <w:lang w:val="fr-CH"/>
        </w:rPr>
        <w:t xml:space="preserve">71 </w:t>
      </w:r>
      <w:r w:rsidR="00AB0BC8" w:rsidRPr="0071782F">
        <w:rPr>
          <w:lang w:val="fr-CH"/>
        </w:rPr>
        <w:t>de ladite loi</w:t>
      </w:r>
      <w:r w:rsidRPr="0071782F">
        <w:rPr>
          <w:lang w:val="fr-CH"/>
        </w:rPr>
        <w:t xml:space="preserve">. </w:t>
      </w:r>
      <w:r w:rsidR="00AB0BC8" w:rsidRPr="0071782F">
        <w:rPr>
          <w:lang w:val="fr-CH"/>
        </w:rPr>
        <w:t>L’examen des résultats des principaux indicateurs de chaque secteur, évalués sur la base des résultats des programmes concernés, montre que la protection des habitats et espèces terrestres</w:t>
      </w:r>
      <w:r w:rsidRPr="0071782F">
        <w:rPr>
          <w:lang w:val="fr-CH"/>
        </w:rPr>
        <w:t xml:space="preserve">, </w:t>
      </w:r>
      <w:r w:rsidR="00AB0BC8" w:rsidRPr="0071782F">
        <w:rPr>
          <w:lang w:val="fr-CH"/>
        </w:rPr>
        <w:t xml:space="preserve">la </w:t>
      </w:r>
      <w:r w:rsidRPr="0071782F">
        <w:rPr>
          <w:lang w:val="fr-CH"/>
        </w:rPr>
        <w:t xml:space="preserve">promotion </w:t>
      </w:r>
      <w:r w:rsidR="00AB0BC8" w:rsidRPr="0071782F">
        <w:rPr>
          <w:lang w:val="fr-CH"/>
        </w:rPr>
        <w:t xml:space="preserve">d’une culture et d’une éthique environnementale, la gestion des polluants et des déchets, et la protection des espèces marines et des espèces aquatiques se trouvant dans les eaux intérieures ont réalisé les objectifs prévus à raison de </w:t>
      </w:r>
      <w:r w:rsidRPr="0071782F">
        <w:rPr>
          <w:lang w:val="fr-CH"/>
        </w:rPr>
        <w:t>93</w:t>
      </w:r>
      <w:r w:rsidR="00AB0BC8" w:rsidRPr="0071782F">
        <w:rPr>
          <w:lang w:val="fr-CH"/>
        </w:rPr>
        <w:t>,</w:t>
      </w:r>
      <w:r w:rsidRPr="0071782F">
        <w:rPr>
          <w:lang w:val="fr-CH"/>
        </w:rPr>
        <w:t>75</w:t>
      </w:r>
      <w:r w:rsidR="007E5125" w:rsidRPr="0071782F">
        <w:rPr>
          <w:lang w:val="fr-CH"/>
        </w:rPr>
        <w:t>%</w:t>
      </w:r>
      <w:r w:rsidRPr="0071782F">
        <w:rPr>
          <w:lang w:val="fr-CH"/>
        </w:rPr>
        <w:t>, 92</w:t>
      </w:r>
      <w:r w:rsidR="00AB0BC8" w:rsidRPr="0071782F">
        <w:rPr>
          <w:lang w:val="fr-CH"/>
        </w:rPr>
        <w:t>,</w:t>
      </w:r>
      <w:r w:rsidRPr="0071782F">
        <w:rPr>
          <w:lang w:val="fr-CH"/>
        </w:rPr>
        <w:t>91</w:t>
      </w:r>
      <w:r w:rsidR="007E5125" w:rsidRPr="0071782F">
        <w:rPr>
          <w:lang w:val="fr-CH"/>
        </w:rPr>
        <w:t>%</w:t>
      </w:r>
      <w:r w:rsidRPr="0071782F">
        <w:rPr>
          <w:lang w:val="fr-CH"/>
        </w:rPr>
        <w:t>, 116</w:t>
      </w:r>
      <w:r w:rsidR="00AB0BC8" w:rsidRPr="0071782F">
        <w:rPr>
          <w:lang w:val="fr-CH"/>
        </w:rPr>
        <w:t>,</w:t>
      </w:r>
      <w:r w:rsidRPr="0071782F">
        <w:rPr>
          <w:lang w:val="fr-CH"/>
        </w:rPr>
        <w:t>7</w:t>
      </w:r>
      <w:r w:rsidR="007E5125" w:rsidRPr="0071782F">
        <w:rPr>
          <w:lang w:val="fr-CH"/>
        </w:rPr>
        <w:t>%</w:t>
      </w:r>
      <w:r w:rsidR="00AB0BC8" w:rsidRPr="0071782F">
        <w:rPr>
          <w:lang w:val="fr-CH"/>
        </w:rPr>
        <w:t xml:space="preserve"> et</w:t>
      </w:r>
      <w:r w:rsidRPr="0071782F">
        <w:rPr>
          <w:lang w:val="fr-CH"/>
        </w:rPr>
        <w:t xml:space="preserve"> </w:t>
      </w:r>
      <w:r w:rsidR="00AB0BC8" w:rsidRPr="0071782F">
        <w:rPr>
          <w:lang w:val="fr-CH"/>
        </w:rPr>
        <w:t>133,</w:t>
      </w:r>
      <w:r w:rsidRPr="0071782F">
        <w:rPr>
          <w:lang w:val="fr-CH"/>
        </w:rPr>
        <w:t>3</w:t>
      </w:r>
      <w:r w:rsidR="007E5125" w:rsidRPr="0071782F">
        <w:rPr>
          <w:lang w:val="fr-CH"/>
        </w:rPr>
        <w:t>%</w:t>
      </w:r>
      <w:r w:rsidR="00AB0BC8" w:rsidRPr="0071782F">
        <w:rPr>
          <w:lang w:val="fr-CH"/>
        </w:rPr>
        <w:t>, respectivement</w:t>
      </w:r>
      <w:r w:rsidRPr="0071782F">
        <w:rPr>
          <w:lang w:val="fr-CH"/>
        </w:rPr>
        <w:t xml:space="preserve">. </w:t>
      </w:r>
      <w:r w:rsidR="00AB0BC8" w:rsidRPr="0071782F">
        <w:rPr>
          <w:lang w:val="fr-CH"/>
        </w:rPr>
        <w:t xml:space="preserve">Globalement, plus de </w:t>
      </w:r>
      <w:r w:rsidRPr="0071782F">
        <w:rPr>
          <w:lang w:val="fr-CH"/>
        </w:rPr>
        <w:t>70</w:t>
      </w:r>
      <w:r w:rsidR="007E5125" w:rsidRPr="0071782F">
        <w:rPr>
          <w:lang w:val="fr-CH"/>
        </w:rPr>
        <w:t>%</w:t>
      </w:r>
      <w:r w:rsidRPr="0071782F">
        <w:rPr>
          <w:lang w:val="fr-CH"/>
        </w:rPr>
        <w:t xml:space="preserve"> </w:t>
      </w:r>
      <w:r w:rsidR="00AB0BC8" w:rsidRPr="0071782F">
        <w:rPr>
          <w:lang w:val="fr-CH"/>
        </w:rPr>
        <w:t>des objectifs envir</w:t>
      </w:r>
      <w:r w:rsidRPr="0071782F">
        <w:rPr>
          <w:lang w:val="fr-CH"/>
        </w:rPr>
        <w:t>o</w:t>
      </w:r>
      <w:r w:rsidR="00AB0BC8" w:rsidRPr="0071782F">
        <w:rPr>
          <w:lang w:val="fr-CH"/>
        </w:rPr>
        <w:t xml:space="preserve">nnementaux ont été atteints en </w:t>
      </w:r>
      <w:r w:rsidRPr="0071782F">
        <w:rPr>
          <w:lang w:val="fr-CH"/>
        </w:rPr>
        <w:t xml:space="preserve">2006. </w:t>
      </w:r>
      <w:r w:rsidR="00AB0BC8" w:rsidRPr="0071782F">
        <w:rPr>
          <w:lang w:val="fr-CH"/>
        </w:rPr>
        <w:t>Le plus faible pourcentage de réalisation d’objectifs environnementaux concerne l’indicateur de la conception et de l’</w:t>
      </w:r>
      <w:r w:rsidRPr="0071782F">
        <w:rPr>
          <w:lang w:val="fr-CH"/>
        </w:rPr>
        <w:t>ex</w:t>
      </w:r>
      <w:r w:rsidR="00AB0BC8" w:rsidRPr="0071782F">
        <w:rPr>
          <w:lang w:val="fr-CH"/>
        </w:rPr>
        <w:t>é</w:t>
      </w:r>
      <w:r w:rsidRPr="0071782F">
        <w:rPr>
          <w:lang w:val="fr-CH"/>
        </w:rPr>
        <w:t xml:space="preserve">cution </w:t>
      </w:r>
      <w:r w:rsidR="00AB0BC8" w:rsidRPr="0071782F">
        <w:rPr>
          <w:lang w:val="fr-CH"/>
        </w:rPr>
        <w:t>d’une nouvelle gestion régionale</w:t>
      </w:r>
      <w:r w:rsidRPr="0071782F">
        <w:rPr>
          <w:lang w:val="fr-CH"/>
        </w:rPr>
        <w:t xml:space="preserve">. </w:t>
      </w:r>
    </w:p>
    <w:p w:rsidR="00972AC7" w:rsidRPr="0071782F" w:rsidRDefault="00972AC7" w:rsidP="00B55247">
      <w:pPr>
        <w:pStyle w:val="H1G"/>
        <w:rPr>
          <w:lang w:val="fr-CH"/>
        </w:rPr>
      </w:pPr>
      <w:r w:rsidRPr="0071782F">
        <w:rPr>
          <w:lang w:val="fr-CH"/>
        </w:rPr>
        <w:tab/>
      </w:r>
      <w:r w:rsidRPr="0071782F">
        <w:rPr>
          <w:lang w:val="fr-CH"/>
        </w:rPr>
        <w:tab/>
        <w:t>Productivit</w:t>
      </w:r>
      <w:r w:rsidR="00AB0BC8" w:rsidRPr="0071782F">
        <w:rPr>
          <w:lang w:val="fr-CH"/>
        </w:rPr>
        <w:t>é</w:t>
      </w:r>
      <w:r w:rsidRPr="0071782F">
        <w:rPr>
          <w:lang w:val="fr-CH"/>
        </w:rPr>
        <w:t xml:space="preserve"> </w:t>
      </w:r>
    </w:p>
    <w:p w:rsidR="00972AC7" w:rsidRPr="0071782F" w:rsidRDefault="00972AC7" w:rsidP="00972AC7">
      <w:pPr>
        <w:pStyle w:val="SingleTxtG"/>
        <w:rPr>
          <w:lang w:val="fr-CH"/>
        </w:rPr>
      </w:pPr>
      <w:r w:rsidRPr="0071782F">
        <w:rPr>
          <w:lang w:val="fr-CH"/>
        </w:rPr>
        <w:t>21.</w:t>
      </w:r>
      <w:r w:rsidRPr="0071782F">
        <w:rPr>
          <w:lang w:val="fr-CH"/>
        </w:rPr>
        <w:tab/>
      </w:r>
      <w:r w:rsidR="00052667" w:rsidRPr="0071782F">
        <w:rPr>
          <w:lang w:val="fr-CH"/>
        </w:rPr>
        <w:t xml:space="preserve">Une simple comparaison avec les plans de développement antérieurs montre que la productivité est devenue pour la première fois l’une des questions de développement les plus importantes dans le </w:t>
      </w:r>
      <w:r w:rsidR="00A90208" w:rsidRPr="0071782F">
        <w:rPr>
          <w:lang w:val="fr-CH"/>
        </w:rPr>
        <w:t>quatrième</w:t>
      </w:r>
      <w:r w:rsidR="00052667" w:rsidRPr="0071782F">
        <w:rPr>
          <w:lang w:val="fr-CH"/>
        </w:rPr>
        <w:t xml:space="preserve"> plan de développement</w:t>
      </w:r>
      <w:r w:rsidRPr="0071782F">
        <w:rPr>
          <w:lang w:val="fr-CH"/>
        </w:rPr>
        <w:t xml:space="preserve">. </w:t>
      </w:r>
      <w:r w:rsidR="00052667" w:rsidRPr="0071782F">
        <w:rPr>
          <w:lang w:val="fr-CH"/>
        </w:rPr>
        <w:t>Celui-ci définit les objectif</w:t>
      </w:r>
      <w:r w:rsidRPr="0071782F">
        <w:rPr>
          <w:lang w:val="fr-CH"/>
        </w:rPr>
        <w:t xml:space="preserve">s </w:t>
      </w:r>
      <w:r w:rsidR="00052667" w:rsidRPr="0071782F">
        <w:rPr>
          <w:lang w:val="fr-CH"/>
        </w:rPr>
        <w:t>des indicateurs de la productivité de la main-d’</w:t>
      </w:r>
      <w:r w:rsidR="00D5366B" w:rsidRPr="0071782F">
        <w:rPr>
          <w:lang w:val="fr-CH"/>
        </w:rPr>
        <w:t>œuvre</w:t>
      </w:r>
      <w:r w:rsidR="00052667" w:rsidRPr="0071782F">
        <w:rPr>
          <w:lang w:val="fr-CH"/>
        </w:rPr>
        <w:t xml:space="preserve">, du </w:t>
      </w:r>
      <w:r w:rsidRPr="0071782F">
        <w:rPr>
          <w:lang w:val="fr-CH"/>
        </w:rPr>
        <w:t xml:space="preserve">capital </w:t>
      </w:r>
      <w:r w:rsidR="00052667" w:rsidRPr="0071782F">
        <w:rPr>
          <w:lang w:val="fr-CH"/>
        </w:rPr>
        <w:t xml:space="preserve">et des facteurs de </w:t>
      </w:r>
      <w:r w:rsidRPr="0071782F">
        <w:rPr>
          <w:lang w:val="fr-CH"/>
        </w:rPr>
        <w:t xml:space="preserve">production. </w:t>
      </w:r>
      <w:r w:rsidR="00052667" w:rsidRPr="0071782F">
        <w:rPr>
          <w:lang w:val="fr-CH"/>
        </w:rPr>
        <w:t xml:space="preserve">Les résultats de ces indicateurs pour les deux premières années du plan sont présentés ci-après. </w:t>
      </w:r>
    </w:p>
    <w:p w:rsidR="00972AC7" w:rsidRPr="0071782F" w:rsidRDefault="00972AC7" w:rsidP="00B55247">
      <w:pPr>
        <w:pStyle w:val="H1G"/>
        <w:rPr>
          <w:lang w:val="fr-CH"/>
        </w:rPr>
      </w:pPr>
      <w:r w:rsidRPr="0071782F">
        <w:rPr>
          <w:lang w:val="fr-CH"/>
        </w:rPr>
        <w:tab/>
      </w:r>
      <w:r w:rsidRPr="0071782F">
        <w:rPr>
          <w:lang w:val="fr-CH"/>
        </w:rPr>
        <w:tab/>
        <w:t>Productivit</w:t>
      </w:r>
      <w:r w:rsidR="00052667" w:rsidRPr="0071782F">
        <w:rPr>
          <w:lang w:val="fr-CH"/>
        </w:rPr>
        <w:t>é de la main-d’</w:t>
      </w:r>
      <w:r w:rsidR="00D5366B" w:rsidRPr="0071782F">
        <w:rPr>
          <w:lang w:val="fr-CH"/>
        </w:rPr>
        <w:t>œuvre</w:t>
      </w:r>
      <w:r w:rsidR="00052667" w:rsidRPr="0071782F">
        <w:rPr>
          <w:lang w:val="fr-CH"/>
        </w:rPr>
        <w:t xml:space="preserve"> </w:t>
      </w:r>
    </w:p>
    <w:p w:rsidR="00972AC7" w:rsidRPr="0071782F" w:rsidRDefault="00972AC7" w:rsidP="00972AC7">
      <w:pPr>
        <w:pStyle w:val="SingleTxtG"/>
        <w:rPr>
          <w:lang w:val="fr-CH"/>
        </w:rPr>
      </w:pPr>
      <w:r w:rsidRPr="0071782F">
        <w:rPr>
          <w:lang w:val="fr-CH"/>
        </w:rPr>
        <w:t>22.</w:t>
      </w:r>
      <w:r w:rsidRPr="0071782F">
        <w:rPr>
          <w:lang w:val="fr-CH"/>
        </w:rPr>
        <w:tab/>
      </w:r>
      <w:r w:rsidR="00AC0EFD" w:rsidRPr="0071782F">
        <w:rPr>
          <w:lang w:val="fr-CH"/>
        </w:rPr>
        <w:t>La productivité de la main-d’</w:t>
      </w:r>
      <w:r w:rsidR="00D5366B" w:rsidRPr="0071782F">
        <w:rPr>
          <w:lang w:val="fr-CH"/>
        </w:rPr>
        <w:t>œuvre</w:t>
      </w:r>
      <w:r w:rsidR="00AC0EFD" w:rsidRPr="0071782F">
        <w:rPr>
          <w:lang w:val="fr-CH"/>
        </w:rPr>
        <w:t xml:space="preserve"> a enregistré un taux de croissance de</w:t>
      </w:r>
      <w:r w:rsidRPr="0071782F">
        <w:rPr>
          <w:lang w:val="fr-CH"/>
        </w:rPr>
        <w:t xml:space="preserve"> 2</w:t>
      </w:r>
      <w:r w:rsidR="00AC0EFD" w:rsidRPr="0071782F">
        <w:rPr>
          <w:lang w:val="fr-CH"/>
        </w:rPr>
        <w:t>,</w:t>
      </w:r>
      <w:r w:rsidRPr="0071782F">
        <w:rPr>
          <w:lang w:val="fr-CH"/>
        </w:rPr>
        <w:t>1</w:t>
      </w:r>
      <w:r w:rsidR="007E5125" w:rsidRPr="0071782F">
        <w:rPr>
          <w:lang w:val="fr-CH"/>
        </w:rPr>
        <w:t>%</w:t>
      </w:r>
      <w:r w:rsidRPr="0071782F">
        <w:rPr>
          <w:lang w:val="fr-CH"/>
        </w:rPr>
        <w:t xml:space="preserve"> </w:t>
      </w:r>
      <w:r w:rsidR="00AC0EFD" w:rsidRPr="0071782F">
        <w:rPr>
          <w:lang w:val="fr-CH"/>
        </w:rPr>
        <w:t>e</w:t>
      </w:r>
      <w:r w:rsidR="00717774" w:rsidRPr="0071782F">
        <w:rPr>
          <w:lang w:val="fr-CH"/>
        </w:rPr>
        <w:t>n </w:t>
      </w:r>
      <w:r w:rsidRPr="0071782F">
        <w:rPr>
          <w:lang w:val="fr-CH"/>
        </w:rPr>
        <w:t xml:space="preserve">2006, </w:t>
      </w:r>
      <w:r w:rsidR="00AC0EFD" w:rsidRPr="0071782F">
        <w:rPr>
          <w:lang w:val="fr-CH"/>
        </w:rPr>
        <w:t xml:space="preserve">identique à celui de </w:t>
      </w:r>
      <w:r w:rsidRPr="0071782F">
        <w:rPr>
          <w:lang w:val="fr-CH"/>
        </w:rPr>
        <w:t xml:space="preserve">2005. </w:t>
      </w:r>
      <w:r w:rsidR="00AC0EFD" w:rsidRPr="0071782F">
        <w:rPr>
          <w:lang w:val="fr-CH"/>
        </w:rPr>
        <w:t>En 2006, la croissance de ce taux a été due pour l’essentiel à celle du niveau de capital par habitant et, dans une moindre mesure, à l’amélioration de l’efficacité de la main-d’</w:t>
      </w:r>
      <w:r w:rsidR="00D5366B" w:rsidRPr="0071782F">
        <w:rPr>
          <w:lang w:val="fr-CH"/>
        </w:rPr>
        <w:t>œuvre</w:t>
      </w:r>
      <w:r w:rsidRPr="0071782F">
        <w:rPr>
          <w:lang w:val="fr-CH"/>
        </w:rPr>
        <w:t>. I</w:t>
      </w:r>
      <w:r w:rsidR="00AC0EFD" w:rsidRPr="0071782F">
        <w:rPr>
          <w:lang w:val="fr-CH"/>
        </w:rPr>
        <w:t xml:space="preserve">l importe de </w:t>
      </w:r>
      <w:r w:rsidRPr="0071782F">
        <w:rPr>
          <w:lang w:val="fr-CH"/>
        </w:rPr>
        <w:t>note</w:t>
      </w:r>
      <w:r w:rsidR="00AC0EFD" w:rsidRPr="0071782F">
        <w:rPr>
          <w:lang w:val="fr-CH"/>
        </w:rPr>
        <w:t>r</w:t>
      </w:r>
      <w:r w:rsidRPr="0071782F">
        <w:rPr>
          <w:lang w:val="fr-CH"/>
        </w:rPr>
        <w:t xml:space="preserve"> </w:t>
      </w:r>
      <w:r w:rsidR="00AC0EFD" w:rsidRPr="0071782F">
        <w:rPr>
          <w:lang w:val="fr-CH"/>
        </w:rPr>
        <w:t xml:space="preserve">que l’objectif de cette </w:t>
      </w:r>
      <w:r w:rsidRPr="0071782F">
        <w:rPr>
          <w:lang w:val="fr-CH"/>
        </w:rPr>
        <w:t xml:space="preserve">variable </w:t>
      </w:r>
      <w:r w:rsidR="00AC0EFD" w:rsidRPr="0071782F">
        <w:rPr>
          <w:lang w:val="fr-CH"/>
        </w:rPr>
        <w:t xml:space="preserve">a été atteint à hauteur de </w:t>
      </w:r>
      <w:r w:rsidRPr="0071782F">
        <w:rPr>
          <w:lang w:val="fr-CH"/>
        </w:rPr>
        <w:t>69</w:t>
      </w:r>
      <w:r w:rsidR="00AC0EFD" w:rsidRPr="0071782F">
        <w:rPr>
          <w:lang w:val="fr-CH"/>
        </w:rPr>
        <w:t>,</w:t>
      </w:r>
      <w:r w:rsidRPr="0071782F">
        <w:rPr>
          <w:lang w:val="fr-CH"/>
        </w:rPr>
        <w:t>8</w:t>
      </w:r>
      <w:r w:rsidR="007E5125" w:rsidRPr="0071782F">
        <w:rPr>
          <w:lang w:val="fr-CH"/>
        </w:rPr>
        <w:t>%</w:t>
      </w:r>
      <w:r w:rsidRPr="0071782F">
        <w:rPr>
          <w:lang w:val="fr-CH"/>
        </w:rPr>
        <w:t xml:space="preserve"> </w:t>
      </w:r>
      <w:r w:rsidR="00AC0EFD" w:rsidRPr="0071782F">
        <w:rPr>
          <w:lang w:val="fr-CH"/>
        </w:rPr>
        <w:t xml:space="preserve">au cours de la deuxième année du </w:t>
      </w:r>
      <w:r w:rsidR="00A90208" w:rsidRPr="0071782F">
        <w:rPr>
          <w:lang w:val="fr-CH"/>
        </w:rPr>
        <w:t>quatrième</w:t>
      </w:r>
      <w:r w:rsidR="00AC0EFD" w:rsidRPr="0071782F">
        <w:rPr>
          <w:lang w:val="fr-CH"/>
        </w:rPr>
        <w:t xml:space="preserve"> plan de développement</w:t>
      </w:r>
      <w:r w:rsidRPr="0071782F">
        <w:rPr>
          <w:lang w:val="fr-CH"/>
        </w:rPr>
        <w:t xml:space="preserve">. </w:t>
      </w:r>
    </w:p>
    <w:p w:rsidR="00972AC7" w:rsidRPr="0071782F" w:rsidRDefault="00972AC7" w:rsidP="00B55247">
      <w:pPr>
        <w:pStyle w:val="H1G"/>
        <w:rPr>
          <w:lang w:val="fr-CH"/>
        </w:rPr>
      </w:pPr>
      <w:r w:rsidRPr="0071782F">
        <w:rPr>
          <w:lang w:val="fr-CH"/>
        </w:rPr>
        <w:tab/>
      </w:r>
      <w:r w:rsidRPr="0071782F">
        <w:rPr>
          <w:lang w:val="fr-CH"/>
        </w:rPr>
        <w:tab/>
        <w:t>Productivit</w:t>
      </w:r>
      <w:r w:rsidR="00AC0EFD" w:rsidRPr="0071782F">
        <w:rPr>
          <w:lang w:val="fr-CH"/>
        </w:rPr>
        <w:t xml:space="preserve">é du </w:t>
      </w:r>
      <w:r w:rsidRPr="0071782F">
        <w:rPr>
          <w:lang w:val="fr-CH"/>
        </w:rPr>
        <w:t xml:space="preserve">capital </w:t>
      </w:r>
    </w:p>
    <w:p w:rsidR="00972AC7" w:rsidRPr="0071782F" w:rsidRDefault="00972AC7" w:rsidP="00972AC7">
      <w:pPr>
        <w:pStyle w:val="SingleTxtG"/>
        <w:rPr>
          <w:lang w:val="fr-CH"/>
        </w:rPr>
      </w:pPr>
      <w:r w:rsidRPr="0071782F">
        <w:rPr>
          <w:lang w:val="fr-CH"/>
        </w:rPr>
        <w:t>23.</w:t>
      </w:r>
      <w:r w:rsidRPr="0071782F">
        <w:rPr>
          <w:lang w:val="fr-CH"/>
        </w:rPr>
        <w:tab/>
      </w:r>
      <w:r w:rsidR="00AC0EFD" w:rsidRPr="0071782F">
        <w:rPr>
          <w:lang w:val="fr-CH"/>
        </w:rPr>
        <w:t xml:space="preserve">La productivité du capital a enregistré un taux de croissance de </w:t>
      </w:r>
      <w:r w:rsidRPr="0071782F">
        <w:rPr>
          <w:lang w:val="fr-CH"/>
        </w:rPr>
        <w:t>41</w:t>
      </w:r>
      <w:r w:rsidR="007E5125" w:rsidRPr="0071782F">
        <w:rPr>
          <w:lang w:val="fr-CH"/>
        </w:rPr>
        <w:t>%</w:t>
      </w:r>
      <w:r w:rsidRPr="0071782F">
        <w:rPr>
          <w:lang w:val="fr-CH"/>
        </w:rPr>
        <w:t xml:space="preserve"> </w:t>
      </w:r>
      <w:r w:rsidR="00AC0EFD" w:rsidRPr="0071782F">
        <w:rPr>
          <w:lang w:val="fr-CH"/>
        </w:rPr>
        <w:t>e</w:t>
      </w:r>
      <w:r w:rsidRPr="0071782F">
        <w:rPr>
          <w:lang w:val="fr-CH"/>
        </w:rPr>
        <w:t xml:space="preserve">n 2006, </w:t>
      </w:r>
      <w:r w:rsidR="00AC0EFD" w:rsidRPr="0071782F">
        <w:rPr>
          <w:lang w:val="fr-CH"/>
        </w:rPr>
        <w:t>en augmentation par rapport à l’année antérieure</w:t>
      </w:r>
      <w:r w:rsidRPr="0071782F">
        <w:rPr>
          <w:lang w:val="fr-CH"/>
        </w:rPr>
        <w:t xml:space="preserve">. </w:t>
      </w:r>
      <w:r w:rsidR="00AC0EFD" w:rsidRPr="0071782F">
        <w:rPr>
          <w:lang w:val="fr-CH"/>
        </w:rPr>
        <w:t xml:space="preserve">Cette année-là, la croissance du niveau de capital par habitant a baissé par rapport à 2005, ce qui a entraîné une croissance positive de la productivité du capital au cours de la même année. Il s’ensuit qu’environ </w:t>
      </w:r>
      <w:r w:rsidRPr="0071782F">
        <w:rPr>
          <w:lang w:val="fr-CH"/>
        </w:rPr>
        <w:t>41</w:t>
      </w:r>
      <w:r w:rsidR="007E5125" w:rsidRPr="0071782F">
        <w:rPr>
          <w:lang w:val="fr-CH"/>
        </w:rPr>
        <w:t>%</w:t>
      </w:r>
      <w:r w:rsidRPr="0071782F">
        <w:rPr>
          <w:lang w:val="fr-CH"/>
        </w:rPr>
        <w:t xml:space="preserve"> </w:t>
      </w:r>
      <w:r w:rsidR="00AC0EFD" w:rsidRPr="0071782F">
        <w:rPr>
          <w:lang w:val="fr-CH"/>
        </w:rPr>
        <w:t>de l’objectif prévu pour cet indicateur ont été réalisés au c</w:t>
      </w:r>
      <w:r w:rsidR="00717774" w:rsidRPr="0071782F">
        <w:rPr>
          <w:lang w:val="fr-CH"/>
        </w:rPr>
        <w:t xml:space="preserve">ours de la deuxième année du </w:t>
      </w:r>
      <w:r w:rsidR="00A90208" w:rsidRPr="0071782F">
        <w:rPr>
          <w:lang w:val="fr-CH"/>
        </w:rPr>
        <w:t>quatrième</w:t>
      </w:r>
      <w:r w:rsidR="00717774" w:rsidRPr="0071782F">
        <w:rPr>
          <w:lang w:val="fr-CH"/>
        </w:rPr>
        <w:t> </w:t>
      </w:r>
      <w:r w:rsidR="00AC0EFD" w:rsidRPr="0071782F">
        <w:rPr>
          <w:lang w:val="fr-CH"/>
        </w:rPr>
        <w:t>plan de développement</w:t>
      </w:r>
      <w:r w:rsidRPr="0071782F">
        <w:rPr>
          <w:lang w:val="fr-CH"/>
        </w:rPr>
        <w:t xml:space="preserve">. </w:t>
      </w:r>
    </w:p>
    <w:p w:rsidR="00972AC7" w:rsidRPr="0071782F" w:rsidRDefault="00972AC7" w:rsidP="00B55247">
      <w:pPr>
        <w:pStyle w:val="H1G"/>
        <w:rPr>
          <w:lang w:val="fr-CH"/>
        </w:rPr>
      </w:pPr>
      <w:r w:rsidRPr="0071782F">
        <w:rPr>
          <w:lang w:val="fr-CH"/>
        </w:rPr>
        <w:tab/>
      </w:r>
      <w:r w:rsidRPr="0071782F">
        <w:rPr>
          <w:lang w:val="fr-CH"/>
        </w:rPr>
        <w:tab/>
      </w:r>
      <w:r w:rsidR="00AC0EFD" w:rsidRPr="0071782F">
        <w:rPr>
          <w:lang w:val="fr-CH"/>
        </w:rPr>
        <w:t xml:space="preserve">Productivité générale des facteurs de </w:t>
      </w:r>
      <w:r w:rsidRPr="0071782F">
        <w:rPr>
          <w:lang w:val="fr-CH"/>
        </w:rPr>
        <w:t xml:space="preserve">production </w:t>
      </w:r>
    </w:p>
    <w:p w:rsidR="00972AC7" w:rsidRPr="0071782F" w:rsidRDefault="00972AC7" w:rsidP="00972AC7">
      <w:pPr>
        <w:pStyle w:val="SingleTxtG"/>
        <w:rPr>
          <w:lang w:val="fr-CH"/>
        </w:rPr>
      </w:pPr>
      <w:r w:rsidRPr="0071782F">
        <w:rPr>
          <w:lang w:val="fr-CH"/>
        </w:rPr>
        <w:t>24.</w:t>
      </w:r>
      <w:r w:rsidRPr="0071782F">
        <w:rPr>
          <w:lang w:val="fr-CH"/>
        </w:rPr>
        <w:tab/>
      </w:r>
      <w:r w:rsidR="00E622FE" w:rsidRPr="0071782F">
        <w:rPr>
          <w:lang w:val="fr-CH"/>
        </w:rPr>
        <w:t xml:space="preserve">La productivité générale des facteurs de </w:t>
      </w:r>
      <w:r w:rsidRPr="0071782F">
        <w:rPr>
          <w:lang w:val="fr-CH"/>
        </w:rPr>
        <w:t xml:space="preserve">production </w:t>
      </w:r>
      <w:r w:rsidR="00E622FE" w:rsidRPr="0071782F">
        <w:rPr>
          <w:lang w:val="fr-CH"/>
        </w:rPr>
        <w:t xml:space="preserve">en tant que résultante de la productivité du travail et du </w:t>
      </w:r>
      <w:r w:rsidRPr="0071782F">
        <w:rPr>
          <w:lang w:val="fr-CH"/>
        </w:rPr>
        <w:t xml:space="preserve">capital </w:t>
      </w:r>
      <w:r w:rsidR="00E622FE" w:rsidRPr="0071782F">
        <w:rPr>
          <w:lang w:val="fr-CH"/>
        </w:rPr>
        <w:t xml:space="preserve">a connu en 2006 un taux de croissance d’environ </w:t>
      </w:r>
      <w:r w:rsidRPr="0071782F">
        <w:rPr>
          <w:lang w:val="fr-CH"/>
        </w:rPr>
        <w:t>1</w:t>
      </w:r>
      <w:r w:rsidR="007E5125" w:rsidRPr="0071782F">
        <w:rPr>
          <w:lang w:val="fr-CH"/>
        </w:rPr>
        <w:t>%</w:t>
      </w:r>
      <w:r w:rsidRPr="0071782F">
        <w:rPr>
          <w:lang w:val="fr-CH"/>
        </w:rPr>
        <w:t xml:space="preserve"> </w:t>
      </w:r>
      <w:r w:rsidR="00E622FE" w:rsidRPr="0071782F">
        <w:rPr>
          <w:lang w:val="fr-CH"/>
        </w:rPr>
        <w:t>par rapport à l’année antérieure</w:t>
      </w:r>
      <w:r w:rsidRPr="0071782F">
        <w:rPr>
          <w:lang w:val="fr-CH"/>
        </w:rPr>
        <w:t xml:space="preserve">. </w:t>
      </w:r>
      <w:r w:rsidR="00E622FE" w:rsidRPr="0071782F">
        <w:rPr>
          <w:lang w:val="fr-CH"/>
        </w:rPr>
        <w:t xml:space="preserve">La part de la productivité générale dans la croissance des facteurs de production s’est donc élevée cette-année-là à </w:t>
      </w:r>
      <w:r w:rsidRPr="0071782F">
        <w:rPr>
          <w:lang w:val="fr-CH"/>
        </w:rPr>
        <w:t>16</w:t>
      </w:r>
      <w:r w:rsidR="00E622FE" w:rsidRPr="0071782F">
        <w:rPr>
          <w:lang w:val="fr-CH"/>
        </w:rPr>
        <w:t>,</w:t>
      </w:r>
      <w:r w:rsidRPr="0071782F">
        <w:rPr>
          <w:lang w:val="fr-CH"/>
        </w:rPr>
        <w:t>7</w:t>
      </w:r>
      <w:r w:rsidR="007E5125" w:rsidRPr="0071782F">
        <w:rPr>
          <w:lang w:val="fr-CH"/>
        </w:rPr>
        <w:t>%</w:t>
      </w:r>
      <w:r w:rsidR="00E622FE" w:rsidRPr="0071782F">
        <w:rPr>
          <w:lang w:val="fr-CH"/>
        </w:rPr>
        <w:t xml:space="preserve">, ce qui montre que l’objectif prévu de </w:t>
      </w:r>
      <w:r w:rsidRPr="0071782F">
        <w:rPr>
          <w:lang w:val="fr-CH"/>
        </w:rPr>
        <w:t>55</w:t>
      </w:r>
      <w:r w:rsidR="00E622FE" w:rsidRPr="0071782F">
        <w:rPr>
          <w:lang w:val="fr-CH"/>
        </w:rPr>
        <w:t>,</w:t>
      </w:r>
      <w:r w:rsidRPr="0071782F">
        <w:rPr>
          <w:lang w:val="fr-CH"/>
        </w:rPr>
        <w:t>7</w:t>
      </w:r>
      <w:r w:rsidR="007E5125" w:rsidRPr="0071782F">
        <w:rPr>
          <w:lang w:val="fr-CH"/>
        </w:rPr>
        <w:t>%</w:t>
      </w:r>
      <w:r w:rsidRPr="0071782F">
        <w:rPr>
          <w:lang w:val="fr-CH"/>
        </w:rPr>
        <w:t xml:space="preserve"> </w:t>
      </w:r>
      <w:r w:rsidR="00E622FE" w:rsidRPr="0071782F">
        <w:rPr>
          <w:lang w:val="fr-CH"/>
        </w:rPr>
        <w:t xml:space="preserve">pour le </w:t>
      </w:r>
      <w:r w:rsidRPr="0071782F">
        <w:rPr>
          <w:lang w:val="fr-CH"/>
        </w:rPr>
        <w:t xml:space="preserve">plan </w:t>
      </w:r>
      <w:r w:rsidR="00E622FE" w:rsidRPr="0071782F">
        <w:rPr>
          <w:lang w:val="fr-CH"/>
        </w:rPr>
        <w:t>a été atteint au cours de la même année</w:t>
      </w:r>
      <w:r w:rsidRPr="0071782F">
        <w:rPr>
          <w:lang w:val="fr-CH"/>
        </w:rPr>
        <w:t xml:space="preserve">. </w:t>
      </w:r>
    </w:p>
    <w:p w:rsidR="00972AC7" w:rsidRPr="0071782F" w:rsidRDefault="00972AC7" w:rsidP="00B55247">
      <w:pPr>
        <w:pStyle w:val="H1G"/>
        <w:rPr>
          <w:lang w:val="fr-CH"/>
        </w:rPr>
      </w:pPr>
      <w:r w:rsidRPr="0071782F">
        <w:rPr>
          <w:lang w:val="fr-CH"/>
        </w:rPr>
        <w:tab/>
      </w:r>
      <w:r w:rsidRPr="0071782F">
        <w:rPr>
          <w:lang w:val="fr-CH"/>
        </w:rPr>
        <w:tab/>
        <w:t>D</w:t>
      </w:r>
      <w:r w:rsidR="00E622FE" w:rsidRPr="0071782F">
        <w:rPr>
          <w:lang w:val="fr-CH"/>
        </w:rPr>
        <w:t xml:space="preserve">éveloppement </w:t>
      </w:r>
      <w:r w:rsidR="008A6B93" w:rsidRPr="0071782F">
        <w:rPr>
          <w:lang w:val="fr-CH"/>
        </w:rPr>
        <w:t>de la participation</w:t>
      </w:r>
      <w:r w:rsidR="00E622FE" w:rsidRPr="0071782F">
        <w:rPr>
          <w:lang w:val="fr-CH"/>
        </w:rPr>
        <w:t xml:space="preserve"> des femmes </w:t>
      </w:r>
    </w:p>
    <w:p w:rsidR="00972AC7" w:rsidRPr="0071782F" w:rsidRDefault="00972AC7" w:rsidP="00972AC7">
      <w:pPr>
        <w:pStyle w:val="SingleTxtG"/>
        <w:rPr>
          <w:lang w:val="fr-CH"/>
        </w:rPr>
      </w:pPr>
      <w:r w:rsidRPr="0071782F">
        <w:rPr>
          <w:lang w:val="fr-CH"/>
        </w:rPr>
        <w:t>25.</w:t>
      </w:r>
      <w:r w:rsidRPr="0071782F">
        <w:rPr>
          <w:lang w:val="fr-CH"/>
        </w:rPr>
        <w:tab/>
      </w:r>
      <w:r w:rsidR="00A2055B" w:rsidRPr="0071782F">
        <w:rPr>
          <w:lang w:val="fr-CH"/>
        </w:rPr>
        <w:t>Conformément aux politiques générales dont le Plan stratégique sur 20</w:t>
      </w:r>
      <w:r w:rsidR="00D82C96" w:rsidRPr="0071782F">
        <w:rPr>
          <w:lang w:val="fr-CH"/>
        </w:rPr>
        <w:t> ans</w:t>
      </w:r>
      <w:r w:rsidR="00A2055B" w:rsidRPr="0071782F">
        <w:rPr>
          <w:lang w:val="fr-CH"/>
        </w:rPr>
        <w:t xml:space="preserve"> s’est fait l’écho, les plans de développement économique, social, culturel et politique du pays ont accordé une attention particulière aux </w:t>
      </w:r>
      <w:r w:rsidR="001C299D" w:rsidRPr="0071782F">
        <w:rPr>
          <w:lang w:val="fr-CH"/>
        </w:rPr>
        <w:t>question</w:t>
      </w:r>
      <w:r w:rsidR="00A2055B" w:rsidRPr="0071782F">
        <w:rPr>
          <w:lang w:val="fr-CH"/>
        </w:rPr>
        <w:t xml:space="preserve">s féminines. </w:t>
      </w:r>
      <w:r w:rsidR="00723F2B" w:rsidRPr="0071782F">
        <w:rPr>
          <w:lang w:val="fr-CH"/>
        </w:rPr>
        <w:t>L’</w:t>
      </w:r>
      <w:r w:rsidR="00943A69" w:rsidRPr="0071782F">
        <w:rPr>
          <w:lang w:val="fr-CH"/>
        </w:rPr>
        <w:t>article </w:t>
      </w:r>
      <w:r w:rsidRPr="0071782F">
        <w:rPr>
          <w:lang w:val="fr-CH"/>
        </w:rPr>
        <w:t xml:space="preserve">158 </w:t>
      </w:r>
      <w:r w:rsidR="00A2055B" w:rsidRPr="0071782F">
        <w:rPr>
          <w:lang w:val="fr-CH"/>
        </w:rPr>
        <w:t xml:space="preserve">de la loi relative au </w:t>
      </w:r>
      <w:r w:rsidR="009E6189">
        <w:rPr>
          <w:lang w:val="fr-CH"/>
        </w:rPr>
        <w:t>troisième plan</w:t>
      </w:r>
      <w:r w:rsidR="00A2055B" w:rsidRPr="0071782F">
        <w:rPr>
          <w:lang w:val="fr-CH"/>
        </w:rPr>
        <w:t xml:space="preserve"> de développement a marqué le début de l’intégration de la problématique hommes-femmes dans les plans généraux du pays.</w:t>
      </w:r>
      <w:r w:rsidRPr="0071782F">
        <w:rPr>
          <w:lang w:val="fr-CH"/>
        </w:rPr>
        <w:t xml:space="preserve"> </w:t>
      </w:r>
      <w:r w:rsidR="008A6B93" w:rsidRPr="0071782F">
        <w:rPr>
          <w:lang w:val="fr-CH"/>
        </w:rPr>
        <w:t xml:space="preserve">Cette préoccupation a été affirmée avec encore plus de détermination dans la loi relative au </w:t>
      </w:r>
      <w:r w:rsidR="00A90208" w:rsidRPr="0071782F">
        <w:rPr>
          <w:lang w:val="fr-CH"/>
        </w:rPr>
        <w:t>quatrième</w:t>
      </w:r>
      <w:r w:rsidR="008A6B93" w:rsidRPr="0071782F">
        <w:rPr>
          <w:lang w:val="fr-CH"/>
        </w:rPr>
        <w:t xml:space="preserve"> plan de développement, dont </w:t>
      </w:r>
      <w:r w:rsidR="00723F2B" w:rsidRPr="0071782F">
        <w:rPr>
          <w:lang w:val="fr-CH"/>
        </w:rPr>
        <w:t>l’</w:t>
      </w:r>
      <w:r w:rsidR="00943A69" w:rsidRPr="0071782F">
        <w:rPr>
          <w:lang w:val="fr-CH"/>
        </w:rPr>
        <w:t>article </w:t>
      </w:r>
      <w:r w:rsidRPr="0071782F">
        <w:rPr>
          <w:lang w:val="fr-CH"/>
        </w:rPr>
        <w:t>111</w:t>
      </w:r>
      <w:r w:rsidR="008A6B93" w:rsidRPr="0071782F">
        <w:rPr>
          <w:lang w:val="fr-CH"/>
        </w:rPr>
        <w:t xml:space="preserve"> a énoncé les obligations du gouvernement en ce qui concerne cette problématique en prévoyant notamment l’élaboration, l’approbation et l’exécution d’un programme intégré de développement de la participation des femmes, et, dans cet ordre d’idées, la révision des règles et réglementations en vigueur, en particulier dans le domaine du droit civil, en vue d’améliorer les conditions de vie des femmes, de développer leurs compétences d’une manière adaptée aux besoins de la société et au progrès technologique, et de mieux sensibiliser le public aux qualifications des femmes</w:t>
      </w:r>
      <w:r w:rsidRPr="0071782F">
        <w:rPr>
          <w:lang w:val="fr-CH"/>
        </w:rPr>
        <w:t xml:space="preserve">. </w:t>
      </w:r>
    </w:p>
    <w:p w:rsidR="00972AC7" w:rsidRPr="0071782F" w:rsidRDefault="00972AC7" w:rsidP="00B55247">
      <w:pPr>
        <w:pStyle w:val="SingleTxtG"/>
        <w:ind w:left="1701"/>
        <w:rPr>
          <w:lang w:val="fr-CH"/>
        </w:rPr>
      </w:pPr>
      <w:r w:rsidRPr="0071782F">
        <w:rPr>
          <w:lang w:val="fr-CH"/>
        </w:rPr>
        <w:t>25.1</w:t>
      </w:r>
      <w:r w:rsidR="00EF6CFA" w:rsidRPr="0071782F">
        <w:rPr>
          <w:lang w:val="fr-CH"/>
        </w:rPr>
        <w:t>.</w:t>
      </w:r>
      <w:r w:rsidRPr="0071782F">
        <w:rPr>
          <w:lang w:val="fr-CH"/>
        </w:rPr>
        <w:tab/>
      </w:r>
      <w:r w:rsidR="008A6B93" w:rsidRPr="0071782F">
        <w:rPr>
          <w:lang w:val="fr-CH"/>
        </w:rPr>
        <w:t xml:space="preserve">Le programme intégré de développement de la </w:t>
      </w:r>
      <w:r w:rsidRPr="0071782F">
        <w:rPr>
          <w:lang w:val="fr-CH"/>
        </w:rPr>
        <w:t xml:space="preserve">participation </w:t>
      </w:r>
      <w:r w:rsidR="008A6B93" w:rsidRPr="0071782F">
        <w:rPr>
          <w:lang w:val="fr-CH"/>
        </w:rPr>
        <w:t xml:space="preserve">des femmes a été établi et approuvé par les soins du Centre pour </w:t>
      </w:r>
      <w:r w:rsidR="00B71907" w:rsidRPr="0071782F">
        <w:rPr>
          <w:lang w:val="fr-CH"/>
        </w:rPr>
        <w:t>la famille</w:t>
      </w:r>
      <w:r w:rsidR="008A6B93" w:rsidRPr="0071782F">
        <w:rPr>
          <w:lang w:val="fr-CH"/>
        </w:rPr>
        <w:t xml:space="preserve"> et les </w:t>
      </w:r>
      <w:r w:rsidR="001C299D" w:rsidRPr="0071782F">
        <w:rPr>
          <w:lang w:val="fr-CH"/>
        </w:rPr>
        <w:t>questions</w:t>
      </w:r>
      <w:r w:rsidR="008A6B93" w:rsidRPr="0071782F">
        <w:rPr>
          <w:lang w:val="fr-CH"/>
        </w:rPr>
        <w:t xml:space="preserve"> familiales de la Présidence, qui s’est consacré sans désemparer à cette tâche. Les questions intéressant les femmes relevant de secteurs différents, le gouvernement a chargé le Centre susvisé de formuler et d’appliquer les mesures d’exécution y relatives au titre de 14 sous-programmes</w:t>
      </w:r>
      <w:r w:rsidRPr="0071782F">
        <w:rPr>
          <w:lang w:val="fr-CH"/>
        </w:rPr>
        <w:t xml:space="preserve">. </w:t>
      </w:r>
    </w:p>
    <w:p w:rsidR="00972AC7" w:rsidRPr="0071782F" w:rsidRDefault="00972AC7" w:rsidP="00B55247">
      <w:pPr>
        <w:pStyle w:val="SingleTxtG"/>
        <w:ind w:left="1701"/>
        <w:rPr>
          <w:lang w:val="fr-CH"/>
        </w:rPr>
      </w:pPr>
      <w:r w:rsidRPr="0071782F">
        <w:rPr>
          <w:lang w:val="fr-CH"/>
        </w:rPr>
        <w:t>25.2</w:t>
      </w:r>
      <w:r w:rsidR="00EF6CFA" w:rsidRPr="0071782F">
        <w:rPr>
          <w:lang w:val="fr-CH"/>
        </w:rPr>
        <w:t>.</w:t>
      </w:r>
      <w:r w:rsidRPr="0071782F">
        <w:rPr>
          <w:lang w:val="fr-CH"/>
        </w:rPr>
        <w:tab/>
      </w:r>
      <w:r w:rsidR="008A6B93" w:rsidRPr="0071782F">
        <w:rPr>
          <w:lang w:val="fr-CH"/>
        </w:rPr>
        <w:t xml:space="preserve">S’agissant de formuler les </w:t>
      </w:r>
      <w:r w:rsidRPr="0071782F">
        <w:rPr>
          <w:lang w:val="fr-CH"/>
        </w:rPr>
        <w:t xml:space="preserve">14 </w:t>
      </w:r>
      <w:r w:rsidR="008A6B93" w:rsidRPr="0071782F">
        <w:rPr>
          <w:lang w:val="fr-CH"/>
        </w:rPr>
        <w:t xml:space="preserve">sous-programmes, certaines mesures ont été prises en </w:t>
      </w:r>
      <w:r w:rsidRPr="0071782F">
        <w:rPr>
          <w:lang w:val="fr-CH"/>
        </w:rPr>
        <w:t xml:space="preserve">coordination </w:t>
      </w:r>
      <w:r w:rsidR="008A6B93" w:rsidRPr="0071782F">
        <w:rPr>
          <w:lang w:val="fr-CH"/>
        </w:rPr>
        <w:t>avec les autorités d’exécution aux fins de l’établissement des documents nécessaires</w:t>
      </w:r>
      <w:r w:rsidRPr="0071782F">
        <w:rPr>
          <w:lang w:val="fr-CH"/>
        </w:rPr>
        <w:t xml:space="preserve">. </w:t>
      </w:r>
      <w:r w:rsidR="008A6B93" w:rsidRPr="0071782F">
        <w:rPr>
          <w:lang w:val="fr-CH"/>
        </w:rPr>
        <w:t xml:space="preserve">En outre, le Centre pour </w:t>
      </w:r>
      <w:r w:rsidR="00B71907" w:rsidRPr="0071782F">
        <w:rPr>
          <w:lang w:val="fr-CH"/>
        </w:rPr>
        <w:t>la famille</w:t>
      </w:r>
      <w:r w:rsidR="008A6B93" w:rsidRPr="0071782F">
        <w:rPr>
          <w:lang w:val="fr-CH"/>
        </w:rPr>
        <w:t xml:space="preserve"> et les </w:t>
      </w:r>
      <w:r w:rsidR="001C299D" w:rsidRPr="0071782F">
        <w:rPr>
          <w:lang w:val="fr-CH"/>
        </w:rPr>
        <w:t>question</w:t>
      </w:r>
      <w:r w:rsidR="008A6B93" w:rsidRPr="0071782F">
        <w:rPr>
          <w:lang w:val="fr-CH"/>
        </w:rPr>
        <w:t>s familiales a pris les arrangements voulus auprès de ces autorités pour s’acquitter des obligations qui lui avaient été confiées. Cela étant, certains problèmes doivent être surmontés à cet égard avant que lesdites mesures ne puissent donner de bons résultats. Ces problèmes sont notamment l’absence d’indicateurs appropriés de contrôle et de collecte des données pertinentes et l’absence de lien véritable entre le plan intégré de développement de la participation des femmes en tant que document transversal d’amont et les documents des secteurs considérés.</w:t>
      </w:r>
      <w:r w:rsidR="00D36718">
        <w:rPr>
          <w:lang w:val="fr-CH"/>
        </w:rPr>
        <w:t xml:space="preserve"> </w:t>
      </w:r>
      <w:r w:rsidR="008A6B93" w:rsidRPr="0071782F">
        <w:rPr>
          <w:lang w:val="fr-CH"/>
        </w:rPr>
        <w:t>Par ailleurs, étant donné que les questions intéressant les femmes ont un caractère transversal, le mécanisme de collecte des informations financières les concernant fait défaut. Au demeurant, les rapports statistiques de la plupart des organes exécutifs du pays ne sont pas ventilés par sexe. Il s’ensuit que, même si les organes compétents ont d’ores et déjà adopté un ensemble considé</w:t>
      </w:r>
      <w:r w:rsidRPr="0071782F">
        <w:rPr>
          <w:lang w:val="fr-CH"/>
        </w:rPr>
        <w:t>rable</w:t>
      </w:r>
      <w:r w:rsidR="008A6B93" w:rsidRPr="0071782F">
        <w:rPr>
          <w:lang w:val="fr-CH"/>
        </w:rPr>
        <w:t xml:space="preserve"> de mesures efficaces dans le domaine des questions intéressant les femmes, la présentation des rapports d’exécution continue de se heurter à certains problèmes d’ordre statistique. </w:t>
      </w:r>
    </w:p>
    <w:p w:rsidR="00972AC7" w:rsidRPr="00E16059" w:rsidRDefault="00972AC7" w:rsidP="00B55247">
      <w:pPr>
        <w:pStyle w:val="SingleTxtG"/>
        <w:ind w:left="1701"/>
        <w:rPr>
          <w:spacing w:val="-2"/>
          <w:lang w:val="fr-CH"/>
        </w:rPr>
      </w:pPr>
      <w:r w:rsidRPr="00E16059">
        <w:rPr>
          <w:spacing w:val="-2"/>
          <w:lang w:val="fr-CH"/>
        </w:rPr>
        <w:t>25.3</w:t>
      </w:r>
      <w:r w:rsidR="00EF6CFA" w:rsidRPr="00E16059">
        <w:rPr>
          <w:spacing w:val="-2"/>
          <w:lang w:val="fr-CH"/>
        </w:rPr>
        <w:t>.</w:t>
      </w:r>
      <w:r w:rsidRPr="00E16059">
        <w:rPr>
          <w:spacing w:val="-2"/>
          <w:lang w:val="fr-CH"/>
        </w:rPr>
        <w:tab/>
      </w:r>
      <w:r w:rsidR="008A6B93" w:rsidRPr="00E16059">
        <w:rPr>
          <w:spacing w:val="-2"/>
          <w:lang w:val="fr-CH"/>
        </w:rPr>
        <w:t>Il semble que des progrès considérables puissent être accomplis à cet égard dans un proche avenir si les décideurs continuent de se concentrer sur les questions intéressant les femmes afin de se réorienter vers la réalisation des objectifs du plan intégré et, partant, de ceux du Plan stratégique sur 20</w:t>
      </w:r>
      <w:r w:rsidR="00D82C96" w:rsidRPr="00E16059">
        <w:rPr>
          <w:spacing w:val="-2"/>
          <w:lang w:val="fr-CH"/>
        </w:rPr>
        <w:t> ans</w:t>
      </w:r>
      <w:r w:rsidR="008A6B93" w:rsidRPr="00E16059">
        <w:rPr>
          <w:spacing w:val="-2"/>
          <w:lang w:val="fr-CH"/>
        </w:rPr>
        <w:t xml:space="preserve"> et s’ils prennent plus particulièrement conscience de l’importance de l’étude et de la recherche sur </w:t>
      </w:r>
      <w:r w:rsidR="00B71907" w:rsidRPr="00E16059">
        <w:rPr>
          <w:spacing w:val="-2"/>
          <w:lang w:val="fr-CH"/>
        </w:rPr>
        <w:t>la famille</w:t>
      </w:r>
      <w:r w:rsidR="008A6B93" w:rsidRPr="00E16059">
        <w:rPr>
          <w:spacing w:val="-2"/>
          <w:lang w:val="fr-CH"/>
        </w:rPr>
        <w:t xml:space="preserve"> et les questions intéressant les femmes et s’attachent à titre prioritaire à réévaluer les résultats généraux des différents secteurs de la société et de l’économie à l’aune des sexospécificités, en particulier au moment d’établir leurs rapports annuels, et s’ils modifient dans cette optique les règles et réglementations pertinentes</w:t>
      </w:r>
      <w:r w:rsidRPr="00E16059">
        <w:rPr>
          <w:spacing w:val="-2"/>
          <w:lang w:val="fr-CH"/>
        </w:rPr>
        <w:t xml:space="preserve">. </w:t>
      </w:r>
    </w:p>
    <w:p w:rsidR="00972AC7" w:rsidRPr="0071782F" w:rsidRDefault="00972AC7" w:rsidP="00B55247">
      <w:pPr>
        <w:pStyle w:val="H1G"/>
        <w:rPr>
          <w:lang w:val="fr-CH"/>
        </w:rPr>
      </w:pPr>
      <w:r w:rsidRPr="0071782F">
        <w:rPr>
          <w:lang w:val="fr-CH"/>
        </w:rPr>
        <w:tab/>
      </w:r>
      <w:r w:rsidRPr="0071782F">
        <w:rPr>
          <w:lang w:val="fr-CH"/>
        </w:rPr>
        <w:tab/>
      </w:r>
      <w:r w:rsidR="008A6B93" w:rsidRPr="0071782F">
        <w:rPr>
          <w:lang w:val="fr-CH"/>
        </w:rPr>
        <w:t xml:space="preserve">Établissement d’un </w:t>
      </w:r>
      <w:r w:rsidR="00097413" w:rsidRPr="0071782F">
        <w:rPr>
          <w:lang w:val="fr-CH"/>
        </w:rPr>
        <w:t>cadre d’organisation</w:t>
      </w:r>
      <w:r w:rsidR="008A6B93" w:rsidRPr="0071782F">
        <w:rPr>
          <w:lang w:val="fr-CH"/>
        </w:rPr>
        <w:t xml:space="preserve"> des questions intéressant l</w:t>
      </w:r>
      <w:r w:rsidR="00097413" w:rsidRPr="0071782F">
        <w:rPr>
          <w:lang w:val="fr-CH"/>
        </w:rPr>
        <w:t xml:space="preserve">a jeunesse </w:t>
      </w:r>
    </w:p>
    <w:p w:rsidR="00972AC7" w:rsidRPr="0071782F" w:rsidRDefault="00972AC7" w:rsidP="00972AC7">
      <w:pPr>
        <w:pStyle w:val="SingleTxtG"/>
        <w:rPr>
          <w:lang w:val="fr-CH"/>
        </w:rPr>
      </w:pPr>
      <w:r w:rsidRPr="0071782F">
        <w:rPr>
          <w:lang w:val="fr-CH"/>
        </w:rPr>
        <w:t>26.</w:t>
      </w:r>
      <w:r w:rsidRPr="0071782F">
        <w:rPr>
          <w:lang w:val="fr-CH"/>
        </w:rPr>
        <w:tab/>
      </w:r>
      <w:r w:rsidR="008A6B93" w:rsidRPr="0071782F">
        <w:rPr>
          <w:lang w:val="fr-CH"/>
        </w:rPr>
        <w:t xml:space="preserve">Au lendemain du </w:t>
      </w:r>
      <w:r w:rsidRPr="0071782F">
        <w:rPr>
          <w:lang w:val="fr-CH"/>
        </w:rPr>
        <w:t>tri</w:t>
      </w:r>
      <w:r w:rsidR="008A6B93" w:rsidRPr="0071782F">
        <w:rPr>
          <w:lang w:val="fr-CH"/>
        </w:rPr>
        <w:t>o</w:t>
      </w:r>
      <w:r w:rsidRPr="0071782F">
        <w:rPr>
          <w:lang w:val="fr-CH"/>
        </w:rPr>
        <w:t>mph</w:t>
      </w:r>
      <w:r w:rsidR="008A6B93" w:rsidRPr="0071782F">
        <w:rPr>
          <w:lang w:val="fr-CH"/>
        </w:rPr>
        <w:t xml:space="preserve">e de la </w:t>
      </w:r>
      <w:r w:rsidRPr="0071782F">
        <w:rPr>
          <w:lang w:val="fr-CH"/>
        </w:rPr>
        <w:t>R</w:t>
      </w:r>
      <w:r w:rsidR="008A6B93" w:rsidRPr="0071782F">
        <w:rPr>
          <w:lang w:val="fr-CH"/>
        </w:rPr>
        <w:t>é</w:t>
      </w:r>
      <w:r w:rsidRPr="0071782F">
        <w:rPr>
          <w:lang w:val="fr-CH"/>
        </w:rPr>
        <w:t>volution</w:t>
      </w:r>
      <w:r w:rsidR="008A6B93" w:rsidRPr="0071782F">
        <w:rPr>
          <w:lang w:val="fr-CH"/>
        </w:rPr>
        <w:t xml:space="preserve"> islamique et, plus particulièr</w:t>
      </w:r>
      <w:r w:rsidR="00140B27" w:rsidRPr="0071782F">
        <w:rPr>
          <w:lang w:val="fr-CH"/>
        </w:rPr>
        <w:t>e</w:t>
      </w:r>
      <w:r w:rsidR="008A6B93" w:rsidRPr="0071782F">
        <w:rPr>
          <w:lang w:val="fr-CH"/>
        </w:rPr>
        <w:t>ment, après la guerre imposée à l’</w:t>
      </w:r>
      <w:r w:rsidRPr="0071782F">
        <w:rPr>
          <w:lang w:val="fr-CH"/>
        </w:rPr>
        <w:t xml:space="preserve">Iran, </w:t>
      </w:r>
      <w:r w:rsidR="008A6B93" w:rsidRPr="0071782F">
        <w:rPr>
          <w:lang w:val="fr-CH"/>
        </w:rPr>
        <w:t>les responsables du pays se sont focalisés sur la question de l</w:t>
      </w:r>
      <w:r w:rsidR="00097413" w:rsidRPr="0071782F">
        <w:rPr>
          <w:lang w:val="fr-CH"/>
        </w:rPr>
        <w:t xml:space="preserve">’organisation </w:t>
      </w:r>
      <w:r w:rsidR="008A6B93" w:rsidRPr="0071782F">
        <w:rPr>
          <w:lang w:val="fr-CH"/>
        </w:rPr>
        <w:t>des questions intéressant les jeunes</w:t>
      </w:r>
      <w:r w:rsidRPr="0071782F">
        <w:rPr>
          <w:lang w:val="fr-CH"/>
        </w:rPr>
        <w:t xml:space="preserve">. </w:t>
      </w:r>
      <w:r w:rsidR="008A6B93" w:rsidRPr="0071782F">
        <w:rPr>
          <w:lang w:val="fr-CH"/>
        </w:rPr>
        <w:t>E</w:t>
      </w:r>
      <w:r w:rsidRPr="0071782F">
        <w:rPr>
          <w:lang w:val="fr-CH"/>
        </w:rPr>
        <w:t xml:space="preserve">n 1992, </w:t>
      </w:r>
      <w:r w:rsidR="008A6B93" w:rsidRPr="0071782F">
        <w:rPr>
          <w:lang w:val="fr-CH"/>
        </w:rPr>
        <w:t xml:space="preserve">le </w:t>
      </w:r>
      <w:r w:rsidR="00E84B01" w:rsidRPr="0071782F">
        <w:rPr>
          <w:lang w:val="fr-CH"/>
        </w:rPr>
        <w:t>Haut Conseil culturel de la Révolution</w:t>
      </w:r>
      <w:r w:rsidR="008A6B93" w:rsidRPr="0071782F">
        <w:rPr>
          <w:lang w:val="fr-CH"/>
        </w:rPr>
        <w:t xml:space="preserve"> a créé le </w:t>
      </w:r>
      <w:r w:rsidR="005E01C1" w:rsidRPr="0071782F">
        <w:rPr>
          <w:lang w:val="fr-CH"/>
        </w:rPr>
        <w:t xml:space="preserve">Haut </w:t>
      </w:r>
      <w:r w:rsidR="008A6B93" w:rsidRPr="0071782F">
        <w:rPr>
          <w:lang w:val="fr-CH"/>
        </w:rPr>
        <w:t xml:space="preserve">Conseil de la jeunesse, qu’il a chargé de </w:t>
      </w:r>
      <w:r w:rsidRPr="0071782F">
        <w:rPr>
          <w:lang w:val="fr-CH"/>
        </w:rPr>
        <w:t>d</w:t>
      </w:r>
      <w:r w:rsidR="005E01C1" w:rsidRPr="0071782F">
        <w:rPr>
          <w:lang w:val="fr-CH"/>
        </w:rPr>
        <w:t>é</w:t>
      </w:r>
      <w:r w:rsidRPr="0071782F">
        <w:rPr>
          <w:lang w:val="fr-CH"/>
        </w:rPr>
        <w:t>fin</w:t>
      </w:r>
      <w:r w:rsidR="005E01C1" w:rsidRPr="0071782F">
        <w:rPr>
          <w:lang w:val="fr-CH"/>
        </w:rPr>
        <w:t xml:space="preserve">ir </w:t>
      </w:r>
      <w:r w:rsidR="001C299D" w:rsidRPr="0071782F">
        <w:rPr>
          <w:lang w:val="fr-CH"/>
        </w:rPr>
        <w:t xml:space="preserve">le </w:t>
      </w:r>
      <w:r w:rsidR="005E01C1" w:rsidRPr="0071782F">
        <w:rPr>
          <w:lang w:val="fr-CH"/>
        </w:rPr>
        <w:t>statut qu’il serait souhaitabl</w:t>
      </w:r>
      <w:r w:rsidRPr="0071782F">
        <w:rPr>
          <w:lang w:val="fr-CH"/>
        </w:rPr>
        <w:t xml:space="preserve">e </w:t>
      </w:r>
      <w:r w:rsidR="005E01C1" w:rsidRPr="0071782F">
        <w:rPr>
          <w:lang w:val="fr-CH"/>
        </w:rPr>
        <w:t>de conférer à la jeunesse et qui soit digne du système de gouvernement de la République islamique d’Iran</w:t>
      </w:r>
      <w:r w:rsidRPr="0071782F">
        <w:rPr>
          <w:lang w:val="fr-CH"/>
        </w:rPr>
        <w:t xml:space="preserve">, </w:t>
      </w:r>
      <w:r w:rsidR="005E01C1" w:rsidRPr="0071782F">
        <w:rPr>
          <w:lang w:val="fr-CH"/>
        </w:rPr>
        <w:t>d’étudier les capacités et ressources existant dans le pays, et de mettre à contribution à cette fin les organes exécutifs compétents, d</w:t>
      </w:r>
      <w:r w:rsidR="00A62149" w:rsidRPr="0071782F">
        <w:rPr>
          <w:lang w:val="fr-CH"/>
        </w:rPr>
        <w:t xml:space="preserve">ans la mesure de leurs moyens. </w:t>
      </w:r>
    </w:p>
    <w:p w:rsidR="00972AC7" w:rsidRPr="0071782F" w:rsidRDefault="00972AC7" w:rsidP="00B55247">
      <w:pPr>
        <w:pStyle w:val="SingleTxtG"/>
        <w:ind w:left="1701"/>
        <w:rPr>
          <w:lang w:val="fr-CH"/>
        </w:rPr>
      </w:pPr>
      <w:r w:rsidRPr="0071782F">
        <w:rPr>
          <w:lang w:val="fr-CH"/>
        </w:rPr>
        <w:t>26.1</w:t>
      </w:r>
      <w:r w:rsidR="00EF6CFA" w:rsidRPr="0071782F">
        <w:rPr>
          <w:lang w:val="fr-CH"/>
        </w:rPr>
        <w:t>.</w:t>
      </w:r>
      <w:r w:rsidRPr="0071782F">
        <w:rPr>
          <w:lang w:val="fr-CH"/>
        </w:rPr>
        <w:tab/>
      </w:r>
      <w:r w:rsidR="00094192" w:rsidRPr="0071782F">
        <w:rPr>
          <w:lang w:val="fr-CH"/>
        </w:rPr>
        <w:t>L’a</w:t>
      </w:r>
      <w:r w:rsidRPr="0071782F">
        <w:rPr>
          <w:lang w:val="fr-CH"/>
        </w:rPr>
        <w:t xml:space="preserve">doption </w:t>
      </w:r>
      <w:r w:rsidR="00094192" w:rsidRPr="0071782F">
        <w:rPr>
          <w:lang w:val="fr-CH"/>
        </w:rPr>
        <w:t xml:space="preserve">d’une approche </w:t>
      </w:r>
      <w:r w:rsidRPr="0071782F">
        <w:rPr>
          <w:lang w:val="fr-CH"/>
        </w:rPr>
        <w:t>scientifi</w:t>
      </w:r>
      <w:r w:rsidR="00094192" w:rsidRPr="0071782F">
        <w:rPr>
          <w:lang w:val="fr-CH"/>
        </w:rPr>
        <w:t xml:space="preserve">que des questions et problèmes concernant la jeunesse, des capacités et potentialités existantes ainsi que des questions de procédure, d’organisation et de gestion qui préoccupent la jeunesse a été la réalisation la plus importante du Haut Conseil de la jeunesse pendant ses premières années d’activité </w:t>
      </w:r>
      <w:r w:rsidRPr="0071782F">
        <w:rPr>
          <w:lang w:val="fr-CH"/>
        </w:rPr>
        <w:t>(1992</w:t>
      </w:r>
      <w:r w:rsidR="00094192" w:rsidRPr="0071782F">
        <w:rPr>
          <w:lang w:val="fr-CH"/>
        </w:rPr>
        <w:t>-</w:t>
      </w:r>
      <w:r w:rsidRPr="0071782F">
        <w:rPr>
          <w:lang w:val="fr-CH"/>
        </w:rPr>
        <w:t xml:space="preserve">1999). </w:t>
      </w:r>
    </w:p>
    <w:p w:rsidR="00972AC7" w:rsidRPr="0071782F" w:rsidRDefault="00972AC7" w:rsidP="00B55247">
      <w:pPr>
        <w:pStyle w:val="SingleTxtG"/>
        <w:ind w:left="1701"/>
        <w:rPr>
          <w:lang w:val="fr-CH"/>
        </w:rPr>
      </w:pPr>
      <w:r w:rsidRPr="0071782F">
        <w:rPr>
          <w:lang w:val="fr-CH"/>
        </w:rPr>
        <w:t>26.2</w:t>
      </w:r>
      <w:r w:rsidR="00EF6CFA" w:rsidRPr="0071782F">
        <w:rPr>
          <w:lang w:val="fr-CH"/>
        </w:rPr>
        <w:t>.</w:t>
      </w:r>
      <w:r w:rsidR="00094192" w:rsidRPr="0071782F">
        <w:rPr>
          <w:lang w:val="fr-CH"/>
        </w:rPr>
        <w:tab/>
        <w:t>E</w:t>
      </w:r>
      <w:r w:rsidRPr="0071782F">
        <w:rPr>
          <w:lang w:val="fr-CH"/>
        </w:rPr>
        <w:t xml:space="preserve">n 1999, </w:t>
      </w:r>
      <w:r w:rsidR="00094192" w:rsidRPr="0071782F">
        <w:rPr>
          <w:lang w:val="fr-CH"/>
        </w:rPr>
        <w:t xml:space="preserve">le </w:t>
      </w:r>
      <w:r w:rsidRPr="0071782F">
        <w:rPr>
          <w:lang w:val="fr-CH"/>
        </w:rPr>
        <w:t>secr</w:t>
      </w:r>
      <w:r w:rsidR="00094192" w:rsidRPr="0071782F">
        <w:rPr>
          <w:lang w:val="fr-CH"/>
        </w:rPr>
        <w:t>é</w:t>
      </w:r>
      <w:r w:rsidRPr="0071782F">
        <w:rPr>
          <w:lang w:val="fr-CH"/>
        </w:rPr>
        <w:t xml:space="preserve">tariat </w:t>
      </w:r>
      <w:r w:rsidR="00094192" w:rsidRPr="0071782F">
        <w:rPr>
          <w:lang w:val="fr-CH"/>
        </w:rPr>
        <w:t xml:space="preserve">du Haut Conseil de la jeunesse a été rebaptisé </w:t>
      </w:r>
      <w:r w:rsidR="00A62149" w:rsidRPr="0071782F">
        <w:rPr>
          <w:lang w:val="fr-CH"/>
        </w:rPr>
        <w:t>"</w:t>
      </w:r>
      <w:r w:rsidR="00094192" w:rsidRPr="0071782F">
        <w:rPr>
          <w:lang w:val="fr-CH"/>
        </w:rPr>
        <w:t>Centre national de la jeunesse</w:t>
      </w:r>
      <w:r w:rsidR="00A62149"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26.3</w:t>
      </w:r>
      <w:r w:rsidR="00EF6CFA" w:rsidRPr="0071782F">
        <w:rPr>
          <w:lang w:val="fr-CH"/>
        </w:rPr>
        <w:t>.</w:t>
      </w:r>
      <w:r w:rsidRPr="0071782F">
        <w:rPr>
          <w:lang w:val="fr-CH"/>
        </w:rPr>
        <w:tab/>
      </w:r>
      <w:r w:rsidR="00094192" w:rsidRPr="0071782F">
        <w:rPr>
          <w:lang w:val="fr-CH"/>
        </w:rPr>
        <w:t>Toujours e</w:t>
      </w:r>
      <w:r w:rsidRPr="0071782F">
        <w:rPr>
          <w:lang w:val="fr-CH"/>
        </w:rPr>
        <w:t xml:space="preserve">n 1999, </w:t>
      </w:r>
      <w:r w:rsidR="00094192" w:rsidRPr="0071782F">
        <w:rPr>
          <w:lang w:val="fr-CH"/>
        </w:rPr>
        <w:t xml:space="preserve">l’Assemblée consultative islamique (parlement) d’Iran a décidé, dans </w:t>
      </w:r>
      <w:r w:rsidR="00723F2B" w:rsidRPr="0071782F">
        <w:rPr>
          <w:lang w:val="fr-CH"/>
        </w:rPr>
        <w:t>l’</w:t>
      </w:r>
      <w:r w:rsidR="00943A69" w:rsidRPr="0071782F">
        <w:rPr>
          <w:lang w:val="fr-CH"/>
        </w:rPr>
        <w:t>article </w:t>
      </w:r>
      <w:r w:rsidR="00094192" w:rsidRPr="0071782F">
        <w:rPr>
          <w:lang w:val="fr-CH"/>
        </w:rPr>
        <w:t xml:space="preserve">157 de la loi relative au </w:t>
      </w:r>
      <w:r w:rsidR="009E6189">
        <w:rPr>
          <w:lang w:val="fr-CH"/>
        </w:rPr>
        <w:t>troisième plan</w:t>
      </w:r>
      <w:r w:rsidR="00094192" w:rsidRPr="0071782F">
        <w:rPr>
          <w:lang w:val="fr-CH"/>
        </w:rPr>
        <w:t xml:space="preserve"> de développement, que le </w:t>
      </w:r>
      <w:r w:rsidR="00A62149" w:rsidRPr="0071782F">
        <w:rPr>
          <w:lang w:val="fr-CH"/>
        </w:rPr>
        <w:t>"</w:t>
      </w:r>
      <w:r w:rsidR="00094192" w:rsidRPr="0071782F">
        <w:rPr>
          <w:lang w:val="fr-CH"/>
        </w:rPr>
        <w:t>Centre national de la jeunesse</w:t>
      </w:r>
      <w:r w:rsidR="00A62149" w:rsidRPr="0071782F">
        <w:rPr>
          <w:lang w:val="fr-CH"/>
        </w:rPr>
        <w:t>"</w:t>
      </w:r>
      <w:r w:rsidRPr="0071782F">
        <w:rPr>
          <w:lang w:val="fr-CH"/>
        </w:rPr>
        <w:t xml:space="preserve"> </w:t>
      </w:r>
      <w:r w:rsidR="00094192" w:rsidRPr="0071782F">
        <w:rPr>
          <w:lang w:val="fr-CH"/>
        </w:rPr>
        <w:t xml:space="preserve">était désormais rebaptisé </w:t>
      </w:r>
      <w:r w:rsidR="00A62149" w:rsidRPr="0071782F">
        <w:rPr>
          <w:lang w:val="fr-CH"/>
        </w:rPr>
        <w:t>"</w:t>
      </w:r>
      <w:r w:rsidR="00094192" w:rsidRPr="0071782F">
        <w:rPr>
          <w:lang w:val="fr-CH"/>
        </w:rPr>
        <w:t>Organisation nationale de la jeunesse</w:t>
      </w:r>
      <w:r w:rsidR="00A62149" w:rsidRPr="0071782F">
        <w:rPr>
          <w:lang w:val="fr-CH"/>
        </w:rPr>
        <w:t>"</w:t>
      </w:r>
      <w:r w:rsidR="00094192" w:rsidRPr="0071782F">
        <w:rPr>
          <w:lang w:val="fr-CH"/>
        </w:rPr>
        <w:t>, et en a précisé les fonctions</w:t>
      </w:r>
      <w:r w:rsidRPr="0071782F">
        <w:rPr>
          <w:lang w:val="fr-CH"/>
        </w:rPr>
        <w:t xml:space="preserve">. </w:t>
      </w:r>
    </w:p>
    <w:p w:rsidR="00972AC7" w:rsidRPr="0071782F" w:rsidRDefault="00972AC7" w:rsidP="00B55247">
      <w:pPr>
        <w:pStyle w:val="SingleTxtG"/>
        <w:ind w:left="1701"/>
        <w:rPr>
          <w:lang w:val="fr-CH"/>
        </w:rPr>
      </w:pPr>
      <w:r w:rsidRPr="0071782F">
        <w:rPr>
          <w:lang w:val="fr-CH"/>
        </w:rPr>
        <w:t>26.4</w:t>
      </w:r>
      <w:r w:rsidR="00EF6CFA" w:rsidRPr="0071782F">
        <w:rPr>
          <w:lang w:val="fr-CH"/>
        </w:rPr>
        <w:t>.</w:t>
      </w:r>
      <w:r w:rsidRPr="0071782F">
        <w:rPr>
          <w:lang w:val="fr-CH"/>
        </w:rPr>
        <w:tab/>
      </w:r>
      <w:r w:rsidR="00097413" w:rsidRPr="0071782F">
        <w:rPr>
          <w:lang w:val="fr-CH"/>
        </w:rPr>
        <w:t xml:space="preserve">Le </w:t>
      </w:r>
      <w:r w:rsidRPr="0071782F">
        <w:rPr>
          <w:lang w:val="fr-CH"/>
        </w:rPr>
        <w:t xml:space="preserve">document </w:t>
      </w:r>
      <w:r w:rsidR="00097413" w:rsidRPr="0071782F">
        <w:rPr>
          <w:lang w:val="fr-CH"/>
        </w:rPr>
        <w:t xml:space="preserve">national </w:t>
      </w:r>
      <w:r w:rsidRPr="0071782F">
        <w:rPr>
          <w:lang w:val="fr-CH"/>
        </w:rPr>
        <w:t>(</w:t>
      </w:r>
      <w:r w:rsidR="00097413" w:rsidRPr="0071782F">
        <w:rPr>
          <w:lang w:val="fr-CH"/>
        </w:rPr>
        <w:t>transversal</w:t>
      </w:r>
      <w:r w:rsidRPr="0071782F">
        <w:rPr>
          <w:lang w:val="fr-CH"/>
        </w:rPr>
        <w:t xml:space="preserve">) </w:t>
      </w:r>
      <w:r w:rsidR="00097413" w:rsidRPr="0071782F">
        <w:rPr>
          <w:lang w:val="fr-CH"/>
        </w:rPr>
        <w:t xml:space="preserve">relatif à l’organisation des questions intéressant la jeunesse a, en tant que document stratégique relatif au développement de ces questions, été établi et adopté pour jeter les bases de la formulation et de l’application de politiques uniformes et coordonnées concernant la jeunesse dans les différents secteurs. Ce document comprend </w:t>
      </w:r>
      <w:r w:rsidRPr="0071782F">
        <w:rPr>
          <w:lang w:val="fr-CH"/>
        </w:rPr>
        <w:t>13</w:t>
      </w:r>
      <w:r w:rsidR="00A62149" w:rsidRPr="0071782F">
        <w:rPr>
          <w:lang w:val="fr-CH"/>
        </w:rPr>
        <w:t> </w:t>
      </w:r>
      <w:r w:rsidRPr="0071782F">
        <w:rPr>
          <w:lang w:val="fr-CH"/>
        </w:rPr>
        <w:t>program</w:t>
      </w:r>
      <w:r w:rsidR="00097413" w:rsidRPr="0071782F">
        <w:rPr>
          <w:lang w:val="fr-CH"/>
        </w:rPr>
        <w:t>me</w:t>
      </w:r>
      <w:r w:rsidRPr="0071782F">
        <w:rPr>
          <w:lang w:val="fr-CH"/>
        </w:rPr>
        <w:t xml:space="preserve">s, </w:t>
      </w:r>
      <w:r w:rsidR="00097413" w:rsidRPr="0071782F">
        <w:rPr>
          <w:lang w:val="fr-CH"/>
        </w:rPr>
        <w:t>dont sept ont été formulés et approuvés par le Haut Conseil de la jeunesse après avoir reçu un avis favorable des experts</w:t>
      </w:r>
      <w:r w:rsidRPr="0071782F">
        <w:rPr>
          <w:lang w:val="fr-CH"/>
        </w:rPr>
        <w:t xml:space="preserve">. </w:t>
      </w:r>
      <w:r w:rsidR="00097413" w:rsidRPr="0071782F">
        <w:rPr>
          <w:lang w:val="fr-CH"/>
        </w:rPr>
        <w:t xml:space="preserve">Les six autres documents seront bientôt au point et prêts à être approuvés. </w:t>
      </w:r>
    </w:p>
    <w:p w:rsidR="00972AC7" w:rsidRPr="0071782F" w:rsidRDefault="00972AC7" w:rsidP="00B55247">
      <w:pPr>
        <w:pStyle w:val="H1G"/>
        <w:rPr>
          <w:lang w:val="fr-CH"/>
        </w:rPr>
      </w:pPr>
      <w:r w:rsidRPr="0071782F">
        <w:rPr>
          <w:lang w:val="fr-CH"/>
        </w:rPr>
        <w:tab/>
      </w:r>
      <w:r w:rsidRPr="0071782F">
        <w:rPr>
          <w:lang w:val="fr-CH"/>
        </w:rPr>
        <w:tab/>
        <w:t>Transport</w:t>
      </w:r>
      <w:r w:rsidR="00097413" w:rsidRPr="0071782F">
        <w:rPr>
          <w:lang w:val="fr-CH"/>
        </w:rPr>
        <w:t xml:space="preserve">s </w:t>
      </w:r>
    </w:p>
    <w:p w:rsidR="00972AC7" w:rsidRPr="0071782F" w:rsidRDefault="00972AC7" w:rsidP="00972AC7">
      <w:pPr>
        <w:pStyle w:val="SingleTxtG"/>
        <w:rPr>
          <w:lang w:val="fr-CH"/>
        </w:rPr>
      </w:pPr>
      <w:r w:rsidRPr="0071782F">
        <w:rPr>
          <w:lang w:val="fr-CH"/>
        </w:rPr>
        <w:t>27.</w:t>
      </w:r>
      <w:r w:rsidRPr="0071782F">
        <w:rPr>
          <w:lang w:val="fr-CH"/>
        </w:rPr>
        <w:tab/>
      </w:r>
      <w:r w:rsidR="00097413" w:rsidRPr="0071782F">
        <w:rPr>
          <w:lang w:val="fr-CH"/>
        </w:rPr>
        <w:t xml:space="preserve">Les </w:t>
      </w:r>
      <w:r w:rsidR="00723F2B" w:rsidRPr="0071782F">
        <w:rPr>
          <w:lang w:val="fr-CH"/>
        </w:rPr>
        <w:t>articles </w:t>
      </w:r>
      <w:r w:rsidRPr="0071782F">
        <w:rPr>
          <w:lang w:val="fr-CH"/>
        </w:rPr>
        <w:t xml:space="preserve">28 </w:t>
      </w:r>
      <w:r w:rsidR="00097413" w:rsidRPr="0071782F">
        <w:rPr>
          <w:lang w:val="fr-CH"/>
        </w:rPr>
        <w:t>et</w:t>
      </w:r>
      <w:r w:rsidRPr="0071782F">
        <w:rPr>
          <w:lang w:val="fr-CH"/>
        </w:rPr>
        <w:t xml:space="preserve"> 29</w:t>
      </w:r>
      <w:r w:rsidR="00097413" w:rsidRPr="0071782F">
        <w:rPr>
          <w:lang w:val="fr-CH"/>
        </w:rPr>
        <w:t xml:space="preserve"> de la loi relative au </w:t>
      </w:r>
      <w:r w:rsidR="00A90208" w:rsidRPr="0071782F">
        <w:rPr>
          <w:lang w:val="fr-CH"/>
        </w:rPr>
        <w:t>quatrième</w:t>
      </w:r>
      <w:r w:rsidR="00097413" w:rsidRPr="0071782F">
        <w:rPr>
          <w:lang w:val="fr-CH"/>
        </w:rPr>
        <w:t xml:space="preserve"> plan de développement ont énoncé pour le secteur </w:t>
      </w:r>
      <w:r w:rsidR="00324A51" w:rsidRPr="0071782F">
        <w:rPr>
          <w:lang w:val="fr-CH"/>
        </w:rPr>
        <w:t xml:space="preserve">des </w:t>
      </w:r>
      <w:r w:rsidR="00097413" w:rsidRPr="0071782F">
        <w:rPr>
          <w:lang w:val="fr-CH"/>
        </w:rPr>
        <w:t>transport</w:t>
      </w:r>
      <w:r w:rsidR="00324A51" w:rsidRPr="0071782F">
        <w:rPr>
          <w:lang w:val="fr-CH"/>
        </w:rPr>
        <w:t>s</w:t>
      </w:r>
      <w:r w:rsidR="00097413" w:rsidRPr="0071782F">
        <w:rPr>
          <w:lang w:val="fr-CH"/>
        </w:rPr>
        <w:t xml:space="preserve"> les objectifs ci-après à réaliser en </w:t>
      </w:r>
      <w:r w:rsidRPr="0071782F">
        <w:rPr>
          <w:lang w:val="fr-CH"/>
        </w:rPr>
        <w:t>2006</w:t>
      </w:r>
      <w:r w:rsidR="008F7D33" w:rsidRPr="0071782F">
        <w:rPr>
          <w:lang w:val="fr-CH"/>
        </w:rPr>
        <w:t>:</w:t>
      </w:r>
      <w:r w:rsidR="00097413" w:rsidRPr="0071782F">
        <w:rPr>
          <w:lang w:val="fr-CH"/>
        </w:rPr>
        <w:t xml:space="preserve"> améliorer la rentabilité, la sécurité et la commodité du transport de marchandises et de passagers, étudier et mettre à profit les avantages liés au territoire du pays, achever de mettre en place le réseau de routes et d’autoroutes régionales et </w:t>
      </w:r>
      <w:r w:rsidRPr="0071782F">
        <w:rPr>
          <w:lang w:val="fr-CH"/>
        </w:rPr>
        <w:t>international</w:t>
      </w:r>
      <w:r w:rsidR="00097413" w:rsidRPr="0071782F">
        <w:rPr>
          <w:lang w:val="fr-CH"/>
        </w:rPr>
        <w:t>es</w:t>
      </w:r>
      <w:r w:rsidRPr="0071782F">
        <w:rPr>
          <w:lang w:val="fr-CH"/>
        </w:rPr>
        <w:t xml:space="preserve"> </w:t>
      </w:r>
      <w:r w:rsidR="00097413" w:rsidRPr="0071782F">
        <w:rPr>
          <w:lang w:val="fr-CH"/>
        </w:rPr>
        <w:t>et de routes secondaires et rurales</w:t>
      </w:r>
      <w:r w:rsidRPr="0071782F">
        <w:rPr>
          <w:lang w:val="fr-CH"/>
        </w:rPr>
        <w:t xml:space="preserve">, </w:t>
      </w:r>
      <w:r w:rsidR="00097413" w:rsidRPr="0071782F">
        <w:rPr>
          <w:lang w:val="fr-CH"/>
        </w:rPr>
        <w:t xml:space="preserve">éliminer ou aménager certains tronçons de routes susceptibles de causer des accidents, améliorer la sécurité routière, entreprendre l’exécution de la première phase de la construction du port de Shahid Rajayi, qui doit accroître la capacité du pays en matière de transit et de commerce de marchandises et renforcer la présence de la République islamique d’Iran dans la région du golfe Persique, et développer, équiper et moderniser la flotte nationale de transport </w:t>
      </w:r>
      <w:r w:rsidRPr="0071782F">
        <w:rPr>
          <w:lang w:val="fr-CH"/>
        </w:rPr>
        <w:t xml:space="preserve">transnational </w:t>
      </w:r>
      <w:r w:rsidR="00097413" w:rsidRPr="0071782F">
        <w:rPr>
          <w:lang w:val="fr-CH"/>
        </w:rPr>
        <w:t>par route</w:t>
      </w:r>
      <w:r w:rsidRPr="0071782F">
        <w:rPr>
          <w:lang w:val="fr-CH"/>
        </w:rPr>
        <w:t xml:space="preserve">, </w:t>
      </w:r>
      <w:r w:rsidR="00097413" w:rsidRPr="0071782F">
        <w:rPr>
          <w:lang w:val="fr-CH"/>
        </w:rPr>
        <w:t xml:space="preserve">rail, </w:t>
      </w:r>
      <w:r w:rsidRPr="0071782F">
        <w:rPr>
          <w:lang w:val="fr-CH"/>
        </w:rPr>
        <w:t xml:space="preserve">air </w:t>
      </w:r>
      <w:r w:rsidR="00097413" w:rsidRPr="0071782F">
        <w:rPr>
          <w:lang w:val="fr-CH"/>
        </w:rPr>
        <w:t xml:space="preserve">et mer en mettant en </w:t>
      </w:r>
      <w:r w:rsidR="00D5366B" w:rsidRPr="0071782F">
        <w:rPr>
          <w:lang w:val="fr-CH"/>
        </w:rPr>
        <w:t>œuvre</w:t>
      </w:r>
      <w:r w:rsidR="00097413" w:rsidRPr="0071782F">
        <w:rPr>
          <w:lang w:val="fr-CH"/>
        </w:rPr>
        <w:t xml:space="preserve"> des mécanismes tels que les fonds gérés (assistance en matière de crédit et assistance technique), les capacités locales de chaque secteur et les ressources du secteur privé et des banques</w:t>
      </w:r>
      <w:r w:rsidRPr="0071782F">
        <w:rPr>
          <w:lang w:val="fr-CH"/>
        </w:rPr>
        <w:t xml:space="preserve">. </w:t>
      </w:r>
    </w:p>
    <w:p w:rsidR="00972AC7" w:rsidRPr="0071782F" w:rsidRDefault="00972AC7" w:rsidP="00B55247">
      <w:pPr>
        <w:pStyle w:val="SingleTxtG"/>
        <w:ind w:left="1701"/>
        <w:rPr>
          <w:lang w:val="fr-CH"/>
        </w:rPr>
      </w:pPr>
      <w:r w:rsidRPr="0071782F">
        <w:rPr>
          <w:lang w:val="fr-CH"/>
        </w:rPr>
        <w:t>27.1</w:t>
      </w:r>
      <w:r w:rsidR="00EF6CFA" w:rsidRPr="0071782F">
        <w:rPr>
          <w:lang w:val="fr-CH"/>
        </w:rPr>
        <w:t>.</w:t>
      </w:r>
      <w:r w:rsidRPr="0071782F">
        <w:rPr>
          <w:lang w:val="fr-CH"/>
        </w:rPr>
        <w:tab/>
      </w:r>
      <w:r w:rsidR="00324A51" w:rsidRPr="0071782F">
        <w:rPr>
          <w:lang w:val="fr-CH"/>
        </w:rPr>
        <w:t xml:space="preserve">L’examen des résultats obtenus par le secteur des transports en </w:t>
      </w:r>
      <w:r w:rsidRPr="0071782F">
        <w:rPr>
          <w:lang w:val="fr-CH"/>
        </w:rPr>
        <w:t xml:space="preserve">2006 </w:t>
      </w:r>
      <w:r w:rsidR="00324A51" w:rsidRPr="0071782F">
        <w:rPr>
          <w:lang w:val="fr-CH"/>
        </w:rPr>
        <w:t xml:space="preserve">et une comparaison avec la première année du </w:t>
      </w:r>
      <w:r w:rsidR="00A90208" w:rsidRPr="0071782F">
        <w:rPr>
          <w:lang w:val="fr-CH"/>
        </w:rPr>
        <w:t>quatrième</w:t>
      </w:r>
      <w:r w:rsidR="00324A51" w:rsidRPr="0071782F">
        <w:rPr>
          <w:lang w:val="fr-CH"/>
        </w:rPr>
        <w:t xml:space="preserve"> plan de développement permettent de faire les constatations suivantes</w:t>
      </w:r>
      <w:r w:rsidR="008F7D33" w:rsidRPr="0071782F">
        <w:rPr>
          <w:lang w:val="fr-CH"/>
        </w:rPr>
        <w:t>:</w:t>
      </w:r>
    </w:p>
    <w:p w:rsidR="00972AC7" w:rsidRPr="0071782F" w:rsidRDefault="00972AC7" w:rsidP="00B55247">
      <w:pPr>
        <w:pStyle w:val="SingleTxtG"/>
        <w:ind w:left="1701"/>
        <w:rPr>
          <w:lang w:val="fr-CH"/>
        </w:rPr>
      </w:pPr>
      <w:r w:rsidRPr="0071782F">
        <w:rPr>
          <w:lang w:val="fr-CH"/>
        </w:rPr>
        <w:t>27.2</w:t>
      </w:r>
      <w:r w:rsidR="00EF6CFA" w:rsidRPr="0071782F">
        <w:rPr>
          <w:lang w:val="fr-CH"/>
        </w:rPr>
        <w:t>.</w:t>
      </w:r>
      <w:r w:rsidRPr="0071782F">
        <w:rPr>
          <w:lang w:val="fr-CH"/>
        </w:rPr>
        <w:tab/>
      </w:r>
      <w:r w:rsidR="00324A51" w:rsidRPr="0071782F">
        <w:rPr>
          <w:lang w:val="fr-CH"/>
        </w:rPr>
        <w:t xml:space="preserve">On a construit </w:t>
      </w:r>
      <w:r w:rsidRPr="0071782F">
        <w:rPr>
          <w:lang w:val="fr-CH"/>
        </w:rPr>
        <w:t>497</w:t>
      </w:r>
      <w:r w:rsidR="00A62149" w:rsidRPr="0071782F">
        <w:rPr>
          <w:lang w:val="fr-CH"/>
        </w:rPr>
        <w:t> k</w:t>
      </w:r>
      <w:r w:rsidR="003F25A2">
        <w:rPr>
          <w:lang w:val="fr-CH"/>
        </w:rPr>
        <w:t>m</w:t>
      </w:r>
      <w:r w:rsidR="00324A51" w:rsidRPr="0071782F">
        <w:rPr>
          <w:lang w:val="fr-CH"/>
        </w:rPr>
        <w:t xml:space="preserve"> d’autoroutes</w:t>
      </w:r>
      <w:r w:rsidRPr="0071782F">
        <w:rPr>
          <w:lang w:val="fr-CH"/>
        </w:rPr>
        <w:t>, 1</w:t>
      </w:r>
      <w:r w:rsidR="003F25A2">
        <w:rPr>
          <w:lang w:val="fr-CH"/>
        </w:rPr>
        <w:t> </w:t>
      </w:r>
      <w:r w:rsidR="00324A51" w:rsidRPr="0071782F">
        <w:rPr>
          <w:lang w:val="fr-CH"/>
        </w:rPr>
        <w:t>071</w:t>
      </w:r>
      <w:r w:rsidR="00A62149" w:rsidRPr="0071782F">
        <w:rPr>
          <w:lang w:val="fr-CH"/>
        </w:rPr>
        <w:t> k</w:t>
      </w:r>
      <w:r w:rsidR="003F25A2">
        <w:rPr>
          <w:lang w:val="fr-CH"/>
        </w:rPr>
        <w:t>m</w:t>
      </w:r>
      <w:r w:rsidR="00324A51" w:rsidRPr="0071782F">
        <w:rPr>
          <w:lang w:val="fr-CH"/>
        </w:rPr>
        <w:t xml:space="preserve"> de routes principales et</w:t>
      </w:r>
      <w:r w:rsidRPr="0071782F">
        <w:rPr>
          <w:lang w:val="fr-CH"/>
        </w:rPr>
        <w:t xml:space="preserve"> 811</w:t>
      </w:r>
      <w:r w:rsidR="00A62149" w:rsidRPr="0071782F">
        <w:rPr>
          <w:lang w:val="fr-CH"/>
        </w:rPr>
        <w:t> </w:t>
      </w:r>
      <w:r w:rsidR="003F25A2">
        <w:rPr>
          <w:lang w:val="fr-CH"/>
        </w:rPr>
        <w:t>km</w:t>
      </w:r>
      <w:r w:rsidR="00324A51" w:rsidRPr="0071782F">
        <w:rPr>
          <w:lang w:val="fr-CH"/>
        </w:rPr>
        <w:t xml:space="preserve"> de routes secondaires rattachées au réseau routier national, à la suite de quoi le pays dispose de </w:t>
      </w:r>
      <w:r w:rsidRPr="0071782F">
        <w:rPr>
          <w:lang w:val="fr-CH"/>
        </w:rPr>
        <w:t>5</w:t>
      </w:r>
      <w:r w:rsidR="003F25A2">
        <w:rPr>
          <w:lang w:val="fr-CH"/>
        </w:rPr>
        <w:t> </w:t>
      </w:r>
      <w:r w:rsidR="00324A51" w:rsidRPr="0071782F">
        <w:rPr>
          <w:lang w:val="fr-CH"/>
        </w:rPr>
        <w:t>468</w:t>
      </w:r>
      <w:r w:rsidR="00A62149" w:rsidRPr="0071782F">
        <w:rPr>
          <w:lang w:val="fr-CH"/>
        </w:rPr>
        <w:t> k</w:t>
      </w:r>
      <w:r w:rsidR="003F25A2">
        <w:rPr>
          <w:lang w:val="fr-CH"/>
        </w:rPr>
        <w:t>m</w:t>
      </w:r>
      <w:r w:rsidR="00324A51" w:rsidRPr="0071782F">
        <w:rPr>
          <w:lang w:val="fr-CH"/>
        </w:rPr>
        <w:t xml:space="preserve"> d’autoroutes</w:t>
      </w:r>
      <w:r w:rsidRPr="0071782F">
        <w:rPr>
          <w:lang w:val="fr-CH"/>
        </w:rPr>
        <w:t xml:space="preserve">, </w:t>
      </w:r>
      <w:r w:rsidR="00324A51" w:rsidRPr="0071782F">
        <w:rPr>
          <w:lang w:val="fr-CH"/>
        </w:rPr>
        <w:t>de 262</w:t>
      </w:r>
      <w:r w:rsidR="003F25A2">
        <w:rPr>
          <w:lang w:val="fr-CH"/>
        </w:rPr>
        <w:t> </w:t>
      </w:r>
      <w:r w:rsidRPr="0071782F">
        <w:rPr>
          <w:lang w:val="fr-CH"/>
        </w:rPr>
        <w:t>610</w:t>
      </w:r>
      <w:r w:rsidR="00A62149" w:rsidRPr="0071782F">
        <w:rPr>
          <w:lang w:val="fr-CH"/>
        </w:rPr>
        <w:t> k</w:t>
      </w:r>
      <w:r w:rsidR="003F25A2">
        <w:rPr>
          <w:lang w:val="fr-CH"/>
        </w:rPr>
        <w:t>m</w:t>
      </w:r>
      <w:r w:rsidR="00324A51" w:rsidRPr="0071782F">
        <w:rPr>
          <w:lang w:val="fr-CH"/>
        </w:rPr>
        <w:t xml:space="preserve"> de routes principales, de </w:t>
      </w:r>
      <w:r w:rsidRPr="0071782F">
        <w:rPr>
          <w:lang w:val="fr-CH"/>
        </w:rPr>
        <w:t>41</w:t>
      </w:r>
      <w:r w:rsidR="003F25A2">
        <w:rPr>
          <w:lang w:val="fr-CH"/>
        </w:rPr>
        <w:t> </w:t>
      </w:r>
      <w:r w:rsidRPr="0071782F">
        <w:rPr>
          <w:lang w:val="fr-CH"/>
        </w:rPr>
        <w:t>129</w:t>
      </w:r>
      <w:r w:rsidR="00A62149" w:rsidRPr="0071782F">
        <w:rPr>
          <w:lang w:val="fr-CH"/>
        </w:rPr>
        <w:t> k</w:t>
      </w:r>
      <w:r w:rsidR="003F25A2">
        <w:rPr>
          <w:lang w:val="fr-CH"/>
        </w:rPr>
        <w:t>m</w:t>
      </w:r>
      <w:r w:rsidR="00324A51" w:rsidRPr="0071782F">
        <w:rPr>
          <w:lang w:val="fr-CH"/>
        </w:rPr>
        <w:t xml:space="preserve"> de routes secondaires et de plus de </w:t>
      </w:r>
      <w:r w:rsidRPr="0071782F">
        <w:rPr>
          <w:lang w:val="fr-CH"/>
        </w:rPr>
        <w:t>103</w:t>
      </w:r>
      <w:r w:rsidR="00A62149" w:rsidRPr="0071782F">
        <w:rPr>
          <w:lang w:val="fr-CH"/>
        </w:rPr>
        <w:t> </w:t>
      </w:r>
      <w:r w:rsidRPr="0071782F">
        <w:rPr>
          <w:lang w:val="fr-CH"/>
        </w:rPr>
        <w:t>500</w:t>
      </w:r>
      <w:r w:rsidR="00A62149" w:rsidRPr="0071782F">
        <w:rPr>
          <w:lang w:val="fr-CH"/>
        </w:rPr>
        <w:t> k</w:t>
      </w:r>
      <w:r w:rsidR="003F25A2">
        <w:rPr>
          <w:lang w:val="fr-CH"/>
        </w:rPr>
        <w:t>m</w:t>
      </w:r>
      <w:r w:rsidR="00324A51" w:rsidRPr="0071782F">
        <w:rPr>
          <w:lang w:val="fr-CH"/>
        </w:rPr>
        <w:t xml:space="preserve"> de routes rurales</w:t>
      </w:r>
      <w:r w:rsidRPr="0071782F">
        <w:rPr>
          <w:lang w:val="fr-CH"/>
        </w:rPr>
        <w:t xml:space="preserve">. </w:t>
      </w:r>
    </w:p>
    <w:p w:rsidR="00972AC7" w:rsidRPr="0071782F" w:rsidRDefault="00972AC7" w:rsidP="00B55247">
      <w:pPr>
        <w:pStyle w:val="SingleTxtG"/>
        <w:ind w:left="1701"/>
        <w:rPr>
          <w:lang w:val="fr-CH"/>
        </w:rPr>
      </w:pPr>
      <w:r w:rsidRPr="0071782F">
        <w:rPr>
          <w:lang w:val="fr-CH"/>
        </w:rPr>
        <w:t>27.3</w:t>
      </w:r>
      <w:r w:rsidR="00EF6CFA" w:rsidRPr="0071782F">
        <w:rPr>
          <w:lang w:val="fr-CH"/>
        </w:rPr>
        <w:t>.</w:t>
      </w:r>
      <w:r w:rsidRPr="0071782F">
        <w:rPr>
          <w:lang w:val="fr-CH"/>
        </w:rPr>
        <w:tab/>
      </w:r>
      <w:r w:rsidR="00C17CC1" w:rsidRPr="0071782F">
        <w:rPr>
          <w:lang w:val="fr-CH"/>
        </w:rPr>
        <w:t>On a construit 152</w:t>
      </w:r>
      <w:r w:rsidR="00A62149" w:rsidRPr="0071782F">
        <w:rPr>
          <w:lang w:val="fr-CH"/>
        </w:rPr>
        <w:t> k</w:t>
      </w:r>
      <w:r w:rsidR="003F25A2">
        <w:rPr>
          <w:lang w:val="fr-CH"/>
        </w:rPr>
        <w:t>m</w:t>
      </w:r>
      <w:r w:rsidR="00C17CC1" w:rsidRPr="0071782F">
        <w:rPr>
          <w:lang w:val="fr-CH"/>
        </w:rPr>
        <w:t xml:space="preserve"> de voies ferrées principales, ce qui a fait passer la longueur du réseau ferré national de </w:t>
      </w:r>
      <w:r w:rsidRPr="0071782F">
        <w:rPr>
          <w:lang w:val="fr-CH"/>
        </w:rPr>
        <w:t>8</w:t>
      </w:r>
      <w:r w:rsidR="00C17CC1" w:rsidRPr="0071782F">
        <w:rPr>
          <w:lang w:val="fr-CH"/>
        </w:rPr>
        <w:t xml:space="preserve"> 348</w:t>
      </w:r>
      <w:r w:rsidR="00A62149" w:rsidRPr="0071782F">
        <w:rPr>
          <w:lang w:val="fr-CH"/>
        </w:rPr>
        <w:t> k</w:t>
      </w:r>
      <w:r w:rsidR="003F25A2">
        <w:rPr>
          <w:lang w:val="fr-CH"/>
        </w:rPr>
        <w:t>m</w:t>
      </w:r>
      <w:r w:rsidRPr="0071782F">
        <w:rPr>
          <w:lang w:val="fr-CH"/>
        </w:rPr>
        <w:t xml:space="preserve"> </w:t>
      </w:r>
      <w:r w:rsidR="00C17CC1" w:rsidRPr="0071782F">
        <w:rPr>
          <w:lang w:val="fr-CH"/>
        </w:rPr>
        <w:t>e</w:t>
      </w:r>
      <w:r w:rsidRPr="0071782F">
        <w:rPr>
          <w:lang w:val="fr-CH"/>
        </w:rPr>
        <w:t xml:space="preserve">n 2005 </w:t>
      </w:r>
      <w:r w:rsidR="00C17CC1" w:rsidRPr="0071782F">
        <w:rPr>
          <w:lang w:val="fr-CH"/>
        </w:rPr>
        <w:t>à</w:t>
      </w:r>
      <w:r w:rsidRPr="0071782F">
        <w:rPr>
          <w:lang w:val="fr-CH"/>
        </w:rPr>
        <w:t xml:space="preserve"> 8</w:t>
      </w:r>
      <w:r w:rsidR="00C17CC1" w:rsidRPr="0071782F">
        <w:rPr>
          <w:lang w:val="fr-CH"/>
        </w:rPr>
        <w:t xml:space="preserve"> </w:t>
      </w:r>
      <w:r w:rsidRPr="0071782F">
        <w:rPr>
          <w:lang w:val="fr-CH"/>
        </w:rPr>
        <w:t>500</w:t>
      </w:r>
      <w:r w:rsidR="00A62149" w:rsidRPr="0071782F">
        <w:rPr>
          <w:lang w:val="fr-CH"/>
        </w:rPr>
        <w:t> k</w:t>
      </w:r>
      <w:r w:rsidR="003F25A2">
        <w:rPr>
          <w:lang w:val="fr-CH"/>
        </w:rPr>
        <w:t>m</w:t>
      </w:r>
      <w:r w:rsidRPr="0071782F">
        <w:rPr>
          <w:lang w:val="fr-CH"/>
        </w:rPr>
        <w:t xml:space="preserve"> </w:t>
      </w:r>
      <w:r w:rsidR="00C17CC1" w:rsidRPr="0071782F">
        <w:rPr>
          <w:lang w:val="fr-CH"/>
        </w:rPr>
        <w:t>e</w:t>
      </w:r>
      <w:r w:rsidRPr="0071782F">
        <w:rPr>
          <w:lang w:val="fr-CH"/>
        </w:rPr>
        <w:t xml:space="preserve">n 2006; </w:t>
      </w:r>
      <w:r w:rsidR="00C17CC1" w:rsidRPr="0071782F">
        <w:rPr>
          <w:lang w:val="fr-CH"/>
        </w:rPr>
        <w:t xml:space="preserve">de plus, toujours en </w:t>
      </w:r>
      <w:r w:rsidRPr="0071782F">
        <w:rPr>
          <w:lang w:val="fr-CH"/>
        </w:rPr>
        <w:t xml:space="preserve">2006, </w:t>
      </w:r>
      <w:r w:rsidR="00C17CC1" w:rsidRPr="0071782F">
        <w:rPr>
          <w:lang w:val="fr-CH"/>
        </w:rPr>
        <w:t xml:space="preserve">environ </w:t>
      </w:r>
      <w:r w:rsidRPr="0071782F">
        <w:rPr>
          <w:lang w:val="fr-CH"/>
        </w:rPr>
        <w:t>160</w:t>
      </w:r>
      <w:r w:rsidR="00C17CC1" w:rsidRPr="0071782F">
        <w:rPr>
          <w:lang w:val="fr-CH"/>
        </w:rPr>
        <w:t>,</w:t>
      </w:r>
      <w:r w:rsidRPr="0071782F">
        <w:rPr>
          <w:lang w:val="fr-CH"/>
        </w:rPr>
        <w:t>3</w:t>
      </w:r>
      <w:r w:rsidR="00A62149" w:rsidRPr="0071782F">
        <w:rPr>
          <w:lang w:val="fr-CH"/>
        </w:rPr>
        <w:t> k</w:t>
      </w:r>
      <w:r w:rsidR="003F25A2">
        <w:rPr>
          <w:lang w:val="fr-CH"/>
        </w:rPr>
        <w:t>m</w:t>
      </w:r>
      <w:r w:rsidR="00C17CC1" w:rsidRPr="0071782F">
        <w:rPr>
          <w:lang w:val="fr-CH"/>
        </w:rPr>
        <w:t xml:space="preserve"> de voies ferrées secondaires ont été construit</w:t>
      </w:r>
      <w:r w:rsidRPr="0071782F">
        <w:rPr>
          <w:lang w:val="fr-CH"/>
        </w:rPr>
        <w:t>s</w:t>
      </w:r>
      <w:r w:rsidR="00C17CC1" w:rsidRPr="0071782F">
        <w:rPr>
          <w:lang w:val="fr-CH"/>
        </w:rPr>
        <w:t>, et environ 126</w:t>
      </w:r>
      <w:r w:rsidR="00A62149" w:rsidRPr="0071782F">
        <w:rPr>
          <w:lang w:val="fr-CH"/>
        </w:rPr>
        <w:t> k</w:t>
      </w:r>
      <w:r w:rsidR="003F25A2">
        <w:rPr>
          <w:lang w:val="fr-CH"/>
        </w:rPr>
        <w:t>m</w:t>
      </w:r>
      <w:r w:rsidRPr="0071782F">
        <w:rPr>
          <w:lang w:val="fr-CH"/>
        </w:rPr>
        <w:t xml:space="preserve"> </w:t>
      </w:r>
      <w:r w:rsidR="00C17CC1" w:rsidRPr="0071782F">
        <w:rPr>
          <w:lang w:val="fr-CH"/>
        </w:rPr>
        <w:t>et 132</w:t>
      </w:r>
      <w:r w:rsidR="00A62149" w:rsidRPr="0071782F">
        <w:rPr>
          <w:lang w:val="fr-CH"/>
        </w:rPr>
        <w:t> k</w:t>
      </w:r>
      <w:r w:rsidR="003F25A2">
        <w:rPr>
          <w:lang w:val="fr-CH"/>
        </w:rPr>
        <w:t>m</w:t>
      </w:r>
      <w:r w:rsidRPr="0071782F">
        <w:rPr>
          <w:lang w:val="fr-CH"/>
        </w:rPr>
        <w:t xml:space="preserve"> </w:t>
      </w:r>
      <w:r w:rsidR="00C17CC1" w:rsidRPr="0071782F">
        <w:rPr>
          <w:lang w:val="fr-CH"/>
        </w:rPr>
        <w:t>du réseau ferroviaire ont été rénovés et reconstruits, respectivement.</w:t>
      </w:r>
      <w:r w:rsidRPr="0071782F">
        <w:rPr>
          <w:lang w:val="fr-CH"/>
        </w:rPr>
        <w:t xml:space="preserve"> </w:t>
      </w:r>
    </w:p>
    <w:p w:rsidR="00972AC7" w:rsidRPr="0071782F" w:rsidRDefault="00972AC7" w:rsidP="00B55247">
      <w:pPr>
        <w:pStyle w:val="SingleTxtG"/>
        <w:ind w:left="1701"/>
        <w:rPr>
          <w:lang w:val="fr-CH"/>
        </w:rPr>
      </w:pPr>
      <w:r w:rsidRPr="0071782F">
        <w:rPr>
          <w:lang w:val="fr-CH"/>
        </w:rPr>
        <w:t>27.4</w:t>
      </w:r>
      <w:r w:rsidR="00EF6CFA" w:rsidRPr="0071782F">
        <w:rPr>
          <w:lang w:val="fr-CH"/>
        </w:rPr>
        <w:t>.</w:t>
      </w:r>
      <w:r w:rsidRPr="0071782F">
        <w:rPr>
          <w:lang w:val="fr-CH"/>
        </w:rPr>
        <w:tab/>
      </w:r>
      <w:r w:rsidR="00C17CC1" w:rsidRPr="0071782F">
        <w:rPr>
          <w:lang w:val="fr-CH"/>
        </w:rPr>
        <w:t>E</w:t>
      </w:r>
      <w:r w:rsidRPr="0071782F">
        <w:rPr>
          <w:lang w:val="fr-CH"/>
        </w:rPr>
        <w:t xml:space="preserve">n 2006, </w:t>
      </w:r>
      <w:r w:rsidR="00C17CC1" w:rsidRPr="0071782F">
        <w:rPr>
          <w:lang w:val="fr-CH"/>
        </w:rPr>
        <w:t xml:space="preserve">le transport </w:t>
      </w:r>
      <w:r w:rsidRPr="0071782F">
        <w:rPr>
          <w:lang w:val="fr-CH"/>
        </w:rPr>
        <w:t xml:space="preserve">total </w:t>
      </w:r>
      <w:r w:rsidR="00C17CC1" w:rsidRPr="0071782F">
        <w:rPr>
          <w:lang w:val="fr-CH"/>
        </w:rPr>
        <w:t xml:space="preserve">de marchandises par le réseau ferroviaire a représenté </w:t>
      </w:r>
      <w:r w:rsidRPr="0071782F">
        <w:rPr>
          <w:lang w:val="fr-CH"/>
        </w:rPr>
        <w:t>20</w:t>
      </w:r>
      <w:r w:rsidR="00C17CC1" w:rsidRPr="0071782F">
        <w:rPr>
          <w:lang w:val="fr-CH"/>
        </w:rPr>
        <w:t>,</w:t>
      </w:r>
      <w:r w:rsidRPr="0071782F">
        <w:rPr>
          <w:lang w:val="fr-CH"/>
        </w:rPr>
        <w:t>5</w:t>
      </w:r>
      <w:r w:rsidR="00A62149" w:rsidRPr="0071782F">
        <w:rPr>
          <w:lang w:val="fr-CH"/>
        </w:rPr>
        <w:t> k</w:t>
      </w:r>
      <w:r w:rsidR="003F25A2">
        <w:rPr>
          <w:lang w:val="fr-CH"/>
        </w:rPr>
        <w:t>m</w:t>
      </w:r>
      <w:r w:rsidR="00C17CC1" w:rsidRPr="0071782F">
        <w:rPr>
          <w:lang w:val="fr-CH"/>
        </w:rPr>
        <w:t xml:space="preserve"> </w:t>
      </w:r>
      <w:r w:rsidRPr="0071782F">
        <w:rPr>
          <w:lang w:val="fr-CH"/>
        </w:rPr>
        <w:t>(32</w:t>
      </w:r>
      <w:r w:rsidR="00097CDB" w:rsidRPr="0071782F">
        <w:rPr>
          <w:lang w:val="fr-CH"/>
        </w:rPr>
        <w:t> millions</w:t>
      </w:r>
      <w:r w:rsidRPr="0071782F">
        <w:rPr>
          <w:lang w:val="fr-CH"/>
        </w:rPr>
        <w:t xml:space="preserve"> </w:t>
      </w:r>
      <w:r w:rsidR="00F87C4B" w:rsidRPr="0071782F">
        <w:rPr>
          <w:lang w:val="fr-CH"/>
        </w:rPr>
        <w:t>de tonnes</w:t>
      </w:r>
      <w:r w:rsidR="00C17CC1" w:rsidRPr="0071782F">
        <w:rPr>
          <w:lang w:val="fr-CH"/>
        </w:rPr>
        <w:t xml:space="preserve"> de marchandises</w:t>
      </w:r>
      <w:r w:rsidRPr="0071782F">
        <w:rPr>
          <w:lang w:val="fr-CH"/>
        </w:rPr>
        <w:t>)</w:t>
      </w:r>
      <w:r w:rsidR="00C17CC1" w:rsidRPr="0071782F">
        <w:rPr>
          <w:lang w:val="fr-CH"/>
        </w:rPr>
        <w:t xml:space="preserve">, en progression de </w:t>
      </w:r>
      <w:r w:rsidRPr="0071782F">
        <w:rPr>
          <w:lang w:val="fr-CH"/>
        </w:rPr>
        <w:t>7</w:t>
      </w:r>
      <w:r w:rsidR="00C17CC1" w:rsidRPr="0071782F">
        <w:rPr>
          <w:lang w:val="fr-CH"/>
        </w:rPr>
        <w:t>,</w:t>
      </w:r>
      <w:r w:rsidRPr="0071782F">
        <w:rPr>
          <w:lang w:val="fr-CH"/>
        </w:rPr>
        <w:t>3</w:t>
      </w:r>
      <w:r w:rsidR="007E5125" w:rsidRPr="0071782F">
        <w:rPr>
          <w:lang w:val="fr-CH"/>
        </w:rPr>
        <w:t>%</w:t>
      </w:r>
      <w:r w:rsidRPr="0071782F">
        <w:rPr>
          <w:lang w:val="fr-CH"/>
        </w:rPr>
        <w:t xml:space="preserve"> </w:t>
      </w:r>
      <w:r w:rsidR="00C17CC1" w:rsidRPr="0071782F">
        <w:rPr>
          <w:lang w:val="fr-CH"/>
        </w:rPr>
        <w:t>par rapport à l’année antérieure</w:t>
      </w:r>
      <w:r w:rsidRPr="0071782F">
        <w:rPr>
          <w:lang w:val="fr-CH"/>
        </w:rPr>
        <w:t xml:space="preserve">. </w:t>
      </w:r>
    </w:p>
    <w:p w:rsidR="00972AC7" w:rsidRPr="0071782F" w:rsidRDefault="00972AC7" w:rsidP="00B55247">
      <w:pPr>
        <w:pStyle w:val="SingleTxtG"/>
        <w:ind w:left="1701"/>
        <w:rPr>
          <w:lang w:val="fr-CH"/>
        </w:rPr>
      </w:pPr>
      <w:r w:rsidRPr="0071782F">
        <w:rPr>
          <w:lang w:val="fr-CH"/>
        </w:rPr>
        <w:t>27.5</w:t>
      </w:r>
      <w:r w:rsidR="00EF6CFA" w:rsidRPr="0071782F">
        <w:rPr>
          <w:lang w:val="fr-CH"/>
        </w:rPr>
        <w:t>.</w:t>
      </w:r>
      <w:r w:rsidRPr="0071782F">
        <w:rPr>
          <w:lang w:val="fr-CH"/>
        </w:rPr>
        <w:tab/>
      </w:r>
      <w:r w:rsidR="00C17CC1" w:rsidRPr="0071782F">
        <w:rPr>
          <w:lang w:val="fr-CH"/>
        </w:rPr>
        <w:t xml:space="preserve">Le nombre de passagers transportés </w:t>
      </w:r>
      <w:r w:rsidRPr="0071782F">
        <w:rPr>
          <w:lang w:val="fr-CH"/>
        </w:rPr>
        <w:t>(</w:t>
      </w:r>
      <w:r w:rsidR="00C17CC1" w:rsidRPr="0071782F">
        <w:rPr>
          <w:lang w:val="fr-CH"/>
        </w:rPr>
        <w:t>kilomètres-</w:t>
      </w:r>
      <w:r w:rsidR="001C299D" w:rsidRPr="0071782F">
        <w:rPr>
          <w:lang w:val="fr-CH"/>
        </w:rPr>
        <w:t>personn</w:t>
      </w:r>
      <w:r w:rsidR="00C17CC1" w:rsidRPr="0071782F">
        <w:rPr>
          <w:lang w:val="fr-CH"/>
        </w:rPr>
        <w:t>e</w:t>
      </w:r>
      <w:r w:rsidRPr="0071782F">
        <w:rPr>
          <w:lang w:val="fr-CH"/>
        </w:rPr>
        <w:t xml:space="preserve">) </w:t>
      </w:r>
      <w:r w:rsidR="00C17CC1" w:rsidRPr="0071782F">
        <w:rPr>
          <w:lang w:val="fr-CH"/>
        </w:rPr>
        <w:t>e</w:t>
      </w:r>
      <w:r w:rsidRPr="0071782F">
        <w:rPr>
          <w:lang w:val="fr-CH"/>
        </w:rPr>
        <w:t xml:space="preserve">n 2006 </w:t>
      </w:r>
      <w:r w:rsidR="00C17CC1" w:rsidRPr="0071782F">
        <w:rPr>
          <w:lang w:val="fr-CH"/>
        </w:rPr>
        <w:t xml:space="preserve">a représenté au total </w:t>
      </w:r>
      <w:r w:rsidRPr="0071782F">
        <w:rPr>
          <w:lang w:val="fr-CH"/>
        </w:rPr>
        <w:t>12</w:t>
      </w:r>
      <w:r w:rsidR="00C17CC1" w:rsidRPr="0071782F">
        <w:rPr>
          <w:lang w:val="fr-CH"/>
        </w:rPr>
        <w:t>,</w:t>
      </w:r>
      <w:r w:rsidRPr="0071782F">
        <w:rPr>
          <w:lang w:val="fr-CH"/>
        </w:rPr>
        <w:t>5</w:t>
      </w:r>
      <w:r w:rsidR="008553D9" w:rsidRPr="0071782F">
        <w:rPr>
          <w:lang w:val="fr-CH"/>
        </w:rPr>
        <w:t> milliard</w:t>
      </w:r>
      <w:r w:rsidR="00097CDB" w:rsidRPr="0071782F">
        <w:rPr>
          <w:lang w:val="fr-CH"/>
        </w:rPr>
        <w:t>s</w:t>
      </w:r>
      <w:r w:rsidR="00C17CC1" w:rsidRPr="0071782F">
        <w:rPr>
          <w:lang w:val="fr-CH"/>
        </w:rPr>
        <w:t xml:space="preserve"> de</w:t>
      </w:r>
      <w:r w:rsidR="003F25A2">
        <w:rPr>
          <w:lang w:val="fr-CH"/>
        </w:rPr>
        <w:t xml:space="preserve"> </w:t>
      </w:r>
      <w:r w:rsidR="00A62149" w:rsidRPr="0071782F">
        <w:rPr>
          <w:lang w:val="fr-CH"/>
        </w:rPr>
        <w:t>kilomètres</w:t>
      </w:r>
      <w:r w:rsidR="00C17CC1" w:rsidRPr="0071782F">
        <w:rPr>
          <w:lang w:val="fr-CH"/>
        </w:rPr>
        <w:t>-</w:t>
      </w:r>
      <w:r w:rsidR="001C299D" w:rsidRPr="0071782F">
        <w:rPr>
          <w:lang w:val="fr-CH"/>
        </w:rPr>
        <w:t xml:space="preserve">personne </w:t>
      </w:r>
      <w:r w:rsidRPr="0071782F">
        <w:rPr>
          <w:lang w:val="fr-CH"/>
        </w:rPr>
        <w:t>(21</w:t>
      </w:r>
      <w:r w:rsidR="00C17CC1" w:rsidRPr="0071782F">
        <w:rPr>
          <w:lang w:val="fr-CH"/>
        </w:rPr>
        <w:t>,</w:t>
      </w:r>
      <w:r w:rsidRPr="0071782F">
        <w:rPr>
          <w:lang w:val="fr-CH"/>
        </w:rPr>
        <w:t>3</w:t>
      </w:r>
      <w:r w:rsidR="00097CDB" w:rsidRPr="0071782F">
        <w:rPr>
          <w:lang w:val="fr-CH"/>
        </w:rPr>
        <w:t> millions</w:t>
      </w:r>
      <w:r w:rsidR="00C17CC1" w:rsidRPr="0071782F">
        <w:rPr>
          <w:lang w:val="fr-CH"/>
        </w:rPr>
        <w:t xml:space="preserve"> </w:t>
      </w:r>
      <w:r w:rsidR="00AF44B8" w:rsidRPr="0071782F">
        <w:rPr>
          <w:lang w:val="fr-CH"/>
        </w:rPr>
        <w:t xml:space="preserve">de </w:t>
      </w:r>
      <w:r w:rsidR="00D82C96" w:rsidRPr="0071782F">
        <w:rPr>
          <w:lang w:val="fr-CH"/>
        </w:rPr>
        <w:t>personnes</w:t>
      </w:r>
      <w:r w:rsidRPr="0071782F">
        <w:rPr>
          <w:lang w:val="fr-CH"/>
        </w:rPr>
        <w:t xml:space="preserve">), </w:t>
      </w:r>
      <w:r w:rsidR="00C17CC1" w:rsidRPr="0071782F">
        <w:rPr>
          <w:lang w:val="fr-CH"/>
        </w:rPr>
        <w:t xml:space="preserve">en progression de </w:t>
      </w:r>
      <w:r w:rsidRPr="0071782F">
        <w:rPr>
          <w:lang w:val="fr-CH"/>
        </w:rPr>
        <w:t>12</w:t>
      </w:r>
      <w:r w:rsidR="00C17CC1" w:rsidRPr="0071782F">
        <w:rPr>
          <w:lang w:val="fr-CH"/>
        </w:rPr>
        <w:t>,</w:t>
      </w:r>
      <w:r w:rsidRPr="0071782F">
        <w:rPr>
          <w:lang w:val="fr-CH"/>
        </w:rPr>
        <w:t>6</w:t>
      </w:r>
      <w:r w:rsidR="007E5125"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27.6</w:t>
      </w:r>
      <w:r w:rsidR="00EF6CFA" w:rsidRPr="0071782F">
        <w:rPr>
          <w:lang w:val="fr-CH"/>
        </w:rPr>
        <w:t>.</w:t>
      </w:r>
      <w:r w:rsidRPr="0071782F">
        <w:rPr>
          <w:lang w:val="fr-CH"/>
        </w:rPr>
        <w:tab/>
      </w:r>
      <w:r w:rsidR="005C23B1" w:rsidRPr="0071782F">
        <w:rPr>
          <w:lang w:val="fr-CH"/>
        </w:rPr>
        <w:t xml:space="preserve">On a accru la capacité </w:t>
      </w:r>
      <w:r w:rsidRPr="0071782F">
        <w:rPr>
          <w:lang w:val="fr-CH"/>
        </w:rPr>
        <w:t>nominal</w:t>
      </w:r>
      <w:r w:rsidR="005C23B1" w:rsidRPr="0071782F">
        <w:rPr>
          <w:lang w:val="fr-CH"/>
        </w:rPr>
        <w:t xml:space="preserve">e des </w:t>
      </w:r>
      <w:r w:rsidRPr="0071782F">
        <w:rPr>
          <w:lang w:val="fr-CH"/>
        </w:rPr>
        <w:t xml:space="preserve">ports </w:t>
      </w:r>
      <w:r w:rsidR="005C23B1" w:rsidRPr="0071782F">
        <w:rPr>
          <w:lang w:val="fr-CH"/>
        </w:rPr>
        <w:t xml:space="preserve">du pays de </w:t>
      </w:r>
      <w:r w:rsidRPr="0071782F">
        <w:rPr>
          <w:lang w:val="fr-CH"/>
        </w:rPr>
        <w:t>122</w:t>
      </w:r>
      <w:r w:rsidR="005C23B1" w:rsidRPr="0071782F">
        <w:rPr>
          <w:lang w:val="fr-CH"/>
        </w:rPr>
        <w:t>,</w:t>
      </w:r>
      <w:r w:rsidRPr="0071782F">
        <w:rPr>
          <w:lang w:val="fr-CH"/>
        </w:rPr>
        <w:t>5</w:t>
      </w:r>
      <w:r w:rsidR="00097CDB" w:rsidRPr="0071782F">
        <w:rPr>
          <w:lang w:val="fr-CH"/>
        </w:rPr>
        <w:t> millions</w:t>
      </w:r>
      <w:r w:rsidR="005C23B1" w:rsidRPr="0071782F">
        <w:rPr>
          <w:lang w:val="fr-CH"/>
        </w:rPr>
        <w:t xml:space="preserve"> </w:t>
      </w:r>
      <w:r w:rsidR="00F87C4B" w:rsidRPr="0071782F">
        <w:rPr>
          <w:lang w:val="fr-CH"/>
        </w:rPr>
        <w:t>de tonnes</w:t>
      </w:r>
      <w:r w:rsidRPr="0071782F">
        <w:rPr>
          <w:lang w:val="fr-CH"/>
        </w:rPr>
        <w:t xml:space="preserve"> </w:t>
      </w:r>
      <w:r w:rsidR="005C23B1" w:rsidRPr="0071782F">
        <w:rPr>
          <w:lang w:val="fr-CH"/>
        </w:rPr>
        <w:t xml:space="preserve">grâce à des activités de développement, soit </w:t>
      </w:r>
      <w:r w:rsidRPr="0071782F">
        <w:rPr>
          <w:lang w:val="fr-CH"/>
        </w:rPr>
        <w:t>2</w:t>
      </w:r>
      <w:r w:rsidR="005C23B1" w:rsidRPr="0071782F">
        <w:rPr>
          <w:lang w:val="fr-CH"/>
        </w:rPr>
        <w:t>,</w:t>
      </w:r>
      <w:r w:rsidRPr="0071782F">
        <w:rPr>
          <w:lang w:val="fr-CH"/>
        </w:rPr>
        <w:t>5</w:t>
      </w:r>
      <w:r w:rsidR="00097CDB" w:rsidRPr="0071782F">
        <w:rPr>
          <w:lang w:val="fr-CH"/>
        </w:rPr>
        <w:t> millions</w:t>
      </w:r>
      <w:r w:rsidR="005C23B1" w:rsidRPr="0071782F">
        <w:rPr>
          <w:lang w:val="fr-CH"/>
        </w:rPr>
        <w:t xml:space="preserve"> </w:t>
      </w:r>
      <w:r w:rsidR="00F87C4B" w:rsidRPr="0071782F">
        <w:rPr>
          <w:lang w:val="fr-CH"/>
        </w:rPr>
        <w:t>de tonnes</w:t>
      </w:r>
      <w:r w:rsidRPr="0071782F">
        <w:rPr>
          <w:lang w:val="fr-CH"/>
        </w:rPr>
        <w:t xml:space="preserve"> </w:t>
      </w:r>
      <w:r w:rsidR="005C23B1" w:rsidRPr="0071782F">
        <w:rPr>
          <w:lang w:val="fr-CH"/>
        </w:rPr>
        <w:t xml:space="preserve">de plus que l’objectif inscrit au </w:t>
      </w:r>
      <w:r w:rsidR="00A90208" w:rsidRPr="0071782F">
        <w:rPr>
          <w:lang w:val="fr-CH"/>
        </w:rPr>
        <w:t>quatrième</w:t>
      </w:r>
      <w:r w:rsidR="005C23B1" w:rsidRPr="0071782F">
        <w:rPr>
          <w:lang w:val="fr-CH"/>
        </w:rPr>
        <w:t xml:space="preserve"> plan de développement.</w:t>
      </w:r>
    </w:p>
    <w:p w:rsidR="00972AC7" w:rsidRPr="0071782F" w:rsidRDefault="00972AC7" w:rsidP="00B55247">
      <w:pPr>
        <w:pStyle w:val="SingleTxtG"/>
        <w:ind w:left="1701"/>
        <w:rPr>
          <w:lang w:val="fr-CH"/>
        </w:rPr>
      </w:pPr>
      <w:r w:rsidRPr="0071782F">
        <w:rPr>
          <w:lang w:val="fr-CH"/>
        </w:rPr>
        <w:t>27.7</w:t>
      </w:r>
      <w:r w:rsidR="00EF6CFA" w:rsidRPr="0071782F">
        <w:rPr>
          <w:lang w:val="fr-CH"/>
        </w:rPr>
        <w:t>.</w:t>
      </w:r>
      <w:r w:rsidRPr="0071782F">
        <w:rPr>
          <w:lang w:val="fr-CH"/>
        </w:rPr>
        <w:tab/>
      </w:r>
      <w:r w:rsidR="005C23B1" w:rsidRPr="0071782F">
        <w:rPr>
          <w:lang w:val="fr-CH"/>
        </w:rPr>
        <w:t>On a augmenté le nombre de passagers transportés par avion. Il y en a eu 30,5</w:t>
      </w:r>
      <w:r w:rsidR="00097CDB" w:rsidRPr="0071782F">
        <w:rPr>
          <w:lang w:val="fr-CH"/>
        </w:rPr>
        <w:t> millions</w:t>
      </w:r>
      <w:r w:rsidR="005C23B1" w:rsidRPr="0071782F">
        <w:rPr>
          <w:lang w:val="fr-CH"/>
        </w:rPr>
        <w:t xml:space="preserve"> en 2006, contre </w:t>
      </w:r>
      <w:r w:rsidRPr="0071782F">
        <w:rPr>
          <w:lang w:val="fr-CH"/>
        </w:rPr>
        <w:t>26</w:t>
      </w:r>
      <w:r w:rsidR="005C23B1" w:rsidRPr="0071782F">
        <w:rPr>
          <w:lang w:val="fr-CH"/>
        </w:rPr>
        <w:t>,</w:t>
      </w:r>
      <w:r w:rsidRPr="0071782F">
        <w:rPr>
          <w:lang w:val="fr-CH"/>
        </w:rPr>
        <w:t>3</w:t>
      </w:r>
      <w:r w:rsidR="00097CDB" w:rsidRPr="0071782F">
        <w:rPr>
          <w:lang w:val="fr-CH"/>
        </w:rPr>
        <w:t> millions</w:t>
      </w:r>
      <w:r w:rsidR="005C23B1" w:rsidRPr="0071782F">
        <w:rPr>
          <w:lang w:val="fr-CH"/>
        </w:rPr>
        <w:t xml:space="preserve"> en</w:t>
      </w:r>
      <w:r w:rsidRPr="0071782F">
        <w:rPr>
          <w:lang w:val="fr-CH"/>
        </w:rPr>
        <w:t xml:space="preserve"> 2005, </w:t>
      </w:r>
      <w:r w:rsidR="00AF44B8" w:rsidRPr="0071782F">
        <w:rPr>
          <w:lang w:val="fr-CH"/>
        </w:rPr>
        <w:t>soit un accroissement de </w:t>
      </w:r>
      <w:r w:rsidR="005C23B1" w:rsidRPr="0071782F">
        <w:rPr>
          <w:lang w:val="fr-CH"/>
        </w:rPr>
        <w:t>15,</w:t>
      </w:r>
      <w:r w:rsidRPr="0071782F">
        <w:rPr>
          <w:lang w:val="fr-CH"/>
        </w:rPr>
        <w:t>5</w:t>
      </w:r>
      <w:r w:rsidR="007E5125" w:rsidRPr="0071782F">
        <w:rPr>
          <w:lang w:val="fr-CH"/>
        </w:rPr>
        <w:t>%</w:t>
      </w:r>
      <w:r w:rsidRPr="0071782F">
        <w:rPr>
          <w:lang w:val="fr-CH"/>
        </w:rPr>
        <w:t xml:space="preserve">. </w:t>
      </w:r>
    </w:p>
    <w:p w:rsidR="00972AC7" w:rsidRPr="0071782F" w:rsidRDefault="00972AC7" w:rsidP="00B55247">
      <w:pPr>
        <w:pStyle w:val="H1G"/>
        <w:rPr>
          <w:lang w:val="fr-CH"/>
        </w:rPr>
      </w:pPr>
      <w:r w:rsidRPr="0071782F">
        <w:rPr>
          <w:lang w:val="fr-CH"/>
        </w:rPr>
        <w:tab/>
      </w:r>
      <w:r w:rsidRPr="0071782F">
        <w:rPr>
          <w:lang w:val="fr-CH"/>
        </w:rPr>
        <w:tab/>
      </w:r>
      <w:r w:rsidR="005C23B1" w:rsidRPr="0071782F">
        <w:rPr>
          <w:lang w:val="fr-CH"/>
        </w:rPr>
        <w:t>Technologies de l’i</w:t>
      </w:r>
      <w:r w:rsidRPr="0071782F">
        <w:rPr>
          <w:lang w:val="fr-CH"/>
        </w:rPr>
        <w:t xml:space="preserve">nformation </w:t>
      </w:r>
      <w:r w:rsidR="005C23B1" w:rsidRPr="0071782F">
        <w:rPr>
          <w:lang w:val="fr-CH"/>
        </w:rPr>
        <w:t>et de la communication</w:t>
      </w:r>
    </w:p>
    <w:p w:rsidR="00972AC7" w:rsidRPr="0071782F" w:rsidRDefault="00972AC7" w:rsidP="00972AC7">
      <w:pPr>
        <w:pStyle w:val="SingleTxtG"/>
        <w:rPr>
          <w:lang w:val="fr-CH"/>
        </w:rPr>
      </w:pPr>
      <w:r w:rsidRPr="0071782F">
        <w:rPr>
          <w:lang w:val="fr-CH"/>
        </w:rPr>
        <w:t>28.</w:t>
      </w:r>
      <w:r w:rsidRPr="0071782F">
        <w:rPr>
          <w:lang w:val="fr-CH"/>
        </w:rPr>
        <w:tab/>
      </w:r>
      <w:r w:rsidR="00A016F5" w:rsidRPr="0071782F">
        <w:rPr>
          <w:lang w:val="fr-CH"/>
        </w:rPr>
        <w:t>Le secteur des TIC se compose de sous-secteurs aussi importants que la poste, les</w:t>
      </w:r>
      <w:r w:rsidRPr="0071782F">
        <w:rPr>
          <w:lang w:val="fr-CH"/>
        </w:rPr>
        <w:t xml:space="preserve"> t</w:t>
      </w:r>
      <w:r w:rsidR="00A016F5" w:rsidRPr="0071782F">
        <w:rPr>
          <w:lang w:val="fr-CH"/>
        </w:rPr>
        <w:t>é</w:t>
      </w:r>
      <w:r w:rsidRPr="0071782F">
        <w:rPr>
          <w:lang w:val="fr-CH"/>
        </w:rPr>
        <w:t>l</w:t>
      </w:r>
      <w:r w:rsidR="00A016F5" w:rsidRPr="0071782F">
        <w:rPr>
          <w:lang w:val="fr-CH"/>
        </w:rPr>
        <w:t>é</w:t>
      </w:r>
      <w:r w:rsidRPr="0071782F">
        <w:rPr>
          <w:lang w:val="fr-CH"/>
        </w:rPr>
        <w:t xml:space="preserve">communications </w:t>
      </w:r>
      <w:r w:rsidR="00A016F5" w:rsidRPr="0071782F">
        <w:rPr>
          <w:lang w:val="fr-CH"/>
        </w:rPr>
        <w:t>et les technologies de l’</w:t>
      </w:r>
      <w:r w:rsidRPr="0071782F">
        <w:rPr>
          <w:lang w:val="fr-CH"/>
        </w:rPr>
        <w:t xml:space="preserve">information. </w:t>
      </w:r>
      <w:r w:rsidR="00A016F5" w:rsidRPr="0071782F">
        <w:rPr>
          <w:lang w:val="fr-CH"/>
        </w:rPr>
        <w:t>La principale réalisation du sous-secteur de la poste en</w:t>
      </w:r>
      <w:r w:rsidRPr="0071782F">
        <w:rPr>
          <w:lang w:val="fr-CH"/>
        </w:rPr>
        <w:t xml:space="preserve"> 2006 </w:t>
      </w:r>
      <w:r w:rsidR="00A016F5" w:rsidRPr="0071782F">
        <w:rPr>
          <w:lang w:val="fr-CH"/>
        </w:rPr>
        <w:t xml:space="preserve">a été l’acheminement de </w:t>
      </w:r>
      <w:r w:rsidRPr="0071782F">
        <w:rPr>
          <w:lang w:val="fr-CH"/>
        </w:rPr>
        <w:t>938</w:t>
      </w:r>
      <w:r w:rsidR="00097CDB" w:rsidRPr="0071782F">
        <w:rPr>
          <w:lang w:val="fr-CH"/>
        </w:rPr>
        <w:t> millions</w:t>
      </w:r>
      <w:r w:rsidR="00A016F5" w:rsidRPr="0071782F">
        <w:rPr>
          <w:lang w:val="fr-CH"/>
        </w:rPr>
        <w:t xml:space="preserve"> de colis, qui a porté le volume total de colis par habitant </w:t>
      </w:r>
      <w:r w:rsidRPr="0071782F">
        <w:rPr>
          <w:lang w:val="fr-CH"/>
        </w:rPr>
        <w:t>(</w:t>
      </w:r>
      <w:r w:rsidR="00A016F5" w:rsidRPr="0071782F">
        <w:rPr>
          <w:lang w:val="fr-CH"/>
        </w:rPr>
        <w:t xml:space="preserve">acheminés par l’entreprise publique de services postaux) à </w:t>
      </w:r>
      <w:r w:rsidRPr="0071782F">
        <w:rPr>
          <w:lang w:val="fr-CH"/>
        </w:rPr>
        <w:t>13</w:t>
      </w:r>
      <w:r w:rsidR="00A016F5" w:rsidRPr="0071782F">
        <w:rPr>
          <w:lang w:val="fr-CH"/>
        </w:rPr>
        <w:t>,</w:t>
      </w:r>
      <w:r w:rsidRPr="0071782F">
        <w:rPr>
          <w:lang w:val="fr-CH"/>
        </w:rPr>
        <w:t xml:space="preserve">5 </w:t>
      </w:r>
      <w:r w:rsidR="00A016F5" w:rsidRPr="0071782F">
        <w:rPr>
          <w:lang w:val="fr-CH"/>
        </w:rPr>
        <w:t>colis par personne</w:t>
      </w:r>
      <w:r w:rsidRPr="0071782F">
        <w:rPr>
          <w:lang w:val="fr-CH"/>
        </w:rPr>
        <w:t xml:space="preserve">. </w:t>
      </w:r>
      <w:r w:rsidR="00A016F5" w:rsidRPr="0071782F">
        <w:rPr>
          <w:lang w:val="fr-CH"/>
        </w:rPr>
        <w:t xml:space="preserve">Par ailleurs, le nombre de colis par habitant s’est élevé à environ </w:t>
      </w:r>
      <w:r w:rsidRPr="0071782F">
        <w:rPr>
          <w:lang w:val="fr-CH"/>
        </w:rPr>
        <w:t>89</w:t>
      </w:r>
      <w:r w:rsidR="00E16059">
        <w:rPr>
          <w:lang w:val="fr-CH"/>
        </w:rPr>
        <w:t> </w:t>
      </w:r>
      <w:r w:rsidRPr="0071782F">
        <w:rPr>
          <w:lang w:val="fr-CH"/>
        </w:rPr>
        <w:t xml:space="preserve">900 </w:t>
      </w:r>
      <w:r w:rsidR="00A016F5" w:rsidRPr="0071782F">
        <w:rPr>
          <w:lang w:val="fr-CH"/>
        </w:rPr>
        <w:t>colis par poste et à environ 57</w:t>
      </w:r>
      <w:r w:rsidR="00E16059">
        <w:rPr>
          <w:lang w:val="fr-CH"/>
        </w:rPr>
        <w:t> </w:t>
      </w:r>
      <w:r w:rsidRPr="0071782F">
        <w:rPr>
          <w:lang w:val="fr-CH"/>
        </w:rPr>
        <w:t xml:space="preserve">352 </w:t>
      </w:r>
      <w:r w:rsidR="00A016F5" w:rsidRPr="0071782F">
        <w:rPr>
          <w:lang w:val="fr-CH"/>
        </w:rPr>
        <w:t>colis par postier.</w:t>
      </w:r>
      <w:r w:rsidRPr="0071782F">
        <w:rPr>
          <w:lang w:val="fr-CH"/>
        </w:rPr>
        <w:t xml:space="preserve"> </w:t>
      </w:r>
    </w:p>
    <w:p w:rsidR="00972AC7" w:rsidRPr="0071782F" w:rsidRDefault="00972AC7" w:rsidP="00B55247">
      <w:pPr>
        <w:pStyle w:val="SingleTxtG"/>
        <w:ind w:left="1701"/>
        <w:rPr>
          <w:lang w:val="fr-CH"/>
        </w:rPr>
      </w:pPr>
      <w:r w:rsidRPr="0071782F">
        <w:rPr>
          <w:lang w:val="fr-CH"/>
        </w:rPr>
        <w:t>28.1</w:t>
      </w:r>
      <w:r w:rsidR="00EF6CFA" w:rsidRPr="0071782F">
        <w:rPr>
          <w:lang w:val="fr-CH"/>
        </w:rPr>
        <w:t>.</w:t>
      </w:r>
      <w:r w:rsidRPr="0071782F">
        <w:rPr>
          <w:lang w:val="fr-CH"/>
        </w:rPr>
        <w:tab/>
      </w:r>
      <w:r w:rsidR="00A016F5" w:rsidRPr="0071782F">
        <w:rPr>
          <w:lang w:val="fr-CH"/>
        </w:rPr>
        <w:t>Dans le sous-se</w:t>
      </w:r>
      <w:r w:rsidR="0078380F" w:rsidRPr="0071782F">
        <w:rPr>
          <w:lang w:val="fr-CH"/>
        </w:rPr>
        <w:t>c</w:t>
      </w:r>
      <w:r w:rsidR="00A016F5" w:rsidRPr="0071782F">
        <w:rPr>
          <w:lang w:val="fr-CH"/>
        </w:rPr>
        <w:t xml:space="preserve">teur des </w:t>
      </w:r>
      <w:r w:rsidRPr="0071782F">
        <w:rPr>
          <w:lang w:val="fr-CH"/>
        </w:rPr>
        <w:t>t</w:t>
      </w:r>
      <w:r w:rsidR="00A016F5" w:rsidRPr="0071782F">
        <w:rPr>
          <w:lang w:val="fr-CH"/>
        </w:rPr>
        <w:t>é</w:t>
      </w:r>
      <w:r w:rsidRPr="0071782F">
        <w:rPr>
          <w:lang w:val="fr-CH"/>
        </w:rPr>
        <w:t>l</w:t>
      </w:r>
      <w:r w:rsidR="00A016F5" w:rsidRPr="0071782F">
        <w:rPr>
          <w:lang w:val="fr-CH"/>
        </w:rPr>
        <w:t>é</w:t>
      </w:r>
      <w:r w:rsidRPr="0071782F">
        <w:rPr>
          <w:lang w:val="fr-CH"/>
        </w:rPr>
        <w:t>communications</w:t>
      </w:r>
      <w:r w:rsidR="00A016F5" w:rsidRPr="0071782F">
        <w:rPr>
          <w:lang w:val="fr-CH"/>
        </w:rPr>
        <w:t>,</w:t>
      </w:r>
      <w:r w:rsidRPr="0071782F">
        <w:rPr>
          <w:lang w:val="fr-CH"/>
        </w:rPr>
        <w:t xml:space="preserve"> </w:t>
      </w:r>
      <w:r w:rsidR="00A016F5" w:rsidRPr="0071782F">
        <w:rPr>
          <w:lang w:val="fr-CH"/>
        </w:rPr>
        <w:t xml:space="preserve">on a installé quelque </w:t>
      </w:r>
      <w:r w:rsidRPr="0071782F">
        <w:rPr>
          <w:lang w:val="fr-CH"/>
        </w:rPr>
        <w:t>2</w:t>
      </w:r>
      <w:r w:rsidR="00A016F5" w:rsidRPr="0071782F">
        <w:rPr>
          <w:lang w:val="fr-CH"/>
        </w:rPr>
        <w:t> </w:t>
      </w:r>
      <w:r w:rsidRPr="0071782F">
        <w:rPr>
          <w:lang w:val="fr-CH"/>
        </w:rPr>
        <w:t>213</w:t>
      </w:r>
      <w:r w:rsidR="003F25A2">
        <w:rPr>
          <w:lang w:val="fr-CH"/>
        </w:rPr>
        <w:t> </w:t>
      </w:r>
      <w:r w:rsidRPr="0071782F">
        <w:rPr>
          <w:lang w:val="fr-CH"/>
        </w:rPr>
        <w:t>000</w:t>
      </w:r>
      <w:r w:rsidR="00E16059">
        <w:rPr>
          <w:lang w:val="fr-CH"/>
        </w:rPr>
        <w:t> </w:t>
      </w:r>
      <w:r w:rsidRPr="0071782F">
        <w:rPr>
          <w:lang w:val="fr-CH"/>
        </w:rPr>
        <w:t>n</w:t>
      </w:r>
      <w:r w:rsidR="00A016F5" w:rsidRPr="0071782F">
        <w:rPr>
          <w:lang w:val="fr-CH"/>
        </w:rPr>
        <w:t xml:space="preserve">ouvelles lignes </w:t>
      </w:r>
      <w:r w:rsidRPr="0071782F">
        <w:rPr>
          <w:lang w:val="fr-CH"/>
        </w:rPr>
        <w:t>t</w:t>
      </w:r>
      <w:r w:rsidR="00A016F5" w:rsidRPr="0071782F">
        <w:rPr>
          <w:lang w:val="fr-CH"/>
        </w:rPr>
        <w:t>é</w:t>
      </w:r>
      <w:r w:rsidRPr="0071782F">
        <w:rPr>
          <w:lang w:val="fr-CH"/>
        </w:rPr>
        <w:t>l</w:t>
      </w:r>
      <w:r w:rsidR="00A016F5" w:rsidRPr="0071782F">
        <w:rPr>
          <w:lang w:val="fr-CH"/>
        </w:rPr>
        <w:t>é</w:t>
      </w:r>
      <w:r w:rsidRPr="0071782F">
        <w:rPr>
          <w:lang w:val="fr-CH"/>
        </w:rPr>
        <w:t>phon</w:t>
      </w:r>
      <w:r w:rsidR="00A016F5" w:rsidRPr="0071782F">
        <w:rPr>
          <w:lang w:val="fr-CH"/>
        </w:rPr>
        <w:t>iques</w:t>
      </w:r>
      <w:r w:rsidRPr="0071782F">
        <w:rPr>
          <w:lang w:val="fr-CH"/>
        </w:rPr>
        <w:t xml:space="preserve"> </w:t>
      </w:r>
      <w:r w:rsidR="00A016F5" w:rsidRPr="0071782F">
        <w:rPr>
          <w:lang w:val="fr-CH"/>
        </w:rPr>
        <w:t xml:space="preserve">fixes, ce qui a porté leur nombre à </w:t>
      </w:r>
      <w:r w:rsidRPr="0071782F">
        <w:rPr>
          <w:lang w:val="fr-CH"/>
        </w:rPr>
        <w:t>22</w:t>
      </w:r>
      <w:r w:rsidR="00A016F5" w:rsidRPr="0071782F">
        <w:rPr>
          <w:lang w:val="fr-CH"/>
        </w:rPr>
        <w:t>,</w:t>
      </w:r>
      <w:r w:rsidRPr="0071782F">
        <w:rPr>
          <w:lang w:val="fr-CH"/>
        </w:rPr>
        <w:t>6</w:t>
      </w:r>
      <w:r w:rsidR="00097CDB" w:rsidRPr="0071782F">
        <w:rPr>
          <w:lang w:val="fr-CH"/>
        </w:rPr>
        <w:t> millions</w:t>
      </w:r>
      <w:r w:rsidR="00A016F5" w:rsidRPr="0071782F">
        <w:rPr>
          <w:lang w:val="fr-CH"/>
        </w:rPr>
        <w:t xml:space="preserve"> et le taux de pénétration de ces lignes </w:t>
      </w:r>
      <w:r w:rsidRPr="0071782F">
        <w:rPr>
          <w:lang w:val="fr-CH"/>
        </w:rPr>
        <w:t>(</w:t>
      </w:r>
      <w:r w:rsidR="00A016F5" w:rsidRPr="0071782F">
        <w:rPr>
          <w:lang w:val="fr-CH"/>
        </w:rPr>
        <w:t>nombre de lignes pour 100</w:t>
      </w:r>
      <w:r w:rsidR="00097CDB" w:rsidRPr="0071782F">
        <w:rPr>
          <w:lang w:val="fr-CH"/>
        </w:rPr>
        <w:t> personnes</w:t>
      </w:r>
      <w:r w:rsidRPr="0071782F">
        <w:rPr>
          <w:lang w:val="fr-CH"/>
        </w:rPr>
        <w:t xml:space="preserve">) </w:t>
      </w:r>
      <w:r w:rsidR="00A016F5" w:rsidRPr="0071782F">
        <w:rPr>
          <w:lang w:val="fr-CH"/>
        </w:rPr>
        <w:t>à</w:t>
      </w:r>
      <w:r w:rsidRPr="0071782F">
        <w:rPr>
          <w:lang w:val="fr-CH"/>
        </w:rPr>
        <w:t xml:space="preserve"> 32</w:t>
      </w:r>
      <w:r w:rsidR="00A016F5" w:rsidRPr="0071782F">
        <w:rPr>
          <w:lang w:val="fr-CH"/>
        </w:rPr>
        <w:t>,</w:t>
      </w:r>
      <w:r w:rsidRPr="0071782F">
        <w:rPr>
          <w:lang w:val="fr-CH"/>
        </w:rPr>
        <w:t>5</w:t>
      </w:r>
      <w:r w:rsidR="007E5125" w:rsidRPr="0071782F">
        <w:rPr>
          <w:lang w:val="fr-CH"/>
        </w:rPr>
        <w:t>%</w:t>
      </w:r>
      <w:r w:rsidRPr="0071782F">
        <w:rPr>
          <w:lang w:val="fr-CH"/>
        </w:rPr>
        <w:t xml:space="preserve">. </w:t>
      </w:r>
      <w:r w:rsidR="00A016F5" w:rsidRPr="0071782F">
        <w:rPr>
          <w:lang w:val="fr-CH"/>
        </w:rPr>
        <w:t xml:space="preserve">De plus, quelque </w:t>
      </w:r>
      <w:r w:rsidRPr="0071782F">
        <w:rPr>
          <w:lang w:val="fr-CH"/>
        </w:rPr>
        <w:t>6</w:t>
      </w:r>
      <w:r w:rsidR="00A016F5" w:rsidRPr="0071782F">
        <w:rPr>
          <w:lang w:val="fr-CH"/>
        </w:rPr>
        <w:t> </w:t>
      </w:r>
      <w:r w:rsidRPr="0071782F">
        <w:rPr>
          <w:lang w:val="fr-CH"/>
        </w:rPr>
        <w:t>849</w:t>
      </w:r>
      <w:r w:rsidR="00AF44B8" w:rsidRPr="0071782F">
        <w:rPr>
          <w:lang w:val="fr-CH"/>
        </w:rPr>
        <w:t> </w:t>
      </w:r>
      <w:r w:rsidRPr="0071782F">
        <w:rPr>
          <w:lang w:val="fr-CH"/>
        </w:rPr>
        <w:t xml:space="preserve">000 </w:t>
      </w:r>
      <w:r w:rsidR="00A016F5" w:rsidRPr="0071782F">
        <w:rPr>
          <w:lang w:val="fr-CH"/>
        </w:rPr>
        <w:t>lignes de téléphonie mobile (secteur public</w:t>
      </w:r>
      <w:r w:rsidRPr="0071782F">
        <w:rPr>
          <w:lang w:val="fr-CH"/>
        </w:rPr>
        <w:t xml:space="preserve">) </w:t>
      </w:r>
      <w:r w:rsidR="00A016F5" w:rsidRPr="0071782F">
        <w:rPr>
          <w:lang w:val="fr-CH"/>
        </w:rPr>
        <w:t>ont été créées</w:t>
      </w:r>
      <w:r w:rsidRPr="0071782F">
        <w:rPr>
          <w:lang w:val="fr-CH"/>
        </w:rPr>
        <w:t xml:space="preserve">, </w:t>
      </w:r>
      <w:r w:rsidR="00A016F5" w:rsidRPr="0071782F">
        <w:rPr>
          <w:lang w:val="fr-CH"/>
        </w:rPr>
        <w:t xml:space="preserve">portant le nombre </w:t>
      </w:r>
      <w:r w:rsidRPr="0071782F">
        <w:rPr>
          <w:lang w:val="fr-CH"/>
        </w:rPr>
        <w:t xml:space="preserve">total </w:t>
      </w:r>
      <w:r w:rsidR="00A016F5" w:rsidRPr="0071782F">
        <w:rPr>
          <w:lang w:val="fr-CH"/>
        </w:rPr>
        <w:t xml:space="preserve">d’abonnés à la téléphonie mobile à </w:t>
      </w:r>
      <w:r w:rsidRPr="0071782F">
        <w:rPr>
          <w:lang w:val="fr-CH"/>
        </w:rPr>
        <w:t>15</w:t>
      </w:r>
      <w:r w:rsidR="00A016F5" w:rsidRPr="0071782F">
        <w:rPr>
          <w:lang w:val="fr-CH"/>
        </w:rPr>
        <w:t>,</w:t>
      </w:r>
      <w:r w:rsidRPr="0071782F">
        <w:rPr>
          <w:lang w:val="fr-CH"/>
        </w:rPr>
        <w:t>35</w:t>
      </w:r>
      <w:r w:rsidR="00097CDB" w:rsidRPr="0071782F">
        <w:rPr>
          <w:lang w:val="fr-CH"/>
        </w:rPr>
        <w:t> millions</w:t>
      </w:r>
      <w:r w:rsidRPr="0071782F">
        <w:rPr>
          <w:lang w:val="fr-CH"/>
        </w:rPr>
        <w:t xml:space="preserve"> </w:t>
      </w:r>
      <w:r w:rsidR="00A016F5" w:rsidRPr="0071782F">
        <w:rPr>
          <w:lang w:val="fr-CH"/>
        </w:rPr>
        <w:t xml:space="preserve">et le taux de pénétration des lignes de téléphonie mobile à </w:t>
      </w:r>
      <w:r w:rsidRPr="0071782F">
        <w:rPr>
          <w:lang w:val="fr-CH"/>
        </w:rPr>
        <w:t>22</w:t>
      </w:r>
      <w:r w:rsidR="00A016F5" w:rsidRPr="0071782F">
        <w:rPr>
          <w:lang w:val="fr-CH"/>
        </w:rPr>
        <w:t>,</w:t>
      </w:r>
      <w:r w:rsidRPr="0071782F">
        <w:rPr>
          <w:lang w:val="fr-CH"/>
        </w:rPr>
        <w:t>22</w:t>
      </w:r>
      <w:r w:rsidR="007E5125" w:rsidRPr="0071782F">
        <w:rPr>
          <w:lang w:val="fr-CH"/>
        </w:rPr>
        <w:t>%</w:t>
      </w:r>
      <w:r w:rsidRPr="0071782F">
        <w:rPr>
          <w:lang w:val="fr-CH"/>
        </w:rPr>
        <w:t xml:space="preserve"> </w:t>
      </w:r>
      <w:r w:rsidR="00A016F5" w:rsidRPr="0071782F">
        <w:rPr>
          <w:lang w:val="fr-CH"/>
        </w:rPr>
        <w:t xml:space="preserve">à la fin de </w:t>
      </w:r>
      <w:r w:rsidRPr="0071782F">
        <w:rPr>
          <w:lang w:val="fr-CH"/>
        </w:rPr>
        <w:t xml:space="preserve">2006. </w:t>
      </w:r>
      <w:r w:rsidR="00A016F5" w:rsidRPr="0071782F">
        <w:rPr>
          <w:lang w:val="fr-CH"/>
        </w:rPr>
        <w:t xml:space="preserve">Le taux de pénétration </w:t>
      </w:r>
      <w:r w:rsidRPr="0071782F">
        <w:rPr>
          <w:lang w:val="fr-CH"/>
        </w:rPr>
        <w:t>total</w:t>
      </w:r>
      <w:r w:rsidR="00A016F5" w:rsidRPr="0071782F">
        <w:rPr>
          <w:lang w:val="fr-CH"/>
        </w:rPr>
        <w:t>, toute</w:t>
      </w:r>
      <w:r w:rsidR="00AF44B8" w:rsidRPr="0071782F">
        <w:rPr>
          <w:lang w:val="fr-CH"/>
        </w:rPr>
        <w:t>s</w:t>
      </w:r>
      <w:r w:rsidR="00A016F5" w:rsidRPr="0071782F">
        <w:rPr>
          <w:lang w:val="fr-CH"/>
        </w:rPr>
        <w:t xml:space="preserve"> lignes téléphoniques confondues, est ainsi devenu supérieur à </w:t>
      </w:r>
      <w:r w:rsidRPr="0071782F">
        <w:rPr>
          <w:lang w:val="fr-CH"/>
        </w:rPr>
        <w:t>54</w:t>
      </w:r>
      <w:r w:rsidR="0078380F" w:rsidRPr="0071782F">
        <w:rPr>
          <w:lang w:val="fr-CH"/>
        </w:rPr>
        <w:t>,</w:t>
      </w:r>
      <w:r w:rsidRPr="0071782F">
        <w:rPr>
          <w:lang w:val="fr-CH"/>
        </w:rPr>
        <w:t>7</w:t>
      </w:r>
      <w:r w:rsidR="007E5125" w:rsidRPr="0071782F">
        <w:rPr>
          <w:lang w:val="fr-CH"/>
        </w:rPr>
        <w:t>%</w:t>
      </w:r>
      <w:r w:rsidRPr="0071782F">
        <w:rPr>
          <w:lang w:val="fr-CH"/>
        </w:rPr>
        <w:t xml:space="preserve">. </w:t>
      </w:r>
      <w:r w:rsidR="00A016F5" w:rsidRPr="0071782F">
        <w:rPr>
          <w:lang w:val="fr-CH"/>
        </w:rPr>
        <w:t>Par ailleurs, en 2006, 3</w:t>
      </w:r>
      <w:r w:rsidR="00AF44B8" w:rsidRPr="0071782F">
        <w:rPr>
          <w:lang w:val="fr-CH"/>
        </w:rPr>
        <w:t> </w:t>
      </w:r>
      <w:r w:rsidRPr="0071782F">
        <w:rPr>
          <w:lang w:val="fr-CH"/>
        </w:rPr>
        <w:t xml:space="preserve">103 villages </w:t>
      </w:r>
      <w:r w:rsidR="00A016F5" w:rsidRPr="0071782F">
        <w:rPr>
          <w:lang w:val="fr-CH"/>
        </w:rPr>
        <w:t xml:space="preserve">supplémentaires ont été connectés au réseau de </w:t>
      </w:r>
      <w:r w:rsidRPr="0071782F">
        <w:rPr>
          <w:lang w:val="fr-CH"/>
        </w:rPr>
        <w:t>t</w:t>
      </w:r>
      <w:r w:rsidR="00A016F5" w:rsidRPr="0071782F">
        <w:rPr>
          <w:lang w:val="fr-CH"/>
        </w:rPr>
        <w:t>é</w:t>
      </w:r>
      <w:r w:rsidRPr="0071782F">
        <w:rPr>
          <w:lang w:val="fr-CH"/>
        </w:rPr>
        <w:t>l</w:t>
      </w:r>
      <w:r w:rsidR="00A016F5" w:rsidRPr="0071782F">
        <w:rPr>
          <w:lang w:val="fr-CH"/>
        </w:rPr>
        <w:t>é</w:t>
      </w:r>
      <w:r w:rsidRPr="0071782F">
        <w:rPr>
          <w:lang w:val="fr-CH"/>
        </w:rPr>
        <w:t xml:space="preserve">communications, </w:t>
      </w:r>
      <w:r w:rsidR="00A016F5" w:rsidRPr="0071782F">
        <w:rPr>
          <w:lang w:val="fr-CH"/>
        </w:rPr>
        <w:t xml:space="preserve">ce qui a porté à 51 000 le nombre de </w:t>
      </w:r>
      <w:r w:rsidRPr="0071782F">
        <w:rPr>
          <w:lang w:val="fr-CH"/>
        </w:rPr>
        <w:t xml:space="preserve">villages </w:t>
      </w:r>
      <w:r w:rsidR="00A016F5" w:rsidRPr="0071782F">
        <w:rPr>
          <w:lang w:val="fr-CH"/>
        </w:rPr>
        <w:t xml:space="preserve">connectés au réseau </w:t>
      </w:r>
      <w:r w:rsidRPr="0071782F">
        <w:rPr>
          <w:lang w:val="fr-CH"/>
        </w:rPr>
        <w:t xml:space="preserve">national. </w:t>
      </w:r>
    </w:p>
    <w:p w:rsidR="00972AC7" w:rsidRPr="0071782F" w:rsidRDefault="00972AC7" w:rsidP="00B55247">
      <w:pPr>
        <w:pStyle w:val="SingleTxtG"/>
        <w:ind w:left="1701"/>
        <w:rPr>
          <w:lang w:val="fr-CH"/>
        </w:rPr>
      </w:pPr>
      <w:r w:rsidRPr="0071782F">
        <w:rPr>
          <w:lang w:val="fr-CH"/>
        </w:rPr>
        <w:t>28.2</w:t>
      </w:r>
      <w:r w:rsidR="00EF6CFA" w:rsidRPr="0071782F">
        <w:rPr>
          <w:lang w:val="fr-CH"/>
        </w:rPr>
        <w:t>.</w:t>
      </w:r>
      <w:r w:rsidRPr="0071782F">
        <w:rPr>
          <w:lang w:val="fr-CH"/>
        </w:rPr>
        <w:tab/>
      </w:r>
      <w:r w:rsidR="00A016F5" w:rsidRPr="0071782F">
        <w:rPr>
          <w:lang w:val="fr-CH"/>
        </w:rPr>
        <w:t xml:space="preserve">Dans le secteur des </w:t>
      </w:r>
      <w:r w:rsidRPr="0071782F">
        <w:rPr>
          <w:lang w:val="fr-CH"/>
        </w:rPr>
        <w:t>technolog</w:t>
      </w:r>
      <w:r w:rsidR="00A016F5" w:rsidRPr="0071782F">
        <w:rPr>
          <w:lang w:val="fr-CH"/>
        </w:rPr>
        <w:t xml:space="preserve">ies de l’information, le taux de pénétration des utilisateurs est passé de </w:t>
      </w:r>
      <w:r w:rsidRPr="0071782F">
        <w:rPr>
          <w:lang w:val="fr-CH"/>
        </w:rPr>
        <w:t>11</w:t>
      </w:r>
      <w:r w:rsidR="007E5125" w:rsidRPr="0071782F">
        <w:rPr>
          <w:lang w:val="fr-CH"/>
        </w:rPr>
        <w:t>%</w:t>
      </w:r>
      <w:r w:rsidRPr="0071782F">
        <w:rPr>
          <w:lang w:val="fr-CH"/>
        </w:rPr>
        <w:t xml:space="preserve"> </w:t>
      </w:r>
      <w:r w:rsidR="00A016F5" w:rsidRPr="0071782F">
        <w:rPr>
          <w:lang w:val="fr-CH"/>
        </w:rPr>
        <w:t>e</w:t>
      </w:r>
      <w:r w:rsidRPr="0071782F">
        <w:rPr>
          <w:lang w:val="fr-CH"/>
        </w:rPr>
        <w:t xml:space="preserve">n 2005 </w:t>
      </w:r>
      <w:r w:rsidR="00A016F5" w:rsidRPr="0071782F">
        <w:rPr>
          <w:lang w:val="fr-CH"/>
        </w:rPr>
        <w:t>à</w:t>
      </w:r>
      <w:r w:rsidRPr="0071782F">
        <w:rPr>
          <w:lang w:val="fr-CH"/>
        </w:rPr>
        <w:t xml:space="preserve"> 16</w:t>
      </w:r>
      <w:r w:rsidR="00A016F5" w:rsidRPr="0071782F">
        <w:rPr>
          <w:lang w:val="fr-CH"/>
        </w:rPr>
        <w:t>,</w:t>
      </w:r>
      <w:r w:rsidRPr="0071782F">
        <w:rPr>
          <w:lang w:val="fr-CH"/>
        </w:rPr>
        <w:t>1</w:t>
      </w:r>
      <w:r w:rsidR="007E5125" w:rsidRPr="0071782F">
        <w:rPr>
          <w:lang w:val="fr-CH"/>
        </w:rPr>
        <w:t>%</w:t>
      </w:r>
      <w:r w:rsidRPr="0071782F">
        <w:rPr>
          <w:lang w:val="fr-CH"/>
        </w:rPr>
        <w:t xml:space="preserve"> </w:t>
      </w:r>
      <w:r w:rsidR="00A016F5" w:rsidRPr="0071782F">
        <w:rPr>
          <w:lang w:val="fr-CH"/>
        </w:rPr>
        <w:t>e</w:t>
      </w:r>
      <w:r w:rsidRPr="0071782F">
        <w:rPr>
          <w:lang w:val="fr-CH"/>
        </w:rPr>
        <w:t xml:space="preserve">n 2006. </w:t>
      </w:r>
      <w:r w:rsidR="00A016F5" w:rsidRPr="0071782F">
        <w:rPr>
          <w:lang w:val="fr-CH"/>
        </w:rPr>
        <w:t xml:space="preserve">Par ailleurs, le ratio trafic d’entrée local/trafic total est passé à </w:t>
      </w:r>
      <w:r w:rsidRPr="0071782F">
        <w:rPr>
          <w:lang w:val="fr-CH"/>
        </w:rPr>
        <w:t>52</w:t>
      </w:r>
      <w:r w:rsidR="007E5125" w:rsidRPr="0071782F">
        <w:rPr>
          <w:lang w:val="fr-CH"/>
        </w:rPr>
        <w:t>%</w:t>
      </w:r>
      <w:r w:rsidRPr="0071782F">
        <w:rPr>
          <w:lang w:val="fr-CH"/>
        </w:rPr>
        <w:t xml:space="preserve">. </w:t>
      </w:r>
    </w:p>
    <w:p w:rsidR="00972AC7" w:rsidRPr="0071782F" w:rsidRDefault="00972AC7" w:rsidP="00B55247">
      <w:pPr>
        <w:pStyle w:val="H1G"/>
        <w:rPr>
          <w:lang w:val="fr-CH"/>
        </w:rPr>
      </w:pPr>
      <w:r w:rsidRPr="0071782F">
        <w:rPr>
          <w:lang w:val="fr-CH"/>
        </w:rPr>
        <w:tab/>
      </w:r>
      <w:r w:rsidRPr="0071782F">
        <w:rPr>
          <w:lang w:val="fr-CH"/>
        </w:rPr>
        <w:tab/>
      </w:r>
      <w:r w:rsidR="00A016F5" w:rsidRPr="0071782F">
        <w:rPr>
          <w:lang w:val="fr-CH"/>
        </w:rPr>
        <w:t xml:space="preserve">Aménagement urbain </w:t>
      </w:r>
    </w:p>
    <w:p w:rsidR="00972AC7" w:rsidRPr="0071782F" w:rsidRDefault="00972AC7" w:rsidP="00972AC7">
      <w:pPr>
        <w:pStyle w:val="SingleTxtG"/>
        <w:rPr>
          <w:lang w:val="fr-CH"/>
        </w:rPr>
      </w:pPr>
      <w:r w:rsidRPr="0071782F">
        <w:rPr>
          <w:lang w:val="fr-CH"/>
        </w:rPr>
        <w:t>29.</w:t>
      </w:r>
      <w:r w:rsidRPr="0071782F">
        <w:rPr>
          <w:lang w:val="fr-CH"/>
        </w:rPr>
        <w:tab/>
      </w:r>
      <w:r w:rsidR="00A016F5" w:rsidRPr="0071782F">
        <w:rPr>
          <w:lang w:val="fr-CH"/>
        </w:rPr>
        <w:t>Aux termes du Plan stratégique sur 20</w:t>
      </w:r>
      <w:r w:rsidR="00D82C96" w:rsidRPr="0071782F">
        <w:rPr>
          <w:lang w:val="fr-CH"/>
        </w:rPr>
        <w:t> ans</w:t>
      </w:r>
      <w:r w:rsidR="00A016F5" w:rsidRPr="0071782F">
        <w:rPr>
          <w:lang w:val="fr-CH"/>
        </w:rPr>
        <w:t>, les objectifs en matière d’</w:t>
      </w:r>
      <w:r w:rsidR="009B513C" w:rsidRPr="0071782F">
        <w:rPr>
          <w:lang w:val="fr-CH"/>
        </w:rPr>
        <w:t>aménagement urbain sont considérés comme étant</w:t>
      </w:r>
      <w:r w:rsidRPr="0071782F">
        <w:rPr>
          <w:lang w:val="fr-CH"/>
        </w:rPr>
        <w:t xml:space="preserve"> </w:t>
      </w:r>
      <w:r w:rsidR="00A62149" w:rsidRPr="0071782F">
        <w:rPr>
          <w:lang w:val="fr-CH"/>
        </w:rPr>
        <w:t>"</w:t>
      </w:r>
      <w:r w:rsidR="009B513C" w:rsidRPr="0071782F">
        <w:rPr>
          <w:lang w:val="fr-CH"/>
        </w:rPr>
        <w:t xml:space="preserve">le fait d’être en bonne santé et le bénéfice de la sécurité, de la protection sociale et d’un environnement favorable, de même qu’un développement durable et équilibré adapté aux caractéristiques culturelles, </w:t>
      </w:r>
      <w:r w:rsidRPr="0071782F">
        <w:rPr>
          <w:lang w:val="fr-CH"/>
        </w:rPr>
        <w:t>g</w:t>
      </w:r>
      <w:r w:rsidR="009B513C" w:rsidRPr="0071782F">
        <w:rPr>
          <w:lang w:val="fr-CH"/>
        </w:rPr>
        <w:t>é</w:t>
      </w:r>
      <w:r w:rsidRPr="0071782F">
        <w:rPr>
          <w:lang w:val="fr-CH"/>
        </w:rPr>
        <w:t>ographi</w:t>
      </w:r>
      <w:r w:rsidR="009B513C" w:rsidRPr="0071782F">
        <w:rPr>
          <w:lang w:val="fr-CH"/>
        </w:rPr>
        <w:t>ques</w:t>
      </w:r>
      <w:r w:rsidRPr="0071782F">
        <w:rPr>
          <w:lang w:val="fr-CH"/>
        </w:rPr>
        <w:t xml:space="preserve"> </w:t>
      </w:r>
      <w:r w:rsidR="009B513C" w:rsidRPr="0071782F">
        <w:rPr>
          <w:lang w:val="fr-CH"/>
        </w:rPr>
        <w:t>et naturelles de chaque collectivité urbaine</w:t>
      </w:r>
      <w:r w:rsidR="00A62149" w:rsidRPr="0071782F">
        <w:rPr>
          <w:lang w:val="fr-CH"/>
        </w:rPr>
        <w:t>"</w:t>
      </w:r>
      <w:r w:rsidRPr="0071782F">
        <w:rPr>
          <w:lang w:val="fr-CH"/>
        </w:rPr>
        <w:t>.</w:t>
      </w:r>
    </w:p>
    <w:p w:rsidR="00972AC7" w:rsidRPr="0071782F" w:rsidRDefault="00972AC7" w:rsidP="00B55247">
      <w:pPr>
        <w:pStyle w:val="H1G"/>
        <w:rPr>
          <w:lang w:val="fr-CH"/>
        </w:rPr>
      </w:pPr>
      <w:r w:rsidRPr="0071782F">
        <w:rPr>
          <w:lang w:val="fr-CH"/>
        </w:rPr>
        <w:tab/>
      </w:r>
      <w:r w:rsidRPr="0071782F">
        <w:rPr>
          <w:lang w:val="fr-CH"/>
        </w:rPr>
        <w:tab/>
      </w:r>
      <w:r w:rsidR="009B513C" w:rsidRPr="0071782F">
        <w:rPr>
          <w:lang w:val="fr-CH"/>
        </w:rPr>
        <w:t xml:space="preserve">Résultats des indicateurs </w:t>
      </w:r>
    </w:p>
    <w:p w:rsidR="00972AC7" w:rsidRPr="0071782F" w:rsidRDefault="00972AC7" w:rsidP="00972AC7">
      <w:pPr>
        <w:pStyle w:val="SingleTxtG"/>
        <w:rPr>
          <w:lang w:val="fr-CH"/>
        </w:rPr>
      </w:pPr>
      <w:r w:rsidRPr="0071782F">
        <w:rPr>
          <w:lang w:val="fr-CH"/>
        </w:rPr>
        <w:t>30.</w:t>
      </w:r>
      <w:r w:rsidRPr="0071782F">
        <w:rPr>
          <w:lang w:val="fr-CH"/>
        </w:rPr>
        <w:tab/>
      </w:r>
      <w:r w:rsidR="00EE4B84" w:rsidRPr="0071782F">
        <w:rPr>
          <w:lang w:val="fr-CH"/>
        </w:rPr>
        <w:t xml:space="preserve">La proportion de la </w:t>
      </w:r>
      <w:r w:rsidRPr="0071782F">
        <w:rPr>
          <w:lang w:val="fr-CH"/>
        </w:rPr>
        <w:t xml:space="preserve">population </w:t>
      </w:r>
      <w:r w:rsidR="00EE4B84" w:rsidRPr="0071782F">
        <w:rPr>
          <w:lang w:val="fr-CH"/>
        </w:rPr>
        <w:t xml:space="preserve">raccordée à un réseau urbain d’adduction d’eau est passée de </w:t>
      </w:r>
      <w:r w:rsidRPr="0071782F">
        <w:rPr>
          <w:lang w:val="fr-CH"/>
        </w:rPr>
        <w:t>98</w:t>
      </w:r>
      <w:r w:rsidR="00EE4B84" w:rsidRPr="0071782F">
        <w:rPr>
          <w:lang w:val="fr-CH"/>
        </w:rPr>
        <w:t>,</w:t>
      </w:r>
      <w:r w:rsidRPr="0071782F">
        <w:rPr>
          <w:lang w:val="fr-CH"/>
        </w:rPr>
        <w:t>3</w:t>
      </w:r>
      <w:r w:rsidR="007E5125" w:rsidRPr="0071782F">
        <w:rPr>
          <w:lang w:val="fr-CH"/>
        </w:rPr>
        <w:t>%</w:t>
      </w:r>
      <w:r w:rsidRPr="0071782F">
        <w:rPr>
          <w:lang w:val="fr-CH"/>
        </w:rPr>
        <w:t xml:space="preserve"> </w:t>
      </w:r>
      <w:r w:rsidR="00EE4B84" w:rsidRPr="0071782F">
        <w:rPr>
          <w:lang w:val="fr-CH"/>
        </w:rPr>
        <w:t>e</w:t>
      </w:r>
      <w:r w:rsidRPr="0071782F">
        <w:rPr>
          <w:lang w:val="fr-CH"/>
        </w:rPr>
        <w:t xml:space="preserve">n 2005 </w:t>
      </w:r>
      <w:r w:rsidR="00EE4B84" w:rsidRPr="0071782F">
        <w:rPr>
          <w:lang w:val="fr-CH"/>
        </w:rPr>
        <w:t>à</w:t>
      </w:r>
      <w:r w:rsidRPr="0071782F">
        <w:rPr>
          <w:lang w:val="fr-CH"/>
        </w:rPr>
        <w:t xml:space="preserve"> 98</w:t>
      </w:r>
      <w:r w:rsidR="00EE4B84" w:rsidRPr="0071782F">
        <w:rPr>
          <w:lang w:val="fr-CH"/>
        </w:rPr>
        <w:t>,</w:t>
      </w:r>
      <w:r w:rsidRPr="0071782F">
        <w:rPr>
          <w:lang w:val="fr-CH"/>
        </w:rPr>
        <w:t>4</w:t>
      </w:r>
      <w:r w:rsidR="007E5125" w:rsidRPr="0071782F">
        <w:rPr>
          <w:lang w:val="fr-CH"/>
        </w:rPr>
        <w:t>%</w:t>
      </w:r>
      <w:r w:rsidRPr="0071782F">
        <w:rPr>
          <w:lang w:val="fr-CH"/>
        </w:rPr>
        <w:t xml:space="preserve"> </w:t>
      </w:r>
      <w:r w:rsidR="00EE4B84" w:rsidRPr="0071782F">
        <w:rPr>
          <w:lang w:val="fr-CH"/>
        </w:rPr>
        <w:t>e</w:t>
      </w:r>
      <w:r w:rsidRPr="0071782F">
        <w:rPr>
          <w:lang w:val="fr-CH"/>
        </w:rPr>
        <w:t xml:space="preserve">n 2006, </w:t>
      </w:r>
      <w:r w:rsidR="00EE4B84" w:rsidRPr="0071782F">
        <w:rPr>
          <w:lang w:val="fr-CH"/>
        </w:rPr>
        <w:t xml:space="preserve">ce qui a permis de réaliser à </w:t>
      </w:r>
      <w:r w:rsidRPr="0071782F">
        <w:rPr>
          <w:lang w:val="fr-CH"/>
        </w:rPr>
        <w:t>99</w:t>
      </w:r>
      <w:r w:rsidR="007E5125" w:rsidRPr="0071782F">
        <w:rPr>
          <w:lang w:val="fr-CH"/>
        </w:rPr>
        <w:t>%</w:t>
      </w:r>
      <w:r w:rsidRPr="0071782F">
        <w:rPr>
          <w:lang w:val="fr-CH"/>
        </w:rPr>
        <w:t xml:space="preserve"> </w:t>
      </w:r>
      <w:r w:rsidR="00EE4B84" w:rsidRPr="0071782F">
        <w:rPr>
          <w:lang w:val="fr-CH"/>
        </w:rPr>
        <w:t xml:space="preserve">l’objectif fixé par le </w:t>
      </w:r>
      <w:r w:rsidR="00A90208" w:rsidRPr="0071782F">
        <w:rPr>
          <w:lang w:val="fr-CH"/>
        </w:rPr>
        <w:t>quatrième</w:t>
      </w:r>
      <w:r w:rsidR="00EE4B84" w:rsidRPr="0071782F">
        <w:rPr>
          <w:lang w:val="fr-CH"/>
        </w:rPr>
        <w:t xml:space="preserve"> plan de développement</w:t>
      </w:r>
      <w:r w:rsidRPr="0071782F">
        <w:rPr>
          <w:lang w:val="fr-CH"/>
        </w:rPr>
        <w:t>.</w:t>
      </w:r>
    </w:p>
    <w:p w:rsidR="00972AC7" w:rsidRPr="0071782F" w:rsidRDefault="00972AC7" w:rsidP="00B55247">
      <w:pPr>
        <w:pStyle w:val="SingleTxtG"/>
        <w:ind w:left="1701"/>
        <w:rPr>
          <w:lang w:val="fr-CH"/>
        </w:rPr>
      </w:pPr>
      <w:r w:rsidRPr="0071782F">
        <w:rPr>
          <w:lang w:val="fr-CH"/>
        </w:rPr>
        <w:t>30.1</w:t>
      </w:r>
      <w:r w:rsidR="00EF6CFA" w:rsidRPr="0071782F">
        <w:rPr>
          <w:lang w:val="fr-CH"/>
        </w:rPr>
        <w:t>.</w:t>
      </w:r>
      <w:r w:rsidRPr="0071782F">
        <w:rPr>
          <w:lang w:val="fr-CH"/>
        </w:rPr>
        <w:tab/>
      </w:r>
      <w:r w:rsidR="00EE4B84" w:rsidRPr="0071782F">
        <w:rPr>
          <w:lang w:val="fr-CH"/>
        </w:rPr>
        <w:t>La capacité des réservoirs d’eau urbains est passée de</w:t>
      </w:r>
      <w:r w:rsidRPr="0071782F">
        <w:rPr>
          <w:lang w:val="fr-CH"/>
        </w:rPr>
        <w:t xml:space="preserve"> </w:t>
      </w:r>
      <w:r w:rsidR="00EE4B84" w:rsidRPr="0071782F">
        <w:rPr>
          <w:lang w:val="fr-CH"/>
        </w:rPr>
        <w:t>420</w:t>
      </w:r>
      <w:r w:rsidR="003F25A2">
        <w:rPr>
          <w:lang w:val="fr-CH"/>
        </w:rPr>
        <w:t> </w:t>
      </w:r>
      <w:r w:rsidRPr="0071782F">
        <w:rPr>
          <w:lang w:val="fr-CH"/>
        </w:rPr>
        <w:t>000</w:t>
      </w:r>
      <w:r w:rsidR="00AF44B8" w:rsidRPr="0071782F">
        <w:rPr>
          <w:lang w:val="fr-CH"/>
        </w:rPr>
        <w:t> m</w:t>
      </w:r>
      <w:r w:rsidR="003F25A2" w:rsidRPr="003F25A2">
        <w:rPr>
          <w:vertAlign w:val="superscript"/>
          <w:lang w:val="fr-CH"/>
        </w:rPr>
        <w:t>3</w:t>
      </w:r>
      <w:r w:rsidR="00EE4B84" w:rsidRPr="0071782F">
        <w:rPr>
          <w:lang w:val="fr-CH"/>
        </w:rPr>
        <w:t xml:space="preserve">en </w:t>
      </w:r>
      <w:r w:rsidRPr="0071782F">
        <w:rPr>
          <w:lang w:val="fr-CH"/>
        </w:rPr>
        <w:t xml:space="preserve">2005 </w:t>
      </w:r>
      <w:r w:rsidR="00EE4B84" w:rsidRPr="0071782F">
        <w:rPr>
          <w:lang w:val="fr-CH"/>
        </w:rPr>
        <w:t>à</w:t>
      </w:r>
      <w:r w:rsidRPr="0071782F">
        <w:rPr>
          <w:lang w:val="fr-CH"/>
        </w:rPr>
        <w:t xml:space="preserve"> 570</w:t>
      </w:r>
      <w:r w:rsidR="00AF44B8" w:rsidRPr="0071782F">
        <w:rPr>
          <w:lang w:val="fr-CH"/>
        </w:rPr>
        <w:t> </w:t>
      </w:r>
      <w:r w:rsidRPr="0071782F">
        <w:rPr>
          <w:lang w:val="fr-CH"/>
        </w:rPr>
        <w:t>000</w:t>
      </w:r>
      <w:r w:rsidR="00AF44B8" w:rsidRPr="0071782F">
        <w:rPr>
          <w:lang w:val="fr-CH"/>
        </w:rPr>
        <w:t> m</w:t>
      </w:r>
      <w:r w:rsidR="003F25A2" w:rsidRPr="003F25A2">
        <w:rPr>
          <w:vertAlign w:val="superscript"/>
          <w:lang w:val="fr-CH"/>
        </w:rPr>
        <w:t>3</w:t>
      </w:r>
      <w:r w:rsidR="00EE4B84" w:rsidRPr="0071782F">
        <w:rPr>
          <w:lang w:val="fr-CH"/>
        </w:rPr>
        <w:t xml:space="preserve"> en </w:t>
      </w:r>
      <w:r w:rsidRPr="0071782F">
        <w:rPr>
          <w:lang w:val="fr-CH"/>
        </w:rPr>
        <w:t xml:space="preserve">2006, </w:t>
      </w:r>
      <w:r w:rsidR="00EE4B84" w:rsidRPr="0071782F">
        <w:rPr>
          <w:lang w:val="fr-CH"/>
        </w:rPr>
        <w:t xml:space="preserve">l’objectif fixé par le </w:t>
      </w:r>
      <w:r w:rsidR="00A90208" w:rsidRPr="0071782F">
        <w:rPr>
          <w:lang w:val="fr-CH"/>
        </w:rPr>
        <w:t>quatrième</w:t>
      </w:r>
      <w:r w:rsidR="00EE4B84" w:rsidRPr="0071782F">
        <w:rPr>
          <w:lang w:val="fr-CH"/>
        </w:rPr>
        <w:t xml:space="preserve"> plan de développement étant réalisé à </w:t>
      </w:r>
      <w:r w:rsidRPr="0071782F">
        <w:rPr>
          <w:lang w:val="fr-CH"/>
        </w:rPr>
        <w:t>125</w:t>
      </w:r>
      <w:r w:rsidR="007E5125" w:rsidRPr="0071782F">
        <w:rPr>
          <w:lang w:val="fr-CH"/>
        </w:rPr>
        <w:t>%</w:t>
      </w:r>
      <w:r w:rsidRPr="0071782F">
        <w:rPr>
          <w:lang w:val="fr-CH"/>
        </w:rPr>
        <w:t xml:space="preserve">. </w:t>
      </w:r>
      <w:r w:rsidR="002A0C7A" w:rsidRPr="0071782F">
        <w:rPr>
          <w:lang w:val="fr-CH"/>
        </w:rPr>
        <w:t xml:space="preserve">La proportion de la population raccordée à un réseau urbain d’assainissement est passée de </w:t>
      </w:r>
      <w:r w:rsidRPr="0071782F">
        <w:rPr>
          <w:lang w:val="fr-CH"/>
        </w:rPr>
        <w:t>25</w:t>
      </w:r>
      <w:r w:rsidR="002A0C7A" w:rsidRPr="0071782F">
        <w:rPr>
          <w:lang w:val="fr-CH"/>
        </w:rPr>
        <w:t>,</w:t>
      </w:r>
      <w:r w:rsidRPr="0071782F">
        <w:rPr>
          <w:lang w:val="fr-CH"/>
        </w:rPr>
        <w:t>5</w:t>
      </w:r>
      <w:r w:rsidR="007E5125" w:rsidRPr="0071782F">
        <w:rPr>
          <w:lang w:val="fr-CH"/>
        </w:rPr>
        <w:t>%</w:t>
      </w:r>
      <w:r w:rsidRPr="0071782F">
        <w:rPr>
          <w:lang w:val="fr-CH"/>
        </w:rPr>
        <w:t xml:space="preserve"> </w:t>
      </w:r>
      <w:r w:rsidR="002A0C7A" w:rsidRPr="0071782F">
        <w:rPr>
          <w:lang w:val="fr-CH"/>
        </w:rPr>
        <w:t>e</w:t>
      </w:r>
      <w:r w:rsidRPr="0071782F">
        <w:rPr>
          <w:lang w:val="fr-CH"/>
        </w:rPr>
        <w:t xml:space="preserve">n 2005 </w:t>
      </w:r>
      <w:r w:rsidR="002A0C7A" w:rsidRPr="0071782F">
        <w:rPr>
          <w:lang w:val="fr-CH"/>
        </w:rPr>
        <w:t>à</w:t>
      </w:r>
      <w:r w:rsidRPr="0071782F">
        <w:rPr>
          <w:lang w:val="fr-CH"/>
        </w:rPr>
        <w:t xml:space="preserve"> 26</w:t>
      </w:r>
      <w:r w:rsidR="002A0C7A" w:rsidRPr="0071782F">
        <w:rPr>
          <w:lang w:val="fr-CH"/>
        </w:rPr>
        <w:t>,</w:t>
      </w:r>
      <w:r w:rsidRPr="0071782F">
        <w:rPr>
          <w:lang w:val="fr-CH"/>
        </w:rPr>
        <w:t>5</w:t>
      </w:r>
      <w:r w:rsidR="007E5125" w:rsidRPr="0071782F">
        <w:rPr>
          <w:lang w:val="fr-CH"/>
        </w:rPr>
        <w:t>%</w:t>
      </w:r>
      <w:r w:rsidRPr="0071782F">
        <w:rPr>
          <w:lang w:val="fr-CH"/>
        </w:rPr>
        <w:t xml:space="preserve"> </w:t>
      </w:r>
      <w:r w:rsidR="002A0C7A" w:rsidRPr="0071782F">
        <w:rPr>
          <w:lang w:val="fr-CH"/>
        </w:rPr>
        <w:t>e</w:t>
      </w:r>
      <w:r w:rsidRPr="0071782F">
        <w:rPr>
          <w:lang w:val="fr-CH"/>
        </w:rPr>
        <w:t xml:space="preserve">n 2006, </w:t>
      </w:r>
      <w:r w:rsidR="002A0C7A" w:rsidRPr="0071782F">
        <w:rPr>
          <w:lang w:val="fr-CH"/>
        </w:rPr>
        <w:t>ce qui a permis de réaliser à 92</w:t>
      </w:r>
      <w:r w:rsidR="007E5125" w:rsidRPr="0071782F">
        <w:rPr>
          <w:lang w:val="fr-CH"/>
        </w:rPr>
        <w:t>%</w:t>
      </w:r>
      <w:r w:rsidR="002A0C7A" w:rsidRPr="0071782F">
        <w:rPr>
          <w:lang w:val="fr-CH"/>
        </w:rPr>
        <w:t xml:space="preserve"> l’objectif fixé par le </w:t>
      </w:r>
      <w:r w:rsidR="00A90208" w:rsidRPr="0071782F">
        <w:rPr>
          <w:lang w:val="fr-CH"/>
        </w:rPr>
        <w:t>quatrième</w:t>
      </w:r>
      <w:r w:rsidR="002A0C7A" w:rsidRPr="0071782F">
        <w:rPr>
          <w:lang w:val="fr-CH"/>
        </w:rPr>
        <w:t xml:space="preserve"> plan de développement</w:t>
      </w:r>
      <w:r w:rsidRPr="0071782F">
        <w:rPr>
          <w:lang w:val="fr-CH"/>
        </w:rPr>
        <w:t>.</w:t>
      </w:r>
    </w:p>
    <w:p w:rsidR="00972AC7" w:rsidRPr="0071782F" w:rsidRDefault="00972AC7" w:rsidP="00B55247">
      <w:pPr>
        <w:pStyle w:val="SingleTxtG"/>
        <w:ind w:left="1701"/>
        <w:rPr>
          <w:lang w:val="fr-CH"/>
        </w:rPr>
      </w:pPr>
      <w:r w:rsidRPr="0071782F">
        <w:rPr>
          <w:lang w:val="fr-CH"/>
        </w:rPr>
        <w:t>30.2</w:t>
      </w:r>
      <w:r w:rsidR="00EF6CFA" w:rsidRPr="0071782F">
        <w:rPr>
          <w:lang w:val="fr-CH"/>
        </w:rPr>
        <w:t>.</w:t>
      </w:r>
      <w:r w:rsidRPr="0071782F">
        <w:rPr>
          <w:lang w:val="fr-CH"/>
        </w:rPr>
        <w:tab/>
      </w:r>
      <w:r w:rsidR="002A0C7A" w:rsidRPr="0071782F">
        <w:rPr>
          <w:lang w:val="fr-CH"/>
        </w:rPr>
        <w:t xml:space="preserve">On a posé </w:t>
      </w:r>
      <w:r w:rsidRPr="0071782F">
        <w:rPr>
          <w:lang w:val="fr-CH"/>
        </w:rPr>
        <w:t>2</w:t>
      </w:r>
      <w:r w:rsidR="003F25A2">
        <w:rPr>
          <w:lang w:val="fr-CH"/>
        </w:rPr>
        <w:t> </w:t>
      </w:r>
      <w:r w:rsidRPr="0071782F">
        <w:rPr>
          <w:lang w:val="fr-CH"/>
        </w:rPr>
        <w:t>044</w:t>
      </w:r>
      <w:r w:rsidR="00A62149" w:rsidRPr="0071782F">
        <w:rPr>
          <w:lang w:val="fr-CH"/>
        </w:rPr>
        <w:t> k</w:t>
      </w:r>
      <w:r w:rsidR="003F25A2">
        <w:rPr>
          <w:lang w:val="fr-CH"/>
        </w:rPr>
        <w:t>m</w:t>
      </w:r>
      <w:r w:rsidR="002A0C7A" w:rsidRPr="0071782F">
        <w:rPr>
          <w:lang w:val="fr-CH"/>
        </w:rPr>
        <w:t xml:space="preserve"> de nouvelles canalisations d’égouts en </w:t>
      </w:r>
      <w:r w:rsidRPr="0071782F">
        <w:rPr>
          <w:lang w:val="fr-CH"/>
        </w:rPr>
        <w:t xml:space="preserve">2005 </w:t>
      </w:r>
      <w:r w:rsidR="002A0C7A" w:rsidRPr="0071782F">
        <w:rPr>
          <w:lang w:val="fr-CH"/>
        </w:rPr>
        <w:t>et</w:t>
      </w:r>
      <w:r w:rsidRPr="0071782F">
        <w:rPr>
          <w:lang w:val="fr-CH"/>
        </w:rPr>
        <w:t xml:space="preserve"> 2</w:t>
      </w:r>
      <w:r w:rsidR="007F37CE" w:rsidRPr="0071782F">
        <w:rPr>
          <w:lang w:val="fr-CH"/>
        </w:rPr>
        <w:t> </w:t>
      </w:r>
      <w:r w:rsidR="002A0C7A" w:rsidRPr="0071782F">
        <w:rPr>
          <w:lang w:val="fr-CH"/>
        </w:rPr>
        <w:t>337</w:t>
      </w:r>
      <w:r w:rsidR="00A62149" w:rsidRPr="0071782F">
        <w:rPr>
          <w:lang w:val="fr-CH"/>
        </w:rPr>
        <w:t> k</w:t>
      </w:r>
      <w:r w:rsidR="003F25A2">
        <w:rPr>
          <w:lang w:val="fr-CH"/>
        </w:rPr>
        <w:t>m</w:t>
      </w:r>
      <w:r w:rsidRPr="0071782F">
        <w:rPr>
          <w:lang w:val="fr-CH"/>
        </w:rPr>
        <w:t xml:space="preserve"> </w:t>
      </w:r>
      <w:r w:rsidR="002A0C7A" w:rsidRPr="0071782F">
        <w:rPr>
          <w:lang w:val="fr-CH"/>
        </w:rPr>
        <w:t>e</w:t>
      </w:r>
      <w:r w:rsidRPr="0071782F">
        <w:rPr>
          <w:lang w:val="fr-CH"/>
        </w:rPr>
        <w:t xml:space="preserve">n 2006, </w:t>
      </w:r>
      <w:r w:rsidR="002A0C7A" w:rsidRPr="0071782F">
        <w:rPr>
          <w:lang w:val="fr-CH"/>
        </w:rPr>
        <w:t xml:space="preserve">l’objectif fixé par le </w:t>
      </w:r>
      <w:r w:rsidR="00A90208" w:rsidRPr="0071782F">
        <w:rPr>
          <w:lang w:val="fr-CH"/>
        </w:rPr>
        <w:t>quatrième</w:t>
      </w:r>
      <w:r w:rsidR="002A0C7A" w:rsidRPr="0071782F">
        <w:rPr>
          <w:lang w:val="fr-CH"/>
        </w:rPr>
        <w:t xml:space="preserve"> plan de développement étant réalisé à </w:t>
      </w:r>
      <w:r w:rsidRPr="0071782F">
        <w:rPr>
          <w:lang w:val="fr-CH"/>
        </w:rPr>
        <w:t>60</w:t>
      </w:r>
      <w:r w:rsidR="007E5125" w:rsidRPr="0071782F">
        <w:rPr>
          <w:lang w:val="fr-CH"/>
        </w:rPr>
        <w:t>%</w:t>
      </w:r>
      <w:r w:rsidR="00EC4840"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30.3</w:t>
      </w:r>
      <w:r w:rsidR="00EF6CFA" w:rsidRPr="0071782F">
        <w:rPr>
          <w:lang w:val="fr-CH"/>
        </w:rPr>
        <w:t>.</w:t>
      </w:r>
      <w:r w:rsidRPr="0071782F">
        <w:rPr>
          <w:lang w:val="fr-CH"/>
        </w:rPr>
        <w:tab/>
      </w:r>
      <w:r w:rsidR="002A0C7A" w:rsidRPr="0071782F">
        <w:rPr>
          <w:lang w:val="fr-CH"/>
        </w:rPr>
        <w:t>Le nombre de nouveaux raccordements au réseau urbain d’assainissement est passé de 199</w:t>
      </w:r>
      <w:r w:rsidR="003F25A2">
        <w:rPr>
          <w:lang w:val="fr-CH"/>
        </w:rPr>
        <w:t> </w:t>
      </w:r>
      <w:r w:rsidRPr="0071782F">
        <w:rPr>
          <w:lang w:val="fr-CH"/>
        </w:rPr>
        <w:t xml:space="preserve">000 </w:t>
      </w:r>
      <w:r w:rsidR="002A0C7A" w:rsidRPr="0071782F">
        <w:rPr>
          <w:lang w:val="fr-CH"/>
        </w:rPr>
        <w:t>e</w:t>
      </w:r>
      <w:r w:rsidRPr="0071782F">
        <w:rPr>
          <w:lang w:val="fr-CH"/>
        </w:rPr>
        <w:t xml:space="preserve">n 2005 </w:t>
      </w:r>
      <w:r w:rsidR="002A0C7A" w:rsidRPr="0071782F">
        <w:rPr>
          <w:lang w:val="fr-CH"/>
        </w:rPr>
        <w:t>à</w:t>
      </w:r>
      <w:r w:rsidRPr="0071782F">
        <w:rPr>
          <w:lang w:val="fr-CH"/>
        </w:rPr>
        <w:t xml:space="preserve"> 265</w:t>
      </w:r>
      <w:r w:rsidR="002A0C7A" w:rsidRPr="0071782F">
        <w:rPr>
          <w:lang w:val="fr-CH"/>
        </w:rPr>
        <w:t xml:space="preserve"> </w:t>
      </w:r>
      <w:r w:rsidRPr="0071782F">
        <w:rPr>
          <w:lang w:val="fr-CH"/>
        </w:rPr>
        <w:t xml:space="preserve">000 </w:t>
      </w:r>
      <w:r w:rsidR="002A0C7A" w:rsidRPr="0071782F">
        <w:rPr>
          <w:lang w:val="fr-CH"/>
        </w:rPr>
        <w:t>e</w:t>
      </w:r>
      <w:r w:rsidRPr="0071782F">
        <w:rPr>
          <w:lang w:val="fr-CH"/>
        </w:rPr>
        <w:t xml:space="preserve">n 2006, </w:t>
      </w:r>
      <w:r w:rsidR="002A0C7A" w:rsidRPr="0071782F">
        <w:rPr>
          <w:lang w:val="fr-CH"/>
        </w:rPr>
        <w:t>ce qui a permis de réaliser à 75</w:t>
      </w:r>
      <w:r w:rsidR="007E5125" w:rsidRPr="0071782F">
        <w:rPr>
          <w:lang w:val="fr-CH"/>
        </w:rPr>
        <w:t>%</w:t>
      </w:r>
      <w:r w:rsidR="002A0C7A" w:rsidRPr="0071782F">
        <w:rPr>
          <w:lang w:val="fr-CH"/>
        </w:rPr>
        <w:t xml:space="preserve"> l’objectif fixé</w:t>
      </w:r>
      <w:r w:rsidRPr="0071782F">
        <w:rPr>
          <w:lang w:val="fr-CH"/>
        </w:rPr>
        <w:t xml:space="preserve">. </w:t>
      </w:r>
    </w:p>
    <w:p w:rsidR="00972AC7" w:rsidRPr="0071782F" w:rsidRDefault="00972AC7" w:rsidP="00B55247">
      <w:pPr>
        <w:pStyle w:val="SingleTxtG"/>
        <w:ind w:left="1701"/>
        <w:rPr>
          <w:lang w:val="fr-CH"/>
        </w:rPr>
      </w:pPr>
      <w:r w:rsidRPr="0071782F">
        <w:rPr>
          <w:lang w:val="fr-CH"/>
        </w:rPr>
        <w:t>30.4</w:t>
      </w:r>
      <w:r w:rsidR="00EF6CFA" w:rsidRPr="0071782F">
        <w:rPr>
          <w:lang w:val="fr-CH"/>
        </w:rPr>
        <w:t>.</w:t>
      </w:r>
      <w:r w:rsidRPr="0071782F">
        <w:rPr>
          <w:lang w:val="fr-CH"/>
        </w:rPr>
        <w:tab/>
      </w:r>
      <w:r w:rsidR="002A0C7A" w:rsidRPr="0071782F">
        <w:rPr>
          <w:lang w:val="fr-CH"/>
        </w:rPr>
        <w:t xml:space="preserve">La part des transports en commun dans l’ensemble des transports urbains est passée de </w:t>
      </w:r>
      <w:r w:rsidRPr="0071782F">
        <w:rPr>
          <w:lang w:val="fr-CH"/>
        </w:rPr>
        <w:t>47</w:t>
      </w:r>
      <w:r w:rsidR="002A0C7A" w:rsidRPr="0071782F">
        <w:rPr>
          <w:lang w:val="fr-CH"/>
        </w:rPr>
        <w:t>,</w:t>
      </w:r>
      <w:r w:rsidRPr="0071782F">
        <w:rPr>
          <w:lang w:val="fr-CH"/>
        </w:rPr>
        <w:t>1</w:t>
      </w:r>
      <w:r w:rsidR="007E5125" w:rsidRPr="0071782F">
        <w:rPr>
          <w:lang w:val="fr-CH"/>
        </w:rPr>
        <w:t>%</w:t>
      </w:r>
      <w:r w:rsidRPr="0071782F">
        <w:rPr>
          <w:lang w:val="fr-CH"/>
        </w:rPr>
        <w:t xml:space="preserve"> </w:t>
      </w:r>
      <w:r w:rsidR="002A0C7A" w:rsidRPr="0071782F">
        <w:rPr>
          <w:lang w:val="fr-CH"/>
        </w:rPr>
        <w:t>e</w:t>
      </w:r>
      <w:r w:rsidRPr="0071782F">
        <w:rPr>
          <w:lang w:val="fr-CH"/>
        </w:rPr>
        <w:t xml:space="preserve">n 2005 </w:t>
      </w:r>
      <w:r w:rsidR="002A0C7A" w:rsidRPr="0071782F">
        <w:rPr>
          <w:lang w:val="fr-CH"/>
        </w:rPr>
        <w:t>à</w:t>
      </w:r>
      <w:r w:rsidRPr="0071782F">
        <w:rPr>
          <w:lang w:val="fr-CH"/>
        </w:rPr>
        <w:t xml:space="preserve"> 50</w:t>
      </w:r>
      <w:r w:rsidR="002A0C7A" w:rsidRPr="0071782F">
        <w:rPr>
          <w:lang w:val="fr-CH"/>
        </w:rPr>
        <w:t>,</w:t>
      </w:r>
      <w:r w:rsidRPr="0071782F">
        <w:rPr>
          <w:lang w:val="fr-CH"/>
        </w:rPr>
        <w:t>2</w:t>
      </w:r>
      <w:r w:rsidR="007E5125" w:rsidRPr="0071782F">
        <w:rPr>
          <w:lang w:val="fr-CH"/>
        </w:rPr>
        <w:t>%</w:t>
      </w:r>
      <w:r w:rsidRPr="0071782F">
        <w:rPr>
          <w:lang w:val="fr-CH"/>
        </w:rPr>
        <w:t xml:space="preserve"> </w:t>
      </w:r>
      <w:r w:rsidR="002A0C7A" w:rsidRPr="0071782F">
        <w:rPr>
          <w:lang w:val="fr-CH"/>
        </w:rPr>
        <w:t>e</w:t>
      </w:r>
      <w:r w:rsidRPr="0071782F">
        <w:rPr>
          <w:lang w:val="fr-CH"/>
        </w:rPr>
        <w:t xml:space="preserve">n 2006, </w:t>
      </w:r>
      <w:r w:rsidR="002A0C7A" w:rsidRPr="0071782F">
        <w:rPr>
          <w:lang w:val="fr-CH"/>
        </w:rPr>
        <w:t xml:space="preserve">l’objectif fixé étant réalisé à </w:t>
      </w:r>
      <w:r w:rsidRPr="0071782F">
        <w:rPr>
          <w:lang w:val="fr-CH"/>
        </w:rPr>
        <w:t>94</w:t>
      </w:r>
      <w:r w:rsidR="002A0C7A" w:rsidRPr="0071782F">
        <w:rPr>
          <w:lang w:val="fr-CH"/>
        </w:rPr>
        <w:t>,</w:t>
      </w:r>
      <w:r w:rsidRPr="0071782F">
        <w:rPr>
          <w:lang w:val="fr-CH"/>
        </w:rPr>
        <w:t>7</w:t>
      </w:r>
      <w:r w:rsidR="007E5125" w:rsidRPr="0071782F">
        <w:rPr>
          <w:lang w:val="fr-CH"/>
        </w:rPr>
        <w:t>%</w:t>
      </w:r>
      <w:r w:rsidRPr="0071782F">
        <w:rPr>
          <w:lang w:val="fr-CH"/>
        </w:rPr>
        <w:t>.</w:t>
      </w:r>
    </w:p>
    <w:p w:rsidR="00972AC7" w:rsidRPr="0071782F" w:rsidRDefault="00972AC7" w:rsidP="00B55247">
      <w:pPr>
        <w:pStyle w:val="SingleTxtG"/>
        <w:ind w:left="1701"/>
        <w:rPr>
          <w:lang w:val="fr-CH"/>
        </w:rPr>
      </w:pPr>
      <w:r w:rsidRPr="0071782F">
        <w:rPr>
          <w:lang w:val="fr-CH"/>
        </w:rPr>
        <w:t>30.5</w:t>
      </w:r>
      <w:r w:rsidR="00EF6CFA" w:rsidRPr="0071782F">
        <w:rPr>
          <w:lang w:val="fr-CH"/>
        </w:rPr>
        <w:t>.</w:t>
      </w:r>
      <w:r w:rsidRPr="0071782F">
        <w:rPr>
          <w:lang w:val="fr-CH"/>
        </w:rPr>
        <w:tab/>
      </w:r>
      <w:r w:rsidR="002A0C7A" w:rsidRPr="0071782F">
        <w:rPr>
          <w:lang w:val="fr-CH"/>
        </w:rPr>
        <w:t xml:space="preserve">La part du transport par rail dans l’ensemble des transports interurbains est passée de </w:t>
      </w:r>
      <w:r w:rsidRPr="0071782F">
        <w:rPr>
          <w:lang w:val="fr-CH"/>
        </w:rPr>
        <w:t>62</w:t>
      </w:r>
      <w:r w:rsidR="007E5125" w:rsidRPr="0071782F">
        <w:rPr>
          <w:lang w:val="fr-CH"/>
        </w:rPr>
        <w:t>%</w:t>
      </w:r>
      <w:r w:rsidRPr="0071782F">
        <w:rPr>
          <w:lang w:val="fr-CH"/>
        </w:rPr>
        <w:t xml:space="preserve"> </w:t>
      </w:r>
      <w:r w:rsidR="002A0C7A" w:rsidRPr="0071782F">
        <w:rPr>
          <w:lang w:val="fr-CH"/>
        </w:rPr>
        <w:t>e</w:t>
      </w:r>
      <w:r w:rsidRPr="0071782F">
        <w:rPr>
          <w:lang w:val="fr-CH"/>
        </w:rPr>
        <w:t xml:space="preserve">n 2004 </w:t>
      </w:r>
      <w:r w:rsidR="002A0C7A" w:rsidRPr="0071782F">
        <w:rPr>
          <w:lang w:val="fr-CH"/>
        </w:rPr>
        <w:t>à</w:t>
      </w:r>
      <w:r w:rsidRPr="0071782F">
        <w:rPr>
          <w:lang w:val="fr-CH"/>
        </w:rPr>
        <w:t xml:space="preserve"> 70</w:t>
      </w:r>
      <w:r w:rsidR="007E5125" w:rsidRPr="0071782F">
        <w:rPr>
          <w:lang w:val="fr-CH"/>
        </w:rPr>
        <w:t>%</w:t>
      </w:r>
      <w:r w:rsidRPr="0071782F">
        <w:rPr>
          <w:lang w:val="fr-CH"/>
        </w:rPr>
        <w:t xml:space="preserve">, </w:t>
      </w:r>
      <w:r w:rsidR="002A0C7A" w:rsidRPr="0071782F">
        <w:rPr>
          <w:lang w:val="fr-CH"/>
        </w:rPr>
        <w:t>ce qui a permis de réaliser à 70</w:t>
      </w:r>
      <w:r w:rsidR="007E5125" w:rsidRPr="0071782F">
        <w:rPr>
          <w:lang w:val="fr-CH"/>
        </w:rPr>
        <w:t>%</w:t>
      </w:r>
      <w:r w:rsidR="002A0C7A" w:rsidRPr="0071782F">
        <w:rPr>
          <w:lang w:val="fr-CH"/>
        </w:rPr>
        <w:t xml:space="preserve"> l’objectif fixé par le plan</w:t>
      </w:r>
      <w:r w:rsidRPr="0071782F">
        <w:rPr>
          <w:lang w:val="fr-CH"/>
        </w:rPr>
        <w:t>.</w:t>
      </w:r>
    </w:p>
    <w:p w:rsidR="00972AC7" w:rsidRPr="0071782F" w:rsidRDefault="00972AC7" w:rsidP="00B55247">
      <w:pPr>
        <w:pStyle w:val="SingleTxtG"/>
        <w:ind w:left="1701"/>
        <w:rPr>
          <w:lang w:val="fr-CH"/>
        </w:rPr>
      </w:pPr>
      <w:r w:rsidRPr="0071782F">
        <w:rPr>
          <w:lang w:val="fr-CH"/>
        </w:rPr>
        <w:t>30.6</w:t>
      </w:r>
      <w:r w:rsidR="00EF6CFA" w:rsidRPr="0071782F">
        <w:rPr>
          <w:lang w:val="fr-CH"/>
        </w:rPr>
        <w:t>.</w:t>
      </w:r>
      <w:r w:rsidRPr="0071782F">
        <w:rPr>
          <w:lang w:val="fr-CH"/>
        </w:rPr>
        <w:tab/>
      </w:r>
      <w:r w:rsidR="002A0C7A" w:rsidRPr="0071782F">
        <w:rPr>
          <w:lang w:val="fr-CH"/>
        </w:rPr>
        <w:t xml:space="preserve">Le coefficient de déplacement intra-urbain par personne est passé de </w:t>
      </w:r>
      <w:r w:rsidRPr="0071782F">
        <w:rPr>
          <w:lang w:val="fr-CH"/>
        </w:rPr>
        <w:t>1</w:t>
      </w:r>
      <w:r w:rsidR="002A0C7A" w:rsidRPr="0071782F">
        <w:rPr>
          <w:lang w:val="fr-CH"/>
        </w:rPr>
        <w:t>,</w:t>
      </w:r>
      <w:r w:rsidRPr="0071782F">
        <w:rPr>
          <w:lang w:val="fr-CH"/>
        </w:rPr>
        <w:t xml:space="preserve">7 </w:t>
      </w:r>
      <w:r w:rsidR="002A0C7A" w:rsidRPr="0071782F">
        <w:rPr>
          <w:lang w:val="fr-CH"/>
        </w:rPr>
        <w:t>e</w:t>
      </w:r>
      <w:r w:rsidRPr="0071782F">
        <w:rPr>
          <w:lang w:val="fr-CH"/>
        </w:rPr>
        <w:t xml:space="preserve">n 2005 </w:t>
      </w:r>
      <w:r w:rsidR="002A0C7A" w:rsidRPr="0071782F">
        <w:rPr>
          <w:lang w:val="fr-CH"/>
        </w:rPr>
        <w:t>à</w:t>
      </w:r>
      <w:r w:rsidRPr="0071782F">
        <w:rPr>
          <w:lang w:val="fr-CH"/>
        </w:rPr>
        <w:t xml:space="preserve"> 1</w:t>
      </w:r>
      <w:r w:rsidR="002A0C7A" w:rsidRPr="0071782F">
        <w:rPr>
          <w:lang w:val="fr-CH"/>
        </w:rPr>
        <w:t>,</w:t>
      </w:r>
      <w:r w:rsidRPr="0071782F">
        <w:rPr>
          <w:lang w:val="fr-CH"/>
        </w:rPr>
        <w:t xml:space="preserve">65 </w:t>
      </w:r>
      <w:r w:rsidR="002A0C7A" w:rsidRPr="0071782F">
        <w:rPr>
          <w:lang w:val="fr-CH"/>
        </w:rPr>
        <w:t>e</w:t>
      </w:r>
      <w:r w:rsidRPr="0071782F">
        <w:rPr>
          <w:lang w:val="fr-CH"/>
        </w:rPr>
        <w:t xml:space="preserve">n 2006, </w:t>
      </w:r>
      <w:r w:rsidR="002A0C7A" w:rsidRPr="0071782F">
        <w:rPr>
          <w:lang w:val="fr-CH"/>
        </w:rPr>
        <w:t xml:space="preserve">l’objectif fixé par le plan étant réalisé à </w:t>
      </w:r>
      <w:r w:rsidRPr="0071782F">
        <w:rPr>
          <w:lang w:val="fr-CH"/>
        </w:rPr>
        <w:t>100</w:t>
      </w:r>
      <w:r w:rsidR="007E5125" w:rsidRPr="0071782F">
        <w:rPr>
          <w:lang w:val="fr-CH"/>
        </w:rPr>
        <w:t>%</w:t>
      </w:r>
      <w:r w:rsidRPr="0071782F">
        <w:rPr>
          <w:lang w:val="fr-CH"/>
        </w:rPr>
        <w:t>.</w:t>
      </w:r>
    </w:p>
    <w:p w:rsidR="00972AC7" w:rsidRPr="0071782F" w:rsidRDefault="00972AC7" w:rsidP="00B55247">
      <w:pPr>
        <w:pStyle w:val="SingleTxtG"/>
        <w:ind w:left="1701"/>
        <w:rPr>
          <w:lang w:val="fr-CH"/>
        </w:rPr>
      </w:pPr>
      <w:r w:rsidRPr="0071782F">
        <w:rPr>
          <w:lang w:val="fr-CH"/>
        </w:rPr>
        <w:t>30.7</w:t>
      </w:r>
      <w:r w:rsidR="00EF6CFA" w:rsidRPr="0071782F">
        <w:rPr>
          <w:lang w:val="fr-CH"/>
        </w:rPr>
        <w:t>.</w:t>
      </w:r>
      <w:r w:rsidRPr="0071782F">
        <w:rPr>
          <w:lang w:val="fr-CH"/>
        </w:rPr>
        <w:tab/>
      </w:r>
      <w:r w:rsidR="002A0C7A" w:rsidRPr="0071782F">
        <w:rPr>
          <w:lang w:val="fr-CH"/>
        </w:rPr>
        <w:t xml:space="preserve">L’espace de stationnement public par habitant est passé </w:t>
      </w:r>
      <w:r w:rsidRPr="0071782F">
        <w:rPr>
          <w:lang w:val="fr-CH"/>
        </w:rPr>
        <w:t>3</w:t>
      </w:r>
      <w:r w:rsidR="002A0C7A" w:rsidRPr="0071782F">
        <w:rPr>
          <w:lang w:val="fr-CH"/>
        </w:rPr>
        <w:t>,</w:t>
      </w:r>
      <w:r w:rsidRPr="0071782F">
        <w:rPr>
          <w:lang w:val="fr-CH"/>
        </w:rPr>
        <w:t>5</w:t>
      </w:r>
      <w:r w:rsidR="00AF44B8" w:rsidRPr="0071782F">
        <w:rPr>
          <w:lang w:val="fr-CH"/>
        </w:rPr>
        <w:t> m</w:t>
      </w:r>
      <w:r w:rsidR="003F25A2" w:rsidRPr="003F25A2">
        <w:rPr>
          <w:vertAlign w:val="superscript"/>
          <w:lang w:val="fr-CH"/>
        </w:rPr>
        <w:t>2</w:t>
      </w:r>
      <w:r w:rsidR="003F25A2">
        <w:rPr>
          <w:lang w:val="fr-CH"/>
        </w:rPr>
        <w:t xml:space="preserve"> </w:t>
      </w:r>
      <w:r w:rsidR="007F37CE" w:rsidRPr="0071782F">
        <w:rPr>
          <w:lang w:val="fr-CH"/>
        </w:rPr>
        <w:t>en </w:t>
      </w:r>
      <w:r w:rsidRPr="0071782F">
        <w:rPr>
          <w:lang w:val="fr-CH"/>
        </w:rPr>
        <w:t xml:space="preserve">2005 </w:t>
      </w:r>
      <w:r w:rsidR="002A0C7A" w:rsidRPr="0071782F">
        <w:rPr>
          <w:lang w:val="fr-CH"/>
        </w:rPr>
        <w:t>à</w:t>
      </w:r>
      <w:r w:rsidRPr="0071782F">
        <w:rPr>
          <w:lang w:val="fr-CH"/>
        </w:rPr>
        <w:t xml:space="preserve"> 5</w:t>
      </w:r>
      <w:r w:rsidR="002A0C7A" w:rsidRPr="0071782F">
        <w:rPr>
          <w:lang w:val="fr-CH"/>
        </w:rPr>
        <w:t>,</w:t>
      </w:r>
      <w:r w:rsidRPr="0071782F">
        <w:rPr>
          <w:lang w:val="fr-CH"/>
        </w:rPr>
        <w:t>35</w:t>
      </w:r>
      <w:r w:rsidR="00AF44B8" w:rsidRPr="0071782F">
        <w:rPr>
          <w:lang w:val="fr-CH"/>
        </w:rPr>
        <w:t> m</w:t>
      </w:r>
      <w:r w:rsidR="003F25A2" w:rsidRPr="003F25A2">
        <w:rPr>
          <w:vertAlign w:val="superscript"/>
          <w:lang w:val="fr-CH"/>
        </w:rPr>
        <w:t>2</w:t>
      </w:r>
      <w:r w:rsidRPr="0071782F">
        <w:rPr>
          <w:lang w:val="fr-CH"/>
        </w:rPr>
        <w:t xml:space="preserve">, </w:t>
      </w:r>
      <w:r w:rsidR="002A0C7A" w:rsidRPr="0071782F">
        <w:rPr>
          <w:lang w:val="fr-CH"/>
        </w:rPr>
        <w:t>ce qui a permis de réaliser à 152</w:t>
      </w:r>
      <w:r w:rsidR="00A6353E" w:rsidRPr="0071782F">
        <w:rPr>
          <w:lang w:val="fr-CH"/>
        </w:rPr>
        <w:t>,</w:t>
      </w:r>
      <w:r w:rsidR="002A0C7A" w:rsidRPr="0071782F">
        <w:rPr>
          <w:lang w:val="fr-CH"/>
        </w:rPr>
        <w:t>8</w:t>
      </w:r>
      <w:r w:rsidR="007E5125" w:rsidRPr="0071782F">
        <w:rPr>
          <w:lang w:val="fr-CH"/>
        </w:rPr>
        <w:t>%</w:t>
      </w:r>
      <w:r w:rsidR="002A0C7A" w:rsidRPr="0071782F">
        <w:rPr>
          <w:lang w:val="fr-CH"/>
        </w:rPr>
        <w:t xml:space="preserve"> l’objectif fixé par le </w:t>
      </w:r>
      <w:r w:rsidR="00A90208" w:rsidRPr="0071782F">
        <w:rPr>
          <w:lang w:val="fr-CH"/>
        </w:rPr>
        <w:t>quatrième</w:t>
      </w:r>
      <w:r w:rsidR="002A0C7A" w:rsidRPr="0071782F">
        <w:rPr>
          <w:lang w:val="fr-CH"/>
        </w:rPr>
        <w:t xml:space="preserve"> plan de développement.</w:t>
      </w:r>
    </w:p>
    <w:p w:rsidR="00972AC7" w:rsidRPr="0071782F" w:rsidRDefault="00972AC7" w:rsidP="00B55247">
      <w:pPr>
        <w:pStyle w:val="SingleTxtG"/>
        <w:ind w:left="1701"/>
        <w:rPr>
          <w:lang w:val="fr-CH"/>
        </w:rPr>
      </w:pPr>
      <w:r w:rsidRPr="0071782F">
        <w:rPr>
          <w:lang w:val="fr-CH"/>
        </w:rPr>
        <w:t>30.8</w:t>
      </w:r>
      <w:r w:rsidR="00EF6CFA" w:rsidRPr="0071782F">
        <w:rPr>
          <w:lang w:val="fr-CH"/>
        </w:rPr>
        <w:t>.</w:t>
      </w:r>
      <w:r w:rsidRPr="0071782F">
        <w:rPr>
          <w:lang w:val="fr-CH"/>
        </w:rPr>
        <w:tab/>
      </w:r>
      <w:r w:rsidR="002A0C7A" w:rsidRPr="0071782F">
        <w:rPr>
          <w:lang w:val="fr-CH"/>
        </w:rPr>
        <w:t xml:space="preserve">La proportion de la </w:t>
      </w:r>
      <w:r w:rsidRPr="0071782F">
        <w:rPr>
          <w:lang w:val="fr-CH"/>
        </w:rPr>
        <w:t xml:space="preserve">population </w:t>
      </w:r>
      <w:r w:rsidR="002A0C7A" w:rsidRPr="0071782F">
        <w:rPr>
          <w:lang w:val="fr-CH"/>
        </w:rPr>
        <w:t xml:space="preserve">ayant accès aux services de </w:t>
      </w:r>
      <w:r w:rsidR="005E77CD" w:rsidRPr="0071782F">
        <w:rPr>
          <w:lang w:val="fr-CH"/>
        </w:rPr>
        <w:t xml:space="preserve">sûreté </w:t>
      </w:r>
      <w:r w:rsidR="002A0C7A" w:rsidRPr="0071782F">
        <w:rPr>
          <w:lang w:val="fr-CH"/>
        </w:rPr>
        <w:t xml:space="preserve">et de lutte contre l’incendie est passée de </w:t>
      </w:r>
      <w:r w:rsidRPr="0071782F">
        <w:rPr>
          <w:lang w:val="fr-CH"/>
        </w:rPr>
        <w:t>76</w:t>
      </w:r>
      <w:r w:rsidR="007E5125" w:rsidRPr="0071782F">
        <w:rPr>
          <w:lang w:val="fr-CH"/>
        </w:rPr>
        <w:t>%</w:t>
      </w:r>
      <w:r w:rsidRPr="0071782F">
        <w:rPr>
          <w:lang w:val="fr-CH"/>
        </w:rPr>
        <w:t xml:space="preserve"> </w:t>
      </w:r>
      <w:r w:rsidR="002A0C7A" w:rsidRPr="0071782F">
        <w:rPr>
          <w:lang w:val="fr-CH"/>
        </w:rPr>
        <w:t>e</w:t>
      </w:r>
      <w:r w:rsidRPr="0071782F">
        <w:rPr>
          <w:lang w:val="fr-CH"/>
        </w:rPr>
        <w:t xml:space="preserve">n 2005 </w:t>
      </w:r>
      <w:r w:rsidR="002A0C7A" w:rsidRPr="0071782F">
        <w:rPr>
          <w:lang w:val="fr-CH"/>
        </w:rPr>
        <w:t>à</w:t>
      </w:r>
      <w:r w:rsidRPr="0071782F">
        <w:rPr>
          <w:lang w:val="fr-CH"/>
        </w:rPr>
        <w:t xml:space="preserve"> 76</w:t>
      </w:r>
      <w:r w:rsidR="002A0C7A" w:rsidRPr="0071782F">
        <w:rPr>
          <w:lang w:val="fr-CH"/>
        </w:rPr>
        <w:t>,</w:t>
      </w:r>
      <w:r w:rsidRPr="0071782F">
        <w:rPr>
          <w:lang w:val="fr-CH"/>
        </w:rPr>
        <w:t>7</w:t>
      </w:r>
      <w:r w:rsidR="007E5125" w:rsidRPr="0071782F">
        <w:rPr>
          <w:lang w:val="fr-CH"/>
        </w:rPr>
        <w:t>%</w:t>
      </w:r>
      <w:r w:rsidRPr="0071782F">
        <w:rPr>
          <w:lang w:val="fr-CH"/>
        </w:rPr>
        <w:t xml:space="preserve"> </w:t>
      </w:r>
      <w:r w:rsidR="002A0C7A" w:rsidRPr="0071782F">
        <w:rPr>
          <w:lang w:val="fr-CH"/>
        </w:rPr>
        <w:t>e</w:t>
      </w:r>
      <w:r w:rsidRPr="0071782F">
        <w:rPr>
          <w:lang w:val="fr-CH"/>
        </w:rPr>
        <w:t xml:space="preserve">n 2006, </w:t>
      </w:r>
      <w:r w:rsidR="002A0C7A" w:rsidRPr="0071782F">
        <w:rPr>
          <w:lang w:val="fr-CH"/>
        </w:rPr>
        <w:t xml:space="preserve">l’objectif fixé étant réalisé à </w:t>
      </w:r>
      <w:r w:rsidRPr="0071782F">
        <w:rPr>
          <w:lang w:val="fr-CH"/>
        </w:rPr>
        <w:t xml:space="preserve">98%. </w:t>
      </w:r>
    </w:p>
    <w:p w:rsidR="00972AC7" w:rsidRPr="0071782F" w:rsidRDefault="00972AC7" w:rsidP="00B55247">
      <w:pPr>
        <w:pStyle w:val="SingleTxtG"/>
        <w:ind w:left="1701"/>
        <w:rPr>
          <w:lang w:val="fr-CH"/>
        </w:rPr>
      </w:pPr>
      <w:r w:rsidRPr="0071782F">
        <w:rPr>
          <w:lang w:val="fr-CH"/>
        </w:rPr>
        <w:t>30.9</w:t>
      </w:r>
      <w:r w:rsidR="00EF6CFA" w:rsidRPr="0071782F">
        <w:rPr>
          <w:lang w:val="fr-CH"/>
        </w:rPr>
        <w:t>.</w:t>
      </w:r>
      <w:r w:rsidRPr="0071782F">
        <w:rPr>
          <w:lang w:val="fr-CH"/>
        </w:rPr>
        <w:tab/>
      </w:r>
      <w:r w:rsidR="005E77CD" w:rsidRPr="0071782F">
        <w:rPr>
          <w:lang w:val="fr-CH"/>
        </w:rPr>
        <w:t xml:space="preserve">La surface d’espaces verts urbains par habitant est passée de </w:t>
      </w:r>
      <w:r w:rsidRPr="0071782F">
        <w:rPr>
          <w:lang w:val="fr-CH"/>
        </w:rPr>
        <w:t>9</w:t>
      </w:r>
      <w:r w:rsidR="005E77CD" w:rsidRPr="0071782F">
        <w:rPr>
          <w:lang w:val="fr-CH"/>
        </w:rPr>
        <w:t>,</w:t>
      </w:r>
      <w:r w:rsidRPr="0071782F">
        <w:rPr>
          <w:lang w:val="fr-CH"/>
        </w:rPr>
        <w:t>7</w:t>
      </w:r>
      <w:r w:rsidR="00AF44B8" w:rsidRPr="0071782F">
        <w:rPr>
          <w:lang w:val="fr-CH"/>
        </w:rPr>
        <w:t> m</w:t>
      </w:r>
      <w:r w:rsidR="003F25A2" w:rsidRPr="003F25A2">
        <w:rPr>
          <w:vertAlign w:val="superscript"/>
          <w:lang w:val="fr-CH"/>
        </w:rPr>
        <w:t>2</w:t>
      </w:r>
      <w:r w:rsidR="005E77CD" w:rsidRPr="0071782F">
        <w:rPr>
          <w:lang w:val="fr-CH"/>
        </w:rPr>
        <w:t xml:space="preserve"> en </w:t>
      </w:r>
      <w:r w:rsidRPr="0071782F">
        <w:rPr>
          <w:lang w:val="fr-CH"/>
        </w:rPr>
        <w:t xml:space="preserve">2005 </w:t>
      </w:r>
      <w:r w:rsidR="005E77CD" w:rsidRPr="0071782F">
        <w:rPr>
          <w:lang w:val="fr-CH"/>
        </w:rPr>
        <w:t>à</w:t>
      </w:r>
      <w:r w:rsidRPr="0071782F">
        <w:rPr>
          <w:lang w:val="fr-CH"/>
        </w:rPr>
        <w:t xml:space="preserve"> 10</w:t>
      </w:r>
      <w:r w:rsidR="005E77CD" w:rsidRPr="0071782F">
        <w:rPr>
          <w:lang w:val="fr-CH"/>
        </w:rPr>
        <w:t>,</w:t>
      </w:r>
      <w:r w:rsidRPr="0071782F">
        <w:rPr>
          <w:lang w:val="fr-CH"/>
        </w:rPr>
        <w:t>34</w:t>
      </w:r>
      <w:r w:rsidR="00AF44B8" w:rsidRPr="0071782F">
        <w:rPr>
          <w:lang w:val="fr-CH"/>
        </w:rPr>
        <w:t> m</w:t>
      </w:r>
      <w:r w:rsidR="003F25A2" w:rsidRPr="003F25A2">
        <w:rPr>
          <w:vertAlign w:val="superscript"/>
          <w:lang w:val="fr-CH"/>
        </w:rPr>
        <w:t>2</w:t>
      </w:r>
      <w:r w:rsidR="005E77CD" w:rsidRPr="0071782F">
        <w:rPr>
          <w:lang w:val="fr-CH"/>
        </w:rPr>
        <w:t xml:space="preserve"> en </w:t>
      </w:r>
      <w:r w:rsidRPr="0071782F">
        <w:rPr>
          <w:lang w:val="fr-CH"/>
        </w:rPr>
        <w:t xml:space="preserve">2006, </w:t>
      </w:r>
      <w:r w:rsidR="005E77CD" w:rsidRPr="0071782F">
        <w:rPr>
          <w:lang w:val="fr-CH"/>
        </w:rPr>
        <w:t>ce qui a permis de réaliser à 94</w:t>
      </w:r>
      <w:r w:rsidR="007E5125" w:rsidRPr="0071782F">
        <w:rPr>
          <w:lang w:val="fr-CH"/>
        </w:rPr>
        <w:t>%</w:t>
      </w:r>
      <w:r w:rsidR="005E77CD" w:rsidRPr="0071782F">
        <w:rPr>
          <w:lang w:val="fr-CH"/>
        </w:rPr>
        <w:t xml:space="preserve"> l’objectif fixé par le </w:t>
      </w:r>
      <w:r w:rsidR="00A90208" w:rsidRPr="0071782F">
        <w:rPr>
          <w:lang w:val="fr-CH"/>
        </w:rPr>
        <w:t>quatrième</w:t>
      </w:r>
      <w:r w:rsidR="005E77CD" w:rsidRPr="0071782F">
        <w:rPr>
          <w:lang w:val="fr-CH"/>
        </w:rPr>
        <w:t xml:space="preserve"> plan de développement</w:t>
      </w:r>
      <w:r w:rsidRPr="0071782F">
        <w:rPr>
          <w:lang w:val="fr-CH"/>
        </w:rPr>
        <w:t>.</w:t>
      </w:r>
    </w:p>
    <w:p w:rsidR="00972AC7" w:rsidRPr="0071782F" w:rsidRDefault="00972AC7" w:rsidP="00B55247">
      <w:pPr>
        <w:pStyle w:val="H1G"/>
        <w:rPr>
          <w:lang w:val="fr-CH"/>
        </w:rPr>
      </w:pPr>
      <w:r w:rsidRPr="0071782F">
        <w:rPr>
          <w:lang w:val="fr-CH"/>
        </w:rPr>
        <w:tab/>
      </w:r>
      <w:r w:rsidRPr="0071782F">
        <w:rPr>
          <w:lang w:val="fr-CH"/>
        </w:rPr>
        <w:tab/>
      </w:r>
      <w:r w:rsidR="005E77CD" w:rsidRPr="0071782F">
        <w:rPr>
          <w:lang w:val="fr-CH"/>
        </w:rPr>
        <w:t xml:space="preserve">Développement des communautés rurales et nomades </w:t>
      </w:r>
    </w:p>
    <w:p w:rsidR="00972AC7" w:rsidRPr="0071782F" w:rsidRDefault="00972AC7" w:rsidP="00972AC7">
      <w:pPr>
        <w:pStyle w:val="SingleTxtG"/>
        <w:rPr>
          <w:lang w:val="fr-CH"/>
        </w:rPr>
      </w:pPr>
      <w:r w:rsidRPr="0071782F">
        <w:rPr>
          <w:lang w:val="fr-CH"/>
        </w:rPr>
        <w:t>31.</w:t>
      </w:r>
      <w:r w:rsidRPr="0071782F">
        <w:rPr>
          <w:lang w:val="fr-CH"/>
        </w:rPr>
        <w:tab/>
      </w:r>
      <w:r w:rsidR="005E77CD" w:rsidRPr="0071782F">
        <w:rPr>
          <w:lang w:val="fr-CH"/>
        </w:rPr>
        <w:t>Le Plan stratégique sur 20</w:t>
      </w:r>
      <w:r w:rsidR="00D82C96" w:rsidRPr="0071782F">
        <w:rPr>
          <w:lang w:val="fr-CH"/>
        </w:rPr>
        <w:t> ans</w:t>
      </w:r>
      <w:r w:rsidR="005E77CD" w:rsidRPr="0071782F">
        <w:rPr>
          <w:lang w:val="fr-CH"/>
        </w:rPr>
        <w:t xml:space="preserve"> a prévu des</w:t>
      </w:r>
      <w:r w:rsidRPr="0071782F">
        <w:rPr>
          <w:lang w:val="fr-CH"/>
        </w:rPr>
        <w:t xml:space="preserve"> plans </w:t>
      </w:r>
      <w:r w:rsidR="005E77CD" w:rsidRPr="0071782F">
        <w:rPr>
          <w:lang w:val="fr-CH"/>
        </w:rPr>
        <w:t xml:space="preserve">et </w:t>
      </w:r>
      <w:r w:rsidRPr="0071782F">
        <w:rPr>
          <w:lang w:val="fr-CH"/>
        </w:rPr>
        <w:t>program</w:t>
      </w:r>
      <w:r w:rsidR="005E77CD" w:rsidRPr="0071782F">
        <w:rPr>
          <w:lang w:val="fr-CH"/>
        </w:rPr>
        <w:t>me</w:t>
      </w:r>
      <w:r w:rsidRPr="0071782F">
        <w:rPr>
          <w:lang w:val="fr-CH"/>
        </w:rPr>
        <w:t xml:space="preserve">s </w:t>
      </w:r>
      <w:r w:rsidR="005E77CD" w:rsidRPr="0071782F">
        <w:rPr>
          <w:lang w:val="fr-CH"/>
        </w:rPr>
        <w:t>concernant le développement de la société ira</w:t>
      </w:r>
      <w:r w:rsidR="008B5EB3" w:rsidRPr="0071782F">
        <w:rPr>
          <w:lang w:val="fr-CH"/>
        </w:rPr>
        <w:t>nienne et, en particulier, celui des communautés rurales et nomades. Ces plans et programmes sont notamment les suivants</w:t>
      </w:r>
      <w:r w:rsidR="008F7D33" w:rsidRPr="0071782F">
        <w:rPr>
          <w:lang w:val="fr-CH"/>
        </w:rPr>
        <w:t>:</w:t>
      </w:r>
      <w:r w:rsidRPr="0071782F">
        <w:rPr>
          <w:lang w:val="fr-CH"/>
        </w:rPr>
        <w:t xml:space="preserve"> </w:t>
      </w:r>
    </w:p>
    <w:p w:rsidR="00972AC7" w:rsidRPr="00E16059" w:rsidRDefault="00972AC7" w:rsidP="00B55247">
      <w:pPr>
        <w:pStyle w:val="SingleTxtG"/>
        <w:ind w:left="1701"/>
        <w:rPr>
          <w:spacing w:val="-2"/>
          <w:lang w:val="fr-CH"/>
        </w:rPr>
      </w:pPr>
      <w:r w:rsidRPr="00E16059">
        <w:rPr>
          <w:spacing w:val="-2"/>
          <w:lang w:val="fr-CH"/>
        </w:rPr>
        <w:t>31.1</w:t>
      </w:r>
      <w:r w:rsidR="00EF6CFA" w:rsidRPr="00E16059">
        <w:rPr>
          <w:spacing w:val="-2"/>
          <w:lang w:val="fr-CH"/>
        </w:rPr>
        <w:t>.</w:t>
      </w:r>
      <w:r w:rsidRPr="00E16059">
        <w:rPr>
          <w:spacing w:val="-2"/>
          <w:lang w:val="fr-CH"/>
        </w:rPr>
        <w:tab/>
        <w:t>Formulati</w:t>
      </w:r>
      <w:r w:rsidR="008B5EB3" w:rsidRPr="00E16059">
        <w:rPr>
          <w:spacing w:val="-2"/>
          <w:lang w:val="fr-CH"/>
        </w:rPr>
        <w:t>on et exécution de plans de développement et appui à la création d’organes devant faciliter la création d’emplois dans les zones rurales et fournir des services d’</w:t>
      </w:r>
      <w:r w:rsidRPr="00E16059">
        <w:rPr>
          <w:spacing w:val="-2"/>
          <w:lang w:val="fr-CH"/>
        </w:rPr>
        <w:t>infra</w:t>
      </w:r>
      <w:r w:rsidR="008B5EB3" w:rsidRPr="00E16059">
        <w:rPr>
          <w:spacing w:val="-2"/>
          <w:lang w:val="fr-CH"/>
        </w:rPr>
        <w:t xml:space="preserve">structure tels que l’approvisionnement en eau potable et en électricité, mettre en place des réseaux de collecte et d’évacuation des eaux usées, établir des cartes et émettre des titres de propriété sur des biens immeubles en milieu rural, et dynamiser les organisations non gouvernementales (ONG) et les organisations de la société civile de manière qu’elles élèvent le niveau de </w:t>
      </w:r>
      <w:r w:rsidRPr="00E16059">
        <w:rPr>
          <w:spacing w:val="-2"/>
          <w:lang w:val="fr-CH"/>
        </w:rPr>
        <w:t xml:space="preserve">participation </w:t>
      </w:r>
      <w:r w:rsidR="008B5EB3" w:rsidRPr="00E16059">
        <w:rPr>
          <w:spacing w:val="-2"/>
          <w:lang w:val="fr-CH"/>
        </w:rPr>
        <w:t>de la population rurale à l’</w:t>
      </w:r>
      <w:r w:rsidRPr="00E16059">
        <w:rPr>
          <w:spacing w:val="-2"/>
          <w:lang w:val="fr-CH"/>
        </w:rPr>
        <w:t>ex</w:t>
      </w:r>
      <w:r w:rsidR="008B5EB3" w:rsidRPr="00E16059">
        <w:rPr>
          <w:spacing w:val="-2"/>
          <w:lang w:val="fr-CH"/>
        </w:rPr>
        <w:t>é</w:t>
      </w:r>
      <w:r w:rsidRPr="00E16059">
        <w:rPr>
          <w:spacing w:val="-2"/>
          <w:lang w:val="fr-CH"/>
        </w:rPr>
        <w:t xml:space="preserve">cution </w:t>
      </w:r>
      <w:r w:rsidR="008B5EB3" w:rsidRPr="00E16059">
        <w:rPr>
          <w:spacing w:val="-2"/>
          <w:lang w:val="fr-CH"/>
        </w:rPr>
        <w:t xml:space="preserve">de </w:t>
      </w:r>
      <w:r w:rsidRPr="00E16059">
        <w:rPr>
          <w:spacing w:val="-2"/>
          <w:lang w:val="fr-CH"/>
        </w:rPr>
        <w:t xml:space="preserve">plans </w:t>
      </w:r>
      <w:r w:rsidR="008B5EB3" w:rsidRPr="00E16059">
        <w:rPr>
          <w:spacing w:val="-2"/>
          <w:lang w:val="fr-CH"/>
        </w:rPr>
        <w:t xml:space="preserve">de développement en milieu </w:t>
      </w:r>
      <w:r w:rsidRPr="00E16059">
        <w:rPr>
          <w:spacing w:val="-2"/>
          <w:lang w:val="fr-CH"/>
        </w:rPr>
        <w:t xml:space="preserve">rural. </w:t>
      </w:r>
    </w:p>
    <w:p w:rsidR="00972AC7" w:rsidRPr="0071782F" w:rsidRDefault="00972AC7" w:rsidP="00B55247">
      <w:pPr>
        <w:pStyle w:val="SingleTxtG"/>
        <w:ind w:left="1701"/>
        <w:rPr>
          <w:lang w:val="fr-CH"/>
        </w:rPr>
      </w:pPr>
      <w:r w:rsidRPr="0071782F">
        <w:rPr>
          <w:lang w:val="fr-CH"/>
        </w:rPr>
        <w:t>31.2</w:t>
      </w:r>
      <w:r w:rsidR="00EF6CFA" w:rsidRPr="0071782F">
        <w:rPr>
          <w:lang w:val="fr-CH"/>
        </w:rPr>
        <w:t>.</w:t>
      </w:r>
      <w:r w:rsidRPr="0071782F">
        <w:rPr>
          <w:lang w:val="fr-CH"/>
        </w:rPr>
        <w:tab/>
      </w:r>
      <w:r w:rsidR="00966186" w:rsidRPr="0071782F">
        <w:rPr>
          <w:lang w:val="fr-CH"/>
        </w:rPr>
        <w:t xml:space="preserve">Les résultats des plus </w:t>
      </w:r>
      <w:r w:rsidRPr="0071782F">
        <w:rPr>
          <w:lang w:val="fr-CH"/>
        </w:rPr>
        <w:t>important</w:t>
      </w:r>
      <w:r w:rsidR="00966186" w:rsidRPr="0071782F">
        <w:rPr>
          <w:lang w:val="fr-CH"/>
        </w:rPr>
        <w:t>s</w:t>
      </w:r>
      <w:r w:rsidRPr="0071782F">
        <w:rPr>
          <w:lang w:val="fr-CH"/>
        </w:rPr>
        <w:t xml:space="preserve"> indicat</w:t>
      </w:r>
      <w:r w:rsidR="00966186" w:rsidRPr="0071782F">
        <w:rPr>
          <w:lang w:val="fr-CH"/>
        </w:rPr>
        <w:t>eu</w:t>
      </w:r>
      <w:r w:rsidRPr="0071782F">
        <w:rPr>
          <w:lang w:val="fr-CH"/>
        </w:rPr>
        <w:t xml:space="preserve">rs </w:t>
      </w:r>
      <w:r w:rsidR="00966186" w:rsidRPr="0071782F">
        <w:rPr>
          <w:lang w:val="fr-CH"/>
        </w:rPr>
        <w:t xml:space="preserve">utilisés pour évaluer les activités menées dans les </w:t>
      </w:r>
      <w:r w:rsidRPr="0071782F">
        <w:rPr>
          <w:lang w:val="fr-CH"/>
        </w:rPr>
        <w:t>diff</w:t>
      </w:r>
      <w:r w:rsidR="00966186" w:rsidRPr="0071782F">
        <w:rPr>
          <w:lang w:val="fr-CH"/>
        </w:rPr>
        <w:t>é</w:t>
      </w:r>
      <w:r w:rsidRPr="0071782F">
        <w:rPr>
          <w:lang w:val="fr-CH"/>
        </w:rPr>
        <w:t>rent</w:t>
      </w:r>
      <w:r w:rsidR="00966186" w:rsidRPr="0071782F">
        <w:rPr>
          <w:lang w:val="fr-CH"/>
        </w:rPr>
        <w:t>s</w:t>
      </w:r>
      <w:r w:rsidRPr="0071782F">
        <w:rPr>
          <w:lang w:val="fr-CH"/>
        </w:rPr>
        <w:t xml:space="preserve"> sect</w:t>
      </w:r>
      <w:r w:rsidR="00966186" w:rsidRPr="0071782F">
        <w:rPr>
          <w:lang w:val="fr-CH"/>
        </w:rPr>
        <w:t>eu</w:t>
      </w:r>
      <w:r w:rsidRPr="0071782F">
        <w:rPr>
          <w:lang w:val="fr-CH"/>
        </w:rPr>
        <w:t xml:space="preserve">rs </w:t>
      </w:r>
      <w:r w:rsidR="00966186" w:rsidRPr="0071782F">
        <w:rPr>
          <w:lang w:val="fr-CH"/>
        </w:rPr>
        <w:t>e</w:t>
      </w:r>
      <w:r w:rsidRPr="0071782F">
        <w:rPr>
          <w:lang w:val="fr-CH"/>
        </w:rPr>
        <w:t xml:space="preserve">n 2005 </w:t>
      </w:r>
      <w:r w:rsidR="00966186" w:rsidRPr="0071782F">
        <w:rPr>
          <w:lang w:val="fr-CH"/>
        </w:rPr>
        <w:t>et</w:t>
      </w:r>
      <w:r w:rsidRPr="0071782F">
        <w:rPr>
          <w:lang w:val="fr-CH"/>
        </w:rPr>
        <w:t xml:space="preserve"> 2006</w:t>
      </w:r>
      <w:r w:rsidR="00966186" w:rsidRPr="0071782F">
        <w:rPr>
          <w:lang w:val="fr-CH"/>
        </w:rPr>
        <w:t xml:space="preserve"> sont présentés ci-après.</w:t>
      </w:r>
    </w:p>
    <w:p w:rsidR="00972AC7" w:rsidRPr="0071782F" w:rsidRDefault="00972AC7" w:rsidP="00B55247">
      <w:pPr>
        <w:pStyle w:val="SingleTxtG"/>
        <w:ind w:left="1701"/>
        <w:rPr>
          <w:lang w:val="fr-CH"/>
        </w:rPr>
      </w:pPr>
      <w:r w:rsidRPr="0071782F">
        <w:rPr>
          <w:lang w:val="fr-CH"/>
        </w:rPr>
        <w:t>31.3</w:t>
      </w:r>
      <w:r w:rsidR="00EF6CFA" w:rsidRPr="0071782F">
        <w:rPr>
          <w:lang w:val="fr-CH"/>
        </w:rPr>
        <w:t>.</w:t>
      </w:r>
      <w:r w:rsidRPr="0071782F">
        <w:rPr>
          <w:lang w:val="fr-CH"/>
        </w:rPr>
        <w:tab/>
      </w:r>
      <w:r w:rsidR="00966186" w:rsidRPr="0071782F">
        <w:rPr>
          <w:lang w:val="fr-CH"/>
        </w:rPr>
        <w:t xml:space="preserve">Mise en </w:t>
      </w:r>
      <w:r w:rsidR="00D5366B" w:rsidRPr="0071782F">
        <w:rPr>
          <w:lang w:val="fr-CH"/>
        </w:rPr>
        <w:t>œuvre</w:t>
      </w:r>
      <w:r w:rsidR="00966186" w:rsidRPr="0071782F">
        <w:rPr>
          <w:lang w:val="fr-CH"/>
        </w:rPr>
        <w:t xml:space="preserve"> du plan d’orientation rurale </w:t>
      </w:r>
      <w:r w:rsidR="007F37CE" w:rsidRPr="0071782F">
        <w:rPr>
          <w:lang w:val="fr-CH"/>
        </w:rPr>
        <w:t>dans les villages de plus de 50 famille</w:t>
      </w:r>
      <w:r w:rsidR="00966186" w:rsidRPr="0071782F">
        <w:rPr>
          <w:lang w:val="fr-CH"/>
        </w:rPr>
        <w:t xml:space="preserve">s, qui a fait passer le nombre de ces </w:t>
      </w:r>
      <w:r w:rsidRPr="0071782F">
        <w:rPr>
          <w:lang w:val="fr-CH"/>
        </w:rPr>
        <w:t xml:space="preserve">villages </w:t>
      </w:r>
      <w:r w:rsidR="00966186" w:rsidRPr="0071782F">
        <w:rPr>
          <w:lang w:val="fr-CH"/>
        </w:rPr>
        <w:t xml:space="preserve">de </w:t>
      </w:r>
      <w:r w:rsidRPr="0071782F">
        <w:rPr>
          <w:lang w:val="fr-CH"/>
        </w:rPr>
        <w:t>61</w:t>
      </w:r>
      <w:r w:rsidR="00966186" w:rsidRPr="0071782F">
        <w:rPr>
          <w:lang w:val="fr-CH"/>
        </w:rPr>
        <w:t>,</w:t>
      </w:r>
      <w:r w:rsidRPr="0071782F">
        <w:rPr>
          <w:lang w:val="fr-CH"/>
        </w:rPr>
        <w:t>7</w:t>
      </w:r>
      <w:r w:rsidR="007E5125" w:rsidRPr="0071782F">
        <w:rPr>
          <w:lang w:val="fr-CH"/>
        </w:rPr>
        <w:t>%</w:t>
      </w:r>
      <w:r w:rsidRPr="0071782F">
        <w:rPr>
          <w:lang w:val="fr-CH"/>
        </w:rPr>
        <w:t xml:space="preserve"> </w:t>
      </w:r>
      <w:r w:rsidR="00966186" w:rsidRPr="0071782F">
        <w:rPr>
          <w:lang w:val="fr-CH"/>
        </w:rPr>
        <w:t>e</w:t>
      </w:r>
      <w:r w:rsidRPr="0071782F">
        <w:rPr>
          <w:lang w:val="fr-CH"/>
        </w:rPr>
        <w:t xml:space="preserve">n 2005 </w:t>
      </w:r>
      <w:r w:rsidR="00966186" w:rsidRPr="0071782F">
        <w:rPr>
          <w:lang w:val="fr-CH"/>
        </w:rPr>
        <w:t>à</w:t>
      </w:r>
      <w:r w:rsidRPr="0071782F">
        <w:rPr>
          <w:lang w:val="fr-CH"/>
        </w:rPr>
        <w:t xml:space="preserve"> 80</w:t>
      </w:r>
      <w:r w:rsidR="00966186" w:rsidRPr="0071782F">
        <w:rPr>
          <w:lang w:val="fr-CH"/>
        </w:rPr>
        <w:t>,</w:t>
      </w:r>
      <w:r w:rsidRPr="0071782F">
        <w:rPr>
          <w:lang w:val="fr-CH"/>
        </w:rPr>
        <w:t>6</w:t>
      </w:r>
      <w:r w:rsidR="007E5125" w:rsidRPr="0071782F">
        <w:rPr>
          <w:lang w:val="fr-CH"/>
        </w:rPr>
        <w:t>%</w:t>
      </w:r>
      <w:r w:rsidRPr="0071782F">
        <w:rPr>
          <w:lang w:val="fr-CH"/>
        </w:rPr>
        <w:t xml:space="preserve"> </w:t>
      </w:r>
      <w:r w:rsidR="00966186" w:rsidRPr="0071782F">
        <w:rPr>
          <w:lang w:val="fr-CH"/>
        </w:rPr>
        <w:t>e</w:t>
      </w:r>
      <w:r w:rsidR="00E16059">
        <w:rPr>
          <w:lang w:val="fr-CH"/>
        </w:rPr>
        <w:t>n </w:t>
      </w:r>
      <w:r w:rsidRPr="0071782F">
        <w:rPr>
          <w:lang w:val="fr-CH"/>
        </w:rPr>
        <w:t xml:space="preserve">2006, </w:t>
      </w:r>
      <w:r w:rsidR="00966186" w:rsidRPr="0071782F">
        <w:rPr>
          <w:lang w:val="fr-CH"/>
        </w:rPr>
        <w:t>ce qui a permis de réaliser à 224</w:t>
      </w:r>
      <w:r w:rsidR="007E5125" w:rsidRPr="0071782F">
        <w:rPr>
          <w:lang w:val="fr-CH"/>
        </w:rPr>
        <w:t>%</w:t>
      </w:r>
      <w:r w:rsidR="00966186" w:rsidRPr="0071782F">
        <w:rPr>
          <w:lang w:val="fr-CH"/>
        </w:rPr>
        <w:t xml:space="preserve"> l’objectif fixé par le </w:t>
      </w:r>
      <w:r w:rsidR="00A90208" w:rsidRPr="0071782F">
        <w:rPr>
          <w:lang w:val="fr-CH"/>
        </w:rPr>
        <w:t>quatrième</w:t>
      </w:r>
      <w:r w:rsidR="00966186" w:rsidRPr="0071782F">
        <w:rPr>
          <w:lang w:val="fr-CH"/>
        </w:rPr>
        <w:t xml:space="preserve"> plan de développement</w:t>
      </w:r>
      <w:r w:rsidR="00F9703F"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31.4</w:t>
      </w:r>
      <w:r w:rsidR="00EF6CFA" w:rsidRPr="0071782F">
        <w:rPr>
          <w:lang w:val="fr-CH"/>
        </w:rPr>
        <w:t>.</w:t>
      </w:r>
      <w:r w:rsidRPr="0071782F">
        <w:rPr>
          <w:lang w:val="fr-CH"/>
        </w:rPr>
        <w:tab/>
      </w:r>
      <w:r w:rsidR="00966186" w:rsidRPr="0071782F">
        <w:rPr>
          <w:lang w:val="fr-CH"/>
        </w:rPr>
        <w:t xml:space="preserve">Mise en </w:t>
      </w:r>
      <w:r w:rsidR="00D5366B" w:rsidRPr="0071782F">
        <w:rPr>
          <w:lang w:val="fr-CH"/>
        </w:rPr>
        <w:t>œuvre</w:t>
      </w:r>
      <w:r w:rsidR="00966186" w:rsidRPr="0071782F">
        <w:rPr>
          <w:lang w:val="fr-CH"/>
        </w:rPr>
        <w:t xml:space="preserve"> du plan d’orientation rurale d</w:t>
      </w:r>
      <w:r w:rsidR="007F37CE" w:rsidRPr="0071782F">
        <w:rPr>
          <w:lang w:val="fr-CH"/>
        </w:rPr>
        <w:t>ans les villages de plus de 100 famille</w:t>
      </w:r>
      <w:r w:rsidR="00966186" w:rsidRPr="0071782F">
        <w:rPr>
          <w:lang w:val="fr-CH"/>
        </w:rPr>
        <w:t>s, qui a fait passer le nombre de ces villages de 57,6</w:t>
      </w:r>
      <w:r w:rsidR="007E5125" w:rsidRPr="0071782F">
        <w:rPr>
          <w:lang w:val="fr-CH"/>
        </w:rPr>
        <w:t>%</w:t>
      </w:r>
      <w:r w:rsidR="00966186" w:rsidRPr="0071782F">
        <w:rPr>
          <w:lang w:val="fr-CH"/>
        </w:rPr>
        <w:t xml:space="preserve"> en 2005 à 70</w:t>
      </w:r>
      <w:r w:rsidR="007E5125" w:rsidRPr="0071782F">
        <w:rPr>
          <w:lang w:val="fr-CH"/>
        </w:rPr>
        <w:t>%</w:t>
      </w:r>
      <w:r w:rsidR="00E16059">
        <w:rPr>
          <w:lang w:val="fr-CH"/>
        </w:rPr>
        <w:t xml:space="preserve"> en </w:t>
      </w:r>
      <w:r w:rsidR="00966186" w:rsidRPr="0071782F">
        <w:rPr>
          <w:lang w:val="fr-CH"/>
        </w:rPr>
        <w:t xml:space="preserve">2006, l’objectif fixé par le </w:t>
      </w:r>
      <w:r w:rsidR="00A90208" w:rsidRPr="0071782F">
        <w:rPr>
          <w:lang w:val="fr-CH"/>
        </w:rPr>
        <w:t>quatrième</w:t>
      </w:r>
      <w:r w:rsidR="00966186" w:rsidRPr="0071782F">
        <w:rPr>
          <w:lang w:val="fr-CH"/>
        </w:rPr>
        <w:t xml:space="preserve"> plan de développement étant ainsi réalisé à </w:t>
      </w:r>
      <w:r w:rsidR="00F9703F" w:rsidRPr="0071782F">
        <w:rPr>
          <w:lang w:val="fr-CH"/>
        </w:rPr>
        <w:t>149</w:t>
      </w:r>
      <w:r w:rsidR="007E5125" w:rsidRPr="0071782F">
        <w:rPr>
          <w:lang w:val="fr-CH"/>
        </w:rPr>
        <w:t>%</w:t>
      </w:r>
      <w:r w:rsidR="00F9703F"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31.5</w:t>
      </w:r>
      <w:r w:rsidR="00EF6CFA" w:rsidRPr="0071782F">
        <w:rPr>
          <w:lang w:val="fr-CH"/>
        </w:rPr>
        <w:t>.</w:t>
      </w:r>
      <w:r w:rsidRPr="0071782F">
        <w:rPr>
          <w:lang w:val="fr-CH"/>
        </w:rPr>
        <w:tab/>
      </w:r>
      <w:r w:rsidR="00966186" w:rsidRPr="0071782F">
        <w:rPr>
          <w:lang w:val="fr-CH"/>
        </w:rPr>
        <w:t xml:space="preserve">Mise à disposition des moyens nécessaires à l’émission de titres de propriété sur des biens immeubles dans les </w:t>
      </w:r>
      <w:r w:rsidRPr="0071782F">
        <w:rPr>
          <w:lang w:val="fr-CH"/>
        </w:rPr>
        <w:t xml:space="preserve">villages </w:t>
      </w:r>
      <w:r w:rsidR="00966186" w:rsidRPr="0071782F">
        <w:rPr>
          <w:lang w:val="fr-CH"/>
        </w:rPr>
        <w:t>dotés d’un conseil islamique</w:t>
      </w:r>
      <w:r w:rsidRPr="0071782F">
        <w:rPr>
          <w:lang w:val="fr-CH"/>
        </w:rPr>
        <w:t xml:space="preserve">, </w:t>
      </w:r>
      <w:r w:rsidR="00966186" w:rsidRPr="0071782F">
        <w:rPr>
          <w:lang w:val="fr-CH"/>
        </w:rPr>
        <w:t xml:space="preserve">qui a fait passer le nombre de ces villages de </w:t>
      </w:r>
      <w:r w:rsidRPr="0071782F">
        <w:rPr>
          <w:lang w:val="fr-CH"/>
        </w:rPr>
        <w:t>46</w:t>
      </w:r>
      <w:r w:rsidR="00966186" w:rsidRPr="0071782F">
        <w:rPr>
          <w:lang w:val="fr-CH"/>
        </w:rPr>
        <w:t>,</w:t>
      </w:r>
      <w:r w:rsidRPr="0071782F">
        <w:rPr>
          <w:lang w:val="fr-CH"/>
        </w:rPr>
        <w:t>4</w:t>
      </w:r>
      <w:r w:rsidR="007E5125" w:rsidRPr="0071782F">
        <w:rPr>
          <w:lang w:val="fr-CH"/>
        </w:rPr>
        <w:t>%</w:t>
      </w:r>
      <w:r w:rsidRPr="0071782F">
        <w:rPr>
          <w:lang w:val="fr-CH"/>
        </w:rPr>
        <w:t xml:space="preserve"> </w:t>
      </w:r>
      <w:r w:rsidR="00966186" w:rsidRPr="0071782F">
        <w:rPr>
          <w:lang w:val="fr-CH"/>
        </w:rPr>
        <w:t>e</w:t>
      </w:r>
      <w:r w:rsidRPr="0071782F">
        <w:rPr>
          <w:lang w:val="fr-CH"/>
        </w:rPr>
        <w:t xml:space="preserve">n 2005 </w:t>
      </w:r>
      <w:r w:rsidR="00966186" w:rsidRPr="0071782F">
        <w:rPr>
          <w:lang w:val="fr-CH"/>
        </w:rPr>
        <w:t>à</w:t>
      </w:r>
      <w:r w:rsidRPr="0071782F">
        <w:rPr>
          <w:lang w:val="fr-CH"/>
        </w:rPr>
        <w:t xml:space="preserve"> 60</w:t>
      </w:r>
      <w:r w:rsidR="00966186" w:rsidRPr="0071782F">
        <w:rPr>
          <w:lang w:val="fr-CH"/>
        </w:rPr>
        <w:t>,</w:t>
      </w:r>
      <w:r w:rsidRPr="0071782F">
        <w:rPr>
          <w:lang w:val="fr-CH"/>
        </w:rPr>
        <w:t>8</w:t>
      </w:r>
      <w:r w:rsidR="007E5125" w:rsidRPr="0071782F">
        <w:rPr>
          <w:lang w:val="fr-CH"/>
        </w:rPr>
        <w:t>%</w:t>
      </w:r>
      <w:r w:rsidRPr="0071782F">
        <w:rPr>
          <w:lang w:val="fr-CH"/>
        </w:rPr>
        <w:t xml:space="preserve"> </w:t>
      </w:r>
      <w:r w:rsidR="00966186" w:rsidRPr="0071782F">
        <w:rPr>
          <w:lang w:val="fr-CH"/>
        </w:rPr>
        <w:t>e</w:t>
      </w:r>
      <w:r w:rsidRPr="0071782F">
        <w:rPr>
          <w:lang w:val="fr-CH"/>
        </w:rPr>
        <w:t xml:space="preserve">n 2006, </w:t>
      </w:r>
      <w:r w:rsidR="00966186" w:rsidRPr="0071782F">
        <w:rPr>
          <w:lang w:val="fr-CH"/>
        </w:rPr>
        <w:t>ce qui a permis de réaliser à 174</w:t>
      </w:r>
      <w:r w:rsidR="007E5125" w:rsidRPr="0071782F">
        <w:rPr>
          <w:lang w:val="fr-CH"/>
        </w:rPr>
        <w:t>%</w:t>
      </w:r>
      <w:r w:rsidR="00966186" w:rsidRPr="0071782F">
        <w:rPr>
          <w:lang w:val="fr-CH"/>
        </w:rPr>
        <w:t xml:space="preserve"> l’objectif fixé</w:t>
      </w:r>
      <w:r w:rsidR="00F9703F"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31.6</w:t>
      </w:r>
      <w:r w:rsidR="00EF6CFA" w:rsidRPr="0071782F">
        <w:rPr>
          <w:lang w:val="fr-CH"/>
        </w:rPr>
        <w:t>.</w:t>
      </w:r>
      <w:r w:rsidRPr="0071782F">
        <w:rPr>
          <w:lang w:val="fr-CH"/>
        </w:rPr>
        <w:tab/>
      </w:r>
      <w:r w:rsidR="00273381" w:rsidRPr="0071782F">
        <w:rPr>
          <w:lang w:val="fr-CH"/>
        </w:rPr>
        <w:t xml:space="preserve">L’approvisionnement des zones rurales en eau salubre est passé de </w:t>
      </w:r>
      <w:r w:rsidRPr="0071782F">
        <w:rPr>
          <w:lang w:val="fr-CH"/>
        </w:rPr>
        <w:t>65</w:t>
      </w:r>
      <w:r w:rsidR="007E5125" w:rsidRPr="0071782F">
        <w:rPr>
          <w:lang w:val="fr-CH"/>
        </w:rPr>
        <w:t>%</w:t>
      </w:r>
      <w:r w:rsidRPr="0071782F">
        <w:rPr>
          <w:lang w:val="fr-CH"/>
        </w:rPr>
        <w:t xml:space="preserve"> </w:t>
      </w:r>
      <w:r w:rsidR="00273381" w:rsidRPr="0071782F">
        <w:rPr>
          <w:lang w:val="fr-CH"/>
        </w:rPr>
        <w:t>e</w:t>
      </w:r>
      <w:r w:rsidRPr="0071782F">
        <w:rPr>
          <w:lang w:val="fr-CH"/>
        </w:rPr>
        <w:t xml:space="preserve">n 2005 </w:t>
      </w:r>
      <w:r w:rsidR="00273381" w:rsidRPr="0071782F">
        <w:rPr>
          <w:lang w:val="fr-CH"/>
        </w:rPr>
        <w:t xml:space="preserve">à </w:t>
      </w:r>
      <w:r w:rsidRPr="0071782F">
        <w:rPr>
          <w:lang w:val="fr-CH"/>
        </w:rPr>
        <w:t>68</w:t>
      </w:r>
      <w:r w:rsidR="007E5125" w:rsidRPr="0071782F">
        <w:rPr>
          <w:lang w:val="fr-CH"/>
        </w:rPr>
        <w:t>%</w:t>
      </w:r>
      <w:r w:rsidRPr="0071782F">
        <w:rPr>
          <w:lang w:val="fr-CH"/>
        </w:rPr>
        <w:t xml:space="preserve"> </w:t>
      </w:r>
      <w:r w:rsidR="00273381" w:rsidRPr="0071782F">
        <w:rPr>
          <w:lang w:val="fr-CH"/>
        </w:rPr>
        <w:t>e</w:t>
      </w:r>
      <w:r w:rsidRPr="0071782F">
        <w:rPr>
          <w:lang w:val="fr-CH"/>
        </w:rPr>
        <w:t xml:space="preserve">n 2006, </w:t>
      </w:r>
      <w:r w:rsidR="00273381" w:rsidRPr="0071782F">
        <w:rPr>
          <w:lang w:val="fr-CH"/>
        </w:rPr>
        <w:t xml:space="preserve">l’objectif fixé étant ainsi réalisé à </w:t>
      </w:r>
      <w:r w:rsidRPr="0071782F">
        <w:rPr>
          <w:lang w:val="fr-CH"/>
        </w:rPr>
        <w:t>98</w:t>
      </w:r>
      <w:r w:rsidR="007E5125" w:rsidRPr="0071782F">
        <w:rPr>
          <w:lang w:val="fr-CH"/>
        </w:rPr>
        <w:t>%</w:t>
      </w:r>
      <w:r w:rsidR="00F9703F" w:rsidRPr="0071782F">
        <w:rPr>
          <w:lang w:val="fr-CH"/>
        </w:rPr>
        <w:t>.</w:t>
      </w:r>
    </w:p>
    <w:p w:rsidR="00972AC7" w:rsidRPr="0071782F" w:rsidRDefault="00972AC7" w:rsidP="00B55247">
      <w:pPr>
        <w:pStyle w:val="SingleTxtG"/>
        <w:ind w:left="1701"/>
        <w:rPr>
          <w:lang w:val="fr-CH"/>
        </w:rPr>
      </w:pPr>
      <w:r w:rsidRPr="0071782F">
        <w:rPr>
          <w:lang w:val="fr-CH"/>
        </w:rPr>
        <w:t>31.7</w:t>
      </w:r>
      <w:r w:rsidR="00EF6CFA" w:rsidRPr="0071782F">
        <w:rPr>
          <w:lang w:val="fr-CH"/>
        </w:rPr>
        <w:t>.</w:t>
      </w:r>
      <w:r w:rsidRPr="0071782F">
        <w:rPr>
          <w:lang w:val="fr-CH"/>
        </w:rPr>
        <w:tab/>
      </w:r>
      <w:r w:rsidR="00273381" w:rsidRPr="0071782F">
        <w:rPr>
          <w:lang w:val="fr-CH"/>
        </w:rPr>
        <w:t xml:space="preserve">Construction de réseaux de collecte et d’évacuation des eaux usées dans les </w:t>
      </w:r>
      <w:r w:rsidRPr="0071782F">
        <w:rPr>
          <w:lang w:val="fr-CH"/>
        </w:rPr>
        <w:t xml:space="preserve">villages </w:t>
      </w:r>
      <w:r w:rsidR="00273381" w:rsidRPr="0071782F">
        <w:rPr>
          <w:lang w:val="fr-CH"/>
        </w:rPr>
        <w:t xml:space="preserve">de plus de </w:t>
      </w:r>
      <w:r w:rsidRPr="0071782F">
        <w:rPr>
          <w:lang w:val="fr-CH"/>
        </w:rPr>
        <w:t>200</w:t>
      </w:r>
      <w:r w:rsidR="007F37CE" w:rsidRPr="0071782F">
        <w:rPr>
          <w:lang w:val="fr-CH"/>
        </w:rPr>
        <w:t> famille</w:t>
      </w:r>
      <w:r w:rsidRPr="0071782F">
        <w:rPr>
          <w:lang w:val="fr-CH"/>
        </w:rPr>
        <w:t xml:space="preserve">s, </w:t>
      </w:r>
      <w:r w:rsidR="00273381" w:rsidRPr="0071782F">
        <w:rPr>
          <w:lang w:val="fr-CH"/>
        </w:rPr>
        <w:t xml:space="preserve">qui a fait passer le nombre de ces villages de </w:t>
      </w:r>
      <w:r w:rsidRPr="0071782F">
        <w:rPr>
          <w:lang w:val="fr-CH"/>
        </w:rPr>
        <w:t>0</w:t>
      </w:r>
      <w:r w:rsidR="00273381" w:rsidRPr="0071782F">
        <w:rPr>
          <w:lang w:val="fr-CH"/>
        </w:rPr>
        <w:t>,</w:t>
      </w:r>
      <w:r w:rsidRPr="0071782F">
        <w:rPr>
          <w:lang w:val="fr-CH"/>
        </w:rPr>
        <w:t>4</w:t>
      </w:r>
      <w:r w:rsidR="007E5125" w:rsidRPr="0071782F">
        <w:rPr>
          <w:lang w:val="fr-CH"/>
        </w:rPr>
        <w:t>%</w:t>
      </w:r>
      <w:r w:rsidRPr="0071782F">
        <w:rPr>
          <w:lang w:val="fr-CH"/>
        </w:rPr>
        <w:t xml:space="preserve"> </w:t>
      </w:r>
      <w:r w:rsidR="00273381" w:rsidRPr="0071782F">
        <w:rPr>
          <w:lang w:val="fr-CH"/>
        </w:rPr>
        <w:t>e</w:t>
      </w:r>
      <w:r w:rsidRPr="0071782F">
        <w:rPr>
          <w:lang w:val="fr-CH"/>
        </w:rPr>
        <w:t xml:space="preserve">n 2005 </w:t>
      </w:r>
      <w:r w:rsidR="00273381" w:rsidRPr="0071782F">
        <w:rPr>
          <w:lang w:val="fr-CH"/>
        </w:rPr>
        <w:t>à</w:t>
      </w:r>
      <w:r w:rsidRPr="0071782F">
        <w:rPr>
          <w:lang w:val="fr-CH"/>
        </w:rPr>
        <w:t xml:space="preserve"> 0</w:t>
      </w:r>
      <w:r w:rsidR="00273381" w:rsidRPr="0071782F">
        <w:rPr>
          <w:lang w:val="fr-CH"/>
        </w:rPr>
        <w:t>,</w:t>
      </w:r>
      <w:r w:rsidRPr="0071782F">
        <w:rPr>
          <w:lang w:val="fr-CH"/>
        </w:rPr>
        <w:t>67</w:t>
      </w:r>
      <w:r w:rsidR="007E5125" w:rsidRPr="0071782F">
        <w:rPr>
          <w:lang w:val="fr-CH"/>
        </w:rPr>
        <w:t>%</w:t>
      </w:r>
      <w:r w:rsidRPr="0071782F">
        <w:rPr>
          <w:lang w:val="fr-CH"/>
        </w:rPr>
        <w:t xml:space="preserve"> </w:t>
      </w:r>
      <w:r w:rsidR="00273381" w:rsidRPr="0071782F">
        <w:rPr>
          <w:lang w:val="fr-CH"/>
        </w:rPr>
        <w:t>e</w:t>
      </w:r>
      <w:r w:rsidRPr="0071782F">
        <w:rPr>
          <w:lang w:val="fr-CH"/>
        </w:rPr>
        <w:t xml:space="preserve">n 2006, </w:t>
      </w:r>
      <w:r w:rsidR="00273381" w:rsidRPr="0071782F">
        <w:rPr>
          <w:lang w:val="fr-CH"/>
        </w:rPr>
        <w:t>ce qui a permis de réaliser à 22</w:t>
      </w:r>
      <w:r w:rsidR="007E5125" w:rsidRPr="0071782F">
        <w:rPr>
          <w:lang w:val="fr-CH"/>
        </w:rPr>
        <w:t>%</w:t>
      </w:r>
      <w:r w:rsidR="00273381" w:rsidRPr="0071782F">
        <w:rPr>
          <w:lang w:val="fr-CH"/>
        </w:rPr>
        <w:t xml:space="preserve"> l’objectif fixé</w:t>
      </w:r>
      <w:r w:rsidR="00F9703F"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31.8</w:t>
      </w:r>
      <w:r w:rsidR="00EF6CFA" w:rsidRPr="0071782F">
        <w:rPr>
          <w:lang w:val="fr-CH"/>
        </w:rPr>
        <w:t>.</w:t>
      </w:r>
      <w:r w:rsidRPr="0071782F">
        <w:rPr>
          <w:lang w:val="fr-CH"/>
        </w:rPr>
        <w:tab/>
      </w:r>
      <w:r w:rsidR="00273381" w:rsidRPr="0071782F">
        <w:rPr>
          <w:lang w:val="fr-CH"/>
        </w:rPr>
        <w:t xml:space="preserve">Mise en place de systèmes de gouvernance villageoise dans les </w:t>
      </w:r>
      <w:r w:rsidRPr="0071782F">
        <w:rPr>
          <w:lang w:val="fr-CH"/>
        </w:rPr>
        <w:t xml:space="preserve">villages </w:t>
      </w:r>
      <w:r w:rsidR="00273381" w:rsidRPr="0071782F">
        <w:rPr>
          <w:lang w:val="fr-CH"/>
        </w:rPr>
        <w:t xml:space="preserve">de plus de </w:t>
      </w:r>
      <w:r w:rsidRPr="0071782F">
        <w:rPr>
          <w:lang w:val="fr-CH"/>
        </w:rPr>
        <w:t>20</w:t>
      </w:r>
      <w:r w:rsidR="007F37CE" w:rsidRPr="0071782F">
        <w:rPr>
          <w:lang w:val="fr-CH"/>
        </w:rPr>
        <w:t> famille</w:t>
      </w:r>
      <w:r w:rsidRPr="0071782F">
        <w:rPr>
          <w:lang w:val="fr-CH"/>
        </w:rPr>
        <w:t xml:space="preserve">s, </w:t>
      </w:r>
      <w:r w:rsidR="00273381" w:rsidRPr="0071782F">
        <w:rPr>
          <w:lang w:val="fr-CH"/>
        </w:rPr>
        <w:t xml:space="preserve">qui a fait passer le nombre de ces villages de </w:t>
      </w:r>
      <w:r w:rsidRPr="0071782F">
        <w:rPr>
          <w:lang w:val="fr-CH"/>
        </w:rPr>
        <w:t>45</w:t>
      </w:r>
      <w:r w:rsidR="007E5125" w:rsidRPr="0071782F">
        <w:rPr>
          <w:lang w:val="fr-CH"/>
        </w:rPr>
        <w:t>%</w:t>
      </w:r>
      <w:r w:rsidRPr="0071782F">
        <w:rPr>
          <w:lang w:val="fr-CH"/>
        </w:rPr>
        <w:t xml:space="preserve"> </w:t>
      </w:r>
      <w:r w:rsidR="00273381" w:rsidRPr="0071782F">
        <w:rPr>
          <w:lang w:val="fr-CH"/>
        </w:rPr>
        <w:t>e</w:t>
      </w:r>
      <w:r w:rsidRPr="0071782F">
        <w:rPr>
          <w:lang w:val="fr-CH"/>
        </w:rPr>
        <w:t xml:space="preserve">n 2005 </w:t>
      </w:r>
      <w:r w:rsidR="00273381" w:rsidRPr="0071782F">
        <w:rPr>
          <w:lang w:val="fr-CH"/>
        </w:rPr>
        <w:t>à</w:t>
      </w:r>
      <w:r w:rsidRPr="0071782F">
        <w:rPr>
          <w:lang w:val="fr-CH"/>
        </w:rPr>
        <w:t xml:space="preserve"> 52</w:t>
      </w:r>
      <w:r w:rsidR="007E5125" w:rsidRPr="0071782F">
        <w:rPr>
          <w:lang w:val="fr-CH"/>
        </w:rPr>
        <w:t>%</w:t>
      </w:r>
      <w:r w:rsidRPr="0071782F">
        <w:rPr>
          <w:lang w:val="fr-CH"/>
        </w:rPr>
        <w:t xml:space="preserve"> </w:t>
      </w:r>
      <w:r w:rsidR="00273381" w:rsidRPr="0071782F">
        <w:rPr>
          <w:lang w:val="fr-CH"/>
        </w:rPr>
        <w:t>e</w:t>
      </w:r>
      <w:r w:rsidRPr="0071782F">
        <w:rPr>
          <w:lang w:val="fr-CH"/>
        </w:rPr>
        <w:t>n 2006</w:t>
      </w:r>
      <w:r w:rsidR="00273381" w:rsidRPr="0071782F">
        <w:rPr>
          <w:lang w:val="fr-CH"/>
        </w:rPr>
        <w:t>,</w:t>
      </w:r>
      <w:r w:rsidRPr="0071782F">
        <w:rPr>
          <w:lang w:val="fr-CH"/>
        </w:rPr>
        <w:t xml:space="preserve"> </w:t>
      </w:r>
      <w:r w:rsidR="00273381" w:rsidRPr="0071782F">
        <w:rPr>
          <w:lang w:val="fr-CH"/>
        </w:rPr>
        <w:t xml:space="preserve">l’objectif fixé étant ainsi réalisé à </w:t>
      </w:r>
      <w:r w:rsidRPr="0071782F">
        <w:rPr>
          <w:lang w:val="fr-CH"/>
        </w:rPr>
        <w:t>80</w:t>
      </w:r>
      <w:r w:rsidR="007E5125" w:rsidRPr="0071782F">
        <w:rPr>
          <w:lang w:val="fr-CH"/>
        </w:rPr>
        <w:t>%</w:t>
      </w:r>
      <w:r w:rsidRPr="0071782F">
        <w:rPr>
          <w:lang w:val="fr-CH"/>
        </w:rPr>
        <w:t xml:space="preserve">. </w:t>
      </w:r>
      <w:r w:rsidR="00273381" w:rsidRPr="0071782F">
        <w:rPr>
          <w:lang w:val="fr-CH"/>
        </w:rPr>
        <w:t xml:space="preserve">Les activités les plus </w:t>
      </w:r>
      <w:r w:rsidRPr="0071782F">
        <w:rPr>
          <w:lang w:val="fr-CH"/>
        </w:rPr>
        <w:t>important</w:t>
      </w:r>
      <w:r w:rsidR="00273381" w:rsidRPr="0071782F">
        <w:rPr>
          <w:lang w:val="fr-CH"/>
        </w:rPr>
        <w:t>es</w:t>
      </w:r>
      <w:r w:rsidRPr="0071782F">
        <w:rPr>
          <w:lang w:val="fr-CH"/>
        </w:rPr>
        <w:t xml:space="preserve"> </w:t>
      </w:r>
      <w:r w:rsidR="00273381" w:rsidRPr="0071782F">
        <w:rPr>
          <w:lang w:val="fr-CH"/>
        </w:rPr>
        <w:t xml:space="preserve">à être financées par le </w:t>
      </w:r>
      <w:r w:rsidRPr="0071782F">
        <w:rPr>
          <w:lang w:val="fr-CH"/>
        </w:rPr>
        <w:t>budget allo</w:t>
      </w:r>
      <w:r w:rsidR="00273381" w:rsidRPr="0071782F">
        <w:rPr>
          <w:lang w:val="fr-CH"/>
        </w:rPr>
        <w:t xml:space="preserve">ué au développement </w:t>
      </w:r>
      <w:r w:rsidRPr="0071782F">
        <w:rPr>
          <w:lang w:val="fr-CH"/>
        </w:rPr>
        <w:t xml:space="preserve">rural </w:t>
      </w:r>
      <w:r w:rsidR="00273381" w:rsidRPr="0071782F">
        <w:rPr>
          <w:lang w:val="fr-CH"/>
        </w:rPr>
        <w:t>sont les suivantes</w:t>
      </w:r>
      <w:r w:rsidR="008F7D33"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31.9</w:t>
      </w:r>
      <w:r w:rsidR="00EF6CFA" w:rsidRPr="0071782F">
        <w:rPr>
          <w:lang w:val="fr-CH"/>
        </w:rPr>
        <w:t>.</w:t>
      </w:r>
      <w:r w:rsidRPr="0071782F">
        <w:rPr>
          <w:lang w:val="fr-CH"/>
        </w:rPr>
        <w:tab/>
      </w:r>
      <w:r w:rsidR="00273381" w:rsidRPr="0071782F">
        <w:rPr>
          <w:lang w:val="fr-CH"/>
        </w:rPr>
        <w:t xml:space="preserve">Mise en </w:t>
      </w:r>
      <w:r w:rsidR="00D5366B" w:rsidRPr="0071782F">
        <w:rPr>
          <w:lang w:val="fr-CH"/>
        </w:rPr>
        <w:t>œuvre</w:t>
      </w:r>
      <w:r w:rsidR="00273381" w:rsidRPr="0071782F">
        <w:rPr>
          <w:lang w:val="fr-CH"/>
        </w:rPr>
        <w:t xml:space="preserve"> du plan d’orientation rurale dans les vil</w:t>
      </w:r>
      <w:r w:rsidR="007F37CE" w:rsidRPr="0071782F">
        <w:rPr>
          <w:lang w:val="fr-CH"/>
        </w:rPr>
        <w:t>lages de plus de 50 famille</w:t>
      </w:r>
      <w:r w:rsidR="00273381" w:rsidRPr="0071782F">
        <w:rPr>
          <w:lang w:val="fr-CH"/>
        </w:rPr>
        <w:t>s grâce à l’</w:t>
      </w:r>
      <w:r w:rsidRPr="0071782F">
        <w:rPr>
          <w:lang w:val="fr-CH"/>
        </w:rPr>
        <w:t xml:space="preserve">allocation </w:t>
      </w:r>
      <w:r w:rsidR="00273381" w:rsidRPr="0071782F">
        <w:rPr>
          <w:lang w:val="fr-CH"/>
        </w:rPr>
        <w:t xml:space="preserve">de </w:t>
      </w:r>
      <w:r w:rsidRPr="0071782F">
        <w:rPr>
          <w:lang w:val="fr-CH"/>
        </w:rPr>
        <w:t>176,932</w:t>
      </w:r>
      <w:r w:rsidR="008553D9" w:rsidRPr="0071782F">
        <w:rPr>
          <w:lang w:val="fr-CH"/>
        </w:rPr>
        <w:t> milliard</w:t>
      </w:r>
      <w:r w:rsidR="00097CDB" w:rsidRPr="0071782F">
        <w:rPr>
          <w:lang w:val="fr-CH"/>
        </w:rPr>
        <w:t>s</w:t>
      </w:r>
      <w:r w:rsidR="00273381" w:rsidRPr="0071782F">
        <w:rPr>
          <w:lang w:val="fr-CH"/>
        </w:rPr>
        <w:t xml:space="preserve"> </w:t>
      </w:r>
      <w:r w:rsidR="003B1403" w:rsidRPr="0071782F">
        <w:rPr>
          <w:lang w:val="fr-CH"/>
        </w:rPr>
        <w:t>de rials</w:t>
      </w:r>
      <w:r w:rsidRPr="0071782F">
        <w:rPr>
          <w:lang w:val="fr-CH"/>
        </w:rPr>
        <w:t xml:space="preserve"> </w:t>
      </w:r>
      <w:r w:rsidR="00273381" w:rsidRPr="0071782F">
        <w:rPr>
          <w:lang w:val="fr-CH"/>
        </w:rPr>
        <w:t>e</w:t>
      </w:r>
      <w:r w:rsidRPr="0071782F">
        <w:rPr>
          <w:lang w:val="fr-CH"/>
        </w:rPr>
        <w:t xml:space="preserve">n 2006, </w:t>
      </w:r>
      <w:r w:rsidR="00273381" w:rsidRPr="0071782F">
        <w:rPr>
          <w:lang w:val="fr-CH"/>
        </w:rPr>
        <w:t xml:space="preserve">le nombre de ces villages augmentant ainsi de </w:t>
      </w:r>
      <w:r w:rsidRPr="0071782F">
        <w:rPr>
          <w:lang w:val="fr-CH"/>
        </w:rPr>
        <w:t>52</w:t>
      </w:r>
      <w:r w:rsidR="00273381" w:rsidRPr="0071782F">
        <w:rPr>
          <w:lang w:val="fr-CH"/>
        </w:rPr>
        <w:t>,</w:t>
      </w:r>
      <w:r w:rsidRPr="0071782F">
        <w:rPr>
          <w:lang w:val="fr-CH"/>
        </w:rPr>
        <w:t>3</w:t>
      </w:r>
      <w:r w:rsidR="007E5125" w:rsidRPr="0071782F">
        <w:rPr>
          <w:lang w:val="fr-CH"/>
        </w:rPr>
        <w:t>%</w:t>
      </w:r>
      <w:r w:rsidRPr="0071782F">
        <w:rPr>
          <w:lang w:val="fr-CH"/>
        </w:rPr>
        <w:t xml:space="preserve"> </w:t>
      </w:r>
      <w:r w:rsidR="00273381" w:rsidRPr="0071782F">
        <w:rPr>
          <w:lang w:val="fr-CH"/>
        </w:rPr>
        <w:t xml:space="preserve">par rapport à </w:t>
      </w:r>
      <w:r w:rsidRPr="0071782F">
        <w:rPr>
          <w:lang w:val="fr-CH"/>
        </w:rPr>
        <w:t>2005</w:t>
      </w:r>
      <w:r w:rsidR="00F9703F"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31.10</w:t>
      </w:r>
      <w:r w:rsidR="00EF6CFA" w:rsidRPr="0071782F">
        <w:rPr>
          <w:lang w:val="fr-CH"/>
        </w:rPr>
        <w:t>.</w:t>
      </w:r>
      <w:r w:rsidRPr="0071782F">
        <w:rPr>
          <w:lang w:val="fr-CH"/>
        </w:rPr>
        <w:tab/>
      </w:r>
      <w:r w:rsidR="00273381" w:rsidRPr="0071782F">
        <w:rPr>
          <w:lang w:val="fr-CH"/>
        </w:rPr>
        <w:t xml:space="preserve">Mise en </w:t>
      </w:r>
      <w:r w:rsidR="00D5366B" w:rsidRPr="0071782F">
        <w:rPr>
          <w:lang w:val="fr-CH"/>
        </w:rPr>
        <w:t>œuvre</w:t>
      </w:r>
      <w:r w:rsidR="00273381" w:rsidRPr="0071782F">
        <w:rPr>
          <w:lang w:val="fr-CH"/>
        </w:rPr>
        <w:t xml:space="preserve"> du plan d’orientation rurale dans les villages de plus de 100</w:t>
      </w:r>
      <w:r w:rsidR="007F37CE" w:rsidRPr="0071782F">
        <w:rPr>
          <w:lang w:val="fr-CH"/>
        </w:rPr>
        <w:t> famille</w:t>
      </w:r>
      <w:r w:rsidR="00273381" w:rsidRPr="0071782F">
        <w:rPr>
          <w:lang w:val="fr-CH"/>
        </w:rPr>
        <w:t xml:space="preserve">s grâce à l’allocation de 1 </w:t>
      </w:r>
      <w:r w:rsidRPr="0071782F">
        <w:rPr>
          <w:lang w:val="fr-CH"/>
        </w:rPr>
        <w:t>733,787</w:t>
      </w:r>
      <w:r w:rsidR="008553D9" w:rsidRPr="0071782F">
        <w:rPr>
          <w:lang w:val="fr-CH"/>
        </w:rPr>
        <w:t> milliard</w:t>
      </w:r>
      <w:r w:rsidR="00097CDB" w:rsidRPr="0071782F">
        <w:rPr>
          <w:lang w:val="fr-CH"/>
        </w:rPr>
        <w:t>s</w:t>
      </w:r>
      <w:r w:rsidR="00273381" w:rsidRPr="0071782F">
        <w:rPr>
          <w:lang w:val="fr-CH"/>
        </w:rPr>
        <w:t xml:space="preserve"> </w:t>
      </w:r>
      <w:r w:rsidR="003B1403" w:rsidRPr="0071782F">
        <w:rPr>
          <w:lang w:val="fr-CH"/>
        </w:rPr>
        <w:t>de rials</w:t>
      </w:r>
      <w:r w:rsidRPr="0071782F">
        <w:rPr>
          <w:lang w:val="fr-CH"/>
        </w:rPr>
        <w:t xml:space="preserve"> </w:t>
      </w:r>
      <w:r w:rsidR="00273381" w:rsidRPr="0071782F">
        <w:rPr>
          <w:lang w:val="fr-CH"/>
        </w:rPr>
        <w:t>e</w:t>
      </w:r>
      <w:r w:rsidRPr="0071782F">
        <w:rPr>
          <w:lang w:val="fr-CH"/>
        </w:rPr>
        <w:t xml:space="preserve">n 2006, </w:t>
      </w:r>
      <w:r w:rsidR="00273381" w:rsidRPr="0071782F">
        <w:rPr>
          <w:lang w:val="fr-CH"/>
        </w:rPr>
        <w:t xml:space="preserve">le nombre de ces villages augmentant ainsi de </w:t>
      </w:r>
      <w:r w:rsidRPr="0071782F">
        <w:rPr>
          <w:lang w:val="fr-CH"/>
        </w:rPr>
        <w:t>22</w:t>
      </w:r>
      <w:r w:rsidR="007E5125" w:rsidRPr="0071782F">
        <w:rPr>
          <w:lang w:val="fr-CH"/>
        </w:rPr>
        <w:t>%</w:t>
      </w:r>
      <w:r w:rsidRPr="0071782F">
        <w:rPr>
          <w:lang w:val="fr-CH"/>
        </w:rPr>
        <w:t xml:space="preserve"> </w:t>
      </w:r>
      <w:r w:rsidR="00273381" w:rsidRPr="0071782F">
        <w:rPr>
          <w:lang w:val="fr-CH"/>
        </w:rPr>
        <w:t xml:space="preserve">par rapport à </w:t>
      </w:r>
      <w:r w:rsidRPr="0071782F">
        <w:rPr>
          <w:lang w:val="fr-CH"/>
        </w:rPr>
        <w:t>2005</w:t>
      </w:r>
      <w:r w:rsidR="00F9703F"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31.11</w:t>
      </w:r>
      <w:r w:rsidR="00EF6CFA" w:rsidRPr="0071782F">
        <w:rPr>
          <w:lang w:val="fr-CH"/>
        </w:rPr>
        <w:t>.</w:t>
      </w:r>
      <w:r w:rsidRPr="0071782F">
        <w:rPr>
          <w:lang w:val="fr-CH"/>
        </w:rPr>
        <w:tab/>
      </w:r>
      <w:r w:rsidR="00ED0FFD" w:rsidRPr="0071782F">
        <w:rPr>
          <w:lang w:val="fr-CH"/>
        </w:rPr>
        <w:t xml:space="preserve">Amélioration des constructions en dur dans les zones rurales grâce à l’allocation de </w:t>
      </w:r>
      <w:r w:rsidRPr="0071782F">
        <w:rPr>
          <w:lang w:val="fr-CH"/>
        </w:rPr>
        <w:t>10,050</w:t>
      </w:r>
      <w:r w:rsidR="008553D9" w:rsidRPr="0071782F">
        <w:rPr>
          <w:lang w:val="fr-CH"/>
        </w:rPr>
        <w:t> milliard</w:t>
      </w:r>
      <w:r w:rsidR="00097CDB" w:rsidRPr="0071782F">
        <w:rPr>
          <w:lang w:val="fr-CH"/>
        </w:rPr>
        <w:t>s</w:t>
      </w:r>
      <w:r w:rsidR="00ED0FFD" w:rsidRPr="0071782F">
        <w:rPr>
          <w:lang w:val="fr-CH"/>
        </w:rPr>
        <w:t xml:space="preserve"> </w:t>
      </w:r>
      <w:r w:rsidR="003B1403" w:rsidRPr="0071782F">
        <w:rPr>
          <w:lang w:val="fr-CH"/>
        </w:rPr>
        <w:t>de rials</w:t>
      </w:r>
      <w:r w:rsidRPr="0071782F">
        <w:rPr>
          <w:lang w:val="fr-CH"/>
        </w:rPr>
        <w:t xml:space="preserve">, </w:t>
      </w:r>
      <w:r w:rsidR="00ED0FFD" w:rsidRPr="0071782F">
        <w:rPr>
          <w:lang w:val="fr-CH"/>
        </w:rPr>
        <w:t xml:space="preserve">la proportion de constructions concernées baissant de </w:t>
      </w:r>
      <w:r w:rsidRPr="0071782F">
        <w:rPr>
          <w:lang w:val="fr-CH"/>
        </w:rPr>
        <w:t>16</w:t>
      </w:r>
      <w:r w:rsidR="00ED0FFD" w:rsidRPr="0071782F">
        <w:rPr>
          <w:lang w:val="fr-CH"/>
        </w:rPr>
        <w:t>,</w:t>
      </w:r>
      <w:r w:rsidRPr="0071782F">
        <w:rPr>
          <w:lang w:val="fr-CH"/>
        </w:rPr>
        <w:t>2</w:t>
      </w:r>
      <w:r w:rsidR="007E5125" w:rsidRPr="0071782F">
        <w:rPr>
          <w:lang w:val="fr-CH"/>
        </w:rPr>
        <w:t>%</w:t>
      </w:r>
      <w:r w:rsidRPr="0071782F">
        <w:rPr>
          <w:lang w:val="fr-CH"/>
        </w:rPr>
        <w:t xml:space="preserve"> </w:t>
      </w:r>
      <w:r w:rsidR="00ED0FFD" w:rsidRPr="0071782F">
        <w:rPr>
          <w:lang w:val="fr-CH"/>
        </w:rPr>
        <w:t xml:space="preserve">par rapport à </w:t>
      </w:r>
      <w:r w:rsidRPr="0071782F">
        <w:rPr>
          <w:lang w:val="fr-CH"/>
        </w:rPr>
        <w:t>2005</w:t>
      </w:r>
      <w:r w:rsidR="00F9703F" w:rsidRPr="0071782F">
        <w:rPr>
          <w:lang w:val="fr-CH"/>
        </w:rPr>
        <w:t>.</w:t>
      </w:r>
      <w:r w:rsidRPr="0071782F">
        <w:rPr>
          <w:lang w:val="fr-CH"/>
        </w:rPr>
        <w:t xml:space="preserve"> </w:t>
      </w:r>
    </w:p>
    <w:p w:rsidR="00972AC7" w:rsidRPr="0071782F" w:rsidRDefault="00972AC7" w:rsidP="00B55247">
      <w:pPr>
        <w:pStyle w:val="SingleTxtG"/>
        <w:ind w:left="1701"/>
        <w:rPr>
          <w:lang w:val="fr-CH"/>
        </w:rPr>
      </w:pPr>
      <w:r w:rsidRPr="0071782F">
        <w:rPr>
          <w:lang w:val="fr-CH"/>
        </w:rPr>
        <w:t>31.12</w:t>
      </w:r>
      <w:r w:rsidR="00EF6CFA" w:rsidRPr="0071782F">
        <w:rPr>
          <w:lang w:val="fr-CH"/>
        </w:rPr>
        <w:t>.</w:t>
      </w:r>
      <w:r w:rsidRPr="0071782F">
        <w:rPr>
          <w:lang w:val="fr-CH"/>
        </w:rPr>
        <w:tab/>
      </w:r>
      <w:r w:rsidR="00ED0FFD" w:rsidRPr="0071782F">
        <w:rPr>
          <w:lang w:val="fr-CH"/>
        </w:rPr>
        <w:t xml:space="preserve">Approvisionnement des villages en eau </w:t>
      </w:r>
      <w:r w:rsidRPr="0071782F">
        <w:rPr>
          <w:lang w:val="fr-CH"/>
        </w:rPr>
        <w:t xml:space="preserve">potable </w:t>
      </w:r>
      <w:r w:rsidR="00ED0FFD" w:rsidRPr="0071782F">
        <w:rPr>
          <w:lang w:val="fr-CH"/>
        </w:rPr>
        <w:t xml:space="preserve">grâce à l’allocation de </w:t>
      </w:r>
      <w:r w:rsidRPr="0071782F">
        <w:rPr>
          <w:lang w:val="fr-CH"/>
        </w:rPr>
        <w:t>3</w:t>
      </w:r>
      <w:r w:rsidR="007F37CE" w:rsidRPr="0071782F">
        <w:rPr>
          <w:lang w:val="fr-CH"/>
        </w:rPr>
        <w:t> </w:t>
      </w:r>
      <w:r w:rsidRPr="0071782F">
        <w:rPr>
          <w:lang w:val="fr-CH"/>
        </w:rPr>
        <w:t>745,582</w:t>
      </w:r>
      <w:r w:rsidR="008553D9" w:rsidRPr="0071782F">
        <w:rPr>
          <w:lang w:val="fr-CH"/>
        </w:rPr>
        <w:t> milliard</w:t>
      </w:r>
      <w:r w:rsidR="00097CDB" w:rsidRPr="0071782F">
        <w:rPr>
          <w:lang w:val="fr-CH"/>
        </w:rPr>
        <w:t>s</w:t>
      </w:r>
      <w:r w:rsidR="00ED0FFD" w:rsidRPr="0071782F">
        <w:rPr>
          <w:lang w:val="fr-CH"/>
        </w:rPr>
        <w:t xml:space="preserve"> </w:t>
      </w:r>
      <w:r w:rsidR="003B1403" w:rsidRPr="0071782F">
        <w:rPr>
          <w:lang w:val="fr-CH"/>
        </w:rPr>
        <w:t>de rials</w:t>
      </w:r>
      <w:r w:rsidRPr="0071782F">
        <w:rPr>
          <w:lang w:val="fr-CH"/>
        </w:rPr>
        <w:t xml:space="preserve"> </w:t>
      </w:r>
      <w:r w:rsidR="00ED0FFD" w:rsidRPr="0071782F">
        <w:rPr>
          <w:lang w:val="fr-CH"/>
        </w:rPr>
        <w:t>e</w:t>
      </w:r>
      <w:r w:rsidRPr="0071782F">
        <w:rPr>
          <w:lang w:val="fr-CH"/>
        </w:rPr>
        <w:t>n 2006 (</w:t>
      </w:r>
      <w:r w:rsidR="00ED0FFD" w:rsidRPr="0071782F">
        <w:rPr>
          <w:lang w:val="fr-CH"/>
        </w:rPr>
        <w:t xml:space="preserve">la comparaison avec l’année antérieure est rendue impossible par l’absence de rapport d’exécution pour </w:t>
      </w:r>
      <w:r w:rsidRPr="0071782F">
        <w:rPr>
          <w:lang w:val="fr-CH"/>
        </w:rPr>
        <w:t xml:space="preserve">2005). </w:t>
      </w:r>
    </w:p>
    <w:p w:rsidR="00972AC7" w:rsidRPr="0071782F" w:rsidRDefault="00972AC7" w:rsidP="00B55247">
      <w:pPr>
        <w:pStyle w:val="H1G"/>
        <w:rPr>
          <w:lang w:val="fr-CH"/>
        </w:rPr>
      </w:pPr>
      <w:r w:rsidRPr="0071782F">
        <w:rPr>
          <w:lang w:val="fr-CH"/>
        </w:rPr>
        <w:tab/>
      </w:r>
      <w:r w:rsidRPr="0071782F">
        <w:rPr>
          <w:lang w:val="fr-CH"/>
        </w:rPr>
        <w:tab/>
        <w:t>Coop</w:t>
      </w:r>
      <w:r w:rsidR="00ED0FFD" w:rsidRPr="0071782F">
        <w:rPr>
          <w:lang w:val="fr-CH"/>
        </w:rPr>
        <w:t>é</w:t>
      </w:r>
      <w:r w:rsidRPr="0071782F">
        <w:rPr>
          <w:lang w:val="fr-CH"/>
        </w:rPr>
        <w:t xml:space="preserve">ratives </w:t>
      </w:r>
    </w:p>
    <w:p w:rsidR="00972AC7" w:rsidRPr="0071782F" w:rsidRDefault="00972AC7" w:rsidP="00972AC7">
      <w:pPr>
        <w:pStyle w:val="SingleTxtG"/>
        <w:rPr>
          <w:lang w:val="fr-CH"/>
        </w:rPr>
      </w:pPr>
      <w:r w:rsidRPr="0071782F">
        <w:rPr>
          <w:lang w:val="fr-CH"/>
        </w:rPr>
        <w:t>32.</w:t>
      </w:r>
      <w:r w:rsidRPr="0071782F">
        <w:rPr>
          <w:lang w:val="fr-CH"/>
        </w:rPr>
        <w:tab/>
      </w:r>
      <w:r w:rsidR="00DF7766" w:rsidRPr="0071782F">
        <w:rPr>
          <w:lang w:val="fr-CH"/>
        </w:rPr>
        <w:t xml:space="preserve">L’objectif fixé par le </w:t>
      </w:r>
      <w:r w:rsidR="00A90208" w:rsidRPr="0071782F">
        <w:rPr>
          <w:lang w:val="fr-CH"/>
        </w:rPr>
        <w:t>quatrième</w:t>
      </w:r>
      <w:r w:rsidR="00DF7766" w:rsidRPr="0071782F">
        <w:rPr>
          <w:lang w:val="fr-CH"/>
        </w:rPr>
        <w:t xml:space="preserve"> plan de développement pour l’augmentation des exportations du secteur des coopératives a été réalisé à 83</w:t>
      </w:r>
      <w:r w:rsidR="007E5125" w:rsidRPr="0071782F">
        <w:rPr>
          <w:lang w:val="fr-CH"/>
        </w:rPr>
        <w:t>%</w:t>
      </w:r>
      <w:r w:rsidR="00DF7766" w:rsidRPr="0071782F">
        <w:rPr>
          <w:lang w:val="fr-CH"/>
        </w:rPr>
        <w:t xml:space="preserve"> en 2006 </w:t>
      </w:r>
      <w:r w:rsidRPr="0071782F">
        <w:rPr>
          <w:lang w:val="fr-CH"/>
        </w:rPr>
        <w:t>(</w:t>
      </w:r>
      <w:r w:rsidR="00DF7766" w:rsidRPr="0071782F">
        <w:rPr>
          <w:lang w:val="fr-CH"/>
        </w:rPr>
        <w:t xml:space="preserve">ces exportations se sont élevées à </w:t>
      </w:r>
      <w:r w:rsidRPr="0071782F">
        <w:rPr>
          <w:lang w:val="fr-CH"/>
        </w:rPr>
        <w:t>1,163</w:t>
      </w:r>
      <w:r w:rsidR="008553D9" w:rsidRPr="0071782F">
        <w:rPr>
          <w:lang w:val="fr-CH"/>
        </w:rPr>
        <w:t> milliard</w:t>
      </w:r>
      <w:r w:rsidR="00DF7766" w:rsidRPr="0071782F">
        <w:rPr>
          <w:lang w:val="fr-CH"/>
        </w:rPr>
        <w:t xml:space="preserve"> de </w:t>
      </w:r>
      <w:r w:rsidRPr="0071782F">
        <w:rPr>
          <w:lang w:val="fr-CH"/>
        </w:rPr>
        <w:t xml:space="preserve">dollars </w:t>
      </w:r>
      <w:r w:rsidR="00DF7766" w:rsidRPr="0071782F">
        <w:rPr>
          <w:lang w:val="fr-CH"/>
        </w:rPr>
        <w:t xml:space="preserve">É.-U. pour un objectif fixé à </w:t>
      </w:r>
      <w:r w:rsidRPr="0071782F">
        <w:rPr>
          <w:lang w:val="fr-CH"/>
        </w:rPr>
        <w:t>1,4</w:t>
      </w:r>
      <w:r w:rsidR="008553D9" w:rsidRPr="0071782F">
        <w:rPr>
          <w:lang w:val="fr-CH"/>
        </w:rPr>
        <w:t> milliard</w:t>
      </w:r>
      <w:r w:rsidR="00DF7766" w:rsidRPr="0071782F">
        <w:rPr>
          <w:lang w:val="fr-CH"/>
        </w:rPr>
        <w:t xml:space="preserve"> de </w:t>
      </w:r>
      <w:r w:rsidR="00777F33" w:rsidRPr="0071782F">
        <w:rPr>
          <w:lang w:val="fr-CH"/>
        </w:rPr>
        <w:t>dollars</w:t>
      </w:r>
      <w:r w:rsidRPr="0071782F">
        <w:rPr>
          <w:lang w:val="fr-CH"/>
        </w:rPr>
        <w:t xml:space="preserve">). </w:t>
      </w:r>
    </w:p>
    <w:p w:rsidR="00972AC7" w:rsidRPr="0071782F" w:rsidRDefault="00972AC7" w:rsidP="00B55247">
      <w:pPr>
        <w:pStyle w:val="SingleTxtG"/>
        <w:ind w:left="1701"/>
        <w:rPr>
          <w:lang w:val="fr-CH"/>
        </w:rPr>
      </w:pPr>
      <w:r w:rsidRPr="0071782F">
        <w:rPr>
          <w:lang w:val="fr-CH"/>
        </w:rPr>
        <w:t>32.1</w:t>
      </w:r>
      <w:r w:rsidR="00EF6CFA" w:rsidRPr="0071782F">
        <w:rPr>
          <w:lang w:val="fr-CH"/>
        </w:rPr>
        <w:t>.</w:t>
      </w:r>
      <w:r w:rsidRPr="0071782F">
        <w:rPr>
          <w:lang w:val="fr-CH"/>
        </w:rPr>
        <w:tab/>
      </w:r>
      <w:r w:rsidR="00DF7766" w:rsidRPr="0071782F">
        <w:rPr>
          <w:lang w:val="fr-CH"/>
        </w:rPr>
        <w:t xml:space="preserve">Le nombre des nouveaux membres admis par les coopératives est passé de </w:t>
      </w:r>
      <w:r w:rsidRPr="0071782F">
        <w:rPr>
          <w:lang w:val="fr-CH"/>
        </w:rPr>
        <w:t>104</w:t>
      </w:r>
      <w:r w:rsidR="00861AEE">
        <w:rPr>
          <w:lang w:val="fr-CH"/>
        </w:rPr>
        <w:t> </w:t>
      </w:r>
      <w:r w:rsidRPr="0071782F">
        <w:rPr>
          <w:lang w:val="fr-CH"/>
        </w:rPr>
        <w:t xml:space="preserve">000 </w:t>
      </w:r>
      <w:r w:rsidR="00DF7766" w:rsidRPr="0071782F">
        <w:rPr>
          <w:lang w:val="fr-CH"/>
        </w:rPr>
        <w:t xml:space="preserve">en </w:t>
      </w:r>
      <w:r w:rsidRPr="0071782F">
        <w:rPr>
          <w:lang w:val="fr-CH"/>
        </w:rPr>
        <w:t xml:space="preserve">2005 </w:t>
      </w:r>
      <w:r w:rsidR="00DF7766" w:rsidRPr="0071782F">
        <w:rPr>
          <w:lang w:val="fr-CH"/>
        </w:rPr>
        <w:t>à 1 </w:t>
      </w:r>
      <w:r w:rsidRPr="0071782F">
        <w:rPr>
          <w:lang w:val="fr-CH"/>
        </w:rPr>
        <w:t>120</w:t>
      </w:r>
      <w:r w:rsidR="00DF7766" w:rsidRPr="0071782F">
        <w:rPr>
          <w:lang w:val="fr-CH"/>
        </w:rPr>
        <w:t xml:space="preserve"> </w:t>
      </w:r>
      <w:r w:rsidRPr="0071782F">
        <w:rPr>
          <w:lang w:val="fr-CH"/>
        </w:rPr>
        <w:t xml:space="preserve">000 </w:t>
      </w:r>
      <w:r w:rsidR="00DF7766" w:rsidRPr="0071782F">
        <w:rPr>
          <w:lang w:val="fr-CH"/>
        </w:rPr>
        <w:t>e</w:t>
      </w:r>
      <w:r w:rsidRPr="0071782F">
        <w:rPr>
          <w:lang w:val="fr-CH"/>
        </w:rPr>
        <w:t xml:space="preserve">n 2006, </w:t>
      </w:r>
      <w:r w:rsidR="00DF7766" w:rsidRPr="0071782F">
        <w:rPr>
          <w:lang w:val="fr-CH"/>
        </w:rPr>
        <w:t>ce qui a porté de 15,3</w:t>
      </w:r>
      <w:r w:rsidR="007E5125" w:rsidRPr="0071782F">
        <w:rPr>
          <w:lang w:val="fr-CH"/>
        </w:rPr>
        <w:t>%</w:t>
      </w:r>
      <w:r w:rsidR="00DF7766" w:rsidRPr="0071782F">
        <w:rPr>
          <w:lang w:val="fr-CH"/>
        </w:rPr>
        <w:t xml:space="preserve"> à 35,5</w:t>
      </w:r>
      <w:r w:rsidR="007E5125" w:rsidRPr="0071782F">
        <w:rPr>
          <w:lang w:val="fr-CH"/>
        </w:rPr>
        <w:t>%</w:t>
      </w:r>
      <w:r w:rsidR="00DF7766" w:rsidRPr="0071782F">
        <w:rPr>
          <w:lang w:val="fr-CH"/>
        </w:rPr>
        <w:t xml:space="preserve"> le taux de réalisation de l’objectif fixé par le </w:t>
      </w:r>
      <w:r w:rsidR="00A90208" w:rsidRPr="0071782F">
        <w:rPr>
          <w:lang w:val="fr-CH"/>
        </w:rPr>
        <w:t>quatrième</w:t>
      </w:r>
      <w:r w:rsidR="00DF7766" w:rsidRPr="0071782F">
        <w:rPr>
          <w:lang w:val="fr-CH"/>
        </w:rPr>
        <w:t xml:space="preserve"> plan de développement.</w:t>
      </w:r>
      <w:r w:rsidR="00D36718">
        <w:rPr>
          <w:lang w:val="fr-CH"/>
        </w:rPr>
        <w:t xml:space="preserve"> </w:t>
      </w:r>
    </w:p>
    <w:p w:rsidR="00972AC7" w:rsidRPr="0071782F" w:rsidRDefault="00972AC7" w:rsidP="00B55247">
      <w:pPr>
        <w:pStyle w:val="SingleTxtG"/>
        <w:ind w:left="1701"/>
        <w:rPr>
          <w:lang w:val="fr-CH"/>
        </w:rPr>
      </w:pPr>
      <w:r w:rsidRPr="0071782F">
        <w:rPr>
          <w:lang w:val="fr-CH"/>
        </w:rPr>
        <w:t>32.2</w:t>
      </w:r>
      <w:r w:rsidR="00EF6CFA" w:rsidRPr="0071782F">
        <w:rPr>
          <w:lang w:val="fr-CH"/>
        </w:rPr>
        <w:t>.</w:t>
      </w:r>
      <w:r w:rsidRPr="0071782F">
        <w:rPr>
          <w:lang w:val="fr-CH"/>
        </w:rPr>
        <w:tab/>
      </w:r>
      <w:r w:rsidR="00DF7766" w:rsidRPr="0071782F">
        <w:rPr>
          <w:lang w:val="fr-CH"/>
        </w:rPr>
        <w:t>Le nombre de nouveaux emplois créé</w:t>
      </w:r>
      <w:r w:rsidR="00777F33" w:rsidRPr="0071782F">
        <w:rPr>
          <w:lang w:val="fr-CH"/>
        </w:rPr>
        <w:t>s</w:t>
      </w:r>
      <w:r w:rsidR="00DF7766" w:rsidRPr="0071782F">
        <w:rPr>
          <w:lang w:val="fr-CH"/>
        </w:rPr>
        <w:t xml:space="preserve"> est passé de 29 </w:t>
      </w:r>
      <w:r w:rsidRPr="0071782F">
        <w:rPr>
          <w:lang w:val="fr-CH"/>
        </w:rPr>
        <w:t xml:space="preserve">000 </w:t>
      </w:r>
      <w:r w:rsidR="00DF7766" w:rsidRPr="0071782F">
        <w:rPr>
          <w:lang w:val="fr-CH"/>
        </w:rPr>
        <w:t>e</w:t>
      </w:r>
      <w:r w:rsidRPr="0071782F">
        <w:rPr>
          <w:lang w:val="fr-CH"/>
        </w:rPr>
        <w:t xml:space="preserve">n 2005 </w:t>
      </w:r>
      <w:r w:rsidR="00DF7766" w:rsidRPr="0071782F">
        <w:rPr>
          <w:lang w:val="fr-CH"/>
        </w:rPr>
        <w:t>à</w:t>
      </w:r>
      <w:r w:rsidRPr="0071782F">
        <w:rPr>
          <w:lang w:val="fr-CH"/>
        </w:rPr>
        <w:t xml:space="preserve"> 163</w:t>
      </w:r>
      <w:r w:rsidR="007F37CE" w:rsidRPr="0071782F">
        <w:rPr>
          <w:lang w:val="fr-CH"/>
        </w:rPr>
        <w:t> </w:t>
      </w:r>
      <w:r w:rsidRPr="0071782F">
        <w:rPr>
          <w:lang w:val="fr-CH"/>
        </w:rPr>
        <w:t xml:space="preserve">000 </w:t>
      </w:r>
      <w:r w:rsidR="00DF7766" w:rsidRPr="0071782F">
        <w:rPr>
          <w:lang w:val="fr-CH"/>
        </w:rPr>
        <w:t>e</w:t>
      </w:r>
      <w:r w:rsidRPr="0071782F">
        <w:rPr>
          <w:lang w:val="fr-CH"/>
        </w:rPr>
        <w:t>n 2006</w:t>
      </w:r>
      <w:r w:rsidR="00F9703F" w:rsidRPr="0071782F">
        <w:rPr>
          <w:lang w:val="fr-CH"/>
        </w:rPr>
        <w:t>.</w:t>
      </w:r>
    </w:p>
    <w:p w:rsidR="00972AC7" w:rsidRPr="0071782F" w:rsidRDefault="00972AC7" w:rsidP="00A33E51">
      <w:pPr>
        <w:pStyle w:val="SingleTxtG"/>
        <w:ind w:left="1701"/>
        <w:rPr>
          <w:lang w:val="fr-CH"/>
        </w:rPr>
      </w:pPr>
      <w:r w:rsidRPr="0071782F">
        <w:rPr>
          <w:lang w:val="fr-CH"/>
        </w:rPr>
        <w:t>32.3</w:t>
      </w:r>
      <w:r w:rsidR="00EF6CFA" w:rsidRPr="0071782F">
        <w:rPr>
          <w:lang w:val="fr-CH"/>
        </w:rPr>
        <w:t>.</w:t>
      </w:r>
      <w:r w:rsidRPr="0071782F">
        <w:rPr>
          <w:lang w:val="fr-CH"/>
        </w:rPr>
        <w:tab/>
      </w:r>
      <w:r w:rsidR="00DF7766" w:rsidRPr="0071782F">
        <w:rPr>
          <w:lang w:val="fr-CH"/>
        </w:rPr>
        <w:t xml:space="preserve">Le nombre de coopératives nouvellement créées est passé de 5 </w:t>
      </w:r>
      <w:r w:rsidRPr="0071782F">
        <w:rPr>
          <w:lang w:val="fr-CH"/>
        </w:rPr>
        <w:t xml:space="preserve">148 </w:t>
      </w:r>
      <w:r w:rsidR="00DF7766" w:rsidRPr="0071782F">
        <w:rPr>
          <w:lang w:val="fr-CH"/>
        </w:rPr>
        <w:t>e</w:t>
      </w:r>
      <w:r w:rsidRPr="0071782F">
        <w:rPr>
          <w:lang w:val="fr-CH"/>
        </w:rPr>
        <w:t xml:space="preserve">n 2005 </w:t>
      </w:r>
      <w:r w:rsidR="00DF7766" w:rsidRPr="0071782F">
        <w:rPr>
          <w:lang w:val="fr-CH"/>
        </w:rPr>
        <w:t>à</w:t>
      </w:r>
      <w:r w:rsidRPr="0071782F">
        <w:rPr>
          <w:lang w:val="fr-CH"/>
        </w:rPr>
        <w:t xml:space="preserve"> 18</w:t>
      </w:r>
      <w:r w:rsidR="007F37CE" w:rsidRPr="0071782F">
        <w:rPr>
          <w:lang w:val="fr-CH"/>
        </w:rPr>
        <w:t> </w:t>
      </w:r>
      <w:r w:rsidRPr="0071782F">
        <w:rPr>
          <w:lang w:val="fr-CH"/>
        </w:rPr>
        <w:t xml:space="preserve">205 </w:t>
      </w:r>
      <w:r w:rsidR="00DF7766" w:rsidRPr="0071782F">
        <w:rPr>
          <w:lang w:val="fr-CH"/>
        </w:rPr>
        <w:t>e</w:t>
      </w:r>
      <w:r w:rsidRPr="0071782F">
        <w:rPr>
          <w:lang w:val="fr-CH"/>
        </w:rPr>
        <w:t xml:space="preserve">n 2006, </w:t>
      </w:r>
      <w:r w:rsidR="00DF7766" w:rsidRPr="0071782F">
        <w:rPr>
          <w:lang w:val="fr-CH"/>
        </w:rPr>
        <w:t>ce qui a permis de réaliser à 88,1% l’objectif fixé.</w:t>
      </w:r>
    </w:p>
    <w:p w:rsidR="00972AC7" w:rsidRPr="0071782F" w:rsidRDefault="00DF7766" w:rsidP="00B55247">
      <w:pPr>
        <w:pStyle w:val="H1G"/>
        <w:rPr>
          <w:lang w:val="fr-CH"/>
        </w:rPr>
      </w:pPr>
      <w:r w:rsidRPr="0071782F">
        <w:rPr>
          <w:lang w:val="fr-CH"/>
        </w:rPr>
        <w:tab/>
      </w:r>
      <w:r w:rsidRPr="0071782F">
        <w:rPr>
          <w:lang w:val="fr-CH"/>
        </w:rPr>
        <w:tab/>
        <w:t>Statistique</w:t>
      </w:r>
      <w:r w:rsidR="00972AC7" w:rsidRPr="0071782F">
        <w:rPr>
          <w:lang w:val="fr-CH"/>
        </w:rPr>
        <w:t xml:space="preserve">s </w:t>
      </w:r>
    </w:p>
    <w:p w:rsidR="00972AC7" w:rsidRPr="0071782F" w:rsidRDefault="00972AC7" w:rsidP="00140B27">
      <w:pPr>
        <w:pStyle w:val="SingleTxtG"/>
        <w:rPr>
          <w:lang w:val="fr-CH"/>
        </w:rPr>
      </w:pPr>
      <w:r w:rsidRPr="0071782F">
        <w:rPr>
          <w:lang w:val="fr-CH"/>
        </w:rPr>
        <w:t>33.</w:t>
      </w:r>
      <w:r w:rsidRPr="0071782F">
        <w:rPr>
          <w:lang w:val="fr-CH"/>
        </w:rPr>
        <w:tab/>
      </w:r>
      <w:r w:rsidR="00577B4E" w:rsidRPr="0071782F">
        <w:rPr>
          <w:lang w:val="fr-CH"/>
        </w:rPr>
        <w:t>Pour atteindre les objectifs fixés par le Plan stratégique sur 20</w:t>
      </w:r>
      <w:r w:rsidR="00D82C96" w:rsidRPr="0071782F">
        <w:rPr>
          <w:lang w:val="fr-CH"/>
        </w:rPr>
        <w:t> ans</w:t>
      </w:r>
      <w:r w:rsidR="00577B4E" w:rsidRPr="0071782F">
        <w:rPr>
          <w:lang w:val="fr-CH"/>
        </w:rPr>
        <w:t xml:space="preserve">, il importe d’accorder toute l’attention voulue aux </w:t>
      </w:r>
      <w:r w:rsidR="00A62149" w:rsidRPr="0071782F">
        <w:rPr>
          <w:lang w:val="fr-CH"/>
        </w:rPr>
        <w:t>"</w:t>
      </w:r>
      <w:r w:rsidR="00577B4E" w:rsidRPr="0071782F">
        <w:rPr>
          <w:lang w:val="fr-CH"/>
        </w:rPr>
        <w:t>principaux indicateurs quantitatifs</w:t>
      </w:r>
      <w:r w:rsidRPr="0071782F">
        <w:rPr>
          <w:lang w:val="fr-CH"/>
        </w:rPr>
        <w:t xml:space="preserve"> </w:t>
      </w:r>
      <w:r w:rsidR="00577B4E" w:rsidRPr="0071782F">
        <w:rPr>
          <w:lang w:val="fr-CH"/>
        </w:rPr>
        <w:t>dans l’établissement et l’exécution des plans de développement et des budgets annuels</w:t>
      </w:r>
      <w:r w:rsidR="00A62149" w:rsidRPr="0071782F">
        <w:rPr>
          <w:lang w:val="fr-CH"/>
        </w:rPr>
        <w:t>"</w:t>
      </w:r>
      <w:r w:rsidR="00357B64" w:rsidRPr="0071782F">
        <w:rPr>
          <w:lang w:val="fr-CH"/>
        </w:rPr>
        <w:t>.</w:t>
      </w:r>
      <w:r w:rsidRPr="0071782F">
        <w:rPr>
          <w:lang w:val="fr-CH"/>
        </w:rPr>
        <w:t xml:space="preserve"> </w:t>
      </w:r>
      <w:r w:rsidR="00577B4E" w:rsidRPr="0071782F">
        <w:rPr>
          <w:lang w:val="fr-CH"/>
        </w:rPr>
        <w:t>La respons</w:t>
      </w:r>
      <w:r w:rsidR="00140B27" w:rsidRPr="0071782F">
        <w:rPr>
          <w:lang w:val="fr-CH"/>
        </w:rPr>
        <w:t>a</w:t>
      </w:r>
      <w:r w:rsidR="00577B4E" w:rsidRPr="0071782F">
        <w:rPr>
          <w:lang w:val="fr-CH"/>
        </w:rPr>
        <w:t>bilité de la collecte des statistiques nécessaires et de la production des indicateurs</w:t>
      </w:r>
      <w:r w:rsidR="00D36718">
        <w:rPr>
          <w:lang w:val="fr-CH"/>
        </w:rPr>
        <w:t xml:space="preserve"> </w:t>
      </w:r>
      <w:r w:rsidR="00577B4E" w:rsidRPr="0071782F">
        <w:rPr>
          <w:lang w:val="fr-CH"/>
        </w:rPr>
        <w:t xml:space="preserve">dans l’optique de la réalisation desdits objectifs incombe aux </w:t>
      </w:r>
      <w:r w:rsidRPr="0071782F">
        <w:rPr>
          <w:lang w:val="fr-CH"/>
        </w:rPr>
        <w:t xml:space="preserve">institutions </w:t>
      </w:r>
      <w:r w:rsidR="00577B4E" w:rsidRPr="0071782F">
        <w:rPr>
          <w:lang w:val="fr-CH"/>
        </w:rPr>
        <w:t>chargées d’élaborer les statistiques, parmi lesquelle</w:t>
      </w:r>
      <w:r w:rsidR="00140B27" w:rsidRPr="0071782F">
        <w:rPr>
          <w:lang w:val="fr-CH"/>
        </w:rPr>
        <w:t>s</w:t>
      </w:r>
      <w:r w:rsidR="00577B4E" w:rsidRPr="0071782F">
        <w:rPr>
          <w:lang w:val="fr-CH"/>
        </w:rPr>
        <w:t xml:space="preserve"> le Centre iranien de statistique</w:t>
      </w:r>
      <w:r w:rsidRPr="0071782F">
        <w:rPr>
          <w:lang w:val="fr-CH"/>
        </w:rPr>
        <w:t>.</w:t>
      </w:r>
    </w:p>
    <w:p w:rsidR="00972AC7" w:rsidRPr="0071782F" w:rsidRDefault="00972AC7" w:rsidP="00B55247">
      <w:pPr>
        <w:pStyle w:val="SingleTxtG"/>
        <w:ind w:left="1701"/>
        <w:rPr>
          <w:lang w:val="fr-CH"/>
        </w:rPr>
      </w:pPr>
      <w:r w:rsidRPr="0071782F">
        <w:rPr>
          <w:lang w:val="fr-CH"/>
        </w:rPr>
        <w:t>33.1</w:t>
      </w:r>
      <w:r w:rsidR="00EF6CFA" w:rsidRPr="0071782F">
        <w:rPr>
          <w:lang w:val="fr-CH"/>
        </w:rPr>
        <w:t>.</w:t>
      </w:r>
      <w:r w:rsidRPr="0071782F">
        <w:rPr>
          <w:lang w:val="fr-CH"/>
        </w:rPr>
        <w:tab/>
      </w:r>
      <w:r w:rsidR="00052575" w:rsidRPr="0071782F">
        <w:rPr>
          <w:lang w:val="fr-CH"/>
        </w:rPr>
        <w:t xml:space="preserve">Pour faciliter l’application de </w:t>
      </w:r>
      <w:r w:rsidR="00723F2B" w:rsidRPr="0071782F">
        <w:rPr>
          <w:lang w:val="fr-CH"/>
        </w:rPr>
        <w:t>l’</w:t>
      </w:r>
      <w:r w:rsidR="00943A69" w:rsidRPr="0071782F">
        <w:rPr>
          <w:lang w:val="fr-CH"/>
        </w:rPr>
        <w:t>article </w:t>
      </w:r>
      <w:r w:rsidRPr="0071782F">
        <w:rPr>
          <w:lang w:val="fr-CH"/>
        </w:rPr>
        <w:t xml:space="preserve">56 </w:t>
      </w:r>
      <w:r w:rsidR="00052575" w:rsidRPr="0071782F">
        <w:rPr>
          <w:lang w:val="fr-CH"/>
        </w:rPr>
        <w:t xml:space="preserve">du </w:t>
      </w:r>
      <w:r w:rsidR="00A90208" w:rsidRPr="0071782F">
        <w:rPr>
          <w:lang w:val="fr-CH"/>
        </w:rPr>
        <w:t>quatrième</w:t>
      </w:r>
      <w:r w:rsidR="00052575" w:rsidRPr="0071782F">
        <w:rPr>
          <w:lang w:val="fr-CH"/>
        </w:rPr>
        <w:t xml:space="preserve"> plan de développement, le Centre iranien de statistique a élaboré, en coopération avec certains organes d’exécution, le programme national de statistique qui a été approuvé par le Haut Conseil des statistiques e</w:t>
      </w:r>
      <w:r w:rsidRPr="0071782F">
        <w:rPr>
          <w:lang w:val="fr-CH"/>
        </w:rPr>
        <w:t xml:space="preserve">n </w:t>
      </w:r>
      <w:r w:rsidR="00052575" w:rsidRPr="0071782F">
        <w:rPr>
          <w:lang w:val="fr-CH"/>
        </w:rPr>
        <w:t xml:space="preserve">juin </w:t>
      </w:r>
      <w:r w:rsidRPr="0071782F">
        <w:rPr>
          <w:lang w:val="fr-CH"/>
        </w:rPr>
        <w:t>2005</w:t>
      </w:r>
      <w:r w:rsidR="00052575" w:rsidRPr="0071782F">
        <w:rPr>
          <w:lang w:val="fr-CH"/>
        </w:rPr>
        <w:t xml:space="preserve">; le Centre a été chargé de l’exécuter dans le cadre du </w:t>
      </w:r>
      <w:r w:rsidR="00A90208" w:rsidRPr="0071782F">
        <w:rPr>
          <w:lang w:val="fr-CH"/>
        </w:rPr>
        <w:t>quatrième</w:t>
      </w:r>
      <w:r w:rsidR="00052575" w:rsidRPr="0071782F">
        <w:rPr>
          <w:lang w:val="fr-CH"/>
        </w:rPr>
        <w:t xml:space="preserve"> plan de développement, notamment en 2006. </w:t>
      </w:r>
    </w:p>
    <w:p w:rsidR="00972AC7" w:rsidRPr="0071782F" w:rsidRDefault="00972AC7" w:rsidP="00B55247">
      <w:pPr>
        <w:pStyle w:val="SingleTxtG"/>
        <w:ind w:left="1701"/>
        <w:rPr>
          <w:lang w:val="fr-CH"/>
        </w:rPr>
      </w:pPr>
      <w:r w:rsidRPr="0071782F">
        <w:rPr>
          <w:lang w:val="fr-CH"/>
        </w:rPr>
        <w:t>33.2</w:t>
      </w:r>
      <w:r w:rsidR="00EF6CFA" w:rsidRPr="0071782F">
        <w:rPr>
          <w:lang w:val="fr-CH"/>
        </w:rPr>
        <w:t>.</w:t>
      </w:r>
      <w:r w:rsidRPr="0071782F">
        <w:rPr>
          <w:lang w:val="fr-CH"/>
        </w:rPr>
        <w:tab/>
      </w:r>
      <w:r w:rsidR="00052575" w:rsidRPr="0071782F">
        <w:rPr>
          <w:lang w:val="fr-CH"/>
        </w:rPr>
        <w:t xml:space="preserve">Pour recueillir des statistiques générales, </w:t>
      </w:r>
      <w:r w:rsidRPr="0071782F">
        <w:rPr>
          <w:lang w:val="fr-CH"/>
        </w:rPr>
        <w:t xml:space="preserve">27 </w:t>
      </w:r>
      <w:r w:rsidR="00052575" w:rsidRPr="0071782F">
        <w:rPr>
          <w:lang w:val="fr-CH"/>
        </w:rPr>
        <w:t xml:space="preserve">projets statistiques ciblés ont été pleinement exécutés en </w:t>
      </w:r>
      <w:r w:rsidRPr="0071782F">
        <w:rPr>
          <w:lang w:val="fr-CH"/>
        </w:rPr>
        <w:t xml:space="preserve">2006. </w:t>
      </w:r>
      <w:r w:rsidR="00052575" w:rsidRPr="0071782F">
        <w:rPr>
          <w:lang w:val="fr-CH"/>
        </w:rPr>
        <w:t>S’agissant de la collecte de statistiques économiques, quatre activités ont été ciblées et évaluées dans 3</w:t>
      </w:r>
      <w:r w:rsidR="00861AEE">
        <w:rPr>
          <w:lang w:val="fr-CH"/>
        </w:rPr>
        <w:t>0 provinces du pays en 2006. En </w:t>
      </w:r>
      <w:r w:rsidR="00052575" w:rsidRPr="0071782F">
        <w:rPr>
          <w:lang w:val="fr-CH"/>
        </w:rPr>
        <w:t>outre, un recensement de la population et de l’habitat a été organisé la même année dans 30 provinces du pays</w:t>
      </w:r>
      <w:r w:rsidRPr="0071782F">
        <w:rPr>
          <w:lang w:val="fr-CH"/>
        </w:rPr>
        <w:t>.</w:t>
      </w:r>
    </w:p>
    <w:p w:rsidR="00472BB3" w:rsidRPr="0071782F" w:rsidRDefault="00472BB3" w:rsidP="00472BB3">
      <w:pPr>
        <w:pStyle w:val="HChG"/>
        <w:rPr>
          <w:lang w:val="fr-CH"/>
        </w:rPr>
      </w:pPr>
      <w:r w:rsidRPr="0071782F">
        <w:rPr>
          <w:lang w:val="fr-CH"/>
        </w:rPr>
        <w:tab/>
        <w:t>II.</w:t>
      </w:r>
      <w:r w:rsidRPr="0071782F">
        <w:rPr>
          <w:lang w:val="fr-CH"/>
        </w:rPr>
        <w:tab/>
      </w:r>
      <w:r w:rsidR="00943A69" w:rsidRPr="0071782F">
        <w:rPr>
          <w:lang w:val="fr-CH"/>
        </w:rPr>
        <w:t>Article </w:t>
      </w:r>
      <w:r w:rsidRPr="0071782F">
        <w:rPr>
          <w:lang w:val="fr-CH"/>
        </w:rPr>
        <w:t>6</w:t>
      </w:r>
      <w:r w:rsidR="008B5333">
        <w:rPr>
          <w:lang w:val="fr-CH"/>
        </w:rPr>
        <w:br/>
      </w:r>
      <w:r w:rsidR="005C0E89" w:rsidRPr="0071782F">
        <w:rPr>
          <w:lang w:val="fr-CH"/>
        </w:rPr>
        <w:t xml:space="preserve">Droit au travail et droit de changer d’emploi </w:t>
      </w:r>
    </w:p>
    <w:p w:rsidR="00472BB3" w:rsidRPr="0071782F" w:rsidRDefault="00472BB3" w:rsidP="00472BB3">
      <w:pPr>
        <w:pStyle w:val="H1G"/>
        <w:rPr>
          <w:lang w:val="fr-CH"/>
        </w:rPr>
      </w:pPr>
      <w:r w:rsidRPr="0071782F">
        <w:rPr>
          <w:lang w:val="fr-CH"/>
        </w:rPr>
        <w:tab/>
      </w:r>
      <w:r w:rsidRPr="0071782F">
        <w:rPr>
          <w:lang w:val="fr-CH"/>
        </w:rPr>
        <w:tab/>
        <w:t xml:space="preserve">Introduction </w:t>
      </w:r>
    </w:p>
    <w:p w:rsidR="00472BB3" w:rsidRPr="0071782F" w:rsidRDefault="00472BB3" w:rsidP="00472BB3">
      <w:pPr>
        <w:pStyle w:val="SingleTxtG"/>
        <w:rPr>
          <w:lang w:val="fr-CH"/>
        </w:rPr>
      </w:pPr>
      <w:r w:rsidRPr="0071782F">
        <w:rPr>
          <w:lang w:val="fr-CH"/>
        </w:rPr>
        <w:t>34.</w:t>
      </w:r>
      <w:r w:rsidRPr="0071782F">
        <w:rPr>
          <w:lang w:val="fr-CH"/>
        </w:rPr>
        <w:tab/>
      </w:r>
      <w:r w:rsidR="00130ABE" w:rsidRPr="0071782F">
        <w:rPr>
          <w:lang w:val="fr-CH"/>
        </w:rPr>
        <w:t xml:space="preserve">On se propose de passer en revue les </w:t>
      </w:r>
      <w:r w:rsidR="00723F2B" w:rsidRPr="0071782F">
        <w:rPr>
          <w:lang w:val="fr-CH"/>
        </w:rPr>
        <w:t>articles </w:t>
      </w:r>
      <w:r w:rsidR="00130ABE" w:rsidRPr="0071782F">
        <w:rPr>
          <w:lang w:val="fr-CH"/>
        </w:rPr>
        <w:t xml:space="preserve">de la </w:t>
      </w:r>
      <w:r w:rsidRPr="0071782F">
        <w:rPr>
          <w:lang w:val="fr-CH"/>
        </w:rPr>
        <w:t xml:space="preserve">Constitution </w:t>
      </w:r>
      <w:r w:rsidR="00130ABE" w:rsidRPr="0071782F">
        <w:rPr>
          <w:lang w:val="fr-CH"/>
        </w:rPr>
        <w:t xml:space="preserve">qui traitent du droit au travail et du devoir de l’État d’assurer les conditions permettant à tous les citoyens d’exercer un emploi, de choisir cet emploi et de bénéficier d’une formation technique et professionnelle, avant d’examiner les </w:t>
      </w:r>
      <w:r w:rsidRPr="0071782F">
        <w:rPr>
          <w:lang w:val="fr-CH"/>
        </w:rPr>
        <w:t>r</w:t>
      </w:r>
      <w:r w:rsidR="00A95E98" w:rsidRPr="0071782F">
        <w:rPr>
          <w:lang w:val="fr-CH"/>
        </w:rPr>
        <w:t xml:space="preserve">ègles et règlements </w:t>
      </w:r>
      <w:r w:rsidR="00130ABE" w:rsidRPr="0071782F">
        <w:rPr>
          <w:lang w:val="fr-CH"/>
        </w:rPr>
        <w:t xml:space="preserve">du </w:t>
      </w:r>
      <w:r w:rsidR="00A90208" w:rsidRPr="0071782F">
        <w:rPr>
          <w:lang w:val="fr-CH"/>
        </w:rPr>
        <w:t>quatrième</w:t>
      </w:r>
      <w:r w:rsidR="00130ABE" w:rsidRPr="0071782F">
        <w:rPr>
          <w:lang w:val="fr-CH"/>
        </w:rPr>
        <w:t xml:space="preserve"> plan de développement qui concernent la création d’emploi et de mettre l’accent sur les mesures prises par le gouvernement pour créer des emplois dans l’agriculture et le secteur des coopératives</w:t>
      </w:r>
      <w:r w:rsidRPr="0071782F">
        <w:rPr>
          <w:lang w:val="fr-CH"/>
        </w:rPr>
        <w:t xml:space="preserve">. </w:t>
      </w:r>
    </w:p>
    <w:p w:rsidR="00472BB3" w:rsidRPr="0071782F" w:rsidRDefault="00472BB3" w:rsidP="00472BB3">
      <w:pPr>
        <w:pStyle w:val="SingleTxtG"/>
        <w:ind w:left="1701"/>
        <w:rPr>
          <w:lang w:val="fr-CH"/>
        </w:rPr>
      </w:pPr>
      <w:r w:rsidRPr="0071782F">
        <w:rPr>
          <w:lang w:val="fr-CH"/>
        </w:rPr>
        <w:t>34.1</w:t>
      </w:r>
      <w:r w:rsidR="00EF6CFA" w:rsidRPr="0071782F">
        <w:rPr>
          <w:lang w:val="fr-CH"/>
        </w:rPr>
        <w:t>.</w:t>
      </w:r>
      <w:r w:rsidRPr="0071782F">
        <w:rPr>
          <w:lang w:val="fr-CH"/>
        </w:rPr>
        <w:tab/>
        <w:t>I</w:t>
      </w:r>
      <w:r w:rsidR="00586F9A" w:rsidRPr="0071782F">
        <w:rPr>
          <w:lang w:val="fr-CH"/>
        </w:rPr>
        <w:t xml:space="preserve">l convient de noter que la </w:t>
      </w:r>
      <w:r w:rsidRPr="0071782F">
        <w:rPr>
          <w:lang w:val="fr-CH"/>
        </w:rPr>
        <w:t>R</w:t>
      </w:r>
      <w:r w:rsidR="00586F9A" w:rsidRPr="0071782F">
        <w:rPr>
          <w:lang w:val="fr-CH"/>
        </w:rPr>
        <w:t>é</w:t>
      </w:r>
      <w:r w:rsidRPr="0071782F">
        <w:rPr>
          <w:lang w:val="fr-CH"/>
        </w:rPr>
        <w:t>publi</w:t>
      </w:r>
      <w:r w:rsidR="00586F9A" w:rsidRPr="0071782F">
        <w:rPr>
          <w:lang w:val="fr-CH"/>
        </w:rPr>
        <w:t>que islamique d’</w:t>
      </w:r>
      <w:r w:rsidRPr="0071782F">
        <w:rPr>
          <w:lang w:val="fr-CH"/>
        </w:rPr>
        <w:t xml:space="preserve">Iran </w:t>
      </w:r>
      <w:r w:rsidR="00586F9A" w:rsidRPr="0071782F">
        <w:rPr>
          <w:lang w:val="fr-CH"/>
        </w:rPr>
        <w:t>est partie à la Convention de l’OIT sur la politique de l’emploi (n</w:t>
      </w:r>
      <w:r w:rsidR="007F37CE" w:rsidRPr="0071782F">
        <w:rPr>
          <w:vertAlign w:val="superscript"/>
          <w:lang w:val="fr-CH"/>
        </w:rPr>
        <w:t>o</w:t>
      </w:r>
      <w:r w:rsidR="007F37CE" w:rsidRPr="0071782F">
        <w:rPr>
          <w:lang w:val="fr-CH"/>
        </w:rPr>
        <w:t> </w:t>
      </w:r>
      <w:r w:rsidR="00586F9A" w:rsidRPr="0071782F">
        <w:rPr>
          <w:lang w:val="fr-CH"/>
        </w:rPr>
        <w:t>122 de 1964) et de la Convention de l’OIT concernant la d</w:t>
      </w:r>
      <w:r w:rsidRPr="0071782F">
        <w:rPr>
          <w:lang w:val="fr-CH"/>
        </w:rPr>
        <w:t>iscrimination (</w:t>
      </w:r>
      <w:r w:rsidR="00586F9A" w:rsidRPr="0071782F">
        <w:rPr>
          <w:lang w:val="fr-CH"/>
        </w:rPr>
        <w:t>emploi et profession</w:t>
      </w:r>
      <w:r w:rsidR="00E540BB" w:rsidRPr="0071782F">
        <w:rPr>
          <w:lang w:val="fr-CH"/>
        </w:rPr>
        <w:t>)</w:t>
      </w:r>
      <w:r w:rsidR="00586F9A" w:rsidRPr="0071782F">
        <w:rPr>
          <w:lang w:val="fr-CH"/>
        </w:rPr>
        <w:t xml:space="preserve"> (n</w:t>
      </w:r>
      <w:r w:rsidR="007F37CE" w:rsidRPr="0071782F">
        <w:rPr>
          <w:vertAlign w:val="superscript"/>
          <w:lang w:val="fr-CH"/>
        </w:rPr>
        <w:t>o</w:t>
      </w:r>
      <w:r w:rsidR="007F37CE" w:rsidRPr="0071782F">
        <w:rPr>
          <w:lang w:val="fr-CH"/>
        </w:rPr>
        <w:t> </w:t>
      </w:r>
      <w:r w:rsidRPr="0071782F">
        <w:rPr>
          <w:lang w:val="fr-CH"/>
        </w:rPr>
        <w:t xml:space="preserve">111 </w:t>
      </w:r>
      <w:r w:rsidR="00586F9A" w:rsidRPr="0071782F">
        <w:rPr>
          <w:lang w:val="fr-CH"/>
        </w:rPr>
        <w:t>de</w:t>
      </w:r>
      <w:r w:rsidR="00861AEE">
        <w:rPr>
          <w:lang w:val="fr-CH"/>
        </w:rPr>
        <w:t> </w:t>
      </w:r>
      <w:r w:rsidRPr="0071782F">
        <w:rPr>
          <w:lang w:val="fr-CH"/>
        </w:rPr>
        <w:t>1958</w:t>
      </w:r>
      <w:r w:rsidR="00586F9A" w:rsidRPr="0071782F">
        <w:rPr>
          <w:lang w:val="fr-CH"/>
        </w:rPr>
        <w:t xml:space="preserve">), et a présenté un certain nombre de rapports sur l’application de ces deux </w:t>
      </w:r>
      <w:r w:rsidRPr="0071782F">
        <w:rPr>
          <w:lang w:val="fr-CH"/>
        </w:rPr>
        <w:t xml:space="preserve">conventions </w:t>
      </w:r>
      <w:r w:rsidR="00586F9A" w:rsidRPr="0071782F">
        <w:rPr>
          <w:lang w:val="fr-CH"/>
        </w:rPr>
        <w:t>à la Commission de l’application des normes de la Conférence internationale du Travail e</w:t>
      </w:r>
      <w:r w:rsidRPr="0071782F">
        <w:rPr>
          <w:lang w:val="fr-CH"/>
        </w:rPr>
        <w:t xml:space="preserve">n 2009. </w:t>
      </w:r>
    </w:p>
    <w:p w:rsidR="00472BB3" w:rsidRPr="0071782F" w:rsidRDefault="00472BB3" w:rsidP="00472BB3">
      <w:pPr>
        <w:pStyle w:val="H1G"/>
        <w:rPr>
          <w:lang w:val="fr-CH"/>
        </w:rPr>
      </w:pPr>
      <w:r w:rsidRPr="0071782F">
        <w:rPr>
          <w:lang w:val="fr-CH"/>
        </w:rPr>
        <w:tab/>
      </w:r>
      <w:r w:rsidRPr="0071782F">
        <w:rPr>
          <w:lang w:val="fr-CH"/>
        </w:rPr>
        <w:tab/>
      </w:r>
      <w:r w:rsidR="007F37CE" w:rsidRPr="0071782F">
        <w:rPr>
          <w:lang w:val="fr-CH"/>
        </w:rPr>
        <w:t xml:space="preserve">Articles </w:t>
      </w:r>
      <w:r w:rsidR="00586F9A" w:rsidRPr="0071782F">
        <w:rPr>
          <w:lang w:val="fr-CH"/>
        </w:rPr>
        <w:t xml:space="preserve">de la </w:t>
      </w:r>
      <w:r w:rsidRPr="0071782F">
        <w:rPr>
          <w:lang w:val="fr-CH"/>
        </w:rPr>
        <w:t xml:space="preserve">Constitution </w:t>
      </w:r>
      <w:r w:rsidR="00586F9A" w:rsidRPr="0071782F">
        <w:rPr>
          <w:lang w:val="fr-CH"/>
        </w:rPr>
        <w:t xml:space="preserve">relatifs au droit au travail </w:t>
      </w:r>
    </w:p>
    <w:p w:rsidR="00472BB3" w:rsidRPr="0071782F" w:rsidRDefault="00472BB3" w:rsidP="00472BB3">
      <w:pPr>
        <w:pStyle w:val="SingleTxtG"/>
        <w:rPr>
          <w:lang w:val="fr-CH"/>
        </w:rPr>
      </w:pPr>
      <w:r w:rsidRPr="0071782F">
        <w:rPr>
          <w:lang w:val="fr-CH"/>
        </w:rPr>
        <w:t>35.</w:t>
      </w:r>
      <w:r w:rsidRPr="0071782F">
        <w:rPr>
          <w:lang w:val="fr-CH"/>
        </w:rPr>
        <w:tab/>
      </w:r>
      <w:r w:rsidR="00943A69" w:rsidRPr="0071782F">
        <w:rPr>
          <w:lang w:val="fr-CH"/>
        </w:rPr>
        <w:t>Article </w:t>
      </w:r>
      <w:r w:rsidRPr="0071782F">
        <w:rPr>
          <w:lang w:val="fr-CH"/>
        </w:rPr>
        <w:t>28</w:t>
      </w:r>
      <w:r w:rsidR="008F7D33" w:rsidRPr="0071782F">
        <w:rPr>
          <w:lang w:val="fr-CH"/>
        </w:rPr>
        <w:t>:</w:t>
      </w:r>
      <w:r w:rsidRPr="0071782F">
        <w:rPr>
          <w:lang w:val="fr-CH"/>
        </w:rPr>
        <w:t xml:space="preserve"> </w:t>
      </w:r>
      <w:r w:rsidR="00A62149" w:rsidRPr="0071782F">
        <w:rPr>
          <w:lang w:val="fr-CH"/>
        </w:rPr>
        <w:t>"</w:t>
      </w:r>
      <w:r w:rsidR="00586F9A" w:rsidRPr="0071782F">
        <w:rPr>
          <w:lang w:val="fr-CH"/>
        </w:rPr>
        <w:t>Chacun a le droit de choisir la profession qu’il désire exercer si elle n’est pas contraire à l’i</w:t>
      </w:r>
      <w:r w:rsidRPr="0071782F">
        <w:rPr>
          <w:lang w:val="fr-CH"/>
        </w:rPr>
        <w:t xml:space="preserve">slam </w:t>
      </w:r>
      <w:r w:rsidR="00586F9A" w:rsidRPr="0071782F">
        <w:rPr>
          <w:lang w:val="fr-CH"/>
        </w:rPr>
        <w:t>ni à l’intérêt général, et si elle ne porte pas atteinte aux droits d’autrui</w:t>
      </w:r>
      <w:r w:rsidRPr="0071782F">
        <w:rPr>
          <w:lang w:val="fr-CH"/>
        </w:rPr>
        <w:t xml:space="preserve">. </w:t>
      </w:r>
      <w:r w:rsidR="00586F9A" w:rsidRPr="0071782F">
        <w:rPr>
          <w:lang w:val="fr-CH"/>
        </w:rPr>
        <w:t>L’État est tenu, en prenant dûment en considération les besoins de la société en professions diverses, d’assurer à chaque citoyen la possibilité de trouver un emploi et de l’obtenir dans les mêmes conditions que les autres citoyens</w:t>
      </w:r>
      <w:r w:rsidR="007F37CE" w:rsidRPr="0071782F">
        <w:rPr>
          <w:lang w:val="fr-CH"/>
        </w:rPr>
        <w:t>"</w:t>
      </w:r>
      <w:r w:rsidRPr="0071782F">
        <w:rPr>
          <w:lang w:val="fr-CH"/>
        </w:rPr>
        <w:t xml:space="preserve">. </w:t>
      </w:r>
    </w:p>
    <w:p w:rsidR="00472BB3" w:rsidRPr="0071782F" w:rsidRDefault="00472BB3" w:rsidP="00472BB3">
      <w:pPr>
        <w:pStyle w:val="SingleTxtG"/>
        <w:ind w:left="1701"/>
        <w:rPr>
          <w:lang w:val="fr-CH"/>
        </w:rPr>
      </w:pPr>
      <w:r w:rsidRPr="0071782F">
        <w:rPr>
          <w:lang w:val="fr-CH"/>
        </w:rPr>
        <w:t>35.1</w:t>
      </w:r>
      <w:r w:rsidR="00BF33E5" w:rsidRPr="0071782F">
        <w:rPr>
          <w:lang w:val="fr-CH"/>
        </w:rPr>
        <w:t>.</w:t>
      </w:r>
      <w:r w:rsidRPr="0071782F">
        <w:rPr>
          <w:lang w:val="fr-CH"/>
        </w:rPr>
        <w:tab/>
      </w:r>
      <w:r w:rsidR="00586F9A" w:rsidRPr="0071782F">
        <w:rPr>
          <w:lang w:val="fr-CH"/>
        </w:rPr>
        <w:t xml:space="preserve">Le </w:t>
      </w:r>
      <w:r w:rsidR="00723F2B" w:rsidRPr="0071782F">
        <w:rPr>
          <w:lang w:val="fr-CH"/>
        </w:rPr>
        <w:t>paragraphe </w:t>
      </w:r>
      <w:r w:rsidRPr="0071782F">
        <w:rPr>
          <w:lang w:val="fr-CH"/>
        </w:rPr>
        <w:t xml:space="preserve">2 </w:t>
      </w:r>
      <w:r w:rsidR="00586F9A" w:rsidRPr="0071782F">
        <w:rPr>
          <w:lang w:val="fr-CH"/>
        </w:rPr>
        <w:t xml:space="preserve">de </w:t>
      </w:r>
      <w:r w:rsidR="00723F2B" w:rsidRPr="0071782F">
        <w:rPr>
          <w:lang w:val="fr-CH"/>
        </w:rPr>
        <w:t>l’</w:t>
      </w:r>
      <w:r w:rsidR="00943A69" w:rsidRPr="0071782F">
        <w:rPr>
          <w:lang w:val="fr-CH"/>
        </w:rPr>
        <w:t>article </w:t>
      </w:r>
      <w:r w:rsidRPr="0071782F">
        <w:rPr>
          <w:lang w:val="fr-CH"/>
        </w:rPr>
        <w:t>43</w:t>
      </w:r>
      <w:r w:rsidR="00586F9A" w:rsidRPr="0071782F">
        <w:rPr>
          <w:lang w:val="fr-CH"/>
        </w:rPr>
        <w:t xml:space="preserve"> dispose notamment ce qui suit</w:t>
      </w:r>
      <w:r w:rsidR="008F7D33" w:rsidRPr="0071782F">
        <w:rPr>
          <w:lang w:val="fr-CH"/>
        </w:rPr>
        <w:t>:</w:t>
      </w:r>
      <w:r w:rsidRPr="0071782F">
        <w:rPr>
          <w:lang w:val="fr-CH"/>
        </w:rPr>
        <w:t xml:space="preserve"> </w:t>
      </w:r>
      <w:r w:rsidR="00A62149" w:rsidRPr="0071782F">
        <w:rPr>
          <w:lang w:val="fr-CH"/>
        </w:rPr>
        <w:t>"</w:t>
      </w:r>
      <w:r w:rsidR="00586F9A" w:rsidRPr="0071782F">
        <w:rPr>
          <w:lang w:val="fr-CH"/>
        </w:rPr>
        <w:t xml:space="preserve">Assurer à chacun des possibilités et des conditions d’emploi permettant d’atteindre le plein emploi; fournir à tous ceux qui peuvent travailler les outils de travail qui leur manquent, sous la forme de coopératives, par la voie de prêts sans intérêts ou par toute autre voie légitime </w:t>
      </w:r>
      <w:r w:rsidRPr="0071782F">
        <w:rPr>
          <w:lang w:val="fr-CH"/>
        </w:rPr>
        <w:t>…</w:t>
      </w:r>
      <w:r w:rsidR="00A62149" w:rsidRPr="0071782F">
        <w:rPr>
          <w:lang w:val="fr-CH"/>
        </w:rPr>
        <w:t>"</w:t>
      </w:r>
    </w:p>
    <w:p w:rsidR="00472BB3" w:rsidRPr="0071782F" w:rsidRDefault="00472BB3" w:rsidP="00472BB3">
      <w:pPr>
        <w:pStyle w:val="SingleTxtG"/>
        <w:ind w:left="1701"/>
        <w:rPr>
          <w:lang w:val="fr-CH"/>
        </w:rPr>
      </w:pPr>
      <w:r w:rsidRPr="0071782F">
        <w:rPr>
          <w:lang w:val="fr-CH"/>
        </w:rPr>
        <w:t>35.2.</w:t>
      </w:r>
      <w:r w:rsidRPr="0071782F">
        <w:rPr>
          <w:lang w:val="fr-CH"/>
        </w:rPr>
        <w:tab/>
      </w:r>
      <w:r w:rsidR="00586F9A" w:rsidRPr="0071782F">
        <w:rPr>
          <w:lang w:val="fr-CH"/>
        </w:rPr>
        <w:t xml:space="preserve">Le </w:t>
      </w:r>
      <w:r w:rsidR="00723F2B" w:rsidRPr="0071782F">
        <w:rPr>
          <w:lang w:val="fr-CH"/>
        </w:rPr>
        <w:t>paragraphe </w:t>
      </w:r>
      <w:r w:rsidRPr="0071782F">
        <w:rPr>
          <w:lang w:val="fr-CH"/>
        </w:rPr>
        <w:t xml:space="preserve">4 </w:t>
      </w:r>
      <w:r w:rsidR="00586F9A" w:rsidRPr="0071782F">
        <w:rPr>
          <w:lang w:val="fr-CH"/>
        </w:rPr>
        <w:t xml:space="preserve">du même </w:t>
      </w:r>
      <w:r w:rsidR="00943A69" w:rsidRPr="0071782F">
        <w:rPr>
          <w:lang w:val="fr-CH"/>
        </w:rPr>
        <w:t>article</w:t>
      </w:r>
      <w:r w:rsidR="0091338E">
        <w:rPr>
          <w:lang w:val="fr-CH"/>
        </w:rPr>
        <w:t xml:space="preserve"> </w:t>
      </w:r>
      <w:r w:rsidR="00586F9A" w:rsidRPr="0071782F">
        <w:rPr>
          <w:lang w:val="fr-CH"/>
        </w:rPr>
        <w:t>stipule ce qui suit</w:t>
      </w:r>
      <w:r w:rsidR="008F7D33" w:rsidRPr="0071782F">
        <w:rPr>
          <w:lang w:val="fr-CH"/>
        </w:rPr>
        <w:t>:</w:t>
      </w:r>
      <w:r w:rsidRPr="0071782F">
        <w:rPr>
          <w:lang w:val="fr-CH"/>
        </w:rPr>
        <w:t xml:space="preserve"> </w:t>
      </w:r>
      <w:r w:rsidR="00A62149" w:rsidRPr="0071782F">
        <w:rPr>
          <w:lang w:val="fr-CH"/>
        </w:rPr>
        <w:t>"</w:t>
      </w:r>
      <w:r w:rsidRPr="0071782F">
        <w:rPr>
          <w:lang w:val="fr-CH"/>
        </w:rPr>
        <w:t>Respect</w:t>
      </w:r>
      <w:r w:rsidR="00586F9A" w:rsidRPr="0071782F">
        <w:rPr>
          <w:lang w:val="fr-CH"/>
        </w:rPr>
        <w:t>er le</w:t>
      </w:r>
      <w:r w:rsidRPr="0071782F">
        <w:rPr>
          <w:lang w:val="fr-CH"/>
        </w:rPr>
        <w:t xml:space="preserve"> </w:t>
      </w:r>
      <w:r w:rsidR="00586F9A" w:rsidRPr="0071782F">
        <w:rPr>
          <w:lang w:val="fr-CH"/>
        </w:rPr>
        <w:t>droit de choisir librement une profession</w:t>
      </w:r>
      <w:r w:rsidRPr="0071782F">
        <w:rPr>
          <w:lang w:val="fr-CH"/>
        </w:rPr>
        <w:t xml:space="preserve">; </w:t>
      </w:r>
      <w:r w:rsidR="00586F9A" w:rsidRPr="0071782F">
        <w:rPr>
          <w:lang w:val="fr-CH"/>
        </w:rPr>
        <w:t>ne pas obliger une personne à exercer un emploi déterminé</w:t>
      </w:r>
      <w:r w:rsidRPr="0071782F">
        <w:rPr>
          <w:lang w:val="fr-CH"/>
        </w:rPr>
        <w:t xml:space="preserve">; </w:t>
      </w:r>
      <w:r w:rsidR="00586F9A" w:rsidRPr="0071782F">
        <w:rPr>
          <w:lang w:val="fr-CH"/>
        </w:rPr>
        <w:t>et empêcher l’</w:t>
      </w:r>
      <w:r w:rsidRPr="0071782F">
        <w:rPr>
          <w:lang w:val="fr-CH"/>
        </w:rPr>
        <w:t xml:space="preserve">exploitation </w:t>
      </w:r>
      <w:r w:rsidR="00586F9A" w:rsidRPr="0071782F">
        <w:rPr>
          <w:lang w:val="fr-CH"/>
        </w:rPr>
        <w:t xml:space="preserve">du travail d’autrui </w:t>
      </w:r>
      <w:r w:rsidRPr="0071782F">
        <w:rPr>
          <w:lang w:val="fr-CH"/>
        </w:rPr>
        <w:t>…</w:t>
      </w:r>
      <w:r w:rsidR="00A62149" w:rsidRPr="0071782F">
        <w:rPr>
          <w:lang w:val="fr-CH"/>
        </w:rPr>
        <w:t>"</w:t>
      </w:r>
    </w:p>
    <w:p w:rsidR="00472BB3" w:rsidRPr="0071782F" w:rsidRDefault="00472BB3" w:rsidP="00472BB3">
      <w:pPr>
        <w:pStyle w:val="SingleTxtG"/>
        <w:ind w:left="1701"/>
        <w:rPr>
          <w:lang w:val="fr-CH"/>
        </w:rPr>
      </w:pPr>
      <w:r w:rsidRPr="0071782F">
        <w:rPr>
          <w:lang w:val="fr-CH"/>
        </w:rPr>
        <w:t>35.3.</w:t>
      </w:r>
      <w:r w:rsidRPr="0071782F">
        <w:rPr>
          <w:lang w:val="fr-CH"/>
        </w:rPr>
        <w:tab/>
      </w:r>
      <w:r w:rsidR="00586F9A" w:rsidRPr="0071782F">
        <w:rPr>
          <w:lang w:val="fr-CH"/>
        </w:rPr>
        <w:t xml:space="preserve">Le </w:t>
      </w:r>
      <w:r w:rsidR="00723F2B" w:rsidRPr="0071782F">
        <w:rPr>
          <w:lang w:val="fr-CH"/>
        </w:rPr>
        <w:t>paragraphe </w:t>
      </w:r>
      <w:r w:rsidRPr="0071782F">
        <w:rPr>
          <w:lang w:val="fr-CH"/>
        </w:rPr>
        <w:t>7</w:t>
      </w:r>
      <w:r w:rsidR="00586F9A" w:rsidRPr="0071782F">
        <w:rPr>
          <w:lang w:val="fr-CH"/>
        </w:rPr>
        <w:t xml:space="preserve"> du même </w:t>
      </w:r>
      <w:r w:rsidRPr="0071782F">
        <w:rPr>
          <w:lang w:val="fr-CH"/>
        </w:rPr>
        <w:t xml:space="preserve">article: </w:t>
      </w:r>
      <w:r w:rsidR="00A62149" w:rsidRPr="0071782F">
        <w:rPr>
          <w:lang w:val="fr-CH"/>
        </w:rPr>
        <w:t>"</w:t>
      </w:r>
      <w:r w:rsidRPr="0071782F">
        <w:rPr>
          <w:lang w:val="fr-CH"/>
        </w:rPr>
        <w:t>Utili</w:t>
      </w:r>
      <w:r w:rsidR="00586F9A" w:rsidRPr="0071782F">
        <w:rPr>
          <w:lang w:val="fr-CH"/>
        </w:rPr>
        <w:t>s</w:t>
      </w:r>
      <w:r w:rsidRPr="0071782F">
        <w:rPr>
          <w:lang w:val="fr-CH"/>
        </w:rPr>
        <w:t xml:space="preserve">ation </w:t>
      </w:r>
      <w:r w:rsidR="00586F9A" w:rsidRPr="0071782F">
        <w:rPr>
          <w:lang w:val="fr-CH"/>
        </w:rPr>
        <w:t>et formation de personnel qualifié conformément aux besoins liés au développement de la société</w:t>
      </w:r>
      <w:r w:rsidR="00D74C68" w:rsidRPr="0071782F">
        <w:rPr>
          <w:lang w:val="fr-CH"/>
        </w:rPr>
        <w:t>.</w:t>
      </w:r>
      <w:r w:rsidR="00A62149" w:rsidRPr="0071782F">
        <w:rPr>
          <w:lang w:val="fr-CH"/>
        </w:rPr>
        <w:t>"</w:t>
      </w:r>
    </w:p>
    <w:p w:rsidR="00472BB3" w:rsidRPr="0071782F" w:rsidRDefault="00472BB3" w:rsidP="00472BB3">
      <w:pPr>
        <w:pStyle w:val="H1G"/>
        <w:rPr>
          <w:lang w:val="fr-CH"/>
        </w:rPr>
      </w:pPr>
      <w:r w:rsidRPr="0071782F">
        <w:rPr>
          <w:lang w:val="fr-CH"/>
        </w:rPr>
        <w:tab/>
      </w:r>
      <w:r w:rsidRPr="0071782F">
        <w:rPr>
          <w:lang w:val="fr-CH"/>
        </w:rPr>
        <w:tab/>
      </w:r>
      <w:r w:rsidR="00A95E98" w:rsidRPr="0071782F">
        <w:rPr>
          <w:lang w:val="fr-CH"/>
        </w:rPr>
        <w:t xml:space="preserve">Règles et règlements </w:t>
      </w:r>
      <w:r w:rsidR="00586F9A" w:rsidRPr="0071782F">
        <w:rPr>
          <w:lang w:val="fr-CH"/>
        </w:rPr>
        <w:t xml:space="preserve">du </w:t>
      </w:r>
      <w:r w:rsidR="00A90208" w:rsidRPr="0071782F">
        <w:rPr>
          <w:lang w:val="fr-CH"/>
        </w:rPr>
        <w:t>quatrième</w:t>
      </w:r>
      <w:r w:rsidR="00586F9A" w:rsidRPr="0071782F">
        <w:rPr>
          <w:lang w:val="fr-CH"/>
        </w:rPr>
        <w:t xml:space="preserve"> plan de développement en matière de création d’emplois </w:t>
      </w:r>
    </w:p>
    <w:p w:rsidR="00472BB3" w:rsidRPr="0071782F" w:rsidRDefault="00472BB3" w:rsidP="00472BB3">
      <w:pPr>
        <w:pStyle w:val="SingleTxtG"/>
        <w:rPr>
          <w:lang w:val="fr-CH"/>
        </w:rPr>
      </w:pPr>
      <w:r w:rsidRPr="0071782F">
        <w:rPr>
          <w:lang w:val="fr-CH"/>
        </w:rPr>
        <w:t>36.</w:t>
      </w:r>
      <w:r w:rsidRPr="0071782F">
        <w:rPr>
          <w:lang w:val="fr-CH"/>
        </w:rPr>
        <w:tab/>
      </w:r>
      <w:r w:rsidR="00E6767B" w:rsidRPr="0071782F">
        <w:rPr>
          <w:lang w:val="fr-CH"/>
        </w:rPr>
        <w:t xml:space="preserve">La loi relative au </w:t>
      </w:r>
      <w:r w:rsidR="00A90208" w:rsidRPr="0071782F">
        <w:rPr>
          <w:lang w:val="fr-CH"/>
        </w:rPr>
        <w:t>quatrième</w:t>
      </w:r>
      <w:r w:rsidR="00E6767B" w:rsidRPr="0071782F">
        <w:rPr>
          <w:lang w:val="fr-CH"/>
        </w:rPr>
        <w:t xml:space="preserve"> plan de développement économique</w:t>
      </w:r>
      <w:r w:rsidRPr="0071782F">
        <w:rPr>
          <w:lang w:val="fr-CH"/>
        </w:rPr>
        <w:t>, social, cultur</w:t>
      </w:r>
      <w:r w:rsidR="00E6767B" w:rsidRPr="0071782F">
        <w:rPr>
          <w:lang w:val="fr-CH"/>
        </w:rPr>
        <w:t>e</w:t>
      </w:r>
      <w:r w:rsidRPr="0071782F">
        <w:rPr>
          <w:lang w:val="fr-CH"/>
        </w:rPr>
        <w:t xml:space="preserve">l </w:t>
      </w:r>
      <w:r w:rsidR="00E6767B" w:rsidRPr="0071782F">
        <w:rPr>
          <w:lang w:val="fr-CH"/>
        </w:rPr>
        <w:t>et</w:t>
      </w:r>
      <w:r w:rsidRPr="0071782F">
        <w:rPr>
          <w:lang w:val="fr-CH"/>
        </w:rPr>
        <w:t xml:space="preserve"> politi</w:t>
      </w:r>
      <w:r w:rsidR="00E6767B" w:rsidRPr="0071782F">
        <w:rPr>
          <w:lang w:val="fr-CH"/>
        </w:rPr>
        <w:t>que de la République islamique d’Iran a traité notamment comme suit de la question de l’emploi ainsi que des politiques et programmes de l’État</w:t>
      </w:r>
      <w:r w:rsidR="008F7D33" w:rsidRPr="0071782F">
        <w:rPr>
          <w:lang w:val="fr-CH"/>
        </w:rPr>
        <w:t>:</w:t>
      </w:r>
      <w:r w:rsidRPr="0071782F">
        <w:rPr>
          <w:lang w:val="fr-CH"/>
        </w:rPr>
        <w:t xml:space="preserve"> </w:t>
      </w:r>
    </w:p>
    <w:p w:rsidR="00472BB3" w:rsidRPr="0071782F" w:rsidRDefault="00472BB3" w:rsidP="00472BB3">
      <w:pPr>
        <w:pStyle w:val="SingleTxtG"/>
        <w:ind w:left="1701"/>
        <w:rPr>
          <w:lang w:val="fr-CH"/>
        </w:rPr>
      </w:pPr>
      <w:r w:rsidRPr="0071782F">
        <w:rPr>
          <w:lang w:val="fr-CH"/>
        </w:rPr>
        <w:t>36.1.</w:t>
      </w:r>
      <w:r w:rsidRPr="0071782F">
        <w:rPr>
          <w:lang w:val="fr-CH"/>
        </w:rPr>
        <w:tab/>
      </w:r>
      <w:r w:rsidR="00943A69" w:rsidRPr="0071782F">
        <w:rPr>
          <w:lang w:val="fr-CH"/>
        </w:rPr>
        <w:t>Article </w:t>
      </w:r>
      <w:r w:rsidRPr="0071782F">
        <w:rPr>
          <w:lang w:val="fr-CH"/>
        </w:rPr>
        <w:t>1</w:t>
      </w:r>
      <w:r w:rsidR="00E540BB" w:rsidRPr="0071782F">
        <w:rPr>
          <w:lang w:val="fr-CH"/>
        </w:rPr>
        <w:t xml:space="preserve"> – </w:t>
      </w:r>
      <w:r w:rsidR="00E6767B" w:rsidRPr="0071782F">
        <w:rPr>
          <w:lang w:val="fr-CH"/>
        </w:rPr>
        <w:t>L’État est autorisé à utiliser jusqu’à 50</w:t>
      </w:r>
      <w:r w:rsidR="007E5125" w:rsidRPr="0071782F">
        <w:rPr>
          <w:lang w:val="fr-CH"/>
        </w:rPr>
        <w:t>%</w:t>
      </w:r>
      <w:r w:rsidR="00E6767B" w:rsidRPr="0071782F">
        <w:rPr>
          <w:lang w:val="fr-CH"/>
        </w:rPr>
        <w:t xml:space="preserve"> du solde du fonds de réserves de devises étrangères pour investir dans des projets de création d’entreprises et des projets productifs du secteur privé à exécuter dans l’industrie, dont l’industrie minière, </w:t>
      </w:r>
      <w:r w:rsidR="002B23DB" w:rsidRPr="0071782F">
        <w:rPr>
          <w:lang w:val="fr-CH"/>
        </w:rPr>
        <w:t xml:space="preserve">ainsi que dans </w:t>
      </w:r>
      <w:r w:rsidR="00E6767B" w:rsidRPr="0071782F">
        <w:rPr>
          <w:lang w:val="fr-CH"/>
        </w:rPr>
        <w:t>l’agriculture, les transports (tourisme, etc.), l</w:t>
      </w:r>
      <w:r w:rsidR="0084440C" w:rsidRPr="0071782F">
        <w:rPr>
          <w:lang w:val="fr-CH"/>
        </w:rPr>
        <w:t>es technologies de l’</w:t>
      </w:r>
      <w:r w:rsidR="00E6767B" w:rsidRPr="0071782F">
        <w:rPr>
          <w:lang w:val="fr-CH"/>
        </w:rPr>
        <w:t>informati</w:t>
      </w:r>
      <w:r w:rsidR="0084440C" w:rsidRPr="0071782F">
        <w:rPr>
          <w:lang w:val="fr-CH"/>
        </w:rPr>
        <w:t>on</w:t>
      </w:r>
      <w:r w:rsidR="00E6767B" w:rsidRPr="0071782F">
        <w:rPr>
          <w:lang w:val="fr-CH"/>
        </w:rPr>
        <w:t xml:space="preserve"> et les services techniques et d’ingénierie dont la faisabilité technique et économique a été approuvée par les ministères compétents</w:t>
      </w:r>
      <w:r w:rsidR="002B23DB" w:rsidRPr="0071782F">
        <w:rPr>
          <w:lang w:val="fr-CH"/>
        </w:rPr>
        <w:t>,</w:t>
      </w:r>
      <w:r w:rsidR="00E6767B" w:rsidRPr="0071782F">
        <w:rPr>
          <w:lang w:val="fr-CH"/>
        </w:rPr>
        <w:t xml:space="preserve"> et pour financer </w:t>
      </w:r>
      <w:r w:rsidR="00AA5F6F" w:rsidRPr="0071782F">
        <w:rPr>
          <w:lang w:val="fr-CH"/>
        </w:rPr>
        <w:t xml:space="preserve">en partie </w:t>
      </w:r>
      <w:r w:rsidR="00E6767B" w:rsidRPr="0071782F">
        <w:rPr>
          <w:lang w:val="fr-CH"/>
        </w:rPr>
        <w:t>ces projets</w:t>
      </w:r>
      <w:r w:rsidRPr="0071782F">
        <w:rPr>
          <w:lang w:val="fr-CH"/>
        </w:rPr>
        <w:t xml:space="preserve"> </w:t>
      </w:r>
      <w:r w:rsidR="002B23DB" w:rsidRPr="0071782F">
        <w:rPr>
          <w:lang w:val="fr-CH"/>
        </w:rPr>
        <w:t>par l’affectation de crédits bancaires,</w:t>
      </w:r>
    </w:p>
    <w:p w:rsidR="00472BB3" w:rsidRPr="0071782F" w:rsidRDefault="00472BB3" w:rsidP="00140B27">
      <w:pPr>
        <w:pStyle w:val="SingleTxtG"/>
        <w:ind w:left="1701"/>
        <w:rPr>
          <w:lang w:val="fr-CH"/>
        </w:rPr>
      </w:pPr>
      <w:r w:rsidRPr="0071782F">
        <w:rPr>
          <w:lang w:val="fr-CH"/>
        </w:rPr>
        <w:t>36.2.</w:t>
      </w:r>
      <w:r w:rsidRPr="0071782F">
        <w:rPr>
          <w:lang w:val="fr-CH"/>
        </w:rPr>
        <w:tab/>
      </w:r>
      <w:r w:rsidR="00943A69" w:rsidRPr="0071782F">
        <w:rPr>
          <w:lang w:val="fr-CH"/>
        </w:rPr>
        <w:t>Article </w:t>
      </w:r>
      <w:r w:rsidRPr="0071782F">
        <w:rPr>
          <w:lang w:val="fr-CH"/>
        </w:rPr>
        <w:t>11</w:t>
      </w:r>
      <w:r w:rsidR="00E540BB" w:rsidRPr="0071782F">
        <w:rPr>
          <w:lang w:val="fr-CH"/>
        </w:rPr>
        <w:t xml:space="preserve"> – </w:t>
      </w:r>
      <w:r w:rsidR="00A758F9" w:rsidRPr="0071782F">
        <w:rPr>
          <w:lang w:val="fr-CH"/>
        </w:rPr>
        <w:t xml:space="preserve">Trois pour </w:t>
      </w:r>
      <w:r w:rsidR="00FF7A84" w:rsidRPr="0071782F">
        <w:rPr>
          <w:lang w:val="fr-CH"/>
        </w:rPr>
        <w:t>cent</w:t>
      </w:r>
      <w:r w:rsidR="00A758F9" w:rsidRPr="0071782F">
        <w:rPr>
          <w:lang w:val="fr-CH"/>
        </w:rPr>
        <w:t xml:space="preserve"> </w:t>
      </w:r>
      <w:r w:rsidR="00E6767B" w:rsidRPr="0071782F">
        <w:rPr>
          <w:lang w:val="fr-CH"/>
        </w:rPr>
        <w:t xml:space="preserve">du montant des dépôts effectués par les banques auprès de la Banque centrale seront prêtés à la </w:t>
      </w:r>
      <w:r w:rsidR="00140B27" w:rsidRPr="0071782F">
        <w:rPr>
          <w:lang w:val="fr-CH"/>
        </w:rPr>
        <w:t xml:space="preserve">Banque </w:t>
      </w:r>
      <w:r w:rsidRPr="0071782F">
        <w:rPr>
          <w:lang w:val="fr-CH"/>
        </w:rPr>
        <w:t xml:space="preserve">Keshavarzi (agriculture), </w:t>
      </w:r>
      <w:r w:rsidR="00E6767B" w:rsidRPr="0071782F">
        <w:rPr>
          <w:lang w:val="fr-CH"/>
        </w:rPr>
        <w:t xml:space="preserve">à la </w:t>
      </w:r>
      <w:r w:rsidR="00140B27" w:rsidRPr="0071782F">
        <w:rPr>
          <w:lang w:val="fr-CH"/>
        </w:rPr>
        <w:t xml:space="preserve">Banque </w:t>
      </w:r>
      <w:r w:rsidRPr="0071782F">
        <w:rPr>
          <w:lang w:val="fr-CH"/>
        </w:rPr>
        <w:t>Maskan (</w:t>
      </w:r>
      <w:r w:rsidR="00E6767B" w:rsidRPr="0071782F">
        <w:rPr>
          <w:lang w:val="fr-CH"/>
        </w:rPr>
        <w:t>logement</w:t>
      </w:r>
      <w:r w:rsidRPr="0071782F">
        <w:rPr>
          <w:lang w:val="fr-CH"/>
        </w:rPr>
        <w:t xml:space="preserve">) </w:t>
      </w:r>
      <w:r w:rsidR="00E6767B" w:rsidRPr="0071782F">
        <w:rPr>
          <w:lang w:val="fr-CH"/>
        </w:rPr>
        <w:t xml:space="preserve">et à la </w:t>
      </w:r>
      <w:r w:rsidR="00140B27" w:rsidRPr="0071782F">
        <w:rPr>
          <w:lang w:val="fr-CH"/>
        </w:rPr>
        <w:t xml:space="preserve">Banque </w:t>
      </w:r>
      <w:r w:rsidRPr="0071782F">
        <w:rPr>
          <w:lang w:val="fr-CH"/>
        </w:rPr>
        <w:t xml:space="preserve">Sanat </w:t>
      </w:r>
      <w:r w:rsidR="00E6767B" w:rsidRPr="0071782F">
        <w:rPr>
          <w:lang w:val="fr-CH"/>
        </w:rPr>
        <w:t>et</w:t>
      </w:r>
      <w:r w:rsidRPr="0071782F">
        <w:rPr>
          <w:lang w:val="fr-CH"/>
        </w:rPr>
        <w:t xml:space="preserve"> Madan (</w:t>
      </w:r>
      <w:r w:rsidR="00E6767B" w:rsidRPr="0071782F">
        <w:rPr>
          <w:lang w:val="fr-CH"/>
        </w:rPr>
        <w:t>industrie et industrie minière</w:t>
      </w:r>
      <w:r w:rsidRPr="0071782F">
        <w:rPr>
          <w:lang w:val="fr-CH"/>
        </w:rPr>
        <w:t xml:space="preserve">) </w:t>
      </w:r>
      <w:r w:rsidR="00E6767B" w:rsidRPr="0071782F">
        <w:rPr>
          <w:lang w:val="fr-CH"/>
        </w:rPr>
        <w:t xml:space="preserve">aux taux en vigueur en </w:t>
      </w:r>
      <w:r w:rsidRPr="0071782F">
        <w:rPr>
          <w:lang w:val="fr-CH"/>
        </w:rPr>
        <w:t>2004 (1</w:t>
      </w:r>
      <w:r w:rsidR="007E5125" w:rsidRPr="0071782F">
        <w:rPr>
          <w:lang w:val="fr-CH"/>
        </w:rPr>
        <w:t>%</w:t>
      </w:r>
      <w:r w:rsidR="00E6767B" w:rsidRPr="0071782F">
        <w:rPr>
          <w:lang w:val="fr-CH"/>
        </w:rPr>
        <w:t xml:space="preserve"> par banque</w:t>
      </w:r>
      <w:r w:rsidRPr="0071782F">
        <w:rPr>
          <w:lang w:val="fr-CH"/>
        </w:rPr>
        <w:t>)</w:t>
      </w:r>
      <w:r w:rsidR="00E6767B" w:rsidRPr="0071782F">
        <w:rPr>
          <w:lang w:val="fr-CH"/>
        </w:rPr>
        <w:t>, à charge pour celles-ci de financer des projets dans les secteurs de l’</w:t>
      </w:r>
      <w:r w:rsidRPr="0071782F">
        <w:rPr>
          <w:lang w:val="fr-CH"/>
        </w:rPr>
        <w:t>agricultur</w:t>
      </w:r>
      <w:r w:rsidR="00E6767B" w:rsidRPr="0071782F">
        <w:rPr>
          <w:lang w:val="fr-CH"/>
        </w:rPr>
        <w:t xml:space="preserve">e et de l’élevage, du logement et de la </w:t>
      </w:r>
      <w:r w:rsidRPr="0071782F">
        <w:rPr>
          <w:lang w:val="fr-CH"/>
        </w:rPr>
        <w:t>construction</w:t>
      </w:r>
      <w:r w:rsidR="00E6767B" w:rsidRPr="0071782F">
        <w:rPr>
          <w:lang w:val="fr-CH"/>
        </w:rPr>
        <w:t>, ainsi que l’achèvement des projets industriels et miniers entrepris par le secteur privé qui sont pour l’essentiel connus comme étant des projets créateurs d’emplois.</w:t>
      </w:r>
      <w:r w:rsidR="00D36718">
        <w:rPr>
          <w:lang w:val="fr-CH"/>
        </w:rPr>
        <w:t xml:space="preserve"> </w:t>
      </w:r>
    </w:p>
    <w:p w:rsidR="00472BB3" w:rsidRPr="000B670F" w:rsidRDefault="00472BB3" w:rsidP="00472BB3">
      <w:pPr>
        <w:pStyle w:val="SingleTxtG"/>
        <w:ind w:left="1701"/>
        <w:rPr>
          <w:spacing w:val="-2"/>
          <w:lang w:val="fr-CH"/>
        </w:rPr>
      </w:pPr>
      <w:r w:rsidRPr="000B670F">
        <w:rPr>
          <w:spacing w:val="-2"/>
          <w:lang w:val="fr-CH"/>
        </w:rPr>
        <w:t>36.3.</w:t>
      </w:r>
      <w:r w:rsidRPr="000B670F">
        <w:rPr>
          <w:spacing w:val="-2"/>
          <w:lang w:val="fr-CH"/>
        </w:rPr>
        <w:tab/>
      </w:r>
      <w:r w:rsidR="00943A69" w:rsidRPr="000B670F">
        <w:rPr>
          <w:spacing w:val="-2"/>
          <w:lang w:val="fr-CH"/>
        </w:rPr>
        <w:t>Article </w:t>
      </w:r>
      <w:r w:rsidRPr="000B670F">
        <w:rPr>
          <w:spacing w:val="-2"/>
          <w:lang w:val="fr-CH"/>
        </w:rPr>
        <w:t xml:space="preserve">21 – </w:t>
      </w:r>
      <w:r w:rsidR="00E6767B" w:rsidRPr="000B670F">
        <w:rPr>
          <w:spacing w:val="-2"/>
          <w:lang w:val="fr-CH"/>
        </w:rPr>
        <w:t xml:space="preserve">Cet </w:t>
      </w:r>
      <w:r w:rsidR="007F37CE" w:rsidRPr="000B670F">
        <w:rPr>
          <w:spacing w:val="-2"/>
          <w:lang w:val="fr-CH"/>
        </w:rPr>
        <w:t xml:space="preserve">article </w:t>
      </w:r>
      <w:r w:rsidR="00E6767B" w:rsidRPr="000B670F">
        <w:rPr>
          <w:spacing w:val="-2"/>
          <w:lang w:val="fr-CH"/>
        </w:rPr>
        <w:t>fait obligation au gouvernement d’obtenir dans un délai de six</w:t>
      </w:r>
      <w:r w:rsidR="001F3F05" w:rsidRPr="000B670F">
        <w:rPr>
          <w:spacing w:val="-2"/>
          <w:lang w:val="fr-CH"/>
        </w:rPr>
        <w:t> mois</w:t>
      </w:r>
      <w:r w:rsidR="00E6767B" w:rsidRPr="000B670F">
        <w:rPr>
          <w:spacing w:val="-2"/>
          <w:lang w:val="fr-CH"/>
        </w:rPr>
        <w:t xml:space="preserve"> l’approbation des documents nationaux ayant trait au développement des secteurs industriel et minier compte tenu des études stratégiques relatives au développement industriel du pays</w:t>
      </w:r>
      <w:r w:rsidRPr="000B670F">
        <w:rPr>
          <w:spacing w:val="-2"/>
          <w:lang w:val="fr-CH"/>
        </w:rPr>
        <w:t xml:space="preserve">. </w:t>
      </w:r>
      <w:r w:rsidR="00E6767B" w:rsidRPr="000B670F">
        <w:rPr>
          <w:spacing w:val="-2"/>
          <w:lang w:val="fr-CH"/>
        </w:rPr>
        <w:t xml:space="preserve">L’un des principaux objectifs de ces documents consiste à </w:t>
      </w:r>
      <w:r w:rsidR="00A62149" w:rsidRPr="000B670F">
        <w:rPr>
          <w:spacing w:val="-2"/>
          <w:lang w:val="fr-CH"/>
        </w:rPr>
        <w:t>"</w:t>
      </w:r>
      <w:r w:rsidR="007F37CE" w:rsidRPr="000B670F">
        <w:rPr>
          <w:spacing w:val="-2"/>
          <w:lang w:val="fr-CH"/>
        </w:rPr>
        <w:t xml:space="preserve">améliorer et </w:t>
      </w:r>
      <w:r w:rsidR="00E6767B" w:rsidRPr="000B670F">
        <w:rPr>
          <w:spacing w:val="-2"/>
          <w:lang w:val="fr-CH"/>
        </w:rPr>
        <w:t xml:space="preserve">renforcer les </w:t>
      </w:r>
      <w:r w:rsidRPr="000B670F">
        <w:rPr>
          <w:spacing w:val="-2"/>
          <w:lang w:val="fr-CH"/>
        </w:rPr>
        <w:t xml:space="preserve">institutions </w:t>
      </w:r>
      <w:r w:rsidR="00E6767B" w:rsidRPr="000B670F">
        <w:rPr>
          <w:spacing w:val="-2"/>
          <w:lang w:val="fr-CH"/>
        </w:rPr>
        <w:t>qui appuient le développement de l’entrepreneuriat et la création de petites et moyennes entreprises</w:t>
      </w:r>
      <w:r w:rsidR="00A62149" w:rsidRPr="000B670F">
        <w:rPr>
          <w:spacing w:val="-2"/>
          <w:lang w:val="fr-CH"/>
        </w:rPr>
        <w:t>"</w:t>
      </w:r>
      <w:r w:rsidR="00976F26" w:rsidRPr="000B670F">
        <w:rPr>
          <w:spacing w:val="-2"/>
          <w:lang w:val="fr-CH"/>
        </w:rPr>
        <w:t>.</w:t>
      </w:r>
      <w:r w:rsidRPr="000B670F">
        <w:rPr>
          <w:spacing w:val="-2"/>
          <w:lang w:val="fr-CH"/>
        </w:rPr>
        <w:t xml:space="preserve"> </w:t>
      </w:r>
    </w:p>
    <w:p w:rsidR="00472BB3" w:rsidRPr="0071782F" w:rsidRDefault="00472BB3" w:rsidP="00472BB3">
      <w:pPr>
        <w:pStyle w:val="SingleTxtG"/>
        <w:ind w:left="1701"/>
        <w:rPr>
          <w:lang w:val="fr-CH"/>
        </w:rPr>
      </w:pPr>
      <w:r w:rsidRPr="0071782F">
        <w:rPr>
          <w:lang w:val="fr-CH"/>
        </w:rPr>
        <w:t>36.4.</w:t>
      </w:r>
      <w:r w:rsidRPr="0071782F">
        <w:rPr>
          <w:lang w:val="fr-CH"/>
        </w:rPr>
        <w:tab/>
      </w:r>
      <w:r w:rsidR="00943A69" w:rsidRPr="0071782F">
        <w:rPr>
          <w:lang w:val="fr-CH"/>
        </w:rPr>
        <w:t>Article </w:t>
      </w:r>
      <w:r w:rsidRPr="0071782F">
        <w:rPr>
          <w:lang w:val="fr-CH"/>
        </w:rPr>
        <w:t xml:space="preserve">24 – </w:t>
      </w:r>
      <w:r w:rsidR="0084440C" w:rsidRPr="0071782F">
        <w:rPr>
          <w:lang w:val="fr-CH"/>
        </w:rPr>
        <w:t>Pour développer la croissance économique, le progrès technologique, la qualité de la production, la création d’emplois et les exportations dans les secteurs de l’industrie, de l’industrie minière</w:t>
      </w:r>
      <w:r w:rsidRPr="0071782F">
        <w:rPr>
          <w:lang w:val="fr-CH"/>
        </w:rPr>
        <w:t xml:space="preserve">, </w:t>
      </w:r>
      <w:r w:rsidR="0084440C" w:rsidRPr="0071782F">
        <w:rPr>
          <w:lang w:val="fr-CH"/>
        </w:rPr>
        <w:t>de l’agriculture</w:t>
      </w:r>
      <w:r w:rsidRPr="0071782F">
        <w:rPr>
          <w:lang w:val="fr-CH"/>
        </w:rPr>
        <w:t xml:space="preserve">, </w:t>
      </w:r>
      <w:r w:rsidR="0084440C" w:rsidRPr="0071782F">
        <w:rPr>
          <w:lang w:val="fr-CH"/>
        </w:rPr>
        <w:t xml:space="preserve">des </w:t>
      </w:r>
      <w:r w:rsidRPr="0071782F">
        <w:rPr>
          <w:lang w:val="fr-CH"/>
        </w:rPr>
        <w:t>infrastructur</w:t>
      </w:r>
      <w:r w:rsidR="0084440C" w:rsidRPr="0071782F">
        <w:rPr>
          <w:lang w:val="fr-CH"/>
        </w:rPr>
        <w:t>es</w:t>
      </w:r>
      <w:r w:rsidRPr="0071782F">
        <w:rPr>
          <w:lang w:val="fr-CH"/>
        </w:rPr>
        <w:t xml:space="preserve">, </w:t>
      </w:r>
      <w:r w:rsidR="0084440C" w:rsidRPr="0071782F">
        <w:rPr>
          <w:lang w:val="fr-CH"/>
        </w:rPr>
        <w:t xml:space="preserve">des services et des technologies de l’information conformément à la loi relative à la promotion et à la protection des </w:t>
      </w:r>
      <w:r w:rsidR="007F37CE" w:rsidRPr="0071782F">
        <w:rPr>
          <w:lang w:val="fr-CH"/>
        </w:rPr>
        <w:t>investissements étrangers (mars </w:t>
      </w:r>
      <w:r w:rsidRPr="0071782F">
        <w:rPr>
          <w:lang w:val="fr-CH"/>
        </w:rPr>
        <w:t xml:space="preserve">2001), </w:t>
      </w:r>
      <w:r w:rsidR="0084440C" w:rsidRPr="0071782F">
        <w:rPr>
          <w:lang w:val="fr-CH"/>
        </w:rPr>
        <w:t xml:space="preserve">le gouvernement est autorisé à prendre les dispositions nécessaires pour attirer les investissements étrangers en mettant en </w:t>
      </w:r>
      <w:r w:rsidR="00D5366B" w:rsidRPr="0071782F">
        <w:rPr>
          <w:lang w:val="fr-CH"/>
        </w:rPr>
        <w:t>œuvre</w:t>
      </w:r>
      <w:r w:rsidR="0084440C" w:rsidRPr="0071782F">
        <w:rPr>
          <w:lang w:val="fr-CH"/>
        </w:rPr>
        <w:t xml:space="preserve"> les moyens prévus à </w:t>
      </w:r>
      <w:r w:rsidR="006B786B" w:rsidRPr="0071782F">
        <w:rPr>
          <w:lang w:val="fr-CH"/>
        </w:rPr>
        <w:t>l’alinéa </w:t>
      </w:r>
      <w:r w:rsidRPr="0071782F">
        <w:rPr>
          <w:lang w:val="fr-CH"/>
        </w:rPr>
        <w:t xml:space="preserve">b </w:t>
      </w:r>
      <w:r w:rsidR="0084440C" w:rsidRPr="0071782F">
        <w:rPr>
          <w:lang w:val="fr-CH"/>
        </w:rPr>
        <w:t>de</w:t>
      </w:r>
      <w:r w:rsidRPr="0071782F">
        <w:rPr>
          <w:lang w:val="fr-CH"/>
        </w:rPr>
        <w:t xml:space="preserve"> </w:t>
      </w:r>
      <w:r w:rsidR="00723F2B" w:rsidRPr="0071782F">
        <w:rPr>
          <w:lang w:val="fr-CH"/>
        </w:rPr>
        <w:t>l’</w:t>
      </w:r>
      <w:r w:rsidR="00943A69" w:rsidRPr="0071782F">
        <w:rPr>
          <w:lang w:val="fr-CH"/>
        </w:rPr>
        <w:t>article </w:t>
      </w:r>
      <w:r w:rsidRPr="0071782F">
        <w:rPr>
          <w:lang w:val="fr-CH"/>
        </w:rPr>
        <w:t xml:space="preserve">3 </w:t>
      </w:r>
      <w:r w:rsidR="0084440C" w:rsidRPr="0071782F">
        <w:rPr>
          <w:lang w:val="fr-CH"/>
        </w:rPr>
        <w:t>de ladite loi</w:t>
      </w:r>
      <w:r w:rsidRPr="0071782F">
        <w:rPr>
          <w:lang w:val="fr-CH"/>
        </w:rPr>
        <w:t>.</w:t>
      </w:r>
    </w:p>
    <w:p w:rsidR="00472BB3" w:rsidRPr="0071782F" w:rsidRDefault="00472BB3" w:rsidP="00472BB3">
      <w:pPr>
        <w:pStyle w:val="SingleTxtG"/>
        <w:ind w:left="1701"/>
        <w:rPr>
          <w:lang w:val="fr-CH"/>
        </w:rPr>
      </w:pPr>
      <w:r w:rsidRPr="0071782F">
        <w:rPr>
          <w:lang w:val="fr-CH"/>
        </w:rPr>
        <w:t>36.5.</w:t>
      </w:r>
      <w:r w:rsidRPr="0071782F">
        <w:rPr>
          <w:lang w:val="fr-CH"/>
        </w:rPr>
        <w:tab/>
      </w:r>
      <w:r w:rsidR="00943A69" w:rsidRPr="0071782F">
        <w:rPr>
          <w:lang w:val="fr-CH"/>
        </w:rPr>
        <w:t>Article </w:t>
      </w:r>
      <w:r w:rsidRPr="0071782F">
        <w:rPr>
          <w:lang w:val="fr-CH"/>
        </w:rPr>
        <w:t xml:space="preserve">27 – </w:t>
      </w:r>
      <w:r w:rsidR="00501B81" w:rsidRPr="0071782F">
        <w:rPr>
          <w:lang w:val="fr-CH"/>
        </w:rPr>
        <w:t>Afin d’encourager l’investissement et la création d’emplois au niveau national, en particulier dans les régions peu développées du pays, le gouvernement est autorisé à fournir des crédits d’un niveau proportionné au nombre d’investisseurs potentiels dans des projets créateurs d’emplois dans le cadre des lois de finances annuelles et des fonds gérés, et à financer une partie des intérêts bancaires et des c</w:t>
      </w:r>
      <w:r w:rsidR="007F37CE" w:rsidRPr="0071782F">
        <w:rPr>
          <w:lang w:val="fr-CH"/>
        </w:rPr>
        <w:t xml:space="preserve">ommissions liés à ces crédits. </w:t>
      </w:r>
    </w:p>
    <w:p w:rsidR="00472BB3" w:rsidRPr="0071782F" w:rsidRDefault="00472BB3" w:rsidP="00472BB3">
      <w:pPr>
        <w:pStyle w:val="SingleTxtG"/>
        <w:ind w:left="1701"/>
        <w:rPr>
          <w:lang w:val="fr-CH"/>
        </w:rPr>
      </w:pPr>
      <w:r w:rsidRPr="0071782F">
        <w:rPr>
          <w:lang w:val="fr-CH"/>
        </w:rPr>
        <w:t>36.6.</w:t>
      </w:r>
      <w:r w:rsidRPr="0071782F">
        <w:rPr>
          <w:lang w:val="fr-CH"/>
        </w:rPr>
        <w:tab/>
      </w:r>
      <w:r w:rsidR="00943A69" w:rsidRPr="0071782F">
        <w:rPr>
          <w:lang w:val="fr-CH"/>
        </w:rPr>
        <w:t>Article </w:t>
      </w:r>
      <w:r w:rsidRPr="0071782F">
        <w:rPr>
          <w:lang w:val="fr-CH"/>
        </w:rPr>
        <w:t xml:space="preserve">41 – </w:t>
      </w:r>
      <w:r w:rsidR="00501B81" w:rsidRPr="0071782F">
        <w:rPr>
          <w:lang w:val="fr-CH"/>
        </w:rPr>
        <w:t xml:space="preserve">Afin d’améliorer le climat commercial et de faciliter le développement et les échanges économiques avec la communauté commerciale internationale, le gouvernement est tenu de </w:t>
      </w:r>
      <w:r w:rsidR="00A62149" w:rsidRPr="0071782F">
        <w:rPr>
          <w:lang w:val="fr-CH"/>
        </w:rPr>
        <w:t>"</w:t>
      </w:r>
      <w:r w:rsidRPr="0071782F">
        <w:rPr>
          <w:lang w:val="fr-CH"/>
        </w:rPr>
        <w:t>11-D</w:t>
      </w:r>
      <w:r w:rsidR="008F7D33" w:rsidRPr="0071782F">
        <w:rPr>
          <w:lang w:val="fr-CH"/>
        </w:rPr>
        <w:t>:</w:t>
      </w:r>
      <w:r w:rsidRPr="0071782F">
        <w:rPr>
          <w:lang w:val="fr-CH"/>
        </w:rPr>
        <w:t xml:space="preserve"> R</w:t>
      </w:r>
      <w:r w:rsidR="00501B81" w:rsidRPr="0071782F">
        <w:rPr>
          <w:lang w:val="fr-CH"/>
        </w:rPr>
        <w:t xml:space="preserve">éviser la législation du travail compte tenu du mécanisme </w:t>
      </w:r>
      <w:r w:rsidRPr="0071782F">
        <w:rPr>
          <w:lang w:val="fr-CH"/>
        </w:rPr>
        <w:t>tripartite (</w:t>
      </w:r>
      <w:r w:rsidR="00501B81" w:rsidRPr="0071782F">
        <w:rPr>
          <w:lang w:val="fr-CH"/>
        </w:rPr>
        <w:t>État</w:t>
      </w:r>
      <w:r w:rsidRPr="0071782F">
        <w:rPr>
          <w:lang w:val="fr-CH"/>
        </w:rPr>
        <w:t>-</w:t>
      </w:r>
      <w:r w:rsidR="00501B81" w:rsidRPr="0071782F">
        <w:rPr>
          <w:lang w:val="fr-CH"/>
        </w:rPr>
        <w:t>salariés</w:t>
      </w:r>
      <w:r w:rsidRPr="0071782F">
        <w:rPr>
          <w:lang w:val="fr-CH"/>
        </w:rPr>
        <w:t>-employe</w:t>
      </w:r>
      <w:r w:rsidR="00501B81" w:rsidRPr="0071782F">
        <w:rPr>
          <w:lang w:val="fr-CH"/>
        </w:rPr>
        <w:t>u</w:t>
      </w:r>
      <w:r w:rsidRPr="0071782F">
        <w:rPr>
          <w:lang w:val="fr-CH"/>
        </w:rPr>
        <w:t>r</w:t>
      </w:r>
      <w:r w:rsidR="00501B81" w:rsidRPr="0071782F">
        <w:rPr>
          <w:lang w:val="fr-CH"/>
        </w:rPr>
        <w:t>s</w:t>
      </w:r>
      <w:r w:rsidRPr="0071782F">
        <w:rPr>
          <w:lang w:val="fr-CH"/>
        </w:rPr>
        <w:t>).</w:t>
      </w:r>
      <w:r w:rsidR="00A62149" w:rsidRPr="0071782F">
        <w:rPr>
          <w:lang w:val="fr-CH"/>
        </w:rPr>
        <w:t>"</w:t>
      </w:r>
      <w:r w:rsidRPr="0071782F">
        <w:rPr>
          <w:lang w:val="fr-CH"/>
        </w:rPr>
        <w:t xml:space="preserve"> </w:t>
      </w:r>
    </w:p>
    <w:p w:rsidR="00472BB3" w:rsidRPr="0071782F" w:rsidRDefault="00472BB3" w:rsidP="00140B27">
      <w:pPr>
        <w:pStyle w:val="SingleTxtG"/>
        <w:ind w:left="1701"/>
        <w:rPr>
          <w:lang w:val="fr-CH"/>
        </w:rPr>
      </w:pPr>
      <w:r w:rsidRPr="0071782F">
        <w:rPr>
          <w:lang w:val="fr-CH"/>
        </w:rPr>
        <w:t>36.7.</w:t>
      </w:r>
      <w:r w:rsidRPr="0071782F">
        <w:rPr>
          <w:lang w:val="fr-CH"/>
        </w:rPr>
        <w:tab/>
      </w:r>
      <w:r w:rsidR="00943A69" w:rsidRPr="0071782F">
        <w:rPr>
          <w:lang w:val="fr-CH"/>
        </w:rPr>
        <w:t>Article </w:t>
      </w:r>
      <w:r w:rsidRPr="0071782F">
        <w:rPr>
          <w:lang w:val="fr-CH"/>
        </w:rPr>
        <w:t xml:space="preserve">101 – </w:t>
      </w:r>
      <w:r w:rsidR="00501B81" w:rsidRPr="0071782F">
        <w:rPr>
          <w:lang w:val="fr-CH"/>
        </w:rPr>
        <w:t xml:space="preserve">Le gouvernement est tenu de présenter à l’Assemblée consultative islamique (le Parlement), d’ici à la fin du </w:t>
      </w:r>
      <w:r w:rsidR="00A90208" w:rsidRPr="0071782F">
        <w:rPr>
          <w:lang w:val="fr-CH"/>
        </w:rPr>
        <w:t>quatrième</w:t>
      </w:r>
      <w:r w:rsidR="00501B81" w:rsidRPr="0071782F">
        <w:rPr>
          <w:lang w:val="fr-CH"/>
        </w:rPr>
        <w:t xml:space="preserve"> plan de développement, le programme national de création d’emplois décents, la création de ces emplois étant le nouveau thème de réflexion devant présider à l’ensemble des activités en matière de travail et de développement sur la base d’une stratégie </w:t>
      </w:r>
      <w:r w:rsidRPr="0071782F">
        <w:rPr>
          <w:lang w:val="fr-CH"/>
        </w:rPr>
        <w:t xml:space="preserve">tripartite </w:t>
      </w:r>
      <w:r w:rsidR="00501B81" w:rsidRPr="0071782F">
        <w:rPr>
          <w:lang w:val="fr-CH"/>
        </w:rPr>
        <w:t>qui assure comme suit l’égalité des chances, la dignité, la liberté et la sécurité de la main-d’</w:t>
      </w:r>
      <w:r w:rsidR="00D5366B" w:rsidRPr="0071782F">
        <w:rPr>
          <w:lang w:val="fr-CH"/>
        </w:rPr>
        <w:t>œuvre</w:t>
      </w:r>
      <w:r w:rsidR="00140B27" w:rsidRPr="0071782F">
        <w:rPr>
          <w:lang w:val="fr-CH"/>
        </w:rPr>
        <w:t>.</w:t>
      </w:r>
    </w:p>
    <w:p w:rsidR="00472BB3" w:rsidRPr="0071782F" w:rsidRDefault="00472BB3" w:rsidP="00472BB3">
      <w:pPr>
        <w:pStyle w:val="SingleTxtG"/>
        <w:ind w:left="1701"/>
        <w:rPr>
          <w:lang w:val="fr-CH"/>
        </w:rPr>
      </w:pPr>
      <w:r w:rsidRPr="0071782F">
        <w:rPr>
          <w:lang w:val="fr-CH"/>
        </w:rPr>
        <w:t>36.8.</w:t>
      </w:r>
      <w:r w:rsidRPr="0071782F">
        <w:rPr>
          <w:lang w:val="fr-CH"/>
        </w:rPr>
        <w:tab/>
      </w:r>
      <w:r w:rsidR="002B753C" w:rsidRPr="0071782F">
        <w:rPr>
          <w:lang w:val="fr-CH"/>
        </w:rPr>
        <w:t>Garantie des droits fondamentaux de la main-d’</w:t>
      </w:r>
      <w:r w:rsidR="00D5366B" w:rsidRPr="0071782F">
        <w:rPr>
          <w:lang w:val="fr-CH"/>
        </w:rPr>
        <w:t>œuvre</w:t>
      </w:r>
      <w:r w:rsidR="002B753C" w:rsidRPr="0071782F">
        <w:rPr>
          <w:lang w:val="fr-CH"/>
        </w:rPr>
        <w:t xml:space="preserve"> (droit d’association, défense des droits des organisations de la société civile qui exercent des responsabilités dans le domaine des relations du travail</w:t>
      </w:r>
      <w:r w:rsidRPr="0071782F">
        <w:rPr>
          <w:lang w:val="fr-CH"/>
        </w:rPr>
        <w:t xml:space="preserve">, </w:t>
      </w:r>
      <w:r w:rsidR="002B753C" w:rsidRPr="0071782F">
        <w:rPr>
          <w:lang w:val="fr-CH"/>
        </w:rPr>
        <w:t xml:space="preserve">droit de négociation collective, égalité de salaire pour les hommes et les hommes pour un travail d’égale valeur, </w:t>
      </w:r>
      <w:r w:rsidRPr="0071782F">
        <w:rPr>
          <w:lang w:val="fr-CH"/>
        </w:rPr>
        <w:t xml:space="preserve">non-discrimination </w:t>
      </w:r>
      <w:r w:rsidR="002B753C" w:rsidRPr="0071782F">
        <w:rPr>
          <w:lang w:val="fr-CH"/>
        </w:rPr>
        <w:t>dans l’emploi et la profession, respect de l’âge minimal d’admission à l’emploi</w:t>
      </w:r>
      <w:r w:rsidRPr="0071782F">
        <w:rPr>
          <w:lang w:val="fr-CH"/>
        </w:rPr>
        <w:t xml:space="preserve">, </w:t>
      </w:r>
      <w:r w:rsidR="002B753C" w:rsidRPr="0071782F">
        <w:rPr>
          <w:lang w:val="fr-CH"/>
        </w:rPr>
        <w:t>interdiction du travail des enfants et respect du salaire minimal calculé en fonction du salaire minimal de subsistance</w:t>
      </w:r>
      <w:r w:rsidRPr="0071782F">
        <w:rPr>
          <w:lang w:val="fr-CH"/>
        </w:rPr>
        <w:t xml:space="preserve">). </w:t>
      </w:r>
    </w:p>
    <w:p w:rsidR="00472BB3" w:rsidRPr="000B670F" w:rsidRDefault="00472BB3" w:rsidP="00472BB3">
      <w:pPr>
        <w:pStyle w:val="SingleTxtG"/>
        <w:ind w:left="1701"/>
        <w:rPr>
          <w:spacing w:val="-2"/>
          <w:lang w:val="fr-CH"/>
        </w:rPr>
      </w:pPr>
      <w:r w:rsidRPr="000B670F">
        <w:rPr>
          <w:spacing w:val="-2"/>
          <w:lang w:val="fr-CH"/>
        </w:rPr>
        <w:t>36.9.</w:t>
      </w:r>
      <w:r w:rsidRPr="000B670F">
        <w:rPr>
          <w:spacing w:val="-2"/>
          <w:lang w:val="fr-CH"/>
        </w:rPr>
        <w:tab/>
      </w:r>
      <w:r w:rsidR="00A7044C" w:rsidRPr="000B670F">
        <w:rPr>
          <w:spacing w:val="-2"/>
          <w:lang w:val="fr-CH"/>
        </w:rPr>
        <w:t>D</w:t>
      </w:r>
      <w:r w:rsidRPr="000B670F">
        <w:rPr>
          <w:spacing w:val="-2"/>
          <w:lang w:val="fr-CH"/>
        </w:rPr>
        <w:t xml:space="preserve">ialogue </w:t>
      </w:r>
      <w:r w:rsidR="00A7044C" w:rsidRPr="000B670F">
        <w:rPr>
          <w:spacing w:val="-2"/>
          <w:lang w:val="fr-CH"/>
        </w:rPr>
        <w:t xml:space="preserve">social entre l’État et les partenaires sociaux </w:t>
      </w:r>
      <w:r w:rsidRPr="000B670F">
        <w:rPr>
          <w:spacing w:val="-2"/>
          <w:lang w:val="fr-CH"/>
        </w:rPr>
        <w:t>(</w:t>
      </w:r>
      <w:r w:rsidR="00A7044C" w:rsidRPr="000B670F">
        <w:rPr>
          <w:spacing w:val="-2"/>
          <w:lang w:val="fr-CH"/>
        </w:rPr>
        <w:t>organisations de la société civile qui exercent des responsabilités dans le domaine des relations du travail</w:t>
      </w:r>
      <w:r w:rsidRPr="000B670F">
        <w:rPr>
          <w:spacing w:val="-2"/>
          <w:lang w:val="fr-CH"/>
        </w:rPr>
        <w:t xml:space="preserve">, </w:t>
      </w:r>
      <w:r w:rsidR="00A7044C" w:rsidRPr="000B670F">
        <w:rPr>
          <w:spacing w:val="-2"/>
          <w:lang w:val="fr-CH"/>
        </w:rPr>
        <w:t xml:space="preserve">développement du capital </w:t>
      </w:r>
      <w:r w:rsidRPr="000B670F">
        <w:rPr>
          <w:spacing w:val="-2"/>
          <w:lang w:val="fr-CH"/>
        </w:rPr>
        <w:t xml:space="preserve">social </w:t>
      </w:r>
      <w:r w:rsidR="00A7044C" w:rsidRPr="000B670F">
        <w:rPr>
          <w:spacing w:val="-2"/>
          <w:lang w:val="fr-CH"/>
        </w:rPr>
        <w:t>et humain</w:t>
      </w:r>
      <w:r w:rsidRPr="000B670F">
        <w:rPr>
          <w:spacing w:val="-2"/>
          <w:lang w:val="fr-CH"/>
        </w:rPr>
        <w:t xml:space="preserve">, </w:t>
      </w:r>
      <w:r w:rsidR="00A7044C" w:rsidRPr="000B670F">
        <w:rPr>
          <w:spacing w:val="-2"/>
          <w:lang w:val="fr-CH"/>
        </w:rPr>
        <w:t>amélioration des relations entre les partenaires sociaux</w:t>
      </w:r>
      <w:r w:rsidRPr="000B670F">
        <w:rPr>
          <w:spacing w:val="-2"/>
          <w:lang w:val="fr-CH"/>
        </w:rPr>
        <w:t xml:space="preserve">, </w:t>
      </w:r>
      <w:r w:rsidR="00A7044C" w:rsidRPr="000B670F">
        <w:rPr>
          <w:spacing w:val="-2"/>
          <w:lang w:val="fr-CH"/>
        </w:rPr>
        <w:t>rôle des partenaires sociaux</w:t>
      </w:r>
      <w:r w:rsidRPr="000B670F">
        <w:rPr>
          <w:spacing w:val="-2"/>
          <w:lang w:val="fr-CH"/>
        </w:rPr>
        <w:t xml:space="preserve">, </w:t>
      </w:r>
      <w:r w:rsidR="00A7044C" w:rsidRPr="000B670F">
        <w:rPr>
          <w:spacing w:val="-2"/>
          <w:lang w:val="fr-CH"/>
        </w:rPr>
        <w:t xml:space="preserve">négociation </w:t>
      </w:r>
      <w:r w:rsidRPr="000B670F">
        <w:rPr>
          <w:spacing w:val="-2"/>
          <w:lang w:val="fr-CH"/>
        </w:rPr>
        <w:t xml:space="preserve">collective, conclusion </w:t>
      </w:r>
      <w:r w:rsidR="00A7044C" w:rsidRPr="000B670F">
        <w:rPr>
          <w:spacing w:val="-2"/>
          <w:lang w:val="fr-CH"/>
        </w:rPr>
        <w:t xml:space="preserve">de conventions </w:t>
      </w:r>
      <w:r w:rsidRPr="000B670F">
        <w:rPr>
          <w:spacing w:val="-2"/>
          <w:lang w:val="fr-CH"/>
        </w:rPr>
        <w:t>collective</w:t>
      </w:r>
      <w:r w:rsidR="00A7044C" w:rsidRPr="000B670F">
        <w:rPr>
          <w:spacing w:val="-2"/>
          <w:lang w:val="fr-CH"/>
        </w:rPr>
        <w:t>s</w:t>
      </w:r>
      <w:r w:rsidRPr="000B670F">
        <w:rPr>
          <w:spacing w:val="-2"/>
          <w:lang w:val="fr-CH"/>
        </w:rPr>
        <w:t xml:space="preserve">, </w:t>
      </w:r>
      <w:r w:rsidR="00A7044C" w:rsidRPr="000B670F">
        <w:rPr>
          <w:spacing w:val="-2"/>
          <w:lang w:val="fr-CH"/>
        </w:rPr>
        <w:t>création d’un conseil national consultatif tri</w:t>
      </w:r>
      <w:r w:rsidR="00D0211E" w:rsidRPr="000B670F">
        <w:rPr>
          <w:spacing w:val="-2"/>
          <w:lang w:val="fr-CH"/>
        </w:rPr>
        <w:t>partite</w:t>
      </w:r>
      <w:r w:rsidRPr="000B670F">
        <w:rPr>
          <w:spacing w:val="-2"/>
          <w:lang w:val="fr-CH"/>
        </w:rPr>
        <w:t xml:space="preserve">, promotion </w:t>
      </w:r>
      <w:r w:rsidR="00A7044C" w:rsidRPr="000B670F">
        <w:rPr>
          <w:spacing w:val="-2"/>
          <w:lang w:val="fr-CH"/>
        </w:rPr>
        <w:t>de mécanismes tri</w:t>
      </w:r>
      <w:r w:rsidR="00D0211E" w:rsidRPr="000B670F">
        <w:rPr>
          <w:spacing w:val="-2"/>
          <w:lang w:val="fr-CH"/>
        </w:rPr>
        <w:t xml:space="preserve">partites </w:t>
      </w:r>
      <w:r w:rsidR="00A7044C" w:rsidRPr="000B670F">
        <w:rPr>
          <w:spacing w:val="-2"/>
          <w:lang w:val="fr-CH"/>
        </w:rPr>
        <w:t>dans les relations du travail</w:t>
      </w:r>
      <w:r w:rsidRPr="000B670F">
        <w:rPr>
          <w:spacing w:val="-2"/>
          <w:lang w:val="fr-CH"/>
        </w:rPr>
        <w:t xml:space="preserve">, </w:t>
      </w:r>
      <w:r w:rsidR="00A7044C" w:rsidRPr="000B670F">
        <w:rPr>
          <w:spacing w:val="-2"/>
          <w:lang w:val="fr-CH"/>
        </w:rPr>
        <w:t>réformes structurelles</w:t>
      </w:r>
      <w:r w:rsidRPr="000B670F">
        <w:rPr>
          <w:spacing w:val="-2"/>
          <w:lang w:val="fr-CH"/>
        </w:rPr>
        <w:t xml:space="preserve">, promotion </w:t>
      </w:r>
      <w:r w:rsidR="00A7044C" w:rsidRPr="000B670F">
        <w:rPr>
          <w:spacing w:val="-2"/>
          <w:lang w:val="fr-CH"/>
        </w:rPr>
        <w:t xml:space="preserve">du </w:t>
      </w:r>
      <w:r w:rsidRPr="000B670F">
        <w:rPr>
          <w:spacing w:val="-2"/>
          <w:lang w:val="fr-CH"/>
        </w:rPr>
        <w:t xml:space="preserve">dialogue </w:t>
      </w:r>
      <w:r w:rsidR="00A7044C" w:rsidRPr="000B670F">
        <w:rPr>
          <w:spacing w:val="-2"/>
          <w:lang w:val="fr-CH"/>
        </w:rPr>
        <w:t>social et dynamisation des organisations de la société civile qui exercent des responsabilités dans le domaine des relations du travail</w:t>
      </w:r>
      <w:r w:rsidRPr="000B670F">
        <w:rPr>
          <w:spacing w:val="-2"/>
          <w:lang w:val="fr-CH"/>
        </w:rPr>
        <w:t xml:space="preserve">). </w:t>
      </w:r>
    </w:p>
    <w:p w:rsidR="00472BB3" w:rsidRPr="000B670F" w:rsidRDefault="00472BB3" w:rsidP="00472BB3">
      <w:pPr>
        <w:pStyle w:val="SingleTxtG"/>
        <w:ind w:left="1701"/>
        <w:rPr>
          <w:spacing w:val="-2"/>
          <w:lang w:val="fr-CH"/>
        </w:rPr>
      </w:pPr>
      <w:r w:rsidRPr="000B670F">
        <w:rPr>
          <w:spacing w:val="-2"/>
          <w:lang w:val="fr-CH"/>
        </w:rPr>
        <w:t>36.10.</w:t>
      </w:r>
      <w:r w:rsidRPr="000B670F">
        <w:rPr>
          <w:spacing w:val="-2"/>
          <w:lang w:val="fr-CH"/>
        </w:rPr>
        <w:tab/>
      </w:r>
      <w:r w:rsidR="00D0211E" w:rsidRPr="000B670F">
        <w:rPr>
          <w:spacing w:val="-2"/>
          <w:lang w:val="fr-CH"/>
        </w:rPr>
        <w:t xml:space="preserve">Développement de l’appui </w:t>
      </w:r>
      <w:r w:rsidRPr="000B670F">
        <w:rPr>
          <w:spacing w:val="-2"/>
          <w:lang w:val="fr-CH"/>
        </w:rPr>
        <w:t>social (</w:t>
      </w:r>
      <w:r w:rsidR="00D0211E" w:rsidRPr="000B670F">
        <w:rPr>
          <w:spacing w:val="-2"/>
          <w:lang w:val="fr-CH"/>
        </w:rPr>
        <w:t xml:space="preserve">sécurité </w:t>
      </w:r>
      <w:r w:rsidRPr="000B670F">
        <w:rPr>
          <w:spacing w:val="-2"/>
          <w:lang w:val="fr-CH"/>
        </w:rPr>
        <w:t>social</w:t>
      </w:r>
      <w:r w:rsidR="00D0211E" w:rsidRPr="000B670F">
        <w:rPr>
          <w:spacing w:val="-2"/>
          <w:lang w:val="fr-CH"/>
        </w:rPr>
        <w:t>e</w:t>
      </w:r>
      <w:r w:rsidRPr="000B670F">
        <w:rPr>
          <w:spacing w:val="-2"/>
          <w:lang w:val="fr-CH"/>
        </w:rPr>
        <w:t xml:space="preserve">, </w:t>
      </w:r>
      <w:r w:rsidR="00D0211E" w:rsidRPr="000B670F">
        <w:rPr>
          <w:spacing w:val="-2"/>
          <w:lang w:val="fr-CH"/>
        </w:rPr>
        <w:t>assurance chômage</w:t>
      </w:r>
      <w:r w:rsidRPr="000B670F">
        <w:rPr>
          <w:spacing w:val="-2"/>
          <w:lang w:val="fr-CH"/>
        </w:rPr>
        <w:t xml:space="preserve">, </w:t>
      </w:r>
      <w:r w:rsidR="00D0211E" w:rsidRPr="000B670F">
        <w:rPr>
          <w:spacing w:val="-2"/>
          <w:lang w:val="fr-CH"/>
        </w:rPr>
        <w:t>développement et renforcement des mécanismes d’indemnisation</w:t>
      </w:r>
      <w:r w:rsidRPr="000B670F">
        <w:rPr>
          <w:spacing w:val="-2"/>
          <w:lang w:val="fr-CH"/>
        </w:rPr>
        <w:t xml:space="preserve">, </w:t>
      </w:r>
      <w:r w:rsidR="00D0211E" w:rsidRPr="000B670F">
        <w:rPr>
          <w:spacing w:val="-2"/>
          <w:lang w:val="fr-CH"/>
        </w:rPr>
        <w:t xml:space="preserve">fourniture d’un appui </w:t>
      </w:r>
      <w:r w:rsidRPr="000B670F">
        <w:rPr>
          <w:spacing w:val="-2"/>
          <w:lang w:val="fr-CH"/>
        </w:rPr>
        <w:t xml:space="preserve">social </w:t>
      </w:r>
      <w:r w:rsidR="00175962" w:rsidRPr="000B670F">
        <w:rPr>
          <w:spacing w:val="-2"/>
          <w:lang w:val="fr-CH"/>
        </w:rPr>
        <w:t>aux personnes</w:t>
      </w:r>
      <w:r w:rsidR="00D0211E" w:rsidRPr="000B670F">
        <w:rPr>
          <w:spacing w:val="-2"/>
          <w:lang w:val="fr-CH"/>
        </w:rPr>
        <w:t xml:space="preserve"> employées sur le marché du travail non structuré</w:t>
      </w:r>
      <w:r w:rsidRPr="000B670F">
        <w:rPr>
          <w:spacing w:val="-2"/>
          <w:lang w:val="fr-CH"/>
        </w:rPr>
        <w:t>, r</w:t>
      </w:r>
      <w:r w:rsidR="00D0211E" w:rsidRPr="000B670F">
        <w:rPr>
          <w:spacing w:val="-2"/>
          <w:lang w:val="fr-CH"/>
        </w:rPr>
        <w:t>éadaptation des handicapés</w:t>
      </w:r>
      <w:r w:rsidRPr="000B670F">
        <w:rPr>
          <w:spacing w:val="-2"/>
          <w:lang w:val="fr-CH"/>
        </w:rPr>
        <w:t xml:space="preserve">, </w:t>
      </w:r>
      <w:r w:rsidR="00D0211E" w:rsidRPr="000B670F">
        <w:rPr>
          <w:spacing w:val="-2"/>
          <w:lang w:val="fr-CH"/>
        </w:rPr>
        <w:t>garantie d’égalité des chances pour les hommes et les femmes et autonomisation des femmes par le bais de l’accès à des emplois appropriés</w:t>
      </w:r>
      <w:r w:rsidRPr="000B670F">
        <w:rPr>
          <w:spacing w:val="-2"/>
          <w:lang w:val="fr-CH"/>
        </w:rPr>
        <w:t>).</w:t>
      </w:r>
    </w:p>
    <w:p w:rsidR="00472BB3" w:rsidRPr="0071782F" w:rsidRDefault="00472BB3" w:rsidP="00472BB3">
      <w:pPr>
        <w:pStyle w:val="SingleTxtG"/>
        <w:ind w:left="1701"/>
        <w:rPr>
          <w:lang w:val="fr-CH"/>
        </w:rPr>
      </w:pPr>
      <w:r w:rsidRPr="0071782F">
        <w:rPr>
          <w:lang w:val="fr-CH"/>
        </w:rPr>
        <w:t>36.11.</w:t>
      </w:r>
      <w:r w:rsidRPr="0071782F">
        <w:rPr>
          <w:lang w:val="fr-CH"/>
        </w:rPr>
        <w:tab/>
      </w:r>
      <w:r w:rsidR="00D0211E" w:rsidRPr="0071782F">
        <w:rPr>
          <w:lang w:val="fr-CH"/>
        </w:rPr>
        <w:t>Le droit d’exercer les droits civils et les droits du travail</w:t>
      </w:r>
      <w:r w:rsidRPr="0071782F">
        <w:rPr>
          <w:lang w:val="fr-CH"/>
        </w:rPr>
        <w:t>.</w:t>
      </w:r>
    </w:p>
    <w:p w:rsidR="00472BB3" w:rsidRPr="0071782F" w:rsidRDefault="00472BB3" w:rsidP="00472BB3">
      <w:pPr>
        <w:pStyle w:val="SingleTxtG"/>
        <w:ind w:left="1701"/>
        <w:rPr>
          <w:lang w:val="fr-CH"/>
        </w:rPr>
      </w:pPr>
      <w:r w:rsidRPr="0071782F">
        <w:rPr>
          <w:lang w:val="fr-CH"/>
        </w:rPr>
        <w:t>36.12.</w:t>
      </w:r>
      <w:r w:rsidRPr="0071782F">
        <w:rPr>
          <w:lang w:val="fr-CH"/>
        </w:rPr>
        <w:tab/>
        <w:t>E</w:t>
      </w:r>
      <w:r w:rsidR="008F7D33" w:rsidRPr="0071782F">
        <w:rPr>
          <w:lang w:val="fr-CH"/>
        </w:rPr>
        <w:t>:</w:t>
      </w:r>
      <w:r w:rsidRPr="0071782F">
        <w:rPr>
          <w:lang w:val="fr-CH"/>
        </w:rPr>
        <w:t xml:space="preserve"> R</w:t>
      </w:r>
      <w:r w:rsidR="00D0211E" w:rsidRPr="0071782F">
        <w:rPr>
          <w:lang w:val="fr-CH"/>
        </w:rPr>
        <w:t>é</w:t>
      </w:r>
      <w:r w:rsidRPr="0071782F">
        <w:rPr>
          <w:lang w:val="fr-CH"/>
        </w:rPr>
        <w:t>vision o</w:t>
      </w:r>
      <w:r w:rsidR="00D0211E" w:rsidRPr="0071782F">
        <w:rPr>
          <w:lang w:val="fr-CH"/>
        </w:rPr>
        <w:t xml:space="preserve">u modification des règles régissant la sécurité sociale et les relations du travail </w:t>
      </w:r>
      <w:r w:rsidRPr="0071782F">
        <w:rPr>
          <w:lang w:val="fr-CH"/>
        </w:rPr>
        <w:t>(</w:t>
      </w:r>
      <w:r w:rsidR="00D0211E" w:rsidRPr="0071782F">
        <w:rPr>
          <w:lang w:val="fr-CH"/>
        </w:rPr>
        <w:t xml:space="preserve">sur la base du mécanisme </w:t>
      </w:r>
      <w:r w:rsidRPr="0071782F">
        <w:rPr>
          <w:lang w:val="fr-CH"/>
        </w:rPr>
        <w:t>tri</w:t>
      </w:r>
      <w:r w:rsidR="00D0211E" w:rsidRPr="0071782F">
        <w:rPr>
          <w:lang w:val="fr-CH"/>
        </w:rPr>
        <w:t>partite État-travailleurs-employeurs</w:t>
      </w:r>
      <w:r w:rsidRPr="0071782F">
        <w:rPr>
          <w:lang w:val="fr-CH"/>
        </w:rPr>
        <w:t xml:space="preserve">) </w:t>
      </w:r>
      <w:r w:rsidR="00D0211E" w:rsidRPr="0071782F">
        <w:rPr>
          <w:lang w:val="fr-CH"/>
        </w:rPr>
        <w:t>pour assouplir le marché du travail et y améliorer la concertation</w:t>
      </w:r>
      <w:r w:rsidRPr="0071782F">
        <w:rPr>
          <w:lang w:val="fr-CH"/>
        </w:rPr>
        <w:t xml:space="preserve">. </w:t>
      </w:r>
    </w:p>
    <w:p w:rsidR="00472BB3" w:rsidRPr="0071782F" w:rsidRDefault="00472BB3" w:rsidP="00472BB3">
      <w:pPr>
        <w:pStyle w:val="SingleTxtG"/>
        <w:ind w:left="1701"/>
        <w:rPr>
          <w:lang w:val="fr-CH"/>
        </w:rPr>
      </w:pPr>
      <w:r w:rsidRPr="0071782F">
        <w:rPr>
          <w:lang w:val="fr-CH"/>
        </w:rPr>
        <w:t>36.13.</w:t>
      </w:r>
      <w:r w:rsidRPr="0071782F">
        <w:rPr>
          <w:lang w:val="fr-CH"/>
        </w:rPr>
        <w:tab/>
      </w:r>
      <w:r w:rsidR="008F4138" w:rsidRPr="0071782F">
        <w:rPr>
          <w:lang w:val="fr-CH"/>
        </w:rPr>
        <w:t xml:space="preserve">Emploi productif </w:t>
      </w:r>
      <w:r w:rsidRPr="0071782F">
        <w:rPr>
          <w:lang w:val="fr-CH"/>
        </w:rPr>
        <w:t>(</w:t>
      </w:r>
      <w:r w:rsidR="008F4138" w:rsidRPr="0071782F">
        <w:rPr>
          <w:lang w:val="fr-CH"/>
        </w:rPr>
        <w:t>renforcement de la capacité d’exercer un emploi dans les petites et moyennes entreprises, programmes de formation ciblés et orientés vers des emplois déterminés</w:t>
      </w:r>
      <w:r w:rsidRPr="0071782F">
        <w:rPr>
          <w:lang w:val="fr-CH"/>
        </w:rPr>
        <w:t xml:space="preserve">, </w:t>
      </w:r>
      <w:r w:rsidR="008F4138" w:rsidRPr="0071782F">
        <w:rPr>
          <w:lang w:val="fr-CH"/>
        </w:rPr>
        <w:t>éducation à l’entrepreneuriat</w:t>
      </w:r>
      <w:r w:rsidRPr="0071782F">
        <w:rPr>
          <w:lang w:val="fr-CH"/>
        </w:rPr>
        <w:t>, collect</w:t>
      </w:r>
      <w:r w:rsidR="008F4138" w:rsidRPr="0071782F">
        <w:rPr>
          <w:lang w:val="fr-CH"/>
        </w:rPr>
        <w:t>e et analyse de données sur le marché du travail</w:t>
      </w:r>
      <w:r w:rsidRPr="0071782F">
        <w:rPr>
          <w:lang w:val="fr-CH"/>
        </w:rPr>
        <w:t>, rationali</w:t>
      </w:r>
      <w:r w:rsidR="008F4138" w:rsidRPr="0071782F">
        <w:rPr>
          <w:lang w:val="fr-CH"/>
        </w:rPr>
        <w:t>s</w:t>
      </w:r>
      <w:r w:rsidRPr="0071782F">
        <w:rPr>
          <w:lang w:val="fr-CH"/>
        </w:rPr>
        <w:t xml:space="preserve">ation </w:t>
      </w:r>
      <w:r w:rsidR="008F4138" w:rsidRPr="0071782F">
        <w:rPr>
          <w:lang w:val="fr-CH"/>
        </w:rPr>
        <w:t>du lien entre l’éducation et la profession</w:t>
      </w:r>
      <w:r w:rsidRPr="0071782F">
        <w:rPr>
          <w:lang w:val="fr-CH"/>
        </w:rPr>
        <w:t xml:space="preserve">, </w:t>
      </w:r>
      <w:r w:rsidR="008F4138" w:rsidRPr="0071782F">
        <w:rPr>
          <w:lang w:val="fr-CH"/>
        </w:rPr>
        <w:t xml:space="preserve">élimination des </w:t>
      </w:r>
      <w:r w:rsidRPr="0071782F">
        <w:rPr>
          <w:lang w:val="fr-CH"/>
        </w:rPr>
        <w:t xml:space="preserve">obstacles </w:t>
      </w:r>
      <w:r w:rsidR="008F4138" w:rsidRPr="0071782F">
        <w:rPr>
          <w:lang w:val="fr-CH"/>
        </w:rPr>
        <w:t>structurels à l’emploi et développement de la formation technique et professionnelle adaptée aux besoins du marché du travail)</w:t>
      </w:r>
      <w:r w:rsidRPr="0071782F">
        <w:rPr>
          <w:lang w:val="fr-CH"/>
        </w:rPr>
        <w:t xml:space="preserve">. </w:t>
      </w:r>
    </w:p>
    <w:p w:rsidR="00472BB3" w:rsidRPr="0071782F" w:rsidRDefault="00472BB3" w:rsidP="00472BB3">
      <w:pPr>
        <w:pStyle w:val="SingleTxtG"/>
        <w:ind w:left="1701"/>
        <w:rPr>
          <w:lang w:val="fr-CH"/>
        </w:rPr>
      </w:pPr>
      <w:r w:rsidRPr="0071782F">
        <w:rPr>
          <w:lang w:val="fr-CH"/>
        </w:rPr>
        <w:t>36.14.</w:t>
      </w:r>
      <w:r w:rsidRPr="0071782F">
        <w:rPr>
          <w:lang w:val="fr-CH"/>
        </w:rPr>
        <w:tab/>
      </w:r>
      <w:r w:rsidR="008F4138" w:rsidRPr="0071782F">
        <w:rPr>
          <w:lang w:val="fr-CH"/>
        </w:rPr>
        <w:t xml:space="preserve">Alignement de la législation nationale sur les normes internationales, les dispositions des conventions internationales et consulaires et les nouveaux développements internationaux dans le domaine du travail, et élimination de la </w:t>
      </w:r>
      <w:r w:rsidRPr="0071782F">
        <w:rPr>
          <w:lang w:val="fr-CH"/>
        </w:rPr>
        <w:t xml:space="preserve">discrimination </w:t>
      </w:r>
      <w:r w:rsidR="008F4138" w:rsidRPr="0071782F">
        <w:rPr>
          <w:lang w:val="fr-CH"/>
        </w:rPr>
        <w:t>dans tous les domaines sociaux et, en particulier, dans le domaine des relations du travail et de l’emploi</w:t>
      </w:r>
      <w:r w:rsidRPr="0071782F">
        <w:rPr>
          <w:lang w:val="fr-CH"/>
        </w:rPr>
        <w:t xml:space="preserve">. </w:t>
      </w:r>
    </w:p>
    <w:p w:rsidR="00472BB3" w:rsidRPr="0071782F" w:rsidRDefault="00472BB3" w:rsidP="00472BB3">
      <w:pPr>
        <w:pStyle w:val="SingleTxtG"/>
        <w:ind w:left="1701"/>
        <w:rPr>
          <w:lang w:val="fr-CH"/>
        </w:rPr>
      </w:pPr>
      <w:r w:rsidRPr="0071782F">
        <w:rPr>
          <w:lang w:val="fr-CH"/>
        </w:rPr>
        <w:t>36.15.</w:t>
      </w:r>
      <w:r w:rsidRPr="0071782F">
        <w:rPr>
          <w:lang w:val="fr-CH"/>
        </w:rPr>
        <w:tab/>
        <w:t xml:space="preserve">Adoption </w:t>
      </w:r>
      <w:r w:rsidR="008F4138" w:rsidRPr="0071782F">
        <w:rPr>
          <w:lang w:val="fr-CH"/>
        </w:rPr>
        <w:t>des mesures nécessaires à l’envoi de main-d’</w:t>
      </w:r>
      <w:r w:rsidR="00D5366B" w:rsidRPr="0071782F">
        <w:rPr>
          <w:lang w:val="fr-CH"/>
        </w:rPr>
        <w:t>œuvre</w:t>
      </w:r>
      <w:r w:rsidR="008F4138" w:rsidRPr="0071782F">
        <w:rPr>
          <w:lang w:val="fr-CH"/>
        </w:rPr>
        <w:t xml:space="preserve"> à l’étranger</w:t>
      </w:r>
      <w:r w:rsidRPr="0071782F">
        <w:rPr>
          <w:lang w:val="fr-CH"/>
        </w:rPr>
        <w:t xml:space="preserve">. </w:t>
      </w:r>
    </w:p>
    <w:p w:rsidR="00472BB3" w:rsidRPr="0071782F" w:rsidRDefault="00472BB3" w:rsidP="00472BB3">
      <w:pPr>
        <w:pStyle w:val="H1G"/>
        <w:rPr>
          <w:lang w:val="fr-CH"/>
        </w:rPr>
      </w:pPr>
      <w:r w:rsidRPr="0071782F">
        <w:rPr>
          <w:lang w:val="fr-CH"/>
        </w:rPr>
        <w:tab/>
      </w:r>
      <w:r w:rsidRPr="0071782F">
        <w:rPr>
          <w:lang w:val="fr-CH"/>
        </w:rPr>
        <w:tab/>
      </w:r>
      <w:r w:rsidR="008F4138" w:rsidRPr="0071782F">
        <w:rPr>
          <w:lang w:val="fr-CH"/>
        </w:rPr>
        <w:t>R</w:t>
      </w:r>
      <w:r w:rsidR="00EB67B4" w:rsidRPr="0071782F">
        <w:rPr>
          <w:lang w:val="fr-CH"/>
        </w:rPr>
        <w:t xml:space="preserve">eprise </w:t>
      </w:r>
      <w:r w:rsidR="008F4138" w:rsidRPr="0071782F">
        <w:rPr>
          <w:lang w:val="fr-CH"/>
        </w:rPr>
        <w:t>de</w:t>
      </w:r>
      <w:r w:rsidR="00EB67B4" w:rsidRPr="0071782F">
        <w:rPr>
          <w:lang w:val="fr-CH"/>
        </w:rPr>
        <w:t xml:space="preserve"> certaines des </w:t>
      </w:r>
      <w:r w:rsidR="00B5198C" w:rsidRPr="0071782F">
        <w:rPr>
          <w:lang w:val="fr-CH"/>
        </w:rPr>
        <w:t>règle</w:t>
      </w:r>
      <w:r w:rsidR="008F4138" w:rsidRPr="0071782F">
        <w:rPr>
          <w:lang w:val="fr-CH"/>
        </w:rPr>
        <w:t xml:space="preserve">s du </w:t>
      </w:r>
      <w:r w:rsidR="009E6189">
        <w:rPr>
          <w:lang w:val="fr-CH"/>
        </w:rPr>
        <w:t>troisième plan</w:t>
      </w:r>
      <w:r w:rsidR="008F4138" w:rsidRPr="0071782F">
        <w:rPr>
          <w:lang w:val="fr-CH"/>
        </w:rPr>
        <w:t xml:space="preserve"> de développement </w:t>
      </w:r>
    </w:p>
    <w:p w:rsidR="00472BB3" w:rsidRPr="0071782F" w:rsidRDefault="00472BB3" w:rsidP="00472BB3">
      <w:pPr>
        <w:pStyle w:val="SingleTxtG"/>
        <w:rPr>
          <w:lang w:val="fr-CH"/>
        </w:rPr>
      </w:pPr>
      <w:r w:rsidRPr="0071782F">
        <w:rPr>
          <w:lang w:val="fr-CH"/>
        </w:rPr>
        <w:t>37.</w:t>
      </w:r>
      <w:r w:rsidRPr="0071782F">
        <w:rPr>
          <w:lang w:val="fr-CH"/>
        </w:rPr>
        <w:tab/>
      </w:r>
      <w:r w:rsidR="008F4138" w:rsidRPr="0071782F">
        <w:rPr>
          <w:lang w:val="fr-CH"/>
        </w:rPr>
        <w:t xml:space="preserve">La loi relative au </w:t>
      </w:r>
      <w:r w:rsidR="00A90208" w:rsidRPr="0071782F">
        <w:rPr>
          <w:lang w:val="fr-CH"/>
        </w:rPr>
        <w:t>quatrième</w:t>
      </w:r>
      <w:r w:rsidR="008F4138" w:rsidRPr="0071782F">
        <w:rPr>
          <w:lang w:val="fr-CH"/>
        </w:rPr>
        <w:t xml:space="preserve"> plan de développement a </w:t>
      </w:r>
      <w:r w:rsidR="00EB67B4" w:rsidRPr="0071782F">
        <w:rPr>
          <w:lang w:val="fr-CH"/>
        </w:rPr>
        <w:t>repris</w:t>
      </w:r>
      <w:r w:rsidR="008F4138" w:rsidRPr="0071782F">
        <w:rPr>
          <w:lang w:val="fr-CH"/>
        </w:rPr>
        <w:t xml:space="preserve"> certaines des </w:t>
      </w:r>
      <w:r w:rsidR="00B5198C" w:rsidRPr="0071782F">
        <w:rPr>
          <w:lang w:val="fr-CH"/>
        </w:rPr>
        <w:t>règle</w:t>
      </w:r>
      <w:r w:rsidR="008F4138" w:rsidRPr="0071782F">
        <w:rPr>
          <w:lang w:val="fr-CH"/>
        </w:rPr>
        <w:t xml:space="preserve">s du </w:t>
      </w:r>
      <w:r w:rsidR="009E6189">
        <w:rPr>
          <w:lang w:val="fr-CH"/>
        </w:rPr>
        <w:t>troisième plan</w:t>
      </w:r>
      <w:r w:rsidR="008F4138" w:rsidRPr="0071782F">
        <w:rPr>
          <w:lang w:val="fr-CH"/>
        </w:rPr>
        <w:t xml:space="preserve"> touchant à la profession et à l’emploi</w:t>
      </w:r>
      <w:r w:rsidRPr="0071782F">
        <w:rPr>
          <w:lang w:val="fr-CH"/>
        </w:rPr>
        <w:t xml:space="preserve">. </w:t>
      </w:r>
    </w:p>
    <w:p w:rsidR="00472BB3" w:rsidRPr="0071782F" w:rsidRDefault="00472BB3" w:rsidP="00472BB3">
      <w:pPr>
        <w:pStyle w:val="H1G"/>
        <w:rPr>
          <w:lang w:val="fr-CH"/>
        </w:rPr>
      </w:pPr>
      <w:r w:rsidRPr="0071782F">
        <w:rPr>
          <w:lang w:val="fr-CH"/>
        </w:rPr>
        <w:tab/>
      </w:r>
      <w:r w:rsidRPr="0071782F">
        <w:rPr>
          <w:lang w:val="fr-CH"/>
        </w:rPr>
        <w:tab/>
      </w:r>
      <w:r w:rsidR="00943A69" w:rsidRPr="0071782F">
        <w:rPr>
          <w:lang w:val="fr-CH"/>
        </w:rPr>
        <w:t>Article </w:t>
      </w:r>
      <w:r w:rsidRPr="0071782F">
        <w:rPr>
          <w:lang w:val="fr-CH"/>
        </w:rPr>
        <w:t xml:space="preserve">49 </w:t>
      </w:r>
      <w:r w:rsidR="008F4138" w:rsidRPr="0071782F">
        <w:rPr>
          <w:lang w:val="fr-CH"/>
        </w:rPr>
        <w:t xml:space="preserve">du </w:t>
      </w:r>
      <w:r w:rsidR="009E6189">
        <w:rPr>
          <w:lang w:val="fr-CH"/>
        </w:rPr>
        <w:t>troisième plan</w:t>
      </w:r>
      <w:r w:rsidR="008F4138" w:rsidRPr="0071782F">
        <w:rPr>
          <w:lang w:val="fr-CH"/>
        </w:rPr>
        <w:t xml:space="preserve"> de développement </w:t>
      </w:r>
    </w:p>
    <w:p w:rsidR="00472BB3" w:rsidRPr="0071782F" w:rsidRDefault="00472BB3" w:rsidP="00472BB3">
      <w:pPr>
        <w:pStyle w:val="SingleTxtG"/>
        <w:rPr>
          <w:lang w:val="fr-CH"/>
        </w:rPr>
      </w:pPr>
      <w:r w:rsidRPr="0071782F">
        <w:rPr>
          <w:lang w:val="fr-CH"/>
        </w:rPr>
        <w:t>38.</w:t>
      </w:r>
      <w:r w:rsidRPr="0071782F">
        <w:rPr>
          <w:lang w:val="fr-CH"/>
        </w:rPr>
        <w:tab/>
      </w:r>
      <w:r w:rsidR="00AB7462" w:rsidRPr="0071782F">
        <w:rPr>
          <w:lang w:val="fr-CH"/>
        </w:rPr>
        <w:t xml:space="preserve">Pour inciter les employeurs à embaucher de nouveaux salariés, l’État est tenu d’envisager d’appliquer les </w:t>
      </w:r>
      <w:r w:rsidR="00B5198C" w:rsidRPr="0071782F">
        <w:rPr>
          <w:lang w:val="fr-CH"/>
        </w:rPr>
        <w:t>avantages</w:t>
      </w:r>
      <w:r w:rsidR="00AB7462" w:rsidRPr="0071782F">
        <w:rPr>
          <w:lang w:val="fr-CH"/>
        </w:rPr>
        <w:t xml:space="preserve"> ci-après aux employeurs qui recrutent de nouveaux salariés par l’intermédiaire des centres de placement du Ministère du travail et des affaires sociales pendant la période couverte par le plan</w:t>
      </w:r>
      <w:r w:rsidR="008F7D33" w:rsidRPr="0071782F">
        <w:rPr>
          <w:lang w:val="fr-CH"/>
        </w:rPr>
        <w:t>:</w:t>
      </w:r>
    </w:p>
    <w:p w:rsidR="00472BB3" w:rsidRPr="0071782F" w:rsidRDefault="00472BB3" w:rsidP="00430415">
      <w:pPr>
        <w:pStyle w:val="SingleTxtG"/>
        <w:ind w:left="1701"/>
        <w:rPr>
          <w:lang w:val="fr-CH"/>
        </w:rPr>
      </w:pPr>
      <w:r w:rsidRPr="0071782F">
        <w:rPr>
          <w:lang w:val="fr-CH"/>
        </w:rPr>
        <w:t>38.1.</w:t>
      </w:r>
      <w:r w:rsidRPr="0071782F">
        <w:rPr>
          <w:lang w:val="fr-CH"/>
        </w:rPr>
        <w:tab/>
        <w:t>R</w:t>
      </w:r>
      <w:r w:rsidR="00AB7462" w:rsidRPr="0071782F">
        <w:rPr>
          <w:lang w:val="fr-CH"/>
        </w:rPr>
        <w:t>é</w:t>
      </w:r>
      <w:r w:rsidRPr="0071782F">
        <w:rPr>
          <w:lang w:val="fr-CH"/>
        </w:rPr>
        <w:t xml:space="preserve">duction </w:t>
      </w:r>
      <w:r w:rsidR="00B5198C" w:rsidRPr="0071782F">
        <w:rPr>
          <w:lang w:val="fr-CH"/>
        </w:rPr>
        <w:t>du taux</w:t>
      </w:r>
      <w:r w:rsidR="00AB7462" w:rsidRPr="0071782F">
        <w:rPr>
          <w:lang w:val="fr-CH"/>
        </w:rPr>
        <w:t xml:space="preserve"> des cotisations </w:t>
      </w:r>
      <w:r w:rsidR="00B5198C" w:rsidRPr="0071782F">
        <w:rPr>
          <w:lang w:val="fr-CH"/>
        </w:rPr>
        <w:t>sociales</w:t>
      </w:r>
      <w:r w:rsidR="00AB7462" w:rsidRPr="0071782F">
        <w:rPr>
          <w:lang w:val="fr-CH"/>
        </w:rPr>
        <w:t xml:space="preserve"> </w:t>
      </w:r>
      <w:r w:rsidR="00B5198C" w:rsidRPr="0071782F">
        <w:rPr>
          <w:lang w:val="fr-CH"/>
        </w:rPr>
        <w:t xml:space="preserve">des </w:t>
      </w:r>
      <w:r w:rsidR="00AB7462" w:rsidRPr="0071782F">
        <w:rPr>
          <w:lang w:val="fr-CH"/>
        </w:rPr>
        <w:t>employeur</w:t>
      </w:r>
      <w:r w:rsidR="00B5198C" w:rsidRPr="0071782F">
        <w:rPr>
          <w:lang w:val="fr-CH"/>
        </w:rPr>
        <w:t>s</w:t>
      </w:r>
      <w:r w:rsidR="00AB7462" w:rsidRPr="0071782F">
        <w:rPr>
          <w:lang w:val="fr-CH"/>
        </w:rPr>
        <w:t xml:space="preserve"> et inscription aux budgets annuels de crédits devant compenser la baisse des recettes de l’Organisation de sécurité sociale</w:t>
      </w:r>
      <w:r w:rsidRPr="0071782F">
        <w:rPr>
          <w:lang w:val="fr-CH"/>
        </w:rPr>
        <w:t xml:space="preserve">. </w:t>
      </w:r>
    </w:p>
    <w:p w:rsidR="00472BB3" w:rsidRPr="0071782F" w:rsidRDefault="00472BB3" w:rsidP="00430415">
      <w:pPr>
        <w:pStyle w:val="SingleTxtG"/>
        <w:ind w:left="1701"/>
        <w:rPr>
          <w:lang w:val="fr-CH"/>
        </w:rPr>
      </w:pPr>
      <w:r w:rsidRPr="0071782F">
        <w:rPr>
          <w:lang w:val="fr-CH"/>
        </w:rPr>
        <w:t>38.2.</w:t>
      </w:r>
      <w:r w:rsidRPr="0071782F">
        <w:rPr>
          <w:lang w:val="fr-CH"/>
        </w:rPr>
        <w:tab/>
        <w:t>R</w:t>
      </w:r>
      <w:r w:rsidR="00AB7462" w:rsidRPr="0071782F">
        <w:rPr>
          <w:lang w:val="fr-CH"/>
        </w:rPr>
        <w:t>é</w:t>
      </w:r>
      <w:r w:rsidRPr="0071782F">
        <w:rPr>
          <w:lang w:val="fr-CH"/>
        </w:rPr>
        <w:t xml:space="preserve">duction </w:t>
      </w:r>
      <w:r w:rsidR="00AB7462" w:rsidRPr="0071782F">
        <w:rPr>
          <w:lang w:val="fr-CH"/>
        </w:rPr>
        <w:t>de la charge fiscale de l’employeur proportionnée au montant de la taxe sur les salaires des nouveaux salariés.</w:t>
      </w:r>
      <w:r w:rsidRPr="0071782F">
        <w:rPr>
          <w:lang w:val="fr-CH"/>
        </w:rPr>
        <w:t xml:space="preserve"> </w:t>
      </w:r>
    </w:p>
    <w:p w:rsidR="00472BB3" w:rsidRPr="0071782F" w:rsidRDefault="00472BB3" w:rsidP="00430415">
      <w:pPr>
        <w:pStyle w:val="H1G"/>
        <w:rPr>
          <w:lang w:val="fr-CH"/>
        </w:rPr>
      </w:pPr>
      <w:r w:rsidRPr="0071782F">
        <w:rPr>
          <w:lang w:val="fr-CH"/>
        </w:rPr>
        <w:tab/>
      </w:r>
      <w:r w:rsidRPr="0071782F">
        <w:rPr>
          <w:lang w:val="fr-CH"/>
        </w:rPr>
        <w:tab/>
      </w:r>
      <w:r w:rsidR="00943A69" w:rsidRPr="0071782F">
        <w:rPr>
          <w:lang w:val="fr-CH"/>
        </w:rPr>
        <w:t>Article </w:t>
      </w:r>
      <w:r w:rsidRPr="0071782F">
        <w:rPr>
          <w:lang w:val="fr-CH"/>
        </w:rPr>
        <w:t xml:space="preserve">50 </w:t>
      </w:r>
      <w:r w:rsidR="00AB7462" w:rsidRPr="0071782F">
        <w:rPr>
          <w:lang w:val="fr-CH"/>
        </w:rPr>
        <w:t xml:space="preserve">du </w:t>
      </w:r>
      <w:r w:rsidR="009E6189">
        <w:rPr>
          <w:lang w:val="fr-CH"/>
        </w:rPr>
        <w:t>troisième plan</w:t>
      </w:r>
      <w:r w:rsidR="00AB7462" w:rsidRPr="0071782F">
        <w:rPr>
          <w:lang w:val="fr-CH"/>
        </w:rPr>
        <w:t xml:space="preserve"> de développement </w:t>
      </w:r>
    </w:p>
    <w:p w:rsidR="00472BB3" w:rsidRPr="0071782F" w:rsidRDefault="00472BB3" w:rsidP="00472BB3">
      <w:pPr>
        <w:pStyle w:val="SingleTxtG"/>
        <w:rPr>
          <w:lang w:val="fr-CH"/>
        </w:rPr>
      </w:pPr>
      <w:r w:rsidRPr="0071782F">
        <w:rPr>
          <w:lang w:val="fr-CH"/>
        </w:rPr>
        <w:t>39.</w:t>
      </w:r>
      <w:r w:rsidRPr="0071782F">
        <w:rPr>
          <w:lang w:val="fr-CH"/>
        </w:rPr>
        <w:tab/>
      </w:r>
      <w:r w:rsidR="00686673" w:rsidRPr="0071782F">
        <w:rPr>
          <w:lang w:val="fr-CH"/>
        </w:rPr>
        <w:t>Pour créer des emplois dans les régions peu développées du pays, l’État est autorisé</w:t>
      </w:r>
      <w:r w:rsidR="008F7D33" w:rsidRPr="0071782F">
        <w:rPr>
          <w:lang w:val="fr-CH"/>
        </w:rPr>
        <w:t>:</w:t>
      </w:r>
    </w:p>
    <w:p w:rsidR="00472BB3" w:rsidRPr="0071782F" w:rsidRDefault="00472BB3" w:rsidP="00430415">
      <w:pPr>
        <w:pStyle w:val="SingleTxtG"/>
        <w:ind w:left="1701"/>
        <w:rPr>
          <w:lang w:val="fr-CH"/>
        </w:rPr>
      </w:pPr>
      <w:r w:rsidRPr="0071782F">
        <w:rPr>
          <w:lang w:val="fr-CH"/>
        </w:rPr>
        <w:t>39.1.</w:t>
      </w:r>
      <w:r w:rsidRPr="0071782F">
        <w:rPr>
          <w:lang w:val="fr-CH"/>
        </w:rPr>
        <w:tab/>
      </w:r>
      <w:r w:rsidR="00686673" w:rsidRPr="0071782F">
        <w:rPr>
          <w:lang w:val="fr-CH"/>
        </w:rPr>
        <w:t xml:space="preserve">À étudier des exonérations d’impôts et taxes, pendant la période couverte par le plan, en faveur des employeurs qui réaliseront des investissements dans ces régions conformément à une </w:t>
      </w:r>
      <w:r w:rsidRPr="0071782F">
        <w:rPr>
          <w:lang w:val="fr-CH"/>
        </w:rPr>
        <w:t xml:space="preserve">directive </w:t>
      </w:r>
      <w:r w:rsidR="00686673" w:rsidRPr="0071782F">
        <w:rPr>
          <w:lang w:val="fr-CH"/>
        </w:rPr>
        <w:t xml:space="preserve">que le Ministère des finances </w:t>
      </w:r>
      <w:r w:rsidR="009B748C" w:rsidRPr="0071782F">
        <w:rPr>
          <w:lang w:val="fr-CH"/>
        </w:rPr>
        <w:t xml:space="preserve">et </w:t>
      </w:r>
      <w:r w:rsidR="00686673" w:rsidRPr="0071782F">
        <w:rPr>
          <w:lang w:val="fr-CH"/>
        </w:rPr>
        <w:t xml:space="preserve">des affaires économiques, le Ministère de l’industrie, le </w:t>
      </w:r>
      <w:r w:rsidRPr="0071782F">
        <w:rPr>
          <w:lang w:val="fr-CH"/>
        </w:rPr>
        <w:t>Minist</w:t>
      </w:r>
      <w:r w:rsidR="00686673" w:rsidRPr="0071782F">
        <w:rPr>
          <w:lang w:val="fr-CH"/>
        </w:rPr>
        <w:t>ère du travail et des affaires sociales et l’Organisation chargée du budget et du Plan présenteront au Conseil des ministres pour approbation.</w:t>
      </w:r>
      <w:r w:rsidR="00D36718">
        <w:rPr>
          <w:lang w:val="fr-CH"/>
        </w:rPr>
        <w:t xml:space="preserve"> </w:t>
      </w:r>
    </w:p>
    <w:p w:rsidR="00472BB3" w:rsidRPr="0071782F" w:rsidRDefault="00472BB3" w:rsidP="00430415">
      <w:pPr>
        <w:pStyle w:val="SingleTxtG"/>
        <w:ind w:left="1701"/>
        <w:rPr>
          <w:lang w:val="fr-CH"/>
        </w:rPr>
      </w:pPr>
      <w:r w:rsidRPr="0071782F">
        <w:rPr>
          <w:lang w:val="fr-CH"/>
        </w:rPr>
        <w:t>39.2.</w:t>
      </w:r>
      <w:r w:rsidRPr="0071782F">
        <w:rPr>
          <w:lang w:val="fr-CH"/>
        </w:rPr>
        <w:tab/>
      </w:r>
      <w:r w:rsidR="00686673" w:rsidRPr="0071782F">
        <w:rPr>
          <w:lang w:val="fr-CH"/>
        </w:rPr>
        <w:t xml:space="preserve">À </w:t>
      </w:r>
      <w:r w:rsidR="0087597A" w:rsidRPr="0071782F">
        <w:rPr>
          <w:lang w:val="fr-CH"/>
        </w:rPr>
        <w:t xml:space="preserve">prendre à sa charge une partie des intérêts sur les </w:t>
      </w:r>
      <w:r w:rsidR="001C1B4E" w:rsidRPr="0071782F">
        <w:rPr>
          <w:lang w:val="fr-CH"/>
        </w:rPr>
        <w:t xml:space="preserve">prêts </w:t>
      </w:r>
      <w:r w:rsidR="0087597A" w:rsidRPr="0071782F">
        <w:rPr>
          <w:lang w:val="fr-CH"/>
        </w:rPr>
        <w:t>consentis aux investisseurs du secteur privé et aux coopératives, y compris les coopératives de services aux producteurs, de production rurale et d’exploitation des ressources naturelles, ainsi qu’aux entrepreneurs individuels</w:t>
      </w:r>
      <w:r w:rsidRPr="0071782F">
        <w:rPr>
          <w:lang w:val="fr-CH"/>
        </w:rPr>
        <w:t xml:space="preserve">. </w:t>
      </w:r>
    </w:p>
    <w:p w:rsidR="00472BB3" w:rsidRPr="0071782F" w:rsidRDefault="00472BB3" w:rsidP="00430415">
      <w:pPr>
        <w:pStyle w:val="SingleTxtG"/>
        <w:ind w:left="1701"/>
        <w:rPr>
          <w:lang w:val="fr-CH"/>
        </w:rPr>
      </w:pPr>
      <w:r w:rsidRPr="0071782F">
        <w:rPr>
          <w:lang w:val="fr-CH"/>
        </w:rPr>
        <w:t>39.3.</w:t>
      </w:r>
      <w:r w:rsidRPr="0071782F">
        <w:rPr>
          <w:lang w:val="fr-CH"/>
        </w:rPr>
        <w:tab/>
      </w:r>
      <w:r w:rsidR="00686673" w:rsidRPr="0071782F">
        <w:rPr>
          <w:lang w:val="fr-CH"/>
        </w:rPr>
        <w:t>À</w:t>
      </w:r>
      <w:r w:rsidR="0087597A" w:rsidRPr="0071782F">
        <w:rPr>
          <w:lang w:val="fr-CH"/>
        </w:rPr>
        <w:t xml:space="preserve"> répartir les crédits accordés dans le cadre des budgets annuels et des directives d’exécution</w:t>
      </w:r>
      <w:r w:rsidR="00686673" w:rsidRPr="0071782F">
        <w:rPr>
          <w:lang w:val="fr-CH"/>
        </w:rPr>
        <w:t xml:space="preserve"> </w:t>
      </w:r>
      <w:r w:rsidR="0087597A" w:rsidRPr="0071782F">
        <w:rPr>
          <w:lang w:val="fr-CH"/>
        </w:rPr>
        <w:t xml:space="preserve">de manière que la part des régions peu développées augmente en raison directe de leurs taux de chômage respectifs, pour faire en sorte que la pénurie d’emplois observée dans ces régions soit </w:t>
      </w:r>
      <w:r w:rsidR="00871CBE" w:rsidRPr="0071782F">
        <w:rPr>
          <w:lang w:val="fr-CH"/>
        </w:rPr>
        <w:t>résorb</w:t>
      </w:r>
      <w:r w:rsidR="0087597A" w:rsidRPr="0071782F">
        <w:rPr>
          <w:lang w:val="fr-CH"/>
        </w:rPr>
        <w:t>ée d’ici à la fin du plan</w:t>
      </w:r>
      <w:r w:rsidRPr="0071782F">
        <w:rPr>
          <w:lang w:val="fr-CH"/>
        </w:rPr>
        <w:t>.</w:t>
      </w:r>
    </w:p>
    <w:p w:rsidR="00472BB3" w:rsidRPr="0071782F" w:rsidRDefault="00472BB3" w:rsidP="00430415">
      <w:pPr>
        <w:pStyle w:val="H1G"/>
        <w:rPr>
          <w:lang w:val="fr-CH"/>
        </w:rPr>
      </w:pPr>
      <w:r w:rsidRPr="0071782F">
        <w:rPr>
          <w:lang w:val="fr-CH"/>
        </w:rPr>
        <w:tab/>
      </w:r>
      <w:r w:rsidRPr="0071782F">
        <w:rPr>
          <w:lang w:val="fr-CH"/>
        </w:rPr>
        <w:tab/>
      </w:r>
      <w:r w:rsidR="00943A69" w:rsidRPr="0071782F">
        <w:rPr>
          <w:lang w:val="fr-CH"/>
        </w:rPr>
        <w:t>Article </w:t>
      </w:r>
      <w:r w:rsidRPr="0071782F">
        <w:rPr>
          <w:lang w:val="fr-CH"/>
        </w:rPr>
        <w:t xml:space="preserve">51 </w:t>
      </w:r>
      <w:r w:rsidR="00871CBE" w:rsidRPr="0071782F">
        <w:rPr>
          <w:lang w:val="fr-CH"/>
        </w:rPr>
        <w:t xml:space="preserve">du </w:t>
      </w:r>
      <w:r w:rsidR="009E6189">
        <w:rPr>
          <w:lang w:val="fr-CH"/>
        </w:rPr>
        <w:t>troisième plan</w:t>
      </w:r>
      <w:r w:rsidR="00871CBE" w:rsidRPr="0071782F">
        <w:rPr>
          <w:lang w:val="fr-CH"/>
        </w:rPr>
        <w:t xml:space="preserve"> de développement </w:t>
      </w:r>
    </w:p>
    <w:p w:rsidR="00472BB3" w:rsidRPr="0071782F" w:rsidRDefault="00472BB3" w:rsidP="00472BB3">
      <w:pPr>
        <w:pStyle w:val="SingleTxtG"/>
        <w:rPr>
          <w:lang w:val="fr-CH"/>
        </w:rPr>
      </w:pPr>
      <w:r w:rsidRPr="0071782F">
        <w:rPr>
          <w:lang w:val="fr-CH"/>
        </w:rPr>
        <w:t>40.</w:t>
      </w:r>
      <w:r w:rsidRPr="0071782F">
        <w:rPr>
          <w:lang w:val="fr-CH"/>
        </w:rPr>
        <w:tab/>
      </w:r>
      <w:r w:rsidR="003E2399" w:rsidRPr="0071782F">
        <w:rPr>
          <w:lang w:val="fr-CH"/>
        </w:rPr>
        <w:t xml:space="preserve">Afin de développer </w:t>
      </w:r>
      <w:r w:rsidRPr="0071782F">
        <w:rPr>
          <w:lang w:val="fr-CH"/>
        </w:rPr>
        <w:t>quantit</w:t>
      </w:r>
      <w:r w:rsidR="003E2399" w:rsidRPr="0071782F">
        <w:rPr>
          <w:lang w:val="fr-CH"/>
        </w:rPr>
        <w:t xml:space="preserve">ativement et </w:t>
      </w:r>
      <w:r w:rsidRPr="0071782F">
        <w:rPr>
          <w:lang w:val="fr-CH"/>
        </w:rPr>
        <w:t>qualit</w:t>
      </w:r>
      <w:r w:rsidR="003E2399" w:rsidRPr="0071782F">
        <w:rPr>
          <w:lang w:val="fr-CH"/>
        </w:rPr>
        <w:t>ativement les compétences techniques et professionnelles de la main-d’</w:t>
      </w:r>
      <w:r w:rsidR="00D5366B" w:rsidRPr="0071782F">
        <w:rPr>
          <w:lang w:val="fr-CH"/>
        </w:rPr>
        <w:t>œuvre</w:t>
      </w:r>
      <w:r w:rsidR="003E2399" w:rsidRPr="0071782F">
        <w:rPr>
          <w:lang w:val="fr-CH"/>
        </w:rPr>
        <w:t xml:space="preserve"> et permettre aux différents groupes d’acquérir des aptitudes diverses</w:t>
      </w:r>
      <w:r w:rsidRPr="0071782F">
        <w:rPr>
          <w:lang w:val="fr-CH"/>
        </w:rPr>
        <w:t xml:space="preserve">, </w:t>
      </w:r>
      <w:r w:rsidR="003E2399" w:rsidRPr="0071782F">
        <w:rPr>
          <w:lang w:val="fr-CH"/>
        </w:rPr>
        <w:t xml:space="preserve">l’État est tenu </w:t>
      </w:r>
      <w:r w:rsidR="001C1B4E" w:rsidRPr="0071782F">
        <w:rPr>
          <w:lang w:val="fr-CH"/>
        </w:rPr>
        <w:t>d’allouer</w:t>
      </w:r>
      <w:r w:rsidR="003E2399" w:rsidRPr="0071782F">
        <w:rPr>
          <w:lang w:val="fr-CH"/>
        </w:rPr>
        <w:t xml:space="preserve"> une partie des </w:t>
      </w:r>
      <w:r w:rsidR="001C1B4E" w:rsidRPr="0071782F">
        <w:rPr>
          <w:lang w:val="fr-CH"/>
        </w:rPr>
        <w:t xml:space="preserve">bonifications d’intérêts sur les prêts consentis </w:t>
      </w:r>
      <w:r w:rsidR="003E2399" w:rsidRPr="0071782F">
        <w:rPr>
          <w:lang w:val="fr-CH"/>
        </w:rPr>
        <w:t xml:space="preserve">aux investisseurs </w:t>
      </w:r>
      <w:r w:rsidR="00A61696" w:rsidRPr="0071782F">
        <w:rPr>
          <w:lang w:val="fr-CH"/>
        </w:rPr>
        <w:t>du</w:t>
      </w:r>
      <w:r w:rsidR="003E2399" w:rsidRPr="0071782F">
        <w:rPr>
          <w:lang w:val="fr-CH"/>
        </w:rPr>
        <w:t xml:space="preserve"> secteur privé et </w:t>
      </w:r>
      <w:r w:rsidR="00A61696" w:rsidRPr="0071782F">
        <w:rPr>
          <w:lang w:val="fr-CH"/>
        </w:rPr>
        <w:t xml:space="preserve">du secteur des </w:t>
      </w:r>
      <w:r w:rsidR="003E2399" w:rsidRPr="0071782F">
        <w:rPr>
          <w:lang w:val="fr-CH"/>
        </w:rPr>
        <w:t>coopérati</w:t>
      </w:r>
      <w:r w:rsidR="00A61696" w:rsidRPr="0071782F">
        <w:rPr>
          <w:lang w:val="fr-CH"/>
        </w:rPr>
        <w:t>ves</w:t>
      </w:r>
      <w:r w:rsidR="003E2399" w:rsidRPr="0071782F">
        <w:rPr>
          <w:lang w:val="fr-CH"/>
        </w:rPr>
        <w:t xml:space="preserve"> qui créent des </w:t>
      </w:r>
      <w:r w:rsidR="001C1B4E" w:rsidRPr="0071782F">
        <w:rPr>
          <w:lang w:val="fr-CH"/>
        </w:rPr>
        <w:t xml:space="preserve">centres </w:t>
      </w:r>
      <w:r w:rsidR="003E2399" w:rsidRPr="0071782F">
        <w:rPr>
          <w:lang w:val="fr-CH"/>
        </w:rPr>
        <w:t>de formation technique et professionnelle.</w:t>
      </w:r>
      <w:r w:rsidRPr="0071782F">
        <w:rPr>
          <w:lang w:val="fr-CH"/>
        </w:rPr>
        <w:t xml:space="preserve"> </w:t>
      </w:r>
    </w:p>
    <w:p w:rsidR="00472BB3" w:rsidRPr="0071782F" w:rsidRDefault="00472BB3" w:rsidP="00430415">
      <w:pPr>
        <w:pStyle w:val="H1G"/>
        <w:rPr>
          <w:lang w:val="fr-CH"/>
        </w:rPr>
      </w:pPr>
      <w:r w:rsidRPr="0071782F">
        <w:rPr>
          <w:lang w:val="fr-CH"/>
        </w:rPr>
        <w:tab/>
      </w:r>
      <w:r w:rsidRPr="0071782F">
        <w:rPr>
          <w:lang w:val="fr-CH"/>
        </w:rPr>
        <w:tab/>
      </w:r>
      <w:r w:rsidR="00943A69" w:rsidRPr="0071782F">
        <w:rPr>
          <w:lang w:val="fr-CH"/>
        </w:rPr>
        <w:t>Article </w:t>
      </w:r>
      <w:r w:rsidRPr="0071782F">
        <w:rPr>
          <w:lang w:val="fr-CH"/>
        </w:rPr>
        <w:t xml:space="preserve">71 </w:t>
      </w:r>
      <w:r w:rsidR="003E2399" w:rsidRPr="0071782F">
        <w:rPr>
          <w:lang w:val="fr-CH"/>
        </w:rPr>
        <w:t xml:space="preserve">du </w:t>
      </w:r>
      <w:r w:rsidR="009E6189">
        <w:rPr>
          <w:lang w:val="fr-CH"/>
        </w:rPr>
        <w:t>troisième plan</w:t>
      </w:r>
      <w:r w:rsidR="003E2399" w:rsidRPr="0071782F">
        <w:rPr>
          <w:lang w:val="fr-CH"/>
        </w:rPr>
        <w:t xml:space="preserve"> de développement</w:t>
      </w:r>
    </w:p>
    <w:p w:rsidR="00472BB3" w:rsidRPr="0071782F" w:rsidRDefault="00472BB3" w:rsidP="00472BB3">
      <w:pPr>
        <w:pStyle w:val="SingleTxtG"/>
        <w:rPr>
          <w:lang w:val="fr-CH"/>
        </w:rPr>
      </w:pPr>
      <w:r w:rsidRPr="0071782F">
        <w:rPr>
          <w:lang w:val="fr-CH"/>
        </w:rPr>
        <w:t>41.</w:t>
      </w:r>
      <w:r w:rsidRPr="0071782F">
        <w:rPr>
          <w:lang w:val="fr-CH"/>
        </w:rPr>
        <w:tab/>
      </w:r>
      <w:r w:rsidR="003E2399" w:rsidRPr="0071782F">
        <w:rPr>
          <w:lang w:val="fr-CH"/>
        </w:rPr>
        <w:t>Les conseils d’aménagement p</w:t>
      </w:r>
      <w:r w:rsidRPr="0071782F">
        <w:rPr>
          <w:lang w:val="fr-CH"/>
        </w:rPr>
        <w:t xml:space="preserve">rovincial </w:t>
      </w:r>
      <w:r w:rsidR="003E2399" w:rsidRPr="0071782F">
        <w:rPr>
          <w:lang w:val="fr-CH"/>
        </w:rPr>
        <w:t>doivent</w:t>
      </w:r>
      <w:r w:rsidR="008F7D33" w:rsidRPr="0071782F">
        <w:rPr>
          <w:lang w:val="fr-CH"/>
        </w:rPr>
        <w:t>:</w:t>
      </w:r>
    </w:p>
    <w:p w:rsidR="00472BB3" w:rsidRPr="0071782F" w:rsidRDefault="00472BB3" w:rsidP="00430415">
      <w:pPr>
        <w:pStyle w:val="SingleTxtG"/>
        <w:ind w:left="1701"/>
        <w:rPr>
          <w:lang w:val="fr-CH"/>
        </w:rPr>
      </w:pPr>
      <w:r w:rsidRPr="0071782F">
        <w:rPr>
          <w:lang w:val="fr-CH"/>
        </w:rPr>
        <w:t>41.1.</w:t>
      </w:r>
      <w:r w:rsidRPr="0071782F">
        <w:rPr>
          <w:lang w:val="fr-CH"/>
        </w:rPr>
        <w:tab/>
      </w:r>
      <w:r w:rsidR="003E2399" w:rsidRPr="0071782F">
        <w:rPr>
          <w:lang w:val="fr-CH"/>
        </w:rPr>
        <w:t xml:space="preserve">Étudier la </w:t>
      </w:r>
      <w:r w:rsidRPr="0071782F">
        <w:rPr>
          <w:lang w:val="fr-CH"/>
        </w:rPr>
        <w:t xml:space="preserve">situation </w:t>
      </w:r>
      <w:r w:rsidR="003E2399" w:rsidRPr="0071782F">
        <w:rPr>
          <w:lang w:val="fr-CH"/>
        </w:rPr>
        <w:t xml:space="preserve">de l’emploi à l’échelon </w:t>
      </w:r>
      <w:r w:rsidRPr="0071782F">
        <w:rPr>
          <w:lang w:val="fr-CH"/>
        </w:rPr>
        <w:t xml:space="preserve">provincial </w:t>
      </w:r>
      <w:r w:rsidR="003E2399" w:rsidRPr="0071782F">
        <w:rPr>
          <w:lang w:val="fr-CH"/>
        </w:rPr>
        <w:t>et mettre en place certaines mesures propres à inciter les investisseurs à investir dans des programmes de création d’emplois</w:t>
      </w:r>
      <w:r w:rsidRPr="0071782F">
        <w:rPr>
          <w:lang w:val="fr-CH"/>
        </w:rPr>
        <w:t xml:space="preserve">. </w:t>
      </w:r>
    </w:p>
    <w:p w:rsidR="00472BB3" w:rsidRPr="0071782F" w:rsidRDefault="00472BB3" w:rsidP="00430415">
      <w:pPr>
        <w:pStyle w:val="H1G"/>
        <w:rPr>
          <w:lang w:val="fr-CH"/>
        </w:rPr>
      </w:pPr>
      <w:r w:rsidRPr="0071782F">
        <w:rPr>
          <w:lang w:val="fr-CH"/>
        </w:rPr>
        <w:tab/>
      </w:r>
      <w:r w:rsidRPr="0071782F">
        <w:rPr>
          <w:lang w:val="fr-CH"/>
        </w:rPr>
        <w:tab/>
      </w:r>
      <w:r w:rsidR="003E2399" w:rsidRPr="0071782F">
        <w:rPr>
          <w:lang w:val="fr-CH"/>
        </w:rPr>
        <w:t>Plan stratégique sur 20</w:t>
      </w:r>
      <w:r w:rsidR="00D82C96" w:rsidRPr="0071782F">
        <w:rPr>
          <w:lang w:val="fr-CH"/>
        </w:rPr>
        <w:t> ans</w:t>
      </w:r>
      <w:r w:rsidR="003E2399" w:rsidRPr="0071782F">
        <w:rPr>
          <w:lang w:val="fr-CH"/>
        </w:rPr>
        <w:t xml:space="preserve"> pour le développement de l’Iran </w:t>
      </w:r>
      <w:r w:rsidRPr="0071782F">
        <w:rPr>
          <w:lang w:val="fr-CH"/>
        </w:rPr>
        <w:t>(2025)</w:t>
      </w:r>
    </w:p>
    <w:p w:rsidR="00472BB3" w:rsidRPr="0071782F" w:rsidRDefault="00472BB3" w:rsidP="00472BB3">
      <w:pPr>
        <w:pStyle w:val="SingleTxtG"/>
        <w:rPr>
          <w:lang w:val="fr-CH"/>
        </w:rPr>
      </w:pPr>
      <w:r w:rsidRPr="0071782F">
        <w:rPr>
          <w:lang w:val="fr-CH"/>
        </w:rPr>
        <w:t>42.</w:t>
      </w:r>
      <w:r w:rsidRPr="0071782F">
        <w:rPr>
          <w:lang w:val="fr-CH"/>
        </w:rPr>
        <w:tab/>
      </w:r>
      <w:r w:rsidR="003E2399" w:rsidRPr="0071782F">
        <w:rPr>
          <w:lang w:val="fr-CH"/>
        </w:rPr>
        <w:t>Dans la partie qu’il consacre à l’économie, le texte du Plan stratégique sur 20</w:t>
      </w:r>
      <w:r w:rsidR="00D82C96" w:rsidRPr="0071782F">
        <w:rPr>
          <w:lang w:val="fr-CH"/>
        </w:rPr>
        <w:t> ans</w:t>
      </w:r>
      <w:r w:rsidR="003E2399" w:rsidRPr="0071782F">
        <w:rPr>
          <w:lang w:val="fr-CH"/>
        </w:rPr>
        <w:t xml:space="preserve"> pour le développement de l’Iran a souligné l’</w:t>
      </w:r>
      <w:r w:rsidRPr="0071782F">
        <w:rPr>
          <w:lang w:val="fr-CH"/>
        </w:rPr>
        <w:t xml:space="preserve">importance </w:t>
      </w:r>
      <w:r w:rsidR="003E2399" w:rsidRPr="0071782F">
        <w:rPr>
          <w:lang w:val="fr-CH"/>
        </w:rPr>
        <w:t>de la</w:t>
      </w:r>
      <w:r w:rsidRPr="0071782F">
        <w:rPr>
          <w:lang w:val="fr-CH"/>
        </w:rPr>
        <w:t xml:space="preserve"> </w:t>
      </w:r>
      <w:r w:rsidR="00A62149" w:rsidRPr="0071782F">
        <w:rPr>
          <w:lang w:val="fr-CH"/>
        </w:rPr>
        <w:t>"</w:t>
      </w:r>
      <w:r w:rsidRPr="0071782F">
        <w:rPr>
          <w:lang w:val="fr-CH"/>
        </w:rPr>
        <w:t>cr</w:t>
      </w:r>
      <w:r w:rsidR="003E2399" w:rsidRPr="0071782F">
        <w:rPr>
          <w:lang w:val="fr-CH"/>
        </w:rPr>
        <w:t>é</w:t>
      </w:r>
      <w:r w:rsidRPr="0071782F">
        <w:rPr>
          <w:lang w:val="fr-CH"/>
        </w:rPr>
        <w:t xml:space="preserve">ation </w:t>
      </w:r>
      <w:r w:rsidR="003E2399" w:rsidRPr="0071782F">
        <w:rPr>
          <w:lang w:val="fr-CH"/>
        </w:rPr>
        <w:t xml:space="preserve">d’emplois productifs et (de la) </w:t>
      </w:r>
      <w:r w:rsidRPr="0071782F">
        <w:rPr>
          <w:lang w:val="fr-CH"/>
        </w:rPr>
        <w:t>r</w:t>
      </w:r>
      <w:r w:rsidR="003E2399" w:rsidRPr="0071782F">
        <w:rPr>
          <w:lang w:val="fr-CH"/>
        </w:rPr>
        <w:t>é</w:t>
      </w:r>
      <w:r w:rsidRPr="0071782F">
        <w:rPr>
          <w:lang w:val="fr-CH"/>
        </w:rPr>
        <w:t xml:space="preserve">duction </w:t>
      </w:r>
      <w:r w:rsidR="003E2399" w:rsidRPr="0071782F">
        <w:rPr>
          <w:lang w:val="fr-CH"/>
        </w:rPr>
        <w:t>du taux de chômage</w:t>
      </w:r>
      <w:r w:rsidR="00A62149" w:rsidRPr="0071782F">
        <w:rPr>
          <w:lang w:val="fr-CH"/>
        </w:rPr>
        <w:t>"</w:t>
      </w:r>
      <w:r w:rsidRPr="0071782F">
        <w:rPr>
          <w:lang w:val="fr-CH"/>
        </w:rPr>
        <w:t xml:space="preserve"> </w:t>
      </w:r>
      <w:r w:rsidR="003E2399" w:rsidRPr="0071782F">
        <w:rPr>
          <w:lang w:val="fr-CH"/>
        </w:rPr>
        <w:t>comme étant l’objet primordial du développement économique du pays</w:t>
      </w:r>
      <w:r w:rsidRPr="0071782F">
        <w:rPr>
          <w:lang w:val="fr-CH"/>
        </w:rPr>
        <w:t xml:space="preserve">. </w:t>
      </w:r>
    </w:p>
    <w:p w:rsidR="00472BB3" w:rsidRPr="0071782F" w:rsidRDefault="00472BB3" w:rsidP="00430415">
      <w:pPr>
        <w:pStyle w:val="H1G"/>
        <w:rPr>
          <w:lang w:val="fr-CH"/>
        </w:rPr>
      </w:pPr>
      <w:r w:rsidRPr="0071782F">
        <w:rPr>
          <w:lang w:val="fr-CH"/>
        </w:rPr>
        <w:tab/>
      </w:r>
      <w:r w:rsidRPr="0071782F">
        <w:rPr>
          <w:lang w:val="fr-CH"/>
        </w:rPr>
        <w:tab/>
      </w:r>
      <w:r w:rsidR="003E2399" w:rsidRPr="0071782F">
        <w:rPr>
          <w:lang w:val="fr-CH"/>
        </w:rPr>
        <w:t xml:space="preserve">Instruments des politiques officielles concernant le marché du travail </w:t>
      </w:r>
    </w:p>
    <w:p w:rsidR="00472BB3" w:rsidRPr="0071782F" w:rsidRDefault="00472BB3" w:rsidP="00472BB3">
      <w:pPr>
        <w:pStyle w:val="SingleTxtG"/>
        <w:rPr>
          <w:lang w:val="fr-CH"/>
        </w:rPr>
      </w:pPr>
      <w:r w:rsidRPr="0071782F">
        <w:rPr>
          <w:lang w:val="fr-CH"/>
        </w:rPr>
        <w:t>43.</w:t>
      </w:r>
      <w:r w:rsidRPr="0071782F">
        <w:rPr>
          <w:lang w:val="fr-CH"/>
        </w:rPr>
        <w:tab/>
      </w:r>
      <w:r w:rsidR="00A048EF" w:rsidRPr="0071782F">
        <w:rPr>
          <w:lang w:val="fr-CH"/>
        </w:rPr>
        <w:t xml:space="preserve">Développement de l’emploi productif durable et </w:t>
      </w:r>
      <w:r w:rsidRPr="0071782F">
        <w:rPr>
          <w:lang w:val="fr-CH"/>
        </w:rPr>
        <w:t>pr</w:t>
      </w:r>
      <w:r w:rsidR="00A048EF" w:rsidRPr="0071782F">
        <w:rPr>
          <w:lang w:val="fr-CH"/>
        </w:rPr>
        <w:t>é</w:t>
      </w:r>
      <w:r w:rsidRPr="0071782F">
        <w:rPr>
          <w:lang w:val="fr-CH"/>
        </w:rPr>
        <w:t xml:space="preserve">servation </w:t>
      </w:r>
      <w:r w:rsidR="00A048EF" w:rsidRPr="0071782F">
        <w:rPr>
          <w:lang w:val="fr-CH"/>
        </w:rPr>
        <w:t xml:space="preserve">des capacités d’emploi actuelles en encourageant le secteur non public (secteur privé et </w:t>
      </w:r>
      <w:r w:rsidRPr="0071782F">
        <w:rPr>
          <w:lang w:val="fr-CH"/>
        </w:rPr>
        <w:t>coop</w:t>
      </w:r>
      <w:r w:rsidR="00A048EF" w:rsidRPr="0071782F">
        <w:rPr>
          <w:lang w:val="fr-CH"/>
        </w:rPr>
        <w:t>é</w:t>
      </w:r>
      <w:r w:rsidRPr="0071782F">
        <w:rPr>
          <w:lang w:val="fr-CH"/>
        </w:rPr>
        <w:t xml:space="preserve">ratives) </w:t>
      </w:r>
      <w:r w:rsidR="00A048EF" w:rsidRPr="0071782F">
        <w:rPr>
          <w:lang w:val="fr-CH"/>
        </w:rPr>
        <w:t>à se lancer dans des projets productifs dans les secteurs de l’</w:t>
      </w:r>
      <w:r w:rsidRPr="0071782F">
        <w:rPr>
          <w:lang w:val="fr-CH"/>
        </w:rPr>
        <w:t xml:space="preserve">agriculture, </w:t>
      </w:r>
      <w:r w:rsidR="00A048EF" w:rsidRPr="0071782F">
        <w:rPr>
          <w:lang w:val="fr-CH"/>
        </w:rPr>
        <w:t xml:space="preserve">de l’élevage, de l’industrie, de l’industrie minière, du logement et de la </w:t>
      </w:r>
      <w:r w:rsidRPr="0071782F">
        <w:rPr>
          <w:lang w:val="fr-CH"/>
        </w:rPr>
        <w:t xml:space="preserve">construction, </w:t>
      </w:r>
      <w:r w:rsidR="00A048EF" w:rsidRPr="0071782F">
        <w:rPr>
          <w:lang w:val="fr-CH"/>
        </w:rPr>
        <w:t xml:space="preserve">et les coopératives de services aux producteurs ruraux à exercer des activités dans la petite industrie, des projets de création d’emplois et d’entreprises individuelles, et l’exploitation des ressources naturelles en employant en priorité les anciens combattants, les jeunes, les diplômés de l’université, les femmes soutiens </w:t>
      </w:r>
      <w:r w:rsidR="0092511D" w:rsidRPr="0071782F">
        <w:rPr>
          <w:lang w:val="fr-CH"/>
        </w:rPr>
        <w:t>de famille</w:t>
      </w:r>
      <w:r w:rsidR="00A048EF" w:rsidRPr="0071782F">
        <w:rPr>
          <w:lang w:val="fr-CH"/>
        </w:rPr>
        <w:t xml:space="preserve"> et les chômeurs résidant dans des villages et des régions à fort taux de chômage, ce en répartissant comme suit les crédits de développement</w:t>
      </w:r>
      <w:r w:rsidR="008F7D33" w:rsidRPr="0071782F">
        <w:rPr>
          <w:lang w:val="fr-CH"/>
        </w:rPr>
        <w:t>:</w:t>
      </w:r>
    </w:p>
    <w:p w:rsidR="00472BB3" w:rsidRPr="0071782F" w:rsidRDefault="00472BB3" w:rsidP="00430415">
      <w:pPr>
        <w:pStyle w:val="SingleTxtG"/>
        <w:ind w:left="1701"/>
        <w:rPr>
          <w:lang w:val="fr-CH"/>
        </w:rPr>
      </w:pPr>
      <w:r w:rsidRPr="0071782F">
        <w:rPr>
          <w:lang w:val="fr-CH"/>
        </w:rPr>
        <w:t>43.1.</w:t>
      </w:r>
      <w:r w:rsidRPr="0071782F">
        <w:rPr>
          <w:lang w:val="fr-CH"/>
        </w:rPr>
        <w:tab/>
      </w:r>
      <w:r w:rsidR="00A048EF" w:rsidRPr="0071782F">
        <w:rPr>
          <w:lang w:val="fr-CH"/>
        </w:rPr>
        <w:t xml:space="preserve">Fourniture de crédits aux investisseurs potentiels dans les petites </w:t>
      </w:r>
      <w:r w:rsidRPr="0071782F">
        <w:rPr>
          <w:lang w:val="fr-CH"/>
        </w:rPr>
        <w:t xml:space="preserve">industries </w:t>
      </w:r>
      <w:r w:rsidR="00A048EF" w:rsidRPr="0071782F">
        <w:rPr>
          <w:lang w:val="fr-CH"/>
        </w:rPr>
        <w:t>et les projets de création d’emplois</w:t>
      </w:r>
      <w:r w:rsidR="00A57DDF" w:rsidRPr="0071782F">
        <w:rPr>
          <w:lang w:val="fr-CH"/>
        </w:rPr>
        <w:t>.</w:t>
      </w:r>
    </w:p>
    <w:p w:rsidR="00472BB3" w:rsidRPr="0071782F" w:rsidRDefault="00472BB3" w:rsidP="00430415">
      <w:pPr>
        <w:pStyle w:val="SingleTxtG"/>
        <w:ind w:left="1701"/>
        <w:rPr>
          <w:lang w:val="fr-CH"/>
        </w:rPr>
      </w:pPr>
      <w:r w:rsidRPr="0071782F">
        <w:rPr>
          <w:lang w:val="fr-CH"/>
        </w:rPr>
        <w:t>43.2.</w:t>
      </w:r>
      <w:r w:rsidRPr="0071782F">
        <w:rPr>
          <w:lang w:val="fr-CH"/>
        </w:rPr>
        <w:tab/>
      </w:r>
      <w:r w:rsidR="00A048EF" w:rsidRPr="0071782F">
        <w:rPr>
          <w:lang w:val="fr-CH"/>
        </w:rPr>
        <w:t>Possibilité de réduction et d’exonération d’impôts et de taxes pour les entités qui investissent dans les régions peu développées.</w:t>
      </w:r>
    </w:p>
    <w:p w:rsidR="00472BB3" w:rsidRPr="0071782F" w:rsidRDefault="00472BB3" w:rsidP="00430415">
      <w:pPr>
        <w:pStyle w:val="SingleTxtG"/>
        <w:ind w:left="1701"/>
        <w:rPr>
          <w:lang w:val="fr-CH"/>
        </w:rPr>
      </w:pPr>
      <w:r w:rsidRPr="0071782F">
        <w:rPr>
          <w:lang w:val="fr-CH"/>
        </w:rPr>
        <w:t>43.3.</w:t>
      </w:r>
      <w:r w:rsidRPr="0071782F">
        <w:rPr>
          <w:lang w:val="fr-CH"/>
        </w:rPr>
        <w:tab/>
        <w:t xml:space="preserve">Adoption </w:t>
      </w:r>
      <w:r w:rsidR="00A048EF" w:rsidRPr="0071782F">
        <w:rPr>
          <w:lang w:val="fr-CH"/>
        </w:rPr>
        <w:t>de mesures d’appui, parmi lesquelles des réductions d’impôt</w:t>
      </w:r>
      <w:r w:rsidR="00685B1F" w:rsidRPr="0071782F">
        <w:rPr>
          <w:lang w:val="fr-CH"/>
        </w:rPr>
        <w:t xml:space="preserve"> et de charges sociales </w:t>
      </w:r>
      <w:r w:rsidR="00A048EF" w:rsidRPr="0071782F">
        <w:rPr>
          <w:lang w:val="fr-CH"/>
        </w:rPr>
        <w:t>et la bonification des taux d’intérêts des crédits bancaires en faveur</w:t>
      </w:r>
      <w:r w:rsidR="00D36718">
        <w:rPr>
          <w:lang w:val="fr-CH"/>
        </w:rPr>
        <w:t xml:space="preserve"> </w:t>
      </w:r>
      <w:r w:rsidR="00A048EF" w:rsidRPr="0071782F">
        <w:rPr>
          <w:lang w:val="fr-CH"/>
        </w:rPr>
        <w:t>des employeurs qui recrutent la main-d’</w:t>
      </w:r>
      <w:r w:rsidR="00D5366B" w:rsidRPr="0071782F">
        <w:rPr>
          <w:lang w:val="fr-CH"/>
        </w:rPr>
        <w:t>œuvre</w:t>
      </w:r>
      <w:r w:rsidR="00A048EF" w:rsidRPr="0071782F">
        <w:rPr>
          <w:lang w:val="fr-CH"/>
        </w:rPr>
        <w:t xml:space="preserve"> dont ils ont besoin dans les centres de placement du Ministère du travail et des affaires sociales</w:t>
      </w:r>
      <w:r w:rsidR="00A57DDF" w:rsidRPr="0071782F">
        <w:rPr>
          <w:lang w:val="fr-CH"/>
        </w:rPr>
        <w:t>.</w:t>
      </w:r>
    </w:p>
    <w:p w:rsidR="00472BB3" w:rsidRPr="0071782F" w:rsidRDefault="00472BB3" w:rsidP="00140B27">
      <w:pPr>
        <w:pStyle w:val="SingleTxtG"/>
        <w:ind w:left="1701"/>
        <w:rPr>
          <w:lang w:val="fr-CH"/>
        </w:rPr>
      </w:pPr>
      <w:r w:rsidRPr="0071782F">
        <w:rPr>
          <w:lang w:val="fr-CH"/>
        </w:rPr>
        <w:t>4</w:t>
      </w:r>
      <w:r w:rsidR="00140B27" w:rsidRPr="0071782F">
        <w:rPr>
          <w:lang w:val="fr-CH"/>
        </w:rPr>
        <w:t>3</w:t>
      </w:r>
      <w:r w:rsidRPr="0071782F">
        <w:rPr>
          <w:lang w:val="fr-CH"/>
        </w:rPr>
        <w:t>.4.</w:t>
      </w:r>
      <w:r w:rsidRPr="0071782F">
        <w:rPr>
          <w:lang w:val="fr-CH"/>
        </w:rPr>
        <w:tab/>
      </w:r>
      <w:r w:rsidR="00A048EF" w:rsidRPr="0071782F">
        <w:rPr>
          <w:lang w:val="fr-CH"/>
        </w:rPr>
        <w:t xml:space="preserve">Appui à la création de marchés populaires dans les principaux centres d’affaires en vue de créer et développer des emplois productifs individuels et </w:t>
      </w:r>
      <w:r w:rsidR="00A83442">
        <w:rPr>
          <w:lang w:val="fr-CH"/>
        </w:rPr>
        <w:t>des unités</w:t>
      </w:r>
      <w:r w:rsidR="00A048EF" w:rsidRPr="0071782F">
        <w:rPr>
          <w:lang w:val="fr-CH"/>
        </w:rPr>
        <w:t xml:space="preserve"> de production rurales</w:t>
      </w:r>
      <w:r w:rsidR="00A57DDF" w:rsidRPr="0071782F">
        <w:rPr>
          <w:lang w:val="fr-CH"/>
        </w:rPr>
        <w:t>.</w:t>
      </w:r>
      <w:r w:rsidRPr="0071782F">
        <w:rPr>
          <w:lang w:val="fr-CH"/>
        </w:rPr>
        <w:t xml:space="preserve"> </w:t>
      </w:r>
    </w:p>
    <w:p w:rsidR="00472BB3" w:rsidRPr="0071782F" w:rsidRDefault="00472BB3" w:rsidP="00140B27">
      <w:pPr>
        <w:pStyle w:val="SingleTxtG"/>
        <w:ind w:left="1701"/>
        <w:rPr>
          <w:lang w:val="fr-CH"/>
        </w:rPr>
      </w:pPr>
      <w:r w:rsidRPr="0071782F">
        <w:rPr>
          <w:lang w:val="fr-CH"/>
        </w:rPr>
        <w:t>4</w:t>
      </w:r>
      <w:r w:rsidR="00140B27" w:rsidRPr="0071782F">
        <w:rPr>
          <w:lang w:val="fr-CH"/>
        </w:rPr>
        <w:t>3</w:t>
      </w:r>
      <w:r w:rsidRPr="0071782F">
        <w:rPr>
          <w:lang w:val="fr-CH"/>
        </w:rPr>
        <w:t>.5.</w:t>
      </w:r>
      <w:r w:rsidRPr="0071782F">
        <w:rPr>
          <w:lang w:val="fr-CH"/>
        </w:rPr>
        <w:tab/>
      </w:r>
      <w:r w:rsidR="00A048EF" w:rsidRPr="0071782F">
        <w:rPr>
          <w:lang w:val="fr-CH"/>
        </w:rPr>
        <w:t>Lancement par le Centre pour la participation des femmes de la Présidence de programmes visant à créer de nouveaux emplois pour les femmes et à améliorer leur statut au regard de l’emploi</w:t>
      </w:r>
      <w:r w:rsidR="00A57DDF" w:rsidRPr="0071782F">
        <w:rPr>
          <w:lang w:val="fr-CH"/>
        </w:rPr>
        <w:t>.</w:t>
      </w:r>
      <w:r w:rsidRPr="0071782F">
        <w:rPr>
          <w:lang w:val="fr-CH"/>
        </w:rPr>
        <w:t xml:space="preserve"> </w:t>
      </w:r>
    </w:p>
    <w:p w:rsidR="00472BB3" w:rsidRPr="0071782F" w:rsidRDefault="00472BB3" w:rsidP="00140B27">
      <w:pPr>
        <w:pStyle w:val="SingleTxtG"/>
        <w:ind w:left="1701"/>
        <w:rPr>
          <w:lang w:val="fr-CH"/>
        </w:rPr>
      </w:pPr>
      <w:r w:rsidRPr="0071782F">
        <w:rPr>
          <w:lang w:val="fr-CH"/>
        </w:rPr>
        <w:t>4</w:t>
      </w:r>
      <w:r w:rsidR="00140B27" w:rsidRPr="0071782F">
        <w:rPr>
          <w:lang w:val="fr-CH"/>
        </w:rPr>
        <w:t>3</w:t>
      </w:r>
      <w:r w:rsidRPr="0071782F">
        <w:rPr>
          <w:lang w:val="fr-CH"/>
        </w:rPr>
        <w:t>.6.</w:t>
      </w:r>
      <w:r w:rsidRPr="0071782F">
        <w:rPr>
          <w:lang w:val="fr-CH"/>
        </w:rPr>
        <w:tab/>
      </w:r>
      <w:r w:rsidR="00A048EF" w:rsidRPr="0071782F">
        <w:rPr>
          <w:lang w:val="fr-CH"/>
        </w:rPr>
        <w:t xml:space="preserve">Appui à l’emploi des jeunes en aidant les </w:t>
      </w:r>
      <w:r w:rsidRPr="0071782F">
        <w:rPr>
          <w:lang w:val="fr-CH"/>
        </w:rPr>
        <w:t xml:space="preserve">entrepreneurs </w:t>
      </w:r>
      <w:r w:rsidR="00A048EF" w:rsidRPr="0071782F">
        <w:rPr>
          <w:lang w:val="fr-CH"/>
        </w:rPr>
        <w:t>à créer de petites entreprises en finançant une partie de leurs coûts de services consultatifs</w:t>
      </w:r>
      <w:r w:rsidR="00A57DDF" w:rsidRPr="0071782F">
        <w:rPr>
          <w:lang w:val="fr-CH"/>
        </w:rPr>
        <w:t>.</w:t>
      </w:r>
      <w:r w:rsidRPr="0071782F">
        <w:rPr>
          <w:lang w:val="fr-CH"/>
        </w:rPr>
        <w:t xml:space="preserve"> </w:t>
      </w:r>
    </w:p>
    <w:p w:rsidR="00472BB3" w:rsidRPr="0071782F" w:rsidRDefault="00472BB3" w:rsidP="00140B27">
      <w:pPr>
        <w:pStyle w:val="SingleTxtG"/>
        <w:ind w:left="1701"/>
        <w:rPr>
          <w:lang w:val="fr-CH"/>
        </w:rPr>
      </w:pPr>
      <w:r w:rsidRPr="0071782F">
        <w:rPr>
          <w:lang w:val="fr-CH"/>
        </w:rPr>
        <w:t>4</w:t>
      </w:r>
      <w:r w:rsidR="00140B27" w:rsidRPr="0071782F">
        <w:rPr>
          <w:lang w:val="fr-CH"/>
        </w:rPr>
        <w:t>3</w:t>
      </w:r>
      <w:r w:rsidRPr="0071782F">
        <w:rPr>
          <w:lang w:val="fr-CH"/>
        </w:rPr>
        <w:t>.7.</w:t>
      </w:r>
      <w:r w:rsidRPr="0071782F">
        <w:rPr>
          <w:lang w:val="fr-CH"/>
        </w:rPr>
        <w:tab/>
      </w:r>
      <w:r w:rsidR="00A048EF" w:rsidRPr="0071782F">
        <w:rPr>
          <w:lang w:val="fr-CH"/>
        </w:rPr>
        <w:t xml:space="preserve">Appui aux entreprises privées et aux </w:t>
      </w:r>
      <w:r w:rsidRPr="0071782F">
        <w:rPr>
          <w:lang w:val="fr-CH"/>
        </w:rPr>
        <w:t>coop</w:t>
      </w:r>
      <w:r w:rsidR="00A048EF" w:rsidRPr="0071782F">
        <w:rPr>
          <w:lang w:val="fr-CH"/>
        </w:rPr>
        <w:t>é</w:t>
      </w:r>
      <w:r w:rsidRPr="0071782F">
        <w:rPr>
          <w:lang w:val="fr-CH"/>
        </w:rPr>
        <w:t>rative</w:t>
      </w:r>
      <w:r w:rsidR="00A048EF" w:rsidRPr="0071782F">
        <w:rPr>
          <w:lang w:val="fr-CH"/>
        </w:rPr>
        <w:t>s qui investissent dans des centres de formation technique et professionnelle</w:t>
      </w:r>
      <w:r w:rsidRPr="0071782F">
        <w:rPr>
          <w:lang w:val="fr-CH"/>
        </w:rPr>
        <w:t xml:space="preserve"> </w:t>
      </w:r>
      <w:r w:rsidR="00A048EF" w:rsidRPr="0071782F">
        <w:rPr>
          <w:lang w:val="fr-CH"/>
        </w:rPr>
        <w:t>sous la forme de bonification des taux d’intérêts des crédits bancaires, afin de contribuer</w:t>
      </w:r>
      <w:r w:rsidR="00D36718">
        <w:rPr>
          <w:lang w:val="fr-CH"/>
        </w:rPr>
        <w:t xml:space="preserve"> </w:t>
      </w:r>
      <w:r w:rsidR="00A048EF" w:rsidRPr="0071782F">
        <w:rPr>
          <w:lang w:val="fr-CH"/>
        </w:rPr>
        <w:t>à relever quantitativement et qualitativement les compétences professionnelles de la main-d’</w:t>
      </w:r>
      <w:r w:rsidR="00D5366B" w:rsidRPr="0071782F">
        <w:rPr>
          <w:lang w:val="fr-CH"/>
        </w:rPr>
        <w:t>œuvre</w:t>
      </w:r>
      <w:r w:rsidR="00A57DDF" w:rsidRPr="0071782F">
        <w:rPr>
          <w:lang w:val="fr-CH"/>
        </w:rPr>
        <w:t>.</w:t>
      </w:r>
    </w:p>
    <w:p w:rsidR="00472BB3" w:rsidRPr="0071782F" w:rsidRDefault="00472BB3" w:rsidP="00430415">
      <w:pPr>
        <w:pStyle w:val="SingleTxtG"/>
        <w:ind w:left="1701"/>
        <w:rPr>
          <w:lang w:val="fr-CH"/>
        </w:rPr>
      </w:pPr>
      <w:r w:rsidRPr="0071782F">
        <w:rPr>
          <w:lang w:val="fr-CH"/>
        </w:rPr>
        <w:t>43.8.</w:t>
      </w:r>
      <w:r w:rsidRPr="0071782F">
        <w:rPr>
          <w:lang w:val="fr-CH"/>
        </w:rPr>
        <w:tab/>
      </w:r>
      <w:r w:rsidR="00C519B2" w:rsidRPr="0071782F">
        <w:rPr>
          <w:lang w:val="fr-CH"/>
        </w:rPr>
        <w:t>Promotion de l’investissement dans les zones rurales en confiant certaines activités productives aux villages, en particulier aux coopératives rurales reposant sur une assise large</w:t>
      </w:r>
      <w:r w:rsidRPr="0071782F">
        <w:rPr>
          <w:lang w:val="fr-CH"/>
        </w:rPr>
        <w:t xml:space="preserve">. </w:t>
      </w:r>
    </w:p>
    <w:p w:rsidR="00472BB3" w:rsidRPr="0071782F" w:rsidRDefault="00472BB3" w:rsidP="00430415">
      <w:pPr>
        <w:pStyle w:val="H1G"/>
        <w:rPr>
          <w:lang w:val="fr-CH"/>
        </w:rPr>
      </w:pPr>
      <w:r w:rsidRPr="0071782F">
        <w:rPr>
          <w:lang w:val="fr-CH"/>
        </w:rPr>
        <w:tab/>
      </w:r>
      <w:r w:rsidRPr="0071782F">
        <w:rPr>
          <w:lang w:val="fr-CH"/>
        </w:rPr>
        <w:tab/>
      </w:r>
      <w:r w:rsidR="00C519B2" w:rsidRPr="0071782F">
        <w:rPr>
          <w:lang w:val="fr-CH"/>
        </w:rPr>
        <w:t xml:space="preserve">Programmes officiels de création d’emplois </w:t>
      </w:r>
    </w:p>
    <w:p w:rsidR="00472BB3" w:rsidRPr="0071782F" w:rsidRDefault="00472BB3" w:rsidP="00FF7A84">
      <w:pPr>
        <w:pStyle w:val="SingleTxtG"/>
        <w:rPr>
          <w:lang w:val="fr-CH"/>
        </w:rPr>
      </w:pPr>
      <w:r w:rsidRPr="0071782F">
        <w:rPr>
          <w:lang w:val="fr-CH"/>
        </w:rPr>
        <w:t>44.</w:t>
      </w:r>
      <w:r w:rsidRPr="0071782F">
        <w:rPr>
          <w:lang w:val="fr-CH"/>
        </w:rPr>
        <w:tab/>
      </w:r>
      <w:r w:rsidR="0097736B" w:rsidRPr="0071782F">
        <w:rPr>
          <w:lang w:val="fr-CH"/>
        </w:rPr>
        <w:t>Parmi les mesures prises par le gouvernement pour garantir l’efficacité des services de l’emploi, on peut citer le développement quantitatif</w:t>
      </w:r>
      <w:r w:rsidRPr="0071782F">
        <w:rPr>
          <w:lang w:val="fr-CH"/>
        </w:rPr>
        <w:t xml:space="preserve"> </w:t>
      </w:r>
      <w:r w:rsidR="0097736B" w:rsidRPr="0071782F">
        <w:rPr>
          <w:lang w:val="fr-CH"/>
        </w:rPr>
        <w:t>et qualitatif</w:t>
      </w:r>
      <w:r w:rsidRPr="0071782F">
        <w:rPr>
          <w:lang w:val="fr-CH"/>
        </w:rPr>
        <w:t xml:space="preserve"> </w:t>
      </w:r>
      <w:r w:rsidR="0097736B" w:rsidRPr="0071782F">
        <w:rPr>
          <w:lang w:val="fr-CH"/>
        </w:rPr>
        <w:t xml:space="preserve">des centres de placement; en fait, leur nombre a été multiplié par quatre pendant le </w:t>
      </w:r>
      <w:r w:rsidR="00A90208" w:rsidRPr="0071782F">
        <w:rPr>
          <w:lang w:val="fr-CH"/>
        </w:rPr>
        <w:t>quatrième</w:t>
      </w:r>
      <w:r w:rsidR="0097736B" w:rsidRPr="0071782F">
        <w:rPr>
          <w:lang w:val="fr-CH"/>
        </w:rPr>
        <w:t xml:space="preserve"> plan de développement</w:t>
      </w:r>
      <w:r w:rsidR="008F7D33" w:rsidRPr="0071782F">
        <w:rPr>
          <w:lang w:val="fr-CH"/>
        </w:rPr>
        <w:t>:</w:t>
      </w:r>
      <w:r w:rsidR="0097736B" w:rsidRPr="0071782F">
        <w:rPr>
          <w:lang w:val="fr-CH"/>
        </w:rPr>
        <w:t xml:space="preserve"> il en existe à présent 800 dans le pays</w:t>
      </w:r>
      <w:r w:rsidRPr="0071782F">
        <w:rPr>
          <w:lang w:val="fr-CH"/>
        </w:rPr>
        <w:t xml:space="preserve">. </w:t>
      </w:r>
      <w:r w:rsidR="0097736B" w:rsidRPr="0071782F">
        <w:rPr>
          <w:lang w:val="fr-CH"/>
        </w:rPr>
        <w:t>L’accroissement du nombre des centres de placement s’est accompagné d’un développement des services de l’emploi qui y sont fournis, au point que pour la seule année 2008, quelque 279</w:t>
      </w:r>
      <w:r w:rsidR="00C165FB">
        <w:rPr>
          <w:lang w:val="fr-CH"/>
        </w:rPr>
        <w:t> </w:t>
      </w:r>
      <w:r w:rsidRPr="0071782F">
        <w:rPr>
          <w:lang w:val="fr-CH"/>
        </w:rPr>
        <w:t>000</w:t>
      </w:r>
      <w:r w:rsidR="00097CDB" w:rsidRPr="0071782F">
        <w:rPr>
          <w:lang w:val="fr-CH"/>
        </w:rPr>
        <w:t> personnes</w:t>
      </w:r>
      <w:r w:rsidR="0097736B" w:rsidRPr="0071782F">
        <w:rPr>
          <w:lang w:val="fr-CH"/>
        </w:rPr>
        <w:t xml:space="preserve"> ont pu occuper des emplois vacants</w:t>
      </w:r>
      <w:r w:rsidRPr="0071782F">
        <w:rPr>
          <w:lang w:val="fr-CH"/>
        </w:rPr>
        <w:t xml:space="preserve">. </w:t>
      </w:r>
      <w:r w:rsidR="0097736B" w:rsidRPr="0071782F">
        <w:rPr>
          <w:lang w:val="fr-CH"/>
        </w:rPr>
        <w:t xml:space="preserve">Par ailleurs, le Conseil des </w:t>
      </w:r>
      <w:r w:rsidR="000B670F">
        <w:rPr>
          <w:lang w:val="fr-CH"/>
        </w:rPr>
        <w:t>ministres a approuvé en février </w:t>
      </w:r>
      <w:r w:rsidR="0097736B" w:rsidRPr="0071782F">
        <w:rPr>
          <w:lang w:val="fr-CH"/>
        </w:rPr>
        <w:t>2009 la révision de la directive d’exécution concernant les activités de placement non gouvernementales et la République islamique d’Iran a adhéré à la Convention de l’OIT n</w:t>
      </w:r>
      <w:r w:rsidR="00355A59" w:rsidRPr="00355A59">
        <w:rPr>
          <w:vertAlign w:val="superscript"/>
          <w:lang w:val="fr-CH"/>
        </w:rPr>
        <w:t>o</w:t>
      </w:r>
      <w:r w:rsidR="00355A59">
        <w:rPr>
          <w:lang w:val="fr-CH"/>
        </w:rPr>
        <w:t> </w:t>
      </w:r>
      <w:r w:rsidR="0097736B" w:rsidRPr="0071782F">
        <w:rPr>
          <w:lang w:val="fr-CH"/>
        </w:rPr>
        <w:t>142 sur la mise en valeur des ressources humaines</w:t>
      </w:r>
      <w:r w:rsidRPr="0071782F">
        <w:rPr>
          <w:lang w:val="fr-CH"/>
        </w:rPr>
        <w:t xml:space="preserve">. </w:t>
      </w:r>
    </w:p>
    <w:p w:rsidR="00472BB3" w:rsidRPr="0071782F" w:rsidRDefault="00472BB3" w:rsidP="00430415">
      <w:pPr>
        <w:pStyle w:val="H1G"/>
        <w:rPr>
          <w:lang w:val="fr-CH"/>
        </w:rPr>
      </w:pPr>
      <w:r w:rsidRPr="0071782F">
        <w:rPr>
          <w:lang w:val="fr-CH"/>
        </w:rPr>
        <w:tab/>
      </w:r>
      <w:r w:rsidRPr="0071782F">
        <w:rPr>
          <w:lang w:val="fr-CH"/>
        </w:rPr>
        <w:tab/>
        <w:t xml:space="preserve">Stimulation </w:t>
      </w:r>
      <w:r w:rsidR="0097736B" w:rsidRPr="0071782F">
        <w:rPr>
          <w:lang w:val="fr-CH"/>
        </w:rPr>
        <w:t xml:space="preserve">du marché du travail et rôle des centres de placement non gouvernementaux </w:t>
      </w:r>
    </w:p>
    <w:p w:rsidR="00472BB3" w:rsidRPr="0071782F" w:rsidRDefault="00472BB3" w:rsidP="00472BB3">
      <w:pPr>
        <w:pStyle w:val="SingleTxtG"/>
        <w:rPr>
          <w:lang w:val="fr-CH"/>
        </w:rPr>
      </w:pPr>
      <w:r w:rsidRPr="0071782F">
        <w:rPr>
          <w:lang w:val="fr-CH"/>
        </w:rPr>
        <w:t>45.</w:t>
      </w:r>
      <w:r w:rsidRPr="0071782F">
        <w:rPr>
          <w:lang w:val="fr-CH"/>
        </w:rPr>
        <w:tab/>
      </w:r>
      <w:r w:rsidR="00685B1F" w:rsidRPr="0071782F">
        <w:rPr>
          <w:lang w:val="fr-CH"/>
        </w:rPr>
        <w:t xml:space="preserve">S’agissant de stimuler le marché du travail et de renforcer le rôle des centres de placement non gouvernementaux, certaines politiques ont été mises en </w:t>
      </w:r>
      <w:r w:rsidR="00D5366B" w:rsidRPr="0071782F">
        <w:rPr>
          <w:lang w:val="fr-CH"/>
        </w:rPr>
        <w:t>œuvre</w:t>
      </w:r>
      <w:r w:rsidR="00685B1F" w:rsidRPr="0071782F">
        <w:rPr>
          <w:lang w:val="fr-CH"/>
        </w:rPr>
        <w:t xml:space="preserve"> pour dynamiser le marché du travail, notamment la réduction des charges sociales pour les employeurs qui recruteraient les salariés dont ils ont besoin par le biais de centres de placement </w:t>
      </w:r>
      <w:r w:rsidR="00A234E8" w:rsidRPr="0071782F">
        <w:rPr>
          <w:lang w:val="fr-CH"/>
        </w:rPr>
        <w:t>(art</w:t>
      </w:r>
      <w:r w:rsidR="00C165FB">
        <w:rPr>
          <w:lang w:val="fr-CH"/>
        </w:rPr>
        <w:t>icle</w:t>
      </w:r>
      <w:r w:rsidR="00A234E8" w:rsidRPr="0071782F">
        <w:rPr>
          <w:lang w:val="fr-CH"/>
        </w:rPr>
        <w:t> </w:t>
      </w:r>
      <w:r w:rsidRPr="0071782F">
        <w:rPr>
          <w:lang w:val="fr-CH"/>
        </w:rPr>
        <w:t xml:space="preserve">103 </w:t>
      </w:r>
      <w:r w:rsidR="00685B1F" w:rsidRPr="0071782F">
        <w:rPr>
          <w:lang w:val="fr-CH"/>
        </w:rPr>
        <w:t xml:space="preserve">de la loi relative au </w:t>
      </w:r>
      <w:r w:rsidR="00A90208" w:rsidRPr="0071782F">
        <w:rPr>
          <w:lang w:val="fr-CH"/>
        </w:rPr>
        <w:t>quatrième</w:t>
      </w:r>
      <w:r w:rsidR="00685B1F" w:rsidRPr="0071782F">
        <w:rPr>
          <w:lang w:val="fr-CH"/>
        </w:rPr>
        <w:t xml:space="preserve"> plan de développement). Le succès de l’application dudit article, qui figurait déjà dans le </w:t>
      </w:r>
      <w:r w:rsidR="009E6189">
        <w:rPr>
          <w:lang w:val="fr-CH"/>
        </w:rPr>
        <w:t>troisième plan</w:t>
      </w:r>
      <w:r w:rsidR="00685B1F" w:rsidRPr="0071782F">
        <w:rPr>
          <w:lang w:val="fr-CH"/>
        </w:rPr>
        <w:t xml:space="preserve">, non seulement a incité les employeurs </w:t>
      </w:r>
      <w:r w:rsidR="002E58AF" w:rsidRPr="0071782F">
        <w:rPr>
          <w:lang w:val="fr-CH"/>
        </w:rPr>
        <w:t xml:space="preserve">motivés </w:t>
      </w:r>
      <w:r w:rsidR="00685B1F" w:rsidRPr="0071782F">
        <w:rPr>
          <w:lang w:val="fr-CH"/>
        </w:rPr>
        <w:t xml:space="preserve">à </w:t>
      </w:r>
      <w:r w:rsidR="002E58AF" w:rsidRPr="0071782F">
        <w:rPr>
          <w:lang w:val="fr-CH"/>
        </w:rPr>
        <w:t>diminuer le nombre de postes vacants</w:t>
      </w:r>
      <w:r w:rsidR="00685B1F" w:rsidRPr="0071782F">
        <w:rPr>
          <w:lang w:val="fr-CH"/>
        </w:rPr>
        <w:t xml:space="preserve">, mais </w:t>
      </w:r>
      <w:r w:rsidR="00383B34" w:rsidRPr="0071782F">
        <w:rPr>
          <w:lang w:val="fr-CH"/>
        </w:rPr>
        <w:t xml:space="preserve">aussi </w:t>
      </w:r>
      <w:r w:rsidR="00685B1F" w:rsidRPr="0071782F">
        <w:rPr>
          <w:lang w:val="fr-CH"/>
        </w:rPr>
        <w:t>a contribué à stimuler encore davantage les centres de placement.</w:t>
      </w:r>
      <w:r w:rsidRPr="0071782F">
        <w:rPr>
          <w:lang w:val="fr-CH"/>
        </w:rPr>
        <w:t xml:space="preserve"> </w:t>
      </w:r>
    </w:p>
    <w:p w:rsidR="00472BB3" w:rsidRPr="0071782F" w:rsidRDefault="00472BB3" w:rsidP="00FF7A84">
      <w:pPr>
        <w:pStyle w:val="SingleTxtG"/>
        <w:ind w:left="1701"/>
        <w:rPr>
          <w:lang w:val="fr-CH"/>
        </w:rPr>
      </w:pPr>
      <w:r w:rsidRPr="0071782F">
        <w:rPr>
          <w:lang w:val="fr-CH"/>
        </w:rPr>
        <w:t>45.1.</w:t>
      </w:r>
      <w:r w:rsidRPr="0071782F">
        <w:rPr>
          <w:lang w:val="fr-CH"/>
        </w:rPr>
        <w:tab/>
      </w:r>
      <w:r w:rsidR="00383B34" w:rsidRPr="0071782F">
        <w:rPr>
          <w:lang w:val="fr-CH"/>
        </w:rPr>
        <w:t xml:space="preserve">Il convient d’indiquer que, pendant l’année </w:t>
      </w:r>
      <w:r w:rsidRPr="0071782F">
        <w:rPr>
          <w:lang w:val="fr-CH"/>
        </w:rPr>
        <w:t>2008, 111</w:t>
      </w:r>
      <w:r w:rsidR="00C165FB">
        <w:rPr>
          <w:lang w:val="fr-CH"/>
        </w:rPr>
        <w:t> </w:t>
      </w:r>
      <w:r w:rsidR="00383B34" w:rsidRPr="0071782F">
        <w:rPr>
          <w:lang w:val="fr-CH"/>
        </w:rPr>
        <w:t>946 employeur</w:t>
      </w:r>
      <w:r w:rsidRPr="0071782F">
        <w:rPr>
          <w:lang w:val="fr-CH"/>
        </w:rPr>
        <w:t xml:space="preserve">s </w:t>
      </w:r>
      <w:r w:rsidR="00383B34" w:rsidRPr="0071782F">
        <w:rPr>
          <w:lang w:val="fr-CH"/>
        </w:rPr>
        <w:t xml:space="preserve">se sont prévalus des avantages dudit </w:t>
      </w:r>
      <w:r w:rsidRPr="0071782F">
        <w:rPr>
          <w:lang w:val="fr-CH"/>
        </w:rPr>
        <w:t>article</w:t>
      </w:r>
      <w:r w:rsidR="00383B34" w:rsidRPr="0071782F">
        <w:rPr>
          <w:lang w:val="fr-CH"/>
        </w:rPr>
        <w:t>, ce qui a donné un emploi à 267</w:t>
      </w:r>
      <w:r w:rsidR="00FF7A84" w:rsidRPr="0071782F">
        <w:rPr>
          <w:lang w:val="fr-CH"/>
        </w:rPr>
        <w:t> </w:t>
      </w:r>
      <w:r w:rsidRPr="0071782F">
        <w:rPr>
          <w:lang w:val="fr-CH"/>
        </w:rPr>
        <w:t>137</w:t>
      </w:r>
      <w:r w:rsidR="00097CDB" w:rsidRPr="0071782F">
        <w:rPr>
          <w:lang w:val="fr-CH"/>
        </w:rPr>
        <w:t> personnes</w:t>
      </w:r>
      <w:r w:rsidRPr="0071782F">
        <w:rPr>
          <w:lang w:val="fr-CH"/>
        </w:rPr>
        <w:t xml:space="preserve">. </w:t>
      </w:r>
    </w:p>
    <w:p w:rsidR="00472BB3" w:rsidRPr="0071782F" w:rsidRDefault="00472BB3" w:rsidP="00430415">
      <w:pPr>
        <w:pStyle w:val="H1G"/>
        <w:rPr>
          <w:lang w:val="fr-CH"/>
        </w:rPr>
      </w:pPr>
      <w:r w:rsidRPr="0071782F">
        <w:rPr>
          <w:lang w:val="fr-CH"/>
        </w:rPr>
        <w:tab/>
      </w:r>
      <w:r w:rsidRPr="0071782F">
        <w:rPr>
          <w:lang w:val="fr-CH"/>
        </w:rPr>
        <w:tab/>
      </w:r>
      <w:r w:rsidR="00383B34" w:rsidRPr="0071782F">
        <w:rPr>
          <w:lang w:val="fr-CH"/>
        </w:rPr>
        <w:t xml:space="preserve">Ressortissants étrangers </w:t>
      </w:r>
    </w:p>
    <w:p w:rsidR="00472BB3" w:rsidRPr="0071782F" w:rsidRDefault="00472BB3" w:rsidP="00472BB3">
      <w:pPr>
        <w:pStyle w:val="SingleTxtG"/>
        <w:rPr>
          <w:lang w:val="fr-CH"/>
        </w:rPr>
      </w:pPr>
      <w:r w:rsidRPr="0071782F">
        <w:rPr>
          <w:lang w:val="fr-CH"/>
        </w:rPr>
        <w:t>46.</w:t>
      </w:r>
      <w:r w:rsidRPr="0071782F">
        <w:rPr>
          <w:lang w:val="fr-CH"/>
        </w:rPr>
        <w:tab/>
      </w:r>
      <w:r w:rsidR="00383B34" w:rsidRPr="0071782F">
        <w:rPr>
          <w:lang w:val="fr-CH"/>
        </w:rPr>
        <w:t xml:space="preserve">En application de la </w:t>
      </w:r>
      <w:r w:rsidRPr="0071782F">
        <w:rPr>
          <w:lang w:val="fr-CH"/>
        </w:rPr>
        <w:t xml:space="preserve">directive </w:t>
      </w:r>
      <w:r w:rsidR="00383B34" w:rsidRPr="0071782F">
        <w:rPr>
          <w:lang w:val="fr-CH"/>
        </w:rPr>
        <w:t xml:space="preserve">du Haut Conseil pour l’emploi, le Ministère du travail et des affaires sociales </w:t>
      </w:r>
      <w:r w:rsidR="00041DFE" w:rsidRPr="0071782F">
        <w:rPr>
          <w:lang w:val="fr-CH"/>
        </w:rPr>
        <w:t>est chargé de</w:t>
      </w:r>
      <w:r w:rsidR="00383B34" w:rsidRPr="0071782F">
        <w:rPr>
          <w:lang w:val="fr-CH"/>
        </w:rPr>
        <w:t xml:space="preserve"> délivrer depuis 2007 des permis de travail temporaires à des ressortissants afghans titulaires d’un permis de travail régulier en Iran, de manière à pouvoir organiser et réglementer ces immigrants et prévenir l’emploi de ressortissants étrangers en situation irrégulière. Il est à noter que l’Organisation des Nations Unies a coopéré efficacement avec le Gouvernement de la République islamique d’Iran en encourageant le Gouvernement afghan à coopérer de façon constructive avec l’Iran.</w:t>
      </w:r>
      <w:r w:rsidRPr="0071782F">
        <w:rPr>
          <w:lang w:val="fr-CH"/>
        </w:rPr>
        <w:t xml:space="preserve"> </w:t>
      </w:r>
    </w:p>
    <w:p w:rsidR="00472BB3" w:rsidRPr="0071782F" w:rsidRDefault="00472BB3" w:rsidP="004F5F16">
      <w:pPr>
        <w:pStyle w:val="H1G"/>
        <w:rPr>
          <w:lang w:val="fr-CH"/>
        </w:rPr>
      </w:pPr>
      <w:r w:rsidRPr="0071782F">
        <w:rPr>
          <w:lang w:val="fr-CH"/>
        </w:rPr>
        <w:tab/>
      </w:r>
      <w:r w:rsidRPr="0071782F">
        <w:rPr>
          <w:lang w:val="fr-CH"/>
        </w:rPr>
        <w:tab/>
      </w:r>
      <w:r w:rsidR="00383B34" w:rsidRPr="0071782F">
        <w:rPr>
          <w:lang w:val="fr-CH"/>
        </w:rPr>
        <w:t xml:space="preserve">Programme d’organisation du travail à domicile </w:t>
      </w:r>
    </w:p>
    <w:p w:rsidR="00472BB3" w:rsidRPr="0071782F" w:rsidRDefault="00472BB3" w:rsidP="00472BB3">
      <w:pPr>
        <w:pStyle w:val="SingleTxtG"/>
        <w:rPr>
          <w:lang w:val="fr-CH"/>
        </w:rPr>
      </w:pPr>
      <w:r w:rsidRPr="0071782F">
        <w:rPr>
          <w:lang w:val="fr-CH"/>
        </w:rPr>
        <w:t>47.</w:t>
      </w:r>
      <w:r w:rsidRPr="0071782F">
        <w:rPr>
          <w:lang w:val="fr-CH"/>
        </w:rPr>
        <w:tab/>
      </w:r>
      <w:r w:rsidR="00383B34" w:rsidRPr="0071782F">
        <w:rPr>
          <w:lang w:val="fr-CH"/>
        </w:rPr>
        <w:t xml:space="preserve">En application de la directive du Haut Conseil pour l’emploi adoptée en 2008, tendant à réduire le taux de chômage des femmes, le Ministère du travail et des affaires sociales </w:t>
      </w:r>
      <w:r w:rsidR="00041DFE" w:rsidRPr="0071782F">
        <w:rPr>
          <w:lang w:val="fr-CH"/>
        </w:rPr>
        <w:t>est chargé</w:t>
      </w:r>
      <w:r w:rsidR="00383B34" w:rsidRPr="0071782F">
        <w:rPr>
          <w:lang w:val="fr-CH"/>
        </w:rPr>
        <w:t xml:space="preserve"> </w:t>
      </w:r>
      <w:r w:rsidR="00041DFE" w:rsidRPr="0071782F">
        <w:rPr>
          <w:lang w:val="fr-CH"/>
        </w:rPr>
        <w:t>d’</w:t>
      </w:r>
      <w:r w:rsidR="00383B34" w:rsidRPr="0071782F">
        <w:rPr>
          <w:lang w:val="fr-CH"/>
        </w:rPr>
        <w:t xml:space="preserve">établir et </w:t>
      </w:r>
      <w:r w:rsidR="00041DFE" w:rsidRPr="0071782F">
        <w:rPr>
          <w:lang w:val="fr-CH"/>
        </w:rPr>
        <w:t xml:space="preserve">de </w:t>
      </w:r>
      <w:r w:rsidR="00383B34" w:rsidRPr="0071782F">
        <w:rPr>
          <w:lang w:val="fr-CH"/>
        </w:rPr>
        <w:t>présenter aux hautes autorités compétentes un projet de loi sur l’organisation du travail à domicile et son règlement d’</w:t>
      </w:r>
      <w:r w:rsidR="00C15F63" w:rsidRPr="0071782F">
        <w:rPr>
          <w:lang w:val="fr-CH"/>
        </w:rPr>
        <w:t>exécutio</w:t>
      </w:r>
      <w:r w:rsidR="00383B34" w:rsidRPr="0071782F">
        <w:rPr>
          <w:lang w:val="fr-CH"/>
        </w:rPr>
        <w:t xml:space="preserve">n pour faciliter la mise en </w:t>
      </w:r>
      <w:r w:rsidR="00D5366B" w:rsidRPr="0071782F">
        <w:rPr>
          <w:lang w:val="fr-CH"/>
        </w:rPr>
        <w:t>œuvre</w:t>
      </w:r>
      <w:r w:rsidR="00383B34" w:rsidRPr="0071782F">
        <w:rPr>
          <w:lang w:val="fr-CH"/>
        </w:rPr>
        <w:t xml:space="preserve"> des possibilités d’élever la production nationale au sein de </w:t>
      </w:r>
      <w:r w:rsidR="00B71907" w:rsidRPr="0071782F">
        <w:rPr>
          <w:lang w:val="fr-CH"/>
        </w:rPr>
        <w:t>la famille</w:t>
      </w:r>
      <w:r w:rsidR="00383B34" w:rsidRPr="0071782F">
        <w:rPr>
          <w:lang w:val="fr-CH"/>
        </w:rPr>
        <w:t>.</w:t>
      </w:r>
      <w:r w:rsidRPr="0071782F">
        <w:rPr>
          <w:lang w:val="fr-CH"/>
        </w:rPr>
        <w:t xml:space="preserve"> </w:t>
      </w:r>
    </w:p>
    <w:p w:rsidR="00472BB3" w:rsidRPr="0071782F" w:rsidRDefault="00472BB3" w:rsidP="004F5F16">
      <w:pPr>
        <w:pStyle w:val="SingleTxtG"/>
        <w:ind w:left="1701"/>
        <w:rPr>
          <w:lang w:val="fr-CH"/>
        </w:rPr>
      </w:pPr>
      <w:r w:rsidRPr="0071782F">
        <w:rPr>
          <w:lang w:val="fr-CH"/>
        </w:rPr>
        <w:t>47.1.</w:t>
      </w:r>
      <w:r w:rsidRPr="0071782F">
        <w:rPr>
          <w:lang w:val="fr-CH"/>
        </w:rPr>
        <w:tab/>
      </w:r>
      <w:r w:rsidR="00214BCE" w:rsidRPr="0071782F">
        <w:rPr>
          <w:lang w:val="fr-CH"/>
        </w:rPr>
        <w:t xml:space="preserve">À l’heure actuelle, le travail à domicile est considéré comme un </w:t>
      </w:r>
      <w:r w:rsidRPr="0071782F">
        <w:rPr>
          <w:lang w:val="fr-CH"/>
        </w:rPr>
        <w:t>important m</w:t>
      </w:r>
      <w:r w:rsidR="00214BCE" w:rsidRPr="0071782F">
        <w:rPr>
          <w:lang w:val="fr-CH"/>
        </w:rPr>
        <w:t>é</w:t>
      </w:r>
      <w:r w:rsidRPr="0071782F">
        <w:rPr>
          <w:lang w:val="fr-CH"/>
        </w:rPr>
        <w:t>canism</w:t>
      </w:r>
      <w:r w:rsidR="00214BCE" w:rsidRPr="0071782F">
        <w:rPr>
          <w:lang w:val="fr-CH"/>
        </w:rPr>
        <w:t xml:space="preserve">e de création d’emploi et de revenu pour </w:t>
      </w:r>
      <w:r w:rsidR="00DA097D" w:rsidRPr="0071782F">
        <w:rPr>
          <w:lang w:val="fr-CH"/>
        </w:rPr>
        <w:t>les familles</w:t>
      </w:r>
      <w:r w:rsidR="00214BCE" w:rsidRPr="0071782F">
        <w:rPr>
          <w:lang w:val="fr-CH"/>
        </w:rPr>
        <w:t xml:space="preserve">. La possibilité de mener des activités de ce type </w:t>
      </w:r>
      <w:r w:rsidR="00A62149" w:rsidRPr="0071782F">
        <w:rPr>
          <w:lang w:val="fr-CH"/>
        </w:rPr>
        <w:t>"</w:t>
      </w:r>
      <w:r w:rsidR="00214BCE" w:rsidRPr="0071782F">
        <w:rPr>
          <w:lang w:val="fr-CH"/>
        </w:rPr>
        <w:t>à domicile</w:t>
      </w:r>
      <w:r w:rsidR="00A62149" w:rsidRPr="0071782F">
        <w:rPr>
          <w:lang w:val="fr-CH"/>
        </w:rPr>
        <w:t>"</w:t>
      </w:r>
      <w:r w:rsidRPr="0071782F">
        <w:rPr>
          <w:lang w:val="fr-CH"/>
        </w:rPr>
        <w:t xml:space="preserve"> </w:t>
      </w:r>
      <w:r w:rsidR="00214BCE" w:rsidRPr="0071782F">
        <w:rPr>
          <w:lang w:val="fr-CH"/>
        </w:rPr>
        <w:t xml:space="preserve">procure de nombreux avantages </w:t>
      </w:r>
      <w:r w:rsidR="00175962" w:rsidRPr="0071782F">
        <w:rPr>
          <w:lang w:val="fr-CH"/>
        </w:rPr>
        <w:t>aux personnes</w:t>
      </w:r>
      <w:r w:rsidR="00214BCE" w:rsidRPr="0071782F">
        <w:rPr>
          <w:lang w:val="fr-CH"/>
        </w:rPr>
        <w:t xml:space="preserve"> qui s’y livrent, comme l’instauration d’un équilibre entre les responsabilités familiales des femmes et leur emploi, l’économie réalisée sur l’achat ou la location d’un atelier et sur le transport, l’utilisation du travail d’autres membres de </w:t>
      </w:r>
      <w:r w:rsidR="00B71907" w:rsidRPr="0071782F">
        <w:rPr>
          <w:lang w:val="fr-CH"/>
        </w:rPr>
        <w:t>la famille</w:t>
      </w:r>
      <w:r w:rsidR="00214BCE" w:rsidRPr="0071782F">
        <w:rPr>
          <w:lang w:val="fr-CH"/>
        </w:rPr>
        <w:t xml:space="preserve"> et la possibilité de créer une entreprise familiale</w:t>
      </w:r>
      <w:r w:rsidRPr="0071782F">
        <w:rPr>
          <w:lang w:val="fr-CH"/>
        </w:rPr>
        <w:t xml:space="preserve">, </w:t>
      </w:r>
      <w:r w:rsidR="00214BCE" w:rsidRPr="0071782F">
        <w:rPr>
          <w:lang w:val="fr-CH"/>
        </w:rPr>
        <w:t>ainsi que la possibilité d’un transfert d’expérience à la faveur de la formation informelle transmise dans le cadre d’une relation maître-apprenti</w:t>
      </w:r>
      <w:r w:rsidRPr="0071782F">
        <w:rPr>
          <w:lang w:val="fr-CH"/>
        </w:rPr>
        <w:t>, etc.</w:t>
      </w:r>
    </w:p>
    <w:p w:rsidR="00472BB3" w:rsidRPr="0071782F" w:rsidRDefault="00472BB3" w:rsidP="004F5F16">
      <w:pPr>
        <w:pStyle w:val="SingleTxtG"/>
        <w:ind w:left="1701"/>
        <w:rPr>
          <w:lang w:val="fr-CH"/>
        </w:rPr>
      </w:pPr>
      <w:r w:rsidRPr="0071782F">
        <w:rPr>
          <w:lang w:val="fr-CH"/>
        </w:rPr>
        <w:t>47.2.</w:t>
      </w:r>
      <w:r w:rsidRPr="0071782F">
        <w:rPr>
          <w:lang w:val="fr-CH"/>
        </w:rPr>
        <w:tab/>
        <w:t>I</w:t>
      </w:r>
      <w:r w:rsidR="002A0BF6" w:rsidRPr="0071782F">
        <w:rPr>
          <w:lang w:val="fr-CH"/>
        </w:rPr>
        <w:t xml:space="preserve">l importe de noter que les grands progrès accomplis par les technologies de l’information depuis quelques années, qui ont donné naissance à une nouvelle génération d’emplois, permettent à présent à un grand nombre </w:t>
      </w:r>
      <w:r w:rsidR="00D82C96" w:rsidRPr="0071782F">
        <w:rPr>
          <w:lang w:val="fr-CH"/>
        </w:rPr>
        <w:t>de personnes</w:t>
      </w:r>
      <w:r w:rsidR="002A0BF6" w:rsidRPr="0071782F">
        <w:rPr>
          <w:lang w:val="fr-CH"/>
        </w:rPr>
        <w:t xml:space="preserve"> de travailler à domicile dans ce secteur</w:t>
      </w:r>
      <w:r w:rsidRPr="0071782F">
        <w:rPr>
          <w:lang w:val="fr-CH"/>
        </w:rPr>
        <w:t xml:space="preserve">. </w:t>
      </w:r>
      <w:r w:rsidR="002A0BF6" w:rsidRPr="0071782F">
        <w:rPr>
          <w:lang w:val="fr-CH"/>
        </w:rPr>
        <w:t>Les emplois de ce type, qui se multiplient et se diversifient chaque jour, permettent d’utiliser des ordinateurs et les accessoires requis pour effectuer différents types de travaux à domicile</w:t>
      </w:r>
      <w:r w:rsidRPr="0071782F">
        <w:rPr>
          <w:lang w:val="fr-CH"/>
        </w:rPr>
        <w:t xml:space="preserve">. </w:t>
      </w:r>
    </w:p>
    <w:p w:rsidR="00472BB3" w:rsidRPr="0071782F" w:rsidRDefault="00472BB3" w:rsidP="001624C4">
      <w:pPr>
        <w:pStyle w:val="H1G"/>
        <w:rPr>
          <w:lang w:val="fr-CH"/>
        </w:rPr>
      </w:pPr>
      <w:r w:rsidRPr="0071782F">
        <w:rPr>
          <w:lang w:val="fr-CH"/>
        </w:rPr>
        <w:tab/>
      </w:r>
      <w:r w:rsidRPr="0071782F">
        <w:rPr>
          <w:lang w:val="fr-CH"/>
        </w:rPr>
        <w:tab/>
      </w:r>
      <w:r w:rsidR="002A0BF6" w:rsidRPr="0071782F">
        <w:rPr>
          <w:lang w:val="fr-CH"/>
        </w:rPr>
        <w:t xml:space="preserve">Éducation </w:t>
      </w:r>
      <w:r w:rsidRPr="0071782F">
        <w:rPr>
          <w:lang w:val="fr-CH"/>
        </w:rPr>
        <w:t>entrepreneurial</w:t>
      </w:r>
      <w:r w:rsidR="002A0BF6" w:rsidRPr="0071782F">
        <w:rPr>
          <w:lang w:val="fr-CH"/>
        </w:rPr>
        <w:t>e</w:t>
      </w:r>
      <w:r w:rsidRPr="0071782F">
        <w:rPr>
          <w:lang w:val="fr-CH"/>
        </w:rPr>
        <w:t xml:space="preserve"> </w:t>
      </w:r>
    </w:p>
    <w:p w:rsidR="00472BB3" w:rsidRPr="0071782F" w:rsidRDefault="00472BB3" w:rsidP="00472BB3">
      <w:pPr>
        <w:pStyle w:val="SingleTxtG"/>
        <w:rPr>
          <w:lang w:val="fr-CH"/>
        </w:rPr>
      </w:pPr>
      <w:r w:rsidRPr="0071782F">
        <w:rPr>
          <w:lang w:val="fr-CH"/>
        </w:rPr>
        <w:t>48.</w:t>
      </w:r>
      <w:r w:rsidRPr="0071782F">
        <w:rPr>
          <w:lang w:val="fr-CH"/>
        </w:rPr>
        <w:tab/>
      </w:r>
      <w:r w:rsidR="002A0BF6" w:rsidRPr="0071782F">
        <w:rPr>
          <w:lang w:val="fr-CH"/>
        </w:rPr>
        <w:t xml:space="preserve">Étant donné que, comme les résultats de l’enquête réalisée l’ont montré, l’échec des petites entreprises nouvellement créées est dû à des facteurs tels que la méconnaissance des principes à respecter pour concevoir un plan d’affaires, </w:t>
      </w:r>
      <w:r w:rsidR="00185D70" w:rsidRPr="0071782F">
        <w:rPr>
          <w:lang w:val="fr-CH"/>
        </w:rPr>
        <w:t xml:space="preserve">ainsi que </w:t>
      </w:r>
      <w:r w:rsidR="002A0BF6" w:rsidRPr="0071782F">
        <w:rPr>
          <w:lang w:val="fr-CH"/>
        </w:rPr>
        <w:t xml:space="preserve">des règles comptables, du droit commercial, du droit fiscal, </w:t>
      </w:r>
      <w:r w:rsidRPr="0071782F">
        <w:rPr>
          <w:lang w:val="fr-CH"/>
        </w:rPr>
        <w:t xml:space="preserve">etc., </w:t>
      </w:r>
      <w:r w:rsidR="002A0BF6" w:rsidRPr="0071782F">
        <w:rPr>
          <w:lang w:val="fr-CH"/>
        </w:rPr>
        <w:t xml:space="preserve">le Ministère du travail et des affaires sociales a rendu obligatoire pour les demandeurs de services d’entreprise de suivre une formation entrepreneuriale et commerciale conforme à son </w:t>
      </w:r>
      <w:r w:rsidR="00A62149" w:rsidRPr="0071782F">
        <w:rPr>
          <w:lang w:val="fr-CH"/>
        </w:rPr>
        <w:t>"</w:t>
      </w:r>
      <w:r w:rsidRPr="0071782F">
        <w:rPr>
          <w:lang w:val="fr-CH"/>
        </w:rPr>
        <w:t xml:space="preserve">plan </w:t>
      </w:r>
      <w:r w:rsidR="002A0BF6" w:rsidRPr="0071782F">
        <w:rPr>
          <w:lang w:val="fr-CH"/>
        </w:rPr>
        <w:t>de développement et d’extension des projets offrant des rendements rapides</w:t>
      </w:r>
      <w:r w:rsidR="00A62149" w:rsidRPr="0071782F">
        <w:rPr>
          <w:lang w:val="fr-CH"/>
        </w:rPr>
        <w:t>"</w:t>
      </w:r>
      <w:r w:rsidRPr="0071782F">
        <w:rPr>
          <w:lang w:val="fr-CH"/>
        </w:rPr>
        <w:t xml:space="preserve">. </w:t>
      </w:r>
      <w:r w:rsidR="002A0BF6" w:rsidRPr="0071782F">
        <w:rPr>
          <w:lang w:val="fr-CH"/>
        </w:rPr>
        <w:t>À cette fin, il a apporté des modifications à ladite formation et fait savoir que les services de ce type ne pourraient être fournis qu’</w:t>
      </w:r>
      <w:r w:rsidR="00175962" w:rsidRPr="0071782F">
        <w:rPr>
          <w:lang w:val="fr-CH"/>
        </w:rPr>
        <w:t>aux personnes</w:t>
      </w:r>
      <w:r w:rsidR="002A0BF6" w:rsidRPr="0071782F">
        <w:rPr>
          <w:lang w:val="fr-CH"/>
        </w:rPr>
        <w:t xml:space="preserve"> qui suivraient ladite formation, afin d’éviter un gaspillage de ressources et l’échec des entreprises.</w:t>
      </w:r>
      <w:r w:rsidRPr="0071782F">
        <w:rPr>
          <w:lang w:val="fr-CH"/>
        </w:rPr>
        <w:t xml:space="preserve"> </w:t>
      </w:r>
    </w:p>
    <w:p w:rsidR="00472BB3" w:rsidRPr="0071782F" w:rsidRDefault="00472BB3" w:rsidP="001624C4">
      <w:pPr>
        <w:pStyle w:val="H1G"/>
        <w:rPr>
          <w:lang w:val="fr-CH"/>
        </w:rPr>
      </w:pPr>
      <w:r w:rsidRPr="0071782F">
        <w:rPr>
          <w:lang w:val="fr-CH"/>
        </w:rPr>
        <w:tab/>
      </w:r>
      <w:r w:rsidRPr="0071782F">
        <w:rPr>
          <w:lang w:val="fr-CH"/>
        </w:rPr>
        <w:tab/>
      </w:r>
      <w:r w:rsidR="00041DFE" w:rsidRPr="0071782F">
        <w:rPr>
          <w:lang w:val="fr-CH"/>
        </w:rPr>
        <w:t xml:space="preserve">Application du programme d’apprentissage pour les diplômés de l’université </w:t>
      </w:r>
    </w:p>
    <w:p w:rsidR="00472BB3" w:rsidRPr="0071782F" w:rsidRDefault="00472BB3" w:rsidP="00BD3B96">
      <w:pPr>
        <w:pStyle w:val="SingleTxtG"/>
        <w:rPr>
          <w:lang w:val="fr-CH"/>
        </w:rPr>
      </w:pPr>
      <w:r w:rsidRPr="0071782F">
        <w:rPr>
          <w:lang w:val="fr-CH"/>
        </w:rPr>
        <w:t>49.</w:t>
      </w:r>
      <w:r w:rsidRPr="0071782F">
        <w:rPr>
          <w:lang w:val="fr-CH"/>
        </w:rPr>
        <w:tab/>
      </w:r>
      <w:r w:rsidR="00041DFE" w:rsidRPr="0071782F">
        <w:rPr>
          <w:lang w:val="fr-CH"/>
        </w:rPr>
        <w:t xml:space="preserve">Fruit de la </w:t>
      </w:r>
      <w:r w:rsidRPr="0071782F">
        <w:rPr>
          <w:lang w:val="fr-CH"/>
        </w:rPr>
        <w:t xml:space="preserve">collaboration </w:t>
      </w:r>
      <w:r w:rsidR="00041DFE" w:rsidRPr="0071782F">
        <w:rPr>
          <w:lang w:val="fr-CH"/>
        </w:rPr>
        <w:t>d’</w:t>
      </w:r>
      <w:r w:rsidRPr="0071782F">
        <w:rPr>
          <w:lang w:val="fr-CH"/>
        </w:rPr>
        <w:t>important</w:t>
      </w:r>
      <w:r w:rsidR="00041DFE" w:rsidRPr="0071782F">
        <w:rPr>
          <w:lang w:val="fr-CH"/>
        </w:rPr>
        <w:t>es organis</w:t>
      </w:r>
      <w:r w:rsidRPr="0071782F">
        <w:rPr>
          <w:lang w:val="fr-CH"/>
        </w:rPr>
        <w:t>ations</w:t>
      </w:r>
      <w:r w:rsidR="00041DFE" w:rsidRPr="0071782F">
        <w:rPr>
          <w:lang w:val="fr-CH"/>
        </w:rPr>
        <w:t>, parmi lesquelles le Ministère de l’é</w:t>
      </w:r>
      <w:r w:rsidRPr="0071782F">
        <w:rPr>
          <w:lang w:val="fr-CH"/>
        </w:rPr>
        <w:t xml:space="preserve">ducation, </w:t>
      </w:r>
      <w:r w:rsidR="00041DFE" w:rsidRPr="0071782F">
        <w:rPr>
          <w:lang w:val="fr-CH"/>
        </w:rPr>
        <w:t>de la recherche et de la t</w:t>
      </w:r>
      <w:r w:rsidRPr="0071782F">
        <w:rPr>
          <w:lang w:val="fr-CH"/>
        </w:rPr>
        <w:t>echnolog</w:t>
      </w:r>
      <w:r w:rsidR="00041DFE" w:rsidRPr="0071782F">
        <w:rPr>
          <w:lang w:val="fr-CH"/>
        </w:rPr>
        <w:t>ie, ce programme a vu le jour e</w:t>
      </w:r>
      <w:r w:rsidRPr="0071782F">
        <w:rPr>
          <w:lang w:val="fr-CH"/>
        </w:rPr>
        <w:t xml:space="preserve">n 2007. </w:t>
      </w:r>
      <w:r w:rsidR="00041DFE" w:rsidRPr="0071782F">
        <w:rPr>
          <w:lang w:val="fr-CH"/>
        </w:rPr>
        <w:t xml:space="preserve">Cette année-là, quelque </w:t>
      </w:r>
      <w:r w:rsidRPr="0071782F">
        <w:rPr>
          <w:lang w:val="fr-CH"/>
        </w:rPr>
        <w:t>93</w:t>
      </w:r>
      <w:r w:rsidR="00C165FB">
        <w:rPr>
          <w:lang w:val="fr-CH"/>
        </w:rPr>
        <w:t> </w:t>
      </w:r>
      <w:r w:rsidRPr="0071782F">
        <w:rPr>
          <w:lang w:val="fr-CH"/>
        </w:rPr>
        <w:t xml:space="preserve">000 </w:t>
      </w:r>
      <w:r w:rsidR="00041DFE" w:rsidRPr="0071782F">
        <w:rPr>
          <w:lang w:val="fr-CH"/>
        </w:rPr>
        <w:t>diplômés de l’université ont participé à ce programme</w:t>
      </w:r>
      <w:r w:rsidRPr="0071782F">
        <w:rPr>
          <w:lang w:val="fr-CH"/>
        </w:rPr>
        <w:t xml:space="preserve">. </w:t>
      </w:r>
      <w:r w:rsidR="00041DFE" w:rsidRPr="0071782F">
        <w:rPr>
          <w:lang w:val="fr-CH"/>
        </w:rPr>
        <w:t>Son exécution et sa supervision ont été confiées à des groupes de travail provinciaux sur l’emploi et l’investissement.</w:t>
      </w:r>
      <w:r w:rsidRPr="0071782F">
        <w:rPr>
          <w:lang w:val="fr-CH"/>
        </w:rPr>
        <w:t xml:space="preserve"> </w:t>
      </w:r>
      <w:r w:rsidR="00041DFE" w:rsidRPr="0071782F">
        <w:rPr>
          <w:lang w:val="fr-CH"/>
        </w:rPr>
        <w:t xml:space="preserve">Il se propose notamment de faciliter l’entrée des diplômés sur le marché du travail, d’améliorer leurs qualifications professionnelles en mettant en </w:t>
      </w:r>
      <w:r w:rsidR="00D5366B" w:rsidRPr="0071782F">
        <w:rPr>
          <w:lang w:val="fr-CH"/>
        </w:rPr>
        <w:t>œuvre</w:t>
      </w:r>
      <w:r w:rsidR="00041DFE" w:rsidRPr="0071782F">
        <w:rPr>
          <w:lang w:val="fr-CH"/>
        </w:rPr>
        <w:t xml:space="preserve"> une approche axée sur le marché et de familiariser les diplômés avec les fonctions et compétences associées aux emplois recherchés</w:t>
      </w:r>
      <w:r w:rsidRPr="0071782F">
        <w:rPr>
          <w:lang w:val="fr-CH"/>
        </w:rPr>
        <w:t xml:space="preserve">. </w:t>
      </w:r>
    </w:p>
    <w:p w:rsidR="00472BB3" w:rsidRPr="0071782F" w:rsidRDefault="00472BB3" w:rsidP="001624C4">
      <w:pPr>
        <w:pStyle w:val="SingleTxtG"/>
        <w:ind w:left="1701"/>
        <w:rPr>
          <w:lang w:val="fr-CH"/>
        </w:rPr>
      </w:pPr>
      <w:r w:rsidRPr="0071782F">
        <w:rPr>
          <w:lang w:val="fr-CH"/>
        </w:rPr>
        <w:t>49.1.</w:t>
      </w:r>
      <w:r w:rsidRPr="0071782F">
        <w:rPr>
          <w:lang w:val="fr-CH"/>
        </w:rPr>
        <w:tab/>
      </w:r>
      <w:r w:rsidR="00041DFE" w:rsidRPr="0071782F">
        <w:rPr>
          <w:lang w:val="fr-CH"/>
        </w:rPr>
        <w:t>Il vise également à promouvoir une culture du travail et à utiliser une main-d’</w:t>
      </w:r>
      <w:r w:rsidR="00D5366B" w:rsidRPr="0071782F">
        <w:rPr>
          <w:lang w:val="fr-CH"/>
        </w:rPr>
        <w:t>œuvre</w:t>
      </w:r>
      <w:r w:rsidR="00041DFE" w:rsidRPr="0071782F">
        <w:rPr>
          <w:lang w:val="fr-CH"/>
        </w:rPr>
        <w:t xml:space="preserve"> spécialisée dans </w:t>
      </w:r>
      <w:r w:rsidR="00A83442">
        <w:rPr>
          <w:lang w:val="fr-CH"/>
        </w:rPr>
        <w:t>les unités</w:t>
      </w:r>
      <w:r w:rsidR="00041DFE" w:rsidRPr="0071782F">
        <w:rPr>
          <w:lang w:val="fr-CH"/>
        </w:rPr>
        <w:t xml:space="preserve"> é</w:t>
      </w:r>
      <w:r w:rsidRPr="0071782F">
        <w:rPr>
          <w:lang w:val="fr-CH"/>
        </w:rPr>
        <w:t>conomi</w:t>
      </w:r>
      <w:r w:rsidR="00041DFE" w:rsidRPr="0071782F">
        <w:rPr>
          <w:lang w:val="fr-CH"/>
        </w:rPr>
        <w:t>ques</w:t>
      </w:r>
      <w:r w:rsidRPr="0071782F">
        <w:rPr>
          <w:lang w:val="fr-CH"/>
        </w:rPr>
        <w:t xml:space="preserve">, </w:t>
      </w:r>
      <w:r w:rsidR="00041DFE" w:rsidRPr="0071782F">
        <w:rPr>
          <w:lang w:val="fr-CH"/>
        </w:rPr>
        <w:t xml:space="preserve">commerciales et de </w:t>
      </w:r>
      <w:r w:rsidRPr="0071782F">
        <w:rPr>
          <w:lang w:val="fr-CH"/>
        </w:rPr>
        <w:t>production</w:t>
      </w:r>
      <w:r w:rsidR="00041DFE" w:rsidRPr="0071782F">
        <w:rPr>
          <w:lang w:val="fr-CH"/>
        </w:rPr>
        <w:t xml:space="preserve">, et à relever le niveau </w:t>
      </w:r>
      <w:r w:rsidRPr="0071782F">
        <w:rPr>
          <w:lang w:val="fr-CH"/>
        </w:rPr>
        <w:t>scientifi</w:t>
      </w:r>
      <w:r w:rsidR="00041DFE" w:rsidRPr="0071782F">
        <w:rPr>
          <w:lang w:val="fr-CH"/>
        </w:rPr>
        <w:t xml:space="preserve">que et technologique </w:t>
      </w:r>
      <w:r w:rsidR="00A83442">
        <w:rPr>
          <w:lang w:val="fr-CH"/>
        </w:rPr>
        <w:t>des unités</w:t>
      </w:r>
      <w:r w:rsidR="00041DFE" w:rsidRPr="0071782F">
        <w:rPr>
          <w:lang w:val="fr-CH"/>
        </w:rPr>
        <w:t xml:space="preserve"> de </w:t>
      </w:r>
      <w:r w:rsidRPr="0071782F">
        <w:rPr>
          <w:lang w:val="fr-CH"/>
        </w:rPr>
        <w:t xml:space="preserve">production </w:t>
      </w:r>
      <w:r w:rsidR="00041DFE" w:rsidRPr="0071782F">
        <w:rPr>
          <w:lang w:val="fr-CH"/>
        </w:rPr>
        <w:t xml:space="preserve">dans le but de réformer les </w:t>
      </w:r>
      <w:r w:rsidRPr="0071782F">
        <w:rPr>
          <w:lang w:val="fr-CH"/>
        </w:rPr>
        <w:t xml:space="preserve">structures </w:t>
      </w:r>
      <w:r w:rsidR="00041DFE" w:rsidRPr="0071782F">
        <w:rPr>
          <w:lang w:val="fr-CH"/>
        </w:rPr>
        <w:t>productives du pays</w:t>
      </w:r>
      <w:r w:rsidRPr="0071782F">
        <w:rPr>
          <w:lang w:val="fr-CH"/>
        </w:rPr>
        <w:t xml:space="preserve">. </w:t>
      </w:r>
    </w:p>
    <w:p w:rsidR="00472BB3" w:rsidRPr="0071782F" w:rsidRDefault="00472BB3" w:rsidP="001624C4">
      <w:pPr>
        <w:pStyle w:val="SingleTxtG"/>
        <w:ind w:left="1701"/>
        <w:rPr>
          <w:lang w:val="fr-CH"/>
        </w:rPr>
      </w:pPr>
      <w:r w:rsidRPr="0071782F">
        <w:rPr>
          <w:lang w:val="fr-CH"/>
        </w:rPr>
        <w:t>49.2.</w:t>
      </w:r>
      <w:r w:rsidRPr="0071782F">
        <w:rPr>
          <w:lang w:val="fr-CH"/>
        </w:rPr>
        <w:tab/>
      </w:r>
      <w:r w:rsidR="00041DFE" w:rsidRPr="0071782F">
        <w:rPr>
          <w:lang w:val="fr-CH"/>
        </w:rPr>
        <w:t>Ce programme poursuit également quelques objectifs secondaires. Pour garantir son exécution, certaines normes ont été définies, dont l’application a été confiée à la plus haute autorité exécutive de chaque organisation responsable, laquelle est tenue de présenter un rapport d’exécution au Haut Conseil pour l’emploi à la fin de chaque exercice</w:t>
      </w:r>
      <w:r w:rsidRPr="0071782F">
        <w:rPr>
          <w:lang w:val="fr-CH"/>
        </w:rPr>
        <w:t xml:space="preserve">. </w:t>
      </w:r>
    </w:p>
    <w:p w:rsidR="00472BB3" w:rsidRPr="0071782F" w:rsidRDefault="00472BB3" w:rsidP="001624C4">
      <w:pPr>
        <w:pStyle w:val="H1G"/>
        <w:rPr>
          <w:lang w:val="fr-CH"/>
        </w:rPr>
      </w:pPr>
      <w:r w:rsidRPr="0071782F">
        <w:rPr>
          <w:lang w:val="fr-CH"/>
        </w:rPr>
        <w:tab/>
      </w:r>
      <w:r w:rsidRPr="0071782F">
        <w:rPr>
          <w:lang w:val="fr-CH"/>
        </w:rPr>
        <w:tab/>
      </w:r>
      <w:r w:rsidR="00041DFE" w:rsidRPr="0071782F">
        <w:rPr>
          <w:lang w:val="fr-CH"/>
        </w:rPr>
        <w:t xml:space="preserve">Éducation formelle et informelle </w:t>
      </w:r>
    </w:p>
    <w:p w:rsidR="00472BB3" w:rsidRPr="0071782F" w:rsidRDefault="00472BB3" w:rsidP="00472BB3">
      <w:pPr>
        <w:pStyle w:val="SingleTxtG"/>
        <w:rPr>
          <w:lang w:val="fr-CH"/>
        </w:rPr>
      </w:pPr>
      <w:r w:rsidRPr="0071782F">
        <w:rPr>
          <w:lang w:val="fr-CH"/>
        </w:rPr>
        <w:t>50.</w:t>
      </w:r>
      <w:r w:rsidRPr="0071782F">
        <w:rPr>
          <w:lang w:val="fr-CH"/>
        </w:rPr>
        <w:tab/>
      </w:r>
      <w:r w:rsidR="00041DFE" w:rsidRPr="0071782F">
        <w:rPr>
          <w:lang w:val="fr-CH"/>
        </w:rPr>
        <w:t xml:space="preserve">En application de la </w:t>
      </w:r>
      <w:r w:rsidRPr="0071782F">
        <w:rPr>
          <w:lang w:val="fr-CH"/>
        </w:rPr>
        <w:t xml:space="preserve">directive </w:t>
      </w:r>
      <w:r w:rsidR="00041DFE" w:rsidRPr="0071782F">
        <w:rPr>
          <w:lang w:val="fr-CH"/>
        </w:rPr>
        <w:t xml:space="preserve">du Haut Conseil pour l’emploi, le </w:t>
      </w:r>
      <w:r w:rsidRPr="0071782F">
        <w:rPr>
          <w:lang w:val="fr-CH"/>
        </w:rPr>
        <w:t>Minist</w:t>
      </w:r>
      <w:r w:rsidR="00041DFE" w:rsidRPr="0071782F">
        <w:rPr>
          <w:lang w:val="fr-CH"/>
        </w:rPr>
        <w:t>ère du travail et des affaires sociale</w:t>
      </w:r>
      <w:r w:rsidR="00CE555D" w:rsidRPr="0071782F">
        <w:rPr>
          <w:lang w:val="fr-CH"/>
        </w:rPr>
        <w:t>s</w:t>
      </w:r>
      <w:r w:rsidR="00041DFE" w:rsidRPr="0071782F">
        <w:rPr>
          <w:lang w:val="fr-CH"/>
        </w:rPr>
        <w:t xml:space="preserve"> est chargé de superviser, en coopé</w:t>
      </w:r>
      <w:r w:rsidRPr="0071782F">
        <w:rPr>
          <w:lang w:val="fr-CH"/>
        </w:rPr>
        <w:t xml:space="preserve">ration </w:t>
      </w:r>
      <w:r w:rsidR="00041DFE" w:rsidRPr="0071782F">
        <w:rPr>
          <w:lang w:val="fr-CH"/>
        </w:rPr>
        <w:t>avec tous les organes d’exécution compétents, l’ensemble de la formation formelle et informelle afin d’évaluer les prestations de tous les établissements d’enseignement en ce qui concerne la formation de la main-d’</w:t>
      </w:r>
      <w:r w:rsidR="00D5366B" w:rsidRPr="0071782F">
        <w:rPr>
          <w:lang w:val="fr-CH"/>
        </w:rPr>
        <w:t>œuvre</w:t>
      </w:r>
      <w:r w:rsidR="00041DFE" w:rsidRPr="0071782F">
        <w:rPr>
          <w:lang w:val="fr-CH"/>
        </w:rPr>
        <w:t xml:space="preserve"> dont le marché du travail a besoin et d’étudier les moyens d’améliorer en conséquence la qualité de l’éducation dispensée.</w:t>
      </w:r>
      <w:r w:rsidRPr="0071782F">
        <w:rPr>
          <w:lang w:val="fr-CH"/>
        </w:rPr>
        <w:t xml:space="preserve"> </w:t>
      </w:r>
    </w:p>
    <w:p w:rsidR="00472BB3" w:rsidRPr="0071782F" w:rsidRDefault="00472BB3" w:rsidP="00C34219">
      <w:pPr>
        <w:pStyle w:val="SingleTxtG"/>
        <w:spacing w:after="0"/>
        <w:ind w:left="1701"/>
        <w:rPr>
          <w:lang w:val="fr-CH"/>
        </w:rPr>
      </w:pPr>
      <w:r w:rsidRPr="0071782F">
        <w:rPr>
          <w:lang w:val="fr-CH"/>
        </w:rPr>
        <w:t>50.1.</w:t>
      </w:r>
      <w:r w:rsidRPr="0071782F">
        <w:rPr>
          <w:lang w:val="fr-CH"/>
        </w:rPr>
        <w:tab/>
      </w:r>
      <w:r w:rsidR="00CE555D" w:rsidRPr="0071782F">
        <w:rPr>
          <w:lang w:val="fr-CH"/>
        </w:rPr>
        <w:t xml:space="preserve">Le Ministère du travail et des affaires sociales doit présenter à la fin de chaque trimestre un rapport d’étape </w:t>
      </w:r>
      <w:r w:rsidRPr="0071782F">
        <w:rPr>
          <w:lang w:val="fr-CH"/>
        </w:rPr>
        <w:t>national</w:t>
      </w:r>
      <w:r w:rsidR="00CE555D" w:rsidRPr="0071782F">
        <w:rPr>
          <w:lang w:val="fr-CH"/>
        </w:rPr>
        <w:t xml:space="preserve"> au Comité économique du Conseil des ministres. </w:t>
      </w:r>
    </w:p>
    <w:p w:rsidR="00205555" w:rsidRPr="0071782F" w:rsidRDefault="00230157" w:rsidP="00230157">
      <w:pPr>
        <w:pStyle w:val="H23G"/>
        <w:rPr>
          <w:lang w:val="fr-CH"/>
        </w:rPr>
      </w:pPr>
      <w:r w:rsidRPr="0071782F">
        <w:rPr>
          <w:lang w:val="fr-CH"/>
        </w:rPr>
        <w:tab/>
      </w:r>
      <w:r w:rsidRPr="0071782F">
        <w:rPr>
          <w:lang w:val="fr-CH"/>
        </w:rPr>
        <w:tab/>
      </w:r>
      <w:r w:rsidR="00205555" w:rsidRPr="0071782F">
        <w:rPr>
          <w:lang w:val="fr-CH"/>
        </w:rPr>
        <w:t xml:space="preserve">Situation </w:t>
      </w:r>
      <w:r w:rsidR="00CE555D" w:rsidRPr="0071782F">
        <w:rPr>
          <w:lang w:val="fr-CH"/>
        </w:rPr>
        <w:t xml:space="preserve">de l’emploi et du chômage </w:t>
      </w:r>
      <w:r w:rsidRPr="0071782F">
        <w:rPr>
          <w:lang w:val="fr-CH"/>
        </w:rPr>
        <w:br/>
      </w:r>
      <w:r w:rsidR="00CE555D" w:rsidRPr="0071782F">
        <w:rPr>
          <w:lang w:val="fr-CH"/>
        </w:rPr>
        <w:t xml:space="preserve">Taux de chômage pendant la période </w:t>
      </w:r>
      <w:r w:rsidR="00205555" w:rsidRPr="0071782F">
        <w:rPr>
          <w:lang w:val="fr-CH"/>
        </w:rPr>
        <w:t>2005</w:t>
      </w:r>
      <w:r w:rsidR="00CE555D" w:rsidRPr="0071782F">
        <w:rPr>
          <w:lang w:val="fr-CH"/>
        </w:rPr>
        <w:t>-</w:t>
      </w:r>
      <w:r w:rsidR="00205555" w:rsidRPr="0071782F">
        <w:rPr>
          <w:lang w:val="fr-CH"/>
        </w:rPr>
        <w:t xml:space="preserve">2008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66"/>
        <w:gridCol w:w="1201"/>
        <w:gridCol w:w="1201"/>
        <w:gridCol w:w="1201"/>
        <w:gridCol w:w="1201"/>
      </w:tblGrid>
      <w:tr w:rsidR="00D63026" w:rsidRPr="0071782F">
        <w:trPr>
          <w:tblHeader/>
        </w:trPr>
        <w:tc>
          <w:tcPr>
            <w:tcW w:w="2566" w:type="dxa"/>
            <w:tcBorders>
              <w:top w:val="single" w:sz="4" w:space="0" w:color="auto"/>
              <w:bottom w:val="single" w:sz="12" w:space="0" w:color="auto"/>
            </w:tcBorders>
            <w:shd w:val="clear" w:color="auto" w:fill="auto"/>
            <w:vAlign w:val="bottom"/>
          </w:tcPr>
          <w:p w:rsidR="00D63026" w:rsidRPr="0071782F" w:rsidRDefault="00CE555D" w:rsidP="001D385D">
            <w:pPr>
              <w:suppressAutoHyphens w:val="0"/>
              <w:spacing w:before="80" w:after="80" w:line="200" w:lineRule="exact"/>
              <w:rPr>
                <w:i/>
                <w:sz w:val="16"/>
                <w:lang w:val="fr-CH"/>
              </w:rPr>
            </w:pPr>
            <w:r w:rsidRPr="0071782F">
              <w:rPr>
                <w:i/>
                <w:sz w:val="16"/>
                <w:lang w:val="fr-CH"/>
              </w:rPr>
              <w:t xml:space="preserve">Année </w:t>
            </w:r>
          </w:p>
        </w:tc>
        <w:tc>
          <w:tcPr>
            <w:tcW w:w="1201" w:type="dxa"/>
            <w:tcBorders>
              <w:top w:val="single" w:sz="4" w:space="0" w:color="auto"/>
              <w:bottom w:val="single" w:sz="12" w:space="0" w:color="auto"/>
            </w:tcBorders>
            <w:shd w:val="clear" w:color="auto" w:fill="auto"/>
            <w:vAlign w:val="bottom"/>
          </w:tcPr>
          <w:p w:rsidR="00D63026" w:rsidRPr="0071782F" w:rsidRDefault="00D63026" w:rsidP="001D385D">
            <w:pPr>
              <w:suppressAutoHyphens w:val="0"/>
              <w:spacing w:before="80" w:after="80" w:line="200" w:lineRule="exact"/>
              <w:jc w:val="right"/>
              <w:rPr>
                <w:i/>
                <w:sz w:val="16"/>
                <w:lang w:val="fr-CH"/>
              </w:rPr>
            </w:pPr>
            <w:r w:rsidRPr="0071782F">
              <w:rPr>
                <w:i/>
                <w:sz w:val="16"/>
                <w:lang w:val="fr-CH"/>
              </w:rPr>
              <w:t>2005</w:t>
            </w:r>
          </w:p>
        </w:tc>
        <w:tc>
          <w:tcPr>
            <w:tcW w:w="1201" w:type="dxa"/>
            <w:tcBorders>
              <w:top w:val="single" w:sz="4" w:space="0" w:color="auto"/>
              <w:bottom w:val="single" w:sz="12" w:space="0" w:color="auto"/>
            </w:tcBorders>
            <w:shd w:val="clear" w:color="auto" w:fill="auto"/>
            <w:vAlign w:val="bottom"/>
          </w:tcPr>
          <w:p w:rsidR="00D63026" w:rsidRPr="0071782F" w:rsidRDefault="00D63026" w:rsidP="001D385D">
            <w:pPr>
              <w:suppressAutoHyphens w:val="0"/>
              <w:spacing w:before="80" w:after="80" w:line="200" w:lineRule="exact"/>
              <w:jc w:val="right"/>
              <w:rPr>
                <w:i/>
                <w:sz w:val="16"/>
                <w:lang w:val="fr-CH"/>
              </w:rPr>
            </w:pPr>
            <w:r w:rsidRPr="0071782F">
              <w:rPr>
                <w:i/>
                <w:sz w:val="16"/>
                <w:lang w:val="fr-CH"/>
              </w:rPr>
              <w:t>2006</w:t>
            </w:r>
          </w:p>
        </w:tc>
        <w:tc>
          <w:tcPr>
            <w:tcW w:w="1201" w:type="dxa"/>
            <w:tcBorders>
              <w:top w:val="single" w:sz="4" w:space="0" w:color="auto"/>
              <w:bottom w:val="single" w:sz="12" w:space="0" w:color="auto"/>
            </w:tcBorders>
            <w:shd w:val="clear" w:color="auto" w:fill="auto"/>
            <w:vAlign w:val="bottom"/>
          </w:tcPr>
          <w:p w:rsidR="00D63026" w:rsidRPr="0071782F" w:rsidRDefault="00D63026" w:rsidP="001D385D">
            <w:pPr>
              <w:suppressAutoHyphens w:val="0"/>
              <w:spacing w:before="80" w:after="80" w:line="200" w:lineRule="exact"/>
              <w:jc w:val="right"/>
              <w:rPr>
                <w:i/>
                <w:sz w:val="16"/>
                <w:lang w:val="fr-CH"/>
              </w:rPr>
            </w:pPr>
            <w:r w:rsidRPr="0071782F">
              <w:rPr>
                <w:i/>
                <w:sz w:val="16"/>
                <w:lang w:val="fr-CH"/>
              </w:rPr>
              <w:t>2007</w:t>
            </w:r>
          </w:p>
        </w:tc>
        <w:tc>
          <w:tcPr>
            <w:tcW w:w="1201" w:type="dxa"/>
            <w:tcBorders>
              <w:top w:val="single" w:sz="4" w:space="0" w:color="auto"/>
              <w:bottom w:val="single" w:sz="12" w:space="0" w:color="auto"/>
            </w:tcBorders>
            <w:shd w:val="clear" w:color="auto" w:fill="auto"/>
            <w:vAlign w:val="bottom"/>
          </w:tcPr>
          <w:p w:rsidR="00D63026" w:rsidRPr="0071782F" w:rsidRDefault="00D63026" w:rsidP="001D385D">
            <w:pPr>
              <w:suppressAutoHyphens w:val="0"/>
              <w:spacing w:before="80" w:after="80" w:line="200" w:lineRule="exact"/>
              <w:jc w:val="right"/>
              <w:rPr>
                <w:i/>
                <w:sz w:val="16"/>
                <w:lang w:val="fr-CH"/>
              </w:rPr>
            </w:pPr>
            <w:r w:rsidRPr="0071782F">
              <w:rPr>
                <w:i/>
                <w:sz w:val="16"/>
                <w:lang w:val="fr-CH"/>
              </w:rPr>
              <w:t>2008</w:t>
            </w:r>
          </w:p>
        </w:tc>
      </w:tr>
      <w:tr w:rsidR="00D63026" w:rsidRPr="0071782F">
        <w:tc>
          <w:tcPr>
            <w:tcW w:w="2566" w:type="dxa"/>
            <w:tcBorders>
              <w:top w:val="single" w:sz="12" w:space="0" w:color="auto"/>
            </w:tcBorders>
            <w:shd w:val="clear" w:color="auto" w:fill="auto"/>
            <w:vAlign w:val="bottom"/>
          </w:tcPr>
          <w:p w:rsidR="00D63026" w:rsidRPr="0071782F" w:rsidRDefault="00CE555D" w:rsidP="001D385D">
            <w:pPr>
              <w:suppressAutoHyphens w:val="0"/>
              <w:spacing w:before="40" w:after="40" w:line="220" w:lineRule="exact"/>
              <w:rPr>
                <w:sz w:val="18"/>
                <w:lang w:val="fr-CH"/>
              </w:rPr>
            </w:pPr>
            <w:r w:rsidRPr="0071782F">
              <w:rPr>
                <w:sz w:val="18"/>
                <w:lang w:val="fr-CH"/>
              </w:rPr>
              <w:t xml:space="preserve">Taux de chômage </w:t>
            </w:r>
          </w:p>
        </w:tc>
        <w:tc>
          <w:tcPr>
            <w:tcW w:w="1201" w:type="dxa"/>
            <w:tcBorders>
              <w:top w:val="single" w:sz="12" w:space="0" w:color="auto"/>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11</w:t>
            </w:r>
            <w:r w:rsidR="003F0F72" w:rsidRPr="0071782F">
              <w:rPr>
                <w:sz w:val="18"/>
                <w:lang w:val="fr-CH"/>
              </w:rPr>
              <w:t>,</w:t>
            </w:r>
            <w:r w:rsidRPr="0071782F">
              <w:rPr>
                <w:sz w:val="18"/>
                <w:lang w:val="fr-CH"/>
              </w:rPr>
              <w:t>5</w:t>
            </w:r>
          </w:p>
        </w:tc>
        <w:tc>
          <w:tcPr>
            <w:tcW w:w="1201" w:type="dxa"/>
            <w:tcBorders>
              <w:top w:val="single" w:sz="12" w:space="0" w:color="auto"/>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11</w:t>
            </w:r>
            <w:r w:rsidR="003F0F72" w:rsidRPr="0071782F">
              <w:rPr>
                <w:sz w:val="18"/>
                <w:lang w:val="fr-CH"/>
              </w:rPr>
              <w:t>,</w:t>
            </w:r>
            <w:r w:rsidRPr="0071782F">
              <w:rPr>
                <w:sz w:val="18"/>
                <w:lang w:val="fr-CH"/>
              </w:rPr>
              <w:t>3</w:t>
            </w:r>
          </w:p>
        </w:tc>
        <w:tc>
          <w:tcPr>
            <w:tcW w:w="1201" w:type="dxa"/>
            <w:tcBorders>
              <w:top w:val="single" w:sz="12" w:space="0" w:color="auto"/>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10</w:t>
            </w:r>
            <w:r w:rsidR="003F0F72" w:rsidRPr="0071782F">
              <w:rPr>
                <w:sz w:val="18"/>
                <w:lang w:val="fr-CH"/>
              </w:rPr>
              <w:t>,</w:t>
            </w:r>
            <w:r w:rsidRPr="0071782F">
              <w:rPr>
                <w:sz w:val="18"/>
                <w:lang w:val="fr-CH"/>
              </w:rPr>
              <w:t>5</w:t>
            </w:r>
          </w:p>
        </w:tc>
        <w:tc>
          <w:tcPr>
            <w:tcW w:w="1201" w:type="dxa"/>
            <w:tcBorders>
              <w:top w:val="single" w:sz="12" w:space="0" w:color="auto"/>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10</w:t>
            </w:r>
            <w:r w:rsidR="003F0F72" w:rsidRPr="0071782F">
              <w:rPr>
                <w:sz w:val="18"/>
                <w:lang w:val="fr-CH"/>
              </w:rPr>
              <w:t>,</w:t>
            </w:r>
            <w:r w:rsidRPr="0071782F">
              <w:rPr>
                <w:sz w:val="18"/>
                <w:lang w:val="fr-CH"/>
              </w:rPr>
              <w:t>4</w:t>
            </w:r>
          </w:p>
        </w:tc>
      </w:tr>
    </w:tbl>
    <w:p w:rsidR="00177D28" w:rsidRPr="0071782F" w:rsidRDefault="00CE555D" w:rsidP="00D63026">
      <w:pPr>
        <w:pStyle w:val="H23G"/>
        <w:rPr>
          <w:lang w:val="fr-CH"/>
        </w:rPr>
      </w:pPr>
      <w:r w:rsidRPr="0071782F">
        <w:rPr>
          <w:lang w:val="fr-CH"/>
        </w:rPr>
        <w:tab/>
      </w:r>
      <w:r w:rsidRPr="0071782F">
        <w:rPr>
          <w:lang w:val="fr-CH"/>
        </w:rPr>
        <w:tab/>
        <w:t>Indicateu</w:t>
      </w:r>
      <w:r w:rsidR="00D63026" w:rsidRPr="0071782F">
        <w:rPr>
          <w:lang w:val="fr-CH"/>
        </w:rPr>
        <w:t xml:space="preserve">rs </w:t>
      </w:r>
      <w:r w:rsidRPr="0071782F">
        <w:rPr>
          <w:lang w:val="fr-CH"/>
        </w:rPr>
        <w:t>de la main-d’</w:t>
      </w:r>
      <w:r w:rsidR="00D5366B" w:rsidRPr="0071782F">
        <w:rPr>
          <w:lang w:val="fr-CH"/>
        </w:rPr>
        <w:t>œuvre</w:t>
      </w:r>
      <w:r w:rsidRPr="0071782F">
        <w:rPr>
          <w:lang w:val="fr-CH"/>
        </w:rPr>
        <w:t xml:space="preserve"> en </w:t>
      </w:r>
      <w:r w:rsidR="00D63026" w:rsidRPr="0071782F">
        <w:rPr>
          <w:lang w:val="fr-CH"/>
        </w:rPr>
        <w:t>2005</w:t>
      </w:r>
      <w:r w:rsidRPr="0071782F">
        <w:rPr>
          <w:lang w:val="fr-CH"/>
        </w:rPr>
        <w:t xml:space="preserve">, en pourcentage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410"/>
        <w:gridCol w:w="1256"/>
        <w:gridCol w:w="700"/>
        <w:gridCol w:w="800"/>
        <w:gridCol w:w="1100"/>
        <w:gridCol w:w="1104"/>
      </w:tblGrid>
      <w:tr w:rsidR="00D63026" w:rsidRPr="0071782F">
        <w:trPr>
          <w:tblHeader/>
        </w:trPr>
        <w:tc>
          <w:tcPr>
            <w:tcW w:w="2410" w:type="dxa"/>
            <w:tcBorders>
              <w:top w:val="single" w:sz="4" w:space="0" w:color="auto"/>
              <w:bottom w:val="single" w:sz="12" w:space="0" w:color="auto"/>
            </w:tcBorders>
            <w:shd w:val="clear" w:color="auto" w:fill="auto"/>
            <w:vAlign w:val="bottom"/>
          </w:tcPr>
          <w:p w:rsidR="00D63026" w:rsidRPr="0071782F" w:rsidRDefault="00D63026" w:rsidP="001D385D">
            <w:pPr>
              <w:suppressAutoHyphens w:val="0"/>
              <w:spacing w:before="80" w:after="80" w:line="200" w:lineRule="exact"/>
              <w:rPr>
                <w:i/>
                <w:sz w:val="16"/>
                <w:lang w:val="fr-CH"/>
              </w:rPr>
            </w:pPr>
            <w:r w:rsidRPr="0071782F">
              <w:rPr>
                <w:i/>
                <w:sz w:val="16"/>
                <w:lang w:val="fr-CH"/>
              </w:rPr>
              <w:t>Indicat</w:t>
            </w:r>
            <w:r w:rsidR="00CE555D" w:rsidRPr="0071782F">
              <w:rPr>
                <w:i/>
                <w:sz w:val="16"/>
                <w:lang w:val="fr-CH"/>
              </w:rPr>
              <w:t>eu</w:t>
            </w:r>
            <w:r w:rsidRPr="0071782F">
              <w:rPr>
                <w:i/>
                <w:sz w:val="16"/>
                <w:lang w:val="fr-CH"/>
              </w:rPr>
              <w:t>rs</w:t>
            </w:r>
          </w:p>
        </w:tc>
        <w:tc>
          <w:tcPr>
            <w:tcW w:w="1256" w:type="dxa"/>
            <w:tcBorders>
              <w:top w:val="single" w:sz="4" w:space="0" w:color="auto"/>
              <w:bottom w:val="single" w:sz="12" w:space="0" w:color="auto"/>
            </w:tcBorders>
            <w:shd w:val="clear" w:color="auto" w:fill="auto"/>
            <w:vAlign w:val="bottom"/>
          </w:tcPr>
          <w:p w:rsidR="00D63026" w:rsidRPr="0071782F" w:rsidRDefault="00CE555D" w:rsidP="001D385D">
            <w:pPr>
              <w:suppressAutoHyphens w:val="0"/>
              <w:spacing w:before="80" w:after="80" w:line="200" w:lineRule="exact"/>
              <w:jc w:val="right"/>
              <w:rPr>
                <w:i/>
                <w:sz w:val="16"/>
                <w:lang w:val="fr-CH"/>
              </w:rPr>
            </w:pPr>
            <w:r w:rsidRPr="0071782F">
              <w:rPr>
                <w:i/>
                <w:sz w:val="16"/>
                <w:lang w:val="fr-CH"/>
              </w:rPr>
              <w:t xml:space="preserve">Ensemble du pays </w:t>
            </w:r>
          </w:p>
        </w:tc>
        <w:tc>
          <w:tcPr>
            <w:tcW w:w="700" w:type="dxa"/>
            <w:tcBorders>
              <w:top w:val="single" w:sz="4" w:space="0" w:color="auto"/>
              <w:bottom w:val="single" w:sz="12" w:space="0" w:color="auto"/>
            </w:tcBorders>
            <w:shd w:val="clear" w:color="auto" w:fill="auto"/>
            <w:vAlign w:val="bottom"/>
          </w:tcPr>
          <w:p w:rsidR="00D63026" w:rsidRPr="0071782F" w:rsidRDefault="00CE555D" w:rsidP="001D385D">
            <w:pPr>
              <w:suppressAutoHyphens w:val="0"/>
              <w:spacing w:before="80" w:after="80" w:line="200" w:lineRule="exact"/>
              <w:jc w:val="right"/>
              <w:rPr>
                <w:i/>
                <w:sz w:val="16"/>
                <w:lang w:val="fr-CH"/>
              </w:rPr>
            </w:pPr>
            <w:r w:rsidRPr="0071782F">
              <w:rPr>
                <w:i/>
                <w:sz w:val="16"/>
                <w:lang w:val="fr-CH"/>
              </w:rPr>
              <w:t>Hommes</w:t>
            </w:r>
          </w:p>
        </w:tc>
        <w:tc>
          <w:tcPr>
            <w:tcW w:w="800" w:type="dxa"/>
            <w:tcBorders>
              <w:top w:val="single" w:sz="4" w:space="0" w:color="auto"/>
              <w:bottom w:val="single" w:sz="12" w:space="0" w:color="auto"/>
            </w:tcBorders>
            <w:shd w:val="clear" w:color="auto" w:fill="auto"/>
            <w:vAlign w:val="bottom"/>
          </w:tcPr>
          <w:p w:rsidR="00D63026" w:rsidRPr="0071782F" w:rsidRDefault="00D63026" w:rsidP="001D385D">
            <w:pPr>
              <w:suppressAutoHyphens w:val="0"/>
              <w:spacing w:before="80" w:after="80" w:line="200" w:lineRule="exact"/>
              <w:jc w:val="right"/>
              <w:rPr>
                <w:i/>
                <w:sz w:val="16"/>
                <w:lang w:val="fr-CH"/>
              </w:rPr>
            </w:pPr>
            <w:r w:rsidRPr="0071782F">
              <w:rPr>
                <w:i/>
                <w:sz w:val="16"/>
                <w:lang w:val="fr-CH"/>
              </w:rPr>
              <w:t>Fem</w:t>
            </w:r>
            <w:r w:rsidR="00CE555D" w:rsidRPr="0071782F">
              <w:rPr>
                <w:i/>
                <w:sz w:val="16"/>
                <w:lang w:val="fr-CH"/>
              </w:rPr>
              <w:t>mes</w:t>
            </w:r>
          </w:p>
        </w:tc>
        <w:tc>
          <w:tcPr>
            <w:tcW w:w="1100" w:type="dxa"/>
            <w:tcBorders>
              <w:top w:val="single" w:sz="4" w:space="0" w:color="auto"/>
              <w:bottom w:val="single" w:sz="12" w:space="0" w:color="auto"/>
            </w:tcBorders>
            <w:shd w:val="clear" w:color="auto" w:fill="auto"/>
            <w:vAlign w:val="bottom"/>
          </w:tcPr>
          <w:p w:rsidR="00D63026" w:rsidRPr="0071782F" w:rsidRDefault="00CE555D" w:rsidP="001D385D">
            <w:pPr>
              <w:suppressAutoHyphens w:val="0"/>
              <w:spacing w:before="80" w:after="80" w:line="200" w:lineRule="exact"/>
              <w:jc w:val="right"/>
              <w:rPr>
                <w:i/>
                <w:sz w:val="16"/>
                <w:lang w:val="fr-CH"/>
              </w:rPr>
            </w:pPr>
            <w:r w:rsidRPr="0071782F">
              <w:rPr>
                <w:i/>
                <w:sz w:val="16"/>
                <w:lang w:val="fr-CH"/>
              </w:rPr>
              <w:t xml:space="preserve">Zones urbaines </w:t>
            </w:r>
          </w:p>
        </w:tc>
        <w:tc>
          <w:tcPr>
            <w:tcW w:w="1104" w:type="dxa"/>
            <w:tcBorders>
              <w:top w:val="single" w:sz="4" w:space="0" w:color="auto"/>
              <w:bottom w:val="single" w:sz="12" w:space="0" w:color="auto"/>
            </w:tcBorders>
            <w:shd w:val="clear" w:color="auto" w:fill="auto"/>
            <w:vAlign w:val="bottom"/>
          </w:tcPr>
          <w:p w:rsidR="00D63026" w:rsidRPr="0071782F" w:rsidRDefault="00CE555D" w:rsidP="001D385D">
            <w:pPr>
              <w:suppressAutoHyphens w:val="0"/>
              <w:spacing w:before="80" w:after="80" w:line="200" w:lineRule="exact"/>
              <w:jc w:val="right"/>
              <w:rPr>
                <w:i/>
                <w:sz w:val="16"/>
                <w:lang w:val="fr-CH"/>
              </w:rPr>
            </w:pPr>
            <w:r w:rsidRPr="0071782F">
              <w:rPr>
                <w:i/>
                <w:sz w:val="16"/>
                <w:lang w:val="fr-CH"/>
              </w:rPr>
              <w:t>Zones r</w:t>
            </w:r>
            <w:r w:rsidR="00D63026" w:rsidRPr="0071782F">
              <w:rPr>
                <w:i/>
                <w:sz w:val="16"/>
                <w:lang w:val="fr-CH"/>
              </w:rPr>
              <w:t>ural</w:t>
            </w:r>
            <w:r w:rsidRPr="0071782F">
              <w:rPr>
                <w:i/>
                <w:sz w:val="16"/>
                <w:lang w:val="fr-CH"/>
              </w:rPr>
              <w:t>es</w:t>
            </w:r>
            <w:r w:rsidR="00D63026" w:rsidRPr="0071782F">
              <w:rPr>
                <w:i/>
                <w:sz w:val="16"/>
                <w:lang w:val="fr-CH"/>
              </w:rPr>
              <w:t xml:space="preserve"> </w:t>
            </w:r>
          </w:p>
        </w:tc>
      </w:tr>
      <w:tr w:rsidR="00D63026" w:rsidRPr="0071782F">
        <w:tc>
          <w:tcPr>
            <w:tcW w:w="2410" w:type="dxa"/>
            <w:tcBorders>
              <w:top w:val="single" w:sz="12" w:space="0" w:color="auto"/>
              <w:bottom w:val="nil"/>
            </w:tcBorders>
            <w:shd w:val="clear" w:color="auto" w:fill="auto"/>
            <w:vAlign w:val="bottom"/>
          </w:tcPr>
          <w:p w:rsidR="00D63026" w:rsidRPr="0071782F" w:rsidRDefault="00CE555D" w:rsidP="001D385D">
            <w:pPr>
              <w:suppressAutoHyphens w:val="0"/>
              <w:spacing w:before="40" w:after="40" w:line="220" w:lineRule="exact"/>
              <w:rPr>
                <w:sz w:val="18"/>
                <w:lang w:val="fr-CH"/>
              </w:rPr>
            </w:pPr>
            <w:r w:rsidRPr="0071782F">
              <w:rPr>
                <w:sz w:val="18"/>
                <w:lang w:val="fr-CH"/>
              </w:rPr>
              <w:t>Activité économique d’une durée d’au moins 10</w:t>
            </w:r>
            <w:r w:rsidR="00D82C96" w:rsidRPr="0071782F">
              <w:rPr>
                <w:sz w:val="18"/>
                <w:lang w:val="fr-CH"/>
              </w:rPr>
              <w:t> ans</w:t>
            </w:r>
          </w:p>
        </w:tc>
        <w:tc>
          <w:tcPr>
            <w:tcW w:w="1256" w:type="dxa"/>
            <w:tcBorders>
              <w:top w:val="single" w:sz="12" w:space="0" w:color="auto"/>
              <w:bottom w:val="nil"/>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41</w:t>
            </w:r>
          </w:p>
        </w:tc>
        <w:tc>
          <w:tcPr>
            <w:tcW w:w="700" w:type="dxa"/>
            <w:tcBorders>
              <w:top w:val="single" w:sz="12" w:space="0" w:color="auto"/>
              <w:bottom w:val="nil"/>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64</w:t>
            </w:r>
            <w:r w:rsidR="003F0F72" w:rsidRPr="0071782F">
              <w:rPr>
                <w:sz w:val="18"/>
                <w:lang w:val="fr-CH"/>
              </w:rPr>
              <w:t>,</w:t>
            </w:r>
            <w:r w:rsidRPr="0071782F">
              <w:rPr>
                <w:sz w:val="18"/>
                <w:lang w:val="fr-CH"/>
              </w:rPr>
              <w:t>7</w:t>
            </w:r>
          </w:p>
        </w:tc>
        <w:tc>
          <w:tcPr>
            <w:tcW w:w="800" w:type="dxa"/>
            <w:tcBorders>
              <w:top w:val="single" w:sz="12" w:space="0" w:color="auto"/>
              <w:bottom w:val="nil"/>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17</w:t>
            </w:r>
          </w:p>
        </w:tc>
        <w:tc>
          <w:tcPr>
            <w:tcW w:w="1100" w:type="dxa"/>
            <w:tcBorders>
              <w:top w:val="single" w:sz="12" w:space="0" w:color="auto"/>
              <w:bottom w:val="nil"/>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39</w:t>
            </w:r>
            <w:r w:rsidR="003F0F72" w:rsidRPr="0071782F">
              <w:rPr>
                <w:sz w:val="18"/>
                <w:lang w:val="fr-CH"/>
              </w:rPr>
              <w:t>,</w:t>
            </w:r>
            <w:r w:rsidRPr="0071782F">
              <w:rPr>
                <w:sz w:val="18"/>
                <w:lang w:val="fr-CH"/>
              </w:rPr>
              <w:t>4</w:t>
            </w:r>
          </w:p>
        </w:tc>
        <w:tc>
          <w:tcPr>
            <w:tcW w:w="1104" w:type="dxa"/>
            <w:tcBorders>
              <w:top w:val="single" w:sz="12" w:space="0" w:color="auto"/>
              <w:bottom w:val="nil"/>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44</w:t>
            </w:r>
            <w:r w:rsidR="003F0F72" w:rsidRPr="0071782F">
              <w:rPr>
                <w:sz w:val="18"/>
                <w:lang w:val="fr-CH"/>
              </w:rPr>
              <w:t>,</w:t>
            </w:r>
            <w:r w:rsidRPr="0071782F">
              <w:rPr>
                <w:sz w:val="18"/>
                <w:lang w:val="fr-CH"/>
              </w:rPr>
              <w:t>7</w:t>
            </w:r>
          </w:p>
        </w:tc>
      </w:tr>
      <w:tr w:rsidR="00D63026" w:rsidRPr="0071782F">
        <w:tc>
          <w:tcPr>
            <w:tcW w:w="2410" w:type="dxa"/>
            <w:tcBorders>
              <w:top w:val="nil"/>
              <w:bottom w:val="nil"/>
            </w:tcBorders>
            <w:shd w:val="clear" w:color="auto" w:fill="auto"/>
            <w:vAlign w:val="bottom"/>
          </w:tcPr>
          <w:p w:rsidR="00D63026" w:rsidRPr="0071782F" w:rsidRDefault="00CE555D" w:rsidP="001D385D">
            <w:pPr>
              <w:suppressAutoHyphens w:val="0"/>
              <w:spacing w:before="40" w:after="40" w:line="220" w:lineRule="exact"/>
              <w:rPr>
                <w:sz w:val="18"/>
                <w:lang w:val="fr-CH"/>
              </w:rPr>
            </w:pPr>
            <w:r w:rsidRPr="0071782F">
              <w:rPr>
                <w:sz w:val="18"/>
                <w:lang w:val="fr-CH"/>
              </w:rPr>
              <w:t>Chômage d’une durée d’au moins 10</w:t>
            </w:r>
            <w:r w:rsidR="00D82C96" w:rsidRPr="0071782F">
              <w:rPr>
                <w:sz w:val="18"/>
                <w:lang w:val="fr-CH"/>
              </w:rPr>
              <w:t> ans</w:t>
            </w:r>
          </w:p>
        </w:tc>
        <w:tc>
          <w:tcPr>
            <w:tcW w:w="1256" w:type="dxa"/>
            <w:tcBorders>
              <w:top w:val="nil"/>
              <w:bottom w:val="nil"/>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11</w:t>
            </w:r>
            <w:r w:rsidR="003F0F72" w:rsidRPr="0071782F">
              <w:rPr>
                <w:sz w:val="18"/>
                <w:lang w:val="fr-CH"/>
              </w:rPr>
              <w:t>,</w:t>
            </w:r>
            <w:r w:rsidRPr="0071782F">
              <w:rPr>
                <w:sz w:val="18"/>
                <w:lang w:val="fr-CH"/>
              </w:rPr>
              <w:t>5</w:t>
            </w:r>
          </w:p>
        </w:tc>
        <w:tc>
          <w:tcPr>
            <w:tcW w:w="700" w:type="dxa"/>
            <w:tcBorders>
              <w:top w:val="nil"/>
              <w:bottom w:val="nil"/>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10</w:t>
            </w:r>
            <w:r w:rsidR="003F0F72" w:rsidRPr="0071782F">
              <w:rPr>
                <w:sz w:val="18"/>
                <w:lang w:val="fr-CH"/>
              </w:rPr>
              <w:t>,</w:t>
            </w:r>
            <w:r w:rsidRPr="0071782F">
              <w:rPr>
                <w:sz w:val="18"/>
                <w:lang w:val="fr-CH"/>
              </w:rPr>
              <w:t>0</w:t>
            </w:r>
          </w:p>
        </w:tc>
        <w:tc>
          <w:tcPr>
            <w:tcW w:w="800" w:type="dxa"/>
            <w:tcBorders>
              <w:top w:val="nil"/>
              <w:bottom w:val="nil"/>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17</w:t>
            </w:r>
            <w:r w:rsidR="003F0F72" w:rsidRPr="0071782F">
              <w:rPr>
                <w:sz w:val="18"/>
                <w:lang w:val="fr-CH"/>
              </w:rPr>
              <w:t>,</w:t>
            </w:r>
            <w:r w:rsidRPr="0071782F">
              <w:rPr>
                <w:sz w:val="18"/>
                <w:lang w:val="fr-CH"/>
              </w:rPr>
              <w:t>1</w:t>
            </w:r>
          </w:p>
        </w:tc>
        <w:tc>
          <w:tcPr>
            <w:tcW w:w="1100" w:type="dxa"/>
            <w:tcBorders>
              <w:top w:val="nil"/>
              <w:bottom w:val="nil"/>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13</w:t>
            </w:r>
            <w:r w:rsidR="003F0F72" w:rsidRPr="0071782F">
              <w:rPr>
                <w:sz w:val="18"/>
                <w:lang w:val="fr-CH"/>
              </w:rPr>
              <w:t>,</w:t>
            </w:r>
            <w:r w:rsidRPr="0071782F">
              <w:rPr>
                <w:sz w:val="18"/>
                <w:lang w:val="fr-CH"/>
              </w:rPr>
              <w:t>8</w:t>
            </w:r>
          </w:p>
        </w:tc>
        <w:tc>
          <w:tcPr>
            <w:tcW w:w="1104" w:type="dxa"/>
            <w:tcBorders>
              <w:top w:val="nil"/>
              <w:bottom w:val="nil"/>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7</w:t>
            </w:r>
            <w:r w:rsidR="003F0F72" w:rsidRPr="0071782F">
              <w:rPr>
                <w:sz w:val="18"/>
                <w:lang w:val="fr-CH"/>
              </w:rPr>
              <w:t>,</w:t>
            </w:r>
            <w:r w:rsidRPr="0071782F">
              <w:rPr>
                <w:sz w:val="18"/>
                <w:lang w:val="fr-CH"/>
              </w:rPr>
              <w:t>1</w:t>
            </w:r>
          </w:p>
        </w:tc>
      </w:tr>
      <w:tr w:rsidR="00D63026" w:rsidRPr="0071782F">
        <w:tc>
          <w:tcPr>
            <w:tcW w:w="2410" w:type="dxa"/>
            <w:tcBorders>
              <w:top w:val="nil"/>
            </w:tcBorders>
            <w:shd w:val="clear" w:color="auto" w:fill="auto"/>
            <w:vAlign w:val="bottom"/>
          </w:tcPr>
          <w:p w:rsidR="00D63026" w:rsidRPr="0071782F" w:rsidRDefault="00CE555D" w:rsidP="001D385D">
            <w:pPr>
              <w:suppressAutoHyphens w:val="0"/>
              <w:spacing w:before="40" w:after="40" w:line="220" w:lineRule="exact"/>
              <w:rPr>
                <w:sz w:val="18"/>
                <w:lang w:val="fr-CH"/>
              </w:rPr>
            </w:pPr>
            <w:r w:rsidRPr="0071782F">
              <w:rPr>
                <w:sz w:val="18"/>
                <w:lang w:val="fr-CH"/>
              </w:rPr>
              <w:t>Chômage des jeunes</w:t>
            </w:r>
            <w:r w:rsidRPr="0071782F">
              <w:rPr>
                <w:sz w:val="18"/>
                <w:lang w:val="fr-CH"/>
              </w:rPr>
              <w:br/>
              <w:t>(15-29</w:t>
            </w:r>
            <w:r w:rsidR="00D82C96" w:rsidRPr="0071782F">
              <w:rPr>
                <w:sz w:val="18"/>
                <w:lang w:val="fr-CH"/>
              </w:rPr>
              <w:t> ans</w:t>
            </w:r>
            <w:r w:rsidRPr="0071782F">
              <w:rPr>
                <w:sz w:val="18"/>
                <w:lang w:val="fr-CH"/>
              </w:rPr>
              <w:t>)</w:t>
            </w:r>
          </w:p>
        </w:tc>
        <w:tc>
          <w:tcPr>
            <w:tcW w:w="1256" w:type="dxa"/>
            <w:tcBorders>
              <w:top w:val="nil"/>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20</w:t>
            </w:r>
            <w:r w:rsidR="003F0F72" w:rsidRPr="0071782F">
              <w:rPr>
                <w:sz w:val="18"/>
                <w:lang w:val="fr-CH"/>
              </w:rPr>
              <w:t>,</w:t>
            </w:r>
            <w:r w:rsidRPr="0071782F">
              <w:rPr>
                <w:sz w:val="18"/>
                <w:lang w:val="fr-CH"/>
              </w:rPr>
              <w:t>6</w:t>
            </w:r>
          </w:p>
        </w:tc>
        <w:tc>
          <w:tcPr>
            <w:tcW w:w="700" w:type="dxa"/>
            <w:tcBorders>
              <w:top w:val="nil"/>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17</w:t>
            </w:r>
            <w:r w:rsidR="003F0F72" w:rsidRPr="0071782F">
              <w:rPr>
                <w:sz w:val="18"/>
                <w:lang w:val="fr-CH"/>
              </w:rPr>
              <w:t>,</w:t>
            </w:r>
            <w:r w:rsidRPr="0071782F">
              <w:rPr>
                <w:sz w:val="18"/>
                <w:lang w:val="fr-CH"/>
              </w:rPr>
              <w:t>8</w:t>
            </w:r>
          </w:p>
        </w:tc>
        <w:tc>
          <w:tcPr>
            <w:tcW w:w="800" w:type="dxa"/>
            <w:tcBorders>
              <w:top w:val="nil"/>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29</w:t>
            </w:r>
            <w:r w:rsidR="003F0F72" w:rsidRPr="0071782F">
              <w:rPr>
                <w:sz w:val="18"/>
                <w:lang w:val="fr-CH"/>
              </w:rPr>
              <w:t>,</w:t>
            </w:r>
            <w:r w:rsidRPr="0071782F">
              <w:rPr>
                <w:sz w:val="18"/>
                <w:lang w:val="fr-CH"/>
              </w:rPr>
              <w:t>9</w:t>
            </w:r>
          </w:p>
        </w:tc>
        <w:tc>
          <w:tcPr>
            <w:tcW w:w="1100" w:type="dxa"/>
            <w:tcBorders>
              <w:top w:val="nil"/>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25</w:t>
            </w:r>
            <w:r w:rsidR="003F0F72" w:rsidRPr="0071782F">
              <w:rPr>
                <w:sz w:val="18"/>
                <w:lang w:val="fr-CH"/>
              </w:rPr>
              <w:t>,</w:t>
            </w:r>
            <w:r w:rsidRPr="0071782F">
              <w:rPr>
                <w:sz w:val="18"/>
                <w:lang w:val="fr-CH"/>
              </w:rPr>
              <w:t>0</w:t>
            </w:r>
          </w:p>
        </w:tc>
        <w:tc>
          <w:tcPr>
            <w:tcW w:w="1104" w:type="dxa"/>
            <w:tcBorders>
              <w:top w:val="nil"/>
            </w:tcBorders>
            <w:shd w:val="clear" w:color="auto" w:fill="auto"/>
            <w:vAlign w:val="bottom"/>
          </w:tcPr>
          <w:p w:rsidR="00D63026" w:rsidRPr="0071782F" w:rsidRDefault="00D63026" w:rsidP="001D385D">
            <w:pPr>
              <w:suppressAutoHyphens w:val="0"/>
              <w:spacing w:before="40" w:after="40" w:line="220" w:lineRule="exact"/>
              <w:jc w:val="right"/>
              <w:rPr>
                <w:sz w:val="18"/>
                <w:lang w:val="fr-CH"/>
              </w:rPr>
            </w:pPr>
            <w:r w:rsidRPr="0071782F">
              <w:rPr>
                <w:sz w:val="18"/>
                <w:lang w:val="fr-CH"/>
              </w:rPr>
              <w:t>12</w:t>
            </w:r>
            <w:r w:rsidR="003F0F72" w:rsidRPr="0071782F">
              <w:rPr>
                <w:sz w:val="18"/>
                <w:lang w:val="fr-CH"/>
              </w:rPr>
              <w:t>,</w:t>
            </w:r>
            <w:r w:rsidRPr="0071782F">
              <w:rPr>
                <w:sz w:val="18"/>
                <w:lang w:val="fr-CH"/>
              </w:rPr>
              <w:t>8</w:t>
            </w:r>
          </w:p>
        </w:tc>
      </w:tr>
    </w:tbl>
    <w:p w:rsidR="000673F0" w:rsidRPr="0071782F" w:rsidRDefault="000673F0" w:rsidP="00FA461D">
      <w:pPr>
        <w:pStyle w:val="H23G"/>
        <w:rPr>
          <w:lang w:val="fr-CH"/>
        </w:rPr>
      </w:pPr>
      <w:r w:rsidRPr="0071782F">
        <w:rPr>
          <w:lang w:val="fr-CH"/>
        </w:rPr>
        <w:tab/>
      </w:r>
      <w:r w:rsidR="00FA461D" w:rsidRPr="0071782F">
        <w:rPr>
          <w:lang w:val="fr-CH"/>
        </w:rPr>
        <w:tab/>
      </w:r>
      <w:r w:rsidR="00CE555D" w:rsidRPr="0071782F">
        <w:rPr>
          <w:lang w:val="fr-CH"/>
        </w:rPr>
        <w:t>Indicateurs de la main-d’</w:t>
      </w:r>
      <w:r w:rsidR="00D5366B" w:rsidRPr="0071782F">
        <w:rPr>
          <w:lang w:val="fr-CH"/>
        </w:rPr>
        <w:t>œuvre</w:t>
      </w:r>
      <w:r w:rsidR="00CE555D" w:rsidRPr="0071782F">
        <w:rPr>
          <w:lang w:val="fr-CH"/>
        </w:rPr>
        <w:t xml:space="preserve"> en 2008, en pourcentage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6"/>
        <w:gridCol w:w="1400"/>
        <w:gridCol w:w="700"/>
        <w:gridCol w:w="800"/>
        <w:gridCol w:w="1100"/>
        <w:gridCol w:w="1104"/>
      </w:tblGrid>
      <w:tr w:rsidR="000673F0" w:rsidRPr="0071782F">
        <w:trPr>
          <w:tblHeader/>
        </w:trPr>
        <w:tc>
          <w:tcPr>
            <w:tcW w:w="2266" w:type="dxa"/>
            <w:tcBorders>
              <w:top w:val="single" w:sz="4" w:space="0" w:color="auto"/>
              <w:bottom w:val="single" w:sz="12" w:space="0" w:color="auto"/>
            </w:tcBorders>
            <w:shd w:val="clear" w:color="auto" w:fill="auto"/>
            <w:vAlign w:val="bottom"/>
          </w:tcPr>
          <w:p w:rsidR="000673F0" w:rsidRPr="0071782F" w:rsidRDefault="000673F0" w:rsidP="001D385D">
            <w:pPr>
              <w:suppressAutoHyphens w:val="0"/>
              <w:spacing w:before="80" w:after="80" w:line="200" w:lineRule="exact"/>
              <w:rPr>
                <w:i/>
                <w:sz w:val="16"/>
                <w:lang w:val="fr-CH"/>
              </w:rPr>
            </w:pPr>
            <w:r w:rsidRPr="0071782F">
              <w:rPr>
                <w:i/>
                <w:sz w:val="16"/>
                <w:lang w:val="fr-CH"/>
              </w:rPr>
              <w:t>Indicat</w:t>
            </w:r>
            <w:r w:rsidR="00CE555D" w:rsidRPr="0071782F">
              <w:rPr>
                <w:i/>
                <w:sz w:val="16"/>
                <w:lang w:val="fr-CH"/>
              </w:rPr>
              <w:t>eu</w:t>
            </w:r>
            <w:r w:rsidRPr="0071782F">
              <w:rPr>
                <w:i/>
                <w:sz w:val="16"/>
                <w:lang w:val="fr-CH"/>
              </w:rPr>
              <w:t>rs</w:t>
            </w:r>
          </w:p>
        </w:tc>
        <w:tc>
          <w:tcPr>
            <w:tcW w:w="1400" w:type="dxa"/>
            <w:tcBorders>
              <w:top w:val="single" w:sz="4" w:space="0" w:color="auto"/>
              <w:bottom w:val="single" w:sz="12" w:space="0" w:color="auto"/>
            </w:tcBorders>
            <w:shd w:val="clear" w:color="auto" w:fill="auto"/>
            <w:vAlign w:val="bottom"/>
          </w:tcPr>
          <w:p w:rsidR="000673F0" w:rsidRPr="0071782F" w:rsidRDefault="00CE555D" w:rsidP="001D385D">
            <w:pPr>
              <w:suppressAutoHyphens w:val="0"/>
              <w:spacing w:before="80" w:after="80" w:line="200" w:lineRule="exact"/>
              <w:jc w:val="right"/>
              <w:rPr>
                <w:i/>
                <w:sz w:val="16"/>
                <w:lang w:val="fr-CH"/>
              </w:rPr>
            </w:pPr>
            <w:r w:rsidRPr="0071782F">
              <w:rPr>
                <w:i/>
                <w:sz w:val="16"/>
                <w:lang w:val="fr-CH"/>
              </w:rPr>
              <w:t>Ensemble du pays</w:t>
            </w:r>
          </w:p>
        </w:tc>
        <w:tc>
          <w:tcPr>
            <w:tcW w:w="700" w:type="dxa"/>
            <w:tcBorders>
              <w:top w:val="single" w:sz="4" w:space="0" w:color="auto"/>
              <w:bottom w:val="single" w:sz="12" w:space="0" w:color="auto"/>
            </w:tcBorders>
            <w:shd w:val="clear" w:color="auto" w:fill="auto"/>
            <w:vAlign w:val="bottom"/>
          </w:tcPr>
          <w:p w:rsidR="000673F0" w:rsidRPr="0071782F" w:rsidRDefault="00CE555D" w:rsidP="001D385D">
            <w:pPr>
              <w:suppressAutoHyphens w:val="0"/>
              <w:spacing w:before="80" w:after="80" w:line="200" w:lineRule="exact"/>
              <w:jc w:val="right"/>
              <w:rPr>
                <w:i/>
                <w:sz w:val="16"/>
                <w:lang w:val="fr-CH"/>
              </w:rPr>
            </w:pPr>
            <w:r w:rsidRPr="0071782F">
              <w:rPr>
                <w:i/>
                <w:sz w:val="16"/>
                <w:lang w:val="fr-CH"/>
              </w:rPr>
              <w:t>Hommes</w:t>
            </w:r>
          </w:p>
        </w:tc>
        <w:tc>
          <w:tcPr>
            <w:tcW w:w="800" w:type="dxa"/>
            <w:tcBorders>
              <w:top w:val="single" w:sz="4" w:space="0" w:color="auto"/>
              <w:bottom w:val="single" w:sz="12" w:space="0" w:color="auto"/>
            </w:tcBorders>
            <w:shd w:val="clear" w:color="auto" w:fill="auto"/>
            <w:vAlign w:val="bottom"/>
          </w:tcPr>
          <w:p w:rsidR="000673F0" w:rsidRPr="0071782F" w:rsidRDefault="00CE555D" w:rsidP="001D385D">
            <w:pPr>
              <w:suppressAutoHyphens w:val="0"/>
              <w:spacing w:before="80" w:after="80" w:line="200" w:lineRule="exact"/>
              <w:jc w:val="right"/>
              <w:rPr>
                <w:i/>
                <w:sz w:val="16"/>
                <w:lang w:val="fr-CH"/>
              </w:rPr>
            </w:pPr>
            <w:r w:rsidRPr="0071782F">
              <w:rPr>
                <w:i/>
                <w:sz w:val="16"/>
                <w:lang w:val="fr-CH"/>
              </w:rPr>
              <w:t>Femmes</w:t>
            </w:r>
          </w:p>
        </w:tc>
        <w:tc>
          <w:tcPr>
            <w:tcW w:w="1100" w:type="dxa"/>
            <w:tcBorders>
              <w:top w:val="single" w:sz="4" w:space="0" w:color="auto"/>
              <w:bottom w:val="single" w:sz="12" w:space="0" w:color="auto"/>
            </w:tcBorders>
            <w:shd w:val="clear" w:color="auto" w:fill="auto"/>
            <w:vAlign w:val="bottom"/>
          </w:tcPr>
          <w:p w:rsidR="000673F0" w:rsidRPr="0071782F" w:rsidRDefault="00CE555D" w:rsidP="001D385D">
            <w:pPr>
              <w:suppressAutoHyphens w:val="0"/>
              <w:spacing w:before="80" w:after="80" w:line="200" w:lineRule="exact"/>
              <w:jc w:val="right"/>
              <w:rPr>
                <w:i/>
                <w:sz w:val="16"/>
                <w:lang w:val="fr-CH"/>
              </w:rPr>
            </w:pPr>
            <w:r w:rsidRPr="0071782F">
              <w:rPr>
                <w:i/>
                <w:sz w:val="16"/>
                <w:lang w:val="fr-CH"/>
              </w:rPr>
              <w:t>Zones urbaines</w:t>
            </w:r>
          </w:p>
        </w:tc>
        <w:tc>
          <w:tcPr>
            <w:tcW w:w="1104" w:type="dxa"/>
            <w:tcBorders>
              <w:top w:val="single" w:sz="4" w:space="0" w:color="auto"/>
              <w:bottom w:val="single" w:sz="12" w:space="0" w:color="auto"/>
            </w:tcBorders>
            <w:shd w:val="clear" w:color="auto" w:fill="auto"/>
            <w:vAlign w:val="bottom"/>
          </w:tcPr>
          <w:p w:rsidR="000673F0" w:rsidRPr="0071782F" w:rsidRDefault="00CE555D" w:rsidP="001D385D">
            <w:pPr>
              <w:suppressAutoHyphens w:val="0"/>
              <w:spacing w:before="80" w:after="80" w:line="200" w:lineRule="exact"/>
              <w:jc w:val="right"/>
              <w:rPr>
                <w:i/>
                <w:sz w:val="16"/>
                <w:lang w:val="fr-CH"/>
              </w:rPr>
            </w:pPr>
            <w:r w:rsidRPr="0071782F">
              <w:rPr>
                <w:i/>
                <w:sz w:val="16"/>
                <w:lang w:val="fr-CH"/>
              </w:rPr>
              <w:t>Zones rurales</w:t>
            </w:r>
          </w:p>
        </w:tc>
      </w:tr>
      <w:tr w:rsidR="000673F0" w:rsidRPr="0071782F">
        <w:tc>
          <w:tcPr>
            <w:tcW w:w="2266" w:type="dxa"/>
            <w:tcBorders>
              <w:top w:val="single" w:sz="12" w:space="0" w:color="auto"/>
            </w:tcBorders>
            <w:shd w:val="clear" w:color="auto" w:fill="auto"/>
            <w:vAlign w:val="bottom"/>
          </w:tcPr>
          <w:p w:rsidR="000673F0" w:rsidRPr="0071782F" w:rsidRDefault="00CE555D" w:rsidP="001D385D">
            <w:pPr>
              <w:suppressAutoHyphens w:val="0"/>
              <w:spacing w:before="40" w:after="40" w:line="220" w:lineRule="exact"/>
              <w:rPr>
                <w:sz w:val="18"/>
                <w:lang w:val="fr-CH"/>
              </w:rPr>
            </w:pPr>
            <w:r w:rsidRPr="0071782F">
              <w:rPr>
                <w:sz w:val="18"/>
                <w:lang w:val="fr-CH"/>
              </w:rPr>
              <w:t>Activité éc</w:t>
            </w:r>
            <w:r w:rsidR="000673F0" w:rsidRPr="0071782F">
              <w:rPr>
                <w:sz w:val="18"/>
                <w:lang w:val="fr-CH"/>
              </w:rPr>
              <w:t>onomi</w:t>
            </w:r>
            <w:r w:rsidRPr="0071782F">
              <w:rPr>
                <w:sz w:val="18"/>
                <w:lang w:val="fr-CH"/>
              </w:rPr>
              <w:t>que d’une durée d’au moins 10</w:t>
            </w:r>
            <w:r w:rsidR="00D82C96" w:rsidRPr="0071782F">
              <w:rPr>
                <w:sz w:val="18"/>
                <w:lang w:val="fr-CH"/>
              </w:rPr>
              <w:t> ans</w:t>
            </w:r>
            <w:r w:rsidRPr="0071782F">
              <w:rPr>
                <w:sz w:val="18"/>
                <w:lang w:val="fr-CH"/>
              </w:rPr>
              <w:t xml:space="preserve"> </w:t>
            </w:r>
          </w:p>
        </w:tc>
        <w:tc>
          <w:tcPr>
            <w:tcW w:w="1400" w:type="dxa"/>
            <w:tcBorders>
              <w:top w:val="single" w:sz="12" w:space="0" w:color="auto"/>
            </w:tcBorders>
            <w:shd w:val="clear" w:color="auto" w:fill="auto"/>
            <w:vAlign w:val="bottom"/>
          </w:tcPr>
          <w:p w:rsidR="000673F0" w:rsidRPr="0071782F" w:rsidRDefault="000673F0" w:rsidP="001D385D">
            <w:pPr>
              <w:suppressAutoHyphens w:val="0"/>
              <w:spacing w:before="40" w:after="40" w:line="220" w:lineRule="exact"/>
              <w:jc w:val="right"/>
              <w:rPr>
                <w:sz w:val="18"/>
                <w:lang w:val="fr-CH"/>
              </w:rPr>
            </w:pPr>
            <w:r w:rsidRPr="0071782F">
              <w:rPr>
                <w:sz w:val="18"/>
                <w:lang w:val="fr-CH"/>
              </w:rPr>
              <w:t>38</w:t>
            </w:r>
            <w:r w:rsidR="003F0F72" w:rsidRPr="0071782F">
              <w:rPr>
                <w:sz w:val="18"/>
                <w:lang w:val="fr-CH"/>
              </w:rPr>
              <w:t>,</w:t>
            </w:r>
            <w:r w:rsidRPr="0071782F">
              <w:rPr>
                <w:sz w:val="18"/>
                <w:lang w:val="fr-CH"/>
              </w:rPr>
              <w:t>0</w:t>
            </w:r>
          </w:p>
        </w:tc>
        <w:tc>
          <w:tcPr>
            <w:tcW w:w="700" w:type="dxa"/>
            <w:tcBorders>
              <w:top w:val="single" w:sz="12" w:space="0" w:color="auto"/>
            </w:tcBorders>
            <w:shd w:val="clear" w:color="auto" w:fill="auto"/>
            <w:vAlign w:val="bottom"/>
          </w:tcPr>
          <w:p w:rsidR="000673F0" w:rsidRPr="0071782F" w:rsidRDefault="000673F0" w:rsidP="001D385D">
            <w:pPr>
              <w:suppressAutoHyphens w:val="0"/>
              <w:spacing w:before="40" w:after="40" w:line="220" w:lineRule="exact"/>
              <w:jc w:val="right"/>
              <w:rPr>
                <w:sz w:val="18"/>
                <w:lang w:val="fr-CH"/>
              </w:rPr>
            </w:pPr>
            <w:r w:rsidRPr="0071782F">
              <w:rPr>
                <w:sz w:val="18"/>
                <w:lang w:val="fr-CH"/>
              </w:rPr>
              <w:t>61</w:t>
            </w:r>
            <w:r w:rsidR="003F0F72" w:rsidRPr="0071782F">
              <w:rPr>
                <w:sz w:val="18"/>
                <w:lang w:val="fr-CH"/>
              </w:rPr>
              <w:t>,</w:t>
            </w:r>
            <w:r w:rsidRPr="0071782F">
              <w:rPr>
                <w:sz w:val="18"/>
                <w:lang w:val="fr-CH"/>
              </w:rPr>
              <w:t>9</w:t>
            </w:r>
          </w:p>
        </w:tc>
        <w:tc>
          <w:tcPr>
            <w:tcW w:w="800" w:type="dxa"/>
            <w:tcBorders>
              <w:top w:val="single" w:sz="12" w:space="0" w:color="auto"/>
            </w:tcBorders>
            <w:shd w:val="clear" w:color="auto" w:fill="auto"/>
            <w:vAlign w:val="bottom"/>
          </w:tcPr>
          <w:p w:rsidR="000673F0" w:rsidRPr="0071782F" w:rsidRDefault="000673F0" w:rsidP="001D385D">
            <w:pPr>
              <w:suppressAutoHyphens w:val="0"/>
              <w:spacing w:before="40" w:after="40" w:line="220" w:lineRule="exact"/>
              <w:jc w:val="right"/>
              <w:rPr>
                <w:sz w:val="18"/>
                <w:lang w:val="fr-CH"/>
              </w:rPr>
            </w:pPr>
            <w:r w:rsidRPr="0071782F">
              <w:rPr>
                <w:sz w:val="18"/>
                <w:lang w:val="fr-CH"/>
              </w:rPr>
              <w:t>13</w:t>
            </w:r>
            <w:r w:rsidR="003F0F72" w:rsidRPr="0071782F">
              <w:rPr>
                <w:sz w:val="18"/>
                <w:lang w:val="fr-CH"/>
              </w:rPr>
              <w:t>,</w:t>
            </w:r>
            <w:r w:rsidRPr="0071782F">
              <w:rPr>
                <w:sz w:val="18"/>
                <w:lang w:val="fr-CH"/>
              </w:rPr>
              <w:t>6</w:t>
            </w:r>
          </w:p>
        </w:tc>
        <w:tc>
          <w:tcPr>
            <w:tcW w:w="1100" w:type="dxa"/>
            <w:tcBorders>
              <w:top w:val="single" w:sz="12" w:space="0" w:color="auto"/>
            </w:tcBorders>
            <w:shd w:val="clear" w:color="auto" w:fill="auto"/>
            <w:vAlign w:val="bottom"/>
          </w:tcPr>
          <w:p w:rsidR="000673F0" w:rsidRPr="0071782F" w:rsidRDefault="000673F0" w:rsidP="001D385D">
            <w:pPr>
              <w:suppressAutoHyphens w:val="0"/>
              <w:spacing w:before="40" w:after="40" w:line="220" w:lineRule="exact"/>
              <w:jc w:val="right"/>
              <w:rPr>
                <w:sz w:val="18"/>
                <w:lang w:val="fr-CH"/>
              </w:rPr>
            </w:pPr>
            <w:r w:rsidRPr="0071782F">
              <w:rPr>
                <w:sz w:val="18"/>
                <w:lang w:val="fr-CH"/>
              </w:rPr>
              <w:t>36</w:t>
            </w:r>
            <w:r w:rsidR="003F0F72" w:rsidRPr="0071782F">
              <w:rPr>
                <w:sz w:val="18"/>
                <w:lang w:val="fr-CH"/>
              </w:rPr>
              <w:t>,</w:t>
            </w:r>
            <w:r w:rsidRPr="0071782F">
              <w:rPr>
                <w:sz w:val="18"/>
                <w:lang w:val="fr-CH"/>
              </w:rPr>
              <w:t>5</w:t>
            </w:r>
          </w:p>
        </w:tc>
        <w:tc>
          <w:tcPr>
            <w:tcW w:w="1104" w:type="dxa"/>
            <w:tcBorders>
              <w:top w:val="single" w:sz="12" w:space="0" w:color="auto"/>
            </w:tcBorders>
            <w:shd w:val="clear" w:color="auto" w:fill="auto"/>
            <w:vAlign w:val="bottom"/>
          </w:tcPr>
          <w:p w:rsidR="000673F0" w:rsidRPr="0071782F" w:rsidRDefault="000673F0" w:rsidP="001D385D">
            <w:pPr>
              <w:suppressAutoHyphens w:val="0"/>
              <w:spacing w:before="40" w:after="40" w:line="220" w:lineRule="exact"/>
              <w:jc w:val="right"/>
              <w:rPr>
                <w:sz w:val="18"/>
                <w:lang w:val="fr-CH"/>
              </w:rPr>
            </w:pPr>
            <w:r w:rsidRPr="0071782F">
              <w:rPr>
                <w:sz w:val="18"/>
                <w:lang w:val="fr-CH"/>
              </w:rPr>
              <w:t>41</w:t>
            </w:r>
            <w:r w:rsidR="003F0F72" w:rsidRPr="0071782F">
              <w:rPr>
                <w:sz w:val="18"/>
                <w:lang w:val="fr-CH"/>
              </w:rPr>
              <w:t>,</w:t>
            </w:r>
            <w:r w:rsidRPr="0071782F">
              <w:rPr>
                <w:sz w:val="18"/>
                <w:lang w:val="fr-CH"/>
              </w:rPr>
              <w:t>5</w:t>
            </w:r>
          </w:p>
        </w:tc>
      </w:tr>
      <w:tr w:rsidR="000673F0" w:rsidRPr="0071782F">
        <w:tc>
          <w:tcPr>
            <w:tcW w:w="2266" w:type="dxa"/>
            <w:shd w:val="clear" w:color="auto" w:fill="auto"/>
            <w:vAlign w:val="bottom"/>
          </w:tcPr>
          <w:p w:rsidR="000673F0" w:rsidRPr="0071782F" w:rsidRDefault="00CE555D" w:rsidP="001D385D">
            <w:pPr>
              <w:suppressAutoHyphens w:val="0"/>
              <w:spacing w:before="40" w:after="40" w:line="220" w:lineRule="exact"/>
              <w:rPr>
                <w:sz w:val="18"/>
                <w:lang w:val="fr-CH"/>
              </w:rPr>
            </w:pPr>
            <w:r w:rsidRPr="0071782F">
              <w:rPr>
                <w:sz w:val="18"/>
                <w:lang w:val="fr-CH"/>
              </w:rPr>
              <w:t>Chômage d’une durée d’au moins 10</w:t>
            </w:r>
            <w:r w:rsidR="00D82C96" w:rsidRPr="0071782F">
              <w:rPr>
                <w:sz w:val="18"/>
                <w:lang w:val="fr-CH"/>
              </w:rPr>
              <w:t> ans</w:t>
            </w:r>
          </w:p>
        </w:tc>
        <w:tc>
          <w:tcPr>
            <w:tcW w:w="1400" w:type="dxa"/>
            <w:shd w:val="clear" w:color="auto" w:fill="auto"/>
            <w:vAlign w:val="bottom"/>
          </w:tcPr>
          <w:p w:rsidR="000673F0" w:rsidRPr="0071782F" w:rsidRDefault="000673F0" w:rsidP="001D385D">
            <w:pPr>
              <w:suppressAutoHyphens w:val="0"/>
              <w:spacing w:before="40" w:after="40" w:line="220" w:lineRule="exact"/>
              <w:jc w:val="right"/>
              <w:rPr>
                <w:sz w:val="18"/>
                <w:lang w:val="fr-CH"/>
              </w:rPr>
            </w:pPr>
            <w:r w:rsidRPr="0071782F">
              <w:rPr>
                <w:sz w:val="18"/>
                <w:lang w:val="fr-CH"/>
              </w:rPr>
              <w:t>10</w:t>
            </w:r>
            <w:r w:rsidR="003F0F72" w:rsidRPr="0071782F">
              <w:rPr>
                <w:sz w:val="18"/>
                <w:lang w:val="fr-CH"/>
              </w:rPr>
              <w:t>,</w:t>
            </w:r>
            <w:r w:rsidRPr="0071782F">
              <w:rPr>
                <w:sz w:val="18"/>
                <w:lang w:val="fr-CH"/>
              </w:rPr>
              <w:t>4</w:t>
            </w:r>
          </w:p>
        </w:tc>
        <w:tc>
          <w:tcPr>
            <w:tcW w:w="700" w:type="dxa"/>
            <w:shd w:val="clear" w:color="auto" w:fill="auto"/>
            <w:vAlign w:val="bottom"/>
          </w:tcPr>
          <w:p w:rsidR="000673F0" w:rsidRPr="0071782F" w:rsidRDefault="000673F0" w:rsidP="001D385D">
            <w:pPr>
              <w:suppressAutoHyphens w:val="0"/>
              <w:spacing w:before="40" w:after="40" w:line="220" w:lineRule="exact"/>
              <w:jc w:val="right"/>
              <w:rPr>
                <w:sz w:val="18"/>
                <w:lang w:val="fr-CH"/>
              </w:rPr>
            </w:pPr>
            <w:r w:rsidRPr="0071782F">
              <w:rPr>
                <w:sz w:val="18"/>
                <w:lang w:val="fr-CH"/>
              </w:rPr>
              <w:t>9</w:t>
            </w:r>
            <w:r w:rsidR="003F0F72" w:rsidRPr="0071782F">
              <w:rPr>
                <w:sz w:val="18"/>
                <w:lang w:val="fr-CH"/>
              </w:rPr>
              <w:t>,</w:t>
            </w:r>
            <w:r w:rsidRPr="0071782F">
              <w:rPr>
                <w:sz w:val="18"/>
                <w:lang w:val="fr-CH"/>
              </w:rPr>
              <w:t>1</w:t>
            </w:r>
          </w:p>
        </w:tc>
        <w:tc>
          <w:tcPr>
            <w:tcW w:w="800" w:type="dxa"/>
            <w:shd w:val="clear" w:color="auto" w:fill="auto"/>
            <w:vAlign w:val="bottom"/>
          </w:tcPr>
          <w:p w:rsidR="000673F0" w:rsidRPr="0071782F" w:rsidRDefault="000673F0" w:rsidP="001D385D">
            <w:pPr>
              <w:suppressAutoHyphens w:val="0"/>
              <w:spacing w:before="40" w:after="40" w:line="220" w:lineRule="exact"/>
              <w:jc w:val="right"/>
              <w:rPr>
                <w:sz w:val="18"/>
                <w:lang w:val="fr-CH"/>
              </w:rPr>
            </w:pPr>
            <w:r w:rsidRPr="0071782F">
              <w:rPr>
                <w:sz w:val="18"/>
                <w:lang w:val="fr-CH"/>
              </w:rPr>
              <w:t>16</w:t>
            </w:r>
            <w:r w:rsidR="003F0F72" w:rsidRPr="0071782F">
              <w:rPr>
                <w:sz w:val="18"/>
                <w:lang w:val="fr-CH"/>
              </w:rPr>
              <w:t>,</w:t>
            </w:r>
            <w:r w:rsidRPr="0071782F">
              <w:rPr>
                <w:sz w:val="18"/>
                <w:lang w:val="fr-CH"/>
              </w:rPr>
              <w:t>7</w:t>
            </w:r>
          </w:p>
        </w:tc>
        <w:tc>
          <w:tcPr>
            <w:tcW w:w="1100" w:type="dxa"/>
            <w:shd w:val="clear" w:color="auto" w:fill="auto"/>
            <w:vAlign w:val="bottom"/>
          </w:tcPr>
          <w:p w:rsidR="000673F0" w:rsidRPr="0071782F" w:rsidRDefault="000673F0" w:rsidP="001D385D">
            <w:pPr>
              <w:suppressAutoHyphens w:val="0"/>
              <w:spacing w:before="40" w:after="40" w:line="220" w:lineRule="exact"/>
              <w:jc w:val="right"/>
              <w:rPr>
                <w:sz w:val="18"/>
                <w:lang w:val="fr-CH"/>
              </w:rPr>
            </w:pPr>
            <w:r w:rsidRPr="0071782F">
              <w:rPr>
                <w:sz w:val="18"/>
                <w:lang w:val="fr-CH"/>
              </w:rPr>
              <w:t>12</w:t>
            </w:r>
            <w:r w:rsidR="003F0F72" w:rsidRPr="0071782F">
              <w:rPr>
                <w:sz w:val="18"/>
                <w:lang w:val="fr-CH"/>
              </w:rPr>
              <w:t>,</w:t>
            </w:r>
            <w:r w:rsidRPr="0071782F">
              <w:rPr>
                <w:sz w:val="18"/>
                <w:lang w:val="fr-CH"/>
              </w:rPr>
              <w:t>0</w:t>
            </w:r>
          </w:p>
        </w:tc>
        <w:tc>
          <w:tcPr>
            <w:tcW w:w="1104" w:type="dxa"/>
            <w:shd w:val="clear" w:color="auto" w:fill="auto"/>
            <w:vAlign w:val="bottom"/>
          </w:tcPr>
          <w:p w:rsidR="000673F0" w:rsidRPr="0071782F" w:rsidRDefault="000673F0" w:rsidP="001D385D">
            <w:pPr>
              <w:suppressAutoHyphens w:val="0"/>
              <w:spacing w:before="40" w:after="40" w:line="220" w:lineRule="exact"/>
              <w:jc w:val="right"/>
              <w:rPr>
                <w:sz w:val="18"/>
                <w:lang w:val="fr-CH"/>
              </w:rPr>
            </w:pPr>
            <w:r w:rsidRPr="0071782F">
              <w:rPr>
                <w:sz w:val="18"/>
                <w:lang w:val="fr-CH"/>
              </w:rPr>
              <w:t>7</w:t>
            </w:r>
            <w:r w:rsidR="003F0F72" w:rsidRPr="0071782F">
              <w:rPr>
                <w:sz w:val="18"/>
                <w:lang w:val="fr-CH"/>
              </w:rPr>
              <w:t>,</w:t>
            </w:r>
            <w:r w:rsidRPr="0071782F">
              <w:rPr>
                <w:sz w:val="18"/>
                <w:lang w:val="fr-CH"/>
              </w:rPr>
              <w:t>2</w:t>
            </w:r>
          </w:p>
        </w:tc>
      </w:tr>
      <w:tr w:rsidR="000673F0" w:rsidRPr="0071782F">
        <w:tc>
          <w:tcPr>
            <w:tcW w:w="2266" w:type="dxa"/>
            <w:shd w:val="clear" w:color="auto" w:fill="auto"/>
            <w:vAlign w:val="bottom"/>
          </w:tcPr>
          <w:p w:rsidR="000673F0" w:rsidRPr="0071782F" w:rsidRDefault="00CE555D" w:rsidP="001D385D">
            <w:pPr>
              <w:suppressAutoHyphens w:val="0"/>
              <w:spacing w:before="40" w:after="40" w:line="220" w:lineRule="exact"/>
              <w:rPr>
                <w:sz w:val="18"/>
                <w:lang w:val="fr-CH"/>
              </w:rPr>
            </w:pPr>
            <w:r w:rsidRPr="0071782F">
              <w:rPr>
                <w:sz w:val="18"/>
                <w:lang w:val="fr-CH"/>
              </w:rPr>
              <w:t>Chômage des jeunes</w:t>
            </w:r>
            <w:r w:rsidR="00662526" w:rsidRPr="0071782F">
              <w:rPr>
                <w:sz w:val="18"/>
                <w:lang w:val="fr-CH"/>
              </w:rPr>
              <w:br/>
            </w:r>
            <w:r w:rsidR="000673F0" w:rsidRPr="0071782F">
              <w:rPr>
                <w:sz w:val="18"/>
                <w:lang w:val="fr-CH"/>
              </w:rPr>
              <w:t>(15</w:t>
            </w:r>
            <w:r w:rsidRPr="0071782F">
              <w:rPr>
                <w:sz w:val="18"/>
                <w:lang w:val="fr-CH"/>
              </w:rPr>
              <w:t>-</w:t>
            </w:r>
            <w:r w:rsidR="000673F0" w:rsidRPr="0071782F">
              <w:rPr>
                <w:sz w:val="18"/>
                <w:lang w:val="fr-CH"/>
              </w:rPr>
              <w:t>29</w:t>
            </w:r>
            <w:r w:rsidR="00D82C96" w:rsidRPr="0071782F">
              <w:rPr>
                <w:sz w:val="18"/>
                <w:lang w:val="fr-CH"/>
              </w:rPr>
              <w:t> ans</w:t>
            </w:r>
            <w:r w:rsidR="000673F0" w:rsidRPr="0071782F">
              <w:rPr>
                <w:sz w:val="18"/>
                <w:lang w:val="fr-CH"/>
              </w:rPr>
              <w:t>)</w:t>
            </w:r>
          </w:p>
        </w:tc>
        <w:tc>
          <w:tcPr>
            <w:tcW w:w="1400" w:type="dxa"/>
            <w:shd w:val="clear" w:color="auto" w:fill="auto"/>
            <w:vAlign w:val="bottom"/>
          </w:tcPr>
          <w:p w:rsidR="000673F0" w:rsidRPr="0071782F" w:rsidRDefault="000673F0" w:rsidP="001D385D">
            <w:pPr>
              <w:suppressAutoHyphens w:val="0"/>
              <w:spacing w:before="40" w:after="40" w:line="220" w:lineRule="exact"/>
              <w:jc w:val="right"/>
              <w:rPr>
                <w:sz w:val="18"/>
                <w:lang w:val="fr-CH"/>
              </w:rPr>
            </w:pPr>
            <w:r w:rsidRPr="0071782F">
              <w:rPr>
                <w:sz w:val="18"/>
                <w:lang w:val="fr-CH"/>
              </w:rPr>
              <w:t>20</w:t>
            </w:r>
            <w:r w:rsidR="003F0F72" w:rsidRPr="0071782F">
              <w:rPr>
                <w:sz w:val="18"/>
                <w:lang w:val="fr-CH"/>
              </w:rPr>
              <w:t>,</w:t>
            </w:r>
            <w:r w:rsidRPr="0071782F">
              <w:rPr>
                <w:sz w:val="18"/>
                <w:lang w:val="fr-CH"/>
              </w:rPr>
              <w:t>4</w:t>
            </w:r>
          </w:p>
        </w:tc>
        <w:tc>
          <w:tcPr>
            <w:tcW w:w="700" w:type="dxa"/>
            <w:shd w:val="clear" w:color="auto" w:fill="auto"/>
            <w:vAlign w:val="bottom"/>
          </w:tcPr>
          <w:p w:rsidR="000673F0" w:rsidRPr="0071782F" w:rsidRDefault="000673F0" w:rsidP="001D385D">
            <w:pPr>
              <w:suppressAutoHyphens w:val="0"/>
              <w:spacing w:before="40" w:after="40" w:line="220" w:lineRule="exact"/>
              <w:jc w:val="right"/>
              <w:rPr>
                <w:sz w:val="18"/>
                <w:lang w:val="fr-CH"/>
              </w:rPr>
            </w:pPr>
            <w:r w:rsidRPr="0071782F">
              <w:rPr>
                <w:sz w:val="18"/>
                <w:lang w:val="fr-CH"/>
              </w:rPr>
              <w:t>17</w:t>
            </w:r>
            <w:r w:rsidR="003F0F72" w:rsidRPr="0071782F">
              <w:rPr>
                <w:sz w:val="18"/>
                <w:lang w:val="fr-CH"/>
              </w:rPr>
              <w:t>,</w:t>
            </w:r>
            <w:r w:rsidRPr="0071782F">
              <w:rPr>
                <w:sz w:val="18"/>
                <w:lang w:val="fr-CH"/>
              </w:rPr>
              <w:t>4</w:t>
            </w:r>
          </w:p>
        </w:tc>
        <w:tc>
          <w:tcPr>
            <w:tcW w:w="800" w:type="dxa"/>
            <w:shd w:val="clear" w:color="auto" w:fill="auto"/>
            <w:vAlign w:val="bottom"/>
          </w:tcPr>
          <w:p w:rsidR="000673F0" w:rsidRPr="0071782F" w:rsidRDefault="000673F0" w:rsidP="001D385D">
            <w:pPr>
              <w:suppressAutoHyphens w:val="0"/>
              <w:spacing w:before="40" w:after="40" w:line="220" w:lineRule="exact"/>
              <w:jc w:val="right"/>
              <w:rPr>
                <w:sz w:val="18"/>
                <w:lang w:val="fr-CH"/>
              </w:rPr>
            </w:pPr>
            <w:r w:rsidRPr="0071782F">
              <w:rPr>
                <w:sz w:val="18"/>
                <w:lang w:val="fr-CH"/>
              </w:rPr>
              <w:t>31</w:t>
            </w:r>
            <w:r w:rsidR="003F0F72" w:rsidRPr="0071782F">
              <w:rPr>
                <w:sz w:val="18"/>
                <w:lang w:val="fr-CH"/>
              </w:rPr>
              <w:t>,</w:t>
            </w:r>
            <w:r w:rsidRPr="0071782F">
              <w:rPr>
                <w:sz w:val="18"/>
                <w:lang w:val="fr-CH"/>
              </w:rPr>
              <w:t>8</w:t>
            </w:r>
          </w:p>
        </w:tc>
        <w:tc>
          <w:tcPr>
            <w:tcW w:w="1100" w:type="dxa"/>
            <w:shd w:val="clear" w:color="auto" w:fill="auto"/>
            <w:vAlign w:val="bottom"/>
          </w:tcPr>
          <w:p w:rsidR="000673F0" w:rsidRPr="0071782F" w:rsidRDefault="000673F0" w:rsidP="001D385D">
            <w:pPr>
              <w:suppressAutoHyphens w:val="0"/>
              <w:spacing w:before="40" w:after="40" w:line="220" w:lineRule="exact"/>
              <w:jc w:val="right"/>
              <w:rPr>
                <w:sz w:val="18"/>
                <w:lang w:val="fr-CH"/>
              </w:rPr>
            </w:pPr>
            <w:r w:rsidRPr="0071782F">
              <w:rPr>
                <w:sz w:val="18"/>
                <w:lang w:val="fr-CH"/>
              </w:rPr>
              <w:t>23</w:t>
            </w:r>
            <w:r w:rsidR="003F0F72" w:rsidRPr="0071782F">
              <w:rPr>
                <w:sz w:val="18"/>
                <w:lang w:val="fr-CH"/>
              </w:rPr>
              <w:t>,</w:t>
            </w:r>
            <w:r w:rsidRPr="0071782F">
              <w:rPr>
                <w:sz w:val="18"/>
                <w:lang w:val="fr-CH"/>
              </w:rPr>
              <w:t>4</w:t>
            </w:r>
          </w:p>
        </w:tc>
        <w:tc>
          <w:tcPr>
            <w:tcW w:w="1104" w:type="dxa"/>
            <w:shd w:val="clear" w:color="auto" w:fill="auto"/>
            <w:vAlign w:val="bottom"/>
          </w:tcPr>
          <w:p w:rsidR="000673F0" w:rsidRPr="0071782F" w:rsidRDefault="000673F0" w:rsidP="001D385D">
            <w:pPr>
              <w:suppressAutoHyphens w:val="0"/>
              <w:spacing w:before="40" w:after="40" w:line="220" w:lineRule="exact"/>
              <w:jc w:val="right"/>
              <w:rPr>
                <w:sz w:val="18"/>
                <w:lang w:val="fr-CH"/>
              </w:rPr>
            </w:pPr>
            <w:r w:rsidRPr="0071782F">
              <w:rPr>
                <w:sz w:val="18"/>
                <w:lang w:val="fr-CH"/>
              </w:rPr>
              <w:t>14</w:t>
            </w:r>
            <w:r w:rsidR="003F0F72" w:rsidRPr="0071782F">
              <w:rPr>
                <w:sz w:val="18"/>
                <w:lang w:val="fr-CH"/>
              </w:rPr>
              <w:t>,</w:t>
            </w:r>
            <w:r w:rsidRPr="0071782F">
              <w:rPr>
                <w:sz w:val="18"/>
                <w:lang w:val="fr-CH"/>
              </w:rPr>
              <w:t>1</w:t>
            </w:r>
          </w:p>
        </w:tc>
      </w:tr>
    </w:tbl>
    <w:p w:rsidR="00662526" w:rsidRPr="0071782F" w:rsidRDefault="00662526" w:rsidP="00662526">
      <w:pPr>
        <w:pStyle w:val="H1G"/>
        <w:rPr>
          <w:lang w:val="fr-CH"/>
        </w:rPr>
      </w:pPr>
      <w:r w:rsidRPr="0071782F">
        <w:rPr>
          <w:lang w:val="fr-CH"/>
        </w:rPr>
        <w:tab/>
      </w:r>
      <w:r w:rsidRPr="0071782F">
        <w:rPr>
          <w:lang w:val="fr-CH"/>
        </w:rPr>
        <w:tab/>
      </w:r>
      <w:r w:rsidR="00FD2CF0" w:rsidRPr="0071782F">
        <w:rPr>
          <w:lang w:val="fr-CH"/>
        </w:rPr>
        <w:t xml:space="preserve">Bref aperçu de l’évolution du taux de chômage et du taux d’activité pour l’ensemble du pays </w:t>
      </w:r>
    </w:p>
    <w:p w:rsidR="00662526" w:rsidRPr="0071782F" w:rsidRDefault="00662526" w:rsidP="00662526">
      <w:pPr>
        <w:pStyle w:val="SingleTxtG"/>
        <w:rPr>
          <w:lang w:val="fr-CH"/>
        </w:rPr>
      </w:pPr>
      <w:r w:rsidRPr="0071782F">
        <w:rPr>
          <w:lang w:val="fr-CH"/>
        </w:rPr>
        <w:t>51.</w:t>
      </w:r>
      <w:r w:rsidRPr="0071782F">
        <w:rPr>
          <w:lang w:val="fr-CH"/>
        </w:rPr>
        <w:tab/>
      </w:r>
      <w:r w:rsidR="00FD2CF0" w:rsidRPr="0071782F">
        <w:rPr>
          <w:lang w:val="fr-CH"/>
        </w:rPr>
        <w:t>Cette évolution peut être décrite comme suit</w:t>
      </w:r>
      <w:r w:rsidR="008F7D33" w:rsidRPr="0071782F">
        <w:rPr>
          <w:lang w:val="fr-CH"/>
        </w:rPr>
        <w:t>:</w:t>
      </w:r>
    </w:p>
    <w:p w:rsidR="00662526" w:rsidRPr="0071782F" w:rsidRDefault="00662526" w:rsidP="00662526">
      <w:pPr>
        <w:pStyle w:val="SingleTxtG"/>
        <w:ind w:left="1701"/>
        <w:rPr>
          <w:lang w:val="fr-CH"/>
        </w:rPr>
      </w:pPr>
      <w:r w:rsidRPr="0071782F">
        <w:rPr>
          <w:lang w:val="fr-CH"/>
        </w:rPr>
        <w:t>51.1.</w:t>
      </w:r>
      <w:r w:rsidRPr="0071782F">
        <w:rPr>
          <w:lang w:val="fr-CH"/>
        </w:rPr>
        <w:tab/>
      </w:r>
      <w:r w:rsidR="00FD2CF0" w:rsidRPr="0071782F">
        <w:rPr>
          <w:lang w:val="fr-CH"/>
        </w:rPr>
        <w:t>Grâce à la politique de l’État visant à enrayer la progression du taux de chômage et à créer de nouveaux emplois, le taux de chômage a fluctué entre un maximum en 2005 (</w:t>
      </w:r>
      <w:r w:rsidRPr="0071782F">
        <w:rPr>
          <w:lang w:val="fr-CH"/>
        </w:rPr>
        <w:t>11</w:t>
      </w:r>
      <w:r w:rsidR="00FD2CF0" w:rsidRPr="0071782F">
        <w:rPr>
          <w:lang w:val="fr-CH"/>
        </w:rPr>
        <w:t>,</w:t>
      </w:r>
      <w:r w:rsidRPr="0071782F">
        <w:rPr>
          <w:lang w:val="fr-CH"/>
        </w:rPr>
        <w:t>5</w:t>
      </w:r>
      <w:r w:rsidR="007E5125" w:rsidRPr="0071782F">
        <w:rPr>
          <w:lang w:val="fr-CH"/>
        </w:rPr>
        <w:t>%</w:t>
      </w:r>
      <w:r w:rsidR="00FD2CF0" w:rsidRPr="0071782F">
        <w:rPr>
          <w:lang w:val="fr-CH"/>
        </w:rPr>
        <w:t xml:space="preserve">) et un minimum en </w:t>
      </w:r>
      <w:r w:rsidRPr="0071782F">
        <w:rPr>
          <w:lang w:val="fr-CH"/>
        </w:rPr>
        <w:t>2007</w:t>
      </w:r>
      <w:r w:rsidR="00FD2CF0" w:rsidRPr="0071782F">
        <w:rPr>
          <w:lang w:val="fr-CH"/>
        </w:rPr>
        <w:t xml:space="preserve"> (</w:t>
      </w:r>
      <w:r w:rsidRPr="0071782F">
        <w:rPr>
          <w:lang w:val="fr-CH"/>
        </w:rPr>
        <w:t>10</w:t>
      </w:r>
      <w:r w:rsidR="00FD2CF0" w:rsidRPr="0071782F">
        <w:rPr>
          <w:lang w:val="fr-CH"/>
        </w:rPr>
        <w:t>,</w:t>
      </w:r>
      <w:r w:rsidRPr="0071782F">
        <w:rPr>
          <w:lang w:val="fr-CH"/>
        </w:rPr>
        <w:t>5</w:t>
      </w:r>
      <w:r w:rsidR="007E5125" w:rsidRPr="0071782F">
        <w:rPr>
          <w:lang w:val="fr-CH"/>
        </w:rPr>
        <w:t>%</w:t>
      </w:r>
      <w:r w:rsidR="00FD2CF0" w:rsidRPr="0071782F">
        <w:rPr>
          <w:lang w:val="fr-CH"/>
        </w:rPr>
        <w:t>)</w:t>
      </w:r>
      <w:r w:rsidRPr="0071782F">
        <w:rPr>
          <w:lang w:val="fr-CH"/>
        </w:rPr>
        <w:t xml:space="preserve">. </w:t>
      </w:r>
      <w:r w:rsidR="00FD2CF0" w:rsidRPr="0071782F">
        <w:rPr>
          <w:lang w:val="fr-CH"/>
        </w:rPr>
        <w:t xml:space="preserve">Par ailleurs, au cours de la même période, le taux d’activité le plus faible a été enregistré en </w:t>
      </w:r>
      <w:r w:rsidRPr="0071782F">
        <w:rPr>
          <w:lang w:val="fr-CH"/>
        </w:rPr>
        <w:t xml:space="preserve">2007 </w:t>
      </w:r>
      <w:r w:rsidR="00FD2CF0" w:rsidRPr="0071782F">
        <w:rPr>
          <w:lang w:val="fr-CH"/>
        </w:rPr>
        <w:t>(</w:t>
      </w:r>
      <w:r w:rsidRPr="0071782F">
        <w:rPr>
          <w:lang w:val="fr-CH"/>
        </w:rPr>
        <w:t>39</w:t>
      </w:r>
      <w:r w:rsidR="00FD2CF0" w:rsidRPr="0071782F">
        <w:rPr>
          <w:lang w:val="fr-CH"/>
        </w:rPr>
        <w:t>,</w:t>
      </w:r>
      <w:r w:rsidRPr="0071782F">
        <w:rPr>
          <w:lang w:val="fr-CH"/>
        </w:rPr>
        <w:t>8</w:t>
      </w:r>
      <w:r w:rsidR="007E5125" w:rsidRPr="0071782F">
        <w:rPr>
          <w:lang w:val="fr-CH"/>
        </w:rPr>
        <w:t>%</w:t>
      </w:r>
      <w:r w:rsidR="00FD2CF0" w:rsidRPr="0071782F">
        <w:rPr>
          <w:lang w:val="fr-CH"/>
        </w:rPr>
        <w:t xml:space="preserve">) et le plus élevé en </w:t>
      </w:r>
      <w:r w:rsidRPr="0071782F">
        <w:rPr>
          <w:lang w:val="fr-CH"/>
        </w:rPr>
        <w:t xml:space="preserve">2005 </w:t>
      </w:r>
      <w:r w:rsidR="00FD2CF0" w:rsidRPr="0071782F">
        <w:rPr>
          <w:lang w:val="fr-CH"/>
        </w:rPr>
        <w:t>(</w:t>
      </w:r>
      <w:r w:rsidRPr="0071782F">
        <w:rPr>
          <w:lang w:val="fr-CH"/>
        </w:rPr>
        <w:t>41</w:t>
      </w:r>
      <w:r w:rsidR="00FD2CF0" w:rsidRPr="0071782F">
        <w:rPr>
          <w:lang w:val="fr-CH"/>
        </w:rPr>
        <w:t>,</w:t>
      </w:r>
      <w:r w:rsidRPr="0071782F">
        <w:rPr>
          <w:lang w:val="fr-CH"/>
        </w:rPr>
        <w:t>0</w:t>
      </w:r>
      <w:r w:rsidR="007E5125" w:rsidRPr="0071782F">
        <w:rPr>
          <w:lang w:val="fr-CH"/>
        </w:rPr>
        <w:t>%</w:t>
      </w:r>
      <w:r w:rsidR="00FD2CF0" w:rsidRPr="0071782F">
        <w:rPr>
          <w:lang w:val="fr-CH"/>
        </w:rPr>
        <w:t>)</w:t>
      </w:r>
      <w:r w:rsidRPr="0071782F">
        <w:rPr>
          <w:lang w:val="fr-CH"/>
        </w:rPr>
        <w:t>.</w:t>
      </w:r>
    </w:p>
    <w:p w:rsidR="00662526" w:rsidRPr="0071782F" w:rsidRDefault="00662526" w:rsidP="00662526">
      <w:pPr>
        <w:pStyle w:val="SingleTxtG"/>
        <w:ind w:left="1701"/>
        <w:rPr>
          <w:lang w:val="fr-CH"/>
        </w:rPr>
      </w:pPr>
      <w:r w:rsidRPr="0071782F">
        <w:rPr>
          <w:lang w:val="fr-CH"/>
        </w:rPr>
        <w:t>51.2.</w:t>
      </w:r>
      <w:r w:rsidRPr="0071782F">
        <w:rPr>
          <w:lang w:val="fr-CH"/>
        </w:rPr>
        <w:tab/>
      </w:r>
      <w:r w:rsidR="00012703" w:rsidRPr="0071782F">
        <w:rPr>
          <w:lang w:val="fr-CH"/>
        </w:rPr>
        <w:t xml:space="preserve">Les taux moyens de chômage et d’activité pour les trois premiers trimestres de 2008 ont été de </w:t>
      </w:r>
      <w:r w:rsidRPr="0071782F">
        <w:rPr>
          <w:lang w:val="fr-CH"/>
        </w:rPr>
        <w:t>9</w:t>
      </w:r>
      <w:r w:rsidR="00012703" w:rsidRPr="0071782F">
        <w:rPr>
          <w:lang w:val="fr-CH"/>
        </w:rPr>
        <w:t>,</w:t>
      </w:r>
      <w:r w:rsidRPr="0071782F">
        <w:rPr>
          <w:lang w:val="fr-CH"/>
        </w:rPr>
        <w:t>8</w:t>
      </w:r>
      <w:r w:rsidR="007E5125" w:rsidRPr="0071782F">
        <w:rPr>
          <w:lang w:val="fr-CH"/>
        </w:rPr>
        <w:t>%</w:t>
      </w:r>
      <w:r w:rsidRPr="0071782F">
        <w:rPr>
          <w:lang w:val="fr-CH"/>
        </w:rPr>
        <w:t xml:space="preserve"> </w:t>
      </w:r>
      <w:r w:rsidR="00012703" w:rsidRPr="0071782F">
        <w:rPr>
          <w:lang w:val="fr-CH"/>
        </w:rPr>
        <w:t xml:space="preserve">et de </w:t>
      </w:r>
      <w:r w:rsidRPr="0071782F">
        <w:rPr>
          <w:lang w:val="fr-CH"/>
        </w:rPr>
        <w:t>38</w:t>
      </w:r>
      <w:r w:rsidR="00012703" w:rsidRPr="0071782F">
        <w:rPr>
          <w:lang w:val="fr-CH"/>
        </w:rPr>
        <w:t>,</w:t>
      </w:r>
      <w:r w:rsidRPr="0071782F">
        <w:rPr>
          <w:lang w:val="fr-CH"/>
        </w:rPr>
        <w:t>3</w:t>
      </w:r>
      <w:r w:rsidR="007E5125" w:rsidRPr="0071782F">
        <w:rPr>
          <w:lang w:val="fr-CH"/>
        </w:rPr>
        <w:t>%</w:t>
      </w:r>
      <w:r w:rsidR="00012703" w:rsidRPr="0071782F">
        <w:rPr>
          <w:lang w:val="fr-CH"/>
        </w:rPr>
        <w:t>, respectivement, pour l’ensemble du pays, ces deux taux ayant baissé par rapport à ceux des années antérieures.</w:t>
      </w:r>
      <w:r w:rsidR="00D36718">
        <w:rPr>
          <w:lang w:val="fr-CH"/>
        </w:rPr>
        <w:t xml:space="preserve"> </w:t>
      </w:r>
    </w:p>
    <w:p w:rsidR="00662526" w:rsidRPr="0071782F" w:rsidRDefault="00662526" w:rsidP="00662526">
      <w:pPr>
        <w:pStyle w:val="SingleTxtG"/>
        <w:ind w:left="1701"/>
        <w:rPr>
          <w:lang w:val="fr-CH"/>
        </w:rPr>
      </w:pPr>
      <w:r w:rsidRPr="0071782F">
        <w:rPr>
          <w:lang w:val="fr-CH"/>
        </w:rPr>
        <w:t>51.3.</w:t>
      </w:r>
      <w:r w:rsidRPr="0071782F">
        <w:rPr>
          <w:lang w:val="fr-CH"/>
        </w:rPr>
        <w:tab/>
      </w:r>
      <w:r w:rsidR="005D3C65" w:rsidRPr="0071782F">
        <w:rPr>
          <w:lang w:val="fr-CH"/>
        </w:rPr>
        <w:t xml:space="preserve">Les </w:t>
      </w:r>
      <w:r w:rsidRPr="0071782F">
        <w:rPr>
          <w:lang w:val="fr-CH"/>
        </w:rPr>
        <w:t>statisti</w:t>
      </w:r>
      <w:r w:rsidR="005D3C65" w:rsidRPr="0071782F">
        <w:rPr>
          <w:lang w:val="fr-CH"/>
        </w:rPr>
        <w:t>que</w:t>
      </w:r>
      <w:r w:rsidRPr="0071782F">
        <w:rPr>
          <w:lang w:val="fr-CH"/>
        </w:rPr>
        <w:t xml:space="preserve">s </w:t>
      </w:r>
      <w:r w:rsidR="005D3C65" w:rsidRPr="0071782F">
        <w:rPr>
          <w:lang w:val="fr-CH"/>
        </w:rPr>
        <w:t xml:space="preserve">établies par le Centre iranien de statistique montrent que, pendant la période </w:t>
      </w:r>
      <w:r w:rsidRPr="0071782F">
        <w:rPr>
          <w:lang w:val="fr-CH"/>
        </w:rPr>
        <w:t>2005</w:t>
      </w:r>
      <w:r w:rsidR="005D3C65" w:rsidRPr="0071782F">
        <w:rPr>
          <w:lang w:val="fr-CH"/>
        </w:rPr>
        <w:t>-</w:t>
      </w:r>
      <w:r w:rsidRPr="0071782F">
        <w:rPr>
          <w:lang w:val="fr-CH"/>
        </w:rPr>
        <w:t>2007</w:t>
      </w:r>
      <w:r w:rsidR="005D3C65" w:rsidRPr="0071782F">
        <w:rPr>
          <w:lang w:val="fr-CH"/>
        </w:rPr>
        <w:t>, le taux d’activité a enregistré une tendance à la baisse dans l’ensemble du pays</w:t>
      </w:r>
      <w:r w:rsidRPr="0071782F">
        <w:rPr>
          <w:lang w:val="fr-CH"/>
        </w:rPr>
        <w:t xml:space="preserve">. </w:t>
      </w:r>
      <w:r w:rsidR="005D3C65" w:rsidRPr="0071782F">
        <w:rPr>
          <w:lang w:val="fr-CH"/>
        </w:rPr>
        <w:t>Cette baisse a affecté aussi bien les zones urbaines que les zones rurales et les hommes aussi bien que les femmes.</w:t>
      </w:r>
    </w:p>
    <w:p w:rsidR="00662526" w:rsidRPr="0071782F" w:rsidRDefault="00662526" w:rsidP="00662526">
      <w:pPr>
        <w:pStyle w:val="SingleTxtG"/>
        <w:ind w:left="1701"/>
        <w:rPr>
          <w:lang w:val="fr-CH"/>
        </w:rPr>
      </w:pPr>
      <w:r w:rsidRPr="0071782F">
        <w:rPr>
          <w:lang w:val="fr-CH"/>
        </w:rPr>
        <w:t>51.4.</w:t>
      </w:r>
      <w:r w:rsidRPr="0071782F">
        <w:rPr>
          <w:lang w:val="fr-CH"/>
        </w:rPr>
        <w:tab/>
      </w:r>
      <w:r w:rsidR="005D3C65" w:rsidRPr="0071782F">
        <w:rPr>
          <w:lang w:val="fr-CH"/>
        </w:rPr>
        <w:t>Les statistiques établies par le Centre révèlent également que le taux de chômage a lui aussi baissé au cours de la même période, ce aussi bien dans les zones urbaines que dans les zones rurales et aussi bien parmi les hommes que parmi les femmes</w:t>
      </w:r>
      <w:r w:rsidRPr="0071782F">
        <w:rPr>
          <w:lang w:val="fr-CH"/>
        </w:rPr>
        <w:t>.</w:t>
      </w:r>
    </w:p>
    <w:p w:rsidR="00177D28" w:rsidRDefault="00662526" w:rsidP="00C34219">
      <w:pPr>
        <w:pStyle w:val="SingleTxtG"/>
        <w:spacing w:after="0"/>
        <w:ind w:left="1701"/>
        <w:rPr>
          <w:lang w:val="fr-CH"/>
        </w:rPr>
      </w:pPr>
      <w:r w:rsidRPr="0071782F">
        <w:rPr>
          <w:lang w:val="fr-CH"/>
        </w:rPr>
        <w:t>51.5.</w:t>
      </w:r>
      <w:r w:rsidRPr="0071782F">
        <w:rPr>
          <w:lang w:val="fr-CH"/>
        </w:rPr>
        <w:tab/>
      </w:r>
      <w:r w:rsidR="00C44456" w:rsidRPr="0071782F">
        <w:rPr>
          <w:lang w:val="fr-CH"/>
        </w:rPr>
        <w:t>Comme le montre le tableau qui suit, l’examen des taux d’activité correspondant à chaque secteur (agriculture, industrie</w:t>
      </w:r>
      <w:r w:rsidRPr="0071782F">
        <w:rPr>
          <w:lang w:val="fr-CH"/>
        </w:rPr>
        <w:t>, service</w:t>
      </w:r>
      <w:r w:rsidR="00C44456" w:rsidRPr="0071782F">
        <w:rPr>
          <w:lang w:val="fr-CH"/>
        </w:rPr>
        <w:t>s</w:t>
      </w:r>
      <w:r w:rsidRPr="0071782F">
        <w:rPr>
          <w:lang w:val="fr-CH"/>
        </w:rPr>
        <w:t xml:space="preserve">) </w:t>
      </w:r>
      <w:r w:rsidR="00C44456" w:rsidRPr="0071782F">
        <w:rPr>
          <w:lang w:val="fr-CH"/>
        </w:rPr>
        <w:t xml:space="preserve">au cours de la période </w:t>
      </w:r>
      <w:r w:rsidRPr="0071782F">
        <w:rPr>
          <w:lang w:val="fr-CH"/>
        </w:rPr>
        <w:t>2005</w:t>
      </w:r>
      <w:r w:rsidR="00C44456" w:rsidRPr="0071782F">
        <w:rPr>
          <w:lang w:val="fr-CH"/>
        </w:rPr>
        <w:t>-2007 fait apparaître que la part de l’</w:t>
      </w:r>
      <w:r w:rsidRPr="0071782F">
        <w:rPr>
          <w:lang w:val="fr-CH"/>
        </w:rPr>
        <w:t xml:space="preserve">agriculture </w:t>
      </w:r>
      <w:r w:rsidR="00C44456" w:rsidRPr="0071782F">
        <w:rPr>
          <w:lang w:val="fr-CH"/>
        </w:rPr>
        <w:t xml:space="preserve">a diminué tant en milieu urbain qu’en milieu rural et dans le cas des hommes aussi bien que dans celui des femmes, tandis que celle de l’industrie a augmenté tant en milieu urbain qu’en milieu rural et dans le cas des hommes aussi bien que dans celui des femmes. </w:t>
      </w:r>
    </w:p>
    <w:p w:rsidR="00773008" w:rsidRPr="00B2191A" w:rsidRDefault="00C47A13" w:rsidP="00C47A13">
      <w:pPr>
        <w:pStyle w:val="H23G"/>
        <w:rPr>
          <w:lang w:val="fr-FR"/>
        </w:rPr>
      </w:pPr>
      <w:r>
        <w:tab/>
      </w:r>
      <w:r>
        <w:tab/>
      </w:r>
      <w:r w:rsidR="00773008" w:rsidRPr="00B2191A">
        <w:rPr>
          <w:lang w:val="fr-FR"/>
        </w:rPr>
        <w:t>Principaux indicateurs de la main-d’euvre pendant la période 2005-2007</w:t>
      </w:r>
    </w:p>
    <w:tbl>
      <w:tblPr>
        <w:tblW w:w="9639"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548"/>
        <w:gridCol w:w="1126"/>
        <w:gridCol w:w="688"/>
        <w:gridCol w:w="793"/>
        <w:gridCol w:w="1221"/>
        <w:gridCol w:w="706"/>
        <w:gridCol w:w="793"/>
        <w:gridCol w:w="1160"/>
        <w:gridCol w:w="811"/>
        <w:gridCol w:w="793"/>
      </w:tblGrid>
      <w:tr w:rsidR="00773008" w:rsidRPr="00E532CF">
        <w:trPr>
          <w:tblHeader/>
        </w:trPr>
        <w:tc>
          <w:tcPr>
            <w:tcW w:w="1548" w:type="dxa"/>
            <w:tcBorders>
              <w:top w:val="single" w:sz="4" w:space="0" w:color="auto"/>
              <w:bottom w:val="nil"/>
            </w:tcBorders>
            <w:shd w:val="clear" w:color="000000" w:fill="auto"/>
            <w:vAlign w:val="bottom"/>
          </w:tcPr>
          <w:p w:rsidR="00773008" w:rsidRPr="003F0F72" w:rsidRDefault="00773008" w:rsidP="00FF61D8">
            <w:pPr>
              <w:suppressAutoHyphens w:val="0"/>
              <w:spacing w:before="80" w:after="80" w:line="200" w:lineRule="exact"/>
              <w:ind w:right="113"/>
              <w:jc w:val="center"/>
              <w:rPr>
                <w:i/>
                <w:sz w:val="16"/>
                <w:szCs w:val="16"/>
                <w:lang w:val="fr-CH"/>
              </w:rPr>
            </w:pPr>
          </w:p>
        </w:tc>
        <w:tc>
          <w:tcPr>
            <w:tcW w:w="2607" w:type="dxa"/>
            <w:gridSpan w:val="3"/>
            <w:tcBorders>
              <w:top w:val="single" w:sz="4" w:space="0" w:color="auto"/>
              <w:bottom w:val="single" w:sz="4" w:space="0" w:color="auto"/>
              <w:right w:val="single" w:sz="24" w:space="0" w:color="FFFFFF"/>
            </w:tcBorders>
            <w:shd w:val="clear" w:color="000000" w:fill="auto"/>
            <w:vAlign w:val="bottom"/>
          </w:tcPr>
          <w:p w:rsidR="00773008" w:rsidRPr="00E532CF" w:rsidRDefault="00773008" w:rsidP="00FF61D8">
            <w:pPr>
              <w:suppressAutoHyphens w:val="0"/>
              <w:spacing w:before="80" w:after="80" w:line="200" w:lineRule="exact"/>
              <w:ind w:right="113"/>
              <w:jc w:val="center"/>
              <w:rPr>
                <w:i/>
                <w:sz w:val="16"/>
                <w:szCs w:val="16"/>
              </w:rPr>
            </w:pPr>
            <w:r w:rsidRPr="00E532CF">
              <w:rPr>
                <w:i/>
                <w:sz w:val="16"/>
                <w:szCs w:val="16"/>
              </w:rPr>
              <w:t>2005</w:t>
            </w:r>
          </w:p>
        </w:tc>
        <w:tc>
          <w:tcPr>
            <w:tcW w:w="2720" w:type="dxa"/>
            <w:gridSpan w:val="3"/>
            <w:tcBorders>
              <w:top w:val="single" w:sz="4" w:space="0" w:color="auto"/>
              <w:left w:val="single" w:sz="24" w:space="0" w:color="FFFFFF"/>
              <w:bottom w:val="single" w:sz="4" w:space="0" w:color="auto"/>
              <w:right w:val="single" w:sz="24" w:space="0" w:color="FFFFFF"/>
            </w:tcBorders>
            <w:shd w:val="clear" w:color="000000" w:fill="auto"/>
            <w:vAlign w:val="bottom"/>
          </w:tcPr>
          <w:p w:rsidR="00773008" w:rsidRPr="00E532CF" w:rsidRDefault="00773008" w:rsidP="00FF61D8">
            <w:pPr>
              <w:suppressAutoHyphens w:val="0"/>
              <w:spacing w:before="80" w:after="80" w:line="200" w:lineRule="exact"/>
              <w:ind w:right="113"/>
              <w:jc w:val="center"/>
              <w:rPr>
                <w:i/>
                <w:sz w:val="16"/>
                <w:szCs w:val="16"/>
              </w:rPr>
            </w:pPr>
            <w:r w:rsidRPr="00E532CF">
              <w:rPr>
                <w:i/>
                <w:sz w:val="16"/>
                <w:szCs w:val="16"/>
              </w:rPr>
              <w:t>2006</w:t>
            </w:r>
          </w:p>
        </w:tc>
        <w:tc>
          <w:tcPr>
            <w:tcW w:w="2764" w:type="dxa"/>
            <w:gridSpan w:val="3"/>
            <w:tcBorders>
              <w:top w:val="single" w:sz="4" w:space="0" w:color="auto"/>
              <w:left w:val="single" w:sz="24" w:space="0" w:color="FFFFFF"/>
              <w:bottom w:val="single" w:sz="4" w:space="0" w:color="auto"/>
            </w:tcBorders>
            <w:shd w:val="clear" w:color="000000" w:fill="auto"/>
            <w:vAlign w:val="bottom"/>
          </w:tcPr>
          <w:p w:rsidR="00773008" w:rsidRPr="00E532CF" w:rsidRDefault="00773008" w:rsidP="00FF61D8">
            <w:pPr>
              <w:suppressAutoHyphens w:val="0"/>
              <w:spacing w:before="80" w:after="80" w:line="200" w:lineRule="exact"/>
              <w:ind w:right="113"/>
              <w:jc w:val="center"/>
              <w:rPr>
                <w:i/>
                <w:sz w:val="16"/>
                <w:szCs w:val="16"/>
              </w:rPr>
            </w:pPr>
            <w:r w:rsidRPr="00E532CF">
              <w:rPr>
                <w:i/>
                <w:sz w:val="16"/>
                <w:szCs w:val="16"/>
              </w:rPr>
              <w:t>2007</w:t>
            </w:r>
          </w:p>
        </w:tc>
      </w:tr>
      <w:tr w:rsidR="00773008" w:rsidRPr="00E532CF">
        <w:tc>
          <w:tcPr>
            <w:tcW w:w="1548" w:type="dxa"/>
            <w:tcBorders>
              <w:top w:val="nil"/>
              <w:bottom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rPr>
                <w:i/>
                <w:sz w:val="16"/>
                <w:szCs w:val="16"/>
              </w:rPr>
            </w:pPr>
            <w:r w:rsidRPr="00E532CF">
              <w:rPr>
                <w:i/>
                <w:sz w:val="16"/>
                <w:szCs w:val="16"/>
              </w:rPr>
              <w:t>Indicat</w:t>
            </w:r>
            <w:r>
              <w:rPr>
                <w:i/>
                <w:sz w:val="16"/>
                <w:szCs w:val="16"/>
              </w:rPr>
              <w:t>eur</w:t>
            </w:r>
          </w:p>
        </w:tc>
        <w:tc>
          <w:tcPr>
            <w:tcW w:w="1126" w:type="dxa"/>
            <w:tcBorders>
              <w:top w:val="single" w:sz="4" w:space="0" w:color="auto"/>
              <w:bottom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jc w:val="right"/>
              <w:rPr>
                <w:i/>
                <w:sz w:val="16"/>
                <w:szCs w:val="16"/>
              </w:rPr>
            </w:pPr>
            <w:r>
              <w:rPr>
                <w:i/>
                <w:sz w:val="16"/>
                <w:szCs w:val="16"/>
              </w:rPr>
              <w:t xml:space="preserve">Hommes et femmes </w:t>
            </w:r>
          </w:p>
        </w:tc>
        <w:tc>
          <w:tcPr>
            <w:tcW w:w="688" w:type="dxa"/>
            <w:tcBorders>
              <w:top w:val="single" w:sz="4" w:space="0" w:color="auto"/>
              <w:bottom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jc w:val="right"/>
              <w:rPr>
                <w:i/>
                <w:sz w:val="16"/>
                <w:szCs w:val="16"/>
              </w:rPr>
            </w:pPr>
            <w:r>
              <w:rPr>
                <w:i/>
                <w:sz w:val="16"/>
                <w:szCs w:val="16"/>
              </w:rPr>
              <w:t xml:space="preserve">Hommes </w:t>
            </w:r>
          </w:p>
        </w:tc>
        <w:tc>
          <w:tcPr>
            <w:tcW w:w="793" w:type="dxa"/>
            <w:tcBorders>
              <w:top w:val="single" w:sz="4" w:space="0" w:color="auto"/>
              <w:bottom w:val="single" w:sz="12" w:space="0" w:color="auto"/>
              <w:right w:val="single" w:sz="24" w:space="0" w:color="FFFFFF"/>
            </w:tcBorders>
            <w:shd w:val="clear" w:color="000000" w:fill="auto"/>
            <w:vAlign w:val="bottom"/>
          </w:tcPr>
          <w:p w:rsidR="00773008" w:rsidRPr="00E532CF" w:rsidRDefault="00773008" w:rsidP="00FF61D8">
            <w:pPr>
              <w:suppressAutoHyphens w:val="0"/>
              <w:spacing w:before="40" w:after="40" w:line="220" w:lineRule="exact"/>
              <w:ind w:right="113"/>
              <w:jc w:val="right"/>
              <w:rPr>
                <w:i/>
                <w:sz w:val="16"/>
                <w:szCs w:val="16"/>
              </w:rPr>
            </w:pPr>
            <w:r w:rsidRPr="00E532CF">
              <w:rPr>
                <w:i/>
                <w:sz w:val="16"/>
                <w:szCs w:val="16"/>
              </w:rPr>
              <w:t>Fem</w:t>
            </w:r>
            <w:r>
              <w:rPr>
                <w:i/>
                <w:sz w:val="16"/>
                <w:szCs w:val="16"/>
              </w:rPr>
              <w:t>mes</w:t>
            </w:r>
          </w:p>
        </w:tc>
        <w:tc>
          <w:tcPr>
            <w:tcW w:w="1221" w:type="dxa"/>
            <w:tcBorders>
              <w:top w:val="single" w:sz="4" w:space="0" w:color="auto"/>
              <w:left w:val="single" w:sz="24" w:space="0" w:color="FFFFFF"/>
              <w:bottom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jc w:val="right"/>
              <w:rPr>
                <w:i/>
                <w:sz w:val="16"/>
                <w:szCs w:val="16"/>
              </w:rPr>
            </w:pPr>
            <w:r>
              <w:rPr>
                <w:i/>
                <w:sz w:val="16"/>
                <w:szCs w:val="16"/>
              </w:rPr>
              <w:t>Hommes et femmes</w:t>
            </w:r>
          </w:p>
        </w:tc>
        <w:tc>
          <w:tcPr>
            <w:tcW w:w="706" w:type="dxa"/>
            <w:tcBorders>
              <w:top w:val="single" w:sz="4" w:space="0" w:color="auto"/>
              <w:bottom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jc w:val="right"/>
              <w:rPr>
                <w:i/>
                <w:sz w:val="16"/>
                <w:szCs w:val="16"/>
              </w:rPr>
            </w:pPr>
            <w:r>
              <w:rPr>
                <w:i/>
                <w:sz w:val="16"/>
                <w:szCs w:val="16"/>
              </w:rPr>
              <w:t>Hommes</w:t>
            </w:r>
          </w:p>
        </w:tc>
        <w:tc>
          <w:tcPr>
            <w:tcW w:w="793" w:type="dxa"/>
            <w:tcBorders>
              <w:top w:val="single" w:sz="4" w:space="0" w:color="auto"/>
              <w:bottom w:val="single" w:sz="12" w:space="0" w:color="auto"/>
              <w:right w:val="single" w:sz="24" w:space="0" w:color="FFFFFF"/>
            </w:tcBorders>
            <w:shd w:val="clear" w:color="000000" w:fill="auto"/>
            <w:vAlign w:val="bottom"/>
          </w:tcPr>
          <w:p w:rsidR="00773008" w:rsidRPr="00E532CF" w:rsidRDefault="00773008" w:rsidP="00FF61D8">
            <w:pPr>
              <w:suppressAutoHyphens w:val="0"/>
              <w:spacing w:before="40" w:after="40" w:line="220" w:lineRule="exact"/>
              <w:ind w:right="113"/>
              <w:jc w:val="right"/>
              <w:rPr>
                <w:i/>
                <w:sz w:val="16"/>
                <w:szCs w:val="16"/>
              </w:rPr>
            </w:pPr>
            <w:r w:rsidRPr="00E532CF">
              <w:rPr>
                <w:i/>
                <w:sz w:val="16"/>
                <w:szCs w:val="16"/>
              </w:rPr>
              <w:t>Fem</w:t>
            </w:r>
            <w:r>
              <w:rPr>
                <w:i/>
                <w:sz w:val="16"/>
                <w:szCs w:val="16"/>
              </w:rPr>
              <w:t>mes</w:t>
            </w:r>
          </w:p>
        </w:tc>
        <w:tc>
          <w:tcPr>
            <w:tcW w:w="1160" w:type="dxa"/>
            <w:tcBorders>
              <w:top w:val="single" w:sz="4" w:space="0" w:color="auto"/>
              <w:left w:val="single" w:sz="24" w:space="0" w:color="FFFFFF"/>
              <w:bottom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jc w:val="right"/>
              <w:rPr>
                <w:i/>
                <w:sz w:val="16"/>
                <w:szCs w:val="16"/>
              </w:rPr>
            </w:pPr>
            <w:r>
              <w:rPr>
                <w:i/>
                <w:sz w:val="16"/>
                <w:szCs w:val="16"/>
              </w:rPr>
              <w:t>Hommes et femmes</w:t>
            </w:r>
          </w:p>
        </w:tc>
        <w:tc>
          <w:tcPr>
            <w:tcW w:w="811" w:type="dxa"/>
            <w:tcBorders>
              <w:top w:val="single" w:sz="4" w:space="0" w:color="auto"/>
              <w:bottom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jc w:val="right"/>
              <w:rPr>
                <w:i/>
                <w:sz w:val="16"/>
                <w:szCs w:val="16"/>
              </w:rPr>
            </w:pPr>
            <w:r>
              <w:rPr>
                <w:i/>
                <w:sz w:val="16"/>
                <w:szCs w:val="16"/>
              </w:rPr>
              <w:t>Hommes</w:t>
            </w:r>
          </w:p>
        </w:tc>
        <w:tc>
          <w:tcPr>
            <w:tcW w:w="793" w:type="dxa"/>
            <w:tcBorders>
              <w:top w:val="single" w:sz="4" w:space="0" w:color="auto"/>
              <w:bottom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jc w:val="right"/>
              <w:rPr>
                <w:i/>
                <w:sz w:val="16"/>
                <w:szCs w:val="16"/>
              </w:rPr>
            </w:pPr>
            <w:r w:rsidRPr="00E532CF">
              <w:rPr>
                <w:i/>
                <w:sz w:val="16"/>
                <w:szCs w:val="16"/>
              </w:rPr>
              <w:t>Fem</w:t>
            </w:r>
            <w:r>
              <w:rPr>
                <w:i/>
                <w:sz w:val="16"/>
                <w:szCs w:val="16"/>
              </w:rPr>
              <w:t>mes</w:t>
            </w:r>
          </w:p>
        </w:tc>
      </w:tr>
      <w:tr w:rsidR="00773008" w:rsidRPr="00E532CF">
        <w:tc>
          <w:tcPr>
            <w:tcW w:w="1548" w:type="dxa"/>
            <w:tcBorders>
              <w:top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rPr>
                <w:sz w:val="18"/>
                <w:szCs w:val="18"/>
              </w:rPr>
            </w:pPr>
            <w:r>
              <w:rPr>
                <w:sz w:val="18"/>
                <w:szCs w:val="18"/>
              </w:rPr>
              <w:t xml:space="preserve">Taux d’activité </w:t>
            </w:r>
          </w:p>
        </w:tc>
        <w:tc>
          <w:tcPr>
            <w:tcW w:w="1126" w:type="dxa"/>
            <w:tcBorders>
              <w:top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jc w:val="right"/>
              <w:rPr>
                <w:sz w:val="18"/>
              </w:rPr>
            </w:pPr>
            <w:r w:rsidRPr="00E532CF">
              <w:rPr>
                <w:sz w:val="18"/>
              </w:rPr>
              <w:t>39</w:t>
            </w:r>
            <w:r>
              <w:rPr>
                <w:sz w:val="18"/>
              </w:rPr>
              <w:t>,</w:t>
            </w:r>
            <w:r w:rsidRPr="00E532CF">
              <w:rPr>
                <w:sz w:val="18"/>
              </w:rPr>
              <w:t>8</w:t>
            </w:r>
          </w:p>
        </w:tc>
        <w:tc>
          <w:tcPr>
            <w:tcW w:w="688" w:type="dxa"/>
            <w:tcBorders>
              <w:top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jc w:val="right"/>
              <w:rPr>
                <w:sz w:val="18"/>
              </w:rPr>
            </w:pPr>
            <w:r w:rsidRPr="00E532CF">
              <w:rPr>
                <w:sz w:val="18"/>
              </w:rPr>
              <w:t>63</w:t>
            </w:r>
            <w:r>
              <w:rPr>
                <w:sz w:val="18"/>
              </w:rPr>
              <w:t>,</w:t>
            </w:r>
            <w:r w:rsidRPr="00E532CF">
              <w:rPr>
                <w:sz w:val="18"/>
              </w:rPr>
              <w:t>5</w:t>
            </w:r>
          </w:p>
        </w:tc>
        <w:tc>
          <w:tcPr>
            <w:tcW w:w="793" w:type="dxa"/>
            <w:tcBorders>
              <w:top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jc w:val="right"/>
              <w:rPr>
                <w:sz w:val="18"/>
              </w:rPr>
            </w:pPr>
            <w:r w:rsidRPr="00E532CF">
              <w:rPr>
                <w:sz w:val="18"/>
              </w:rPr>
              <w:t>15</w:t>
            </w:r>
            <w:r>
              <w:rPr>
                <w:sz w:val="18"/>
              </w:rPr>
              <w:t>,</w:t>
            </w:r>
            <w:r w:rsidRPr="00E532CF">
              <w:rPr>
                <w:sz w:val="18"/>
              </w:rPr>
              <w:t>6</w:t>
            </w:r>
          </w:p>
        </w:tc>
        <w:tc>
          <w:tcPr>
            <w:tcW w:w="1221" w:type="dxa"/>
            <w:tcBorders>
              <w:top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jc w:val="right"/>
              <w:rPr>
                <w:sz w:val="18"/>
              </w:rPr>
            </w:pPr>
            <w:r w:rsidRPr="00E532CF">
              <w:rPr>
                <w:sz w:val="18"/>
              </w:rPr>
              <w:t>40</w:t>
            </w:r>
            <w:r>
              <w:rPr>
                <w:sz w:val="18"/>
              </w:rPr>
              <w:t>,</w:t>
            </w:r>
            <w:r w:rsidRPr="00E532CF">
              <w:rPr>
                <w:sz w:val="18"/>
              </w:rPr>
              <w:t>4</w:t>
            </w:r>
          </w:p>
        </w:tc>
        <w:tc>
          <w:tcPr>
            <w:tcW w:w="706" w:type="dxa"/>
            <w:tcBorders>
              <w:top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jc w:val="right"/>
              <w:rPr>
                <w:sz w:val="18"/>
              </w:rPr>
            </w:pPr>
            <w:r w:rsidRPr="00E532CF">
              <w:rPr>
                <w:sz w:val="18"/>
              </w:rPr>
              <w:t>63</w:t>
            </w:r>
            <w:r>
              <w:rPr>
                <w:sz w:val="18"/>
              </w:rPr>
              <w:t>,</w:t>
            </w:r>
            <w:r w:rsidRPr="00E532CF">
              <w:rPr>
                <w:sz w:val="18"/>
              </w:rPr>
              <w:t>9</w:t>
            </w:r>
          </w:p>
        </w:tc>
        <w:tc>
          <w:tcPr>
            <w:tcW w:w="793" w:type="dxa"/>
            <w:tcBorders>
              <w:top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jc w:val="right"/>
              <w:rPr>
                <w:sz w:val="18"/>
              </w:rPr>
            </w:pPr>
            <w:r w:rsidRPr="00E532CF">
              <w:rPr>
                <w:sz w:val="18"/>
              </w:rPr>
              <w:t>16</w:t>
            </w:r>
            <w:r>
              <w:rPr>
                <w:sz w:val="18"/>
              </w:rPr>
              <w:t>,</w:t>
            </w:r>
            <w:r w:rsidRPr="00E532CF">
              <w:rPr>
                <w:sz w:val="18"/>
              </w:rPr>
              <w:t>4</w:t>
            </w:r>
          </w:p>
        </w:tc>
        <w:tc>
          <w:tcPr>
            <w:tcW w:w="1160" w:type="dxa"/>
            <w:tcBorders>
              <w:top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jc w:val="right"/>
              <w:rPr>
                <w:sz w:val="18"/>
              </w:rPr>
            </w:pPr>
            <w:r w:rsidRPr="00E532CF">
              <w:rPr>
                <w:sz w:val="18"/>
              </w:rPr>
              <w:t>39</w:t>
            </w:r>
            <w:r>
              <w:rPr>
                <w:sz w:val="18"/>
              </w:rPr>
              <w:t>,</w:t>
            </w:r>
            <w:r w:rsidRPr="00E532CF">
              <w:rPr>
                <w:sz w:val="18"/>
              </w:rPr>
              <w:t>8</w:t>
            </w:r>
          </w:p>
        </w:tc>
        <w:tc>
          <w:tcPr>
            <w:tcW w:w="811" w:type="dxa"/>
            <w:tcBorders>
              <w:top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jc w:val="right"/>
              <w:rPr>
                <w:sz w:val="18"/>
              </w:rPr>
            </w:pPr>
            <w:r w:rsidRPr="00E532CF">
              <w:rPr>
                <w:sz w:val="18"/>
              </w:rPr>
              <w:t>63</w:t>
            </w:r>
            <w:r>
              <w:rPr>
                <w:sz w:val="18"/>
              </w:rPr>
              <w:t>,</w:t>
            </w:r>
            <w:r w:rsidRPr="00E532CF">
              <w:rPr>
                <w:sz w:val="18"/>
              </w:rPr>
              <w:t>5</w:t>
            </w:r>
          </w:p>
        </w:tc>
        <w:tc>
          <w:tcPr>
            <w:tcW w:w="793" w:type="dxa"/>
            <w:tcBorders>
              <w:top w:val="single" w:sz="12" w:space="0" w:color="auto"/>
            </w:tcBorders>
            <w:shd w:val="clear" w:color="000000" w:fill="auto"/>
            <w:vAlign w:val="bottom"/>
          </w:tcPr>
          <w:p w:rsidR="00773008" w:rsidRPr="00E532CF" w:rsidRDefault="00773008" w:rsidP="00FF61D8">
            <w:pPr>
              <w:suppressAutoHyphens w:val="0"/>
              <w:spacing w:before="40" w:after="40" w:line="220" w:lineRule="exact"/>
              <w:ind w:right="113"/>
              <w:jc w:val="right"/>
              <w:rPr>
                <w:sz w:val="18"/>
              </w:rPr>
            </w:pPr>
            <w:r w:rsidRPr="00E532CF">
              <w:rPr>
                <w:sz w:val="18"/>
              </w:rPr>
              <w:t>15</w:t>
            </w:r>
            <w:r>
              <w:rPr>
                <w:sz w:val="18"/>
              </w:rPr>
              <w:t>,</w:t>
            </w:r>
            <w:r w:rsidRPr="00E532CF">
              <w:rPr>
                <w:sz w:val="18"/>
              </w:rPr>
              <w:t>6</w:t>
            </w:r>
          </w:p>
        </w:tc>
      </w:tr>
    </w:tbl>
    <w:p w:rsidR="00773008" w:rsidRPr="0071782F" w:rsidRDefault="00773008" w:rsidP="00C34219">
      <w:pPr>
        <w:pStyle w:val="SingleTxtG"/>
        <w:spacing w:after="0"/>
        <w:ind w:left="1701"/>
        <w:rPr>
          <w:lang w:val="fr-CH"/>
        </w:rPr>
      </w:pPr>
    </w:p>
    <w:p w:rsidR="00177D28" w:rsidRPr="0071782F" w:rsidRDefault="00A33E51" w:rsidP="002F59E7">
      <w:pPr>
        <w:pStyle w:val="H23G"/>
        <w:rPr>
          <w:lang w:val="fr-CH"/>
        </w:rPr>
      </w:pPr>
      <w:r w:rsidRPr="0071782F">
        <w:rPr>
          <w:lang w:val="fr-CH"/>
        </w:rPr>
        <w:tab/>
      </w:r>
    </w:p>
    <w:p w:rsidR="00A33E51" w:rsidRPr="0071782F" w:rsidRDefault="00A33E51" w:rsidP="0071197A">
      <w:pPr>
        <w:pStyle w:val="SingleTxtG"/>
        <w:rPr>
          <w:lang w:val="fr-CH"/>
        </w:rPr>
        <w:sectPr w:rsidR="00A33E51" w:rsidRPr="0071782F" w:rsidSect="007273A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p>
    <w:p w:rsidR="001D385D" w:rsidRPr="00B2191A" w:rsidRDefault="001D385D" w:rsidP="00B2191A">
      <w:pPr>
        <w:pStyle w:val="H23G"/>
      </w:pPr>
      <w:r w:rsidRPr="0071782F">
        <w:rPr>
          <w:lang w:val="fr-CH"/>
        </w:rPr>
        <w:tab/>
      </w:r>
      <w:r w:rsidR="00B2191A">
        <w:rPr>
          <w:lang w:val="fr-CH"/>
        </w:rPr>
        <w:tab/>
      </w:r>
      <w:r w:rsidR="00773008" w:rsidRPr="00B2191A">
        <w:t>Taux d’activité par secteur</w:t>
      </w:r>
    </w:p>
    <w:tbl>
      <w:tblPr>
        <w:tblW w:w="1235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84"/>
        <w:gridCol w:w="1041"/>
        <w:gridCol w:w="1042"/>
        <w:gridCol w:w="1042"/>
        <w:gridCol w:w="1041"/>
        <w:gridCol w:w="1042"/>
        <w:gridCol w:w="1042"/>
        <w:gridCol w:w="1041"/>
        <w:gridCol w:w="1042"/>
        <w:gridCol w:w="1042"/>
      </w:tblGrid>
      <w:tr w:rsidR="001D385D" w:rsidRPr="0071782F">
        <w:tc>
          <w:tcPr>
            <w:tcW w:w="2984" w:type="dxa"/>
            <w:tcBorders>
              <w:top w:val="single" w:sz="4" w:space="0" w:color="auto"/>
              <w:bottom w:val="nil"/>
            </w:tcBorders>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szCs w:val="18"/>
                <w:lang w:val="fr-CH"/>
              </w:rPr>
              <w:t>Agriculture</w:t>
            </w:r>
          </w:p>
        </w:tc>
        <w:tc>
          <w:tcPr>
            <w:tcW w:w="1041" w:type="dxa"/>
            <w:tcBorders>
              <w:top w:val="single" w:sz="4" w:space="0" w:color="auto"/>
              <w:bottom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szCs w:val="18"/>
                <w:lang w:val="fr-CH"/>
              </w:rPr>
              <w:t>22,8</w:t>
            </w:r>
          </w:p>
        </w:tc>
        <w:tc>
          <w:tcPr>
            <w:tcW w:w="1042" w:type="dxa"/>
            <w:tcBorders>
              <w:top w:val="single" w:sz="4" w:space="0" w:color="auto"/>
              <w:bottom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20,5</w:t>
            </w:r>
          </w:p>
        </w:tc>
        <w:tc>
          <w:tcPr>
            <w:tcW w:w="1042" w:type="dxa"/>
            <w:tcBorders>
              <w:top w:val="single" w:sz="4" w:space="0" w:color="auto"/>
              <w:bottom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szCs w:val="18"/>
                <w:lang w:val="fr-CH"/>
              </w:rPr>
              <w:t>33,1</w:t>
            </w:r>
          </w:p>
        </w:tc>
        <w:tc>
          <w:tcPr>
            <w:tcW w:w="1041" w:type="dxa"/>
            <w:tcBorders>
              <w:top w:val="single" w:sz="4" w:space="0" w:color="auto"/>
              <w:bottom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szCs w:val="18"/>
                <w:lang w:val="fr-CH"/>
              </w:rPr>
              <w:t>23,2</w:t>
            </w:r>
          </w:p>
        </w:tc>
        <w:tc>
          <w:tcPr>
            <w:tcW w:w="1042" w:type="dxa"/>
            <w:tcBorders>
              <w:top w:val="single" w:sz="4" w:space="0" w:color="auto"/>
              <w:bottom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szCs w:val="18"/>
                <w:lang w:val="fr-CH"/>
              </w:rPr>
              <w:t>21,3</w:t>
            </w:r>
          </w:p>
        </w:tc>
        <w:tc>
          <w:tcPr>
            <w:tcW w:w="1042" w:type="dxa"/>
            <w:tcBorders>
              <w:top w:val="single" w:sz="4" w:space="0" w:color="auto"/>
              <w:bottom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szCs w:val="18"/>
                <w:lang w:val="fr-CH"/>
              </w:rPr>
              <w:t>30,9</w:t>
            </w:r>
          </w:p>
        </w:tc>
        <w:tc>
          <w:tcPr>
            <w:tcW w:w="1041" w:type="dxa"/>
            <w:tcBorders>
              <w:top w:val="single" w:sz="4" w:space="0" w:color="auto"/>
              <w:bottom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szCs w:val="18"/>
                <w:lang w:val="fr-CH"/>
              </w:rPr>
              <w:t>22,8</w:t>
            </w:r>
          </w:p>
        </w:tc>
        <w:tc>
          <w:tcPr>
            <w:tcW w:w="1042" w:type="dxa"/>
            <w:tcBorders>
              <w:top w:val="single" w:sz="4" w:space="0" w:color="auto"/>
              <w:bottom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szCs w:val="18"/>
                <w:lang w:val="fr-CH"/>
              </w:rPr>
              <w:t>20,5</w:t>
            </w:r>
          </w:p>
        </w:tc>
        <w:tc>
          <w:tcPr>
            <w:tcW w:w="1042" w:type="dxa"/>
            <w:tcBorders>
              <w:top w:val="single" w:sz="4" w:space="0" w:color="auto"/>
              <w:bottom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szCs w:val="18"/>
                <w:lang w:val="fr-CH"/>
              </w:rPr>
              <w:t>33,1</w:t>
            </w:r>
          </w:p>
        </w:tc>
      </w:tr>
      <w:tr w:rsidR="001D385D" w:rsidRPr="0071782F">
        <w:tc>
          <w:tcPr>
            <w:tcW w:w="2984" w:type="dxa"/>
            <w:tcBorders>
              <w:top w:val="nil"/>
            </w:tcBorders>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Industrie</w:t>
            </w:r>
          </w:p>
        </w:tc>
        <w:tc>
          <w:tcPr>
            <w:tcW w:w="1041" w:type="dxa"/>
            <w:tcBorders>
              <w:top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32,0</w:t>
            </w:r>
          </w:p>
        </w:tc>
        <w:tc>
          <w:tcPr>
            <w:tcW w:w="1042" w:type="dxa"/>
            <w:tcBorders>
              <w:top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32,7</w:t>
            </w:r>
          </w:p>
        </w:tc>
        <w:tc>
          <w:tcPr>
            <w:tcW w:w="1042" w:type="dxa"/>
            <w:tcBorders>
              <w:top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29,1</w:t>
            </w:r>
          </w:p>
        </w:tc>
        <w:tc>
          <w:tcPr>
            <w:tcW w:w="1041" w:type="dxa"/>
            <w:tcBorders>
              <w:top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31,7</w:t>
            </w:r>
          </w:p>
        </w:tc>
        <w:tc>
          <w:tcPr>
            <w:tcW w:w="1042" w:type="dxa"/>
            <w:tcBorders>
              <w:top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31,7</w:t>
            </w:r>
          </w:p>
        </w:tc>
        <w:tc>
          <w:tcPr>
            <w:tcW w:w="1042" w:type="dxa"/>
            <w:tcBorders>
              <w:top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31,7</w:t>
            </w:r>
          </w:p>
        </w:tc>
        <w:tc>
          <w:tcPr>
            <w:tcW w:w="1041" w:type="dxa"/>
            <w:tcBorders>
              <w:top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32,0</w:t>
            </w:r>
          </w:p>
        </w:tc>
        <w:tc>
          <w:tcPr>
            <w:tcW w:w="1042" w:type="dxa"/>
            <w:tcBorders>
              <w:top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32,7</w:t>
            </w:r>
          </w:p>
        </w:tc>
        <w:tc>
          <w:tcPr>
            <w:tcW w:w="1042" w:type="dxa"/>
            <w:tcBorders>
              <w:top w:val="nil"/>
            </w:tcBorders>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29,1</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Services</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45,1</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46,8</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37,8</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45,1</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47</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37,3</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45,1</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46,8</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37,8</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 xml:space="preserve">Non spécifié </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1"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1"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Privé</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81,0</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82,0</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76,9</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80,9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81,9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76,8</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81</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82</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76,9</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Public</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18,5</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17,6</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22,3</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18,5</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17,6</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22,3</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18,5</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17,6</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22,3</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 xml:space="preserve">Autres </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0,5</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0,4</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0,8</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0,5</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0,4</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0,8</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 xml:space="preserve">Non spécifié </w:t>
            </w:r>
          </w:p>
        </w:tc>
        <w:tc>
          <w:tcPr>
            <w:tcW w:w="1041"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1"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1"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 xml:space="preserve">Taux de chômage </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10,5</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9,3</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15,8</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11,3</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10</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16,2</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10,5</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9,3</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15,8</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Nombre de personnes</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59 254 939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29 894 459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29 360 179</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58 142 356</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29 334 653</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28 807 703</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59 254 639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29 894 459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29 360 179</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Nombre de personnes ayant un emploi</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21 092 477</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17 229 988</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3 862 488</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20 841 420</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16 871 814</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3 969 606</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21 092 477</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17 229 988</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3 862 488</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Nombre de chômeurs</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2 486 238</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176 418</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722 119</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2 642 648</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1 877 931</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764 716</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2 486 238</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1 764 118</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722 119</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Nombre de personnes ayant un emploi dans l’agriculture</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4 809 552</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3 532 090</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12 774 761</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4 827 188</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3 601 542</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1 225 646</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4 809 552</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3 532 090</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1 277 461</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Nombre de personnes ayant un emploi dans l’industrie</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6 759 514</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5 634 258</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1 125 255</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6 604 909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5 344 700</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1 260 209</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6 759 514</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5 634 258</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1 125 255</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Nombre de personnes ayant un emploi dans les services</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9 519 831</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8 060 275</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1 459 556</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9 404 166</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7 921 609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1 482 556</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9 519 831</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8 060 275</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1 459 556</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Nombre de personnes ayant un emploi non déclarées</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3 579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3 364</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215</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5 156</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3 962</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1 193</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3 579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3 364</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215</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 xml:space="preserve">Nombre de personnes ayant un emploi dans le secteur privé </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17 092 692</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14 123 459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2 969 233</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16 869 951</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13 821 356</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3 048 594</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17 092 692</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14 123 459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2 969 233</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 xml:space="preserve">Nombre de personnes ayant un emploi dans le secteur public </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3 898 914</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3 036 270</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862 643</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2 855 847</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2 972 282</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883 564</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3 898 914</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3 036 270</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862 643</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Nombre de personnes ayant un emploi dans d’autres secteurs</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100 821</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70 209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30 611</w:t>
            </w:r>
          </w:p>
        </w:tc>
        <w:tc>
          <w:tcPr>
            <w:tcW w:w="1041"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100 821</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70 209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30 611</w:t>
            </w:r>
          </w:p>
        </w:tc>
      </w:tr>
      <w:tr w:rsidR="001D385D" w:rsidRPr="0071782F">
        <w:tc>
          <w:tcPr>
            <w:tcW w:w="2984" w:type="dxa"/>
            <w:shd w:val="clear" w:color="auto" w:fill="auto"/>
            <w:vAlign w:val="bottom"/>
          </w:tcPr>
          <w:p w:rsidR="001D385D" w:rsidRPr="0071782F" w:rsidRDefault="001D385D" w:rsidP="001D385D">
            <w:pPr>
              <w:suppressAutoHyphens w:val="0"/>
              <w:spacing w:before="40" w:after="40" w:line="220" w:lineRule="exact"/>
              <w:rPr>
                <w:sz w:val="18"/>
                <w:lang w:val="fr-CH"/>
              </w:rPr>
            </w:pPr>
            <w:r w:rsidRPr="0071782F">
              <w:rPr>
                <w:sz w:val="18"/>
                <w:lang w:val="fr-CH"/>
              </w:rPr>
              <w:t>Nombre de personnes ayant un emploi non déclarées</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49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49</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1"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2" w:type="dxa"/>
            <w:shd w:val="clear" w:color="auto" w:fill="auto"/>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c>
          <w:tcPr>
            <w:tcW w:w="1041"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49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49</w:t>
            </w:r>
          </w:p>
        </w:tc>
        <w:tc>
          <w:tcPr>
            <w:tcW w:w="1042" w:type="dxa"/>
            <w:shd w:val="clear" w:color="auto" w:fill="auto"/>
            <w:vAlign w:val="bottom"/>
          </w:tcPr>
          <w:p w:rsidR="001D385D" w:rsidRPr="0071782F" w:rsidRDefault="001D385D" w:rsidP="001D385D">
            <w:pPr>
              <w:suppressAutoHyphens w:val="0"/>
              <w:spacing w:before="40" w:after="40" w:line="220" w:lineRule="exact"/>
              <w:jc w:val="right"/>
              <w:rPr>
                <w:sz w:val="18"/>
                <w:lang w:val="fr-CH"/>
              </w:rPr>
            </w:pPr>
            <w:r w:rsidRPr="0071782F">
              <w:rPr>
                <w:sz w:val="18"/>
                <w:lang w:val="fr-CH"/>
              </w:rPr>
              <w:t>–</w:t>
            </w:r>
          </w:p>
        </w:tc>
      </w:tr>
    </w:tbl>
    <w:p w:rsidR="00E73987" w:rsidRPr="0071782F" w:rsidRDefault="00E73987" w:rsidP="0052136D">
      <w:pPr>
        <w:rPr>
          <w:lang w:val="fr-CH"/>
        </w:rPr>
        <w:sectPr w:rsidR="00E73987" w:rsidRPr="0071782F" w:rsidSect="00177D28">
          <w:headerReference w:type="even" r:id="rId13"/>
          <w:headerReference w:type="default" r:id="rId14"/>
          <w:footerReference w:type="even" r:id="rId15"/>
          <w:footerReference w:type="default" r:id="rId16"/>
          <w:endnotePr>
            <w:numFmt w:val="decimal"/>
          </w:endnotePr>
          <w:pgSz w:w="16838" w:h="11906" w:orient="landscape" w:code="9"/>
          <w:pgMar w:top="1134" w:right="1701" w:bottom="1134" w:left="2268" w:header="567" w:footer="567" w:gutter="0"/>
          <w:cols w:space="720"/>
          <w:docGrid w:linePitch="272"/>
        </w:sectPr>
      </w:pPr>
    </w:p>
    <w:p w:rsidR="00177D28" w:rsidRPr="0071782F" w:rsidRDefault="00E73987" w:rsidP="00E73987">
      <w:pPr>
        <w:pStyle w:val="H23G"/>
        <w:rPr>
          <w:lang w:val="fr-CH"/>
        </w:rPr>
      </w:pPr>
      <w:r w:rsidRPr="0071782F">
        <w:rPr>
          <w:lang w:val="fr-CH"/>
        </w:rPr>
        <w:tab/>
      </w:r>
      <w:r w:rsidRPr="0071782F">
        <w:rPr>
          <w:lang w:val="fr-CH"/>
        </w:rPr>
        <w:tab/>
      </w:r>
      <w:r w:rsidR="00C44456" w:rsidRPr="0071782F">
        <w:rPr>
          <w:lang w:val="fr-CH"/>
        </w:rPr>
        <w:t>Taux d’activité dans l’ensemble du pays et dans les zones urbaines et rurales pendant la période 2005-</w:t>
      </w:r>
      <w:r w:rsidRPr="0071782F">
        <w:rPr>
          <w:lang w:val="fr-CH"/>
        </w:rPr>
        <w:t>2007</w:t>
      </w:r>
      <w:r w:rsidR="007E5125" w:rsidRPr="0071782F">
        <w:rPr>
          <w:lang w:val="fr-CH"/>
        </w:rPr>
        <w:t>,</w:t>
      </w:r>
      <w:r w:rsidR="00C44456" w:rsidRPr="0071782F">
        <w:rPr>
          <w:lang w:val="fr-CH"/>
        </w:rPr>
        <w:t xml:space="preserve"> en pourcentage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52"/>
        <w:gridCol w:w="1606"/>
        <w:gridCol w:w="1606"/>
        <w:gridCol w:w="1606"/>
      </w:tblGrid>
      <w:tr w:rsidR="00E73987" w:rsidRPr="0071782F">
        <w:trPr>
          <w:tblHeader/>
        </w:trPr>
        <w:tc>
          <w:tcPr>
            <w:tcW w:w="2552" w:type="dxa"/>
            <w:tcBorders>
              <w:top w:val="single" w:sz="4" w:space="0" w:color="auto"/>
              <w:bottom w:val="single" w:sz="12" w:space="0" w:color="auto"/>
            </w:tcBorders>
            <w:shd w:val="clear" w:color="auto" w:fill="auto"/>
            <w:vAlign w:val="bottom"/>
          </w:tcPr>
          <w:p w:rsidR="00E73987" w:rsidRPr="0071782F" w:rsidRDefault="00E73987" w:rsidP="00CF35CF">
            <w:pPr>
              <w:suppressAutoHyphens w:val="0"/>
              <w:spacing w:before="80" w:after="80" w:line="200" w:lineRule="exact"/>
              <w:rPr>
                <w:i/>
                <w:sz w:val="16"/>
                <w:lang w:val="fr-CH"/>
              </w:rPr>
            </w:pPr>
          </w:p>
        </w:tc>
        <w:tc>
          <w:tcPr>
            <w:tcW w:w="1606" w:type="dxa"/>
            <w:tcBorders>
              <w:top w:val="single" w:sz="4" w:space="0" w:color="auto"/>
              <w:bottom w:val="single" w:sz="12" w:space="0" w:color="auto"/>
            </w:tcBorders>
            <w:shd w:val="clear" w:color="auto" w:fill="auto"/>
            <w:vAlign w:val="bottom"/>
          </w:tcPr>
          <w:p w:rsidR="00E73987" w:rsidRPr="0071782F" w:rsidRDefault="00E73987" w:rsidP="00CF35CF">
            <w:pPr>
              <w:suppressAutoHyphens w:val="0"/>
              <w:spacing w:before="80" w:after="80" w:line="200" w:lineRule="exact"/>
              <w:jc w:val="right"/>
              <w:rPr>
                <w:i/>
                <w:sz w:val="16"/>
                <w:lang w:val="fr-CH"/>
              </w:rPr>
            </w:pPr>
            <w:r w:rsidRPr="0071782F">
              <w:rPr>
                <w:i/>
                <w:sz w:val="16"/>
                <w:lang w:val="fr-CH"/>
              </w:rPr>
              <w:t>2005</w:t>
            </w:r>
          </w:p>
        </w:tc>
        <w:tc>
          <w:tcPr>
            <w:tcW w:w="1606" w:type="dxa"/>
            <w:tcBorders>
              <w:top w:val="single" w:sz="4" w:space="0" w:color="auto"/>
              <w:bottom w:val="single" w:sz="12" w:space="0" w:color="auto"/>
            </w:tcBorders>
            <w:shd w:val="clear" w:color="auto" w:fill="auto"/>
            <w:vAlign w:val="bottom"/>
          </w:tcPr>
          <w:p w:rsidR="00E73987" w:rsidRPr="0071782F" w:rsidRDefault="00E73987" w:rsidP="00CF35CF">
            <w:pPr>
              <w:suppressAutoHyphens w:val="0"/>
              <w:spacing w:before="80" w:after="80" w:line="200" w:lineRule="exact"/>
              <w:jc w:val="right"/>
              <w:rPr>
                <w:i/>
                <w:sz w:val="16"/>
                <w:lang w:val="fr-CH"/>
              </w:rPr>
            </w:pPr>
            <w:r w:rsidRPr="0071782F">
              <w:rPr>
                <w:i/>
                <w:sz w:val="16"/>
                <w:lang w:val="fr-CH"/>
              </w:rPr>
              <w:t>2006</w:t>
            </w:r>
          </w:p>
        </w:tc>
        <w:tc>
          <w:tcPr>
            <w:tcW w:w="1606" w:type="dxa"/>
            <w:tcBorders>
              <w:top w:val="single" w:sz="4" w:space="0" w:color="auto"/>
              <w:bottom w:val="single" w:sz="12" w:space="0" w:color="auto"/>
            </w:tcBorders>
            <w:shd w:val="clear" w:color="auto" w:fill="auto"/>
            <w:vAlign w:val="bottom"/>
          </w:tcPr>
          <w:p w:rsidR="00E73987" w:rsidRPr="0071782F" w:rsidRDefault="00E73987" w:rsidP="00CF35CF">
            <w:pPr>
              <w:suppressAutoHyphens w:val="0"/>
              <w:spacing w:before="80" w:after="80" w:line="200" w:lineRule="exact"/>
              <w:jc w:val="right"/>
              <w:rPr>
                <w:i/>
                <w:sz w:val="16"/>
                <w:lang w:val="fr-CH"/>
              </w:rPr>
            </w:pPr>
            <w:r w:rsidRPr="0071782F">
              <w:rPr>
                <w:i/>
                <w:sz w:val="16"/>
                <w:lang w:val="fr-CH"/>
              </w:rPr>
              <w:t>2007</w:t>
            </w:r>
          </w:p>
        </w:tc>
      </w:tr>
      <w:tr w:rsidR="00E73987" w:rsidRPr="0071782F">
        <w:tc>
          <w:tcPr>
            <w:tcW w:w="2552" w:type="dxa"/>
            <w:tcBorders>
              <w:top w:val="single" w:sz="12" w:space="0" w:color="auto"/>
            </w:tcBorders>
            <w:shd w:val="clear" w:color="auto" w:fill="auto"/>
            <w:vAlign w:val="bottom"/>
          </w:tcPr>
          <w:p w:rsidR="00E73987" w:rsidRPr="0071782F" w:rsidRDefault="00C44456" w:rsidP="00CF35CF">
            <w:pPr>
              <w:suppressAutoHyphens w:val="0"/>
              <w:spacing w:before="40" w:after="40" w:line="220" w:lineRule="exact"/>
              <w:rPr>
                <w:sz w:val="18"/>
                <w:lang w:val="fr-CH"/>
              </w:rPr>
            </w:pPr>
            <w:r w:rsidRPr="0071782F">
              <w:rPr>
                <w:sz w:val="18"/>
                <w:lang w:val="fr-CH"/>
              </w:rPr>
              <w:t>Ensemble du pays</w:t>
            </w:r>
          </w:p>
        </w:tc>
        <w:tc>
          <w:tcPr>
            <w:tcW w:w="1606" w:type="dxa"/>
            <w:tcBorders>
              <w:top w:val="single" w:sz="12" w:space="0" w:color="auto"/>
            </w:tcBorders>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41</w:t>
            </w:r>
          </w:p>
        </w:tc>
        <w:tc>
          <w:tcPr>
            <w:tcW w:w="1606" w:type="dxa"/>
            <w:tcBorders>
              <w:top w:val="single" w:sz="12" w:space="0" w:color="auto"/>
            </w:tcBorders>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40</w:t>
            </w:r>
            <w:r w:rsidR="001A1261" w:rsidRPr="0071782F">
              <w:rPr>
                <w:sz w:val="18"/>
                <w:lang w:val="fr-CH"/>
              </w:rPr>
              <w:t>,</w:t>
            </w:r>
            <w:r w:rsidRPr="0071782F">
              <w:rPr>
                <w:sz w:val="18"/>
                <w:lang w:val="fr-CH"/>
              </w:rPr>
              <w:t>4</w:t>
            </w:r>
          </w:p>
        </w:tc>
        <w:tc>
          <w:tcPr>
            <w:tcW w:w="1606" w:type="dxa"/>
            <w:tcBorders>
              <w:top w:val="single" w:sz="12" w:space="0" w:color="auto"/>
            </w:tcBorders>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39</w:t>
            </w:r>
            <w:r w:rsidR="001A1261" w:rsidRPr="0071782F">
              <w:rPr>
                <w:sz w:val="18"/>
                <w:lang w:val="fr-CH"/>
              </w:rPr>
              <w:t>,</w:t>
            </w:r>
            <w:r w:rsidRPr="0071782F">
              <w:rPr>
                <w:sz w:val="18"/>
                <w:lang w:val="fr-CH"/>
              </w:rPr>
              <w:t>8</w:t>
            </w:r>
          </w:p>
        </w:tc>
      </w:tr>
      <w:tr w:rsidR="00E73987" w:rsidRPr="0071782F">
        <w:tc>
          <w:tcPr>
            <w:tcW w:w="2552" w:type="dxa"/>
            <w:shd w:val="clear" w:color="auto" w:fill="auto"/>
            <w:vAlign w:val="bottom"/>
          </w:tcPr>
          <w:p w:rsidR="00E73987" w:rsidRPr="0071782F" w:rsidRDefault="00C44456" w:rsidP="00CF35CF">
            <w:pPr>
              <w:suppressAutoHyphens w:val="0"/>
              <w:spacing w:before="40" w:after="40" w:line="220" w:lineRule="exact"/>
              <w:rPr>
                <w:sz w:val="18"/>
                <w:lang w:val="fr-CH"/>
              </w:rPr>
            </w:pPr>
            <w:r w:rsidRPr="0071782F">
              <w:rPr>
                <w:sz w:val="18"/>
                <w:lang w:val="fr-CH"/>
              </w:rPr>
              <w:t>Zones urbaines</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39</w:t>
            </w:r>
            <w:r w:rsidR="001A1261" w:rsidRPr="0071782F">
              <w:rPr>
                <w:sz w:val="18"/>
                <w:lang w:val="fr-CH"/>
              </w:rPr>
              <w:t>,</w:t>
            </w:r>
            <w:r w:rsidRPr="0071782F">
              <w:rPr>
                <w:sz w:val="18"/>
                <w:lang w:val="fr-CH"/>
              </w:rPr>
              <w:t>4</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38</w:t>
            </w:r>
            <w:r w:rsidR="001A1261" w:rsidRPr="0071782F">
              <w:rPr>
                <w:sz w:val="18"/>
                <w:lang w:val="fr-CH"/>
              </w:rPr>
              <w:t>,</w:t>
            </w:r>
            <w:r w:rsidRPr="0071782F">
              <w:rPr>
                <w:sz w:val="18"/>
                <w:lang w:val="fr-CH"/>
              </w:rPr>
              <w:t>8</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38</w:t>
            </w:r>
            <w:r w:rsidR="001A1261" w:rsidRPr="0071782F">
              <w:rPr>
                <w:sz w:val="18"/>
                <w:lang w:val="fr-CH"/>
              </w:rPr>
              <w:t>,</w:t>
            </w:r>
            <w:r w:rsidRPr="0071782F">
              <w:rPr>
                <w:sz w:val="18"/>
                <w:lang w:val="fr-CH"/>
              </w:rPr>
              <w:t>2</w:t>
            </w:r>
          </w:p>
        </w:tc>
      </w:tr>
      <w:tr w:rsidR="00E73987" w:rsidRPr="0071782F">
        <w:tc>
          <w:tcPr>
            <w:tcW w:w="2552" w:type="dxa"/>
            <w:shd w:val="clear" w:color="auto" w:fill="auto"/>
            <w:vAlign w:val="bottom"/>
          </w:tcPr>
          <w:p w:rsidR="00E73987" w:rsidRPr="0071782F" w:rsidRDefault="00C44456" w:rsidP="00CF35CF">
            <w:pPr>
              <w:suppressAutoHyphens w:val="0"/>
              <w:spacing w:before="40" w:after="40" w:line="220" w:lineRule="exact"/>
              <w:rPr>
                <w:sz w:val="18"/>
                <w:lang w:val="fr-CH"/>
              </w:rPr>
            </w:pPr>
            <w:r w:rsidRPr="0071782F">
              <w:rPr>
                <w:sz w:val="18"/>
                <w:lang w:val="fr-CH"/>
              </w:rPr>
              <w:t>Zones r</w:t>
            </w:r>
            <w:r w:rsidR="00E73987" w:rsidRPr="0071782F">
              <w:rPr>
                <w:sz w:val="18"/>
                <w:lang w:val="fr-CH"/>
              </w:rPr>
              <w:t>ural</w:t>
            </w:r>
            <w:r w:rsidRPr="0071782F">
              <w:rPr>
                <w:sz w:val="18"/>
                <w:lang w:val="fr-CH"/>
              </w:rPr>
              <w:t>es</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44</w:t>
            </w:r>
            <w:r w:rsidR="001A1261" w:rsidRPr="0071782F">
              <w:rPr>
                <w:sz w:val="18"/>
                <w:lang w:val="fr-CH"/>
              </w:rPr>
              <w:t>,</w:t>
            </w:r>
            <w:r w:rsidRPr="0071782F">
              <w:rPr>
                <w:sz w:val="18"/>
                <w:lang w:val="fr-CH"/>
              </w:rPr>
              <w:t>7</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43</w:t>
            </w:r>
            <w:r w:rsidR="001A1261" w:rsidRPr="0071782F">
              <w:rPr>
                <w:sz w:val="18"/>
                <w:lang w:val="fr-CH"/>
              </w:rPr>
              <w:t>,</w:t>
            </w:r>
            <w:r w:rsidRPr="0071782F">
              <w:rPr>
                <w:sz w:val="18"/>
                <w:lang w:val="fr-CH"/>
              </w:rPr>
              <w:t>9</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43</w:t>
            </w:r>
            <w:r w:rsidR="001A1261" w:rsidRPr="0071782F">
              <w:rPr>
                <w:sz w:val="18"/>
                <w:lang w:val="fr-CH"/>
              </w:rPr>
              <w:t>,</w:t>
            </w:r>
            <w:r w:rsidRPr="0071782F">
              <w:rPr>
                <w:sz w:val="18"/>
                <w:lang w:val="fr-CH"/>
              </w:rPr>
              <w:t>6</w:t>
            </w:r>
          </w:p>
        </w:tc>
      </w:tr>
    </w:tbl>
    <w:p w:rsidR="00E73987" w:rsidRPr="0071782F" w:rsidRDefault="00E73987" w:rsidP="00E73987">
      <w:pPr>
        <w:pStyle w:val="H23G"/>
        <w:rPr>
          <w:lang w:val="fr-CH"/>
        </w:rPr>
      </w:pPr>
      <w:r w:rsidRPr="0071782F">
        <w:rPr>
          <w:lang w:val="fr-CH"/>
        </w:rPr>
        <w:tab/>
      </w:r>
      <w:r w:rsidRPr="0071782F">
        <w:rPr>
          <w:lang w:val="fr-CH"/>
        </w:rPr>
        <w:tab/>
      </w:r>
      <w:r w:rsidR="005242D7" w:rsidRPr="0071782F">
        <w:rPr>
          <w:lang w:val="fr-CH"/>
        </w:rPr>
        <w:t xml:space="preserve">Taux d’activité par sexe pendant la période </w:t>
      </w:r>
      <w:r w:rsidRPr="0071782F">
        <w:rPr>
          <w:lang w:val="fr-CH"/>
        </w:rPr>
        <w:t>2005</w:t>
      </w:r>
      <w:r w:rsidR="005242D7" w:rsidRPr="0071782F">
        <w:rPr>
          <w:lang w:val="fr-CH"/>
        </w:rPr>
        <w:t>-</w:t>
      </w:r>
      <w:r w:rsidRPr="0071782F">
        <w:rPr>
          <w:lang w:val="fr-CH"/>
        </w:rPr>
        <w:t>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52"/>
        <w:gridCol w:w="1132"/>
        <w:gridCol w:w="1843"/>
        <w:gridCol w:w="1843"/>
      </w:tblGrid>
      <w:tr w:rsidR="00E73987" w:rsidRPr="0071782F">
        <w:trPr>
          <w:tblHeader/>
        </w:trPr>
        <w:tc>
          <w:tcPr>
            <w:tcW w:w="2552" w:type="dxa"/>
            <w:tcBorders>
              <w:top w:val="single" w:sz="4" w:space="0" w:color="auto"/>
              <w:bottom w:val="single" w:sz="12" w:space="0" w:color="auto"/>
            </w:tcBorders>
            <w:shd w:val="clear" w:color="auto" w:fill="auto"/>
            <w:vAlign w:val="bottom"/>
          </w:tcPr>
          <w:p w:rsidR="00E73987" w:rsidRPr="0071782F" w:rsidRDefault="00E73987" w:rsidP="00CF35CF">
            <w:pPr>
              <w:suppressAutoHyphens w:val="0"/>
              <w:spacing w:before="80" w:after="80" w:line="200" w:lineRule="exact"/>
              <w:rPr>
                <w:i/>
                <w:sz w:val="16"/>
                <w:lang w:val="fr-CH"/>
              </w:rPr>
            </w:pPr>
          </w:p>
        </w:tc>
        <w:tc>
          <w:tcPr>
            <w:tcW w:w="1132" w:type="dxa"/>
            <w:tcBorders>
              <w:top w:val="single" w:sz="4" w:space="0" w:color="auto"/>
              <w:bottom w:val="single" w:sz="12" w:space="0" w:color="auto"/>
            </w:tcBorders>
            <w:shd w:val="clear" w:color="auto" w:fill="auto"/>
            <w:vAlign w:val="bottom"/>
          </w:tcPr>
          <w:p w:rsidR="00E73987" w:rsidRPr="0071782F" w:rsidRDefault="00E73987" w:rsidP="00CF35CF">
            <w:pPr>
              <w:suppressAutoHyphens w:val="0"/>
              <w:spacing w:before="80" w:after="80" w:line="200" w:lineRule="exact"/>
              <w:jc w:val="right"/>
              <w:rPr>
                <w:i/>
                <w:sz w:val="16"/>
                <w:lang w:val="fr-CH"/>
              </w:rPr>
            </w:pPr>
            <w:r w:rsidRPr="0071782F">
              <w:rPr>
                <w:i/>
                <w:sz w:val="16"/>
                <w:lang w:val="fr-CH"/>
              </w:rPr>
              <w:t>2005</w:t>
            </w:r>
          </w:p>
        </w:tc>
        <w:tc>
          <w:tcPr>
            <w:tcW w:w="1843" w:type="dxa"/>
            <w:tcBorders>
              <w:top w:val="single" w:sz="4" w:space="0" w:color="auto"/>
              <w:bottom w:val="single" w:sz="12" w:space="0" w:color="auto"/>
            </w:tcBorders>
            <w:shd w:val="clear" w:color="auto" w:fill="auto"/>
            <w:vAlign w:val="bottom"/>
          </w:tcPr>
          <w:p w:rsidR="00E73987" w:rsidRPr="0071782F" w:rsidRDefault="00E73987" w:rsidP="00CF35CF">
            <w:pPr>
              <w:suppressAutoHyphens w:val="0"/>
              <w:spacing w:before="80" w:after="80" w:line="200" w:lineRule="exact"/>
              <w:jc w:val="right"/>
              <w:rPr>
                <w:i/>
                <w:sz w:val="16"/>
                <w:lang w:val="fr-CH"/>
              </w:rPr>
            </w:pPr>
            <w:r w:rsidRPr="0071782F">
              <w:rPr>
                <w:i/>
                <w:sz w:val="16"/>
                <w:lang w:val="fr-CH"/>
              </w:rPr>
              <w:t>2006</w:t>
            </w:r>
          </w:p>
        </w:tc>
        <w:tc>
          <w:tcPr>
            <w:tcW w:w="1843" w:type="dxa"/>
            <w:tcBorders>
              <w:top w:val="single" w:sz="4" w:space="0" w:color="auto"/>
              <w:bottom w:val="single" w:sz="12" w:space="0" w:color="auto"/>
            </w:tcBorders>
            <w:shd w:val="clear" w:color="auto" w:fill="auto"/>
            <w:vAlign w:val="bottom"/>
          </w:tcPr>
          <w:p w:rsidR="00E73987" w:rsidRPr="0071782F" w:rsidRDefault="00E73987" w:rsidP="00CF35CF">
            <w:pPr>
              <w:suppressAutoHyphens w:val="0"/>
              <w:spacing w:before="80" w:after="80" w:line="200" w:lineRule="exact"/>
              <w:jc w:val="right"/>
              <w:rPr>
                <w:i/>
                <w:sz w:val="16"/>
                <w:lang w:val="fr-CH"/>
              </w:rPr>
            </w:pPr>
            <w:r w:rsidRPr="0071782F">
              <w:rPr>
                <w:i/>
                <w:sz w:val="16"/>
                <w:lang w:val="fr-CH"/>
              </w:rPr>
              <w:t>2007</w:t>
            </w:r>
          </w:p>
        </w:tc>
      </w:tr>
      <w:tr w:rsidR="00E73987" w:rsidRPr="0071782F">
        <w:tc>
          <w:tcPr>
            <w:tcW w:w="2552" w:type="dxa"/>
            <w:tcBorders>
              <w:top w:val="single" w:sz="12" w:space="0" w:color="auto"/>
            </w:tcBorders>
            <w:shd w:val="clear" w:color="auto" w:fill="auto"/>
            <w:vAlign w:val="bottom"/>
          </w:tcPr>
          <w:p w:rsidR="00E73987" w:rsidRPr="0071782F" w:rsidRDefault="005242D7" w:rsidP="00CF35CF">
            <w:pPr>
              <w:suppressAutoHyphens w:val="0"/>
              <w:spacing w:before="40" w:after="40" w:line="220" w:lineRule="exact"/>
              <w:rPr>
                <w:sz w:val="18"/>
                <w:lang w:val="fr-CH"/>
              </w:rPr>
            </w:pPr>
            <w:r w:rsidRPr="0071782F">
              <w:rPr>
                <w:sz w:val="18"/>
                <w:lang w:val="fr-CH"/>
              </w:rPr>
              <w:t xml:space="preserve">Ensemble de la population </w:t>
            </w:r>
          </w:p>
        </w:tc>
        <w:tc>
          <w:tcPr>
            <w:tcW w:w="1132" w:type="dxa"/>
            <w:tcBorders>
              <w:top w:val="single" w:sz="12" w:space="0" w:color="auto"/>
            </w:tcBorders>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41</w:t>
            </w:r>
          </w:p>
        </w:tc>
        <w:tc>
          <w:tcPr>
            <w:tcW w:w="1843" w:type="dxa"/>
            <w:tcBorders>
              <w:top w:val="single" w:sz="12" w:space="0" w:color="auto"/>
            </w:tcBorders>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40</w:t>
            </w:r>
            <w:r w:rsidR="001A1261" w:rsidRPr="0071782F">
              <w:rPr>
                <w:sz w:val="18"/>
                <w:lang w:val="fr-CH"/>
              </w:rPr>
              <w:t>,</w:t>
            </w:r>
            <w:r w:rsidRPr="0071782F">
              <w:rPr>
                <w:sz w:val="18"/>
                <w:lang w:val="fr-CH"/>
              </w:rPr>
              <w:t>4</w:t>
            </w:r>
          </w:p>
        </w:tc>
        <w:tc>
          <w:tcPr>
            <w:tcW w:w="1843" w:type="dxa"/>
            <w:tcBorders>
              <w:top w:val="single" w:sz="12" w:space="0" w:color="auto"/>
            </w:tcBorders>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39</w:t>
            </w:r>
            <w:r w:rsidR="001A1261" w:rsidRPr="0071782F">
              <w:rPr>
                <w:sz w:val="18"/>
                <w:lang w:val="fr-CH"/>
              </w:rPr>
              <w:t>,</w:t>
            </w:r>
            <w:r w:rsidRPr="0071782F">
              <w:rPr>
                <w:sz w:val="18"/>
                <w:lang w:val="fr-CH"/>
              </w:rPr>
              <w:t>8</w:t>
            </w:r>
          </w:p>
        </w:tc>
      </w:tr>
      <w:tr w:rsidR="00E73987" w:rsidRPr="0071782F">
        <w:tc>
          <w:tcPr>
            <w:tcW w:w="2552" w:type="dxa"/>
            <w:shd w:val="clear" w:color="auto" w:fill="auto"/>
            <w:vAlign w:val="bottom"/>
          </w:tcPr>
          <w:p w:rsidR="00E73987" w:rsidRPr="0071782F" w:rsidRDefault="005242D7" w:rsidP="00CF35CF">
            <w:pPr>
              <w:suppressAutoHyphens w:val="0"/>
              <w:spacing w:before="40" w:after="40" w:line="220" w:lineRule="exact"/>
              <w:rPr>
                <w:sz w:val="18"/>
                <w:lang w:val="fr-CH"/>
              </w:rPr>
            </w:pPr>
            <w:r w:rsidRPr="0071782F">
              <w:rPr>
                <w:sz w:val="18"/>
                <w:lang w:val="fr-CH"/>
              </w:rPr>
              <w:t>Hommes</w:t>
            </w:r>
          </w:p>
        </w:tc>
        <w:tc>
          <w:tcPr>
            <w:tcW w:w="1132"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64</w:t>
            </w:r>
            <w:r w:rsidR="001A1261" w:rsidRPr="0071782F">
              <w:rPr>
                <w:sz w:val="18"/>
                <w:lang w:val="fr-CH"/>
              </w:rPr>
              <w:t>,</w:t>
            </w:r>
            <w:r w:rsidRPr="0071782F">
              <w:rPr>
                <w:sz w:val="18"/>
                <w:lang w:val="fr-CH"/>
              </w:rPr>
              <w:t>7</w:t>
            </w:r>
          </w:p>
        </w:tc>
        <w:tc>
          <w:tcPr>
            <w:tcW w:w="1843"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63</w:t>
            </w:r>
            <w:r w:rsidR="001A1261" w:rsidRPr="0071782F">
              <w:rPr>
                <w:sz w:val="18"/>
                <w:lang w:val="fr-CH"/>
              </w:rPr>
              <w:t>,</w:t>
            </w:r>
            <w:r w:rsidRPr="0071782F">
              <w:rPr>
                <w:sz w:val="18"/>
                <w:lang w:val="fr-CH"/>
              </w:rPr>
              <w:t>9</w:t>
            </w:r>
          </w:p>
        </w:tc>
        <w:tc>
          <w:tcPr>
            <w:tcW w:w="1843"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63</w:t>
            </w:r>
            <w:r w:rsidR="001A1261" w:rsidRPr="0071782F">
              <w:rPr>
                <w:sz w:val="18"/>
                <w:lang w:val="fr-CH"/>
              </w:rPr>
              <w:t>,</w:t>
            </w:r>
            <w:r w:rsidRPr="0071782F">
              <w:rPr>
                <w:sz w:val="18"/>
                <w:lang w:val="fr-CH"/>
              </w:rPr>
              <w:t>5</w:t>
            </w:r>
          </w:p>
        </w:tc>
      </w:tr>
      <w:tr w:rsidR="00E73987" w:rsidRPr="0071782F">
        <w:tc>
          <w:tcPr>
            <w:tcW w:w="2552" w:type="dxa"/>
            <w:shd w:val="clear" w:color="auto" w:fill="auto"/>
            <w:vAlign w:val="bottom"/>
          </w:tcPr>
          <w:p w:rsidR="00E73987" w:rsidRPr="0071782F" w:rsidRDefault="00E73987" w:rsidP="00CF35CF">
            <w:pPr>
              <w:suppressAutoHyphens w:val="0"/>
              <w:spacing w:before="40" w:after="40" w:line="220" w:lineRule="exact"/>
              <w:rPr>
                <w:sz w:val="18"/>
                <w:lang w:val="fr-CH"/>
              </w:rPr>
            </w:pPr>
            <w:r w:rsidRPr="0071782F">
              <w:rPr>
                <w:sz w:val="18"/>
                <w:lang w:val="fr-CH"/>
              </w:rPr>
              <w:t>Fem</w:t>
            </w:r>
            <w:r w:rsidR="005242D7" w:rsidRPr="0071782F">
              <w:rPr>
                <w:sz w:val="18"/>
                <w:lang w:val="fr-CH"/>
              </w:rPr>
              <w:t>mes</w:t>
            </w:r>
          </w:p>
        </w:tc>
        <w:tc>
          <w:tcPr>
            <w:tcW w:w="1132"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17</w:t>
            </w:r>
          </w:p>
        </w:tc>
        <w:tc>
          <w:tcPr>
            <w:tcW w:w="1843"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16</w:t>
            </w:r>
            <w:r w:rsidR="001A1261" w:rsidRPr="0071782F">
              <w:rPr>
                <w:sz w:val="18"/>
                <w:lang w:val="fr-CH"/>
              </w:rPr>
              <w:t>,</w:t>
            </w:r>
            <w:r w:rsidRPr="0071782F">
              <w:rPr>
                <w:sz w:val="18"/>
                <w:lang w:val="fr-CH"/>
              </w:rPr>
              <w:t>4</w:t>
            </w:r>
          </w:p>
        </w:tc>
        <w:tc>
          <w:tcPr>
            <w:tcW w:w="1843"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15</w:t>
            </w:r>
            <w:r w:rsidR="001A1261" w:rsidRPr="0071782F">
              <w:rPr>
                <w:sz w:val="18"/>
                <w:lang w:val="fr-CH"/>
              </w:rPr>
              <w:t>,</w:t>
            </w:r>
            <w:r w:rsidRPr="0071782F">
              <w:rPr>
                <w:sz w:val="18"/>
                <w:lang w:val="fr-CH"/>
              </w:rPr>
              <w:t>6</w:t>
            </w:r>
          </w:p>
        </w:tc>
      </w:tr>
    </w:tbl>
    <w:p w:rsidR="00E73987" w:rsidRPr="0071782F" w:rsidRDefault="00E73987" w:rsidP="00E73987">
      <w:pPr>
        <w:pStyle w:val="H23G"/>
        <w:rPr>
          <w:lang w:val="fr-CH"/>
        </w:rPr>
      </w:pPr>
      <w:r w:rsidRPr="0071782F">
        <w:rPr>
          <w:lang w:val="fr-CH"/>
        </w:rPr>
        <w:tab/>
      </w:r>
      <w:r w:rsidRPr="0071782F">
        <w:rPr>
          <w:lang w:val="fr-CH"/>
        </w:rPr>
        <w:tab/>
      </w:r>
      <w:r w:rsidR="005242D7" w:rsidRPr="0071782F">
        <w:rPr>
          <w:lang w:val="fr-CH"/>
        </w:rPr>
        <w:t>Taux de chômage dans l’ensemble du pays et dans les zones urbaines et rurales pendant la période 2005-2007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52"/>
        <w:gridCol w:w="1606"/>
        <w:gridCol w:w="1606"/>
        <w:gridCol w:w="1606"/>
      </w:tblGrid>
      <w:tr w:rsidR="00E73987" w:rsidRPr="0071782F">
        <w:trPr>
          <w:tblHeader/>
        </w:trPr>
        <w:tc>
          <w:tcPr>
            <w:tcW w:w="2552" w:type="dxa"/>
            <w:tcBorders>
              <w:top w:val="single" w:sz="4" w:space="0" w:color="auto"/>
              <w:bottom w:val="single" w:sz="12" w:space="0" w:color="auto"/>
            </w:tcBorders>
            <w:shd w:val="clear" w:color="auto" w:fill="auto"/>
            <w:vAlign w:val="bottom"/>
          </w:tcPr>
          <w:p w:rsidR="00E73987" w:rsidRPr="0071782F" w:rsidRDefault="00E73987" w:rsidP="00CF35CF">
            <w:pPr>
              <w:suppressAutoHyphens w:val="0"/>
              <w:spacing w:before="80" w:after="80" w:line="200" w:lineRule="exact"/>
              <w:rPr>
                <w:i/>
                <w:sz w:val="16"/>
                <w:lang w:val="fr-CH"/>
              </w:rPr>
            </w:pPr>
          </w:p>
        </w:tc>
        <w:tc>
          <w:tcPr>
            <w:tcW w:w="1606" w:type="dxa"/>
            <w:tcBorders>
              <w:top w:val="single" w:sz="4" w:space="0" w:color="auto"/>
              <w:bottom w:val="single" w:sz="12" w:space="0" w:color="auto"/>
            </w:tcBorders>
            <w:shd w:val="clear" w:color="auto" w:fill="auto"/>
            <w:vAlign w:val="bottom"/>
          </w:tcPr>
          <w:p w:rsidR="00E73987" w:rsidRPr="0071782F" w:rsidRDefault="00E73987" w:rsidP="00CF35CF">
            <w:pPr>
              <w:suppressAutoHyphens w:val="0"/>
              <w:spacing w:before="80" w:after="80" w:line="200" w:lineRule="exact"/>
              <w:jc w:val="right"/>
              <w:rPr>
                <w:i/>
                <w:sz w:val="16"/>
                <w:lang w:val="fr-CH"/>
              </w:rPr>
            </w:pPr>
            <w:r w:rsidRPr="0071782F">
              <w:rPr>
                <w:i/>
                <w:sz w:val="16"/>
                <w:lang w:val="fr-CH"/>
              </w:rPr>
              <w:t>2005</w:t>
            </w:r>
          </w:p>
        </w:tc>
        <w:tc>
          <w:tcPr>
            <w:tcW w:w="1606" w:type="dxa"/>
            <w:tcBorders>
              <w:top w:val="single" w:sz="4" w:space="0" w:color="auto"/>
              <w:bottom w:val="single" w:sz="12" w:space="0" w:color="auto"/>
            </w:tcBorders>
            <w:shd w:val="clear" w:color="auto" w:fill="auto"/>
            <w:vAlign w:val="bottom"/>
          </w:tcPr>
          <w:p w:rsidR="00E73987" w:rsidRPr="0071782F" w:rsidRDefault="00E73987" w:rsidP="00CF35CF">
            <w:pPr>
              <w:suppressAutoHyphens w:val="0"/>
              <w:spacing w:before="80" w:after="80" w:line="200" w:lineRule="exact"/>
              <w:jc w:val="right"/>
              <w:rPr>
                <w:i/>
                <w:sz w:val="16"/>
                <w:lang w:val="fr-CH"/>
              </w:rPr>
            </w:pPr>
            <w:r w:rsidRPr="0071782F">
              <w:rPr>
                <w:i/>
                <w:sz w:val="16"/>
                <w:lang w:val="fr-CH"/>
              </w:rPr>
              <w:t>2006</w:t>
            </w:r>
          </w:p>
        </w:tc>
        <w:tc>
          <w:tcPr>
            <w:tcW w:w="1606" w:type="dxa"/>
            <w:tcBorders>
              <w:top w:val="single" w:sz="4" w:space="0" w:color="auto"/>
              <w:bottom w:val="single" w:sz="12" w:space="0" w:color="auto"/>
            </w:tcBorders>
            <w:shd w:val="clear" w:color="auto" w:fill="auto"/>
            <w:vAlign w:val="bottom"/>
          </w:tcPr>
          <w:p w:rsidR="00E73987" w:rsidRPr="0071782F" w:rsidRDefault="00E73987" w:rsidP="00CF35CF">
            <w:pPr>
              <w:suppressAutoHyphens w:val="0"/>
              <w:spacing w:before="80" w:after="80" w:line="200" w:lineRule="exact"/>
              <w:jc w:val="right"/>
              <w:rPr>
                <w:i/>
                <w:sz w:val="16"/>
                <w:lang w:val="fr-CH"/>
              </w:rPr>
            </w:pPr>
            <w:r w:rsidRPr="0071782F">
              <w:rPr>
                <w:i/>
                <w:sz w:val="16"/>
                <w:lang w:val="fr-CH"/>
              </w:rPr>
              <w:t>2007</w:t>
            </w:r>
          </w:p>
        </w:tc>
      </w:tr>
      <w:tr w:rsidR="00E73987" w:rsidRPr="0071782F">
        <w:tc>
          <w:tcPr>
            <w:tcW w:w="2552" w:type="dxa"/>
            <w:tcBorders>
              <w:top w:val="single" w:sz="12" w:space="0" w:color="auto"/>
            </w:tcBorders>
            <w:shd w:val="clear" w:color="auto" w:fill="auto"/>
            <w:vAlign w:val="bottom"/>
          </w:tcPr>
          <w:p w:rsidR="00E73987" w:rsidRPr="0071782F" w:rsidRDefault="005242D7" w:rsidP="00CF35CF">
            <w:pPr>
              <w:suppressAutoHyphens w:val="0"/>
              <w:spacing w:before="40" w:after="40" w:line="220" w:lineRule="exact"/>
              <w:rPr>
                <w:sz w:val="18"/>
                <w:lang w:val="fr-CH"/>
              </w:rPr>
            </w:pPr>
            <w:r w:rsidRPr="0071782F">
              <w:rPr>
                <w:sz w:val="18"/>
                <w:lang w:val="fr-CH"/>
              </w:rPr>
              <w:t>Ensemble du pays</w:t>
            </w:r>
          </w:p>
        </w:tc>
        <w:tc>
          <w:tcPr>
            <w:tcW w:w="1606" w:type="dxa"/>
            <w:tcBorders>
              <w:top w:val="single" w:sz="12" w:space="0" w:color="auto"/>
            </w:tcBorders>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11</w:t>
            </w:r>
            <w:r w:rsidR="001A1261" w:rsidRPr="0071782F">
              <w:rPr>
                <w:sz w:val="18"/>
                <w:lang w:val="fr-CH"/>
              </w:rPr>
              <w:t>,</w:t>
            </w:r>
            <w:r w:rsidRPr="0071782F">
              <w:rPr>
                <w:sz w:val="18"/>
                <w:lang w:val="fr-CH"/>
              </w:rPr>
              <w:t>5</w:t>
            </w:r>
          </w:p>
        </w:tc>
        <w:tc>
          <w:tcPr>
            <w:tcW w:w="1606" w:type="dxa"/>
            <w:tcBorders>
              <w:top w:val="single" w:sz="12" w:space="0" w:color="auto"/>
            </w:tcBorders>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11</w:t>
            </w:r>
            <w:r w:rsidR="001A1261" w:rsidRPr="0071782F">
              <w:rPr>
                <w:sz w:val="18"/>
                <w:lang w:val="fr-CH"/>
              </w:rPr>
              <w:t>,</w:t>
            </w:r>
            <w:r w:rsidRPr="0071782F">
              <w:rPr>
                <w:sz w:val="18"/>
                <w:lang w:val="fr-CH"/>
              </w:rPr>
              <w:t>3</w:t>
            </w:r>
          </w:p>
        </w:tc>
        <w:tc>
          <w:tcPr>
            <w:tcW w:w="1606" w:type="dxa"/>
            <w:tcBorders>
              <w:top w:val="single" w:sz="12" w:space="0" w:color="auto"/>
            </w:tcBorders>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10</w:t>
            </w:r>
            <w:r w:rsidR="001A1261" w:rsidRPr="0071782F">
              <w:rPr>
                <w:sz w:val="18"/>
                <w:lang w:val="fr-CH"/>
              </w:rPr>
              <w:t>,</w:t>
            </w:r>
            <w:r w:rsidRPr="0071782F">
              <w:rPr>
                <w:sz w:val="18"/>
                <w:lang w:val="fr-CH"/>
              </w:rPr>
              <w:t>5</w:t>
            </w:r>
          </w:p>
        </w:tc>
      </w:tr>
      <w:tr w:rsidR="00E73987" w:rsidRPr="0071782F">
        <w:tc>
          <w:tcPr>
            <w:tcW w:w="2552" w:type="dxa"/>
            <w:shd w:val="clear" w:color="auto" w:fill="auto"/>
            <w:vAlign w:val="bottom"/>
          </w:tcPr>
          <w:p w:rsidR="00E73987" w:rsidRPr="0071782F" w:rsidRDefault="005242D7" w:rsidP="00CF35CF">
            <w:pPr>
              <w:suppressAutoHyphens w:val="0"/>
              <w:spacing w:before="40" w:after="40" w:line="220" w:lineRule="exact"/>
              <w:rPr>
                <w:sz w:val="18"/>
                <w:lang w:val="fr-CH"/>
              </w:rPr>
            </w:pPr>
            <w:r w:rsidRPr="0071782F">
              <w:rPr>
                <w:sz w:val="18"/>
                <w:lang w:val="fr-CH"/>
              </w:rPr>
              <w:t>Zones urbaines</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13</w:t>
            </w:r>
            <w:r w:rsidR="001A1261" w:rsidRPr="0071782F">
              <w:rPr>
                <w:sz w:val="18"/>
                <w:lang w:val="fr-CH"/>
              </w:rPr>
              <w:t>,</w:t>
            </w:r>
            <w:r w:rsidRPr="0071782F">
              <w:rPr>
                <w:sz w:val="18"/>
                <w:lang w:val="fr-CH"/>
              </w:rPr>
              <w:t>8</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13</w:t>
            </w:r>
            <w:r w:rsidR="001A1261" w:rsidRPr="0071782F">
              <w:rPr>
                <w:sz w:val="18"/>
                <w:lang w:val="fr-CH"/>
              </w:rPr>
              <w:t>,</w:t>
            </w:r>
            <w:r w:rsidRPr="0071782F">
              <w:rPr>
                <w:sz w:val="18"/>
                <w:lang w:val="fr-CH"/>
              </w:rPr>
              <w:t>4</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12</w:t>
            </w:r>
            <w:r w:rsidR="001A1261" w:rsidRPr="0071782F">
              <w:rPr>
                <w:sz w:val="18"/>
                <w:lang w:val="fr-CH"/>
              </w:rPr>
              <w:t>,</w:t>
            </w:r>
            <w:r w:rsidRPr="0071782F">
              <w:rPr>
                <w:sz w:val="18"/>
                <w:lang w:val="fr-CH"/>
              </w:rPr>
              <w:t>5</w:t>
            </w:r>
          </w:p>
        </w:tc>
      </w:tr>
      <w:tr w:rsidR="00E73987" w:rsidRPr="0071782F">
        <w:tc>
          <w:tcPr>
            <w:tcW w:w="2552" w:type="dxa"/>
            <w:shd w:val="clear" w:color="auto" w:fill="auto"/>
            <w:vAlign w:val="bottom"/>
          </w:tcPr>
          <w:p w:rsidR="00E73987" w:rsidRPr="0071782F" w:rsidRDefault="005242D7" w:rsidP="00CF35CF">
            <w:pPr>
              <w:suppressAutoHyphens w:val="0"/>
              <w:spacing w:before="40" w:after="40" w:line="220" w:lineRule="exact"/>
              <w:rPr>
                <w:sz w:val="18"/>
                <w:lang w:val="fr-CH"/>
              </w:rPr>
            </w:pPr>
            <w:r w:rsidRPr="0071782F">
              <w:rPr>
                <w:sz w:val="18"/>
                <w:lang w:val="fr-CH"/>
              </w:rPr>
              <w:t>Zones rurales</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7</w:t>
            </w:r>
            <w:r w:rsidR="001A1261" w:rsidRPr="0071782F">
              <w:rPr>
                <w:sz w:val="18"/>
                <w:lang w:val="fr-CH"/>
              </w:rPr>
              <w:t>,</w:t>
            </w:r>
            <w:r w:rsidRPr="0071782F">
              <w:rPr>
                <w:sz w:val="18"/>
                <w:lang w:val="fr-CH"/>
              </w:rPr>
              <w:t>1</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7</w:t>
            </w:r>
            <w:r w:rsidR="001A1261" w:rsidRPr="0071782F">
              <w:rPr>
                <w:sz w:val="18"/>
                <w:lang w:val="fr-CH"/>
              </w:rPr>
              <w:t>,</w:t>
            </w:r>
            <w:r w:rsidRPr="0071782F">
              <w:rPr>
                <w:sz w:val="18"/>
                <w:lang w:val="fr-CH"/>
              </w:rPr>
              <w:t>1</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6</w:t>
            </w:r>
            <w:r w:rsidR="001A1261" w:rsidRPr="0071782F">
              <w:rPr>
                <w:sz w:val="18"/>
                <w:lang w:val="fr-CH"/>
              </w:rPr>
              <w:t>,</w:t>
            </w:r>
            <w:r w:rsidRPr="0071782F">
              <w:rPr>
                <w:sz w:val="18"/>
                <w:lang w:val="fr-CH"/>
              </w:rPr>
              <w:t>6</w:t>
            </w:r>
          </w:p>
        </w:tc>
      </w:tr>
    </w:tbl>
    <w:p w:rsidR="00E73987" w:rsidRPr="0071782F" w:rsidRDefault="00E73987" w:rsidP="00E73987">
      <w:pPr>
        <w:pStyle w:val="H23G"/>
        <w:rPr>
          <w:lang w:val="fr-CH"/>
        </w:rPr>
      </w:pPr>
      <w:r w:rsidRPr="0071782F">
        <w:rPr>
          <w:lang w:val="fr-CH"/>
        </w:rPr>
        <w:tab/>
      </w:r>
      <w:r w:rsidRPr="0071782F">
        <w:rPr>
          <w:lang w:val="fr-CH"/>
        </w:rPr>
        <w:tab/>
      </w:r>
      <w:r w:rsidR="005242D7" w:rsidRPr="0071782F">
        <w:rPr>
          <w:lang w:val="fr-CH"/>
        </w:rPr>
        <w:t>Taux de chômage par sexe pendant la période 2005-2007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52"/>
        <w:gridCol w:w="1606"/>
        <w:gridCol w:w="1606"/>
        <w:gridCol w:w="1606"/>
      </w:tblGrid>
      <w:tr w:rsidR="00E73987" w:rsidRPr="0071782F">
        <w:trPr>
          <w:tblHeader/>
        </w:trPr>
        <w:tc>
          <w:tcPr>
            <w:tcW w:w="2552" w:type="dxa"/>
            <w:tcBorders>
              <w:top w:val="single" w:sz="4" w:space="0" w:color="auto"/>
              <w:bottom w:val="single" w:sz="12" w:space="0" w:color="auto"/>
            </w:tcBorders>
            <w:shd w:val="clear" w:color="auto" w:fill="auto"/>
            <w:vAlign w:val="bottom"/>
          </w:tcPr>
          <w:p w:rsidR="00E73987" w:rsidRPr="0071782F" w:rsidRDefault="00E73987" w:rsidP="00CF35CF">
            <w:pPr>
              <w:suppressAutoHyphens w:val="0"/>
              <w:spacing w:before="80" w:after="80" w:line="200" w:lineRule="exact"/>
              <w:rPr>
                <w:i/>
                <w:sz w:val="16"/>
                <w:lang w:val="fr-CH"/>
              </w:rPr>
            </w:pPr>
          </w:p>
        </w:tc>
        <w:tc>
          <w:tcPr>
            <w:tcW w:w="1606" w:type="dxa"/>
            <w:tcBorders>
              <w:top w:val="single" w:sz="4" w:space="0" w:color="auto"/>
              <w:bottom w:val="single" w:sz="12" w:space="0" w:color="auto"/>
            </w:tcBorders>
            <w:shd w:val="clear" w:color="auto" w:fill="auto"/>
            <w:vAlign w:val="bottom"/>
          </w:tcPr>
          <w:p w:rsidR="00E73987" w:rsidRPr="0071782F" w:rsidRDefault="00E73987" w:rsidP="00CF35CF">
            <w:pPr>
              <w:suppressAutoHyphens w:val="0"/>
              <w:spacing w:before="80" w:after="80" w:line="200" w:lineRule="exact"/>
              <w:jc w:val="right"/>
              <w:rPr>
                <w:i/>
                <w:sz w:val="16"/>
                <w:lang w:val="fr-CH"/>
              </w:rPr>
            </w:pPr>
            <w:r w:rsidRPr="0071782F">
              <w:rPr>
                <w:i/>
                <w:sz w:val="16"/>
                <w:lang w:val="fr-CH"/>
              </w:rPr>
              <w:t>2005</w:t>
            </w:r>
          </w:p>
        </w:tc>
        <w:tc>
          <w:tcPr>
            <w:tcW w:w="1606" w:type="dxa"/>
            <w:tcBorders>
              <w:top w:val="single" w:sz="4" w:space="0" w:color="auto"/>
              <w:bottom w:val="single" w:sz="12" w:space="0" w:color="auto"/>
            </w:tcBorders>
            <w:shd w:val="clear" w:color="auto" w:fill="auto"/>
            <w:vAlign w:val="bottom"/>
          </w:tcPr>
          <w:p w:rsidR="00E73987" w:rsidRPr="0071782F" w:rsidRDefault="00E73987" w:rsidP="00CF35CF">
            <w:pPr>
              <w:suppressAutoHyphens w:val="0"/>
              <w:spacing w:before="80" w:after="80" w:line="200" w:lineRule="exact"/>
              <w:jc w:val="right"/>
              <w:rPr>
                <w:i/>
                <w:sz w:val="16"/>
                <w:lang w:val="fr-CH"/>
              </w:rPr>
            </w:pPr>
            <w:r w:rsidRPr="0071782F">
              <w:rPr>
                <w:i/>
                <w:sz w:val="16"/>
                <w:lang w:val="fr-CH"/>
              </w:rPr>
              <w:t>2006</w:t>
            </w:r>
          </w:p>
        </w:tc>
        <w:tc>
          <w:tcPr>
            <w:tcW w:w="1606" w:type="dxa"/>
            <w:tcBorders>
              <w:top w:val="single" w:sz="4" w:space="0" w:color="auto"/>
              <w:bottom w:val="single" w:sz="12" w:space="0" w:color="auto"/>
            </w:tcBorders>
            <w:shd w:val="clear" w:color="auto" w:fill="auto"/>
            <w:vAlign w:val="bottom"/>
          </w:tcPr>
          <w:p w:rsidR="00E73987" w:rsidRPr="0071782F" w:rsidRDefault="00E73987" w:rsidP="00CF35CF">
            <w:pPr>
              <w:suppressAutoHyphens w:val="0"/>
              <w:spacing w:before="80" w:after="80" w:line="200" w:lineRule="exact"/>
              <w:jc w:val="right"/>
              <w:rPr>
                <w:i/>
                <w:sz w:val="16"/>
                <w:lang w:val="fr-CH"/>
              </w:rPr>
            </w:pPr>
            <w:r w:rsidRPr="0071782F">
              <w:rPr>
                <w:i/>
                <w:sz w:val="16"/>
                <w:lang w:val="fr-CH"/>
              </w:rPr>
              <w:t>2007</w:t>
            </w:r>
          </w:p>
        </w:tc>
      </w:tr>
      <w:tr w:rsidR="00E73987" w:rsidRPr="0071782F">
        <w:tc>
          <w:tcPr>
            <w:tcW w:w="2552" w:type="dxa"/>
            <w:tcBorders>
              <w:top w:val="single" w:sz="12" w:space="0" w:color="auto"/>
            </w:tcBorders>
            <w:shd w:val="clear" w:color="auto" w:fill="auto"/>
            <w:vAlign w:val="bottom"/>
          </w:tcPr>
          <w:p w:rsidR="00E73987" w:rsidRPr="0071782F" w:rsidRDefault="005242D7" w:rsidP="00CF35CF">
            <w:pPr>
              <w:suppressAutoHyphens w:val="0"/>
              <w:spacing w:before="40" w:after="40" w:line="220" w:lineRule="exact"/>
              <w:rPr>
                <w:sz w:val="18"/>
                <w:lang w:val="fr-CH"/>
              </w:rPr>
            </w:pPr>
            <w:r w:rsidRPr="0071782F">
              <w:rPr>
                <w:sz w:val="18"/>
                <w:lang w:val="fr-CH"/>
              </w:rPr>
              <w:t>Ensemble de la population</w:t>
            </w:r>
          </w:p>
        </w:tc>
        <w:tc>
          <w:tcPr>
            <w:tcW w:w="1606" w:type="dxa"/>
            <w:tcBorders>
              <w:top w:val="single" w:sz="12" w:space="0" w:color="auto"/>
            </w:tcBorders>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11</w:t>
            </w:r>
            <w:r w:rsidR="001A1261" w:rsidRPr="0071782F">
              <w:rPr>
                <w:sz w:val="18"/>
                <w:lang w:val="fr-CH"/>
              </w:rPr>
              <w:t>,</w:t>
            </w:r>
            <w:r w:rsidRPr="0071782F">
              <w:rPr>
                <w:sz w:val="18"/>
                <w:lang w:val="fr-CH"/>
              </w:rPr>
              <w:t>5</w:t>
            </w:r>
          </w:p>
        </w:tc>
        <w:tc>
          <w:tcPr>
            <w:tcW w:w="1606" w:type="dxa"/>
            <w:tcBorders>
              <w:top w:val="single" w:sz="12" w:space="0" w:color="auto"/>
            </w:tcBorders>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11</w:t>
            </w:r>
            <w:r w:rsidR="001A1261" w:rsidRPr="0071782F">
              <w:rPr>
                <w:sz w:val="18"/>
                <w:lang w:val="fr-CH"/>
              </w:rPr>
              <w:t>,</w:t>
            </w:r>
            <w:r w:rsidRPr="0071782F">
              <w:rPr>
                <w:sz w:val="18"/>
                <w:lang w:val="fr-CH"/>
              </w:rPr>
              <w:t>3</w:t>
            </w:r>
          </w:p>
        </w:tc>
        <w:tc>
          <w:tcPr>
            <w:tcW w:w="1606" w:type="dxa"/>
            <w:tcBorders>
              <w:top w:val="single" w:sz="12" w:space="0" w:color="auto"/>
            </w:tcBorders>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10</w:t>
            </w:r>
            <w:r w:rsidR="001A1261" w:rsidRPr="0071782F">
              <w:rPr>
                <w:sz w:val="18"/>
                <w:lang w:val="fr-CH"/>
              </w:rPr>
              <w:t>,</w:t>
            </w:r>
            <w:r w:rsidRPr="0071782F">
              <w:rPr>
                <w:sz w:val="18"/>
                <w:lang w:val="fr-CH"/>
              </w:rPr>
              <w:t>5</w:t>
            </w:r>
          </w:p>
        </w:tc>
      </w:tr>
      <w:tr w:rsidR="00E73987" w:rsidRPr="0071782F">
        <w:tc>
          <w:tcPr>
            <w:tcW w:w="2552" w:type="dxa"/>
            <w:shd w:val="clear" w:color="auto" w:fill="auto"/>
            <w:vAlign w:val="bottom"/>
          </w:tcPr>
          <w:p w:rsidR="00E73987" w:rsidRPr="0071782F" w:rsidRDefault="005242D7" w:rsidP="00CF35CF">
            <w:pPr>
              <w:suppressAutoHyphens w:val="0"/>
              <w:spacing w:before="40" w:after="40" w:line="220" w:lineRule="exact"/>
              <w:rPr>
                <w:sz w:val="18"/>
                <w:lang w:val="fr-CH"/>
              </w:rPr>
            </w:pPr>
            <w:r w:rsidRPr="0071782F">
              <w:rPr>
                <w:sz w:val="18"/>
                <w:lang w:val="fr-CH"/>
              </w:rPr>
              <w:t>Hommes</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10</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10</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9</w:t>
            </w:r>
            <w:r w:rsidR="001A1261" w:rsidRPr="0071782F">
              <w:rPr>
                <w:sz w:val="18"/>
                <w:lang w:val="fr-CH"/>
              </w:rPr>
              <w:t>,</w:t>
            </w:r>
            <w:r w:rsidRPr="0071782F">
              <w:rPr>
                <w:sz w:val="18"/>
                <w:lang w:val="fr-CH"/>
              </w:rPr>
              <w:t>3</w:t>
            </w:r>
          </w:p>
        </w:tc>
      </w:tr>
      <w:tr w:rsidR="00E73987" w:rsidRPr="0071782F">
        <w:tc>
          <w:tcPr>
            <w:tcW w:w="2552" w:type="dxa"/>
            <w:shd w:val="clear" w:color="auto" w:fill="auto"/>
            <w:vAlign w:val="bottom"/>
          </w:tcPr>
          <w:p w:rsidR="00E73987" w:rsidRPr="0071782F" w:rsidRDefault="00E73987" w:rsidP="00CF35CF">
            <w:pPr>
              <w:suppressAutoHyphens w:val="0"/>
              <w:spacing w:before="40" w:after="40" w:line="220" w:lineRule="exact"/>
              <w:rPr>
                <w:sz w:val="18"/>
                <w:lang w:val="fr-CH"/>
              </w:rPr>
            </w:pPr>
            <w:r w:rsidRPr="0071782F">
              <w:rPr>
                <w:sz w:val="18"/>
                <w:lang w:val="fr-CH"/>
              </w:rPr>
              <w:t>Fem</w:t>
            </w:r>
            <w:r w:rsidR="005242D7" w:rsidRPr="0071782F">
              <w:rPr>
                <w:sz w:val="18"/>
                <w:lang w:val="fr-CH"/>
              </w:rPr>
              <w:t>mes</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17</w:t>
            </w:r>
            <w:r w:rsidR="001A1261" w:rsidRPr="0071782F">
              <w:rPr>
                <w:sz w:val="18"/>
                <w:lang w:val="fr-CH"/>
              </w:rPr>
              <w:t>,</w:t>
            </w:r>
            <w:r w:rsidRPr="0071782F">
              <w:rPr>
                <w:sz w:val="18"/>
                <w:lang w:val="fr-CH"/>
              </w:rPr>
              <w:t>1</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16</w:t>
            </w:r>
            <w:r w:rsidR="001A1261" w:rsidRPr="0071782F">
              <w:rPr>
                <w:sz w:val="18"/>
                <w:lang w:val="fr-CH"/>
              </w:rPr>
              <w:t>,</w:t>
            </w:r>
            <w:r w:rsidRPr="0071782F">
              <w:rPr>
                <w:sz w:val="18"/>
                <w:lang w:val="fr-CH"/>
              </w:rPr>
              <w:t>2</w:t>
            </w:r>
          </w:p>
        </w:tc>
        <w:tc>
          <w:tcPr>
            <w:tcW w:w="1606" w:type="dxa"/>
            <w:shd w:val="clear" w:color="auto" w:fill="auto"/>
            <w:vAlign w:val="bottom"/>
          </w:tcPr>
          <w:p w:rsidR="00E73987" w:rsidRPr="0071782F" w:rsidRDefault="00E73987" w:rsidP="00CF35CF">
            <w:pPr>
              <w:suppressAutoHyphens w:val="0"/>
              <w:spacing w:before="40" w:after="40" w:line="220" w:lineRule="exact"/>
              <w:jc w:val="right"/>
              <w:rPr>
                <w:sz w:val="18"/>
                <w:lang w:val="fr-CH"/>
              </w:rPr>
            </w:pPr>
            <w:r w:rsidRPr="0071782F">
              <w:rPr>
                <w:sz w:val="18"/>
                <w:lang w:val="fr-CH"/>
              </w:rPr>
              <w:t>15</w:t>
            </w:r>
            <w:r w:rsidR="001A1261" w:rsidRPr="0071782F">
              <w:rPr>
                <w:sz w:val="18"/>
                <w:lang w:val="fr-CH"/>
              </w:rPr>
              <w:t>,</w:t>
            </w:r>
            <w:r w:rsidRPr="0071782F">
              <w:rPr>
                <w:sz w:val="18"/>
                <w:lang w:val="fr-CH"/>
              </w:rPr>
              <w:t>8</w:t>
            </w:r>
          </w:p>
        </w:tc>
      </w:tr>
    </w:tbl>
    <w:p w:rsidR="00D52344" w:rsidRPr="0071782F" w:rsidRDefault="00D52344" w:rsidP="00D52344">
      <w:pPr>
        <w:pStyle w:val="H1G"/>
        <w:rPr>
          <w:lang w:val="fr-CH"/>
        </w:rPr>
      </w:pPr>
      <w:r w:rsidRPr="0071782F">
        <w:rPr>
          <w:lang w:val="fr-CH"/>
        </w:rPr>
        <w:tab/>
      </w:r>
      <w:r w:rsidRPr="0071782F">
        <w:rPr>
          <w:lang w:val="fr-CH"/>
        </w:rPr>
        <w:tab/>
      </w:r>
      <w:r w:rsidR="005242D7" w:rsidRPr="0071782F">
        <w:rPr>
          <w:lang w:val="fr-CH"/>
        </w:rPr>
        <w:t xml:space="preserve">Bref aperçu du taux de chômage et du taux d’activité selon le niveau d’instruction </w:t>
      </w:r>
    </w:p>
    <w:p w:rsidR="00E73987" w:rsidRPr="0071782F" w:rsidRDefault="00D52344" w:rsidP="00D52344">
      <w:pPr>
        <w:pStyle w:val="SingleTxtG"/>
        <w:rPr>
          <w:lang w:val="fr-CH"/>
        </w:rPr>
      </w:pPr>
      <w:r w:rsidRPr="0071782F">
        <w:rPr>
          <w:lang w:val="fr-CH"/>
        </w:rPr>
        <w:t>52.</w:t>
      </w:r>
      <w:r w:rsidRPr="0071782F">
        <w:rPr>
          <w:lang w:val="fr-CH"/>
        </w:rPr>
        <w:tab/>
      </w:r>
      <w:r w:rsidR="00963018" w:rsidRPr="0071782F">
        <w:rPr>
          <w:lang w:val="fr-CH"/>
        </w:rPr>
        <w:t>Les planificateurs et responsables de l’élaboration des politiques du travail de la République islamique d’Iran ont toujours accordé une attention particulière au taux de chômage en tant qu’indicateur fondamental du marché du travail.</w:t>
      </w:r>
      <w:r w:rsidRPr="0071782F">
        <w:rPr>
          <w:lang w:val="fr-CH"/>
        </w:rPr>
        <w:t xml:space="preserve"> </w:t>
      </w:r>
      <w:r w:rsidR="00963018" w:rsidRPr="0071782F">
        <w:rPr>
          <w:lang w:val="fr-CH"/>
        </w:rPr>
        <w:t xml:space="preserve">L’examen de cet indicateur ventilé selon le sexe, l’âge, le niveau d’instruction ou d’autres critères permet de se faire une meilleure idée du marché du travail. C’est ainsi que les taux de chômage et d’activité selon le niveau d’instruction ainsi que leur évolution ont été étudiés pour l’ensemble du pays et pour chaque </w:t>
      </w:r>
      <w:r w:rsidRPr="0071782F">
        <w:rPr>
          <w:lang w:val="fr-CH"/>
        </w:rPr>
        <w:t xml:space="preserve">province </w:t>
      </w:r>
      <w:r w:rsidR="00963018" w:rsidRPr="0071782F">
        <w:rPr>
          <w:lang w:val="fr-CH"/>
        </w:rPr>
        <w:t xml:space="preserve">sur la période </w:t>
      </w:r>
      <w:r w:rsidRPr="0071782F">
        <w:rPr>
          <w:lang w:val="fr-CH"/>
        </w:rPr>
        <w:t>2005</w:t>
      </w:r>
      <w:r w:rsidR="00963018" w:rsidRPr="0071782F">
        <w:rPr>
          <w:lang w:val="fr-CH"/>
        </w:rPr>
        <w:t>-</w:t>
      </w:r>
      <w:r w:rsidRPr="0071782F">
        <w:rPr>
          <w:lang w:val="fr-CH"/>
        </w:rPr>
        <w:t>2007.</w:t>
      </w:r>
    </w:p>
    <w:p w:rsidR="0013102E" w:rsidRPr="0071782F" w:rsidRDefault="0013102E" w:rsidP="00D9327F">
      <w:pPr>
        <w:pStyle w:val="H23G"/>
        <w:rPr>
          <w:lang w:val="fr-CH"/>
        </w:rPr>
      </w:pPr>
      <w:r w:rsidRPr="0071782F">
        <w:rPr>
          <w:lang w:val="fr-CH"/>
        </w:rPr>
        <w:tab/>
      </w:r>
      <w:r w:rsidRPr="0071782F">
        <w:rPr>
          <w:lang w:val="fr-CH"/>
        </w:rPr>
        <w:tab/>
      </w:r>
      <w:r w:rsidR="00963018" w:rsidRPr="0071782F">
        <w:rPr>
          <w:lang w:val="fr-CH"/>
        </w:rPr>
        <w:t xml:space="preserve">Taux de chômage et d’activité dans l’ensemble du pays selon le niveau d’instruction pendant la période </w:t>
      </w:r>
      <w:r w:rsidRPr="0071782F">
        <w:rPr>
          <w:lang w:val="fr-CH"/>
        </w:rPr>
        <w:t>2005</w:t>
      </w:r>
      <w:r w:rsidR="00963018" w:rsidRPr="0071782F">
        <w:rPr>
          <w:lang w:val="fr-CH"/>
        </w:rPr>
        <w:t>-</w:t>
      </w:r>
      <w:r w:rsidRPr="0071782F">
        <w:rPr>
          <w:lang w:val="fr-CH"/>
        </w:rPr>
        <w:t>2007</w:t>
      </w:r>
    </w:p>
    <w:tbl>
      <w:tblPr>
        <w:tblW w:w="9639"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944"/>
        <w:gridCol w:w="853"/>
        <w:gridCol w:w="783"/>
        <w:gridCol w:w="937"/>
        <w:gridCol w:w="860"/>
        <w:gridCol w:w="937"/>
        <w:gridCol w:w="860"/>
        <w:gridCol w:w="880"/>
        <w:gridCol w:w="840"/>
        <w:gridCol w:w="936"/>
        <w:gridCol w:w="809"/>
        <w:tblGridChange w:id="0">
          <w:tblGrid>
            <w:gridCol w:w="944"/>
            <w:gridCol w:w="853"/>
            <w:gridCol w:w="783"/>
            <w:gridCol w:w="937"/>
            <w:gridCol w:w="860"/>
            <w:gridCol w:w="937"/>
            <w:gridCol w:w="860"/>
            <w:gridCol w:w="880"/>
            <w:gridCol w:w="840"/>
            <w:gridCol w:w="936"/>
            <w:gridCol w:w="809"/>
          </w:tblGrid>
        </w:tblGridChange>
      </w:tblGrid>
      <w:tr w:rsidR="0013102E" w:rsidRPr="0071782F">
        <w:trPr>
          <w:tblHeader/>
        </w:trPr>
        <w:tc>
          <w:tcPr>
            <w:tcW w:w="1217" w:type="dxa"/>
            <w:tcBorders>
              <w:top w:val="single" w:sz="4" w:space="0" w:color="auto"/>
              <w:bottom w:val="nil"/>
            </w:tcBorders>
            <w:shd w:val="clear" w:color="000000" w:fill="auto"/>
            <w:vAlign w:val="bottom"/>
          </w:tcPr>
          <w:p w:rsidR="0013102E" w:rsidRPr="0071782F" w:rsidRDefault="0013102E" w:rsidP="00D9327F">
            <w:pPr>
              <w:keepNext/>
              <w:suppressAutoHyphens w:val="0"/>
              <w:spacing w:before="80" w:after="80" w:line="200" w:lineRule="exact"/>
              <w:jc w:val="center"/>
              <w:rPr>
                <w:i/>
                <w:sz w:val="16"/>
                <w:szCs w:val="16"/>
                <w:lang w:val="fr-CH"/>
              </w:rPr>
            </w:pPr>
          </w:p>
        </w:tc>
        <w:tc>
          <w:tcPr>
            <w:tcW w:w="11142" w:type="dxa"/>
            <w:gridSpan w:val="10"/>
            <w:tcBorders>
              <w:top w:val="single" w:sz="4" w:space="0" w:color="auto"/>
              <w:bottom w:val="single" w:sz="4" w:space="0" w:color="auto"/>
            </w:tcBorders>
            <w:shd w:val="clear" w:color="000000" w:fill="auto"/>
            <w:vAlign w:val="bottom"/>
          </w:tcPr>
          <w:p w:rsidR="0013102E" w:rsidRPr="0071782F" w:rsidRDefault="00963018" w:rsidP="00D9327F">
            <w:pPr>
              <w:keepNext/>
              <w:suppressAutoHyphens w:val="0"/>
              <w:spacing w:before="80" w:after="80" w:line="200" w:lineRule="exact"/>
              <w:jc w:val="center"/>
              <w:rPr>
                <w:i/>
                <w:sz w:val="16"/>
                <w:szCs w:val="16"/>
                <w:lang w:val="fr-CH"/>
              </w:rPr>
            </w:pPr>
            <w:r w:rsidRPr="0071782F">
              <w:rPr>
                <w:i/>
                <w:sz w:val="16"/>
                <w:szCs w:val="16"/>
                <w:lang w:val="fr-CH"/>
              </w:rPr>
              <w:t xml:space="preserve">Niveau d’instruction </w:t>
            </w:r>
          </w:p>
        </w:tc>
      </w:tr>
      <w:tr w:rsidR="0013102E" w:rsidRPr="0071782F">
        <w:trPr>
          <w:tblHeader/>
        </w:trPr>
        <w:tc>
          <w:tcPr>
            <w:tcW w:w="1217" w:type="dxa"/>
            <w:tcBorders>
              <w:top w:val="nil"/>
              <w:bottom w:val="nil"/>
            </w:tcBorders>
            <w:shd w:val="clear" w:color="000000" w:fill="auto"/>
            <w:vAlign w:val="bottom"/>
          </w:tcPr>
          <w:p w:rsidR="0013102E" w:rsidRPr="0071782F" w:rsidRDefault="0013102E" w:rsidP="00D9327F">
            <w:pPr>
              <w:keepNext/>
              <w:suppressAutoHyphens w:val="0"/>
              <w:spacing w:before="80" w:after="80" w:line="200" w:lineRule="exact"/>
              <w:jc w:val="center"/>
              <w:rPr>
                <w:i/>
                <w:sz w:val="16"/>
                <w:szCs w:val="16"/>
                <w:lang w:val="fr-CH"/>
              </w:rPr>
            </w:pPr>
          </w:p>
        </w:tc>
        <w:tc>
          <w:tcPr>
            <w:tcW w:w="2100" w:type="dxa"/>
            <w:gridSpan w:val="2"/>
            <w:tcBorders>
              <w:top w:val="single" w:sz="4" w:space="0" w:color="auto"/>
              <w:bottom w:val="single" w:sz="4" w:space="0" w:color="auto"/>
              <w:right w:val="single" w:sz="24" w:space="0" w:color="FFFFFF"/>
            </w:tcBorders>
            <w:shd w:val="clear" w:color="000000" w:fill="auto"/>
            <w:vAlign w:val="bottom"/>
          </w:tcPr>
          <w:p w:rsidR="0013102E" w:rsidRPr="0071782F" w:rsidRDefault="00963018" w:rsidP="00D9327F">
            <w:pPr>
              <w:keepNext/>
              <w:suppressAutoHyphens w:val="0"/>
              <w:spacing w:before="80" w:after="80" w:line="200" w:lineRule="exact"/>
              <w:jc w:val="center"/>
              <w:rPr>
                <w:i/>
                <w:sz w:val="16"/>
                <w:szCs w:val="16"/>
                <w:lang w:val="fr-CH"/>
              </w:rPr>
            </w:pPr>
            <w:r w:rsidRPr="0071782F">
              <w:rPr>
                <w:i/>
                <w:sz w:val="16"/>
                <w:szCs w:val="16"/>
                <w:lang w:val="fr-CH"/>
              </w:rPr>
              <w:t xml:space="preserve">Analphabètes </w:t>
            </w:r>
          </w:p>
        </w:tc>
        <w:tc>
          <w:tcPr>
            <w:tcW w:w="230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13102E" w:rsidRPr="0071782F" w:rsidRDefault="00963018" w:rsidP="00D9327F">
            <w:pPr>
              <w:keepNext/>
              <w:suppressAutoHyphens w:val="0"/>
              <w:spacing w:before="80" w:after="80" w:line="200" w:lineRule="exact"/>
              <w:jc w:val="center"/>
              <w:rPr>
                <w:i/>
                <w:sz w:val="16"/>
                <w:szCs w:val="16"/>
                <w:lang w:val="fr-CH"/>
              </w:rPr>
            </w:pPr>
            <w:r w:rsidRPr="0071782F">
              <w:rPr>
                <w:i/>
                <w:sz w:val="16"/>
                <w:szCs w:val="16"/>
                <w:lang w:val="fr-CH"/>
              </w:rPr>
              <w:t>Décrochage scolaire</w:t>
            </w:r>
          </w:p>
        </w:tc>
        <w:tc>
          <w:tcPr>
            <w:tcW w:w="230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13102E" w:rsidRPr="0071782F" w:rsidRDefault="0013102E" w:rsidP="00D9327F">
            <w:pPr>
              <w:keepNext/>
              <w:suppressAutoHyphens w:val="0"/>
              <w:spacing w:before="80" w:after="80" w:line="200" w:lineRule="exact"/>
              <w:jc w:val="center"/>
              <w:rPr>
                <w:i/>
                <w:sz w:val="16"/>
                <w:szCs w:val="16"/>
                <w:lang w:val="fr-CH"/>
              </w:rPr>
            </w:pPr>
            <w:r w:rsidRPr="0071782F">
              <w:rPr>
                <w:i/>
                <w:sz w:val="16"/>
                <w:szCs w:val="16"/>
                <w:lang w:val="fr-CH"/>
              </w:rPr>
              <w:t>Dipl</w:t>
            </w:r>
            <w:r w:rsidR="00963018" w:rsidRPr="0071782F">
              <w:rPr>
                <w:i/>
                <w:sz w:val="16"/>
                <w:szCs w:val="16"/>
                <w:lang w:val="fr-CH"/>
              </w:rPr>
              <w:t>ôme</w:t>
            </w:r>
            <w:r w:rsidRPr="0071782F">
              <w:rPr>
                <w:i/>
                <w:sz w:val="16"/>
                <w:szCs w:val="16"/>
                <w:lang w:val="fr-CH"/>
              </w:rPr>
              <w:t xml:space="preserve"> </w:t>
            </w:r>
            <w:r w:rsidR="0031760C" w:rsidRPr="0071782F">
              <w:rPr>
                <w:i/>
                <w:sz w:val="16"/>
                <w:szCs w:val="16"/>
                <w:lang w:val="fr-CH"/>
              </w:rPr>
              <w:br/>
            </w:r>
            <w:r w:rsidRPr="0071782F">
              <w:rPr>
                <w:i/>
                <w:sz w:val="16"/>
                <w:szCs w:val="16"/>
                <w:lang w:val="fr-CH"/>
              </w:rPr>
              <w:t>(</w:t>
            </w:r>
            <w:r w:rsidR="00963018" w:rsidRPr="0071782F">
              <w:rPr>
                <w:i/>
                <w:sz w:val="16"/>
                <w:szCs w:val="16"/>
                <w:lang w:val="fr-CH"/>
              </w:rPr>
              <w:t>enseignement secondaire du second cycle</w:t>
            </w:r>
            <w:r w:rsidRPr="0071782F">
              <w:rPr>
                <w:i/>
                <w:sz w:val="16"/>
                <w:szCs w:val="16"/>
                <w:lang w:val="fr-CH"/>
              </w:rPr>
              <w:t>)</w:t>
            </w:r>
          </w:p>
        </w:tc>
        <w:tc>
          <w:tcPr>
            <w:tcW w:w="220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13102E" w:rsidRPr="0071782F" w:rsidRDefault="00063BCE" w:rsidP="00D9327F">
            <w:pPr>
              <w:keepNext/>
              <w:suppressAutoHyphens w:val="0"/>
              <w:spacing w:before="80" w:after="80" w:line="200" w:lineRule="exact"/>
              <w:jc w:val="center"/>
              <w:rPr>
                <w:i/>
                <w:sz w:val="16"/>
                <w:szCs w:val="16"/>
                <w:lang w:val="fr-CH"/>
              </w:rPr>
            </w:pPr>
            <w:r w:rsidRPr="0071782F">
              <w:rPr>
                <w:i/>
                <w:sz w:val="16"/>
                <w:szCs w:val="16"/>
                <w:lang w:val="fr-CH"/>
              </w:rPr>
              <w:t>Premier d</w:t>
            </w:r>
            <w:r w:rsidR="00963018" w:rsidRPr="0071782F">
              <w:rPr>
                <w:i/>
                <w:sz w:val="16"/>
                <w:szCs w:val="16"/>
                <w:lang w:val="fr-CH"/>
              </w:rPr>
              <w:t>iplôme</w:t>
            </w:r>
            <w:r w:rsidRPr="0071782F">
              <w:rPr>
                <w:i/>
                <w:sz w:val="16"/>
                <w:szCs w:val="16"/>
                <w:lang w:val="fr-CH"/>
              </w:rPr>
              <w:t xml:space="preserve"> universitaire</w:t>
            </w:r>
            <w:r w:rsidR="00963018" w:rsidRPr="0071782F">
              <w:rPr>
                <w:i/>
                <w:sz w:val="16"/>
                <w:szCs w:val="16"/>
                <w:lang w:val="fr-CH"/>
              </w:rPr>
              <w:t xml:space="preserve"> </w:t>
            </w:r>
          </w:p>
        </w:tc>
        <w:tc>
          <w:tcPr>
            <w:tcW w:w="2242" w:type="dxa"/>
            <w:gridSpan w:val="2"/>
            <w:tcBorders>
              <w:top w:val="single" w:sz="4" w:space="0" w:color="auto"/>
              <w:left w:val="single" w:sz="24" w:space="0" w:color="FFFFFF"/>
              <w:bottom w:val="single" w:sz="4" w:space="0" w:color="auto"/>
            </w:tcBorders>
            <w:shd w:val="clear" w:color="000000" w:fill="auto"/>
            <w:vAlign w:val="bottom"/>
          </w:tcPr>
          <w:p w:rsidR="0013102E" w:rsidRPr="0071782F" w:rsidRDefault="00BE2FED" w:rsidP="00D9327F">
            <w:pPr>
              <w:keepNext/>
              <w:suppressAutoHyphens w:val="0"/>
              <w:spacing w:before="80" w:after="80" w:line="200" w:lineRule="exact"/>
              <w:jc w:val="center"/>
              <w:rPr>
                <w:i/>
                <w:sz w:val="16"/>
                <w:szCs w:val="16"/>
                <w:lang w:val="fr-CH"/>
              </w:rPr>
            </w:pPr>
            <w:r w:rsidRPr="0071782F">
              <w:rPr>
                <w:i/>
                <w:sz w:val="16"/>
                <w:szCs w:val="16"/>
                <w:lang w:val="fr-CH"/>
              </w:rPr>
              <w:t>Licence</w:t>
            </w:r>
            <w:r w:rsidR="0013102E" w:rsidRPr="0071782F">
              <w:rPr>
                <w:i/>
                <w:sz w:val="16"/>
                <w:szCs w:val="16"/>
                <w:lang w:val="fr-CH"/>
              </w:rPr>
              <w:t xml:space="preserve"> </w:t>
            </w:r>
            <w:r w:rsidR="00963018" w:rsidRPr="0071782F">
              <w:rPr>
                <w:i/>
                <w:sz w:val="16"/>
                <w:szCs w:val="16"/>
                <w:lang w:val="fr-CH"/>
              </w:rPr>
              <w:t xml:space="preserve">et au-delà </w:t>
            </w:r>
          </w:p>
        </w:tc>
      </w:tr>
      <w:tr w:rsidR="00465FFC" w:rsidRPr="0071782F">
        <w:tc>
          <w:tcPr>
            <w:tcW w:w="1217" w:type="dxa"/>
            <w:tcBorders>
              <w:top w:val="nil"/>
              <w:bottom w:val="single" w:sz="12" w:space="0" w:color="auto"/>
            </w:tcBorders>
            <w:shd w:val="clear" w:color="000000" w:fill="auto"/>
            <w:vAlign w:val="bottom"/>
          </w:tcPr>
          <w:p w:rsidR="0013102E" w:rsidRPr="0071782F" w:rsidRDefault="0013102E" w:rsidP="00D9327F">
            <w:pPr>
              <w:keepNext/>
              <w:suppressAutoHyphens w:val="0"/>
              <w:spacing w:before="80" w:after="80" w:line="200" w:lineRule="exact"/>
              <w:rPr>
                <w:i/>
                <w:sz w:val="16"/>
                <w:szCs w:val="16"/>
                <w:lang w:val="fr-CH"/>
              </w:rPr>
            </w:pPr>
          </w:p>
        </w:tc>
        <w:tc>
          <w:tcPr>
            <w:tcW w:w="1100" w:type="dxa"/>
            <w:tcBorders>
              <w:top w:val="single" w:sz="4" w:space="0" w:color="auto"/>
              <w:bottom w:val="single" w:sz="12" w:space="0" w:color="auto"/>
            </w:tcBorders>
            <w:shd w:val="clear" w:color="000000" w:fill="auto"/>
            <w:vAlign w:val="bottom"/>
          </w:tcPr>
          <w:p w:rsidR="0013102E" w:rsidRPr="0071782F" w:rsidRDefault="00963018" w:rsidP="00D9327F">
            <w:pPr>
              <w:keepNext/>
              <w:suppressAutoHyphens w:val="0"/>
              <w:spacing w:before="80" w:after="80" w:line="200" w:lineRule="exact"/>
              <w:jc w:val="right"/>
              <w:rPr>
                <w:i/>
                <w:sz w:val="16"/>
                <w:szCs w:val="16"/>
                <w:lang w:val="fr-CH"/>
              </w:rPr>
            </w:pPr>
            <w:r w:rsidRPr="0071782F">
              <w:rPr>
                <w:i/>
                <w:sz w:val="16"/>
                <w:szCs w:val="16"/>
                <w:lang w:val="fr-CH"/>
              </w:rPr>
              <w:t>Taux de chômage</w:t>
            </w:r>
          </w:p>
        </w:tc>
        <w:tc>
          <w:tcPr>
            <w:tcW w:w="1000" w:type="dxa"/>
            <w:tcBorders>
              <w:top w:val="single" w:sz="4" w:space="0" w:color="auto"/>
              <w:bottom w:val="single" w:sz="12" w:space="0" w:color="auto"/>
              <w:right w:val="single" w:sz="24" w:space="0" w:color="FFFFFF"/>
            </w:tcBorders>
            <w:shd w:val="clear" w:color="000000" w:fill="auto"/>
            <w:vAlign w:val="bottom"/>
          </w:tcPr>
          <w:p w:rsidR="0013102E" w:rsidRPr="0071782F" w:rsidRDefault="00963018" w:rsidP="00D9327F">
            <w:pPr>
              <w:keepNext/>
              <w:suppressAutoHyphens w:val="0"/>
              <w:spacing w:before="80" w:after="80" w:line="200" w:lineRule="exact"/>
              <w:jc w:val="right"/>
              <w:rPr>
                <w:i/>
                <w:sz w:val="16"/>
                <w:szCs w:val="16"/>
                <w:lang w:val="fr-CH"/>
              </w:rPr>
            </w:pPr>
            <w:r w:rsidRPr="0071782F">
              <w:rPr>
                <w:i/>
                <w:sz w:val="16"/>
                <w:szCs w:val="16"/>
                <w:lang w:val="fr-CH"/>
              </w:rPr>
              <w:t>Taux d’activité</w:t>
            </w:r>
          </w:p>
        </w:tc>
        <w:tc>
          <w:tcPr>
            <w:tcW w:w="1200" w:type="dxa"/>
            <w:tcBorders>
              <w:top w:val="single" w:sz="4" w:space="0" w:color="auto"/>
              <w:left w:val="single" w:sz="24" w:space="0" w:color="FFFFFF"/>
              <w:bottom w:val="single" w:sz="12" w:space="0" w:color="auto"/>
            </w:tcBorders>
            <w:shd w:val="clear" w:color="000000" w:fill="auto"/>
            <w:vAlign w:val="bottom"/>
          </w:tcPr>
          <w:p w:rsidR="0013102E" w:rsidRPr="0071782F" w:rsidRDefault="00963018" w:rsidP="00D9327F">
            <w:pPr>
              <w:keepNext/>
              <w:suppressAutoHyphens w:val="0"/>
              <w:spacing w:before="80" w:after="80" w:line="200" w:lineRule="exact"/>
              <w:jc w:val="right"/>
              <w:rPr>
                <w:i/>
                <w:sz w:val="16"/>
                <w:szCs w:val="16"/>
                <w:lang w:val="fr-CH"/>
              </w:rPr>
            </w:pPr>
            <w:r w:rsidRPr="0071782F">
              <w:rPr>
                <w:i/>
                <w:sz w:val="16"/>
                <w:szCs w:val="16"/>
                <w:lang w:val="fr-CH"/>
              </w:rPr>
              <w:t>Taux de chômage</w:t>
            </w:r>
          </w:p>
        </w:tc>
        <w:tc>
          <w:tcPr>
            <w:tcW w:w="1100" w:type="dxa"/>
            <w:tcBorders>
              <w:top w:val="single" w:sz="4" w:space="0" w:color="auto"/>
              <w:bottom w:val="single" w:sz="12" w:space="0" w:color="auto"/>
              <w:right w:val="single" w:sz="24" w:space="0" w:color="FFFFFF"/>
            </w:tcBorders>
            <w:shd w:val="clear" w:color="000000" w:fill="auto"/>
            <w:vAlign w:val="bottom"/>
          </w:tcPr>
          <w:p w:rsidR="0013102E" w:rsidRPr="0071782F" w:rsidRDefault="00963018" w:rsidP="00D9327F">
            <w:pPr>
              <w:keepNext/>
              <w:suppressAutoHyphens w:val="0"/>
              <w:spacing w:before="80" w:after="80" w:line="200" w:lineRule="exact"/>
              <w:jc w:val="right"/>
              <w:rPr>
                <w:i/>
                <w:sz w:val="16"/>
                <w:szCs w:val="16"/>
                <w:lang w:val="fr-CH"/>
              </w:rPr>
            </w:pPr>
            <w:r w:rsidRPr="0071782F">
              <w:rPr>
                <w:i/>
                <w:sz w:val="16"/>
                <w:szCs w:val="16"/>
                <w:lang w:val="fr-CH"/>
              </w:rPr>
              <w:t>Taux d’activité</w:t>
            </w:r>
          </w:p>
        </w:tc>
        <w:tc>
          <w:tcPr>
            <w:tcW w:w="1200" w:type="dxa"/>
            <w:tcBorders>
              <w:top w:val="single" w:sz="4" w:space="0" w:color="auto"/>
              <w:left w:val="single" w:sz="24" w:space="0" w:color="FFFFFF"/>
              <w:bottom w:val="single" w:sz="12" w:space="0" w:color="auto"/>
            </w:tcBorders>
            <w:shd w:val="clear" w:color="000000" w:fill="auto"/>
            <w:vAlign w:val="bottom"/>
          </w:tcPr>
          <w:p w:rsidR="0013102E" w:rsidRPr="0071782F" w:rsidRDefault="00963018" w:rsidP="00D9327F">
            <w:pPr>
              <w:keepNext/>
              <w:suppressAutoHyphens w:val="0"/>
              <w:spacing w:before="80" w:after="80" w:line="200" w:lineRule="exact"/>
              <w:jc w:val="right"/>
              <w:rPr>
                <w:i/>
                <w:sz w:val="16"/>
                <w:szCs w:val="16"/>
                <w:lang w:val="fr-CH"/>
              </w:rPr>
            </w:pPr>
            <w:r w:rsidRPr="0071782F">
              <w:rPr>
                <w:i/>
                <w:sz w:val="16"/>
                <w:szCs w:val="16"/>
                <w:lang w:val="fr-CH"/>
              </w:rPr>
              <w:t>Taux de chômage</w:t>
            </w:r>
          </w:p>
        </w:tc>
        <w:tc>
          <w:tcPr>
            <w:tcW w:w="1100" w:type="dxa"/>
            <w:tcBorders>
              <w:top w:val="single" w:sz="4" w:space="0" w:color="auto"/>
              <w:bottom w:val="single" w:sz="12" w:space="0" w:color="auto"/>
              <w:right w:val="single" w:sz="24" w:space="0" w:color="FFFFFF"/>
            </w:tcBorders>
            <w:shd w:val="clear" w:color="000000" w:fill="auto"/>
            <w:vAlign w:val="bottom"/>
          </w:tcPr>
          <w:p w:rsidR="0013102E" w:rsidRPr="0071782F" w:rsidRDefault="00963018" w:rsidP="00D9327F">
            <w:pPr>
              <w:keepNext/>
              <w:suppressAutoHyphens w:val="0"/>
              <w:spacing w:before="80" w:after="80" w:line="200" w:lineRule="exact"/>
              <w:jc w:val="right"/>
              <w:rPr>
                <w:i/>
                <w:sz w:val="16"/>
                <w:szCs w:val="16"/>
                <w:lang w:val="fr-CH"/>
              </w:rPr>
            </w:pPr>
            <w:r w:rsidRPr="0071782F">
              <w:rPr>
                <w:i/>
                <w:sz w:val="16"/>
                <w:szCs w:val="16"/>
                <w:lang w:val="fr-CH"/>
              </w:rPr>
              <w:t>Taux d’activité</w:t>
            </w:r>
          </w:p>
        </w:tc>
        <w:tc>
          <w:tcPr>
            <w:tcW w:w="1126" w:type="dxa"/>
            <w:tcBorders>
              <w:top w:val="single" w:sz="4" w:space="0" w:color="auto"/>
              <w:left w:val="single" w:sz="24" w:space="0" w:color="FFFFFF"/>
              <w:bottom w:val="single" w:sz="12" w:space="0" w:color="auto"/>
            </w:tcBorders>
            <w:shd w:val="clear" w:color="000000" w:fill="auto"/>
            <w:vAlign w:val="bottom"/>
          </w:tcPr>
          <w:p w:rsidR="0013102E" w:rsidRPr="0071782F" w:rsidRDefault="00963018" w:rsidP="00D9327F">
            <w:pPr>
              <w:keepNext/>
              <w:suppressAutoHyphens w:val="0"/>
              <w:spacing w:before="80" w:after="80" w:line="200" w:lineRule="exact"/>
              <w:jc w:val="right"/>
              <w:rPr>
                <w:i/>
                <w:sz w:val="16"/>
                <w:szCs w:val="16"/>
                <w:lang w:val="fr-CH"/>
              </w:rPr>
            </w:pPr>
            <w:r w:rsidRPr="0071782F">
              <w:rPr>
                <w:i/>
                <w:sz w:val="16"/>
                <w:szCs w:val="16"/>
                <w:lang w:val="fr-CH"/>
              </w:rPr>
              <w:t>Taux de chômage</w:t>
            </w:r>
          </w:p>
        </w:tc>
        <w:tc>
          <w:tcPr>
            <w:tcW w:w="1074" w:type="dxa"/>
            <w:tcBorders>
              <w:top w:val="single" w:sz="4" w:space="0" w:color="auto"/>
              <w:bottom w:val="single" w:sz="12" w:space="0" w:color="auto"/>
              <w:right w:val="single" w:sz="24" w:space="0" w:color="FFFFFF"/>
            </w:tcBorders>
            <w:shd w:val="clear" w:color="000000" w:fill="auto"/>
            <w:vAlign w:val="bottom"/>
          </w:tcPr>
          <w:p w:rsidR="0013102E" w:rsidRPr="0071782F" w:rsidRDefault="00963018" w:rsidP="00D9327F">
            <w:pPr>
              <w:keepNext/>
              <w:suppressAutoHyphens w:val="0"/>
              <w:spacing w:before="80" w:after="80" w:line="200" w:lineRule="exact"/>
              <w:jc w:val="right"/>
              <w:rPr>
                <w:i/>
                <w:sz w:val="16"/>
                <w:szCs w:val="16"/>
                <w:lang w:val="fr-CH"/>
              </w:rPr>
            </w:pPr>
            <w:r w:rsidRPr="0071782F">
              <w:rPr>
                <w:i/>
                <w:sz w:val="16"/>
                <w:szCs w:val="16"/>
                <w:lang w:val="fr-CH"/>
              </w:rPr>
              <w:t xml:space="preserve">Taux d’activité </w:t>
            </w:r>
          </w:p>
        </w:tc>
        <w:tc>
          <w:tcPr>
            <w:tcW w:w="1199" w:type="dxa"/>
            <w:tcBorders>
              <w:top w:val="single" w:sz="4" w:space="0" w:color="auto"/>
              <w:left w:val="single" w:sz="24" w:space="0" w:color="FFFFFF"/>
              <w:bottom w:val="single" w:sz="12" w:space="0" w:color="auto"/>
            </w:tcBorders>
            <w:shd w:val="clear" w:color="000000" w:fill="auto"/>
            <w:vAlign w:val="bottom"/>
          </w:tcPr>
          <w:p w:rsidR="0013102E" w:rsidRPr="0071782F" w:rsidRDefault="00963018" w:rsidP="00D9327F">
            <w:pPr>
              <w:keepNext/>
              <w:suppressAutoHyphens w:val="0"/>
              <w:spacing w:before="80" w:after="80" w:line="200" w:lineRule="exact"/>
              <w:jc w:val="right"/>
              <w:rPr>
                <w:i/>
                <w:sz w:val="16"/>
                <w:szCs w:val="16"/>
                <w:lang w:val="fr-CH"/>
              </w:rPr>
            </w:pPr>
            <w:r w:rsidRPr="0071782F">
              <w:rPr>
                <w:i/>
                <w:sz w:val="16"/>
                <w:szCs w:val="16"/>
                <w:lang w:val="fr-CH"/>
              </w:rPr>
              <w:t>Taux de chômage</w:t>
            </w:r>
          </w:p>
        </w:tc>
        <w:tc>
          <w:tcPr>
            <w:tcW w:w="1043" w:type="dxa"/>
            <w:tcBorders>
              <w:top w:val="single" w:sz="4" w:space="0" w:color="auto"/>
              <w:bottom w:val="single" w:sz="12" w:space="0" w:color="auto"/>
            </w:tcBorders>
            <w:shd w:val="clear" w:color="000000" w:fill="auto"/>
            <w:vAlign w:val="bottom"/>
          </w:tcPr>
          <w:p w:rsidR="0013102E" w:rsidRPr="0071782F" w:rsidRDefault="00963018" w:rsidP="00D9327F">
            <w:pPr>
              <w:keepNext/>
              <w:suppressAutoHyphens w:val="0"/>
              <w:spacing w:before="80" w:after="80" w:line="200" w:lineRule="exact"/>
              <w:jc w:val="right"/>
              <w:rPr>
                <w:i/>
                <w:sz w:val="16"/>
                <w:szCs w:val="16"/>
                <w:lang w:val="fr-CH"/>
              </w:rPr>
            </w:pPr>
            <w:r w:rsidRPr="0071782F">
              <w:rPr>
                <w:i/>
                <w:sz w:val="16"/>
                <w:szCs w:val="16"/>
                <w:lang w:val="fr-CH"/>
              </w:rPr>
              <w:t>Taux d’activité</w:t>
            </w:r>
          </w:p>
        </w:tc>
      </w:tr>
      <w:tr w:rsidR="0013102E" w:rsidRPr="0071782F">
        <w:tc>
          <w:tcPr>
            <w:tcW w:w="1217" w:type="dxa"/>
            <w:tcBorders>
              <w:top w:val="single" w:sz="12" w:space="0" w:color="auto"/>
            </w:tcBorders>
            <w:shd w:val="clear" w:color="000000" w:fill="auto"/>
            <w:vAlign w:val="bottom"/>
          </w:tcPr>
          <w:p w:rsidR="0013102E" w:rsidRPr="0071782F" w:rsidRDefault="0013102E" w:rsidP="00D9327F">
            <w:pPr>
              <w:keepNext/>
              <w:suppressAutoHyphens w:val="0"/>
              <w:spacing w:before="40" w:after="40" w:line="220" w:lineRule="exact"/>
              <w:rPr>
                <w:sz w:val="18"/>
                <w:lang w:val="fr-CH"/>
              </w:rPr>
            </w:pPr>
            <w:r w:rsidRPr="0071782F">
              <w:rPr>
                <w:sz w:val="18"/>
                <w:lang w:val="fr-CH"/>
              </w:rPr>
              <w:t>2005</w:t>
            </w:r>
          </w:p>
        </w:tc>
        <w:tc>
          <w:tcPr>
            <w:tcW w:w="1100" w:type="dxa"/>
            <w:tcBorders>
              <w:top w:val="single" w:sz="12" w:space="0" w:color="auto"/>
            </w:tcBorders>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3</w:t>
            </w:r>
            <w:r w:rsidR="00723F2B" w:rsidRPr="0071782F">
              <w:rPr>
                <w:sz w:val="18"/>
                <w:lang w:val="fr-CH"/>
              </w:rPr>
              <w:t>,</w:t>
            </w:r>
            <w:r w:rsidRPr="0071782F">
              <w:rPr>
                <w:sz w:val="18"/>
                <w:lang w:val="fr-CH"/>
              </w:rPr>
              <w:t>3</w:t>
            </w:r>
          </w:p>
        </w:tc>
        <w:tc>
          <w:tcPr>
            <w:tcW w:w="1000" w:type="dxa"/>
            <w:tcBorders>
              <w:top w:val="single" w:sz="12" w:space="0" w:color="auto"/>
            </w:tcBorders>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32</w:t>
            </w:r>
            <w:r w:rsidR="00723F2B" w:rsidRPr="0071782F">
              <w:rPr>
                <w:sz w:val="18"/>
                <w:lang w:val="fr-CH"/>
              </w:rPr>
              <w:t>,</w:t>
            </w:r>
            <w:r w:rsidRPr="0071782F">
              <w:rPr>
                <w:sz w:val="18"/>
                <w:lang w:val="fr-CH"/>
              </w:rPr>
              <w:t>9</w:t>
            </w:r>
          </w:p>
        </w:tc>
        <w:tc>
          <w:tcPr>
            <w:tcW w:w="1200" w:type="dxa"/>
            <w:tcBorders>
              <w:top w:val="single" w:sz="12" w:space="0" w:color="auto"/>
            </w:tcBorders>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9</w:t>
            </w:r>
            <w:r w:rsidR="00723F2B" w:rsidRPr="0071782F">
              <w:rPr>
                <w:sz w:val="18"/>
                <w:lang w:val="fr-CH"/>
              </w:rPr>
              <w:t>,</w:t>
            </w:r>
            <w:r w:rsidRPr="0071782F">
              <w:rPr>
                <w:sz w:val="18"/>
                <w:lang w:val="fr-CH"/>
              </w:rPr>
              <w:t>8</w:t>
            </w:r>
          </w:p>
        </w:tc>
        <w:tc>
          <w:tcPr>
            <w:tcW w:w="1100" w:type="dxa"/>
            <w:tcBorders>
              <w:top w:val="single" w:sz="12" w:space="0" w:color="auto"/>
            </w:tcBorders>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37</w:t>
            </w:r>
            <w:r w:rsidR="00723F2B" w:rsidRPr="0071782F">
              <w:rPr>
                <w:sz w:val="18"/>
                <w:lang w:val="fr-CH"/>
              </w:rPr>
              <w:t>,</w:t>
            </w:r>
            <w:r w:rsidRPr="0071782F">
              <w:rPr>
                <w:sz w:val="18"/>
                <w:lang w:val="fr-CH"/>
              </w:rPr>
              <w:t>7</w:t>
            </w:r>
          </w:p>
        </w:tc>
        <w:tc>
          <w:tcPr>
            <w:tcW w:w="1200" w:type="dxa"/>
            <w:tcBorders>
              <w:top w:val="single" w:sz="12" w:space="0" w:color="auto"/>
            </w:tcBorders>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18</w:t>
            </w:r>
            <w:r w:rsidR="00723F2B" w:rsidRPr="0071782F">
              <w:rPr>
                <w:sz w:val="18"/>
                <w:lang w:val="fr-CH"/>
              </w:rPr>
              <w:t>,</w:t>
            </w:r>
            <w:r w:rsidRPr="0071782F">
              <w:rPr>
                <w:sz w:val="18"/>
                <w:lang w:val="fr-CH"/>
              </w:rPr>
              <w:t>1</w:t>
            </w:r>
          </w:p>
        </w:tc>
        <w:tc>
          <w:tcPr>
            <w:tcW w:w="1100" w:type="dxa"/>
            <w:tcBorders>
              <w:top w:val="single" w:sz="12" w:space="0" w:color="auto"/>
            </w:tcBorders>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48</w:t>
            </w:r>
            <w:r w:rsidR="00723F2B" w:rsidRPr="0071782F">
              <w:rPr>
                <w:sz w:val="18"/>
                <w:lang w:val="fr-CH"/>
              </w:rPr>
              <w:t>,</w:t>
            </w:r>
            <w:r w:rsidRPr="0071782F">
              <w:rPr>
                <w:sz w:val="18"/>
                <w:lang w:val="fr-CH"/>
              </w:rPr>
              <w:t>1</w:t>
            </w:r>
          </w:p>
        </w:tc>
        <w:tc>
          <w:tcPr>
            <w:tcW w:w="1126" w:type="dxa"/>
            <w:tcBorders>
              <w:top w:val="single" w:sz="12" w:space="0" w:color="auto"/>
            </w:tcBorders>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17</w:t>
            </w:r>
            <w:r w:rsidR="00723F2B" w:rsidRPr="0071782F">
              <w:rPr>
                <w:sz w:val="18"/>
                <w:lang w:val="fr-CH"/>
              </w:rPr>
              <w:t>,</w:t>
            </w:r>
            <w:r w:rsidRPr="0071782F">
              <w:rPr>
                <w:sz w:val="18"/>
                <w:lang w:val="fr-CH"/>
              </w:rPr>
              <w:t>6</w:t>
            </w:r>
          </w:p>
        </w:tc>
        <w:tc>
          <w:tcPr>
            <w:tcW w:w="1074" w:type="dxa"/>
            <w:tcBorders>
              <w:top w:val="single" w:sz="12" w:space="0" w:color="auto"/>
            </w:tcBorders>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60</w:t>
            </w:r>
            <w:r w:rsidR="00723F2B" w:rsidRPr="0071782F">
              <w:rPr>
                <w:sz w:val="18"/>
                <w:lang w:val="fr-CH"/>
              </w:rPr>
              <w:t>,</w:t>
            </w:r>
            <w:r w:rsidRPr="0071782F">
              <w:rPr>
                <w:sz w:val="18"/>
                <w:lang w:val="fr-CH"/>
              </w:rPr>
              <w:t>8</w:t>
            </w:r>
          </w:p>
        </w:tc>
        <w:tc>
          <w:tcPr>
            <w:tcW w:w="1199" w:type="dxa"/>
            <w:tcBorders>
              <w:top w:val="single" w:sz="12" w:space="0" w:color="auto"/>
            </w:tcBorders>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14</w:t>
            </w:r>
            <w:r w:rsidR="00723F2B" w:rsidRPr="0071782F">
              <w:rPr>
                <w:sz w:val="18"/>
                <w:lang w:val="fr-CH"/>
              </w:rPr>
              <w:t>,</w:t>
            </w:r>
            <w:r w:rsidRPr="0071782F">
              <w:rPr>
                <w:sz w:val="18"/>
                <w:lang w:val="fr-CH"/>
              </w:rPr>
              <w:t>8</w:t>
            </w:r>
          </w:p>
        </w:tc>
        <w:tc>
          <w:tcPr>
            <w:tcW w:w="1043" w:type="dxa"/>
            <w:tcBorders>
              <w:top w:val="single" w:sz="12" w:space="0" w:color="auto"/>
            </w:tcBorders>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61</w:t>
            </w:r>
            <w:r w:rsidR="00723F2B" w:rsidRPr="0071782F">
              <w:rPr>
                <w:sz w:val="18"/>
                <w:lang w:val="fr-CH"/>
              </w:rPr>
              <w:t>,</w:t>
            </w:r>
            <w:r w:rsidRPr="0071782F">
              <w:rPr>
                <w:sz w:val="18"/>
                <w:lang w:val="fr-CH"/>
              </w:rPr>
              <w:t>7</w:t>
            </w:r>
          </w:p>
        </w:tc>
      </w:tr>
      <w:tr w:rsidR="0013102E" w:rsidRPr="0071782F">
        <w:tc>
          <w:tcPr>
            <w:tcW w:w="1217" w:type="dxa"/>
            <w:shd w:val="clear" w:color="000000" w:fill="auto"/>
            <w:vAlign w:val="bottom"/>
          </w:tcPr>
          <w:p w:rsidR="0013102E" w:rsidRPr="0071782F" w:rsidRDefault="0013102E" w:rsidP="00D9327F">
            <w:pPr>
              <w:keepNext/>
              <w:suppressAutoHyphens w:val="0"/>
              <w:spacing w:before="40" w:after="40" w:line="220" w:lineRule="exact"/>
              <w:rPr>
                <w:sz w:val="18"/>
                <w:lang w:val="fr-CH"/>
              </w:rPr>
            </w:pPr>
            <w:r w:rsidRPr="0071782F">
              <w:rPr>
                <w:sz w:val="18"/>
                <w:lang w:val="fr-CH"/>
              </w:rPr>
              <w:t>2006</w:t>
            </w:r>
          </w:p>
        </w:tc>
        <w:tc>
          <w:tcPr>
            <w:tcW w:w="1100"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3</w:t>
            </w:r>
            <w:r w:rsidR="00723F2B" w:rsidRPr="0071782F">
              <w:rPr>
                <w:sz w:val="18"/>
                <w:lang w:val="fr-CH"/>
              </w:rPr>
              <w:t>,</w:t>
            </w:r>
            <w:r w:rsidRPr="0071782F">
              <w:rPr>
                <w:sz w:val="18"/>
                <w:lang w:val="fr-CH"/>
              </w:rPr>
              <w:t>2</w:t>
            </w:r>
          </w:p>
        </w:tc>
        <w:tc>
          <w:tcPr>
            <w:tcW w:w="1000"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32</w:t>
            </w:r>
            <w:r w:rsidR="00723F2B" w:rsidRPr="0071782F">
              <w:rPr>
                <w:sz w:val="18"/>
                <w:lang w:val="fr-CH"/>
              </w:rPr>
              <w:t>,</w:t>
            </w:r>
            <w:r w:rsidRPr="0071782F">
              <w:rPr>
                <w:sz w:val="18"/>
                <w:lang w:val="fr-CH"/>
              </w:rPr>
              <w:t>2</w:t>
            </w:r>
          </w:p>
        </w:tc>
        <w:tc>
          <w:tcPr>
            <w:tcW w:w="1200"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9</w:t>
            </w:r>
            <w:r w:rsidR="00723F2B" w:rsidRPr="0071782F">
              <w:rPr>
                <w:sz w:val="18"/>
                <w:lang w:val="fr-CH"/>
              </w:rPr>
              <w:t>,</w:t>
            </w:r>
            <w:r w:rsidRPr="0071782F">
              <w:rPr>
                <w:sz w:val="18"/>
                <w:lang w:val="fr-CH"/>
              </w:rPr>
              <w:t>5</w:t>
            </w:r>
          </w:p>
        </w:tc>
        <w:tc>
          <w:tcPr>
            <w:tcW w:w="1100"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37</w:t>
            </w:r>
            <w:r w:rsidR="00723F2B" w:rsidRPr="0071782F">
              <w:rPr>
                <w:sz w:val="18"/>
                <w:lang w:val="fr-CH"/>
              </w:rPr>
              <w:t>,</w:t>
            </w:r>
            <w:r w:rsidRPr="0071782F">
              <w:rPr>
                <w:sz w:val="18"/>
                <w:lang w:val="fr-CH"/>
              </w:rPr>
              <w:t>1</w:t>
            </w:r>
          </w:p>
        </w:tc>
        <w:tc>
          <w:tcPr>
            <w:tcW w:w="1200"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16</w:t>
            </w:r>
            <w:r w:rsidR="00723F2B" w:rsidRPr="0071782F">
              <w:rPr>
                <w:sz w:val="18"/>
                <w:lang w:val="fr-CH"/>
              </w:rPr>
              <w:t>,</w:t>
            </w:r>
            <w:r w:rsidRPr="0071782F">
              <w:rPr>
                <w:sz w:val="18"/>
                <w:lang w:val="fr-CH"/>
              </w:rPr>
              <w:t>9</w:t>
            </w:r>
          </w:p>
        </w:tc>
        <w:tc>
          <w:tcPr>
            <w:tcW w:w="1100"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48</w:t>
            </w:r>
            <w:r w:rsidR="00723F2B" w:rsidRPr="0071782F">
              <w:rPr>
                <w:sz w:val="18"/>
                <w:lang w:val="fr-CH"/>
              </w:rPr>
              <w:t>,</w:t>
            </w:r>
            <w:r w:rsidRPr="0071782F">
              <w:rPr>
                <w:sz w:val="18"/>
                <w:lang w:val="fr-CH"/>
              </w:rPr>
              <w:t>0</w:t>
            </w:r>
          </w:p>
        </w:tc>
        <w:tc>
          <w:tcPr>
            <w:tcW w:w="1126"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18</w:t>
            </w:r>
            <w:r w:rsidR="00723F2B" w:rsidRPr="0071782F">
              <w:rPr>
                <w:sz w:val="18"/>
                <w:lang w:val="fr-CH"/>
              </w:rPr>
              <w:t>,</w:t>
            </w:r>
            <w:r w:rsidRPr="0071782F">
              <w:rPr>
                <w:sz w:val="18"/>
                <w:lang w:val="fr-CH"/>
              </w:rPr>
              <w:t>5</w:t>
            </w:r>
          </w:p>
        </w:tc>
        <w:tc>
          <w:tcPr>
            <w:tcW w:w="1074"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56</w:t>
            </w:r>
            <w:r w:rsidR="00723F2B" w:rsidRPr="0071782F">
              <w:rPr>
                <w:sz w:val="18"/>
                <w:lang w:val="fr-CH"/>
              </w:rPr>
              <w:t>,</w:t>
            </w:r>
            <w:r w:rsidRPr="0071782F">
              <w:rPr>
                <w:sz w:val="18"/>
                <w:lang w:val="fr-CH"/>
              </w:rPr>
              <w:t>7</w:t>
            </w:r>
          </w:p>
        </w:tc>
        <w:tc>
          <w:tcPr>
            <w:tcW w:w="1199"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14</w:t>
            </w:r>
            <w:r w:rsidR="00723F2B" w:rsidRPr="0071782F">
              <w:rPr>
                <w:sz w:val="18"/>
                <w:lang w:val="fr-CH"/>
              </w:rPr>
              <w:t>,</w:t>
            </w:r>
            <w:r w:rsidRPr="0071782F">
              <w:rPr>
                <w:sz w:val="18"/>
                <w:lang w:val="fr-CH"/>
              </w:rPr>
              <w:t>6</w:t>
            </w:r>
          </w:p>
        </w:tc>
        <w:tc>
          <w:tcPr>
            <w:tcW w:w="1043"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57</w:t>
            </w:r>
            <w:r w:rsidR="00723F2B" w:rsidRPr="0071782F">
              <w:rPr>
                <w:sz w:val="18"/>
                <w:lang w:val="fr-CH"/>
              </w:rPr>
              <w:t>,</w:t>
            </w:r>
            <w:r w:rsidRPr="0071782F">
              <w:rPr>
                <w:sz w:val="18"/>
                <w:lang w:val="fr-CH"/>
              </w:rPr>
              <w:t>1</w:t>
            </w:r>
          </w:p>
        </w:tc>
      </w:tr>
      <w:tr w:rsidR="0013102E" w:rsidRPr="0071782F">
        <w:tc>
          <w:tcPr>
            <w:tcW w:w="1217" w:type="dxa"/>
            <w:shd w:val="clear" w:color="000000" w:fill="auto"/>
            <w:vAlign w:val="bottom"/>
          </w:tcPr>
          <w:p w:rsidR="0013102E" w:rsidRPr="0071782F" w:rsidRDefault="0013102E" w:rsidP="00D9327F">
            <w:pPr>
              <w:keepNext/>
              <w:suppressAutoHyphens w:val="0"/>
              <w:spacing w:before="40" w:after="40" w:line="220" w:lineRule="exact"/>
              <w:rPr>
                <w:sz w:val="18"/>
                <w:lang w:val="fr-CH"/>
              </w:rPr>
            </w:pPr>
            <w:r w:rsidRPr="0071782F">
              <w:rPr>
                <w:sz w:val="18"/>
                <w:lang w:val="fr-CH"/>
              </w:rPr>
              <w:t>2007</w:t>
            </w:r>
          </w:p>
        </w:tc>
        <w:tc>
          <w:tcPr>
            <w:tcW w:w="1100"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2</w:t>
            </w:r>
            <w:r w:rsidR="00723F2B" w:rsidRPr="0071782F">
              <w:rPr>
                <w:sz w:val="18"/>
                <w:lang w:val="fr-CH"/>
              </w:rPr>
              <w:t>,</w:t>
            </w:r>
            <w:r w:rsidRPr="0071782F">
              <w:rPr>
                <w:sz w:val="18"/>
                <w:lang w:val="fr-CH"/>
              </w:rPr>
              <w:t>8</w:t>
            </w:r>
          </w:p>
        </w:tc>
        <w:tc>
          <w:tcPr>
            <w:tcW w:w="1000"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31</w:t>
            </w:r>
            <w:r w:rsidR="00723F2B" w:rsidRPr="0071782F">
              <w:rPr>
                <w:sz w:val="18"/>
                <w:lang w:val="fr-CH"/>
              </w:rPr>
              <w:t>,</w:t>
            </w:r>
            <w:r w:rsidRPr="0071782F">
              <w:rPr>
                <w:sz w:val="18"/>
                <w:lang w:val="fr-CH"/>
              </w:rPr>
              <w:t>3</w:t>
            </w:r>
          </w:p>
        </w:tc>
        <w:tc>
          <w:tcPr>
            <w:tcW w:w="1200"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8</w:t>
            </w:r>
            <w:r w:rsidR="00723F2B" w:rsidRPr="0071782F">
              <w:rPr>
                <w:sz w:val="18"/>
                <w:lang w:val="fr-CH"/>
              </w:rPr>
              <w:t>,</w:t>
            </w:r>
            <w:r w:rsidRPr="0071782F">
              <w:rPr>
                <w:sz w:val="18"/>
                <w:lang w:val="fr-CH"/>
              </w:rPr>
              <w:t>0</w:t>
            </w:r>
          </w:p>
        </w:tc>
        <w:tc>
          <w:tcPr>
            <w:tcW w:w="1100"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36</w:t>
            </w:r>
            <w:r w:rsidR="00723F2B" w:rsidRPr="0071782F">
              <w:rPr>
                <w:sz w:val="18"/>
                <w:lang w:val="fr-CH"/>
              </w:rPr>
              <w:t>,</w:t>
            </w:r>
            <w:r w:rsidRPr="0071782F">
              <w:rPr>
                <w:sz w:val="18"/>
                <w:lang w:val="fr-CH"/>
              </w:rPr>
              <w:t>9</w:t>
            </w:r>
          </w:p>
        </w:tc>
        <w:tc>
          <w:tcPr>
            <w:tcW w:w="1200"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15</w:t>
            </w:r>
            <w:r w:rsidR="00723F2B" w:rsidRPr="0071782F">
              <w:rPr>
                <w:sz w:val="18"/>
                <w:lang w:val="fr-CH"/>
              </w:rPr>
              <w:t>,</w:t>
            </w:r>
            <w:r w:rsidRPr="0071782F">
              <w:rPr>
                <w:sz w:val="18"/>
                <w:lang w:val="fr-CH"/>
              </w:rPr>
              <w:t>5</w:t>
            </w:r>
          </w:p>
        </w:tc>
        <w:tc>
          <w:tcPr>
            <w:tcW w:w="1100"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46</w:t>
            </w:r>
            <w:r w:rsidR="00723F2B" w:rsidRPr="0071782F">
              <w:rPr>
                <w:sz w:val="18"/>
                <w:lang w:val="fr-CH"/>
              </w:rPr>
              <w:t>,</w:t>
            </w:r>
            <w:r w:rsidRPr="0071782F">
              <w:rPr>
                <w:sz w:val="18"/>
                <w:lang w:val="fr-CH"/>
              </w:rPr>
              <w:t>8</w:t>
            </w:r>
          </w:p>
        </w:tc>
        <w:tc>
          <w:tcPr>
            <w:tcW w:w="1126"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17</w:t>
            </w:r>
            <w:r w:rsidR="00723F2B" w:rsidRPr="0071782F">
              <w:rPr>
                <w:sz w:val="18"/>
                <w:lang w:val="fr-CH"/>
              </w:rPr>
              <w:t>,</w:t>
            </w:r>
            <w:r w:rsidRPr="0071782F">
              <w:rPr>
                <w:sz w:val="18"/>
                <w:lang w:val="fr-CH"/>
              </w:rPr>
              <w:t>4</w:t>
            </w:r>
          </w:p>
        </w:tc>
        <w:tc>
          <w:tcPr>
            <w:tcW w:w="1074"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54</w:t>
            </w:r>
            <w:r w:rsidR="00723F2B" w:rsidRPr="0071782F">
              <w:rPr>
                <w:sz w:val="18"/>
                <w:lang w:val="fr-CH"/>
              </w:rPr>
              <w:t>,</w:t>
            </w:r>
            <w:r w:rsidRPr="0071782F">
              <w:rPr>
                <w:sz w:val="18"/>
                <w:lang w:val="fr-CH"/>
              </w:rPr>
              <w:t>8</w:t>
            </w:r>
          </w:p>
        </w:tc>
        <w:tc>
          <w:tcPr>
            <w:tcW w:w="1199"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15</w:t>
            </w:r>
            <w:r w:rsidR="00723F2B" w:rsidRPr="0071782F">
              <w:rPr>
                <w:sz w:val="18"/>
                <w:lang w:val="fr-CH"/>
              </w:rPr>
              <w:t>,</w:t>
            </w:r>
            <w:r w:rsidRPr="0071782F">
              <w:rPr>
                <w:sz w:val="18"/>
                <w:lang w:val="fr-CH"/>
              </w:rPr>
              <w:t>4</w:t>
            </w:r>
          </w:p>
        </w:tc>
        <w:tc>
          <w:tcPr>
            <w:tcW w:w="1043" w:type="dxa"/>
            <w:shd w:val="clear" w:color="000000" w:fill="auto"/>
            <w:vAlign w:val="bottom"/>
          </w:tcPr>
          <w:p w:rsidR="0013102E" w:rsidRPr="0071782F" w:rsidRDefault="0013102E" w:rsidP="00D9327F">
            <w:pPr>
              <w:keepNext/>
              <w:suppressAutoHyphens w:val="0"/>
              <w:spacing w:before="40" w:after="40" w:line="220" w:lineRule="exact"/>
              <w:jc w:val="right"/>
              <w:rPr>
                <w:sz w:val="18"/>
                <w:lang w:val="fr-CH"/>
              </w:rPr>
            </w:pPr>
            <w:r w:rsidRPr="0071782F">
              <w:rPr>
                <w:sz w:val="18"/>
                <w:lang w:val="fr-CH"/>
              </w:rPr>
              <w:t>53</w:t>
            </w:r>
            <w:r w:rsidR="00723F2B" w:rsidRPr="0071782F">
              <w:rPr>
                <w:sz w:val="18"/>
                <w:lang w:val="fr-CH"/>
              </w:rPr>
              <w:t>,</w:t>
            </w:r>
            <w:r w:rsidRPr="0071782F">
              <w:rPr>
                <w:sz w:val="18"/>
                <w:lang w:val="fr-CH"/>
              </w:rPr>
              <w:t>4</w:t>
            </w:r>
          </w:p>
        </w:tc>
      </w:tr>
      <w:tr w:rsidR="0013102E" w:rsidRPr="0071782F">
        <w:tc>
          <w:tcPr>
            <w:tcW w:w="1217" w:type="dxa"/>
            <w:shd w:val="clear" w:color="000000" w:fill="auto"/>
            <w:vAlign w:val="bottom"/>
          </w:tcPr>
          <w:p w:rsidR="0013102E" w:rsidRPr="0071782F" w:rsidRDefault="00963018" w:rsidP="00D9327F">
            <w:pPr>
              <w:suppressAutoHyphens w:val="0"/>
              <w:spacing w:before="40" w:after="40" w:line="220" w:lineRule="exact"/>
              <w:rPr>
                <w:sz w:val="18"/>
                <w:lang w:val="fr-CH"/>
              </w:rPr>
            </w:pPr>
            <w:r w:rsidRPr="0071782F">
              <w:rPr>
                <w:sz w:val="18"/>
                <w:lang w:val="fr-CH"/>
              </w:rPr>
              <w:t xml:space="preserve">Moyenne des trois années </w:t>
            </w:r>
          </w:p>
        </w:tc>
        <w:tc>
          <w:tcPr>
            <w:tcW w:w="1100" w:type="dxa"/>
            <w:shd w:val="clear" w:color="000000" w:fill="auto"/>
            <w:vAlign w:val="bottom"/>
          </w:tcPr>
          <w:p w:rsidR="0013102E" w:rsidRPr="0071782F" w:rsidRDefault="0013102E" w:rsidP="00D9327F">
            <w:pPr>
              <w:suppressAutoHyphens w:val="0"/>
              <w:spacing w:before="40" w:after="40" w:line="220" w:lineRule="exact"/>
              <w:jc w:val="right"/>
              <w:rPr>
                <w:sz w:val="18"/>
                <w:lang w:val="fr-CH"/>
              </w:rPr>
            </w:pPr>
            <w:r w:rsidRPr="0071782F">
              <w:rPr>
                <w:sz w:val="18"/>
                <w:lang w:val="fr-CH"/>
              </w:rPr>
              <w:t>3</w:t>
            </w:r>
            <w:r w:rsidR="00723F2B" w:rsidRPr="0071782F">
              <w:rPr>
                <w:sz w:val="18"/>
                <w:lang w:val="fr-CH"/>
              </w:rPr>
              <w:t>,</w:t>
            </w:r>
            <w:r w:rsidRPr="0071782F">
              <w:rPr>
                <w:sz w:val="18"/>
                <w:lang w:val="fr-CH"/>
              </w:rPr>
              <w:t>11</w:t>
            </w:r>
          </w:p>
        </w:tc>
        <w:tc>
          <w:tcPr>
            <w:tcW w:w="1000" w:type="dxa"/>
            <w:shd w:val="clear" w:color="000000" w:fill="auto"/>
            <w:vAlign w:val="bottom"/>
          </w:tcPr>
          <w:p w:rsidR="0013102E" w:rsidRPr="0071782F" w:rsidRDefault="0013102E" w:rsidP="00D9327F">
            <w:pPr>
              <w:suppressAutoHyphens w:val="0"/>
              <w:spacing w:before="40" w:after="40" w:line="220" w:lineRule="exact"/>
              <w:jc w:val="right"/>
              <w:rPr>
                <w:sz w:val="18"/>
                <w:lang w:val="fr-CH"/>
              </w:rPr>
            </w:pPr>
            <w:r w:rsidRPr="0071782F">
              <w:rPr>
                <w:sz w:val="18"/>
                <w:lang w:val="fr-CH"/>
              </w:rPr>
              <w:t>32</w:t>
            </w:r>
            <w:r w:rsidR="00723F2B" w:rsidRPr="0071782F">
              <w:rPr>
                <w:sz w:val="18"/>
                <w:lang w:val="fr-CH"/>
              </w:rPr>
              <w:t>,</w:t>
            </w:r>
            <w:r w:rsidRPr="0071782F">
              <w:rPr>
                <w:sz w:val="18"/>
                <w:lang w:val="fr-CH"/>
              </w:rPr>
              <w:t>13</w:t>
            </w:r>
          </w:p>
        </w:tc>
        <w:tc>
          <w:tcPr>
            <w:tcW w:w="1200" w:type="dxa"/>
            <w:shd w:val="clear" w:color="000000" w:fill="auto"/>
            <w:vAlign w:val="bottom"/>
          </w:tcPr>
          <w:p w:rsidR="0013102E" w:rsidRPr="0071782F" w:rsidRDefault="0013102E" w:rsidP="00D9327F">
            <w:pPr>
              <w:suppressAutoHyphens w:val="0"/>
              <w:spacing w:before="40" w:after="40" w:line="220" w:lineRule="exact"/>
              <w:jc w:val="right"/>
              <w:rPr>
                <w:sz w:val="18"/>
                <w:lang w:val="fr-CH"/>
              </w:rPr>
            </w:pPr>
            <w:r w:rsidRPr="0071782F">
              <w:rPr>
                <w:sz w:val="18"/>
                <w:lang w:val="fr-CH"/>
              </w:rPr>
              <w:t>9</w:t>
            </w:r>
            <w:r w:rsidR="00723F2B" w:rsidRPr="0071782F">
              <w:rPr>
                <w:sz w:val="18"/>
                <w:lang w:val="fr-CH"/>
              </w:rPr>
              <w:t>,</w:t>
            </w:r>
            <w:r w:rsidRPr="0071782F">
              <w:rPr>
                <w:sz w:val="18"/>
                <w:lang w:val="fr-CH"/>
              </w:rPr>
              <w:t>31</w:t>
            </w:r>
          </w:p>
        </w:tc>
        <w:tc>
          <w:tcPr>
            <w:tcW w:w="1100" w:type="dxa"/>
            <w:shd w:val="clear" w:color="000000" w:fill="auto"/>
            <w:vAlign w:val="bottom"/>
          </w:tcPr>
          <w:p w:rsidR="0013102E" w:rsidRPr="0071782F" w:rsidRDefault="0013102E" w:rsidP="00D9327F">
            <w:pPr>
              <w:suppressAutoHyphens w:val="0"/>
              <w:spacing w:before="40" w:after="40" w:line="220" w:lineRule="exact"/>
              <w:jc w:val="right"/>
              <w:rPr>
                <w:sz w:val="18"/>
                <w:lang w:val="fr-CH"/>
              </w:rPr>
            </w:pPr>
            <w:r w:rsidRPr="0071782F">
              <w:rPr>
                <w:sz w:val="18"/>
                <w:lang w:val="fr-CH"/>
              </w:rPr>
              <w:t>37</w:t>
            </w:r>
            <w:r w:rsidR="00723F2B" w:rsidRPr="0071782F">
              <w:rPr>
                <w:sz w:val="18"/>
                <w:lang w:val="fr-CH"/>
              </w:rPr>
              <w:t>,</w:t>
            </w:r>
            <w:r w:rsidRPr="0071782F">
              <w:rPr>
                <w:sz w:val="18"/>
                <w:lang w:val="fr-CH"/>
              </w:rPr>
              <w:t>24</w:t>
            </w:r>
          </w:p>
        </w:tc>
        <w:tc>
          <w:tcPr>
            <w:tcW w:w="1200" w:type="dxa"/>
            <w:shd w:val="clear" w:color="000000" w:fill="auto"/>
            <w:vAlign w:val="bottom"/>
          </w:tcPr>
          <w:p w:rsidR="0013102E" w:rsidRPr="0071782F" w:rsidRDefault="0013102E" w:rsidP="00D9327F">
            <w:pPr>
              <w:suppressAutoHyphens w:val="0"/>
              <w:spacing w:before="40" w:after="40" w:line="220" w:lineRule="exact"/>
              <w:jc w:val="right"/>
              <w:rPr>
                <w:sz w:val="18"/>
                <w:lang w:val="fr-CH"/>
              </w:rPr>
            </w:pPr>
            <w:r w:rsidRPr="0071782F">
              <w:rPr>
                <w:sz w:val="18"/>
                <w:lang w:val="fr-CH"/>
              </w:rPr>
              <w:t>16</w:t>
            </w:r>
            <w:r w:rsidR="00723F2B" w:rsidRPr="0071782F">
              <w:rPr>
                <w:sz w:val="18"/>
                <w:lang w:val="fr-CH"/>
              </w:rPr>
              <w:t>,</w:t>
            </w:r>
            <w:r w:rsidRPr="0071782F">
              <w:rPr>
                <w:sz w:val="18"/>
                <w:lang w:val="fr-CH"/>
              </w:rPr>
              <w:t>85</w:t>
            </w:r>
          </w:p>
        </w:tc>
        <w:tc>
          <w:tcPr>
            <w:tcW w:w="1100" w:type="dxa"/>
            <w:shd w:val="clear" w:color="000000" w:fill="auto"/>
            <w:vAlign w:val="bottom"/>
          </w:tcPr>
          <w:p w:rsidR="0013102E" w:rsidRPr="0071782F" w:rsidRDefault="0013102E" w:rsidP="00D9327F">
            <w:pPr>
              <w:suppressAutoHyphens w:val="0"/>
              <w:spacing w:before="40" w:after="40" w:line="220" w:lineRule="exact"/>
              <w:jc w:val="right"/>
              <w:rPr>
                <w:sz w:val="18"/>
                <w:lang w:val="fr-CH"/>
              </w:rPr>
            </w:pPr>
            <w:r w:rsidRPr="0071782F">
              <w:rPr>
                <w:sz w:val="18"/>
                <w:lang w:val="fr-CH"/>
              </w:rPr>
              <w:t>47</w:t>
            </w:r>
            <w:r w:rsidR="00723F2B" w:rsidRPr="0071782F">
              <w:rPr>
                <w:sz w:val="18"/>
                <w:lang w:val="fr-CH"/>
              </w:rPr>
              <w:t>,</w:t>
            </w:r>
            <w:r w:rsidRPr="0071782F">
              <w:rPr>
                <w:sz w:val="18"/>
                <w:lang w:val="fr-CH"/>
              </w:rPr>
              <w:t>61</w:t>
            </w:r>
          </w:p>
        </w:tc>
        <w:tc>
          <w:tcPr>
            <w:tcW w:w="1126" w:type="dxa"/>
            <w:shd w:val="clear" w:color="000000" w:fill="auto"/>
            <w:vAlign w:val="bottom"/>
          </w:tcPr>
          <w:p w:rsidR="0013102E" w:rsidRPr="0071782F" w:rsidRDefault="0013102E" w:rsidP="00D9327F">
            <w:pPr>
              <w:suppressAutoHyphens w:val="0"/>
              <w:spacing w:before="40" w:after="40" w:line="220" w:lineRule="exact"/>
              <w:jc w:val="right"/>
              <w:rPr>
                <w:sz w:val="18"/>
                <w:lang w:val="fr-CH"/>
              </w:rPr>
            </w:pPr>
            <w:r w:rsidRPr="0071782F">
              <w:rPr>
                <w:sz w:val="18"/>
                <w:lang w:val="fr-CH"/>
              </w:rPr>
              <w:t>17</w:t>
            </w:r>
            <w:r w:rsidR="00723F2B" w:rsidRPr="0071782F">
              <w:rPr>
                <w:sz w:val="18"/>
                <w:lang w:val="fr-CH"/>
              </w:rPr>
              <w:t>,</w:t>
            </w:r>
            <w:r w:rsidRPr="0071782F">
              <w:rPr>
                <w:sz w:val="18"/>
                <w:lang w:val="fr-CH"/>
              </w:rPr>
              <w:t>85</w:t>
            </w:r>
          </w:p>
        </w:tc>
        <w:tc>
          <w:tcPr>
            <w:tcW w:w="1074" w:type="dxa"/>
            <w:shd w:val="clear" w:color="000000" w:fill="auto"/>
            <w:vAlign w:val="bottom"/>
          </w:tcPr>
          <w:p w:rsidR="0013102E" w:rsidRPr="0071782F" w:rsidRDefault="0013102E" w:rsidP="00D9327F">
            <w:pPr>
              <w:suppressAutoHyphens w:val="0"/>
              <w:spacing w:before="40" w:after="40" w:line="220" w:lineRule="exact"/>
              <w:jc w:val="right"/>
              <w:rPr>
                <w:sz w:val="18"/>
                <w:lang w:val="fr-CH"/>
              </w:rPr>
            </w:pPr>
            <w:r w:rsidRPr="0071782F">
              <w:rPr>
                <w:sz w:val="18"/>
                <w:lang w:val="fr-CH"/>
              </w:rPr>
              <w:t>57</w:t>
            </w:r>
            <w:r w:rsidR="00723F2B" w:rsidRPr="0071782F">
              <w:rPr>
                <w:sz w:val="18"/>
                <w:lang w:val="fr-CH"/>
              </w:rPr>
              <w:t>,</w:t>
            </w:r>
            <w:r w:rsidRPr="0071782F">
              <w:rPr>
                <w:sz w:val="18"/>
                <w:lang w:val="fr-CH"/>
              </w:rPr>
              <w:t>44</w:t>
            </w:r>
          </w:p>
        </w:tc>
        <w:tc>
          <w:tcPr>
            <w:tcW w:w="1199" w:type="dxa"/>
            <w:shd w:val="clear" w:color="000000" w:fill="auto"/>
            <w:vAlign w:val="bottom"/>
          </w:tcPr>
          <w:p w:rsidR="0013102E" w:rsidRPr="0071782F" w:rsidRDefault="0013102E" w:rsidP="00D9327F">
            <w:pPr>
              <w:suppressAutoHyphens w:val="0"/>
              <w:spacing w:before="40" w:after="40" w:line="220" w:lineRule="exact"/>
              <w:jc w:val="right"/>
              <w:rPr>
                <w:sz w:val="18"/>
                <w:lang w:val="fr-CH"/>
              </w:rPr>
            </w:pPr>
            <w:r w:rsidRPr="0071782F">
              <w:rPr>
                <w:sz w:val="18"/>
                <w:lang w:val="fr-CH"/>
              </w:rPr>
              <w:t>14</w:t>
            </w:r>
            <w:r w:rsidR="00723F2B" w:rsidRPr="0071782F">
              <w:rPr>
                <w:sz w:val="18"/>
                <w:lang w:val="fr-CH"/>
              </w:rPr>
              <w:t>,</w:t>
            </w:r>
            <w:r w:rsidRPr="0071782F">
              <w:rPr>
                <w:sz w:val="18"/>
                <w:lang w:val="fr-CH"/>
              </w:rPr>
              <w:t>95</w:t>
            </w:r>
          </w:p>
        </w:tc>
        <w:tc>
          <w:tcPr>
            <w:tcW w:w="1043" w:type="dxa"/>
            <w:shd w:val="clear" w:color="000000" w:fill="auto"/>
            <w:vAlign w:val="bottom"/>
          </w:tcPr>
          <w:p w:rsidR="0013102E" w:rsidRPr="0071782F" w:rsidRDefault="0013102E" w:rsidP="00D9327F">
            <w:pPr>
              <w:suppressAutoHyphens w:val="0"/>
              <w:spacing w:before="40" w:after="40" w:line="220" w:lineRule="exact"/>
              <w:jc w:val="right"/>
              <w:rPr>
                <w:sz w:val="18"/>
                <w:lang w:val="fr-CH"/>
              </w:rPr>
            </w:pPr>
            <w:r w:rsidRPr="0071782F">
              <w:rPr>
                <w:sz w:val="18"/>
                <w:lang w:val="fr-CH"/>
              </w:rPr>
              <w:t>57</w:t>
            </w:r>
            <w:r w:rsidR="00723F2B" w:rsidRPr="0071782F">
              <w:rPr>
                <w:sz w:val="18"/>
                <w:lang w:val="fr-CH"/>
              </w:rPr>
              <w:t>,</w:t>
            </w:r>
            <w:r w:rsidRPr="0071782F">
              <w:rPr>
                <w:sz w:val="18"/>
                <w:lang w:val="fr-CH"/>
              </w:rPr>
              <w:t>43</w:t>
            </w:r>
          </w:p>
        </w:tc>
      </w:tr>
    </w:tbl>
    <w:p w:rsidR="008B74D2" w:rsidRPr="0071782F" w:rsidRDefault="008B74D2" w:rsidP="00E20B36">
      <w:pPr>
        <w:pStyle w:val="H1G"/>
        <w:rPr>
          <w:lang w:val="fr-CH"/>
        </w:rPr>
      </w:pPr>
      <w:r w:rsidRPr="0071782F">
        <w:rPr>
          <w:lang w:val="fr-CH"/>
        </w:rPr>
        <w:tab/>
      </w:r>
      <w:r w:rsidRPr="0071782F">
        <w:rPr>
          <w:lang w:val="fr-CH"/>
        </w:rPr>
        <w:tab/>
      </w:r>
      <w:r w:rsidR="00F515B8" w:rsidRPr="0071782F">
        <w:rPr>
          <w:lang w:val="fr-CH"/>
        </w:rPr>
        <w:t xml:space="preserve">La formation technique et professionnelle dans le </w:t>
      </w:r>
      <w:r w:rsidR="00A90208" w:rsidRPr="0071782F">
        <w:rPr>
          <w:lang w:val="fr-CH"/>
        </w:rPr>
        <w:t>quatrième</w:t>
      </w:r>
      <w:r w:rsidR="00F515B8" w:rsidRPr="0071782F">
        <w:rPr>
          <w:lang w:val="fr-CH"/>
        </w:rPr>
        <w:t xml:space="preserve"> plan de développement </w:t>
      </w:r>
    </w:p>
    <w:p w:rsidR="008B74D2" w:rsidRPr="0071782F" w:rsidRDefault="008B74D2" w:rsidP="008B74D2">
      <w:pPr>
        <w:pStyle w:val="H23G"/>
        <w:rPr>
          <w:lang w:val="fr-CH"/>
        </w:rPr>
      </w:pPr>
      <w:r w:rsidRPr="0071782F">
        <w:rPr>
          <w:lang w:val="fr-CH"/>
        </w:rPr>
        <w:tab/>
      </w:r>
      <w:r w:rsidRPr="0071782F">
        <w:rPr>
          <w:lang w:val="fr-CH"/>
        </w:rPr>
        <w:tab/>
      </w:r>
      <w:r w:rsidR="00943A69" w:rsidRPr="0071782F">
        <w:rPr>
          <w:lang w:val="fr-CH"/>
        </w:rPr>
        <w:t>Article </w:t>
      </w:r>
      <w:r w:rsidRPr="0071782F">
        <w:rPr>
          <w:lang w:val="fr-CH"/>
        </w:rPr>
        <w:t>55</w:t>
      </w:r>
    </w:p>
    <w:p w:rsidR="008B74D2" w:rsidRPr="0071782F" w:rsidRDefault="008B74D2" w:rsidP="00BE2FED">
      <w:pPr>
        <w:pStyle w:val="SingleTxtG"/>
        <w:rPr>
          <w:lang w:val="fr-CH"/>
        </w:rPr>
      </w:pPr>
      <w:r w:rsidRPr="0071782F">
        <w:rPr>
          <w:lang w:val="fr-CH"/>
        </w:rPr>
        <w:t>53.</w:t>
      </w:r>
      <w:r w:rsidRPr="0071782F">
        <w:rPr>
          <w:lang w:val="fr-CH"/>
        </w:rPr>
        <w:tab/>
      </w:r>
      <w:r w:rsidR="00F515B8" w:rsidRPr="0071782F">
        <w:rPr>
          <w:lang w:val="fr-CH"/>
        </w:rPr>
        <w:t xml:space="preserve">Afin de promouvoir les connaissances et compétences techniques au niveau national, </w:t>
      </w:r>
      <w:r w:rsidR="00494470" w:rsidRPr="0071782F">
        <w:rPr>
          <w:lang w:val="fr-CH"/>
        </w:rPr>
        <w:t>de modifi</w:t>
      </w:r>
      <w:r w:rsidR="00F515B8" w:rsidRPr="0071782F">
        <w:rPr>
          <w:lang w:val="fr-CH"/>
        </w:rPr>
        <w:t xml:space="preserve">er </w:t>
      </w:r>
      <w:r w:rsidR="00BE2FED" w:rsidRPr="0071782F">
        <w:rPr>
          <w:lang w:val="fr-CH"/>
        </w:rPr>
        <w:t xml:space="preserve">les contours du système éducatif </w:t>
      </w:r>
      <w:r w:rsidR="00F515B8" w:rsidRPr="0071782F">
        <w:rPr>
          <w:lang w:val="fr-CH"/>
        </w:rPr>
        <w:t>de la main-d’</w:t>
      </w:r>
      <w:r w:rsidR="00D5366B" w:rsidRPr="0071782F">
        <w:rPr>
          <w:lang w:val="fr-CH"/>
        </w:rPr>
        <w:t>œuvre</w:t>
      </w:r>
      <w:r w:rsidR="00F515B8" w:rsidRPr="0071782F">
        <w:rPr>
          <w:lang w:val="fr-CH"/>
        </w:rPr>
        <w:t xml:space="preserve">, </w:t>
      </w:r>
      <w:r w:rsidR="00494470" w:rsidRPr="0071782F">
        <w:rPr>
          <w:lang w:val="fr-CH"/>
        </w:rPr>
        <w:t xml:space="preserve">de </w:t>
      </w:r>
      <w:r w:rsidR="00F515B8" w:rsidRPr="0071782F">
        <w:rPr>
          <w:lang w:val="fr-CH"/>
        </w:rPr>
        <w:t xml:space="preserve">conférer une autonomie accrue aux ressources humaines, </w:t>
      </w:r>
      <w:r w:rsidR="00494470" w:rsidRPr="0071782F">
        <w:rPr>
          <w:lang w:val="fr-CH"/>
        </w:rPr>
        <w:t xml:space="preserve">de </w:t>
      </w:r>
      <w:r w:rsidR="00F515B8" w:rsidRPr="0071782F">
        <w:rPr>
          <w:lang w:val="fr-CH"/>
        </w:rPr>
        <w:t>réduire l’écart entre les connaissances et compétences techniques de la main-d’</w:t>
      </w:r>
      <w:r w:rsidR="00D5366B" w:rsidRPr="0071782F">
        <w:rPr>
          <w:lang w:val="fr-CH"/>
        </w:rPr>
        <w:t>œuvre</w:t>
      </w:r>
      <w:r w:rsidR="00F515B8" w:rsidRPr="0071782F">
        <w:rPr>
          <w:lang w:val="fr-CH"/>
        </w:rPr>
        <w:t xml:space="preserve"> nationale et les normes mondiales en la matière, et </w:t>
      </w:r>
      <w:r w:rsidR="00494470" w:rsidRPr="0071782F">
        <w:rPr>
          <w:lang w:val="fr-CH"/>
        </w:rPr>
        <w:t xml:space="preserve">de </w:t>
      </w:r>
      <w:r w:rsidR="00F515B8" w:rsidRPr="0071782F">
        <w:rPr>
          <w:lang w:val="fr-CH"/>
        </w:rPr>
        <w:t>créer de nouveaux emplois pour les jeunes, l’État est tenu de concevoir les mécanismes adaptés à ces fins dans le cadre du système de formation technique et professionnelle du pays dans un délai d’un an à compter de la date d’a</w:t>
      </w:r>
      <w:r w:rsidR="00494470" w:rsidRPr="0071782F">
        <w:rPr>
          <w:lang w:val="fr-CH"/>
        </w:rPr>
        <w:t>do</w:t>
      </w:r>
      <w:r w:rsidR="00BE2FED" w:rsidRPr="0071782F">
        <w:rPr>
          <w:lang w:val="fr-CH"/>
        </w:rPr>
        <w:t>p</w:t>
      </w:r>
      <w:r w:rsidR="00494470" w:rsidRPr="0071782F">
        <w:rPr>
          <w:lang w:val="fr-CH"/>
        </w:rPr>
        <w:t xml:space="preserve">tion </w:t>
      </w:r>
      <w:r w:rsidR="00F515B8" w:rsidRPr="0071782F">
        <w:rPr>
          <w:lang w:val="fr-CH"/>
        </w:rPr>
        <w:t>de la présente loi et de procéder aux préparatifs nécessaires, à savoir notamment</w:t>
      </w:r>
      <w:r w:rsidR="008F7D33" w:rsidRPr="0071782F">
        <w:rPr>
          <w:lang w:val="fr-CH"/>
        </w:rPr>
        <w:t>:</w:t>
      </w:r>
    </w:p>
    <w:p w:rsidR="008B74D2" w:rsidRPr="0071782F" w:rsidRDefault="008B74D2" w:rsidP="00BE2FED">
      <w:pPr>
        <w:pStyle w:val="SingleTxtG"/>
        <w:ind w:left="1701"/>
        <w:rPr>
          <w:lang w:val="fr-CH"/>
        </w:rPr>
      </w:pPr>
      <w:r w:rsidRPr="0071782F">
        <w:rPr>
          <w:lang w:val="fr-CH"/>
        </w:rPr>
        <w:t>53.1.</w:t>
      </w:r>
      <w:r w:rsidRPr="0071782F">
        <w:rPr>
          <w:lang w:val="fr-CH"/>
        </w:rPr>
        <w:tab/>
      </w:r>
      <w:r w:rsidR="006F7EFE" w:rsidRPr="0071782F">
        <w:rPr>
          <w:lang w:val="fr-CH"/>
        </w:rPr>
        <w:t>Prendre les mesures juridiques nécessaires à la création d’un organe chargé d’élaborer les politiques relatives au système de formation technique, professionnelle et appliquée du pays en tirant parti de l’expérience nationale et internationale dans ce domaine.</w:t>
      </w:r>
      <w:r w:rsidRPr="0071782F">
        <w:rPr>
          <w:lang w:val="fr-CH"/>
        </w:rPr>
        <w:t xml:space="preserve"> </w:t>
      </w:r>
      <w:r w:rsidR="006F7EFE" w:rsidRPr="0071782F">
        <w:rPr>
          <w:lang w:val="fr-CH"/>
        </w:rPr>
        <w:t>Cet organe sera la principale autorité chargée d</w:t>
      </w:r>
      <w:r w:rsidR="00483C88" w:rsidRPr="0071782F">
        <w:rPr>
          <w:lang w:val="fr-CH"/>
        </w:rPr>
        <w:t xml:space="preserve">’adopter </w:t>
      </w:r>
      <w:r w:rsidR="006F7EFE" w:rsidRPr="0071782F">
        <w:rPr>
          <w:lang w:val="fr-CH"/>
        </w:rPr>
        <w:t xml:space="preserve">toutes les politiques, stratégies et plans stratégiques du pays dans ce domaine jusqu’à la création du centre de coordination de la formation technique et professionnelle prévue par </w:t>
      </w:r>
      <w:r w:rsidR="00723F2B" w:rsidRPr="0071782F">
        <w:rPr>
          <w:lang w:val="fr-CH"/>
        </w:rPr>
        <w:t>l’</w:t>
      </w:r>
      <w:r w:rsidR="00943A69" w:rsidRPr="0071782F">
        <w:rPr>
          <w:lang w:val="fr-CH"/>
        </w:rPr>
        <w:t>article </w:t>
      </w:r>
      <w:r w:rsidRPr="0071782F">
        <w:rPr>
          <w:lang w:val="fr-CH"/>
        </w:rPr>
        <w:t xml:space="preserve">151 </w:t>
      </w:r>
      <w:r w:rsidR="006F7EFE" w:rsidRPr="0071782F">
        <w:rPr>
          <w:lang w:val="fr-CH"/>
        </w:rPr>
        <w:t xml:space="preserve">de la loi relative au </w:t>
      </w:r>
      <w:r w:rsidR="009E6189">
        <w:rPr>
          <w:lang w:val="fr-CH"/>
        </w:rPr>
        <w:t>troisième plan</w:t>
      </w:r>
      <w:r w:rsidR="006F7EFE" w:rsidRPr="0071782F">
        <w:rPr>
          <w:lang w:val="fr-CH"/>
        </w:rPr>
        <w:t xml:space="preserve"> de développement (av</w:t>
      </w:r>
      <w:r w:rsidRPr="0071782F">
        <w:rPr>
          <w:lang w:val="fr-CH"/>
        </w:rPr>
        <w:t>ril 2000</w:t>
      </w:r>
      <w:r w:rsidR="006F7EFE" w:rsidRPr="0071782F">
        <w:rPr>
          <w:lang w:val="fr-CH"/>
        </w:rPr>
        <w:t>)</w:t>
      </w:r>
      <w:r w:rsidR="004551FC" w:rsidRPr="0071782F">
        <w:rPr>
          <w:lang w:val="fr-CH"/>
        </w:rPr>
        <w:t>.</w:t>
      </w:r>
    </w:p>
    <w:p w:rsidR="008B74D2" w:rsidRPr="0071782F" w:rsidRDefault="008B74D2" w:rsidP="004E3E7E">
      <w:pPr>
        <w:pStyle w:val="SingleTxtG"/>
        <w:ind w:left="1701"/>
        <w:rPr>
          <w:lang w:val="fr-CH"/>
        </w:rPr>
      </w:pPr>
      <w:r w:rsidRPr="0071782F">
        <w:rPr>
          <w:lang w:val="fr-CH"/>
        </w:rPr>
        <w:t>53.2.</w:t>
      </w:r>
      <w:r w:rsidRPr="0071782F">
        <w:rPr>
          <w:lang w:val="fr-CH"/>
        </w:rPr>
        <w:tab/>
      </w:r>
      <w:r w:rsidR="00717E77" w:rsidRPr="0071782F">
        <w:rPr>
          <w:lang w:val="fr-CH"/>
        </w:rPr>
        <w:t>Maintenir le système d’apprentissage concernant tant l’é</w:t>
      </w:r>
      <w:r w:rsidRPr="0071782F">
        <w:rPr>
          <w:lang w:val="fr-CH"/>
        </w:rPr>
        <w:t xml:space="preserve">ducation </w:t>
      </w:r>
      <w:r w:rsidR="00717E77" w:rsidRPr="0071782F">
        <w:rPr>
          <w:lang w:val="fr-CH"/>
        </w:rPr>
        <w:t xml:space="preserve">formelle </w:t>
      </w:r>
      <w:r w:rsidRPr="0071782F">
        <w:rPr>
          <w:lang w:val="fr-CH"/>
        </w:rPr>
        <w:t>(</w:t>
      </w:r>
      <w:r w:rsidR="00717E77" w:rsidRPr="0071782F">
        <w:rPr>
          <w:lang w:val="fr-CH"/>
        </w:rPr>
        <w:t>enseignement secondaire et supérieur</w:t>
      </w:r>
      <w:r w:rsidRPr="0071782F">
        <w:rPr>
          <w:lang w:val="fr-CH"/>
        </w:rPr>
        <w:t xml:space="preserve">) </w:t>
      </w:r>
      <w:r w:rsidR="00717E77" w:rsidRPr="0071782F">
        <w:rPr>
          <w:lang w:val="fr-CH"/>
        </w:rPr>
        <w:t xml:space="preserve">que la formation technique, professionnelle, spécialisée et appliquée informelle. </w:t>
      </w:r>
    </w:p>
    <w:p w:rsidR="008B74D2" w:rsidRPr="0071782F" w:rsidRDefault="008B74D2" w:rsidP="00BE2FED">
      <w:pPr>
        <w:pStyle w:val="SingleTxtG"/>
        <w:ind w:left="1701"/>
        <w:rPr>
          <w:lang w:val="fr-CH"/>
        </w:rPr>
      </w:pPr>
      <w:r w:rsidRPr="0071782F">
        <w:rPr>
          <w:lang w:val="fr-CH"/>
        </w:rPr>
        <w:t>53.3.</w:t>
      </w:r>
      <w:r w:rsidRPr="0071782F">
        <w:rPr>
          <w:lang w:val="fr-CH"/>
        </w:rPr>
        <w:tab/>
      </w:r>
      <w:r w:rsidR="00717E77" w:rsidRPr="0071782F">
        <w:rPr>
          <w:lang w:val="fr-CH"/>
        </w:rPr>
        <w:t xml:space="preserve">Concevoir </w:t>
      </w:r>
      <w:r w:rsidR="00BE2FED" w:rsidRPr="0071782F">
        <w:rPr>
          <w:lang w:val="fr-CH"/>
        </w:rPr>
        <w:t xml:space="preserve">des normes et </w:t>
      </w:r>
      <w:r w:rsidR="00717E77" w:rsidRPr="0071782F">
        <w:rPr>
          <w:lang w:val="fr-CH"/>
        </w:rPr>
        <w:t>un système d’évaluation des compétences de la main-d’</w:t>
      </w:r>
      <w:r w:rsidR="00D5366B" w:rsidRPr="0071782F">
        <w:rPr>
          <w:lang w:val="fr-CH"/>
        </w:rPr>
        <w:t>œuvre</w:t>
      </w:r>
      <w:r w:rsidR="00717E77" w:rsidRPr="0071782F">
        <w:rPr>
          <w:lang w:val="fr-CH"/>
        </w:rPr>
        <w:t xml:space="preserve"> </w:t>
      </w:r>
      <w:r w:rsidR="00BE2FED" w:rsidRPr="0071782F">
        <w:rPr>
          <w:lang w:val="fr-CH"/>
        </w:rPr>
        <w:t xml:space="preserve">selon une perspective </w:t>
      </w:r>
      <w:r w:rsidRPr="0071782F">
        <w:rPr>
          <w:lang w:val="fr-CH"/>
        </w:rPr>
        <w:t>international</w:t>
      </w:r>
      <w:r w:rsidR="00717E77" w:rsidRPr="0071782F">
        <w:rPr>
          <w:lang w:val="fr-CH"/>
        </w:rPr>
        <w:t>e</w:t>
      </w:r>
      <w:r w:rsidRPr="0071782F">
        <w:rPr>
          <w:lang w:val="fr-CH"/>
        </w:rPr>
        <w:t xml:space="preserve">. </w:t>
      </w:r>
    </w:p>
    <w:p w:rsidR="008B74D2" w:rsidRPr="0071782F" w:rsidRDefault="008B74D2" w:rsidP="004E3E7E">
      <w:pPr>
        <w:pStyle w:val="SingleTxtG"/>
        <w:ind w:left="1701"/>
        <w:rPr>
          <w:lang w:val="fr-CH"/>
        </w:rPr>
      </w:pPr>
      <w:r w:rsidRPr="0071782F">
        <w:rPr>
          <w:lang w:val="fr-CH"/>
        </w:rPr>
        <w:t>53.4.</w:t>
      </w:r>
      <w:r w:rsidRPr="0071782F">
        <w:rPr>
          <w:lang w:val="fr-CH"/>
        </w:rPr>
        <w:tab/>
      </w:r>
      <w:r w:rsidR="00717E77" w:rsidRPr="0071782F">
        <w:rPr>
          <w:lang w:val="fr-CH"/>
        </w:rPr>
        <w:t>Formuler un plan détaillé de valorisation des ressources humaines qui permette, entre autres, d’attirer, de motiver, de promouvoir sur le plan professionnel, de mieux former et de fidéliser ces ressources humaines</w:t>
      </w:r>
      <w:r w:rsidRPr="0071782F">
        <w:rPr>
          <w:lang w:val="fr-CH"/>
        </w:rPr>
        <w:t xml:space="preserve">. </w:t>
      </w:r>
    </w:p>
    <w:p w:rsidR="008B74D2" w:rsidRPr="0071782F" w:rsidRDefault="008B74D2" w:rsidP="004E3E7E">
      <w:pPr>
        <w:pStyle w:val="SingleTxtG"/>
        <w:ind w:left="1701"/>
        <w:rPr>
          <w:lang w:val="fr-CH"/>
        </w:rPr>
      </w:pPr>
      <w:r w:rsidRPr="0071782F">
        <w:rPr>
          <w:lang w:val="fr-CH"/>
        </w:rPr>
        <w:t>53.5.</w:t>
      </w:r>
      <w:r w:rsidRPr="0071782F">
        <w:rPr>
          <w:lang w:val="fr-CH"/>
        </w:rPr>
        <w:tab/>
      </w:r>
      <w:r w:rsidR="00717E77" w:rsidRPr="0071782F">
        <w:rPr>
          <w:lang w:val="fr-CH"/>
        </w:rPr>
        <w:t>Définir un mécanisme permettant d’aider les institutions et entreprises publiques et privées à développer la formation technique, professionnelle, spécialisée et appliquée, en particulier dans les régions peu développées du pays.</w:t>
      </w:r>
      <w:r w:rsidR="00D36718">
        <w:rPr>
          <w:lang w:val="fr-CH"/>
        </w:rPr>
        <w:t xml:space="preserve"> </w:t>
      </w:r>
    </w:p>
    <w:p w:rsidR="008B74D2" w:rsidRPr="0071782F" w:rsidRDefault="00F42E57" w:rsidP="00BE2FED">
      <w:pPr>
        <w:pStyle w:val="SingleTxtG"/>
        <w:ind w:left="1701"/>
        <w:rPr>
          <w:lang w:val="fr-CH"/>
        </w:rPr>
      </w:pPr>
      <w:r w:rsidRPr="0071782F">
        <w:rPr>
          <w:lang w:val="fr-CH"/>
        </w:rPr>
        <w:t>53.6.</w:t>
      </w:r>
      <w:r w:rsidRPr="0071782F">
        <w:rPr>
          <w:lang w:val="fr-CH"/>
        </w:rPr>
        <w:tab/>
        <w:t>Ré</w:t>
      </w:r>
      <w:r w:rsidR="008B74D2" w:rsidRPr="0071782F">
        <w:rPr>
          <w:lang w:val="fr-CH"/>
        </w:rPr>
        <w:t>form</w:t>
      </w:r>
      <w:r w:rsidRPr="0071782F">
        <w:rPr>
          <w:lang w:val="fr-CH"/>
        </w:rPr>
        <w:t xml:space="preserve">er et </w:t>
      </w:r>
      <w:r w:rsidR="008B74D2" w:rsidRPr="0071782F">
        <w:rPr>
          <w:lang w:val="fr-CH"/>
        </w:rPr>
        <w:t>moderni</w:t>
      </w:r>
      <w:r w:rsidRPr="0071782F">
        <w:rPr>
          <w:lang w:val="fr-CH"/>
        </w:rPr>
        <w:t xml:space="preserve">ser les </w:t>
      </w:r>
      <w:r w:rsidR="008B74D2" w:rsidRPr="0071782F">
        <w:rPr>
          <w:lang w:val="fr-CH"/>
        </w:rPr>
        <w:t xml:space="preserve">structures </w:t>
      </w:r>
      <w:r w:rsidRPr="0071782F">
        <w:rPr>
          <w:lang w:val="fr-CH"/>
        </w:rPr>
        <w:t>et équipements des centres de formation technique, professionnelle, spécialisée et appliquée et promouvoir la qualité de l’éducation qui y est dispensée</w:t>
      </w:r>
      <w:r w:rsidR="008B74D2" w:rsidRPr="0071782F">
        <w:rPr>
          <w:lang w:val="fr-CH"/>
        </w:rPr>
        <w:t xml:space="preserve">; </w:t>
      </w:r>
      <w:r w:rsidRPr="0071782F">
        <w:rPr>
          <w:lang w:val="fr-CH"/>
        </w:rPr>
        <w:t>créer des centres de formation technique et professionnelle et de formation aux TIC en tablant au maximum sur la participation d</w:t>
      </w:r>
      <w:r w:rsidR="00494470" w:rsidRPr="0071782F">
        <w:rPr>
          <w:lang w:val="fr-CH"/>
        </w:rPr>
        <w:t>u</w:t>
      </w:r>
      <w:r w:rsidRPr="0071782F">
        <w:rPr>
          <w:lang w:val="fr-CH"/>
        </w:rPr>
        <w:t xml:space="preserve"> secteur privé et </w:t>
      </w:r>
      <w:r w:rsidR="00494470" w:rsidRPr="0071782F">
        <w:rPr>
          <w:lang w:val="fr-CH"/>
        </w:rPr>
        <w:t xml:space="preserve">du secteur </w:t>
      </w:r>
      <w:r w:rsidR="00BE2FED" w:rsidRPr="0071782F">
        <w:rPr>
          <w:lang w:val="fr-CH"/>
        </w:rPr>
        <w:t xml:space="preserve">coopératif, </w:t>
      </w:r>
      <w:r w:rsidRPr="0071782F">
        <w:rPr>
          <w:lang w:val="fr-CH"/>
        </w:rPr>
        <w:t>et sur la coopération internationale</w:t>
      </w:r>
      <w:r w:rsidR="008B74D2" w:rsidRPr="0071782F">
        <w:rPr>
          <w:lang w:val="fr-CH"/>
        </w:rPr>
        <w:t xml:space="preserve">. </w:t>
      </w:r>
    </w:p>
    <w:p w:rsidR="008B74D2" w:rsidRPr="0071782F" w:rsidRDefault="008B74D2" w:rsidP="004E3E7E">
      <w:pPr>
        <w:pStyle w:val="SingleTxtG"/>
        <w:ind w:left="1701"/>
        <w:rPr>
          <w:lang w:val="fr-CH"/>
        </w:rPr>
      </w:pPr>
      <w:r w:rsidRPr="0071782F">
        <w:rPr>
          <w:lang w:val="fr-CH"/>
        </w:rPr>
        <w:t>53.7.</w:t>
      </w:r>
      <w:r w:rsidRPr="0071782F">
        <w:rPr>
          <w:lang w:val="fr-CH"/>
        </w:rPr>
        <w:tab/>
      </w:r>
      <w:r w:rsidR="00F42E57" w:rsidRPr="0071782F">
        <w:rPr>
          <w:lang w:val="fr-CH"/>
        </w:rPr>
        <w:t xml:space="preserve">Mettre à profit le potentiel et les capacités des secteurs </w:t>
      </w:r>
      <w:r w:rsidRPr="0071782F">
        <w:rPr>
          <w:lang w:val="fr-CH"/>
        </w:rPr>
        <w:t xml:space="preserve">public </w:t>
      </w:r>
      <w:r w:rsidR="00F42E57" w:rsidRPr="0071782F">
        <w:rPr>
          <w:lang w:val="fr-CH"/>
        </w:rPr>
        <w:t>et</w:t>
      </w:r>
      <w:r w:rsidRPr="0071782F">
        <w:rPr>
          <w:lang w:val="fr-CH"/>
        </w:rPr>
        <w:t xml:space="preserve"> priv</w:t>
      </w:r>
      <w:r w:rsidR="00F42E57" w:rsidRPr="0071782F">
        <w:rPr>
          <w:lang w:val="fr-CH"/>
        </w:rPr>
        <w:t>é aux fins du développement de la formation technique, professionnelle, spécialisée et appliquée</w:t>
      </w:r>
      <w:r w:rsidRPr="0071782F">
        <w:rPr>
          <w:lang w:val="fr-CH"/>
        </w:rPr>
        <w:t xml:space="preserve">. </w:t>
      </w:r>
    </w:p>
    <w:p w:rsidR="008B74D2" w:rsidRPr="0071782F" w:rsidRDefault="008B74D2" w:rsidP="00BE2FED">
      <w:pPr>
        <w:pStyle w:val="SingleTxtG"/>
        <w:ind w:left="1701"/>
        <w:rPr>
          <w:lang w:val="fr-CH"/>
        </w:rPr>
      </w:pPr>
      <w:r w:rsidRPr="0071782F">
        <w:rPr>
          <w:lang w:val="fr-CH"/>
        </w:rPr>
        <w:t>53.8.</w:t>
      </w:r>
      <w:r w:rsidRPr="0071782F">
        <w:rPr>
          <w:lang w:val="fr-CH"/>
        </w:rPr>
        <w:tab/>
      </w:r>
      <w:r w:rsidR="00630F67" w:rsidRPr="0071782F">
        <w:rPr>
          <w:lang w:val="fr-CH"/>
        </w:rPr>
        <w:t>Évaluer les besoins en main-d’</w:t>
      </w:r>
      <w:r w:rsidR="00D5366B" w:rsidRPr="0071782F">
        <w:rPr>
          <w:lang w:val="fr-CH"/>
        </w:rPr>
        <w:t>œuvre</w:t>
      </w:r>
      <w:r w:rsidR="00630F67" w:rsidRPr="0071782F">
        <w:rPr>
          <w:lang w:val="fr-CH"/>
        </w:rPr>
        <w:t xml:space="preserve"> qualifiée et délivrer les autorisations nécessaires à la création de centres de fo</w:t>
      </w:r>
      <w:r w:rsidR="00494470" w:rsidRPr="0071782F">
        <w:rPr>
          <w:lang w:val="fr-CH"/>
        </w:rPr>
        <w:t>rmation professionnelle dans le</w:t>
      </w:r>
      <w:r w:rsidR="00630F67" w:rsidRPr="0071782F">
        <w:rPr>
          <w:lang w:val="fr-CH"/>
        </w:rPr>
        <w:t xml:space="preserve"> secteur privé et </w:t>
      </w:r>
      <w:r w:rsidR="00494470" w:rsidRPr="0071782F">
        <w:rPr>
          <w:lang w:val="fr-CH"/>
        </w:rPr>
        <w:t xml:space="preserve">le </w:t>
      </w:r>
      <w:r w:rsidR="000718F9" w:rsidRPr="0071782F">
        <w:rPr>
          <w:lang w:val="fr-CH"/>
        </w:rPr>
        <w:t>secteur coopérati</w:t>
      </w:r>
      <w:r w:rsidR="00BE2FED" w:rsidRPr="0071782F">
        <w:rPr>
          <w:lang w:val="fr-CH"/>
        </w:rPr>
        <w:t>f</w:t>
      </w:r>
      <w:r w:rsidR="00630F67" w:rsidRPr="0071782F">
        <w:rPr>
          <w:lang w:val="fr-CH"/>
        </w:rPr>
        <w:t>, l’objectif étant d’avoir mis en place les capacité</w:t>
      </w:r>
      <w:r w:rsidR="00494470" w:rsidRPr="0071782F">
        <w:rPr>
          <w:lang w:val="fr-CH"/>
        </w:rPr>
        <w:t>s</w:t>
      </w:r>
      <w:r w:rsidR="00630F67" w:rsidRPr="0071782F">
        <w:rPr>
          <w:lang w:val="fr-CH"/>
        </w:rPr>
        <w:t xml:space="preserve"> requises à la fin </w:t>
      </w:r>
      <w:r w:rsidR="00723F2B" w:rsidRPr="0071782F">
        <w:rPr>
          <w:lang w:val="fr-CH"/>
        </w:rPr>
        <w:t xml:space="preserve">de la quatrième année du plan. </w:t>
      </w:r>
    </w:p>
    <w:p w:rsidR="008B74D2" w:rsidRPr="0071782F" w:rsidRDefault="004E3E7E" w:rsidP="00BE2FED">
      <w:pPr>
        <w:pStyle w:val="SingleTxtG"/>
        <w:rPr>
          <w:lang w:val="fr-CH"/>
        </w:rPr>
      </w:pPr>
      <w:r w:rsidRPr="0071782F">
        <w:rPr>
          <w:lang w:val="fr-CH"/>
        </w:rPr>
        <w:t>54.</w:t>
      </w:r>
      <w:r w:rsidRPr="0071782F">
        <w:rPr>
          <w:lang w:val="fr-CH"/>
        </w:rPr>
        <w:tab/>
      </w:r>
      <w:r w:rsidR="00EB67B4" w:rsidRPr="0071782F">
        <w:rPr>
          <w:lang w:val="fr-CH"/>
        </w:rPr>
        <w:t xml:space="preserve">En sus de </w:t>
      </w:r>
      <w:r w:rsidR="00723F2B" w:rsidRPr="0071782F">
        <w:rPr>
          <w:lang w:val="fr-CH"/>
        </w:rPr>
        <w:t>l’</w:t>
      </w:r>
      <w:r w:rsidR="00C165FB">
        <w:rPr>
          <w:lang w:val="fr-CH"/>
        </w:rPr>
        <w:t xml:space="preserve">article </w:t>
      </w:r>
      <w:r w:rsidR="00EB67B4" w:rsidRPr="0071782F">
        <w:rPr>
          <w:lang w:val="fr-CH"/>
        </w:rPr>
        <w:t>susvisé</w:t>
      </w:r>
      <w:r w:rsidRPr="0071782F">
        <w:rPr>
          <w:lang w:val="fr-CH"/>
        </w:rPr>
        <w:t xml:space="preserve">, </w:t>
      </w:r>
      <w:r w:rsidR="00EB67B4" w:rsidRPr="0071782F">
        <w:rPr>
          <w:lang w:val="fr-CH"/>
        </w:rPr>
        <w:t xml:space="preserve">la loi relative au </w:t>
      </w:r>
      <w:r w:rsidR="00A90208" w:rsidRPr="0071782F">
        <w:rPr>
          <w:lang w:val="fr-CH"/>
        </w:rPr>
        <w:t>quatrième</w:t>
      </w:r>
      <w:r w:rsidR="00EB67B4" w:rsidRPr="0071782F">
        <w:rPr>
          <w:lang w:val="fr-CH"/>
        </w:rPr>
        <w:t xml:space="preserve"> plan de développement a repris certains des </w:t>
      </w:r>
      <w:r w:rsidR="00723F2B" w:rsidRPr="0071782F">
        <w:rPr>
          <w:lang w:val="fr-CH"/>
        </w:rPr>
        <w:t>articles </w:t>
      </w:r>
      <w:r w:rsidR="00EB67B4" w:rsidRPr="0071782F">
        <w:rPr>
          <w:lang w:val="fr-CH"/>
        </w:rPr>
        <w:t xml:space="preserve">du </w:t>
      </w:r>
      <w:r w:rsidR="00BE2FED" w:rsidRPr="0071782F">
        <w:rPr>
          <w:lang w:val="fr-CH"/>
        </w:rPr>
        <w:t>troisièm</w:t>
      </w:r>
      <w:r w:rsidR="00EB67B4" w:rsidRPr="0071782F">
        <w:rPr>
          <w:lang w:val="fr-CH"/>
        </w:rPr>
        <w:t>e plan qui traitaient de la formation technique et professionnelle</w:t>
      </w:r>
      <w:r w:rsidRPr="0071782F">
        <w:rPr>
          <w:lang w:val="fr-CH"/>
        </w:rPr>
        <w:t xml:space="preserve">. </w:t>
      </w:r>
    </w:p>
    <w:p w:rsidR="004E3E7E" w:rsidRPr="0071782F" w:rsidRDefault="004E3E7E" w:rsidP="00BE2FED">
      <w:pPr>
        <w:pStyle w:val="H23G"/>
        <w:rPr>
          <w:lang w:val="fr-CH"/>
        </w:rPr>
      </w:pPr>
      <w:r w:rsidRPr="0071782F">
        <w:rPr>
          <w:lang w:val="fr-CH"/>
        </w:rPr>
        <w:tab/>
      </w:r>
      <w:r w:rsidRPr="0071782F">
        <w:rPr>
          <w:lang w:val="fr-CH"/>
        </w:rPr>
        <w:tab/>
      </w:r>
      <w:r w:rsidR="00943A69" w:rsidRPr="0071782F">
        <w:rPr>
          <w:lang w:val="fr-CH"/>
        </w:rPr>
        <w:t>Article </w:t>
      </w:r>
      <w:r w:rsidRPr="0071782F">
        <w:rPr>
          <w:lang w:val="fr-CH"/>
        </w:rPr>
        <w:t xml:space="preserve">151 </w:t>
      </w:r>
      <w:r w:rsidR="00EB67B4" w:rsidRPr="0071782F">
        <w:rPr>
          <w:lang w:val="fr-CH"/>
        </w:rPr>
        <w:t xml:space="preserve">du </w:t>
      </w:r>
      <w:r w:rsidR="00BE2FED" w:rsidRPr="0071782F">
        <w:rPr>
          <w:lang w:val="fr-CH"/>
        </w:rPr>
        <w:t>troisièm</w:t>
      </w:r>
      <w:r w:rsidR="00EB67B4" w:rsidRPr="0071782F">
        <w:rPr>
          <w:lang w:val="fr-CH"/>
        </w:rPr>
        <w:t xml:space="preserve">e plan de développement </w:t>
      </w:r>
    </w:p>
    <w:p w:rsidR="004E3E7E" w:rsidRPr="00C165FB" w:rsidRDefault="004E3E7E" w:rsidP="00236D75">
      <w:pPr>
        <w:pStyle w:val="SingleTxtG"/>
        <w:rPr>
          <w:spacing w:val="-2"/>
          <w:lang w:val="fr-CH"/>
        </w:rPr>
      </w:pPr>
      <w:r w:rsidRPr="00C165FB">
        <w:rPr>
          <w:spacing w:val="-2"/>
          <w:lang w:val="fr-CH"/>
        </w:rPr>
        <w:t>55.</w:t>
      </w:r>
      <w:r w:rsidRPr="00C165FB">
        <w:rPr>
          <w:spacing w:val="-2"/>
          <w:lang w:val="fr-CH"/>
        </w:rPr>
        <w:tab/>
      </w:r>
      <w:r w:rsidR="00483C88" w:rsidRPr="00C165FB">
        <w:rPr>
          <w:spacing w:val="-2"/>
          <w:lang w:val="fr-CH"/>
        </w:rPr>
        <w:t xml:space="preserve">Afin de garantir une </w:t>
      </w:r>
      <w:r w:rsidRPr="00C165FB">
        <w:rPr>
          <w:spacing w:val="-2"/>
          <w:lang w:val="fr-CH"/>
        </w:rPr>
        <w:t xml:space="preserve">coordination </w:t>
      </w:r>
      <w:r w:rsidR="00483C88" w:rsidRPr="00C165FB">
        <w:rPr>
          <w:spacing w:val="-2"/>
          <w:lang w:val="fr-CH"/>
        </w:rPr>
        <w:t xml:space="preserve">efficace en matière de formulation de politiques relatives à la formation technique et professionnelle formelle et informelle </w:t>
      </w:r>
      <w:r w:rsidR="00BE2FED" w:rsidRPr="00C165FB">
        <w:rPr>
          <w:spacing w:val="-2"/>
          <w:lang w:val="fr-CH"/>
        </w:rPr>
        <w:t xml:space="preserve">– </w:t>
      </w:r>
      <w:r w:rsidR="00483C88" w:rsidRPr="00C165FB">
        <w:rPr>
          <w:spacing w:val="-2"/>
          <w:lang w:val="fr-CH"/>
        </w:rPr>
        <w:t xml:space="preserve">à savoir les programmes de sciences appliquées du </w:t>
      </w:r>
      <w:r w:rsidRPr="00C165FB">
        <w:rPr>
          <w:spacing w:val="-2"/>
          <w:lang w:val="fr-CH"/>
        </w:rPr>
        <w:t>Minist</w:t>
      </w:r>
      <w:r w:rsidR="00483C88" w:rsidRPr="00C165FB">
        <w:rPr>
          <w:spacing w:val="-2"/>
          <w:lang w:val="fr-CH"/>
        </w:rPr>
        <w:t>ère de la s</w:t>
      </w:r>
      <w:r w:rsidRPr="00C165FB">
        <w:rPr>
          <w:spacing w:val="-2"/>
          <w:lang w:val="fr-CH"/>
        </w:rPr>
        <w:t xml:space="preserve">cience, </w:t>
      </w:r>
      <w:r w:rsidR="00483C88" w:rsidRPr="00C165FB">
        <w:rPr>
          <w:spacing w:val="-2"/>
          <w:lang w:val="fr-CH"/>
        </w:rPr>
        <w:t xml:space="preserve">de la recherche et de la technologie et du </w:t>
      </w:r>
      <w:r w:rsidR="00BD5FF1" w:rsidRPr="00C165FB">
        <w:rPr>
          <w:spacing w:val="-2"/>
          <w:lang w:val="fr-CH"/>
        </w:rPr>
        <w:t>Ministère de la santé et de la formation médicale</w:t>
      </w:r>
      <w:r w:rsidRPr="00C165FB">
        <w:rPr>
          <w:spacing w:val="-2"/>
          <w:lang w:val="fr-CH"/>
        </w:rPr>
        <w:t xml:space="preserve">, </w:t>
      </w:r>
      <w:r w:rsidR="00483C88" w:rsidRPr="00C165FB">
        <w:rPr>
          <w:spacing w:val="-2"/>
          <w:lang w:val="fr-CH"/>
        </w:rPr>
        <w:t xml:space="preserve">la formation technique et professionnelle </w:t>
      </w:r>
      <w:r w:rsidRPr="00C165FB">
        <w:rPr>
          <w:spacing w:val="-2"/>
          <w:lang w:val="fr-CH"/>
        </w:rPr>
        <w:t>(</w:t>
      </w:r>
      <w:r w:rsidR="00483C88" w:rsidRPr="00C165FB">
        <w:rPr>
          <w:spacing w:val="-2"/>
          <w:lang w:val="fr-CH"/>
        </w:rPr>
        <w:t>enseignement secondaire</w:t>
      </w:r>
      <w:r w:rsidRPr="00C165FB">
        <w:rPr>
          <w:spacing w:val="-2"/>
          <w:lang w:val="fr-CH"/>
        </w:rPr>
        <w:t xml:space="preserve">) </w:t>
      </w:r>
      <w:r w:rsidR="00483C88" w:rsidRPr="00C165FB">
        <w:rPr>
          <w:spacing w:val="-2"/>
          <w:lang w:val="fr-CH"/>
        </w:rPr>
        <w:t xml:space="preserve">du </w:t>
      </w:r>
      <w:r w:rsidRPr="00C165FB">
        <w:rPr>
          <w:spacing w:val="-2"/>
          <w:lang w:val="fr-CH"/>
        </w:rPr>
        <w:t>Minist</w:t>
      </w:r>
      <w:r w:rsidR="00483C88" w:rsidRPr="00C165FB">
        <w:rPr>
          <w:spacing w:val="-2"/>
          <w:lang w:val="fr-CH"/>
        </w:rPr>
        <w:t>ère de l’é</w:t>
      </w:r>
      <w:r w:rsidRPr="00C165FB">
        <w:rPr>
          <w:spacing w:val="-2"/>
          <w:lang w:val="fr-CH"/>
        </w:rPr>
        <w:t xml:space="preserve">ducation, </w:t>
      </w:r>
      <w:r w:rsidR="00483C88" w:rsidRPr="00C165FB">
        <w:rPr>
          <w:spacing w:val="-2"/>
          <w:lang w:val="fr-CH"/>
        </w:rPr>
        <w:t xml:space="preserve">les programmes de formation spécialisée de courte durée du </w:t>
      </w:r>
      <w:r w:rsidRPr="00C165FB">
        <w:rPr>
          <w:spacing w:val="-2"/>
          <w:lang w:val="fr-CH"/>
        </w:rPr>
        <w:t>Minist</w:t>
      </w:r>
      <w:r w:rsidR="00483C88" w:rsidRPr="00C165FB">
        <w:rPr>
          <w:spacing w:val="-2"/>
          <w:lang w:val="fr-CH"/>
        </w:rPr>
        <w:t>ère du travail et des affaires s</w:t>
      </w:r>
      <w:r w:rsidRPr="00C165FB">
        <w:rPr>
          <w:spacing w:val="-2"/>
          <w:lang w:val="fr-CH"/>
        </w:rPr>
        <w:t>ocial</w:t>
      </w:r>
      <w:r w:rsidR="00483C88" w:rsidRPr="00C165FB">
        <w:rPr>
          <w:spacing w:val="-2"/>
          <w:lang w:val="fr-CH"/>
        </w:rPr>
        <w:t>es</w:t>
      </w:r>
      <w:r w:rsidRPr="00C165FB">
        <w:rPr>
          <w:spacing w:val="-2"/>
          <w:lang w:val="fr-CH"/>
        </w:rPr>
        <w:t xml:space="preserve"> </w:t>
      </w:r>
      <w:r w:rsidR="00483C88" w:rsidRPr="00C165FB">
        <w:rPr>
          <w:spacing w:val="-2"/>
          <w:lang w:val="fr-CH"/>
        </w:rPr>
        <w:t>et les programmes de formation continue des fonctionnaires et les programmes spécialisés de gestion de l’Organisme public d</w:t>
      </w:r>
      <w:r w:rsidR="00577BC3" w:rsidRPr="00C165FB">
        <w:rPr>
          <w:spacing w:val="-2"/>
          <w:lang w:val="fr-CH"/>
        </w:rPr>
        <w:t xml:space="preserve">es </w:t>
      </w:r>
      <w:r w:rsidR="00483C88" w:rsidRPr="00C165FB">
        <w:rPr>
          <w:spacing w:val="-2"/>
          <w:lang w:val="fr-CH"/>
        </w:rPr>
        <w:t>affaires a</w:t>
      </w:r>
      <w:r w:rsidRPr="00C165FB">
        <w:rPr>
          <w:spacing w:val="-2"/>
          <w:lang w:val="fr-CH"/>
        </w:rPr>
        <w:t>dministrative</w:t>
      </w:r>
      <w:r w:rsidR="00483C88" w:rsidRPr="00C165FB">
        <w:rPr>
          <w:spacing w:val="-2"/>
          <w:lang w:val="fr-CH"/>
        </w:rPr>
        <w:t>s</w:t>
      </w:r>
      <w:r w:rsidRPr="00C165FB">
        <w:rPr>
          <w:spacing w:val="-2"/>
          <w:lang w:val="fr-CH"/>
        </w:rPr>
        <w:t xml:space="preserve"> </w:t>
      </w:r>
      <w:r w:rsidR="00483C88" w:rsidRPr="00C165FB">
        <w:rPr>
          <w:spacing w:val="-2"/>
          <w:lang w:val="fr-CH"/>
        </w:rPr>
        <w:t>et concernant l’emploi</w:t>
      </w:r>
      <w:r w:rsidR="00BE2FED" w:rsidRPr="00C165FB">
        <w:rPr>
          <w:spacing w:val="-2"/>
          <w:lang w:val="fr-CH"/>
        </w:rPr>
        <w:t xml:space="preserve"> –</w:t>
      </w:r>
      <w:r w:rsidRPr="00C165FB">
        <w:rPr>
          <w:spacing w:val="-2"/>
          <w:lang w:val="fr-CH"/>
        </w:rPr>
        <w:t xml:space="preserve">, </w:t>
      </w:r>
      <w:r w:rsidR="00483C88" w:rsidRPr="00C165FB">
        <w:rPr>
          <w:spacing w:val="-2"/>
          <w:lang w:val="fr-CH"/>
        </w:rPr>
        <w:t xml:space="preserve">le Haut Conseil de la formation professionnelle </w:t>
      </w:r>
      <w:r w:rsidR="00A234E8" w:rsidRPr="00C165FB">
        <w:rPr>
          <w:spacing w:val="-2"/>
          <w:lang w:val="fr-CH"/>
        </w:rPr>
        <w:t>(art</w:t>
      </w:r>
      <w:r w:rsidR="00C165FB" w:rsidRPr="00C165FB">
        <w:rPr>
          <w:spacing w:val="-2"/>
          <w:lang w:val="fr-CH"/>
        </w:rPr>
        <w:t>icles</w:t>
      </w:r>
      <w:r w:rsidR="00A234E8" w:rsidRPr="00C165FB">
        <w:rPr>
          <w:spacing w:val="-2"/>
          <w:lang w:val="fr-CH"/>
        </w:rPr>
        <w:t> </w:t>
      </w:r>
      <w:r w:rsidRPr="00C165FB">
        <w:rPr>
          <w:spacing w:val="-2"/>
          <w:lang w:val="fr-CH"/>
        </w:rPr>
        <w:t xml:space="preserve">5, 6 </w:t>
      </w:r>
      <w:r w:rsidR="00483C88" w:rsidRPr="00C165FB">
        <w:rPr>
          <w:spacing w:val="-2"/>
          <w:lang w:val="fr-CH"/>
        </w:rPr>
        <w:t>et</w:t>
      </w:r>
      <w:r w:rsidRPr="00C165FB">
        <w:rPr>
          <w:spacing w:val="-2"/>
          <w:lang w:val="fr-CH"/>
        </w:rPr>
        <w:t xml:space="preserve"> 7 </w:t>
      </w:r>
      <w:r w:rsidR="00483C88" w:rsidRPr="00C165FB">
        <w:rPr>
          <w:spacing w:val="-2"/>
          <w:lang w:val="fr-CH"/>
        </w:rPr>
        <w:t>de la loi de 1970 sur la formation professionnelle adoptée par l’ancien Sénat et l’Assemblée nationale)</w:t>
      </w:r>
      <w:r w:rsidRPr="00C165FB">
        <w:rPr>
          <w:spacing w:val="-2"/>
          <w:lang w:val="fr-CH"/>
        </w:rPr>
        <w:t xml:space="preserve">, </w:t>
      </w:r>
      <w:r w:rsidR="00483C88" w:rsidRPr="00C165FB">
        <w:rPr>
          <w:spacing w:val="-2"/>
          <w:lang w:val="fr-CH"/>
        </w:rPr>
        <w:t>le Haut Conseil de c</w:t>
      </w:r>
      <w:r w:rsidRPr="00C165FB">
        <w:rPr>
          <w:spacing w:val="-2"/>
          <w:lang w:val="fr-CH"/>
        </w:rPr>
        <w:t xml:space="preserve">oordination </w:t>
      </w:r>
      <w:r w:rsidR="00483C88" w:rsidRPr="00C165FB">
        <w:rPr>
          <w:spacing w:val="-2"/>
          <w:lang w:val="fr-CH"/>
        </w:rPr>
        <w:t>de la formation technique et professionnelle</w:t>
      </w:r>
      <w:r w:rsidRPr="00C165FB">
        <w:rPr>
          <w:spacing w:val="-2"/>
          <w:lang w:val="fr-CH"/>
        </w:rPr>
        <w:t xml:space="preserve"> </w:t>
      </w:r>
      <w:r w:rsidR="00483C88" w:rsidRPr="00C165FB">
        <w:rPr>
          <w:spacing w:val="-2"/>
          <w:lang w:val="fr-CH"/>
        </w:rPr>
        <w:t xml:space="preserve">créé par le Conseil de la </w:t>
      </w:r>
      <w:r w:rsidRPr="00C165FB">
        <w:rPr>
          <w:spacing w:val="-2"/>
          <w:lang w:val="fr-CH"/>
        </w:rPr>
        <w:t>R</w:t>
      </w:r>
      <w:r w:rsidR="00483C88" w:rsidRPr="00C165FB">
        <w:rPr>
          <w:spacing w:val="-2"/>
          <w:lang w:val="fr-CH"/>
        </w:rPr>
        <w:t>é</w:t>
      </w:r>
      <w:r w:rsidRPr="00C165FB">
        <w:rPr>
          <w:spacing w:val="-2"/>
          <w:lang w:val="fr-CH"/>
        </w:rPr>
        <w:t xml:space="preserve">volution </w:t>
      </w:r>
      <w:r w:rsidR="00483C88" w:rsidRPr="00C165FB">
        <w:rPr>
          <w:spacing w:val="-2"/>
          <w:lang w:val="fr-CH"/>
        </w:rPr>
        <w:t xml:space="preserve">en </w:t>
      </w:r>
      <w:r w:rsidRPr="00C165FB">
        <w:rPr>
          <w:spacing w:val="-2"/>
          <w:lang w:val="fr-CH"/>
        </w:rPr>
        <w:t xml:space="preserve">1980 </w:t>
      </w:r>
      <w:r w:rsidR="00483C88" w:rsidRPr="00C165FB">
        <w:rPr>
          <w:spacing w:val="-2"/>
          <w:lang w:val="fr-CH"/>
        </w:rPr>
        <w:t xml:space="preserve">et le Haut Conseil de l’enseignement scientifique appliqué </w:t>
      </w:r>
      <w:r w:rsidRPr="00C165FB">
        <w:rPr>
          <w:spacing w:val="-2"/>
          <w:lang w:val="fr-CH"/>
        </w:rPr>
        <w:t>cr</w:t>
      </w:r>
      <w:r w:rsidR="00483C88" w:rsidRPr="00C165FB">
        <w:rPr>
          <w:spacing w:val="-2"/>
          <w:lang w:val="fr-CH"/>
        </w:rPr>
        <w:t xml:space="preserve">éé par le </w:t>
      </w:r>
      <w:r w:rsidR="00E84B01" w:rsidRPr="00C165FB">
        <w:rPr>
          <w:spacing w:val="-2"/>
          <w:lang w:val="fr-CH"/>
        </w:rPr>
        <w:t>Haut Conseil culturel de la Révolution</w:t>
      </w:r>
      <w:r w:rsidR="00483C88" w:rsidRPr="00C165FB">
        <w:rPr>
          <w:spacing w:val="-2"/>
          <w:lang w:val="fr-CH"/>
        </w:rPr>
        <w:t xml:space="preserve"> en </w:t>
      </w:r>
      <w:r w:rsidRPr="00C165FB">
        <w:rPr>
          <w:spacing w:val="-2"/>
          <w:lang w:val="fr-CH"/>
        </w:rPr>
        <w:t xml:space="preserve">1990 </w:t>
      </w:r>
      <w:r w:rsidR="00483C88" w:rsidRPr="00C165FB">
        <w:rPr>
          <w:spacing w:val="-2"/>
          <w:lang w:val="fr-CH"/>
        </w:rPr>
        <w:t>ont été dissous et remplacés par le Comité de coordination de la formation technique et professionnelle</w:t>
      </w:r>
      <w:r w:rsidRPr="00C165FB">
        <w:rPr>
          <w:spacing w:val="-2"/>
          <w:lang w:val="fr-CH"/>
        </w:rPr>
        <w:t xml:space="preserve">. </w:t>
      </w:r>
      <w:r w:rsidR="00337CC7" w:rsidRPr="00C165FB">
        <w:rPr>
          <w:spacing w:val="-2"/>
          <w:lang w:val="fr-CH"/>
        </w:rPr>
        <w:t xml:space="preserve">Dirigé par le premier Vice-Président </w:t>
      </w:r>
      <w:r w:rsidR="006053E7" w:rsidRPr="00C165FB">
        <w:rPr>
          <w:spacing w:val="-2"/>
          <w:lang w:val="fr-CH"/>
        </w:rPr>
        <w:t>du pays</w:t>
      </w:r>
      <w:r w:rsidR="00337CC7" w:rsidRPr="00C165FB">
        <w:rPr>
          <w:spacing w:val="-2"/>
          <w:lang w:val="fr-CH"/>
        </w:rPr>
        <w:t xml:space="preserve">, ce Comité a pour autres membres le </w:t>
      </w:r>
      <w:r w:rsidRPr="00C165FB">
        <w:rPr>
          <w:spacing w:val="-2"/>
          <w:lang w:val="fr-CH"/>
        </w:rPr>
        <w:t>Minist</w:t>
      </w:r>
      <w:r w:rsidR="00337CC7" w:rsidRPr="00C165FB">
        <w:rPr>
          <w:spacing w:val="-2"/>
          <w:lang w:val="fr-CH"/>
        </w:rPr>
        <w:t>re de l’é</w:t>
      </w:r>
      <w:r w:rsidRPr="00C165FB">
        <w:rPr>
          <w:spacing w:val="-2"/>
          <w:lang w:val="fr-CH"/>
        </w:rPr>
        <w:t xml:space="preserve">ducation, </w:t>
      </w:r>
      <w:r w:rsidR="00577BC3" w:rsidRPr="00C165FB">
        <w:rPr>
          <w:spacing w:val="-2"/>
          <w:lang w:val="fr-CH"/>
        </w:rPr>
        <w:t>le Ministre de l’agriculture</w:t>
      </w:r>
      <w:r w:rsidRPr="00C165FB">
        <w:rPr>
          <w:spacing w:val="-2"/>
          <w:lang w:val="fr-CH"/>
        </w:rPr>
        <w:t xml:space="preserve">, </w:t>
      </w:r>
      <w:r w:rsidR="00577BC3" w:rsidRPr="00C165FB">
        <w:rPr>
          <w:spacing w:val="-2"/>
          <w:lang w:val="fr-CH"/>
        </w:rPr>
        <w:t xml:space="preserve">le </w:t>
      </w:r>
      <w:r w:rsidRPr="00C165FB">
        <w:rPr>
          <w:spacing w:val="-2"/>
          <w:lang w:val="fr-CH"/>
        </w:rPr>
        <w:t>Minist</w:t>
      </w:r>
      <w:r w:rsidR="00577BC3" w:rsidRPr="00C165FB">
        <w:rPr>
          <w:spacing w:val="-2"/>
          <w:lang w:val="fr-CH"/>
        </w:rPr>
        <w:t>re du travail et des affaires sociales, le Ministre de la science, de la recherche et de la technologie et le Ministre de la santé et de l’enseignement médical</w:t>
      </w:r>
      <w:r w:rsidRPr="00C165FB">
        <w:rPr>
          <w:spacing w:val="-2"/>
          <w:lang w:val="fr-CH"/>
        </w:rPr>
        <w:t xml:space="preserve">, </w:t>
      </w:r>
      <w:r w:rsidR="00577BC3" w:rsidRPr="00C165FB">
        <w:rPr>
          <w:spacing w:val="-2"/>
          <w:lang w:val="fr-CH"/>
        </w:rPr>
        <w:t>le Directeur de l’Organisme du budget et du Plan</w:t>
      </w:r>
      <w:r w:rsidRPr="00C165FB">
        <w:rPr>
          <w:spacing w:val="-2"/>
          <w:lang w:val="fr-CH"/>
        </w:rPr>
        <w:t xml:space="preserve">, </w:t>
      </w:r>
      <w:r w:rsidR="00577BC3" w:rsidRPr="00C165FB">
        <w:rPr>
          <w:spacing w:val="-2"/>
          <w:lang w:val="fr-CH"/>
        </w:rPr>
        <w:t>le Secrétaire général de l’Organisme public des affaires administratives et concernant l’emploi et le Directeur du Centre pour la participation des femmes</w:t>
      </w:r>
      <w:r w:rsidRPr="00C165FB">
        <w:rPr>
          <w:spacing w:val="-2"/>
          <w:lang w:val="fr-CH"/>
        </w:rPr>
        <w:t xml:space="preserve">. </w:t>
      </w:r>
      <w:r w:rsidR="00577BC3" w:rsidRPr="00C165FB">
        <w:rPr>
          <w:spacing w:val="-2"/>
          <w:lang w:val="fr-CH"/>
        </w:rPr>
        <w:t xml:space="preserve">Par ailleurs, le </w:t>
      </w:r>
      <w:r w:rsidR="00236D75" w:rsidRPr="00C165FB">
        <w:rPr>
          <w:spacing w:val="-2"/>
          <w:lang w:val="fr-CH"/>
        </w:rPr>
        <w:t>P</w:t>
      </w:r>
      <w:r w:rsidR="00577BC3" w:rsidRPr="00C165FB">
        <w:rPr>
          <w:spacing w:val="-2"/>
          <w:lang w:val="fr-CH"/>
        </w:rPr>
        <w:t>résident du Comité</w:t>
      </w:r>
      <w:r w:rsidR="00D36718" w:rsidRPr="00C165FB">
        <w:rPr>
          <w:spacing w:val="-2"/>
          <w:lang w:val="fr-CH"/>
        </w:rPr>
        <w:t xml:space="preserve"> </w:t>
      </w:r>
      <w:r w:rsidR="00577BC3" w:rsidRPr="00C165FB">
        <w:rPr>
          <w:spacing w:val="-2"/>
          <w:lang w:val="fr-CH"/>
        </w:rPr>
        <w:t>peut, en fonction de l’affaire à traiter, décider d’inviter d’autres ministres à participer à ses sessions</w:t>
      </w:r>
      <w:r w:rsidRPr="00C165FB">
        <w:rPr>
          <w:spacing w:val="-2"/>
          <w:lang w:val="fr-CH"/>
        </w:rPr>
        <w:t xml:space="preserve">. </w:t>
      </w:r>
      <w:r w:rsidR="00577BC3" w:rsidRPr="00C165FB">
        <w:rPr>
          <w:spacing w:val="-2"/>
          <w:lang w:val="fr-CH"/>
        </w:rPr>
        <w:t>Le Directeur de l’Organisme du budget et du Plan fait fonction de secrétaire du Comité</w:t>
      </w:r>
      <w:r w:rsidRPr="00C165FB">
        <w:rPr>
          <w:spacing w:val="-2"/>
          <w:lang w:val="fr-CH"/>
        </w:rPr>
        <w:t xml:space="preserve">. </w:t>
      </w:r>
      <w:r w:rsidR="00577BC3" w:rsidRPr="00C165FB">
        <w:rPr>
          <w:spacing w:val="-2"/>
          <w:lang w:val="fr-CH"/>
        </w:rPr>
        <w:t>Les autres fonctions des conseils dissous seront assumées par les ministères compétents</w:t>
      </w:r>
      <w:r w:rsidRPr="00C165FB">
        <w:rPr>
          <w:spacing w:val="-2"/>
          <w:lang w:val="fr-CH"/>
        </w:rPr>
        <w:t xml:space="preserve">. </w:t>
      </w:r>
      <w:r w:rsidR="00577BC3" w:rsidRPr="00C165FB">
        <w:rPr>
          <w:spacing w:val="-2"/>
          <w:lang w:val="fr-CH"/>
        </w:rPr>
        <w:t xml:space="preserve">Une fois approuvées par le Conseil des ministres, les décisions du </w:t>
      </w:r>
      <w:r w:rsidR="00236D75" w:rsidRPr="00C165FB">
        <w:rPr>
          <w:spacing w:val="-2"/>
          <w:lang w:val="fr-CH"/>
        </w:rPr>
        <w:t>C</w:t>
      </w:r>
      <w:r w:rsidR="00577BC3" w:rsidRPr="00C165FB">
        <w:rPr>
          <w:spacing w:val="-2"/>
          <w:lang w:val="fr-CH"/>
        </w:rPr>
        <w:t>omité s’imposeront à tous les ministères compétents.</w:t>
      </w:r>
      <w:r w:rsidRPr="00C165FB">
        <w:rPr>
          <w:spacing w:val="-2"/>
          <w:lang w:val="fr-CH"/>
        </w:rPr>
        <w:t xml:space="preserve"> </w:t>
      </w:r>
    </w:p>
    <w:p w:rsidR="00A54455" w:rsidRPr="0071782F" w:rsidRDefault="00A54455" w:rsidP="00236D75">
      <w:pPr>
        <w:pStyle w:val="H23G"/>
        <w:rPr>
          <w:lang w:val="fr-CH"/>
        </w:rPr>
      </w:pPr>
      <w:r w:rsidRPr="0071782F">
        <w:rPr>
          <w:lang w:val="fr-CH"/>
        </w:rPr>
        <w:tab/>
      </w:r>
      <w:r w:rsidRPr="0071782F">
        <w:rPr>
          <w:lang w:val="fr-CH"/>
        </w:rPr>
        <w:tab/>
      </w:r>
      <w:r w:rsidR="00943A69" w:rsidRPr="0071782F">
        <w:rPr>
          <w:lang w:val="fr-CH"/>
        </w:rPr>
        <w:t>Article </w:t>
      </w:r>
      <w:r w:rsidRPr="0071782F">
        <w:rPr>
          <w:lang w:val="fr-CH"/>
        </w:rPr>
        <w:t xml:space="preserve">51 </w:t>
      </w:r>
      <w:r w:rsidR="00577BC3" w:rsidRPr="0071782F">
        <w:rPr>
          <w:lang w:val="fr-CH"/>
        </w:rPr>
        <w:t xml:space="preserve">du </w:t>
      </w:r>
      <w:r w:rsidR="00236D75" w:rsidRPr="0071782F">
        <w:rPr>
          <w:lang w:val="fr-CH"/>
        </w:rPr>
        <w:t>troisièm</w:t>
      </w:r>
      <w:r w:rsidR="00577BC3" w:rsidRPr="0071782F">
        <w:rPr>
          <w:lang w:val="fr-CH"/>
        </w:rPr>
        <w:t xml:space="preserve">e plan de développement </w:t>
      </w:r>
    </w:p>
    <w:p w:rsidR="00A54455" w:rsidRPr="0071782F" w:rsidRDefault="00A54455" w:rsidP="00236D75">
      <w:pPr>
        <w:pStyle w:val="SingleTxtG"/>
        <w:rPr>
          <w:lang w:val="fr-CH"/>
        </w:rPr>
      </w:pPr>
      <w:r w:rsidRPr="0071782F">
        <w:rPr>
          <w:lang w:val="fr-CH"/>
        </w:rPr>
        <w:t>56.</w:t>
      </w:r>
      <w:r w:rsidRPr="0071782F">
        <w:rPr>
          <w:lang w:val="fr-CH"/>
        </w:rPr>
        <w:tab/>
      </w:r>
      <w:r w:rsidR="001C1B4E" w:rsidRPr="0071782F">
        <w:rPr>
          <w:lang w:val="fr-CH"/>
        </w:rPr>
        <w:t>Afin de développer quantitativement et qualitativement les compétences techniques et professionnelles de la main-d’</w:t>
      </w:r>
      <w:r w:rsidR="00D5366B" w:rsidRPr="0071782F">
        <w:rPr>
          <w:lang w:val="fr-CH"/>
        </w:rPr>
        <w:t>œuvre</w:t>
      </w:r>
      <w:r w:rsidR="001C1B4E" w:rsidRPr="0071782F">
        <w:rPr>
          <w:lang w:val="fr-CH"/>
        </w:rPr>
        <w:t xml:space="preserve"> et de fournir différents programmes de formation professionnelle aux divers groupes, l’État est tenu d’allouer une partie des bonifications d’intérêts sur les prêts consentis aux investisseurs d</w:t>
      </w:r>
      <w:r w:rsidR="006053E7" w:rsidRPr="0071782F">
        <w:rPr>
          <w:lang w:val="fr-CH"/>
        </w:rPr>
        <w:t>u</w:t>
      </w:r>
      <w:r w:rsidR="001C1B4E" w:rsidRPr="0071782F">
        <w:rPr>
          <w:lang w:val="fr-CH"/>
        </w:rPr>
        <w:t xml:space="preserve"> secteur privé et </w:t>
      </w:r>
      <w:r w:rsidR="006053E7" w:rsidRPr="0071782F">
        <w:rPr>
          <w:lang w:val="fr-CH"/>
        </w:rPr>
        <w:t xml:space="preserve">du </w:t>
      </w:r>
      <w:r w:rsidR="000718F9" w:rsidRPr="0071782F">
        <w:rPr>
          <w:lang w:val="fr-CH"/>
        </w:rPr>
        <w:t>secteur coopérati</w:t>
      </w:r>
      <w:r w:rsidR="00236D75" w:rsidRPr="0071782F">
        <w:rPr>
          <w:lang w:val="fr-CH"/>
        </w:rPr>
        <w:t>f</w:t>
      </w:r>
      <w:r w:rsidR="001C1B4E" w:rsidRPr="0071782F">
        <w:rPr>
          <w:lang w:val="fr-CH"/>
        </w:rPr>
        <w:t xml:space="preserve"> qui créent des centres de formation technique et professionnelle</w:t>
      </w:r>
      <w:r w:rsidRPr="0071782F">
        <w:rPr>
          <w:lang w:val="fr-CH"/>
        </w:rPr>
        <w:t>.</w:t>
      </w:r>
    </w:p>
    <w:p w:rsidR="00A54455" w:rsidRPr="0071782F" w:rsidRDefault="00A54455" w:rsidP="00931821">
      <w:pPr>
        <w:pStyle w:val="H1G"/>
        <w:rPr>
          <w:lang w:val="fr-CH"/>
        </w:rPr>
      </w:pPr>
      <w:r w:rsidRPr="0071782F">
        <w:rPr>
          <w:lang w:val="fr-CH"/>
        </w:rPr>
        <w:tab/>
      </w:r>
      <w:r w:rsidRPr="0071782F">
        <w:rPr>
          <w:lang w:val="fr-CH"/>
        </w:rPr>
        <w:tab/>
      </w:r>
      <w:r w:rsidR="005C26B5" w:rsidRPr="0071782F">
        <w:rPr>
          <w:lang w:val="fr-CH"/>
        </w:rPr>
        <w:t>Straté</w:t>
      </w:r>
      <w:r w:rsidRPr="0071782F">
        <w:rPr>
          <w:lang w:val="fr-CH"/>
        </w:rPr>
        <w:t xml:space="preserve">gies </w:t>
      </w:r>
      <w:r w:rsidR="005C26B5" w:rsidRPr="0071782F">
        <w:rPr>
          <w:lang w:val="fr-CH"/>
        </w:rPr>
        <w:t>et</w:t>
      </w:r>
      <w:r w:rsidRPr="0071782F">
        <w:rPr>
          <w:lang w:val="fr-CH"/>
        </w:rPr>
        <w:t xml:space="preserve"> objecti</w:t>
      </w:r>
      <w:r w:rsidR="005C26B5" w:rsidRPr="0071782F">
        <w:rPr>
          <w:lang w:val="fr-CH"/>
        </w:rPr>
        <w:t>f</w:t>
      </w:r>
      <w:r w:rsidRPr="0071782F">
        <w:rPr>
          <w:lang w:val="fr-CH"/>
        </w:rPr>
        <w:t xml:space="preserve">s </w:t>
      </w:r>
      <w:r w:rsidR="005C26B5" w:rsidRPr="0071782F">
        <w:rPr>
          <w:lang w:val="fr-CH"/>
        </w:rPr>
        <w:t>de l’organis</w:t>
      </w:r>
      <w:r w:rsidR="00CA2688" w:rsidRPr="0071782F">
        <w:rPr>
          <w:lang w:val="fr-CH"/>
        </w:rPr>
        <w:t xml:space="preserve">me responsable </w:t>
      </w:r>
      <w:r w:rsidR="005C26B5" w:rsidRPr="0071782F">
        <w:rPr>
          <w:lang w:val="fr-CH"/>
        </w:rPr>
        <w:t xml:space="preserve">de la formation technique et professionnelle pendant la période </w:t>
      </w:r>
      <w:r w:rsidRPr="0071782F">
        <w:rPr>
          <w:lang w:val="fr-CH"/>
        </w:rPr>
        <w:t>2008</w:t>
      </w:r>
      <w:r w:rsidR="005C26B5" w:rsidRPr="0071782F">
        <w:rPr>
          <w:lang w:val="fr-CH"/>
        </w:rPr>
        <w:t>-</w:t>
      </w:r>
      <w:r w:rsidRPr="0071782F">
        <w:rPr>
          <w:lang w:val="fr-CH"/>
        </w:rPr>
        <w:t>2009</w:t>
      </w:r>
    </w:p>
    <w:p w:rsidR="00A54455" w:rsidRPr="0071782F" w:rsidRDefault="00A54455" w:rsidP="00A54455">
      <w:pPr>
        <w:pStyle w:val="SingleTxtG"/>
        <w:rPr>
          <w:lang w:val="fr-CH"/>
        </w:rPr>
      </w:pPr>
      <w:r w:rsidRPr="0071782F">
        <w:rPr>
          <w:lang w:val="fr-CH"/>
        </w:rPr>
        <w:t>57.</w:t>
      </w:r>
      <w:r w:rsidRPr="0071782F">
        <w:rPr>
          <w:lang w:val="fr-CH"/>
        </w:rPr>
        <w:tab/>
      </w:r>
      <w:r w:rsidR="008F3C52" w:rsidRPr="0071782F">
        <w:rPr>
          <w:lang w:val="fr-CH"/>
        </w:rPr>
        <w:t xml:space="preserve">Étant donné que les politiques nationales de l’emploi reposent sur le développement d’une formation spécialisée pour les travailleurs, les étudiants et les diplômés, et la population rurale, </w:t>
      </w:r>
      <w:r w:rsidR="006318EA" w:rsidRPr="0071782F">
        <w:rPr>
          <w:lang w:val="fr-CH"/>
        </w:rPr>
        <w:t xml:space="preserve">les politiques relatives à </w:t>
      </w:r>
      <w:r w:rsidR="008F3C52" w:rsidRPr="0071782F">
        <w:rPr>
          <w:lang w:val="fr-CH"/>
        </w:rPr>
        <w:t xml:space="preserve">l’organisation de la formation technique et professionnelle pour la période </w:t>
      </w:r>
      <w:r w:rsidRPr="0071782F">
        <w:rPr>
          <w:lang w:val="fr-CH"/>
        </w:rPr>
        <w:t>2008</w:t>
      </w:r>
      <w:r w:rsidR="008F3C52" w:rsidRPr="0071782F">
        <w:rPr>
          <w:lang w:val="fr-CH"/>
        </w:rPr>
        <w:t>-</w:t>
      </w:r>
      <w:r w:rsidRPr="0071782F">
        <w:rPr>
          <w:lang w:val="fr-CH"/>
        </w:rPr>
        <w:t xml:space="preserve">2009 </w:t>
      </w:r>
      <w:r w:rsidR="006318EA" w:rsidRPr="0071782F">
        <w:rPr>
          <w:lang w:val="fr-CH"/>
        </w:rPr>
        <w:t xml:space="preserve">ont </w:t>
      </w:r>
      <w:r w:rsidR="008F3C52" w:rsidRPr="0071782F">
        <w:rPr>
          <w:lang w:val="fr-CH"/>
        </w:rPr>
        <w:t>été axée</w:t>
      </w:r>
      <w:r w:rsidR="006318EA" w:rsidRPr="0071782F">
        <w:rPr>
          <w:lang w:val="fr-CH"/>
        </w:rPr>
        <w:t>s</w:t>
      </w:r>
      <w:r w:rsidR="008F3C52" w:rsidRPr="0071782F">
        <w:rPr>
          <w:lang w:val="fr-CH"/>
        </w:rPr>
        <w:t xml:space="preserve"> sur la réalisation des objectifs correspondants</w:t>
      </w:r>
      <w:r w:rsidRPr="0071782F">
        <w:rPr>
          <w:lang w:val="fr-CH"/>
        </w:rPr>
        <w:t xml:space="preserve">. </w:t>
      </w:r>
      <w:r w:rsidR="008F3C52" w:rsidRPr="0071782F">
        <w:rPr>
          <w:lang w:val="fr-CH"/>
        </w:rPr>
        <w:t xml:space="preserve">Les activités les plus </w:t>
      </w:r>
      <w:r w:rsidRPr="0071782F">
        <w:rPr>
          <w:lang w:val="fr-CH"/>
        </w:rPr>
        <w:t>important</w:t>
      </w:r>
      <w:r w:rsidR="008F3C52" w:rsidRPr="0071782F">
        <w:rPr>
          <w:lang w:val="fr-CH"/>
        </w:rPr>
        <w:t xml:space="preserve">es menées en </w:t>
      </w:r>
      <w:r w:rsidRPr="0071782F">
        <w:rPr>
          <w:lang w:val="fr-CH"/>
        </w:rPr>
        <w:t xml:space="preserve">2008 </w:t>
      </w:r>
      <w:r w:rsidR="008F3C52" w:rsidRPr="0071782F">
        <w:rPr>
          <w:lang w:val="fr-CH"/>
        </w:rPr>
        <w:t xml:space="preserve">et prévues pour </w:t>
      </w:r>
      <w:r w:rsidRPr="0071782F">
        <w:rPr>
          <w:lang w:val="fr-CH"/>
        </w:rPr>
        <w:t xml:space="preserve">2009 </w:t>
      </w:r>
      <w:r w:rsidR="008F3C52" w:rsidRPr="0071782F">
        <w:rPr>
          <w:lang w:val="fr-CH"/>
        </w:rPr>
        <w:t>se sont appuyées sur trois stratégies</w:t>
      </w:r>
      <w:r w:rsidR="008F7D33" w:rsidRPr="0071782F">
        <w:rPr>
          <w:lang w:val="fr-CH"/>
        </w:rPr>
        <w:t>:</w:t>
      </w:r>
      <w:r w:rsidR="008F3C52" w:rsidRPr="0071782F">
        <w:rPr>
          <w:lang w:val="fr-CH"/>
        </w:rPr>
        <w:t xml:space="preserve"> priorité à la demande, externalisation et amélioration de la productivité</w:t>
      </w:r>
      <w:r w:rsidRPr="0071782F">
        <w:rPr>
          <w:lang w:val="fr-CH"/>
        </w:rPr>
        <w:t xml:space="preserve">. </w:t>
      </w:r>
      <w:r w:rsidR="008F3C52" w:rsidRPr="0071782F">
        <w:rPr>
          <w:lang w:val="fr-CH"/>
        </w:rPr>
        <w:t>Ces activités sont notamment les suivantes</w:t>
      </w:r>
      <w:r w:rsidR="008F7D33" w:rsidRPr="0071782F">
        <w:rPr>
          <w:lang w:val="fr-CH"/>
        </w:rPr>
        <w:t>:</w:t>
      </w:r>
    </w:p>
    <w:p w:rsidR="00A54455" w:rsidRPr="0071782F" w:rsidRDefault="00A54455" w:rsidP="00931821">
      <w:pPr>
        <w:pStyle w:val="SingleTxtG"/>
        <w:ind w:left="1701"/>
        <w:rPr>
          <w:lang w:val="fr-CH"/>
        </w:rPr>
      </w:pPr>
      <w:r w:rsidRPr="0071782F">
        <w:rPr>
          <w:lang w:val="fr-CH"/>
        </w:rPr>
        <w:t>57.1.</w:t>
      </w:r>
      <w:r w:rsidRPr="0071782F">
        <w:rPr>
          <w:lang w:val="fr-CH"/>
        </w:rPr>
        <w:tab/>
      </w:r>
      <w:r w:rsidR="008F3C52" w:rsidRPr="0071782F">
        <w:rPr>
          <w:lang w:val="fr-CH"/>
        </w:rPr>
        <w:t>Améliorer l’efficacité de l’éducation</w:t>
      </w:r>
      <w:r w:rsidR="00B65050" w:rsidRPr="0071782F">
        <w:rPr>
          <w:lang w:val="fr-CH"/>
        </w:rPr>
        <w:t>.</w:t>
      </w:r>
      <w:r w:rsidRPr="0071782F">
        <w:rPr>
          <w:lang w:val="fr-CH"/>
        </w:rPr>
        <w:t xml:space="preserve"> </w:t>
      </w:r>
    </w:p>
    <w:p w:rsidR="00A54455" w:rsidRPr="0071782F" w:rsidRDefault="00A54455" w:rsidP="00931821">
      <w:pPr>
        <w:pStyle w:val="SingleTxtG"/>
        <w:ind w:left="1701"/>
        <w:rPr>
          <w:lang w:val="fr-CH"/>
        </w:rPr>
      </w:pPr>
      <w:r w:rsidRPr="0071782F">
        <w:rPr>
          <w:lang w:val="fr-CH"/>
        </w:rPr>
        <w:t>57.2.</w:t>
      </w:r>
      <w:r w:rsidRPr="0071782F">
        <w:rPr>
          <w:lang w:val="fr-CH"/>
        </w:rPr>
        <w:tab/>
      </w:r>
      <w:r w:rsidR="008F3C52" w:rsidRPr="0071782F">
        <w:rPr>
          <w:lang w:val="fr-CH"/>
        </w:rPr>
        <w:t>Séparer évaluation et enseignement</w:t>
      </w:r>
      <w:r w:rsidR="00B65050" w:rsidRPr="0071782F">
        <w:rPr>
          <w:lang w:val="fr-CH"/>
        </w:rPr>
        <w:t>.</w:t>
      </w:r>
      <w:r w:rsidRPr="0071782F">
        <w:rPr>
          <w:lang w:val="fr-CH"/>
        </w:rPr>
        <w:t xml:space="preserve"> </w:t>
      </w:r>
    </w:p>
    <w:p w:rsidR="00A54455" w:rsidRPr="0071782F" w:rsidRDefault="00A54455" w:rsidP="00931821">
      <w:pPr>
        <w:pStyle w:val="SingleTxtG"/>
        <w:ind w:left="1701"/>
        <w:rPr>
          <w:lang w:val="fr-CH"/>
        </w:rPr>
      </w:pPr>
      <w:r w:rsidRPr="0071782F">
        <w:rPr>
          <w:lang w:val="fr-CH"/>
        </w:rPr>
        <w:t>57.3.</w:t>
      </w:r>
      <w:r w:rsidRPr="0071782F">
        <w:rPr>
          <w:lang w:val="fr-CH"/>
        </w:rPr>
        <w:tab/>
      </w:r>
      <w:r w:rsidR="008F3C52" w:rsidRPr="0071782F">
        <w:rPr>
          <w:lang w:val="fr-CH"/>
        </w:rPr>
        <w:t>Développe</w:t>
      </w:r>
      <w:r w:rsidR="006053E7" w:rsidRPr="0071782F">
        <w:rPr>
          <w:lang w:val="fr-CH"/>
        </w:rPr>
        <w:t xml:space="preserve">r </w:t>
      </w:r>
      <w:r w:rsidR="008F3C52" w:rsidRPr="0071782F">
        <w:rPr>
          <w:lang w:val="fr-CH"/>
        </w:rPr>
        <w:t xml:space="preserve">la formation professionnelle et </w:t>
      </w:r>
      <w:r w:rsidR="006053E7" w:rsidRPr="0071782F">
        <w:rPr>
          <w:lang w:val="fr-CH"/>
        </w:rPr>
        <w:t>l</w:t>
      </w:r>
      <w:r w:rsidR="008F3C52" w:rsidRPr="0071782F">
        <w:rPr>
          <w:lang w:val="fr-CH"/>
        </w:rPr>
        <w:t>es activités entrepreneuriales</w:t>
      </w:r>
      <w:r w:rsidR="00B65050" w:rsidRPr="0071782F">
        <w:rPr>
          <w:lang w:val="fr-CH"/>
        </w:rPr>
        <w:t>.</w:t>
      </w:r>
      <w:r w:rsidRPr="0071782F">
        <w:rPr>
          <w:lang w:val="fr-CH"/>
        </w:rPr>
        <w:t xml:space="preserve"> </w:t>
      </w:r>
    </w:p>
    <w:p w:rsidR="00A54455" w:rsidRPr="0071782F" w:rsidRDefault="00A54455" w:rsidP="00931821">
      <w:pPr>
        <w:pStyle w:val="SingleTxtG"/>
        <w:ind w:left="1701"/>
        <w:rPr>
          <w:lang w:val="fr-CH"/>
        </w:rPr>
      </w:pPr>
      <w:r w:rsidRPr="0071782F">
        <w:rPr>
          <w:lang w:val="fr-CH"/>
        </w:rPr>
        <w:t>57.4.</w:t>
      </w:r>
      <w:r w:rsidRPr="0071782F">
        <w:rPr>
          <w:lang w:val="fr-CH"/>
        </w:rPr>
        <w:tab/>
      </w:r>
      <w:r w:rsidR="006053E7" w:rsidRPr="0071782F">
        <w:rPr>
          <w:lang w:val="fr-CH"/>
        </w:rPr>
        <w:t xml:space="preserve">Mettre </w:t>
      </w:r>
      <w:r w:rsidR="008F3C52" w:rsidRPr="0071782F">
        <w:rPr>
          <w:lang w:val="fr-CH"/>
        </w:rPr>
        <w:t>en place de</w:t>
      </w:r>
      <w:r w:rsidR="006053E7" w:rsidRPr="0071782F">
        <w:rPr>
          <w:lang w:val="fr-CH"/>
        </w:rPr>
        <w:t>s</w:t>
      </w:r>
      <w:r w:rsidR="008F3C52" w:rsidRPr="0071782F">
        <w:rPr>
          <w:lang w:val="fr-CH"/>
        </w:rPr>
        <w:t xml:space="preserve"> programmes de recherche</w:t>
      </w:r>
      <w:r w:rsidR="00B65050" w:rsidRPr="0071782F">
        <w:rPr>
          <w:lang w:val="fr-CH"/>
        </w:rPr>
        <w:t>.</w:t>
      </w:r>
      <w:r w:rsidRPr="0071782F">
        <w:rPr>
          <w:lang w:val="fr-CH"/>
        </w:rPr>
        <w:t xml:space="preserve"> </w:t>
      </w:r>
    </w:p>
    <w:p w:rsidR="00A54455" w:rsidRPr="0071782F" w:rsidRDefault="00A54455" w:rsidP="00931821">
      <w:pPr>
        <w:pStyle w:val="SingleTxtG"/>
        <w:ind w:left="1701"/>
        <w:rPr>
          <w:lang w:val="fr-CH"/>
        </w:rPr>
      </w:pPr>
      <w:r w:rsidRPr="0071782F">
        <w:rPr>
          <w:lang w:val="fr-CH"/>
        </w:rPr>
        <w:t>57.5.</w:t>
      </w:r>
      <w:r w:rsidRPr="0071782F">
        <w:rPr>
          <w:lang w:val="fr-CH"/>
        </w:rPr>
        <w:tab/>
        <w:t>D</w:t>
      </w:r>
      <w:r w:rsidR="008F3C52" w:rsidRPr="0071782F">
        <w:rPr>
          <w:lang w:val="fr-CH"/>
        </w:rPr>
        <w:t>évelopper et dynamiser le secteur non gouvernemental</w:t>
      </w:r>
      <w:r w:rsidR="00B65050" w:rsidRPr="0071782F">
        <w:rPr>
          <w:lang w:val="fr-CH"/>
        </w:rPr>
        <w:t>.</w:t>
      </w:r>
      <w:r w:rsidRPr="0071782F">
        <w:rPr>
          <w:lang w:val="fr-CH"/>
        </w:rPr>
        <w:t xml:space="preserve"> </w:t>
      </w:r>
    </w:p>
    <w:p w:rsidR="00A54455" w:rsidRPr="0071782F" w:rsidRDefault="00A54455" w:rsidP="00931821">
      <w:pPr>
        <w:pStyle w:val="SingleTxtG"/>
        <w:ind w:left="1701"/>
        <w:rPr>
          <w:lang w:val="fr-CH"/>
        </w:rPr>
      </w:pPr>
      <w:r w:rsidRPr="0071782F">
        <w:rPr>
          <w:lang w:val="fr-CH"/>
        </w:rPr>
        <w:t>57.6.</w:t>
      </w:r>
      <w:r w:rsidRPr="0071782F">
        <w:rPr>
          <w:lang w:val="fr-CH"/>
        </w:rPr>
        <w:tab/>
      </w:r>
      <w:r w:rsidR="008F3C52" w:rsidRPr="0071782F">
        <w:rPr>
          <w:lang w:val="fr-CH"/>
        </w:rPr>
        <w:t>Transférer la gestion des entreprises et centres publics au secteur privé.</w:t>
      </w:r>
      <w:r w:rsidRPr="0071782F">
        <w:rPr>
          <w:lang w:val="fr-CH"/>
        </w:rPr>
        <w:t xml:space="preserve"> </w:t>
      </w:r>
    </w:p>
    <w:p w:rsidR="00A54455" w:rsidRPr="0071782F" w:rsidRDefault="00A54455" w:rsidP="00931821">
      <w:pPr>
        <w:pStyle w:val="SingleTxtG"/>
        <w:ind w:left="1701"/>
        <w:rPr>
          <w:lang w:val="fr-CH"/>
        </w:rPr>
      </w:pPr>
      <w:r w:rsidRPr="0071782F">
        <w:rPr>
          <w:lang w:val="fr-CH"/>
        </w:rPr>
        <w:t>57.7.</w:t>
      </w:r>
      <w:r w:rsidRPr="0071782F">
        <w:rPr>
          <w:lang w:val="fr-CH"/>
        </w:rPr>
        <w:tab/>
      </w:r>
      <w:r w:rsidR="008F3C52" w:rsidRPr="0071782F">
        <w:rPr>
          <w:lang w:val="fr-CH"/>
        </w:rPr>
        <w:t>Faire dispenser des services d’éducation par le secteur non gouvernemental.</w:t>
      </w:r>
      <w:r w:rsidRPr="0071782F">
        <w:rPr>
          <w:lang w:val="fr-CH"/>
        </w:rPr>
        <w:t xml:space="preserve"> </w:t>
      </w:r>
    </w:p>
    <w:p w:rsidR="00A54455" w:rsidRPr="0071782F" w:rsidRDefault="00A54455" w:rsidP="00931821">
      <w:pPr>
        <w:pStyle w:val="SingleTxtG"/>
        <w:ind w:left="1701"/>
        <w:rPr>
          <w:lang w:val="fr-CH"/>
        </w:rPr>
      </w:pPr>
      <w:r w:rsidRPr="0071782F">
        <w:rPr>
          <w:lang w:val="fr-CH"/>
        </w:rPr>
        <w:t>57.8.</w:t>
      </w:r>
      <w:r w:rsidRPr="0071782F">
        <w:rPr>
          <w:lang w:val="fr-CH"/>
        </w:rPr>
        <w:tab/>
      </w:r>
      <w:r w:rsidR="008F3C52" w:rsidRPr="0071782F">
        <w:rPr>
          <w:lang w:val="fr-CH"/>
        </w:rPr>
        <w:t>Mettre en valeur les ressources humaines</w:t>
      </w:r>
      <w:r w:rsidR="00B65050" w:rsidRPr="0071782F">
        <w:rPr>
          <w:lang w:val="fr-CH"/>
        </w:rPr>
        <w:t>.</w:t>
      </w:r>
      <w:r w:rsidRPr="0071782F">
        <w:rPr>
          <w:lang w:val="fr-CH"/>
        </w:rPr>
        <w:t xml:space="preserve"> </w:t>
      </w:r>
    </w:p>
    <w:p w:rsidR="00A54455" w:rsidRPr="0071782F" w:rsidRDefault="00A54455" w:rsidP="00931821">
      <w:pPr>
        <w:pStyle w:val="SingleTxtG"/>
        <w:ind w:left="1701"/>
        <w:rPr>
          <w:lang w:val="fr-CH"/>
        </w:rPr>
      </w:pPr>
      <w:r w:rsidRPr="0071782F">
        <w:rPr>
          <w:lang w:val="fr-CH"/>
        </w:rPr>
        <w:t>57.9.</w:t>
      </w:r>
      <w:r w:rsidRPr="0071782F">
        <w:rPr>
          <w:lang w:val="fr-CH"/>
        </w:rPr>
        <w:tab/>
        <w:t>Promo</w:t>
      </w:r>
      <w:r w:rsidR="008F3C52" w:rsidRPr="0071782F">
        <w:rPr>
          <w:lang w:val="fr-CH"/>
        </w:rPr>
        <w:t xml:space="preserve">uvoir des programmes </w:t>
      </w:r>
      <w:r w:rsidRPr="0071782F">
        <w:rPr>
          <w:lang w:val="fr-CH"/>
        </w:rPr>
        <w:t>cultur</w:t>
      </w:r>
      <w:r w:rsidR="008F3C52" w:rsidRPr="0071782F">
        <w:rPr>
          <w:lang w:val="fr-CH"/>
        </w:rPr>
        <w:t>els et des activités de relations publiques</w:t>
      </w:r>
      <w:r w:rsidR="00B65050" w:rsidRPr="0071782F">
        <w:rPr>
          <w:lang w:val="fr-CH"/>
        </w:rPr>
        <w:t>.</w:t>
      </w:r>
    </w:p>
    <w:p w:rsidR="00A54455" w:rsidRPr="0071782F" w:rsidRDefault="00A54455" w:rsidP="00931821">
      <w:pPr>
        <w:pStyle w:val="SingleTxtG"/>
        <w:ind w:left="1701"/>
        <w:rPr>
          <w:lang w:val="fr-CH"/>
        </w:rPr>
      </w:pPr>
      <w:r w:rsidRPr="0071782F">
        <w:rPr>
          <w:lang w:val="fr-CH"/>
        </w:rPr>
        <w:t>57.10.</w:t>
      </w:r>
      <w:r w:rsidRPr="0071782F">
        <w:rPr>
          <w:lang w:val="fr-CH"/>
        </w:rPr>
        <w:tab/>
      </w:r>
      <w:r w:rsidR="006318EA" w:rsidRPr="0071782F">
        <w:rPr>
          <w:lang w:val="fr-CH"/>
        </w:rPr>
        <w:t xml:space="preserve">Établir l’ordre de priorité des programmes d’éducation en fonction des politiques </w:t>
      </w:r>
      <w:r w:rsidR="00CA2688" w:rsidRPr="0071782F">
        <w:rPr>
          <w:lang w:val="fr-CH"/>
        </w:rPr>
        <w:t>de</w:t>
      </w:r>
      <w:r w:rsidR="006318EA" w:rsidRPr="0071782F">
        <w:rPr>
          <w:lang w:val="fr-CH"/>
        </w:rPr>
        <w:t xml:space="preserve"> l’organis</w:t>
      </w:r>
      <w:r w:rsidR="00CA2688" w:rsidRPr="0071782F">
        <w:rPr>
          <w:lang w:val="fr-CH"/>
        </w:rPr>
        <w:t xml:space="preserve">me responsable </w:t>
      </w:r>
      <w:r w:rsidR="006318EA" w:rsidRPr="0071782F">
        <w:rPr>
          <w:lang w:val="fr-CH"/>
        </w:rPr>
        <w:t>de la formation</w:t>
      </w:r>
      <w:r w:rsidRPr="0071782F">
        <w:rPr>
          <w:lang w:val="fr-CH"/>
        </w:rPr>
        <w:t>.</w:t>
      </w:r>
    </w:p>
    <w:p w:rsidR="00A54455" w:rsidRPr="0071782F" w:rsidRDefault="00A54455" w:rsidP="00931821">
      <w:pPr>
        <w:pStyle w:val="H1G"/>
        <w:rPr>
          <w:lang w:val="fr-CH"/>
        </w:rPr>
      </w:pPr>
      <w:r w:rsidRPr="0071782F">
        <w:rPr>
          <w:lang w:val="fr-CH"/>
        </w:rPr>
        <w:tab/>
      </w:r>
      <w:r w:rsidRPr="0071782F">
        <w:rPr>
          <w:lang w:val="fr-CH"/>
        </w:rPr>
        <w:tab/>
      </w:r>
      <w:r w:rsidR="006318EA" w:rsidRPr="0071782F">
        <w:rPr>
          <w:lang w:val="fr-CH"/>
        </w:rPr>
        <w:t>Bilan de la formation technique et professionnelle</w:t>
      </w:r>
      <w:r w:rsidRPr="0071782F">
        <w:rPr>
          <w:lang w:val="fr-CH"/>
        </w:rPr>
        <w:t xml:space="preserve"> </w:t>
      </w:r>
    </w:p>
    <w:p w:rsidR="00A54455" w:rsidRPr="0071782F" w:rsidRDefault="00A54455" w:rsidP="00931821">
      <w:pPr>
        <w:pStyle w:val="H23G"/>
        <w:rPr>
          <w:lang w:val="fr-CH"/>
        </w:rPr>
      </w:pPr>
      <w:r w:rsidRPr="0071782F">
        <w:rPr>
          <w:lang w:val="fr-CH"/>
        </w:rPr>
        <w:tab/>
      </w:r>
      <w:r w:rsidRPr="0071782F">
        <w:rPr>
          <w:lang w:val="fr-CH"/>
        </w:rPr>
        <w:tab/>
      </w:r>
      <w:r w:rsidR="006318EA" w:rsidRPr="0071782F">
        <w:rPr>
          <w:lang w:val="fr-CH"/>
        </w:rPr>
        <w:t xml:space="preserve">Bilan juridique </w:t>
      </w:r>
    </w:p>
    <w:p w:rsidR="00A54455" w:rsidRPr="0071782F" w:rsidRDefault="00A54455" w:rsidP="00A54455">
      <w:pPr>
        <w:pStyle w:val="SingleTxtG"/>
        <w:rPr>
          <w:lang w:val="fr-CH"/>
        </w:rPr>
      </w:pPr>
      <w:r w:rsidRPr="0071782F">
        <w:rPr>
          <w:lang w:val="fr-CH"/>
        </w:rPr>
        <w:t>58.</w:t>
      </w:r>
      <w:r w:rsidRPr="0071782F">
        <w:rPr>
          <w:lang w:val="fr-CH"/>
        </w:rPr>
        <w:tab/>
        <w:t>Appro</w:t>
      </w:r>
      <w:r w:rsidR="006318EA" w:rsidRPr="0071782F">
        <w:rPr>
          <w:lang w:val="fr-CH"/>
        </w:rPr>
        <w:t>bation et présentation pour application du cadre de collecte et d’élaboration de statistiques relatives à la formation technique, professionnelle, spécialisée et appliquée des fonctionnaires</w:t>
      </w:r>
      <w:r w:rsidRPr="0071782F">
        <w:rPr>
          <w:lang w:val="fr-CH"/>
        </w:rPr>
        <w:t>.</w:t>
      </w:r>
    </w:p>
    <w:p w:rsidR="00A54455" w:rsidRPr="0071782F" w:rsidRDefault="006318EA" w:rsidP="00931821">
      <w:pPr>
        <w:pStyle w:val="SingleTxtG"/>
        <w:ind w:left="1701"/>
        <w:rPr>
          <w:lang w:val="fr-CH"/>
        </w:rPr>
      </w:pPr>
      <w:r w:rsidRPr="0071782F">
        <w:rPr>
          <w:lang w:val="fr-CH"/>
        </w:rPr>
        <w:t>58.1.</w:t>
      </w:r>
      <w:r w:rsidRPr="0071782F">
        <w:rPr>
          <w:lang w:val="fr-CH"/>
        </w:rPr>
        <w:tab/>
        <w:t>E</w:t>
      </w:r>
      <w:r w:rsidR="00A54455" w:rsidRPr="0071782F">
        <w:rPr>
          <w:lang w:val="fr-CH"/>
        </w:rPr>
        <w:t xml:space="preserve">n 2006, </w:t>
      </w:r>
      <w:r w:rsidRPr="0071782F">
        <w:rPr>
          <w:lang w:val="fr-CH"/>
        </w:rPr>
        <w:t xml:space="preserve">conformément au système de budgétisation axée sur les résultats, le programme de formation de courte durée des fonctionnaires, qui avait été inclus dans la loi relative au budget général de 2005 dans un souci de transparence des crédits et activités liés à la formation des fonctionnaires, a été supprimé; il a été décidé d’inclure les activités liées à la formation des fonctionnaires dans les programmes </w:t>
      </w:r>
      <w:r w:rsidR="00E87174" w:rsidRPr="0071782F">
        <w:rPr>
          <w:lang w:val="fr-CH"/>
        </w:rPr>
        <w:t>d’</w:t>
      </w:r>
      <w:r w:rsidR="00A54455" w:rsidRPr="0071782F">
        <w:rPr>
          <w:lang w:val="fr-CH"/>
        </w:rPr>
        <w:t>ex</w:t>
      </w:r>
      <w:r w:rsidRPr="0071782F">
        <w:rPr>
          <w:lang w:val="fr-CH"/>
        </w:rPr>
        <w:t>écuti</w:t>
      </w:r>
      <w:r w:rsidR="00E87174" w:rsidRPr="0071782F">
        <w:rPr>
          <w:lang w:val="fr-CH"/>
        </w:rPr>
        <w:t>on</w:t>
      </w:r>
      <w:r w:rsidRPr="0071782F">
        <w:rPr>
          <w:lang w:val="fr-CH"/>
        </w:rPr>
        <w:t xml:space="preserve"> concernés</w:t>
      </w:r>
      <w:r w:rsidR="00A54455" w:rsidRPr="0071782F">
        <w:rPr>
          <w:lang w:val="fr-CH"/>
        </w:rPr>
        <w:t xml:space="preserve">. </w:t>
      </w:r>
    </w:p>
    <w:p w:rsidR="00A54455" w:rsidRPr="0071782F" w:rsidRDefault="00A54455" w:rsidP="00931821">
      <w:pPr>
        <w:pStyle w:val="SingleTxtG"/>
        <w:ind w:left="1701"/>
        <w:rPr>
          <w:lang w:val="fr-CH"/>
        </w:rPr>
      </w:pPr>
      <w:r w:rsidRPr="0071782F">
        <w:rPr>
          <w:lang w:val="fr-CH"/>
        </w:rPr>
        <w:t>58.2.</w:t>
      </w:r>
      <w:r w:rsidRPr="0071782F">
        <w:rPr>
          <w:lang w:val="fr-CH"/>
        </w:rPr>
        <w:tab/>
      </w:r>
      <w:r w:rsidR="00CA2688" w:rsidRPr="0071782F">
        <w:rPr>
          <w:lang w:val="fr-CH"/>
        </w:rPr>
        <w:t>Afin de définir des critères et d’élaborer un système d’évaluation des compétences de la main-d’</w:t>
      </w:r>
      <w:r w:rsidR="00D5366B" w:rsidRPr="0071782F">
        <w:rPr>
          <w:lang w:val="fr-CH"/>
        </w:rPr>
        <w:t>œuvre</w:t>
      </w:r>
      <w:r w:rsidR="00CA2688" w:rsidRPr="0071782F">
        <w:rPr>
          <w:lang w:val="fr-CH"/>
        </w:rPr>
        <w:t xml:space="preserve"> dans une perspective </w:t>
      </w:r>
      <w:r w:rsidRPr="0071782F">
        <w:rPr>
          <w:lang w:val="fr-CH"/>
        </w:rPr>
        <w:t>international</w:t>
      </w:r>
      <w:r w:rsidR="00CA2688" w:rsidRPr="0071782F">
        <w:rPr>
          <w:lang w:val="fr-CH"/>
        </w:rPr>
        <w:t xml:space="preserve">e et de réformer et </w:t>
      </w:r>
      <w:r w:rsidRPr="0071782F">
        <w:rPr>
          <w:lang w:val="fr-CH"/>
        </w:rPr>
        <w:t>moderni</w:t>
      </w:r>
      <w:r w:rsidR="00CA2688" w:rsidRPr="0071782F">
        <w:rPr>
          <w:lang w:val="fr-CH"/>
        </w:rPr>
        <w:t xml:space="preserve">ser les </w:t>
      </w:r>
      <w:r w:rsidRPr="0071782F">
        <w:rPr>
          <w:lang w:val="fr-CH"/>
        </w:rPr>
        <w:t xml:space="preserve">structures </w:t>
      </w:r>
      <w:r w:rsidR="00CA2688" w:rsidRPr="0071782F">
        <w:rPr>
          <w:lang w:val="fr-CH"/>
        </w:rPr>
        <w:t xml:space="preserve">de l’enseignement technique et professionnel et d’en améliorer la qualité, l’organisme responsable de la formation technique et professionnelle a lancé, en coopération avec la Banque mondiale, un projet conjoint intitulé </w:t>
      </w:r>
      <w:r w:rsidR="00A62149" w:rsidRPr="0071782F">
        <w:rPr>
          <w:lang w:val="fr-CH"/>
        </w:rPr>
        <w:t>"</w:t>
      </w:r>
      <w:r w:rsidRPr="0071782F">
        <w:rPr>
          <w:lang w:val="fr-CH"/>
        </w:rPr>
        <w:t>Strat</w:t>
      </w:r>
      <w:r w:rsidR="00CA2688" w:rsidRPr="0071782F">
        <w:rPr>
          <w:lang w:val="fr-CH"/>
        </w:rPr>
        <w:t>égie de développement n</w:t>
      </w:r>
      <w:r w:rsidRPr="0071782F">
        <w:rPr>
          <w:lang w:val="fr-CH"/>
        </w:rPr>
        <w:t xml:space="preserve">ational </w:t>
      </w:r>
      <w:r w:rsidR="00CA2688" w:rsidRPr="0071782F">
        <w:rPr>
          <w:lang w:val="fr-CH"/>
        </w:rPr>
        <w:t>pour la formation technique et professionnelle</w:t>
      </w:r>
      <w:r w:rsidR="00A62149" w:rsidRPr="0071782F">
        <w:rPr>
          <w:lang w:val="fr-CH"/>
        </w:rPr>
        <w:t>"</w:t>
      </w:r>
      <w:r w:rsidR="00CA2688" w:rsidRPr="0071782F">
        <w:rPr>
          <w:lang w:val="fr-CH"/>
        </w:rPr>
        <w:t>, qui vise à</w:t>
      </w:r>
      <w:r w:rsidR="00D36718">
        <w:rPr>
          <w:lang w:val="fr-CH"/>
        </w:rPr>
        <w:t xml:space="preserve"> </w:t>
      </w:r>
      <w:r w:rsidR="00CA2688" w:rsidRPr="0071782F">
        <w:rPr>
          <w:lang w:val="fr-CH"/>
        </w:rPr>
        <w:t>élaborer la stratégie du pays en matière d’éducation.</w:t>
      </w:r>
      <w:r w:rsidR="00D36718">
        <w:rPr>
          <w:lang w:val="fr-CH"/>
        </w:rPr>
        <w:t xml:space="preserve"> </w:t>
      </w:r>
    </w:p>
    <w:p w:rsidR="00A54455" w:rsidRPr="0071782F" w:rsidRDefault="00A54455" w:rsidP="00931821">
      <w:pPr>
        <w:pStyle w:val="SingleTxtG"/>
        <w:ind w:left="1701"/>
        <w:rPr>
          <w:lang w:val="fr-CH"/>
        </w:rPr>
      </w:pPr>
      <w:r w:rsidRPr="0071782F">
        <w:rPr>
          <w:lang w:val="fr-CH"/>
        </w:rPr>
        <w:t>58.3.</w:t>
      </w:r>
      <w:r w:rsidRPr="0071782F">
        <w:rPr>
          <w:lang w:val="fr-CH"/>
        </w:rPr>
        <w:tab/>
      </w:r>
      <w:r w:rsidR="00CA2688" w:rsidRPr="0071782F">
        <w:rPr>
          <w:lang w:val="fr-CH"/>
        </w:rPr>
        <w:t xml:space="preserve">Le Conseil des ministres a approuvé la </w:t>
      </w:r>
      <w:r w:rsidRPr="0071782F">
        <w:rPr>
          <w:lang w:val="fr-CH"/>
        </w:rPr>
        <w:t xml:space="preserve">directive </w:t>
      </w:r>
      <w:r w:rsidR="00CA2688" w:rsidRPr="0071782F">
        <w:rPr>
          <w:lang w:val="fr-CH"/>
        </w:rPr>
        <w:t xml:space="preserve">concernant les mesures d’incitation et les crédits à accorder aux fins de la création et du développement de centres de formation technique et professionnelle, aux termes de laquelle l’organisme responsable de cette formation est autorisé à accorder des crédits </w:t>
      </w:r>
      <w:r w:rsidR="00175962" w:rsidRPr="0071782F">
        <w:rPr>
          <w:lang w:val="fr-CH"/>
        </w:rPr>
        <w:t>aux personnes</w:t>
      </w:r>
      <w:r w:rsidR="00CA2688" w:rsidRPr="0071782F">
        <w:rPr>
          <w:lang w:val="fr-CH"/>
        </w:rPr>
        <w:t xml:space="preserve"> ou entités souhaitant créer des centres de formation de ce type dans des domaines à forte intensité de capital faisant appel à des technologies modernes</w:t>
      </w:r>
      <w:r w:rsidRPr="0071782F">
        <w:rPr>
          <w:lang w:val="fr-CH"/>
        </w:rPr>
        <w:t xml:space="preserve">. </w:t>
      </w:r>
    </w:p>
    <w:p w:rsidR="00A54455" w:rsidRPr="0071782F" w:rsidRDefault="00A54455" w:rsidP="00931821">
      <w:pPr>
        <w:pStyle w:val="H23G"/>
        <w:rPr>
          <w:lang w:val="fr-CH"/>
        </w:rPr>
      </w:pPr>
      <w:r w:rsidRPr="0071782F">
        <w:rPr>
          <w:lang w:val="fr-CH"/>
        </w:rPr>
        <w:tab/>
      </w:r>
      <w:r w:rsidRPr="0071782F">
        <w:rPr>
          <w:lang w:val="fr-CH"/>
        </w:rPr>
        <w:tab/>
      </w:r>
      <w:r w:rsidR="006318EA" w:rsidRPr="0071782F">
        <w:rPr>
          <w:lang w:val="fr-CH"/>
        </w:rPr>
        <w:t xml:space="preserve">Bilan d’exécution </w:t>
      </w:r>
    </w:p>
    <w:p w:rsidR="00A54455" w:rsidRPr="0071782F" w:rsidRDefault="00A54455" w:rsidP="00A54455">
      <w:pPr>
        <w:pStyle w:val="SingleTxtG"/>
        <w:rPr>
          <w:lang w:val="fr-CH"/>
        </w:rPr>
      </w:pPr>
      <w:r w:rsidRPr="0071782F">
        <w:rPr>
          <w:lang w:val="fr-CH"/>
        </w:rPr>
        <w:t>59.</w:t>
      </w:r>
      <w:r w:rsidRPr="0071782F">
        <w:rPr>
          <w:lang w:val="fr-CH"/>
        </w:rPr>
        <w:tab/>
      </w:r>
      <w:r w:rsidR="00097ED1" w:rsidRPr="0071782F">
        <w:rPr>
          <w:lang w:val="fr-CH"/>
        </w:rPr>
        <w:t>Afin d’utiliser au mieux les capacités éducatives existantes tout en en créant de nouvelles, l’organisme responsable de la formation technique et professionnelle a réalisé des études de productivité devant lui permettre d’analyser les capacités existantes. Il a pour la troisième fois délivré des autorisations concernant la mise en place des programmes de formation demandés.</w:t>
      </w:r>
      <w:r w:rsidR="00D36718">
        <w:rPr>
          <w:lang w:val="fr-CH"/>
        </w:rPr>
        <w:t xml:space="preserve"> </w:t>
      </w:r>
    </w:p>
    <w:p w:rsidR="00A54455" w:rsidRPr="0071782F" w:rsidRDefault="00A54455" w:rsidP="00931821">
      <w:pPr>
        <w:pStyle w:val="SingleTxtG"/>
        <w:ind w:left="1701"/>
        <w:rPr>
          <w:lang w:val="fr-CH"/>
        </w:rPr>
      </w:pPr>
      <w:r w:rsidRPr="0071782F">
        <w:rPr>
          <w:lang w:val="fr-CH"/>
        </w:rPr>
        <w:t>59.1.</w:t>
      </w:r>
      <w:r w:rsidRPr="0071782F">
        <w:rPr>
          <w:lang w:val="fr-CH"/>
        </w:rPr>
        <w:tab/>
      </w:r>
      <w:r w:rsidR="00097ED1" w:rsidRPr="0071782F">
        <w:rPr>
          <w:lang w:val="fr-CH"/>
        </w:rPr>
        <w:t xml:space="preserve">Le </w:t>
      </w:r>
      <w:r w:rsidR="00A62149" w:rsidRPr="0071782F">
        <w:rPr>
          <w:lang w:val="fr-CH"/>
        </w:rPr>
        <w:t>"</w:t>
      </w:r>
      <w:r w:rsidR="00097ED1" w:rsidRPr="0071782F">
        <w:rPr>
          <w:lang w:val="fr-CH"/>
        </w:rPr>
        <w:t xml:space="preserve">Programme </w:t>
      </w:r>
      <w:r w:rsidRPr="0071782F">
        <w:rPr>
          <w:lang w:val="fr-CH"/>
        </w:rPr>
        <w:t>Hijrat</w:t>
      </w:r>
      <w:r w:rsidR="00A62149" w:rsidRPr="0071782F">
        <w:rPr>
          <w:lang w:val="fr-CH"/>
        </w:rPr>
        <w:t>"</w:t>
      </w:r>
      <w:r w:rsidRPr="0071782F">
        <w:rPr>
          <w:lang w:val="fr-CH"/>
        </w:rPr>
        <w:t xml:space="preserve"> </w:t>
      </w:r>
      <w:r w:rsidR="00097ED1" w:rsidRPr="0071782F">
        <w:rPr>
          <w:lang w:val="fr-CH"/>
        </w:rPr>
        <w:t xml:space="preserve">est l’une des mesures les plus </w:t>
      </w:r>
      <w:r w:rsidRPr="0071782F">
        <w:rPr>
          <w:lang w:val="fr-CH"/>
        </w:rPr>
        <w:t>important</w:t>
      </w:r>
      <w:r w:rsidR="00097ED1" w:rsidRPr="0071782F">
        <w:rPr>
          <w:lang w:val="fr-CH"/>
        </w:rPr>
        <w:t xml:space="preserve">es adoptées par l’organisme responsable de la formation technique et professionnelle aux fins de l’éducation </w:t>
      </w:r>
      <w:r w:rsidR="007F37CE" w:rsidRPr="0071782F">
        <w:rPr>
          <w:lang w:val="fr-CH"/>
        </w:rPr>
        <w:t>des personnes</w:t>
      </w:r>
      <w:r w:rsidR="00097ED1" w:rsidRPr="0071782F">
        <w:rPr>
          <w:lang w:val="fr-CH"/>
        </w:rPr>
        <w:t xml:space="preserve"> vivant en milieu rural; ce programme accorde une attention particulière à la formation </w:t>
      </w:r>
      <w:r w:rsidR="007F37CE" w:rsidRPr="0071782F">
        <w:rPr>
          <w:lang w:val="fr-CH"/>
        </w:rPr>
        <w:t>des personnes</w:t>
      </w:r>
      <w:r w:rsidR="00097ED1" w:rsidRPr="0071782F">
        <w:rPr>
          <w:lang w:val="fr-CH"/>
        </w:rPr>
        <w:t xml:space="preserve"> employées dans le secteur agricole</w:t>
      </w:r>
      <w:r w:rsidRPr="0071782F">
        <w:rPr>
          <w:lang w:val="fr-CH"/>
        </w:rPr>
        <w:t xml:space="preserve">. </w:t>
      </w:r>
    </w:p>
    <w:p w:rsidR="00A54455" w:rsidRPr="0071782F" w:rsidRDefault="00A54455" w:rsidP="00931821">
      <w:pPr>
        <w:pStyle w:val="SingleTxtG"/>
        <w:ind w:left="1701"/>
        <w:rPr>
          <w:lang w:val="fr-CH"/>
        </w:rPr>
      </w:pPr>
      <w:r w:rsidRPr="0071782F">
        <w:rPr>
          <w:lang w:val="fr-CH"/>
        </w:rPr>
        <w:t>59.2.</w:t>
      </w:r>
      <w:r w:rsidRPr="0071782F">
        <w:rPr>
          <w:lang w:val="fr-CH"/>
        </w:rPr>
        <w:tab/>
      </w:r>
      <w:r w:rsidR="00234256" w:rsidRPr="0071782F">
        <w:rPr>
          <w:lang w:val="fr-CH"/>
        </w:rPr>
        <w:t>Le Ministère de l’industrie et des m</w:t>
      </w:r>
      <w:r w:rsidRPr="0071782F">
        <w:rPr>
          <w:lang w:val="fr-CH"/>
        </w:rPr>
        <w:t xml:space="preserve">ines </w:t>
      </w:r>
      <w:r w:rsidR="00234256" w:rsidRPr="0071782F">
        <w:rPr>
          <w:lang w:val="fr-CH"/>
        </w:rPr>
        <w:t xml:space="preserve">a, en </w:t>
      </w:r>
      <w:r w:rsidRPr="0071782F">
        <w:rPr>
          <w:lang w:val="fr-CH"/>
        </w:rPr>
        <w:t xml:space="preserve">coordination </w:t>
      </w:r>
      <w:r w:rsidR="00234256" w:rsidRPr="0071782F">
        <w:rPr>
          <w:lang w:val="fr-CH"/>
        </w:rPr>
        <w:t xml:space="preserve">avec l’Université </w:t>
      </w:r>
      <w:r w:rsidRPr="0071782F">
        <w:rPr>
          <w:lang w:val="fr-CH"/>
        </w:rPr>
        <w:t>Jame</w:t>
      </w:r>
      <w:r w:rsidR="00A74604" w:rsidRPr="0071782F">
        <w:rPr>
          <w:lang w:val="fr-CH"/>
        </w:rPr>
        <w:t>’</w:t>
      </w:r>
      <w:r w:rsidRPr="0071782F">
        <w:rPr>
          <w:lang w:val="fr-CH"/>
        </w:rPr>
        <w:t xml:space="preserve"> Elmi-Karbordi (</w:t>
      </w:r>
      <w:r w:rsidR="00234256" w:rsidRPr="0071782F">
        <w:rPr>
          <w:lang w:val="fr-CH"/>
        </w:rPr>
        <w:t xml:space="preserve">sciences appliquées), accru le nombre de </w:t>
      </w:r>
      <w:r w:rsidRPr="0071782F">
        <w:rPr>
          <w:lang w:val="fr-CH"/>
        </w:rPr>
        <w:t xml:space="preserve">disciplines </w:t>
      </w:r>
      <w:r w:rsidR="00234256" w:rsidRPr="0071782F">
        <w:rPr>
          <w:lang w:val="fr-CH"/>
        </w:rPr>
        <w:t>relevant des sciences appliquées dans les secteurs industriel et minier</w:t>
      </w:r>
      <w:r w:rsidRPr="0071782F">
        <w:rPr>
          <w:lang w:val="fr-CH"/>
        </w:rPr>
        <w:t xml:space="preserve">. </w:t>
      </w:r>
    </w:p>
    <w:p w:rsidR="00A54455" w:rsidRPr="0071782F" w:rsidRDefault="00A54455" w:rsidP="00931821">
      <w:pPr>
        <w:pStyle w:val="SingleTxtG"/>
        <w:ind w:left="1701"/>
        <w:rPr>
          <w:lang w:val="fr-CH"/>
        </w:rPr>
      </w:pPr>
      <w:r w:rsidRPr="0071782F">
        <w:rPr>
          <w:lang w:val="fr-CH"/>
        </w:rPr>
        <w:t>59.3.</w:t>
      </w:r>
      <w:r w:rsidRPr="0071782F">
        <w:rPr>
          <w:lang w:val="fr-CH"/>
        </w:rPr>
        <w:tab/>
      </w:r>
      <w:r w:rsidR="00226995" w:rsidRPr="0071782F">
        <w:rPr>
          <w:lang w:val="fr-CH"/>
        </w:rPr>
        <w:t>Afin de réduire l’écart existant entre les connaissances et compétences techniques de la main-d’</w:t>
      </w:r>
      <w:r w:rsidR="00D5366B" w:rsidRPr="0071782F">
        <w:rPr>
          <w:lang w:val="fr-CH"/>
        </w:rPr>
        <w:t>œuvre</w:t>
      </w:r>
      <w:r w:rsidR="00226995" w:rsidRPr="0071782F">
        <w:rPr>
          <w:lang w:val="fr-CH"/>
        </w:rPr>
        <w:t xml:space="preserve"> nationale et les normes internationales correspondantes, l’organisme responsable de la formation technique et professionnelle non seulement </w:t>
      </w:r>
      <w:r w:rsidR="00E87174" w:rsidRPr="0071782F">
        <w:rPr>
          <w:lang w:val="fr-CH"/>
        </w:rPr>
        <w:t xml:space="preserve">a </w:t>
      </w:r>
      <w:r w:rsidR="00226995" w:rsidRPr="0071782F">
        <w:rPr>
          <w:lang w:val="fr-CH"/>
        </w:rPr>
        <w:t>pris des dispositions pour que la main-d’</w:t>
      </w:r>
      <w:r w:rsidR="00D5366B" w:rsidRPr="0071782F">
        <w:rPr>
          <w:lang w:val="fr-CH"/>
        </w:rPr>
        <w:t>œuvre</w:t>
      </w:r>
      <w:r w:rsidR="00226995" w:rsidRPr="0071782F">
        <w:rPr>
          <w:lang w:val="fr-CH"/>
        </w:rPr>
        <w:t xml:space="preserve"> nationale puisse participer à des concours internationaux de compétences techniques, mais aussi </w:t>
      </w:r>
      <w:r w:rsidR="00E87174" w:rsidRPr="0071782F">
        <w:rPr>
          <w:lang w:val="fr-CH"/>
        </w:rPr>
        <w:t xml:space="preserve">a </w:t>
      </w:r>
      <w:r w:rsidR="00226995" w:rsidRPr="0071782F">
        <w:rPr>
          <w:lang w:val="fr-CH"/>
        </w:rPr>
        <w:t>créé des bureaux de coopération avec d’autres pays</w:t>
      </w:r>
      <w:r w:rsidRPr="0071782F">
        <w:rPr>
          <w:lang w:val="fr-CH"/>
        </w:rPr>
        <w:t xml:space="preserve">. </w:t>
      </w:r>
    </w:p>
    <w:p w:rsidR="00A54455" w:rsidRPr="0071782F" w:rsidRDefault="00A54455" w:rsidP="00931821">
      <w:pPr>
        <w:pStyle w:val="H23G"/>
        <w:rPr>
          <w:lang w:val="fr-CH"/>
        </w:rPr>
      </w:pPr>
      <w:r w:rsidRPr="0071782F">
        <w:rPr>
          <w:lang w:val="fr-CH"/>
        </w:rPr>
        <w:tab/>
      </w:r>
      <w:r w:rsidRPr="0071782F">
        <w:rPr>
          <w:lang w:val="fr-CH"/>
        </w:rPr>
        <w:tab/>
      </w:r>
      <w:r w:rsidR="00226995" w:rsidRPr="0071782F">
        <w:rPr>
          <w:lang w:val="fr-CH"/>
        </w:rPr>
        <w:t xml:space="preserve">Résultats des principaux indicateurs </w:t>
      </w:r>
    </w:p>
    <w:p w:rsidR="00A54455" w:rsidRPr="0071782F" w:rsidRDefault="00A54455" w:rsidP="00A54455">
      <w:pPr>
        <w:pStyle w:val="SingleTxtG"/>
        <w:rPr>
          <w:lang w:val="fr-CH"/>
        </w:rPr>
      </w:pPr>
      <w:r w:rsidRPr="0071782F">
        <w:rPr>
          <w:lang w:val="fr-CH"/>
        </w:rPr>
        <w:t>60.</w:t>
      </w:r>
      <w:r w:rsidRPr="0071782F">
        <w:rPr>
          <w:lang w:val="fr-CH"/>
        </w:rPr>
        <w:tab/>
      </w:r>
      <w:r w:rsidR="006F32D1" w:rsidRPr="0071782F">
        <w:rPr>
          <w:lang w:val="fr-CH"/>
        </w:rPr>
        <w:t>Formation technique et professionnelle informelle</w:t>
      </w:r>
      <w:r w:rsidR="008F7D33" w:rsidRPr="0071782F">
        <w:rPr>
          <w:lang w:val="fr-CH"/>
        </w:rPr>
        <w:t>:</w:t>
      </w:r>
      <w:r w:rsidR="006F32D1" w:rsidRPr="0071782F">
        <w:rPr>
          <w:lang w:val="fr-CH"/>
        </w:rPr>
        <w:t xml:space="preserve"> l’objectif du programme était de 1 </w:t>
      </w:r>
      <w:r w:rsidRPr="0071782F">
        <w:rPr>
          <w:lang w:val="fr-CH"/>
        </w:rPr>
        <w:t>230</w:t>
      </w:r>
      <w:r w:rsidR="00C165FB">
        <w:rPr>
          <w:lang w:val="fr-CH"/>
        </w:rPr>
        <w:t> </w:t>
      </w:r>
      <w:r w:rsidRPr="0071782F">
        <w:rPr>
          <w:lang w:val="fr-CH"/>
        </w:rPr>
        <w:t>000</w:t>
      </w:r>
      <w:r w:rsidR="00BF435F" w:rsidRPr="0071782F">
        <w:rPr>
          <w:lang w:val="fr-CH"/>
        </w:rPr>
        <w:t> heures</w:t>
      </w:r>
      <w:r w:rsidR="006F32D1" w:rsidRPr="0071782F">
        <w:rPr>
          <w:lang w:val="fr-CH"/>
        </w:rPr>
        <w:t>-homme de formation;</w:t>
      </w:r>
      <w:r w:rsidRPr="0071782F">
        <w:rPr>
          <w:lang w:val="fr-CH"/>
        </w:rPr>
        <w:t xml:space="preserve"> </w:t>
      </w:r>
      <w:r w:rsidR="006F32D1" w:rsidRPr="0071782F">
        <w:rPr>
          <w:lang w:val="fr-CH"/>
        </w:rPr>
        <w:t>990</w:t>
      </w:r>
      <w:r w:rsidR="00C165FB">
        <w:rPr>
          <w:lang w:val="fr-CH"/>
        </w:rPr>
        <w:t> </w:t>
      </w:r>
      <w:r w:rsidRPr="0071782F">
        <w:rPr>
          <w:lang w:val="fr-CH"/>
        </w:rPr>
        <w:t>717</w:t>
      </w:r>
      <w:r w:rsidR="00BF435F" w:rsidRPr="0071782F">
        <w:rPr>
          <w:lang w:val="fr-CH"/>
        </w:rPr>
        <w:t> heures</w:t>
      </w:r>
      <w:r w:rsidR="006F32D1" w:rsidRPr="0071782F">
        <w:rPr>
          <w:lang w:val="fr-CH"/>
        </w:rPr>
        <w:t xml:space="preserve">-homme ayant été réalisées, cet objectif a été atteint à </w:t>
      </w:r>
      <w:r w:rsidRPr="0071782F">
        <w:rPr>
          <w:lang w:val="fr-CH"/>
        </w:rPr>
        <w:t>80</w:t>
      </w:r>
      <w:r w:rsidR="006F32D1" w:rsidRPr="0071782F">
        <w:rPr>
          <w:lang w:val="fr-CH"/>
        </w:rPr>
        <w:t>,</w:t>
      </w:r>
      <w:r w:rsidRPr="0071782F">
        <w:rPr>
          <w:lang w:val="fr-CH"/>
        </w:rPr>
        <w:t>5</w:t>
      </w:r>
      <w:r w:rsidR="007E5125" w:rsidRPr="0071782F">
        <w:rPr>
          <w:lang w:val="fr-CH"/>
        </w:rPr>
        <w:t>%</w:t>
      </w:r>
      <w:r w:rsidR="006F32D1" w:rsidRPr="0071782F">
        <w:rPr>
          <w:lang w:val="fr-CH"/>
        </w:rPr>
        <w:t xml:space="preserve">, ce qui représente une progression de </w:t>
      </w:r>
      <w:r w:rsidRPr="0071782F">
        <w:rPr>
          <w:lang w:val="fr-CH"/>
        </w:rPr>
        <w:t>21</w:t>
      </w:r>
      <w:r w:rsidR="007E5125" w:rsidRPr="0071782F">
        <w:rPr>
          <w:lang w:val="fr-CH"/>
        </w:rPr>
        <w:t>%</w:t>
      </w:r>
      <w:r w:rsidRPr="0071782F">
        <w:rPr>
          <w:lang w:val="fr-CH"/>
        </w:rPr>
        <w:t xml:space="preserve"> </w:t>
      </w:r>
      <w:r w:rsidR="006F32D1" w:rsidRPr="0071782F">
        <w:rPr>
          <w:lang w:val="fr-CH"/>
        </w:rPr>
        <w:t xml:space="preserve">par rapport à </w:t>
      </w:r>
      <w:r w:rsidRPr="0071782F">
        <w:rPr>
          <w:lang w:val="fr-CH"/>
        </w:rPr>
        <w:t xml:space="preserve">2005. </w:t>
      </w:r>
    </w:p>
    <w:p w:rsidR="00A54455" w:rsidRPr="0071782F" w:rsidRDefault="00A54455" w:rsidP="00931821">
      <w:pPr>
        <w:pStyle w:val="SingleTxtG"/>
        <w:ind w:left="1701"/>
        <w:rPr>
          <w:lang w:val="fr-CH"/>
        </w:rPr>
      </w:pPr>
      <w:r w:rsidRPr="0071782F">
        <w:rPr>
          <w:lang w:val="fr-CH"/>
        </w:rPr>
        <w:t>60.1.</w:t>
      </w:r>
      <w:r w:rsidRPr="0071782F">
        <w:rPr>
          <w:lang w:val="fr-CH"/>
        </w:rPr>
        <w:tab/>
      </w:r>
      <w:r w:rsidR="007F76AD" w:rsidRPr="0071782F">
        <w:rPr>
          <w:lang w:val="fr-CH"/>
        </w:rPr>
        <w:t xml:space="preserve">Nombre </w:t>
      </w:r>
      <w:r w:rsidRPr="0071782F">
        <w:rPr>
          <w:lang w:val="fr-CH"/>
        </w:rPr>
        <w:t xml:space="preserve">total </w:t>
      </w:r>
      <w:r w:rsidR="007F76AD" w:rsidRPr="0071782F">
        <w:rPr>
          <w:lang w:val="fr-CH"/>
        </w:rPr>
        <w:t>d’élèves de l’enseignement secondaire technique et professionnel</w:t>
      </w:r>
      <w:r w:rsidR="008F7D33" w:rsidRPr="0071782F">
        <w:rPr>
          <w:lang w:val="fr-CH"/>
        </w:rPr>
        <w:t>:</w:t>
      </w:r>
      <w:r w:rsidR="007F76AD" w:rsidRPr="0071782F">
        <w:rPr>
          <w:lang w:val="fr-CH"/>
        </w:rPr>
        <w:t xml:space="preserve"> l’objectif du programme était de 915</w:t>
      </w:r>
      <w:r w:rsidR="00C165FB">
        <w:rPr>
          <w:lang w:val="fr-CH"/>
        </w:rPr>
        <w:t> </w:t>
      </w:r>
      <w:r w:rsidRPr="0071782F">
        <w:rPr>
          <w:lang w:val="fr-CH"/>
        </w:rPr>
        <w:t xml:space="preserve">000 </w:t>
      </w:r>
      <w:r w:rsidR="007F76AD" w:rsidRPr="0071782F">
        <w:rPr>
          <w:lang w:val="fr-CH"/>
        </w:rPr>
        <w:t>élèves; 8</w:t>
      </w:r>
      <w:r w:rsidRPr="0071782F">
        <w:rPr>
          <w:lang w:val="fr-CH"/>
        </w:rPr>
        <w:t>65</w:t>
      </w:r>
      <w:r w:rsidR="00C165FB">
        <w:rPr>
          <w:lang w:val="fr-CH"/>
        </w:rPr>
        <w:t> </w:t>
      </w:r>
      <w:r w:rsidRPr="0071782F">
        <w:rPr>
          <w:lang w:val="fr-CH"/>
        </w:rPr>
        <w:t xml:space="preserve">400 </w:t>
      </w:r>
      <w:r w:rsidR="007F76AD" w:rsidRPr="0071782F">
        <w:rPr>
          <w:lang w:val="fr-CH"/>
        </w:rPr>
        <w:t xml:space="preserve">élèves ayant bénéficié de ce programme, cet objectif a été atteint à </w:t>
      </w:r>
      <w:r w:rsidRPr="0071782F">
        <w:rPr>
          <w:lang w:val="fr-CH"/>
        </w:rPr>
        <w:t>94</w:t>
      </w:r>
      <w:r w:rsidR="007F76AD" w:rsidRPr="0071782F">
        <w:rPr>
          <w:lang w:val="fr-CH"/>
        </w:rPr>
        <w:t>,</w:t>
      </w:r>
      <w:r w:rsidRPr="0071782F">
        <w:rPr>
          <w:lang w:val="fr-CH"/>
        </w:rPr>
        <w:t>6</w:t>
      </w:r>
      <w:r w:rsidR="007E5125" w:rsidRPr="0071782F">
        <w:rPr>
          <w:lang w:val="fr-CH"/>
        </w:rPr>
        <w:t>%</w:t>
      </w:r>
      <w:r w:rsidRPr="0071782F">
        <w:rPr>
          <w:lang w:val="fr-CH"/>
        </w:rPr>
        <w:t xml:space="preserve">, </w:t>
      </w:r>
      <w:r w:rsidR="007F76AD" w:rsidRPr="0071782F">
        <w:rPr>
          <w:lang w:val="fr-CH"/>
        </w:rPr>
        <w:t xml:space="preserve">ce qui représente une diminution de </w:t>
      </w:r>
      <w:r w:rsidRPr="0071782F">
        <w:rPr>
          <w:lang w:val="fr-CH"/>
        </w:rPr>
        <w:t>3</w:t>
      </w:r>
      <w:r w:rsidR="007F76AD" w:rsidRPr="0071782F">
        <w:rPr>
          <w:lang w:val="fr-CH"/>
        </w:rPr>
        <w:t>,</w:t>
      </w:r>
      <w:r w:rsidRPr="0071782F">
        <w:rPr>
          <w:lang w:val="fr-CH"/>
        </w:rPr>
        <w:t>2</w:t>
      </w:r>
      <w:r w:rsidR="007E5125" w:rsidRPr="0071782F">
        <w:rPr>
          <w:lang w:val="fr-CH"/>
        </w:rPr>
        <w:t>%</w:t>
      </w:r>
      <w:r w:rsidRPr="0071782F">
        <w:rPr>
          <w:lang w:val="fr-CH"/>
        </w:rPr>
        <w:t xml:space="preserve"> </w:t>
      </w:r>
      <w:r w:rsidR="007F76AD" w:rsidRPr="0071782F">
        <w:rPr>
          <w:lang w:val="fr-CH"/>
        </w:rPr>
        <w:t xml:space="preserve">par rapport à </w:t>
      </w:r>
      <w:r w:rsidRPr="0071782F">
        <w:rPr>
          <w:lang w:val="fr-CH"/>
        </w:rPr>
        <w:t xml:space="preserve">2005. </w:t>
      </w:r>
    </w:p>
    <w:p w:rsidR="007F76AD" w:rsidRPr="0071782F" w:rsidRDefault="00A54455" w:rsidP="00931821">
      <w:pPr>
        <w:pStyle w:val="SingleTxtG"/>
        <w:ind w:left="1701"/>
        <w:rPr>
          <w:lang w:val="fr-CH"/>
        </w:rPr>
      </w:pPr>
      <w:r w:rsidRPr="0071782F">
        <w:rPr>
          <w:lang w:val="fr-CH"/>
        </w:rPr>
        <w:t>60.2.</w:t>
      </w:r>
      <w:r w:rsidRPr="0071782F">
        <w:rPr>
          <w:lang w:val="fr-CH"/>
        </w:rPr>
        <w:tab/>
      </w:r>
      <w:r w:rsidR="007F76AD" w:rsidRPr="0071782F">
        <w:rPr>
          <w:lang w:val="fr-CH"/>
        </w:rPr>
        <w:t>Nombre total d’étudiants de l’enseignement supérieur en sciences appliquées</w:t>
      </w:r>
      <w:r w:rsidR="008F7D33" w:rsidRPr="0071782F">
        <w:rPr>
          <w:lang w:val="fr-CH"/>
        </w:rPr>
        <w:t>:</w:t>
      </w:r>
      <w:r w:rsidRPr="0071782F">
        <w:rPr>
          <w:lang w:val="fr-CH"/>
        </w:rPr>
        <w:t xml:space="preserve"> </w:t>
      </w:r>
      <w:r w:rsidR="007F76AD" w:rsidRPr="0071782F">
        <w:rPr>
          <w:lang w:val="fr-CH"/>
        </w:rPr>
        <w:t>l’objectif du programme était de 933</w:t>
      </w:r>
      <w:r w:rsidR="00C165FB">
        <w:rPr>
          <w:lang w:val="fr-CH"/>
        </w:rPr>
        <w:t> </w:t>
      </w:r>
      <w:r w:rsidRPr="0071782F">
        <w:rPr>
          <w:lang w:val="fr-CH"/>
        </w:rPr>
        <w:t xml:space="preserve">000 </w:t>
      </w:r>
      <w:r w:rsidR="007F76AD" w:rsidRPr="0071782F">
        <w:rPr>
          <w:lang w:val="fr-CH"/>
        </w:rPr>
        <w:t>étudiants;</w:t>
      </w:r>
      <w:r w:rsidRPr="0071782F">
        <w:rPr>
          <w:lang w:val="fr-CH"/>
        </w:rPr>
        <w:t xml:space="preserve"> </w:t>
      </w:r>
      <w:r w:rsidR="007F76AD" w:rsidRPr="0071782F">
        <w:rPr>
          <w:lang w:val="fr-CH"/>
        </w:rPr>
        <w:t>750</w:t>
      </w:r>
      <w:r w:rsidR="00C165FB">
        <w:rPr>
          <w:lang w:val="fr-CH"/>
        </w:rPr>
        <w:t> </w:t>
      </w:r>
      <w:r w:rsidRPr="0071782F">
        <w:rPr>
          <w:lang w:val="fr-CH"/>
        </w:rPr>
        <w:t xml:space="preserve">000 </w:t>
      </w:r>
      <w:r w:rsidR="007F76AD" w:rsidRPr="0071782F">
        <w:rPr>
          <w:lang w:val="fr-CH"/>
        </w:rPr>
        <w:t xml:space="preserve">étudiants ayant bénéficié de ce programme, cet objectif a été atteint à </w:t>
      </w:r>
      <w:r w:rsidRPr="0071782F">
        <w:rPr>
          <w:lang w:val="fr-CH"/>
        </w:rPr>
        <w:t>80</w:t>
      </w:r>
      <w:r w:rsidR="007F76AD" w:rsidRPr="0071782F">
        <w:rPr>
          <w:lang w:val="fr-CH"/>
        </w:rPr>
        <w:t>,</w:t>
      </w:r>
      <w:r w:rsidRPr="0071782F">
        <w:rPr>
          <w:lang w:val="fr-CH"/>
        </w:rPr>
        <w:t>4</w:t>
      </w:r>
      <w:r w:rsidR="007E5125" w:rsidRPr="0071782F">
        <w:rPr>
          <w:lang w:val="fr-CH"/>
        </w:rPr>
        <w:t>%</w:t>
      </w:r>
      <w:r w:rsidR="007F76AD" w:rsidRPr="0071782F">
        <w:rPr>
          <w:lang w:val="fr-CH"/>
        </w:rPr>
        <w:t xml:space="preserve">, ce qui représente une progression de </w:t>
      </w:r>
      <w:r w:rsidRPr="0071782F">
        <w:rPr>
          <w:lang w:val="fr-CH"/>
        </w:rPr>
        <w:t>2</w:t>
      </w:r>
      <w:r w:rsidR="007F76AD" w:rsidRPr="0071782F">
        <w:rPr>
          <w:lang w:val="fr-CH"/>
        </w:rPr>
        <w:t>,</w:t>
      </w:r>
      <w:r w:rsidRPr="0071782F">
        <w:rPr>
          <w:lang w:val="fr-CH"/>
        </w:rPr>
        <w:t>8</w:t>
      </w:r>
      <w:r w:rsidR="007E5125" w:rsidRPr="0071782F">
        <w:rPr>
          <w:lang w:val="fr-CH"/>
        </w:rPr>
        <w:t>%</w:t>
      </w:r>
      <w:r w:rsidRPr="0071782F">
        <w:rPr>
          <w:lang w:val="fr-CH"/>
        </w:rPr>
        <w:t xml:space="preserve"> </w:t>
      </w:r>
      <w:r w:rsidR="007F76AD" w:rsidRPr="0071782F">
        <w:rPr>
          <w:lang w:val="fr-CH"/>
        </w:rPr>
        <w:t>par rapport à 2005.</w:t>
      </w:r>
    </w:p>
    <w:p w:rsidR="00A54455" w:rsidRPr="0071782F" w:rsidRDefault="00931821" w:rsidP="00931821">
      <w:pPr>
        <w:pStyle w:val="H23G"/>
        <w:rPr>
          <w:lang w:val="fr-CH"/>
        </w:rPr>
      </w:pPr>
      <w:r w:rsidRPr="0071782F">
        <w:rPr>
          <w:lang w:val="fr-CH"/>
        </w:rPr>
        <w:tab/>
      </w:r>
      <w:r w:rsidRPr="0071782F">
        <w:rPr>
          <w:lang w:val="fr-CH"/>
        </w:rPr>
        <w:tab/>
      </w:r>
      <w:r w:rsidR="007F76AD" w:rsidRPr="0071782F">
        <w:rPr>
          <w:lang w:val="fr-CH"/>
        </w:rPr>
        <w:t xml:space="preserve">Exécution du budget </w:t>
      </w:r>
    </w:p>
    <w:p w:rsidR="00A54455" w:rsidRPr="0071782F" w:rsidRDefault="00A54455" w:rsidP="00A54455">
      <w:pPr>
        <w:pStyle w:val="SingleTxtG"/>
        <w:rPr>
          <w:lang w:val="fr-CH"/>
        </w:rPr>
      </w:pPr>
      <w:r w:rsidRPr="0071782F">
        <w:rPr>
          <w:lang w:val="fr-CH"/>
        </w:rPr>
        <w:t>61.</w:t>
      </w:r>
      <w:r w:rsidRPr="0071782F">
        <w:rPr>
          <w:lang w:val="fr-CH"/>
        </w:rPr>
        <w:tab/>
      </w:r>
      <w:r w:rsidR="007F76AD" w:rsidRPr="0071782F">
        <w:rPr>
          <w:lang w:val="fr-CH"/>
        </w:rPr>
        <w:t>Résultats de la part des dépenses nationales allouée à la formation technique et professionnelle</w:t>
      </w:r>
      <w:r w:rsidR="008F7D33" w:rsidRPr="0071782F">
        <w:rPr>
          <w:lang w:val="fr-CH"/>
        </w:rPr>
        <w:t>:</w:t>
      </w:r>
      <w:r w:rsidRPr="0071782F">
        <w:rPr>
          <w:lang w:val="fr-CH"/>
        </w:rPr>
        <w:t xml:space="preserve"> </w:t>
      </w:r>
      <w:r w:rsidR="007F76AD" w:rsidRPr="0071782F">
        <w:rPr>
          <w:lang w:val="fr-CH"/>
        </w:rPr>
        <w:t xml:space="preserve">l’objectif du programme portait sur </w:t>
      </w:r>
      <w:r w:rsidRPr="0071782F">
        <w:rPr>
          <w:lang w:val="fr-CH"/>
        </w:rPr>
        <w:t>2</w:t>
      </w:r>
      <w:r w:rsidR="00C165FB">
        <w:rPr>
          <w:lang w:val="fr-CH"/>
        </w:rPr>
        <w:t> </w:t>
      </w:r>
      <w:r w:rsidRPr="0071782F">
        <w:rPr>
          <w:lang w:val="fr-CH"/>
        </w:rPr>
        <w:t>855,381</w:t>
      </w:r>
      <w:r w:rsidR="008553D9" w:rsidRPr="0071782F">
        <w:rPr>
          <w:lang w:val="fr-CH"/>
        </w:rPr>
        <w:t> milliard</w:t>
      </w:r>
      <w:r w:rsidR="00097CDB" w:rsidRPr="0071782F">
        <w:rPr>
          <w:lang w:val="fr-CH"/>
        </w:rPr>
        <w:t>s</w:t>
      </w:r>
      <w:r w:rsidR="007F76AD" w:rsidRPr="0071782F">
        <w:rPr>
          <w:lang w:val="fr-CH"/>
        </w:rPr>
        <w:t xml:space="preserve"> </w:t>
      </w:r>
      <w:r w:rsidR="003B1403" w:rsidRPr="0071782F">
        <w:rPr>
          <w:lang w:val="fr-CH"/>
        </w:rPr>
        <w:t>de rials</w:t>
      </w:r>
      <w:r w:rsidR="007F76AD" w:rsidRPr="0071782F">
        <w:rPr>
          <w:lang w:val="fr-CH"/>
        </w:rPr>
        <w:t>;</w:t>
      </w:r>
      <w:r w:rsidRPr="0071782F">
        <w:rPr>
          <w:lang w:val="fr-CH"/>
        </w:rPr>
        <w:t xml:space="preserve"> 3</w:t>
      </w:r>
      <w:r w:rsidR="00C165FB">
        <w:rPr>
          <w:lang w:val="fr-CH"/>
        </w:rPr>
        <w:t> </w:t>
      </w:r>
      <w:r w:rsidRPr="0071782F">
        <w:rPr>
          <w:lang w:val="fr-CH"/>
        </w:rPr>
        <w:t>204,994</w:t>
      </w:r>
      <w:r w:rsidR="008553D9" w:rsidRPr="0071782F">
        <w:rPr>
          <w:lang w:val="fr-CH"/>
        </w:rPr>
        <w:t> milliard</w:t>
      </w:r>
      <w:r w:rsidR="00097CDB" w:rsidRPr="0071782F">
        <w:rPr>
          <w:lang w:val="fr-CH"/>
        </w:rPr>
        <w:t>s</w:t>
      </w:r>
      <w:r w:rsidR="007F76AD" w:rsidRPr="0071782F">
        <w:rPr>
          <w:lang w:val="fr-CH"/>
        </w:rPr>
        <w:t xml:space="preserve"> </w:t>
      </w:r>
      <w:r w:rsidR="003B1403" w:rsidRPr="0071782F">
        <w:rPr>
          <w:lang w:val="fr-CH"/>
        </w:rPr>
        <w:t>de rials</w:t>
      </w:r>
      <w:r w:rsidRPr="0071782F">
        <w:rPr>
          <w:lang w:val="fr-CH"/>
        </w:rPr>
        <w:t xml:space="preserve"> </w:t>
      </w:r>
      <w:r w:rsidR="007F76AD" w:rsidRPr="0071782F">
        <w:rPr>
          <w:lang w:val="fr-CH"/>
        </w:rPr>
        <w:t xml:space="preserve">ayant été dépensés, l’objectif a été atteint à </w:t>
      </w:r>
      <w:r w:rsidRPr="0071782F">
        <w:rPr>
          <w:lang w:val="fr-CH"/>
        </w:rPr>
        <w:t>112</w:t>
      </w:r>
      <w:r w:rsidR="007F76AD" w:rsidRPr="0071782F">
        <w:rPr>
          <w:lang w:val="fr-CH"/>
        </w:rPr>
        <w:t>,</w:t>
      </w:r>
      <w:r w:rsidRPr="0071782F">
        <w:rPr>
          <w:lang w:val="fr-CH"/>
        </w:rPr>
        <w:t>2</w:t>
      </w:r>
      <w:r w:rsidR="007E5125" w:rsidRPr="0071782F">
        <w:rPr>
          <w:lang w:val="fr-CH"/>
        </w:rPr>
        <w:t>%</w:t>
      </w:r>
      <w:r w:rsidRPr="0071782F">
        <w:rPr>
          <w:lang w:val="fr-CH"/>
        </w:rPr>
        <w:t>.</w:t>
      </w:r>
    </w:p>
    <w:p w:rsidR="00A54455" w:rsidRPr="0071782F" w:rsidRDefault="00A54455" w:rsidP="00C34219">
      <w:pPr>
        <w:pStyle w:val="SingleTxtG"/>
        <w:spacing w:after="0"/>
        <w:ind w:left="1701"/>
        <w:rPr>
          <w:lang w:val="fr-CH"/>
        </w:rPr>
      </w:pPr>
      <w:r w:rsidRPr="0071782F">
        <w:rPr>
          <w:lang w:val="fr-CH"/>
        </w:rPr>
        <w:t>61.1.</w:t>
      </w:r>
      <w:r w:rsidRPr="0071782F">
        <w:rPr>
          <w:lang w:val="fr-CH"/>
        </w:rPr>
        <w:tab/>
      </w:r>
      <w:r w:rsidR="007F76AD" w:rsidRPr="0071782F">
        <w:rPr>
          <w:lang w:val="fr-CH"/>
        </w:rPr>
        <w:t>Résultats de la part des dépenses des provinces allouée à la formation technique et professionnelle</w:t>
      </w:r>
      <w:r w:rsidR="008F7D33" w:rsidRPr="0071782F">
        <w:rPr>
          <w:lang w:val="fr-CH"/>
        </w:rPr>
        <w:t>:</w:t>
      </w:r>
      <w:r w:rsidRPr="0071782F">
        <w:rPr>
          <w:lang w:val="fr-CH"/>
        </w:rPr>
        <w:t xml:space="preserve"> </w:t>
      </w:r>
      <w:r w:rsidR="007F76AD" w:rsidRPr="0071782F">
        <w:rPr>
          <w:lang w:val="fr-CH"/>
        </w:rPr>
        <w:t xml:space="preserve">l’objectif du programme portait sur </w:t>
      </w:r>
      <w:r w:rsidRPr="0071782F">
        <w:rPr>
          <w:lang w:val="fr-CH"/>
        </w:rPr>
        <w:t>5</w:t>
      </w:r>
      <w:r w:rsidR="00C165FB">
        <w:rPr>
          <w:lang w:val="fr-CH"/>
        </w:rPr>
        <w:t> </w:t>
      </w:r>
      <w:r w:rsidRPr="0071782F">
        <w:rPr>
          <w:lang w:val="fr-CH"/>
        </w:rPr>
        <w:t>353,494</w:t>
      </w:r>
      <w:r w:rsidR="008553D9" w:rsidRPr="0071782F">
        <w:rPr>
          <w:lang w:val="fr-CH"/>
        </w:rPr>
        <w:t> milliard</w:t>
      </w:r>
      <w:r w:rsidR="00097CDB" w:rsidRPr="0071782F">
        <w:rPr>
          <w:lang w:val="fr-CH"/>
        </w:rPr>
        <w:t>s</w:t>
      </w:r>
      <w:r w:rsidR="007F76AD" w:rsidRPr="0071782F">
        <w:rPr>
          <w:lang w:val="fr-CH"/>
        </w:rPr>
        <w:t xml:space="preserve"> </w:t>
      </w:r>
      <w:r w:rsidR="003B1403" w:rsidRPr="0071782F">
        <w:rPr>
          <w:lang w:val="fr-CH"/>
        </w:rPr>
        <w:t>de rials</w:t>
      </w:r>
      <w:r w:rsidR="007F76AD" w:rsidRPr="0071782F">
        <w:rPr>
          <w:lang w:val="fr-CH"/>
        </w:rPr>
        <w:t>;</w:t>
      </w:r>
      <w:r w:rsidRPr="0071782F">
        <w:rPr>
          <w:lang w:val="fr-CH"/>
        </w:rPr>
        <w:t xml:space="preserve"> 6</w:t>
      </w:r>
      <w:r w:rsidR="00C165FB">
        <w:rPr>
          <w:lang w:val="fr-CH"/>
        </w:rPr>
        <w:t> </w:t>
      </w:r>
      <w:r w:rsidRPr="0071782F">
        <w:rPr>
          <w:lang w:val="fr-CH"/>
        </w:rPr>
        <w:t>298,533</w:t>
      </w:r>
      <w:r w:rsidR="008553D9" w:rsidRPr="0071782F">
        <w:rPr>
          <w:lang w:val="fr-CH"/>
        </w:rPr>
        <w:t> milliard</w:t>
      </w:r>
      <w:r w:rsidR="00097CDB" w:rsidRPr="0071782F">
        <w:rPr>
          <w:lang w:val="fr-CH"/>
        </w:rPr>
        <w:t>s</w:t>
      </w:r>
      <w:r w:rsidR="007F76AD" w:rsidRPr="0071782F">
        <w:rPr>
          <w:lang w:val="fr-CH"/>
        </w:rPr>
        <w:t xml:space="preserve"> </w:t>
      </w:r>
      <w:r w:rsidR="003B1403" w:rsidRPr="0071782F">
        <w:rPr>
          <w:lang w:val="fr-CH"/>
        </w:rPr>
        <w:t>de rials</w:t>
      </w:r>
      <w:r w:rsidR="007F76AD" w:rsidRPr="0071782F">
        <w:rPr>
          <w:lang w:val="fr-CH"/>
        </w:rPr>
        <w:t xml:space="preserve"> ayant été dépensés, l’objectif a été atteint à 117,</w:t>
      </w:r>
      <w:r w:rsidRPr="0071782F">
        <w:rPr>
          <w:lang w:val="fr-CH"/>
        </w:rPr>
        <w:t>7</w:t>
      </w:r>
      <w:r w:rsidR="007E5125" w:rsidRPr="0071782F">
        <w:rPr>
          <w:lang w:val="fr-CH"/>
        </w:rPr>
        <w:t>%</w:t>
      </w:r>
      <w:r w:rsidRPr="0071782F">
        <w:rPr>
          <w:lang w:val="fr-CH"/>
        </w:rPr>
        <w:t xml:space="preserve">. </w:t>
      </w:r>
    </w:p>
    <w:p w:rsidR="008B74D2" w:rsidRPr="0071782F" w:rsidRDefault="00931821" w:rsidP="00931821">
      <w:pPr>
        <w:pStyle w:val="H23G"/>
        <w:rPr>
          <w:lang w:val="fr-CH"/>
        </w:rPr>
      </w:pPr>
      <w:r w:rsidRPr="0071782F">
        <w:rPr>
          <w:lang w:val="fr-CH"/>
        </w:rPr>
        <w:tab/>
      </w:r>
      <w:r w:rsidRPr="0071782F">
        <w:rPr>
          <w:lang w:val="fr-CH"/>
        </w:rPr>
        <w:tab/>
      </w:r>
      <w:r w:rsidR="007F76AD" w:rsidRPr="0071782F">
        <w:rPr>
          <w:lang w:val="fr-CH"/>
        </w:rPr>
        <w:t>T</w:t>
      </w:r>
      <w:r w:rsidRPr="0071782F">
        <w:rPr>
          <w:lang w:val="fr-CH"/>
        </w:rPr>
        <w:t>able</w:t>
      </w:r>
      <w:r w:rsidR="007F76AD" w:rsidRPr="0071782F">
        <w:rPr>
          <w:lang w:val="fr-CH"/>
        </w:rPr>
        <w:t>au</w:t>
      </w:r>
      <w:r w:rsidRPr="0071782F">
        <w:rPr>
          <w:lang w:val="fr-CH"/>
        </w:rPr>
        <w:t xml:space="preserve"> compar</w:t>
      </w:r>
      <w:r w:rsidR="007F76AD" w:rsidRPr="0071782F">
        <w:rPr>
          <w:lang w:val="fr-CH"/>
        </w:rPr>
        <w:t xml:space="preserve">ant les </w:t>
      </w:r>
      <w:r w:rsidR="00E87174" w:rsidRPr="0071782F">
        <w:rPr>
          <w:lang w:val="fr-CH"/>
        </w:rPr>
        <w:t>résultats scolaires</w:t>
      </w:r>
      <w:r w:rsidR="007F76AD" w:rsidRPr="0071782F">
        <w:rPr>
          <w:lang w:val="fr-CH"/>
        </w:rPr>
        <w:t xml:space="preserve"> des femmes et les </w:t>
      </w:r>
      <w:r w:rsidR="00E87174" w:rsidRPr="0071782F">
        <w:rPr>
          <w:lang w:val="fr-CH"/>
        </w:rPr>
        <w:t>résultats scolaires totaux</w:t>
      </w:r>
      <w:r w:rsidR="007F76AD" w:rsidRPr="0071782F">
        <w:rPr>
          <w:lang w:val="fr-CH"/>
        </w:rPr>
        <w:t xml:space="preserve"> dans les centres publics et privés de formation technique et professionnelle </w:t>
      </w:r>
      <w:r w:rsidRPr="0071782F">
        <w:rPr>
          <w:lang w:val="fr-CH"/>
        </w:rPr>
        <w:t>(</w:t>
      </w:r>
      <w:r w:rsidR="007F76AD" w:rsidRPr="0071782F">
        <w:rPr>
          <w:lang w:val="fr-CH"/>
        </w:rPr>
        <w:t xml:space="preserve">nombre </w:t>
      </w:r>
      <w:r w:rsidR="00D82C96" w:rsidRPr="0071782F">
        <w:rPr>
          <w:lang w:val="fr-CH"/>
        </w:rPr>
        <w:t>de personnes</w:t>
      </w:r>
      <w:r w:rsidR="007F76AD" w:rsidRPr="0071782F">
        <w:rPr>
          <w:lang w:val="fr-CH"/>
        </w:rPr>
        <w:t xml:space="preserve"> par période</w:t>
      </w:r>
      <w:r w:rsidRPr="0071782F">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66"/>
        <w:gridCol w:w="900"/>
        <w:gridCol w:w="1400"/>
        <w:gridCol w:w="2100"/>
        <w:gridCol w:w="2504"/>
      </w:tblGrid>
      <w:tr w:rsidR="0088083D" w:rsidRPr="0071782F">
        <w:trPr>
          <w:tblHeader/>
        </w:trPr>
        <w:tc>
          <w:tcPr>
            <w:tcW w:w="466" w:type="dxa"/>
            <w:tcBorders>
              <w:top w:val="single" w:sz="4" w:space="0" w:color="auto"/>
              <w:bottom w:val="single" w:sz="12" w:space="0" w:color="auto"/>
            </w:tcBorders>
            <w:shd w:val="clear" w:color="auto" w:fill="auto"/>
            <w:vAlign w:val="bottom"/>
          </w:tcPr>
          <w:p w:rsidR="006A64A2" w:rsidRPr="0071782F" w:rsidRDefault="006A64A2" w:rsidP="00E20B36">
            <w:pPr>
              <w:suppressAutoHyphens w:val="0"/>
              <w:spacing w:before="80" w:after="80" w:line="200" w:lineRule="exact"/>
              <w:rPr>
                <w:i/>
                <w:sz w:val="16"/>
                <w:lang w:val="fr-CH"/>
              </w:rPr>
            </w:pPr>
          </w:p>
        </w:tc>
        <w:tc>
          <w:tcPr>
            <w:tcW w:w="900" w:type="dxa"/>
            <w:tcBorders>
              <w:top w:val="single" w:sz="4" w:space="0" w:color="auto"/>
              <w:bottom w:val="single" w:sz="12" w:space="0" w:color="auto"/>
            </w:tcBorders>
            <w:shd w:val="clear" w:color="auto" w:fill="auto"/>
            <w:vAlign w:val="bottom"/>
          </w:tcPr>
          <w:p w:rsidR="006A64A2" w:rsidRPr="0071782F" w:rsidRDefault="007F76AD" w:rsidP="00E20B36">
            <w:pPr>
              <w:suppressAutoHyphens w:val="0"/>
              <w:spacing w:before="80" w:after="80" w:line="200" w:lineRule="exact"/>
              <w:rPr>
                <w:i/>
                <w:sz w:val="16"/>
                <w:lang w:val="fr-CH"/>
              </w:rPr>
            </w:pPr>
            <w:r w:rsidRPr="0071782F">
              <w:rPr>
                <w:i/>
                <w:sz w:val="16"/>
                <w:lang w:val="fr-CH"/>
              </w:rPr>
              <w:t>Année</w:t>
            </w:r>
          </w:p>
        </w:tc>
        <w:tc>
          <w:tcPr>
            <w:tcW w:w="1400" w:type="dxa"/>
            <w:tcBorders>
              <w:top w:val="single" w:sz="4" w:space="0" w:color="auto"/>
              <w:bottom w:val="single" w:sz="12" w:space="0" w:color="auto"/>
            </w:tcBorders>
            <w:shd w:val="clear" w:color="auto" w:fill="auto"/>
            <w:vAlign w:val="bottom"/>
          </w:tcPr>
          <w:p w:rsidR="006A64A2" w:rsidRPr="0071782F" w:rsidRDefault="00E87174" w:rsidP="00E20B36">
            <w:pPr>
              <w:suppressAutoHyphens w:val="0"/>
              <w:spacing w:before="80" w:after="80" w:line="200" w:lineRule="exact"/>
              <w:jc w:val="right"/>
              <w:rPr>
                <w:b/>
                <w:i/>
                <w:sz w:val="16"/>
                <w:lang w:val="fr-CH"/>
              </w:rPr>
            </w:pPr>
            <w:r w:rsidRPr="0071782F">
              <w:rPr>
                <w:b/>
                <w:i/>
                <w:sz w:val="16"/>
                <w:lang w:val="fr-CH"/>
              </w:rPr>
              <w:t>Résultats scolaires</w:t>
            </w:r>
            <w:r w:rsidR="007F76AD" w:rsidRPr="0071782F">
              <w:rPr>
                <w:b/>
                <w:i/>
                <w:sz w:val="16"/>
                <w:lang w:val="fr-CH"/>
              </w:rPr>
              <w:t xml:space="preserve"> tota</w:t>
            </w:r>
            <w:r w:rsidRPr="0071782F">
              <w:rPr>
                <w:b/>
                <w:i/>
                <w:sz w:val="16"/>
                <w:lang w:val="fr-CH"/>
              </w:rPr>
              <w:t>ux</w:t>
            </w:r>
            <w:r w:rsidR="007F76AD" w:rsidRPr="0071782F">
              <w:rPr>
                <w:b/>
                <w:i/>
                <w:sz w:val="16"/>
                <w:lang w:val="fr-CH"/>
              </w:rPr>
              <w:t xml:space="preserve"> </w:t>
            </w:r>
          </w:p>
        </w:tc>
        <w:tc>
          <w:tcPr>
            <w:tcW w:w="2100" w:type="dxa"/>
            <w:tcBorders>
              <w:top w:val="single" w:sz="4" w:space="0" w:color="auto"/>
              <w:bottom w:val="single" w:sz="12" w:space="0" w:color="auto"/>
            </w:tcBorders>
            <w:shd w:val="clear" w:color="auto" w:fill="auto"/>
            <w:vAlign w:val="bottom"/>
          </w:tcPr>
          <w:p w:rsidR="006A64A2" w:rsidRPr="0071782F" w:rsidRDefault="00E87174" w:rsidP="00E20B36">
            <w:pPr>
              <w:suppressAutoHyphens w:val="0"/>
              <w:spacing w:before="80" w:after="80" w:line="200" w:lineRule="exact"/>
              <w:jc w:val="right"/>
              <w:rPr>
                <w:i/>
                <w:sz w:val="16"/>
                <w:lang w:val="fr-CH"/>
              </w:rPr>
            </w:pPr>
            <w:r w:rsidRPr="0071782F">
              <w:rPr>
                <w:i/>
                <w:sz w:val="16"/>
                <w:lang w:val="fr-CH"/>
              </w:rPr>
              <w:t>Résultats scolaires</w:t>
            </w:r>
            <w:r w:rsidR="007F76AD" w:rsidRPr="0071782F">
              <w:rPr>
                <w:i/>
                <w:sz w:val="16"/>
                <w:lang w:val="fr-CH"/>
              </w:rPr>
              <w:t xml:space="preserve"> des femmes </w:t>
            </w:r>
          </w:p>
        </w:tc>
        <w:tc>
          <w:tcPr>
            <w:tcW w:w="2504" w:type="dxa"/>
            <w:tcBorders>
              <w:top w:val="single" w:sz="4" w:space="0" w:color="auto"/>
              <w:bottom w:val="single" w:sz="12" w:space="0" w:color="auto"/>
            </w:tcBorders>
            <w:shd w:val="clear" w:color="auto" w:fill="auto"/>
            <w:vAlign w:val="bottom"/>
          </w:tcPr>
          <w:p w:rsidR="006A64A2" w:rsidRPr="0071782F" w:rsidRDefault="006A64A2" w:rsidP="00E20B36">
            <w:pPr>
              <w:suppressAutoHyphens w:val="0"/>
              <w:spacing w:before="80" w:after="80" w:line="200" w:lineRule="exact"/>
              <w:jc w:val="right"/>
              <w:rPr>
                <w:i/>
                <w:sz w:val="16"/>
                <w:lang w:val="fr-CH"/>
              </w:rPr>
            </w:pPr>
            <w:r w:rsidRPr="0071782F">
              <w:rPr>
                <w:i/>
                <w:sz w:val="16"/>
                <w:lang w:val="fr-CH"/>
              </w:rPr>
              <w:t xml:space="preserve">Ratio </w:t>
            </w:r>
            <w:r w:rsidR="00E87174" w:rsidRPr="0071782F">
              <w:rPr>
                <w:i/>
                <w:sz w:val="16"/>
                <w:lang w:val="fr-CH"/>
              </w:rPr>
              <w:t>résultats scolaires</w:t>
            </w:r>
            <w:r w:rsidR="007F76AD" w:rsidRPr="0071782F">
              <w:rPr>
                <w:i/>
                <w:sz w:val="16"/>
                <w:lang w:val="fr-CH"/>
              </w:rPr>
              <w:t xml:space="preserve"> des femmes/</w:t>
            </w:r>
            <w:r w:rsidR="00E87174" w:rsidRPr="0071782F">
              <w:rPr>
                <w:i/>
                <w:sz w:val="16"/>
                <w:lang w:val="fr-CH"/>
              </w:rPr>
              <w:t>résultats scolaires</w:t>
            </w:r>
            <w:r w:rsidR="007F76AD" w:rsidRPr="0071782F">
              <w:rPr>
                <w:i/>
                <w:sz w:val="16"/>
                <w:lang w:val="fr-CH"/>
              </w:rPr>
              <w:t xml:space="preserve"> </w:t>
            </w:r>
            <w:r w:rsidR="00E87174" w:rsidRPr="0071782F">
              <w:rPr>
                <w:i/>
                <w:sz w:val="16"/>
                <w:lang w:val="fr-CH"/>
              </w:rPr>
              <w:t>totaux</w:t>
            </w:r>
            <w:r w:rsidR="007F76AD" w:rsidRPr="0071782F">
              <w:rPr>
                <w:i/>
                <w:sz w:val="16"/>
                <w:lang w:val="fr-CH"/>
              </w:rPr>
              <w:t xml:space="preserve"> </w:t>
            </w:r>
          </w:p>
        </w:tc>
      </w:tr>
      <w:tr w:rsidR="0088083D" w:rsidRPr="0071782F">
        <w:tc>
          <w:tcPr>
            <w:tcW w:w="466" w:type="dxa"/>
            <w:tcBorders>
              <w:top w:val="single" w:sz="12" w:space="0" w:color="auto"/>
            </w:tcBorders>
            <w:shd w:val="clear" w:color="auto" w:fill="auto"/>
            <w:vAlign w:val="bottom"/>
          </w:tcPr>
          <w:p w:rsidR="006A64A2" w:rsidRPr="0071782F" w:rsidRDefault="006A64A2" w:rsidP="00E20B36">
            <w:pPr>
              <w:suppressAutoHyphens w:val="0"/>
              <w:spacing w:before="40" w:after="40" w:line="220" w:lineRule="exact"/>
              <w:rPr>
                <w:sz w:val="18"/>
                <w:lang w:val="fr-CH"/>
              </w:rPr>
            </w:pPr>
            <w:r w:rsidRPr="0071782F">
              <w:rPr>
                <w:sz w:val="18"/>
                <w:lang w:val="fr-CH"/>
              </w:rPr>
              <w:t>1</w:t>
            </w:r>
          </w:p>
        </w:tc>
        <w:tc>
          <w:tcPr>
            <w:tcW w:w="900" w:type="dxa"/>
            <w:tcBorders>
              <w:top w:val="single" w:sz="12" w:space="0" w:color="auto"/>
            </w:tcBorders>
            <w:shd w:val="clear" w:color="auto" w:fill="auto"/>
            <w:vAlign w:val="bottom"/>
          </w:tcPr>
          <w:p w:rsidR="006A64A2" w:rsidRPr="0071782F" w:rsidRDefault="006A64A2" w:rsidP="00E20B36">
            <w:pPr>
              <w:suppressAutoHyphens w:val="0"/>
              <w:spacing w:before="40" w:after="40" w:line="220" w:lineRule="exact"/>
              <w:rPr>
                <w:sz w:val="18"/>
                <w:lang w:val="fr-CH"/>
              </w:rPr>
            </w:pPr>
            <w:r w:rsidRPr="0071782F">
              <w:rPr>
                <w:sz w:val="18"/>
                <w:lang w:val="fr-CH"/>
              </w:rPr>
              <w:t>2005</w:t>
            </w:r>
          </w:p>
        </w:tc>
        <w:tc>
          <w:tcPr>
            <w:tcW w:w="1400" w:type="dxa"/>
            <w:tcBorders>
              <w:top w:val="single" w:sz="12" w:space="0" w:color="auto"/>
            </w:tcBorders>
            <w:shd w:val="clear" w:color="auto" w:fill="auto"/>
            <w:vAlign w:val="bottom"/>
          </w:tcPr>
          <w:p w:rsidR="006A64A2" w:rsidRPr="0071782F" w:rsidRDefault="006A64A2" w:rsidP="00E20B36">
            <w:pPr>
              <w:suppressAutoHyphens w:val="0"/>
              <w:spacing w:before="40" w:after="40" w:line="220" w:lineRule="exact"/>
              <w:jc w:val="right"/>
              <w:rPr>
                <w:b/>
                <w:sz w:val="18"/>
                <w:lang w:val="fr-CH"/>
              </w:rPr>
            </w:pPr>
            <w:r w:rsidRPr="0071782F">
              <w:rPr>
                <w:b/>
                <w:sz w:val="18"/>
                <w:lang w:val="fr-CH"/>
              </w:rPr>
              <w:t>1 589 606</w:t>
            </w:r>
          </w:p>
        </w:tc>
        <w:tc>
          <w:tcPr>
            <w:tcW w:w="2100" w:type="dxa"/>
            <w:tcBorders>
              <w:top w:val="single" w:sz="12" w:space="0" w:color="auto"/>
            </w:tcBorders>
            <w:shd w:val="clear" w:color="auto" w:fill="auto"/>
            <w:vAlign w:val="bottom"/>
          </w:tcPr>
          <w:p w:rsidR="006A64A2" w:rsidRPr="0071782F" w:rsidRDefault="006A64A2" w:rsidP="00E20B36">
            <w:pPr>
              <w:suppressAutoHyphens w:val="0"/>
              <w:spacing w:before="40" w:after="40" w:line="220" w:lineRule="exact"/>
              <w:jc w:val="right"/>
              <w:rPr>
                <w:sz w:val="18"/>
                <w:lang w:val="fr-CH"/>
              </w:rPr>
            </w:pPr>
            <w:r w:rsidRPr="0071782F">
              <w:rPr>
                <w:sz w:val="18"/>
                <w:lang w:val="fr-CH"/>
              </w:rPr>
              <w:t>1 225 250</w:t>
            </w:r>
          </w:p>
        </w:tc>
        <w:tc>
          <w:tcPr>
            <w:tcW w:w="2504" w:type="dxa"/>
            <w:tcBorders>
              <w:top w:val="single" w:sz="12" w:space="0" w:color="auto"/>
            </w:tcBorders>
            <w:shd w:val="clear" w:color="auto" w:fill="auto"/>
            <w:vAlign w:val="bottom"/>
          </w:tcPr>
          <w:p w:rsidR="006A64A2" w:rsidRPr="0071782F" w:rsidRDefault="006A64A2" w:rsidP="00E20B36">
            <w:pPr>
              <w:suppressAutoHyphens w:val="0"/>
              <w:spacing w:before="40" w:after="40" w:line="220" w:lineRule="exact"/>
              <w:jc w:val="right"/>
              <w:rPr>
                <w:sz w:val="18"/>
                <w:lang w:val="fr-CH"/>
              </w:rPr>
            </w:pPr>
            <w:r w:rsidRPr="0071782F">
              <w:rPr>
                <w:sz w:val="18"/>
                <w:lang w:val="fr-CH"/>
              </w:rPr>
              <w:t>77</w:t>
            </w:r>
          </w:p>
        </w:tc>
      </w:tr>
      <w:tr w:rsidR="0088083D" w:rsidRPr="0071782F">
        <w:tc>
          <w:tcPr>
            <w:tcW w:w="466" w:type="dxa"/>
            <w:shd w:val="clear" w:color="auto" w:fill="auto"/>
            <w:vAlign w:val="bottom"/>
          </w:tcPr>
          <w:p w:rsidR="006A64A2" w:rsidRPr="0071782F" w:rsidRDefault="006A64A2" w:rsidP="00E20B36">
            <w:pPr>
              <w:suppressAutoHyphens w:val="0"/>
              <w:spacing w:before="40" w:after="40" w:line="220" w:lineRule="exact"/>
              <w:rPr>
                <w:sz w:val="18"/>
                <w:lang w:val="fr-CH"/>
              </w:rPr>
            </w:pPr>
            <w:r w:rsidRPr="0071782F">
              <w:rPr>
                <w:sz w:val="18"/>
                <w:lang w:val="fr-CH"/>
              </w:rPr>
              <w:t>2</w:t>
            </w:r>
          </w:p>
        </w:tc>
        <w:tc>
          <w:tcPr>
            <w:tcW w:w="900" w:type="dxa"/>
            <w:shd w:val="clear" w:color="auto" w:fill="auto"/>
            <w:vAlign w:val="bottom"/>
          </w:tcPr>
          <w:p w:rsidR="006A64A2" w:rsidRPr="0071782F" w:rsidRDefault="006A64A2" w:rsidP="00E20B36">
            <w:pPr>
              <w:suppressAutoHyphens w:val="0"/>
              <w:spacing w:before="40" w:after="40" w:line="220" w:lineRule="exact"/>
              <w:rPr>
                <w:sz w:val="18"/>
                <w:lang w:val="fr-CH"/>
              </w:rPr>
            </w:pPr>
            <w:r w:rsidRPr="0071782F">
              <w:rPr>
                <w:sz w:val="18"/>
                <w:lang w:val="fr-CH"/>
              </w:rPr>
              <w:t>2006</w:t>
            </w:r>
          </w:p>
        </w:tc>
        <w:tc>
          <w:tcPr>
            <w:tcW w:w="1400" w:type="dxa"/>
            <w:shd w:val="clear" w:color="auto" w:fill="auto"/>
            <w:vAlign w:val="bottom"/>
          </w:tcPr>
          <w:p w:rsidR="006A64A2" w:rsidRPr="0071782F" w:rsidRDefault="006A64A2" w:rsidP="00E20B36">
            <w:pPr>
              <w:suppressAutoHyphens w:val="0"/>
              <w:spacing w:before="40" w:after="40" w:line="220" w:lineRule="exact"/>
              <w:jc w:val="right"/>
              <w:rPr>
                <w:b/>
                <w:sz w:val="18"/>
                <w:lang w:val="fr-CH"/>
              </w:rPr>
            </w:pPr>
            <w:r w:rsidRPr="0071782F">
              <w:rPr>
                <w:b/>
                <w:sz w:val="18"/>
                <w:lang w:val="fr-CH"/>
              </w:rPr>
              <w:t>2 505 350</w:t>
            </w:r>
          </w:p>
        </w:tc>
        <w:tc>
          <w:tcPr>
            <w:tcW w:w="2100" w:type="dxa"/>
            <w:shd w:val="clear" w:color="auto" w:fill="auto"/>
            <w:vAlign w:val="bottom"/>
          </w:tcPr>
          <w:p w:rsidR="006A64A2" w:rsidRPr="0071782F" w:rsidRDefault="006A64A2" w:rsidP="00E20B36">
            <w:pPr>
              <w:suppressAutoHyphens w:val="0"/>
              <w:spacing w:before="40" w:after="40" w:line="220" w:lineRule="exact"/>
              <w:jc w:val="right"/>
              <w:rPr>
                <w:sz w:val="18"/>
                <w:lang w:val="fr-CH"/>
              </w:rPr>
            </w:pPr>
            <w:r w:rsidRPr="0071782F">
              <w:rPr>
                <w:sz w:val="18"/>
                <w:lang w:val="fr-CH"/>
              </w:rPr>
              <w:t>1 805 460</w:t>
            </w:r>
          </w:p>
        </w:tc>
        <w:tc>
          <w:tcPr>
            <w:tcW w:w="2504" w:type="dxa"/>
            <w:shd w:val="clear" w:color="auto" w:fill="auto"/>
            <w:vAlign w:val="bottom"/>
          </w:tcPr>
          <w:p w:rsidR="006A64A2" w:rsidRPr="0071782F" w:rsidRDefault="006A64A2" w:rsidP="00E20B36">
            <w:pPr>
              <w:suppressAutoHyphens w:val="0"/>
              <w:spacing w:before="40" w:after="40" w:line="220" w:lineRule="exact"/>
              <w:jc w:val="right"/>
              <w:rPr>
                <w:sz w:val="18"/>
                <w:lang w:val="fr-CH"/>
              </w:rPr>
            </w:pPr>
            <w:r w:rsidRPr="0071782F">
              <w:rPr>
                <w:sz w:val="18"/>
                <w:lang w:val="fr-CH"/>
              </w:rPr>
              <w:t>72</w:t>
            </w:r>
          </w:p>
        </w:tc>
      </w:tr>
      <w:tr w:rsidR="0088083D" w:rsidRPr="0071782F">
        <w:tc>
          <w:tcPr>
            <w:tcW w:w="466" w:type="dxa"/>
            <w:shd w:val="clear" w:color="auto" w:fill="auto"/>
            <w:vAlign w:val="bottom"/>
          </w:tcPr>
          <w:p w:rsidR="006A64A2" w:rsidRPr="0071782F" w:rsidRDefault="006A64A2" w:rsidP="00E20B36">
            <w:pPr>
              <w:suppressAutoHyphens w:val="0"/>
              <w:spacing w:before="40" w:after="40" w:line="220" w:lineRule="exact"/>
              <w:rPr>
                <w:sz w:val="18"/>
                <w:lang w:val="fr-CH"/>
              </w:rPr>
            </w:pPr>
            <w:r w:rsidRPr="0071782F">
              <w:rPr>
                <w:sz w:val="18"/>
                <w:lang w:val="fr-CH"/>
              </w:rPr>
              <w:t>3</w:t>
            </w:r>
          </w:p>
        </w:tc>
        <w:tc>
          <w:tcPr>
            <w:tcW w:w="900" w:type="dxa"/>
            <w:shd w:val="clear" w:color="auto" w:fill="auto"/>
            <w:vAlign w:val="bottom"/>
          </w:tcPr>
          <w:p w:rsidR="006A64A2" w:rsidRPr="0071782F" w:rsidRDefault="006A64A2" w:rsidP="00E20B36">
            <w:pPr>
              <w:suppressAutoHyphens w:val="0"/>
              <w:spacing w:before="40" w:after="40" w:line="220" w:lineRule="exact"/>
              <w:rPr>
                <w:sz w:val="18"/>
                <w:lang w:val="fr-CH"/>
              </w:rPr>
            </w:pPr>
            <w:r w:rsidRPr="0071782F">
              <w:rPr>
                <w:sz w:val="18"/>
                <w:lang w:val="fr-CH"/>
              </w:rPr>
              <w:t>2007</w:t>
            </w:r>
          </w:p>
        </w:tc>
        <w:tc>
          <w:tcPr>
            <w:tcW w:w="1400" w:type="dxa"/>
            <w:shd w:val="clear" w:color="auto" w:fill="auto"/>
            <w:vAlign w:val="bottom"/>
          </w:tcPr>
          <w:p w:rsidR="006A64A2" w:rsidRPr="0071782F" w:rsidRDefault="006A64A2" w:rsidP="00E20B36">
            <w:pPr>
              <w:suppressAutoHyphens w:val="0"/>
              <w:spacing w:before="40" w:after="40" w:line="220" w:lineRule="exact"/>
              <w:jc w:val="right"/>
              <w:rPr>
                <w:b/>
                <w:sz w:val="18"/>
                <w:lang w:val="fr-CH"/>
              </w:rPr>
            </w:pPr>
            <w:r w:rsidRPr="0071782F">
              <w:rPr>
                <w:b/>
                <w:sz w:val="18"/>
                <w:lang w:val="fr-CH"/>
              </w:rPr>
              <w:t>2 948 614</w:t>
            </w:r>
          </w:p>
        </w:tc>
        <w:tc>
          <w:tcPr>
            <w:tcW w:w="2100" w:type="dxa"/>
            <w:shd w:val="clear" w:color="auto" w:fill="auto"/>
            <w:vAlign w:val="bottom"/>
          </w:tcPr>
          <w:p w:rsidR="006A64A2" w:rsidRPr="0071782F" w:rsidRDefault="006A64A2" w:rsidP="00E20B36">
            <w:pPr>
              <w:suppressAutoHyphens w:val="0"/>
              <w:spacing w:before="40" w:after="40" w:line="220" w:lineRule="exact"/>
              <w:jc w:val="right"/>
              <w:rPr>
                <w:sz w:val="18"/>
                <w:lang w:val="fr-CH"/>
              </w:rPr>
            </w:pPr>
            <w:r w:rsidRPr="0071782F">
              <w:rPr>
                <w:sz w:val="18"/>
                <w:lang w:val="fr-CH"/>
              </w:rPr>
              <w:t>1 813 675</w:t>
            </w:r>
          </w:p>
        </w:tc>
        <w:tc>
          <w:tcPr>
            <w:tcW w:w="2504" w:type="dxa"/>
            <w:shd w:val="clear" w:color="auto" w:fill="auto"/>
            <w:vAlign w:val="bottom"/>
          </w:tcPr>
          <w:p w:rsidR="006A64A2" w:rsidRPr="0071782F" w:rsidRDefault="006A64A2" w:rsidP="00E20B36">
            <w:pPr>
              <w:suppressAutoHyphens w:val="0"/>
              <w:spacing w:before="40" w:after="40" w:line="220" w:lineRule="exact"/>
              <w:jc w:val="right"/>
              <w:rPr>
                <w:sz w:val="18"/>
                <w:lang w:val="fr-CH"/>
              </w:rPr>
            </w:pPr>
            <w:r w:rsidRPr="0071782F">
              <w:rPr>
                <w:sz w:val="18"/>
                <w:lang w:val="fr-CH"/>
              </w:rPr>
              <w:t>61</w:t>
            </w:r>
            <w:r w:rsidR="00723F2B" w:rsidRPr="0071782F">
              <w:rPr>
                <w:sz w:val="18"/>
                <w:lang w:val="fr-CH"/>
              </w:rPr>
              <w:t>,</w:t>
            </w:r>
            <w:r w:rsidRPr="0071782F">
              <w:rPr>
                <w:sz w:val="18"/>
                <w:lang w:val="fr-CH"/>
              </w:rPr>
              <w:t>5</w:t>
            </w:r>
          </w:p>
        </w:tc>
      </w:tr>
      <w:tr w:rsidR="0088083D" w:rsidRPr="0071782F">
        <w:tc>
          <w:tcPr>
            <w:tcW w:w="466" w:type="dxa"/>
            <w:shd w:val="clear" w:color="auto" w:fill="auto"/>
            <w:vAlign w:val="bottom"/>
          </w:tcPr>
          <w:p w:rsidR="006A64A2" w:rsidRPr="0071782F" w:rsidRDefault="006A64A2" w:rsidP="00E20B36">
            <w:pPr>
              <w:suppressAutoHyphens w:val="0"/>
              <w:spacing w:before="40" w:after="40" w:line="220" w:lineRule="exact"/>
              <w:rPr>
                <w:sz w:val="18"/>
                <w:lang w:val="fr-CH"/>
              </w:rPr>
            </w:pPr>
            <w:r w:rsidRPr="0071782F">
              <w:rPr>
                <w:sz w:val="18"/>
                <w:lang w:val="fr-CH"/>
              </w:rPr>
              <w:t>4</w:t>
            </w:r>
          </w:p>
        </w:tc>
        <w:tc>
          <w:tcPr>
            <w:tcW w:w="900" w:type="dxa"/>
            <w:shd w:val="clear" w:color="auto" w:fill="auto"/>
            <w:vAlign w:val="bottom"/>
          </w:tcPr>
          <w:p w:rsidR="006A64A2" w:rsidRPr="0071782F" w:rsidRDefault="006A64A2" w:rsidP="00E20B36">
            <w:pPr>
              <w:suppressAutoHyphens w:val="0"/>
              <w:spacing w:before="40" w:after="40" w:line="220" w:lineRule="exact"/>
              <w:rPr>
                <w:sz w:val="18"/>
                <w:lang w:val="fr-CH"/>
              </w:rPr>
            </w:pPr>
            <w:r w:rsidRPr="0071782F">
              <w:rPr>
                <w:sz w:val="18"/>
                <w:lang w:val="fr-CH"/>
              </w:rPr>
              <w:t>2008</w:t>
            </w:r>
          </w:p>
        </w:tc>
        <w:tc>
          <w:tcPr>
            <w:tcW w:w="1400" w:type="dxa"/>
            <w:shd w:val="clear" w:color="auto" w:fill="auto"/>
            <w:vAlign w:val="bottom"/>
          </w:tcPr>
          <w:p w:rsidR="006A64A2" w:rsidRPr="0071782F" w:rsidRDefault="006A64A2" w:rsidP="00E20B36">
            <w:pPr>
              <w:suppressAutoHyphens w:val="0"/>
              <w:spacing w:before="40" w:after="40" w:line="220" w:lineRule="exact"/>
              <w:jc w:val="right"/>
              <w:rPr>
                <w:b/>
                <w:sz w:val="18"/>
                <w:lang w:val="fr-CH"/>
              </w:rPr>
            </w:pPr>
            <w:r w:rsidRPr="0071782F">
              <w:rPr>
                <w:b/>
                <w:sz w:val="18"/>
                <w:lang w:val="fr-CH"/>
              </w:rPr>
              <w:t>2 738 032</w:t>
            </w:r>
          </w:p>
        </w:tc>
        <w:tc>
          <w:tcPr>
            <w:tcW w:w="2100" w:type="dxa"/>
            <w:shd w:val="clear" w:color="auto" w:fill="auto"/>
            <w:vAlign w:val="bottom"/>
          </w:tcPr>
          <w:p w:rsidR="006A64A2" w:rsidRPr="0071782F" w:rsidRDefault="006A64A2" w:rsidP="00E20B36">
            <w:pPr>
              <w:suppressAutoHyphens w:val="0"/>
              <w:spacing w:before="40" w:after="40" w:line="220" w:lineRule="exact"/>
              <w:jc w:val="right"/>
              <w:rPr>
                <w:sz w:val="18"/>
                <w:lang w:val="fr-CH"/>
              </w:rPr>
            </w:pPr>
            <w:r w:rsidRPr="0071782F">
              <w:rPr>
                <w:sz w:val="18"/>
                <w:lang w:val="fr-CH"/>
              </w:rPr>
              <w:t>1 627 980</w:t>
            </w:r>
          </w:p>
        </w:tc>
        <w:tc>
          <w:tcPr>
            <w:tcW w:w="2504" w:type="dxa"/>
            <w:shd w:val="clear" w:color="auto" w:fill="auto"/>
            <w:vAlign w:val="bottom"/>
          </w:tcPr>
          <w:p w:rsidR="006A64A2" w:rsidRPr="0071782F" w:rsidRDefault="006A64A2" w:rsidP="00E20B36">
            <w:pPr>
              <w:suppressAutoHyphens w:val="0"/>
              <w:spacing w:before="40" w:after="40" w:line="220" w:lineRule="exact"/>
              <w:jc w:val="right"/>
              <w:rPr>
                <w:sz w:val="18"/>
                <w:lang w:val="fr-CH"/>
              </w:rPr>
            </w:pPr>
            <w:r w:rsidRPr="0071782F">
              <w:rPr>
                <w:sz w:val="18"/>
                <w:lang w:val="fr-CH"/>
              </w:rPr>
              <w:t>59</w:t>
            </w:r>
            <w:r w:rsidR="00723F2B" w:rsidRPr="0071782F">
              <w:rPr>
                <w:sz w:val="18"/>
                <w:lang w:val="fr-CH"/>
              </w:rPr>
              <w:t>,</w:t>
            </w:r>
            <w:r w:rsidRPr="0071782F">
              <w:rPr>
                <w:sz w:val="18"/>
                <w:lang w:val="fr-CH"/>
              </w:rPr>
              <w:t>4</w:t>
            </w:r>
          </w:p>
        </w:tc>
      </w:tr>
    </w:tbl>
    <w:p w:rsidR="0088083D" w:rsidRPr="0071782F" w:rsidRDefault="009F4A79" w:rsidP="00B558B8">
      <w:pPr>
        <w:pStyle w:val="SingleTxtG"/>
        <w:spacing w:before="240" w:after="0"/>
        <w:rPr>
          <w:lang w:val="fr-CH"/>
        </w:rPr>
      </w:pPr>
      <w:r w:rsidRPr="0071782F">
        <w:rPr>
          <w:lang w:val="fr-CH"/>
        </w:rPr>
        <w:tab/>
      </w:r>
      <w:r w:rsidR="007F76AD" w:rsidRPr="0071782F">
        <w:rPr>
          <w:lang w:val="fr-CH"/>
        </w:rPr>
        <w:t xml:space="preserve">Ce </w:t>
      </w:r>
      <w:r w:rsidR="0088083D" w:rsidRPr="0071782F">
        <w:rPr>
          <w:lang w:val="fr-CH"/>
        </w:rPr>
        <w:t>table</w:t>
      </w:r>
      <w:r w:rsidR="007F76AD" w:rsidRPr="0071782F">
        <w:rPr>
          <w:lang w:val="fr-CH"/>
        </w:rPr>
        <w:t xml:space="preserve">au montre qu’environ </w:t>
      </w:r>
      <w:r w:rsidR="0088083D" w:rsidRPr="0071782F">
        <w:rPr>
          <w:lang w:val="fr-CH"/>
        </w:rPr>
        <w:t>67</w:t>
      </w:r>
      <w:r w:rsidR="007E5125" w:rsidRPr="0071782F">
        <w:rPr>
          <w:lang w:val="fr-CH"/>
        </w:rPr>
        <w:t>%</w:t>
      </w:r>
      <w:r w:rsidR="0088083D" w:rsidRPr="0071782F">
        <w:rPr>
          <w:lang w:val="fr-CH"/>
        </w:rPr>
        <w:t xml:space="preserve"> </w:t>
      </w:r>
      <w:r w:rsidR="007F76AD" w:rsidRPr="0071782F">
        <w:rPr>
          <w:lang w:val="fr-CH"/>
        </w:rPr>
        <w:t xml:space="preserve">des bénéficiaires de la formation technique et professionnelle dispensée dans le pays entre </w:t>
      </w:r>
      <w:r w:rsidR="0088083D" w:rsidRPr="0071782F">
        <w:rPr>
          <w:lang w:val="fr-CH"/>
        </w:rPr>
        <w:t xml:space="preserve">2005 </w:t>
      </w:r>
      <w:r w:rsidR="007F76AD" w:rsidRPr="0071782F">
        <w:rPr>
          <w:lang w:val="fr-CH"/>
        </w:rPr>
        <w:t>et</w:t>
      </w:r>
      <w:r w:rsidR="0088083D" w:rsidRPr="0071782F">
        <w:rPr>
          <w:lang w:val="fr-CH"/>
        </w:rPr>
        <w:t xml:space="preserve"> 2008 </w:t>
      </w:r>
      <w:r w:rsidR="007F76AD" w:rsidRPr="0071782F">
        <w:rPr>
          <w:lang w:val="fr-CH"/>
        </w:rPr>
        <w:t>ont été des femmes</w:t>
      </w:r>
      <w:r w:rsidR="0088083D" w:rsidRPr="0071782F">
        <w:rPr>
          <w:lang w:val="fr-CH"/>
        </w:rPr>
        <w:t xml:space="preserve">. </w:t>
      </w:r>
    </w:p>
    <w:p w:rsidR="006A64A2" w:rsidRPr="0071782F" w:rsidRDefault="001F6CAD" w:rsidP="001F6CAD">
      <w:pPr>
        <w:pStyle w:val="H23G"/>
        <w:rPr>
          <w:lang w:val="fr-CH"/>
        </w:rPr>
      </w:pPr>
      <w:r w:rsidRPr="0071782F">
        <w:rPr>
          <w:lang w:val="fr-CH"/>
        </w:rPr>
        <w:tab/>
      </w:r>
      <w:r w:rsidRPr="0071782F">
        <w:rPr>
          <w:lang w:val="fr-CH"/>
        </w:rPr>
        <w:tab/>
      </w:r>
      <w:r w:rsidR="00E87174" w:rsidRPr="0071782F">
        <w:rPr>
          <w:lang w:val="fr-CH"/>
        </w:rPr>
        <w:t>Résultats scolaires enregistré</w:t>
      </w:r>
      <w:r w:rsidR="007F76AD" w:rsidRPr="0071782F">
        <w:rPr>
          <w:lang w:val="fr-CH"/>
        </w:rPr>
        <w:t xml:space="preserve">s en </w:t>
      </w:r>
      <w:r w:rsidRPr="0071782F">
        <w:rPr>
          <w:lang w:val="fr-CH"/>
        </w:rPr>
        <w:t xml:space="preserve">2008 </w:t>
      </w:r>
      <w:r w:rsidR="007F76AD" w:rsidRPr="0071782F">
        <w:rPr>
          <w:lang w:val="fr-CH"/>
        </w:rPr>
        <w:t xml:space="preserve">selon le secteur éducatif </w:t>
      </w:r>
      <w:r w:rsidRPr="0071782F">
        <w:rPr>
          <w:lang w:val="fr-CH"/>
        </w:rPr>
        <w:t>(</w:t>
      </w:r>
      <w:r w:rsidR="007F76AD" w:rsidRPr="0071782F">
        <w:rPr>
          <w:lang w:val="fr-CH"/>
        </w:rPr>
        <w:t xml:space="preserve">nombre </w:t>
      </w:r>
      <w:r w:rsidR="00D82C96" w:rsidRPr="0071782F">
        <w:rPr>
          <w:lang w:val="fr-CH"/>
        </w:rPr>
        <w:t>de personnes</w:t>
      </w:r>
      <w:r w:rsidR="007F76AD" w:rsidRPr="0071782F">
        <w:rPr>
          <w:lang w:val="fr-CH"/>
        </w:rPr>
        <w:t xml:space="preserve"> par période</w:t>
      </w:r>
      <w:r w:rsidRPr="0071782F">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66"/>
        <w:gridCol w:w="4446"/>
        <w:gridCol w:w="2458"/>
      </w:tblGrid>
      <w:tr w:rsidR="001F6CAD" w:rsidRPr="0071782F">
        <w:trPr>
          <w:tblHeader/>
        </w:trPr>
        <w:tc>
          <w:tcPr>
            <w:tcW w:w="466" w:type="dxa"/>
            <w:tcBorders>
              <w:top w:val="single" w:sz="4" w:space="0" w:color="auto"/>
              <w:bottom w:val="single" w:sz="12" w:space="0" w:color="auto"/>
            </w:tcBorders>
            <w:shd w:val="clear" w:color="auto" w:fill="auto"/>
            <w:vAlign w:val="bottom"/>
          </w:tcPr>
          <w:p w:rsidR="001F6CAD" w:rsidRPr="0071782F" w:rsidRDefault="001F6CAD" w:rsidP="00E20B36">
            <w:pPr>
              <w:suppressAutoHyphens w:val="0"/>
              <w:spacing w:before="80" w:after="80" w:line="200" w:lineRule="exact"/>
              <w:rPr>
                <w:i/>
                <w:sz w:val="16"/>
                <w:lang w:val="fr-CH"/>
              </w:rPr>
            </w:pPr>
          </w:p>
        </w:tc>
        <w:tc>
          <w:tcPr>
            <w:tcW w:w="4446" w:type="dxa"/>
            <w:tcBorders>
              <w:top w:val="single" w:sz="4" w:space="0" w:color="auto"/>
              <w:bottom w:val="single" w:sz="12" w:space="0" w:color="auto"/>
            </w:tcBorders>
            <w:shd w:val="clear" w:color="auto" w:fill="auto"/>
            <w:vAlign w:val="bottom"/>
          </w:tcPr>
          <w:p w:rsidR="001F6CAD" w:rsidRPr="0071782F" w:rsidRDefault="001F6CAD" w:rsidP="00E20B36">
            <w:pPr>
              <w:suppressAutoHyphens w:val="0"/>
              <w:spacing w:before="80" w:after="80" w:line="200" w:lineRule="exact"/>
              <w:rPr>
                <w:i/>
                <w:sz w:val="16"/>
                <w:lang w:val="fr-CH"/>
              </w:rPr>
            </w:pPr>
            <w:r w:rsidRPr="0071782F">
              <w:rPr>
                <w:i/>
                <w:sz w:val="16"/>
                <w:lang w:val="fr-CH"/>
              </w:rPr>
              <w:t>N</w:t>
            </w:r>
            <w:r w:rsidR="007F76AD" w:rsidRPr="0071782F">
              <w:rPr>
                <w:i/>
                <w:sz w:val="16"/>
                <w:lang w:val="fr-CH"/>
              </w:rPr>
              <w:t xml:space="preserve">om du secteur éducatif </w:t>
            </w:r>
          </w:p>
        </w:tc>
        <w:tc>
          <w:tcPr>
            <w:tcW w:w="2458" w:type="dxa"/>
            <w:tcBorders>
              <w:top w:val="single" w:sz="4" w:space="0" w:color="auto"/>
              <w:bottom w:val="single" w:sz="12" w:space="0" w:color="auto"/>
            </w:tcBorders>
            <w:shd w:val="clear" w:color="auto" w:fill="auto"/>
            <w:vAlign w:val="bottom"/>
          </w:tcPr>
          <w:p w:rsidR="001F6CAD" w:rsidRPr="0071782F" w:rsidRDefault="00E87174" w:rsidP="00E20B36">
            <w:pPr>
              <w:suppressAutoHyphens w:val="0"/>
              <w:spacing w:before="80" w:after="80" w:line="200" w:lineRule="exact"/>
              <w:jc w:val="right"/>
              <w:rPr>
                <w:i/>
                <w:sz w:val="16"/>
                <w:lang w:val="fr-CH"/>
              </w:rPr>
            </w:pPr>
            <w:r w:rsidRPr="0071782F">
              <w:rPr>
                <w:i/>
                <w:sz w:val="16"/>
                <w:lang w:val="fr-CH"/>
              </w:rPr>
              <w:t>Résultats</w:t>
            </w:r>
            <w:r w:rsidR="007F76AD" w:rsidRPr="0071782F">
              <w:rPr>
                <w:i/>
                <w:sz w:val="16"/>
                <w:lang w:val="fr-CH"/>
              </w:rPr>
              <w:t xml:space="preserve"> enregistrés en </w:t>
            </w:r>
            <w:r w:rsidR="001F6CAD" w:rsidRPr="0071782F">
              <w:rPr>
                <w:i/>
                <w:sz w:val="16"/>
                <w:lang w:val="fr-CH"/>
              </w:rPr>
              <w:t>2008</w:t>
            </w:r>
          </w:p>
        </w:tc>
      </w:tr>
      <w:tr w:rsidR="001F6CAD" w:rsidRPr="0071782F">
        <w:tc>
          <w:tcPr>
            <w:tcW w:w="466" w:type="dxa"/>
            <w:tcBorders>
              <w:top w:val="single" w:sz="12" w:space="0" w:color="auto"/>
            </w:tcBorders>
            <w:shd w:val="clear" w:color="auto" w:fill="auto"/>
            <w:vAlign w:val="bottom"/>
          </w:tcPr>
          <w:p w:rsidR="001F6CAD" w:rsidRPr="0071782F" w:rsidRDefault="001F6CAD" w:rsidP="00E20B36">
            <w:pPr>
              <w:suppressAutoHyphens w:val="0"/>
              <w:spacing w:before="40" w:after="40" w:line="220" w:lineRule="exact"/>
              <w:rPr>
                <w:sz w:val="18"/>
                <w:lang w:val="fr-CH"/>
              </w:rPr>
            </w:pPr>
            <w:r w:rsidRPr="0071782F">
              <w:rPr>
                <w:sz w:val="18"/>
                <w:lang w:val="fr-CH"/>
              </w:rPr>
              <w:t>1</w:t>
            </w:r>
          </w:p>
        </w:tc>
        <w:tc>
          <w:tcPr>
            <w:tcW w:w="4446" w:type="dxa"/>
            <w:tcBorders>
              <w:top w:val="single" w:sz="12" w:space="0" w:color="auto"/>
            </w:tcBorders>
            <w:shd w:val="clear" w:color="auto" w:fill="auto"/>
            <w:vAlign w:val="bottom"/>
          </w:tcPr>
          <w:p w:rsidR="001F6CAD" w:rsidRPr="0071782F" w:rsidRDefault="007F76AD" w:rsidP="00E20B36">
            <w:pPr>
              <w:suppressAutoHyphens w:val="0"/>
              <w:spacing w:before="40" w:after="40" w:line="220" w:lineRule="exact"/>
              <w:rPr>
                <w:sz w:val="18"/>
                <w:lang w:val="fr-CH"/>
              </w:rPr>
            </w:pPr>
            <w:r w:rsidRPr="0071782F">
              <w:rPr>
                <w:sz w:val="18"/>
                <w:lang w:val="fr-CH"/>
              </w:rPr>
              <w:t xml:space="preserve">Centres fixes </w:t>
            </w:r>
          </w:p>
        </w:tc>
        <w:tc>
          <w:tcPr>
            <w:tcW w:w="2458" w:type="dxa"/>
            <w:tcBorders>
              <w:top w:val="single" w:sz="12" w:space="0" w:color="auto"/>
            </w:tcBorders>
            <w:shd w:val="clear" w:color="auto" w:fill="auto"/>
            <w:vAlign w:val="bottom"/>
          </w:tcPr>
          <w:p w:rsidR="001F6CAD" w:rsidRPr="0071782F" w:rsidRDefault="001F6CAD" w:rsidP="00E20B36">
            <w:pPr>
              <w:suppressAutoHyphens w:val="0"/>
              <w:spacing w:before="40" w:after="40" w:line="220" w:lineRule="exact"/>
              <w:jc w:val="right"/>
              <w:rPr>
                <w:sz w:val="18"/>
                <w:lang w:val="fr-CH"/>
              </w:rPr>
            </w:pPr>
            <w:r w:rsidRPr="0071782F">
              <w:rPr>
                <w:sz w:val="18"/>
                <w:lang w:val="fr-CH"/>
              </w:rPr>
              <w:t>331 397</w:t>
            </w:r>
          </w:p>
        </w:tc>
      </w:tr>
      <w:tr w:rsidR="001F6CAD" w:rsidRPr="0071782F">
        <w:tc>
          <w:tcPr>
            <w:tcW w:w="466" w:type="dxa"/>
            <w:shd w:val="clear" w:color="auto" w:fill="auto"/>
            <w:vAlign w:val="bottom"/>
          </w:tcPr>
          <w:p w:rsidR="001F6CAD" w:rsidRPr="0071782F" w:rsidRDefault="001F6CAD" w:rsidP="00E20B36">
            <w:pPr>
              <w:suppressAutoHyphens w:val="0"/>
              <w:spacing w:before="40" w:after="40" w:line="220" w:lineRule="exact"/>
              <w:rPr>
                <w:sz w:val="18"/>
                <w:lang w:val="fr-CH"/>
              </w:rPr>
            </w:pPr>
            <w:r w:rsidRPr="0071782F">
              <w:rPr>
                <w:sz w:val="18"/>
                <w:lang w:val="fr-CH"/>
              </w:rPr>
              <w:t>2</w:t>
            </w:r>
          </w:p>
        </w:tc>
        <w:tc>
          <w:tcPr>
            <w:tcW w:w="4446" w:type="dxa"/>
            <w:shd w:val="clear" w:color="auto" w:fill="auto"/>
            <w:vAlign w:val="bottom"/>
          </w:tcPr>
          <w:p w:rsidR="001F6CAD" w:rsidRPr="0071782F" w:rsidRDefault="007F76AD" w:rsidP="00E20B36">
            <w:pPr>
              <w:suppressAutoHyphens w:val="0"/>
              <w:spacing w:before="40" w:after="40" w:line="220" w:lineRule="exact"/>
              <w:rPr>
                <w:sz w:val="18"/>
                <w:lang w:val="fr-CH"/>
              </w:rPr>
            </w:pPr>
            <w:r w:rsidRPr="0071782F">
              <w:rPr>
                <w:sz w:val="18"/>
                <w:lang w:val="fr-CH"/>
              </w:rPr>
              <w:t xml:space="preserve">Programme </w:t>
            </w:r>
            <w:r w:rsidR="001F6CAD" w:rsidRPr="0071782F">
              <w:rPr>
                <w:sz w:val="18"/>
                <w:lang w:val="fr-CH"/>
              </w:rPr>
              <w:t>Hijrat</w:t>
            </w:r>
            <w:r w:rsidR="008F7D33" w:rsidRPr="0071782F">
              <w:rPr>
                <w:sz w:val="18"/>
                <w:lang w:val="fr-CH"/>
              </w:rPr>
              <w:t>:</w:t>
            </w:r>
            <w:r w:rsidRPr="0071782F">
              <w:rPr>
                <w:sz w:val="18"/>
                <w:lang w:val="fr-CH"/>
              </w:rPr>
              <w:t xml:space="preserve"> zones urbaines </w:t>
            </w:r>
          </w:p>
        </w:tc>
        <w:tc>
          <w:tcPr>
            <w:tcW w:w="2458" w:type="dxa"/>
            <w:shd w:val="clear" w:color="auto" w:fill="auto"/>
            <w:vAlign w:val="bottom"/>
          </w:tcPr>
          <w:p w:rsidR="001F6CAD" w:rsidRPr="0071782F" w:rsidRDefault="001F6CAD" w:rsidP="00E20B36">
            <w:pPr>
              <w:suppressAutoHyphens w:val="0"/>
              <w:spacing w:before="40" w:after="40" w:line="220" w:lineRule="exact"/>
              <w:jc w:val="right"/>
              <w:rPr>
                <w:sz w:val="18"/>
                <w:lang w:val="fr-CH"/>
              </w:rPr>
            </w:pPr>
            <w:r w:rsidRPr="0071782F">
              <w:rPr>
                <w:sz w:val="18"/>
                <w:lang w:val="fr-CH"/>
              </w:rPr>
              <w:t>80 370</w:t>
            </w:r>
          </w:p>
        </w:tc>
      </w:tr>
      <w:tr w:rsidR="001F6CAD" w:rsidRPr="0071782F">
        <w:tc>
          <w:tcPr>
            <w:tcW w:w="466" w:type="dxa"/>
            <w:shd w:val="clear" w:color="auto" w:fill="auto"/>
            <w:vAlign w:val="bottom"/>
          </w:tcPr>
          <w:p w:rsidR="001F6CAD" w:rsidRPr="0071782F" w:rsidRDefault="001F6CAD" w:rsidP="00E20B36">
            <w:pPr>
              <w:suppressAutoHyphens w:val="0"/>
              <w:spacing w:before="40" w:after="40" w:line="220" w:lineRule="exact"/>
              <w:rPr>
                <w:sz w:val="18"/>
                <w:lang w:val="fr-CH"/>
              </w:rPr>
            </w:pPr>
            <w:r w:rsidRPr="0071782F">
              <w:rPr>
                <w:sz w:val="18"/>
                <w:lang w:val="fr-CH"/>
              </w:rPr>
              <w:t>3</w:t>
            </w:r>
          </w:p>
        </w:tc>
        <w:tc>
          <w:tcPr>
            <w:tcW w:w="4446" w:type="dxa"/>
            <w:shd w:val="clear" w:color="auto" w:fill="auto"/>
            <w:vAlign w:val="bottom"/>
          </w:tcPr>
          <w:p w:rsidR="001F6CAD" w:rsidRPr="0071782F" w:rsidRDefault="007F76AD" w:rsidP="00E20B36">
            <w:pPr>
              <w:suppressAutoHyphens w:val="0"/>
              <w:spacing w:before="40" w:after="40" w:line="220" w:lineRule="exact"/>
              <w:rPr>
                <w:sz w:val="18"/>
                <w:lang w:val="fr-CH"/>
              </w:rPr>
            </w:pPr>
            <w:r w:rsidRPr="0071782F">
              <w:rPr>
                <w:sz w:val="18"/>
                <w:lang w:val="fr-CH"/>
              </w:rPr>
              <w:t>Programme Hijrat</w:t>
            </w:r>
            <w:r w:rsidR="008F7D33" w:rsidRPr="0071782F">
              <w:rPr>
                <w:sz w:val="18"/>
                <w:lang w:val="fr-CH"/>
              </w:rPr>
              <w:t>:</w:t>
            </w:r>
            <w:r w:rsidRPr="0071782F">
              <w:rPr>
                <w:sz w:val="18"/>
                <w:lang w:val="fr-CH"/>
              </w:rPr>
              <w:t xml:space="preserve"> zones</w:t>
            </w:r>
            <w:r w:rsidR="001F6CAD" w:rsidRPr="0071782F">
              <w:rPr>
                <w:sz w:val="18"/>
                <w:lang w:val="fr-CH"/>
              </w:rPr>
              <w:t xml:space="preserve"> rural</w:t>
            </w:r>
            <w:r w:rsidRPr="0071782F">
              <w:rPr>
                <w:sz w:val="18"/>
                <w:lang w:val="fr-CH"/>
              </w:rPr>
              <w:t>es</w:t>
            </w:r>
          </w:p>
        </w:tc>
        <w:tc>
          <w:tcPr>
            <w:tcW w:w="2458" w:type="dxa"/>
            <w:shd w:val="clear" w:color="auto" w:fill="auto"/>
            <w:vAlign w:val="bottom"/>
          </w:tcPr>
          <w:p w:rsidR="001F6CAD" w:rsidRPr="0071782F" w:rsidRDefault="001F6CAD" w:rsidP="00E20B36">
            <w:pPr>
              <w:suppressAutoHyphens w:val="0"/>
              <w:spacing w:before="40" w:after="40" w:line="220" w:lineRule="exact"/>
              <w:jc w:val="right"/>
              <w:rPr>
                <w:sz w:val="18"/>
                <w:lang w:val="fr-CH"/>
              </w:rPr>
            </w:pPr>
            <w:r w:rsidRPr="0071782F">
              <w:rPr>
                <w:sz w:val="18"/>
                <w:lang w:val="fr-CH"/>
              </w:rPr>
              <w:t>95 717</w:t>
            </w:r>
          </w:p>
        </w:tc>
      </w:tr>
      <w:tr w:rsidR="001F6CAD" w:rsidRPr="0071782F">
        <w:tc>
          <w:tcPr>
            <w:tcW w:w="466" w:type="dxa"/>
            <w:shd w:val="clear" w:color="auto" w:fill="auto"/>
            <w:vAlign w:val="bottom"/>
          </w:tcPr>
          <w:p w:rsidR="001F6CAD" w:rsidRPr="0071782F" w:rsidRDefault="001F6CAD" w:rsidP="00E20B36">
            <w:pPr>
              <w:suppressAutoHyphens w:val="0"/>
              <w:spacing w:before="40" w:after="40" w:line="220" w:lineRule="exact"/>
              <w:rPr>
                <w:sz w:val="18"/>
                <w:lang w:val="fr-CH"/>
              </w:rPr>
            </w:pPr>
            <w:r w:rsidRPr="0071782F">
              <w:rPr>
                <w:sz w:val="18"/>
                <w:lang w:val="fr-CH"/>
              </w:rPr>
              <w:t>4</w:t>
            </w:r>
          </w:p>
        </w:tc>
        <w:tc>
          <w:tcPr>
            <w:tcW w:w="4446" w:type="dxa"/>
            <w:shd w:val="clear" w:color="auto" w:fill="auto"/>
            <w:vAlign w:val="bottom"/>
          </w:tcPr>
          <w:p w:rsidR="001F6CAD" w:rsidRPr="0071782F" w:rsidRDefault="007F76AD" w:rsidP="00E20B36">
            <w:pPr>
              <w:suppressAutoHyphens w:val="0"/>
              <w:spacing w:before="40" w:after="40" w:line="220" w:lineRule="exact"/>
              <w:rPr>
                <w:sz w:val="18"/>
                <w:lang w:val="fr-CH"/>
              </w:rPr>
            </w:pPr>
            <w:r w:rsidRPr="0071782F">
              <w:rPr>
                <w:sz w:val="18"/>
                <w:lang w:val="fr-CH"/>
              </w:rPr>
              <w:t xml:space="preserve">Formation en établissement pénitentiaire </w:t>
            </w:r>
          </w:p>
        </w:tc>
        <w:tc>
          <w:tcPr>
            <w:tcW w:w="2458" w:type="dxa"/>
            <w:shd w:val="clear" w:color="auto" w:fill="auto"/>
            <w:vAlign w:val="bottom"/>
          </w:tcPr>
          <w:p w:rsidR="001F6CAD" w:rsidRPr="0071782F" w:rsidRDefault="001F6CAD" w:rsidP="00E20B36">
            <w:pPr>
              <w:suppressAutoHyphens w:val="0"/>
              <w:spacing w:before="40" w:after="40" w:line="220" w:lineRule="exact"/>
              <w:jc w:val="right"/>
              <w:rPr>
                <w:sz w:val="18"/>
                <w:lang w:val="fr-CH"/>
              </w:rPr>
            </w:pPr>
            <w:r w:rsidRPr="0071782F">
              <w:rPr>
                <w:sz w:val="18"/>
                <w:lang w:val="fr-CH"/>
              </w:rPr>
              <w:t>34 958</w:t>
            </w:r>
          </w:p>
        </w:tc>
      </w:tr>
      <w:tr w:rsidR="001F6CAD" w:rsidRPr="0071782F">
        <w:tc>
          <w:tcPr>
            <w:tcW w:w="466" w:type="dxa"/>
            <w:shd w:val="clear" w:color="auto" w:fill="auto"/>
            <w:vAlign w:val="bottom"/>
          </w:tcPr>
          <w:p w:rsidR="001F6CAD" w:rsidRPr="0071782F" w:rsidRDefault="001F6CAD" w:rsidP="00E20B36">
            <w:pPr>
              <w:suppressAutoHyphens w:val="0"/>
              <w:spacing w:before="40" w:after="40" w:line="220" w:lineRule="exact"/>
              <w:rPr>
                <w:sz w:val="18"/>
                <w:lang w:val="fr-CH"/>
              </w:rPr>
            </w:pPr>
            <w:r w:rsidRPr="0071782F">
              <w:rPr>
                <w:sz w:val="18"/>
                <w:lang w:val="fr-CH"/>
              </w:rPr>
              <w:t>5</w:t>
            </w:r>
          </w:p>
        </w:tc>
        <w:tc>
          <w:tcPr>
            <w:tcW w:w="4446" w:type="dxa"/>
            <w:shd w:val="clear" w:color="auto" w:fill="auto"/>
            <w:vAlign w:val="bottom"/>
          </w:tcPr>
          <w:p w:rsidR="001F6CAD" w:rsidRPr="0071782F" w:rsidRDefault="007F76AD" w:rsidP="00E20B36">
            <w:pPr>
              <w:suppressAutoHyphens w:val="0"/>
              <w:spacing w:before="40" w:after="40" w:line="220" w:lineRule="exact"/>
              <w:rPr>
                <w:sz w:val="18"/>
                <w:lang w:val="fr-CH"/>
              </w:rPr>
            </w:pPr>
            <w:r w:rsidRPr="0071782F">
              <w:rPr>
                <w:sz w:val="18"/>
                <w:lang w:val="fr-CH"/>
              </w:rPr>
              <w:t xml:space="preserve">Formation en garnison </w:t>
            </w:r>
          </w:p>
        </w:tc>
        <w:tc>
          <w:tcPr>
            <w:tcW w:w="2458" w:type="dxa"/>
            <w:shd w:val="clear" w:color="auto" w:fill="auto"/>
            <w:vAlign w:val="bottom"/>
          </w:tcPr>
          <w:p w:rsidR="001F6CAD" w:rsidRPr="0071782F" w:rsidRDefault="001F6CAD" w:rsidP="00E20B36">
            <w:pPr>
              <w:suppressAutoHyphens w:val="0"/>
              <w:spacing w:before="40" w:after="40" w:line="220" w:lineRule="exact"/>
              <w:jc w:val="right"/>
              <w:rPr>
                <w:sz w:val="18"/>
                <w:lang w:val="fr-CH"/>
              </w:rPr>
            </w:pPr>
            <w:r w:rsidRPr="0071782F">
              <w:rPr>
                <w:sz w:val="18"/>
                <w:lang w:val="fr-CH"/>
              </w:rPr>
              <w:t>19 252</w:t>
            </w:r>
          </w:p>
        </w:tc>
      </w:tr>
      <w:tr w:rsidR="001F6CAD" w:rsidRPr="0071782F">
        <w:tc>
          <w:tcPr>
            <w:tcW w:w="466" w:type="dxa"/>
            <w:tcBorders>
              <w:bottom w:val="nil"/>
            </w:tcBorders>
            <w:shd w:val="clear" w:color="auto" w:fill="auto"/>
            <w:vAlign w:val="bottom"/>
          </w:tcPr>
          <w:p w:rsidR="001F6CAD" w:rsidRPr="0071782F" w:rsidRDefault="001F6CAD" w:rsidP="00E20B36">
            <w:pPr>
              <w:suppressAutoHyphens w:val="0"/>
              <w:spacing w:before="40" w:after="40" w:line="220" w:lineRule="exact"/>
              <w:rPr>
                <w:sz w:val="18"/>
                <w:lang w:val="fr-CH"/>
              </w:rPr>
            </w:pPr>
            <w:r w:rsidRPr="0071782F">
              <w:rPr>
                <w:sz w:val="18"/>
                <w:lang w:val="fr-CH"/>
              </w:rPr>
              <w:t>6</w:t>
            </w:r>
          </w:p>
        </w:tc>
        <w:tc>
          <w:tcPr>
            <w:tcW w:w="4446" w:type="dxa"/>
            <w:tcBorders>
              <w:bottom w:val="nil"/>
            </w:tcBorders>
            <w:shd w:val="clear" w:color="auto" w:fill="auto"/>
            <w:vAlign w:val="bottom"/>
          </w:tcPr>
          <w:p w:rsidR="001F6CAD" w:rsidRPr="0071782F" w:rsidRDefault="007F76AD" w:rsidP="00E20B36">
            <w:pPr>
              <w:suppressAutoHyphens w:val="0"/>
              <w:spacing w:before="40" w:after="40" w:line="220" w:lineRule="exact"/>
              <w:rPr>
                <w:sz w:val="18"/>
                <w:lang w:val="fr-CH"/>
              </w:rPr>
            </w:pPr>
            <w:r w:rsidRPr="0071782F">
              <w:rPr>
                <w:sz w:val="18"/>
                <w:lang w:val="fr-CH"/>
              </w:rPr>
              <w:t xml:space="preserve">Formation dans le secteur privé </w:t>
            </w:r>
          </w:p>
        </w:tc>
        <w:tc>
          <w:tcPr>
            <w:tcW w:w="2458" w:type="dxa"/>
            <w:tcBorders>
              <w:bottom w:val="nil"/>
            </w:tcBorders>
            <w:shd w:val="clear" w:color="auto" w:fill="auto"/>
            <w:vAlign w:val="bottom"/>
          </w:tcPr>
          <w:p w:rsidR="001F6CAD" w:rsidRPr="0071782F" w:rsidRDefault="001F6CAD" w:rsidP="00E20B36">
            <w:pPr>
              <w:suppressAutoHyphens w:val="0"/>
              <w:spacing w:before="40" w:after="40" w:line="220" w:lineRule="exact"/>
              <w:jc w:val="right"/>
              <w:rPr>
                <w:sz w:val="18"/>
                <w:lang w:val="fr-CH"/>
              </w:rPr>
            </w:pPr>
            <w:r w:rsidRPr="0071782F">
              <w:rPr>
                <w:sz w:val="18"/>
                <w:lang w:val="fr-CH"/>
              </w:rPr>
              <w:t>183 118</w:t>
            </w:r>
          </w:p>
        </w:tc>
      </w:tr>
      <w:tr w:rsidR="001F6CAD" w:rsidRPr="0071782F">
        <w:tc>
          <w:tcPr>
            <w:tcW w:w="466" w:type="dxa"/>
            <w:tcBorders>
              <w:top w:val="nil"/>
              <w:bottom w:val="single" w:sz="4" w:space="0" w:color="auto"/>
            </w:tcBorders>
            <w:shd w:val="clear" w:color="auto" w:fill="auto"/>
            <w:vAlign w:val="bottom"/>
          </w:tcPr>
          <w:p w:rsidR="001F6CAD" w:rsidRPr="0071782F" w:rsidRDefault="001F6CAD" w:rsidP="00E20B36">
            <w:pPr>
              <w:suppressAutoHyphens w:val="0"/>
              <w:spacing w:before="40" w:after="40" w:line="220" w:lineRule="exact"/>
              <w:rPr>
                <w:sz w:val="18"/>
                <w:lang w:val="fr-CH"/>
              </w:rPr>
            </w:pPr>
            <w:r w:rsidRPr="0071782F">
              <w:rPr>
                <w:sz w:val="18"/>
                <w:lang w:val="fr-CH"/>
              </w:rPr>
              <w:t>7</w:t>
            </w:r>
          </w:p>
        </w:tc>
        <w:tc>
          <w:tcPr>
            <w:tcW w:w="4446" w:type="dxa"/>
            <w:tcBorders>
              <w:top w:val="nil"/>
              <w:bottom w:val="single" w:sz="4" w:space="0" w:color="auto"/>
            </w:tcBorders>
            <w:shd w:val="clear" w:color="auto" w:fill="auto"/>
            <w:vAlign w:val="bottom"/>
          </w:tcPr>
          <w:p w:rsidR="001F6CAD" w:rsidRPr="0071782F" w:rsidRDefault="007F76AD" w:rsidP="00E20B36">
            <w:pPr>
              <w:suppressAutoHyphens w:val="0"/>
              <w:spacing w:before="40" w:after="40" w:line="220" w:lineRule="exact"/>
              <w:rPr>
                <w:sz w:val="18"/>
                <w:lang w:val="fr-CH"/>
              </w:rPr>
            </w:pPr>
            <w:r w:rsidRPr="0071782F">
              <w:rPr>
                <w:sz w:val="18"/>
                <w:lang w:val="fr-CH"/>
              </w:rPr>
              <w:t>Achat de s</w:t>
            </w:r>
            <w:r w:rsidR="001F6CAD" w:rsidRPr="0071782F">
              <w:rPr>
                <w:sz w:val="18"/>
                <w:lang w:val="fr-CH"/>
              </w:rPr>
              <w:t>ervice</w:t>
            </w:r>
            <w:r w:rsidRPr="0071782F">
              <w:rPr>
                <w:sz w:val="18"/>
                <w:lang w:val="fr-CH"/>
              </w:rPr>
              <w:t>s</w:t>
            </w:r>
            <w:r w:rsidR="001F6CAD" w:rsidRPr="0071782F">
              <w:rPr>
                <w:sz w:val="18"/>
                <w:lang w:val="fr-CH"/>
              </w:rPr>
              <w:t xml:space="preserve"> </w:t>
            </w:r>
          </w:p>
        </w:tc>
        <w:tc>
          <w:tcPr>
            <w:tcW w:w="2458" w:type="dxa"/>
            <w:tcBorders>
              <w:top w:val="nil"/>
              <w:bottom w:val="single" w:sz="4" w:space="0" w:color="auto"/>
            </w:tcBorders>
            <w:shd w:val="clear" w:color="auto" w:fill="auto"/>
            <w:vAlign w:val="bottom"/>
          </w:tcPr>
          <w:p w:rsidR="001F6CAD" w:rsidRPr="0071782F" w:rsidRDefault="001F6CAD" w:rsidP="00E20B36">
            <w:pPr>
              <w:suppressAutoHyphens w:val="0"/>
              <w:spacing w:before="40" w:after="40" w:line="220" w:lineRule="exact"/>
              <w:jc w:val="right"/>
              <w:rPr>
                <w:sz w:val="18"/>
                <w:lang w:val="fr-CH"/>
              </w:rPr>
            </w:pPr>
            <w:r w:rsidRPr="0071782F">
              <w:rPr>
                <w:sz w:val="18"/>
                <w:lang w:val="fr-CH"/>
              </w:rPr>
              <w:t>14 968</w:t>
            </w:r>
          </w:p>
        </w:tc>
      </w:tr>
      <w:tr w:rsidR="001F6CAD" w:rsidRPr="0071782F" w:rsidTr="00670B7B">
        <w:tc>
          <w:tcPr>
            <w:tcW w:w="466" w:type="dxa"/>
            <w:tcBorders>
              <w:top w:val="single" w:sz="4" w:space="0" w:color="auto"/>
              <w:bottom w:val="single" w:sz="4" w:space="0" w:color="auto"/>
            </w:tcBorders>
            <w:shd w:val="clear" w:color="auto" w:fill="auto"/>
            <w:vAlign w:val="bottom"/>
          </w:tcPr>
          <w:p w:rsidR="001F6CAD" w:rsidRPr="0071782F" w:rsidRDefault="001F6CAD" w:rsidP="00E20B36">
            <w:pPr>
              <w:suppressAutoHyphens w:val="0"/>
              <w:spacing w:before="80" w:after="80" w:line="220" w:lineRule="exact"/>
              <w:rPr>
                <w:b/>
                <w:sz w:val="18"/>
                <w:lang w:val="fr-CH"/>
              </w:rPr>
            </w:pPr>
            <w:r w:rsidRPr="0071782F">
              <w:rPr>
                <w:b/>
                <w:sz w:val="18"/>
                <w:lang w:val="fr-CH"/>
              </w:rPr>
              <w:t>8</w:t>
            </w:r>
          </w:p>
        </w:tc>
        <w:tc>
          <w:tcPr>
            <w:tcW w:w="4446" w:type="dxa"/>
            <w:tcBorders>
              <w:top w:val="single" w:sz="4" w:space="0" w:color="auto"/>
              <w:bottom w:val="single" w:sz="4" w:space="0" w:color="auto"/>
            </w:tcBorders>
            <w:shd w:val="clear" w:color="auto" w:fill="auto"/>
            <w:vAlign w:val="bottom"/>
          </w:tcPr>
          <w:p w:rsidR="001F6CAD" w:rsidRPr="0071782F" w:rsidRDefault="001F6CAD" w:rsidP="00FD76D5">
            <w:pPr>
              <w:suppressAutoHyphens w:val="0"/>
              <w:spacing w:before="80" w:after="80" w:line="220" w:lineRule="exact"/>
              <w:ind w:firstLine="284"/>
              <w:rPr>
                <w:b/>
                <w:sz w:val="18"/>
                <w:lang w:val="fr-CH"/>
              </w:rPr>
            </w:pPr>
            <w:r w:rsidRPr="0071782F">
              <w:rPr>
                <w:b/>
                <w:sz w:val="18"/>
                <w:lang w:val="fr-CH"/>
              </w:rPr>
              <w:t>Total</w:t>
            </w:r>
            <w:r w:rsidR="007F76AD" w:rsidRPr="0071782F">
              <w:rPr>
                <w:b/>
                <w:sz w:val="18"/>
                <w:lang w:val="fr-CH"/>
              </w:rPr>
              <w:t>, secteur</w:t>
            </w:r>
            <w:r w:rsidRPr="0071782F">
              <w:rPr>
                <w:b/>
                <w:sz w:val="18"/>
                <w:lang w:val="fr-CH"/>
              </w:rPr>
              <w:t xml:space="preserve"> public </w:t>
            </w:r>
          </w:p>
        </w:tc>
        <w:tc>
          <w:tcPr>
            <w:tcW w:w="2458" w:type="dxa"/>
            <w:tcBorders>
              <w:top w:val="single" w:sz="4" w:space="0" w:color="auto"/>
              <w:bottom w:val="single" w:sz="4" w:space="0" w:color="auto"/>
            </w:tcBorders>
            <w:shd w:val="clear" w:color="auto" w:fill="auto"/>
            <w:vAlign w:val="bottom"/>
          </w:tcPr>
          <w:p w:rsidR="001F6CAD" w:rsidRPr="0071782F" w:rsidRDefault="001F6CAD" w:rsidP="00E20B36">
            <w:pPr>
              <w:suppressAutoHyphens w:val="0"/>
              <w:spacing w:before="80" w:after="80" w:line="220" w:lineRule="exact"/>
              <w:jc w:val="right"/>
              <w:rPr>
                <w:b/>
                <w:sz w:val="18"/>
                <w:lang w:val="fr-CH"/>
              </w:rPr>
            </w:pPr>
            <w:r w:rsidRPr="0071782F">
              <w:rPr>
                <w:b/>
                <w:sz w:val="18"/>
                <w:lang w:val="fr-CH"/>
              </w:rPr>
              <w:t>759 780</w:t>
            </w:r>
          </w:p>
        </w:tc>
      </w:tr>
      <w:tr w:rsidR="001F6CAD" w:rsidRPr="0071782F" w:rsidTr="00670B7B">
        <w:tc>
          <w:tcPr>
            <w:tcW w:w="466" w:type="dxa"/>
            <w:tcBorders>
              <w:top w:val="single" w:sz="4" w:space="0" w:color="auto"/>
              <w:bottom w:val="single" w:sz="4" w:space="0" w:color="auto"/>
            </w:tcBorders>
            <w:shd w:val="clear" w:color="auto" w:fill="auto"/>
            <w:vAlign w:val="bottom"/>
          </w:tcPr>
          <w:p w:rsidR="001F6CAD" w:rsidRPr="0071782F" w:rsidRDefault="001F6CAD" w:rsidP="00E20B36">
            <w:pPr>
              <w:suppressAutoHyphens w:val="0"/>
              <w:spacing w:before="40" w:after="40" w:line="220" w:lineRule="exact"/>
              <w:rPr>
                <w:sz w:val="18"/>
                <w:lang w:val="fr-CH"/>
              </w:rPr>
            </w:pPr>
            <w:r w:rsidRPr="0071782F">
              <w:rPr>
                <w:sz w:val="18"/>
                <w:lang w:val="fr-CH"/>
              </w:rPr>
              <w:t>9</w:t>
            </w:r>
          </w:p>
        </w:tc>
        <w:tc>
          <w:tcPr>
            <w:tcW w:w="4446" w:type="dxa"/>
            <w:tcBorders>
              <w:top w:val="single" w:sz="4" w:space="0" w:color="auto"/>
              <w:bottom w:val="single" w:sz="4" w:space="0" w:color="auto"/>
            </w:tcBorders>
            <w:shd w:val="clear" w:color="auto" w:fill="auto"/>
            <w:vAlign w:val="bottom"/>
          </w:tcPr>
          <w:p w:rsidR="001F6CAD" w:rsidRPr="0071782F" w:rsidRDefault="007F76AD" w:rsidP="00E20B36">
            <w:pPr>
              <w:suppressAutoHyphens w:val="0"/>
              <w:spacing w:before="40" w:after="40" w:line="220" w:lineRule="exact"/>
              <w:rPr>
                <w:sz w:val="18"/>
                <w:lang w:val="fr-CH"/>
              </w:rPr>
            </w:pPr>
            <w:r w:rsidRPr="0071782F">
              <w:rPr>
                <w:sz w:val="18"/>
                <w:lang w:val="fr-CH"/>
              </w:rPr>
              <w:t>I</w:t>
            </w:r>
            <w:r w:rsidR="001F6CAD" w:rsidRPr="0071782F">
              <w:rPr>
                <w:sz w:val="18"/>
                <w:lang w:val="fr-CH"/>
              </w:rPr>
              <w:t>nstitutions</w:t>
            </w:r>
            <w:r w:rsidRPr="0071782F">
              <w:rPr>
                <w:sz w:val="18"/>
                <w:lang w:val="fr-CH"/>
              </w:rPr>
              <w:t xml:space="preserve"> privées</w:t>
            </w:r>
          </w:p>
        </w:tc>
        <w:tc>
          <w:tcPr>
            <w:tcW w:w="2458" w:type="dxa"/>
            <w:tcBorders>
              <w:top w:val="single" w:sz="4" w:space="0" w:color="auto"/>
              <w:bottom w:val="single" w:sz="4" w:space="0" w:color="auto"/>
            </w:tcBorders>
            <w:shd w:val="clear" w:color="auto" w:fill="auto"/>
            <w:vAlign w:val="bottom"/>
          </w:tcPr>
          <w:p w:rsidR="001F6CAD" w:rsidRPr="0071782F" w:rsidRDefault="001F6CAD" w:rsidP="00E20B36">
            <w:pPr>
              <w:suppressAutoHyphens w:val="0"/>
              <w:spacing w:before="40" w:after="40" w:line="220" w:lineRule="exact"/>
              <w:jc w:val="right"/>
              <w:rPr>
                <w:sz w:val="18"/>
                <w:lang w:val="fr-CH"/>
              </w:rPr>
            </w:pPr>
            <w:r w:rsidRPr="0071782F">
              <w:rPr>
                <w:sz w:val="18"/>
                <w:lang w:val="fr-CH"/>
              </w:rPr>
              <w:t>1 978 252</w:t>
            </w:r>
          </w:p>
        </w:tc>
      </w:tr>
      <w:tr w:rsidR="001F6CAD" w:rsidRPr="0071782F" w:rsidTr="00670B7B">
        <w:tc>
          <w:tcPr>
            <w:tcW w:w="466" w:type="dxa"/>
            <w:tcBorders>
              <w:top w:val="single" w:sz="4" w:space="0" w:color="auto"/>
              <w:bottom w:val="single" w:sz="12" w:space="0" w:color="auto"/>
            </w:tcBorders>
            <w:shd w:val="clear" w:color="auto" w:fill="auto"/>
            <w:vAlign w:val="bottom"/>
          </w:tcPr>
          <w:p w:rsidR="001F6CAD" w:rsidRPr="0071782F" w:rsidRDefault="001F6CAD" w:rsidP="00E20B36">
            <w:pPr>
              <w:suppressAutoHyphens w:val="0"/>
              <w:spacing w:before="80" w:after="80" w:line="220" w:lineRule="exact"/>
              <w:rPr>
                <w:b/>
                <w:sz w:val="18"/>
                <w:lang w:val="fr-CH"/>
              </w:rPr>
            </w:pPr>
            <w:r w:rsidRPr="0071782F">
              <w:rPr>
                <w:b/>
                <w:sz w:val="18"/>
                <w:lang w:val="fr-CH"/>
              </w:rPr>
              <w:t>10</w:t>
            </w:r>
          </w:p>
        </w:tc>
        <w:tc>
          <w:tcPr>
            <w:tcW w:w="4446" w:type="dxa"/>
            <w:tcBorders>
              <w:top w:val="single" w:sz="4" w:space="0" w:color="auto"/>
              <w:bottom w:val="single" w:sz="12" w:space="0" w:color="auto"/>
            </w:tcBorders>
            <w:shd w:val="clear" w:color="auto" w:fill="auto"/>
            <w:vAlign w:val="bottom"/>
          </w:tcPr>
          <w:p w:rsidR="001F6CAD" w:rsidRPr="0071782F" w:rsidRDefault="001F6CAD" w:rsidP="00FD76D5">
            <w:pPr>
              <w:suppressAutoHyphens w:val="0"/>
              <w:spacing w:before="80" w:after="80" w:line="220" w:lineRule="exact"/>
              <w:ind w:firstLine="284"/>
              <w:rPr>
                <w:b/>
                <w:sz w:val="18"/>
                <w:lang w:val="fr-CH"/>
              </w:rPr>
            </w:pPr>
            <w:r w:rsidRPr="0071782F">
              <w:rPr>
                <w:b/>
                <w:sz w:val="18"/>
                <w:lang w:val="fr-CH"/>
              </w:rPr>
              <w:t>Total</w:t>
            </w:r>
            <w:r w:rsidR="007F76AD" w:rsidRPr="0071782F">
              <w:rPr>
                <w:b/>
                <w:sz w:val="18"/>
                <w:lang w:val="fr-CH"/>
              </w:rPr>
              <w:t>, secteurs</w:t>
            </w:r>
            <w:r w:rsidRPr="0071782F">
              <w:rPr>
                <w:b/>
                <w:sz w:val="18"/>
                <w:lang w:val="fr-CH"/>
              </w:rPr>
              <w:t xml:space="preserve"> public </w:t>
            </w:r>
            <w:r w:rsidR="007F76AD" w:rsidRPr="0071782F">
              <w:rPr>
                <w:b/>
                <w:sz w:val="18"/>
                <w:lang w:val="fr-CH"/>
              </w:rPr>
              <w:t xml:space="preserve">et </w:t>
            </w:r>
            <w:r w:rsidR="00E87174" w:rsidRPr="0071782F">
              <w:rPr>
                <w:b/>
                <w:sz w:val="18"/>
                <w:lang w:val="fr-CH"/>
              </w:rPr>
              <w:t>privé</w:t>
            </w:r>
            <w:r w:rsidRPr="0071782F">
              <w:rPr>
                <w:b/>
                <w:sz w:val="18"/>
                <w:lang w:val="fr-CH"/>
              </w:rPr>
              <w:t xml:space="preserve"> </w:t>
            </w:r>
          </w:p>
        </w:tc>
        <w:tc>
          <w:tcPr>
            <w:tcW w:w="2458" w:type="dxa"/>
            <w:tcBorders>
              <w:top w:val="single" w:sz="4" w:space="0" w:color="auto"/>
              <w:bottom w:val="single" w:sz="12" w:space="0" w:color="auto"/>
            </w:tcBorders>
            <w:shd w:val="clear" w:color="auto" w:fill="auto"/>
            <w:vAlign w:val="bottom"/>
          </w:tcPr>
          <w:p w:rsidR="001F6CAD" w:rsidRPr="0071782F" w:rsidRDefault="001F6CAD" w:rsidP="00E20B36">
            <w:pPr>
              <w:suppressAutoHyphens w:val="0"/>
              <w:spacing w:before="80" w:after="80" w:line="220" w:lineRule="exact"/>
              <w:jc w:val="right"/>
              <w:rPr>
                <w:b/>
                <w:sz w:val="18"/>
                <w:lang w:val="fr-CH"/>
              </w:rPr>
            </w:pPr>
            <w:r w:rsidRPr="0071782F">
              <w:rPr>
                <w:b/>
                <w:sz w:val="18"/>
                <w:lang w:val="fr-CH"/>
              </w:rPr>
              <w:t>2 738 032</w:t>
            </w:r>
          </w:p>
        </w:tc>
      </w:tr>
    </w:tbl>
    <w:p w:rsidR="001F6CAD" w:rsidRPr="0071782F" w:rsidRDefault="00103FD8" w:rsidP="00103FD8">
      <w:pPr>
        <w:pStyle w:val="H23G"/>
        <w:rPr>
          <w:lang w:val="fr-CH"/>
        </w:rPr>
      </w:pPr>
      <w:r w:rsidRPr="0071782F">
        <w:rPr>
          <w:lang w:val="fr-CH"/>
        </w:rPr>
        <w:tab/>
      </w:r>
      <w:r w:rsidRPr="0071782F">
        <w:rPr>
          <w:lang w:val="fr-CH"/>
        </w:rPr>
        <w:tab/>
      </w:r>
      <w:r w:rsidR="00B12DED" w:rsidRPr="0071782F">
        <w:rPr>
          <w:lang w:val="fr-CH"/>
        </w:rPr>
        <w:t xml:space="preserve">Programmes éducatifs de l’organisme dispensés dans le secteur public, selon le groupe cible et le lieu d’enseignement </w:t>
      </w:r>
    </w:p>
    <w:tbl>
      <w:tblPr>
        <w:tblW w:w="9639"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528"/>
        <w:gridCol w:w="2572"/>
        <w:gridCol w:w="1000"/>
        <w:gridCol w:w="1800"/>
        <w:gridCol w:w="1300"/>
        <w:gridCol w:w="1300"/>
        <w:gridCol w:w="1139"/>
      </w:tblGrid>
      <w:tr w:rsidR="008B4A38" w:rsidRPr="0071782F">
        <w:trPr>
          <w:tblHeader/>
        </w:trPr>
        <w:tc>
          <w:tcPr>
            <w:tcW w:w="528" w:type="dxa"/>
            <w:tcBorders>
              <w:top w:val="single" w:sz="4" w:space="0" w:color="auto"/>
              <w:bottom w:val="nil"/>
            </w:tcBorders>
            <w:shd w:val="clear" w:color="000000" w:fill="auto"/>
            <w:vAlign w:val="bottom"/>
          </w:tcPr>
          <w:p w:rsidR="008B4A38" w:rsidRPr="0071782F" w:rsidRDefault="008B4A38" w:rsidP="00E20B36">
            <w:pPr>
              <w:suppressAutoHyphens w:val="0"/>
              <w:spacing w:before="80" w:after="80" w:line="200" w:lineRule="exact"/>
              <w:jc w:val="center"/>
              <w:rPr>
                <w:i/>
                <w:sz w:val="16"/>
                <w:szCs w:val="16"/>
                <w:lang w:val="fr-CH"/>
              </w:rPr>
            </w:pPr>
          </w:p>
        </w:tc>
        <w:tc>
          <w:tcPr>
            <w:tcW w:w="2572" w:type="dxa"/>
            <w:tcBorders>
              <w:top w:val="single" w:sz="4" w:space="0" w:color="auto"/>
              <w:bottom w:val="nil"/>
            </w:tcBorders>
            <w:shd w:val="clear" w:color="000000" w:fill="auto"/>
            <w:vAlign w:val="bottom"/>
          </w:tcPr>
          <w:p w:rsidR="008B4A38" w:rsidRPr="0071782F" w:rsidRDefault="008B4A38" w:rsidP="00E20B36">
            <w:pPr>
              <w:suppressAutoHyphens w:val="0"/>
              <w:spacing w:before="80" w:after="80" w:line="200" w:lineRule="exact"/>
              <w:jc w:val="center"/>
              <w:rPr>
                <w:i/>
                <w:sz w:val="16"/>
                <w:szCs w:val="16"/>
                <w:lang w:val="fr-CH"/>
              </w:rPr>
            </w:pPr>
          </w:p>
        </w:tc>
        <w:tc>
          <w:tcPr>
            <w:tcW w:w="6539" w:type="dxa"/>
            <w:gridSpan w:val="5"/>
            <w:tcBorders>
              <w:top w:val="single" w:sz="4" w:space="0" w:color="auto"/>
              <w:bottom w:val="single" w:sz="4" w:space="0" w:color="auto"/>
            </w:tcBorders>
            <w:shd w:val="clear" w:color="000000" w:fill="auto"/>
            <w:vAlign w:val="bottom"/>
          </w:tcPr>
          <w:p w:rsidR="008B4A38" w:rsidRPr="0071782F" w:rsidRDefault="00B12DED" w:rsidP="00E20B36">
            <w:pPr>
              <w:suppressAutoHyphens w:val="0"/>
              <w:spacing w:before="80" w:after="80" w:line="200" w:lineRule="exact"/>
              <w:jc w:val="center"/>
              <w:rPr>
                <w:i/>
                <w:sz w:val="16"/>
                <w:szCs w:val="16"/>
                <w:lang w:val="fr-CH"/>
              </w:rPr>
            </w:pPr>
            <w:r w:rsidRPr="0071782F">
              <w:rPr>
                <w:i/>
                <w:sz w:val="16"/>
                <w:szCs w:val="16"/>
                <w:lang w:val="fr-CH"/>
              </w:rPr>
              <w:t>Objectifs éducatifs</w:t>
            </w:r>
            <w:r w:rsidR="008B4A38" w:rsidRPr="0071782F">
              <w:rPr>
                <w:i/>
                <w:sz w:val="16"/>
                <w:szCs w:val="16"/>
                <w:lang w:val="fr-CH"/>
              </w:rPr>
              <w:t xml:space="preserve"> (</w:t>
            </w:r>
            <w:r w:rsidRPr="0071782F">
              <w:rPr>
                <w:i/>
                <w:sz w:val="16"/>
                <w:szCs w:val="16"/>
                <w:lang w:val="fr-CH"/>
              </w:rPr>
              <w:t>heures-homme</w:t>
            </w:r>
            <w:r w:rsidR="008B4A38" w:rsidRPr="0071782F">
              <w:rPr>
                <w:i/>
                <w:sz w:val="16"/>
                <w:szCs w:val="16"/>
                <w:lang w:val="fr-CH"/>
              </w:rPr>
              <w:t>)</w:t>
            </w:r>
          </w:p>
        </w:tc>
      </w:tr>
      <w:tr w:rsidR="00C22D10" w:rsidRPr="0071782F">
        <w:trPr>
          <w:tblHeader/>
        </w:trPr>
        <w:tc>
          <w:tcPr>
            <w:tcW w:w="528" w:type="dxa"/>
            <w:tcBorders>
              <w:top w:val="nil"/>
              <w:bottom w:val="single" w:sz="12" w:space="0" w:color="auto"/>
            </w:tcBorders>
            <w:shd w:val="clear" w:color="000000" w:fill="auto"/>
            <w:vAlign w:val="bottom"/>
          </w:tcPr>
          <w:p w:rsidR="008B4A38" w:rsidRPr="0071782F" w:rsidRDefault="008B4A38" w:rsidP="00E20B36">
            <w:pPr>
              <w:suppressAutoHyphens w:val="0"/>
              <w:spacing w:before="80" w:after="80" w:line="200" w:lineRule="exact"/>
              <w:rPr>
                <w:i/>
                <w:sz w:val="16"/>
                <w:szCs w:val="16"/>
                <w:lang w:val="fr-CH"/>
              </w:rPr>
            </w:pPr>
          </w:p>
        </w:tc>
        <w:tc>
          <w:tcPr>
            <w:tcW w:w="2572" w:type="dxa"/>
            <w:tcBorders>
              <w:top w:val="nil"/>
              <w:bottom w:val="single" w:sz="12" w:space="0" w:color="auto"/>
            </w:tcBorders>
            <w:shd w:val="clear" w:color="000000" w:fill="auto"/>
            <w:vAlign w:val="bottom"/>
          </w:tcPr>
          <w:p w:rsidR="008B4A38" w:rsidRPr="0071782F" w:rsidRDefault="00B12DED" w:rsidP="00E20B36">
            <w:pPr>
              <w:suppressAutoHyphens w:val="0"/>
              <w:spacing w:before="80" w:after="80" w:line="200" w:lineRule="exact"/>
              <w:rPr>
                <w:i/>
                <w:sz w:val="16"/>
                <w:szCs w:val="16"/>
                <w:lang w:val="fr-CH"/>
              </w:rPr>
            </w:pPr>
            <w:r w:rsidRPr="0071782F">
              <w:rPr>
                <w:i/>
                <w:sz w:val="16"/>
                <w:szCs w:val="16"/>
                <w:lang w:val="fr-CH"/>
              </w:rPr>
              <w:t xml:space="preserve">Lieu d’enseignement </w:t>
            </w:r>
          </w:p>
        </w:tc>
        <w:tc>
          <w:tcPr>
            <w:tcW w:w="1000" w:type="dxa"/>
            <w:tcBorders>
              <w:top w:val="single" w:sz="4" w:space="0" w:color="auto"/>
              <w:bottom w:val="single" w:sz="12" w:space="0" w:color="auto"/>
            </w:tcBorders>
            <w:shd w:val="clear" w:color="000000" w:fill="auto"/>
            <w:vAlign w:val="bottom"/>
          </w:tcPr>
          <w:p w:rsidR="008B4A38" w:rsidRPr="0071782F" w:rsidRDefault="00B12DED" w:rsidP="00E20B36">
            <w:pPr>
              <w:suppressAutoHyphens w:val="0"/>
              <w:spacing w:before="80" w:after="80" w:line="200" w:lineRule="exact"/>
              <w:jc w:val="right"/>
              <w:rPr>
                <w:i/>
                <w:sz w:val="16"/>
                <w:szCs w:val="16"/>
                <w:lang w:val="fr-CH"/>
              </w:rPr>
            </w:pPr>
            <w:r w:rsidRPr="0071782F">
              <w:rPr>
                <w:i/>
                <w:sz w:val="16"/>
                <w:szCs w:val="16"/>
                <w:lang w:val="fr-CH"/>
              </w:rPr>
              <w:t xml:space="preserve">Personnes exerçant un emploi </w:t>
            </w:r>
          </w:p>
        </w:tc>
        <w:tc>
          <w:tcPr>
            <w:tcW w:w="1800" w:type="dxa"/>
            <w:tcBorders>
              <w:top w:val="single" w:sz="4" w:space="0" w:color="auto"/>
              <w:bottom w:val="single" w:sz="12" w:space="0" w:color="auto"/>
            </w:tcBorders>
            <w:shd w:val="clear" w:color="000000" w:fill="auto"/>
            <w:vAlign w:val="bottom"/>
          </w:tcPr>
          <w:p w:rsidR="008B4A38" w:rsidRPr="0071782F" w:rsidRDefault="00B12DED" w:rsidP="00E20B36">
            <w:pPr>
              <w:suppressAutoHyphens w:val="0"/>
              <w:spacing w:before="80" w:after="80" w:line="200" w:lineRule="exact"/>
              <w:jc w:val="right"/>
              <w:rPr>
                <w:i/>
                <w:sz w:val="16"/>
                <w:szCs w:val="16"/>
                <w:lang w:val="fr-CH"/>
              </w:rPr>
            </w:pPr>
            <w:r w:rsidRPr="0071782F">
              <w:rPr>
                <w:i/>
                <w:sz w:val="16"/>
                <w:szCs w:val="16"/>
                <w:lang w:val="fr-CH"/>
              </w:rPr>
              <w:t>Diplômés de</w:t>
            </w:r>
            <w:r w:rsidR="00E20B36" w:rsidRPr="0071782F">
              <w:rPr>
                <w:i/>
                <w:sz w:val="16"/>
                <w:szCs w:val="16"/>
                <w:lang w:val="fr-CH"/>
              </w:rPr>
              <w:br/>
            </w:r>
            <w:r w:rsidRPr="0071782F">
              <w:rPr>
                <w:i/>
                <w:sz w:val="16"/>
                <w:szCs w:val="16"/>
                <w:lang w:val="fr-CH"/>
              </w:rPr>
              <w:t xml:space="preserve"> l’université au chômage</w:t>
            </w:r>
            <w:r w:rsidR="00E20B36" w:rsidRPr="0071782F">
              <w:rPr>
                <w:i/>
                <w:sz w:val="16"/>
                <w:szCs w:val="16"/>
                <w:lang w:val="fr-CH"/>
              </w:rPr>
              <w:br/>
            </w:r>
            <w:r w:rsidRPr="0071782F">
              <w:rPr>
                <w:i/>
                <w:sz w:val="16"/>
                <w:szCs w:val="16"/>
                <w:lang w:val="fr-CH"/>
              </w:rPr>
              <w:t xml:space="preserve"> et étudiants </w:t>
            </w:r>
          </w:p>
        </w:tc>
        <w:tc>
          <w:tcPr>
            <w:tcW w:w="1300" w:type="dxa"/>
            <w:tcBorders>
              <w:top w:val="single" w:sz="4" w:space="0" w:color="auto"/>
              <w:bottom w:val="single" w:sz="12" w:space="0" w:color="auto"/>
            </w:tcBorders>
            <w:shd w:val="clear" w:color="000000" w:fill="auto"/>
            <w:vAlign w:val="bottom"/>
          </w:tcPr>
          <w:p w:rsidR="008B4A38" w:rsidRPr="0071782F" w:rsidRDefault="00B12DED" w:rsidP="00E20B36">
            <w:pPr>
              <w:suppressAutoHyphens w:val="0"/>
              <w:spacing w:before="80" w:after="80" w:line="200" w:lineRule="exact"/>
              <w:jc w:val="right"/>
              <w:rPr>
                <w:i/>
                <w:sz w:val="16"/>
                <w:szCs w:val="16"/>
                <w:lang w:val="fr-CH"/>
              </w:rPr>
            </w:pPr>
            <w:r w:rsidRPr="0071782F">
              <w:rPr>
                <w:i/>
                <w:sz w:val="16"/>
                <w:szCs w:val="16"/>
                <w:lang w:val="fr-CH"/>
              </w:rPr>
              <w:t xml:space="preserve">Demandeurs d’emploi résidant en milieu urbain </w:t>
            </w:r>
          </w:p>
        </w:tc>
        <w:tc>
          <w:tcPr>
            <w:tcW w:w="1300" w:type="dxa"/>
            <w:tcBorders>
              <w:top w:val="single" w:sz="4" w:space="0" w:color="auto"/>
              <w:bottom w:val="single" w:sz="12" w:space="0" w:color="auto"/>
            </w:tcBorders>
            <w:shd w:val="clear" w:color="000000" w:fill="auto"/>
            <w:vAlign w:val="bottom"/>
          </w:tcPr>
          <w:p w:rsidR="008B4A38" w:rsidRPr="0071782F" w:rsidRDefault="00B12DED" w:rsidP="00E20B36">
            <w:pPr>
              <w:suppressAutoHyphens w:val="0"/>
              <w:spacing w:before="80" w:after="80" w:line="200" w:lineRule="exact"/>
              <w:jc w:val="right"/>
              <w:rPr>
                <w:i/>
                <w:sz w:val="16"/>
                <w:szCs w:val="16"/>
                <w:lang w:val="fr-CH"/>
              </w:rPr>
            </w:pPr>
            <w:r w:rsidRPr="0071782F">
              <w:rPr>
                <w:i/>
                <w:sz w:val="16"/>
                <w:szCs w:val="16"/>
                <w:lang w:val="fr-CH"/>
              </w:rPr>
              <w:t>Demandeurs d’emploi résidant en milieu r</w:t>
            </w:r>
            <w:r w:rsidR="008B4A38" w:rsidRPr="0071782F">
              <w:rPr>
                <w:i/>
                <w:sz w:val="16"/>
                <w:szCs w:val="16"/>
                <w:lang w:val="fr-CH"/>
              </w:rPr>
              <w:t>ural</w:t>
            </w:r>
            <w:r w:rsidR="004D70E3" w:rsidRPr="0071782F">
              <w:rPr>
                <w:i/>
                <w:sz w:val="16"/>
                <w:szCs w:val="16"/>
                <w:lang w:val="fr-CH"/>
              </w:rPr>
              <w:t xml:space="preserve"> </w:t>
            </w:r>
          </w:p>
        </w:tc>
        <w:tc>
          <w:tcPr>
            <w:tcW w:w="1139" w:type="dxa"/>
            <w:tcBorders>
              <w:top w:val="single" w:sz="4" w:space="0" w:color="auto"/>
              <w:bottom w:val="single" w:sz="12" w:space="0" w:color="auto"/>
            </w:tcBorders>
            <w:shd w:val="clear" w:color="000000" w:fill="auto"/>
            <w:vAlign w:val="bottom"/>
          </w:tcPr>
          <w:p w:rsidR="008B4A38" w:rsidRPr="0071782F" w:rsidRDefault="008B4A38" w:rsidP="00E20B36">
            <w:pPr>
              <w:suppressAutoHyphens w:val="0"/>
              <w:spacing w:before="80" w:after="80" w:line="200" w:lineRule="exact"/>
              <w:jc w:val="right"/>
              <w:rPr>
                <w:b/>
                <w:i/>
                <w:sz w:val="16"/>
                <w:szCs w:val="16"/>
                <w:lang w:val="fr-CH"/>
              </w:rPr>
            </w:pPr>
            <w:r w:rsidRPr="0071782F">
              <w:rPr>
                <w:b/>
                <w:i/>
                <w:sz w:val="16"/>
                <w:szCs w:val="16"/>
                <w:lang w:val="fr-CH"/>
              </w:rPr>
              <w:t>Total</w:t>
            </w:r>
          </w:p>
        </w:tc>
      </w:tr>
      <w:tr w:rsidR="00C22D10" w:rsidRPr="0071782F">
        <w:tc>
          <w:tcPr>
            <w:tcW w:w="528" w:type="dxa"/>
            <w:tcBorders>
              <w:top w:val="single" w:sz="12" w:space="0" w:color="auto"/>
            </w:tcBorders>
            <w:shd w:val="clear" w:color="000000" w:fill="auto"/>
            <w:vAlign w:val="bottom"/>
          </w:tcPr>
          <w:p w:rsidR="008B4A38" w:rsidRPr="0071782F" w:rsidRDefault="008B4A38" w:rsidP="00E20B36">
            <w:pPr>
              <w:suppressAutoHyphens w:val="0"/>
              <w:spacing w:before="40" w:after="40" w:line="220" w:lineRule="exact"/>
              <w:rPr>
                <w:sz w:val="18"/>
                <w:lang w:val="fr-CH"/>
              </w:rPr>
            </w:pPr>
            <w:r w:rsidRPr="0071782F">
              <w:rPr>
                <w:sz w:val="18"/>
                <w:lang w:val="fr-CH"/>
              </w:rPr>
              <w:t>1</w:t>
            </w:r>
          </w:p>
        </w:tc>
        <w:tc>
          <w:tcPr>
            <w:tcW w:w="2572" w:type="dxa"/>
            <w:tcBorders>
              <w:top w:val="single" w:sz="12" w:space="0" w:color="auto"/>
            </w:tcBorders>
            <w:shd w:val="clear" w:color="000000" w:fill="auto"/>
            <w:vAlign w:val="bottom"/>
          </w:tcPr>
          <w:p w:rsidR="008B4A38" w:rsidRPr="0071782F" w:rsidRDefault="00B12DED" w:rsidP="00E20B36">
            <w:pPr>
              <w:suppressAutoHyphens w:val="0"/>
              <w:spacing w:before="40" w:after="40" w:line="220" w:lineRule="exact"/>
              <w:rPr>
                <w:sz w:val="18"/>
                <w:lang w:val="fr-CH"/>
              </w:rPr>
            </w:pPr>
            <w:r w:rsidRPr="0071782F">
              <w:rPr>
                <w:sz w:val="18"/>
                <w:lang w:val="fr-CH"/>
              </w:rPr>
              <w:t>Centre de jour fixe</w:t>
            </w:r>
          </w:p>
        </w:tc>
        <w:tc>
          <w:tcPr>
            <w:tcW w:w="1000" w:type="dxa"/>
            <w:tcBorders>
              <w:top w:val="single" w:sz="12" w:space="0" w:color="auto"/>
            </w:tcBorders>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12 369 877</w:t>
            </w:r>
          </w:p>
        </w:tc>
        <w:tc>
          <w:tcPr>
            <w:tcW w:w="1800" w:type="dxa"/>
            <w:tcBorders>
              <w:top w:val="single" w:sz="12" w:space="0" w:color="auto"/>
            </w:tcBorders>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8 270 901</w:t>
            </w:r>
          </w:p>
        </w:tc>
        <w:tc>
          <w:tcPr>
            <w:tcW w:w="1300" w:type="dxa"/>
            <w:tcBorders>
              <w:top w:val="single" w:sz="12" w:space="0" w:color="auto"/>
            </w:tcBorders>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27 237 967</w:t>
            </w:r>
          </w:p>
        </w:tc>
        <w:tc>
          <w:tcPr>
            <w:tcW w:w="1300" w:type="dxa"/>
            <w:tcBorders>
              <w:top w:val="single" w:sz="12" w:space="0" w:color="auto"/>
            </w:tcBorders>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6 104 966</w:t>
            </w:r>
          </w:p>
        </w:tc>
        <w:tc>
          <w:tcPr>
            <w:tcW w:w="1139" w:type="dxa"/>
            <w:tcBorders>
              <w:top w:val="single" w:sz="12" w:space="0" w:color="auto"/>
            </w:tcBorders>
            <w:shd w:val="clear" w:color="000000" w:fill="auto"/>
            <w:vAlign w:val="bottom"/>
          </w:tcPr>
          <w:p w:rsidR="008B4A38" w:rsidRPr="0071782F" w:rsidRDefault="008B4A38" w:rsidP="00E20B36">
            <w:pPr>
              <w:suppressAutoHyphens w:val="0"/>
              <w:spacing w:before="40" w:after="40" w:line="220" w:lineRule="exact"/>
              <w:jc w:val="right"/>
              <w:rPr>
                <w:b/>
                <w:sz w:val="18"/>
                <w:lang w:val="fr-CH"/>
              </w:rPr>
            </w:pPr>
            <w:r w:rsidRPr="0071782F">
              <w:rPr>
                <w:b/>
                <w:sz w:val="18"/>
                <w:lang w:val="fr-CH"/>
              </w:rPr>
              <w:t>53 983 711</w:t>
            </w:r>
          </w:p>
        </w:tc>
      </w:tr>
      <w:tr w:rsidR="00C22D10" w:rsidRPr="0071782F">
        <w:tc>
          <w:tcPr>
            <w:tcW w:w="528" w:type="dxa"/>
            <w:shd w:val="clear" w:color="000000" w:fill="auto"/>
            <w:vAlign w:val="bottom"/>
          </w:tcPr>
          <w:p w:rsidR="008B4A38" w:rsidRPr="0071782F" w:rsidRDefault="008B4A38" w:rsidP="00E20B36">
            <w:pPr>
              <w:suppressAutoHyphens w:val="0"/>
              <w:spacing w:before="40" w:after="40" w:line="220" w:lineRule="exact"/>
              <w:rPr>
                <w:sz w:val="18"/>
                <w:lang w:val="fr-CH"/>
              </w:rPr>
            </w:pPr>
            <w:r w:rsidRPr="0071782F">
              <w:rPr>
                <w:sz w:val="18"/>
                <w:lang w:val="fr-CH"/>
              </w:rPr>
              <w:t>2</w:t>
            </w:r>
          </w:p>
        </w:tc>
        <w:tc>
          <w:tcPr>
            <w:tcW w:w="2572" w:type="dxa"/>
            <w:shd w:val="clear" w:color="000000" w:fill="auto"/>
            <w:vAlign w:val="bottom"/>
          </w:tcPr>
          <w:p w:rsidR="008B4A38" w:rsidRPr="0071782F" w:rsidRDefault="00B12DED" w:rsidP="00E20B36">
            <w:pPr>
              <w:suppressAutoHyphens w:val="0"/>
              <w:spacing w:before="40" w:after="40" w:line="220" w:lineRule="exact"/>
              <w:rPr>
                <w:sz w:val="18"/>
                <w:lang w:val="fr-CH"/>
              </w:rPr>
            </w:pPr>
            <w:r w:rsidRPr="0071782F">
              <w:rPr>
                <w:sz w:val="18"/>
                <w:lang w:val="fr-CH"/>
              </w:rPr>
              <w:t>Centre de jour fixe privatisé</w:t>
            </w:r>
          </w:p>
        </w:tc>
        <w:tc>
          <w:tcPr>
            <w:tcW w:w="10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4 078 390</w:t>
            </w:r>
          </w:p>
        </w:tc>
        <w:tc>
          <w:tcPr>
            <w:tcW w:w="18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2 481 105</w:t>
            </w:r>
          </w:p>
        </w:tc>
        <w:tc>
          <w:tcPr>
            <w:tcW w:w="13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15 140 570</w:t>
            </w:r>
          </w:p>
        </w:tc>
        <w:tc>
          <w:tcPr>
            <w:tcW w:w="1300" w:type="dxa"/>
            <w:shd w:val="clear" w:color="000000" w:fill="auto"/>
            <w:vAlign w:val="bottom"/>
          </w:tcPr>
          <w:p w:rsidR="008B4A38" w:rsidRPr="0071782F" w:rsidRDefault="00A7453D" w:rsidP="00E20B36">
            <w:pPr>
              <w:suppressAutoHyphens w:val="0"/>
              <w:spacing w:before="40" w:after="40" w:line="220" w:lineRule="exact"/>
              <w:jc w:val="right"/>
              <w:rPr>
                <w:sz w:val="18"/>
                <w:lang w:val="fr-CH"/>
              </w:rPr>
            </w:pPr>
            <w:r w:rsidRPr="0071782F">
              <w:rPr>
                <w:sz w:val="18"/>
                <w:lang w:val="fr-CH"/>
              </w:rPr>
              <w:t>–</w:t>
            </w:r>
          </w:p>
        </w:tc>
        <w:tc>
          <w:tcPr>
            <w:tcW w:w="1139" w:type="dxa"/>
            <w:shd w:val="clear" w:color="000000" w:fill="auto"/>
            <w:vAlign w:val="bottom"/>
          </w:tcPr>
          <w:p w:rsidR="008B4A38" w:rsidRPr="0071782F" w:rsidRDefault="008B4A38" w:rsidP="00E20B36">
            <w:pPr>
              <w:suppressAutoHyphens w:val="0"/>
              <w:spacing w:before="40" w:after="40" w:line="220" w:lineRule="exact"/>
              <w:jc w:val="right"/>
              <w:rPr>
                <w:b/>
                <w:sz w:val="18"/>
                <w:lang w:val="fr-CH"/>
              </w:rPr>
            </w:pPr>
            <w:r w:rsidRPr="0071782F">
              <w:rPr>
                <w:b/>
                <w:sz w:val="18"/>
                <w:lang w:val="fr-CH"/>
              </w:rPr>
              <w:t>21 700 065</w:t>
            </w:r>
          </w:p>
        </w:tc>
      </w:tr>
      <w:tr w:rsidR="00C22D10" w:rsidRPr="0071782F">
        <w:tc>
          <w:tcPr>
            <w:tcW w:w="528" w:type="dxa"/>
            <w:shd w:val="clear" w:color="000000" w:fill="auto"/>
            <w:vAlign w:val="bottom"/>
          </w:tcPr>
          <w:p w:rsidR="008B4A38" w:rsidRPr="0071782F" w:rsidRDefault="008B4A38" w:rsidP="00E20B36">
            <w:pPr>
              <w:suppressAutoHyphens w:val="0"/>
              <w:spacing w:before="40" w:after="40" w:line="220" w:lineRule="exact"/>
              <w:rPr>
                <w:sz w:val="18"/>
                <w:lang w:val="fr-CH"/>
              </w:rPr>
            </w:pPr>
            <w:r w:rsidRPr="0071782F">
              <w:rPr>
                <w:sz w:val="18"/>
                <w:lang w:val="fr-CH"/>
              </w:rPr>
              <w:t>3</w:t>
            </w:r>
          </w:p>
        </w:tc>
        <w:tc>
          <w:tcPr>
            <w:tcW w:w="2572" w:type="dxa"/>
            <w:shd w:val="clear" w:color="000000" w:fill="auto"/>
            <w:vAlign w:val="bottom"/>
          </w:tcPr>
          <w:p w:rsidR="008B4A38" w:rsidRPr="0071782F" w:rsidRDefault="00B12DED" w:rsidP="00E20B36">
            <w:pPr>
              <w:suppressAutoHyphens w:val="0"/>
              <w:spacing w:before="40" w:after="40" w:line="220" w:lineRule="exact"/>
              <w:rPr>
                <w:sz w:val="18"/>
                <w:lang w:val="fr-CH"/>
              </w:rPr>
            </w:pPr>
            <w:r w:rsidRPr="0071782F">
              <w:rPr>
                <w:sz w:val="18"/>
                <w:lang w:val="fr-CH"/>
              </w:rPr>
              <w:t>Centre administratif fonctionnant 24</w:t>
            </w:r>
            <w:r w:rsidR="00BF435F" w:rsidRPr="0071782F">
              <w:rPr>
                <w:sz w:val="18"/>
                <w:lang w:val="fr-CH"/>
              </w:rPr>
              <w:t> heures</w:t>
            </w:r>
            <w:r w:rsidRPr="0071782F">
              <w:rPr>
                <w:sz w:val="18"/>
                <w:lang w:val="fr-CH"/>
              </w:rPr>
              <w:t xml:space="preserve"> sur 24 </w:t>
            </w:r>
          </w:p>
        </w:tc>
        <w:tc>
          <w:tcPr>
            <w:tcW w:w="10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3 106 058</w:t>
            </w:r>
          </w:p>
        </w:tc>
        <w:tc>
          <w:tcPr>
            <w:tcW w:w="18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2 311 728</w:t>
            </w:r>
          </w:p>
        </w:tc>
        <w:tc>
          <w:tcPr>
            <w:tcW w:w="13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9 217 719</w:t>
            </w:r>
          </w:p>
        </w:tc>
        <w:tc>
          <w:tcPr>
            <w:tcW w:w="13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3 232 529</w:t>
            </w:r>
          </w:p>
        </w:tc>
        <w:tc>
          <w:tcPr>
            <w:tcW w:w="1139" w:type="dxa"/>
            <w:shd w:val="clear" w:color="000000" w:fill="auto"/>
            <w:vAlign w:val="bottom"/>
          </w:tcPr>
          <w:p w:rsidR="008B4A38" w:rsidRPr="0071782F" w:rsidRDefault="008B4A38" w:rsidP="00E20B36">
            <w:pPr>
              <w:suppressAutoHyphens w:val="0"/>
              <w:spacing w:before="40" w:after="40" w:line="220" w:lineRule="exact"/>
              <w:jc w:val="right"/>
              <w:rPr>
                <w:b/>
                <w:sz w:val="18"/>
                <w:lang w:val="fr-CH"/>
              </w:rPr>
            </w:pPr>
            <w:r w:rsidRPr="0071782F">
              <w:rPr>
                <w:b/>
                <w:sz w:val="18"/>
                <w:lang w:val="fr-CH"/>
              </w:rPr>
              <w:t>17 868 034</w:t>
            </w:r>
          </w:p>
        </w:tc>
      </w:tr>
      <w:tr w:rsidR="00C22D10" w:rsidRPr="0071782F">
        <w:tc>
          <w:tcPr>
            <w:tcW w:w="528" w:type="dxa"/>
            <w:shd w:val="clear" w:color="000000" w:fill="auto"/>
            <w:vAlign w:val="bottom"/>
          </w:tcPr>
          <w:p w:rsidR="008B4A38" w:rsidRPr="0071782F" w:rsidRDefault="008B4A38" w:rsidP="00E20B36">
            <w:pPr>
              <w:suppressAutoHyphens w:val="0"/>
              <w:spacing w:before="40" w:after="40" w:line="220" w:lineRule="exact"/>
              <w:rPr>
                <w:sz w:val="18"/>
                <w:lang w:val="fr-CH"/>
              </w:rPr>
            </w:pPr>
            <w:r w:rsidRPr="0071782F">
              <w:rPr>
                <w:sz w:val="18"/>
                <w:lang w:val="fr-CH"/>
              </w:rPr>
              <w:t>4</w:t>
            </w:r>
          </w:p>
        </w:tc>
        <w:tc>
          <w:tcPr>
            <w:tcW w:w="2572" w:type="dxa"/>
            <w:shd w:val="clear" w:color="000000" w:fill="auto"/>
            <w:vAlign w:val="bottom"/>
          </w:tcPr>
          <w:p w:rsidR="008B4A38" w:rsidRPr="0071782F" w:rsidRDefault="00B12DED" w:rsidP="00E20B36">
            <w:pPr>
              <w:suppressAutoHyphens w:val="0"/>
              <w:spacing w:before="40" w:after="40" w:line="220" w:lineRule="exact"/>
              <w:rPr>
                <w:sz w:val="18"/>
                <w:lang w:val="fr-CH"/>
              </w:rPr>
            </w:pPr>
            <w:r w:rsidRPr="0071782F">
              <w:rPr>
                <w:sz w:val="18"/>
                <w:lang w:val="fr-CH"/>
              </w:rPr>
              <w:t>Centre itinérant</w:t>
            </w:r>
            <w:r w:rsidR="008B4A38" w:rsidRPr="0071782F">
              <w:rPr>
                <w:sz w:val="18"/>
                <w:lang w:val="fr-CH"/>
              </w:rPr>
              <w:t>-</w:t>
            </w:r>
            <w:r w:rsidRPr="0071782F">
              <w:rPr>
                <w:sz w:val="18"/>
                <w:lang w:val="fr-CH"/>
              </w:rPr>
              <w:t>établissement pénit</w:t>
            </w:r>
            <w:r w:rsidR="00E87174" w:rsidRPr="0071782F">
              <w:rPr>
                <w:sz w:val="18"/>
                <w:lang w:val="fr-CH"/>
              </w:rPr>
              <w:t>e</w:t>
            </w:r>
            <w:r w:rsidRPr="0071782F">
              <w:rPr>
                <w:sz w:val="18"/>
                <w:lang w:val="fr-CH"/>
              </w:rPr>
              <w:t xml:space="preserve">ntiaire </w:t>
            </w:r>
          </w:p>
        </w:tc>
        <w:tc>
          <w:tcPr>
            <w:tcW w:w="10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p>
        </w:tc>
        <w:tc>
          <w:tcPr>
            <w:tcW w:w="18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p>
        </w:tc>
        <w:tc>
          <w:tcPr>
            <w:tcW w:w="13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8 435 466</w:t>
            </w:r>
          </w:p>
        </w:tc>
        <w:tc>
          <w:tcPr>
            <w:tcW w:w="13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p>
        </w:tc>
        <w:tc>
          <w:tcPr>
            <w:tcW w:w="1139" w:type="dxa"/>
            <w:shd w:val="clear" w:color="000000" w:fill="auto"/>
            <w:vAlign w:val="bottom"/>
          </w:tcPr>
          <w:p w:rsidR="008B4A38" w:rsidRPr="0071782F" w:rsidRDefault="008B4A38" w:rsidP="00E20B36">
            <w:pPr>
              <w:suppressAutoHyphens w:val="0"/>
              <w:spacing w:before="40" w:after="40" w:line="220" w:lineRule="exact"/>
              <w:jc w:val="right"/>
              <w:rPr>
                <w:b/>
                <w:sz w:val="18"/>
                <w:lang w:val="fr-CH"/>
              </w:rPr>
            </w:pPr>
            <w:r w:rsidRPr="0071782F">
              <w:rPr>
                <w:b/>
                <w:sz w:val="18"/>
                <w:lang w:val="fr-CH"/>
              </w:rPr>
              <w:t>8 435 466</w:t>
            </w:r>
          </w:p>
        </w:tc>
      </w:tr>
      <w:tr w:rsidR="00C22D10" w:rsidRPr="0071782F">
        <w:tc>
          <w:tcPr>
            <w:tcW w:w="528" w:type="dxa"/>
            <w:shd w:val="clear" w:color="000000" w:fill="auto"/>
            <w:vAlign w:val="bottom"/>
          </w:tcPr>
          <w:p w:rsidR="008B4A38" w:rsidRPr="0071782F" w:rsidRDefault="008B4A38" w:rsidP="00E20B36">
            <w:pPr>
              <w:suppressAutoHyphens w:val="0"/>
              <w:spacing w:before="40" w:after="40" w:line="220" w:lineRule="exact"/>
              <w:rPr>
                <w:sz w:val="18"/>
                <w:lang w:val="fr-CH"/>
              </w:rPr>
            </w:pPr>
            <w:r w:rsidRPr="0071782F">
              <w:rPr>
                <w:sz w:val="18"/>
                <w:lang w:val="fr-CH"/>
              </w:rPr>
              <w:t>5</w:t>
            </w:r>
          </w:p>
        </w:tc>
        <w:tc>
          <w:tcPr>
            <w:tcW w:w="2572" w:type="dxa"/>
            <w:shd w:val="clear" w:color="000000" w:fill="auto"/>
            <w:vAlign w:val="bottom"/>
          </w:tcPr>
          <w:p w:rsidR="008B4A38" w:rsidRPr="0071782F" w:rsidRDefault="00B12DED" w:rsidP="00E20B36">
            <w:pPr>
              <w:suppressAutoHyphens w:val="0"/>
              <w:spacing w:before="40" w:after="40" w:line="220" w:lineRule="exact"/>
              <w:rPr>
                <w:sz w:val="18"/>
                <w:lang w:val="fr-CH"/>
              </w:rPr>
            </w:pPr>
            <w:r w:rsidRPr="0071782F">
              <w:rPr>
                <w:sz w:val="18"/>
                <w:lang w:val="fr-CH"/>
              </w:rPr>
              <w:t>Centre itinérant –</w:t>
            </w:r>
            <w:r w:rsidR="008B4A38" w:rsidRPr="0071782F">
              <w:rPr>
                <w:sz w:val="18"/>
                <w:lang w:val="fr-CH"/>
              </w:rPr>
              <w:t>ga</w:t>
            </w:r>
            <w:r w:rsidRPr="0071782F">
              <w:rPr>
                <w:sz w:val="18"/>
                <w:lang w:val="fr-CH"/>
              </w:rPr>
              <w:t xml:space="preserve">rnison </w:t>
            </w:r>
          </w:p>
        </w:tc>
        <w:tc>
          <w:tcPr>
            <w:tcW w:w="10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p>
        </w:tc>
        <w:tc>
          <w:tcPr>
            <w:tcW w:w="18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244 782</w:t>
            </w:r>
          </w:p>
        </w:tc>
        <w:tc>
          <w:tcPr>
            <w:tcW w:w="13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5 156 913</w:t>
            </w:r>
          </w:p>
        </w:tc>
        <w:tc>
          <w:tcPr>
            <w:tcW w:w="13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p>
        </w:tc>
        <w:tc>
          <w:tcPr>
            <w:tcW w:w="1139" w:type="dxa"/>
            <w:shd w:val="clear" w:color="000000" w:fill="auto"/>
            <w:vAlign w:val="bottom"/>
          </w:tcPr>
          <w:p w:rsidR="008B4A38" w:rsidRPr="0071782F" w:rsidRDefault="008B4A38" w:rsidP="00E20B36">
            <w:pPr>
              <w:suppressAutoHyphens w:val="0"/>
              <w:spacing w:before="40" w:after="40" w:line="220" w:lineRule="exact"/>
              <w:jc w:val="right"/>
              <w:rPr>
                <w:b/>
                <w:sz w:val="18"/>
                <w:lang w:val="fr-CH"/>
              </w:rPr>
            </w:pPr>
            <w:r w:rsidRPr="0071782F">
              <w:rPr>
                <w:b/>
                <w:sz w:val="18"/>
                <w:lang w:val="fr-CH"/>
              </w:rPr>
              <w:t>5 401 695</w:t>
            </w:r>
          </w:p>
        </w:tc>
      </w:tr>
      <w:tr w:rsidR="00C22D10" w:rsidRPr="0071782F">
        <w:tc>
          <w:tcPr>
            <w:tcW w:w="528" w:type="dxa"/>
            <w:shd w:val="clear" w:color="000000" w:fill="auto"/>
            <w:vAlign w:val="bottom"/>
          </w:tcPr>
          <w:p w:rsidR="008B4A38" w:rsidRPr="0071782F" w:rsidRDefault="008B4A38" w:rsidP="00E20B36">
            <w:pPr>
              <w:suppressAutoHyphens w:val="0"/>
              <w:spacing w:before="40" w:after="40" w:line="220" w:lineRule="exact"/>
              <w:rPr>
                <w:sz w:val="18"/>
                <w:lang w:val="fr-CH"/>
              </w:rPr>
            </w:pPr>
            <w:r w:rsidRPr="0071782F">
              <w:rPr>
                <w:sz w:val="18"/>
                <w:lang w:val="fr-CH"/>
              </w:rPr>
              <w:t>6</w:t>
            </w:r>
          </w:p>
        </w:tc>
        <w:tc>
          <w:tcPr>
            <w:tcW w:w="2572" w:type="dxa"/>
            <w:shd w:val="clear" w:color="000000" w:fill="auto"/>
            <w:vAlign w:val="bottom"/>
          </w:tcPr>
          <w:p w:rsidR="008B4A38" w:rsidRPr="0071782F" w:rsidRDefault="00B12DED" w:rsidP="00E20B36">
            <w:pPr>
              <w:suppressAutoHyphens w:val="0"/>
              <w:spacing w:before="40" w:after="40" w:line="220" w:lineRule="exact"/>
              <w:rPr>
                <w:sz w:val="18"/>
                <w:lang w:val="fr-CH"/>
              </w:rPr>
            </w:pPr>
            <w:r w:rsidRPr="0071782F">
              <w:rPr>
                <w:sz w:val="18"/>
                <w:lang w:val="fr-CH"/>
              </w:rPr>
              <w:t xml:space="preserve">Centre itinérant –milieu </w:t>
            </w:r>
            <w:r w:rsidR="008B4A38" w:rsidRPr="0071782F">
              <w:rPr>
                <w:sz w:val="18"/>
                <w:lang w:val="fr-CH"/>
              </w:rPr>
              <w:t>urba</w:t>
            </w:r>
            <w:r w:rsidRPr="0071782F">
              <w:rPr>
                <w:sz w:val="18"/>
                <w:lang w:val="fr-CH"/>
              </w:rPr>
              <w:t>i</w:t>
            </w:r>
            <w:r w:rsidR="008B4A38" w:rsidRPr="0071782F">
              <w:rPr>
                <w:sz w:val="18"/>
                <w:lang w:val="fr-CH"/>
              </w:rPr>
              <w:t>n</w:t>
            </w:r>
          </w:p>
        </w:tc>
        <w:tc>
          <w:tcPr>
            <w:tcW w:w="10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2 362 594</w:t>
            </w:r>
          </w:p>
        </w:tc>
        <w:tc>
          <w:tcPr>
            <w:tcW w:w="18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960 253</w:t>
            </w:r>
          </w:p>
        </w:tc>
        <w:tc>
          <w:tcPr>
            <w:tcW w:w="13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6 151 591</w:t>
            </w:r>
          </w:p>
        </w:tc>
        <w:tc>
          <w:tcPr>
            <w:tcW w:w="13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p>
        </w:tc>
        <w:tc>
          <w:tcPr>
            <w:tcW w:w="1139" w:type="dxa"/>
            <w:shd w:val="clear" w:color="000000" w:fill="auto"/>
            <w:vAlign w:val="bottom"/>
          </w:tcPr>
          <w:p w:rsidR="008B4A38" w:rsidRPr="0071782F" w:rsidRDefault="008B4A38" w:rsidP="00E20B36">
            <w:pPr>
              <w:suppressAutoHyphens w:val="0"/>
              <w:spacing w:before="40" w:after="40" w:line="220" w:lineRule="exact"/>
              <w:jc w:val="right"/>
              <w:rPr>
                <w:b/>
                <w:sz w:val="18"/>
                <w:lang w:val="fr-CH"/>
              </w:rPr>
            </w:pPr>
            <w:r w:rsidRPr="0071782F">
              <w:rPr>
                <w:b/>
                <w:sz w:val="18"/>
                <w:lang w:val="fr-CH"/>
              </w:rPr>
              <w:t>9 474 438</w:t>
            </w:r>
          </w:p>
        </w:tc>
      </w:tr>
      <w:tr w:rsidR="00C22D10" w:rsidRPr="0071782F">
        <w:tc>
          <w:tcPr>
            <w:tcW w:w="528" w:type="dxa"/>
            <w:shd w:val="clear" w:color="000000" w:fill="auto"/>
            <w:vAlign w:val="bottom"/>
          </w:tcPr>
          <w:p w:rsidR="008B4A38" w:rsidRPr="0071782F" w:rsidRDefault="008B4A38" w:rsidP="00E20B36">
            <w:pPr>
              <w:suppressAutoHyphens w:val="0"/>
              <w:spacing w:before="40" w:after="40" w:line="220" w:lineRule="exact"/>
              <w:rPr>
                <w:sz w:val="18"/>
                <w:lang w:val="fr-CH"/>
              </w:rPr>
            </w:pPr>
            <w:r w:rsidRPr="0071782F">
              <w:rPr>
                <w:sz w:val="18"/>
                <w:lang w:val="fr-CH"/>
              </w:rPr>
              <w:t>7</w:t>
            </w:r>
          </w:p>
        </w:tc>
        <w:tc>
          <w:tcPr>
            <w:tcW w:w="2572" w:type="dxa"/>
            <w:shd w:val="clear" w:color="000000" w:fill="auto"/>
            <w:vAlign w:val="bottom"/>
          </w:tcPr>
          <w:p w:rsidR="008B4A38" w:rsidRPr="0071782F" w:rsidRDefault="00B12DED" w:rsidP="00E20B36">
            <w:pPr>
              <w:suppressAutoHyphens w:val="0"/>
              <w:spacing w:before="40" w:after="40" w:line="220" w:lineRule="exact"/>
              <w:rPr>
                <w:sz w:val="18"/>
                <w:lang w:val="fr-CH"/>
              </w:rPr>
            </w:pPr>
            <w:r w:rsidRPr="0071782F">
              <w:rPr>
                <w:sz w:val="18"/>
                <w:lang w:val="fr-CH"/>
              </w:rPr>
              <w:t xml:space="preserve">Banlieues – milieu </w:t>
            </w:r>
            <w:r w:rsidR="008B4A38" w:rsidRPr="0071782F">
              <w:rPr>
                <w:sz w:val="18"/>
                <w:lang w:val="fr-CH"/>
              </w:rPr>
              <w:t>rural</w:t>
            </w:r>
          </w:p>
        </w:tc>
        <w:tc>
          <w:tcPr>
            <w:tcW w:w="10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2 654 525</w:t>
            </w:r>
          </w:p>
        </w:tc>
        <w:tc>
          <w:tcPr>
            <w:tcW w:w="18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274 055</w:t>
            </w:r>
          </w:p>
        </w:tc>
        <w:tc>
          <w:tcPr>
            <w:tcW w:w="13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p>
        </w:tc>
        <w:tc>
          <w:tcPr>
            <w:tcW w:w="13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6 513 877</w:t>
            </w:r>
          </w:p>
        </w:tc>
        <w:tc>
          <w:tcPr>
            <w:tcW w:w="1139" w:type="dxa"/>
            <w:shd w:val="clear" w:color="000000" w:fill="auto"/>
            <w:vAlign w:val="bottom"/>
          </w:tcPr>
          <w:p w:rsidR="008B4A38" w:rsidRPr="0071782F" w:rsidRDefault="008B4A38" w:rsidP="00E20B36">
            <w:pPr>
              <w:suppressAutoHyphens w:val="0"/>
              <w:spacing w:before="40" w:after="40" w:line="220" w:lineRule="exact"/>
              <w:jc w:val="right"/>
              <w:rPr>
                <w:b/>
                <w:sz w:val="18"/>
                <w:lang w:val="fr-CH"/>
              </w:rPr>
            </w:pPr>
            <w:r w:rsidRPr="0071782F">
              <w:rPr>
                <w:b/>
                <w:sz w:val="18"/>
                <w:lang w:val="fr-CH"/>
              </w:rPr>
              <w:t>9 442 457</w:t>
            </w:r>
          </w:p>
        </w:tc>
      </w:tr>
      <w:tr w:rsidR="00C22D10" w:rsidRPr="0071782F">
        <w:tc>
          <w:tcPr>
            <w:tcW w:w="528" w:type="dxa"/>
            <w:tcBorders>
              <w:bottom w:val="nil"/>
            </w:tcBorders>
            <w:shd w:val="clear" w:color="000000" w:fill="auto"/>
          </w:tcPr>
          <w:p w:rsidR="008B4A38" w:rsidRPr="0071782F" w:rsidRDefault="008B4A38" w:rsidP="00E20B36">
            <w:pPr>
              <w:suppressAutoHyphens w:val="0"/>
              <w:spacing w:before="40" w:after="40" w:line="220" w:lineRule="exact"/>
              <w:rPr>
                <w:sz w:val="18"/>
                <w:lang w:val="fr-CH"/>
              </w:rPr>
            </w:pPr>
            <w:r w:rsidRPr="0071782F">
              <w:rPr>
                <w:sz w:val="18"/>
                <w:lang w:val="fr-CH"/>
              </w:rPr>
              <w:t>8</w:t>
            </w:r>
          </w:p>
        </w:tc>
        <w:tc>
          <w:tcPr>
            <w:tcW w:w="2572" w:type="dxa"/>
            <w:tcBorders>
              <w:bottom w:val="nil"/>
            </w:tcBorders>
            <w:shd w:val="clear" w:color="000000" w:fill="auto"/>
            <w:vAlign w:val="bottom"/>
          </w:tcPr>
          <w:p w:rsidR="008B4A38" w:rsidRPr="0071782F" w:rsidRDefault="00B12DED" w:rsidP="00E20B36">
            <w:pPr>
              <w:suppressAutoHyphens w:val="0"/>
              <w:spacing w:before="40" w:after="40" w:line="220" w:lineRule="exact"/>
              <w:rPr>
                <w:sz w:val="18"/>
                <w:lang w:val="fr-CH"/>
              </w:rPr>
            </w:pPr>
            <w:r w:rsidRPr="0071782F">
              <w:rPr>
                <w:sz w:val="18"/>
                <w:lang w:val="fr-CH"/>
              </w:rPr>
              <w:t>Banlieues</w:t>
            </w:r>
            <w:r w:rsidR="008B4A38" w:rsidRPr="0071782F">
              <w:rPr>
                <w:sz w:val="18"/>
                <w:lang w:val="fr-CH"/>
              </w:rPr>
              <w:t xml:space="preserve"> – </w:t>
            </w:r>
            <w:r w:rsidRPr="0071782F">
              <w:rPr>
                <w:sz w:val="18"/>
                <w:lang w:val="fr-CH"/>
              </w:rPr>
              <w:t xml:space="preserve">atelier d’usine </w:t>
            </w:r>
          </w:p>
        </w:tc>
        <w:tc>
          <w:tcPr>
            <w:tcW w:w="1000" w:type="dxa"/>
            <w:tcBorders>
              <w:bottom w:val="nil"/>
            </w:tcBorders>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12 947 878</w:t>
            </w:r>
          </w:p>
        </w:tc>
        <w:tc>
          <w:tcPr>
            <w:tcW w:w="1800" w:type="dxa"/>
            <w:tcBorders>
              <w:bottom w:val="nil"/>
            </w:tcBorders>
            <w:shd w:val="clear" w:color="000000" w:fill="auto"/>
            <w:vAlign w:val="bottom"/>
          </w:tcPr>
          <w:p w:rsidR="008B4A38" w:rsidRPr="0071782F" w:rsidRDefault="008B4A38" w:rsidP="00E20B36">
            <w:pPr>
              <w:suppressAutoHyphens w:val="0"/>
              <w:spacing w:before="40" w:after="40" w:line="220" w:lineRule="exact"/>
              <w:jc w:val="right"/>
              <w:rPr>
                <w:sz w:val="18"/>
                <w:lang w:val="fr-CH"/>
              </w:rPr>
            </w:pPr>
          </w:p>
        </w:tc>
        <w:tc>
          <w:tcPr>
            <w:tcW w:w="1300" w:type="dxa"/>
            <w:tcBorders>
              <w:bottom w:val="nil"/>
            </w:tcBorders>
            <w:shd w:val="clear" w:color="000000" w:fill="auto"/>
            <w:vAlign w:val="bottom"/>
          </w:tcPr>
          <w:p w:rsidR="008B4A38" w:rsidRPr="0071782F" w:rsidRDefault="008B4A38" w:rsidP="00E20B36">
            <w:pPr>
              <w:suppressAutoHyphens w:val="0"/>
              <w:spacing w:before="40" w:after="40" w:line="220" w:lineRule="exact"/>
              <w:jc w:val="right"/>
              <w:rPr>
                <w:sz w:val="18"/>
                <w:lang w:val="fr-CH"/>
              </w:rPr>
            </w:pPr>
          </w:p>
        </w:tc>
        <w:tc>
          <w:tcPr>
            <w:tcW w:w="1300" w:type="dxa"/>
            <w:tcBorders>
              <w:bottom w:val="nil"/>
            </w:tcBorders>
            <w:shd w:val="clear" w:color="000000" w:fill="auto"/>
            <w:vAlign w:val="bottom"/>
          </w:tcPr>
          <w:p w:rsidR="008B4A38" w:rsidRPr="0071782F" w:rsidRDefault="008B4A38" w:rsidP="00E20B36">
            <w:pPr>
              <w:suppressAutoHyphens w:val="0"/>
              <w:spacing w:before="40" w:after="40" w:line="220" w:lineRule="exact"/>
              <w:jc w:val="right"/>
              <w:rPr>
                <w:sz w:val="18"/>
                <w:lang w:val="fr-CH"/>
              </w:rPr>
            </w:pPr>
          </w:p>
        </w:tc>
        <w:tc>
          <w:tcPr>
            <w:tcW w:w="1139" w:type="dxa"/>
            <w:tcBorders>
              <w:bottom w:val="nil"/>
            </w:tcBorders>
            <w:shd w:val="clear" w:color="000000" w:fill="auto"/>
            <w:vAlign w:val="bottom"/>
          </w:tcPr>
          <w:p w:rsidR="008B4A38" w:rsidRPr="0071782F" w:rsidRDefault="008B4A38" w:rsidP="00E20B36">
            <w:pPr>
              <w:suppressAutoHyphens w:val="0"/>
              <w:spacing w:before="40" w:after="40" w:line="220" w:lineRule="exact"/>
              <w:jc w:val="right"/>
              <w:rPr>
                <w:b/>
                <w:sz w:val="18"/>
                <w:lang w:val="fr-CH"/>
              </w:rPr>
            </w:pPr>
            <w:r w:rsidRPr="0071782F">
              <w:rPr>
                <w:b/>
                <w:sz w:val="18"/>
                <w:lang w:val="fr-CH"/>
              </w:rPr>
              <w:t>12 947 878</w:t>
            </w:r>
          </w:p>
        </w:tc>
      </w:tr>
      <w:tr w:rsidR="00C22D10" w:rsidRPr="0071782F">
        <w:tc>
          <w:tcPr>
            <w:tcW w:w="528" w:type="dxa"/>
            <w:tcBorders>
              <w:top w:val="nil"/>
            </w:tcBorders>
            <w:shd w:val="clear" w:color="000000" w:fill="auto"/>
            <w:vAlign w:val="bottom"/>
          </w:tcPr>
          <w:p w:rsidR="008B4A38" w:rsidRPr="0071782F" w:rsidRDefault="008B4A38" w:rsidP="00E20B36">
            <w:pPr>
              <w:suppressAutoHyphens w:val="0"/>
              <w:spacing w:before="40" w:after="40" w:line="220" w:lineRule="exact"/>
              <w:rPr>
                <w:sz w:val="18"/>
                <w:lang w:val="fr-CH"/>
              </w:rPr>
            </w:pPr>
            <w:r w:rsidRPr="0071782F">
              <w:rPr>
                <w:sz w:val="18"/>
                <w:lang w:val="fr-CH"/>
              </w:rPr>
              <w:t>9</w:t>
            </w:r>
          </w:p>
        </w:tc>
        <w:tc>
          <w:tcPr>
            <w:tcW w:w="2572" w:type="dxa"/>
            <w:tcBorders>
              <w:top w:val="nil"/>
            </w:tcBorders>
            <w:shd w:val="clear" w:color="000000" w:fill="auto"/>
            <w:vAlign w:val="bottom"/>
          </w:tcPr>
          <w:p w:rsidR="008B4A38" w:rsidRPr="0071782F" w:rsidRDefault="00B12DED" w:rsidP="00E20B36">
            <w:pPr>
              <w:suppressAutoHyphens w:val="0"/>
              <w:spacing w:before="40" w:after="40" w:line="220" w:lineRule="exact"/>
              <w:rPr>
                <w:sz w:val="18"/>
                <w:lang w:val="fr-CH"/>
              </w:rPr>
            </w:pPr>
            <w:r w:rsidRPr="0071782F">
              <w:rPr>
                <w:sz w:val="18"/>
                <w:lang w:val="fr-CH"/>
              </w:rPr>
              <w:t>Banlieues</w:t>
            </w:r>
            <w:r w:rsidR="008B4A38" w:rsidRPr="0071782F">
              <w:rPr>
                <w:sz w:val="18"/>
                <w:lang w:val="fr-CH"/>
              </w:rPr>
              <w:t xml:space="preserve"> – universit</w:t>
            </w:r>
            <w:r w:rsidRPr="0071782F">
              <w:rPr>
                <w:sz w:val="18"/>
                <w:lang w:val="fr-CH"/>
              </w:rPr>
              <w:t>é</w:t>
            </w:r>
          </w:p>
        </w:tc>
        <w:tc>
          <w:tcPr>
            <w:tcW w:w="1000" w:type="dxa"/>
            <w:tcBorders>
              <w:top w:val="nil"/>
            </w:tcBorders>
            <w:shd w:val="clear" w:color="000000" w:fill="auto"/>
            <w:vAlign w:val="bottom"/>
          </w:tcPr>
          <w:p w:rsidR="008B4A38" w:rsidRPr="0071782F" w:rsidRDefault="008B4A38" w:rsidP="00E20B36">
            <w:pPr>
              <w:suppressAutoHyphens w:val="0"/>
              <w:spacing w:before="40" w:after="40" w:line="220" w:lineRule="exact"/>
              <w:jc w:val="right"/>
              <w:rPr>
                <w:sz w:val="18"/>
                <w:lang w:val="fr-CH"/>
              </w:rPr>
            </w:pPr>
          </w:p>
        </w:tc>
        <w:tc>
          <w:tcPr>
            <w:tcW w:w="1800" w:type="dxa"/>
            <w:tcBorders>
              <w:top w:val="nil"/>
            </w:tcBorders>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5 987 556</w:t>
            </w:r>
          </w:p>
        </w:tc>
        <w:tc>
          <w:tcPr>
            <w:tcW w:w="1300" w:type="dxa"/>
            <w:tcBorders>
              <w:top w:val="nil"/>
            </w:tcBorders>
            <w:shd w:val="clear" w:color="000000" w:fill="auto"/>
            <w:vAlign w:val="bottom"/>
          </w:tcPr>
          <w:p w:rsidR="008B4A38" w:rsidRPr="0071782F" w:rsidRDefault="008B4A38" w:rsidP="00E20B36">
            <w:pPr>
              <w:suppressAutoHyphens w:val="0"/>
              <w:spacing w:before="40" w:after="40" w:line="220" w:lineRule="exact"/>
              <w:jc w:val="right"/>
              <w:rPr>
                <w:sz w:val="18"/>
                <w:lang w:val="fr-CH"/>
              </w:rPr>
            </w:pPr>
          </w:p>
        </w:tc>
        <w:tc>
          <w:tcPr>
            <w:tcW w:w="1300" w:type="dxa"/>
            <w:tcBorders>
              <w:top w:val="nil"/>
            </w:tcBorders>
            <w:shd w:val="clear" w:color="000000" w:fill="auto"/>
            <w:vAlign w:val="bottom"/>
          </w:tcPr>
          <w:p w:rsidR="008B4A38" w:rsidRPr="0071782F" w:rsidRDefault="008B4A38" w:rsidP="00E20B36">
            <w:pPr>
              <w:suppressAutoHyphens w:val="0"/>
              <w:spacing w:before="40" w:after="40" w:line="220" w:lineRule="exact"/>
              <w:jc w:val="right"/>
              <w:rPr>
                <w:sz w:val="18"/>
                <w:lang w:val="fr-CH"/>
              </w:rPr>
            </w:pPr>
          </w:p>
        </w:tc>
        <w:tc>
          <w:tcPr>
            <w:tcW w:w="1139" w:type="dxa"/>
            <w:tcBorders>
              <w:top w:val="nil"/>
            </w:tcBorders>
            <w:shd w:val="clear" w:color="000000" w:fill="auto"/>
            <w:vAlign w:val="bottom"/>
          </w:tcPr>
          <w:p w:rsidR="008B4A38" w:rsidRPr="0071782F" w:rsidRDefault="008B4A38" w:rsidP="00E20B36">
            <w:pPr>
              <w:suppressAutoHyphens w:val="0"/>
              <w:spacing w:before="40" w:after="40" w:line="220" w:lineRule="exact"/>
              <w:jc w:val="right"/>
              <w:rPr>
                <w:b/>
                <w:sz w:val="18"/>
                <w:lang w:val="fr-CH"/>
              </w:rPr>
            </w:pPr>
            <w:r w:rsidRPr="0071782F">
              <w:rPr>
                <w:b/>
                <w:sz w:val="18"/>
                <w:lang w:val="fr-CH"/>
              </w:rPr>
              <w:t>5 987 556</w:t>
            </w:r>
          </w:p>
        </w:tc>
      </w:tr>
      <w:tr w:rsidR="00C22D10" w:rsidRPr="0071782F">
        <w:tc>
          <w:tcPr>
            <w:tcW w:w="528" w:type="dxa"/>
            <w:shd w:val="clear" w:color="000000" w:fill="auto"/>
            <w:vAlign w:val="bottom"/>
          </w:tcPr>
          <w:p w:rsidR="008B4A38" w:rsidRPr="0071782F" w:rsidRDefault="008B4A38" w:rsidP="00E20B36">
            <w:pPr>
              <w:suppressAutoHyphens w:val="0"/>
              <w:spacing w:before="40" w:after="40" w:line="220" w:lineRule="exact"/>
              <w:rPr>
                <w:sz w:val="18"/>
                <w:lang w:val="fr-CH"/>
              </w:rPr>
            </w:pPr>
            <w:r w:rsidRPr="0071782F">
              <w:rPr>
                <w:sz w:val="18"/>
                <w:lang w:val="fr-CH"/>
              </w:rPr>
              <w:t>10</w:t>
            </w:r>
          </w:p>
        </w:tc>
        <w:tc>
          <w:tcPr>
            <w:tcW w:w="2572" w:type="dxa"/>
            <w:shd w:val="clear" w:color="000000" w:fill="auto"/>
            <w:vAlign w:val="bottom"/>
          </w:tcPr>
          <w:p w:rsidR="008B4A38" w:rsidRPr="0071782F" w:rsidRDefault="00B12DED" w:rsidP="00E20B36">
            <w:pPr>
              <w:suppressAutoHyphens w:val="0"/>
              <w:spacing w:before="40" w:after="40" w:line="220" w:lineRule="exact"/>
              <w:rPr>
                <w:sz w:val="18"/>
                <w:lang w:val="fr-CH"/>
              </w:rPr>
            </w:pPr>
            <w:r w:rsidRPr="0071782F">
              <w:rPr>
                <w:sz w:val="18"/>
                <w:lang w:val="fr-CH"/>
              </w:rPr>
              <w:t xml:space="preserve">Achat de services </w:t>
            </w:r>
          </w:p>
        </w:tc>
        <w:tc>
          <w:tcPr>
            <w:tcW w:w="10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5 376 457</w:t>
            </w:r>
          </w:p>
        </w:tc>
        <w:tc>
          <w:tcPr>
            <w:tcW w:w="18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2 023 984</w:t>
            </w:r>
          </w:p>
        </w:tc>
        <w:tc>
          <w:tcPr>
            <w:tcW w:w="13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p>
        </w:tc>
        <w:tc>
          <w:tcPr>
            <w:tcW w:w="1300" w:type="dxa"/>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3 446 075</w:t>
            </w:r>
          </w:p>
        </w:tc>
        <w:tc>
          <w:tcPr>
            <w:tcW w:w="1139" w:type="dxa"/>
            <w:shd w:val="clear" w:color="000000" w:fill="auto"/>
            <w:vAlign w:val="bottom"/>
          </w:tcPr>
          <w:p w:rsidR="008B4A38" w:rsidRPr="0071782F" w:rsidRDefault="008B4A38" w:rsidP="00E20B36">
            <w:pPr>
              <w:suppressAutoHyphens w:val="0"/>
              <w:spacing w:before="40" w:after="40" w:line="220" w:lineRule="exact"/>
              <w:jc w:val="right"/>
              <w:rPr>
                <w:b/>
                <w:sz w:val="18"/>
                <w:lang w:val="fr-CH"/>
              </w:rPr>
            </w:pPr>
            <w:r w:rsidRPr="0071782F">
              <w:rPr>
                <w:b/>
                <w:sz w:val="18"/>
                <w:lang w:val="fr-CH"/>
              </w:rPr>
              <w:t>10 846 516</w:t>
            </w:r>
          </w:p>
        </w:tc>
      </w:tr>
      <w:tr w:rsidR="00C22D10" w:rsidRPr="0071782F">
        <w:tc>
          <w:tcPr>
            <w:tcW w:w="528" w:type="dxa"/>
            <w:tcBorders>
              <w:bottom w:val="single" w:sz="4" w:space="0" w:color="auto"/>
            </w:tcBorders>
            <w:shd w:val="clear" w:color="000000" w:fill="auto"/>
            <w:vAlign w:val="bottom"/>
          </w:tcPr>
          <w:p w:rsidR="008B4A38" w:rsidRPr="0071782F" w:rsidRDefault="008B4A38" w:rsidP="00E20B36">
            <w:pPr>
              <w:suppressAutoHyphens w:val="0"/>
              <w:spacing w:before="40" w:after="40" w:line="220" w:lineRule="exact"/>
              <w:rPr>
                <w:sz w:val="18"/>
                <w:lang w:val="fr-CH"/>
              </w:rPr>
            </w:pPr>
            <w:r w:rsidRPr="0071782F">
              <w:rPr>
                <w:sz w:val="18"/>
                <w:lang w:val="fr-CH"/>
              </w:rPr>
              <w:t>11</w:t>
            </w:r>
          </w:p>
        </w:tc>
        <w:tc>
          <w:tcPr>
            <w:tcW w:w="2572" w:type="dxa"/>
            <w:tcBorders>
              <w:bottom w:val="single" w:sz="4" w:space="0" w:color="auto"/>
            </w:tcBorders>
            <w:shd w:val="clear" w:color="000000" w:fill="auto"/>
            <w:vAlign w:val="bottom"/>
          </w:tcPr>
          <w:p w:rsidR="008B4A38" w:rsidRPr="0071782F" w:rsidRDefault="00B12DED" w:rsidP="00E20B36">
            <w:pPr>
              <w:suppressAutoHyphens w:val="0"/>
              <w:spacing w:before="40" w:after="40" w:line="220" w:lineRule="exact"/>
              <w:rPr>
                <w:sz w:val="18"/>
                <w:lang w:val="fr-CH"/>
              </w:rPr>
            </w:pPr>
            <w:r w:rsidRPr="0071782F">
              <w:rPr>
                <w:sz w:val="18"/>
                <w:lang w:val="fr-CH"/>
              </w:rPr>
              <w:t xml:space="preserve">Atelier </w:t>
            </w:r>
            <w:r w:rsidR="008B4A38" w:rsidRPr="0071782F">
              <w:rPr>
                <w:sz w:val="18"/>
                <w:lang w:val="fr-CH"/>
              </w:rPr>
              <w:t xml:space="preserve">rural </w:t>
            </w:r>
            <w:r w:rsidRPr="0071782F">
              <w:rPr>
                <w:sz w:val="18"/>
                <w:lang w:val="fr-CH"/>
              </w:rPr>
              <w:t>privatisé</w:t>
            </w:r>
          </w:p>
        </w:tc>
        <w:tc>
          <w:tcPr>
            <w:tcW w:w="1000" w:type="dxa"/>
            <w:tcBorders>
              <w:bottom w:val="single" w:sz="4" w:space="0" w:color="auto"/>
            </w:tcBorders>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1 937 281</w:t>
            </w:r>
          </w:p>
        </w:tc>
        <w:tc>
          <w:tcPr>
            <w:tcW w:w="1800" w:type="dxa"/>
            <w:tcBorders>
              <w:bottom w:val="single" w:sz="4" w:space="0" w:color="auto"/>
            </w:tcBorders>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295 853</w:t>
            </w:r>
          </w:p>
        </w:tc>
        <w:tc>
          <w:tcPr>
            <w:tcW w:w="1300" w:type="dxa"/>
            <w:tcBorders>
              <w:bottom w:val="single" w:sz="4" w:space="0" w:color="auto"/>
            </w:tcBorders>
            <w:shd w:val="clear" w:color="000000" w:fill="auto"/>
            <w:vAlign w:val="bottom"/>
          </w:tcPr>
          <w:p w:rsidR="008B4A38" w:rsidRPr="0071782F" w:rsidRDefault="008B4A38" w:rsidP="00E20B36">
            <w:pPr>
              <w:suppressAutoHyphens w:val="0"/>
              <w:spacing w:before="40" w:after="40" w:line="220" w:lineRule="exact"/>
              <w:jc w:val="right"/>
              <w:rPr>
                <w:sz w:val="18"/>
                <w:lang w:val="fr-CH"/>
              </w:rPr>
            </w:pPr>
          </w:p>
        </w:tc>
        <w:tc>
          <w:tcPr>
            <w:tcW w:w="1300" w:type="dxa"/>
            <w:tcBorders>
              <w:bottom w:val="single" w:sz="4" w:space="0" w:color="auto"/>
            </w:tcBorders>
            <w:shd w:val="clear" w:color="000000" w:fill="auto"/>
            <w:vAlign w:val="bottom"/>
          </w:tcPr>
          <w:p w:rsidR="008B4A38" w:rsidRPr="0071782F" w:rsidRDefault="008B4A38" w:rsidP="00E20B36">
            <w:pPr>
              <w:suppressAutoHyphens w:val="0"/>
              <w:spacing w:before="40" w:after="40" w:line="220" w:lineRule="exact"/>
              <w:jc w:val="right"/>
              <w:rPr>
                <w:sz w:val="18"/>
                <w:lang w:val="fr-CH"/>
              </w:rPr>
            </w:pPr>
            <w:r w:rsidRPr="0071782F">
              <w:rPr>
                <w:sz w:val="18"/>
                <w:lang w:val="fr-CH"/>
              </w:rPr>
              <w:t>5 225 315</w:t>
            </w:r>
          </w:p>
        </w:tc>
        <w:tc>
          <w:tcPr>
            <w:tcW w:w="1139" w:type="dxa"/>
            <w:tcBorders>
              <w:bottom w:val="single" w:sz="4" w:space="0" w:color="auto"/>
            </w:tcBorders>
            <w:shd w:val="clear" w:color="000000" w:fill="auto"/>
            <w:vAlign w:val="bottom"/>
          </w:tcPr>
          <w:p w:rsidR="008B4A38" w:rsidRPr="0071782F" w:rsidRDefault="008B4A38" w:rsidP="00E20B36">
            <w:pPr>
              <w:suppressAutoHyphens w:val="0"/>
              <w:spacing w:before="40" w:after="40" w:line="220" w:lineRule="exact"/>
              <w:jc w:val="right"/>
              <w:rPr>
                <w:b/>
                <w:sz w:val="18"/>
                <w:lang w:val="fr-CH"/>
              </w:rPr>
            </w:pPr>
            <w:r w:rsidRPr="0071782F">
              <w:rPr>
                <w:b/>
                <w:sz w:val="18"/>
                <w:lang w:val="fr-CH"/>
              </w:rPr>
              <w:t>7 458 449</w:t>
            </w:r>
          </w:p>
        </w:tc>
      </w:tr>
      <w:tr w:rsidR="00AD12F8" w:rsidRPr="0071782F">
        <w:tc>
          <w:tcPr>
            <w:tcW w:w="3100" w:type="dxa"/>
            <w:gridSpan w:val="2"/>
            <w:tcBorders>
              <w:top w:val="single" w:sz="4" w:space="0" w:color="auto"/>
              <w:bottom w:val="single" w:sz="12" w:space="0" w:color="auto"/>
            </w:tcBorders>
            <w:shd w:val="clear" w:color="000000" w:fill="auto"/>
            <w:vAlign w:val="bottom"/>
          </w:tcPr>
          <w:p w:rsidR="00AD12F8" w:rsidRPr="0071782F" w:rsidRDefault="00AD12F8" w:rsidP="00E20B36">
            <w:pPr>
              <w:suppressAutoHyphens w:val="0"/>
              <w:spacing w:before="80" w:after="80" w:line="220" w:lineRule="exact"/>
              <w:ind w:left="283"/>
              <w:rPr>
                <w:b/>
                <w:sz w:val="18"/>
                <w:lang w:val="fr-CH"/>
              </w:rPr>
            </w:pPr>
            <w:r w:rsidRPr="0071782F">
              <w:rPr>
                <w:b/>
                <w:sz w:val="18"/>
                <w:lang w:val="fr-CH"/>
              </w:rPr>
              <w:t>Total</w:t>
            </w:r>
          </w:p>
        </w:tc>
        <w:tc>
          <w:tcPr>
            <w:tcW w:w="1000" w:type="dxa"/>
            <w:tcBorders>
              <w:top w:val="single" w:sz="4" w:space="0" w:color="auto"/>
              <w:bottom w:val="single" w:sz="12" w:space="0" w:color="auto"/>
            </w:tcBorders>
            <w:shd w:val="clear" w:color="000000" w:fill="auto"/>
            <w:vAlign w:val="bottom"/>
          </w:tcPr>
          <w:p w:rsidR="00AD12F8" w:rsidRPr="0071782F" w:rsidRDefault="00AD12F8" w:rsidP="00E20B36">
            <w:pPr>
              <w:suppressAutoHyphens w:val="0"/>
              <w:spacing w:before="80" w:after="80" w:line="220" w:lineRule="exact"/>
              <w:jc w:val="right"/>
              <w:rPr>
                <w:b/>
                <w:sz w:val="18"/>
                <w:lang w:val="fr-CH"/>
              </w:rPr>
            </w:pPr>
            <w:r w:rsidRPr="0071782F">
              <w:rPr>
                <w:b/>
                <w:sz w:val="18"/>
                <w:lang w:val="fr-CH"/>
              </w:rPr>
              <w:t>44 833 060</w:t>
            </w:r>
          </w:p>
        </w:tc>
        <w:tc>
          <w:tcPr>
            <w:tcW w:w="1800" w:type="dxa"/>
            <w:tcBorders>
              <w:top w:val="single" w:sz="4" w:space="0" w:color="auto"/>
              <w:bottom w:val="single" w:sz="12" w:space="0" w:color="auto"/>
            </w:tcBorders>
            <w:shd w:val="clear" w:color="000000" w:fill="auto"/>
            <w:vAlign w:val="bottom"/>
          </w:tcPr>
          <w:p w:rsidR="00AD12F8" w:rsidRPr="0071782F" w:rsidRDefault="00AD12F8" w:rsidP="00E20B36">
            <w:pPr>
              <w:suppressAutoHyphens w:val="0"/>
              <w:spacing w:before="80" w:after="80" w:line="220" w:lineRule="exact"/>
              <w:jc w:val="right"/>
              <w:rPr>
                <w:b/>
                <w:sz w:val="18"/>
                <w:lang w:val="fr-CH"/>
              </w:rPr>
            </w:pPr>
            <w:r w:rsidRPr="0071782F">
              <w:rPr>
                <w:b/>
                <w:sz w:val="18"/>
                <w:lang w:val="fr-CH"/>
              </w:rPr>
              <w:t>22 850 217</w:t>
            </w:r>
          </w:p>
        </w:tc>
        <w:tc>
          <w:tcPr>
            <w:tcW w:w="1300" w:type="dxa"/>
            <w:tcBorders>
              <w:top w:val="single" w:sz="4" w:space="0" w:color="auto"/>
              <w:bottom w:val="single" w:sz="12" w:space="0" w:color="auto"/>
            </w:tcBorders>
            <w:shd w:val="clear" w:color="000000" w:fill="auto"/>
            <w:vAlign w:val="bottom"/>
          </w:tcPr>
          <w:p w:rsidR="00AD12F8" w:rsidRPr="0071782F" w:rsidRDefault="00AD12F8" w:rsidP="00E20B36">
            <w:pPr>
              <w:suppressAutoHyphens w:val="0"/>
              <w:spacing w:before="80" w:after="80" w:line="220" w:lineRule="exact"/>
              <w:jc w:val="right"/>
              <w:rPr>
                <w:b/>
                <w:sz w:val="18"/>
                <w:lang w:val="fr-CH"/>
              </w:rPr>
            </w:pPr>
            <w:r w:rsidRPr="0071782F">
              <w:rPr>
                <w:b/>
                <w:sz w:val="18"/>
                <w:lang w:val="fr-CH"/>
              </w:rPr>
              <w:t>71 340 226</w:t>
            </w:r>
          </w:p>
        </w:tc>
        <w:tc>
          <w:tcPr>
            <w:tcW w:w="1300" w:type="dxa"/>
            <w:tcBorders>
              <w:top w:val="single" w:sz="4" w:space="0" w:color="auto"/>
              <w:bottom w:val="single" w:sz="12" w:space="0" w:color="auto"/>
            </w:tcBorders>
            <w:shd w:val="clear" w:color="000000" w:fill="auto"/>
            <w:vAlign w:val="bottom"/>
          </w:tcPr>
          <w:p w:rsidR="00AD12F8" w:rsidRPr="0071782F" w:rsidRDefault="00AD12F8" w:rsidP="00E20B36">
            <w:pPr>
              <w:suppressAutoHyphens w:val="0"/>
              <w:spacing w:before="80" w:after="80" w:line="220" w:lineRule="exact"/>
              <w:jc w:val="right"/>
              <w:rPr>
                <w:b/>
                <w:sz w:val="18"/>
                <w:lang w:val="fr-CH"/>
              </w:rPr>
            </w:pPr>
            <w:r w:rsidRPr="0071782F">
              <w:rPr>
                <w:b/>
                <w:sz w:val="18"/>
                <w:lang w:val="fr-CH"/>
              </w:rPr>
              <w:t>24 522 762</w:t>
            </w:r>
          </w:p>
        </w:tc>
        <w:tc>
          <w:tcPr>
            <w:tcW w:w="1139" w:type="dxa"/>
            <w:tcBorders>
              <w:top w:val="single" w:sz="4" w:space="0" w:color="auto"/>
              <w:bottom w:val="single" w:sz="12" w:space="0" w:color="auto"/>
            </w:tcBorders>
            <w:shd w:val="clear" w:color="000000" w:fill="auto"/>
            <w:vAlign w:val="bottom"/>
          </w:tcPr>
          <w:p w:rsidR="00AD12F8" w:rsidRPr="0071782F" w:rsidRDefault="00AD12F8" w:rsidP="00E20B36">
            <w:pPr>
              <w:suppressAutoHyphens w:val="0"/>
              <w:spacing w:before="80" w:after="80" w:line="220" w:lineRule="exact"/>
              <w:jc w:val="right"/>
              <w:rPr>
                <w:b/>
                <w:sz w:val="18"/>
                <w:lang w:val="fr-CH"/>
              </w:rPr>
            </w:pPr>
            <w:r w:rsidRPr="0071782F">
              <w:rPr>
                <w:b/>
                <w:sz w:val="18"/>
                <w:lang w:val="fr-CH"/>
              </w:rPr>
              <w:t>163 546 265</w:t>
            </w:r>
          </w:p>
        </w:tc>
      </w:tr>
    </w:tbl>
    <w:p w:rsidR="002A0059" w:rsidRPr="0071782F" w:rsidRDefault="002A0059" w:rsidP="002A0059">
      <w:pPr>
        <w:pStyle w:val="H1G"/>
        <w:rPr>
          <w:lang w:val="fr-CH"/>
        </w:rPr>
      </w:pPr>
      <w:r w:rsidRPr="0071782F">
        <w:rPr>
          <w:lang w:val="fr-CH"/>
        </w:rPr>
        <w:tab/>
      </w:r>
      <w:r w:rsidRPr="0071782F">
        <w:rPr>
          <w:lang w:val="fr-CH"/>
        </w:rPr>
        <w:tab/>
      </w:r>
      <w:r w:rsidR="00B12DED" w:rsidRPr="0071782F">
        <w:rPr>
          <w:lang w:val="fr-CH"/>
        </w:rPr>
        <w:t xml:space="preserve">Secteur </w:t>
      </w:r>
      <w:r w:rsidR="00E87174" w:rsidRPr="0071782F">
        <w:rPr>
          <w:lang w:val="fr-CH"/>
        </w:rPr>
        <w:t xml:space="preserve">des </w:t>
      </w:r>
      <w:r w:rsidR="00B12DED" w:rsidRPr="0071782F">
        <w:rPr>
          <w:lang w:val="fr-CH"/>
        </w:rPr>
        <w:t>coopérati</w:t>
      </w:r>
      <w:r w:rsidR="00E87174" w:rsidRPr="0071782F">
        <w:rPr>
          <w:lang w:val="fr-CH"/>
        </w:rPr>
        <w:t>ves</w:t>
      </w:r>
      <w:r w:rsidR="00B12DED" w:rsidRPr="0071782F">
        <w:rPr>
          <w:lang w:val="fr-CH"/>
        </w:rPr>
        <w:t xml:space="preserve"> </w:t>
      </w:r>
    </w:p>
    <w:p w:rsidR="002A0059" w:rsidRPr="0071782F" w:rsidRDefault="002A0059" w:rsidP="002A0059">
      <w:pPr>
        <w:pStyle w:val="H23G"/>
        <w:rPr>
          <w:lang w:val="fr-CH"/>
        </w:rPr>
      </w:pPr>
      <w:r w:rsidRPr="0071782F">
        <w:rPr>
          <w:lang w:val="fr-CH"/>
        </w:rPr>
        <w:tab/>
      </w:r>
      <w:r w:rsidRPr="0071782F">
        <w:rPr>
          <w:lang w:val="fr-CH"/>
        </w:rPr>
        <w:tab/>
      </w:r>
      <w:r w:rsidR="00B12DED" w:rsidRPr="0071782F">
        <w:rPr>
          <w:lang w:val="fr-CH"/>
        </w:rPr>
        <w:t xml:space="preserve">Le secteur </w:t>
      </w:r>
      <w:r w:rsidR="00E87174" w:rsidRPr="0071782F">
        <w:rPr>
          <w:lang w:val="fr-CH"/>
        </w:rPr>
        <w:t xml:space="preserve">des </w:t>
      </w:r>
      <w:r w:rsidR="00B12DED" w:rsidRPr="0071782F">
        <w:rPr>
          <w:lang w:val="fr-CH"/>
        </w:rPr>
        <w:t>c</w:t>
      </w:r>
      <w:r w:rsidRPr="0071782F">
        <w:rPr>
          <w:lang w:val="fr-CH"/>
        </w:rPr>
        <w:t>oop</w:t>
      </w:r>
      <w:r w:rsidR="00B12DED" w:rsidRPr="0071782F">
        <w:rPr>
          <w:lang w:val="fr-CH"/>
        </w:rPr>
        <w:t>é</w:t>
      </w:r>
      <w:r w:rsidRPr="0071782F">
        <w:rPr>
          <w:lang w:val="fr-CH"/>
        </w:rPr>
        <w:t>rati</w:t>
      </w:r>
      <w:r w:rsidR="00E87174" w:rsidRPr="0071782F">
        <w:rPr>
          <w:lang w:val="fr-CH"/>
        </w:rPr>
        <w:t>ves</w:t>
      </w:r>
      <w:r w:rsidR="00B12DED" w:rsidRPr="0071782F">
        <w:rPr>
          <w:lang w:val="fr-CH"/>
        </w:rPr>
        <w:t xml:space="preserve"> dans la </w:t>
      </w:r>
      <w:r w:rsidRPr="0071782F">
        <w:rPr>
          <w:lang w:val="fr-CH"/>
        </w:rPr>
        <w:t xml:space="preserve">Constitution </w:t>
      </w:r>
    </w:p>
    <w:p w:rsidR="002A0059" w:rsidRPr="0071782F" w:rsidRDefault="002A0059" w:rsidP="002A0059">
      <w:pPr>
        <w:pStyle w:val="H23G"/>
        <w:rPr>
          <w:lang w:val="fr-CH"/>
        </w:rPr>
      </w:pPr>
      <w:r w:rsidRPr="0071782F">
        <w:rPr>
          <w:lang w:val="fr-CH"/>
        </w:rPr>
        <w:tab/>
      </w:r>
      <w:r w:rsidRPr="0071782F">
        <w:rPr>
          <w:lang w:val="fr-CH"/>
        </w:rPr>
        <w:tab/>
      </w:r>
      <w:r w:rsidR="00943A69" w:rsidRPr="0071782F">
        <w:rPr>
          <w:lang w:val="fr-CH"/>
        </w:rPr>
        <w:t>Article </w:t>
      </w:r>
      <w:r w:rsidRPr="0071782F">
        <w:rPr>
          <w:lang w:val="fr-CH"/>
        </w:rPr>
        <w:t>43</w:t>
      </w:r>
    </w:p>
    <w:p w:rsidR="002A0059" w:rsidRPr="0071782F" w:rsidRDefault="002A0059" w:rsidP="002A0059">
      <w:pPr>
        <w:pStyle w:val="SingleTxtG"/>
        <w:rPr>
          <w:lang w:val="fr-CH"/>
        </w:rPr>
      </w:pPr>
      <w:r w:rsidRPr="0071782F">
        <w:rPr>
          <w:lang w:val="fr-CH"/>
        </w:rPr>
        <w:t>62.</w:t>
      </w:r>
      <w:r w:rsidRPr="0071782F">
        <w:rPr>
          <w:lang w:val="fr-CH"/>
        </w:rPr>
        <w:tab/>
      </w:r>
      <w:r w:rsidR="00E84A1D" w:rsidRPr="0071782F">
        <w:rPr>
          <w:lang w:val="fr-CH"/>
        </w:rPr>
        <w:t xml:space="preserve">L’économie de la </w:t>
      </w:r>
      <w:r w:rsidRPr="0071782F">
        <w:rPr>
          <w:lang w:val="fr-CH"/>
        </w:rPr>
        <w:t>R</w:t>
      </w:r>
      <w:r w:rsidR="00E84A1D" w:rsidRPr="0071782F">
        <w:rPr>
          <w:lang w:val="fr-CH"/>
        </w:rPr>
        <w:t>épublique islamique d’Iran, qui se fixe pour objectifs de réaliser l’indépendance économique de la société, d’en finir avec la pauvreté et le dénuement et de réaliser un développement humain tout en préservant la liberté individuelle, est basée sur les critères ci-après.</w:t>
      </w:r>
      <w:r w:rsidR="00D36718">
        <w:rPr>
          <w:lang w:val="fr-CH"/>
        </w:rPr>
        <w:t xml:space="preserve"> </w:t>
      </w:r>
    </w:p>
    <w:p w:rsidR="002A0059" w:rsidRPr="0071782F" w:rsidRDefault="002A0059" w:rsidP="002A0059">
      <w:pPr>
        <w:pStyle w:val="SingleTxtG"/>
        <w:ind w:left="1701"/>
        <w:rPr>
          <w:lang w:val="fr-CH"/>
        </w:rPr>
      </w:pPr>
      <w:r w:rsidRPr="0071782F">
        <w:rPr>
          <w:lang w:val="fr-CH"/>
        </w:rPr>
        <w:t>62.1.</w:t>
      </w:r>
      <w:r w:rsidRPr="0071782F">
        <w:rPr>
          <w:lang w:val="fr-CH"/>
        </w:rPr>
        <w:tab/>
      </w:r>
      <w:r w:rsidR="0010697E" w:rsidRPr="0071782F">
        <w:rPr>
          <w:lang w:val="fr-CH"/>
        </w:rPr>
        <w:t xml:space="preserve">Satisfaire les besoins fondamentaux de tous </w:t>
      </w:r>
      <w:r w:rsidR="00C36750" w:rsidRPr="0071782F">
        <w:rPr>
          <w:lang w:val="fr-CH"/>
        </w:rPr>
        <w:t>les habitants</w:t>
      </w:r>
      <w:r w:rsidR="0010697E" w:rsidRPr="0071782F">
        <w:rPr>
          <w:lang w:val="fr-CH"/>
        </w:rPr>
        <w:t xml:space="preserve">, notamment en matière de logement, d’alimentation, d’habillement, d’hygiène, de soins médicaux et d’éducation, et leur fournir les moyens nécessaires pour fonder </w:t>
      </w:r>
      <w:r w:rsidR="001F3F05" w:rsidRPr="0071782F">
        <w:rPr>
          <w:lang w:val="fr-CH"/>
        </w:rPr>
        <w:t>une famille</w:t>
      </w:r>
      <w:r w:rsidR="00892198" w:rsidRPr="0071782F">
        <w:rPr>
          <w:lang w:val="fr-CH"/>
        </w:rPr>
        <w:t>.</w:t>
      </w:r>
    </w:p>
    <w:p w:rsidR="002A0059" w:rsidRPr="0071782F" w:rsidRDefault="002A0059" w:rsidP="002A0059">
      <w:pPr>
        <w:pStyle w:val="SingleTxtG"/>
        <w:ind w:left="1701"/>
        <w:rPr>
          <w:lang w:val="fr-CH"/>
        </w:rPr>
      </w:pPr>
      <w:r w:rsidRPr="0071782F">
        <w:rPr>
          <w:lang w:val="fr-CH"/>
        </w:rPr>
        <w:t>62.2.</w:t>
      </w:r>
      <w:r w:rsidRPr="0071782F">
        <w:rPr>
          <w:lang w:val="fr-CH"/>
        </w:rPr>
        <w:tab/>
      </w:r>
      <w:r w:rsidR="009A78A8" w:rsidRPr="0071782F">
        <w:rPr>
          <w:lang w:val="fr-CH"/>
        </w:rPr>
        <w:t>Assurer à chacun des conditions de travail et des possibilités d’emploi qui permettent de réaliser le plein emploi</w:t>
      </w:r>
      <w:r w:rsidRPr="0071782F">
        <w:rPr>
          <w:lang w:val="fr-CH"/>
        </w:rPr>
        <w:t xml:space="preserve">; </w:t>
      </w:r>
      <w:r w:rsidR="009A78A8" w:rsidRPr="0071782F">
        <w:rPr>
          <w:lang w:val="fr-CH"/>
        </w:rPr>
        <w:t xml:space="preserve">fournir à tous ceux qui peuvent travailler les outils de travail qui leur manquent, sous forme de coopératives, par voie de prêts sans intérêts ou par toute autre voie légitime qui n’aboutisse pas à la </w:t>
      </w:r>
      <w:r w:rsidRPr="0071782F">
        <w:rPr>
          <w:lang w:val="fr-CH"/>
        </w:rPr>
        <w:t xml:space="preserve">concentration </w:t>
      </w:r>
      <w:r w:rsidR="009A78A8" w:rsidRPr="0071782F">
        <w:rPr>
          <w:lang w:val="fr-CH"/>
        </w:rPr>
        <w:t xml:space="preserve">ou </w:t>
      </w:r>
      <w:r w:rsidR="000718F9" w:rsidRPr="0071782F">
        <w:rPr>
          <w:lang w:val="fr-CH"/>
        </w:rPr>
        <w:t xml:space="preserve">à </w:t>
      </w:r>
      <w:r w:rsidR="009A78A8" w:rsidRPr="0071782F">
        <w:rPr>
          <w:lang w:val="fr-CH"/>
        </w:rPr>
        <w:t xml:space="preserve">la </w:t>
      </w:r>
      <w:r w:rsidRPr="0071782F">
        <w:rPr>
          <w:lang w:val="fr-CH"/>
        </w:rPr>
        <w:t xml:space="preserve">circulation </w:t>
      </w:r>
      <w:r w:rsidR="009A78A8" w:rsidRPr="0071782F">
        <w:rPr>
          <w:lang w:val="fr-CH"/>
        </w:rPr>
        <w:t>des richesses entre les mains de quelques individus ou groupes, ni ne transforme l’État en un grand entrepreneur omnipotent</w:t>
      </w:r>
      <w:r w:rsidRPr="0071782F">
        <w:rPr>
          <w:lang w:val="fr-CH"/>
        </w:rPr>
        <w:t xml:space="preserve">. </w:t>
      </w:r>
      <w:r w:rsidR="009A78A8" w:rsidRPr="0071782F">
        <w:rPr>
          <w:lang w:val="fr-CH"/>
        </w:rPr>
        <w:t>Ces actions doivent être menées compte dûment tenu des besoins de la planification générale de l’économie du pays à chaque étape de sa croissance</w:t>
      </w:r>
      <w:r w:rsidRPr="0071782F">
        <w:rPr>
          <w:lang w:val="fr-CH"/>
        </w:rPr>
        <w:t xml:space="preserve">. </w:t>
      </w:r>
    </w:p>
    <w:p w:rsidR="002A0059" w:rsidRPr="0071782F" w:rsidRDefault="002A0059" w:rsidP="002A0059">
      <w:pPr>
        <w:pStyle w:val="H23G"/>
        <w:rPr>
          <w:lang w:val="fr-CH"/>
        </w:rPr>
      </w:pPr>
      <w:r w:rsidRPr="0071782F">
        <w:rPr>
          <w:lang w:val="fr-CH"/>
        </w:rPr>
        <w:tab/>
      </w:r>
      <w:r w:rsidRPr="0071782F">
        <w:rPr>
          <w:lang w:val="fr-CH"/>
        </w:rPr>
        <w:tab/>
      </w:r>
      <w:r w:rsidR="00943A69" w:rsidRPr="0071782F">
        <w:rPr>
          <w:lang w:val="fr-CH"/>
        </w:rPr>
        <w:t>Article </w:t>
      </w:r>
      <w:r w:rsidRPr="0071782F">
        <w:rPr>
          <w:lang w:val="fr-CH"/>
        </w:rPr>
        <w:t>44</w:t>
      </w:r>
    </w:p>
    <w:p w:rsidR="002A0059" w:rsidRPr="0071782F" w:rsidRDefault="002A0059" w:rsidP="002A0059">
      <w:pPr>
        <w:pStyle w:val="SingleTxtG"/>
        <w:rPr>
          <w:lang w:val="fr-CH"/>
        </w:rPr>
      </w:pPr>
      <w:r w:rsidRPr="0071782F">
        <w:rPr>
          <w:lang w:val="fr-CH"/>
        </w:rPr>
        <w:t>63.</w:t>
      </w:r>
      <w:r w:rsidRPr="0071782F">
        <w:rPr>
          <w:lang w:val="fr-CH"/>
        </w:rPr>
        <w:tab/>
      </w:r>
      <w:r w:rsidR="009A78A8" w:rsidRPr="0071782F">
        <w:rPr>
          <w:lang w:val="fr-CH"/>
        </w:rPr>
        <w:t>L’économie de la République islamique d’Iran, qui comprend trois secteurs, à savoir les secteurs publ</w:t>
      </w:r>
      <w:r w:rsidR="000718F9" w:rsidRPr="0071782F">
        <w:rPr>
          <w:lang w:val="fr-CH"/>
        </w:rPr>
        <w:t xml:space="preserve">ic </w:t>
      </w:r>
      <w:r w:rsidR="009A78A8" w:rsidRPr="0071782F">
        <w:rPr>
          <w:lang w:val="fr-CH"/>
        </w:rPr>
        <w:t>et privé</w:t>
      </w:r>
      <w:r w:rsidR="000718F9" w:rsidRPr="0071782F">
        <w:rPr>
          <w:lang w:val="fr-CH"/>
        </w:rPr>
        <w:t xml:space="preserve"> et le secteur des coopératives</w:t>
      </w:r>
      <w:r w:rsidR="009A78A8" w:rsidRPr="0071782F">
        <w:rPr>
          <w:lang w:val="fr-CH"/>
        </w:rPr>
        <w:t>, doit s’appuyer sur une planification systématique et rigoureuse.</w:t>
      </w:r>
      <w:r w:rsidRPr="0071782F">
        <w:rPr>
          <w:lang w:val="fr-CH"/>
        </w:rPr>
        <w:t xml:space="preserve"> </w:t>
      </w:r>
      <w:r w:rsidR="009A78A8" w:rsidRPr="0071782F">
        <w:rPr>
          <w:lang w:val="fr-CH"/>
        </w:rPr>
        <w:t>Le secteur public inclut toutes les grandes industries de base, le commerce extérieur, les principaux minerais, la banque, les assurances, la production d’électricité</w:t>
      </w:r>
      <w:r w:rsidRPr="0071782F">
        <w:rPr>
          <w:lang w:val="fr-CH"/>
        </w:rPr>
        <w:t xml:space="preserve">, </w:t>
      </w:r>
      <w:r w:rsidR="009A78A8" w:rsidRPr="0071782F">
        <w:rPr>
          <w:lang w:val="fr-CH"/>
        </w:rPr>
        <w:t>les barrages et grands réseaux</w:t>
      </w:r>
      <w:r w:rsidRPr="0071782F">
        <w:rPr>
          <w:lang w:val="fr-CH"/>
        </w:rPr>
        <w:t xml:space="preserve"> </w:t>
      </w:r>
      <w:r w:rsidR="009A78A8" w:rsidRPr="0071782F">
        <w:rPr>
          <w:lang w:val="fr-CH"/>
        </w:rPr>
        <w:t>d’</w:t>
      </w:r>
      <w:r w:rsidRPr="0071782F">
        <w:rPr>
          <w:lang w:val="fr-CH"/>
        </w:rPr>
        <w:t xml:space="preserve">irrigation, </w:t>
      </w:r>
      <w:r w:rsidR="009A78A8" w:rsidRPr="0071782F">
        <w:rPr>
          <w:lang w:val="fr-CH"/>
        </w:rPr>
        <w:t xml:space="preserve">la </w:t>
      </w:r>
      <w:r w:rsidRPr="0071782F">
        <w:rPr>
          <w:lang w:val="fr-CH"/>
        </w:rPr>
        <w:t xml:space="preserve">radio </w:t>
      </w:r>
      <w:r w:rsidR="009A78A8" w:rsidRPr="0071782F">
        <w:rPr>
          <w:lang w:val="fr-CH"/>
        </w:rPr>
        <w:t xml:space="preserve">et la </w:t>
      </w:r>
      <w:r w:rsidRPr="0071782F">
        <w:rPr>
          <w:lang w:val="fr-CH"/>
        </w:rPr>
        <w:t>t</w:t>
      </w:r>
      <w:r w:rsidR="009A78A8" w:rsidRPr="0071782F">
        <w:rPr>
          <w:lang w:val="fr-CH"/>
        </w:rPr>
        <w:t>é</w:t>
      </w:r>
      <w:r w:rsidRPr="0071782F">
        <w:rPr>
          <w:lang w:val="fr-CH"/>
        </w:rPr>
        <w:t>l</w:t>
      </w:r>
      <w:r w:rsidR="009A78A8" w:rsidRPr="0071782F">
        <w:rPr>
          <w:lang w:val="fr-CH"/>
        </w:rPr>
        <w:t>é</w:t>
      </w:r>
      <w:r w:rsidRPr="0071782F">
        <w:rPr>
          <w:lang w:val="fr-CH"/>
        </w:rPr>
        <w:t xml:space="preserve">vision, </w:t>
      </w:r>
      <w:r w:rsidR="009A78A8" w:rsidRPr="0071782F">
        <w:rPr>
          <w:lang w:val="fr-CH"/>
        </w:rPr>
        <w:t>les services postaux, télé</w:t>
      </w:r>
      <w:r w:rsidRPr="0071782F">
        <w:rPr>
          <w:lang w:val="fr-CH"/>
        </w:rPr>
        <w:t>graph</w:t>
      </w:r>
      <w:r w:rsidR="009A78A8" w:rsidRPr="0071782F">
        <w:rPr>
          <w:lang w:val="fr-CH"/>
        </w:rPr>
        <w:t xml:space="preserve">iques et </w:t>
      </w:r>
      <w:r w:rsidRPr="0071782F">
        <w:rPr>
          <w:lang w:val="fr-CH"/>
        </w:rPr>
        <w:t>t</w:t>
      </w:r>
      <w:r w:rsidR="009A78A8" w:rsidRPr="0071782F">
        <w:rPr>
          <w:lang w:val="fr-CH"/>
        </w:rPr>
        <w:t>é</w:t>
      </w:r>
      <w:r w:rsidRPr="0071782F">
        <w:rPr>
          <w:lang w:val="fr-CH"/>
        </w:rPr>
        <w:t>l</w:t>
      </w:r>
      <w:r w:rsidR="009A78A8" w:rsidRPr="0071782F">
        <w:rPr>
          <w:lang w:val="fr-CH"/>
        </w:rPr>
        <w:t>é</w:t>
      </w:r>
      <w:r w:rsidRPr="0071782F">
        <w:rPr>
          <w:lang w:val="fr-CH"/>
        </w:rPr>
        <w:t>phon</w:t>
      </w:r>
      <w:r w:rsidR="009A78A8" w:rsidRPr="0071782F">
        <w:rPr>
          <w:lang w:val="fr-CH"/>
        </w:rPr>
        <w:t>iqu</w:t>
      </w:r>
      <w:r w:rsidRPr="0071782F">
        <w:rPr>
          <w:lang w:val="fr-CH"/>
        </w:rPr>
        <w:t>e</w:t>
      </w:r>
      <w:r w:rsidR="009A78A8" w:rsidRPr="0071782F">
        <w:rPr>
          <w:lang w:val="fr-CH"/>
        </w:rPr>
        <w:t>s</w:t>
      </w:r>
      <w:r w:rsidRPr="0071782F">
        <w:rPr>
          <w:lang w:val="fr-CH"/>
        </w:rPr>
        <w:t xml:space="preserve">, </w:t>
      </w:r>
      <w:r w:rsidR="009A78A8" w:rsidRPr="0071782F">
        <w:rPr>
          <w:lang w:val="fr-CH"/>
        </w:rPr>
        <w:t>le transport aérien</w:t>
      </w:r>
      <w:r w:rsidRPr="0071782F">
        <w:rPr>
          <w:lang w:val="fr-CH"/>
        </w:rPr>
        <w:t xml:space="preserve">, </w:t>
      </w:r>
      <w:r w:rsidR="009A78A8" w:rsidRPr="0071782F">
        <w:rPr>
          <w:lang w:val="fr-CH"/>
        </w:rPr>
        <w:t>les transports maritimes</w:t>
      </w:r>
      <w:r w:rsidRPr="0071782F">
        <w:rPr>
          <w:lang w:val="fr-CH"/>
        </w:rPr>
        <w:t xml:space="preserve">, </w:t>
      </w:r>
      <w:r w:rsidR="009A78A8" w:rsidRPr="0071782F">
        <w:rPr>
          <w:lang w:val="fr-CH"/>
        </w:rPr>
        <w:t>les routes</w:t>
      </w:r>
      <w:r w:rsidRPr="0071782F">
        <w:rPr>
          <w:lang w:val="fr-CH"/>
        </w:rPr>
        <w:t xml:space="preserve">, </w:t>
      </w:r>
      <w:r w:rsidR="009A78A8" w:rsidRPr="0071782F">
        <w:rPr>
          <w:lang w:val="fr-CH"/>
        </w:rPr>
        <w:t xml:space="preserve">les chemins de fer etc., qui relèvent de la propriété publique et sont gérés par l’État. Le secteur </w:t>
      </w:r>
      <w:r w:rsidR="000718F9" w:rsidRPr="0071782F">
        <w:rPr>
          <w:lang w:val="fr-CH"/>
        </w:rPr>
        <w:t xml:space="preserve">des </w:t>
      </w:r>
      <w:r w:rsidR="009A78A8" w:rsidRPr="0071782F">
        <w:rPr>
          <w:lang w:val="fr-CH"/>
        </w:rPr>
        <w:t>coopérati</w:t>
      </w:r>
      <w:r w:rsidR="000718F9" w:rsidRPr="0071782F">
        <w:rPr>
          <w:lang w:val="fr-CH"/>
        </w:rPr>
        <w:t>ves</w:t>
      </w:r>
      <w:r w:rsidR="009A78A8" w:rsidRPr="0071782F">
        <w:rPr>
          <w:lang w:val="fr-CH"/>
        </w:rPr>
        <w:t xml:space="preserve"> comprend les sociétés et établissements coopératifs de </w:t>
      </w:r>
      <w:r w:rsidRPr="0071782F">
        <w:rPr>
          <w:lang w:val="fr-CH"/>
        </w:rPr>
        <w:t xml:space="preserve">production </w:t>
      </w:r>
      <w:r w:rsidR="009A78A8" w:rsidRPr="0071782F">
        <w:rPr>
          <w:lang w:val="fr-CH"/>
        </w:rPr>
        <w:t xml:space="preserve">et de </w:t>
      </w:r>
      <w:r w:rsidRPr="0071782F">
        <w:rPr>
          <w:lang w:val="fr-CH"/>
        </w:rPr>
        <w:t>distribution</w:t>
      </w:r>
      <w:r w:rsidR="009A78A8" w:rsidRPr="0071782F">
        <w:rPr>
          <w:lang w:val="fr-CH"/>
        </w:rPr>
        <w:t xml:space="preserve"> qui sont créés dans les zones urbaines et </w:t>
      </w:r>
      <w:r w:rsidRPr="0071782F">
        <w:rPr>
          <w:lang w:val="fr-CH"/>
        </w:rPr>
        <w:t>rural</w:t>
      </w:r>
      <w:r w:rsidR="009A78A8" w:rsidRPr="0071782F">
        <w:rPr>
          <w:lang w:val="fr-CH"/>
        </w:rPr>
        <w:t>es conformément aux critères islamiques</w:t>
      </w:r>
      <w:r w:rsidRPr="0071782F">
        <w:rPr>
          <w:lang w:val="fr-CH"/>
        </w:rPr>
        <w:t xml:space="preserve">. </w:t>
      </w:r>
    </w:p>
    <w:p w:rsidR="002A0059" w:rsidRPr="0071782F" w:rsidRDefault="002A0059" w:rsidP="002A0059">
      <w:pPr>
        <w:pStyle w:val="SingleTxtG"/>
        <w:ind w:left="1701"/>
        <w:rPr>
          <w:lang w:val="fr-CH"/>
        </w:rPr>
      </w:pPr>
      <w:r w:rsidRPr="0071782F">
        <w:rPr>
          <w:lang w:val="fr-CH"/>
        </w:rPr>
        <w:t>63.1.</w:t>
      </w:r>
      <w:r w:rsidRPr="0071782F">
        <w:rPr>
          <w:lang w:val="fr-CH"/>
        </w:rPr>
        <w:tab/>
      </w:r>
      <w:r w:rsidR="003E659C" w:rsidRPr="0071782F">
        <w:rPr>
          <w:lang w:val="fr-CH"/>
        </w:rPr>
        <w:t>Le secteur privé comprend les activités de l’</w:t>
      </w:r>
      <w:r w:rsidRPr="0071782F">
        <w:rPr>
          <w:lang w:val="fr-CH"/>
        </w:rPr>
        <w:t xml:space="preserve">agriculture, </w:t>
      </w:r>
      <w:r w:rsidR="003E659C" w:rsidRPr="0071782F">
        <w:rPr>
          <w:lang w:val="fr-CH"/>
        </w:rPr>
        <w:t>de l’élevage, de l’</w:t>
      </w:r>
      <w:r w:rsidRPr="0071782F">
        <w:rPr>
          <w:lang w:val="fr-CH"/>
        </w:rPr>
        <w:t>industr</w:t>
      </w:r>
      <w:r w:rsidR="003E659C" w:rsidRPr="0071782F">
        <w:rPr>
          <w:lang w:val="fr-CH"/>
        </w:rPr>
        <w:t>ie</w:t>
      </w:r>
      <w:r w:rsidRPr="0071782F">
        <w:rPr>
          <w:lang w:val="fr-CH"/>
        </w:rPr>
        <w:t xml:space="preserve">, </w:t>
      </w:r>
      <w:r w:rsidR="003E659C" w:rsidRPr="0071782F">
        <w:rPr>
          <w:lang w:val="fr-CH"/>
        </w:rPr>
        <w:t xml:space="preserve">du commerce et des </w:t>
      </w:r>
      <w:r w:rsidRPr="0071782F">
        <w:rPr>
          <w:lang w:val="fr-CH"/>
        </w:rPr>
        <w:t xml:space="preserve">services </w:t>
      </w:r>
      <w:r w:rsidR="003E659C" w:rsidRPr="0071782F">
        <w:rPr>
          <w:lang w:val="fr-CH"/>
        </w:rPr>
        <w:t>qui complète</w:t>
      </w:r>
      <w:r w:rsidR="000718F9" w:rsidRPr="0071782F">
        <w:rPr>
          <w:lang w:val="fr-CH"/>
        </w:rPr>
        <w:t>nt les activités économiques du</w:t>
      </w:r>
      <w:r w:rsidR="003E659C" w:rsidRPr="0071782F">
        <w:rPr>
          <w:lang w:val="fr-CH"/>
        </w:rPr>
        <w:t xml:space="preserve"> secteur public et </w:t>
      </w:r>
      <w:r w:rsidR="000718F9" w:rsidRPr="0071782F">
        <w:rPr>
          <w:lang w:val="fr-CH"/>
        </w:rPr>
        <w:t xml:space="preserve">du secteur des </w:t>
      </w:r>
      <w:r w:rsidR="003E659C" w:rsidRPr="0071782F">
        <w:rPr>
          <w:lang w:val="fr-CH"/>
        </w:rPr>
        <w:t>coopérati</w:t>
      </w:r>
      <w:r w:rsidR="000718F9" w:rsidRPr="0071782F">
        <w:rPr>
          <w:lang w:val="fr-CH"/>
        </w:rPr>
        <w:t>ves</w:t>
      </w:r>
      <w:r w:rsidRPr="0071782F">
        <w:rPr>
          <w:lang w:val="fr-CH"/>
        </w:rPr>
        <w:t xml:space="preserve">. </w:t>
      </w:r>
    </w:p>
    <w:p w:rsidR="002A0059" w:rsidRPr="0071782F" w:rsidRDefault="002A0059" w:rsidP="002A0059">
      <w:pPr>
        <w:pStyle w:val="SingleTxtG"/>
        <w:ind w:left="1701"/>
        <w:rPr>
          <w:lang w:val="fr-CH"/>
        </w:rPr>
      </w:pPr>
      <w:r w:rsidRPr="0071782F">
        <w:rPr>
          <w:lang w:val="fr-CH"/>
        </w:rPr>
        <w:t>63.2.</w:t>
      </w:r>
      <w:r w:rsidRPr="0071782F">
        <w:rPr>
          <w:lang w:val="fr-CH"/>
        </w:rPr>
        <w:tab/>
      </w:r>
      <w:r w:rsidR="00177313" w:rsidRPr="0071782F">
        <w:rPr>
          <w:lang w:val="fr-CH"/>
        </w:rPr>
        <w:t xml:space="preserve">Dans chacun de ces secteurs, la propriété bénéficie de la protection des lois </w:t>
      </w:r>
      <w:r w:rsidR="000718F9" w:rsidRPr="0071782F">
        <w:rPr>
          <w:lang w:val="fr-CH"/>
        </w:rPr>
        <w:t>du pays</w:t>
      </w:r>
      <w:r w:rsidR="00177313" w:rsidRPr="0071782F">
        <w:rPr>
          <w:lang w:val="fr-CH"/>
        </w:rPr>
        <w:t xml:space="preserve"> dès l’instant qu’elle est conforme aux autres </w:t>
      </w:r>
      <w:r w:rsidR="00723F2B" w:rsidRPr="0071782F">
        <w:rPr>
          <w:lang w:val="fr-CH"/>
        </w:rPr>
        <w:t>articles </w:t>
      </w:r>
      <w:r w:rsidR="00177313" w:rsidRPr="0071782F">
        <w:rPr>
          <w:lang w:val="fr-CH"/>
        </w:rPr>
        <w:t>du présent chapitre, n’excède pas les limites fixées par le droit islamique, contribu</w:t>
      </w:r>
      <w:r w:rsidRPr="0071782F">
        <w:rPr>
          <w:lang w:val="fr-CH"/>
        </w:rPr>
        <w:t>e</w:t>
      </w:r>
      <w:r w:rsidR="00177313" w:rsidRPr="0071782F">
        <w:rPr>
          <w:lang w:val="fr-CH"/>
        </w:rPr>
        <w:t xml:space="preserve"> au progrès et à la croissance économiques du pays et ne nuit pas à la société. La loi précisera la portée de ces secteurs ainsi que les règles et conditions régissant leur fonctionnement.</w:t>
      </w:r>
      <w:r w:rsidRPr="0071782F">
        <w:rPr>
          <w:lang w:val="fr-CH"/>
        </w:rPr>
        <w:t xml:space="preserve"> </w:t>
      </w:r>
    </w:p>
    <w:p w:rsidR="002A0059" w:rsidRPr="0071782F" w:rsidRDefault="002A0059" w:rsidP="002A0059">
      <w:pPr>
        <w:pStyle w:val="H23G"/>
        <w:rPr>
          <w:lang w:val="fr-CH"/>
        </w:rPr>
      </w:pPr>
      <w:r w:rsidRPr="0071782F">
        <w:rPr>
          <w:lang w:val="fr-CH"/>
        </w:rPr>
        <w:tab/>
      </w:r>
      <w:r w:rsidRPr="0071782F">
        <w:rPr>
          <w:lang w:val="fr-CH"/>
        </w:rPr>
        <w:tab/>
      </w:r>
      <w:r w:rsidR="00177313" w:rsidRPr="0071782F">
        <w:rPr>
          <w:lang w:val="fr-CH"/>
        </w:rPr>
        <w:t xml:space="preserve">Le secteur des coopératives dans la loi relative au </w:t>
      </w:r>
      <w:r w:rsidR="00A90208" w:rsidRPr="0071782F">
        <w:rPr>
          <w:lang w:val="fr-CH"/>
        </w:rPr>
        <w:t>quatrième</w:t>
      </w:r>
      <w:r w:rsidR="00177313" w:rsidRPr="0071782F">
        <w:rPr>
          <w:lang w:val="fr-CH"/>
        </w:rPr>
        <w:t xml:space="preserve"> plan de développement </w:t>
      </w:r>
    </w:p>
    <w:p w:rsidR="002A0059" w:rsidRPr="0071782F" w:rsidRDefault="002A0059" w:rsidP="002A0059">
      <w:pPr>
        <w:pStyle w:val="SingleTxtG"/>
        <w:rPr>
          <w:lang w:val="fr-CH"/>
        </w:rPr>
      </w:pPr>
      <w:r w:rsidRPr="0071782F">
        <w:rPr>
          <w:lang w:val="fr-CH"/>
        </w:rPr>
        <w:t>64.</w:t>
      </w:r>
      <w:r w:rsidRPr="0071782F">
        <w:rPr>
          <w:lang w:val="fr-CH"/>
        </w:rPr>
        <w:tab/>
      </w:r>
      <w:r w:rsidR="006E7F14" w:rsidRPr="0071782F">
        <w:rPr>
          <w:lang w:val="fr-CH"/>
        </w:rPr>
        <w:t>L’</w:t>
      </w:r>
      <w:r w:rsidRPr="0071782F">
        <w:rPr>
          <w:lang w:val="fr-CH"/>
        </w:rPr>
        <w:t xml:space="preserve">importance </w:t>
      </w:r>
      <w:r w:rsidR="006E7F14" w:rsidRPr="0071782F">
        <w:rPr>
          <w:lang w:val="fr-CH"/>
        </w:rPr>
        <w:t xml:space="preserve">prise par le </w:t>
      </w:r>
      <w:r w:rsidR="000718F9" w:rsidRPr="0071782F">
        <w:rPr>
          <w:lang w:val="fr-CH"/>
        </w:rPr>
        <w:t>secteur des coopératives</w:t>
      </w:r>
      <w:r w:rsidR="006E7F14" w:rsidRPr="0071782F">
        <w:rPr>
          <w:lang w:val="fr-CH"/>
        </w:rPr>
        <w:t xml:space="preserve"> dans l’économie iranienne explique la place particulière qu’il occupe dans les objectifs</w:t>
      </w:r>
      <w:r w:rsidR="00D36718">
        <w:rPr>
          <w:lang w:val="fr-CH"/>
        </w:rPr>
        <w:t xml:space="preserve"> </w:t>
      </w:r>
      <w:r w:rsidR="006E7F14" w:rsidRPr="0071782F">
        <w:rPr>
          <w:lang w:val="fr-CH"/>
        </w:rPr>
        <w:t>à court, moyen et long termes de tous les plans de développement du pays</w:t>
      </w:r>
      <w:r w:rsidRPr="0071782F">
        <w:rPr>
          <w:lang w:val="fr-CH"/>
        </w:rPr>
        <w:t xml:space="preserve">. </w:t>
      </w:r>
      <w:r w:rsidR="006E7F14" w:rsidRPr="0071782F">
        <w:rPr>
          <w:lang w:val="fr-CH"/>
        </w:rPr>
        <w:t xml:space="preserve">Dans le </w:t>
      </w:r>
      <w:r w:rsidR="00A90208" w:rsidRPr="0071782F">
        <w:rPr>
          <w:lang w:val="fr-CH"/>
        </w:rPr>
        <w:t>quatrième</w:t>
      </w:r>
      <w:r w:rsidR="006E7F14" w:rsidRPr="0071782F">
        <w:rPr>
          <w:lang w:val="fr-CH"/>
        </w:rPr>
        <w:t xml:space="preserve"> plan de développement, il est mentionné </w:t>
      </w:r>
      <w:r w:rsidRPr="0071782F">
        <w:rPr>
          <w:lang w:val="fr-CH"/>
        </w:rPr>
        <w:t xml:space="preserve">71 </w:t>
      </w:r>
      <w:r w:rsidR="006E7F14" w:rsidRPr="0071782F">
        <w:rPr>
          <w:lang w:val="fr-CH"/>
        </w:rPr>
        <w:t xml:space="preserve">fois en même temps que les secteurs public et privé, ce qui montre bien son </w:t>
      </w:r>
      <w:r w:rsidRPr="0071782F">
        <w:rPr>
          <w:lang w:val="fr-CH"/>
        </w:rPr>
        <w:t xml:space="preserve">importance </w:t>
      </w:r>
      <w:r w:rsidR="006E7F14" w:rsidRPr="0071782F">
        <w:rPr>
          <w:lang w:val="fr-CH"/>
        </w:rPr>
        <w:t>dans l’économie iranienne</w:t>
      </w:r>
      <w:r w:rsidRPr="0071782F">
        <w:rPr>
          <w:lang w:val="fr-CH"/>
        </w:rPr>
        <w:t xml:space="preserve">. </w:t>
      </w:r>
    </w:p>
    <w:p w:rsidR="002A0059" w:rsidRPr="0071782F" w:rsidRDefault="002A0059" w:rsidP="002A0059">
      <w:pPr>
        <w:pStyle w:val="H23G"/>
        <w:rPr>
          <w:lang w:val="fr-CH"/>
        </w:rPr>
      </w:pPr>
      <w:r w:rsidRPr="0071782F">
        <w:rPr>
          <w:lang w:val="fr-CH"/>
        </w:rPr>
        <w:tab/>
      </w:r>
      <w:r w:rsidRPr="0071782F">
        <w:rPr>
          <w:lang w:val="fr-CH"/>
        </w:rPr>
        <w:tab/>
      </w:r>
      <w:r w:rsidR="00943A69" w:rsidRPr="0071782F">
        <w:rPr>
          <w:lang w:val="fr-CH"/>
        </w:rPr>
        <w:t>Article </w:t>
      </w:r>
      <w:r w:rsidRPr="0071782F">
        <w:rPr>
          <w:lang w:val="fr-CH"/>
        </w:rPr>
        <w:t>102</w:t>
      </w:r>
    </w:p>
    <w:p w:rsidR="002A0059" w:rsidRPr="0071782F" w:rsidRDefault="002A0059" w:rsidP="002A0059">
      <w:pPr>
        <w:pStyle w:val="SingleTxtG"/>
        <w:rPr>
          <w:lang w:val="fr-CH"/>
        </w:rPr>
      </w:pPr>
      <w:r w:rsidRPr="0071782F">
        <w:rPr>
          <w:lang w:val="fr-CH"/>
        </w:rPr>
        <w:t>65.</w:t>
      </w:r>
      <w:r w:rsidRPr="0071782F">
        <w:rPr>
          <w:lang w:val="fr-CH"/>
        </w:rPr>
        <w:tab/>
      </w:r>
      <w:r w:rsidR="006E7F14" w:rsidRPr="0071782F">
        <w:rPr>
          <w:lang w:val="fr-CH"/>
        </w:rPr>
        <w:t xml:space="preserve">Le Gouvernement est tenu d’établir et de présenter à l’Assemblée consultative islamique, au plus tard à la fin avril 2004, le plan de développement du </w:t>
      </w:r>
      <w:r w:rsidR="000718F9" w:rsidRPr="0071782F">
        <w:rPr>
          <w:lang w:val="fr-CH"/>
        </w:rPr>
        <w:t>secteur des coopératives</w:t>
      </w:r>
      <w:r w:rsidR="006E7F14" w:rsidRPr="0071782F">
        <w:rPr>
          <w:lang w:val="fr-CH"/>
        </w:rPr>
        <w:t xml:space="preserve"> pour tirer efficacement parti des possibilités de promotion de la justice sociale et de la répartition égale des revenus, mettre à disposition les ressources nécessaires à l’investissement sous la forme de microfinancements</w:t>
      </w:r>
      <w:r w:rsidRPr="0071782F">
        <w:rPr>
          <w:lang w:val="fr-CH"/>
        </w:rPr>
        <w:t xml:space="preserve">, </w:t>
      </w:r>
      <w:r w:rsidR="006E7F14" w:rsidRPr="0071782F">
        <w:rPr>
          <w:lang w:val="fr-CH"/>
        </w:rPr>
        <w:t xml:space="preserve">appliquer les dispositions du </w:t>
      </w:r>
      <w:r w:rsidR="00723F2B" w:rsidRPr="0071782F">
        <w:rPr>
          <w:lang w:val="fr-CH"/>
        </w:rPr>
        <w:t>paragraphe </w:t>
      </w:r>
      <w:r w:rsidRPr="0071782F">
        <w:rPr>
          <w:lang w:val="fr-CH"/>
        </w:rPr>
        <w:t xml:space="preserve">2) </w:t>
      </w:r>
      <w:r w:rsidR="006E7F14"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43 </w:t>
      </w:r>
      <w:r w:rsidR="006E7F14" w:rsidRPr="0071782F">
        <w:rPr>
          <w:lang w:val="fr-CH"/>
        </w:rPr>
        <w:t xml:space="preserve">de la </w:t>
      </w:r>
      <w:r w:rsidRPr="0071782F">
        <w:rPr>
          <w:lang w:val="fr-CH"/>
        </w:rPr>
        <w:t xml:space="preserve">Constitution, </w:t>
      </w:r>
      <w:r w:rsidR="006E7F14" w:rsidRPr="0071782F">
        <w:rPr>
          <w:lang w:val="fr-CH"/>
        </w:rPr>
        <w:t xml:space="preserve">renforcer la </w:t>
      </w:r>
      <w:r w:rsidRPr="0071782F">
        <w:rPr>
          <w:lang w:val="fr-CH"/>
        </w:rPr>
        <w:t>comp</w:t>
      </w:r>
      <w:r w:rsidR="006E7F14" w:rsidRPr="0071782F">
        <w:rPr>
          <w:lang w:val="fr-CH"/>
        </w:rPr>
        <w:t>é</w:t>
      </w:r>
      <w:r w:rsidRPr="0071782F">
        <w:rPr>
          <w:lang w:val="fr-CH"/>
        </w:rPr>
        <w:t>titiv</w:t>
      </w:r>
      <w:r w:rsidR="006E7F14" w:rsidRPr="0071782F">
        <w:rPr>
          <w:lang w:val="fr-CH"/>
        </w:rPr>
        <w:t>ité et l’autonomisation des petites et moyennes entreprises, réduire la participation de l’État à l’économie, développer la propriété et faire participer davantage la population aux activités économique</w:t>
      </w:r>
      <w:r w:rsidR="000718F9" w:rsidRPr="0071782F">
        <w:rPr>
          <w:lang w:val="fr-CH"/>
        </w:rPr>
        <w:t>s</w:t>
      </w:r>
      <w:r w:rsidR="006E7F14" w:rsidRPr="0071782F">
        <w:rPr>
          <w:lang w:val="fr-CH"/>
        </w:rPr>
        <w:t xml:space="preserve"> sur les bases suivantes</w:t>
      </w:r>
      <w:r w:rsidR="008F7D33" w:rsidRPr="0071782F">
        <w:rPr>
          <w:lang w:val="fr-CH"/>
        </w:rPr>
        <w:t>:</w:t>
      </w:r>
    </w:p>
    <w:p w:rsidR="002A0059" w:rsidRPr="0071782F" w:rsidRDefault="002A0059" w:rsidP="002A0059">
      <w:pPr>
        <w:pStyle w:val="SingleTxtG"/>
        <w:ind w:left="1701"/>
        <w:rPr>
          <w:lang w:val="fr-CH"/>
        </w:rPr>
      </w:pPr>
      <w:r w:rsidRPr="0071782F">
        <w:rPr>
          <w:lang w:val="fr-CH"/>
        </w:rPr>
        <w:t>65.1.</w:t>
      </w:r>
      <w:r w:rsidRPr="0071782F">
        <w:rPr>
          <w:lang w:val="fr-CH"/>
        </w:rPr>
        <w:tab/>
      </w:r>
      <w:r w:rsidR="006E7F14" w:rsidRPr="0071782F">
        <w:rPr>
          <w:lang w:val="fr-CH"/>
        </w:rPr>
        <w:t>Autonomiser les jeunes, les femmes, les diplômés de l’université et les autres demandeurs d’emploi en vue de mettre en place la concertation sociale nécessaire au développement des activités coopératives</w:t>
      </w:r>
      <w:r w:rsidRPr="0071782F">
        <w:rPr>
          <w:lang w:val="fr-CH"/>
        </w:rPr>
        <w:t xml:space="preserve">. </w:t>
      </w:r>
    </w:p>
    <w:p w:rsidR="002A0059" w:rsidRPr="0071782F" w:rsidRDefault="002A0059" w:rsidP="002A0059">
      <w:pPr>
        <w:pStyle w:val="SingleTxtG"/>
        <w:ind w:left="1701"/>
        <w:rPr>
          <w:lang w:val="fr-CH"/>
        </w:rPr>
      </w:pPr>
      <w:r w:rsidRPr="0071782F">
        <w:rPr>
          <w:lang w:val="fr-CH"/>
        </w:rPr>
        <w:t>65.2.</w:t>
      </w:r>
      <w:r w:rsidRPr="0071782F">
        <w:rPr>
          <w:lang w:val="fr-CH"/>
        </w:rPr>
        <w:tab/>
      </w:r>
      <w:r w:rsidR="006E7F14" w:rsidRPr="0071782F">
        <w:rPr>
          <w:lang w:val="fr-CH"/>
        </w:rPr>
        <w:t>Améliorer la productivité</w:t>
      </w:r>
      <w:r w:rsidRPr="0071782F">
        <w:rPr>
          <w:lang w:val="fr-CH"/>
        </w:rPr>
        <w:t xml:space="preserve"> </w:t>
      </w:r>
      <w:r w:rsidR="006E7F14" w:rsidRPr="0071782F">
        <w:rPr>
          <w:lang w:val="fr-CH"/>
        </w:rPr>
        <w:t>et promouvoir le développement et une meilleure gestion des coopé</w:t>
      </w:r>
      <w:r w:rsidRPr="0071782F">
        <w:rPr>
          <w:lang w:val="fr-CH"/>
        </w:rPr>
        <w:t xml:space="preserve">ratives. </w:t>
      </w:r>
    </w:p>
    <w:p w:rsidR="002A0059" w:rsidRPr="0071782F" w:rsidRDefault="002A0059" w:rsidP="002A0059">
      <w:pPr>
        <w:pStyle w:val="SingleTxtG"/>
        <w:ind w:left="1701"/>
        <w:rPr>
          <w:lang w:val="fr-CH"/>
        </w:rPr>
      </w:pPr>
      <w:r w:rsidRPr="0071782F">
        <w:rPr>
          <w:lang w:val="fr-CH"/>
        </w:rPr>
        <w:t>65.3.</w:t>
      </w:r>
      <w:r w:rsidRPr="0071782F">
        <w:rPr>
          <w:lang w:val="fr-CH"/>
        </w:rPr>
        <w:tab/>
      </w:r>
      <w:r w:rsidR="006E7F14" w:rsidRPr="0071782F">
        <w:rPr>
          <w:lang w:val="fr-CH"/>
        </w:rPr>
        <w:t xml:space="preserve">Diffuser la </w:t>
      </w:r>
      <w:r w:rsidRPr="0071782F">
        <w:rPr>
          <w:lang w:val="fr-CH"/>
        </w:rPr>
        <w:t xml:space="preserve">culture </w:t>
      </w:r>
      <w:r w:rsidR="006E7F14" w:rsidRPr="0071782F">
        <w:rPr>
          <w:lang w:val="fr-CH"/>
        </w:rPr>
        <w:t xml:space="preserve">des </w:t>
      </w:r>
      <w:r w:rsidRPr="0071782F">
        <w:rPr>
          <w:lang w:val="fr-CH"/>
        </w:rPr>
        <w:t>coop</w:t>
      </w:r>
      <w:r w:rsidR="006E7F14" w:rsidRPr="0071782F">
        <w:rPr>
          <w:lang w:val="fr-CH"/>
        </w:rPr>
        <w:t>é</w:t>
      </w:r>
      <w:r w:rsidRPr="0071782F">
        <w:rPr>
          <w:lang w:val="fr-CH"/>
        </w:rPr>
        <w:t xml:space="preserve">ratives; </w:t>
      </w:r>
      <w:r w:rsidR="006E7F14" w:rsidRPr="0071782F">
        <w:rPr>
          <w:lang w:val="fr-CH"/>
        </w:rPr>
        <w:t xml:space="preserve">mettre en place le cadre juridique requis pour le développement des </w:t>
      </w:r>
      <w:r w:rsidRPr="0071782F">
        <w:rPr>
          <w:lang w:val="fr-CH"/>
        </w:rPr>
        <w:t>coop</w:t>
      </w:r>
      <w:r w:rsidR="006E7F14" w:rsidRPr="0071782F">
        <w:rPr>
          <w:lang w:val="fr-CH"/>
        </w:rPr>
        <w:t>é</w:t>
      </w:r>
      <w:r w:rsidRPr="0071782F">
        <w:rPr>
          <w:lang w:val="fr-CH"/>
        </w:rPr>
        <w:t xml:space="preserve">ratives </w:t>
      </w:r>
      <w:r w:rsidR="006E7F14" w:rsidRPr="0071782F">
        <w:rPr>
          <w:lang w:val="fr-CH"/>
        </w:rPr>
        <w:t>en présentant les projets de lois nécessaires à cette fin</w:t>
      </w:r>
      <w:r w:rsidRPr="0071782F">
        <w:rPr>
          <w:lang w:val="fr-CH"/>
        </w:rPr>
        <w:t xml:space="preserve">. </w:t>
      </w:r>
    </w:p>
    <w:p w:rsidR="002A0059" w:rsidRPr="0071782F" w:rsidRDefault="002A0059" w:rsidP="002A0059">
      <w:pPr>
        <w:pStyle w:val="SingleTxtG"/>
        <w:ind w:left="1701"/>
        <w:rPr>
          <w:lang w:val="fr-CH"/>
        </w:rPr>
      </w:pPr>
      <w:r w:rsidRPr="0071782F">
        <w:rPr>
          <w:lang w:val="fr-CH"/>
        </w:rPr>
        <w:t>65.4.</w:t>
      </w:r>
      <w:r w:rsidRPr="0071782F">
        <w:rPr>
          <w:lang w:val="fr-CH"/>
        </w:rPr>
        <w:tab/>
      </w:r>
      <w:r w:rsidR="00DA45B9" w:rsidRPr="0071782F">
        <w:rPr>
          <w:lang w:val="fr-CH"/>
        </w:rPr>
        <w:t xml:space="preserve">Accorder la priorité au </w:t>
      </w:r>
      <w:r w:rsidR="000718F9" w:rsidRPr="0071782F">
        <w:rPr>
          <w:lang w:val="fr-CH"/>
        </w:rPr>
        <w:t>secteur des coopératives</w:t>
      </w:r>
      <w:r w:rsidR="00DA45B9" w:rsidRPr="0071782F">
        <w:rPr>
          <w:lang w:val="fr-CH"/>
        </w:rPr>
        <w:t xml:space="preserve"> dans le processus de </w:t>
      </w:r>
      <w:r w:rsidRPr="0071782F">
        <w:rPr>
          <w:lang w:val="fr-CH"/>
        </w:rPr>
        <w:t>privati</w:t>
      </w:r>
      <w:r w:rsidR="00DA45B9" w:rsidRPr="0071782F">
        <w:rPr>
          <w:lang w:val="fr-CH"/>
        </w:rPr>
        <w:t>s</w:t>
      </w:r>
      <w:r w:rsidRPr="0071782F">
        <w:rPr>
          <w:lang w:val="fr-CH"/>
        </w:rPr>
        <w:t>ation</w:t>
      </w:r>
      <w:r w:rsidR="00DA45B9" w:rsidRPr="0071782F">
        <w:rPr>
          <w:lang w:val="fr-CH"/>
        </w:rPr>
        <w:t xml:space="preserve"> et de désengagement économique de l’État</w:t>
      </w:r>
      <w:r w:rsidRPr="0071782F">
        <w:rPr>
          <w:lang w:val="fr-CH"/>
        </w:rPr>
        <w:t xml:space="preserve">. </w:t>
      </w:r>
    </w:p>
    <w:p w:rsidR="002A0059" w:rsidRPr="0071782F" w:rsidRDefault="002A0059" w:rsidP="002A0059">
      <w:pPr>
        <w:pStyle w:val="SingleTxtG"/>
        <w:ind w:left="1701"/>
        <w:rPr>
          <w:lang w:val="fr-CH"/>
        </w:rPr>
      </w:pPr>
      <w:r w:rsidRPr="0071782F">
        <w:rPr>
          <w:lang w:val="fr-CH"/>
        </w:rPr>
        <w:t>65.5.</w:t>
      </w:r>
      <w:r w:rsidRPr="0071782F">
        <w:rPr>
          <w:lang w:val="fr-CH"/>
        </w:rPr>
        <w:tab/>
      </w:r>
      <w:r w:rsidR="00DA45B9" w:rsidRPr="0071782F">
        <w:rPr>
          <w:lang w:val="fr-CH"/>
        </w:rPr>
        <w:t xml:space="preserve">Élargir le champ d’activité du </w:t>
      </w:r>
      <w:r w:rsidR="000718F9" w:rsidRPr="0071782F">
        <w:rPr>
          <w:lang w:val="fr-CH"/>
        </w:rPr>
        <w:t>secteur des coopératives</w:t>
      </w:r>
      <w:r w:rsidR="00DA45B9" w:rsidRPr="0071782F">
        <w:rPr>
          <w:lang w:val="fr-CH"/>
        </w:rPr>
        <w:t xml:space="preserve"> dans le cadre indiqué par le </w:t>
      </w:r>
      <w:r w:rsidR="00723F2B" w:rsidRPr="0071782F">
        <w:rPr>
          <w:lang w:val="fr-CH"/>
        </w:rPr>
        <w:t>paragraphe </w:t>
      </w:r>
      <w:r w:rsidRPr="0071782F">
        <w:rPr>
          <w:lang w:val="fr-CH"/>
        </w:rPr>
        <w:t xml:space="preserve">47 </w:t>
      </w:r>
      <w:r w:rsidR="00DA45B9" w:rsidRPr="0071782F">
        <w:rPr>
          <w:lang w:val="fr-CH"/>
        </w:rPr>
        <w:t>des po</w:t>
      </w:r>
      <w:r w:rsidR="000718F9" w:rsidRPr="0071782F">
        <w:rPr>
          <w:lang w:val="fr-CH"/>
        </w:rPr>
        <w:t>l</w:t>
      </w:r>
      <w:r w:rsidR="00DA45B9" w:rsidRPr="0071782F">
        <w:rPr>
          <w:lang w:val="fr-CH"/>
        </w:rPr>
        <w:t xml:space="preserve">itiques générales du </w:t>
      </w:r>
      <w:r w:rsidR="00A90208" w:rsidRPr="0071782F">
        <w:rPr>
          <w:lang w:val="fr-CH"/>
        </w:rPr>
        <w:t>quatrième</w:t>
      </w:r>
      <w:r w:rsidRPr="0071782F">
        <w:rPr>
          <w:lang w:val="fr-CH"/>
        </w:rPr>
        <w:t xml:space="preserve"> </w:t>
      </w:r>
      <w:r w:rsidR="00DA45B9" w:rsidRPr="0071782F">
        <w:rPr>
          <w:lang w:val="fr-CH"/>
        </w:rPr>
        <w:t>plan de développement</w:t>
      </w:r>
      <w:r w:rsidRPr="0071782F">
        <w:rPr>
          <w:lang w:val="fr-CH"/>
        </w:rPr>
        <w:t xml:space="preserve">, </w:t>
      </w:r>
      <w:r w:rsidR="00DA45B9" w:rsidRPr="0071782F">
        <w:rPr>
          <w:lang w:val="fr-CH"/>
        </w:rPr>
        <w:t>qui sera adopté à une date ultérieure</w:t>
      </w:r>
      <w:r w:rsidRPr="0071782F">
        <w:rPr>
          <w:lang w:val="fr-CH"/>
        </w:rPr>
        <w:t xml:space="preserve">. </w:t>
      </w:r>
    </w:p>
    <w:p w:rsidR="002A0059" w:rsidRPr="0071782F" w:rsidRDefault="002A0059" w:rsidP="002A0059">
      <w:pPr>
        <w:pStyle w:val="SingleTxtG"/>
        <w:ind w:left="1701"/>
        <w:rPr>
          <w:lang w:val="fr-CH"/>
        </w:rPr>
      </w:pPr>
      <w:r w:rsidRPr="0071782F">
        <w:rPr>
          <w:lang w:val="fr-CH"/>
        </w:rPr>
        <w:t>65.6.</w:t>
      </w:r>
      <w:r w:rsidRPr="0071782F">
        <w:rPr>
          <w:lang w:val="fr-CH"/>
        </w:rPr>
        <w:tab/>
        <w:t>Facilit</w:t>
      </w:r>
      <w:r w:rsidR="00DA45B9" w:rsidRPr="0071782F">
        <w:rPr>
          <w:lang w:val="fr-CH"/>
        </w:rPr>
        <w:t>er le processus d’accès des coopératives aux ressources et instruments financiers, aux technologies modernes et aux marchés, et améliorer le cadre dans lequel elles opèrent</w:t>
      </w:r>
      <w:r w:rsidRPr="0071782F">
        <w:rPr>
          <w:lang w:val="fr-CH"/>
        </w:rPr>
        <w:t>.</w:t>
      </w:r>
    </w:p>
    <w:p w:rsidR="002A0059" w:rsidRPr="0071782F" w:rsidRDefault="002A0059" w:rsidP="002A0059">
      <w:pPr>
        <w:pStyle w:val="SingleTxtG"/>
        <w:ind w:left="1701"/>
        <w:rPr>
          <w:lang w:val="fr-CH"/>
        </w:rPr>
      </w:pPr>
      <w:r w:rsidRPr="0071782F">
        <w:rPr>
          <w:lang w:val="fr-CH"/>
        </w:rPr>
        <w:t>65.7.</w:t>
      </w:r>
      <w:r w:rsidRPr="0071782F">
        <w:rPr>
          <w:lang w:val="fr-CH"/>
        </w:rPr>
        <w:tab/>
      </w:r>
      <w:r w:rsidR="00DA45B9" w:rsidRPr="0071782F">
        <w:rPr>
          <w:lang w:val="fr-CH"/>
        </w:rPr>
        <w:t>Faciliter le développement des relations ainsi que des liens techniques, économiques et financiers entre coopératives</w:t>
      </w:r>
      <w:r w:rsidRPr="0071782F">
        <w:rPr>
          <w:lang w:val="fr-CH"/>
        </w:rPr>
        <w:t>.</w:t>
      </w:r>
    </w:p>
    <w:p w:rsidR="002A0059" w:rsidRPr="0071782F" w:rsidRDefault="002A0059" w:rsidP="002A0059">
      <w:pPr>
        <w:pStyle w:val="H23G"/>
        <w:rPr>
          <w:lang w:val="fr-CH"/>
        </w:rPr>
      </w:pPr>
      <w:r w:rsidRPr="0071782F">
        <w:rPr>
          <w:lang w:val="fr-CH"/>
        </w:rPr>
        <w:tab/>
      </w:r>
      <w:r w:rsidRPr="0071782F">
        <w:rPr>
          <w:lang w:val="fr-CH"/>
        </w:rPr>
        <w:tab/>
      </w:r>
      <w:r w:rsidR="00DA45B9" w:rsidRPr="0071782F">
        <w:rPr>
          <w:lang w:val="fr-CH"/>
        </w:rPr>
        <w:t xml:space="preserve">Le </w:t>
      </w:r>
      <w:r w:rsidR="000718F9" w:rsidRPr="0071782F">
        <w:rPr>
          <w:lang w:val="fr-CH"/>
        </w:rPr>
        <w:t>secteur des coopératives</w:t>
      </w:r>
      <w:r w:rsidR="00DA45B9" w:rsidRPr="0071782F">
        <w:rPr>
          <w:lang w:val="fr-CH"/>
        </w:rPr>
        <w:t xml:space="preserve"> dans les politiques générales du </w:t>
      </w:r>
      <w:r w:rsidR="00A90208" w:rsidRPr="0071782F">
        <w:rPr>
          <w:lang w:val="fr-CH"/>
        </w:rPr>
        <w:t>quatrième</w:t>
      </w:r>
      <w:r w:rsidR="00DA45B9" w:rsidRPr="0071782F">
        <w:rPr>
          <w:lang w:val="fr-CH"/>
        </w:rPr>
        <w:t xml:space="preserve"> plan de développement </w:t>
      </w:r>
    </w:p>
    <w:p w:rsidR="002A0059" w:rsidRPr="0071782F" w:rsidRDefault="002A0059" w:rsidP="002A0059">
      <w:pPr>
        <w:pStyle w:val="SingleTxtG"/>
        <w:rPr>
          <w:lang w:val="fr-CH"/>
        </w:rPr>
      </w:pPr>
      <w:r w:rsidRPr="0071782F">
        <w:rPr>
          <w:lang w:val="fr-CH"/>
        </w:rPr>
        <w:t>66.</w:t>
      </w:r>
      <w:r w:rsidRPr="0071782F">
        <w:rPr>
          <w:lang w:val="fr-CH"/>
        </w:rPr>
        <w:tab/>
      </w:r>
      <w:r w:rsidR="00900083" w:rsidRPr="0071782F">
        <w:rPr>
          <w:lang w:val="fr-CH"/>
        </w:rPr>
        <w:t xml:space="preserve">Dans les politiques générales du </w:t>
      </w:r>
      <w:r w:rsidR="00A90208" w:rsidRPr="0071782F">
        <w:rPr>
          <w:lang w:val="fr-CH"/>
        </w:rPr>
        <w:t>quatrième</w:t>
      </w:r>
      <w:r w:rsidR="00900083" w:rsidRPr="0071782F">
        <w:rPr>
          <w:lang w:val="fr-CH"/>
        </w:rPr>
        <w:t xml:space="preserve"> plan de développement</w:t>
      </w:r>
      <w:r w:rsidR="009429FF" w:rsidRPr="0071782F">
        <w:rPr>
          <w:lang w:val="fr-CH"/>
        </w:rPr>
        <w:t>, d</w:t>
      </w:r>
      <w:r w:rsidR="00900083" w:rsidRPr="0071782F">
        <w:rPr>
          <w:lang w:val="fr-CH"/>
        </w:rPr>
        <w:t xml:space="preserve">eux </w:t>
      </w:r>
      <w:r w:rsidR="00C165FB">
        <w:rPr>
          <w:lang w:val="fr-CH"/>
        </w:rPr>
        <w:t xml:space="preserve">paragraphes </w:t>
      </w:r>
      <w:r w:rsidR="009429FF" w:rsidRPr="0071782F">
        <w:rPr>
          <w:lang w:val="fr-CH"/>
        </w:rPr>
        <w:t xml:space="preserve">concernent le </w:t>
      </w:r>
      <w:r w:rsidR="000718F9" w:rsidRPr="0071782F">
        <w:rPr>
          <w:lang w:val="fr-CH"/>
        </w:rPr>
        <w:t>secteur des coopératives</w:t>
      </w:r>
      <w:r w:rsidR="009429FF" w:rsidRPr="0071782F">
        <w:rPr>
          <w:lang w:val="fr-CH"/>
        </w:rPr>
        <w:t>; ce sont les suivants</w:t>
      </w:r>
      <w:r w:rsidR="008F7D33" w:rsidRPr="0071782F">
        <w:rPr>
          <w:lang w:val="fr-CH"/>
        </w:rPr>
        <w:t>:</w:t>
      </w:r>
      <w:r w:rsidRPr="0071782F">
        <w:rPr>
          <w:lang w:val="fr-CH"/>
        </w:rPr>
        <w:t xml:space="preserve"> </w:t>
      </w:r>
    </w:p>
    <w:p w:rsidR="002A0059" w:rsidRPr="0071782F" w:rsidRDefault="002A0059" w:rsidP="00125FA1">
      <w:pPr>
        <w:pStyle w:val="SingleTxtG"/>
        <w:ind w:left="1701"/>
        <w:rPr>
          <w:lang w:val="fr-CH"/>
        </w:rPr>
      </w:pPr>
      <w:r w:rsidRPr="0071782F">
        <w:rPr>
          <w:lang w:val="fr-CH"/>
        </w:rPr>
        <w:t>66.1.</w:t>
      </w:r>
      <w:r w:rsidRPr="0071782F">
        <w:rPr>
          <w:lang w:val="fr-CH"/>
        </w:rPr>
        <w:tab/>
      </w:r>
      <w:r w:rsidR="00723F2B" w:rsidRPr="0071782F">
        <w:rPr>
          <w:b/>
          <w:lang w:val="fr-CH"/>
        </w:rPr>
        <w:t>Paragraphe </w:t>
      </w:r>
      <w:r w:rsidRPr="0071782F">
        <w:rPr>
          <w:b/>
          <w:lang w:val="fr-CH"/>
        </w:rPr>
        <w:t>47:</w:t>
      </w:r>
      <w:r w:rsidRPr="0071782F">
        <w:rPr>
          <w:lang w:val="fr-CH"/>
        </w:rPr>
        <w:t xml:space="preserve"> </w:t>
      </w:r>
      <w:r w:rsidR="009429FF" w:rsidRPr="0071782F">
        <w:rPr>
          <w:lang w:val="fr-CH"/>
        </w:rPr>
        <w:t>Renforcer la position d</w:t>
      </w:r>
      <w:r w:rsidR="000718F9" w:rsidRPr="0071782F">
        <w:rPr>
          <w:lang w:val="fr-CH"/>
        </w:rPr>
        <w:t>u secteur</w:t>
      </w:r>
      <w:r w:rsidR="009429FF" w:rsidRPr="0071782F">
        <w:rPr>
          <w:lang w:val="fr-CH"/>
        </w:rPr>
        <w:t xml:space="preserve"> privé et </w:t>
      </w:r>
      <w:r w:rsidR="000718F9" w:rsidRPr="0071782F">
        <w:rPr>
          <w:lang w:val="fr-CH"/>
        </w:rPr>
        <w:t xml:space="preserve">du secteur des </w:t>
      </w:r>
      <w:r w:rsidR="009429FF" w:rsidRPr="0071782F">
        <w:rPr>
          <w:lang w:val="fr-CH"/>
        </w:rPr>
        <w:t>coopérati</w:t>
      </w:r>
      <w:r w:rsidR="000718F9" w:rsidRPr="0071782F">
        <w:rPr>
          <w:lang w:val="fr-CH"/>
        </w:rPr>
        <w:t>ves</w:t>
      </w:r>
      <w:r w:rsidR="009429FF" w:rsidRPr="0071782F">
        <w:rPr>
          <w:lang w:val="fr-CH"/>
        </w:rPr>
        <w:t xml:space="preserve"> en tant que catalyseurs de la croissance économique du pays, réduire l’intervention de l’État dans l’activité économique et</w:t>
      </w:r>
      <w:r w:rsidRPr="0071782F">
        <w:rPr>
          <w:lang w:val="fr-CH"/>
        </w:rPr>
        <w:t xml:space="preserve"> </w:t>
      </w:r>
      <w:r w:rsidR="009429FF" w:rsidRPr="0071782F">
        <w:rPr>
          <w:lang w:val="fr-CH"/>
        </w:rPr>
        <w:t xml:space="preserve">lui donner un rôle accru dans les questions relatives à la souveraineté dans le cadre des politiques générales de </w:t>
      </w:r>
      <w:r w:rsidR="00723F2B" w:rsidRPr="0071782F">
        <w:rPr>
          <w:lang w:val="fr-CH"/>
        </w:rPr>
        <w:t>l’</w:t>
      </w:r>
      <w:r w:rsidR="00943A69" w:rsidRPr="0071782F">
        <w:rPr>
          <w:lang w:val="fr-CH"/>
        </w:rPr>
        <w:t>article </w:t>
      </w:r>
      <w:r w:rsidRPr="0071782F">
        <w:rPr>
          <w:lang w:val="fr-CH"/>
        </w:rPr>
        <w:t xml:space="preserve">44 </w:t>
      </w:r>
      <w:r w:rsidR="009429FF" w:rsidRPr="0071782F">
        <w:rPr>
          <w:lang w:val="fr-CH"/>
        </w:rPr>
        <w:t xml:space="preserve">de la </w:t>
      </w:r>
      <w:r w:rsidRPr="0071782F">
        <w:rPr>
          <w:lang w:val="fr-CH"/>
        </w:rPr>
        <w:t xml:space="preserve">Constitution, </w:t>
      </w:r>
      <w:r w:rsidR="009429FF" w:rsidRPr="0071782F">
        <w:rPr>
          <w:lang w:val="fr-CH"/>
        </w:rPr>
        <w:t>qui ser</w:t>
      </w:r>
      <w:r w:rsidR="00863C5A" w:rsidRPr="0071782F">
        <w:rPr>
          <w:lang w:val="fr-CH"/>
        </w:rPr>
        <w:t>ont</w:t>
      </w:r>
      <w:r w:rsidR="009429FF" w:rsidRPr="0071782F">
        <w:rPr>
          <w:lang w:val="fr-CH"/>
        </w:rPr>
        <w:t xml:space="preserve"> adopté</w:t>
      </w:r>
      <w:r w:rsidR="00863C5A" w:rsidRPr="0071782F">
        <w:rPr>
          <w:lang w:val="fr-CH"/>
        </w:rPr>
        <w:t>es</w:t>
      </w:r>
      <w:r w:rsidR="009429FF" w:rsidRPr="0071782F">
        <w:rPr>
          <w:lang w:val="fr-CH"/>
        </w:rPr>
        <w:t xml:space="preserve"> à une date ultérieure</w:t>
      </w:r>
      <w:r w:rsidR="00892198" w:rsidRPr="0071782F">
        <w:rPr>
          <w:lang w:val="fr-CH"/>
        </w:rPr>
        <w:t>.</w:t>
      </w:r>
    </w:p>
    <w:p w:rsidR="002A0059" w:rsidRPr="0071782F" w:rsidRDefault="002A0059" w:rsidP="00125FA1">
      <w:pPr>
        <w:pStyle w:val="SingleTxtG"/>
        <w:ind w:left="1701"/>
        <w:rPr>
          <w:lang w:val="fr-CH"/>
        </w:rPr>
      </w:pPr>
      <w:r w:rsidRPr="0071782F">
        <w:rPr>
          <w:lang w:val="fr-CH"/>
        </w:rPr>
        <w:t>66.2.</w:t>
      </w:r>
      <w:r w:rsidRPr="0071782F">
        <w:rPr>
          <w:lang w:val="fr-CH"/>
        </w:rPr>
        <w:tab/>
      </w:r>
      <w:r w:rsidR="00723F2B" w:rsidRPr="0071782F">
        <w:rPr>
          <w:b/>
          <w:lang w:val="fr-CH"/>
        </w:rPr>
        <w:t>Paragraphe </w:t>
      </w:r>
      <w:r w:rsidRPr="0071782F">
        <w:rPr>
          <w:b/>
          <w:lang w:val="fr-CH"/>
        </w:rPr>
        <w:t>48</w:t>
      </w:r>
      <w:r w:rsidR="008F7D33" w:rsidRPr="0071782F">
        <w:rPr>
          <w:b/>
          <w:lang w:val="fr-CH"/>
        </w:rPr>
        <w:t>:</w:t>
      </w:r>
      <w:r w:rsidRPr="0071782F">
        <w:rPr>
          <w:lang w:val="fr-CH"/>
        </w:rPr>
        <w:t xml:space="preserve"> </w:t>
      </w:r>
      <w:r w:rsidR="009429FF" w:rsidRPr="0071782F">
        <w:rPr>
          <w:lang w:val="fr-CH"/>
        </w:rPr>
        <w:t xml:space="preserve">Renforcer le potentiel et les capacités du </w:t>
      </w:r>
      <w:r w:rsidR="000718F9" w:rsidRPr="0071782F">
        <w:rPr>
          <w:lang w:val="fr-CH"/>
        </w:rPr>
        <w:t>secteur des coopératives</w:t>
      </w:r>
      <w:r w:rsidR="009429FF" w:rsidRPr="0071782F">
        <w:rPr>
          <w:lang w:val="fr-CH"/>
        </w:rPr>
        <w:t xml:space="preserve"> en facilitant le processus de son accès aux ressources, aux </w:t>
      </w:r>
      <w:r w:rsidRPr="0071782F">
        <w:rPr>
          <w:lang w:val="fr-CH"/>
        </w:rPr>
        <w:t>information</w:t>
      </w:r>
      <w:r w:rsidR="009429FF" w:rsidRPr="0071782F">
        <w:rPr>
          <w:lang w:val="fr-CH"/>
        </w:rPr>
        <w:t>s</w:t>
      </w:r>
      <w:r w:rsidRPr="0071782F">
        <w:rPr>
          <w:lang w:val="fr-CH"/>
        </w:rPr>
        <w:t xml:space="preserve"> </w:t>
      </w:r>
      <w:r w:rsidR="009429FF" w:rsidRPr="0071782F">
        <w:rPr>
          <w:lang w:val="fr-CH"/>
        </w:rPr>
        <w:t>et aux données</w:t>
      </w:r>
      <w:r w:rsidRPr="0071782F">
        <w:rPr>
          <w:lang w:val="fr-CH"/>
        </w:rPr>
        <w:t xml:space="preserve">, </w:t>
      </w:r>
      <w:r w:rsidR="009429FF" w:rsidRPr="0071782F">
        <w:rPr>
          <w:lang w:val="fr-CH"/>
        </w:rPr>
        <w:t>à la technologie et</w:t>
      </w:r>
      <w:r w:rsidRPr="0071782F">
        <w:rPr>
          <w:lang w:val="fr-CH"/>
        </w:rPr>
        <w:t xml:space="preserve"> </w:t>
      </w:r>
      <w:r w:rsidR="009429FF" w:rsidRPr="0071782F">
        <w:rPr>
          <w:lang w:val="fr-CH"/>
        </w:rPr>
        <w:t xml:space="preserve">aux moyens de </w:t>
      </w:r>
      <w:r w:rsidRPr="0071782F">
        <w:rPr>
          <w:lang w:val="fr-CH"/>
        </w:rPr>
        <w:t>communication</w:t>
      </w:r>
      <w:r w:rsidR="009429FF" w:rsidRPr="0071782F">
        <w:rPr>
          <w:lang w:val="fr-CH"/>
        </w:rPr>
        <w:t>, et développer ses liens</w:t>
      </w:r>
      <w:r w:rsidR="00D36718">
        <w:rPr>
          <w:lang w:val="fr-CH"/>
        </w:rPr>
        <w:t xml:space="preserve"> </w:t>
      </w:r>
      <w:r w:rsidRPr="0071782F">
        <w:rPr>
          <w:lang w:val="fr-CH"/>
        </w:rPr>
        <w:t>techni</w:t>
      </w:r>
      <w:r w:rsidR="009429FF" w:rsidRPr="0071782F">
        <w:rPr>
          <w:lang w:val="fr-CH"/>
        </w:rPr>
        <w:t>ques</w:t>
      </w:r>
      <w:r w:rsidRPr="0071782F">
        <w:rPr>
          <w:lang w:val="fr-CH"/>
        </w:rPr>
        <w:t xml:space="preserve">, </w:t>
      </w:r>
      <w:r w:rsidR="009429FF" w:rsidRPr="0071782F">
        <w:rPr>
          <w:lang w:val="fr-CH"/>
        </w:rPr>
        <w:t>économiques et financiers avec les autres secteurs de l’économie</w:t>
      </w:r>
      <w:r w:rsidR="002231E8" w:rsidRPr="0071782F">
        <w:rPr>
          <w:lang w:val="fr-CH"/>
        </w:rPr>
        <w:t>.</w:t>
      </w:r>
      <w:r w:rsidRPr="0071782F">
        <w:rPr>
          <w:lang w:val="fr-CH"/>
        </w:rPr>
        <w:t xml:space="preserve"> </w:t>
      </w:r>
    </w:p>
    <w:p w:rsidR="002A0059" w:rsidRPr="0071782F" w:rsidRDefault="002A0059" w:rsidP="00125FA1">
      <w:pPr>
        <w:pStyle w:val="H23G"/>
        <w:rPr>
          <w:lang w:val="fr-CH"/>
        </w:rPr>
      </w:pPr>
      <w:r w:rsidRPr="0071782F">
        <w:rPr>
          <w:lang w:val="fr-CH"/>
        </w:rPr>
        <w:tab/>
      </w:r>
      <w:r w:rsidRPr="0071782F">
        <w:rPr>
          <w:lang w:val="fr-CH"/>
        </w:rPr>
        <w:tab/>
        <w:t>Statu</w:t>
      </w:r>
      <w:r w:rsidR="009429FF" w:rsidRPr="0071782F">
        <w:rPr>
          <w:lang w:val="fr-CH"/>
        </w:rPr>
        <w:t xml:space="preserve">t du </w:t>
      </w:r>
      <w:r w:rsidR="000718F9" w:rsidRPr="0071782F">
        <w:rPr>
          <w:lang w:val="fr-CH"/>
        </w:rPr>
        <w:t>secteur des coopératives</w:t>
      </w:r>
      <w:r w:rsidR="009429FF" w:rsidRPr="0071782F">
        <w:rPr>
          <w:lang w:val="fr-CH"/>
        </w:rPr>
        <w:t xml:space="preserve"> dans les politiques générale</w:t>
      </w:r>
      <w:r w:rsidR="00863C5A" w:rsidRPr="0071782F">
        <w:rPr>
          <w:lang w:val="fr-CH"/>
        </w:rPr>
        <w:t>s</w:t>
      </w:r>
      <w:r w:rsidR="009429FF" w:rsidRPr="0071782F">
        <w:rPr>
          <w:lang w:val="fr-CH"/>
        </w:rPr>
        <w:t xml:space="preserve"> de </w:t>
      </w:r>
      <w:r w:rsidR="00723F2B" w:rsidRPr="0071782F">
        <w:rPr>
          <w:lang w:val="fr-CH"/>
        </w:rPr>
        <w:t>l’</w:t>
      </w:r>
      <w:r w:rsidR="00943A69" w:rsidRPr="0071782F">
        <w:rPr>
          <w:lang w:val="fr-CH"/>
        </w:rPr>
        <w:t>article </w:t>
      </w:r>
      <w:r w:rsidRPr="0071782F">
        <w:rPr>
          <w:lang w:val="fr-CH"/>
        </w:rPr>
        <w:t xml:space="preserve">44 </w:t>
      </w:r>
      <w:r w:rsidR="009429FF" w:rsidRPr="0071782F">
        <w:rPr>
          <w:lang w:val="fr-CH"/>
        </w:rPr>
        <w:t xml:space="preserve">de la </w:t>
      </w:r>
      <w:r w:rsidRPr="0071782F">
        <w:rPr>
          <w:lang w:val="fr-CH"/>
        </w:rPr>
        <w:t xml:space="preserve">Constitution </w:t>
      </w:r>
    </w:p>
    <w:p w:rsidR="002A0059" w:rsidRPr="0071782F" w:rsidRDefault="002A0059" w:rsidP="002A0059">
      <w:pPr>
        <w:pStyle w:val="SingleTxtG"/>
        <w:rPr>
          <w:lang w:val="fr-CH"/>
        </w:rPr>
      </w:pPr>
      <w:r w:rsidRPr="0071782F">
        <w:rPr>
          <w:lang w:val="fr-CH"/>
        </w:rPr>
        <w:t>67.</w:t>
      </w:r>
      <w:r w:rsidRPr="0071782F">
        <w:rPr>
          <w:lang w:val="fr-CH"/>
        </w:rPr>
        <w:tab/>
      </w:r>
      <w:r w:rsidR="00863C5A" w:rsidRPr="0071782F">
        <w:rPr>
          <w:lang w:val="fr-CH"/>
        </w:rPr>
        <w:t xml:space="preserve">À l’exception de </w:t>
      </w:r>
      <w:r w:rsidR="006B786B" w:rsidRPr="0071782F">
        <w:rPr>
          <w:lang w:val="fr-CH"/>
        </w:rPr>
        <w:t>l’alinéa </w:t>
      </w:r>
      <w:r w:rsidRPr="0071782F">
        <w:rPr>
          <w:lang w:val="fr-CH"/>
        </w:rPr>
        <w:t>c</w:t>
      </w:r>
      <w:r w:rsidR="00863C5A" w:rsidRPr="0071782F">
        <w:rPr>
          <w:lang w:val="fr-CH"/>
        </w:rPr>
        <w:t xml:space="preserve">, les politiques adoptées par le Guide suprême portent essentiellement sur le secteur privé; dans le cadre de ces </w:t>
      </w:r>
      <w:r w:rsidR="000718F9" w:rsidRPr="0071782F">
        <w:rPr>
          <w:lang w:val="fr-CH"/>
        </w:rPr>
        <w:t xml:space="preserve">politiques, la part du secteur des </w:t>
      </w:r>
      <w:r w:rsidRPr="0071782F">
        <w:rPr>
          <w:lang w:val="fr-CH"/>
        </w:rPr>
        <w:t>coop</w:t>
      </w:r>
      <w:r w:rsidR="00863C5A" w:rsidRPr="0071782F">
        <w:rPr>
          <w:lang w:val="fr-CH"/>
        </w:rPr>
        <w:t>é</w:t>
      </w:r>
      <w:r w:rsidRPr="0071782F">
        <w:rPr>
          <w:lang w:val="fr-CH"/>
        </w:rPr>
        <w:t>rati</w:t>
      </w:r>
      <w:r w:rsidR="000718F9" w:rsidRPr="0071782F">
        <w:rPr>
          <w:lang w:val="fr-CH"/>
        </w:rPr>
        <w:t>ves</w:t>
      </w:r>
      <w:r w:rsidR="00863C5A" w:rsidRPr="0071782F">
        <w:rPr>
          <w:lang w:val="fr-CH"/>
        </w:rPr>
        <w:t xml:space="preserve"> doit représenter </w:t>
      </w:r>
      <w:r w:rsidRPr="0071782F">
        <w:rPr>
          <w:lang w:val="fr-CH"/>
        </w:rPr>
        <w:t>25</w:t>
      </w:r>
      <w:r w:rsidR="007E5125" w:rsidRPr="0071782F">
        <w:rPr>
          <w:lang w:val="fr-CH"/>
        </w:rPr>
        <w:t>%</w:t>
      </w:r>
      <w:r w:rsidRPr="0071782F">
        <w:rPr>
          <w:lang w:val="fr-CH"/>
        </w:rPr>
        <w:t xml:space="preserve"> </w:t>
      </w:r>
      <w:r w:rsidR="00863C5A" w:rsidRPr="0071782F">
        <w:rPr>
          <w:lang w:val="fr-CH"/>
        </w:rPr>
        <w:t xml:space="preserve">de l’économie </w:t>
      </w:r>
      <w:r w:rsidRPr="0071782F">
        <w:rPr>
          <w:lang w:val="fr-CH"/>
        </w:rPr>
        <w:t>national</w:t>
      </w:r>
      <w:r w:rsidR="00863C5A" w:rsidRPr="0071782F">
        <w:rPr>
          <w:lang w:val="fr-CH"/>
        </w:rPr>
        <w:t>e</w:t>
      </w:r>
      <w:r w:rsidRPr="0071782F">
        <w:rPr>
          <w:lang w:val="fr-CH"/>
        </w:rPr>
        <w:t xml:space="preserve"> </w:t>
      </w:r>
      <w:r w:rsidR="00863C5A" w:rsidRPr="0071782F">
        <w:rPr>
          <w:lang w:val="fr-CH"/>
        </w:rPr>
        <w:t xml:space="preserve">à la fin du </w:t>
      </w:r>
      <w:r w:rsidR="00A90208" w:rsidRPr="0071782F">
        <w:rPr>
          <w:lang w:val="fr-CH"/>
        </w:rPr>
        <w:t>cinquième</w:t>
      </w:r>
      <w:r w:rsidR="00863C5A" w:rsidRPr="0071782F">
        <w:rPr>
          <w:lang w:val="fr-CH"/>
        </w:rPr>
        <w:t xml:space="preserve"> plan de développement</w:t>
      </w:r>
      <w:r w:rsidRPr="0071782F">
        <w:rPr>
          <w:lang w:val="fr-CH"/>
        </w:rPr>
        <w:t xml:space="preserve">. </w:t>
      </w:r>
    </w:p>
    <w:p w:rsidR="002A0059" w:rsidRPr="0071782F" w:rsidRDefault="002A0059" w:rsidP="00125FA1">
      <w:pPr>
        <w:pStyle w:val="H23G"/>
        <w:rPr>
          <w:lang w:val="fr-CH"/>
        </w:rPr>
      </w:pPr>
      <w:r w:rsidRPr="0071782F">
        <w:rPr>
          <w:lang w:val="fr-CH"/>
        </w:rPr>
        <w:tab/>
      </w:r>
      <w:r w:rsidRPr="0071782F">
        <w:rPr>
          <w:lang w:val="fr-CH"/>
        </w:rPr>
        <w:tab/>
      </w:r>
      <w:r w:rsidR="000718F9" w:rsidRPr="0071782F">
        <w:rPr>
          <w:lang w:val="fr-CH"/>
        </w:rPr>
        <w:t>Secteur des coopératives</w:t>
      </w:r>
      <w:r w:rsidR="00863C5A" w:rsidRPr="0071782F">
        <w:rPr>
          <w:lang w:val="fr-CH"/>
        </w:rPr>
        <w:t xml:space="preserve"> dans les politiques générales de </w:t>
      </w:r>
      <w:r w:rsidR="00723F2B" w:rsidRPr="0071782F">
        <w:rPr>
          <w:lang w:val="fr-CH"/>
        </w:rPr>
        <w:t>l’</w:t>
      </w:r>
      <w:r w:rsidR="00943A69" w:rsidRPr="0071782F">
        <w:rPr>
          <w:lang w:val="fr-CH"/>
        </w:rPr>
        <w:t>article </w:t>
      </w:r>
      <w:r w:rsidR="00863C5A" w:rsidRPr="0071782F">
        <w:rPr>
          <w:lang w:val="fr-CH"/>
        </w:rPr>
        <w:t>44 de la Constitution</w:t>
      </w:r>
    </w:p>
    <w:p w:rsidR="002A0059" w:rsidRPr="0071782F" w:rsidRDefault="002A0059" w:rsidP="002A0059">
      <w:pPr>
        <w:pStyle w:val="SingleTxtG"/>
        <w:rPr>
          <w:lang w:val="fr-CH"/>
        </w:rPr>
      </w:pPr>
      <w:r w:rsidRPr="0071782F">
        <w:rPr>
          <w:lang w:val="fr-CH"/>
        </w:rPr>
        <w:t>68.</w:t>
      </w:r>
      <w:r w:rsidRPr="0071782F">
        <w:rPr>
          <w:lang w:val="fr-CH"/>
        </w:rPr>
        <w:tab/>
      </w:r>
      <w:r w:rsidR="00863C5A" w:rsidRPr="0071782F">
        <w:rPr>
          <w:lang w:val="fr-CH"/>
        </w:rPr>
        <w:t xml:space="preserve">Avoir cédé au secteur </w:t>
      </w:r>
      <w:r w:rsidR="000718F9" w:rsidRPr="0071782F">
        <w:rPr>
          <w:lang w:val="fr-CH"/>
        </w:rPr>
        <w:t xml:space="preserve">des </w:t>
      </w:r>
      <w:r w:rsidRPr="0071782F">
        <w:rPr>
          <w:lang w:val="fr-CH"/>
        </w:rPr>
        <w:t>coop</w:t>
      </w:r>
      <w:r w:rsidR="00863C5A" w:rsidRPr="0071782F">
        <w:rPr>
          <w:lang w:val="fr-CH"/>
        </w:rPr>
        <w:t>é</w:t>
      </w:r>
      <w:r w:rsidRPr="0071782F">
        <w:rPr>
          <w:lang w:val="fr-CH"/>
        </w:rPr>
        <w:t>rati</w:t>
      </w:r>
      <w:r w:rsidR="000718F9" w:rsidRPr="0071782F">
        <w:rPr>
          <w:lang w:val="fr-CH"/>
        </w:rPr>
        <w:t>ves</w:t>
      </w:r>
      <w:r w:rsidR="00863C5A" w:rsidRPr="0071782F">
        <w:rPr>
          <w:lang w:val="fr-CH"/>
        </w:rPr>
        <w:t xml:space="preserve"> et </w:t>
      </w:r>
      <w:r w:rsidR="000718F9" w:rsidRPr="0071782F">
        <w:rPr>
          <w:lang w:val="fr-CH"/>
        </w:rPr>
        <w:t xml:space="preserve">au secteur </w:t>
      </w:r>
      <w:r w:rsidR="00863C5A" w:rsidRPr="0071782F">
        <w:rPr>
          <w:lang w:val="fr-CH"/>
        </w:rPr>
        <w:t xml:space="preserve">privé toutes les activités économiques ne relevant pas du champ d’application de </w:t>
      </w:r>
      <w:r w:rsidR="00723F2B" w:rsidRPr="0071782F">
        <w:rPr>
          <w:lang w:val="fr-CH"/>
        </w:rPr>
        <w:t>l’</w:t>
      </w:r>
      <w:r w:rsidR="00943A69" w:rsidRPr="0071782F">
        <w:rPr>
          <w:lang w:val="fr-CH"/>
        </w:rPr>
        <w:t>article </w:t>
      </w:r>
      <w:r w:rsidRPr="0071782F">
        <w:rPr>
          <w:lang w:val="fr-CH"/>
        </w:rPr>
        <w:t xml:space="preserve">44 </w:t>
      </w:r>
      <w:r w:rsidR="00863C5A" w:rsidRPr="0071782F">
        <w:rPr>
          <w:lang w:val="fr-CH"/>
        </w:rPr>
        <w:t xml:space="preserve">à la fin du </w:t>
      </w:r>
      <w:r w:rsidR="00A90208" w:rsidRPr="0071782F">
        <w:rPr>
          <w:lang w:val="fr-CH"/>
        </w:rPr>
        <w:t>quatrième</w:t>
      </w:r>
      <w:r w:rsidR="00863C5A" w:rsidRPr="0071782F">
        <w:rPr>
          <w:lang w:val="fr-CH"/>
        </w:rPr>
        <w:t xml:space="preserve"> plan de développement</w:t>
      </w:r>
      <w:r w:rsidR="00892198" w:rsidRPr="0071782F">
        <w:rPr>
          <w:lang w:val="fr-CH"/>
        </w:rPr>
        <w:t>.</w:t>
      </w:r>
    </w:p>
    <w:p w:rsidR="002A0059" w:rsidRPr="0071782F" w:rsidRDefault="002A0059" w:rsidP="00125FA1">
      <w:pPr>
        <w:pStyle w:val="SingleTxtG"/>
        <w:ind w:left="1701"/>
        <w:rPr>
          <w:lang w:val="fr-CH"/>
        </w:rPr>
      </w:pPr>
      <w:r w:rsidRPr="0071782F">
        <w:rPr>
          <w:lang w:val="fr-CH"/>
        </w:rPr>
        <w:t>68.1.</w:t>
      </w:r>
      <w:r w:rsidRPr="0071782F">
        <w:rPr>
          <w:lang w:val="fr-CH"/>
        </w:rPr>
        <w:tab/>
      </w:r>
      <w:r w:rsidR="00863C5A" w:rsidRPr="0071782F">
        <w:rPr>
          <w:lang w:val="fr-CH"/>
        </w:rPr>
        <w:t xml:space="preserve">Autoriser l’investissement dans les activités économiques qui relèvent du champ d’application de </w:t>
      </w:r>
      <w:r w:rsidR="00723F2B" w:rsidRPr="0071782F">
        <w:rPr>
          <w:lang w:val="fr-CH"/>
        </w:rPr>
        <w:t>l’</w:t>
      </w:r>
      <w:r w:rsidR="00943A69" w:rsidRPr="0071782F">
        <w:rPr>
          <w:lang w:val="fr-CH"/>
        </w:rPr>
        <w:t>article </w:t>
      </w:r>
      <w:r w:rsidR="008405A8" w:rsidRPr="0071782F">
        <w:rPr>
          <w:lang w:val="fr-CH"/>
        </w:rPr>
        <w:t xml:space="preserve">44, ainsi que l’appropriation et la gestion de ces activités, comme le prévoient les </w:t>
      </w:r>
      <w:r w:rsidR="009236BB" w:rsidRPr="0071782F">
        <w:rPr>
          <w:lang w:val="fr-CH"/>
        </w:rPr>
        <w:t>paragraphes </w:t>
      </w:r>
      <w:r w:rsidR="008405A8" w:rsidRPr="0071782F">
        <w:rPr>
          <w:lang w:val="fr-CH"/>
        </w:rPr>
        <w:t>1 à 8</w:t>
      </w:r>
      <w:r w:rsidRPr="0071782F">
        <w:rPr>
          <w:lang w:val="fr-CH"/>
        </w:rPr>
        <w:t xml:space="preserve">. </w:t>
      </w:r>
    </w:p>
    <w:p w:rsidR="002A0059" w:rsidRPr="0071782F" w:rsidRDefault="002A0059" w:rsidP="00125FA1">
      <w:pPr>
        <w:pStyle w:val="H23G"/>
        <w:rPr>
          <w:lang w:val="fr-CH"/>
        </w:rPr>
      </w:pPr>
      <w:r w:rsidRPr="0071782F">
        <w:rPr>
          <w:lang w:val="fr-CH"/>
        </w:rPr>
        <w:tab/>
      </w:r>
      <w:r w:rsidRPr="0071782F">
        <w:rPr>
          <w:lang w:val="fr-CH"/>
        </w:rPr>
        <w:tab/>
      </w:r>
      <w:r w:rsidR="008405A8" w:rsidRPr="0071782F">
        <w:rPr>
          <w:lang w:val="fr-CH"/>
        </w:rPr>
        <w:t xml:space="preserve">Les politiques générales régissant le </w:t>
      </w:r>
      <w:r w:rsidR="000718F9" w:rsidRPr="0071782F">
        <w:rPr>
          <w:lang w:val="fr-CH"/>
        </w:rPr>
        <w:t>secteur des coopératives</w:t>
      </w:r>
      <w:r w:rsidR="008405A8" w:rsidRPr="0071782F">
        <w:rPr>
          <w:lang w:val="fr-CH"/>
        </w:rPr>
        <w:t xml:space="preserve"> </w:t>
      </w:r>
    </w:p>
    <w:p w:rsidR="002A0059" w:rsidRPr="0071782F" w:rsidRDefault="002A0059" w:rsidP="002A0059">
      <w:pPr>
        <w:pStyle w:val="SingleTxtG"/>
        <w:rPr>
          <w:lang w:val="fr-CH"/>
        </w:rPr>
      </w:pPr>
      <w:r w:rsidRPr="0071782F">
        <w:rPr>
          <w:lang w:val="fr-CH"/>
        </w:rPr>
        <w:t>69.</w:t>
      </w:r>
      <w:r w:rsidRPr="0071782F">
        <w:rPr>
          <w:lang w:val="fr-CH"/>
        </w:rPr>
        <w:tab/>
      </w:r>
      <w:r w:rsidR="000D0965" w:rsidRPr="0071782F">
        <w:rPr>
          <w:lang w:val="fr-CH"/>
        </w:rPr>
        <w:t>Avoir augmenté de 25</w:t>
      </w:r>
      <w:r w:rsidR="007E5125" w:rsidRPr="0071782F">
        <w:rPr>
          <w:lang w:val="fr-CH"/>
        </w:rPr>
        <w:t>%</w:t>
      </w:r>
      <w:r w:rsidR="000D0965" w:rsidRPr="0071782F">
        <w:rPr>
          <w:lang w:val="fr-CH"/>
        </w:rPr>
        <w:t xml:space="preserve"> à la fin du </w:t>
      </w:r>
      <w:r w:rsidR="00A90208" w:rsidRPr="0071782F">
        <w:rPr>
          <w:lang w:val="fr-CH"/>
        </w:rPr>
        <w:t>cinquième</w:t>
      </w:r>
      <w:r w:rsidR="000D0965" w:rsidRPr="0071782F">
        <w:rPr>
          <w:lang w:val="fr-CH"/>
        </w:rPr>
        <w:t xml:space="preserve"> plan de développement la part du </w:t>
      </w:r>
      <w:r w:rsidR="000718F9" w:rsidRPr="0071782F">
        <w:rPr>
          <w:lang w:val="fr-CH"/>
        </w:rPr>
        <w:t>secteur des coopératives</w:t>
      </w:r>
      <w:r w:rsidR="000D0965" w:rsidRPr="0071782F">
        <w:rPr>
          <w:lang w:val="fr-CH"/>
        </w:rPr>
        <w:t xml:space="preserve"> dans l’économie </w:t>
      </w:r>
      <w:r w:rsidRPr="0071782F">
        <w:rPr>
          <w:lang w:val="fr-CH"/>
        </w:rPr>
        <w:t>national</w:t>
      </w:r>
      <w:r w:rsidR="000D0965" w:rsidRPr="0071782F">
        <w:rPr>
          <w:lang w:val="fr-CH"/>
        </w:rPr>
        <w:t>e</w:t>
      </w:r>
      <w:r w:rsidR="008F7D33" w:rsidRPr="0071782F">
        <w:rPr>
          <w:lang w:val="fr-CH"/>
        </w:rPr>
        <w:t>:</w:t>
      </w:r>
    </w:p>
    <w:p w:rsidR="002A0059" w:rsidRPr="0071782F" w:rsidRDefault="002A0059" w:rsidP="00125FA1">
      <w:pPr>
        <w:pStyle w:val="SingleTxtG"/>
        <w:ind w:left="1701"/>
        <w:rPr>
          <w:lang w:val="fr-CH"/>
        </w:rPr>
      </w:pPr>
      <w:r w:rsidRPr="0071782F">
        <w:rPr>
          <w:lang w:val="fr-CH"/>
        </w:rPr>
        <w:t>69.1.</w:t>
      </w:r>
      <w:r w:rsidRPr="0071782F">
        <w:rPr>
          <w:lang w:val="fr-CH"/>
        </w:rPr>
        <w:tab/>
        <w:t xml:space="preserve">Adoption </w:t>
      </w:r>
      <w:r w:rsidR="000D0965" w:rsidRPr="0071782F">
        <w:rPr>
          <w:lang w:val="fr-CH"/>
        </w:rPr>
        <w:t xml:space="preserve">par le gouvernement de mesures efficaces pour mettre sur pied des </w:t>
      </w:r>
      <w:r w:rsidRPr="0071782F">
        <w:rPr>
          <w:lang w:val="fr-CH"/>
        </w:rPr>
        <w:t>coop</w:t>
      </w:r>
      <w:r w:rsidR="000D0965" w:rsidRPr="0071782F">
        <w:rPr>
          <w:lang w:val="fr-CH"/>
        </w:rPr>
        <w:t>é</w:t>
      </w:r>
      <w:r w:rsidRPr="0071782F">
        <w:rPr>
          <w:lang w:val="fr-CH"/>
        </w:rPr>
        <w:t xml:space="preserve">ratives </w:t>
      </w:r>
      <w:r w:rsidR="000D0965" w:rsidRPr="0071782F">
        <w:rPr>
          <w:lang w:val="fr-CH"/>
        </w:rPr>
        <w:t>en vue de créer des emplois productifs</w:t>
      </w:r>
      <w:r w:rsidR="00892198" w:rsidRPr="0071782F">
        <w:rPr>
          <w:lang w:val="fr-CH"/>
        </w:rPr>
        <w:t>.</w:t>
      </w:r>
      <w:r w:rsidRPr="0071782F">
        <w:rPr>
          <w:lang w:val="fr-CH"/>
        </w:rPr>
        <w:t xml:space="preserve"> </w:t>
      </w:r>
    </w:p>
    <w:p w:rsidR="002A0059" w:rsidRPr="0071782F" w:rsidRDefault="002A0059" w:rsidP="00125FA1">
      <w:pPr>
        <w:pStyle w:val="SingleTxtG"/>
        <w:ind w:left="1701"/>
        <w:rPr>
          <w:lang w:val="fr-CH"/>
        </w:rPr>
      </w:pPr>
      <w:r w:rsidRPr="0071782F">
        <w:rPr>
          <w:lang w:val="fr-CH"/>
        </w:rPr>
        <w:t>69.2.</w:t>
      </w:r>
      <w:r w:rsidRPr="0071782F">
        <w:rPr>
          <w:lang w:val="fr-CH"/>
        </w:rPr>
        <w:tab/>
      </w:r>
      <w:r w:rsidR="00524180" w:rsidRPr="0071782F">
        <w:rPr>
          <w:lang w:val="fr-CH"/>
        </w:rPr>
        <w:t>Appui de l’État à la constitution de coopératives et à leur développement fourni par des moyens tels que des réductions d’impôt, l’octroi par les institutions financières du pays de prêts assortis de conditions de faveur et l’exonération du paiement de toutes taxes supplémentaires perçues sur le secteur privé</w:t>
      </w:r>
      <w:r w:rsidR="00892198" w:rsidRPr="0071782F">
        <w:rPr>
          <w:lang w:val="fr-CH"/>
        </w:rPr>
        <w:t>.</w:t>
      </w:r>
      <w:r w:rsidRPr="0071782F">
        <w:rPr>
          <w:lang w:val="fr-CH"/>
        </w:rPr>
        <w:t xml:space="preserve"> </w:t>
      </w:r>
    </w:p>
    <w:p w:rsidR="002A0059" w:rsidRPr="0071782F" w:rsidRDefault="002A0059" w:rsidP="00125FA1">
      <w:pPr>
        <w:pStyle w:val="SingleTxtG"/>
        <w:ind w:left="1701"/>
        <w:rPr>
          <w:lang w:val="fr-CH"/>
        </w:rPr>
      </w:pPr>
      <w:r w:rsidRPr="0071782F">
        <w:rPr>
          <w:lang w:val="fr-CH"/>
        </w:rPr>
        <w:t>69.3.</w:t>
      </w:r>
      <w:r w:rsidRPr="0071782F">
        <w:rPr>
          <w:lang w:val="fr-CH"/>
        </w:rPr>
        <w:tab/>
      </w:r>
      <w:r w:rsidR="00524180" w:rsidRPr="0071782F">
        <w:rPr>
          <w:lang w:val="fr-CH"/>
        </w:rPr>
        <w:t>Élimin</w:t>
      </w:r>
      <w:r w:rsidR="000718F9" w:rsidRPr="0071782F">
        <w:rPr>
          <w:lang w:val="fr-CH"/>
        </w:rPr>
        <w:t xml:space="preserve">ation de </w:t>
      </w:r>
      <w:r w:rsidR="00524180" w:rsidRPr="0071782F">
        <w:rPr>
          <w:lang w:val="fr-CH"/>
        </w:rPr>
        <w:t xml:space="preserve">toutes </w:t>
      </w:r>
      <w:r w:rsidR="000718F9" w:rsidRPr="0071782F">
        <w:rPr>
          <w:lang w:val="fr-CH"/>
        </w:rPr>
        <w:t xml:space="preserve">les </w:t>
      </w:r>
      <w:r w:rsidRPr="0071782F">
        <w:rPr>
          <w:lang w:val="fr-CH"/>
        </w:rPr>
        <w:t xml:space="preserve">restrictions </w:t>
      </w:r>
      <w:r w:rsidR="00524180" w:rsidRPr="0071782F">
        <w:rPr>
          <w:lang w:val="fr-CH"/>
        </w:rPr>
        <w:t xml:space="preserve">pouvant empêcher le </w:t>
      </w:r>
      <w:r w:rsidR="000718F9" w:rsidRPr="0071782F">
        <w:rPr>
          <w:lang w:val="fr-CH"/>
        </w:rPr>
        <w:t>secteur des coopératives</w:t>
      </w:r>
      <w:r w:rsidR="00524180" w:rsidRPr="0071782F">
        <w:rPr>
          <w:lang w:val="fr-CH"/>
        </w:rPr>
        <w:t xml:space="preserve"> d’être présent dans toutes les activités économiques, y compris la banque et les assurances</w:t>
      </w:r>
      <w:r w:rsidR="00892198" w:rsidRPr="0071782F">
        <w:rPr>
          <w:lang w:val="fr-CH"/>
        </w:rPr>
        <w:t>.</w:t>
      </w:r>
    </w:p>
    <w:p w:rsidR="002A0059" w:rsidRPr="0071782F" w:rsidRDefault="002A0059" w:rsidP="00125FA1">
      <w:pPr>
        <w:pStyle w:val="SingleTxtG"/>
        <w:ind w:left="1701"/>
        <w:rPr>
          <w:lang w:val="fr-CH"/>
        </w:rPr>
      </w:pPr>
      <w:r w:rsidRPr="0071782F">
        <w:rPr>
          <w:lang w:val="fr-CH"/>
        </w:rPr>
        <w:t>69.4.</w:t>
      </w:r>
      <w:r w:rsidRPr="0071782F">
        <w:rPr>
          <w:lang w:val="fr-CH"/>
        </w:rPr>
        <w:tab/>
      </w:r>
      <w:r w:rsidR="002746DB" w:rsidRPr="0071782F">
        <w:rPr>
          <w:lang w:val="fr-CH"/>
        </w:rPr>
        <w:t xml:space="preserve">Création d’une banque de développement pour les coopératives à capitaux publics en vue d’augmenter la part du </w:t>
      </w:r>
      <w:r w:rsidR="000718F9" w:rsidRPr="0071782F">
        <w:rPr>
          <w:lang w:val="fr-CH"/>
        </w:rPr>
        <w:t>secteur des coopératives</w:t>
      </w:r>
      <w:r w:rsidR="002746DB" w:rsidRPr="0071782F">
        <w:rPr>
          <w:lang w:val="fr-CH"/>
        </w:rPr>
        <w:t xml:space="preserve"> dans l’économie </w:t>
      </w:r>
      <w:r w:rsidRPr="0071782F">
        <w:rPr>
          <w:lang w:val="fr-CH"/>
        </w:rPr>
        <w:t>national</w:t>
      </w:r>
      <w:r w:rsidR="002746DB" w:rsidRPr="0071782F">
        <w:rPr>
          <w:lang w:val="fr-CH"/>
        </w:rPr>
        <w:t>e</w:t>
      </w:r>
      <w:r w:rsidR="00892198" w:rsidRPr="0071782F">
        <w:rPr>
          <w:lang w:val="fr-CH"/>
        </w:rPr>
        <w:t>.</w:t>
      </w:r>
    </w:p>
    <w:p w:rsidR="002A0059" w:rsidRPr="0071782F" w:rsidRDefault="002A0059" w:rsidP="00125FA1">
      <w:pPr>
        <w:pStyle w:val="SingleTxtG"/>
        <w:ind w:left="1701"/>
        <w:rPr>
          <w:lang w:val="fr-CH"/>
        </w:rPr>
      </w:pPr>
      <w:r w:rsidRPr="0071782F">
        <w:rPr>
          <w:lang w:val="fr-CH"/>
        </w:rPr>
        <w:t>69.5.</w:t>
      </w:r>
      <w:r w:rsidRPr="0071782F">
        <w:rPr>
          <w:lang w:val="fr-CH"/>
        </w:rPr>
        <w:tab/>
      </w:r>
      <w:r w:rsidR="002746DB" w:rsidRPr="0071782F">
        <w:rPr>
          <w:lang w:val="fr-CH"/>
        </w:rPr>
        <w:t>Appui de l’État pour permettre aux coopé</w:t>
      </w:r>
      <w:r w:rsidRPr="0071782F">
        <w:rPr>
          <w:lang w:val="fr-CH"/>
        </w:rPr>
        <w:t xml:space="preserve">ratives </w:t>
      </w:r>
      <w:r w:rsidR="002746DB" w:rsidRPr="0071782F">
        <w:rPr>
          <w:lang w:val="fr-CH"/>
        </w:rPr>
        <w:t>d’accéder au marché final, ainsi qu’aux données et informations nécessaires</w:t>
      </w:r>
      <w:r w:rsidR="00892198" w:rsidRPr="0071782F">
        <w:rPr>
          <w:lang w:val="fr-CH"/>
        </w:rPr>
        <w:t>.</w:t>
      </w:r>
    </w:p>
    <w:p w:rsidR="002A0059" w:rsidRPr="0071782F" w:rsidRDefault="002A0059" w:rsidP="00125FA1">
      <w:pPr>
        <w:pStyle w:val="SingleTxtG"/>
        <w:ind w:left="1701"/>
        <w:rPr>
          <w:lang w:val="fr-CH"/>
        </w:rPr>
      </w:pPr>
      <w:r w:rsidRPr="0071782F">
        <w:rPr>
          <w:lang w:val="fr-CH"/>
        </w:rPr>
        <w:t>69.6.</w:t>
      </w:r>
      <w:r w:rsidRPr="0071782F">
        <w:rPr>
          <w:lang w:val="fr-CH"/>
        </w:rPr>
        <w:tab/>
      </w:r>
      <w:r w:rsidR="002A3423" w:rsidRPr="0071782F">
        <w:rPr>
          <w:lang w:val="fr-CH"/>
        </w:rPr>
        <w:t>Limitation du rôle de l’État à la formulation de politiques et au contrôle de l’application des lois pertinentes et non-ingérence de l’État dans la direction et la gestion administrative des coopératives.</w:t>
      </w:r>
    </w:p>
    <w:p w:rsidR="002A0059" w:rsidRPr="0071782F" w:rsidRDefault="002A0059" w:rsidP="00125FA1">
      <w:pPr>
        <w:pStyle w:val="SingleTxtG"/>
        <w:ind w:left="1701"/>
        <w:rPr>
          <w:lang w:val="fr-CH"/>
        </w:rPr>
      </w:pPr>
      <w:r w:rsidRPr="0071782F">
        <w:rPr>
          <w:lang w:val="fr-CH"/>
        </w:rPr>
        <w:t>69.7.</w:t>
      </w:r>
      <w:r w:rsidRPr="0071782F">
        <w:rPr>
          <w:lang w:val="fr-CH"/>
        </w:rPr>
        <w:tab/>
      </w:r>
      <w:r w:rsidR="009473AE" w:rsidRPr="0071782F">
        <w:rPr>
          <w:lang w:val="fr-CH"/>
        </w:rPr>
        <w:t>Développement de la formation technique et professionnelle à dispenser et de toute autre forme d’appui à fournir pour améliorer l’efficacité et renforcer les capacités des coopératives</w:t>
      </w:r>
      <w:r w:rsidR="00892198" w:rsidRPr="0071782F">
        <w:rPr>
          <w:lang w:val="fr-CH"/>
        </w:rPr>
        <w:t>.</w:t>
      </w:r>
      <w:r w:rsidRPr="0071782F">
        <w:rPr>
          <w:lang w:val="fr-CH"/>
        </w:rPr>
        <w:t xml:space="preserve"> </w:t>
      </w:r>
    </w:p>
    <w:p w:rsidR="002A0059" w:rsidRPr="0071782F" w:rsidRDefault="002A0059" w:rsidP="00125FA1">
      <w:pPr>
        <w:pStyle w:val="SingleTxtG"/>
        <w:ind w:left="1701"/>
        <w:rPr>
          <w:lang w:val="fr-CH"/>
        </w:rPr>
      </w:pPr>
      <w:r w:rsidRPr="0071782F">
        <w:rPr>
          <w:lang w:val="fr-CH"/>
        </w:rPr>
        <w:t>69.8.</w:t>
      </w:r>
      <w:r w:rsidRPr="0071782F">
        <w:rPr>
          <w:lang w:val="fr-CH"/>
        </w:rPr>
        <w:tab/>
      </w:r>
      <w:r w:rsidR="000444FC" w:rsidRPr="0071782F">
        <w:rPr>
          <w:lang w:val="fr-CH"/>
        </w:rPr>
        <w:t xml:space="preserve">Assouplissement et diversification des moyens utilisés par le </w:t>
      </w:r>
      <w:r w:rsidR="000718F9" w:rsidRPr="0071782F">
        <w:rPr>
          <w:lang w:val="fr-CH"/>
        </w:rPr>
        <w:t>secteur des coopératives</w:t>
      </w:r>
      <w:r w:rsidR="000444FC" w:rsidRPr="0071782F">
        <w:rPr>
          <w:lang w:val="fr-CH"/>
        </w:rPr>
        <w:t xml:space="preserve"> pour lever des capitaux et distribuer les </w:t>
      </w:r>
      <w:r w:rsidR="000718F9" w:rsidRPr="0071782F">
        <w:rPr>
          <w:lang w:val="fr-CH"/>
        </w:rPr>
        <w:t>actions</w:t>
      </w:r>
      <w:r w:rsidRPr="0071782F">
        <w:rPr>
          <w:lang w:val="fr-CH"/>
        </w:rPr>
        <w:t xml:space="preserve">; adoption </w:t>
      </w:r>
      <w:r w:rsidR="000444FC" w:rsidRPr="0071782F">
        <w:rPr>
          <w:lang w:val="fr-CH"/>
        </w:rPr>
        <w:t>des mesures nécessaires pour faciliter la création de nouvelles coopératives, en sus des coopératives classiques, sous la forme d’entreprises publique</w:t>
      </w:r>
      <w:r w:rsidR="000718F9" w:rsidRPr="0071782F">
        <w:rPr>
          <w:lang w:val="fr-CH"/>
        </w:rPr>
        <w:t>s</w:t>
      </w:r>
      <w:r w:rsidR="000444FC" w:rsidRPr="0071782F">
        <w:rPr>
          <w:lang w:val="fr-CH"/>
        </w:rPr>
        <w:t xml:space="preserve"> à responsabilité limitée des actionnaires établies conformément à la loi</w:t>
      </w:r>
      <w:r w:rsidR="00892198" w:rsidRPr="0071782F">
        <w:rPr>
          <w:lang w:val="fr-CH"/>
        </w:rPr>
        <w:t>.</w:t>
      </w:r>
    </w:p>
    <w:p w:rsidR="002A0059" w:rsidRPr="0071782F" w:rsidRDefault="002A0059" w:rsidP="00125FA1">
      <w:pPr>
        <w:pStyle w:val="SingleTxtG"/>
        <w:ind w:left="1701"/>
        <w:rPr>
          <w:lang w:val="fr-CH"/>
        </w:rPr>
      </w:pPr>
      <w:r w:rsidRPr="0071782F">
        <w:rPr>
          <w:lang w:val="fr-CH"/>
        </w:rPr>
        <w:t>69.9.</w:t>
      </w:r>
      <w:r w:rsidRPr="0071782F">
        <w:rPr>
          <w:lang w:val="fr-CH"/>
        </w:rPr>
        <w:tab/>
      </w:r>
      <w:r w:rsidR="000444FC" w:rsidRPr="0071782F">
        <w:rPr>
          <w:lang w:val="fr-CH"/>
        </w:rPr>
        <w:t xml:space="preserve">Fourniture par l’État d’un appui aux </w:t>
      </w:r>
      <w:r w:rsidRPr="0071782F">
        <w:rPr>
          <w:lang w:val="fr-CH"/>
        </w:rPr>
        <w:t>coop</w:t>
      </w:r>
      <w:r w:rsidR="000444FC" w:rsidRPr="0071782F">
        <w:rPr>
          <w:lang w:val="fr-CH"/>
        </w:rPr>
        <w:t>é</w:t>
      </w:r>
      <w:r w:rsidRPr="0071782F">
        <w:rPr>
          <w:lang w:val="fr-CH"/>
        </w:rPr>
        <w:t>ratives proportion</w:t>
      </w:r>
      <w:r w:rsidR="000444FC" w:rsidRPr="0071782F">
        <w:rPr>
          <w:lang w:val="fr-CH"/>
        </w:rPr>
        <w:t>né au nombre de leurs membres</w:t>
      </w:r>
      <w:r w:rsidR="00892198" w:rsidRPr="0071782F">
        <w:rPr>
          <w:lang w:val="fr-CH"/>
        </w:rPr>
        <w:t>.</w:t>
      </w:r>
      <w:r w:rsidRPr="0071782F">
        <w:rPr>
          <w:lang w:val="fr-CH"/>
        </w:rPr>
        <w:t xml:space="preserve"> </w:t>
      </w:r>
    </w:p>
    <w:p w:rsidR="002A0059" w:rsidRPr="0071782F" w:rsidRDefault="002A0059" w:rsidP="00125FA1">
      <w:pPr>
        <w:pStyle w:val="SingleTxtG"/>
        <w:ind w:left="1701"/>
        <w:rPr>
          <w:lang w:val="fr-CH"/>
        </w:rPr>
      </w:pPr>
      <w:r w:rsidRPr="0071782F">
        <w:rPr>
          <w:lang w:val="fr-CH"/>
        </w:rPr>
        <w:t>69.10.</w:t>
      </w:r>
      <w:r w:rsidRPr="0071782F">
        <w:rPr>
          <w:lang w:val="fr-CH"/>
        </w:rPr>
        <w:tab/>
      </w:r>
      <w:r w:rsidR="000444FC" w:rsidRPr="0071782F">
        <w:rPr>
          <w:lang w:val="fr-CH"/>
        </w:rPr>
        <w:t xml:space="preserve">Constitution de coopératives </w:t>
      </w:r>
      <w:r w:rsidRPr="0071782F">
        <w:rPr>
          <w:lang w:val="fr-CH"/>
        </w:rPr>
        <w:t>transnational</w:t>
      </w:r>
      <w:r w:rsidR="000444FC" w:rsidRPr="0071782F">
        <w:rPr>
          <w:lang w:val="fr-CH"/>
        </w:rPr>
        <w:t>es en faveur des trois premiers déciles de revenus, conformément à la politique de réduction de la pauvreté</w:t>
      </w:r>
      <w:r w:rsidRPr="0071782F">
        <w:rPr>
          <w:lang w:val="fr-CH"/>
        </w:rPr>
        <w:t xml:space="preserve">. </w:t>
      </w:r>
    </w:p>
    <w:p w:rsidR="002A0059" w:rsidRPr="0071782F" w:rsidRDefault="002A0059" w:rsidP="00125FA1">
      <w:pPr>
        <w:pStyle w:val="H23G"/>
        <w:rPr>
          <w:lang w:val="fr-CH"/>
        </w:rPr>
      </w:pPr>
      <w:r w:rsidRPr="0071782F">
        <w:rPr>
          <w:lang w:val="fr-CH"/>
        </w:rPr>
        <w:tab/>
      </w:r>
      <w:r w:rsidRPr="0071782F">
        <w:rPr>
          <w:lang w:val="fr-CH"/>
        </w:rPr>
        <w:tab/>
      </w:r>
      <w:r w:rsidR="000444FC" w:rsidRPr="0071782F">
        <w:rPr>
          <w:lang w:val="fr-CH"/>
        </w:rPr>
        <w:t xml:space="preserve">Politiques générales régissant le désengagement économique </w:t>
      </w:r>
    </w:p>
    <w:p w:rsidR="002A0059" w:rsidRPr="0071782F" w:rsidRDefault="002A0059" w:rsidP="00125FA1">
      <w:pPr>
        <w:pStyle w:val="SingleTxtG"/>
        <w:rPr>
          <w:lang w:val="fr-CH"/>
        </w:rPr>
      </w:pPr>
      <w:r w:rsidRPr="0071782F">
        <w:rPr>
          <w:lang w:val="fr-CH"/>
        </w:rPr>
        <w:t>70.</w:t>
      </w:r>
      <w:r w:rsidRPr="0071782F">
        <w:rPr>
          <w:lang w:val="fr-CH"/>
        </w:rPr>
        <w:tab/>
      </w:r>
      <w:r w:rsidR="00E9774A" w:rsidRPr="0071782F">
        <w:rPr>
          <w:lang w:val="fr-CH"/>
        </w:rPr>
        <w:t>Donner au</w:t>
      </w:r>
      <w:r w:rsidR="000718F9" w:rsidRPr="0071782F">
        <w:rPr>
          <w:lang w:val="fr-CH"/>
        </w:rPr>
        <w:t xml:space="preserve"> secteur</w:t>
      </w:r>
      <w:r w:rsidR="00E9774A" w:rsidRPr="0071782F">
        <w:rPr>
          <w:lang w:val="fr-CH"/>
        </w:rPr>
        <w:t xml:space="preserve"> privé et </w:t>
      </w:r>
      <w:r w:rsidR="000718F9" w:rsidRPr="0071782F">
        <w:rPr>
          <w:lang w:val="fr-CH"/>
        </w:rPr>
        <w:t xml:space="preserve">au secteur des </w:t>
      </w:r>
      <w:r w:rsidR="00E9774A" w:rsidRPr="0071782F">
        <w:rPr>
          <w:lang w:val="fr-CH"/>
        </w:rPr>
        <w:t>coopérati</w:t>
      </w:r>
      <w:r w:rsidR="000718F9" w:rsidRPr="0071782F">
        <w:rPr>
          <w:lang w:val="fr-CH"/>
        </w:rPr>
        <w:t>ves</w:t>
      </w:r>
      <w:r w:rsidRPr="0071782F">
        <w:rPr>
          <w:lang w:val="fr-CH"/>
        </w:rPr>
        <w:t xml:space="preserve"> </w:t>
      </w:r>
      <w:r w:rsidR="00E9774A" w:rsidRPr="0071782F">
        <w:rPr>
          <w:lang w:val="fr-CH"/>
        </w:rPr>
        <w:t>les moyens de se charger d’activités économiques et d’entreprises de plus grande envergure</w:t>
      </w:r>
      <w:r w:rsidR="008F7D33" w:rsidRPr="0071782F">
        <w:rPr>
          <w:lang w:val="fr-CH"/>
        </w:rPr>
        <w:t>:</w:t>
      </w:r>
    </w:p>
    <w:p w:rsidR="002A0059" w:rsidRPr="0071782F" w:rsidRDefault="002A0059" w:rsidP="00125FA1">
      <w:pPr>
        <w:pStyle w:val="SingleTxtG"/>
        <w:ind w:left="1701"/>
        <w:rPr>
          <w:lang w:val="fr-CH"/>
        </w:rPr>
      </w:pPr>
      <w:r w:rsidRPr="0071782F">
        <w:rPr>
          <w:lang w:val="fr-CH"/>
        </w:rPr>
        <w:t>70.1.</w:t>
      </w:r>
      <w:r w:rsidRPr="0071782F">
        <w:rPr>
          <w:lang w:val="fr-CH"/>
        </w:rPr>
        <w:tab/>
      </w:r>
      <w:r w:rsidR="008430C7" w:rsidRPr="0071782F">
        <w:rPr>
          <w:lang w:val="fr-CH"/>
        </w:rPr>
        <w:t>Application des politiques générales régissant le secteur privé dans le cadre du désengagement économique</w:t>
      </w:r>
      <w:r w:rsidR="00892198" w:rsidRPr="0071782F">
        <w:rPr>
          <w:lang w:val="fr-CH"/>
        </w:rPr>
        <w:t>.</w:t>
      </w:r>
      <w:r w:rsidRPr="0071782F">
        <w:rPr>
          <w:lang w:val="fr-CH"/>
        </w:rPr>
        <w:t xml:space="preserve"> </w:t>
      </w:r>
    </w:p>
    <w:p w:rsidR="002A0059" w:rsidRPr="0071782F" w:rsidRDefault="002A0059" w:rsidP="00125FA1">
      <w:pPr>
        <w:pStyle w:val="SingleTxtG"/>
        <w:ind w:left="1701"/>
        <w:rPr>
          <w:lang w:val="fr-CH"/>
        </w:rPr>
      </w:pPr>
      <w:r w:rsidRPr="0071782F">
        <w:rPr>
          <w:lang w:val="fr-CH"/>
        </w:rPr>
        <w:t>70.2.</w:t>
      </w:r>
      <w:r w:rsidRPr="0071782F">
        <w:rPr>
          <w:lang w:val="fr-CH"/>
        </w:rPr>
        <w:tab/>
        <w:t xml:space="preserve">Allocation </w:t>
      </w:r>
      <w:r w:rsidR="008430C7" w:rsidRPr="0071782F">
        <w:rPr>
          <w:lang w:val="fr-CH"/>
        </w:rPr>
        <w:t>de</w:t>
      </w:r>
      <w:r w:rsidRPr="0071782F">
        <w:rPr>
          <w:lang w:val="fr-CH"/>
        </w:rPr>
        <w:t xml:space="preserve"> 30</w:t>
      </w:r>
      <w:r w:rsidR="007E5125" w:rsidRPr="0071782F">
        <w:rPr>
          <w:lang w:val="fr-CH"/>
        </w:rPr>
        <w:t>%</w:t>
      </w:r>
      <w:r w:rsidRPr="0071782F">
        <w:rPr>
          <w:lang w:val="fr-CH"/>
        </w:rPr>
        <w:t xml:space="preserve"> </w:t>
      </w:r>
      <w:r w:rsidR="008430C7" w:rsidRPr="0071782F">
        <w:rPr>
          <w:lang w:val="fr-CH"/>
        </w:rPr>
        <w:t xml:space="preserve">du produit de la cession d’actifs économiques aux coopératives </w:t>
      </w:r>
      <w:r w:rsidRPr="0071782F">
        <w:rPr>
          <w:lang w:val="fr-CH"/>
        </w:rPr>
        <w:t>transnational</w:t>
      </w:r>
      <w:r w:rsidR="008430C7" w:rsidRPr="0071782F">
        <w:rPr>
          <w:lang w:val="fr-CH"/>
        </w:rPr>
        <w:t>es, conformément à la politique de réduction de la pauvreté</w:t>
      </w:r>
      <w:r w:rsidR="00892198" w:rsidRPr="0071782F">
        <w:rPr>
          <w:lang w:val="fr-CH"/>
        </w:rPr>
        <w:t>.</w:t>
      </w:r>
      <w:r w:rsidRPr="0071782F">
        <w:rPr>
          <w:lang w:val="fr-CH"/>
        </w:rPr>
        <w:t xml:space="preserve"> </w:t>
      </w:r>
    </w:p>
    <w:p w:rsidR="002A0059" w:rsidRPr="0071782F" w:rsidRDefault="002A0059" w:rsidP="00125FA1">
      <w:pPr>
        <w:pStyle w:val="SingleTxtG"/>
        <w:ind w:left="1701"/>
        <w:rPr>
          <w:lang w:val="fr-CH"/>
        </w:rPr>
      </w:pPr>
      <w:r w:rsidRPr="0071782F">
        <w:rPr>
          <w:lang w:val="fr-CH"/>
        </w:rPr>
        <w:t>70.3.</w:t>
      </w:r>
      <w:r w:rsidRPr="0071782F">
        <w:rPr>
          <w:lang w:val="fr-CH"/>
        </w:rPr>
        <w:tab/>
      </w:r>
      <w:r w:rsidR="00DF482D" w:rsidRPr="0071782F">
        <w:rPr>
          <w:lang w:val="fr-CH"/>
        </w:rPr>
        <w:t xml:space="preserve">Fourniture de crédits (fonds gérés) pour dynamiser les </w:t>
      </w:r>
      <w:r w:rsidRPr="0071782F">
        <w:rPr>
          <w:lang w:val="fr-CH"/>
        </w:rPr>
        <w:t>coop</w:t>
      </w:r>
      <w:r w:rsidR="00DF482D" w:rsidRPr="0071782F">
        <w:rPr>
          <w:lang w:val="fr-CH"/>
        </w:rPr>
        <w:t>é</w:t>
      </w:r>
      <w:r w:rsidRPr="0071782F">
        <w:rPr>
          <w:lang w:val="fr-CH"/>
        </w:rPr>
        <w:t>ratives</w:t>
      </w:r>
      <w:r w:rsidR="00892198" w:rsidRPr="0071782F">
        <w:rPr>
          <w:lang w:val="fr-CH"/>
        </w:rPr>
        <w:t>.</w:t>
      </w:r>
      <w:r w:rsidRPr="0071782F">
        <w:rPr>
          <w:lang w:val="fr-CH"/>
        </w:rPr>
        <w:t xml:space="preserve"> </w:t>
      </w:r>
    </w:p>
    <w:p w:rsidR="002A0059" w:rsidRPr="0071782F" w:rsidRDefault="002A0059" w:rsidP="00B558B8">
      <w:pPr>
        <w:pStyle w:val="SingleTxtG"/>
        <w:spacing w:after="0"/>
        <w:ind w:left="1701"/>
        <w:rPr>
          <w:lang w:val="fr-CH"/>
        </w:rPr>
      </w:pPr>
      <w:r w:rsidRPr="0071782F">
        <w:rPr>
          <w:lang w:val="fr-CH"/>
        </w:rPr>
        <w:t>70.4.</w:t>
      </w:r>
      <w:r w:rsidRPr="0071782F">
        <w:rPr>
          <w:lang w:val="fr-CH"/>
        </w:rPr>
        <w:tab/>
      </w:r>
      <w:r w:rsidR="00606772" w:rsidRPr="0071782F">
        <w:rPr>
          <w:lang w:val="fr-CH"/>
        </w:rPr>
        <w:t xml:space="preserve">Création de partenariats public-privé </w:t>
      </w:r>
      <w:r w:rsidRPr="0071782F">
        <w:rPr>
          <w:lang w:val="fr-CH"/>
        </w:rPr>
        <w:t>(</w:t>
      </w:r>
      <w:r w:rsidR="00606772" w:rsidRPr="0071782F">
        <w:rPr>
          <w:lang w:val="fr-CH"/>
        </w:rPr>
        <w:t>incluant les coopé</w:t>
      </w:r>
      <w:r w:rsidRPr="0071782F">
        <w:rPr>
          <w:lang w:val="fr-CH"/>
        </w:rPr>
        <w:t xml:space="preserve">ratives) </w:t>
      </w:r>
      <w:r w:rsidR="00606772" w:rsidRPr="0071782F">
        <w:rPr>
          <w:lang w:val="fr-CH"/>
        </w:rPr>
        <w:t>à participation limitée à 49</w:t>
      </w:r>
      <w:r w:rsidR="007E5125" w:rsidRPr="0071782F">
        <w:rPr>
          <w:lang w:val="fr-CH"/>
        </w:rPr>
        <w:t>%</w:t>
      </w:r>
      <w:r w:rsidR="00606772" w:rsidRPr="0071782F">
        <w:rPr>
          <w:lang w:val="fr-CH"/>
        </w:rPr>
        <w:t xml:space="preserve"> aux fins du développement économique des régions peu développées du pays.</w:t>
      </w:r>
      <w:r w:rsidRPr="0071782F">
        <w:rPr>
          <w:lang w:val="fr-CH"/>
        </w:rPr>
        <w:t xml:space="preserve"> </w:t>
      </w:r>
    </w:p>
    <w:p w:rsidR="008B74D2" w:rsidRPr="0071782F" w:rsidRDefault="00945EC3" w:rsidP="00945EC3">
      <w:pPr>
        <w:pStyle w:val="H23G"/>
        <w:rPr>
          <w:lang w:val="fr-CH"/>
        </w:rPr>
      </w:pPr>
      <w:r w:rsidRPr="0071782F">
        <w:rPr>
          <w:lang w:val="fr-CH"/>
        </w:rPr>
        <w:tab/>
      </w:r>
      <w:r w:rsidRPr="0071782F">
        <w:rPr>
          <w:lang w:val="fr-CH"/>
        </w:rPr>
        <w:tab/>
        <w:t>Statisti</w:t>
      </w:r>
      <w:r w:rsidR="00606772" w:rsidRPr="0071782F">
        <w:rPr>
          <w:lang w:val="fr-CH"/>
        </w:rPr>
        <w:t>que</w:t>
      </w:r>
      <w:r w:rsidRPr="0071782F">
        <w:rPr>
          <w:lang w:val="fr-CH"/>
        </w:rPr>
        <w:t xml:space="preserve">s </w:t>
      </w:r>
      <w:r w:rsidR="00606772" w:rsidRPr="0071782F">
        <w:rPr>
          <w:lang w:val="fr-CH"/>
        </w:rPr>
        <w:t xml:space="preserve">relatives au </w:t>
      </w:r>
      <w:r w:rsidR="000718F9" w:rsidRPr="0071782F">
        <w:rPr>
          <w:lang w:val="fr-CH"/>
        </w:rPr>
        <w:t>secteur des coopératives</w:t>
      </w:r>
      <w:r w:rsidR="00606772" w:rsidRPr="0071782F">
        <w:rPr>
          <w:lang w:val="fr-CH"/>
        </w:rPr>
        <w:t xml:space="preserve"> en </w:t>
      </w:r>
      <w:r w:rsidRPr="0071782F">
        <w:rPr>
          <w:lang w:val="fr-CH"/>
        </w:rPr>
        <w:t>2007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6"/>
        <w:gridCol w:w="5000"/>
        <w:gridCol w:w="1100"/>
        <w:gridCol w:w="904"/>
      </w:tblGrid>
      <w:tr w:rsidR="00945EC3" w:rsidRPr="0071782F">
        <w:trPr>
          <w:tblHeader/>
        </w:trPr>
        <w:tc>
          <w:tcPr>
            <w:tcW w:w="366" w:type="dxa"/>
            <w:tcBorders>
              <w:top w:val="single" w:sz="4" w:space="0" w:color="auto"/>
              <w:bottom w:val="single" w:sz="12" w:space="0" w:color="auto"/>
            </w:tcBorders>
            <w:shd w:val="clear" w:color="auto" w:fill="auto"/>
            <w:vAlign w:val="bottom"/>
          </w:tcPr>
          <w:p w:rsidR="00945EC3" w:rsidRPr="0071782F" w:rsidRDefault="00945EC3" w:rsidP="009D7118">
            <w:pPr>
              <w:suppressAutoHyphens w:val="0"/>
              <w:spacing w:before="80" w:after="80" w:line="200" w:lineRule="exact"/>
              <w:rPr>
                <w:i/>
                <w:sz w:val="16"/>
                <w:lang w:val="fr-CH"/>
              </w:rPr>
            </w:pPr>
          </w:p>
        </w:tc>
        <w:tc>
          <w:tcPr>
            <w:tcW w:w="5000" w:type="dxa"/>
            <w:tcBorders>
              <w:top w:val="single" w:sz="4" w:space="0" w:color="auto"/>
              <w:bottom w:val="single" w:sz="12" w:space="0" w:color="auto"/>
            </w:tcBorders>
            <w:shd w:val="clear" w:color="auto" w:fill="auto"/>
            <w:vAlign w:val="bottom"/>
          </w:tcPr>
          <w:p w:rsidR="00945EC3" w:rsidRPr="0071782F" w:rsidRDefault="00945EC3" w:rsidP="009D7118">
            <w:pPr>
              <w:suppressAutoHyphens w:val="0"/>
              <w:spacing w:before="80" w:after="80" w:line="200" w:lineRule="exact"/>
              <w:rPr>
                <w:i/>
                <w:sz w:val="16"/>
                <w:lang w:val="fr-CH"/>
              </w:rPr>
            </w:pPr>
            <w:r w:rsidRPr="0071782F">
              <w:rPr>
                <w:i/>
                <w:sz w:val="16"/>
                <w:lang w:val="fr-CH"/>
              </w:rPr>
              <w:t>Indicat</w:t>
            </w:r>
            <w:r w:rsidR="00606772" w:rsidRPr="0071782F">
              <w:rPr>
                <w:i/>
                <w:sz w:val="16"/>
                <w:lang w:val="fr-CH"/>
              </w:rPr>
              <w:t>eu</w:t>
            </w:r>
            <w:r w:rsidRPr="0071782F">
              <w:rPr>
                <w:i/>
                <w:sz w:val="16"/>
                <w:lang w:val="fr-CH"/>
              </w:rPr>
              <w:t>r</w:t>
            </w:r>
          </w:p>
        </w:tc>
        <w:tc>
          <w:tcPr>
            <w:tcW w:w="1100" w:type="dxa"/>
            <w:tcBorders>
              <w:top w:val="single" w:sz="4" w:space="0" w:color="auto"/>
              <w:bottom w:val="single" w:sz="12" w:space="0" w:color="auto"/>
            </w:tcBorders>
            <w:shd w:val="clear" w:color="auto" w:fill="auto"/>
            <w:vAlign w:val="bottom"/>
          </w:tcPr>
          <w:p w:rsidR="00945EC3" w:rsidRPr="0071782F" w:rsidRDefault="00945EC3" w:rsidP="009D7118">
            <w:pPr>
              <w:suppressAutoHyphens w:val="0"/>
              <w:spacing w:before="80" w:after="80" w:line="200" w:lineRule="exact"/>
              <w:rPr>
                <w:i/>
                <w:sz w:val="16"/>
                <w:lang w:val="fr-CH"/>
              </w:rPr>
            </w:pPr>
            <w:r w:rsidRPr="0071782F">
              <w:rPr>
                <w:i/>
                <w:sz w:val="16"/>
                <w:lang w:val="fr-CH"/>
              </w:rPr>
              <w:t>Unit</w:t>
            </w:r>
            <w:r w:rsidR="00606772" w:rsidRPr="0071782F">
              <w:rPr>
                <w:i/>
                <w:sz w:val="16"/>
                <w:lang w:val="fr-CH"/>
              </w:rPr>
              <w:t>é</w:t>
            </w:r>
          </w:p>
        </w:tc>
        <w:tc>
          <w:tcPr>
            <w:tcW w:w="904" w:type="dxa"/>
            <w:tcBorders>
              <w:top w:val="single" w:sz="4" w:space="0" w:color="auto"/>
              <w:bottom w:val="single" w:sz="12" w:space="0" w:color="auto"/>
            </w:tcBorders>
            <w:shd w:val="clear" w:color="auto" w:fill="auto"/>
            <w:vAlign w:val="bottom"/>
          </w:tcPr>
          <w:p w:rsidR="00945EC3" w:rsidRPr="0071782F" w:rsidRDefault="00606772" w:rsidP="009D7118">
            <w:pPr>
              <w:suppressAutoHyphens w:val="0"/>
              <w:spacing w:before="80" w:after="80" w:line="200" w:lineRule="exact"/>
              <w:jc w:val="right"/>
              <w:rPr>
                <w:i/>
                <w:sz w:val="16"/>
                <w:lang w:val="fr-CH"/>
              </w:rPr>
            </w:pPr>
            <w:r w:rsidRPr="0071782F">
              <w:rPr>
                <w:i/>
                <w:sz w:val="16"/>
                <w:lang w:val="fr-CH"/>
              </w:rPr>
              <w:t>Nombre</w:t>
            </w:r>
          </w:p>
        </w:tc>
      </w:tr>
      <w:tr w:rsidR="00945EC3" w:rsidRPr="0071782F">
        <w:tc>
          <w:tcPr>
            <w:tcW w:w="366" w:type="dxa"/>
            <w:tcBorders>
              <w:top w:val="single" w:sz="12" w:space="0" w:color="auto"/>
            </w:tcBorders>
            <w:shd w:val="clear" w:color="auto" w:fill="auto"/>
            <w:vAlign w:val="bottom"/>
          </w:tcPr>
          <w:p w:rsidR="00945EC3" w:rsidRPr="0071782F" w:rsidRDefault="00945EC3" w:rsidP="009D7118">
            <w:pPr>
              <w:suppressAutoHyphens w:val="0"/>
              <w:spacing w:before="40" w:after="40" w:line="220" w:lineRule="exact"/>
              <w:rPr>
                <w:sz w:val="18"/>
                <w:lang w:val="fr-CH"/>
              </w:rPr>
            </w:pPr>
            <w:r w:rsidRPr="0071782F">
              <w:rPr>
                <w:sz w:val="18"/>
                <w:lang w:val="fr-CH"/>
              </w:rPr>
              <w:t>1</w:t>
            </w:r>
          </w:p>
        </w:tc>
        <w:tc>
          <w:tcPr>
            <w:tcW w:w="5000" w:type="dxa"/>
            <w:tcBorders>
              <w:top w:val="single" w:sz="12" w:space="0" w:color="auto"/>
            </w:tcBorders>
            <w:shd w:val="clear" w:color="auto" w:fill="auto"/>
            <w:vAlign w:val="bottom"/>
          </w:tcPr>
          <w:p w:rsidR="00945EC3" w:rsidRPr="0071782F" w:rsidRDefault="00945EC3" w:rsidP="009D7118">
            <w:pPr>
              <w:suppressAutoHyphens w:val="0"/>
              <w:spacing w:before="40" w:after="40" w:line="220" w:lineRule="exact"/>
              <w:rPr>
                <w:sz w:val="18"/>
                <w:lang w:val="fr-CH"/>
              </w:rPr>
            </w:pPr>
            <w:r w:rsidRPr="0071782F">
              <w:rPr>
                <w:sz w:val="18"/>
                <w:lang w:val="fr-CH"/>
              </w:rPr>
              <w:t>N</w:t>
            </w:r>
            <w:r w:rsidR="00606772" w:rsidRPr="0071782F">
              <w:rPr>
                <w:sz w:val="18"/>
                <w:lang w:val="fr-CH"/>
              </w:rPr>
              <w:t xml:space="preserve">ombre de </w:t>
            </w:r>
            <w:r w:rsidRPr="0071782F">
              <w:rPr>
                <w:sz w:val="18"/>
                <w:lang w:val="fr-CH"/>
              </w:rPr>
              <w:t>coop</w:t>
            </w:r>
            <w:r w:rsidR="00606772" w:rsidRPr="0071782F">
              <w:rPr>
                <w:sz w:val="18"/>
                <w:lang w:val="fr-CH"/>
              </w:rPr>
              <w:t>é</w:t>
            </w:r>
            <w:r w:rsidRPr="0071782F">
              <w:rPr>
                <w:sz w:val="18"/>
                <w:lang w:val="fr-CH"/>
              </w:rPr>
              <w:t xml:space="preserve">ratives </w:t>
            </w:r>
            <w:r w:rsidR="00606772" w:rsidRPr="0071782F">
              <w:rPr>
                <w:sz w:val="18"/>
                <w:lang w:val="fr-CH"/>
              </w:rPr>
              <w:t>enregistrées</w:t>
            </w:r>
          </w:p>
        </w:tc>
        <w:tc>
          <w:tcPr>
            <w:tcW w:w="1100" w:type="dxa"/>
            <w:tcBorders>
              <w:top w:val="single" w:sz="12" w:space="0" w:color="auto"/>
            </w:tcBorders>
            <w:shd w:val="clear" w:color="auto" w:fill="auto"/>
            <w:vAlign w:val="bottom"/>
          </w:tcPr>
          <w:p w:rsidR="00945EC3" w:rsidRPr="0071782F" w:rsidRDefault="00606772" w:rsidP="009D7118">
            <w:pPr>
              <w:suppressAutoHyphens w:val="0"/>
              <w:spacing w:before="40" w:after="40" w:line="220" w:lineRule="exact"/>
              <w:rPr>
                <w:sz w:val="18"/>
                <w:lang w:val="fr-CH"/>
              </w:rPr>
            </w:pPr>
            <w:r w:rsidRPr="0071782F">
              <w:rPr>
                <w:sz w:val="18"/>
                <w:lang w:val="fr-CH"/>
              </w:rPr>
              <w:t xml:space="preserve">Entreprise </w:t>
            </w:r>
          </w:p>
        </w:tc>
        <w:tc>
          <w:tcPr>
            <w:tcW w:w="904" w:type="dxa"/>
            <w:tcBorders>
              <w:top w:val="single" w:sz="12" w:space="0" w:color="auto"/>
            </w:tcBorders>
            <w:shd w:val="clear" w:color="auto" w:fill="auto"/>
            <w:vAlign w:val="bottom"/>
          </w:tcPr>
          <w:p w:rsidR="00945EC3" w:rsidRPr="0071782F" w:rsidRDefault="00945EC3" w:rsidP="009D7118">
            <w:pPr>
              <w:suppressAutoHyphens w:val="0"/>
              <w:spacing w:before="40" w:after="40" w:line="220" w:lineRule="exact"/>
              <w:jc w:val="right"/>
              <w:rPr>
                <w:sz w:val="18"/>
                <w:lang w:val="fr-CH"/>
              </w:rPr>
            </w:pPr>
            <w:r w:rsidRPr="0071782F">
              <w:rPr>
                <w:sz w:val="18"/>
                <w:lang w:val="fr-CH"/>
              </w:rPr>
              <w:t>22 391</w:t>
            </w:r>
          </w:p>
        </w:tc>
      </w:tr>
      <w:tr w:rsidR="00945EC3" w:rsidRPr="0071782F">
        <w:tc>
          <w:tcPr>
            <w:tcW w:w="366" w:type="dxa"/>
            <w:shd w:val="clear" w:color="auto" w:fill="auto"/>
            <w:vAlign w:val="bottom"/>
          </w:tcPr>
          <w:p w:rsidR="00945EC3" w:rsidRPr="0071782F" w:rsidRDefault="00945EC3" w:rsidP="009D7118">
            <w:pPr>
              <w:suppressAutoHyphens w:val="0"/>
              <w:spacing w:before="40" w:after="40" w:line="220" w:lineRule="exact"/>
              <w:rPr>
                <w:sz w:val="18"/>
                <w:lang w:val="fr-CH"/>
              </w:rPr>
            </w:pPr>
            <w:r w:rsidRPr="0071782F">
              <w:rPr>
                <w:sz w:val="18"/>
                <w:lang w:val="fr-CH"/>
              </w:rPr>
              <w:t>2</w:t>
            </w:r>
          </w:p>
        </w:tc>
        <w:tc>
          <w:tcPr>
            <w:tcW w:w="5000" w:type="dxa"/>
            <w:shd w:val="clear" w:color="auto" w:fill="auto"/>
            <w:vAlign w:val="bottom"/>
          </w:tcPr>
          <w:p w:rsidR="00945EC3" w:rsidRPr="0071782F" w:rsidRDefault="00945EC3" w:rsidP="009D7118">
            <w:pPr>
              <w:suppressAutoHyphens w:val="0"/>
              <w:spacing w:before="40" w:after="40" w:line="220" w:lineRule="exact"/>
              <w:rPr>
                <w:sz w:val="18"/>
                <w:lang w:val="fr-CH"/>
              </w:rPr>
            </w:pPr>
            <w:r w:rsidRPr="0071782F">
              <w:rPr>
                <w:sz w:val="18"/>
                <w:lang w:val="fr-CH"/>
              </w:rPr>
              <w:t>N</w:t>
            </w:r>
            <w:r w:rsidR="00606772" w:rsidRPr="0071782F">
              <w:rPr>
                <w:sz w:val="18"/>
                <w:lang w:val="fr-CH"/>
              </w:rPr>
              <w:t xml:space="preserve">ombre de </w:t>
            </w:r>
            <w:r w:rsidRPr="0071782F">
              <w:rPr>
                <w:sz w:val="18"/>
                <w:lang w:val="fr-CH"/>
              </w:rPr>
              <w:t>coop</w:t>
            </w:r>
            <w:r w:rsidR="00606772" w:rsidRPr="0071782F">
              <w:rPr>
                <w:sz w:val="18"/>
                <w:lang w:val="fr-CH"/>
              </w:rPr>
              <w:t>é</w:t>
            </w:r>
            <w:r w:rsidRPr="0071782F">
              <w:rPr>
                <w:sz w:val="18"/>
                <w:lang w:val="fr-CH"/>
              </w:rPr>
              <w:t xml:space="preserve">ratives </w:t>
            </w:r>
            <w:r w:rsidR="00606772" w:rsidRPr="0071782F">
              <w:rPr>
                <w:sz w:val="18"/>
                <w:lang w:val="fr-CH"/>
              </w:rPr>
              <w:t>en activité</w:t>
            </w:r>
          </w:p>
        </w:tc>
        <w:tc>
          <w:tcPr>
            <w:tcW w:w="1100" w:type="dxa"/>
            <w:shd w:val="clear" w:color="auto" w:fill="auto"/>
            <w:vAlign w:val="bottom"/>
          </w:tcPr>
          <w:p w:rsidR="00945EC3" w:rsidRPr="0071782F" w:rsidRDefault="00606772" w:rsidP="009D7118">
            <w:pPr>
              <w:suppressAutoHyphens w:val="0"/>
              <w:spacing w:before="40" w:after="40" w:line="220" w:lineRule="exact"/>
              <w:rPr>
                <w:sz w:val="18"/>
                <w:lang w:val="fr-CH"/>
              </w:rPr>
            </w:pPr>
            <w:r w:rsidRPr="0071782F">
              <w:rPr>
                <w:sz w:val="18"/>
                <w:lang w:val="fr-CH"/>
              </w:rPr>
              <w:t>Entreprise</w:t>
            </w:r>
          </w:p>
        </w:tc>
        <w:tc>
          <w:tcPr>
            <w:tcW w:w="904" w:type="dxa"/>
            <w:shd w:val="clear" w:color="auto" w:fill="auto"/>
            <w:vAlign w:val="bottom"/>
          </w:tcPr>
          <w:p w:rsidR="00945EC3" w:rsidRPr="0071782F" w:rsidRDefault="00945EC3" w:rsidP="009D7118">
            <w:pPr>
              <w:suppressAutoHyphens w:val="0"/>
              <w:spacing w:before="40" w:after="40" w:line="220" w:lineRule="exact"/>
              <w:jc w:val="right"/>
              <w:rPr>
                <w:sz w:val="18"/>
                <w:lang w:val="fr-CH"/>
              </w:rPr>
            </w:pPr>
            <w:r w:rsidRPr="0071782F">
              <w:rPr>
                <w:sz w:val="18"/>
                <w:lang w:val="fr-CH"/>
              </w:rPr>
              <w:t>4 383</w:t>
            </w:r>
          </w:p>
        </w:tc>
      </w:tr>
      <w:tr w:rsidR="00945EC3" w:rsidRPr="0071782F">
        <w:tc>
          <w:tcPr>
            <w:tcW w:w="366" w:type="dxa"/>
            <w:shd w:val="clear" w:color="auto" w:fill="auto"/>
            <w:vAlign w:val="bottom"/>
          </w:tcPr>
          <w:p w:rsidR="00945EC3" w:rsidRPr="0071782F" w:rsidRDefault="00945EC3" w:rsidP="009D7118">
            <w:pPr>
              <w:suppressAutoHyphens w:val="0"/>
              <w:spacing w:before="40" w:after="40" w:line="220" w:lineRule="exact"/>
              <w:rPr>
                <w:sz w:val="18"/>
                <w:lang w:val="fr-CH"/>
              </w:rPr>
            </w:pPr>
            <w:r w:rsidRPr="0071782F">
              <w:rPr>
                <w:sz w:val="18"/>
                <w:lang w:val="fr-CH"/>
              </w:rPr>
              <w:t>3</w:t>
            </w:r>
          </w:p>
        </w:tc>
        <w:tc>
          <w:tcPr>
            <w:tcW w:w="5000" w:type="dxa"/>
            <w:shd w:val="clear" w:color="auto" w:fill="auto"/>
            <w:vAlign w:val="bottom"/>
          </w:tcPr>
          <w:p w:rsidR="00945EC3" w:rsidRPr="0071782F" w:rsidRDefault="00945EC3" w:rsidP="009D7118">
            <w:pPr>
              <w:suppressAutoHyphens w:val="0"/>
              <w:spacing w:before="40" w:after="40" w:line="220" w:lineRule="exact"/>
              <w:rPr>
                <w:sz w:val="18"/>
                <w:lang w:val="fr-CH"/>
              </w:rPr>
            </w:pPr>
            <w:r w:rsidRPr="0071782F">
              <w:rPr>
                <w:sz w:val="18"/>
                <w:lang w:val="fr-CH"/>
              </w:rPr>
              <w:t>N</w:t>
            </w:r>
            <w:r w:rsidR="00606772" w:rsidRPr="0071782F">
              <w:rPr>
                <w:sz w:val="18"/>
                <w:lang w:val="fr-CH"/>
              </w:rPr>
              <w:t xml:space="preserve">ombre de coopératives féminines enregistrées </w:t>
            </w:r>
          </w:p>
        </w:tc>
        <w:tc>
          <w:tcPr>
            <w:tcW w:w="1100" w:type="dxa"/>
            <w:shd w:val="clear" w:color="auto" w:fill="auto"/>
            <w:vAlign w:val="bottom"/>
          </w:tcPr>
          <w:p w:rsidR="00945EC3" w:rsidRPr="0071782F" w:rsidRDefault="00606772" w:rsidP="009D7118">
            <w:pPr>
              <w:suppressAutoHyphens w:val="0"/>
              <w:spacing w:before="40" w:after="40" w:line="220" w:lineRule="exact"/>
              <w:rPr>
                <w:sz w:val="18"/>
                <w:lang w:val="fr-CH"/>
              </w:rPr>
            </w:pPr>
            <w:r w:rsidRPr="0071782F">
              <w:rPr>
                <w:sz w:val="18"/>
                <w:lang w:val="fr-CH"/>
              </w:rPr>
              <w:t>Entreprise</w:t>
            </w:r>
          </w:p>
        </w:tc>
        <w:tc>
          <w:tcPr>
            <w:tcW w:w="904" w:type="dxa"/>
            <w:shd w:val="clear" w:color="auto" w:fill="auto"/>
            <w:vAlign w:val="bottom"/>
          </w:tcPr>
          <w:p w:rsidR="00945EC3" w:rsidRPr="0071782F" w:rsidRDefault="00945EC3" w:rsidP="009D7118">
            <w:pPr>
              <w:suppressAutoHyphens w:val="0"/>
              <w:spacing w:before="40" w:after="40" w:line="220" w:lineRule="exact"/>
              <w:jc w:val="right"/>
              <w:rPr>
                <w:sz w:val="18"/>
                <w:lang w:val="fr-CH"/>
              </w:rPr>
            </w:pPr>
            <w:r w:rsidRPr="0071782F">
              <w:rPr>
                <w:sz w:val="18"/>
                <w:lang w:val="fr-CH"/>
              </w:rPr>
              <w:t>3 404</w:t>
            </w:r>
          </w:p>
        </w:tc>
      </w:tr>
      <w:tr w:rsidR="00945EC3" w:rsidRPr="0071782F">
        <w:tc>
          <w:tcPr>
            <w:tcW w:w="366" w:type="dxa"/>
            <w:shd w:val="clear" w:color="auto" w:fill="auto"/>
            <w:vAlign w:val="bottom"/>
          </w:tcPr>
          <w:p w:rsidR="00945EC3" w:rsidRPr="0071782F" w:rsidRDefault="00945EC3" w:rsidP="009D7118">
            <w:pPr>
              <w:suppressAutoHyphens w:val="0"/>
              <w:spacing w:before="40" w:after="40" w:line="220" w:lineRule="exact"/>
              <w:rPr>
                <w:sz w:val="18"/>
                <w:lang w:val="fr-CH"/>
              </w:rPr>
            </w:pPr>
            <w:r w:rsidRPr="0071782F">
              <w:rPr>
                <w:sz w:val="18"/>
                <w:lang w:val="fr-CH"/>
              </w:rPr>
              <w:t>4</w:t>
            </w:r>
          </w:p>
        </w:tc>
        <w:tc>
          <w:tcPr>
            <w:tcW w:w="5000" w:type="dxa"/>
            <w:shd w:val="clear" w:color="auto" w:fill="auto"/>
            <w:vAlign w:val="bottom"/>
          </w:tcPr>
          <w:p w:rsidR="00945EC3" w:rsidRPr="0071782F" w:rsidRDefault="00606772" w:rsidP="009D7118">
            <w:pPr>
              <w:suppressAutoHyphens w:val="0"/>
              <w:spacing w:before="40" w:after="40" w:line="220" w:lineRule="exact"/>
              <w:rPr>
                <w:sz w:val="18"/>
                <w:lang w:val="fr-CH"/>
              </w:rPr>
            </w:pPr>
            <w:r w:rsidRPr="0071782F">
              <w:rPr>
                <w:sz w:val="18"/>
                <w:lang w:val="fr-CH"/>
              </w:rPr>
              <w:t>Nombre de coopératives féminines en activité</w:t>
            </w:r>
          </w:p>
        </w:tc>
        <w:tc>
          <w:tcPr>
            <w:tcW w:w="1100" w:type="dxa"/>
            <w:shd w:val="clear" w:color="auto" w:fill="auto"/>
            <w:vAlign w:val="bottom"/>
          </w:tcPr>
          <w:p w:rsidR="00945EC3" w:rsidRPr="0071782F" w:rsidRDefault="00606772" w:rsidP="009D7118">
            <w:pPr>
              <w:suppressAutoHyphens w:val="0"/>
              <w:spacing w:before="40" w:after="40" w:line="220" w:lineRule="exact"/>
              <w:rPr>
                <w:sz w:val="18"/>
                <w:lang w:val="fr-CH"/>
              </w:rPr>
            </w:pPr>
            <w:r w:rsidRPr="0071782F">
              <w:rPr>
                <w:sz w:val="18"/>
                <w:lang w:val="fr-CH"/>
              </w:rPr>
              <w:t>Entreprise</w:t>
            </w:r>
          </w:p>
        </w:tc>
        <w:tc>
          <w:tcPr>
            <w:tcW w:w="904" w:type="dxa"/>
            <w:shd w:val="clear" w:color="auto" w:fill="auto"/>
            <w:vAlign w:val="bottom"/>
          </w:tcPr>
          <w:p w:rsidR="00945EC3" w:rsidRPr="0071782F" w:rsidRDefault="00945EC3" w:rsidP="009D7118">
            <w:pPr>
              <w:suppressAutoHyphens w:val="0"/>
              <w:spacing w:before="40" w:after="40" w:line="220" w:lineRule="exact"/>
              <w:jc w:val="right"/>
              <w:rPr>
                <w:sz w:val="18"/>
                <w:lang w:val="fr-CH"/>
              </w:rPr>
            </w:pPr>
            <w:r w:rsidRPr="0071782F">
              <w:rPr>
                <w:sz w:val="18"/>
                <w:lang w:val="fr-CH"/>
              </w:rPr>
              <w:t>590</w:t>
            </w:r>
          </w:p>
        </w:tc>
      </w:tr>
      <w:tr w:rsidR="00945EC3" w:rsidRPr="0071782F">
        <w:tc>
          <w:tcPr>
            <w:tcW w:w="366" w:type="dxa"/>
            <w:shd w:val="clear" w:color="auto" w:fill="auto"/>
            <w:vAlign w:val="bottom"/>
          </w:tcPr>
          <w:p w:rsidR="00945EC3" w:rsidRPr="0071782F" w:rsidRDefault="00945EC3" w:rsidP="009D7118">
            <w:pPr>
              <w:suppressAutoHyphens w:val="0"/>
              <w:spacing w:before="40" w:after="40" w:line="220" w:lineRule="exact"/>
              <w:rPr>
                <w:sz w:val="18"/>
                <w:lang w:val="fr-CH"/>
              </w:rPr>
            </w:pPr>
            <w:r w:rsidRPr="0071782F">
              <w:rPr>
                <w:sz w:val="18"/>
                <w:lang w:val="fr-CH"/>
              </w:rPr>
              <w:t>5</w:t>
            </w:r>
          </w:p>
        </w:tc>
        <w:tc>
          <w:tcPr>
            <w:tcW w:w="5000" w:type="dxa"/>
            <w:shd w:val="clear" w:color="auto" w:fill="auto"/>
            <w:vAlign w:val="bottom"/>
          </w:tcPr>
          <w:p w:rsidR="00945EC3" w:rsidRPr="0071782F" w:rsidRDefault="00606772" w:rsidP="009D7118">
            <w:pPr>
              <w:suppressAutoHyphens w:val="0"/>
              <w:spacing w:before="40" w:after="40" w:line="220" w:lineRule="exact"/>
              <w:rPr>
                <w:sz w:val="18"/>
                <w:lang w:val="fr-CH"/>
              </w:rPr>
            </w:pPr>
            <w:r w:rsidRPr="0071782F">
              <w:rPr>
                <w:sz w:val="18"/>
                <w:lang w:val="fr-CH"/>
              </w:rPr>
              <w:t xml:space="preserve">Nombre de coopératives féminines en cours de création </w:t>
            </w:r>
          </w:p>
        </w:tc>
        <w:tc>
          <w:tcPr>
            <w:tcW w:w="1100" w:type="dxa"/>
            <w:shd w:val="clear" w:color="auto" w:fill="auto"/>
            <w:vAlign w:val="bottom"/>
          </w:tcPr>
          <w:p w:rsidR="00945EC3" w:rsidRPr="0071782F" w:rsidRDefault="00606772" w:rsidP="009D7118">
            <w:pPr>
              <w:suppressAutoHyphens w:val="0"/>
              <w:spacing w:before="40" w:after="40" w:line="220" w:lineRule="exact"/>
              <w:rPr>
                <w:sz w:val="18"/>
                <w:lang w:val="fr-CH"/>
              </w:rPr>
            </w:pPr>
            <w:r w:rsidRPr="0071782F">
              <w:rPr>
                <w:sz w:val="18"/>
                <w:lang w:val="fr-CH"/>
              </w:rPr>
              <w:t>Entreprise</w:t>
            </w:r>
          </w:p>
        </w:tc>
        <w:tc>
          <w:tcPr>
            <w:tcW w:w="904" w:type="dxa"/>
            <w:shd w:val="clear" w:color="auto" w:fill="auto"/>
            <w:vAlign w:val="bottom"/>
          </w:tcPr>
          <w:p w:rsidR="00945EC3" w:rsidRPr="0071782F" w:rsidRDefault="00945EC3" w:rsidP="009D7118">
            <w:pPr>
              <w:suppressAutoHyphens w:val="0"/>
              <w:spacing w:before="40" w:after="40" w:line="220" w:lineRule="exact"/>
              <w:jc w:val="right"/>
              <w:rPr>
                <w:sz w:val="18"/>
                <w:lang w:val="fr-CH"/>
              </w:rPr>
            </w:pPr>
            <w:r w:rsidRPr="0071782F">
              <w:rPr>
                <w:sz w:val="18"/>
                <w:lang w:val="fr-CH"/>
              </w:rPr>
              <w:t>2 425</w:t>
            </w:r>
          </w:p>
        </w:tc>
      </w:tr>
      <w:tr w:rsidR="00945EC3" w:rsidRPr="0071782F">
        <w:tc>
          <w:tcPr>
            <w:tcW w:w="366" w:type="dxa"/>
            <w:shd w:val="clear" w:color="auto" w:fill="auto"/>
            <w:vAlign w:val="bottom"/>
          </w:tcPr>
          <w:p w:rsidR="00945EC3" w:rsidRPr="0071782F" w:rsidRDefault="00945EC3" w:rsidP="009D7118">
            <w:pPr>
              <w:suppressAutoHyphens w:val="0"/>
              <w:spacing w:before="40" w:after="40" w:line="220" w:lineRule="exact"/>
              <w:rPr>
                <w:sz w:val="18"/>
                <w:lang w:val="fr-CH"/>
              </w:rPr>
            </w:pPr>
            <w:r w:rsidRPr="0071782F">
              <w:rPr>
                <w:sz w:val="18"/>
                <w:lang w:val="fr-CH"/>
              </w:rPr>
              <w:t>6</w:t>
            </w:r>
          </w:p>
        </w:tc>
        <w:tc>
          <w:tcPr>
            <w:tcW w:w="5000" w:type="dxa"/>
            <w:shd w:val="clear" w:color="auto" w:fill="auto"/>
            <w:vAlign w:val="bottom"/>
          </w:tcPr>
          <w:p w:rsidR="00945EC3" w:rsidRPr="0071782F" w:rsidRDefault="00945EC3" w:rsidP="009D7118">
            <w:pPr>
              <w:suppressAutoHyphens w:val="0"/>
              <w:spacing w:before="40" w:after="40" w:line="220" w:lineRule="exact"/>
              <w:rPr>
                <w:sz w:val="18"/>
                <w:lang w:val="fr-CH"/>
              </w:rPr>
            </w:pPr>
            <w:r w:rsidRPr="0071782F">
              <w:rPr>
                <w:sz w:val="18"/>
                <w:lang w:val="fr-CH"/>
              </w:rPr>
              <w:t>N</w:t>
            </w:r>
            <w:r w:rsidR="00606772" w:rsidRPr="0071782F">
              <w:rPr>
                <w:sz w:val="18"/>
                <w:lang w:val="fr-CH"/>
              </w:rPr>
              <w:t xml:space="preserve">ombre de syndicats enregistrés </w:t>
            </w:r>
          </w:p>
        </w:tc>
        <w:tc>
          <w:tcPr>
            <w:tcW w:w="1100" w:type="dxa"/>
            <w:shd w:val="clear" w:color="auto" w:fill="auto"/>
            <w:vAlign w:val="bottom"/>
          </w:tcPr>
          <w:p w:rsidR="00945EC3" w:rsidRPr="0071782F" w:rsidRDefault="00606772" w:rsidP="009D7118">
            <w:pPr>
              <w:suppressAutoHyphens w:val="0"/>
              <w:spacing w:before="40" w:after="40" w:line="220" w:lineRule="exact"/>
              <w:rPr>
                <w:sz w:val="18"/>
                <w:lang w:val="fr-CH"/>
              </w:rPr>
            </w:pPr>
            <w:r w:rsidRPr="0071782F">
              <w:rPr>
                <w:sz w:val="18"/>
                <w:lang w:val="fr-CH"/>
              </w:rPr>
              <w:t>Syndicat</w:t>
            </w:r>
          </w:p>
        </w:tc>
        <w:tc>
          <w:tcPr>
            <w:tcW w:w="904" w:type="dxa"/>
            <w:shd w:val="clear" w:color="auto" w:fill="auto"/>
            <w:vAlign w:val="bottom"/>
          </w:tcPr>
          <w:p w:rsidR="00945EC3" w:rsidRPr="0071782F" w:rsidRDefault="00945EC3" w:rsidP="009D7118">
            <w:pPr>
              <w:suppressAutoHyphens w:val="0"/>
              <w:spacing w:before="40" w:after="40" w:line="220" w:lineRule="exact"/>
              <w:jc w:val="right"/>
              <w:rPr>
                <w:sz w:val="18"/>
                <w:lang w:val="fr-CH"/>
              </w:rPr>
            </w:pPr>
            <w:r w:rsidRPr="0071782F">
              <w:rPr>
                <w:sz w:val="18"/>
                <w:lang w:val="fr-CH"/>
              </w:rPr>
              <w:t>143</w:t>
            </w:r>
          </w:p>
        </w:tc>
      </w:tr>
      <w:tr w:rsidR="00945EC3" w:rsidRPr="0071782F">
        <w:tc>
          <w:tcPr>
            <w:tcW w:w="366" w:type="dxa"/>
            <w:shd w:val="clear" w:color="auto" w:fill="auto"/>
            <w:vAlign w:val="bottom"/>
          </w:tcPr>
          <w:p w:rsidR="00945EC3" w:rsidRPr="0071782F" w:rsidRDefault="00945EC3" w:rsidP="009D7118">
            <w:pPr>
              <w:suppressAutoHyphens w:val="0"/>
              <w:spacing w:before="40" w:after="40" w:line="220" w:lineRule="exact"/>
              <w:rPr>
                <w:sz w:val="18"/>
                <w:lang w:val="fr-CH"/>
              </w:rPr>
            </w:pPr>
            <w:r w:rsidRPr="0071782F">
              <w:rPr>
                <w:sz w:val="18"/>
                <w:lang w:val="fr-CH"/>
              </w:rPr>
              <w:t>7</w:t>
            </w:r>
          </w:p>
        </w:tc>
        <w:tc>
          <w:tcPr>
            <w:tcW w:w="5000" w:type="dxa"/>
            <w:shd w:val="clear" w:color="auto" w:fill="auto"/>
            <w:vAlign w:val="bottom"/>
          </w:tcPr>
          <w:p w:rsidR="00945EC3" w:rsidRPr="0071782F" w:rsidRDefault="00606772" w:rsidP="009D7118">
            <w:pPr>
              <w:suppressAutoHyphens w:val="0"/>
              <w:spacing w:before="40" w:after="40" w:line="220" w:lineRule="exact"/>
              <w:rPr>
                <w:sz w:val="18"/>
                <w:lang w:val="fr-CH"/>
              </w:rPr>
            </w:pPr>
            <w:r w:rsidRPr="0071782F">
              <w:rPr>
                <w:sz w:val="18"/>
                <w:lang w:val="fr-CH"/>
              </w:rPr>
              <w:t>Nombre de syndicats en activité</w:t>
            </w:r>
          </w:p>
        </w:tc>
        <w:tc>
          <w:tcPr>
            <w:tcW w:w="1100" w:type="dxa"/>
            <w:shd w:val="clear" w:color="auto" w:fill="auto"/>
            <w:vAlign w:val="bottom"/>
          </w:tcPr>
          <w:p w:rsidR="00945EC3" w:rsidRPr="0071782F" w:rsidRDefault="00606772" w:rsidP="009D7118">
            <w:pPr>
              <w:suppressAutoHyphens w:val="0"/>
              <w:spacing w:before="40" w:after="40" w:line="220" w:lineRule="exact"/>
              <w:rPr>
                <w:sz w:val="18"/>
                <w:lang w:val="fr-CH"/>
              </w:rPr>
            </w:pPr>
            <w:r w:rsidRPr="0071782F">
              <w:rPr>
                <w:sz w:val="18"/>
                <w:lang w:val="fr-CH"/>
              </w:rPr>
              <w:t>Syndicat</w:t>
            </w:r>
          </w:p>
        </w:tc>
        <w:tc>
          <w:tcPr>
            <w:tcW w:w="904" w:type="dxa"/>
            <w:shd w:val="clear" w:color="auto" w:fill="auto"/>
            <w:vAlign w:val="bottom"/>
          </w:tcPr>
          <w:p w:rsidR="00945EC3" w:rsidRPr="0071782F" w:rsidRDefault="00945EC3" w:rsidP="009D7118">
            <w:pPr>
              <w:suppressAutoHyphens w:val="0"/>
              <w:spacing w:before="40" w:after="40" w:line="220" w:lineRule="exact"/>
              <w:jc w:val="right"/>
              <w:rPr>
                <w:sz w:val="18"/>
                <w:lang w:val="fr-CH"/>
              </w:rPr>
            </w:pPr>
            <w:r w:rsidRPr="0071782F">
              <w:rPr>
                <w:sz w:val="18"/>
                <w:lang w:val="fr-CH"/>
              </w:rPr>
              <w:t>51</w:t>
            </w:r>
          </w:p>
        </w:tc>
      </w:tr>
      <w:tr w:rsidR="00945EC3" w:rsidRPr="0071782F">
        <w:tc>
          <w:tcPr>
            <w:tcW w:w="366" w:type="dxa"/>
            <w:shd w:val="clear" w:color="auto" w:fill="auto"/>
            <w:vAlign w:val="bottom"/>
          </w:tcPr>
          <w:p w:rsidR="00945EC3" w:rsidRPr="0071782F" w:rsidRDefault="00945EC3" w:rsidP="009D7118">
            <w:pPr>
              <w:suppressAutoHyphens w:val="0"/>
              <w:spacing w:before="40" w:after="40" w:line="220" w:lineRule="exact"/>
              <w:rPr>
                <w:sz w:val="18"/>
                <w:lang w:val="fr-CH"/>
              </w:rPr>
            </w:pPr>
            <w:r w:rsidRPr="0071782F">
              <w:rPr>
                <w:sz w:val="18"/>
                <w:lang w:val="fr-CH"/>
              </w:rPr>
              <w:t>8</w:t>
            </w:r>
          </w:p>
        </w:tc>
        <w:tc>
          <w:tcPr>
            <w:tcW w:w="5000" w:type="dxa"/>
            <w:shd w:val="clear" w:color="auto" w:fill="auto"/>
            <w:vAlign w:val="bottom"/>
          </w:tcPr>
          <w:p w:rsidR="00945EC3" w:rsidRPr="0071782F" w:rsidRDefault="00606772" w:rsidP="009D7118">
            <w:pPr>
              <w:suppressAutoHyphens w:val="0"/>
              <w:spacing w:before="40" w:after="40" w:line="220" w:lineRule="exact"/>
              <w:rPr>
                <w:sz w:val="18"/>
                <w:lang w:val="fr-CH"/>
              </w:rPr>
            </w:pPr>
            <w:r w:rsidRPr="0071782F">
              <w:rPr>
                <w:sz w:val="18"/>
                <w:lang w:val="fr-CH"/>
              </w:rPr>
              <w:t>Nombre de syndicats en cours de création</w:t>
            </w:r>
          </w:p>
        </w:tc>
        <w:tc>
          <w:tcPr>
            <w:tcW w:w="1100" w:type="dxa"/>
            <w:shd w:val="clear" w:color="auto" w:fill="auto"/>
            <w:vAlign w:val="bottom"/>
          </w:tcPr>
          <w:p w:rsidR="00945EC3" w:rsidRPr="0071782F" w:rsidRDefault="00606772" w:rsidP="009D7118">
            <w:pPr>
              <w:suppressAutoHyphens w:val="0"/>
              <w:spacing w:before="40" w:after="40" w:line="220" w:lineRule="exact"/>
              <w:rPr>
                <w:sz w:val="18"/>
                <w:lang w:val="fr-CH"/>
              </w:rPr>
            </w:pPr>
            <w:r w:rsidRPr="0071782F">
              <w:rPr>
                <w:sz w:val="18"/>
                <w:lang w:val="fr-CH"/>
              </w:rPr>
              <w:t>Syndicat</w:t>
            </w:r>
          </w:p>
        </w:tc>
        <w:tc>
          <w:tcPr>
            <w:tcW w:w="904" w:type="dxa"/>
            <w:shd w:val="clear" w:color="auto" w:fill="auto"/>
            <w:vAlign w:val="bottom"/>
          </w:tcPr>
          <w:p w:rsidR="00945EC3" w:rsidRPr="0071782F" w:rsidRDefault="00945EC3" w:rsidP="009D7118">
            <w:pPr>
              <w:suppressAutoHyphens w:val="0"/>
              <w:spacing w:before="40" w:after="40" w:line="220" w:lineRule="exact"/>
              <w:jc w:val="right"/>
              <w:rPr>
                <w:sz w:val="18"/>
                <w:lang w:val="fr-CH"/>
              </w:rPr>
            </w:pPr>
            <w:r w:rsidRPr="0071782F">
              <w:rPr>
                <w:sz w:val="18"/>
                <w:lang w:val="fr-CH"/>
              </w:rPr>
              <w:t>92</w:t>
            </w:r>
          </w:p>
        </w:tc>
      </w:tr>
    </w:tbl>
    <w:p w:rsidR="00945EC3" w:rsidRPr="0071782F" w:rsidRDefault="00945EC3" w:rsidP="00945EC3">
      <w:pPr>
        <w:pStyle w:val="H23G"/>
        <w:rPr>
          <w:lang w:val="fr-CH"/>
        </w:rPr>
      </w:pPr>
      <w:r w:rsidRPr="0071782F">
        <w:rPr>
          <w:lang w:val="fr-CH"/>
        </w:rPr>
        <w:tab/>
      </w:r>
      <w:r w:rsidRPr="0071782F">
        <w:rPr>
          <w:lang w:val="fr-CH"/>
        </w:rPr>
        <w:tab/>
      </w:r>
      <w:r w:rsidR="00606772" w:rsidRPr="0071782F">
        <w:rPr>
          <w:lang w:val="fr-CH"/>
        </w:rPr>
        <w:t xml:space="preserve">Quelques réalisations du </w:t>
      </w:r>
      <w:r w:rsidR="000718F9" w:rsidRPr="0071782F">
        <w:rPr>
          <w:lang w:val="fr-CH"/>
        </w:rPr>
        <w:t>secteur des coopératives</w:t>
      </w:r>
      <w:r w:rsidR="00606772" w:rsidRPr="0071782F">
        <w:rPr>
          <w:lang w:val="fr-CH"/>
        </w:rPr>
        <w:t xml:space="preserve"> </w:t>
      </w:r>
    </w:p>
    <w:p w:rsidR="00945EC3" w:rsidRPr="0071782F" w:rsidRDefault="00945EC3" w:rsidP="00945EC3">
      <w:pPr>
        <w:pStyle w:val="SingleTxtG"/>
        <w:rPr>
          <w:lang w:val="fr-CH"/>
        </w:rPr>
      </w:pPr>
      <w:r w:rsidRPr="0071782F">
        <w:rPr>
          <w:lang w:val="fr-CH"/>
        </w:rPr>
        <w:t>71.</w:t>
      </w:r>
      <w:r w:rsidRPr="0071782F">
        <w:rPr>
          <w:lang w:val="fr-CH"/>
        </w:rPr>
        <w:tab/>
        <w:t>R</w:t>
      </w:r>
      <w:r w:rsidR="00606772" w:rsidRPr="0071782F">
        <w:rPr>
          <w:lang w:val="fr-CH"/>
        </w:rPr>
        <w:t>é</w:t>
      </w:r>
      <w:r w:rsidRPr="0071782F">
        <w:rPr>
          <w:lang w:val="fr-CH"/>
        </w:rPr>
        <w:t>ali</w:t>
      </w:r>
      <w:r w:rsidR="00606772" w:rsidRPr="0071782F">
        <w:rPr>
          <w:lang w:val="fr-CH"/>
        </w:rPr>
        <w:t>s</w:t>
      </w:r>
      <w:r w:rsidRPr="0071782F">
        <w:rPr>
          <w:lang w:val="fr-CH"/>
        </w:rPr>
        <w:t xml:space="preserve">ation </w:t>
      </w:r>
      <w:r w:rsidR="00606772" w:rsidRPr="0071782F">
        <w:rPr>
          <w:lang w:val="fr-CH"/>
        </w:rPr>
        <w:t>à</w:t>
      </w:r>
      <w:r w:rsidRPr="0071782F">
        <w:rPr>
          <w:lang w:val="fr-CH"/>
        </w:rPr>
        <w:t xml:space="preserve"> 83</w:t>
      </w:r>
      <w:r w:rsidR="007E5125" w:rsidRPr="0071782F">
        <w:rPr>
          <w:lang w:val="fr-CH"/>
        </w:rPr>
        <w:t>%</w:t>
      </w:r>
      <w:r w:rsidRPr="0071782F">
        <w:rPr>
          <w:lang w:val="fr-CH"/>
        </w:rPr>
        <w:t xml:space="preserve"> </w:t>
      </w:r>
      <w:r w:rsidR="00606772" w:rsidRPr="0071782F">
        <w:rPr>
          <w:lang w:val="fr-CH"/>
        </w:rPr>
        <w:t xml:space="preserve">de l’objectif du </w:t>
      </w:r>
      <w:r w:rsidR="00A90208" w:rsidRPr="0071782F">
        <w:rPr>
          <w:lang w:val="fr-CH"/>
        </w:rPr>
        <w:t>quatrième</w:t>
      </w:r>
      <w:r w:rsidR="00606772" w:rsidRPr="0071782F">
        <w:rPr>
          <w:lang w:val="fr-CH"/>
        </w:rPr>
        <w:t xml:space="preserve"> plan de développement (1,</w:t>
      </w:r>
      <w:r w:rsidRPr="0071782F">
        <w:rPr>
          <w:lang w:val="fr-CH"/>
        </w:rPr>
        <w:t>4</w:t>
      </w:r>
      <w:r w:rsidR="008553D9" w:rsidRPr="0071782F">
        <w:rPr>
          <w:lang w:val="fr-CH"/>
        </w:rPr>
        <w:t> milliard</w:t>
      </w:r>
      <w:r w:rsidR="00606772" w:rsidRPr="0071782F">
        <w:rPr>
          <w:lang w:val="fr-CH"/>
        </w:rPr>
        <w:t xml:space="preserve"> de </w:t>
      </w:r>
      <w:r w:rsidRPr="0071782F">
        <w:rPr>
          <w:lang w:val="fr-CH"/>
        </w:rPr>
        <w:t>dollars</w:t>
      </w:r>
      <w:r w:rsidR="00606772" w:rsidRPr="0071782F">
        <w:rPr>
          <w:lang w:val="fr-CH"/>
        </w:rPr>
        <w:t xml:space="preserve"> É.-U.)</w:t>
      </w:r>
      <w:r w:rsidRPr="0071782F">
        <w:rPr>
          <w:lang w:val="fr-CH"/>
        </w:rPr>
        <w:t xml:space="preserve"> </w:t>
      </w:r>
      <w:r w:rsidR="00606772" w:rsidRPr="0071782F">
        <w:rPr>
          <w:lang w:val="fr-CH"/>
        </w:rPr>
        <w:t xml:space="preserve">concernant les </w:t>
      </w:r>
      <w:r w:rsidRPr="0071782F">
        <w:rPr>
          <w:lang w:val="fr-CH"/>
        </w:rPr>
        <w:t>export</w:t>
      </w:r>
      <w:r w:rsidR="00606772" w:rsidRPr="0071782F">
        <w:rPr>
          <w:lang w:val="fr-CH"/>
        </w:rPr>
        <w:t>ation</w:t>
      </w:r>
      <w:r w:rsidRPr="0071782F">
        <w:rPr>
          <w:lang w:val="fr-CH"/>
        </w:rPr>
        <w:t xml:space="preserve">s </w:t>
      </w:r>
      <w:r w:rsidR="00606772" w:rsidRPr="0071782F">
        <w:rPr>
          <w:lang w:val="fr-CH"/>
        </w:rPr>
        <w:t xml:space="preserve">du </w:t>
      </w:r>
      <w:r w:rsidR="000718F9" w:rsidRPr="0071782F">
        <w:rPr>
          <w:lang w:val="fr-CH"/>
        </w:rPr>
        <w:t>secteur des coopératives</w:t>
      </w:r>
      <w:r w:rsidRPr="0071782F">
        <w:rPr>
          <w:lang w:val="fr-CH"/>
        </w:rPr>
        <w:t xml:space="preserve">, </w:t>
      </w:r>
      <w:r w:rsidR="00606772" w:rsidRPr="0071782F">
        <w:rPr>
          <w:lang w:val="fr-CH"/>
        </w:rPr>
        <w:t xml:space="preserve">dont la valeur s’est élevée à environ </w:t>
      </w:r>
      <w:r w:rsidRPr="0071782F">
        <w:rPr>
          <w:lang w:val="fr-CH"/>
        </w:rPr>
        <w:t>1,163</w:t>
      </w:r>
      <w:r w:rsidR="008553D9" w:rsidRPr="0071782F">
        <w:rPr>
          <w:lang w:val="fr-CH"/>
        </w:rPr>
        <w:t> milliard</w:t>
      </w:r>
      <w:r w:rsidR="00606772" w:rsidRPr="0071782F">
        <w:rPr>
          <w:lang w:val="fr-CH"/>
        </w:rPr>
        <w:t xml:space="preserve"> de dollars É.-U. en </w:t>
      </w:r>
      <w:r w:rsidRPr="0071782F">
        <w:rPr>
          <w:lang w:val="fr-CH"/>
        </w:rPr>
        <w:t>2006</w:t>
      </w:r>
      <w:r w:rsidR="008F7D33" w:rsidRPr="0071782F">
        <w:rPr>
          <w:lang w:val="fr-CH"/>
        </w:rPr>
        <w:t>:</w:t>
      </w:r>
      <w:r w:rsidRPr="0071782F">
        <w:rPr>
          <w:lang w:val="fr-CH"/>
        </w:rPr>
        <w:t xml:space="preserve"> </w:t>
      </w:r>
    </w:p>
    <w:p w:rsidR="00945EC3" w:rsidRPr="0071782F" w:rsidRDefault="00945EC3" w:rsidP="00D87F43">
      <w:pPr>
        <w:pStyle w:val="SingleTxtG"/>
        <w:ind w:left="1701"/>
        <w:rPr>
          <w:lang w:val="fr-CH"/>
        </w:rPr>
      </w:pPr>
      <w:r w:rsidRPr="0071782F">
        <w:rPr>
          <w:lang w:val="fr-CH"/>
        </w:rPr>
        <w:t>71.1.</w:t>
      </w:r>
      <w:r w:rsidRPr="0071782F">
        <w:rPr>
          <w:lang w:val="fr-CH"/>
        </w:rPr>
        <w:tab/>
      </w:r>
      <w:r w:rsidR="00606772" w:rsidRPr="0071782F">
        <w:rPr>
          <w:lang w:val="fr-CH"/>
        </w:rPr>
        <w:t>Augmentation du nombre des membres des coopé</w:t>
      </w:r>
      <w:r w:rsidRPr="0071782F">
        <w:rPr>
          <w:lang w:val="fr-CH"/>
        </w:rPr>
        <w:t xml:space="preserve">ratives </w:t>
      </w:r>
      <w:r w:rsidR="00606772" w:rsidRPr="0071782F">
        <w:rPr>
          <w:lang w:val="fr-CH"/>
        </w:rPr>
        <w:t>de 1 120</w:t>
      </w:r>
      <w:r w:rsidR="002231E8" w:rsidRPr="0071782F">
        <w:rPr>
          <w:lang w:val="fr-CH"/>
        </w:rPr>
        <w:t> 000</w:t>
      </w:r>
      <w:r w:rsidR="00097CDB" w:rsidRPr="0071782F">
        <w:rPr>
          <w:lang w:val="fr-CH"/>
        </w:rPr>
        <w:t> personnes</w:t>
      </w:r>
      <w:r w:rsidR="00606772" w:rsidRPr="0071782F">
        <w:rPr>
          <w:lang w:val="fr-CH"/>
        </w:rPr>
        <w:t xml:space="preserve"> en </w:t>
      </w:r>
      <w:r w:rsidRPr="0071782F">
        <w:rPr>
          <w:lang w:val="fr-CH"/>
        </w:rPr>
        <w:t xml:space="preserve">2006 </w:t>
      </w:r>
      <w:r w:rsidR="00606772" w:rsidRPr="0071782F">
        <w:rPr>
          <w:lang w:val="fr-CH"/>
        </w:rPr>
        <w:t xml:space="preserve">(104 </w:t>
      </w:r>
      <w:r w:rsidRPr="0071782F">
        <w:rPr>
          <w:lang w:val="fr-CH"/>
        </w:rPr>
        <w:t xml:space="preserve">000 </w:t>
      </w:r>
      <w:r w:rsidR="00606772" w:rsidRPr="0071782F">
        <w:rPr>
          <w:lang w:val="fr-CH"/>
        </w:rPr>
        <w:t xml:space="preserve">en </w:t>
      </w:r>
      <w:r w:rsidRPr="0071782F">
        <w:rPr>
          <w:lang w:val="fr-CH"/>
        </w:rPr>
        <w:t>2005</w:t>
      </w:r>
      <w:r w:rsidR="00606772" w:rsidRPr="0071782F">
        <w:rPr>
          <w:lang w:val="fr-CH"/>
        </w:rPr>
        <w:t>)</w:t>
      </w:r>
      <w:r w:rsidRPr="0071782F">
        <w:rPr>
          <w:lang w:val="fr-CH"/>
        </w:rPr>
        <w:t xml:space="preserve">, </w:t>
      </w:r>
      <w:r w:rsidR="00606772" w:rsidRPr="0071782F">
        <w:rPr>
          <w:lang w:val="fr-CH"/>
        </w:rPr>
        <w:t xml:space="preserve">ce qui a fait passer de </w:t>
      </w:r>
      <w:r w:rsidRPr="0071782F">
        <w:rPr>
          <w:lang w:val="fr-CH"/>
        </w:rPr>
        <w:t>15</w:t>
      </w:r>
      <w:r w:rsidR="00606772" w:rsidRPr="0071782F">
        <w:rPr>
          <w:lang w:val="fr-CH"/>
        </w:rPr>
        <w:t>,</w:t>
      </w:r>
      <w:r w:rsidRPr="0071782F">
        <w:rPr>
          <w:lang w:val="fr-CH"/>
        </w:rPr>
        <w:t>3</w:t>
      </w:r>
      <w:r w:rsidR="007E5125" w:rsidRPr="0071782F">
        <w:rPr>
          <w:lang w:val="fr-CH"/>
        </w:rPr>
        <w:t>%</w:t>
      </w:r>
      <w:r w:rsidRPr="0071782F">
        <w:rPr>
          <w:lang w:val="fr-CH"/>
        </w:rPr>
        <w:t xml:space="preserve"> </w:t>
      </w:r>
      <w:r w:rsidR="00606772" w:rsidRPr="0071782F">
        <w:rPr>
          <w:lang w:val="fr-CH"/>
        </w:rPr>
        <w:t>à</w:t>
      </w:r>
      <w:r w:rsidRPr="0071782F">
        <w:rPr>
          <w:lang w:val="fr-CH"/>
        </w:rPr>
        <w:t xml:space="preserve"> 35</w:t>
      </w:r>
      <w:r w:rsidR="00606772" w:rsidRPr="0071782F">
        <w:rPr>
          <w:lang w:val="fr-CH"/>
        </w:rPr>
        <w:t>,</w:t>
      </w:r>
      <w:r w:rsidRPr="0071782F">
        <w:rPr>
          <w:lang w:val="fr-CH"/>
        </w:rPr>
        <w:t>5</w:t>
      </w:r>
      <w:r w:rsidR="007E5125" w:rsidRPr="0071782F">
        <w:rPr>
          <w:lang w:val="fr-CH"/>
        </w:rPr>
        <w:t>%</w:t>
      </w:r>
      <w:r w:rsidRPr="0071782F">
        <w:rPr>
          <w:lang w:val="fr-CH"/>
        </w:rPr>
        <w:t xml:space="preserve"> </w:t>
      </w:r>
      <w:r w:rsidR="00606772" w:rsidRPr="0071782F">
        <w:rPr>
          <w:lang w:val="fr-CH"/>
        </w:rPr>
        <w:t>le taux de réalisation de l’objectif du plan</w:t>
      </w:r>
      <w:r w:rsidR="003556B8" w:rsidRPr="0071782F">
        <w:rPr>
          <w:lang w:val="fr-CH"/>
        </w:rPr>
        <w:t>.</w:t>
      </w:r>
    </w:p>
    <w:p w:rsidR="00945EC3" w:rsidRPr="0071782F" w:rsidRDefault="00945EC3" w:rsidP="00D87F43">
      <w:pPr>
        <w:pStyle w:val="SingleTxtG"/>
        <w:ind w:left="1701"/>
        <w:rPr>
          <w:lang w:val="fr-CH"/>
        </w:rPr>
      </w:pPr>
      <w:r w:rsidRPr="0071782F">
        <w:rPr>
          <w:lang w:val="fr-CH"/>
        </w:rPr>
        <w:t>71.2.</w:t>
      </w:r>
      <w:r w:rsidRPr="0071782F">
        <w:rPr>
          <w:lang w:val="fr-CH"/>
        </w:rPr>
        <w:tab/>
      </w:r>
      <w:r w:rsidR="00606772" w:rsidRPr="0071782F">
        <w:rPr>
          <w:lang w:val="fr-CH"/>
        </w:rPr>
        <w:t xml:space="preserve">Accroissement du nombre des nouveaux emplois, passé de </w:t>
      </w:r>
      <w:r w:rsidRPr="0071782F">
        <w:rPr>
          <w:lang w:val="fr-CH"/>
        </w:rPr>
        <w:t>29</w:t>
      </w:r>
      <w:r w:rsidR="00606772" w:rsidRPr="0071782F">
        <w:rPr>
          <w:lang w:val="fr-CH"/>
        </w:rPr>
        <w:t xml:space="preserve"> </w:t>
      </w:r>
      <w:r w:rsidRPr="0071782F">
        <w:rPr>
          <w:lang w:val="fr-CH"/>
        </w:rPr>
        <w:t xml:space="preserve">000 </w:t>
      </w:r>
      <w:r w:rsidR="00606772" w:rsidRPr="0071782F">
        <w:rPr>
          <w:lang w:val="fr-CH"/>
        </w:rPr>
        <w:t>e</w:t>
      </w:r>
      <w:r w:rsidRPr="0071782F">
        <w:rPr>
          <w:lang w:val="fr-CH"/>
        </w:rPr>
        <w:t xml:space="preserve">n 2005 </w:t>
      </w:r>
      <w:r w:rsidR="00606772" w:rsidRPr="0071782F">
        <w:rPr>
          <w:lang w:val="fr-CH"/>
        </w:rPr>
        <w:t>à</w:t>
      </w:r>
      <w:r w:rsidRPr="0071782F">
        <w:rPr>
          <w:lang w:val="fr-CH"/>
        </w:rPr>
        <w:t xml:space="preserve"> 163</w:t>
      </w:r>
      <w:r w:rsidR="00606772" w:rsidRPr="0071782F">
        <w:rPr>
          <w:lang w:val="fr-CH"/>
        </w:rPr>
        <w:t xml:space="preserve"> </w:t>
      </w:r>
      <w:r w:rsidRPr="0071782F">
        <w:rPr>
          <w:lang w:val="fr-CH"/>
        </w:rPr>
        <w:t xml:space="preserve">000 </w:t>
      </w:r>
      <w:r w:rsidR="00606772" w:rsidRPr="0071782F">
        <w:rPr>
          <w:lang w:val="fr-CH"/>
        </w:rPr>
        <w:t>e</w:t>
      </w:r>
      <w:r w:rsidRPr="0071782F">
        <w:rPr>
          <w:lang w:val="fr-CH"/>
        </w:rPr>
        <w:t xml:space="preserve">n 2006. </w:t>
      </w:r>
    </w:p>
    <w:p w:rsidR="00945EC3" w:rsidRPr="0071782F" w:rsidRDefault="00945EC3" w:rsidP="00D87F43">
      <w:pPr>
        <w:pStyle w:val="SingleTxtG"/>
        <w:ind w:left="1701"/>
        <w:rPr>
          <w:lang w:val="fr-CH"/>
        </w:rPr>
      </w:pPr>
      <w:r w:rsidRPr="0071782F">
        <w:rPr>
          <w:lang w:val="fr-CH"/>
        </w:rPr>
        <w:t>71.3.</w:t>
      </w:r>
      <w:r w:rsidRPr="0071782F">
        <w:rPr>
          <w:lang w:val="fr-CH"/>
        </w:rPr>
        <w:tab/>
      </w:r>
      <w:r w:rsidR="00606772" w:rsidRPr="0071782F">
        <w:rPr>
          <w:lang w:val="fr-CH"/>
        </w:rPr>
        <w:t>Accroissement du nombre des nouvelles coopératives, passé de 5</w:t>
      </w:r>
      <w:r w:rsidR="002231E8" w:rsidRPr="0071782F">
        <w:rPr>
          <w:lang w:val="fr-CH"/>
        </w:rPr>
        <w:t> </w:t>
      </w:r>
      <w:r w:rsidRPr="0071782F">
        <w:rPr>
          <w:lang w:val="fr-CH"/>
        </w:rPr>
        <w:t xml:space="preserve">148 </w:t>
      </w:r>
      <w:r w:rsidR="00606772" w:rsidRPr="0071782F">
        <w:rPr>
          <w:lang w:val="fr-CH"/>
        </w:rPr>
        <w:t>e</w:t>
      </w:r>
      <w:r w:rsidR="005B7D55">
        <w:rPr>
          <w:lang w:val="fr-CH"/>
        </w:rPr>
        <w:t>n </w:t>
      </w:r>
      <w:r w:rsidRPr="0071782F">
        <w:rPr>
          <w:lang w:val="fr-CH"/>
        </w:rPr>
        <w:t xml:space="preserve">2005 </w:t>
      </w:r>
      <w:r w:rsidR="00606772" w:rsidRPr="0071782F">
        <w:rPr>
          <w:lang w:val="fr-CH"/>
        </w:rPr>
        <w:t>à</w:t>
      </w:r>
      <w:r w:rsidRPr="0071782F">
        <w:rPr>
          <w:lang w:val="fr-CH"/>
        </w:rPr>
        <w:t xml:space="preserve"> 18</w:t>
      </w:r>
      <w:r w:rsidR="00606772" w:rsidRPr="0071782F">
        <w:rPr>
          <w:lang w:val="fr-CH"/>
        </w:rPr>
        <w:t xml:space="preserve"> </w:t>
      </w:r>
      <w:r w:rsidRPr="0071782F">
        <w:rPr>
          <w:lang w:val="fr-CH"/>
        </w:rPr>
        <w:t xml:space="preserve">205 </w:t>
      </w:r>
      <w:r w:rsidR="00606772" w:rsidRPr="0071782F">
        <w:rPr>
          <w:lang w:val="fr-CH"/>
        </w:rPr>
        <w:t>e</w:t>
      </w:r>
      <w:r w:rsidRPr="0071782F">
        <w:rPr>
          <w:lang w:val="fr-CH"/>
        </w:rPr>
        <w:t xml:space="preserve">n 2006, </w:t>
      </w:r>
      <w:r w:rsidR="00606772" w:rsidRPr="0071782F">
        <w:rPr>
          <w:lang w:val="fr-CH"/>
        </w:rPr>
        <w:t xml:space="preserve">ce qui a permis de réaliser l’objectif du plan à </w:t>
      </w:r>
      <w:r w:rsidRPr="0071782F">
        <w:rPr>
          <w:lang w:val="fr-CH"/>
        </w:rPr>
        <w:t>88</w:t>
      </w:r>
      <w:r w:rsidR="00606772" w:rsidRPr="0071782F">
        <w:rPr>
          <w:lang w:val="fr-CH"/>
        </w:rPr>
        <w:t>,</w:t>
      </w:r>
      <w:r w:rsidRPr="0071782F">
        <w:rPr>
          <w:lang w:val="fr-CH"/>
        </w:rPr>
        <w:t>1</w:t>
      </w:r>
      <w:r w:rsidR="007E5125" w:rsidRPr="0071782F">
        <w:rPr>
          <w:lang w:val="fr-CH"/>
        </w:rPr>
        <w:t>%</w:t>
      </w:r>
      <w:r w:rsidR="003556B8" w:rsidRPr="0071782F">
        <w:rPr>
          <w:lang w:val="fr-CH"/>
        </w:rPr>
        <w:t>.</w:t>
      </w:r>
    </w:p>
    <w:p w:rsidR="00945EC3" w:rsidRPr="0071782F" w:rsidRDefault="00945EC3" w:rsidP="00D87F43">
      <w:pPr>
        <w:pStyle w:val="H1G"/>
        <w:rPr>
          <w:lang w:val="fr-CH"/>
        </w:rPr>
      </w:pPr>
      <w:r w:rsidRPr="0071782F">
        <w:rPr>
          <w:lang w:val="fr-CH"/>
        </w:rPr>
        <w:tab/>
      </w:r>
      <w:r w:rsidRPr="0071782F">
        <w:rPr>
          <w:lang w:val="fr-CH"/>
        </w:rPr>
        <w:tab/>
      </w:r>
      <w:r w:rsidR="00606772" w:rsidRPr="0071782F">
        <w:rPr>
          <w:lang w:val="fr-CH"/>
        </w:rPr>
        <w:t xml:space="preserve">Droit de changer de profession </w:t>
      </w:r>
    </w:p>
    <w:p w:rsidR="00945EC3" w:rsidRPr="0071782F" w:rsidRDefault="00945EC3" w:rsidP="00945EC3">
      <w:pPr>
        <w:pStyle w:val="SingleTxtG"/>
        <w:rPr>
          <w:lang w:val="fr-CH"/>
        </w:rPr>
      </w:pPr>
      <w:r w:rsidRPr="0071782F">
        <w:rPr>
          <w:lang w:val="fr-CH"/>
        </w:rPr>
        <w:t>72.</w:t>
      </w:r>
      <w:r w:rsidRPr="0071782F">
        <w:rPr>
          <w:lang w:val="fr-CH"/>
        </w:rPr>
        <w:tab/>
      </w:r>
      <w:r w:rsidR="00904D04" w:rsidRPr="0071782F">
        <w:rPr>
          <w:lang w:val="fr-CH"/>
        </w:rPr>
        <w:t>Les règles et règlements de la République islamique d’Iran ne limitent en rien la possibilité pour un travailleur de changer d’emploi. Tout travailleur peut librement accepter un nouvel emploi dans le lieu de son choix après avoir quitté son emploi précédent et peut recevoir le salaire et les primes qui lui sont dus à la cessation de son emploi, d’un montant équivalent à une indemnité de licenciement légal</w:t>
      </w:r>
      <w:r w:rsidRPr="0071782F">
        <w:rPr>
          <w:lang w:val="fr-CH"/>
        </w:rPr>
        <w:t>.</w:t>
      </w:r>
    </w:p>
    <w:p w:rsidR="00945EC3" w:rsidRPr="0071782F" w:rsidRDefault="00945EC3" w:rsidP="00D87F43">
      <w:pPr>
        <w:pStyle w:val="HChG"/>
        <w:rPr>
          <w:lang w:val="fr-CH"/>
        </w:rPr>
      </w:pPr>
      <w:r w:rsidRPr="0071782F">
        <w:rPr>
          <w:lang w:val="fr-CH"/>
        </w:rPr>
        <w:tab/>
      </w:r>
      <w:r w:rsidRPr="0071782F">
        <w:rPr>
          <w:lang w:val="fr-CH"/>
        </w:rPr>
        <w:tab/>
      </w:r>
      <w:r w:rsidR="00943A69" w:rsidRPr="0071782F">
        <w:rPr>
          <w:lang w:val="fr-CH"/>
        </w:rPr>
        <w:t>Article </w:t>
      </w:r>
      <w:r w:rsidRPr="0071782F">
        <w:rPr>
          <w:lang w:val="fr-CH"/>
        </w:rPr>
        <w:t>7</w:t>
      </w:r>
      <w:r w:rsidR="003643A1">
        <w:rPr>
          <w:lang w:val="fr-CH"/>
        </w:rPr>
        <w:br/>
      </w:r>
      <w:r w:rsidR="00904D04" w:rsidRPr="0071782F">
        <w:rPr>
          <w:lang w:val="fr-CH"/>
        </w:rPr>
        <w:t xml:space="preserve">Salaire et </w:t>
      </w:r>
      <w:r w:rsidRPr="0071782F">
        <w:rPr>
          <w:lang w:val="fr-CH"/>
        </w:rPr>
        <w:t xml:space="preserve">conditions </w:t>
      </w:r>
      <w:r w:rsidR="00904D04" w:rsidRPr="0071782F">
        <w:rPr>
          <w:lang w:val="fr-CH"/>
        </w:rPr>
        <w:t>de travail</w:t>
      </w:r>
    </w:p>
    <w:p w:rsidR="00945EC3" w:rsidRPr="0071782F" w:rsidRDefault="00945EC3" w:rsidP="00D87F43">
      <w:pPr>
        <w:pStyle w:val="H1G"/>
        <w:rPr>
          <w:lang w:val="fr-CH"/>
        </w:rPr>
      </w:pPr>
      <w:r w:rsidRPr="0071782F">
        <w:rPr>
          <w:lang w:val="fr-CH"/>
        </w:rPr>
        <w:tab/>
      </w:r>
      <w:r w:rsidRPr="0071782F">
        <w:rPr>
          <w:lang w:val="fr-CH"/>
        </w:rPr>
        <w:tab/>
        <w:t>Introduction</w:t>
      </w:r>
    </w:p>
    <w:p w:rsidR="00945EC3" w:rsidRPr="0071782F" w:rsidRDefault="00945EC3" w:rsidP="00945EC3">
      <w:pPr>
        <w:pStyle w:val="SingleTxtG"/>
        <w:rPr>
          <w:lang w:val="fr-CH"/>
        </w:rPr>
      </w:pPr>
      <w:r w:rsidRPr="0071782F">
        <w:rPr>
          <w:lang w:val="fr-CH"/>
        </w:rPr>
        <w:t>73.</w:t>
      </w:r>
      <w:r w:rsidRPr="0071782F">
        <w:rPr>
          <w:lang w:val="fr-CH"/>
        </w:rPr>
        <w:tab/>
      </w:r>
      <w:r w:rsidR="00904D04" w:rsidRPr="0071782F">
        <w:rPr>
          <w:lang w:val="fr-CH"/>
        </w:rPr>
        <w:t xml:space="preserve">La présente </w:t>
      </w:r>
      <w:r w:rsidRPr="0071782F">
        <w:rPr>
          <w:lang w:val="fr-CH"/>
        </w:rPr>
        <w:t xml:space="preserve">section </w:t>
      </w:r>
      <w:r w:rsidR="00904D04" w:rsidRPr="0071782F">
        <w:rPr>
          <w:lang w:val="fr-CH"/>
        </w:rPr>
        <w:t xml:space="preserve">commence par énumérer les conventions </w:t>
      </w:r>
      <w:r w:rsidRPr="0071782F">
        <w:rPr>
          <w:lang w:val="fr-CH"/>
        </w:rPr>
        <w:t>international</w:t>
      </w:r>
      <w:r w:rsidR="00904D04" w:rsidRPr="0071782F">
        <w:rPr>
          <w:lang w:val="fr-CH"/>
        </w:rPr>
        <w:t>es</w:t>
      </w:r>
      <w:r w:rsidRPr="0071782F">
        <w:rPr>
          <w:lang w:val="fr-CH"/>
        </w:rPr>
        <w:t xml:space="preserve"> </w:t>
      </w:r>
      <w:r w:rsidR="00904D04" w:rsidRPr="0071782F">
        <w:rPr>
          <w:lang w:val="fr-CH"/>
        </w:rPr>
        <w:t>au</w:t>
      </w:r>
      <w:r w:rsidR="00236D75" w:rsidRPr="0071782F">
        <w:rPr>
          <w:lang w:val="fr-CH"/>
        </w:rPr>
        <w:t>x</w:t>
      </w:r>
      <w:r w:rsidR="00904D04" w:rsidRPr="0071782F">
        <w:rPr>
          <w:lang w:val="fr-CH"/>
        </w:rPr>
        <w:t xml:space="preserve">quelles la </w:t>
      </w:r>
      <w:r w:rsidRPr="0071782F">
        <w:rPr>
          <w:lang w:val="fr-CH"/>
        </w:rPr>
        <w:t>R</w:t>
      </w:r>
      <w:r w:rsidR="00904D04" w:rsidRPr="0071782F">
        <w:rPr>
          <w:lang w:val="fr-CH"/>
        </w:rPr>
        <w:t>épublique islamique d’</w:t>
      </w:r>
      <w:r w:rsidRPr="0071782F">
        <w:rPr>
          <w:lang w:val="fr-CH"/>
        </w:rPr>
        <w:t xml:space="preserve">Iran </w:t>
      </w:r>
      <w:r w:rsidR="00904D04" w:rsidRPr="0071782F">
        <w:rPr>
          <w:lang w:val="fr-CH"/>
        </w:rPr>
        <w:t>est partie et sur l’application desquelles elle a soumis des rapports à l’OIT.</w:t>
      </w:r>
      <w:r w:rsidRPr="0071782F">
        <w:rPr>
          <w:lang w:val="fr-CH"/>
        </w:rPr>
        <w:t xml:space="preserve"> </w:t>
      </w:r>
      <w:r w:rsidR="00904D04" w:rsidRPr="0071782F">
        <w:rPr>
          <w:lang w:val="fr-CH"/>
        </w:rPr>
        <w:t xml:space="preserve">Elle examine ensuite les </w:t>
      </w:r>
      <w:r w:rsidR="00723F2B" w:rsidRPr="0071782F">
        <w:rPr>
          <w:lang w:val="fr-CH"/>
        </w:rPr>
        <w:t>articles </w:t>
      </w:r>
      <w:r w:rsidR="00904D04" w:rsidRPr="0071782F">
        <w:rPr>
          <w:lang w:val="fr-CH"/>
        </w:rPr>
        <w:t xml:space="preserve">pertinents de la </w:t>
      </w:r>
      <w:r w:rsidRPr="0071782F">
        <w:rPr>
          <w:lang w:val="fr-CH"/>
        </w:rPr>
        <w:t xml:space="preserve">Constitution </w:t>
      </w:r>
      <w:r w:rsidR="00904D04" w:rsidRPr="0071782F">
        <w:rPr>
          <w:lang w:val="fr-CH"/>
        </w:rPr>
        <w:t>et certaines autres dispositions réglementaires sur le salaire minimal, les normes de sécurité sur le lieu de travail, les congés et la journée de travail.</w:t>
      </w:r>
    </w:p>
    <w:p w:rsidR="00945EC3" w:rsidRPr="0071782F" w:rsidRDefault="00945EC3" w:rsidP="00D87F43">
      <w:pPr>
        <w:pStyle w:val="H1G"/>
        <w:rPr>
          <w:lang w:val="fr-CH"/>
        </w:rPr>
      </w:pPr>
      <w:r w:rsidRPr="0071782F">
        <w:rPr>
          <w:lang w:val="fr-CH"/>
        </w:rPr>
        <w:tab/>
      </w:r>
      <w:r w:rsidRPr="0071782F">
        <w:rPr>
          <w:lang w:val="fr-CH"/>
        </w:rPr>
        <w:tab/>
      </w:r>
      <w:r w:rsidR="00904D04" w:rsidRPr="0071782F">
        <w:rPr>
          <w:lang w:val="fr-CH"/>
        </w:rPr>
        <w:t>Conventions internationales</w:t>
      </w:r>
    </w:p>
    <w:p w:rsidR="00945EC3" w:rsidRPr="0071782F" w:rsidRDefault="00945EC3" w:rsidP="00945EC3">
      <w:pPr>
        <w:pStyle w:val="SingleTxtG"/>
        <w:rPr>
          <w:lang w:val="fr-CH"/>
        </w:rPr>
      </w:pPr>
      <w:r w:rsidRPr="0071782F">
        <w:rPr>
          <w:lang w:val="fr-CH"/>
        </w:rPr>
        <w:t>74.</w:t>
      </w:r>
      <w:r w:rsidRPr="0071782F">
        <w:rPr>
          <w:lang w:val="fr-CH"/>
        </w:rPr>
        <w:tab/>
      </w:r>
      <w:r w:rsidR="00904D04" w:rsidRPr="0071782F">
        <w:rPr>
          <w:lang w:val="fr-CH"/>
        </w:rPr>
        <w:t xml:space="preserve">La </w:t>
      </w:r>
      <w:r w:rsidRPr="0071782F">
        <w:rPr>
          <w:lang w:val="fr-CH"/>
        </w:rPr>
        <w:t>R</w:t>
      </w:r>
      <w:r w:rsidR="00904D04" w:rsidRPr="0071782F">
        <w:rPr>
          <w:lang w:val="fr-CH"/>
        </w:rPr>
        <w:t>épublique islamique d’</w:t>
      </w:r>
      <w:r w:rsidRPr="0071782F">
        <w:rPr>
          <w:lang w:val="fr-CH"/>
        </w:rPr>
        <w:t xml:space="preserve">Iran </w:t>
      </w:r>
      <w:r w:rsidR="00904D04" w:rsidRPr="0071782F">
        <w:rPr>
          <w:lang w:val="fr-CH"/>
        </w:rPr>
        <w:t xml:space="preserve">est partie aux </w:t>
      </w:r>
      <w:r w:rsidRPr="0071782F">
        <w:rPr>
          <w:lang w:val="fr-CH"/>
        </w:rPr>
        <w:t>Convention</w:t>
      </w:r>
      <w:r w:rsidR="00904D04" w:rsidRPr="0071782F">
        <w:rPr>
          <w:lang w:val="fr-CH"/>
        </w:rPr>
        <w:t>s</w:t>
      </w:r>
      <w:r w:rsidRPr="0071782F">
        <w:rPr>
          <w:lang w:val="fr-CH"/>
        </w:rPr>
        <w:t xml:space="preserve"> </w:t>
      </w:r>
      <w:r w:rsidR="00904D04" w:rsidRPr="0071782F">
        <w:rPr>
          <w:lang w:val="fr-CH"/>
        </w:rPr>
        <w:t>de l’OIT n</w:t>
      </w:r>
      <w:r w:rsidR="002231E8" w:rsidRPr="0071782F">
        <w:rPr>
          <w:vertAlign w:val="superscript"/>
          <w:lang w:val="fr-CH"/>
        </w:rPr>
        <w:t>o</w:t>
      </w:r>
      <w:r w:rsidR="002231E8" w:rsidRPr="0071782F">
        <w:rPr>
          <w:lang w:val="fr-CH"/>
        </w:rPr>
        <w:t> </w:t>
      </w:r>
      <w:r w:rsidRPr="0071782F">
        <w:rPr>
          <w:lang w:val="fr-CH"/>
        </w:rPr>
        <w:t xml:space="preserve">14 </w:t>
      </w:r>
      <w:r w:rsidR="00904D04" w:rsidRPr="0071782F">
        <w:rPr>
          <w:lang w:val="fr-CH"/>
        </w:rPr>
        <w:t xml:space="preserve">sur le repos hebdomadaire (industrie) </w:t>
      </w:r>
      <w:r w:rsidRPr="0071782F">
        <w:rPr>
          <w:lang w:val="fr-CH"/>
        </w:rPr>
        <w:t xml:space="preserve">(1921), </w:t>
      </w:r>
      <w:r w:rsidR="00904D04" w:rsidRPr="0071782F">
        <w:rPr>
          <w:lang w:val="fr-CH"/>
        </w:rPr>
        <w:t>n</w:t>
      </w:r>
      <w:r w:rsidR="002231E8" w:rsidRPr="0071782F">
        <w:rPr>
          <w:vertAlign w:val="superscript"/>
          <w:lang w:val="fr-CH"/>
        </w:rPr>
        <w:t>o</w:t>
      </w:r>
      <w:r w:rsidR="002231E8" w:rsidRPr="0071782F">
        <w:rPr>
          <w:lang w:val="fr-CH"/>
        </w:rPr>
        <w:t> </w:t>
      </w:r>
      <w:r w:rsidRPr="0071782F">
        <w:rPr>
          <w:lang w:val="fr-CH"/>
        </w:rPr>
        <w:t xml:space="preserve">106 </w:t>
      </w:r>
      <w:r w:rsidR="00904D04" w:rsidRPr="0071782F">
        <w:rPr>
          <w:lang w:val="fr-CH"/>
        </w:rPr>
        <w:t>sur le repos hebdomadaire</w:t>
      </w:r>
      <w:r w:rsidRPr="0071782F">
        <w:rPr>
          <w:lang w:val="fr-CH"/>
        </w:rPr>
        <w:t xml:space="preserve"> (commerce </w:t>
      </w:r>
      <w:r w:rsidR="00904D04" w:rsidRPr="0071782F">
        <w:rPr>
          <w:lang w:val="fr-CH"/>
        </w:rPr>
        <w:t>et bureaux</w:t>
      </w:r>
      <w:r w:rsidRPr="0071782F">
        <w:rPr>
          <w:lang w:val="fr-CH"/>
        </w:rPr>
        <w:t xml:space="preserve">) (1957) </w:t>
      </w:r>
      <w:r w:rsidR="00904D04" w:rsidRPr="0071782F">
        <w:rPr>
          <w:lang w:val="fr-CH"/>
        </w:rPr>
        <w:t>et n</w:t>
      </w:r>
      <w:r w:rsidR="002231E8" w:rsidRPr="0071782F">
        <w:rPr>
          <w:vertAlign w:val="superscript"/>
          <w:lang w:val="fr-CH"/>
        </w:rPr>
        <w:t>o</w:t>
      </w:r>
      <w:r w:rsidR="002231E8" w:rsidRPr="0071782F">
        <w:rPr>
          <w:lang w:val="fr-CH"/>
        </w:rPr>
        <w:t> </w:t>
      </w:r>
      <w:r w:rsidR="00904D04" w:rsidRPr="0071782F">
        <w:rPr>
          <w:lang w:val="fr-CH"/>
        </w:rPr>
        <w:t xml:space="preserve">100 sur l’égalité de rémunération </w:t>
      </w:r>
      <w:r w:rsidRPr="0071782F">
        <w:rPr>
          <w:lang w:val="fr-CH"/>
        </w:rPr>
        <w:t>(1951)</w:t>
      </w:r>
      <w:r w:rsidR="00904D04" w:rsidRPr="0071782F">
        <w:rPr>
          <w:lang w:val="fr-CH"/>
        </w:rPr>
        <w:t>, et a soumis à l’OIT divers rapports sur leur application</w:t>
      </w:r>
      <w:r w:rsidRPr="0071782F">
        <w:rPr>
          <w:lang w:val="fr-CH"/>
        </w:rPr>
        <w:t xml:space="preserve">. </w:t>
      </w:r>
    </w:p>
    <w:p w:rsidR="00945EC3" w:rsidRPr="0071782F" w:rsidRDefault="00945EC3" w:rsidP="00D87F43">
      <w:pPr>
        <w:pStyle w:val="H1G"/>
        <w:rPr>
          <w:lang w:val="fr-CH"/>
        </w:rPr>
      </w:pPr>
      <w:r w:rsidRPr="0071782F">
        <w:rPr>
          <w:lang w:val="fr-CH"/>
        </w:rPr>
        <w:tab/>
      </w:r>
      <w:r w:rsidRPr="0071782F">
        <w:rPr>
          <w:lang w:val="fr-CH"/>
        </w:rPr>
        <w:tab/>
      </w:r>
      <w:r w:rsidR="005B7D55">
        <w:rPr>
          <w:lang w:val="fr-CH"/>
        </w:rPr>
        <w:t xml:space="preserve">Articles </w:t>
      </w:r>
      <w:r w:rsidR="00904D04" w:rsidRPr="0071782F">
        <w:rPr>
          <w:lang w:val="fr-CH"/>
        </w:rPr>
        <w:t xml:space="preserve">de la </w:t>
      </w:r>
      <w:r w:rsidRPr="0071782F">
        <w:rPr>
          <w:lang w:val="fr-CH"/>
        </w:rPr>
        <w:t xml:space="preserve">Constitution </w:t>
      </w:r>
      <w:r w:rsidR="00904D04" w:rsidRPr="0071782F">
        <w:rPr>
          <w:lang w:val="fr-CH"/>
        </w:rPr>
        <w:t xml:space="preserve">relatifs à la journée de travail </w:t>
      </w:r>
    </w:p>
    <w:p w:rsidR="00945EC3" w:rsidRPr="0071782F" w:rsidRDefault="00945EC3" w:rsidP="00945EC3">
      <w:pPr>
        <w:pStyle w:val="SingleTxtG"/>
        <w:rPr>
          <w:lang w:val="fr-CH"/>
        </w:rPr>
      </w:pPr>
      <w:r w:rsidRPr="0071782F">
        <w:rPr>
          <w:lang w:val="fr-CH"/>
        </w:rPr>
        <w:t>75.</w:t>
      </w:r>
      <w:r w:rsidRPr="0071782F">
        <w:rPr>
          <w:lang w:val="fr-CH"/>
        </w:rPr>
        <w:tab/>
      </w:r>
      <w:r w:rsidR="00904D04" w:rsidRPr="0071782F">
        <w:rPr>
          <w:lang w:val="fr-CH"/>
        </w:rPr>
        <w:t xml:space="preserve">En vertu du </w:t>
      </w:r>
      <w:r w:rsidR="00723F2B" w:rsidRPr="0071782F">
        <w:rPr>
          <w:lang w:val="fr-CH"/>
        </w:rPr>
        <w:t>paragraphe </w:t>
      </w:r>
      <w:r w:rsidRPr="0071782F">
        <w:rPr>
          <w:lang w:val="fr-CH"/>
        </w:rPr>
        <w:t xml:space="preserve">3 </w:t>
      </w:r>
      <w:r w:rsidR="00904D04"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43 </w:t>
      </w:r>
      <w:r w:rsidR="00904D04" w:rsidRPr="0071782F">
        <w:rPr>
          <w:lang w:val="fr-CH"/>
        </w:rPr>
        <w:t xml:space="preserve">de la Constitution, l’État est tenu de moduler les programmes économiques du pays de manière que la journée et les conditions de travail </w:t>
      </w:r>
      <w:r w:rsidR="00057B12" w:rsidRPr="0071782F">
        <w:rPr>
          <w:lang w:val="fr-CH"/>
        </w:rPr>
        <w:t>(en ce qui co</w:t>
      </w:r>
      <w:r w:rsidR="00904D04" w:rsidRPr="0071782F">
        <w:rPr>
          <w:lang w:val="fr-CH"/>
        </w:rPr>
        <w:t>n</w:t>
      </w:r>
      <w:r w:rsidR="00057B12" w:rsidRPr="0071782F">
        <w:rPr>
          <w:lang w:val="fr-CH"/>
        </w:rPr>
        <w:t>c</w:t>
      </w:r>
      <w:r w:rsidR="00904D04" w:rsidRPr="0071782F">
        <w:rPr>
          <w:lang w:val="fr-CH"/>
        </w:rPr>
        <w:t>erne tant la forme que le contenu de ce travail) permettent à tout un chacun</w:t>
      </w:r>
      <w:r w:rsidR="00057B12" w:rsidRPr="0071782F">
        <w:rPr>
          <w:lang w:val="fr-CH"/>
        </w:rPr>
        <w:t>, en plus de son travail, de disposer de suffisamment de temps et d’énergie pour son développement personnel spirituel, politique et social, de participer activement à la direction des affaires du pays et de se perfectionner et de développer sa créativité.</w:t>
      </w:r>
      <w:r w:rsidRPr="0071782F">
        <w:rPr>
          <w:lang w:val="fr-CH"/>
        </w:rPr>
        <w:t xml:space="preserve"> </w:t>
      </w:r>
    </w:p>
    <w:p w:rsidR="00945EC3" w:rsidRPr="0071782F" w:rsidRDefault="00945EC3" w:rsidP="00D87F43">
      <w:pPr>
        <w:pStyle w:val="H1G"/>
        <w:rPr>
          <w:lang w:val="fr-CH"/>
        </w:rPr>
      </w:pPr>
      <w:r w:rsidRPr="0071782F">
        <w:rPr>
          <w:lang w:val="fr-CH"/>
        </w:rPr>
        <w:tab/>
      </w:r>
      <w:r w:rsidRPr="0071782F">
        <w:rPr>
          <w:lang w:val="fr-CH"/>
        </w:rPr>
        <w:tab/>
      </w:r>
      <w:r w:rsidR="00057B12" w:rsidRPr="0071782F">
        <w:rPr>
          <w:lang w:val="fr-CH"/>
        </w:rPr>
        <w:t xml:space="preserve">Salaire minimal </w:t>
      </w:r>
    </w:p>
    <w:p w:rsidR="00945EC3" w:rsidRPr="0071782F" w:rsidRDefault="00945EC3" w:rsidP="00945EC3">
      <w:pPr>
        <w:pStyle w:val="SingleTxtG"/>
        <w:rPr>
          <w:lang w:val="fr-CH"/>
        </w:rPr>
      </w:pPr>
      <w:r w:rsidRPr="0071782F">
        <w:rPr>
          <w:lang w:val="fr-CH"/>
        </w:rPr>
        <w:t>76.</w:t>
      </w:r>
      <w:r w:rsidRPr="0071782F">
        <w:rPr>
          <w:lang w:val="fr-CH"/>
        </w:rPr>
        <w:tab/>
      </w:r>
      <w:r w:rsidR="00057B12" w:rsidRPr="0071782F">
        <w:rPr>
          <w:lang w:val="fr-CH"/>
        </w:rPr>
        <w:t xml:space="preserve">En vertu de </w:t>
      </w:r>
      <w:r w:rsidR="00723F2B" w:rsidRPr="0071782F">
        <w:rPr>
          <w:lang w:val="fr-CH"/>
        </w:rPr>
        <w:t>l’</w:t>
      </w:r>
      <w:r w:rsidR="00943A69" w:rsidRPr="0071782F">
        <w:rPr>
          <w:lang w:val="fr-CH"/>
        </w:rPr>
        <w:t>article </w:t>
      </w:r>
      <w:r w:rsidRPr="0071782F">
        <w:rPr>
          <w:lang w:val="fr-CH"/>
        </w:rPr>
        <w:t xml:space="preserve">41 </w:t>
      </w:r>
      <w:r w:rsidR="00057B12" w:rsidRPr="0071782F">
        <w:rPr>
          <w:lang w:val="fr-CH"/>
        </w:rPr>
        <w:t xml:space="preserve">du Code du travail, le Haut Conseil du travail est tenu de fixer chaque année le salaire minimal des travailleurs dans les différents secteurs, </w:t>
      </w:r>
      <w:r w:rsidRPr="0071782F">
        <w:rPr>
          <w:lang w:val="fr-CH"/>
        </w:rPr>
        <w:t xml:space="preserve">industries </w:t>
      </w:r>
      <w:r w:rsidR="00057B12" w:rsidRPr="0071782F">
        <w:rPr>
          <w:lang w:val="fr-CH"/>
        </w:rPr>
        <w:t xml:space="preserve">et </w:t>
      </w:r>
      <w:r w:rsidRPr="0071782F">
        <w:rPr>
          <w:lang w:val="fr-CH"/>
        </w:rPr>
        <w:t>r</w:t>
      </w:r>
      <w:r w:rsidR="00057B12" w:rsidRPr="0071782F">
        <w:rPr>
          <w:lang w:val="fr-CH"/>
        </w:rPr>
        <w:t>é</w:t>
      </w:r>
      <w:r w:rsidRPr="0071782F">
        <w:rPr>
          <w:lang w:val="fr-CH"/>
        </w:rPr>
        <w:t xml:space="preserve">gions </w:t>
      </w:r>
      <w:r w:rsidR="00057B12" w:rsidRPr="0071782F">
        <w:rPr>
          <w:lang w:val="fr-CH"/>
        </w:rPr>
        <w:t>du pays en fonction des critères ci-après</w:t>
      </w:r>
      <w:r w:rsidR="008F7D33" w:rsidRPr="0071782F">
        <w:rPr>
          <w:lang w:val="fr-CH"/>
        </w:rPr>
        <w:t>:</w:t>
      </w:r>
    </w:p>
    <w:p w:rsidR="00945EC3" w:rsidRPr="0071782F" w:rsidRDefault="00945EC3" w:rsidP="00D87F43">
      <w:pPr>
        <w:pStyle w:val="SingleTxtG"/>
        <w:ind w:left="1701"/>
        <w:rPr>
          <w:lang w:val="fr-CH"/>
        </w:rPr>
      </w:pPr>
      <w:r w:rsidRPr="0071782F">
        <w:rPr>
          <w:lang w:val="fr-CH"/>
        </w:rPr>
        <w:t>76.1.</w:t>
      </w:r>
      <w:r w:rsidRPr="0071782F">
        <w:rPr>
          <w:lang w:val="fr-CH"/>
        </w:rPr>
        <w:tab/>
      </w:r>
      <w:r w:rsidR="00057B12" w:rsidRPr="0071782F">
        <w:rPr>
          <w:lang w:val="fr-CH"/>
        </w:rPr>
        <w:t>Le salaire minimal est fixé compte tenu du taux d’inflation annoncé par la Banque centrale</w:t>
      </w:r>
      <w:r w:rsidRPr="0071782F">
        <w:rPr>
          <w:lang w:val="fr-CH"/>
        </w:rPr>
        <w:t>.</w:t>
      </w:r>
    </w:p>
    <w:p w:rsidR="00945EC3" w:rsidRPr="0071782F" w:rsidRDefault="00945EC3" w:rsidP="00D87F43">
      <w:pPr>
        <w:pStyle w:val="SingleTxtG"/>
        <w:ind w:left="1701"/>
        <w:rPr>
          <w:lang w:val="fr-CH"/>
        </w:rPr>
      </w:pPr>
      <w:r w:rsidRPr="0071782F">
        <w:rPr>
          <w:lang w:val="fr-CH"/>
        </w:rPr>
        <w:t>76.2.</w:t>
      </w:r>
      <w:r w:rsidRPr="0071782F">
        <w:rPr>
          <w:lang w:val="fr-CH"/>
        </w:rPr>
        <w:tab/>
      </w:r>
      <w:r w:rsidR="00057B12" w:rsidRPr="0071782F">
        <w:rPr>
          <w:lang w:val="fr-CH"/>
        </w:rPr>
        <w:t xml:space="preserve">Le salaire minimal doit, indépendamment de l’état physique et </w:t>
      </w:r>
      <w:r w:rsidRPr="0071782F">
        <w:rPr>
          <w:lang w:val="fr-CH"/>
        </w:rPr>
        <w:t xml:space="preserve">mental </w:t>
      </w:r>
      <w:r w:rsidR="00057B12" w:rsidRPr="0071782F">
        <w:rPr>
          <w:lang w:val="fr-CH"/>
        </w:rPr>
        <w:t>des travailleurs ou du travail dont ils doivent s’acquitter, suffire pour subvenir aux besoins d’</w:t>
      </w:r>
      <w:r w:rsidR="001F3F05" w:rsidRPr="0071782F">
        <w:rPr>
          <w:lang w:val="fr-CH"/>
        </w:rPr>
        <w:t>une famille</w:t>
      </w:r>
      <w:r w:rsidR="00057B12" w:rsidRPr="0071782F">
        <w:rPr>
          <w:lang w:val="fr-CH"/>
        </w:rPr>
        <w:t xml:space="preserve"> dont la taille doit être déterminée par les autorités compétentes</w:t>
      </w:r>
      <w:r w:rsidRPr="0071782F">
        <w:rPr>
          <w:lang w:val="fr-CH"/>
        </w:rPr>
        <w:t xml:space="preserve">. </w:t>
      </w:r>
    </w:p>
    <w:p w:rsidR="00945EC3" w:rsidRPr="0071782F" w:rsidRDefault="00945EC3" w:rsidP="00D87F43">
      <w:pPr>
        <w:pStyle w:val="SingleTxtG"/>
        <w:ind w:left="1701"/>
        <w:rPr>
          <w:lang w:val="fr-CH"/>
        </w:rPr>
      </w:pPr>
      <w:r w:rsidRPr="0071782F">
        <w:rPr>
          <w:lang w:val="fr-CH"/>
        </w:rPr>
        <w:t>76.3.</w:t>
      </w:r>
      <w:r w:rsidRPr="0071782F">
        <w:rPr>
          <w:lang w:val="fr-CH"/>
        </w:rPr>
        <w:tab/>
        <w:t>Note</w:t>
      </w:r>
      <w:r w:rsidR="008F7D33" w:rsidRPr="0071782F">
        <w:rPr>
          <w:lang w:val="fr-CH"/>
        </w:rPr>
        <w:t>:</w:t>
      </w:r>
      <w:r w:rsidRPr="0071782F">
        <w:rPr>
          <w:lang w:val="fr-CH"/>
        </w:rPr>
        <w:t xml:space="preserve"> </w:t>
      </w:r>
      <w:r w:rsidR="00057B12" w:rsidRPr="0071782F">
        <w:rPr>
          <w:lang w:val="fr-CH"/>
        </w:rPr>
        <w:t xml:space="preserve">les </w:t>
      </w:r>
      <w:r w:rsidRPr="0071782F">
        <w:rPr>
          <w:lang w:val="fr-CH"/>
        </w:rPr>
        <w:t>employe</w:t>
      </w:r>
      <w:r w:rsidR="00057B12" w:rsidRPr="0071782F">
        <w:rPr>
          <w:lang w:val="fr-CH"/>
        </w:rPr>
        <w:t>u</w:t>
      </w:r>
      <w:r w:rsidRPr="0071782F">
        <w:rPr>
          <w:lang w:val="fr-CH"/>
        </w:rPr>
        <w:t xml:space="preserve">rs </w:t>
      </w:r>
      <w:r w:rsidR="00D0318D" w:rsidRPr="0071782F">
        <w:rPr>
          <w:lang w:val="fr-CH"/>
        </w:rPr>
        <w:t>doivent verser au moins le nouveau salaire minimal annoncé</w:t>
      </w:r>
      <w:r w:rsidR="00057B12" w:rsidRPr="0071782F">
        <w:rPr>
          <w:lang w:val="fr-CH"/>
        </w:rPr>
        <w:t xml:space="preserve"> pour un travail accompli pendant la journée de travail légale</w:t>
      </w:r>
      <w:r w:rsidRPr="0071782F">
        <w:rPr>
          <w:lang w:val="fr-CH"/>
        </w:rPr>
        <w:t xml:space="preserve">; </w:t>
      </w:r>
      <w:r w:rsidR="00057B12" w:rsidRPr="0071782F">
        <w:rPr>
          <w:lang w:val="fr-CH"/>
        </w:rPr>
        <w:t>s’ils contreviennent à cette disposition, ils devront payer la différence et respecter le salaire minim</w:t>
      </w:r>
      <w:r w:rsidR="00D0318D" w:rsidRPr="0071782F">
        <w:rPr>
          <w:lang w:val="fr-CH"/>
        </w:rPr>
        <w:t>al</w:t>
      </w:r>
      <w:r w:rsidR="00057B12" w:rsidRPr="0071782F">
        <w:rPr>
          <w:lang w:val="fr-CH"/>
        </w:rPr>
        <w:t>. Ce salaire minimal s’applique à tous les salariés</w:t>
      </w:r>
      <w:r w:rsidR="00D0318D" w:rsidRPr="0071782F">
        <w:rPr>
          <w:lang w:val="fr-CH"/>
        </w:rPr>
        <w:t xml:space="preserve"> couverts par le Code du travail</w:t>
      </w:r>
      <w:r w:rsidRPr="0071782F">
        <w:rPr>
          <w:lang w:val="fr-CH"/>
        </w:rPr>
        <w:t xml:space="preserve">. </w:t>
      </w:r>
      <w:r w:rsidR="00D0318D" w:rsidRPr="0071782F">
        <w:rPr>
          <w:lang w:val="fr-CH"/>
        </w:rPr>
        <w:t>Les autorités compétentes contraignent les employeurs en infraction à payer la différence</w:t>
      </w:r>
      <w:r w:rsidRPr="0071782F">
        <w:rPr>
          <w:lang w:val="fr-CH"/>
        </w:rPr>
        <w:t xml:space="preserve">. </w:t>
      </w:r>
      <w:r w:rsidR="00D0318D" w:rsidRPr="0071782F">
        <w:rPr>
          <w:lang w:val="fr-CH"/>
        </w:rPr>
        <w:t xml:space="preserve">De surcroît, </w:t>
      </w:r>
      <w:r w:rsidR="00723F2B" w:rsidRPr="0071782F">
        <w:rPr>
          <w:lang w:val="fr-CH"/>
        </w:rPr>
        <w:t>l’</w:t>
      </w:r>
      <w:r w:rsidR="00943A69" w:rsidRPr="0071782F">
        <w:rPr>
          <w:lang w:val="fr-CH"/>
        </w:rPr>
        <w:t>article </w:t>
      </w:r>
      <w:r w:rsidR="00D0318D" w:rsidRPr="0071782F">
        <w:rPr>
          <w:lang w:val="fr-CH"/>
        </w:rPr>
        <w:t>174 du Code du travail prévoit certaines sanctions pour les violations de ce type, au titre desquelles la justice peut être saisie.</w:t>
      </w:r>
    </w:p>
    <w:p w:rsidR="00DD2B20" w:rsidRPr="0071782F" w:rsidRDefault="00DD2B20" w:rsidP="00DD2B20">
      <w:pPr>
        <w:pStyle w:val="SingleTxtG"/>
        <w:ind w:left="1701" w:hanging="567"/>
        <w:rPr>
          <w:lang w:val="fr-CH"/>
        </w:rPr>
      </w:pPr>
      <w:r w:rsidRPr="0071782F">
        <w:rPr>
          <w:lang w:val="fr-CH"/>
        </w:rPr>
        <w:tab/>
        <w:t>76.4.</w:t>
      </w:r>
      <w:r w:rsidRPr="0071782F">
        <w:rPr>
          <w:lang w:val="fr-CH"/>
        </w:rPr>
        <w:tab/>
      </w:r>
      <w:r w:rsidR="0063416E" w:rsidRPr="0071782F">
        <w:rPr>
          <w:lang w:val="fr-CH"/>
        </w:rPr>
        <w:t>Conformément aux dispositions du Code du travail, le Haut Conseil du travail fixe tous les</w:t>
      </w:r>
      <w:r w:rsidR="003643A1">
        <w:rPr>
          <w:lang w:val="fr-CH"/>
        </w:rPr>
        <w:t xml:space="preserve"> </w:t>
      </w:r>
      <w:r w:rsidR="00D82C96" w:rsidRPr="0071782F">
        <w:rPr>
          <w:lang w:val="fr-CH"/>
        </w:rPr>
        <w:t>ans</w:t>
      </w:r>
      <w:r w:rsidR="0063416E" w:rsidRPr="0071782F">
        <w:rPr>
          <w:lang w:val="fr-CH"/>
        </w:rPr>
        <w:t xml:space="preserve"> (y compris les années indiquées dans le Code) le salaire minimal sur la base des statistiques et données fournies par la Banque centrale et d’autres autorités compétentes telles que le Centre iranien de statistique, ainsi que des informations statistiques fournies par les usines et ateliers du pays. La fixation du salaire minimal prend en compte les intérêts supérieurs des travailleurs, la capacité économique des entreprises et le niveau de salaire minimal raisonnablement attendu</w:t>
      </w:r>
      <w:r w:rsidRPr="0071782F">
        <w:rPr>
          <w:lang w:val="fr-CH"/>
        </w:rPr>
        <w:t>.</w:t>
      </w:r>
    </w:p>
    <w:p w:rsidR="00DD2B20" w:rsidRPr="0071782F" w:rsidRDefault="00DD2B20" w:rsidP="00DD2B20">
      <w:pPr>
        <w:pStyle w:val="SingleTxtG"/>
        <w:ind w:left="1701" w:hanging="567"/>
        <w:rPr>
          <w:lang w:val="fr-CH"/>
        </w:rPr>
      </w:pPr>
      <w:r w:rsidRPr="0071782F">
        <w:rPr>
          <w:lang w:val="fr-CH"/>
        </w:rPr>
        <w:tab/>
        <w:t>76.5.</w:t>
      </w:r>
      <w:r w:rsidRPr="0071782F">
        <w:rPr>
          <w:lang w:val="fr-CH"/>
        </w:rPr>
        <w:tab/>
      </w:r>
      <w:r w:rsidR="00F430D5" w:rsidRPr="0071782F">
        <w:rPr>
          <w:lang w:val="fr-CH"/>
        </w:rPr>
        <w:t xml:space="preserve">En 2006, le salaire mensuel minimal nominal s’est établi à </w:t>
      </w:r>
      <w:r w:rsidRPr="0071782F">
        <w:rPr>
          <w:lang w:val="fr-CH"/>
        </w:rPr>
        <w:t>1</w:t>
      </w:r>
      <w:r w:rsidR="00F430D5" w:rsidRPr="0071782F">
        <w:rPr>
          <w:lang w:val="fr-CH"/>
        </w:rPr>
        <w:t> </w:t>
      </w:r>
      <w:r w:rsidRPr="0071782F">
        <w:rPr>
          <w:lang w:val="fr-CH"/>
        </w:rPr>
        <w:t>350</w:t>
      </w:r>
      <w:r w:rsidR="005B7D55">
        <w:rPr>
          <w:lang w:val="fr-CH"/>
        </w:rPr>
        <w:t> </w:t>
      </w:r>
      <w:r w:rsidRPr="0071782F">
        <w:rPr>
          <w:lang w:val="fr-CH"/>
        </w:rPr>
        <w:t>000</w:t>
      </w:r>
      <w:r w:rsidR="00860D09" w:rsidRPr="0071782F">
        <w:rPr>
          <w:lang w:val="fr-CH"/>
        </w:rPr>
        <w:t> rials</w:t>
      </w:r>
      <w:r w:rsidRPr="0071782F">
        <w:rPr>
          <w:lang w:val="fr-CH"/>
        </w:rPr>
        <w:t xml:space="preserve">, </w:t>
      </w:r>
      <w:r w:rsidR="00F430D5" w:rsidRPr="0071782F">
        <w:rPr>
          <w:lang w:val="fr-CH"/>
        </w:rPr>
        <w:t xml:space="preserve">en augmentation de </w:t>
      </w:r>
      <w:r w:rsidRPr="0071782F">
        <w:rPr>
          <w:lang w:val="fr-CH"/>
        </w:rPr>
        <w:t>15</w:t>
      </w:r>
      <w:r w:rsidR="00F430D5" w:rsidRPr="0071782F">
        <w:rPr>
          <w:lang w:val="fr-CH"/>
        </w:rPr>
        <w:t>,</w:t>
      </w:r>
      <w:r w:rsidRPr="0071782F">
        <w:rPr>
          <w:lang w:val="fr-CH"/>
        </w:rPr>
        <w:t>38</w:t>
      </w:r>
      <w:r w:rsidR="007E5125" w:rsidRPr="0071782F">
        <w:rPr>
          <w:lang w:val="fr-CH"/>
        </w:rPr>
        <w:t>%</w:t>
      </w:r>
      <w:r w:rsidRPr="0071782F">
        <w:rPr>
          <w:lang w:val="fr-CH"/>
        </w:rPr>
        <w:t xml:space="preserve"> </w:t>
      </w:r>
      <w:r w:rsidR="00F430D5" w:rsidRPr="0071782F">
        <w:rPr>
          <w:lang w:val="fr-CH"/>
        </w:rPr>
        <w:t xml:space="preserve">par rapport au chiffre correspondant de </w:t>
      </w:r>
      <w:r w:rsidRPr="0071782F">
        <w:rPr>
          <w:lang w:val="fr-CH"/>
        </w:rPr>
        <w:t xml:space="preserve">2005. </w:t>
      </w:r>
      <w:r w:rsidR="00F430D5" w:rsidRPr="0071782F">
        <w:rPr>
          <w:lang w:val="fr-CH"/>
        </w:rPr>
        <w:t xml:space="preserve">La modification de ce salaire conformément à l’indice des prix à la consommation de biens et de services a porté le salaire mensuel moyen réel à 3 978 </w:t>
      </w:r>
      <w:r w:rsidRPr="0071782F">
        <w:rPr>
          <w:lang w:val="fr-CH"/>
        </w:rPr>
        <w:t>95</w:t>
      </w:r>
      <w:r w:rsidR="00F430D5" w:rsidRPr="0071782F">
        <w:rPr>
          <w:lang w:val="fr-CH"/>
        </w:rPr>
        <w:t>0</w:t>
      </w:r>
      <w:r w:rsidR="00860D09" w:rsidRPr="0071782F">
        <w:rPr>
          <w:lang w:val="fr-CH"/>
        </w:rPr>
        <w:t> rials</w:t>
      </w:r>
      <w:r w:rsidRPr="0071782F">
        <w:rPr>
          <w:lang w:val="fr-CH"/>
        </w:rPr>
        <w:t xml:space="preserve">, </w:t>
      </w:r>
      <w:r w:rsidR="00F430D5" w:rsidRPr="0071782F">
        <w:rPr>
          <w:lang w:val="fr-CH"/>
        </w:rPr>
        <w:t xml:space="preserve">ce qui représente une augmentation de </w:t>
      </w:r>
      <w:r w:rsidRPr="0071782F">
        <w:rPr>
          <w:lang w:val="fr-CH"/>
        </w:rPr>
        <w:t>3</w:t>
      </w:r>
      <w:r w:rsidR="00F430D5" w:rsidRPr="0071782F">
        <w:rPr>
          <w:lang w:val="fr-CH"/>
        </w:rPr>
        <w:t>,</w:t>
      </w:r>
      <w:r w:rsidRPr="0071782F">
        <w:rPr>
          <w:lang w:val="fr-CH"/>
        </w:rPr>
        <w:t>14</w:t>
      </w:r>
      <w:r w:rsidR="007E5125" w:rsidRPr="0071782F">
        <w:rPr>
          <w:lang w:val="fr-CH"/>
        </w:rPr>
        <w:t>%</w:t>
      </w:r>
      <w:r w:rsidRPr="0071782F">
        <w:rPr>
          <w:lang w:val="fr-CH"/>
        </w:rPr>
        <w:t xml:space="preserve"> </w:t>
      </w:r>
      <w:r w:rsidR="00F430D5" w:rsidRPr="0071782F">
        <w:rPr>
          <w:lang w:val="fr-CH"/>
        </w:rPr>
        <w:t>par rapport à l’année antérieure</w:t>
      </w:r>
      <w:r w:rsidRPr="0071782F">
        <w:rPr>
          <w:lang w:val="fr-CH"/>
        </w:rPr>
        <w:t>.</w:t>
      </w:r>
    </w:p>
    <w:p w:rsidR="00DD2B20" w:rsidRPr="0071782F" w:rsidRDefault="00DD2B20" w:rsidP="00DD2B20">
      <w:pPr>
        <w:pStyle w:val="SingleTxtG"/>
        <w:ind w:left="1701" w:hanging="567"/>
        <w:rPr>
          <w:lang w:val="fr-CH"/>
        </w:rPr>
      </w:pPr>
      <w:r w:rsidRPr="0071782F">
        <w:rPr>
          <w:lang w:val="fr-CH"/>
        </w:rPr>
        <w:tab/>
        <w:t>76.6.</w:t>
      </w:r>
      <w:r w:rsidRPr="0071782F">
        <w:rPr>
          <w:lang w:val="fr-CH"/>
        </w:rPr>
        <w:tab/>
      </w:r>
      <w:r w:rsidR="00A41126" w:rsidRPr="0071782F">
        <w:rPr>
          <w:lang w:val="fr-CH"/>
        </w:rPr>
        <w:t>Lors de sa réunion tenue en avril 2008, en présence de représentants des trois groupes (État, employeurs et travailleurs), pour examiner le salaire minimal pour</w:t>
      </w:r>
      <w:r w:rsidR="005B7D55">
        <w:rPr>
          <w:lang w:val="fr-CH"/>
        </w:rPr>
        <w:t> </w:t>
      </w:r>
      <w:r w:rsidR="00A41126" w:rsidRPr="0071782F">
        <w:rPr>
          <w:lang w:val="fr-CH"/>
        </w:rPr>
        <w:t>2009, le Haut Conseil du travail a</w:t>
      </w:r>
      <w:r w:rsidRPr="0071782F">
        <w:rPr>
          <w:lang w:val="fr-CH"/>
        </w:rPr>
        <w:t xml:space="preserve">, </w:t>
      </w:r>
      <w:r w:rsidR="00A41126" w:rsidRPr="0071782F">
        <w:rPr>
          <w:lang w:val="fr-CH"/>
        </w:rPr>
        <w:t xml:space="preserve">conformément aux dispositions de </w:t>
      </w:r>
      <w:r w:rsidR="00723F2B" w:rsidRPr="0071782F">
        <w:rPr>
          <w:lang w:val="fr-CH"/>
        </w:rPr>
        <w:t>l’</w:t>
      </w:r>
      <w:r w:rsidR="00943A69" w:rsidRPr="0071782F">
        <w:rPr>
          <w:lang w:val="fr-CH"/>
        </w:rPr>
        <w:t>article </w:t>
      </w:r>
      <w:r w:rsidRPr="0071782F">
        <w:rPr>
          <w:lang w:val="fr-CH"/>
        </w:rPr>
        <w:t xml:space="preserve">41 </w:t>
      </w:r>
      <w:r w:rsidR="00A41126" w:rsidRPr="0071782F">
        <w:rPr>
          <w:lang w:val="fr-CH"/>
        </w:rPr>
        <w:t xml:space="preserve">du Code du travail relatives à la nécessité de prendre en considération les intérêts supérieurs des travailleurs et la capacité économique des employeurs (entreprises et </w:t>
      </w:r>
      <w:r w:rsidRPr="0071782F">
        <w:rPr>
          <w:lang w:val="fr-CH"/>
        </w:rPr>
        <w:t xml:space="preserve">industries) </w:t>
      </w:r>
      <w:r w:rsidR="00A41126" w:rsidRPr="0071782F">
        <w:rPr>
          <w:lang w:val="fr-CH"/>
        </w:rPr>
        <w:t>et la situation économique du pays, décidé ce qui suit</w:t>
      </w:r>
      <w:r w:rsidR="008F7D33" w:rsidRPr="0071782F">
        <w:rPr>
          <w:lang w:val="fr-CH"/>
        </w:rPr>
        <w:t>:</w:t>
      </w:r>
      <w:r w:rsidR="00A41126" w:rsidRPr="0071782F">
        <w:rPr>
          <w:lang w:val="fr-CH"/>
        </w:rPr>
        <w:t xml:space="preserve"> </w:t>
      </w:r>
    </w:p>
    <w:p w:rsidR="00DD2B20" w:rsidRPr="0071782F" w:rsidRDefault="00DD2B20" w:rsidP="00DD2B20">
      <w:pPr>
        <w:pStyle w:val="SingleTxtG"/>
        <w:ind w:left="1701" w:hanging="567"/>
        <w:rPr>
          <w:lang w:val="fr-CH"/>
        </w:rPr>
      </w:pPr>
      <w:r w:rsidRPr="0071782F">
        <w:rPr>
          <w:lang w:val="fr-CH"/>
        </w:rPr>
        <w:tab/>
        <w:t>76.7.</w:t>
      </w:r>
      <w:r w:rsidRPr="0071782F">
        <w:rPr>
          <w:lang w:val="fr-CH"/>
        </w:rPr>
        <w:tab/>
      </w:r>
      <w:r w:rsidR="00157958" w:rsidRPr="0071782F">
        <w:rPr>
          <w:lang w:val="fr-CH"/>
        </w:rPr>
        <w:t xml:space="preserve">Le salaire journalier minimal, fixé au même niveau pour tous les travailleurs couverts par le Code du travail (travailleurs permanents ou sous contrat de travail temporaire), est égal à 87 </w:t>
      </w:r>
      <w:r w:rsidRPr="0071782F">
        <w:rPr>
          <w:lang w:val="fr-CH"/>
        </w:rPr>
        <w:t>840</w:t>
      </w:r>
      <w:r w:rsidR="00860D09" w:rsidRPr="0071782F">
        <w:rPr>
          <w:lang w:val="fr-CH"/>
        </w:rPr>
        <w:t> rials</w:t>
      </w:r>
      <w:r w:rsidRPr="0071782F">
        <w:rPr>
          <w:lang w:val="fr-CH"/>
        </w:rPr>
        <w:t xml:space="preserve"> </w:t>
      </w:r>
      <w:r w:rsidR="00157958" w:rsidRPr="0071782F">
        <w:rPr>
          <w:lang w:val="fr-CH"/>
        </w:rPr>
        <w:t xml:space="preserve">à compter du début de la nouvelle année civile iranienne </w:t>
      </w:r>
      <w:r w:rsidRPr="0071782F">
        <w:rPr>
          <w:lang w:val="fr-CH"/>
        </w:rPr>
        <w:t>(</w:t>
      </w:r>
      <w:r w:rsidR="00157958" w:rsidRPr="0071782F">
        <w:rPr>
          <w:lang w:val="fr-CH"/>
        </w:rPr>
        <w:t xml:space="preserve">mars </w:t>
      </w:r>
      <w:r w:rsidRPr="0071782F">
        <w:rPr>
          <w:lang w:val="fr-CH"/>
        </w:rPr>
        <w:t>2009).</w:t>
      </w:r>
    </w:p>
    <w:p w:rsidR="00DD2B20" w:rsidRPr="0071782F" w:rsidRDefault="00DD2B20" w:rsidP="00DD2B20">
      <w:pPr>
        <w:pStyle w:val="SingleTxtG"/>
        <w:ind w:left="1701" w:hanging="567"/>
        <w:rPr>
          <w:lang w:val="fr-CH"/>
        </w:rPr>
      </w:pPr>
      <w:r w:rsidRPr="0071782F">
        <w:rPr>
          <w:lang w:val="fr-CH"/>
        </w:rPr>
        <w:tab/>
        <w:t>76.8.</w:t>
      </w:r>
      <w:r w:rsidRPr="0071782F">
        <w:rPr>
          <w:lang w:val="fr-CH"/>
        </w:rPr>
        <w:tab/>
      </w:r>
      <w:r w:rsidR="000B7B15" w:rsidRPr="0071782F">
        <w:rPr>
          <w:lang w:val="fr-CH"/>
        </w:rPr>
        <w:t xml:space="preserve">Les travailleurs ayant accompli une année de service en 2009 ou ceux dont le salaire de base annuel n’a pas été augmenté depuis un an toucheront un complément de </w:t>
      </w:r>
      <w:r w:rsidRPr="0071782F">
        <w:rPr>
          <w:lang w:val="fr-CH"/>
        </w:rPr>
        <w:t>1</w:t>
      </w:r>
      <w:r w:rsidR="005B7D55">
        <w:rPr>
          <w:lang w:val="fr-CH"/>
        </w:rPr>
        <w:t> </w:t>
      </w:r>
      <w:r w:rsidRPr="0071782F">
        <w:rPr>
          <w:lang w:val="fr-CH"/>
        </w:rPr>
        <w:t>250</w:t>
      </w:r>
      <w:r w:rsidR="00860D09" w:rsidRPr="0071782F">
        <w:rPr>
          <w:lang w:val="fr-CH"/>
        </w:rPr>
        <w:t> rials</w:t>
      </w:r>
      <w:r w:rsidRPr="0071782F">
        <w:rPr>
          <w:lang w:val="fr-CH"/>
        </w:rPr>
        <w:t xml:space="preserve"> </w:t>
      </w:r>
      <w:r w:rsidR="000B7B15" w:rsidRPr="0071782F">
        <w:rPr>
          <w:lang w:val="fr-CH"/>
        </w:rPr>
        <w:t>au titre de l’accroissement annuel du salaire de base</w:t>
      </w:r>
      <w:r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r>
      <w:r w:rsidR="000B7B15" w:rsidRPr="0071782F">
        <w:rPr>
          <w:lang w:val="fr-CH"/>
        </w:rPr>
        <w:t xml:space="preserve">Sécurité sur le lieu de travail </w:t>
      </w:r>
    </w:p>
    <w:p w:rsidR="00DD2B20" w:rsidRPr="0071782F" w:rsidRDefault="00DD2B20" w:rsidP="00DD2B20">
      <w:pPr>
        <w:pStyle w:val="SingleTxtG"/>
        <w:rPr>
          <w:lang w:val="fr-CH"/>
        </w:rPr>
      </w:pPr>
      <w:r w:rsidRPr="0071782F">
        <w:rPr>
          <w:lang w:val="fr-CH"/>
        </w:rPr>
        <w:t>77.</w:t>
      </w:r>
      <w:r w:rsidRPr="0071782F">
        <w:rPr>
          <w:lang w:val="fr-CH"/>
        </w:rPr>
        <w:tab/>
      </w:r>
      <w:r w:rsidR="000B7B15" w:rsidRPr="0071782F">
        <w:rPr>
          <w:lang w:val="fr-CH"/>
        </w:rPr>
        <w:t xml:space="preserve">Le chapitre </w:t>
      </w:r>
      <w:r w:rsidRPr="0071782F">
        <w:rPr>
          <w:lang w:val="fr-CH"/>
        </w:rPr>
        <w:t xml:space="preserve">4 </w:t>
      </w:r>
      <w:r w:rsidR="000B7B15" w:rsidRPr="0071782F">
        <w:rPr>
          <w:lang w:val="fr-CH"/>
        </w:rPr>
        <w:t>du Code du travail prévoit l’obligation, pour tous les lieux de travail et employeurs, de se conformer à toutes les mesures de protection et de sécurité.</w:t>
      </w:r>
    </w:p>
    <w:p w:rsidR="00DD2B20" w:rsidRPr="0071782F" w:rsidRDefault="00DD2B20" w:rsidP="00DD2B20">
      <w:pPr>
        <w:pStyle w:val="SingleTxtG"/>
        <w:ind w:left="1701"/>
        <w:rPr>
          <w:lang w:val="fr-CH"/>
        </w:rPr>
      </w:pPr>
      <w:r w:rsidRPr="0071782F">
        <w:rPr>
          <w:lang w:val="fr-CH"/>
        </w:rPr>
        <w:t>77.1.</w:t>
      </w:r>
      <w:r w:rsidRPr="0071782F">
        <w:rPr>
          <w:lang w:val="fr-CH"/>
        </w:rPr>
        <w:tab/>
      </w:r>
      <w:r w:rsidR="000B7B15" w:rsidRPr="0071782F">
        <w:rPr>
          <w:lang w:val="fr-CH"/>
        </w:rPr>
        <w:t>De surcroît</w:t>
      </w:r>
      <w:r w:rsidRPr="0071782F">
        <w:rPr>
          <w:lang w:val="fr-CH"/>
        </w:rPr>
        <w:t xml:space="preserve">, </w:t>
      </w:r>
      <w:r w:rsidR="00723F2B" w:rsidRPr="0071782F">
        <w:rPr>
          <w:lang w:val="fr-CH"/>
        </w:rPr>
        <w:t>l’</w:t>
      </w:r>
      <w:r w:rsidR="00943A69" w:rsidRPr="0071782F">
        <w:rPr>
          <w:lang w:val="fr-CH"/>
        </w:rPr>
        <w:t>article </w:t>
      </w:r>
      <w:r w:rsidRPr="0071782F">
        <w:rPr>
          <w:lang w:val="fr-CH"/>
        </w:rPr>
        <w:t xml:space="preserve">85 </w:t>
      </w:r>
      <w:r w:rsidR="000B7B15" w:rsidRPr="0071782F">
        <w:rPr>
          <w:lang w:val="fr-CH"/>
        </w:rPr>
        <w:t>du Code fait également référence à la nécessité de respecter les mesures de sécurité technique dans les ateliers familiaux, qui ne sont pas couverts par les dispositions du Code du travail.</w:t>
      </w:r>
    </w:p>
    <w:p w:rsidR="00DD2B20" w:rsidRPr="0071782F" w:rsidRDefault="00DD2B20" w:rsidP="00DD2B20">
      <w:pPr>
        <w:pStyle w:val="H1G"/>
        <w:rPr>
          <w:lang w:val="fr-CH"/>
        </w:rPr>
      </w:pPr>
      <w:r w:rsidRPr="0071782F">
        <w:rPr>
          <w:lang w:val="fr-CH"/>
        </w:rPr>
        <w:tab/>
      </w:r>
      <w:r w:rsidRPr="0071782F">
        <w:rPr>
          <w:lang w:val="fr-CH"/>
        </w:rPr>
        <w:tab/>
      </w:r>
      <w:r w:rsidR="000B7B15" w:rsidRPr="0071782F">
        <w:rPr>
          <w:lang w:val="fr-CH"/>
        </w:rPr>
        <w:t xml:space="preserve">Dispositions relatives aux congés et à la journée de travail </w:t>
      </w:r>
    </w:p>
    <w:p w:rsidR="00DD2B20" w:rsidRPr="0071782F" w:rsidRDefault="00DD2B20" w:rsidP="00DD2B20">
      <w:pPr>
        <w:pStyle w:val="SingleTxtG"/>
        <w:rPr>
          <w:lang w:val="fr-CH"/>
        </w:rPr>
      </w:pPr>
      <w:r w:rsidRPr="0071782F">
        <w:rPr>
          <w:lang w:val="fr-CH"/>
        </w:rPr>
        <w:t>78.</w:t>
      </w:r>
      <w:r w:rsidRPr="0071782F">
        <w:rPr>
          <w:lang w:val="fr-CH"/>
        </w:rPr>
        <w:tab/>
      </w:r>
      <w:r w:rsidR="000B7B15" w:rsidRPr="0071782F">
        <w:rPr>
          <w:lang w:val="fr-CH"/>
        </w:rPr>
        <w:t xml:space="preserve">Conformément aux dispositions du Code du travail et aux règlements correspondants, le nombre d’heures de travail maximal est de 44 par semaine </w:t>
      </w:r>
      <w:r w:rsidRPr="0071782F">
        <w:rPr>
          <w:lang w:val="fr-CH"/>
        </w:rPr>
        <w:t>(36</w:t>
      </w:r>
      <w:r w:rsidR="000B7B15" w:rsidRPr="0071782F">
        <w:rPr>
          <w:lang w:val="fr-CH"/>
        </w:rPr>
        <w:t xml:space="preserve"> dans le cas de travaux pénibles ou difficiles</w:t>
      </w:r>
      <w:r w:rsidRPr="0071782F">
        <w:rPr>
          <w:lang w:val="fr-CH"/>
        </w:rPr>
        <w:t xml:space="preserve">). </w:t>
      </w:r>
      <w:r w:rsidR="000B7B15" w:rsidRPr="0071782F">
        <w:rPr>
          <w:lang w:val="fr-CH"/>
        </w:rPr>
        <w:t>Les travailleurs couverts par le Code du travail ont droit à des congés rémunérés au titre du repos hebdomadaire et des jours fériés officiels, ainsi qu’à un</w:t>
      </w:r>
      <w:r w:rsidR="001F3F05" w:rsidRPr="0071782F">
        <w:rPr>
          <w:lang w:val="fr-CH"/>
        </w:rPr>
        <w:t> mois</w:t>
      </w:r>
      <w:r w:rsidR="000B7B15" w:rsidRPr="0071782F">
        <w:rPr>
          <w:lang w:val="fr-CH"/>
        </w:rPr>
        <w:t xml:space="preserve"> de congés annuels payés</w:t>
      </w:r>
      <w:r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r>
      <w:r w:rsidR="000B7B15" w:rsidRPr="0071782F">
        <w:rPr>
          <w:lang w:val="fr-CH"/>
        </w:rPr>
        <w:t xml:space="preserve">Politiques et stratégies générales relatives à la santé au travail et à la sécurité du travail </w:t>
      </w:r>
    </w:p>
    <w:p w:rsidR="00DD2B20" w:rsidRPr="0071782F" w:rsidRDefault="00DD2B20" w:rsidP="00DD2B20">
      <w:pPr>
        <w:pStyle w:val="SingleTxtG"/>
        <w:rPr>
          <w:lang w:val="fr-CH"/>
        </w:rPr>
      </w:pPr>
      <w:r w:rsidRPr="0071782F">
        <w:rPr>
          <w:lang w:val="fr-CH"/>
        </w:rPr>
        <w:t>79.</w:t>
      </w:r>
      <w:r w:rsidRPr="0071782F">
        <w:rPr>
          <w:lang w:val="fr-CH"/>
        </w:rPr>
        <w:tab/>
      </w:r>
      <w:r w:rsidR="00A26568" w:rsidRPr="0071782F">
        <w:rPr>
          <w:lang w:val="fr-CH"/>
        </w:rPr>
        <w:t xml:space="preserve">Conformément aux dispositions du Code du travail et aux </w:t>
      </w:r>
      <w:r w:rsidRPr="0071782F">
        <w:rPr>
          <w:lang w:val="fr-CH"/>
        </w:rPr>
        <w:t xml:space="preserve">directives </w:t>
      </w:r>
      <w:r w:rsidR="00A26568" w:rsidRPr="0071782F">
        <w:rPr>
          <w:lang w:val="fr-CH"/>
        </w:rPr>
        <w:t>relatives à la santé au travail et à la sécurité du travail</w:t>
      </w:r>
      <w:r w:rsidRPr="0071782F">
        <w:rPr>
          <w:lang w:val="fr-CH"/>
        </w:rPr>
        <w:t xml:space="preserve">, </w:t>
      </w:r>
      <w:r w:rsidR="00A26568" w:rsidRPr="0071782F">
        <w:rPr>
          <w:lang w:val="fr-CH"/>
        </w:rPr>
        <w:t>les mesures ci-après doivent être adoptées</w:t>
      </w:r>
      <w:r w:rsidRPr="0071782F">
        <w:rPr>
          <w:lang w:val="fr-CH"/>
        </w:rPr>
        <w:t>.</w:t>
      </w:r>
    </w:p>
    <w:p w:rsidR="00DD2B20" w:rsidRPr="0071782F" w:rsidRDefault="00DD2B20" w:rsidP="00DD2B20">
      <w:pPr>
        <w:pStyle w:val="SingleTxtG"/>
        <w:ind w:left="1701" w:hanging="567"/>
        <w:rPr>
          <w:lang w:val="fr-CH"/>
        </w:rPr>
      </w:pPr>
      <w:r w:rsidRPr="0071782F">
        <w:rPr>
          <w:lang w:val="fr-CH"/>
        </w:rPr>
        <w:tab/>
        <w:t>79.1.</w:t>
      </w:r>
      <w:r w:rsidRPr="0071782F">
        <w:rPr>
          <w:lang w:val="fr-CH"/>
        </w:rPr>
        <w:tab/>
      </w:r>
      <w:r w:rsidR="00096F25" w:rsidRPr="0071782F">
        <w:rPr>
          <w:lang w:val="fr-CH"/>
        </w:rPr>
        <w:t>Mettre en place un mécanisme permettant de recourir aux services de spécialistes en vue de promouvoir une culture de la santé au travail et de la sécurité du travail</w:t>
      </w:r>
      <w:r w:rsidR="006E51F0" w:rsidRPr="0071782F">
        <w:rPr>
          <w:lang w:val="fr-CH"/>
        </w:rPr>
        <w:t>.</w:t>
      </w:r>
    </w:p>
    <w:p w:rsidR="00DD2B20" w:rsidRPr="0071782F" w:rsidRDefault="00096F25" w:rsidP="00DD2B20">
      <w:pPr>
        <w:pStyle w:val="SingleTxtG"/>
        <w:ind w:left="1701" w:hanging="567"/>
        <w:rPr>
          <w:lang w:val="fr-CH"/>
        </w:rPr>
      </w:pPr>
      <w:r w:rsidRPr="0071782F">
        <w:rPr>
          <w:lang w:val="fr-CH"/>
        </w:rPr>
        <w:tab/>
        <w:t>79.2.</w:t>
      </w:r>
      <w:r w:rsidRPr="0071782F">
        <w:rPr>
          <w:lang w:val="fr-CH"/>
        </w:rPr>
        <w:tab/>
        <w:t>Formuler une stratégie détaillée de recherche sur la santé au travail et la sécurité du travail</w:t>
      </w:r>
      <w:r w:rsidR="006E51F0" w:rsidRPr="0071782F">
        <w:rPr>
          <w:lang w:val="fr-CH"/>
        </w:rPr>
        <w:t>.</w:t>
      </w:r>
    </w:p>
    <w:p w:rsidR="00DD2B20" w:rsidRPr="0071782F" w:rsidRDefault="00DD2B20" w:rsidP="00DD2B20">
      <w:pPr>
        <w:pStyle w:val="SingleTxtG"/>
        <w:ind w:left="1701" w:hanging="567"/>
        <w:rPr>
          <w:lang w:val="fr-CH"/>
        </w:rPr>
      </w:pPr>
      <w:r w:rsidRPr="0071782F">
        <w:rPr>
          <w:lang w:val="fr-CH"/>
        </w:rPr>
        <w:tab/>
        <w:t>79.3.</w:t>
      </w:r>
      <w:r w:rsidRPr="0071782F">
        <w:rPr>
          <w:lang w:val="fr-CH"/>
        </w:rPr>
        <w:tab/>
        <w:t>D</w:t>
      </w:r>
      <w:r w:rsidR="00096F25" w:rsidRPr="0071782F">
        <w:rPr>
          <w:lang w:val="fr-CH"/>
        </w:rPr>
        <w:t xml:space="preserve">évelopper les </w:t>
      </w:r>
      <w:r w:rsidRPr="0071782F">
        <w:rPr>
          <w:lang w:val="fr-CH"/>
        </w:rPr>
        <w:t xml:space="preserve">infrastructures </w:t>
      </w:r>
      <w:r w:rsidR="00096F25" w:rsidRPr="0071782F">
        <w:rPr>
          <w:lang w:val="fr-CH"/>
        </w:rPr>
        <w:t>scientifiques du pays et sa participation à la production de connaissances dans les domaines connexes</w:t>
      </w:r>
      <w:r w:rsidR="006E51F0" w:rsidRPr="0071782F">
        <w:rPr>
          <w:lang w:val="fr-CH"/>
        </w:rPr>
        <w:t>.</w:t>
      </w:r>
    </w:p>
    <w:p w:rsidR="00DD2B20" w:rsidRPr="0071782F" w:rsidRDefault="00DD2B20" w:rsidP="00DD2B20">
      <w:pPr>
        <w:pStyle w:val="SingleTxtG"/>
        <w:ind w:left="1701" w:hanging="567"/>
        <w:rPr>
          <w:lang w:val="fr-CH"/>
        </w:rPr>
      </w:pPr>
      <w:r w:rsidRPr="0071782F">
        <w:rPr>
          <w:lang w:val="fr-CH"/>
        </w:rPr>
        <w:tab/>
        <w:t>79.4.</w:t>
      </w:r>
      <w:r w:rsidRPr="0071782F">
        <w:rPr>
          <w:lang w:val="fr-CH"/>
        </w:rPr>
        <w:tab/>
      </w:r>
      <w:r w:rsidR="00096F25" w:rsidRPr="0071782F">
        <w:rPr>
          <w:lang w:val="fr-CH"/>
        </w:rPr>
        <w:t>Développer et faciliter l’accès des chercheurs aux ressources scientifiques et aux centres de recherche dans les domaines connexes</w:t>
      </w:r>
      <w:r w:rsidR="006E51F0" w:rsidRPr="0071782F">
        <w:rPr>
          <w:lang w:val="fr-CH"/>
        </w:rPr>
        <w:t>.</w:t>
      </w:r>
    </w:p>
    <w:p w:rsidR="00DD2B20" w:rsidRPr="0071782F" w:rsidRDefault="00DD2B20" w:rsidP="00DD2B20">
      <w:pPr>
        <w:pStyle w:val="SingleTxtG"/>
        <w:ind w:left="1701" w:hanging="567"/>
        <w:rPr>
          <w:lang w:val="fr-CH"/>
        </w:rPr>
      </w:pPr>
      <w:r w:rsidRPr="0071782F">
        <w:rPr>
          <w:lang w:val="fr-CH"/>
        </w:rPr>
        <w:tab/>
        <w:t>79.5.</w:t>
      </w:r>
      <w:r w:rsidRPr="0071782F">
        <w:rPr>
          <w:lang w:val="fr-CH"/>
        </w:rPr>
        <w:tab/>
      </w:r>
      <w:r w:rsidR="00096F25" w:rsidRPr="0071782F">
        <w:rPr>
          <w:lang w:val="fr-CH"/>
        </w:rPr>
        <w:t>Associer des spé</w:t>
      </w:r>
      <w:r w:rsidRPr="0071782F">
        <w:rPr>
          <w:lang w:val="fr-CH"/>
        </w:rPr>
        <w:t>cialist</w:t>
      </w:r>
      <w:r w:rsidR="00096F25" w:rsidRPr="0071782F">
        <w:rPr>
          <w:lang w:val="fr-CH"/>
        </w:rPr>
        <w:t>e</w:t>
      </w:r>
      <w:r w:rsidRPr="0071782F">
        <w:rPr>
          <w:lang w:val="fr-CH"/>
        </w:rPr>
        <w:t xml:space="preserve">s </w:t>
      </w:r>
      <w:r w:rsidR="00096F25" w:rsidRPr="0071782F">
        <w:rPr>
          <w:lang w:val="fr-CH"/>
        </w:rPr>
        <w:t>au processus d’élaboration de politiques et de prise de décisions</w:t>
      </w:r>
      <w:r w:rsidR="006E51F0" w:rsidRPr="0071782F">
        <w:rPr>
          <w:lang w:val="fr-CH"/>
        </w:rPr>
        <w:t>.</w:t>
      </w:r>
    </w:p>
    <w:p w:rsidR="00DD2B20" w:rsidRPr="0071782F" w:rsidRDefault="00DD2B20" w:rsidP="00DD2B20">
      <w:pPr>
        <w:pStyle w:val="SingleTxtG"/>
        <w:ind w:left="1701" w:hanging="567"/>
        <w:rPr>
          <w:lang w:val="fr-CH"/>
        </w:rPr>
      </w:pPr>
      <w:r w:rsidRPr="0071782F">
        <w:rPr>
          <w:lang w:val="fr-CH"/>
        </w:rPr>
        <w:tab/>
        <w:t>79.6.</w:t>
      </w:r>
      <w:r w:rsidRPr="0071782F">
        <w:rPr>
          <w:lang w:val="fr-CH"/>
        </w:rPr>
        <w:tab/>
      </w:r>
      <w:r w:rsidR="00A26431" w:rsidRPr="0071782F">
        <w:rPr>
          <w:lang w:val="fr-CH"/>
        </w:rPr>
        <w:t>Ouvrir un centre scientifique et de recherche appelé à émettre de nouvelles théories et idées, et à former des spécialistes de la santé au travail et de la sécurité du travail</w:t>
      </w:r>
      <w:r w:rsidR="006E51F0" w:rsidRPr="0071782F">
        <w:rPr>
          <w:lang w:val="fr-CH"/>
        </w:rPr>
        <w:t>.</w:t>
      </w:r>
    </w:p>
    <w:p w:rsidR="00DD2B20" w:rsidRPr="0071782F" w:rsidRDefault="00DD2B20" w:rsidP="00DD2B20">
      <w:pPr>
        <w:pStyle w:val="SingleTxtG"/>
        <w:ind w:left="1701" w:hanging="567"/>
        <w:rPr>
          <w:lang w:val="fr-CH"/>
        </w:rPr>
      </w:pPr>
      <w:r w:rsidRPr="0071782F">
        <w:rPr>
          <w:lang w:val="fr-CH"/>
        </w:rPr>
        <w:tab/>
        <w:t>79.7.</w:t>
      </w:r>
      <w:r w:rsidRPr="0071782F">
        <w:rPr>
          <w:lang w:val="fr-CH"/>
        </w:rPr>
        <w:tab/>
        <w:t>Facilit</w:t>
      </w:r>
      <w:r w:rsidR="00A26431" w:rsidRPr="0071782F">
        <w:rPr>
          <w:lang w:val="fr-CH"/>
        </w:rPr>
        <w:t>er l’exécution de projets de recherche et rationaliser le système de formation à la santé au travail et à la sécurité du travail</w:t>
      </w:r>
      <w:r w:rsidR="006E51F0" w:rsidRPr="0071782F">
        <w:rPr>
          <w:lang w:val="fr-CH"/>
        </w:rPr>
        <w:t>.</w:t>
      </w:r>
    </w:p>
    <w:p w:rsidR="00DD2B20" w:rsidRPr="0071782F" w:rsidRDefault="00DD2B20" w:rsidP="00DD2B20">
      <w:pPr>
        <w:pStyle w:val="SingleTxtG"/>
        <w:ind w:left="1701" w:hanging="567"/>
        <w:rPr>
          <w:lang w:val="fr-CH"/>
        </w:rPr>
      </w:pPr>
      <w:r w:rsidRPr="0071782F">
        <w:rPr>
          <w:lang w:val="fr-CH"/>
        </w:rPr>
        <w:tab/>
        <w:t>79.8.</w:t>
      </w:r>
      <w:r w:rsidRPr="0071782F">
        <w:rPr>
          <w:lang w:val="fr-CH"/>
        </w:rPr>
        <w:tab/>
      </w:r>
      <w:r w:rsidR="004F055E" w:rsidRPr="0071782F">
        <w:rPr>
          <w:lang w:val="fr-CH"/>
        </w:rPr>
        <w:t>Recourir aux services de professeurs d’université</w:t>
      </w:r>
      <w:r w:rsidRPr="0071782F">
        <w:rPr>
          <w:lang w:val="fr-CH"/>
        </w:rPr>
        <w:t xml:space="preserve"> </w:t>
      </w:r>
      <w:r w:rsidR="004F055E" w:rsidRPr="0071782F">
        <w:rPr>
          <w:lang w:val="fr-CH"/>
        </w:rPr>
        <w:t>et de spécialistes de la santé au travail et de la sécurité du travail pour répondre aux besoins des milieux d’affaires et industriels en fonction des priorités stratégiques du pays</w:t>
      </w:r>
      <w:r w:rsidR="006E51F0" w:rsidRPr="0071782F">
        <w:rPr>
          <w:lang w:val="fr-CH"/>
        </w:rPr>
        <w:t>.</w:t>
      </w:r>
    </w:p>
    <w:p w:rsidR="00DD2B20" w:rsidRPr="0071782F" w:rsidRDefault="00DD2B20" w:rsidP="00DD2B20">
      <w:pPr>
        <w:pStyle w:val="SingleTxtG"/>
        <w:ind w:left="1701" w:hanging="567"/>
        <w:rPr>
          <w:lang w:val="fr-CH"/>
        </w:rPr>
      </w:pPr>
      <w:r w:rsidRPr="0071782F">
        <w:rPr>
          <w:lang w:val="fr-CH"/>
        </w:rPr>
        <w:tab/>
        <w:t>79.9.</w:t>
      </w:r>
      <w:r w:rsidRPr="0071782F">
        <w:rPr>
          <w:lang w:val="fr-CH"/>
        </w:rPr>
        <w:tab/>
        <w:t>D</w:t>
      </w:r>
      <w:r w:rsidR="00AC424B" w:rsidRPr="0071782F">
        <w:rPr>
          <w:lang w:val="fr-CH"/>
        </w:rPr>
        <w:t>écentraliser et élargir les activités des instituts de recherche en ouvrant des centres de recherche spécialisés dans la santé au travail et la sécurité du travail dans les pôles industriels du pays;</w:t>
      </w:r>
      <w:r w:rsidRPr="0071782F">
        <w:rPr>
          <w:lang w:val="fr-CH"/>
        </w:rPr>
        <w:t xml:space="preserve"> </w:t>
      </w:r>
      <w:r w:rsidR="00AC424B" w:rsidRPr="0071782F">
        <w:rPr>
          <w:lang w:val="fr-CH"/>
        </w:rPr>
        <w:t>en application de cette politique, quatre centres de recherche spécialisés dans les secteurs ci-après ont été créés l’an dernier dans quatre pôles industriels</w:t>
      </w:r>
      <w:r w:rsidRPr="0071782F">
        <w:rPr>
          <w:lang w:val="fr-CH"/>
        </w:rPr>
        <w:t>.</w:t>
      </w:r>
    </w:p>
    <w:p w:rsidR="00DD2B20" w:rsidRPr="0071782F" w:rsidRDefault="00DD2B20" w:rsidP="00DD2B20">
      <w:pPr>
        <w:pStyle w:val="SingleTxtG"/>
        <w:ind w:left="2268" w:hanging="1134"/>
        <w:rPr>
          <w:lang w:val="fr-CH"/>
        </w:rPr>
      </w:pPr>
      <w:r w:rsidRPr="0071782F">
        <w:rPr>
          <w:lang w:val="fr-CH"/>
        </w:rPr>
        <w:tab/>
      </w:r>
      <w:r w:rsidR="001943A0" w:rsidRPr="0071782F">
        <w:rPr>
          <w:lang w:val="fr-CH"/>
        </w:rPr>
        <w:t xml:space="preserve">79.9.1. </w:t>
      </w:r>
      <w:r w:rsidR="00AC424B" w:rsidRPr="0071782F">
        <w:rPr>
          <w:lang w:val="fr-CH"/>
        </w:rPr>
        <w:t xml:space="preserve">Le Centre de recherche sur la santé au travail et la sécurité du travail du nord-est </w:t>
      </w:r>
      <w:r w:rsidRPr="0071782F">
        <w:rPr>
          <w:lang w:val="fr-CH"/>
        </w:rPr>
        <w:t>(</w:t>
      </w:r>
      <w:r w:rsidR="00AC424B" w:rsidRPr="0071782F">
        <w:rPr>
          <w:lang w:val="fr-CH"/>
        </w:rPr>
        <w:t xml:space="preserve">province de </w:t>
      </w:r>
      <w:r w:rsidRPr="0071782F">
        <w:rPr>
          <w:lang w:val="fr-CH"/>
        </w:rPr>
        <w:t>Khorasan-e-Razavi)</w:t>
      </w:r>
      <w:r w:rsidR="00AC424B" w:rsidRPr="0071782F">
        <w:rPr>
          <w:lang w:val="fr-CH"/>
        </w:rPr>
        <w:t>, spécialisé dans l’industrie alimentaire</w:t>
      </w:r>
      <w:r w:rsidR="006E51F0" w:rsidRPr="0071782F">
        <w:rPr>
          <w:lang w:val="fr-CH"/>
        </w:rPr>
        <w:t>.</w:t>
      </w:r>
    </w:p>
    <w:p w:rsidR="00DD2B20" w:rsidRPr="0071782F" w:rsidRDefault="00DD2B20" w:rsidP="00DD2B20">
      <w:pPr>
        <w:pStyle w:val="SingleTxtG"/>
        <w:ind w:left="2268" w:hanging="1134"/>
        <w:rPr>
          <w:lang w:val="fr-CH"/>
        </w:rPr>
      </w:pPr>
      <w:r w:rsidRPr="0071782F">
        <w:rPr>
          <w:lang w:val="fr-CH"/>
        </w:rPr>
        <w:tab/>
        <w:t>79.9.2.</w:t>
      </w:r>
      <w:r w:rsidR="001943A0" w:rsidRPr="0071782F">
        <w:rPr>
          <w:lang w:val="fr-CH"/>
        </w:rPr>
        <w:t xml:space="preserve"> </w:t>
      </w:r>
      <w:r w:rsidR="00AC424B" w:rsidRPr="0071782F">
        <w:rPr>
          <w:lang w:val="fr-CH"/>
        </w:rPr>
        <w:t xml:space="preserve">Le Centre de recherche sur la santé au travail et la sécurité du travail du sud-est (province de </w:t>
      </w:r>
      <w:r w:rsidRPr="0071782F">
        <w:rPr>
          <w:lang w:val="fr-CH"/>
        </w:rPr>
        <w:t>Kerman)</w:t>
      </w:r>
      <w:r w:rsidR="00AC424B" w:rsidRPr="0071782F">
        <w:rPr>
          <w:lang w:val="fr-CH"/>
        </w:rPr>
        <w:t>, spécialisé dans l’industrie minière</w:t>
      </w:r>
      <w:r w:rsidR="006E51F0" w:rsidRPr="0071782F">
        <w:rPr>
          <w:lang w:val="fr-CH"/>
        </w:rPr>
        <w:t>.</w:t>
      </w:r>
    </w:p>
    <w:p w:rsidR="00DD2B20" w:rsidRPr="0071782F" w:rsidRDefault="00DD2B20" w:rsidP="00DD2B20">
      <w:pPr>
        <w:pStyle w:val="SingleTxtG"/>
        <w:ind w:left="2268" w:hanging="1134"/>
        <w:rPr>
          <w:lang w:val="fr-CH"/>
        </w:rPr>
      </w:pPr>
      <w:r w:rsidRPr="0071782F">
        <w:rPr>
          <w:lang w:val="fr-CH"/>
        </w:rPr>
        <w:tab/>
      </w:r>
      <w:r w:rsidR="001943A0" w:rsidRPr="0071782F">
        <w:rPr>
          <w:lang w:val="fr-CH"/>
        </w:rPr>
        <w:t xml:space="preserve">79.9.3. </w:t>
      </w:r>
      <w:r w:rsidR="00AC424B" w:rsidRPr="0071782F">
        <w:rPr>
          <w:lang w:val="fr-CH"/>
        </w:rPr>
        <w:t>Le Centre de recherche sur la santé au travail et la sécurité du travail du nord-ouest (province de l’</w:t>
      </w:r>
      <w:r w:rsidRPr="0071782F">
        <w:rPr>
          <w:lang w:val="fr-CH"/>
        </w:rPr>
        <w:t>Azerba</w:t>
      </w:r>
      <w:r w:rsidR="00AC424B" w:rsidRPr="0071782F">
        <w:rPr>
          <w:lang w:val="fr-CH"/>
        </w:rPr>
        <w:t>ïdjan oriental</w:t>
      </w:r>
      <w:r w:rsidRPr="0071782F">
        <w:rPr>
          <w:lang w:val="fr-CH"/>
        </w:rPr>
        <w:t>)</w:t>
      </w:r>
      <w:r w:rsidR="00AC424B" w:rsidRPr="0071782F">
        <w:rPr>
          <w:lang w:val="fr-CH"/>
        </w:rPr>
        <w:t>, spécialisé dans les machines lourdes</w:t>
      </w:r>
      <w:r w:rsidR="002231E8" w:rsidRPr="0071782F">
        <w:rPr>
          <w:lang w:val="fr-CH"/>
        </w:rPr>
        <w:t>.</w:t>
      </w:r>
    </w:p>
    <w:p w:rsidR="00DD2B20" w:rsidRPr="0071782F" w:rsidRDefault="00DD2B20" w:rsidP="00DD2B20">
      <w:pPr>
        <w:pStyle w:val="SingleTxtG"/>
        <w:ind w:left="2268" w:hanging="1134"/>
        <w:rPr>
          <w:lang w:val="fr-CH"/>
        </w:rPr>
      </w:pPr>
      <w:r w:rsidRPr="0071782F">
        <w:rPr>
          <w:lang w:val="fr-CH"/>
        </w:rPr>
        <w:tab/>
        <w:t>79.9.4.</w:t>
      </w:r>
      <w:r w:rsidR="001943A0" w:rsidRPr="0071782F">
        <w:rPr>
          <w:lang w:val="fr-CH"/>
        </w:rPr>
        <w:t xml:space="preserve"> </w:t>
      </w:r>
      <w:r w:rsidR="00AC424B" w:rsidRPr="0071782F">
        <w:rPr>
          <w:lang w:val="fr-CH"/>
        </w:rPr>
        <w:t xml:space="preserve">Le Centre de recherche sur la santé au travail et la sécurité du travail du sud-ouest (province du </w:t>
      </w:r>
      <w:r w:rsidRPr="0071782F">
        <w:rPr>
          <w:lang w:val="fr-CH"/>
        </w:rPr>
        <w:t>Khuzestan)</w:t>
      </w:r>
      <w:r w:rsidR="00AC424B" w:rsidRPr="0071782F">
        <w:rPr>
          <w:lang w:val="fr-CH"/>
        </w:rPr>
        <w:t>, spécialisé dans l’industrie sucrière</w:t>
      </w:r>
      <w:r w:rsidRPr="0071782F">
        <w:rPr>
          <w:lang w:val="fr-CH"/>
        </w:rPr>
        <w:t>.</w:t>
      </w:r>
    </w:p>
    <w:p w:rsidR="00DD2B20" w:rsidRPr="0071782F" w:rsidRDefault="00DD2B20" w:rsidP="00DD2B20">
      <w:pPr>
        <w:pStyle w:val="SingleTxtG"/>
        <w:rPr>
          <w:lang w:val="fr-CH"/>
        </w:rPr>
      </w:pPr>
      <w:r w:rsidRPr="0071782F">
        <w:rPr>
          <w:lang w:val="fr-CH"/>
        </w:rPr>
        <w:t>80.</w:t>
      </w:r>
      <w:r w:rsidRPr="0071782F">
        <w:rPr>
          <w:lang w:val="fr-CH"/>
        </w:rPr>
        <w:tab/>
      </w:r>
      <w:r w:rsidR="00AC424B" w:rsidRPr="0071782F">
        <w:rPr>
          <w:lang w:val="fr-CH"/>
        </w:rPr>
        <w:t xml:space="preserve">Par ailleurs, le Ministère du travail et des affaires sociales s’apprête à ouvrir trois centres spécialisés supplémentaires dans les </w:t>
      </w:r>
      <w:r w:rsidRPr="0071782F">
        <w:rPr>
          <w:lang w:val="fr-CH"/>
        </w:rPr>
        <w:t xml:space="preserve">provinces </w:t>
      </w:r>
      <w:r w:rsidR="00AC424B" w:rsidRPr="0071782F">
        <w:rPr>
          <w:lang w:val="fr-CH"/>
        </w:rPr>
        <w:t>d’Isp</w:t>
      </w:r>
      <w:r w:rsidRPr="0071782F">
        <w:rPr>
          <w:lang w:val="fr-CH"/>
        </w:rPr>
        <w:t xml:space="preserve">ahan, </w:t>
      </w:r>
      <w:r w:rsidR="00AC424B" w:rsidRPr="0071782F">
        <w:rPr>
          <w:lang w:val="fr-CH"/>
        </w:rPr>
        <w:t>d</w:t>
      </w:r>
      <w:r w:rsidR="00C35E8B" w:rsidRPr="0071782F">
        <w:rPr>
          <w:lang w:val="fr-CH"/>
        </w:rPr>
        <w:t>u</w:t>
      </w:r>
      <w:r w:rsidR="00AC424B" w:rsidRPr="0071782F">
        <w:rPr>
          <w:lang w:val="fr-CH"/>
        </w:rPr>
        <w:t xml:space="preserve"> </w:t>
      </w:r>
      <w:r w:rsidRPr="0071782F">
        <w:rPr>
          <w:lang w:val="fr-CH"/>
        </w:rPr>
        <w:t xml:space="preserve">Golestan </w:t>
      </w:r>
      <w:r w:rsidR="00AC424B" w:rsidRPr="0071782F">
        <w:rPr>
          <w:lang w:val="fr-CH"/>
        </w:rPr>
        <w:t xml:space="preserve">et de </w:t>
      </w:r>
      <w:r w:rsidRPr="0071782F">
        <w:rPr>
          <w:lang w:val="fr-CH"/>
        </w:rPr>
        <w:t>Bushehr (Asalouyeh).</w:t>
      </w:r>
    </w:p>
    <w:p w:rsidR="00DD2B20" w:rsidRPr="0071782F" w:rsidRDefault="00DD2B20" w:rsidP="00DD2B20">
      <w:pPr>
        <w:pStyle w:val="H1G"/>
        <w:rPr>
          <w:lang w:val="fr-CH"/>
        </w:rPr>
      </w:pPr>
      <w:r w:rsidRPr="0071782F">
        <w:rPr>
          <w:lang w:val="fr-CH"/>
        </w:rPr>
        <w:tab/>
      </w:r>
      <w:r w:rsidRPr="0071782F">
        <w:rPr>
          <w:lang w:val="fr-CH"/>
        </w:rPr>
        <w:tab/>
      </w:r>
      <w:r w:rsidR="00AC424B" w:rsidRPr="0071782F">
        <w:rPr>
          <w:lang w:val="fr-CH"/>
        </w:rPr>
        <w:t xml:space="preserve">Normes de santé au travail et de sécurité du travail </w:t>
      </w:r>
    </w:p>
    <w:p w:rsidR="00DD2B20" w:rsidRPr="0071782F" w:rsidRDefault="00DD2B20" w:rsidP="00DD2B20">
      <w:pPr>
        <w:pStyle w:val="SingleTxtG"/>
        <w:rPr>
          <w:lang w:val="fr-CH"/>
        </w:rPr>
      </w:pPr>
      <w:r w:rsidRPr="0071782F">
        <w:rPr>
          <w:lang w:val="fr-CH"/>
        </w:rPr>
        <w:t>81.</w:t>
      </w:r>
      <w:r w:rsidRPr="0071782F">
        <w:rPr>
          <w:lang w:val="fr-CH"/>
        </w:rPr>
        <w:tab/>
      </w:r>
      <w:r w:rsidR="00AE1AB6" w:rsidRPr="0071782F">
        <w:rPr>
          <w:lang w:val="fr-CH"/>
        </w:rPr>
        <w:t xml:space="preserve">Conformément à </w:t>
      </w:r>
      <w:r w:rsidR="00723F2B" w:rsidRPr="0071782F">
        <w:rPr>
          <w:lang w:val="fr-CH"/>
        </w:rPr>
        <w:t>l’</w:t>
      </w:r>
      <w:r w:rsidR="00943A69" w:rsidRPr="0071782F">
        <w:rPr>
          <w:lang w:val="fr-CH"/>
        </w:rPr>
        <w:t>article </w:t>
      </w:r>
      <w:r w:rsidRPr="0071782F">
        <w:rPr>
          <w:lang w:val="fr-CH"/>
        </w:rPr>
        <w:t xml:space="preserve">96 </w:t>
      </w:r>
      <w:r w:rsidR="00AE1AB6" w:rsidRPr="0071782F">
        <w:rPr>
          <w:lang w:val="fr-CH"/>
        </w:rPr>
        <w:t xml:space="preserve">du Code du travail, le Département de l’inspection </w:t>
      </w:r>
      <w:r w:rsidR="007177D2" w:rsidRPr="0071782F">
        <w:rPr>
          <w:lang w:val="fr-CH"/>
        </w:rPr>
        <w:t xml:space="preserve">générale </w:t>
      </w:r>
      <w:r w:rsidR="00AE1AB6" w:rsidRPr="0071782F">
        <w:rPr>
          <w:lang w:val="fr-CH"/>
        </w:rPr>
        <w:t>du Ministère du travail et des affaires sociales est chargé de contrôler la bonne application des dispositions du Code du travail et des autres règles et règlements régissant la santé au travail et la sécurité du travail. Il lui incombe à cet égard</w:t>
      </w:r>
      <w:r w:rsidR="008F7D33" w:rsidRPr="0071782F">
        <w:rPr>
          <w:lang w:val="fr-CH"/>
        </w:rPr>
        <w:t>:</w:t>
      </w:r>
    </w:p>
    <w:p w:rsidR="00DD2B20" w:rsidRPr="0071782F" w:rsidRDefault="00DD2B20" w:rsidP="00DD2B20">
      <w:pPr>
        <w:pStyle w:val="SingleTxtG"/>
        <w:ind w:left="1701" w:hanging="567"/>
        <w:rPr>
          <w:lang w:val="fr-CH"/>
        </w:rPr>
      </w:pPr>
      <w:r w:rsidRPr="0071782F">
        <w:rPr>
          <w:lang w:val="fr-CH"/>
        </w:rPr>
        <w:tab/>
        <w:t>81.1.</w:t>
      </w:r>
      <w:r w:rsidRPr="0071782F">
        <w:rPr>
          <w:lang w:val="fr-CH"/>
        </w:rPr>
        <w:tab/>
      </w:r>
      <w:r w:rsidR="00AE1AB6" w:rsidRPr="0071782F">
        <w:rPr>
          <w:lang w:val="fr-CH"/>
        </w:rPr>
        <w:t>De veiller à la bonne application des règles et règlements régissant les conditions à respecter sur le lieu de travail, en particulier les mesures de protection prescrites pour les travaux pénibles, difficiles et dangereux, le temps de travail</w:t>
      </w:r>
      <w:r w:rsidRPr="0071782F">
        <w:rPr>
          <w:lang w:val="fr-CH"/>
        </w:rPr>
        <w:t xml:space="preserve">, </w:t>
      </w:r>
      <w:r w:rsidR="00AE1AB6" w:rsidRPr="0071782F">
        <w:rPr>
          <w:lang w:val="fr-CH"/>
        </w:rPr>
        <w:t>le bien-être des travailleurs et l’emploi des femmes et des jeunes enfants</w:t>
      </w:r>
      <w:r w:rsidR="006E51F0" w:rsidRPr="0071782F">
        <w:rPr>
          <w:lang w:val="fr-CH"/>
        </w:rPr>
        <w:t>.</w:t>
      </w:r>
    </w:p>
    <w:p w:rsidR="00DD2B20" w:rsidRPr="0071782F" w:rsidRDefault="00DD2B20" w:rsidP="00DD2B20">
      <w:pPr>
        <w:pStyle w:val="SingleTxtG"/>
        <w:ind w:left="1701" w:hanging="567"/>
        <w:rPr>
          <w:lang w:val="fr-CH"/>
        </w:rPr>
      </w:pPr>
      <w:r w:rsidRPr="0071782F">
        <w:rPr>
          <w:lang w:val="fr-CH"/>
        </w:rPr>
        <w:tab/>
        <w:t>81.2.</w:t>
      </w:r>
      <w:r w:rsidRPr="0071782F">
        <w:rPr>
          <w:lang w:val="fr-CH"/>
        </w:rPr>
        <w:tab/>
      </w:r>
      <w:r w:rsidR="00C76DDF" w:rsidRPr="0071782F">
        <w:rPr>
          <w:lang w:val="fr-CH"/>
        </w:rPr>
        <w:t xml:space="preserve">De veiller à la bonne application des dispositions du Code du travail et des </w:t>
      </w:r>
      <w:r w:rsidRPr="0071782F">
        <w:rPr>
          <w:lang w:val="fr-CH"/>
        </w:rPr>
        <w:t xml:space="preserve">directives </w:t>
      </w:r>
      <w:r w:rsidR="00C76DDF" w:rsidRPr="0071782F">
        <w:rPr>
          <w:lang w:val="fr-CH"/>
        </w:rPr>
        <w:t>et</w:t>
      </w:r>
      <w:r w:rsidRPr="0071782F">
        <w:rPr>
          <w:lang w:val="fr-CH"/>
        </w:rPr>
        <w:t xml:space="preserve"> instructions </w:t>
      </w:r>
      <w:r w:rsidR="00C76DDF" w:rsidRPr="0071782F">
        <w:rPr>
          <w:lang w:val="fr-CH"/>
        </w:rPr>
        <w:t>relatives à la protection technique</w:t>
      </w:r>
      <w:r w:rsidR="006E51F0" w:rsidRPr="0071782F">
        <w:rPr>
          <w:lang w:val="fr-CH"/>
        </w:rPr>
        <w:t>.</w:t>
      </w:r>
    </w:p>
    <w:p w:rsidR="00DD2B20" w:rsidRPr="0071782F" w:rsidRDefault="00DD2B20" w:rsidP="00DD2B20">
      <w:pPr>
        <w:pStyle w:val="SingleTxtG"/>
        <w:ind w:left="1701" w:hanging="567"/>
        <w:rPr>
          <w:lang w:val="fr-CH"/>
        </w:rPr>
      </w:pPr>
      <w:r w:rsidRPr="0071782F">
        <w:rPr>
          <w:lang w:val="fr-CH"/>
        </w:rPr>
        <w:tab/>
        <w:t>81.3.</w:t>
      </w:r>
      <w:r w:rsidRPr="0071782F">
        <w:rPr>
          <w:lang w:val="fr-CH"/>
        </w:rPr>
        <w:tab/>
      </w:r>
      <w:r w:rsidR="00C76DDF" w:rsidRPr="0071782F">
        <w:rPr>
          <w:lang w:val="fr-CH"/>
        </w:rPr>
        <w:t>De familiariser les travailleurs et les employeurs avec les règles et les questions relatives à la protection technique sur le lieu de travail</w:t>
      </w:r>
      <w:r w:rsidR="006E51F0" w:rsidRPr="0071782F">
        <w:rPr>
          <w:lang w:val="fr-CH"/>
        </w:rPr>
        <w:t>.</w:t>
      </w:r>
    </w:p>
    <w:p w:rsidR="00DD2B20" w:rsidRPr="0071782F" w:rsidRDefault="00DD2B20" w:rsidP="00DD2B20">
      <w:pPr>
        <w:pStyle w:val="SingleTxtG"/>
        <w:ind w:left="1701" w:hanging="567"/>
        <w:rPr>
          <w:lang w:val="fr-CH"/>
        </w:rPr>
      </w:pPr>
      <w:r w:rsidRPr="0071782F">
        <w:rPr>
          <w:lang w:val="fr-CH"/>
        </w:rPr>
        <w:tab/>
        <w:t>81.4.</w:t>
      </w:r>
      <w:r w:rsidRPr="0071782F">
        <w:rPr>
          <w:lang w:val="fr-CH"/>
        </w:rPr>
        <w:tab/>
      </w:r>
      <w:r w:rsidR="00B21E51" w:rsidRPr="0071782F">
        <w:rPr>
          <w:lang w:val="fr-CH"/>
        </w:rPr>
        <w:t>D’étudier et d’analyser les carences et les problèmes associés à l’application des règles de protection technique, et de formuler des propositions sur la manière de remédier à ces carences et problèmes et d’améliorer cette application compte tenu des progrès technologiques</w:t>
      </w:r>
      <w:r w:rsidR="006E51F0" w:rsidRPr="0071782F">
        <w:rPr>
          <w:lang w:val="fr-CH"/>
        </w:rPr>
        <w:t>.</w:t>
      </w:r>
    </w:p>
    <w:p w:rsidR="00DD2B20" w:rsidRPr="0071782F" w:rsidRDefault="00DD2B20" w:rsidP="0002294F">
      <w:pPr>
        <w:pStyle w:val="SingleTxtG"/>
        <w:spacing w:after="0"/>
        <w:ind w:left="1701" w:hanging="567"/>
        <w:rPr>
          <w:lang w:val="fr-CH"/>
        </w:rPr>
      </w:pPr>
      <w:r w:rsidRPr="0071782F">
        <w:rPr>
          <w:lang w:val="fr-CH"/>
        </w:rPr>
        <w:tab/>
        <w:t>81.5.</w:t>
      </w:r>
      <w:r w:rsidRPr="0071782F">
        <w:rPr>
          <w:lang w:val="fr-CH"/>
        </w:rPr>
        <w:tab/>
      </w:r>
      <w:r w:rsidR="00D95024" w:rsidRPr="0071782F">
        <w:rPr>
          <w:lang w:val="fr-CH"/>
        </w:rPr>
        <w:t xml:space="preserve">De s’occuper des accidents du travail survenus dans les lieux de travail couverts par le Code et d’analyser ces </w:t>
      </w:r>
      <w:r w:rsidRPr="0071782F">
        <w:rPr>
          <w:lang w:val="fr-CH"/>
        </w:rPr>
        <w:t xml:space="preserve">accidents </w:t>
      </w:r>
      <w:r w:rsidR="00D95024" w:rsidRPr="0071782F">
        <w:rPr>
          <w:lang w:val="fr-CH"/>
        </w:rPr>
        <w:t>d’un point de vue tant général que statistique afin d’éviter qu’ils ne se reproduisent à l’avenir</w:t>
      </w:r>
      <w:r w:rsidRPr="0071782F">
        <w:rPr>
          <w:lang w:val="fr-CH"/>
        </w:rPr>
        <w:t>.</w:t>
      </w:r>
    </w:p>
    <w:p w:rsidR="00DD2B20" w:rsidRPr="0071782F" w:rsidRDefault="003066D5" w:rsidP="003066D5">
      <w:pPr>
        <w:pStyle w:val="H23G"/>
        <w:rPr>
          <w:lang w:val="fr-CH"/>
        </w:rPr>
      </w:pPr>
      <w:r w:rsidRPr="0071782F">
        <w:rPr>
          <w:lang w:val="fr-CH"/>
        </w:rPr>
        <w:tab/>
      </w:r>
      <w:r w:rsidRPr="0071782F">
        <w:rPr>
          <w:lang w:val="fr-CH"/>
        </w:rPr>
        <w:tab/>
      </w:r>
      <w:r w:rsidR="00D95024" w:rsidRPr="0071782F">
        <w:rPr>
          <w:lang w:val="fr-CH"/>
        </w:rPr>
        <w:t xml:space="preserve">Taux d’accidents du travail pendant la période </w:t>
      </w:r>
      <w:r w:rsidR="00DD2B20" w:rsidRPr="0071782F">
        <w:rPr>
          <w:lang w:val="fr-CH"/>
        </w:rPr>
        <w:t>2002</w:t>
      </w:r>
      <w:r w:rsidR="00D95024" w:rsidRPr="0071782F">
        <w:rPr>
          <w:lang w:val="fr-CH"/>
        </w:rPr>
        <w:t>-</w:t>
      </w:r>
      <w:r w:rsidR="00DD2B20" w:rsidRPr="0071782F">
        <w:rPr>
          <w:lang w:val="fr-CH"/>
        </w:rPr>
        <w:t>2008 (</w:t>
      </w:r>
      <w:r w:rsidR="00D95024" w:rsidRPr="0071782F">
        <w:rPr>
          <w:lang w:val="fr-CH"/>
        </w:rPr>
        <w:t>trois premiers trimestres</w:t>
      </w:r>
      <w:r w:rsidR="00DD2B20" w:rsidRPr="0071782F">
        <w:rPr>
          <w:lang w:val="fr-CH"/>
        </w:rPr>
        <w:t>)</w:t>
      </w:r>
    </w:p>
    <w:tbl>
      <w:tblPr>
        <w:tblW w:w="9639"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276"/>
        <w:gridCol w:w="567"/>
        <w:gridCol w:w="567"/>
        <w:gridCol w:w="567"/>
        <w:gridCol w:w="567"/>
        <w:gridCol w:w="567"/>
        <w:gridCol w:w="567"/>
        <w:gridCol w:w="709"/>
        <w:gridCol w:w="573"/>
        <w:gridCol w:w="703"/>
        <w:gridCol w:w="13"/>
        <w:gridCol w:w="544"/>
        <w:gridCol w:w="718"/>
        <w:gridCol w:w="567"/>
        <w:gridCol w:w="567"/>
        <w:gridCol w:w="567"/>
      </w:tblGrid>
      <w:tr w:rsidR="00BF7171" w:rsidRPr="0071782F">
        <w:trPr>
          <w:tblHeader/>
        </w:trPr>
        <w:tc>
          <w:tcPr>
            <w:tcW w:w="1276" w:type="dxa"/>
            <w:vMerge w:val="restart"/>
            <w:tcBorders>
              <w:top w:val="single" w:sz="4" w:space="0" w:color="auto"/>
            </w:tcBorders>
            <w:shd w:val="clear" w:color="000000" w:fill="auto"/>
            <w:vAlign w:val="bottom"/>
          </w:tcPr>
          <w:p w:rsidR="00BF7171" w:rsidRPr="0071782F" w:rsidRDefault="00D95024" w:rsidP="009D7118">
            <w:pPr>
              <w:suppressAutoHyphens w:val="0"/>
              <w:spacing w:before="80" w:after="80" w:line="200" w:lineRule="exact"/>
              <w:rPr>
                <w:i/>
                <w:sz w:val="16"/>
                <w:lang w:val="fr-CH"/>
              </w:rPr>
            </w:pPr>
            <w:r w:rsidRPr="0071782F">
              <w:rPr>
                <w:i/>
                <w:sz w:val="16"/>
                <w:lang w:val="fr-CH"/>
              </w:rPr>
              <w:t>Taux et nombre d’</w:t>
            </w:r>
            <w:r w:rsidR="00BF7171" w:rsidRPr="0071782F">
              <w:rPr>
                <w:i/>
                <w:sz w:val="16"/>
                <w:lang w:val="fr-CH"/>
              </w:rPr>
              <w:t>accidents p</w:t>
            </w:r>
            <w:r w:rsidRPr="0071782F">
              <w:rPr>
                <w:i/>
                <w:sz w:val="16"/>
                <w:lang w:val="fr-CH"/>
              </w:rPr>
              <w:t>our 1 000</w:t>
            </w:r>
            <w:r w:rsidR="00097CDB" w:rsidRPr="0071782F">
              <w:rPr>
                <w:i/>
                <w:sz w:val="16"/>
                <w:lang w:val="fr-CH"/>
              </w:rPr>
              <w:t> personnes</w:t>
            </w:r>
            <w:r w:rsidRPr="0071782F">
              <w:rPr>
                <w:i/>
                <w:sz w:val="16"/>
                <w:lang w:val="fr-CH"/>
              </w:rPr>
              <w:t>, ensemble du pays</w:t>
            </w:r>
            <w:r w:rsidR="00D36718">
              <w:rPr>
                <w:i/>
                <w:sz w:val="16"/>
                <w:lang w:val="fr-CH"/>
              </w:rPr>
              <w:t xml:space="preserve"> </w:t>
            </w:r>
          </w:p>
        </w:tc>
        <w:tc>
          <w:tcPr>
            <w:tcW w:w="1134" w:type="dxa"/>
            <w:gridSpan w:val="2"/>
            <w:tcBorders>
              <w:top w:val="single" w:sz="4" w:space="0" w:color="auto"/>
              <w:bottom w:val="single" w:sz="4" w:space="0" w:color="auto"/>
              <w:right w:val="single" w:sz="24" w:space="0" w:color="FFFFFF"/>
            </w:tcBorders>
            <w:shd w:val="clear" w:color="000000" w:fill="auto"/>
            <w:vAlign w:val="bottom"/>
          </w:tcPr>
          <w:p w:rsidR="00BF7171" w:rsidRPr="0071782F" w:rsidRDefault="00BF7171" w:rsidP="009D7118">
            <w:pPr>
              <w:suppressAutoHyphens w:val="0"/>
              <w:spacing w:before="80" w:after="80" w:line="200" w:lineRule="exact"/>
              <w:jc w:val="center"/>
              <w:rPr>
                <w:i/>
                <w:sz w:val="16"/>
                <w:szCs w:val="16"/>
                <w:lang w:val="fr-CH"/>
              </w:rPr>
            </w:pPr>
            <w:r w:rsidRPr="0071782F">
              <w:rPr>
                <w:i/>
                <w:sz w:val="16"/>
                <w:szCs w:val="16"/>
                <w:lang w:val="fr-CH"/>
              </w:rPr>
              <w:t>2003</w:t>
            </w:r>
          </w:p>
        </w:tc>
        <w:tc>
          <w:tcPr>
            <w:tcW w:w="1134"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BF7171" w:rsidRPr="0071782F" w:rsidRDefault="00BF7171" w:rsidP="009D7118">
            <w:pPr>
              <w:suppressAutoHyphens w:val="0"/>
              <w:spacing w:before="80" w:after="80" w:line="200" w:lineRule="exact"/>
              <w:jc w:val="center"/>
              <w:rPr>
                <w:i/>
                <w:sz w:val="16"/>
                <w:szCs w:val="16"/>
                <w:lang w:val="fr-CH"/>
              </w:rPr>
            </w:pPr>
            <w:r w:rsidRPr="0071782F">
              <w:rPr>
                <w:i/>
                <w:sz w:val="16"/>
                <w:szCs w:val="16"/>
                <w:lang w:val="fr-CH"/>
              </w:rPr>
              <w:t>2004</w:t>
            </w:r>
          </w:p>
        </w:tc>
        <w:tc>
          <w:tcPr>
            <w:tcW w:w="1134"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BF7171" w:rsidRPr="0071782F" w:rsidRDefault="00BF7171" w:rsidP="009D7118">
            <w:pPr>
              <w:suppressAutoHyphens w:val="0"/>
              <w:spacing w:before="80" w:after="80" w:line="200" w:lineRule="exact"/>
              <w:jc w:val="center"/>
              <w:rPr>
                <w:i/>
                <w:sz w:val="16"/>
                <w:szCs w:val="16"/>
                <w:lang w:val="fr-CH"/>
              </w:rPr>
            </w:pPr>
            <w:r w:rsidRPr="0071782F">
              <w:rPr>
                <w:i/>
                <w:sz w:val="16"/>
                <w:szCs w:val="16"/>
                <w:lang w:val="fr-CH"/>
              </w:rPr>
              <w:t>2005</w:t>
            </w:r>
          </w:p>
        </w:tc>
        <w:tc>
          <w:tcPr>
            <w:tcW w:w="1282"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BF7171" w:rsidRPr="0071782F" w:rsidRDefault="00BF7171" w:rsidP="009D7118">
            <w:pPr>
              <w:suppressAutoHyphens w:val="0"/>
              <w:spacing w:before="80" w:after="80" w:line="200" w:lineRule="exact"/>
              <w:jc w:val="center"/>
              <w:rPr>
                <w:i/>
                <w:sz w:val="16"/>
                <w:szCs w:val="16"/>
                <w:lang w:val="fr-CH"/>
              </w:rPr>
            </w:pPr>
            <w:r w:rsidRPr="0071782F">
              <w:rPr>
                <w:i/>
                <w:sz w:val="16"/>
                <w:szCs w:val="16"/>
                <w:lang w:val="fr-CH"/>
              </w:rPr>
              <w:t>2006</w:t>
            </w:r>
          </w:p>
        </w:tc>
        <w:tc>
          <w:tcPr>
            <w:tcW w:w="1260" w:type="dxa"/>
            <w:gridSpan w:val="3"/>
            <w:tcBorders>
              <w:top w:val="single" w:sz="4" w:space="0" w:color="auto"/>
              <w:left w:val="single" w:sz="24" w:space="0" w:color="FFFFFF"/>
              <w:bottom w:val="single" w:sz="4" w:space="0" w:color="auto"/>
              <w:right w:val="single" w:sz="24" w:space="0" w:color="FFFFFF"/>
            </w:tcBorders>
            <w:shd w:val="clear" w:color="000000" w:fill="auto"/>
            <w:vAlign w:val="bottom"/>
          </w:tcPr>
          <w:p w:rsidR="00BF7171" w:rsidRPr="0071782F" w:rsidRDefault="00BF7171" w:rsidP="009D7118">
            <w:pPr>
              <w:suppressAutoHyphens w:val="0"/>
              <w:spacing w:before="80" w:after="80" w:line="200" w:lineRule="exact"/>
              <w:jc w:val="center"/>
              <w:rPr>
                <w:i/>
                <w:sz w:val="16"/>
                <w:szCs w:val="16"/>
                <w:lang w:val="fr-CH"/>
              </w:rPr>
            </w:pPr>
            <w:r w:rsidRPr="0071782F">
              <w:rPr>
                <w:i/>
                <w:sz w:val="16"/>
                <w:szCs w:val="16"/>
                <w:lang w:val="fr-CH"/>
              </w:rPr>
              <w:t>2007</w:t>
            </w:r>
          </w:p>
        </w:tc>
        <w:tc>
          <w:tcPr>
            <w:tcW w:w="1285"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BF7171" w:rsidRPr="0071782F" w:rsidRDefault="00BF7171" w:rsidP="009D7118">
            <w:pPr>
              <w:suppressAutoHyphens w:val="0"/>
              <w:spacing w:before="80" w:after="80" w:line="200" w:lineRule="exact"/>
              <w:jc w:val="center"/>
              <w:rPr>
                <w:i/>
                <w:sz w:val="16"/>
                <w:szCs w:val="16"/>
                <w:lang w:val="fr-CH"/>
              </w:rPr>
            </w:pPr>
            <w:r w:rsidRPr="0071782F">
              <w:rPr>
                <w:i/>
                <w:sz w:val="16"/>
                <w:szCs w:val="16"/>
                <w:lang w:val="fr-CH"/>
              </w:rPr>
              <w:t>2008</w:t>
            </w:r>
          </w:p>
        </w:tc>
        <w:tc>
          <w:tcPr>
            <w:tcW w:w="1134" w:type="dxa"/>
            <w:gridSpan w:val="2"/>
            <w:tcBorders>
              <w:top w:val="single" w:sz="4" w:space="0" w:color="auto"/>
              <w:left w:val="single" w:sz="24" w:space="0" w:color="FFFFFF"/>
              <w:bottom w:val="single" w:sz="4" w:space="0" w:color="auto"/>
            </w:tcBorders>
            <w:shd w:val="clear" w:color="000000" w:fill="auto"/>
            <w:vAlign w:val="bottom"/>
          </w:tcPr>
          <w:p w:rsidR="00BF7171" w:rsidRPr="0071782F" w:rsidRDefault="00BF7171" w:rsidP="009D7118">
            <w:pPr>
              <w:suppressAutoHyphens w:val="0"/>
              <w:spacing w:before="80" w:after="80" w:line="200" w:lineRule="exact"/>
              <w:jc w:val="center"/>
              <w:rPr>
                <w:i/>
                <w:sz w:val="16"/>
                <w:szCs w:val="16"/>
                <w:lang w:val="fr-CH"/>
              </w:rPr>
            </w:pPr>
            <w:r w:rsidRPr="0071782F">
              <w:rPr>
                <w:i/>
                <w:sz w:val="16"/>
                <w:szCs w:val="16"/>
                <w:lang w:val="fr-CH"/>
              </w:rPr>
              <w:t>2009</w:t>
            </w:r>
          </w:p>
        </w:tc>
      </w:tr>
      <w:tr w:rsidR="00BF7171" w:rsidRPr="0071782F">
        <w:trPr>
          <w:tblHeader/>
        </w:trPr>
        <w:tc>
          <w:tcPr>
            <w:tcW w:w="1276" w:type="dxa"/>
            <w:vMerge/>
            <w:shd w:val="clear" w:color="000000" w:fill="auto"/>
            <w:vAlign w:val="bottom"/>
          </w:tcPr>
          <w:p w:rsidR="00BF7171" w:rsidRPr="0071782F" w:rsidRDefault="00BF7171" w:rsidP="009D7118">
            <w:pPr>
              <w:suppressAutoHyphens w:val="0"/>
              <w:spacing w:before="80" w:after="80" w:line="200" w:lineRule="exact"/>
              <w:rPr>
                <w:i/>
                <w:sz w:val="16"/>
                <w:lang w:val="fr-CH"/>
              </w:rPr>
            </w:pPr>
          </w:p>
        </w:tc>
        <w:tc>
          <w:tcPr>
            <w:tcW w:w="567" w:type="dxa"/>
            <w:tcBorders>
              <w:top w:val="single" w:sz="4" w:space="0" w:color="auto"/>
              <w:bottom w:val="single" w:sz="12" w:space="0" w:color="auto"/>
            </w:tcBorders>
            <w:shd w:val="clear" w:color="000000" w:fill="auto"/>
            <w:vAlign w:val="bottom"/>
          </w:tcPr>
          <w:p w:rsidR="00BF7171" w:rsidRPr="0071782F" w:rsidRDefault="00BF7171" w:rsidP="009D7118">
            <w:pPr>
              <w:suppressAutoHyphens w:val="0"/>
              <w:spacing w:before="80" w:after="80" w:line="200" w:lineRule="exact"/>
              <w:jc w:val="right"/>
              <w:rPr>
                <w:i/>
                <w:sz w:val="16"/>
                <w:szCs w:val="16"/>
                <w:lang w:val="fr-CH"/>
              </w:rPr>
            </w:pPr>
            <w:r w:rsidRPr="0071782F">
              <w:rPr>
                <w:i/>
                <w:sz w:val="16"/>
                <w:szCs w:val="16"/>
                <w:lang w:val="fr-CH"/>
              </w:rPr>
              <w:t>N</w:t>
            </w:r>
            <w:r w:rsidR="00D95024" w:rsidRPr="0071782F">
              <w:rPr>
                <w:i/>
                <w:sz w:val="16"/>
                <w:szCs w:val="16"/>
                <w:lang w:val="fr-CH"/>
              </w:rPr>
              <w:t>bre</w:t>
            </w:r>
          </w:p>
        </w:tc>
        <w:tc>
          <w:tcPr>
            <w:tcW w:w="567" w:type="dxa"/>
            <w:tcBorders>
              <w:top w:val="single" w:sz="4" w:space="0" w:color="auto"/>
              <w:bottom w:val="single" w:sz="12" w:space="0" w:color="auto"/>
              <w:right w:val="single" w:sz="24" w:space="0" w:color="FFFFFF"/>
            </w:tcBorders>
            <w:shd w:val="clear" w:color="000000" w:fill="auto"/>
            <w:vAlign w:val="bottom"/>
          </w:tcPr>
          <w:p w:rsidR="00BF7171" w:rsidRPr="0071782F" w:rsidRDefault="00D95024" w:rsidP="009D7118">
            <w:pPr>
              <w:suppressAutoHyphens w:val="0"/>
              <w:spacing w:before="80" w:after="80" w:line="200" w:lineRule="exact"/>
              <w:jc w:val="right"/>
              <w:rPr>
                <w:i/>
                <w:sz w:val="16"/>
                <w:szCs w:val="16"/>
                <w:lang w:val="fr-CH"/>
              </w:rPr>
            </w:pPr>
            <w:r w:rsidRPr="0071782F">
              <w:rPr>
                <w:i/>
                <w:sz w:val="16"/>
                <w:szCs w:val="16"/>
                <w:lang w:val="fr-CH"/>
              </w:rPr>
              <w:t>Taux</w:t>
            </w:r>
          </w:p>
        </w:tc>
        <w:tc>
          <w:tcPr>
            <w:tcW w:w="567" w:type="dxa"/>
            <w:tcBorders>
              <w:top w:val="single" w:sz="4" w:space="0" w:color="auto"/>
              <w:left w:val="single" w:sz="24" w:space="0" w:color="FFFFFF"/>
              <w:bottom w:val="single" w:sz="12" w:space="0" w:color="auto"/>
            </w:tcBorders>
            <w:shd w:val="clear" w:color="000000" w:fill="auto"/>
            <w:vAlign w:val="bottom"/>
          </w:tcPr>
          <w:p w:rsidR="00BF7171" w:rsidRPr="0071782F" w:rsidRDefault="00D95024" w:rsidP="009D7118">
            <w:pPr>
              <w:suppressAutoHyphens w:val="0"/>
              <w:spacing w:before="80" w:after="80" w:line="200" w:lineRule="exact"/>
              <w:jc w:val="right"/>
              <w:rPr>
                <w:i/>
                <w:sz w:val="16"/>
                <w:szCs w:val="16"/>
                <w:lang w:val="fr-CH"/>
              </w:rPr>
            </w:pPr>
            <w:r w:rsidRPr="0071782F">
              <w:rPr>
                <w:i/>
                <w:sz w:val="16"/>
                <w:szCs w:val="16"/>
                <w:lang w:val="fr-CH"/>
              </w:rPr>
              <w:t>Nbre</w:t>
            </w:r>
          </w:p>
        </w:tc>
        <w:tc>
          <w:tcPr>
            <w:tcW w:w="567" w:type="dxa"/>
            <w:tcBorders>
              <w:top w:val="single" w:sz="4" w:space="0" w:color="auto"/>
              <w:bottom w:val="single" w:sz="12" w:space="0" w:color="auto"/>
              <w:right w:val="single" w:sz="24" w:space="0" w:color="FFFFFF"/>
            </w:tcBorders>
            <w:shd w:val="clear" w:color="000000" w:fill="auto"/>
            <w:vAlign w:val="bottom"/>
          </w:tcPr>
          <w:p w:rsidR="00BF7171" w:rsidRPr="0071782F" w:rsidRDefault="00D95024" w:rsidP="009D7118">
            <w:pPr>
              <w:suppressAutoHyphens w:val="0"/>
              <w:spacing w:before="80" w:after="80" w:line="200" w:lineRule="exact"/>
              <w:jc w:val="right"/>
              <w:rPr>
                <w:i/>
                <w:sz w:val="16"/>
                <w:szCs w:val="16"/>
                <w:lang w:val="fr-CH"/>
              </w:rPr>
            </w:pPr>
            <w:r w:rsidRPr="0071782F">
              <w:rPr>
                <w:i/>
                <w:sz w:val="16"/>
                <w:szCs w:val="16"/>
                <w:lang w:val="fr-CH"/>
              </w:rPr>
              <w:t>Taux</w:t>
            </w:r>
          </w:p>
        </w:tc>
        <w:tc>
          <w:tcPr>
            <w:tcW w:w="567" w:type="dxa"/>
            <w:tcBorders>
              <w:top w:val="single" w:sz="4" w:space="0" w:color="auto"/>
              <w:left w:val="single" w:sz="24" w:space="0" w:color="FFFFFF"/>
              <w:bottom w:val="single" w:sz="12" w:space="0" w:color="auto"/>
            </w:tcBorders>
            <w:shd w:val="clear" w:color="000000" w:fill="auto"/>
            <w:vAlign w:val="bottom"/>
          </w:tcPr>
          <w:p w:rsidR="00BF7171" w:rsidRPr="0071782F" w:rsidRDefault="00D95024" w:rsidP="009D7118">
            <w:pPr>
              <w:suppressAutoHyphens w:val="0"/>
              <w:spacing w:before="80" w:after="80" w:line="200" w:lineRule="exact"/>
              <w:jc w:val="right"/>
              <w:rPr>
                <w:i/>
                <w:sz w:val="16"/>
                <w:szCs w:val="16"/>
                <w:lang w:val="fr-CH"/>
              </w:rPr>
            </w:pPr>
            <w:r w:rsidRPr="0071782F">
              <w:rPr>
                <w:i/>
                <w:sz w:val="16"/>
                <w:szCs w:val="16"/>
                <w:lang w:val="fr-CH"/>
              </w:rPr>
              <w:t>Nbre</w:t>
            </w:r>
          </w:p>
        </w:tc>
        <w:tc>
          <w:tcPr>
            <w:tcW w:w="567" w:type="dxa"/>
            <w:tcBorders>
              <w:top w:val="single" w:sz="4" w:space="0" w:color="auto"/>
              <w:bottom w:val="single" w:sz="12" w:space="0" w:color="auto"/>
              <w:right w:val="single" w:sz="24" w:space="0" w:color="FFFFFF"/>
            </w:tcBorders>
            <w:shd w:val="clear" w:color="000000" w:fill="auto"/>
            <w:vAlign w:val="bottom"/>
          </w:tcPr>
          <w:p w:rsidR="00BF7171" w:rsidRPr="0071782F" w:rsidRDefault="00D95024" w:rsidP="009D7118">
            <w:pPr>
              <w:suppressAutoHyphens w:val="0"/>
              <w:spacing w:before="80" w:after="80" w:line="200" w:lineRule="exact"/>
              <w:jc w:val="right"/>
              <w:rPr>
                <w:i/>
                <w:sz w:val="16"/>
                <w:szCs w:val="16"/>
                <w:lang w:val="fr-CH"/>
              </w:rPr>
            </w:pPr>
            <w:r w:rsidRPr="0071782F">
              <w:rPr>
                <w:i/>
                <w:sz w:val="16"/>
                <w:szCs w:val="16"/>
                <w:lang w:val="fr-CH"/>
              </w:rPr>
              <w:t>Taux</w:t>
            </w:r>
          </w:p>
        </w:tc>
        <w:tc>
          <w:tcPr>
            <w:tcW w:w="709" w:type="dxa"/>
            <w:tcBorders>
              <w:top w:val="single" w:sz="4" w:space="0" w:color="auto"/>
              <w:left w:val="single" w:sz="24" w:space="0" w:color="FFFFFF"/>
              <w:bottom w:val="single" w:sz="12" w:space="0" w:color="auto"/>
            </w:tcBorders>
            <w:shd w:val="clear" w:color="000000" w:fill="auto"/>
            <w:vAlign w:val="bottom"/>
          </w:tcPr>
          <w:p w:rsidR="00BF7171" w:rsidRPr="0071782F" w:rsidRDefault="00D95024" w:rsidP="009D7118">
            <w:pPr>
              <w:suppressAutoHyphens w:val="0"/>
              <w:spacing w:before="80" w:after="80" w:line="200" w:lineRule="exact"/>
              <w:jc w:val="right"/>
              <w:rPr>
                <w:i/>
                <w:sz w:val="16"/>
                <w:szCs w:val="16"/>
                <w:lang w:val="fr-CH"/>
              </w:rPr>
            </w:pPr>
            <w:r w:rsidRPr="0071782F">
              <w:rPr>
                <w:i/>
                <w:sz w:val="16"/>
                <w:szCs w:val="16"/>
                <w:lang w:val="fr-CH"/>
              </w:rPr>
              <w:t>Nbre</w:t>
            </w:r>
          </w:p>
        </w:tc>
        <w:tc>
          <w:tcPr>
            <w:tcW w:w="573" w:type="dxa"/>
            <w:tcBorders>
              <w:top w:val="single" w:sz="4" w:space="0" w:color="auto"/>
              <w:bottom w:val="single" w:sz="12" w:space="0" w:color="auto"/>
              <w:right w:val="single" w:sz="24" w:space="0" w:color="FFFFFF"/>
            </w:tcBorders>
            <w:shd w:val="clear" w:color="000000" w:fill="auto"/>
            <w:vAlign w:val="bottom"/>
          </w:tcPr>
          <w:p w:rsidR="00BF7171" w:rsidRPr="0071782F" w:rsidRDefault="00D95024" w:rsidP="009D7118">
            <w:pPr>
              <w:suppressAutoHyphens w:val="0"/>
              <w:spacing w:before="80" w:after="80" w:line="200" w:lineRule="exact"/>
              <w:jc w:val="right"/>
              <w:rPr>
                <w:i/>
                <w:sz w:val="16"/>
                <w:szCs w:val="16"/>
                <w:lang w:val="fr-CH"/>
              </w:rPr>
            </w:pPr>
            <w:r w:rsidRPr="0071782F">
              <w:rPr>
                <w:i/>
                <w:sz w:val="16"/>
                <w:szCs w:val="16"/>
                <w:lang w:val="fr-CH"/>
              </w:rPr>
              <w:t>Taux</w:t>
            </w:r>
          </w:p>
        </w:tc>
        <w:tc>
          <w:tcPr>
            <w:tcW w:w="703" w:type="dxa"/>
            <w:tcBorders>
              <w:top w:val="single" w:sz="4" w:space="0" w:color="auto"/>
              <w:left w:val="single" w:sz="24" w:space="0" w:color="FFFFFF"/>
              <w:bottom w:val="single" w:sz="12" w:space="0" w:color="auto"/>
            </w:tcBorders>
            <w:shd w:val="clear" w:color="000000" w:fill="auto"/>
            <w:vAlign w:val="bottom"/>
          </w:tcPr>
          <w:p w:rsidR="00BF7171" w:rsidRPr="0071782F" w:rsidRDefault="00D95024" w:rsidP="009D7118">
            <w:pPr>
              <w:suppressAutoHyphens w:val="0"/>
              <w:spacing w:before="80" w:after="80" w:line="200" w:lineRule="exact"/>
              <w:jc w:val="right"/>
              <w:rPr>
                <w:i/>
                <w:sz w:val="16"/>
                <w:szCs w:val="16"/>
                <w:lang w:val="fr-CH"/>
              </w:rPr>
            </w:pPr>
            <w:r w:rsidRPr="0071782F">
              <w:rPr>
                <w:i/>
                <w:sz w:val="16"/>
                <w:szCs w:val="16"/>
                <w:lang w:val="fr-CH"/>
              </w:rPr>
              <w:t>Nbre</w:t>
            </w:r>
          </w:p>
        </w:tc>
        <w:tc>
          <w:tcPr>
            <w:tcW w:w="557" w:type="dxa"/>
            <w:gridSpan w:val="2"/>
            <w:tcBorders>
              <w:top w:val="single" w:sz="4" w:space="0" w:color="auto"/>
              <w:bottom w:val="single" w:sz="12" w:space="0" w:color="auto"/>
              <w:right w:val="single" w:sz="24" w:space="0" w:color="FFFFFF"/>
            </w:tcBorders>
            <w:shd w:val="clear" w:color="000000" w:fill="auto"/>
            <w:vAlign w:val="bottom"/>
          </w:tcPr>
          <w:p w:rsidR="00BF7171" w:rsidRPr="0071782F" w:rsidRDefault="00D95024" w:rsidP="009D7118">
            <w:pPr>
              <w:suppressAutoHyphens w:val="0"/>
              <w:spacing w:before="80" w:after="80" w:line="200" w:lineRule="exact"/>
              <w:jc w:val="right"/>
              <w:rPr>
                <w:i/>
                <w:sz w:val="16"/>
                <w:szCs w:val="16"/>
                <w:lang w:val="fr-CH"/>
              </w:rPr>
            </w:pPr>
            <w:r w:rsidRPr="0071782F">
              <w:rPr>
                <w:i/>
                <w:sz w:val="16"/>
                <w:szCs w:val="16"/>
                <w:lang w:val="fr-CH"/>
              </w:rPr>
              <w:t>Taux</w:t>
            </w:r>
          </w:p>
        </w:tc>
        <w:tc>
          <w:tcPr>
            <w:tcW w:w="718" w:type="dxa"/>
            <w:tcBorders>
              <w:top w:val="single" w:sz="4" w:space="0" w:color="auto"/>
              <w:left w:val="single" w:sz="24" w:space="0" w:color="FFFFFF"/>
              <w:bottom w:val="single" w:sz="12" w:space="0" w:color="auto"/>
            </w:tcBorders>
            <w:shd w:val="clear" w:color="000000" w:fill="auto"/>
            <w:vAlign w:val="bottom"/>
          </w:tcPr>
          <w:p w:rsidR="00BF7171" w:rsidRPr="0071782F" w:rsidRDefault="00D95024" w:rsidP="009D7118">
            <w:pPr>
              <w:suppressAutoHyphens w:val="0"/>
              <w:spacing w:before="80" w:after="80" w:line="200" w:lineRule="exact"/>
              <w:jc w:val="right"/>
              <w:rPr>
                <w:i/>
                <w:sz w:val="16"/>
                <w:szCs w:val="16"/>
                <w:lang w:val="fr-CH"/>
              </w:rPr>
            </w:pPr>
            <w:r w:rsidRPr="0071782F">
              <w:rPr>
                <w:i/>
                <w:sz w:val="16"/>
                <w:szCs w:val="16"/>
                <w:lang w:val="fr-CH"/>
              </w:rPr>
              <w:t>Nbre</w:t>
            </w:r>
          </w:p>
        </w:tc>
        <w:tc>
          <w:tcPr>
            <w:tcW w:w="567" w:type="dxa"/>
            <w:tcBorders>
              <w:top w:val="single" w:sz="4" w:space="0" w:color="auto"/>
              <w:bottom w:val="single" w:sz="12" w:space="0" w:color="auto"/>
              <w:right w:val="single" w:sz="24" w:space="0" w:color="FFFFFF"/>
            </w:tcBorders>
            <w:shd w:val="clear" w:color="000000" w:fill="auto"/>
            <w:vAlign w:val="bottom"/>
          </w:tcPr>
          <w:p w:rsidR="00BF7171" w:rsidRPr="0071782F" w:rsidRDefault="00D95024" w:rsidP="009D7118">
            <w:pPr>
              <w:suppressAutoHyphens w:val="0"/>
              <w:spacing w:before="80" w:after="80" w:line="200" w:lineRule="exact"/>
              <w:jc w:val="right"/>
              <w:rPr>
                <w:i/>
                <w:sz w:val="16"/>
                <w:szCs w:val="16"/>
                <w:lang w:val="fr-CH"/>
              </w:rPr>
            </w:pPr>
            <w:r w:rsidRPr="0071782F">
              <w:rPr>
                <w:i/>
                <w:sz w:val="16"/>
                <w:szCs w:val="16"/>
                <w:lang w:val="fr-CH"/>
              </w:rPr>
              <w:t>Taux</w:t>
            </w:r>
          </w:p>
        </w:tc>
        <w:tc>
          <w:tcPr>
            <w:tcW w:w="567" w:type="dxa"/>
            <w:tcBorders>
              <w:top w:val="single" w:sz="4" w:space="0" w:color="auto"/>
              <w:left w:val="single" w:sz="24" w:space="0" w:color="FFFFFF"/>
              <w:bottom w:val="single" w:sz="12" w:space="0" w:color="auto"/>
            </w:tcBorders>
            <w:shd w:val="clear" w:color="000000" w:fill="auto"/>
            <w:vAlign w:val="bottom"/>
          </w:tcPr>
          <w:p w:rsidR="00BF7171" w:rsidRPr="0071782F" w:rsidRDefault="00D95024" w:rsidP="009D7118">
            <w:pPr>
              <w:suppressAutoHyphens w:val="0"/>
              <w:spacing w:before="80" w:after="80" w:line="200" w:lineRule="exact"/>
              <w:jc w:val="right"/>
              <w:rPr>
                <w:i/>
                <w:sz w:val="16"/>
                <w:szCs w:val="16"/>
                <w:lang w:val="fr-CH"/>
              </w:rPr>
            </w:pPr>
            <w:r w:rsidRPr="0071782F">
              <w:rPr>
                <w:i/>
                <w:sz w:val="16"/>
                <w:szCs w:val="16"/>
                <w:lang w:val="fr-CH"/>
              </w:rPr>
              <w:t>Nbre</w:t>
            </w:r>
          </w:p>
        </w:tc>
        <w:tc>
          <w:tcPr>
            <w:tcW w:w="567" w:type="dxa"/>
            <w:tcBorders>
              <w:top w:val="single" w:sz="4" w:space="0" w:color="auto"/>
              <w:bottom w:val="single" w:sz="12" w:space="0" w:color="auto"/>
            </w:tcBorders>
            <w:shd w:val="clear" w:color="000000" w:fill="auto"/>
            <w:vAlign w:val="bottom"/>
          </w:tcPr>
          <w:p w:rsidR="00BF7171" w:rsidRPr="0071782F" w:rsidRDefault="00D95024" w:rsidP="009D7118">
            <w:pPr>
              <w:suppressAutoHyphens w:val="0"/>
              <w:spacing w:before="80" w:after="80" w:line="200" w:lineRule="exact"/>
              <w:jc w:val="right"/>
              <w:rPr>
                <w:i/>
                <w:sz w:val="16"/>
                <w:szCs w:val="16"/>
                <w:lang w:val="fr-CH"/>
              </w:rPr>
            </w:pPr>
            <w:r w:rsidRPr="0071782F">
              <w:rPr>
                <w:i/>
                <w:sz w:val="16"/>
                <w:szCs w:val="16"/>
                <w:lang w:val="fr-CH"/>
              </w:rPr>
              <w:t>Taux</w:t>
            </w:r>
          </w:p>
        </w:tc>
      </w:tr>
      <w:tr w:rsidR="00BF7171" w:rsidRPr="0071782F">
        <w:trPr>
          <w:tblHeader/>
        </w:trPr>
        <w:tc>
          <w:tcPr>
            <w:tcW w:w="1276" w:type="dxa"/>
            <w:vMerge/>
            <w:tcBorders>
              <w:bottom w:val="nil"/>
            </w:tcBorders>
            <w:shd w:val="clear" w:color="000000" w:fill="auto"/>
            <w:vAlign w:val="bottom"/>
          </w:tcPr>
          <w:p w:rsidR="00BF7171" w:rsidRPr="0071782F" w:rsidRDefault="00BF7171" w:rsidP="009D7118">
            <w:pPr>
              <w:suppressAutoHyphens w:val="0"/>
              <w:spacing w:before="40" w:after="40" w:line="220" w:lineRule="exact"/>
              <w:rPr>
                <w:sz w:val="18"/>
                <w:lang w:val="fr-CH"/>
              </w:rPr>
            </w:pPr>
          </w:p>
        </w:tc>
        <w:tc>
          <w:tcPr>
            <w:tcW w:w="567" w:type="dxa"/>
            <w:tcBorders>
              <w:top w:val="single" w:sz="12" w:space="0" w:color="auto"/>
              <w:bottom w:val="nil"/>
            </w:tcBorders>
            <w:shd w:val="clear" w:color="000000" w:fill="auto"/>
            <w:vAlign w:val="bottom"/>
          </w:tcPr>
          <w:p w:rsidR="00BF7171" w:rsidRPr="0071782F" w:rsidRDefault="00BF7171" w:rsidP="009D7118">
            <w:pPr>
              <w:suppressAutoHyphens w:val="0"/>
              <w:spacing w:before="40" w:after="40" w:line="220" w:lineRule="exact"/>
              <w:jc w:val="right"/>
              <w:rPr>
                <w:sz w:val="18"/>
                <w:lang w:val="fr-CH"/>
              </w:rPr>
            </w:pPr>
            <w:r w:rsidRPr="0071782F">
              <w:rPr>
                <w:sz w:val="18"/>
                <w:lang w:val="fr-CH"/>
              </w:rPr>
              <w:t>6 698</w:t>
            </w:r>
          </w:p>
        </w:tc>
        <w:tc>
          <w:tcPr>
            <w:tcW w:w="567" w:type="dxa"/>
            <w:tcBorders>
              <w:top w:val="single" w:sz="12" w:space="0" w:color="auto"/>
              <w:bottom w:val="nil"/>
            </w:tcBorders>
            <w:shd w:val="clear" w:color="000000" w:fill="auto"/>
            <w:vAlign w:val="bottom"/>
          </w:tcPr>
          <w:p w:rsidR="00BF7171" w:rsidRPr="0071782F" w:rsidRDefault="00BF7171" w:rsidP="009D7118">
            <w:pPr>
              <w:suppressAutoHyphens w:val="0"/>
              <w:spacing w:before="40" w:after="40" w:line="220" w:lineRule="exact"/>
              <w:jc w:val="right"/>
              <w:rPr>
                <w:sz w:val="18"/>
                <w:lang w:val="fr-CH"/>
              </w:rPr>
            </w:pPr>
            <w:r w:rsidRPr="0071782F">
              <w:rPr>
                <w:sz w:val="18"/>
                <w:lang w:val="fr-CH"/>
              </w:rPr>
              <w:t>1</w:t>
            </w:r>
            <w:r w:rsidR="00FC0454" w:rsidRPr="0071782F">
              <w:rPr>
                <w:sz w:val="18"/>
                <w:lang w:val="fr-CH"/>
              </w:rPr>
              <w:t>,</w:t>
            </w:r>
            <w:r w:rsidRPr="0071782F">
              <w:rPr>
                <w:sz w:val="18"/>
                <w:lang w:val="fr-CH"/>
              </w:rPr>
              <w:t>2</w:t>
            </w:r>
          </w:p>
        </w:tc>
        <w:tc>
          <w:tcPr>
            <w:tcW w:w="567" w:type="dxa"/>
            <w:tcBorders>
              <w:top w:val="single" w:sz="12" w:space="0" w:color="auto"/>
              <w:bottom w:val="nil"/>
            </w:tcBorders>
            <w:shd w:val="clear" w:color="000000" w:fill="auto"/>
            <w:vAlign w:val="bottom"/>
          </w:tcPr>
          <w:p w:rsidR="00BF7171" w:rsidRPr="0071782F" w:rsidRDefault="00BF7171" w:rsidP="005B7D55">
            <w:pPr>
              <w:suppressAutoHyphens w:val="0"/>
              <w:spacing w:before="40" w:after="40" w:line="220" w:lineRule="exact"/>
              <w:jc w:val="right"/>
              <w:rPr>
                <w:sz w:val="18"/>
                <w:lang w:val="fr-CH"/>
              </w:rPr>
            </w:pPr>
            <w:r w:rsidRPr="0071782F">
              <w:rPr>
                <w:sz w:val="18"/>
                <w:lang w:val="fr-CH"/>
              </w:rPr>
              <w:t>8</w:t>
            </w:r>
            <w:r w:rsidR="005B7D55">
              <w:rPr>
                <w:sz w:val="18"/>
                <w:lang w:val="fr-CH"/>
              </w:rPr>
              <w:t> </w:t>
            </w:r>
            <w:r w:rsidRPr="0071782F">
              <w:rPr>
                <w:sz w:val="18"/>
                <w:lang w:val="fr-CH"/>
              </w:rPr>
              <w:t>589</w:t>
            </w:r>
          </w:p>
        </w:tc>
        <w:tc>
          <w:tcPr>
            <w:tcW w:w="567" w:type="dxa"/>
            <w:tcBorders>
              <w:top w:val="single" w:sz="12" w:space="0" w:color="auto"/>
              <w:bottom w:val="nil"/>
            </w:tcBorders>
            <w:shd w:val="clear" w:color="000000" w:fill="auto"/>
            <w:vAlign w:val="bottom"/>
          </w:tcPr>
          <w:p w:rsidR="00BF7171" w:rsidRPr="0071782F" w:rsidRDefault="00BF7171" w:rsidP="009D7118">
            <w:pPr>
              <w:suppressAutoHyphens w:val="0"/>
              <w:spacing w:before="40" w:after="40" w:line="220" w:lineRule="exact"/>
              <w:jc w:val="right"/>
              <w:rPr>
                <w:sz w:val="18"/>
                <w:lang w:val="fr-CH"/>
              </w:rPr>
            </w:pPr>
            <w:r w:rsidRPr="0071782F">
              <w:rPr>
                <w:sz w:val="18"/>
                <w:lang w:val="fr-CH"/>
              </w:rPr>
              <w:t>1</w:t>
            </w:r>
            <w:r w:rsidR="00FC0454" w:rsidRPr="0071782F">
              <w:rPr>
                <w:sz w:val="18"/>
                <w:lang w:val="fr-CH"/>
              </w:rPr>
              <w:t>,</w:t>
            </w:r>
            <w:r w:rsidRPr="0071782F">
              <w:rPr>
                <w:sz w:val="18"/>
                <w:lang w:val="fr-CH"/>
              </w:rPr>
              <w:t>5</w:t>
            </w:r>
          </w:p>
        </w:tc>
        <w:tc>
          <w:tcPr>
            <w:tcW w:w="567" w:type="dxa"/>
            <w:tcBorders>
              <w:top w:val="single" w:sz="12" w:space="0" w:color="auto"/>
              <w:bottom w:val="nil"/>
            </w:tcBorders>
            <w:shd w:val="clear" w:color="000000" w:fill="auto"/>
            <w:vAlign w:val="bottom"/>
          </w:tcPr>
          <w:p w:rsidR="00BF7171" w:rsidRPr="0071782F" w:rsidRDefault="00BF7171" w:rsidP="005B7D55">
            <w:pPr>
              <w:suppressAutoHyphens w:val="0"/>
              <w:spacing w:before="40" w:after="40" w:line="220" w:lineRule="exact"/>
              <w:jc w:val="right"/>
              <w:rPr>
                <w:sz w:val="18"/>
                <w:lang w:val="fr-CH"/>
              </w:rPr>
            </w:pPr>
            <w:r w:rsidRPr="0071782F">
              <w:rPr>
                <w:sz w:val="18"/>
                <w:lang w:val="fr-CH"/>
              </w:rPr>
              <w:t>9</w:t>
            </w:r>
            <w:r w:rsidR="005B7D55">
              <w:rPr>
                <w:sz w:val="18"/>
                <w:lang w:val="fr-CH"/>
              </w:rPr>
              <w:t> </w:t>
            </w:r>
            <w:r w:rsidRPr="0071782F">
              <w:rPr>
                <w:sz w:val="18"/>
                <w:lang w:val="fr-CH"/>
              </w:rPr>
              <w:t>369</w:t>
            </w:r>
          </w:p>
        </w:tc>
        <w:tc>
          <w:tcPr>
            <w:tcW w:w="567" w:type="dxa"/>
            <w:tcBorders>
              <w:top w:val="single" w:sz="12" w:space="0" w:color="auto"/>
              <w:bottom w:val="nil"/>
            </w:tcBorders>
            <w:shd w:val="clear" w:color="000000" w:fill="auto"/>
            <w:vAlign w:val="bottom"/>
          </w:tcPr>
          <w:p w:rsidR="00BF7171" w:rsidRPr="0071782F" w:rsidRDefault="00BF7171" w:rsidP="009D7118">
            <w:pPr>
              <w:suppressAutoHyphens w:val="0"/>
              <w:spacing w:before="40" w:after="40" w:line="220" w:lineRule="exact"/>
              <w:jc w:val="right"/>
              <w:rPr>
                <w:sz w:val="18"/>
                <w:lang w:val="fr-CH"/>
              </w:rPr>
            </w:pPr>
            <w:r w:rsidRPr="0071782F">
              <w:rPr>
                <w:sz w:val="18"/>
                <w:lang w:val="fr-CH"/>
              </w:rPr>
              <w:t>1</w:t>
            </w:r>
            <w:r w:rsidR="00FC0454" w:rsidRPr="0071782F">
              <w:rPr>
                <w:sz w:val="18"/>
                <w:lang w:val="fr-CH"/>
              </w:rPr>
              <w:t>,</w:t>
            </w:r>
            <w:r w:rsidRPr="0071782F">
              <w:rPr>
                <w:sz w:val="18"/>
                <w:lang w:val="fr-CH"/>
              </w:rPr>
              <w:t>5</w:t>
            </w:r>
          </w:p>
        </w:tc>
        <w:tc>
          <w:tcPr>
            <w:tcW w:w="709" w:type="dxa"/>
            <w:tcBorders>
              <w:top w:val="single" w:sz="12" w:space="0" w:color="auto"/>
              <w:bottom w:val="nil"/>
            </w:tcBorders>
            <w:shd w:val="clear" w:color="000000" w:fill="auto"/>
            <w:vAlign w:val="bottom"/>
          </w:tcPr>
          <w:p w:rsidR="00BF7171" w:rsidRPr="0071782F" w:rsidRDefault="00BF7171" w:rsidP="005B7D55">
            <w:pPr>
              <w:suppressAutoHyphens w:val="0"/>
              <w:spacing w:before="40" w:after="40" w:line="220" w:lineRule="exact"/>
              <w:jc w:val="right"/>
              <w:rPr>
                <w:sz w:val="18"/>
                <w:lang w:val="fr-CH"/>
              </w:rPr>
            </w:pPr>
            <w:r w:rsidRPr="0071782F">
              <w:rPr>
                <w:sz w:val="18"/>
                <w:lang w:val="fr-CH"/>
              </w:rPr>
              <w:t>10</w:t>
            </w:r>
            <w:r w:rsidR="005B7D55">
              <w:rPr>
                <w:sz w:val="18"/>
                <w:lang w:val="fr-CH"/>
              </w:rPr>
              <w:t> </w:t>
            </w:r>
            <w:r w:rsidRPr="0071782F">
              <w:rPr>
                <w:sz w:val="18"/>
                <w:lang w:val="fr-CH"/>
              </w:rPr>
              <w:t>348</w:t>
            </w:r>
          </w:p>
        </w:tc>
        <w:tc>
          <w:tcPr>
            <w:tcW w:w="573" w:type="dxa"/>
            <w:tcBorders>
              <w:top w:val="single" w:sz="12" w:space="0" w:color="auto"/>
              <w:bottom w:val="nil"/>
            </w:tcBorders>
            <w:shd w:val="clear" w:color="000000" w:fill="auto"/>
            <w:vAlign w:val="bottom"/>
          </w:tcPr>
          <w:p w:rsidR="00BF7171" w:rsidRPr="0071782F" w:rsidRDefault="00BF7171" w:rsidP="009D7118">
            <w:pPr>
              <w:suppressAutoHyphens w:val="0"/>
              <w:spacing w:before="40" w:after="40" w:line="220" w:lineRule="exact"/>
              <w:jc w:val="right"/>
              <w:rPr>
                <w:sz w:val="18"/>
                <w:lang w:val="fr-CH"/>
              </w:rPr>
            </w:pPr>
            <w:r w:rsidRPr="0071782F">
              <w:rPr>
                <w:sz w:val="18"/>
                <w:lang w:val="fr-CH"/>
              </w:rPr>
              <w:t>1</w:t>
            </w:r>
            <w:r w:rsidR="00FC0454" w:rsidRPr="0071782F">
              <w:rPr>
                <w:sz w:val="18"/>
                <w:lang w:val="fr-CH"/>
              </w:rPr>
              <w:t>,</w:t>
            </w:r>
            <w:r w:rsidRPr="0071782F">
              <w:rPr>
                <w:sz w:val="18"/>
                <w:lang w:val="fr-CH"/>
              </w:rPr>
              <w:t>6</w:t>
            </w:r>
          </w:p>
        </w:tc>
        <w:tc>
          <w:tcPr>
            <w:tcW w:w="716" w:type="dxa"/>
            <w:gridSpan w:val="2"/>
            <w:tcBorders>
              <w:top w:val="single" w:sz="12" w:space="0" w:color="auto"/>
              <w:bottom w:val="nil"/>
            </w:tcBorders>
            <w:shd w:val="clear" w:color="000000" w:fill="auto"/>
            <w:vAlign w:val="bottom"/>
          </w:tcPr>
          <w:p w:rsidR="00BF7171" w:rsidRPr="0071782F" w:rsidRDefault="00BF7171" w:rsidP="005B7D55">
            <w:pPr>
              <w:suppressAutoHyphens w:val="0"/>
              <w:spacing w:before="40" w:after="40" w:line="220" w:lineRule="exact"/>
              <w:jc w:val="right"/>
              <w:rPr>
                <w:sz w:val="18"/>
                <w:lang w:val="fr-CH"/>
              </w:rPr>
            </w:pPr>
            <w:r w:rsidRPr="0071782F">
              <w:rPr>
                <w:sz w:val="18"/>
                <w:lang w:val="fr-CH"/>
              </w:rPr>
              <w:t>11</w:t>
            </w:r>
            <w:r w:rsidR="005B7D55">
              <w:rPr>
                <w:sz w:val="18"/>
                <w:lang w:val="fr-CH"/>
              </w:rPr>
              <w:t> </w:t>
            </w:r>
            <w:r w:rsidRPr="0071782F">
              <w:rPr>
                <w:sz w:val="18"/>
                <w:lang w:val="fr-CH"/>
              </w:rPr>
              <w:t>748</w:t>
            </w:r>
          </w:p>
        </w:tc>
        <w:tc>
          <w:tcPr>
            <w:tcW w:w="544" w:type="dxa"/>
            <w:tcBorders>
              <w:top w:val="single" w:sz="12" w:space="0" w:color="auto"/>
              <w:bottom w:val="nil"/>
            </w:tcBorders>
            <w:shd w:val="clear" w:color="000000" w:fill="auto"/>
            <w:vAlign w:val="bottom"/>
          </w:tcPr>
          <w:p w:rsidR="00BF7171" w:rsidRPr="0071782F" w:rsidRDefault="00BF7171" w:rsidP="009D7118">
            <w:pPr>
              <w:suppressAutoHyphens w:val="0"/>
              <w:spacing w:before="40" w:after="40" w:line="220" w:lineRule="exact"/>
              <w:jc w:val="right"/>
              <w:rPr>
                <w:sz w:val="18"/>
                <w:lang w:val="fr-CH"/>
              </w:rPr>
            </w:pPr>
            <w:r w:rsidRPr="0071782F">
              <w:rPr>
                <w:sz w:val="18"/>
                <w:lang w:val="fr-CH"/>
              </w:rPr>
              <w:t>1</w:t>
            </w:r>
            <w:r w:rsidR="00FC0454" w:rsidRPr="0071782F">
              <w:rPr>
                <w:sz w:val="18"/>
                <w:lang w:val="fr-CH"/>
              </w:rPr>
              <w:t>,</w:t>
            </w:r>
            <w:r w:rsidRPr="0071782F">
              <w:rPr>
                <w:sz w:val="18"/>
                <w:lang w:val="fr-CH"/>
              </w:rPr>
              <w:t>8</w:t>
            </w:r>
          </w:p>
        </w:tc>
        <w:tc>
          <w:tcPr>
            <w:tcW w:w="718" w:type="dxa"/>
            <w:tcBorders>
              <w:top w:val="single" w:sz="12" w:space="0" w:color="auto"/>
              <w:bottom w:val="nil"/>
            </w:tcBorders>
            <w:shd w:val="clear" w:color="000000" w:fill="auto"/>
            <w:vAlign w:val="bottom"/>
          </w:tcPr>
          <w:p w:rsidR="00BF7171" w:rsidRPr="0071782F" w:rsidRDefault="00BF7171" w:rsidP="005B7D55">
            <w:pPr>
              <w:suppressAutoHyphens w:val="0"/>
              <w:spacing w:before="40" w:after="40" w:line="220" w:lineRule="exact"/>
              <w:jc w:val="right"/>
              <w:rPr>
                <w:sz w:val="18"/>
                <w:lang w:val="fr-CH"/>
              </w:rPr>
            </w:pPr>
            <w:r w:rsidRPr="0071782F">
              <w:rPr>
                <w:sz w:val="18"/>
                <w:lang w:val="fr-CH"/>
              </w:rPr>
              <w:t>11</w:t>
            </w:r>
            <w:r w:rsidR="005B7D55">
              <w:rPr>
                <w:sz w:val="18"/>
                <w:lang w:val="fr-CH"/>
              </w:rPr>
              <w:t> </w:t>
            </w:r>
            <w:r w:rsidRPr="0071782F">
              <w:rPr>
                <w:sz w:val="18"/>
                <w:lang w:val="fr-CH"/>
              </w:rPr>
              <w:t>538</w:t>
            </w:r>
          </w:p>
        </w:tc>
        <w:tc>
          <w:tcPr>
            <w:tcW w:w="567" w:type="dxa"/>
            <w:tcBorders>
              <w:top w:val="single" w:sz="12" w:space="0" w:color="auto"/>
              <w:bottom w:val="nil"/>
            </w:tcBorders>
            <w:shd w:val="clear" w:color="000000" w:fill="auto"/>
            <w:vAlign w:val="bottom"/>
          </w:tcPr>
          <w:p w:rsidR="00BF7171" w:rsidRPr="0071782F" w:rsidRDefault="00BF7171" w:rsidP="009D7118">
            <w:pPr>
              <w:suppressAutoHyphens w:val="0"/>
              <w:spacing w:before="40" w:after="40" w:line="220" w:lineRule="exact"/>
              <w:jc w:val="right"/>
              <w:rPr>
                <w:sz w:val="18"/>
                <w:lang w:val="fr-CH"/>
              </w:rPr>
            </w:pPr>
            <w:r w:rsidRPr="0071782F">
              <w:rPr>
                <w:sz w:val="18"/>
                <w:lang w:val="fr-CH"/>
              </w:rPr>
              <w:t>1</w:t>
            </w:r>
            <w:r w:rsidR="00FC0454" w:rsidRPr="0071782F">
              <w:rPr>
                <w:sz w:val="18"/>
                <w:lang w:val="fr-CH"/>
              </w:rPr>
              <w:t>,</w:t>
            </w:r>
            <w:r w:rsidRPr="0071782F">
              <w:rPr>
                <w:sz w:val="18"/>
                <w:lang w:val="fr-CH"/>
              </w:rPr>
              <w:t>5</w:t>
            </w:r>
          </w:p>
        </w:tc>
        <w:tc>
          <w:tcPr>
            <w:tcW w:w="567" w:type="dxa"/>
            <w:tcBorders>
              <w:top w:val="single" w:sz="12" w:space="0" w:color="auto"/>
              <w:bottom w:val="nil"/>
            </w:tcBorders>
            <w:shd w:val="clear" w:color="000000" w:fill="auto"/>
            <w:vAlign w:val="bottom"/>
          </w:tcPr>
          <w:p w:rsidR="00BF7171" w:rsidRPr="0071782F" w:rsidRDefault="00BF7171" w:rsidP="005B7D55">
            <w:pPr>
              <w:suppressAutoHyphens w:val="0"/>
              <w:spacing w:before="40" w:after="40" w:line="220" w:lineRule="exact"/>
              <w:jc w:val="right"/>
              <w:rPr>
                <w:sz w:val="18"/>
                <w:lang w:val="fr-CH"/>
              </w:rPr>
            </w:pPr>
            <w:r w:rsidRPr="0071782F">
              <w:rPr>
                <w:sz w:val="18"/>
                <w:lang w:val="fr-CH"/>
              </w:rPr>
              <w:t>9</w:t>
            </w:r>
            <w:r w:rsidR="005B7D55">
              <w:rPr>
                <w:sz w:val="18"/>
                <w:lang w:val="fr-CH"/>
              </w:rPr>
              <w:t> </w:t>
            </w:r>
            <w:r w:rsidRPr="0071782F">
              <w:rPr>
                <w:sz w:val="18"/>
                <w:lang w:val="fr-CH"/>
              </w:rPr>
              <w:t>651</w:t>
            </w:r>
          </w:p>
        </w:tc>
        <w:tc>
          <w:tcPr>
            <w:tcW w:w="567" w:type="dxa"/>
            <w:tcBorders>
              <w:top w:val="single" w:sz="12" w:space="0" w:color="auto"/>
              <w:bottom w:val="nil"/>
            </w:tcBorders>
            <w:shd w:val="clear" w:color="000000" w:fill="auto"/>
            <w:vAlign w:val="bottom"/>
          </w:tcPr>
          <w:p w:rsidR="00BF7171" w:rsidRPr="0071782F" w:rsidRDefault="00BF7171" w:rsidP="009D7118">
            <w:pPr>
              <w:suppressAutoHyphens w:val="0"/>
              <w:spacing w:before="40" w:after="40" w:line="220" w:lineRule="exact"/>
              <w:jc w:val="right"/>
              <w:rPr>
                <w:sz w:val="18"/>
                <w:lang w:val="fr-CH"/>
              </w:rPr>
            </w:pPr>
            <w:r w:rsidRPr="0071782F">
              <w:rPr>
                <w:sz w:val="18"/>
                <w:lang w:val="fr-CH"/>
              </w:rPr>
              <w:t>1</w:t>
            </w:r>
            <w:r w:rsidR="00FC0454" w:rsidRPr="0071782F">
              <w:rPr>
                <w:sz w:val="18"/>
                <w:lang w:val="fr-CH"/>
              </w:rPr>
              <w:t>,</w:t>
            </w:r>
            <w:r w:rsidRPr="0071782F">
              <w:rPr>
                <w:sz w:val="18"/>
                <w:lang w:val="fr-CH"/>
              </w:rPr>
              <w:t>1</w:t>
            </w:r>
          </w:p>
        </w:tc>
      </w:tr>
    </w:tbl>
    <w:p w:rsidR="00DD2B20" w:rsidRPr="0071782F" w:rsidRDefault="00120345" w:rsidP="00DD2B20">
      <w:pPr>
        <w:pStyle w:val="H1G"/>
        <w:rPr>
          <w:lang w:val="fr-CH"/>
        </w:rPr>
      </w:pPr>
      <w:r w:rsidRPr="0071782F">
        <w:rPr>
          <w:lang w:val="fr-CH"/>
        </w:rPr>
        <w:pict>
          <v:line id="_x0000_s1029" style="position:absolute;left:0;text-align:left;z-index:3;mso-position-horizontal-relative:text;mso-position-vertical-relative:text" from="0,.55pt" to="481.9pt,.55pt" strokeweight="1.5pt"/>
        </w:pict>
      </w:r>
      <w:r w:rsidR="00DD2B20" w:rsidRPr="0071782F">
        <w:rPr>
          <w:lang w:val="fr-CH"/>
        </w:rPr>
        <w:tab/>
      </w:r>
      <w:r w:rsidR="00DD2B20" w:rsidRPr="0071782F">
        <w:rPr>
          <w:lang w:val="fr-CH"/>
        </w:rPr>
        <w:tab/>
        <w:t xml:space="preserve">Mesures </w:t>
      </w:r>
      <w:r w:rsidR="0047372C" w:rsidRPr="0071782F">
        <w:rPr>
          <w:lang w:val="fr-CH"/>
        </w:rPr>
        <w:t>adoptées pour é</w:t>
      </w:r>
      <w:r w:rsidR="00DD2B20" w:rsidRPr="0071782F">
        <w:rPr>
          <w:lang w:val="fr-CH"/>
        </w:rPr>
        <w:t>limin</w:t>
      </w:r>
      <w:r w:rsidR="0047372C" w:rsidRPr="0071782F">
        <w:rPr>
          <w:lang w:val="fr-CH"/>
        </w:rPr>
        <w:t xml:space="preserve">er la </w:t>
      </w:r>
      <w:r w:rsidR="00DD2B20" w:rsidRPr="0071782F">
        <w:rPr>
          <w:lang w:val="fr-CH"/>
        </w:rPr>
        <w:t xml:space="preserve">discrimination </w:t>
      </w:r>
      <w:r w:rsidR="0047372C" w:rsidRPr="0071782F">
        <w:rPr>
          <w:lang w:val="fr-CH"/>
        </w:rPr>
        <w:t xml:space="preserve">dans le travail en modifiant les lois pertinentes </w:t>
      </w:r>
    </w:p>
    <w:p w:rsidR="00DD2B20" w:rsidRPr="0071782F" w:rsidRDefault="00DD2B20" w:rsidP="00DD2B20">
      <w:pPr>
        <w:pStyle w:val="SingleTxtG"/>
        <w:rPr>
          <w:lang w:val="fr-CH"/>
        </w:rPr>
      </w:pPr>
      <w:r w:rsidRPr="0071782F">
        <w:rPr>
          <w:lang w:val="fr-CH"/>
        </w:rPr>
        <w:t>82.</w:t>
      </w:r>
      <w:r w:rsidRPr="0071782F">
        <w:rPr>
          <w:lang w:val="fr-CH"/>
        </w:rPr>
        <w:tab/>
      </w:r>
      <w:r w:rsidR="00B05D69" w:rsidRPr="0071782F">
        <w:rPr>
          <w:lang w:val="fr-CH"/>
        </w:rPr>
        <w:t xml:space="preserve">En ce qui concerne l’interdiction de la </w:t>
      </w:r>
      <w:r w:rsidRPr="0071782F">
        <w:rPr>
          <w:lang w:val="fr-CH"/>
        </w:rPr>
        <w:t xml:space="preserve">discrimination </w:t>
      </w:r>
      <w:r w:rsidR="00B05D69" w:rsidRPr="0071782F">
        <w:rPr>
          <w:lang w:val="fr-CH"/>
        </w:rPr>
        <w:t>dans les relations de travail</w:t>
      </w:r>
      <w:r w:rsidRPr="0071782F">
        <w:rPr>
          <w:lang w:val="fr-CH"/>
        </w:rPr>
        <w:t xml:space="preserve">, </w:t>
      </w:r>
      <w:r w:rsidR="00723F2B" w:rsidRPr="0071782F">
        <w:rPr>
          <w:lang w:val="fr-CH"/>
        </w:rPr>
        <w:t>l’</w:t>
      </w:r>
      <w:r w:rsidR="00943A69" w:rsidRPr="0071782F">
        <w:rPr>
          <w:lang w:val="fr-CH"/>
        </w:rPr>
        <w:t>article </w:t>
      </w:r>
      <w:r w:rsidRPr="0071782F">
        <w:rPr>
          <w:lang w:val="fr-CH"/>
        </w:rPr>
        <w:t xml:space="preserve">38 </w:t>
      </w:r>
      <w:r w:rsidR="00B05D69" w:rsidRPr="0071782F">
        <w:rPr>
          <w:lang w:val="fr-CH"/>
        </w:rPr>
        <w:t>du Code du travail stipule que</w:t>
      </w:r>
      <w:r w:rsidRPr="0071782F">
        <w:rPr>
          <w:lang w:val="fr-CH"/>
        </w:rPr>
        <w:t xml:space="preserve"> </w:t>
      </w:r>
      <w:r w:rsidR="00A62149" w:rsidRPr="0071782F">
        <w:rPr>
          <w:lang w:val="fr-CH"/>
        </w:rPr>
        <w:t>"</w:t>
      </w:r>
      <w:r w:rsidR="00B05D69" w:rsidRPr="0071782F">
        <w:rPr>
          <w:lang w:val="fr-CH"/>
        </w:rPr>
        <w:t>les hommes et les femmes doivent recevoir une rémunération égale pour un travail de valeur égale accompli dans des conditions identiques sur le même lieu de travail</w:t>
      </w:r>
      <w:r w:rsidRPr="0071782F">
        <w:rPr>
          <w:lang w:val="fr-CH"/>
        </w:rPr>
        <w:t xml:space="preserve">; </w:t>
      </w:r>
      <w:r w:rsidR="00B05D69" w:rsidRPr="0071782F">
        <w:rPr>
          <w:lang w:val="fr-CH"/>
        </w:rPr>
        <w:t xml:space="preserve">toute </w:t>
      </w:r>
      <w:r w:rsidRPr="0071782F">
        <w:rPr>
          <w:lang w:val="fr-CH"/>
        </w:rPr>
        <w:t xml:space="preserve">discrimination </w:t>
      </w:r>
      <w:r w:rsidR="00B05D69" w:rsidRPr="0071782F">
        <w:rPr>
          <w:lang w:val="fr-CH"/>
        </w:rPr>
        <w:t>salariale fondée sur l’âge, la</w:t>
      </w:r>
      <w:r w:rsidRPr="0071782F">
        <w:rPr>
          <w:lang w:val="fr-CH"/>
        </w:rPr>
        <w:t xml:space="preserve"> race</w:t>
      </w:r>
      <w:r w:rsidR="00B05D69" w:rsidRPr="0071782F">
        <w:rPr>
          <w:lang w:val="fr-CH"/>
        </w:rPr>
        <w:t xml:space="preserve"> ou</w:t>
      </w:r>
      <w:r w:rsidRPr="0071782F">
        <w:rPr>
          <w:lang w:val="fr-CH"/>
        </w:rPr>
        <w:t xml:space="preserve"> </w:t>
      </w:r>
      <w:r w:rsidR="00B05D69" w:rsidRPr="0071782F">
        <w:rPr>
          <w:lang w:val="fr-CH"/>
        </w:rPr>
        <w:t>les opinions politiques ou religieuses est interdite</w:t>
      </w:r>
      <w:r w:rsidR="00A62149" w:rsidRPr="0071782F">
        <w:rPr>
          <w:lang w:val="fr-CH"/>
        </w:rPr>
        <w:t>"</w:t>
      </w:r>
      <w:r w:rsidR="00ED4342" w:rsidRPr="0071782F">
        <w:rPr>
          <w:lang w:val="fr-CH"/>
        </w:rPr>
        <w:t>.</w:t>
      </w:r>
    </w:p>
    <w:p w:rsidR="00DD2B20" w:rsidRPr="0071782F" w:rsidRDefault="00DD2B20" w:rsidP="00DD2B20">
      <w:pPr>
        <w:pStyle w:val="SingleTxtG"/>
        <w:rPr>
          <w:lang w:val="fr-CH"/>
        </w:rPr>
      </w:pPr>
      <w:r w:rsidRPr="0071782F">
        <w:rPr>
          <w:lang w:val="fr-CH"/>
        </w:rPr>
        <w:t>83.</w:t>
      </w:r>
      <w:r w:rsidRPr="0071782F">
        <w:rPr>
          <w:lang w:val="fr-CH"/>
        </w:rPr>
        <w:tab/>
      </w:r>
      <w:r w:rsidR="007177D2" w:rsidRPr="0071782F">
        <w:rPr>
          <w:lang w:val="fr-CH"/>
        </w:rPr>
        <w:t xml:space="preserve">Cet </w:t>
      </w:r>
      <w:r w:rsidR="003643A1">
        <w:rPr>
          <w:lang w:val="fr-CH"/>
        </w:rPr>
        <w:t xml:space="preserve">article </w:t>
      </w:r>
      <w:r w:rsidR="007177D2" w:rsidRPr="0071782F">
        <w:rPr>
          <w:lang w:val="fr-CH"/>
        </w:rPr>
        <w:t xml:space="preserve">est l’un des </w:t>
      </w:r>
      <w:r w:rsidR="005B7D55">
        <w:rPr>
          <w:lang w:val="fr-CH"/>
        </w:rPr>
        <w:t xml:space="preserve">articles </w:t>
      </w:r>
      <w:r w:rsidR="007177D2" w:rsidRPr="0071782F">
        <w:rPr>
          <w:lang w:val="fr-CH"/>
        </w:rPr>
        <w:t xml:space="preserve">du Code du travail dont la violation peut donner lieu aux sanctions prévues par </w:t>
      </w:r>
      <w:r w:rsidR="00723F2B" w:rsidRPr="0071782F">
        <w:rPr>
          <w:lang w:val="fr-CH"/>
        </w:rPr>
        <w:t>l’</w:t>
      </w:r>
      <w:r w:rsidR="00943A69" w:rsidRPr="0071782F">
        <w:rPr>
          <w:lang w:val="fr-CH"/>
        </w:rPr>
        <w:t>article </w:t>
      </w:r>
      <w:r w:rsidRPr="0071782F">
        <w:rPr>
          <w:lang w:val="fr-CH"/>
        </w:rPr>
        <w:t xml:space="preserve">174 </w:t>
      </w:r>
      <w:r w:rsidR="007177D2" w:rsidRPr="0071782F">
        <w:rPr>
          <w:lang w:val="fr-CH"/>
        </w:rPr>
        <w:t xml:space="preserve">de celui-ci, qui dispose que ceux qui y contreviendront </w:t>
      </w:r>
      <w:r w:rsidR="00A62149" w:rsidRPr="0071782F">
        <w:rPr>
          <w:lang w:val="fr-CH"/>
        </w:rPr>
        <w:t>"</w:t>
      </w:r>
      <w:r w:rsidR="007177D2" w:rsidRPr="0071782F">
        <w:rPr>
          <w:lang w:val="fr-CH"/>
        </w:rPr>
        <w:t xml:space="preserve">seront condamnés non seulement à faire cesser la </w:t>
      </w:r>
      <w:r w:rsidRPr="0071782F">
        <w:rPr>
          <w:lang w:val="fr-CH"/>
        </w:rPr>
        <w:t xml:space="preserve">discrimination </w:t>
      </w:r>
      <w:r w:rsidR="007177D2" w:rsidRPr="0071782F">
        <w:rPr>
          <w:lang w:val="fr-CH"/>
        </w:rPr>
        <w:t xml:space="preserve">ainsi </w:t>
      </w:r>
      <w:r w:rsidRPr="0071782F">
        <w:rPr>
          <w:lang w:val="fr-CH"/>
        </w:rPr>
        <w:t>impos</w:t>
      </w:r>
      <w:r w:rsidR="007177D2" w:rsidRPr="0071782F">
        <w:rPr>
          <w:lang w:val="fr-CH"/>
        </w:rPr>
        <w:t xml:space="preserve">ée, mais aussi à indemniser le(s) travailleur(s) pour le dommage qui lui(leur) aura été causé dans chaque cas dans les délais dont le tribunal aura décidé en </w:t>
      </w:r>
      <w:r w:rsidRPr="0071782F">
        <w:rPr>
          <w:lang w:val="fr-CH"/>
        </w:rPr>
        <w:t xml:space="preserve">consultation </w:t>
      </w:r>
      <w:r w:rsidR="007177D2" w:rsidRPr="0071782F">
        <w:rPr>
          <w:lang w:val="fr-CH"/>
        </w:rPr>
        <w:t>avec le représentant du Ministère du travail et des affaires sociales</w:t>
      </w:r>
      <w:r w:rsidR="00A62149" w:rsidRPr="0071782F">
        <w:rPr>
          <w:lang w:val="fr-CH"/>
        </w:rPr>
        <w:t>"</w:t>
      </w:r>
      <w:r w:rsidRPr="0071782F">
        <w:rPr>
          <w:lang w:val="fr-CH"/>
        </w:rPr>
        <w:t xml:space="preserve">. </w:t>
      </w:r>
      <w:r w:rsidR="007177D2" w:rsidRPr="0071782F">
        <w:rPr>
          <w:lang w:val="fr-CH"/>
        </w:rPr>
        <w:t xml:space="preserve">La sanction dont est passible l’infraction de </w:t>
      </w:r>
      <w:r w:rsidRPr="0071782F">
        <w:rPr>
          <w:lang w:val="fr-CH"/>
        </w:rPr>
        <w:t xml:space="preserve">discrimination </w:t>
      </w:r>
      <w:r w:rsidR="007177D2" w:rsidRPr="0071782F">
        <w:rPr>
          <w:lang w:val="fr-CH"/>
        </w:rPr>
        <w:t xml:space="preserve">contre chaque travailleur est une amende dont le montant sera </w:t>
      </w:r>
    </w:p>
    <w:p w:rsidR="00DD2B20" w:rsidRPr="0071782F" w:rsidRDefault="00DD2B20" w:rsidP="00DD2B20">
      <w:pPr>
        <w:pStyle w:val="SingleTxtG"/>
        <w:ind w:left="1701" w:hanging="567"/>
        <w:rPr>
          <w:lang w:val="fr-CH"/>
        </w:rPr>
      </w:pPr>
      <w:r w:rsidRPr="0071782F">
        <w:rPr>
          <w:lang w:val="fr-CH"/>
        </w:rPr>
        <w:tab/>
        <w:t>83.1.</w:t>
      </w:r>
      <w:r w:rsidRPr="0071782F">
        <w:rPr>
          <w:lang w:val="fr-CH"/>
        </w:rPr>
        <w:tab/>
      </w:r>
      <w:r w:rsidR="007177D2" w:rsidRPr="0071782F">
        <w:rPr>
          <w:lang w:val="fr-CH"/>
        </w:rPr>
        <w:t xml:space="preserve">Égal à </w:t>
      </w:r>
      <w:r w:rsidRPr="0071782F">
        <w:rPr>
          <w:lang w:val="fr-CH"/>
        </w:rPr>
        <w:t xml:space="preserve">20 </w:t>
      </w:r>
      <w:r w:rsidR="007177D2" w:rsidRPr="0071782F">
        <w:rPr>
          <w:lang w:val="fr-CH"/>
        </w:rPr>
        <w:t>à</w:t>
      </w:r>
      <w:r w:rsidRPr="0071782F">
        <w:rPr>
          <w:lang w:val="fr-CH"/>
        </w:rPr>
        <w:t xml:space="preserve"> 50 </w:t>
      </w:r>
      <w:r w:rsidR="007177D2" w:rsidRPr="0071782F">
        <w:rPr>
          <w:lang w:val="fr-CH"/>
        </w:rPr>
        <w:t>fois le montant du salaire de base journalier minimal d’un travailleur, lorsqu’il s’agit de 10 travailleurs au maximum</w:t>
      </w:r>
      <w:r w:rsidR="007C597B" w:rsidRPr="0071782F">
        <w:rPr>
          <w:lang w:val="fr-CH"/>
        </w:rPr>
        <w:t>.</w:t>
      </w:r>
    </w:p>
    <w:p w:rsidR="00DD2B20" w:rsidRPr="0071782F" w:rsidRDefault="00DD2B20" w:rsidP="00DD2B20">
      <w:pPr>
        <w:pStyle w:val="SingleTxtG"/>
        <w:ind w:left="1701" w:hanging="567"/>
        <w:rPr>
          <w:lang w:val="fr-CH"/>
        </w:rPr>
      </w:pPr>
      <w:r w:rsidRPr="0071782F">
        <w:rPr>
          <w:lang w:val="fr-CH"/>
        </w:rPr>
        <w:tab/>
        <w:t>83.2.</w:t>
      </w:r>
      <w:r w:rsidRPr="0071782F">
        <w:rPr>
          <w:lang w:val="fr-CH"/>
        </w:rPr>
        <w:tab/>
      </w:r>
      <w:r w:rsidR="007177D2" w:rsidRPr="0071782F">
        <w:rPr>
          <w:lang w:val="fr-CH"/>
        </w:rPr>
        <w:t>Égal à cinq à 10 fois le montant du salaire de base journalier minimal d’un travailleur, lorsqu’il s’agit de plus de 10 et jusqu’à 100 travailleurs</w:t>
      </w:r>
      <w:r w:rsidR="007C597B" w:rsidRPr="0071782F">
        <w:rPr>
          <w:lang w:val="fr-CH"/>
        </w:rPr>
        <w:t>.</w:t>
      </w:r>
    </w:p>
    <w:p w:rsidR="00DD2B20" w:rsidRPr="0071782F" w:rsidRDefault="00DD2B20" w:rsidP="00DD2B20">
      <w:pPr>
        <w:pStyle w:val="SingleTxtG"/>
        <w:ind w:left="1701" w:hanging="567"/>
        <w:rPr>
          <w:lang w:val="fr-CH"/>
        </w:rPr>
      </w:pPr>
      <w:r w:rsidRPr="0071782F">
        <w:rPr>
          <w:lang w:val="fr-CH"/>
        </w:rPr>
        <w:tab/>
        <w:t>83.3.</w:t>
      </w:r>
      <w:r w:rsidRPr="0071782F">
        <w:rPr>
          <w:lang w:val="fr-CH"/>
        </w:rPr>
        <w:tab/>
      </w:r>
      <w:r w:rsidR="007177D2" w:rsidRPr="0071782F">
        <w:rPr>
          <w:lang w:val="fr-CH"/>
        </w:rPr>
        <w:t>Égal à deux à cinq fois le montant du salaire de base journalier minimal d’un travailleur, lorsqu’il s’agit de plus de 100 travailleurs.</w:t>
      </w:r>
    </w:p>
    <w:p w:rsidR="00DD2B20" w:rsidRPr="0071782F" w:rsidRDefault="00DD2B20" w:rsidP="00DD2B20">
      <w:pPr>
        <w:pStyle w:val="SingleTxtG"/>
        <w:rPr>
          <w:lang w:val="fr-CH"/>
        </w:rPr>
      </w:pPr>
      <w:r w:rsidRPr="0071782F">
        <w:rPr>
          <w:lang w:val="fr-CH"/>
        </w:rPr>
        <w:t>84.</w:t>
      </w:r>
      <w:r w:rsidRPr="0071782F">
        <w:rPr>
          <w:lang w:val="fr-CH"/>
        </w:rPr>
        <w:tab/>
      </w:r>
      <w:r w:rsidR="007177D2" w:rsidRPr="0071782F">
        <w:rPr>
          <w:lang w:val="fr-CH"/>
        </w:rPr>
        <w:t>C’est le Département de l’inspection générale du Ministère du travail et des affaires sociales qui est légalement chargé de contrôler l’application des dispositions susvisées.</w:t>
      </w:r>
    </w:p>
    <w:p w:rsidR="00DD2B20" w:rsidRPr="0071782F" w:rsidRDefault="00DD2B20" w:rsidP="002653D6">
      <w:pPr>
        <w:pStyle w:val="SingleTxtG"/>
        <w:rPr>
          <w:lang w:val="fr-CH"/>
        </w:rPr>
      </w:pPr>
      <w:r w:rsidRPr="0071782F">
        <w:rPr>
          <w:lang w:val="fr-CH"/>
        </w:rPr>
        <w:t>85.</w:t>
      </w:r>
      <w:r w:rsidRPr="0071782F">
        <w:rPr>
          <w:lang w:val="fr-CH"/>
        </w:rPr>
        <w:tab/>
        <w:t>I</w:t>
      </w:r>
      <w:r w:rsidR="007177D2" w:rsidRPr="0071782F">
        <w:rPr>
          <w:lang w:val="fr-CH"/>
        </w:rPr>
        <w:t xml:space="preserve">l convient de noter qu’en </w:t>
      </w:r>
      <w:r w:rsidRPr="0071782F">
        <w:rPr>
          <w:lang w:val="fr-CH"/>
        </w:rPr>
        <w:t xml:space="preserve">2007, </w:t>
      </w:r>
      <w:r w:rsidR="007177D2" w:rsidRPr="0071782F">
        <w:rPr>
          <w:lang w:val="fr-CH"/>
        </w:rPr>
        <w:t>141</w:t>
      </w:r>
      <w:r w:rsidR="002653D6" w:rsidRPr="0071782F">
        <w:rPr>
          <w:lang w:val="fr-CH"/>
        </w:rPr>
        <w:t> </w:t>
      </w:r>
      <w:r w:rsidRPr="0071782F">
        <w:rPr>
          <w:lang w:val="fr-CH"/>
        </w:rPr>
        <w:t xml:space="preserve">968 inspections </w:t>
      </w:r>
      <w:r w:rsidR="007177D2" w:rsidRPr="0071782F">
        <w:rPr>
          <w:lang w:val="fr-CH"/>
        </w:rPr>
        <w:t xml:space="preserve">périodiques et </w:t>
      </w:r>
      <w:r w:rsidRPr="0071782F">
        <w:rPr>
          <w:lang w:val="fr-CH"/>
        </w:rPr>
        <w:t>234</w:t>
      </w:r>
      <w:r w:rsidR="00943A69" w:rsidRPr="0071782F">
        <w:rPr>
          <w:lang w:val="fr-CH"/>
        </w:rPr>
        <w:t> 225 </w:t>
      </w:r>
      <w:r w:rsidRPr="0071782F">
        <w:rPr>
          <w:lang w:val="fr-CH"/>
        </w:rPr>
        <w:t xml:space="preserve">inspections </w:t>
      </w:r>
      <w:r w:rsidR="007177D2" w:rsidRPr="0071782F">
        <w:rPr>
          <w:lang w:val="fr-CH"/>
        </w:rPr>
        <w:t xml:space="preserve">de cas concrets ont eu lieu, sans qu’aucune </w:t>
      </w:r>
      <w:r w:rsidRPr="0071782F">
        <w:rPr>
          <w:lang w:val="fr-CH"/>
        </w:rPr>
        <w:t xml:space="preserve">violation </w:t>
      </w:r>
      <w:r w:rsidR="007177D2"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38 </w:t>
      </w:r>
      <w:r w:rsidR="007177D2" w:rsidRPr="0071782F">
        <w:rPr>
          <w:lang w:val="fr-CH"/>
        </w:rPr>
        <w:t xml:space="preserve">du Code du travail </w:t>
      </w:r>
      <w:r w:rsidR="003643A1">
        <w:rPr>
          <w:lang w:val="fr-CH"/>
        </w:rPr>
        <w:t>n'</w:t>
      </w:r>
      <w:r w:rsidR="007177D2" w:rsidRPr="0071782F">
        <w:rPr>
          <w:lang w:val="fr-CH"/>
        </w:rPr>
        <w:t xml:space="preserve">ait été constatée. </w:t>
      </w:r>
    </w:p>
    <w:p w:rsidR="00DD2B20" w:rsidRPr="0071782F" w:rsidRDefault="00DD2B20" w:rsidP="00DD2B20">
      <w:pPr>
        <w:pStyle w:val="SingleTxtG"/>
        <w:rPr>
          <w:lang w:val="fr-CH"/>
        </w:rPr>
      </w:pPr>
      <w:r w:rsidRPr="0071782F">
        <w:rPr>
          <w:lang w:val="fr-CH"/>
        </w:rPr>
        <w:t>86.</w:t>
      </w:r>
      <w:r w:rsidRPr="0071782F">
        <w:rPr>
          <w:lang w:val="fr-CH"/>
        </w:rPr>
        <w:tab/>
      </w:r>
      <w:r w:rsidR="007177D2" w:rsidRPr="0071782F">
        <w:rPr>
          <w:lang w:val="fr-CH"/>
        </w:rPr>
        <w:t>On notera également que le Ministère du travail et des affaires sociales a, conformément aux dispositions de la Convention n</w:t>
      </w:r>
      <w:r w:rsidR="00A83442" w:rsidRPr="00A83442">
        <w:rPr>
          <w:vertAlign w:val="superscript"/>
          <w:lang w:val="fr-CH"/>
        </w:rPr>
        <w:t>o</w:t>
      </w:r>
      <w:r w:rsidR="00A83442">
        <w:rPr>
          <w:lang w:val="fr-CH"/>
        </w:rPr>
        <w:t> </w:t>
      </w:r>
      <w:r w:rsidR="007177D2" w:rsidRPr="0071782F">
        <w:rPr>
          <w:lang w:val="fr-CH"/>
        </w:rPr>
        <w:t xml:space="preserve">111 de l’OIT et de </w:t>
      </w:r>
      <w:r w:rsidR="00723F2B" w:rsidRPr="0071782F">
        <w:rPr>
          <w:lang w:val="fr-CH"/>
        </w:rPr>
        <w:t>l’</w:t>
      </w:r>
      <w:r w:rsidR="00943A69" w:rsidRPr="0071782F">
        <w:rPr>
          <w:lang w:val="fr-CH"/>
        </w:rPr>
        <w:t>article </w:t>
      </w:r>
      <w:r w:rsidR="007177D2" w:rsidRPr="0071782F">
        <w:rPr>
          <w:lang w:val="fr-CH"/>
        </w:rPr>
        <w:t xml:space="preserve">6 du Code du travail, fait de l’interdiction de la </w:t>
      </w:r>
      <w:r w:rsidRPr="0071782F">
        <w:rPr>
          <w:lang w:val="fr-CH"/>
        </w:rPr>
        <w:t xml:space="preserve">discrimination </w:t>
      </w:r>
      <w:r w:rsidR="007177D2" w:rsidRPr="0071782F">
        <w:rPr>
          <w:lang w:val="fr-CH"/>
        </w:rPr>
        <w:t>dans les relations d</w:t>
      </w:r>
      <w:r w:rsidR="00A30D94" w:rsidRPr="0071782F">
        <w:rPr>
          <w:lang w:val="fr-CH"/>
        </w:rPr>
        <w:t>e</w:t>
      </w:r>
      <w:r w:rsidR="007177D2" w:rsidRPr="0071782F">
        <w:rPr>
          <w:lang w:val="fr-CH"/>
        </w:rPr>
        <w:t xml:space="preserve"> travail l’une de ses responsabilités les plus importantes</w:t>
      </w:r>
      <w:r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t>Poli</w:t>
      </w:r>
      <w:r w:rsidR="007177D2" w:rsidRPr="0071782F">
        <w:rPr>
          <w:lang w:val="fr-CH"/>
        </w:rPr>
        <w:t>tiques d’indemnisation</w:t>
      </w:r>
      <w:r w:rsidR="00D36718">
        <w:rPr>
          <w:lang w:val="fr-CH"/>
        </w:rPr>
        <w:t xml:space="preserve"> </w:t>
      </w:r>
      <w:r w:rsidR="007177D2" w:rsidRPr="0071782F">
        <w:rPr>
          <w:lang w:val="fr-CH"/>
        </w:rPr>
        <w:t xml:space="preserve">du chômage, de prévention du chômage et d’octroi de crédits </w:t>
      </w:r>
      <w:r w:rsidRPr="0071782F">
        <w:rPr>
          <w:lang w:val="fr-CH"/>
        </w:rPr>
        <w:t>(2005</w:t>
      </w:r>
      <w:r w:rsidR="007177D2" w:rsidRPr="0071782F">
        <w:rPr>
          <w:lang w:val="fr-CH"/>
        </w:rPr>
        <w:t>-</w:t>
      </w:r>
      <w:r w:rsidRPr="0071782F">
        <w:rPr>
          <w:lang w:val="fr-CH"/>
        </w:rPr>
        <w:t>2008)</w:t>
      </w:r>
    </w:p>
    <w:p w:rsidR="00DD2B20" w:rsidRPr="0071782F" w:rsidRDefault="00DD2B20" w:rsidP="0002294F">
      <w:pPr>
        <w:pStyle w:val="SingleTxtG"/>
        <w:spacing w:after="240"/>
        <w:rPr>
          <w:lang w:val="fr-CH"/>
        </w:rPr>
      </w:pPr>
      <w:r w:rsidRPr="0071782F">
        <w:rPr>
          <w:lang w:val="fr-CH"/>
        </w:rPr>
        <w:t>87.</w:t>
      </w:r>
      <w:r w:rsidRPr="0071782F">
        <w:rPr>
          <w:lang w:val="fr-CH"/>
        </w:rPr>
        <w:tab/>
      </w:r>
      <w:r w:rsidR="007177D2" w:rsidRPr="0071782F">
        <w:rPr>
          <w:lang w:val="fr-CH"/>
        </w:rPr>
        <w:t xml:space="preserve">En ce qui concerne les politiques d’indemnisation du chômage, de prévention du chômage et d’octroi de crédits du Ministère du travail et des affaires sociales, il importe de prendre </w:t>
      </w:r>
      <w:r w:rsidR="00B71907" w:rsidRPr="0071782F">
        <w:rPr>
          <w:lang w:val="fr-CH"/>
        </w:rPr>
        <w:t>note </w:t>
      </w:r>
      <w:r w:rsidR="007177D2" w:rsidRPr="0071782F">
        <w:rPr>
          <w:lang w:val="fr-CH"/>
        </w:rPr>
        <w:t>des données présentées dans le tableau ci-après</w:t>
      </w:r>
      <w:r w:rsidRPr="0071782F">
        <w:rPr>
          <w:lang w:val="fr-CH"/>
        </w:rPr>
        <w:t>.</w:t>
      </w:r>
    </w:p>
    <w:tbl>
      <w:tblPr>
        <w:tblW w:w="7371"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6"/>
        <w:gridCol w:w="4000"/>
        <w:gridCol w:w="1001"/>
        <w:gridCol w:w="1002"/>
        <w:gridCol w:w="1002"/>
      </w:tblGrid>
      <w:tr w:rsidR="00D7723B" w:rsidRPr="0071782F">
        <w:trPr>
          <w:tblHeader/>
        </w:trPr>
        <w:tc>
          <w:tcPr>
            <w:tcW w:w="366" w:type="dxa"/>
            <w:tcBorders>
              <w:top w:val="single" w:sz="4" w:space="0" w:color="auto"/>
              <w:bottom w:val="single" w:sz="12" w:space="0" w:color="auto"/>
            </w:tcBorders>
          </w:tcPr>
          <w:p w:rsidR="00D7723B" w:rsidRPr="0071782F" w:rsidRDefault="00D7723B" w:rsidP="009D7118">
            <w:pPr>
              <w:suppressAutoHyphens w:val="0"/>
              <w:spacing w:before="80" w:after="80" w:line="200" w:lineRule="exact"/>
              <w:rPr>
                <w:i/>
                <w:sz w:val="16"/>
                <w:lang w:val="fr-CH"/>
              </w:rPr>
            </w:pPr>
          </w:p>
        </w:tc>
        <w:tc>
          <w:tcPr>
            <w:tcW w:w="4000" w:type="dxa"/>
            <w:tcBorders>
              <w:top w:val="single" w:sz="4" w:space="0" w:color="auto"/>
              <w:bottom w:val="single" w:sz="12" w:space="0" w:color="auto"/>
            </w:tcBorders>
            <w:shd w:val="clear" w:color="auto" w:fill="auto"/>
            <w:vAlign w:val="bottom"/>
          </w:tcPr>
          <w:p w:rsidR="00D7723B" w:rsidRPr="0071782F" w:rsidRDefault="00D7723B" w:rsidP="009D7118">
            <w:pPr>
              <w:suppressAutoHyphens w:val="0"/>
              <w:spacing w:before="80" w:after="80" w:line="200" w:lineRule="exact"/>
              <w:rPr>
                <w:i/>
                <w:sz w:val="16"/>
                <w:lang w:val="fr-CH"/>
              </w:rPr>
            </w:pPr>
            <w:r w:rsidRPr="0071782F">
              <w:rPr>
                <w:i/>
                <w:sz w:val="16"/>
                <w:lang w:val="fr-CH"/>
              </w:rPr>
              <w:t>Indicat</w:t>
            </w:r>
            <w:r w:rsidR="007177D2" w:rsidRPr="0071782F">
              <w:rPr>
                <w:i/>
                <w:sz w:val="16"/>
                <w:lang w:val="fr-CH"/>
              </w:rPr>
              <w:t>eu</w:t>
            </w:r>
            <w:r w:rsidRPr="0071782F">
              <w:rPr>
                <w:i/>
                <w:sz w:val="16"/>
                <w:lang w:val="fr-CH"/>
              </w:rPr>
              <w:t>rs (</w:t>
            </w:r>
            <w:r w:rsidR="007177D2" w:rsidRPr="0071782F">
              <w:rPr>
                <w:i/>
                <w:sz w:val="16"/>
                <w:lang w:val="fr-CH"/>
              </w:rPr>
              <w:t>aides destinées à préserver l’emploi et la viabilité des entreprises</w:t>
            </w:r>
            <w:r w:rsidRPr="0071782F">
              <w:rPr>
                <w:i/>
                <w:sz w:val="16"/>
                <w:lang w:val="fr-CH"/>
              </w:rPr>
              <w:t>)</w:t>
            </w:r>
          </w:p>
        </w:tc>
        <w:tc>
          <w:tcPr>
            <w:tcW w:w="1001" w:type="dxa"/>
            <w:tcBorders>
              <w:top w:val="single" w:sz="4" w:space="0" w:color="auto"/>
              <w:bottom w:val="single" w:sz="12" w:space="0" w:color="auto"/>
            </w:tcBorders>
            <w:shd w:val="clear" w:color="auto" w:fill="auto"/>
            <w:vAlign w:val="bottom"/>
          </w:tcPr>
          <w:p w:rsidR="00D7723B" w:rsidRPr="0071782F" w:rsidRDefault="00D7723B" w:rsidP="009D7118">
            <w:pPr>
              <w:suppressAutoHyphens w:val="0"/>
              <w:spacing w:before="80" w:after="80" w:line="200" w:lineRule="exact"/>
              <w:jc w:val="right"/>
              <w:rPr>
                <w:i/>
                <w:sz w:val="16"/>
                <w:lang w:val="fr-CH"/>
              </w:rPr>
            </w:pPr>
            <w:r w:rsidRPr="0071782F">
              <w:rPr>
                <w:i/>
                <w:sz w:val="16"/>
                <w:lang w:val="fr-CH"/>
              </w:rPr>
              <w:t>N</w:t>
            </w:r>
            <w:r w:rsidR="007177D2" w:rsidRPr="0071782F">
              <w:rPr>
                <w:i/>
                <w:sz w:val="16"/>
                <w:lang w:val="fr-CH"/>
              </w:rPr>
              <w:t xml:space="preserve">ombre d’unités bénéficiaires </w:t>
            </w:r>
          </w:p>
        </w:tc>
        <w:tc>
          <w:tcPr>
            <w:tcW w:w="1002" w:type="dxa"/>
            <w:tcBorders>
              <w:top w:val="single" w:sz="4" w:space="0" w:color="auto"/>
              <w:bottom w:val="single" w:sz="12" w:space="0" w:color="auto"/>
            </w:tcBorders>
            <w:shd w:val="clear" w:color="auto" w:fill="auto"/>
            <w:vAlign w:val="bottom"/>
          </w:tcPr>
          <w:p w:rsidR="00D7723B" w:rsidRPr="0071782F" w:rsidRDefault="00D7723B" w:rsidP="009D7118">
            <w:pPr>
              <w:suppressAutoHyphens w:val="0"/>
              <w:spacing w:before="80" w:after="80" w:line="200" w:lineRule="exact"/>
              <w:jc w:val="right"/>
              <w:rPr>
                <w:i/>
                <w:sz w:val="16"/>
                <w:lang w:val="fr-CH"/>
              </w:rPr>
            </w:pPr>
            <w:r w:rsidRPr="0071782F">
              <w:rPr>
                <w:i/>
                <w:sz w:val="16"/>
                <w:lang w:val="fr-CH"/>
              </w:rPr>
              <w:t>N</w:t>
            </w:r>
            <w:r w:rsidR="007177D2" w:rsidRPr="0071782F">
              <w:rPr>
                <w:i/>
                <w:sz w:val="16"/>
                <w:lang w:val="fr-CH"/>
              </w:rPr>
              <w:t xml:space="preserve">ombre de travailleurs bénéficiaires </w:t>
            </w:r>
          </w:p>
        </w:tc>
        <w:tc>
          <w:tcPr>
            <w:tcW w:w="1002" w:type="dxa"/>
            <w:tcBorders>
              <w:top w:val="single" w:sz="4" w:space="0" w:color="auto"/>
              <w:bottom w:val="single" w:sz="12" w:space="0" w:color="auto"/>
            </w:tcBorders>
            <w:shd w:val="clear" w:color="auto" w:fill="auto"/>
            <w:vAlign w:val="bottom"/>
          </w:tcPr>
          <w:p w:rsidR="00D7723B" w:rsidRPr="0071782F" w:rsidRDefault="007177D2" w:rsidP="009D7118">
            <w:pPr>
              <w:suppressAutoHyphens w:val="0"/>
              <w:spacing w:before="80" w:after="80" w:line="200" w:lineRule="exact"/>
              <w:jc w:val="right"/>
              <w:rPr>
                <w:i/>
                <w:sz w:val="16"/>
                <w:lang w:val="fr-CH"/>
              </w:rPr>
            </w:pPr>
            <w:r w:rsidRPr="0071782F">
              <w:rPr>
                <w:i/>
                <w:sz w:val="16"/>
                <w:lang w:val="fr-CH"/>
              </w:rPr>
              <w:t xml:space="preserve">Montants versés (milliards </w:t>
            </w:r>
            <w:r w:rsidR="003B1403" w:rsidRPr="0071782F">
              <w:rPr>
                <w:i/>
                <w:sz w:val="16"/>
                <w:lang w:val="fr-CH"/>
              </w:rPr>
              <w:t>de rials</w:t>
            </w:r>
            <w:r w:rsidR="00D7723B" w:rsidRPr="0071782F">
              <w:rPr>
                <w:i/>
                <w:sz w:val="16"/>
                <w:lang w:val="fr-CH"/>
              </w:rPr>
              <w:t>)</w:t>
            </w:r>
          </w:p>
        </w:tc>
      </w:tr>
      <w:tr w:rsidR="00D7723B" w:rsidRPr="0071782F">
        <w:tc>
          <w:tcPr>
            <w:tcW w:w="366" w:type="dxa"/>
            <w:tcBorders>
              <w:top w:val="single" w:sz="12" w:space="0" w:color="auto"/>
            </w:tcBorders>
          </w:tcPr>
          <w:p w:rsidR="00D7723B" w:rsidRPr="0071782F" w:rsidRDefault="00D7723B" w:rsidP="009D7118">
            <w:pPr>
              <w:suppressAutoHyphens w:val="0"/>
              <w:spacing w:before="40" w:after="40" w:line="220" w:lineRule="exact"/>
              <w:rPr>
                <w:sz w:val="18"/>
                <w:lang w:val="fr-CH"/>
              </w:rPr>
            </w:pPr>
            <w:r w:rsidRPr="0071782F">
              <w:rPr>
                <w:sz w:val="18"/>
                <w:lang w:val="fr-CH"/>
              </w:rPr>
              <w:t>1</w:t>
            </w:r>
          </w:p>
        </w:tc>
        <w:tc>
          <w:tcPr>
            <w:tcW w:w="4000" w:type="dxa"/>
            <w:tcBorders>
              <w:top w:val="single" w:sz="12" w:space="0" w:color="auto"/>
            </w:tcBorders>
            <w:shd w:val="clear" w:color="auto" w:fill="auto"/>
          </w:tcPr>
          <w:p w:rsidR="00D7723B" w:rsidRPr="0071782F" w:rsidRDefault="007177D2" w:rsidP="009D7118">
            <w:pPr>
              <w:suppressAutoHyphens w:val="0"/>
              <w:spacing w:before="40" w:after="40" w:line="220" w:lineRule="exact"/>
              <w:rPr>
                <w:sz w:val="18"/>
                <w:lang w:val="fr-CH"/>
              </w:rPr>
            </w:pPr>
            <w:r w:rsidRPr="0071782F">
              <w:rPr>
                <w:sz w:val="18"/>
                <w:lang w:val="fr-CH"/>
              </w:rPr>
              <w:t>Aides fournies par la commi</w:t>
            </w:r>
            <w:r w:rsidR="00A30D94" w:rsidRPr="0071782F">
              <w:rPr>
                <w:sz w:val="18"/>
                <w:lang w:val="fr-CH"/>
              </w:rPr>
              <w:t>ssion</w:t>
            </w:r>
            <w:r w:rsidRPr="0071782F">
              <w:rPr>
                <w:sz w:val="18"/>
                <w:lang w:val="fr-CH"/>
              </w:rPr>
              <w:t xml:space="preserve"> gouvernementale compétente </w:t>
            </w:r>
            <w:r w:rsidR="00D7723B" w:rsidRPr="0071782F">
              <w:rPr>
                <w:sz w:val="18"/>
                <w:lang w:val="fr-CH"/>
              </w:rPr>
              <w:t>(unit</w:t>
            </w:r>
            <w:r w:rsidRPr="0071782F">
              <w:rPr>
                <w:sz w:val="18"/>
                <w:lang w:val="fr-CH"/>
              </w:rPr>
              <w:t>é</w:t>
            </w:r>
            <w:r w:rsidR="00D7723B" w:rsidRPr="0071782F">
              <w:rPr>
                <w:sz w:val="18"/>
                <w:lang w:val="fr-CH"/>
              </w:rPr>
              <w:t xml:space="preserve">s </w:t>
            </w:r>
            <w:r w:rsidR="00A30D94" w:rsidRPr="0071782F">
              <w:rPr>
                <w:sz w:val="18"/>
                <w:lang w:val="fr-CH"/>
              </w:rPr>
              <w:t>employan</w:t>
            </w:r>
            <w:r w:rsidRPr="0071782F">
              <w:rPr>
                <w:sz w:val="18"/>
                <w:lang w:val="fr-CH"/>
              </w:rPr>
              <w:t>t plus de 50 travailleurs</w:t>
            </w:r>
            <w:r w:rsidR="00D7723B" w:rsidRPr="0071782F">
              <w:rPr>
                <w:sz w:val="18"/>
                <w:lang w:val="fr-CH"/>
              </w:rPr>
              <w:t>)</w:t>
            </w:r>
          </w:p>
        </w:tc>
        <w:tc>
          <w:tcPr>
            <w:tcW w:w="1001" w:type="dxa"/>
            <w:tcBorders>
              <w:top w:val="single" w:sz="12" w:space="0" w:color="auto"/>
            </w:tcBorders>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491</w:t>
            </w:r>
          </w:p>
        </w:tc>
        <w:tc>
          <w:tcPr>
            <w:tcW w:w="1002" w:type="dxa"/>
            <w:tcBorders>
              <w:top w:val="single" w:sz="12" w:space="0" w:color="auto"/>
            </w:tcBorders>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125 072</w:t>
            </w:r>
          </w:p>
        </w:tc>
        <w:tc>
          <w:tcPr>
            <w:tcW w:w="1002" w:type="dxa"/>
            <w:tcBorders>
              <w:top w:val="single" w:sz="12" w:space="0" w:color="auto"/>
            </w:tcBorders>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1 315</w:t>
            </w:r>
            <w:r w:rsidR="00A83442">
              <w:rPr>
                <w:sz w:val="18"/>
                <w:lang w:val="fr-CH"/>
              </w:rPr>
              <w:t>,</w:t>
            </w:r>
            <w:r w:rsidRPr="0071782F">
              <w:rPr>
                <w:sz w:val="18"/>
                <w:lang w:val="fr-CH"/>
              </w:rPr>
              <w:t>4</w:t>
            </w:r>
          </w:p>
        </w:tc>
      </w:tr>
      <w:tr w:rsidR="00D7723B" w:rsidRPr="0071782F">
        <w:tc>
          <w:tcPr>
            <w:tcW w:w="366" w:type="dxa"/>
          </w:tcPr>
          <w:p w:rsidR="00D7723B" w:rsidRPr="0071782F" w:rsidRDefault="00D7723B" w:rsidP="009D7118">
            <w:pPr>
              <w:suppressAutoHyphens w:val="0"/>
              <w:spacing w:before="40" w:after="40" w:line="220" w:lineRule="exact"/>
              <w:rPr>
                <w:sz w:val="18"/>
                <w:lang w:val="fr-CH"/>
              </w:rPr>
            </w:pPr>
            <w:r w:rsidRPr="0071782F">
              <w:rPr>
                <w:sz w:val="18"/>
                <w:lang w:val="fr-CH"/>
              </w:rPr>
              <w:t>2</w:t>
            </w:r>
          </w:p>
        </w:tc>
        <w:tc>
          <w:tcPr>
            <w:tcW w:w="4000" w:type="dxa"/>
            <w:shd w:val="clear" w:color="auto" w:fill="auto"/>
          </w:tcPr>
          <w:p w:rsidR="00D7723B" w:rsidRPr="0071782F" w:rsidRDefault="007177D2" w:rsidP="009D7118">
            <w:pPr>
              <w:suppressAutoHyphens w:val="0"/>
              <w:spacing w:before="40" w:after="40" w:line="220" w:lineRule="exact"/>
              <w:rPr>
                <w:sz w:val="18"/>
                <w:lang w:val="fr-CH"/>
              </w:rPr>
            </w:pPr>
            <w:r w:rsidRPr="0071782F">
              <w:rPr>
                <w:sz w:val="18"/>
                <w:lang w:val="fr-CH"/>
              </w:rPr>
              <w:t xml:space="preserve">Aides fournies par le biais des services sociaux </w:t>
            </w:r>
          </w:p>
        </w:tc>
        <w:tc>
          <w:tcPr>
            <w:tcW w:w="1001"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427</w:t>
            </w:r>
          </w:p>
        </w:tc>
        <w:tc>
          <w:tcPr>
            <w:tcW w:w="1002"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5 810</w:t>
            </w:r>
          </w:p>
        </w:tc>
        <w:tc>
          <w:tcPr>
            <w:tcW w:w="1002"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97</w:t>
            </w:r>
          </w:p>
        </w:tc>
      </w:tr>
      <w:tr w:rsidR="00D7723B" w:rsidRPr="0071782F">
        <w:tc>
          <w:tcPr>
            <w:tcW w:w="366" w:type="dxa"/>
          </w:tcPr>
          <w:p w:rsidR="00D7723B" w:rsidRPr="0071782F" w:rsidRDefault="00D7723B" w:rsidP="009D7118">
            <w:pPr>
              <w:suppressAutoHyphens w:val="0"/>
              <w:spacing w:before="40" w:after="40" w:line="220" w:lineRule="exact"/>
              <w:rPr>
                <w:sz w:val="18"/>
                <w:lang w:val="fr-CH"/>
              </w:rPr>
            </w:pPr>
            <w:r w:rsidRPr="0071782F">
              <w:rPr>
                <w:sz w:val="18"/>
                <w:lang w:val="fr-CH"/>
              </w:rPr>
              <w:t>3</w:t>
            </w:r>
          </w:p>
        </w:tc>
        <w:tc>
          <w:tcPr>
            <w:tcW w:w="4000" w:type="dxa"/>
            <w:shd w:val="clear" w:color="auto" w:fill="auto"/>
          </w:tcPr>
          <w:p w:rsidR="00D7723B" w:rsidRPr="0071782F" w:rsidRDefault="007177D2" w:rsidP="009D7118">
            <w:pPr>
              <w:suppressAutoHyphens w:val="0"/>
              <w:spacing w:before="40" w:after="40" w:line="220" w:lineRule="exact"/>
              <w:rPr>
                <w:sz w:val="18"/>
                <w:lang w:val="fr-CH"/>
              </w:rPr>
            </w:pPr>
            <w:r w:rsidRPr="0071782F">
              <w:rPr>
                <w:sz w:val="18"/>
                <w:lang w:val="fr-CH"/>
              </w:rPr>
              <w:t>Aides fournies à hauteur de 20</w:t>
            </w:r>
            <w:r w:rsidR="007E5125" w:rsidRPr="0071782F">
              <w:rPr>
                <w:sz w:val="18"/>
                <w:lang w:val="fr-CH"/>
              </w:rPr>
              <w:t>%</w:t>
            </w:r>
            <w:r w:rsidRPr="0071782F">
              <w:rPr>
                <w:sz w:val="18"/>
                <w:lang w:val="fr-CH"/>
              </w:rPr>
              <w:t xml:space="preserve"> des crédits alloués aux projets </w:t>
            </w:r>
            <w:r w:rsidRPr="0071782F">
              <w:rPr>
                <w:sz w:val="18"/>
                <w:szCs w:val="18"/>
                <w:lang w:val="fr-CH"/>
              </w:rPr>
              <w:t>offrant un rendement rapide du capital investi</w:t>
            </w:r>
            <w:r w:rsidRPr="0071782F">
              <w:rPr>
                <w:lang w:val="fr-CH"/>
              </w:rPr>
              <w:t xml:space="preserve"> </w:t>
            </w:r>
          </w:p>
        </w:tc>
        <w:tc>
          <w:tcPr>
            <w:tcW w:w="1001"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8 710</w:t>
            </w:r>
          </w:p>
        </w:tc>
        <w:tc>
          <w:tcPr>
            <w:tcW w:w="1002"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889 600</w:t>
            </w:r>
          </w:p>
        </w:tc>
        <w:tc>
          <w:tcPr>
            <w:tcW w:w="1002"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26 690</w:t>
            </w:r>
          </w:p>
        </w:tc>
      </w:tr>
      <w:tr w:rsidR="00D7723B" w:rsidRPr="0071782F">
        <w:tc>
          <w:tcPr>
            <w:tcW w:w="366" w:type="dxa"/>
          </w:tcPr>
          <w:p w:rsidR="00D7723B" w:rsidRPr="0071782F" w:rsidRDefault="00D7723B" w:rsidP="009D7118">
            <w:pPr>
              <w:suppressAutoHyphens w:val="0"/>
              <w:spacing w:before="40" w:after="40" w:line="220" w:lineRule="exact"/>
              <w:rPr>
                <w:sz w:val="18"/>
                <w:lang w:val="fr-CH"/>
              </w:rPr>
            </w:pPr>
            <w:r w:rsidRPr="0071782F">
              <w:rPr>
                <w:sz w:val="18"/>
                <w:lang w:val="fr-CH"/>
              </w:rPr>
              <w:t>4</w:t>
            </w:r>
          </w:p>
        </w:tc>
        <w:tc>
          <w:tcPr>
            <w:tcW w:w="4000" w:type="dxa"/>
            <w:shd w:val="clear" w:color="auto" w:fill="auto"/>
          </w:tcPr>
          <w:p w:rsidR="00D7723B" w:rsidRPr="0071782F" w:rsidRDefault="00D7723B" w:rsidP="009D7118">
            <w:pPr>
              <w:suppressAutoHyphens w:val="0"/>
              <w:spacing w:before="40" w:after="40" w:line="220" w:lineRule="exact"/>
              <w:rPr>
                <w:sz w:val="18"/>
                <w:lang w:val="fr-CH"/>
              </w:rPr>
            </w:pPr>
            <w:r w:rsidRPr="0071782F">
              <w:rPr>
                <w:sz w:val="18"/>
                <w:lang w:val="fr-CH"/>
              </w:rPr>
              <w:t>Refinanc</w:t>
            </w:r>
            <w:r w:rsidR="007177D2" w:rsidRPr="0071782F">
              <w:rPr>
                <w:sz w:val="18"/>
                <w:lang w:val="fr-CH"/>
              </w:rPr>
              <w:t>ement des dettes des entreprises</w:t>
            </w:r>
          </w:p>
        </w:tc>
        <w:tc>
          <w:tcPr>
            <w:tcW w:w="1001"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451</w:t>
            </w:r>
          </w:p>
        </w:tc>
        <w:tc>
          <w:tcPr>
            <w:tcW w:w="1002"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73 998</w:t>
            </w:r>
          </w:p>
        </w:tc>
        <w:tc>
          <w:tcPr>
            <w:tcW w:w="1002"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21 153</w:t>
            </w:r>
          </w:p>
        </w:tc>
      </w:tr>
      <w:tr w:rsidR="00D7723B" w:rsidRPr="0071782F">
        <w:tc>
          <w:tcPr>
            <w:tcW w:w="366" w:type="dxa"/>
          </w:tcPr>
          <w:p w:rsidR="00D7723B" w:rsidRPr="0071782F" w:rsidRDefault="00D7723B" w:rsidP="009D7118">
            <w:pPr>
              <w:suppressAutoHyphens w:val="0"/>
              <w:spacing w:before="40" w:after="40" w:line="220" w:lineRule="exact"/>
              <w:rPr>
                <w:sz w:val="18"/>
                <w:lang w:val="fr-CH"/>
              </w:rPr>
            </w:pPr>
            <w:r w:rsidRPr="0071782F">
              <w:rPr>
                <w:sz w:val="18"/>
                <w:lang w:val="fr-CH"/>
              </w:rPr>
              <w:t>5</w:t>
            </w:r>
          </w:p>
        </w:tc>
        <w:tc>
          <w:tcPr>
            <w:tcW w:w="4000" w:type="dxa"/>
            <w:shd w:val="clear" w:color="auto" w:fill="auto"/>
          </w:tcPr>
          <w:p w:rsidR="00D7723B" w:rsidRPr="0071782F" w:rsidRDefault="007177D2" w:rsidP="009D7118">
            <w:pPr>
              <w:suppressAutoHyphens w:val="0"/>
              <w:spacing w:before="40" w:after="40" w:line="220" w:lineRule="exact"/>
              <w:rPr>
                <w:sz w:val="18"/>
                <w:lang w:val="fr-CH"/>
              </w:rPr>
            </w:pPr>
            <w:r w:rsidRPr="0071782F">
              <w:rPr>
                <w:sz w:val="18"/>
                <w:lang w:val="fr-CH"/>
              </w:rPr>
              <w:t xml:space="preserve">Emploi de retraités </w:t>
            </w:r>
          </w:p>
        </w:tc>
        <w:tc>
          <w:tcPr>
            <w:tcW w:w="1001"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1 874</w:t>
            </w:r>
          </w:p>
        </w:tc>
        <w:tc>
          <w:tcPr>
            <w:tcW w:w="1002"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57 407</w:t>
            </w:r>
          </w:p>
        </w:tc>
        <w:tc>
          <w:tcPr>
            <w:tcW w:w="1002"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5 740</w:t>
            </w:r>
          </w:p>
        </w:tc>
      </w:tr>
      <w:tr w:rsidR="00D7723B" w:rsidRPr="0071782F">
        <w:tc>
          <w:tcPr>
            <w:tcW w:w="366" w:type="dxa"/>
          </w:tcPr>
          <w:p w:rsidR="00D7723B" w:rsidRPr="0071782F" w:rsidRDefault="00D7723B" w:rsidP="009D7118">
            <w:pPr>
              <w:suppressAutoHyphens w:val="0"/>
              <w:spacing w:before="40" w:after="40" w:line="220" w:lineRule="exact"/>
              <w:rPr>
                <w:sz w:val="18"/>
                <w:lang w:val="fr-CH"/>
              </w:rPr>
            </w:pPr>
            <w:r w:rsidRPr="0071782F">
              <w:rPr>
                <w:sz w:val="18"/>
                <w:lang w:val="fr-CH"/>
              </w:rPr>
              <w:t>6</w:t>
            </w:r>
          </w:p>
        </w:tc>
        <w:tc>
          <w:tcPr>
            <w:tcW w:w="4000" w:type="dxa"/>
            <w:shd w:val="clear" w:color="auto" w:fill="auto"/>
          </w:tcPr>
          <w:p w:rsidR="00D7723B" w:rsidRPr="0071782F" w:rsidRDefault="00D7723B" w:rsidP="009D7118">
            <w:pPr>
              <w:suppressAutoHyphens w:val="0"/>
              <w:spacing w:before="40" w:after="40" w:line="220" w:lineRule="exact"/>
              <w:rPr>
                <w:sz w:val="18"/>
                <w:lang w:val="fr-CH"/>
              </w:rPr>
            </w:pPr>
            <w:r w:rsidRPr="0071782F">
              <w:rPr>
                <w:sz w:val="18"/>
                <w:lang w:val="fr-CH"/>
              </w:rPr>
              <w:t>R</w:t>
            </w:r>
            <w:r w:rsidR="007177D2" w:rsidRPr="0071782F">
              <w:rPr>
                <w:sz w:val="18"/>
                <w:lang w:val="fr-CH"/>
              </w:rPr>
              <w:t xml:space="preserve">éforme de la structure des entreprises </w:t>
            </w:r>
          </w:p>
        </w:tc>
        <w:tc>
          <w:tcPr>
            <w:tcW w:w="1001"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58</w:t>
            </w:r>
          </w:p>
        </w:tc>
        <w:tc>
          <w:tcPr>
            <w:tcW w:w="1002"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7 427</w:t>
            </w:r>
          </w:p>
        </w:tc>
        <w:tc>
          <w:tcPr>
            <w:tcW w:w="1002"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108</w:t>
            </w:r>
            <w:r w:rsidR="00A83442">
              <w:rPr>
                <w:sz w:val="18"/>
                <w:lang w:val="fr-CH"/>
              </w:rPr>
              <w:t>,</w:t>
            </w:r>
            <w:r w:rsidRPr="0071782F">
              <w:rPr>
                <w:sz w:val="18"/>
                <w:lang w:val="fr-CH"/>
              </w:rPr>
              <w:t>6</w:t>
            </w:r>
          </w:p>
        </w:tc>
      </w:tr>
      <w:tr w:rsidR="00D7723B" w:rsidRPr="0071782F">
        <w:tc>
          <w:tcPr>
            <w:tcW w:w="366" w:type="dxa"/>
          </w:tcPr>
          <w:p w:rsidR="00D7723B" w:rsidRPr="0071782F" w:rsidRDefault="00D7723B" w:rsidP="009D7118">
            <w:pPr>
              <w:suppressAutoHyphens w:val="0"/>
              <w:spacing w:before="40" w:after="40" w:line="220" w:lineRule="exact"/>
              <w:rPr>
                <w:sz w:val="18"/>
                <w:lang w:val="fr-CH"/>
              </w:rPr>
            </w:pPr>
            <w:r w:rsidRPr="0071782F">
              <w:rPr>
                <w:sz w:val="18"/>
                <w:lang w:val="fr-CH"/>
              </w:rPr>
              <w:t>7</w:t>
            </w:r>
          </w:p>
        </w:tc>
        <w:tc>
          <w:tcPr>
            <w:tcW w:w="4000" w:type="dxa"/>
            <w:shd w:val="clear" w:color="auto" w:fill="auto"/>
          </w:tcPr>
          <w:p w:rsidR="00D7723B" w:rsidRPr="0071782F" w:rsidRDefault="00B71907" w:rsidP="009D7118">
            <w:pPr>
              <w:suppressAutoHyphens w:val="0"/>
              <w:spacing w:before="40" w:after="40" w:line="220" w:lineRule="exact"/>
              <w:rPr>
                <w:sz w:val="18"/>
                <w:lang w:val="fr-CH"/>
              </w:rPr>
            </w:pPr>
            <w:r w:rsidRPr="0071782F">
              <w:rPr>
                <w:sz w:val="18"/>
                <w:lang w:val="fr-CH"/>
              </w:rPr>
              <w:t>Note </w:t>
            </w:r>
            <w:r w:rsidR="00D7723B" w:rsidRPr="0071782F">
              <w:rPr>
                <w:sz w:val="18"/>
                <w:lang w:val="fr-CH"/>
              </w:rPr>
              <w:t xml:space="preserve">1 </w:t>
            </w:r>
            <w:r w:rsidR="007177D2" w:rsidRPr="0071782F">
              <w:rPr>
                <w:sz w:val="18"/>
                <w:lang w:val="fr-CH"/>
              </w:rPr>
              <w:t xml:space="preserve">de </w:t>
            </w:r>
            <w:r w:rsidR="00723F2B" w:rsidRPr="0071782F">
              <w:rPr>
                <w:sz w:val="18"/>
                <w:lang w:val="fr-CH"/>
              </w:rPr>
              <w:t>l’</w:t>
            </w:r>
            <w:r w:rsidR="00943A69" w:rsidRPr="0071782F">
              <w:rPr>
                <w:sz w:val="18"/>
                <w:lang w:val="fr-CH"/>
              </w:rPr>
              <w:t>article </w:t>
            </w:r>
            <w:r w:rsidR="00D7723B" w:rsidRPr="0071782F">
              <w:rPr>
                <w:sz w:val="18"/>
                <w:lang w:val="fr-CH"/>
              </w:rPr>
              <w:t>6 (</w:t>
            </w:r>
            <w:r w:rsidR="007177D2" w:rsidRPr="0071782F">
              <w:rPr>
                <w:sz w:val="18"/>
                <w:lang w:val="fr-CH"/>
              </w:rPr>
              <w:t>Code du travail</w:t>
            </w:r>
            <w:r w:rsidR="00D7723B" w:rsidRPr="0071782F">
              <w:rPr>
                <w:sz w:val="18"/>
                <w:lang w:val="fr-CH"/>
              </w:rPr>
              <w:t>)</w:t>
            </w:r>
          </w:p>
        </w:tc>
        <w:tc>
          <w:tcPr>
            <w:tcW w:w="1001"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312</w:t>
            </w:r>
          </w:p>
        </w:tc>
        <w:tc>
          <w:tcPr>
            <w:tcW w:w="1002"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522</w:t>
            </w:r>
          </w:p>
        </w:tc>
        <w:tc>
          <w:tcPr>
            <w:tcW w:w="1002" w:type="dxa"/>
            <w:shd w:val="clear" w:color="auto" w:fill="auto"/>
            <w:vAlign w:val="bottom"/>
          </w:tcPr>
          <w:p w:rsidR="00D7723B" w:rsidRPr="0071782F" w:rsidRDefault="00A7453D" w:rsidP="009D7118">
            <w:pPr>
              <w:suppressAutoHyphens w:val="0"/>
              <w:spacing w:before="40" w:after="40" w:line="220" w:lineRule="exact"/>
              <w:jc w:val="right"/>
              <w:rPr>
                <w:sz w:val="18"/>
                <w:lang w:val="fr-CH"/>
              </w:rPr>
            </w:pPr>
            <w:r w:rsidRPr="0071782F">
              <w:rPr>
                <w:sz w:val="18"/>
                <w:lang w:val="fr-CH"/>
              </w:rPr>
              <w:t>–</w:t>
            </w:r>
          </w:p>
        </w:tc>
      </w:tr>
      <w:tr w:rsidR="00D7723B" w:rsidRPr="0071782F">
        <w:tc>
          <w:tcPr>
            <w:tcW w:w="366" w:type="dxa"/>
          </w:tcPr>
          <w:p w:rsidR="00D7723B" w:rsidRPr="0071782F" w:rsidRDefault="00D7723B" w:rsidP="009D7118">
            <w:pPr>
              <w:suppressAutoHyphens w:val="0"/>
              <w:spacing w:before="40" w:after="40" w:line="220" w:lineRule="exact"/>
              <w:rPr>
                <w:sz w:val="18"/>
                <w:lang w:val="fr-CH"/>
              </w:rPr>
            </w:pPr>
            <w:r w:rsidRPr="0071782F">
              <w:rPr>
                <w:sz w:val="18"/>
                <w:lang w:val="fr-CH"/>
              </w:rPr>
              <w:t>8</w:t>
            </w:r>
          </w:p>
        </w:tc>
        <w:tc>
          <w:tcPr>
            <w:tcW w:w="4000" w:type="dxa"/>
            <w:shd w:val="clear" w:color="auto" w:fill="auto"/>
          </w:tcPr>
          <w:p w:rsidR="00D7723B" w:rsidRPr="0071782F" w:rsidRDefault="007177D2" w:rsidP="009D7118">
            <w:pPr>
              <w:suppressAutoHyphens w:val="0"/>
              <w:spacing w:before="40" w:after="40" w:line="220" w:lineRule="exact"/>
              <w:rPr>
                <w:sz w:val="18"/>
                <w:lang w:val="fr-CH"/>
              </w:rPr>
            </w:pPr>
            <w:r w:rsidRPr="0071782F">
              <w:rPr>
                <w:sz w:val="18"/>
                <w:lang w:val="fr-CH"/>
              </w:rPr>
              <w:t xml:space="preserve">Crédits alloués à l’achat d’automobiles </w:t>
            </w:r>
          </w:p>
        </w:tc>
        <w:tc>
          <w:tcPr>
            <w:tcW w:w="1001"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3 846</w:t>
            </w:r>
          </w:p>
        </w:tc>
        <w:tc>
          <w:tcPr>
            <w:tcW w:w="1002"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1 290</w:t>
            </w:r>
          </w:p>
        </w:tc>
        <w:tc>
          <w:tcPr>
            <w:tcW w:w="1002"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37 800</w:t>
            </w:r>
          </w:p>
        </w:tc>
      </w:tr>
      <w:tr w:rsidR="00D7723B" w:rsidRPr="0071782F">
        <w:tc>
          <w:tcPr>
            <w:tcW w:w="366" w:type="dxa"/>
          </w:tcPr>
          <w:p w:rsidR="00D7723B" w:rsidRPr="0071782F" w:rsidRDefault="00D7723B" w:rsidP="009D7118">
            <w:pPr>
              <w:suppressAutoHyphens w:val="0"/>
              <w:spacing w:before="40" w:after="40" w:line="220" w:lineRule="exact"/>
              <w:rPr>
                <w:sz w:val="18"/>
                <w:lang w:val="fr-CH"/>
              </w:rPr>
            </w:pPr>
            <w:r w:rsidRPr="0071782F">
              <w:rPr>
                <w:sz w:val="18"/>
                <w:lang w:val="fr-CH"/>
              </w:rPr>
              <w:t>9</w:t>
            </w:r>
          </w:p>
        </w:tc>
        <w:tc>
          <w:tcPr>
            <w:tcW w:w="4000" w:type="dxa"/>
            <w:shd w:val="clear" w:color="auto" w:fill="auto"/>
          </w:tcPr>
          <w:p w:rsidR="00D7723B" w:rsidRPr="0071782F" w:rsidRDefault="007177D2" w:rsidP="009D7118">
            <w:pPr>
              <w:suppressAutoHyphens w:val="0"/>
              <w:spacing w:before="40" w:after="40" w:line="220" w:lineRule="exact"/>
              <w:rPr>
                <w:sz w:val="18"/>
                <w:lang w:val="fr-CH"/>
              </w:rPr>
            </w:pPr>
            <w:r w:rsidRPr="0071782F">
              <w:rPr>
                <w:sz w:val="18"/>
                <w:lang w:val="fr-CH"/>
              </w:rPr>
              <w:t xml:space="preserve">Autres </w:t>
            </w:r>
          </w:p>
        </w:tc>
        <w:tc>
          <w:tcPr>
            <w:tcW w:w="1001" w:type="dxa"/>
            <w:shd w:val="clear" w:color="auto" w:fill="auto"/>
            <w:vAlign w:val="bottom"/>
          </w:tcPr>
          <w:p w:rsidR="00D7723B" w:rsidRPr="0071782F" w:rsidRDefault="00A7453D" w:rsidP="009D7118">
            <w:pPr>
              <w:suppressAutoHyphens w:val="0"/>
              <w:spacing w:before="40" w:after="40" w:line="220" w:lineRule="exact"/>
              <w:jc w:val="right"/>
              <w:rPr>
                <w:sz w:val="18"/>
                <w:lang w:val="fr-CH"/>
              </w:rPr>
            </w:pPr>
            <w:r w:rsidRPr="0071782F">
              <w:rPr>
                <w:sz w:val="18"/>
                <w:lang w:val="fr-CH"/>
              </w:rPr>
              <w:t>–</w:t>
            </w:r>
          </w:p>
        </w:tc>
        <w:tc>
          <w:tcPr>
            <w:tcW w:w="1002"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398 509</w:t>
            </w:r>
          </w:p>
        </w:tc>
        <w:tc>
          <w:tcPr>
            <w:tcW w:w="1002" w:type="dxa"/>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14 679</w:t>
            </w:r>
          </w:p>
        </w:tc>
      </w:tr>
      <w:tr w:rsidR="00D7723B" w:rsidRPr="0071782F">
        <w:tc>
          <w:tcPr>
            <w:tcW w:w="366" w:type="dxa"/>
            <w:tcBorders>
              <w:bottom w:val="single" w:sz="4" w:space="0" w:color="auto"/>
            </w:tcBorders>
          </w:tcPr>
          <w:p w:rsidR="00D7723B" w:rsidRPr="0071782F" w:rsidRDefault="00D7723B" w:rsidP="009D7118">
            <w:pPr>
              <w:suppressAutoHyphens w:val="0"/>
              <w:spacing w:before="40" w:after="40" w:line="220" w:lineRule="exact"/>
              <w:rPr>
                <w:sz w:val="18"/>
                <w:lang w:val="fr-CH"/>
              </w:rPr>
            </w:pPr>
            <w:r w:rsidRPr="0071782F">
              <w:rPr>
                <w:sz w:val="18"/>
                <w:lang w:val="fr-CH"/>
              </w:rPr>
              <w:t>10</w:t>
            </w:r>
          </w:p>
        </w:tc>
        <w:tc>
          <w:tcPr>
            <w:tcW w:w="4000" w:type="dxa"/>
            <w:tcBorders>
              <w:bottom w:val="single" w:sz="4" w:space="0" w:color="auto"/>
            </w:tcBorders>
            <w:shd w:val="clear" w:color="auto" w:fill="auto"/>
          </w:tcPr>
          <w:p w:rsidR="00D7723B" w:rsidRPr="0071782F" w:rsidRDefault="007177D2" w:rsidP="009D7118">
            <w:pPr>
              <w:suppressAutoHyphens w:val="0"/>
              <w:spacing w:before="40" w:after="40" w:line="220" w:lineRule="exact"/>
              <w:rPr>
                <w:sz w:val="18"/>
                <w:lang w:val="fr-CH"/>
              </w:rPr>
            </w:pPr>
            <w:r w:rsidRPr="0071782F">
              <w:rPr>
                <w:sz w:val="18"/>
                <w:lang w:val="fr-CH"/>
              </w:rPr>
              <w:t xml:space="preserve">Programme de détection et de règlement des problèmes pour la gestion des crises touchant </w:t>
            </w:r>
            <w:r w:rsidR="00A83442">
              <w:rPr>
                <w:sz w:val="18"/>
                <w:lang w:val="fr-CH"/>
              </w:rPr>
              <w:t>les unités</w:t>
            </w:r>
            <w:r w:rsidRPr="0071782F">
              <w:rPr>
                <w:sz w:val="18"/>
                <w:lang w:val="fr-CH"/>
              </w:rPr>
              <w:t xml:space="preserve"> à problèmes </w:t>
            </w:r>
            <w:r w:rsidR="00D7723B" w:rsidRPr="0071782F">
              <w:rPr>
                <w:sz w:val="18"/>
                <w:lang w:val="fr-CH"/>
              </w:rPr>
              <w:t>(</w:t>
            </w:r>
            <w:r w:rsidRPr="0071782F">
              <w:rPr>
                <w:sz w:val="18"/>
                <w:lang w:val="fr-CH"/>
              </w:rPr>
              <w:t xml:space="preserve">en utilisant le poste </w:t>
            </w:r>
            <w:r w:rsidR="00D7723B" w:rsidRPr="0071782F">
              <w:rPr>
                <w:sz w:val="18"/>
                <w:lang w:val="fr-CH"/>
              </w:rPr>
              <w:t xml:space="preserve">30330 </w:t>
            </w:r>
            <w:r w:rsidRPr="0071782F">
              <w:rPr>
                <w:sz w:val="18"/>
                <w:lang w:val="fr-CH"/>
              </w:rPr>
              <w:t xml:space="preserve">et une ligne </w:t>
            </w:r>
            <w:r w:rsidR="00D7723B" w:rsidRPr="0071782F">
              <w:rPr>
                <w:sz w:val="18"/>
                <w:lang w:val="fr-CH"/>
              </w:rPr>
              <w:t>sp</w:t>
            </w:r>
            <w:r w:rsidRPr="0071782F">
              <w:rPr>
                <w:sz w:val="18"/>
                <w:lang w:val="fr-CH"/>
              </w:rPr>
              <w:t>é</w:t>
            </w:r>
            <w:r w:rsidR="00D7723B" w:rsidRPr="0071782F">
              <w:rPr>
                <w:sz w:val="18"/>
                <w:lang w:val="fr-CH"/>
              </w:rPr>
              <w:t>cial</w:t>
            </w:r>
            <w:r w:rsidRPr="0071782F">
              <w:rPr>
                <w:sz w:val="18"/>
                <w:lang w:val="fr-CH"/>
              </w:rPr>
              <w:t>e</w:t>
            </w:r>
            <w:r w:rsidR="00D7723B" w:rsidRPr="0071782F">
              <w:rPr>
                <w:sz w:val="18"/>
                <w:lang w:val="fr-CH"/>
              </w:rPr>
              <w:t xml:space="preserve"> </w:t>
            </w:r>
            <w:r w:rsidRPr="0071782F">
              <w:rPr>
                <w:sz w:val="18"/>
                <w:lang w:val="fr-CH"/>
              </w:rPr>
              <w:t xml:space="preserve">de </w:t>
            </w:r>
            <w:r w:rsidR="00D7723B" w:rsidRPr="0071782F">
              <w:rPr>
                <w:sz w:val="18"/>
                <w:lang w:val="fr-CH"/>
              </w:rPr>
              <w:t>cr</w:t>
            </w:r>
            <w:r w:rsidRPr="0071782F">
              <w:rPr>
                <w:sz w:val="18"/>
                <w:lang w:val="fr-CH"/>
              </w:rPr>
              <w:t>é</w:t>
            </w:r>
            <w:r w:rsidR="00D7723B" w:rsidRPr="0071782F">
              <w:rPr>
                <w:sz w:val="18"/>
                <w:lang w:val="fr-CH"/>
              </w:rPr>
              <w:t>dit)</w:t>
            </w:r>
          </w:p>
        </w:tc>
        <w:tc>
          <w:tcPr>
            <w:tcW w:w="1001" w:type="dxa"/>
            <w:tcBorders>
              <w:bottom w:val="single" w:sz="4" w:space="0" w:color="auto"/>
            </w:tcBorders>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1 414</w:t>
            </w:r>
          </w:p>
        </w:tc>
        <w:tc>
          <w:tcPr>
            <w:tcW w:w="1002" w:type="dxa"/>
            <w:tcBorders>
              <w:bottom w:val="single" w:sz="4" w:space="0" w:color="auto"/>
            </w:tcBorders>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424 200</w:t>
            </w:r>
          </w:p>
        </w:tc>
        <w:tc>
          <w:tcPr>
            <w:tcW w:w="1002" w:type="dxa"/>
            <w:tcBorders>
              <w:bottom w:val="single" w:sz="4" w:space="0" w:color="auto"/>
            </w:tcBorders>
            <w:shd w:val="clear" w:color="auto" w:fill="auto"/>
            <w:vAlign w:val="bottom"/>
          </w:tcPr>
          <w:p w:rsidR="00D7723B" w:rsidRPr="0071782F" w:rsidRDefault="00D7723B" w:rsidP="009D7118">
            <w:pPr>
              <w:suppressAutoHyphens w:val="0"/>
              <w:spacing w:before="40" w:after="40" w:line="220" w:lineRule="exact"/>
              <w:jc w:val="right"/>
              <w:rPr>
                <w:sz w:val="18"/>
                <w:lang w:val="fr-CH"/>
              </w:rPr>
            </w:pPr>
            <w:r w:rsidRPr="0071782F">
              <w:rPr>
                <w:sz w:val="18"/>
                <w:lang w:val="fr-CH"/>
              </w:rPr>
              <w:t>121 000</w:t>
            </w:r>
          </w:p>
        </w:tc>
      </w:tr>
      <w:tr w:rsidR="00D7723B" w:rsidRPr="0071782F">
        <w:tc>
          <w:tcPr>
            <w:tcW w:w="366" w:type="dxa"/>
            <w:tcBorders>
              <w:top w:val="single" w:sz="4" w:space="0" w:color="auto"/>
              <w:bottom w:val="single" w:sz="12" w:space="0" w:color="auto"/>
            </w:tcBorders>
          </w:tcPr>
          <w:p w:rsidR="00D7723B" w:rsidRPr="0071782F" w:rsidRDefault="00D7723B" w:rsidP="009D7118">
            <w:pPr>
              <w:suppressAutoHyphens w:val="0"/>
              <w:spacing w:before="80" w:after="80" w:line="220" w:lineRule="exact"/>
              <w:rPr>
                <w:b/>
                <w:sz w:val="18"/>
                <w:lang w:val="fr-CH"/>
              </w:rPr>
            </w:pPr>
            <w:r w:rsidRPr="0071782F">
              <w:rPr>
                <w:b/>
                <w:sz w:val="18"/>
                <w:lang w:val="fr-CH"/>
              </w:rPr>
              <w:t>11</w:t>
            </w:r>
          </w:p>
        </w:tc>
        <w:tc>
          <w:tcPr>
            <w:tcW w:w="4000" w:type="dxa"/>
            <w:tcBorders>
              <w:top w:val="single" w:sz="4" w:space="0" w:color="auto"/>
              <w:bottom w:val="single" w:sz="12" w:space="0" w:color="auto"/>
            </w:tcBorders>
            <w:shd w:val="clear" w:color="auto" w:fill="auto"/>
          </w:tcPr>
          <w:p w:rsidR="00D7723B" w:rsidRPr="0071782F" w:rsidRDefault="00D7723B" w:rsidP="00FD76D5">
            <w:pPr>
              <w:suppressAutoHyphens w:val="0"/>
              <w:spacing w:before="80" w:after="80" w:line="220" w:lineRule="exact"/>
              <w:ind w:firstLine="284"/>
              <w:rPr>
                <w:b/>
                <w:sz w:val="18"/>
                <w:lang w:val="fr-CH"/>
              </w:rPr>
            </w:pPr>
            <w:r w:rsidRPr="0071782F">
              <w:rPr>
                <w:b/>
                <w:sz w:val="18"/>
                <w:lang w:val="fr-CH"/>
              </w:rPr>
              <w:t>Total</w:t>
            </w:r>
          </w:p>
        </w:tc>
        <w:tc>
          <w:tcPr>
            <w:tcW w:w="1001" w:type="dxa"/>
            <w:tcBorders>
              <w:top w:val="single" w:sz="4" w:space="0" w:color="auto"/>
              <w:bottom w:val="single" w:sz="12" w:space="0" w:color="auto"/>
            </w:tcBorders>
            <w:shd w:val="clear" w:color="auto" w:fill="auto"/>
            <w:vAlign w:val="bottom"/>
          </w:tcPr>
          <w:p w:rsidR="00D7723B" w:rsidRPr="0071782F" w:rsidRDefault="00D7723B" w:rsidP="009D7118">
            <w:pPr>
              <w:suppressAutoHyphens w:val="0"/>
              <w:spacing w:before="80" w:after="80" w:line="220" w:lineRule="exact"/>
              <w:jc w:val="right"/>
              <w:rPr>
                <w:b/>
                <w:sz w:val="18"/>
                <w:lang w:val="fr-CH"/>
              </w:rPr>
            </w:pPr>
            <w:r w:rsidRPr="0071782F">
              <w:rPr>
                <w:b/>
                <w:sz w:val="18"/>
                <w:lang w:val="fr-CH"/>
              </w:rPr>
              <w:t>17 583</w:t>
            </w:r>
          </w:p>
        </w:tc>
        <w:tc>
          <w:tcPr>
            <w:tcW w:w="1002" w:type="dxa"/>
            <w:tcBorders>
              <w:top w:val="single" w:sz="4" w:space="0" w:color="auto"/>
              <w:bottom w:val="single" w:sz="12" w:space="0" w:color="auto"/>
            </w:tcBorders>
            <w:shd w:val="clear" w:color="auto" w:fill="auto"/>
            <w:vAlign w:val="bottom"/>
          </w:tcPr>
          <w:p w:rsidR="00D7723B" w:rsidRPr="0071782F" w:rsidRDefault="00D7723B" w:rsidP="009D7118">
            <w:pPr>
              <w:suppressAutoHyphens w:val="0"/>
              <w:spacing w:before="80" w:after="80" w:line="220" w:lineRule="exact"/>
              <w:jc w:val="right"/>
              <w:rPr>
                <w:b/>
                <w:sz w:val="18"/>
                <w:lang w:val="fr-CH"/>
              </w:rPr>
            </w:pPr>
            <w:r w:rsidRPr="0071782F">
              <w:rPr>
                <w:b/>
                <w:sz w:val="18"/>
                <w:lang w:val="fr-CH"/>
              </w:rPr>
              <w:t>1 983 835</w:t>
            </w:r>
          </w:p>
        </w:tc>
        <w:tc>
          <w:tcPr>
            <w:tcW w:w="1002" w:type="dxa"/>
            <w:tcBorders>
              <w:top w:val="single" w:sz="4" w:space="0" w:color="auto"/>
              <w:bottom w:val="single" w:sz="12" w:space="0" w:color="auto"/>
            </w:tcBorders>
            <w:shd w:val="clear" w:color="auto" w:fill="auto"/>
            <w:vAlign w:val="bottom"/>
          </w:tcPr>
          <w:p w:rsidR="00D7723B" w:rsidRPr="0071782F" w:rsidRDefault="00D7723B" w:rsidP="009D7118">
            <w:pPr>
              <w:suppressAutoHyphens w:val="0"/>
              <w:spacing w:before="80" w:after="80" w:line="220" w:lineRule="exact"/>
              <w:jc w:val="right"/>
              <w:rPr>
                <w:b/>
                <w:sz w:val="18"/>
                <w:lang w:val="fr-CH"/>
              </w:rPr>
            </w:pPr>
            <w:r w:rsidRPr="0071782F">
              <w:rPr>
                <w:b/>
                <w:sz w:val="18"/>
                <w:lang w:val="fr-CH"/>
              </w:rPr>
              <w:t>228 553</w:t>
            </w:r>
          </w:p>
        </w:tc>
      </w:tr>
    </w:tbl>
    <w:p w:rsidR="00DD2B20" w:rsidRPr="0071782F" w:rsidRDefault="00DD2B20" w:rsidP="00DD2B20">
      <w:pPr>
        <w:pStyle w:val="HChG"/>
        <w:rPr>
          <w:lang w:val="fr-CH"/>
        </w:rPr>
      </w:pPr>
      <w:r w:rsidRPr="0071782F">
        <w:rPr>
          <w:lang w:val="fr-CH"/>
        </w:rPr>
        <w:tab/>
      </w:r>
      <w:r w:rsidRPr="0071782F">
        <w:rPr>
          <w:lang w:val="fr-CH"/>
        </w:rPr>
        <w:tab/>
      </w:r>
      <w:r w:rsidR="00943A69" w:rsidRPr="0071782F">
        <w:rPr>
          <w:lang w:val="fr-CH"/>
        </w:rPr>
        <w:t>Article </w:t>
      </w:r>
      <w:r w:rsidRPr="0071782F">
        <w:rPr>
          <w:lang w:val="fr-CH"/>
        </w:rPr>
        <w:t>8</w:t>
      </w:r>
      <w:r w:rsidR="003643A1">
        <w:rPr>
          <w:lang w:val="fr-CH"/>
        </w:rPr>
        <w:br/>
      </w:r>
      <w:r w:rsidR="007177D2" w:rsidRPr="0071782F">
        <w:rPr>
          <w:lang w:val="fr-CH"/>
        </w:rPr>
        <w:t xml:space="preserve">Syndicats </w:t>
      </w:r>
    </w:p>
    <w:p w:rsidR="00DD2B20" w:rsidRPr="0071782F" w:rsidRDefault="00DD2B20" w:rsidP="00DD2B20">
      <w:pPr>
        <w:pStyle w:val="H1G"/>
        <w:rPr>
          <w:lang w:val="fr-CH"/>
        </w:rPr>
      </w:pPr>
      <w:r w:rsidRPr="0071782F">
        <w:rPr>
          <w:lang w:val="fr-CH"/>
        </w:rPr>
        <w:tab/>
      </w:r>
      <w:r w:rsidRPr="0071782F">
        <w:rPr>
          <w:lang w:val="fr-CH"/>
        </w:rPr>
        <w:tab/>
        <w:t>Introduction</w:t>
      </w:r>
    </w:p>
    <w:p w:rsidR="00DD2B20" w:rsidRPr="0071782F" w:rsidRDefault="00DD2B20" w:rsidP="00DD2B20">
      <w:pPr>
        <w:pStyle w:val="SingleTxtG"/>
        <w:rPr>
          <w:lang w:val="fr-CH"/>
        </w:rPr>
      </w:pPr>
      <w:r w:rsidRPr="0071782F">
        <w:rPr>
          <w:lang w:val="fr-CH"/>
        </w:rPr>
        <w:t>88.</w:t>
      </w:r>
      <w:r w:rsidRPr="0071782F">
        <w:rPr>
          <w:lang w:val="fr-CH"/>
        </w:rPr>
        <w:tab/>
      </w:r>
      <w:r w:rsidR="009D3873" w:rsidRPr="0071782F">
        <w:rPr>
          <w:lang w:val="fr-CH"/>
        </w:rPr>
        <w:t xml:space="preserve">La présente </w:t>
      </w:r>
      <w:r w:rsidRPr="0071782F">
        <w:rPr>
          <w:lang w:val="fr-CH"/>
        </w:rPr>
        <w:t xml:space="preserve">section </w:t>
      </w:r>
      <w:r w:rsidR="009D3873" w:rsidRPr="0071782F">
        <w:rPr>
          <w:lang w:val="fr-CH"/>
        </w:rPr>
        <w:t>aborde deux sujets, à savoir les syndicats et le droit de grève.</w:t>
      </w:r>
      <w:r w:rsidRPr="0071782F">
        <w:rPr>
          <w:lang w:val="fr-CH"/>
        </w:rPr>
        <w:t xml:space="preserve"> </w:t>
      </w:r>
      <w:r w:rsidR="00390A20" w:rsidRPr="0071782F">
        <w:rPr>
          <w:lang w:val="fr-CH"/>
        </w:rPr>
        <w:t xml:space="preserve">On notera que la </w:t>
      </w:r>
      <w:r w:rsidRPr="0071782F">
        <w:rPr>
          <w:lang w:val="fr-CH"/>
        </w:rPr>
        <w:t>R</w:t>
      </w:r>
      <w:r w:rsidR="00390A20" w:rsidRPr="0071782F">
        <w:rPr>
          <w:lang w:val="fr-CH"/>
        </w:rPr>
        <w:t>épublique islamique d’</w:t>
      </w:r>
      <w:r w:rsidRPr="0071782F">
        <w:rPr>
          <w:lang w:val="fr-CH"/>
        </w:rPr>
        <w:t xml:space="preserve">Iran </w:t>
      </w:r>
      <w:r w:rsidR="00390A20" w:rsidRPr="0071782F">
        <w:rPr>
          <w:lang w:val="fr-CH"/>
        </w:rPr>
        <w:t>a présenté à l’OIT un certain nombre de rapports sur l’application de la Convention n</w:t>
      </w:r>
      <w:r w:rsidR="00A83442" w:rsidRPr="00A83442">
        <w:rPr>
          <w:vertAlign w:val="superscript"/>
          <w:lang w:val="fr-CH"/>
        </w:rPr>
        <w:t>o</w:t>
      </w:r>
      <w:r w:rsidR="00A83442">
        <w:rPr>
          <w:lang w:val="fr-CH"/>
        </w:rPr>
        <w:t> </w:t>
      </w:r>
      <w:r w:rsidR="00390A20" w:rsidRPr="0071782F">
        <w:rPr>
          <w:lang w:val="fr-CH"/>
        </w:rPr>
        <w:t xml:space="preserve">98 de l’OIT sur le droit d’organisation et de négociation collective </w:t>
      </w:r>
      <w:r w:rsidRPr="0071782F">
        <w:rPr>
          <w:lang w:val="fr-CH"/>
        </w:rPr>
        <w:t xml:space="preserve">(1949) </w:t>
      </w:r>
      <w:r w:rsidR="00390A20" w:rsidRPr="0071782F">
        <w:rPr>
          <w:lang w:val="fr-CH"/>
        </w:rPr>
        <w:t xml:space="preserve">et de la </w:t>
      </w:r>
      <w:r w:rsidRPr="0071782F">
        <w:rPr>
          <w:lang w:val="fr-CH"/>
        </w:rPr>
        <w:t xml:space="preserve">Convention </w:t>
      </w:r>
      <w:r w:rsidR="00390A20" w:rsidRPr="0071782F">
        <w:rPr>
          <w:lang w:val="fr-CH"/>
        </w:rPr>
        <w:t>n</w:t>
      </w:r>
      <w:r w:rsidR="00355A59" w:rsidRPr="00355A59">
        <w:rPr>
          <w:vertAlign w:val="superscript"/>
          <w:lang w:val="fr-CH"/>
        </w:rPr>
        <w:t>o</w:t>
      </w:r>
      <w:r w:rsidR="00355A59">
        <w:rPr>
          <w:lang w:val="fr-CH"/>
        </w:rPr>
        <w:t> </w:t>
      </w:r>
      <w:r w:rsidRPr="0071782F">
        <w:rPr>
          <w:lang w:val="fr-CH"/>
        </w:rPr>
        <w:t xml:space="preserve">87 </w:t>
      </w:r>
      <w:r w:rsidR="00390A20" w:rsidRPr="0071782F">
        <w:rPr>
          <w:lang w:val="fr-CH"/>
        </w:rPr>
        <w:t xml:space="preserve">de l’OIT sur la liberté syndicale et la protection du droit syndical </w:t>
      </w:r>
      <w:r w:rsidRPr="0071782F">
        <w:rPr>
          <w:lang w:val="fr-CH"/>
        </w:rPr>
        <w:t>(1948).</w:t>
      </w:r>
    </w:p>
    <w:p w:rsidR="00DD2B20" w:rsidRPr="0071782F" w:rsidRDefault="00DD2B20" w:rsidP="00DD2B20">
      <w:pPr>
        <w:pStyle w:val="H1G"/>
        <w:rPr>
          <w:lang w:val="fr-CH"/>
        </w:rPr>
      </w:pPr>
      <w:r w:rsidRPr="0071782F">
        <w:rPr>
          <w:lang w:val="fr-CH"/>
        </w:rPr>
        <w:tab/>
      </w:r>
      <w:r w:rsidRPr="0071782F">
        <w:rPr>
          <w:lang w:val="fr-CH"/>
        </w:rPr>
        <w:tab/>
      </w:r>
      <w:r w:rsidR="00390A20" w:rsidRPr="0071782F">
        <w:rPr>
          <w:lang w:val="fr-CH"/>
        </w:rPr>
        <w:t xml:space="preserve">Droit </w:t>
      </w:r>
      <w:r w:rsidR="008B7F9E" w:rsidRPr="0071782F">
        <w:rPr>
          <w:lang w:val="fr-CH"/>
        </w:rPr>
        <w:t>d’association</w:t>
      </w:r>
      <w:r w:rsidR="00390A20" w:rsidRPr="0071782F">
        <w:rPr>
          <w:lang w:val="fr-CH"/>
        </w:rPr>
        <w:t xml:space="preserve"> et droit de négociation </w:t>
      </w:r>
      <w:r w:rsidRPr="0071782F">
        <w:rPr>
          <w:lang w:val="fr-CH"/>
        </w:rPr>
        <w:t xml:space="preserve">collective </w:t>
      </w:r>
    </w:p>
    <w:p w:rsidR="00DD2B20" w:rsidRPr="0071782F" w:rsidRDefault="00DD2B20" w:rsidP="00DD2B20">
      <w:pPr>
        <w:pStyle w:val="SingleTxtG"/>
        <w:rPr>
          <w:lang w:val="fr-CH"/>
        </w:rPr>
      </w:pPr>
      <w:r w:rsidRPr="0071782F">
        <w:rPr>
          <w:lang w:val="fr-CH"/>
        </w:rPr>
        <w:t>89.</w:t>
      </w:r>
      <w:r w:rsidRPr="0071782F">
        <w:rPr>
          <w:lang w:val="fr-CH"/>
        </w:rPr>
        <w:tab/>
      </w:r>
      <w:r w:rsidR="00390A20" w:rsidRPr="0071782F">
        <w:rPr>
          <w:lang w:val="fr-CH"/>
        </w:rPr>
        <w:t xml:space="preserve">Le droit </w:t>
      </w:r>
      <w:r w:rsidR="008B7F9E" w:rsidRPr="0071782F">
        <w:rPr>
          <w:lang w:val="fr-CH"/>
        </w:rPr>
        <w:t>d’association</w:t>
      </w:r>
      <w:r w:rsidR="00390A20" w:rsidRPr="0071782F">
        <w:rPr>
          <w:lang w:val="fr-CH"/>
        </w:rPr>
        <w:t xml:space="preserve"> et le droit de négociation collective sont consacrés par la </w:t>
      </w:r>
      <w:r w:rsidRPr="0071782F">
        <w:rPr>
          <w:lang w:val="fr-CH"/>
        </w:rPr>
        <w:t xml:space="preserve">Constitution </w:t>
      </w:r>
      <w:r w:rsidR="00390A20" w:rsidRPr="0071782F">
        <w:rPr>
          <w:lang w:val="fr-CH"/>
        </w:rPr>
        <w:t>et le Code du travail</w:t>
      </w:r>
      <w:r w:rsidRPr="0071782F">
        <w:rPr>
          <w:lang w:val="fr-CH"/>
        </w:rPr>
        <w:t xml:space="preserve">. </w:t>
      </w:r>
      <w:r w:rsidR="00390A20" w:rsidRPr="0071782F">
        <w:rPr>
          <w:lang w:val="fr-CH"/>
        </w:rPr>
        <w:t xml:space="preserve">La reconnaissance et l’exercice de ces droits sont inscrits dans les </w:t>
      </w:r>
      <w:r w:rsidR="00723F2B" w:rsidRPr="0071782F">
        <w:rPr>
          <w:lang w:val="fr-CH"/>
        </w:rPr>
        <w:t>articles </w:t>
      </w:r>
      <w:r w:rsidRPr="0071782F">
        <w:rPr>
          <w:lang w:val="fr-CH"/>
        </w:rPr>
        <w:t>26, 106</w:t>
      </w:r>
      <w:r w:rsidR="00390A20" w:rsidRPr="0071782F">
        <w:rPr>
          <w:lang w:val="fr-CH"/>
        </w:rPr>
        <w:t xml:space="preserve"> et</w:t>
      </w:r>
      <w:r w:rsidRPr="0071782F">
        <w:rPr>
          <w:lang w:val="fr-CH"/>
        </w:rPr>
        <w:t xml:space="preserve"> 104 </w:t>
      </w:r>
      <w:r w:rsidR="00390A20" w:rsidRPr="0071782F">
        <w:rPr>
          <w:lang w:val="fr-CH"/>
        </w:rPr>
        <w:t xml:space="preserve">de la </w:t>
      </w:r>
      <w:r w:rsidRPr="0071782F">
        <w:rPr>
          <w:lang w:val="fr-CH"/>
        </w:rPr>
        <w:t xml:space="preserve">Constitution </w:t>
      </w:r>
      <w:r w:rsidR="00390A20" w:rsidRPr="0071782F">
        <w:rPr>
          <w:lang w:val="fr-CH"/>
        </w:rPr>
        <w:t xml:space="preserve">et les </w:t>
      </w:r>
      <w:r w:rsidR="00723F2B" w:rsidRPr="0071782F">
        <w:rPr>
          <w:lang w:val="fr-CH"/>
        </w:rPr>
        <w:t>articles </w:t>
      </w:r>
      <w:r w:rsidRPr="0071782F">
        <w:rPr>
          <w:lang w:val="fr-CH"/>
        </w:rPr>
        <w:t>131, 140</w:t>
      </w:r>
      <w:r w:rsidR="00390A20" w:rsidRPr="0071782F">
        <w:rPr>
          <w:lang w:val="fr-CH"/>
        </w:rPr>
        <w:t xml:space="preserve"> à </w:t>
      </w:r>
      <w:r w:rsidRPr="0071782F">
        <w:rPr>
          <w:lang w:val="fr-CH"/>
        </w:rPr>
        <w:t xml:space="preserve">146 </w:t>
      </w:r>
      <w:r w:rsidR="00390A20" w:rsidRPr="0071782F">
        <w:rPr>
          <w:lang w:val="fr-CH"/>
        </w:rPr>
        <w:t>et</w:t>
      </w:r>
      <w:r w:rsidRPr="0071782F">
        <w:rPr>
          <w:lang w:val="fr-CH"/>
        </w:rPr>
        <w:t xml:space="preserve"> 178 </w:t>
      </w:r>
      <w:r w:rsidR="00390A20" w:rsidRPr="0071782F">
        <w:rPr>
          <w:lang w:val="fr-CH"/>
        </w:rPr>
        <w:t>du Code du travail. En vertu de ces dispositions légales,</w:t>
      </w:r>
      <w:r w:rsidRPr="0071782F">
        <w:rPr>
          <w:lang w:val="fr-CH"/>
        </w:rPr>
        <w:t xml:space="preserve"> </w:t>
      </w:r>
    </w:p>
    <w:p w:rsidR="00DD2B20" w:rsidRPr="0071782F" w:rsidRDefault="00DD2B20" w:rsidP="00DD2B20">
      <w:pPr>
        <w:pStyle w:val="SingleTxtG"/>
        <w:ind w:left="1701" w:hanging="567"/>
        <w:rPr>
          <w:lang w:val="fr-CH"/>
        </w:rPr>
      </w:pPr>
      <w:r w:rsidRPr="0071782F">
        <w:rPr>
          <w:lang w:val="fr-CH"/>
        </w:rPr>
        <w:tab/>
        <w:t>89.1.</w:t>
      </w:r>
      <w:r w:rsidRPr="0071782F">
        <w:rPr>
          <w:lang w:val="fr-CH"/>
        </w:rPr>
        <w:tab/>
      </w:r>
      <w:r w:rsidR="00390A20" w:rsidRPr="0071782F">
        <w:rPr>
          <w:lang w:val="fr-CH"/>
        </w:rPr>
        <w:t xml:space="preserve">Tous les travailleurs et employeurs (à l’exception des membres de la police et des forces armées) peuvent former leurs </w:t>
      </w:r>
      <w:r w:rsidR="008B7F9E" w:rsidRPr="0071782F">
        <w:rPr>
          <w:lang w:val="fr-CH"/>
        </w:rPr>
        <w:t xml:space="preserve">associations </w:t>
      </w:r>
      <w:r w:rsidR="00390A20" w:rsidRPr="0071782F">
        <w:rPr>
          <w:lang w:val="fr-CH"/>
        </w:rPr>
        <w:t>sans aucune entrave</w:t>
      </w:r>
      <w:r w:rsidRPr="0071782F">
        <w:rPr>
          <w:lang w:val="fr-CH"/>
        </w:rPr>
        <w:t>.</w:t>
      </w:r>
    </w:p>
    <w:p w:rsidR="00DD2B20" w:rsidRPr="0071782F" w:rsidRDefault="00DD2B20" w:rsidP="00DD2B20">
      <w:pPr>
        <w:pStyle w:val="SingleTxtG"/>
        <w:ind w:left="1701" w:hanging="567"/>
        <w:rPr>
          <w:lang w:val="fr-CH"/>
        </w:rPr>
      </w:pPr>
      <w:r w:rsidRPr="0071782F">
        <w:rPr>
          <w:lang w:val="fr-CH"/>
        </w:rPr>
        <w:tab/>
        <w:t>89.2.</w:t>
      </w:r>
      <w:r w:rsidRPr="0071782F">
        <w:rPr>
          <w:lang w:val="fr-CH"/>
        </w:rPr>
        <w:tab/>
      </w:r>
      <w:r w:rsidR="00390A20" w:rsidRPr="0071782F">
        <w:rPr>
          <w:lang w:val="fr-CH"/>
        </w:rPr>
        <w:t xml:space="preserve">La formation </w:t>
      </w:r>
      <w:r w:rsidR="008B7F9E" w:rsidRPr="0071782F">
        <w:rPr>
          <w:lang w:val="fr-CH"/>
        </w:rPr>
        <w:t>d’association de</w:t>
      </w:r>
      <w:r w:rsidR="00390A20" w:rsidRPr="0071782F">
        <w:rPr>
          <w:lang w:val="fr-CH"/>
        </w:rPr>
        <w:t xml:space="preserve"> travailleurs et </w:t>
      </w:r>
      <w:r w:rsidR="008B7F9E" w:rsidRPr="0071782F">
        <w:rPr>
          <w:lang w:val="fr-CH"/>
        </w:rPr>
        <w:t>d’</w:t>
      </w:r>
      <w:r w:rsidR="00390A20" w:rsidRPr="0071782F">
        <w:rPr>
          <w:lang w:val="fr-CH"/>
        </w:rPr>
        <w:t>employeurs n’est pas soumise à autorisation</w:t>
      </w:r>
      <w:r w:rsidRPr="0071782F">
        <w:rPr>
          <w:lang w:val="fr-CH"/>
        </w:rPr>
        <w:t xml:space="preserve">; </w:t>
      </w:r>
      <w:r w:rsidR="00390A20" w:rsidRPr="0071782F">
        <w:rPr>
          <w:lang w:val="fr-CH"/>
        </w:rPr>
        <w:t xml:space="preserve">cela étant, après avoir tenu leurs élections et présenté les documents y relatifs, ces derniers peuvent faire enregistrer leurs </w:t>
      </w:r>
      <w:r w:rsidR="008B7F9E" w:rsidRPr="0071782F">
        <w:rPr>
          <w:lang w:val="fr-CH"/>
        </w:rPr>
        <w:t>association</w:t>
      </w:r>
      <w:r w:rsidR="00390A20" w:rsidRPr="0071782F">
        <w:rPr>
          <w:lang w:val="fr-CH"/>
        </w:rPr>
        <w:t xml:space="preserve">s au Ministère du travail et des affaires sociales conformément aux </w:t>
      </w:r>
      <w:r w:rsidRPr="0071782F">
        <w:rPr>
          <w:lang w:val="fr-CH"/>
        </w:rPr>
        <w:t xml:space="preserve">instructions </w:t>
      </w:r>
      <w:r w:rsidR="00390A20" w:rsidRPr="0071782F">
        <w:rPr>
          <w:lang w:val="fr-CH"/>
        </w:rPr>
        <w:t>fournies par les spécialistes de ce Ministère</w:t>
      </w:r>
      <w:r w:rsidRPr="0071782F">
        <w:rPr>
          <w:lang w:val="fr-CH"/>
        </w:rPr>
        <w:t>.</w:t>
      </w:r>
    </w:p>
    <w:p w:rsidR="00DD2B20" w:rsidRPr="0071782F" w:rsidRDefault="00DD2B20" w:rsidP="00DD2B20">
      <w:pPr>
        <w:pStyle w:val="SingleTxtG"/>
        <w:ind w:left="1701" w:hanging="567"/>
        <w:rPr>
          <w:lang w:val="fr-CH"/>
        </w:rPr>
      </w:pPr>
      <w:r w:rsidRPr="0071782F">
        <w:rPr>
          <w:lang w:val="fr-CH"/>
        </w:rPr>
        <w:tab/>
        <w:t>89.3.</w:t>
      </w:r>
      <w:r w:rsidRPr="0071782F">
        <w:rPr>
          <w:lang w:val="fr-CH"/>
        </w:rPr>
        <w:tab/>
      </w:r>
      <w:r w:rsidR="006D1350" w:rsidRPr="0071782F">
        <w:rPr>
          <w:lang w:val="fr-CH"/>
        </w:rPr>
        <w:t xml:space="preserve">L’État ne s’ingère pas dans les activités des </w:t>
      </w:r>
      <w:r w:rsidR="008B7F9E" w:rsidRPr="0071782F">
        <w:rPr>
          <w:lang w:val="fr-CH"/>
        </w:rPr>
        <w:t>associations</w:t>
      </w:r>
      <w:r w:rsidR="006D1350" w:rsidRPr="0071782F">
        <w:rPr>
          <w:lang w:val="fr-CH"/>
        </w:rPr>
        <w:t xml:space="preserve"> de travailleurs et d’employeurs</w:t>
      </w:r>
      <w:r w:rsidRPr="0071782F">
        <w:rPr>
          <w:lang w:val="fr-CH"/>
        </w:rPr>
        <w:t xml:space="preserve">. </w:t>
      </w:r>
      <w:r w:rsidR="006D1350" w:rsidRPr="0071782F">
        <w:rPr>
          <w:lang w:val="fr-CH"/>
        </w:rPr>
        <w:t>La seule autorité pouvant adopter des décisions dans un</w:t>
      </w:r>
      <w:r w:rsidR="008B7F9E" w:rsidRPr="0071782F">
        <w:rPr>
          <w:lang w:val="fr-CH"/>
        </w:rPr>
        <w:t>e association</w:t>
      </w:r>
      <w:r w:rsidR="006D1350" w:rsidRPr="0071782F">
        <w:rPr>
          <w:lang w:val="fr-CH"/>
        </w:rPr>
        <w:t xml:space="preserve"> est son assemblée générale. Ces </w:t>
      </w:r>
      <w:r w:rsidRPr="0071782F">
        <w:rPr>
          <w:lang w:val="fr-CH"/>
        </w:rPr>
        <w:t>d</w:t>
      </w:r>
      <w:r w:rsidR="006D1350" w:rsidRPr="0071782F">
        <w:rPr>
          <w:lang w:val="fr-CH"/>
        </w:rPr>
        <w:t>é</w:t>
      </w:r>
      <w:r w:rsidRPr="0071782F">
        <w:rPr>
          <w:lang w:val="fr-CH"/>
        </w:rPr>
        <w:t>cisions, adopt</w:t>
      </w:r>
      <w:r w:rsidR="006D1350" w:rsidRPr="0071782F">
        <w:rPr>
          <w:lang w:val="fr-CH"/>
        </w:rPr>
        <w:t>é</w:t>
      </w:r>
      <w:r w:rsidRPr="0071782F">
        <w:rPr>
          <w:lang w:val="fr-CH"/>
        </w:rPr>
        <w:t>e</w:t>
      </w:r>
      <w:r w:rsidR="006D1350" w:rsidRPr="0071782F">
        <w:rPr>
          <w:lang w:val="fr-CH"/>
        </w:rPr>
        <w:t>s à la majorité des voix, sont définitives et contraignantes. Dans les cas où les membres d’un</w:t>
      </w:r>
      <w:r w:rsidR="008B7F9E" w:rsidRPr="0071782F">
        <w:rPr>
          <w:lang w:val="fr-CH"/>
        </w:rPr>
        <w:t>e association</w:t>
      </w:r>
      <w:r w:rsidR="006D1350" w:rsidRPr="0071782F">
        <w:rPr>
          <w:lang w:val="fr-CH"/>
        </w:rPr>
        <w:t xml:space="preserve"> ne sont pas satisfaits de la prestation de leurs </w:t>
      </w:r>
      <w:r w:rsidRPr="0071782F">
        <w:rPr>
          <w:lang w:val="fr-CH"/>
        </w:rPr>
        <w:t>repr</w:t>
      </w:r>
      <w:r w:rsidR="006D1350" w:rsidRPr="0071782F">
        <w:rPr>
          <w:lang w:val="fr-CH"/>
        </w:rPr>
        <w:t>é</w:t>
      </w:r>
      <w:r w:rsidRPr="0071782F">
        <w:rPr>
          <w:lang w:val="fr-CH"/>
        </w:rPr>
        <w:t>senta</w:t>
      </w:r>
      <w:r w:rsidR="006D1350" w:rsidRPr="0071782F">
        <w:rPr>
          <w:lang w:val="fr-CH"/>
        </w:rPr>
        <w:t>nts et déposent une plainte auprès du Ministère du travail et des affaires sociales pour non-respect par le conseil d’administration des règles et règlements en vigueur, le Ministère aide les plaignants à saisir un tribunal compétent.</w:t>
      </w:r>
    </w:p>
    <w:p w:rsidR="00DD2B20" w:rsidRPr="0071782F" w:rsidRDefault="00DD2B20" w:rsidP="00DD2B20">
      <w:pPr>
        <w:pStyle w:val="SingleTxtG"/>
        <w:ind w:left="1701" w:hanging="567"/>
        <w:rPr>
          <w:lang w:val="fr-CH"/>
        </w:rPr>
      </w:pPr>
      <w:r w:rsidRPr="0071782F">
        <w:rPr>
          <w:lang w:val="fr-CH"/>
        </w:rPr>
        <w:tab/>
        <w:t>89.4.</w:t>
      </w:r>
      <w:r w:rsidRPr="0071782F">
        <w:rPr>
          <w:lang w:val="fr-CH"/>
        </w:rPr>
        <w:tab/>
      </w:r>
      <w:r w:rsidR="006D1350" w:rsidRPr="0071782F">
        <w:rPr>
          <w:lang w:val="fr-CH"/>
        </w:rPr>
        <w:t xml:space="preserve">Le Code du travail n’exclut aucun groupe de travailleurs ou d’employeurs en ce qui concerne l’exercice du droit de négociation collective et reconnaît ce droit à tous les travailleurs et à tous les employeurs sans distinction. </w:t>
      </w:r>
    </w:p>
    <w:p w:rsidR="00DD2B20" w:rsidRPr="0071782F" w:rsidRDefault="00DD2B20" w:rsidP="00DD2B20">
      <w:pPr>
        <w:pStyle w:val="SingleTxtG"/>
        <w:ind w:left="1701" w:hanging="567"/>
        <w:rPr>
          <w:lang w:val="fr-CH"/>
        </w:rPr>
      </w:pPr>
      <w:r w:rsidRPr="0071782F">
        <w:rPr>
          <w:lang w:val="fr-CH"/>
        </w:rPr>
        <w:tab/>
        <w:t>89.5.</w:t>
      </w:r>
      <w:r w:rsidRPr="0071782F">
        <w:rPr>
          <w:lang w:val="fr-CH"/>
        </w:rPr>
        <w:tab/>
      </w:r>
      <w:r w:rsidR="00F660F8" w:rsidRPr="0071782F">
        <w:rPr>
          <w:lang w:val="fr-CH"/>
        </w:rPr>
        <w:t xml:space="preserve">La législation en vigueur n’habilite pas l’État à conclure des conventions collectives. Toutefois, afin d’éviter qu’il ne puisse être porté atteinte aux droits légaux des travailleurs ou des employeurs lors de la conclusion de ces conventions, le </w:t>
      </w:r>
      <w:r w:rsidRPr="0071782F">
        <w:rPr>
          <w:lang w:val="fr-CH"/>
        </w:rPr>
        <w:t>Minist</w:t>
      </w:r>
      <w:r w:rsidR="00F660F8" w:rsidRPr="0071782F">
        <w:rPr>
          <w:lang w:val="fr-CH"/>
        </w:rPr>
        <w:t>ère du travail et des affaires sociales est autorisé à présenter ses observations sur les dispositions et la conclusion de conventions de ce type et sur leur conformité avec la législation en vigueur, observations qu’il doit remettre par écrit aux parties à ces conventions dans un délai de 30 jours. Il est à noter que s’il ne le fait pas dans le délai imparti, la convention demeure valide.</w:t>
      </w:r>
    </w:p>
    <w:p w:rsidR="00DD2B20" w:rsidRPr="0071782F" w:rsidRDefault="00DD2B20" w:rsidP="00DD2B20">
      <w:pPr>
        <w:pStyle w:val="H1G"/>
        <w:rPr>
          <w:lang w:val="fr-CH"/>
        </w:rPr>
      </w:pPr>
      <w:r w:rsidRPr="0071782F">
        <w:rPr>
          <w:lang w:val="fr-CH"/>
        </w:rPr>
        <w:tab/>
      </w:r>
      <w:r w:rsidRPr="0071782F">
        <w:rPr>
          <w:lang w:val="fr-CH"/>
        </w:rPr>
        <w:tab/>
        <w:t xml:space="preserve">Formation </w:t>
      </w:r>
      <w:r w:rsidR="00F660F8" w:rsidRPr="0071782F">
        <w:rPr>
          <w:lang w:val="fr-CH"/>
        </w:rPr>
        <w:t>d</w:t>
      </w:r>
      <w:r w:rsidR="008B7F9E" w:rsidRPr="0071782F">
        <w:rPr>
          <w:lang w:val="fr-CH"/>
        </w:rPr>
        <w:t xml:space="preserve">’associations </w:t>
      </w:r>
      <w:r w:rsidR="00F660F8" w:rsidRPr="0071782F">
        <w:rPr>
          <w:lang w:val="fr-CH"/>
        </w:rPr>
        <w:t xml:space="preserve">de travailleurs et d’employeurs </w:t>
      </w:r>
    </w:p>
    <w:p w:rsidR="00DD2B20" w:rsidRPr="0071782F" w:rsidRDefault="00DD2B20" w:rsidP="00DD2B20">
      <w:pPr>
        <w:pStyle w:val="H23G"/>
        <w:rPr>
          <w:lang w:val="fr-CH"/>
        </w:rPr>
      </w:pPr>
      <w:r w:rsidRPr="0071782F">
        <w:rPr>
          <w:lang w:val="fr-CH"/>
        </w:rPr>
        <w:tab/>
      </w:r>
      <w:r w:rsidRPr="0071782F">
        <w:rPr>
          <w:lang w:val="fr-CH"/>
        </w:rPr>
        <w:tab/>
      </w:r>
      <w:r w:rsidR="00F660F8" w:rsidRPr="0071782F">
        <w:rPr>
          <w:lang w:val="fr-CH"/>
        </w:rPr>
        <w:t>P</w:t>
      </w:r>
      <w:r w:rsidRPr="0071782F">
        <w:rPr>
          <w:lang w:val="fr-CH"/>
        </w:rPr>
        <w:t>roc</w:t>
      </w:r>
      <w:r w:rsidR="00F660F8" w:rsidRPr="0071782F">
        <w:rPr>
          <w:lang w:val="fr-CH"/>
        </w:rPr>
        <w:t>é</w:t>
      </w:r>
      <w:r w:rsidRPr="0071782F">
        <w:rPr>
          <w:lang w:val="fr-CH"/>
        </w:rPr>
        <w:t>dures</w:t>
      </w:r>
      <w:r w:rsidR="00F660F8" w:rsidRPr="0071782F">
        <w:rPr>
          <w:lang w:val="fr-CH"/>
        </w:rPr>
        <w:t xml:space="preserve"> administratives</w:t>
      </w:r>
    </w:p>
    <w:p w:rsidR="00DD2B20" w:rsidRPr="0071782F" w:rsidRDefault="00DD2B20" w:rsidP="00DD2B20">
      <w:pPr>
        <w:pStyle w:val="SingleTxtG"/>
        <w:rPr>
          <w:lang w:val="fr-CH"/>
        </w:rPr>
      </w:pPr>
      <w:r w:rsidRPr="0071782F">
        <w:rPr>
          <w:lang w:val="fr-CH"/>
        </w:rPr>
        <w:t>90.</w:t>
      </w:r>
      <w:r w:rsidRPr="0071782F">
        <w:rPr>
          <w:lang w:val="fr-CH"/>
        </w:rPr>
        <w:tab/>
      </w:r>
      <w:r w:rsidR="00007147" w:rsidRPr="0071782F">
        <w:rPr>
          <w:lang w:val="fr-CH"/>
        </w:rPr>
        <w:t xml:space="preserve">Une fois les statuts </w:t>
      </w:r>
      <w:r w:rsidR="008B7F9E" w:rsidRPr="0071782F">
        <w:rPr>
          <w:lang w:val="fr-CH"/>
        </w:rPr>
        <w:t>de l’association</w:t>
      </w:r>
      <w:r w:rsidR="00007147" w:rsidRPr="0071782F">
        <w:rPr>
          <w:lang w:val="fr-CH"/>
        </w:rPr>
        <w:t xml:space="preserve"> rédigés et approuvés par l’assemblée générale et les membres du conseil d’administration et les inspecteurs élus</w:t>
      </w:r>
      <w:r w:rsidRPr="0071782F">
        <w:rPr>
          <w:lang w:val="fr-CH"/>
        </w:rPr>
        <w:t xml:space="preserve">, </w:t>
      </w:r>
      <w:r w:rsidR="00007147" w:rsidRPr="0071782F">
        <w:rPr>
          <w:lang w:val="fr-CH"/>
        </w:rPr>
        <w:t xml:space="preserve">les </w:t>
      </w:r>
      <w:r w:rsidRPr="0071782F">
        <w:rPr>
          <w:lang w:val="fr-CH"/>
        </w:rPr>
        <w:t xml:space="preserve">documents </w:t>
      </w:r>
      <w:r w:rsidR="00007147" w:rsidRPr="0071782F">
        <w:rPr>
          <w:lang w:val="fr-CH"/>
        </w:rPr>
        <w:t>y relatifs sont présentés au Ministère du travail et des affaires sociales aux fins d’enregistrement et d’accréditation</w:t>
      </w:r>
      <w:r w:rsidRPr="0071782F">
        <w:rPr>
          <w:lang w:val="fr-CH"/>
        </w:rPr>
        <w:t>.</w:t>
      </w:r>
    </w:p>
    <w:p w:rsidR="00DD2B20" w:rsidRPr="0071782F" w:rsidRDefault="00DD2B20" w:rsidP="00DD2B20">
      <w:pPr>
        <w:pStyle w:val="H23G"/>
        <w:rPr>
          <w:lang w:val="fr-CH"/>
        </w:rPr>
      </w:pPr>
      <w:r w:rsidRPr="0071782F">
        <w:rPr>
          <w:lang w:val="fr-CH"/>
        </w:rPr>
        <w:tab/>
      </w:r>
      <w:r w:rsidRPr="0071782F">
        <w:rPr>
          <w:lang w:val="fr-CH"/>
        </w:rPr>
        <w:tab/>
      </w:r>
      <w:r w:rsidR="008F22E5" w:rsidRPr="0071782F">
        <w:rPr>
          <w:lang w:val="fr-CH"/>
        </w:rPr>
        <w:t xml:space="preserve">Procédures juridiques </w:t>
      </w:r>
    </w:p>
    <w:p w:rsidR="00DD2B20" w:rsidRPr="0071782F" w:rsidRDefault="00DD2B20" w:rsidP="002653D6">
      <w:pPr>
        <w:pStyle w:val="SingleTxtG"/>
        <w:rPr>
          <w:lang w:val="fr-CH"/>
        </w:rPr>
      </w:pPr>
      <w:r w:rsidRPr="0071782F">
        <w:rPr>
          <w:lang w:val="fr-CH"/>
        </w:rPr>
        <w:t>91.</w:t>
      </w:r>
      <w:r w:rsidRPr="0071782F">
        <w:rPr>
          <w:lang w:val="fr-CH"/>
        </w:rPr>
        <w:tab/>
      </w:r>
      <w:r w:rsidR="008F22E5" w:rsidRPr="0071782F">
        <w:rPr>
          <w:lang w:val="fr-CH"/>
        </w:rPr>
        <w:t xml:space="preserve">Ces </w:t>
      </w:r>
      <w:r w:rsidR="008B7F9E" w:rsidRPr="0071782F">
        <w:rPr>
          <w:lang w:val="fr-CH"/>
        </w:rPr>
        <w:t>associations</w:t>
      </w:r>
      <w:r w:rsidR="008F22E5" w:rsidRPr="0071782F">
        <w:rPr>
          <w:lang w:val="fr-CH"/>
        </w:rPr>
        <w:t xml:space="preserve"> sont créé</w:t>
      </w:r>
      <w:r w:rsidR="008B7F9E" w:rsidRPr="0071782F">
        <w:rPr>
          <w:lang w:val="fr-CH"/>
        </w:rPr>
        <w:t>e</w:t>
      </w:r>
      <w:r w:rsidR="008F22E5" w:rsidRPr="0071782F">
        <w:rPr>
          <w:lang w:val="fr-CH"/>
        </w:rPr>
        <w:t xml:space="preserve">s conformément aux dispositions de </w:t>
      </w:r>
      <w:r w:rsidR="00723F2B" w:rsidRPr="0071782F">
        <w:rPr>
          <w:lang w:val="fr-CH"/>
        </w:rPr>
        <w:t>l’</w:t>
      </w:r>
      <w:r w:rsidR="00943A69" w:rsidRPr="0071782F">
        <w:rPr>
          <w:lang w:val="fr-CH"/>
        </w:rPr>
        <w:t>article </w:t>
      </w:r>
      <w:r w:rsidRPr="0071782F">
        <w:rPr>
          <w:lang w:val="fr-CH"/>
        </w:rPr>
        <w:t xml:space="preserve">26 </w:t>
      </w:r>
      <w:r w:rsidR="008F22E5" w:rsidRPr="0071782F">
        <w:rPr>
          <w:lang w:val="fr-CH"/>
        </w:rPr>
        <w:t xml:space="preserve">de la </w:t>
      </w:r>
      <w:r w:rsidRPr="0071782F">
        <w:rPr>
          <w:lang w:val="fr-CH"/>
        </w:rPr>
        <w:t xml:space="preserve">Constitution </w:t>
      </w:r>
      <w:r w:rsidR="008F22E5" w:rsidRPr="0071782F">
        <w:rPr>
          <w:lang w:val="fr-CH"/>
        </w:rPr>
        <w:t xml:space="preserve">et à </w:t>
      </w:r>
      <w:r w:rsidR="00723F2B" w:rsidRPr="0071782F">
        <w:rPr>
          <w:lang w:val="fr-CH"/>
        </w:rPr>
        <w:t>l’</w:t>
      </w:r>
      <w:r w:rsidR="00943A69" w:rsidRPr="0071782F">
        <w:rPr>
          <w:lang w:val="fr-CH"/>
        </w:rPr>
        <w:t>article </w:t>
      </w:r>
      <w:r w:rsidRPr="0071782F">
        <w:rPr>
          <w:lang w:val="fr-CH"/>
        </w:rPr>
        <w:t xml:space="preserve">131 </w:t>
      </w:r>
      <w:r w:rsidR="008F22E5" w:rsidRPr="0071782F">
        <w:rPr>
          <w:lang w:val="fr-CH"/>
        </w:rPr>
        <w:t>du Code du travail et les notes connexes</w:t>
      </w:r>
      <w:r w:rsidRPr="0071782F">
        <w:rPr>
          <w:lang w:val="fr-CH"/>
        </w:rPr>
        <w:t xml:space="preserve">. </w:t>
      </w:r>
      <w:r w:rsidR="008F22E5" w:rsidRPr="0071782F">
        <w:rPr>
          <w:lang w:val="fr-CH"/>
        </w:rPr>
        <w:t xml:space="preserve">Après l’élection du conseil d’administration, les travailleurs ou les employeurs publient dans leur bulletin une </w:t>
      </w:r>
      <w:r w:rsidR="00A83442">
        <w:rPr>
          <w:lang w:val="fr-CH"/>
        </w:rPr>
        <w:t xml:space="preserve">note </w:t>
      </w:r>
      <w:r w:rsidR="008F22E5" w:rsidRPr="0071782F">
        <w:rPr>
          <w:lang w:val="fr-CH"/>
        </w:rPr>
        <w:t xml:space="preserve">informant les travailleurs ou employeurs de leur décision de créer </w:t>
      </w:r>
      <w:r w:rsidR="008B7F9E" w:rsidRPr="0071782F">
        <w:rPr>
          <w:lang w:val="fr-CH"/>
        </w:rPr>
        <w:t>l’association</w:t>
      </w:r>
      <w:r w:rsidR="008F22E5" w:rsidRPr="0071782F">
        <w:rPr>
          <w:lang w:val="fr-CH"/>
        </w:rPr>
        <w:t xml:space="preserve"> en question.</w:t>
      </w:r>
      <w:r w:rsidR="00D36718">
        <w:rPr>
          <w:lang w:val="fr-CH"/>
        </w:rPr>
        <w:t xml:space="preserve"> </w:t>
      </w:r>
    </w:p>
    <w:p w:rsidR="00DD2B20" w:rsidRPr="0071782F" w:rsidRDefault="008F22E5" w:rsidP="00DD2B20">
      <w:pPr>
        <w:pStyle w:val="H1G"/>
        <w:rPr>
          <w:lang w:val="fr-CH"/>
        </w:rPr>
      </w:pPr>
      <w:r w:rsidRPr="0071782F">
        <w:rPr>
          <w:lang w:val="fr-CH"/>
        </w:rPr>
        <w:tab/>
      </w:r>
      <w:r w:rsidRPr="0071782F">
        <w:rPr>
          <w:lang w:val="fr-CH"/>
        </w:rPr>
        <w:tab/>
        <w:t xml:space="preserve">Instruments prévus pour la </w:t>
      </w:r>
      <w:r w:rsidR="00DD2B20" w:rsidRPr="0071782F">
        <w:rPr>
          <w:lang w:val="fr-CH"/>
        </w:rPr>
        <w:t xml:space="preserve">consolidation </w:t>
      </w:r>
      <w:r w:rsidRPr="0071782F">
        <w:rPr>
          <w:lang w:val="fr-CH"/>
        </w:rPr>
        <w:t xml:space="preserve">et l’exercice du droit de négociation </w:t>
      </w:r>
      <w:r w:rsidR="00DD2B20" w:rsidRPr="0071782F">
        <w:rPr>
          <w:lang w:val="fr-CH"/>
        </w:rPr>
        <w:t xml:space="preserve">collective </w:t>
      </w:r>
    </w:p>
    <w:p w:rsidR="00DD2B20" w:rsidRPr="0071782F" w:rsidRDefault="00DD2B20" w:rsidP="00DD2B20">
      <w:pPr>
        <w:pStyle w:val="SingleTxtG"/>
        <w:rPr>
          <w:lang w:val="fr-CH"/>
        </w:rPr>
      </w:pPr>
      <w:r w:rsidRPr="0071782F">
        <w:rPr>
          <w:lang w:val="fr-CH"/>
        </w:rPr>
        <w:t>92.</w:t>
      </w:r>
      <w:r w:rsidRPr="0071782F">
        <w:rPr>
          <w:lang w:val="fr-CH"/>
        </w:rPr>
        <w:tab/>
      </w:r>
      <w:r w:rsidR="008F22E5" w:rsidRPr="0071782F">
        <w:rPr>
          <w:lang w:val="fr-CH"/>
        </w:rPr>
        <w:t>Il s’agit des instruments suivants</w:t>
      </w:r>
      <w:r w:rsidR="008F7D33" w:rsidRPr="0071782F">
        <w:rPr>
          <w:lang w:val="fr-CH"/>
        </w:rPr>
        <w:t>:</w:t>
      </w:r>
    </w:p>
    <w:p w:rsidR="00DD2B20" w:rsidRPr="0071782F" w:rsidRDefault="00DD2B20" w:rsidP="00DD2B20">
      <w:pPr>
        <w:pStyle w:val="SingleTxtG"/>
        <w:ind w:left="1701" w:hanging="567"/>
        <w:rPr>
          <w:lang w:val="fr-CH"/>
        </w:rPr>
      </w:pPr>
      <w:r w:rsidRPr="0071782F">
        <w:rPr>
          <w:lang w:val="fr-CH"/>
        </w:rPr>
        <w:tab/>
        <w:t>92.1.</w:t>
      </w:r>
      <w:r w:rsidRPr="0071782F">
        <w:rPr>
          <w:lang w:val="fr-CH"/>
        </w:rPr>
        <w:tab/>
      </w:r>
      <w:r w:rsidR="009B2569" w:rsidRPr="0071782F">
        <w:rPr>
          <w:lang w:val="fr-CH"/>
        </w:rPr>
        <w:t xml:space="preserve">L’État, qui est </w:t>
      </w:r>
      <w:r w:rsidRPr="0071782F">
        <w:rPr>
          <w:lang w:val="fr-CH"/>
        </w:rPr>
        <w:t>respons</w:t>
      </w:r>
      <w:r w:rsidR="009B2569" w:rsidRPr="0071782F">
        <w:rPr>
          <w:lang w:val="fr-CH"/>
        </w:rPr>
        <w:t>a</w:t>
      </w:r>
      <w:r w:rsidRPr="0071782F">
        <w:rPr>
          <w:lang w:val="fr-CH"/>
        </w:rPr>
        <w:t xml:space="preserve">ble </w:t>
      </w:r>
      <w:r w:rsidR="009B2569" w:rsidRPr="0071782F">
        <w:rPr>
          <w:lang w:val="fr-CH"/>
        </w:rPr>
        <w:t>du contrôle et de l’éducation</w:t>
      </w:r>
      <w:r w:rsidRPr="0071782F">
        <w:rPr>
          <w:lang w:val="fr-CH"/>
        </w:rPr>
        <w:t>.</w:t>
      </w:r>
    </w:p>
    <w:p w:rsidR="00DD2B20" w:rsidRPr="0071782F" w:rsidRDefault="00DD2B20" w:rsidP="00DD2B20">
      <w:pPr>
        <w:pStyle w:val="SingleTxtG"/>
        <w:ind w:left="1701" w:hanging="567"/>
        <w:rPr>
          <w:lang w:val="fr-CH"/>
        </w:rPr>
      </w:pPr>
      <w:r w:rsidRPr="0071782F">
        <w:rPr>
          <w:lang w:val="fr-CH"/>
        </w:rPr>
        <w:tab/>
        <w:t>92.2.</w:t>
      </w:r>
      <w:r w:rsidRPr="0071782F">
        <w:rPr>
          <w:lang w:val="fr-CH"/>
        </w:rPr>
        <w:tab/>
      </w:r>
      <w:r w:rsidR="009B2569" w:rsidRPr="0071782F">
        <w:rPr>
          <w:lang w:val="fr-CH"/>
        </w:rPr>
        <w:t>Le syndicat, qui est partie à la négociation collective et à la convention</w:t>
      </w:r>
      <w:r w:rsidRPr="0071782F">
        <w:rPr>
          <w:lang w:val="fr-CH"/>
        </w:rPr>
        <w:t>.</w:t>
      </w:r>
    </w:p>
    <w:p w:rsidR="00DD2B20" w:rsidRPr="0071782F" w:rsidRDefault="00DD2B20" w:rsidP="00DD2B20">
      <w:pPr>
        <w:pStyle w:val="SingleTxtG"/>
        <w:ind w:left="1701" w:hanging="567"/>
        <w:rPr>
          <w:lang w:val="fr-CH"/>
        </w:rPr>
      </w:pPr>
      <w:r w:rsidRPr="0071782F">
        <w:rPr>
          <w:lang w:val="fr-CH"/>
        </w:rPr>
        <w:tab/>
        <w:t>92.3.</w:t>
      </w:r>
      <w:r w:rsidRPr="0071782F">
        <w:rPr>
          <w:lang w:val="fr-CH"/>
        </w:rPr>
        <w:tab/>
      </w:r>
      <w:r w:rsidR="009B2569" w:rsidRPr="0071782F">
        <w:rPr>
          <w:lang w:val="fr-CH"/>
        </w:rPr>
        <w:t>D’autres organes</w:t>
      </w:r>
      <w:r w:rsidRPr="0071782F">
        <w:rPr>
          <w:lang w:val="fr-CH"/>
        </w:rPr>
        <w:t xml:space="preserve">; </w:t>
      </w:r>
      <w:r w:rsidR="009B2569" w:rsidRPr="0071782F">
        <w:rPr>
          <w:lang w:val="fr-CH"/>
        </w:rPr>
        <w:t xml:space="preserve">en application des dispositions de </w:t>
      </w:r>
      <w:r w:rsidR="00723F2B" w:rsidRPr="0071782F">
        <w:rPr>
          <w:lang w:val="fr-CH"/>
        </w:rPr>
        <w:t>l’</w:t>
      </w:r>
      <w:r w:rsidR="00943A69" w:rsidRPr="0071782F">
        <w:rPr>
          <w:lang w:val="fr-CH"/>
        </w:rPr>
        <w:t>article </w:t>
      </w:r>
      <w:r w:rsidRPr="0071782F">
        <w:rPr>
          <w:lang w:val="fr-CH"/>
        </w:rPr>
        <w:t xml:space="preserve">78 </w:t>
      </w:r>
      <w:r w:rsidR="009B2569" w:rsidRPr="0071782F">
        <w:rPr>
          <w:lang w:val="fr-CH"/>
        </w:rPr>
        <w:t xml:space="preserve">du Code du travail relatif au droit </w:t>
      </w:r>
      <w:r w:rsidR="008B7F9E" w:rsidRPr="0071782F">
        <w:rPr>
          <w:lang w:val="fr-CH"/>
        </w:rPr>
        <w:t>d’association</w:t>
      </w:r>
      <w:r w:rsidR="009B2569" w:rsidRPr="0071782F">
        <w:rPr>
          <w:lang w:val="fr-CH"/>
        </w:rPr>
        <w:t>, la</w:t>
      </w:r>
      <w:r w:rsidRPr="0071782F">
        <w:rPr>
          <w:lang w:val="fr-CH"/>
        </w:rPr>
        <w:t xml:space="preserve"> coop</w:t>
      </w:r>
      <w:r w:rsidR="009B2569" w:rsidRPr="0071782F">
        <w:rPr>
          <w:lang w:val="fr-CH"/>
        </w:rPr>
        <w:t>é</w:t>
      </w:r>
      <w:r w:rsidRPr="0071782F">
        <w:rPr>
          <w:lang w:val="fr-CH"/>
        </w:rPr>
        <w:t xml:space="preserve">ration </w:t>
      </w:r>
      <w:r w:rsidR="009B2569" w:rsidRPr="0071782F">
        <w:rPr>
          <w:lang w:val="fr-CH"/>
        </w:rPr>
        <w:t>des tribunaux compé</w:t>
      </w:r>
      <w:r w:rsidRPr="0071782F">
        <w:rPr>
          <w:lang w:val="fr-CH"/>
        </w:rPr>
        <w:t>tent</w:t>
      </w:r>
      <w:r w:rsidR="009B2569" w:rsidRPr="0071782F">
        <w:rPr>
          <w:lang w:val="fr-CH"/>
        </w:rPr>
        <w:t>s</w:t>
      </w:r>
      <w:r w:rsidRPr="0071782F">
        <w:rPr>
          <w:lang w:val="fr-CH"/>
        </w:rPr>
        <w:t xml:space="preserve"> </w:t>
      </w:r>
      <w:r w:rsidR="009B2569" w:rsidRPr="0071782F">
        <w:rPr>
          <w:lang w:val="fr-CH"/>
        </w:rPr>
        <w:t xml:space="preserve">est nécessaire à la mise en </w:t>
      </w:r>
      <w:r w:rsidR="00D5366B" w:rsidRPr="0071782F">
        <w:rPr>
          <w:lang w:val="fr-CH"/>
        </w:rPr>
        <w:t>œuvre</w:t>
      </w:r>
      <w:r w:rsidR="009B2569" w:rsidRPr="0071782F">
        <w:rPr>
          <w:lang w:val="fr-CH"/>
        </w:rPr>
        <w:t xml:space="preserve"> de cette disposition</w:t>
      </w:r>
      <w:r w:rsidRPr="0071782F">
        <w:rPr>
          <w:lang w:val="fr-CH"/>
        </w:rPr>
        <w:t>.</w:t>
      </w:r>
    </w:p>
    <w:p w:rsidR="00DD2B20" w:rsidRPr="0071782F" w:rsidRDefault="00DD2B20" w:rsidP="00DD2B20">
      <w:pPr>
        <w:pStyle w:val="SingleTxtG"/>
        <w:ind w:left="1701" w:hanging="567"/>
        <w:rPr>
          <w:lang w:val="fr-CH"/>
        </w:rPr>
      </w:pPr>
      <w:r w:rsidRPr="0071782F">
        <w:rPr>
          <w:lang w:val="fr-CH"/>
        </w:rPr>
        <w:tab/>
        <w:t>92.4.</w:t>
      </w:r>
      <w:r w:rsidRPr="0071782F">
        <w:rPr>
          <w:lang w:val="fr-CH"/>
        </w:rPr>
        <w:tab/>
      </w:r>
      <w:r w:rsidR="009B2569" w:rsidRPr="0071782F">
        <w:rPr>
          <w:lang w:val="fr-CH"/>
        </w:rPr>
        <w:t xml:space="preserve">Le but poursuivi par l’État consiste à développer et à multiplier les </w:t>
      </w:r>
      <w:r w:rsidR="008B7F9E" w:rsidRPr="0071782F">
        <w:rPr>
          <w:lang w:val="fr-CH"/>
        </w:rPr>
        <w:t>association</w:t>
      </w:r>
      <w:r w:rsidR="009B2569" w:rsidRPr="0071782F">
        <w:rPr>
          <w:lang w:val="fr-CH"/>
        </w:rPr>
        <w:t>s de travailleurs et d’employeurs et à mettre en place le mécanisme juridique nécessaire à l’i</w:t>
      </w:r>
      <w:r w:rsidR="00ED122F" w:rsidRPr="0071782F">
        <w:rPr>
          <w:lang w:val="fr-CH"/>
        </w:rPr>
        <w:t>nstauration d’un dialogue et de</w:t>
      </w:r>
      <w:r w:rsidR="009B2569" w:rsidRPr="0071782F">
        <w:rPr>
          <w:lang w:val="fr-CH"/>
        </w:rPr>
        <w:t xml:space="preserve"> relations solides entre e</w:t>
      </w:r>
      <w:r w:rsidR="008B7F9E" w:rsidRPr="0071782F">
        <w:rPr>
          <w:lang w:val="fr-CH"/>
        </w:rPr>
        <w:t xml:space="preserve">lles </w:t>
      </w:r>
      <w:r w:rsidR="009B2569" w:rsidRPr="0071782F">
        <w:rPr>
          <w:lang w:val="fr-CH"/>
        </w:rPr>
        <w:t>de façon que les conditions d’emploi et de travail dans toute profession soient définies par la voie de la négociation collective et la</w:t>
      </w:r>
      <w:r w:rsidRPr="0071782F">
        <w:rPr>
          <w:lang w:val="fr-CH"/>
        </w:rPr>
        <w:t xml:space="preserve"> conclusion</w:t>
      </w:r>
      <w:r w:rsidR="009B2569" w:rsidRPr="0071782F">
        <w:rPr>
          <w:lang w:val="fr-CH"/>
        </w:rPr>
        <w:t>, par consentement mutuel, de conventions entre travailleurs et employeurs</w:t>
      </w:r>
      <w:r w:rsidRPr="0071782F">
        <w:rPr>
          <w:lang w:val="fr-CH"/>
        </w:rPr>
        <w:t xml:space="preserve">. </w:t>
      </w:r>
      <w:r w:rsidR="009B2569" w:rsidRPr="0071782F">
        <w:rPr>
          <w:lang w:val="fr-CH"/>
        </w:rPr>
        <w:t>Cela doit permettre non seulement de régler les divergences ou différends opposant les travailleurs et les employeurs et de satisfaire leurs revendications lég</w:t>
      </w:r>
      <w:r w:rsidR="00ED122F" w:rsidRPr="0071782F">
        <w:rPr>
          <w:lang w:val="fr-CH"/>
        </w:rPr>
        <w:t>itimes</w:t>
      </w:r>
      <w:r w:rsidR="009B2569" w:rsidRPr="0071782F">
        <w:rPr>
          <w:lang w:val="fr-CH"/>
        </w:rPr>
        <w:t>, mais aussi de réduire les problèmes que ces différends posent à l’État.</w:t>
      </w:r>
    </w:p>
    <w:p w:rsidR="00DD2B20" w:rsidRPr="0071782F" w:rsidRDefault="00DD2B20" w:rsidP="00DD2B20">
      <w:pPr>
        <w:pStyle w:val="SingleTxtG"/>
        <w:ind w:left="1701" w:hanging="567"/>
        <w:rPr>
          <w:lang w:val="fr-CH"/>
        </w:rPr>
      </w:pPr>
      <w:r w:rsidRPr="0071782F">
        <w:rPr>
          <w:lang w:val="fr-CH"/>
        </w:rPr>
        <w:tab/>
        <w:t>92.5.</w:t>
      </w:r>
      <w:r w:rsidRPr="0071782F">
        <w:rPr>
          <w:lang w:val="fr-CH"/>
        </w:rPr>
        <w:tab/>
      </w:r>
      <w:r w:rsidR="008B7F9E" w:rsidRPr="0071782F">
        <w:rPr>
          <w:lang w:val="fr-CH"/>
        </w:rPr>
        <w:t xml:space="preserve">Conformément aux obligations prévues par leurs statuts, les associations de travailleurs et d’employeurs peuvent présenter au </w:t>
      </w:r>
      <w:r w:rsidRPr="0071782F">
        <w:rPr>
          <w:lang w:val="fr-CH"/>
        </w:rPr>
        <w:t>Minist</w:t>
      </w:r>
      <w:r w:rsidR="008B7F9E" w:rsidRPr="0071782F">
        <w:rPr>
          <w:lang w:val="fr-CH"/>
        </w:rPr>
        <w:t>ère du travail et des affaires sociales et à d’autres o</w:t>
      </w:r>
      <w:r w:rsidRPr="0071782F">
        <w:rPr>
          <w:lang w:val="fr-CH"/>
        </w:rPr>
        <w:t>r</w:t>
      </w:r>
      <w:r w:rsidR="008B7F9E" w:rsidRPr="0071782F">
        <w:rPr>
          <w:lang w:val="fr-CH"/>
        </w:rPr>
        <w:t>ganes compétents leurs vues et propositions concernant la modification et la simplification des règles et règlements en matière de travail en vigueur</w:t>
      </w:r>
      <w:r w:rsidRPr="0071782F">
        <w:rPr>
          <w:lang w:val="fr-CH"/>
        </w:rPr>
        <w:t xml:space="preserve">. </w:t>
      </w:r>
      <w:r w:rsidR="008B7F9E" w:rsidRPr="0071782F">
        <w:rPr>
          <w:lang w:val="fr-CH"/>
        </w:rPr>
        <w:t xml:space="preserve">Ces vues et propositions sont examinées par les commissions compétentes, avant d’être soumises à l’Assemblée consultative islamique (Parlement) ou au Conseil des ministres pour examen et approbation. Par exemple, le Conseil des ministres a modifié la </w:t>
      </w:r>
      <w:r w:rsidR="00A83442">
        <w:rPr>
          <w:lang w:val="fr-CH"/>
        </w:rPr>
        <w:t xml:space="preserve">note </w:t>
      </w:r>
      <w:r w:rsidR="008B7F9E"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3 </w:t>
      </w:r>
      <w:r w:rsidR="008B7F9E" w:rsidRPr="0071782F">
        <w:rPr>
          <w:lang w:val="fr-CH"/>
        </w:rPr>
        <w:t>du Règlement des associations de travailleurs et d’employeurs en s’appuyant sur les vues présentées par les associations d’employeurs.</w:t>
      </w:r>
    </w:p>
    <w:p w:rsidR="00DD2B20" w:rsidRPr="0071782F" w:rsidRDefault="00DD2B20" w:rsidP="00DD2B20">
      <w:pPr>
        <w:pStyle w:val="H1G"/>
        <w:rPr>
          <w:lang w:val="fr-CH"/>
        </w:rPr>
      </w:pPr>
      <w:r w:rsidRPr="0071782F">
        <w:rPr>
          <w:lang w:val="fr-CH"/>
        </w:rPr>
        <w:tab/>
      </w:r>
      <w:r w:rsidRPr="0071782F">
        <w:rPr>
          <w:lang w:val="fr-CH"/>
        </w:rPr>
        <w:tab/>
        <w:t xml:space="preserve">Formation </w:t>
      </w:r>
      <w:r w:rsidR="008B7F9E" w:rsidRPr="0071782F">
        <w:rPr>
          <w:lang w:val="fr-CH"/>
        </w:rPr>
        <w:t xml:space="preserve">des syndicats </w:t>
      </w:r>
    </w:p>
    <w:p w:rsidR="00DD2B20" w:rsidRPr="0071782F" w:rsidRDefault="00DD2B20" w:rsidP="00DD2B20">
      <w:pPr>
        <w:pStyle w:val="SingleTxtG"/>
        <w:rPr>
          <w:lang w:val="fr-CH"/>
        </w:rPr>
      </w:pPr>
      <w:r w:rsidRPr="0071782F">
        <w:rPr>
          <w:lang w:val="fr-CH"/>
        </w:rPr>
        <w:t>93.</w:t>
      </w:r>
      <w:r w:rsidRPr="0071782F">
        <w:rPr>
          <w:lang w:val="fr-CH"/>
        </w:rPr>
        <w:tab/>
      </w:r>
      <w:r w:rsidR="00DD6A99" w:rsidRPr="0071782F">
        <w:rPr>
          <w:lang w:val="fr-CH"/>
        </w:rPr>
        <w:t>Les c</w:t>
      </w:r>
      <w:r w:rsidRPr="0071782F">
        <w:rPr>
          <w:lang w:val="fr-CH"/>
        </w:rPr>
        <w:t>hap</w:t>
      </w:r>
      <w:r w:rsidR="00DD6A99" w:rsidRPr="0071782F">
        <w:rPr>
          <w:lang w:val="fr-CH"/>
        </w:rPr>
        <w:t xml:space="preserve">itres </w:t>
      </w:r>
      <w:r w:rsidRPr="0071782F">
        <w:rPr>
          <w:lang w:val="fr-CH"/>
        </w:rPr>
        <w:t xml:space="preserve">3 </w:t>
      </w:r>
      <w:r w:rsidR="00DD6A99" w:rsidRPr="0071782F">
        <w:rPr>
          <w:lang w:val="fr-CH"/>
        </w:rPr>
        <w:t>et</w:t>
      </w:r>
      <w:r w:rsidRPr="0071782F">
        <w:rPr>
          <w:lang w:val="fr-CH"/>
        </w:rPr>
        <w:t xml:space="preserve"> 7 </w:t>
      </w:r>
      <w:r w:rsidR="00DD6A99" w:rsidRPr="0071782F">
        <w:rPr>
          <w:lang w:val="fr-CH"/>
        </w:rPr>
        <w:t xml:space="preserve">de la </w:t>
      </w:r>
      <w:r w:rsidRPr="0071782F">
        <w:rPr>
          <w:lang w:val="fr-CH"/>
        </w:rPr>
        <w:t>Constitution</w:t>
      </w:r>
      <w:r w:rsidR="00DD6A99" w:rsidRPr="0071782F">
        <w:rPr>
          <w:lang w:val="fr-CH"/>
        </w:rPr>
        <w:t>, qui traitent respectivement des</w:t>
      </w:r>
      <w:r w:rsidRPr="0071782F">
        <w:rPr>
          <w:lang w:val="fr-CH"/>
        </w:rPr>
        <w:t xml:space="preserve"> </w:t>
      </w:r>
      <w:r w:rsidR="00A62149" w:rsidRPr="0071782F">
        <w:rPr>
          <w:lang w:val="fr-CH"/>
        </w:rPr>
        <w:t>"</w:t>
      </w:r>
      <w:r w:rsidR="00DD6A99" w:rsidRPr="0071782F">
        <w:rPr>
          <w:lang w:val="fr-CH"/>
        </w:rPr>
        <w:t xml:space="preserve">droits de la </w:t>
      </w:r>
      <w:r w:rsidRPr="0071782F">
        <w:rPr>
          <w:lang w:val="fr-CH"/>
        </w:rPr>
        <w:t>nation</w:t>
      </w:r>
      <w:r w:rsidR="00A62149" w:rsidRPr="0071782F">
        <w:rPr>
          <w:lang w:val="fr-CH"/>
        </w:rPr>
        <w:t>"</w:t>
      </w:r>
      <w:r w:rsidRPr="0071782F">
        <w:rPr>
          <w:lang w:val="fr-CH"/>
        </w:rPr>
        <w:t xml:space="preserve"> </w:t>
      </w:r>
      <w:r w:rsidR="00DD6A99" w:rsidRPr="0071782F">
        <w:rPr>
          <w:lang w:val="fr-CH"/>
        </w:rPr>
        <w:t xml:space="preserve">et des </w:t>
      </w:r>
      <w:r w:rsidR="00A62149" w:rsidRPr="0071782F">
        <w:rPr>
          <w:lang w:val="fr-CH"/>
        </w:rPr>
        <w:t>"</w:t>
      </w:r>
      <w:r w:rsidRPr="0071782F">
        <w:rPr>
          <w:lang w:val="fr-CH"/>
        </w:rPr>
        <w:t>co</w:t>
      </w:r>
      <w:r w:rsidR="00DD6A99" w:rsidRPr="0071782F">
        <w:rPr>
          <w:lang w:val="fr-CH"/>
        </w:rPr>
        <w:t>nseils</w:t>
      </w:r>
      <w:r w:rsidR="00A62149" w:rsidRPr="0071782F">
        <w:rPr>
          <w:lang w:val="fr-CH"/>
        </w:rPr>
        <w:t>"</w:t>
      </w:r>
      <w:r w:rsidRPr="0071782F">
        <w:rPr>
          <w:lang w:val="fr-CH"/>
        </w:rPr>
        <w:t xml:space="preserve">, </w:t>
      </w:r>
      <w:r w:rsidR="00DD6A99" w:rsidRPr="0071782F">
        <w:rPr>
          <w:lang w:val="fr-CH"/>
        </w:rPr>
        <w:t>énoncent des principes qui font indirectement référence aux droits de la population</w:t>
      </w:r>
      <w:r w:rsidRPr="0071782F">
        <w:rPr>
          <w:lang w:val="fr-CH"/>
        </w:rPr>
        <w:t>.</w:t>
      </w:r>
    </w:p>
    <w:p w:rsidR="00DD2B20" w:rsidRPr="0071782F" w:rsidRDefault="00DD2B20" w:rsidP="00DD2B20">
      <w:pPr>
        <w:pStyle w:val="SingleTxtG"/>
        <w:ind w:left="1701" w:hanging="567"/>
        <w:rPr>
          <w:lang w:val="fr-CH"/>
        </w:rPr>
      </w:pPr>
      <w:r w:rsidRPr="0071782F">
        <w:rPr>
          <w:lang w:val="fr-CH"/>
        </w:rPr>
        <w:tab/>
        <w:t>93.1.</w:t>
      </w:r>
      <w:r w:rsidRPr="0071782F">
        <w:rPr>
          <w:lang w:val="fr-CH"/>
        </w:rPr>
        <w:tab/>
      </w:r>
      <w:r w:rsidR="00723F2B" w:rsidRPr="0071782F">
        <w:rPr>
          <w:lang w:val="fr-CH"/>
        </w:rPr>
        <w:t>L’</w:t>
      </w:r>
      <w:r w:rsidR="00943A69" w:rsidRPr="0071782F">
        <w:rPr>
          <w:lang w:val="fr-CH"/>
        </w:rPr>
        <w:t>article </w:t>
      </w:r>
      <w:r w:rsidRPr="0071782F">
        <w:rPr>
          <w:lang w:val="fr-CH"/>
        </w:rPr>
        <w:t xml:space="preserve">26 </w:t>
      </w:r>
      <w:r w:rsidR="00DD6A99" w:rsidRPr="0071782F">
        <w:rPr>
          <w:lang w:val="fr-CH"/>
        </w:rPr>
        <w:t xml:space="preserve">de la </w:t>
      </w:r>
      <w:r w:rsidRPr="0071782F">
        <w:rPr>
          <w:lang w:val="fr-CH"/>
        </w:rPr>
        <w:t xml:space="preserve">Constitution </w:t>
      </w:r>
      <w:r w:rsidR="00DD6A99" w:rsidRPr="0071782F">
        <w:rPr>
          <w:lang w:val="fr-CH"/>
        </w:rPr>
        <w:t xml:space="preserve">consacre le droit de former des partis et groupes politiques et professionnels sous certaines </w:t>
      </w:r>
      <w:r w:rsidRPr="0071782F">
        <w:rPr>
          <w:lang w:val="fr-CH"/>
        </w:rPr>
        <w:t xml:space="preserve">conditions. </w:t>
      </w:r>
      <w:r w:rsidR="00DD6A99" w:rsidRPr="0071782F">
        <w:rPr>
          <w:lang w:val="fr-CH"/>
        </w:rPr>
        <w:t xml:space="preserve">Par ailleurs, son </w:t>
      </w:r>
      <w:r w:rsidR="00943A69" w:rsidRPr="0071782F">
        <w:rPr>
          <w:lang w:val="fr-CH"/>
        </w:rPr>
        <w:t>article </w:t>
      </w:r>
      <w:r w:rsidRPr="0071782F">
        <w:rPr>
          <w:lang w:val="fr-CH"/>
        </w:rPr>
        <w:t xml:space="preserve">104 </w:t>
      </w:r>
      <w:r w:rsidR="00DD6A99" w:rsidRPr="0071782F">
        <w:rPr>
          <w:lang w:val="fr-CH"/>
        </w:rPr>
        <w:t xml:space="preserve">reconnaît spécialement le droit des travailleurs et des fonctionnaires de créer leurs propres conseils. </w:t>
      </w:r>
      <w:r w:rsidR="00723F2B" w:rsidRPr="0071782F">
        <w:rPr>
          <w:lang w:val="fr-CH"/>
        </w:rPr>
        <w:t>L’</w:t>
      </w:r>
      <w:r w:rsidR="00943A69" w:rsidRPr="0071782F">
        <w:rPr>
          <w:lang w:val="fr-CH"/>
        </w:rPr>
        <w:t>article </w:t>
      </w:r>
      <w:r w:rsidRPr="0071782F">
        <w:rPr>
          <w:lang w:val="fr-CH"/>
        </w:rPr>
        <w:t xml:space="preserve">27 </w:t>
      </w:r>
      <w:r w:rsidR="00DD6A99" w:rsidRPr="0071782F">
        <w:rPr>
          <w:lang w:val="fr-CH"/>
        </w:rPr>
        <w:t>reconnaît le droit d’</w:t>
      </w:r>
      <w:r w:rsidRPr="0071782F">
        <w:rPr>
          <w:lang w:val="fr-CH"/>
        </w:rPr>
        <w:t xml:space="preserve">association </w:t>
      </w:r>
      <w:r w:rsidR="00DD6A99" w:rsidRPr="0071782F">
        <w:rPr>
          <w:lang w:val="fr-CH"/>
        </w:rPr>
        <w:t>et celui d’organiser des marches de protestation</w:t>
      </w:r>
      <w:r w:rsidRPr="0071782F">
        <w:rPr>
          <w:lang w:val="fr-CH"/>
        </w:rPr>
        <w:t xml:space="preserve">. </w:t>
      </w:r>
      <w:r w:rsidR="00DD6A99" w:rsidRPr="0071782F">
        <w:rPr>
          <w:lang w:val="fr-CH"/>
        </w:rPr>
        <w:t xml:space="preserve">On peut déduire de ces </w:t>
      </w:r>
      <w:r w:rsidR="00A83442">
        <w:rPr>
          <w:lang w:val="fr-CH"/>
        </w:rPr>
        <w:t>articles que</w:t>
      </w:r>
      <w:r w:rsidR="00DD6A99" w:rsidRPr="0071782F">
        <w:rPr>
          <w:lang w:val="fr-CH"/>
        </w:rPr>
        <w:t xml:space="preserve"> les salariés, y compris les travailleurs, peuvent former leurs propres associations et conseils professionnels, tels que des syndicats et des groupements, afin de défendre leurs droits.</w:t>
      </w:r>
    </w:p>
    <w:p w:rsidR="00DD2B20" w:rsidRPr="0071782F" w:rsidRDefault="00DD2B20" w:rsidP="00DD2B20">
      <w:pPr>
        <w:pStyle w:val="SingleTxtG"/>
        <w:ind w:left="1701" w:hanging="567"/>
        <w:rPr>
          <w:lang w:val="fr-CH"/>
        </w:rPr>
      </w:pPr>
      <w:r w:rsidRPr="0071782F">
        <w:rPr>
          <w:lang w:val="fr-CH"/>
        </w:rPr>
        <w:tab/>
        <w:t>93.2.</w:t>
      </w:r>
      <w:r w:rsidRPr="0071782F">
        <w:rPr>
          <w:lang w:val="fr-CH"/>
        </w:rPr>
        <w:tab/>
      </w:r>
      <w:r w:rsidR="00723F2B" w:rsidRPr="0071782F">
        <w:rPr>
          <w:lang w:val="fr-CH"/>
        </w:rPr>
        <w:t>L’</w:t>
      </w:r>
      <w:r w:rsidR="00943A69" w:rsidRPr="0071782F">
        <w:rPr>
          <w:lang w:val="fr-CH"/>
        </w:rPr>
        <w:t>article </w:t>
      </w:r>
      <w:r w:rsidRPr="0071782F">
        <w:rPr>
          <w:lang w:val="fr-CH"/>
        </w:rPr>
        <w:t xml:space="preserve">131 </w:t>
      </w:r>
      <w:r w:rsidR="00DD6A99" w:rsidRPr="0071782F">
        <w:rPr>
          <w:lang w:val="fr-CH"/>
        </w:rPr>
        <w:t>du Code du travail stipule que la création d’associations professionnelles a pour but de défendre les droits et intérêts légitimes des travailleurs et des employeurs et d’améliorer leurs conditions de vie</w:t>
      </w:r>
      <w:r w:rsidRPr="0071782F">
        <w:rPr>
          <w:lang w:val="fr-CH"/>
        </w:rPr>
        <w:t xml:space="preserve">. </w:t>
      </w:r>
      <w:r w:rsidR="00E50683" w:rsidRPr="0071782F">
        <w:rPr>
          <w:lang w:val="fr-CH"/>
        </w:rPr>
        <w:t xml:space="preserve">Son </w:t>
      </w:r>
      <w:r w:rsidR="00943A69" w:rsidRPr="0071782F">
        <w:rPr>
          <w:lang w:val="fr-CH"/>
        </w:rPr>
        <w:t>article </w:t>
      </w:r>
      <w:r w:rsidRPr="0071782F">
        <w:rPr>
          <w:lang w:val="fr-CH"/>
        </w:rPr>
        <w:t xml:space="preserve">142 </w:t>
      </w:r>
      <w:r w:rsidR="00E50683" w:rsidRPr="0071782F">
        <w:rPr>
          <w:lang w:val="fr-CH"/>
        </w:rPr>
        <w:t xml:space="preserve">énonce le droit de négociation </w:t>
      </w:r>
      <w:r w:rsidRPr="0071782F">
        <w:rPr>
          <w:lang w:val="fr-CH"/>
        </w:rPr>
        <w:t xml:space="preserve">collective </w:t>
      </w:r>
      <w:r w:rsidR="00E50683" w:rsidRPr="0071782F">
        <w:rPr>
          <w:lang w:val="fr-CH"/>
        </w:rPr>
        <w:t>et de conclusion de conventions collectives</w:t>
      </w:r>
      <w:r w:rsidRPr="0071782F">
        <w:rPr>
          <w:lang w:val="fr-CH"/>
        </w:rPr>
        <w:t xml:space="preserve">, </w:t>
      </w:r>
      <w:r w:rsidR="00E50683" w:rsidRPr="0071782F">
        <w:rPr>
          <w:lang w:val="fr-CH"/>
        </w:rPr>
        <w:t>en se référant indirectement au droit de grève</w:t>
      </w:r>
      <w:r w:rsidRPr="0071782F">
        <w:rPr>
          <w:lang w:val="fr-CH"/>
        </w:rPr>
        <w:t xml:space="preserve">. </w:t>
      </w:r>
      <w:r w:rsidR="00FA42E5" w:rsidRPr="0071782F">
        <w:rPr>
          <w:lang w:val="fr-CH"/>
        </w:rPr>
        <w:t xml:space="preserve">En vertu de cet </w:t>
      </w:r>
      <w:r w:rsidRPr="0071782F">
        <w:rPr>
          <w:lang w:val="fr-CH"/>
        </w:rPr>
        <w:t xml:space="preserve">article, </w:t>
      </w:r>
      <w:r w:rsidR="00FA42E5" w:rsidRPr="0071782F">
        <w:rPr>
          <w:lang w:val="fr-CH"/>
        </w:rPr>
        <w:t xml:space="preserve">si des </w:t>
      </w:r>
      <w:r w:rsidRPr="0071782F">
        <w:rPr>
          <w:lang w:val="fr-CH"/>
        </w:rPr>
        <w:t>divergence</w:t>
      </w:r>
      <w:r w:rsidR="00FA42E5" w:rsidRPr="0071782F">
        <w:rPr>
          <w:lang w:val="fr-CH"/>
        </w:rPr>
        <w:t>s</w:t>
      </w:r>
      <w:r w:rsidRPr="0071782F">
        <w:rPr>
          <w:lang w:val="fr-CH"/>
        </w:rPr>
        <w:t xml:space="preserve"> </w:t>
      </w:r>
      <w:r w:rsidR="00FA42E5" w:rsidRPr="0071782F">
        <w:rPr>
          <w:lang w:val="fr-CH"/>
        </w:rPr>
        <w:t>de vues concernant les dispositions du Code du travail, les conventions collectives antérieures ou toute autre question, ou la demande d’une des parties tendant à conclure une nouvelle convention entraînent une interruption de travail alors que les travailleurs sont présents sur le lieu de travail ou une réduction intentionnelle de la production par les travailleurs, l’équipe d’enquête est tenue d’enquêter rapidement sur la question à la demande de l’une des parties au différend ou des associations de travailleurs ou d’employeurs et de rendre un avis.</w:t>
      </w:r>
      <w:r w:rsidRPr="0071782F">
        <w:rPr>
          <w:lang w:val="fr-CH"/>
        </w:rPr>
        <w:t xml:space="preserve"> </w:t>
      </w:r>
      <w:r w:rsidR="00FA42E5" w:rsidRPr="0071782F">
        <w:rPr>
          <w:lang w:val="fr-CH"/>
        </w:rPr>
        <w:t xml:space="preserve">Naturellement, une interruption de travail </w:t>
      </w:r>
      <w:r w:rsidRPr="0071782F">
        <w:rPr>
          <w:lang w:val="fr-CH"/>
        </w:rPr>
        <w:t xml:space="preserve">collective </w:t>
      </w:r>
      <w:r w:rsidR="00FA42E5" w:rsidRPr="0071782F">
        <w:rPr>
          <w:lang w:val="fr-CH"/>
        </w:rPr>
        <w:t>ne peut s’interpréter que comme une grève.</w:t>
      </w:r>
      <w:r w:rsidRPr="0071782F">
        <w:rPr>
          <w:lang w:val="fr-CH"/>
        </w:rPr>
        <w:t xml:space="preserve"> </w:t>
      </w:r>
      <w:r w:rsidR="00FA42E5" w:rsidRPr="0071782F">
        <w:rPr>
          <w:lang w:val="fr-CH"/>
        </w:rPr>
        <w:t xml:space="preserve">Par ailleurs, une interruption intentionnelle du travail qui a </w:t>
      </w:r>
      <w:r w:rsidR="00172905" w:rsidRPr="0071782F">
        <w:rPr>
          <w:lang w:val="fr-CH"/>
        </w:rPr>
        <w:t>aussi</w:t>
      </w:r>
      <w:r w:rsidR="00FA42E5" w:rsidRPr="0071782F">
        <w:rPr>
          <w:lang w:val="fr-CH"/>
        </w:rPr>
        <w:t xml:space="preserve"> des motifs professionnels peut s’interpréter comme une grève limitée. </w:t>
      </w:r>
    </w:p>
    <w:p w:rsidR="00DD2B20" w:rsidRPr="0071782F" w:rsidRDefault="00DD2B20" w:rsidP="00DD2B20">
      <w:pPr>
        <w:pStyle w:val="H1G"/>
        <w:rPr>
          <w:lang w:val="fr-CH"/>
        </w:rPr>
      </w:pPr>
      <w:r w:rsidRPr="0071782F">
        <w:rPr>
          <w:lang w:val="fr-CH"/>
        </w:rPr>
        <w:tab/>
      </w:r>
      <w:r w:rsidRPr="0071782F">
        <w:rPr>
          <w:lang w:val="fr-CH"/>
        </w:rPr>
        <w:tab/>
      </w:r>
      <w:r w:rsidR="00FA42E5" w:rsidRPr="0071782F">
        <w:rPr>
          <w:lang w:val="fr-CH"/>
        </w:rPr>
        <w:t>Libertés p</w:t>
      </w:r>
      <w:r w:rsidRPr="0071782F">
        <w:rPr>
          <w:lang w:val="fr-CH"/>
        </w:rPr>
        <w:t>rofession</w:t>
      </w:r>
      <w:r w:rsidR="00FA42E5" w:rsidRPr="0071782F">
        <w:rPr>
          <w:lang w:val="fr-CH"/>
        </w:rPr>
        <w:t xml:space="preserve">nelles </w:t>
      </w:r>
    </w:p>
    <w:p w:rsidR="00DD2B20" w:rsidRPr="0071782F" w:rsidRDefault="00DD2B20" w:rsidP="00DD2B20">
      <w:pPr>
        <w:pStyle w:val="SingleTxtG"/>
        <w:rPr>
          <w:lang w:val="fr-CH"/>
        </w:rPr>
      </w:pPr>
      <w:r w:rsidRPr="0071782F">
        <w:rPr>
          <w:lang w:val="fr-CH"/>
        </w:rPr>
        <w:t>94.</w:t>
      </w:r>
      <w:r w:rsidRPr="0071782F">
        <w:rPr>
          <w:lang w:val="fr-CH"/>
        </w:rPr>
        <w:tab/>
      </w:r>
      <w:r w:rsidR="001D1AA5" w:rsidRPr="0071782F">
        <w:rPr>
          <w:lang w:val="fr-CH"/>
        </w:rPr>
        <w:t>Les i</w:t>
      </w:r>
      <w:r w:rsidRPr="0071782F">
        <w:rPr>
          <w:lang w:val="fr-CH"/>
        </w:rPr>
        <w:t xml:space="preserve">nstitutions </w:t>
      </w:r>
      <w:r w:rsidR="001D1AA5" w:rsidRPr="0071782F">
        <w:rPr>
          <w:lang w:val="fr-CH"/>
        </w:rPr>
        <w:t>qui participent au dialogue social et aux arrangements tripartites (État, travailleurs et employeurs), y compris les organes chargés d’élaborer les politiques et de prendre des décisions dans le domaine du travail et de l’emploi, sont la Conférence nationale du travail</w:t>
      </w:r>
      <w:r w:rsidRPr="0071782F">
        <w:rPr>
          <w:lang w:val="fr-CH"/>
        </w:rPr>
        <w:t xml:space="preserve">, </w:t>
      </w:r>
      <w:r w:rsidR="001D1AA5" w:rsidRPr="0071782F">
        <w:rPr>
          <w:lang w:val="fr-CH"/>
        </w:rPr>
        <w:t xml:space="preserve">les hauts conseils </w:t>
      </w:r>
      <w:r w:rsidRPr="0071782F">
        <w:rPr>
          <w:lang w:val="fr-CH"/>
        </w:rPr>
        <w:t>(H</w:t>
      </w:r>
      <w:r w:rsidR="001D1AA5" w:rsidRPr="0071782F">
        <w:rPr>
          <w:lang w:val="fr-CH"/>
        </w:rPr>
        <w:t>aut Conseil du travail</w:t>
      </w:r>
      <w:r w:rsidRPr="0071782F">
        <w:rPr>
          <w:lang w:val="fr-CH"/>
        </w:rPr>
        <w:t>, H</w:t>
      </w:r>
      <w:r w:rsidR="001D1AA5" w:rsidRPr="0071782F">
        <w:rPr>
          <w:lang w:val="fr-CH"/>
        </w:rPr>
        <w:t>aut Conseil de la p</w:t>
      </w:r>
      <w:r w:rsidRPr="0071782F">
        <w:rPr>
          <w:lang w:val="fr-CH"/>
        </w:rPr>
        <w:t xml:space="preserve">rotection </w:t>
      </w:r>
      <w:r w:rsidR="001D1AA5" w:rsidRPr="0071782F">
        <w:rPr>
          <w:lang w:val="fr-CH"/>
        </w:rPr>
        <w:t>technique</w:t>
      </w:r>
      <w:r w:rsidRPr="0071782F">
        <w:rPr>
          <w:lang w:val="fr-CH"/>
        </w:rPr>
        <w:t>, Co</w:t>
      </w:r>
      <w:r w:rsidR="001D1AA5" w:rsidRPr="0071782F">
        <w:rPr>
          <w:lang w:val="fr-CH"/>
        </w:rPr>
        <w:t>nseil de l’Organisation de la sécurité sociale et Haut Conseil de l’emploi), ainsi que les conseils de règlement des différends et de médiation dont il est question au chapitre 9 du Code du travail. Ces institutions et organes sont brièvement présentés ci-après</w:t>
      </w:r>
      <w:r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r>
      <w:r w:rsidR="001D1AA5" w:rsidRPr="0071782F">
        <w:rPr>
          <w:lang w:val="fr-CH"/>
        </w:rPr>
        <w:t>Conférence n</w:t>
      </w:r>
      <w:r w:rsidRPr="0071782F">
        <w:rPr>
          <w:lang w:val="fr-CH"/>
        </w:rPr>
        <w:t>ational</w:t>
      </w:r>
      <w:r w:rsidR="001D1AA5" w:rsidRPr="0071782F">
        <w:rPr>
          <w:lang w:val="fr-CH"/>
        </w:rPr>
        <w:t>e du travail</w:t>
      </w:r>
      <w:r w:rsidR="00D36718">
        <w:rPr>
          <w:lang w:val="fr-CH"/>
        </w:rPr>
        <w:t xml:space="preserve"> </w:t>
      </w:r>
    </w:p>
    <w:p w:rsidR="00DD2B20" w:rsidRPr="0071782F" w:rsidRDefault="00DD2B20" w:rsidP="004373B2">
      <w:pPr>
        <w:pStyle w:val="SingleTxtG"/>
        <w:rPr>
          <w:lang w:val="fr-CH"/>
        </w:rPr>
      </w:pPr>
      <w:r w:rsidRPr="0071782F">
        <w:rPr>
          <w:lang w:val="fr-CH"/>
        </w:rPr>
        <w:t>95.</w:t>
      </w:r>
      <w:r w:rsidRPr="0071782F">
        <w:rPr>
          <w:lang w:val="fr-CH"/>
        </w:rPr>
        <w:tab/>
      </w:r>
      <w:r w:rsidR="001D1AA5" w:rsidRPr="0071782F">
        <w:rPr>
          <w:lang w:val="fr-CH"/>
        </w:rPr>
        <w:t>La Conférence n</w:t>
      </w:r>
      <w:r w:rsidRPr="0071782F">
        <w:rPr>
          <w:lang w:val="fr-CH"/>
        </w:rPr>
        <w:t>ational</w:t>
      </w:r>
      <w:r w:rsidR="001D1AA5" w:rsidRPr="0071782F">
        <w:rPr>
          <w:lang w:val="fr-CH"/>
        </w:rPr>
        <w:t>e du travail</w:t>
      </w:r>
      <w:r w:rsidRPr="0071782F">
        <w:rPr>
          <w:lang w:val="fr-CH"/>
        </w:rPr>
        <w:t xml:space="preserve">, </w:t>
      </w:r>
      <w:r w:rsidR="001D1AA5" w:rsidRPr="0071782F">
        <w:rPr>
          <w:lang w:val="fr-CH"/>
        </w:rPr>
        <w:t xml:space="preserve">instance de dialogue tripartite et de négociation </w:t>
      </w:r>
      <w:r w:rsidRPr="0071782F">
        <w:rPr>
          <w:lang w:val="fr-CH"/>
        </w:rPr>
        <w:t xml:space="preserve">collective </w:t>
      </w:r>
      <w:r w:rsidR="001D1AA5" w:rsidRPr="0071782F">
        <w:rPr>
          <w:lang w:val="fr-CH"/>
        </w:rPr>
        <w:t xml:space="preserve">entre représentants de l’État, des employeurs et des travailleurs </w:t>
      </w:r>
      <w:r w:rsidR="004373B2" w:rsidRPr="0071782F">
        <w:rPr>
          <w:lang w:val="fr-CH"/>
        </w:rPr>
        <w:t xml:space="preserve">et </w:t>
      </w:r>
      <w:r w:rsidR="001D1AA5" w:rsidRPr="0071782F">
        <w:rPr>
          <w:lang w:val="fr-CH"/>
        </w:rPr>
        <w:t>fonctionnant sur le modèle internationalement reconnu du trilatéralisme, tient des réunions auxquelles participent ses membres et des spécialistes et chercheurs travaillant dans ce domaine</w:t>
      </w:r>
      <w:r w:rsidRPr="0071782F">
        <w:rPr>
          <w:lang w:val="fr-CH"/>
        </w:rPr>
        <w:t>.</w:t>
      </w:r>
    </w:p>
    <w:p w:rsidR="00DD2B20" w:rsidRPr="0071782F" w:rsidRDefault="00DD2B20" w:rsidP="004373B2">
      <w:pPr>
        <w:pStyle w:val="SingleTxtG"/>
        <w:ind w:left="1701" w:hanging="567"/>
        <w:rPr>
          <w:lang w:val="fr-CH"/>
        </w:rPr>
      </w:pPr>
      <w:r w:rsidRPr="0071782F">
        <w:rPr>
          <w:lang w:val="fr-CH"/>
        </w:rPr>
        <w:tab/>
        <w:t>95.1.</w:t>
      </w:r>
      <w:r w:rsidRPr="0071782F">
        <w:rPr>
          <w:lang w:val="fr-CH"/>
        </w:rPr>
        <w:tab/>
      </w:r>
      <w:r w:rsidR="001D1AA5" w:rsidRPr="0071782F">
        <w:rPr>
          <w:lang w:val="fr-CH"/>
        </w:rPr>
        <w:t xml:space="preserve">La </w:t>
      </w:r>
      <w:r w:rsidRPr="0071782F">
        <w:rPr>
          <w:lang w:val="fr-CH"/>
        </w:rPr>
        <w:t xml:space="preserve">composition </w:t>
      </w:r>
      <w:r w:rsidR="001D1AA5" w:rsidRPr="0071782F">
        <w:rPr>
          <w:lang w:val="fr-CH"/>
        </w:rPr>
        <w:t xml:space="preserve">de la Conférence </w:t>
      </w:r>
      <w:r w:rsidRPr="0071782F">
        <w:rPr>
          <w:lang w:val="fr-CH"/>
        </w:rPr>
        <w:t>national</w:t>
      </w:r>
      <w:r w:rsidR="001D1AA5" w:rsidRPr="0071782F">
        <w:rPr>
          <w:lang w:val="fr-CH"/>
        </w:rPr>
        <w:t>e du travail s’inspire de celle de la Conférence i</w:t>
      </w:r>
      <w:r w:rsidRPr="0071782F">
        <w:rPr>
          <w:lang w:val="fr-CH"/>
        </w:rPr>
        <w:t>nternational</w:t>
      </w:r>
      <w:r w:rsidR="001D1AA5" w:rsidRPr="0071782F">
        <w:rPr>
          <w:lang w:val="fr-CH"/>
        </w:rPr>
        <w:t>e du Travail</w:t>
      </w:r>
      <w:r w:rsidRPr="0071782F">
        <w:rPr>
          <w:lang w:val="fr-CH"/>
        </w:rPr>
        <w:t xml:space="preserve">. </w:t>
      </w:r>
      <w:r w:rsidR="001D1AA5" w:rsidRPr="0071782F">
        <w:rPr>
          <w:lang w:val="fr-CH"/>
        </w:rPr>
        <w:t xml:space="preserve">Cette Conférence </w:t>
      </w:r>
      <w:r w:rsidR="004373B2" w:rsidRPr="0071782F">
        <w:rPr>
          <w:lang w:val="fr-CH"/>
        </w:rPr>
        <w:t xml:space="preserve">compte </w:t>
      </w:r>
      <w:r w:rsidR="001D1AA5" w:rsidRPr="0071782F">
        <w:rPr>
          <w:lang w:val="fr-CH"/>
        </w:rPr>
        <w:t xml:space="preserve">100 </w:t>
      </w:r>
      <w:r w:rsidR="004373B2" w:rsidRPr="0071782F">
        <w:rPr>
          <w:lang w:val="fr-CH"/>
        </w:rPr>
        <w:t xml:space="preserve">principaux </w:t>
      </w:r>
      <w:r w:rsidR="001D1AA5" w:rsidRPr="0071782F">
        <w:rPr>
          <w:lang w:val="fr-CH"/>
        </w:rPr>
        <w:t xml:space="preserve">membres, dont </w:t>
      </w:r>
      <w:r w:rsidRPr="0071782F">
        <w:rPr>
          <w:lang w:val="fr-CH"/>
        </w:rPr>
        <w:t>50 repr</w:t>
      </w:r>
      <w:r w:rsidR="001D1AA5" w:rsidRPr="0071782F">
        <w:rPr>
          <w:lang w:val="fr-CH"/>
        </w:rPr>
        <w:t>é</w:t>
      </w:r>
      <w:r w:rsidRPr="0071782F">
        <w:rPr>
          <w:lang w:val="fr-CH"/>
        </w:rPr>
        <w:t>sent</w:t>
      </w:r>
      <w:r w:rsidR="001D1AA5" w:rsidRPr="0071782F">
        <w:rPr>
          <w:lang w:val="fr-CH"/>
        </w:rPr>
        <w:t xml:space="preserve">ent le </w:t>
      </w:r>
      <w:r w:rsidR="004373B2" w:rsidRPr="0071782F">
        <w:rPr>
          <w:lang w:val="fr-CH"/>
        </w:rPr>
        <w:t>G</w:t>
      </w:r>
      <w:r w:rsidR="001D1AA5" w:rsidRPr="0071782F">
        <w:rPr>
          <w:lang w:val="fr-CH"/>
        </w:rPr>
        <w:t xml:space="preserve">ouvernement, </w:t>
      </w:r>
      <w:r w:rsidRPr="0071782F">
        <w:rPr>
          <w:lang w:val="fr-CH"/>
        </w:rPr>
        <w:t xml:space="preserve">25 </w:t>
      </w:r>
      <w:r w:rsidR="001D1AA5" w:rsidRPr="0071782F">
        <w:rPr>
          <w:lang w:val="fr-CH"/>
        </w:rPr>
        <w:t xml:space="preserve">les </w:t>
      </w:r>
      <w:r w:rsidRPr="0071782F">
        <w:rPr>
          <w:lang w:val="fr-CH"/>
        </w:rPr>
        <w:t xml:space="preserve">associations </w:t>
      </w:r>
      <w:r w:rsidR="001D1AA5" w:rsidRPr="0071782F">
        <w:rPr>
          <w:lang w:val="fr-CH"/>
        </w:rPr>
        <w:t xml:space="preserve">d’employeurs et </w:t>
      </w:r>
      <w:r w:rsidRPr="0071782F">
        <w:rPr>
          <w:lang w:val="fr-CH"/>
        </w:rPr>
        <w:t xml:space="preserve">25 </w:t>
      </w:r>
      <w:r w:rsidR="001D1AA5" w:rsidRPr="0071782F">
        <w:rPr>
          <w:lang w:val="fr-CH"/>
        </w:rPr>
        <w:t xml:space="preserve">les </w:t>
      </w:r>
      <w:r w:rsidRPr="0071782F">
        <w:rPr>
          <w:lang w:val="fr-CH"/>
        </w:rPr>
        <w:t>associations</w:t>
      </w:r>
      <w:r w:rsidR="001D1AA5" w:rsidRPr="0071782F">
        <w:rPr>
          <w:lang w:val="fr-CH"/>
        </w:rPr>
        <w:t xml:space="preserve"> de travailleurs</w:t>
      </w:r>
      <w:r w:rsidRPr="0071782F">
        <w:rPr>
          <w:lang w:val="fr-CH"/>
        </w:rPr>
        <w:t xml:space="preserve">. </w:t>
      </w:r>
      <w:r w:rsidR="001D1AA5" w:rsidRPr="0071782F">
        <w:rPr>
          <w:lang w:val="fr-CH"/>
        </w:rPr>
        <w:t>Chaque membre peut se faire accompagner par deux conseillers.</w:t>
      </w:r>
      <w:r w:rsidRPr="0071782F">
        <w:rPr>
          <w:lang w:val="fr-CH"/>
        </w:rPr>
        <w:t xml:space="preserve"> </w:t>
      </w:r>
      <w:r w:rsidR="001D1AA5" w:rsidRPr="0071782F">
        <w:rPr>
          <w:lang w:val="fr-CH"/>
        </w:rPr>
        <w:t>La Conférence est présidée par le Ministre du travail et des affaires sociales, assisté par trois vice-présidents</w:t>
      </w:r>
      <w:r w:rsidRPr="0071782F">
        <w:rPr>
          <w:lang w:val="fr-CH"/>
        </w:rPr>
        <w:t xml:space="preserve">. </w:t>
      </w:r>
      <w:r w:rsidR="001D1AA5" w:rsidRPr="0071782F">
        <w:rPr>
          <w:lang w:val="fr-CH"/>
        </w:rPr>
        <w:t xml:space="preserve">Ces trois vice-présidents sont respectivement choisis parmi les représentants du </w:t>
      </w:r>
      <w:r w:rsidR="004373B2" w:rsidRPr="0071782F">
        <w:rPr>
          <w:lang w:val="fr-CH"/>
        </w:rPr>
        <w:t>G</w:t>
      </w:r>
      <w:r w:rsidR="001D1AA5" w:rsidRPr="0071782F">
        <w:rPr>
          <w:lang w:val="fr-CH"/>
        </w:rPr>
        <w:t>ouvernement, des employeurs et des travailleurs</w:t>
      </w:r>
      <w:r w:rsidRPr="0071782F">
        <w:rPr>
          <w:lang w:val="fr-CH"/>
        </w:rPr>
        <w:t xml:space="preserve">. </w:t>
      </w:r>
      <w:r w:rsidR="001D1AA5" w:rsidRPr="0071782F">
        <w:rPr>
          <w:lang w:val="fr-CH"/>
        </w:rPr>
        <w:t>Par ailleurs, le Bureau est épaulé par le secrétaire de la Conférence et un conseiller juridique</w:t>
      </w:r>
      <w:r w:rsidRPr="0071782F">
        <w:rPr>
          <w:lang w:val="fr-CH"/>
        </w:rPr>
        <w:t>.</w:t>
      </w:r>
    </w:p>
    <w:p w:rsidR="00DD2B20" w:rsidRPr="0071782F" w:rsidRDefault="00DD2B20" w:rsidP="004373B2">
      <w:pPr>
        <w:pStyle w:val="SingleTxtG"/>
        <w:ind w:left="1701" w:hanging="567"/>
        <w:rPr>
          <w:lang w:val="fr-CH"/>
        </w:rPr>
      </w:pPr>
      <w:r w:rsidRPr="0071782F">
        <w:rPr>
          <w:lang w:val="fr-CH"/>
        </w:rPr>
        <w:tab/>
        <w:t>95.2.</w:t>
      </w:r>
      <w:r w:rsidRPr="0071782F">
        <w:rPr>
          <w:lang w:val="fr-CH"/>
        </w:rPr>
        <w:tab/>
      </w:r>
      <w:r w:rsidR="001D1AA5" w:rsidRPr="0071782F">
        <w:rPr>
          <w:lang w:val="fr-CH"/>
        </w:rPr>
        <w:t xml:space="preserve">La principale </w:t>
      </w:r>
      <w:r w:rsidRPr="0071782F">
        <w:rPr>
          <w:lang w:val="fr-CH"/>
        </w:rPr>
        <w:t xml:space="preserve">mission </w:t>
      </w:r>
      <w:r w:rsidR="001D1AA5" w:rsidRPr="0071782F">
        <w:rPr>
          <w:lang w:val="fr-CH"/>
        </w:rPr>
        <w:t xml:space="preserve">de la Conférence </w:t>
      </w:r>
      <w:r w:rsidRPr="0071782F">
        <w:rPr>
          <w:lang w:val="fr-CH"/>
        </w:rPr>
        <w:t>national</w:t>
      </w:r>
      <w:r w:rsidR="001D1AA5" w:rsidRPr="0071782F">
        <w:rPr>
          <w:lang w:val="fr-CH"/>
        </w:rPr>
        <w:t xml:space="preserve">e du travail est d’inciter les représentants des employeurs et des travailleurs à participer à un dialogue tripartite avec le représentant du </w:t>
      </w:r>
      <w:r w:rsidR="004373B2" w:rsidRPr="0071782F">
        <w:rPr>
          <w:lang w:val="fr-CH"/>
        </w:rPr>
        <w:t>G</w:t>
      </w:r>
      <w:r w:rsidR="001D1AA5" w:rsidRPr="0071782F">
        <w:rPr>
          <w:lang w:val="fr-CH"/>
        </w:rPr>
        <w:t xml:space="preserve">ouvernement </w:t>
      </w:r>
      <w:r w:rsidR="004373B2" w:rsidRPr="0071782F">
        <w:rPr>
          <w:lang w:val="fr-CH"/>
        </w:rPr>
        <w:t xml:space="preserve">pour un </w:t>
      </w:r>
      <w:r w:rsidR="001D1AA5" w:rsidRPr="0071782F">
        <w:rPr>
          <w:lang w:val="fr-CH"/>
        </w:rPr>
        <w:t xml:space="preserve">échange de vues et </w:t>
      </w:r>
      <w:r w:rsidR="004373B2" w:rsidRPr="0071782F">
        <w:rPr>
          <w:lang w:val="fr-CH"/>
        </w:rPr>
        <w:t xml:space="preserve">une </w:t>
      </w:r>
      <w:r w:rsidR="001D1AA5" w:rsidRPr="0071782F">
        <w:rPr>
          <w:lang w:val="fr-CH"/>
        </w:rPr>
        <w:t>collabor</w:t>
      </w:r>
      <w:r w:rsidR="004373B2" w:rsidRPr="0071782F">
        <w:rPr>
          <w:lang w:val="fr-CH"/>
        </w:rPr>
        <w:t>ation</w:t>
      </w:r>
      <w:r w:rsidR="001D1AA5" w:rsidRPr="0071782F">
        <w:rPr>
          <w:lang w:val="fr-CH"/>
        </w:rPr>
        <w:t xml:space="preserve"> </w:t>
      </w:r>
      <w:r w:rsidR="004373B2" w:rsidRPr="0071782F">
        <w:rPr>
          <w:lang w:val="fr-CH"/>
        </w:rPr>
        <w:t xml:space="preserve">visant à </w:t>
      </w:r>
      <w:r w:rsidR="001D1AA5" w:rsidRPr="0071782F">
        <w:rPr>
          <w:lang w:val="fr-CH"/>
        </w:rPr>
        <w:t xml:space="preserve">garantir leurs droits fondamentaux et </w:t>
      </w:r>
      <w:r w:rsidR="004373B2" w:rsidRPr="0071782F">
        <w:rPr>
          <w:lang w:val="fr-CH"/>
        </w:rPr>
        <w:t xml:space="preserve">à </w:t>
      </w:r>
      <w:r w:rsidR="001D1AA5" w:rsidRPr="0071782F">
        <w:rPr>
          <w:lang w:val="fr-CH"/>
        </w:rPr>
        <w:t>éliminer tous obstacles ou problèmes survenant dans les relations d</w:t>
      </w:r>
      <w:r w:rsidR="00172905" w:rsidRPr="0071782F">
        <w:rPr>
          <w:lang w:val="fr-CH"/>
        </w:rPr>
        <w:t>e</w:t>
      </w:r>
      <w:r w:rsidR="001D1AA5" w:rsidRPr="0071782F">
        <w:rPr>
          <w:lang w:val="fr-CH"/>
        </w:rPr>
        <w:t xml:space="preserve"> travail, </w:t>
      </w:r>
      <w:r w:rsidR="004373B2" w:rsidRPr="0071782F">
        <w:rPr>
          <w:lang w:val="fr-CH"/>
        </w:rPr>
        <w:t xml:space="preserve">l’objectif étant </w:t>
      </w:r>
      <w:r w:rsidR="001D1AA5" w:rsidRPr="0071782F">
        <w:rPr>
          <w:lang w:val="fr-CH"/>
        </w:rPr>
        <w:t>d’accroître leur production</w:t>
      </w:r>
      <w:r w:rsidRPr="0071782F">
        <w:rPr>
          <w:lang w:val="fr-CH"/>
        </w:rPr>
        <w:t xml:space="preserve">. </w:t>
      </w:r>
      <w:r w:rsidR="005C2AB7" w:rsidRPr="0071782F">
        <w:rPr>
          <w:lang w:val="fr-CH"/>
        </w:rPr>
        <w:t xml:space="preserve">La Conférence s’emploie à mettre en place un mécanisme rationnel permettant de mettre au jour les divergences et convergences entre les représentants du </w:t>
      </w:r>
      <w:r w:rsidR="004373B2" w:rsidRPr="0071782F">
        <w:rPr>
          <w:lang w:val="fr-CH"/>
        </w:rPr>
        <w:t>G</w:t>
      </w:r>
      <w:r w:rsidR="005C2AB7" w:rsidRPr="0071782F">
        <w:rPr>
          <w:lang w:val="fr-CH"/>
        </w:rPr>
        <w:t>ouvernement, des employeurs et des travailleurs au sujet des questions en jeu</w:t>
      </w:r>
      <w:r w:rsidR="00172905" w:rsidRPr="0071782F">
        <w:rPr>
          <w:lang w:val="fr-CH"/>
        </w:rPr>
        <w:t>,</w:t>
      </w:r>
      <w:r w:rsidR="005C2AB7" w:rsidRPr="0071782F">
        <w:rPr>
          <w:lang w:val="fr-CH"/>
        </w:rPr>
        <w:t xml:space="preserve"> afin de s’appuyer sur les convergences de vues pour organiser des débats d’experts sur les divergences et, surtout, de jeter les bases de </w:t>
      </w:r>
      <w:r w:rsidRPr="0071782F">
        <w:rPr>
          <w:lang w:val="fr-CH"/>
        </w:rPr>
        <w:t xml:space="preserve">contacts </w:t>
      </w:r>
      <w:r w:rsidR="005C2AB7" w:rsidRPr="0071782F">
        <w:rPr>
          <w:lang w:val="fr-CH"/>
        </w:rPr>
        <w:t>suivis entre les parties</w:t>
      </w:r>
      <w:r w:rsidR="004373B2" w:rsidRPr="0071782F">
        <w:rPr>
          <w:lang w:val="fr-CH"/>
        </w:rPr>
        <w:t xml:space="preserve"> en présence</w:t>
      </w:r>
      <w:r w:rsidRPr="0071782F">
        <w:rPr>
          <w:lang w:val="fr-CH"/>
        </w:rPr>
        <w:t xml:space="preserve">. </w:t>
      </w:r>
      <w:r w:rsidR="005C2AB7" w:rsidRPr="0071782F">
        <w:rPr>
          <w:lang w:val="fr-CH"/>
        </w:rPr>
        <w:t xml:space="preserve">Par ailleurs, la Conférence </w:t>
      </w:r>
      <w:r w:rsidRPr="0071782F">
        <w:rPr>
          <w:lang w:val="fr-CH"/>
        </w:rPr>
        <w:t>national</w:t>
      </w:r>
      <w:r w:rsidR="005C2AB7" w:rsidRPr="0071782F">
        <w:rPr>
          <w:lang w:val="fr-CH"/>
        </w:rPr>
        <w:t>e du travail vise à concrétiser le principe de la participation publique et à renforcer le rôle des organisations de la société civile dans les affaires publiques.</w:t>
      </w:r>
      <w:r w:rsidR="00D36718">
        <w:rPr>
          <w:lang w:val="fr-CH"/>
        </w:rPr>
        <w:t xml:space="preserve"> </w:t>
      </w:r>
    </w:p>
    <w:p w:rsidR="00DD2B20" w:rsidRPr="0071782F" w:rsidRDefault="00DD2B20" w:rsidP="004373B2">
      <w:pPr>
        <w:pStyle w:val="SingleTxtG"/>
        <w:ind w:left="1701" w:hanging="567"/>
        <w:rPr>
          <w:lang w:val="fr-CH"/>
        </w:rPr>
      </w:pPr>
      <w:r w:rsidRPr="0071782F">
        <w:rPr>
          <w:lang w:val="fr-CH"/>
        </w:rPr>
        <w:tab/>
        <w:t>95.3.</w:t>
      </w:r>
      <w:r w:rsidRPr="0071782F">
        <w:rPr>
          <w:lang w:val="fr-CH"/>
        </w:rPr>
        <w:tab/>
      </w:r>
      <w:r w:rsidR="00433CEF" w:rsidRPr="0071782F">
        <w:rPr>
          <w:lang w:val="fr-CH"/>
        </w:rPr>
        <w:t>S’agissant du mode de fonctionnement de la Conférence nationale du travail dans les consultations tripartites, il convient, dans un premier temps, d</w:t>
      </w:r>
      <w:r w:rsidR="004373B2" w:rsidRPr="0071782F">
        <w:rPr>
          <w:lang w:val="fr-CH"/>
        </w:rPr>
        <w:t>’</w:t>
      </w:r>
      <w:r w:rsidR="00433CEF" w:rsidRPr="0071782F">
        <w:rPr>
          <w:lang w:val="fr-CH"/>
        </w:rPr>
        <w:t>e</w:t>
      </w:r>
      <w:r w:rsidR="004373B2" w:rsidRPr="0071782F">
        <w:rPr>
          <w:lang w:val="fr-CH"/>
        </w:rPr>
        <w:t>n</w:t>
      </w:r>
      <w:r w:rsidR="00433CEF" w:rsidRPr="0071782F">
        <w:rPr>
          <w:lang w:val="fr-CH"/>
        </w:rPr>
        <w:t xml:space="preserve"> connaître</w:t>
      </w:r>
      <w:r w:rsidR="00D36718">
        <w:rPr>
          <w:lang w:val="fr-CH"/>
        </w:rPr>
        <w:t xml:space="preserve"> </w:t>
      </w:r>
      <w:r w:rsidR="00433CEF" w:rsidRPr="0071782F">
        <w:rPr>
          <w:lang w:val="fr-CH"/>
        </w:rPr>
        <w:t xml:space="preserve">les </w:t>
      </w:r>
      <w:r w:rsidR="004373B2" w:rsidRPr="0071782F">
        <w:rPr>
          <w:lang w:val="fr-CH"/>
        </w:rPr>
        <w:t>trois composantes</w:t>
      </w:r>
      <w:r w:rsidR="00433CEF" w:rsidRPr="0071782F">
        <w:rPr>
          <w:lang w:val="fr-CH"/>
        </w:rPr>
        <w:t xml:space="preserve">, à savoir l’Assemblée </w:t>
      </w:r>
      <w:r w:rsidRPr="0071782F">
        <w:rPr>
          <w:lang w:val="fr-CH"/>
        </w:rPr>
        <w:t>g</w:t>
      </w:r>
      <w:r w:rsidR="00433CEF" w:rsidRPr="0071782F">
        <w:rPr>
          <w:lang w:val="fr-CH"/>
        </w:rPr>
        <w:t>é</w:t>
      </w:r>
      <w:r w:rsidRPr="0071782F">
        <w:rPr>
          <w:lang w:val="fr-CH"/>
        </w:rPr>
        <w:t>n</w:t>
      </w:r>
      <w:r w:rsidR="00433CEF" w:rsidRPr="0071782F">
        <w:rPr>
          <w:lang w:val="fr-CH"/>
        </w:rPr>
        <w:t>é</w:t>
      </w:r>
      <w:r w:rsidRPr="0071782F">
        <w:rPr>
          <w:lang w:val="fr-CH"/>
        </w:rPr>
        <w:t>ral</w:t>
      </w:r>
      <w:r w:rsidR="00433CEF" w:rsidRPr="0071782F">
        <w:rPr>
          <w:lang w:val="fr-CH"/>
        </w:rPr>
        <w:t>e</w:t>
      </w:r>
      <w:r w:rsidRPr="0071782F">
        <w:rPr>
          <w:lang w:val="fr-CH"/>
        </w:rPr>
        <w:t xml:space="preserve">, </w:t>
      </w:r>
      <w:r w:rsidR="00433CEF" w:rsidRPr="0071782F">
        <w:rPr>
          <w:lang w:val="fr-CH"/>
        </w:rPr>
        <w:t xml:space="preserve">les </w:t>
      </w:r>
      <w:r w:rsidRPr="0071782F">
        <w:rPr>
          <w:lang w:val="fr-CH"/>
        </w:rPr>
        <w:t xml:space="preserve">commissions </w:t>
      </w:r>
      <w:r w:rsidR="00BC46AB" w:rsidRPr="0071782F">
        <w:rPr>
          <w:lang w:val="fr-CH"/>
        </w:rPr>
        <w:t>spécialisées</w:t>
      </w:r>
      <w:r w:rsidR="00433CEF" w:rsidRPr="0071782F">
        <w:rPr>
          <w:lang w:val="fr-CH"/>
        </w:rPr>
        <w:t xml:space="preserve"> et la phase d</w:t>
      </w:r>
      <w:r w:rsidR="00BC46AB" w:rsidRPr="0071782F">
        <w:rPr>
          <w:lang w:val="fr-CH"/>
        </w:rPr>
        <w:t>’adoption d</w:t>
      </w:r>
      <w:r w:rsidR="00433CEF" w:rsidRPr="0071782F">
        <w:rPr>
          <w:lang w:val="fr-CH"/>
        </w:rPr>
        <w:t>e résolution</w:t>
      </w:r>
      <w:r w:rsidR="00BC46AB" w:rsidRPr="0071782F">
        <w:rPr>
          <w:lang w:val="fr-CH"/>
        </w:rPr>
        <w:t>s</w:t>
      </w:r>
      <w:r w:rsidRPr="0071782F">
        <w:rPr>
          <w:lang w:val="fr-CH"/>
        </w:rPr>
        <w:t xml:space="preserve">. </w:t>
      </w:r>
      <w:r w:rsidR="00433CEF" w:rsidRPr="0071782F">
        <w:rPr>
          <w:lang w:val="fr-CH"/>
        </w:rPr>
        <w:t xml:space="preserve">Les fonctions </w:t>
      </w:r>
      <w:r w:rsidR="004373B2" w:rsidRPr="0071782F">
        <w:rPr>
          <w:lang w:val="fr-CH"/>
        </w:rPr>
        <w:t xml:space="preserve">correspondantes </w:t>
      </w:r>
      <w:r w:rsidR="00433CEF" w:rsidRPr="0071782F">
        <w:rPr>
          <w:lang w:val="fr-CH"/>
        </w:rPr>
        <w:t>sont indiqué</w:t>
      </w:r>
      <w:r w:rsidR="004373B2" w:rsidRPr="0071782F">
        <w:rPr>
          <w:lang w:val="fr-CH"/>
        </w:rPr>
        <w:t>e</w:t>
      </w:r>
      <w:r w:rsidR="00433CEF" w:rsidRPr="0071782F">
        <w:rPr>
          <w:lang w:val="fr-CH"/>
        </w:rPr>
        <w:t>s ci-après</w:t>
      </w:r>
      <w:r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r>
      <w:r w:rsidR="00433CEF" w:rsidRPr="0071782F">
        <w:rPr>
          <w:lang w:val="fr-CH"/>
        </w:rPr>
        <w:t xml:space="preserve">Assemblée générale </w:t>
      </w:r>
    </w:p>
    <w:p w:rsidR="00DD2B20" w:rsidRPr="0071782F" w:rsidRDefault="00DD2B20" w:rsidP="004373B2">
      <w:pPr>
        <w:pStyle w:val="SingleTxtG"/>
        <w:rPr>
          <w:lang w:val="fr-CH"/>
        </w:rPr>
      </w:pPr>
      <w:r w:rsidRPr="0071782F">
        <w:rPr>
          <w:lang w:val="fr-CH"/>
        </w:rPr>
        <w:t>96.</w:t>
      </w:r>
      <w:r w:rsidRPr="0071782F">
        <w:rPr>
          <w:lang w:val="fr-CH"/>
        </w:rPr>
        <w:tab/>
      </w:r>
      <w:r w:rsidR="00BC46AB" w:rsidRPr="0071782F">
        <w:rPr>
          <w:lang w:val="fr-CH"/>
        </w:rPr>
        <w:t xml:space="preserve">L’Assemblée générale tient ses sessions en présence des </w:t>
      </w:r>
      <w:r w:rsidRPr="0071782F">
        <w:rPr>
          <w:lang w:val="fr-CH"/>
        </w:rPr>
        <w:t>repr</w:t>
      </w:r>
      <w:r w:rsidR="00BC46AB" w:rsidRPr="0071782F">
        <w:rPr>
          <w:lang w:val="fr-CH"/>
        </w:rPr>
        <w:t>és</w:t>
      </w:r>
      <w:r w:rsidRPr="0071782F">
        <w:rPr>
          <w:lang w:val="fr-CH"/>
        </w:rPr>
        <w:t>enta</w:t>
      </w:r>
      <w:r w:rsidR="00BC46AB" w:rsidRPr="0071782F">
        <w:rPr>
          <w:lang w:val="fr-CH"/>
        </w:rPr>
        <w:t>nt</w:t>
      </w:r>
      <w:r w:rsidRPr="0071782F">
        <w:rPr>
          <w:lang w:val="fr-CH"/>
        </w:rPr>
        <w:t xml:space="preserve">s </w:t>
      </w:r>
      <w:r w:rsidR="00BC46AB" w:rsidRPr="0071782F">
        <w:rPr>
          <w:lang w:val="fr-CH"/>
        </w:rPr>
        <w:t xml:space="preserve">du </w:t>
      </w:r>
      <w:r w:rsidR="004373B2" w:rsidRPr="0071782F">
        <w:rPr>
          <w:lang w:val="fr-CH"/>
        </w:rPr>
        <w:t>G</w:t>
      </w:r>
      <w:r w:rsidR="00BC46AB" w:rsidRPr="0071782F">
        <w:rPr>
          <w:lang w:val="fr-CH"/>
        </w:rPr>
        <w:t xml:space="preserve">ouvernement, des employeurs et des travailleurs, des ministres concernés, de parlementaires, d’experts et de professeurs d’université spécialisés dans </w:t>
      </w:r>
      <w:r w:rsidR="004373B2" w:rsidRPr="0071782F">
        <w:rPr>
          <w:lang w:val="fr-CH"/>
        </w:rPr>
        <w:t>l</w:t>
      </w:r>
      <w:r w:rsidR="00BC46AB" w:rsidRPr="0071782F">
        <w:rPr>
          <w:lang w:val="fr-CH"/>
        </w:rPr>
        <w:t xml:space="preserve">e domaine, qui font des exposés sur des questions liées au travail et d’autres questions connexes. </w:t>
      </w:r>
    </w:p>
    <w:p w:rsidR="00DD2B20" w:rsidRPr="0071782F" w:rsidRDefault="00DD2B20" w:rsidP="00DD2B20">
      <w:pPr>
        <w:pStyle w:val="H1G"/>
        <w:rPr>
          <w:lang w:val="fr-CH"/>
        </w:rPr>
      </w:pPr>
      <w:r w:rsidRPr="0071782F">
        <w:rPr>
          <w:lang w:val="fr-CH"/>
        </w:rPr>
        <w:tab/>
      </w:r>
      <w:r w:rsidRPr="0071782F">
        <w:rPr>
          <w:lang w:val="fr-CH"/>
        </w:rPr>
        <w:tab/>
      </w:r>
      <w:r w:rsidR="00BC46AB" w:rsidRPr="0071782F">
        <w:rPr>
          <w:lang w:val="fr-CH"/>
        </w:rPr>
        <w:t>Commissions s</w:t>
      </w:r>
      <w:r w:rsidRPr="0071782F">
        <w:rPr>
          <w:lang w:val="fr-CH"/>
        </w:rPr>
        <w:t>p</w:t>
      </w:r>
      <w:r w:rsidR="00BC46AB" w:rsidRPr="0071782F">
        <w:rPr>
          <w:lang w:val="fr-CH"/>
        </w:rPr>
        <w:t>é</w:t>
      </w:r>
      <w:r w:rsidRPr="0071782F">
        <w:rPr>
          <w:lang w:val="fr-CH"/>
        </w:rPr>
        <w:t>ciali</w:t>
      </w:r>
      <w:r w:rsidR="00BC46AB" w:rsidRPr="0071782F">
        <w:rPr>
          <w:lang w:val="fr-CH"/>
        </w:rPr>
        <w:t xml:space="preserve">sées </w:t>
      </w:r>
    </w:p>
    <w:p w:rsidR="00DD2B20" w:rsidRPr="0071782F" w:rsidRDefault="00DD2B20" w:rsidP="00DD2B20">
      <w:pPr>
        <w:pStyle w:val="SingleTxtG"/>
        <w:rPr>
          <w:lang w:val="fr-CH"/>
        </w:rPr>
      </w:pPr>
      <w:r w:rsidRPr="0071782F">
        <w:rPr>
          <w:lang w:val="fr-CH"/>
        </w:rPr>
        <w:t>97.</w:t>
      </w:r>
      <w:r w:rsidRPr="0071782F">
        <w:rPr>
          <w:lang w:val="fr-CH"/>
        </w:rPr>
        <w:tab/>
      </w:r>
      <w:r w:rsidR="00BC46AB" w:rsidRPr="0071782F">
        <w:rPr>
          <w:lang w:val="fr-CH"/>
        </w:rPr>
        <w:t xml:space="preserve">Ces </w:t>
      </w:r>
      <w:r w:rsidRPr="0071782F">
        <w:rPr>
          <w:lang w:val="fr-CH"/>
        </w:rPr>
        <w:t xml:space="preserve">commissions, </w:t>
      </w:r>
      <w:r w:rsidR="00BC46AB" w:rsidRPr="0071782F">
        <w:rPr>
          <w:lang w:val="fr-CH"/>
        </w:rPr>
        <w:t xml:space="preserve">qui examinent les questions spécialisées qui leur sont soumises, siègent en présence de représentants du </w:t>
      </w:r>
      <w:r w:rsidR="004373B2" w:rsidRPr="0071782F">
        <w:rPr>
          <w:lang w:val="fr-CH"/>
        </w:rPr>
        <w:t>G</w:t>
      </w:r>
      <w:r w:rsidR="00BC46AB" w:rsidRPr="0071782F">
        <w:rPr>
          <w:lang w:val="fr-CH"/>
        </w:rPr>
        <w:t>ouvernement, des employeurs et des travailleurs.</w:t>
      </w:r>
    </w:p>
    <w:p w:rsidR="00DD2B20" w:rsidRPr="0071782F" w:rsidRDefault="00DD2B20" w:rsidP="00DD2B20">
      <w:pPr>
        <w:pStyle w:val="H1G"/>
        <w:rPr>
          <w:lang w:val="fr-CH"/>
        </w:rPr>
      </w:pPr>
      <w:r w:rsidRPr="0071782F">
        <w:rPr>
          <w:lang w:val="fr-CH"/>
        </w:rPr>
        <w:tab/>
      </w:r>
      <w:r w:rsidRPr="0071782F">
        <w:rPr>
          <w:lang w:val="fr-CH"/>
        </w:rPr>
        <w:tab/>
      </w:r>
      <w:r w:rsidR="00BC46AB" w:rsidRPr="0071782F">
        <w:rPr>
          <w:lang w:val="fr-CH"/>
        </w:rPr>
        <w:t>Adoption de ré</w:t>
      </w:r>
      <w:r w:rsidRPr="0071782F">
        <w:rPr>
          <w:lang w:val="fr-CH"/>
        </w:rPr>
        <w:t>solution</w:t>
      </w:r>
      <w:r w:rsidR="00BC46AB" w:rsidRPr="0071782F">
        <w:rPr>
          <w:lang w:val="fr-CH"/>
        </w:rPr>
        <w:t>s</w:t>
      </w:r>
    </w:p>
    <w:p w:rsidR="00DD2B20" w:rsidRPr="0071782F" w:rsidRDefault="00DD2B20" w:rsidP="00DD2B20">
      <w:pPr>
        <w:pStyle w:val="SingleTxtG"/>
        <w:rPr>
          <w:lang w:val="fr-CH"/>
        </w:rPr>
      </w:pPr>
      <w:r w:rsidRPr="0071782F">
        <w:rPr>
          <w:lang w:val="fr-CH"/>
        </w:rPr>
        <w:t>98.</w:t>
      </w:r>
      <w:r w:rsidRPr="0071782F">
        <w:rPr>
          <w:lang w:val="fr-CH"/>
        </w:rPr>
        <w:tab/>
      </w:r>
      <w:r w:rsidR="00D66979" w:rsidRPr="0071782F">
        <w:rPr>
          <w:lang w:val="fr-CH"/>
        </w:rPr>
        <w:t xml:space="preserve">Les conclusions des </w:t>
      </w:r>
      <w:r w:rsidRPr="0071782F">
        <w:rPr>
          <w:lang w:val="fr-CH"/>
        </w:rPr>
        <w:t>d</w:t>
      </w:r>
      <w:r w:rsidR="00D66979" w:rsidRPr="0071782F">
        <w:rPr>
          <w:lang w:val="fr-CH"/>
        </w:rPr>
        <w:t xml:space="preserve">ébats des commissions sur les questions spécialisées sont rédigées sous la forme de </w:t>
      </w:r>
      <w:r w:rsidRPr="0071782F">
        <w:rPr>
          <w:lang w:val="fr-CH"/>
        </w:rPr>
        <w:t>r</w:t>
      </w:r>
      <w:r w:rsidR="00D66979" w:rsidRPr="0071782F">
        <w:rPr>
          <w:lang w:val="fr-CH"/>
        </w:rPr>
        <w:t>é</w:t>
      </w:r>
      <w:r w:rsidRPr="0071782F">
        <w:rPr>
          <w:lang w:val="fr-CH"/>
        </w:rPr>
        <w:t xml:space="preserve">solutions </w:t>
      </w:r>
      <w:r w:rsidR="00D66979" w:rsidRPr="0071782F">
        <w:rPr>
          <w:lang w:val="fr-CH"/>
        </w:rPr>
        <w:t>qui donnent ensuite lieu à un vote de l’Assemblée générale.</w:t>
      </w:r>
      <w:r w:rsidRPr="0071782F">
        <w:rPr>
          <w:lang w:val="fr-CH"/>
        </w:rPr>
        <w:t xml:space="preserve"> </w:t>
      </w:r>
      <w:r w:rsidR="00D66979" w:rsidRPr="0071782F">
        <w:rPr>
          <w:lang w:val="fr-CH"/>
        </w:rPr>
        <w:t xml:space="preserve">S’il est adopté, le texte de la résolution doit être signé et approuvé par le </w:t>
      </w:r>
      <w:r w:rsidR="004373B2" w:rsidRPr="0071782F">
        <w:rPr>
          <w:lang w:val="fr-CH"/>
        </w:rPr>
        <w:t>P</w:t>
      </w:r>
      <w:r w:rsidR="00D66979" w:rsidRPr="0071782F">
        <w:rPr>
          <w:lang w:val="fr-CH"/>
        </w:rPr>
        <w:t xml:space="preserve">résident, le </w:t>
      </w:r>
      <w:r w:rsidR="004373B2" w:rsidRPr="0071782F">
        <w:rPr>
          <w:lang w:val="fr-CH"/>
        </w:rPr>
        <w:t>V</w:t>
      </w:r>
      <w:r w:rsidR="00D66979" w:rsidRPr="0071782F">
        <w:rPr>
          <w:lang w:val="fr-CH"/>
        </w:rPr>
        <w:t>ice-</w:t>
      </w:r>
      <w:r w:rsidR="004373B2" w:rsidRPr="0071782F">
        <w:rPr>
          <w:lang w:val="fr-CH"/>
        </w:rPr>
        <w:t>P</w:t>
      </w:r>
      <w:r w:rsidR="00D66979" w:rsidRPr="0071782F">
        <w:rPr>
          <w:lang w:val="fr-CH"/>
        </w:rPr>
        <w:t>résident et le secrétaire de la Conférence avant d’être remis aux autorités publiques compétentes, aux employeurs et aux travailleurs.</w:t>
      </w:r>
    </w:p>
    <w:p w:rsidR="00DD2B20" w:rsidRPr="003643A1" w:rsidRDefault="00DD2B20" w:rsidP="00DD2B20">
      <w:pPr>
        <w:pStyle w:val="SingleTxtG"/>
        <w:ind w:left="1701" w:hanging="567"/>
        <w:rPr>
          <w:spacing w:val="-2"/>
          <w:lang w:val="fr-CH"/>
        </w:rPr>
      </w:pPr>
      <w:r w:rsidRPr="003643A1">
        <w:rPr>
          <w:spacing w:val="-2"/>
          <w:lang w:val="fr-CH"/>
        </w:rPr>
        <w:tab/>
        <w:t>98.1.</w:t>
      </w:r>
      <w:r w:rsidRPr="003643A1">
        <w:rPr>
          <w:spacing w:val="-2"/>
          <w:lang w:val="fr-CH"/>
        </w:rPr>
        <w:tab/>
      </w:r>
      <w:r w:rsidR="00D66979" w:rsidRPr="003643A1">
        <w:rPr>
          <w:spacing w:val="-2"/>
          <w:lang w:val="fr-CH"/>
        </w:rPr>
        <w:t xml:space="preserve">La Conférence </w:t>
      </w:r>
      <w:r w:rsidRPr="003643A1">
        <w:rPr>
          <w:spacing w:val="-2"/>
          <w:lang w:val="fr-CH"/>
        </w:rPr>
        <w:t>national</w:t>
      </w:r>
      <w:r w:rsidR="00D66979" w:rsidRPr="003643A1">
        <w:rPr>
          <w:spacing w:val="-2"/>
          <w:lang w:val="fr-CH"/>
        </w:rPr>
        <w:t xml:space="preserve">e du travail est fondamentalement l’une des </w:t>
      </w:r>
      <w:r w:rsidRPr="003643A1">
        <w:rPr>
          <w:spacing w:val="-2"/>
          <w:lang w:val="fr-CH"/>
        </w:rPr>
        <w:t xml:space="preserve">institutions </w:t>
      </w:r>
      <w:r w:rsidR="00D66979" w:rsidRPr="003643A1">
        <w:rPr>
          <w:spacing w:val="-2"/>
          <w:lang w:val="fr-CH"/>
        </w:rPr>
        <w:t>qui participent aux consultations tripartites devant aboutir à la prise de décisions collectives</w:t>
      </w:r>
      <w:r w:rsidRPr="003643A1">
        <w:rPr>
          <w:spacing w:val="-2"/>
          <w:lang w:val="fr-CH"/>
        </w:rPr>
        <w:t xml:space="preserve">. </w:t>
      </w:r>
      <w:r w:rsidR="00D66979" w:rsidRPr="003643A1">
        <w:rPr>
          <w:spacing w:val="-2"/>
          <w:lang w:val="fr-CH"/>
        </w:rPr>
        <w:t xml:space="preserve">C’est ainsi qu’elle n’adopte pas directement de </w:t>
      </w:r>
      <w:r w:rsidRPr="003643A1">
        <w:rPr>
          <w:spacing w:val="-2"/>
          <w:lang w:val="fr-CH"/>
        </w:rPr>
        <w:t>d</w:t>
      </w:r>
      <w:r w:rsidR="00D66979" w:rsidRPr="003643A1">
        <w:rPr>
          <w:spacing w:val="-2"/>
          <w:lang w:val="fr-CH"/>
        </w:rPr>
        <w:t>é</w:t>
      </w:r>
      <w:r w:rsidRPr="003643A1">
        <w:rPr>
          <w:spacing w:val="-2"/>
          <w:lang w:val="fr-CH"/>
        </w:rPr>
        <w:t>cisions</w:t>
      </w:r>
      <w:r w:rsidR="008F7D33" w:rsidRPr="003643A1">
        <w:rPr>
          <w:spacing w:val="-2"/>
          <w:lang w:val="fr-CH"/>
        </w:rPr>
        <w:t>:</w:t>
      </w:r>
      <w:r w:rsidR="00D66979" w:rsidRPr="003643A1">
        <w:rPr>
          <w:spacing w:val="-2"/>
          <w:lang w:val="fr-CH"/>
        </w:rPr>
        <w:t xml:space="preserve"> ses </w:t>
      </w:r>
      <w:r w:rsidRPr="003643A1">
        <w:rPr>
          <w:spacing w:val="-2"/>
          <w:lang w:val="fr-CH"/>
        </w:rPr>
        <w:t>r</w:t>
      </w:r>
      <w:r w:rsidR="00D66979" w:rsidRPr="003643A1">
        <w:rPr>
          <w:spacing w:val="-2"/>
          <w:lang w:val="fr-CH"/>
        </w:rPr>
        <w:t>é</w:t>
      </w:r>
      <w:r w:rsidRPr="003643A1">
        <w:rPr>
          <w:spacing w:val="-2"/>
          <w:lang w:val="fr-CH"/>
        </w:rPr>
        <w:t xml:space="preserve">solutions </w:t>
      </w:r>
      <w:r w:rsidR="00D66979" w:rsidRPr="003643A1">
        <w:rPr>
          <w:spacing w:val="-2"/>
          <w:lang w:val="fr-CH"/>
        </w:rPr>
        <w:t>servent de base pour la prise des décisions par les organes qui en sont chargés.</w:t>
      </w:r>
      <w:r w:rsidR="00D36718" w:rsidRPr="003643A1">
        <w:rPr>
          <w:spacing w:val="-2"/>
          <w:lang w:val="fr-CH"/>
        </w:rPr>
        <w:t xml:space="preserve"> </w:t>
      </w:r>
    </w:p>
    <w:p w:rsidR="00DD2B20" w:rsidRPr="0071782F" w:rsidRDefault="00DD2B20" w:rsidP="00DD2B20">
      <w:pPr>
        <w:pStyle w:val="H1G"/>
        <w:rPr>
          <w:lang w:val="fr-CH"/>
        </w:rPr>
      </w:pPr>
      <w:r w:rsidRPr="0071782F">
        <w:rPr>
          <w:lang w:val="fr-CH"/>
        </w:rPr>
        <w:tab/>
      </w:r>
      <w:r w:rsidRPr="0071782F">
        <w:rPr>
          <w:lang w:val="fr-CH"/>
        </w:rPr>
        <w:tab/>
        <w:t>H</w:t>
      </w:r>
      <w:r w:rsidR="00D66979" w:rsidRPr="0071782F">
        <w:rPr>
          <w:lang w:val="fr-CH"/>
        </w:rPr>
        <w:t xml:space="preserve">aut Conseil du travail </w:t>
      </w:r>
    </w:p>
    <w:p w:rsidR="00DD2B20" w:rsidRPr="0071782F" w:rsidRDefault="00DD2B20" w:rsidP="00DD2B20">
      <w:pPr>
        <w:pStyle w:val="SingleTxtG"/>
        <w:rPr>
          <w:lang w:val="fr-CH"/>
        </w:rPr>
      </w:pPr>
      <w:r w:rsidRPr="0071782F">
        <w:rPr>
          <w:lang w:val="fr-CH"/>
        </w:rPr>
        <w:t>99.</w:t>
      </w:r>
      <w:r w:rsidRPr="0071782F">
        <w:rPr>
          <w:lang w:val="fr-CH"/>
        </w:rPr>
        <w:tab/>
      </w:r>
      <w:r w:rsidR="00D66979" w:rsidRPr="0071782F">
        <w:rPr>
          <w:lang w:val="fr-CH"/>
        </w:rPr>
        <w:t xml:space="preserve">En application des dispositions de </w:t>
      </w:r>
      <w:r w:rsidR="00723F2B" w:rsidRPr="0071782F">
        <w:rPr>
          <w:lang w:val="fr-CH"/>
        </w:rPr>
        <w:t>l’</w:t>
      </w:r>
      <w:r w:rsidR="00943A69" w:rsidRPr="0071782F">
        <w:rPr>
          <w:lang w:val="fr-CH"/>
        </w:rPr>
        <w:t>article </w:t>
      </w:r>
      <w:r w:rsidR="00D66979" w:rsidRPr="0071782F">
        <w:rPr>
          <w:lang w:val="fr-CH"/>
        </w:rPr>
        <w:t>167 du Code du travail, le Haut Conseil du travail a été créé en tant qu’organe relevant du Ministère du travail et des affaires sociales.</w:t>
      </w:r>
      <w:r w:rsidRPr="0071782F">
        <w:rPr>
          <w:lang w:val="fr-CH"/>
        </w:rPr>
        <w:t xml:space="preserve"> </w:t>
      </w:r>
      <w:r w:rsidR="00D66979" w:rsidRPr="0071782F">
        <w:rPr>
          <w:lang w:val="fr-CH"/>
        </w:rPr>
        <w:t>Il s’acquitte des fonctions qui lui sont confiées conformément au Code du travail</w:t>
      </w:r>
      <w:r w:rsidR="00D36718">
        <w:rPr>
          <w:lang w:val="fr-CH"/>
        </w:rPr>
        <w:t xml:space="preserve"> </w:t>
      </w:r>
      <w:r w:rsidR="00D66979" w:rsidRPr="0071782F">
        <w:rPr>
          <w:lang w:val="fr-CH"/>
        </w:rPr>
        <w:t>et à d’autres textes législatifs connexes.</w:t>
      </w:r>
      <w:r w:rsidRPr="0071782F">
        <w:rPr>
          <w:lang w:val="fr-CH"/>
        </w:rPr>
        <w:t xml:space="preserve"> </w:t>
      </w:r>
      <w:r w:rsidR="00D66979" w:rsidRPr="0071782F">
        <w:rPr>
          <w:lang w:val="fr-CH"/>
        </w:rPr>
        <w:t>Ses membres sont les suivants</w:t>
      </w:r>
      <w:r w:rsidR="008F7D33" w:rsidRPr="0071782F">
        <w:rPr>
          <w:lang w:val="fr-CH"/>
        </w:rPr>
        <w:t>:</w:t>
      </w:r>
    </w:p>
    <w:p w:rsidR="00DD2B20" w:rsidRPr="0071782F" w:rsidRDefault="00DD2B20" w:rsidP="00DD2B20">
      <w:pPr>
        <w:pStyle w:val="SingleTxtG"/>
        <w:ind w:left="1701" w:hanging="567"/>
        <w:rPr>
          <w:lang w:val="fr-CH"/>
        </w:rPr>
      </w:pPr>
      <w:r w:rsidRPr="0071782F">
        <w:rPr>
          <w:lang w:val="fr-CH"/>
        </w:rPr>
        <w:tab/>
        <w:t>99.1.</w:t>
      </w:r>
      <w:r w:rsidRPr="0071782F">
        <w:rPr>
          <w:lang w:val="fr-CH"/>
        </w:rPr>
        <w:tab/>
      </w:r>
      <w:r w:rsidR="00D66979" w:rsidRPr="0071782F">
        <w:rPr>
          <w:lang w:val="fr-CH"/>
        </w:rPr>
        <w:t xml:space="preserve">Le </w:t>
      </w:r>
      <w:r w:rsidRPr="0071782F">
        <w:rPr>
          <w:lang w:val="fr-CH"/>
        </w:rPr>
        <w:t>Minist</w:t>
      </w:r>
      <w:r w:rsidR="00D66979" w:rsidRPr="0071782F">
        <w:rPr>
          <w:lang w:val="fr-CH"/>
        </w:rPr>
        <w:t>re du travail et des affaires sociales, qui préside le Conseil</w:t>
      </w:r>
      <w:r w:rsidR="00091B39" w:rsidRPr="0071782F">
        <w:rPr>
          <w:lang w:val="fr-CH"/>
        </w:rPr>
        <w:t>.</w:t>
      </w:r>
    </w:p>
    <w:p w:rsidR="00DD2B20" w:rsidRPr="0071782F" w:rsidRDefault="00DD2B20" w:rsidP="00DD2B20">
      <w:pPr>
        <w:pStyle w:val="SingleTxtG"/>
        <w:ind w:left="1701" w:hanging="567"/>
        <w:rPr>
          <w:lang w:val="fr-CH"/>
        </w:rPr>
      </w:pPr>
      <w:r w:rsidRPr="0071782F">
        <w:rPr>
          <w:lang w:val="fr-CH"/>
        </w:rPr>
        <w:tab/>
        <w:t>99.2.</w:t>
      </w:r>
      <w:r w:rsidRPr="0071782F">
        <w:rPr>
          <w:lang w:val="fr-CH"/>
        </w:rPr>
        <w:tab/>
      </w:r>
      <w:r w:rsidR="00D66979" w:rsidRPr="0071782F">
        <w:rPr>
          <w:lang w:val="fr-CH"/>
        </w:rPr>
        <w:t xml:space="preserve">Deux </w:t>
      </w:r>
      <w:r w:rsidRPr="0071782F">
        <w:rPr>
          <w:lang w:val="fr-CH"/>
        </w:rPr>
        <w:t xml:space="preserve">experts </w:t>
      </w:r>
      <w:r w:rsidR="00D66979" w:rsidRPr="0071782F">
        <w:rPr>
          <w:lang w:val="fr-CH"/>
        </w:rPr>
        <w:t xml:space="preserve">des questions </w:t>
      </w:r>
      <w:r w:rsidRPr="0071782F">
        <w:rPr>
          <w:lang w:val="fr-CH"/>
        </w:rPr>
        <w:t>social</w:t>
      </w:r>
      <w:r w:rsidR="00D66979" w:rsidRPr="0071782F">
        <w:rPr>
          <w:lang w:val="fr-CH"/>
        </w:rPr>
        <w:t>es et é</w:t>
      </w:r>
      <w:r w:rsidRPr="0071782F">
        <w:rPr>
          <w:lang w:val="fr-CH"/>
        </w:rPr>
        <w:t>conomi</w:t>
      </w:r>
      <w:r w:rsidR="00D66979" w:rsidRPr="0071782F">
        <w:rPr>
          <w:lang w:val="fr-CH"/>
        </w:rPr>
        <w:t xml:space="preserve">ques, dont le mandat est proposé par le Ministre du travail et des affaires sociales et </w:t>
      </w:r>
      <w:r w:rsidRPr="0071782F">
        <w:rPr>
          <w:lang w:val="fr-CH"/>
        </w:rPr>
        <w:t>c</w:t>
      </w:r>
      <w:r w:rsidR="00D66979" w:rsidRPr="0071782F">
        <w:rPr>
          <w:lang w:val="fr-CH"/>
        </w:rPr>
        <w:t>onfirmé par le Conseil des ministres</w:t>
      </w:r>
      <w:r w:rsidR="00091B39" w:rsidRPr="0071782F">
        <w:rPr>
          <w:lang w:val="fr-CH"/>
        </w:rPr>
        <w:t>.</w:t>
      </w:r>
    </w:p>
    <w:p w:rsidR="00DD2B20" w:rsidRPr="0071782F" w:rsidRDefault="00DD2B20" w:rsidP="004373B2">
      <w:pPr>
        <w:pStyle w:val="SingleTxtG"/>
        <w:ind w:left="1701" w:hanging="567"/>
        <w:rPr>
          <w:lang w:val="fr-CH"/>
        </w:rPr>
      </w:pPr>
      <w:r w:rsidRPr="0071782F">
        <w:rPr>
          <w:lang w:val="fr-CH"/>
        </w:rPr>
        <w:tab/>
        <w:t>99.3.</w:t>
      </w:r>
      <w:r w:rsidRPr="0071782F">
        <w:rPr>
          <w:lang w:val="fr-CH"/>
        </w:rPr>
        <w:tab/>
      </w:r>
      <w:r w:rsidR="00D66979" w:rsidRPr="0071782F">
        <w:rPr>
          <w:lang w:val="fr-CH"/>
        </w:rPr>
        <w:t xml:space="preserve">Le </w:t>
      </w:r>
      <w:r w:rsidRPr="0071782F">
        <w:rPr>
          <w:lang w:val="fr-CH"/>
        </w:rPr>
        <w:t>Minist</w:t>
      </w:r>
      <w:r w:rsidR="00D66979" w:rsidRPr="0071782F">
        <w:rPr>
          <w:lang w:val="fr-CH"/>
        </w:rPr>
        <w:t>re de la protection et de la sécurité sociale</w:t>
      </w:r>
      <w:r w:rsidR="00091B39" w:rsidRPr="0071782F">
        <w:rPr>
          <w:lang w:val="fr-CH"/>
        </w:rPr>
        <w:t>.</w:t>
      </w:r>
    </w:p>
    <w:p w:rsidR="00DD2B20" w:rsidRPr="0071782F" w:rsidRDefault="00DD2B20" w:rsidP="00DD2B20">
      <w:pPr>
        <w:pStyle w:val="SingleTxtG"/>
        <w:ind w:left="1701" w:hanging="567"/>
        <w:rPr>
          <w:lang w:val="fr-CH"/>
        </w:rPr>
      </w:pPr>
      <w:r w:rsidRPr="0071782F">
        <w:rPr>
          <w:lang w:val="fr-CH"/>
        </w:rPr>
        <w:tab/>
        <w:t>99.4.</w:t>
      </w:r>
      <w:r w:rsidRPr="0071782F">
        <w:rPr>
          <w:lang w:val="fr-CH"/>
        </w:rPr>
        <w:tab/>
      </w:r>
      <w:r w:rsidR="00D66979" w:rsidRPr="0071782F">
        <w:rPr>
          <w:lang w:val="fr-CH"/>
        </w:rPr>
        <w:t xml:space="preserve">Le </w:t>
      </w:r>
      <w:r w:rsidR="004373B2" w:rsidRPr="0071782F">
        <w:rPr>
          <w:lang w:val="fr-CH"/>
        </w:rPr>
        <w:t>P</w:t>
      </w:r>
      <w:r w:rsidR="00D66979" w:rsidRPr="0071782F">
        <w:rPr>
          <w:lang w:val="fr-CH"/>
        </w:rPr>
        <w:t>ré</w:t>
      </w:r>
      <w:r w:rsidRPr="0071782F">
        <w:rPr>
          <w:lang w:val="fr-CH"/>
        </w:rPr>
        <w:t xml:space="preserve">sident </w:t>
      </w:r>
      <w:r w:rsidR="00D66979" w:rsidRPr="0071782F">
        <w:rPr>
          <w:lang w:val="fr-CH"/>
        </w:rPr>
        <w:t>de l’Institut iranien de recherche et de normes industrielles</w:t>
      </w:r>
      <w:r w:rsidR="00091B39" w:rsidRPr="0071782F">
        <w:rPr>
          <w:lang w:val="fr-CH"/>
        </w:rPr>
        <w:t>.</w:t>
      </w:r>
    </w:p>
    <w:p w:rsidR="00DD2B20" w:rsidRPr="0071782F" w:rsidRDefault="00DD2B20" w:rsidP="00DD2B20">
      <w:pPr>
        <w:pStyle w:val="SingleTxtG"/>
        <w:ind w:left="1701" w:hanging="567"/>
        <w:rPr>
          <w:lang w:val="fr-CH"/>
        </w:rPr>
      </w:pPr>
      <w:r w:rsidRPr="0071782F">
        <w:rPr>
          <w:lang w:val="fr-CH"/>
        </w:rPr>
        <w:tab/>
        <w:t>99.5.</w:t>
      </w:r>
      <w:r w:rsidRPr="0071782F">
        <w:rPr>
          <w:lang w:val="fr-CH"/>
        </w:rPr>
        <w:tab/>
        <w:t>T</w:t>
      </w:r>
      <w:r w:rsidR="00D66979" w:rsidRPr="0071782F">
        <w:rPr>
          <w:lang w:val="fr-CH"/>
        </w:rPr>
        <w:t xml:space="preserve">rois </w:t>
      </w:r>
      <w:r w:rsidRPr="0071782F">
        <w:rPr>
          <w:lang w:val="fr-CH"/>
        </w:rPr>
        <w:t>repr</w:t>
      </w:r>
      <w:r w:rsidR="00D66979" w:rsidRPr="0071782F">
        <w:rPr>
          <w:lang w:val="fr-CH"/>
        </w:rPr>
        <w:t>é</w:t>
      </w:r>
      <w:r w:rsidRPr="0071782F">
        <w:rPr>
          <w:lang w:val="fr-CH"/>
        </w:rPr>
        <w:t>senta</w:t>
      </w:r>
      <w:r w:rsidR="00D66979" w:rsidRPr="0071782F">
        <w:rPr>
          <w:lang w:val="fr-CH"/>
        </w:rPr>
        <w:t xml:space="preserve">nts des employeurs </w:t>
      </w:r>
      <w:r w:rsidRPr="0071782F">
        <w:rPr>
          <w:lang w:val="fr-CH"/>
        </w:rPr>
        <w:t>(</w:t>
      </w:r>
      <w:r w:rsidR="00D66979" w:rsidRPr="0071782F">
        <w:rPr>
          <w:lang w:val="fr-CH"/>
        </w:rPr>
        <w:t>dont l’un représente le secteur de l’</w:t>
      </w:r>
      <w:r w:rsidRPr="0071782F">
        <w:rPr>
          <w:lang w:val="fr-CH"/>
        </w:rPr>
        <w:t>agriculture) cho</w:t>
      </w:r>
      <w:r w:rsidR="00D66979" w:rsidRPr="0071782F">
        <w:rPr>
          <w:lang w:val="fr-CH"/>
        </w:rPr>
        <w:t>isis par les employeurs</w:t>
      </w:r>
      <w:r w:rsidR="00091B39" w:rsidRPr="0071782F">
        <w:rPr>
          <w:lang w:val="fr-CH"/>
        </w:rPr>
        <w:t>.</w:t>
      </w:r>
    </w:p>
    <w:p w:rsidR="00DD2B20" w:rsidRPr="0071782F" w:rsidRDefault="00DD2B20" w:rsidP="00DD2B20">
      <w:pPr>
        <w:pStyle w:val="SingleTxtG"/>
        <w:ind w:left="1701" w:hanging="567"/>
        <w:rPr>
          <w:lang w:val="fr-CH"/>
        </w:rPr>
      </w:pPr>
      <w:r w:rsidRPr="0071782F">
        <w:rPr>
          <w:lang w:val="fr-CH"/>
        </w:rPr>
        <w:tab/>
        <w:t>99.6.</w:t>
      </w:r>
      <w:r w:rsidRPr="0071782F">
        <w:rPr>
          <w:lang w:val="fr-CH"/>
        </w:rPr>
        <w:tab/>
        <w:t>T</w:t>
      </w:r>
      <w:r w:rsidR="00D66979" w:rsidRPr="0071782F">
        <w:rPr>
          <w:lang w:val="fr-CH"/>
        </w:rPr>
        <w:t xml:space="preserve">rois </w:t>
      </w:r>
      <w:r w:rsidRPr="0071782F">
        <w:rPr>
          <w:lang w:val="fr-CH"/>
        </w:rPr>
        <w:t>repr</w:t>
      </w:r>
      <w:r w:rsidR="00D66979" w:rsidRPr="0071782F">
        <w:rPr>
          <w:lang w:val="fr-CH"/>
        </w:rPr>
        <w:t>é</w:t>
      </w:r>
      <w:r w:rsidRPr="0071782F">
        <w:rPr>
          <w:lang w:val="fr-CH"/>
        </w:rPr>
        <w:t>senta</w:t>
      </w:r>
      <w:r w:rsidR="00D66979" w:rsidRPr="0071782F">
        <w:rPr>
          <w:lang w:val="fr-CH"/>
        </w:rPr>
        <w:t>nts des travailleurs (dont l’un représente le secteur de l’agriculture) choisis par le Centre supérieur des conseils du travail islamiques</w:t>
      </w:r>
      <w:r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t>H</w:t>
      </w:r>
      <w:r w:rsidR="00D66979" w:rsidRPr="0071782F">
        <w:rPr>
          <w:lang w:val="fr-CH"/>
        </w:rPr>
        <w:t xml:space="preserve">aut Conseil de la protection technique </w:t>
      </w:r>
    </w:p>
    <w:p w:rsidR="00DD2B20" w:rsidRPr="0071782F" w:rsidRDefault="00DD2B20" w:rsidP="004373B2">
      <w:pPr>
        <w:pStyle w:val="SingleTxtG"/>
        <w:rPr>
          <w:lang w:val="fr-CH"/>
        </w:rPr>
      </w:pPr>
      <w:r w:rsidRPr="0071782F">
        <w:rPr>
          <w:lang w:val="fr-CH"/>
        </w:rPr>
        <w:t>100.</w:t>
      </w:r>
      <w:r w:rsidRPr="0071782F">
        <w:rPr>
          <w:lang w:val="fr-CH"/>
        </w:rPr>
        <w:tab/>
      </w:r>
      <w:r w:rsidR="003B3673" w:rsidRPr="0071782F">
        <w:rPr>
          <w:lang w:val="fr-CH"/>
        </w:rPr>
        <w:t xml:space="preserve">Conformément aux </w:t>
      </w:r>
      <w:r w:rsidR="00723F2B" w:rsidRPr="0071782F">
        <w:rPr>
          <w:lang w:val="fr-CH"/>
        </w:rPr>
        <w:t>articles </w:t>
      </w:r>
      <w:r w:rsidRPr="0071782F">
        <w:rPr>
          <w:lang w:val="fr-CH"/>
        </w:rPr>
        <w:t xml:space="preserve">85 </w:t>
      </w:r>
      <w:r w:rsidR="003B3673" w:rsidRPr="0071782F">
        <w:rPr>
          <w:lang w:val="fr-CH"/>
        </w:rPr>
        <w:t xml:space="preserve">et </w:t>
      </w:r>
      <w:r w:rsidRPr="0071782F">
        <w:rPr>
          <w:lang w:val="fr-CH"/>
        </w:rPr>
        <w:t xml:space="preserve">86 </w:t>
      </w:r>
      <w:r w:rsidR="003B3673" w:rsidRPr="0071782F">
        <w:rPr>
          <w:lang w:val="fr-CH"/>
        </w:rPr>
        <w:t>du Code du travail et afin de protéger les ressources humaines et matérielles du pays, le Haut Conseil de la protection technique, en tant que principale autorité chargée de formuler et d’adopter l’ensemble des règles, réglementations, directives et instructions régissant la protection technique dans le pays, joue un rôle important en matière de protection des ressources humaines et matérielles du pays. Ses membres sont les suivants</w:t>
      </w:r>
      <w:r w:rsidR="008F7D33" w:rsidRPr="0071782F">
        <w:rPr>
          <w:lang w:val="fr-CH"/>
        </w:rPr>
        <w:t>:</w:t>
      </w:r>
      <w:r w:rsidR="00D36718">
        <w:rPr>
          <w:lang w:val="fr-CH"/>
        </w:rPr>
        <w:t xml:space="preserve"> </w:t>
      </w:r>
    </w:p>
    <w:p w:rsidR="00DD2B20" w:rsidRPr="0071782F" w:rsidRDefault="00DD2B20" w:rsidP="00DD2B20">
      <w:pPr>
        <w:pStyle w:val="SingleTxtG"/>
        <w:ind w:left="1701" w:hanging="567"/>
        <w:rPr>
          <w:lang w:val="fr-CH"/>
        </w:rPr>
      </w:pPr>
      <w:r w:rsidRPr="0071782F">
        <w:rPr>
          <w:lang w:val="fr-CH"/>
        </w:rPr>
        <w:tab/>
        <w:t>100.1.</w:t>
      </w:r>
      <w:r w:rsidRPr="0071782F">
        <w:rPr>
          <w:lang w:val="fr-CH"/>
        </w:rPr>
        <w:tab/>
      </w:r>
      <w:r w:rsidR="003B3673" w:rsidRPr="0071782F">
        <w:rPr>
          <w:lang w:val="fr-CH"/>
        </w:rPr>
        <w:t>Le Ministre du travail et des affaires sociales ou son adjoint, qui préside le Conseil</w:t>
      </w:r>
      <w:r w:rsidR="00091B39" w:rsidRPr="0071782F">
        <w:rPr>
          <w:lang w:val="fr-CH"/>
        </w:rPr>
        <w:t>.</w:t>
      </w:r>
    </w:p>
    <w:p w:rsidR="00DD2B20" w:rsidRPr="0071782F" w:rsidRDefault="00DD2B20" w:rsidP="00DD2B20">
      <w:pPr>
        <w:pStyle w:val="SingleTxtG"/>
        <w:ind w:left="1701" w:hanging="567"/>
        <w:rPr>
          <w:lang w:val="fr-CH"/>
        </w:rPr>
      </w:pPr>
      <w:r w:rsidRPr="0071782F">
        <w:rPr>
          <w:lang w:val="fr-CH"/>
        </w:rPr>
        <w:tab/>
        <w:t>100.2.</w:t>
      </w:r>
      <w:r w:rsidRPr="0071782F">
        <w:rPr>
          <w:lang w:val="fr-CH"/>
        </w:rPr>
        <w:tab/>
      </w:r>
      <w:r w:rsidR="003B3673" w:rsidRPr="0071782F">
        <w:rPr>
          <w:lang w:val="fr-CH"/>
        </w:rPr>
        <w:t>Le Vice-Ministre de l’industrie et des mines</w:t>
      </w:r>
      <w:r w:rsidR="00091B39" w:rsidRPr="0071782F">
        <w:rPr>
          <w:lang w:val="fr-CH"/>
        </w:rPr>
        <w:t>.</w:t>
      </w:r>
    </w:p>
    <w:p w:rsidR="00DD2B20" w:rsidRPr="0071782F" w:rsidRDefault="00DD2B20" w:rsidP="00DD2B20">
      <w:pPr>
        <w:pStyle w:val="SingleTxtG"/>
        <w:ind w:left="1701" w:hanging="567"/>
        <w:rPr>
          <w:lang w:val="fr-CH"/>
        </w:rPr>
      </w:pPr>
      <w:r w:rsidRPr="0071782F">
        <w:rPr>
          <w:lang w:val="fr-CH"/>
        </w:rPr>
        <w:tab/>
        <w:t>100.3.</w:t>
      </w:r>
      <w:r w:rsidRPr="0071782F">
        <w:rPr>
          <w:lang w:val="fr-CH"/>
        </w:rPr>
        <w:tab/>
      </w:r>
      <w:r w:rsidR="003B3673" w:rsidRPr="0071782F">
        <w:rPr>
          <w:lang w:val="fr-CH"/>
        </w:rPr>
        <w:t>Le Vice-Ministre de l’agriculture</w:t>
      </w:r>
      <w:r w:rsidR="000961EB" w:rsidRPr="0071782F">
        <w:rPr>
          <w:lang w:val="fr-CH"/>
        </w:rPr>
        <w:t>.</w:t>
      </w:r>
    </w:p>
    <w:p w:rsidR="00DD2B20" w:rsidRPr="0071782F" w:rsidRDefault="00DD2B20" w:rsidP="00DD2B20">
      <w:pPr>
        <w:pStyle w:val="SingleTxtG"/>
        <w:ind w:left="1701" w:hanging="567"/>
        <w:rPr>
          <w:lang w:val="fr-CH"/>
        </w:rPr>
      </w:pPr>
      <w:r w:rsidRPr="0071782F">
        <w:rPr>
          <w:lang w:val="fr-CH"/>
        </w:rPr>
        <w:tab/>
        <w:t>100.4.</w:t>
      </w:r>
      <w:r w:rsidRPr="0071782F">
        <w:rPr>
          <w:lang w:val="fr-CH"/>
        </w:rPr>
        <w:tab/>
      </w:r>
      <w:r w:rsidR="003B3673" w:rsidRPr="0071782F">
        <w:rPr>
          <w:lang w:val="fr-CH"/>
        </w:rPr>
        <w:t>Le Vice-Ministre du pétrole</w:t>
      </w:r>
      <w:r w:rsidR="000961EB" w:rsidRPr="0071782F">
        <w:rPr>
          <w:lang w:val="fr-CH"/>
        </w:rPr>
        <w:t>.</w:t>
      </w:r>
    </w:p>
    <w:p w:rsidR="00DD2B20" w:rsidRPr="0071782F" w:rsidRDefault="00DD2B20" w:rsidP="00DD2B20">
      <w:pPr>
        <w:pStyle w:val="SingleTxtG"/>
        <w:ind w:left="1701" w:hanging="567"/>
        <w:rPr>
          <w:lang w:val="fr-CH"/>
        </w:rPr>
      </w:pPr>
      <w:r w:rsidRPr="0071782F">
        <w:rPr>
          <w:lang w:val="fr-CH"/>
        </w:rPr>
        <w:tab/>
        <w:t>100.5.</w:t>
      </w:r>
      <w:r w:rsidRPr="0071782F">
        <w:rPr>
          <w:lang w:val="fr-CH"/>
        </w:rPr>
        <w:tab/>
      </w:r>
      <w:r w:rsidR="003B3673" w:rsidRPr="0071782F">
        <w:rPr>
          <w:lang w:val="fr-CH"/>
        </w:rPr>
        <w:t xml:space="preserve">Le </w:t>
      </w:r>
      <w:r w:rsidR="004373B2" w:rsidRPr="0071782F">
        <w:rPr>
          <w:lang w:val="fr-CH"/>
        </w:rPr>
        <w:t>P</w:t>
      </w:r>
      <w:r w:rsidR="003B3673" w:rsidRPr="0071782F">
        <w:rPr>
          <w:lang w:val="fr-CH"/>
        </w:rPr>
        <w:t>résident du Département de l’environnement</w:t>
      </w:r>
      <w:r w:rsidR="000961EB" w:rsidRPr="0071782F">
        <w:rPr>
          <w:lang w:val="fr-CH"/>
        </w:rPr>
        <w:t>.</w:t>
      </w:r>
    </w:p>
    <w:p w:rsidR="00DD2B20" w:rsidRPr="0071782F" w:rsidRDefault="00DD2B20" w:rsidP="00DD2B20">
      <w:pPr>
        <w:pStyle w:val="SingleTxtG"/>
        <w:ind w:left="1701" w:hanging="567"/>
        <w:rPr>
          <w:lang w:val="fr-CH"/>
        </w:rPr>
      </w:pPr>
      <w:r w:rsidRPr="0071782F">
        <w:rPr>
          <w:lang w:val="fr-CH"/>
        </w:rPr>
        <w:tab/>
        <w:t>100.6.</w:t>
      </w:r>
      <w:r w:rsidRPr="0071782F">
        <w:rPr>
          <w:lang w:val="fr-CH"/>
        </w:rPr>
        <w:tab/>
      </w:r>
      <w:r w:rsidR="003B3673" w:rsidRPr="0071782F">
        <w:rPr>
          <w:lang w:val="fr-CH"/>
        </w:rPr>
        <w:t>Deux professeurs d’université ayant une expérience des domaines techniques correspondants</w:t>
      </w:r>
      <w:r w:rsidR="000961EB" w:rsidRPr="0071782F">
        <w:rPr>
          <w:lang w:val="fr-CH"/>
        </w:rPr>
        <w:t>.</w:t>
      </w:r>
    </w:p>
    <w:p w:rsidR="00DD2B20" w:rsidRPr="0071782F" w:rsidRDefault="00DD2B20" w:rsidP="00DD2B20">
      <w:pPr>
        <w:pStyle w:val="SingleTxtG"/>
        <w:ind w:left="1701" w:hanging="567"/>
        <w:rPr>
          <w:lang w:val="fr-CH"/>
        </w:rPr>
      </w:pPr>
      <w:r w:rsidRPr="0071782F">
        <w:rPr>
          <w:lang w:val="fr-CH"/>
        </w:rPr>
        <w:tab/>
        <w:t>100.7.</w:t>
      </w:r>
      <w:r w:rsidRPr="0071782F">
        <w:rPr>
          <w:lang w:val="fr-CH"/>
        </w:rPr>
        <w:tab/>
      </w:r>
      <w:r w:rsidR="003B3673" w:rsidRPr="0071782F">
        <w:rPr>
          <w:lang w:val="fr-CH"/>
        </w:rPr>
        <w:t>Deux experts du secteur industriel</w:t>
      </w:r>
      <w:r w:rsidR="000961EB" w:rsidRPr="0071782F">
        <w:rPr>
          <w:lang w:val="fr-CH"/>
        </w:rPr>
        <w:t>.</w:t>
      </w:r>
    </w:p>
    <w:p w:rsidR="00DD2B20" w:rsidRPr="0071782F" w:rsidRDefault="00DD2B20" w:rsidP="00DD2B20">
      <w:pPr>
        <w:pStyle w:val="SingleTxtG"/>
        <w:ind w:left="1701" w:hanging="567"/>
        <w:rPr>
          <w:lang w:val="fr-CH"/>
        </w:rPr>
      </w:pPr>
      <w:r w:rsidRPr="0071782F">
        <w:rPr>
          <w:lang w:val="fr-CH"/>
        </w:rPr>
        <w:tab/>
        <w:t>100.8.</w:t>
      </w:r>
      <w:r w:rsidRPr="0071782F">
        <w:rPr>
          <w:lang w:val="fr-CH"/>
        </w:rPr>
        <w:tab/>
      </w:r>
      <w:r w:rsidR="003B3673" w:rsidRPr="0071782F">
        <w:rPr>
          <w:lang w:val="fr-CH"/>
        </w:rPr>
        <w:t xml:space="preserve">Deux </w:t>
      </w:r>
      <w:r w:rsidRPr="0071782F">
        <w:rPr>
          <w:lang w:val="fr-CH"/>
        </w:rPr>
        <w:t>repr</w:t>
      </w:r>
      <w:r w:rsidR="003B3673" w:rsidRPr="0071782F">
        <w:rPr>
          <w:lang w:val="fr-CH"/>
        </w:rPr>
        <w:t>é</w:t>
      </w:r>
      <w:r w:rsidRPr="0071782F">
        <w:rPr>
          <w:lang w:val="fr-CH"/>
        </w:rPr>
        <w:t>senta</w:t>
      </w:r>
      <w:r w:rsidR="003B3673" w:rsidRPr="0071782F">
        <w:rPr>
          <w:lang w:val="fr-CH"/>
        </w:rPr>
        <w:t>nts des travailleurs</w:t>
      </w:r>
      <w:r w:rsidR="000961EB" w:rsidRPr="0071782F">
        <w:rPr>
          <w:lang w:val="fr-CH"/>
        </w:rPr>
        <w:t>.</w:t>
      </w:r>
    </w:p>
    <w:p w:rsidR="00DD2B20" w:rsidRPr="0071782F" w:rsidRDefault="00DD2B20" w:rsidP="00DD2B20">
      <w:pPr>
        <w:pStyle w:val="SingleTxtG"/>
        <w:ind w:left="1701" w:hanging="567"/>
        <w:rPr>
          <w:lang w:val="fr-CH"/>
        </w:rPr>
      </w:pPr>
      <w:r w:rsidRPr="0071782F">
        <w:rPr>
          <w:lang w:val="fr-CH"/>
        </w:rPr>
        <w:tab/>
        <w:t>100.9.</w:t>
      </w:r>
      <w:r w:rsidRPr="0071782F">
        <w:rPr>
          <w:lang w:val="fr-CH"/>
        </w:rPr>
        <w:tab/>
      </w:r>
      <w:r w:rsidR="003B3673" w:rsidRPr="0071782F">
        <w:rPr>
          <w:lang w:val="fr-CH"/>
        </w:rPr>
        <w:t xml:space="preserve">Le </w:t>
      </w:r>
      <w:r w:rsidRPr="0071782F">
        <w:rPr>
          <w:lang w:val="fr-CH"/>
        </w:rPr>
        <w:t>Direct</w:t>
      </w:r>
      <w:r w:rsidR="003B3673" w:rsidRPr="0071782F">
        <w:rPr>
          <w:lang w:val="fr-CH"/>
        </w:rPr>
        <w:t>eu</w:t>
      </w:r>
      <w:r w:rsidRPr="0071782F">
        <w:rPr>
          <w:lang w:val="fr-CH"/>
        </w:rPr>
        <w:t>r g</w:t>
      </w:r>
      <w:r w:rsidR="003B3673" w:rsidRPr="0071782F">
        <w:rPr>
          <w:lang w:val="fr-CH"/>
        </w:rPr>
        <w:t>é</w:t>
      </w:r>
      <w:r w:rsidRPr="0071782F">
        <w:rPr>
          <w:lang w:val="fr-CH"/>
        </w:rPr>
        <w:t>n</w:t>
      </w:r>
      <w:r w:rsidR="003B3673" w:rsidRPr="0071782F">
        <w:rPr>
          <w:lang w:val="fr-CH"/>
        </w:rPr>
        <w:t>é</w:t>
      </w:r>
      <w:r w:rsidRPr="0071782F">
        <w:rPr>
          <w:lang w:val="fr-CH"/>
        </w:rPr>
        <w:t xml:space="preserve">ral </w:t>
      </w:r>
      <w:r w:rsidR="003B3673" w:rsidRPr="0071782F">
        <w:rPr>
          <w:lang w:val="fr-CH"/>
        </w:rPr>
        <w:t>du Département de l’inspection du travail du Ministère du travail et des affaires sociales, qui fait fonction de secrétaire du Haut Conseil</w:t>
      </w:r>
      <w:r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r>
      <w:r w:rsidR="003B3673" w:rsidRPr="0071782F">
        <w:rPr>
          <w:lang w:val="fr-CH"/>
        </w:rPr>
        <w:t xml:space="preserve">Conseil de l’Organisation de la sécurité sociale </w:t>
      </w:r>
    </w:p>
    <w:p w:rsidR="00DD2B20" w:rsidRPr="0071782F" w:rsidRDefault="00DD2B20" w:rsidP="00DD2B20">
      <w:pPr>
        <w:pStyle w:val="SingleTxtG"/>
        <w:rPr>
          <w:lang w:val="fr-CH"/>
        </w:rPr>
      </w:pPr>
      <w:r w:rsidRPr="0071782F">
        <w:rPr>
          <w:lang w:val="fr-CH"/>
        </w:rPr>
        <w:t>101.</w:t>
      </w:r>
      <w:r w:rsidRPr="0071782F">
        <w:rPr>
          <w:lang w:val="fr-CH"/>
        </w:rPr>
        <w:tab/>
      </w:r>
      <w:r w:rsidR="0004659A" w:rsidRPr="0071782F">
        <w:rPr>
          <w:lang w:val="fr-CH"/>
        </w:rPr>
        <w:t>Le Conseil de l’Organisation de la sécurité sociale, qui a remplacé le Haut Conseil de la sécurité sociale depuis l’adoption de la nouvelle loi sur l’Organisation de la sécurité sociale, est le principal organe de prise de décisions de l’Organisation.</w:t>
      </w:r>
    </w:p>
    <w:p w:rsidR="00DD2B20" w:rsidRPr="0071782F" w:rsidRDefault="00DD2B20" w:rsidP="00DD2B20">
      <w:pPr>
        <w:pStyle w:val="SingleTxtG"/>
        <w:rPr>
          <w:lang w:val="fr-CH"/>
        </w:rPr>
      </w:pPr>
      <w:r w:rsidRPr="0071782F">
        <w:rPr>
          <w:lang w:val="fr-CH"/>
        </w:rPr>
        <w:t>102.</w:t>
      </w:r>
      <w:r w:rsidRPr="0071782F">
        <w:rPr>
          <w:lang w:val="fr-CH"/>
        </w:rPr>
        <w:tab/>
      </w:r>
      <w:r w:rsidR="00C65FBC" w:rsidRPr="0071782F">
        <w:rPr>
          <w:lang w:val="fr-CH"/>
        </w:rPr>
        <w:t>Comme les autres organes connexes, ce Conseil repose sur une structure tripartite.</w:t>
      </w:r>
      <w:r w:rsidRPr="0071782F">
        <w:rPr>
          <w:lang w:val="fr-CH"/>
        </w:rPr>
        <w:t xml:space="preserve"> </w:t>
      </w:r>
      <w:r w:rsidR="00C65FBC" w:rsidRPr="0071782F">
        <w:rPr>
          <w:lang w:val="fr-CH"/>
        </w:rPr>
        <w:t xml:space="preserve">Conformément à </w:t>
      </w:r>
      <w:r w:rsidR="00723F2B" w:rsidRPr="0071782F">
        <w:rPr>
          <w:lang w:val="fr-CH"/>
        </w:rPr>
        <w:t>l’</w:t>
      </w:r>
      <w:r w:rsidR="00943A69" w:rsidRPr="0071782F">
        <w:rPr>
          <w:lang w:val="fr-CH"/>
        </w:rPr>
        <w:t>article </w:t>
      </w:r>
      <w:r w:rsidRPr="0071782F">
        <w:rPr>
          <w:lang w:val="fr-CH"/>
        </w:rPr>
        <w:t xml:space="preserve">6 </w:t>
      </w:r>
      <w:r w:rsidR="00C65FBC" w:rsidRPr="0071782F">
        <w:rPr>
          <w:lang w:val="fr-CH"/>
        </w:rPr>
        <w:t>de la loi sur l’Organisation de la sécurité sociale approuvée en août 2008 par le Conseil des ministres, les membres du Conseil sont les suivants</w:t>
      </w:r>
      <w:r w:rsidR="008F7D33" w:rsidRPr="0071782F">
        <w:rPr>
          <w:lang w:val="fr-CH"/>
        </w:rPr>
        <w:t>:</w:t>
      </w:r>
      <w:r w:rsidR="00D36718">
        <w:rPr>
          <w:lang w:val="fr-CH"/>
        </w:rPr>
        <w:t xml:space="preserve"> </w:t>
      </w:r>
    </w:p>
    <w:p w:rsidR="00DD2B20" w:rsidRPr="0071782F" w:rsidRDefault="00DD2B20" w:rsidP="00DD2B20">
      <w:pPr>
        <w:pStyle w:val="SingleTxtG"/>
        <w:ind w:left="1701" w:hanging="567"/>
        <w:rPr>
          <w:lang w:val="fr-CH"/>
        </w:rPr>
      </w:pPr>
      <w:r w:rsidRPr="0071782F">
        <w:rPr>
          <w:lang w:val="fr-CH"/>
        </w:rPr>
        <w:tab/>
        <w:t>102.1.</w:t>
      </w:r>
      <w:r w:rsidRPr="0071782F">
        <w:rPr>
          <w:lang w:val="fr-CH"/>
        </w:rPr>
        <w:tab/>
      </w:r>
      <w:r w:rsidR="00C65FBC" w:rsidRPr="0071782F">
        <w:rPr>
          <w:lang w:val="fr-CH"/>
        </w:rPr>
        <w:t xml:space="preserve">Le Président </w:t>
      </w:r>
      <w:r w:rsidR="00864EA3" w:rsidRPr="0071782F">
        <w:rPr>
          <w:lang w:val="fr-CH"/>
        </w:rPr>
        <w:t>du pays</w:t>
      </w:r>
      <w:r w:rsidR="00C65FBC" w:rsidRPr="0071782F">
        <w:rPr>
          <w:lang w:val="fr-CH"/>
        </w:rPr>
        <w:t>, qui préside le Conseil</w:t>
      </w:r>
      <w:r w:rsidR="000961EB" w:rsidRPr="0071782F">
        <w:rPr>
          <w:lang w:val="fr-CH"/>
        </w:rPr>
        <w:t>.</w:t>
      </w:r>
    </w:p>
    <w:p w:rsidR="00DD2B20" w:rsidRPr="0071782F" w:rsidRDefault="00DD2B20" w:rsidP="004373B2">
      <w:pPr>
        <w:pStyle w:val="SingleTxtG"/>
        <w:ind w:left="1701" w:hanging="567"/>
        <w:rPr>
          <w:lang w:val="fr-CH"/>
        </w:rPr>
      </w:pPr>
      <w:r w:rsidRPr="0071782F">
        <w:rPr>
          <w:lang w:val="fr-CH"/>
        </w:rPr>
        <w:tab/>
        <w:t>102.2.</w:t>
      </w:r>
      <w:r w:rsidRPr="0071782F">
        <w:rPr>
          <w:lang w:val="fr-CH"/>
        </w:rPr>
        <w:tab/>
      </w:r>
      <w:r w:rsidR="00C65FBC" w:rsidRPr="0071782F">
        <w:rPr>
          <w:lang w:val="fr-CH"/>
        </w:rPr>
        <w:t>Le Ministre de la protection et de la sécurité sociale</w:t>
      </w:r>
      <w:r w:rsidR="000961EB" w:rsidRPr="0071782F">
        <w:rPr>
          <w:lang w:val="fr-CH"/>
        </w:rPr>
        <w:t>.</w:t>
      </w:r>
    </w:p>
    <w:p w:rsidR="00DD2B20" w:rsidRPr="0071782F" w:rsidRDefault="00DD2B20" w:rsidP="00DD2B20">
      <w:pPr>
        <w:pStyle w:val="SingleTxtG"/>
        <w:ind w:left="1701" w:hanging="567"/>
        <w:rPr>
          <w:lang w:val="fr-CH"/>
        </w:rPr>
      </w:pPr>
      <w:r w:rsidRPr="0071782F">
        <w:rPr>
          <w:lang w:val="fr-CH"/>
        </w:rPr>
        <w:tab/>
        <w:t>102.3.</w:t>
      </w:r>
      <w:r w:rsidRPr="0071782F">
        <w:rPr>
          <w:lang w:val="fr-CH"/>
        </w:rPr>
        <w:tab/>
      </w:r>
      <w:r w:rsidR="00C65FBC" w:rsidRPr="0071782F">
        <w:rPr>
          <w:lang w:val="fr-CH"/>
        </w:rPr>
        <w:t xml:space="preserve">Le </w:t>
      </w:r>
      <w:r w:rsidRPr="0071782F">
        <w:rPr>
          <w:lang w:val="fr-CH"/>
        </w:rPr>
        <w:t>Minist</w:t>
      </w:r>
      <w:r w:rsidR="00C65FBC" w:rsidRPr="0071782F">
        <w:rPr>
          <w:lang w:val="fr-CH"/>
        </w:rPr>
        <w:t xml:space="preserve">re de la santé et de </w:t>
      </w:r>
      <w:r w:rsidR="00864EA3" w:rsidRPr="0071782F">
        <w:rPr>
          <w:lang w:val="fr-CH"/>
        </w:rPr>
        <w:t>la formation</w:t>
      </w:r>
      <w:r w:rsidR="00C65FBC" w:rsidRPr="0071782F">
        <w:rPr>
          <w:lang w:val="fr-CH"/>
        </w:rPr>
        <w:t xml:space="preserve"> médical</w:t>
      </w:r>
      <w:r w:rsidR="00864EA3" w:rsidRPr="0071782F">
        <w:rPr>
          <w:lang w:val="fr-CH"/>
        </w:rPr>
        <w:t>e</w:t>
      </w:r>
      <w:r w:rsidR="000961EB" w:rsidRPr="0071782F">
        <w:rPr>
          <w:lang w:val="fr-CH"/>
        </w:rPr>
        <w:t>.</w:t>
      </w:r>
    </w:p>
    <w:p w:rsidR="00DD2B20" w:rsidRPr="0071782F" w:rsidRDefault="00DD2B20" w:rsidP="00DD2B20">
      <w:pPr>
        <w:pStyle w:val="SingleTxtG"/>
        <w:ind w:left="1701" w:hanging="567"/>
        <w:rPr>
          <w:lang w:val="fr-CH"/>
        </w:rPr>
      </w:pPr>
      <w:r w:rsidRPr="0071782F">
        <w:rPr>
          <w:lang w:val="fr-CH"/>
        </w:rPr>
        <w:tab/>
        <w:t>102.4.</w:t>
      </w:r>
      <w:r w:rsidRPr="0071782F">
        <w:rPr>
          <w:lang w:val="fr-CH"/>
        </w:rPr>
        <w:tab/>
      </w:r>
      <w:r w:rsidR="00C65FBC" w:rsidRPr="0071782F">
        <w:rPr>
          <w:lang w:val="fr-CH"/>
        </w:rPr>
        <w:t>Le Ministre du travail et des affaires sociales</w:t>
      </w:r>
      <w:r w:rsidR="000961EB" w:rsidRPr="0071782F">
        <w:rPr>
          <w:lang w:val="fr-CH"/>
        </w:rPr>
        <w:t>.</w:t>
      </w:r>
    </w:p>
    <w:p w:rsidR="00DD2B20" w:rsidRPr="0071782F" w:rsidRDefault="00DD2B20" w:rsidP="00DD2B20">
      <w:pPr>
        <w:pStyle w:val="SingleTxtG"/>
        <w:ind w:left="1701" w:hanging="567"/>
        <w:rPr>
          <w:lang w:val="fr-CH"/>
        </w:rPr>
      </w:pPr>
      <w:r w:rsidRPr="0071782F">
        <w:rPr>
          <w:lang w:val="fr-CH"/>
        </w:rPr>
        <w:tab/>
        <w:t>102.5.</w:t>
      </w:r>
      <w:r w:rsidRPr="0071782F">
        <w:rPr>
          <w:lang w:val="fr-CH"/>
        </w:rPr>
        <w:tab/>
      </w:r>
      <w:r w:rsidR="00C65FBC" w:rsidRPr="0071782F">
        <w:rPr>
          <w:lang w:val="fr-CH"/>
        </w:rPr>
        <w:t>Le Ministre de l’industrie</w:t>
      </w:r>
      <w:r w:rsidR="00607118" w:rsidRPr="0071782F">
        <w:rPr>
          <w:lang w:val="fr-CH"/>
        </w:rPr>
        <w:t xml:space="preserve"> et des mines</w:t>
      </w:r>
      <w:r w:rsidR="000961EB" w:rsidRPr="0071782F">
        <w:rPr>
          <w:lang w:val="fr-CH"/>
        </w:rPr>
        <w:t>.</w:t>
      </w:r>
    </w:p>
    <w:p w:rsidR="00DD2B20" w:rsidRPr="0071782F" w:rsidRDefault="00DD2B20" w:rsidP="004373B2">
      <w:pPr>
        <w:pStyle w:val="SingleTxtG"/>
        <w:ind w:left="1701" w:hanging="567"/>
        <w:rPr>
          <w:lang w:val="fr-CH"/>
        </w:rPr>
      </w:pPr>
      <w:r w:rsidRPr="0071782F">
        <w:rPr>
          <w:lang w:val="fr-CH"/>
        </w:rPr>
        <w:tab/>
        <w:t>102.6.</w:t>
      </w:r>
      <w:r w:rsidRPr="0071782F">
        <w:rPr>
          <w:lang w:val="fr-CH"/>
        </w:rPr>
        <w:tab/>
      </w:r>
      <w:r w:rsidR="00C65FBC" w:rsidRPr="0071782F">
        <w:rPr>
          <w:lang w:val="fr-CH"/>
        </w:rPr>
        <w:t xml:space="preserve">Le </w:t>
      </w:r>
      <w:r w:rsidRPr="0071782F">
        <w:rPr>
          <w:lang w:val="fr-CH"/>
        </w:rPr>
        <w:t>Vice-Pr</w:t>
      </w:r>
      <w:r w:rsidR="00C65FBC" w:rsidRPr="0071782F">
        <w:rPr>
          <w:lang w:val="fr-CH"/>
        </w:rPr>
        <w:t>é</w:t>
      </w:r>
      <w:r w:rsidRPr="0071782F">
        <w:rPr>
          <w:lang w:val="fr-CH"/>
        </w:rPr>
        <w:t xml:space="preserve">sident </w:t>
      </w:r>
      <w:r w:rsidR="004373B2" w:rsidRPr="0071782F">
        <w:rPr>
          <w:lang w:val="fr-CH"/>
        </w:rPr>
        <w:t xml:space="preserve">d’État chargé du </w:t>
      </w:r>
      <w:r w:rsidR="00C65FBC" w:rsidRPr="0071782F">
        <w:rPr>
          <w:lang w:val="fr-CH"/>
        </w:rPr>
        <w:t xml:space="preserve">développement et </w:t>
      </w:r>
      <w:r w:rsidR="004373B2" w:rsidRPr="0071782F">
        <w:rPr>
          <w:lang w:val="fr-CH"/>
        </w:rPr>
        <w:t xml:space="preserve">de </w:t>
      </w:r>
      <w:r w:rsidR="00C65FBC" w:rsidRPr="0071782F">
        <w:rPr>
          <w:lang w:val="fr-CH"/>
        </w:rPr>
        <w:t>la gestion des ressources humaines</w:t>
      </w:r>
      <w:r w:rsidR="000961EB" w:rsidRPr="0071782F">
        <w:rPr>
          <w:lang w:val="fr-CH"/>
        </w:rPr>
        <w:t>.</w:t>
      </w:r>
    </w:p>
    <w:p w:rsidR="00DD2B20" w:rsidRPr="0071782F" w:rsidRDefault="00DD2B20" w:rsidP="004373B2">
      <w:pPr>
        <w:pStyle w:val="SingleTxtG"/>
        <w:ind w:left="1701" w:hanging="567"/>
        <w:rPr>
          <w:lang w:val="fr-CH"/>
        </w:rPr>
      </w:pPr>
      <w:r w:rsidRPr="0071782F">
        <w:rPr>
          <w:lang w:val="fr-CH"/>
        </w:rPr>
        <w:tab/>
        <w:t>102.7.</w:t>
      </w:r>
      <w:r w:rsidRPr="0071782F">
        <w:rPr>
          <w:lang w:val="fr-CH"/>
        </w:rPr>
        <w:tab/>
      </w:r>
      <w:r w:rsidR="00C65FBC" w:rsidRPr="0071782F">
        <w:rPr>
          <w:lang w:val="fr-CH"/>
        </w:rPr>
        <w:t xml:space="preserve">Le Vice-Président </w:t>
      </w:r>
      <w:r w:rsidR="004373B2" w:rsidRPr="0071782F">
        <w:rPr>
          <w:lang w:val="fr-CH"/>
        </w:rPr>
        <w:t xml:space="preserve">d’État chargé de </w:t>
      </w:r>
      <w:r w:rsidR="00C65FBC" w:rsidRPr="0071782F">
        <w:rPr>
          <w:lang w:val="fr-CH"/>
        </w:rPr>
        <w:t xml:space="preserve">la planification et </w:t>
      </w:r>
      <w:r w:rsidR="004373B2" w:rsidRPr="0071782F">
        <w:rPr>
          <w:lang w:val="fr-CH"/>
        </w:rPr>
        <w:t>d</w:t>
      </w:r>
      <w:r w:rsidR="00C65FBC" w:rsidRPr="0071782F">
        <w:rPr>
          <w:lang w:val="fr-CH"/>
        </w:rPr>
        <w:t>u contrôle stratégiques</w:t>
      </w:r>
      <w:r w:rsidR="000961EB" w:rsidRPr="0071782F">
        <w:rPr>
          <w:lang w:val="fr-CH"/>
        </w:rPr>
        <w:t>.</w:t>
      </w:r>
    </w:p>
    <w:p w:rsidR="00DD2B20" w:rsidRPr="0071782F" w:rsidRDefault="00DD2B20" w:rsidP="00693FF7">
      <w:pPr>
        <w:pStyle w:val="SingleTxtG"/>
        <w:ind w:left="1701" w:hanging="567"/>
        <w:rPr>
          <w:lang w:val="fr-CH"/>
        </w:rPr>
      </w:pPr>
      <w:r w:rsidRPr="0071782F">
        <w:rPr>
          <w:lang w:val="fr-CH"/>
        </w:rPr>
        <w:tab/>
        <w:t>102.8.</w:t>
      </w:r>
      <w:r w:rsidRPr="0071782F">
        <w:rPr>
          <w:lang w:val="fr-CH"/>
        </w:rPr>
        <w:tab/>
      </w:r>
      <w:r w:rsidR="00C65FBC" w:rsidRPr="0071782F">
        <w:rPr>
          <w:lang w:val="fr-CH"/>
        </w:rPr>
        <w:t xml:space="preserve">Le Vice-Président </w:t>
      </w:r>
      <w:r w:rsidR="004373B2" w:rsidRPr="0071782F">
        <w:rPr>
          <w:lang w:val="fr-CH"/>
        </w:rPr>
        <w:t xml:space="preserve">d’État </w:t>
      </w:r>
      <w:r w:rsidR="00693FF7" w:rsidRPr="0071782F">
        <w:rPr>
          <w:lang w:val="fr-CH"/>
        </w:rPr>
        <w:t xml:space="preserve">chargé des </w:t>
      </w:r>
      <w:r w:rsidR="00C65FBC" w:rsidRPr="0071782F">
        <w:rPr>
          <w:lang w:val="fr-CH"/>
        </w:rPr>
        <w:t>affaires juridiques et parlementaires</w:t>
      </w:r>
      <w:r w:rsidRPr="0071782F">
        <w:rPr>
          <w:lang w:val="fr-CH"/>
        </w:rPr>
        <w:t>.</w:t>
      </w:r>
    </w:p>
    <w:p w:rsidR="00DD2B20" w:rsidRPr="0071782F" w:rsidRDefault="00DD2B20" w:rsidP="00DD2B20">
      <w:pPr>
        <w:pStyle w:val="SingleTxtG"/>
        <w:ind w:left="1701" w:hanging="567"/>
        <w:rPr>
          <w:lang w:val="fr-CH"/>
        </w:rPr>
      </w:pPr>
      <w:r w:rsidRPr="0071782F">
        <w:rPr>
          <w:lang w:val="fr-CH"/>
        </w:rPr>
        <w:tab/>
        <w:t>102.9.</w:t>
      </w:r>
      <w:r w:rsidRPr="0071782F">
        <w:rPr>
          <w:lang w:val="fr-CH"/>
        </w:rPr>
        <w:tab/>
      </w:r>
      <w:r w:rsidR="00C65FBC" w:rsidRPr="0071782F">
        <w:rPr>
          <w:lang w:val="fr-CH"/>
        </w:rPr>
        <w:t xml:space="preserve">Quatre </w:t>
      </w:r>
      <w:r w:rsidRPr="0071782F">
        <w:rPr>
          <w:lang w:val="fr-CH"/>
        </w:rPr>
        <w:t>repr</w:t>
      </w:r>
      <w:r w:rsidR="00C65FBC" w:rsidRPr="0071782F">
        <w:rPr>
          <w:lang w:val="fr-CH"/>
        </w:rPr>
        <w:t>é</w:t>
      </w:r>
      <w:r w:rsidRPr="0071782F">
        <w:rPr>
          <w:lang w:val="fr-CH"/>
        </w:rPr>
        <w:t>senta</w:t>
      </w:r>
      <w:r w:rsidR="00C65FBC" w:rsidRPr="0071782F">
        <w:rPr>
          <w:lang w:val="fr-CH"/>
        </w:rPr>
        <w:t>nts des employeurs, à savoir trois employeurs représentant les s</w:t>
      </w:r>
      <w:r w:rsidR="00607118" w:rsidRPr="0071782F">
        <w:rPr>
          <w:lang w:val="fr-CH"/>
        </w:rPr>
        <w:t>ec</w:t>
      </w:r>
      <w:r w:rsidR="00C65FBC" w:rsidRPr="0071782F">
        <w:rPr>
          <w:lang w:val="fr-CH"/>
        </w:rPr>
        <w:t xml:space="preserve">teurs de la </w:t>
      </w:r>
      <w:r w:rsidRPr="0071782F">
        <w:rPr>
          <w:lang w:val="fr-CH"/>
        </w:rPr>
        <w:t xml:space="preserve">production, </w:t>
      </w:r>
      <w:r w:rsidR="00C65FBC" w:rsidRPr="0071782F">
        <w:rPr>
          <w:lang w:val="fr-CH"/>
        </w:rPr>
        <w:t xml:space="preserve">de l’industrie et du commerce choisis par le Centre supérieur des associations professionnelles d’employeurs, et un employeur représentant </w:t>
      </w:r>
      <w:r w:rsidR="00A83442">
        <w:rPr>
          <w:lang w:val="fr-CH"/>
        </w:rPr>
        <w:t>les unités</w:t>
      </w:r>
      <w:r w:rsidR="00C65FBC" w:rsidRPr="0071782F">
        <w:rPr>
          <w:lang w:val="fr-CH"/>
        </w:rPr>
        <w:t xml:space="preserve"> entrepreneuriales et commerciales choisi par le même Centre supérieur</w:t>
      </w:r>
      <w:r w:rsidRPr="0071782F">
        <w:rPr>
          <w:lang w:val="fr-CH"/>
        </w:rPr>
        <w:t>.</w:t>
      </w:r>
    </w:p>
    <w:p w:rsidR="00DD2B20" w:rsidRPr="0071782F" w:rsidRDefault="00DD2B20" w:rsidP="00DD2B20">
      <w:pPr>
        <w:pStyle w:val="SingleTxtG"/>
        <w:ind w:left="1701" w:hanging="567"/>
        <w:rPr>
          <w:lang w:val="fr-CH"/>
        </w:rPr>
      </w:pPr>
      <w:r w:rsidRPr="0071782F">
        <w:rPr>
          <w:lang w:val="fr-CH"/>
        </w:rPr>
        <w:tab/>
      </w:r>
      <w:r w:rsidR="000961EB" w:rsidRPr="0071782F">
        <w:rPr>
          <w:lang w:val="fr-CH"/>
        </w:rPr>
        <w:t xml:space="preserve">102.10. </w:t>
      </w:r>
      <w:r w:rsidRPr="0071782F">
        <w:rPr>
          <w:lang w:val="fr-CH"/>
        </w:rPr>
        <w:t>T</w:t>
      </w:r>
      <w:r w:rsidR="00C65FBC" w:rsidRPr="0071782F">
        <w:rPr>
          <w:lang w:val="fr-CH"/>
        </w:rPr>
        <w:t xml:space="preserve">rois </w:t>
      </w:r>
      <w:r w:rsidRPr="0071782F">
        <w:rPr>
          <w:lang w:val="fr-CH"/>
        </w:rPr>
        <w:t>repr</w:t>
      </w:r>
      <w:r w:rsidR="00C65FBC" w:rsidRPr="0071782F">
        <w:rPr>
          <w:lang w:val="fr-CH"/>
        </w:rPr>
        <w:t>é</w:t>
      </w:r>
      <w:r w:rsidRPr="0071782F">
        <w:rPr>
          <w:lang w:val="fr-CH"/>
        </w:rPr>
        <w:t>senta</w:t>
      </w:r>
      <w:r w:rsidR="00C65FBC" w:rsidRPr="0071782F">
        <w:rPr>
          <w:lang w:val="fr-CH"/>
        </w:rPr>
        <w:t xml:space="preserve">nts des assurés, à savoir deux </w:t>
      </w:r>
      <w:r w:rsidRPr="0071782F">
        <w:rPr>
          <w:lang w:val="fr-CH"/>
        </w:rPr>
        <w:t>repr</w:t>
      </w:r>
      <w:r w:rsidR="00C65FBC" w:rsidRPr="0071782F">
        <w:rPr>
          <w:lang w:val="fr-CH"/>
        </w:rPr>
        <w:t>é</w:t>
      </w:r>
      <w:r w:rsidRPr="0071782F">
        <w:rPr>
          <w:lang w:val="fr-CH"/>
        </w:rPr>
        <w:t>senta</w:t>
      </w:r>
      <w:r w:rsidR="00C65FBC" w:rsidRPr="0071782F">
        <w:rPr>
          <w:lang w:val="fr-CH"/>
        </w:rPr>
        <w:t xml:space="preserve">nts des assurés membres </w:t>
      </w:r>
      <w:r w:rsidR="00A83442">
        <w:rPr>
          <w:lang w:val="fr-CH"/>
        </w:rPr>
        <w:t>des unités</w:t>
      </w:r>
      <w:r w:rsidR="00C65FBC" w:rsidRPr="0071782F">
        <w:rPr>
          <w:lang w:val="fr-CH"/>
        </w:rPr>
        <w:t xml:space="preserve"> de production, industrielles, entrepreneuria</w:t>
      </w:r>
      <w:r w:rsidRPr="0071782F">
        <w:rPr>
          <w:lang w:val="fr-CH"/>
        </w:rPr>
        <w:t>l</w:t>
      </w:r>
      <w:r w:rsidR="00C65FBC" w:rsidRPr="0071782F">
        <w:rPr>
          <w:lang w:val="fr-CH"/>
        </w:rPr>
        <w:t>es et commerciales choisis par le Centre supérieur des conseils du travail islamiques, et un représentant des assurés membres des syndicats de fonctionnaires choisi conformément aux règles et règlements connexes.</w:t>
      </w:r>
      <w:r w:rsidR="00D36718">
        <w:rPr>
          <w:lang w:val="fr-CH"/>
        </w:rPr>
        <w:t xml:space="preserve"> </w:t>
      </w:r>
    </w:p>
    <w:p w:rsidR="00DD2B20" w:rsidRPr="0071782F" w:rsidRDefault="00DD2B20" w:rsidP="00DD2B20">
      <w:pPr>
        <w:pStyle w:val="H1G"/>
        <w:rPr>
          <w:lang w:val="fr-CH"/>
        </w:rPr>
      </w:pPr>
      <w:r w:rsidRPr="0071782F">
        <w:rPr>
          <w:lang w:val="fr-CH"/>
        </w:rPr>
        <w:tab/>
      </w:r>
      <w:r w:rsidRPr="0071782F">
        <w:rPr>
          <w:lang w:val="fr-CH"/>
        </w:rPr>
        <w:tab/>
        <w:t>H</w:t>
      </w:r>
      <w:r w:rsidR="00C65FBC" w:rsidRPr="0071782F">
        <w:rPr>
          <w:lang w:val="fr-CH"/>
        </w:rPr>
        <w:t xml:space="preserve">aut Conseil </w:t>
      </w:r>
      <w:r w:rsidR="00864EA3" w:rsidRPr="0071782F">
        <w:rPr>
          <w:lang w:val="fr-CH"/>
        </w:rPr>
        <w:t>pour</w:t>
      </w:r>
      <w:r w:rsidR="00C65FBC" w:rsidRPr="0071782F">
        <w:rPr>
          <w:lang w:val="fr-CH"/>
        </w:rPr>
        <w:t xml:space="preserve"> l’emploi </w:t>
      </w:r>
    </w:p>
    <w:p w:rsidR="00DD2B20" w:rsidRPr="0071782F" w:rsidRDefault="00DD2B20" w:rsidP="00DD2B20">
      <w:pPr>
        <w:pStyle w:val="SingleTxtG"/>
        <w:rPr>
          <w:lang w:val="fr-CH"/>
        </w:rPr>
      </w:pPr>
      <w:r w:rsidRPr="0071782F">
        <w:rPr>
          <w:lang w:val="fr-CH"/>
        </w:rPr>
        <w:t>103.</w:t>
      </w:r>
      <w:r w:rsidRPr="0071782F">
        <w:rPr>
          <w:lang w:val="fr-CH"/>
        </w:rPr>
        <w:tab/>
      </w:r>
      <w:r w:rsidR="00607118" w:rsidRPr="0071782F">
        <w:rPr>
          <w:lang w:val="fr-CH"/>
        </w:rPr>
        <w:t xml:space="preserve">Le Haut Conseil pour l’emploi est créé pour fixer les </w:t>
      </w:r>
      <w:r w:rsidRPr="0071782F">
        <w:rPr>
          <w:lang w:val="fr-CH"/>
        </w:rPr>
        <w:t>objecti</w:t>
      </w:r>
      <w:r w:rsidR="00607118" w:rsidRPr="0071782F">
        <w:rPr>
          <w:lang w:val="fr-CH"/>
        </w:rPr>
        <w:t>f</w:t>
      </w:r>
      <w:r w:rsidRPr="0071782F">
        <w:rPr>
          <w:lang w:val="fr-CH"/>
        </w:rPr>
        <w:t xml:space="preserve">s </w:t>
      </w:r>
      <w:r w:rsidR="00607118" w:rsidRPr="0071782F">
        <w:rPr>
          <w:lang w:val="fr-CH"/>
        </w:rPr>
        <w:t xml:space="preserve">et les priorités en matière d’emploi dans </w:t>
      </w:r>
      <w:r w:rsidRPr="0071782F">
        <w:rPr>
          <w:lang w:val="fr-CH"/>
        </w:rPr>
        <w:t>diff</w:t>
      </w:r>
      <w:r w:rsidR="00607118" w:rsidRPr="0071782F">
        <w:rPr>
          <w:lang w:val="fr-CH"/>
        </w:rPr>
        <w:t>é</w:t>
      </w:r>
      <w:r w:rsidRPr="0071782F">
        <w:rPr>
          <w:lang w:val="fr-CH"/>
        </w:rPr>
        <w:t>rent</w:t>
      </w:r>
      <w:r w:rsidR="00607118" w:rsidRPr="0071782F">
        <w:rPr>
          <w:lang w:val="fr-CH"/>
        </w:rPr>
        <w:t>s</w:t>
      </w:r>
      <w:r w:rsidRPr="0071782F">
        <w:rPr>
          <w:lang w:val="fr-CH"/>
        </w:rPr>
        <w:t xml:space="preserve"> sect</w:t>
      </w:r>
      <w:r w:rsidR="00607118" w:rsidRPr="0071782F">
        <w:rPr>
          <w:lang w:val="fr-CH"/>
        </w:rPr>
        <w:t>eu</w:t>
      </w:r>
      <w:r w:rsidRPr="0071782F">
        <w:rPr>
          <w:lang w:val="fr-CH"/>
        </w:rPr>
        <w:t xml:space="preserve">rs, </w:t>
      </w:r>
      <w:r w:rsidR="00607118" w:rsidRPr="0071782F">
        <w:rPr>
          <w:lang w:val="fr-CH"/>
        </w:rPr>
        <w:t>adopter des décisions et formuler des politiques liées à l’emploi, créer des emplois par le biais d’activités économiques, utiliser au mieux la main-d’</w:t>
      </w:r>
      <w:r w:rsidR="00D5366B" w:rsidRPr="0071782F">
        <w:rPr>
          <w:lang w:val="fr-CH"/>
        </w:rPr>
        <w:t>œuvre</w:t>
      </w:r>
      <w:r w:rsidR="00607118" w:rsidRPr="0071782F">
        <w:rPr>
          <w:lang w:val="fr-CH"/>
        </w:rPr>
        <w:t xml:space="preserve"> et assurer la coordination indispensable entre les politiques éducatives et les besoins du marché du travail. Les membres de ce Haut Conseil sont les suivants</w:t>
      </w:r>
      <w:r w:rsidR="008F7D33" w:rsidRPr="0071782F">
        <w:rPr>
          <w:lang w:val="fr-CH"/>
        </w:rPr>
        <w:t>:</w:t>
      </w:r>
    </w:p>
    <w:p w:rsidR="00DD2B20" w:rsidRPr="0071782F" w:rsidRDefault="00DD2B20" w:rsidP="00693FF7">
      <w:pPr>
        <w:pStyle w:val="SingleTxtG"/>
        <w:ind w:left="1701" w:hanging="567"/>
        <w:rPr>
          <w:lang w:val="fr-CH"/>
        </w:rPr>
      </w:pPr>
      <w:r w:rsidRPr="0071782F">
        <w:rPr>
          <w:lang w:val="fr-CH"/>
        </w:rPr>
        <w:tab/>
        <w:t>103.1.</w:t>
      </w:r>
      <w:r w:rsidRPr="0071782F">
        <w:rPr>
          <w:lang w:val="fr-CH"/>
        </w:rPr>
        <w:tab/>
      </w:r>
      <w:r w:rsidR="00607118" w:rsidRPr="0071782F">
        <w:rPr>
          <w:lang w:val="fr-CH"/>
        </w:rPr>
        <w:t xml:space="preserve">Le Président </w:t>
      </w:r>
      <w:r w:rsidR="00693FF7" w:rsidRPr="0071782F">
        <w:rPr>
          <w:lang w:val="fr-CH"/>
        </w:rPr>
        <w:t>de l’État</w:t>
      </w:r>
      <w:r w:rsidR="00607118" w:rsidRPr="0071782F">
        <w:rPr>
          <w:lang w:val="fr-CH"/>
        </w:rPr>
        <w:t>, qui préside le Haut Conseil</w:t>
      </w:r>
      <w:r w:rsidR="00FC2361" w:rsidRPr="0071782F">
        <w:rPr>
          <w:lang w:val="fr-CH"/>
        </w:rPr>
        <w:t>.</w:t>
      </w:r>
    </w:p>
    <w:p w:rsidR="00DD2B20" w:rsidRPr="0071782F" w:rsidRDefault="00DD2B20" w:rsidP="00693FF7">
      <w:pPr>
        <w:pStyle w:val="SingleTxtG"/>
        <w:ind w:left="1701" w:hanging="567"/>
        <w:rPr>
          <w:lang w:val="fr-CH"/>
        </w:rPr>
      </w:pPr>
      <w:r w:rsidRPr="0071782F">
        <w:rPr>
          <w:lang w:val="fr-CH"/>
        </w:rPr>
        <w:tab/>
        <w:t>103.2.</w:t>
      </w:r>
      <w:r w:rsidRPr="0071782F">
        <w:rPr>
          <w:lang w:val="fr-CH"/>
        </w:rPr>
        <w:tab/>
      </w:r>
      <w:r w:rsidR="00607118" w:rsidRPr="0071782F">
        <w:rPr>
          <w:lang w:val="fr-CH"/>
        </w:rPr>
        <w:t xml:space="preserve">Le Vice-Président </w:t>
      </w:r>
      <w:r w:rsidR="00693FF7" w:rsidRPr="0071782F">
        <w:rPr>
          <w:lang w:val="fr-CH"/>
        </w:rPr>
        <w:t xml:space="preserve">d’État chargé de </w:t>
      </w:r>
      <w:r w:rsidR="00607118" w:rsidRPr="0071782F">
        <w:rPr>
          <w:lang w:val="fr-CH"/>
        </w:rPr>
        <w:t xml:space="preserve">la planification et </w:t>
      </w:r>
      <w:r w:rsidR="00693FF7" w:rsidRPr="0071782F">
        <w:rPr>
          <w:lang w:val="fr-CH"/>
        </w:rPr>
        <w:t xml:space="preserve">du </w:t>
      </w:r>
      <w:r w:rsidR="00607118" w:rsidRPr="0071782F">
        <w:rPr>
          <w:lang w:val="fr-CH"/>
        </w:rPr>
        <w:t>contrôle stratégiques</w:t>
      </w:r>
      <w:r w:rsidR="00864EA3" w:rsidRPr="0071782F">
        <w:rPr>
          <w:lang w:val="fr-CH"/>
        </w:rPr>
        <w:t>,</w:t>
      </w:r>
      <w:r w:rsidR="00607118" w:rsidRPr="0071782F">
        <w:rPr>
          <w:lang w:val="fr-CH"/>
        </w:rPr>
        <w:t xml:space="preserve"> en qualité d’observateur sans droit de vote</w:t>
      </w:r>
      <w:r w:rsidR="00FC2361" w:rsidRPr="0071782F">
        <w:rPr>
          <w:lang w:val="fr-CH"/>
        </w:rPr>
        <w:t>.</w:t>
      </w:r>
    </w:p>
    <w:p w:rsidR="00DD2B20" w:rsidRPr="0071782F" w:rsidRDefault="00DD2B20" w:rsidP="00DD2B20">
      <w:pPr>
        <w:pStyle w:val="SingleTxtG"/>
        <w:ind w:left="1701" w:hanging="567"/>
        <w:rPr>
          <w:lang w:val="fr-CH"/>
        </w:rPr>
      </w:pPr>
      <w:r w:rsidRPr="0071782F">
        <w:rPr>
          <w:lang w:val="fr-CH"/>
        </w:rPr>
        <w:tab/>
        <w:t>103.3.</w:t>
      </w:r>
      <w:r w:rsidRPr="0071782F">
        <w:rPr>
          <w:lang w:val="fr-CH"/>
        </w:rPr>
        <w:tab/>
      </w:r>
      <w:r w:rsidR="00607118" w:rsidRPr="0071782F">
        <w:rPr>
          <w:lang w:val="fr-CH"/>
        </w:rPr>
        <w:t>Le Ministre du travail et des affaires sociales</w:t>
      </w:r>
      <w:r w:rsidR="00FC2361" w:rsidRPr="0071782F">
        <w:rPr>
          <w:lang w:val="fr-CH"/>
        </w:rPr>
        <w:t>.</w:t>
      </w:r>
    </w:p>
    <w:p w:rsidR="00DD2B20" w:rsidRPr="0071782F" w:rsidRDefault="00DD2B20" w:rsidP="00DD2B20">
      <w:pPr>
        <w:pStyle w:val="SingleTxtG"/>
        <w:ind w:left="1701" w:hanging="567"/>
        <w:rPr>
          <w:lang w:val="fr-CH"/>
        </w:rPr>
      </w:pPr>
      <w:r w:rsidRPr="0071782F">
        <w:rPr>
          <w:lang w:val="fr-CH"/>
        </w:rPr>
        <w:tab/>
        <w:t>103.4.</w:t>
      </w:r>
      <w:r w:rsidRPr="0071782F">
        <w:rPr>
          <w:lang w:val="fr-CH"/>
        </w:rPr>
        <w:tab/>
      </w:r>
      <w:r w:rsidR="00607118" w:rsidRPr="0071782F">
        <w:rPr>
          <w:lang w:val="fr-CH"/>
        </w:rPr>
        <w:t xml:space="preserve">Le </w:t>
      </w:r>
      <w:r w:rsidRPr="0071782F">
        <w:rPr>
          <w:lang w:val="fr-CH"/>
        </w:rPr>
        <w:t>Minist</w:t>
      </w:r>
      <w:r w:rsidR="00607118" w:rsidRPr="0071782F">
        <w:rPr>
          <w:lang w:val="fr-CH"/>
        </w:rPr>
        <w:t>re de l’i</w:t>
      </w:r>
      <w:r w:rsidRPr="0071782F">
        <w:rPr>
          <w:lang w:val="fr-CH"/>
        </w:rPr>
        <w:t>nt</w:t>
      </w:r>
      <w:r w:rsidR="00607118" w:rsidRPr="0071782F">
        <w:rPr>
          <w:lang w:val="fr-CH"/>
        </w:rPr>
        <w:t>é</w:t>
      </w:r>
      <w:r w:rsidRPr="0071782F">
        <w:rPr>
          <w:lang w:val="fr-CH"/>
        </w:rPr>
        <w:t>ri</w:t>
      </w:r>
      <w:r w:rsidR="00607118" w:rsidRPr="0071782F">
        <w:rPr>
          <w:lang w:val="fr-CH"/>
        </w:rPr>
        <w:t>eu</w:t>
      </w:r>
      <w:r w:rsidRPr="0071782F">
        <w:rPr>
          <w:lang w:val="fr-CH"/>
        </w:rPr>
        <w:t>r</w:t>
      </w:r>
      <w:r w:rsidR="00FC2361" w:rsidRPr="0071782F">
        <w:rPr>
          <w:lang w:val="fr-CH"/>
        </w:rPr>
        <w:t>.</w:t>
      </w:r>
    </w:p>
    <w:p w:rsidR="00DD2B20" w:rsidRPr="0071782F" w:rsidRDefault="00DD2B20" w:rsidP="00DD2B20">
      <w:pPr>
        <w:pStyle w:val="SingleTxtG"/>
        <w:ind w:left="1701" w:hanging="567"/>
        <w:rPr>
          <w:lang w:val="fr-CH"/>
        </w:rPr>
      </w:pPr>
      <w:r w:rsidRPr="0071782F">
        <w:rPr>
          <w:lang w:val="fr-CH"/>
        </w:rPr>
        <w:tab/>
        <w:t>103.5.</w:t>
      </w:r>
      <w:r w:rsidRPr="0071782F">
        <w:rPr>
          <w:lang w:val="fr-CH"/>
        </w:rPr>
        <w:tab/>
      </w:r>
      <w:r w:rsidR="00607118" w:rsidRPr="0071782F">
        <w:rPr>
          <w:lang w:val="fr-CH"/>
        </w:rPr>
        <w:t>Le Ministre de</w:t>
      </w:r>
      <w:r w:rsidRPr="0071782F">
        <w:rPr>
          <w:lang w:val="fr-CH"/>
        </w:rPr>
        <w:t xml:space="preserve"> </w:t>
      </w:r>
      <w:r w:rsidR="00607118" w:rsidRPr="0071782F">
        <w:rPr>
          <w:lang w:val="fr-CH"/>
        </w:rPr>
        <w:t>l’a</w:t>
      </w:r>
      <w:r w:rsidRPr="0071782F">
        <w:rPr>
          <w:lang w:val="fr-CH"/>
        </w:rPr>
        <w:t>griculture</w:t>
      </w:r>
      <w:r w:rsidR="00FC2361" w:rsidRPr="0071782F">
        <w:rPr>
          <w:lang w:val="fr-CH"/>
        </w:rPr>
        <w:t>.</w:t>
      </w:r>
    </w:p>
    <w:p w:rsidR="00DD2B20" w:rsidRPr="0071782F" w:rsidRDefault="00DD2B20" w:rsidP="00DD2B20">
      <w:pPr>
        <w:pStyle w:val="SingleTxtG"/>
        <w:ind w:left="1701" w:hanging="567"/>
        <w:rPr>
          <w:lang w:val="fr-CH"/>
        </w:rPr>
      </w:pPr>
      <w:r w:rsidRPr="0071782F">
        <w:rPr>
          <w:lang w:val="fr-CH"/>
        </w:rPr>
        <w:tab/>
        <w:t>103.6.</w:t>
      </w:r>
      <w:r w:rsidRPr="0071782F">
        <w:rPr>
          <w:lang w:val="fr-CH"/>
        </w:rPr>
        <w:tab/>
      </w:r>
      <w:r w:rsidR="00607118" w:rsidRPr="0071782F">
        <w:rPr>
          <w:lang w:val="fr-CH"/>
        </w:rPr>
        <w:t>Le Ministre de</w:t>
      </w:r>
      <w:r w:rsidRPr="0071782F">
        <w:rPr>
          <w:lang w:val="fr-CH"/>
        </w:rPr>
        <w:t xml:space="preserve"> </w:t>
      </w:r>
      <w:r w:rsidR="00607118" w:rsidRPr="0071782F">
        <w:rPr>
          <w:lang w:val="fr-CH"/>
        </w:rPr>
        <w:t>l’éd</w:t>
      </w:r>
      <w:r w:rsidRPr="0071782F">
        <w:rPr>
          <w:lang w:val="fr-CH"/>
        </w:rPr>
        <w:t>ucation</w:t>
      </w:r>
      <w:r w:rsidR="00FC2361" w:rsidRPr="0071782F">
        <w:rPr>
          <w:lang w:val="fr-CH"/>
        </w:rPr>
        <w:t>.</w:t>
      </w:r>
    </w:p>
    <w:p w:rsidR="00DD2B20" w:rsidRPr="0071782F" w:rsidRDefault="00DD2B20" w:rsidP="00DD2B20">
      <w:pPr>
        <w:pStyle w:val="SingleTxtG"/>
        <w:ind w:left="1701" w:hanging="567"/>
        <w:rPr>
          <w:lang w:val="fr-CH"/>
        </w:rPr>
      </w:pPr>
      <w:r w:rsidRPr="0071782F">
        <w:rPr>
          <w:lang w:val="fr-CH"/>
        </w:rPr>
        <w:tab/>
        <w:t>103.7.</w:t>
      </w:r>
      <w:r w:rsidRPr="0071782F">
        <w:rPr>
          <w:lang w:val="fr-CH"/>
        </w:rPr>
        <w:tab/>
      </w:r>
      <w:r w:rsidR="00607118" w:rsidRPr="0071782F">
        <w:rPr>
          <w:lang w:val="fr-CH"/>
        </w:rPr>
        <w:t>Le Ministre de l’industrie et des mines</w:t>
      </w:r>
      <w:r w:rsidR="00FC2361" w:rsidRPr="0071782F">
        <w:rPr>
          <w:lang w:val="fr-CH"/>
        </w:rPr>
        <w:t>.</w:t>
      </w:r>
    </w:p>
    <w:p w:rsidR="00DD2B20" w:rsidRPr="0071782F" w:rsidRDefault="00DD2B20" w:rsidP="00DD2B20">
      <w:pPr>
        <w:pStyle w:val="SingleTxtG"/>
        <w:ind w:left="1701" w:hanging="567"/>
        <w:rPr>
          <w:lang w:val="fr-CH"/>
        </w:rPr>
      </w:pPr>
      <w:r w:rsidRPr="0071782F">
        <w:rPr>
          <w:lang w:val="fr-CH"/>
        </w:rPr>
        <w:tab/>
        <w:t>103.8.</w:t>
      </w:r>
      <w:r w:rsidRPr="0071782F">
        <w:rPr>
          <w:lang w:val="fr-CH"/>
        </w:rPr>
        <w:tab/>
      </w:r>
      <w:r w:rsidR="00607118" w:rsidRPr="0071782F">
        <w:rPr>
          <w:lang w:val="fr-CH"/>
        </w:rPr>
        <w:t>Le Ministre des finances et des affaires économiques</w:t>
      </w:r>
      <w:r w:rsidR="00FC2361" w:rsidRPr="0071782F">
        <w:rPr>
          <w:lang w:val="fr-CH"/>
        </w:rPr>
        <w:t>.</w:t>
      </w:r>
    </w:p>
    <w:p w:rsidR="00DD2B20" w:rsidRPr="0071782F" w:rsidRDefault="00DD2B20" w:rsidP="00DD2B20">
      <w:pPr>
        <w:pStyle w:val="SingleTxtG"/>
        <w:ind w:left="1701" w:hanging="567"/>
        <w:rPr>
          <w:lang w:val="fr-CH"/>
        </w:rPr>
      </w:pPr>
      <w:r w:rsidRPr="0071782F">
        <w:rPr>
          <w:lang w:val="fr-CH"/>
        </w:rPr>
        <w:tab/>
        <w:t>103.9.</w:t>
      </w:r>
      <w:r w:rsidRPr="0071782F">
        <w:rPr>
          <w:lang w:val="fr-CH"/>
        </w:rPr>
        <w:tab/>
      </w:r>
      <w:r w:rsidR="00607118" w:rsidRPr="0071782F">
        <w:rPr>
          <w:lang w:val="fr-CH"/>
        </w:rPr>
        <w:t xml:space="preserve">Le </w:t>
      </w:r>
      <w:r w:rsidRPr="0071782F">
        <w:rPr>
          <w:lang w:val="fr-CH"/>
        </w:rPr>
        <w:t>Minist</w:t>
      </w:r>
      <w:r w:rsidR="00607118" w:rsidRPr="0071782F">
        <w:rPr>
          <w:lang w:val="fr-CH"/>
        </w:rPr>
        <w:t>re de l’énergie</w:t>
      </w:r>
      <w:r w:rsidR="00FC2361" w:rsidRPr="0071782F">
        <w:rPr>
          <w:lang w:val="fr-CH"/>
        </w:rPr>
        <w:t>.</w:t>
      </w:r>
    </w:p>
    <w:p w:rsidR="00DD2B20" w:rsidRPr="0071782F" w:rsidRDefault="00DD2B20" w:rsidP="00DD2B20">
      <w:pPr>
        <w:pStyle w:val="SingleTxtG"/>
        <w:ind w:left="1701" w:hanging="567"/>
        <w:rPr>
          <w:lang w:val="fr-CH"/>
        </w:rPr>
      </w:pPr>
      <w:r w:rsidRPr="0071782F">
        <w:rPr>
          <w:lang w:val="fr-CH"/>
        </w:rPr>
        <w:tab/>
        <w:t>10</w:t>
      </w:r>
      <w:r w:rsidR="00FC2361" w:rsidRPr="0071782F">
        <w:rPr>
          <w:lang w:val="fr-CH"/>
        </w:rPr>
        <w:t xml:space="preserve">3.10. </w:t>
      </w:r>
      <w:r w:rsidR="00607118" w:rsidRPr="0071782F">
        <w:rPr>
          <w:lang w:val="fr-CH"/>
        </w:rPr>
        <w:t>Le Ministre des</w:t>
      </w:r>
      <w:r w:rsidRPr="0071782F">
        <w:rPr>
          <w:lang w:val="fr-CH"/>
        </w:rPr>
        <w:t xml:space="preserve"> </w:t>
      </w:r>
      <w:r w:rsidR="00607118" w:rsidRPr="0071782F">
        <w:rPr>
          <w:lang w:val="fr-CH"/>
        </w:rPr>
        <w:t>coopé</w:t>
      </w:r>
      <w:r w:rsidRPr="0071782F">
        <w:rPr>
          <w:lang w:val="fr-CH"/>
        </w:rPr>
        <w:t>ratives</w:t>
      </w:r>
      <w:r w:rsidR="00FC2361" w:rsidRPr="0071782F">
        <w:rPr>
          <w:lang w:val="fr-CH"/>
        </w:rPr>
        <w:t>.</w:t>
      </w:r>
    </w:p>
    <w:p w:rsidR="00DD2B20" w:rsidRPr="0071782F" w:rsidRDefault="00FC2361" w:rsidP="00DD2B20">
      <w:pPr>
        <w:pStyle w:val="SingleTxtG"/>
        <w:ind w:left="1701" w:hanging="567"/>
        <w:rPr>
          <w:lang w:val="fr-CH"/>
        </w:rPr>
      </w:pPr>
      <w:r w:rsidRPr="0071782F">
        <w:rPr>
          <w:lang w:val="fr-CH"/>
        </w:rPr>
        <w:tab/>
        <w:t xml:space="preserve">103.11. </w:t>
      </w:r>
      <w:r w:rsidR="00607118" w:rsidRPr="0071782F">
        <w:rPr>
          <w:lang w:val="fr-CH"/>
        </w:rPr>
        <w:t xml:space="preserve">Le </w:t>
      </w:r>
      <w:r w:rsidR="00DD2B20" w:rsidRPr="0071782F">
        <w:rPr>
          <w:lang w:val="fr-CH"/>
        </w:rPr>
        <w:t>Minist</w:t>
      </w:r>
      <w:r w:rsidR="00607118" w:rsidRPr="0071782F">
        <w:rPr>
          <w:lang w:val="fr-CH"/>
        </w:rPr>
        <w:t>re du commerce</w:t>
      </w:r>
      <w:r w:rsidRPr="0071782F">
        <w:rPr>
          <w:lang w:val="fr-CH"/>
        </w:rPr>
        <w:t>.</w:t>
      </w:r>
    </w:p>
    <w:p w:rsidR="00DD2B20" w:rsidRPr="0071782F" w:rsidRDefault="00DD2B20" w:rsidP="00DD2B20">
      <w:pPr>
        <w:pStyle w:val="SingleTxtG"/>
        <w:ind w:left="1701" w:hanging="567"/>
        <w:rPr>
          <w:lang w:val="fr-CH"/>
        </w:rPr>
      </w:pPr>
      <w:r w:rsidRPr="0071782F">
        <w:rPr>
          <w:lang w:val="fr-CH"/>
        </w:rPr>
        <w:tab/>
        <w:t>103.12.</w:t>
      </w:r>
      <w:r w:rsidR="00FC2361" w:rsidRPr="0071782F">
        <w:rPr>
          <w:lang w:val="fr-CH"/>
        </w:rPr>
        <w:t xml:space="preserve"> </w:t>
      </w:r>
      <w:r w:rsidR="00607118" w:rsidRPr="0071782F">
        <w:rPr>
          <w:lang w:val="fr-CH"/>
        </w:rPr>
        <w:t xml:space="preserve">Le </w:t>
      </w:r>
      <w:r w:rsidRPr="0071782F">
        <w:rPr>
          <w:lang w:val="fr-CH"/>
        </w:rPr>
        <w:t>Minist</w:t>
      </w:r>
      <w:r w:rsidR="00607118" w:rsidRPr="0071782F">
        <w:rPr>
          <w:lang w:val="fr-CH"/>
        </w:rPr>
        <w:t>re de la s</w:t>
      </w:r>
      <w:r w:rsidRPr="0071782F">
        <w:rPr>
          <w:lang w:val="fr-CH"/>
        </w:rPr>
        <w:t xml:space="preserve">cience, </w:t>
      </w:r>
      <w:r w:rsidR="00607118" w:rsidRPr="0071782F">
        <w:rPr>
          <w:lang w:val="fr-CH"/>
        </w:rPr>
        <w:t>de la recherche et de la technologie</w:t>
      </w:r>
      <w:r w:rsidR="00FC2361" w:rsidRPr="0071782F">
        <w:rPr>
          <w:lang w:val="fr-CH"/>
        </w:rPr>
        <w:t>.</w:t>
      </w:r>
    </w:p>
    <w:p w:rsidR="00DD2B20" w:rsidRPr="0071782F" w:rsidRDefault="00DD2B20" w:rsidP="00DD2B20">
      <w:pPr>
        <w:pStyle w:val="SingleTxtG"/>
        <w:ind w:left="1701" w:hanging="567"/>
        <w:rPr>
          <w:lang w:val="fr-CH"/>
        </w:rPr>
      </w:pPr>
      <w:r w:rsidRPr="0071782F">
        <w:rPr>
          <w:lang w:val="fr-CH"/>
        </w:rPr>
        <w:tab/>
      </w:r>
      <w:r w:rsidR="00FC2361" w:rsidRPr="0071782F">
        <w:rPr>
          <w:lang w:val="fr-CH"/>
        </w:rPr>
        <w:t xml:space="preserve">103.13. </w:t>
      </w:r>
      <w:r w:rsidR="00607118" w:rsidRPr="0071782F">
        <w:rPr>
          <w:lang w:val="fr-CH"/>
        </w:rPr>
        <w:t>Le Ministre de la santé et de l</w:t>
      </w:r>
      <w:r w:rsidR="00864EA3" w:rsidRPr="0071782F">
        <w:rPr>
          <w:lang w:val="fr-CH"/>
        </w:rPr>
        <w:t>a formation</w:t>
      </w:r>
      <w:r w:rsidR="00607118" w:rsidRPr="0071782F">
        <w:rPr>
          <w:lang w:val="fr-CH"/>
        </w:rPr>
        <w:t xml:space="preserve"> médical</w:t>
      </w:r>
      <w:r w:rsidR="00864EA3" w:rsidRPr="0071782F">
        <w:rPr>
          <w:lang w:val="fr-CH"/>
        </w:rPr>
        <w:t>e</w:t>
      </w:r>
      <w:r w:rsidR="00FC2361" w:rsidRPr="0071782F">
        <w:rPr>
          <w:lang w:val="fr-CH"/>
        </w:rPr>
        <w:t>.</w:t>
      </w:r>
    </w:p>
    <w:p w:rsidR="00DD2B20" w:rsidRPr="0071782F" w:rsidRDefault="00DD2B20" w:rsidP="00693FF7">
      <w:pPr>
        <w:pStyle w:val="SingleTxtG"/>
        <w:ind w:left="1701" w:hanging="567"/>
        <w:rPr>
          <w:lang w:val="fr-CH"/>
        </w:rPr>
      </w:pPr>
      <w:r w:rsidRPr="0071782F">
        <w:rPr>
          <w:lang w:val="fr-CH"/>
        </w:rPr>
        <w:tab/>
      </w:r>
      <w:r w:rsidR="00FC2361" w:rsidRPr="0071782F">
        <w:rPr>
          <w:lang w:val="fr-CH"/>
        </w:rPr>
        <w:t xml:space="preserve">103.14. </w:t>
      </w:r>
      <w:r w:rsidR="00607118" w:rsidRPr="0071782F">
        <w:rPr>
          <w:lang w:val="fr-CH"/>
        </w:rPr>
        <w:t xml:space="preserve">Le </w:t>
      </w:r>
      <w:r w:rsidR="00693FF7" w:rsidRPr="0071782F">
        <w:rPr>
          <w:lang w:val="fr-CH"/>
        </w:rPr>
        <w:t>C</w:t>
      </w:r>
      <w:r w:rsidR="00607118" w:rsidRPr="0071782F">
        <w:rPr>
          <w:lang w:val="fr-CH"/>
        </w:rPr>
        <w:t xml:space="preserve">onseiller du Président </w:t>
      </w:r>
      <w:r w:rsidR="00693FF7" w:rsidRPr="0071782F">
        <w:rPr>
          <w:lang w:val="fr-CH"/>
        </w:rPr>
        <w:t xml:space="preserve">de l’État chargé des </w:t>
      </w:r>
      <w:r w:rsidR="00607118" w:rsidRPr="0071782F">
        <w:rPr>
          <w:lang w:val="fr-CH"/>
        </w:rPr>
        <w:t>affaires féminines</w:t>
      </w:r>
      <w:r w:rsidR="00864EA3" w:rsidRPr="0071782F">
        <w:rPr>
          <w:lang w:val="fr-CH"/>
        </w:rPr>
        <w:t>,</w:t>
      </w:r>
      <w:r w:rsidR="00607118" w:rsidRPr="0071782F">
        <w:rPr>
          <w:lang w:val="fr-CH"/>
        </w:rPr>
        <w:t xml:space="preserve"> en qualité d’observateur sans droit de vote</w:t>
      </w:r>
      <w:r w:rsidR="00FC2361" w:rsidRPr="0071782F">
        <w:rPr>
          <w:lang w:val="fr-CH"/>
        </w:rPr>
        <w:t>.</w:t>
      </w:r>
    </w:p>
    <w:p w:rsidR="00DD2B20" w:rsidRPr="0071782F" w:rsidRDefault="00DD2B20" w:rsidP="00DD2B20">
      <w:pPr>
        <w:pStyle w:val="SingleTxtG"/>
        <w:ind w:left="1701" w:hanging="567"/>
        <w:rPr>
          <w:lang w:val="fr-CH"/>
        </w:rPr>
      </w:pPr>
      <w:r w:rsidRPr="0071782F">
        <w:rPr>
          <w:lang w:val="fr-CH"/>
        </w:rPr>
        <w:tab/>
      </w:r>
      <w:r w:rsidR="00FC2361" w:rsidRPr="0071782F">
        <w:rPr>
          <w:lang w:val="fr-CH"/>
        </w:rPr>
        <w:t xml:space="preserve">103.15. </w:t>
      </w:r>
      <w:r w:rsidR="00607118" w:rsidRPr="0071782F">
        <w:rPr>
          <w:lang w:val="fr-CH"/>
        </w:rPr>
        <w:t>Deux représentants des employeurs choisis par le Centre supérieur des associations professionnelles d’employeurs ou</w:t>
      </w:r>
      <w:r w:rsidRPr="0071782F">
        <w:rPr>
          <w:lang w:val="fr-CH"/>
        </w:rPr>
        <w:t xml:space="preserve">, </w:t>
      </w:r>
      <w:r w:rsidR="00607118" w:rsidRPr="0071782F">
        <w:rPr>
          <w:lang w:val="fr-CH"/>
        </w:rPr>
        <w:t>si ce centre n’est pas créé, par le Ministre du travail et des affaires sociales; dans ce dernier cas, ces représentants n’auront pas le droit de vote</w:t>
      </w:r>
      <w:r w:rsidR="00FC2361" w:rsidRPr="0071782F">
        <w:rPr>
          <w:lang w:val="fr-CH"/>
        </w:rPr>
        <w:t>.</w:t>
      </w:r>
    </w:p>
    <w:p w:rsidR="00DD2B20" w:rsidRPr="00A83442" w:rsidRDefault="00DD2B20" w:rsidP="00DD2B20">
      <w:pPr>
        <w:pStyle w:val="SingleTxtG"/>
        <w:ind w:left="1701" w:hanging="567"/>
        <w:rPr>
          <w:spacing w:val="-2"/>
          <w:lang w:val="fr-CH"/>
        </w:rPr>
      </w:pPr>
      <w:r w:rsidRPr="00A83442">
        <w:rPr>
          <w:spacing w:val="-2"/>
          <w:lang w:val="fr-CH"/>
        </w:rPr>
        <w:tab/>
      </w:r>
      <w:r w:rsidR="005C68A4" w:rsidRPr="00A83442">
        <w:rPr>
          <w:spacing w:val="-2"/>
          <w:lang w:val="fr-CH"/>
        </w:rPr>
        <w:t xml:space="preserve">103.16. </w:t>
      </w:r>
      <w:r w:rsidR="00607118" w:rsidRPr="00A83442">
        <w:rPr>
          <w:spacing w:val="-2"/>
          <w:lang w:val="fr-CH"/>
        </w:rPr>
        <w:t>Deux représentants des travailleurs choisis par le Centre supérieur des conseils du travail islamiques</w:t>
      </w:r>
      <w:r w:rsidRPr="00A83442">
        <w:rPr>
          <w:spacing w:val="-2"/>
          <w:lang w:val="fr-CH"/>
        </w:rPr>
        <w:t xml:space="preserve">, </w:t>
      </w:r>
      <w:r w:rsidR="00607118" w:rsidRPr="00A83442">
        <w:rPr>
          <w:spacing w:val="-2"/>
          <w:lang w:val="fr-CH"/>
        </w:rPr>
        <w:t>ou, si ce centre n’est pas créé, par le Ministre du travail et des affaires sociales; dans ce dernier cas, ces représentants n’auront pas le droit de vote</w:t>
      </w:r>
      <w:r w:rsidR="005C68A4" w:rsidRPr="00A83442">
        <w:rPr>
          <w:spacing w:val="-2"/>
          <w:lang w:val="fr-CH"/>
        </w:rPr>
        <w:t>.</w:t>
      </w:r>
    </w:p>
    <w:p w:rsidR="00DD2B20" w:rsidRPr="0071782F" w:rsidRDefault="00DD2B20" w:rsidP="00DD2B20">
      <w:pPr>
        <w:pStyle w:val="SingleTxtG"/>
        <w:ind w:left="1701" w:hanging="567"/>
        <w:rPr>
          <w:lang w:val="fr-CH"/>
        </w:rPr>
      </w:pPr>
      <w:r w:rsidRPr="0071782F">
        <w:rPr>
          <w:lang w:val="fr-CH"/>
        </w:rPr>
        <w:tab/>
        <w:t>103.17.</w:t>
      </w:r>
      <w:r w:rsidR="005C68A4" w:rsidRPr="0071782F">
        <w:rPr>
          <w:lang w:val="fr-CH"/>
        </w:rPr>
        <w:t xml:space="preserve"> </w:t>
      </w:r>
      <w:r w:rsidR="00607118" w:rsidRPr="0071782F">
        <w:rPr>
          <w:lang w:val="fr-CH"/>
        </w:rPr>
        <w:t xml:space="preserve">Le </w:t>
      </w:r>
      <w:r w:rsidR="00693FF7" w:rsidRPr="0071782F">
        <w:rPr>
          <w:lang w:val="fr-CH"/>
        </w:rPr>
        <w:t>P</w:t>
      </w:r>
      <w:r w:rsidR="00607118" w:rsidRPr="0071782F">
        <w:rPr>
          <w:lang w:val="fr-CH"/>
        </w:rPr>
        <w:t>résident de la Commission des affaires liées au travail et des affaires sociales de l’Assemblée consultative islamique (Parlement)</w:t>
      </w:r>
      <w:r w:rsidR="00864EA3" w:rsidRPr="0071782F">
        <w:rPr>
          <w:lang w:val="fr-CH"/>
        </w:rPr>
        <w:t>,</w:t>
      </w:r>
      <w:r w:rsidR="00607118" w:rsidRPr="0071782F">
        <w:rPr>
          <w:lang w:val="fr-CH"/>
        </w:rPr>
        <w:t xml:space="preserve"> en qualité d’observateur sans droit de vote</w:t>
      </w:r>
      <w:r w:rsidRPr="0071782F">
        <w:rPr>
          <w:lang w:val="fr-CH"/>
        </w:rPr>
        <w:t>.</w:t>
      </w:r>
    </w:p>
    <w:p w:rsidR="00DD2B20" w:rsidRPr="0071782F" w:rsidRDefault="00DD2B20" w:rsidP="004A0DCE">
      <w:pPr>
        <w:pStyle w:val="H1G"/>
        <w:rPr>
          <w:lang w:val="fr-CH"/>
        </w:rPr>
      </w:pPr>
      <w:r w:rsidRPr="0071782F">
        <w:rPr>
          <w:lang w:val="fr-CH"/>
        </w:rPr>
        <w:tab/>
      </w:r>
      <w:r w:rsidRPr="0071782F">
        <w:rPr>
          <w:lang w:val="fr-CH"/>
        </w:rPr>
        <w:tab/>
        <w:t>Co</w:t>
      </w:r>
      <w:r w:rsidR="00607118" w:rsidRPr="0071782F">
        <w:rPr>
          <w:lang w:val="fr-CH"/>
        </w:rPr>
        <w:t>nseils de règlement des différends et de médiation prévus au chapitre</w:t>
      </w:r>
      <w:r w:rsidR="004A0DCE" w:rsidRPr="0071782F">
        <w:rPr>
          <w:lang w:val="fr-CH"/>
        </w:rPr>
        <w:t> </w:t>
      </w:r>
      <w:r w:rsidR="00607118" w:rsidRPr="0071782F">
        <w:rPr>
          <w:lang w:val="fr-CH"/>
        </w:rPr>
        <w:t xml:space="preserve">9 du Code du travail </w:t>
      </w:r>
    </w:p>
    <w:p w:rsidR="00DD2B20" w:rsidRPr="0071782F" w:rsidRDefault="00DD2B20" w:rsidP="00DD2B20">
      <w:pPr>
        <w:pStyle w:val="SingleTxtG"/>
        <w:rPr>
          <w:lang w:val="fr-CH"/>
        </w:rPr>
      </w:pPr>
      <w:r w:rsidRPr="0071782F">
        <w:rPr>
          <w:lang w:val="fr-CH"/>
        </w:rPr>
        <w:t>104.</w:t>
      </w:r>
      <w:r w:rsidRPr="0071782F">
        <w:rPr>
          <w:lang w:val="fr-CH"/>
        </w:rPr>
        <w:tab/>
      </w:r>
      <w:r w:rsidR="00B44915" w:rsidRPr="0071782F">
        <w:rPr>
          <w:lang w:val="fr-CH"/>
        </w:rPr>
        <w:t xml:space="preserve">Conformément aux dispositions de </w:t>
      </w:r>
      <w:r w:rsidR="00723F2B" w:rsidRPr="0071782F">
        <w:rPr>
          <w:lang w:val="fr-CH"/>
        </w:rPr>
        <w:t>l’</w:t>
      </w:r>
      <w:r w:rsidR="00943A69" w:rsidRPr="0071782F">
        <w:rPr>
          <w:lang w:val="fr-CH"/>
        </w:rPr>
        <w:t>article </w:t>
      </w:r>
      <w:r w:rsidRPr="0071782F">
        <w:rPr>
          <w:lang w:val="fr-CH"/>
        </w:rPr>
        <w:t xml:space="preserve">157 </w:t>
      </w:r>
      <w:r w:rsidR="00B44915" w:rsidRPr="0071782F">
        <w:rPr>
          <w:lang w:val="fr-CH"/>
        </w:rPr>
        <w:t xml:space="preserve">du Code du travail, les conflits entre travailleurs et employeurs résultant de divergences de vues sur les dispositions du Code du travail et d’autres normes du travail, ainsi que de contrats, conventions collectives ou accords de groupe sont réglés directement entre les travailleurs et les employeurs ou leurs représentants dans les associations professionnelles ou, s’ils ne parviennent pas à conclure un accord, par le biais des organes de règlement des différends. </w:t>
      </w:r>
    </w:p>
    <w:p w:rsidR="00DD2B20" w:rsidRPr="0071782F" w:rsidRDefault="00DD2B20" w:rsidP="00DD2B20">
      <w:pPr>
        <w:pStyle w:val="SingleTxtG"/>
        <w:ind w:left="1701" w:hanging="567"/>
        <w:rPr>
          <w:lang w:val="fr-CH"/>
        </w:rPr>
      </w:pPr>
      <w:r w:rsidRPr="0071782F">
        <w:rPr>
          <w:lang w:val="fr-CH"/>
        </w:rPr>
        <w:tab/>
        <w:t>104.1.</w:t>
      </w:r>
      <w:r w:rsidRPr="0071782F">
        <w:rPr>
          <w:lang w:val="fr-CH"/>
        </w:rPr>
        <w:tab/>
      </w:r>
      <w:r w:rsidR="00B44915" w:rsidRPr="0071782F">
        <w:rPr>
          <w:lang w:val="fr-CH"/>
        </w:rPr>
        <w:t xml:space="preserve">À cet égard, </w:t>
      </w:r>
      <w:r w:rsidR="002521A0" w:rsidRPr="0071782F">
        <w:rPr>
          <w:lang w:val="fr-CH"/>
        </w:rPr>
        <w:t xml:space="preserve">et afin de faciliter l’application des dispositions du présent </w:t>
      </w:r>
      <w:r w:rsidRPr="0071782F">
        <w:rPr>
          <w:lang w:val="fr-CH"/>
        </w:rPr>
        <w:t xml:space="preserve">article, </w:t>
      </w:r>
      <w:r w:rsidR="002521A0" w:rsidRPr="0071782F">
        <w:rPr>
          <w:lang w:val="fr-CH"/>
        </w:rPr>
        <w:t>la Direction compétente du Ministère du travail et des affaires sociales a créé un grand nombre de conseils de règlement des différends, auxquels siègent des représentants des travailleurs et des employeurs et, en cas de besoin, du gouvernement. Ces conseils jouent un rôle important en ma</w:t>
      </w:r>
      <w:r w:rsidR="00864EA3" w:rsidRPr="0071782F">
        <w:rPr>
          <w:lang w:val="fr-CH"/>
        </w:rPr>
        <w:t>tière de règlement des différend</w:t>
      </w:r>
      <w:r w:rsidR="002521A0" w:rsidRPr="0071782F">
        <w:rPr>
          <w:lang w:val="fr-CH"/>
        </w:rPr>
        <w:t>s opposant les travailleurs et les employeurs.</w:t>
      </w:r>
    </w:p>
    <w:p w:rsidR="00DD2B20" w:rsidRPr="0071782F" w:rsidRDefault="00DD2B20" w:rsidP="00DD2B20">
      <w:pPr>
        <w:pStyle w:val="SingleTxtG"/>
        <w:ind w:left="1701" w:hanging="567"/>
        <w:rPr>
          <w:lang w:val="fr-CH"/>
        </w:rPr>
      </w:pPr>
      <w:r w:rsidRPr="0071782F">
        <w:rPr>
          <w:lang w:val="fr-CH"/>
        </w:rPr>
        <w:tab/>
        <w:t>104.2.</w:t>
      </w:r>
      <w:r w:rsidRPr="0071782F">
        <w:rPr>
          <w:lang w:val="fr-CH"/>
        </w:rPr>
        <w:tab/>
      </w:r>
      <w:r w:rsidR="002521A0" w:rsidRPr="0071782F">
        <w:rPr>
          <w:lang w:val="fr-CH"/>
        </w:rPr>
        <w:t xml:space="preserve">La </w:t>
      </w:r>
      <w:r w:rsidRPr="0071782F">
        <w:rPr>
          <w:lang w:val="fr-CH"/>
        </w:rPr>
        <w:t xml:space="preserve">composition </w:t>
      </w:r>
      <w:r w:rsidR="002521A0" w:rsidRPr="0071782F">
        <w:rPr>
          <w:lang w:val="fr-CH"/>
        </w:rPr>
        <w:t xml:space="preserve">des conseils de règlement des différends prévus par le chapitre 9 du Code du travail est tripartite. </w:t>
      </w:r>
    </w:p>
    <w:p w:rsidR="00DD2B20" w:rsidRPr="0071782F" w:rsidRDefault="00DD2B20" w:rsidP="00DD2B20">
      <w:pPr>
        <w:pStyle w:val="SingleTxtG"/>
        <w:rPr>
          <w:lang w:val="fr-CH"/>
        </w:rPr>
      </w:pPr>
      <w:r w:rsidRPr="0071782F">
        <w:rPr>
          <w:lang w:val="fr-CH"/>
        </w:rPr>
        <w:t>105.</w:t>
      </w:r>
      <w:r w:rsidRPr="0071782F">
        <w:rPr>
          <w:lang w:val="fr-CH"/>
        </w:rPr>
        <w:tab/>
      </w:r>
      <w:r w:rsidR="002521A0" w:rsidRPr="0071782F">
        <w:rPr>
          <w:lang w:val="fr-CH"/>
        </w:rPr>
        <w:t xml:space="preserve">En vertu des dispositions de </w:t>
      </w:r>
      <w:r w:rsidR="00723F2B" w:rsidRPr="0071782F">
        <w:rPr>
          <w:lang w:val="fr-CH"/>
        </w:rPr>
        <w:t>l’</w:t>
      </w:r>
      <w:r w:rsidR="00943A69" w:rsidRPr="0071782F">
        <w:rPr>
          <w:lang w:val="fr-CH"/>
        </w:rPr>
        <w:t>article </w:t>
      </w:r>
      <w:r w:rsidRPr="0071782F">
        <w:rPr>
          <w:lang w:val="fr-CH"/>
        </w:rPr>
        <w:t xml:space="preserve">158 </w:t>
      </w:r>
      <w:r w:rsidR="002521A0" w:rsidRPr="0071782F">
        <w:rPr>
          <w:lang w:val="fr-CH"/>
        </w:rPr>
        <w:t>du Code du travail</w:t>
      </w:r>
      <w:r w:rsidRPr="0071782F">
        <w:rPr>
          <w:lang w:val="fr-CH"/>
        </w:rPr>
        <w:t xml:space="preserve">, </w:t>
      </w:r>
      <w:r w:rsidR="002521A0" w:rsidRPr="0071782F">
        <w:rPr>
          <w:lang w:val="fr-CH"/>
        </w:rPr>
        <w:t>la Commission d’enquête est composée des membres suivants</w:t>
      </w:r>
      <w:r w:rsidR="008F7D33" w:rsidRPr="0071782F">
        <w:rPr>
          <w:lang w:val="fr-CH"/>
        </w:rPr>
        <w:t>:</w:t>
      </w:r>
    </w:p>
    <w:p w:rsidR="00DD2B20" w:rsidRPr="0071782F" w:rsidRDefault="00DD2B20" w:rsidP="00DD2B20">
      <w:pPr>
        <w:pStyle w:val="SingleTxtG"/>
        <w:ind w:left="1701" w:hanging="567"/>
        <w:rPr>
          <w:lang w:val="fr-CH"/>
        </w:rPr>
      </w:pPr>
      <w:r w:rsidRPr="0071782F">
        <w:rPr>
          <w:lang w:val="fr-CH"/>
        </w:rPr>
        <w:tab/>
        <w:t>105.1.</w:t>
      </w:r>
      <w:r w:rsidRPr="0071782F">
        <w:rPr>
          <w:lang w:val="fr-CH"/>
        </w:rPr>
        <w:tab/>
      </w:r>
      <w:r w:rsidR="002521A0" w:rsidRPr="0071782F">
        <w:rPr>
          <w:lang w:val="fr-CH"/>
        </w:rPr>
        <w:t xml:space="preserve">Un </w:t>
      </w:r>
      <w:r w:rsidRPr="0071782F">
        <w:rPr>
          <w:lang w:val="fr-CH"/>
        </w:rPr>
        <w:t>repr</w:t>
      </w:r>
      <w:r w:rsidR="002521A0" w:rsidRPr="0071782F">
        <w:rPr>
          <w:lang w:val="fr-CH"/>
        </w:rPr>
        <w:t>é</w:t>
      </w:r>
      <w:r w:rsidRPr="0071782F">
        <w:rPr>
          <w:lang w:val="fr-CH"/>
        </w:rPr>
        <w:t>senta</w:t>
      </w:r>
      <w:r w:rsidR="002521A0" w:rsidRPr="0071782F">
        <w:rPr>
          <w:lang w:val="fr-CH"/>
        </w:rPr>
        <w:t>n</w:t>
      </w:r>
      <w:r w:rsidRPr="0071782F">
        <w:rPr>
          <w:lang w:val="fr-CH"/>
        </w:rPr>
        <w:t>t</w:t>
      </w:r>
      <w:r w:rsidR="002521A0" w:rsidRPr="0071782F">
        <w:rPr>
          <w:lang w:val="fr-CH"/>
        </w:rPr>
        <w:t xml:space="preserve"> du </w:t>
      </w:r>
      <w:r w:rsidRPr="0071782F">
        <w:rPr>
          <w:lang w:val="fr-CH"/>
        </w:rPr>
        <w:t>Minist</w:t>
      </w:r>
      <w:r w:rsidR="002521A0" w:rsidRPr="0071782F">
        <w:rPr>
          <w:lang w:val="fr-CH"/>
        </w:rPr>
        <w:t>ère du travail et des affaires sociales</w:t>
      </w:r>
      <w:r w:rsidR="00052803" w:rsidRPr="0071782F">
        <w:rPr>
          <w:lang w:val="fr-CH"/>
        </w:rPr>
        <w:t>.</w:t>
      </w:r>
    </w:p>
    <w:p w:rsidR="00DD2B20" w:rsidRPr="0071782F" w:rsidRDefault="00DD2B20" w:rsidP="00DD2B20">
      <w:pPr>
        <w:pStyle w:val="SingleTxtG"/>
        <w:ind w:left="1701" w:hanging="567"/>
        <w:rPr>
          <w:lang w:val="fr-CH"/>
        </w:rPr>
      </w:pPr>
      <w:r w:rsidRPr="0071782F">
        <w:rPr>
          <w:lang w:val="fr-CH"/>
        </w:rPr>
        <w:tab/>
      </w:r>
      <w:r w:rsidR="002521A0" w:rsidRPr="0071782F">
        <w:rPr>
          <w:lang w:val="fr-CH"/>
        </w:rPr>
        <w:t xml:space="preserve">Un </w:t>
      </w:r>
      <w:r w:rsidRPr="0071782F">
        <w:rPr>
          <w:lang w:val="fr-CH"/>
        </w:rPr>
        <w:t>repr</w:t>
      </w:r>
      <w:r w:rsidR="002521A0" w:rsidRPr="0071782F">
        <w:rPr>
          <w:lang w:val="fr-CH"/>
        </w:rPr>
        <w:t>é</w:t>
      </w:r>
      <w:r w:rsidRPr="0071782F">
        <w:rPr>
          <w:lang w:val="fr-CH"/>
        </w:rPr>
        <w:t>senta</w:t>
      </w:r>
      <w:r w:rsidR="002521A0" w:rsidRPr="0071782F">
        <w:rPr>
          <w:lang w:val="fr-CH"/>
        </w:rPr>
        <w:t>n</w:t>
      </w:r>
      <w:r w:rsidRPr="0071782F">
        <w:rPr>
          <w:lang w:val="fr-CH"/>
        </w:rPr>
        <w:t>t</w:t>
      </w:r>
      <w:r w:rsidR="002521A0" w:rsidRPr="0071782F">
        <w:rPr>
          <w:lang w:val="fr-CH"/>
        </w:rPr>
        <w:t xml:space="preserve"> des travailleurs choisi par le Centre de </w:t>
      </w:r>
      <w:r w:rsidRPr="0071782F">
        <w:rPr>
          <w:lang w:val="fr-CH"/>
        </w:rPr>
        <w:t xml:space="preserve">coordination </w:t>
      </w:r>
      <w:r w:rsidR="002521A0" w:rsidRPr="0071782F">
        <w:rPr>
          <w:lang w:val="fr-CH"/>
        </w:rPr>
        <w:t>des conseils provinciaux du travail islamiques</w:t>
      </w:r>
      <w:r w:rsidR="00052803" w:rsidRPr="0071782F">
        <w:rPr>
          <w:lang w:val="fr-CH"/>
        </w:rPr>
        <w:t>.</w:t>
      </w:r>
    </w:p>
    <w:p w:rsidR="00DD2B20" w:rsidRPr="0071782F" w:rsidRDefault="00DD2B20" w:rsidP="00DD2B20">
      <w:pPr>
        <w:pStyle w:val="SingleTxtG"/>
        <w:ind w:left="1701" w:hanging="567"/>
        <w:rPr>
          <w:lang w:val="fr-CH"/>
        </w:rPr>
      </w:pPr>
      <w:r w:rsidRPr="0071782F">
        <w:rPr>
          <w:lang w:val="fr-CH"/>
        </w:rPr>
        <w:tab/>
        <w:t>105.2.</w:t>
      </w:r>
      <w:r w:rsidRPr="0071782F">
        <w:rPr>
          <w:lang w:val="fr-CH"/>
        </w:rPr>
        <w:tab/>
      </w:r>
      <w:r w:rsidR="002521A0" w:rsidRPr="0071782F">
        <w:rPr>
          <w:lang w:val="fr-CH"/>
        </w:rPr>
        <w:t xml:space="preserve">Un </w:t>
      </w:r>
      <w:r w:rsidRPr="0071782F">
        <w:rPr>
          <w:lang w:val="fr-CH"/>
        </w:rPr>
        <w:t>repr</w:t>
      </w:r>
      <w:r w:rsidR="002521A0" w:rsidRPr="0071782F">
        <w:rPr>
          <w:lang w:val="fr-CH"/>
        </w:rPr>
        <w:t>é</w:t>
      </w:r>
      <w:r w:rsidRPr="0071782F">
        <w:rPr>
          <w:lang w:val="fr-CH"/>
        </w:rPr>
        <w:t>senta</w:t>
      </w:r>
      <w:r w:rsidR="002521A0" w:rsidRPr="0071782F">
        <w:rPr>
          <w:lang w:val="fr-CH"/>
        </w:rPr>
        <w:t>n</w:t>
      </w:r>
      <w:r w:rsidRPr="0071782F">
        <w:rPr>
          <w:lang w:val="fr-CH"/>
        </w:rPr>
        <w:t>t</w:t>
      </w:r>
      <w:r w:rsidR="002521A0" w:rsidRPr="0071782F">
        <w:rPr>
          <w:lang w:val="fr-CH"/>
        </w:rPr>
        <w:t xml:space="preserve"> des di</w:t>
      </w:r>
      <w:r w:rsidR="0018666B" w:rsidRPr="0071782F">
        <w:rPr>
          <w:lang w:val="fr-CH"/>
        </w:rPr>
        <w:t>rigeants d’entreprise</w:t>
      </w:r>
      <w:r w:rsidR="002521A0" w:rsidRPr="0071782F">
        <w:rPr>
          <w:lang w:val="fr-CH"/>
        </w:rPr>
        <w:t xml:space="preserve"> choisi par le Centre des associations professionnelles d’employeurs provinciales</w:t>
      </w:r>
      <w:r w:rsidRPr="0071782F">
        <w:rPr>
          <w:lang w:val="fr-CH"/>
        </w:rPr>
        <w:t>.</w:t>
      </w:r>
    </w:p>
    <w:p w:rsidR="00DD2B20" w:rsidRPr="0071782F" w:rsidRDefault="00DD2B20" w:rsidP="00DD2B20">
      <w:pPr>
        <w:pStyle w:val="SingleTxtG"/>
        <w:rPr>
          <w:lang w:val="fr-CH"/>
        </w:rPr>
      </w:pPr>
      <w:r w:rsidRPr="0071782F">
        <w:rPr>
          <w:lang w:val="fr-CH"/>
        </w:rPr>
        <w:t>106.</w:t>
      </w:r>
      <w:r w:rsidRPr="0071782F">
        <w:rPr>
          <w:lang w:val="fr-CH"/>
        </w:rPr>
        <w:tab/>
      </w:r>
      <w:r w:rsidR="002521A0" w:rsidRPr="0071782F">
        <w:rPr>
          <w:lang w:val="fr-CH"/>
        </w:rPr>
        <w:t xml:space="preserve">Par ailleurs, conformément aux dispositions de </w:t>
      </w:r>
      <w:r w:rsidR="00723F2B" w:rsidRPr="0071782F">
        <w:rPr>
          <w:lang w:val="fr-CH"/>
        </w:rPr>
        <w:t>l’</w:t>
      </w:r>
      <w:r w:rsidR="00943A69" w:rsidRPr="0071782F">
        <w:rPr>
          <w:lang w:val="fr-CH"/>
        </w:rPr>
        <w:t>article </w:t>
      </w:r>
      <w:r w:rsidRPr="0071782F">
        <w:rPr>
          <w:lang w:val="fr-CH"/>
        </w:rPr>
        <w:t xml:space="preserve">160 </w:t>
      </w:r>
      <w:r w:rsidR="002521A0" w:rsidRPr="0071782F">
        <w:rPr>
          <w:lang w:val="fr-CH"/>
        </w:rPr>
        <w:t xml:space="preserve">du Code du travail, la </w:t>
      </w:r>
      <w:r w:rsidRPr="0071782F">
        <w:rPr>
          <w:lang w:val="fr-CH"/>
        </w:rPr>
        <w:t xml:space="preserve">composition </w:t>
      </w:r>
      <w:r w:rsidR="002521A0" w:rsidRPr="0071782F">
        <w:rPr>
          <w:lang w:val="fr-CH"/>
        </w:rPr>
        <w:t>des conseils de règlement des différends est la suivante</w:t>
      </w:r>
      <w:r w:rsidR="008F7D33" w:rsidRPr="0071782F">
        <w:rPr>
          <w:lang w:val="fr-CH"/>
        </w:rPr>
        <w:t>:</w:t>
      </w:r>
    </w:p>
    <w:p w:rsidR="00DD2B20" w:rsidRPr="0071782F" w:rsidRDefault="00DD2B20" w:rsidP="00DD2B20">
      <w:pPr>
        <w:pStyle w:val="SingleTxtG"/>
        <w:ind w:left="1701" w:hanging="567"/>
        <w:rPr>
          <w:lang w:val="fr-CH"/>
        </w:rPr>
      </w:pPr>
      <w:r w:rsidRPr="0071782F">
        <w:rPr>
          <w:lang w:val="fr-CH"/>
        </w:rPr>
        <w:tab/>
        <w:t>106.1.</w:t>
      </w:r>
      <w:r w:rsidRPr="0071782F">
        <w:rPr>
          <w:lang w:val="fr-CH"/>
        </w:rPr>
        <w:tab/>
        <w:t>T</w:t>
      </w:r>
      <w:r w:rsidR="002521A0" w:rsidRPr="0071782F">
        <w:rPr>
          <w:lang w:val="fr-CH"/>
        </w:rPr>
        <w:t xml:space="preserve">rois </w:t>
      </w:r>
      <w:r w:rsidRPr="0071782F">
        <w:rPr>
          <w:lang w:val="fr-CH"/>
        </w:rPr>
        <w:t>repr</w:t>
      </w:r>
      <w:r w:rsidR="002521A0" w:rsidRPr="0071782F">
        <w:rPr>
          <w:lang w:val="fr-CH"/>
        </w:rPr>
        <w:t>é</w:t>
      </w:r>
      <w:r w:rsidRPr="0071782F">
        <w:rPr>
          <w:lang w:val="fr-CH"/>
        </w:rPr>
        <w:t>senta</w:t>
      </w:r>
      <w:r w:rsidR="002521A0" w:rsidRPr="0071782F">
        <w:rPr>
          <w:lang w:val="fr-CH"/>
        </w:rPr>
        <w:t>n</w:t>
      </w:r>
      <w:r w:rsidRPr="0071782F">
        <w:rPr>
          <w:lang w:val="fr-CH"/>
        </w:rPr>
        <w:t>t</w:t>
      </w:r>
      <w:r w:rsidR="002521A0" w:rsidRPr="0071782F">
        <w:rPr>
          <w:lang w:val="fr-CH"/>
        </w:rPr>
        <w:t>s des travailleurs choisis par le Centre de coordination des conseils provinciaux du travail islamiques, le Centre des associations professionnelles de travailleurs ou l’Assemblée des représentants des travailleurs.</w:t>
      </w:r>
    </w:p>
    <w:p w:rsidR="00DD2B20" w:rsidRPr="0071782F" w:rsidRDefault="00DD2B20" w:rsidP="00DD2B20">
      <w:pPr>
        <w:pStyle w:val="SingleTxtG"/>
        <w:ind w:left="1701" w:hanging="567"/>
        <w:rPr>
          <w:lang w:val="fr-CH"/>
        </w:rPr>
      </w:pPr>
      <w:r w:rsidRPr="0071782F">
        <w:rPr>
          <w:lang w:val="fr-CH"/>
        </w:rPr>
        <w:tab/>
        <w:t>106.2.</w:t>
      </w:r>
      <w:r w:rsidRPr="0071782F">
        <w:rPr>
          <w:lang w:val="fr-CH"/>
        </w:rPr>
        <w:tab/>
      </w:r>
      <w:r w:rsidR="002521A0" w:rsidRPr="0071782F">
        <w:rPr>
          <w:lang w:val="fr-CH"/>
        </w:rPr>
        <w:t xml:space="preserve">Trois représentants des employeurs choisis par les dirigeants </w:t>
      </w:r>
      <w:r w:rsidR="00A83442">
        <w:rPr>
          <w:lang w:val="fr-CH"/>
        </w:rPr>
        <w:t>des unités</w:t>
      </w:r>
      <w:r w:rsidR="002521A0" w:rsidRPr="0071782F">
        <w:rPr>
          <w:lang w:val="fr-CH"/>
        </w:rPr>
        <w:t xml:space="preserve"> ayant des activités dans la région</w:t>
      </w:r>
      <w:r w:rsidR="00240B9F" w:rsidRPr="0071782F">
        <w:rPr>
          <w:lang w:val="fr-CH"/>
        </w:rPr>
        <w:t>.</w:t>
      </w:r>
    </w:p>
    <w:p w:rsidR="00DD2B20" w:rsidRPr="0071782F" w:rsidRDefault="00DD2B20" w:rsidP="00DD2B20">
      <w:pPr>
        <w:pStyle w:val="SingleTxtG"/>
        <w:ind w:left="1701" w:hanging="567"/>
        <w:rPr>
          <w:lang w:val="fr-CH"/>
        </w:rPr>
      </w:pPr>
      <w:r w:rsidRPr="0071782F">
        <w:rPr>
          <w:lang w:val="fr-CH"/>
        </w:rPr>
        <w:tab/>
        <w:t>106.3.</w:t>
      </w:r>
      <w:r w:rsidRPr="0071782F">
        <w:rPr>
          <w:lang w:val="fr-CH"/>
        </w:rPr>
        <w:tab/>
      </w:r>
      <w:r w:rsidR="002521A0" w:rsidRPr="0071782F">
        <w:rPr>
          <w:lang w:val="fr-CH"/>
        </w:rPr>
        <w:t xml:space="preserve">Trois représentants du gouvernement </w:t>
      </w:r>
      <w:r w:rsidRPr="0071782F">
        <w:rPr>
          <w:lang w:val="fr-CH"/>
        </w:rPr>
        <w:t>(</w:t>
      </w:r>
      <w:r w:rsidR="0018666B" w:rsidRPr="0071782F">
        <w:rPr>
          <w:lang w:val="fr-CH"/>
        </w:rPr>
        <w:t xml:space="preserve">le </w:t>
      </w:r>
      <w:r w:rsidR="002521A0" w:rsidRPr="0071782F">
        <w:rPr>
          <w:lang w:val="fr-CH"/>
        </w:rPr>
        <w:t>Directeur général du Dé</w:t>
      </w:r>
      <w:r w:rsidRPr="0071782F">
        <w:rPr>
          <w:lang w:val="fr-CH"/>
        </w:rPr>
        <w:t>part</w:t>
      </w:r>
      <w:r w:rsidR="002521A0" w:rsidRPr="0071782F">
        <w:rPr>
          <w:lang w:val="fr-CH"/>
        </w:rPr>
        <w:t>e</w:t>
      </w:r>
      <w:r w:rsidRPr="0071782F">
        <w:rPr>
          <w:lang w:val="fr-CH"/>
        </w:rPr>
        <w:t xml:space="preserve">ment </w:t>
      </w:r>
      <w:r w:rsidR="002521A0" w:rsidRPr="0071782F">
        <w:rPr>
          <w:lang w:val="fr-CH"/>
        </w:rPr>
        <w:t>du travail et des affaires sociales</w:t>
      </w:r>
      <w:r w:rsidRPr="0071782F">
        <w:rPr>
          <w:lang w:val="fr-CH"/>
        </w:rPr>
        <w:t xml:space="preserve">, </w:t>
      </w:r>
      <w:r w:rsidR="002521A0" w:rsidRPr="0071782F">
        <w:rPr>
          <w:lang w:val="fr-CH"/>
        </w:rPr>
        <w:t xml:space="preserve">le gouverneur </w:t>
      </w:r>
      <w:r w:rsidRPr="0071782F">
        <w:rPr>
          <w:lang w:val="fr-CH"/>
        </w:rPr>
        <w:t xml:space="preserve">local </w:t>
      </w:r>
      <w:r w:rsidR="002521A0" w:rsidRPr="0071782F">
        <w:rPr>
          <w:lang w:val="fr-CH"/>
        </w:rPr>
        <w:t>et le chef du Département judiciaire local</w:t>
      </w:r>
      <w:r w:rsidR="0018666B" w:rsidRPr="0071782F">
        <w:rPr>
          <w:lang w:val="fr-CH"/>
        </w:rPr>
        <w:t>,</w:t>
      </w:r>
      <w:r w:rsidR="002521A0" w:rsidRPr="0071782F">
        <w:rPr>
          <w:lang w:val="fr-CH"/>
        </w:rPr>
        <w:t xml:space="preserve"> ou leurs représentants</w:t>
      </w:r>
      <w:r w:rsidRPr="0071782F">
        <w:rPr>
          <w:lang w:val="fr-CH"/>
        </w:rPr>
        <w:t>).</w:t>
      </w:r>
    </w:p>
    <w:p w:rsidR="00DD2B20" w:rsidRPr="0071782F" w:rsidRDefault="00DD2B20" w:rsidP="00DD2B20">
      <w:pPr>
        <w:pStyle w:val="SingleTxtG"/>
        <w:rPr>
          <w:lang w:val="fr-CH"/>
        </w:rPr>
      </w:pPr>
      <w:r w:rsidRPr="0071782F">
        <w:rPr>
          <w:lang w:val="fr-CH"/>
        </w:rPr>
        <w:t>107.</w:t>
      </w:r>
      <w:r w:rsidRPr="0071782F">
        <w:rPr>
          <w:lang w:val="fr-CH"/>
        </w:rPr>
        <w:tab/>
      </w:r>
      <w:r w:rsidR="00C76D37" w:rsidRPr="0071782F">
        <w:rPr>
          <w:lang w:val="fr-CH"/>
        </w:rPr>
        <w:t>Comme on le voit, la structure des organes de règlement des différends entre employeurs et travailleurs repose sur une représentation équilibrée et paritaire des travailleurs, des employeurs et du gouvernement, qui offre aux partenaires sociaux plus d’avantages que le mécanisme tripartite prévu par l’OIT.</w:t>
      </w:r>
    </w:p>
    <w:p w:rsidR="00DD2B20" w:rsidRPr="0071782F" w:rsidRDefault="00DD2B20" w:rsidP="00DD2B20">
      <w:pPr>
        <w:pStyle w:val="SingleTxtG"/>
        <w:rPr>
          <w:lang w:val="fr-CH"/>
        </w:rPr>
      </w:pPr>
      <w:r w:rsidRPr="0071782F">
        <w:rPr>
          <w:lang w:val="fr-CH"/>
        </w:rPr>
        <w:t>108.</w:t>
      </w:r>
      <w:r w:rsidRPr="0071782F">
        <w:rPr>
          <w:lang w:val="fr-CH"/>
        </w:rPr>
        <w:tab/>
      </w:r>
      <w:r w:rsidR="00C76D37" w:rsidRPr="0071782F">
        <w:rPr>
          <w:lang w:val="fr-CH"/>
        </w:rPr>
        <w:t xml:space="preserve">De surcroît, en application de la </w:t>
      </w:r>
      <w:r w:rsidRPr="0071782F">
        <w:rPr>
          <w:lang w:val="fr-CH"/>
        </w:rPr>
        <w:t>d</w:t>
      </w:r>
      <w:r w:rsidR="00C76D37" w:rsidRPr="0071782F">
        <w:rPr>
          <w:lang w:val="fr-CH"/>
        </w:rPr>
        <w:t>é</w:t>
      </w:r>
      <w:r w:rsidRPr="0071782F">
        <w:rPr>
          <w:lang w:val="fr-CH"/>
        </w:rPr>
        <w:t xml:space="preserve">cision </w:t>
      </w:r>
      <w:r w:rsidR="00C76D37" w:rsidRPr="0071782F">
        <w:rPr>
          <w:lang w:val="fr-CH"/>
        </w:rPr>
        <w:t xml:space="preserve">du Haut Conseil pour l’emploi et afin de promouvoir une culture du travail, le Ministère du travail et des affaires sociales est tenu, agissant en </w:t>
      </w:r>
      <w:r w:rsidRPr="0071782F">
        <w:rPr>
          <w:lang w:val="fr-CH"/>
        </w:rPr>
        <w:t>coop</w:t>
      </w:r>
      <w:r w:rsidR="00C76D37" w:rsidRPr="0071782F">
        <w:rPr>
          <w:lang w:val="fr-CH"/>
        </w:rPr>
        <w:t>é</w:t>
      </w:r>
      <w:r w:rsidRPr="0071782F">
        <w:rPr>
          <w:lang w:val="fr-CH"/>
        </w:rPr>
        <w:t xml:space="preserve">ration </w:t>
      </w:r>
      <w:r w:rsidR="00C76D37" w:rsidRPr="0071782F">
        <w:rPr>
          <w:lang w:val="fr-CH"/>
        </w:rPr>
        <w:t>avec les organes exécutifs correspondants et les ONG, d’élaborer les programmes opérationnels nécessaires à la promotion d’une culture du travail depuis l’école maternelle jusqu’à l’université, avec le concours des médias</w:t>
      </w:r>
      <w:r w:rsidRPr="0071782F">
        <w:rPr>
          <w:lang w:val="fr-CH"/>
        </w:rPr>
        <w:t xml:space="preserve">. </w:t>
      </w:r>
      <w:r w:rsidR="00C76D37" w:rsidRPr="0071782F">
        <w:rPr>
          <w:lang w:val="fr-CH"/>
        </w:rPr>
        <w:t xml:space="preserve">Les fonds devant financer ces programmes seront inscrits aux budgets des organes </w:t>
      </w:r>
      <w:r w:rsidR="0018666B" w:rsidRPr="0071782F">
        <w:rPr>
          <w:lang w:val="fr-CH"/>
        </w:rPr>
        <w:t>d’</w:t>
      </w:r>
      <w:r w:rsidR="00C76D37" w:rsidRPr="0071782F">
        <w:rPr>
          <w:lang w:val="fr-CH"/>
        </w:rPr>
        <w:t>exécuti</w:t>
      </w:r>
      <w:r w:rsidR="0018666B" w:rsidRPr="0071782F">
        <w:rPr>
          <w:lang w:val="fr-CH"/>
        </w:rPr>
        <w:t>on</w:t>
      </w:r>
      <w:r w:rsidR="00C76D37" w:rsidRPr="0071782F">
        <w:rPr>
          <w:lang w:val="fr-CH"/>
        </w:rPr>
        <w:t xml:space="preserve"> compétents ainsi qu’au poste </w:t>
      </w:r>
      <w:r w:rsidRPr="0071782F">
        <w:rPr>
          <w:lang w:val="fr-CH"/>
        </w:rPr>
        <w:t>520000-6.</w:t>
      </w:r>
    </w:p>
    <w:p w:rsidR="00DD2B20" w:rsidRPr="0071782F" w:rsidRDefault="00DD2B20" w:rsidP="00DD2B20">
      <w:pPr>
        <w:pStyle w:val="HChG"/>
        <w:rPr>
          <w:lang w:val="fr-CH"/>
        </w:rPr>
      </w:pPr>
      <w:r w:rsidRPr="0071782F">
        <w:rPr>
          <w:lang w:val="fr-CH"/>
        </w:rPr>
        <w:tab/>
      </w:r>
      <w:r w:rsidRPr="0071782F">
        <w:rPr>
          <w:lang w:val="fr-CH"/>
        </w:rPr>
        <w:tab/>
      </w:r>
      <w:r w:rsidR="00943A69" w:rsidRPr="0071782F">
        <w:rPr>
          <w:lang w:val="fr-CH"/>
        </w:rPr>
        <w:t>Article </w:t>
      </w:r>
      <w:r w:rsidRPr="0071782F">
        <w:rPr>
          <w:lang w:val="fr-CH"/>
        </w:rPr>
        <w:t>9</w:t>
      </w:r>
      <w:r w:rsidR="003643A1">
        <w:rPr>
          <w:lang w:val="fr-CH"/>
        </w:rPr>
        <w:br/>
      </w:r>
      <w:r w:rsidR="00C93F5D" w:rsidRPr="0071782F">
        <w:rPr>
          <w:lang w:val="fr-CH"/>
        </w:rPr>
        <w:t xml:space="preserve">Sécurité </w:t>
      </w:r>
      <w:r w:rsidR="00C76D37" w:rsidRPr="0071782F">
        <w:rPr>
          <w:lang w:val="fr-CH"/>
        </w:rPr>
        <w:t>s</w:t>
      </w:r>
      <w:r w:rsidRPr="0071782F">
        <w:rPr>
          <w:lang w:val="fr-CH"/>
        </w:rPr>
        <w:t>ocial</w:t>
      </w:r>
      <w:r w:rsidR="00C76D37" w:rsidRPr="0071782F">
        <w:rPr>
          <w:lang w:val="fr-CH"/>
        </w:rPr>
        <w:t>e</w:t>
      </w:r>
      <w:r w:rsidRPr="0071782F">
        <w:rPr>
          <w:lang w:val="fr-CH"/>
        </w:rPr>
        <w:t xml:space="preserve"> </w:t>
      </w:r>
    </w:p>
    <w:p w:rsidR="00DD2B20" w:rsidRPr="0071782F" w:rsidRDefault="00DD2B20" w:rsidP="00DD2B20">
      <w:pPr>
        <w:pStyle w:val="H1G"/>
        <w:rPr>
          <w:lang w:val="fr-CH"/>
        </w:rPr>
      </w:pPr>
      <w:r w:rsidRPr="0071782F">
        <w:rPr>
          <w:lang w:val="fr-CH"/>
        </w:rPr>
        <w:tab/>
      </w:r>
      <w:r w:rsidRPr="0071782F">
        <w:rPr>
          <w:lang w:val="fr-CH"/>
        </w:rPr>
        <w:tab/>
        <w:t>Introduction</w:t>
      </w:r>
    </w:p>
    <w:p w:rsidR="00DD2B20" w:rsidRPr="0071782F" w:rsidRDefault="00DD2B20" w:rsidP="00DD2B20">
      <w:pPr>
        <w:pStyle w:val="SingleTxtG"/>
        <w:rPr>
          <w:lang w:val="fr-CH"/>
        </w:rPr>
      </w:pPr>
      <w:r w:rsidRPr="0071782F">
        <w:rPr>
          <w:lang w:val="fr-CH"/>
        </w:rPr>
        <w:t>109.</w:t>
      </w:r>
      <w:r w:rsidRPr="0071782F">
        <w:rPr>
          <w:lang w:val="fr-CH"/>
        </w:rPr>
        <w:tab/>
      </w:r>
      <w:r w:rsidR="00153047" w:rsidRPr="0071782F">
        <w:rPr>
          <w:lang w:val="fr-CH"/>
        </w:rPr>
        <w:t xml:space="preserve">La </w:t>
      </w:r>
      <w:r w:rsidRPr="0071782F">
        <w:rPr>
          <w:lang w:val="fr-CH"/>
        </w:rPr>
        <w:t>pr</w:t>
      </w:r>
      <w:r w:rsidR="00153047" w:rsidRPr="0071782F">
        <w:rPr>
          <w:lang w:val="fr-CH"/>
        </w:rPr>
        <w:t>é</w:t>
      </w:r>
      <w:r w:rsidRPr="0071782F">
        <w:rPr>
          <w:lang w:val="fr-CH"/>
        </w:rPr>
        <w:t>sent</w:t>
      </w:r>
      <w:r w:rsidR="00153047" w:rsidRPr="0071782F">
        <w:rPr>
          <w:lang w:val="fr-CH"/>
        </w:rPr>
        <w:t>e</w:t>
      </w:r>
      <w:r w:rsidRPr="0071782F">
        <w:rPr>
          <w:lang w:val="fr-CH"/>
        </w:rPr>
        <w:t xml:space="preserve"> section </w:t>
      </w:r>
      <w:r w:rsidR="00153047" w:rsidRPr="0071782F">
        <w:rPr>
          <w:lang w:val="fr-CH"/>
        </w:rPr>
        <w:t xml:space="preserve">commence par examiner la manière dont la sécurité sociale est abordée dans la </w:t>
      </w:r>
      <w:r w:rsidRPr="0071782F">
        <w:rPr>
          <w:lang w:val="fr-CH"/>
        </w:rPr>
        <w:t xml:space="preserve">Constitution </w:t>
      </w:r>
      <w:r w:rsidR="00153047" w:rsidRPr="0071782F">
        <w:rPr>
          <w:lang w:val="fr-CH"/>
        </w:rPr>
        <w:t xml:space="preserve">et les règles et règlements du </w:t>
      </w:r>
      <w:r w:rsidR="00A90208" w:rsidRPr="0071782F">
        <w:rPr>
          <w:lang w:val="fr-CH"/>
        </w:rPr>
        <w:t>quatrième</w:t>
      </w:r>
      <w:r w:rsidR="00153047" w:rsidRPr="0071782F">
        <w:rPr>
          <w:lang w:val="fr-CH"/>
        </w:rPr>
        <w:t xml:space="preserve"> plan de développement, avant de préciser les caractéristiques du système de sécurité sociale, à savoir les objectifs, les programmes, les groupes cibles, les organisations d’assurances, l’évaluation des indicateurs de la sécurité sociale, ainsi que les différentes activités de l’Organisation de la sécurité sociale, parmi lesquelles les diverses formes de soutien et de services assurantiels, les modalités de prestation des services aux assurés, les services directs et indirects de traitement médical, et la formulation et la révision des règles et règlements régissant le système de sécurité sociale. La présente section aborde en outre les activités, services et moyens d’évaluation de la manière dont le secteur de la protection sociale s’acquitte de sa tâche.</w:t>
      </w:r>
    </w:p>
    <w:p w:rsidR="00DD2B20" w:rsidRPr="0071782F" w:rsidRDefault="00DD2B20" w:rsidP="00DD2B20">
      <w:pPr>
        <w:pStyle w:val="H1G"/>
        <w:rPr>
          <w:lang w:val="fr-CH"/>
        </w:rPr>
      </w:pPr>
      <w:r w:rsidRPr="0071782F">
        <w:rPr>
          <w:lang w:val="fr-CH"/>
        </w:rPr>
        <w:tab/>
      </w:r>
      <w:r w:rsidRPr="0071782F">
        <w:rPr>
          <w:lang w:val="fr-CH"/>
        </w:rPr>
        <w:tab/>
      </w:r>
      <w:r w:rsidR="00153047" w:rsidRPr="0071782F">
        <w:rPr>
          <w:lang w:val="fr-CH"/>
        </w:rPr>
        <w:t xml:space="preserve">Manière dont la sécurité </w:t>
      </w:r>
      <w:r w:rsidRPr="0071782F">
        <w:rPr>
          <w:lang w:val="fr-CH"/>
        </w:rPr>
        <w:t>social</w:t>
      </w:r>
      <w:r w:rsidR="00153047" w:rsidRPr="0071782F">
        <w:rPr>
          <w:lang w:val="fr-CH"/>
        </w:rPr>
        <w:t xml:space="preserve">e est abordée dans la </w:t>
      </w:r>
      <w:r w:rsidRPr="0071782F">
        <w:rPr>
          <w:lang w:val="fr-CH"/>
        </w:rPr>
        <w:t xml:space="preserve">Constitution </w:t>
      </w:r>
    </w:p>
    <w:p w:rsidR="00DD2B20" w:rsidRPr="0071782F" w:rsidRDefault="00DD2B20" w:rsidP="00DD2B20">
      <w:pPr>
        <w:pStyle w:val="SingleTxtG"/>
        <w:rPr>
          <w:lang w:val="fr-CH"/>
        </w:rPr>
      </w:pPr>
      <w:r w:rsidRPr="0071782F">
        <w:rPr>
          <w:lang w:val="fr-CH"/>
        </w:rPr>
        <w:t>110.</w:t>
      </w:r>
      <w:r w:rsidRPr="0071782F">
        <w:rPr>
          <w:lang w:val="fr-CH"/>
        </w:rPr>
        <w:tab/>
      </w:r>
      <w:r w:rsidR="00BB47F7" w:rsidRPr="0071782F">
        <w:rPr>
          <w:lang w:val="fr-CH"/>
        </w:rPr>
        <w:t xml:space="preserve">En vertu de </w:t>
      </w:r>
      <w:r w:rsidR="00723F2B" w:rsidRPr="0071782F">
        <w:rPr>
          <w:lang w:val="fr-CH"/>
        </w:rPr>
        <w:t>l’</w:t>
      </w:r>
      <w:r w:rsidR="00943A69" w:rsidRPr="0071782F">
        <w:rPr>
          <w:lang w:val="fr-CH"/>
        </w:rPr>
        <w:t>article </w:t>
      </w:r>
      <w:r w:rsidRPr="0071782F">
        <w:rPr>
          <w:lang w:val="fr-CH"/>
        </w:rPr>
        <w:t xml:space="preserve">29 </w:t>
      </w:r>
      <w:r w:rsidR="00BB47F7" w:rsidRPr="0071782F">
        <w:rPr>
          <w:lang w:val="fr-CH"/>
        </w:rPr>
        <w:t xml:space="preserve">de la </w:t>
      </w:r>
      <w:r w:rsidRPr="0071782F">
        <w:rPr>
          <w:lang w:val="fr-CH"/>
        </w:rPr>
        <w:t>Constitution</w:t>
      </w:r>
      <w:r w:rsidR="00BB47F7" w:rsidRPr="0071782F">
        <w:rPr>
          <w:lang w:val="fr-CH"/>
        </w:rPr>
        <w:t>,</w:t>
      </w:r>
      <w:r w:rsidRPr="0071782F">
        <w:rPr>
          <w:lang w:val="fr-CH"/>
        </w:rPr>
        <w:t xml:space="preserve"> </w:t>
      </w:r>
      <w:r w:rsidR="00A62149" w:rsidRPr="0071782F">
        <w:rPr>
          <w:lang w:val="fr-CH"/>
        </w:rPr>
        <w:t>"</w:t>
      </w:r>
      <w:r w:rsidR="00BB47F7" w:rsidRPr="0071782F">
        <w:rPr>
          <w:lang w:val="fr-CH"/>
        </w:rPr>
        <w:t xml:space="preserve">(t)ous les citoyens ont le droit de bénéficier de la sécurité sociale en cas de retraite, de chômage, de vieillesse, d’incapacité, de perte d’un tuteur ou d’un soutien </w:t>
      </w:r>
      <w:r w:rsidR="00B71907" w:rsidRPr="0071782F">
        <w:rPr>
          <w:lang w:val="fr-CH"/>
        </w:rPr>
        <w:t>de famille,</w:t>
      </w:r>
      <w:r w:rsidRPr="0071782F">
        <w:rPr>
          <w:lang w:val="fr-CH"/>
        </w:rPr>
        <w:t xml:space="preserve"> </w:t>
      </w:r>
      <w:r w:rsidR="00BB47F7" w:rsidRPr="0071782F">
        <w:rPr>
          <w:lang w:val="fr-CH"/>
        </w:rPr>
        <w:t xml:space="preserve">de catastrophe et d’accident, et d’avoir accès aux services médicaux </w:t>
      </w:r>
      <w:r w:rsidR="000B34B7" w:rsidRPr="0071782F">
        <w:rPr>
          <w:lang w:val="fr-CH"/>
        </w:rPr>
        <w:t xml:space="preserve">et aux soins de santé par le biais d’une </w:t>
      </w:r>
      <w:r w:rsidR="00BB47F7" w:rsidRPr="0071782F">
        <w:rPr>
          <w:lang w:val="fr-CH"/>
        </w:rPr>
        <w:t>assurance</w:t>
      </w:r>
      <w:r w:rsidRPr="0071782F">
        <w:rPr>
          <w:lang w:val="fr-CH"/>
        </w:rPr>
        <w:t xml:space="preserve">, etc., </w:t>
      </w:r>
      <w:r w:rsidR="00BB47F7" w:rsidRPr="0071782F">
        <w:rPr>
          <w:lang w:val="fr-CH"/>
        </w:rPr>
        <w:t>et l’État est tenu de fournir ce soutien financier et ces services à tous les citoyens en les finançant sur les recettes publiques et les recettes tirées de la participation du public</w:t>
      </w:r>
      <w:r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t>R</w:t>
      </w:r>
      <w:r w:rsidR="00BB47F7" w:rsidRPr="0071782F">
        <w:rPr>
          <w:lang w:val="fr-CH"/>
        </w:rPr>
        <w:t xml:space="preserve">ègles et règlements du </w:t>
      </w:r>
      <w:r w:rsidR="00A90208" w:rsidRPr="0071782F">
        <w:rPr>
          <w:lang w:val="fr-CH"/>
        </w:rPr>
        <w:t>quatrième</w:t>
      </w:r>
      <w:r w:rsidR="00BB47F7" w:rsidRPr="0071782F">
        <w:rPr>
          <w:lang w:val="fr-CH"/>
        </w:rPr>
        <w:t xml:space="preserve"> plan de développement concernant la sécurité sociale </w:t>
      </w:r>
    </w:p>
    <w:p w:rsidR="00DD2B20" w:rsidRPr="0071782F" w:rsidRDefault="00DD2B20" w:rsidP="00DD2B20">
      <w:pPr>
        <w:pStyle w:val="SingleTxtG"/>
        <w:rPr>
          <w:lang w:val="fr-CH"/>
        </w:rPr>
      </w:pPr>
      <w:r w:rsidRPr="0071782F">
        <w:rPr>
          <w:lang w:val="fr-CH"/>
        </w:rPr>
        <w:t>111.</w:t>
      </w:r>
      <w:r w:rsidRPr="0071782F">
        <w:rPr>
          <w:lang w:val="fr-CH"/>
        </w:rPr>
        <w:tab/>
      </w:r>
      <w:r w:rsidR="00BB47F7" w:rsidRPr="0071782F">
        <w:rPr>
          <w:lang w:val="fr-CH"/>
        </w:rPr>
        <w:t xml:space="preserve">Le </w:t>
      </w:r>
      <w:r w:rsidR="00A90208" w:rsidRPr="0071782F">
        <w:rPr>
          <w:lang w:val="fr-CH"/>
        </w:rPr>
        <w:t>quatrième</w:t>
      </w:r>
      <w:r w:rsidR="00BB47F7" w:rsidRPr="0071782F">
        <w:rPr>
          <w:lang w:val="fr-CH"/>
        </w:rPr>
        <w:t xml:space="preserve"> plan de développement traite d’une manière plus détaillée la question de la sécurité sociale</w:t>
      </w:r>
      <w:r w:rsidRPr="0071782F">
        <w:rPr>
          <w:lang w:val="fr-CH"/>
        </w:rPr>
        <w:t xml:space="preserve">. </w:t>
      </w:r>
      <w:r w:rsidR="00BB47F7" w:rsidRPr="0071782F">
        <w:rPr>
          <w:lang w:val="fr-CH"/>
        </w:rPr>
        <w:t xml:space="preserve">Son </w:t>
      </w:r>
      <w:r w:rsidR="00943A69" w:rsidRPr="0071782F">
        <w:rPr>
          <w:lang w:val="fr-CH"/>
        </w:rPr>
        <w:t>article </w:t>
      </w:r>
      <w:r w:rsidRPr="0071782F">
        <w:rPr>
          <w:lang w:val="fr-CH"/>
        </w:rPr>
        <w:t>3</w:t>
      </w:r>
      <w:r w:rsidR="00BB47F7" w:rsidRPr="0071782F">
        <w:rPr>
          <w:lang w:val="fr-CH"/>
        </w:rPr>
        <w:t xml:space="preserve">, qui aborde la question des prix et des recettes tirées de l’exportation de produits pétroliers, fait référence, dans un </w:t>
      </w:r>
      <w:r w:rsidR="00A83442">
        <w:rPr>
          <w:lang w:val="fr-CH"/>
        </w:rPr>
        <w:t xml:space="preserve">paragraphe </w:t>
      </w:r>
      <w:r w:rsidR="00BB47F7" w:rsidRPr="0071782F">
        <w:rPr>
          <w:lang w:val="fr-CH"/>
        </w:rPr>
        <w:t>distinct, à l’affectation d’une partie de ces recettes à la sécurité sociale, comme indiqué ci-après.</w:t>
      </w:r>
      <w:r w:rsidR="00D36718">
        <w:rPr>
          <w:lang w:val="fr-CH"/>
        </w:rPr>
        <w:t xml:space="preserve"> </w:t>
      </w:r>
    </w:p>
    <w:p w:rsidR="00DD2B20" w:rsidRPr="0071782F" w:rsidRDefault="00DD2B20" w:rsidP="00DD2B20">
      <w:pPr>
        <w:pStyle w:val="SingleTxtG"/>
        <w:rPr>
          <w:lang w:val="fr-CH"/>
        </w:rPr>
      </w:pPr>
      <w:r w:rsidRPr="0071782F">
        <w:rPr>
          <w:lang w:val="fr-CH"/>
        </w:rPr>
        <w:t>112.</w:t>
      </w:r>
      <w:r w:rsidRPr="0071782F">
        <w:rPr>
          <w:lang w:val="fr-CH"/>
        </w:rPr>
        <w:tab/>
      </w:r>
      <w:r w:rsidR="00723F2B" w:rsidRPr="0071782F">
        <w:rPr>
          <w:lang w:val="fr-CH"/>
        </w:rPr>
        <w:t>L’</w:t>
      </w:r>
      <w:r w:rsidR="00943A69" w:rsidRPr="0071782F">
        <w:rPr>
          <w:lang w:val="fr-CH"/>
        </w:rPr>
        <w:t>article </w:t>
      </w:r>
      <w:r w:rsidRPr="0071782F">
        <w:rPr>
          <w:lang w:val="fr-CH"/>
        </w:rPr>
        <w:t xml:space="preserve">3 </w:t>
      </w:r>
      <w:r w:rsidR="00BB47F7" w:rsidRPr="0071782F">
        <w:rPr>
          <w:lang w:val="fr-CH"/>
        </w:rPr>
        <w:t xml:space="preserve">prévoit la fourniture d’un service d’appui </w:t>
      </w:r>
      <w:r w:rsidRPr="0071782F">
        <w:rPr>
          <w:lang w:val="fr-CH"/>
        </w:rPr>
        <w:t xml:space="preserve">direct </w:t>
      </w:r>
      <w:r w:rsidR="00BB47F7" w:rsidRPr="0071782F">
        <w:rPr>
          <w:lang w:val="fr-CH"/>
        </w:rPr>
        <w:t xml:space="preserve">et compensatoire aux groupes sociaux </w:t>
      </w:r>
      <w:r w:rsidRPr="0071782F">
        <w:rPr>
          <w:lang w:val="fr-CH"/>
        </w:rPr>
        <w:t>vuln</w:t>
      </w:r>
      <w:r w:rsidR="00BB47F7" w:rsidRPr="0071782F">
        <w:rPr>
          <w:lang w:val="fr-CH"/>
        </w:rPr>
        <w:t>é</w:t>
      </w:r>
      <w:r w:rsidRPr="0071782F">
        <w:rPr>
          <w:lang w:val="fr-CH"/>
        </w:rPr>
        <w:t>rable</w:t>
      </w:r>
      <w:r w:rsidR="00BB47F7" w:rsidRPr="0071782F">
        <w:rPr>
          <w:lang w:val="fr-CH"/>
        </w:rPr>
        <w:t>s</w:t>
      </w:r>
      <w:r w:rsidRPr="0071782F">
        <w:rPr>
          <w:lang w:val="fr-CH"/>
        </w:rPr>
        <w:t xml:space="preserve"> </w:t>
      </w:r>
      <w:r w:rsidR="00BB47F7" w:rsidRPr="0071782F">
        <w:rPr>
          <w:lang w:val="fr-CH"/>
        </w:rPr>
        <w:t>par l’intermédiaire du système de sécurité sociale</w:t>
      </w:r>
      <w:r w:rsidRPr="0071782F">
        <w:rPr>
          <w:lang w:val="fr-CH"/>
        </w:rPr>
        <w:t>.</w:t>
      </w:r>
    </w:p>
    <w:p w:rsidR="00DD2B20" w:rsidRPr="0071782F" w:rsidRDefault="00DD2B20" w:rsidP="00DD2B20">
      <w:pPr>
        <w:pStyle w:val="SingleTxtG"/>
        <w:rPr>
          <w:lang w:val="fr-CH"/>
        </w:rPr>
      </w:pPr>
      <w:r w:rsidRPr="0071782F">
        <w:rPr>
          <w:lang w:val="fr-CH"/>
        </w:rPr>
        <w:t>113.</w:t>
      </w:r>
      <w:r w:rsidRPr="0071782F">
        <w:rPr>
          <w:lang w:val="fr-CH"/>
        </w:rPr>
        <w:tab/>
      </w:r>
      <w:r w:rsidR="00723F2B" w:rsidRPr="0071782F">
        <w:rPr>
          <w:lang w:val="fr-CH"/>
        </w:rPr>
        <w:t>L’</w:t>
      </w:r>
      <w:r w:rsidR="00943A69" w:rsidRPr="0071782F">
        <w:rPr>
          <w:lang w:val="fr-CH"/>
        </w:rPr>
        <w:t>article </w:t>
      </w:r>
      <w:r w:rsidRPr="0071782F">
        <w:rPr>
          <w:lang w:val="fr-CH"/>
        </w:rPr>
        <w:t xml:space="preserve">95 </w:t>
      </w:r>
      <w:r w:rsidR="00BB47F7" w:rsidRPr="0071782F">
        <w:rPr>
          <w:lang w:val="fr-CH"/>
        </w:rPr>
        <w:t xml:space="preserve">prévoit la </w:t>
      </w:r>
      <w:r w:rsidRPr="0071782F">
        <w:rPr>
          <w:lang w:val="fr-CH"/>
        </w:rPr>
        <w:t xml:space="preserve">promotion </w:t>
      </w:r>
      <w:r w:rsidR="00BB47F7" w:rsidRPr="0071782F">
        <w:rPr>
          <w:lang w:val="fr-CH"/>
        </w:rPr>
        <w:t xml:space="preserve">de la justice et de la stabilité </w:t>
      </w:r>
      <w:r w:rsidRPr="0071782F">
        <w:rPr>
          <w:lang w:val="fr-CH"/>
        </w:rPr>
        <w:t>social</w:t>
      </w:r>
      <w:r w:rsidR="00BB47F7" w:rsidRPr="0071782F">
        <w:rPr>
          <w:lang w:val="fr-CH"/>
        </w:rPr>
        <w:t>es</w:t>
      </w:r>
      <w:r w:rsidRPr="0071782F">
        <w:rPr>
          <w:lang w:val="fr-CH"/>
        </w:rPr>
        <w:t xml:space="preserve">, </w:t>
      </w:r>
      <w:r w:rsidR="00BB47F7" w:rsidRPr="0071782F">
        <w:rPr>
          <w:lang w:val="fr-CH"/>
        </w:rPr>
        <w:t xml:space="preserve">la </w:t>
      </w:r>
      <w:r w:rsidRPr="0071782F">
        <w:rPr>
          <w:lang w:val="fr-CH"/>
        </w:rPr>
        <w:t>r</w:t>
      </w:r>
      <w:r w:rsidR="00BB47F7" w:rsidRPr="0071782F">
        <w:rPr>
          <w:lang w:val="fr-CH"/>
        </w:rPr>
        <w:t>é</w:t>
      </w:r>
      <w:r w:rsidRPr="0071782F">
        <w:rPr>
          <w:lang w:val="fr-CH"/>
        </w:rPr>
        <w:t xml:space="preserve">duction </w:t>
      </w:r>
      <w:r w:rsidR="00BB47F7" w:rsidRPr="0071782F">
        <w:rPr>
          <w:lang w:val="fr-CH"/>
        </w:rPr>
        <w:t xml:space="preserve">des disparités </w:t>
      </w:r>
      <w:r w:rsidRPr="0071782F">
        <w:rPr>
          <w:lang w:val="fr-CH"/>
        </w:rPr>
        <w:t>social</w:t>
      </w:r>
      <w:r w:rsidR="00BB47F7" w:rsidRPr="0071782F">
        <w:rPr>
          <w:lang w:val="fr-CH"/>
        </w:rPr>
        <w:t>es</w:t>
      </w:r>
      <w:r w:rsidRPr="0071782F">
        <w:rPr>
          <w:lang w:val="fr-CH"/>
        </w:rPr>
        <w:t xml:space="preserve"> </w:t>
      </w:r>
      <w:r w:rsidR="00BB47F7" w:rsidRPr="0071782F">
        <w:rPr>
          <w:lang w:val="fr-CH"/>
        </w:rPr>
        <w:t>et économiques</w:t>
      </w:r>
      <w:r w:rsidRPr="0071782F">
        <w:rPr>
          <w:lang w:val="fr-CH"/>
        </w:rPr>
        <w:t xml:space="preserve">, </w:t>
      </w:r>
      <w:r w:rsidR="00BB47F7" w:rsidRPr="0071782F">
        <w:rPr>
          <w:lang w:val="fr-CH"/>
        </w:rPr>
        <w:t>la diminution des écarts de revenus entre groupes de la population, la garantie d’une répartition égalitaire des revenus</w:t>
      </w:r>
      <w:r w:rsidRPr="0071782F">
        <w:rPr>
          <w:lang w:val="fr-CH"/>
        </w:rPr>
        <w:t xml:space="preserve">, </w:t>
      </w:r>
      <w:r w:rsidR="00BB47F7" w:rsidRPr="0071782F">
        <w:rPr>
          <w:lang w:val="fr-CH"/>
        </w:rPr>
        <w:t>l’atténuation de la pauvreté et du dénuement, et le renforcement de l’autonomie des défavorisés. À ces fins, l’État est tenu d’exécuter des programmes intégrés d’atténuation de la pauv</w:t>
      </w:r>
      <w:r w:rsidR="00693FF7" w:rsidRPr="0071782F">
        <w:rPr>
          <w:lang w:val="fr-CH"/>
        </w:rPr>
        <w:t>r</w:t>
      </w:r>
      <w:r w:rsidR="00BB47F7" w:rsidRPr="0071782F">
        <w:rPr>
          <w:lang w:val="fr-CH"/>
        </w:rPr>
        <w:t xml:space="preserve">eté et de promotion de la justice sociale en leur allouant d’une manière efficace et ciblée des recettes publiques, des subventions et d’autres moyens de protection sociale et, </w:t>
      </w:r>
      <w:r w:rsidRPr="0071782F">
        <w:rPr>
          <w:lang w:val="fr-CH"/>
        </w:rPr>
        <w:t>six</w:t>
      </w:r>
      <w:r w:rsidR="001F3F05" w:rsidRPr="0071782F">
        <w:rPr>
          <w:lang w:val="fr-CH"/>
        </w:rPr>
        <w:t> mois</w:t>
      </w:r>
      <w:r w:rsidR="00BB47F7" w:rsidRPr="0071782F">
        <w:rPr>
          <w:lang w:val="fr-CH"/>
        </w:rPr>
        <w:t xml:space="preserve"> après l’adoption du présent plan, de </w:t>
      </w:r>
      <w:r w:rsidRPr="0071782F">
        <w:rPr>
          <w:lang w:val="fr-CH"/>
        </w:rPr>
        <w:t>r</w:t>
      </w:r>
      <w:r w:rsidR="00BB47F7" w:rsidRPr="0071782F">
        <w:rPr>
          <w:lang w:val="fr-CH"/>
        </w:rPr>
        <w:t>é</w:t>
      </w:r>
      <w:r w:rsidRPr="0071782F">
        <w:rPr>
          <w:lang w:val="fr-CH"/>
        </w:rPr>
        <w:t>vise</w:t>
      </w:r>
      <w:r w:rsidR="00BB47F7" w:rsidRPr="0071782F">
        <w:rPr>
          <w:lang w:val="fr-CH"/>
        </w:rPr>
        <w:t>r</w:t>
      </w:r>
      <w:r w:rsidRPr="0071782F">
        <w:rPr>
          <w:lang w:val="fr-CH"/>
        </w:rPr>
        <w:t xml:space="preserve"> </w:t>
      </w:r>
      <w:r w:rsidR="00BB47F7" w:rsidRPr="0071782F">
        <w:rPr>
          <w:lang w:val="fr-CH"/>
        </w:rPr>
        <w:t xml:space="preserve">les règles et règlements en vigueur ou d’adopter </w:t>
      </w:r>
      <w:r w:rsidR="0018666B" w:rsidRPr="0071782F">
        <w:rPr>
          <w:lang w:val="fr-CH"/>
        </w:rPr>
        <w:t>de</w:t>
      </w:r>
      <w:r w:rsidR="00BB47F7" w:rsidRPr="0071782F">
        <w:rPr>
          <w:lang w:val="fr-CH"/>
        </w:rPr>
        <w:t xml:space="preserve"> nouvelles lois afin de traduire dans les faits les objectifs suivants</w:t>
      </w:r>
      <w:r w:rsidR="008F7D33" w:rsidRPr="0071782F">
        <w:rPr>
          <w:lang w:val="fr-CH"/>
        </w:rPr>
        <w:t>:</w:t>
      </w:r>
    </w:p>
    <w:p w:rsidR="00DD2B20" w:rsidRPr="0071782F" w:rsidRDefault="00DD2B20" w:rsidP="00DD2B20">
      <w:pPr>
        <w:pStyle w:val="SingleTxtG"/>
        <w:ind w:left="1701" w:hanging="567"/>
        <w:rPr>
          <w:lang w:val="fr-CH"/>
        </w:rPr>
      </w:pPr>
      <w:r w:rsidRPr="0071782F">
        <w:rPr>
          <w:lang w:val="fr-CH"/>
        </w:rPr>
        <w:tab/>
        <w:t>113.1.</w:t>
      </w:r>
      <w:r w:rsidRPr="0071782F">
        <w:rPr>
          <w:lang w:val="fr-CH"/>
        </w:rPr>
        <w:tab/>
        <w:t>Ex</w:t>
      </w:r>
      <w:r w:rsidR="00E60A4F" w:rsidRPr="0071782F">
        <w:rPr>
          <w:lang w:val="fr-CH"/>
        </w:rPr>
        <w:t xml:space="preserve">tension du système de </w:t>
      </w:r>
      <w:r w:rsidRPr="0071782F">
        <w:rPr>
          <w:lang w:val="fr-CH"/>
        </w:rPr>
        <w:t>s</w:t>
      </w:r>
      <w:r w:rsidR="00E60A4F" w:rsidRPr="0071782F">
        <w:rPr>
          <w:lang w:val="fr-CH"/>
        </w:rPr>
        <w:t>écurité sociale du pays de manière à le rendre aussi complet et efficace que possible.</w:t>
      </w:r>
    </w:p>
    <w:p w:rsidR="00DD2B20" w:rsidRPr="0071782F" w:rsidRDefault="00DD2B20" w:rsidP="00DD2B20">
      <w:pPr>
        <w:pStyle w:val="SingleTxtG"/>
        <w:ind w:left="1701" w:hanging="567"/>
        <w:rPr>
          <w:lang w:val="fr-CH"/>
        </w:rPr>
      </w:pPr>
      <w:r w:rsidRPr="0071782F">
        <w:rPr>
          <w:lang w:val="fr-CH"/>
        </w:rPr>
        <w:tab/>
        <w:t>113.2.</w:t>
      </w:r>
      <w:r w:rsidRPr="0071782F">
        <w:rPr>
          <w:lang w:val="fr-CH"/>
        </w:rPr>
        <w:tab/>
        <w:t xml:space="preserve">Application </w:t>
      </w:r>
      <w:r w:rsidR="00E60A4F" w:rsidRPr="0071782F">
        <w:rPr>
          <w:lang w:val="fr-CH"/>
        </w:rPr>
        <w:t xml:space="preserve">de nouvelles politiques fiscales visant à </w:t>
      </w:r>
      <w:r w:rsidRPr="0071782F">
        <w:rPr>
          <w:lang w:val="fr-CH"/>
        </w:rPr>
        <w:t>redistribu</w:t>
      </w:r>
      <w:r w:rsidR="00E60A4F" w:rsidRPr="0071782F">
        <w:rPr>
          <w:lang w:val="fr-CH"/>
        </w:rPr>
        <w:t xml:space="preserve">er les recettes </w:t>
      </w:r>
      <w:r w:rsidR="0018666B" w:rsidRPr="0071782F">
        <w:rPr>
          <w:lang w:val="fr-CH"/>
        </w:rPr>
        <w:t>publiques</w:t>
      </w:r>
      <w:r w:rsidRPr="0071782F">
        <w:rPr>
          <w:lang w:val="fr-CH"/>
        </w:rPr>
        <w:t>.</w:t>
      </w:r>
    </w:p>
    <w:p w:rsidR="00DD2B20" w:rsidRPr="0071782F" w:rsidRDefault="00DD2B20" w:rsidP="00DD2B20">
      <w:pPr>
        <w:pStyle w:val="SingleTxtG"/>
        <w:ind w:left="2268" w:hanging="1134"/>
        <w:rPr>
          <w:lang w:val="fr-CH"/>
        </w:rPr>
      </w:pPr>
      <w:r w:rsidRPr="0071782F">
        <w:rPr>
          <w:lang w:val="fr-CH"/>
        </w:rPr>
        <w:tab/>
      </w:r>
      <w:r w:rsidR="003C5AE0" w:rsidRPr="0071782F">
        <w:rPr>
          <w:lang w:val="fr-CH"/>
        </w:rPr>
        <w:t xml:space="preserve">113.2.1. </w:t>
      </w:r>
      <w:r w:rsidRPr="0071782F">
        <w:rPr>
          <w:lang w:val="fr-CH"/>
        </w:rPr>
        <w:t>D</w:t>
      </w:r>
      <w:r w:rsidR="0097132A" w:rsidRPr="0071782F">
        <w:rPr>
          <w:lang w:val="fr-CH"/>
        </w:rPr>
        <w:t>é</w:t>
      </w:r>
      <w:r w:rsidRPr="0071782F">
        <w:rPr>
          <w:lang w:val="fr-CH"/>
        </w:rPr>
        <w:t>termine</w:t>
      </w:r>
      <w:r w:rsidR="0097132A" w:rsidRPr="0071782F">
        <w:rPr>
          <w:lang w:val="fr-CH"/>
        </w:rPr>
        <w:t xml:space="preserve">r le seuil de pauvreté, </w:t>
      </w:r>
      <w:r w:rsidRPr="0071782F">
        <w:rPr>
          <w:lang w:val="fr-CH"/>
        </w:rPr>
        <w:t>adopt</w:t>
      </w:r>
      <w:r w:rsidR="0097132A" w:rsidRPr="0071782F">
        <w:rPr>
          <w:lang w:val="fr-CH"/>
        </w:rPr>
        <w:t xml:space="preserve">er les programmes d’autonomisation appropriés et </w:t>
      </w:r>
      <w:r w:rsidRPr="0071782F">
        <w:rPr>
          <w:lang w:val="fr-CH"/>
        </w:rPr>
        <w:t>restructure</w:t>
      </w:r>
      <w:r w:rsidR="0097132A" w:rsidRPr="0071782F">
        <w:rPr>
          <w:lang w:val="fr-CH"/>
        </w:rPr>
        <w:t xml:space="preserve">r le </w:t>
      </w:r>
      <w:r w:rsidRPr="0071782F">
        <w:rPr>
          <w:lang w:val="fr-CH"/>
        </w:rPr>
        <w:t>syst</w:t>
      </w:r>
      <w:r w:rsidR="0097132A" w:rsidRPr="0071782F">
        <w:rPr>
          <w:lang w:val="fr-CH"/>
        </w:rPr>
        <w:t xml:space="preserve">ème des services de soutien </w:t>
      </w:r>
      <w:r w:rsidRPr="0071782F">
        <w:rPr>
          <w:lang w:val="fr-CH"/>
        </w:rPr>
        <w:t>social</w:t>
      </w:r>
      <w:r w:rsidR="0018666B" w:rsidRPr="0071782F">
        <w:rPr>
          <w:lang w:val="fr-CH"/>
        </w:rPr>
        <w:t>,</w:t>
      </w:r>
      <w:r w:rsidRPr="0071782F">
        <w:rPr>
          <w:lang w:val="fr-CH"/>
        </w:rPr>
        <w:t xml:space="preserve"> </w:t>
      </w:r>
      <w:r w:rsidR="0097132A" w:rsidRPr="0071782F">
        <w:rPr>
          <w:lang w:val="fr-CH"/>
        </w:rPr>
        <w:t xml:space="preserve">afin d’en faire bénéficier toutes </w:t>
      </w:r>
      <w:r w:rsidR="00A233C2" w:rsidRPr="0071782F">
        <w:rPr>
          <w:lang w:val="fr-CH"/>
        </w:rPr>
        <w:t>les personnes</w:t>
      </w:r>
      <w:r w:rsidR="0097132A" w:rsidRPr="0071782F">
        <w:rPr>
          <w:lang w:val="fr-CH"/>
        </w:rPr>
        <w:t xml:space="preserve"> vivant au-dessous du seuil de pauvreté</w:t>
      </w:r>
      <w:r w:rsidR="0018666B" w:rsidRPr="0071782F">
        <w:rPr>
          <w:lang w:val="fr-CH"/>
        </w:rPr>
        <w:t>,</w:t>
      </w:r>
      <w:r w:rsidR="0097132A" w:rsidRPr="0071782F">
        <w:rPr>
          <w:lang w:val="fr-CH"/>
        </w:rPr>
        <w:t xml:space="preserve"> et le système de sécurité sociale</w:t>
      </w:r>
      <w:r w:rsidR="0018666B" w:rsidRPr="0071782F">
        <w:rPr>
          <w:lang w:val="fr-CH"/>
        </w:rPr>
        <w:t>,</w:t>
      </w:r>
      <w:r w:rsidR="0097132A" w:rsidRPr="0071782F">
        <w:rPr>
          <w:lang w:val="fr-CH"/>
        </w:rPr>
        <w:t xml:space="preserve"> afin d’en faire bénéficier</w:t>
      </w:r>
      <w:r w:rsidR="00D36718">
        <w:rPr>
          <w:lang w:val="fr-CH"/>
        </w:rPr>
        <w:t xml:space="preserve"> </w:t>
      </w:r>
      <w:r w:rsidR="00A233C2" w:rsidRPr="0071782F">
        <w:rPr>
          <w:lang w:val="fr-CH"/>
        </w:rPr>
        <w:t>les personnes</w:t>
      </w:r>
      <w:r w:rsidR="0097132A" w:rsidRPr="0071782F">
        <w:rPr>
          <w:lang w:val="fr-CH"/>
        </w:rPr>
        <w:t xml:space="preserve"> vivant entre les seuils de pauvreté absolue et relative;</w:t>
      </w:r>
      <w:r w:rsidRPr="0071782F">
        <w:rPr>
          <w:lang w:val="fr-CH"/>
        </w:rPr>
        <w:t xml:space="preserve"> </w:t>
      </w:r>
      <w:r w:rsidR="0097132A" w:rsidRPr="0071782F">
        <w:rPr>
          <w:lang w:val="fr-CH"/>
        </w:rPr>
        <w:t xml:space="preserve">suivre en permanence les effets des programmes </w:t>
      </w:r>
      <w:r w:rsidRPr="0071782F">
        <w:rPr>
          <w:lang w:val="fr-CH"/>
        </w:rPr>
        <w:t>socio</w:t>
      </w:r>
      <w:r w:rsidR="0097132A" w:rsidRPr="0071782F">
        <w:rPr>
          <w:lang w:val="fr-CH"/>
        </w:rPr>
        <w:t>économiques sur le seuil de pauvreté, la population vivant au-dessous de ce seuil, le revenu des groupes appartenant aux trois premiers déciles et l’écart de la pauvreté; et contrebalancer ces effets sur ces groupes en renforçant leur pouvoir d’achat</w:t>
      </w:r>
      <w:r w:rsidRPr="0071782F">
        <w:rPr>
          <w:lang w:val="fr-CH"/>
        </w:rPr>
        <w:t xml:space="preserve">. </w:t>
      </w:r>
      <w:r w:rsidR="0097132A" w:rsidRPr="0071782F">
        <w:rPr>
          <w:lang w:val="fr-CH"/>
        </w:rPr>
        <w:t xml:space="preserve">L’État est tenu de recenser toutes </w:t>
      </w:r>
      <w:r w:rsidR="00DA097D" w:rsidRPr="0071782F">
        <w:rPr>
          <w:lang w:val="fr-CH"/>
        </w:rPr>
        <w:t>les familles</w:t>
      </w:r>
      <w:r w:rsidR="0097132A" w:rsidRPr="0071782F">
        <w:rPr>
          <w:lang w:val="fr-CH"/>
        </w:rPr>
        <w:t xml:space="preserve"> vivant au-dessous du seuil de pauvreté et </w:t>
      </w:r>
      <w:r w:rsidR="0018666B" w:rsidRPr="0071782F">
        <w:rPr>
          <w:lang w:val="fr-CH"/>
        </w:rPr>
        <w:t xml:space="preserve">de </w:t>
      </w:r>
      <w:r w:rsidR="0097132A" w:rsidRPr="0071782F">
        <w:rPr>
          <w:lang w:val="fr-CH"/>
        </w:rPr>
        <w:t xml:space="preserve">les faire bénéficier du système de sécurité sociale par le biais des organisations compétentes d’ici à la fin de la deuxième année du </w:t>
      </w:r>
      <w:r w:rsidR="00A90208" w:rsidRPr="0071782F">
        <w:rPr>
          <w:lang w:val="fr-CH"/>
        </w:rPr>
        <w:t>quatrième</w:t>
      </w:r>
      <w:r w:rsidR="0097132A" w:rsidRPr="0071782F">
        <w:rPr>
          <w:lang w:val="fr-CH"/>
        </w:rPr>
        <w:t xml:space="preserve"> plan de développement</w:t>
      </w:r>
      <w:r w:rsidR="003C5AE0" w:rsidRPr="0071782F">
        <w:rPr>
          <w:lang w:val="fr-CH"/>
        </w:rPr>
        <w:t>.</w:t>
      </w:r>
    </w:p>
    <w:p w:rsidR="00DD2B20" w:rsidRPr="0071782F" w:rsidRDefault="00DD2B20" w:rsidP="00DD2B20">
      <w:pPr>
        <w:pStyle w:val="SingleTxtG"/>
        <w:ind w:left="2268" w:hanging="1134"/>
        <w:rPr>
          <w:lang w:val="fr-CH"/>
        </w:rPr>
      </w:pPr>
      <w:r w:rsidRPr="0071782F">
        <w:rPr>
          <w:lang w:val="fr-CH"/>
        </w:rPr>
        <w:tab/>
      </w:r>
      <w:r w:rsidR="003C5AE0" w:rsidRPr="0071782F">
        <w:rPr>
          <w:lang w:val="fr-CH"/>
        </w:rPr>
        <w:t xml:space="preserve">113.2.2. </w:t>
      </w:r>
      <w:r w:rsidR="00980501" w:rsidRPr="0071782F">
        <w:rPr>
          <w:lang w:val="fr-CH"/>
        </w:rPr>
        <w:t>Concevoir des programmes spéciaux concernant l’emploi, l’autonomisation, le renforcement de la participation sociale, la formation professionnelle et l’acquisition de compétences pratiques pour les groupes de la société appartenant aux trois premiers déciles</w:t>
      </w:r>
      <w:r w:rsidR="003C5AE0" w:rsidRPr="0071782F">
        <w:rPr>
          <w:lang w:val="fr-CH"/>
        </w:rPr>
        <w:t>.</w:t>
      </w:r>
    </w:p>
    <w:p w:rsidR="00DD2B20" w:rsidRPr="0071782F" w:rsidRDefault="00DD2B20" w:rsidP="00DD2B20">
      <w:pPr>
        <w:pStyle w:val="SingleTxtG"/>
        <w:ind w:left="2268" w:hanging="1134"/>
        <w:rPr>
          <w:lang w:val="fr-CH"/>
        </w:rPr>
      </w:pPr>
      <w:r w:rsidRPr="0071782F">
        <w:rPr>
          <w:lang w:val="fr-CH"/>
        </w:rPr>
        <w:tab/>
      </w:r>
      <w:r w:rsidR="003C5AE0" w:rsidRPr="0071782F">
        <w:rPr>
          <w:lang w:val="fr-CH"/>
        </w:rPr>
        <w:t xml:space="preserve">113.2.2. </w:t>
      </w:r>
      <w:r w:rsidR="00381A53" w:rsidRPr="0071782F">
        <w:rPr>
          <w:lang w:val="fr-CH"/>
        </w:rPr>
        <w:t xml:space="preserve">Accroître la </w:t>
      </w:r>
      <w:r w:rsidRPr="0071782F">
        <w:rPr>
          <w:lang w:val="fr-CH"/>
        </w:rPr>
        <w:t xml:space="preserve">participation </w:t>
      </w:r>
      <w:r w:rsidR="00381A53" w:rsidRPr="0071782F">
        <w:rPr>
          <w:lang w:val="fr-CH"/>
        </w:rPr>
        <w:t xml:space="preserve">des ONG et organisations caritatives aux programmes de réduction de la pauvreté; recenser, sous la supervision des organismes régionaux, les orphelins et </w:t>
      </w:r>
      <w:r w:rsidR="00DA097D" w:rsidRPr="0071782F">
        <w:rPr>
          <w:lang w:val="fr-CH"/>
        </w:rPr>
        <w:t>les familles</w:t>
      </w:r>
      <w:r w:rsidR="00381A53" w:rsidRPr="0071782F">
        <w:rPr>
          <w:lang w:val="fr-CH"/>
        </w:rPr>
        <w:t xml:space="preserve"> vivant au-dessous du seuil de pauvreté dans toutes les régions du pays, et leur faire fournir par ces organismes et par les autorités de sécurité social</w:t>
      </w:r>
      <w:r w:rsidR="0018666B" w:rsidRPr="0071782F">
        <w:rPr>
          <w:lang w:val="fr-CH"/>
        </w:rPr>
        <w:t>e</w:t>
      </w:r>
      <w:r w:rsidR="00381A53" w:rsidRPr="0071782F">
        <w:rPr>
          <w:lang w:val="fr-CH"/>
        </w:rPr>
        <w:t xml:space="preserve"> correspondantes l’appui social, économique et culturel dont ils ont besoin</w:t>
      </w:r>
      <w:r w:rsidR="003C5AE0" w:rsidRPr="0071782F">
        <w:rPr>
          <w:lang w:val="fr-CH"/>
        </w:rPr>
        <w:t>.</w:t>
      </w:r>
    </w:p>
    <w:p w:rsidR="00DD2B20" w:rsidRPr="0071782F" w:rsidRDefault="00DD2B20" w:rsidP="00DD2B20">
      <w:pPr>
        <w:pStyle w:val="SingleTxtG"/>
        <w:ind w:left="2268" w:hanging="1134"/>
        <w:rPr>
          <w:lang w:val="fr-CH"/>
        </w:rPr>
      </w:pPr>
      <w:r w:rsidRPr="0071782F">
        <w:rPr>
          <w:lang w:val="fr-CH"/>
        </w:rPr>
        <w:tab/>
        <w:t>113.2.3.</w:t>
      </w:r>
      <w:r w:rsidR="003C5AE0" w:rsidRPr="0071782F">
        <w:rPr>
          <w:lang w:val="fr-CH"/>
        </w:rPr>
        <w:t xml:space="preserve"> </w:t>
      </w:r>
      <w:r w:rsidR="00381A53" w:rsidRPr="0071782F">
        <w:rPr>
          <w:lang w:val="fr-CH"/>
        </w:rPr>
        <w:t xml:space="preserve">Fournir une alimentation nutritive </w:t>
      </w:r>
      <w:r w:rsidR="0018666B" w:rsidRPr="0071782F">
        <w:rPr>
          <w:lang w:val="fr-CH"/>
        </w:rPr>
        <w:t xml:space="preserve">et </w:t>
      </w:r>
      <w:r w:rsidR="00381A53" w:rsidRPr="0071782F">
        <w:rPr>
          <w:lang w:val="fr-CH"/>
        </w:rPr>
        <w:t>suffisante en se fondant sur le panier alimentaire recommandé, ainsi que des services de soins, de traitements médicaux et de réadaptation gratuits et un logement bon marché, et garantir l’accès des membres des groupes appartenant aux trois premiers déciles âgés de moins de 18</w:t>
      </w:r>
      <w:r w:rsidR="00D82C96" w:rsidRPr="0071782F">
        <w:rPr>
          <w:lang w:val="fr-CH"/>
        </w:rPr>
        <w:t> ans</w:t>
      </w:r>
      <w:r w:rsidR="00381A53" w:rsidRPr="0071782F">
        <w:rPr>
          <w:lang w:val="fr-CH"/>
        </w:rPr>
        <w:t xml:space="preserve"> à une éducation gratuite en redistribuant et en affectant de façon efficace les subventions.</w:t>
      </w:r>
    </w:p>
    <w:p w:rsidR="00DD2B20" w:rsidRPr="0071782F" w:rsidRDefault="00DD2B20" w:rsidP="00DD2B20">
      <w:pPr>
        <w:pStyle w:val="SingleTxtG"/>
        <w:ind w:left="2268" w:hanging="1134"/>
        <w:rPr>
          <w:lang w:val="fr-CH"/>
        </w:rPr>
      </w:pPr>
      <w:r w:rsidRPr="0071782F">
        <w:rPr>
          <w:lang w:val="fr-CH"/>
        </w:rPr>
        <w:tab/>
      </w:r>
      <w:r w:rsidR="003C5AE0" w:rsidRPr="0071782F">
        <w:rPr>
          <w:lang w:val="fr-CH"/>
        </w:rPr>
        <w:t xml:space="preserve">113.2.4. </w:t>
      </w:r>
      <w:r w:rsidRPr="0071782F">
        <w:rPr>
          <w:lang w:val="fr-CH"/>
        </w:rPr>
        <w:t>Adopt</w:t>
      </w:r>
      <w:r w:rsidR="00381A53" w:rsidRPr="0071782F">
        <w:rPr>
          <w:lang w:val="fr-CH"/>
        </w:rPr>
        <w:t xml:space="preserve">er une approche fondée sur la participation et l’autonomisation des collectivités locales inspirée du modèle des besoins de développement fondamentaux et de l’évaluation de ces besoins par les collectivités locales aux fins de la prestation de services sociaux par le biais de mécanismes d’incitation </w:t>
      </w:r>
      <w:r w:rsidR="0018666B" w:rsidRPr="0071782F">
        <w:rPr>
          <w:lang w:val="fr-CH"/>
        </w:rPr>
        <w:t>au service de</w:t>
      </w:r>
      <w:r w:rsidR="00381A53" w:rsidRPr="0071782F">
        <w:rPr>
          <w:lang w:val="fr-CH"/>
        </w:rPr>
        <w:t xml:space="preserve"> projets de développement à petite échelle adaptés aux capacités locales.</w:t>
      </w:r>
    </w:p>
    <w:p w:rsidR="00DD2B20" w:rsidRPr="0071782F" w:rsidRDefault="00DD2B20" w:rsidP="00DD2B20">
      <w:pPr>
        <w:pStyle w:val="SingleTxtG"/>
        <w:ind w:left="2268" w:hanging="1134"/>
        <w:rPr>
          <w:lang w:val="fr-CH"/>
        </w:rPr>
      </w:pPr>
      <w:r w:rsidRPr="0071782F">
        <w:rPr>
          <w:lang w:val="fr-CH"/>
        </w:rPr>
        <w:tab/>
      </w:r>
      <w:r w:rsidR="003C5AE0" w:rsidRPr="0071782F">
        <w:rPr>
          <w:lang w:val="fr-CH"/>
        </w:rPr>
        <w:t xml:space="preserve">113.2.5. </w:t>
      </w:r>
      <w:r w:rsidR="00991A24" w:rsidRPr="0071782F">
        <w:rPr>
          <w:lang w:val="fr-CH"/>
        </w:rPr>
        <w:t>Concevoir les moyens nécessaires pour améliorer la productivité et les revenus ruraux et créer des emplois, en particulier des emplois non saisonniers</w:t>
      </w:r>
      <w:r w:rsidRPr="0071782F">
        <w:rPr>
          <w:lang w:val="fr-CH"/>
        </w:rPr>
        <w:t xml:space="preserve">, </w:t>
      </w:r>
      <w:r w:rsidR="00991A24" w:rsidRPr="0071782F">
        <w:rPr>
          <w:lang w:val="fr-CH"/>
        </w:rPr>
        <w:t xml:space="preserve">en encourageant la participation </w:t>
      </w:r>
      <w:r w:rsidRPr="0071782F">
        <w:rPr>
          <w:lang w:val="fr-CH"/>
        </w:rPr>
        <w:t>rural</w:t>
      </w:r>
      <w:r w:rsidR="00991A24" w:rsidRPr="0071782F">
        <w:rPr>
          <w:lang w:val="fr-CH"/>
        </w:rPr>
        <w:t>e</w:t>
      </w:r>
      <w:r w:rsidRPr="0071782F">
        <w:rPr>
          <w:lang w:val="fr-CH"/>
        </w:rPr>
        <w:t xml:space="preserve"> </w:t>
      </w:r>
      <w:r w:rsidR="00991A24" w:rsidRPr="0071782F">
        <w:rPr>
          <w:lang w:val="fr-CH"/>
        </w:rPr>
        <w:t>et</w:t>
      </w:r>
      <w:r w:rsidRPr="0071782F">
        <w:rPr>
          <w:lang w:val="fr-CH"/>
        </w:rPr>
        <w:t xml:space="preserve"> local</w:t>
      </w:r>
      <w:r w:rsidR="00991A24" w:rsidRPr="0071782F">
        <w:rPr>
          <w:lang w:val="fr-CH"/>
        </w:rPr>
        <w:t>e et en facilitant l’utilisation des fonds à taux d’intérêt nul pour le développement de l’emploi rural et celle du fonds pour l’emploi des pauvres.</w:t>
      </w:r>
      <w:r w:rsidR="00D36718">
        <w:rPr>
          <w:lang w:val="fr-CH"/>
        </w:rPr>
        <w:t xml:space="preserve"> </w:t>
      </w:r>
    </w:p>
    <w:p w:rsidR="00DD2B20" w:rsidRPr="0071782F" w:rsidRDefault="00DD2B20" w:rsidP="00DD2B20">
      <w:pPr>
        <w:pStyle w:val="H1G"/>
        <w:rPr>
          <w:lang w:val="fr-CH"/>
        </w:rPr>
      </w:pPr>
      <w:r w:rsidRPr="0071782F">
        <w:rPr>
          <w:lang w:val="fr-CH"/>
        </w:rPr>
        <w:tab/>
      </w:r>
      <w:r w:rsidRPr="0071782F">
        <w:rPr>
          <w:lang w:val="fr-CH"/>
        </w:rPr>
        <w:tab/>
      </w:r>
      <w:r w:rsidR="00943A69" w:rsidRPr="0071782F">
        <w:rPr>
          <w:lang w:val="fr-CH"/>
        </w:rPr>
        <w:t>Article </w:t>
      </w:r>
      <w:r w:rsidRPr="0071782F">
        <w:rPr>
          <w:lang w:val="fr-CH"/>
        </w:rPr>
        <w:t>96</w:t>
      </w:r>
    </w:p>
    <w:p w:rsidR="00DD2B20" w:rsidRPr="0071782F" w:rsidRDefault="00DD2B20" w:rsidP="00DD2B20">
      <w:pPr>
        <w:pStyle w:val="SingleTxtG"/>
        <w:rPr>
          <w:lang w:val="fr-CH"/>
        </w:rPr>
      </w:pPr>
      <w:r w:rsidRPr="0071782F">
        <w:rPr>
          <w:lang w:val="fr-CH"/>
        </w:rPr>
        <w:t>114.</w:t>
      </w:r>
      <w:r w:rsidRPr="0071782F">
        <w:rPr>
          <w:lang w:val="fr-CH"/>
        </w:rPr>
        <w:tab/>
      </w:r>
      <w:r w:rsidR="00517C47" w:rsidRPr="0071782F">
        <w:rPr>
          <w:lang w:val="fr-CH"/>
        </w:rPr>
        <w:t>Le développement intégral du système de sécurité social</w:t>
      </w:r>
      <w:r w:rsidR="0018666B" w:rsidRPr="0071782F">
        <w:rPr>
          <w:lang w:val="fr-CH"/>
        </w:rPr>
        <w:t>e</w:t>
      </w:r>
      <w:r w:rsidR="00517C47" w:rsidRPr="0071782F">
        <w:rPr>
          <w:lang w:val="fr-CH"/>
        </w:rPr>
        <w:t xml:space="preserve"> prévu à l’occasion du </w:t>
      </w:r>
      <w:r w:rsidR="00A90208" w:rsidRPr="0071782F">
        <w:rPr>
          <w:lang w:val="fr-CH"/>
        </w:rPr>
        <w:t>quatrième</w:t>
      </w:r>
      <w:r w:rsidR="00517C47" w:rsidRPr="0071782F">
        <w:rPr>
          <w:lang w:val="fr-CH"/>
        </w:rPr>
        <w:t xml:space="preserve"> plan de développement a conduit l’État à augmenter progressivement l’appui financier, les services et le nombre de leurs bénéficiaires dont il est question dans </w:t>
      </w:r>
      <w:r w:rsidR="00723F2B" w:rsidRPr="0071782F">
        <w:rPr>
          <w:lang w:val="fr-CH"/>
        </w:rPr>
        <w:t>l’</w:t>
      </w:r>
      <w:r w:rsidR="00943A69" w:rsidRPr="0071782F">
        <w:rPr>
          <w:lang w:val="fr-CH"/>
        </w:rPr>
        <w:t>article </w:t>
      </w:r>
      <w:r w:rsidRPr="0071782F">
        <w:rPr>
          <w:lang w:val="fr-CH"/>
        </w:rPr>
        <w:t xml:space="preserve">29 </w:t>
      </w:r>
      <w:r w:rsidR="00517C47" w:rsidRPr="0071782F">
        <w:rPr>
          <w:lang w:val="fr-CH"/>
        </w:rPr>
        <w:t xml:space="preserve">de la </w:t>
      </w:r>
      <w:r w:rsidRPr="0071782F">
        <w:rPr>
          <w:lang w:val="fr-CH"/>
        </w:rPr>
        <w:t xml:space="preserve">Constitution </w:t>
      </w:r>
      <w:r w:rsidR="00517C47" w:rsidRPr="0071782F">
        <w:rPr>
          <w:lang w:val="fr-CH"/>
        </w:rPr>
        <w:t>en utilisant les recettes publiques et les fonds générés par la participation du public par le biais des activités d’assurance, d’appui et de secours, selon les modalités indiquées ci-après.</w:t>
      </w:r>
    </w:p>
    <w:p w:rsidR="00DD2B20" w:rsidRPr="0071782F" w:rsidRDefault="00DD2B20" w:rsidP="00DD2B20">
      <w:pPr>
        <w:pStyle w:val="SingleTxtG"/>
        <w:ind w:left="1701" w:hanging="567"/>
        <w:rPr>
          <w:lang w:val="fr-CH"/>
        </w:rPr>
      </w:pPr>
      <w:r w:rsidRPr="0071782F">
        <w:rPr>
          <w:lang w:val="fr-CH"/>
        </w:rPr>
        <w:tab/>
        <w:t>114.1.</w:t>
      </w:r>
      <w:r w:rsidRPr="0071782F">
        <w:rPr>
          <w:lang w:val="fr-CH"/>
        </w:rPr>
        <w:tab/>
      </w:r>
      <w:r w:rsidR="00E26F55" w:rsidRPr="0071782F">
        <w:rPr>
          <w:lang w:val="fr-CH"/>
        </w:rPr>
        <w:t>Augmenter le nombre des bénéficiaires des assurances sociales, en se concentrant plus particulièrement sur les communautés rurales et nomades ainsi que sur les groupes de la population urbaine non encore assurés.</w:t>
      </w:r>
      <w:r w:rsidRPr="0071782F">
        <w:rPr>
          <w:lang w:val="fr-CH"/>
        </w:rPr>
        <w:t xml:space="preserve"> </w:t>
      </w:r>
      <w:r w:rsidR="00E26F55" w:rsidRPr="0071782F">
        <w:rPr>
          <w:lang w:val="fr-CH"/>
        </w:rPr>
        <w:t xml:space="preserve">L’État veillera à ce que les dispositions juridiques relatives à l’assurance sociale des communautés rurales et nomades soient rédigées, adoptées et mises en </w:t>
      </w:r>
      <w:r w:rsidR="00D5366B" w:rsidRPr="0071782F">
        <w:rPr>
          <w:lang w:val="fr-CH"/>
        </w:rPr>
        <w:t>œuvre</w:t>
      </w:r>
      <w:r w:rsidR="00E26F55" w:rsidRPr="0071782F">
        <w:rPr>
          <w:lang w:val="fr-CH"/>
        </w:rPr>
        <w:t xml:space="preserve"> à partir de la deuxième année du </w:t>
      </w:r>
      <w:r w:rsidR="00A90208" w:rsidRPr="0071782F">
        <w:rPr>
          <w:lang w:val="fr-CH"/>
        </w:rPr>
        <w:t>quatrième</w:t>
      </w:r>
      <w:r w:rsidR="00E26F55" w:rsidRPr="0071782F">
        <w:rPr>
          <w:lang w:val="fr-CH"/>
        </w:rPr>
        <w:t xml:space="preserve"> plan de développement avec la </w:t>
      </w:r>
      <w:r w:rsidRPr="0071782F">
        <w:rPr>
          <w:lang w:val="fr-CH"/>
        </w:rPr>
        <w:t xml:space="preserve">participation </w:t>
      </w:r>
      <w:r w:rsidR="00E26F55" w:rsidRPr="0071782F">
        <w:rPr>
          <w:lang w:val="fr-CH"/>
        </w:rPr>
        <w:t>de l’État et de ces communautés</w:t>
      </w:r>
      <w:r w:rsidRPr="0071782F">
        <w:rPr>
          <w:lang w:val="fr-CH"/>
        </w:rPr>
        <w:t>.</w:t>
      </w:r>
    </w:p>
    <w:p w:rsidR="00DD2B20" w:rsidRPr="0071782F" w:rsidRDefault="00DD2B20" w:rsidP="00DD2B20">
      <w:pPr>
        <w:pStyle w:val="SingleTxtG"/>
        <w:ind w:left="1701" w:hanging="567"/>
        <w:rPr>
          <w:lang w:val="fr-CH"/>
        </w:rPr>
      </w:pPr>
      <w:r w:rsidRPr="0071782F">
        <w:rPr>
          <w:lang w:val="fr-CH"/>
        </w:rPr>
        <w:tab/>
        <w:t>114.2.</w:t>
      </w:r>
      <w:r w:rsidRPr="0071782F">
        <w:rPr>
          <w:lang w:val="fr-CH"/>
        </w:rPr>
        <w:tab/>
      </w:r>
      <w:r w:rsidR="00FF62EC" w:rsidRPr="0071782F">
        <w:rPr>
          <w:lang w:val="fr-CH"/>
        </w:rPr>
        <w:t xml:space="preserve">Garantir les services de base de l’assurance médicale universelle à l’ensemble de la population </w:t>
      </w:r>
      <w:r w:rsidRPr="0071782F">
        <w:rPr>
          <w:lang w:val="fr-CH"/>
        </w:rPr>
        <w:t>(100</w:t>
      </w:r>
      <w:r w:rsidR="007E5125" w:rsidRPr="0071782F">
        <w:rPr>
          <w:lang w:val="fr-CH"/>
        </w:rPr>
        <w:t>%</w:t>
      </w:r>
      <w:r w:rsidRPr="0071782F">
        <w:rPr>
          <w:lang w:val="fr-CH"/>
        </w:rPr>
        <w:t>).</w:t>
      </w:r>
    </w:p>
    <w:p w:rsidR="00DD2B20" w:rsidRPr="0071782F" w:rsidRDefault="00DD2B20" w:rsidP="00DD2B20">
      <w:pPr>
        <w:pStyle w:val="SingleTxtG"/>
        <w:ind w:left="1701" w:hanging="567"/>
        <w:rPr>
          <w:lang w:val="fr-CH"/>
        </w:rPr>
      </w:pPr>
      <w:r w:rsidRPr="0071782F">
        <w:rPr>
          <w:lang w:val="fr-CH"/>
        </w:rPr>
        <w:tab/>
        <w:t>114.3.</w:t>
      </w:r>
      <w:r w:rsidRPr="0071782F">
        <w:rPr>
          <w:lang w:val="fr-CH"/>
        </w:rPr>
        <w:tab/>
      </w:r>
      <w:r w:rsidR="00FF62EC" w:rsidRPr="0071782F">
        <w:rPr>
          <w:lang w:val="fr-CH"/>
        </w:rPr>
        <w:t xml:space="preserve">Créer une assurance spéciale </w:t>
      </w:r>
      <w:r w:rsidRPr="0071782F">
        <w:rPr>
          <w:lang w:val="fr-CH"/>
        </w:rPr>
        <w:t>(</w:t>
      </w:r>
      <w:r w:rsidR="00FF62EC" w:rsidRPr="0071782F">
        <w:rPr>
          <w:lang w:val="fr-CH"/>
        </w:rPr>
        <w:t xml:space="preserve">sous la </w:t>
      </w:r>
      <w:r w:rsidRPr="0071782F">
        <w:rPr>
          <w:lang w:val="fr-CH"/>
        </w:rPr>
        <w:t>form</w:t>
      </w:r>
      <w:r w:rsidR="00FF62EC" w:rsidRPr="0071782F">
        <w:rPr>
          <w:lang w:val="fr-CH"/>
        </w:rPr>
        <w:t xml:space="preserve">e de </w:t>
      </w:r>
      <w:r w:rsidRPr="0071782F">
        <w:rPr>
          <w:lang w:val="fr-CH"/>
        </w:rPr>
        <w:t>services</w:t>
      </w:r>
      <w:r w:rsidR="00FF62EC" w:rsidRPr="0071782F">
        <w:rPr>
          <w:lang w:val="fr-CH"/>
        </w:rPr>
        <w:t xml:space="preserve"> de soutien</w:t>
      </w:r>
      <w:r w:rsidRPr="0071782F">
        <w:rPr>
          <w:lang w:val="fr-CH"/>
        </w:rPr>
        <w:t xml:space="preserve">) </w:t>
      </w:r>
      <w:r w:rsidR="00FF62EC" w:rsidRPr="0071782F">
        <w:rPr>
          <w:lang w:val="fr-CH"/>
        </w:rPr>
        <w:t xml:space="preserve">pour les femmes chefs </w:t>
      </w:r>
      <w:r w:rsidR="0092511D" w:rsidRPr="0071782F">
        <w:rPr>
          <w:lang w:val="fr-CH"/>
        </w:rPr>
        <w:t>de famille</w:t>
      </w:r>
      <w:r w:rsidR="00FF62EC" w:rsidRPr="0071782F">
        <w:rPr>
          <w:lang w:val="fr-CH"/>
        </w:rPr>
        <w:t xml:space="preserve"> et pour d’autres</w:t>
      </w:r>
      <w:r w:rsidR="00097CDB" w:rsidRPr="0071782F">
        <w:rPr>
          <w:lang w:val="fr-CH"/>
        </w:rPr>
        <w:t> personnes</w:t>
      </w:r>
      <w:r w:rsidR="00FF62EC" w:rsidRPr="0071782F">
        <w:rPr>
          <w:lang w:val="fr-CH"/>
        </w:rPr>
        <w:t>, en particulier les enfants sans tuteur</w:t>
      </w:r>
      <w:r w:rsidRPr="0071782F">
        <w:rPr>
          <w:lang w:val="fr-CH"/>
        </w:rPr>
        <w:t>.</w:t>
      </w:r>
    </w:p>
    <w:p w:rsidR="00DD2B20" w:rsidRPr="0071782F" w:rsidRDefault="00DD2B20" w:rsidP="00DD2B20">
      <w:pPr>
        <w:pStyle w:val="SingleTxtG"/>
        <w:ind w:left="1701" w:hanging="567"/>
        <w:rPr>
          <w:lang w:val="fr-CH"/>
        </w:rPr>
      </w:pPr>
      <w:r w:rsidRPr="0071782F">
        <w:rPr>
          <w:lang w:val="fr-CH"/>
        </w:rPr>
        <w:tab/>
        <w:t>114.4.</w:t>
      </w:r>
      <w:r w:rsidRPr="0071782F">
        <w:rPr>
          <w:lang w:val="fr-CH"/>
        </w:rPr>
        <w:tab/>
      </w:r>
      <w:r w:rsidR="00FF62EC" w:rsidRPr="0071782F">
        <w:rPr>
          <w:lang w:val="fr-CH"/>
        </w:rPr>
        <w:t>R</w:t>
      </w:r>
      <w:r w:rsidRPr="0071782F">
        <w:rPr>
          <w:lang w:val="fr-CH"/>
        </w:rPr>
        <w:t>estructure</w:t>
      </w:r>
      <w:r w:rsidR="00FF62EC" w:rsidRPr="0071782F">
        <w:rPr>
          <w:lang w:val="fr-CH"/>
        </w:rPr>
        <w:t xml:space="preserve">r les </w:t>
      </w:r>
      <w:r w:rsidRPr="0071782F">
        <w:rPr>
          <w:lang w:val="fr-CH"/>
        </w:rPr>
        <w:t xml:space="preserve">services </w:t>
      </w:r>
      <w:r w:rsidR="00FF62EC" w:rsidRPr="0071782F">
        <w:rPr>
          <w:lang w:val="fr-CH"/>
        </w:rPr>
        <w:t xml:space="preserve">de soutien en vue de renforcer l’autonomie </w:t>
      </w:r>
      <w:r w:rsidR="007F37CE" w:rsidRPr="0071782F">
        <w:rPr>
          <w:lang w:val="fr-CH"/>
        </w:rPr>
        <w:t>des personnes</w:t>
      </w:r>
      <w:r w:rsidR="00FF62EC" w:rsidRPr="0071782F">
        <w:rPr>
          <w:lang w:val="fr-CH"/>
        </w:rPr>
        <w:t xml:space="preserve"> prises en charge par les organismes de soutien et de les assur</w:t>
      </w:r>
      <w:r w:rsidR="0018666B" w:rsidRPr="0071782F">
        <w:rPr>
          <w:lang w:val="fr-CH"/>
        </w:rPr>
        <w:t>er</w:t>
      </w:r>
      <w:r w:rsidR="00FF62EC" w:rsidRPr="0071782F">
        <w:rPr>
          <w:lang w:val="fr-CH"/>
        </w:rPr>
        <w:t>.</w:t>
      </w:r>
    </w:p>
    <w:p w:rsidR="00DD2B20" w:rsidRPr="0071782F" w:rsidRDefault="00DD2B20" w:rsidP="00DD2B20">
      <w:pPr>
        <w:pStyle w:val="SingleTxtG"/>
        <w:ind w:left="1701" w:hanging="567"/>
        <w:rPr>
          <w:lang w:val="fr-CH"/>
        </w:rPr>
      </w:pPr>
      <w:r w:rsidRPr="0071782F">
        <w:rPr>
          <w:lang w:val="fr-CH"/>
        </w:rPr>
        <w:tab/>
        <w:t>114.5.</w:t>
      </w:r>
      <w:r w:rsidRPr="0071782F">
        <w:rPr>
          <w:lang w:val="fr-CH"/>
        </w:rPr>
        <w:tab/>
      </w:r>
      <w:r w:rsidR="00312CB3" w:rsidRPr="0071782F">
        <w:rPr>
          <w:lang w:val="fr-CH"/>
        </w:rPr>
        <w:t xml:space="preserve">Prendre les dispositions nécessaires pour s’assurer que l’État se sera acquitté, à la fin du </w:t>
      </w:r>
      <w:r w:rsidR="00A90208" w:rsidRPr="0071782F">
        <w:rPr>
          <w:lang w:val="fr-CH"/>
        </w:rPr>
        <w:t>quatrième</w:t>
      </w:r>
      <w:r w:rsidR="00312CB3" w:rsidRPr="0071782F">
        <w:rPr>
          <w:lang w:val="fr-CH"/>
        </w:rPr>
        <w:t xml:space="preserve"> plan de développement, de toutes les dettes qu’il a contractées à l’égard des organisations d’assurance et prévenir l’accumulation de nouvelles dettes.</w:t>
      </w:r>
    </w:p>
    <w:p w:rsidR="00DD2B20" w:rsidRPr="0071782F" w:rsidRDefault="00DD2B20" w:rsidP="00DD2B20">
      <w:pPr>
        <w:pStyle w:val="SingleTxtG"/>
        <w:ind w:left="1701" w:hanging="567"/>
        <w:rPr>
          <w:lang w:val="fr-CH"/>
        </w:rPr>
      </w:pPr>
      <w:r w:rsidRPr="0071782F">
        <w:rPr>
          <w:lang w:val="fr-CH"/>
        </w:rPr>
        <w:tab/>
        <w:t>114.6.</w:t>
      </w:r>
      <w:r w:rsidRPr="0071782F">
        <w:rPr>
          <w:lang w:val="fr-CH"/>
        </w:rPr>
        <w:tab/>
      </w:r>
      <w:r w:rsidR="00312CB3" w:rsidRPr="0071782F">
        <w:rPr>
          <w:lang w:val="fr-CH"/>
        </w:rPr>
        <w:t xml:space="preserve">Adopter, au cours de la première année du </w:t>
      </w:r>
      <w:r w:rsidR="00A90208" w:rsidRPr="0071782F">
        <w:rPr>
          <w:lang w:val="fr-CH"/>
        </w:rPr>
        <w:t>quatrième</w:t>
      </w:r>
      <w:r w:rsidR="00312CB3" w:rsidRPr="0071782F">
        <w:rPr>
          <w:lang w:val="fr-CH"/>
        </w:rPr>
        <w:t xml:space="preserve"> plan de développement, les mesures nécessaires pour réduire la période de versement de l’allocation de chômage afin de réguler le marché du travail</w:t>
      </w:r>
      <w:r w:rsidR="002D0C53" w:rsidRPr="0071782F">
        <w:rPr>
          <w:lang w:val="fr-CH"/>
        </w:rPr>
        <w:t>,</w:t>
      </w:r>
      <w:r w:rsidR="00312CB3" w:rsidRPr="0071782F">
        <w:rPr>
          <w:lang w:val="fr-CH"/>
        </w:rPr>
        <w:t xml:space="preserve"> et allonger la durée de l’activité antérieure nécessaire pour avoir droit à l’assurance chômage</w:t>
      </w:r>
      <w:r w:rsidRPr="0071782F">
        <w:rPr>
          <w:lang w:val="fr-CH"/>
        </w:rPr>
        <w:t>.</w:t>
      </w:r>
    </w:p>
    <w:p w:rsidR="00DD2B20" w:rsidRPr="0071782F" w:rsidRDefault="00DD2B20" w:rsidP="00DD2B20">
      <w:pPr>
        <w:pStyle w:val="SingleTxtG"/>
        <w:ind w:left="1701" w:hanging="567"/>
        <w:rPr>
          <w:lang w:val="fr-CH"/>
        </w:rPr>
      </w:pPr>
      <w:r w:rsidRPr="0071782F">
        <w:rPr>
          <w:lang w:val="fr-CH"/>
        </w:rPr>
        <w:tab/>
        <w:t>114.7.</w:t>
      </w:r>
      <w:r w:rsidRPr="0071782F">
        <w:rPr>
          <w:lang w:val="fr-CH"/>
        </w:rPr>
        <w:tab/>
      </w:r>
      <w:r w:rsidR="007639C4" w:rsidRPr="0071782F">
        <w:rPr>
          <w:lang w:val="fr-CH"/>
        </w:rPr>
        <w:t xml:space="preserve">L’évolution des indicateurs </w:t>
      </w:r>
      <w:r w:rsidRPr="0071782F">
        <w:rPr>
          <w:lang w:val="fr-CH"/>
        </w:rPr>
        <w:t>d</w:t>
      </w:r>
      <w:r w:rsidR="007639C4" w:rsidRPr="0071782F">
        <w:rPr>
          <w:lang w:val="fr-CH"/>
        </w:rPr>
        <w:t>émographiques et l’accroissement de l’espérance de vie dans le pays, ainsi que la nécessité de garantir la durabilité des fonds d’assurances sociales et de rationaliser leurs critères de calcul amènent l’État à apporter les correctifs nécessaires à son système de calcul des assurances au vu de l’expérience et des normes internationales</w:t>
      </w:r>
      <w:r w:rsidRPr="0071782F">
        <w:rPr>
          <w:lang w:val="fr-CH"/>
        </w:rPr>
        <w:t>.</w:t>
      </w:r>
    </w:p>
    <w:p w:rsidR="00DD2B20" w:rsidRPr="0071782F" w:rsidRDefault="00DD2B20" w:rsidP="00DD2B20">
      <w:pPr>
        <w:pStyle w:val="SingleTxtG"/>
        <w:ind w:left="1701" w:hanging="567"/>
        <w:rPr>
          <w:lang w:val="fr-CH"/>
        </w:rPr>
      </w:pPr>
      <w:r w:rsidRPr="0071782F">
        <w:rPr>
          <w:lang w:val="fr-CH"/>
        </w:rPr>
        <w:tab/>
        <w:t>114.8.</w:t>
      </w:r>
      <w:r w:rsidRPr="0071782F">
        <w:rPr>
          <w:lang w:val="fr-CH"/>
        </w:rPr>
        <w:tab/>
      </w:r>
      <w:r w:rsidR="00316AA0" w:rsidRPr="0071782F">
        <w:rPr>
          <w:lang w:val="fr-CH"/>
        </w:rPr>
        <w:t>Au cas où le taux d’accroissement des salaires des travailleurs au cours de leurs deux dernières années de service serait supérieur au taux naturel d’accroissement des années antérieures et pour autant que cet accroissement ne soit pas lié à une promotion, l’écart entre les pourcentages de retenue des travailleurs et de l’employeur sur les salaires réels et sur les salaires déclarés par l’employeur au cours des années antérieures</w:t>
      </w:r>
      <w:r w:rsidRPr="0071782F">
        <w:rPr>
          <w:lang w:val="fr-CH"/>
        </w:rPr>
        <w:t xml:space="preserve"> </w:t>
      </w:r>
      <w:r w:rsidR="00316AA0" w:rsidRPr="0071782F">
        <w:rPr>
          <w:lang w:val="fr-CH"/>
        </w:rPr>
        <w:t>sera alloué à l’Organisation de la sécurité sociale. Le montant à verser sera déterminé conformément au projet de loi que le Conseil des ministre</w:t>
      </w:r>
      <w:r w:rsidR="00943A69" w:rsidRPr="0071782F">
        <w:rPr>
          <w:lang w:val="fr-CH"/>
        </w:rPr>
        <w:t>s</w:t>
      </w:r>
      <w:r w:rsidR="00316AA0" w:rsidRPr="0071782F">
        <w:rPr>
          <w:lang w:val="fr-CH"/>
        </w:rPr>
        <w:t xml:space="preserve"> élaborera avant de le présenter au Parlement pour adoption</w:t>
      </w:r>
      <w:r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r>
      <w:r w:rsidR="00943A69" w:rsidRPr="0071782F">
        <w:rPr>
          <w:lang w:val="fr-CH"/>
        </w:rPr>
        <w:t>Article </w:t>
      </w:r>
      <w:r w:rsidRPr="0071782F">
        <w:rPr>
          <w:lang w:val="fr-CH"/>
        </w:rPr>
        <w:t>97</w:t>
      </w:r>
    </w:p>
    <w:p w:rsidR="00DD2B20" w:rsidRPr="0071782F" w:rsidRDefault="00DD2B20" w:rsidP="00DD2B20">
      <w:pPr>
        <w:pStyle w:val="SingleTxtG"/>
        <w:rPr>
          <w:lang w:val="fr-CH"/>
        </w:rPr>
      </w:pPr>
      <w:r w:rsidRPr="0071782F">
        <w:rPr>
          <w:lang w:val="fr-CH"/>
        </w:rPr>
        <w:t>115.</w:t>
      </w:r>
      <w:r w:rsidRPr="0071782F">
        <w:rPr>
          <w:lang w:val="fr-CH"/>
        </w:rPr>
        <w:tab/>
      </w:r>
      <w:r w:rsidR="0075601B" w:rsidRPr="0071782F">
        <w:rPr>
          <w:lang w:val="fr-CH"/>
        </w:rPr>
        <w:t>Pour prévenir ou réduire tout préjudice social, l’État est tenu d’élaborer un plan général visant à combattre et à réduire les préjudices sociaux, qui mette plus particulièrement l’accent sur la prévention de la toxicomanie et aborde les thèmes suivants</w:t>
      </w:r>
      <w:r w:rsidR="008F7D33" w:rsidRPr="0071782F">
        <w:rPr>
          <w:lang w:val="fr-CH"/>
        </w:rPr>
        <w:t>:</w:t>
      </w:r>
      <w:r w:rsidR="00D36718">
        <w:rPr>
          <w:lang w:val="fr-CH"/>
        </w:rPr>
        <w:t xml:space="preserve"> </w:t>
      </w:r>
    </w:p>
    <w:p w:rsidR="00DD2B20" w:rsidRPr="0071782F" w:rsidRDefault="00DD2B20" w:rsidP="00DD2B20">
      <w:pPr>
        <w:pStyle w:val="SingleTxtG"/>
        <w:ind w:left="1701" w:hanging="567"/>
        <w:rPr>
          <w:lang w:val="fr-CH"/>
        </w:rPr>
      </w:pPr>
      <w:r w:rsidRPr="0071782F">
        <w:rPr>
          <w:lang w:val="fr-CH"/>
        </w:rPr>
        <w:tab/>
        <w:t>115.1.</w:t>
      </w:r>
      <w:r w:rsidRPr="0071782F">
        <w:rPr>
          <w:lang w:val="fr-CH"/>
        </w:rPr>
        <w:tab/>
      </w:r>
      <w:r w:rsidR="0075601B" w:rsidRPr="0071782F">
        <w:rPr>
          <w:lang w:val="fr-CH"/>
        </w:rPr>
        <w:t xml:space="preserve">Amélioration de la santé mentale, extension du travail et des services sociaux, consolidation de l’institution familiale et renforcement de l’autonomie </w:t>
      </w:r>
      <w:r w:rsidR="007F37CE" w:rsidRPr="0071782F">
        <w:rPr>
          <w:lang w:val="fr-CH"/>
        </w:rPr>
        <w:t>des personnes</w:t>
      </w:r>
      <w:r w:rsidR="0075601B" w:rsidRPr="0071782F">
        <w:rPr>
          <w:lang w:val="fr-CH"/>
        </w:rPr>
        <w:t xml:space="preserve"> et groupes vulnérables</w:t>
      </w:r>
      <w:r w:rsidR="003C5AE0" w:rsidRPr="0071782F">
        <w:rPr>
          <w:lang w:val="fr-CH"/>
        </w:rPr>
        <w:t>.</w:t>
      </w:r>
    </w:p>
    <w:p w:rsidR="00DD2B20" w:rsidRPr="0071782F" w:rsidRDefault="00DD2B20" w:rsidP="00DD2B20">
      <w:pPr>
        <w:pStyle w:val="SingleTxtG"/>
        <w:ind w:left="1701" w:hanging="567"/>
        <w:rPr>
          <w:lang w:val="fr-CH"/>
        </w:rPr>
      </w:pPr>
      <w:r w:rsidRPr="0071782F">
        <w:rPr>
          <w:lang w:val="fr-CH"/>
        </w:rPr>
        <w:tab/>
        <w:t>115.2.</w:t>
      </w:r>
      <w:r w:rsidRPr="0071782F">
        <w:rPr>
          <w:lang w:val="fr-CH"/>
        </w:rPr>
        <w:tab/>
      </w:r>
      <w:r w:rsidR="0075601B" w:rsidRPr="0071782F">
        <w:rPr>
          <w:lang w:val="fr-CH"/>
        </w:rPr>
        <w:t>Mesures destinées à développer l’optimisme, l’espoir, l’estime de soi, la confiance dans la société et l’approfondissement des croyances religieuses et des normes sociales</w:t>
      </w:r>
      <w:r w:rsidR="003C5AE0" w:rsidRPr="0071782F">
        <w:rPr>
          <w:lang w:val="fr-CH"/>
        </w:rPr>
        <w:t>.</w:t>
      </w:r>
    </w:p>
    <w:p w:rsidR="00DD2B20" w:rsidRPr="0071782F" w:rsidRDefault="00DD2B20" w:rsidP="00DD2B20">
      <w:pPr>
        <w:pStyle w:val="SingleTxtG"/>
        <w:ind w:left="1701" w:hanging="567"/>
        <w:rPr>
          <w:lang w:val="fr-CH"/>
        </w:rPr>
      </w:pPr>
      <w:r w:rsidRPr="0071782F">
        <w:rPr>
          <w:lang w:val="fr-CH"/>
        </w:rPr>
        <w:tab/>
        <w:t>115.3.</w:t>
      </w:r>
      <w:r w:rsidRPr="0071782F">
        <w:rPr>
          <w:lang w:val="fr-CH"/>
        </w:rPr>
        <w:tab/>
      </w:r>
      <w:r w:rsidR="0075601B" w:rsidRPr="0071782F">
        <w:rPr>
          <w:lang w:val="fr-CH"/>
        </w:rPr>
        <w:t>Repérer les points faibles et critiques du tissu social des villes et de leurs banlieues en vue de fournir des services de soutien social spécifiques, tels que les soins de santé et les traitements médicaux ainsi que les services de consultation sociale et juridique</w:t>
      </w:r>
      <w:r w:rsidRPr="0071782F">
        <w:rPr>
          <w:lang w:val="fr-CH"/>
        </w:rPr>
        <w:t xml:space="preserve">, </w:t>
      </w:r>
      <w:r w:rsidR="0075601B" w:rsidRPr="0071782F">
        <w:rPr>
          <w:lang w:val="fr-CH"/>
        </w:rPr>
        <w:t xml:space="preserve">et de promouvoir dans les zones concernées des programmes d’emploi par le biais de la coopération </w:t>
      </w:r>
      <w:r w:rsidRPr="0071782F">
        <w:rPr>
          <w:lang w:val="fr-CH"/>
        </w:rPr>
        <w:t>intersector</w:t>
      </w:r>
      <w:r w:rsidR="0075601B" w:rsidRPr="0071782F">
        <w:rPr>
          <w:lang w:val="fr-CH"/>
        </w:rPr>
        <w:t>ielle et de la gestion des préjudices sociaux</w:t>
      </w:r>
      <w:r w:rsidR="003C5AE0" w:rsidRPr="0071782F">
        <w:rPr>
          <w:lang w:val="fr-CH"/>
        </w:rPr>
        <w:t>.</w:t>
      </w:r>
    </w:p>
    <w:p w:rsidR="00DD2B20" w:rsidRPr="0071782F" w:rsidRDefault="00DD2B20" w:rsidP="00DD2B20">
      <w:pPr>
        <w:pStyle w:val="SingleTxtG"/>
        <w:ind w:left="1701" w:hanging="567"/>
        <w:rPr>
          <w:lang w:val="fr-CH"/>
        </w:rPr>
      </w:pPr>
      <w:r w:rsidRPr="0071782F">
        <w:rPr>
          <w:lang w:val="fr-CH"/>
        </w:rPr>
        <w:tab/>
        <w:t>115.4.</w:t>
      </w:r>
      <w:r w:rsidRPr="0071782F">
        <w:rPr>
          <w:lang w:val="fr-CH"/>
        </w:rPr>
        <w:tab/>
      </w:r>
      <w:r w:rsidR="003460C9" w:rsidRPr="0071782F">
        <w:rPr>
          <w:lang w:val="fr-CH"/>
        </w:rPr>
        <w:t>Pré</w:t>
      </w:r>
      <w:r w:rsidRPr="0071782F">
        <w:rPr>
          <w:lang w:val="fr-CH"/>
        </w:rPr>
        <w:t xml:space="preserve">vention </w:t>
      </w:r>
      <w:r w:rsidR="003460C9" w:rsidRPr="0071782F">
        <w:rPr>
          <w:lang w:val="fr-CH"/>
        </w:rPr>
        <w:t>précoce des préjudices sociaux, par exemple en révisant les matières de l’enseignement général et en inscrivant des sujets sociaux et l’enseignement des compétences pratiques dans les programmes éducatifs</w:t>
      </w:r>
      <w:r w:rsidR="003C5AE0" w:rsidRPr="0071782F">
        <w:rPr>
          <w:lang w:val="fr-CH"/>
        </w:rPr>
        <w:t>.</w:t>
      </w:r>
    </w:p>
    <w:p w:rsidR="00DD2B20" w:rsidRPr="0071782F" w:rsidRDefault="00DD2B20" w:rsidP="00DD2B20">
      <w:pPr>
        <w:pStyle w:val="SingleTxtG"/>
        <w:ind w:left="1701" w:hanging="567"/>
        <w:rPr>
          <w:lang w:val="fr-CH"/>
        </w:rPr>
      </w:pPr>
      <w:r w:rsidRPr="0071782F">
        <w:rPr>
          <w:lang w:val="fr-CH"/>
        </w:rPr>
        <w:tab/>
        <w:t>115.5.</w:t>
      </w:r>
      <w:r w:rsidRPr="0071782F">
        <w:rPr>
          <w:lang w:val="fr-CH"/>
        </w:rPr>
        <w:tab/>
      </w:r>
      <w:r w:rsidR="003460C9" w:rsidRPr="0071782F">
        <w:rPr>
          <w:lang w:val="fr-CH"/>
        </w:rPr>
        <w:t xml:space="preserve">Fourniture en temps voulu, avec la coopération des ONG, de services </w:t>
      </w:r>
      <w:r w:rsidR="00175962" w:rsidRPr="0071782F">
        <w:rPr>
          <w:lang w:val="fr-CH"/>
        </w:rPr>
        <w:t>aux personnes</w:t>
      </w:r>
      <w:r w:rsidR="003460C9" w:rsidRPr="0071782F">
        <w:rPr>
          <w:lang w:val="fr-CH"/>
        </w:rPr>
        <w:t xml:space="preserve"> courant le risque de subir des préjudices sociaux</w:t>
      </w:r>
      <w:r w:rsidR="0001036F" w:rsidRPr="0071782F">
        <w:rPr>
          <w:lang w:val="fr-CH"/>
        </w:rPr>
        <w:t>.</w:t>
      </w:r>
    </w:p>
    <w:p w:rsidR="00DD2B20" w:rsidRPr="0071782F" w:rsidRDefault="00DD2B20" w:rsidP="00DD2B20">
      <w:pPr>
        <w:pStyle w:val="SingleTxtG"/>
        <w:ind w:left="1701" w:hanging="567"/>
        <w:rPr>
          <w:lang w:val="fr-CH"/>
        </w:rPr>
      </w:pPr>
      <w:r w:rsidRPr="0071782F">
        <w:rPr>
          <w:lang w:val="fr-CH"/>
        </w:rPr>
        <w:tab/>
        <w:t>115.6.</w:t>
      </w:r>
      <w:r w:rsidRPr="0071782F">
        <w:rPr>
          <w:lang w:val="fr-CH"/>
        </w:rPr>
        <w:tab/>
      </w:r>
      <w:r w:rsidR="003460C9" w:rsidRPr="0071782F">
        <w:rPr>
          <w:lang w:val="fr-CH"/>
        </w:rPr>
        <w:t>Réadaptation des victimes de préjudices sociaux et facilitation de leur réinsertion sociale</w:t>
      </w:r>
      <w:r w:rsidR="0001036F" w:rsidRPr="0071782F">
        <w:rPr>
          <w:lang w:val="fr-CH"/>
        </w:rPr>
        <w:t>.</w:t>
      </w:r>
    </w:p>
    <w:p w:rsidR="00DD2B20" w:rsidRPr="0071782F" w:rsidRDefault="00DD2B20" w:rsidP="00DD2B20">
      <w:pPr>
        <w:pStyle w:val="SingleTxtG"/>
        <w:ind w:left="1701" w:hanging="567"/>
        <w:rPr>
          <w:lang w:val="fr-CH"/>
        </w:rPr>
      </w:pPr>
      <w:r w:rsidRPr="0071782F">
        <w:rPr>
          <w:lang w:val="fr-CH"/>
        </w:rPr>
        <w:tab/>
        <w:t>115.7.</w:t>
      </w:r>
      <w:r w:rsidRPr="0071782F">
        <w:rPr>
          <w:lang w:val="fr-CH"/>
        </w:rPr>
        <w:tab/>
        <w:t xml:space="preserve">Formulation </w:t>
      </w:r>
      <w:r w:rsidR="003460C9" w:rsidRPr="0071782F">
        <w:rPr>
          <w:lang w:val="fr-CH"/>
        </w:rPr>
        <w:t xml:space="preserve">d’un plan </w:t>
      </w:r>
      <w:r w:rsidRPr="0071782F">
        <w:rPr>
          <w:lang w:val="fr-CH"/>
        </w:rPr>
        <w:t xml:space="preserve">national </w:t>
      </w:r>
      <w:r w:rsidR="003460C9" w:rsidRPr="0071782F">
        <w:rPr>
          <w:lang w:val="fr-CH"/>
        </w:rPr>
        <w:t>de lutte contre les stupéfiants et les substances psychotropes qui mette l’accent sur les thèmes suivants</w:t>
      </w:r>
      <w:r w:rsidR="008F7D33" w:rsidRPr="0071782F">
        <w:rPr>
          <w:lang w:val="fr-CH"/>
        </w:rPr>
        <w:t>:</w:t>
      </w:r>
      <w:r w:rsidRPr="0071782F">
        <w:rPr>
          <w:lang w:val="fr-CH"/>
        </w:rPr>
        <w:t xml:space="preserve"> pr</w:t>
      </w:r>
      <w:r w:rsidR="003460C9" w:rsidRPr="0071782F">
        <w:rPr>
          <w:lang w:val="fr-CH"/>
        </w:rPr>
        <w:t>é</w:t>
      </w:r>
      <w:r w:rsidRPr="0071782F">
        <w:rPr>
          <w:lang w:val="fr-CH"/>
        </w:rPr>
        <w:t xml:space="preserve">vention </w:t>
      </w:r>
      <w:r w:rsidR="003460C9" w:rsidRPr="0071782F">
        <w:rPr>
          <w:lang w:val="fr-CH"/>
        </w:rPr>
        <w:t>de la toxicomanie et du trafic de drogues en mobilisant toutes les capacités nationales,</w:t>
      </w:r>
      <w:r w:rsidR="00D36718">
        <w:rPr>
          <w:lang w:val="fr-CH"/>
        </w:rPr>
        <w:t xml:space="preserve"> </w:t>
      </w:r>
      <w:r w:rsidR="003460C9" w:rsidRPr="0071782F">
        <w:rPr>
          <w:lang w:val="fr-CH"/>
        </w:rPr>
        <w:t>focalisation prioritaire sur les stratégies de réduction des risques et des préjudices</w:t>
      </w:r>
      <w:r w:rsidRPr="0071782F">
        <w:rPr>
          <w:lang w:val="fr-CH"/>
        </w:rPr>
        <w:t xml:space="preserve">, </w:t>
      </w:r>
      <w:r w:rsidR="003460C9" w:rsidRPr="0071782F">
        <w:rPr>
          <w:lang w:val="fr-CH"/>
        </w:rPr>
        <w:t>l’ergothérapie</w:t>
      </w:r>
      <w:r w:rsidRPr="0071782F">
        <w:rPr>
          <w:lang w:val="fr-CH"/>
        </w:rPr>
        <w:t xml:space="preserve">, </w:t>
      </w:r>
      <w:r w:rsidR="003460C9" w:rsidRPr="0071782F">
        <w:rPr>
          <w:lang w:val="fr-CH"/>
        </w:rPr>
        <w:t>l’enseignement de compétences pratiques favorables à la santé, la psychothé</w:t>
      </w:r>
      <w:r w:rsidRPr="0071782F">
        <w:rPr>
          <w:lang w:val="fr-CH"/>
        </w:rPr>
        <w:t>rap</w:t>
      </w:r>
      <w:r w:rsidR="003460C9" w:rsidRPr="0071782F">
        <w:rPr>
          <w:lang w:val="fr-CH"/>
        </w:rPr>
        <w:t>ie</w:t>
      </w:r>
      <w:r w:rsidRPr="0071782F">
        <w:rPr>
          <w:lang w:val="fr-CH"/>
        </w:rPr>
        <w:t xml:space="preserve">, </w:t>
      </w:r>
      <w:r w:rsidR="003460C9" w:rsidRPr="0071782F">
        <w:rPr>
          <w:lang w:val="fr-CH"/>
        </w:rPr>
        <w:t>le traitement des toxicomanes reposant sur la collectivité</w:t>
      </w:r>
      <w:r w:rsidRPr="0071782F">
        <w:rPr>
          <w:lang w:val="fr-CH"/>
        </w:rPr>
        <w:t xml:space="preserve"> </w:t>
      </w:r>
      <w:r w:rsidR="003460C9" w:rsidRPr="0071782F">
        <w:rPr>
          <w:lang w:val="fr-CH"/>
        </w:rPr>
        <w:t xml:space="preserve">et l’utilisation des progrès scientifiques les plus récents dans les programmes et mesures de caractère pratique, la </w:t>
      </w:r>
      <w:r w:rsidRPr="0071782F">
        <w:rPr>
          <w:lang w:val="fr-CH"/>
        </w:rPr>
        <w:t>pr</w:t>
      </w:r>
      <w:r w:rsidR="003460C9" w:rsidRPr="0071782F">
        <w:rPr>
          <w:lang w:val="fr-CH"/>
        </w:rPr>
        <w:t>é</w:t>
      </w:r>
      <w:r w:rsidRPr="0071782F">
        <w:rPr>
          <w:lang w:val="fr-CH"/>
        </w:rPr>
        <w:t xml:space="preserve">vention </w:t>
      </w:r>
      <w:r w:rsidR="003460C9" w:rsidRPr="0071782F">
        <w:rPr>
          <w:lang w:val="fr-CH"/>
        </w:rPr>
        <w:t xml:space="preserve">d’une modification du schéma de consommation des drogues au profit de substances chimiques et synthétiques, la </w:t>
      </w:r>
      <w:r w:rsidRPr="0071782F">
        <w:rPr>
          <w:lang w:val="fr-CH"/>
        </w:rPr>
        <w:t>pr</w:t>
      </w:r>
      <w:r w:rsidR="003460C9" w:rsidRPr="0071782F">
        <w:rPr>
          <w:lang w:val="fr-CH"/>
        </w:rPr>
        <w:t>é</w:t>
      </w:r>
      <w:r w:rsidRPr="0071782F">
        <w:rPr>
          <w:lang w:val="fr-CH"/>
        </w:rPr>
        <w:t xml:space="preserve">vention </w:t>
      </w:r>
      <w:r w:rsidR="003460C9" w:rsidRPr="0071782F">
        <w:rPr>
          <w:lang w:val="fr-CH"/>
        </w:rPr>
        <w:t>du blanchiment du produit d’activités délictueuses liées aux stupéfiants et aux substances psychotropes</w:t>
      </w:r>
      <w:r w:rsidRPr="0071782F">
        <w:rPr>
          <w:lang w:val="fr-CH"/>
        </w:rPr>
        <w:t xml:space="preserve">, </w:t>
      </w:r>
      <w:r w:rsidR="003460C9" w:rsidRPr="0071782F">
        <w:rPr>
          <w:lang w:val="fr-CH"/>
        </w:rPr>
        <w:t xml:space="preserve">la mise en </w:t>
      </w:r>
      <w:r w:rsidR="00D5366B" w:rsidRPr="0071782F">
        <w:rPr>
          <w:lang w:val="fr-CH"/>
        </w:rPr>
        <w:t>œuvre</w:t>
      </w:r>
      <w:r w:rsidR="003460C9" w:rsidRPr="0071782F">
        <w:rPr>
          <w:lang w:val="fr-CH"/>
        </w:rPr>
        <w:t xml:space="preserve"> de tous les moyens et capacités nationaux pour faire obstacle au t</w:t>
      </w:r>
      <w:r w:rsidRPr="0071782F">
        <w:rPr>
          <w:lang w:val="fr-CH"/>
        </w:rPr>
        <w:t>ransport</w:t>
      </w:r>
      <w:r w:rsidR="003460C9" w:rsidRPr="0071782F">
        <w:rPr>
          <w:lang w:val="fr-CH"/>
        </w:rPr>
        <w:t xml:space="preserve"> et au </w:t>
      </w:r>
      <w:r w:rsidRPr="0071782F">
        <w:rPr>
          <w:lang w:val="fr-CH"/>
        </w:rPr>
        <w:t xml:space="preserve">transit </w:t>
      </w:r>
      <w:r w:rsidR="003460C9" w:rsidRPr="0071782F">
        <w:rPr>
          <w:lang w:val="fr-CH"/>
        </w:rPr>
        <w:t xml:space="preserve">de drogues, ainsi qu’à leur livraison et à leur </w:t>
      </w:r>
      <w:r w:rsidRPr="0071782F">
        <w:rPr>
          <w:lang w:val="fr-CH"/>
        </w:rPr>
        <w:t xml:space="preserve">distribution </w:t>
      </w:r>
      <w:r w:rsidR="003460C9" w:rsidRPr="0071782F">
        <w:rPr>
          <w:lang w:val="fr-CH"/>
        </w:rPr>
        <w:t>à travers le pays</w:t>
      </w:r>
      <w:r w:rsidRPr="0071782F">
        <w:rPr>
          <w:lang w:val="fr-CH"/>
        </w:rPr>
        <w:t xml:space="preserve">, </w:t>
      </w:r>
      <w:r w:rsidR="003460C9" w:rsidRPr="0071782F">
        <w:rPr>
          <w:lang w:val="fr-CH"/>
        </w:rPr>
        <w:t xml:space="preserve">et le renforcement du rôle </w:t>
      </w:r>
      <w:r w:rsidR="002D0C53" w:rsidRPr="0071782F">
        <w:rPr>
          <w:lang w:val="fr-CH"/>
        </w:rPr>
        <w:t>de la population</w:t>
      </w:r>
      <w:r w:rsidR="003460C9" w:rsidRPr="0071782F">
        <w:rPr>
          <w:lang w:val="fr-CH"/>
        </w:rPr>
        <w:t xml:space="preserve"> et des ONG dans l’action de prévention et de lutte menée contre la toxicomanie.</w:t>
      </w:r>
    </w:p>
    <w:p w:rsidR="00DD2B20" w:rsidRPr="0071782F" w:rsidRDefault="00DD2B20" w:rsidP="00DD2B20">
      <w:pPr>
        <w:pStyle w:val="SingleTxtG"/>
        <w:ind w:left="1701" w:hanging="567"/>
        <w:rPr>
          <w:lang w:val="fr-CH"/>
        </w:rPr>
      </w:pPr>
      <w:r w:rsidRPr="0071782F">
        <w:rPr>
          <w:lang w:val="fr-CH"/>
        </w:rPr>
        <w:tab/>
        <w:t>115.8.</w:t>
      </w:r>
      <w:r w:rsidRPr="0071782F">
        <w:rPr>
          <w:lang w:val="fr-CH"/>
        </w:rPr>
        <w:tab/>
      </w:r>
      <w:r w:rsidR="00063818" w:rsidRPr="0071782F">
        <w:rPr>
          <w:lang w:val="fr-CH"/>
        </w:rPr>
        <w:t xml:space="preserve">Poursuite de l’exécution du plan de recensement et de réadaptation </w:t>
      </w:r>
      <w:r w:rsidR="007F37CE" w:rsidRPr="0071782F">
        <w:rPr>
          <w:lang w:val="fr-CH"/>
        </w:rPr>
        <w:t>des personnes</w:t>
      </w:r>
      <w:r w:rsidR="00063818" w:rsidRPr="0071782F">
        <w:rPr>
          <w:lang w:val="fr-CH"/>
        </w:rPr>
        <w:t xml:space="preserve"> souffrant de troubles mentaux chroniques, l’objectif étant d’avoir couvert au moins 75</w:t>
      </w:r>
      <w:r w:rsidR="007E5125" w:rsidRPr="0071782F">
        <w:rPr>
          <w:lang w:val="fr-CH"/>
        </w:rPr>
        <w:t>%</w:t>
      </w:r>
      <w:r w:rsidR="00063818" w:rsidRPr="0071782F">
        <w:rPr>
          <w:lang w:val="fr-CH"/>
        </w:rPr>
        <w:t xml:space="preserve"> de la population cible à la fin du </w:t>
      </w:r>
      <w:r w:rsidR="00A90208" w:rsidRPr="0071782F">
        <w:rPr>
          <w:lang w:val="fr-CH"/>
        </w:rPr>
        <w:t>quatrième</w:t>
      </w:r>
      <w:r w:rsidR="00063818" w:rsidRPr="0071782F">
        <w:rPr>
          <w:lang w:val="fr-CH"/>
        </w:rPr>
        <w:t xml:space="preserve"> plan de développement</w:t>
      </w:r>
      <w:r w:rsidR="00762CB3" w:rsidRPr="0071782F">
        <w:rPr>
          <w:lang w:val="fr-CH"/>
        </w:rPr>
        <w:t>.</w:t>
      </w:r>
    </w:p>
    <w:p w:rsidR="00DD2B20" w:rsidRPr="0071782F" w:rsidRDefault="00DD2B20" w:rsidP="00DD2B20">
      <w:pPr>
        <w:pStyle w:val="SingleTxtG"/>
        <w:ind w:left="1701" w:hanging="567"/>
        <w:rPr>
          <w:lang w:val="fr-CH"/>
        </w:rPr>
      </w:pPr>
      <w:r w:rsidRPr="0071782F">
        <w:rPr>
          <w:lang w:val="fr-CH"/>
        </w:rPr>
        <w:tab/>
        <w:t>115.9.</w:t>
      </w:r>
      <w:r w:rsidRPr="0071782F">
        <w:rPr>
          <w:lang w:val="fr-CH"/>
        </w:rPr>
        <w:tab/>
      </w:r>
      <w:r w:rsidR="001F4745" w:rsidRPr="0071782F">
        <w:rPr>
          <w:lang w:val="fr-CH"/>
        </w:rPr>
        <w:t xml:space="preserve">Poursuite de l’exécution du plan de recensement et de réadaptation </w:t>
      </w:r>
      <w:r w:rsidR="007F37CE" w:rsidRPr="0071782F">
        <w:rPr>
          <w:lang w:val="fr-CH"/>
        </w:rPr>
        <w:t>des personnes</w:t>
      </w:r>
      <w:r w:rsidR="001F4745" w:rsidRPr="0071782F">
        <w:rPr>
          <w:lang w:val="fr-CH"/>
        </w:rPr>
        <w:t xml:space="preserve"> âgées, l’objectif étant d’avoir couvert au moins </w:t>
      </w:r>
      <w:r w:rsidRPr="0071782F">
        <w:rPr>
          <w:lang w:val="fr-CH"/>
        </w:rPr>
        <w:t>25</w:t>
      </w:r>
      <w:r w:rsidR="007E5125" w:rsidRPr="0071782F">
        <w:rPr>
          <w:lang w:val="fr-CH"/>
        </w:rPr>
        <w:t>%</w:t>
      </w:r>
      <w:r w:rsidRPr="0071782F">
        <w:rPr>
          <w:lang w:val="fr-CH"/>
        </w:rPr>
        <w:t xml:space="preserve"> </w:t>
      </w:r>
      <w:r w:rsidR="001F4745" w:rsidRPr="0071782F">
        <w:rPr>
          <w:lang w:val="fr-CH"/>
        </w:rPr>
        <w:t xml:space="preserve">de la population cible à la fin du </w:t>
      </w:r>
      <w:r w:rsidR="00A90208" w:rsidRPr="0071782F">
        <w:rPr>
          <w:lang w:val="fr-CH"/>
        </w:rPr>
        <w:t>quatrième</w:t>
      </w:r>
      <w:r w:rsidR="001F4745" w:rsidRPr="0071782F">
        <w:rPr>
          <w:lang w:val="fr-CH"/>
        </w:rPr>
        <w:t xml:space="preserve"> plan de développement</w:t>
      </w:r>
      <w:r w:rsidR="00762CB3" w:rsidRPr="0071782F">
        <w:rPr>
          <w:lang w:val="fr-CH"/>
        </w:rPr>
        <w:t>.</w:t>
      </w:r>
    </w:p>
    <w:p w:rsidR="00DD2B20" w:rsidRPr="0071782F" w:rsidRDefault="00DD2B20" w:rsidP="00DD2B20">
      <w:pPr>
        <w:pStyle w:val="SingleTxtG"/>
        <w:ind w:left="1701" w:hanging="567"/>
        <w:rPr>
          <w:lang w:val="fr-CH"/>
        </w:rPr>
      </w:pPr>
      <w:r w:rsidRPr="0071782F">
        <w:rPr>
          <w:lang w:val="fr-CH"/>
        </w:rPr>
        <w:tab/>
      </w:r>
      <w:r w:rsidR="00762CB3" w:rsidRPr="0071782F">
        <w:rPr>
          <w:lang w:val="fr-CH"/>
        </w:rPr>
        <w:t xml:space="preserve">115.10. </w:t>
      </w:r>
      <w:r w:rsidRPr="0071782F">
        <w:rPr>
          <w:lang w:val="fr-CH"/>
        </w:rPr>
        <w:t xml:space="preserve">Formulation </w:t>
      </w:r>
      <w:r w:rsidR="001F4745" w:rsidRPr="0071782F">
        <w:rPr>
          <w:lang w:val="fr-CH"/>
        </w:rPr>
        <w:t xml:space="preserve">d’un plan général de renforcement de l’autonomie des femmes qui doivent subvenir à leurs besoins et à ceux de </w:t>
      </w:r>
      <w:r w:rsidR="001F3F05" w:rsidRPr="0071782F">
        <w:rPr>
          <w:lang w:val="fr-CH"/>
        </w:rPr>
        <w:t>leur famille</w:t>
      </w:r>
      <w:r w:rsidR="001F4745" w:rsidRPr="0071782F">
        <w:rPr>
          <w:lang w:val="fr-CH"/>
        </w:rPr>
        <w:t xml:space="preserve"> avec la collaboration d’organisations publiques et non gouvernementales compétentes, plan que le Conseil des ministres devra approuver au cours des six premiers</w:t>
      </w:r>
      <w:r w:rsidR="001F3F05" w:rsidRPr="0071782F">
        <w:rPr>
          <w:lang w:val="fr-CH"/>
        </w:rPr>
        <w:t> mois</w:t>
      </w:r>
      <w:r w:rsidR="001F4745" w:rsidRPr="0071782F">
        <w:rPr>
          <w:lang w:val="fr-CH"/>
        </w:rPr>
        <w:t xml:space="preserve"> de la première année du </w:t>
      </w:r>
      <w:r w:rsidR="00A90208" w:rsidRPr="0071782F">
        <w:rPr>
          <w:lang w:val="fr-CH"/>
        </w:rPr>
        <w:t>quatrième</w:t>
      </w:r>
      <w:r w:rsidR="001F4745" w:rsidRPr="0071782F">
        <w:rPr>
          <w:lang w:val="fr-CH"/>
        </w:rPr>
        <w:t xml:space="preserve"> plan de développement. </w:t>
      </w:r>
    </w:p>
    <w:p w:rsidR="00DD2B20" w:rsidRPr="0071782F" w:rsidRDefault="00DD2B20" w:rsidP="00DD2B20">
      <w:pPr>
        <w:pStyle w:val="SingleTxtG"/>
        <w:ind w:left="1701" w:hanging="567"/>
        <w:rPr>
          <w:lang w:val="fr-CH"/>
        </w:rPr>
      </w:pPr>
      <w:r w:rsidRPr="0071782F">
        <w:rPr>
          <w:lang w:val="fr-CH"/>
        </w:rPr>
        <w:tab/>
      </w:r>
      <w:r w:rsidR="00405FED" w:rsidRPr="0071782F">
        <w:rPr>
          <w:lang w:val="fr-CH"/>
        </w:rPr>
        <w:t xml:space="preserve">115.11. </w:t>
      </w:r>
      <w:r w:rsidR="001F4745" w:rsidRPr="0071782F">
        <w:rPr>
          <w:lang w:val="fr-CH"/>
        </w:rPr>
        <w:t>Organisation et développement de la participation sociale et des services bénévoles dans le domaine de la protection sociale, et adoption des mesures nécessaires pour aider les organisations caritatives et non gouvernementales à améliorer leurs activités</w:t>
      </w:r>
      <w:r w:rsidR="00405FED" w:rsidRPr="0071782F">
        <w:rPr>
          <w:lang w:val="fr-CH"/>
        </w:rPr>
        <w:t>.</w:t>
      </w:r>
    </w:p>
    <w:p w:rsidR="00DD2B20" w:rsidRPr="0071782F" w:rsidRDefault="00DD2B20" w:rsidP="00DD2B20">
      <w:pPr>
        <w:pStyle w:val="SingleTxtG"/>
        <w:ind w:left="1701" w:hanging="567"/>
        <w:rPr>
          <w:lang w:val="fr-CH"/>
        </w:rPr>
      </w:pPr>
      <w:r w:rsidRPr="0071782F">
        <w:rPr>
          <w:lang w:val="fr-CH"/>
        </w:rPr>
        <w:tab/>
        <w:t>115.12.</w:t>
      </w:r>
      <w:r w:rsidR="00405FED" w:rsidRPr="0071782F">
        <w:rPr>
          <w:lang w:val="fr-CH"/>
        </w:rPr>
        <w:t xml:space="preserve"> </w:t>
      </w:r>
      <w:r w:rsidR="001F4745" w:rsidRPr="0071782F">
        <w:rPr>
          <w:lang w:val="fr-CH"/>
        </w:rPr>
        <w:t xml:space="preserve">Augmentation, au cours de la première année du </w:t>
      </w:r>
      <w:r w:rsidR="00A90208" w:rsidRPr="0071782F">
        <w:rPr>
          <w:lang w:val="fr-CH"/>
        </w:rPr>
        <w:t>quatrième</w:t>
      </w:r>
      <w:r w:rsidR="001F4745" w:rsidRPr="0071782F">
        <w:rPr>
          <w:lang w:val="fr-CH"/>
        </w:rPr>
        <w:t xml:space="preserve"> plan de développement, du montant mensuel des </w:t>
      </w:r>
      <w:r w:rsidRPr="0071782F">
        <w:rPr>
          <w:lang w:val="fr-CH"/>
        </w:rPr>
        <w:t xml:space="preserve">pensions </w:t>
      </w:r>
      <w:r w:rsidR="001F4745" w:rsidRPr="0071782F">
        <w:rPr>
          <w:lang w:val="fr-CH"/>
        </w:rPr>
        <w:t xml:space="preserve">que touchent </w:t>
      </w:r>
      <w:r w:rsidR="00DA097D" w:rsidRPr="0071782F">
        <w:rPr>
          <w:lang w:val="fr-CH"/>
        </w:rPr>
        <w:t>les familles</w:t>
      </w:r>
      <w:r w:rsidR="001F4745" w:rsidRPr="0071782F">
        <w:rPr>
          <w:lang w:val="fr-CH"/>
        </w:rPr>
        <w:t xml:space="preserve"> pauvres et </w:t>
      </w:r>
      <w:r w:rsidR="00DA097D" w:rsidRPr="0071782F">
        <w:rPr>
          <w:lang w:val="fr-CH"/>
        </w:rPr>
        <w:t>les familles</w:t>
      </w:r>
      <w:r w:rsidR="001F4745" w:rsidRPr="0071782F">
        <w:rPr>
          <w:lang w:val="fr-CH"/>
        </w:rPr>
        <w:t xml:space="preserve"> sans tuteur, ainsi que les femmes chefs </w:t>
      </w:r>
      <w:r w:rsidR="0092511D" w:rsidRPr="0071782F">
        <w:rPr>
          <w:lang w:val="fr-CH"/>
        </w:rPr>
        <w:t>de famille</w:t>
      </w:r>
      <w:r w:rsidR="001F4745" w:rsidRPr="0071782F">
        <w:rPr>
          <w:lang w:val="fr-CH"/>
        </w:rPr>
        <w:t xml:space="preserve"> sur la base de 40</w:t>
      </w:r>
      <w:r w:rsidR="007E5125" w:rsidRPr="0071782F">
        <w:rPr>
          <w:lang w:val="fr-CH"/>
        </w:rPr>
        <w:t>%</w:t>
      </w:r>
      <w:r w:rsidR="001F4745" w:rsidRPr="0071782F">
        <w:rPr>
          <w:lang w:val="fr-CH"/>
        </w:rPr>
        <w:t xml:space="preserve"> du salaire minimal</w:t>
      </w:r>
      <w:r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r>
      <w:r w:rsidR="001F4745" w:rsidRPr="0071782F">
        <w:rPr>
          <w:lang w:val="fr-CH"/>
        </w:rPr>
        <w:t>Plan stratégique sur 20</w:t>
      </w:r>
      <w:r w:rsidR="00D82C96" w:rsidRPr="0071782F">
        <w:rPr>
          <w:lang w:val="fr-CH"/>
        </w:rPr>
        <w:t> ans</w:t>
      </w:r>
      <w:r w:rsidR="001F4745" w:rsidRPr="0071782F">
        <w:rPr>
          <w:lang w:val="fr-CH"/>
        </w:rPr>
        <w:t xml:space="preserve"> pour le développement de l’Iran</w:t>
      </w:r>
      <w:r w:rsidRPr="0071782F">
        <w:rPr>
          <w:lang w:val="fr-CH"/>
        </w:rPr>
        <w:t xml:space="preserve"> </w:t>
      </w:r>
    </w:p>
    <w:p w:rsidR="00DD2B20" w:rsidRPr="0071782F" w:rsidRDefault="00DD2B20" w:rsidP="00DD2B20">
      <w:pPr>
        <w:pStyle w:val="SingleTxtG"/>
        <w:rPr>
          <w:lang w:val="fr-CH"/>
        </w:rPr>
      </w:pPr>
      <w:r w:rsidRPr="0071782F">
        <w:rPr>
          <w:lang w:val="fr-CH"/>
        </w:rPr>
        <w:t>116.</w:t>
      </w:r>
      <w:r w:rsidRPr="0071782F">
        <w:rPr>
          <w:lang w:val="fr-CH"/>
        </w:rPr>
        <w:tab/>
      </w:r>
      <w:r w:rsidR="00404E1E" w:rsidRPr="0071782F">
        <w:rPr>
          <w:lang w:val="fr-CH"/>
        </w:rPr>
        <w:t xml:space="preserve">Aux termes de la </w:t>
      </w:r>
      <w:r w:rsidRPr="0071782F">
        <w:rPr>
          <w:lang w:val="fr-CH"/>
        </w:rPr>
        <w:t>d</w:t>
      </w:r>
      <w:r w:rsidR="00404E1E" w:rsidRPr="0071782F">
        <w:rPr>
          <w:lang w:val="fr-CH"/>
        </w:rPr>
        <w:t>é</w:t>
      </w:r>
      <w:r w:rsidRPr="0071782F">
        <w:rPr>
          <w:lang w:val="fr-CH"/>
        </w:rPr>
        <w:t xml:space="preserve">claration </w:t>
      </w:r>
      <w:r w:rsidR="00404E1E" w:rsidRPr="0071782F">
        <w:rPr>
          <w:lang w:val="fr-CH"/>
        </w:rPr>
        <w:t xml:space="preserve">du Guide suprême jointe au texte du Plan stratégique, </w:t>
      </w:r>
      <w:r w:rsidR="00A62149" w:rsidRPr="0071782F">
        <w:rPr>
          <w:lang w:val="fr-CH"/>
        </w:rPr>
        <w:t>"</w:t>
      </w:r>
      <w:r w:rsidR="00404E1E" w:rsidRPr="0071782F">
        <w:rPr>
          <w:lang w:val="fr-CH"/>
        </w:rPr>
        <w:t>grâce à la foi et à la confiance en l’omnipotence du Tout-Puissant et à la détermination inébranlable et aux efforts collectifs de la nation unie pour réaliser les objectifs de la Constitution, le Plan stratégique sur 20</w:t>
      </w:r>
      <w:r w:rsidR="00D82C96" w:rsidRPr="0071782F">
        <w:rPr>
          <w:lang w:val="fr-CH"/>
        </w:rPr>
        <w:t> ans</w:t>
      </w:r>
      <w:r w:rsidR="00404E1E" w:rsidRPr="0071782F">
        <w:rPr>
          <w:lang w:val="fr-CH"/>
        </w:rPr>
        <w:t xml:space="preserve"> fera de l’Iran un pays doté de moyens suffisants pour garantir la santé, le bien-être, la sécurité alimentaire</w:t>
      </w:r>
      <w:r w:rsidRPr="0071782F">
        <w:rPr>
          <w:lang w:val="fr-CH"/>
        </w:rPr>
        <w:t xml:space="preserve">, </w:t>
      </w:r>
      <w:r w:rsidR="00404E1E" w:rsidRPr="0071782F">
        <w:rPr>
          <w:lang w:val="fr-CH"/>
        </w:rPr>
        <w:t>un système de sécurité sociale fiable, l’égalité des chances et une institution familiale aux fondements solides, un pays à l’abri de la pauvreté, de la corruption et de la</w:t>
      </w:r>
      <w:r w:rsidRPr="0071782F">
        <w:rPr>
          <w:lang w:val="fr-CH"/>
        </w:rPr>
        <w:t xml:space="preserve"> discrimination </w:t>
      </w:r>
      <w:r w:rsidR="00404E1E" w:rsidRPr="0071782F">
        <w:rPr>
          <w:lang w:val="fr-CH"/>
        </w:rPr>
        <w:t>et offrant un cadre de vie convoité</w:t>
      </w:r>
      <w:r w:rsidRPr="0071782F">
        <w:rPr>
          <w:lang w:val="fr-CH"/>
        </w:rPr>
        <w:t>.</w:t>
      </w:r>
      <w:r w:rsidR="00A62149"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r>
      <w:r w:rsidR="00404E1E" w:rsidRPr="0071782F">
        <w:rPr>
          <w:lang w:val="fr-CH"/>
        </w:rPr>
        <w:t xml:space="preserve">La </w:t>
      </w:r>
      <w:r w:rsidRPr="0071782F">
        <w:rPr>
          <w:lang w:val="fr-CH"/>
        </w:rPr>
        <w:t>s</w:t>
      </w:r>
      <w:r w:rsidR="00404E1E" w:rsidRPr="0071782F">
        <w:rPr>
          <w:lang w:val="fr-CH"/>
        </w:rPr>
        <w:t>écurité sociale dans le budget annuel de l’État</w:t>
      </w:r>
      <w:r w:rsidR="00D36718">
        <w:rPr>
          <w:lang w:val="fr-CH"/>
        </w:rPr>
        <w:t xml:space="preserve"> </w:t>
      </w:r>
    </w:p>
    <w:p w:rsidR="00DD2B20" w:rsidRPr="0071782F" w:rsidRDefault="00DD2B20" w:rsidP="00DD2B20">
      <w:pPr>
        <w:pStyle w:val="SingleTxtG"/>
        <w:rPr>
          <w:lang w:val="fr-CH"/>
        </w:rPr>
      </w:pPr>
      <w:r w:rsidRPr="0071782F">
        <w:rPr>
          <w:lang w:val="fr-CH"/>
        </w:rPr>
        <w:t>117.</w:t>
      </w:r>
      <w:r w:rsidRPr="0071782F">
        <w:rPr>
          <w:lang w:val="fr-CH"/>
        </w:rPr>
        <w:tab/>
      </w:r>
      <w:r w:rsidR="00CF54E9" w:rsidRPr="0071782F">
        <w:rPr>
          <w:lang w:val="fr-CH"/>
        </w:rPr>
        <w:t xml:space="preserve">Le gouvernement fait chaque année référence, dans la </w:t>
      </w:r>
      <w:r w:rsidR="00B71907" w:rsidRPr="0071782F">
        <w:rPr>
          <w:lang w:val="fr-CH"/>
        </w:rPr>
        <w:t>note </w:t>
      </w:r>
      <w:r w:rsidR="00CF54E9" w:rsidRPr="0071782F">
        <w:rPr>
          <w:lang w:val="fr-CH"/>
        </w:rPr>
        <w:t xml:space="preserve">14 de la loi de finances annuelle (sur </w:t>
      </w:r>
      <w:r w:rsidR="00A62149" w:rsidRPr="0071782F">
        <w:rPr>
          <w:lang w:val="fr-CH"/>
        </w:rPr>
        <w:t>"</w:t>
      </w:r>
      <w:r w:rsidR="00134688" w:rsidRPr="0071782F">
        <w:rPr>
          <w:lang w:val="fr-CH"/>
        </w:rPr>
        <w:t>(</w:t>
      </w:r>
      <w:r w:rsidR="00CF54E9" w:rsidRPr="0071782F">
        <w:rPr>
          <w:lang w:val="fr-CH"/>
        </w:rPr>
        <w:t>l</w:t>
      </w:r>
      <w:r w:rsidR="00134688" w:rsidRPr="0071782F">
        <w:rPr>
          <w:lang w:val="fr-CH"/>
        </w:rPr>
        <w:t>)</w:t>
      </w:r>
      <w:r w:rsidR="00CF54E9" w:rsidRPr="0071782F">
        <w:rPr>
          <w:lang w:val="fr-CH"/>
        </w:rPr>
        <w:t xml:space="preserve">a justice </w:t>
      </w:r>
      <w:r w:rsidRPr="0071782F">
        <w:rPr>
          <w:lang w:val="fr-CH"/>
        </w:rPr>
        <w:t>social</w:t>
      </w:r>
      <w:r w:rsidR="00CF54E9" w:rsidRPr="0071782F">
        <w:rPr>
          <w:lang w:val="fr-CH"/>
        </w:rPr>
        <w:t>e et les subventions</w:t>
      </w:r>
      <w:r w:rsidR="00A62149" w:rsidRPr="0071782F">
        <w:rPr>
          <w:lang w:val="fr-CH"/>
        </w:rPr>
        <w:t>"</w:t>
      </w:r>
      <w:r w:rsidR="00CF54E9" w:rsidRPr="0071782F">
        <w:rPr>
          <w:lang w:val="fr-CH"/>
        </w:rPr>
        <w:t>)</w:t>
      </w:r>
      <w:r w:rsidRPr="0071782F">
        <w:rPr>
          <w:lang w:val="fr-CH"/>
        </w:rPr>
        <w:t xml:space="preserve">, </w:t>
      </w:r>
      <w:r w:rsidR="00CF54E9" w:rsidRPr="0071782F">
        <w:rPr>
          <w:lang w:val="fr-CH"/>
        </w:rPr>
        <w:t xml:space="preserve">à la sécurité </w:t>
      </w:r>
      <w:r w:rsidRPr="0071782F">
        <w:rPr>
          <w:lang w:val="fr-CH"/>
        </w:rPr>
        <w:t>social</w:t>
      </w:r>
      <w:r w:rsidR="00CF54E9" w:rsidRPr="0071782F">
        <w:rPr>
          <w:lang w:val="fr-CH"/>
        </w:rPr>
        <w:t>e</w:t>
      </w:r>
      <w:r w:rsidRPr="0071782F">
        <w:rPr>
          <w:lang w:val="fr-CH"/>
        </w:rPr>
        <w:t xml:space="preserve"> </w:t>
      </w:r>
      <w:r w:rsidR="00CF54E9" w:rsidRPr="0071782F">
        <w:rPr>
          <w:lang w:val="fr-CH"/>
        </w:rPr>
        <w:t xml:space="preserve">et aux mécanismes d’exécution connexes prévus pour appuyer les groupes </w:t>
      </w:r>
      <w:r w:rsidRPr="0071782F">
        <w:rPr>
          <w:lang w:val="fr-CH"/>
        </w:rPr>
        <w:t>vuln</w:t>
      </w:r>
      <w:r w:rsidR="00CF54E9" w:rsidRPr="0071782F">
        <w:rPr>
          <w:lang w:val="fr-CH"/>
        </w:rPr>
        <w:t>é</w:t>
      </w:r>
      <w:r w:rsidRPr="0071782F">
        <w:rPr>
          <w:lang w:val="fr-CH"/>
        </w:rPr>
        <w:t>rable</w:t>
      </w:r>
      <w:r w:rsidR="00CF54E9" w:rsidRPr="0071782F">
        <w:rPr>
          <w:lang w:val="fr-CH"/>
        </w:rPr>
        <w:t>s de la société</w:t>
      </w:r>
      <w:r w:rsidRPr="0071782F">
        <w:rPr>
          <w:lang w:val="fr-CH"/>
        </w:rPr>
        <w:t xml:space="preserve">. </w:t>
      </w:r>
      <w:r w:rsidR="00CF54E9" w:rsidRPr="0071782F">
        <w:rPr>
          <w:lang w:val="fr-CH"/>
        </w:rPr>
        <w:t xml:space="preserve">Par exemple, les deux premiers </w:t>
      </w:r>
      <w:r w:rsidR="009236BB" w:rsidRPr="0071782F">
        <w:rPr>
          <w:lang w:val="fr-CH"/>
        </w:rPr>
        <w:t>paragraphes </w:t>
      </w:r>
      <w:r w:rsidR="00CF54E9" w:rsidRPr="0071782F">
        <w:rPr>
          <w:lang w:val="fr-CH"/>
        </w:rPr>
        <w:t>de la loi de finances de 2005 sont ainsi libellés</w:t>
      </w:r>
      <w:r w:rsidR="008F7D33" w:rsidRPr="0071782F">
        <w:rPr>
          <w:lang w:val="fr-CH"/>
        </w:rPr>
        <w:t>:</w:t>
      </w:r>
      <w:r w:rsidR="00CF54E9" w:rsidRPr="0071782F">
        <w:rPr>
          <w:lang w:val="fr-CH"/>
        </w:rPr>
        <w:t xml:space="preserve"> </w:t>
      </w:r>
    </w:p>
    <w:p w:rsidR="00DD2B20" w:rsidRPr="0071782F" w:rsidRDefault="00DD2B20" w:rsidP="00DD2B20">
      <w:pPr>
        <w:pStyle w:val="SingleTxtG"/>
        <w:ind w:left="1701" w:hanging="567"/>
        <w:rPr>
          <w:lang w:val="fr-CH"/>
        </w:rPr>
      </w:pPr>
      <w:r w:rsidRPr="0071782F">
        <w:rPr>
          <w:lang w:val="fr-CH"/>
        </w:rPr>
        <w:tab/>
        <w:t>117.1.</w:t>
      </w:r>
      <w:r w:rsidRPr="0071782F">
        <w:rPr>
          <w:lang w:val="fr-CH"/>
        </w:rPr>
        <w:tab/>
      </w:r>
      <w:r w:rsidR="00FF5D5B" w:rsidRPr="0071782F">
        <w:rPr>
          <w:lang w:val="fr-CH"/>
        </w:rPr>
        <w:t xml:space="preserve">Le Ministère de la protection et de la sécurité sociales est tenu de faire assurer, par les organisations compétentes et en imputant le montant de la dépense correspondante au poste budgétaire 129109, </w:t>
      </w:r>
      <w:r w:rsidR="00A233C2" w:rsidRPr="0071782F">
        <w:rPr>
          <w:lang w:val="fr-CH"/>
        </w:rPr>
        <w:t>les personnes</w:t>
      </w:r>
      <w:r w:rsidR="00FF5D5B" w:rsidRPr="0071782F">
        <w:rPr>
          <w:lang w:val="fr-CH"/>
        </w:rPr>
        <w:t xml:space="preserve"> vulnérables qui ont besoin de se faire hospitaliser pour suivre un traitement médical, mais ne sont pas assurées</w:t>
      </w:r>
      <w:r w:rsidRPr="0071782F">
        <w:rPr>
          <w:lang w:val="fr-CH"/>
        </w:rPr>
        <w:t xml:space="preserve">; </w:t>
      </w:r>
      <w:r w:rsidR="00FF5D5B" w:rsidRPr="0071782F">
        <w:rPr>
          <w:lang w:val="fr-CH"/>
        </w:rPr>
        <w:t>cette assurance doit être fournie gratuitement au patient, lequel ne doit acquitter que 10</w:t>
      </w:r>
      <w:r w:rsidR="007E5125" w:rsidRPr="0071782F">
        <w:rPr>
          <w:lang w:val="fr-CH"/>
        </w:rPr>
        <w:t>%</w:t>
      </w:r>
      <w:r w:rsidR="00FF5D5B" w:rsidRPr="0071782F">
        <w:rPr>
          <w:lang w:val="fr-CH"/>
        </w:rPr>
        <w:t xml:space="preserve"> des frais d’hospitalisation </w:t>
      </w:r>
      <w:r w:rsidRPr="0071782F">
        <w:rPr>
          <w:lang w:val="fr-CH"/>
        </w:rPr>
        <w:t>(franchise)</w:t>
      </w:r>
      <w:r w:rsidR="004C6963" w:rsidRPr="0071782F">
        <w:rPr>
          <w:lang w:val="fr-CH"/>
        </w:rPr>
        <w:t>.</w:t>
      </w:r>
    </w:p>
    <w:p w:rsidR="00DD2B20" w:rsidRPr="00A83442" w:rsidRDefault="00DD2B20" w:rsidP="00DD2B20">
      <w:pPr>
        <w:pStyle w:val="SingleTxtG"/>
        <w:ind w:left="1701" w:hanging="567"/>
        <w:rPr>
          <w:spacing w:val="-2"/>
          <w:lang w:val="fr-CH"/>
        </w:rPr>
      </w:pPr>
      <w:r w:rsidRPr="00A83442">
        <w:rPr>
          <w:spacing w:val="-2"/>
          <w:lang w:val="fr-CH"/>
        </w:rPr>
        <w:tab/>
        <w:t>117.2.</w:t>
      </w:r>
      <w:r w:rsidRPr="00A83442">
        <w:rPr>
          <w:spacing w:val="-2"/>
          <w:lang w:val="fr-CH"/>
        </w:rPr>
        <w:tab/>
      </w:r>
      <w:r w:rsidR="00FF5D5B" w:rsidRPr="00A83442">
        <w:rPr>
          <w:spacing w:val="-2"/>
          <w:lang w:val="fr-CH"/>
        </w:rPr>
        <w:t xml:space="preserve">Le Ministère de la protection et de la sécurité sociales est tenu d’offrir une assurance médicale gratuite, en imputant la dépense correspondante au poste budgétaire </w:t>
      </w:r>
      <w:r w:rsidRPr="00A83442">
        <w:rPr>
          <w:spacing w:val="-2"/>
          <w:lang w:val="fr-CH"/>
        </w:rPr>
        <w:t>129109 (</w:t>
      </w:r>
      <w:r w:rsidR="00FF5D5B" w:rsidRPr="00A83442">
        <w:rPr>
          <w:spacing w:val="-2"/>
          <w:lang w:val="fr-CH"/>
        </w:rPr>
        <w:t xml:space="preserve">section </w:t>
      </w:r>
      <w:r w:rsidRPr="00A83442">
        <w:rPr>
          <w:spacing w:val="-2"/>
          <w:lang w:val="fr-CH"/>
        </w:rPr>
        <w:t xml:space="preserve">4 </w:t>
      </w:r>
      <w:r w:rsidR="00FF5D5B" w:rsidRPr="00A83442">
        <w:rPr>
          <w:spacing w:val="-2"/>
          <w:lang w:val="fr-CH"/>
        </w:rPr>
        <w:t>de la loi de finances</w:t>
      </w:r>
      <w:r w:rsidRPr="00A83442">
        <w:rPr>
          <w:spacing w:val="-2"/>
          <w:lang w:val="fr-CH"/>
        </w:rPr>
        <w:t>)</w:t>
      </w:r>
      <w:r w:rsidR="00FF5D5B" w:rsidRPr="00A83442">
        <w:rPr>
          <w:spacing w:val="-2"/>
          <w:lang w:val="fr-CH"/>
        </w:rPr>
        <w:t xml:space="preserve">, à toutes </w:t>
      </w:r>
      <w:r w:rsidR="00A233C2" w:rsidRPr="00A83442">
        <w:rPr>
          <w:spacing w:val="-2"/>
          <w:lang w:val="fr-CH"/>
        </w:rPr>
        <w:t>les personnes</w:t>
      </w:r>
      <w:r w:rsidR="00FF5D5B" w:rsidRPr="00A83442">
        <w:rPr>
          <w:spacing w:val="-2"/>
          <w:lang w:val="fr-CH"/>
        </w:rPr>
        <w:t xml:space="preserve"> vivant dans les zones rurales et dans les villes de moins de 20 000</w:t>
      </w:r>
      <w:r w:rsidR="00BF435F" w:rsidRPr="00A83442">
        <w:rPr>
          <w:spacing w:val="-2"/>
          <w:lang w:val="fr-CH"/>
        </w:rPr>
        <w:t> habitants</w:t>
      </w:r>
      <w:r w:rsidR="00FF5D5B" w:rsidRPr="00A83442">
        <w:rPr>
          <w:spacing w:val="-2"/>
          <w:lang w:val="fr-CH"/>
        </w:rPr>
        <w:t xml:space="preserve"> qui ne sont couvertes par aucune assurance médicale.</w:t>
      </w:r>
      <w:r w:rsidR="00D36718" w:rsidRPr="00A83442">
        <w:rPr>
          <w:spacing w:val="-2"/>
          <w:lang w:val="fr-CH"/>
        </w:rPr>
        <w:t xml:space="preserve"> </w:t>
      </w:r>
      <w:r w:rsidR="00FF5D5B" w:rsidRPr="00A83442">
        <w:rPr>
          <w:spacing w:val="-2"/>
          <w:lang w:val="fr-CH"/>
        </w:rPr>
        <w:t xml:space="preserve">On retrouve le même poste dans les </w:t>
      </w:r>
      <w:r w:rsidRPr="00A83442">
        <w:rPr>
          <w:spacing w:val="-2"/>
          <w:lang w:val="fr-CH"/>
        </w:rPr>
        <w:t xml:space="preserve">budgets </w:t>
      </w:r>
      <w:r w:rsidR="00FF5D5B" w:rsidRPr="00A83442">
        <w:rPr>
          <w:spacing w:val="-2"/>
          <w:lang w:val="fr-CH"/>
        </w:rPr>
        <w:t>des années suivantes</w:t>
      </w:r>
      <w:r w:rsidRPr="00A83442">
        <w:rPr>
          <w:spacing w:val="-2"/>
          <w:lang w:val="fr-CH"/>
        </w:rPr>
        <w:t xml:space="preserve">. </w:t>
      </w:r>
      <w:r w:rsidR="00FF5D5B" w:rsidRPr="00A83442">
        <w:rPr>
          <w:spacing w:val="-2"/>
          <w:lang w:val="fr-CH"/>
        </w:rPr>
        <w:t xml:space="preserve">Par exemple, la </w:t>
      </w:r>
      <w:r w:rsidR="00B71907" w:rsidRPr="00A83442">
        <w:rPr>
          <w:spacing w:val="-2"/>
          <w:lang w:val="fr-CH"/>
        </w:rPr>
        <w:t>note </w:t>
      </w:r>
      <w:r w:rsidRPr="00A83442">
        <w:rPr>
          <w:spacing w:val="-2"/>
          <w:lang w:val="fr-CH"/>
        </w:rPr>
        <w:t xml:space="preserve">14 </w:t>
      </w:r>
      <w:r w:rsidR="00FF5D5B" w:rsidRPr="00A83442">
        <w:rPr>
          <w:spacing w:val="-2"/>
          <w:lang w:val="fr-CH"/>
        </w:rPr>
        <w:t xml:space="preserve">de la loi de finances de </w:t>
      </w:r>
      <w:r w:rsidRPr="00A83442">
        <w:rPr>
          <w:spacing w:val="-2"/>
          <w:lang w:val="fr-CH"/>
        </w:rPr>
        <w:t xml:space="preserve">2007 </w:t>
      </w:r>
      <w:r w:rsidR="00FF5D5B" w:rsidRPr="00A83442">
        <w:rPr>
          <w:spacing w:val="-2"/>
          <w:lang w:val="fr-CH"/>
        </w:rPr>
        <w:t xml:space="preserve">indique que, pour contrebalancer les effets de la </w:t>
      </w:r>
      <w:r w:rsidRPr="00A83442">
        <w:rPr>
          <w:spacing w:val="-2"/>
          <w:lang w:val="fr-CH"/>
        </w:rPr>
        <w:t xml:space="preserve">redistribution </w:t>
      </w:r>
      <w:r w:rsidR="00FF5D5B" w:rsidRPr="00A83442">
        <w:rPr>
          <w:spacing w:val="-2"/>
          <w:lang w:val="fr-CH"/>
        </w:rPr>
        <w:t xml:space="preserve">des subventions sur les groupes </w:t>
      </w:r>
      <w:r w:rsidRPr="00A83442">
        <w:rPr>
          <w:spacing w:val="-2"/>
          <w:lang w:val="fr-CH"/>
        </w:rPr>
        <w:t>vuln</w:t>
      </w:r>
      <w:r w:rsidR="00FF5D5B" w:rsidRPr="00A83442">
        <w:rPr>
          <w:spacing w:val="-2"/>
          <w:lang w:val="fr-CH"/>
        </w:rPr>
        <w:t>é</w:t>
      </w:r>
      <w:r w:rsidRPr="00A83442">
        <w:rPr>
          <w:spacing w:val="-2"/>
          <w:lang w:val="fr-CH"/>
        </w:rPr>
        <w:t>rable</w:t>
      </w:r>
      <w:r w:rsidR="00FF5D5B" w:rsidRPr="00A83442">
        <w:rPr>
          <w:spacing w:val="-2"/>
          <w:lang w:val="fr-CH"/>
        </w:rPr>
        <w:t>s</w:t>
      </w:r>
      <w:r w:rsidRPr="00A83442">
        <w:rPr>
          <w:spacing w:val="-2"/>
          <w:lang w:val="fr-CH"/>
        </w:rPr>
        <w:t xml:space="preserve"> </w:t>
      </w:r>
      <w:r w:rsidR="00FF5D5B" w:rsidRPr="00A83442">
        <w:rPr>
          <w:spacing w:val="-2"/>
          <w:lang w:val="fr-CH"/>
        </w:rPr>
        <w:t xml:space="preserve">de la </w:t>
      </w:r>
      <w:r w:rsidRPr="00A83442">
        <w:rPr>
          <w:spacing w:val="-2"/>
          <w:lang w:val="fr-CH"/>
        </w:rPr>
        <w:t xml:space="preserve">population </w:t>
      </w:r>
      <w:r w:rsidR="00FF5D5B" w:rsidRPr="00A83442">
        <w:rPr>
          <w:spacing w:val="-2"/>
          <w:lang w:val="fr-CH"/>
        </w:rPr>
        <w:t xml:space="preserve">et exécuter les programmes de sécurité et de protection sociales, le </w:t>
      </w:r>
      <w:r w:rsidRPr="00A83442">
        <w:rPr>
          <w:spacing w:val="-2"/>
          <w:lang w:val="fr-CH"/>
        </w:rPr>
        <w:t>cr</w:t>
      </w:r>
      <w:r w:rsidR="00FF5D5B" w:rsidRPr="00A83442">
        <w:rPr>
          <w:spacing w:val="-2"/>
          <w:lang w:val="fr-CH"/>
        </w:rPr>
        <w:t>é</w:t>
      </w:r>
      <w:r w:rsidRPr="00A83442">
        <w:rPr>
          <w:spacing w:val="-2"/>
          <w:lang w:val="fr-CH"/>
        </w:rPr>
        <w:t xml:space="preserve">dit </w:t>
      </w:r>
      <w:r w:rsidR="00FF5D5B" w:rsidRPr="00A83442">
        <w:rPr>
          <w:spacing w:val="-2"/>
          <w:lang w:val="fr-CH"/>
        </w:rPr>
        <w:t>de 3 000</w:t>
      </w:r>
      <w:r w:rsidR="008553D9" w:rsidRPr="00A83442">
        <w:rPr>
          <w:spacing w:val="-2"/>
          <w:lang w:val="fr-CH"/>
        </w:rPr>
        <w:t> milliard</w:t>
      </w:r>
      <w:r w:rsidR="00097CDB" w:rsidRPr="00A83442">
        <w:rPr>
          <w:spacing w:val="-2"/>
          <w:lang w:val="fr-CH"/>
        </w:rPr>
        <w:t>s</w:t>
      </w:r>
      <w:r w:rsidR="00FF5D5B" w:rsidRPr="00A83442">
        <w:rPr>
          <w:spacing w:val="-2"/>
          <w:lang w:val="fr-CH"/>
        </w:rPr>
        <w:t xml:space="preserve"> </w:t>
      </w:r>
      <w:r w:rsidR="003B1403" w:rsidRPr="00A83442">
        <w:rPr>
          <w:spacing w:val="-2"/>
          <w:lang w:val="fr-CH"/>
        </w:rPr>
        <w:t>de rials</w:t>
      </w:r>
      <w:r w:rsidR="00FF5D5B" w:rsidRPr="00A83442">
        <w:rPr>
          <w:spacing w:val="-2"/>
          <w:lang w:val="fr-CH"/>
        </w:rPr>
        <w:t xml:space="preserve"> associé au poste</w:t>
      </w:r>
      <w:r w:rsidR="00A83442" w:rsidRPr="00A83442">
        <w:rPr>
          <w:spacing w:val="-2"/>
          <w:lang w:val="fr-CH"/>
        </w:rPr>
        <w:t> </w:t>
      </w:r>
      <w:r w:rsidRPr="00A83442">
        <w:rPr>
          <w:spacing w:val="-2"/>
          <w:lang w:val="fr-CH"/>
        </w:rPr>
        <w:t xml:space="preserve">503935 (section 4 </w:t>
      </w:r>
      <w:r w:rsidR="00FF5D5B" w:rsidRPr="00A83442">
        <w:rPr>
          <w:spacing w:val="-2"/>
          <w:lang w:val="fr-CH"/>
        </w:rPr>
        <w:t>de la loi de finances</w:t>
      </w:r>
      <w:r w:rsidRPr="00A83442">
        <w:rPr>
          <w:spacing w:val="-2"/>
          <w:lang w:val="fr-CH"/>
        </w:rPr>
        <w:t xml:space="preserve">) </w:t>
      </w:r>
      <w:r w:rsidR="00FF5D5B" w:rsidRPr="00A83442">
        <w:rPr>
          <w:spacing w:val="-2"/>
          <w:lang w:val="fr-CH"/>
        </w:rPr>
        <w:t xml:space="preserve">destiné à la </w:t>
      </w:r>
      <w:r w:rsidRPr="00A83442">
        <w:rPr>
          <w:spacing w:val="-2"/>
          <w:lang w:val="fr-CH"/>
        </w:rPr>
        <w:t xml:space="preserve">redistribution </w:t>
      </w:r>
      <w:r w:rsidR="00FF5D5B" w:rsidRPr="00A83442">
        <w:rPr>
          <w:spacing w:val="-2"/>
          <w:lang w:val="fr-CH"/>
        </w:rPr>
        <w:t xml:space="preserve">des subventions et aux aides pour les pauvres sera alloué aux organisations d’exécution correspondantes, comme l’a proposé le </w:t>
      </w:r>
      <w:r w:rsidRPr="00A83442">
        <w:rPr>
          <w:spacing w:val="-2"/>
          <w:lang w:val="fr-CH"/>
        </w:rPr>
        <w:t>Minist</w:t>
      </w:r>
      <w:r w:rsidR="00FF5D5B" w:rsidRPr="00A83442">
        <w:rPr>
          <w:spacing w:val="-2"/>
          <w:lang w:val="fr-CH"/>
        </w:rPr>
        <w:t>ère de la protection et de la sécurité sociales et confirmé l’Organis</w:t>
      </w:r>
      <w:r w:rsidR="00134688" w:rsidRPr="00A83442">
        <w:rPr>
          <w:spacing w:val="-2"/>
          <w:lang w:val="fr-CH"/>
        </w:rPr>
        <w:t xml:space="preserve">me </w:t>
      </w:r>
      <w:r w:rsidR="00FF5D5B" w:rsidRPr="00A83442">
        <w:rPr>
          <w:spacing w:val="-2"/>
          <w:lang w:val="fr-CH"/>
        </w:rPr>
        <w:t>de gestion et de planification. Ce crédit est destiné à appuyer les groupes vulné</w:t>
      </w:r>
      <w:r w:rsidRPr="00A83442">
        <w:rPr>
          <w:spacing w:val="-2"/>
          <w:lang w:val="fr-CH"/>
        </w:rPr>
        <w:t>rable</w:t>
      </w:r>
      <w:r w:rsidR="00FF5D5B" w:rsidRPr="00A83442">
        <w:rPr>
          <w:spacing w:val="-2"/>
          <w:lang w:val="fr-CH"/>
        </w:rPr>
        <w:t xml:space="preserve">s de la </w:t>
      </w:r>
      <w:r w:rsidRPr="00A83442">
        <w:rPr>
          <w:spacing w:val="-2"/>
          <w:lang w:val="fr-CH"/>
        </w:rPr>
        <w:t>soci</w:t>
      </w:r>
      <w:r w:rsidR="00FF5D5B" w:rsidRPr="00A83442">
        <w:rPr>
          <w:spacing w:val="-2"/>
          <w:lang w:val="fr-CH"/>
        </w:rPr>
        <w:t xml:space="preserve">été, appliquer la loi sur l’appui aux femmes et aux enfants sans tuteur ainsi que la loi sur l’appui aux handicapés, venir en aide </w:t>
      </w:r>
      <w:r w:rsidR="00A234E8" w:rsidRPr="00A83442">
        <w:rPr>
          <w:spacing w:val="-2"/>
          <w:lang w:val="fr-CH"/>
        </w:rPr>
        <w:t>aux familles</w:t>
      </w:r>
      <w:r w:rsidR="00FF5D5B" w:rsidRPr="00A83442">
        <w:rPr>
          <w:spacing w:val="-2"/>
          <w:lang w:val="fr-CH"/>
        </w:rPr>
        <w:t xml:space="preserve"> défavorisées en proie à des préjudices sociaux et </w:t>
      </w:r>
      <w:r w:rsidR="00A234E8" w:rsidRPr="00A83442">
        <w:rPr>
          <w:spacing w:val="-2"/>
          <w:lang w:val="fr-CH"/>
        </w:rPr>
        <w:t>aux familles</w:t>
      </w:r>
      <w:r w:rsidR="00FF5D5B" w:rsidRPr="00A83442">
        <w:rPr>
          <w:spacing w:val="-2"/>
          <w:lang w:val="fr-CH"/>
        </w:rPr>
        <w:t xml:space="preserve"> touchées par des catastrophes et des accidents, financer une </w:t>
      </w:r>
      <w:r w:rsidRPr="00A83442">
        <w:rPr>
          <w:spacing w:val="-2"/>
          <w:lang w:val="fr-CH"/>
        </w:rPr>
        <w:t>part</w:t>
      </w:r>
      <w:r w:rsidR="00FF5D5B" w:rsidRPr="00A83442">
        <w:rPr>
          <w:spacing w:val="-2"/>
          <w:lang w:val="fr-CH"/>
        </w:rPr>
        <w:t xml:space="preserve">ie des frais d’éducation et d’alimentation des écoliers des régions défavorisées, réduire la pauvreté alimentaire </w:t>
      </w:r>
      <w:r w:rsidR="004E45FB" w:rsidRPr="00A83442">
        <w:rPr>
          <w:spacing w:val="-2"/>
          <w:lang w:val="fr-CH"/>
        </w:rPr>
        <w:t>des familles</w:t>
      </w:r>
      <w:r w:rsidR="00FF5D5B" w:rsidRPr="00A83442">
        <w:rPr>
          <w:spacing w:val="-2"/>
          <w:lang w:val="fr-CH"/>
        </w:rPr>
        <w:t xml:space="preserve"> à faible revenu</w:t>
      </w:r>
      <w:r w:rsidRPr="00A83442">
        <w:rPr>
          <w:spacing w:val="-2"/>
          <w:lang w:val="fr-CH"/>
        </w:rPr>
        <w:t>, allo</w:t>
      </w:r>
      <w:r w:rsidR="00FF5D5B" w:rsidRPr="00A83442">
        <w:rPr>
          <w:spacing w:val="-2"/>
          <w:lang w:val="fr-CH"/>
        </w:rPr>
        <w:t xml:space="preserve">uer </w:t>
      </w:r>
      <w:r w:rsidRPr="00A83442">
        <w:rPr>
          <w:spacing w:val="-2"/>
          <w:lang w:val="fr-CH"/>
        </w:rPr>
        <w:t>25</w:t>
      </w:r>
      <w:r w:rsidR="007E5125" w:rsidRPr="00A83442">
        <w:rPr>
          <w:spacing w:val="-2"/>
          <w:lang w:val="fr-CH"/>
        </w:rPr>
        <w:t>%</w:t>
      </w:r>
      <w:r w:rsidRPr="00A83442">
        <w:rPr>
          <w:spacing w:val="-2"/>
          <w:lang w:val="fr-CH"/>
        </w:rPr>
        <w:t xml:space="preserve"> </w:t>
      </w:r>
      <w:r w:rsidR="00FF5D5B" w:rsidRPr="00A83442">
        <w:rPr>
          <w:spacing w:val="-2"/>
          <w:lang w:val="fr-CH"/>
        </w:rPr>
        <w:t xml:space="preserve">du crédit susvisé au </w:t>
      </w:r>
      <w:r w:rsidR="00BD5FF1" w:rsidRPr="00A83442">
        <w:rPr>
          <w:spacing w:val="-2"/>
          <w:lang w:val="fr-CH"/>
        </w:rPr>
        <w:t>Ministère de la santé et de la formation médicale</w:t>
      </w:r>
      <w:r w:rsidR="00FF5D5B" w:rsidRPr="00A83442">
        <w:rPr>
          <w:spacing w:val="-2"/>
          <w:lang w:val="fr-CH"/>
        </w:rPr>
        <w:t xml:space="preserve"> pour aider </w:t>
      </w:r>
      <w:r w:rsidR="00A233C2" w:rsidRPr="00A83442">
        <w:rPr>
          <w:spacing w:val="-2"/>
          <w:lang w:val="fr-CH"/>
        </w:rPr>
        <w:t>les personnes</w:t>
      </w:r>
      <w:r w:rsidR="00FF5D5B" w:rsidRPr="00A83442">
        <w:rPr>
          <w:spacing w:val="-2"/>
          <w:lang w:val="fr-CH"/>
        </w:rPr>
        <w:t xml:space="preserve"> souffrant de maladies spéciales </w:t>
      </w:r>
      <w:r w:rsidRPr="00A83442">
        <w:rPr>
          <w:spacing w:val="-2"/>
          <w:lang w:val="fr-CH"/>
        </w:rPr>
        <w:t>(h</w:t>
      </w:r>
      <w:r w:rsidR="00FF5D5B" w:rsidRPr="00A83442">
        <w:rPr>
          <w:spacing w:val="-2"/>
          <w:lang w:val="fr-CH"/>
        </w:rPr>
        <w:t>é</w:t>
      </w:r>
      <w:r w:rsidRPr="00A83442">
        <w:rPr>
          <w:spacing w:val="-2"/>
          <w:lang w:val="fr-CH"/>
        </w:rPr>
        <w:t>mophili</w:t>
      </w:r>
      <w:r w:rsidR="00FF5D5B" w:rsidRPr="00A83442">
        <w:rPr>
          <w:spacing w:val="-2"/>
          <w:lang w:val="fr-CH"/>
        </w:rPr>
        <w:t>e</w:t>
      </w:r>
      <w:r w:rsidRPr="00A83442">
        <w:rPr>
          <w:spacing w:val="-2"/>
          <w:lang w:val="fr-CH"/>
        </w:rPr>
        <w:t>, thalass</w:t>
      </w:r>
      <w:r w:rsidR="00FF5D5B" w:rsidRPr="00A83442">
        <w:rPr>
          <w:spacing w:val="-2"/>
          <w:lang w:val="fr-CH"/>
        </w:rPr>
        <w:t>é</w:t>
      </w:r>
      <w:r w:rsidRPr="00A83442">
        <w:rPr>
          <w:spacing w:val="-2"/>
          <w:lang w:val="fr-CH"/>
        </w:rPr>
        <w:t>mi</w:t>
      </w:r>
      <w:r w:rsidR="00FF5D5B" w:rsidRPr="00A83442">
        <w:rPr>
          <w:spacing w:val="-2"/>
          <w:lang w:val="fr-CH"/>
        </w:rPr>
        <w:t>e, dialyse</w:t>
      </w:r>
      <w:r w:rsidRPr="00A83442">
        <w:rPr>
          <w:spacing w:val="-2"/>
          <w:lang w:val="fr-CH"/>
        </w:rPr>
        <w:t>, leu</w:t>
      </w:r>
      <w:r w:rsidR="00FF5D5B" w:rsidRPr="00A83442">
        <w:rPr>
          <w:spacing w:val="-2"/>
          <w:lang w:val="fr-CH"/>
        </w:rPr>
        <w:t>cémie</w:t>
      </w:r>
      <w:r w:rsidRPr="00A83442">
        <w:rPr>
          <w:spacing w:val="-2"/>
          <w:lang w:val="fr-CH"/>
        </w:rPr>
        <w:t xml:space="preserve"> </w:t>
      </w:r>
      <w:r w:rsidR="00FF5D5B" w:rsidRPr="00A83442">
        <w:rPr>
          <w:spacing w:val="-2"/>
          <w:lang w:val="fr-CH"/>
        </w:rPr>
        <w:t>et sclérose en plaques</w:t>
      </w:r>
      <w:r w:rsidRPr="00A83442">
        <w:rPr>
          <w:spacing w:val="-2"/>
          <w:lang w:val="fr-CH"/>
        </w:rPr>
        <w:t xml:space="preserve">), </w:t>
      </w:r>
      <w:r w:rsidR="00FF5D5B" w:rsidRPr="00A83442">
        <w:rPr>
          <w:spacing w:val="-2"/>
          <w:lang w:val="fr-CH"/>
        </w:rPr>
        <w:t>de maladies aiguës</w:t>
      </w:r>
      <w:r w:rsidRPr="00A83442">
        <w:rPr>
          <w:spacing w:val="-2"/>
          <w:lang w:val="fr-CH"/>
        </w:rPr>
        <w:t xml:space="preserve">, </w:t>
      </w:r>
      <w:r w:rsidR="00FF5D5B" w:rsidRPr="00A83442">
        <w:rPr>
          <w:spacing w:val="-2"/>
          <w:lang w:val="fr-CH"/>
        </w:rPr>
        <w:t xml:space="preserve">de </w:t>
      </w:r>
      <w:r w:rsidRPr="00A83442">
        <w:rPr>
          <w:spacing w:val="-2"/>
          <w:lang w:val="fr-CH"/>
        </w:rPr>
        <w:t xml:space="preserve">cancer </w:t>
      </w:r>
      <w:r w:rsidR="00FF5D5B" w:rsidRPr="00A83442">
        <w:rPr>
          <w:spacing w:val="-2"/>
          <w:lang w:val="fr-CH"/>
        </w:rPr>
        <w:t>et de la maladie d’</w:t>
      </w:r>
      <w:r w:rsidRPr="00A83442">
        <w:rPr>
          <w:spacing w:val="-2"/>
          <w:lang w:val="fr-CH"/>
        </w:rPr>
        <w:t>Alzheimer</w:t>
      </w:r>
      <w:r w:rsidR="00FF5D5B" w:rsidRPr="00A83442">
        <w:rPr>
          <w:spacing w:val="-2"/>
          <w:lang w:val="fr-CH"/>
        </w:rPr>
        <w:t xml:space="preserve">, ainsi que les </w:t>
      </w:r>
      <w:r w:rsidRPr="00A83442">
        <w:rPr>
          <w:spacing w:val="-2"/>
          <w:lang w:val="fr-CH"/>
        </w:rPr>
        <w:t xml:space="preserve">patients </w:t>
      </w:r>
      <w:r w:rsidR="00FF5D5B" w:rsidRPr="00A83442">
        <w:rPr>
          <w:spacing w:val="-2"/>
          <w:lang w:val="fr-CH"/>
        </w:rPr>
        <w:t>dont les dépenses de santé sont trop élevées</w:t>
      </w:r>
      <w:r w:rsidRPr="00A83442">
        <w:rPr>
          <w:spacing w:val="-2"/>
          <w:lang w:val="fr-CH"/>
        </w:rPr>
        <w:t>, allo</w:t>
      </w:r>
      <w:r w:rsidR="00FF5D5B" w:rsidRPr="00A83442">
        <w:rPr>
          <w:spacing w:val="-2"/>
          <w:lang w:val="fr-CH"/>
        </w:rPr>
        <w:t xml:space="preserve">uer le </w:t>
      </w:r>
      <w:r w:rsidRPr="00A83442">
        <w:rPr>
          <w:spacing w:val="-2"/>
          <w:lang w:val="fr-CH"/>
        </w:rPr>
        <w:t>cr</w:t>
      </w:r>
      <w:r w:rsidR="00FF5D5B" w:rsidRPr="00A83442">
        <w:rPr>
          <w:spacing w:val="-2"/>
          <w:lang w:val="fr-CH"/>
        </w:rPr>
        <w:t>é</w:t>
      </w:r>
      <w:r w:rsidRPr="00A83442">
        <w:rPr>
          <w:spacing w:val="-2"/>
          <w:lang w:val="fr-CH"/>
        </w:rPr>
        <w:t xml:space="preserve">dit </w:t>
      </w:r>
      <w:r w:rsidR="00FF5D5B" w:rsidRPr="00A83442">
        <w:rPr>
          <w:spacing w:val="-2"/>
          <w:lang w:val="fr-CH"/>
        </w:rPr>
        <w:t>du poste</w:t>
      </w:r>
      <w:r w:rsidR="00A83442" w:rsidRPr="00A83442">
        <w:rPr>
          <w:spacing w:val="-2"/>
          <w:lang w:val="fr-CH"/>
        </w:rPr>
        <w:t> </w:t>
      </w:r>
      <w:r w:rsidRPr="00A83442">
        <w:rPr>
          <w:spacing w:val="-2"/>
          <w:lang w:val="fr-CH"/>
        </w:rPr>
        <w:t>503659 (section</w:t>
      </w:r>
      <w:r w:rsidR="00A83442" w:rsidRPr="00A83442">
        <w:rPr>
          <w:spacing w:val="-2"/>
          <w:lang w:val="fr-CH"/>
        </w:rPr>
        <w:t> </w:t>
      </w:r>
      <w:r w:rsidRPr="00A83442">
        <w:rPr>
          <w:spacing w:val="-2"/>
          <w:lang w:val="fr-CH"/>
        </w:rPr>
        <w:t xml:space="preserve">4 </w:t>
      </w:r>
      <w:r w:rsidR="00FF5D5B" w:rsidRPr="00A83442">
        <w:rPr>
          <w:spacing w:val="-2"/>
          <w:lang w:val="fr-CH"/>
        </w:rPr>
        <w:t>de la loi de finances</w:t>
      </w:r>
      <w:r w:rsidRPr="00A83442">
        <w:rPr>
          <w:spacing w:val="-2"/>
          <w:lang w:val="fr-CH"/>
        </w:rPr>
        <w:t>)</w:t>
      </w:r>
      <w:r w:rsidR="00FF5D5B" w:rsidRPr="00A83442">
        <w:rPr>
          <w:spacing w:val="-2"/>
          <w:lang w:val="fr-CH"/>
        </w:rPr>
        <w:t xml:space="preserve">, d’un montant de </w:t>
      </w:r>
      <w:r w:rsidRPr="00A83442">
        <w:rPr>
          <w:spacing w:val="-2"/>
          <w:lang w:val="fr-CH"/>
        </w:rPr>
        <w:t>13</w:t>
      </w:r>
      <w:r w:rsidR="00A83442" w:rsidRPr="00A83442">
        <w:rPr>
          <w:spacing w:val="-2"/>
          <w:lang w:val="fr-CH"/>
        </w:rPr>
        <w:t> </w:t>
      </w:r>
      <w:r w:rsidRPr="00A83442">
        <w:rPr>
          <w:spacing w:val="-2"/>
          <w:lang w:val="fr-CH"/>
        </w:rPr>
        <w:t>385,7</w:t>
      </w:r>
      <w:r w:rsidR="008553D9" w:rsidRPr="00A83442">
        <w:rPr>
          <w:spacing w:val="-2"/>
          <w:lang w:val="fr-CH"/>
        </w:rPr>
        <w:t> milliard</w:t>
      </w:r>
      <w:r w:rsidR="00097CDB" w:rsidRPr="00A83442">
        <w:rPr>
          <w:spacing w:val="-2"/>
          <w:lang w:val="fr-CH"/>
        </w:rPr>
        <w:t>s</w:t>
      </w:r>
      <w:r w:rsidR="00FF5D5B" w:rsidRPr="00A83442">
        <w:rPr>
          <w:spacing w:val="-2"/>
          <w:lang w:val="fr-CH"/>
        </w:rPr>
        <w:t xml:space="preserve"> </w:t>
      </w:r>
      <w:r w:rsidR="003B1403" w:rsidRPr="00A83442">
        <w:rPr>
          <w:spacing w:val="-2"/>
          <w:lang w:val="fr-CH"/>
        </w:rPr>
        <w:t>de rials</w:t>
      </w:r>
      <w:r w:rsidR="00FF5D5B" w:rsidRPr="00A83442">
        <w:rPr>
          <w:spacing w:val="-2"/>
          <w:lang w:val="fr-CH"/>
        </w:rPr>
        <w:t xml:space="preserve">, à la satisfaction des besoins des groupes les plus pauvres de la société, et </w:t>
      </w:r>
      <w:r w:rsidRPr="00A83442">
        <w:rPr>
          <w:spacing w:val="-2"/>
          <w:lang w:val="fr-CH"/>
        </w:rPr>
        <w:t>redistribu</w:t>
      </w:r>
      <w:r w:rsidR="00FF5D5B" w:rsidRPr="00A83442">
        <w:rPr>
          <w:spacing w:val="-2"/>
          <w:lang w:val="fr-CH"/>
        </w:rPr>
        <w:t>er les subventions, comme l’ont proposé conjointement le Ministère du commerce et le Ministère de la protection et de la sécurité sociales et l’a confirmé le Conseil économique</w:t>
      </w:r>
      <w:r w:rsidRPr="00A83442">
        <w:rPr>
          <w:spacing w:val="-2"/>
          <w:lang w:val="fr-CH"/>
        </w:rPr>
        <w:t xml:space="preserve">, </w:t>
      </w:r>
      <w:r w:rsidR="00FF5D5B" w:rsidRPr="00A83442">
        <w:rPr>
          <w:spacing w:val="-2"/>
          <w:lang w:val="fr-CH"/>
        </w:rPr>
        <w:t>aux organisations d’exécution compétentes par le biais de l’organisation de l’appui aux consommateurs et aux producteurs</w:t>
      </w:r>
      <w:r w:rsidRPr="00A83442">
        <w:rPr>
          <w:spacing w:val="-2"/>
          <w:lang w:val="fr-CH"/>
        </w:rPr>
        <w:t xml:space="preserve">; </w:t>
      </w:r>
      <w:r w:rsidR="00FF5D5B" w:rsidRPr="00A83442">
        <w:rPr>
          <w:spacing w:val="-2"/>
          <w:lang w:val="fr-CH"/>
        </w:rPr>
        <w:t xml:space="preserve">les subventions relevant du présent </w:t>
      </w:r>
      <w:r w:rsidR="00723F2B" w:rsidRPr="00A83442">
        <w:rPr>
          <w:spacing w:val="-2"/>
          <w:lang w:val="fr-CH"/>
        </w:rPr>
        <w:t>paragraphe </w:t>
      </w:r>
      <w:r w:rsidR="00FF5D5B" w:rsidRPr="00A83442">
        <w:rPr>
          <w:spacing w:val="-2"/>
          <w:lang w:val="fr-CH"/>
        </w:rPr>
        <w:t>seront offertes uniquement aux</w:t>
      </w:r>
      <w:r w:rsidR="00BF435F" w:rsidRPr="00A83442">
        <w:rPr>
          <w:spacing w:val="-2"/>
          <w:lang w:val="fr-CH"/>
        </w:rPr>
        <w:t> habitants</w:t>
      </w:r>
      <w:r w:rsidR="00FF5D5B" w:rsidRPr="00A83442">
        <w:rPr>
          <w:spacing w:val="-2"/>
          <w:lang w:val="fr-CH"/>
        </w:rPr>
        <w:t xml:space="preserve"> des </w:t>
      </w:r>
      <w:r w:rsidRPr="00A83442">
        <w:rPr>
          <w:spacing w:val="-2"/>
          <w:lang w:val="fr-CH"/>
        </w:rPr>
        <w:t xml:space="preserve">villages </w:t>
      </w:r>
      <w:r w:rsidR="00FF5D5B" w:rsidRPr="00A83442">
        <w:rPr>
          <w:spacing w:val="-2"/>
          <w:lang w:val="fr-CH"/>
        </w:rPr>
        <w:t xml:space="preserve">et des villes de moins de </w:t>
      </w:r>
      <w:r w:rsidRPr="00A83442">
        <w:rPr>
          <w:spacing w:val="-2"/>
          <w:lang w:val="fr-CH"/>
        </w:rPr>
        <w:t>100</w:t>
      </w:r>
      <w:r w:rsidR="00FF5D5B" w:rsidRPr="00A83442">
        <w:rPr>
          <w:spacing w:val="-2"/>
          <w:lang w:val="fr-CH"/>
        </w:rPr>
        <w:t xml:space="preserve"> </w:t>
      </w:r>
      <w:r w:rsidRPr="00A83442">
        <w:rPr>
          <w:spacing w:val="-2"/>
          <w:lang w:val="fr-CH"/>
        </w:rPr>
        <w:t>000</w:t>
      </w:r>
      <w:r w:rsidR="00BF435F" w:rsidRPr="00A83442">
        <w:rPr>
          <w:spacing w:val="-2"/>
          <w:lang w:val="fr-CH"/>
        </w:rPr>
        <w:t> habitants</w:t>
      </w:r>
      <w:r w:rsidR="00FF5D5B" w:rsidRPr="00A83442">
        <w:rPr>
          <w:spacing w:val="-2"/>
          <w:lang w:val="fr-CH"/>
        </w:rPr>
        <w:t xml:space="preserve"> et aux pauvres recensés dans d’autres villes petites ou grandes</w:t>
      </w:r>
      <w:r w:rsidR="004C6963" w:rsidRPr="00A83442">
        <w:rPr>
          <w:spacing w:val="-2"/>
          <w:lang w:val="fr-CH"/>
        </w:rPr>
        <w:t>.</w:t>
      </w:r>
    </w:p>
    <w:p w:rsidR="00DD2B20" w:rsidRPr="0071782F" w:rsidRDefault="00DD2B20" w:rsidP="00DD2B20">
      <w:pPr>
        <w:pStyle w:val="SingleTxtG"/>
        <w:ind w:left="1701" w:hanging="567"/>
        <w:rPr>
          <w:lang w:val="fr-CH"/>
        </w:rPr>
      </w:pPr>
      <w:r w:rsidRPr="0071782F">
        <w:rPr>
          <w:lang w:val="fr-CH"/>
        </w:rPr>
        <w:tab/>
        <w:t>117.3.</w:t>
      </w:r>
      <w:r w:rsidRPr="0071782F">
        <w:rPr>
          <w:lang w:val="fr-CH"/>
        </w:rPr>
        <w:tab/>
      </w:r>
      <w:r w:rsidR="001357F2" w:rsidRPr="0071782F">
        <w:rPr>
          <w:lang w:val="fr-CH"/>
        </w:rPr>
        <w:t xml:space="preserve">Afin de promouvoir la justice </w:t>
      </w:r>
      <w:r w:rsidRPr="0071782F">
        <w:rPr>
          <w:lang w:val="fr-CH"/>
        </w:rPr>
        <w:t>social</w:t>
      </w:r>
      <w:r w:rsidR="001357F2" w:rsidRPr="0071782F">
        <w:rPr>
          <w:lang w:val="fr-CH"/>
        </w:rPr>
        <w:t>e</w:t>
      </w:r>
      <w:r w:rsidRPr="0071782F">
        <w:rPr>
          <w:lang w:val="fr-CH"/>
        </w:rPr>
        <w:t xml:space="preserve"> </w:t>
      </w:r>
      <w:r w:rsidR="001357F2" w:rsidRPr="0071782F">
        <w:rPr>
          <w:lang w:val="fr-CH"/>
        </w:rPr>
        <w:t xml:space="preserve">et de réduire la pauvreté alimentaire, </w:t>
      </w:r>
      <w:r w:rsidRPr="0071782F">
        <w:rPr>
          <w:lang w:val="fr-CH"/>
        </w:rPr>
        <w:t>35</w:t>
      </w:r>
      <w:r w:rsidR="007E5125" w:rsidRPr="0071782F">
        <w:rPr>
          <w:lang w:val="fr-CH"/>
        </w:rPr>
        <w:t>%</w:t>
      </w:r>
      <w:r w:rsidRPr="0071782F">
        <w:rPr>
          <w:lang w:val="fr-CH"/>
        </w:rPr>
        <w:t xml:space="preserve"> </w:t>
      </w:r>
      <w:r w:rsidR="001357F2" w:rsidRPr="0071782F">
        <w:rPr>
          <w:lang w:val="fr-CH"/>
        </w:rPr>
        <w:t xml:space="preserve">du crédit inscrit au poste budgétaire </w:t>
      </w:r>
      <w:r w:rsidRPr="0071782F">
        <w:rPr>
          <w:lang w:val="fr-CH"/>
        </w:rPr>
        <w:t xml:space="preserve">503659 (section 4 </w:t>
      </w:r>
      <w:r w:rsidR="001357F2" w:rsidRPr="0071782F">
        <w:rPr>
          <w:lang w:val="fr-CH"/>
        </w:rPr>
        <w:t>de la loi de finances</w:t>
      </w:r>
      <w:r w:rsidRPr="0071782F">
        <w:rPr>
          <w:lang w:val="fr-CH"/>
        </w:rPr>
        <w:t xml:space="preserve">) </w:t>
      </w:r>
      <w:r w:rsidR="001357F2" w:rsidRPr="0071782F">
        <w:rPr>
          <w:lang w:val="fr-CH"/>
        </w:rPr>
        <w:t xml:space="preserve">ont été affectés pour augmenter le montant des subventions destinées à l’achat d’aliments par </w:t>
      </w:r>
      <w:r w:rsidR="00DA097D" w:rsidRPr="0071782F">
        <w:rPr>
          <w:lang w:val="fr-CH"/>
        </w:rPr>
        <w:t>les familles</w:t>
      </w:r>
      <w:r w:rsidR="001357F2" w:rsidRPr="0071782F">
        <w:rPr>
          <w:lang w:val="fr-CH"/>
        </w:rPr>
        <w:t xml:space="preserve"> à faible revenu, les femmes et les enfants sans tuteur, </w:t>
      </w:r>
      <w:r w:rsidR="00A233C2" w:rsidRPr="0071782F">
        <w:rPr>
          <w:lang w:val="fr-CH"/>
        </w:rPr>
        <w:t>les personnes</w:t>
      </w:r>
      <w:r w:rsidR="001357F2" w:rsidRPr="0071782F">
        <w:rPr>
          <w:lang w:val="fr-CH"/>
        </w:rPr>
        <w:t xml:space="preserve"> assistées par le Comité de secours de l’Imam Khomeini et l’Organisation publique de protection sociale, ainsi que </w:t>
      </w:r>
      <w:r w:rsidR="00C36750" w:rsidRPr="0071782F">
        <w:rPr>
          <w:lang w:val="fr-CH"/>
        </w:rPr>
        <w:t>les habitants</w:t>
      </w:r>
      <w:r w:rsidR="001357F2" w:rsidRPr="0071782F">
        <w:rPr>
          <w:lang w:val="fr-CH"/>
        </w:rPr>
        <w:t xml:space="preserve"> des régions peu développées du pays.</w:t>
      </w:r>
    </w:p>
    <w:p w:rsidR="00DD2B20" w:rsidRPr="0071782F" w:rsidRDefault="00DD2B20" w:rsidP="00DD2B20">
      <w:pPr>
        <w:pStyle w:val="SingleTxtG"/>
        <w:ind w:left="1701" w:hanging="567"/>
        <w:rPr>
          <w:lang w:val="fr-CH"/>
        </w:rPr>
      </w:pPr>
      <w:r w:rsidRPr="0071782F">
        <w:rPr>
          <w:lang w:val="fr-CH"/>
        </w:rPr>
        <w:tab/>
        <w:t>117.4.</w:t>
      </w:r>
      <w:r w:rsidRPr="0071782F">
        <w:rPr>
          <w:lang w:val="fr-CH"/>
        </w:rPr>
        <w:tab/>
      </w:r>
      <w:r w:rsidR="00AA1228" w:rsidRPr="0071782F">
        <w:rPr>
          <w:lang w:val="fr-CH"/>
        </w:rPr>
        <w:t xml:space="preserve">Le </w:t>
      </w:r>
      <w:r w:rsidRPr="0071782F">
        <w:rPr>
          <w:lang w:val="fr-CH"/>
        </w:rPr>
        <w:t>cr</w:t>
      </w:r>
      <w:r w:rsidR="00AA1228" w:rsidRPr="0071782F">
        <w:rPr>
          <w:lang w:val="fr-CH"/>
        </w:rPr>
        <w:t>é</w:t>
      </w:r>
      <w:r w:rsidRPr="0071782F">
        <w:rPr>
          <w:lang w:val="fr-CH"/>
        </w:rPr>
        <w:t xml:space="preserve">dit </w:t>
      </w:r>
      <w:r w:rsidR="00AA1228" w:rsidRPr="0071782F">
        <w:rPr>
          <w:lang w:val="fr-CH"/>
        </w:rPr>
        <w:t xml:space="preserve">inscrit au poste </w:t>
      </w:r>
      <w:r w:rsidRPr="0071782F">
        <w:rPr>
          <w:lang w:val="fr-CH"/>
        </w:rPr>
        <w:t xml:space="preserve">503021, </w:t>
      </w:r>
      <w:r w:rsidR="00AA1228" w:rsidRPr="0071782F">
        <w:rPr>
          <w:lang w:val="fr-CH"/>
        </w:rPr>
        <w:t xml:space="preserve">d’un montant de </w:t>
      </w:r>
      <w:r w:rsidRPr="0071782F">
        <w:rPr>
          <w:lang w:val="fr-CH"/>
        </w:rPr>
        <w:t>8</w:t>
      </w:r>
      <w:r w:rsidR="00AA1228" w:rsidRPr="0071782F">
        <w:rPr>
          <w:lang w:val="fr-CH"/>
        </w:rPr>
        <w:t> </w:t>
      </w:r>
      <w:r w:rsidRPr="0071782F">
        <w:rPr>
          <w:lang w:val="fr-CH"/>
        </w:rPr>
        <w:t>681</w:t>
      </w:r>
      <w:r w:rsidR="008553D9" w:rsidRPr="0071782F">
        <w:rPr>
          <w:lang w:val="fr-CH"/>
        </w:rPr>
        <w:t> milliard</w:t>
      </w:r>
      <w:r w:rsidR="00097CDB" w:rsidRPr="0071782F">
        <w:rPr>
          <w:lang w:val="fr-CH"/>
        </w:rPr>
        <w:t>s</w:t>
      </w:r>
      <w:r w:rsidR="00AA1228" w:rsidRPr="0071782F">
        <w:rPr>
          <w:lang w:val="fr-CH"/>
        </w:rPr>
        <w:t xml:space="preserve"> </w:t>
      </w:r>
      <w:r w:rsidR="003B1403" w:rsidRPr="0071782F">
        <w:rPr>
          <w:lang w:val="fr-CH"/>
        </w:rPr>
        <w:t>de rials</w:t>
      </w:r>
      <w:r w:rsidR="00AA1228" w:rsidRPr="0071782F">
        <w:rPr>
          <w:lang w:val="fr-CH"/>
        </w:rPr>
        <w:t xml:space="preserve">, est destiné à financer les subventions accordées au titre des intrants et facteurs de production agricoles afin d’aider les agriculteurs. Ces subventions seront réparties entre les organismes d’exécution concernés, comme l’a proposé le </w:t>
      </w:r>
      <w:r w:rsidRPr="0071782F">
        <w:rPr>
          <w:lang w:val="fr-CH"/>
        </w:rPr>
        <w:t>Minist</w:t>
      </w:r>
      <w:r w:rsidR="00AA1228" w:rsidRPr="0071782F">
        <w:rPr>
          <w:lang w:val="fr-CH"/>
        </w:rPr>
        <w:t xml:space="preserve">ère de l’agriculture et confirmé le Conseil économique. </w:t>
      </w:r>
    </w:p>
    <w:p w:rsidR="00DD2B20" w:rsidRPr="0071782F" w:rsidRDefault="00DD2B20" w:rsidP="00DD2B20">
      <w:pPr>
        <w:pStyle w:val="H1G"/>
        <w:rPr>
          <w:lang w:val="fr-CH"/>
        </w:rPr>
      </w:pPr>
      <w:r w:rsidRPr="0071782F">
        <w:rPr>
          <w:lang w:val="fr-CH"/>
        </w:rPr>
        <w:tab/>
      </w:r>
      <w:r w:rsidRPr="0071782F">
        <w:rPr>
          <w:lang w:val="fr-CH"/>
        </w:rPr>
        <w:tab/>
        <w:t>D</w:t>
      </w:r>
      <w:r w:rsidR="00AA1228" w:rsidRPr="0071782F">
        <w:rPr>
          <w:lang w:val="fr-CH"/>
        </w:rPr>
        <w:t>é</w:t>
      </w:r>
      <w:r w:rsidRPr="0071782F">
        <w:rPr>
          <w:lang w:val="fr-CH"/>
        </w:rPr>
        <w:t xml:space="preserve">finition </w:t>
      </w:r>
      <w:r w:rsidR="00AA1228" w:rsidRPr="0071782F">
        <w:rPr>
          <w:lang w:val="fr-CH"/>
        </w:rPr>
        <w:t xml:space="preserve">du système de sécurité </w:t>
      </w:r>
      <w:r w:rsidRPr="0071782F">
        <w:rPr>
          <w:lang w:val="fr-CH"/>
        </w:rPr>
        <w:t>social</w:t>
      </w:r>
      <w:r w:rsidR="00AA1228" w:rsidRPr="0071782F">
        <w:rPr>
          <w:lang w:val="fr-CH"/>
        </w:rPr>
        <w:t>e</w:t>
      </w:r>
      <w:r w:rsidRPr="0071782F">
        <w:rPr>
          <w:lang w:val="fr-CH"/>
        </w:rPr>
        <w:t xml:space="preserve"> </w:t>
      </w:r>
      <w:r w:rsidR="00AA1228" w:rsidRPr="0071782F">
        <w:rPr>
          <w:lang w:val="fr-CH"/>
        </w:rPr>
        <w:t xml:space="preserve">et de la portée de ses activités </w:t>
      </w:r>
    </w:p>
    <w:p w:rsidR="00DD2B20" w:rsidRPr="0071782F" w:rsidRDefault="00DD2B20" w:rsidP="00DD2B20">
      <w:pPr>
        <w:pStyle w:val="SingleTxtG"/>
        <w:rPr>
          <w:lang w:val="fr-CH"/>
        </w:rPr>
      </w:pPr>
      <w:r w:rsidRPr="0071782F">
        <w:rPr>
          <w:lang w:val="fr-CH"/>
        </w:rPr>
        <w:t>118.</w:t>
      </w:r>
      <w:r w:rsidRPr="0071782F">
        <w:rPr>
          <w:lang w:val="fr-CH"/>
        </w:rPr>
        <w:tab/>
      </w:r>
      <w:r w:rsidR="00AA1228" w:rsidRPr="0071782F">
        <w:rPr>
          <w:lang w:val="fr-CH"/>
        </w:rPr>
        <w:t xml:space="preserve">Le système de sécurité sociale regroupe les instruments, mesures, programmes et services d’assurances qui ont pour objectif d’aider les travailleurs pendant leurs périodes d’emploi, de retraite et d’incapacité, ainsi que </w:t>
      </w:r>
      <w:r w:rsidR="00A233C2" w:rsidRPr="0071782F">
        <w:rPr>
          <w:lang w:val="fr-CH"/>
        </w:rPr>
        <w:t>les personnes</w:t>
      </w:r>
      <w:r w:rsidR="00AA1228" w:rsidRPr="0071782F">
        <w:rPr>
          <w:lang w:val="fr-CH"/>
        </w:rPr>
        <w:t xml:space="preserve"> qui survivent aux travailleurs décédés. Les </w:t>
      </w:r>
      <w:r w:rsidRPr="0071782F">
        <w:rPr>
          <w:lang w:val="fr-CH"/>
        </w:rPr>
        <w:t xml:space="preserve">services </w:t>
      </w:r>
      <w:r w:rsidR="00AA1228" w:rsidRPr="0071782F">
        <w:rPr>
          <w:lang w:val="fr-CH"/>
        </w:rPr>
        <w:t xml:space="preserve">les plus importants fournis aux assurés par ce système sont l’assurance maladie, qui couvre les frais médicaux en cas de maladie, de catastrophe ou d’accident, et les assurances sociales fournies sous la forme de différents types de pensions (pensions de retraite, d’invalidité, de </w:t>
      </w:r>
      <w:r w:rsidR="00DE1D0C" w:rsidRPr="0071782F">
        <w:rPr>
          <w:lang w:val="fr-CH"/>
        </w:rPr>
        <w:t>réversion</w:t>
      </w:r>
      <w:r w:rsidR="00AA1228" w:rsidRPr="0071782F">
        <w:rPr>
          <w:lang w:val="fr-CH"/>
        </w:rPr>
        <w:t>, etc.).</w:t>
      </w:r>
    </w:p>
    <w:p w:rsidR="00DD2B20" w:rsidRPr="0071782F" w:rsidRDefault="00DD2B20" w:rsidP="00DD2B20">
      <w:pPr>
        <w:pStyle w:val="SingleTxtG"/>
        <w:ind w:left="1701" w:hanging="567"/>
        <w:rPr>
          <w:lang w:val="fr-CH"/>
        </w:rPr>
      </w:pPr>
      <w:r w:rsidRPr="0071782F">
        <w:rPr>
          <w:lang w:val="fr-CH"/>
        </w:rPr>
        <w:tab/>
        <w:t>118.1.</w:t>
      </w:r>
      <w:r w:rsidRPr="0071782F">
        <w:rPr>
          <w:lang w:val="fr-CH"/>
        </w:rPr>
        <w:tab/>
      </w:r>
      <w:r w:rsidR="00AA1228" w:rsidRPr="0071782F">
        <w:rPr>
          <w:lang w:val="fr-CH"/>
        </w:rPr>
        <w:t>Eu égard à leur structure, l’État joue un rôle essentiel dans les politiques et l’orientation des organismes d’assurances</w:t>
      </w:r>
      <w:r w:rsidRPr="0071782F">
        <w:rPr>
          <w:lang w:val="fr-CH"/>
        </w:rPr>
        <w:t xml:space="preserve">. </w:t>
      </w:r>
      <w:r w:rsidR="00AA1228" w:rsidRPr="0071782F">
        <w:rPr>
          <w:lang w:val="fr-CH"/>
        </w:rPr>
        <w:t>Les activités liées à la protection et à la sécurité sociale</w:t>
      </w:r>
      <w:r w:rsidR="008867D3" w:rsidRPr="0071782F">
        <w:rPr>
          <w:lang w:val="fr-CH"/>
        </w:rPr>
        <w:t>s</w:t>
      </w:r>
      <w:r w:rsidR="00AA1228" w:rsidRPr="0071782F">
        <w:rPr>
          <w:lang w:val="fr-CH"/>
        </w:rPr>
        <w:t>, qui relèvent de diverses organisations publiques et non gouvernementales, prennent la forme de services d’appui (non assurantiels) et de services assurantiels, comme indiqué ci-après.</w:t>
      </w:r>
    </w:p>
    <w:p w:rsidR="00DD2B20" w:rsidRPr="0071782F" w:rsidRDefault="00DD2B20" w:rsidP="00DD2B20">
      <w:pPr>
        <w:pStyle w:val="H1G"/>
        <w:rPr>
          <w:lang w:val="fr-CH"/>
        </w:rPr>
      </w:pPr>
      <w:r w:rsidRPr="0071782F">
        <w:rPr>
          <w:lang w:val="fr-CH"/>
        </w:rPr>
        <w:tab/>
      </w:r>
      <w:r w:rsidRPr="0071782F">
        <w:rPr>
          <w:lang w:val="fr-CH"/>
        </w:rPr>
        <w:tab/>
      </w:r>
      <w:r w:rsidR="00AA1228" w:rsidRPr="0071782F">
        <w:rPr>
          <w:lang w:val="fr-CH"/>
        </w:rPr>
        <w:t>S</w:t>
      </w:r>
      <w:r w:rsidRPr="0071782F">
        <w:rPr>
          <w:lang w:val="fr-CH"/>
        </w:rPr>
        <w:t xml:space="preserve">ervices </w:t>
      </w:r>
      <w:r w:rsidR="00AA1228" w:rsidRPr="0071782F">
        <w:rPr>
          <w:lang w:val="fr-CH"/>
        </w:rPr>
        <w:t>d’appui (non assurantiels</w:t>
      </w:r>
      <w:r w:rsidRPr="0071782F">
        <w:rPr>
          <w:lang w:val="fr-CH"/>
        </w:rPr>
        <w:t>)</w:t>
      </w:r>
    </w:p>
    <w:p w:rsidR="00DD2B20" w:rsidRPr="0071782F" w:rsidRDefault="00DD2B20" w:rsidP="00DD2B20">
      <w:pPr>
        <w:pStyle w:val="SingleTxtG"/>
        <w:rPr>
          <w:lang w:val="fr-CH"/>
        </w:rPr>
      </w:pPr>
      <w:r w:rsidRPr="0071782F">
        <w:rPr>
          <w:lang w:val="fr-CH"/>
        </w:rPr>
        <w:t>119.</w:t>
      </w:r>
      <w:r w:rsidRPr="0071782F">
        <w:rPr>
          <w:lang w:val="fr-CH"/>
        </w:rPr>
        <w:tab/>
      </w:r>
      <w:r w:rsidR="00400C7C" w:rsidRPr="0071782F">
        <w:rPr>
          <w:lang w:val="fr-CH"/>
        </w:rPr>
        <w:t xml:space="preserve">Ces services comprennent des mesures et activités liées au travail social, au conseil et à la réadaptation ainsi que certains autres services sociaux destinés à répondre aux besoins fondamentaux des groupes à faible revenu et à améliorer le niveau de vie </w:t>
      </w:r>
      <w:r w:rsidR="007F37CE" w:rsidRPr="0071782F">
        <w:rPr>
          <w:lang w:val="fr-CH"/>
        </w:rPr>
        <w:t>des personnes</w:t>
      </w:r>
      <w:r w:rsidR="00400C7C" w:rsidRPr="0071782F">
        <w:rPr>
          <w:lang w:val="fr-CH"/>
        </w:rPr>
        <w:t xml:space="preserve"> souffrant de diverses indigences sociales, y compris </w:t>
      </w:r>
      <w:r w:rsidR="00DA097D" w:rsidRPr="0071782F">
        <w:rPr>
          <w:lang w:val="fr-CH"/>
        </w:rPr>
        <w:t>les familles</w:t>
      </w:r>
      <w:r w:rsidR="00400C7C" w:rsidRPr="0071782F">
        <w:rPr>
          <w:lang w:val="fr-CH"/>
        </w:rPr>
        <w:t xml:space="preserve"> des martyrs de la guerre et d’anciens combattants. Ces </w:t>
      </w:r>
      <w:r w:rsidRPr="0071782F">
        <w:rPr>
          <w:lang w:val="fr-CH"/>
        </w:rPr>
        <w:t xml:space="preserve">services </w:t>
      </w:r>
      <w:r w:rsidR="00400C7C" w:rsidRPr="0071782F">
        <w:rPr>
          <w:lang w:val="fr-CH"/>
        </w:rPr>
        <w:t>sont assurés par les organismes suivants</w:t>
      </w:r>
      <w:r w:rsidR="008F7D33" w:rsidRPr="0071782F">
        <w:rPr>
          <w:lang w:val="fr-CH"/>
        </w:rPr>
        <w:t>:</w:t>
      </w:r>
      <w:r w:rsidRPr="0071782F">
        <w:rPr>
          <w:lang w:val="fr-CH"/>
        </w:rPr>
        <w:t xml:space="preserve"> </w:t>
      </w:r>
      <w:r w:rsidR="00400C7C" w:rsidRPr="0071782F">
        <w:rPr>
          <w:lang w:val="fr-CH"/>
        </w:rPr>
        <w:t>l’Organisation publique de protection sociale, le Croissant-Rouge</w:t>
      </w:r>
      <w:r w:rsidRPr="0071782F">
        <w:rPr>
          <w:lang w:val="fr-CH"/>
        </w:rPr>
        <w:t xml:space="preserve">, </w:t>
      </w:r>
      <w:r w:rsidR="00400C7C" w:rsidRPr="0071782F">
        <w:rPr>
          <w:lang w:val="fr-CH"/>
        </w:rPr>
        <w:t>le Comité de secours de l’Imam Khomeini et la Fondation des martyrs de la guerre et des anciens combattants</w:t>
      </w:r>
      <w:r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r>
      <w:r w:rsidR="00400C7C" w:rsidRPr="0071782F">
        <w:rPr>
          <w:lang w:val="fr-CH"/>
        </w:rPr>
        <w:t xml:space="preserve">Services assurantiels </w:t>
      </w:r>
    </w:p>
    <w:p w:rsidR="00DD2B20" w:rsidRPr="0071782F" w:rsidRDefault="00DD2B20" w:rsidP="00DD2B20">
      <w:pPr>
        <w:pStyle w:val="SingleTxtG"/>
        <w:rPr>
          <w:lang w:val="fr-CH"/>
        </w:rPr>
      </w:pPr>
      <w:r w:rsidRPr="0071782F">
        <w:rPr>
          <w:lang w:val="fr-CH"/>
        </w:rPr>
        <w:t>120.</w:t>
      </w:r>
      <w:r w:rsidRPr="0071782F">
        <w:rPr>
          <w:lang w:val="fr-CH"/>
        </w:rPr>
        <w:tab/>
      </w:r>
      <w:r w:rsidR="00400C7C" w:rsidRPr="0071782F">
        <w:rPr>
          <w:lang w:val="fr-CH"/>
        </w:rPr>
        <w:t xml:space="preserve">Ces </w:t>
      </w:r>
      <w:r w:rsidRPr="0071782F">
        <w:rPr>
          <w:lang w:val="fr-CH"/>
        </w:rPr>
        <w:t>services</w:t>
      </w:r>
      <w:r w:rsidR="00400C7C" w:rsidRPr="0071782F">
        <w:rPr>
          <w:lang w:val="fr-CH"/>
        </w:rPr>
        <w:t>, qui reposent sur un partenariat entre l’assuré, l’employeur et l’État,</w:t>
      </w:r>
      <w:r w:rsidR="00D36718">
        <w:rPr>
          <w:lang w:val="fr-CH"/>
        </w:rPr>
        <w:t xml:space="preserve"> </w:t>
      </w:r>
      <w:r w:rsidR="00234CD7" w:rsidRPr="0071782F">
        <w:rPr>
          <w:lang w:val="fr-CH"/>
        </w:rPr>
        <w:t>sont fourni</w:t>
      </w:r>
      <w:r w:rsidR="00D12AC5" w:rsidRPr="0071782F">
        <w:rPr>
          <w:lang w:val="fr-CH"/>
        </w:rPr>
        <w:t>s</w:t>
      </w:r>
      <w:r w:rsidR="00234CD7" w:rsidRPr="0071782F">
        <w:rPr>
          <w:lang w:val="fr-CH"/>
        </w:rPr>
        <w:t xml:space="preserve"> sous différentes formes d’assurances qui couvrent notamment les soins médicaux, la retraite, l’invalidité, le chômage, les accidents du travail, le décès, la grossesse et les prestations familiales</w:t>
      </w:r>
      <w:r w:rsidRPr="0071782F">
        <w:rPr>
          <w:lang w:val="fr-CH"/>
        </w:rPr>
        <w:t xml:space="preserve">. </w:t>
      </w:r>
      <w:r w:rsidR="00234CD7" w:rsidRPr="0071782F">
        <w:rPr>
          <w:lang w:val="fr-CH"/>
        </w:rPr>
        <w:t>Les organismes qui fournissent ces services sont les suivants</w:t>
      </w:r>
      <w:r w:rsidR="008F7D33" w:rsidRPr="0071782F">
        <w:rPr>
          <w:lang w:val="fr-CH"/>
        </w:rPr>
        <w:t>:</w:t>
      </w:r>
      <w:r w:rsidRPr="0071782F">
        <w:rPr>
          <w:lang w:val="fr-CH"/>
        </w:rPr>
        <w:t xml:space="preserve"> </w:t>
      </w:r>
      <w:r w:rsidR="00234CD7" w:rsidRPr="0071782F">
        <w:rPr>
          <w:lang w:val="fr-CH"/>
        </w:rPr>
        <w:t>Organis</w:t>
      </w:r>
      <w:r w:rsidR="00D12AC5" w:rsidRPr="0071782F">
        <w:rPr>
          <w:lang w:val="fr-CH"/>
        </w:rPr>
        <w:t xml:space="preserve">me </w:t>
      </w:r>
      <w:r w:rsidR="00234CD7" w:rsidRPr="0071782F">
        <w:rPr>
          <w:lang w:val="fr-CH"/>
        </w:rPr>
        <w:t>de sécurité sociale</w:t>
      </w:r>
      <w:r w:rsidRPr="0071782F">
        <w:rPr>
          <w:lang w:val="fr-CH"/>
        </w:rPr>
        <w:t xml:space="preserve">, </w:t>
      </w:r>
      <w:r w:rsidR="00234CD7" w:rsidRPr="0071782F">
        <w:rPr>
          <w:lang w:val="fr-CH"/>
        </w:rPr>
        <w:t>Organisme de l’assurance maladie, Caisse publique des pensions et autres organismes tels que l’Organisme de sécurité sociale des forces armées, les fonds d’assurances et de pensions des ministères et de différentes organisations (industrie pétrolière, Entreprise de télécommunications, Entreprise sidérurgique, Municipalité de Téhéran, secteur du transport aérien</w:t>
      </w:r>
      <w:r w:rsidRPr="0071782F">
        <w:rPr>
          <w:lang w:val="fr-CH"/>
        </w:rPr>
        <w:t xml:space="preserve">, </w:t>
      </w:r>
      <w:r w:rsidR="00234CD7" w:rsidRPr="0071782F">
        <w:rPr>
          <w:lang w:val="fr-CH"/>
        </w:rPr>
        <w:t>industrie du cuivre, Organisme de gestion des ports et des transports maritimes</w:t>
      </w:r>
      <w:r w:rsidRPr="0071782F">
        <w:rPr>
          <w:lang w:val="fr-CH"/>
        </w:rPr>
        <w:t>, etc.).</w:t>
      </w:r>
    </w:p>
    <w:p w:rsidR="00DD2B20" w:rsidRPr="0071782F" w:rsidRDefault="00DD2B20" w:rsidP="00DD2B20">
      <w:pPr>
        <w:pStyle w:val="H1G"/>
        <w:rPr>
          <w:lang w:val="fr-CH"/>
        </w:rPr>
      </w:pPr>
      <w:r w:rsidRPr="0071782F">
        <w:rPr>
          <w:lang w:val="fr-CH"/>
        </w:rPr>
        <w:tab/>
      </w:r>
      <w:r w:rsidRPr="0071782F">
        <w:rPr>
          <w:lang w:val="fr-CH"/>
        </w:rPr>
        <w:tab/>
      </w:r>
      <w:r w:rsidR="00D12AC5" w:rsidRPr="0071782F">
        <w:rPr>
          <w:lang w:val="fr-CH"/>
        </w:rPr>
        <w:t>Organisme de sécurité s</w:t>
      </w:r>
      <w:r w:rsidRPr="0071782F">
        <w:rPr>
          <w:lang w:val="fr-CH"/>
        </w:rPr>
        <w:t>ocial</w:t>
      </w:r>
      <w:r w:rsidR="00D12AC5" w:rsidRPr="0071782F">
        <w:rPr>
          <w:lang w:val="fr-CH"/>
        </w:rPr>
        <w:t>e</w:t>
      </w:r>
      <w:r w:rsidR="00D36718">
        <w:rPr>
          <w:lang w:val="fr-CH"/>
        </w:rPr>
        <w:t xml:space="preserve"> </w:t>
      </w:r>
    </w:p>
    <w:p w:rsidR="00DD2B20" w:rsidRPr="0071782F" w:rsidRDefault="00DD2B20" w:rsidP="00DD2B20">
      <w:pPr>
        <w:pStyle w:val="SingleTxtG"/>
        <w:rPr>
          <w:lang w:val="fr-CH"/>
        </w:rPr>
      </w:pPr>
      <w:r w:rsidRPr="0071782F">
        <w:rPr>
          <w:lang w:val="fr-CH"/>
        </w:rPr>
        <w:t>121.</w:t>
      </w:r>
      <w:r w:rsidRPr="0071782F">
        <w:rPr>
          <w:lang w:val="fr-CH"/>
        </w:rPr>
        <w:tab/>
      </w:r>
      <w:r w:rsidR="003B3BA3" w:rsidRPr="0071782F">
        <w:rPr>
          <w:lang w:val="fr-CH"/>
        </w:rPr>
        <w:t xml:space="preserve">Principale </w:t>
      </w:r>
      <w:r w:rsidRPr="0071782F">
        <w:rPr>
          <w:lang w:val="fr-CH"/>
        </w:rPr>
        <w:t xml:space="preserve">institution </w:t>
      </w:r>
      <w:r w:rsidR="003B3BA3" w:rsidRPr="0071782F">
        <w:rPr>
          <w:lang w:val="fr-CH"/>
        </w:rPr>
        <w:t xml:space="preserve">fournissant </w:t>
      </w:r>
      <w:r w:rsidRPr="0071782F">
        <w:rPr>
          <w:lang w:val="fr-CH"/>
        </w:rPr>
        <w:t>diff</w:t>
      </w:r>
      <w:r w:rsidR="003B3BA3" w:rsidRPr="0071782F">
        <w:rPr>
          <w:lang w:val="fr-CH"/>
        </w:rPr>
        <w:t>é</w:t>
      </w:r>
      <w:r w:rsidRPr="0071782F">
        <w:rPr>
          <w:lang w:val="fr-CH"/>
        </w:rPr>
        <w:t>rent</w:t>
      </w:r>
      <w:r w:rsidR="003B3BA3" w:rsidRPr="0071782F">
        <w:rPr>
          <w:lang w:val="fr-CH"/>
        </w:rPr>
        <w:t>s</w:t>
      </w:r>
      <w:r w:rsidRPr="0071782F">
        <w:rPr>
          <w:lang w:val="fr-CH"/>
        </w:rPr>
        <w:t xml:space="preserve"> </w:t>
      </w:r>
      <w:r w:rsidR="003B3BA3" w:rsidRPr="0071782F">
        <w:rPr>
          <w:lang w:val="fr-CH"/>
        </w:rPr>
        <w:t>services d’assistance sociale et d’appui, l’Organisme de sécurité sociale joue un rôle majeur dans la stabilité de la société et la protection et la préservation des forces productives du pays.</w:t>
      </w:r>
      <w:r w:rsidRPr="0071782F">
        <w:rPr>
          <w:lang w:val="fr-CH"/>
        </w:rPr>
        <w:t xml:space="preserve"> </w:t>
      </w:r>
      <w:r w:rsidR="003B3BA3" w:rsidRPr="0071782F">
        <w:rPr>
          <w:lang w:val="fr-CH"/>
        </w:rPr>
        <w:t>Membre à part entière de l’Association internationale de la sécurité sociale depuis 40</w:t>
      </w:r>
      <w:r w:rsidR="00D82C96" w:rsidRPr="0071782F">
        <w:rPr>
          <w:lang w:val="fr-CH"/>
        </w:rPr>
        <w:t> ans</w:t>
      </w:r>
      <w:r w:rsidR="003B3BA3" w:rsidRPr="0071782F">
        <w:rPr>
          <w:lang w:val="fr-CH"/>
        </w:rPr>
        <w:t>, l’Organisme iranien de sécurité sociale est l’un des systèmes de sécurité sociale les plus intégrés de la région de l’Asie et du Moyen-Orient</w:t>
      </w:r>
      <w:r w:rsidRPr="0071782F">
        <w:rPr>
          <w:lang w:val="fr-CH"/>
        </w:rPr>
        <w:t>.</w:t>
      </w:r>
    </w:p>
    <w:p w:rsidR="00DD2B20" w:rsidRPr="0071782F" w:rsidRDefault="00DD2B20" w:rsidP="00DD2B20">
      <w:pPr>
        <w:pStyle w:val="SingleTxtG"/>
        <w:ind w:left="1701" w:hanging="567"/>
        <w:rPr>
          <w:lang w:val="fr-CH"/>
        </w:rPr>
      </w:pPr>
      <w:r w:rsidRPr="0071782F">
        <w:rPr>
          <w:lang w:val="fr-CH"/>
        </w:rPr>
        <w:tab/>
        <w:t>121.1.</w:t>
      </w:r>
      <w:r w:rsidRPr="0071782F">
        <w:rPr>
          <w:lang w:val="fr-CH"/>
        </w:rPr>
        <w:tab/>
      </w:r>
      <w:r w:rsidR="000F4757" w:rsidRPr="0071782F">
        <w:rPr>
          <w:lang w:val="fr-CH"/>
        </w:rPr>
        <w:t xml:space="preserve">À l’heure actuelle, cet Organisme assure </w:t>
      </w:r>
      <w:r w:rsidRPr="0071782F">
        <w:rPr>
          <w:lang w:val="fr-CH"/>
        </w:rPr>
        <w:t>39</w:t>
      </w:r>
      <w:r w:rsidR="00097CDB" w:rsidRPr="0071782F">
        <w:rPr>
          <w:lang w:val="fr-CH"/>
        </w:rPr>
        <w:t> millions</w:t>
      </w:r>
      <w:r w:rsidRPr="0071782F">
        <w:rPr>
          <w:lang w:val="fr-CH"/>
        </w:rPr>
        <w:t xml:space="preserve"> </w:t>
      </w:r>
      <w:r w:rsidR="000F4757" w:rsidRPr="0071782F">
        <w:rPr>
          <w:lang w:val="fr-CH"/>
        </w:rPr>
        <w:t>d’</w:t>
      </w:r>
      <w:r w:rsidRPr="0071782F">
        <w:rPr>
          <w:lang w:val="fr-CH"/>
        </w:rPr>
        <w:t>Irani</w:t>
      </w:r>
      <w:r w:rsidR="000F4757" w:rsidRPr="0071782F">
        <w:rPr>
          <w:lang w:val="fr-CH"/>
        </w:rPr>
        <w:t xml:space="preserve">ens, soit </w:t>
      </w:r>
      <w:r w:rsidRPr="0071782F">
        <w:rPr>
          <w:lang w:val="fr-CH"/>
        </w:rPr>
        <w:t>51</w:t>
      </w:r>
      <w:r w:rsidR="007E5125" w:rsidRPr="0071782F">
        <w:rPr>
          <w:lang w:val="fr-CH"/>
        </w:rPr>
        <w:t>%</w:t>
      </w:r>
      <w:r w:rsidRPr="0071782F">
        <w:rPr>
          <w:lang w:val="fr-CH"/>
        </w:rPr>
        <w:t xml:space="preserve"> </w:t>
      </w:r>
      <w:r w:rsidR="000F4757" w:rsidRPr="0071782F">
        <w:rPr>
          <w:lang w:val="fr-CH"/>
        </w:rPr>
        <w:t xml:space="preserve">de la population totale et </w:t>
      </w:r>
      <w:r w:rsidRPr="0071782F">
        <w:rPr>
          <w:lang w:val="fr-CH"/>
        </w:rPr>
        <w:t>66</w:t>
      </w:r>
      <w:r w:rsidR="007E5125" w:rsidRPr="0071782F">
        <w:rPr>
          <w:lang w:val="fr-CH"/>
        </w:rPr>
        <w:t>%</w:t>
      </w:r>
      <w:r w:rsidRPr="0071782F">
        <w:rPr>
          <w:lang w:val="fr-CH"/>
        </w:rPr>
        <w:t xml:space="preserve"> </w:t>
      </w:r>
      <w:r w:rsidR="000F4757" w:rsidRPr="0071782F">
        <w:rPr>
          <w:lang w:val="fr-CH"/>
        </w:rPr>
        <w:t>des citadins</w:t>
      </w:r>
      <w:r w:rsidRPr="0071782F">
        <w:rPr>
          <w:lang w:val="fr-CH"/>
        </w:rPr>
        <w:t>; 17</w:t>
      </w:r>
      <w:r w:rsidR="000F4757" w:rsidRPr="0071782F">
        <w:rPr>
          <w:lang w:val="fr-CH"/>
        </w:rPr>
        <w:t>,</w:t>
      </w:r>
      <w:r w:rsidRPr="0071782F">
        <w:rPr>
          <w:lang w:val="fr-CH"/>
        </w:rPr>
        <w:t>7</w:t>
      </w:r>
      <w:r w:rsidR="007E5125" w:rsidRPr="0071782F">
        <w:rPr>
          <w:lang w:val="fr-CH"/>
        </w:rPr>
        <w:t>%</w:t>
      </w:r>
      <w:r w:rsidR="000F4757" w:rsidRPr="0071782F">
        <w:rPr>
          <w:lang w:val="fr-CH"/>
        </w:rPr>
        <w:t xml:space="preserve"> de la population couverte sont des fonctionnaires</w:t>
      </w:r>
      <w:r w:rsidRPr="0071782F">
        <w:rPr>
          <w:lang w:val="fr-CH"/>
        </w:rPr>
        <w:t>, 0</w:t>
      </w:r>
      <w:r w:rsidR="000F4757" w:rsidRPr="0071782F">
        <w:rPr>
          <w:lang w:val="fr-CH"/>
        </w:rPr>
        <w:t>,</w:t>
      </w:r>
      <w:r w:rsidRPr="0071782F">
        <w:rPr>
          <w:lang w:val="fr-CH"/>
        </w:rPr>
        <w:t>7</w:t>
      </w:r>
      <w:r w:rsidR="007E5125" w:rsidRPr="0071782F">
        <w:rPr>
          <w:lang w:val="fr-CH"/>
        </w:rPr>
        <w:t>%</w:t>
      </w:r>
      <w:r w:rsidR="000F4757" w:rsidRPr="0071782F">
        <w:rPr>
          <w:lang w:val="fr-CH"/>
        </w:rPr>
        <w:t xml:space="preserve"> des travailleurs indépendants</w:t>
      </w:r>
      <w:r w:rsidRPr="0071782F">
        <w:rPr>
          <w:lang w:val="fr-CH"/>
        </w:rPr>
        <w:t>, 20</w:t>
      </w:r>
      <w:r w:rsidR="000F4757" w:rsidRPr="0071782F">
        <w:rPr>
          <w:lang w:val="fr-CH"/>
        </w:rPr>
        <w:t>,</w:t>
      </w:r>
      <w:r w:rsidRPr="0071782F">
        <w:rPr>
          <w:lang w:val="fr-CH"/>
        </w:rPr>
        <w:t>2</w:t>
      </w:r>
      <w:r w:rsidR="007E5125" w:rsidRPr="0071782F">
        <w:rPr>
          <w:lang w:val="fr-CH"/>
        </w:rPr>
        <w:t>%</w:t>
      </w:r>
      <w:r w:rsidR="000F4757" w:rsidRPr="0071782F">
        <w:rPr>
          <w:lang w:val="fr-CH"/>
        </w:rPr>
        <w:t xml:space="preserve"> des citadins</w:t>
      </w:r>
      <w:r w:rsidRPr="0071782F">
        <w:rPr>
          <w:lang w:val="fr-CH"/>
        </w:rPr>
        <w:t>, 56</w:t>
      </w:r>
      <w:r w:rsidR="000F4757" w:rsidRPr="0071782F">
        <w:rPr>
          <w:lang w:val="fr-CH"/>
        </w:rPr>
        <w:t>,</w:t>
      </w:r>
      <w:r w:rsidRPr="0071782F">
        <w:rPr>
          <w:lang w:val="fr-CH"/>
        </w:rPr>
        <w:t>3</w:t>
      </w:r>
      <w:r w:rsidR="007E5125" w:rsidRPr="0071782F">
        <w:rPr>
          <w:lang w:val="fr-CH"/>
        </w:rPr>
        <w:t>%</w:t>
      </w:r>
      <w:r w:rsidRPr="0071782F">
        <w:rPr>
          <w:lang w:val="fr-CH"/>
        </w:rPr>
        <w:t xml:space="preserve"> </w:t>
      </w:r>
      <w:r w:rsidR="000F4757" w:rsidRPr="0071782F">
        <w:rPr>
          <w:lang w:val="fr-CH"/>
        </w:rPr>
        <w:t>des ruraux et</w:t>
      </w:r>
      <w:r w:rsidRPr="0071782F">
        <w:rPr>
          <w:lang w:val="fr-CH"/>
        </w:rPr>
        <w:t xml:space="preserve"> 5</w:t>
      </w:r>
      <w:r w:rsidR="000F4757" w:rsidRPr="0071782F">
        <w:rPr>
          <w:lang w:val="fr-CH"/>
        </w:rPr>
        <w:t>,</w:t>
      </w:r>
      <w:r w:rsidRPr="0071782F">
        <w:rPr>
          <w:lang w:val="fr-CH"/>
        </w:rPr>
        <w:t>1</w:t>
      </w:r>
      <w:r w:rsidR="007E5125" w:rsidRPr="0071782F">
        <w:rPr>
          <w:lang w:val="fr-CH"/>
        </w:rPr>
        <w:t>%</w:t>
      </w:r>
      <w:r w:rsidRPr="0071782F">
        <w:rPr>
          <w:lang w:val="fr-CH"/>
        </w:rPr>
        <w:t xml:space="preserve"> </w:t>
      </w:r>
      <w:r w:rsidR="007F37CE" w:rsidRPr="0071782F">
        <w:rPr>
          <w:lang w:val="fr-CH"/>
        </w:rPr>
        <w:t>des personnes</w:t>
      </w:r>
      <w:r w:rsidR="000F4757" w:rsidRPr="0071782F">
        <w:rPr>
          <w:lang w:val="fr-CH"/>
        </w:rPr>
        <w:t xml:space="preserve"> appartenant à d’autres catégories. </w:t>
      </w:r>
    </w:p>
    <w:p w:rsidR="00DD2B20" w:rsidRPr="0071782F" w:rsidRDefault="00DD2B20" w:rsidP="00DD2B20">
      <w:pPr>
        <w:pStyle w:val="SingleTxtG"/>
        <w:ind w:left="1701" w:hanging="567"/>
        <w:rPr>
          <w:lang w:val="fr-CH"/>
        </w:rPr>
      </w:pPr>
      <w:r w:rsidRPr="0071782F">
        <w:rPr>
          <w:lang w:val="fr-CH"/>
        </w:rPr>
        <w:tab/>
        <w:t>121.2.</w:t>
      </w:r>
      <w:r w:rsidRPr="0071782F">
        <w:rPr>
          <w:lang w:val="fr-CH"/>
        </w:rPr>
        <w:tab/>
      </w:r>
      <w:r w:rsidR="000F4757" w:rsidRPr="0071782F">
        <w:rPr>
          <w:lang w:val="fr-CH"/>
        </w:rPr>
        <w:t xml:space="preserve">Selon les données du recensement de la population et de l’habitation effectué en </w:t>
      </w:r>
      <w:r w:rsidRPr="0071782F">
        <w:rPr>
          <w:lang w:val="fr-CH"/>
        </w:rPr>
        <w:t xml:space="preserve">2006, </w:t>
      </w:r>
      <w:r w:rsidR="004052CD" w:rsidRPr="0071782F">
        <w:rPr>
          <w:lang w:val="fr-CH"/>
        </w:rPr>
        <w:t xml:space="preserve">plus de 1 012 </w:t>
      </w:r>
      <w:r w:rsidRPr="0071782F">
        <w:rPr>
          <w:lang w:val="fr-CH"/>
        </w:rPr>
        <w:t>000</w:t>
      </w:r>
      <w:r w:rsidR="00BF435F" w:rsidRPr="0071782F">
        <w:rPr>
          <w:lang w:val="fr-CH"/>
        </w:rPr>
        <w:t> habitants</w:t>
      </w:r>
      <w:r w:rsidR="004052CD" w:rsidRPr="0071782F">
        <w:rPr>
          <w:lang w:val="fr-CH"/>
        </w:rPr>
        <w:t xml:space="preserve"> du pays, dont 64</w:t>
      </w:r>
      <w:r w:rsidR="007E5125" w:rsidRPr="0071782F">
        <w:rPr>
          <w:lang w:val="fr-CH"/>
        </w:rPr>
        <w:t>%</w:t>
      </w:r>
      <w:r w:rsidR="004052CD" w:rsidRPr="0071782F">
        <w:rPr>
          <w:lang w:val="fr-CH"/>
        </w:rPr>
        <w:t xml:space="preserve"> d’hommes, souffrent d’au moins un handicap</w:t>
      </w:r>
      <w:r w:rsidRPr="0071782F">
        <w:rPr>
          <w:lang w:val="fr-CH"/>
        </w:rPr>
        <w:t xml:space="preserve">. </w:t>
      </w:r>
      <w:r w:rsidR="004052CD" w:rsidRPr="0071782F">
        <w:rPr>
          <w:lang w:val="fr-CH"/>
        </w:rPr>
        <w:t xml:space="preserve">Par ailleurs, </w:t>
      </w:r>
      <w:r w:rsidRPr="0071782F">
        <w:rPr>
          <w:lang w:val="fr-CH"/>
        </w:rPr>
        <w:t>81</w:t>
      </w:r>
      <w:r w:rsidR="007E5125" w:rsidRPr="0071782F">
        <w:rPr>
          <w:lang w:val="fr-CH"/>
        </w:rPr>
        <w:t>%</w:t>
      </w:r>
      <w:r w:rsidRPr="0071782F">
        <w:rPr>
          <w:lang w:val="fr-CH"/>
        </w:rPr>
        <w:t xml:space="preserve"> </w:t>
      </w:r>
      <w:r w:rsidR="004052CD" w:rsidRPr="0071782F">
        <w:rPr>
          <w:lang w:val="fr-CH"/>
        </w:rPr>
        <w:t>des handicapés du pays ne souffrent que d’un seul handicap</w:t>
      </w:r>
      <w:r w:rsidRPr="0071782F">
        <w:rPr>
          <w:lang w:val="fr-CH"/>
        </w:rPr>
        <w:t>.</w:t>
      </w:r>
    </w:p>
    <w:p w:rsidR="00DD2B20" w:rsidRPr="0071782F" w:rsidRDefault="00DD2B20" w:rsidP="00DD2B20">
      <w:pPr>
        <w:pStyle w:val="SingleTxtG"/>
        <w:ind w:left="1701" w:hanging="567"/>
        <w:rPr>
          <w:lang w:val="fr-CH"/>
        </w:rPr>
      </w:pPr>
      <w:r w:rsidRPr="0071782F">
        <w:rPr>
          <w:lang w:val="fr-CH"/>
        </w:rPr>
        <w:tab/>
        <w:t>121.3.</w:t>
      </w:r>
      <w:r w:rsidRPr="0071782F">
        <w:rPr>
          <w:lang w:val="fr-CH"/>
        </w:rPr>
        <w:tab/>
      </w:r>
      <w:r w:rsidR="004052CD" w:rsidRPr="0071782F">
        <w:rPr>
          <w:lang w:val="fr-CH"/>
        </w:rPr>
        <w:t xml:space="preserve">À la fin du premier trimestre de </w:t>
      </w:r>
      <w:r w:rsidRPr="0071782F">
        <w:rPr>
          <w:lang w:val="fr-CH"/>
        </w:rPr>
        <w:t xml:space="preserve">2007, </w:t>
      </w:r>
      <w:r w:rsidR="004052CD" w:rsidRPr="0071782F">
        <w:rPr>
          <w:lang w:val="fr-CH"/>
        </w:rPr>
        <w:t xml:space="preserve">quelque </w:t>
      </w:r>
      <w:r w:rsidRPr="0071782F">
        <w:rPr>
          <w:lang w:val="fr-CH"/>
        </w:rPr>
        <w:t>1</w:t>
      </w:r>
      <w:r w:rsidR="004052CD" w:rsidRPr="0071782F">
        <w:rPr>
          <w:lang w:val="fr-CH"/>
        </w:rPr>
        <w:t>,</w:t>
      </w:r>
      <w:r w:rsidRPr="0071782F">
        <w:rPr>
          <w:lang w:val="fr-CH"/>
        </w:rPr>
        <w:t xml:space="preserve">6 million </w:t>
      </w:r>
      <w:r w:rsidR="00D82C96" w:rsidRPr="0071782F">
        <w:rPr>
          <w:lang w:val="fr-CH"/>
        </w:rPr>
        <w:t>de personnes</w:t>
      </w:r>
      <w:r w:rsidR="004052CD" w:rsidRPr="0071782F">
        <w:rPr>
          <w:lang w:val="fr-CH"/>
        </w:rPr>
        <w:t xml:space="preserve"> âgées d’au moins 60</w:t>
      </w:r>
      <w:r w:rsidR="00D82C96" w:rsidRPr="0071782F">
        <w:rPr>
          <w:lang w:val="fr-CH"/>
        </w:rPr>
        <w:t> ans</w:t>
      </w:r>
      <w:r w:rsidR="004052CD" w:rsidRPr="0071782F">
        <w:rPr>
          <w:lang w:val="fr-CH"/>
        </w:rPr>
        <w:t xml:space="preserve"> et </w:t>
      </w:r>
      <w:r w:rsidR="00A233C2" w:rsidRPr="0071782F">
        <w:rPr>
          <w:lang w:val="fr-CH"/>
        </w:rPr>
        <w:t>les personnes</w:t>
      </w:r>
      <w:r w:rsidR="004052CD" w:rsidRPr="0071782F">
        <w:rPr>
          <w:lang w:val="fr-CH"/>
        </w:rPr>
        <w:t xml:space="preserve"> à leur charge vivant dans les zones rurales étaient couvertes par le </w:t>
      </w:r>
      <w:r w:rsidR="00A62149" w:rsidRPr="0071782F">
        <w:rPr>
          <w:lang w:val="fr-CH"/>
        </w:rPr>
        <w:t>"</w:t>
      </w:r>
      <w:r w:rsidR="004052CD" w:rsidRPr="0071782F">
        <w:rPr>
          <w:lang w:val="fr-CH"/>
        </w:rPr>
        <w:t xml:space="preserve">Plan </w:t>
      </w:r>
      <w:r w:rsidRPr="0071782F">
        <w:rPr>
          <w:lang w:val="fr-CH"/>
        </w:rPr>
        <w:t>Shahid Rajaii</w:t>
      </w:r>
      <w:r w:rsidR="00A62149" w:rsidRPr="0071782F">
        <w:rPr>
          <w:lang w:val="fr-CH"/>
        </w:rPr>
        <w:t>"</w:t>
      </w:r>
      <w:r w:rsidR="004052CD" w:rsidRPr="0071782F">
        <w:rPr>
          <w:lang w:val="fr-CH"/>
        </w:rPr>
        <w:t xml:space="preserve">, ce qui a représenté une augmentation de </w:t>
      </w:r>
      <w:r w:rsidRPr="0071782F">
        <w:rPr>
          <w:lang w:val="fr-CH"/>
        </w:rPr>
        <w:t>5</w:t>
      </w:r>
      <w:r w:rsidR="004052CD" w:rsidRPr="0071782F">
        <w:rPr>
          <w:lang w:val="fr-CH"/>
        </w:rPr>
        <w:t>,</w:t>
      </w:r>
      <w:r w:rsidRPr="0071782F">
        <w:rPr>
          <w:lang w:val="fr-CH"/>
        </w:rPr>
        <w:t>1</w:t>
      </w:r>
      <w:r w:rsidR="007E5125" w:rsidRPr="0071782F">
        <w:rPr>
          <w:lang w:val="fr-CH"/>
        </w:rPr>
        <w:t>%</w:t>
      </w:r>
      <w:r w:rsidRPr="0071782F">
        <w:rPr>
          <w:lang w:val="fr-CH"/>
        </w:rPr>
        <w:t xml:space="preserve"> </w:t>
      </w:r>
      <w:r w:rsidR="004052CD" w:rsidRPr="0071782F">
        <w:rPr>
          <w:lang w:val="fr-CH"/>
        </w:rPr>
        <w:t>par rapport à l’année antérieure</w:t>
      </w:r>
      <w:r w:rsidRPr="0071782F">
        <w:rPr>
          <w:lang w:val="fr-CH"/>
        </w:rPr>
        <w:t xml:space="preserve">. </w:t>
      </w:r>
      <w:r w:rsidR="004052CD" w:rsidRPr="0071782F">
        <w:rPr>
          <w:lang w:val="fr-CH"/>
        </w:rPr>
        <w:t>Par ailleurs, en 2007, trois</w:t>
      </w:r>
      <w:r w:rsidR="00A83442">
        <w:rPr>
          <w:lang w:val="fr-CH"/>
        </w:rPr>
        <w:t xml:space="preserve"> </w:t>
      </w:r>
      <w:r w:rsidR="00097CDB" w:rsidRPr="0071782F">
        <w:rPr>
          <w:lang w:val="fr-CH"/>
        </w:rPr>
        <w:t>millions</w:t>
      </w:r>
      <w:r w:rsidR="004052CD" w:rsidRPr="0071782F">
        <w:rPr>
          <w:lang w:val="fr-CH"/>
        </w:rPr>
        <w:t xml:space="preserve"> environ </w:t>
      </w:r>
      <w:r w:rsidR="00D82C96" w:rsidRPr="0071782F">
        <w:rPr>
          <w:lang w:val="fr-CH"/>
        </w:rPr>
        <w:t>de personnes</w:t>
      </w:r>
      <w:r w:rsidR="004052CD" w:rsidRPr="0071782F">
        <w:rPr>
          <w:lang w:val="fr-CH"/>
        </w:rPr>
        <w:t xml:space="preserve"> bénéficiaient de façon permanente des services du Comité de secours de l’Imam Khomeini et trois</w:t>
      </w:r>
      <w:r w:rsidR="00097CDB" w:rsidRPr="0071782F">
        <w:rPr>
          <w:lang w:val="fr-CH"/>
        </w:rPr>
        <w:t> millions</w:t>
      </w:r>
      <w:r w:rsidR="004052CD" w:rsidRPr="0071782F">
        <w:rPr>
          <w:lang w:val="fr-CH"/>
        </w:rPr>
        <w:t xml:space="preserve"> en bénéficiaient de façon ponctuelle.</w:t>
      </w:r>
    </w:p>
    <w:p w:rsidR="00DD2B20" w:rsidRPr="0071782F" w:rsidRDefault="00DD2B20" w:rsidP="00DD2B20">
      <w:pPr>
        <w:pStyle w:val="SingleTxtG"/>
        <w:ind w:left="1701" w:hanging="567"/>
        <w:rPr>
          <w:lang w:val="fr-CH"/>
        </w:rPr>
      </w:pPr>
      <w:r w:rsidRPr="0071782F">
        <w:rPr>
          <w:lang w:val="fr-CH"/>
        </w:rPr>
        <w:tab/>
        <w:t>121.4.</w:t>
      </w:r>
      <w:r w:rsidRPr="0071782F">
        <w:rPr>
          <w:lang w:val="fr-CH"/>
        </w:rPr>
        <w:tab/>
      </w:r>
      <w:r w:rsidR="004052CD" w:rsidRPr="0071782F">
        <w:rPr>
          <w:lang w:val="fr-CH"/>
        </w:rPr>
        <w:t>La même année</w:t>
      </w:r>
      <w:r w:rsidRPr="0071782F">
        <w:rPr>
          <w:lang w:val="fr-CH"/>
        </w:rPr>
        <w:t xml:space="preserve">, </w:t>
      </w:r>
      <w:r w:rsidR="004052CD" w:rsidRPr="0071782F">
        <w:rPr>
          <w:lang w:val="fr-CH"/>
        </w:rPr>
        <w:t xml:space="preserve">quelque 214 </w:t>
      </w:r>
      <w:r w:rsidRPr="0071782F">
        <w:rPr>
          <w:lang w:val="fr-CH"/>
        </w:rPr>
        <w:t>000</w:t>
      </w:r>
      <w:r w:rsidR="007F37CE" w:rsidRPr="0071782F">
        <w:rPr>
          <w:lang w:val="fr-CH"/>
        </w:rPr>
        <w:t> famille</w:t>
      </w:r>
      <w:r w:rsidRPr="0071782F">
        <w:rPr>
          <w:lang w:val="fr-CH"/>
        </w:rPr>
        <w:t xml:space="preserve">s </w:t>
      </w:r>
      <w:r w:rsidR="004052CD" w:rsidRPr="0071782F">
        <w:rPr>
          <w:lang w:val="fr-CH"/>
        </w:rPr>
        <w:t xml:space="preserve">de </w:t>
      </w:r>
      <w:r w:rsidRPr="0071782F">
        <w:rPr>
          <w:lang w:val="fr-CH"/>
        </w:rPr>
        <w:t xml:space="preserve">martyrs </w:t>
      </w:r>
      <w:r w:rsidR="004052CD" w:rsidRPr="0071782F">
        <w:rPr>
          <w:lang w:val="fr-CH"/>
        </w:rPr>
        <w:t xml:space="preserve">(soit </w:t>
      </w:r>
      <w:r w:rsidRPr="0071782F">
        <w:rPr>
          <w:lang w:val="fr-CH"/>
        </w:rPr>
        <w:t>462</w:t>
      </w:r>
      <w:r w:rsidR="00A83442">
        <w:rPr>
          <w:lang w:val="fr-CH"/>
        </w:rPr>
        <w:t> </w:t>
      </w:r>
      <w:r w:rsidRPr="0071782F">
        <w:rPr>
          <w:lang w:val="fr-CH"/>
        </w:rPr>
        <w:t>000</w:t>
      </w:r>
      <w:r w:rsidR="00097CDB" w:rsidRPr="0071782F">
        <w:rPr>
          <w:lang w:val="fr-CH"/>
        </w:rPr>
        <w:t> personnes</w:t>
      </w:r>
      <w:r w:rsidR="004052CD" w:rsidRPr="0071782F">
        <w:rPr>
          <w:lang w:val="fr-CH"/>
        </w:rPr>
        <w:t>) et 526</w:t>
      </w:r>
      <w:r w:rsidR="00A83442">
        <w:rPr>
          <w:lang w:val="fr-CH"/>
        </w:rPr>
        <w:t> </w:t>
      </w:r>
      <w:r w:rsidRPr="0071782F">
        <w:rPr>
          <w:lang w:val="fr-CH"/>
        </w:rPr>
        <w:t xml:space="preserve">000 </w:t>
      </w:r>
      <w:r w:rsidR="004052CD" w:rsidRPr="0071782F">
        <w:rPr>
          <w:lang w:val="fr-CH"/>
        </w:rPr>
        <w:t>invalides de guerre étaient couverts par la Fondation des martyrs de la guerre et des anciens combattants</w:t>
      </w:r>
      <w:r w:rsidRPr="0071782F">
        <w:rPr>
          <w:lang w:val="fr-CH"/>
        </w:rPr>
        <w:t>.</w:t>
      </w:r>
    </w:p>
    <w:p w:rsidR="00DD2B20" w:rsidRPr="0071782F" w:rsidRDefault="00DD2B20" w:rsidP="00DD2B20">
      <w:pPr>
        <w:pStyle w:val="SingleTxtG"/>
        <w:ind w:left="1701" w:hanging="567"/>
        <w:rPr>
          <w:lang w:val="fr-CH"/>
        </w:rPr>
      </w:pPr>
      <w:r w:rsidRPr="0071782F">
        <w:rPr>
          <w:lang w:val="fr-CH"/>
        </w:rPr>
        <w:tab/>
        <w:t>121.5.</w:t>
      </w:r>
      <w:r w:rsidRPr="0071782F">
        <w:rPr>
          <w:lang w:val="fr-CH"/>
        </w:rPr>
        <w:tab/>
      </w:r>
      <w:r w:rsidR="000B4C5E" w:rsidRPr="0071782F">
        <w:rPr>
          <w:lang w:val="fr-CH"/>
        </w:rPr>
        <w:t xml:space="preserve">En 2007, l’Organisme de sécurité sociale couvrait plus de </w:t>
      </w:r>
      <w:r w:rsidRPr="0071782F">
        <w:rPr>
          <w:lang w:val="fr-CH"/>
        </w:rPr>
        <w:t>1</w:t>
      </w:r>
      <w:r w:rsidR="000B4C5E" w:rsidRPr="0071782F">
        <w:rPr>
          <w:lang w:val="fr-CH"/>
        </w:rPr>
        <w:t> </w:t>
      </w:r>
      <w:r w:rsidRPr="0071782F">
        <w:rPr>
          <w:lang w:val="fr-CH"/>
        </w:rPr>
        <w:t>144</w:t>
      </w:r>
      <w:r w:rsidR="00A83442">
        <w:rPr>
          <w:lang w:val="fr-CH"/>
        </w:rPr>
        <w:t> </w:t>
      </w:r>
      <w:r w:rsidRPr="0071782F">
        <w:rPr>
          <w:lang w:val="fr-CH"/>
        </w:rPr>
        <w:t>000</w:t>
      </w:r>
      <w:r w:rsidR="007F37CE" w:rsidRPr="0071782F">
        <w:rPr>
          <w:lang w:val="fr-CH"/>
        </w:rPr>
        <w:t> famille</w:t>
      </w:r>
      <w:r w:rsidR="000B4C5E" w:rsidRPr="0071782F">
        <w:rPr>
          <w:lang w:val="fr-CH"/>
        </w:rPr>
        <w:t xml:space="preserve">s, soit </w:t>
      </w:r>
      <w:r w:rsidRPr="0071782F">
        <w:rPr>
          <w:lang w:val="fr-CH"/>
        </w:rPr>
        <w:t>8</w:t>
      </w:r>
      <w:r w:rsidR="000B4C5E" w:rsidRPr="0071782F">
        <w:rPr>
          <w:lang w:val="fr-CH"/>
        </w:rPr>
        <w:t> </w:t>
      </w:r>
      <w:r w:rsidRPr="0071782F">
        <w:rPr>
          <w:lang w:val="fr-CH"/>
        </w:rPr>
        <w:t>444</w:t>
      </w:r>
      <w:r w:rsidR="000B4C5E" w:rsidRPr="0071782F">
        <w:rPr>
          <w:lang w:val="fr-CH"/>
        </w:rPr>
        <w:t> </w:t>
      </w:r>
      <w:r w:rsidRPr="0071782F">
        <w:rPr>
          <w:lang w:val="fr-CH"/>
        </w:rPr>
        <w:t>000</w:t>
      </w:r>
      <w:r w:rsidR="00097CDB" w:rsidRPr="0071782F">
        <w:rPr>
          <w:lang w:val="fr-CH"/>
        </w:rPr>
        <w:t> personnes</w:t>
      </w:r>
      <w:r w:rsidRPr="0071782F">
        <w:rPr>
          <w:lang w:val="fr-CH"/>
        </w:rPr>
        <w:t xml:space="preserve">, </w:t>
      </w:r>
      <w:r w:rsidR="000B4C5E" w:rsidRPr="0071782F">
        <w:rPr>
          <w:lang w:val="fr-CH"/>
        </w:rPr>
        <w:t xml:space="preserve">soit une augmentation de </w:t>
      </w:r>
      <w:r w:rsidRPr="0071782F">
        <w:rPr>
          <w:lang w:val="fr-CH"/>
        </w:rPr>
        <w:t>12</w:t>
      </w:r>
      <w:r w:rsidR="000B4C5E" w:rsidRPr="0071782F">
        <w:rPr>
          <w:lang w:val="fr-CH"/>
        </w:rPr>
        <w:t>,</w:t>
      </w:r>
      <w:r w:rsidRPr="0071782F">
        <w:rPr>
          <w:lang w:val="fr-CH"/>
        </w:rPr>
        <w:t>4</w:t>
      </w:r>
      <w:r w:rsidR="007E5125" w:rsidRPr="0071782F">
        <w:rPr>
          <w:lang w:val="fr-CH"/>
        </w:rPr>
        <w:t>%</w:t>
      </w:r>
      <w:r w:rsidRPr="0071782F">
        <w:rPr>
          <w:lang w:val="fr-CH"/>
        </w:rPr>
        <w:t xml:space="preserve"> </w:t>
      </w:r>
      <w:r w:rsidR="000B4C5E" w:rsidRPr="0071782F">
        <w:rPr>
          <w:lang w:val="fr-CH"/>
        </w:rPr>
        <w:t>par rapport à l’année antérieure</w:t>
      </w:r>
      <w:r w:rsidRPr="0071782F">
        <w:rPr>
          <w:lang w:val="fr-CH"/>
        </w:rPr>
        <w:t>.</w:t>
      </w:r>
    </w:p>
    <w:p w:rsidR="00DD2B20" w:rsidRPr="0071782F" w:rsidRDefault="00DD2B20" w:rsidP="00DD2B20">
      <w:pPr>
        <w:pStyle w:val="SingleTxtG"/>
        <w:ind w:left="1701" w:hanging="567"/>
        <w:rPr>
          <w:lang w:val="fr-CH"/>
        </w:rPr>
      </w:pPr>
      <w:r w:rsidRPr="0071782F">
        <w:rPr>
          <w:lang w:val="fr-CH"/>
        </w:rPr>
        <w:tab/>
        <w:t>121.6.</w:t>
      </w:r>
      <w:r w:rsidRPr="0071782F">
        <w:rPr>
          <w:lang w:val="fr-CH"/>
        </w:rPr>
        <w:tab/>
      </w:r>
      <w:r w:rsidR="000067FE" w:rsidRPr="0071782F">
        <w:rPr>
          <w:lang w:val="fr-CH"/>
        </w:rPr>
        <w:t xml:space="preserve">La même année, le nombre d’accidentés du travail assurés par cet Organisme a atteint </w:t>
      </w:r>
      <w:r w:rsidRPr="0071782F">
        <w:rPr>
          <w:lang w:val="fr-CH"/>
        </w:rPr>
        <w:t>24</w:t>
      </w:r>
      <w:r w:rsidR="00A83442">
        <w:rPr>
          <w:lang w:val="fr-CH"/>
        </w:rPr>
        <w:t> </w:t>
      </w:r>
      <w:r w:rsidRPr="0071782F">
        <w:rPr>
          <w:lang w:val="fr-CH"/>
        </w:rPr>
        <w:t xml:space="preserve">075, </w:t>
      </w:r>
      <w:r w:rsidR="000067FE" w:rsidRPr="0071782F">
        <w:rPr>
          <w:lang w:val="fr-CH"/>
        </w:rPr>
        <w:t xml:space="preserve">en augmentation de </w:t>
      </w:r>
      <w:r w:rsidRPr="0071782F">
        <w:rPr>
          <w:lang w:val="fr-CH"/>
        </w:rPr>
        <w:t>4</w:t>
      </w:r>
      <w:r w:rsidR="000067FE" w:rsidRPr="0071782F">
        <w:rPr>
          <w:lang w:val="fr-CH"/>
        </w:rPr>
        <w:t>,</w:t>
      </w:r>
      <w:r w:rsidRPr="0071782F">
        <w:rPr>
          <w:lang w:val="fr-CH"/>
        </w:rPr>
        <w:t>4</w:t>
      </w:r>
      <w:r w:rsidR="007E5125" w:rsidRPr="0071782F">
        <w:rPr>
          <w:lang w:val="fr-CH"/>
        </w:rPr>
        <w:t>%</w:t>
      </w:r>
      <w:r w:rsidRPr="0071782F">
        <w:rPr>
          <w:lang w:val="fr-CH"/>
        </w:rPr>
        <w:t xml:space="preserve"> </w:t>
      </w:r>
      <w:r w:rsidR="000067FE" w:rsidRPr="0071782F">
        <w:rPr>
          <w:lang w:val="fr-CH"/>
        </w:rPr>
        <w:t>par rapport à l’année antérieure</w:t>
      </w:r>
      <w:r w:rsidRPr="0071782F">
        <w:rPr>
          <w:lang w:val="fr-CH"/>
        </w:rPr>
        <w:t>.</w:t>
      </w:r>
    </w:p>
    <w:p w:rsidR="00DD2B20" w:rsidRPr="0071782F" w:rsidRDefault="00DD2B20" w:rsidP="00DD2B20">
      <w:pPr>
        <w:pStyle w:val="SingleTxtG"/>
        <w:ind w:left="1701" w:hanging="567"/>
        <w:rPr>
          <w:lang w:val="fr-CH"/>
        </w:rPr>
      </w:pPr>
      <w:r w:rsidRPr="0071782F">
        <w:rPr>
          <w:lang w:val="fr-CH"/>
        </w:rPr>
        <w:tab/>
        <w:t>121.7.</w:t>
      </w:r>
      <w:r w:rsidRPr="0071782F">
        <w:rPr>
          <w:lang w:val="fr-CH"/>
        </w:rPr>
        <w:tab/>
      </w:r>
      <w:r w:rsidR="00DE1D0C" w:rsidRPr="0071782F">
        <w:rPr>
          <w:lang w:val="fr-CH"/>
        </w:rPr>
        <w:t xml:space="preserve">L’Organisme de sécurité sociale fournit </w:t>
      </w:r>
      <w:r w:rsidR="00175962" w:rsidRPr="0071782F">
        <w:rPr>
          <w:lang w:val="fr-CH"/>
        </w:rPr>
        <w:t>aux personnes</w:t>
      </w:r>
      <w:r w:rsidR="00DE1D0C" w:rsidRPr="0071782F">
        <w:rPr>
          <w:lang w:val="fr-CH"/>
        </w:rPr>
        <w:t xml:space="preserve"> qu’il assure 18 types de services</w:t>
      </w:r>
      <w:r w:rsidR="008F7D33" w:rsidRPr="0071782F">
        <w:rPr>
          <w:lang w:val="fr-CH"/>
        </w:rPr>
        <w:t>:</w:t>
      </w:r>
    </w:p>
    <w:p w:rsidR="00DD2B20" w:rsidRPr="0071782F" w:rsidRDefault="004C6963" w:rsidP="006D1BAC">
      <w:pPr>
        <w:pStyle w:val="SingleTxtG"/>
        <w:ind w:left="3402" w:hanging="1134"/>
        <w:rPr>
          <w:lang w:val="fr-CH"/>
        </w:rPr>
      </w:pPr>
      <w:r w:rsidRPr="0071782F">
        <w:rPr>
          <w:lang w:val="fr-CH"/>
        </w:rPr>
        <w:t xml:space="preserve">121.7.1. </w:t>
      </w:r>
      <w:r w:rsidR="00DE1D0C" w:rsidRPr="0071782F">
        <w:rPr>
          <w:lang w:val="fr-CH"/>
        </w:rPr>
        <w:t>Services de traitement ambulatoire et de soins en établissement</w:t>
      </w:r>
      <w:r w:rsidRPr="0071782F">
        <w:rPr>
          <w:lang w:val="fr-CH"/>
        </w:rPr>
        <w:t>.</w:t>
      </w:r>
    </w:p>
    <w:p w:rsidR="00DD2B20" w:rsidRPr="0071782F" w:rsidRDefault="00DD2B20" w:rsidP="00DD2B20">
      <w:pPr>
        <w:pStyle w:val="SingleTxtG"/>
        <w:ind w:left="2268" w:hanging="1134"/>
        <w:rPr>
          <w:lang w:val="fr-CH"/>
        </w:rPr>
      </w:pPr>
      <w:r w:rsidRPr="0071782F">
        <w:rPr>
          <w:lang w:val="fr-CH"/>
        </w:rPr>
        <w:tab/>
      </w:r>
      <w:r w:rsidR="004C6963" w:rsidRPr="0071782F">
        <w:rPr>
          <w:lang w:val="fr-CH"/>
        </w:rPr>
        <w:t xml:space="preserve">121.7.2. </w:t>
      </w:r>
      <w:r w:rsidR="00DE1D0C" w:rsidRPr="0071782F">
        <w:rPr>
          <w:lang w:val="fr-CH"/>
        </w:rPr>
        <w:t xml:space="preserve">Appui aux femmes chefs </w:t>
      </w:r>
      <w:r w:rsidR="0092511D" w:rsidRPr="0071782F">
        <w:rPr>
          <w:lang w:val="fr-CH"/>
        </w:rPr>
        <w:t>de famille</w:t>
      </w:r>
      <w:r w:rsidR="004C6963" w:rsidRPr="0071782F">
        <w:rPr>
          <w:lang w:val="fr-CH"/>
        </w:rPr>
        <w:t>.</w:t>
      </w:r>
    </w:p>
    <w:p w:rsidR="00DD2B20" w:rsidRPr="0071782F" w:rsidRDefault="00DD2B20" w:rsidP="00DD2B20">
      <w:pPr>
        <w:pStyle w:val="SingleTxtG"/>
        <w:ind w:left="2268" w:hanging="1134"/>
        <w:rPr>
          <w:lang w:val="fr-CH"/>
        </w:rPr>
      </w:pPr>
      <w:r w:rsidRPr="0071782F">
        <w:rPr>
          <w:lang w:val="fr-CH"/>
        </w:rPr>
        <w:tab/>
      </w:r>
      <w:r w:rsidRPr="0071782F">
        <w:rPr>
          <w:lang w:val="fr-CH"/>
        </w:rPr>
        <w:tab/>
      </w:r>
      <w:r w:rsidR="004C6963" w:rsidRPr="0071782F">
        <w:rPr>
          <w:lang w:val="fr-CH"/>
        </w:rPr>
        <w:t xml:space="preserve">121.7.3. </w:t>
      </w:r>
      <w:r w:rsidRPr="0071782F">
        <w:rPr>
          <w:lang w:val="fr-CH"/>
        </w:rPr>
        <w:t>Pa</w:t>
      </w:r>
      <w:r w:rsidR="00DE1D0C" w:rsidRPr="0071782F">
        <w:rPr>
          <w:lang w:val="fr-CH"/>
        </w:rPr>
        <w:t>iement d’une partie des frais d’hospitalisation</w:t>
      </w:r>
      <w:r w:rsidR="005F1276" w:rsidRPr="0071782F">
        <w:rPr>
          <w:lang w:val="fr-CH"/>
        </w:rPr>
        <w:t xml:space="preserve"> et de déplacement des patients</w:t>
      </w:r>
      <w:r w:rsidR="004C6963" w:rsidRPr="0071782F">
        <w:rPr>
          <w:lang w:val="fr-CH"/>
        </w:rPr>
        <w:t>.</w:t>
      </w:r>
    </w:p>
    <w:p w:rsidR="00DD2B20" w:rsidRPr="0071782F" w:rsidRDefault="00DD2B20" w:rsidP="00DD2B20">
      <w:pPr>
        <w:pStyle w:val="SingleTxtG"/>
        <w:ind w:left="2268" w:hanging="1134"/>
        <w:rPr>
          <w:lang w:val="fr-CH"/>
        </w:rPr>
      </w:pPr>
      <w:r w:rsidRPr="0071782F">
        <w:rPr>
          <w:lang w:val="fr-CH"/>
        </w:rPr>
        <w:tab/>
        <w:t>121.7.4.</w:t>
      </w:r>
      <w:r w:rsidR="004C6963" w:rsidRPr="0071782F">
        <w:rPr>
          <w:lang w:val="fr-CH"/>
        </w:rPr>
        <w:t xml:space="preserve"> </w:t>
      </w:r>
      <w:r w:rsidR="00DE1D0C" w:rsidRPr="0071782F">
        <w:rPr>
          <w:lang w:val="fr-CH"/>
        </w:rPr>
        <w:t>P</w:t>
      </w:r>
      <w:r w:rsidRPr="0071782F">
        <w:rPr>
          <w:lang w:val="fr-CH"/>
        </w:rPr>
        <w:t>ension</w:t>
      </w:r>
      <w:r w:rsidR="00DE1D0C" w:rsidRPr="0071782F">
        <w:rPr>
          <w:lang w:val="fr-CH"/>
        </w:rPr>
        <w:t xml:space="preserve"> de retraite</w:t>
      </w:r>
      <w:r w:rsidR="004C6963" w:rsidRPr="0071782F">
        <w:rPr>
          <w:lang w:val="fr-CH"/>
        </w:rPr>
        <w:t>.</w:t>
      </w:r>
    </w:p>
    <w:p w:rsidR="00DD2B20" w:rsidRPr="0071782F" w:rsidRDefault="00DD2B20" w:rsidP="00DD2B20">
      <w:pPr>
        <w:pStyle w:val="SingleTxtG"/>
        <w:ind w:left="2268" w:hanging="1134"/>
        <w:rPr>
          <w:lang w:val="fr-CH"/>
        </w:rPr>
      </w:pPr>
      <w:r w:rsidRPr="0071782F">
        <w:rPr>
          <w:lang w:val="fr-CH"/>
        </w:rPr>
        <w:tab/>
        <w:t>121.7.5.</w:t>
      </w:r>
      <w:r w:rsidR="004C6963" w:rsidRPr="0071782F">
        <w:rPr>
          <w:lang w:val="fr-CH"/>
        </w:rPr>
        <w:t xml:space="preserve"> </w:t>
      </w:r>
      <w:r w:rsidR="00DE1D0C" w:rsidRPr="0071782F">
        <w:rPr>
          <w:lang w:val="fr-CH"/>
        </w:rPr>
        <w:t>Pension d’invalidité totale</w:t>
      </w:r>
      <w:r w:rsidR="004C6963" w:rsidRPr="0071782F">
        <w:rPr>
          <w:lang w:val="fr-CH"/>
        </w:rPr>
        <w:t>.</w:t>
      </w:r>
    </w:p>
    <w:p w:rsidR="00DD2B20" w:rsidRPr="0071782F" w:rsidRDefault="00DD2B20" w:rsidP="00DD2B20">
      <w:pPr>
        <w:pStyle w:val="SingleTxtG"/>
        <w:ind w:left="2268" w:hanging="1134"/>
        <w:rPr>
          <w:lang w:val="fr-CH"/>
        </w:rPr>
      </w:pPr>
      <w:r w:rsidRPr="0071782F">
        <w:rPr>
          <w:lang w:val="fr-CH"/>
        </w:rPr>
        <w:tab/>
      </w:r>
      <w:r w:rsidR="004C6963" w:rsidRPr="0071782F">
        <w:rPr>
          <w:lang w:val="fr-CH"/>
        </w:rPr>
        <w:t xml:space="preserve">121.7.6. </w:t>
      </w:r>
      <w:r w:rsidR="00DE1D0C" w:rsidRPr="0071782F">
        <w:rPr>
          <w:lang w:val="fr-CH"/>
        </w:rPr>
        <w:t>Pension d’invalidité p</w:t>
      </w:r>
      <w:r w:rsidRPr="0071782F">
        <w:rPr>
          <w:lang w:val="fr-CH"/>
        </w:rPr>
        <w:t>arti</w:t>
      </w:r>
      <w:r w:rsidR="00DE1D0C" w:rsidRPr="0071782F">
        <w:rPr>
          <w:lang w:val="fr-CH"/>
        </w:rPr>
        <w:t>elle</w:t>
      </w:r>
      <w:r w:rsidR="004C6963" w:rsidRPr="0071782F">
        <w:rPr>
          <w:lang w:val="fr-CH"/>
        </w:rPr>
        <w:t>.</w:t>
      </w:r>
    </w:p>
    <w:p w:rsidR="00DD2B20" w:rsidRPr="0071782F" w:rsidRDefault="00DD2B20" w:rsidP="00DD2B20">
      <w:pPr>
        <w:pStyle w:val="SingleTxtG"/>
        <w:ind w:left="2268" w:hanging="1134"/>
        <w:rPr>
          <w:lang w:val="fr-CH"/>
        </w:rPr>
      </w:pPr>
      <w:r w:rsidRPr="0071782F">
        <w:rPr>
          <w:lang w:val="fr-CH"/>
        </w:rPr>
        <w:tab/>
        <w:t>121.7.7.</w:t>
      </w:r>
      <w:r w:rsidR="004C6963" w:rsidRPr="0071782F">
        <w:rPr>
          <w:lang w:val="fr-CH"/>
        </w:rPr>
        <w:t xml:space="preserve"> </w:t>
      </w:r>
      <w:r w:rsidR="00DE1D0C" w:rsidRPr="0071782F">
        <w:rPr>
          <w:lang w:val="fr-CH"/>
        </w:rPr>
        <w:t>Allocation de chômage</w:t>
      </w:r>
      <w:r w:rsidR="004C6963" w:rsidRPr="0071782F">
        <w:rPr>
          <w:lang w:val="fr-CH"/>
        </w:rPr>
        <w:t>.</w:t>
      </w:r>
      <w:r w:rsidRPr="0071782F">
        <w:rPr>
          <w:lang w:val="fr-CH"/>
        </w:rPr>
        <w:t xml:space="preserve"> </w:t>
      </w:r>
    </w:p>
    <w:p w:rsidR="00DD2B20" w:rsidRPr="0071782F" w:rsidRDefault="00DD2B20" w:rsidP="00DD2B20">
      <w:pPr>
        <w:pStyle w:val="SingleTxtG"/>
        <w:ind w:left="2268" w:hanging="1134"/>
        <w:rPr>
          <w:lang w:val="fr-CH"/>
        </w:rPr>
      </w:pPr>
      <w:r w:rsidRPr="0071782F">
        <w:rPr>
          <w:lang w:val="fr-CH"/>
        </w:rPr>
        <w:tab/>
      </w:r>
      <w:r w:rsidR="004C6963" w:rsidRPr="0071782F">
        <w:rPr>
          <w:lang w:val="fr-CH"/>
        </w:rPr>
        <w:t xml:space="preserve">121.7.8. </w:t>
      </w:r>
      <w:r w:rsidR="00DE1D0C" w:rsidRPr="0071782F">
        <w:rPr>
          <w:lang w:val="fr-CH"/>
        </w:rPr>
        <w:t>Indemnité de maternité</w:t>
      </w:r>
      <w:r w:rsidR="004C6963" w:rsidRPr="0071782F">
        <w:rPr>
          <w:lang w:val="fr-CH"/>
        </w:rPr>
        <w:t>.</w:t>
      </w:r>
    </w:p>
    <w:p w:rsidR="00DD2B20" w:rsidRPr="0071782F" w:rsidRDefault="00DD2B20" w:rsidP="00DD2B20">
      <w:pPr>
        <w:pStyle w:val="SingleTxtG"/>
        <w:ind w:left="2268" w:hanging="1134"/>
        <w:rPr>
          <w:lang w:val="fr-CH"/>
        </w:rPr>
      </w:pPr>
      <w:r w:rsidRPr="0071782F">
        <w:rPr>
          <w:lang w:val="fr-CH"/>
        </w:rPr>
        <w:tab/>
      </w:r>
      <w:r w:rsidR="004C6963" w:rsidRPr="0071782F">
        <w:rPr>
          <w:lang w:val="fr-CH"/>
        </w:rPr>
        <w:t xml:space="preserve">121.7.9. </w:t>
      </w:r>
      <w:r w:rsidRPr="0071782F">
        <w:rPr>
          <w:lang w:val="fr-CH"/>
        </w:rPr>
        <w:t>Pa</w:t>
      </w:r>
      <w:r w:rsidR="00DE1D0C" w:rsidRPr="0071782F">
        <w:rPr>
          <w:lang w:val="fr-CH"/>
        </w:rPr>
        <w:t xml:space="preserve">iement d’une </w:t>
      </w:r>
      <w:r w:rsidRPr="0071782F">
        <w:rPr>
          <w:lang w:val="fr-CH"/>
        </w:rPr>
        <w:t>part</w:t>
      </w:r>
      <w:r w:rsidR="00DE1D0C" w:rsidRPr="0071782F">
        <w:rPr>
          <w:lang w:val="fr-CH"/>
        </w:rPr>
        <w:t>ie des frais de prothèses</w:t>
      </w:r>
      <w:r w:rsidR="004C6963" w:rsidRPr="0071782F">
        <w:rPr>
          <w:lang w:val="fr-CH"/>
        </w:rPr>
        <w:t>.</w:t>
      </w:r>
    </w:p>
    <w:p w:rsidR="00DD2B20" w:rsidRPr="0071782F" w:rsidRDefault="00DD2B20" w:rsidP="00DD2B20">
      <w:pPr>
        <w:pStyle w:val="SingleTxtG"/>
        <w:ind w:left="2268" w:hanging="1134"/>
        <w:rPr>
          <w:lang w:val="fr-CH"/>
        </w:rPr>
      </w:pPr>
      <w:r w:rsidRPr="0071782F">
        <w:rPr>
          <w:lang w:val="fr-CH"/>
        </w:rPr>
        <w:tab/>
      </w:r>
      <w:r w:rsidR="0083183B" w:rsidRPr="0071782F">
        <w:rPr>
          <w:lang w:val="fr-CH"/>
        </w:rPr>
        <w:t xml:space="preserve">121.7.10. </w:t>
      </w:r>
      <w:r w:rsidR="00DE1D0C" w:rsidRPr="0071782F">
        <w:rPr>
          <w:lang w:val="fr-CH"/>
        </w:rPr>
        <w:t>Paiement d’une partie des frais de mariage</w:t>
      </w:r>
      <w:r w:rsidR="0083183B" w:rsidRPr="0071782F">
        <w:rPr>
          <w:lang w:val="fr-CH"/>
        </w:rPr>
        <w:t>.</w:t>
      </w:r>
      <w:r w:rsidRPr="0071782F">
        <w:rPr>
          <w:lang w:val="fr-CH"/>
        </w:rPr>
        <w:t xml:space="preserve"> </w:t>
      </w:r>
    </w:p>
    <w:p w:rsidR="00DD2B20" w:rsidRPr="0071782F" w:rsidRDefault="00DD2B20" w:rsidP="00DD2B20">
      <w:pPr>
        <w:pStyle w:val="SingleTxtG"/>
        <w:ind w:left="2268" w:hanging="1134"/>
        <w:rPr>
          <w:lang w:val="fr-CH"/>
        </w:rPr>
      </w:pPr>
      <w:r w:rsidRPr="0071782F">
        <w:rPr>
          <w:lang w:val="fr-CH"/>
        </w:rPr>
        <w:tab/>
      </w:r>
      <w:r w:rsidR="0083183B" w:rsidRPr="0071782F">
        <w:rPr>
          <w:lang w:val="fr-CH"/>
        </w:rPr>
        <w:t xml:space="preserve">121.7.11. </w:t>
      </w:r>
      <w:r w:rsidR="00DE1D0C" w:rsidRPr="0071782F">
        <w:rPr>
          <w:lang w:val="fr-CH"/>
        </w:rPr>
        <w:t>Paiement d’une partie des frais de funérailles</w:t>
      </w:r>
      <w:r w:rsidR="0083183B" w:rsidRPr="0071782F">
        <w:rPr>
          <w:lang w:val="fr-CH"/>
        </w:rPr>
        <w:t>.</w:t>
      </w:r>
      <w:r w:rsidRPr="0071782F">
        <w:rPr>
          <w:lang w:val="fr-CH"/>
        </w:rPr>
        <w:t xml:space="preserve"> </w:t>
      </w:r>
    </w:p>
    <w:p w:rsidR="00DD2B20" w:rsidRPr="0071782F" w:rsidRDefault="00DD2B20" w:rsidP="00DD2B20">
      <w:pPr>
        <w:pStyle w:val="SingleTxtG"/>
        <w:ind w:left="2268" w:hanging="1134"/>
        <w:rPr>
          <w:lang w:val="fr-CH"/>
        </w:rPr>
      </w:pPr>
      <w:r w:rsidRPr="0071782F">
        <w:rPr>
          <w:lang w:val="fr-CH"/>
        </w:rPr>
        <w:tab/>
        <w:t>121.7.12.</w:t>
      </w:r>
      <w:r w:rsidR="0083183B" w:rsidRPr="0071782F">
        <w:rPr>
          <w:lang w:val="fr-CH"/>
        </w:rPr>
        <w:t xml:space="preserve"> </w:t>
      </w:r>
      <w:r w:rsidR="00DE1D0C" w:rsidRPr="0071782F">
        <w:rPr>
          <w:lang w:val="fr-CH"/>
        </w:rPr>
        <w:t>Pension de réversion</w:t>
      </w:r>
      <w:r w:rsidR="0083183B" w:rsidRPr="0071782F">
        <w:rPr>
          <w:lang w:val="fr-CH"/>
        </w:rPr>
        <w:t>.</w:t>
      </w:r>
      <w:r w:rsidRPr="0071782F">
        <w:rPr>
          <w:lang w:val="fr-CH"/>
        </w:rPr>
        <w:t xml:space="preserve"> </w:t>
      </w:r>
    </w:p>
    <w:p w:rsidR="00DD2B20" w:rsidRPr="0071782F" w:rsidRDefault="00DD2B20" w:rsidP="00DD2B20">
      <w:pPr>
        <w:pStyle w:val="SingleTxtG"/>
        <w:ind w:left="2268" w:hanging="1134"/>
        <w:rPr>
          <w:lang w:val="fr-CH"/>
        </w:rPr>
      </w:pPr>
      <w:r w:rsidRPr="0071782F">
        <w:rPr>
          <w:lang w:val="fr-CH"/>
        </w:rPr>
        <w:tab/>
      </w:r>
      <w:r w:rsidR="0083183B" w:rsidRPr="0071782F">
        <w:rPr>
          <w:lang w:val="fr-CH"/>
        </w:rPr>
        <w:t xml:space="preserve">121.7.13. </w:t>
      </w:r>
      <w:r w:rsidR="00DE1D0C" w:rsidRPr="0071782F">
        <w:rPr>
          <w:lang w:val="fr-CH"/>
        </w:rPr>
        <w:t>Versement d’une indemnité pour la perte d’un membre</w:t>
      </w:r>
      <w:r w:rsidR="0083183B" w:rsidRPr="0071782F">
        <w:rPr>
          <w:lang w:val="fr-CH"/>
        </w:rPr>
        <w:t>.</w:t>
      </w:r>
      <w:r w:rsidRPr="0071782F">
        <w:rPr>
          <w:lang w:val="fr-CH"/>
        </w:rPr>
        <w:t xml:space="preserve"> </w:t>
      </w:r>
    </w:p>
    <w:p w:rsidR="00DD2B20" w:rsidRPr="0071782F" w:rsidRDefault="00DD2B20" w:rsidP="00DD2B20">
      <w:pPr>
        <w:pStyle w:val="SingleTxtG"/>
        <w:ind w:left="2268" w:hanging="1134"/>
        <w:rPr>
          <w:lang w:val="fr-CH"/>
        </w:rPr>
      </w:pPr>
      <w:r w:rsidRPr="0071782F">
        <w:rPr>
          <w:lang w:val="fr-CH"/>
        </w:rPr>
        <w:tab/>
        <w:t>121.7.14.</w:t>
      </w:r>
      <w:r w:rsidR="0083183B" w:rsidRPr="0071782F">
        <w:rPr>
          <w:lang w:val="fr-CH"/>
        </w:rPr>
        <w:t xml:space="preserve"> </w:t>
      </w:r>
      <w:r w:rsidR="005F1276" w:rsidRPr="0071782F">
        <w:rPr>
          <w:lang w:val="fr-CH"/>
        </w:rPr>
        <w:t>Allocation</w:t>
      </w:r>
      <w:r w:rsidR="00DE1D0C" w:rsidRPr="0071782F">
        <w:rPr>
          <w:lang w:val="fr-CH"/>
        </w:rPr>
        <w:t>s familiales</w:t>
      </w:r>
      <w:r w:rsidR="0083183B" w:rsidRPr="0071782F">
        <w:rPr>
          <w:lang w:val="fr-CH"/>
        </w:rPr>
        <w:t>.</w:t>
      </w:r>
      <w:r w:rsidRPr="0071782F">
        <w:rPr>
          <w:lang w:val="fr-CH"/>
        </w:rPr>
        <w:t xml:space="preserve"> </w:t>
      </w:r>
    </w:p>
    <w:p w:rsidR="00DD2B20" w:rsidRPr="0071782F" w:rsidRDefault="00DD2B20" w:rsidP="00DD2B20">
      <w:pPr>
        <w:pStyle w:val="SingleTxtG"/>
        <w:ind w:left="2268" w:hanging="1134"/>
        <w:rPr>
          <w:lang w:val="fr-CH"/>
        </w:rPr>
      </w:pPr>
      <w:r w:rsidRPr="0071782F">
        <w:rPr>
          <w:lang w:val="fr-CH"/>
        </w:rPr>
        <w:tab/>
        <w:t>121.7.15.</w:t>
      </w:r>
      <w:r w:rsidR="0083183B" w:rsidRPr="0071782F">
        <w:rPr>
          <w:lang w:val="fr-CH"/>
        </w:rPr>
        <w:t xml:space="preserve"> </w:t>
      </w:r>
      <w:r w:rsidR="00DE1D0C" w:rsidRPr="0071782F">
        <w:rPr>
          <w:lang w:val="fr-CH"/>
        </w:rPr>
        <w:t>Fourniture de coupons d’alimentation aux retraités</w:t>
      </w:r>
      <w:r w:rsidR="0083183B" w:rsidRPr="0071782F">
        <w:rPr>
          <w:lang w:val="fr-CH"/>
        </w:rPr>
        <w:t>.</w:t>
      </w:r>
      <w:r w:rsidRPr="0071782F">
        <w:rPr>
          <w:lang w:val="fr-CH"/>
        </w:rPr>
        <w:t xml:space="preserve"> </w:t>
      </w:r>
    </w:p>
    <w:p w:rsidR="00DD2B20" w:rsidRPr="0071782F" w:rsidRDefault="00DD2B20" w:rsidP="00DD2B20">
      <w:pPr>
        <w:pStyle w:val="SingleTxtG"/>
        <w:ind w:left="2268" w:hanging="1134"/>
        <w:rPr>
          <w:lang w:val="fr-CH"/>
        </w:rPr>
      </w:pPr>
      <w:r w:rsidRPr="0071782F">
        <w:rPr>
          <w:lang w:val="fr-CH"/>
        </w:rPr>
        <w:tab/>
      </w:r>
      <w:r w:rsidR="0083183B" w:rsidRPr="0071782F">
        <w:rPr>
          <w:lang w:val="fr-CH"/>
        </w:rPr>
        <w:t xml:space="preserve">121.7.16. </w:t>
      </w:r>
      <w:r w:rsidR="00DE1D0C" w:rsidRPr="0071782F">
        <w:rPr>
          <w:lang w:val="fr-CH"/>
        </w:rPr>
        <w:t>Allocations pour enfants</w:t>
      </w:r>
      <w:r w:rsidR="0083183B" w:rsidRPr="0071782F">
        <w:rPr>
          <w:lang w:val="fr-CH"/>
        </w:rPr>
        <w:t>.</w:t>
      </w:r>
      <w:r w:rsidRPr="0071782F">
        <w:rPr>
          <w:lang w:val="fr-CH"/>
        </w:rPr>
        <w:t xml:space="preserve"> </w:t>
      </w:r>
    </w:p>
    <w:p w:rsidR="00DD2B20" w:rsidRPr="0071782F" w:rsidRDefault="00DD2B20" w:rsidP="00DD2B20">
      <w:pPr>
        <w:pStyle w:val="SingleTxtG"/>
        <w:ind w:left="2268" w:hanging="1134"/>
        <w:rPr>
          <w:lang w:val="fr-CH"/>
        </w:rPr>
      </w:pPr>
      <w:r w:rsidRPr="0071782F">
        <w:rPr>
          <w:lang w:val="fr-CH"/>
        </w:rPr>
        <w:tab/>
        <w:t>121.7.17.</w:t>
      </w:r>
      <w:r w:rsidR="0083183B" w:rsidRPr="0071782F">
        <w:rPr>
          <w:lang w:val="fr-CH"/>
        </w:rPr>
        <w:t xml:space="preserve"> </w:t>
      </w:r>
      <w:r w:rsidR="00DE1D0C" w:rsidRPr="0071782F">
        <w:rPr>
          <w:lang w:val="fr-CH"/>
        </w:rPr>
        <w:t>Allocation logement</w:t>
      </w:r>
      <w:r w:rsidR="0083183B" w:rsidRPr="0071782F">
        <w:rPr>
          <w:lang w:val="fr-CH"/>
        </w:rPr>
        <w:t>.</w:t>
      </w:r>
      <w:r w:rsidRPr="0071782F">
        <w:rPr>
          <w:lang w:val="fr-CH"/>
        </w:rPr>
        <w:t xml:space="preserve"> </w:t>
      </w:r>
    </w:p>
    <w:p w:rsidR="00DD2B20" w:rsidRPr="0071782F" w:rsidRDefault="00DD2B20" w:rsidP="00DD2B20">
      <w:pPr>
        <w:pStyle w:val="SingleTxtG"/>
        <w:ind w:left="2268" w:hanging="1134"/>
        <w:rPr>
          <w:lang w:val="fr-CH"/>
        </w:rPr>
      </w:pPr>
      <w:r w:rsidRPr="0071782F">
        <w:rPr>
          <w:lang w:val="fr-CH"/>
        </w:rPr>
        <w:tab/>
      </w:r>
      <w:r w:rsidR="00B12D3A" w:rsidRPr="0071782F">
        <w:rPr>
          <w:lang w:val="fr-CH"/>
        </w:rPr>
        <w:t xml:space="preserve">121.7.18. </w:t>
      </w:r>
      <w:r w:rsidR="00DE1D0C" w:rsidRPr="0071782F">
        <w:rPr>
          <w:lang w:val="fr-CH"/>
        </w:rPr>
        <w:t>Indemnités de chômage</w:t>
      </w:r>
      <w:r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r>
      <w:r w:rsidR="00090777" w:rsidRPr="0071782F">
        <w:rPr>
          <w:lang w:val="fr-CH"/>
        </w:rPr>
        <w:t>Loi sur la sécurité s</w:t>
      </w:r>
      <w:r w:rsidRPr="0071782F">
        <w:rPr>
          <w:lang w:val="fr-CH"/>
        </w:rPr>
        <w:t>ocial</w:t>
      </w:r>
      <w:r w:rsidR="00090777" w:rsidRPr="0071782F">
        <w:rPr>
          <w:lang w:val="fr-CH"/>
        </w:rPr>
        <w:t>e</w:t>
      </w:r>
      <w:r w:rsidRPr="0071782F">
        <w:rPr>
          <w:lang w:val="fr-CH"/>
        </w:rPr>
        <w:t xml:space="preserve"> </w:t>
      </w:r>
    </w:p>
    <w:p w:rsidR="00DD2B20" w:rsidRPr="0071782F" w:rsidRDefault="00DD2B20" w:rsidP="00DD2B20">
      <w:pPr>
        <w:pStyle w:val="SingleTxtG"/>
        <w:rPr>
          <w:lang w:val="fr-CH"/>
        </w:rPr>
      </w:pPr>
      <w:r w:rsidRPr="0071782F">
        <w:rPr>
          <w:lang w:val="fr-CH"/>
        </w:rPr>
        <w:t>122.</w:t>
      </w:r>
      <w:r w:rsidRPr="0071782F">
        <w:rPr>
          <w:lang w:val="fr-CH"/>
        </w:rPr>
        <w:tab/>
      </w:r>
      <w:r w:rsidR="00090777" w:rsidRPr="0071782F">
        <w:rPr>
          <w:lang w:val="fr-CH"/>
        </w:rPr>
        <w:t>Après la Révolution islamique, la loi sur la sécurité sociale, qui remonte à 1</w:t>
      </w:r>
      <w:r w:rsidRPr="0071782F">
        <w:rPr>
          <w:lang w:val="fr-CH"/>
        </w:rPr>
        <w:t>975</w:t>
      </w:r>
      <w:r w:rsidR="00090777" w:rsidRPr="0071782F">
        <w:rPr>
          <w:lang w:val="fr-CH"/>
        </w:rPr>
        <w:t xml:space="preserve">, a été révisée par l’Assemblée consultative islamique d’Iran, qui y a apporté quelques compléments. Cette loi est en fait la charte des </w:t>
      </w:r>
      <w:r w:rsidRPr="0071782F">
        <w:rPr>
          <w:lang w:val="fr-CH"/>
        </w:rPr>
        <w:t xml:space="preserve">services </w:t>
      </w:r>
      <w:r w:rsidR="00090777" w:rsidRPr="0071782F">
        <w:rPr>
          <w:lang w:val="fr-CH"/>
        </w:rPr>
        <w:t>et aides fournis par l’Organisme de sécurité s</w:t>
      </w:r>
      <w:r w:rsidRPr="0071782F">
        <w:rPr>
          <w:lang w:val="fr-CH"/>
        </w:rPr>
        <w:t>ocial</w:t>
      </w:r>
      <w:r w:rsidR="00090777" w:rsidRPr="0071782F">
        <w:rPr>
          <w:lang w:val="fr-CH"/>
        </w:rPr>
        <w:t>e</w:t>
      </w:r>
      <w:r w:rsidRPr="0071782F">
        <w:rPr>
          <w:lang w:val="fr-CH"/>
        </w:rPr>
        <w:t xml:space="preserve">. </w:t>
      </w:r>
      <w:r w:rsidR="00F77FAC" w:rsidRPr="0071782F">
        <w:rPr>
          <w:lang w:val="fr-CH"/>
        </w:rPr>
        <w:t xml:space="preserve">Son </w:t>
      </w:r>
      <w:r w:rsidR="00943A69" w:rsidRPr="0071782F">
        <w:rPr>
          <w:lang w:val="fr-CH"/>
        </w:rPr>
        <w:t>article </w:t>
      </w:r>
      <w:r w:rsidR="00F77FAC" w:rsidRPr="0071782F">
        <w:rPr>
          <w:lang w:val="fr-CH"/>
        </w:rPr>
        <w:t>4 dispose que toute personne exerçant une activité rémunérée (par un traitement ou un salaire) est couverte par les dispositions de cette loi et peut bénéficier des services et aides qu’elle prévoit.</w:t>
      </w:r>
    </w:p>
    <w:p w:rsidR="00DD2B20" w:rsidRPr="0071782F" w:rsidRDefault="00DD2B20" w:rsidP="00DD2B20">
      <w:pPr>
        <w:pStyle w:val="H1G"/>
        <w:rPr>
          <w:lang w:val="fr-CH"/>
        </w:rPr>
      </w:pPr>
      <w:r w:rsidRPr="0071782F">
        <w:rPr>
          <w:lang w:val="fr-CH"/>
        </w:rPr>
        <w:tab/>
      </w:r>
      <w:r w:rsidRPr="0071782F">
        <w:rPr>
          <w:lang w:val="fr-CH"/>
        </w:rPr>
        <w:tab/>
      </w:r>
      <w:r w:rsidR="00F77FAC" w:rsidRPr="0071782F">
        <w:rPr>
          <w:lang w:val="fr-CH"/>
        </w:rPr>
        <w:t xml:space="preserve">Dépenses de l’Organisme de sécurité sociale </w:t>
      </w:r>
    </w:p>
    <w:p w:rsidR="00DD2B20" w:rsidRPr="0071782F" w:rsidRDefault="00DD2B20" w:rsidP="00DD2B20">
      <w:pPr>
        <w:pStyle w:val="SingleTxtG"/>
        <w:rPr>
          <w:lang w:val="fr-CH"/>
        </w:rPr>
      </w:pPr>
      <w:r w:rsidRPr="0071782F">
        <w:rPr>
          <w:lang w:val="fr-CH"/>
        </w:rPr>
        <w:t>123.</w:t>
      </w:r>
      <w:r w:rsidRPr="0071782F">
        <w:rPr>
          <w:lang w:val="fr-CH"/>
        </w:rPr>
        <w:tab/>
      </w:r>
      <w:r w:rsidR="005E0B6F" w:rsidRPr="0071782F">
        <w:rPr>
          <w:lang w:val="fr-CH"/>
        </w:rPr>
        <w:t>D’une façon générale, les dépenses de l’Organisme de sécurité sociale comprennent les dépenses liées aux traitements médicaux de longue ou courte durée, les engagements financiers et l’assurance chômage</w:t>
      </w:r>
      <w:r w:rsidRPr="0071782F">
        <w:rPr>
          <w:lang w:val="fr-CH"/>
        </w:rPr>
        <w:t xml:space="preserve">. </w:t>
      </w:r>
      <w:r w:rsidR="005E0B6F" w:rsidRPr="0071782F">
        <w:rPr>
          <w:lang w:val="fr-CH"/>
        </w:rPr>
        <w:t xml:space="preserve">Ces dépenses sont réparties entre les chapitres traitements médicaux et assurance en fonction, d’une part, des politiques générales et des décisions du pays (salaire minimal, etc.) et, d’autre part, </w:t>
      </w:r>
      <w:r w:rsidRPr="0071782F">
        <w:rPr>
          <w:lang w:val="fr-CH"/>
        </w:rPr>
        <w:t>d</w:t>
      </w:r>
      <w:r w:rsidR="005E0B6F" w:rsidRPr="0071782F">
        <w:rPr>
          <w:lang w:val="fr-CH"/>
        </w:rPr>
        <w:t>e facteurs économiques tels que le taux d’</w:t>
      </w:r>
      <w:r w:rsidRPr="0071782F">
        <w:rPr>
          <w:lang w:val="fr-CH"/>
        </w:rPr>
        <w:t xml:space="preserve">inflation. </w:t>
      </w:r>
      <w:r w:rsidR="005F1276" w:rsidRPr="0071782F">
        <w:rPr>
          <w:lang w:val="fr-CH"/>
        </w:rPr>
        <w:t>Comme la loi le prévoit, c</w:t>
      </w:r>
      <w:r w:rsidR="005E0B6F" w:rsidRPr="0071782F">
        <w:rPr>
          <w:lang w:val="fr-CH"/>
        </w:rPr>
        <w:t xml:space="preserve">es dépenses sont ventilées entre les </w:t>
      </w:r>
      <w:r w:rsidRPr="0071782F">
        <w:rPr>
          <w:lang w:val="fr-CH"/>
        </w:rPr>
        <w:t>18</w:t>
      </w:r>
      <w:r w:rsidR="00A83442">
        <w:rPr>
          <w:lang w:val="fr-CH"/>
        </w:rPr>
        <w:t> </w:t>
      </w:r>
      <w:r w:rsidR="005E0B6F" w:rsidRPr="0071782F">
        <w:rPr>
          <w:lang w:val="fr-CH"/>
        </w:rPr>
        <w:t xml:space="preserve">services d’assurance et mécanismes d’aide dont il a été question plus haut. </w:t>
      </w:r>
    </w:p>
    <w:p w:rsidR="00DD2B20" w:rsidRPr="0071782F" w:rsidRDefault="00DD2B20" w:rsidP="00DD2B20">
      <w:pPr>
        <w:pStyle w:val="H1G"/>
        <w:rPr>
          <w:lang w:val="fr-CH"/>
        </w:rPr>
      </w:pPr>
      <w:r w:rsidRPr="0071782F">
        <w:rPr>
          <w:lang w:val="fr-CH"/>
        </w:rPr>
        <w:tab/>
      </w:r>
      <w:r w:rsidRPr="0071782F">
        <w:rPr>
          <w:lang w:val="fr-CH"/>
        </w:rPr>
        <w:tab/>
      </w:r>
      <w:r w:rsidR="005E0B6F" w:rsidRPr="0071782F">
        <w:rPr>
          <w:lang w:val="fr-CH"/>
        </w:rPr>
        <w:t xml:space="preserve">Service assurantiels </w:t>
      </w:r>
    </w:p>
    <w:p w:rsidR="00DD2B20" w:rsidRPr="0071782F" w:rsidRDefault="00DD2B20" w:rsidP="00DD2B20">
      <w:pPr>
        <w:pStyle w:val="H23G"/>
        <w:rPr>
          <w:lang w:val="fr-CH"/>
        </w:rPr>
      </w:pPr>
      <w:r w:rsidRPr="0071782F">
        <w:rPr>
          <w:lang w:val="fr-CH"/>
        </w:rPr>
        <w:tab/>
      </w:r>
      <w:r w:rsidRPr="0071782F">
        <w:rPr>
          <w:lang w:val="fr-CH"/>
        </w:rPr>
        <w:tab/>
      </w:r>
      <w:r w:rsidR="005E0B6F" w:rsidRPr="0071782F">
        <w:rPr>
          <w:lang w:val="fr-CH"/>
        </w:rPr>
        <w:t xml:space="preserve">Nombre d’assurés </w:t>
      </w:r>
    </w:p>
    <w:p w:rsidR="00DD2B20" w:rsidRPr="0071782F" w:rsidRDefault="00DD2B20" w:rsidP="00DD2B20">
      <w:pPr>
        <w:pStyle w:val="SingleTxtG"/>
        <w:rPr>
          <w:lang w:val="fr-CH"/>
        </w:rPr>
      </w:pPr>
      <w:r w:rsidRPr="0071782F">
        <w:rPr>
          <w:lang w:val="fr-CH"/>
        </w:rPr>
        <w:t>124.</w:t>
      </w:r>
      <w:r w:rsidRPr="0071782F">
        <w:rPr>
          <w:lang w:val="fr-CH"/>
        </w:rPr>
        <w:tab/>
      </w:r>
      <w:r w:rsidR="005E0B6F" w:rsidRPr="0071782F">
        <w:rPr>
          <w:lang w:val="fr-CH"/>
        </w:rPr>
        <w:t>E</w:t>
      </w:r>
      <w:r w:rsidRPr="0071782F">
        <w:rPr>
          <w:lang w:val="fr-CH"/>
        </w:rPr>
        <w:t xml:space="preserve">n 2007, </w:t>
      </w:r>
      <w:r w:rsidR="005E0B6F" w:rsidRPr="0071782F">
        <w:rPr>
          <w:lang w:val="fr-CH"/>
        </w:rPr>
        <w:t xml:space="preserve">l’Organisme d’assurance médicale couvrait plus de </w:t>
      </w:r>
      <w:r w:rsidRPr="0071782F">
        <w:rPr>
          <w:lang w:val="fr-CH"/>
        </w:rPr>
        <w:t>39</w:t>
      </w:r>
      <w:r w:rsidR="00097CDB" w:rsidRPr="0071782F">
        <w:rPr>
          <w:lang w:val="fr-CH"/>
        </w:rPr>
        <w:t> millions</w:t>
      </w:r>
      <w:r w:rsidR="005E0B6F" w:rsidRPr="0071782F">
        <w:rPr>
          <w:lang w:val="fr-CH"/>
        </w:rPr>
        <w:t xml:space="preserve"> d’assurés </w:t>
      </w:r>
      <w:r w:rsidRPr="0071782F">
        <w:rPr>
          <w:lang w:val="fr-CH"/>
        </w:rPr>
        <w:t>(</w:t>
      </w:r>
      <w:r w:rsidR="005E0B6F" w:rsidRPr="0071782F">
        <w:rPr>
          <w:lang w:val="fr-CH"/>
        </w:rPr>
        <w:t>à titre principal ou en tant que</w:t>
      </w:r>
      <w:r w:rsidR="00097CDB" w:rsidRPr="0071782F">
        <w:rPr>
          <w:lang w:val="fr-CH"/>
        </w:rPr>
        <w:t> personnes</w:t>
      </w:r>
      <w:r w:rsidR="005E0B6F" w:rsidRPr="0071782F">
        <w:rPr>
          <w:lang w:val="fr-CH"/>
        </w:rPr>
        <w:t xml:space="preserve"> à charge)</w:t>
      </w:r>
      <w:r w:rsidRPr="0071782F">
        <w:rPr>
          <w:lang w:val="fr-CH"/>
        </w:rPr>
        <w:t xml:space="preserve">. </w:t>
      </w:r>
      <w:r w:rsidR="005E0B6F" w:rsidRPr="0071782F">
        <w:rPr>
          <w:lang w:val="fr-CH"/>
        </w:rPr>
        <w:t xml:space="preserve">La population couverte par l’Organisme de sécurité sociale comprend essentiellement les retraités, </w:t>
      </w:r>
      <w:r w:rsidR="00A233C2" w:rsidRPr="0071782F">
        <w:rPr>
          <w:lang w:val="fr-CH"/>
        </w:rPr>
        <w:t>les personnes</w:t>
      </w:r>
      <w:r w:rsidR="005E0B6F" w:rsidRPr="0071782F">
        <w:rPr>
          <w:lang w:val="fr-CH"/>
        </w:rPr>
        <w:t xml:space="preserve"> touchant une pension de réversion ou d’invalidité, </w:t>
      </w:r>
      <w:r w:rsidR="00A233C2" w:rsidRPr="0071782F">
        <w:rPr>
          <w:lang w:val="fr-CH"/>
        </w:rPr>
        <w:t>les personnes</w:t>
      </w:r>
      <w:r w:rsidR="005E0B6F" w:rsidRPr="0071782F">
        <w:rPr>
          <w:lang w:val="fr-CH"/>
        </w:rPr>
        <w:t xml:space="preserve"> touchant une allocation de chômage</w:t>
      </w:r>
      <w:r w:rsidRPr="0071782F">
        <w:rPr>
          <w:lang w:val="fr-CH"/>
        </w:rPr>
        <w:t xml:space="preserve">, </w:t>
      </w:r>
      <w:r w:rsidR="00A233C2" w:rsidRPr="0071782F">
        <w:rPr>
          <w:lang w:val="fr-CH"/>
        </w:rPr>
        <w:t>les personnes</w:t>
      </w:r>
      <w:r w:rsidR="005E0B6F" w:rsidRPr="0071782F">
        <w:rPr>
          <w:lang w:val="fr-CH"/>
        </w:rPr>
        <w:t xml:space="preserve"> auto-assurées et les travailleurs indépendants</w:t>
      </w:r>
      <w:r w:rsidRPr="0071782F">
        <w:rPr>
          <w:lang w:val="fr-CH"/>
        </w:rPr>
        <w:t xml:space="preserve">. </w:t>
      </w:r>
      <w:r w:rsidR="005E0B6F" w:rsidRPr="0071782F">
        <w:rPr>
          <w:lang w:val="fr-CH"/>
        </w:rPr>
        <w:t>Le régime d’assurance des travailleurs indépendants couvre les groupes suivants</w:t>
      </w:r>
      <w:r w:rsidR="008F7D33" w:rsidRPr="0071782F">
        <w:rPr>
          <w:lang w:val="fr-CH"/>
        </w:rPr>
        <w:t>:</w:t>
      </w:r>
      <w:r w:rsidR="005E0B6F" w:rsidRPr="0071782F">
        <w:rPr>
          <w:lang w:val="fr-CH"/>
        </w:rPr>
        <w:t xml:space="preserve"> les </w:t>
      </w:r>
      <w:r w:rsidRPr="0071782F">
        <w:rPr>
          <w:lang w:val="fr-CH"/>
        </w:rPr>
        <w:t>employe</w:t>
      </w:r>
      <w:r w:rsidR="005E0B6F" w:rsidRPr="0071782F">
        <w:rPr>
          <w:lang w:val="fr-CH"/>
        </w:rPr>
        <w:t>urs de toutes catégories</w:t>
      </w:r>
      <w:r w:rsidRPr="0071782F">
        <w:rPr>
          <w:lang w:val="fr-CH"/>
        </w:rPr>
        <w:t xml:space="preserve">, </w:t>
      </w:r>
      <w:r w:rsidR="005E0B6F" w:rsidRPr="0071782F">
        <w:rPr>
          <w:lang w:val="fr-CH"/>
        </w:rPr>
        <w:t xml:space="preserve">les travailleurs indépendants exerçant une activité couverte par le système de sécurité sociale, les entrepreneurs, les membres du clergé, les membres du Comité d’organisation de la prière du vendredi, le personnel des bureaux des membres de l’Assemblée consultative islamique, les inventeurs, les innovateurs, les artistes, les concepteurs, les journalistes, les cadreurs </w:t>
      </w:r>
      <w:r w:rsidRPr="0071782F">
        <w:rPr>
          <w:lang w:val="fr-CH"/>
        </w:rPr>
        <w:t>profession</w:t>
      </w:r>
      <w:r w:rsidR="005E0B6F" w:rsidRPr="0071782F">
        <w:rPr>
          <w:lang w:val="fr-CH"/>
        </w:rPr>
        <w:t>nels</w:t>
      </w:r>
      <w:r w:rsidRPr="0071782F">
        <w:rPr>
          <w:lang w:val="fr-CH"/>
        </w:rPr>
        <w:t xml:space="preserve">, </w:t>
      </w:r>
      <w:r w:rsidR="005E0B6F" w:rsidRPr="0071782F">
        <w:rPr>
          <w:lang w:val="fr-CH"/>
        </w:rPr>
        <w:t xml:space="preserve">les écrivains, les historiens et les </w:t>
      </w:r>
      <w:r w:rsidRPr="0071782F">
        <w:rPr>
          <w:lang w:val="fr-CH"/>
        </w:rPr>
        <w:t>po</w:t>
      </w:r>
      <w:r w:rsidR="005E0B6F" w:rsidRPr="0071782F">
        <w:rPr>
          <w:lang w:val="fr-CH"/>
        </w:rPr>
        <w:t>ètes</w:t>
      </w:r>
      <w:r w:rsidRPr="0071782F">
        <w:rPr>
          <w:lang w:val="fr-CH"/>
        </w:rPr>
        <w:t xml:space="preserve">, </w:t>
      </w:r>
      <w:r w:rsidR="005E0B6F" w:rsidRPr="0071782F">
        <w:rPr>
          <w:lang w:val="fr-CH"/>
        </w:rPr>
        <w:t xml:space="preserve">les chauffeurs de </w:t>
      </w:r>
      <w:r w:rsidRPr="0071782F">
        <w:rPr>
          <w:lang w:val="fr-CH"/>
        </w:rPr>
        <w:t xml:space="preserve">taxi, </w:t>
      </w:r>
      <w:r w:rsidR="005E0B6F" w:rsidRPr="0071782F">
        <w:rPr>
          <w:lang w:val="fr-CH"/>
        </w:rPr>
        <w:t>de camion et de fourgonnette, les conducteurs de rouleau compresseur, les ouvriers du bâtiment et les maçons, les pêcheurs et les marins</w:t>
      </w:r>
      <w:r w:rsidRPr="0071782F">
        <w:rPr>
          <w:lang w:val="fr-CH"/>
        </w:rPr>
        <w:t>.</w:t>
      </w:r>
    </w:p>
    <w:p w:rsidR="00DD2B20" w:rsidRPr="0071782F" w:rsidRDefault="00DD2B20" w:rsidP="00DD2B20">
      <w:pPr>
        <w:pStyle w:val="SingleTxtG"/>
        <w:ind w:left="1701" w:hanging="567"/>
        <w:rPr>
          <w:lang w:val="fr-CH"/>
        </w:rPr>
      </w:pPr>
      <w:r w:rsidRPr="0071782F">
        <w:rPr>
          <w:lang w:val="fr-CH"/>
        </w:rPr>
        <w:tab/>
        <w:t>124.1.</w:t>
      </w:r>
      <w:r w:rsidRPr="0071782F">
        <w:rPr>
          <w:lang w:val="fr-CH"/>
        </w:rPr>
        <w:tab/>
      </w:r>
      <w:r w:rsidR="005E0B6F" w:rsidRPr="0071782F">
        <w:rPr>
          <w:lang w:val="fr-CH"/>
        </w:rPr>
        <w:t>L’épouse</w:t>
      </w:r>
      <w:r w:rsidRPr="0071782F">
        <w:rPr>
          <w:lang w:val="fr-CH"/>
        </w:rPr>
        <w:t xml:space="preserve">, </w:t>
      </w:r>
      <w:r w:rsidR="005E0B6F" w:rsidRPr="0071782F">
        <w:rPr>
          <w:lang w:val="fr-CH"/>
        </w:rPr>
        <w:t>le père et la mère, les enfants de sexe masculin (jusqu’à l’âge de 18</w:t>
      </w:r>
      <w:r w:rsidR="00D82C96" w:rsidRPr="0071782F">
        <w:rPr>
          <w:lang w:val="fr-CH"/>
        </w:rPr>
        <w:t> ans</w:t>
      </w:r>
      <w:r w:rsidR="005E0B6F" w:rsidRPr="0071782F">
        <w:rPr>
          <w:lang w:val="fr-CH"/>
        </w:rPr>
        <w:t xml:space="preserve"> ou la fin de leurs études) et les enfants de sexe féminin (jusqu’à leur mariage) des assurés et titulaires d’une pension couverts par l’Organisme de sécurité sociale sont considérés comme étant à la charge des assurés et peuvent, conformément aux dispositions de la loi, bénéficier des traitements médicaux et de certains autres services fournis par l’Organisme</w:t>
      </w:r>
      <w:r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r>
      <w:r w:rsidR="005E0B6F" w:rsidRPr="0071782F">
        <w:rPr>
          <w:lang w:val="fr-CH"/>
        </w:rPr>
        <w:t>Bref aperçu des indicateu</w:t>
      </w:r>
      <w:r w:rsidRPr="0071782F">
        <w:rPr>
          <w:lang w:val="fr-CH"/>
        </w:rPr>
        <w:t xml:space="preserve">rs </w:t>
      </w:r>
      <w:r w:rsidR="005E0B6F" w:rsidRPr="0071782F">
        <w:rPr>
          <w:lang w:val="fr-CH"/>
        </w:rPr>
        <w:t xml:space="preserve">de la protection sociale et répartition des revenus </w:t>
      </w:r>
    </w:p>
    <w:p w:rsidR="00DD2B20" w:rsidRPr="0071782F" w:rsidRDefault="00DD2B20" w:rsidP="00DD2B20">
      <w:pPr>
        <w:pStyle w:val="SingleTxtG"/>
        <w:rPr>
          <w:lang w:val="fr-CH"/>
        </w:rPr>
      </w:pPr>
      <w:r w:rsidRPr="0071782F">
        <w:rPr>
          <w:lang w:val="fr-CH"/>
        </w:rPr>
        <w:t>125.</w:t>
      </w:r>
      <w:r w:rsidRPr="0071782F">
        <w:rPr>
          <w:lang w:val="fr-CH"/>
        </w:rPr>
        <w:tab/>
      </w:r>
      <w:r w:rsidR="002070A9" w:rsidRPr="0071782F">
        <w:rPr>
          <w:lang w:val="fr-CH"/>
        </w:rPr>
        <w:t xml:space="preserve">L’indicateur de la protection sociale est passé de </w:t>
      </w:r>
      <w:r w:rsidRPr="0071782F">
        <w:rPr>
          <w:lang w:val="fr-CH"/>
        </w:rPr>
        <w:t>3</w:t>
      </w:r>
      <w:r w:rsidR="002B39FA">
        <w:rPr>
          <w:lang w:val="fr-CH"/>
        </w:rPr>
        <w:t> </w:t>
      </w:r>
      <w:r w:rsidRPr="0071782F">
        <w:rPr>
          <w:lang w:val="fr-CH"/>
        </w:rPr>
        <w:t xml:space="preserve">186 </w:t>
      </w:r>
      <w:r w:rsidR="002070A9" w:rsidRPr="0071782F">
        <w:rPr>
          <w:lang w:val="fr-CH"/>
        </w:rPr>
        <w:t>e</w:t>
      </w:r>
      <w:r w:rsidRPr="0071782F">
        <w:rPr>
          <w:lang w:val="fr-CH"/>
        </w:rPr>
        <w:t xml:space="preserve">n 2004 </w:t>
      </w:r>
      <w:r w:rsidR="002070A9" w:rsidRPr="0071782F">
        <w:rPr>
          <w:lang w:val="fr-CH"/>
        </w:rPr>
        <w:t>à</w:t>
      </w:r>
      <w:r w:rsidRPr="0071782F">
        <w:rPr>
          <w:lang w:val="fr-CH"/>
        </w:rPr>
        <w:t xml:space="preserve"> 3</w:t>
      </w:r>
      <w:r w:rsidR="002B39FA">
        <w:rPr>
          <w:lang w:val="fr-CH"/>
        </w:rPr>
        <w:t> </w:t>
      </w:r>
      <w:r w:rsidRPr="0071782F">
        <w:rPr>
          <w:lang w:val="fr-CH"/>
        </w:rPr>
        <w:t xml:space="preserve">393 </w:t>
      </w:r>
      <w:r w:rsidR="002070A9" w:rsidRPr="0071782F">
        <w:rPr>
          <w:lang w:val="fr-CH"/>
        </w:rPr>
        <w:t>en 2005, avant d’atteindre 3</w:t>
      </w:r>
      <w:r w:rsidR="00A83442">
        <w:rPr>
          <w:lang w:val="fr-CH"/>
        </w:rPr>
        <w:t> </w:t>
      </w:r>
      <w:r w:rsidR="002070A9" w:rsidRPr="0071782F">
        <w:rPr>
          <w:lang w:val="fr-CH"/>
        </w:rPr>
        <w:t xml:space="preserve">498 en 2006, ce qui représente une augmentation de </w:t>
      </w:r>
      <w:r w:rsidRPr="0071782F">
        <w:rPr>
          <w:lang w:val="fr-CH"/>
        </w:rPr>
        <w:t>3</w:t>
      </w:r>
      <w:r w:rsidR="007E5125" w:rsidRPr="0071782F">
        <w:rPr>
          <w:lang w:val="fr-CH"/>
        </w:rPr>
        <w:t>%</w:t>
      </w:r>
      <w:r w:rsidRPr="0071782F">
        <w:rPr>
          <w:lang w:val="fr-CH"/>
        </w:rPr>
        <w:t xml:space="preserve">. </w:t>
      </w:r>
      <w:r w:rsidR="002070A9" w:rsidRPr="0071782F">
        <w:rPr>
          <w:lang w:val="fr-CH"/>
        </w:rPr>
        <w:t xml:space="preserve">Globalement, la hausse du revenu par habitant, d’un côté, et l’amélioration de la répartition des revenus, de l’autre, ont fait progresser l’indicateur de la protection sociale de </w:t>
      </w:r>
      <w:r w:rsidRPr="0071782F">
        <w:rPr>
          <w:lang w:val="fr-CH"/>
        </w:rPr>
        <w:t>4</w:t>
      </w:r>
      <w:r w:rsidR="002070A9" w:rsidRPr="0071782F">
        <w:rPr>
          <w:lang w:val="fr-CH"/>
        </w:rPr>
        <w:t>,</w:t>
      </w:r>
      <w:r w:rsidRPr="0071782F">
        <w:rPr>
          <w:lang w:val="fr-CH"/>
        </w:rPr>
        <w:t>7</w:t>
      </w:r>
      <w:r w:rsidR="007E5125" w:rsidRPr="0071782F">
        <w:rPr>
          <w:lang w:val="fr-CH"/>
        </w:rPr>
        <w:t>%</w:t>
      </w:r>
      <w:r w:rsidRPr="0071782F">
        <w:rPr>
          <w:lang w:val="fr-CH"/>
        </w:rPr>
        <w:t xml:space="preserve"> </w:t>
      </w:r>
      <w:r w:rsidR="002070A9" w:rsidRPr="0071782F">
        <w:rPr>
          <w:lang w:val="fr-CH"/>
        </w:rPr>
        <w:t xml:space="preserve">pendant la période </w:t>
      </w:r>
      <w:r w:rsidRPr="0071782F">
        <w:rPr>
          <w:lang w:val="fr-CH"/>
        </w:rPr>
        <w:t>2005</w:t>
      </w:r>
      <w:r w:rsidR="002070A9" w:rsidRPr="0071782F">
        <w:rPr>
          <w:lang w:val="fr-CH"/>
        </w:rPr>
        <w:t>-</w:t>
      </w:r>
      <w:r w:rsidRPr="0071782F">
        <w:rPr>
          <w:lang w:val="fr-CH"/>
        </w:rPr>
        <w:t>2006.</w:t>
      </w:r>
    </w:p>
    <w:p w:rsidR="00DD2B20" w:rsidRPr="0071782F" w:rsidRDefault="00DD2B20" w:rsidP="00DD2B20">
      <w:pPr>
        <w:pStyle w:val="SingleTxtG"/>
        <w:ind w:left="1701" w:hanging="567"/>
        <w:rPr>
          <w:lang w:val="fr-CH"/>
        </w:rPr>
      </w:pPr>
      <w:r w:rsidRPr="0071782F">
        <w:rPr>
          <w:lang w:val="fr-CH"/>
        </w:rPr>
        <w:tab/>
        <w:t>125.1.</w:t>
      </w:r>
      <w:r w:rsidRPr="0071782F">
        <w:rPr>
          <w:lang w:val="fr-CH"/>
        </w:rPr>
        <w:tab/>
      </w:r>
      <w:r w:rsidR="009D3DF5" w:rsidRPr="0071782F">
        <w:rPr>
          <w:lang w:val="fr-CH"/>
        </w:rPr>
        <w:t xml:space="preserve">Le rapport entre les dépenses du décile le plus riche et celles du décile le plus pauvre est passé de </w:t>
      </w:r>
      <w:r w:rsidRPr="0071782F">
        <w:rPr>
          <w:lang w:val="fr-CH"/>
        </w:rPr>
        <w:t>13</w:t>
      </w:r>
      <w:r w:rsidR="009D3DF5" w:rsidRPr="0071782F">
        <w:rPr>
          <w:lang w:val="fr-CH"/>
        </w:rPr>
        <w:t>,</w:t>
      </w:r>
      <w:r w:rsidRPr="0071782F">
        <w:rPr>
          <w:lang w:val="fr-CH"/>
        </w:rPr>
        <w:t xml:space="preserve">25 </w:t>
      </w:r>
      <w:r w:rsidR="009D3DF5" w:rsidRPr="0071782F">
        <w:rPr>
          <w:lang w:val="fr-CH"/>
        </w:rPr>
        <w:t>e</w:t>
      </w:r>
      <w:r w:rsidRPr="0071782F">
        <w:rPr>
          <w:lang w:val="fr-CH"/>
        </w:rPr>
        <w:t xml:space="preserve">n 2004 </w:t>
      </w:r>
      <w:r w:rsidR="009D3DF5" w:rsidRPr="0071782F">
        <w:rPr>
          <w:lang w:val="fr-CH"/>
        </w:rPr>
        <w:t>à</w:t>
      </w:r>
      <w:r w:rsidRPr="0071782F">
        <w:rPr>
          <w:lang w:val="fr-CH"/>
        </w:rPr>
        <w:t xml:space="preserve"> 14</w:t>
      </w:r>
      <w:r w:rsidR="009D3DF5" w:rsidRPr="0071782F">
        <w:rPr>
          <w:lang w:val="fr-CH"/>
        </w:rPr>
        <w:t>,</w:t>
      </w:r>
      <w:r w:rsidRPr="0071782F">
        <w:rPr>
          <w:lang w:val="fr-CH"/>
        </w:rPr>
        <w:t xml:space="preserve">46 </w:t>
      </w:r>
      <w:r w:rsidR="009D3DF5" w:rsidRPr="0071782F">
        <w:rPr>
          <w:lang w:val="fr-CH"/>
        </w:rPr>
        <w:t>e</w:t>
      </w:r>
      <w:r w:rsidRPr="0071782F">
        <w:rPr>
          <w:lang w:val="fr-CH"/>
        </w:rPr>
        <w:t xml:space="preserve">n 2006 </w:t>
      </w:r>
      <w:r w:rsidR="009D3DF5" w:rsidRPr="0071782F">
        <w:rPr>
          <w:lang w:val="fr-CH"/>
        </w:rPr>
        <w:t xml:space="preserve">dans les communautés urbaines et de </w:t>
      </w:r>
      <w:r w:rsidRPr="0071782F">
        <w:rPr>
          <w:lang w:val="fr-CH"/>
        </w:rPr>
        <w:t>17</w:t>
      </w:r>
      <w:r w:rsidR="009D3DF5" w:rsidRPr="0071782F">
        <w:rPr>
          <w:lang w:val="fr-CH"/>
        </w:rPr>
        <w:t>,</w:t>
      </w:r>
      <w:r w:rsidRPr="0071782F">
        <w:rPr>
          <w:lang w:val="fr-CH"/>
        </w:rPr>
        <w:t xml:space="preserve">25 </w:t>
      </w:r>
      <w:r w:rsidR="009D3DF5" w:rsidRPr="0071782F">
        <w:rPr>
          <w:lang w:val="fr-CH"/>
        </w:rPr>
        <w:t>e</w:t>
      </w:r>
      <w:r w:rsidRPr="0071782F">
        <w:rPr>
          <w:lang w:val="fr-CH"/>
        </w:rPr>
        <w:t xml:space="preserve">n 2004 </w:t>
      </w:r>
      <w:r w:rsidR="009D3DF5" w:rsidRPr="0071782F">
        <w:rPr>
          <w:lang w:val="fr-CH"/>
        </w:rPr>
        <w:t>à</w:t>
      </w:r>
      <w:r w:rsidRPr="0071782F">
        <w:rPr>
          <w:lang w:val="fr-CH"/>
        </w:rPr>
        <w:t xml:space="preserve"> 17</w:t>
      </w:r>
      <w:r w:rsidR="009D3DF5" w:rsidRPr="0071782F">
        <w:rPr>
          <w:lang w:val="fr-CH"/>
        </w:rPr>
        <w:t>,</w:t>
      </w:r>
      <w:r w:rsidRPr="0071782F">
        <w:rPr>
          <w:lang w:val="fr-CH"/>
        </w:rPr>
        <w:t xml:space="preserve">95 </w:t>
      </w:r>
      <w:r w:rsidR="009D3DF5" w:rsidRPr="0071782F">
        <w:rPr>
          <w:lang w:val="fr-CH"/>
        </w:rPr>
        <w:t>e</w:t>
      </w:r>
      <w:r w:rsidRPr="0071782F">
        <w:rPr>
          <w:lang w:val="fr-CH"/>
        </w:rPr>
        <w:t xml:space="preserve">n 2006 </w:t>
      </w:r>
      <w:r w:rsidR="009D3DF5" w:rsidRPr="0071782F">
        <w:rPr>
          <w:lang w:val="fr-CH"/>
        </w:rPr>
        <w:t xml:space="preserve">dans les communautés </w:t>
      </w:r>
      <w:r w:rsidRPr="0071782F">
        <w:rPr>
          <w:lang w:val="fr-CH"/>
        </w:rPr>
        <w:t>rural</w:t>
      </w:r>
      <w:r w:rsidR="009D3DF5" w:rsidRPr="0071782F">
        <w:rPr>
          <w:lang w:val="fr-CH"/>
        </w:rPr>
        <w:t>es</w:t>
      </w:r>
      <w:r w:rsidRPr="0071782F">
        <w:rPr>
          <w:lang w:val="fr-CH"/>
        </w:rPr>
        <w:t xml:space="preserve">. </w:t>
      </w:r>
      <w:r w:rsidR="009D3DF5" w:rsidRPr="0071782F">
        <w:rPr>
          <w:lang w:val="fr-CH"/>
        </w:rPr>
        <w:t xml:space="preserve">En outre, le rapport entre les </w:t>
      </w:r>
      <w:r w:rsidRPr="0071782F">
        <w:rPr>
          <w:lang w:val="fr-CH"/>
        </w:rPr>
        <w:t>20</w:t>
      </w:r>
      <w:r w:rsidR="007E5125" w:rsidRPr="0071782F">
        <w:rPr>
          <w:lang w:val="fr-CH"/>
        </w:rPr>
        <w:t>%</w:t>
      </w:r>
      <w:r w:rsidRPr="0071782F">
        <w:rPr>
          <w:lang w:val="fr-CH"/>
        </w:rPr>
        <w:t xml:space="preserve"> </w:t>
      </w:r>
      <w:r w:rsidR="009D3DF5" w:rsidRPr="0071782F">
        <w:rPr>
          <w:lang w:val="fr-CH"/>
        </w:rPr>
        <w:t xml:space="preserve">de la </w:t>
      </w:r>
      <w:r w:rsidRPr="0071782F">
        <w:rPr>
          <w:lang w:val="fr-CH"/>
        </w:rPr>
        <w:t xml:space="preserve">population </w:t>
      </w:r>
      <w:r w:rsidR="009D3DF5" w:rsidRPr="0071782F">
        <w:rPr>
          <w:lang w:val="fr-CH"/>
        </w:rPr>
        <w:t xml:space="preserve">disposant des revenus les plus élevés et les </w:t>
      </w:r>
      <w:r w:rsidRPr="0071782F">
        <w:rPr>
          <w:lang w:val="fr-CH"/>
        </w:rPr>
        <w:t>20</w:t>
      </w:r>
      <w:r w:rsidR="007E5125" w:rsidRPr="0071782F">
        <w:rPr>
          <w:lang w:val="fr-CH"/>
        </w:rPr>
        <w:t>%</w:t>
      </w:r>
      <w:r w:rsidRPr="0071782F">
        <w:rPr>
          <w:lang w:val="fr-CH"/>
        </w:rPr>
        <w:t xml:space="preserve"> </w:t>
      </w:r>
      <w:r w:rsidR="009D3DF5" w:rsidRPr="0071782F">
        <w:rPr>
          <w:lang w:val="fr-CH"/>
        </w:rPr>
        <w:t>disposant des revenus les plus faibles est passé de 7,</w:t>
      </w:r>
      <w:r w:rsidRPr="0071782F">
        <w:rPr>
          <w:lang w:val="fr-CH"/>
        </w:rPr>
        <w:t xml:space="preserve">62 </w:t>
      </w:r>
      <w:r w:rsidR="009D3DF5" w:rsidRPr="0071782F">
        <w:rPr>
          <w:lang w:val="fr-CH"/>
        </w:rPr>
        <w:t>e</w:t>
      </w:r>
      <w:r w:rsidRPr="0071782F">
        <w:rPr>
          <w:lang w:val="fr-CH"/>
        </w:rPr>
        <w:t xml:space="preserve">n 2004 </w:t>
      </w:r>
      <w:r w:rsidR="009D3DF5" w:rsidRPr="0071782F">
        <w:rPr>
          <w:lang w:val="fr-CH"/>
        </w:rPr>
        <w:t>à</w:t>
      </w:r>
      <w:r w:rsidRPr="0071782F">
        <w:rPr>
          <w:lang w:val="fr-CH"/>
        </w:rPr>
        <w:t xml:space="preserve"> 8</w:t>
      </w:r>
      <w:r w:rsidR="009D3DF5" w:rsidRPr="0071782F">
        <w:rPr>
          <w:lang w:val="fr-CH"/>
        </w:rPr>
        <w:t>,</w:t>
      </w:r>
      <w:r w:rsidRPr="0071782F">
        <w:rPr>
          <w:lang w:val="fr-CH"/>
        </w:rPr>
        <w:t xml:space="preserve">33 </w:t>
      </w:r>
      <w:r w:rsidR="009D3DF5" w:rsidRPr="0071782F">
        <w:rPr>
          <w:lang w:val="fr-CH"/>
        </w:rPr>
        <w:t>e</w:t>
      </w:r>
      <w:r w:rsidRPr="0071782F">
        <w:rPr>
          <w:lang w:val="fr-CH"/>
        </w:rPr>
        <w:t xml:space="preserve">n 2006 </w:t>
      </w:r>
      <w:r w:rsidR="009D3DF5" w:rsidRPr="0071782F">
        <w:rPr>
          <w:lang w:val="fr-CH"/>
        </w:rPr>
        <w:t xml:space="preserve">dans les communautés urbaines et de </w:t>
      </w:r>
      <w:r w:rsidRPr="0071782F">
        <w:rPr>
          <w:lang w:val="fr-CH"/>
        </w:rPr>
        <w:t>9</w:t>
      </w:r>
      <w:r w:rsidR="009D3DF5" w:rsidRPr="0071782F">
        <w:rPr>
          <w:lang w:val="fr-CH"/>
        </w:rPr>
        <w:t>,</w:t>
      </w:r>
      <w:r w:rsidRPr="0071782F">
        <w:rPr>
          <w:lang w:val="fr-CH"/>
        </w:rPr>
        <w:t xml:space="preserve">01 </w:t>
      </w:r>
      <w:r w:rsidR="009D3DF5" w:rsidRPr="0071782F">
        <w:rPr>
          <w:lang w:val="fr-CH"/>
        </w:rPr>
        <w:t>e</w:t>
      </w:r>
      <w:r w:rsidRPr="0071782F">
        <w:rPr>
          <w:lang w:val="fr-CH"/>
        </w:rPr>
        <w:t>n 2004</w:t>
      </w:r>
      <w:r w:rsidR="009D3DF5" w:rsidRPr="0071782F">
        <w:rPr>
          <w:lang w:val="fr-CH"/>
        </w:rPr>
        <w:t xml:space="preserve"> à</w:t>
      </w:r>
      <w:r w:rsidRPr="0071782F">
        <w:rPr>
          <w:lang w:val="fr-CH"/>
        </w:rPr>
        <w:t xml:space="preserve"> 9</w:t>
      </w:r>
      <w:r w:rsidR="009D3DF5" w:rsidRPr="0071782F">
        <w:rPr>
          <w:lang w:val="fr-CH"/>
        </w:rPr>
        <w:t>,</w:t>
      </w:r>
      <w:r w:rsidRPr="0071782F">
        <w:rPr>
          <w:lang w:val="fr-CH"/>
        </w:rPr>
        <w:t xml:space="preserve">49 </w:t>
      </w:r>
      <w:r w:rsidR="009D3DF5" w:rsidRPr="0071782F">
        <w:rPr>
          <w:lang w:val="fr-CH"/>
        </w:rPr>
        <w:t>e</w:t>
      </w:r>
      <w:r w:rsidRPr="0071782F">
        <w:rPr>
          <w:lang w:val="fr-CH"/>
        </w:rPr>
        <w:t xml:space="preserve">n 2006 </w:t>
      </w:r>
      <w:r w:rsidR="009D3DF5" w:rsidRPr="0071782F">
        <w:rPr>
          <w:lang w:val="fr-CH"/>
        </w:rPr>
        <w:t xml:space="preserve">dans les communautés </w:t>
      </w:r>
      <w:r w:rsidRPr="0071782F">
        <w:rPr>
          <w:lang w:val="fr-CH"/>
        </w:rPr>
        <w:t>rural</w:t>
      </w:r>
      <w:r w:rsidR="009D3DF5" w:rsidRPr="0071782F">
        <w:rPr>
          <w:lang w:val="fr-CH"/>
        </w:rPr>
        <w:t>es</w:t>
      </w:r>
      <w:r w:rsidRPr="0071782F">
        <w:rPr>
          <w:lang w:val="fr-CH"/>
        </w:rPr>
        <w:t>.</w:t>
      </w:r>
    </w:p>
    <w:p w:rsidR="00DD2B20" w:rsidRPr="0071782F" w:rsidRDefault="00DD2B20" w:rsidP="00DD2B20">
      <w:pPr>
        <w:pStyle w:val="SingleTxtG"/>
        <w:ind w:left="1701" w:hanging="567"/>
        <w:rPr>
          <w:lang w:val="fr-CH"/>
        </w:rPr>
      </w:pPr>
      <w:r w:rsidRPr="0071782F">
        <w:rPr>
          <w:lang w:val="fr-CH"/>
        </w:rPr>
        <w:tab/>
        <w:t>125.2.</w:t>
      </w:r>
      <w:r w:rsidR="00D36718">
        <w:rPr>
          <w:lang w:val="fr-CH"/>
        </w:rPr>
        <w:t xml:space="preserve"> </w:t>
      </w:r>
      <w:r w:rsidR="0049071C" w:rsidRPr="0071782F">
        <w:rPr>
          <w:lang w:val="fr-CH"/>
        </w:rPr>
        <w:t xml:space="preserve">On notera que ces rapports entre zones urbaines et rurales ont diminué en moyenne annuelle de </w:t>
      </w:r>
      <w:r w:rsidRPr="0071782F">
        <w:rPr>
          <w:lang w:val="fr-CH"/>
        </w:rPr>
        <w:t>0</w:t>
      </w:r>
      <w:r w:rsidR="0049071C" w:rsidRPr="0071782F">
        <w:rPr>
          <w:lang w:val="fr-CH"/>
        </w:rPr>
        <w:t>,</w:t>
      </w:r>
      <w:r w:rsidRPr="0071782F">
        <w:rPr>
          <w:lang w:val="fr-CH"/>
        </w:rPr>
        <w:t>8</w:t>
      </w:r>
      <w:r w:rsidR="007E5125" w:rsidRPr="0071782F">
        <w:rPr>
          <w:lang w:val="fr-CH"/>
        </w:rPr>
        <w:t>%</w:t>
      </w:r>
      <w:r w:rsidRPr="0071782F">
        <w:rPr>
          <w:lang w:val="fr-CH"/>
        </w:rPr>
        <w:t xml:space="preserve"> </w:t>
      </w:r>
      <w:r w:rsidR="0049071C" w:rsidRPr="0071782F">
        <w:rPr>
          <w:lang w:val="fr-CH"/>
        </w:rPr>
        <w:t xml:space="preserve">et de </w:t>
      </w:r>
      <w:r w:rsidRPr="0071782F">
        <w:rPr>
          <w:lang w:val="fr-CH"/>
        </w:rPr>
        <w:t>2</w:t>
      </w:r>
      <w:r w:rsidR="0049071C" w:rsidRPr="0071782F">
        <w:rPr>
          <w:lang w:val="fr-CH"/>
        </w:rPr>
        <w:t>,</w:t>
      </w:r>
      <w:r w:rsidRPr="0071782F">
        <w:rPr>
          <w:lang w:val="fr-CH"/>
        </w:rPr>
        <w:t>5</w:t>
      </w:r>
      <w:r w:rsidR="007E5125" w:rsidRPr="0071782F">
        <w:rPr>
          <w:lang w:val="fr-CH"/>
        </w:rPr>
        <w:t>%</w:t>
      </w:r>
      <w:r w:rsidR="0049071C" w:rsidRPr="0071782F">
        <w:rPr>
          <w:lang w:val="fr-CH"/>
        </w:rPr>
        <w:t xml:space="preserve">, respectivement, pendant le </w:t>
      </w:r>
      <w:r w:rsidR="009E6189">
        <w:rPr>
          <w:lang w:val="fr-CH"/>
        </w:rPr>
        <w:t>troisième plan</w:t>
      </w:r>
      <w:r w:rsidR="0049071C" w:rsidRPr="0071782F">
        <w:rPr>
          <w:lang w:val="fr-CH"/>
        </w:rPr>
        <w:t xml:space="preserve"> de développement</w:t>
      </w:r>
      <w:r w:rsidRPr="0071782F">
        <w:rPr>
          <w:lang w:val="fr-CH"/>
        </w:rPr>
        <w:t>.</w:t>
      </w:r>
    </w:p>
    <w:p w:rsidR="00DD2B20" w:rsidRPr="0071782F" w:rsidRDefault="00DD2B20" w:rsidP="00DD2B20">
      <w:pPr>
        <w:pStyle w:val="SingleTxtG"/>
        <w:ind w:left="1701" w:hanging="567"/>
        <w:rPr>
          <w:lang w:val="fr-CH"/>
        </w:rPr>
      </w:pPr>
      <w:r w:rsidRPr="0071782F">
        <w:rPr>
          <w:lang w:val="fr-CH"/>
        </w:rPr>
        <w:tab/>
        <w:t>125.3.</w:t>
      </w:r>
      <w:r w:rsidRPr="0071782F">
        <w:rPr>
          <w:lang w:val="fr-CH"/>
        </w:rPr>
        <w:tab/>
      </w:r>
      <w:r w:rsidR="0049071C" w:rsidRPr="0071782F">
        <w:rPr>
          <w:lang w:val="fr-CH"/>
        </w:rPr>
        <w:t xml:space="preserve"> Il ressort d’une </w:t>
      </w:r>
      <w:r w:rsidRPr="0071782F">
        <w:rPr>
          <w:lang w:val="fr-CH"/>
        </w:rPr>
        <w:t>compar</w:t>
      </w:r>
      <w:r w:rsidR="0049071C" w:rsidRPr="0071782F">
        <w:rPr>
          <w:lang w:val="fr-CH"/>
        </w:rPr>
        <w:t>a</w:t>
      </w:r>
      <w:r w:rsidRPr="0071782F">
        <w:rPr>
          <w:lang w:val="fr-CH"/>
        </w:rPr>
        <w:t xml:space="preserve">ison </w:t>
      </w:r>
      <w:r w:rsidR="0049071C" w:rsidRPr="0071782F">
        <w:rPr>
          <w:lang w:val="fr-CH"/>
        </w:rPr>
        <w:t xml:space="preserve">entre les chiffres des dépenses brutes </w:t>
      </w:r>
      <w:r w:rsidR="004E45FB" w:rsidRPr="0071782F">
        <w:rPr>
          <w:lang w:val="fr-CH"/>
        </w:rPr>
        <w:t>des familles</w:t>
      </w:r>
      <w:r w:rsidR="0049071C" w:rsidRPr="0071782F">
        <w:rPr>
          <w:lang w:val="fr-CH"/>
        </w:rPr>
        <w:t xml:space="preserve"> urbaines et rurales pendant la période </w:t>
      </w:r>
      <w:r w:rsidRPr="0071782F">
        <w:rPr>
          <w:lang w:val="fr-CH"/>
        </w:rPr>
        <w:t xml:space="preserve">2005-2006 </w:t>
      </w:r>
      <w:r w:rsidR="0049071C" w:rsidRPr="0071782F">
        <w:rPr>
          <w:lang w:val="fr-CH"/>
        </w:rPr>
        <w:t>que le taux d’accroissement moyen des dépenses annuelles de ces</w:t>
      </w:r>
      <w:r w:rsidR="007F37CE" w:rsidRPr="0071782F">
        <w:rPr>
          <w:lang w:val="fr-CH"/>
        </w:rPr>
        <w:t> famille</w:t>
      </w:r>
      <w:r w:rsidR="0049071C" w:rsidRPr="0071782F">
        <w:rPr>
          <w:lang w:val="fr-CH"/>
        </w:rPr>
        <w:t xml:space="preserve">s (aux pris courants) a été de </w:t>
      </w:r>
      <w:r w:rsidRPr="0071782F">
        <w:rPr>
          <w:lang w:val="fr-CH"/>
        </w:rPr>
        <w:t>13</w:t>
      </w:r>
      <w:r w:rsidR="0049071C" w:rsidRPr="0071782F">
        <w:rPr>
          <w:lang w:val="fr-CH"/>
        </w:rPr>
        <w:t>,</w:t>
      </w:r>
      <w:r w:rsidRPr="0071782F">
        <w:rPr>
          <w:lang w:val="fr-CH"/>
        </w:rPr>
        <w:t>3</w:t>
      </w:r>
      <w:r w:rsidR="007E5125" w:rsidRPr="0071782F">
        <w:rPr>
          <w:lang w:val="fr-CH"/>
        </w:rPr>
        <w:t>%</w:t>
      </w:r>
      <w:r w:rsidRPr="0071782F">
        <w:rPr>
          <w:lang w:val="fr-CH"/>
        </w:rPr>
        <w:t xml:space="preserve"> </w:t>
      </w:r>
      <w:r w:rsidR="0049071C" w:rsidRPr="0071782F">
        <w:rPr>
          <w:lang w:val="fr-CH"/>
        </w:rPr>
        <w:t xml:space="preserve">et de </w:t>
      </w:r>
      <w:r w:rsidRPr="0071782F">
        <w:rPr>
          <w:lang w:val="fr-CH"/>
        </w:rPr>
        <w:t>11</w:t>
      </w:r>
      <w:r w:rsidR="0049071C" w:rsidRPr="0071782F">
        <w:rPr>
          <w:lang w:val="fr-CH"/>
        </w:rPr>
        <w:t>,</w:t>
      </w:r>
      <w:r w:rsidRPr="0071782F">
        <w:rPr>
          <w:lang w:val="fr-CH"/>
        </w:rPr>
        <w:t>4</w:t>
      </w:r>
      <w:r w:rsidR="007E5125" w:rsidRPr="0071782F">
        <w:rPr>
          <w:lang w:val="fr-CH"/>
        </w:rPr>
        <w:t>%</w:t>
      </w:r>
      <w:r w:rsidR="0049071C" w:rsidRPr="0071782F">
        <w:rPr>
          <w:lang w:val="fr-CH"/>
        </w:rPr>
        <w:t xml:space="preserve">, respectivement, tandis qu’en 2004 il avait été de </w:t>
      </w:r>
      <w:r w:rsidRPr="0071782F">
        <w:rPr>
          <w:lang w:val="fr-CH"/>
        </w:rPr>
        <w:t>0</w:t>
      </w:r>
      <w:r w:rsidR="0049071C" w:rsidRPr="0071782F">
        <w:rPr>
          <w:lang w:val="fr-CH"/>
        </w:rPr>
        <w:t>,</w:t>
      </w:r>
      <w:r w:rsidRPr="0071782F">
        <w:rPr>
          <w:lang w:val="fr-CH"/>
        </w:rPr>
        <w:t>4</w:t>
      </w:r>
      <w:r w:rsidR="007E5125" w:rsidRPr="0071782F">
        <w:rPr>
          <w:lang w:val="fr-CH"/>
        </w:rPr>
        <w:t>%</w:t>
      </w:r>
      <w:r w:rsidRPr="0071782F">
        <w:rPr>
          <w:lang w:val="fr-CH"/>
        </w:rPr>
        <w:t xml:space="preserve"> </w:t>
      </w:r>
      <w:r w:rsidR="0049071C" w:rsidRPr="0071782F">
        <w:rPr>
          <w:lang w:val="fr-CH"/>
        </w:rPr>
        <w:t xml:space="preserve">et de </w:t>
      </w:r>
      <w:r w:rsidRPr="0071782F">
        <w:rPr>
          <w:lang w:val="fr-CH"/>
        </w:rPr>
        <w:t>-1</w:t>
      </w:r>
      <w:r w:rsidR="0049071C" w:rsidRPr="0071782F">
        <w:rPr>
          <w:lang w:val="fr-CH"/>
        </w:rPr>
        <w:t>,</w:t>
      </w:r>
      <w:r w:rsidRPr="0071782F">
        <w:rPr>
          <w:lang w:val="fr-CH"/>
        </w:rPr>
        <w:t>2</w:t>
      </w:r>
      <w:r w:rsidR="007E5125" w:rsidRPr="0071782F">
        <w:rPr>
          <w:lang w:val="fr-CH"/>
        </w:rPr>
        <w:t>%</w:t>
      </w:r>
      <w:r w:rsidR="0049071C" w:rsidRPr="0071782F">
        <w:rPr>
          <w:lang w:val="fr-CH"/>
        </w:rPr>
        <w:t>, respectivement</w:t>
      </w:r>
      <w:r w:rsidRPr="0071782F">
        <w:rPr>
          <w:lang w:val="fr-CH"/>
        </w:rPr>
        <w:t>.</w:t>
      </w:r>
    </w:p>
    <w:p w:rsidR="00DD2B20" w:rsidRPr="0071782F" w:rsidRDefault="00DD2B20" w:rsidP="00DD2B20">
      <w:pPr>
        <w:pStyle w:val="SingleTxtG"/>
        <w:ind w:left="1701" w:hanging="567"/>
        <w:rPr>
          <w:lang w:val="fr-CH"/>
        </w:rPr>
      </w:pPr>
      <w:r w:rsidRPr="0071782F">
        <w:rPr>
          <w:lang w:val="fr-CH"/>
        </w:rPr>
        <w:tab/>
        <w:t>125.4.</w:t>
      </w:r>
      <w:r w:rsidRPr="0071782F">
        <w:rPr>
          <w:lang w:val="fr-CH"/>
        </w:rPr>
        <w:tab/>
      </w:r>
      <w:r w:rsidR="00DD7CE1" w:rsidRPr="0071782F">
        <w:rPr>
          <w:lang w:val="fr-CH"/>
        </w:rPr>
        <w:t>En fait, si l’on part du principe que les dépenses d’</w:t>
      </w:r>
      <w:r w:rsidR="001F3F05" w:rsidRPr="0071782F">
        <w:rPr>
          <w:lang w:val="fr-CH"/>
        </w:rPr>
        <w:t>une famille</w:t>
      </w:r>
      <w:r w:rsidR="00DD7CE1" w:rsidRPr="0071782F">
        <w:rPr>
          <w:lang w:val="fr-CH"/>
        </w:rPr>
        <w:t xml:space="preserve"> dépendent de son revenu, la hausse des revenus nominaux a été, pendant la période susvisée, équivalente au taux d’inflation dans les zones urbaines et inférieure à ce taux dans les zones rurales. </w:t>
      </w:r>
    </w:p>
    <w:p w:rsidR="00DD2B20" w:rsidRPr="0071782F" w:rsidRDefault="00DD2B20" w:rsidP="00DD2B20">
      <w:pPr>
        <w:pStyle w:val="SingleTxtG"/>
        <w:ind w:left="1701" w:hanging="567"/>
        <w:rPr>
          <w:lang w:val="fr-CH"/>
        </w:rPr>
      </w:pPr>
      <w:r w:rsidRPr="0071782F">
        <w:rPr>
          <w:lang w:val="fr-CH"/>
        </w:rPr>
        <w:tab/>
        <w:t>125.5.</w:t>
      </w:r>
      <w:r w:rsidRPr="0071782F">
        <w:rPr>
          <w:lang w:val="fr-CH"/>
        </w:rPr>
        <w:tab/>
      </w:r>
      <w:r w:rsidR="00DD7CE1" w:rsidRPr="0071782F">
        <w:rPr>
          <w:lang w:val="fr-CH"/>
        </w:rPr>
        <w:t xml:space="preserve">Sur la base des données brutes concernant le budget </w:t>
      </w:r>
      <w:r w:rsidR="004E45FB" w:rsidRPr="0071782F">
        <w:rPr>
          <w:lang w:val="fr-CH"/>
        </w:rPr>
        <w:t>des familles</w:t>
      </w:r>
      <w:r w:rsidR="00DD7CE1" w:rsidRPr="0071782F">
        <w:rPr>
          <w:lang w:val="fr-CH"/>
        </w:rPr>
        <w:t xml:space="preserve"> en </w:t>
      </w:r>
      <w:r w:rsidRPr="0071782F">
        <w:rPr>
          <w:lang w:val="fr-CH"/>
        </w:rPr>
        <w:t xml:space="preserve">2005, </w:t>
      </w:r>
      <w:r w:rsidR="00DD7CE1" w:rsidRPr="0071782F">
        <w:rPr>
          <w:lang w:val="fr-CH"/>
        </w:rPr>
        <w:t xml:space="preserve">le seuil de pauvreté relative pour </w:t>
      </w:r>
      <w:r w:rsidR="001F3F05" w:rsidRPr="0071782F">
        <w:rPr>
          <w:lang w:val="fr-CH"/>
        </w:rPr>
        <w:t>une famille</w:t>
      </w:r>
      <w:r w:rsidR="00DD7CE1" w:rsidRPr="0071782F">
        <w:rPr>
          <w:lang w:val="fr-CH"/>
        </w:rPr>
        <w:t xml:space="preserve"> de cinq</w:t>
      </w:r>
      <w:r w:rsidR="00097CDB" w:rsidRPr="0071782F">
        <w:rPr>
          <w:lang w:val="fr-CH"/>
        </w:rPr>
        <w:t> personnes</w:t>
      </w:r>
      <w:r w:rsidR="00DD7CE1" w:rsidRPr="0071782F">
        <w:rPr>
          <w:lang w:val="fr-CH"/>
        </w:rPr>
        <w:t xml:space="preserve"> a été de 2 </w:t>
      </w:r>
      <w:r w:rsidRPr="0071782F">
        <w:rPr>
          <w:lang w:val="fr-CH"/>
        </w:rPr>
        <w:t>998</w:t>
      </w:r>
      <w:r w:rsidR="00DD7CE1" w:rsidRPr="0071782F">
        <w:rPr>
          <w:lang w:val="fr-CH"/>
        </w:rPr>
        <w:t xml:space="preserve"> </w:t>
      </w:r>
      <w:r w:rsidRPr="0071782F">
        <w:rPr>
          <w:lang w:val="fr-CH"/>
        </w:rPr>
        <w:t>000</w:t>
      </w:r>
      <w:r w:rsidR="00860D09" w:rsidRPr="0071782F">
        <w:rPr>
          <w:lang w:val="fr-CH"/>
        </w:rPr>
        <w:t> rials</w:t>
      </w:r>
      <w:r w:rsidRPr="0071782F">
        <w:rPr>
          <w:lang w:val="fr-CH"/>
        </w:rPr>
        <w:t xml:space="preserve"> </w:t>
      </w:r>
      <w:r w:rsidR="00DD7CE1" w:rsidRPr="0071782F">
        <w:rPr>
          <w:lang w:val="fr-CH"/>
        </w:rPr>
        <w:t xml:space="preserve">en milieu urbain et de </w:t>
      </w:r>
      <w:r w:rsidRPr="0071782F">
        <w:rPr>
          <w:lang w:val="fr-CH"/>
        </w:rPr>
        <w:t>1</w:t>
      </w:r>
      <w:r w:rsidR="00DD7CE1" w:rsidRPr="0071782F">
        <w:rPr>
          <w:lang w:val="fr-CH"/>
        </w:rPr>
        <w:t> 685</w:t>
      </w:r>
      <w:r w:rsidR="002B39FA">
        <w:rPr>
          <w:lang w:val="fr-CH"/>
        </w:rPr>
        <w:t> </w:t>
      </w:r>
      <w:r w:rsidRPr="0071782F">
        <w:rPr>
          <w:lang w:val="fr-CH"/>
        </w:rPr>
        <w:t>000</w:t>
      </w:r>
      <w:r w:rsidR="00860D09" w:rsidRPr="0071782F">
        <w:rPr>
          <w:lang w:val="fr-CH"/>
        </w:rPr>
        <w:t> rials</w:t>
      </w:r>
      <w:r w:rsidRPr="0071782F">
        <w:rPr>
          <w:lang w:val="fr-CH"/>
        </w:rPr>
        <w:t xml:space="preserve"> </w:t>
      </w:r>
      <w:r w:rsidR="00DD7CE1" w:rsidRPr="0071782F">
        <w:rPr>
          <w:lang w:val="fr-CH"/>
        </w:rPr>
        <w:t xml:space="preserve">en milieu rural </w:t>
      </w:r>
      <w:r w:rsidRPr="0071782F">
        <w:rPr>
          <w:lang w:val="fr-CH"/>
        </w:rPr>
        <w:t>(</w:t>
      </w:r>
      <w:r w:rsidR="00DD7CE1" w:rsidRPr="0071782F">
        <w:rPr>
          <w:lang w:val="fr-CH"/>
        </w:rPr>
        <w:t>le seuil de pauvreté en milieu urbain étant la moyenne des seuils de toutes les villes, grandes, moyennes et petites, le seuil de pauvreté dans les grandes villes est nécessairement supérieur à la moyenne). De surcroît, on peut définir comme deuxième seuil de pauvreté le quart des dépenses moyennes d’</w:t>
      </w:r>
      <w:r w:rsidR="001F3F05" w:rsidRPr="0071782F">
        <w:rPr>
          <w:lang w:val="fr-CH"/>
        </w:rPr>
        <w:t>une famille</w:t>
      </w:r>
      <w:r w:rsidR="00DD7CE1" w:rsidRPr="0071782F">
        <w:rPr>
          <w:lang w:val="fr-CH"/>
        </w:rPr>
        <w:t xml:space="preserve">. La pauvreté </w:t>
      </w:r>
      <w:r w:rsidR="004E45FB" w:rsidRPr="0071782F">
        <w:rPr>
          <w:lang w:val="fr-CH"/>
        </w:rPr>
        <w:t>des familles</w:t>
      </w:r>
      <w:r w:rsidR="00DD7CE1" w:rsidRPr="0071782F">
        <w:rPr>
          <w:lang w:val="fr-CH"/>
        </w:rPr>
        <w:t xml:space="preserve"> vivant au-dessous de ce deuxième seuil est donc plus grave que celle </w:t>
      </w:r>
      <w:r w:rsidR="004E45FB" w:rsidRPr="0071782F">
        <w:rPr>
          <w:lang w:val="fr-CH"/>
        </w:rPr>
        <w:t>des familles</w:t>
      </w:r>
      <w:r w:rsidR="00DD7CE1" w:rsidRPr="0071782F">
        <w:rPr>
          <w:lang w:val="fr-CH"/>
        </w:rPr>
        <w:t xml:space="preserve"> vivant au-dessous du premier.</w:t>
      </w:r>
      <w:r w:rsidRPr="0071782F">
        <w:rPr>
          <w:lang w:val="fr-CH"/>
        </w:rPr>
        <w:t xml:space="preserve"> </w:t>
      </w:r>
      <w:r w:rsidR="00DD7CE1" w:rsidRPr="0071782F">
        <w:rPr>
          <w:lang w:val="fr-CH"/>
        </w:rPr>
        <w:t xml:space="preserve">En 2006, le seuil de pauvreté (aux pris courants) est passé à </w:t>
      </w:r>
      <w:r w:rsidRPr="0071782F">
        <w:rPr>
          <w:lang w:val="fr-CH"/>
        </w:rPr>
        <w:t>3</w:t>
      </w:r>
      <w:r w:rsidR="00DD7CE1" w:rsidRPr="0071782F">
        <w:rPr>
          <w:lang w:val="fr-CH"/>
        </w:rPr>
        <w:t> </w:t>
      </w:r>
      <w:r w:rsidRPr="0071782F">
        <w:rPr>
          <w:lang w:val="fr-CH"/>
        </w:rPr>
        <w:t>329</w:t>
      </w:r>
      <w:r w:rsidR="00DD7CE1" w:rsidRPr="0071782F">
        <w:rPr>
          <w:lang w:val="fr-CH"/>
        </w:rPr>
        <w:t xml:space="preserve"> </w:t>
      </w:r>
      <w:r w:rsidRPr="0071782F">
        <w:rPr>
          <w:lang w:val="fr-CH"/>
        </w:rPr>
        <w:t>000</w:t>
      </w:r>
      <w:r w:rsidR="00860D09" w:rsidRPr="0071782F">
        <w:rPr>
          <w:lang w:val="fr-CH"/>
        </w:rPr>
        <w:t> rials</w:t>
      </w:r>
      <w:r w:rsidRPr="0071782F">
        <w:rPr>
          <w:lang w:val="fr-CH"/>
        </w:rPr>
        <w:t xml:space="preserve"> </w:t>
      </w:r>
      <w:r w:rsidR="00DD7CE1" w:rsidRPr="0071782F">
        <w:rPr>
          <w:lang w:val="fr-CH"/>
        </w:rPr>
        <w:t xml:space="preserve">en milieu urbain et à </w:t>
      </w:r>
      <w:r w:rsidRPr="0071782F">
        <w:rPr>
          <w:lang w:val="fr-CH"/>
        </w:rPr>
        <w:t>1</w:t>
      </w:r>
      <w:r w:rsidR="00DD7CE1" w:rsidRPr="0071782F">
        <w:rPr>
          <w:lang w:val="fr-CH"/>
        </w:rPr>
        <w:t> </w:t>
      </w:r>
      <w:r w:rsidRPr="0071782F">
        <w:rPr>
          <w:lang w:val="fr-CH"/>
        </w:rPr>
        <w:t>85</w:t>
      </w:r>
      <w:r w:rsidR="00DD7CE1" w:rsidRPr="0071782F">
        <w:rPr>
          <w:lang w:val="fr-CH"/>
        </w:rPr>
        <w:t xml:space="preserve">2 </w:t>
      </w:r>
      <w:r w:rsidRPr="0071782F">
        <w:rPr>
          <w:lang w:val="fr-CH"/>
        </w:rPr>
        <w:t>000</w:t>
      </w:r>
      <w:r w:rsidR="00860D09" w:rsidRPr="0071782F">
        <w:rPr>
          <w:lang w:val="fr-CH"/>
        </w:rPr>
        <w:t> rials</w:t>
      </w:r>
      <w:r w:rsidR="00DD7CE1" w:rsidRPr="0071782F">
        <w:rPr>
          <w:lang w:val="fr-CH"/>
        </w:rPr>
        <w:t xml:space="preserve"> en milieu rural</w:t>
      </w:r>
      <w:r w:rsidRPr="0071782F">
        <w:rPr>
          <w:lang w:val="fr-CH"/>
        </w:rPr>
        <w:t>.</w:t>
      </w:r>
    </w:p>
    <w:p w:rsidR="00DD2B20" w:rsidRPr="0071782F" w:rsidRDefault="00DD2B20" w:rsidP="009D7118">
      <w:pPr>
        <w:pStyle w:val="H1G"/>
        <w:spacing w:before="320" w:after="200"/>
        <w:rPr>
          <w:lang w:val="fr-CH"/>
        </w:rPr>
      </w:pPr>
      <w:r w:rsidRPr="0071782F">
        <w:rPr>
          <w:lang w:val="fr-CH"/>
        </w:rPr>
        <w:tab/>
      </w:r>
      <w:r w:rsidRPr="0071782F">
        <w:rPr>
          <w:lang w:val="fr-CH"/>
        </w:rPr>
        <w:tab/>
      </w:r>
      <w:r w:rsidR="00545C3C" w:rsidRPr="0071782F">
        <w:rPr>
          <w:lang w:val="fr-CH"/>
        </w:rPr>
        <w:t xml:space="preserve">Les </w:t>
      </w:r>
      <w:r w:rsidRPr="0071782F">
        <w:rPr>
          <w:lang w:val="fr-CH"/>
        </w:rPr>
        <w:t xml:space="preserve">axes </w:t>
      </w:r>
      <w:r w:rsidR="00545C3C" w:rsidRPr="0071782F">
        <w:rPr>
          <w:lang w:val="fr-CH"/>
        </w:rPr>
        <w:t xml:space="preserve">d’intervention du </w:t>
      </w:r>
      <w:r w:rsidR="00A90208" w:rsidRPr="0071782F">
        <w:rPr>
          <w:lang w:val="fr-CH"/>
        </w:rPr>
        <w:t>quatrième</w:t>
      </w:r>
      <w:r w:rsidR="00545C3C" w:rsidRPr="0071782F">
        <w:rPr>
          <w:lang w:val="fr-CH"/>
        </w:rPr>
        <w:t xml:space="preserve"> plan de développement et son application dans les secteurs relatifs à la protection sociale et à la répartition des revenus</w:t>
      </w:r>
      <w:r w:rsidR="00D36718">
        <w:rPr>
          <w:lang w:val="fr-CH"/>
        </w:rPr>
        <w:t xml:space="preserve"> </w:t>
      </w:r>
    </w:p>
    <w:p w:rsidR="00DD2B20" w:rsidRPr="0071782F" w:rsidRDefault="00DD2B20" w:rsidP="009D7118">
      <w:pPr>
        <w:pStyle w:val="SingleTxtG"/>
        <w:spacing w:after="100"/>
        <w:rPr>
          <w:lang w:val="fr-CH"/>
        </w:rPr>
      </w:pPr>
      <w:r w:rsidRPr="0071782F">
        <w:rPr>
          <w:lang w:val="fr-CH"/>
        </w:rPr>
        <w:t>126.</w:t>
      </w:r>
      <w:r w:rsidRPr="0071782F">
        <w:rPr>
          <w:lang w:val="fr-CH"/>
        </w:rPr>
        <w:tab/>
      </w:r>
      <w:r w:rsidR="00545C3C" w:rsidRPr="0071782F">
        <w:rPr>
          <w:lang w:val="fr-CH"/>
        </w:rPr>
        <w:t>Ces axes sont notamment les suivants</w:t>
      </w:r>
      <w:r w:rsidR="008F7D33" w:rsidRPr="0071782F">
        <w:rPr>
          <w:lang w:val="fr-CH"/>
        </w:rPr>
        <w:t>:</w:t>
      </w:r>
      <w:r w:rsidR="00545C3C" w:rsidRPr="0071782F">
        <w:rPr>
          <w:lang w:val="fr-CH"/>
        </w:rPr>
        <w:t xml:space="preserve"> </w:t>
      </w:r>
    </w:p>
    <w:p w:rsidR="00DD2B20" w:rsidRPr="0071782F" w:rsidRDefault="00DD2B20" w:rsidP="009D7118">
      <w:pPr>
        <w:pStyle w:val="SingleTxtG"/>
        <w:spacing w:after="100"/>
        <w:ind w:left="1701" w:hanging="567"/>
        <w:rPr>
          <w:lang w:val="fr-CH"/>
        </w:rPr>
      </w:pPr>
      <w:r w:rsidRPr="0071782F">
        <w:rPr>
          <w:lang w:val="fr-CH"/>
        </w:rPr>
        <w:tab/>
        <w:t>126.1.</w:t>
      </w:r>
      <w:r w:rsidRPr="0071782F">
        <w:rPr>
          <w:lang w:val="fr-CH"/>
        </w:rPr>
        <w:tab/>
        <w:t xml:space="preserve">Redistribution </w:t>
      </w:r>
      <w:r w:rsidR="002C73A6" w:rsidRPr="0071782F">
        <w:rPr>
          <w:lang w:val="fr-CH"/>
        </w:rPr>
        <w:t>des subventions et mise en place d’un système intég</w:t>
      </w:r>
      <w:r w:rsidR="00CF03DE" w:rsidRPr="0071782F">
        <w:rPr>
          <w:lang w:val="fr-CH"/>
        </w:rPr>
        <w:t>ré de protection et de sécurité</w:t>
      </w:r>
      <w:r w:rsidR="002C73A6" w:rsidRPr="0071782F">
        <w:rPr>
          <w:lang w:val="fr-CH"/>
        </w:rPr>
        <w:t xml:space="preserve"> sociales</w:t>
      </w:r>
      <w:r w:rsidR="00B12D3A" w:rsidRPr="0071782F">
        <w:rPr>
          <w:lang w:val="fr-CH"/>
        </w:rPr>
        <w:t>.</w:t>
      </w:r>
    </w:p>
    <w:p w:rsidR="00DD2B20" w:rsidRPr="0071782F" w:rsidRDefault="00DD2B20" w:rsidP="009D7118">
      <w:pPr>
        <w:pStyle w:val="SingleTxtG"/>
        <w:spacing w:after="100"/>
        <w:ind w:left="1701" w:hanging="567"/>
        <w:rPr>
          <w:lang w:val="fr-CH"/>
        </w:rPr>
      </w:pPr>
      <w:r w:rsidRPr="0071782F">
        <w:rPr>
          <w:lang w:val="fr-CH"/>
        </w:rPr>
        <w:tab/>
        <w:t>126.2.</w:t>
      </w:r>
      <w:r w:rsidRPr="0071782F">
        <w:rPr>
          <w:lang w:val="fr-CH"/>
        </w:rPr>
        <w:tab/>
        <w:t>A</w:t>
      </w:r>
      <w:r w:rsidR="002C73A6" w:rsidRPr="0071782F">
        <w:rPr>
          <w:lang w:val="fr-CH"/>
        </w:rPr>
        <w:t>ffectation des ressources provenant de la redistribution des subventions à la mise en place du système intégré de protecti</w:t>
      </w:r>
      <w:r w:rsidR="00CF03DE" w:rsidRPr="0071782F">
        <w:rPr>
          <w:lang w:val="fr-CH"/>
        </w:rPr>
        <w:t>on et de sécurité</w:t>
      </w:r>
      <w:r w:rsidR="002C73A6" w:rsidRPr="0071782F">
        <w:rPr>
          <w:lang w:val="fr-CH"/>
        </w:rPr>
        <w:t xml:space="preserve"> sociales. </w:t>
      </w:r>
    </w:p>
    <w:p w:rsidR="00DD2B20" w:rsidRPr="0071782F" w:rsidRDefault="00DD2B20" w:rsidP="009D7118">
      <w:pPr>
        <w:pStyle w:val="SingleTxtG"/>
        <w:spacing w:after="100"/>
        <w:ind w:left="1701" w:hanging="567"/>
        <w:rPr>
          <w:lang w:val="fr-CH"/>
        </w:rPr>
      </w:pPr>
      <w:r w:rsidRPr="0071782F">
        <w:rPr>
          <w:lang w:val="fr-CH"/>
        </w:rPr>
        <w:tab/>
        <w:t>126.3.</w:t>
      </w:r>
      <w:r w:rsidRPr="0071782F">
        <w:rPr>
          <w:lang w:val="fr-CH"/>
        </w:rPr>
        <w:tab/>
      </w:r>
      <w:r w:rsidR="003B48A4" w:rsidRPr="0071782F">
        <w:rPr>
          <w:lang w:val="fr-CH"/>
        </w:rPr>
        <w:t>Renforcement de l’autonomie de la population en vue de promouvoir dans la société la culture d’un mode de vie sain.</w:t>
      </w:r>
    </w:p>
    <w:p w:rsidR="00DD2B20" w:rsidRPr="0071782F" w:rsidRDefault="00DD2B20" w:rsidP="009D7118">
      <w:pPr>
        <w:pStyle w:val="SingleTxtG"/>
        <w:spacing w:after="100"/>
        <w:ind w:left="1701" w:hanging="567"/>
        <w:rPr>
          <w:lang w:val="fr-CH"/>
        </w:rPr>
      </w:pPr>
      <w:r w:rsidRPr="0071782F">
        <w:rPr>
          <w:lang w:val="fr-CH"/>
        </w:rPr>
        <w:tab/>
        <w:t>126.4.</w:t>
      </w:r>
      <w:r w:rsidRPr="0071782F">
        <w:rPr>
          <w:lang w:val="fr-CH"/>
        </w:rPr>
        <w:tab/>
        <w:t>R</w:t>
      </w:r>
      <w:r w:rsidR="003B48A4" w:rsidRPr="0071782F">
        <w:rPr>
          <w:lang w:val="fr-CH"/>
        </w:rPr>
        <w:t xml:space="preserve">éorientation des activités d’aide </w:t>
      </w:r>
      <w:r w:rsidRPr="0071782F">
        <w:rPr>
          <w:lang w:val="fr-CH"/>
        </w:rPr>
        <w:t>social</w:t>
      </w:r>
      <w:r w:rsidR="003B48A4" w:rsidRPr="0071782F">
        <w:rPr>
          <w:lang w:val="fr-CH"/>
        </w:rPr>
        <w:t>e</w:t>
      </w:r>
      <w:r w:rsidRPr="0071782F">
        <w:rPr>
          <w:lang w:val="fr-CH"/>
        </w:rPr>
        <w:t xml:space="preserve"> </w:t>
      </w:r>
      <w:r w:rsidR="003B48A4" w:rsidRPr="0071782F">
        <w:rPr>
          <w:lang w:val="fr-CH"/>
        </w:rPr>
        <w:t xml:space="preserve">en vue de renforcer l’autonomie de la population couverte par les institutions d’aide sociale et d’accroître la </w:t>
      </w:r>
      <w:r w:rsidRPr="0071782F">
        <w:rPr>
          <w:lang w:val="fr-CH"/>
        </w:rPr>
        <w:t xml:space="preserve">participation </w:t>
      </w:r>
      <w:r w:rsidR="003B48A4" w:rsidRPr="0071782F">
        <w:rPr>
          <w:lang w:val="fr-CH"/>
        </w:rPr>
        <w:t>des ONG et des organisations caritatives au système intégré de sécurité et de protection sociales</w:t>
      </w:r>
      <w:r w:rsidR="00E06730" w:rsidRPr="0071782F">
        <w:rPr>
          <w:lang w:val="fr-CH"/>
        </w:rPr>
        <w:t>.</w:t>
      </w:r>
    </w:p>
    <w:p w:rsidR="00DD2B20" w:rsidRPr="0071782F" w:rsidRDefault="00DD2B20" w:rsidP="009D7118">
      <w:pPr>
        <w:pStyle w:val="SingleTxtG"/>
        <w:spacing w:after="100"/>
        <w:ind w:left="1701" w:hanging="567"/>
        <w:rPr>
          <w:lang w:val="fr-CH"/>
        </w:rPr>
      </w:pPr>
      <w:r w:rsidRPr="0071782F">
        <w:rPr>
          <w:lang w:val="fr-CH"/>
        </w:rPr>
        <w:tab/>
        <w:t>126.5.</w:t>
      </w:r>
      <w:r w:rsidRPr="0071782F">
        <w:rPr>
          <w:lang w:val="fr-CH"/>
        </w:rPr>
        <w:tab/>
      </w:r>
      <w:r w:rsidR="003B48A4" w:rsidRPr="0071782F">
        <w:rPr>
          <w:lang w:val="fr-CH"/>
        </w:rPr>
        <w:t>Fourniture d’une assurance médicale obligatoire à prestations diversifiées à tous les segments de la société</w:t>
      </w:r>
      <w:r w:rsidR="00E06730" w:rsidRPr="0071782F">
        <w:rPr>
          <w:lang w:val="fr-CH"/>
        </w:rPr>
        <w:t>.</w:t>
      </w:r>
    </w:p>
    <w:p w:rsidR="00DD2B20" w:rsidRPr="0071782F" w:rsidRDefault="00DD2B20" w:rsidP="002241CD">
      <w:pPr>
        <w:pStyle w:val="SingleTxtG"/>
        <w:spacing w:after="0"/>
        <w:ind w:left="1701" w:hanging="567"/>
        <w:rPr>
          <w:lang w:val="fr-CH"/>
        </w:rPr>
      </w:pPr>
      <w:r w:rsidRPr="0071782F">
        <w:rPr>
          <w:lang w:val="fr-CH"/>
        </w:rPr>
        <w:tab/>
        <w:t>126.6.</w:t>
      </w:r>
      <w:r w:rsidRPr="0071782F">
        <w:rPr>
          <w:lang w:val="fr-CH"/>
        </w:rPr>
        <w:tab/>
        <w:t xml:space="preserve">Extension </w:t>
      </w:r>
      <w:r w:rsidR="003B48A4" w:rsidRPr="0071782F">
        <w:rPr>
          <w:lang w:val="fr-CH"/>
        </w:rPr>
        <w:t>aux groupes vulnérables des services d’aide publics</w:t>
      </w:r>
      <w:r w:rsidRPr="0071782F">
        <w:rPr>
          <w:lang w:val="fr-CH"/>
        </w:rPr>
        <w:t>.</w:t>
      </w:r>
    </w:p>
    <w:p w:rsidR="00DD2B20" w:rsidRPr="0071782F" w:rsidRDefault="009E1EDF" w:rsidP="009E1EDF">
      <w:pPr>
        <w:pStyle w:val="H23G"/>
        <w:rPr>
          <w:lang w:val="fr-CH"/>
        </w:rPr>
      </w:pPr>
      <w:r w:rsidRPr="0071782F">
        <w:rPr>
          <w:lang w:val="fr-CH"/>
        </w:rPr>
        <w:tab/>
      </w:r>
      <w:r w:rsidRPr="0071782F">
        <w:rPr>
          <w:lang w:val="fr-CH"/>
        </w:rPr>
        <w:tab/>
        <w:t>I</w:t>
      </w:r>
      <w:r w:rsidR="00DD2B20" w:rsidRPr="0071782F">
        <w:rPr>
          <w:lang w:val="fr-CH"/>
        </w:rPr>
        <w:t>ndicat</w:t>
      </w:r>
      <w:r w:rsidR="003B48A4" w:rsidRPr="0071782F">
        <w:rPr>
          <w:lang w:val="fr-CH"/>
        </w:rPr>
        <w:t>eu</w:t>
      </w:r>
      <w:r w:rsidR="00DD2B20" w:rsidRPr="0071782F">
        <w:rPr>
          <w:lang w:val="fr-CH"/>
        </w:rPr>
        <w:t>rs</w:t>
      </w:r>
      <w:r w:rsidR="003B48A4" w:rsidRPr="0071782F">
        <w:rPr>
          <w:lang w:val="fr-CH"/>
        </w:rPr>
        <w:t xml:space="preserve"> de la sécurité sociale</w:t>
      </w:r>
      <w:r w:rsidR="00DD2B20" w:rsidRPr="0071782F">
        <w:rPr>
          <w:lang w:val="fr-CH"/>
        </w:rPr>
        <w:t xml:space="preserve"> </w:t>
      </w:r>
      <w:r w:rsidRPr="0071782F">
        <w:rPr>
          <w:lang w:val="fr-CH"/>
        </w:rPr>
        <w:t>–</w:t>
      </w:r>
      <w:r w:rsidR="00DD2B20" w:rsidRPr="0071782F">
        <w:rPr>
          <w:lang w:val="fr-CH"/>
        </w:rPr>
        <w:t xml:space="preserve"> 2006</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536"/>
        <w:gridCol w:w="1560"/>
        <w:gridCol w:w="708"/>
        <w:gridCol w:w="1701"/>
      </w:tblGrid>
      <w:tr w:rsidR="00DD2B20" w:rsidRPr="0071782F">
        <w:trPr>
          <w:tblHeader/>
        </w:trPr>
        <w:tc>
          <w:tcPr>
            <w:tcW w:w="4536" w:type="dxa"/>
            <w:tcBorders>
              <w:top w:val="single" w:sz="4" w:space="0" w:color="auto"/>
              <w:bottom w:val="single" w:sz="12" w:space="0" w:color="auto"/>
            </w:tcBorders>
            <w:shd w:val="clear" w:color="auto" w:fill="auto"/>
            <w:vAlign w:val="bottom"/>
          </w:tcPr>
          <w:p w:rsidR="00DD2B20" w:rsidRPr="0071782F" w:rsidRDefault="00DD2B20" w:rsidP="009D7118">
            <w:pPr>
              <w:suppressAutoHyphens w:val="0"/>
              <w:spacing w:before="80" w:after="80" w:line="200" w:lineRule="exact"/>
              <w:rPr>
                <w:i/>
                <w:sz w:val="16"/>
                <w:lang w:val="fr-CH"/>
              </w:rPr>
            </w:pPr>
            <w:r w:rsidRPr="0071782F">
              <w:rPr>
                <w:i/>
                <w:sz w:val="16"/>
                <w:lang w:val="fr-CH"/>
              </w:rPr>
              <w:t>Indicat</w:t>
            </w:r>
            <w:r w:rsidR="003B48A4" w:rsidRPr="0071782F">
              <w:rPr>
                <w:i/>
                <w:sz w:val="16"/>
                <w:lang w:val="fr-CH"/>
              </w:rPr>
              <w:t>eu</w:t>
            </w:r>
            <w:r w:rsidRPr="0071782F">
              <w:rPr>
                <w:i/>
                <w:sz w:val="16"/>
                <w:lang w:val="fr-CH"/>
              </w:rPr>
              <w:t>r</w:t>
            </w:r>
          </w:p>
        </w:tc>
        <w:tc>
          <w:tcPr>
            <w:tcW w:w="1560" w:type="dxa"/>
            <w:tcBorders>
              <w:top w:val="single" w:sz="4" w:space="0" w:color="auto"/>
              <w:bottom w:val="single" w:sz="12" w:space="0" w:color="auto"/>
            </w:tcBorders>
            <w:shd w:val="clear" w:color="auto" w:fill="auto"/>
            <w:vAlign w:val="bottom"/>
          </w:tcPr>
          <w:p w:rsidR="00DD2B20" w:rsidRPr="0071782F" w:rsidRDefault="00DD2B20" w:rsidP="009D7118">
            <w:pPr>
              <w:suppressAutoHyphens w:val="0"/>
              <w:spacing w:before="80" w:after="80" w:line="200" w:lineRule="exact"/>
              <w:rPr>
                <w:i/>
                <w:sz w:val="16"/>
                <w:lang w:val="fr-CH"/>
              </w:rPr>
            </w:pPr>
            <w:r w:rsidRPr="0071782F">
              <w:rPr>
                <w:i/>
                <w:sz w:val="16"/>
                <w:lang w:val="fr-CH"/>
              </w:rPr>
              <w:t>Unit</w:t>
            </w:r>
            <w:r w:rsidR="003B48A4" w:rsidRPr="0071782F">
              <w:rPr>
                <w:i/>
                <w:sz w:val="16"/>
                <w:lang w:val="fr-CH"/>
              </w:rPr>
              <w:t>é</w:t>
            </w:r>
          </w:p>
        </w:tc>
        <w:tc>
          <w:tcPr>
            <w:tcW w:w="708" w:type="dxa"/>
            <w:tcBorders>
              <w:top w:val="single" w:sz="4" w:space="0" w:color="auto"/>
              <w:bottom w:val="single" w:sz="12" w:space="0" w:color="auto"/>
            </w:tcBorders>
            <w:shd w:val="clear" w:color="auto" w:fill="auto"/>
            <w:vAlign w:val="bottom"/>
          </w:tcPr>
          <w:p w:rsidR="00DD2B20" w:rsidRPr="0071782F" w:rsidRDefault="00DD2B20" w:rsidP="009D7118">
            <w:pPr>
              <w:suppressAutoHyphens w:val="0"/>
              <w:spacing w:before="80" w:after="80" w:line="200" w:lineRule="exact"/>
              <w:jc w:val="right"/>
              <w:rPr>
                <w:i/>
                <w:sz w:val="16"/>
                <w:lang w:val="fr-CH"/>
              </w:rPr>
            </w:pPr>
            <w:r w:rsidRPr="0071782F">
              <w:rPr>
                <w:i/>
                <w:sz w:val="16"/>
                <w:lang w:val="fr-CH"/>
              </w:rPr>
              <w:t>N</w:t>
            </w:r>
            <w:r w:rsidR="003B48A4" w:rsidRPr="0071782F">
              <w:rPr>
                <w:i/>
                <w:sz w:val="16"/>
                <w:lang w:val="fr-CH"/>
              </w:rPr>
              <w:t xml:space="preserve">ombre </w:t>
            </w:r>
          </w:p>
        </w:tc>
        <w:tc>
          <w:tcPr>
            <w:tcW w:w="1701" w:type="dxa"/>
            <w:tcBorders>
              <w:top w:val="single" w:sz="4" w:space="0" w:color="auto"/>
              <w:bottom w:val="single" w:sz="12" w:space="0" w:color="auto"/>
            </w:tcBorders>
            <w:shd w:val="clear" w:color="auto" w:fill="auto"/>
            <w:vAlign w:val="bottom"/>
          </w:tcPr>
          <w:p w:rsidR="00DD2B20" w:rsidRPr="0071782F" w:rsidRDefault="003B48A4" w:rsidP="009D7118">
            <w:pPr>
              <w:suppressAutoHyphens w:val="0"/>
              <w:spacing w:before="80" w:after="80" w:line="200" w:lineRule="exact"/>
              <w:jc w:val="right"/>
              <w:rPr>
                <w:i/>
                <w:sz w:val="16"/>
                <w:lang w:val="fr-CH"/>
              </w:rPr>
            </w:pPr>
            <w:r w:rsidRPr="0071782F">
              <w:rPr>
                <w:i/>
                <w:sz w:val="16"/>
                <w:lang w:val="fr-CH"/>
              </w:rPr>
              <w:t>Variation en pourcentage</w:t>
            </w:r>
            <w:r w:rsidR="00DD2B20" w:rsidRPr="0071782F">
              <w:rPr>
                <w:i/>
                <w:sz w:val="16"/>
                <w:lang w:val="fr-CH"/>
              </w:rPr>
              <w:t xml:space="preserve"> </w:t>
            </w:r>
            <w:r w:rsidR="006E61FD" w:rsidRPr="0071782F">
              <w:rPr>
                <w:i/>
                <w:sz w:val="16"/>
                <w:lang w:val="fr-CH"/>
              </w:rPr>
              <w:br/>
            </w:r>
            <w:r w:rsidR="00DD2B20" w:rsidRPr="0071782F">
              <w:rPr>
                <w:i/>
                <w:sz w:val="16"/>
                <w:lang w:val="fr-CH"/>
              </w:rPr>
              <w:t>(</w:t>
            </w:r>
            <w:r w:rsidRPr="0071782F">
              <w:rPr>
                <w:i/>
                <w:sz w:val="16"/>
                <w:lang w:val="fr-CH"/>
              </w:rPr>
              <w:t xml:space="preserve">par rapport à </w:t>
            </w:r>
            <w:r w:rsidR="00DD2B20" w:rsidRPr="0071782F">
              <w:rPr>
                <w:i/>
                <w:sz w:val="16"/>
                <w:lang w:val="fr-CH"/>
              </w:rPr>
              <w:t>2005)</w:t>
            </w:r>
          </w:p>
        </w:tc>
      </w:tr>
      <w:tr w:rsidR="00DD2B20" w:rsidRPr="0071782F">
        <w:tc>
          <w:tcPr>
            <w:tcW w:w="4536" w:type="dxa"/>
            <w:tcBorders>
              <w:top w:val="single" w:sz="12" w:space="0" w:color="auto"/>
              <w:bottom w:val="nil"/>
            </w:tcBorders>
            <w:shd w:val="clear" w:color="auto" w:fill="auto"/>
          </w:tcPr>
          <w:p w:rsidR="00DD2B20" w:rsidRPr="0071782F" w:rsidRDefault="00DD2B20" w:rsidP="009D7118">
            <w:pPr>
              <w:suppressAutoHyphens w:val="0"/>
              <w:spacing w:before="40" w:after="40" w:line="220" w:lineRule="exact"/>
              <w:rPr>
                <w:sz w:val="18"/>
                <w:lang w:val="fr-CH"/>
              </w:rPr>
            </w:pPr>
            <w:r w:rsidRPr="0071782F">
              <w:rPr>
                <w:sz w:val="18"/>
                <w:lang w:val="fr-CH"/>
              </w:rPr>
              <w:t>N</w:t>
            </w:r>
            <w:r w:rsidR="003B48A4" w:rsidRPr="0071782F">
              <w:rPr>
                <w:sz w:val="18"/>
                <w:lang w:val="fr-CH"/>
              </w:rPr>
              <w:t xml:space="preserve">ombre </w:t>
            </w:r>
            <w:r w:rsidR="00D82C96" w:rsidRPr="0071782F">
              <w:rPr>
                <w:sz w:val="18"/>
                <w:lang w:val="fr-CH"/>
              </w:rPr>
              <w:t>de personnes</w:t>
            </w:r>
            <w:r w:rsidR="003B48A4" w:rsidRPr="0071782F">
              <w:rPr>
                <w:sz w:val="18"/>
                <w:lang w:val="fr-CH"/>
              </w:rPr>
              <w:t xml:space="preserve"> assurées par l’Organisme de sécurité sociale, y compris </w:t>
            </w:r>
            <w:r w:rsidR="00A233C2" w:rsidRPr="0071782F">
              <w:rPr>
                <w:sz w:val="18"/>
                <w:lang w:val="fr-CH"/>
              </w:rPr>
              <w:t>les personnes</w:t>
            </w:r>
            <w:r w:rsidR="003B48A4" w:rsidRPr="0071782F">
              <w:rPr>
                <w:sz w:val="18"/>
                <w:lang w:val="fr-CH"/>
              </w:rPr>
              <w:t xml:space="preserve"> à leur charge</w:t>
            </w:r>
            <w:r w:rsidR="00D36718">
              <w:rPr>
                <w:sz w:val="18"/>
                <w:lang w:val="fr-CH"/>
              </w:rPr>
              <w:t xml:space="preserve"> </w:t>
            </w:r>
          </w:p>
        </w:tc>
        <w:tc>
          <w:tcPr>
            <w:tcW w:w="1560" w:type="dxa"/>
            <w:tcBorders>
              <w:top w:val="single" w:sz="12" w:space="0" w:color="auto"/>
              <w:bottom w:val="nil"/>
            </w:tcBorders>
            <w:shd w:val="clear" w:color="auto" w:fill="auto"/>
            <w:vAlign w:val="bottom"/>
          </w:tcPr>
          <w:p w:rsidR="00DD2B20" w:rsidRPr="0071782F" w:rsidRDefault="00DD2B20" w:rsidP="009D7118">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tcBorders>
              <w:top w:val="single" w:sz="12" w:space="0" w:color="auto"/>
              <w:bottom w:val="nil"/>
            </w:tcBorders>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36 979</w:t>
            </w:r>
          </w:p>
        </w:tc>
        <w:tc>
          <w:tcPr>
            <w:tcW w:w="1701" w:type="dxa"/>
            <w:tcBorders>
              <w:top w:val="single" w:sz="12" w:space="0" w:color="auto"/>
              <w:bottom w:val="nil"/>
            </w:tcBorders>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14</w:t>
            </w:r>
            <w:r w:rsidR="002B39FA">
              <w:rPr>
                <w:sz w:val="18"/>
                <w:lang w:val="fr-CH"/>
              </w:rPr>
              <w:t>,</w:t>
            </w:r>
            <w:r w:rsidRPr="0071782F">
              <w:rPr>
                <w:sz w:val="18"/>
                <w:lang w:val="fr-CH"/>
              </w:rPr>
              <w:t>1</w:t>
            </w:r>
          </w:p>
        </w:tc>
      </w:tr>
      <w:tr w:rsidR="00DD2B20" w:rsidRPr="0071782F">
        <w:tc>
          <w:tcPr>
            <w:tcW w:w="4536" w:type="dxa"/>
            <w:tcBorders>
              <w:top w:val="nil"/>
            </w:tcBorders>
            <w:shd w:val="clear" w:color="auto" w:fill="auto"/>
          </w:tcPr>
          <w:p w:rsidR="00DD2B20" w:rsidRPr="0071782F" w:rsidRDefault="00DD2B20" w:rsidP="009D7118">
            <w:pPr>
              <w:suppressAutoHyphens w:val="0"/>
              <w:spacing w:before="40" w:after="40" w:line="220" w:lineRule="exact"/>
              <w:rPr>
                <w:sz w:val="18"/>
                <w:lang w:val="fr-CH"/>
              </w:rPr>
            </w:pPr>
            <w:r w:rsidRPr="0071782F">
              <w:rPr>
                <w:sz w:val="18"/>
                <w:lang w:val="fr-CH"/>
              </w:rPr>
              <w:t>N</w:t>
            </w:r>
            <w:r w:rsidR="003B48A4" w:rsidRPr="0071782F">
              <w:rPr>
                <w:sz w:val="18"/>
                <w:lang w:val="fr-CH"/>
              </w:rPr>
              <w:t>ombre de fonctionnaires assurés par l’Organisme de sécurité sociale</w:t>
            </w:r>
          </w:p>
        </w:tc>
        <w:tc>
          <w:tcPr>
            <w:tcW w:w="1560" w:type="dxa"/>
            <w:tcBorders>
              <w:top w:val="nil"/>
            </w:tcBorders>
            <w:shd w:val="clear" w:color="auto" w:fill="auto"/>
            <w:vAlign w:val="bottom"/>
          </w:tcPr>
          <w:p w:rsidR="00DD2B20" w:rsidRPr="0071782F" w:rsidRDefault="00DD2B20" w:rsidP="009D7118">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tcBorders>
              <w:top w:val="nil"/>
            </w:tcBorders>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7 182</w:t>
            </w:r>
          </w:p>
        </w:tc>
        <w:tc>
          <w:tcPr>
            <w:tcW w:w="1701" w:type="dxa"/>
            <w:tcBorders>
              <w:top w:val="nil"/>
            </w:tcBorders>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4</w:t>
            </w:r>
            <w:r w:rsidR="002B39FA">
              <w:rPr>
                <w:sz w:val="18"/>
                <w:lang w:val="fr-CH"/>
              </w:rPr>
              <w:t>,</w:t>
            </w:r>
            <w:r w:rsidRPr="0071782F">
              <w:rPr>
                <w:sz w:val="18"/>
                <w:lang w:val="fr-CH"/>
              </w:rPr>
              <w:t>0</w:t>
            </w:r>
          </w:p>
        </w:tc>
      </w:tr>
      <w:tr w:rsidR="00DD2B20" w:rsidRPr="0071782F">
        <w:tc>
          <w:tcPr>
            <w:tcW w:w="4536" w:type="dxa"/>
            <w:shd w:val="clear" w:color="auto" w:fill="auto"/>
          </w:tcPr>
          <w:p w:rsidR="00DD2B20" w:rsidRPr="0071782F" w:rsidRDefault="00DD2B20" w:rsidP="009D7118">
            <w:pPr>
              <w:suppressAutoHyphens w:val="0"/>
              <w:spacing w:before="40" w:after="40" w:line="220" w:lineRule="exact"/>
              <w:rPr>
                <w:sz w:val="18"/>
                <w:lang w:val="fr-CH"/>
              </w:rPr>
            </w:pPr>
            <w:r w:rsidRPr="0071782F">
              <w:rPr>
                <w:sz w:val="18"/>
                <w:lang w:val="fr-CH"/>
              </w:rPr>
              <w:t>N</w:t>
            </w:r>
            <w:r w:rsidR="003B48A4" w:rsidRPr="0071782F">
              <w:rPr>
                <w:sz w:val="18"/>
                <w:lang w:val="fr-CH"/>
              </w:rPr>
              <w:t>ombre de villageois assurés par l’Organisme de sécurité sociale</w:t>
            </w:r>
          </w:p>
        </w:tc>
        <w:tc>
          <w:tcPr>
            <w:tcW w:w="1560" w:type="dxa"/>
            <w:shd w:val="clear" w:color="auto" w:fill="auto"/>
            <w:vAlign w:val="bottom"/>
          </w:tcPr>
          <w:p w:rsidR="00DD2B20" w:rsidRPr="0071782F" w:rsidRDefault="00DD2B20" w:rsidP="009D7118">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20 166</w:t>
            </w:r>
          </w:p>
        </w:tc>
        <w:tc>
          <w:tcPr>
            <w:tcW w:w="1701" w:type="dxa"/>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24</w:t>
            </w:r>
            <w:r w:rsidR="002B39FA">
              <w:rPr>
                <w:sz w:val="18"/>
                <w:lang w:val="fr-CH"/>
              </w:rPr>
              <w:t>,</w:t>
            </w:r>
            <w:r w:rsidRPr="0071782F">
              <w:rPr>
                <w:sz w:val="18"/>
                <w:lang w:val="fr-CH"/>
              </w:rPr>
              <w:t>7</w:t>
            </w:r>
          </w:p>
        </w:tc>
      </w:tr>
    </w:tbl>
    <w:p w:rsidR="00DD2B20" w:rsidRPr="0071782F" w:rsidRDefault="00DD2B20" w:rsidP="00C066BB">
      <w:pPr>
        <w:pStyle w:val="H23G"/>
        <w:rPr>
          <w:lang w:val="fr-CH"/>
        </w:rPr>
      </w:pPr>
      <w:r w:rsidRPr="0071782F">
        <w:rPr>
          <w:lang w:val="fr-CH"/>
        </w:rPr>
        <w:tab/>
      </w:r>
      <w:r w:rsidRPr="0071782F">
        <w:rPr>
          <w:lang w:val="fr-CH"/>
        </w:rPr>
        <w:tab/>
      </w:r>
      <w:r w:rsidR="003B48A4" w:rsidRPr="0071782F">
        <w:rPr>
          <w:lang w:val="fr-CH"/>
        </w:rPr>
        <w:t xml:space="preserve">Indicateurs de la protection sociale </w:t>
      </w:r>
      <w:r w:rsidRPr="0071782F">
        <w:rPr>
          <w:lang w:val="fr-CH"/>
        </w:rPr>
        <w:t>– 2008</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820"/>
        <w:gridCol w:w="1276"/>
        <w:gridCol w:w="708"/>
        <w:gridCol w:w="1701"/>
      </w:tblGrid>
      <w:tr w:rsidR="00DD2B20" w:rsidRPr="0071782F">
        <w:trPr>
          <w:tblHeader/>
        </w:trPr>
        <w:tc>
          <w:tcPr>
            <w:tcW w:w="4820" w:type="dxa"/>
            <w:tcBorders>
              <w:top w:val="single" w:sz="4" w:space="0" w:color="auto"/>
              <w:bottom w:val="single" w:sz="12" w:space="0" w:color="auto"/>
            </w:tcBorders>
            <w:shd w:val="clear" w:color="auto" w:fill="auto"/>
            <w:vAlign w:val="bottom"/>
          </w:tcPr>
          <w:p w:rsidR="00DD2B20" w:rsidRPr="0071782F" w:rsidRDefault="00DD2B20" w:rsidP="00C066BB">
            <w:pPr>
              <w:keepNext/>
              <w:suppressAutoHyphens w:val="0"/>
              <w:spacing w:before="80" w:after="80" w:line="200" w:lineRule="exact"/>
              <w:rPr>
                <w:i/>
                <w:sz w:val="16"/>
                <w:lang w:val="fr-CH"/>
              </w:rPr>
            </w:pPr>
            <w:r w:rsidRPr="0071782F">
              <w:rPr>
                <w:i/>
                <w:sz w:val="16"/>
                <w:lang w:val="fr-CH"/>
              </w:rPr>
              <w:t>Indicat</w:t>
            </w:r>
            <w:r w:rsidR="003B48A4" w:rsidRPr="0071782F">
              <w:rPr>
                <w:i/>
                <w:sz w:val="16"/>
                <w:lang w:val="fr-CH"/>
              </w:rPr>
              <w:t>eu</w:t>
            </w:r>
            <w:r w:rsidRPr="0071782F">
              <w:rPr>
                <w:i/>
                <w:sz w:val="16"/>
                <w:lang w:val="fr-CH"/>
              </w:rPr>
              <w:t>r</w:t>
            </w:r>
          </w:p>
        </w:tc>
        <w:tc>
          <w:tcPr>
            <w:tcW w:w="1276" w:type="dxa"/>
            <w:tcBorders>
              <w:top w:val="single" w:sz="4" w:space="0" w:color="auto"/>
              <w:bottom w:val="single" w:sz="12" w:space="0" w:color="auto"/>
            </w:tcBorders>
            <w:shd w:val="clear" w:color="auto" w:fill="auto"/>
            <w:vAlign w:val="bottom"/>
          </w:tcPr>
          <w:p w:rsidR="00DD2B20" w:rsidRPr="0071782F" w:rsidRDefault="00DD2B20" w:rsidP="00C066BB">
            <w:pPr>
              <w:keepNext/>
              <w:suppressAutoHyphens w:val="0"/>
              <w:spacing w:before="80" w:after="80" w:line="200" w:lineRule="exact"/>
              <w:rPr>
                <w:i/>
                <w:sz w:val="16"/>
                <w:lang w:val="fr-CH"/>
              </w:rPr>
            </w:pPr>
            <w:r w:rsidRPr="0071782F">
              <w:rPr>
                <w:i/>
                <w:sz w:val="16"/>
                <w:lang w:val="fr-CH"/>
              </w:rPr>
              <w:t>Unit</w:t>
            </w:r>
            <w:r w:rsidR="003B48A4" w:rsidRPr="0071782F">
              <w:rPr>
                <w:i/>
                <w:sz w:val="16"/>
                <w:lang w:val="fr-CH"/>
              </w:rPr>
              <w:t>é</w:t>
            </w:r>
          </w:p>
        </w:tc>
        <w:tc>
          <w:tcPr>
            <w:tcW w:w="708" w:type="dxa"/>
            <w:tcBorders>
              <w:top w:val="single" w:sz="4" w:space="0" w:color="auto"/>
              <w:bottom w:val="single" w:sz="12" w:space="0" w:color="auto"/>
            </w:tcBorders>
            <w:shd w:val="clear" w:color="auto" w:fill="auto"/>
            <w:vAlign w:val="bottom"/>
          </w:tcPr>
          <w:p w:rsidR="00DD2B20" w:rsidRPr="0071782F" w:rsidRDefault="00DD2B20" w:rsidP="00C066BB">
            <w:pPr>
              <w:keepNext/>
              <w:suppressAutoHyphens w:val="0"/>
              <w:spacing w:before="80" w:after="80" w:line="200" w:lineRule="exact"/>
              <w:jc w:val="right"/>
              <w:rPr>
                <w:i/>
                <w:sz w:val="16"/>
                <w:lang w:val="fr-CH"/>
              </w:rPr>
            </w:pPr>
            <w:r w:rsidRPr="0071782F">
              <w:rPr>
                <w:i/>
                <w:sz w:val="16"/>
                <w:lang w:val="fr-CH"/>
              </w:rPr>
              <w:t>N</w:t>
            </w:r>
            <w:r w:rsidR="003B48A4" w:rsidRPr="0071782F">
              <w:rPr>
                <w:i/>
                <w:sz w:val="16"/>
                <w:lang w:val="fr-CH"/>
              </w:rPr>
              <w:t>o</w:t>
            </w:r>
            <w:r w:rsidRPr="0071782F">
              <w:rPr>
                <w:i/>
                <w:sz w:val="16"/>
                <w:lang w:val="fr-CH"/>
              </w:rPr>
              <w:t>mb</w:t>
            </w:r>
            <w:r w:rsidR="003B48A4" w:rsidRPr="0071782F">
              <w:rPr>
                <w:i/>
                <w:sz w:val="16"/>
                <w:lang w:val="fr-CH"/>
              </w:rPr>
              <w:t>re</w:t>
            </w:r>
          </w:p>
        </w:tc>
        <w:tc>
          <w:tcPr>
            <w:tcW w:w="1701" w:type="dxa"/>
            <w:tcBorders>
              <w:top w:val="single" w:sz="4" w:space="0" w:color="auto"/>
              <w:bottom w:val="single" w:sz="12" w:space="0" w:color="auto"/>
            </w:tcBorders>
            <w:shd w:val="clear" w:color="auto" w:fill="auto"/>
            <w:vAlign w:val="bottom"/>
          </w:tcPr>
          <w:p w:rsidR="00DD2B20" w:rsidRPr="0071782F" w:rsidRDefault="003B48A4" w:rsidP="00C066BB">
            <w:pPr>
              <w:keepNext/>
              <w:suppressAutoHyphens w:val="0"/>
              <w:spacing w:before="80" w:after="80" w:line="200" w:lineRule="exact"/>
              <w:jc w:val="right"/>
              <w:rPr>
                <w:i/>
                <w:sz w:val="16"/>
                <w:lang w:val="fr-CH"/>
              </w:rPr>
            </w:pPr>
            <w:r w:rsidRPr="0071782F">
              <w:rPr>
                <w:i/>
                <w:sz w:val="16"/>
                <w:lang w:val="fr-CH"/>
              </w:rPr>
              <w:t xml:space="preserve">Variation en pourcentage </w:t>
            </w:r>
            <w:r w:rsidRPr="0071782F">
              <w:rPr>
                <w:i/>
                <w:sz w:val="16"/>
                <w:lang w:val="fr-CH"/>
              </w:rPr>
              <w:br/>
              <w:t xml:space="preserve">(par rapport à </w:t>
            </w:r>
            <w:r w:rsidR="00DD2B20" w:rsidRPr="0071782F">
              <w:rPr>
                <w:i/>
                <w:sz w:val="16"/>
                <w:lang w:val="fr-CH"/>
              </w:rPr>
              <w:t>2007)</w:t>
            </w:r>
          </w:p>
        </w:tc>
      </w:tr>
      <w:tr w:rsidR="00DD2B20" w:rsidRPr="0071782F">
        <w:tc>
          <w:tcPr>
            <w:tcW w:w="4820" w:type="dxa"/>
            <w:tcBorders>
              <w:top w:val="single" w:sz="12" w:space="0" w:color="auto"/>
              <w:bottom w:val="nil"/>
            </w:tcBorders>
            <w:shd w:val="clear" w:color="auto" w:fill="auto"/>
          </w:tcPr>
          <w:p w:rsidR="00DD2B20" w:rsidRPr="0071782F" w:rsidRDefault="00DD2B20" w:rsidP="00C066BB">
            <w:pPr>
              <w:keepNext/>
              <w:suppressAutoHyphens w:val="0"/>
              <w:spacing w:before="40" w:after="40" w:line="220" w:lineRule="exact"/>
              <w:rPr>
                <w:sz w:val="18"/>
                <w:lang w:val="fr-CH"/>
              </w:rPr>
            </w:pPr>
            <w:r w:rsidRPr="0071782F">
              <w:rPr>
                <w:sz w:val="18"/>
                <w:lang w:val="fr-CH"/>
              </w:rPr>
              <w:t>N</w:t>
            </w:r>
            <w:r w:rsidR="003B48A4" w:rsidRPr="0071782F">
              <w:rPr>
                <w:sz w:val="18"/>
                <w:lang w:val="fr-CH"/>
              </w:rPr>
              <w:t>o</w:t>
            </w:r>
            <w:r w:rsidRPr="0071782F">
              <w:rPr>
                <w:sz w:val="18"/>
                <w:lang w:val="fr-CH"/>
              </w:rPr>
              <w:t>mb</w:t>
            </w:r>
            <w:r w:rsidR="00CF03DE" w:rsidRPr="0071782F">
              <w:rPr>
                <w:sz w:val="18"/>
                <w:lang w:val="fr-CH"/>
              </w:rPr>
              <w:t>re</w:t>
            </w:r>
            <w:r w:rsidRPr="0071782F">
              <w:rPr>
                <w:sz w:val="18"/>
                <w:lang w:val="fr-CH"/>
              </w:rPr>
              <w:t xml:space="preserve"> </w:t>
            </w:r>
            <w:r w:rsidR="0092511D" w:rsidRPr="0071782F">
              <w:rPr>
                <w:sz w:val="18"/>
                <w:lang w:val="fr-CH"/>
              </w:rPr>
              <w:t>de famille</w:t>
            </w:r>
            <w:r w:rsidR="003B48A4" w:rsidRPr="0071782F">
              <w:rPr>
                <w:sz w:val="18"/>
                <w:lang w:val="fr-CH"/>
              </w:rPr>
              <w:t xml:space="preserve">s touchant une pension couvertes par l’Organisme public de protection sociale </w:t>
            </w:r>
          </w:p>
        </w:tc>
        <w:tc>
          <w:tcPr>
            <w:tcW w:w="1276" w:type="dxa"/>
            <w:tcBorders>
              <w:top w:val="single" w:sz="12" w:space="0" w:color="auto"/>
              <w:bottom w:val="nil"/>
            </w:tcBorders>
            <w:shd w:val="clear" w:color="auto" w:fill="auto"/>
            <w:vAlign w:val="bottom"/>
          </w:tcPr>
          <w:p w:rsidR="00DD2B20" w:rsidRPr="0071782F" w:rsidRDefault="003B48A4" w:rsidP="00C066BB">
            <w:pPr>
              <w:keepNext/>
              <w:suppressAutoHyphens w:val="0"/>
              <w:spacing w:before="40" w:after="40" w:line="220" w:lineRule="exact"/>
              <w:rPr>
                <w:sz w:val="18"/>
                <w:lang w:val="fr-CH"/>
              </w:rPr>
            </w:pPr>
            <w:r w:rsidRPr="0071782F">
              <w:rPr>
                <w:sz w:val="18"/>
                <w:lang w:val="fr-CH"/>
              </w:rPr>
              <w:t xml:space="preserve">Ménage </w:t>
            </w:r>
          </w:p>
        </w:tc>
        <w:tc>
          <w:tcPr>
            <w:tcW w:w="708" w:type="dxa"/>
            <w:tcBorders>
              <w:top w:val="single" w:sz="12" w:space="0" w:color="auto"/>
              <w:bottom w:val="nil"/>
            </w:tcBorders>
            <w:shd w:val="clear" w:color="auto" w:fill="auto"/>
            <w:vAlign w:val="bottom"/>
          </w:tcPr>
          <w:p w:rsidR="00DD2B20" w:rsidRPr="0071782F" w:rsidRDefault="00DD2B20" w:rsidP="00C066BB">
            <w:pPr>
              <w:keepNext/>
              <w:suppressAutoHyphens w:val="0"/>
              <w:spacing w:before="40" w:after="40" w:line="220" w:lineRule="exact"/>
              <w:jc w:val="right"/>
              <w:rPr>
                <w:sz w:val="18"/>
                <w:lang w:val="fr-CH"/>
              </w:rPr>
            </w:pPr>
            <w:r w:rsidRPr="0071782F">
              <w:rPr>
                <w:sz w:val="18"/>
                <w:lang w:val="fr-CH"/>
              </w:rPr>
              <w:t>173 548</w:t>
            </w:r>
          </w:p>
        </w:tc>
        <w:tc>
          <w:tcPr>
            <w:tcW w:w="1701" w:type="dxa"/>
            <w:tcBorders>
              <w:top w:val="single" w:sz="12" w:space="0" w:color="auto"/>
              <w:bottom w:val="nil"/>
            </w:tcBorders>
            <w:shd w:val="clear" w:color="auto" w:fill="auto"/>
            <w:vAlign w:val="bottom"/>
          </w:tcPr>
          <w:p w:rsidR="00DD2B20" w:rsidRPr="0071782F" w:rsidRDefault="00DD2B20" w:rsidP="00C066BB">
            <w:pPr>
              <w:keepNext/>
              <w:suppressAutoHyphens w:val="0"/>
              <w:spacing w:before="40" w:after="40" w:line="220" w:lineRule="exact"/>
              <w:jc w:val="right"/>
              <w:rPr>
                <w:sz w:val="18"/>
                <w:lang w:val="fr-CH"/>
              </w:rPr>
            </w:pPr>
            <w:r w:rsidRPr="0071782F">
              <w:rPr>
                <w:sz w:val="18"/>
                <w:lang w:val="fr-CH"/>
              </w:rPr>
              <w:t>24</w:t>
            </w:r>
            <w:r w:rsidR="009D7118" w:rsidRPr="0071782F">
              <w:rPr>
                <w:sz w:val="18"/>
                <w:lang w:val="fr-CH"/>
              </w:rPr>
              <w:t>,</w:t>
            </w:r>
            <w:r w:rsidRPr="0071782F">
              <w:rPr>
                <w:sz w:val="18"/>
                <w:lang w:val="fr-CH"/>
              </w:rPr>
              <w:t>2</w:t>
            </w:r>
          </w:p>
        </w:tc>
      </w:tr>
      <w:tr w:rsidR="00DD2B20" w:rsidRPr="0071782F">
        <w:tc>
          <w:tcPr>
            <w:tcW w:w="4820" w:type="dxa"/>
            <w:tcBorders>
              <w:top w:val="nil"/>
              <w:bottom w:val="nil"/>
            </w:tcBorders>
            <w:shd w:val="clear" w:color="auto" w:fill="auto"/>
          </w:tcPr>
          <w:p w:rsidR="00DD2B20" w:rsidRPr="0071782F" w:rsidRDefault="003B48A4" w:rsidP="00C066BB">
            <w:pPr>
              <w:keepNext/>
              <w:suppressAutoHyphens w:val="0"/>
              <w:spacing w:before="40" w:after="40" w:line="220" w:lineRule="exact"/>
              <w:rPr>
                <w:sz w:val="18"/>
                <w:lang w:val="fr-CH"/>
              </w:rPr>
            </w:pPr>
            <w:r w:rsidRPr="0071782F">
              <w:rPr>
                <w:sz w:val="18"/>
                <w:lang w:val="fr-CH"/>
              </w:rPr>
              <w:t>Nombre</w:t>
            </w:r>
            <w:r w:rsidR="00DD2B20" w:rsidRPr="0071782F">
              <w:rPr>
                <w:sz w:val="18"/>
                <w:lang w:val="fr-CH"/>
              </w:rPr>
              <w:t xml:space="preserve"> </w:t>
            </w:r>
            <w:r w:rsidR="00D82C96" w:rsidRPr="0071782F">
              <w:rPr>
                <w:sz w:val="18"/>
                <w:lang w:val="fr-CH"/>
              </w:rPr>
              <w:t>de personnes</w:t>
            </w:r>
            <w:r w:rsidRPr="0071782F">
              <w:rPr>
                <w:sz w:val="18"/>
                <w:lang w:val="fr-CH"/>
              </w:rPr>
              <w:t xml:space="preserve"> touchant une pension dans </w:t>
            </w:r>
            <w:r w:rsidR="00DA097D" w:rsidRPr="0071782F">
              <w:rPr>
                <w:sz w:val="18"/>
                <w:lang w:val="fr-CH"/>
              </w:rPr>
              <w:t>les familles</w:t>
            </w:r>
            <w:r w:rsidRPr="0071782F">
              <w:rPr>
                <w:sz w:val="18"/>
                <w:lang w:val="fr-CH"/>
              </w:rPr>
              <w:t xml:space="preserve"> couvertes par l’Organisme public de protection sociale</w:t>
            </w:r>
          </w:p>
        </w:tc>
        <w:tc>
          <w:tcPr>
            <w:tcW w:w="1276" w:type="dxa"/>
            <w:tcBorders>
              <w:top w:val="nil"/>
              <w:bottom w:val="nil"/>
            </w:tcBorders>
            <w:shd w:val="clear" w:color="auto" w:fill="auto"/>
            <w:vAlign w:val="bottom"/>
          </w:tcPr>
          <w:p w:rsidR="00DD2B20" w:rsidRPr="0071782F" w:rsidRDefault="00DD2B20" w:rsidP="00C066BB">
            <w:pPr>
              <w:keepNext/>
              <w:suppressAutoHyphens w:val="0"/>
              <w:spacing w:before="40" w:after="40" w:line="220" w:lineRule="exact"/>
              <w:rPr>
                <w:sz w:val="18"/>
                <w:lang w:val="fr-CH"/>
              </w:rPr>
            </w:pPr>
            <w:r w:rsidRPr="0071782F">
              <w:rPr>
                <w:sz w:val="18"/>
                <w:lang w:val="fr-CH"/>
              </w:rPr>
              <w:t>Person</w:t>
            </w:r>
            <w:r w:rsidR="003B48A4" w:rsidRPr="0071782F">
              <w:rPr>
                <w:sz w:val="18"/>
                <w:lang w:val="fr-CH"/>
              </w:rPr>
              <w:t>ne</w:t>
            </w:r>
          </w:p>
        </w:tc>
        <w:tc>
          <w:tcPr>
            <w:tcW w:w="708" w:type="dxa"/>
            <w:tcBorders>
              <w:top w:val="nil"/>
              <w:bottom w:val="nil"/>
            </w:tcBorders>
            <w:shd w:val="clear" w:color="auto" w:fill="auto"/>
            <w:vAlign w:val="bottom"/>
          </w:tcPr>
          <w:p w:rsidR="00DD2B20" w:rsidRPr="0071782F" w:rsidRDefault="00DD2B20" w:rsidP="00C066BB">
            <w:pPr>
              <w:keepNext/>
              <w:suppressAutoHyphens w:val="0"/>
              <w:spacing w:before="40" w:after="40" w:line="220" w:lineRule="exact"/>
              <w:jc w:val="right"/>
              <w:rPr>
                <w:sz w:val="18"/>
                <w:lang w:val="fr-CH"/>
              </w:rPr>
            </w:pPr>
            <w:r w:rsidRPr="0071782F">
              <w:rPr>
                <w:sz w:val="18"/>
                <w:lang w:val="fr-CH"/>
              </w:rPr>
              <w:t>490 000</w:t>
            </w:r>
          </w:p>
        </w:tc>
        <w:tc>
          <w:tcPr>
            <w:tcW w:w="1701" w:type="dxa"/>
            <w:tcBorders>
              <w:top w:val="nil"/>
              <w:bottom w:val="nil"/>
            </w:tcBorders>
            <w:shd w:val="clear" w:color="auto" w:fill="auto"/>
            <w:vAlign w:val="bottom"/>
          </w:tcPr>
          <w:p w:rsidR="00DD2B20" w:rsidRPr="0071782F" w:rsidRDefault="00DD2B20" w:rsidP="00C066BB">
            <w:pPr>
              <w:keepNext/>
              <w:suppressAutoHyphens w:val="0"/>
              <w:spacing w:before="40" w:after="40" w:line="220" w:lineRule="exact"/>
              <w:jc w:val="right"/>
              <w:rPr>
                <w:sz w:val="18"/>
                <w:lang w:val="fr-CH"/>
              </w:rPr>
            </w:pPr>
            <w:r w:rsidRPr="0071782F">
              <w:rPr>
                <w:sz w:val="18"/>
                <w:lang w:val="fr-CH"/>
              </w:rPr>
              <w:t>38</w:t>
            </w:r>
            <w:r w:rsidR="009D7118" w:rsidRPr="0071782F">
              <w:rPr>
                <w:sz w:val="18"/>
                <w:lang w:val="fr-CH"/>
              </w:rPr>
              <w:t>,</w:t>
            </w:r>
            <w:r w:rsidRPr="0071782F">
              <w:rPr>
                <w:sz w:val="18"/>
                <w:lang w:val="fr-CH"/>
              </w:rPr>
              <w:t>3</w:t>
            </w:r>
          </w:p>
        </w:tc>
      </w:tr>
      <w:tr w:rsidR="00DD2B20" w:rsidRPr="0071782F">
        <w:tc>
          <w:tcPr>
            <w:tcW w:w="4820" w:type="dxa"/>
            <w:tcBorders>
              <w:top w:val="nil"/>
              <w:bottom w:val="nil"/>
            </w:tcBorders>
            <w:shd w:val="clear" w:color="auto" w:fill="auto"/>
          </w:tcPr>
          <w:p w:rsidR="00DD2B20" w:rsidRPr="0071782F" w:rsidRDefault="003B48A4" w:rsidP="00404BEB">
            <w:pPr>
              <w:suppressAutoHyphens w:val="0"/>
              <w:spacing w:before="40" w:after="40" w:line="220" w:lineRule="exact"/>
              <w:rPr>
                <w:sz w:val="18"/>
                <w:lang w:val="fr-CH"/>
              </w:rPr>
            </w:pPr>
            <w:r w:rsidRPr="0071782F">
              <w:rPr>
                <w:sz w:val="18"/>
                <w:lang w:val="fr-CH"/>
              </w:rPr>
              <w:t>Nombre</w:t>
            </w:r>
            <w:r w:rsidR="00DD2B20" w:rsidRPr="0071782F">
              <w:rPr>
                <w:sz w:val="18"/>
                <w:lang w:val="fr-CH"/>
              </w:rPr>
              <w:t xml:space="preserve"> </w:t>
            </w:r>
            <w:r w:rsidRPr="0071782F">
              <w:rPr>
                <w:sz w:val="18"/>
                <w:lang w:val="fr-CH"/>
              </w:rPr>
              <w:t>de toxicomanes couverts par l’Organisme public de protection sociale</w:t>
            </w:r>
          </w:p>
        </w:tc>
        <w:tc>
          <w:tcPr>
            <w:tcW w:w="1276" w:type="dxa"/>
            <w:tcBorders>
              <w:top w:val="nil"/>
              <w:bottom w:val="nil"/>
            </w:tcBorders>
            <w:shd w:val="clear" w:color="auto" w:fill="auto"/>
            <w:vAlign w:val="bottom"/>
          </w:tcPr>
          <w:p w:rsidR="00DD2B20" w:rsidRPr="0071782F" w:rsidRDefault="00DD2B20" w:rsidP="00404BEB">
            <w:pPr>
              <w:suppressAutoHyphens w:val="0"/>
              <w:spacing w:before="40" w:after="40" w:line="220" w:lineRule="exact"/>
              <w:rPr>
                <w:sz w:val="18"/>
                <w:lang w:val="fr-CH"/>
              </w:rPr>
            </w:pPr>
            <w:r w:rsidRPr="0071782F">
              <w:rPr>
                <w:sz w:val="18"/>
                <w:lang w:val="fr-CH"/>
              </w:rPr>
              <w:t>Person</w:t>
            </w:r>
            <w:r w:rsidR="003B48A4" w:rsidRPr="0071782F">
              <w:rPr>
                <w:sz w:val="18"/>
                <w:lang w:val="fr-CH"/>
              </w:rPr>
              <w:t>ne</w:t>
            </w:r>
          </w:p>
        </w:tc>
        <w:tc>
          <w:tcPr>
            <w:tcW w:w="708" w:type="dxa"/>
            <w:tcBorders>
              <w:top w:val="nil"/>
              <w:bottom w:val="nil"/>
            </w:tcBorders>
            <w:shd w:val="clear" w:color="auto" w:fill="auto"/>
            <w:vAlign w:val="bottom"/>
          </w:tcPr>
          <w:p w:rsidR="00DD2B20" w:rsidRPr="0071782F" w:rsidRDefault="00DD2B20" w:rsidP="00404BEB">
            <w:pPr>
              <w:suppressAutoHyphens w:val="0"/>
              <w:spacing w:before="40" w:after="40" w:line="220" w:lineRule="exact"/>
              <w:jc w:val="right"/>
              <w:rPr>
                <w:sz w:val="18"/>
                <w:lang w:val="fr-CH"/>
              </w:rPr>
            </w:pPr>
            <w:r w:rsidRPr="0071782F">
              <w:rPr>
                <w:sz w:val="18"/>
                <w:lang w:val="fr-CH"/>
              </w:rPr>
              <w:t>340 587</w:t>
            </w:r>
          </w:p>
        </w:tc>
        <w:tc>
          <w:tcPr>
            <w:tcW w:w="1701" w:type="dxa"/>
            <w:tcBorders>
              <w:top w:val="nil"/>
              <w:bottom w:val="nil"/>
            </w:tcBorders>
            <w:shd w:val="clear" w:color="auto" w:fill="auto"/>
            <w:vAlign w:val="bottom"/>
          </w:tcPr>
          <w:p w:rsidR="00DD2B20" w:rsidRPr="0071782F" w:rsidRDefault="00DD2B20" w:rsidP="00404BEB">
            <w:pPr>
              <w:suppressAutoHyphens w:val="0"/>
              <w:spacing w:before="40" w:after="40" w:line="220" w:lineRule="exact"/>
              <w:jc w:val="right"/>
              <w:rPr>
                <w:sz w:val="18"/>
                <w:lang w:val="fr-CH"/>
              </w:rPr>
            </w:pPr>
            <w:r w:rsidRPr="0071782F">
              <w:rPr>
                <w:sz w:val="18"/>
                <w:lang w:val="fr-CH"/>
              </w:rPr>
              <w:t>52</w:t>
            </w:r>
            <w:r w:rsidR="009D7118" w:rsidRPr="0071782F">
              <w:rPr>
                <w:sz w:val="18"/>
                <w:lang w:val="fr-CH"/>
              </w:rPr>
              <w:t>,</w:t>
            </w:r>
            <w:r w:rsidRPr="0071782F">
              <w:rPr>
                <w:sz w:val="18"/>
                <w:lang w:val="fr-CH"/>
              </w:rPr>
              <w:t>0</w:t>
            </w:r>
          </w:p>
        </w:tc>
      </w:tr>
      <w:tr w:rsidR="00DD2B20" w:rsidRPr="0071782F">
        <w:tc>
          <w:tcPr>
            <w:tcW w:w="4820" w:type="dxa"/>
            <w:tcBorders>
              <w:top w:val="nil"/>
              <w:bottom w:val="nil"/>
            </w:tcBorders>
            <w:shd w:val="clear" w:color="auto" w:fill="auto"/>
          </w:tcPr>
          <w:p w:rsidR="00DD2B20" w:rsidRPr="0071782F" w:rsidRDefault="003B48A4" w:rsidP="00404BEB">
            <w:pPr>
              <w:suppressAutoHyphens w:val="0"/>
              <w:spacing w:before="40" w:after="40" w:line="220" w:lineRule="exact"/>
              <w:rPr>
                <w:sz w:val="18"/>
                <w:lang w:val="fr-CH"/>
              </w:rPr>
            </w:pPr>
            <w:r w:rsidRPr="0071782F">
              <w:rPr>
                <w:sz w:val="18"/>
                <w:lang w:val="fr-CH"/>
              </w:rPr>
              <w:t>Nombre</w:t>
            </w:r>
            <w:r w:rsidR="00DD2B20" w:rsidRPr="0071782F">
              <w:rPr>
                <w:sz w:val="18"/>
                <w:lang w:val="fr-CH"/>
              </w:rPr>
              <w:t xml:space="preserve"> </w:t>
            </w:r>
            <w:r w:rsidR="00D82C96" w:rsidRPr="0071782F">
              <w:rPr>
                <w:sz w:val="18"/>
                <w:lang w:val="fr-CH"/>
              </w:rPr>
              <w:t>de personnes</w:t>
            </w:r>
            <w:r w:rsidRPr="0071782F">
              <w:rPr>
                <w:sz w:val="18"/>
                <w:lang w:val="fr-CH"/>
              </w:rPr>
              <w:t xml:space="preserve"> handicapées couvertes par l’Organisme public de protection sociale</w:t>
            </w:r>
          </w:p>
        </w:tc>
        <w:tc>
          <w:tcPr>
            <w:tcW w:w="1276" w:type="dxa"/>
            <w:tcBorders>
              <w:top w:val="nil"/>
              <w:bottom w:val="nil"/>
            </w:tcBorders>
            <w:shd w:val="clear" w:color="auto" w:fill="auto"/>
            <w:vAlign w:val="bottom"/>
          </w:tcPr>
          <w:p w:rsidR="00DD2B20" w:rsidRPr="0071782F" w:rsidRDefault="00DD2B20" w:rsidP="00404BEB">
            <w:pPr>
              <w:suppressAutoHyphens w:val="0"/>
              <w:spacing w:before="40" w:after="40" w:line="220" w:lineRule="exact"/>
              <w:rPr>
                <w:sz w:val="18"/>
                <w:lang w:val="fr-CH"/>
              </w:rPr>
            </w:pPr>
            <w:r w:rsidRPr="0071782F">
              <w:rPr>
                <w:sz w:val="18"/>
                <w:lang w:val="fr-CH"/>
              </w:rPr>
              <w:t>Person</w:t>
            </w:r>
            <w:r w:rsidR="003B48A4" w:rsidRPr="0071782F">
              <w:rPr>
                <w:sz w:val="18"/>
                <w:lang w:val="fr-CH"/>
              </w:rPr>
              <w:t>ne</w:t>
            </w:r>
          </w:p>
        </w:tc>
        <w:tc>
          <w:tcPr>
            <w:tcW w:w="708" w:type="dxa"/>
            <w:tcBorders>
              <w:top w:val="nil"/>
              <w:bottom w:val="nil"/>
            </w:tcBorders>
            <w:shd w:val="clear" w:color="auto" w:fill="auto"/>
            <w:vAlign w:val="bottom"/>
          </w:tcPr>
          <w:p w:rsidR="00DD2B20" w:rsidRPr="0071782F" w:rsidRDefault="00DD2B20" w:rsidP="00404BEB">
            <w:pPr>
              <w:suppressAutoHyphens w:val="0"/>
              <w:spacing w:before="40" w:after="40" w:line="220" w:lineRule="exact"/>
              <w:jc w:val="right"/>
              <w:rPr>
                <w:sz w:val="18"/>
                <w:lang w:val="fr-CH"/>
              </w:rPr>
            </w:pPr>
            <w:r w:rsidRPr="0071782F">
              <w:rPr>
                <w:sz w:val="18"/>
                <w:lang w:val="fr-CH"/>
              </w:rPr>
              <w:t>669 126</w:t>
            </w:r>
          </w:p>
        </w:tc>
        <w:tc>
          <w:tcPr>
            <w:tcW w:w="1701" w:type="dxa"/>
            <w:tcBorders>
              <w:top w:val="nil"/>
              <w:bottom w:val="nil"/>
            </w:tcBorders>
            <w:shd w:val="clear" w:color="auto" w:fill="auto"/>
            <w:vAlign w:val="bottom"/>
          </w:tcPr>
          <w:p w:rsidR="00DD2B20" w:rsidRPr="0071782F" w:rsidRDefault="00DD2B20" w:rsidP="00404BEB">
            <w:pPr>
              <w:suppressAutoHyphens w:val="0"/>
              <w:spacing w:before="40" w:after="40" w:line="220" w:lineRule="exact"/>
              <w:jc w:val="right"/>
              <w:rPr>
                <w:sz w:val="18"/>
                <w:lang w:val="fr-CH"/>
              </w:rPr>
            </w:pPr>
            <w:r w:rsidRPr="0071782F">
              <w:rPr>
                <w:sz w:val="18"/>
                <w:lang w:val="fr-CH"/>
              </w:rPr>
              <w:t>46</w:t>
            </w:r>
            <w:r w:rsidR="009D7118" w:rsidRPr="0071782F">
              <w:rPr>
                <w:sz w:val="18"/>
                <w:lang w:val="fr-CH"/>
              </w:rPr>
              <w:t>,</w:t>
            </w:r>
            <w:r w:rsidRPr="0071782F">
              <w:rPr>
                <w:sz w:val="18"/>
                <w:lang w:val="fr-CH"/>
              </w:rPr>
              <w:t>1</w:t>
            </w:r>
          </w:p>
        </w:tc>
      </w:tr>
      <w:tr w:rsidR="00DD2B20" w:rsidRPr="0071782F">
        <w:tc>
          <w:tcPr>
            <w:tcW w:w="4820" w:type="dxa"/>
            <w:tcBorders>
              <w:top w:val="nil"/>
              <w:bottom w:val="nil"/>
            </w:tcBorders>
            <w:shd w:val="clear" w:color="auto" w:fill="auto"/>
          </w:tcPr>
          <w:p w:rsidR="00DD2B20" w:rsidRPr="0071782F" w:rsidRDefault="003B48A4" w:rsidP="00404BEB">
            <w:pPr>
              <w:suppressAutoHyphens w:val="0"/>
              <w:spacing w:before="40" w:after="40" w:line="220" w:lineRule="exact"/>
              <w:rPr>
                <w:sz w:val="18"/>
                <w:lang w:val="fr-CH"/>
              </w:rPr>
            </w:pPr>
            <w:r w:rsidRPr="0071782F">
              <w:rPr>
                <w:sz w:val="18"/>
                <w:lang w:val="fr-CH"/>
              </w:rPr>
              <w:t>Nombre</w:t>
            </w:r>
            <w:r w:rsidR="00DD2B20" w:rsidRPr="0071782F">
              <w:rPr>
                <w:sz w:val="18"/>
                <w:lang w:val="fr-CH"/>
              </w:rPr>
              <w:t xml:space="preserve"> </w:t>
            </w:r>
            <w:r w:rsidR="00D82C96" w:rsidRPr="0071782F">
              <w:rPr>
                <w:sz w:val="18"/>
                <w:lang w:val="fr-CH"/>
              </w:rPr>
              <w:t>de personnes</w:t>
            </w:r>
            <w:r w:rsidRPr="0071782F">
              <w:rPr>
                <w:sz w:val="18"/>
                <w:lang w:val="fr-CH"/>
              </w:rPr>
              <w:t xml:space="preserve"> âgées recevant des soins en établissement couvertes par l’Organisme public de protection sociale</w:t>
            </w:r>
          </w:p>
        </w:tc>
        <w:tc>
          <w:tcPr>
            <w:tcW w:w="1276" w:type="dxa"/>
            <w:tcBorders>
              <w:top w:val="nil"/>
              <w:bottom w:val="nil"/>
            </w:tcBorders>
            <w:shd w:val="clear" w:color="auto" w:fill="auto"/>
            <w:vAlign w:val="bottom"/>
          </w:tcPr>
          <w:p w:rsidR="00DD2B20" w:rsidRPr="0071782F" w:rsidRDefault="00DD2B20" w:rsidP="00404BEB">
            <w:pPr>
              <w:suppressAutoHyphens w:val="0"/>
              <w:spacing w:before="40" w:after="40" w:line="220" w:lineRule="exact"/>
              <w:rPr>
                <w:sz w:val="18"/>
                <w:lang w:val="fr-CH"/>
              </w:rPr>
            </w:pPr>
            <w:r w:rsidRPr="0071782F">
              <w:rPr>
                <w:sz w:val="18"/>
                <w:lang w:val="fr-CH"/>
              </w:rPr>
              <w:t>Person</w:t>
            </w:r>
            <w:r w:rsidR="003B48A4" w:rsidRPr="0071782F">
              <w:rPr>
                <w:sz w:val="18"/>
                <w:lang w:val="fr-CH"/>
              </w:rPr>
              <w:t>ne</w:t>
            </w:r>
          </w:p>
        </w:tc>
        <w:tc>
          <w:tcPr>
            <w:tcW w:w="708" w:type="dxa"/>
            <w:tcBorders>
              <w:top w:val="nil"/>
              <w:bottom w:val="nil"/>
            </w:tcBorders>
            <w:shd w:val="clear" w:color="auto" w:fill="auto"/>
            <w:vAlign w:val="bottom"/>
          </w:tcPr>
          <w:p w:rsidR="00DD2B20" w:rsidRPr="0071782F" w:rsidRDefault="00DD2B20" w:rsidP="00404BEB">
            <w:pPr>
              <w:suppressAutoHyphens w:val="0"/>
              <w:spacing w:before="40" w:after="40" w:line="220" w:lineRule="exact"/>
              <w:jc w:val="right"/>
              <w:rPr>
                <w:sz w:val="18"/>
                <w:lang w:val="fr-CH"/>
              </w:rPr>
            </w:pPr>
            <w:r w:rsidRPr="0071782F">
              <w:rPr>
                <w:sz w:val="18"/>
                <w:lang w:val="fr-CH"/>
              </w:rPr>
              <w:t>12 728</w:t>
            </w:r>
          </w:p>
        </w:tc>
        <w:tc>
          <w:tcPr>
            <w:tcW w:w="1701" w:type="dxa"/>
            <w:tcBorders>
              <w:top w:val="nil"/>
              <w:bottom w:val="nil"/>
            </w:tcBorders>
            <w:shd w:val="clear" w:color="auto" w:fill="auto"/>
            <w:vAlign w:val="bottom"/>
          </w:tcPr>
          <w:p w:rsidR="00DD2B20" w:rsidRPr="0071782F" w:rsidRDefault="00DD2B20" w:rsidP="00404BEB">
            <w:pPr>
              <w:suppressAutoHyphens w:val="0"/>
              <w:spacing w:before="40" w:after="40" w:line="220" w:lineRule="exact"/>
              <w:jc w:val="right"/>
              <w:rPr>
                <w:sz w:val="18"/>
                <w:lang w:val="fr-CH"/>
              </w:rPr>
            </w:pPr>
            <w:r w:rsidRPr="0071782F">
              <w:rPr>
                <w:sz w:val="18"/>
                <w:lang w:val="fr-CH"/>
              </w:rPr>
              <w:t>109</w:t>
            </w:r>
            <w:r w:rsidR="009D7118" w:rsidRPr="0071782F">
              <w:rPr>
                <w:sz w:val="18"/>
                <w:lang w:val="fr-CH"/>
              </w:rPr>
              <w:t>,</w:t>
            </w:r>
            <w:r w:rsidRPr="0071782F">
              <w:rPr>
                <w:sz w:val="18"/>
                <w:lang w:val="fr-CH"/>
              </w:rPr>
              <w:t>6</w:t>
            </w:r>
          </w:p>
        </w:tc>
      </w:tr>
      <w:tr w:rsidR="00DD2B20" w:rsidRPr="0071782F">
        <w:tc>
          <w:tcPr>
            <w:tcW w:w="4820" w:type="dxa"/>
            <w:tcBorders>
              <w:top w:val="nil"/>
            </w:tcBorders>
            <w:shd w:val="clear" w:color="auto" w:fill="auto"/>
          </w:tcPr>
          <w:p w:rsidR="00DD2B20" w:rsidRPr="0071782F" w:rsidRDefault="003B48A4" w:rsidP="00404BEB">
            <w:pPr>
              <w:suppressAutoHyphens w:val="0"/>
              <w:spacing w:before="40" w:after="40" w:line="220" w:lineRule="exact"/>
              <w:rPr>
                <w:sz w:val="18"/>
                <w:lang w:val="fr-CH"/>
              </w:rPr>
            </w:pPr>
            <w:r w:rsidRPr="0071782F">
              <w:rPr>
                <w:sz w:val="18"/>
                <w:lang w:val="fr-CH"/>
              </w:rPr>
              <w:t>Nombre</w:t>
            </w:r>
            <w:r w:rsidR="00DD2B20" w:rsidRPr="0071782F">
              <w:rPr>
                <w:sz w:val="18"/>
                <w:lang w:val="fr-CH"/>
              </w:rPr>
              <w:t xml:space="preserve"> </w:t>
            </w:r>
            <w:r w:rsidRPr="0071782F">
              <w:rPr>
                <w:sz w:val="18"/>
                <w:lang w:val="fr-CH"/>
              </w:rPr>
              <w:t>d’enfants sans tuteur recevant des soins en établissement couverts par l’Organisme public de protection sociale</w:t>
            </w:r>
          </w:p>
        </w:tc>
        <w:tc>
          <w:tcPr>
            <w:tcW w:w="1276" w:type="dxa"/>
            <w:tcBorders>
              <w:top w:val="nil"/>
            </w:tcBorders>
            <w:shd w:val="clear" w:color="auto" w:fill="auto"/>
            <w:vAlign w:val="bottom"/>
          </w:tcPr>
          <w:p w:rsidR="00DD2B20" w:rsidRPr="0071782F" w:rsidRDefault="00DD2B20" w:rsidP="00404BEB">
            <w:pPr>
              <w:suppressAutoHyphens w:val="0"/>
              <w:spacing w:before="40" w:after="40" w:line="220" w:lineRule="exact"/>
              <w:rPr>
                <w:sz w:val="18"/>
                <w:lang w:val="fr-CH"/>
              </w:rPr>
            </w:pPr>
            <w:r w:rsidRPr="0071782F">
              <w:rPr>
                <w:sz w:val="18"/>
                <w:lang w:val="fr-CH"/>
              </w:rPr>
              <w:t>Person</w:t>
            </w:r>
            <w:r w:rsidR="003B48A4" w:rsidRPr="0071782F">
              <w:rPr>
                <w:sz w:val="18"/>
                <w:lang w:val="fr-CH"/>
              </w:rPr>
              <w:t>ne</w:t>
            </w:r>
          </w:p>
        </w:tc>
        <w:tc>
          <w:tcPr>
            <w:tcW w:w="708" w:type="dxa"/>
            <w:tcBorders>
              <w:top w:val="nil"/>
            </w:tcBorders>
            <w:shd w:val="clear" w:color="auto" w:fill="auto"/>
            <w:vAlign w:val="bottom"/>
          </w:tcPr>
          <w:p w:rsidR="00DD2B20" w:rsidRPr="0071782F" w:rsidRDefault="00DD2B20" w:rsidP="00404BEB">
            <w:pPr>
              <w:suppressAutoHyphens w:val="0"/>
              <w:spacing w:before="40" w:after="40" w:line="220" w:lineRule="exact"/>
              <w:jc w:val="right"/>
              <w:rPr>
                <w:sz w:val="18"/>
                <w:lang w:val="fr-CH"/>
              </w:rPr>
            </w:pPr>
            <w:r w:rsidRPr="0071782F">
              <w:rPr>
                <w:sz w:val="18"/>
                <w:lang w:val="fr-CH"/>
              </w:rPr>
              <w:t>13 578</w:t>
            </w:r>
          </w:p>
        </w:tc>
        <w:tc>
          <w:tcPr>
            <w:tcW w:w="1701" w:type="dxa"/>
            <w:tcBorders>
              <w:top w:val="nil"/>
            </w:tcBorders>
            <w:shd w:val="clear" w:color="auto" w:fill="auto"/>
            <w:vAlign w:val="bottom"/>
          </w:tcPr>
          <w:p w:rsidR="00DD2B20" w:rsidRPr="0071782F" w:rsidRDefault="00DD2B20" w:rsidP="00404BEB">
            <w:pPr>
              <w:suppressAutoHyphens w:val="0"/>
              <w:spacing w:before="40" w:after="40" w:line="220" w:lineRule="exact"/>
              <w:jc w:val="right"/>
              <w:rPr>
                <w:sz w:val="18"/>
                <w:lang w:val="fr-CH"/>
              </w:rPr>
            </w:pPr>
            <w:r w:rsidRPr="0071782F">
              <w:rPr>
                <w:sz w:val="18"/>
                <w:lang w:val="fr-CH"/>
              </w:rPr>
              <w:t>38</w:t>
            </w:r>
            <w:r w:rsidR="009D7118" w:rsidRPr="0071782F">
              <w:rPr>
                <w:sz w:val="18"/>
                <w:lang w:val="fr-CH"/>
              </w:rPr>
              <w:t>,</w:t>
            </w:r>
            <w:r w:rsidRPr="0071782F">
              <w:rPr>
                <w:sz w:val="18"/>
                <w:lang w:val="fr-CH"/>
              </w:rPr>
              <w:t>3</w:t>
            </w:r>
          </w:p>
        </w:tc>
      </w:tr>
    </w:tbl>
    <w:p w:rsidR="00DD2B20" w:rsidRPr="0071782F" w:rsidRDefault="00DD2B20" w:rsidP="00744FD2">
      <w:pPr>
        <w:pStyle w:val="H23G"/>
        <w:rPr>
          <w:lang w:val="fr-CH"/>
        </w:rPr>
      </w:pPr>
      <w:r w:rsidRPr="0071782F">
        <w:rPr>
          <w:lang w:val="fr-CH"/>
        </w:rPr>
        <w:tab/>
      </w:r>
      <w:r w:rsidRPr="0071782F">
        <w:rPr>
          <w:lang w:val="fr-CH"/>
        </w:rPr>
        <w:tab/>
        <w:t>Statisti</w:t>
      </w:r>
      <w:r w:rsidR="003B48A4" w:rsidRPr="0071782F">
        <w:rPr>
          <w:lang w:val="fr-CH"/>
        </w:rPr>
        <w:t xml:space="preserve">ques fournies par l’Organisme public de protection sociale </w:t>
      </w:r>
      <w:r w:rsidR="00744FD2" w:rsidRPr="0071782F">
        <w:rPr>
          <w:lang w:val="fr-CH"/>
        </w:rPr>
        <w:br/>
      </w:r>
      <w:r w:rsidR="003B48A4" w:rsidRPr="0071782F">
        <w:rPr>
          <w:lang w:val="fr-CH"/>
        </w:rPr>
        <w:t>Indicateurs de la sécurité s</w:t>
      </w:r>
      <w:r w:rsidRPr="0071782F">
        <w:rPr>
          <w:lang w:val="fr-CH"/>
        </w:rPr>
        <w:t>ocial</w:t>
      </w:r>
      <w:r w:rsidR="003B48A4" w:rsidRPr="0071782F">
        <w:rPr>
          <w:lang w:val="fr-CH"/>
        </w:rPr>
        <w:t xml:space="preserve">e </w:t>
      </w:r>
      <w:r w:rsidRPr="0071782F">
        <w:rPr>
          <w:lang w:val="fr-CH"/>
        </w:rPr>
        <w:t>– 2008</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536"/>
        <w:gridCol w:w="1560"/>
        <w:gridCol w:w="708"/>
        <w:gridCol w:w="1701"/>
      </w:tblGrid>
      <w:tr w:rsidR="00DD2B20" w:rsidRPr="0071782F">
        <w:trPr>
          <w:tblHeader/>
        </w:trPr>
        <w:tc>
          <w:tcPr>
            <w:tcW w:w="4536" w:type="dxa"/>
            <w:tcBorders>
              <w:top w:val="single" w:sz="4" w:space="0" w:color="auto"/>
              <w:bottom w:val="single" w:sz="12" w:space="0" w:color="auto"/>
            </w:tcBorders>
            <w:shd w:val="clear" w:color="auto" w:fill="auto"/>
            <w:vAlign w:val="bottom"/>
          </w:tcPr>
          <w:p w:rsidR="00DD2B20" w:rsidRPr="0071782F" w:rsidRDefault="00DD2B20" w:rsidP="009D7118">
            <w:pPr>
              <w:suppressAutoHyphens w:val="0"/>
              <w:spacing w:before="80" w:after="80" w:line="200" w:lineRule="exact"/>
              <w:rPr>
                <w:i/>
                <w:sz w:val="16"/>
                <w:lang w:val="fr-CH"/>
              </w:rPr>
            </w:pPr>
            <w:r w:rsidRPr="0071782F">
              <w:rPr>
                <w:i/>
                <w:sz w:val="16"/>
                <w:lang w:val="fr-CH"/>
              </w:rPr>
              <w:t>Indicat</w:t>
            </w:r>
            <w:r w:rsidR="003B48A4" w:rsidRPr="0071782F">
              <w:rPr>
                <w:i/>
                <w:sz w:val="16"/>
                <w:lang w:val="fr-CH"/>
              </w:rPr>
              <w:t>eu</w:t>
            </w:r>
            <w:r w:rsidRPr="0071782F">
              <w:rPr>
                <w:i/>
                <w:sz w:val="16"/>
                <w:lang w:val="fr-CH"/>
              </w:rPr>
              <w:t>r</w:t>
            </w:r>
          </w:p>
        </w:tc>
        <w:tc>
          <w:tcPr>
            <w:tcW w:w="1560" w:type="dxa"/>
            <w:tcBorders>
              <w:top w:val="single" w:sz="4" w:space="0" w:color="auto"/>
              <w:bottom w:val="single" w:sz="12" w:space="0" w:color="auto"/>
            </w:tcBorders>
            <w:shd w:val="clear" w:color="auto" w:fill="auto"/>
            <w:vAlign w:val="bottom"/>
          </w:tcPr>
          <w:p w:rsidR="00DD2B20" w:rsidRPr="0071782F" w:rsidRDefault="00DD2B20" w:rsidP="009D7118">
            <w:pPr>
              <w:suppressAutoHyphens w:val="0"/>
              <w:spacing w:before="80" w:after="80" w:line="200" w:lineRule="exact"/>
              <w:rPr>
                <w:i/>
                <w:sz w:val="16"/>
                <w:lang w:val="fr-CH"/>
              </w:rPr>
            </w:pPr>
            <w:r w:rsidRPr="0071782F">
              <w:rPr>
                <w:i/>
                <w:sz w:val="16"/>
                <w:lang w:val="fr-CH"/>
              </w:rPr>
              <w:t>Unit</w:t>
            </w:r>
            <w:r w:rsidR="003B48A4" w:rsidRPr="0071782F">
              <w:rPr>
                <w:i/>
                <w:sz w:val="16"/>
                <w:lang w:val="fr-CH"/>
              </w:rPr>
              <w:t>é</w:t>
            </w:r>
          </w:p>
        </w:tc>
        <w:tc>
          <w:tcPr>
            <w:tcW w:w="708" w:type="dxa"/>
            <w:tcBorders>
              <w:top w:val="single" w:sz="4" w:space="0" w:color="auto"/>
              <w:bottom w:val="single" w:sz="12" w:space="0" w:color="auto"/>
            </w:tcBorders>
            <w:shd w:val="clear" w:color="auto" w:fill="auto"/>
            <w:vAlign w:val="bottom"/>
          </w:tcPr>
          <w:p w:rsidR="00DD2B20" w:rsidRPr="0071782F" w:rsidRDefault="003B48A4" w:rsidP="009D7118">
            <w:pPr>
              <w:suppressAutoHyphens w:val="0"/>
              <w:spacing w:before="80" w:after="80" w:line="200" w:lineRule="exact"/>
              <w:jc w:val="right"/>
              <w:rPr>
                <w:i/>
                <w:sz w:val="16"/>
                <w:lang w:val="fr-CH"/>
              </w:rPr>
            </w:pPr>
            <w:r w:rsidRPr="0071782F">
              <w:rPr>
                <w:i/>
                <w:sz w:val="16"/>
                <w:lang w:val="fr-CH"/>
              </w:rPr>
              <w:t>Nombre</w:t>
            </w:r>
          </w:p>
        </w:tc>
        <w:tc>
          <w:tcPr>
            <w:tcW w:w="1701" w:type="dxa"/>
            <w:tcBorders>
              <w:top w:val="single" w:sz="4" w:space="0" w:color="auto"/>
              <w:bottom w:val="single" w:sz="12" w:space="0" w:color="auto"/>
            </w:tcBorders>
            <w:shd w:val="clear" w:color="auto" w:fill="auto"/>
            <w:vAlign w:val="bottom"/>
          </w:tcPr>
          <w:p w:rsidR="00DD2B20" w:rsidRPr="0071782F" w:rsidRDefault="003B48A4" w:rsidP="009D7118">
            <w:pPr>
              <w:suppressAutoHyphens w:val="0"/>
              <w:spacing w:before="80" w:after="80" w:line="200" w:lineRule="exact"/>
              <w:jc w:val="right"/>
              <w:rPr>
                <w:i/>
                <w:sz w:val="16"/>
                <w:lang w:val="fr-CH"/>
              </w:rPr>
            </w:pPr>
            <w:r w:rsidRPr="0071782F">
              <w:rPr>
                <w:i/>
                <w:sz w:val="16"/>
                <w:lang w:val="fr-CH"/>
              </w:rPr>
              <w:t xml:space="preserve">Variation en pourcentage </w:t>
            </w:r>
            <w:r w:rsidRPr="0071782F">
              <w:rPr>
                <w:i/>
                <w:sz w:val="16"/>
                <w:lang w:val="fr-CH"/>
              </w:rPr>
              <w:br/>
              <w:t>(par rapport à 2007</w:t>
            </w:r>
            <w:r w:rsidR="00DD2B20" w:rsidRPr="0071782F">
              <w:rPr>
                <w:i/>
                <w:sz w:val="16"/>
                <w:lang w:val="fr-CH"/>
              </w:rPr>
              <w:t>)</w:t>
            </w:r>
            <w:r w:rsidR="00DD2B20" w:rsidRPr="0071782F">
              <w:rPr>
                <w:i/>
                <w:sz w:val="16"/>
                <w:vertAlign w:val="superscript"/>
                <w:lang w:val="fr-CH"/>
              </w:rPr>
              <w:t>(1)</w:t>
            </w:r>
          </w:p>
        </w:tc>
      </w:tr>
      <w:tr w:rsidR="00DD2B20" w:rsidRPr="0071782F">
        <w:tc>
          <w:tcPr>
            <w:tcW w:w="4536" w:type="dxa"/>
            <w:tcBorders>
              <w:top w:val="single" w:sz="12" w:space="0" w:color="auto"/>
            </w:tcBorders>
            <w:shd w:val="clear" w:color="auto" w:fill="auto"/>
          </w:tcPr>
          <w:p w:rsidR="00DD2B20" w:rsidRPr="0071782F" w:rsidRDefault="003B48A4" w:rsidP="009D7118">
            <w:pPr>
              <w:suppressAutoHyphens w:val="0"/>
              <w:spacing w:before="40" w:after="40" w:line="220" w:lineRule="exact"/>
              <w:rPr>
                <w:sz w:val="18"/>
                <w:lang w:val="fr-CH"/>
              </w:rPr>
            </w:pPr>
            <w:r w:rsidRPr="0071782F">
              <w:rPr>
                <w:sz w:val="18"/>
                <w:lang w:val="fr-CH"/>
              </w:rPr>
              <w:t>Nombre</w:t>
            </w:r>
            <w:r w:rsidR="00DD2B20" w:rsidRPr="0071782F">
              <w:rPr>
                <w:sz w:val="18"/>
                <w:lang w:val="fr-CH"/>
              </w:rPr>
              <w:t xml:space="preserve"> </w:t>
            </w:r>
            <w:r w:rsidR="000A35A5" w:rsidRPr="0071782F">
              <w:rPr>
                <w:sz w:val="18"/>
                <w:lang w:val="fr-CH"/>
              </w:rPr>
              <w:t xml:space="preserve">d’assurés couverts par un organisme d’assurance maladie, y compris </w:t>
            </w:r>
            <w:r w:rsidR="00A233C2" w:rsidRPr="0071782F">
              <w:rPr>
                <w:sz w:val="18"/>
                <w:lang w:val="fr-CH"/>
              </w:rPr>
              <w:t>les personnes</w:t>
            </w:r>
            <w:r w:rsidR="000A35A5" w:rsidRPr="0071782F">
              <w:rPr>
                <w:sz w:val="18"/>
                <w:lang w:val="fr-CH"/>
              </w:rPr>
              <w:t xml:space="preserve"> à leur charge </w:t>
            </w:r>
          </w:p>
        </w:tc>
        <w:tc>
          <w:tcPr>
            <w:tcW w:w="1560" w:type="dxa"/>
            <w:tcBorders>
              <w:top w:val="single" w:sz="12" w:space="0" w:color="auto"/>
            </w:tcBorders>
            <w:shd w:val="clear" w:color="auto" w:fill="auto"/>
            <w:vAlign w:val="bottom"/>
          </w:tcPr>
          <w:p w:rsidR="00DD2B20" w:rsidRPr="0071782F" w:rsidRDefault="00DD2B20" w:rsidP="009D7118">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tcBorders>
              <w:top w:val="single" w:sz="12" w:space="0" w:color="auto"/>
            </w:tcBorders>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39 965</w:t>
            </w:r>
          </w:p>
        </w:tc>
        <w:tc>
          <w:tcPr>
            <w:tcW w:w="1701" w:type="dxa"/>
            <w:tcBorders>
              <w:top w:val="single" w:sz="12" w:space="0" w:color="auto"/>
            </w:tcBorders>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1</w:t>
            </w:r>
            <w:r w:rsidR="009D7118" w:rsidRPr="0071782F">
              <w:rPr>
                <w:sz w:val="18"/>
                <w:lang w:val="fr-CH"/>
              </w:rPr>
              <w:t>,</w:t>
            </w:r>
            <w:r w:rsidRPr="0071782F">
              <w:rPr>
                <w:sz w:val="18"/>
                <w:lang w:val="fr-CH"/>
              </w:rPr>
              <w:t>5</w:t>
            </w:r>
          </w:p>
        </w:tc>
      </w:tr>
      <w:tr w:rsidR="00DD2B20" w:rsidRPr="0071782F">
        <w:tc>
          <w:tcPr>
            <w:tcW w:w="4536" w:type="dxa"/>
            <w:shd w:val="clear" w:color="auto" w:fill="auto"/>
          </w:tcPr>
          <w:p w:rsidR="00DD2B20" w:rsidRPr="0071782F" w:rsidRDefault="003B48A4" w:rsidP="009D7118">
            <w:pPr>
              <w:suppressAutoHyphens w:val="0"/>
              <w:spacing w:before="40" w:after="40" w:line="220" w:lineRule="exact"/>
              <w:rPr>
                <w:sz w:val="18"/>
                <w:lang w:val="fr-CH"/>
              </w:rPr>
            </w:pPr>
            <w:r w:rsidRPr="0071782F">
              <w:rPr>
                <w:sz w:val="18"/>
                <w:lang w:val="fr-CH"/>
              </w:rPr>
              <w:t>Nombre</w:t>
            </w:r>
            <w:r w:rsidR="00DD2B20" w:rsidRPr="0071782F">
              <w:rPr>
                <w:sz w:val="18"/>
                <w:lang w:val="fr-CH"/>
              </w:rPr>
              <w:t xml:space="preserve"> </w:t>
            </w:r>
            <w:r w:rsidR="000A35A5" w:rsidRPr="0071782F">
              <w:rPr>
                <w:sz w:val="18"/>
                <w:lang w:val="fr-CH"/>
              </w:rPr>
              <w:t xml:space="preserve">de fonctionnaires assurés </w:t>
            </w:r>
          </w:p>
        </w:tc>
        <w:tc>
          <w:tcPr>
            <w:tcW w:w="1560" w:type="dxa"/>
            <w:shd w:val="clear" w:color="auto" w:fill="auto"/>
            <w:vAlign w:val="bottom"/>
          </w:tcPr>
          <w:p w:rsidR="00DD2B20" w:rsidRPr="0071782F" w:rsidRDefault="00DD2B20" w:rsidP="009D7118">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6 534</w:t>
            </w:r>
          </w:p>
        </w:tc>
        <w:tc>
          <w:tcPr>
            <w:tcW w:w="1701" w:type="dxa"/>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-6</w:t>
            </w:r>
            <w:r w:rsidR="009D7118" w:rsidRPr="0071782F">
              <w:rPr>
                <w:sz w:val="18"/>
                <w:lang w:val="fr-CH"/>
              </w:rPr>
              <w:t>,</w:t>
            </w:r>
            <w:r w:rsidRPr="0071782F">
              <w:rPr>
                <w:sz w:val="18"/>
                <w:lang w:val="fr-CH"/>
              </w:rPr>
              <w:t>3</w:t>
            </w:r>
          </w:p>
        </w:tc>
      </w:tr>
      <w:tr w:rsidR="00DD2B20" w:rsidRPr="0071782F">
        <w:tc>
          <w:tcPr>
            <w:tcW w:w="4536" w:type="dxa"/>
            <w:shd w:val="clear" w:color="auto" w:fill="auto"/>
          </w:tcPr>
          <w:p w:rsidR="00DD2B20" w:rsidRPr="0071782F" w:rsidRDefault="003B48A4" w:rsidP="009D7118">
            <w:pPr>
              <w:suppressAutoHyphens w:val="0"/>
              <w:spacing w:before="40" w:after="40" w:line="220" w:lineRule="exact"/>
              <w:rPr>
                <w:sz w:val="18"/>
                <w:lang w:val="fr-CH"/>
              </w:rPr>
            </w:pPr>
            <w:r w:rsidRPr="0071782F">
              <w:rPr>
                <w:sz w:val="18"/>
                <w:lang w:val="fr-CH"/>
              </w:rPr>
              <w:t>Nombre</w:t>
            </w:r>
            <w:r w:rsidR="00DD2B20" w:rsidRPr="0071782F">
              <w:rPr>
                <w:sz w:val="18"/>
                <w:lang w:val="fr-CH"/>
              </w:rPr>
              <w:t xml:space="preserve"> </w:t>
            </w:r>
            <w:r w:rsidR="00D82C96" w:rsidRPr="0071782F">
              <w:rPr>
                <w:sz w:val="18"/>
                <w:lang w:val="fr-CH"/>
              </w:rPr>
              <w:t>de personnes</w:t>
            </w:r>
            <w:r w:rsidR="000A35A5" w:rsidRPr="0071782F">
              <w:rPr>
                <w:sz w:val="18"/>
                <w:szCs w:val="18"/>
                <w:lang w:val="fr-CH"/>
              </w:rPr>
              <w:t xml:space="preserve"> auto-assurées</w:t>
            </w:r>
            <w:r w:rsidR="000A35A5" w:rsidRPr="0071782F">
              <w:rPr>
                <w:lang w:val="fr-CH"/>
              </w:rPr>
              <w:t xml:space="preserve"> </w:t>
            </w:r>
          </w:p>
        </w:tc>
        <w:tc>
          <w:tcPr>
            <w:tcW w:w="1560" w:type="dxa"/>
            <w:shd w:val="clear" w:color="auto" w:fill="auto"/>
            <w:vAlign w:val="bottom"/>
          </w:tcPr>
          <w:p w:rsidR="00DD2B20" w:rsidRPr="0071782F" w:rsidRDefault="00DD2B20" w:rsidP="009D7118">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612</w:t>
            </w:r>
          </w:p>
        </w:tc>
        <w:tc>
          <w:tcPr>
            <w:tcW w:w="1701" w:type="dxa"/>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110</w:t>
            </w:r>
          </w:p>
        </w:tc>
      </w:tr>
      <w:tr w:rsidR="00DD2B20" w:rsidRPr="0071782F">
        <w:tc>
          <w:tcPr>
            <w:tcW w:w="4536" w:type="dxa"/>
            <w:shd w:val="clear" w:color="auto" w:fill="auto"/>
          </w:tcPr>
          <w:p w:rsidR="00DD2B20" w:rsidRPr="0071782F" w:rsidRDefault="003B48A4" w:rsidP="009D7118">
            <w:pPr>
              <w:suppressAutoHyphens w:val="0"/>
              <w:spacing w:before="40" w:after="40" w:line="220" w:lineRule="exact"/>
              <w:rPr>
                <w:sz w:val="18"/>
                <w:lang w:val="fr-CH"/>
              </w:rPr>
            </w:pPr>
            <w:r w:rsidRPr="0071782F">
              <w:rPr>
                <w:sz w:val="18"/>
                <w:lang w:val="fr-CH"/>
              </w:rPr>
              <w:t>Nombre</w:t>
            </w:r>
            <w:r w:rsidR="00DD2B20" w:rsidRPr="0071782F">
              <w:rPr>
                <w:sz w:val="18"/>
                <w:lang w:val="fr-CH"/>
              </w:rPr>
              <w:t xml:space="preserve"> </w:t>
            </w:r>
            <w:r w:rsidR="000A35A5" w:rsidRPr="0071782F">
              <w:rPr>
                <w:sz w:val="18"/>
                <w:lang w:val="fr-CH"/>
              </w:rPr>
              <w:t xml:space="preserve">de citadins assurés </w:t>
            </w:r>
          </w:p>
        </w:tc>
        <w:tc>
          <w:tcPr>
            <w:tcW w:w="1560" w:type="dxa"/>
            <w:shd w:val="clear" w:color="auto" w:fill="auto"/>
            <w:vAlign w:val="bottom"/>
          </w:tcPr>
          <w:p w:rsidR="00DD2B20" w:rsidRPr="0071782F" w:rsidRDefault="00DD2B20" w:rsidP="009D7118">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7 717</w:t>
            </w:r>
          </w:p>
        </w:tc>
        <w:tc>
          <w:tcPr>
            <w:tcW w:w="1701" w:type="dxa"/>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-3</w:t>
            </w:r>
          </w:p>
        </w:tc>
      </w:tr>
      <w:tr w:rsidR="00DD2B20" w:rsidRPr="0071782F">
        <w:tc>
          <w:tcPr>
            <w:tcW w:w="4536" w:type="dxa"/>
            <w:shd w:val="clear" w:color="auto" w:fill="auto"/>
          </w:tcPr>
          <w:p w:rsidR="00DD2B20" w:rsidRPr="0071782F" w:rsidRDefault="003B48A4" w:rsidP="009D7118">
            <w:pPr>
              <w:suppressAutoHyphens w:val="0"/>
              <w:spacing w:before="40" w:after="40" w:line="220" w:lineRule="exact"/>
              <w:rPr>
                <w:sz w:val="18"/>
                <w:lang w:val="fr-CH"/>
              </w:rPr>
            </w:pPr>
            <w:r w:rsidRPr="0071782F">
              <w:rPr>
                <w:sz w:val="18"/>
                <w:lang w:val="fr-CH"/>
              </w:rPr>
              <w:t>Nombre</w:t>
            </w:r>
            <w:r w:rsidR="00DD2B20" w:rsidRPr="0071782F">
              <w:rPr>
                <w:sz w:val="18"/>
                <w:lang w:val="fr-CH"/>
              </w:rPr>
              <w:t xml:space="preserve"> </w:t>
            </w:r>
            <w:r w:rsidR="000A35A5" w:rsidRPr="0071782F">
              <w:rPr>
                <w:sz w:val="18"/>
                <w:lang w:val="fr-CH"/>
              </w:rPr>
              <w:t xml:space="preserve">de ruraux assurés </w:t>
            </w:r>
          </w:p>
        </w:tc>
        <w:tc>
          <w:tcPr>
            <w:tcW w:w="1560" w:type="dxa"/>
            <w:shd w:val="clear" w:color="auto" w:fill="auto"/>
            <w:vAlign w:val="bottom"/>
          </w:tcPr>
          <w:p w:rsidR="00DD2B20" w:rsidRPr="0071782F" w:rsidRDefault="00DD2B20" w:rsidP="009D7118">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23 144</w:t>
            </w:r>
          </w:p>
        </w:tc>
        <w:tc>
          <w:tcPr>
            <w:tcW w:w="1701" w:type="dxa"/>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4</w:t>
            </w:r>
            <w:r w:rsidR="009D7118" w:rsidRPr="0071782F">
              <w:rPr>
                <w:sz w:val="18"/>
                <w:lang w:val="fr-CH"/>
              </w:rPr>
              <w:t>,</w:t>
            </w:r>
            <w:r w:rsidRPr="0071782F">
              <w:rPr>
                <w:sz w:val="18"/>
                <w:lang w:val="fr-CH"/>
              </w:rPr>
              <w:t>3</w:t>
            </w:r>
          </w:p>
        </w:tc>
      </w:tr>
      <w:tr w:rsidR="00DD2B20" w:rsidRPr="0071782F">
        <w:tc>
          <w:tcPr>
            <w:tcW w:w="4536" w:type="dxa"/>
            <w:shd w:val="clear" w:color="auto" w:fill="auto"/>
          </w:tcPr>
          <w:p w:rsidR="00DD2B20" w:rsidRPr="0071782F" w:rsidRDefault="003B48A4" w:rsidP="009D7118">
            <w:pPr>
              <w:suppressAutoHyphens w:val="0"/>
              <w:spacing w:before="40" w:after="40" w:line="220" w:lineRule="exact"/>
              <w:rPr>
                <w:sz w:val="18"/>
                <w:lang w:val="fr-CH"/>
              </w:rPr>
            </w:pPr>
            <w:r w:rsidRPr="0071782F">
              <w:rPr>
                <w:sz w:val="18"/>
                <w:lang w:val="fr-CH"/>
              </w:rPr>
              <w:t>Nombre</w:t>
            </w:r>
            <w:r w:rsidR="00DD2B20" w:rsidRPr="0071782F">
              <w:rPr>
                <w:sz w:val="18"/>
                <w:lang w:val="fr-CH"/>
              </w:rPr>
              <w:t xml:space="preserve"> </w:t>
            </w:r>
            <w:r w:rsidR="00D82C96" w:rsidRPr="0071782F">
              <w:rPr>
                <w:sz w:val="18"/>
                <w:lang w:val="fr-CH"/>
              </w:rPr>
              <w:t>de personnes</w:t>
            </w:r>
            <w:r w:rsidR="000A35A5" w:rsidRPr="0071782F">
              <w:rPr>
                <w:sz w:val="18"/>
                <w:lang w:val="fr-CH"/>
              </w:rPr>
              <w:t xml:space="preserve"> assurées appartenant aux autres segments de la société </w:t>
            </w:r>
          </w:p>
        </w:tc>
        <w:tc>
          <w:tcPr>
            <w:tcW w:w="1560" w:type="dxa"/>
            <w:shd w:val="clear" w:color="auto" w:fill="auto"/>
            <w:vAlign w:val="bottom"/>
          </w:tcPr>
          <w:p w:rsidR="00DD2B20" w:rsidRPr="0071782F" w:rsidRDefault="00DD2B20" w:rsidP="009D7118">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1 958</w:t>
            </w:r>
          </w:p>
        </w:tc>
        <w:tc>
          <w:tcPr>
            <w:tcW w:w="1701" w:type="dxa"/>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-1</w:t>
            </w:r>
          </w:p>
        </w:tc>
      </w:tr>
    </w:tbl>
    <w:p w:rsidR="00DD2B20" w:rsidRPr="0071782F" w:rsidRDefault="00DD2B20" w:rsidP="00BF029C">
      <w:pPr>
        <w:spacing w:before="120" w:after="240"/>
        <w:ind w:left="1134" w:firstLine="170"/>
        <w:rPr>
          <w:sz w:val="18"/>
          <w:szCs w:val="18"/>
          <w:lang w:val="fr-CH"/>
        </w:rPr>
      </w:pPr>
      <w:r w:rsidRPr="0071782F">
        <w:rPr>
          <w:i/>
          <w:sz w:val="18"/>
          <w:vertAlign w:val="superscript"/>
          <w:lang w:val="fr-CH"/>
        </w:rPr>
        <w:t>(1)</w:t>
      </w:r>
      <w:r w:rsidRPr="0071782F">
        <w:rPr>
          <w:sz w:val="18"/>
          <w:lang w:val="fr-CH"/>
        </w:rPr>
        <w:t xml:space="preserve">  </w:t>
      </w:r>
      <w:r w:rsidR="003B48A4" w:rsidRPr="0071782F">
        <w:rPr>
          <w:sz w:val="18"/>
          <w:lang w:val="fr-CH"/>
        </w:rPr>
        <w:t xml:space="preserve">La variation en pourcentage a été calculée </w:t>
      </w:r>
      <w:r w:rsidR="00CF03DE" w:rsidRPr="0071782F">
        <w:rPr>
          <w:sz w:val="18"/>
          <w:lang w:val="fr-CH"/>
        </w:rPr>
        <w:t>à partir</w:t>
      </w:r>
      <w:r w:rsidR="003B48A4" w:rsidRPr="0071782F">
        <w:rPr>
          <w:sz w:val="18"/>
          <w:lang w:val="fr-CH"/>
        </w:rPr>
        <w:t xml:space="preserve"> des données de l’année antérieure</w:t>
      </w:r>
      <w:r w:rsidR="009C72BA" w:rsidRPr="0071782F">
        <w:rPr>
          <w:sz w:val="18"/>
          <w:lang w:val="fr-CH"/>
        </w:rPr>
        <w:t xml:space="preserve"> révisées par </w:t>
      </w:r>
      <w:r w:rsidR="00BF029C">
        <w:rPr>
          <w:sz w:val="18"/>
          <w:lang w:val="fr-CH"/>
        </w:rPr>
        <w:t>l</w:t>
      </w:r>
      <w:r w:rsidR="009C72BA" w:rsidRPr="0071782F">
        <w:rPr>
          <w:sz w:val="18"/>
          <w:lang w:val="fr-CH"/>
        </w:rPr>
        <w:t>es organismes concernés</w:t>
      </w:r>
      <w:r w:rsidRPr="0071782F">
        <w:rPr>
          <w:sz w:val="18"/>
          <w:szCs w:val="18"/>
          <w:lang w:val="fr-CH"/>
        </w:rPr>
        <w:t>.</w:t>
      </w:r>
    </w:p>
    <w:p w:rsidR="00DD2B20" w:rsidRPr="0071782F" w:rsidRDefault="00DD2B20" w:rsidP="00DD2B20">
      <w:pPr>
        <w:pStyle w:val="H23G"/>
        <w:rPr>
          <w:lang w:val="fr-CH"/>
        </w:rPr>
      </w:pPr>
      <w:r w:rsidRPr="0071782F">
        <w:rPr>
          <w:lang w:val="fr-CH"/>
        </w:rPr>
        <w:tab/>
      </w:r>
      <w:r w:rsidRPr="0071782F">
        <w:rPr>
          <w:lang w:val="fr-CH"/>
        </w:rPr>
        <w:tab/>
      </w:r>
      <w:r w:rsidR="000A35A5" w:rsidRPr="0071782F">
        <w:rPr>
          <w:lang w:val="fr-CH"/>
        </w:rPr>
        <w:t>Indicateurs de la protection sociale – 2008</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536"/>
        <w:gridCol w:w="1560"/>
        <w:gridCol w:w="708"/>
        <w:gridCol w:w="1701"/>
      </w:tblGrid>
      <w:tr w:rsidR="00DD2B20" w:rsidRPr="0071782F">
        <w:trPr>
          <w:tblHeader/>
        </w:trPr>
        <w:tc>
          <w:tcPr>
            <w:tcW w:w="4536" w:type="dxa"/>
            <w:tcBorders>
              <w:top w:val="single" w:sz="4" w:space="0" w:color="auto"/>
              <w:bottom w:val="single" w:sz="12" w:space="0" w:color="auto"/>
            </w:tcBorders>
            <w:shd w:val="clear" w:color="auto" w:fill="auto"/>
            <w:vAlign w:val="bottom"/>
          </w:tcPr>
          <w:p w:rsidR="00DD2B20" w:rsidRPr="0071782F" w:rsidRDefault="00DD2B20" w:rsidP="009D7118">
            <w:pPr>
              <w:suppressAutoHyphens w:val="0"/>
              <w:spacing w:before="80" w:after="80" w:line="200" w:lineRule="exact"/>
              <w:rPr>
                <w:i/>
                <w:sz w:val="16"/>
                <w:lang w:val="fr-CH"/>
              </w:rPr>
            </w:pPr>
            <w:r w:rsidRPr="0071782F">
              <w:rPr>
                <w:i/>
                <w:sz w:val="16"/>
                <w:lang w:val="fr-CH"/>
              </w:rPr>
              <w:t>Indicat</w:t>
            </w:r>
            <w:r w:rsidR="000A35A5" w:rsidRPr="0071782F">
              <w:rPr>
                <w:i/>
                <w:sz w:val="16"/>
                <w:lang w:val="fr-CH"/>
              </w:rPr>
              <w:t>eu</w:t>
            </w:r>
            <w:r w:rsidRPr="0071782F">
              <w:rPr>
                <w:i/>
                <w:sz w:val="16"/>
                <w:lang w:val="fr-CH"/>
              </w:rPr>
              <w:t>r</w:t>
            </w:r>
          </w:p>
        </w:tc>
        <w:tc>
          <w:tcPr>
            <w:tcW w:w="1560" w:type="dxa"/>
            <w:tcBorders>
              <w:top w:val="single" w:sz="4" w:space="0" w:color="auto"/>
              <w:bottom w:val="single" w:sz="12" w:space="0" w:color="auto"/>
            </w:tcBorders>
            <w:shd w:val="clear" w:color="auto" w:fill="auto"/>
            <w:vAlign w:val="bottom"/>
          </w:tcPr>
          <w:p w:rsidR="00DD2B20" w:rsidRPr="0071782F" w:rsidRDefault="00DD2B20" w:rsidP="009D7118">
            <w:pPr>
              <w:suppressAutoHyphens w:val="0"/>
              <w:spacing w:before="80" w:after="80" w:line="200" w:lineRule="exact"/>
              <w:rPr>
                <w:i/>
                <w:sz w:val="16"/>
                <w:lang w:val="fr-CH"/>
              </w:rPr>
            </w:pPr>
            <w:r w:rsidRPr="0071782F">
              <w:rPr>
                <w:i/>
                <w:sz w:val="16"/>
                <w:lang w:val="fr-CH"/>
              </w:rPr>
              <w:t>Unit</w:t>
            </w:r>
            <w:r w:rsidR="000A35A5" w:rsidRPr="0071782F">
              <w:rPr>
                <w:i/>
                <w:sz w:val="16"/>
                <w:lang w:val="fr-CH"/>
              </w:rPr>
              <w:t>é</w:t>
            </w:r>
          </w:p>
        </w:tc>
        <w:tc>
          <w:tcPr>
            <w:tcW w:w="708" w:type="dxa"/>
            <w:tcBorders>
              <w:top w:val="single" w:sz="4" w:space="0" w:color="auto"/>
              <w:bottom w:val="single" w:sz="12" w:space="0" w:color="auto"/>
            </w:tcBorders>
            <w:shd w:val="clear" w:color="auto" w:fill="auto"/>
            <w:vAlign w:val="bottom"/>
          </w:tcPr>
          <w:p w:rsidR="00DD2B20" w:rsidRPr="0071782F" w:rsidRDefault="003B48A4" w:rsidP="009D7118">
            <w:pPr>
              <w:suppressAutoHyphens w:val="0"/>
              <w:spacing w:before="80" w:after="80" w:line="200" w:lineRule="exact"/>
              <w:jc w:val="right"/>
              <w:rPr>
                <w:i/>
                <w:sz w:val="16"/>
                <w:lang w:val="fr-CH"/>
              </w:rPr>
            </w:pPr>
            <w:r w:rsidRPr="0071782F">
              <w:rPr>
                <w:i/>
                <w:sz w:val="16"/>
                <w:lang w:val="fr-CH"/>
              </w:rPr>
              <w:t>Nombre</w:t>
            </w:r>
          </w:p>
        </w:tc>
        <w:tc>
          <w:tcPr>
            <w:tcW w:w="1701" w:type="dxa"/>
            <w:tcBorders>
              <w:top w:val="single" w:sz="4" w:space="0" w:color="auto"/>
              <w:bottom w:val="single" w:sz="12" w:space="0" w:color="auto"/>
            </w:tcBorders>
            <w:shd w:val="clear" w:color="auto" w:fill="auto"/>
            <w:vAlign w:val="bottom"/>
          </w:tcPr>
          <w:p w:rsidR="00DD2B20" w:rsidRPr="0071782F" w:rsidRDefault="000A35A5" w:rsidP="009D7118">
            <w:pPr>
              <w:suppressAutoHyphens w:val="0"/>
              <w:spacing w:before="80" w:after="80" w:line="200" w:lineRule="exact"/>
              <w:jc w:val="right"/>
              <w:rPr>
                <w:i/>
                <w:sz w:val="16"/>
                <w:lang w:val="fr-CH"/>
              </w:rPr>
            </w:pPr>
            <w:r w:rsidRPr="0071782F">
              <w:rPr>
                <w:i/>
                <w:sz w:val="16"/>
                <w:lang w:val="fr-CH"/>
              </w:rPr>
              <w:t xml:space="preserve">Variation en pourcentage </w:t>
            </w:r>
            <w:r w:rsidRPr="0071782F">
              <w:rPr>
                <w:i/>
                <w:sz w:val="16"/>
                <w:lang w:val="fr-CH"/>
              </w:rPr>
              <w:br/>
              <w:t>(par rapport à 2007</w:t>
            </w:r>
            <w:r w:rsidR="00DD2B20" w:rsidRPr="0071782F">
              <w:rPr>
                <w:i/>
                <w:sz w:val="16"/>
                <w:lang w:val="fr-CH"/>
              </w:rPr>
              <w:t>)</w:t>
            </w:r>
          </w:p>
        </w:tc>
      </w:tr>
      <w:tr w:rsidR="00DD2B20" w:rsidRPr="0071782F">
        <w:tc>
          <w:tcPr>
            <w:tcW w:w="4536" w:type="dxa"/>
            <w:tcBorders>
              <w:top w:val="single" w:sz="12" w:space="0" w:color="auto"/>
            </w:tcBorders>
            <w:shd w:val="clear" w:color="auto" w:fill="auto"/>
          </w:tcPr>
          <w:p w:rsidR="00DD2B20" w:rsidRPr="0071782F" w:rsidRDefault="00DD2B20" w:rsidP="009D7118">
            <w:pPr>
              <w:suppressAutoHyphens w:val="0"/>
              <w:spacing w:before="40" w:after="40" w:line="220" w:lineRule="exact"/>
              <w:rPr>
                <w:sz w:val="18"/>
                <w:lang w:val="fr-CH"/>
              </w:rPr>
            </w:pPr>
            <w:r w:rsidRPr="0071782F">
              <w:rPr>
                <w:sz w:val="18"/>
                <w:lang w:val="fr-CH"/>
              </w:rPr>
              <w:t>Pe</w:t>
            </w:r>
            <w:r w:rsidR="000011B3" w:rsidRPr="0071782F">
              <w:rPr>
                <w:sz w:val="18"/>
                <w:lang w:val="fr-CH"/>
              </w:rPr>
              <w:t xml:space="preserve">rsonnes qui reçoivent du </w:t>
            </w:r>
            <w:r w:rsidR="000011B3" w:rsidRPr="0071782F">
              <w:rPr>
                <w:sz w:val="18"/>
                <w:szCs w:val="18"/>
                <w:lang w:val="fr-CH"/>
              </w:rPr>
              <w:t>Comité de secours de l’Imam Khomeini</w:t>
            </w:r>
            <w:r w:rsidR="000011B3" w:rsidRPr="0071782F">
              <w:rPr>
                <w:sz w:val="18"/>
                <w:lang w:val="fr-CH"/>
              </w:rPr>
              <w:t xml:space="preserve"> une assistance pour les dépenses courantes </w:t>
            </w:r>
          </w:p>
        </w:tc>
        <w:tc>
          <w:tcPr>
            <w:tcW w:w="1560" w:type="dxa"/>
            <w:tcBorders>
              <w:top w:val="single" w:sz="12" w:space="0" w:color="auto"/>
            </w:tcBorders>
            <w:shd w:val="clear" w:color="auto" w:fill="auto"/>
            <w:vAlign w:val="bottom"/>
          </w:tcPr>
          <w:p w:rsidR="00DD2B20" w:rsidRPr="0071782F" w:rsidRDefault="00DD2B20" w:rsidP="009D7118">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tcBorders>
              <w:top w:val="single" w:sz="12" w:space="0" w:color="auto"/>
            </w:tcBorders>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4 606</w:t>
            </w:r>
          </w:p>
        </w:tc>
        <w:tc>
          <w:tcPr>
            <w:tcW w:w="1701" w:type="dxa"/>
            <w:tcBorders>
              <w:top w:val="single" w:sz="12" w:space="0" w:color="auto"/>
            </w:tcBorders>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1</w:t>
            </w:r>
            <w:r w:rsidR="009D7118" w:rsidRPr="0071782F">
              <w:rPr>
                <w:sz w:val="18"/>
                <w:lang w:val="fr-CH"/>
              </w:rPr>
              <w:t>,</w:t>
            </w:r>
            <w:r w:rsidRPr="0071782F">
              <w:rPr>
                <w:sz w:val="18"/>
                <w:lang w:val="fr-CH"/>
              </w:rPr>
              <w:t>7</w:t>
            </w:r>
          </w:p>
        </w:tc>
      </w:tr>
      <w:tr w:rsidR="00DD2B20" w:rsidRPr="0071782F">
        <w:tc>
          <w:tcPr>
            <w:tcW w:w="4536" w:type="dxa"/>
            <w:tcBorders>
              <w:bottom w:val="nil"/>
            </w:tcBorders>
            <w:shd w:val="clear" w:color="auto" w:fill="auto"/>
          </w:tcPr>
          <w:p w:rsidR="00DD2B20" w:rsidRPr="0071782F" w:rsidRDefault="000011B3" w:rsidP="009D7118">
            <w:pPr>
              <w:suppressAutoHyphens w:val="0"/>
              <w:spacing w:before="40" w:after="40" w:line="220" w:lineRule="exact"/>
              <w:rPr>
                <w:sz w:val="18"/>
                <w:lang w:val="fr-CH"/>
              </w:rPr>
            </w:pPr>
            <w:r w:rsidRPr="0071782F">
              <w:rPr>
                <w:sz w:val="18"/>
                <w:lang w:val="fr-CH"/>
              </w:rPr>
              <w:t xml:space="preserve">Personnes qui reçoivent du </w:t>
            </w:r>
            <w:r w:rsidRPr="0071782F">
              <w:rPr>
                <w:sz w:val="18"/>
                <w:szCs w:val="18"/>
                <w:lang w:val="fr-CH"/>
              </w:rPr>
              <w:t>Programme d’aide sociale</w:t>
            </w:r>
            <w:r w:rsidRPr="0071782F">
              <w:rPr>
                <w:sz w:val="18"/>
                <w:lang w:val="fr-CH"/>
              </w:rPr>
              <w:t xml:space="preserve"> une assistance pour les dépenses courantes</w:t>
            </w:r>
          </w:p>
        </w:tc>
        <w:tc>
          <w:tcPr>
            <w:tcW w:w="1560" w:type="dxa"/>
            <w:tcBorders>
              <w:bottom w:val="nil"/>
            </w:tcBorders>
            <w:shd w:val="clear" w:color="auto" w:fill="auto"/>
            <w:vAlign w:val="bottom"/>
          </w:tcPr>
          <w:p w:rsidR="00DD2B20" w:rsidRPr="0071782F" w:rsidRDefault="00DD2B20" w:rsidP="009D7118">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tcBorders>
              <w:bottom w:val="nil"/>
            </w:tcBorders>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3 044</w:t>
            </w:r>
          </w:p>
        </w:tc>
        <w:tc>
          <w:tcPr>
            <w:tcW w:w="1701" w:type="dxa"/>
            <w:tcBorders>
              <w:bottom w:val="nil"/>
            </w:tcBorders>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2</w:t>
            </w:r>
            <w:r w:rsidR="009D7118" w:rsidRPr="0071782F">
              <w:rPr>
                <w:sz w:val="18"/>
                <w:lang w:val="fr-CH"/>
              </w:rPr>
              <w:t>,</w:t>
            </w:r>
            <w:r w:rsidRPr="0071782F">
              <w:rPr>
                <w:sz w:val="18"/>
                <w:lang w:val="fr-CH"/>
              </w:rPr>
              <w:t>4</w:t>
            </w:r>
          </w:p>
        </w:tc>
      </w:tr>
      <w:tr w:rsidR="00DD2B20" w:rsidRPr="0071782F">
        <w:tc>
          <w:tcPr>
            <w:tcW w:w="4536" w:type="dxa"/>
            <w:tcBorders>
              <w:top w:val="nil"/>
              <w:bottom w:val="nil"/>
            </w:tcBorders>
            <w:shd w:val="clear" w:color="auto" w:fill="auto"/>
          </w:tcPr>
          <w:p w:rsidR="00DD2B20" w:rsidRPr="0071782F" w:rsidRDefault="000011B3" w:rsidP="009D7118">
            <w:pPr>
              <w:suppressAutoHyphens w:val="0"/>
              <w:spacing w:before="40" w:after="40" w:line="220" w:lineRule="exact"/>
              <w:rPr>
                <w:sz w:val="18"/>
                <w:lang w:val="fr-CH"/>
              </w:rPr>
            </w:pPr>
            <w:r w:rsidRPr="0071782F">
              <w:rPr>
                <w:sz w:val="18"/>
                <w:lang w:val="fr-CH"/>
              </w:rPr>
              <w:t xml:space="preserve">Personnes qui reçoivent du Programme Shahid-Rajai une assistance pour les dépenses courantes </w:t>
            </w:r>
          </w:p>
        </w:tc>
        <w:tc>
          <w:tcPr>
            <w:tcW w:w="1560" w:type="dxa"/>
            <w:tcBorders>
              <w:top w:val="nil"/>
              <w:bottom w:val="nil"/>
            </w:tcBorders>
            <w:shd w:val="clear" w:color="auto" w:fill="auto"/>
            <w:vAlign w:val="bottom"/>
          </w:tcPr>
          <w:p w:rsidR="00DD2B20" w:rsidRPr="0071782F" w:rsidRDefault="00DD2B20" w:rsidP="009D7118">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tcBorders>
              <w:top w:val="nil"/>
              <w:bottom w:val="nil"/>
            </w:tcBorders>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1 562</w:t>
            </w:r>
          </w:p>
        </w:tc>
        <w:tc>
          <w:tcPr>
            <w:tcW w:w="1701" w:type="dxa"/>
            <w:tcBorders>
              <w:top w:val="nil"/>
              <w:bottom w:val="nil"/>
            </w:tcBorders>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0</w:t>
            </w:r>
            <w:r w:rsidR="009D7118" w:rsidRPr="0071782F">
              <w:rPr>
                <w:sz w:val="18"/>
                <w:lang w:val="fr-CH"/>
              </w:rPr>
              <w:t>,</w:t>
            </w:r>
            <w:r w:rsidRPr="0071782F">
              <w:rPr>
                <w:sz w:val="18"/>
                <w:lang w:val="fr-CH"/>
              </w:rPr>
              <w:t>6</w:t>
            </w:r>
          </w:p>
        </w:tc>
      </w:tr>
      <w:tr w:rsidR="00DD2B20" w:rsidRPr="0071782F">
        <w:tc>
          <w:tcPr>
            <w:tcW w:w="4536" w:type="dxa"/>
            <w:tcBorders>
              <w:top w:val="nil"/>
            </w:tcBorders>
            <w:shd w:val="clear" w:color="auto" w:fill="auto"/>
          </w:tcPr>
          <w:p w:rsidR="00DD2B20" w:rsidRPr="0071782F" w:rsidRDefault="000011B3" w:rsidP="009D7118">
            <w:pPr>
              <w:suppressAutoHyphens w:val="0"/>
              <w:spacing w:before="40" w:after="40" w:line="220" w:lineRule="exact"/>
              <w:rPr>
                <w:sz w:val="18"/>
                <w:lang w:val="fr-CH"/>
              </w:rPr>
            </w:pPr>
            <w:r w:rsidRPr="0071782F">
              <w:rPr>
                <w:sz w:val="18"/>
                <w:lang w:val="fr-CH"/>
              </w:rPr>
              <w:t xml:space="preserve">Familles dont le chef est une femme recevant une assistance du </w:t>
            </w:r>
            <w:r w:rsidRPr="0071782F">
              <w:rPr>
                <w:sz w:val="18"/>
                <w:szCs w:val="18"/>
                <w:lang w:val="fr-CH"/>
              </w:rPr>
              <w:t>Comité de secours de l’Imam Khomeini</w:t>
            </w:r>
            <w:r w:rsidRPr="0071782F">
              <w:rPr>
                <w:sz w:val="18"/>
                <w:lang w:val="fr-CH"/>
              </w:rPr>
              <w:t xml:space="preserve"> </w:t>
            </w:r>
          </w:p>
        </w:tc>
        <w:tc>
          <w:tcPr>
            <w:tcW w:w="1560" w:type="dxa"/>
            <w:tcBorders>
              <w:top w:val="nil"/>
            </w:tcBorders>
            <w:shd w:val="clear" w:color="auto" w:fill="auto"/>
            <w:vAlign w:val="bottom"/>
          </w:tcPr>
          <w:p w:rsidR="00DD2B20" w:rsidRPr="0071782F" w:rsidRDefault="00DD2B20" w:rsidP="009D7118">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tcBorders>
              <w:top w:val="nil"/>
            </w:tcBorders>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1 013</w:t>
            </w:r>
          </w:p>
        </w:tc>
        <w:tc>
          <w:tcPr>
            <w:tcW w:w="1701" w:type="dxa"/>
            <w:tcBorders>
              <w:top w:val="nil"/>
            </w:tcBorders>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6</w:t>
            </w:r>
            <w:r w:rsidR="009D7118" w:rsidRPr="0071782F">
              <w:rPr>
                <w:sz w:val="18"/>
                <w:lang w:val="fr-CH"/>
              </w:rPr>
              <w:t>,</w:t>
            </w:r>
            <w:r w:rsidRPr="0071782F">
              <w:rPr>
                <w:sz w:val="18"/>
                <w:lang w:val="fr-CH"/>
              </w:rPr>
              <w:t>1</w:t>
            </w:r>
          </w:p>
        </w:tc>
      </w:tr>
      <w:tr w:rsidR="00DD2B20" w:rsidRPr="0071782F">
        <w:tc>
          <w:tcPr>
            <w:tcW w:w="4536" w:type="dxa"/>
            <w:shd w:val="clear" w:color="auto" w:fill="auto"/>
          </w:tcPr>
          <w:p w:rsidR="00DD2B20" w:rsidRPr="0071782F" w:rsidRDefault="000011B3" w:rsidP="009D7118">
            <w:pPr>
              <w:suppressAutoHyphens w:val="0"/>
              <w:spacing w:before="40" w:after="40" w:line="220" w:lineRule="exact"/>
              <w:rPr>
                <w:sz w:val="18"/>
                <w:lang w:val="fr-CH"/>
              </w:rPr>
            </w:pPr>
            <w:r w:rsidRPr="0071782F">
              <w:rPr>
                <w:sz w:val="18"/>
                <w:lang w:val="fr-CH"/>
              </w:rPr>
              <w:t xml:space="preserve">Nombre </w:t>
            </w:r>
            <w:r w:rsidR="00D82C96" w:rsidRPr="0071782F">
              <w:rPr>
                <w:sz w:val="18"/>
                <w:lang w:val="fr-CH"/>
              </w:rPr>
              <w:t>de personnes</w:t>
            </w:r>
            <w:r w:rsidRPr="0071782F">
              <w:rPr>
                <w:sz w:val="18"/>
                <w:lang w:val="fr-CH"/>
              </w:rPr>
              <w:t xml:space="preserve"> assurées au titre de la couverture des services médicaux offerte par le </w:t>
            </w:r>
            <w:r w:rsidRPr="0071782F">
              <w:rPr>
                <w:sz w:val="18"/>
                <w:szCs w:val="18"/>
                <w:lang w:val="fr-CH"/>
              </w:rPr>
              <w:t>Comité de secours de l’Imam Khomeini</w:t>
            </w:r>
            <w:r w:rsidRPr="0071782F">
              <w:rPr>
                <w:sz w:val="18"/>
                <w:lang w:val="fr-CH"/>
              </w:rPr>
              <w:t xml:space="preserve"> </w:t>
            </w:r>
          </w:p>
        </w:tc>
        <w:tc>
          <w:tcPr>
            <w:tcW w:w="1560" w:type="dxa"/>
            <w:shd w:val="clear" w:color="auto" w:fill="auto"/>
            <w:vAlign w:val="bottom"/>
          </w:tcPr>
          <w:p w:rsidR="00DD2B20" w:rsidRPr="0071782F" w:rsidRDefault="00DD2B20" w:rsidP="009D7118">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1 518</w:t>
            </w:r>
          </w:p>
        </w:tc>
        <w:tc>
          <w:tcPr>
            <w:tcW w:w="1701" w:type="dxa"/>
            <w:shd w:val="clear" w:color="auto" w:fill="auto"/>
            <w:vAlign w:val="bottom"/>
          </w:tcPr>
          <w:p w:rsidR="00DD2B20" w:rsidRPr="0071782F" w:rsidRDefault="00DD2B20" w:rsidP="009D7118">
            <w:pPr>
              <w:suppressAutoHyphens w:val="0"/>
              <w:spacing w:before="40" w:after="40" w:line="220" w:lineRule="exact"/>
              <w:jc w:val="right"/>
              <w:rPr>
                <w:sz w:val="18"/>
                <w:lang w:val="fr-CH"/>
              </w:rPr>
            </w:pPr>
            <w:r w:rsidRPr="0071782F">
              <w:rPr>
                <w:sz w:val="18"/>
                <w:lang w:val="fr-CH"/>
              </w:rPr>
              <w:t>1</w:t>
            </w:r>
            <w:r w:rsidR="009D7118" w:rsidRPr="0071782F">
              <w:rPr>
                <w:sz w:val="18"/>
                <w:lang w:val="fr-CH"/>
              </w:rPr>
              <w:t>,</w:t>
            </w:r>
            <w:r w:rsidRPr="0071782F">
              <w:rPr>
                <w:sz w:val="18"/>
                <w:lang w:val="fr-CH"/>
              </w:rPr>
              <w:t>7</w:t>
            </w:r>
          </w:p>
        </w:tc>
      </w:tr>
    </w:tbl>
    <w:p w:rsidR="00DD2B20" w:rsidRPr="0071782F" w:rsidRDefault="00DD2B20" w:rsidP="00DD2B20">
      <w:pPr>
        <w:pStyle w:val="H23G"/>
        <w:rPr>
          <w:lang w:val="fr-CH"/>
        </w:rPr>
      </w:pPr>
      <w:r w:rsidRPr="0071782F">
        <w:rPr>
          <w:lang w:val="fr-CH"/>
        </w:rPr>
        <w:tab/>
      </w:r>
      <w:r w:rsidRPr="0071782F">
        <w:rPr>
          <w:lang w:val="fr-CH"/>
        </w:rPr>
        <w:tab/>
      </w:r>
      <w:r w:rsidR="000011B3" w:rsidRPr="0071782F">
        <w:rPr>
          <w:lang w:val="fr-CH"/>
        </w:rPr>
        <w:t xml:space="preserve">Indicateurs de la sécurité sociale </w:t>
      </w:r>
      <w:r w:rsidRPr="0071782F">
        <w:rPr>
          <w:lang w:val="fr-CH"/>
        </w:rPr>
        <w:t>– 2008</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536"/>
        <w:gridCol w:w="1560"/>
        <w:gridCol w:w="708"/>
        <w:gridCol w:w="1701"/>
      </w:tblGrid>
      <w:tr w:rsidR="00DD2B20" w:rsidRPr="0071782F">
        <w:trPr>
          <w:tblHeader/>
        </w:trPr>
        <w:tc>
          <w:tcPr>
            <w:tcW w:w="4536" w:type="dxa"/>
            <w:tcBorders>
              <w:top w:val="single" w:sz="4" w:space="0" w:color="auto"/>
              <w:bottom w:val="single" w:sz="12" w:space="0" w:color="auto"/>
            </w:tcBorders>
            <w:shd w:val="clear" w:color="auto" w:fill="auto"/>
            <w:vAlign w:val="bottom"/>
          </w:tcPr>
          <w:p w:rsidR="00DD2B20" w:rsidRPr="0071782F" w:rsidRDefault="00DD2B20" w:rsidP="00D21456">
            <w:pPr>
              <w:suppressAutoHyphens w:val="0"/>
              <w:spacing w:before="80" w:after="80" w:line="200" w:lineRule="exact"/>
              <w:rPr>
                <w:i/>
                <w:sz w:val="16"/>
                <w:lang w:val="fr-CH"/>
              </w:rPr>
            </w:pPr>
            <w:r w:rsidRPr="0071782F">
              <w:rPr>
                <w:i/>
                <w:sz w:val="16"/>
                <w:lang w:val="fr-CH"/>
              </w:rPr>
              <w:t>Indicat</w:t>
            </w:r>
            <w:r w:rsidR="000011B3" w:rsidRPr="0071782F">
              <w:rPr>
                <w:i/>
                <w:sz w:val="16"/>
                <w:lang w:val="fr-CH"/>
              </w:rPr>
              <w:t>eu</w:t>
            </w:r>
            <w:r w:rsidRPr="0071782F">
              <w:rPr>
                <w:i/>
                <w:sz w:val="16"/>
                <w:lang w:val="fr-CH"/>
              </w:rPr>
              <w:t>r</w:t>
            </w:r>
          </w:p>
        </w:tc>
        <w:tc>
          <w:tcPr>
            <w:tcW w:w="1560" w:type="dxa"/>
            <w:tcBorders>
              <w:top w:val="single" w:sz="4" w:space="0" w:color="auto"/>
              <w:bottom w:val="single" w:sz="12" w:space="0" w:color="auto"/>
            </w:tcBorders>
            <w:shd w:val="clear" w:color="auto" w:fill="auto"/>
            <w:vAlign w:val="bottom"/>
          </w:tcPr>
          <w:p w:rsidR="00DD2B20" w:rsidRPr="0071782F" w:rsidRDefault="00DD2B20" w:rsidP="00D21456">
            <w:pPr>
              <w:suppressAutoHyphens w:val="0"/>
              <w:spacing w:before="80" w:after="80" w:line="200" w:lineRule="exact"/>
              <w:rPr>
                <w:i/>
                <w:sz w:val="16"/>
                <w:lang w:val="fr-CH"/>
              </w:rPr>
            </w:pPr>
            <w:r w:rsidRPr="0071782F">
              <w:rPr>
                <w:i/>
                <w:sz w:val="16"/>
                <w:lang w:val="fr-CH"/>
              </w:rPr>
              <w:t>Unit</w:t>
            </w:r>
            <w:r w:rsidR="000011B3" w:rsidRPr="0071782F">
              <w:rPr>
                <w:i/>
                <w:sz w:val="16"/>
                <w:lang w:val="fr-CH"/>
              </w:rPr>
              <w:t>é</w:t>
            </w:r>
          </w:p>
        </w:tc>
        <w:tc>
          <w:tcPr>
            <w:tcW w:w="708" w:type="dxa"/>
            <w:tcBorders>
              <w:top w:val="single" w:sz="4" w:space="0" w:color="auto"/>
              <w:bottom w:val="single" w:sz="12" w:space="0" w:color="auto"/>
            </w:tcBorders>
            <w:shd w:val="clear" w:color="auto" w:fill="auto"/>
            <w:vAlign w:val="bottom"/>
          </w:tcPr>
          <w:p w:rsidR="00DD2B20" w:rsidRPr="0071782F" w:rsidRDefault="003B48A4" w:rsidP="00D21456">
            <w:pPr>
              <w:suppressAutoHyphens w:val="0"/>
              <w:spacing w:before="80" w:after="80" w:line="200" w:lineRule="exact"/>
              <w:jc w:val="right"/>
              <w:rPr>
                <w:i/>
                <w:sz w:val="16"/>
                <w:lang w:val="fr-CH"/>
              </w:rPr>
            </w:pPr>
            <w:r w:rsidRPr="0071782F">
              <w:rPr>
                <w:i/>
                <w:sz w:val="16"/>
                <w:lang w:val="fr-CH"/>
              </w:rPr>
              <w:t>Nombre</w:t>
            </w:r>
          </w:p>
        </w:tc>
        <w:tc>
          <w:tcPr>
            <w:tcW w:w="1701" w:type="dxa"/>
            <w:tcBorders>
              <w:top w:val="single" w:sz="4" w:space="0" w:color="auto"/>
              <w:bottom w:val="single" w:sz="12" w:space="0" w:color="auto"/>
            </w:tcBorders>
            <w:shd w:val="clear" w:color="auto" w:fill="auto"/>
            <w:vAlign w:val="bottom"/>
          </w:tcPr>
          <w:p w:rsidR="00DD2B20" w:rsidRPr="0071782F" w:rsidRDefault="00CF03DE" w:rsidP="00D21456">
            <w:pPr>
              <w:suppressAutoHyphens w:val="0"/>
              <w:spacing w:before="80" w:after="80" w:line="200" w:lineRule="exact"/>
              <w:jc w:val="right"/>
              <w:rPr>
                <w:i/>
                <w:sz w:val="16"/>
                <w:lang w:val="fr-CH"/>
              </w:rPr>
            </w:pPr>
            <w:r w:rsidRPr="0071782F">
              <w:rPr>
                <w:i/>
                <w:sz w:val="16"/>
                <w:lang w:val="fr-CH"/>
              </w:rPr>
              <w:t xml:space="preserve">Variation en pourcentage </w:t>
            </w:r>
            <w:r w:rsidRPr="0071782F">
              <w:rPr>
                <w:i/>
                <w:sz w:val="16"/>
                <w:lang w:val="fr-CH"/>
              </w:rPr>
              <w:br/>
              <w:t>(par rapport à 2007</w:t>
            </w:r>
            <w:r w:rsidR="00DD2B20" w:rsidRPr="0071782F">
              <w:rPr>
                <w:i/>
                <w:sz w:val="16"/>
                <w:lang w:val="fr-CH"/>
              </w:rPr>
              <w:t>)</w:t>
            </w:r>
          </w:p>
        </w:tc>
      </w:tr>
      <w:tr w:rsidR="00DD2B20" w:rsidRPr="0071782F">
        <w:tc>
          <w:tcPr>
            <w:tcW w:w="4536" w:type="dxa"/>
            <w:tcBorders>
              <w:top w:val="single" w:sz="12" w:space="0" w:color="auto"/>
              <w:bottom w:val="nil"/>
            </w:tcBorders>
            <w:shd w:val="clear" w:color="auto" w:fill="auto"/>
          </w:tcPr>
          <w:p w:rsidR="00DD2B20" w:rsidRPr="0071782F" w:rsidRDefault="00FA5F61" w:rsidP="00D21456">
            <w:pPr>
              <w:suppressAutoHyphens w:val="0"/>
              <w:spacing w:before="40" w:after="40" w:line="220" w:lineRule="exact"/>
              <w:rPr>
                <w:sz w:val="18"/>
                <w:lang w:val="fr-CH"/>
              </w:rPr>
            </w:pPr>
            <w:r w:rsidRPr="0071782F">
              <w:rPr>
                <w:sz w:val="18"/>
                <w:lang w:val="fr-CH"/>
              </w:rPr>
              <w:t xml:space="preserve">Personnes assurées par l’Organisme de sécurité sociale à la fin de l’année </w:t>
            </w:r>
          </w:p>
        </w:tc>
        <w:tc>
          <w:tcPr>
            <w:tcW w:w="1560" w:type="dxa"/>
            <w:tcBorders>
              <w:top w:val="single" w:sz="12" w:space="0" w:color="auto"/>
              <w:bottom w:val="nil"/>
            </w:tcBorders>
            <w:shd w:val="clear" w:color="auto" w:fill="auto"/>
            <w:vAlign w:val="bottom"/>
          </w:tcPr>
          <w:p w:rsidR="00DD2B20" w:rsidRPr="0071782F" w:rsidRDefault="00DD2B20" w:rsidP="00D21456">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tcBorders>
              <w:top w:val="single" w:sz="12" w:space="0" w:color="auto"/>
              <w:bottom w:val="nil"/>
            </w:tcBorders>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9 152</w:t>
            </w:r>
          </w:p>
        </w:tc>
        <w:tc>
          <w:tcPr>
            <w:tcW w:w="1701" w:type="dxa"/>
            <w:tcBorders>
              <w:top w:val="single" w:sz="12" w:space="0" w:color="auto"/>
              <w:bottom w:val="nil"/>
            </w:tcBorders>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8</w:t>
            </w:r>
            <w:r w:rsidR="00D21456" w:rsidRPr="0071782F">
              <w:rPr>
                <w:sz w:val="18"/>
                <w:lang w:val="fr-CH"/>
              </w:rPr>
              <w:t>,</w:t>
            </w:r>
            <w:r w:rsidRPr="0071782F">
              <w:rPr>
                <w:sz w:val="18"/>
                <w:lang w:val="fr-CH"/>
              </w:rPr>
              <w:t>4</w:t>
            </w:r>
          </w:p>
        </w:tc>
      </w:tr>
      <w:tr w:rsidR="00DD2B20" w:rsidRPr="0071782F">
        <w:tc>
          <w:tcPr>
            <w:tcW w:w="4536" w:type="dxa"/>
            <w:tcBorders>
              <w:top w:val="nil"/>
            </w:tcBorders>
            <w:shd w:val="clear" w:color="auto" w:fill="auto"/>
          </w:tcPr>
          <w:p w:rsidR="00DD2B20" w:rsidRPr="0071782F" w:rsidRDefault="00FA5F61" w:rsidP="00D21456">
            <w:pPr>
              <w:suppressAutoHyphens w:val="0"/>
              <w:spacing w:before="40" w:after="40" w:line="220" w:lineRule="exact"/>
              <w:rPr>
                <w:sz w:val="18"/>
                <w:lang w:val="fr-CH"/>
              </w:rPr>
            </w:pPr>
            <w:r w:rsidRPr="0071782F">
              <w:rPr>
                <w:sz w:val="18"/>
                <w:lang w:val="fr-CH"/>
              </w:rPr>
              <w:t xml:space="preserve">Personnes assurées par l’Organisme de sécurité sociale à la fin de l’année, y compris </w:t>
            </w:r>
            <w:r w:rsidR="00A233C2" w:rsidRPr="0071782F">
              <w:rPr>
                <w:sz w:val="18"/>
                <w:lang w:val="fr-CH"/>
              </w:rPr>
              <w:t>les personnes</w:t>
            </w:r>
            <w:r w:rsidRPr="0071782F">
              <w:rPr>
                <w:sz w:val="18"/>
                <w:lang w:val="fr-CH"/>
              </w:rPr>
              <w:t xml:space="preserve"> à leur charge</w:t>
            </w:r>
          </w:p>
        </w:tc>
        <w:tc>
          <w:tcPr>
            <w:tcW w:w="1560" w:type="dxa"/>
            <w:tcBorders>
              <w:top w:val="nil"/>
            </w:tcBorders>
            <w:shd w:val="clear" w:color="auto" w:fill="auto"/>
            <w:vAlign w:val="bottom"/>
          </w:tcPr>
          <w:p w:rsidR="00DD2B20" w:rsidRPr="0071782F" w:rsidRDefault="00DD2B20" w:rsidP="00D21456">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tcBorders>
              <w:top w:val="nil"/>
            </w:tcBorders>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25 365</w:t>
            </w:r>
          </w:p>
        </w:tc>
        <w:tc>
          <w:tcPr>
            <w:tcW w:w="1701" w:type="dxa"/>
            <w:tcBorders>
              <w:top w:val="nil"/>
            </w:tcBorders>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w:t>
            </w:r>
            <w:r w:rsidR="00D21456" w:rsidRPr="0071782F">
              <w:rPr>
                <w:sz w:val="18"/>
                <w:lang w:val="fr-CH"/>
              </w:rPr>
              <w:t>,</w:t>
            </w:r>
            <w:r w:rsidRPr="0071782F">
              <w:rPr>
                <w:sz w:val="18"/>
                <w:lang w:val="fr-CH"/>
              </w:rPr>
              <w:t>8</w:t>
            </w:r>
          </w:p>
        </w:tc>
      </w:tr>
      <w:tr w:rsidR="00DD2B20" w:rsidRPr="0071782F">
        <w:tc>
          <w:tcPr>
            <w:tcW w:w="4536" w:type="dxa"/>
            <w:shd w:val="clear" w:color="auto" w:fill="auto"/>
          </w:tcPr>
          <w:p w:rsidR="00DD2B20" w:rsidRPr="0071782F" w:rsidRDefault="00FA5F61" w:rsidP="00D21456">
            <w:pPr>
              <w:suppressAutoHyphens w:val="0"/>
              <w:spacing w:before="40" w:after="40" w:line="220" w:lineRule="exact"/>
              <w:rPr>
                <w:sz w:val="18"/>
                <w:lang w:val="fr-CH"/>
              </w:rPr>
            </w:pPr>
            <w:r w:rsidRPr="0071782F">
              <w:rPr>
                <w:sz w:val="18"/>
                <w:lang w:val="fr-CH"/>
              </w:rPr>
              <w:t xml:space="preserve">Personnes touchant une pension couvertes par l’Organisme de sécurité sociale, y compris </w:t>
            </w:r>
            <w:r w:rsidR="00A233C2" w:rsidRPr="0071782F">
              <w:rPr>
                <w:sz w:val="18"/>
                <w:lang w:val="fr-CH"/>
              </w:rPr>
              <w:t>les personnes</w:t>
            </w:r>
            <w:r w:rsidRPr="0071782F">
              <w:rPr>
                <w:sz w:val="18"/>
                <w:lang w:val="fr-CH"/>
              </w:rPr>
              <w:t xml:space="preserve"> à leur charge, à la fin de l’année</w:t>
            </w:r>
          </w:p>
        </w:tc>
        <w:tc>
          <w:tcPr>
            <w:tcW w:w="1560" w:type="dxa"/>
            <w:shd w:val="clear" w:color="auto" w:fill="auto"/>
            <w:vAlign w:val="bottom"/>
          </w:tcPr>
          <w:p w:rsidR="00DD2B20" w:rsidRPr="0071782F" w:rsidRDefault="00DD2B20" w:rsidP="00D21456">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3 675</w:t>
            </w:r>
          </w:p>
        </w:tc>
        <w:tc>
          <w:tcPr>
            <w:tcW w:w="1701"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8</w:t>
            </w:r>
            <w:r w:rsidR="00D21456" w:rsidRPr="0071782F">
              <w:rPr>
                <w:sz w:val="18"/>
                <w:lang w:val="fr-CH"/>
              </w:rPr>
              <w:t>,</w:t>
            </w:r>
            <w:r w:rsidRPr="0071782F">
              <w:rPr>
                <w:sz w:val="18"/>
                <w:lang w:val="fr-CH"/>
              </w:rPr>
              <w:t>5</w:t>
            </w:r>
          </w:p>
        </w:tc>
      </w:tr>
      <w:tr w:rsidR="00DD2B20" w:rsidRPr="0071782F">
        <w:tc>
          <w:tcPr>
            <w:tcW w:w="4536" w:type="dxa"/>
            <w:shd w:val="clear" w:color="auto" w:fill="auto"/>
          </w:tcPr>
          <w:p w:rsidR="00DD2B20" w:rsidRPr="0071782F" w:rsidRDefault="00FA5F61" w:rsidP="00D21456">
            <w:pPr>
              <w:suppressAutoHyphens w:val="0"/>
              <w:spacing w:before="40" w:after="40" w:line="220" w:lineRule="exact"/>
              <w:rPr>
                <w:sz w:val="18"/>
                <w:lang w:val="fr-CH"/>
              </w:rPr>
            </w:pPr>
            <w:r w:rsidRPr="0071782F">
              <w:rPr>
                <w:sz w:val="18"/>
                <w:lang w:val="fr-CH"/>
              </w:rPr>
              <w:t xml:space="preserve">Personnes survivant à </w:t>
            </w:r>
            <w:r w:rsidR="007F37CE" w:rsidRPr="0071782F">
              <w:rPr>
                <w:sz w:val="18"/>
                <w:lang w:val="fr-CH"/>
              </w:rPr>
              <w:t>des personnes</w:t>
            </w:r>
            <w:r w:rsidRPr="0071782F">
              <w:rPr>
                <w:sz w:val="18"/>
                <w:lang w:val="fr-CH"/>
              </w:rPr>
              <w:t xml:space="preserve"> assurées décédées des suites d’un accident du travail </w:t>
            </w:r>
          </w:p>
        </w:tc>
        <w:tc>
          <w:tcPr>
            <w:tcW w:w="1560" w:type="dxa"/>
            <w:shd w:val="clear" w:color="auto" w:fill="auto"/>
            <w:vAlign w:val="bottom"/>
          </w:tcPr>
          <w:p w:rsidR="00DD2B20" w:rsidRPr="0071782F" w:rsidRDefault="00DD2B20" w:rsidP="00D21456">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83</w:t>
            </w:r>
          </w:p>
        </w:tc>
        <w:tc>
          <w:tcPr>
            <w:tcW w:w="1701"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-29</w:t>
            </w:r>
            <w:r w:rsidR="00D21456" w:rsidRPr="0071782F">
              <w:rPr>
                <w:sz w:val="18"/>
                <w:lang w:val="fr-CH"/>
              </w:rPr>
              <w:t>,</w:t>
            </w:r>
            <w:r w:rsidRPr="0071782F">
              <w:rPr>
                <w:sz w:val="18"/>
                <w:lang w:val="fr-CH"/>
              </w:rPr>
              <w:t>1</w:t>
            </w:r>
          </w:p>
        </w:tc>
      </w:tr>
      <w:tr w:rsidR="00DD2B20" w:rsidRPr="0071782F">
        <w:tc>
          <w:tcPr>
            <w:tcW w:w="4536" w:type="dxa"/>
            <w:shd w:val="clear" w:color="auto" w:fill="auto"/>
          </w:tcPr>
          <w:p w:rsidR="00DD2B20" w:rsidRPr="0071782F" w:rsidRDefault="00FA5F61" w:rsidP="00D21456">
            <w:pPr>
              <w:suppressAutoHyphens w:val="0"/>
              <w:spacing w:before="40" w:after="40" w:line="220" w:lineRule="exact"/>
              <w:rPr>
                <w:sz w:val="18"/>
                <w:lang w:val="fr-CH"/>
              </w:rPr>
            </w:pPr>
            <w:r w:rsidRPr="0071782F">
              <w:rPr>
                <w:sz w:val="18"/>
                <w:lang w:val="fr-CH"/>
              </w:rPr>
              <w:t xml:space="preserve">Personnes survivant à </w:t>
            </w:r>
            <w:r w:rsidR="007F37CE" w:rsidRPr="0071782F">
              <w:rPr>
                <w:sz w:val="18"/>
                <w:lang w:val="fr-CH"/>
              </w:rPr>
              <w:t>des personnes</w:t>
            </w:r>
            <w:r w:rsidRPr="0071782F">
              <w:rPr>
                <w:sz w:val="18"/>
                <w:lang w:val="fr-CH"/>
              </w:rPr>
              <w:t xml:space="preserve"> assurées rendues handicapées par un accident du travail</w:t>
            </w:r>
          </w:p>
        </w:tc>
        <w:tc>
          <w:tcPr>
            <w:tcW w:w="1560" w:type="dxa"/>
            <w:shd w:val="clear" w:color="auto" w:fill="auto"/>
            <w:vAlign w:val="bottom"/>
          </w:tcPr>
          <w:p w:rsidR="00DD2B20" w:rsidRPr="0071782F" w:rsidRDefault="00DD2B20" w:rsidP="00D21456">
            <w:pPr>
              <w:suppressAutoHyphens w:val="0"/>
              <w:spacing w:before="40" w:after="40" w:line="220" w:lineRule="exact"/>
              <w:rPr>
                <w:sz w:val="18"/>
                <w:lang w:val="fr-CH"/>
              </w:rPr>
            </w:pPr>
            <w:r w:rsidRPr="0071782F">
              <w:rPr>
                <w:sz w:val="18"/>
                <w:lang w:val="fr-CH"/>
              </w:rPr>
              <w:t>1 000</w:t>
            </w:r>
            <w:r w:rsidR="00097CDB" w:rsidRPr="0071782F">
              <w:rPr>
                <w:sz w:val="18"/>
                <w:lang w:val="fr-CH"/>
              </w:rPr>
              <w:t> personnes</w:t>
            </w:r>
          </w:p>
        </w:tc>
        <w:tc>
          <w:tcPr>
            <w:tcW w:w="708"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1 050</w:t>
            </w:r>
          </w:p>
        </w:tc>
        <w:tc>
          <w:tcPr>
            <w:tcW w:w="1701"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-11</w:t>
            </w:r>
            <w:r w:rsidR="00D21456" w:rsidRPr="0071782F">
              <w:rPr>
                <w:sz w:val="18"/>
                <w:lang w:val="fr-CH"/>
              </w:rPr>
              <w:t>,</w:t>
            </w:r>
            <w:r w:rsidRPr="0071782F">
              <w:rPr>
                <w:sz w:val="18"/>
                <w:lang w:val="fr-CH"/>
              </w:rPr>
              <w:t>3</w:t>
            </w:r>
          </w:p>
        </w:tc>
      </w:tr>
    </w:tbl>
    <w:p w:rsidR="00DD2B20" w:rsidRPr="0071782F" w:rsidRDefault="00DD2B20" w:rsidP="006D1BAC">
      <w:pPr>
        <w:spacing w:before="120"/>
        <w:ind w:left="1134" w:right="1134" w:firstLine="170"/>
        <w:rPr>
          <w:sz w:val="18"/>
          <w:lang w:val="fr-CH"/>
        </w:rPr>
      </w:pPr>
      <w:r w:rsidRPr="0071782F">
        <w:rPr>
          <w:i/>
          <w:sz w:val="18"/>
          <w:lang w:val="fr-CH"/>
        </w:rPr>
        <w:t>Source</w:t>
      </w:r>
      <w:r w:rsidR="008F7D33" w:rsidRPr="0071782F">
        <w:rPr>
          <w:i/>
          <w:sz w:val="18"/>
          <w:lang w:val="fr-CH"/>
        </w:rPr>
        <w:t>:</w:t>
      </w:r>
      <w:r w:rsidRPr="0071782F">
        <w:rPr>
          <w:sz w:val="18"/>
          <w:lang w:val="fr-CH"/>
        </w:rPr>
        <w:t xml:space="preserve"> </w:t>
      </w:r>
      <w:r w:rsidR="00FA5F61" w:rsidRPr="0071782F">
        <w:rPr>
          <w:sz w:val="18"/>
          <w:lang w:val="fr-CH"/>
        </w:rPr>
        <w:t>Organisme de sécurité sociale</w:t>
      </w:r>
      <w:r w:rsidRPr="0071782F">
        <w:rPr>
          <w:sz w:val="18"/>
          <w:lang w:val="fr-CH"/>
        </w:rPr>
        <w:t>.</w:t>
      </w:r>
    </w:p>
    <w:p w:rsidR="00DD2B20" w:rsidRPr="0071782F" w:rsidRDefault="00DD2B20" w:rsidP="00DD2B20">
      <w:pPr>
        <w:pStyle w:val="H23G"/>
        <w:rPr>
          <w:lang w:val="fr-CH"/>
        </w:rPr>
      </w:pPr>
      <w:r w:rsidRPr="0071782F">
        <w:rPr>
          <w:lang w:val="fr-CH"/>
        </w:rPr>
        <w:tab/>
      </w:r>
      <w:r w:rsidRPr="0071782F">
        <w:rPr>
          <w:lang w:val="fr-CH"/>
        </w:rPr>
        <w:tab/>
        <w:t>Unit</w:t>
      </w:r>
      <w:r w:rsidR="00FA5F61" w:rsidRPr="0071782F">
        <w:rPr>
          <w:lang w:val="fr-CH"/>
        </w:rPr>
        <w:t>é</w:t>
      </w:r>
      <w:r w:rsidRPr="0071782F">
        <w:rPr>
          <w:lang w:val="fr-CH"/>
        </w:rPr>
        <w:t xml:space="preserve">s </w:t>
      </w:r>
      <w:r w:rsidR="00FA5F61" w:rsidRPr="0071782F">
        <w:rPr>
          <w:lang w:val="fr-CH"/>
        </w:rPr>
        <w:t xml:space="preserve">couvertes par l’Organisme de sécurité sociale, par régime d’assurance </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466"/>
        <w:gridCol w:w="1000"/>
        <w:gridCol w:w="1166"/>
        <w:gridCol w:w="1134"/>
        <w:gridCol w:w="1200"/>
        <w:gridCol w:w="1404"/>
      </w:tblGrid>
      <w:tr w:rsidR="00DD2B20" w:rsidRPr="0071782F">
        <w:trPr>
          <w:cantSplit/>
          <w:trHeight w:val="20"/>
          <w:tblHeader/>
        </w:trPr>
        <w:tc>
          <w:tcPr>
            <w:tcW w:w="1466" w:type="dxa"/>
            <w:vMerge w:val="restart"/>
            <w:tcBorders>
              <w:top w:val="single" w:sz="4" w:space="0" w:color="auto"/>
              <w:bottom w:val="single" w:sz="12" w:space="0" w:color="auto"/>
            </w:tcBorders>
            <w:shd w:val="clear" w:color="000000" w:fill="auto"/>
            <w:vAlign w:val="bottom"/>
          </w:tcPr>
          <w:p w:rsidR="00DD2B20" w:rsidRPr="0071782F" w:rsidRDefault="00FA5F61" w:rsidP="00D21456">
            <w:pPr>
              <w:suppressAutoHyphens w:val="0"/>
              <w:spacing w:before="80" w:after="80" w:line="200" w:lineRule="exact"/>
              <w:rPr>
                <w:i/>
                <w:sz w:val="16"/>
                <w:szCs w:val="16"/>
                <w:lang w:val="fr-CH"/>
              </w:rPr>
            </w:pPr>
            <w:r w:rsidRPr="0071782F">
              <w:rPr>
                <w:i/>
                <w:sz w:val="16"/>
                <w:szCs w:val="16"/>
                <w:lang w:val="fr-CH"/>
              </w:rPr>
              <w:t xml:space="preserve">Année et </w:t>
            </w:r>
            <w:r w:rsidR="00DD2B20" w:rsidRPr="0071782F">
              <w:rPr>
                <w:i/>
                <w:sz w:val="16"/>
                <w:szCs w:val="16"/>
                <w:lang w:val="fr-CH"/>
              </w:rPr>
              <w:t>province</w:t>
            </w:r>
          </w:p>
        </w:tc>
        <w:tc>
          <w:tcPr>
            <w:tcW w:w="1000" w:type="dxa"/>
            <w:vMerge w:val="restart"/>
            <w:tcBorders>
              <w:top w:val="single" w:sz="4" w:space="0" w:color="auto"/>
              <w:bottom w:val="single" w:sz="12" w:space="0" w:color="auto"/>
            </w:tcBorders>
            <w:shd w:val="clear" w:color="000000" w:fill="auto"/>
            <w:vAlign w:val="bottom"/>
          </w:tcPr>
          <w:p w:rsidR="00DD2B20" w:rsidRPr="0071782F" w:rsidRDefault="00DD2B20" w:rsidP="00D21456">
            <w:pPr>
              <w:suppressAutoHyphens w:val="0"/>
              <w:spacing w:before="80" w:after="80" w:line="200" w:lineRule="exact"/>
              <w:jc w:val="right"/>
              <w:rPr>
                <w:b/>
                <w:i/>
                <w:sz w:val="16"/>
                <w:szCs w:val="16"/>
                <w:lang w:val="fr-CH"/>
              </w:rPr>
            </w:pPr>
            <w:r w:rsidRPr="0071782F">
              <w:rPr>
                <w:b/>
                <w:i/>
                <w:sz w:val="16"/>
                <w:szCs w:val="16"/>
                <w:lang w:val="fr-CH"/>
              </w:rPr>
              <w:t>Total</w:t>
            </w:r>
          </w:p>
        </w:tc>
        <w:tc>
          <w:tcPr>
            <w:tcW w:w="3500" w:type="dxa"/>
            <w:gridSpan w:val="3"/>
            <w:tcBorders>
              <w:top w:val="single" w:sz="4" w:space="0" w:color="auto"/>
              <w:bottom w:val="single" w:sz="4" w:space="0" w:color="auto"/>
            </w:tcBorders>
            <w:shd w:val="clear" w:color="000000" w:fill="auto"/>
            <w:vAlign w:val="bottom"/>
          </w:tcPr>
          <w:p w:rsidR="00DD2B20" w:rsidRPr="0071782F" w:rsidRDefault="00FA5F61" w:rsidP="00D21456">
            <w:pPr>
              <w:suppressAutoHyphens w:val="0"/>
              <w:spacing w:before="80" w:after="80" w:line="200" w:lineRule="exact"/>
              <w:jc w:val="center"/>
              <w:rPr>
                <w:i/>
                <w:sz w:val="16"/>
                <w:szCs w:val="16"/>
                <w:lang w:val="fr-CH"/>
              </w:rPr>
            </w:pPr>
            <w:r w:rsidRPr="0071782F">
              <w:rPr>
                <w:i/>
                <w:sz w:val="16"/>
                <w:szCs w:val="16"/>
                <w:lang w:val="fr-CH"/>
              </w:rPr>
              <w:t xml:space="preserve">Publiques </w:t>
            </w:r>
          </w:p>
        </w:tc>
        <w:tc>
          <w:tcPr>
            <w:tcW w:w="1404" w:type="dxa"/>
            <w:vMerge w:val="restart"/>
            <w:tcBorders>
              <w:top w:val="single" w:sz="4" w:space="0" w:color="auto"/>
              <w:bottom w:val="single" w:sz="12" w:space="0" w:color="auto"/>
            </w:tcBorders>
            <w:shd w:val="clear" w:color="000000" w:fill="auto"/>
            <w:vAlign w:val="bottom"/>
          </w:tcPr>
          <w:p w:rsidR="00DD2B20" w:rsidRPr="0071782F" w:rsidRDefault="00DD2B20" w:rsidP="00D21456">
            <w:pPr>
              <w:suppressAutoHyphens w:val="0"/>
              <w:spacing w:before="80" w:after="80" w:line="200" w:lineRule="exact"/>
              <w:jc w:val="right"/>
              <w:rPr>
                <w:i/>
                <w:sz w:val="16"/>
                <w:szCs w:val="16"/>
                <w:lang w:val="fr-CH"/>
              </w:rPr>
            </w:pPr>
            <w:r w:rsidRPr="0071782F">
              <w:rPr>
                <w:i/>
                <w:sz w:val="16"/>
                <w:szCs w:val="16"/>
                <w:lang w:val="fr-CH"/>
              </w:rPr>
              <w:t>Non</w:t>
            </w:r>
            <w:r w:rsidR="00FA5F61" w:rsidRPr="0071782F">
              <w:rPr>
                <w:i/>
                <w:sz w:val="16"/>
                <w:szCs w:val="16"/>
                <w:lang w:val="fr-CH"/>
              </w:rPr>
              <w:t xml:space="preserve"> </w:t>
            </w:r>
            <w:r w:rsidR="00BA77C7" w:rsidRPr="0071782F">
              <w:rPr>
                <w:i/>
                <w:sz w:val="16"/>
                <w:szCs w:val="16"/>
                <w:lang w:val="fr-CH"/>
              </w:rPr>
              <w:t>go</w:t>
            </w:r>
            <w:r w:rsidR="00FA5F61" w:rsidRPr="0071782F">
              <w:rPr>
                <w:i/>
                <w:sz w:val="16"/>
                <w:szCs w:val="16"/>
                <w:lang w:val="fr-CH"/>
              </w:rPr>
              <w:t>u</w:t>
            </w:r>
            <w:r w:rsidR="00BA77C7" w:rsidRPr="0071782F">
              <w:rPr>
                <w:i/>
                <w:sz w:val="16"/>
                <w:szCs w:val="16"/>
                <w:lang w:val="fr-CH"/>
              </w:rPr>
              <w:t>vern</w:t>
            </w:r>
            <w:r w:rsidR="00FA5F61" w:rsidRPr="0071782F">
              <w:rPr>
                <w:i/>
                <w:sz w:val="16"/>
                <w:szCs w:val="16"/>
                <w:lang w:val="fr-CH"/>
              </w:rPr>
              <w:t>e</w:t>
            </w:r>
            <w:r w:rsidR="00BA77C7" w:rsidRPr="0071782F">
              <w:rPr>
                <w:i/>
                <w:sz w:val="16"/>
                <w:szCs w:val="16"/>
                <w:lang w:val="fr-CH"/>
              </w:rPr>
              <w:t>mental</w:t>
            </w:r>
            <w:r w:rsidR="00FA5F61" w:rsidRPr="0071782F">
              <w:rPr>
                <w:i/>
                <w:sz w:val="16"/>
                <w:szCs w:val="16"/>
                <w:lang w:val="fr-CH"/>
              </w:rPr>
              <w:t>es</w:t>
            </w:r>
          </w:p>
        </w:tc>
      </w:tr>
      <w:tr w:rsidR="00DD2B20" w:rsidRPr="0071782F">
        <w:trPr>
          <w:cantSplit/>
          <w:trHeight w:val="20"/>
          <w:tblHeader/>
        </w:trPr>
        <w:tc>
          <w:tcPr>
            <w:tcW w:w="1466" w:type="dxa"/>
            <w:vMerge/>
            <w:tcBorders>
              <w:top w:val="single" w:sz="12" w:space="0" w:color="auto"/>
              <w:bottom w:val="single" w:sz="12" w:space="0" w:color="auto"/>
            </w:tcBorders>
            <w:shd w:val="clear" w:color="000000" w:fill="auto"/>
            <w:vAlign w:val="bottom"/>
          </w:tcPr>
          <w:p w:rsidR="00DD2B20" w:rsidRPr="0071782F" w:rsidRDefault="00DD2B20" w:rsidP="00D21456">
            <w:pPr>
              <w:suppressAutoHyphens w:val="0"/>
              <w:spacing w:before="80" w:after="80" w:line="200" w:lineRule="exact"/>
              <w:rPr>
                <w:i/>
                <w:sz w:val="16"/>
                <w:szCs w:val="16"/>
                <w:lang w:val="fr-CH"/>
              </w:rPr>
            </w:pPr>
          </w:p>
        </w:tc>
        <w:tc>
          <w:tcPr>
            <w:tcW w:w="1000" w:type="dxa"/>
            <w:vMerge/>
            <w:tcBorders>
              <w:top w:val="single" w:sz="12" w:space="0" w:color="auto"/>
              <w:bottom w:val="single" w:sz="12" w:space="0" w:color="auto"/>
            </w:tcBorders>
            <w:shd w:val="clear" w:color="000000" w:fill="auto"/>
            <w:vAlign w:val="bottom"/>
          </w:tcPr>
          <w:p w:rsidR="00DD2B20" w:rsidRPr="0071782F" w:rsidRDefault="00DD2B20" w:rsidP="00D21456">
            <w:pPr>
              <w:suppressAutoHyphens w:val="0"/>
              <w:spacing w:before="80" w:after="80" w:line="200" w:lineRule="exact"/>
              <w:jc w:val="right"/>
              <w:rPr>
                <w:b/>
                <w:i/>
                <w:sz w:val="16"/>
                <w:szCs w:val="16"/>
                <w:lang w:val="fr-CH"/>
              </w:rPr>
            </w:pPr>
          </w:p>
        </w:tc>
        <w:tc>
          <w:tcPr>
            <w:tcW w:w="1166" w:type="dxa"/>
            <w:tcBorders>
              <w:top w:val="single" w:sz="4" w:space="0" w:color="auto"/>
              <w:bottom w:val="single" w:sz="12" w:space="0" w:color="auto"/>
            </w:tcBorders>
            <w:shd w:val="clear" w:color="000000" w:fill="auto"/>
            <w:vAlign w:val="bottom"/>
          </w:tcPr>
          <w:p w:rsidR="00DD2B20" w:rsidRPr="0071782F" w:rsidRDefault="00FA5F61" w:rsidP="00D21456">
            <w:pPr>
              <w:suppressAutoHyphens w:val="0"/>
              <w:spacing w:before="80" w:after="80" w:line="200" w:lineRule="exact"/>
              <w:jc w:val="right"/>
              <w:rPr>
                <w:i/>
                <w:sz w:val="16"/>
                <w:szCs w:val="16"/>
                <w:lang w:val="fr-CH"/>
              </w:rPr>
            </w:pPr>
            <w:r w:rsidRPr="0071782F">
              <w:rPr>
                <w:i/>
                <w:sz w:val="16"/>
                <w:szCs w:val="16"/>
                <w:lang w:val="fr-CH"/>
              </w:rPr>
              <w:t>T</w:t>
            </w:r>
            <w:r w:rsidR="00DD2B20" w:rsidRPr="0071782F">
              <w:rPr>
                <w:i/>
                <w:sz w:val="16"/>
                <w:szCs w:val="16"/>
                <w:lang w:val="fr-CH"/>
              </w:rPr>
              <w:t>ota</w:t>
            </w:r>
            <w:r w:rsidRPr="0071782F">
              <w:rPr>
                <w:i/>
                <w:sz w:val="16"/>
                <w:szCs w:val="16"/>
                <w:lang w:val="fr-CH"/>
              </w:rPr>
              <w:t>l partie</w:t>
            </w:r>
            <w:r w:rsidR="00DD2B20" w:rsidRPr="0071782F">
              <w:rPr>
                <w:i/>
                <w:sz w:val="16"/>
                <w:szCs w:val="16"/>
                <w:lang w:val="fr-CH"/>
              </w:rPr>
              <w:t>l</w:t>
            </w:r>
          </w:p>
        </w:tc>
        <w:tc>
          <w:tcPr>
            <w:tcW w:w="1134" w:type="dxa"/>
            <w:tcBorders>
              <w:top w:val="single" w:sz="4" w:space="0" w:color="auto"/>
              <w:bottom w:val="single" w:sz="12" w:space="0" w:color="auto"/>
            </w:tcBorders>
            <w:shd w:val="clear" w:color="000000" w:fill="auto"/>
            <w:vAlign w:val="bottom"/>
          </w:tcPr>
          <w:p w:rsidR="00DD2B20" w:rsidRPr="0071782F" w:rsidRDefault="00DD2B20" w:rsidP="00D21456">
            <w:pPr>
              <w:suppressAutoHyphens w:val="0"/>
              <w:spacing w:before="80" w:after="80" w:line="200" w:lineRule="exact"/>
              <w:jc w:val="right"/>
              <w:rPr>
                <w:i/>
                <w:sz w:val="16"/>
                <w:szCs w:val="16"/>
                <w:lang w:val="fr-CH"/>
              </w:rPr>
            </w:pPr>
            <w:r w:rsidRPr="0071782F">
              <w:rPr>
                <w:i/>
                <w:sz w:val="16"/>
                <w:szCs w:val="16"/>
                <w:lang w:val="fr-CH"/>
              </w:rPr>
              <w:t>Contractu</w:t>
            </w:r>
            <w:r w:rsidR="00FA5F61" w:rsidRPr="0071782F">
              <w:rPr>
                <w:i/>
                <w:sz w:val="16"/>
                <w:szCs w:val="16"/>
                <w:lang w:val="fr-CH"/>
              </w:rPr>
              <w:t>elles</w:t>
            </w:r>
          </w:p>
        </w:tc>
        <w:tc>
          <w:tcPr>
            <w:tcW w:w="1200" w:type="dxa"/>
            <w:tcBorders>
              <w:top w:val="single" w:sz="4" w:space="0" w:color="auto"/>
              <w:bottom w:val="single" w:sz="12" w:space="0" w:color="auto"/>
            </w:tcBorders>
            <w:shd w:val="clear" w:color="000000" w:fill="auto"/>
            <w:vAlign w:val="bottom"/>
          </w:tcPr>
          <w:p w:rsidR="00DD2B20" w:rsidRPr="0071782F" w:rsidRDefault="00FA5F61" w:rsidP="00D21456">
            <w:pPr>
              <w:suppressAutoHyphens w:val="0"/>
              <w:spacing w:before="80" w:after="80" w:line="200" w:lineRule="exact"/>
              <w:jc w:val="right"/>
              <w:rPr>
                <w:i/>
                <w:sz w:val="16"/>
                <w:szCs w:val="16"/>
                <w:lang w:val="fr-CH"/>
              </w:rPr>
            </w:pPr>
            <w:r w:rsidRPr="0071782F">
              <w:rPr>
                <w:i/>
                <w:sz w:val="16"/>
                <w:szCs w:val="16"/>
                <w:lang w:val="fr-CH"/>
              </w:rPr>
              <w:t xml:space="preserve">Non </w:t>
            </w:r>
            <w:r w:rsidR="00DD2B20" w:rsidRPr="0071782F">
              <w:rPr>
                <w:i/>
                <w:sz w:val="16"/>
                <w:szCs w:val="16"/>
                <w:lang w:val="fr-CH"/>
              </w:rPr>
              <w:t>contractu</w:t>
            </w:r>
            <w:r w:rsidRPr="0071782F">
              <w:rPr>
                <w:i/>
                <w:sz w:val="16"/>
                <w:szCs w:val="16"/>
                <w:lang w:val="fr-CH"/>
              </w:rPr>
              <w:t>elles</w:t>
            </w:r>
          </w:p>
        </w:tc>
        <w:tc>
          <w:tcPr>
            <w:tcW w:w="1404" w:type="dxa"/>
            <w:vMerge/>
            <w:tcBorders>
              <w:top w:val="single" w:sz="12" w:space="0" w:color="auto"/>
              <w:bottom w:val="single" w:sz="12" w:space="0" w:color="auto"/>
            </w:tcBorders>
            <w:shd w:val="clear" w:color="000000" w:fill="auto"/>
            <w:vAlign w:val="bottom"/>
          </w:tcPr>
          <w:p w:rsidR="00DD2B20" w:rsidRPr="0071782F" w:rsidRDefault="00DD2B20" w:rsidP="00D21456">
            <w:pPr>
              <w:suppressAutoHyphens w:val="0"/>
              <w:spacing w:before="80" w:after="80" w:line="200" w:lineRule="exact"/>
              <w:jc w:val="right"/>
              <w:rPr>
                <w:i/>
                <w:sz w:val="16"/>
                <w:szCs w:val="16"/>
                <w:lang w:val="fr-CH"/>
              </w:rPr>
            </w:pPr>
          </w:p>
        </w:tc>
      </w:tr>
      <w:tr w:rsidR="00DD2B20" w:rsidRPr="0071782F">
        <w:tc>
          <w:tcPr>
            <w:tcW w:w="1466" w:type="dxa"/>
            <w:tcBorders>
              <w:top w:val="single" w:sz="12" w:space="0" w:color="auto"/>
            </w:tcBorders>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1991</w:t>
            </w:r>
          </w:p>
        </w:tc>
        <w:tc>
          <w:tcPr>
            <w:tcW w:w="1000"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b/>
                <w:sz w:val="18"/>
                <w:lang w:val="fr-CH"/>
              </w:rPr>
            </w:pPr>
            <w:r w:rsidRPr="0071782F">
              <w:rPr>
                <w:b/>
                <w:sz w:val="18"/>
                <w:lang w:val="fr-CH"/>
              </w:rPr>
              <w:t>438 247</w:t>
            </w:r>
          </w:p>
        </w:tc>
        <w:tc>
          <w:tcPr>
            <w:tcW w:w="1166"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12 659</w:t>
            </w:r>
          </w:p>
        </w:tc>
        <w:tc>
          <w:tcPr>
            <w:tcW w:w="1134"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248</w:t>
            </w:r>
          </w:p>
        </w:tc>
        <w:tc>
          <w:tcPr>
            <w:tcW w:w="1200"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12 411</w:t>
            </w:r>
          </w:p>
        </w:tc>
        <w:tc>
          <w:tcPr>
            <w:tcW w:w="1404"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425 588</w:t>
            </w:r>
          </w:p>
        </w:tc>
      </w:tr>
      <w:tr w:rsidR="00DD2B20" w:rsidRPr="0071782F">
        <w:tc>
          <w:tcPr>
            <w:tcW w:w="1466"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1996</w:t>
            </w:r>
          </w:p>
        </w:tc>
        <w:tc>
          <w:tcPr>
            <w:tcW w:w="1000" w:type="dxa"/>
            <w:shd w:val="clear" w:color="000000" w:fill="auto"/>
            <w:vAlign w:val="bottom"/>
          </w:tcPr>
          <w:p w:rsidR="00DD2B20" w:rsidRPr="0071782F" w:rsidRDefault="00DD2B20" w:rsidP="00D21456">
            <w:pPr>
              <w:suppressAutoHyphens w:val="0"/>
              <w:spacing w:before="40" w:after="40" w:line="220" w:lineRule="exact"/>
              <w:jc w:val="right"/>
              <w:rPr>
                <w:b/>
                <w:sz w:val="18"/>
                <w:lang w:val="fr-CH"/>
              </w:rPr>
            </w:pPr>
            <w:r w:rsidRPr="0071782F">
              <w:rPr>
                <w:b/>
                <w:sz w:val="18"/>
                <w:lang w:val="fr-CH"/>
              </w:rPr>
              <w:t>662 703</w:t>
            </w:r>
          </w:p>
        </w:tc>
        <w:tc>
          <w:tcPr>
            <w:tcW w:w="1166"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15 224</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737</w:t>
            </w:r>
          </w:p>
        </w:tc>
        <w:tc>
          <w:tcPr>
            <w:tcW w:w="120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14 487</w:t>
            </w:r>
          </w:p>
        </w:tc>
        <w:tc>
          <w:tcPr>
            <w:tcW w:w="140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647 479</w:t>
            </w:r>
          </w:p>
        </w:tc>
      </w:tr>
      <w:tr w:rsidR="00DD2B20" w:rsidRPr="0071782F">
        <w:tc>
          <w:tcPr>
            <w:tcW w:w="1466"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2001</w:t>
            </w:r>
          </w:p>
        </w:tc>
        <w:tc>
          <w:tcPr>
            <w:tcW w:w="1000" w:type="dxa"/>
            <w:shd w:val="clear" w:color="000000" w:fill="auto"/>
            <w:vAlign w:val="bottom"/>
          </w:tcPr>
          <w:p w:rsidR="00DD2B20" w:rsidRPr="0071782F" w:rsidRDefault="00DD2B20" w:rsidP="00D21456">
            <w:pPr>
              <w:suppressAutoHyphens w:val="0"/>
              <w:spacing w:before="40" w:after="40" w:line="220" w:lineRule="exact"/>
              <w:jc w:val="right"/>
              <w:rPr>
                <w:b/>
                <w:sz w:val="18"/>
                <w:lang w:val="fr-CH"/>
              </w:rPr>
            </w:pPr>
            <w:r w:rsidRPr="0071782F">
              <w:rPr>
                <w:b/>
                <w:sz w:val="18"/>
                <w:lang w:val="fr-CH"/>
              </w:rPr>
              <w:t>802 402</w:t>
            </w:r>
          </w:p>
        </w:tc>
        <w:tc>
          <w:tcPr>
            <w:tcW w:w="1166"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17 195</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1 345</w:t>
            </w:r>
          </w:p>
        </w:tc>
        <w:tc>
          <w:tcPr>
            <w:tcW w:w="120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15 850</w:t>
            </w:r>
          </w:p>
        </w:tc>
        <w:tc>
          <w:tcPr>
            <w:tcW w:w="140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785 207</w:t>
            </w:r>
          </w:p>
        </w:tc>
      </w:tr>
      <w:tr w:rsidR="00DD2B20" w:rsidRPr="0071782F">
        <w:tc>
          <w:tcPr>
            <w:tcW w:w="1466"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2003</w:t>
            </w:r>
          </w:p>
        </w:tc>
        <w:tc>
          <w:tcPr>
            <w:tcW w:w="1000" w:type="dxa"/>
            <w:shd w:val="clear" w:color="000000" w:fill="auto"/>
            <w:vAlign w:val="bottom"/>
          </w:tcPr>
          <w:p w:rsidR="00DD2B20" w:rsidRPr="0071782F" w:rsidRDefault="00DD2B20" w:rsidP="00D21456">
            <w:pPr>
              <w:suppressAutoHyphens w:val="0"/>
              <w:spacing w:before="40" w:after="40" w:line="220" w:lineRule="exact"/>
              <w:jc w:val="right"/>
              <w:rPr>
                <w:b/>
                <w:sz w:val="18"/>
                <w:lang w:val="fr-CH"/>
              </w:rPr>
            </w:pPr>
            <w:r w:rsidRPr="0071782F">
              <w:rPr>
                <w:b/>
                <w:sz w:val="18"/>
                <w:lang w:val="fr-CH"/>
              </w:rPr>
              <w:t>960 471</w:t>
            </w:r>
          </w:p>
        </w:tc>
        <w:tc>
          <w:tcPr>
            <w:tcW w:w="1166"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17 813</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1 473</w:t>
            </w:r>
          </w:p>
        </w:tc>
        <w:tc>
          <w:tcPr>
            <w:tcW w:w="120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16 340</w:t>
            </w:r>
          </w:p>
        </w:tc>
        <w:tc>
          <w:tcPr>
            <w:tcW w:w="140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942 658</w:t>
            </w:r>
          </w:p>
        </w:tc>
      </w:tr>
      <w:tr w:rsidR="00DD2B20" w:rsidRPr="0071782F">
        <w:tc>
          <w:tcPr>
            <w:tcW w:w="1466"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2004</w:t>
            </w:r>
          </w:p>
        </w:tc>
        <w:tc>
          <w:tcPr>
            <w:tcW w:w="1000" w:type="dxa"/>
            <w:shd w:val="clear" w:color="000000" w:fill="auto"/>
            <w:vAlign w:val="bottom"/>
          </w:tcPr>
          <w:p w:rsidR="00DD2B20" w:rsidRPr="0071782F" w:rsidRDefault="00DD2B20" w:rsidP="00D21456">
            <w:pPr>
              <w:suppressAutoHyphens w:val="0"/>
              <w:spacing w:before="40" w:after="40" w:line="220" w:lineRule="exact"/>
              <w:jc w:val="right"/>
              <w:rPr>
                <w:b/>
                <w:sz w:val="18"/>
                <w:lang w:val="fr-CH"/>
              </w:rPr>
            </w:pPr>
            <w:r w:rsidRPr="0071782F">
              <w:rPr>
                <w:b/>
                <w:sz w:val="18"/>
                <w:lang w:val="fr-CH"/>
              </w:rPr>
              <w:t>1 003 261</w:t>
            </w:r>
          </w:p>
        </w:tc>
        <w:tc>
          <w:tcPr>
            <w:tcW w:w="1166"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18 160</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1 503</w:t>
            </w:r>
          </w:p>
        </w:tc>
        <w:tc>
          <w:tcPr>
            <w:tcW w:w="120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16 657</w:t>
            </w:r>
          </w:p>
        </w:tc>
        <w:tc>
          <w:tcPr>
            <w:tcW w:w="140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985 101</w:t>
            </w:r>
          </w:p>
        </w:tc>
      </w:tr>
      <w:tr w:rsidR="00DD2B20" w:rsidRPr="0071782F">
        <w:tc>
          <w:tcPr>
            <w:tcW w:w="1466" w:type="dxa"/>
            <w:tcBorders>
              <w:bottom w:val="nil"/>
            </w:tcBorders>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2005</w:t>
            </w:r>
          </w:p>
        </w:tc>
        <w:tc>
          <w:tcPr>
            <w:tcW w:w="1000" w:type="dxa"/>
            <w:tcBorders>
              <w:bottom w:val="nil"/>
            </w:tcBorders>
            <w:shd w:val="clear" w:color="000000" w:fill="auto"/>
            <w:vAlign w:val="bottom"/>
          </w:tcPr>
          <w:p w:rsidR="00DD2B20" w:rsidRPr="0071782F" w:rsidRDefault="00DD2B20" w:rsidP="00D21456">
            <w:pPr>
              <w:suppressAutoHyphens w:val="0"/>
              <w:spacing w:before="40" w:after="40" w:line="220" w:lineRule="exact"/>
              <w:jc w:val="right"/>
              <w:rPr>
                <w:b/>
                <w:sz w:val="18"/>
                <w:lang w:val="fr-CH"/>
              </w:rPr>
            </w:pPr>
            <w:r w:rsidRPr="0071782F">
              <w:rPr>
                <w:b/>
                <w:sz w:val="18"/>
                <w:lang w:val="fr-CH"/>
              </w:rPr>
              <w:t>1 048 565</w:t>
            </w:r>
          </w:p>
        </w:tc>
        <w:tc>
          <w:tcPr>
            <w:tcW w:w="1166" w:type="dxa"/>
            <w:tcBorders>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18 980</w:t>
            </w:r>
          </w:p>
        </w:tc>
        <w:tc>
          <w:tcPr>
            <w:tcW w:w="1134" w:type="dxa"/>
            <w:tcBorders>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1 571</w:t>
            </w:r>
          </w:p>
        </w:tc>
        <w:tc>
          <w:tcPr>
            <w:tcW w:w="1200" w:type="dxa"/>
            <w:tcBorders>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17 409</w:t>
            </w:r>
          </w:p>
        </w:tc>
        <w:tc>
          <w:tcPr>
            <w:tcW w:w="1404" w:type="dxa"/>
            <w:tcBorders>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1 029 585</w:t>
            </w:r>
          </w:p>
        </w:tc>
      </w:tr>
      <w:tr w:rsidR="00DD2B20" w:rsidRPr="0071782F">
        <w:tc>
          <w:tcPr>
            <w:tcW w:w="1466" w:type="dxa"/>
            <w:tcBorders>
              <w:top w:val="nil"/>
              <w:bottom w:val="nil"/>
            </w:tcBorders>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2006</w:t>
            </w:r>
          </w:p>
        </w:tc>
        <w:tc>
          <w:tcPr>
            <w:tcW w:w="1000"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b/>
                <w:sz w:val="18"/>
                <w:lang w:val="fr-CH"/>
              </w:rPr>
            </w:pPr>
            <w:r w:rsidRPr="0071782F">
              <w:rPr>
                <w:b/>
                <w:sz w:val="18"/>
                <w:lang w:val="fr-CH"/>
              </w:rPr>
              <w:t>1 183 999</w:t>
            </w:r>
          </w:p>
        </w:tc>
        <w:tc>
          <w:tcPr>
            <w:tcW w:w="1166"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000</w:t>
            </w:r>
          </w:p>
        </w:tc>
        <w:tc>
          <w:tcPr>
            <w:tcW w:w="1134"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000</w:t>
            </w:r>
          </w:p>
        </w:tc>
        <w:tc>
          <w:tcPr>
            <w:tcW w:w="1200"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000</w:t>
            </w:r>
          </w:p>
        </w:tc>
        <w:tc>
          <w:tcPr>
            <w:tcW w:w="1404"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000</w:t>
            </w:r>
          </w:p>
        </w:tc>
      </w:tr>
      <w:tr w:rsidR="00DD2B20" w:rsidRPr="0071782F">
        <w:tc>
          <w:tcPr>
            <w:tcW w:w="1466" w:type="dxa"/>
            <w:tcBorders>
              <w:top w:val="nil"/>
            </w:tcBorders>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2007</w:t>
            </w:r>
          </w:p>
        </w:tc>
        <w:tc>
          <w:tcPr>
            <w:tcW w:w="1000" w:type="dxa"/>
            <w:tcBorders>
              <w:top w:val="nil"/>
            </w:tcBorders>
            <w:shd w:val="clear" w:color="000000" w:fill="auto"/>
            <w:vAlign w:val="bottom"/>
          </w:tcPr>
          <w:p w:rsidR="00DD2B20" w:rsidRPr="0071782F" w:rsidRDefault="00DD2B20" w:rsidP="00D21456">
            <w:pPr>
              <w:suppressAutoHyphens w:val="0"/>
              <w:spacing w:before="40" w:after="40" w:line="220" w:lineRule="exact"/>
              <w:jc w:val="right"/>
              <w:rPr>
                <w:b/>
                <w:sz w:val="18"/>
                <w:lang w:val="fr-CH"/>
              </w:rPr>
            </w:pPr>
            <w:r w:rsidRPr="0071782F">
              <w:rPr>
                <w:b/>
                <w:sz w:val="18"/>
                <w:lang w:val="fr-CH"/>
              </w:rPr>
              <w:t>1 144 437</w:t>
            </w:r>
          </w:p>
        </w:tc>
        <w:tc>
          <w:tcPr>
            <w:tcW w:w="1166" w:type="dxa"/>
            <w:tcBorders>
              <w:top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000</w:t>
            </w:r>
          </w:p>
        </w:tc>
        <w:tc>
          <w:tcPr>
            <w:tcW w:w="1134" w:type="dxa"/>
            <w:tcBorders>
              <w:top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000</w:t>
            </w:r>
          </w:p>
        </w:tc>
        <w:tc>
          <w:tcPr>
            <w:tcW w:w="1200" w:type="dxa"/>
            <w:tcBorders>
              <w:top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000</w:t>
            </w:r>
          </w:p>
        </w:tc>
        <w:tc>
          <w:tcPr>
            <w:tcW w:w="1404" w:type="dxa"/>
            <w:tcBorders>
              <w:top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000</w:t>
            </w:r>
          </w:p>
        </w:tc>
      </w:tr>
    </w:tbl>
    <w:p w:rsidR="00DD2B20" w:rsidRPr="0071782F" w:rsidRDefault="00DD2B20" w:rsidP="00DD2B20">
      <w:pPr>
        <w:pStyle w:val="H1G"/>
        <w:rPr>
          <w:lang w:val="fr-CH"/>
        </w:rPr>
      </w:pPr>
      <w:r w:rsidRPr="0071782F">
        <w:rPr>
          <w:lang w:val="fr-CH"/>
        </w:rPr>
        <w:tab/>
      </w:r>
      <w:r w:rsidRPr="0071782F">
        <w:rPr>
          <w:lang w:val="fr-CH"/>
        </w:rPr>
        <w:tab/>
        <w:t>Mod</w:t>
      </w:r>
      <w:r w:rsidR="00CB4281" w:rsidRPr="0071782F">
        <w:rPr>
          <w:lang w:val="fr-CH"/>
        </w:rPr>
        <w:t>alité</w:t>
      </w:r>
      <w:r w:rsidRPr="0071782F">
        <w:rPr>
          <w:lang w:val="fr-CH"/>
        </w:rPr>
        <w:t xml:space="preserve">s </w:t>
      </w:r>
      <w:r w:rsidR="00CB4281" w:rsidRPr="0071782F">
        <w:rPr>
          <w:lang w:val="fr-CH"/>
        </w:rPr>
        <w:t xml:space="preserve">de prestation des services de sécurité sociale aux assurés </w:t>
      </w:r>
    </w:p>
    <w:p w:rsidR="00DD2B20" w:rsidRPr="0071782F" w:rsidRDefault="00DD2B20" w:rsidP="00DD2B20">
      <w:pPr>
        <w:pStyle w:val="SingleTxtG"/>
        <w:rPr>
          <w:lang w:val="fr-CH"/>
        </w:rPr>
      </w:pPr>
      <w:r w:rsidRPr="0071782F">
        <w:rPr>
          <w:lang w:val="fr-CH"/>
        </w:rPr>
        <w:t>127.</w:t>
      </w:r>
      <w:r w:rsidRPr="0071782F">
        <w:rPr>
          <w:lang w:val="fr-CH"/>
        </w:rPr>
        <w:tab/>
      </w:r>
      <w:r w:rsidR="0025159A" w:rsidRPr="0071782F">
        <w:rPr>
          <w:lang w:val="fr-CH"/>
        </w:rPr>
        <w:t>Les services de sécurité sociale sont fournis aux assurés sous la forme d’aides à court et à long termes. Les aides à court terme regroupent l’allocation de chômage, l’indemnité de maternité, les indemnités de chômage, le paiement d’une partie des frais de mariage et l’indemnité pour la perte d’un membre, entre autres aides légales. Les aides à long terme sont la pension de retraite, d’invalidité ou de réversion.</w:t>
      </w:r>
      <w:r w:rsidR="00D36718">
        <w:rPr>
          <w:lang w:val="fr-CH"/>
        </w:rPr>
        <w:t xml:space="preserve"> </w:t>
      </w:r>
    </w:p>
    <w:p w:rsidR="00DD2B20" w:rsidRPr="0071782F" w:rsidRDefault="00DD2B20" w:rsidP="00DD2B20">
      <w:pPr>
        <w:pStyle w:val="H1G"/>
        <w:rPr>
          <w:lang w:val="fr-CH"/>
        </w:rPr>
      </w:pPr>
      <w:r w:rsidRPr="0071782F">
        <w:rPr>
          <w:lang w:val="fr-CH"/>
        </w:rPr>
        <w:tab/>
      </w:r>
      <w:r w:rsidRPr="0071782F">
        <w:rPr>
          <w:lang w:val="fr-CH"/>
        </w:rPr>
        <w:tab/>
      </w:r>
      <w:r w:rsidR="000507B7" w:rsidRPr="0071782F">
        <w:rPr>
          <w:lang w:val="fr-CH"/>
        </w:rPr>
        <w:t xml:space="preserve">Services médicaux </w:t>
      </w:r>
    </w:p>
    <w:p w:rsidR="00DD2B20" w:rsidRPr="0071782F" w:rsidRDefault="00DD2B20" w:rsidP="00DD2B20">
      <w:pPr>
        <w:pStyle w:val="SingleTxtG"/>
        <w:rPr>
          <w:lang w:val="fr-CH"/>
        </w:rPr>
      </w:pPr>
      <w:r w:rsidRPr="0071782F">
        <w:rPr>
          <w:lang w:val="fr-CH"/>
        </w:rPr>
        <w:t>128.</w:t>
      </w:r>
      <w:r w:rsidRPr="0071782F">
        <w:rPr>
          <w:lang w:val="fr-CH"/>
        </w:rPr>
        <w:tab/>
      </w:r>
      <w:r w:rsidR="000507B7" w:rsidRPr="0071782F">
        <w:rPr>
          <w:lang w:val="fr-CH"/>
        </w:rPr>
        <w:t xml:space="preserve">L’une des fonctions les plus importantes de l’Organisme de sécurité sociale est de fournir une assistance aux assurés en cas d’accident et de maladie et de leur donner accès aux services médicaux dont ils peuvent avoir besoin. </w:t>
      </w:r>
    </w:p>
    <w:p w:rsidR="00DD2B20" w:rsidRPr="0071782F" w:rsidRDefault="00DD2B20" w:rsidP="00DD2B20">
      <w:pPr>
        <w:pStyle w:val="SingleTxtG"/>
        <w:ind w:left="1701" w:hanging="567"/>
        <w:rPr>
          <w:lang w:val="fr-CH"/>
        </w:rPr>
      </w:pPr>
      <w:r w:rsidRPr="0071782F">
        <w:rPr>
          <w:lang w:val="fr-CH"/>
        </w:rPr>
        <w:tab/>
        <w:t>128.1.</w:t>
      </w:r>
      <w:r w:rsidRPr="0071782F">
        <w:rPr>
          <w:lang w:val="fr-CH"/>
        </w:rPr>
        <w:tab/>
      </w:r>
      <w:r w:rsidR="000507B7" w:rsidRPr="0071782F">
        <w:rPr>
          <w:lang w:val="fr-CH"/>
        </w:rPr>
        <w:t>À l’heure actuelle, l’Organisme de sécurité sociale fournit gratuitement des services médicaux aux assurés en mettant à leur disposition plus de 70 hôpitaux et environ 300 établissements spécialisés</w:t>
      </w:r>
      <w:r w:rsidRPr="0071782F">
        <w:rPr>
          <w:lang w:val="fr-CH"/>
        </w:rPr>
        <w:t xml:space="preserve">. </w:t>
      </w:r>
      <w:r w:rsidR="000507B7" w:rsidRPr="0071782F">
        <w:rPr>
          <w:lang w:val="fr-CH"/>
        </w:rPr>
        <w:t xml:space="preserve">En outre, il a passé des contrats avec quelque </w:t>
      </w:r>
      <w:r w:rsidRPr="0071782F">
        <w:rPr>
          <w:lang w:val="fr-CH"/>
        </w:rPr>
        <w:t>40</w:t>
      </w:r>
      <w:r w:rsidR="00B0389C">
        <w:rPr>
          <w:lang w:val="fr-CH"/>
        </w:rPr>
        <w:t> </w:t>
      </w:r>
      <w:r w:rsidRPr="0071782F">
        <w:rPr>
          <w:lang w:val="fr-CH"/>
        </w:rPr>
        <w:t xml:space="preserve">000 </w:t>
      </w:r>
      <w:r w:rsidR="000507B7" w:rsidRPr="0071782F">
        <w:rPr>
          <w:lang w:val="fr-CH"/>
        </w:rPr>
        <w:t xml:space="preserve">médecins et centres de soins, ce qui en fait le plus grand réseau d’assurance médicale du pays. </w:t>
      </w:r>
    </w:p>
    <w:p w:rsidR="00DD2B20" w:rsidRPr="0071782F" w:rsidRDefault="00DD2B20" w:rsidP="00DD2B20">
      <w:pPr>
        <w:pStyle w:val="SingleTxtG"/>
        <w:ind w:left="1701" w:hanging="567"/>
        <w:rPr>
          <w:lang w:val="fr-CH"/>
        </w:rPr>
      </w:pPr>
      <w:r w:rsidRPr="0071782F">
        <w:rPr>
          <w:lang w:val="fr-CH"/>
        </w:rPr>
        <w:tab/>
        <w:t>128.2.</w:t>
      </w:r>
      <w:r w:rsidRPr="0071782F">
        <w:rPr>
          <w:lang w:val="fr-CH"/>
        </w:rPr>
        <w:tab/>
      </w:r>
      <w:r w:rsidR="000507B7" w:rsidRPr="0071782F">
        <w:rPr>
          <w:lang w:val="fr-CH"/>
        </w:rPr>
        <w:t>Les hôpitaux et cliniques spécialisés qui appartiennent à l’Organisme de sécurité sociale figurent parmi les centres de soins les plus sophistiqués et fiables du pays, et ils réalisent les opérations médicales les plus coûteuses sans qu’il en coûte quoi que ce soit aux assurés.</w:t>
      </w:r>
    </w:p>
    <w:p w:rsidR="00DD2B20" w:rsidRPr="0071782F" w:rsidRDefault="00DD2B20" w:rsidP="00DD2B20">
      <w:pPr>
        <w:pStyle w:val="H1G"/>
        <w:rPr>
          <w:lang w:val="fr-CH"/>
        </w:rPr>
      </w:pPr>
      <w:r w:rsidRPr="0071782F">
        <w:rPr>
          <w:lang w:val="fr-CH"/>
        </w:rPr>
        <w:tab/>
      </w:r>
      <w:r w:rsidRPr="0071782F">
        <w:rPr>
          <w:lang w:val="fr-CH"/>
        </w:rPr>
        <w:tab/>
      </w:r>
      <w:r w:rsidR="000507B7" w:rsidRPr="0071782F">
        <w:rPr>
          <w:lang w:val="fr-CH"/>
        </w:rPr>
        <w:t>Secteur</w:t>
      </w:r>
      <w:r w:rsidR="00D36718">
        <w:rPr>
          <w:lang w:val="fr-CH"/>
        </w:rPr>
        <w:t xml:space="preserve"> </w:t>
      </w:r>
      <w:r w:rsidR="000507B7" w:rsidRPr="0071782F">
        <w:rPr>
          <w:lang w:val="fr-CH"/>
        </w:rPr>
        <w:t xml:space="preserve">de l’assistance médicale directe </w:t>
      </w:r>
    </w:p>
    <w:p w:rsidR="00DD2B20" w:rsidRPr="0071782F" w:rsidRDefault="00DD2B20" w:rsidP="00DD2B20">
      <w:pPr>
        <w:pStyle w:val="SingleTxtG"/>
        <w:rPr>
          <w:lang w:val="fr-CH"/>
        </w:rPr>
      </w:pPr>
      <w:r w:rsidRPr="0071782F">
        <w:rPr>
          <w:lang w:val="fr-CH"/>
        </w:rPr>
        <w:t>129.</w:t>
      </w:r>
      <w:r w:rsidRPr="0071782F">
        <w:rPr>
          <w:lang w:val="fr-CH"/>
        </w:rPr>
        <w:tab/>
      </w:r>
      <w:r w:rsidR="000507B7" w:rsidRPr="0071782F">
        <w:rPr>
          <w:lang w:val="fr-CH"/>
        </w:rPr>
        <w:t xml:space="preserve">Dans ce secteur, les assurés couverts par l’Organisme de sécurité sociale peuvent s’adresser à plus de 70 hôpitaux et à 260 cliniques spécialisées et générales du pays qui appartiennent à l’Organisme et y recevoir gratuitement (sauf dans le cas </w:t>
      </w:r>
      <w:r w:rsidR="007F37CE" w:rsidRPr="0071782F">
        <w:rPr>
          <w:lang w:val="fr-CH"/>
        </w:rPr>
        <w:t>des personnes</w:t>
      </w:r>
      <w:r w:rsidR="000507B7" w:rsidRPr="0071782F">
        <w:rPr>
          <w:lang w:val="fr-CH"/>
        </w:rPr>
        <w:t xml:space="preserve"> auto-assurées qui doivent acquitter une franchise) tous les </w:t>
      </w:r>
      <w:r w:rsidRPr="0071782F">
        <w:rPr>
          <w:lang w:val="fr-CH"/>
        </w:rPr>
        <w:t xml:space="preserve">services </w:t>
      </w:r>
      <w:r w:rsidR="000507B7" w:rsidRPr="0071782F">
        <w:rPr>
          <w:lang w:val="fr-CH"/>
        </w:rPr>
        <w:t xml:space="preserve">dont ils ont besoin. </w:t>
      </w:r>
    </w:p>
    <w:p w:rsidR="00DD2B20" w:rsidRPr="0071782F" w:rsidRDefault="00DD2B20" w:rsidP="00DD2B20">
      <w:pPr>
        <w:pStyle w:val="H1G"/>
        <w:rPr>
          <w:lang w:val="fr-CH"/>
        </w:rPr>
      </w:pPr>
      <w:r w:rsidRPr="0071782F">
        <w:rPr>
          <w:lang w:val="fr-CH"/>
        </w:rPr>
        <w:tab/>
      </w:r>
      <w:r w:rsidRPr="0071782F">
        <w:rPr>
          <w:lang w:val="fr-CH"/>
        </w:rPr>
        <w:tab/>
      </w:r>
      <w:r w:rsidR="000507B7" w:rsidRPr="0071782F">
        <w:rPr>
          <w:lang w:val="fr-CH"/>
        </w:rPr>
        <w:t>Secteur</w:t>
      </w:r>
      <w:r w:rsidR="00D36718">
        <w:rPr>
          <w:lang w:val="fr-CH"/>
        </w:rPr>
        <w:t xml:space="preserve"> </w:t>
      </w:r>
      <w:r w:rsidR="000507B7" w:rsidRPr="0071782F">
        <w:rPr>
          <w:lang w:val="fr-CH"/>
        </w:rPr>
        <w:t>de l’assistance médicale indirecte</w:t>
      </w:r>
    </w:p>
    <w:p w:rsidR="00DD2B20" w:rsidRPr="0071782F" w:rsidRDefault="00DD2B20" w:rsidP="00DD2B20">
      <w:pPr>
        <w:pStyle w:val="SingleTxtG"/>
        <w:rPr>
          <w:lang w:val="fr-CH"/>
        </w:rPr>
      </w:pPr>
      <w:r w:rsidRPr="0071782F">
        <w:rPr>
          <w:lang w:val="fr-CH"/>
        </w:rPr>
        <w:t>130.</w:t>
      </w:r>
      <w:r w:rsidRPr="0071782F">
        <w:rPr>
          <w:lang w:val="fr-CH"/>
        </w:rPr>
        <w:tab/>
      </w:r>
      <w:r w:rsidR="00C24F88" w:rsidRPr="0071782F">
        <w:rPr>
          <w:lang w:val="fr-CH"/>
        </w:rPr>
        <w:t>Il existe également une modalité indirecte de fourniture de services médicaux aux assurés.</w:t>
      </w:r>
      <w:r w:rsidRPr="0071782F">
        <w:rPr>
          <w:lang w:val="fr-CH"/>
        </w:rPr>
        <w:t xml:space="preserve"> </w:t>
      </w:r>
      <w:r w:rsidR="00C24F88" w:rsidRPr="0071782F">
        <w:rPr>
          <w:lang w:val="fr-CH"/>
        </w:rPr>
        <w:t>L’</w:t>
      </w:r>
      <w:r w:rsidRPr="0071782F">
        <w:rPr>
          <w:lang w:val="fr-CH"/>
        </w:rPr>
        <w:t>absence o</w:t>
      </w:r>
      <w:r w:rsidR="00C24F88" w:rsidRPr="0071782F">
        <w:rPr>
          <w:lang w:val="fr-CH"/>
        </w:rPr>
        <w:t xml:space="preserve">u le nombre insuffisant de centres de soins spécialisés de l’Organisme de sécurité sociale dans </w:t>
      </w:r>
      <w:r w:rsidRPr="0071782F">
        <w:rPr>
          <w:lang w:val="fr-CH"/>
        </w:rPr>
        <w:t>diff</w:t>
      </w:r>
      <w:r w:rsidR="00C24F88" w:rsidRPr="0071782F">
        <w:rPr>
          <w:lang w:val="fr-CH"/>
        </w:rPr>
        <w:t>é</w:t>
      </w:r>
      <w:r w:rsidRPr="0071782F">
        <w:rPr>
          <w:lang w:val="fr-CH"/>
        </w:rPr>
        <w:t>rent</w:t>
      </w:r>
      <w:r w:rsidR="00C24F88" w:rsidRPr="0071782F">
        <w:rPr>
          <w:lang w:val="fr-CH"/>
        </w:rPr>
        <w:t>es</w:t>
      </w:r>
      <w:r w:rsidRPr="0071782F">
        <w:rPr>
          <w:lang w:val="fr-CH"/>
        </w:rPr>
        <w:t xml:space="preserve"> </w:t>
      </w:r>
      <w:r w:rsidR="00C24F88" w:rsidRPr="0071782F">
        <w:rPr>
          <w:lang w:val="fr-CH"/>
        </w:rPr>
        <w:t xml:space="preserve">villes du pays a amené ce dernier à contrebalancer la pénurie de centres de soins en signant des contrats avec des médecins et des centres de soins relevant des secteurs public et privé. Dans ce secteur, l’assuré paie une partie des dépenses de santé sous la forme d’une </w:t>
      </w:r>
      <w:r w:rsidR="00A62149" w:rsidRPr="0071782F">
        <w:rPr>
          <w:lang w:val="fr-CH"/>
        </w:rPr>
        <w:t>"</w:t>
      </w:r>
      <w:r w:rsidRPr="0071782F">
        <w:rPr>
          <w:lang w:val="fr-CH"/>
        </w:rPr>
        <w:t>franchise</w:t>
      </w:r>
      <w:r w:rsidR="00A62149" w:rsidRPr="0071782F">
        <w:rPr>
          <w:lang w:val="fr-CH"/>
        </w:rPr>
        <w:t>"</w:t>
      </w:r>
      <w:r w:rsidR="00C24F88" w:rsidRPr="0071782F">
        <w:rPr>
          <w:lang w:val="fr-CH"/>
        </w:rPr>
        <w:t>, qui est la part restant à la charge de l’assuré, cette part étant fixée par le Haut Conseil des services médicaux</w:t>
      </w:r>
      <w:r w:rsidRPr="0071782F">
        <w:rPr>
          <w:lang w:val="fr-CH"/>
        </w:rPr>
        <w:t>.</w:t>
      </w:r>
    </w:p>
    <w:p w:rsidR="00DD2B20" w:rsidRPr="0071782F" w:rsidRDefault="00DD2B20" w:rsidP="00DD2B20">
      <w:pPr>
        <w:pStyle w:val="SingleTxtG"/>
        <w:ind w:left="1701" w:hanging="567"/>
        <w:rPr>
          <w:lang w:val="fr-CH"/>
        </w:rPr>
      </w:pPr>
      <w:r w:rsidRPr="0071782F">
        <w:rPr>
          <w:lang w:val="fr-CH"/>
        </w:rPr>
        <w:tab/>
        <w:t>130.1.</w:t>
      </w:r>
      <w:r w:rsidRPr="0071782F">
        <w:rPr>
          <w:lang w:val="fr-CH"/>
        </w:rPr>
        <w:tab/>
      </w:r>
      <w:r w:rsidR="000979D6" w:rsidRPr="0071782F">
        <w:rPr>
          <w:lang w:val="fr-CH"/>
        </w:rPr>
        <w:t>Les limites de la culture de l’assurance et la faiblesse des ONG et des organisations de la société civile dans le pays expliquent l’absence de mécanisme qui puisse organiser les relations entre ces organisations et l’Organisme de sécurité sociale</w:t>
      </w:r>
      <w:r w:rsidRPr="0071782F">
        <w:rPr>
          <w:lang w:val="fr-CH"/>
        </w:rPr>
        <w:t xml:space="preserve">. </w:t>
      </w:r>
      <w:r w:rsidR="000979D6" w:rsidRPr="0071782F">
        <w:rPr>
          <w:lang w:val="fr-CH"/>
        </w:rPr>
        <w:t xml:space="preserve">C’est la raison pour laquelle l’appui des institutions privées aux programmes de sécurité sociale est si </w:t>
      </w:r>
      <w:r w:rsidRPr="0071782F">
        <w:rPr>
          <w:lang w:val="fr-CH"/>
        </w:rPr>
        <w:t>modest</w:t>
      </w:r>
      <w:r w:rsidR="000979D6" w:rsidRPr="0071782F">
        <w:rPr>
          <w:lang w:val="fr-CH"/>
        </w:rPr>
        <w:t>e</w:t>
      </w:r>
      <w:r w:rsidRPr="0071782F">
        <w:rPr>
          <w:lang w:val="fr-CH"/>
        </w:rPr>
        <w:t>.</w:t>
      </w:r>
    </w:p>
    <w:p w:rsidR="00DD2B20" w:rsidRPr="0071782F" w:rsidRDefault="00DD2B20" w:rsidP="00DD2B20">
      <w:pPr>
        <w:pStyle w:val="SingleTxtG"/>
        <w:ind w:left="1701" w:hanging="567"/>
        <w:rPr>
          <w:lang w:val="fr-CH"/>
        </w:rPr>
      </w:pPr>
      <w:r w:rsidRPr="0071782F">
        <w:rPr>
          <w:lang w:val="fr-CH"/>
        </w:rPr>
        <w:tab/>
        <w:t>130.2.</w:t>
      </w:r>
      <w:r w:rsidRPr="0071782F">
        <w:rPr>
          <w:lang w:val="fr-CH"/>
        </w:rPr>
        <w:tab/>
      </w:r>
      <w:r w:rsidR="004F58D5" w:rsidRPr="0071782F">
        <w:rPr>
          <w:lang w:val="fr-CH"/>
        </w:rPr>
        <w:t xml:space="preserve">En tant que pilier du système d’assurances sociales du pays, l’Organisme de sécurité sociale dispense une formation aux groupes </w:t>
      </w:r>
      <w:r w:rsidR="00D82C96" w:rsidRPr="0071782F">
        <w:rPr>
          <w:lang w:val="fr-CH"/>
        </w:rPr>
        <w:t>de personnes</w:t>
      </w:r>
      <w:r w:rsidR="004F58D5" w:rsidRPr="0071782F">
        <w:rPr>
          <w:lang w:val="fr-CH"/>
        </w:rPr>
        <w:t xml:space="preserve"> ci-après, indépendamment des questions liées aux sexospécificités, conformément aux disp</w:t>
      </w:r>
      <w:r w:rsidR="00B06554" w:rsidRPr="0071782F">
        <w:rPr>
          <w:lang w:val="fr-CH"/>
        </w:rPr>
        <w:t>os</w:t>
      </w:r>
      <w:r w:rsidR="004F58D5" w:rsidRPr="0071782F">
        <w:rPr>
          <w:lang w:val="fr-CH"/>
        </w:rPr>
        <w:t>itions de la loi</w:t>
      </w:r>
      <w:r w:rsidRPr="0071782F">
        <w:rPr>
          <w:lang w:val="fr-CH"/>
        </w:rPr>
        <w:t>.</w:t>
      </w:r>
    </w:p>
    <w:p w:rsidR="00DD2B20" w:rsidRPr="0071782F" w:rsidRDefault="00DD2B20" w:rsidP="00DD2B20">
      <w:pPr>
        <w:pStyle w:val="SingleTxtG"/>
        <w:ind w:left="2268" w:hanging="1134"/>
        <w:rPr>
          <w:lang w:val="fr-CH"/>
        </w:rPr>
      </w:pPr>
      <w:r w:rsidRPr="0071782F">
        <w:rPr>
          <w:lang w:val="fr-CH"/>
        </w:rPr>
        <w:tab/>
      </w:r>
      <w:r w:rsidR="002C506C" w:rsidRPr="0071782F">
        <w:rPr>
          <w:lang w:val="fr-CH"/>
        </w:rPr>
        <w:t xml:space="preserve">130.2.1. </w:t>
      </w:r>
      <w:r w:rsidR="00A233C2" w:rsidRPr="0071782F">
        <w:rPr>
          <w:lang w:val="fr-CH"/>
        </w:rPr>
        <w:t>Les personnes</w:t>
      </w:r>
      <w:r w:rsidR="00B06554" w:rsidRPr="0071782F">
        <w:rPr>
          <w:lang w:val="fr-CH"/>
        </w:rPr>
        <w:t xml:space="preserve"> qui exercent une activité rémunérée (par un traitement ou un salaire) et sont couvertes par les dispositions du Code du travail</w:t>
      </w:r>
      <w:r w:rsidR="002C506C" w:rsidRPr="0071782F">
        <w:rPr>
          <w:lang w:val="fr-CH"/>
        </w:rPr>
        <w:t>.</w:t>
      </w:r>
    </w:p>
    <w:p w:rsidR="00DD2B20" w:rsidRPr="0071782F" w:rsidRDefault="00DD2B20" w:rsidP="00DD2B20">
      <w:pPr>
        <w:pStyle w:val="SingleTxtG"/>
        <w:ind w:left="2268" w:hanging="1134"/>
        <w:rPr>
          <w:lang w:val="fr-CH"/>
        </w:rPr>
      </w:pPr>
      <w:r w:rsidRPr="0071782F">
        <w:rPr>
          <w:lang w:val="fr-CH"/>
        </w:rPr>
        <w:tab/>
      </w:r>
      <w:r w:rsidR="002C506C" w:rsidRPr="0071782F">
        <w:rPr>
          <w:lang w:val="fr-CH"/>
        </w:rPr>
        <w:t xml:space="preserve">130.2.2. </w:t>
      </w:r>
      <w:r w:rsidR="00B06554" w:rsidRPr="0071782F">
        <w:rPr>
          <w:lang w:val="fr-CH"/>
        </w:rPr>
        <w:t>Les travailleurs indépendants</w:t>
      </w:r>
      <w:r w:rsidR="002C506C" w:rsidRPr="0071782F">
        <w:rPr>
          <w:lang w:val="fr-CH"/>
        </w:rPr>
        <w:t>.</w:t>
      </w:r>
    </w:p>
    <w:p w:rsidR="00DD2B20" w:rsidRPr="0071782F" w:rsidRDefault="00DD2B20" w:rsidP="00DD2B20">
      <w:pPr>
        <w:pStyle w:val="SingleTxtG"/>
        <w:ind w:left="2268" w:hanging="1134"/>
        <w:rPr>
          <w:lang w:val="fr-CH"/>
        </w:rPr>
      </w:pPr>
      <w:r w:rsidRPr="0071782F">
        <w:rPr>
          <w:lang w:val="fr-CH"/>
        </w:rPr>
        <w:tab/>
      </w:r>
      <w:r w:rsidR="002C506C" w:rsidRPr="0071782F">
        <w:rPr>
          <w:lang w:val="fr-CH"/>
        </w:rPr>
        <w:t xml:space="preserve">130.2.3. </w:t>
      </w:r>
      <w:r w:rsidR="00B06554" w:rsidRPr="0071782F">
        <w:rPr>
          <w:lang w:val="fr-CH"/>
        </w:rPr>
        <w:t xml:space="preserve">Les </w:t>
      </w:r>
      <w:r w:rsidR="0071782F" w:rsidRPr="0071782F">
        <w:rPr>
          <w:lang w:val="fr-CH"/>
        </w:rPr>
        <w:t>personnes</w:t>
      </w:r>
      <w:r w:rsidR="00B06554" w:rsidRPr="0071782F">
        <w:rPr>
          <w:lang w:val="fr-CH"/>
        </w:rPr>
        <w:t xml:space="preserve"> qui touchent une pension de retraite, d’invalidité ou de réversion de l’Organisme de sécurité sociale</w:t>
      </w:r>
      <w:r w:rsidRPr="0071782F">
        <w:rPr>
          <w:lang w:val="fr-CH"/>
        </w:rPr>
        <w:t>.</w:t>
      </w:r>
    </w:p>
    <w:p w:rsidR="00DD2B20" w:rsidRPr="0071782F" w:rsidRDefault="00DD2B20" w:rsidP="00DD2B20">
      <w:pPr>
        <w:pStyle w:val="SingleTxtG"/>
        <w:ind w:left="1701" w:hanging="567"/>
        <w:rPr>
          <w:lang w:val="fr-CH"/>
        </w:rPr>
      </w:pPr>
      <w:r w:rsidRPr="0071782F">
        <w:rPr>
          <w:lang w:val="fr-CH"/>
        </w:rPr>
        <w:tab/>
        <w:t>130.3.</w:t>
      </w:r>
      <w:r w:rsidRPr="0071782F">
        <w:rPr>
          <w:lang w:val="fr-CH"/>
        </w:rPr>
        <w:tab/>
      </w:r>
      <w:r w:rsidR="00B06554" w:rsidRPr="0071782F">
        <w:rPr>
          <w:lang w:val="fr-CH"/>
        </w:rPr>
        <w:t>Ces dernières années, l’Organisme de sécurité sociale est parvenu à réaliser les indicateurs qu’il s’était fixés en ce qui concerne la gestion optimale de ses ressources humaines et matérielles en remaniant et en améliorant comme suit ses procédures de gestion</w:t>
      </w:r>
      <w:r w:rsidR="008F7D33" w:rsidRPr="0071782F">
        <w:rPr>
          <w:lang w:val="fr-CH"/>
        </w:rPr>
        <w:t>:</w:t>
      </w:r>
    </w:p>
    <w:p w:rsidR="00DD2B20" w:rsidRPr="0071782F" w:rsidRDefault="00DD2B20" w:rsidP="00DD2B20">
      <w:pPr>
        <w:pStyle w:val="SingleTxtG"/>
        <w:ind w:left="2268" w:hanging="1134"/>
        <w:rPr>
          <w:lang w:val="fr-CH"/>
        </w:rPr>
      </w:pPr>
      <w:r w:rsidRPr="0071782F">
        <w:rPr>
          <w:lang w:val="fr-CH"/>
        </w:rPr>
        <w:tab/>
        <w:t>130.3.1.</w:t>
      </w:r>
      <w:r w:rsidR="002C506C" w:rsidRPr="0071782F">
        <w:rPr>
          <w:lang w:val="fr-CH"/>
        </w:rPr>
        <w:t xml:space="preserve"> </w:t>
      </w:r>
      <w:r w:rsidRPr="0071782F">
        <w:rPr>
          <w:lang w:val="fr-CH"/>
        </w:rPr>
        <w:t>Institution</w:t>
      </w:r>
      <w:r w:rsidR="00B06554" w:rsidRPr="0071782F">
        <w:rPr>
          <w:lang w:val="fr-CH"/>
        </w:rPr>
        <w:t>nalisation de la gestion de la qualité totale et des conseils à la clientèle</w:t>
      </w:r>
      <w:r w:rsidRPr="0071782F">
        <w:rPr>
          <w:lang w:val="fr-CH"/>
        </w:rPr>
        <w:t xml:space="preserve">, </w:t>
      </w:r>
      <w:r w:rsidR="00B06554" w:rsidRPr="0071782F">
        <w:rPr>
          <w:lang w:val="fr-CH"/>
        </w:rPr>
        <w:t>qui a contribué à améliorer la transparence et la qualité</w:t>
      </w:r>
      <w:r w:rsidRPr="0071782F">
        <w:rPr>
          <w:lang w:val="fr-CH"/>
        </w:rPr>
        <w:t xml:space="preserve"> </w:t>
      </w:r>
      <w:r w:rsidR="00B06554" w:rsidRPr="0071782F">
        <w:rPr>
          <w:lang w:val="fr-CH"/>
        </w:rPr>
        <w:t xml:space="preserve">des relations entre l’Organisme et ses </w:t>
      </w:r>
      <w:r w:rsidRPr="0071782F">
        <w:rPr>
          <w:lang w:val="fr-CH"/>
        </w:rPr>
        <w:t xml:space="preserve">clients </w:t>
      </w:r>
      <w:r w:rsidR="00B06554" w:rsidRPr="0071782F">
        <w:rPr>
          <w:lang w:val="fr-CH"/>
        </w:rPr>
        <w:t xml:space="preserve">et à élever le niveau de </w:t>
      </w:r>
      <w:r w:rsidRPr="0071782F">
        <w:rPr>
          <w:lang w:val="fr-CH"/>
        </w:rPr>
        <w:t xml:space="preserve">satisfaction </w:t>
      </w:r>
      <w:r w:rsidR="00B06554" w:rsidRPr="0071782F">
        <w:rPr>
          <w:lang w:val="fr-CH"/>
        </w:rPr>
        <w:t>tant du personnel que des assurés</w:t>
      </w:r>
      <w:r w:rsidRPr="0071782F">
        <w:rPr>
          <w:lang w:val="fr-CH"/>
        </w:rPr>
        <w:t xml:space="preserve">; </w:t>
      </w:r>
      <w:r w:rsidR="00B06554" w:rsidRPr="0071782F">
        <w:rPr>
          <w:lang w:val="fr-CH"/>
        </w:rPr>
        <w:t xml:space="preserve">il convient de mentionner que l’Organisme a obtenu la meilleure </w:t>
      </w:r>
      <w:r w:rsidR="00B0389C">
        <w:rPr>
          <w:lang w:val="fr-CH"/>
        </w:rPr>
        <w:t xml:space="preserve">note </w:t>
      </w:r>
      <w:r w:rsidR="00B06554" w:rsidRPr="0071782F">
        <w:rPr>
          <w:lang w:val="fr-CH"/>
        </w:rPr>
        <w:t>de l’Organisme public de gestion et de planification et la satisfaction des clients lui a valu une distinction</w:t>
      </w:r>
      <w:r w:rsidR="002C506C" w:rsidRPr="0071782F">
        <w:rPr>
          <w:lang w:val="fr-CH"/>
        </w:rPr>
        <w:t>.</w:t>
      </w:r>
      <w:r w:rsidRPr="0071782F">
        <w:rPr>
          <w:lang w:val="fr-CH"/>
        </w:rPr>
        <w:t xml:space="preserve"> </w:t>
      </w:r>
    </w:p>
    <w:p w:rsidR="00DD2B20" w:rsidRPr="0071782F" w:rsidRDefault="00DD2B20" w:rsidP="00DD2B20">
      <w:pPr>
        <w:pStyle w:val="SingleTxtG"/>
        <w:ind w:left="2268" w:hanging="1134"/>
        <w:rPr>
          <w:lang w:val="fr-CH"/>
        </w:rPr>
      </w:pPr>
      <w:r w:rsidRPr="0071782F">
        <w:rPr>
          <w:lang w:val="fr-CH"/>
        </w:rPr>
        <w:tab/>
        <w:t>130.3.2.</w:t>
      </w:r>
      <w:r w:rsidR="002C506C" w:rsidRPr="0071782F">
        <w:rPr>
          <w:lang w:val="fr-CH"/>
        </w:rPr>
        <w:t xml:space="preserve"> </w:t>
      </w:r>
      <w:r w:rsidR="00B06554" w:rsidRPr="0071782F">
        <w:rPr>
          <w:lang w:val="fr-CH"/>
        </w:rPr>
        <w:t>Rationalisation des procé</w:t>
      </w:r>
      <w:r w:rsidRPr="0071782F">
        <w:rPr>
          <w:lang w:val="fr-CH"/>
        </w:rPr>
        <w:t xml:space="preserve">dures </w:t>
      </w:r>
      <w:r w:rsidR="00B06554" w:rsidRPr="0071782F">
        <w:rPr>
          <w:lang w:val="fr-CH"/>
        </w:rPr>
        <w:t>et mise en place du guichet unique dans les</w:t>
      </w:r>
      <w:r w:rsidRPr="0071782F">
        <w:rPr>
          <w:lang w:val="fr-CH"/>
        </w:rPr>
        <w:t xml:space="preserve"> diff</w:t>
      </w:r>
      <w:r w:rsidR="00B06554" w:rsidRPr="0071782F">
        <w:rPr>
          <w:lang w:val="fr-CH"/>
        </w:rPr>
        <w:t>é</w:t>
      </w:r>
      <w:r w:rsidRPr="0071782F">
        <w:rPr>
          <w:lang w:val="fr-CH"/>
        </w:rPr>
        <w:t>rent</w:t>
      </w:r>
      <w:r w:rsidR="00B06554" w:rsidRPr="0071782F">
        <w:rPr>
          <w:lang w:val="fr-CH"/>
        </w:rPr>
        <w:t>s</w:t>
      </w:r>
      <w:r w:rsidRPr="0071782F">
        <w:rPr>
          <w:lang w:val="fr-CH"/>
        </w:rPr>
        <w:t xml:space="preserve"> sect</w:t>
      </w:r>
      <w:r w:rsidR="00B06554" w:rsidRPr="0071782F">
        <w:rPr>
          <w:lang w:val="fr-CH"/>
        </w:rPr>
        <w:t>eurs</w:t>
      </w:r>
      <w:r w:rsidR="002C506C" w:rsidRPr="0071782F">
        <w:rPr>
          <w:lang w:val="fr-CH"/>
        </w:rPr>
        <w:t>.</w:t>
      </w:r>
    </w:p>
    <w:p w:rsidR="00DD2B20" w:rsidRPr="0071782F" w:rsidRDefault="00DD2B20" w:rsidP="00DD2B20">
      <w:pPr>
        <w:pStyle w:val="SingleTxtG"/>
        <w:ind w:left="2268" w:hanging="1134"/>
        <w:rPr>
          <w:lang w:val="fr-CH"/>
        </w:rPr>
      </w:pPr>
      <w:r w:rsidRPr="0071782F">
        <w:rPr>
          <w:lang w:val="fr-CH"/>
        </w:rPr>
        <w:tab/>
        <w:t>130.3.3.</w:t>
      </w:r>
      <w:r w:rsidR="000A0021" w:rsidRPr="0071782F">
        <w:rPr>
          <w:lang w:val="fr-CH"/>
        </w:rPr>
        <w:t xml:space="preserve"> </w:t>
      </w:r>
      <w:r w:rsidRPr="0071782F">
        <w:rPr>
          <w:lang w:val="fr-CH"/>
        </w:rPr>
        <w:t>Plan</w:t>
      </w:r>
      <w:r w:rsidR="00B06554" w:rsidRPr="0071782F">
        <w:rPr>
          <w:lang w:val="fr-CH"/>
        </w:rPr>
        <w:t>ification d’un accroissement de productivité</w:t>
      </w:r>
      <w:r w:rsidRPr="0071782F">
        <w:rPr>
          <w:lang w:val="fr-CH"/>
        </w:rPr>
        <w:t xml:space="preserve"> </w:t>
      </w:r>
      <w:r w:rsidR="00B06554" w:rsidRPr="0071782F">
        <w:rPr>
          <w:lang w:val="fr-CH"/>
        </w:rPr>
        <w:t>dans tous les secteurs de l’Organisme; un plan est actuellement en vigueur pour relever la productivité de l’utilisation de ses ressources d’au moins 10</w:t>
      </w:r>
      <w:r w:rsidR="007E5125" w:rsidRPr="0071782F">
        <w:rPr>
          <w:lang w:val="fr-CH"/>
        </w:rPr>
        <w:t>%</w:t>
      </w:r>
      <w:r w:rsidR="00B06554" w:rsidRPr="0071782F">
        <w:rPr>
          <w:lang w:val="fr-CH"/>
        </w:rPr>
        <w:t xml:space="preserve"> en deux</w:t>
      </w:r>
      <w:r w:rsidR="00D82C96" w:rsidRPr="0071782F">
        <w:rPr>
          <w:lang w:val="fr-CH"/>
        </w:rPr>
        <w:t> ans</w:t>
      </w:r>
      <w:r w:rsidR="000A0021" w:rsidRPr="0071782F">
        <w:rPr>
          <w:lang w:val="fr-CH"/>
        </w:rPr>
        <w:t>.</w:t>
      </w:r>
    </w:p>
    <w:p w:rsidR="00DD2B20" w:rsidRPr="0071782F" w:rsidRDefault="00DD2B20" w:rsidP="00DD2B20">
      <w:pPr>
        <w:pStyle w:val="SingleTxtG"/>
        <w:ind w:left="2268" w:hanging="1134"/>
        <w:rPr>
          <w:lang w:val="fr-CH"/>
        </w:rPr>
      </w:pPr>
      <w:r w:rsidRPr="0071782F">
        <w:rPr>
          <w:lang w:val="fr-CH"/>
        </w:rPr>
        <w:tab/>
        <w:t>130.3.4.</w:t>
      </w:r>
      <w:r w:rsidR="000A0021" w:rsidRPr="0071782F">
        <w:rPr>
          <w:lang w:val="fr-CH"/>
        </w:rPr>
        <w:t xml:space="preserve"> </w:t>
      </w:r>
      <w:r w:rsidR="00B06554" w:rsidRPr="0071782F">
        <w:rPr>
          <w:lang w:val="fr-CH"/>
        </w:rPr>
        <w:t xml:space="preserve">Mise en </w:t>
      </w:r>
      <w:r w:rsidR="00D5366B" w:rsidRPr="0071782F">
        <w:rPr>
          <w:lang w:val="fr-CH"/>
        </w:rPr>
        <w:t>œuvre</w:t>
      </w:r>
      <w:r w:rsidR="00B06554" w:rsidRPr="0071782F">
        <w:rPr>
          <w:lang w:val="fr-CH"/>
        </w:rPr>
        <w:t xml:space="preserve"> du plan de régulation des dossiers des assurés et création du plus grand centre national de données dirigé par l’intermédiaire d’un réseau informatisé central </w:t>
      </w:r>
      <w:r w:rsidR="00687EFD" w:rsidRPr="0071782F">
        <w:rPr>
          <w:lang w:val="fr-CH"/>
        </w:rPr>
        <w:t xml:space="preserve">étendu </w:t>
      </w:r>
      <w:r w:rsidR="00B06554" w:rsidRPr="0071782F">
        <w:rPr>
          <w:lang w:val="fr-CH"/>
        </w:rPr>
        <w:t>à l’ensemble du pays</w:t>
      </w:r>
      <w:r w:rsidR="000A0021" w:rsidRPr="0071782F">
        <w:rPr>
          <w:lang w:val="fr-CH"/>
        </w:rPr>
        <w:t>.</w:t>
      </w:r>
    </w:p>
    <w:p w:rsidR="00DD2B20" w:rsidRPr="0071782F" w:rsidRDefault="00DD2B20" w:rsidP="00DD2B20">
      <w:pPr>
        <w:pStyle w:val="SingleTxtG"/>
        <w:ind w:left="2268" w:hanging="1134"/>
        <w:rPr>
          <w:lang w:val="fr-CH"/>
        </w:rPr>
      </w:pPr>
      <w:r w:rsidRPr="0071782F">
        <w:rPr>
          <w:lang w:val="fr-CH"/>
        </w:rPr>
        <w:tab/>
      </w:r>
      <w:r w:rsidR="000A0021" w:rsidRPr="0071782F">
        <w:rPr>
          <w:lang w:val="fr-CH"/>
        </w:rPr>
        <w:t xml:space="preserve">130.3.5. </w:t>
      </w:r>
      <w:r w:rsidR="000B2212" w:rsidRPr="0071782F">
        <w:rPr>
          <w:lang w:val="fr-CH"/>
        </w:rPr>
        <w:t>Mise en place d’un plan national visant à fournir une couverture assurantielle complète étendue à tous les segments de la population qui n’ont actuellement accès à aucun régime d’assurance</w:t>
      </w:r>
      <w:r w:rsidR="000A0021" w:rsidRPr="0071782F">
        <w:rPr>
          <w:lang w:val="fr-CH"/>
        </w:rPr>
        <w:t>.</w:t>
      </w:r>
    </w:p>
    <w:p w:rsidR="00DD2B20" w:rsidRPr="0071782F" w:rsidRDefault="00DD2B20" w:rsidP="00DD2B20">
      <w:pPr>
        <w:pStyle w:val="SingleTxtG"/>
        <w:ind w:left="2268" w:hanging="1134"/>
        <w:rPr>
          <w:lang w:val="fr-CH"/>
        </w:rPr>
      </w:pPr>
      <w:r w:rsidRPr="0071782F">
        <w:rPr>
          <w:lang w:val="fr-CH"/>
        </w:rPr>
        <w:tab/>
      </w:r>
      <w:r w:rsidR="000A0021" w:rsidRPr="0071782F">
        <w:rPr>
          <w:lang w:val="fr-CH"/>
        </w:rPr>
        <w:t xml:space="preserve">130.3.6. </w:t>
      </w:r>
      <w:r w:rsidR="000B2212" w:rsidRPr="0071782F">
        <w:rPr>
          <w:lang w:val="fr-CH"/>
        </w:rPr>
        <w:t xml:space="preserve">Mise en place d’un plan national visant à appliquer un système d’aiguillage des patients de l’Organisme de sécurité sociale et cotation des </w:t>
      </w:r>
      <w:r w:rsidRPr="0071782F">
        <w:rPr>
          <w:lang w:val="fr-CH"/>
        </w:rPr>
        <w:t xml:space="preserve">services </w:t>
      </w:r>
      <w:r w:rsidR="000B2212" w:rsidRPr="0071782F">
        <w:rPr>
          <w:lang w:val="fr-CH"/>
        </w:rPr>
        <w:t xml:space="preserve">avec le concours du </w:t>
      </w:r>
      <w:r w:rsidR="00BD5FF1" w:rsidRPr="0071782F">
        <w:rPr>
          <w:lang w:val="fr-CH"/>
        </w:rPr>
        <w:t>Ministère de la santé et de la formation médicale</w:t>
      </w:r>
      <w:r w:rsidR="000A0021" w:rsidRPr="0071782F">
        <w:rPr>
          <w:lang w:val="fr-CH"/>
        </w:rPr>
        <w:t>.</w:t>
      </w:r>
      <w:r w:rsidRPr="0071782F">
        <w:rPr>
          <w:lang w:val="fr-CH"/>
        </w:rPr>
        <w:t xml:space="preserve"> </w:t>
      </w:r>
    </w:p>
    <w:p w:rsidR="00DD2B20" w:rsidRPr="0071782F" w:rsidRDefault="00DD2B20" w:rsidP="00DD2B20">
      <w:pPr>
        <w:pStyle w:val="SingleTxtG"/>
        <w:ind w:left="2268" w:hanging="1134"/>
        <w:rPr>
          <w:lang w:val="fr-CH"/>
        </w:rPr>
      </w:pPr>
      <w:r w:rsidRPr="0071782F">
        <w:rPr>
          <w:lang w:val="fr-CH"/>
        </w:rPr>
        <w:tab/>
        <w:t>130.3.7.</w:t>
      </w:r>
      <w:r w:rsidR="000A0021" w:rsidRPr="0071782F">
        <w:rPr>
          <w:lang w:val="fr-CH"/>
        </w:rPr>
        <w:t xml:space="preserve"> </w:t>
      </w:r>
      <w:r w:rsidRPr="0071782F">
        <w:rPr>
          <w:lang w:val="fr-CH"/>
        </w:rPr>
        <w:t xml:space="preserve">Formulation </w:t>
      </w:r>
      <w:r w:rsidR="000B2212" w:rsidRPr="0071782F">
        <w:rPr>
          <w:lang w:val="fr-CH"/>
        </w:rPr>
        <w:t xml:space="preserve">d’engagements tripartites entre l’Organisme de sécurité sociale et ses différents </w:t>
      </w:r>
      <w:r w:rsidRPr="0071782F">
        <w:rPr>
          <w:lang w:val="fr-CH"/>
        </w:rPr>
        <w:t xml:space="preserve">clients, </w:t>
      </w:r>
      <w:r w:rsidR="000B2212" w:rsidRPr="0071782F">
        <w:rPr>
          <w:lang w:val="fr-CH"/>
        </w:rPr>
        <w:t>ce qui a amélioré la transparence</w:t>
      </w:r>
      <w:r w:rsidRPr="0071782F">
        <w:rPr>
          <w:lang w:val="fr-CH"/>
        </w:rPr>
        <w:t xml:space="preserve"> </w:t>
      </w:r>
      <w:r w:rsidR="000B2212" w:rsidRPr="0071782F">
        <w:rPr>
          <w:lang w:val="fr-CH"/>
        </w:rPr>
        <w:t xml:space="preserve">s’agissant des droits légaux des assurés, des </w:t>
      </w:r>
      <w:r w:rsidRPr="0071782F">
        <w:rPr>
          <w:lang w:val="fr-CH"/>
        </w:rPr>
        <w:t xml:space="preserve">patients </w:t>
      </w:r>
      <w:r w:rsidR="000B2212" w:rsidRPr="0071782F">
        <w:rPr>
          <w:lang w:val="fr-CH"/>
        </w:rPr>
        <w:t xml:space="preserve">et des </w:t>
      </w:r>
      <w:r w:rsidRPr="0071782F">
        <w:rPr>
          <w:lang w:val="fr-CH"/>
        </w:rPr>
        <w:t>employe</w:t>
      </w:r>
      <w:r w:rsidR="000B2212" w:rsidRPr="0071782F">
        <w:rPr>
          <w:lang w:val="fr-CH"/>
        </w:rPr>
        <w:t>u</w:t>
      </w:r>
      <w:r w:rsidRPr="0071782F">
        <w:rPr>
          <w:lang w:val="fr-CH"/>
        </w:rPr>
        <w:t>rs</w:t>
      </w:r>
      <w:r w:rsidR="000B2212" w:rsidRPr="0071782F">
        <w:rPr>
          <w:lang w:val="fr-CH"/>
        </w:rPr>
        <w:t>, et l’indicateur de reddition des comptes de l’Organisme</w:t>
      </w:r>
      <w:r w:rsidRPr="0071782F">
        <w:rPr>
          <w:lang w:val="fr-CH"/>
        </w:rPr>
        <w:t>.</w:t>
      </w:r>
    </w:p>
    <w:p w:rsidR="00DD2B20" w:rsidRPr="00BF029C" w:rsidRDefault="00DD2B20" w:rsidP="00DD2B20">
      <w:pPr>
        <w:pStyle w:val="SingleTxtG"/>
        <w:ind w:left="1701" w:hanging="567"/>
        <w:rPr>
          <w:spacing w:val="-2"/>
          <w:lang w:val="fr-CH"/>
        </w:rPr>
      </w:pPr>
      <w:r w:rsidRPr="00BF029C">
        <w:rPr>
          <w:spacing w:val="-2"/>
          <w:lang w:val="fr-CH"/>
        </w:rPr>
        <w:tab/>
        <w:t>130.4.</w:t>
      </w:r>
      <w:r w:rsidRPr="00BF029C">
        <w:rPr>
          <w:spacing w:val="-2"/>
          <w:lang w:val="fr-CH"/>
        </w:rPr>
        <w:tab/>
      </w:r>
      <w:r w:rsidR="000B2212" w:rsidRPr="00BF029C">
        <w:rPr>
          <w:spacing w:val="-2"/>
          <w:lang w:val="fr-CH"/>
        </w:rPr>
        <w:t>En 2003, l’Assemblée consultative islamique a adopté les grandes lignes du Plan intégré de sécurité et de protection sociales dans le but d’améliorer l’efficience, l’efficacité et le développement intégré des systèmes d’assurance, d’aide et de secours, ainsi que la couverture et l’efficacité des services assurantiels et non assurantiels</w:t>
      </w:r>
      <w:r w:rsidRPr="00BF029C">
        <w:rPr>
          <w:spacing w:val="-2"/>
          <w:lang w:val="fr-CH"/>
        </w:rPr>
        <w:t>.</w:t>
      </w:r>
    </w:p>
    <w:p w:rsidR="00DD2B20" w:rsidRPr="0071782F" w:rsidRDefault="00DD2B20" w:rsidP="00DD2B20">
      <w:pPr>
        <w:pStyle w:val="H1G"/>
        <w:rPr>
          <w:lang w:val="fr-CH"/>
        </w:rPr>
      </w:pPr>
      <w:r w:rsidRPr="0071782F">
        <w:rPr>
          <w:lang w:val="fr-CH"/>
        </w:rPr>
        <w:tab/>
      </w:r>
      <w:r w:rsidRPr="0071782F">
        <w:rPr>
          <w:lang w:val="fr-CH"/>
        </w:rPr>
        <w:tab/>
      </w:r>
      <w:r w:rsidR="000B2212" w:rsidRPr="0071782F">
        <w:rPr>
          <w:lang w:val="fr-CH"/>
        </w:rPr>
        <w:t xml:space="preserve">Secteur de la protection sociale </w:t>
      </w:r>
    </w:p>
    <w:p w:rsidR="00DD2B20" w:rsidRPr="0071782F" w:rsidRDefault="00DD2B20" w:rsidP="00DD2B20">
      <w:pPr>
        <w:pStyle w:val="H23G"/>
        <w:rPr>
          <w:lang w:val="fr-CH"/>
        </w:rPr>
      </w:pPr>
      <w:r w:rsidRPr="0071782F">
        <w:rPr>
          <w:lang w:val="fr-CH"/>
        </w:rPr>
        <w:tab/>
      </w:r>
      <w:r w:rsidRPr="0071782F">
        <w:rPr>
          <w:lang w:val="fr-CH"/>
        </w:rPr>
        <w:tab/>
        <w:t>D</w:t>
      </w:r>
      <w:r w:rsidR="000B2212" w:rsidRPr="0071782F">
        <w:rPr>
          <w:lang w:val="fr-CH"/>
        </w:rPr>
        <w:t>é</w:t>
      </w:r>
      <w:r w:rsidRPr="0071782F">
        <w:rPr>
          <w:lang w:val="fr-CH"/>
        </w:rPr>
        <w:t xml:space="preserve">finition </w:t>
      </w:r>
      <w:r w:rsidR="000B2212" w:rsidRPr="0071782F">
        <w:rPr>
          <w:lang w:val="fr-CH"/>
        </w:rPr>
        <w:t xml:space="preserve">de la protection sociale et portée des activités correspondantes </w:t>
      </w:r>
    </w:p>
    <w:p w:rsidR="00DD2B20" w:rsidRPr="0071782F" w:rsidRDefault="00DD2B20" w:rsidP="00DD2B20">
      <w:pPr>
        <w:pStyle w:val="SingleTxtG"/>
        <w:rPr>
          <w:lang w:val="fr-CH"/>
        </w:rPr>
      </w:pPr>
      <w:r w:rsidRPr="0071782F">
        <w:rPr>
          <w:lang w:val="fr-CH"/>
        </w:rPr>
        <w:t>131.</w:t>
      </w:r>
      <w:r w:rsidRPr="0071782F">
        <w:rPr>
          <w:lang w:val="fr-CH"/>
        </w:rPr>
        <w:tab/>
      </w:r>
      <w:r w:rsidR="000B2212" w:rsidRPr="0071782F">
        <w:rPr>
          <w:lang w:val="fr-CH"/>
        </w:rPr>
        <w:t xml:space="preserve">Le secteur de la protection sociale se compose d’un ensemble ciblé et cohérent de politiques, mesures et activités et services non assurantiels visant à fournir aide et protection </w:t>
      </w:r>
      <w:r w:rsidR="00A234E8" w:rsidRPr="0071782F">
        <w:rPr>
          <w:lang w:val="fr-CH"/>
        </w:rPr>
        <w:t>aux familles</w:t>
      </w:r>
      <w:r w:rsidR="000B2212" w:rsidRPr="0071782F">
        <w:rPr>
          <w:lang w:val="fr-CH"/>
        </w:rPr>
        <w:t xml:space="preserve"> et </w:t>
      </w:r>
      <w:r w:rsidR="00175962" w:rsidRPr="0071782F">
        <w:rPr>
          <w:lang w:val="fr-CH"/>
        </w:rPr>
        <w:t>aux personnes</w:t>
      </w:r>
      <w:r w:rsidR="000B2212" w:rsidRPr="0071782F">
        <w:rPr>
          <w:lang w:val="fr-CH"/>
        </w:rPr>
        <w:t xml:space="preserve"> que diverses raisons économiques, sociales, culturelles ou physique, mentales ou </w:t>
      </w:r>
      <w:r w:rsidR="0071782F" w:rsidRPr="0071782F">
        <w:rPr>
          <w:lang w:val="fr-CH"/>
        </w:rPr>
        <w:t>psychologiques</w:t>
      </w:r>
      <w:r w:rsidR="000B2212" w:rsidRPr="0071782F">
        <w:rPr>
          <w:lang w:val="fr-CH"/>
        </w:rPr>
        <w:t xml:space="preserve"> empêchent de gérer leur vie personnelle, familiale et sociale</w:t>
      </w:r>
      <w:r w:rsidRPr="0071782F">
        <w:rPr>
          <w:lang w:val="fr-CH"/>
        </w:rPr>
        <w:t xml:space="preserve">. </w:t>
      </w:r>
      <w:r w:rsidR="000B2212" w:rsidRPr="0071782F">
        <w:rPr>
          <w:lang w:val="fr-CH"/>
        </w:rPr>
        <w:t xml:space="preserve">En outre, la prestation de services </w:t>
      </w:r>
      <w:r w:rsidRPr="0071782F">
        <w:rPr>
          <w:lang w:val="fr-CH"/>
        </w:rPr>
        <w:t>sp</w:t>
      </w:r>
      <w:r w:rsidR="000B2212" w:rsidRPr="0071782F">
        <w:rPr>
          <w:lang w:val="fr-CH"/>
        </w:rPr>
        <w:t>é</w:t>
      </w:r>
      <w:r w:rsidRPr="0071782F">
        <w:rPr>
          <w:lang w:val="fr-CH"/>
        </w:rPr>
        <w:t>cia</w:t>
      </w:r>
      <w:r w:rsidR="000B2212" w:rsidRPr="0071782F">
        <w:rPr>
          <w:lang w:val="fr-CH"/>
        </w:rPr>
        <w:t>ux aux handicapés de guerre et aux anciens combattants constitue l’une des activités principales du secteur de la protection sociale.</w:t>
      </w:r>
      <w:r w:rsidRPr="0071782F">
        <w:rPr>
          <w:lang w:val="fr-CH"/>
        </w:rPr>
        <w:t xml:space="preserve"> </w:t>
      </w:r>
      <w:r w:rsidR="000B2212" w:rsidRPr="0071782F">
        <w:rPr>
          <w:lang w:val="fr-CH"/>
        </w:rPr>
        <w:t>Les services de protection sociale englobent les domaines suivants</w:t>
      </w:r>
      <w:r w:rsidR="008F7D33" w:rsidRPr="0071782F">
        <w:rPr>
          <w:lang w:val="fr-CH"/>
        </w:rPr>
        <w:t>:</w:t>
      </w:r>
      <w:r w:rsidR="000B2212" w:rsidRPr="0071782F">
        <w:rPr>
          <w:lang w:val="fr-CH"/>
        </w:rPr>
        <w:t xml:space="preserve"> réduction de la pauvreté</w:t>
      </w:r>
      <w:r w:rsidRPr="0071782F">
        <w:rPr>
          <w:lang w:val="fr-CH"/>
        </w:rPr>
        <w:t xml:space="preserve">, </w:t>
      </w:r>
      <w:r w:rsidR="000B2212" w:rsidRPr="0071782F">
        <w:rPr>
          <w:lang w:val="fr-CH"/>
        </w:rPr>
        <w:t>activités de secours</w:t>
      </w:r>
      <w:r w:rsidRPr="0071782F">
        <w:rPr>
          <w:lang w:val="fr-CH"/>
        </w:rPr>
        <w:t xml:space="preserve">, </w:t>
      </w:r>
      <w:r w:rsidR="000B2212" w:rsidRPr="0071782F">
        <w:rPr>
          <w:lang w:val="fr-CH"/>
        </w:rPr>
        <w:t>assistance aux handicapés de guerre et aux anciens combattants, et allocation de subventions</w:t>
      </w:r>
      <w:r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r>
      <w:r w:rsidR="000B2212" w:rsidRPr="0071782F">
        <w:rPr>
          <w:lang w:val="fr-CH"/>
        </w:rPr>
        <w:t xml:space="preserve">Indicateurs les plus importants du secteur de la sécurité sociale </w:t>
      </w:r>
    </w:p>
    <w:p w:rsidR="00DD2B20" w:rsidRPr="0071782F" w:rsidRDefault="00DD2B20" w:rsidP="00DD2B20">
      <w:pPr>
        <w:pStyle w:val="SingleTxtG"/>
        <w:rPr>
          <w:lang w:val="fr-CH"/>
        </w:rPr>
      </w:pPr>
      <w:r w:rsidRPr="0071782F">
        <w:rPr>
          <w:lang w:val="fr-CH"/>
        </w:rPr>
        <w:t>132.</w:t>
      </w:r>
      <w:r w:rsidRPr="0071782F">
        <w:rPr>
          <w:lang w:val="fr-CH"/>
        </w:rPr>
        <w:tab/>
      </w:r>
      <w:r w:rsidR="000B2212" w:rsidRPr="0071782F">
        <w:rPr>
          <w:lang w:val="fr-CH"/>
        </w:rPr>
        <w:t>Il s’agit des indicateurs suivants</w:t>
      </w:r>
      <w:r w:rsidR="008F7D33" w:rsidRPr="0071782F">
        <w:rPr>
          <w:lang w:val="fr-CH"/>
        </w:rPr>
        <w:t>:</w:t>
      </w:r>
    </w:p>
    <w:p w:rsidR="00DD2B20" w:rsidRPr="0071782F" w:rsidRDefault="00DD2B20" w:rsidP="00DD2B20">
      <w:pPr>
        <w:pStyle w:val="SingleTxtG"/>
        <w:ind w:left="1701" w:hanging="567"/>
        <w:rPr>
          <w:lang w:val="fr-CH"/>
        </w:rPr>
      </w:pPr>
      <w:r w:rsidRPr="0071782F">
        <w:rPr>
          <w:lang w:val="fr-CH"/>
        </w:rPr>
        <w:tab/>
        <w:t>132.1.</w:t>
      </w:r>
      <w:r w:rsidRPr="0071782F">
        <w:rPr>
          <w:lang w:val="fr-CH"/>
        </w:rPr>
        <w:tab/>
      </w:r>
      <w:r w:rsidR="00A467F6" w:rsidRPr="0071782F">
        <w:rPr>
          <w:lang w:val="fr-CH"/>
        </w:rPr>
        <w:t xml:space="preserve">L’un des plus </w:t>
      </w:r>
      <w:r w:rsidRPr="0071782F">
        <w:rPr>
          <w:lang w:val="fr-CH"/>
        </w:rPr>
        <w:t>important</w:t>
      </w:r>
      <w:r w:rsidR="00A467F6" w:rsidRPr="0071782F">
        <w:rPr>
          <w:lang w:val="fr-CH"/>
        </w:rPr>
        <w:t>s</w:t>
      </w:r>
      <w:r w:rsidRPr="0071782F">
        <w:rPr>
          <w:lang w:val="fr-CH"/>
        </w:rPr>
        <w:t xml:space="preserve"> indicat</w:t>
      </w:r>
      <w:r w:rsidR="00A467F6" w:rsidRPr="0071782F">
        <w:rPr>
          <w:lang w:val="fr-CH"/>
        </w:rPr>
        <w:t>eu</w:t>
      </w:r>
      <w:r w:rsidRPr="0071782F">
        <w:rPr>
          <w:lang w:val="fr-CH"/>
        </w:rPr>
        <w:t xml:space="preserve">rs </w:t>
      </w:r>
      <w:r w:rsidR="00A467F6" w:rsidRPr="0071782F">
        <w:rPr>
          <w:lang w:val="fr-CH"/>
        </w:rPr>
        <w:t>du secteur de la sécurité sociale est le ratio</w:t>
      </w:r>
      <w:r w:rsidR="00B0389C">
        <w:rPr>
          <w:lang w:val="fr-CH"/>
        </w:rPr>
        <w:t xml:space="preserve"> </w:t>
      </w:r>
      <w:r w:rsidR="00097CDB" w:rsidRPr="0071782F">
        <w:rPr>
          <w:lang w:val="fr-CH"/>
        </w:rPr>
        <w:t>personnes</w:t>
      </w:r>
      <w:r w:rsidR="00A467F6" w:rsidRPr="0071782F">
        <w:rPr>
          <w:lang w:val="fr-CH"/>
        </w:rPr>
        <w:t xml:space="preserve"> assurées/personnes ayant un emp</w:t>
      </w:r>
      <w:r w:rsidR="00BF029C">
        <w:rPr>
          <w:lang w:val="fr-CH"/>
        </w:rPr>
        <w:t>loi. En 2006, ce ratio a été de </w:t>
      </w:r>
      <w:r w:rsidRPr="0071782F">
        <w:rPr>
          <w:lang w:val="fr-CH"/>
        </w:rPr>
        <w:t>60</w:t>
      </w:r>
      <w:r w:rsidR="00A467F6" w:rsidRPr="0071782F">
        <w:rPr>
          <w:lang w:val="fr-CH"/>
        </w:rPr>
        <w:t>,</w:t>
      </w:r>
      <w:r w:rsidRPr="0071782F">
        <w:rPr>
          <w:lang w:val="fr-CH"/>
        </w:rPr>
        <w:t>6</w:t>
      </w:r>
      <w:r w:rsidR="007E5125" w:rsidRPr="0071782F">
        <w:rPr>
          <w:lang w:val="fr-CH"/>
        </w:rPr>
        <w:t>%</w:t>
      </w:r>
      <w:r w:rsidRPr="0071782F">
        <w:rPr>
          <w:lang w:val="fr-CH"/>
        </w:rPr>
        <w:t xml:space="preserve">, </w:t>
      </w:r>
      <w:r w:rsidR="00A467F6" w:rsidRPr="0071782F">
        <w:rPr>
          <w:lang w:val="fr-CH"/>
        </w:rPr>
        <w:t xml:space="preserve">ce qui a permis de réaliser à </w:t>
      </w:r>
      <w:r w:rsidRPr="0071782F">
        <w:rPr>
          <w:lang w:val="fr-CH"/>
        </w:rPr>
        <w:t>106</w:t>
      </w:r>
      <w:r w:rsidR="007E5125" w:rsidRPr="0071782F">
        <w:rPr>
          <w:lang w:val="fr-CH"/>
        </w:rPr>
        <w:t>%</w:t>
      </w:r>
      <w:r w:rsidRPr="0071782F">
        <w:rPr>
          <w:lang w:val="fr-CH"/>
        </w:rPr>
        <w:t xml:space="preserve"> </w:t>
      </w:r>
      <w:r w:rsidR="00A467F6" w:rsidRPr="0071782F">
        <w:rPr>
          <w:lang w:val="fr-CH"/>
        </w:rPr>
        <w:t xml:space="preserve">l’objectif fixé par le </w:t>
      </w:r>
      <w:r w:rsidR="00A90208" w:rsidRPr="0071782F">
        <w:rPr>
          <w:lang w:val="fr-CH"/>
        </w:rPr>
        <w:t>quatrième</w:t>
      </w:r>
      <w:r w:rsidR="00A467F6" w:rsidRPr="0071782F">
        <w:rPr>
          <w:lang w:val="fr-CH"/>
        </w:rPr>
        <w:t xml:space="preserve"> plan de développement.</w:t>
      </w:r>
    </w:p>
    <w:p w:rsidR="00DD2B20" w:rsidRPr="0071782F" w:rsidRDefault="00DD2B20" w:rsidP="00DD2B20">
      <w:pPr>
        <w:pStyle w:val="SingleTxtG"/>
        <w:ind w:left="1701" w:hanging="567"/>
        <w:rPr>
          <w:lang w:val="fr-CH"/>
        </w:rPr>
      </w:pPr>
      <w:r w:rsidRPr="0071782F">
        <w:rPr>
          <w:lang w:val="fr-CH"/>
        </w:rPr>
        <w:tab/>
        <w:t>132.2.</w:t>
      </w:r>
      <w:r w:rsidRPr="0071782F">
        <w:rPr>
          <w:lang w:val="fr-CH"/>
        </w:rPr>
        <w:tab/>
      </w:r>
      <w:r w:rsidR="00A467F6" w:rsidRPr="0071782F">
        <w:rPr>
          <w:lang w:val="fr-CH"/>
        </w:rPr>
        <w:t xml:space="preserve">La même année, l’indicateur de l’assurance médicale, à savoir le ratio population assurée/population totale, a été de </w:t>
      </w:r>
      <w:r w:rsidRPr="0071782F">
        <w:rPr>
          <w:lang w:val="fr-CH"/>
        </w:rPr>
        <w:t>87</w:t>
      </w:r>
      <w:r w:rsidR="00A467F6" w:rsidRPr="0071782F">
        <w:rPr>
          <w:lang w:val="fr-CH"/>
        </w:rPr>
        <w:t>,</w:t>
      </w:r>
      <w:r w:rsidRPr="0071782F">
        <w:rPr>
          <w:lang w:val="fr-CH"/>
        </w:rPr>
        <w:t>6</w:t>
      </w:r>
      <w:r w:rsidR="007E5125" w:rsidRPr="0071782F">
        <w:rPr>
          <w:lang w:val="fr-CH"/>
        </w:rPr>
        <w:t>%</w:t>
      </w:r>
      <w:r w:rsidR="006479BB" w:rsidRPr="0071782F">
        <w:rPr>
          <w:lang w:val="fr-CH"/>
        </w:rPr>
        <w:t>.</w:t>
      </w:r>
    </w:p>
    <w:p w:rsidR="00DD2B20" w:rsidRPr="0071782F" w:rsidRDefault="00DD2B20" w:rsidP="00DD2B20">
      <w:pPr>
        <w:pStyle w:val="SingleTxtG"/>
        <w:ind w:left="1701" w:hanging="567"/>
        <w:rPr>
          <w:lang w:val="fr-CH"/>
        </w:rPr>
      </w:pPr>
      <w:r w:rsidRPr="0071782F">
        <w:rPr>
          <w:lang w:val="fr-CH"/>
        </w:rPr>
        <w:tab/>
        <w:t>132.3.</w:t>
      </w:r>
      <w:r w:rsidRPr="0071782F">
        <w:rPr>
          <w:lang w:val="fr-CH"/>
        </w:rPr>
        <w:tab/>
      </w:r>
      <w:r w:rsidR="00A467F6" w:rsidRPr="0071782F">
        <w:rPr>
          <w:lang w:val="fr-CH"/>
        </w:rPr>
        <w:t xml:space="preserve">Toujours en 2006, les organisations de secours, telles que l’Organisme public de protection sociale et le Comité de secours de l’Imam Khomeini, ont fourni de façon suivie des services financiers et culturels à </w:t>
      </w:r>
      <w:r w:rsidRPr="0071782F">
        <w:rPr>
          <w:lang w:val="fr-CH"/>
        </w:rPr>
        <w:t>4</w:t>
      </w:r>
      <w:r w:rsidR="00A467F6" w:rsidRPr="0071782F">
        <w:rPr>
          <w:lang w:val="fr-CH"/>
        </w:rPr>
        <w:t> </w:t>
      </w:r>
      <w:r w:rsidRPr="0071782F">
        <w:rPr>
          <w:lang w:val="fr-CH"/>
        </w:rPr>
        <w:t>700</w:t>
      </w:r>
      <w:r w:rsidR="00B0389C">
        <w:rPr>
          <w:lang w:val="fr-CH"/>
        </w:rPr>
        <w:t> </w:t>
      </w:r>
      <w:r w:rsidRPr="0071782F">
        <w:rPr>
          <w:lang w:val="fr-CH"/>
        </w:rPr>
        <w:t>000</w:t>
      </w:r>
      <w:r w:rsidR="00097CDB" w:rsidRPr="0071782F">
        <w:rPr>
          <w:lang w:val="fr-CH"/>
        </w:rPr>
        <w:t> personnes</w:t>
      </w:r>
      <w:r w:rsidR="006479BB" w:rsidRPr="0071782F">
        <w:rPr>
          <w:lang w:val="fr-CH"/>
        </w:rPr>
        <w:t>.</w:t>
      </w:r>
    </w:p>
    <w:p w:rsidR="00DD2B20" w:rsidRPr="0071782F" w:rsidRDefault="00DD2B20" w:rsidP="00DD2B20">
      <w:pPr>
        <w:pStyle w:val="SingleTxtG"/>
        <w:ind w:left="1701" w:hanging="567"/>
        <w:rPr>
          <w:lang w:val="fr-CH"/>
        </w:rPr>
      </w:pPr>
      <w:r w:rsidRPr="0071782F">
        <w:rPr>
          <w:lang w:val="fr-CH"/>
        </w:rPr>
        <w:tab/>
        <w:t>132.4.</w:t>
      </w:r>
      <w:r w:rsidRPr="0071782F">
        <w:rPr>
          <w:lang w:val="fr-CH"/>
        </w:rPr>
        <w:tab/>
      </w:r>
      <w:r w:rsidR="00A467F6" w:rsidRPr="0071782F">
        <w:rPr>
          <w:lang w:val="fr-CH"/>
        </w:rPr>
        <w:t xml:space="preserve">Le </w:t>
      </w:r>
      <w:r w:rsidR="003B48A4" w:rsidRPr="0071782F">
        <w:rPr>
          <w:lang w:val="fr-CH"/>
        </w:rPr>
        <w:t>nombre</w:t>
      </w:r>
      <w:r w:rsidRPr="0071782F">
        <w:rPr>
          <w:lang w:val="fr-CH"/>
        </w:rPr>
        <w:t xml:space="preserve"> </w:t>
      </w:r>
      <w:r w:rsidR="0092511D" w:rsidRPr="0071782F">
        <w:rPr>
          <w:lang w:val="fr-CH"/>
        </w:rPr>
        <w:t>de famille</w:t>
      </w:r>
      <w:r w:rsidR="00A467F6" w:rsidRPr="0071782F">
        <w:rPr>
          <w:lang w:val="fr-CH"/>
        </w:rPr>
        <w:t xml:space="preserve">s touchant une pension du Programme en faveur des demandeurs d’aide </w:t>
      </w:r>
      <w:r w:rsidRPr="0071782F">
        <w:rPr>
          <w:lang w:val="fr-CH"/>
        </w:rPr>
        <w:t>(</w:t>
      </w:r>
      <w:r w:rsidR="00A467F6" w:rsidRPr="0071782F">
        <w:rPr>
          <w:lang w:val="fr-CH"/>
        </w:rPr>
        <w:t xml:space="preserve">auquel participent notamment le Comité de secours de l’Imam Khomeini et l’Organisme public de protection sociale) a été de </w:t>
      </w:r>
      <w:r w:rsidRPr="0071782F">
        <w:rPr>
          <w:lang w:val="fr-CH"/>
        </w:rPr>
        <w:t>1</w:t>
      </w:r>
      <w:r w:rsidR="00A467F6" w:rsidRPr="0071782F">
        <w:rPr>
          <w:lang w:val="fr-CH"/>
        </w:rPr>
        <w:t> 120</w:t>
      </w:r>
      <w:r w:rsidR="00B0389C">
        <w:rPr>
          <w:lang w:val="fr-CH"/>
        </w:rPr>
        <w:t> </w:t>
      </w:r>
      <w:r w:rsidRPr="0071782F">
        <w:rPr>
          <w:lang w:val="fr-CH"/>
        </w:rPr>
        <w:t xml:space="preserve">000 </w:t>
      </w:r>
      <w:r w:rsidR="00A467F6" w:rsidRPr="0071782F">
        <w:rPr>
          <w:lang w:val="fr-CH"/>
        </w:rPr>
        <w:t xml:space="preserve">et celui </w:t>
      </w:r>
      <w:r w:rsidR="004E45FB" w:rsidRPr="0071782F">
        <w:rPr>
          <w:lang w:val="fr-CH"/>
        </w:rPr>
        <w:t>des familles</w:t>
      </w:r>
      <w:r w:rsidR="00A467F6" w:rsidRPr="0071782F">
        <w:rPr>
          <w:lang w:val="fr-CH"/>
        </w:rPr>
        <w:t xml:space="preserve"> touchant une pension du Programme </w:t>
      </w:r>
      <w:r w:rsidRPr="0071782F">
        <w:rPr>
          <w:lang w:val="fr-CH"/>
        </w:rPr>
        <w:t xml:space="preserve">Shahid Rajaii </w:t>
      </w:r>
      <w:r w:rsidR="00A467F6" w:rsidRPr="0071782F">
        <w:rPr>
          <w:lang w:val="fr-CH"/>
        </w:rPr>
        <w:t xml:space="preserve">a été de </w:t>
      </w:r>
      <w:r w:rsidRPr="0071782F">
        <w:rPr>
          <w:lang w:val="fr-CH"/>
        </w:rPr>
        <w:t>661</w:t>
      </w:r>
      <w:r w:rsidR="00B0389C">
        <w:rPr>
          <w:lang w:val="fr-CH"/>
        </w:rPr>
        <w:t> </w:t>
      </w:r>
      <w:r w:rsidRPr="0071782F">
        <w:rPr>
          <w:lang w:val="fr-CH"/>
        </w:rPr>
        <w:t>000</w:t>
      </w:r>
      <w:r w:rsidR="006479BB" w:rsidRPr="0071782F">
        <w:rPr>
          <w:lang w:val="fr-CH"/>
        </w:rPr>
        <w:t>.</w:t>
      </w:r>
    </w:p>
    <w:p w:rsidR="00DD2B20" w:rsidRPr="0071782F" w:rsidRDefault="00DD2B20" w:rsidP="00DD2B20">
      <w:pPr>
        <w:pStyle w:val="SingleTxtG"/>
        <w:ind w:left="1701" w:hanging="567"/>
        <w:rPr>
          <w:lang w:val="fr-CH"/>
        </w:rPr>
      </w:pPr>
      <w:r w:rsidRPr="0071782F">
        <w:rPr>
          <w:lang w:val="fr-CH"/>
        </w:rPr>
        <w:tab/>
        <w:t>132.5.</w:t>
      </w:r>
      <w:r w:rsidRPr="0071782F">
        <w:rPr>
          <w:lang w:val="fr-CH"/>
        </w:rPr>
        <w:tab/>
      </w:r>
      <w:r w:rsidR="0051503E" w:rsidRPr="0071782F">
        <w:rPr>
          <w:lang w:val="fr-CH"/>
        </w:rPr>
        <w:t xml:space="preserve">La couverture de l’assurance médicale a été étendue à </w:t>
      </w:r>
      <w:r w:rsidRPr="0071782F">
        <w:rPr>
          <w:lang w:val="fr-CH"/>
        </w:rPr>
        <w:t>2</w:t>
      </w:r>
      <w:r w:rsidR="0051503E" w:rsidRPr="0071782F">
        <w:rPr>
          <w:lang w:val="fr-CH"/>
        </w:rPr>
        <w:t> </w:t>
      </w:r>
      <w:r w:rsidRPr="0071782F">
        <w:rPr>
          <w:lang w:val="fr-CH"/>
        </w:rPr>
        <w:t>250</w:t>
      </w:r>
      <w:r w:rsidR="00B0389C">
        <w:rPr>
          <w:lang w:val="fr-CH"/>
        </w:rPr>
        <w:t> </w:t>
      </w:r>
      <w:r w:rsidRPr="0071782F">
        <w:rPr>
          <w:lang w:val="fr-CH"/>
        </w:rPr>
        <w:t xml:space="preserve">000 </w:t>
      </w:r>
      <w:r w:rsidR="0051503E" w:rsidRPr="0071782F">
        <w:rPr>
          <w:lang w:val="fr-CH"/>
        </w:rPr>
        <w:t xml:space="preserve">demandeurs d’aide qui avaient besoin des services des organisations de secours (on notera que les demandeurs d’aide pris en charge dans </w:t>
      </w:r>
      <w:r w:rsidR="0071782F" w:rsidRPr="0071782F">
        <w:rPr>
          <w:lang w:val="fr-CH"/>
        </w:rPr>
        <w:t>la zone rurale</w:t>
      </w:r>
      <w:r w:rsidR="0051503E" w:rsidRPr="0071782F">
        <w:rPr>
          <w:lang w:val="fr-CH"/>
        </w:rPr>
        <w:t xml:space="preserve"> par le Comité de secours de l’Imam Khomeini ont été incorporés dans le système d’assurance médicale rural</w:t>
      </w:r>
      <w:r w:rsidRPr="0071782F">
        <w:rPr>
          <w:lang w:val="fr-CH"/>
        </w:rPr>
        <w:t>)</w:t>
      </w:r>
      <w:r w:rsidR="006479BB" w:rsidRPr="0071782F">
        <w:rPr>
          <w:lang w:val="fr-CH"/>
        </w:rPr>
        <w:t>.</w:t>
      </w:r>
    </w:p>
    <w:p w:rsidR="00DD2B20" w:rsidRPr="0071782F" w:rsidRDefault="00DD2B20" w:rsidP="00DD2B20">
      <w:pPr>
        <w:pStyle w:val="SingleTxtG"/>
        <w:ind w:left="1701" w:hanging="567"/>
        <w:rPr>
          <w:lang w:val="fr-CH"/>
        </w:rPr>
      </w:pPr>
      <w:r w:rsidRPr="0071782F">
        <w:rPr>
          <w:lang w:val="fr-CH"/>
        </w:rPr>
        <w:tab/>
        <w:t>132.6.</w:t>
      </w:r>
      <w:r w:rsidRPr="0071782F">
        <w:rPr>
          <w:lang w:val="fr-CH"/>
        </w:rPr>
        <w:tab/>
      </w:r>
      <w:r w:rsidR="00D333E6" w:rsidRPr="0071782F">
        <w:rPr>
          <w:lang w:val="fr-CH"/>
        </w:rPr>
        <w:t xml:space="preserve">Le nombre </w:t>
      </w:r>
      <w:r w:rsidR="00D82C96" w:rsidRPr="0071782F">
        <w:rPr>
          <w:lang w:val="fr-CH"/>
        </w:rPr>
        <w:t>de personnes</w:t>
      </w:r>
      <w:r w:rsidR="00D333E6" w:rsidRPr="0071782F">
        <w:rPr>
          <w:lang w:val="fr-CH"/>
        </w:rPr>
        <w:t xml:space="preserve"> handicapées bénéficiant de façon suivie des services </w:t>
      </w:r>
      <w:r w:rsidRPr="0071782F">
        <w:rPr>
          <w:lang w:val="fr-CH"/>
        </w:rPr>
        <w:t>financi</w:t>
      </w:r>
      <w:r w:rsidR="00D333E6" w:rsidRPr="0071782F">
        <w:rPr>
          <w:lang w:val="fr-CH"/>
        </w:rPr>
        <w:t>ers</w:t>
      </w:r>
      <w:r w:rsidRPr="0071782F">
        <w:rPr>
          <w:lang w:val="fr-CH"/>
        </w:rPr>
        <w:t xml:space="preserve">, </w:t>
      </w:r>
      <w:r w:rsidR="00D333E6" w:rsidRPr="0071782F">
        <w:rPr>
          <w:lang w:val="fr-CH"/>
        </w:rPr>
        <w:t>de réadaptation et éducatifs des organisations de secours est passé de 500</w:t>
      </w:r>
      <w:r w:rsidR="00B0389C">
        <w:rPr>
          <w:lang w:val="fr-CH"/>
        </w:rPr>
        <w:t> </w:t>
      </w:r>
      <w:r w:rsidRPr="0071782F">
        <w:rPr>
          <w:lang w:val="fr-CH"/>
        </w:rPr>
        <w:t xml:space="preserve">000 </w:t>
      </w:r>
      <w:r w:rsidR="00D333E6" w:rsidRPr="0071782F">
        <w:rPr>
          <w:lang w:val="fr-CH"/>
        </w:rPr>
        <w:t xml:space="preserve">en </w:t>
      </w:r>
      <w:r w:rsidRPr="0071782F">
        <w:rPr>
          <w:lang w:val="fr-CH"/>
        </w:rPr>
        <w:t xml:space="preserve">2005 </w:t>
      </w:r>
      <w:r w:rsidR="00D333E6" w:rsidRPr="0071782F">
        <w:rPr>
          <w:lang w:val="fr-CH"/>
        </w:rPr>
        <w:t>à</w:t>
      </w:r>
      <w:r w:rsidRPr="0071782F">
        <w:rPr>
          <w:lang w:val="fr-CH"/>
        </w:rPr>
        <w:t xml:space="preserve"> 550</w:t>
      </w:r>
      <w:r w:rsidR="00B0389C">
        <w:rPr>
          <w:lang w:val="fr-CH"/>
        </w:rPr>
        <w:t> </w:t>
      </w:r>
      <w:r w:rsidRPr="0071782F">
        <w:rPr>
          <w:lang w:val="fr-CH"/>
        </w:rPr>
        <w:t xml:space="preserve">000 </w:t>
      </w:r>
      <w:r w:rsidR="00D333E6" w:rsidRPr="0071782F">
        <w:rPr>
          <w:lang w:val="fr-CH"/>
        </w:rPr>
        <w:t xml:space="preserve">en </w:t>
      </w:r>
      <w:r w:rsidRPr="0071782F">
        <w:rPr>
          <w:lang w:val="fr-CH"/>
        </w:rPr>
        <w:t>2006</w:t>
      </w:r>
      <w:r w:rsidR="006479BB" w:rsidRPr="0071782F">
        <w:rPr>
          <w:lang w:val="fr-CH"/>
        </w:rPr>
        <w:t>.</w:t>
      </w:r>
    </w:p>
    <w:p w:rsidR="00DD2B20" w:rsidRPr="0071782F" w:rsidRDefault="00DD2B20" w:rsidP="00DD2B20">
      <w:pPr>
        <w:pStyle w:val="SingleTxtG"/>
        <w:ind w:left="1701" w:hanging="567"/>
        <w:rPr>
          <w:lang w:val="fr-CH"/>
        </w:rPr>
      </w:pPr>
      <w:r w:rsidRPr="0071782F">
        <w:rPr>
          <w:lang w:val="fr-CH"/>
        </w:rPr>
        <w:tab/>
        <w:t>132.7.</w:t>
      </w:r>
      <w:r w:rsidRPr="0071782F">
        <w:rPr>
          <w:lang w:val="fr-CH"/>
        </w:rPr>
        <w:tab/>
      </w:r>
      <w:r w:rsidR="00D333E6" w:rsidRPr="0071782F">
        <w:rPr>
          <w:lang w:val="fr-CH"/>
        </w:rPr>
        <w:t xml:space="preserve">Les organisations de secours ont fourni un emploi à </w:t>
      </w:r>
      <w:r w:rsidRPr="0071782F">
        <w:rPr>
          <w:lang w:val="fr-CH"/>
        </w:rPr>
        <w:t>43</w:t>
      </w:r>
      <w:r w:rsidR="00B0389C">
        <w:rPr>
          <w:lang w:val="fr-CH"/>
        </w:rPr>
        <w:t> </w:t>
      </w:r>
      <w:r w:rsidRPr="0071782F">
        <w:rPr>
          <w:lang w:val="fr-CH"/>
        </w:rPr>
        <w:t>000</w:t>
      </w:r>
      <w:r w:rsidR="007F37CE" w:rsidRPr="0071782F">
        <w:rPr>
          <w:lang w:val="fr-CH"/>
        </w:rPr>
        <w:t> famille</w:t>
      </w:r>
      <w:r w:rsidR="00D333E6" w:rsidRPr="0071782F">
        <w:rPr>
          <w:lang w:val="fr-CH"/>
        </w:rPr>
        <w:t>s de dema</w:t>
      </w:r>
      <w:r w:rsidR="00254128" w:rsidRPr="0071782F">
        <w:rPr>
          <w:lang w:val="fr-CH"/>
        </w:rPr>
        <w:t>nd</w:t>
      </w:r>
      <w:r w:rsidR="00D333E6" w:rsidRPr="0071782F">
        <w:rPr>
          <w:lang w:val="fr-CH"/>
        </w:rPr>
        <w:t>eurs d’aide</w:t>
      </w:r>
      <w:r w:rsidR="006479BB" w:rsidRPr="0071782F">
        <w:rPr>
          <w:lang w:val="fr-CH"/>
        </w:rPr>
        <w:t>.</w:t>
      </w:r>
    </w:p>
    <w:p w:rsidR="00DD2B20" w:rsidRPr="0071782F" w:rsidRDefault="00DD2B20" w:rsidP="00DD2B20">
      <w:pPr>
        <w:pStyle w:val="SingleTxtG"/>
        <w:ind w:left="1701" w:hanging="567"/>
        <w:rPr>
          <w:lang w:val="fr-CH"/>
        </w:rPr>
      </w:pPr>
      <w:r w:rsidRPr="0071782F">
        <w:rPr>
          <w:lang w:val="fr-CH"/>
        </w:rPr>
        <w:tab/>
        <w:t>132.8.</w:t>
      </w:r>
      <w:r w:rsidRPr="0071782F">
        <w:rPr>
          <w:lang w:val="fr-CH"/>
        </w:rPr>
        <w:tab/>
      </w:r>
      <w:r w:rsidR="00254128" w:rsidRPr="0071782F">
        <w:rPr>
          <w:lang w:val="fr-CH"/>
        </w:rPr>
        <w:t xml:space="preserve">Les organisations de secours ont fourni un logement à </w:t>
      </w:r>
      <w:r w:rsidRPr="0071782F">
        <w:rPr>
          <w:lang w:val="fr-CH"/>
        </w:rPr>
        <w:t>27</w:t>
      </w:r>
      <w:r w:rsidR="00B0389C">
        <w:rPr>
          <w:lang w:val="fr-CH"/>
        </w:rPr>
        <w:t> </w:t>
      </w:r>
      <w:r w:rsidRPr="0071782F">
        <w:rPr>
          <w:lang w:val="fr-CH"/>
        </w:rPr>
        <w:t>000</w:t>
      </w:r>
      <w:r w:rsidR="007F37CE" w:rsidRPr="0071782F">
        <w:rPr>
          <w:lang w:val="fr-CH"/>
        </w:rPr>
        <w:t> famille</w:t>
      </w:r>
      <w:r w:rsidR="00254128" w:rsidRPr="0071782F">
        <w:rPr>
          <w:lang w:val="fr-CH"/>
        </w:rPr>
        <w:t>s de demandeurs d’aide</w:t>
      </w:r>
      <w:r w:rsidR="006479BB" w:rsidRPr="0071782F">
        <w:rPr>
          <w:lang w:val="fr-CH"/>
        </w:rPr>
        <w:t>.</w:t>
      </w:r>
    </w:p>
    <w:p w:rsidR="00DD2B20" w:rsidRPr="00B0389C" w:rsidRDefault="00DD2B20" w:rsidP="00DD2B20">
      <w:pPr>
        <w:pStyle w:val="SingleTxtG"/>
        <w:ind w:left="1701" w:hanging="567"/>
        <w:rPr>
          <w:spacing w:val="-2"/>
          <w:lang w:val="fr-CH"/>
        </w:rPr>
      </w:pPr>
      <w:r w:rsidRPr="00B0389C">
        <w:rPr>
          <w:spacing w:val="-2"/>
          <w:lang w:val="fr-CH"/>
        </w:rPr>
        <w:tab/>
        <w:t>132.9.</w:t>
      </w:r>
      <w:r w:rsidRPr="00B0389C">
        <w:rPr>
          <w:spacing w:val="-2"/>
          <w:lang w:val="fr-CH"/>
        </w:rPr>
        <w:tab/>
      </w:r>
      <w:r w:rsidR="00E50C9E" w:rsidRPr="00B0389C">
        <w:rPr>
          <w:spacing w:val="-2"/>
          <w:lang w:val="fr-CH"/>
        </w:rPr>
        <w:t>Les centres de services subventionnés par l’État et ouverts 24</w:t>
      </w:r>
      <w:r w:rsidR="00BF435F" w:rsidRPr="00B0389C">
        <w:rPr>
          <w:spacing w:val="-2"/>
          <w:lang w:val="fr-CH"/>
        </w:rPr>
        <w:t> heures</w:t>
      </w:r>
      <w:r w:rsidR="00E50C9E" w:rsidRPr="00B0389C">
        <w:rPr>
          <w:spacing w:val="-2"/>
          <w:lang w:val="fr-CH"/>
        </w:rPr>
        <w:t xml:space="preserve"> sur 24 ont fourni des services de réadaptation à </w:t>
      </w:r>
      <w:r w:rsidRPr="00B0389C">
        <w:rPr>
          <w:spacing w:val="-2"/>
          <w:lang w:val="fr-CH"/>
        </w:rPr>
        <w:t>70</w:t>
      </w:r>
      <w:r w:rsidR="00B0389C" w:rsidRPr="00B0389C">
        <w:rPr>
          <w:spacing w:val="-2"/>
          <w:lang w:val="fr-CH"/>
        </w:rPr>
        <w:t> </w:t>
      </w:r>
      <w:r w:rsidRPr="00B0389C">
        <w:rPr>
          <w:spacing w:val="-2"/>
          <w:lang w:val="fr-CH"/>
        </w:rPr>
        <w:t xml:space="preserve">000 </w:t>
      </w:r>
      <w:r w:rsidR="00E50C9E" w:rsidRPr="00B0389C">
        <w:rPr>
          <w:spacing w:val="-2"/>
          <w:lang w:val="fr-CH"/>
        </w:rPr>
        <w:t>handicapés,</w:t>
      </w:r>
      <w:r w:rsidR="00B0389C" w:rsidRPr="00B0389C">
        <w:rPr>
          <w:spacing w:val="-2"/>
          <w:lang w:val="fr-CH"/>
        </w:rPr>
        <w:t xml:space="preserve"> </w:t>
      </w:r>
      <w:r w:rsidR="00097CDB" w:rsidRPr="00B0389C">
        <w:rPr>
          <w:spacing w:val="-2"/>
          <w:lang w:val="fr-CH"/>
        </w:rPr>
        <w:t>personnes</w:t>
      </w:r>
      <w:r w:rsidR="00E50C9E" w:rsidRPr="00B0389C">
        <w:rPr>
          <w:spacing w:val="-2"/>
          <w:lang w:val="fr-CH"/>
        </w:rPr>
        <w:t xml:space="preserve"> âgées et</w:t>
      </w:r>
      <w:r w:rsidR="00B0389C" w:rsidRPr="00B0389C">
        <w:rPr>
          <w:spacing w:val="-2"/>
          <w:lang w:val="fr-CH"/>
        </w:rPr>
        <w:t xml:space="preserve"> </w:t>
      </w:r>
      <w:r w:rsidR="00097CDB" w:rsidRPr="00B0389C">
        <w:rPr>
          <w:spacing w:val="-2"/>
          <w:lang w:val="fr-CH"/>
        </w:rPr>
        <w:t>personnes</w:t>
      </w:r>
      <w:r w:rsidR="00E50C9E" w:rsidRPr="00B0389C">
        <w:rPr>
          <w:spacing w:val="-2"/>
          <w:lang w:val="fr-CH"/>
        </w:rPr>
        <w:t xml:space="preserve"> atteintes de troubles mentaux chroniques </w:t>
      </w:r>
      <w:r w:rsidR="009C5A32" w:rsidRPr="00B0389C">
        <w:rPr>
          <w:spacing w:val="-2"/>
          <w:lang w:val="fr-CH"/>
        </w:rPr>
        <w:t>ainsi qu’à des enfants sans tut</w:t>
      </w:r>
      <w:r w:rsidR="00E50C9E" w:rsidRPr="00B0389C">
        <w:rPr>
          <w:spacing w:val="-2"/>
          <w:lang w:val="fr-CH"/>
        </w:rPr>
        <w:t>eur</w:t>
      </w:r>
      <w:r w:rsidR="006479BB" w:rsidRPr="00B0389C">
        <w:rPr>
          <w:spacing w:val="-2"/>
          <w:lang w:val="fr-CH"/>
        </w:rPr>
        <w:t>.</w:t>
      </w:r>
    </w:p>
    <w:p w:rsidR="00DD2B20" w:rsidRPr="0071782F" w:rsidRDefault="00DD2B20" w:rsidP="00DD2B20">
      <w:pPr>
        <w:pStyle w:val="SingleTxtG"/>
        <w:ind w:left="1701" w:hanging="567"/>
        <w:rPr>
          <w:lang w:val="fr-CH"/>
        </w:rPr>
      </w:pPr>
      <w:r w:rsidRPr="0071782F">
        <w:rPr>
          <w:lang w:val="fr-CH"/>
        </w:rPr>
        <w:tab/>
        <w:t>132.10.</w:t>
      </w:r>
      <w:r w:rsidR="006479BB" w:rsidRPr="0071782F">
        <w:rPr>
          <w:lang w:val="fr-CH"/>
        </w:rPr>
        <w:t xml:space="preserve"> </w:t>
      </w:r>
      <w:r w:rsidR="00E50C9E" w:rsidRPr="0071782F">
        <w:rPr>
          <w:lang w:val="fr-CH"/>
        </w:rPr>
        <w:t xml:space="preserve">Un accès aux services de prévention des préjudices sociaux et des handicaps a été fourni à </w:t>
      </w:r>
      <w:r w:rsidRPr="0071782F">
        <w:rPr>
          <w:lang w:val="fr-CH"/>
        </w:rPr>
        <w:t>1</w:t>
      </w:r>
      <w:r w:rsidR="00E50C9E" w:rsidRPr="0071782F">
        <w:rPr>
          <w:lang w:val="fr-CH"/>
        </w:rPr>
        <w:t xml:space="preserve"> 200 </w:t>
      </w:r>
      <w:r w:rsidRPr="0071782F">
        <w:rPr>
          <w:lang w:val="fr-CH"/>
        </w:rPr>
        <w:t>000</w:t>
      </w:r>
      <w:r w:rsidR="00097CDB" w:rsidRPr="0071782F">
        <w:rPr>
          <w:lang w:val="fr-CH"/>
        </w:rPr>
        <w:t> personnes</w:t>
      </w:r>
      <w:r w:rsidR="006479BB" w:rsidRPr="0071782F">
        <w:rPr>
          <w:lang w:val="fr-CH"/>
        </w:rPr>
        <w:t>.</w:t>
      </w:r>
    </w:p>
    <w:p w:rsidR="00DD2B20" w:rsidRPr="0071782F" w:rsidRDefault="00DD2B20" w:rsidP="00DD2B20">
      <w:pPr>
        <w:pStyle w:val="SingleTxtG"/>
        <w:ind w:left="1701" w:hanging="567"/>
        <w:rPr>
          <w:lang w:val="fr-CH"/>
        </w:rPr>
      </w:pPr>
      <w:r w:rsidRPr="0071782F">
        <w:rPr>
          <w:lang w:val="fr-CH"/>
        </w:rPr>
        <w:tab/>
      </w:r>
      <w:r w:rsidR="006479BB" w:rsidRPr="0071782F">
        <w:rPr>
          <w:lang w:val="fr-CH"/>
        </w:rPr>
        <w:t xml:space="preserve">132.11. </w:t>
      </w:r>
      <w:r w:rsidR="00E50C9E" w:rsidRPr="0071782F">
        <w:rPr>
          <w:lang w:val="fr-CH"/>
        </w:rPr>
        <w:t xml:space="preserve">Le nombre </w:t>
      </w:r>
      <w:r w:rsidR="007F37CE" w:rsidRPr="0071782F">
        <w:rPr>
          <w:lang w:val="fr-CH"/>
        </w:rPr>
        <w:t>des personnes</w:t>
      </w:r>
      <w:r w:rsidR="00E50C9E" w:rsidRPr="0071782F">
        <w:rPr>
          <w:lang w:val="fr-CH"/>
        </w:rPr>
        <w:t xml:space="preserve"> prises en charge par les programmes de prévention de la toxicomanie a été porté à </w:t>
      </w:r>
      <w:r w:rsidRPr="0071782F">
        <w:rPr>
          <w:lang w:val="fr-CH"/>
        </w:rPr>
        <w:t>3</w:t>
      </w:r>
      <w:r w:rsidR="00E50C9E" w:rsidRPr="0071782F">
        <w:rPr>
          <w:lang w:val="fr-CH"/>
        </w:rPr>
        <w:t> 200</w:t>
      </w:r>
      <w:r w:rsidR="00B0389C">
        <w:rPr>
          <w:lang w:val="fr-CH"/>
        </w:rPr>
        <w:t> </w:t>
      </w:r>
      <w:r w:rsidRPr="0071782F">
        <w:rPr>
          <w:lang w:val="fr-CH"/>
        </w:rPr>
        <w:t xml:space="preserve">000, </w:t>
      </w:r>
      <w:r w:rsidR="00E50C9E" w:rsidRPr="0071782F">
        <w:rPr>
          <w:lang w:val="fr-CH"/>
        </w:rPr>
        <w:t xml:space="preserve">nombre en augmentation de </w:t>
      </w:r>
      <w:r w:rsidRPr="0071782F">
        <w:rPr>
          <w:lang w:val="fr-CH"/>
        </w:rPr>
        <w:t>14</w:t>
      </w:r>
      <w:r w:rsidR="007E5125" w:rsidRPr="0071782F">
        <w:rPr>
          <w:lang w:val="fr-CH"/>
        </w:rPr>
        <w:t>%</w:t>
      </w:r>
      <w:r w:rsidRPr="0071782F">
        <w:rPr>
          <w:lang w:val="fr-CH"/>
        </w:rPr>
        <w:t xml:space="preserve"> </w:t>
      </w:r>
      <w:r w:rsidR="00E50C9E" w:rsidRPr="0071782F">
        <w:rPr>
          <w:lang w:val="fr-CH"/>
        </w:rPr>
        <w:t xml:space="preserve">par rapport à l’année antérieure </w:t>
      </w:r>
      <w:r w:rsidRPr="0071782F">
        <w:rPr>
          <w:lang w:val="fr-CH"/>
        </w:rPr>
        <w:t>(2005)</w:t>
      </w:r>
      <w:r w:rsidR="006479BB" w:rsidRPr="0071782F">
        <w:rPr>
          <w:lang w:val="fr-CH"/>
        </w:rPr>
        <w:t>.</w:t>
      </w:r>
    </w:p>
    <w:p w:rsidR="00DD2B20" w:rsidRPr="0071782F" w:rsidRDefault="00DD2B20" w:rsidP="00DD2B20">
      <w:pPr>
        <w:pStyle w:val="SingleTxtG"/>
        <w:ind w:left="1701" w:hanging="567"/>
        <w:rPr>
          <w:lang w:val="fr-CH"/>
        </w:rPr>
      </w:pPr>
      <w:r w:rsidRPr="0071782F">
        <w:rPr>
          <w:lang w:val="fr-CH"/>
        </w:rPr>
        <w:tab/>
        <w:t>132.12.</w:t>
      </w:r>
      <w:r w:rsidR="006479BB" w:rsidRPr="0071782F">
        <w:rPr>
          <w:lang w:val="fr-CH"/>
        </w:rPr>
        <w:t xml:space="preserve"> </w:t>
      </w:r>
      <w:r w:rsidR="00E50C9E" w:rsidRPr="0071782F">
        <w:rPr>
          <w:lang w:val="fr-CH"/>
        </w:rPr>
        <w:t xml:space="preserve">Du matériel de secours a été fourni à </w:t>
      </w:r>
      <w:r w:rsidRPr="0071782F">
        <w:rPr>
          <w:lang w:val="fr-CH"/>
        </w:rPr>
        <w:t>2</w:t>
      </w:r>
      <w:r w:rsidR="007E5125" w:rsidRPr="0071782F">
        <w:rPr>
          <w:lang w:val="fr-CH"/>
        </w:rPr>
        <w:t>%</w:t>
      </w:r>
      <w:r w:rsidRPr="0071782F">
        <w:rPr>
          <w:lang w:val="fr-CH"/>
        </w:rPr>
        <w:t xml:space="preserve"> </w:t>
      </w:r>
      <w:r w:rsidR="00E50C9E" w:rsidRPr="0071782F">
        <w:rPr>
          <w:lang w:val="fr-CH"/>
        </w:rPr>
        <w:t>de la population totale du pays</w:t>
      </w:r>
      <w:r w:rsidR="006479BB" w:rsidRPr="0071782F">
        <w:rPr>
          <w:lang w:val="fr-CH"/>
        </w:rPr>
        <w:t>.</w:t>
      </w:r>
    </w:p>
    <w:p w:rsidR="00DD2B20" w:rsidRPr="0071782F" w:rsidRDefault="00DD2B20" w:rsidP="00DD2B20">
      <w:pPr>
        <w:pStyle w:val="SingleTxtG"/>
        <w:ind w:left="1701" w:hanging="567"/>
        <w:rPr>
          <w:lang w:val="fr-CH"/>
        </w:rPr>
      </w:pPr>
      <w:r w:rsidRPr="0071782F">
        <w:rPr>
          <w:lang w:val="fr-CH"/>
        </w:rPr>
        <w:tab/>
      </w:r>
      <w:r w:rsidR="006479BB" w:rsidRPr="0071782F">
        <w:rPr>
          <w:lang w:val="fr-CH"/>
        </w:rPr>
        <w:t xml:space="preserve">132.13. </w:t>
      </w:r>
      <w:r w:rsidR="00E50C9E" w:rsidRPr="0071782F">
        <w:rPr>
          <w:lang w:val="fr-CH"/>
        </w:rPr>
        <w:t xml:space="preserve">Un million et demi </w:t>
      </w:r>
      <w:r w:rsidR="00D82C96" w:rsidRPr="0071782F">
        <w:rPr>
          <w:lang w:val="fr-CH"/>
        </w:rPr>
        <w:t>de personnes</w:t>
      </w:r>
      <w:r w:rsidR="00E50C9E" w:rsidRPr="0071782F">
        <w:rPr>
          <w:lang w:val="fr-CH"/>
        </w:rPr>
        <w:t xml:space="preserve"> ont participé aux activités de secours.</w:t>
      </w:r>
    </w:p>
    <w:p w:rsidR="00DD2B20" w:rsidRPr="0071782F" w:rsidRDefault="00DD2B20" w:rsidP="00DD2B20">
      <w:pPr>
        <w:pStyle w:val="SingleTxtG"/>
        <w:ind w:left="1701" w:hanging="567"/>
        <w:rPr>
          <w:lang w:val="fr-CH"/>
        </w:rPr>
      </w:pPr>
      <w:r w:rsidRPr="0071782F">
        <w:rPr>
          <w:lang w:val="fr-CH"/>
        </w:rPr>
        <w:tab/>
        <w:t>132.14.</w:t>
      </w:r>
      <w:r w:rsidR="006479BB" w:rsidRPr="0071782F">
        <w:rPr>
          <w:lang w:val="fr-CH"/>
        </w:rPr>
        <w:t xml:space="preserve"> </w:t>
      </w:r>
      <w:r w:rsidR="00E50C9E" w:rsidRPr="0071782F">
        <w:rPr>
          <w:lang w:val="fr-CH"/>
        </w:rPr>
        <w:t xml:space="preserve">La Société du Croissant-Rouge a dispensé une formation aux secours à </w:t>
      </w:r>
      <w:r w:rsidRPr="0071782F">
        <w:rPr>
          <w:lang w:val="fr-CH"/>
        </w:rPr>
        <w:t xml:space="preserve">1% </w:t>
      </w:r>
      <w:r w:rsidR="00E50C9E" w:rsidRPr="0071782F">
        <w:rPr>
          <w:lang w:val="fr-CH"/>
        </w:rPr>
        <w:t>de la population totale du pays</w:t>
      </w:r>
      <w:r w:rsidR="006479BB" w:rsidRPr="0071782F">
        <w:rPr>
          <w:lang w:val="fr-CH"/>
        </w:rPr>
        <w:t>.</w:t>
      </w:r>
    </w:p>
    <w:p w:rsidR="00DD2B20" w:rsidRPr="0071782F" w:rsidRDefault="00DD2B20" w:rsidP="00DD2B20">
      <w:pPr>
        <w:pStyle w:val="SingleTxtG"/>
        <w:ind w:left="1701" w:hanging="567"/>
        <w:rPr>
          <w:lang w:val="fr-CH"/>
        </w:rPr>
      </w:pPr>
      <w:r w:rsidRPr="0071782F">
        <w:rPr>
          <w:lang w:val="fr-CH"/>
        </w:rPr>
        <w:tab/>
      </w:r>
      <w:r w:rsidR="006479BB" w:rsidRPr="0071782F">
        <w:rPr>
          <w:lang w:val="fr-CH"/>
        </w:rPr>
        <w:t xml:space="preserve">132.15. </w:t>
      </w:r>
      <w:r w:rsidR="00422390" w:rsidRPr="0071782F">
        <w:rPr>
          <w:lang w:val="fr-CH"/>
        </w:rPr>
        <w:t xml:space="preserve">Une formation universelle et spécialisée aux secours a été dispensée à </w:t>
      </w:r>
      <w:r w:rsidRPr="0071782F">
        <w:rPr>
          <w:lang w:val="fr-CH"/>
        </w:rPr>
        <w:t>1</w:t>
      </w:r>
      <w:r w:rsidR="00422390" w:rsidRPr="0071782F">
        <w:rPr>
          <w:lang w:val="fr-CH"/>
        </w:rPr>
        <w:t> </w:t>
      </w:r>
      <w:r w:rsidRPr="0071782F">
        <w:rPr>
          <w:lang w:val="fr-CH"/>
        </w:rPr>
        <w:t>100</w:t>
      </w:r>
      <w:r w:rsidR="00B0389C">
        <w:rPr>
          <w:lang w:val="fr-CH"/>
        </w:rPr>
        <w:t> </w:t>
      </w:r>
      <w:r w:rsidRPr="0071782F">
        <w:rPr>
          <w:lang w:val="fr-CH"/>
        </w:rPr>
        <w:t>000</w:t>
      </w:r>
      <w:r w:rsidR="00097CDB" w:rsidRPr="0071782F">
        <w:rPr>
          <w:lang w:val="fr-CH"/>
        </w:rPr>
        <w:t> personnes</w:t>
      </w:r>
      <w:r w:rsidR="006479BB" w:rsidRPr="0071782F">
        <w:rPr>
          <w:lang w:val="fr-CH"/>
        </w:rPr>
        <w:t>.</w:t>
      </w:r>
    </w:p>
    <w:p w:rsidR="00DD2B20" w:rsidRPr="0071782F" w:rsidRDefault="00DD2B20" w:rsidP="002241CD">
      <w:pPr>
        <w:pStyle w:val="SingleTxtG"/>
        <w:spacing w:after="0"/>
        <w:ind w:left="1701" w:hanging="567"/>
        <w:rPr>
          <w:lang w:val="fr-CH"/>
        </w:rPr>
      </w:pPr>
      <w:r w:rsidRPr="0071782F">
        <w:rPr>
          <w:lang w:val="fr-CH"/>
        </w:rPr>
        <w:tab/>
        <w:t>132.16.</w:t>
      </w:r>
      <w:r w:rsidR="006479BB" w:rsidRPr="0071782F">
        <w:rPr>
          <w:lang w:val="fr-CH"/>
        </w:rPr>
        <w:t xml:space="preserve"> </w:t>
      </w:r>
      <w:r w:rsidR="005A13A9" w:rsidRPr="0071782F">
        <w:rPr>
          <w:lang w:val="fr-CH"/>
        </w:rPr>
        <w:t>En ce qui concerne les handicapés de guerre et les anciens combattants, il convient de noter qu’avec l’</w:t>
      </w:r>
      <w:r w:rsidRPr="0071782F">
        <w:rPr>
          <w:lang w:val="fr-CH"/>
        </w:rPr>
        <w:t xml:space="preserve">allocation </w:t>
      </w:r>
      <w:r w:rsidR="005A13A9" w:rsidRPr="0071782F">
        <w:rPr>
          <w:lang w:val="fr-CH"/>
        </w:rPr>
        <w:t xml:space="preserve">d’un </w:t>
      </w:r>
      <w:r w:rsidRPr="0071782F">
        <w:rPr>
          <w:lang w:val="fr-CH"/>
        </w:rPr>
        <w:t>cr</w:t>
      </w:r>
      <w:r w:rsidR="005A13A9" w:rsidRPr="0071782F">
        <w:rPr>
          <w:lang w:val="fr-CH"/>
        </w:rPr>
        <w:t>é</w:t>
      </w:r>
      <w:r w:rsidRPr="0071782F">
        <w:rPr>
          <w:lang w:val="fr-CH"/>
        </w:rPr>
        <w:t xml:space="preserve">dit </w:t>
      </w:r>
      <w:r w:rsidR="005A13A9" w:rsidRPr="0071782F">
        <w:rPr>
          <w:lang w:val="fr-CH"/>
        </w:rPr>
        <w:t xml:space="preserve">de </w:t>
      </w:r>
      <w:r w:rsidRPr="0071782F">
        <w:rPr>
          <w:lang w:val="fr-CH"/>
        </w:rPr>
        <w:t>50,676</w:t>
      </w:r>
      <w:r w:rsidR="008553D9" w:rsidRPr="0071782F">
        <w:rPr>
          <w:lang w:val="fr-CH"/>
        </w:rPr>
        <w:t> milliard</w:t>
      </w:r>
      <w:r w:rsidR="00097CDB" w:rsidRPr="0071782F">
        <w:rPr>
          <w:lang w:val="fr-CH"/>
        </w:rPr>
        <w:t>s</w:t>
      </w:r>
      <w:r w:rsidR="005A13A9" w:rsidRPr="0071782F">
        <w:rPr>
          <w:lang w:val="fr-CH"/>
        </w:rPr>
        <w:t xml:space="preserve"> </w:t>
      </w:r>
      <w:r w:rsidR="003B1403" w:rsidRPr="0071782F">
        <w:rPr>
          <w:lang w:val="fr-CH"/>
        </w:rPr>
        <w:t>de rials</w:t>
      </w:r>
      <w:r w:rsidRPr="0071782F">
        <w:rPr>
          <w:lang w:val="fr-CH"/>
        </w:rPr>
        <w:t xml:space="preserve"> </w:t>
      </w:r>
      <w:r w:rsidR="005A13A9" w:rsidRPr="0071782F">
        <w:rPr>
          <w:lang w:val="fr-CH"/>
        </w:rPr>
        <w:t xml:space="preserve">au titre de la prestation de </w:t>
      </w:r>
      <w:r w:rsidRPr="0071782F">
        <w:rPr>
          <w:lang w:val="fr-CH"/>
        </w:rPr>
        <w:t xml:space="preserve">services </w:t>
      </w:r>
      <w:r w:rsidR="005A13A9" w:rsidRPr="0071782F">
        <w:rPr>
          <w:lang w:val="fr-CH"/>
        </w:rPr>
        <w:t xml:space="preserve">à 48 620 d’entre eux sous la </w:t>
      </w:r>
      <w:r w:rsidRPr="0071782F">
        <w:rPr>
          <w:lang w:val="fr-CH"/>
        </w:rPr>
        <w:t>form</w:t>
      </w:r>
      <w:r w:rsidR="005A13A9" w:rsidRPr="0071782F">
        <w:rPr>
          <w:lang w:val="fr-CH"/>
        </w:rPr>
        <w:t>e de crédits bancaires et de services de logement, l’</w:t>
      </w:r>
      <w:r w:rsidRPr="0071782F">
        <w:rPr>
          <w:lang w:val="fr-CH"/>
        </w:rPr>
        <w:t xml:space="preserve">allocation </w:t>
      </w:r>
      <w:r w:rsidR="005A13A9" w:rsidRPr="0071782F">
        <w:rPr>
          <w:lang w:val="fr-CH"/>
        </w:rPr>
        <w:t xml:space="preserve">d’un </w:t>
      </w:r>
      <w:r w:rsidRPr="0071782F">
        <w:rPr>
          <w:lang w:val="fr-CH"/>
        </w:rPr>
        <w:t>cr</w:t>
      </w:r>
      <w:r w:rsidR="005A13A9" w:rsidRPr="0071782F">
        <w:rPr>
          <w:lang w:val="fr-CH"/>
        </w:rPr>
        <w:t>é</w:t>
      </w:r>
      <w:r w:rsidRPr="0071782F">
        <w:rPr>
          <w:lang w:val="fr-CH"/>
        </w:rPr>
        <w:t xml:space="preserve">dit </w:t>
      </w:r>
      <w:r w:rsidR="005A13A9" w:rsidRPr="0071782F">
        <w:rPr>
          <w:lang w:val="fr-CH"/>
        </w:rPr>
        <w:t>de</w:t>
      </w:r>
      <w:r w:rsidRPr="0071782F">
        <w:rPr>
          <w:lang w:val="fr-CH"/>
        </w:rPr>
        <w:t xml:space="preserve"> 1,274</w:t>
      </w:r>
      <w:r w:rsidR="008553D9" w:rsidRPr="0071782F">
        <w:rPr>
          <w:lang w:val="fr-CH"/>
        </w:rPr>
        <w:t> milliard</w:t>
      </w:r>
      <w:r w:rsidR="00097CDB" w:rsidRPr="0071782F">
        <w:rPr>
          <w:lang w:val="fr-CH"/>
        </w:rPr>
        <w:t>s</w:t>
      </w:r>
      <w:r w:rsidR="005A13A9" w:rsidRPr="0071782F">
        <w:rPr>
          <w:lang w:val="fr-CH"/>
        </w:rPr>
        <w:t xml:space="preserve"> </w:t>
      </w:r>
      <w:r w:rsidR="003B1403" w:rsidRPr="0071782F">
        <w:rPr>
          <w:lang w:val="fr-CH"/>
        </w:rPr>
        <w:t>de rials</w:t>
      </w:r>
      <w:r w:rsidRPr="0071782F">
        <w:rPr>
          <w:lang w:val="fr-CH"/>
        </w:rPr>
        <w:t xml:space="preserve"> </w:t>
      </w:r>
      <w:r w:rsidR="005A13A9" w:rsidRPr="0071782F">
        <w:rPr>
          <w:lang w:val="fr-CH"/>
        </w:rPr>
        <w:t xml:space="preserve">au titre de la prestation de services de santé et de traitements médicaux à </w:t>
      </w:r>
      <w:r w:rsidRPr="0071782F">
        <w:rPr>
          <w:lang w:val="fr-CH"/>
        </w:rPr>
        <w:t>1</w:t>
      </w:r>
      <w:r w:rsidR="005A13A9" w:rsidRPr="0071782F">
        <w:rPr>
          <w:lang w:val="fr-CH"/>
        </w:rPr>
        <w:t> </w:t>
      </w:r>
      <w:r w:rsidRPr="0071782F">
        <w:rPr>
          <w:lang w:val="fr-CH"/>
        </w:rPr>
        <w:t>018</w:t>
      </w:r>
      <w:r w:rsidR="00B0389C">
        <w:rPr>
          <w:lang w:val="fr-CH"/>
        </w:rPr>
        <w:t> </w:t>
      </w:r>
      <w:r w:rsidRPr="0071782F">
        <w:rPr>
          <w:lang w:val="fr-CH"/>
        </w:rPr>
        <w:t xml:space="preserve">535 </w:t>
      </w:r>
      <w:r w:rsidR="005A13A9" w:rsidRPr="0071782F">
        <w:rPr>
          <w:lang w:val="fr-CH"/>
        </w:rPr>
        <w:t>d’entre eux et</w:t>
      </w:r>
      <w:r w:rsidRPr="0071782F">
        <w:rPr>
          <w:lang w:val="fr-CH"/>
        </w:rPr>
        <w:t xml:space="preserve"> </w:t>
      </w:r>
      <w:r w:rsidR="005A13A9" w:rsidRPr="0071782F">
        <w:rPr>
          <w:lang w:val="fr-CH"/>
        </w:rPr>
        <w:t>l’</w:t>
      </w:r>
      <w:r w:rsidRPr="0071782F">
        <w:rPr>
          <w:lang w:val="fr-CH"/>
        </w:rPr>
        <w:t xml:space="preserve">allocation </w:t>
      </w:r>
      <w:r w:rsidR="005A13A9" w:rsidRPr="0071782F">
        <w:rPr>
          <w:lang w:val="fr-CH"/>
        </w:rPr>
        <w:t xml:space="preserve">de </w:t>
      </w:r>
      <w:r w:rsidRPr="0071782F">
        <w:rPr>
          <w:lang w:val="fr-CH"/>
        </w:rPr>
        <w:t>419,819</w:t>
      </w:r>
      <w:r w:rsidR="008553D9" w:rsidRPr="0071782F">
        <w:rPr>
          <w:lang w:val="fr-CH"/>
        </w:rPr>
        <w:t> milliard</w:t>
      </w:r>
      <w:r w:rsidR="00097CDB" w:rsidRPr="0071782F">
        <w:rPr>
          <w:lang w:val="fr-CH"/>
        </w:rPr>
        <w:t>s</w:t>
      </w:r>
      <w:r w:rsidR="005A13A9" w:rsidRPr="0071782F">
        <w:rPr>
          <w:lang w:val="fr-CH"/>
        </w:rPr>
        <w:t xml:space="preserve"> </w:t>
      </w:r>
      <w:r w:rsidR="003B1403" w:rsidRPr="0071782F">
        <w:rPr>
          <w:lang w:val="fr-CH"/>
        </w:rPr>
        <w:t>de rials</w:t>
      </w:r>
      <w:r w:rsidRPr="0071782F">
        <w:rPr>
          <w:lang w:val="fr-CH"/>
        </w:rPr>
        <w:t xml:space="preserve"> </w:t>
      </w:r>
      <w:r w:rsidR="005A13A9" w:rsidRPr="0071782F">
        <w:rPr>
          <w:lang w:val="fr-CH"/>
        </w:rPr>
        <w:t xml:space="preserve">au titre de l’octroi de prêts à la création d’emplois à </w:t>
      </w:r>
      <w:r w:rsidRPr="0071782F">
        <w:rPr>
          <w:lang w:val="fr-CH"/>
        </w:rPr>
        <w:t>6</w:t>
      </w:r>
      <w:r w:rsidR="00B0389C">
        <w:rPr>
          <w:lang w:val="fr-CH"/>
        </w:rPr>
        <w:t> </w:t>
      </w:r>
      <w:r w:rsidRPr="0071782F">
        <w:rPr>
          <w:lang w:val="fr-CH"/>
        </w:rPr>
        <w:t xml:space="preserve">438 </w:t>
      </w:r>
      <w:r w:rsidR="005A13A9" w:rsidRPr="0071782F">
        <w:rPr>
          <w:lang w:val="fr-CH"/>
        </w:rPr>
        <w:t>d’entre eux</w:t>
      </w:r>
      <w:r w:rsidRPr="0071782F">
        <w:rPr>
          <w:lang w:val="fr-CH"/>
        </w:rPr>
        <w:t xml:space="preserve">, </w:t>
      </w:r>
      <w:r w:rsidR="005A13A9" w:rsidRPr="0071782F">
        <w:rPr>
          <w:lang w:val="fr-CH"/>
        </w:rPr>
        <w:t xml:space="preserve">les objectifs du </w:t>
      </w:r>
      <w:r w:rsidR="00A90208" w:rsidRPr="0071782F">
        <w:rPr>
          <w:lang w:val="fr-CH"/>
        </w:rPr>
        <w:t>quatrième</w:t>
      </w:r>
      <w:r w:rsidR="005A13A9" w:rsidRPr="0071782F">
        <w:rPr>
          <w:lang w:val="fr-CH"/>
        </w:rPr>
        <w:t xml:space="preserve"> plan de développement ont été atteints.</w:t>
      </w:r>
    </w:p>
    <w:p w:rsidR="00DD2B20" w:rsidRPr="0071782F" w:rsidRDefault="00DD2B20" w:rsidP="00DD2B20">
      <w:pPr>
        <w:pStyle w:val="H23G"/>
        <w:rPr>
          <w:lang w:val="fr-CH"/>
        </w:rPr>
      </w:pPr>
      <w:r w:rsidRPr="0071782F">
        <w:rPr>
          <w:lang w:val="fr-CH"/>
        </w:rPr>
        <w:tab/>
      </w:r>
      <w:r w:rsidRPr="0071782F">
        <w:rPr>
          <w:lang w:val="fr-CH"/>
        </w:rPr>
        <w:tab/>
        <w:t>Unit</w:t>
      </w:r>
      <w:r w:rsidR="005A13A9" w:rsidRPr="0071782F">
        <w:rPr>
          <w:lang w:val="fr-CH"/>
        </w:rPr>
        <w:t xml:space="preserve">és fournissant les </w:t>
      </w:r>
      <w:r w:rsidRPr="0071782F">
        <w:rPr>
          <w:lang w:val="fr-CH"/>
        </w:rPr>
        <w:t xml:space="preserve">services </w:t>
      </w:r>
      <w:r w:rsidR="005A13A9" w:rsidRPr="0071782F">
        <w:rPr>
          <w:lang w:val="fr-CH"/>
        </w:rPr>
        <w:t xml:space="preserve">de l’Organisme public de protection sociale </w:t>
      </w:r>
    </w:p>
    <w:tbl>
      <w:tblPr>
        <w:tblW w:w="7371"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873"/>
        <w:gridCol w:w="694"/>
        <w:gridCol w:w="800"/>
        <w:gridCol w:w="1500"/>
        <w:gridCol w:w="1000"/>
        <w:gridCol w:w="1761"/>
        <w:gridCol w:w="743"/>
      </w:tblGrid>
      <w:tr w:rsidR="00DD2B20" w:rsidRPr="0071782F">
        <w:trPr>
          <w:tblHeader/>
        </w:trPr>
        <w:tc>
          <w:tcPr>
            <w:tcW w:w="872" w:type="dxa"/>
            <w:vMerge w:val="restart"/>
            <w:tcBorders>
              <w:top w:val="single" w:sz="4" w:space="0" w:color="auto"/>
              <w:bottom w:val="single" w:sz="12" w:space="0" w:color="auto"/>
            </w:tcBorders>
            <w:shd w:val="clear" w:color="000000" w:fill="auto"/>
            <w:vAlign w:val="bottom"/>
          </w:tcPr>
          <w:p w:rsidR="00DD2B20" w:rsidRPr="0071782F" w:rsidRDefault="005A13A9" w:rsidP="00BF029C">
            <w:pPr>
              <w:keepNext/>
              <w:suppressAutoHyphens w:val="0"/>
              <w:spacing w:before="80" w:after="80" w:line="200" w:lineRule="exact"/>
              <w:rPr>
                <w:i/>
                <w:sz w:val="16"/>
                <w:szCs w:val="16"/>
                <w:lang w:val="fr-CH"/>
              </w:rPr>
            </w:pPr>
            <w:r w:rsidRPr="0071782F">
              <w:rPr>
                <w:i/>
                <w:sz w:val="16"/>
                <w:szCs w:val="16"/>
                <w:lang w:val="fr-CH"/>
              </w:rPr>
              <w:t>Année et</w:t>
            </w:r>
            <w:r w:rsidR="00DD2B20" w:rsidRPr="0071782F">
              <w:rPr>
                <w:i/>
                <w:sz w:val="16"/>
                <w:szCs w:val="16"/>
                <w:lang w:val="fr-CH"/>
              </w:rPr>
              <w:t xml:space="preserve"> </w:t>
            </w:r>
            <w:r w:rsidR="00A50D40" w:rsidRPr="0071782F">
              <w:rPr>
                <w:i/>
                <w:sz w:val="16"/>
                <w:szCs w:val="16"/>
                <w:lang w:val="fr-CH"/>
              </w:rPr>
              <w:t>province</w:t>
            </w:r>
          </w:p>
        </w:tc>
        <w:tc>
          <w:tcPr>
            <w:tcW w:w="1494" w:type="dxa"/>
            <w:gridSpan w:val="2"/>
            <w:tcBorders>
              <w:top w:val="single" w:sz="4" w:space="0" w:color="auto"/>
              <w:bottom w:val="single" w:sz="4" w:space="0" w:color="auto"/>
              <w:right w:val="single" w:sz="24" w:space="0" w:color="FFFFFF"/>
            </w:tcBorders>
            <w:shd w:val="clear" w:color="000000" w:fill="auto"/>
            <w:vAlign w:val="bottom"/>
          </w:tcPr>
          <w:p w:rsidR="00DD2B20" w:rsidRPr="0071782F" w:rsidRDefault="005A13A9" w:rsidP="00BF029C">
            <w:pPr>
              <w:keepNext/>
              <w:suppressAutoHyphens w:val="0"/>
              <w:spacing w:before="80" w:after="80" w:line="200" w:lineRule="exact"/>
              <w:jc w:val="center"/>
              <w:rPr>
                <w:i/>
                <w:sz w:val="16"/>
                <w:szCs w:val="16"/>
                <w:lang w:val="fr-CH"/>
              </w:rPr>
            </w:pPr>
            <w:r w:rsidRPr="0071782F">
              <w:rPr>
                <w:i/>
                <w:sz w:val="16"/>
                <w:szCs w:val="16"/>
                <w:lang w:val="fr-CH"/>
              </w:rPr>
              <w:t>Unités de services sociaux</w:t>
            </w:r>
          </w:p>
        </w:tc>
        <w:tc>
          <w:tcPr>
            <w:tcW w:w="5004" w:type="dxa"/>
            <w:gridSpan w:val="4"/>
            <w:tcBorders>
              <w:top w:val="single" w:sz="4" w:space="0" w:color="auto"/>
              <w:left w:val="single" w:sz="24" w:space="0" w:color="FFFFFF"/>
              <w:bottom w:val="single" w:sz="4" w:space="0" w:color="auto"/>
            </w:tcBorders>
            <w:shd w:val="clear" w:color="000000" w:fill="auto"/>
            <w:vAlign w:val="bottom"/>
          </w:tcPr>
          <w:p w:rsidR="00DD2B20" w:rsidRPr="0071782F" w:rsidRDefault="005A13A9" w:rsidP="00BF029C">
            <w:pPr>
              <w:keepNext/>
              <w:suppressAutoHyphens w:val="0"/>
              <w:spacing w:before="80" w:after="80" w:line="200" w:lineRule="exact"/>
              <w:jc w:val="center"/>
              <w:rPr>
                <w:i/>
                <w:sz w:val="16"/>
                <w:szCs w:val="16"/>
                <w:lang w:val="fr-CH"/>
              </w:rPr>
            </w:pPr>
            <w:r w:rsidRPr="0071782F">
              <w:rPr>
                <w:i/>
                <w:sz w:val="16"/>
                <w:szCs w:val="16"/>
                <w:lang w:val="fr-CH"/>
              </w:rPr>
              <w:t>Unités de services sociaux urbains</w:t>
            </w:r>
          </w:p>
        </w:tc>
      </w:tr>
      <w:tr w:rsidR="00DD2B20" w:rsidRPr="0071782F">
        <w:trPr>
          <w:tblHeader/>
        </w:trPr>
        <w:tc>
          <w:tcPr>
            <w:tcW w:w="872" w:type="dxa"/>
            <w:vMerge/>
            <w:tcBorders>
              <w:top w:val="single" w:sz="12" w:space="0" w:color="auto"/>
              <w:bottom w:val="single" w:sz="12" w:space="0" w:color="auto"/>
            </w:tcBorders>
            <w:shd w:val="clear" w:color="000000" w:fill="auto"/>
            <w:vAlign w:val="bottom"/>
          </w:tcPr>
          <w:p w:rsidR="00DD2B20" w:rsidRPr="0071782F" w:rsidRDefault="00DD2B20" w:rsidP="00BF029C">
            <w:pPr>
              <w:keepNext/>
              <w:suppressAutoHyphens w:val="0"/>
              <w:spacing w:before="80" w:after="80" w:line="200" w:lineRule="exact"/>
              <w:rPr>
                <w:i/>
                <w:sz w:val="16"/>
                <w:szCs w:val="16"/>
                <w:lang w:val="fr-CH"/>
              </w:rPr>
            </w:pPr>
          </w:p>
        </w:tc>
        <w:tc>
          <w:tcPr>
            <w:tcW w:w="694" w:type="dxa"/>
            <w:tcBorders>
              <w:top w:val="single" w:sz="4" w:space="0" w:color="auto"/>
              <w:bottom w:val="single" w:sz="12" w:space="0" w:color="auto"/>
            </w:tcBorders>
            <w:shd w:val="clear" w:color="000000" w:fill="auto"/>
            <w:vAlign w:val="bottom"/>
          </w:tcPr>
          <w:p w:rsidR="00DD2B20" w:rsidRPr="0071782F" w:rsidRDefault="00DD2B20" w:rsidP="00BF029C">
            <w:pPr>
              <w:keepNext/>
              <w:suppressAutoHyphens w:val="0"/>
              <w:spacing w:before="80" w:after="80" w:line="200" w:lineRule="exact"/>
              <w:jc w:val="right"/>
              <w:rPr>
                <w:i/>
                <w:sz w:val="16"/>
                <w:szCs w:val="16"/>
                <w:lang w:val="fr-CH"/>
              </w:rPr>
            </w:pPr>
            <w:r w:rsidRPr="0071782F">
              <w:rPr>
                <w:i/>
                <w:sz w:val="16"/>
                <w:szCs w:val="16"/>
                <w:lang w:val="fr-CH"/>
              </w:rPr>
              <w:t>Urba</w:t>
            </w:r>
            <w:r w:rsidR="005A13A9" w:rsidRPr="0071782F">
              <w:rPr>
                <w:i/>
                <w:sz w:val="16"/>
                <w:szCs w:val="16"/>
                <w:lang w:val="fr-CH"/>
              </w:rPr>
              <w:t>ines</w:t>
            </w:r>
          </w:p>
        </w:tc>
        <w:tc>
          <w:tcPr>
            <w:tcW w:w="800" w:type="dxa"/>
            <w:tcBorders>
              <w:top w:val="single" w:sz="4" w:space="0" w:color="auto"/>
              <w:bottom w:val="single" w:sz="12" w:space="0" w:color="auto"/>
              <w:right w:val="single" w:sz="24" w:space="0" w:color="FFFFFF"/>
            </w:tcBorders>
            <w:shd w:val="clear" w:color="000000" w:fill="auto"/>
            <w:vAlign w:val="bottom"/>
          </w:tcPr>
          <w:p w:rsidR="00DD2B20" w:rsidRPr="0071782F" w:rsidRDefault="00DD2B20" w:rsidP="00BF029C">
            <w:pPr>
              <w:keepNext/>
              <w:suppressAutoHyphens w:val="0"/>
              <w:spacing w:before="80" w:after="80" w:line="200" w:lineRule="exact"/>
              <w:jc w:val="right"/>
              <w:rPr>
                <w:i/>
                <w:sz w:val="16"/>
                <w:szCs w:val="16"/>
                <w:lang w:val="fr-CH"/>
              </w:rPr>
            </w:pPr>
            <w:r w:rsidRPr="0071782F">
              <w:rPr>
                <w:i/>
                <w:sz w:val="16"/>
                <w:szCs w:val="16"/>
                <w:lang w:val="fr-CH"/>
              </w:rPr>
              <w:t>Rural</w:t>
            </w:r>
            <w:r w:rsidR="005A13A9" w:rsidRPr="0071782F">
              <w:rPr>
                <w:i/>
                <w:sz w:val="16"/>
                <w:szCs w:val="16"/>
                <w:lang w:val="fr-CH"/>
              </w:rPr>
              <w:t>es</w:t>
            </w:r>
          </w:p>
        </w:tc>
        <w:tc>
          <w:tcPr>
            <w:tcW w:w="1500" w:type="dxa"/>
            <w:tcBorders>
              <w:top w:val="single" w:sz="4" w:space="0" w:color="auto"/>
              <w:left w:val="single" w:sz="24" w:space="0" w:color="FFFFFF"/>
              <w:bottom w:val="single" w:sz="12" w:space="0" w:color="auto"/>
            </w:tcBorders>
            <w:shd w:val="clear" w:color="000000" w:fill="auto"/>
            <w:vAlign w:val="bottom"/>
          </w:tcPr>
          <w:p w:rsidR="00DD2B20" w:rsidRPr="0071782F" w:rsidRDefault="005A13A9" w:rsidP="00BF029C">
            <w:pPr>
              <w:keepNext/>
              <w:suppressAutoHyphens w:val="0"/>
              <w:spacing w:before="80" w:after="80" w:line="200" w:lineRule="exact"/>
              <w:jc w:val="right"/>
              <w:rPr>
                <w:i/>
                <w:sz w:val="16"/>
                <w:szCs w:val="16"/>
                <w:lang w:val="fr-CH"/>
              </w:rPr>
            </w:pPr>
            <w:r w:rsidRPr="0071782F">
              <w:rPr>
                <w:i/>
                <w:sz w:val="16"/>
                <w:szCs w:val="16"/>
                <w:lang w:val="fr-CH"/>
              </w:rPr>
              <w:t>Prise en charge d’enfants sans tuteur</w:t>
            </w:r>
          </w:p>
        </w:tc>
        <w:tc>
          <w:tcPr>
            <w:tcW w:w="1000" w:type="dxa"/>
            <w:tcBorders>
              <w:top w:val="single" w:sz="4" w:space="0" w:color="auto"/>
              <w:bottom w:val="single" w:sz="12" w:space="0" w:color="auto"/>
            </w:tcBorders>
            <w:shd w:val="clear" w:color="000000" w:fill="auto"/>
            <w:vAlign w:val="bottom"/>
          </w:tcPr>
          <w:p w:rsidR="00DD2B20" w:rsidRPr="0071782F" w:rsidRDefault="005A13A9" w:rsidP="00BF029C">
            <w:pPr>
              <w:keepNext/>
              <w:suppressAutoHyphens w:val="0"/>
              <w:spacing w:before="80" w:after="80" w:line="200" w:lineRule="exact"/>
              <w:jc w:val="right"/>
              <w:rPr>
                <w:i/>
                <w:sz w:val="16"/>
                <w:szCs w:val="16"/>
                <w:lang w:val="fr-CH"/>
              </w:rPr>
            </w:pPr>
            <w:r w:rsidRPr="0071782F">
              <w:rPr>
                <w:i/>
                <w:sz w:val="16"/>
                <w:szCs w:val="16"/>
                <w:lang w:val="fr-CH"/>
              </w:rPr>
              <w:t>Service</w:t>
            </w:r>
            <w:r w:rsidR="00221709" w:rsidRPr="0071782F">
              <w:rPr>
                <w:i/>
                <w:sz w:val="16"/>
                <w:szCs w:val="16"/>
                <w:lang w:val="fr-CH"/>
              </w:rPr>
              <w:t>s</w:t>
            </w:r>
            <w:r w:rsidRPr="0071782F">
              <w:rPr>
                <w:i/>
                <w:sz w:val="16"/>
                <w:szCs w:val="16"/>
                <w:lang w:val="fr-CH"/>
              </w:rPr>
              <w:t xml:space="preserve"> de garde</w:t>
            </w:r>
          </w:p>
        </w:tc>
        <w:tc>
          <w:tcPr>
            <w:tcW w:w="1761" w:type="dxa"/>
            <w:tcBorders>
              <w:top w:val="single" w:sz="4" w:space="0" w:color="auto"/>
              <w:bottom w:val="single" w:sz="12" w:space="0" w:color="auto"/>
            </w:tcBorders>
            <w:shd w:val="clear" w:color="000000" w:fill="auto"/>
            <w:vAlign w:val="bottom"/>
          </w:tcPr>
          <w:p w:rsidR="00DD2B20" w:rsidRPr="0071782F" w:rsidRDefault="005A13A9" w:rsidP="00BF029C">
            <w:pPr>
              <w:keepNext/>
              <w:suppressAutoHyphens w:val="0"/>
              <w:spacing w:before="80" w:after="80" w:line="200" w:lineRule="exact"/>
              <w:jc w:val="right"/>
              <w:rPr>
                <w:i/>
                <w:sz w:val="16"/>
                <w:szCs w:val="16"/>
                <w:lang w:val="fr-CH"/>
              </w:rPr>
            </w:pPr>
            <w:r w:rsidRPr="0071782F">
              <w:rPr>
                <w:i/>
                <w:sz w:val="16"/>
                <w:szCs w:val="16"/>
                <w:lang w:val="fr-CH"/>
              </w:rPr>
              <w:t xml:space="preserve">Appui </w:t>
            </w:r>
            <w:r w:rsidR="00A234E8" w:rsidRPr="0071782F">
              <w:rPr>
                <w:i/>
                <w:sz w:val="16"/>
                <w:szCs w:val="16"/>
                <w:lang w:val="fr-CH"/>
              </w:rPr>
              <w:t>aux familles</w:t>
            </w:r>
            <w:r w:rsidRPr="0071782F">
              <w:rPr>
                <w:i/>
                <w:sz w:val="16"/>
                <w:szCs w:val="16"/>
                <w:lang w:val="fr-CH"/>
              </w:rPr>
              <w:t xml:space="preserve"> pauvres sans tuteur</w:t>
            </w:r>
          </w:p>
        </w:tc>
        <w:tc>
          <w:tcPr>
            <w:tcW w:w="743" w:type="dxa"/>
            <w:tcBorders>
              <w:top w:val="single" w:sz="4" w:space="0" w:color="auto"/>
              <w:bottom w:val="single" w:sz="12" w:space="0" w:color="auto"/>
            </w:tcBorders>
            <w:shd w:val="clear" w:color="000000" w:fill="auto"/>
            <w:vAlign w:val="bottom"/>
          </w:tcPr>
          <w:p w:rsidR="00DD2B20" w:rsidRPr="0071782F" w:rsidRDefault="005A13A9" w:rsidP="00BF029C">
            <w:pPr>
              <w:keepNext/>
              <w:suppressAutoHyphens w:val="0"/>
              <w:spacing w:before="80" w:after="80" w:line="200" w:lineRule="exact"/>
              <w:jc w:val="right"/>
              <w:rPr>
                <w:i/>
                <w:sz w:val="16"/>
                <w:szCs w:val="16"/>
                <w:lang w:val="fr-CH"/>
              </w:rPr>
            </w:pPr>
            <w:r w:rsidRPr="0071782F">
              <w:rPr>
                <w:i/>
                <w:sz w:val="16"/>
                <w:szCs w:val="16"/>
                <w:lang w:val="fr-CH"/>
              </w:rPr>
              <w:t>Préjudices soc</w:t>
            </w:r>
            <w:r w:rsidR="00221709" w:rsidRPr="0071782F">
              <w:rPr>
                <w:i/>
                <w:sz w:val="16"/>
                <w:szCs w:val="16"/>
                <w:lang w:val="fr-CH"/>
              </w:rPr>
              <w:t>ia</w:t>
            </w:r>
            <w:r w:rsidRPr="0071782F">
              <w:rPr>
                <w:i/>
                <w:sz w:val="16"/>
                <w:szCs w:val="16"/>
                <w:lang w:val="fr-CH"/>
              </w:rPr>
              <w:t>ux</w:t>
            </w:r>
          </w:p>
        </w:tc>
      </w:tr>
      <w:tr w:rsidR="00DD2B20" w:rsidRPr="0071782F">
        <w:tc>
          <w:tcPr>
            <w:tcW w:w="872" w:type="dxa"/>
            <w:tcBorders>
              <w:top w:val="single" w:sz="12" w:space="0" w:color="auto"/>
              <w:bottom w:val="nil"/>
            </w:tcBorders>
            <w:shd w:val="clear" w:color="000000" w:fill="auto"/>
          </w:tcPr>
          <w:p w:rsidR="00DD2B20" w:rsidRPr="0071782F" w:rsidRDefault="00DD2B20" w:rsidP="00BF029C">
            <w:pPr>
              <w:keepNext/>
              <w:suppressAutoHyphens w:val="0"/>
              <w:spacing w:before="40" w:after="40" w:line="220" w:lineRule="exact"/>
              <w:rPr>
                <w:sz w:val="18"/>
                <w:lang w:val="fr-CH"/>
              </w:rPr>
            </w:pPr>
            <w:r w:rsidRPr="0071782F">
              <w:rPr>
                <w:sz w:val="18"/>
                <w:lang w:val="fr-CH"/>
              </w:rPr>
              <w:t>1991</w:t>
            </w:r>
          </w:p>
        </w:tc>
        <w:tc>
          <w:tcPr>
            <w:tcW w:w="694" w:type="dxa"/>
            <w:tcBorders>
              <w:top w:val="single" w:sz="12" w:space="0" w:color="auto"/>
              <w:bottom w:val="nil"/>
            </w:tcBorders>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414</w:t>
            </w:r>
          </w:p>
        </w:tc>
        <w:tc>
          <w:tcPr>
            <w:tcW w:w="800" w:type="dxa"/>
            <w:tcBorders>
              <w:top w:val="single" w:sz="12" w:space="0" w:color="auto"/>
              <w:bottom w:val="nil"/>
            </w:tcBorders>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1 121</w:t>
            </w:r>
          </w:p>
        </w:tc>
        <w:tc>
          <w:tcPr>
            <w:tcW w:w="1500" w:type="dxa"/>
            <w:tcBorders>
              <w:top w:val="single" w:sz="12" w:space="0" w:color="auto"/>
              <w:bottom w:val="nil"/>
            </w:tcBorders>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67</w:t>
            </w:r>
          </w:p>
        </w:tc>
        <w:tc>
          <w:tcPr>
            <w:tcW w:w="1000" w:type="dxa"/>
            <w:tcBorders>
              <w:top w:val="single" w:sz="12" w:space="0" w:color="auto"/>
              <w:bottom w:val="nil"/>
            </w:tcBorders>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382</w:t>
            </w:r>
          </w:p>
        </w:tc>
        <w:tc>
          <w:tcPr>
            <w:tcW w:w="1761" w:type="dxa"/>
            <w:tcBorders>
              <w:top w:val="single" w:sz="12" w:space="0" w:color="auto"/>
              <w:bottom w:val="nil"/>
            </w:tcBorders>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393</w:t>
            </w:r>
          </w:p>
        </w:tc>
        <w:tc>
          <w:tcPr>
            <w:tcW w:w="743" w:type="dxa"/>
            <w:tcBorders>
              <w:top w:val="single" w:sz="12" w:space="0" w:color="auto"/>
              <w:bottom w:val="nil"/>
            </w:tcBorders>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X</w:t>
            </w:r>
          </w:p>
        </w:tc>
      </w:tr>
      <w:tr w:rsidR="00DD2B20" w:rsidRPr="0071782F">
        <w:tc>
          <w:tcPr>
            <w:tcW w:w="872" w:type="dxa"/>
            <w:tcBorders>
              <w:top w:val="nil"/>
            </w:tcBorders>
            <w:shd w:val="clear" w:color="000000" w:fill="auto"/>
          </w:tcPr>
          <w:p w:rsidR="00DD2B20" w:rsidRPr="0071782F" w:rsidRDefault="00DD2B20" w:rsidP="00BF029C">
            <w:pPr>
              <w:keepNext/>
              <w:suppressAutoHyphens w:val="0"/>
              <w:spacing w:before="40" w:after="40" w:line="220" w:lineRule="exact"/>
              <w:rPr>
                <w:sz w:val="18"/>
                <w:lang w:val="fr-CH"/>
              </w:rPr>
            </w:pPr>
            <w:r w:rsidRPr="0071782F">
              <w:rPr>
                <w:sz w:val="18"/>
                <w:lang w:val="fr-CH"/>
              </w:rPr>
              <w:t>1996</w:t>
            </w:r>
          </w:p>
        </w:tc>
        <w:tc>
          <w:tcPr>
            <w:tcW w:w="694" w:type="dxa"/>
            <w:tcBorders>
              <w:top w:val="nil"/>
            </w:tcBorders>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472</w:t>
            </w:r>
          </w:p>
        </w:tc>
        <w:tc>
          <w:tcPr>
            <w:tcW w:w="800" w:type="dxa"/>
            <w:tcBorders>
              <w:top w:val="nil"/>
            </w:tcBorders>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1 233</w:t>
            </w:r>
          </w:p>
        </w:tc>
        <w:tc>
          <w:tcPr>
            <w:tcW w:w="1500" w:type="dxa"/>
            <w:tcBorders>
              <w:top w:val="nil"/>
            </w:tcBorders>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68</w:t>
            </w:r>
          </w:p>
        </w:tc>
        <w:tc>
          <w:tcPr>
            <w:tcW w:w="1000" w:type="dxa"/>
            <w:tcBorders>
              <w:top w:val="nil"/>
            </w:tcBorders>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446</w:t>
            </w:r>
          </w:p>
        </w:tc>
        <w:tc>
          <w:tcPr>
            <w:tcW w:w="1761" w:type="dxa"/>
            <w:tcBorders>
              <w:top w:val="nil"/>
            </w:tcBorders>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446</w:t>
            </w:r>
          </w:p>
        </w:tc>
        <w:tc>
          <w:tcPr>
            <w:tcW w:w="743" w:type="dxa"/>
            <w:tcBorders>
              <w:top w:val="nil"/>
            </w:tcBorders>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X</w:t>
            </w:r>
          </w:p>
        </w:tc>
      </w:tr>
      <w:tr w:rsidR="00DD2B20" w:rsidRPr="0071782F">
        <w:tc>
          <w:tcPr>
            <w:tcW w:w="872" w:type="dxa"/>
            <w:shd w:val="clear" w:color="000000" w:fill="auto"/>
          </w:tcPr>
          <w:p w:rsidR="00DD2B20" w:rsidRPr="0071782F" w:rsidRDefault="00DD2B20" w:rsidP="00BF029C">
            <w:pPr>
              <w:keepNext/>
              <w:suppressAutoHyphens w:val="0"/>
              <w:spacing w:before="40" w:after="40" w:line="220" w:lineRule="exact"/>
              <w:rPr>
                <w:sz w:val="18"/>
                <w:lang w:val="fr-CH"/>
              </w:rPr>
            </w:pPr>
            <w:r w:rsidRPr="0071782F">
              <w:rPr>
                <w:sz w:val="18"/>
                <w:lang w:val="fr-CH"/>
              </w:rPr>
              <w:t>2001</w:t>
            </w:r>
          </w:p>
        </w:tc>
        <w:tc>
          <w:tcPr>
            <w:tcW w:w="694"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499</w:t>
            </w:r>
          </w:p>
        </w:tc>
        <w:tc>
          <w:tcPr>
            <w:tcW w:w="800"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1 230</w:t>
            </w:r>
          </w:p>
        </w:tc>
        <w:tc>
          <w:tcPr>
            <w:tcW w:w="1500"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116</w:t>
            </w:r>
          </w:p>
        </w:tc>
        <w:tc>
          <w:tcPr>
            <w:tcW w:w="1000"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353</w:t>
            </w:r>
          </w:p>
        </w:tc>
        <w:tc>
          <w:tcPr>
            <w:tcW w:w="1761"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474</w:t>
            </w:r>
          </w:p>
        </w:tc>
        <w:tc>
          <w:tcPr>
            <w:tcW w:w="743"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181</w:t>
            </w:r>
          </w:p>
        </w:tc>
      </w:tr>
      <w:tr w:rsidR="00DD2B20" w:rsidRPr="0071782F">
        <w:tc>
          <w:tcPr>
            <w:tcW w:w="872" w:type="dxa"/>
            <w:shd w:val="clear" w:color="000000" w:fill="auto"/>
          </w:tcPr>
          <w:p w:rsidR="00DD2B20" w:rsidRPr="0071782F" w:rsidRDefault="00DD2B20" w:rsidP="00BF029C">
            <w:pPr>
              <w:keepNext/>
              <w:suppressAutoHyphens w:val="0"/>
              <w:spacing w:before="40" w:after="40" w:line="220" w:lineRule="exact"/>
              <w:rPr>
                <w:sz w:val="18"/>
                <w:lang w:val="fr-CH"/>
              </w:rPr>
            </w:pPr>
            <w:r w:rsidRPr="0071782F">
              <w:rPr>
                <w:sz w:val="18"/>
                <w:lang w:val="fr-CH"/>
              </w:rPr>
              <w:t>2003</w:t>
            </w:r>
          </w:p>
        </w:tc>
        <w:tc>
          <w:tcPr>
            <w:tcW w:w="694"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525</w:t>
            </w:r>
          </w:p>
        </w:tc>
        <w:tc>
          <w:tcPr>
            <w:tcW w:w="800"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1 179</w:t>
            </w:r>
          </w:p>
        </w:tc>
        <w:tc>
          <w:tcPr>
            <w:tcW w:w="1500"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124</w:t>
            </w:r>
          </w:p>
        </w:tc>
        <w:tc>
          <w:tcPr>
            <w:tcW w:w="1000"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268</w:t>
            </w:r>
          </w:p>
        </w:tc>
        <w:tc>
          <w:tcPr>
            <w:tcW w:w="1761"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471</w:t>
            </w:r>
          </w:p>
        </w:tc>
        <w:tc>
          <w:tcPr>
            <w:tcW w:w="743"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210</w:t>
            </w:r>
          </w:p>
        </w:tc>
      </w:tr>
      <w:tr w:rsidR="00DD2B20" w:rsidRPr="0071782F">
        <w:tc>
          <w:tcPr>
            <w:tcW w:w="872" w:type="dxa"/>
            <w:shd w:val="clear" w:color="000000" w:fill="auto"/>
          </w:tcPr>
          <w:p w:rsidR="00DD2B20" w:rsidRPr="0071782F" w:rsidRDefault="00DD2B20" w:rsidP="00BF029C">
            <w:pPr>
              <w:keepNext/>
              <w:suppressAutoHyphens w:val="0"/>
              <w:spacing w:before="40" w:after="40" w:line="220" w:lineRule="exact"/>
              <w:rPr>
                <w:sz w:val="18"/>
                <w:lang w:val="fr-CH"/>
              </w:rPr>
            </w:pPr>
            <w:r w:rsidRPr="0071782F">
              <w:rPr>
                <w:sz w:val="18"/>
                <w:lang w:val="fr-CH"/>
              </w:rPr>
              <w:t>2004</w:t>
            </w:r>
          </w:p>
        </w:tc>
        <w:tc>
          <w:tcPr>
            <w:tcW w:w="694"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522</w:t>
            </w:r>
          </w:p>
        </w:tc>
        <w:tc>
          <w:tcPr>
            <w:tcW w:w="800"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1 171</w:t>
            </w:r>
          </w:p>
        </w:tc>
        <w:tc>
          <w:tcPr>
            <w:tcW w:w="1500"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129</w:t>
            </w:r>
          </w:p>
        </w:tc>
        <w:tc>
          <w:tcPr>
            <w:tcW w:w="1000"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224</w:t>
            </w:r>
          </w:p>
        </w:tc>
        <w:tc>
          <w:tcPr>
            <w:tcW w:w="1761"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456</w:t>
            </w:r>
          </w:p>
        </w:tc>
        <w:tc>
          <w:tcPr>
            <w:tcW w:w="743"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212</w:t>
            </w:r>
          </w:p>
        </w:tc>
      </w:tr>
      <w:tr w:rsidR="00DD2B20" w:rsidRPr="0071782F">
        <w:tc>
          <w:tcPr>
            <w:tcW w:w="872" w:type="dxa"/>
            <w:shd w:val="clear" w:color="000000" w:fill="auto"/>
          </w:tcPr>
          <w:p w:rsidR="00DD2B20" w:rsidRPr="0071782F" w:rsidRDefault="00DD2B20" w:rsidP="00BF029C">
            <w:pPr>
              <w:keepNext/>
              <w:suppressAutoHyphens w:val="0"/>
              <w:spacing w:before="40" w:after="40" w:line="220" w:lineRule="exact"/>
              <w:rPr>
                <w:sz w:val="18"/>
                <w:lang w:val="fr-CH"/>
              </w:rPr>
            </w:pPr>
            <w:r w:rsidRPr="0071782F">
              <w:rPr>
                <w:sz w:val="18"/>
                <w:lang w:val="fr-CH"/>
              </w:rPr>
              <w:t>2005</w:t>
            </w:r>
          </w:p>
        </w:tc>
        <w:tc>
          <w:tcPr>
            <w:tcW w:w="694"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526</w:t>
            </w:r>
          </w:p>
        </w:tc>
        <w:tc>
          <w:tcPr>
            <w:tcW w:w="800"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1 126</w:t>
            </w:r>
          </w:p>
        </w:tc>
        <w:tc>
          <w:tcPr>
            <w:tcW w:w="1500"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123</w:t>
            </w:r>
          </w:p>
        </w:tc>
        <w:tc>
          <w:tcPr>
            <w:tcW w:w="1000"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173</w:t>
            </w:r>
          </w:p>
        </w:tc>
        <w:tc>
          <w:tcPr>
            <w:tcW w:w="1761"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442</w:t>
            </w:r>
          </w:p>
        </w:tc>
        <w:tc>
          <w:tcPr>
            <w:tcW w:w="743"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225</w:t>
            </w:r>
          </w:p>
        </w:tc>
      </w:tr>
      <w:tr w:rsidR="00DD2B20" w:rsidRPr="0071782F">
        <w:tc>
          <w:tcPr>
            <w:tcW w:w="872" w:type="dxa"/>
            <w:shd w:val="clear" w:color="000000" w:fill="auto"/>
          </w:tcPr>
          <w:p w:rsidR="00DD2B20" w:rsidRPr="0071782F" w:rsidRDefault="00DD2B20" w:rsidP="00BF029C">
            <w:pPr>
              <w:keepNext/>
              <w:suppressAutoHyphens w:val="0"/>
              <w:spacing w:before="40" w:after="40" w:line="220" w:lineRule="exact"/>
              <w:rPr>
                <w:sz w:val="18"/>
                <w:lang w:val="fr-CH"/>
              </w:rPr>
            </w:pPr>
            <w:r w:rsidRPr="0071782F">
              <w:rPr>
                <w:sz w:val="18"/>
                <w:lang w:val="fr-CH"/>
              </w:rPr>
              <w:t>2006</w:t>
            </w:r>
          </w:p>
        </w:tc>
        <w:tc>
          <w:tcPr>
            <w:tcW w:w="694"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980</w:t>
            </w:r>
          </w:p>
        </w:tc>
        <w:tc>
          <w:tcPr>
            <w:tcW w:w="800"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1 495</w:t>
            </w:r>
          </w:p>
        </w:tc>
        <w:tc>
          <w:tcPr>
            <w:tcW w:w="1500"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148</w:t>
            </w:r>
          </w:p>
        </w:tc>
        <w:tc>
          <w:tcPr>
            <w:tcW w:w="1000"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163</w:t>
            </w:r>
          </w:p>
        </w:tc>
        <w:tc>
          <w:tcPr>
            <w:tcW w:w="1761"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442</w:t>
            </w:r>
          </w:p>
        </w:tc>
        <w:tc>
          <w:tcPr>
            <w:tcW w:w="743" w:type="dxa"/>
            <w:shd w:val="clear" w:color="000000" w:fill="auto"/>
            <w:vAlign w:val="bottom"/>
          </w:tcPr>
          <w:p w:rsidR="00DD2B20" w:rsidRPr="0071782F" w:rsidRDefault="00DD2B20" w:rsidP="00BF029C">
            <w:pPr>
              <w:keepNext/>
              <w:suppressAutoHyphens w:val="0"/>
              <w:spacing w:before="40" w:after="40" w:line="220" w:lineRule="exact"/>
              <w:jc w:val="right"/>
              <w:rPr>
                <w:sz w:val="18"/>
                <w:lang w:val="fr-CH"/>
              </w:rPr>
            </w:pPr>
            <w:r w:rsidRPr="0071782F">
              <w:rPr>
                <w:sz w:val="18"/>
                <w:lang w:val="fr-CH"/>
              </w:rPr>
              <w:t>227</w:t>
            </w:r>
          </w:p>
        </w:tc>
      </w:tr>
      <w:tr w:rsidR="00DD2B20" w:rsidRPr="0071782F">
        <w:tc>
          <w:tcPr>
            <w:tcW w:w="872"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2007</w:t>
            </w:r>
          </w:p>
        </w:tc>
        <w:tc>
          <w:tcPr>
            <w:tcW w:w="69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951</w:t>
            </w:r>
          </w:p>
        </w:tc>
        <w:tc>
          <w:tcPr>
            <w:tcW w:w="80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2 173</w:t>
            </w:r>
          </w:p>
        </w:tc>
        <w:tc>
          <w:tcPr>
            <w:tcW w:w="150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120</w:t>
            </w:r>
          </w:p>
        </w:tc>
        <w:tc>
          <w:tcPr>
            <w:tcW w:w="100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125</w:t>
            </w:r>
          </w:p>
        </w:tc>
        <w:tc>
          <w:tcPr>
            <w:tcW w:w="176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479</w:t>
            </w:r>
          </w:p>
        </w:tc>
        <w:tc>
          <w:tcPr>
            <w:tcW w:w="743"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285</w:t>
            </w:r>
          </w:p>
        </w:tc>
      </w:tr>
    </w:tbl>
    <w:p w:rsidR="00D7458E" w:rsidRDefault="00D7458E" w:rsidP="00D7458E">
      <w:pPr>
        <w:spacing w:after="240"/>
      </w:pPr>
    </w:p>
    <w:tbl>
      <w:tblPr>
        <w:tblW w:w="7371"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561"/>
        <w:gridCol w:w="1903"/>
        <w:gridCol w:w="1903"/>
        <w:gridCol w:w="2004"/>
      </w:tblGrid>
      <w:tr w:rsidR="00DD2B20" w:rsidRPr="0071782F">
        <w:trPr>
          <w:tblHeader/>
        </w:trPr>
        <w:tc>
          <w:tcPr>
            <w:tcW w:w="1560" w:type="dxa"/>
            <w:vMerge w:val="restart"/>
            <w:tcBorders>
              <w:top w:val="single" w:sz="4" w:space="0" w:color="auto"/>
              <w:bottom w:val="single" w:sz="12" w:space="0" w:color="auto"/>
            </w:tcBorders>
            <w:shd w:val="clear" w:color="000000" w:fill="auto"/>
            <w:vAlign w:val="bottom"/>
          </w:tcPr>
          <w:p w:rsidR="00DD2B20" w:rsidRPr="0071782F" w:rsidRDefault="00DD2B20" w:rsidP="00B0389C">
            <w:pPr>
              <w:keepNext/>
              <w:suppressAutoHyphens w:val="0"/>
              <w:spacing w:before="80" w:after="80" w:line="200" w:lineRule="exact"/>
              <w:rPr>
                <w:i/>
                <w:sz w:val="16"/>
                <w:szCs w:val="16"/>
                <w:lang w:val="fr-CH"/>
              </w:rPr>
            </w:pPr>
            <w:r w:rsidRPr="0071782F">
              <w:rPr>
                <w:i/>
                <w:sz w:val="16"/>
                <w:szCs w:val="16"/>
                <w:lang w:val="fr-CH"/>
              </w:rPr>
              <w:br w:type="page"/>
            </w:r>
            <w:r w:rsidRPr="0071782F">
              <w:rPr>
                <w:i/>
                <w:sz w:val="16"/>
                <w:szCs w:val="16"/>
                <w:lang w:val="fr-CH"/>
              </w:rPr>
              <w:br w:type="page"/>
            </w:r>
            <w:r w:rsidR="005A13A9" w:rsidRPr="0071782F">
              <w:rPr>
                <w:i/>
                <w:sz w:val="16"/>
                <w:szCs w:val="16"/>
                <w:lang w:val="fr-CH"/>
              </w:rPr>
              <w:t>Année et province</w:t>
            </w:r>
          </w:p>
        </w:tc>
        <w:tc>
          <w:tcPr>
            <w:tcW w:w="3806" w:type="dxa"/>
            <w:gridSpan w:val="2"/>
            <w:tcBorders>
              <w:top w:val="single" w:sz="4" w:space="0" w:color="auto"/>
              <w:bottom w:val="single" w:sz="4" w:space="0" w:color="auto"/>
            </w:tcBorders>
            <w:shd w:val="clear" w:color="000000" w:fill="auto"/>
            <w:vAlign w:val="bottom"/>
          </w:tcPr>
          <w:p w:rsidR="00DD2B20" w:rsidRPr="0071782F" w:rsidRDefault="005A13A9" w:rsidP="00D7458E">
            <w:pPr>
              <w:keepNext/>
              <w:suppressAutoHyphens w:val="0"/>
              <w:spacing w:before="80" w:after="80" w:line="200" w:lineRule="exact"/>
              <w:jc w:val="center"/>
              <w:rPr>
                <w:i/>
                <w:sz w:val="16"/>
                <w:szCs w:val="16"/>
                <w:lang w:val="fr-CH"/>
              </w:rPr>
            </w:pPr>
            <w:r w:rsidRPr="0071782F">
              <w:rPr>
                <w:i/>
                <w:sz w:val="16"/>
                <w:szCs w:val="16"/>
                <w:lang w:val="fr-CH"/>
              </w:rPr>
              <w:t>Services sociaux ruraux</w:t>
            </w:r>
          </w:p>
        </w:tc>
        <w:tc>
          <w:tcPr>
            <w:tcW w:w="2004" w:type="dxa"/>
            <w:vMerge w:val="restart"/>
            <w:tcBorders>
              <w:top w:val="single" w:sz="4" w:space="0" w:color="auto"/>
              <w:bottom w:val="single" w:sz="12" w:space="0" w:color="auto"/>
            </w:tcBorders>
            <w:shd w:val="clear" w:color="000000" w:fill="auto"/>
            <w:vAlign w:val="bottom"/>
          </w:tcPr>
          <w:p w:rsidR="00DD2B20" w:rsidRPr="0071782F" w:rsidRDefault="005A13A9" w:rsidP="00B0389C">
            <w:pPr>
              <w:keepNext/>
              <w:suppressAutoHyphens w:val="0"/>
              <w:spacing w:before="80" w:after="80" w:line="200" w:lineRule="exact"/>
              <w:jc w:val="right"/>
              <w:rPr>
                <w:i/>
                <w:sz w:val="16"/>
                <w:szCs w:val="16"/>
                <w:lang w:val="fr-CH"/>
              </w:rPr>
            </w:pPr>
            <w:r w:rsidRPr="0071782F">
              <w:rPr>
                <w:i/>
                <w:sz w:val="16"/>
                <w:szCs w:val="16"/>
                <w:lang w:val="fr-CH"/>
              </w:rPr>
              <w:t>S</w:t>
            </w:r>
            <w:r w:rsidR="00575FB9" w:rsidRPr="0071782F">
              <w:rPr>
                <w:i/>
                <w:sz w:val="16"/>
                <w:szCs w:val="16"/>
                <w:lang w:val="fr-CH"/>
              </w:rPr>
              <w:t>ervices</w:t>
            </w:r>
            <w:r w:rsidRPr="0071782F">
              <w:rPr>
                <w:i/>
                <w:sz w:val="16"/>
                <w:szCs w:val="16"/>
                <w:lang w:val="fr-CH"/>
              </w:rPr>
              <w:t xml:space="preserve"> de réadaptation</w:t>
            </w:r>
          </w:p>
        </w:tc>
      </w:tr>
      <w:tr w:rsidR="00DD2B20" w:rsidRPr="0071782F">
        <w:trPr>
          <w:tblHeader/>
        </w:trPr>
        <w:tc>
          <w:tcPr>
            <w:tcW w:w="1560" w:type="dxa"/>
            <w:vMerge/>
            <w:tcBorders>
              <w:top w:val="single" w:sz="12" w:space="0" w:color="auto"/>
              <w:bottom w:val="single" w:sz="12" w:space="0" w:color="auto"/>
            </w:tcBorders>
            <w:shd w:val="clear" w:color="000000" w:fill="auto"/>
            <w:vAlign w:val="bottom"/>
          </w:tcPr>
          <w:p w:rsidR="00DD2B20" w:rsidRPr="0071782F" w:rsidRDefault="00DD2B20" w:rsidP="00B0389C">
            <w:pPr>
              <w:keepNext/>
              <w:suppressAutoHyphens w:val="0"/>
              <w:spacing w:before="80" w:after="80" w:line="200" w:lineRule="exact"/>
              <w:rPr>
                <w:i/>
                <w:sz w:val="16"/>
                <w:szCs w:val="16"/>
                <w:lang w:val="fr-CH"/>
              </w:rPr>
            </w:pPr>
          </w:p>
        </w:tc>
        <w:tc>
          <w:tcPr>
            <w:tcW w:w="1903" w:type="dxa"/>
            <w:tcBorders>
              <w:top w:val="single" w:sz="4" w:space="0" w:color="auto"/>
              <w:bottom w:val="single" w:sz="12" w:space="0" w:color="auto"/>
            </w:tcBorders>
            <w:shd w:val="clear" w:color="000000" w:fill="auto"/>
            <w:vAlign w:val="bottom"/>
          </w:tcPr>
          <w:p w:rsidR="00DD2B20" w:rsidRPr="0071782F" w:rsidRDefault="005A13A9" w:rsidP="00B0389C">
            <w:pPr>
              <w:keepNext/>
              <w:suppressAutoHyphens w:val="0"/>
              <w:spacing w:before="80" w:after="80" w:line="200" w:lineRule="exact"/>
              <w:jc w:val="right"/>
              <w:rPr>
                <w:i/>
                <w:sz w:val="16"/>
                <w:szCs w:val="16"/>
                <w:lang w:val="fr-CH"/>
              </w:rPr>
            </w:pPr>
            <w:r w:rsidRPr="0071782F">
              <w:rPr>
                <w:i/>
                <w:sz w:val="16"/>
                <w:szCs w:val="16"/>
                <w:lang w:val="fr-CH"/>
              </w:rPr>
              <w:t>Service</w:t>
            </w:r>
            <w:r w:rsidR="00221709" w:rsidRPr="0071782F">
              <w:rPr>
                <w:i/>
                <w:sz w:val="16"/>
                <w:szCs w:val="16"/>
                <w:lang w:val="fr-CH"/>
              </w:rPr>
              <w:t>s</w:t>
            </w:r>
            <w:r w:rsidRPr="0071782F">
              <w:rPr>
                <w:i/>
                <w:sz w:val="16"/>
                <w:szCs w:val="16"/>
                <w:lang w:val="fr-CH"/>
              </w:rPr>
              <w:t xml:space="preserve"> de garde</w:t>
            </w:r>
            <w:r w:rsidR="009C5A32" w:rsidRPr="0071782F">
              <w:rPr>
                <w:i/>
                <w:sz w:val="16"/>
                <w:szCs w:val="16"/>
                <w:lang w:val="fr-CH"/>
              </w:rPr>
              <w:t>rie</w:t>
            </w:r>
          </w:p>
        </w:tc>
        <w:tc>
          <w:tcPr>
            <w:tcW w:w="1903" w:type="dxa"/>
            <w:tcBorders>
              <w:top w:val="single" w:sz="4" w:space="0" w:color="auto"/>
              <w:bottom w:val="single" w:sz="12" w:space="0" w:color="auto"/>
            </w:tcBorders>
            <w:shd w:val="clear" w:color="000000" w:fill="auto"/>
            <w:vAlign w:val="bottom"/>
          </w:tcPr>
          <w:p w:rsidR="00DD2B20" w:rsidRPr="0071782F" w:rsidRDefault="005A13A9" w:rsidP="00B0389C">
            <w:pPr>
              <w:keepNext/>
              <w:suppressAutoHyphens w:val="0"/>
              <w:spacing w:before="80" w:after="80" w:line="200" w:lineRule="exact"/>
              <w:jc w:val="right"/>
              <w:rPr>
                <w:i/>
                <w:sz w:val="16"/>
                <w:szCs w:val="16"/>
                <w:lang w:val="fr-CH"/>
              </w:rPr>
            </w:pPr>
            <w:r w:rsidRPr="0071782F">
              <w:rPr>
                <w:i/>
                <w:sz w:val="16"/>
                <w:szCs w:val="16"/>
                <w:lang w:val="fr-CH"/>
              </w:rPr>
              <w:t xml:space="preserve">Appui </w:t>
            </w:r>
            <w:r w:rsidR="00A234E8" w:rsidRPr="0071782F">
              <w:rPr>
                <w:i/>
                <w:sz w:val="16"/>
                <w:szCs w:val="16"/>
                <w:lang w:val="fr-CH"/>
              </w:rPr>
              <w:t>aux familles</w:t>
            </w:r>
            <w:r w:rsidR="00AD3587">
              <w:rPr>
                <w:i/>
                <w:sz w:val="16"/>
                <w:szCs w:val="16"/>
                <w:lang w:val="fr-CH"/>
              </w:rPr>
              <w:br/>
            </w:r>
            <w:r w:rsidRPr="0071782F">
              <w:rPr>
                <w:i/>
                <w:sz w:val="16"/>
                <w:szCs w:val="16"/>
                <w:lang w:val="fr-CH"/>
              </w:rPr>
              <w:t xml:space="preserve"> pauvres sans tuteur</w:t>
            </w:r>
          </w:p>
        </w:tc>
        <w:tc>
          <w:tcPr>
            <w:tcW w:w="2004" w:type="dxa"/>
            <w:vMerge/>
            <w:tcBorders>
              <w:top w:val="single" w:sz="12" w:space="0" w:color="auto"/>
              <w:bottom w:val="single" w:sz="12" w:space="0" w:color="auto"/>
            </w:tcBorders>
            <w:shd w:val="clear" w:color="000000" w:fill="auto"/>
            <w:vAlign w:val="bottom"/>
          </w:tcPr>
          <w:p w:rsidR="00DD2B20" w:rsidRPr="0071782F" w:rsidRDefault="00DD2B20" w:rsidP="00B0389C">
            <w:pPr>
              <w:keepNext/>
              <w:suppressAutoHyphens w:val="0"/>
              <w:spacing w:before="80" w:after="80" w:line="200" w:lineRule="exact"/>
              <w:jc w:val="right"/>
              <w:rPr>
                <w:i/>
                <w:sz w:val="16"/>
                <w:szCs w:val="16"/>
                <w:lang w:val="fr-CH"/>
              </w:rPr>
            </w:pPr>
          </w:p>
        </w:tc>
      </w:tr>
      <w:tr w:rsidR="00DD2B20" w:rsidRPr="0071782F">
        <w:tc>
          <w:tcPr>
            <w:tcW w:w="1560" w:type="dxa"/>
            <w:tcBorders>
              <w:top w:val="single" w:sz="12" w:space="0" w:color="auto"/>
            </w:tcBorders>
            <w:shd w:val="clear" w:color="000000" w:fill="auto"/>
          </w:tcPr>
          <w:p w:rsidR="00DD2B20" w:rsidRPr="0071782F" w:rsidRDefault="00DD2B20" w:rsidP="00B0389C">
            <w:pPr>
              <w:keepNext/>
              <w:suppressAutoHyphens w:val="0"/>
              <w:spacing w:before="40" w:after="40" w:line="220" w:lineRule="exact"/>
              <w:rPr>
                <w:sz w:val="18"/>
                <w:lang w:val="fr-CH"/>
              </w:rPr>
            </w:pPr>
            <w:r w:rsidRPr="0071782F">
              <w:rPr>
                <w:sz w:val="18"/>
                <w:lang w:val="fr-CH"/>
              </w:rPr>
              <w:t>1991</w:t>
            </w:r>
          </w:p>
        </w:tc>
        <w:tc>
          <w:tcPr>
            <w:tcW w:w="1903" w:type="dxa"/>
            <w:tcBorders>
              <w:top w:val="single" w:sz="12" w:space="0" w:color="auto"/>
            </w:tcBorders>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1 025</w:t>
            </w:r>
          </w:p>
        </w:tc>
        <w:tc>
          <w:tcPr>
            <w:tcW w:w="1903" w:type="dxa"/>
            <w:tcBorders>
              <w:top w:val="single" w:sz="12" w:space="0" w:color="auto"/>
            </w:tcBorders>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217</w:t>
            </w:r>
          </w:p>
        </w:tc>
        <w:tc>
          <w:tcPr>
            <w:tcW w:w="2004" w:type="dxa"/>
            <w:tcBorders>
              <w:top w:val="single" w:sz="12" w:space="0" w:color="auto"/>
            </w:tcBorders>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467</w:t>
            </w:r>
          </w:p>
        </w:tc>
      </w:tr>
      <w:tr w:rsidR="00DD2B20" w:rsidRPr="0071782F">
        <w:tc>
          <w:tcPr>
            <w:tcW w:w="1560" w:type="dxa"/>
            <w:shd w:val="clear" w:color="000000" w:fill="auto"/>
          </w:tcPr>
          <w:p w:rsidR="00DD2B20" w:rsidRPr="0071782F" w:rsidRDefault="00DD2B20" w:rsidP="00B0389C">
            <w:pPr>
              <w:keepNext/>
              <w:suppressAutoHyphens w:val="0"/>
              <w:spacing w:before="40" w:after="40" w:line="220" w:lineRule="exact"/>
              <w:rPr>
                <w:sz w:val="18"/>
                <w:lang w:val="fr-CH"/>
              </w:rPr>
            </w:pPr>
            <w:r w:rsidRPr="0071782F">
              <w:rPr>
                <w:sz w:val="18"/>
                <w:lang w:val="fr-CH"/>
              </w:rPr>
              <w:t>1996</w:t>
            </w:r>
          </w:p>
        </w:tc>
        <w:tc>
          <w:tcPr>
            <w:tcW w:w="1903"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1 188</w:t>
            </w:r>
          </w:p>
        </w:tc>
        <w:tc>
          <w:tcPr>
            <w:tcW w:w="1903"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636</w:t>
            </w:r>
          </w:p>
        </w:tc>
        <w:tc>
          <w:tcPr>
            <w:tcW w:w="2004"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731</w:t>
            </w:r>
          </w:p>
        </w:tc>
      </w:tr>
      <w:tr w:rsidR="00DD2B20" w:rsidRPr="0071782F">
        <w:tc>
          <w:tcPr>
            <w:tcW w:w="1560" w:type="dxa"/>
            <w:shd w:val="clear" w:color="000000" w:fill="auto"/>
          </w:tcPr>
          <w:p w:rsidR="00DD2B20" w:rsidRPr="0071782F" w:rsidRDefault="00DD2B20" w:rsidP="00B0389C">
            <w:pPr>
              <w:keepNext/>
              <w:suppressAutoHyphens w:val="0"/>
              <w:spacing w:before="40" w:after="40" w:line="220" w:lineRule="exact"/>
              <w:rPr>
                <w:sz w:val="18"/>
                <w:lang w:val="fr-CH"/>
              </w:rPr>
            </w:pPr>
            <w:r w:rsidRPr="0071782F">
              <w:rPr>
                <w:sz w:val="18"/>
                <w:lang w:val="fr-CH"/>
              </w:rPr>
              <w:t>2001</w:t>
            </w:r>
          </w:p>
        </w:tc>
        <w:tc>
          <w:tcPr>
            <w:tcW w:w="1903"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1 140</w:t>
            </w:r>
          </w:p>
        </w:tc>
        <w:tc>
          <w:tcPr>
            <w:tcW w:w="1903"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661</w:t>
            </w:r>
          </w:p>
        </w:tc>
        <w:tc>
          <w:tcPr>
            <w:tcW w:w="2004"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800</w:t>
            </w:r>
          </w:p>
        </w:tc>
      </w:tr>
      <w:tr w:rsidR="00DD2B20" w:rsidRPr="0071782F">
        <w:tc>
          <w:tcPr>
            <w:tcW w:w="1560" w:type="dxa"/>
            <w:shd w:val="clear" w:color="000000" w:fill="auto"/>
          </w:tcPr>
          <w:p w:rsidR="00DD2B20" w:rsidRPr="0071782F" w:rsidRDefault="00DD2B20" w:rsidP="00B0389C">
            <w:pPr>
              <w:keepNext/>
              <w:suppressAutoHyphens w:val="0"/>
              <w:spacing w:before="40" w:after="40" w:line="220" w:lineRule="exact"/>
              <w:rPr>
                <w:sz w:val="18"/>
                <w:lang w:val="fr-CH"/>
              </w:rPr>
            </w:pPr>
            <w:r w:rsidRPr="0071782F">
              <w:rPr>
                <w:sz w:val="18"/>
                <w:lang w:val="fr-CH"/>
              </w:rPr>
              <w:t>2003</w:t>
            </w:r>
          </w:p>
        </w:tc>
        <w:tc>
          <w:tcPr>
            <w:tcW w:w="1903"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1 005</w:t>
            </w:r>
          </w:p>
        </w:tc>
        <w:tc>
          <w:tcPr>
            <w:tcW w:w="1903"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591</w:t>
            </w:r>
          </w:p>
        </w:tc>
        <w:tc>
          <w:tcPr>
            <w:tcW w:w="2004"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804</w:t>
            </w:r>
          </w:p>
        </w:tc>
      </w:tr>
      <w:tr w:rsidR="00DD2B20" w:rsidRPr="0071782F">
        <w:tc>
          <w:tcPr>
            <w:tcW w:w="1560" w:type="dxa"/>
            <w:shd w:val="clear" w:color="000000" w:fill="auto"/>
          </w:tcPr>
          <w:p w:rsidR="00DD2B20" w:rsidRPr="0071782F" w:rsidRDefault="00DD2B20" w:rsidP="00B0389C">
            <w:pPr>
              <w:keepNext/>
              <w:suppressAutoHyphens w:val="0"/>
              <w:spacing w:before="40" w:after="40" w:line="220" w:lineRule="exact"/>
              <w:rPr>
                <w:sz w:val="18"/>
                <w:lang w:val="fr-CH"/>
              </w:rPr>
            </w:pPr>
            <w:r w:rsidRPr="0071782F">
              <w:rPr>
                <w:sz w:val="18"/>
                <w:lang w:val="fr-CH"/>
              </w:rPr>
              <w:t>2004</w:t>
            </w:r>
          </w:p>
        </w:tc>
        <w:tc>
          <w:tcPr>
            <w:tcW w:w="1903"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951</w:t>
            </w:r>
          </w:p>
        </w:tc>
        <w:tc>
          <w:tcPr>
            <w:tcW w:w="1903"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573</w:t>
            </w:r>
          </w:p>
        </w:tc>
        <w:tc>
          <w:tcPr>
            <w:tcW w:w="2004"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795</w:t>
            </w:r>
          </w:p>
        </w:tc>
      </w:tr>
      <w:tr w:rsidR="00DD2B20" w:rsidRPr="0071782F">
        <w:tc>
          <w:tcPr>
            <w:tcW w:w="1560" w:type="dxa"/>
            <w:shd w:val="clear" w:color="000000" w:fill="auto"/>
          </w:tcPr>
          <w:p w:rsidR="00DD2B20" w:rsidRPr="0071782F" w:rsidRDefault="00DD2B20" w:rsidP="00B0389C">
            <w:pPr>
              <w:keepNext/>
              <w:suppressAutoHyphens w:val="0"/>
              <w:spacing w:before="40" w:after="40" w:line="220" w:lineRule="exact"/>
              <w:rPr>
                <w:sz w:val="18"/>
                <w:lang w:val="fr-CH"/>
              </w:rPr>
            </w:pPr>
            <w:r w:rsidRPr="0071782F">
              <w:rPr>
                <w:sz w:val="18"/>
                <w:lang w:val="fr-CH"/>
              </w:rPr>
              <w:t>2005</w:t>
            </w:r>
          </w:p>
        </w:tc>
        <w:tc>
          <w:tcPr>
            <w:tcW w:w="1903"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874</w:t>
            </w:r>
          </w:p>
        </w:tc>
        <w:tc>
          <w:tcPr>
            <w:tcW w:w="1903"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517</w:t>
            </w:r>
          </w:p>
        </w:tc>
        <w:tc>
          <w:tcPr>
            <w:tcW w:w="2004"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714</w:t>
            </w:r>
          </w:p>
        </w:tc>
      </w:tr>
      <w:tr w:rsidR="00DD2B20" w:rsidRPr="0071782F">
        <w:tc>
          <w:tcPr>
            <w:tcW w:w="1560" w:type="dxa"/>
            <w:shd w:val="clear" w:color="000000" w:fill="auto"/>
          </w:tcPr>
          <w:p w:rsidR="00DD2B20" w:rsidRPr="0071782F" w:rsidRDefault="00DD2B20" w:rsidP="00B0389C">
            <w:pPr>
              <w:keepNext/>
              <w:suppressAutoHyphens w:val="0"/>
              <w:spacing w:before="40" w:after="40" w:line="220" w:lineRule="exact"/>
              <w:rPr>
                <w:sz w:val="18"/>
                <w:lang w:val="fr-CH"/>
              </w:rPr>
            </w:pPr>
            <w:r w:rsidRPr="0071782F">
              <w:rPr>
                <w:sz w:val="18"/>
                <w:lang w:val="fr-CH"/>
              </w:rPr>
              <w:t>2006</w:t>
            </w:r>
          </w:p>
        </w:tc>
        <w:tc>
          <w:tcPr>
            <w:tcW w:w="1903"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900</w:t>
            </w:r>
          </w:p>
        </w:tc>
        <w:tc>
          <w:tcPr>
            <w:tcW w:w="1903"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595</w:t>
            </w:r>
          </w:p>
        </w:tc>
        <w:tc>
          <w:tcPr>
            <w:tcW w:w="2004"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1 224</w:t>
            </w:r>
          </w:p>
        </w:tc>
      </w:tr>
      <w:tr w:rsidR="00DD2B20" w:rsidRPr="0071782F">
        <w:tc>
          <w:tcPr>
            <w:tcW w:w="1560"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2007</w:t>
            </w:r>
          </w:p>
        </w:tc>
        <w:tc>
          <w:tcPr>
            <w:tcW w:w="1903"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733</w:t>
            </w:r>
          </w:p>
        </w:tc>
        <w:tc>
          <w:tcPr>
            <w:tcW w:w="1903"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755</w:t>
            </w:r>
          </w:p>
        </w:tc>
        <w:tc>
          <w:tcPr>
            <w:tcW w:w="200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874</w:t>
            </w:r>
          </w:p>
        </w:tc>
      </w:tr>
    </w:tbl>
    <w:p w:rsidR="00C465C3" w:rsidRPr="0071782F" w:rsidRDefault="00C465C3" w:rsidP="00F26ACB">
      <w:pPr>
        <w:pStyle w:val="SingleTxtG"/>
        <w:rPr>
          <w:lang w:val="fr-CH"/>
        </w:rPr>
      </w:pP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474"/>
        <w:gridCol w:w="1192"/>
        <w:gridCol w:w="1600"/>
        <w:gridCol w:w="1400"/>
        <w:gridCol w:w="1704"/>
      </w:tblGrid>
      <w:tr w:rsidR="006140ED" w:rsidRPr="0071782F">
        <w:trPr>
          <w:tblHeader/>
        </w:trPr>
        <w:tc>
          <w:tcPr>
            <w:tcW w:w="1474" w:type="dxa"/>
            <w:tcBorders>
              <w:top w:val="single" w:sz="4" w:space="0" w:color="auto"/>
              <w:bottom w:val="nil"/>
            </w:tcBorders>
            <w:shd w:val="clear" w:color="000000" w:fill="auto"/>
            <w:vAlign w:val="bottom"/>
          </w:tcPr>
          <w:p w:rsidR="006140ED" w:rsidRPr="0071782F" w:rsidRDefault="006140ED" w:rsidP="00D7458E">
            <w:pPr>
              <w:suppressAutoHyphens w:val="0"/>
              <w:spacing w:before="80" w:after="80" w:line="200" w:lineRule="exact"/>
              <w:rPr>
                <w:i/>
                <w:sz w:val="16"/>
                <w:lang w:val="fr-CH"/>
              </w:rPr>
            </w:pPr>
          </w:p>
        </w:tc>
        <w:tc>
          <w:tcPr>
            <w:tcW w:w="5896" w:type="dxa"/>
            <w:gridSpan w:val="4"/>
            <w:tcBorders>
              <w:top w:val="single" w:sz="4" w:space="0" w:color="auto"/>
              <w:bottom w:val="single" w:sz="4" w:space="0" w:color="auto"/>
            </w:tcBorders>
            <w:shd w:val="clear" w:color="000000" w:fill="auto"/>
            <w:vAlign w:val="bottom"/>
          </w:tcPr>
          <w:p w:rsidR="006140ED" w:rsidRPr="0071782F" w:rsidRDefault="005A13A9" w:rsidP="00D7458E">
            <w:pPr>
              <w:suppressAutoHyphens w:val="0"/>
              <w:spacing w:before="80" w:after="80" w:line="200" w:lineRule="exact"/>
              <w:jc w:val="center"/>
              <w:rPr>
                <w:i/>
                <w:sz w:val="16"/>
                <w:lang w:val="fr-CH"/>
              </w:rPr>
            </w:pPr>
            <w:r w:rsidRPr="0071782F">
              <w:rPr>
                <w:i/>
                <w:sz w:val="16"/>
                <w:lang w:val="fr-CH"/>
              </w:rPr>
              <w:t>Services de prévention</w:t>
            </w:r>
            <w:r w:rsidR="006140ED" w:rsidRPr="0071782F">
              <w:rPr>
                <w:i/>
                <w:sz w:val="16"/>
                <w:lang w:val="fr-CH"/>
              </w:rPr>
              <w:t>,</w:t>
            </w:r>
            <w:r w:rsidRPr="0071782F">
              <w:rPr>
                <w:i/>
                <w:sz w:val="16"/>
                <w:lang w:val="fr-CH"/>
              </w:rPr>
              <w:t xml:space="preserve"> </w:t>
            </w:r>
            <w:r w:rsidR="00FA395F" w:rsidRPr="0071782F">
              <w:rPr>
                <w:i/>
                <w:sz w:val="16"/>
                <w:lang w:val="fr-CH"/>
              </w:rPr>
              <w:t>question</w:t>
            </w:r>
            <w:r w:rsidRPr="0071782F">
              <w:rPr>
                <w:i/>
                <w:sz w:val="16"/>
                <w:lang w:val="fr-CH"/>
              </w:rPr>
              <w:t>s culturelles et toxicomanie</w:t>
            </w:r>
            <w:r w:rsidR="00670602" w:rsidRPr="0071782F">
              <w:rPr>
                <w:i/>
                <w:sz w:val="16"/>
                <w:lang w:val="fr-CH"/>
              </w:rPr>
              <w:t xml:space="preserve"> </w:t>
            </w:r>
          </w:p>
        </w:tc>
      </w:tr>
      <w:tr w:rsidR="006140ED" w:rsidRPr="0071782F">
        <w:trPr>
          <w:tblHeader/>
        </w:trPr>
        <w:tc>
          <w:tcPr>
            <w:tcW w:w="1474" w:type="dxa"/>
            <w:tcBorders>
              <w:top w:val="nil"/>
              <w:bottom w:val="single" w:sz="12" w:space="0" w:color="auto"/>
            </w:tcBorders>
            <w:shd w:val="clear" w:color="000000" w:fill="auto"/>
            <w:vAlign w:val="bottom"/>
          </w:tcPr>
          <w:p w:rsidR="006140ED" w:rsidRPr="0071782F" w:rsidRDefault="005A13A9" w:rsidP="00D7458E">
            <w:pPr>
              <w:suppressAutoHyphens w:val="0"/>
              <w:spacing w:before="40" w:after="40" w:line="220" w:lineRule="exact"/>
              <w:rPr>
                <w:sz w:val="18"/>
                <w:lang w:val="fr-CH"/>
              </w:rPr>
            </w:pPr>
            <w:r w:rsidRPr="0071782F">
              <w:rPr>
                <w:i/>
                <w:sz w:val="16"/>
                <w:szCs w:val="16"/>
                <w:lang w:val="fr-CH"/>
              </w:rPr>
              <w:t>Année et province</w:t>
            </w:r>
          </w:p>
        </w:tc>
        <w:tc>
          <w:tcPr>
            <w:tcW w:w="1192" w:type="dxa"/>
            <w:tcBorders>
              <w:top w:val="single" w:sz="4" w:space="0" w:color="auto"/>
              <w:bottom w:val="single" w:sz="12" w:space="0" w:color="auto"/>
            </w:tcBorders>
            <w:shd w:val="clear" w:color="000000" w:fill="auto"/>
            <w:vAlign w:val="bottom"/>
          </w:tcPr>
          <w:p w:rsidR="006140ED" w:rsidRPr="0071782F" w:rsidRDefault="005A13A9" w:rsidP="00D7458E">
            <w:pPr>
              <w:suppressAutoHyphens w:val="0"/>
              <w:spacing w:before="80" w:after="80" w:line="200" w:lineRule="exact"/>
              <w:jc w:val="right"/>
              <w:rPr>
                <w:i/>
                <w:sz w:val="16"/>
                <w:szCs w:val="16"/>
                <w:lang w:val="fr-CH"/>
              </w:rPr>
            </w:pPr>
            <w:r w:rsidRPr="0071782F">
              <w:rPr>
                <w:i/>
                <w:sz w:val="16"/>
                <w:szCs w:val="16"/>
                <w:lang w:val="fr-CH"/>
              </w:rPr>
              <w:t>Voix du conseiller</w:t>
            </w:r>
          </w:p>
        </w:tc>
        <w:tc>
          <w:tcPr>
            <w:tcW w:w="1600" w:type="dxa"/>
            <w:tcBorders>
              <w:top w:val="single" w:sz="4" w:space="0" w:color="auto"/>
              <w:bottom w:val="single" w:sz="12" w:space="0" w:color="auto"/>
            </w:tcBorders>
            <w:shd w:val="clear" w:color="000000" w:fill="auto"/>
            <w:vAlign w:val="bottom"/>
          </w:tcPr>
          <w:p w:rsidR="006140ED" w:rsidRPr="0071782F" w:rsidRDefault="005A13A9" w:rsidP="00D7458E">
            <w:pPr>
              <w:suppressAutoHyphens w:val="0"/>
              <w:spacing w:before="80" w:after="80" w:line="200" w:lineRule="exact"/>
              <w:jc w:val="right"/>
              <w:rPr>
                <w:i/>
                <w:sz w:val="16"/>
                <w:szCs w:val="16"/>
                <w:lang w:val="fr-CH"/>
              </w:rPr>
            </w:pPr>
            <w:r w:rsidRPr="0071782F">
              <w:rPr>
                <w:i/>
                <w:sz w:val="16"/>
                <w:szCs w:val="16"/>
                <w:lang w:val="fr-CH"/>
              </w:rPr>
              <w:t xml:space="preserve">Consultation </w:t>
            </w:r>
            <w:r w:rsidR="00FA395F" w:rsidRPr="0071782F">
              <w:rPr>
                <w:i/>
                <w:sz w:val="16"/>
                <w:szCs w:val="16"/>
                <w:lang w:val="fr-CH"/>
              </w:rPr>
              <w:t>individu</w:t>
            </w:r>
            <w:r w:rsidRPr="0071782F">
              <w:rPr>
                <w:i/>
                <w:sz w:val="16"/>
                <w:szCs w:val="16"/>
                <w:lang w:val="fr-CH"/>
              </w:rPr>
              <w:t>elle</w:t>
            </w:r>
          </w:p>
        </w:tc>
        <w:tc>
          <w:tcPr>
            <w:tcW w:w="1400" w:type="dxa"/>
            <w:tcBorders>
              <w:top w:val="single" w:sz="4" w:space="0" w:color="auto"/>
              <w:bottom w:val="single" w:sz="12" w:space="0" w:color="auto"/>
            </w:tcBorders>
            <w:shd w:val="clear" w:color="000000" w:fill="auto"/>
            <w:vAlign w:val="bottom"/>
          </w:tcPr>
          <w:p w:rsidR="006140ED" w:rsidRPr="0071782F" w:rsidRDefault="005A13A9" w:rsidP="00D7458E">
            <w:pPr>
              <w:suppressAutoHyphens w:val="0"/>
              <w:spacing w:before="80" w:after="80" w:line="200" w:lineRule="exact"/>
              <w:jc w:val="right"/>
              <w:rPr>
                <w:i/>
                <w:sz w:val="16"/>
                <w:szCs w:val="16"/>
                <w:lang w:val="fr-CH"/>
              </w:rPr>
            </w:pPr>
            <w:r w:rsidRPr="0071782F">
              <w:rPr>
                <w:i/>
                <w:sz w:val="16"/>
                <w:szCs w:val="16"/>
                <w:lang w:val="fr-CH"/>
              </w:rPr>
              <w:t xml:space="preserve">Conseils </w:t>
            </w:r>
            <w:r w:rsidR="00AD3587">
              <w:rPr>
                <w:i/>
                <w:sz w:val="16"/>
                <w:szCs w:val="16"/>
                <w:lang w:val="fr-CH"/>
              </w:rPr>
              <w:br/>
            </w:r>
            <w:r w:rsidRPr="0071782F">
              <w:rPr>
                <w:i/>
                <w:sz w:val="16"/>
                <w:szCs w:val="16"/>
                <w:lang w:val="fr-CH"/>
              </w:rPr>
              <w:t>génétiques</w:t>
            </w:r>
          </w:p>
        </w:tc>
        <w:tc>
          <w:tcPr>
            <w:tcW w:w="1704" w:type="dxa"/>
            <w:tcBorders>
              <w:top w:val="single" w:sz="4" w:space="0" w:color="auto"/>
              <w:bottom w:val="single" w:sz="12" w:space="0" w:color="auto"/>
            </w:tcBorders>
            <w:shd w:val="clear" w:color="000000" w:fill="auto"/>
            <w:vAlign w:val="bottom"/>
          </w:tcPr>
          <w:p w:rsidR="006140ED" w:rsidRPr="0071782F" w:rsidRDefault="005A13A9" w:rsidP="00D7458E">
            <w:pPr>
              <w:suppressAutoHyphens w:val="0"/>
              <w:spacing w:before="80" w:after="80" w:line="200" w:lineRule="exact"/>
              <w:jc w:val="right"/>
              <w:rPr>
                <w:i/>
                <w:sz w:val="16"/>
                <w:szCs w:val="16"/>
                <w:lang w:val="fr-CH"/>
              </w:rPr>
            </w:pPr>
            <w:r w:rsidRPr="0071782F">
              <w:rPr>
                <w:i/>
                <w:sz w:val="16"/>
                <w:szCs w:val="16"/>
                <w:lang w:val="fr-CH"/>
              </w:rPr>
              <w:t xml:space="preserve">Désintoxication des toxicomanes </w:t>
            </w:r>
          </w:p>
        </w:tc>
      </w:tr>
      <w:tr w:rsidR="006140ED" w:rsidRPr="0071782F">
        <w:tc>
          <w:tcPr>
            <w:tcW w:w="1474" w:type="dxa"/>
            <w:tcBorders>
              <w:top w:val="single" w:sz="12" w:space="0" w:color="auto"/>
            </w:tcBorders>
            <w:shd w:val="clear" w:color="000000" w:fill="auto"/>
            <w:vAlign w:val="bottom"/>
          </w:tcPr>
          <w:p w:rsidR="006140ED" w:rsidRPr="0071782F" w:rsidRDefault="006140ED" w:rsidP="00D7458E">
            <w:pPr>
              <w:suppressAutoHyphens w:val="0"/>
              <w:spacing w:before="40" w:after="40" w:line="220" w:lineRule="exact"/>
              <w:rPr>
                <w:sz w:val="18"/>
                <w:lang w:val="fr-CH"/>
              </w:rPr>
            </w:pPr>
            <w:r w:rsidRPr="0071782F">
              <w:rPr>
                <w:sz w:val="18"/>
                <w:lang w:val="fr-CH"/>
              </w:rPr>
              <w:t>1991</w:t>
            </w:r>
          </w:p>
        </w:tc>
        <w:tc>
          <w:tcPr>
            <w:tcW w:w="1192" w:type="dxa"/>
            <w:tcBorders>
              <w:top w:val="single" w:sz="12" w:space="0" w:color="auto"/>
            </w:tcBorders>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X</w:t>
            </w:r>
          </w:p>
        </w:tc>
        <w:tc>
          <w:tcPr>
            <w:tcW w:w="1600" w:type="dxa"/>
            <w:tcBorders>
              <w:top w:val="single" w:sz="12" w:space="0" w:color="auto"/>
            </w:tcBorders>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X</w:t>
            </w:r>
          </w:p>
        </w:tc>
        <w:tc>
          <w:tcPr>
            <w:tcW w:w="1400" w:type="dxa"/>
            <w:tcBorders>
              <w:top w:val="single" w:sz="12" w:space="0" w:color="auto"/>
            </w:tcBorders>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X</w:t>
            </w:r>
          </w:p>
        </w:tc>
        <w:tc>
          <w:tcPr>
            <w:tcW w:w="1704" w:type="dxa"/>
            <w:tcBorders>
              <w:top w:val="single" w:sz="12" w:space="0" w:color="auto"/>
            </w:tcBorders>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X</w:t>
            </w:r>
          </w:p>
        </w:tc>
      </w:tr>
      <w:tr w:rsidR="006140ED" w:rsidRPr="0071782F">
        <w:tc>
          <w:tcPr>
            <w:tcW w:w="1474" w:type="dxa"/>
            <w:shd w:val="clear" w:color="000000" w:fill="auto"/>
            <w:vAlign w:val="bottom"/>
          </w:tcPr>
          <w:p w:rsidR="006140ED" w:rsidRPr="0071782F" w:rsidRDefault="006140ED" w:rsidP="00D7458E">
            <w:pPr>
              <w:suppressAutoHyphens w:val="0"/>
              <w:spacing w:before="40" w:after="40" w:line="220" w:lineRule="exact"/>
              <w:rPr>
                <w:sz w:val="18"/>
                <w:lang w:val="fr-CH"/>
              </w:rPr>
            </w:pPr>
            <w:r w:rsidRPr="0071782F">
              <w:rPr>
                <w:sz w:val="18"/>
                <w:lang w:val="fr-CH"/>
              </w:rPr>
              <w:t>1996</w:t>
            </w:r>
          </w:p>
        </w:tc>
        <w:tc>
          <w:tcPr>
            <w:tcW w:w="1192"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X</w:t>
            </w:r>
          </w:p>
        </w:tc>
        <w:tc>
          <w:tcPr>
            <w:tcW w:w="1600"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X</w:t>
            </w:r>
          </w:p>
        </w:tc>
        <w:tc>
          <w:tcPr>
            <w:tcW w:w="1400"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X</w:t>
            </w:r>
          </w:p>
        </w:tc>
        <w:tc>
          <w:tcPr>
            <w:tcW w:w="1704"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X</w:t>
            </w:r>
          </w:p>
        </w:tc>
      </w:tr>
      <w:tr w:rsidR="006140ED" w:rsidRPr="0071782F">
        <w:tc>
          <w:tcPr>
            <w:tcW w:w="1474" w:type="dxa"/>
            <w:shd w:val="clear" w:color="000000" w:fill="auto"/>
            <w:vAlign w:val="bottom"/>
          </w:tcPr>
          <w:p w:rsidR="006140ED" w:rsidRPr="0071782F" w:rsidRDefault="006140ED" w:rsidP="00D7458E">
            <w:pPr>
              <w:suppressAutoHyphens w:val="0"/>
              <w:spacing w:before="40" w:after="40" w:line="220" w:lineRule="exact"/>
              <w:rPr>
                <w:sz w:val="18"/>
                <w:lang w:val="fr-CH"/>
              </w:rPr>
            </w:pPr>
            <w:r w:rsidRPr="0071782F">
              <w:rPr>
                <w:sz w:val="18"/>
                <w:lang w:val="fr-CH"/>
              </w:rPr>
              <w:t>2001</w:t>
            </w:r>
          </w:p>
        </w:tc>
        <w:tc>
          <w:tcPr>
            <w:tcW w:w="1192"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89</w:t>
            </w:r>
          </w:p>
        </w:tc>
        <w:tc>
          <w:tcPr>
            <w:tcW w:w="1600"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103</w:t>
            </w:r>
          </w:p>
        </w:tc>
        <w:tc>
          <w:tcPr>
            <w:tcW w:w="1400"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64</w:t>
            </w:r>
          </w:p>
        </w:tc>
        <w:tc>
          <w:tcPr>
            <w:tcW w:w="1704"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73</w:t>
            </w:r>
          </w:p>
        </w:tc>
      </w:tr>
      <w:tr w:rsidR="006140ED" w:rsidRPr="0071782F">
        <w:tc>
          <w:tcPr>
            <w:tcW w:w="1474" w:type="dxa"/>
            <w:shd w:val="clear" w:color="000000" w:fill="auto"/>
            <w:vAlign w:val="bottom"/>
          </w:tcPr>
          <w:p w:rsidR="006140ED" w:rsidRPr="0071782F" w:rsidRDefault="006140ED" w:rsidP="00D7458E">
            <w:pPr>
              <w:suppressAutoHyphens w:val="0"/>
              <w:spacing w:before="40" w:after="40" w:line="220" w:lineRule="exact"/>
              <w:rPr>
                <w:sz w:val="18"/>
                <w:lang w:val="fr-CH"/>
              </w:rPr>
            </w:pPr>
            <w:r w:rsidRPr="0071782F">
              <w:rPr>
                <w:sz w:val="18"/>
                <w:lang w:val="fr-CH"/>
              </w:rPr>
              <w:t>2003</w:t>
            </w:r>
          </w:p>
        </w:tc>
        <w:tc>
          <w:tcPr>
            <w:tcW w:w="1192"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138</w:t>
            </w:r>
          </w:p>
        </w:tc>
        <w:tc>
          <w:tcPr>
            <w:tcW w:w="1600"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116</w:t>
            </w:r>
          </w:p>
        </w:tc>
        <w:tc>
          <w:tcPr>
            <w:tcW w:w="1400"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60</w:t>
            </w:r>
          </w:p>
        </w:tc>
        <w:tc>
          <w:tcPr>
            <w:tcW w:w="1704"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75</w:t>
            </w:r>
          </w:p>
        </w:tc>
      </w:tr>
      <w:tr w:rsidR="006140ED" w:rsidRPr="0071782F">
        <w:tc>
          <w:tcPr>
            <w:tcW w:w="1474" w:type="dxa"/>
            <w:shd w:val="clear" w:color="000000" w:fill="auto"/>
            <w:vAlign w:val="bottom"/>
          </w:tcPr>
          <w:p w:rsidR="006140ED" w:rsidRPr="0071782F" w:rsidRDefault="006140ED" w:rsidP="00D7458E">
            <w:pPr>
              <w:suppressAutoHyphens w:val="0"/>
              <w:spacing w:before="40" w:after="40" w:line="220" w:lineRule="exact"/>
              <w:rPr>
                <w:sz w:val="18"/>
                <w:lang w:val="fr-CH"/>
              </w:rPr>
            </w:pPr>
            <w:r w:rsidRPr="0071782F">
              <w:rPr>
                <w:sz w:val="18"/>
                <w:lang w:val="fr-CH"/>
              </w:rPr>
              <w:t>2004</w:t>
            </w:r>
          </w:p>
        </w:tc>
        <w:tc>
          <w:tcPr>
            <w:tcW w:w="1192"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65</w:t>
            </w:r>
          </w:p>
        </w:tc>
        <w:tc>
          <w:tcPr>
            <w:tcW w:w="1600"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99</w:t>
            </w:r>
          </w:p>
        </w:tc>
        <w:tc>
          <w:tcPr>
            <w:tcW w:w="1400"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55</w:t>
            </w:r>
          </w:p>
        </w:tc>
        <w:tc>
          <w:tcPr>
            <w:tcW w:w="1704"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54</w:t>
            </w:r>
          </w:p>
        </w:tc>
      </w:tr>
      <w:tr w:rsidR="006140ED" w:rsidRPr="0071782F">
        <w:tc>
          <w:tcPr>
            <w:tcW w:w="1474" w:type="dxa"/>
            <w:shd w:val="clear" w:color="000000" w:fill="auto"/>
            <w:vAlign w:val="bottom"/>
          </w:tcPr>
          <w:p w:rsidR="006140ED" w:rsidRPr="0071782F" w:rsidRDefault="006140ED" w:rsidP="00D7458E">
            <w:pPr>
              <w:suppressAutoHyphens w:val="0"/>
              <w:spacing w:before="40" w:after="40" w:line="220" w:lineRule="exact"/>
              <w:rPr>
                <w:sz w:val="18"/>
                <w:lang w:val="fr-CH"/>
              </w:rPr>
            </w:pPr>
            <w:r w:rsidRPr="0071782F">
              <w:rPr>
                <w:sz w:val="18"/>
                <w:lang w:val="fr-CH"/>
              </w:rPr>
              <w:t>2005</w:t>
            </w:r>
          </w:p>
        </w:tc>
        <w:tc>
          <w:tcPr>
            <w:tcW w:w="1192"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44</w:t>
            </w:r>
          </w:p>
        </w:tc>
        <w:tc>
          <w:tcPr>
            <w:tcW w:w="1600"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92</w:t>
            </w:r>
          </w:p>
        </w:tc>
        <w:tc>
          <w:tcPr>
            <w:tcW w:w="1400"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46</w:t>
            </w:r>
          </w:p>
        </w:tc>
        <w:tc>
          <w:tcPr>
            <w:tcW w:w="1704"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50</w:t>
            </w:r>
          </w:p>
        </w:tc>
      </w:tr>
      <w:tr w:rsidR="006140ED" w:rsidRPr="0071782F">
        <w:tc>
          <w:tcPr>
            <w:tcW w:w="1474" w:type="dxa"/>
            <w:shd w:val="clear" w:color="000000" w:fill="auto"/>
            <w:vAlign w:val="bottom"/>
          </w:tcPr>
          <w:p w:rsidR="006140ED" w:rsidRPr="0071782F" w:rsidRDefault="006140ED" w:rsidP="00D7458E">
            <w:pPr>
              <w:suppressAutoHyphens w:val="0"/>
              <w:spacing w:before="40" w:after="40" w:line="220" w:lineRule="exact"/>
              <w:rPr>
                <w:sz w:val="18"/>
                <w:lang w:val="fr-CH"/>
              </w:rPr>
            </w:pPr>
            <w:r w:rsidRPr="0071782F">
              <w:rPr>
                <w:sz w:val="18"/>
                <w:lang w:val="fr-CH"/>
              </w:rPr>
              <w:t>2006</w:t>
            </w:r>
          </w:p>
        </w:tc>
        <w:tc>
          <w:tcPr>
            <w:tcW w:w="1192"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30</w:t>
            </w:r>
          </w:p>
        </w:tc>
        <w:tc>
          <w:tcPr>
            <w:tcW w:w="1600"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81</w:t>
            </w:r>
          </w:p>
        </w:tc>
        <w:tc>
          <w:tcPr>
            <w:tcW w:w="1400"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47</w:t>
            </w:r>
          </w:p>
        </w:tc>
        <w:tc>
          <w:tcPr>
            <w:tcW w:w="1704"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72</w:t>
            </w:r>
          </w:p>
        </w:tc>
      </w:tr>
      <w:tr w:rsidR="006140ED" w:rsidRPr="0071782F">
        <w:tc>
          <w:tcPr>
            <w:tcW w:w="1474" w:type="dxa"/>
            <w:shd w:val="clear" w:color="000000" w:fill="auto"/>
            <w:vAlign w:val="bottom"/>
          </w:tcPr>
          <w:p w:rsidR="006140ED" w:rsidRPr="0071782F" w:rsidRDefault="006140ED" w:rsidP="00D7458E">
            <w:pPr>
              <w:suppressAutoHyphens w:val="0"/>
              <w:spacing w:before="40" w:after="40" w:line="220" w:lineRule="exact"/>
              <w:rPr>
                <w:sz w:val="18"/>
                <w:lang w:val="fr-CH"/>
              </w:rPr>
            </w:pPr>
            <w:r w:rsidRPr="0071782F">
              <w:rPr>
                <w:sz w:val="18"/>
                <w:lang w:val="fr-CH"/>
              </w:rPr>
              <w:t>2007</w:t>
            </w:r>
          </w:p>
        </w:tc>
        <w:tc>
          <w:tcPr>
            <w:tcW w:w="1192"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29</w:t>
            </w:r>
          </w:p>
        </w:tc>
        <w:tc>
          <w:tcPr>
            <w:tcW w:w="1600"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92</w:t>
            </w:r>
          </w:p>
        </w:tc>
        <w:tc>
          <w:tcPr>
            <w:tcW w:w="1400"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53</w:t>
            </w:r>
          </w:p>
        </w:tc>
        <w:tc>
          <w:tcPr>
            <w:tcW w:w="1704" w:type="dxa"/>
            <w:shd w:val="clear" w:color="000000" w:fill="auto"/>
            <w:vAlign w:val="bottom"/>
          </w:tcPr>
          <w:p w:rsidR="006140ED" w:rsidRPr="0071782F" w:rsidRDefault="006140ED" w:rsidP="00D7458E">
            <w:pPr>
              <w:suppressAutoHyphens w:val="0"/>
              <w:spacing w:before="40" w:after="40" w:line="220" w:lineRule="exact"/>
              <w:jc w:val="right"/>
              <w:rPr>
                <w:sz w:val="18"/>
                <w:lang w:val="fr-CH"/>
              </w:rPr>
            </w:pPr>
            <w:r w:rsidRPr="0071782F">
              <w:rPr>
                <w:sz w:val="18"/>
                <w:lang w:val="fr-CH"/>
              </w:rPr>
              <w:t>117</w:t>
            </w:r>
          </w:p>
        </w:tc>
      </w:tr>
    </w:tbl>
    <w:p w:rsidR="00DD2B20" w:rsidRPr="0071782F" w:rsidRDefault="00DD2B20" w:rsidP="00D21456">
      <w:pPr>
        <w:pStyle w:val="H23G"/>
        <w:rPr>
          <w:lang w:val="fr-CH"/>
        </w:rPr>
      </w:pPr>
      <w:r w:rsidRPr="0071782F">
        <w:rPr>
          <w:lang w:val="fr-CH"/>
        </w:rPr>
        <w:tab/>
      </w:r>
      <w:r w:rsidRPr="0071782F">
        <w:rPr>
          <w:lang w:val="fr-CH"/>
        </w:rPr>
        <w:tab/>
      </w:r>
      <w:r w:rsidR="00221709" w:rsidRPr="0071782F">
        <w:rPr>
          <w:lang w:val="fr-CH"/>
        </w:rPr>
        <w:t xml:space="preserve">Demandeurs d’aide utilisant les </w:t>
      </w:r>
      <w:r w:rsidRPr="0071782F">
        <w:rPr>
          <w:lang w:val="fr-CH"/>
        </w:rPr>
        <w:t xml:space="preserve">services </w:t>
      </w:r>
      <w:r w:rsidR="00221709" w:rsidRPr="0071782F">
        <w:rPr>
          <w:lang w:val="fr-CH"/>
        </w:rPr>
        <w:t xml:space="preserve">des </w:t>
      </w:r>
      <w:r w:rsidRPr="0071782F">
        <w:rPr>
          <w:lang w:val="fr-CH"/>
        </w:rPr>
        <w:t>diff</w:t>
      </w:r>
      <w:r w:rsidR="00221709" w:rsidRPr="0071782F">
        <w:rPr>
          <w:lang w:val="fr-CH"/>
        </w:rPr>
        <w:t>é</w:t>
      </w:r>
      <w:r w:rsidRPr="0071782F">
        <w:rPr>
          <w:lang w:val="fr-CH"/>
        </w:rPr>
        <w:t>rent</w:t>
      </w:r>
      <w:r w:rsidR="00221709" w:rsidRPr="0071782F">
        <w:rPr>
          <w:lang w:val="fr-CH"/>
        </w:rPr>
        <w:t>es</w:t>
      </w:r>
      <w:r w:rsidR="00AD3587">
        <w:rPr>
          <w:lang w:val="fr-CH"/>
        </w:rPr>
        <w:t xml:space="preserve"> </w:t>
      </w:r>
      <w:r w:rsidR="00E83264" w:rsidRPr="0071782F">
        <w:rPr>
          <w:lang w:val="fr-CH"/>
        </w:rPr>
        <w:t>unités</w:t>
      </w:r>
      <w:r w:rsidRPr="0071782F">
        <w:rPr>
          <w:lang w:val="fr-CH"/>
        </w:rPr>
        <w:t xml:space="preserve"> </w:t>
      </w:r>
      <w:r w:rsidR="00221709" w:rsidRPr="0071782F">
        <w:rPr>
          <w:lang w:val="fr-CH"/>
        </w:rPr>
        <w:t xml:space="preserve">de l’Organisme public de protection sociale </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766"/>
        <w:gridCol w:w="1651"/>
        <w:gridCol w:w="1651"/>
        <w:gridCol w:w="2198"/>
        <w:gridCol w:w="1104"/>
      </w:tblGrid>
      <w:tr w:rsidR="00DD2B20" w:rsidRPr="0071782F">
        <w:trPr>
          <w:trHeight w:val="20"/>
          <w:tblHeader/>
        </w:trPr>
        <w:tc>
          <w:tcPr>
            <w:tcW w:w="766" w:type="dxa"/>
            <w:vMerge w:val="restart"/>
            <w:tcBorders>
              <w:top w:val="single" w:sz="4" w:space="0" w:color="auto"/>
              <w:bottom w:val="single" w:sz="4" w:space="0" w:color="auto"/>
            </w:tcBorders>
            <w:shd w:val="clear" w:color="000000" w:fill="auto"/>
            <w:vAlign w:val="bottom"/>
          </w:tcPr>
          <w:p w:rsidR="00DD2B20" w:rsidRPr="0071782F" w:rsidRDefault="00221709" w:rsidP="00D21456">
            <w:pPr>
              <w:keepNext/>
              <w:suppressAutoHyphens w:val="0"/>
              <w:spacing w:before="80" w:after="80" w:line="200" w:lineRule="exact"/>
              <w:rPr>
                <w:i/>
                <w:sz w:val="16"/>
                <w:szCs w:val="16"/>
                <w:lang w:val="fr-CH"/>
              </w:rPr>
            </w:pPr>
            <w:r w:rsidRPr="0071782F">
              <w:rPr>
                <w:i/>
                <w:sz w:val="16"/>
                <w:szCs w:val="16"/>
                <w:lang w:val="fr-CH"/>
              </w:rPr>
              <w:t>Année et province</w:t>
            </w:r>
          </w:p>
        </w:tc>
        <w:tc>
          <w:tcPr>
            <w:tcW w:w="6604" w:type="dxa"/>
            <w:gridSpan w:val="4"/>
            <w:tcBorders>
              <w:top w:val="single" w:sz="4" w:space="0" w:color="auto"/>
              <w:bottom w:val="single" w:sz="4" w:space="0" w:color="auto"/>
            </w:tcBorders>
            <w:shd w:val="clear" w:color="000000" w:fill="auto"/>
            <w:vAlign w:val="bottom"/>
          </w:tcPr>
          <w:p w:rsidR="00DD2B20" w:rsidRPr="0071782F" w:rsidRDefault="00221709" w:rsidP="00D21456">
            <w:pPr>
              <w:keepNext/>
              <w:suppressAutoHyphens w:val="0"/>
              <w:spacing w:before="80" w:after="80" w:line="200" w:lineRule="exact"/>
              <w:jc w:val="center"/>
              <w:rPr>
                <w:i/>
                <w:sz w:val="16"/>
                <w:szCs w:val="16"/>
                <w:lang w:val="fr-CH"/>
              </w:rPr>
            </w:pPr>
            <w:r w:rsidRPr="0071782F">
              <w:rPr>
                <w:i/>
                <w:sz w:val="16"/>
                <w:szCs w:val="16"/>
                <w:lang w:val="fr-CH"/>
              </w:rPr>
              <w:t>Services sociaux urbains</w:t>
            </w:r>
          </w:p>
        </w:tc>
      </w:tr>
      <w:tr w:rsidR="00DD2B20" w:rsidRPr="0071782F">
        <w:trPr>
          <w:trHeight w:val="20"/>
          <w:tblHeader/>
        </w:trPr>
        <w:tc>
          <w:tcPr>
            <w:tcW w:w="766" w:type="dxa"/>
            <w:vMerge/>
            <w:tcBorders>
              <w:top w:val="single" w:sz="4" w:space="0" w:color="auto"/>
              <w:bottom w:val="single" w:sz="12" w:space="0" w:color="auto"/>
            </w:tcBorders>
            <w:shd w:val="clear" w:color="000000" w:fill="auto"/>
            <w:vAlign w:val="bottom"/>
          </w:tcPr>
          <w:p w:rsidR="00DD2B20" w:rsidRPr="0071782F" w:rsidRDefault="00DD2B20" w:rsidP="00D21456">
            <w:pPr>
              <w:keepNext/>
              <w:suppressAutoHyphens w:val="0"/>
              <w:spacing w:before="80" w:after="80" w:line="200" w:lineRule="exact"/>
              <w:rPr>
                <w:i/>
                <w:sz w:val="16"/>
                <w:szCs w:val="16"/>
                <w:lang w:val="fr-CH"/>
              </w:rPr>
            </w:pPr>
          </w:p>
        </w:tc>
        <w:tc>
          <w:tcPr>
            <w:tcW w:w="1651" w:type="dxa"/>
            <w:tcBorders>
              <w:top w:val="single" w:sz="4" w:space="0" w:color="auto"/>
              <w:bottom w:val="single" w:sz="12" w:space="0" w:color="auto"/>
            </w:tcBorders>
            <w:shd w:val="clear" w:color="000000" w:fill="auto"/>
            <w:vAlign w:val="bottom"/>
          </w:tcPr>
          <w:p w:rsidR="00DD2B20" w:rsidRPr="0071782F" w:rsidRDefault="00221709" w:rsidP="00D21456">
            <w:pPr>
              <w:keepNext/>
              <w:suppressAutoHyphens w:val="0"/>
              <w:spacing w:before="80" w:after="80" w:line="200" w:lineRule="exact"/>
              <w:jc w:val="right"/>
              <w:rPr>
                <w:i/>
                <w:sz w:val="16"/>
                <w:szCs w:val="16"/>
                <w:lang w:val="fr-CH"/>
              </w:rPr>
            </w:pPr>
            <w:r w:rsidRPr="0071782F">
              <w:rPr>
                <w:i/>
                <w:sz w:val="16"/>
                <w:szCs w:val="16"/>
                <w:lang w:val="fr-CH"/>
              </w:rPr>
              <w:t>Prise en charge d’enfants sans tuteur</w:t>
            </w:r>
          </w:p>
        </w:tc>
        <w:tc>
          <w:tcPr>
            <w:tcW w:w="1651" w:type="dxa"/>
            <w:tcBorders>
              <w:top w:val="single" w:sz="4" w:space="0" w:color="auto"/>
              <w:bottom w:val="single" w:sz="12" w:space="0" w:color="auto"/>
            </w:tcBorders>
            <w:shd w:val="clear" w:color="000000" w:fill="auto"/>
            <w:vAlign w:val="bottom"/>
          </w:tcPr>
          <w:p w:rsidR="00DD2B20" w:rsidRPr="0071782F" w:rsidRDefault="00221709" w:rsidP="00D21456">
            <w:pPr>
              <w:keepNext/>
              <w:suppressAutoHyphens w:val="0"/>
              <w:spacing w:before="80" w:after="80" w:line="200" w:lineRule="exact"/>
              <w:jc w:val="right"/>
              <w:rPr>
                <w:i/>
                <w:sz w:val="16"/>
                <w:szCs w:val="16"/>
                <w:lang w:val="fr-CH"/>
              </w:rPr>
            </w:pPr>
            <w:r w:rsidRPr="0071782F">
              <w:rPr>
                <w:i/>
                <w:sz w:val="16"/>
                <w:szCs w:val="16"/>
                <w:lang w:val="fr-CH"/>
              </w:rPr>
              <w:t>Services de garde</w:t>
            </w:r>
            <w:r w:rsidR="009C5A32" w:rsidRPr="0071782F">
              <w:rPr>
                <w:i/>
                <w:sz w:val="16"/>
                <w:szCs w:val="16"/>
                <w:lang w:val="fr-CH"/>
              </w:rPr>
              <w:t>rie</w:t>
            </w:r>
          </w:p>
        </w:tc>
        <w:tc>
          <w:tcPr>
            <w:tcW w:w="2198" w:type="dxa"/>
            <w:tcBorders>
              <w:top w:val="single" w:sz="4" w:space="0" w:color="auto"/>
              <w:bottom w:val="single" w:sz="12" w:space="0" w:color="auto"/>
            </w:tcBorders>
            <w:shd w:val="clear" w:color="000000" w:fill="auto"/>
            <w:vAlign w:val="bottom"/>
          </w:tcPr>
          <w:p w:rsidR="00DD2B20" w:rsidRPr="0071782F" w:rsidRDefault="00221709" w:rsidP="00D21456">
            <w:pPr>
              <w:keepNext/>
              <w:suppressAutoHyphens w:val="0"/>
              <w:spacing w:before="80" w:after="80" w:line="200" w:lineRule="exact"/>
              <w:jc w:val="right"/>
              <w:rPr>
                <w:i/>
                <w:sz w:val="16"/>
                <w:szCs w:val="16"/>
                <w:lang w:val="fr-CH"/>
              </w:rPr>
            </w:pPr>
            <w:r w:rsidRPr="0071782F">
              <w:rPr>
                <w:i/>
                <w:sz w:val="16"/>
                <w:szCs w:val="16"/>
                <w:lang w:val="fr-CH"/>
              </w:rPr>
              <w:t xml:space="preserve">Appui </w:t>
            </w:r>
            <w:r w:rsidR="00A234E8" w:rsidRPr="0071782F">
              <w:rPr>
                <w:i/>
                <w:sz w:val="16"/>
                <w:szCs w:val="16"/>
                <w:lang w:val="fr-CH"/>
              </w:rPr>
              <w:t>aux familles</w:t>
            </w:r>
            <w:r w:rsidRPr="0071782F">
              <w:rPr>
                <w:i/>
                <w:sz w:val="16"/>
                <w:szCs w:val="16"/>
                <w:lang w:val="fr-CH"/>
              </w:rPr>
              <w:t xml:space="preserve"> </w:t>
            </w:r>
            <w:r w:rsidR="00AD3587">
              <w:rPr>
                <w:i/>
                <w:sz w:val="16"/>
                <w:szCs w:val="16"/>
                <w:lang w:val="fr-CH"/>
              </w:rPr>
              <w:br/>
            </w:r>
            <w:r w:rsidRPr="0071782F">
              <w:rPr>
                <w:i/>
                <w:sz w:val="16"/>
                <w:szCs w:val="16"/>
                <w:lang w:val="fr-CH"/>
              </w:rPr>
              <w:t xml:space="preserve">pauvres sans tuteur </w:t>
            </w:r>
            <w:r w:rsidR="00AD3587">
              <w:rPr>
                <w:i/>
                <w:sz w:val="16"/>
                <w:szCs w:val="16"/>
                <w:lang w:val="fr-CH"/>
              </w:rPr>
              <w:br/>
            </w:r>
            <w:r w:rsidRPr="0071782F">
              <w:rPr>
                <w:i/>
                <w:sz w:val="16"/>
                <w:szCs w:val="16"/>
                <w:lang w:val="fr-CH"/>
              </w:rPr>
              <w:t>(touchant une pension)</w:t>
            </w:r>
          </w:p>
        </w:tc>
        <w:tc>
          <w:tcPr>
            <w:tcW w:w="1104" w:type="dxa"/>
            <w:tcBorders>
              <w:top w:val="single" w:sz="4" w:space="0" w:color="auto"/>
              <w:bottom w:val="single" w:sz="12" w:space="0" w:color="auto"/>
            </w:tcBorders>
            <w:shd w:val="clear" w:color="000000" w:fill="auto"/>
            <w:vAlign w:val="bottom"/>
          </w:tcPr>
          <w:p w:rsidR="00DD2B20" w:rsidRPr="0071782F" w:rsidRDefault="00221709" w:rsidP="00D21456">
            <w:pPr>
              <w:keepNext/>
              <w:suppressAutoHyphens w:val="0"/>
              <w:spacing w:before="80" w:after="80" w:line="200" w:lineRule="exact"/>
              <w:jc w:val="right"/>
              <w:rPr>
                <w:i/>
                <w:sz w:val="16"/>
                <w:szCs w:val="16"/>
                <w:lang w:val="fr-CH"/>
              </w:rPr>
            </w:pPr>
            <w:r w:rsidRPr="0071782F">
              <w:rPr>
                <w:i/>
                <w:sz w:val="16"/>
                <w:szCs w:val="16"/>
                <w:lang w:val="fr-CH"/>
              </w:rPr>
              <w:t>Préjudices sociaux</w:t>
            </w:r>
          </w:p>
        </w:tc>
      </w:tr>
      <w:tr w:rsidR="00DD2B20" w:rsidRPr="0071782F">
        <w:tc>
          <w:tcPr>
            <w:tcW w:w="766" w:type="dxa"/>
            <w:tcBorders>
              <w:top w:val="single" w:sz="12" w:space="0" w:color="auto"/>
            </w:tcBorders>
            <w:shd w:val="clear" w:color="000000" w:fill="auto"/>
          </w:tcPr>
          <w:p w:rsidR="00DD2B20" w:rsidRPr="0071782F" w:rsidRDefault="00DD2B20" w:rsidP="00D21456">
            <w:pPr>
              <w:keepNext/>
              <w:suppressAutoHyphens w:val="0"/>
              <w:spacing w:before="40" w:after="40" w:line="220" w:lineRule="exact"/>
              <w:rPr>
                <w:sz w:val="18"/>
                <w:lang w:val="fr-CH"/>
              </w:rPr>
            </w:pPr>
            <w:r w:rsidRPr="0071782F">
              <w:rPr>
                <w:sz w:val="18"/>
                <w:lang w:val="fr-CH"/>
              </w:rPr>
              <w:t>1991</w:t>
            </w:r>
          </w:p>
        </w:tc>
        <w:tc>
          <w:tcPr>
            <w:tcW w:w="1651" w:type="dxa"/>
            <w:tcBorders>
              <w:top w:val="single" w:sz="12" w:space="0" w:color="auto"/>
            </w:tcBorders>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2 979</w:t>
            </w:r>
          </w:p>
        </w:tc>
        <w:tc>
          <w:tcPr>
            <w:tcW w:w="1651" w:type="dxa"/>
            <w:tcBorders>
              <w:top w:val="single" w:sz="12" w:space="0" w:color="auto"/>
            </w:tcBorders>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65 082</w:t>
            </w:r>
          </w:p>
        </w:tc>
        <w:tc>
          <w:tcPr>
            <w:tcW w:w="2198" w:type="dxa"/>
            <w:tcBorders>
              <w:top w:val="single" w:sz="12" w:space="0" w:color="auto"/>
            </w:tcBorders>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237 205</w:t>
            </w:r>
          </w:p>
        </w:tc>
        <w:tc>
          <w:tcPr>
            <w:tcW w:w="1104" w:type="dxa"/>
            <w:tcBorders>
              <w:top w:val="single" w:sz="12" w:space="0" w:color="auto"/>
            </w:tcBorders>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X</w:t>
            </w:r>
          </w:p>
        </w:tc>
      </w:tr>
      <w:tr w:rsidR="00DD2B20" w:rsidRPr="0071782F">
        <w:tc>
          <w:tcPr>
            <w:tcW w:w="766" w:type="dxa"/>
            <w:shd w:val="clear" w:color="000000" w:fill="auto"/>
          </w:tcPr>
          <w:p w:rsidR="00DD2B20" w:rsidRPr="0071782F" w:rsidRDefault="00DD2B20" w:rsidP="00D21456">
            <w:pPr>
              <w:keepNext/>
              <w:suppressAutoHyphens w:val="0"/>
              <w:spacing w:before="40" w:after="40" w:line="220" w:lineRule="exact"/>
              <w:rPr>
                <w:sz w:val="18"/>
                <w:lang w:val="fr-CH"/>
              </w:rPr>
            </w:pPr>
            <w:r w:rsidRPr="0071782F">
              <w:rPr>
                <w:sz w:val="18"/>
                <w:lang w:val="fr-CH"/>
              </w:rPr>
              <w:t>1996</w:t>
            </w:r>
          </w:p>
        </w:tc>
        <w:tc>
          <w:tcPr>
            <w:tcW w:w="1651" w:type="dxa"/>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3 419</w:t>
            </w:r>
          </w:p>
        </w:tc>
        <w:tc>
          <w:tcPr>
            <w:tcW w:w="1651" w:type="dxa"/>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64 424</w:t>
            </w:r>
          </w:p>
        </w:tc>
        <w:tc>
          <w:tcPr>
            <w:tcW w:w="2198" w:type="dxa"/>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555 860</w:t>
            </w:r>
          </w:p>
        </w:tc>
        <w:tc>
          <w:tcPr>
            <w:tcW w:w="1104" w:type="dxa"/>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X</w:t>
            </w:r>
          </w:p>
        </w:tc>
      </w:tr>
      <w:tr w:rsidR="00DD2B20" w:rsidRPr="0071782F">
        <w:tc>
          <w:tcPr>
            <w:tcW w:w="766" w:type="dxa"/>
            <w:shd w:val="clear" w:color="000000" w:fill="auto"/>
          </w:tcPr>
          <w:p w:rsidR="00DD2B20" w:rsidRPr="0071782F" w:rsidRDefault="00DD2B20" w:rsidP="00D21456">
            <w:pPr>
              <w:keepNext/>
              <w:suppressAutoHyphens w:val="0"/>
              <w:spacing w:before="40" w:after="40" w:line="220" w:lineRule="exact"/>
              <w:rPr>
                <w:sz w:val="18"/>
                <w:lang w:val="fr-CH"/>
              </w:rPr>
            </w:pPr>
            <w:r w:rsidRPr="0071782F">
              <w:rPr>
                <w:sz w:val="18"/>
                <w:lang w:val="fr-CH"/>
              </w:rPr>
              <w:t>2001</w:t>
            </w:r>
          </w:p>
        </w:tc>
        <w:tc>
          <w:tcPr>
            <w:tcW w:w="1651" w:type="dxa"/>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5 582</w:t>
            </w:r>
          </w:p>
        </w:tc>
        <w:tc>
          <w:tcPr>
            <w:tcW w:w="1651" w:type="dxa"/>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36 591</w:t>
            </w:r>
          </w:p>
        </w:tc>
        <w:tc>
          <w:tcPr>
            <w:tcW w:w="2198" w:type="dxa"/>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284 707</w:t>
            </w:r>
          </w:p>
        </w:tc>
        <w:tc>
          <w:tcPr>
            <w:tcW w:w="1104" w:type="dxa"/>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34 207</w:t>
            </w:r>
          </w:p>
        </w:tc>
      </w:tr>
      <w:tr w:rsidR="00DD2B20" w:rsidRPr="0071782F">
        <w:tc>
          <w:tcPr>
            <w:tcW w:w="766" w:type="dxa"/>
            <w:shd w:val="clear" w:color="000000" w:fill="auto"/>
          </w:tcPr>
          <w:p w:rsidR="00DD2B20" w:rsidRPr="0071782F" w:rsidRDefault="00DD2B20" w:rsidP="00D21456">
            <w:pPr>
              <w:keepNext/>
              <w:suppressAutoHyphens w:val="0"/>
              <w:spacing w:before="40" w:after="40" w:line="220" w:lineRule="exact"/>
              <w:rPr>
                <w:sz w:val="18"/>
                <w:lang w:val="fr-CH"/>
              </w:rPr>
            </w:pPr>
            <w:r w:rsidRPr="0071782F">
              <w:rPr>
                <w:sz w:val="18"/>
                <w:lang w:val="fr-CH"/>
              </w:rPr>
              <w:t>2003</w:t>
            </w:r>
          </w:p>
        </w:tc>
        <w:tc>
          <w:tcPr>
            <w:tcW w:w="1651" w:type="dxa"/>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5 124</w:t>
            </w:r>
          </w:p>
        </w:tc>
        <w:tc>
          <w:tcPr>
            <w:tcW w:w="1651" w:type="dxa"/>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25 577</w:t>
            </w:r>
          </w:p>
        </w:tc>
        <w:tc>
          <w:tcPr>
            <w:tcW w:w="2198" w:type="dxa"/>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221 601</w:t>
            </w:r>
          </w:p>
        </w:tc>
        <w:tc>
          <w:tcPr>
            <w:tcW w:w="1104" w:type="dxa"/>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76 813</w:t>
            </w:r>
          </w:p>
        </w:tc>
      </w:tr>
      <w:tr w:rsidR="00DD2B20" w:rsidRPr="0071782F">
        <w:tc>
          <w:tcPr>
            <w:tcW w:w="766" w:type="dxa"/>
            <w:shd w:val="clear" w:color="000000" w:fill="auto"/>
          </w:tcPr>
          <w:p w:rsidR="00DD2B20" w:rsidRPr="0071782F" w:rsidRDefault="00DD2B20" w:rsidP="00D21456">
            <w:pPr>
              <w:keepNext/>
              <w:suppressAutoHyphens w:val="0"/>
              <w:spacing w:before="40" w:after="40" w:line="220" w:lineRule="exact"/>
              <w:rPr>
                <w:sz w:val="18"/>
                <w:lang w:val="fr-CH"/>
              </w:rPr>
            </w:pPr>
            <w:r w:rsidRPr="0071782F">
              <w:rPr>
                <w:sz w:val="18"/>
                <w:lang w:val="fr-CH"/>
              </w:rPr>
              <w:t>2004</w:t>
            </w:r>
          </w:p>
        </w:tc>
        <w:tc>
          <w:tcPr>
            <w:tcW w:w="1651" w:type="dxa"/>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3 736</w:t>
            </w:r>
          </w:p>
        </w:tc>
        <w:tc>
          <w:tcPr>
            <w:tcW w:w="1651" w:type="dxa"/>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16 946</w:t>
            </w:r>
          </w:p>
        </w:tc>
        <w:tc>
          <w:tcPr>
            <w:tcW w:w="2198" w:type="dxa"/>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209 734</w:t>
            </w:r>
          </w:p>
        </w:tc>
        <w:tc>
          <w:tcPr>
            <w:tcW w:w="1104" w:type="dxa"/>
            <w:shd w:val="clear" w:color="000000" w:fill="auto"/>
            <w:vAlign w:val="bottom"/>
          </w:tcPr>
          <w:p w:rsidR="00DD2B20" w:rsidRPr="0071782F" w:rsidRDefault="00DD2B20" w:rsidP="00D21456">
            <w:pPr>
              <w:keepNext/>
              <w:suppressAutoHyphens w:val="0"/>
              <w:spacing w:before="40" w:after="40" w:line="220" w:lineRule="exact"/>
              <w:jc w:val="right"/>
              <w:rPr>
                <w:sz w:val="18"/>
                <w:lang w:val="fr-CH"/>
              </w:rPr>
            </w:pPr>
            <w:r w:rsidRPr="0071782F">
              <w:rPr>
                <w:sz w:val="18"/>
                <w:lang w:val="fr-CH"/>
              </w:rPr>
              <w:t>54 711</w:t>
            </w:r>
          </w:p>
        </w:tc>
      </w:tr>
      <w:tr w:rsidR="00DD2B20" w:rsidRPr="0071782F">
        <w:tc>
          <w:tcPr>
            <w:tcW w:w="766"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2005</w:t>
            </w:r>
          </w:p>
        </w:tc>
        <w:tc>
          <w:tcPr>
            <w:tcW w:w="165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3 891</w:t>
            </w:r>
          </w:p>
        </w:tc>
        <w:tc>
          <w:tcPr>
            <w:tcW w:w="165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11 357</w:t>
            </w:r>
          </w:p>
        </w:tc>
        <w:tc>
          <w:tcPr>
            <w:tcW w:w="2198"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206 876</w:t>
            </w:r>
          </w:p>
        </w:tc>
        <w:tc>
          <w:tcPr>
            <w:tcW w:w="110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60 473</w:t>
            </w:r>
          </w:p>
        </w:tc>
      </w:tr>
      <w:tr w:rsidR="00DD2B20" w:rsidRPr="0071782F">
        <w:tc>
          <w:tcPr>
            <w:tcW w:w="766"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2006</w:t>
            </w:r>
          </w:p>
        </w:tc>
        <w:tc>
          <w:tcPr>
            <w:tcW w:w="165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4 484</w:t>
            </w:r>
          </w:p>
        </w:tc>
        <w:tc>
          <w:tcPr>
            <w:tcW w:w="165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9 127</w:t>
            </w:r>
          </w:p>
        </w:tc>
        <w:tc>
          <w:tcPr>
            <w:tcW w:w="2198"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201 250</w:t>
            </w:r>
          </w:p>
        </w:tc>
        <w:tc>
          <w:tcPr>
            <w:tcW w:w="110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65 395</w:t>
            </w:r>
          </w:p>
        </w:tc>
      </w:tr>
      <w:tr w:rsidR="00DD2B20" w:rsidRPr="0071782F">
        <w:tc>
          <w:tcPr>
            <w:tcW w:w="766"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2007</w:t>
            </w:r>
          </w:p>
        </w:tc>
        <w:tc>
          <w:tcPr>
            <w:tcW w:w="165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5 183</w:t>
            </w:r>
          </w:p>
        </w:tc>
        <w:tc>
          <w:tcPr>
            <w:tcW w:w="165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12 604</w:t>
            </w:r>
          </w:p>
        </w:tc>
        <w:tc>
          <w:tcPr>
            <w:tcW w:w="2198"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85 155</w:t>
            </w:r>
          </w:p>
        </w:tc>
        <w:tc>
          <w:tcPr>
            <w:tcW w:w="110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76 524</w:t>
            </w:r>
          </w:p>
        </w:tc>
      </w:tr>
    </w:tbl>
    <w:p w:rsidR="00DD2B20" w:rsidRPr="0071782F" w:rsidRDefault="00DD2B20" w:rsidP="00DD2B20">
      <w:pPr>
        <w:pStyle w:val="H23G"/>
        <w:rPr>
          <w:lang w:val="fr-CH"/>
        </w:rPr>
      </w:pPr>
      <w:r w:rsidRPr="0071782F">
        <w:rPr>
          <w:lang w:val="fr-CH"/>
        </w:rPr>
        <w:tab/>
      </w:r>
      <w:r w:rsidRPr="0071782F">
        <w:rPr>
          <w:lang w:val="fr-CH"/>
        </w:rPr>
        <w:tab/>
      </w:r>
      <w:r w:rsidR="00221709" w:rsidRPr="0071782F">
        <w:rPr>
          <w:lang w:val="fr-CH"/>
        </w:rPr>
        <w:t xml:space="preserve">Demandeurs d’aide utilisant les services sociaux </w:t>
      </w:r>
      <w:r w:rsidRPr="0071782F">
        <w:rPr>
          <w:lang w:val="fr-CH"/>
        </w:rPr>
        <w:t>rura</w:t>
      </w:r>
      <w:r w:rsidR="00221709" w:rsidRPr="0071782F">
        <w:rPr>
          <w:lang w:val="fr-CH"/>
        </w:rPr>
        <w:t xml:space="preserve">ux </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560"/>
        <w:gridCol w:w="1906"/>
        <w:gridCol w:w="3904"/>
      </w:tblGrid>
      <w:tr w:rsidR="00DD2B20" w:rsidRPr="0071782F">
        <w:trPr>
          <w:tblHeader/>
        </w:trPr>
        <w:tc>
          <w:tcPr>
            <w:tcW w:w="1560" w:type="dxa"/>
            <w:vMerge w:val="restart"/>
            <w:tcBorders>
              <w:top w:val="single" w:sz="4" w:space="0" w:color="auto"/>
              <w:bottom w:val="single" w:sz="12" w:space="0" w:color="auto"/>
            </w:tcBorders>
            <w:shd w:val="clear" w:color="000000" w:fill="auto"/>
            <w:vAlign w:val="bottom"/>
          </w:tcPr>
          <w:p w:rsidR="00DD2B20" w:rsidRPr="0071782F" w:rsidRDefault="00221709" w:rsidP="00B0389C">
            <w:pPr>
              <w:keepNext/>
              <w:suppressAutoHyphens w:val="0"/>
              <w:spacing w:before="80" w:after="80" w:line="200" w:lineRule="exact"/>
              <w:rPr>
                <w:i/>
                <w:sz w:val="16"/>
                <w:szCs w:val="16"/>
                <w:lang w:val="fr-CH"/>
              </w:rPr>
            </w:pPr>
            <w:r w:rsidRPr="0071782F">
              <w:rPr>
                <w:i/>
                <w:sz w:val="16"/>
                <w:szCs w:val="16"/>
                <w:lang w:val="fr-CH"/>
              </w:rPr>
              <w:t>Année et province</w:t>
            </w:r>
          </w:p>
        </w:tc>
        <w:tc>
          <w:tcPr>
            <w:tcW w:w="5810" w:type="dxa"/>
            <w:gridSpan w:val="2"/>
            <w:tcBorders>
              <w:top w:val="single" w:sz="4" w:space="0" w:color="auto"/>
              <w:bottom w:val="single" w:sz="4" w:space="0" w:color="auto"/>
            </w:tcBorders>
            <w:shd w:val="clear" w:color="000000" w:fill="auto"/>
            <w:vAlign w:val="bottom"/>
          </w:tcPr>
          <w:p w:rsidR="00DD2B20" w:rsidRPr="0071782F" w:rsidRDefault="00221709" w:rsidP="00B0389C">
            <w:pPr>
              <w:keepNext/>
              <w:suppressAutoHyphens w:val="0"/>
              <w:spacing w:before="80" w:after="80" w:line="200" w:lineRule="exact"/>
              <w:jc w:val="center"/>
              <w:rPr>
                <w:i/>
                <w:sz w:val="16"/>
                <w:szCs w:val="16"/>
                <w:lang w:val="fr-CH"/>
              </w:rPr>
            </w:pPr>
            <w:r w:rsidRPr="0071782F">
              <w:rPr>
                <w:i/>
                <w:sz w:val="16"/>
                <w:szCs w:val="16"/>
                <w:lang w:val="fr-CH"/>
              </w:rPr>
              <w:t>Services sociaux ruraux</w:t>
            </w:r>
          </w:p>
        </w:tc>
      </w:tr>
      <w:tr w:rsidR="00DD2B20" w:rsidRPr="0071782F">
        <w:trPr>
          <w:tblHeader/>
        </w:trPr>
        <w:tc>
          <w:tcPr>
            <w:tcW w:w="1560" w:type="dxa"/>
            <w:vMerge/>
            <w:tcBorders>
              <w:top w:val="single" w:sz="12" w:space="0" w:color="auto"/>
              <w:bottom w:val="single" w:sz="12" w:space="0" w:color="auto"/>
            </w:tcBorders>
            <w:shd w:val="clear" w:color="000000" w:fill="auto"/>
            <w:vAlign w:val="bottom"/>
          </w:tcPr>
          <w:p w:rsidR="00DD2B20" w:rsidRPr="0071782F" w:rsidRDefault="00DD2B20" w:rsidP="00B0389C">
            <w:pPr>
              <w:keepNext/>
              <w:suppressAutoHyphens w:val="0"/>
              <w:spacing w:before="80" w:after="80" w:line="200" w:lineRule="exact"/>
              <w:rPr>
                <w:i/>
                <w:sz w:val="16"/>
                <w:szCs w:val="16"/>
                <w:lang w:val="fr-CH"/>
              </w:rPr>
            </w:pPr>
          </w:p>
        </w:tc>
        <w:tc>
          <w:tcPr>
            <w:tcW w:w="1906" w:type="dxa"/>
            <w:tcBorders>
              <w:top w:val="single" w:sz="4" w:space="0" w:color="auto"/>
              <w:bottom w:val="single" w:sz="12" w:space="0" w:color="auto"/>
            </w:tcBorders>
            <w:shd w:val="clear" w:color="000000" w:fill="auto"/>
            <w:vAlign w:val="bottom"/>
          </w:tcPr>
          <w:p w:rsidR="00DD2B20" w:rsidRPr="0071782F" w:rsidRDefault="00221709" w:rsidP="00B0389C">
            <w:pPr>
              <w:keepNext/>
              <w:suppressAutoHyphens w:val="0"/>
              <w:spacing w:before="80" w:after="80" w:line="200" w:lineRule="exact"/>
              <w:jc w:val="right"/>
              <w:rPr>
                <w:i/>
                <w:sz w:val="16"/>
                <w:szCs w:val="16"/>
                <w:lang w:val="fr-CH"/>
              </w:rPr>
            </w:pPr>
            <w:r w:rsidRPr="0071782F">
              <w:rPr>
                <w:i/>
                <w:sz w:val="16"/>
                <w:szCs w:val="16"/>
                <w:lang w:val="fr-CH"/>
              </w:rPr>
              <w:t>Services de garde</w:t>
            </w:r>
            <w:r w:rsidR="009C5A32" w:rsidRPr="0071782F">
              <w:rPr>
                <w:i/>
                <w:sz w:val="16"/>
                <w:szCs w:val="16"/>
                <w:lang w:val="fr-CH"/>
              </w:rPr>
              <w:t>rie</w:t>
            </w:r>
          </w:p>
        </w:tc>
        <w:tc>
          <w:tcPr>
            <w:tcW w:w="3904" w:type="dxa"/>
            <w:tcBorders>
              <w:top w:val="single" w:sz="4" w:space="0" w:color="auto"/>
              <w:bottom w:val="single" w:sz="12" w:space="0" w:color="auto"/>
            </w:tcBorders>
            <w:shd w:val="clear" w:color="000000" w:fill="auto"/>
            <w:vAlign w:val="bottom"/>
          </w:tcPr>
          <w:p w:rsidR="00DD2B20" w:rsidRPr="0071782F" w:rsidRDefault="00221709" w:rsidP="00AD3587">
            <w:pPr>
              <w:keepNext/>
              <w:suppressAutoHyphens w:val="0"/>
              <w:spacing w:before="80" w:after="80" w:line="200" w:lineRule="exact"/>
              <w:jc w:val="right"/>
              <w:rPr>
                <w:i/>
                <w:sz w:val="16"/>
                <w:szCs w:val="16"/>
                <w:lang w:val="fr-CH"/>
              </w:rPr>
            </w:pPr>
            <w:r w:rsidRPr="0071782F">
              <w:rPr>
                <w:i/>
                <w:sz w:val="16"/>
                <w:szCs w:val="16"/>
                <w:lang w:val="fr-CH"/>
              </w:rPr>
              <w:t xml:space="preserve">Appui </w:t>
            </w:r>
            <w:r w:rsidR="00A234E8" w:rsidRPr="0071782F">
              <w:rPr>
                <w:i/>
                <w:sz w:val="16"/>
                <w:szCs w:val="16"/>
                <w:lang w:val="fr-CH"/>
              </w:rPr>
              <w:t>aux familles</w:t>
            </w:r>
            <w:r w:rsidRPr="0071782F">
              <w:rPr>
                <w:i/>
                <w:sz w:val="16"/>
                <w:szCs w:val="16"/>
                <w:lang w:val="fr-CH"/>
              </w:rPr>
              <w:t xml:space="preserve"> pauvres sans tuteur</w:t>
            </w:r>
            <w:r w:rsidR="00D21456" w:rsidRPr="0071782F">
              <w:rPr>
                <w:i/>
                <w:sz w:val="16"/>
                <w:szCs w:val="16"/>
                <w:lang w:val="fr-CH"/>
              </w:rPr>
              <w:br/>
            </w:r>
            <w:r w:rsidRPr="0071782F">
              <w:rPr>
                <w:i/>
                <w:sz w:val="16"/>
                <w:szCs w:val="16"/>
                <w:lang w:val="fr-CH"/>
              </w:rPr>
              <w:t>(touchant une pension)</w:t>
            </w:r>
          </w:p>
        </w:tc>
      </w:tr>
      <w:tr w:rsidR="00DD2B20" w:rsidRPr="0071782F">
        <w:tc>
          <w:tcPr>
            <w:tcW w:w="1560" w:type="dxa"/>
            <w:tcBorders>
              <w:top w:val="single" w:sz="12" w:space="0" w:color="auto"/>
            </w:tcBorders>
            <w:shd w:val="clear" w:color="000000" w:fill="auto"/>
          </w:tcPr>
          <w:p w:rsidR="00DD2B20" w:rsidRPr="0071782F" w:rsidRDefault="00DD2B20" w:rsidP="00B0389C">
            <w:pPr>
              <w:keepNext/>
              <w:suppressAutoHyphens w:val="0"/>
              <w:spacing w:before="40" w:after="40" w:line="220" w:lineRule="exact"/>
              <w:rPr>
                <w:sz w:val="18"/>
                <w:lang w:val="fr-CH"/>
              </w:rPr>
            </w:pPr>
            <w:r w:rsidRPr="0071782F">
              <w:rPr>
                <w:sz w:val="18"/>
                <w:lang w:val="fr-CH"/>
              </w:rPr>
              <w:t>1991</w:t>
            </w:r>
          </w:p>
        </w:tc>
        <w:tc>
          <w:tcPr>
            <w:tcW w:w="1906" w:type="dxa"/>
            <w:tcBorders>
              <w:top w:val="single" w:sz="12" w:space="0" w:color="auto"/>
            </w:tcBorders>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90 053</w:t>
            </w:r>
          </w:p>
        </w:tc>
        <w:tc>
          <w:tcPr>
            <w:tcW w:w="3904" w:type="dxa"/>
            <w:tcBorders>
              <w:top w:val="single" w:sz="12" w:space="0" w:color="auto"/>
            </w:tcBorders>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29 625</w:t>
            </w:r>
          </w:p>
        </w:tc>
      </w:tr>
      <w:tr w:rsidR="00DD2B20" w:rsidRPr="0071782F">
        <w:tc>
          <w:tcPr>
            <w:tcW w:w="1560" w:type="dxa"/>
            <w:shd w:val="clear" w:color="000000" w:fill="auto"/>
          </w:tcPr>
          <w:p w:rsidR="00DD2B20" w:rsidRPr="0071782F" w:rsidRDefault="00DD2B20" w:rsidP="00B0389C">
            <w:pPr>
              <w:keepNext/>
              <w:suppressAutoHyphens w:val="0"/>
              <w:spacing w:before="40" w:after="40" w:line="220" w:lineRule="exact"/>
              <w:rPr>
                <w:sz w:val="18"/>
                <w:lang w:val="fr-CH"/>
              </w:rPr>
            </w:pPr>
            <w:r w:rsidRPr="0071782F">
              <w:rPr>
                <w:sz w:val="18"/>
                <w:lang w:val="fr-CH"/>
              </w:rPr>
              <w:t>1996</w:t>
            </w:r>
          </w:p>
        </w:tc>
        <w:tc>
          <w:tcPr>
            <w:tcW w:w="1906"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87 324</w:t>
            </w:r>
          </w:p>
        </w:tc>
        <w:tc>
          <w:tcPr>
            <w:tcW w:w="3904"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88 265</w:t>
            </w:r>
          </w:p>
        </w:tc>
      </w:tr>
      <w:tr w:rsidR="00DD2B20" w:rsidRPr="0071782F">
        <w:tc>
          <w:tcPr>
            <w:tcW w:w="1560" w:type="dxa"/>
            <w:shd w:val="clear" w:color="000000" w:fill="auto"/>
          </w:tcPr>
          <w:p w:rsidR="00DD2B20" w:rsidRPr="0071782F" w:rsidRDefault="00DD2B20" w:rsidP="00B0389C">
            <w:pPr>
              <w:keepNext/>
              <w:suppressAutoHyphens w:val="0"/>
              <w:spacing w:before="40" w:after="40" w:line="220" w:lineRule="exact"/>
              <w:rPr>
                <w:sz w:val="18"/>
                <w:lang w:val="fr-CH"/>
              </w:rPr>
            </w:pPr>
            <w:r w:rsidRPr="0071782F">
              <w:rPr>
                <w:sz w:val="18"/>
                <w:lang w:val="fr-CH"/>
              </w:rPr>
              <w:t>2001</w:t>
            </w:r>
          </w:p>
        </w:tc>
        <w:tc>
          <w:tcPr>
            <w:tcW w:w="1906"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54 416</w:t>
            </w:r>
          </w:p>
        </w:tc>
        <w:tc>
          <w:tcPr>
            <w:tcW w:w="3904"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66 801</w:t>
            </w:r>
          </w:p>
        </w:tc>
      </w:tr>
      <w:tr w:rsidR="00DD2B20" w:rsidRPr="0071782F">
        <w:tc>
          <w:tcPr>
            <w:tcW w:w="1560" w:type="dxa"/>
            <w:shd w:val="clear" w:color="000000" w:fill="auto"/>
          </w:tcPr>
          <w:p w:rsidR="00DD2B20" w:rsidRPr="0071782F" w:rsidRDefault="00DD2B20" w:rsidP="00B0389C">
            <w:pPr>
              <w:keepNext/>
              <w:suppressAutoHyphens w:val="0"/>
              <w:spacing w:before="40" w:after="40" w:line="220" w:lineRule="exact"/>
              <w:rPr>
                <w:sz w:val="18"/>
                <w:lang w:val="fr-CH"/>
              </w:rPr>
            </w:pPr>
            <w:r w:rsidRPr="0071782F">
              <w:rPr>
                <w:sz w:val="18"/>
                <w:lang w:val="fr-CH"/>
              </w:rPr>
              <w:t>2003</w:t>
            </w:r>
          </w:p>
        </w:tc>
        <w:tc>
          <w:tcPr>
            <w:tcW w:w="1906"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56 654</w:t>
            </w:r>
          </w:p>
        </w:tc>
        <w:tc>
          <w:tcPr>
            <w:tcW w:w="3904"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55 679</w:t>
            </w:r>
          </w:p>
        </w:tc>
      </w:tr>
      <w:tr w:rsidR="00DD2B20" w:rsidRPr="0071782F">
        <w:tc>
          <w:tcPr>
            <w:tcW w:w="1560" w:type="dxa"/>
            <w:shd w:val="clear" w:color="000000" w:fill="auto"/>
          </w:tcPr>
          <w:p w:rsidR="00DD2B20" w:rsidRPr="0071782F" w:rsidRDefault="00DD2B20" w:rsidP="00B0389C">
            <w:pPr>
              <w:keepNext/>
              <w:suppressAutoHyphens w:val="0"/>
              <w:spacing w:before="40" w:after="40" w:line="220" w:lineRule="exact"/>
              <w:rPr>
                <w:sz w:val="18"/>
                <w:lang w:val="fr-CH"/>
              </w:rPr>
            </w:pPr>
            <w:r w:rsidRPr="0071782F">
              <w:rPr>
                <w:sz w:val="18"/>
                <w:lang w:val="fr-CH"/>
              </w:rPr>
              <w:t>2004</w:t>
            </w:r>
          </w:p>
        </w:tc>
        <w:tc>
          <w:tcPr>
            <w:tcW w:w="1906"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50 238</w:t>
            </w:r>
          </w:p>
        </w:tc>
        <w:tc>
          <w:tcPr>
            <w:tcW w:w="3904"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55 331</w:t>
            </w:r>
          </w:p>
        </w:tc>
      </w:tr>
      <w:tr w:rsidR="00DD2B20" w:rsidRPr="0071782F">
        <w:tc>
          <w:tcPr>
            <w:tcW w:w="1560" w:type="dxa"/>
            <w:shd w:val="clear" w:color="000000" w:fill="auto"/>
          </w:tcPr>
          <w:p w:rsidR="00DD2B20" w:rsidRPr="0071782F" w:rsidRDefault="00DD2B20" w:rsidP="00B0389C">
            <w:pPr>
              <w:keepNext/>
              <w:suppressAutoHyphens w:val="0"/>
              <w:spacing w:before="40" w:after="40" w:line="220" w:lineRule="exact"/>
              <w:rPr>
                <w:sz w:val="18"/>
                <w:lang w:val="fr-CH"/>
              </w:rPr>
            </w:pPr>
            <w:r w:rsidRPr="0071782F">
              <w:rPr>
                <w:sz w:val="18"/>
                <w:lang w:val="fr-CH"/>
              </w:rPr>
              <w:t>2005</w:t>
            </w:r>
          </w:p>
        </w:tc>
        <w:tc>
          <w:tcPr>
            <w:tcW w:w="1906"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25 620</w:t>
            </w:r>
          </w:p>
        </w:tc>
        <w:tc>
          <w:tcPr>
            <w:tcW w:w="3904"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51 344</w:t>
            </w:r>
          </w:p>
        </w:tc>
      </w:tr>
      <w:tr w:rsidR="00DD2B20" w:rsidRPr="0071782F">
        <w:tc>
          <w:tcPr>
            <w:tcW w:w="1560" w:type="dxa"/>
            <w:shd w:val="clear" w:color="000000" w:fill="auto"/>
          </w:tcPr>
          <w:p w:rsidR="00DD2B20" w:rsidRPr="0071782F" w:rsidRDefault="00DD2B20" w:rsidP="00B0389C">
            <w:pPr>
              <w:keepNext/>
              <w:suppressAutoHyphens w:val="0"/>
              <w:spacing w:before="40" w:after="40" w:line="220" w:lineRule="exact"/>
              <w:rPr>
                <w:sz w:val="18"/>
                <w:lang w:val="fr-CH"/>
              </w:rPr>
            </w:pPr>
            <w:r w:rsidRPr="0071782F">
              <w:rPr>
                <w:sz w:val="18"/>
                <w:lang w:val="fr-CH"/>
              </w:rPr>
              <w:t>2006</w:t>
            </w:r>
          </w:p>
        </w:tc>
        <w:tc>
          <w:tcPr>
            <w:tcW w:w="1906"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31 866</w:t>
            </w:r>
          </w:p>
        </w:tc>
        <w:tc>
          <w:tcPr>
            <w:tcW w:w="3904" w:type="dxa"/>
            <w:shd w:val="clear" w:color="000000" w:fill="auto"/>
            <w:vAlign w:val="bottom"/>
          </w:tcPr>
          <w:p w:rsidR="00DD2B20" w:rsidRPr="0071782F" w:rsidRDefault="00DD2B20" w:rsidP="00B0389C">
            <w:pPr>
              <w:keepNext/>
              <w:suppressAutoHyphens w:val="0"/>
              <w:spacing w:before="40" w:after="40" w:line="220" w:lineRule="exact"/>
              <w:jc w:val="right"/>
              <w:rPr>
                <w:sz w:val="18"/>
                <w:lang w:val="fr-CH"/>
              </w:rPr>
            </w:pPr>
            <w:r w:rsidRPr="0071782F">
              <w:rPr>
                <w:sz w:val="18"/>
                <w:lang w:val="fr-CH"/>
              </w:rPr>
              <w:t>83 846</w:t>
            </w:r>
          </w:p>
        </w:tc>
      </w:tr>
      <w:tr w:rsidR="00DD2B20" w:rsidRPr="0071782F">
        <w:tc>
          <w:tcPr>
            <w:tcW w:w="1560"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2007</w:t>
            </w:r>
          </w:p>
        </w:tc>
        <w:tc>
          <w:tcPr>
            <w:tcW w:w="1906"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28 116</w:t>
            </w:r>
          </w:p>
        </w:tc>
        <w:tc>
          <w:tcPr>
            <w:tcW w:w="390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13 494</w:t>
            </w:r>
          </w:p>
        </w:tc>
      </w:tr>
    </w:tbl>
    <w:p w:rsidR="00DD2B20" w:rsidRPr="0071782F" w:rsidRDefault="00DD2B20" w:rsidP="00DD2B20">
      <w:pPr>
        <w:pStyle w:val="H23G"/>
        <w:rPr>
          <w:lang w:val="fr-CH"/>
        </w:rPr>
      </w:pPr>
      <w:r w:rsidRPr="0071782F">
        <w:rPr>
          <w:lang w:val="fr-CH"/>
        </w:rPr>
        <w:tab/>
      </w:r>
      <w:r w:rsidRPr="0071782F">
        <w:rPr>
          <w:lang w:val="fr-CH"/>
        </w:rPr>
        <w:tab/>
      </w:r>
      <w:r w:rsidR="00221709" w:rsidRPr="0071782F">
        <w:rPr>
          <w:lang w:val="fr-CH"/>
        </w:rPr>
        <w:t xml:space="preserve">Demandeurs d’aide utilisant les services des ONG opérant sous le contrôle de l’Organisme public de protection sociale </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709"/>
        <w:gridCol w:w="1665"/>
        <w:gridCol w:w="1492"/>
        <w:gridCol w:w="1838"/>
        <w:gridCol w:w="1666"/>
      </w:tblGrid>
      <w:tr w:rsidR="00DD2B20" w:rsidRPr="0071782F">
        <w:trPr>
          <w:tblHeader/>
        </w:trPr>
        <w:tc>
          <w:tcPr>
            <w:tcW w:w="709" w:type="dxa"/>
            <w:vMerge w:val="restart"/>
            <w:tcBorders>
              <w:top w:val="single" w:sz="4" w:space="0" w:color="auto"/>
              <w:bottom w:val="single" w:sz="12" w:space="0" w:color="auto"/>
            </w:tcBorders>
            <w:shd w:val="clear" w:color="000000" w:fill="auto"/>
            <w:vAlign w:val="bottom"/>
          </w:tcPr>
          <w:p w:rsidR="00DD2B20" w:rsidRPr="0071782F" w:rsidRDefault="00221709" w:rsidP="00D21456">
            <w:pPr>
              <w:suppressAutoHyphens w:val="0"/>
              <w:spacing w:before="80" w:after="80" w:line="200" w:lineRule="exact"/>
              <w:rPr>
                <w:i/>
                <w:sz w:val="16"/>
                <w:szCs w:val="16"/>
                <w:lang w:val="fr-CH"/>
              </w:rPr>
            </w:pPr>
            <w:r w:rsidRPr="0071782F">
              <w:rPr>
                <w:i/>
                <w:sz w:val="16"/>
                <w:szCs w:val="16"/>
                <w:lang w:val="fr-CH"/>
              </w:rPr>
              <w:t>Année</w:t>
            </w:r>
          </w:p>
        </w:tc>
        <w:tc>
          <w:tcPr>
            <w:tcW w:w="6661" w:type="dxa"/>
            <w:gridSpan w:val="4"/>
            <w:tcBorders>
              <w:top w:val="single" w:sz="4" w:space="0" w:color="auto"/>
              <w:bottom w:val="single" w:sz="4" w:space="0" w:color="auto"/>
            </w:tcBorders>
            <w:shd w:val="clear" w:color="000000" w:fill="auto"/>
            <w:vAlign w:val="bottom"/>
          </w:tcPr>
          <w:p w:rsidR="00DD2B20" w:rsidRPr="0071782F" w:rsidRDefault="00DD2B20" w:rsidP="00D21456">
            <w:pPr>
              <w:suppressAutoHyphens w:val="0"/>
              <w:spacing w:before="80" w:after="80" w:line="200" w:lineRule="exact"/>
              <w:jc w:val="center"/>
              <w:rPr>
                <w:i/>
                <w:sz w:val="16"/>
                <w:szCs w:val="16"/>
                <w:lang w:val="fr-CH"/>
              </w:rPr>
            </w:pPr>
            <w:r w:rsidRPr="0071782F">
              <w:rPr>
                <w:i/>
                <w:sz w:val="16"/>
                <w:szCs w:val="16"/>
                <w:lang w:val="fr-CH"/>
              </w:rPr>
              <w:t>S</w:t>
            </w:r>
            <w:r w:rsidR="00221709" w:rsidRPr="0071782F">
              <w:rPr>
                <w:i/>
                <w:sz w:val="16"/>
                <w:szCs w:val="16"/>
                <w:lang w:val="fr-CH"/>
              </w:rPr>
              <w:t xml:space="preserve">ervices sociaux </w:t>
            </w:r>
          </w:p>
        </w:tc>
      </w:tr>
      <w:tr w:rsidR="00DD2B20" w:rsidRPr="0071782F">
        <w:trPr>
          <w:tblHeader/>
        </w:trPr>
        <w:tc>
          <w:tcPr>
            <w:tcW w:w="709" w:type="dxa"/>
            <w:vMerge/>
            <w:tcBorders>
              <w:top w:val="single" w:sz="12" w:space="0" w:color="auto"/>
              <w:bottom w:val="single" w:sz="12" w:space="0" w:color="auto"/>
            </w:tcBorders>
            <w:shd w:val="clear" w:color="000000" w:fill="auto"/>
            <w:vAlign w:val="bottom"/>
          </w:tcPr>
          <w:p w:rsidR="00DD2B20" w:rsidRPr="0071782F" w:rsidRDefault="00DD2B20" w:rsidP="00D21456">
            <w:pPr>
              <w:suppressAutoHyphens w:val="0"/>
              <w:spacing w:before="80" w:after="80" w:line="200" w:lineRule="exact"/>
              <w:rPr>
                <w:i/>
                <w:sz w:val="16"/>
                <w:szCs w:val="16"/>
                <w:lang w:val="fr-CH"/>
              </w:rPr>
            </w:pPr>
          </w:p>
        </w:tc>
        <w:tc>
          <w:tcPr>
            <w:tcW w:w="1665" w:type="dxa"/>
            <w:tcBorders>
              <w:top w:val="single" w:sz="4" w:space="0" w:color="auto"/>
              <w:bottom w:val="single" w:sz="12" w:space="0" w:color="auto"/>
            </w:tcBorders>
            <w:shd w:val="clear" w:color="000000" w:fill="auto"/>
            <w:vAlign w:val="bottom"/>
          </w:tcPr>
          <w:p w:rsidR="00DD2B20" w:rsidRPr="0071782F" w:rsidRDefault="00221709" w:rsidP="00D21456">
            <w:pPr>
              <w:suppressAutoHyphens w:val="0"/>
              <w:spacing w:before="80" w:after="80" w:line="200" w:lineRule="exact"/>
              <w:jc w:val="right"/>
              <w:rPr>
                <w:i/>
                <w:sz w:val="16"/>
                <w:szCs w:val="16"/>
                <w:lang w:val="fr-CH"/>
              </w:rPr>
            </w:pPr>
            <w:r w:rsidRPr="0071782F">
              <w:rPr>
                <w:i/>
                <w:sz w:val="16"/>
                <w:szCs w:val="16"/>
                <w:lang w:val="fr-CH"/>
              </w:rPr>
              <w:t>Prise en charge d’enfants sans tuteur</w:t>
            </w:r>
          </w:p>
        </w:tc>
        <w:tc>
          <w:tcPr>
            <w:tcW w:w="1492" w:type="dxa"/>
            <w:tcBorders>
              <w:top w:val="single" w:sz="4" w:space="0" w:color="auto"/>
              <w:bottom w:val="single" w:sz="12" w:space="0" w:color="auto"/>
            </w:tcBorders>
            <w:shd w:val="clear" w:color="000000" w:fill="auto"/>
            <w:vAlign w:val="bottom"/>
          </w:tcPr>
          <w:p w:rsidR="00DD2B20" w:rsidRPr="0071782F" w:rsidRDefault="00221709" w:rsidP="00D21456">
            <w:pPr>
              <w:suppressAutoHyphens w:val="0"/>
              <w:spacing w:before="80" w:after="80" w:line="200" w:lineRule="exact"/>
              <w:jc w:val="right"/>
              <w:rPr>
                <w:i/>
                <w:sz w:val="16"/>
                <w:szCs w:val="16"/>
                <w:lang w:val="fr-CH"/>
              </w:rPr>
            </w:pPr>
            <w:r w:rsidRPr="0071782F">
              <w:rPr>
                <w:i/>
                <w:sz w:val="16"/>
                <w:szCs w:val="16"/>
                <w:lang w:val="fr-CH"/>
              </w:rPr>
              <w:t>Services de garde</w:t>
            </w:r>
            <w:r w:rsidR="009C5A32" w:rsidRPr="0071782F">
              <w:rPr>
                <w:i/>
                <w:sz w:val="16"/>
                <w:szCs w:val="16"/>
                <w:lang w:val="fr-CH"/>
              </w:rPr>
              <w:t>rie</w:t>
            </w:r>
          </w:p>
        </w:tc>
        <w:tc>
          <w:tcPr>
            <w:tcW w:w="1838" w:type="dxa"/>
            <w:tcBorders>
              <w:top w:val="single" w:sz="4" w:space="0" w:color="auto"/>
              <w:bottom w:val="single" w:sz="12" w:space="0" w:color="auto"/>
            </w:tcBorders>
            <w:shd w:val="clear" w:color="000000" w:fill="auto"/>
            <w:vAlign w:val="bottom"/>
          </w:tcPr>
          <w:p w:rsidR="00DD2B20" w:rsidRPr="0071782F" w:rsidRDefault="00221709" w:rsidP="00D21456">
            <w:pPr>
              <w:suppressAutoHyphens w:val="0"/>
              <w:spacing w:before="80" w:after="80" w:line="200" w:lineRule="exact"/>
              <w:jc w:val="right"/>
              <w:rPr>
                <w:i/>
                <w:sz w:val="16"/>
                <w:szCs w:val="16"/>
                <w:lang w:val="fr-CH"/>
              </w:rPr>
            </w:pPr>
            <w:r w:rsidRPr="0071782F">
              <w:rPr>
                <w:i/>
                <w:sz w:val="16"/>
                <w:szCs w:val="16"/>
                <w:lang w:val="fr-CH"/>
              </w:rPr>
              <w:t xml:space="preserve">Appui </w:t>
            </w:r>
            <w:r w:rsidR="00A234E8" w:rsidRPr="0071782F">
              <w:rPr>
                <w:i/>
                <w:sz w:val="16"/>
                <w:szCs w:val="16"/>
                <w:lang w:val="fr-CH"/>
              </w:rPr>
              <w:t>aux familles</w:t>
            </w:r>
            <w:r w:rsidRPr="0071782F">
              <w:rPr>
                <w:i/>
                <w:sz w:val="16"/>
                <w:szCs w:val="16"/>
                <w:lang w:val="fr-CH"/>
              </w:rPr>
              <w:t xml:space="preserve"> pauvres sans tuteur</w:t>
            </w:r>
          </w:p>
        </w:tc>
        <w:tc>
          <w:tcPr>
            <w:tcW w:w="1666" w:type="dxa"/>
            <w:tcBorders>
              <w:top w:val="single" w:sz="4" w:space="0" w:color="auto"/>
              <w:bottom w:val="single" w:sz="12" w:space="0" w:color="auto"/>
            </w:tcBorders>
            <w:shd w:val="clear" w:color="000000" w:fill="auto"/>
            <w:vAlign w:val="bottom"/>
          </w:tcPr>
          <w:p w:rsidR="00DD2B20" w:rsidRPr="0071782F" w:rsidRDefault="00221709" w:rsidP="00D21456">
            <w:pPr>
              <w:suppressAutoHyphens w:val="0"/>
              <w:spacing w:before="80" w:after="80" w:line="200" w:lineRule="exact"/>
              <w:jc w:val="right"/>
              <w:rPr>
                <w:i/>
                <w:sz w:val="16"/>
                <w:szCs w:val="16"/>
                <w:lang w:val="fr-CH"/>
              </w:rPr>
            </w:pPr>
            <w:r w:rsidRPr="0071782F">
              <w:rPr>
                <w:i/>
                <w:sz w:val="16"/>
                <w:szCs w:val="16"/>
                <w:lang w:val="fr-CH"/>
              </w:rPr>
              <w:t>Services de réadaptation</w:t>
            </w:r>
          </w:p>
        </w:tc>
      </w:tr>
      <w:tr w:rsidR="00DD2B20" w:rsidRPr="0071782F">
        <w:tc>
          <w:tcPr>
            <w:tcW w:w="709" w:type="dxa"/>
            <w:tcBorders>
              <w:top w:val="single" w:sz="12" w:space="0" w:color="auto"/>
            </w:tcBorders>
            <w:shd w:val="clear" w:color="000000" w:fill="auto"/>
          </w:tcPr>
          <w:p w:rsidR="00DD2B20" w:rsidRPr="0071782F" w:rsidRDefault="00DD2B20" w:rsidP="00C066BB">
            <w:pPr>
              <w:suppressAutoHyphens w:val="0"/>
              <w:spacing w:before="20" w:after="40" w:line="220" w:lineRule="exact"/>
              <w:rPr>
                <w:sz w:val="18"/>
                <w:lang w:val="fr-CH"/>
              </w:rPr>
            </w:pPr>
            <w:r w:rsidRPr="0071782F">
              <w:rPr>
                <w:sz w:val="18"/>
                <w:lang w:val="fr-CH"/>
              </w:rPr>
              <w:t>2001</w:t>
            </w:r>
          </w:p>
        </w:tc>
        <w:tc>
          <w:tcPr>
            <w:tcW w:w="1665" w:type="dxa"/>
            <w:tcBorders>
              <w:top w:val="single" w:sz="12" w:space="0" w:color="auto"/>
            </w:tcBorders>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2 937</w:t>
            </w:r>
          </w:p>
        </w:tc>
        <w:tc>
          <w:tcPr>
            <w:tcW w:w="1492" w:type="dxa"/>
            <w:tcBorders>
              <w:top w:val="single" w:sz="12" w:space="0" w:color="auto"/>
            </w:tcBorders>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154 528</w:t>
            </w:r>
          </w:p>
        </w:tc>
        <w:tc>
          <w:tcPr>
            <w:tcW w:w="1838" w:type="dxa"/>
            <w:tcBorders>
              <w:top w:val="single" w:sz="12" w:space="0" w:color="auto"/>
            </w:tcBorders>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35 822</w:t>
            </w:r>
          </w:p>
        </w:tc>
        <w:tc>
          <w:tcPr>
            <w:tcW w:w="1666" w:type="dxa"/>
            <w:tcBorders>
              <w:top w:val="single" w:sz="12" w:space="0" w:color="auto"/>
            </w:tcBorders>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32 501</w:t>
            </w:r>
          </w:p>
        </w:tc>
      </w:tr>
      <w:tr w:rsidR="00DD2B20" w:rsidRPr="0071782F">
        <w:tc>
          <w:tcPr>
            <w:tcW w:w="709" w:type="dxa"/>
            <w:shd w:val="clear" w:color="000000" w:fill="auto"/>
          </w:tcPr>
          <w:p w:rsidR="00DD2B20" w:rsidRPr="0071782F" w:rsidRDefault="00DD2B20" w:rsidP="00C066BB">
            <w:pPr>
              <w:suppressAutoHyphens w:val="0"/>
              <w:spacing w:before="20" w:after="40" w:line="220" w:lineRule="exact"/>
              <w:rPr>
                <w:sz w:val="18"/>
                <w:lang w:val="fr-CH"/>
              </w:rPr>
            </w:pPr>
            <w:r w:rsidRPr="0071782F">
              <w:rPr>
                <w:sz w:val="18"/>
                <w:lang w:val="fr-CH"/>
              </w:rPr>
              <w:t>2003</w:t>
            </w:r>
          </w:p>
        </w:tc>
        <w:tc>
          <w:tcPr>
            <w:tcW w:w="1665"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3 855</w:t>
            </w:r>
          </w:p>
        </w:tc>
        <w:tc>
          <w:tcPr>
            <w:tcW w:w="1492"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232 820</w:t>
            </w:r>
          </w:p>
        </w:tc>
        <w:tc>
          <w:tcPr>
            <w:tcW w:w="1838"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60 906</w:t>
            </w:r>
          </w:p>
        </w:tc>
        <w:tc>
          <w:tcPr>
            <w:tcW w:w="1666"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38 375</w:t>
            </w:r>
          </w:p>
        </w:tc>
      </w:tr>
      <w:tr w:rsidR="00DD2B20" w:rsidRPr="0071782F">
        <w:tc>
          <w:tcPr>
            <w:tcW w:w="709" w:type="dxa"/>
            <w:shd w:val="clear" w:color="000000" w:fill="auto"/>
          </w:tcPr>
          <w:p w:rsidR="00DD2B20" w:rsidRPr="0071782F" w:rsidRDefault="00DD2B20" w:rsidP="00C066BB">
            <w:pPr>
              <w:suppressAutoHyphens w:val="0"/>
              <w:spacing w:before="20" w:after="40" w:line="220" w:lineRule="exact"/>
              <w:rPr>
                <w:sz w:val="18"/>
                <w:lang w:val="fr-CH"/>
              </w:rPr>
            </w:pPr>
            <w:r w:rsidRPr="0071782F">
              <w:rPr>
                <w:sz w:val="18"/>
                <w:lang w:val="fr-CH"/>
              </w:rPr>
              <w:t>2004</w:t>
            </w:r>
          </w:p>
        </w:tc>
        <w:tc>
          <w:tcPr>
            <w:tcW w:w="1665"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9 976</w:t>
            </w:r>
          </w:p>
        </w:tc>
        <w:tc>
          <w:tcPr>
            <w:tcW w:w="1492"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265 622</w:t>
            </w:r>
          </w:p>
        </w:tc>
        <w:tc>
          <w:tcPr>
            <w:tcW w:w="1838"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58 610</w:t>
            </w:r>
          </w:p>
        </w:tc>
        <w:tc>
          <w:tcPr>
            <w:tcW w:w="1666"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33 945</w:t>
            </w:r>
          </w:p>
        </w:tc>
      </w:tr>
      <w:tr w:rsidR="00DD2B20" w:rsidRPr="0071782F">
        <w:tc>
          <w:tcPr>
            <w:tcW w:w="709" w:type="dxa"/>
            <w:shd w:val="clear" w:color="000000" w:fill="auto"/>
          </w:tcPr>
          <w:p w:rsidR="00DD2B20" w:rsidRPr="0071782F" w:rsidRDefault="00DD2B20" w:rsidP="00C066BB">
            <w:pPr>
              <w:suppressAutoHyphens w:val="0"/>
              <w:spacing w:before="20" w:after="40" w:line="220" w:lineRule="exact"/>
              <w:rPr>
                <w:sz w:val="18"/>
                <w:lang w:val="fr-CH"/>
              </w:rPr>
            </w:pPr>
            <w:r w:rsidRPr="0071782F">
              <w:rPr>
                <w:sz w:val="18"/>
                <w:lang w:val="fr-CH"/>
              </w:rPr>
              <w:t>2005</w:t>
            </w:r>
          </w:p>
        </w:tc>
        <w:tc>
          <w:tcPr>
            <w:tcW w:w="1665"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12 295</w:t>
            </w:r>
          </w:p>
        </w:tc>
        <w:tc>
          <w:tcPr>
            <w:tcW w:w="1492"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336 828</w:t>
            </w:r>
          </w:p>
        </w:tc>
        <w:tc>
          <w:tcPr>
            <w:tcW w:w="1838"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78 105</w:t>
            </w:r>
          </w:p>
        </w:tc>
        <w:tc>
          <w:tcPr>
            <w:tcW w:w="1666"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55 116</w:t>
            </w:r>
          </w:p>
        </w:tc>
      </w:tr>
      <w:tr w:rsidR="00DD2B20" w:rsidRPr="0071782F">
        <w:tc>
          <w:tcPr>
            <w:tcW w:w="709" w:type="dxa"/>
            <w:shd w:val="clear" w:color="000000" w:fill="auto"/>
          </w:tcPr>
          <w:p w:rsidR="00DD2B20" w:rsidRPr="0071782F" w:rsidRDefault="00DD2B20" w:rsidP="00C066BB">
            <w:pPr>
              <w:suppressAutoHyphens w:val="0"/>
              <w:spacing w:before="20" w:after="40" w:line="220" w:lineRule="exact"/>
              <w:rPr>
                <w:sz w:val="18"/>
                <w:lang w:val="fr-CH"/>
              </w:rPr>
            </w:pPr>
            <w:r w:rsidRPr="0071782F">
              <w:rPr>
                <w:sz w:val="18"/>
                <w:lang w:val="fr-CH"/>
              </w:rPr>
              <w:t>2006</w:t>
            </w:r>
          </w:p>
        </w:tc>
        <w:tc>
          <w:tcPr>
            <w:tcW w:w="1665"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5 606</w:t>
            </w:r>
          </w:p>
        </w:tc>
        <w:tc>
          <w:tcPr>
            <w:tcW w:w="1492"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543 695</w:t>
            </w:r>
          </w:p>
        </w:tc>
        <w:tc>
          <w:tcPr>
            <w:tcW w:w="1838"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54 774</w:t>
            </w:r>
          </w:p>
        </w:tc>
        <w:tc>
          <w:tcPr>
            <w:tcW w:w="1666"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73 020</w:t>
            </w:r>
          </w:p>
        </w:tc>
      </w:tr>
      <w:tr w:rsidR="00DD2B20" w:rsidRPr="0071782F">
        <w:tc>
          <w:tcPr>
            <w:tcW w:w="709" w:type="dxa"/>
            <w:shd w:val="clear" w:color="000000" w:fill="auto"/>
          </w:tcPr>
          <w:p w:rsidR="00DD2B20" w:rsidRPr="0071782F" w:rsidRDefault="00DD2B20" w:rsidP="00C066BB">
            <w:pPr>
              <w:suppressAutoHyphens w:val="0"/>
              <w:spacing w:before="20" w:after="40" w:line="220" w:lineRule="exact"/>
              <w:rPr>
                <w:sz w:val="18"/>
                <w:lang w:val="fr-CH"/>
              </w:rPr>
            </w:pPr>
            <w:r w:rsidRPr="0071782F">
              <w:rPr>
                <w:sz w:val="18"/>
                <w:lang w:val="fr-CH"/>
              </w:rPr>
              <w:t>2007</w:t>
            </w:r>
          </w:p>
        </w:tc>
        <w:tc>
          <w:tcPr>
            <w:tcW w:w="1665"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5 046</w:t>
            </w:r>
          </w:p>
        </w:tc>
        <w:tc>
          <w:tcPr>
            <w:tcW w:w="1492"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496 547</w:t>
            </w:r>
          </w:p>
        </w:tc>
        <w:tc>
          <w:tcPr>
            <w:tcW w:w="1838"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000</w:t>
            </w:r>
          </w:p>
        </w:tc>
        <w:tc>
          <w:tcPr>
            <w:tcW w:w="1666" w:type="dxa"/>
            <w:shd w:val="clear" w:color="000000" w:fill="auto"/>
            <w:vAlign w:val="bottom"/>
          </w:tcPr>
          <w:p w:rsidR="00DD2B20" w:rsidRPr="0071782F" w:rsidRDefault="00DD2B20" w:rsidP="00C066BB">
            <w:pPr>
              <w:suppressAutoHyphens w:val="0"/>
              <w:spacing w:before="20" w:after="40" w:line="220" w:lineRule="exact"/>
              <w:jc w:val="right"/>
              <w:rPr>
                <w:sz w:val="18"/>
                <w:lang w:val="fr-CH"/>
              </w:rPr>
            </w:pPr>
            <w:r w:rsidRPr="0071782F">
              <w:rPr>
                <w:sz w:val="18"/>
                <w:lang w:val="fr-CH"/>
              </w:rPr>
              <w:t>63 338</w:t>
            </w:r>
          </w:p>
        </w:tc>
      </w:tr>
    </w:tbl>
    <w:p w:rsidR="00DD2B20" w:rsidRPr="0071782F" w:rsidRDefault="00DD2B20" w:rsidP="00DD2B20">
      <w:pPr>
        <w:pStyle w:val="H23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221709" w:rsidRPr="0071782F">
        <w:rPr>
          <w:lang w:val="fr-CH"/>
        </w:rPr>
        <w:t xml:space="preserve">d’unités et de demandeurs d’aide couverts par le Comité de secours de l’Imam Khomeini et montant des </w:t>
      </w:r>
      <w:r w:rsidRPr="0071782F">
        <w:rPr>
          <w:lang w:val="fr-CH"/>
        </w:rPr>
        <w:t>pensions (</w:t>
      </w:r>
      <w:r w:rsidR="00221709" w:rsidRPr="0071782F">
        <w:rPr>
          <w:lang w:val="fr-CH"/>
        </w:rPr>
        <w:t>en</w:t>
      </w:r>
      <w:r w:rsidR="00097CDB" w:rsidRPr="0071782F">
        <w:rPr>
          <w:lang w:val="fr-CH"/>
        </w:rPr>
        <w:t> millions</w:t>
      </w:r>
      <w:r w:rsidRPr="0071782F">
        <w:rPr>
          <w:lang w:val="fr-CH"/>
        </w:rPr>
        <w:t xml:space="preserve"> </w:t>
      </w:r>
      <w:r w:rsidR="003B1403" w:rsidRPr="0071782F">
        <w:rPr>
          <w:lang w:val="fr-CH"/>
        </w:rPr>
        <w:t>de rials</w:t>
      </w:r>
      <w:r w:rsidRPr="0071782F">
        <w:rPr>
          <w:lang w:val="fr-CH"/>
        </w:rPr>
        <w:t>)</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561"/>
        <w:gridCol w:w="999"/>
        <w:gridCol w:w="1275"/>
        <w:gridCol w:w="1134"/>
        <w:gridCol w:w="1134"/>
        <w:gridCol w:w="1134"/>
        <w:gridCol w:w="1133"/>
      </w:tblGrid>
      <w:tr w:rsidR="00DD2B20" w:rsidRPr="0071782F">
        <w:trPr>
          <w:tblHeader/>
        </w:trPr>
        <w:tc>
          <w:tcPr>
            <w:tcW w:w="561" w:type="dxa"/>
            <w:vMerge w:val="restart"/>
            <w:tcBorders>
              <w:top w:val="single" w:sz="4" w:space="0" w:color="auto"/>
              <w:bottom w:val="single" w:sz="12" w:space="0" w:color="auto"/>
            </w:tcBorders>
            <w:shd w:val="clear" w:color="000000" w:fill="auto"/>
            <w:vAlign w:val="bottom"/>
          </w:tcPr>
          <w:p w:rsidR="00DD2B20" w:rsidRPr="0071782F" w:rsidRDefault="00221709" w:rsidP="00D21456">
            <w:pPr>
              <w:suppressAutoHyphens w:val="0"/>
              <w:spacing w:before="80" w:after="80" w:line="200" w:lineRule="exact"/>
              <w:rPr>
                <w:i/>
                <w:sz w:val="16"/>
                <w:szCs w:val="16"/>
                <w:lang w:val="fr-CH"/>
              </w:rPr>
            </w:pPr>
            <w:r w:rsidRPr="0071782F">
              <w:rPr>
                <w:i/>
                <w:sz w:val="16"/>
                <w:szCs w:val="16"/>
                <w:lang w:val="fr-CH"/>
              </w:rPr>
              <w:t>Année</w:t>
            </w:r>
          </w:p>
        </w:tc>
        <w:tc>
          <w:tcPr>
            <w:tcW w:w="999" w:type="dxa"/>
            <w:vMerge w:val="restart"/>
            <w:tcBorders>
              <w:top w:val="single" w:sz="4" w:space="0" w:color="auto"/>
              <w:bottom w:val="single" w:sz="12" w:space="0" w:color="auto"/>
            </w:tcBorders>
            <w:shd w:val="clear" w:color="000000" w:fill="auto"/>
            <w:vAlign w:val="bottom"/>
          </w:tcPr>
          <w:p w:rsidR="00DD2B20" w:rsidRPr="0071782F" w:rsidRDefault="003B48A4" w:rsidP="00D21456">
            <w:pPr>
              <w:suppressAutoHyphens w:val="0"/>
              <w:spacing w:before="80" w:after="80" w:line="200" w:lineRule="exact"/>
              <w:jc w:val="right"/>
              <w:rPr>
                <w:i/>
                <w:sz w:val="16"/>
                <w:szCs w:val="16"/>
                <w:lang w:val="fr-CH"/>
              </w:rPr>
            </w:pPr>
            <w:r w:rsidRPr="0071782F">
              <w:rPr>
                <w:i/>
                <w:sz w:val="16"/>
                <w:szCs w:val="16"/>
                <w:lang w:val="fr-CH"/>
              </w:rPr>
              <w:t>Nombre</w:t>
            </w:r>
            <w:r w:rsidR="00DD2B20" w:rsidRPr="0071782F">
              <w:rPr>
                <w:i/>
                <w:sz w:val="16"/>
                <w:szCs w:val="16"/>
                <w:lang w:val="fr-CH"/>
              </w:rPr>
              <w:t xml:space="preserve"> </w:t>
            </w:r>
            <w:r w:rsidR="00221709" w:rsidRPr="0071782F">
              <w:rPr>
                <w:i/>
                <w:sz w:val="16"/>
                <w:szCs w:val="16"/>
                <w:lang w:val="fr-CH"/>
              </w:rPr>
              <w:t xml:space="preserve">d’unités </w:t>
            </w:r>
          </w:p>
        </w:tc>
        <w:tc>
          <w:tcPr>
            <w:tcW w:w="2409" w:type="dxa"/>
            <w:gridSpan w:val="2"/>
            <w:tcBorders>
              <w:top w:val="single" w:sz="4" w:space="0" w:color="auto"/>
              <w:bottom w:val="single" w:sz="4" w:space="0" w:color="auto"/>
              <w:right w:val="single" w:sz="24" w:space="0" w:color="FFFFFF"/>
            </w:tcBorders>
            <w:shd w:val="clear" w:color="000000" w:fill="auto"/>
            <w:vAlign w:val="bottom"/>
          </w:tcPr>
          <w:p w:rsidR="00DD2B20" w:rsidRPr="0071782F" w:rsidRDefault="00221709" w:rsidP="00D21456">
            <w:pPr>
              <w:suppressAutoHyphens w:val="0"/>
              <w:spacing w:before="80" w:after="80" w:line="200" w:lineRule="exact"/>
              <w:jc w:val="center"/>
              <w:rPr>
                <w:i/>
                <w:sz w:val="16"/>
                <w:szCs w:val="16"/>
                <w:lang w:val="fr-CH"/>
              </w:rPr>
            </w:pPr>
            <w:r w:rsidRPr="0071782F">
              <w:rPr>
                <w:i/>
                <w:sz w:val="16"/>
                <w:szCs w:val="16"/>
                <w:lang w:val="fr-CH"/>
              </w:rPr>
              <w:t>Prog</w:t>
            </w:r>
            <w:r w:rsidR="009C5A32" w:rsidRPr="0071782F">
              <w:rPr>
                <w:i/>
                <w:sz w:val="16"/>
                <w:szCs w:val="16"/>
                <w:lang w:val="fr-CH"/>
              </w:rPr>
              <w:t>r</w:t>
            </w:r>
            <w:r w:rsidRPr="0071782F">
              <w:rPr>
                <w:i/>
                <w:sz w:val="16"/>
                <w:szCs w:val="16"/>
                <w:lang w:val="fr-CH"/>
              </w:rPr>
              <w:t xml:space="preserve">amme </w:t>
            </w:r>
            <w:r w:rsidR="00DD2B20" w:rsidRPr="0071782F">
              <w:rPr>
                <w:i/>
                <w:sz w:val="16"/>
                <w:szCs w:val="16"/>
                <w:lang w:val="fr-CH"/>
              </w:rPr>
              <w:t xml:space="preserve">Shahid Rajaii </w:t>
            </w:r>
          </w:p>
        </w:tc>
        <w:tc>
          <w:tcPr>
            <w:tcW w:w="3401" w:type="dxa"/>
            <w:gridSpan w:val="3"/>
            <w:tcBorders>
              <w:top w:val="single" w:sz="4" w:space="0" w:color="auto"/>
              <w:left w:val="single" w:sz="24" w:space="0" w:color="FFFFFF"/>
              <w:bottom w:val="single" w:sz="4" w:space="0" w:color="auto"/>
            </w:tcBorders>
            <w:shd w:val="clear" w:color="000000" w:fill="auto"/>
            <w:vAlign w:val="bottom"/>
          </w:tcPr>
          <w:p w:rsidR="00DD2B20" w:rsidRPr="0071782F" w:rsidRDefault="00221709" w:rsidP="00D21456">
            <w:pPr>
              <w:suppressAutoHyphens w:val="0"/>
              <w:spacing w:before="80" w:after="80" w:line="200" w:lineRule="exact"/>
              <w:jc w:val="center"/>
              <w:rPr>
                <w:i/>
                <w:sz w:val="16"/>
                <w:szCs w:val="16"/>
                <w:lang w:val="fr-CH"/>
              </w:rPr>
            </w:pPr>
            <w:r w:rsidRPr="0071782F">
              <w:rPr>
                <w:i/>
                <w:sz w:val="16"/>
                <w:szCs w:val="16"/>
                <w:lang w:val="fr-CH"/>
              </w:rPr>
              <w:t xml:space="preserve">Programme en faveur des demandeurs d’aide </w:t>
            </w:r>
          </w:p>
        </w:tc>
      </w:tr>
      <w:tr w:rsidR="00DD2B20" w:rsidRPr="0071782F">
        <w:trPr>
          <w:tblHeader/>
        </w:trPr>
        <w:tc>
          <w:tcPr>
            <w:tcW w:w="561" w:type="dxa"/>
            <w:vMerge/>
            <w:tcBorders>
              <w:top w:val="single" w:sz="12" w:space="0" w:color="auto"/>
              <w:bottom w:val="single" w:sz="12" w:space="0" w:color="auto"/>
            </w:tcBorders>
            <w:shd w:val="clear" w:color="000000" w:fill="auto"/>
            <w:vAlign w:val="bottom"/>
          </w:tcPr>
          <w:p w:rsidR="00DD2B20" w:rsidRPr="0071782F" w:rsidRDefault="00DD2B20" w:rsidP="00D21456">
            <w:pPr>
              <w:suppressAutoHyphens w:val="0"/>
              <w:spacing w:before="80" w:after="80" w:line="200" w:lineRule="exact"/>
              <w:rPr>
                <w:i/>
                <w:sz w:val="16"/>
                <w:szCs w:val="16"/>
                <w:lang w:val="fr-CH"/>
              </w:rPr>
            </w:pPr>
          </w:p>
        </w:tc>
        <w:tc>
          <w:tcPr>
            <w:tcW w:w="999" w:type="dxa"/>
            <w:vMerge/>
            <w:tcBorders>
              <w:top w:val="single" w:sz="12" w:space="0" w:color="auto"/>
              <w:bottom w:val="single" w:sz="12" w:space="0" w:color="auto"/>
            </w:tcBorders>
            <w:shd w:val="clear" w:color="000000" w:fill="auto"/>
            <w:vAlign w:val="bottom"/>
          </w:tcPr>
          <w:p w:rsidR="00DD2B20" w:rsidRPr="0071782F" w:rsidRDefault="00DD2B20" w:rsidP="00D21456">
            <w:pPr>
              <w:suppressAutoHyphens w:val="0"/>
              <w:spacing w:before="80" w:after="80" w:line="200" w:lineRule="exact"/>
              <w:jc w:val="right"/>
              <w:rPr>
                <w:i/>
                <w:sz w:val="16"/>
                <w:szCs w:val="16"/>
                <w:lang w:val="fr-CH"/>
              </w:rPr>
            </w:pPr>
          </w:p>
        </w:tc>
        <w:tc>
          <w:tcPr>
            <w:tcW w:w="1275" w:type="dxa"/>
            <w:tcBorders>
              <w:top w:val="single" w:sz="4" w:space="0" w:color="auto"/>
              <w:bottom w:val="single" w:sz="12" w:space="0" w:color="auto"/>
            </w:tcBorders>
            <w:shd w:val="clear" w:color="000000" w:fill="auto"/>
            <w:vAlign w:val="bottom"/>
          </w:tcPr>
          <w:p w:rsidR="00DD2B20" w:rsidRPr="0071782F" w:rsidRDefault="003B48A4" w:rsidP="00D21456">
            <w:pPr>
              <w:suppressAutoHyphens w:val="0"/>
              <w:spacing w:before="80" w:after="80" w:line="200" w:lineRule="exact"/>
              <w:jc w:val="right"/>
              <w:rPr>
                <w:i/>
                <w:sz w:val="16"/>
                <w:szCs w:val="16"/>
                <w:lang w:val="fr-CH"/>
              </w:rPr>
            </w:pPr>
            <w:r w:rsidRPr="0071782F">
              <w:rPr>
                <w:i/>
                <w:sz w:val="16"/>
                <w:szCs w:val="16"/>
                <w:lang w:val="fr-CH"/>
              </w:rPr>
              <w:t>Nombre</w:t>
            </w:r>
            <w:r w:rsidR="00DD2B20" w:rsidRPr="0071782F">
              <w:rPr>
                <w:i/>
                <w:sz w:val="16"/>
                <w:szCs w:val="16"/>
                <w:lang w:val="fr-CH"/>
              </w:rPr>
              <w:t xml:space="preserve"> </w:t>
            </w:r>
            <w:r w:rsidR="00221709" w:rsidRPr="0071782F">
              <w:rPr>
                <w:i/>
                <w:sz w:val="16"/>
                <w:szCs w:val="16"/>
                <w:lang w:val="fr-CH"/>
              </w:rPr>
              <w:t xml:space="preserve">de demandeurs d’aide </w:t>
            </w:r>
          </w:p>
        </w:tc>
        <w:tc>
          <w:tcPr>
            <w:tcW w:w="1134" w:type="dxa"/>
            <w:tcBorders>
              <w:top w:val="single" w:sz="4" w:space="0" w:color="auto"/>
              <w:bottom w:val="single" w:sz="12" w:space="0" w:color="auto"/>
              <w:right w:val="single" w:sz="24" w:space="0" w:color="FFFFFF"/>
            </w:tcBorders>
            <w:shd w:val="clear" w:color="000000" w:fill="auto"/>
            <w:vAlign w:val="bottom"/>
          </w:tcPr>
          <w:p w:rsidR="00DD2B20" w:rsidRPr="0071782F" w:rsidRDefault="00221709" w:rsidP="00D21456">
            <w:pPr>
              <w:suppressAutoHyphens w:val="0"/>
              <w:spacing w:before="80" w:after="80" w:line="200" w:lineRule="exact"/>
              <w:jc w:val="right"/>
              <w:rPr>
                <w:i/>
                <w:sz w:val="16"/>
                <w:szCs w:val="16"/>
                <w:lang w:val="fr-CH"/>
              </w:rPr>
            </w:pPr>
            <w:r w:rsidRPr="0071782F">
              <w:rPr>
                <w:i/>
                <w:sz w:val="16"/>
                <w:szCs w:val="16"/>
                <w:lang w:val="fr-CH"/>
              </w:rPr>
              <w:t>M</w:t>
            </w:r>
            <w:r w:rsidR="009C5A32" w:rsidRPr="0071782F">
              <w:rPr>
                <w:i/>
                <w:sz w:val="16"/>
                <w:szCs w:val="16"/>
                <w:lang w:val="fr-CH"/>
              </w:rPr>
              <w:t xml:space="preserve">ontant </w:t>
            </w:r>
            <w:r w:rsidRPr="0071782F">
              <w:rPr>
                <w:i/>
                <w:sz w:val="16"/>
                <w:szCs w:val="16"/>
                <w:lang w:val="fr-CH"/>
              </w:rPr>
              <w:t>de la pension</w:t>
            </w:r>
          </w:p>
        </w:tc>
        <w:tc>
          <w:tcPr>
            <w:tcW w:w="1134" w:type="dxa"/>
            <w:tcBorders>
              <w:top w:val="single" w:sz="4" w:space="0" w:color="auto"/>
              <w:left w:val="single" w:sz="24" w:space="0" w:color="FFFFFF"/>
              <w:bottom w:val="single" w:sz="12" w:space="0" w:color="auto"/>
            </w:tcBorders>
            <w:shd w:val="clear" w:color="000000" w:fill="auto"/>
            <w:vAlign w:val="bottom"/>
          </w:tcPr>
          <w:p w:rsidR="00DD2B20" w:rsidRPr="0071782F" w:rsidRDefault="003B48A4" w:rsidP="00D21456">
            <w:pPr>
              <w:suppressAutoHyphens w:val="0"/>
              <w:spacing w:before="80" w:after="80" w:line="200" w:lineRule="exact"/>
              <w:jc w:val="right"/>
              <w:rPr>
                <w:i/>
                <w:sz w:val="16"/>
                <w:szCs w:val="16"/>
                <w:lang w:val="fr-CH"/>
              </w:rPr>
            </w:pPr>
            <w:r w:rsidRPr="0071782F">
              <w:rPr>
                <w:i/>
                <w:sz w:val="16"/>
                <w:szCs w:val="16"/>
                <w:lang w:val="fr-CH"/>
              </w:rPr>
              <w:t>Nombre</w:t>
            </w:r>
            <w:r w:rsidR="00DD2B20" w:rsidRPr="0071782F">
              <w:rPr>
                <w:i/>
                <w:sz w:val="16"/>
                <w:szCs w:val="16"/>
                <w:lang w:val="fr-CH"/>
              </w:rPr>
              <w:t xml:space="preserve"> </w:t>
            </w:r>
            <w:r w:rsidR="00221709" w:rsidRPr="0071782F">
              <w:rPr>
                <w:i/>
                <w:sz w:val="16"/>
                <w:szCs w:val="16"/>
                <w:lang w:val="fr-CH"/>
              </w:rPr>
              <w:t xml:space="preserve">de demandeurs d’aide </w:t>
            </w:r>
            <w:r w:rsidR="00DD2B20" w:rsidRPr="0071782F">
              <w:rPr>
                <w:i/>
                <w:sz w:val="16"/>
                <w:szCs w:val="16"/>
                <w:lang w:val="fr-CH"/>
              </w:rPr>
              <w:t>permanent</w:t>
            </w:r>
            <w:r w:rsidR="00221709" w:rsidRPr="0071782F">
              <w:rPr>
                <w:i/>
                <w:sz w:val="16"/>
                <w:szCs w:val="16"/>
                <w:lang w:val="fr-CH"/>
              </w:rPr>
              <w:t>s</w:t>
            </w:r>
            <w:r w:rsidR="00DD2B20" w:rsidRPr="0071782F">
              <w:rPr>
                <w:i/>
                <w:sz w:val="16"/>
                <w:szCs w:val="16"/>
                <w:lang w:val="fr-CH"/>
              </w:rPr>
              <w:t xml:space="preserve"> </w:t>
            </w:r>
          </w:p>
        </w:tc>
        <w:tc>
          <w:tcPr>
            <w:tcW w:w="1134" w:type="dxa"/>
            <w:tcBorders>
              <w:top w:val="single" w:sz="4" w:space="0" w:color="auto"/>
              <w:bottom w:val="single" w:sz="12" w:space="0" w:color="auto"/>
            </w:tcBorders>
            <w:shd w:val="clear" w:color="000000" w:fill="auto"/>
            <w:vAlign w:val="bottom"/>
          </w:tcPr>
          <w:p w:rsidR="00DD2B20" w:rsidRPr="0071782F" w:rsidRDefault="003B48A4" w:rsidP="00D21456">
            <w:pPr>
              <w:suppressAutoHyphens w:val="0"/>
              <w:spacing w:before="80" w:after="80" w:line="200" w:lineRule="exact"/>
              <w:jc w:val="right"/>
              <w:rPr>
                <w:i/>
                <w:sz w:val="16"/>
                <w:szCs w:val="16"/>
                <w:lang w:val="fr-CH"/>
              </w:rPr>
            </w:pPr>
            <w:r w:rsidRPr="0071782F">
              <w:rPr>
                <w:i/>
                <w:sz w:val="16"/>
                <w:szCs w:val="16"/>
                <w:lang w:val="fr-CH"/>
              </w:rPr>
              <w:t>Nombre</w:t>
            </w:r>
            <w:r w:rsidR="00DD2B20" w:rsidRPr="0071782F">
              <w:rPr>
                <w:i/>
                <w:sz w:val="16"/>
                <w:szCs w:val="16"/>
                <w:lang w:val="fr-CH"/>
              </w:rPr>
              <w:t xml:space="preserve"> </w:t>
            </w:r>
            <w:r w:rsidR="00221709" w:rsidRPr="0071782F">
              <w:rPr>
                <w:i/>
                <w:sz w:val="16"/>
                <w:szCs w:val="16"/>
                <w:lang w:val="fr-CH"/>
              </w:rPr>
              <w:t>de demandeurs d’aide ponctuels</w:t>
            </w:r>
            <w:r w:rsidR="00DD2B20" w:rsidRPr="0071782F">
              <w:rPr>
                <w:i/>
                <w:sz w:val="16"/>
                <w:szCs w:val="16"/>
                <w:lang w:val="fr-CH"/>
              </w:rPr>
              <w:t xml:space="preserve"> </w:t>
            </w:r>
          </w:p>
        </w:tc>
        <w:tc>
          <w:tcPr>
            <w:tcW w:w="1133" w:type="dxa"/>
            <w:tcBorders>
              <w:top w:val="single" w:sz="4" w:space="0" w:color="auto"/>
              <w:bottom w:val="single" w:sz="12" w:space="0" w:color="auto"/>
            </w:tcBorders>
            <w:shd w:val="clear" w:color="000000" w:fill="auto"/>
            <w:vAlign w:val="bottom"/>
          </w:tcPr>
          <w:p w:rsidR="00DD2B20" w:rsidRPr="0071782F" w:rsidRDefault="00221709" w:rsidP="00D21456">
            <w:pPr>
              <w:suppressAutoHyphens w:val="0"/>
              <w:spacing w:before="80" w:after="80" w:line="200" w:lineRule="exact"/>
              <w:jc w:val="right"/>
              <w:rPr>
                <w:i/>
                <w:sz w:val="16"/>
                <w:szCs w:val="16"/>
                <w:lang w:val="fr-CH"/>
              </w:rPr>
            </w:pPr>
            <w:r w:rsidRPr="0071782F">
              <w:rPr>
                <w:i/>
                <w:sz w:val="16"/>
                <w:szCs w:val="16"/>
                <w:lang w:val="fr-CH"/>
              </w:rPr>
              <w:t>M</w:t>
            </w:r>
            <w:r w:rsidR="009C5A32" w:rsidRPr="0071782F">
              <w:rPr>
                <w:i/>
                <w:sz w:val="16"/>
                <w:szCs w:val="16"/>
                <w:lang w:val="fr-CH"/>
              </w:rPr>
              <w:t xml:space="preserve">ontant </w:t>
            </w:r>
            <w:r w:rsidRPr="0071782F">
              <w:rPr>
                <w:i/>
                <w:sz w:val="16"/>
                <w:szCs w:val="16"/>
                <w:lang w:val="fr-CH"/>
              </w:rPr>
              <w:t xml:space="preserve">de la </w:t>
            </w:r>
            <w:r w:rsidR="00DD2B20" w:rsidRPr="0071782F">
              <w:rPr>
                <w:i/>
                <w:sz w:val="16"/>
                <w:szCs w:val="16"/>
                <w:lang w:val="fr-CH"/>
              </w:rPr>
              <w:t>pension</w:t>
            </w:r>
          </w:p>
        </w:tc>
      </w:tr>
      <w:tr w:rsidR="00DD2B20" w:rsidRPr="0071782F">
        <w:tc>
          <w:tcPr>
            <w:tcW w:w="561" w:type="dxa"/>
            <w:tcBorders>
              <w:top w:val="single" w:sz="12" w:space="0" w:color="auto"/>
            </w:tcBorders>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1991</w:t>
            </w:r>
          </w:p>
        </w:tc>
        <w:tc>
          <w:tcPr>
            <w:tcW w:w="999"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1 328</w:t>
            </w:r>
          </w:p>
        </w:tc>
        <w:tc>
          <w:tcPr>
            <w:tcW w:w="1275"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1 500 920</w:t>
            </w:r>
          </w:p>
        </w:tc>
        <w:tc>
          <w:tcPr>
            <w:tcW w:w="1134"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21 345</w:t>
            </w:r>
          </w:p>
        </w:tc>
        <w:tc>
          <w:tcPr>
            <w:tcW w:w="1134"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994 074</w:t>
            </w:r>
          </w:p>
        </w:tc>
        <w:tc>
          <w:tcPr>
            <w:tcW w:w="1134"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184 697</w:t>
            </w:r>
          </w:p>
        </w:tc>
        <w:tc>
          <w:tcPr>
            <w:tcW w:w="1133"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21 945</w:t>
            </w:r>
          </w:p>
        </w:tc>
      </w:tr>
      <w:tr w:rsidR="00DD2B20" w:rsidRPr="0071782F">
        <w:tc>
          <w:tcPr>
            <w:tcW w:w="561"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1996</w:t>
            </w:r>
          </w:p>
        </w:tc>
        <w:tc>
          <w:tcPr>
            <w:tcW w:w="999"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1 138</w:t>
            </w:r>
          </w:p>
        </w:tc>
        <w:tc>
          <w:tcPr>
            <w:tcW w:w="1275"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1 502 399</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254 546</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1 740 266</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779 947</w:t>
            </w:r>
          </w:p>
        </w:tc>
        <w:tc>
          <w:tcPr>
            <w:tcW w:w="1133"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290 279</w:t>
            </w:r>
          </w:p>
        </w:tc>
      </w:tr>
      <w:tr w:rsidR="00DD2B20" w:rsidRPr="0071782F">
        <w:tc>
          <w:tcPr>
            <w:tcW w:w="561"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2001</w:t>
            </w:r>
          </w:p>
        </w:tc>
        <w:tc>
          <w:tcPr>
            <w:tcW w:w="999"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1 884</w:t>
            </w:r>
          </w:p>
        </w:tc>
        <w:tc>
          <w:tcPr>
            <w:tcW w:w="1275"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1 580 151</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689 311</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2 570 009</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1 900 411</w:t>
            </w:r>
          </w:p>
        </w:tc>
        <w:tc>
          <w:tcPr>
            <w:tcW w:w="1133"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1 300 070</w:t>
            </w:r>
          </w:p>
        </w:tc>
      </w:tr>
      <w:tr w:rsidR="00DD2B20" w:rsidRPr="0071782F">
        <w:tc>
          <w:tcPr>
            <w:tcW w:w="561"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2003</w:t>
            </w:r>
          </w:p>
        </w:tc>
        <w:tc>
          <w:tcPr>
            <w:tcW w:w="999"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1 410</w:t>
            </w:r>
          </w:p>
        </w:tc>
        <w:tc>
          <w:tcPr>
            <w:tcW w:w="1275"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1 497 652</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819 478</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2 558 405</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1 978 243</w:t>
            </w:r>
          </w:p>
        </w:tc>
        <w:tc>
          <w:tcPr>
            <w:tcW w:w="1133"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1 798 206</w:t>
            </w:r>
          </w:p>
        </w:tc>
      </w:tr>
      <w:tr w:rsidR="00DD2B20" w:rsidRPr="0071782F">
        <w:tc>
          <w:tcPr>
            <w:tcW w:w="561"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2004</w:t>
            </w:r>
          </w:p>
        </w:tc>
        <w:tc>
          <w:tcPr>
            <w:tcW w:w="999"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1 337</w:t>
            </w:r>
          </w:p>
        </w:tc>
        <w:tc>
          <w:tcPr>
            <w:tcW w:w="1275"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1 480 390</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1 757 008</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2 553 184</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1 906 724</w:t>
            </w:r>
          </w:p>
        </w:tc>
        <w:tc>
          <w:tcPr>
            <w:tcW w:w="1133"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3 775 201</w:t>
            </w:r>
          </w:p>
        </w:tc>
      </w:tr>
      <w:tr w:rsidR="00DD2B20" w:rsidRPr="0071782F">
        <w:tc>
          <w:tcPr>
            <w:tcW w:w="561"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2005</w:t>
            </w:r>
          </w:p>
        </w:tc>
        <w:tc>
          <w:tcPr>
            <w:tcW w:w="999"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1 339</w:t>
            </w:r>
          </w:p>
        </w:tc>
        <w:tc>
          <w:tcPr>
            <w:tcW w:w="1275"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1 492 678</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2 729 107</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2 618 292</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1 767 686</w:t>
            </w:r>
          </w:p>
        </w:tc>
        <w:tc>
          <w:tcPr>
            <w:tcW w:w="1133"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5 717 819</w:t>
            </w:r>
          </w:p>
        </w:tc>
      </w:tr>
      <w:tr w:rsidR="00DD2B20" w:rsidRPr="0071782F">
        <w:tc>
          <w:tcPr>
            <w:tcW w:w="561"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2006</w:t>
            </w:r>
          </w:p>
        </w:tc>
        <w:tc>
          <w:tcPr>
            <w:tcW w:w="999"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1 357</w:t>
            </w:r>
          </w:p>
        </w:tc>
        <w:tc>
          <w:tcPr>
            <w:tcW w:w="1275"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1 485 084</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2 426 315</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2 665 416</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2 908 201</w:t>
            </w:r>
          </w:p>
        </w:tc>
        <w:tc>
          <w:tcPr>
            <w:tcW w:w="1133"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7 364 763</w:t>
            </w:r>
          </w:p>
        </w:tc>
      </w:tr>
      <w:tr w:rsidR="00DD2B20" w:rsidRPr="0071782F">
        <w:tc>
          <w:tcPr>
            <w:tcW w:w="561"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2007</w:t>
            </w:r>
          </w:p>
        </w:tc>
        <w:tc>
          <w:tcPr>
            <w:tcW w:w="999"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1 353</w:t>
            </w:r>
          </w:p>
        </w:tc>
        <w:tc>
          <w:tcPr>
            <w:tcW w:w="1275"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1 560 575</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2 870 131</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2 973 654</w:t>
            </w:r>
          </w:p>
        </w:tc>
        <w:tc>
          <w:tcPr>
            <w:tcW w:w="1134"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2 965 039</w:t>
            </w:r>
          </w:p>
        </w:tc>
        <w:tc>
          <w:tcPr>
            <w:tcW w:w="1133"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11 637 892</w:t>
            </w:r>
          </w:p>
        </w:tc>
      </w:tr>
    </w:tbl>
    <w:p w:rsidR="00DD2B20" w:rsidRPr="0071782F" w:rsidRDefault="00DD2B20" w:rsidP="00DD2B20">
      <w:pPr>
        <w:pStyle w:val="H23G"/>
        <w:rPr>
          <w:lang w:val="fr-CH"/>
        </w:rPr>
      </w:pPr>
      <w:r w:rsidRPr="0071782F">
        <w:rPr>
          <w:lang w:val="fr-CH"/>
        </w:rPr>
        <w:tab/>
      </w:r>
      <w:r w:rsidRPr="0071782F">
        <w:rPr>
          <w:lang w:val="fr-CH"/>
        </w:rPr>
        <w:tab/>
        <w:t xml:space="preserve">Services </w:t>
      </w:r>
      <w:r w:rsidR="00221709" w:rsidRPr="0071782F">
        <w:rPr>
          <w:lang w:val="fr-CH"/>
        </w:rPr>
        <w:t>fournis aux demandeurs d’aide par le Comité de secours de l’Imam Khomeini (montants exprimés en</w:t>
      </w:r>
      <w:r w:rsidR="00097CDB" w:rsidRPr="0071782F">
        <w:rPr>
          <w:lang w:val="fr-CH"/>
        </w:rPr>
        <w:t> millions</w:t>
      </w:r>
      <w:r w:rsidR="00221709" w:rsidRPr="0071782F">
        <w:rPr>
          <w:lang w:val="fr-CH"/>
        </w:rPr>
        <w:t xml:space="preserve"> </w:t>
      </w:r>
      <w:r w:rsidR="003B1403" w:rsidRPr="0071782F">
        <w:rPr>
          <w:lang w:val="fr-CH"/>
        </w:rPr>
        <w:t>de rials</w:t>
      </w:r>
      <w:r w:rsidR="00221709" w:rsidRPr="0071782F">
        <w:rPr>
          <w:lang w:val="fr-CH"/>
        </w:rPr>
        <w:t>)</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562"/>
        <w:gridCol w:w="1281"/>
        <w:gridCol w:w="1050"/>
        <w:gridCol w:w="935"/>
        <w:gridCol w:w="992"/>
        <w:gridCol w:w="850"/>
        <w:gridCol w:w="851"/>
        <w:gridCol w:w="849"/>
      </w:tblGrid>
      <w:tr w:rsidR="00DD2B20" w:rsidRPr="0071782F">
        <w:trPr>
          <w:tblHeader/>
        </w:trPr>
        <w:tc>
          <w:tcPr>
            <w:tcW w:w="562" w:type="dxa"/>
            <w:vMerge w:val="restart"/>
            <w:tcBorders>
              <w:top w:val="single" w:sz="4" w:space="0" w:color="auto"/>
              <w:bottom w:val="single" w:sz="12" w:space="0" w:color="auto"/>
            </w:tcBorders>
            <w:shd w:val="clear" w:color="000000" w:fill="auto"/>
            <w:vAlign w:val="bottom"/>
          </w:tcPr>
          <w:p w:rsidR="00DD2B20" w:rsidRPr="0071782F" w:rsidRDefault="00221709" w:rsidP="00D21456">
            <w:pPr>
              <w:suppressAutoHyphens w:val="0"/>
              <w:spacing w:before="80" w:after="80" w:line="200" w:lineRule="exact"/>
              <w:rPr>
                <w:i/>
                <w:sz w:val="16"/>
                <w:szCs w:val="16"/>
                <w:lang w:val="fr-CH"/>
              </w:rPr>
            </w:pPr>
            <w:r w:rsidRPr="0071782F">
              <w:rPr>
                <w:i/>
                <w:sz w:val="16"/>
                <w:szCs w:val="16"/>
                <w:lang w:val="fr-CH"/>
              </w:rPr>
              <w:t>Année</w:t>
            </w:r>
          </w:p>
        </w:tc>
        <w:tc>
          <w:tcPr>
            <w:tcW w:w="3266" w:type="dxa"/>
            <w:gridSpan w:val="3"/>
            <w:tcBorders>
              <w:top w:val="single" w:sz="4" w:space="0" w:color="auto"/>
              <w:bottom w:val="single" w:sz="4" w:space="0" w:color="auto"/>
              <w:right w:val="single" w:sz="24" w:space="0" w:color="FFFFFF"/>
            </w:tcBorders>
            <w:shd w:val="clear" w:color="000000" w:fill="auto"/>
            <w:vAlign w:val="bottom"/>
          </w:tcPr>
          <w:p w:rsidR="00DD2B20" w:rsidRPr="0071782F" w:rsidRDefault="00B80CD1" w:rsidP="00D21456">
            <w:pPr>
              <w:suppressAutoHyphens w:val="0"/>
              <w:spacing w:before="80" w:after="80" w:line="200" w:lineRule="exact"/>
              <w:jc w:val="center"/>
              <w:rPr>
                <w:i/>
                <w:sz w:val="16"/>
                <w:szCs w:val="16"/>
                <w:lang w:val="fr-CH"/>
              </w:rPr>
            </w:pPr>
            <w:r w:rsidRPr="0071782F">
              <w:rPr>
                <w:i/>
                <w:sz w:val="16"/>
                <w:szCs w:val="16"/>
                <w:lang w:val="fr-CH"/>
              </w:rPr>
              <w:t>S</w:t>
            </w:r>
            <w:r w:rsidR="00DD2B20" w:rsidRPr="0071782F">
              <w:rPr>
                <w:i/>
                <w:sz w:val="16"/>
                <w:szCs w:val="16"/>
                <w:lang w:val="fr-CH"/>
              </w:rPr>
              <w:t xml:space="preserve">ervices </w:t>
            </w:r>
            <w:r w:rsidRPr="0071782F">
              <w:rPr>
                <w:i/>
                <w:sz w:val="16"/>
                <w:szCs w:val="16"/>
                <w:lang w:val="fr-CH"/>
              </w:rPr>
              <w:t xml:space="preserve">médicaux et assurance </w:t>
            </w:r>
          </w:p>
        </w:tc>
        <w:tc>
          <w:tcPr>
            <w:tcW w:w="1842"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DD2B20" w:rsidRPr="0071782F" w:rsidRDefault="00B80CD1" w:rsidP="00D21456">
            <w:pPr>
              <w:suppressAutoHyphens w:val="0"/>
              <w:spacing w:before="80" w:after="80" w:line="200" w:lineRule="exact"/>
              <w:jc w:val="center"/>
              <w:rPr>
                <w:i/>
                <w:sz w:val="16"/>
                <w:szCs w:val="16"/>
                <w:lang w:val="fr-CH"/>
              </w:rPr>
            </w:pPr>
            <w:r w:rsidRPr="0071782F">
              <w:rPr>
                <w:i/>
                <w:sz w:val="16"/>
                <w:szCs w:val="16"/>
                <w:lang w:val="fr-CH"/>
              </w:rPr>
              <w:t xml:space="preserve">Services éducatifs et culturels </w:t>
            </w:r>
          </w:p>
        </w:tc>
        <w:tc>
          <w:tcPr>
            <w:tcW w:w="1700" w:type="dxa"/>
            <w:gridSpan w:val="2"/>
            <w:tcBorders>
              <w:top w:val="single" w:sz="4" w:space="0" w:color="auto"/>
              <w:left w:val="single" w:sz="24" w:space="0" w:color="FFFFFF"/>
              <w:bottom w:val="single" w:sz="4" w:space="0" w:color="auto"/>
            </w:tcBorders>
            <w:shd w:val="clear" w:color="000000" w:fill="auto"/>
            <w:vAlign w:val="bottom"/>
          </w:tcPr>
          <w:p w:rsidR="00DD2B20" w:rsidRPr="0071782F" w:rsidRDefault="00B80CD1" w:rsidP="00D21456">
            <w:pPr>
              <w:suppressAutoHyphens w:val="0"/>
              <w:spacing w:before="80" w:after="80" w:line="200" w:lineRule="exact"/>
              <w:jc w:val="center"/>
              <w:rPr>
                <w:i/>
                <w:sz w:val="16"/>
                <w:szCs w:val="16"/>
                <w:lang w:val="fr-CH"/>
              </w:rPr>
            </w:pPr>
            <w:r w:rsidRPr="0071782F">
              <w:rPr>
                <w:i/>
                <w:sz w:val="16"/>
                <w:szCs w:val="16"/>
                <w:lang w:val="fr-CH"/>
              </w:rPr>
              <w:t>S</w:t>
            </w:r>
            <w:r w:rsidR="00DD2B20" w:rsidRPr="0071782F">
              <w:rPr>
                <w:i/>
                <w:sz w:val="16"/>
                <w:szCs w:val="16"/>
                <w:lang w:val="fr-CH"/>
              </w:rPr>
              <w:t>ervices</w:t>
            </w:r>
            <w:r w:rsidRPr="0071782F">
              <w:rPr>
                <w:i/>
                <w:sz w:val="16"/>
                <w:szCs w:val="16"/>
                <w:lang w:val="fr-CH"/>
              </w:rPr>
              <w:t xml:space="preserve"> de développement</w:t>
            </w:r>
          </w:p>
        </w:tc>
      </w:tr>
      <w:tr w:rsidR="00DD2B20" w:rsidRPr="0071782F">
        <w:trPr>
          <w:tblHeader/>
        </w:trPr>
        <w:tc>
          <w:tcPr>
            <w:tcW w:w="562" w:type="dxa"/>
            <w:vMerge/>
            <w:tcBorders>
              <w:top w:val="single" w:sz="12" w:space="0" w:color="auto"/>
              <w:bottom w:val="single" w:sz="12" w:space="0" w:color="auto"/>
            </w:tcBorders>
            <w:shd w:val="clear" w:color="000000" w:fill="auto"/>
            <w:vAlign w:val="bottom"/>
          </w:tcPr>
          <w:p w:rsidR="00DD2B20" w:rsidRPr="0071782F" w:rsidRDefault="00DD2B20" w:rsidP="00D21456">
            <w:pPr>
              <w:suppressAutoHyphens w:val="0"/>
              <w:spacing w:before="80" w:after="80" w:line="200" w:lineRule="exact"/>
              <w:rPr>
                <w:i/>
                <w:sz w:val="16"/>
                <w:szCs w:val="16"/>
                <w:lang w:val="fr-CH"/>
              </w:rPr>
            </w:pPr>
          </w:p>
        </w:tc>
        <w:tc>
          <w:tcPr>
            <w:tcW w:w="1281" w:type="dxa"/>
            <w:tcBorders>
              <w:top w:val="single" w:sz="4" w:space="0" w:color="auto"/>
              <w:bottom w:val="single" w:sz="12" w:space="0" w:color="auto"/>
            </w:tcBorders>
            <w:shd w:val="clear" w:color="000000" w:fill="auto"/>
            <w:vAlign w:val="bottom"/>
          </w:tcPr>
          <w:p w:rsidR="00DD2B20" w:rsidRPr="0071782F" w:rsidRDefault="00B80CD1" w:rsidP="00D21456">
            <w:pPr>
              <w:suppressAutoHyphens w:val="0"/>
              <w:spacing w:before="80" w:after="80" w:line="200" w:lineRule="exact"/>
              <w:jc w:val="right"/>
              <w:rPr>
                <w:i/>
                <w:sz w:val="16"/>
                <w:szCs w:val="16"/>
                <w:lang w:val="fr-CH"/>
              </w:rPr>
            </w:pPr>
            <w:r w:rsidRPr="0071782F">
              <w:rPr>
                <w:i/>
                <w:sz w:val="16"/>
                <w:szCs w:val="16"/>
                <w:lang w:val="fr-CH"/>
              </w:rPr>
              <w:t>Nombre de demandeurs d’aide permanents</w:t>
            </w:r>
          </w:p>
        </w:tc>
        <w:tc>
          <w:tcPr>
            <w:tcW w:w="1050" w:type="dxa"/>
            <w:tcBorders>
              <w:top w:val="single" w:sz="4" w:space="0" w:color="auto"/>
              <w:bottom w:val="single" w:sz="12" w:space="0" w:color="auto"/>
            </w:tcBorders>
            <w:shd w:val="clear" w:color="000000" w:fill="auto"/>
            <w:vAlign w:val="bottom"/>
          </w:tcPr>
          <w:p w:rsidR="00DD2B20" w:rsidRPr="0071782F" w:rsidRDefault="00B80CD1" w:rsidP="00D21456">
            <w:pPr>
              <w:suppressAutoHyphens w:val="0"/>
              <w:spacing w:before="80" w:after="80" w:line="200" w:lineRule="exact"/>
              <w:jc w:val="right"/>
              <w:rPr>
                <w:i/>
                <w:sz w:val="16"/>
                <w:szCs w:val="16"/>
                <w:lang w:val="fr-CH"/>
              </w:rPr>
            </w:pPr>
            <w:r w:rsidRPr="0071782F">
              <w:rPr>
                <w:i/>
                <w:sz w:val="16"/>
                <w:szCs w:val="16"/>
                <w:lang w:val="fr-CH"/>
              </w:rPr>
              <w:t>Nombre de demandeurs d’aide ponctuels</w:t>
            </w:r>
          </w:p>
        </w:tc>
        <w:tc>
          <w:tcPr>
            <w:tcW w:w="935" w:type="dxa"/>
            <w:tcBorders>
              <w:top w:val="single" w:sz="4" w:space="0" w:color="auto"/>
              <w:bottom w:val="single" w:sz="12" w:space="0" w:color="auto"/>
              <w:right w:val="single" w:sz="24" w:space="0" w:color="FFFFFF"/>
            </w:tcBorders>
            <w:shd w:val="clear" w:color="000000" w:fill="auto"/>
            <w:vAlign w:val="bottom"/>
          </w:tcPr>
          <w:p w:rsidR="00DD2B20" w:rsidRPr="0071782F" w:rsidRDefault="00B80CD1" w:rsidP="00D21456">
            <w:pPr>
              <w:suppressAutoHyphens w:val="0"/>
              <w:spacing w:before="80" w:after="80" w:line="200" w:lineRule="exact"/>
              <w:jc w:val="right"/>
              <w:rPr>
                <w:i/>
                <w:sz w:val="16"/>
                <w:szCs w:val="16"/>
                <w:lang w:val="fr-CH"/>
              </w:rPr>
            </w:pPr>
            <w:r w:rsidRPr="0071782F">
              <w:rPr>
                <w:i/>
                <w:sz w:val="16"/>
                <w:szCs w:val="16"/>
                <w:lang w:val="fr-CH"/>
              </w:rPr>
              <w:t xml:space="preserve">Dépenses </w:t>
            </w:r>
          </w:p>
        </w:tc>
        <w:tc>
          <w:tcPr>
            <w:tcW w:w="992" w:type="dxa"/>
            <w:tcBorders>
              <w:top w:val="single" w:sz="4" w:space="0" w:color="auto"/>
              <w:left w:val="single" w:sz="24" w:space="0" w:color="FFFFFF"/>
              <w:bottom w:val="single" w:sz="12" w:space="0" w:color="auto"/>
            </w:tcBorders>
            <w:shd w:val="clear" w:color="000000" w:fill="auto"/>
            <w:vAlign w:val="bottom"/>
          </w:tcPr>
          <w:p w:rsidR="00DD2B20" w:rsidRPr="0071782F" w:rsidRDefault="003B48A4" w:rsidP="00D21456">
            <w:pPr>
              <w:suppressAutoHyphens w:val="0"/>
              <w:spacing w:before="80" w:after="80" w:line="200" w:lineRule="exact"/>
              <w:jc w:val="right"/>
              <w:rPr>
                <w:i/>
                <w:sz w:val="16"/>
                <w:szCs w:val="16"/>
                <w:lang w:val="fr-CH"/>
              </w:rPr>
            </w:pPr>
            <w:r w:rsidRPr="0071782F">
              <w:rPr>
                <w:i/>
                <w:sz w:val="16"/>
                <w:szCs w:val="16"/>
                <w:lang w:val="fr-CH"/>
              </w:rPr>
              <w:t>Nombre</w:t>
            </w:r>
            <w:r w:rsidR="00DD2B20" w:rsidRPr="0071782F">
              <w:rPr>
                <w:i/>
                <w:sz w:val="16"/>
                <w:szCs w:val="16"/>
                <w:lang w:val="fr-CH"/>
              </w:rPr>
              <w:t xml:space="preserve"> </w:t>
            </w:r>
            <w:r w:rsidR="00B80CD1" w:rsidRPr="0071782F">
              <w:rPr>
                <w:i/>
                <w:sz w:val="16"/>
                <w:szCs w:val="16"/>
                <w:lang w:val="fr-CH"/>
              </w:rPr>
              <w:t xml:space="preserve">d’utilisateurs de </w:t>
            </w:r>
            <w:r w:rsidR="00DD2B20" w:rsidRPr="0071782F">
              <w:rPr>
                <w:i/>
                <w:sz w:val="16"/>
                <w:szCs w:val="16"/>
                <w:lang w:val="fr-CH"/>
              </w:rPr>
              <w:t>service</w:t>
            </w:r>
            <w:r w:rsidR="00B80CD1" w:rsidRPr="0071782F">
              <w:rPr>
                <w:i/>
                <w:sz w:val="16"/>
                <w:szCs w:val="16"/>
                <w:lang w:val="fr-CH"/>
              </w:rPr>
              <w:t>s</w:t>
            </w:r>
            <w:r w:rsidR="00DD2B20" w:rsidRPr="0071782F">
              <w:rPr>
                <w:i/>
                <w:sz w:val="16"/>
                <w:szCs w:val="16"/>
                <w:lang w:val="fr-CH"/>
              </w:rPr>
              <w:t xml:space="preserve"> (</w:t>
            </w:r>
            <w:r w:rsidR="00B80CD1" w:rsidRPr="0071782F">
              <w:rPr>
                <w:i/>
                <w:sz w:val="16"/>
                <w:szCs w:val="16"/>
                <w:lang w:val="fr-CH"/>
              </w:rPr>
              <w:t>étudiants</w:t>
            </w:r>
            <w:r w:rsidR="00DD2B20" w:rsidRPr="0071782F">
              <w:rPr>
                <w:i/>
                <w:sz w:val="16"/>
                <w:szCs w:val="16"/>
                <w:lang w:val="fr-CH"/>
              </w:rPr>
              <w:t>)</w:t>
            </w:r>
          </w:p>
        </w:tc>
        <w:tc>
          <w:tcPr>
            <w:tcW w:w="850" w:type="dxa"/>
            <w:tcBorders>
              <w:top w:val="single" w:sz="4" w:space="0" w:color="auto"/>
              <w:bottom w:val="single" w:sz="12" w:space="0" w:color="auto"/>
              <w:right w:val="single" w:sz="24" w:space="0" w:color="FFFFFF"/>
            </w:tcBorders>
            <w:shd w:val="clear" w:color="000000" w:fill="auto"/>
            <w:vAlign w:val="bottom"/>
          </w:tcPr>
          <w:p w:rsidR="00DD2B20" w:rsidRPr="0071782F" w:rsidRDefault="00B80CD1" w:rsidP="00D21456">
            <w:pPr>
              <w:suppressAutoHyphens w:val="0"/>
              <w:spacing w:before="80" w:after="80" w:line="200" w:lineRule="exact"/>
              <w:jc w:val="right"/>
              <w:rPr>
                <w:i/>
                <w:sz w:val="16"/>
                <w:szCs w:val="16"/>
                <w:lang w:val="fr-CH"/>
              </w:rPr>
            </w:pPr>
            <w:r w:rsidRPr="0071782F">
              <w:rPr>
                <w:i/>
                <w:sz w:val="16"/>
                <w:szCs w:val="16"/>
                <w:lang w:val="fr-CH"/>
              </w:rPr>
              <w:t>Dépenses</w:t>
            </w:r>
          </w:p>
        </w:tc>
        <w:tc>
          <w:tcPr>
            <w:tcW w:w="851" w:type="dxa"/>
            <w:tcBorders>
              <w:top w:val="single" w:sz="4" w:space="0" w:color="auto"/>
              <w:left w:val="single" w:sz="24" w:space="0" w:color="FFFFFF"/>
              <w:bottom w:val="single" w:sz="12" w:space="0" w:color="auto"/>
            </w:tcBorders>
            <w:shd w:val="clear" w:color="000000" w:fill="auto"/>
            <w:vAlign w:val="bottom"/>
          </w:tcPr>
          <w:p w:rsidR="00DD2B20" w:rsidRPr="0071782F" w:rsidRDefault="003B48A4" w:rsidP="00D21456">
            <w:pPr>
              <w:suppressAutoHyphens w:val="0"/>
              <w:spacing w:before="80" w:after="80" w:line="200" w:lineRule="exact"/>
              <w:jc w:val="right"/>
              <w:rPr>
                <w:i/>
                <w:sz w:val="16"/>
                <w:szCs w:val="16"/>
                <w:lang w:val="fr-CH"/>
              </w:rPr>
            </w:pPr>
            <w:r w:rsidRPr="0071782F">
              <w:rPr>
                <w:i/>
                <w:sz w:val="16"/>
                <w:szCs w:val="16"/>
                <w:lang w:val="fr-CH"/>
              </w:rPr>
              <w:t>Nombre</w:t>
            </w:r>
          </w:p>
        </w:tc>
        <w:tc>
          <w:tcPr>
            <w:tcW w:w="849" w:type="dxa"/>
            <w:tcBorders>
              <w:top w:val="single" w:sz="4" w:space="0" w:color="auto"/>
              <w:bottom w:val="single" w:sz="12" w:space="0" w:color="auto"/>
            </w:tcBorders>
            <w:shd w:val="clear" w:color="000000" w:fill="auto"/>
            <w:vAlign w:val="bottom"/>
          </w:tcPr>
          <w:p w:rsidR="00DD2B20" w:rsidRPr="0071782F" w:rsidRDefault="00B80CD1" w:rsidP="00D21456">
            <w:pPr>
              <w:suppressAutoHyphens w:val="0"/>
              <w:spacing w:before="80" w:after="80" w:line="200" w:lineRule="exact"/>
              <w:jc w:val="right"/>
              <w:rPr>
                <w:i/>
                <w:sz w:val="16"/>
                <w:szCs w:val="16"/>
                <w:lang w:val="fr-CH"/>
              </w:rPr>
            </w:pPr>
            <w:r w:rsidRPr="0071782F">
              <w:rPr>
                <w:i/>
                <w:sz w:val="16"/>
                <w:szCs w:val="16"/>
                <w:lang w:val="fr-CH"/>
              </w:rPr>
              <w:t>Montant monétaire</w:t>
            </w:r>
          </w:p>
        </w:tc>
      </w:tr>
      <w:tr w:rsidR="00DD2B20" w:rsidRPr="0071782F">
        <w:tc>
          <w:tcPr>
            <w:tcW w:w="562" w:type="dxa"/>
            <w:tcBorders>
              <w:top w:val="single" w:sz="12" w:space="0" w:color="auto"/>
            </w:tcBorders>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1991</w:t>
            </w:r>
          </w:p>
        </w:tc>
        <w:tc>
          <w:tcPr>
            <w:tcW w:w="1281"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2 494 994</w:t>
            </w:r>
          </w:p>
        </w:tc>
        <w:tc>
          <w:tcPr>
            <w:tcW w:w="1050"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55 148</w:t>
            </w:r>
          </w:p>
        </w:tc>
        <w:tc>
          <w:tcPr>
            <w:tcW w:w="935"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4 875</w:t>
            </w:r>
          </w:p>
        </w:tc>
        <w:tc>
          <w:tcPr>
            <w:tcW w:w="992"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309 300</w:t>
            </w:r>
          </w:p>
        </w:tc>
        <w:tc>
          <w:tcPr>
            <w:tcW w:w="850"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3 274</w:t>
            </w:r>
          </w:p>
        </w:tc>
        <w:tc>
          <w:tcPr>
            <w:tcW w:w="851"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8 145</w:t>
            </w:r>
          </w:p>
        </w:tc>
        <w:tc>
          <w:tcPr>
            <w:tcW w:w="849"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2 896</w:t>
            </w:r>
          </w:p>
        </w:tc>
      </w:tr>
      <w:tr w:rsidR="00DD2B20" w:rsidRPr="0071782F">
        <w:tc>
          <w:tcPr>
            <w:tcW w:w="562"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1996</w:t>
            </w:r>
          </w:p>
        </w:tc>
        <w:tc>
          <w:tcPr>
            <w:tcW w:w="128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4 330 000</w:t>
            </w:r>
          </w:p>
        </w:tc>
        <w:tc>
          <w:tcPr>
            <w:tcW w:w="105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110 891</w:t>
            </w:r>
          </w:p>
        </w:tc>
        <w:tc>
          <w:tcPr>
            <w:tcW w:w="935"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282 195</w:t>
            </w:r>
          </w:p>
        </w:tc>
        <w:tc>
          <w:tcPr>
            <w:tcW w:w="992"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769 313</w:t>
            </w:r>
          </w:p>
        </w:tc>
        <w:tc>
          <w:tcPr>
            <w:tcW w:w="85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41 506</w:t>
            </w:r>
          </w:p>
        </w:tc>
        <w:tc>
          <w:tcPr>
            <w:tcW w:w="85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26 081</w:t>
            </w:r>
          </w:p>
        </w:tc>
        <w:tc>
          <w:tcPr>
            <w:tcW w:w="849"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32 479</w:t>
            </w:r>
          </w:p>
        </w:tc>
      </w:tr>
      <w:tr w:rsidR="00DD2B20" w:rsidRPr="0071782F">
        <w:tc>
          <w:tcPr>
            <w:tcW w:w="562"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2001</w:t>
            </w:r>
          </w:p>
        </w:tc>
        <w:tc>
          <w:tcPr>
            <w:tcW w:w="128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5 346 606</w:t>
            </w:r>
          </w:p>
        </w:tc>
        <w:tc>
          <w:tcPr>
            <w:tcW w:w="105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129 733</w:t>
            </w:r>
          </w:p>
        </w:tc>
        <w:tc>
          <w:tcPr>
            <w:tcW w:w="935"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461 634</w:t>
            </w:r>
          </w:p>
        </w:tc>
        <w:tc>
          <w:tcPr>
            <w:tcW w:w="992"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1 089 746</w:t>
            </w:r>
          </w:p>
        </w:tc>
        <w:tc>
          <w:tcPr>
            <w:tcW w:w="85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191 536</w:t>
            </w:r>
          </w:p>
        </w:tc>
        <w:tc>
          <w:tcPr>
            <w:tcW w:w="85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69 673</w:t>
            </w:r>
          </w:p>
        </w:tc>
        <w:tc>
          <w:tcPr>
            <w:tcW w:w="849"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160 657</w:t>
            </w:r>
          </w:p>
        </w:tc>
      </w:tr>
      <w:tr w:rsidR="00DD2B20" w:rsidRPr="0071782F">
        <w:tc>
          <w:tcPr>
            <w:tcW w:w="562"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2003</w:t>
            </w:r>
          </w:p>
        </w:tc>
        <w:tc>
          <w:tcPr>
            <w:tcW w:w="128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3 918 226</w:t>
            </w:r>
          </w:p>
        </w:tc>
        <w:tc>
          <w:tcPr>
            <w:tcW w:w="105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117 065</w:t>
            </w:r>
          </w:p>
        </w:tc>
        <w:tc>
          <w:tcPr>
            <w:tcW w:w="935"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578 930</w:t>
            </w:r>
          </w:p>
        </w:tc>
        <w:tc>
          <w:tcPr>
            <w:tcW w:w="992"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993 669</w:t>
            </w:r>
          </w:p>
        </w:tc>
        <w:tc>
          <w:tcPr>
            <w:tcW w:w="85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174 364</w:t>
            </w:r>
          </w:p>
        </w:tc>
        <w:tc>
          <w:tcPr>
            <w:tcW w:w="85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56 479</w:t>
            </w:r>
          </w:p>
        </w:tc>
        <w:tc>
          <w:tcPr>
            <w:tcW w:w="849"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165 254</w:t>
            </w:r>
          </w:p>
        </w:tc>
      </w:tr>
      <w:tr w:rsidR="00DD2B20" w:rsidRPr="0071782F">
        <w:tc>
          <w:tcPr>
            <w:tcW w:w="562"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2004</w:t>
            </w:r>
          </w:p>
        </w:tc>
        <w:tc>
          <w:tcPr>
            <w:tcW w:w="128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3 896 304</w:t>
            </w:r>
          </w:p>
        </w:tc>
        <w:tc>
          <w:tcPr>
            <w:tcW w:w="105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87 875</w:t>
            </w:r>
          </w:p>
        </w:tc>
        <w:tc>
          <w:tcPr>
            <w:tcW w:w="935"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621 997</w:t>
            </w:r>
          </w:p>
        </w:tc>
        <w:tc>
          <w:tcPr>
            <w:tcW w:w="992"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916 892</w:t>
            </w:r>
          </w:p>
        </w:tc>
        <w:tc>
          <w:tcPr>
            <w:tcW w:w="85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229 656</w:t>
            </w:r>
          </w:p>
        </w:tc>
        <w:tc>
          <w:tcPr>
            <w:tcW w:w="85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55 972</w:t>
            </w:r>
          </w:p>
        </w:tc>
        <w:tc>
          <w:tcPr>
            <w:tcW w:w="849"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218 767</w:t>
            </w:r>
          </w:p>
        </w:tc>
      </w:tr>
      <w:tr w:rsidR="00DD2B20" w:rsidRPr="0071782F">
        <w:tc>
          <w:tcPr>
            <w:tcW w:w="562"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2005</w:t>
            </w:r>
          </w:p>
        </w:tc>
        <w:tc>
          <w:tcPr>
            <w:tcW w:w="128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3 914 241</w:t>
            </w:r>
          </w:p>
        </w:tc>
        <w:tc>
          <w:tcPr>
            <w:tcW w:w="105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69 408</w:t>
            </w:r>
          </w:p>
        </w:tc>
        <w:tc>
          <w:tcPr>
            <w:tcW w:w="935"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814 025</w:t>
            </w:r>
          </w:p>
        </w:tc>
        <w:tc>
          <w:tcPr>
            <w:tcW w:w="992"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870 493</w:t>
            </w:r>
          </w:p>
        </w:tc>
        <w:tc>
          <w:tcPr>
            <w:tcW w:w="85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413 582</w:t>
            </w:r>
          </w:p>
        </w:tc>
        <w:tc>
          <w:tcPr>
            <w:tcW w:w="85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82 640</w:t>
            </w:r>
          </w:p>
        </w:tc>
        <w:tc>
          <w:tcPr>
            <w:tcW w:w="849"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360 247</w:t>
            </w:r>
          </w:p>
        </w:tc>
      </w:tr>
      <w:tr w:rsidR="00DD2B20" w:rsidRPr="0071782F">
        <w:tc>
          <w:tcPr>
            <w:tcW w:w="562"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2006</w:t>
            </w:r>
          </w:p>
        </w:tc>
        <w:tc>
          <w:tcPr>
            <w:tcW w:w="128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1 349 775</w:t>
            </w:r>
          </w:p>
        </w:tc>
        <w:tc>
          <w:tcPr>
            <w:tcW w:w="105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103 058</w:t>
            </w:r>
          </w:p>
        </w:tc>
        <w:tc>
          <w:tcPr>
            <w:tcW w:w="935"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677 977</w:t>
            </w:r>
          </w:p>
        </w:tc>
        <w:tc>
          <w:tcPr>
            <w:tcW w:w="992"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834 255</w:t>
            </w:r>
          </w:p>
        </w:tc>
        <w:tc>
          <w:tcPr>
            <w:tcW w:w="85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501 824</w:t>
            </w:r>
          </w:p>
        </w:tc>
        <w:tc>
          <w:tcPr>
            <w:tcW w:w="85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65 800</w:t>
            </w:r>
          </w:p>
        </w:tc>
        <w:tc>
          <w:tcPr>
            <w:tcW w:w="849"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337 303</w:t>
            </w:r>
          </w:p>
        </w:tc>
      </w:tr>
      <w:tr w:rsidR="00DD2B20" w:rsidRPr="0071782F">
        <w:tc>
          <w:tcPr>
            <w:tcW w:w="562"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2007</w:t>
            </w:r>
          </w:p>
        </w:tc>
        <w:tc>
          <w:tcPr>
            <w:tcW w:w="128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1 476 331</w:t>
            </w:r>
          </w:p>
        </w:tc>
        <w:tc>
          <w:tcPr>
            <w:tcW w:w="105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112 819</w:t>
            </w:r>
          </w:p>
        </w:tc>
        <w:tc>
          <w:tcPr>
            <w:tcW w:w="935"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898 496</w:t>
            </w:r>
          </w:p>
        </w:tc>
        <w:tc>
          <w:tcPr>
            <w:tcW w:w="992"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774 207</w:t>
            </w:r>
          </w:p>
        </w:tc>
        <w:tc>
          <w:tcPr>
            <w:tcW w:w="85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647 673</w:t>
            </w:r>
          </w:p>
        </w:tc>
        <w:tc>
          <w:tcPr>
            <w:tcW w:w="851"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61 943</w:t>
            </w:r>
          </w:p>
        </w:tc>
        <w:tc>
          <w:tcPr>
            <w:tcW w:w="849"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575 677</w:t>
            </w:r>
          </w:p>
        </w:tc>
      </w:tr>
    </w:tbl>
    <w:p w:rsidR="00DD2B20" w:rsidRPr="0071782F" w:rsidRDefault="00DD2B20" w:rsidP="00DD2B20">
      <w:pPr>
        <w:pStyle w:val="H23G"/>
        <w:rPr>
          <w:lang w:val="fr-CH"/>
        </w:rPr>
      </w:pPr>
      <w:r w:rsidRPr="0071782F">
        <w:rPr>
          <w:lang w:val="fr-CH"/>
        </w:rPr>
        <w:tab/>
      </w:r>
      <w:r w:rsidRPr="0071782F">
        <w:rPr>
          <w:lang w:val="fr-CH"/>
        </w:rPr>
        <w:tab/>
      </w:r>
      <w:r w:rsidR="00B80CD1" w:rsidRPr="0071782F">
        <w:rPr>
          <w:lang w:val="fr-CH"/>
        </w:rPr>
        <w:t>Services fournis aux demandeurs d’aide par le Comité de secours de l’Imam Khomeini (montants exprimés en</w:t>
      </w:r>
      <w:r w:rsidR="00097CDB" w:rsidRPr="0071782F">
        <w:rPr>
          <w:lang w:val="fr-CH"/>
        </w:rPr>
        <w:t> millions</w:t>
      </w:r>
      <w:r w:rsidR="00B80CD1" w:rsidRPr="0071782F">
        <w:rPr>
          <w:lang w:val="fr-CH"/>
        </w:rPr>
        <w:t xml:space="preserve"> </w:t>
      </w:r>
      <w:r w:rsidR="003B1403" w:rsidRPr="0071782F">
        <w:rPr>
          <w:lang w:val="fr-CH"/>
        </w:rPr>
        <w:t>de rials</w:t>
      </w:r>
      <w:r w:rsidR="00B80CD1" w:rsidRPr="0071782F">
        <w:rPr>
          <w:lang w:val="fr-CH"/>
        </w:rPr>
        <w:t>)</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558"/>
        <w:gridCol w:w="708"/>
        <w:gridCol w:w="1313"/>
        <w:gridCol w:w="687"/>
        <w:gridCol w:w="1300"/>
        <w:gridCol w:w="700"/>
        <w:gridCol w:w="1185"/>
        <w:gridCol w:w="919"/>
      </w:tblGrid>
      <w:tr w:rsidR="00DD2B20" w:rsidRPr="0071782F">
        <w:trPr>
          <w:tblHeader/>
        </w:trPr>
        <w:tc>
          <w:tcPr>
            <w:tcW w:w="558" w:type="dxa"/>
            <w:vMerge w:val="restart"/>
            <w:tcBorders>
              <w:top w:val="single" w:sz="4" w:space="0" w:color="auto"/>
              <w:bottom w:val="single" w:sz="12" w:space="0" w:color="auto"/>
            </w:tcBorders>
            <w:shd w:val="clear" w:color="000000" w:fill="auto"/>
            <w:vAlign w:val="bottom"/>
          </w:tcPr>
          <w:p w:rsidR="00DD2B20" w:rsidRPr="0071782F" w:rsidRDefault="00B80CD1" w:rsidP="00D21456">
            <w:pPr>
              <w:suppressAutoHyphens w:val="0"/>
              <w:spacing w:before="80" w:after="80" w:line="200" w:lineRule="exact"/>
              <w:rPr>
                <w:i/>
                <w:sz w:val="16"/>
                <w:szCs w:val="16"/>
                <w:lang w:val="fr-CH"/>
              </w:rPr>
            </w:pPr>
            <w:r w:rsidRPr="0071782F">
              <w:rPr>
                <w:i/>
                <w:sz w:val="16"/>
                <w:szCs w:val="16"/>
                <w:lang w:val="fr-CH"/>
              </w:rPr>
              <w:t>Année</w:t>
            </w:r>
          </w:p>
        </w:tc>
        <w:tc>
          <w:tcPr>
            <w:tcW w:w="2021" w:type="dxa"/>
            <w:gridSpan w:val="2"/>
            <w:tcBorders>
              <w:top w:val="single" w:sz="4" w:space="0" w:color="auto"/>
              <w:bottom w:val="single" w:sz="4" w:space="0" w:color="auto"/>
              <w:right w:val="single" w:sz="24" w:space="0" w:color="FFFFFF"/>
            </w:tcBorders>
            <w:shd w:val="clear" w:color="000000" w:fill="auto"/>
            <w:vAlign w:val="bottom"/>
          </w:tcPr>
          <w:p w:rsidR="00DD2B20" w:rsidRPr="0071782F" w:rsidRDefault="00B80CD1" w:rsidP="00D21456">
            <w:pPr>
              <w:suppressAutoHyphens w:val="0"/>
              <w:spacing w:before="80" w:after="80" w:line="200" w:lineRule="exact"/>
              <w:jc w:val="center"/>
              <w:rPr>
                <w:i/>
                <w:sz w:val="16"/>
                <w:szCs w:val="16"/>
                <w:lang w:val="fr-CH"/>
              </w:rPr>
            </w:pPr>
            <w:r w:rsidRPr="0071782F">
              <w:rPr>
                <w:i/>
                <w:sz w:val="16"/>
                <w:szCs w:val="16"/>
                <w:lang w:val="fr-CH"/>
              </w:rPr>
              <w:t xml:space="preserve">Aide au mariage </w:t>
            </w:r>
          </w:p>
        </w:tc>
        <w:tc>
          <w:tcPr>
            <w:tcW w:w="1987"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DD2B20" w:rsidRPr="0071782F" w:rsidRDefault="00B80CD1" w:rsidP="00D21456">
            <w:pPr>
              <w:suppressAutoHyphens w:val="0"/>
              <w:spacing w:before="80" w:after="80" w:line="200" w:lineRule="exact"/>
              <w:jc w:val="center"/>
              <w:rPr>
                <w:i/>
                <w:sz w:val="16"/>
                <w:szCs w:val="16"/>
                <w:lang w:val="fr-CH"/>
              </w:rPr>
            </w:pPr>
            <w:r w:rsidRPr="0071782F">
              <w:rPr>
                <w:i/>
                <w:sz w:val="16"/>
                <w:szCs w:val="16"/>
                <w:lang w:val="fr-CH"/>
              </w:rPr>
              <w:t>Prêts au titre de l’autosuffisance</w:t>
            </w:r>
          </w:p>
        </w:tc>
        <w:tc>
          <w:tcPr>
            <w:tcW w:w="1885" w:type="dxa"/>
            <w:gridSpan w:val="2"/>
            <w:tcBorders>
              <w:top w:val="single" w:sz="4" w:space="0" w:color="auto"/>
              <w:left w:val="single" w:sz="24" w:space="0" w:color="FFFFFF"/>
              <w:bottom w:val="single" w:sz="4" w:space="0" w:color="auto"/>
            </w:tcBorders>
            <w:shd w:val="clear" w:color="000000" w:fill="auto"/>
            <w:vAlign w:val="bottom"/>
          </w:tcPr>
          <w:p w:rsidR="00DD2B20" w:rsidRPr="0071782F" w:rsidRDefault="00B80CD1" w:rsidP="00D21456">
            <w:pPr>
              <w:suppressAutoHyphens w:val="0"/>
              <w:spacing w:before="80" w:after="80" w:line="200" w:lineRule="exact"/>
              <w:jc w:val="center"/>
              <w:rPr>
                <w:i/>
                <w:sz w:val="16"/>
                <w:szCs w:val="16"/>
                <w:lang w:val="fr-CH"/>
              </w:rPr>
            </w:pPr>
            <w:r w:rsidRPr="0071782F">
              <w:rPr>
                <w:i/>
                <w:sz w:val="16"/>
                <w:szCs w:val="16"/>
                <w:lang w:val="fr-CH"/>
              </w:rPr>
              <w:t>Prêts sans intérêts</w:t>
            </w:r>
            <w:r w:rsidR="00DD2B20" w:rsidRPr="0071782F">
              <w:rPr>
                <w:i/>
                <w:sz w:val="16"/>
                <w:szCs w:val="16"/>
                <w:lang w:val="fr-CH"/>
              </w:rPr>
              <w:t xml:space="preserve"> </w:t>
            </w:r>
          </w:p>
        </w:tc>
        <w:tc>
          <w:tcPr>
            <w:tcW w:w="919" w:type="dxa"/>
            <w:vMerge w:val="restart"/>
            <w:tcBorders>
              <w:top w:val="single" w:sz="4" w:space="0" w:color="auto"/>
              <w:bottom w:val="single" w:sz="12" w:space="0" w:color="auto"/>
            </w:tcBorders>
            <w:shd w:val="clear" w:color="000000" w:fill="auto"/>
            <w:vAlign w:val="bottom"/>
          </w:tcPr>
          <w:p w:rsidR="00DD2B20" w:rsidRPr="0071782F" w:rsidRDefault="00B80CD1" w:rsidP="00D21456">
            <w:pPr>
              <w:suppressAutoHyphens w:val="0"/>
              <w:spacing w:before="80" w:after="80" w:line="200" w:lineRule="exact"/>
              <w:jc w:val="right"/>
              <w:rPr>
                <w:i/>
                <w:sz w:val="16"/>
                <w:szCs w:val="16"/>
                <w:lang w:val="fr-CH"/>
              </w:rPr>
            </w:pPr>
            <w:r w:rsidRPr="0071782F">
              <w:rPr>
                <w:i/>
                <w:sz w:val="16"/>
                <w:szCs w:val="16"/>
                <w:lang w:val="fr-CH"/>
              </w:rPr>
              <w:t>Prêts</w:t>
            </w:r>
          </w:p>
        </w:tc>
      </w:tr>
      <w:tr w:rsidR="00DD2B20" w:rsidRPr="0071782F">
        <w:trPr>
          <w:tblHeader/>
        </w:trPr>
        <w:tc>
          <w:tcPr>
            <w:tcW w:w="558" w:type="dxa"/>
            <w:vMerge/>
            <w:tcBorders>
              <w:top w:val="single" w:sz="12" w:space="0" w:color="auto"/>
              <w:bottom w:val="single" w:sz="12" w:space="0" w:color="auto"/>
            </w:tcBorders>
            <w:shd w:val="clear" w:color="000000" w:fill="auto"/>
            <w:vAlign w:val="bottom"/>
          </w:tcPr>
          <w:p w:rsidR="00DD2B20" w:rsidRPr="0071782F" w:rsidRDefault="00DD2B20" w:rsidP="00D21456">
            <w:pPr>
              <w:suppressAutoHyphens w:val="0"/>
              <w:spacing w:before="80" w:after="80" w:line="200" w:lineRule="exact"/>
              <w:rPr>
                <w:i/>
                <w:sz w:val="16"/>
                <w:szCs w:val="16"/>
                <w:lang w:val="fr-CH"/>
              </w:rPr>
            </w:pPr>
          </w:p>
        </w:tc>
        <w:tc>
          <w:tcPr>
            <w:tcW w:w="708" w:type="dxa"/>
            <w:tcBorders>
              <w:top w:val="single" w:sz="4" w:space="0" w:color="auto"/>
              <w:bottom w:val="single" w:sz="12" w:space="0" w:color="auto"/>
            </w:tcBorders>
            <w:shd w:val="clear" w:color="000000" w:fill="auto"/>
            <w:vAlign w:val="bottom"/>
          </w:tcPr>
          <w:p w:rsidR="00DD2B20" w:rsidRPr="0071782F" w:rsidRDefault="003B48A4" w:rsidP="00D21456">
            <w:pPr>
              <w:suppressAutoHyphens w:val="0"/>
              <w:spacing w:before="80" w:after="80" w:line="200" w:lineRule="exact"/>
              <w:jc w:val="right"/>
              <w:rPr>
                <w:i/>
                <w:sz w:val="16"/>
                <w:szCs w:val="16"/>
                <w:lang w:val="fr-CH"/>
              </w:rPr>
            </w:pPr>
            <w:r w:rsidRPr="0071782F">
              <w:rPr>
                <w:i/>
                <w:sz w:val="16"/>
                <w:szCs w:val="16"/>
                <w:lang w:val="fr-CH"/>
              </w:rPr>
              <w:t>Nombre</w:t>
            </w:r>
          </w:p>
        </w:tc>
        <w:tc>
          <w:tcPr>
            <w:tcW w:w="1313" w:type="dxa"/>
            <w:tcBorders>
              <w:top w:val="single" w:sz="4" w:space="0" w:color="auto"/>
              <w:bottom w:val="single" w:sz="12" w:space="0" w:color="auto"/>
              <w:right w:val="single" w:sz="24" w:space="0" w:color="FFFFFF"/>
            </w:tcBorders>
            <w:shd w:val="clear" w:color="000000" w:fill="auto"/>
            <w:vAlign w:val="bottom"/>
          </w:tcPr>
          <w:p w:rsidR="00DD2B20" w:rsidRPr="0071782F" w:rsidRDefault="00B80CD1" w:rsidP="00D21456">
            <w:pPr>
              <w:suppressAutoHyphens w:val="0"/>
              <w:spacing w:before="80" w:after="80" w:line="200" w:lineRule="exact"/>
              <w:jc w:val="right"/>
              <w:rPr>
                <w:i/>
                <w:sz w:val="16"/>
                <w:szCs w:val="16"/>
                <w:lang w:val="fr-CH"/>
              </w:rPr>
            </w:pPr>
            <w:r w:rsidRPr="0071782F">
              <w:rPr>
                <w:i/>
                <w:sz w:val="16"/>
                <w:szCs w:val="16"/>
                <w:lang w:val="fr-CH"/>
              </w:rPr>
              <w:t xml:space="preserve">Montant monétaire </w:t>
            </w:r>
          </w:p>
        </w:tc>
        <w:tc>
          <w:tcPr>
            <w:tcW w:w="687" w:type="dxa"/>
            <w:tcBorders>
              <w:top w:val="single" w:sz="4" w:space="0" w:color="auto"/>
              <w:left w:val="single" w:sz="24" w:space="0" w:color="FFFFFF"/>
              <w:bottom w:val="single" w:sz="12" w:space="0" w:color="auto"/>
            </w:tcBorders>
            <w:shd w:val="clear" w:color="000000" w:fill="auto"/>
            <w:vAlign w:val="bottom"/>
          </w:tcPr>
          <w:p w:rsidR="00DD2B20" w:rsidRPr="0071782F" w:rsidRDefault="003B48A4" w:rsidP="00D21456">
            <w:pPr>
              <w:suppressAutoHyphens w:val="0"/>
              <w:spacing w:before="80" w:after="80" w:line="200" w:lineRule="exact"/>
              <w:jc w:val="right"/>
              <w:rPr>
                <w:i/>
                <w:sz w:val="16"/>
                <w:szCs w:val="16"/>
                <w:lang w:val="fr-CH"/>
              </w:rPr>
            </w:pPr>
            <w:r w:rsidRPr="0071782F">
              <w:rPr>
                <w:i/>
                <w:sz w:val="16"/>
                <w:szCs w:val="16"/>
                <w:lang w:val="fr-CH"/>
              </w:rPr>
              <w:t>Nombre</w:t>
            </w:r>
          </w:p>
        </w:tc>
        <w:tc>
          <w:tcPr>
            <w:tcW w:w="1300" w:type="dxa"/>
            <w:tcBorders>
              <w:top w:val="single" w:sz="4" w:space="0" w:color="auto"/>
              <w:bottom w:val="single" w:sz="12" w:space="0" w:color="auto"/>
              <w:right w:val="single" w:sz="24" w:space="0" w:color="FFFFFF"/>
            </w:tcBorders>
            <w:shd w:val="clear" w:color="000000" w:fill="auto"/>
            <w:vAlign w:val="bottom"/>
          </w:tcPr>
          <w:p w:rsidR="00DD2B20" w:rsidRPr="0071782F" w:rsidRDefault="00B80CD1" w:rsidP="00D21456">
            <w:pPr>
              <w:suppressAutoHyphens w:val="0"/>
              <w:spacing w:before="80" w:after="80" w:line="200" w:lineRule="exact"/>
              <w:jc w:val="right"/>
              <w:rPr>
                <w:i/>
                <w:sz w:val="16"/>
                <w:szCs w:val="16"/>
                <w:lang w:val="fr-CH"/>
              </w:rPr>
            </w:pPr>
            <w:r w:rsidRPr="0071782F">
              <w:rPr>
                <w:i/>
                <w:sz w:val="16"/>
                <w:szCs w:val="16"/>
                <w:lang w:val="fr-CH"/>
              </w:rPr>
              <w:t>Montant monétaire</w:t>
            </w:r>
          </w:p>
        </w:tc>
        <w:tc>
          <w:tcPr>
            <w:tcW w:w="700" w:type="dxa"/>
            <w:tcBorders>
              <w:top w:val="single" w:sz="4" w:space="0" w:color="auto"/>
              <w:left w:val="single" w:sz="24" w:space="0" w:color="FFFFFF"/>
              <w:bottom w:val="single" w:sz="12" w:space="0" w:color="auto"/>
            </w:tcBorders>
            <w:shd w:val="clear" w:color="000000" w:fill="auto"/>
            <w:vAlign w:val="bottom"/>
          </w:tcPr>
          <w:p w:rsidR="00DD2B20" w:rsidRPr="0071782F" w:rsidRDefault="003B48A4" w:rsidP="00D21456">
            <w:pPr>
              <w:suppressAutoHyphens w:val="0"/>
              <w:spacing w:before="80" w:after="80" w:line="200" w:lineRule="exact"/>
              <w:jc w:val="right"/>
              <w:rPr>
                <w:i/>
                <w:sz w:val="16"/>
                <w:szCs w:val="16"/>
                <w:lang w:val="fr-CH"/>
              </w:rPr>
            </w:pPr>
            <w:r w:rsidRPr="0071782F">
              <w:rPr>
                <w:i/>
                <w:sz w:val="16"/>
                <w:szCs w:val="16"/>
                <w:lang w:val="fr-CH"/>
              </w:rPr>
              <w:t>Nombre</w:t>
            </w:r>
          </w:p>
        </w:tc>
        <w:tc>
          <w:tcPr>
            <w:tcW w:w="1185" w:type="dxa"/>
            <w:tcBorders>
              <w:top w:val="single" w:sz="4" w:space="0" w:color="auto"/>
              <w:bottom w:val="single" w:sz="12" w:space="0" w:color="auto"/>
            </w:tcBorders>
            <w:shd w:val="clear" w:color="000000" w:fill="auto"/>
            <w:vAlign w:val="bottom"/>
          </w:tcPr>
          <w:p w:rsidR="00DD2B20" w:rsidRPr="0071782F" w:rsidRDefault="00B80CD1" w:rsidP="00D21456">
            <w:pPr>
              <w:suppressAutoHyphens w:val="0"/>
              <w:spacing w:before="80" w:after="80" w:line="200" w:lineRule="exact"/>
              <w:jc w:val="right"/>
              <w:rPr>
                <w:i/>
                <w:sz w:val="16"/>
                <w:szCs w:val="16"/>
                <w:lang w:val="fr-CH"/>
              </w:rPr>
            </w:pPr>
            <w:r w:rsidRPr="0071782F">
              <w:rPr>
                <w:i/>
                <w:sz w:val="16"/>
                <w:szCs w:val="16"/>
                <w:lang w:val="fr-CH"/>
              </w:rPr>
              <w:t>Montant monétaire</w:t>
            </w:r>
          </w:p>
        </w:tc>
        <w:tc>
          <w:tcPr>
            <w:tcW w:w="919" w:type="dxa"/>
            <w:vMerge/>
            <w:tcBorders>
              <w:top w:val="single" w:sz="12" w:space="0" w:color="auto"/>
              <w:bottom w:val="single" w:sz="12" w:space="0" w:color="auto"/>
            </w:tcBorders>
            <w:shd w:val="clear" w:color="000000" w:fill="auto"/>
            <w:vAlign w:val="bottom"/>
          </w:tcPr>
          <w:p w:rsidR="00DD2B20" w:rsidRPr="0071782F" w:rsidRDefault="00DD2B20" w:rsidP="00D21456">
            <w:pPr>
              <w:suppressAutoHyphens w:val="0"/>
              <w:spacing w:before="80" w:after="80" w:line="200" w:lineRule="exact"/>
              <w:jc w:val="right"/>
              <w:rPr>
                <w:i/>
                <w:sz w:val="16"/>
                <w:szCs w:val="16"/>
                <w:lang w:val="fr-CH"/>
              </w:rPr>
            </w:pPr>
          </w:p>
        </w:tc>
      </w:tr>
      <w:tr w:rsidR="00DD2B20" w:rsidRPr="0071782F">
        <w:tc>
          <w:tcPr>
            <w:tcW w:w="558" w:type="dxa"/>
            <w:tcBorders>
              <w:top w:val="single" w:sz="12" w:space="0" w:color="auto"/>
            </w:tcBorders>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1991</w:t>
            </w:r>
          </w:p>
        </w:tc>
        <w:tc>
          <w:tcPr>
            <w:tcW w:w="708"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1 989</w:t>
            </w:r>
          </w:p>
        </w:tc>
        <w:tc>
          <w:tcPr>
            <w:tcW w:w="1313"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479</w:t>
            </w:r>
          </w:p>
        </w:tc>
        <w:tc>
          <w:tcPr>
            <w:tcW w:w="687"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10 617</w:t>
            </w:r>
          </w:p>
        </w:tc>
        <w:tc>
          <w:tcPr>
            <w:tcW w:w="1300"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2 802</w:t>
            </w:r>
          </w:p>
        </w:tc>
        <w:tc>
          <w:tcPr>
            <w:tcW w:w="700"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13 530</w:t>
            </w:r>
          </w:p>
        </w:tc>
        <w:tc>
          <w:tcPr>
            <w:tcW w:w="1185"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2 576</w:t>
            </w:r>
          </w:p>
        </w:tc>
        <w:tc>
          <w:tcPr>
            <w:tcW w:w="919" w:type="dxa"/>
            <w:tcBorders>
              <w:top w:val="single" w:sz="12" w:space="0" w:color="auto"/>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3 998</w:t>
            </w:r>
          </w:p>
        </w:tc>
      </w:tr>
      <w:tr w:rsidR="00DD2B20" w:rsidRPr="0071782F">
        <w:tc>
          <w:tcPr>
            <w:tcW w:w="558"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1996</w:t>
            </w:r>
          </w:p>
        </w:tc>
        <w:tc>
          <w:tcPr>
            <w:tcW w:w="708"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26 085</w:t>
            </w:r>
          </w:p>
        </w:tc>
        <w:tc>
          <w:tcPr>
            <w:tcW w:w="1313"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33 240</w:t>
            </w:r>
          </w:p>
        </w:tc>
        <w:tc>
          <w:tcPr>
            <w:tcW w:w="687"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20 251</w:t>
            </w:r>
          </w:p>
        </w:tc>
        <w:tc>
          <w:tcPr>
            <w:tcW w:w="130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52 700</w:t>
            </w:r>
          </w:p>
        </w:tc>
        <w:tc>
          <w:tcPr>
            <w:tcW w:w="70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56 938</w:t>
            </w:r>
          </w:p>
        </w:tc>
        <w:tc>
          <w:tcPr>
            <w:tcW w:w="1185"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25 241</w:t>
            </w:r>
          </w:p>
        </w:tc>
        <w:tc>
          <w:tcPr>
            <w:tcW w:w="919"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52 856</w:t>
            </w:r>
          </w:p>
        </w:tc>
      </w:tr>
      <w:tr w:rsidR="00DD2B20" w:rsidRPr="0071782F">
        <w:tc>
          <w:tcPr>
            <w:tcW w:w="558" w:type="dxa"/>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2001</w:t>
            </w:r>
          </w:p>
        </w:tc>
        <w:tc>
          <w:tcPr>
            <w:tcW w:w="708"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63 727</w:t>
            </w:r>
          </w:p>
        </w:tc>
        <w:tc>
          <w:tcPr>
            <w:tcW w:w="1313"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107 360</w:t>
            </w:r>
          </w:p>
        </w:tc>
        <w:tc>
          <w:tcPr>
            <w:tcW w:w="687"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47 342</w:t>
            </w:r>
          </w:p>
        </w:tc>
        <w:tc>
          <w:tcPr>
            <w:tcW w:w="130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433 416</w:t>
            </w:r>
          </w:p>
        </w:tc>
        <w:tc>
          <w:tcPr>
            <w:tcW w:w="700"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148 723</w:t>
            </w:r>
          </w:p>
        </w:tc>
        <w:tc>
          <w:tcPr>
            <w:tcW w:w="1185"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254 256</w:t>
            </w:r>
          </w:p>
        </w:tc>
        <w:tc>
          <w:tcPr>
            <w:tcW w:w="919" w:type="dxa"/>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178 387</w:t>
            </w:r>
          </w:p>
        </w:tc>
      </w:tr>
      <w:tr w:rsidR="00DD2B20" w:rsidRPr="0071782F">
        <w:tc>
          <w:tcPr>
            <w:tcW w:w="558" w:type="dxa"/>
            <w:tcBorders>
              <w:bottom w:val="nil"/>
            </w:tcBorders>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2003</w:t>
            </w:r>
          </w:p>
        </w:tc>
        <w:tc>
          <w:tcPr>
            <w:tcW w:w="708" w:type="dxa"/>
            <w:tcBorders>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68 851</w:t>
            </w:r>
          </w:p>
        </w:tc>
        <w:tc>
          <w:tcPr>
            <w:tcW w:w="1313" w:type="dxa"/>
            <w:tcBorders>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116 722</w:t>
            </w:r>
          </w:p>
        </w:tc>
        <w:tc>
          <w:tcPr>
            <w:tcW w:w="687" w:type="dxa"/>
            <w:tcBorders>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28 044</w:t>
            </w:r>
          </w:p>
        </w:tc>
        <w:tc>
          <w:tcPr>
            <w:tcW w:w="1300" w:type="dxa"/>
            <w:tcBorders>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485 159</w:t>
            </w:r>
          </w:p>
        </w:tc>
        <w:tc>
          <w:tcPr>
            <w:tcW w:w="700" w:type="dxa"/>
            <w:tcBorders>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159 527</w:t>
            </w:r>
          </w:p>
        </w:tc>
        <w:tc>
          <w:tcPr>
            <w:tcW w:w="1185" w:type="dxa"/>
            <w:tcBorders>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347 307</w:t>
            </w:r>
          </w:p>
        </w:tc>
        <w:tc>
          <w:tcPr>
            <w:tcW w:w="919" w:type="dxa"/>
            <w:tcBorders>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280 548</w:t>
            </w:r>
          </w:p>
        </w:tc>
      </w:tr>
      <w:tr w:rsidR="00DD2B20" w:rsidRPr="0071782F">
        <w:tc>
          <w:tcPr>
            <w:tcW w:w="558" w:type="dxa"/>
            <w:tcBorders>
              <w:top w:val="nil"/>
              <w:bottom w:val="nil"/>
            </w:tcBorders>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2004</w:t>
            </w:r>
          </w:p>
        </w:tc>
        <w:tc>
          <w:tcPr>
            <w:tcW w:w="708"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71 260</w:t>
            </w:r>
          </w:p>
        </w:tc>
        <w:tc>
          <w:tcPr>
            <w:tcW w:w="1313"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136 683</w:t>
            </w:r>
          </w:p>
        </w:tc>
        <w:tc>
          <w:tcPr>
            <w:tcW w:w="687"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43 406</w:t>
            </w:r>
          </w:p>
        </w:tc>
        <w:tc>
          <w:tcPr>
            <w:tcW w:w="1300"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886 399</w:t>
            </w:r>
          </w:p>
        </w:tc>
        <w:tc>
          <w:tcPr>
            <w:tcW w:w="700"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173 089</w:t>
            </w:r>
          </w:p>
        </w:tc>
        <w:tc>
          <w:tcPr>
            <w:tcW w:w="1185"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420 301</w:t>
            </w:r>
          </w:p>
        </w:tc>
        <w:tc>
          <w:tcPr>
            <w:tcW w:w="919"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414 011</w:t>
            </w:r>
          </w:p>
        </w:tc>
      </w:tr>
      <w:tr w:rsidR="00DD2B20" w:rsidRPr="0071782F">
        <w:tc>
          <w:tcPr>
            <w:tcW w:w="558" w:type="dxa"/>
            <w:tcBorders>
              <w:top w:val="nil"/>
              <w:bottom w:val="nil"/>
            </w:tcBorders>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2005</w:t>
            </w:r>
          </w:p>
        </w:tc>
        <w:tc>
          <w:tcPr>
            <w:tcW w:w="708"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83 146</w:t>
            </w:r>
          </w:p>
        </w:tc>
        <w:tc>
          <w:tcPr>
            <w:tcW w:w="1313"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198 673</w:t>
            </w:r>
          </w:p>
        </w:tc>
        <w:tc>
          <w:tcPr>
            <w:tcW w:w="687"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40 075</w:t>
            </w:r>
          </w:p>
        </w:tc>
        <w:tc>
          <w:tcPr>
            <w:tcW w:w="1300"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871 870</w:t>
            </w:r>
          </w:p>
        </w:tc>
        <w:tc>
          <w:tcPr>
            <w:tcW w:w="700"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194 443</w:t>
            </w:r>
          </w:p>
        </w:tc>
        <w:tc>
          <w:tcPr>
            <w:tcW w:w="1185"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573 229</w:t>
            </w:r>
          </w:p>
        </w:tc>
        <w:tc>
          <w:tcPr>
            <w:tcW w:w="919"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510 452</w:t>
            </w:r>
          </w:p>
        </w:tc>
      </w:tr>
      <w:tr w:rsidR="00DD2B20" w:rsidRPr="0071782F">
        <w:tc>
          <w:tcPr>
            <w:tcW w:w="558" w:type="dxa"/>
            <w:tcBorders>
              <w:top w:val="nil"/>
              <w:bottom w:val="nil"/>
            </w:tcBorders>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2006</w:t>
            </w:r>
          </w:p>
        </w:tc>
        <w:tc>
          <w:tcPr>
            <w:tcW w:w="708"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92 398</w:t>
            </w:r>
          </w:p>
        </w:tc>
        <w:tc>
          <w:tcPr>
            <w:tcW w:w="1313"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328 724</w:t>
            </w:r>
          </w:p>
        </w:tc>
        <w:tc>
          <w:tcPr>
            <w:tcW w:w="687"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69 340</w:t>
            </w:r>
          </w:p>
        </w:tc>
        <w:tc>
          <w:tcPr>
            <w:tcW w:w="1300"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3 205 037</w:t>
            </w:r>
          </w:p>
        </w:tc>
        <w:tc>
          <w:tcPr>
            <w:tcW w:w="700"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287 361</w:t>
            </w:r>
          </w:p>
        </w:tc>
        <w:tc>
          <w:tcPr>
            <w:tcW w:w="1185"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965 951</w:t>
            </w:r>
          </w:p>
        </w:tc>
        <w:tc>
          <w:tcPr>
            <w:tcW w:w="919" w:type="dxa"/>
            <w:tcBorders>
              <w:top w:val="nil"/>
              <w:bottom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1 235 162</w:t>
            </w:r>
          </w:p>
        </w:tc>
      </w:tr>
      <w:tr w:rsidR="00DD2B20" w:rsidRPr="0071782F">
        <w:tc>
          <w:tcPr>
            <w:tcW w:w="558" w:type="dxa"/>
            <w:tcBorders>
              <w:top w:val="nil"/>
            </w:tcBorders>
            <w:shd w:val="clear" w:color="000000" w:fill="auto"/>
          </w:tcPr>
          <w:p w:rsidR="00DD2B20" w:rsidRPr="0071782F" w:rsidRDefault="00DD2B20" w:rsidP="00D21456">
            <w:pPr>
              <w:suppressAutoHyphens w:val="0"/>
              <w:spacing w:before="40" w:after="40" w:line="220" w:lineRule="exact"/>
              <w:rPr>
                <w:sz w:val="18"/>
                <w:lang w:val="fr-CH"/>
              </w:rPr>
            </w:pPr>
            <w:r w:rsidRPr="0071782F">
              <w:rPr>
                <w:sz w:val="18"/>
                <w:lang w:val="fr-CH"/>
              </w:rPr>
              <w:t>2007</w:t>
            </w:r>
          </w:p>
        </w:tc>
        <w:tc>
          <w:tcPr>
            <w:tcW w:w="708" w:type="dxa"/>
            <w:tcBorders>
              <w:top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94 891</w:t>
            </w:r>
          </w:p>
        </w:tc>
        <w:tc>
          <w:tcPr>
            <w:tcW w:w="1313" w:type="dxa"/>
            <w:tcBorders>
              <w:top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348 429</w:t>
            </w:r>
          </w:p>
        </w:tc>
        <w:tc>
          <w:tcPr>
            <w:tcW w:w="687" w:type="dxa"/>
            <w:tcBorders>
              <w:top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73 587</w:t>
            </w:r>
          </w:p>
        </w:tc>
        <w:tc>
          <w:tcPr>
            <w:tcW w:w="1300" w:type="dxa"/>
            <w:tcBorders>
              <w:top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3 857 977</w:t>
            </w:r>
          </w:p>
        </w:tc>
        <w:tc>
          <w:tcPr>
            <w:tcW w:w="700" w:type="dxa"/>
            <w:tcBorders>
              <w:top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307 177</w:t>
            </w:r>
          </w:p>
        </w:tc>
        <w:tc>
          <w:tcPr>
            <w:tcW w:w="1185" w:type="dxa"/>
            <w:tcBorders>
              <w:top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966 998</w:t>
            </w:r>
          </w:p>
        </w:tc>
        <w:tc>
          <w:tcPr>
            <w:tcW w:w="919" w:type="dxa"/>
            <w:tcBorders>
              <w:top w:val="nil"/>
            </w:tcBorders>
            <w:shd w:val="clear" w:color="000000"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338 888</w:t>
            </w:r>
          </w:p>
        </w:tc>
      </w:tr>
    </w:tbl>
    <w:p w:rsidR="00DD2B20" w:rsidRPr="0071782F" w:rsidRDefault="00DD2B20" w:rsidP="00DD2B20">
      <w:pPr>
        <w:pStyle w:val="H23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D82C96" w:rsidRPr="0071782F">
        <w:rPr>
          <w:lang w:val="fr-CH"/>
        </w:rPr>
        <w:t>de personnes</w:t>
      </w:r>
      <w:r w:rsidR="00B80CD1" w:rsidRPr="0071782F">
        <w:rPr>
          <w:lang w:val="fr-CH"/>
        </w:rPr>
        <w:t xml:space="preserve"> et </w:t>
      </w:r>
      <w:r w:rsidR="0092511D" w:rsidRPr="0071782F">
        <w:rPr>
          <w:lang w:val="fr-CH"/>
        </w:rPr>
        <w:t>de famille</w:t>
      </w:r>
      <w:r w:rsidR="00B80CD1" w:rsidRPr="0071782F">
        <w:rPr>
          <w:lang w:val="fr-CH"/>
        </w:rPr>
        <w:t xml:space="preserve">s pris en charge par la Fondation des martyrs de la guerre et des anciens combattants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95"/>
        <w:gridCol w:w="1711"/>
        <w:gridCol w:w="1756"/>
        <w:gridCol w:w="2408"/>
      </w:tblGrid>
      <w:tr w:rsidR="00DD2B20" w:rsidRPr="0071782F">
        <w:trPr>
          <w:tblHeader/>
        </w:trPr>
        <w:tc>
          <w:tcPr>
            <w:tcW w:w="1495" w:type="dxa"/>
            <w:tcBorders>
              <w:top w:val="single" w:sz="4" w:space="0" w:color="auto"/>
              <w:bottom w:val="single" w:sz="12" w:space="0" w:color="auto"/>
            </w:tcBorders>
            <w:shd w:val="clear" w:color="auto" w:fill="auto"/>
            <w:vAlign w:val="bottom"/>
          </w:tcPr>
          <w:p w:rsidR="00DD2B20" w:rsidRPr="0071782F" w:rsidRDefault="00B80CD1" w:rsidP="00D21456">
            <w:pPr>
              <w:suppressAutoHyphens w:val="0"/>
              <w:spacing w:before="80" w:after="80" w:line="200" w:lineRule="exact"/>
              <w:rPr>
                <w:i/>
                <w:sz w:val="16"/>
                <w:lang w:val="fr-CH"/>
              </w:rPr>
            </w:pPr>
            <w:r w:rsidRPr="0071782F">
              <w:rPr>
                <w:i/>
                <w:sz w:val="16"/>
                <w:lang w:val="fr-CH"/>
              </w:rPr>
              <w:t>Année et</w:t>
            </w:r>
            <w:r w:rsidR="00DD2B20" w:rsidRPr="0071782F">
              <w:rPr>
                <w:i/>
                <w:sz w:val="16"/>
                <w:lang w:val="fr-CH"/>
              </w:rPr>
              <w:t xml:space="preserve"> </w:t>
            </w:r>
            <w:r w:rsidR="0006072D" w:rsidRPr="0071782F">
              <w:rPr>
                <w:i/>
                <w:sz w:val="16"/>
                <w:lang w:val="fr-CH"/>
              </w:rPr>
              <w:t>province</w:t>
            </w:r>
          </w:p>
        </w:tc>
        <w:tc>
          <w:tcPr>
            <w:tcW w:w="1711" w:type="dxa"/>
            <w:tcBorders>
              <w:top w:val="single" w:sz="4" w:space="0" w:color="auto"/>
              <w:bottom w:val="single" w:sz="12" w:space="0" w:color="auto"/>
            </w:tcBorders>
            <w:shd w:val="clear" w:color="auto" w:fill="auto"/>
            <w:vAlign w:val="bottom"/>
          </w:tcPr>
          <w:p w:rsidR="00DD2B20" w:rsidRPr="0071782F" w:rsidRDefault="003B48A4" w:rsidP="00D21456">
            <w:pPr>
              <w:suppressAutoHyphens w:val="0"/>
              <w:spacing w:before="80" w:after="80" w:line="200" w:lineRule="exact"/>
              <w:jc w:val="right"/>
              <w:rPr>
                <w:i/>
                <w:sz w:val="16"/>
                <w:lang w:val="fr-CH"/>
              </w:rPr>
            </w:pPr>
            <w:r w:rsidRPr="0071782F">
              <w:rPr>
                <w:i/>
                <w:sz w:val="16"/>
                <w:lang w:val="fr-CH"/>
              </w:rPr>
              <w:t>Nombre</w:t>
            </w:r>
            <w:r w:rsidR="00DD2B20" w:rsidRPr="0071782F">
              <w:rPr>
                <w:i/>
                <w:sz w:val="16"/>
                <w:lang w:val="fr-CH"/>
              </w:rPr>
              <w:t xml:space="preserve"> </w:t>
            </w:r>
            <w:r w:rsidR="00D82C96" w:rsidRPr="0071782F">
              <w:rPr>
                <w:i/>
                <w:sz w:val="16"/>
                <w:lang w:val="fr-CH"/>
              </w:rPr>
              <w:t>de personnes</w:t>
            </w:r>
            <w:r w:rsidR="00B80CD1" w:rsidRPr="0071782F">
              <w:rPr>
                <w:i/>
                <w:sz w:val="16"/>
                <w:lang w:val="fr-CH"/>
              </w:rPr>
              <w:t xml:space="preserve"> </w:t>
            </w:r>
          </w:p>
        </w:tc>
        <w:tc>
          <w:tcPr>
            <w:tcW w:w="1756" w:type="dxa"/>
            <w:tcBorders>
              <w:top w:val="single" w:sz="4" w:space="0" w:color="auto"/>
              <w:bottom w:val="single" w:sz="12" w:space="0" w:color="auto"/>
            </w:tcBorders>
            <w:shd w:val="clear" w:color="auto" w:fill="auto"/>
            <w:vAlign w:val="bottom"/>
          </w:tcPr>
          <w:p w:rsidR="00DD2B20" w:rsidRPr="0071782F" w:rsidRDefault="00DD2B20" w:rsidP="00D21456">
            <w:pPr>
              <w:suppressAutoHyphens w:val="0"/>
              <w:spacing w:before="80" w:after="80" w:line="200" w:lineRule="exact"/>
              <w:jc w:val="right"/>
              <w:rPr>
                <w:i/>
                <w:sz w:val="16"/>
                <w:lang w:val="fr-CH"/>
              </w:rPr>
            </w:pPr>
            <w:r w:rsidRPr="0071782F">
              <w:rPr>
                <w:i/>
                <w:sz w:val="16"/>
                <w:lang w:val="fr-CH"/>
              </w:rPr>
              <w:t>Parents (famil</w:t>
            </w:r>
            <w:r w:rsidR="00B80CD1" w:rsidRPr="0071782F">
              <w:rPr>
                <w:i/>
                <w:sz w:val="16"/>
                <w:lang w:val="fr-CH"/>
              </w:rPr>
              <w:t>le</w:t>
            </w:r>
            <w:r w:rsidRPr="0071782F">
              <w:rPr>
                <w:i/>
                <w:sz w:val="16"/>
                <w:lang w:val="fr-CH"/>
              </w:rPr>
              <w:t>)</w:t>
            </w:r>
          </w:p>
        </w:tc>
        <w:tc>
          <w:tcPr>
            <w:tcW w:w="2408" w:type="dxa"/>
            <w:tcBorders>
              <w:top w:val="single" w:sz="4" w:space="0" w:color="auto"/>
              <w:bottom w:val="single" w:sz="12" w:space="0" w:color="auto"/>
            </w:tcBorders>
            <w:shd w:val="clear" w:color="auto" w:fill="auto"/>
            <w:vAlign w:val="bottom"/>
          </w:tcPr>
          <w:p w:rsidR="00DD2B20" w:rsidRPr="0071782F" w:rsidRDefault="00B80CD1" w:rsidP="00D21456">
            <w:pPr>
              <w:suppressAutoHyphens w:val="0"/>
              <w:spacing w:before="80" w:after="80" w:line="200" w:lineRule="exact"/>
              <w:jc w:val="right"/>
              <w:rPr>
                <w:i/>
                <w:sz w:val="16"/>
                <w:lang w:val="fr-CH"/>
              </w:rPr>
            </w:pPr>
            <w:r w:rsidRPr="0071782F">
              <w:rPr>
                <w:i/>
                <w:sz w:val="16"/>
                <w:lang w:val="fr-CH"/>
              </w:rPr>
              <w:t xml:space="preserve">Épouse et enfants </w:t>
            </w:r>
            <w:r w:rsidR="00DD2B20" w:rsidRPr="0071782F">
              <w:rPr>
                <w:i/>
                <w:sz w:val="16"/>
                <w:lang w:val="fr-CH"/>
              </w:rPr>
              <w:t>(fami</w:t>
            </w:r>
            <w:r w:rsidRPr="0071782F">
              <w:rPr>
                <w:i/>
                <w:sz w:val="16"/>
                <w:lang w:val="fr-CH"/>
              </w:rPr>
              <w:t>lle</w:t>
            </w:r>
            <w:r w:rsidR="00DD2B20" w:rsidRPr="0071782F">
              <w:rPr>
                <w:i/>
                <w:sz w:val="16"/>
                <w:lang w:val="fr-CH"/>
              </w:rPr>
              <w:t>)</w:t>
            </w:r>
          </w:p>
        </w:tc>
      </w:tr>
      <w:tr w:rsidR="00DD2B20" w:rsidRPr="0071782F">
        <w:tc>
          <w:tcPr>
            <w:tcW w:w="1495" w:type="dxa"/>
            <w:tcBorders>
              <w:top w:val="single" w:sz="12" w:space="0" w:color="auto"/>
            </w:tcBorders>
            <w:shd w:val="clear" w:color="auto" w:fill="auto"/>
          </w:tcPr>
          <w:p w:rsidR="00DD2B20" w:rsidRPr="0071782F" w:rsidRDefault="00DD2B20" w:rsidP="00D21456">
            <w:pPr>
              <w:suppressAutoHyphens w:val="0"/>
              <w:spacing w:before="40" w:after="40" w:line="220" w:lineRule="exact"/>
              <w:rPr>
                <w:sz w:val="18"/>
                <w:lang w:val="fr-CH"/>
              </w:rPr>
            </w:pPr>
            <w:r w:rsidRPr="0071782F">
              <w:rPr>
                <w:sz w:val="18"/>
                <w:lang w:val="fr-CH"/>
              </w:rPr>
              <w:t>1991</w:t>
            </w:r>
          </w:p>
        </w:tc>
        <w:tc>
          <w:tcPr>
            <w:tcW w:w="1711" w:type="dxa"/>
            <w:tcBorders>
              <w:top w:val="single" w:sz="12" w:space="0" w:color="auto"/>
            </w:tcBorders>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000</w:t>
            </w:r>
          </w:p>
        </w:tc>
        <w:tc>
          <w:tcPr>
            <w:tcW w:w="1756" w:type="dxa"/>
            <w:tcBorders>
              <w:top w:val="single" w:sz="12" w:space="0" w:color="auto"/>
            </w:tcBorders>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188 002</w:t>
            </w:r>
          </w:p>
        </w:tc>
        <w:tc>
          <w:tcPr>
            <w:tcW w:w="2408" w:type="dxa"/>
            <w:tcBorders>
              <w:top w:val="single" w:sz="12" w:space="0" w:color="auto"/>
            </w:tcBorders>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54 745</w:t>
            </w:r>
          </w:p>
        </w:tc>
      </w:tr>
      <w:tr w:rsidR="00DD2B20" w:rsidRPr="0071782F">
        <w:tc>
          <w:tcPr>
            <w:tcW w:w="1495" w:type="dxa"/>
            <w:shd w:val="clear" w:color="auto" w:fill="auto"/>
          </w:tcPr>
          <w:p w:rsidR="00DD2B20" w:rsidRPr="0071782F" w:rsidRDefault="00DD2B20" w:rsidP="00D21456">
            <w:pPr>
              <w:suppressAutoHyphens w:val="0"/>
              <w:spacing w:before="40" w:after="40" w:line="220" w:lineRule="exact"/>
              <w:rPr>
                <w:sz w:val="18"/>
                <w:lang w:val="fr-CH"/>
              </w:rPr>
            </w:pPr>
            <w:r w:rsidRPr="0071782F">
              <w:rPr>
                <w:sz w:val="18"/>
                <w:lang w:val="fr-CH"/>
              </w:rPr>
              <w:t>1996</w:t>
            </w:r>
          </w:p>
        </w:tc>
        <w:tc>
          <w:tcPr>
            <w:tcW w:w="1711"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498 319</w:t>
            </w:r>
          </w:p>
        </w:tc>
        <w:tc>
          <w:tcPr>
            <w:tcW w:w="1756"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175 098</w:t>
            </w:r>
          </w:p>
        </w:tc>
        <w:tc>
          <w:tcPr>
            <w:tcW w:w="2408"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57 333</w:t>
            </w:r>
          </w:p>
        </w:tc>
      </w:tr>
      <w:tr w:rsidR="00DD2B20" w:rsidRPr="0071782F">
        <w:tc>
          <w:tcPr>
            <w:tcW w:w="1495" w:type="dxa"/>
            <w:shd w:val="clear" w:color="auto" w:fill="auto"/>
          </w:tcPr>
          <w:p w:rsidR="00DD2B20" w:rsidRPr="0071782F" w:rsidRDefault="00DD2B20" w:rsidP="00D21456">
            <w:pPr>
              <w:suppressAutoHyphens w:val="0"/>
              <w:spacing w:before="40" w:after="40" w:line="220" w:lineRule="exact"/>
              <w:rPr>
                <w:sz w:val="18"/>
                <w:lang w:val="fr-CH"/>
              </w:rPr>
            </w:pPr>
            <w:r w:rsidRPr="0071782F">
              <w:rPr>
                <w:sz w:val="18"/>
                <w:lang w:val="fr-CH"/>
              </w:rPr>
              <w:t>2001</w:t>
            </w:r>
          </w:p>
        </w:tc>
        <w:tc>
          <w:tcPr>
            <w:tcW w:w="1711"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484 083</w:t>
            </w:r>
          </w:p>
        </w:tc>
        <w:tc>
          <w:tcPr>
            <w:tcW w:w="1756"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170 902</w:t>
            </w:r>
          </w:p>
        </w:tc>
        <w:tc>
          <w:tcPr>
            <w:tcW w:w="2408"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57 093</w:t>
            </w:r>
          </w:p>
        </w:tc>
      </w:tr>
      <w:tr w:rsidR="00DD2B20" w:rsidRPr="0071782F">
        <w:tc>
          <w:tcPr>
            <w:tcW w:w="1495" w:type="dxa"/>
            <w:shd w:val="clear" w:color="auto" w:fill="auto"/>
          </w:tcPr>
          <w:p w:rsidR="00DD2B20" w:rsidRPr="0071782F" w:rsidRDefault="00DD2B20" w:rsidP="00D21456">
            <w:pPr>
              <w:suppressAutoHyphens w:val="0"/>
              <w:spacing w:before="40" w:after="40" w:line="220" w:lineRule="exact"/>
              <w:rPr>
                <w:sz w:val="18"/>
                <w:lang w:val="fr-CH"/>
              </w:rPr>
            </w:pPr>
            <w:r w:rsidRPr="0071782F">
              <w:rPr>
                <w:sz w:val="18"/>
                <w:lang w:val="fr-CH"/>
              </w:rPr>
              <w:t>2003</w:t>
            </w:r>
          </w:p>
        </w:tc>
        <w:tc>
          <w:tcPr>
            <w:tcW w:w="1711"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479 494</w:t>
            </w:r>
          </w:p>
        </w:tc>
        <w:tc>
          <w:tcPr>
            <w:tcW w:w="1756"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169 075</w:t>
            </w:r>
          </w:p>
        </w:tc>
        <w:tc>
          <w:tcPr>
            <w:tcW w:w="2408"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56 157</w:t>
            </w:r>
          </w:p>
        </w:tc>
      </w:tr>
      <w:tr w:rsidR="00DD2B20" w:rsidRPr="0071782F">
        <w:tc>
          <w:tcPr>
            <w:tcW w:w="1495" w:type="dxa"/>
            <w:shd w:val="clear" w:color="auto" w:fill="auto"/>
          </w:tcPr>
          <w:p w:rsidR="00DD2B20" w:rsidRPr="0071782F" w:rsidRDefault="00DD2B20" w:rsidP="00D21456">
            <w:pPr>
              <w:suppressAutoHyphens w:val="0"/>
              <w:spacing w:before="40" w:after="40" w:line="220" w:lineRule="exact"/>
              <w:rPr>
                <w:sz w:val="18"/>
                <w:lang w:val="fr-CH"/>
              </w:rPr>
            </w:pPr>
            <w:r w:rsidRPr="0071782F">
              <w:rPr>
                <w:sz w:val="18"/>
                <w:lang w:val="fr-CH"/>
              </w:rPr>
              <w:t>2004</w:t>
            </w:r>
          </w:p>
        </w:tc>
        <w:tc>
          <w:tcPr>
            <w:tcW w:w="1711"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495 032</w:t>
            </w:r>
          </w:p>
        </w:tc>
        <w:tc>
          <w:tcPr>
            <w:tcW w:w="1756"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174 246</w:t>
            </w:r>
          </w:p>
        </w:tc>
        <w:tc>
          <w:tcPr>
            <w:tcW w:w="2408"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59 740</w:t>
            </w:r>
          </w:p>
        </w:tc>
      </w:tr>
      <w:tr w:rsidR="00DD2B20" w:rsidRPr="0071782F">
        <w:tc>
          <w:tcPr>
            <w:tcW w:w="1495" w:type="dxa"/>
            <w:shd w:val="clear" w:color="auto" w:fill="auto"/>
          </w:tcPr>
          <w:p w:rsidR="00DD2B20" w:rsidRPr="0071782F" w:rsidRDefault="00DD2B20" w:rsidP="00D21456">
            <w:pPr>
              <w:suppressAutoHyphens w:val="0"/>
              <w:spacing w:before="40" w:after="40" w:line="220" w:lineRule="exact"/>
              <w:rPr>
                <w:sz w:val="18"/>
                <w:lang w:val="fr-CH"/>
              </w:rPr>
            </w:pPr>
            <w:r w:rsidRPr="0071782F">
              <w:rPr>
                <w:sz w:val="18"/>
                <w:lang w:val="fr-CH"/>
              </w:rPr>
              <w:t>2005</w:t>
            </w:r>
          </w:p>
        </w:tc>
        <w:tc>
          <w:tcPr>
            <w:tcW w:w="1711"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495 863</w:t>
            </w:r>
          </w:p>
        </w:tc>
        <w:tc>
          <w:tcPr>
            <w:tcW w:w="1756"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174 398</w:t>
            </w:r>
          </w:p>
        </w:tc>
        <w:tc>
          <w:tcPr>
            <w:tcW w:w="2408"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59 884</w:t>
            </w:r>
          </w:p>
        </w:tc>
      </w:tr>
      <w:tr w:rsidR="00DD2B20" w:rsidRPr="0071782F">
        <w:tc>
          <w:tcPr>
            <w:tcW w:w="1495" w:type="dxa"/>
            <w:shd w:val="clear" w:color="auto" w:fill="auto"/>
          </w:tcPr>
          <w:p w:rsidR="00DD2B20" w:rsidRPr="0071782F" w:rsidRDefault="00DD2B20" w:rsidP="00D21456">
            <w:pPr>
              <w:suppressAutoHyphens w:val="0"/>
              <w:spacing w:before="40" w:after="40" w:line="220" w:lineRule="exact"/>
              <w:rPr>
                <w:sz w:val="18"/>
                <w:lang w:val="fr-CH"/>
              </w:rPr>
            </w:pPr>
            <w:r w:rsidRPr="0071782F">
              <w:rPr>
                <w:sz w:val="18"/>
                <w:lang w:val="fr-CH"/>
              </w:rPr>
              <w:t>2006</w:t>
            </w:r>
          </w:p>
        </w:tc>
        <w:tc>
          <w:tcPr>
            <w:tcW w:w="1711"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463 463</w:t>
            </w:r>
          </w:p>
        </w:tc>
        <w:tc>
          <w:tcPr>
            <w:tcW w:w="1756"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154 745</w:t>
            </w:r>
          </w:p>
        </w:tc>
        <w:tc>
          <w:tcPr>
            <w:tcW w:w="2408"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61 276</w:t>
            </w:r>
          </w:p>
        </w:tc>
      </w:tr>
      <w:tr w:rsidR="00DD2B20" w:rsidRPr="0071782F">
        <w:tc>
          <w:tcPr>
            <w:tcW w:w="1495" w:type="dxa"/>
            <w:shd w:val="clear" w:color="auto" w:fill="auto"/>
          </w:tcPr>
          <w:p w:rsidR="00DD2B20" w:rsidRPr="0071782F" w:rsidRDefault="00DD2B20" w:rsidP="00D21456">
            <w:pPr>
              <w:suppressAutoHyphens w:val="0"/>
              <w:spacing w:before="40" w:after="40" w:line="220" w:lineRule="exact"/>
              <w:rPr>
                <w:sz w:val="18"/>
                <w:lang w:val="fr-CH"/>
              </w:rPr>
            </w:pPr>
            <w:r w:rsidRPr="0071782F">
              <w:rPr>
                <w:sz w:val="18"/>
                <w:lang w:val="fr-CH"/>
              </w:rPr>
              <w:t>2007</w:t>
            </w:r>
          </w:p>
        </w:tc>
        <w:tc>
          <w:tcPr>
            <w:tcW w:w="1711"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461 508</w:t>
            </w:r>
          </w:p>
        </w:tc>
        <w:tc>
          <w:tcPr>
            <w:tcW w:w="1756"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152 930</w:t>
            </w:r>
          </w:p>
        </w:tc>
        <w:tc>
          <w:tcPr>
            <w:tcW w:w="2408" w:type="dxa"/>
            <w:shd w:val="clear" w:color="auto" w:fill="auto"/>
            <w:vAlign w:val="bottom"/>
          </w:tcPr>
          <w:p w:rsidR="00DD2B20" w:rsidRPr="0071782F" w:rsidRDefault="00DD2B20" w:rsidP="00D21456">
            <w:pPr>
              <w:suppressAutoHyphens w:val="0"/>
              <w:spacing w:before="40" w:after="40" w:line="220" w:lineRule="exact"/>
              <w:jc w:val="right"/>
              <w:rPr>
                <w:sz w:val="18"/>
                <w:lang w:val="fr-CH"/>
              </w:rPr>
            </w:pPr>
            <w:r w:rsidRPr="0071782F">
              <w:rPr>
                <w:sz w:val="18"/>
                <w:lang w:val="fr-CH"/>
              </w:rPr>
              <w:t>61 052</w:t>
            </w:r>
          </w:p>
        </w:tc>
      </w:tr>
    </w:tbl>
    <w:p w:rsidR="00DD2B20" w:rsidRPr="0071782F" w:rsidRDefault="00DD2B20" w:rsidP="005B1FE2">
      <w:pPr>
        <w:pStyle w:val="HChG"/>
        <w:rPr>
          <w:lang w:val="fr-CH"/>
        </w:rPr>
      </w:pPr>
      <w:r w:rsidRPr="0071782F">
        <w:rPr>
          <w:lang w:val="fr-CH"/>
        </w:rPr>
        <w:tab/>
      </w:r>
      <w:r w:rsidRPr="0071782F">
        <w:rPr>
          <w:lang w:val="fr-CH"/>
        </w:rPr>
        <w:tab/>
      </w:r>
      <w:r w:rsidR="00943A69" w:rsidRPr="0071782F">
        <w:rPr>
          <w:lang w:val="fr-CH"/>
        </w:rPr>
        <w:t>Article </w:t>
      </w:r>
      <w:r w:rsidRPr="0071782F">
        <w:rPr>
          <w:lang w:val="fr-CH"/>
        </w:rPr>
        <w:t>10</w:t>
      </w:r>
      <w:r w:rsidR="004B3260">
        <w:rPr>
          <w:lang w:val="fr-CH"/>
        </w:rPr>
        <w:br/>
      </w:r>
      <w:r w:rsidR="004B3260" w:rsidRPr="0071782F">
        <w:rPr>
          <w:lang w:val="fr-CH"/>
        </w:rPr>
        <w:t xml:space="preserve">Famille </w:t>
      </w:r>
      <w:r w:rsidR="00B80CD1" w:rsidRPr="0071782F">
        <w:rPr>
          <w:lang w:val="fr-CH"/>
        </w:rPr>
        <w:t xml:space="preserve">et mariage </w:t>
      </w:r>
    </w:p>
    <w:p w:rsidR="00DD2B20" w:rsidRPr="0071782F" w:rsidRDefault="00DD2B20" w:rsidP="00DD2B20">
      <w:pPr>
        <w:pStyle w:val="H1G"/>
        <w:rPr>
          <w:lang w:val="fr-CH"/>
        </w:rPr>
      </w:pPr>
      <w:r w:rsidRPr="0071782F">
        <w:rPr>
          <w:lang w:val="fr-CH"/>
        </w:rPr>
        <w:tab/>
      </w:r>
      <w:r w:rsidRPr="0071782F">
        <w:rPr>
          <w:lang w:val="fr-CH"/>
        </w:rPr>
        <w:tab/>
        <w:t>Introduction</w:t>
      </w:r>
    </w:p>
    <w:p w:rsidR="00DD2B20" w:rsidRPr="0071782F" w:rsidRDefault="00DD2B20" w:rsidP="00DD2B20">
      <w:pPr>
        <w:pStyle w:val="SingleTxtG"/>
        <w:rPr>
          <w:lang w:val="fr-CH"/>
        </w:rPr>
      </w:pPr>
      <w:r w:rsidRPr="0071782F">
        <w:rPr>
          <w:lang w:val="fr-CH"/>
        </w:rPr>
        <w:t>133.</w:t>
      </w:r>
      <w:r w:rsidRPr="0071782F">
        <w:rPr>
          <w:lang w:val="fr-CH"/>
        </w:rPr>
        <w:tab/>
      </w:r>
      <w:r w:rsidR="00723580" w:rsidRPr="0071782F">
        <w:rPr>
          <w:lang w:val="fr-CH"/>
        </w:rPr>
        <w:t xml:space="preserve">Les mesures prises par le gouvernement pour donner effet aux dispositions de </w:t>
      </w:r>
      <w:r w:rsidR="00723F2B" w:rsidRPr="0071782F">
        <w:rPr>
          <w:lang w:val="fr-CH"/>
        </w:rPr>
        <w:t>l’</w:t>
      </w:r>
      <w:r w:rsidR="00943A69" w:rsidRPr="0071782F">
        <w:rPr>
          <w:lang w:val="fr-CH"/>
        </w:rPr>
        <w:t>article </w:t>
      </w:r>
      <w:r w:rsidRPr="0071782F">
        <w:rPr>
          <w:lang w:val="fr-CH"/>
        </w:rPr>
        <w:t xml:space="preserve">10 </w:t>
      </w:r>
      <w:r w:rsidR="00723580" w:rsidRPr="0071782F">
        <w:rPr>
          <w:lang w:val="fr-CH"/>
        </w:rPr>
        <w:t>du Pacte sont les suivantes</w:t>
      </w:r>
      <w:r w:rsidR="008F7D33" w:rsidRPr="0071782F">
        <w:rPr>
          <w:lang w:val="fr-CH"/>
        </w:rPr>
        <w:t>:</w:t>
      </w:r>
    </w:p>
    <w:p w:rsidR="00DD2B20" w:rsidRPr="0071782F" w:rsidRDefault="00DD2B20" w:rsidP="00DD2B20">
      <w:pPr>
        <w:pStyle w:val="SingleTxtG"/>
        <w:ind w:left="1701" w:hanging="567"/>
        <w:rPr>
          <w:lang w:val="fr-CH"/>
        </w:rPr>
      </w:pPr>
      <w:r w:rsidRPr="0071782F">
        <w:rPr>
          <w:lang w:val="fr-CH"/>
        </w:rPr>
        <w:tab/>
        <w:t>133.1.</w:t>
      </w:r>
      <w:r w:rsidRPr="0071782F">
        <w:rPr>
          <w:lang w:val="fr-CH"/>
        </w:rPr>
        <w:tab/>
      </w:r>
      <w:r w:rsidR="003A79A1" w:rsidRPr="0071782F">
        <w:rPr>
          <w:lang w:val="fr-CH"/>
        </w:rPr>
        <w:t xml:space="preserve">Le statut de </w:t>
      </w:r>
      <w:r w:rsidR="00B71907" w:rsidRPr="0071782F">
        <w:rPr>
          <w:lang w:val="fr-CH"/>
        </w:rPr>
        <w:t>la famille</w:t>
      </w:r>
      <w:r w:rsidR="003A79A1" w:rsidRPr="0071782F">
        <w:rPr>
          <w:lang w:val="fr-CH"/>
        </w:rPr>
        <w:t xml:space="preserve"> dans la législation en vigueur </w:t>
      </w:r>
      <w:r w:rsidRPr="0071782F">
        <w:rPr>
          <w:lang w:val="fr-CH"/>
        </w:rPr>
        <w:t>(Constitution,</w:t>
      </w:r>
      <w:r w:rsidR="003A79A1" w:rsidRPr="0071782F">
        <w:rPr>
          <w:lang w:val="fr-CH"/>
        </w:rPr>
        <w:t xml:space="preserve"> Plan stratégique sur 20</w:t>
      </w:r>
      <w:r w:rsidR="00D82C96" w:rsidRPr="0071782F">
        <w:rPr>
          <w:lang w:val="fr-CH"/>
        </w:rPr>
        <w:t> ans</w:t>
      </w:r>
      <w:r w:rsidRPr="0071782F">
        <w:rPr>
          <w:lang w:val="fr-CH"/>
        </w:rPr>
        <w:t xml:space="preserve">, </w:t>
      </w:r>
      <w:r w:rsidR="004A7581" w:rsidRPr="0071782F">
        <w:rPr>
          <w:lang w:val="fr-CH"/>
        </w:rPr>
        <w:t>Charte des droits et responsa</w:t>
      </w:r>
      <w:r w:rsidRPr="0071782F">
        <w:rPr>
          <w:lang w:val="fr-CH"/>
        </w:rPr>
        <w:t>bilit</w:t>
      </w:r>
      <w:r w:rsidR="004A7581" w:rsidRPr="0071782F">
        <w:rPr>
          <w:lang w:val="fr-CH"/>
        </w:rPr>
        <w:t>é</w:t>
      </w:r>
      <w:r w:rsidRPr="0071782F">
        <w:rPr>
          <w:lang w:val="fr-CH"/>
        </w:rPr>
        <w:t xml:space="preserve">s </w:t>
      </w:r>
      <w:r w:rsidR="004A7581" w:rsidRPr="0071782F">
        <w:rPr>
          <w:lang w:val="fr-CH"/>
        </w:rPr>
        <w:t xml:space="preserve">de la femme et de </w:t>
      </w:r>
      <w:r w:rsidR="00B71907" w:rsidRPr="0071782F">
        <w:rPr>
          <w:lang w:val="fr-CH"/>
        </w:rPr>
        <w:t>la famille</w:t>
      </w:r>
      <w:r w:rsidR="004A7581" w:rsidRPr="0071782F">
        <w:rPr>
          <w:lang w:val="fr-CH"/>
        </w:rPr>
        <w:t xml:space="preserve">, </w:t>
      </w:r>
      <w:r w:rsidR="00A90208" w:rsidRPr="0071782F">
        <w:rPr>
          <w:lang w:val="fr-CH"/>
        </w:rPr>
        <w:t>quatrième</w:t>
      </w:r>
      <w:r w:rsidR="004A7581" w:rsidRPr="0071782F">
        <w:rPr>
          <w:lang w:val="fr-CH"/>
        </w:rPr>
        <w:t xml:space="preserve"> plan de développement et législation du pays en matière civile, pénale et relative au travail et à l’emploi, à la sécurité sociale et aux questions culturelles depuis la Révolution islamique jusqu’au premier semestre de </w:t>
      </w:r>
      <w:r w:rsidRPr="0071782F">
        <w:rPr>
          <w:lang w:val="fr-CH"/>
        </w:rPr>
        <w:t>2008)</w:t>
      </w:r>
      <w:r w:rsidR="003A79A1" w:rsidRPr="0071782F">
        <w:rPr>
          <w:lang w:val="fr-CH"/>
        </w:rPr>
        <w:t xml:space="preserve"> a fait l’objet d’un examen approfondi</w:t>
      </w:r>
      <w:r w:rsidR="00DB0332" w:rsidRPr="0071782F">
        <w:rPr>
          <w:lang w:val="fr-CH"/>
        </w:rPr>
        <w:t>.</w:t>
      </w:r>
    </w:p>
    <w:p w:rsidR="00DD2B20" w:rsidRPr="0071782F" w:rsidRDefault="00DD2B20" w:rsidP="00DD2B20">
      <w:pPr>
        <w:pStyle w:val="SingleTxtG"/>
        <w:ind w:left="1701" w:hanging="567"/>
        <w:rPr>
          <w:lang w:val="fr-CH"/>
        </w:rPr>
      </w:pPr>
      <w:r w:rsidRPr="0071782F">
        <w:rPr>
          <w:lang w:val="fr-CH"/>
        </w:rPr>
        <w:tab/>
        <w:t>133.2.</w:t>
      </w:r>
      <w:r w:rsidRPr="0071782F">
        <w:rPr>
          <w:lang w:val="fr-CH"/>
        </w:rPr>
        <w:tab/>
      </w:r>
      <w:r w:rsidR="009338E4" w:rsidRPr="0071782F">
        <w:rPr>
          <w:lang w:val="fr-CH"/>
        </w:rPr>
        <w:t xml:space="preserve">La notion </w:t>
      </w:r>
      <w:r w:rsidR="0092511D" w:rsidRPr="0071782F">
        <w:rPr>
          <w:lang w:val="fr-CH"/>
        </w:rPr>
        <w:t>de famille</w:t>
      </w:r>
      <w:r w:rsidR="009338E4" w:rsidRPr="0071782F">
        <w:rPr>
          <w:lang w:val="fr-CH"/>
        </w:rPr>
        <w:t xml:space="preserve"> et les indicateurs y relatifs en Iran </w:t>
      </w:r>
      <w:r w:rsidRPr="0071782F">
        <w:rPr>
          <w:lang w:val="fr-CH"/>
        </w:rPr>
        <w:t>(d</w:t>
      </w:r>
      <w:r w:rsidR="009338E4" w:rsidRPr="0071782F">
        <w:rPr>
          <w:lang w:val="fr-CH"/>
        </w:rPr>
        <w:t>é</w:t>
      </w:r>
      <w:r w:rsidRPr="0071782F">
        <w:rPr>
          <w:lang w:val="fr-CH"/>
        </w:rPr>
        <w:t xml:space="preserve">finition </w:t>
      </w:r>
      <w:r w:rsidR="009338E4" w:rsidRPr="0071782F">
        <w:rPr>
          <w:lang w:val="fr-CH"/>
        </w:rPr>
        <w:t xml:space="preserve">de </w:t>
      </w:r>
      <w:r w:rsidR="00B71907" w:rsidRPr="0071782F">
        <w:rPr>
          <w:lang w:val="fr-CH"/>
        </w:rPr>
        <w:t>la famille</w:t>
      </w:r>
      <w:r w:rsidR="009338E4" w:rsidRPr="0071782F">
        <w:rPr>
          <w:lang w:val="fr-CH"/>
        </w:rPr>
        <w:t xml:space="preserve"> et vision de l’islam quant à l’</w:t>
      </w:r>
      <w:r w:rsidRPr="0071782F">
        <w:rPr>
          <w:lang w:val="fr-CH"/>
        </w:rPr>
        <w:t xml:space="preserve">importance, </w:t>
      </w:r>
      <w:r w:rsidR="00B174F3" w:rsidRPr="0071782F">
        <w:rPr>
          <w:lang w:val="fr-CH"/>
        </w:rPr>
        <w:t>au</w:t>
      </w:r>
      <w:r w:rsidR="009338E4" w:rsidRPr="0071782F">
        <w:rPr>
          <w:lang w:val="fr-CH"/>
        </w:rPr>
        <w:t xml:space="preserve"> statut et </w:t>
      </w:r>
      <w:r w:rsidR="00B174F3" w:rsidRPr="0071782F">
        <w:rPr>
          <w:lang w:val="fr-CH"/>
        </w:rPr>
        <w:t xml:space="preserve">à </w:t>
      </w:r>
      <w:r w:rsidR="009338E4" w:rsidRPr="0071782F">
        <w:rPr>
          <w:lang w:val="fr-CH"/>
        </w:rPr>
        <w:t xml:space="preserve">la fonction de </w:t>
      </w:r>
      <w:r w:rsidR="00B71907" w:rsidRPr="0071782F">
        <w:rPr>
          <w:lang w:val="fr-CH"/>
        </w:rPr>
        <w:t>la famille</w:t>
      </w:r>
      <w:r w:rsidRPr="0071782F">
        <w:rPr>
          <w:lang w:val="fr-CH"/>
        </w:rPr>
        <w:t xml:space="preserve">) </w:t>
      </w:r>
      <w:r w:rsidR="009338E4" w:rsidRPr="0071782F">
        <w:rPr>
          <w:lang w:val="fr-CH"/>
        </w:rPr>
        <w:t>ont été réexaminés</w:t>
      </w:r>
      <w:r w:rsidR="00DB0332" w:rsidRPr="0071782F">
        <w:rPr>
          <w:lang w:val="fr-CH"/>
        </w:rPr>
        <w:t>.</w:t>
      </w:r>
    </w:p>
    <w:p w:rsidR="00DD2B20" w:rsidRPr="0071782F" w:rsidRDefault="009338E4" w:rsidP="00DD2B20">
      <w:pPr>
        <w:pStyle w:val="SingleTxtG"/>
        <w:ind w:left="1701" w:hanging="567"/>
        <w:rPr>
          <w:lang w:val="fr-CH"/>
        </w:rPr>
      </w:pPr>
      <w:r w:rsidRPr="0071782F">
        <w:rPr>
          <w:lang w:val="fr-CH"/>
        </w:rPr>
        <w:tab/>
        <w:t>133.3.</w:t>
      </w:r>
      <w:r w:rsidRPr="0071782F">
        <w:rPr>
          <w:lang w:val="fr-CH"/>
        </w:rPr>
        <w:tab/>
        <w:t>Me</w:t>
      </w:r>
      <w:r w:rsidR="00DD2B20" w:rsidRPr="0071782F">
        <w:rPr>
          <w:lang w:val="fr-CH"/>
        </w:rPr>
        <w:t xml:space="preserve">sures </w:t>
      </w:r>
      <w:r w:rsidRPr="0071782F">
        <w:rPr>
          <w:lang w:val="fr-CH"/>
        </w:rPr>
        <w:t xml:space="preserve">adoptées par le gouvernement au cours des quatre années écoulées tendant à réexaminer et à modifier les lois, règles et règlements concernant la femme et </w:t>
      </w:r>
      <w:r w:rsidR="00B71907" w:rsidRPr="0071782F">
        <w:rPr>
          <w:lang w:val="fr-CH"/>
        </w:rPr>
        <w:t>la famille</w:t>
      </w:r>
      <w:r w:rsidR="00DB0332" w:rsidRPr="0071782F">
        <w:rPr>
          <w:lang w:val="fr-CH"/>
        </w:rPr>
        <w:t>.</w:t>
      </w:r>
    </w:p>
    <w:p w:rsidR="00DD2B20" w:rsidRPr="0071782F" w:rsidRDefault="00DD2B20" w:rsidP="00DD2B20">
      <w:pPr>
        <w:pStyle w:val="SingleTxtG"/>
        <w:ind w:left="1701" w:hanging="567"/>
        <w:rPr>
          <w:lang w:val="fr-CH"/>
        </w:rPr>
      </w:pPr>
      <w:r w:rsidRPr="0071782F">
        <w:rPr>
          <w:lang w:val="fr-CH"/>
        </w:rPr>
        <w:tab/>
        <w:t>133.4.</w:t>
      </w:r>
      <w:r w:rsidRPr="0071782F">
        <w:rPr>
          <w:lang w:val="fr-CH"/>
        </w:rPr>
        <w:tab/>
      </w:r>
      <w:r w:rsidR="009338E4" w:rsidRPr="0071782F">
        <w:rPr>
          <w:lang w:val="fr-CH"/>
        </w:rPr>
        <w:t xml:space="preserve">Mesures adoptées par le </w:t>
      </w:r>
      <w:r w:rsidR="00B174F3" w:rsidRPr="0071782F">
        <w:rPr>
          <w:lang w:val="fr-CH"/>
        </w:rPr>
        <w:t>Centre pour les affaires familiales et féminines</w:t>
      </w:r>
      <w:r w:rsidR="009338E4" w:rsidRPr="0071782F">
        <w:rPr>
          <w:lang w:val="fr-CH"/>
        </w:rPr>
        <w:t xml:space="preserve"> tendant à modifier les lois, règles et règlements ainsi que les projets de loi sur la femme et </w:t>
      </w:r>
      <w:r w:rsidR="00B71907" w:rsidRPr="0071782F">
        <w:rPr>
          <w:lang w:val="fr-CH"/>
        </w:rPr>
        <w:t>la famille</w:t>
      </w:r>
      <w:r w:rsidR="009338E4" w:rsidRPr="0071782F">
        <w:rPr>
          <w:lang w:val="fr-CH"/>
        </w:rPr>
        <w:t xml:space="preserve"> soumis au Conseil des ministres</w:t>
      </w:r>
      <w:r w:rsidR="00DB0332" w:rsidRPr="0071782F">
        <w:rPr>
          <w:lang w:val="fr-CH"/>
        </w:rPr>
        <w:t>.</w:t>
      </w:r>
    </w:p>
    <w:p w:rsidR="00DD2B20" w:rsidRPr="0071782F" w:rsidRDefault="00DD2B20" w:rsidP="00DD2B20">
      <w:pPr>
        <w:pStyle w:val="SingleTxtG"/>
        <w:ind w:left="1701" w:hanging="567"/>
        <w:rPr>
          <w:lang w:val="fr-CH"/>
        </w:rPr>
      </w:pPr>
      <w:r w:rsidRPr="0071782F">
        <w:rPr>
          <w:lang w:val="fr-CH"/>
        </w:rPr>
        <w:tab/>
        <w:t>133.5.</w:t>
      </w:r>
      <w:r w:rsidRPr="0071782F">
        <w:rPr>
          <w:lang w:val="fr-CH"/>
        </w:rPr>
        <w:tab/>
      </w:r>
      <w:r w:rsidR="009338E4" w:rsidRPr="0071782F">
        <w:rPr>
          <w:lang w:val="fr-CH"/>
        </w:rPr>
        <w:t xml:space="preserve">Mesures adoptées pour appuyer </w:t>
      </w:r>
      <w:r w:rsidR="00B71907" w:rsidRPr="0071782F">
        <w:rPr>
          <w:lang w:val="fr-CH"/>
        </w:rPr>
        <w:t>la famille</w:t>
      </w:r>
      <w:r w:rsidR="009338E4" w:rsidRPr="0071782F">
        <w:rPr>
          <w:lang w:val="fr-CH"/>
        </w:rPr>
        <w:t xml:space="preserve"> dans le système judiciaire et les procédures judiciaires du pays </w:t>
      </w:r>
      <w:r w:rsidRPr="0071782F">
        <w:rPr>
          <w:lang w:val="fr-CH"/>
        </w:rPr>
        <w:t>(proc</w:t>
      </w:r>
      <w:r w:rsidR="009338E4" w:rsidRPr="0071782F">
        <w:rPr>
          <w:lang w:val="fr-CH"/>
        </w:rPr>
        <w:t>é</w:t>
      </w:r>
      <w:r w:rsidRPr="0071782F">
        <w:rPr>
          <w:lang w:val="fr-CH"/>
        </w:rPr>
        <w:t xml:space="preserve">dures </w:t>
      </w:r>
      <w:r w:rsidR="009338E4" w:rsidRPr="0071782F">
        <w:rPr>
          <w:lang w:val="fr-CH"/>
        </w:rPr>
        <w:t xml:space="preserve">de </w:t>
      </w:r>
      <w:r w:rsidRPr="0071782F">
        <w:rPr>
          <w:lang w:val="fr-CH"/>
        </w:rPr>
        <w:t xml:space="preserve">divorce </w:t>
      </w:r>
      <w:r w:rsidR="009338E4" w:rsidRPr="0071782F">
        <w:rPr>
          <w:lang w:val="fr-CH"/>
        </w:rPr>
        <w:t>introduites par l’épouse</w:t>
      </w:r>
      <w:r w:rsidRPr="0071782F">
        <w:rPr>
          <w:lang w:val="fr-CH"/>
        </w:rPr>
        <w:t xml:space="preserve">, </w:t>
      </w:r>
      <w:r w:rsidR="009338E4" w:rsidRPr="0071782F">
        <w:rPr>
          <w:lang w:val="fr-CH"/>
        </w:rPr>
        <w:t xml:space="preserve">procédures formelles de </w:t>
      </w:r>
      <w:r w:rsidRPr="0071782F">
        <w:rPr>
          <w:lang w:val="fr-CH"/>
        </w:rPr>
        <w:t xml:space="preserve">divorce, </w:t>
      </w:r>
      <w:r w:rsidR="009338E4" w:rsidRPr="0071782F">
        <w:rPr>
          <w:lang w:val="fr-CH"/>
        </w:rPr>
        <w:t xml:space="preserve">dot, </w:t>
      </w:r>
      <w:r w:rsidRPr="0071782F">
        <w:rPr>
          <w:lang w:val="fr-CH"/>
        </w:rPr>
        <w:t>remun</w:t>
      </w:r>
      <w:r w:rsidR="009338E4" w:rsidRPr="0071782F">
        <w:rPr>
          <w:lang w:val="fr-CH"/>
        </w:rPr>
        <w:t>é</w:t>
      </w:r>
      <w:r w:rsidRPr="0071782F">
        <w:rPr>
          <w:lang w:val="fr-CH"/>
        </w:rPr>
        <w:t xml:space="preserve">ration, </w:t>
      </w:r>
      <w:r w:rsidR="009338E4" w:rsidRPr="0071782F">
        <w:rPr>
          <w:lang w:val="fr-CH"/>
        </w:rPr>
        <w:t>moitié du patrimone de l’époux</w:t>
      </w:r>
      <w:r w:rsidRPr="0071782F">
        <w:rPr>
          <w:lang w:val="fr-CH"/>
        </w:rPr>
        <w:t xml:space="preserve">, </w:t>
      </w:r>
      <w:r w:rsidR="009338E4" w:rsidRPr="0071782F">
        <w:rPr>
          <w:lang w:val="fr-CH"/>
        </w:rPr>
        <w:t>pension alimentaire</w:t>
      </w:r>
      <w:r w:rsidRPr="0071782F">
        <w:rPr>
          <w:lang w:val="fr-CH"/>
        </w:rPr>
        <w:t xml:space="preserve">, </w:t>
      </w:r>
      <w:r w:rsidR="009338E4" w:rsidRPr="0071782F">
        <w:rPr>
          <w:lang w:val="fr-CH"/>
        </w:rPr>
        <w:t>garde des enfants</w:t>
      </w:r>
      <w:r w:rsidRPr="0071782F">
        <w:rPr>
          <w:lang w:val="fr-CH"/>
        </w:rPr>
        <w:t xml:space="preserve">, </w:t>
      </w:r>
      <w:r w:rsidR="009338E4" w:rsidRPr="0071782F">
        <w:rPr>
          <w:lang w:val="fr-CH"/>
        </w:rPr>
        <w:t>deuxième mariage</w:t>
      </w:r>
      <w:r w:rsidRPr="0071782F">
        <w:rPr>
          <w:lang w:val="fr-CH"/>
        </w:rPr>
        <w:t xml:space="preserve">, </w:t>
      </w:r>
      <w:r w:rsidR="009338E4" w:rsidRPr="0071782F">
        <w:rPr>
          <w:lang w:val="fr-CH"/>
        </w:rPr>
        <w:t xml:space="preserve">enregistrement obligatoire du mariage et du </w:t>
      </w:r>
      <w:r w:rsidRPr="0071782F">
        <w:rPr>
          <w:lang w:val="fr-CH"/>
        </w:rPr>
        <w:t xml:space="preserve">divorce, </w:t>
      </w:r>
      <w:r w:rsidR="009338E4" w:rsidRPr="0071782F">
        <w:rPr>
          <w:lang w:val="fr-CH"/>
        </w:rPr>
        <w:t xml:space="preserve">loi sur le soutien de </w:t>
      </w:r>
      <w:r w:rsidR="00B71907" w:rsidRPr="0071782F">
        <w:rPr>
          <w:lang w:val="fr-CH"/>
        </w:rPr>
        <w:t>la famille</w:t>
      </w:r>
      <w:r w:rsidRPr="0071782F">
        <w:rPr>
          <w:lang w:val="fr-CH"/>
        </w:rPr>
        <w:t>, etc.)</w:t>
      </w:r>
      <w:r w:rsidR="00DB0332" w:rsidRPr="0071782F">
        <w:rPr>
          <w:lang w:val="fr-CH"/>
        </w:rPr>
        <w:t>.</w:t>
      </w:r>
    </w:p>
    <w:p w:rsidR="00DD2B20" w:rsidRPr="0071782F" w:rsidRDefault="00DD2B20" w:rsidP="00DD2B20">
      <w:pPr>
        <w:pStyle w:val="SingleTxtG"/>
        <w:ind w:left="1701" w:hanging="567"/>
        <w:rPr>
          <w:lang w:val="fr-CH"/>
        </w:rPr>
      </w:pPr>
      <w:r w:rsidRPr="0071782F">
        <w:rPr>
          <w:lang w:val="fr-CH"/>
        </w:rPr>
        <w:tab/>
        <w:t>133.6.</w:t>
      </w:r>
      <w:r w:rsidRPr="0071782F">
        <w:rPr>
          <w:lang w:val="fr-CH"/>
        </w:rPr>
        <w:tab/>
        <w:t xml:space="preserve">Mariage </w:t>
      </w:r>
      <w:r w:rsidR="009338E4" w:rsidRPr="0071782F">
        <w:rPr>
          <w:lang w:val="fr-CH"/>
        </w:rPr>
        <w:t xml:space="preserve">fondé sur le </w:t>
      </w:r>
      <w:r w:rsidRPr="0071782F">
        <w:rPr>
          <w:lang w:val="fr-CH"/>
        </w:rPr>
        <w:t>consent</w:t>
      </w:r>
      <w:r w:rsidR="009338E4" w:rsidRPr="0071782F">
        <w:rPr>
          <w:lang w:val="fr-CH"/>
        </w:rPr>
        <w:t>ement mutuel</w:t>
      </w:r>
      <w:r w:rsidR="00DB0332" w:rsidRPr="0071782F">
        <w:rPr>
          <w:lang w:val="fr-CH"/>
        </w:rPr>
        <w:t>.</w:t>
      </w:r>
    </w:p>
    <w:p w:rsidR="00DD2B20" w:rsidRPr="0071782F" w:rsidRDefault="00DD2B20" w:rsidP="00DD2B20">
      <w:pPr>
        <w:pStyle w:val="SingleTxtG"/>
        <w:ind w:left="1701" w:hanging="567"/>
        <w:rPr>
          <w:lang w:val="fr-CH"/>
        </w:rPr>
      </w:pPr>
      <w:r w:rsidRPr="0071782F">
        <w:rPr>
          <w:lang w:val="fr-CH"/>
        </w:rPr>
        <w:tab/>
        <w:t>133.7.</w:t>
      </w:r>
      <w:r w:rsidRPr="0071782F">
        <w:rPr>
          <w:lang w:val="fr-CH"/>
        </w:rPr>
        <w:tab/>
      </w:r>
      <w:r w:rsidR="009338E4" w:rsidRPr="0071782F">
        <w:rPr>
          <w:lang w:val="fr-CH"/>
        </w:rPr>
        <w:t>Soutien des mères qui travaillent</w:t>
      </w:r>
      <w:r w:rsidR="00DB0332" w:rsidRPr="0071782F">
        <w:rPr>
          <w:lang w:val="fr-CH"/>
        </w:rPr>
        <w:t>.</w:t>
      </w:r>
    </w:p>
    <w:p w:rsidR="00DD2B20" w:rsidRPr="0071782F" w:rsidRDefault="00DD2B20" w:rsidP="00DD2B20">
      <w:pPr>
        <w:pStyle w:val="SingleTxtG"/>
        <w:ind w:left="1701" w:hanging="567"/>
        <w:rPr>
          <w:lang w:val="fr-CH"/>
        </w:rPr>
      </w:pPr>
      <w:r w:rsidRPr="0071782F">
        <w:rPr>
          <w:lang w:val="fr-CH"/>
        </w:rPr>
        <w:tab/>
        <w:t>133.8.</w:t>
      </w:r>
      <w:r w:rsidRPr="0071782F">
        <w:rPr>
          <w:lang w:val="fr-CH"/>
        </w:rPr>
        <w:tab/>
        <w:t>S</w:t>
      </w:r>
      <w:r w:rsidR="009338E4" w:rsidRPr="0071782F">
        <w:rPr>
          <w:lang w:val="fr-CH"/>
        </w:rPr>
        <w:t>outien des enfants</w:t>
      </w:r>
      <w:r w:rsidR="00DB0332" w:rsidRPr="0071782F">
        <w:rPr>
          <w:lang w:val="fr-CH"/>
        </w:rPr>
        <w:t>.</w:t>
      </w:r>
    </w:p>
    <w:p w:rsidR="00DD2B20" w:rsidRPr="0071782F" w:rsidRDefault="00DD2B20" w:rsidP="00DD2B20">
      <w:pPr>
        <w:pStyle w:val="SingleTxtG"/>
        <w:ind w:left="1701" w:hanging="567"/>
        <w:rPr>
          <w:lang w:val="fr-CH"/>
        </w:rPr>
      </w:pPr>
      <w:r w:rsidRPr="0071782F">
        <w:rPr>
          <w:lang w:val="fr-CH"/>
        </w:rPr>
        <w:tab/>
        <w:t>133.9.</w:t>
      </w:r>
      <w:r w:rsidRPr="0071782F">
        <w:rPr>
          <w:lang w:val="fr-CH"/>
        </w:rPr>
        <w:tab/>
        <w:t>Statisti</w:t>
      </w:r>
      <w:r w:rsidR="009338E4" w:rsidRPr="0071782F">
        <w:rPr>
          <w:lang w:val="fr-CH"/>
        </w:rPr>
        <w:t>que</w:t>
      </w:r>
      <w:r w:rsidRPr="0071782F">
        <w:rPr>
          <w:lang w:val="fr-CH"/>
        </w:rPr>
        <w:t xml:space="preserve">s </w:t>
      </w:r>
      <w:r w:rsidR="009338E4" w:rsidRPr="0071782F">
        <w:rPr>
          <w:lang w:val="fr-CH"/>
        </w:rPr>
        <w:t xml:space="preserve">de l’Organisme public de protection sociale sur les mesures qu’il a prises au titre du soutien de </w:t>
      </w:r>
      <w:r w:rsidR="00B71907" w:rsidRPr="0071782F">
        <w:rPr>
          <w:lang w:val="fr-CH"/>
        </w:rPr>
        <w:t>la famille</w:t>
      </w:r>
      <w:r w:rsidR="00DB0332" w:rsidRPr="0071782F">
        <w:rPr>
          <w:lang w:val="fr-CH"/>
        </w:rPr>
        <w:t>.</w:t>
      </w:r>
    </w:p>
    <w:p w:rsidR="00DD2B20" w:rsidRPr="0071782F" w:rsidRDefault="00DD2B20" w:rsidP="00DD2B20">
      <w:pPr>
        <w:pStyle w:val="SingleTxtG"/>
        <w:ind w:left="1701" w:hanging="567"/>
        <w:rPr>
          <w:lang w:val="fr-CH"/>
        </w:rPr>
      </w:pPr>
      <w:r w:rsidRPr="0071782F">
        <w:rPr>
          <w:lang w:val="fr-CH"/>
        </w:rPr>
        <w:tab/>
      </w:r>
      <w:r w:rsidR="00DB0332" w:rsidRPr="0071782F">
        <w:rPr>
          <w:lang w:val="fr-CH"/>
        </w:rPr>
        <w:t xml:space="preserve">133.10. </w:t>
      </w:r>
      <w:r w:rsidRPr="0071782F">
        <w:rPr>
          <w:lang w:val="fr-CH"/>
        </w:rPr>
        <w:t>Activit</w:t>
      </w:r>
      <w:r w:rsidR="009338E4" w:rsidRPr="0071782F">
        <w:rPr>
          <w:lang w:val="fr-CH"/>
        </w:rPr>
        <w:t>é</w:t>
      </w:r>
      <w:r w:rsidRPr="0071782F">
        <w:rPr>
          <w:lang w:val="fr-CH"/>
        </w:rPr>
        <w:t xml:space="preserve">s </w:t>
      </w:r>
      <w:r w:rsidR="009338E4" w:rsidRPr="0071782F">
        <w:rPr>
          <w:lang w:val="fr-CH"/>
        </w:rPr>
        <w:t xml:space="preserve">du Comité de secours de l’Imam Khomeini à l’appui de </w:t>
      </w:r>
      <w:r w:rsidR="00B71907" w:rsidRPr="0071782F">
        <w:rPr>
          <w:lang w:val="fr-CH"/>
        </w:rPr>
        <w:t>la famille</w:t>
      </w:r>
      <w:r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r>
      <w:r w:rsidR="004D086E" w:rsidRPr="0071782F">
        <w:rPr>
          <w:lang w:val="fr-CH"/>
        </w:rPr>
        <w:t xml:space="preserve">Législation nationale relative à la formation de </w:t>
      </w:r>
      <w:r w:rsidR="00B71907" w:rsidRPr="0071782F">
        <w:rPr>
          <w:lang w:val="fr-CH"/>
        </w:rPr>
        <w:t>la famille</w:t>
      </w:r>
      <w:r w:rsidR="004D086E" w:rsidRPr="0071782F">
        <w:rPr>
          <w:lang w:val="fr-CH"/>
        </w:rPr>
        <w:t xml:space="preserve"> en vigueur</w:t>
      </w:r>
      <w:r w:rsidR="008F7D33" w:rsidRPr="0071782F">
        <w:rPr>
          <w:lang w:val="fr-CH"/>
        </w:rPr>
        <w:t>:</w:t>
      </w:r>
      <w:r w:rsidR="004D086E" w:rsidRPr="0071782F">
        <w:rPr>
          <w:lang w:val="fr-CH"/>
        </w:rPr>
        <w:t xml:space="preserve"> état des lieux </w:t>
      </w:r>
    </w:p>
    <w:p w:rsidR="00DD2B20" w:rsidRPr="0071782F" w:rsidRDefault="00DD2B20" w:rsidP="00DD2B20">
      <w:pPr>
        <w:pStyle w:val="SingleTxtG"/>
        <w:rPr>
          <w:lang w:val="fr-CH"/>
        </w:rPr>
      </w:pPr>
      <w:r w:rsidRPr="0071782F">
        <w:rPr>
          <w:lang w:val="fr-CH"/>
        </w:rPr>
        <w:t>134.</w:t>
      </w:r>
      <w:r w:rsidRPr="0071782F">
        <w:rPr>
          <w:lang w:val="fr-CH"/>
        </w:rPr>
        <w:tab/>
      </w:r>
      <w:r w:rsidR="004D086E" w:rsidRPr="0071782F">
        <w:rPr>
          <w:lang w:val="fr-CH"/>
        </w:rPr>
        <w:t xml:space="preserve">Les </w:t>
      </w:r>
      <w:r w:rsidR="00723F2B" w:rsidRPr="0071782F">
        <w:rPr>
          <w:lang w:val="fr-CH"/>
        </w:rPr>
        <w:t>articles </w:t>
      </w:r>
      <w:r w:rsidR="004D086E" w:rsidRPr="0071782F">
        <w:rPr>
          <w:lang w:val="fr-CH"/>
        </w:rPr>
        <w:t xml:space="preserve">3, 10, 20, 21, 28, 29, 31, 43 et </w:t>
      </w:r>
      <w:r w:rsidRPr="0071782F">
        <w:rPr>
          <w:lang w:val="fr-CH"/>
        </w:rPr>
        <w:t xml:space="preserve">56 </w:t>
      </w:r>
      <w:r w:rsidR="004D086E" w:rsidRPr="0071782F">
        <w:rPr>
          <w:lang w:val="fr-CH"/>
        </w:rPr>
        <w:t xml:space="preserve">de la </w:t>
      </w:r>
      <w:r w:rsidRPr="0071782F">
        <w:rPr>
          <w:lang w:val="fr-CH"/>
        </w:rPr>
        <w:t xml:space="preserve">Constitution </w:t>
      </w:r>
      <w:r w:rsidR="004D086E" w:rsidRPr="0071782F">
        <w:rPr>
          <w:lang w:val="fr-CH"/>
        </w:rPr>
        <w:t xml:space="preserve">prévoient le respect des droits de la femme conformément au droit islamique et la création des bases nécessaires au développement de la femme et à la protection de ses droits matériels, moraux et intellectuels, ainsi que la fourniture d’une assistance juridique devant lui permettre de préserver les droits et intérêts que l’État doit lui garantir dans différents domaines. Les quatre premiers de ces </w:t>
      </w:r>
      <w:r w:rsidR="00A5752C">
        <w:rPr>
          <w:lang w:val="fr-CH"/>
        </w:rPr>
        <w:t xml:space="preserve">articles </w:t>
      </w:r>
      <w:r w:rsidR="004D086E" w:rsidRPr="0071782F">
        <w:rPr>
          <w:lang w:val="fr-CH"/>
        </w:rPr>
        <w:t>sont ainsi libellés</w:t>
      </w:r>
      <w:r w:rsidR="008F7D33" w:rsidRPr="0071782F">
        <w:rPr>
          <w:lang w:val="fr-CH"/>
        </w:rPr>
        <w:t>:</w:t>
      </w:r>
    </w:p>
    <w:p w:rsidR="00DD2B20" w:rsidRPr="0071782F" w:rsidRDefault="00DD2B20" w:rsidP="00DD2B20">
      <w:pPr>
        <w:pStyle w:val="SingleTxtG"/>
        <w:ind w:left="1701" w:hanging="567"/>
        <w:rPr>
          <w:lang w:val="fr-CH"/>
        </w:rPr>
      </w:pPr>
      <w:r w:rsidRPr="0071782F">
        <w:rPr>
          <w:lang w:val="fr-CH"/>
        </w:rPr>
        <w:tab/>
        <w:t>134.1.</w:t>
      </w:r>
      <w:r w:rsidRPr="0071782F">
        <w:rPr>
          <w:lang w:val="fr-CH"/>
        </w:rPr>
        <w:tab/>
      </w:r>
      <w:r w:rsidR="00943A69" w:rsidRPr="0071782F">
        <w:rPr>
          <w:b/>
          <w:lang w:val="fr-CH"/>
        </w:rPr>
        <w:t>Article </w:t>
      </w:r>
      <w:r w:rsidRPr="0071782F">
        <w:rPr>
          <w:b/>
          <w:lang w:val="fr-CH"/>
        </w:rPr>
        <w:t>3</w:t>
      </w:r>
      <w:r w:rsidR="008F7D33" w:rsidRPr="0071782F">
        <w:rPr>
          <w:b/>
          <w:lang w:val="fr-CH"/>
        </w:rPr>
        <w:t>:</w:t>
      </w:r>
      <w:r w:rsidRPr="0071782F">
        <w:rPr>
          <w:lang w:val="fr-CH"/>
        </w:rPr>
        <w:t xml:space="preserve"> </w:t>
      </w:r>
      <w:r w:rsidR="004D086E" w:rsidRPr="0071782F">
        <w:rPr>
          <w:lang w:val="fr-CH"/>
        </w:rPr>
        <w:t xml:space="preserve">Pour réaliser les objectifs énoncés à </w:t>
      </w:r>
      <w:r w:rsidR="00723F2B" w:rsidRPr="0071782F">
        <w:rPr>
          <w:lang w:val="fr-CH"/>
        </w:rPr>
        <w:t>l’</w:t>
      </w:r>
      <w:r w:rsidR="00943A69" w:rsidRPr="0071782F">
        <w:rPr>
          <w:lang w:val="fr-CH"/>
        </w:rPr>
        <w:t>article </w:t>
      </w:r>
      <w:r w:rsidR="004D086E" w:rsidRPr="0071782F">
        <w:rPr>
          <w:lang w:val="fr-CH"/>
        </w:rPr>
        <w:t xml:space="preserve">2, l’État est tenu d’utiliser tous les moyens à sa disposition pour éliminer toutes les formes de </w:t>
      </w:r>
      <w:r w:rsidRPr="0071782F">
        <w:rPr>
          <w:lang w:val="fr-CH"/>
        </w:rPr>
        <w:t xml:space="preserve">discrimination </w:t>
      </w:r>
      <w:r w:rsidR="004D086E" w:rsidRPr="0071782F">
        <w:rPr>
          <w:lang w:val="fr-CH"/>
        </w:rPr>
        <w:t>et garantir l’égalité des chances à tous, dans les sphères tant matérielle qu’intellectuelle</w:t>
      </w:r>
      <w:r w:rsidRPr="0071782F">
        <w:rPr>
          <w:lang w:val="fr-CH"/>
        </w:rPr>
        <w:t xml:space="preserve">; </w:t>
      </w:r>
      <w:r w:rsidR="004D086E" w:rsidRPr="0071782F">
        <w:rPr>
          <w:lang w:val="fr-CH"/>
        </w:rPr>
        <w:t>garantir les droits de tous les citoyens et citoyennes dans tous les domaines;</w:t>
      </w:r>
      <w:r w:rsidRPr="0071782F">
        <w:rPr>
          <w:lang w:val="fr-CH"/>
        </w:rPr>
        <w:t xml:space="preserve"> cr</w:t>
      </w:r>
      <w:r w:rsidR="004D086E" w:rsidRPr="0071782F">
        <w:rPr>
          <w:lang w:val="fr-CH"/>
        </w:rPr>
        <w:t>éer une sécurité judiciaire équitable pour tous; et garantir l’égalité de tous les citoyens devant la loi</w:t>
      </w:r>
      <w:r w:rsidR="00DB0332" w:rsidRPr="0071782F">
        <w:rPr>
          <w:lang w:val="fr-CH"/>
        </w:rPr>
        <w:t>.</w:t>
      </w:r>
    </w:p>
    <w:p w:rsidR="00DD2B20" w:rsidRPr="0071782F" w:rsidRDefault="00DD2B20" w:rsidP="00DD2B20">
      <w:pPr>
        <w:pStyle w:val="SingleTxtG"/>
        <w:ind w:left="1701" w:hanging="567"/>
        <w:rPr>
          <w:lang w:val="fr-CH"/>
        </w:rPr>
      </w:pPr>
      <w:r w:rsidRPr="0071782F">
        <w:rPr>
          <w:lang w:val="fr-CH"/>
        </w:rPr>
        <w:tab/>
        <w:t>134.2.</w:t>
      </w:r>
      <w:r w:rsidRPr="0071782F">
        <w:rPr>
          <w:lang w:val="fr-CH"/>
        </w:rPr>
        <w:tab/>
      </w:r>
      <w:r w:rsidR="00943A69" w:rsidRPr="0071782F">
        <w:rPr>
          <w:b/>
          <w:lang w:val="fr-CH"/>
        </w:rPr>
        <w:t>Article </w:t>
      </w:r>
      <w:r w:rsidRPr="0071782F">
        <w:rPr>
          <w:b/>
          <w:lang w:val="fr-CH"/>
        </w:rPr>
        <w:t>10</w:t>
      </w:r>
      <w:r w:rsidR="008F7D33" w:rsidRPr="0071782F">
        <w:rPr>
          <w:b/>
          <w:lang w:val="fr-CH"/>
        </w:rPr>
        <w:t>:</w:t>
      </w:r>
      <w:r w:rsidRPr="0071782F">
        <w:rPr>
          <w:lang w:val="fr-CH"/>
        </w:rPr>
        <w:t xml:space="preserve"> </w:t>
      </w:r>
      <w:r w:rsidR="004D086E" w:rsidRPr="0071782F">
        <w:rPr>
          <w:lang w:val="fr-CH"/>
        </w:rPr>
        <w:t xml:space="preserve">Dans la mesure où </w:t>
      </w:r>
      <w:r w:rsidR="00B71907" w:rsidRPr="0071782F">
        <w:rPr>
          <w:lang w:val="fr-CH"/>
        </w:rPr>
        <w:t>la famille</w:t>
      </w:r>
      <w:r w:rsidR="004D086E" w:rsidRPr="0071782F">
        <w:rPr>
          <w:lang w:val="fr-CH"/>
        </w:rPr>
        <w:t xml:space="preserve"> constitue la cellule fondamentale de la société islamique, toutes les lois et réglementations et tous les programmes doivent être conçus de manière à faciliter la formation de </w:t>
      </w:r>
      <w:r w:rsidR="00B71907" w:rsidRPr="0071782F">
        <w:rPr>
          <w:lang w:val="fr-CH"/>
        </w:rPr>
        <w:t>la famille</w:t>
      </w:r>
      <w:r w:rsidR="004D086E" w:rsidRPr="0071782F">
        <w:rPr>
          <w:lang w:val="fr-CH"/>
        </w:rPr>
        <w:t xml:space="preserve"> et à préserver son caractère sacré et la stabilité des relations familiales sur la base des lois et de l’éthique islamiques</w:t>
      </w:r>
      <w:r w:rsidR="00DB0332" w:rsidRPr="0071782F">
        <w:rPr>
          <w:lang w:val="fr-CH"/>
        </w:rPr>
        <w:t>.</w:t>
      </w:r>
    </w:p>
    <w:p w:rsidR="00DD2B20" w:rsidRPr="0071782F" w:rsidRDefault="00DD2B20" w:rsidP="00DD2B20">
      <w:pPr>
        <w:pStyle w:val="SingleTxtG"/>
        <w:ind w:left="1701" w:hanging="567"/>
        <w:rPr>
          <w:lang w:val="fr-CH"/>
        </w:rPr>
      </w:pPr>
      <w:r w:rsidRPr="0071782F">
        <w:rPr>
          <w:lang w:val="fr-CH"/>
        </w:rPr>
        <w:tab/>
        <w:t>134.3.</w:t>
      </w:r>
      <w:r w:rsidRPr="0071782F">
        <w:rPr>
          <w:lang w:val="fr-CH"/>
        </w:rPr>
        <w:tab/>
      </w:r>
      <w:r w:rsidR="00943A69" w:rsidRPr="0071782F">
        <w:rPr>
          <w:b/>
          <w:lang w:val="fr-CH"/>
        </w:rPr>
        <w:t>Article </w:t>
      </w:r>
      <w:r w:rsidRPr="0071782F">
        <w:rPr>
          <w:b/>
          <w:lang w:val="fr-CH"/>
        </w:rPr>
        <w:t>20</w:t>
      </w:r>
      <w:r w:rsidR="008F7D33" w:rsidRPr="0071782F">
        <w:rPr>
          <w:b/>
          <w:lang w:val="fr-CH"/>
        </w:rPr>
        <w:t>:</w:t>
      </w:r>
      <w:r w:rsidRPr="0071782F">
        <w:rPr>
          <w:lang w:val="fr-CH"/>
        </w:rPr>
        <w:t xml:space="preserve"> </w:t>
      </w:r>
      <w:r w:rsidR="004D086E" w:rsidRPr="0071782F">
        <w:rPr>
          <w:lang w:val="fr-CH"/>
        </w:rPr>
        <w:t xml:space="preserve">Tous les citoyens et citoyennes jouissent de l’égale protection de la loi et de tous les droits humains, </w:t>
      </w:r>
      <w:r w:rsidRPr="0071782F">
        <w:rPr>
          <w:lang w:val="fr-CH"/>
        </w:rPr>
        <w:t>politi</w:t>
      </w:r>
      <w:r w:rsidR="004D086E" w:rsidRPr="0071782F">
        <w:rPr>
          <w:lang w:val="fr-CH"/>
        </w:rPr>
        <w:t>ques</w:t>
      </w:r>
      <w:r w:rsidRPr="0071782F">
        <w:rPr>
          <w:lang w:val="fr-CH"/>
        </w:rPr>
        <w:t xml:space="preserve">, </w:t>
      </w:r>
      <w:r w:rsidR="004D086E" w:rsidRPr="0071782F">
        <w:rPr>
          <w:lang w:val="fr-CH"/>
        </w:rPr>
        <w:t>économiques</w:t>
      </w:r>
      <w:r w:rsidRPr="0071782F">
        <w:rPr>
          <w:lang w:val="fr-CH"/>
        </w:rPr>
        <w:t>, socia</w:t>
      </w:r>
      <w:r w:rsidR="004D086E" w:rsidRPr="0071782F">
        <w:rPr>
          <w:lang w:val="fr-CH"/>
        </w:rPr>
        <w:t>ux et culture</w:t>
      </w:r>
      <w:r w:rsidRPr="0071782F">
        <w:rPr>
          <w:lang w:val="fr-CH"/>
        </w:rPr>
        <w:t>l</w:t>
      </w:r>
      <w:r w:rsidR="004D086E" w:rsidRPr="0071782F">
        <w:rPr>
          <w:lang w:val="fr-CH"/>
        </w:rPr>
        <w:t>s conformément aux critères islamiques</w:t>
      </w:r>
      <w:r w:rsidR="00DB0332" w:rsidRPr="0071782F">
        <w:rPr>
          <w:lang w:val="fr-CH"/>
        </w:rPr>
        <w:t>.</w:t>
      </w:r>
    </w:p>
    <w:p w:rsidR="00DD2B20" w:rsidRPr="0071782F" w:rsidRDefault="00DD2B20" w:rsidP="00DD2B20">
      <w:pPr>
        <w:pStyle w:val="SingleTxtG"/>
        <w:ind w:left="1701" w:hanging="567"/>
        <w:rPr>
          <w:lang w:val="fr-CH"/>
        </w:rPr>
      </w:pPr>
      <w:r w:rsidRPr="0071782F">
        <w:rPr>
          <w:lang w:val="fr-CH"/>
        </w:rPr>
        <w:tab/>
        <w:t>134.4.</w:t>
      </w:r>
      <w:r w:rsidRPr="0071782F">
        <w:rPr>
          <w:lang w:val="fr-CH"/>
        </w:rPr>
        <w:tab/>
      </w:r>
      <w:r w:rsidR="00943A69" w:rsidRPr="0071782F">
        <w:rPr>
          <w:b/>
          <w:lang w:val="fr-CH"/>
        </w:rPr>
        <w:t>Article </w:t>
      </w:r>
      <w:r w:rsidRPr="0071782F">
        <w:rPr>
          <w:b/>
          <w:lang w:val="fr-CH"/>
        </w:rPr>
        <w:t>21</w:t>
      </w:r>
      <w:r w:rsidR="008F7D33" w:rsidRPr="0071782F">
        <w:rPr>
          <w:b/>
          <w:lang w:val="fr-CH"/>
        </w:rPr>
        <w:t>:</w:t>
      </w:r>
      <w:r w:rsidRPr="0071782F">
        <w:rPr>
          <w:lang w:val="fr-CH"/>
        </w:rPr>
        <w:t xml:space="preserve"> </w:t>
      </w:r>
      <w:r w:rsidR="00C801BE" w:rsidRPr="0071782F">
        <w:rPr>
          <w:lang w:val="fr-CH"/>
        </w:rPr>
        <w:t>L’État doit garantir les droits des femmes dans tous les domaines, conformément aux critères islamiques, et réaliser les objectifs suivants</w:t>
      </w:r>
      <w:r w:rsidR="008F7D33" w:rsidRPr="0071782F">
        <w:rPr>
          <w:lang w:val="fr-CH"/>
        </w:rPr>
        <w:t>:</w:t>
      </w:r>
      <w:r w:rsidR="00C801BE" w:rsidRPr="0071782F">
        <w:rPr>
          <w:lang w:val="fr-CH"/>
        </w:rPr>
        <w:t xml:space="preserve"> </w:t>
      </w:r>
      <w:r w:rsidRPr="0071782F">
        <w:rPr>
          <w:lang w:val="fr-CH"/>
        </w:rPr>
        <w:t>cr</w:t>
      </w:r>
      <w:r w:rsidR="00AB0686" w:rsidRPr="0071782F">
        <w:rPr>
          <w:lang w:val="fr-CH"/>
        </w:rPr>
        <w:t xml:space="preserve">éer un environnement propice à l’épanouissement de la personnalité de la femme et au rétablissement de ses droits, tant </w:t>
      </w:r>
      <w:r w:rsidRPr="0071782F">
        <w:rPr>
          <w:lang w:val="fr-CH"/>
        </w:rPr>
        <w:t>mat</w:t>
      </w:r>
      <w:r w:rsidR="00AB0686" w:rsidRPr="0071782F">
        <w:rPr>
          <w:lang w:val="fr-CH"/>
        </w:rPr>
        <w:t>ériels qu’</w:t>
      </w:r>
      <w:r w:rsidRPr="0071782F">
        <w:rPr>
          <w:lang w:val="fr-CH"/>
        </w:rPr>
        <w:t>intellectu</w:t>
      </w:r>
      <w:r w:rsidR="00AB0686" w:rsidRPr="0071782F">
        <w:rPr>
          <w:lang w:val="fr-CH"/>
        </w:rPr>
        <w:t xml:space="preserve">els, protéger les (futures) mères, en particulier pendant la grossesse et la période d’allaitement; protéger les enfants sans tuteur en créant des tribunaux ayant compétence pour protéger et préserver </w:t>
      </w:r>
      <w:r w:rsidR="00B71907" w:rsidRPr="0071782F">
        <w:rPr>
          <w:lang w:val="fr-CH"/>
        </w:rPr>
        <w:t>la famille</w:t>
      </w:r>
      <w:r w:rsidRPr="0071782F">
        <w:rPr>
          <w:lang w:val="fr-CH"/>
        </w:rPr>
        <w:t xml:space="preserve">; </w:t>
      </w:r>
      <w:r w:rsidR="00AB0686" w:rsidRPr="0071782F">
        <w:rPr>
          <w:lang w:val="fr-CH"/>
        </w:rPr>
        <w:t>instituer un régime d’assurance spécial pour les veuves, les femmes âgées et les femmes privées de soutien;</w:t>
      </w:r>
      <w:r w:rsidRPr="0071782F">
        <w:rPr>
          <w:lang w:val="fr-CH"/>
        </w:rPr>
        <w:t xml:space="preserve"> </w:t>
      </w:r>
      <w:r w:rsidR="00AB0686" w:rsidRPr="0071782F">
        <w:rPr>
          <w:lang w:val="fr-CH"/>
        </w:rPr>
        <w:t xml:space="preserve">confier la garde des enfants aux mères compétentes afin de protéger leurs </w:t>
      </w:r>
      <w:r w:rsidRPr="0071782F">
        <w:rPr>
          <w:lang w:val="fr-CH"/>
        </w:rPr>
        <w:t>int</w:t>
      </w:r>
      <w:r w:rsidR="00AB0686" w:rsidRPr="0071782F">
        <w:rPr>
          <w:lang w:val="fr-CH"/>
        </w:rPr>
        <w:t>érê</w:t>
      </w:r>
      <w:r w:rsidRPr="0071782F">
        <w:rPr>
          <w:lang w:val="fr-CH"/>
        </w:rPr>
        <w:t xml:space="preserve">ts </w:t>
      </w:r>
      <w:r w:rsidR="00AB0686" w:rsidRPr="0071782F">
        <w:rPr>
          <w:lang w:val="fr-CH"/>
        </w:rPr>
        <w:t>en l’</w:t>
      </w:r>
      <w:r w:rsidRPr="0071782F">
        <w:rPr>
          <w:lang w:val="fr-CH"/>
        </w:rPr>
        <w:t xml:space="preserve">absence </w:t>
      </w:r>
      <w:r w:rsidR="00AB0686" w:rsidRPr="0071782F">
        <w:rPr>
          <w:lang w:val="fr-CH"/>
        </w:rPr>
        <w:t xml:space="preserve">d’un tuteur </w:t>
      </w:r>
      <w:r w:rsidRPr="0071782F">
        <w:rPr>
          <w:lang w:val="fr-CH"/>
        </w:rPr>
        <w:t>l</w:t>
      </w:r>
      <w:r w:rsidR="00AB0686" w:rsidRPr="0071782F">
        <w:rPr>
          <w:lang w:val="fr-CH"/>
        </w:rPr>
        <w:t>é</w:t>
      </w:r>
      <w:r w:rsidRPr="0071782F">
        <w:rPr>
          <w:lang w:val="fr-CH"/>
        </w:rPr>
        <w:t>gal.</w:t>
      </w:r>
    </w:p>
    <w:p w:rsidR="00DD2B20" w:rsidRPr="0071782F" w:rsidRDefault="00DD2B20" w:rsidP="00DD2B20">
      <w:pPr>
        <w:pStyle w:val="H1G"/>
        <w:rPr>
          <w:lang w:val="fr-CH"/>
        </w:rPr>
      </w:pPr>
      <w:r w:rsidRPr="0071782F">
        <w:rPr>
          <w:lang w:val="fr-CH"/>
        </w:rPr>
        <w:tab/>
      </w:r>
      <w:r w:rsidRPr="0071782F">
        <w:rPr>
          <w:lang w:val="fr-CH"/>
        </w:rPr>
        <w:tab/>
      </w:r>
      <w:r w:rsidR="00AB0686" w:rsidRPr="0071782F">
        <w:rPr>
          <w:lang w:val="fr-CH"/>
        </w:rPr>
        <w:t>Plan stratégique sur 20</w:t>
      </w:r>
      <w:r w:rsidR="00D82C96" w:rsidRPr="0071782F">
        <w:rPr>
          <w:lang w:val="fr-CH"/>
        </w:rPr>
        <w:t> ans</w:t>
      </w:r>
      <w:r w:rsidR="00AB0686" w:rsidRPr="0071782F">
        <w:rPr>
          <w:lang w:val="fr-CH"/>
        </w:rPr>
        <w:t xml:space="preserve"> pour le développement de la République islamique d’Iran </w:t>
      </w:r>
    </w:p>
    <w:p w:rsidR="00DD2B20" w:rsidRPr="0071782F" w:rsidRDefault="00DD2B20" w:rsidP="00DD2B20">
      <w:pPr>
        <w:pStyle w:val="SingleTxtG"/>
        <w:rPr>
          <w:lang w:val="fr-CH"/>
        </w:rPr>
      </w:pPr>
      <w:r w:rsidRPr="0071782F">
        <w:rPr>
          <w:lang w:val="fr-CH"/>
        </w:rPr>
        <w:t>135.</w:t>
      </w:r>
      <w:r w:rsidRPr="0071782F">
        <w:rPr>
          <w:lang w:val="fr-CH"/>
        </w:rPr>
        <w:tab/>
      </w:r>
      <w:r w:rsidR="008039C4" w:rsidRPr="0071782F">
        <w:rPr>
          <w:lang w:val="fr-CH"/>
        </w:rPr>
        <w:t xml:space="preserve">Aux fins de la </w:t>
      </w:r>
      <w:r w:rsidRPr="0071782F">
        <w:rPr>
          <w:lang w:val="fr-CH"/>
        </w:rPr>
        <w:t>Constitution</w:t>
      </w:r>
      <w:r w:rsidR="008039C4" w:rsidRPr="0071782F">
        <w:rPr>
          <w:lang w:val="fr-CH"/>
        </w:rPr>
        <w:t>, le Plan stratégique sur 20</w:t>
      </w:r>
      <w:r w:rsidR="00D82C96" w:rsidRPr="0071782F">
        <w:rPr>
          <w:lang w:val="fr-CH"/>
        </w:rPr>
        <w:t> ans</w:t>
      </w:r>
      <w:r w:rsidR="008039C4" w:rsidRPr="0071782F">
        <w:rPr>
          <w:lang w:val="fr-CH"/>
        </w:rPr>
        <w:t xml:space="preserve"> a souligné la nécessité de</w:t>
      </w:r>
      <w:r w:rsidR="00D36718">
        <w:rPr>
          <w:lang w:val="fr-CH"/>
        </w:rPr>
        <w:t xml:space="preserve"> </w:t>
      </w:r>
      <w:r w:rsidRPr="0071782F">
        <w:rPr>
          <w:lang w:val="fr-CH"/>
        </w:rPr>
        <w:t>consolid</w:t>
      </w:r>
      <w:r w:rsidR="008039C4" w:rsidRPr="0071782F">
        <w:rPr>
          <w:lang w:val="fr-CH"/>
        </w:rPr>
        <w:t xml:space="preserve">er l’institution familiale et le statut de la femme dans </w:t>
      </w:r>
      <w:r w:rsidR="00B71907" w:rsidRPr="0071782F">
        <w:rPr>
          <w:lang w:val="fr-CH"/>
        </w:rPr>
        <w:t>la famille</w:t>
      </w:r>
      <w:r w:rsidR="008039C4" w:rsidRPr="0071782F">
        <w:rPr>
          <w:lang w:val="fr-CH"/>
        </w:rPr>
        <w:t xml:space="preserve"> et la société, et de protéger les droits juridiques des femmes dans tous les secteurs, et a indiqué qu’il importait d’accorder une attention particulière à leur rôle constructif.</w:t>
      </w:r>
    </w:p>
    <w:p w:rsidR="00DD2B20" w:rsidRPr="0071782F" w:rsidRDefault="00DD2B20" w:rsidP="00DD2B20">
      <w:pPr>
        <w:pStyle w:val="H1G"/>
        <w:rPr>
          <w:lang w:val="fr-CH"/>
        </w:rPr>
      </w:pPr>
      <w:r w:rsidRPr="0071782F">
        <w:rPr>
          <w:lang w:val="fr-CH"/>
        </w:rPr>
        <w:tab/>
      </w:r>
      <w:r w:rsidRPr="0071782F">
        <w:rPr>
          <w:lang w:val="fr-CH"/>
        </w:rPr>
        <w:tab/>
      </w:r>
      <w:r w:rsidR="008039C4" w:rsidRPr="0071782F">
        <w:rPr>
          <w:lang w:val="fr-CH"/>
        </w:rPr>
        <w:t xml:space="preserve">Charte des droits et </w:t>
      </w:r>
      <w:r w:rsidRPr="0071782F">
        <w:rPr>
          <w:lang w:val="fr-CH"/>
        </w:rPr>
        <w:t>respons</w:t>
      </w:r>
      <w:r w:rsidR="008039C4" w:rsidRPr="0071782F">
        <w:rPr>
          <w:lang w:val="fr-CH"/>
        </w:rPr>
        <w:t>a</w:t>
      </w:r>
      <w:r w:rsidRPr="0071782F">
        <w:rPr>
          <w:lang w:val="fr-CH"/>
        </w:rPr>
        <w:t>bilit</w:t>
      </w:r>
      <w:r w:rsidR="008039C4" w:rsidRPr="0071782F">
        <w:rPr>
          <w:lang w:val="fr-CH"/>
        </w:rPr>
        <w:t>é</w:t>
      </w:r>
      <w:r w:rsidRPr="0071782F">
        <w:rPr>
          <w:lang w:val="fr-CH"/>
        </w:rPr>
        <w:t xml:space="preserve">s </w:t>
      </w:r>
      <w:r w:rsidR="008039C4" w:rsidRPr="0071782F">
        <w:rPr>
          <w:lang w:val="fr-CH"/>
        </w:rPr>
        <w:t xml:space="preserve">de la femme et de </w:t>
      </w:r>
      <w:r w:rsidR="00B71907" w:rsidRPr="0071782F">
        <w:rPr>
          <w:lang w:val="fr-CH"/>
        </w:rPr>
        <w:t>la famille</w:t>
      </w:r>
      <w:r w:rsidR="008039C4" w:rsidRPr="0071782F">
        <w:rPr>
          <w:lang w:val="fr-CH"/>
        </w:rPr>
        <w:t xml:space="preserve"> approuvée par le </w:t>
      </w:r>
      <w:r w:rsidR="00E84B01" w:rsidRPr="0071782F">
        <w:rPr>
          <w:lang w:val="fr-CH"/>
        </w:rPr>
        <w:t>Haut Conseil culturel de la Révolution</w:t>
      </w:r>
      <w:r w:rsidR="008039C4" w:rsidRPr="0071782F">
        <w:rPr>
          <w:lang w:val="fr-CH"/>
        </w:rPr>
        <w:t xml:space="preserve"> </w:t>
      </w:r>
      <w:r w:rsidRPr="0071782F">
        <w:rPr>
          <w:lang w:val="fr-CH"/>
        </w:rPr>
        <w:t>(2004)</w:t>
      </w:r>
    </w:p>
    <w:p w:rsidR="00DD2B20" w:rsidRPr="0071782F" w:rsidRDefault="00DD2B20" w:rsidP="00DD2B20">
      <w:pPr>
        <w:pStyle w:val="SingleTxtG"/>
        <w:rPr>
          <w:lang w:val="fr-CH"/>
        </w:rPr>
      </w:pPr>
      <w:r w:rsidRPr="0071782F">
        <w:rPr>
          <w:lang w:val="fr-CH"/>
        </w:rPr>
        <w:t>136.</w:t>
      </w:r>
      <w:r w:rsidRPr="0071782F">
        <w:rPr>
          <w:lang w:val="fr-CH"/>
        </w:rPr>
        <w:tab/>
      </w:r>
      <w:r w:rsidR="007E5F3A" w:rsidRPr="0071782F">
        <w:rPr>
          <w:lang w:val="fr-CH"/>
        </w:rPr>
        <w:t xml:space="preserve">La Charte des droits et responsabilités de la femme et de </w:t>
      </w:r>
      <w:r w:rsidR="00B71907" w:rsidRPr="0071782F">
        <w:rPr>
          <w:lang w:val="fr-CH"/>
        </w:rPr>
        <w:t>la famille</w:t>
      </w:r>
      <w:r w:rsidR="007E5F3A" w:rsidRPr="0071782F">
        <w:rPr>
          <w:lang w:val="fr-CH"/>
        </w:rPr>
        <w:t xml:space="preserve"> s’appuie sur les principes modérés et généraux de l’islam et se propose de créer un cadre favorable à la croissance et au développement équilibrés des aspects matériel, moral et intellectue</w:t>
      </w:r>
      <w:r w:rsidRPr="0071782F">
        <w:rPr>
          <w:lang w:val="fr-CH"/>
        </w:rPr>
        <w:t xml:space="preserve">l </w:t>
      </w:r>
      <w:r w:rsidR="007E5F3A" w:rsidRPr="0071782F">
        <w:rPr>
          <w:lang w:val="fr-CH"/>
        </w:rPr>
        <w:t>de la personnalité de la femme et de sa vie sociale compte dûment tenu de ses droits et de sa dignité et de la proportionnalité de ses droits et de ses responsabilités.</w:t>
      </w:r>
      <w:r w:rsidRPr="0071782F">
        <w:rPr>
          <w:lang w:val="fr-CH"/>
        </w:rPr>
        <w:t xml:space="preserve"> </w:t>
      </w:r>
      <w:r w:rsidR="007E5F3A" w:rsidRPr="0071782F">
        <w:rPr>
          <w:lang w:val="fr-CH"/>
        </w:rPr>
        <w:t xml:space="preserve">Cette charte a été conçue de manière à </w:t>
      </w:r>
      <w:r w:rsidRPr="0071782F">
        <w:rPr>
          <w:lang w:val="fr-CH"/>
        </w:rPr>
        <w:t>institution</w:t>
      </w:r>
      <w:r w:rsidR="007E5F3A" w:rsidRPr="0071782F">
        <w:rPr>
          <w:lang w:val="fr-CH"/>
        </w:rPr>
        <w:t>naliser les droits individuels, familiaux et sociaux de la femme, qui englobent ses droits culture</w:t>
      </w:r>
      <w:r w:rsidRPr="0071782F">
        <w:rPr>
          <w:lang w:val="fr-CH"/>
        </w:rPr>
        <w:t>l</w:t>
      </w:r>
      <w:r w:rsidR="007E5F3A" w:rsidRPr="0071782F">
        <w:rPr>
          <w:lang w:val="fr-CH"/>
        </w:rPr>
        <w:t>s</w:t>
      </w:r>
      <w:r w:rsidRPr="0071782F">
        <w:rPr>
          <w:lang w:val="fr-CH"/>
        </w:rPr>
        <w:t xml:space="preserve">, </w:t>
      </w:r>
      <w:r w:rsidR="007E5F3A" w:rsidRPr="0071782F">
        <w:rPr>
          <w:lang w:val="fr-CH"/>
        </w:rPr>
        <w:t>é</w:t>
      </w:r>
      <w:r w:rsidRPr="0071782F">
        <w:rPr>
          <w:lang w:val="fr-CH"/>
        </w:rPr>
        <w:t>conomi</w:t>
      </w:r>
      <w:r w:rsidR="007E5F3A" w:rsidRPr="0071782F">
        <w:rPr>
          <w:lang w:val="fr-CH"/>
        </w:rPr>
        <w:t>ques</w:t>
      </w:r>
      <w:r w:rsidRPr="0071782F">
        <w:rPr>
          <w:lang w:val="fr-CH"/>
        </w:rPr>
        <w:t>, politi</w:t>
      </w:r>
      <w:r w:rsidR="007E5F3A" w:rsidRPr="0071782F">
        <w:rPr>
          <w:lang w:val="fr-CH"/>
        </w:rPr>
        <w:t>ques</w:t>
      </w:r>
      <w:r w:rsidRPr="0071782F">
        <w:rPr>
          <w:lang w:val="fr-CH"/>
        </w:rPr>
        <w:t xml:space="preserve">, </w:t>
      </w:r>
      <w:r w:rsidR="007E5F3A" w:rsidRPr="0071782F">
        <w:rPr>
          <w:lang w:val="fr-CH"/>
        </w:rPr>
        <w:t>en matière de santé et judiciaires</w:t>
      </w:r>
      <w:r w:rsidRPr="0071782F">
        <w:rPr>
          <w:lang w:val="fr-CH"/>
        </w:rPr>
        <w:t xml:space="preserve">. </w:t>
      </w:r>
      <w:r w:rsidR="007E5F3A" w:rsidRPr="0071782F">
        <w:rPr>
          <w:lang w:val="fr-CH"/>
        </w:rPr>
        <w:t xml:space="preserve">Dans la mesure où elle se base sur la vision islamique de la femme, la Charte ne se focalise pas exclusivement sur les aspects juridiques des droits de la femme, mais aborde également les aspects </w:t>
      </w:r>
      <w:r w:rsidRPr="0071782F">
        <w:rPr>
          <w:lang w:val="fr-CH"/>
        </w:rPr>
        <w:t>mora</w:t>
      </w:r>
      <w:r w:rsidR="007E5F3A" w:rsidRPr="0071782F">
        <w:rPr>
          <w:lang w:val="fr-CH"/>
        </w:rPr>
        <w:t>ux</w:t>
      </w:r>
      <w:r w:rsidRPr="0071782F">
        <w:rPr>
          <w:lang w:val="fr-CH"/>
        </w:rPr>
        <w:t xml:space="preserve"> </w:t>
      </w:r>
      <w:r w:rsidR="007E5F3A" w:rsidRPr="0071782F">
        <w:rPr>
          <w:lang w:val="fr-CH"/>
        </w:rPr>
        <w:t>et intellectue</w:t>
      </w:r>
      <w:r w:rsidRPr="0071782F">
        <w:rPr>
          <w:lang w:val="fr-CH"/>
        </w:rPr>
        <w:t>l</w:t>
      </w:r>
      <w:r w:rsidR="007E5F3A" w:rsidRPr="0071782F">
        <w:rPr>
          <w:lang w:val="fr-CH"/>
        </w:rPr>
        <w:t>s</w:t>
      </w:r>
      <w:r w:rsidRPr="0071782F">
        <w:rPr>
          <w:lang w:val="fr-CH"/>
        </w:rPr>
        <w:t xml:space="preserve"> </w:t>
      </w:r>
      <w:r w:rsidR="007E5F3A" w:rsidRPr="0071782F">
        <w:rPr>
          <w:lang w:val="fr-CH"/>
        </w:rPr>
        <w:t>de ces droits, qui peuvent également avoir un impact sur l’évolution culturelle</w:t>
      </w:r>
      <w:r w:rsidRPr="0071782F">
        <w:rPr>
          <w:lang w:val="fr-CH"/>
        </w:rPr>
        <w:t xml:space="preserve">. </w:t>
      </w:r>
      <w:r w:rsidR="007E5F3A" w:rsidRPr="0071782F">
        <w:rPr>
          <w:lang w:val="fr-CH"/>
        </w:rPr>
        <w:t xml:space="preserve">Elle a été rédigée sur la base des principes de la </w:t>
      </w:r>
      <w:r w:rsidRPr="0071782F">
        <w:rPr>
          <w:lang w:val="fr-CH"/>
        </w:rPr>
        <w:t xml:space="preserve">Constitution, </w:t>
      </w:r>
      <w:r w:rsidR="007E5F3A" w:rsidRPr="0071782F">
        <w:rPr>
          <w:lang w:val="fr-CH"/>
        </w:rPr>
        <w:t>des idées de feu le fondateur et de l’actuel Guide suprême de la République islamique d’Iran, des objectifs du Plan stratégique sur 20</w:t>
      </w:r>
      <w:r w:rsidR="00D82C96" w:rsidRPr="0071782F">
        <w:rPr>
          <w:lang w:val="fr-CH"/>
        </w:rPr>
        <w:t> ans</w:t>
      </w:r>
      <w:r w:rsidR="007E5F3A" w:rsidRPr="0071782F">
        <w:rPr>
          <w:lang w:val="fr-CH"/>
        </w:rPr>
        <w:t xml:space="preserve"> et des politiques générales du pays afin de combler les lacunes existantes et de promouvoir la </w:t>
      </w:r>
      <w:r w:rsidRPr="0071782F">
        <w:rPr>
          <w:lang w:val="fr-CH"/>
        </w:rPr>
        <w:t xml:space="preserve">justice </w:t>
      </w:r>
      <w:r w:rsidR="007E5F3A" w:rsidRPr="0071782F">
        <w:rPr>
          <w:lang w:val="fr-CH"/>
        </w:rPr>
        <w:t>en ce qui concerne le statut et les droits de la femme dans la société.</w:t>
      </w:r>
    </w:p>
    <w:p w:rsidR="00DD2B20" w:rsidRPr="0071782F" w:rsidRDefault="00DD2B20" w:rsidP="00DD2B20">
      <w:pPr>
        <w:pStyle w:val="SingleTxtG"/>
        <w:ind w:left="1701" w:hanging="567"/>
        <w:rPr>
          <w:lang w:val="fr-CH"/>
        </w:rPr>
      </w:pPr>
      <w:r w:rsidRPr="0071782F">
        <w:rPr>
          <w:lang w:val="fr-CH"/>
        </w:rPr>
        <w:tab/>
        <w:t>136.1.</w:t>
      </w:r>
      <w:r w:rsidRPr="0071782F">
        <w:rPr>
          <w:lang w:val="fr-CH"/>
        </w:rPr>
        <w:tab/>
      </w:r>
      <w:r w:rsidR="007E5F3A" w:rsidRPr="0071782F">
        <w:rPr>
          <w:lang w:val="fr-CH"/>
        </w:rPr>
        <w:t xml:space="preserve">Dans sa deuxième partie, qui comprend trois chapitres, la Charte se concentre sur les droits et responsabilités de </w:t>
      </w:r>
      <w:r w:rsidR="00B71907" w:rsidRPr="0071782F">
        <w:rPr>
          <w:lang w:val="fr-CH"/>
        </w:rPr>
        <w:t>la famille</w:t>
      </w:r>
      <w:r w:rsidR="007E5F3A" w:rsidRPr="0071782F">
        <w:rPr>
          <w:lang w:val="fr-CH"/>
        </w:rPr>
        <w:t xml:space="preserve">, et traite du statut des filles dans </w:t>
      </w:r>
      <w:r w:rsidR="00B71907" w:rsidRPr="0071782F">
        <w:rPr>
          <w:lang w:val="fr-CH"/>
        </w:rPr>
        <w:t>la famille</w:t>
      </w:r>
      <w:r w:rsidR="007E5F3A" w:rsidRPr="0071782F">
        <w:rPr>
          <w:lang w:val="fr-CH"/>
        </w:rPr>
        <w:t xml:space="preserve"> et de la formation, de la préservation et de la dissolution de celle-ci</w:t>
      </w:r>
      <w:r w:rsidRPr="0071782F">
        <w:rPr>
          <w:lang w:val="fr-CH"/>
        </w:rPr>
        <w:t>.</w:t>
      </w:r>
    </w:p>
    <w:p w:rsidR="00DD2B20" w:rsidRPr="0071782F" w:rsidRDefault="00DD2B20" w:rsidP="00DD2B20">
      <w:pPr>
        <w:pStyle w:val="H1G"/>
        <w:rPr>
          <w:lang w:val="fr-CH"/>
        </w:rPr>
      </w:pPr>
      <w:r w:rsidRPr="0071782F">
        <w:rPr>
          <w:lang w:val="fr-CH"/>
        </w:rPr>
        <w:tab/>
      </w:r>
      <w:r w:rsidRPr="0071782F">
        <w:rPr>
          <w:lang w:val="fr-CH"/>
        </w:rPr>
        <w:tab/>
      </w:r>
      <w:r w:rsidR="007E5F3A" w:rsidRPr="0071782F">
        <w:rPr>
          <w:lang w:val="fr-CH"/>
        </w:rPr>
        <w:t xml:space="preserve">Droits et responsabilités de la femme en ce qui concerne la </w:t>
      </w:r>
      <w:r w:rsidRPr="0071782F">
        <w:rPr>
          <w:lang w:val="fr-CH"/>
        </w:rPr>
        <w:t xml:space="preserve">formation </w:t>
      </w:r>
      <w:r w:rsidR="007E5F3A" w:rsidRPr="0071782F">
        <w:rPr>
          <w:lang w:val="fr-CH"/>
        </w:rPr>
        <w:t xml:space="preserve">et la </w:t>
      </w:r>
      <w:r w:rsidRPr="0071782F">
        <w:rPr>
          <w:lang w:val="fr-CH"/>
        </w:rPr>
        <w:t>pr</w:t>
      </w:r>
      <w:r w:rsidR="007E5F3A" w:rsidRPr="0071782F">
        <w:rPr>
          <w:lang w:val="fr-CH"/>
        </w:rPr>
        <w:t>é</w:t>
      </w:r>
      <w:r w:rsidRPr="0071782F">
        <w:rPr>
          <w:lang w:val="fr-CH"/>
        </w:rPr>
        <w:t xml:space="preserve">servation </w:t>
      </w:r>
      <w:r w:rsidR="007E5F3A" w:rsidRPr="0071782F">
        <w:rPr>
          <w:lang w:val="fr-CH"/>
        </w:rPr>
        <w:t xml:space="preserve">de </w:t>
      </w:r>
      <w:r w:rsidR="00B71907" w:rsidRPr="0071782F">
        <w:rPr>
          <w:lang w:val="fr-CH"/>
        </w:rPr>
        <w:t>la famille</w:t>
      </w:r>
      <w:r w:rsidR="007E5F3A" w:rsidRPr="0071782F">
        <w:rPr>
          <w:lang w:val="fr-CH"/>
        </w:rPr>
        <w:t xml:space="preserve"> </w:t>
      </w:r>
    </w:p>
    <w:p w:rsidR="00DD2B20" w:rsidRPr="0071782F" w:rsidRDefault="00DD2B20" w:rsidP="00DD2B20">
      <w:pPr>
        <w:pStyle w:val="SingleTxtG"/>
        <w:rPr>
          <w:lang w:val="fr-CH"/>
        </w:rPr>
      </w:pPr>
      <w:r w:rsidRPr="0071782F">
        <w:rPr>
          <w:lang w:val="fr-CH"/>
        </w:rPr>
        <w:t>137.</w:t>
      </w:r>
      <w:r w:rsidRPr="0071782F">
        <w:rPr>
          <w:lang w:val="fr-CH"/>
        </w:rPr>
        <w:tab/>
      </w:r>
      <w:r w:rsidR="007E5F3A" w:rsidRPr="0071782F">
        <w:rPr>
          <w:lang w:val="fr-CH"/>
        </w:rPr>
        <w:t xml:space="preserve">Ces droits </w:t>
      </w:r>
      <w:r w:rsidR="008302C0" w:rsidRPr="0071782F">
        <w:rPr>
          <w:lang w:val="fr-CH"/>
        </w:rPr>
        <w:t xml:space="preserve">et responsabilités </w:t>
      </w:r>
      <w:r w:rsidR="007E5F3A" w:rsidRPr="0071782F">
        <w:rPr>
          <w:lang w:val="fr-CH"/>
        </w:rPr>
        <w:t>sont notamment les suivants</w:t>
      </w:r>
      <w:r w:rsidR="008F7D33" w:rsidRPr="0071782F">
        <w:rPr>
          <w:lang w:val="fr-CH"/>
        </w:rPr>
        <w:t>:</w:t>
      </w:r>
    </w:p>
    <w:p w:rsidR="00DD2B20" w:rsidRPr="0071782F" w:rsidRDefault="00DD2B20" w:rsidP="00DD2B20">
      <w:pPr>
        <w:pStyle w:val="SingleTxtG"/>
        <w:ind w:left="1701" w:hanging="567"/>
        <w:rPr>
          <w:lang w:val="fr-CH"/>
        </w:rPr>
      </w:pPr>
      <w:r w:rsidRPr="0071782F">
        <w:rPr>
          <w:lang w:val="fr-CH"/>
        </w:rPr>
        <w:tab/>
        <w:t>137.1.</w:t>
      </w:r>
      <w:r w:rsidRPr="0071782F">
        <w:rPr>
          <w:lang w:val="fr-CH"/>
        </w:rPr>
        <w:tab/>
      </w:r>
      <w:r w:rsidR="008302C0" w:rsidRPr="0071782F">
        <w:rPr>
          <w:lang w:val="fr-CH"/>
        </w:rPr>
        <w:t xml:space="preserve">Le droit et la responsabilité de la femme en ce qui concerne la </w:t>
      </w:r>
      <w:r w:rsidRPr="0071782F">
        <w:rPr>
          <w:lang w:val="fr-CH"/>
        </w:rPr>
        <w:t xml:space="preserve">consolidation </w:t>
      </w:r>
      <w:r w:rsidR="008302C0" w:rsidRPr="0071782F">
        <w:rPr>
          <w:lang w:val="fr-CH"/>
        </w:rPr>
        <w:t>de l’institution familiale et le droit de bénéficier de l’appui juridique nécessaire pour prévenir les conflits et réduire les possibilités de divorce</w:t>
      </w:r>
      <w:r w:rsidR="00380FEE" w:rsidRPr="0071782F">
        <w:rPr>
          <w:lang w:val="fr-CH"/>
        </w:rPr>
        <w:t>.</w:t>
      </w:r>
    </w:p>
    <w:p w:rsidR="00DD2B20" w:rsidRPr="0071782F" w:rsidRDefault="00DD2B20" w:rsidP="00DD2B20">
      <w:pPr>
        <w:pStyle w:val="SingleTxtG"/>
        <w:ind w:left="1701" w:hanging="567"/>
        <w:rPr>
          <w:lang w:val="fr-CH"/>
        </w:rPr>
      </w:pPr>
      <w:r w:rsidRPr="0071782F">
        <w:rPr>
          <w:lang w:val="fr-CH"/>
        </w:rPr>
        <w:tab/>
        <w:t>137.2.</w:t>
      </w:r>
      <w:r w:rsidRPr="0071782F">
        <w:rPr>
          <w:lang w:val="fr-CH"/>
        </w:rPr>
        <w:tab/>
      </w:r>
      <w:r w:rsidR="008302C0" w:rsidRPr="0071782F">
        <w:rPr>
          <w:lang w:val="fr-CH"/>
        </w:rPr>
        <w:t>Le droit de bénéficier de ressources culturelles</w:t>
      </w:r>
      <w:r w:rsidRPr="0071782F">
        <w:rPr>
          <w:lang w:val="fr-CH"/>
        </w:rPr>
        <w:t>, social</w:t>
      </w:r>
      <w:r w:rsidR="008302C0" w:rsidRPr="0071782F">
        <w:rPr>
          <w:lang w:val="fr-CH"/>
        </w:rPr>
        <w:t>es</w:t>
      </w:r>
      <w:r w:rsidRPr="0071782F">
        <w:rPr>
          <w:lang w:val="fr-CH"/>
        </w:rPr>
        <w:t xml:space="preserve"> </w:t>
      </w:r>
      <w:r w:rsidR="008302C0" w:rsidRPr="0071782F">
        <w:rPr>
          <w:lang w:val="fr-CH"/>
        </w:rPr>
        <w:t>et économiques qui facilitent le mariage à un âge adéquat et le devoir de se conformer aux normes morales jusqu’au mariage</w:t>
      </w:r>
      <w:r w:rsidR="00380FEE" w:rsidRPr="0071782F">
        <w:rPr>
          <w:lang w:val="fr-CH"/>
        </w:rPr>
        <w:t>.</w:t>
      </w:r>
    </w:p>
    <w:p w:rsidR="00DD2B20" w:rsidRPr="0071782F" w:rsidRDefault="00DD2B20" w:rsidP="00DD2B20">
      <w:pPr>
        <w:pStyle w:val="SingleTxtG"/>
        <w:ind w:left="1701" w:hanging="567"/>
        <w:rPr>
          <w:lang w:val="fr-CH"/>
        </w:rPr>
      </w:pPr>
      <w:r w:rsidRPr="0071782F">
        <w:rPr>
          <w:lang w:val="fr-CH"/>
        </w:rPr>
        <w:tab/>
        <w:t>137.3.</w:t>
      </w:r>
      <w:r w:rsidRPr="0071782F">
        <w:rPr>
          <w:lang w:val="fr-CH"/>
        </w:rPr>
        <w:tab/>
      </w:r>
      <w:r w:rsidR="008302C0" w:rsidRPr="0071782F">
        <w:rPr>
          <w:lang w:val="fr-CH"/>
        </w:rPr>
        <w:t xml:space="preserve">Le droit du </w:t>
      </w:r>
      <w:r w:rsidRPr="0071782F">
        <w:rPr>
          <w:lang w:val="fr-CH"/>
        </w:rPr>
        <w:t xml:space="preserve">couple </w:t>
      </w:r>
      <w:r w:rsidR="008302C0" w:rsidRPr="0071782F">
        <w:rPr>
          <w:lang w:val="fr-CH"/>
        </w:rPr>
        <w:t>de connaître les droits et responsabilités associés à la vie commune et de disposer des moyens leur permettant de les exercer</w:t>
      </w:r>
      <w:r w:rsidR="00380FEE" w:rsidRPr="0071782F">
        <w:rPr>
          <w:lang w:val="fr-CH"/>
        </w:rPr>
        <w:t>.</w:t>
      </w:r>
    </w:p>
    <w:p w:rsidR="00DD2B20" w:rsidRPr="0071782F" w:rsidRDefault="00DD2B20" w:rsidP="00DD2B20">
      <w:pPr>
        <w:pStyle w:val="SingleTxtG"/>
        <w:ind w:left="1701" w:hanging="567"/>
        <w:rPr>
          <w:lang w:val="fr-CH"/>
        </w:rPr>
      </w:pPr>
      <w:r w:rsidRPr="0071782F">
        <w:rPr>
          <w:lang w:val="fr-CH"/>
        </w:rPr>
        <w:tab/>
        <w:t>137.4.</w:t>
      </w:r>
      <w:r w:rsidRPr="0071782F">
        <w:rPr>
          <w:lang w:val="fr-CH"/>
        </w:rPr>
        <w:tab/>
      </w:r>
      <w:r w:rsidR="008302C0" w:rsidRPr="0071782F">
        <w:rPr>
          <w:lang w:val="fr-CH"/>
        </w:rPr>
        <w:t>Le droit de connaître les critères adéquats pour choisir un conjoint</w:t>
      </w:r>
      <w:r w:rsidR="00380FEE" w:rsidRPr="0071782F">
        <w:rPr>
          <w:lang w:val="fr-CH"/>
        </w:rPr>
        <w:t>.</w:t>
      </w:r>
    </w:p>
    <w:p w:rsidR="00DD2B20" w:rsidRPr="0071782F" w:rsidRDefault="00DD2B20" w:rsidP="00DD2B20">
      <w:pPr>
        <w:pStyle w:val="SingleTxtG"/>
        <w:ind w:left="1701" w:hanging="567"/>
        <w:rPr>
          <w:lang w:val="fr-CH"/>
        </w:rPr>
      </w:pPr>
      <w:r w:rsidRPr="0071782F">
        <w:rPr>
          <w:lang w:val="fr-CH"/>
        </w:rPr>
        <w:tab/>
        <w:t>137.5.</w:t>
      </w:r>
      <w:r w:rsidRPr="0071782F">
        <w:rPr>
          <w:lang w:val="fr-CH"/>
        </w:rPr>
        <w:tab/>
      </w:r>
      <w:r w:rsidR="008302C0" w:rsidRPr="0071782F">
        <w:rPr>
          <w:lang w:val="fr-CH"/>
        </w:rPr>
        <w:t>Le droit et la responsabilité de connaître et de respecter les normes juridiques et religieuses relatives au mariage, y compris la croyance partagée dans les principes religieux</w:t>
      </w:r>
      <w:r w:rsidR="004003C8" w:rsidRPr="0071782F">
        <w:rPr>
          <w:lang w:val="fr-CH"/>
        </w:rPr>
        <w:t>.</w:t>
      </w:r>
    </w:p>
    <w:p w:rsidR="00DD2B20" w:rsidRPr="0071782F" w:rsidRDefault="00DD2B20" w:rsidP="00DD2B20">
      <w:pPr>
        <w:pStyle w:val="SingleTxtG"/>
        <w:ind w:left="1701" w:hanging="567"/>
        <w:rPr>
          <w:lang w:val="fr-CH"/>
        </w:rPr>
      </w:pPr>
      <w:r w:rsidRPr="0071782F">
        <w:rPr>
          <w:lang w:val="fr-CH"/>
        </w:rPr>
        <w:tab/>
        <w:t>137.6.</w:t>
      </w:r>
      <w:r w:rsidRPr="0071782F">
        <w:rPr>
          <w:lang w:val="fr-CH"/>
        </w:rPr>
        <w:tab/>
      </w:r>
      <w:r w:rsidR="008302C0" w:rsidRPr="0071782F">
        <w:rPr>
          <w:lang w:val="fr-CH"/>
        </w:rPr>
        <w:t>Le droit des filles d’indiquer leurs conditions dans le (contrat de) mariage conformément aux normes religieuses et aux dispositions régissant leur application</w:t>
      </w:r>
      <w:r w:rsidR="004003C8" w:rsidRPr="0071782F">
        <w:rPr>
          <w:lang w:val="fr-CH"/>
        </w:rPr>
        <w:t>.</w:t>
      </w:r>
    </w:p>
    <w:p w:rsidR="00DD2B20" w:rsidRPr="0071782F" w:rsidRDefault="00DD2B20" w:rsidP="00DD2B20">
      <w:pPr>
        <w:pStyle w:val="SingleTxtG"/>
        <w:ind w:left="1701" w:hanging="567"/>
        <w:rPr>
          <w:lang w:val="fr-CH"/>
        </w:rPr>
      </w:pPr>
      <w:r w:rsidRPr="0071782F">
        <w:rPr>
          <w:lang w:val="fr-CH"/>
        </w:rPr>
        <w:tab/>
        <w:t>137.7.</w:t>
      </w:r>
      <w:r w:rsidRPr="0071782F">
        <w:rPr>
          <w:lang w:val="fr-CH"/>
        </w:rPr>
        <w:tab/>
      </w:r>
      <w:r w:rsidR="008302C0" w:rsidRPr="0071782F">
        <w:rPr>
          <w:lang w:val="fr-CH"/>
        </w:rPr>
        <w:t>Le droit d’enregistrement juridique et formel du mariage et du divorce</w:t>
      </w:r>
      <w:r w:rsidR="004003C8" w:rsidRPr="0071782F">
        <w:rPr>
          <w:lang w:val="fr-CH"/>
        </w:rPr>
        <w:t>.</w:t>
      </w:r>
    </w:p>
    <w:p w:rsidR="00DD2B20" w:rsidRPr="0071782F" w:rsidRDefault="00DD2B20" w:rsidP="00DD2B20">
      <w:pPr>
        <w:pStyle w:val="SingleTxtG"/>
        <w:ind w:left="1701" w:hanging="567"/>
        <w:rPr>
          <w:lang w:val="fr-CH"/>
        </w:rPr>
      </w:pPr>
      <w:r w:rsidRPr="0071782F">
        <w:rPr>
          <w:lang w:val="fr-CH"/>
        </w:rPr>
        <w:tab/>
        <w:t>137.8.</w:t>
      </w:r>
      <w:r w:rsidRPr="0071782F">
        <w:rPr>
          <w:lang w:val="fr-CH"/>
        </w:rPr>
        <w:tab/>
      </w:r>
      <w:r w:rsidR="008302C0" w:rsidRPr="0071782F">
        <w:rPr>
          <w:lang w:val="fr-CH"/>
        </w:rPr>
        <w:t>Le droit de la femme de bénéficier de droits financiers pendant la vie commune</w:t>
      </w:r>
      <w:r w:rsidR="004003C8" w:rsidRPr="0071782F">
        <w:rPr>
          <w:lang w:val="fr-CH"/>
        </w:rPr>
        <w:t>.</w:t>
      </w:r>
    </w:p>
    <w:p w:rsidR="00DD2B20" w:rsidRPr="0071782F" w:rsidRDefault="00DD2B20" w:rsidP="00DD2B20">
      <w:pPr>
        <w:pStyle w:val="SingleTxtG"/>
        <w:ind w:left="1701" w:hanging="567"/>
        <w:rPr>
          <w:lang w:val="fr-CH"/>
        </w:rPr>
      </w:pPr>
      <w:r w:rsidRPr="0071782F">
        <w:rPr>
          <w:lang w:val="fr-CH"/>
        </w:rPr>
        <w:tab/>
        <w:t>137.9.</w:t>
      </w:r>
      <w:r w:rsidRPr="0071782F">
        <w:rPr>
          <w:lang w:val="fr-CH"/>
        </w:rPr>
        <w:tab/>
      </w:r>
      <w:r w:rsidR="008302C0" w:rsidRPr="0071782F">
        <w:rPr>
          <w:lang w:val="fr-CH"/>
        </w:rPr>
        <w:t xml:space="preserve">Le droit et la </w:t>
      </w:r>
      <w:r w:rsidRPr="0071782F">
        <w:rPr>
          <w:lang w:val="fr-CH"/>
        </w:rPr>
        <w:t>respons</w:t>
      </w:r>
      <w:r w:rsidR="008302C0" w:rsidRPr="0071782F">
        <w:rPr>
          <w:lang w:val="fr-CH"/>
        </w:rPr>
        <w:t xml:space="preserve">abilité d’assurer au conjoint et d’avoir avec lui des relations sexuelles sûres et saines, et le droit de saisir la justice en cas de </w:t>
      </w:r>
      <w:r w:rsidRPr="0071782F">
        <w:rPr>
          <w:lang w:val="fr-CH"/>
        </w:rPr>
        <w:t xml:space="preserve">violation </w:t>
      </w:r>
      <w:r w:rsidR="008302C0" w:rsidRPr="0071782F">
        <w:rPr>
          <w:lang w:val="fr-CH"/>
        </w:rPr>
        <w:t>de ce droit</w:t>
      </w:r>
      <w:r w:rsidR="004003C8" w:rsidRPr="0071782F">
        <w:rPr>
          <w:lang w:val="fr-CH"/>
        </w:rPr>
        <w:t>.</w:t>
      </w:r>
    </w:p>
    <w:p w:rsidR="00DD2B20" w:rsidRPr="0071782F" w:rsidRDefault="00DD2B20" w:rsidP="00DD2B20">
      <w:pPr>
        <w:pStyle w:val="SingleTxtG"/>
        <w:ind w:left="1701" w:hanging="567"/>
        <w:rPr>
          <w:lang w:val="fr-CH"/>
        </w:rPr>
      </w:pPr>
      <w:r w:rsidRPr="0071782F">
        <w:rPr>
          <w:lang w:val="fr-CH"/>
        </w:rPr>
        <w:tab/>
        <w:t>137.10.</w:t>
      </w:r>
      <w:r w:rsidR="004003C8" w:rsidRPr="0071782F">
        <w:rPr>
          <w:lang w:val="fr-CH"/>
        </w:rPr>
        <w:t xml:space="preserve"> </w:t>
      </w:r>
      <w:r w:rsidR="008302C0" w:rsidRPr="0071782F">
        <w:rPr>
          <w:lang w:val="fr-CH"/>
        </w:rPr>
        <w:t>Le droit et la responsabilité d’assurer et d’avoir un lieu adéquat pour la vie commune, le devoir de fonder ses relations avec le conjoint sur un comportement irréprochable et sur la santé mentale, et le droit de poursuivre en justice un conjoint au comportement répréhensible</w:t>
      </w:r>
      <w:r w:rsidR="004003C8" w:rsidRPr="0071782F">
        <w:rPr>
          <w:lang w:val="fr-CH"/>
        </w:rPr>
        <w:t>.</w:t>
      </w:r>
    </w:p>
    <w:p w:rsidR="00DD2B20" w:rsidRPr="0071782F" w:rsidRDefault="00DD2B20" w:rsidP="00DD2B20">
      <w:pPr>
        <w:pStyle w:val="SingleTxtG"/>
        <w:ind w:left="1701" w:hanging="567"/>
        <w:rPr>
          <w:lang w:val="fr-CH"/>
        </w:rPr>
      </w:pPr>
      <w:r w:rsidRPr="0071782F">
        <w:rPr>
          <w:lang w:val="fr-CH"/>
        </w:rPr>
        <w:tab/>
      </w:r>
      <w:r w:rsidR="004003C8" w:rsidRPr="0071782F">
        <w:rPr>
          <w:lang w:val="fr-CH"/>
        </w:rPr>
        <w:t xml:space="preserve">137.11. </w:t>
      </w:r>
      <w:r w:rsidR="008302C0" w:rsidRPr="0071782F">
        <w:rPr>
          <w:lang w:val="fr-CH"/>
        </w:rPr>
        <w:t xml:space="preserve">Le droit et le devoir d’assurer et de connaître un développement intellectuel, </w:t>
      </w:r>
      <w:r w:rsidRPr="0071782F">
        <w:rPr>
          <w:lang w:val="fr-CH"/>
        </w:rPr>
        <w:t xml:space="preserve">moral </w:t>
      </w:r>
      <w:r w:rsidR="008302C0" w:rsidRPr="0071782F">
        <w:rPr>
          <w:lang w:val="fr-CH"/>
        </w:rPr>
        <w:t xml:space="preserve">et </w:t>
      </w:r>
      <w:r w:rsidRPr="0071782F">
        <w:rPr>
          <w:lang w:val="fr-CH"/>
        </w:rPr>
        <w:t>scientifi</w:t>
      </w:r>
      <w:r w:rsidR="008302C0" w:rsidRPr="0071782F">
        <w:rPr>
          <w:lang w:val="fr-CH"/>
        </w:rPr>
        <w:t xml:space="preserve">que avec le concours et l’appui des membres de </w:t>
      </w:r>
      <w:r w:rsidR="00B71907" w:rsidRPr="0071782F">
        <w:rPr>
          <w:lang w:val="fr-CH"/>
        </w:rPr>
        <w:t>la famille</w:t>
      </w:r>
      <w:r w:rsidR="004003C8" w:rsidRPr="0071782F">
        <w:rPr>
          <w:lang w:val="fr-CH"/>
        </w:rPr>
        <w:t>.</w:t>
      </w:r>
    </w:p>
    <w:p w:rsidR="00DD2B20" w:rsidRPr="0071782F" w:rsidRDefault="00DD2B20" w:rsidP="00DD2B20">
      <w:pPr>
        <w:pStyle w:val="SingleTxtG"/>
        <w:ind w:left="1701" w:hanging="567"/>
        <w:rPr>
          <w:lang w:val="fr-CH"/>
        </w:rPr>
      </w:pPr>
      <w:r w:rsidRPr="0071782F">
        <w:rPr>
          <w:lang w:val="fr-CH"/>
        </w:rPr>
        <w:tab/>
      </w:r>
      <w:r w:rsidR="004003C8" w:rsidRPr="0071782F">
        <w:rPr>
          <w:lang w:val="fr-CH"/>
        </w:rPr>
        <w:t xml:space="preserve">137.12. </w:t>
      </w:r>
      <w:r w:rsidR="008302C0" w:rsidRPr="0071782F">
        <w:rPr>
          <w:lang w:val="fr-CH"/>
        </w:rPr>
        <w:t>Le droit de rendre visite aux membres de sa</w:t>
      </w:r>
      <w:r w:rsidR="007F37CE" w:rsidRPr="0071782F">
        <w:rPr>
          <w:lang w:val="fr-CH"/>
        </w:rPr>
        <w:t> famille</w:t>
      </w:r>
      <w:r w:rsidR="008302C0" w:rsidRPr="0071782F">
        <w:rPr>
          <w:lang w:val="fr-CH"/>
        </w:rPr>
        <w:t xml:space="preserve"> et de garder le contact avec eux</w:t>
      </w:r>
      <w:r w:rsidR="004003C8" w:rsidRPr="0071782F">
        <w:rPr>
          <w:lang w:val="fr-CH"/>
        </w:rPr>
        <w:t>.</w:t>
      </w:r>
    </w:p>
    <w:p w:rsidR="00DD2B20" w:rsidRPr="0071782F" w:rsidRDefault="00DD2B20" w:rsidP="00DD2B20">
      <w:pPr>
        <w:pStyle w:val="SingleTxtG"/>
        <w:ind w:left="1701" w:hanging="567"/>
        <w:rPr>
          <w:lang w:val="fr-CH"/>
        </w:rPr>
      </w:pPr>
      <w:r w:rsidRPr="0071782F">
        <w:rPr>
          <w:lang w:val="fr-CH"/>
        </w:rPr>
        <w:tab/>
        <w:t>137.13.</w:t>
      </w:r>
      <w:r w:rsidR="004003C8" w:rsidRPr="0071782F">
        <w:rPr>
          <w:lang w:val="fr-CH"/>
        </w:rPr>
        <w:t xml:space="preserve"> </w:t>
      </w:r>
      <w:r w:rsidR="008302C0" w:rsidRPr="0071782F">
        <w:rPr>
          <w:lang w:val="fr-CH"/>
        </w:rPr>
        <w:t>Le droit de concevoir et d’être enceinte, de planifier et de contrôler la naissance d’un enfant, et d’avoir accès à la formation et aux moyens nécessaires.</w:t>
      </w:r>
    </w:p>
    <w:p w:rsidR="00DD2B20" w:rsidRPr="0071782F" w:rsidRDefault="00DD2B20" w:rsidP="00DD2B20">
      <w:pPr>
        <w:pStyle w:val="SingleTxtG"/>
        <w:ind w:left="1701" w:hanging="567"/>
        <w:rPr>
          <w:lang w:val="fr-CH"/>
        </w:rPr>
      </w:pPr>
      <w:r w:rsidRPr="0071782F">
        <w:rPr>
          <w:lang w:val="fr-CH"/>
        </w:rPr>
        <w:tab/>
        <w:t>137.14.</w:t>
      </w:r>
      <w:r w:rsidR="004003C8" w:rsidRPr="0071782F">
        <w:rPr>
          <w:lang w:val="fr-CH"/>
        </w:rPr>
        <w:t xml:space="preserve"> </w:t>
      </w:r>
      <w:r w:rsidR="008302C0" w:rsidRPr="0071782F">
        <w:rPr>
          <w:lang w:val="fr-CH"/>
        </w:rPr>
        <w:t>Le droit de bénéficier d’un appui matériel et moral suffisant pendant la grossesse et l’allaitement</w:t>
      </w:r>
      <w:r w:rsidR="004003C8" w:rsidRPr="0071782F">
        <w:rPr>
          <w:lang w:val="fr-CH"/>
        </w:rPr>
        <w:t>.</w:t>
      </w:r>
    </w:p>
    <w:p w:rsidR="00DD2B20" w:rsidRPr="0071782F" w:rsidRDefault="00DD2B20" w:rsidP="00DD2B20">
      <w:pPr>
        <w:pStyle w:val="SingleTxtG"/>
        <w:ind w:left="1701" w:hanging="567"/>
        <w:rPr>
          <w:lang w:val="fr-CH"/>
        </w:rPr>
      </w:pPr>
      <w:r w:rsidRPr="0071782F">
        <w:rPr>
          <w:lang w:val="fr-CH"/>
        </w:rPr>
        <w:tab/>
        <w:t>137.15.</w:t>
      </w:r>
      <w:r w:rsidR="00673EDF" w:rsidRPr="0071782F">
        <w:rPr>
          <w:lang w:val="fr-CH"/>
        </w:rPr>
        <w:t xml:space="preserve"> </w:t>
      </w:r>
      <w:r w:rsidR="008302C0" w:rsidRPr="0071782F">
        <w:rPr>
          <w:lang w:val="fr-CH"/>
        </w:rPr>
        <w:t xml:space="preserve">Le devoir de garantir les droits du </w:t>
      </w:r>
      <w:r w:rsidR="0071782F" w:rsidRPr="0071782F">
        <w:rPr>
          <w:lang w:val="fr-CH"/>
        </w:rPr>
        <w:t>fœtus</w:t>
      </w:r>
      <w:r w:rsidR="008302C0" w:rsidRPr="0071782F">
        <w:rPr>
          <w:lang w:val="fr-CH"/>
        </w:rPr>
        <w:t>, et en particulier son droit à la protection et à la croissance</w:t>
      </w:r>
      <w:r w:rsidR="00673EDF" w:rsidRPr="0071782F">
        <w:rPr>
          <w:lang w:val="fr-CH"/>
        </w:rPr>
        <w:t>.</w:t>
      </w:r>
    </w:p>
    <w:p w:rsidR="00DD2B20" w:rsidRPr="0071782F" w:rsidRDefault="00DD2B20" w:rsidP="00DD2B20">
      <w:pPr>
        <w:pStyle w:val="SingleTxtG"/>
        <w:ind w:left="1701" w:hanging="567"/>
        <w:rPr>
          <w:lang w:val="fr-CH"/>
        </w:rPr>
      </w:pPr>
      <w:r w:rsidRPr="0071782F">
        <w:rPr>
          <w:lang w:val="fr-CH"/>
        </w:rPr>
        <w:tab/>
        <w:t>137.16.</w:t>
      </w:r>
      <w:r w:rsidR="00673EDF" w:rsidRPr="0071782F">
        <w:rPr>
          <w:lang w:val="fr-CH"/>
        </w:rPr>
        <w:t xml:space="preserve"> </w:t>
      </w:r>
      <w:r w:rsidR="008302C0" w:rsidRPr="0071782F">
        <w:rPr>
          <w:lang w:val="fr-CH"/>
        </w:rPr>
        <w:t xml:space="preserve">Le droit et le devoir de protéger et de favoriser la sécurité </w:t>
      </w:r>
      <w:r w:rsidRPr="0071782F">
        <w:rPr>
          <w:lang w:val="fr-CH"/>
        </w:rPr>
        <w:t>mental</w:t>
      </w:r>
      <w:r w:rsidR="008302C0" w:rsidRPr="0071782F">
        <w:rPr>
          <w:lang w:val="fr-CH"/>
        </w:rPr>
        <w:t>e</w:t>
      </w:r>
      <w:r w:rsidRPr="0071782F">
        <w:rPr>
          <w:lang w:val="fr-CH"/>
        </w:rPr>
        <w:t>, psychologi</w:t>
      </w:r>
      <w:r w:rsidR="008302C0" w:rsidRPr="0071782F">
        <w:rPr>
          <w:lang w:val="fr-CH"/>
        </w:rPr>
        <w:t xml:space="preserve">que et affective des enfants ainsi que leur développement </w:t>
      </w:r>
      <w:r w:rsidRPr="0071782F">
        <w:rPr>
          <w:lang w:val="fr-CH"/>
        </w:rPr>
        <w:t xml:space="preserve">moral </w:t>
      </w:r>
      <w:r w:rsidR="008302C0" w:rsidRPr="0071782F">
        <w:rPr>
          <w:lang w:val="fr-CH"/>
        </w:rPr>
        <w:t>et</w:t>
      </w:r>
      <w:r w:rsidRPr="0071782F">
        <w:rPr>
          <w:lang w:val="fr-CH"/>
        </w:rPr>
        <w:t xml:space="preserve"> intellectu</w:t>
      </w:r>
      <w:r w:rsidR="008302C0" w:rsidRPr="0071782F">
        <w:rPr>
          <w:lang w:val="fr-CH"/>
        </w:rPr>
        <w:t>e</w:t>
      </w:r>
      <w:r w:rsidRPr="0071782F">
        <w:rPr>
          <w:lang w:val="fr-CH"/>
        </w:rPr>
        <w:t>l</w:t>
      </w:r>
      <w:r w:rsidR="00673EDF" w:rsidRPr="0071782F">
        <w:rPr>
          <w:lang w:val="fr-CH"/>
        </w:rPr>
        <w:t>.</w:t>
      </w:r>
    </w:p>
    <w:p w:rsidR="00DD2B20" w:rsidRPr="0071782F" w:rsidRDefault="00DD2B20" w:rsidP="00DD2B20">
      <w:pPr>
        <w:pStyle w:val="SingleTxtG"/>
        <w:ind w:left="1701" w:hanging="567"/>
        <w:rPr>
          <w:lang w:val="fr-CH"/>
        </w:rPr>
      </w:pPr>
      <w:r w:rsidRPr="0071782F">
        <w:rPr>
          <w:lang w:val="fr-CH"/>
        </w:rPr>
        <w:tab/>
        <w:t>137.17.</w:t>
      </w:r>
      <w:r w:rsidR="00673EDF" w:rsidRPr="0071782F">
        <w:rPr>
          <w:lang w:val="fr-CH"/>
        </w:rPr>
        <w:t xml:space="preserve"> </w:t>
      </w:r>
      <w:r w:rsidR="008302C0" w:rsidRPr="0071782F">
        <w:rPr>
          <w:lang w:val="fr-CH"/>
        </w:rPr>
        <w:t>Le droit de bénéficier de l’appui et de la coopération du conjoint aux fins de l’éducation des enfants.</w:t>
      </w:r>
    </w:p>
    <w:p w:rsidR="00DD2B20" w:rsidRPr="0071782F" w:rsidRDefault="00DD2B20" w:rsidP="00DD2B20">
      <w:pPr>
        <w:pStyle w:val="SingleTxtG"/>
        <w:ind w:left="1701" w:hanging="567"/>
        <w:rPr>
          <w:lang w:val="fr-CH"/>
        </w:rPr>
      </w:pPr>
      <w:r w:rsidRPr="0071782F">
        <w:rPr>
          <w:lang w:val="fr-CH"/>
        </w:rPr>
        <w:tab/>
        <w:t>137.18.</w:t>
      </w:r>
      <w:r w:rsidR="00673EDF" w:rsidRPr="0071782F">
        <w:rPr>
          <w:lang w:val="fr-CH"/>
        </w:rPr>
        <w:t xml:space="preserve"> </w:t>
      </w:r>
      <w:r w:rsidR="008302C0" w:rsidRPr="0071782F">
        <w:rPr>
          <w:lang w:val="fr-CH"/>
        </w:rPr>
        <w:t xml:space="preserve">Le droit des mères de bénéficier d’une sécurité </w:t>
      </w:r>
      <w:r w:rsidRPr="0071782F">
        <w:rPr>
          <w:lang w:val="fr-CH"/>
        </w:rPr>
        <w:t>mat</w:t>
      </w:r>
      <w:r w:rsidR="008302C0" w:rsidRPr="0071782F">
        <w:rPr>
          <w:lang w:val="fr-CH"/>
        </w:rPr>
        <w:t>é</w:t>
      </w:r>
      <w:r w:rsidRPr="0071782F">
        <w:rPr>
          <w:lang w:val="fr-CH"/>
        </w:rPr>
        <w:t>ri</w:t>
      </w:r>
      <w:r w:rsidR="008302C0" w:rsidRPr="0071782F">
        <w:rPr>
          <w:lang w:val="fr-CH"/>
        </w:rPr>
        <w:t>elle</w:t>
      </w:r>
      <w:r w:rsidRPr="0071782F">
        <w:rPr>
          <w:lang w:val="fr-CH"/>
        </w:rPr>
        <w:t xml:space="preserve"> </w:t>
      </w:r>
      <w:r w:rsidR="008302C0" w:rsidRPr="0071782F">
        <w:rPr>
          <w:lang w:val="fr-CH"/>
        </w:rPr>
        <w:t>et</w:t>
      </w:r>
      <w:r w:rsidRPr="0071782F">
        <w:rPr>
          <w:lang w:val="fr-CH"/>
        </w:rPr>
        <w:t xml:space="preserve"> moral</w:t>
      </w:r>
      <w:r w:rsidR="008302C0" w:rsidRPr="0071782F">
        <w:rPr>
          <w:lang w:val="fr-CH"/>
        </w:rPr>
        <w:t>e, en particulier lorsqu’elles sont âgées ou handicapées</w:t>
      </w:r>
      <w:r w:rsidR="00673EDF" w:rsidRPr="0071782F">
        <w:rPr>
          <w:lang w:val="fr-CH"/>
        </w:rPr>
        <w:t>.</w:t>
      </w:r>
    </w:p>
    <w:p w:rsidR="00DD2B20" w:rsidRPr="0071782F" w:rsidRDefault="00DD2B20" w:rsidP="00DD2B20">
      <w:pPr>
        <w:pStyle w:val="SingleTxtG"/>
        <w:ind w:left="1701" w:hanging="567"/>
        <w:rPr>
          <w:lang w:val="fr-CH"/>
        </w:rPr>
      </w:pPr>
      <w:r w:rsidRPr="0071782F">
        <w:rPr>
          <w:lang w:val="fr-CH"/>
        </w:rPr>
        <w:tab/>
        <w:t>137.19.</w:t>
      </w:r>
      <w:r w:rsidR="00673EDF" w:rsidRPr="0071782F">
        <w:rPr>
          <w:lang w:val="fr-CH"/>
        </w:rPr>
        <w:t xml:space="preserve"> </w:t>
      </w:r>
      <w:r w:rsidR="008302C0" w:rsidRPr="0071782F">
        <w:rPr>
          <w:lang w:val="fr-CH"/>
        </w:rPr>
        <w:t>Le droit et le devoir de la femme de subvenir dans toute la mesure possible aux besoins de ses parents en difficulté</w:t>
      </w:r>
      <w:r w:rsidRPr="0071782F">
        <w:rPr>
          <w:lang w:val="fr-CH"/>
        </w:rPr>
        <w:t>.</w:t>
      </w:r>
    </w:p>
    <w:p w:rsidR="00DD2B20" w:rsidRPr="0071782F" w:rsidRDefault="00DD2B20" w:rsidP="00DD2B20">
      <w:pPr>
        <w:pStyle w:val="SingleTxtG"/>
        <w:ind w:left="1701" w:hanging="567"/>
        <w:rPr>
          <w:lang w:val="fr-CH"/>
        </w:rPr>
      </w:pPr>
      <w:r w:rsidRPr="0071782F">
        <w:rPr>
          <w:lang w:val="fr-CH"/>
        </w:rPr>
        <w:tab/>
        <w:t>137.20.</w:t>
      </w:r>
      <w:r w:rsidR="00673EDF" w:rsidRPr="0071782F">
        <w:rPr>
          <w:lang w:val="fr-CH"/>
        </w:rPr>
        <w:t xml:space="preserve"> </w:t>
      </w:r>
      <w:r w:rsidR="008302C0" w:rsidRPr="0071782F">
        <w:rPr>
          <w:lang w:val="fr-CH"/>
        </w:rPr>
        <w:t>Les droits et obligations de la femme dans le système judiciaire</w:t>
      </w:r>
      <w:r w:rsidR="004727A4" w:rsidRPr="0071782F">
        <w:rPr>
          <w:lang w:val="fr-CH"/>
        </w:rPr>
        <w:t>.</w:t>
      </w:r>
    </w:p>
    <w:p w:rsidR="00DD2B20" w:rsidRPr="0071782F" w:rsidRDefault="00DD2B20" w:rsidP="00DD2B20">
      <w:pPr>
        <w:pStyle w:val="SingleTxtG"/>
        <w:ind w:left="1701" w:hanging="567"/>
        <w:rPr>
          <w:lang w:val="fr-CH"/>
        </w:rPr>
      </w:pPr>
      <w:r w:rsidRPr="0071782F">
        <w:rPr>
          <w:lang w:val="fr-CH"/>
        </w:rPr>
        <w:tab/>
        <w:t>137.21.</w:t>
      </w:r>
      <w:r w:rsidR="00673EDF" w:rsidRPr="0071782F">
        <w:rPr>
          <w:lang w:val="fr-CH"/>
        </w:rPr>
        <w:t xml:space="preserve"> </w:t>
      </w:r>
      <w:r w:rsidR="008302C0" w:rsidRPr="0071782F">
        <w:rPr>
          <w:lang w:val="fr-CH"/>
        </w:rPr>
        <w:t>Le droit de suivre une formation juridique</w:t>
      </w:r>
      <w:r w:rsidR="00673EDF" w:rsidRPr="0071782F">
        <w:rPr>
          <w:lang w:val="fr-CH"/>
        </w:rPr>
        <w:t>.</w:t>
      </w:r>
    </w:p>
    <w:p w:rsidR="00DD2B20" w:rsidRPr="0071782F" w:rsidRDefault="00DD2B20" w:rsidP="00DD2B20">
      <w:pPr>
        <w:pStyle w:val="SingleTxtG"/>
        <w:ind w:left="1701" w:hanging="567"/>
        <w:rPr>
          <w:lang w:val="fr-CH"/>
        </w:rPr>
      </w:pPr>
      <w:r w:rsidRPr="0071782F">
        <w:rPr>
          <w:lang w:val="fr-CH"/>
        </w:rPr>
        <w:tab/>
        <w:t>137.22.</w:t>
      </w:r>
      <w:r w:rsidR="00673EDF" w:rsidRPr="0071782F">
        <w:rPr>
          <w:lang w:val="fr-CH"/>
        </w:rPr>
        <w:t xml:space="preserve"> </w:t>
      </w:r>
      <w:r w:rsidR="008302C0" w:rsidRPr="0071782F">
        <w:rPr>
          <w:lang w:val="fr-CH"/>
        </w:rPr>
        <w:t>Le droit de la femme de bénéficier d’un appui judiciaire et juridique pour prévenir tout acte répréhensible dont elle pourrait être victime de la part de sa</w:t>
      </w:r>
      <w:r w:rsidR="007F37CE" w:rsidRPr="0071782F">
        <w:rPr>
          <w:lang w:val="fr-CH"/>
        </w:rPr>
        <w:t> famille</w:t>
      </w:r>
      <w:r w:rsidR="008302C0" w:rsidRPr="0071782F">
        <w:rPr>
          <w:lang w:val="fr-CH"/>
        </w:rPr>
        <w:t xml:space="preserve"> ou de la société, de se protéger contre un tel acte et d’en éliminer les conséquences.</w:t>
      </w:r>
    </w:p>
    <w:p w:rsidR="00DD2B20" w:rsidRPr="0071782F" w:rsidRDefault="00DD2B20" w:rsidP="00DD2B20">
      <w:pPr>
        <w:pStyle w:val="SingleTxtG"/>
        <w:ind w:left="1701" w:hanging="567"/>
        <w:rPr>
          <w:lang w:val="fr-CH"/>
        </w:rPr>
      </w:pPr>
      <w:r w:rsidRPr="0071782F">
        <w:rPr>
          <w:lang w:val="fr-CH"/>
        </w:rPr>
        <w:tab/>
        <w:t>137.23.</w:t>
      </w:r>
      <w:r w:rsidR="00673EDF" w:rsidRPr="0071782F">
        <w:rPr>
          <w:lang w:val="fr-CH"/>
        </w:rPr>
        <w:t xml:space="preserve"> </w:t>
      </w:r>
      <w:r w:rsidR="00D85991" w:rsidRPr="0071782F">
        <w:rPr>
          <w:lang w:val="fr-CH"/>
        </w:rPr>
        <w:t xml:space="preserve">Le droit de saisir des tribunaux de </w:t>
      </w:r>
      <w:r w:rsidR="00B71907" w:rsidRPr="0071782F">
        <w:rPr>
          <w:lang w:val="fr-CH"/>
        </w:rPr>
        <w:t>la famille</w:t>
      </w:r>
      <w:r w:rsidR="00D85991" w:rsidRPr="0071782F">
        <w:rPr>
          <w:lang w:val="fr-CH"/>
        </w:rPr>
        <w:t xml:space="preserve"> spéciaux pour la protection des secrets </w:t>
      </w:r>
      <w:r w:rsidR="00B71907" w:rsidRPr="0071782F">
        <w:rPr>
          <w:lang w:val="fr-CH"/>
        </w:rPr>
        <w:t>de famille,</w:t>
      </w:r>
      <w:r w:rsidR="00D85991" w:rsidRPr="0071782F">
        <w:rPr>
          <w:lang w:val="fr-CH"/>
        </w:rPr>
        <w:t xml:space="preserve"> le règlement des conflits familiaux et le rétablissement de la paix dans </w:t>
      </w:r>
      <w:r w:rsidR="00B71907" w:rsidRPr="0071782F">
        <w:rPr>
          <w:lang w:val="fr-CH"/>
        </w:rPr>
        <w:t>la famille</w:t>
      </w:r>
      <w:r w:rsidR="00673EDF" w:rsidRPr="0071782F">
        <w:rPr>
          <w:lang w:val="fr-CH"/>
        </w:rPr>
        <w:t>.</w:t>
      </w:r>
    </w:p>
    <w:p w:rsidR="00DD2B20" w:rsidRPr="0071782F" w:rsidRDefault="00DD2B20" w:rsidP="00DD2B20">
      <w:pPr>
        <w:pStyle w:val="SingleTxtG"/>
        <w:ind w:left="1701" w:hanging="567"/>
        <w:rPr>
          <w:lang w:val="fr-CH"/>
        </w:rPr>
      </w:pPr>
      <w:r w:rsidRPr="0071782F">
        <w:rPr>
          <w:lang w:val="fr-CH"/>
        </w:rPr>
        <w:tab/>
        <w:t>137.24.</w:t>
      </w:r>
      <w:r w:rsidR="00B53353" w:rsidRPr="0071782F">
        <w:rPr>
          <w:lang w:val="fr-CH"/>
        </w:rPr>
        <w:t xml:space="preserve"> </w:t>
      </w:r>
      <w:r w:rsidR="00D85991" w:rsidRPr="0071782F">
        <w:rPr>
          <w:lang w:val="fr-CH"/>
        </w:rPr>
        <w:t xml:space="preserve">Le droit de la femme de rendre visite à ses </w:t>
      </w:r>
      <w:r w:rsidRPr="0071782F">
        <w:rPr>
          <w:lang w:val="fr-CH"/>
        </w:rPr>
        <w:t xml:space="preserve">parents, </w:t>
      </w:r>
      <w:r w:rsidR="00D85991" w:rsidRPr="0071782F">
        <w:rPr>
          <w:lang w:val="fr-CH"/>
        </w:rPr>
        <w:t>enfants et conjoint qui purgent une peine de prison</w:t>
      </w:r>
      <w:r w:rsidR="00B53353" w:rsidRPr="0071782F">
        <w:rPr>
          <w:lang w:val="fr-CH"/>
        </w:rPr>
        <w:t>.</w:t>
      </w:r>
    </w:p>
    <w:p w:rsidR="00DD2B20" w:rsidRPr="0071782F" w:rsidRDefault="00DD2B20" w:rsidP="00DD2B20">
      <w:pPr>
        <w:pStyle w:val="SingleTxtG"/>
        <w:ind w:left="1701" w:hanging="567"/>
        <w:rPr>
          <w:lang w:val="fr-CH"/>
        </w:rPr>
      </w:pPr>
      <w:r w:rsidRPr="0071782F">
        <w:rPr>
          <w:lang w:val="fr-CH"/>
        </w:rPr>
        <w:tab/>
      </w:r>
      <w:r w:rsidR="00B53353" w:rsidRPr="0071782F">
        <w:rPr>
          <w:lang w:val="fr-CH"/>
        </w:rPr>
        <w:t xml:space="preserve">137.25. </w:t>
      </w:r>
      <w:r w:rsidR="00D85991" w:rsidRPr="0071782F">
        <w:rPr>
          <w:lang w:val="fr-CH"/>
        </w:rPr>
        <w:t>Le droit de la femme détenue de bénéficier de conditions de vie adéquates et des moyens culturels, éducatifs et de formation nécessaires à sa réinsertion dans la société.</w:t>
      </w:r>
    </w:p>
    <w:p w:rsidR="00DD2B20" w:rsidRPr="0071782F" w:rsidRDefault="00DD2B20" w:rsidP="00DD2B20">
      <w:pPr>
        <w:pStyle w:val="SingleTxtG"/>
        <w:ind w:left="1701" w:hanging="567"/>
        <w:rPr>
          <w:lang w:val="fr-CH"/>
        </w:rPr>
      </w:pPr>
      <w:r w:rsidRPr="0071782F">
        <w:rPr>
          <w:lang w:val="fr-CH"/>
        </w:rPr>
        <w:tab/>
        <w:t>137.26.</w:t>
      </w:r>
      <w:r w:rsidR="00B53353" w:rsidRPr="0071782F">
        <w:rPr>
          <w:lang w:val="fr-CH"/>
        </w:rPr>
        <w:t xml:space="preserve"> </w:t>
      </w:r>
      <w:r w:rsidR="00D85991" w:rsidRPr="0071782F">
        <w:rPr>
          <w:lang w:val="fr-CH"/>
        </w:rPr>
        <w:t xml:space="preserve">Le droit des filles de bénéficier de conditions de vie adéquates dans les établissements correctionnels et de l’appui juridique d’un procureur face à des parents ou tuteurs incompétents ou à toute personne violant leurs droits. </w:t>
      </w:r>
    </w:p>
    <w:p w:rsidR="00DD2B20" w:rsidRPr="0071782F" w:rsidRDefault="00DD2B20" w:rsidP="00DD2B20">
      <w:pPr>
        <w:pStyle w:val="H1G"/>
        <w:rPr>
          <w:lang w:val="fr-CH"/>
        </w:rPr>
      </w:pPr>
      <w:r w:rsidRPr="0071782F">
        <w:rPr>
          <w:lang w:val="fr-CH"/>
        </w:rPr>
        <w:tab/>
      </w:r>
      <w:r w:rsidRPr="0071782F">
        <w:rPr>
          <w:lang w:val="fr-CH"/>
        </w:rPr>
        <w:tab/>
      </w:r>
      <w:r w:rsidR="00D85991" w:rsidRPr="0071782F">
        <w:rPr>
          <w:lang w:val="fr-CH"/>
        </w:rPr>
        <w:t xml:space="preserve">Politiques générales de l’État dans le </w:t>
      </w:r>
      <w:r w:rsidR="00A90208" w:rsidRPr="0071782F">
        <w:rPr>
          <w:lang w:val="fr-CH"/>
        </w:rPr>
        <w:t>quatrième</w:t>
      </w:r>
      <w:r w:rsidR="00D85991" w:rsidRPr="0071782F">
        <w:rPr>
          <w:lang w:val="fr-CH"/>
        </w:rPr>
        <w:t xml:space="preserve"> plan de développement </w:t>
      </w:r>
    </w:p>
    <w:p w:rsidR="00DD2B20" w:rsidRPr="0071782F" w:rsidRDefault="00DD2B20" w:rsidP="00DD2B20">
      <w:pPr>
        <w:pStyle w:val="SingleTxtG"/>
        <w:rPr>
          <w:lang w:val="fr-CH"/>
        </w:rPr>
      </w:pPr>
      <w:r w:rsidRPr="0071782F">
        <w:rPr>
          <w:lang w:val="fr-CH"/>
        </w:rPr>
        <w:t>138.</w:t>
      </w:r>
      <w:r w:rsidRPr="0071782F">
        <w:rPr>
          <w:lang w:val="fr-CH"/>
        </w:rPr>
        <w:tab/>
      </w:r>
      <w:r w:rsidR="00EB151E" w:rsidRPr="0071782F">
        <w:rPr>
          <w:lang w:val="fr-CH"/>
        </w:rPr>
        <w:t xml:space="preserve">Conformément aux dispositions de </w:t>
      </w:r>
      <w:r w:rsidR="00723F2B" w:rsidRPr="0071782F">
        <w:rPr>
          <w:lang w:val="fr-CH"/>
        </w:rPr>
        <w:t>l’</w:t>
      </w:r>
      <w:r w:rsidR="00943A69" w:rsidRPr="0071782F">
        <w:rPr>
          <w:lang w:val="fr-CH"/>
        </w:rPr>
        <w:t>article </w:t>
      </w:r>
      <w:r w:rsidRPr="0071782F">
        <w:rPr>
          <w:lang w:val="fr-CH"/>
        </w:rPr>
        <w:t xml:space="preserve">111 </w:t>
      </w:r>
      <w:r w:rsidR="00EB151E" w:rsidRPr="0071782F">
        <w:rPr>
          <w:lang w:val="fr-CH"/>
        </w:rPr>
        <w:t xml:space="preserve">de la loi relative au </w:t>
      </w:r>
      <w:r w:rsidR="00A90208" w:rsidRPr="0071782F">
        <w:rPr>
          <w:lang w:val="fr-CH"/>
        </w:rPr>
        <w:t>quatrième</w:t>
      </w:r>
      <w:r w:rsidR="00EB151E" w:rsidRPr="0071782F">
        <w:rPr>
          <w:lang w:val="fr-CH"/>
        </w:rPr>
        <w:t xml:space="preserve"> plan de développement adoptée en mars </w:t>
      </w:r>
      <w:r w:rsidRPr="0071782F">
        <w:rPr>
          <w:lang w:val="fr-CH"/>
        </w:rPr>
        <w:t xml:space="preserve">2007, </w:t>
      </w:r>
      <w:r w:rsidR="00EB151E" w:rsidRPr="0071782F">
        <w:rPr>
          <w:lang w:val="fr-CH"/>
        </w:rPr>
        <w:t>le Conseil des ministres a chargé le Centre pour les affaires familiales et féminines de formuler, seul ou en collaboration avec d’autres organisations compétentes, les plans et programmes d’exécution ci-après</w:t>
      </w:r>
      <w:r w:rsidRPr="0071782F">
        <w:rPr>
          <w:lang w:val="fr-CH"/>
        </w:rPr>
        <w:t>.</w:t>
      </w:r>
    </w:p>
    <w:p w:rsidR="00DD2B20" w:rsidRPr="0071782F" w:rsidRDefault="00DD2B20" w:rsidP="00DD2B20">
      <w:pPr>
        <w:pStyle w:val="SingleTxtG"/>
        <w:ind w:left="1701" w:hanging="567"/>
        <w:rPr>
          <w:lang w:val="fr-CH"/>
        </w:rPr>
      </w:pPr>
      <w:r w:rsidRPr="0071782F">
        <w:rPr>
          <w:lang w:val="fr-CH"/>
        </w:rPr>
        <w:tab/>
        <w:t>138.1.</w:t>
      </w:r>
      <w:r w:rsidRPr="0071782F">
        <w:rPr>
          <w:lang w:val="fr-CH"/>
        </w:rPr>
        <w:tab/>
      </w:r>
      <w:r w:rsidR="0093435E" w:rsidRPr="0071782F">
        <w:rPr>
          <w:lang w:val="fr-CH"/>
        </w:rPr>
        <w:t xml:space="preserve">Élaboration et exécution du Plan national de </w:t>
      </w:r>
      <w:r w:rsidRPr="0071782F">
        <w:rPr>
          <w:lang w:val="fr-CH"/>
        </w:rPr>
        <w:t xml:space="preserve">consolidation </w:t>
      </w:r>
      <w:r w:rsidR="0093435E" w:rsidRPr="0071782F">
        <w:rPr>
          <w:lang w:val="fr-CH"/>
        </w:rPr>
        <w:t xml:space="preserve">de l’institution familiale et de </w:t>
      </w:r>
      <w:r w:rsidRPr="0071782F">
        <w:rPr>
          <w:lang w:val="fr-CH"/>
        </w:rPr>
        <w:t xml:space="preserve">facilitation </w:t>
      </w:r>
      <w:r w:rsidR="0093435E" w:rsidRPr="0071782F">
        <w:rPr>
          <w:lang w:val="fr-CH"/>
        </w:rPr>
        <w:t>du mariage</w:t>
      </w:r>
      <w:r w:rsidR="00B53353" w:rsidRPr="0071782F">
        <w:rPr>
          <w:lang w:val="fr-CH"/>
        </w:rPr>
        <w:t>.</w:t>
      </w:r>
    </w:p>
    <w:p w:rsidR="00DD2B20" w:rsidRPr="0071782F" w:rsidRDefault="00DD2B20" w:rsidP="00DD2B20">
      <w:pPr>
        <w:pStyle w:val="SingleTxtG"/>
        <w:ind w:left="1701" w:hanging="567"/>
        <w:rPr>
          <w:lang w:val="fr-CH"/>
        </w:rPr>
      </w:pPr>
      <w:r w:rsidRPr="0071782F">
        <w:rPr>
          <w:lang w:val="fr-CH"/>
        </w:rPr>
        <w:tab/>
        <w:t>138.2.</w:t>
      </w:r>
      <w:r w:rsidRPr="0071782F">
        <w:rPr>
          <w:lang w:val="fr-CH"/>
        </w:rPr>
        <w:tab/>
      </w:r>
      <w:r w:rsidR="0093435E" w:rsidRPr="0071782F">
        <w:rPr>
          <w:lang w:val="fr-CH"/>
        </w:rPr>
        <w:t xml:space="preserve">Élaboration du Plan intégré sur les droits et devoirs de la femme et sur </w:t>
      </w:r>
      <w:r w:rsidR="00B71907" w:rsidRPr="0071782F">
        <w:rPr>
          <w:lang w:val="fr-CH"/>
        </w:rPr>
        <w:t>la famille</w:t>
      </w:r>
      <w:r w:rsidR="00B53353" w:rsidRPr="0071782F">
        <w:rPr>
          <w:lang w:val="fr-CH"/>
        </w:rPr>
        <w:t>.</w:t>
      </w:r>
    </w:p>
    <w:p w:rsidR="00DD2B20" w:rsidRPr="0071782F" w:rsidRDefault="00DD2B20" w:rsidP="00DD2B20">
      <w:pPr>
        <w:pStyle w:val="SingleTxtG"/>
        <w:ind w:left="1701" w:hanging="567"/>
        <w:rPr>
          <w:lang w:val="fr-CH"/>
        </w:rPr>
      </w:pPr>
      <w:r w:rsidRPr="0071782F">
        <w:rPr>
          <w:lang w:val="fr-CH"/>
        </w:rPr>
        <w:tab/>
        <w:t>138.3.</w:t>
      </w:r>
      <w:r w:rsidRPr="0071782F">
        <w:rPr>
          <w:lang w:val="fr-CH"/>
        </w:rPr>
        <w:tab/>
      </w:r>
      <w:r w:rsidR="0093435E" w:rsidRPr="0071782F">
        <w:rPr>
          <w:lang w:val="fr-CH"/>
        </w:rPr>
        <w:t xml:space="preserve">Élaboration et exécution du Programme de </w:t>
      </w:r>
      <w:r w:rsidRPr="0071782F">
        <w:rPr>
          <w:lang w:val="fr-CH"/>
        </w:rPr>
        <w:t>pr</w:t>
      </w:r>
      <w:r w:rsidR="0093435E" w:rsidRPr="0071782F">
        <w:rPr>
          <w:lang w:val="fr-CH"/>
        </w:rPr>
        <w:t>é</w:t>
      </w:r>
      <w:r w:rsidRPr="0071782F">
        <w:rPr>
          <w:lang w:val="fr-CH"/>
        </w:rPr>
        <w:t xml:space="preserve">vention </w:t>
      </w:r>
      <w:r w:rsidR="0093435E" w:rsidRPr="0071782F">
        <w:rPr>
          <w:lang w:val="fr-CH"/>
        </w:rPr>
        <w:t>des préjudices sociaux, de l’</w:t>
      </w:r>
      <w:r w:rsidRPr="0071782F">
        <w:rPr>
          <w:lang w:val="fr-CH"/>
        </w:rPr>
        <w:t xml:space="preserve">injustice </w:t>
      </w:r>
      <w:r w:rsidR="0093435E" w:rsidRPr="0071782F">
        <w:rPr>
          <w:lang w:val="fr-CH"/>
        </w:rPr>
        <w:t xml:space="preserve">et de la </w:t>
      </w:r>
      <w:r w:rsidRPr="0071782F">
        <w:rPr>
          <w:lang w:val="fr-CH"/>
        </w:rPr>
        <w:t xml:space="preserve">discrimination </w:t>
      </w:r>
      <w:r w:rsidR="0093435E" w:rsidRPr="0071782F">
        <w:rPr>
          <w:lang w:val="fr-CH"/>
        </w:rPr>
        <w:t>à l’égard des femmes</w:t>
      </w:r>
      <w:r w:rsidR="00B53353" w:rsidRPr="0071782F">
        <w:rPr>
          <w:lang w:val="fr-CH"/>
        </w:rPr>
        <w:t>.</w:t>
      </w:r>
    </w:p>
    <w:p w:rsidR="00DD2B20" w:rsidRPr="0071782F" w:rsidRDefault="00DD2B20" w:rsidP="00DD2B20">
      <w:pPr>
        <w:pStyle w:val="SingleTxtG"/>
        <w:ind w:left="1701" w:hanging="567"/>
        <w:rPr>
          <w:lang w:val="fr-CH"/>
        </w:rPr>
      </w:pPr>
      <w:r w:rsidRPr="0071782F">
        <w:rPr>
          <w:lang w:val="fr-CH"/>
        </w:rPr>
        <w:tab/>
        <w:t>138.4.</w:t>
      </w:r>
      <w:r w:rsidRPr="0071782F">
        <w:rPr>
          <w:lang w:val="fr-CH"/>
        </w:rPr>
        <w:tab/>
      </w:r>
      <w:r w:rsidR="0093435E" w:rsidRPr="0071782F">
        <w:rPr>
          <w:lang w:val="fr-CH"/>
        </w:rPr>
        <w:t>Élaboration du Plan intégré de renforcement des moyens d’action des organisations non gouvernementales féminines</w:t>
      </w:r>
      <w:r w:rsidRPr="0071782F">
        <w:rPr>
          <w:lang w:val="fr-CH"/>
        </w:rPr>
        <w:t>.</w:t>
      </w:r>
    </w:p>
    <w:p w:rsidR="00DD2B20" w:rsidRPr="0071782F" w:rsidRDefault="00DD2B20" w:rsidP="00DD2B20">
      <w:pPr>
        <w:pStyle w:val="SingleTxtG"/>
        <w:rPr>
          <w:lang w:val="fr-CH"/>
        </w:rPr>
      </w:pPr>
      <w:r w:rsidRPr="0071782F">
        <w:rPr>
          <w:lang w:val="fr-CH"/>
        </w:rPr>
        <w:t>139.</w:t>
      </w:r>
      <w:r w:rsidRPr="0071782F">
        <w:rPr>
          <w:lang w:val="fr-CH"/>
        </w:rPr>
        <w:tab/>
      </w:r>
      <w:r w:rsidR="00AE2154" w:rsidRPr="0071782F">
        <w:rPr>
          <w:lang w:val="fr-CH"/>
        </w:rPr>
        <w:t xml:space="preserve">Parmi les plans et programmes susvisés, le Plan intégré sur les droits et devoirs de la femme et sur </w:t>
      </w:r>
      <w:r w:rsidR="00B71907" w:rsidRPr="0071782F">
        <w:rPr>
          <w:lang w:val="fr-CH"/>
        </w:rPr>
        <w:t>la famille</w:t>
      </w:r>
      <w:r w:rsidR="00AE2154" w:rsidRPr="0071782F">
        <w:rPr>
          <w:lang w:val="fr-CH"/>
        </w:rPr>
        <w:t xml:space="preserve"> est en cours d’élaboration. Ce plan a pour objectif de passer en revue, sous divers aspects, toutes les lois et réglementations en vigueur concernant la femme et </w:t>
      </w:r>
      <w:r w:rsidR="00B71907" w:rsidRPr="0071782F">
        <w:rPr>
          <w:lang w:val="fr-CH"/>
        </w:rPr>
        <w:t>la famille</w:t>
      </w:r>
      <w:r w:rsidR="00AE2154" w:rsidRPr="0071782F">
        <w:rPr>
          <w:lang w:val="fr-CH"/>
        </w:rPr>
        <w:t xml:space="preserve"> afin d’en analyser les lacunes ou les déficiences juridiques en les comparant à la jurisprudence chiite dynamique, de procéder à des études comparatives et de prendre en considération l’évolution et les priorités de la société;</w:t>
      </w:r>
      <w:r w:rsidRPr="0071782F">
        <w:rPr>
          <w:lang w:val="fr-CH"/>
        </w:rPr>
        <w:t xml:space="preserve"> </w:t>
      </w:r>
      <w:r w:rsidR="00AE2154" w:rsidRPr="0071782F">
        <w:rPr>
          <w:lang w:val="fr-CH"/>
        </w:rPr>
        <w:t xml:space="preserve">le Conseil des ministres est actuellement saisi, pour approbation, de la partie du Plan qui traite de la révision et de la modification des droits civils se rapportant à </w:t>
      </w:r>
      <w:r w:rsidR="00B71907" w:rsidRPr="0071782F">
        <w:rPr>
          <w:lang w:val="fr-CH"/>
        </w:rPr>
        <w:t>la famille</w:t>
      </w:r>
      <w:r w:rsidRPr="0071782F">
        <w:rPr>
          <w:lang w:val="fr-CH"/>
        </w:rPr>
        <w:t>.</w:t>
      </w:r>
    </w:p>
    <w:p w:rsidR="00DD2B20" w:rsidRPr="0071782F" w:rsidRDefault="00DD2B20" w:rsidP="00DD2B20">
      <w:pPr>
        <w:pStyle w:val="SingleTxtG"/>
        <w:rPr>
          <w:lang w:val="fr-CH"/>
        </w:rPr>
      </w:pPr>
      <w:r w:rsidRPr="0071782F">
        <w:rPr>
          <w:lang w:val="fr-CH"/>
        </w:rPr>
        <w:t>140.</w:t>
      </w:r>
      <w:r w:rsidRPr="0071782F">
        <w:rPr>
          <w:lang w:val="fr-CH"/>
        </w:rPr>
        <w:tab/>
      </w:r>
      <w:r w:rsidR="0066496F" w:rsidRPr="0071782F">
        <w:rPr>
          <w:lang w:val="fr-CH"/>
        </w:rPr>
        <w:t xml:space="preserve">Un autre </w:t>
      </w:r>
      <w:r w:rsidRPr="0071782F">
        <w:rPr>
          <w:lang w:val="fr-CH"/>
        </w:rPr>
        <w:t>program</w:t>
      </w:r>
      <w:r w:rsidR="0066496F" w:rsidRPr="0071782F">
        <w:rPr>
          <w:lang w:val="fr-CH"/>
        </w:rPr>
        <w:t>me est en cours d’élaboration, à savoir le Plan national de consolidation de l’institution familiale et de facilitation du mariage</w:t>
      </w:r>
      <w:r w:rsidRPr="0071782F">
        <w:rPr>
          <w:lang w:val="fr-CH"/>
        </w:rPr>
        <w:t xml:space="preserve">. </w:t>
      </w:r>
      <w:r w:rsidR="0066496F" w:rsidRPr="0071782F">
        <w:rPr>
          <w:lang w:val="fr-CH"/>
        </w:rPr>
        <w:t>Il a pour objectif de soutenir la formation, la</w:t>
      </w:r>
      <w:r w:rsidRPr="0071782F">
        <w:rPr>
          <w:lang w:val="fr-CH"/>
        </w:rPr>
        <w:t xml:space="preserve"> consolidation </w:t>
      </w:r>
      <w:r w:rsidR="0066496F" w:rsidRPr="0071782F">
        <w:rPr>
          <w:lang w:val="fr-CH"/>
        </w:rPr>
        <w:t>et la promotion de la cellule familiale et d’en prévenir l’affaiblissement et la désintégration. Ce Plan fixe les obligations des organisations compétentes</w:t>
      </w:r>
      <w:r w:rsidRPr="0071782F">
        <w:rPr>
          <w:lang w:val="fr-CH"/>
        </w:rPr>
        <w:t>.</w:t>
      </w:r>
    </w:p>
    <w:p w:rsidR="00DD2B20" w:rsidRPr="0071782F" w:rsidRDefault="00DD2B20" w:rsidP="00DD2B20">
      <w:pPr>
        <w:pStyle w:val="SingleTxtG"/>
        <w:rPr>
          <w:lang w:val="fr-CH"/>
        </w:rPr>
      </w:pPr>
      <w:r w:rsidRPr="0071782F">
        <w:rPr>
          <w:lang w:val="fr-CH"/>
        </w:rPr>
        <w:t>141.</w:t>
      </w:r>
      <w:r w:rsidRPr="0071782F">
        <w:rPr>
          <w:lang w:val="fr-CH"/>
        </w:rPr>
        <w:tab/>
      </w:r>
      <w:r w:rsidR="004C61C3" w:rsidRPr="0071782F">
        <w:rPr>
          <w:lang w:val="fr-CH"/>
        </w:rPr>
        <w:t xml:space="preserve">En sus des responsabilités dont elle a spécifiquement investi le Centre pour les affaires familiales et féminines, la loi relative au </w:t>
      </w:r>
      <w:r w:rsidR="00A90208" w:rsidRPr="0071782F">
        <w:rPr>
          <w:lang w:val="fr-CH"/>
        </w:rPr>
        <w:t>quatrième</w:t>
      </w:r>
      <w:r w:rsidR="004C61C3" w:rsidRPr="0071782F">
        <w:rPr>
          <w:lang w:val="fr-CH"/>
        </w:rPr>
        <w:t xml:space="preserve"> plan de développement, qui permet d’évaluer la portée de l’engagement des instances législatives et exécutives compétentes à l’égard des politiques publiques concernant la femme et </w:t>
      </w:r>
      <w:r w:rsidR="00B71907" w:rsidRPr="0071782F">
        <w:rPr>
          <w:lang w:val="fr-CH"/>
        </w:rPr>
        <w:t>la famille</w:t>
      </w:r>
      <w:r w:rsidR="004C61C3" w:rsidRPr="0071782F">
        <w:rPr>
          <w:lang w:val="fr-CH"/>
        </w:rPr>
        <w:t>, a confié certaines responsabilités à d’autres organes d’exécution</w:t>
      </w:r>
      <w:r w:rsidRPr="0071782F">
        <w:rPr>
          <w:lang w:val="fr-CH"/>
        </w:rPr>
        <w:t xml:space="preserve">; </w:t>
      </w:r>
      <w:r w:rsidR="004C61C3" w:rsidRPr="0071782F">
        <w:rPr>
          <w:lang w:val="fr-CH"/>
        </w:rPr>
        <w:t>vu le rôle de supervision qu’il joue dans ce domaine, le Centre est tenu d’obtenir de ces organes des rapports d’étape et de suivre la manière dont ils s’acquittent de leurs tâches, et de présenter des rapports à ce sujet aux autorités nationales et internationales compétentes.</w:t>
      </w:r>
    </w:p>
    <w:p w:rsidR="00DD2B20" w:rsidRPr="0071782F" w:rsidRDefault="00DD2B20" w:rsidP="00DD2B20">
      <w:pPr>
        <w:pStyle w:val="SingleTxtG"/>
        <w:ind w:left="1701" w:hanging="567"/>
        <w:rPr>
          <w:lang w:val="fr-CH"/>
        </w:rPr>
      </w:pPr>
      <w:r w:rsidRPr="0071782F">
        <w:rPr>
          <w:lang w:val="fr-CH"/>
        </w:rPr>
        <w:tab/>
        <w:t>141.1.</w:t>
      </w:r>
      <w:r w:rsidRPr="0071782F">
        <w:rPr>
          <w:lang w:val="fr-CH"/>
        </w:rPr>
        <w:tab/>
      </w:r>
      <w:r w:rsidR="003B141B" w:rsidRPr="0071782F">
        <w:rPr>
          <w:lang w:val="fr-CH"/>
        </w:rPr>
        <w:t xml:space="preserve">Le </w:t>
      </w:r>
      <w:r w:rsidR="00723F2B" w:rsidRPr="0071782F">
        <w:rPr>
          <w:lang w:val="fr-CH"/>
        </w:rPr>
        <w:t>paragraphe </w:t>
      </w:r>
      <w:r w:rsidRPr="0071782F">
        <w:rPr>
          <w:lang w:val="fr-CH"/>
        </w:rPr>
        <w:t xml:space="preserve">3 </w:t>
      </w:r>
      <w:r w:rsidR="003B141B"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26 </w:t>
      </w:r>
      <w:r w:rsidR="003B141B" w:rsidRPr="0071782F">
        <w:rPr>
          <w:lang w:val="fr-CH"/>
        </w:rPr>
        <w:t xml:space="preserve">du </w:t>
      </w:r>
      <w:r w:rsidR="00A90208" w:rsidRPr="0071782F">
        <w:rPr>
          <w:lang w:val="fr-CH"/>
        </w:rPr>
        <w:t>quatrième</w:t>
      </w:r>
      <w:r w:rsidR="003B141B" w:rsidRPr="0071782F">
        <w:rPr>
          <w:lang w:val="fr-CH"/>
        </w:rPr>
        <w:t xml:space="preserve"> plan de développement autorise l’Organisme public de protection sociale à délivrer des </w:t>
      </w:r>
      <w:r w:rsidR="008738B3" w:rsidRPr="0071782F">
        <w:rPr>
          <w:lang w:val="fr-CH"/>
        </w:rPr>
        <w:t>autorisation</w:t>
      </w:r>
      <w:r w:rsidR="003B141B" w:rsidRPr="0071782F">
        <w:rPr>
          <w:lang w:val="fr-CH"/>
        </w:rPr>
        <w:t xml:space="preserve">s </w:t>
      </w:r>
      <w:r w:rsidR="00175962" w:rsidRPr="0071782F">
        <w:rPr>
          <w:lang w:val="fr-CH"/>
        </w:rPr>
        <w:t>aux personnes</w:t>
      </w:r>
      <w:r w:rsidR="003B141B" w:rsidRPr="0071782F">
        <w:rPr>
          <w:lang w:val="fr-CH"/>
        </w:rPr>
        <w:t xml:space="preserve"> ou entités souhaitant ouvrir des centres de soins pour les filles et les femmes une fois achevées les études spécialisées correspondantes</w:t>
      </w:r>
      <w:r w:rsidR="00B53353" w:rsidRPr="0071782F">
        <w:rPr>
          <w:lang w:val="fr-CH"/>
        </w:rPr>
        <w:t>.</w:t>
      </w:r>
    </w:p>
    <w:p w:rsidR="00DD2B20" w:rsidRPr="0071782F" w:rsidRDefault="00DD2B20" w:rsidP="00DD2B20">
      <w:pPr>
        <w:pStyle w:val="SingleTxtG"/>
        <w:ind w:left="1701" w:hanging="567"/>
        <w:rPr>
          <w:lang w:val="fr-CH"/>
        </w:rPr>
      </w:pPr>
      <w:r w:rsidRPr="0071782F">
        <w:rPr>
          <w:lang w:val="fr-CH"/>
        </w:rPr>
        <w:tab/>
        <w:t>141.2.</w:t>
      </w:r>
      <w:r w:rsidRPr="0071782F">
        <w:rPr>
          <w:lang w:val="fr-CH"/>
        </w:rPr>
        <w:tab/>
      </w:r>
      <w:r w:rsidR="0086023C" w:rsidRPr="0071782F">
        <w:rPr>
          <w:lang w:val="fr-CH"/>
        </w:rPr>
        <w:t xml:space="preserve">Le </w:t>
      </w:r>
      <w:r w:rsidR="00723F2B" w:rsidRPr="0071782F">
        <w:rPr>
          <w:lang w:val="fr-CH"/>
        </w:rPr>
        <w:t>paragraphe </w:t>
      </w:r>
      <w:r w:rsidRPr="0071782F">
        <w:rPr>
          <w:lang w:val="fr-CH"/>
        </w:rPr>
        <w:t xml:space="preserve">3 (D) </w:t>
      </w:r>
      <w:r w:rsidR="0086023C"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30 </w:t>
      </w:r>
      <w:r w:rsidR="0086023C" w:rsidRPr="0071782F">
        <w:rPr>
          <w:lang w:val="fr-CH"/>
        </w:rPr>
        <w:t xml:space="preserve">du même plan fait obligation à l’État d’accorder des subventions destinées à financer les </w:t>
      </w:r>
      <w:r w:rsidR="00BF08CC" w:rsidRPr="0071782F">
        <w:rPr>
          <w:lang w:val="fr-CH"/>
        </w:rPr>
        <w:t>commissions associées aux</w:t>
      </w:r>
      <w:r w:rsidR="0086023C" w:rsidRPr="0071782F">
        <w:rPr>
          <w:lang w:val="fr-CH"/>
        </w:rPr>
        <w:t xml:space="preserve"> crédits bancaires octroyés aux constructeurs (des secteurs privé</w:t>
      </w:r>
      <w:r w:rsidR="009C434D" w:rsidRPr="0071782F">
        <w:rPr>
          <w:lang w:val="fr-CH"/>
        </w:rPr>
        <w:t xml:space="preserve"> ou public ou du secteur des</w:t>
      </w:r>
      <w:r w:rsidR="0086023C" w:rsidRPr="0071782F">
        <w:rPr>
          <w:lang w:val="fr-CH"/>
        </w:rPr>
        <w:t xml:space="preserve"> coopérati</w:t>
      </w:r>
      <w:r w:rsidR="009C434D" w:rsidRPr="0071782F">
        <w:rPr>
          <w:lang w:val="fr-CH"/>
        </w:rPr>
        <w:t>ves</w:t>
      </w:r>
      <w:r w:rsidRPr="0071782F">
        <w:rPr>
          <w:lang w:val="fr-CH"/>
        </w:rPr>
        <w:t xml:space="preserve">) </w:t>
      </w:r>
      <w:r w:rsidR="003F25A2">
        <w:rPr>
          <w:lang w:val="fr-CH"/>
        </w:rPr>
        <w:t>de logements</w:t>
      </w:r>
      <w:r w:rsidR="0086023C" w:rsidRPr="0071782F">
        <w:rPr>
          <w:lang w:val="fr-CH"/>
        </w:rPr>
        <w:t xml:space="preserve"> bon marché à l’intention des femmes chefs </w:t>
      </w:r>
      <w:r w:rsidR="0092511D" w:rsidRPr="0071782F">
        <w:rPr>
          <w:lang w:val="fr-CH"/>
        </w:rPr>
        <w:t>de famille</w:t>
      </w:r>
      <w:r w:rsidR="00B53353" w:rsidRPr="0071782F">
        <w:rPr>
          <w:lang w:val="fr-CH"/>
        </w:rPr>
        <w:t>.</w:t>
      </w:r>
    </w:p>
    <w:p w:rsidR="00DD2B20" w:rsidRPr="0071782F" w:rsidRDefault="00DD2B20" w:rsidP="00DD2B20">
      <w:pPr>
        <w:pStyle w:val="SingleTxtG"/>
        <w:ind w:left="1701" w:hanging="567"/>
        <w:rPr>
          <w:lang w:val="fr-CH"/>
        </w:rPr>
      </w:pPr>
      <w:r w:rsidRPr="0071782F">
        <w:rPr>
          <w:lang w:val="fr-CH"/>
        </w:rPr>
        <w:tab/>
        <w:t>141.3.</w:t>
      </w:r>
      <w:r w:rsidRPr="0071782F">
        <w:rPr>
          <w:lang w:val="fr-CH"/>
        </w:rPr>
        <w:tab/>
      </w:r>
      <w:r w:rsidR="0086023C" w:rsidRPr="0071782F">
        <w:rPr>
          <w:lang w:val="fr-CH"/>
        </w:rPr>
        <w:t>L’alinéa</w:t>
      </w:r>
      <w:r w:rsidR="007F37CE" w:rsidRPr="0071782F">
        <w:rPr>
          <w:lang w:val="fr-CH"/>
        </w:rPr>
        <w:t xml:space="preserve"> </w:t>
      </w:r>
      <w:r w:rsidRPr="0071782F">
        <w:rPr>
          <w:lang w:val="fr-CH"/>
        </w:rPr>
        <w:t xml:space="preserve">B </w:t>
      </w:r>
      <w:r w:rsidR="0086023C"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91 </w:t>
      </w:r>
      <w:r w:rsidR="0086023C" w:rsidRPr="0071782F">
        <w:rPr>
          <w:lang w:val="fr-CH"/>
        </w:rPr>
        <w:t xml:space="preserve">du plan fait obligation au Haut Conseil de l’assurance médicale d’avoir, à la fin du </w:t>
      </w:r>
      <w:r w:rsidR="00A90208" w:rsidRPr="0071782F">
        <w:rPr>
          <w:lang w:val="fr-CH"/>
        </w:rPr>
        <w:t>quatrième</w:t>
      </w:r>
      <w:r w:rsidR="0086023C" w:rsidRPr="0071782F">
        <w:rPr>
          <w:lang w:val="fr-CH"/>
        </w:rPr>
        <w:t xml:space="preserve"> plan de développement, préparé la mise en place d’un régime d’assurance santé reposant sur le système du </w:t>
      </w:r>
      <w:r w:rsidR="007D20FF" w:rsidRPr="0071782F">
        <w:rPr>
          <w:lang w:val="fr-CH"/>
        </w:rPr>
        <w:t>médecin traitant</w:t>
      </w:r>
      <w:r w:rsidR="0086023C" w:rsidRPr="0071782F">
        <w:rPr>
          <w:lang w:val="fr-CH"/>
        </w:rPr>
        <w:t xml:space="preserve"> et de l’aiguillage des patients</w:t>
      </w:r>
      <w:r w:rsidR="00B53353" w:rsidRPr="0071782F">
        <w:rPr>
          <w:lang w:val="fr-CH"/>
        </w:rPr>
        <w:t>.</w:t>
      </w:r>
    </w:p>
    <w:p w:rsidR="00DD2B20" w:rsidRPr="0071782F" w:rsidRDefault="00DD2B20" w:rsidP="00DD2B20">
      <w:pPr>
        <w:pStyle w:val="SingleTxtG"/>
        <w:ind w:left="1701" w:hanging="567"/>
        <w:rPr>
          <w:lang w:val="fr-CH"/>
        </w:rPr>
      </w:pPr>
      <w:r w:rsidRPr="0071782F">
        <w:rPr>
          <w:lang w:val="fr-CH"/>
        </w:rPr>
        <w:tab/>
        <w:t>141.4.</w:t>
      </w:r>
      <w:r w:rsidRPr="0071782F">
        <w:rPr>
          <w:lang w:val="fr-CH"/>
        </w:rPr>
        <w:tab/>
      </w:r>
      <w:r w:rsidR="0086023C" w:rsidRPr="0071782F">
        <w:rPr>
          <w:lang w:val="fr-CH"/>
        </w:rPr>
        <w:t>En vertu des alinéas</w:t>
      </w:r>
      <w:r w:rsidR="007F37CE" w:rsidRPr="0071782F">
        <w:rPr>
          <w:lang w:val="fr-CH"/>
        </w:rPr>
        <w:t xml:space="preserve"> </w:t>
      </w:r>
      <w:r w:rsidRPr="0071782F">
        <w:rPr>
          <w:lang w:val="fr-CH"/>
        </w:rPr>
        <w:t xml:space="preserve">C </w:t>
      </w:r>
      <w:r w:rsidR="0086023C" w:rsidRPr="0071782F">
        <w:rPr>
          <w:lang w:val="fr-CH"/>
        </w:rPr>
        <w:t>et</w:t>
      </w:r>
      <w:r w:rsidR="007F37CE" w:rsidRPr="0071782F">
        <w:rPr>
          <w:lang w:val="fr-CH"/>
        </w:rPr>
        <w:t xml:space="preserve"> </w:t>
      </w:r>
      <w:r w:rsidRPr="0071782F">
        <w:rPr>
          <w:lang w:val="fr-CH"/>
        </w:rPr>
        <w:t xml:space="preserve">E </w:t>
      </w:r>
      <w:r w:rsidR="0086023C"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95 </w:t>
      </w:r>
      <w:r w:rsidR="0086023C" w:rsidRPr="0071782F">
        <w:rPr>
          <w:lang w:val="fr-CH"/>
        </w:rPr>
        <w:t xml:space="preserve">du </w:t>
      </w:r>
      <w:r w:rsidRPr="0071782F">
        <w:rPr>
          <w:lang w:val="fr-CH"/>
        </w:rPr>
        <w:t xml:space="preserve">plan, </w:t>
      </w:r>
      <w:r w:rsidR="0086023C" w:rsidRPr="0071782F">
        <w:rPr>
          <w:lang w:val="fr-CH"/>
        </w:rPr>
        <w:t xml:space="preserve">l’État est tenu d’avoir, à la fin de la deuxième année du plan, recensé toutes </w:t>
      </w:r>
      <w:r w:rsidR="00DA097D" w:rsidRPr="0071782F">
        <w:rPr>
          <w:lang w:val="fr-CH"/>
        </w:rPr>
        <w:t>les familles</w:t>
      </w:r>
      <w:r w:rsidR="0086023C" w:rsidRPr="0071782F">
        <w:rPr>
          <w:lang w:val="fr-CH"/>
        </w:rPr>
        <w:t xml:space="preserve"> vivant au-dessous du seuil de pauvreté absolue et de les avoir fait assurer par les organismes et institutions de sécurité sociale</w:t>
      </w:r>
      <w:r w:rsidR="001E2A5C" w:rsidRPr="0071782F">
        <w:rPr>
          <w:lang w:val="fr-CH"/>
        </w:rPr>
        <w:t>.</w:t>
      </w:r>
    </w:p>
    <w:p w:rsidR="00DD2B20" w:rsidRPr="0071782F" w:rsidRDefault="00DD2B20" w:rsidP="00DD2B20">
      <w:pPr>
        <w:pStyle w:val="SingleTxtG"/>
        <w:ind w:left="1701" w:hanging="567"/>
        <w:rPr>
          <w:lang w:val="fr-CH"/>
        </w:rPr>
      </w:pPr>
      <w:r w:rsidRPr="0071782F">
        <w:rPr>
          <w:lang w:val="fr-CH"/>
        </w:rPr>
        <w:tab/>
        <w:t>141.5.</w:t>
      </w:r>
      <w:r w:rsidRPr="0071782F">
        <w:rPr>
          <w:lang w:val="fr-CH"/>
        </w:rPr>
        <w:tab/>
      </w:r>
      <w:r w:rsidR="0086023C" w:rsidRPr="0071782F">
        <w:rPr>
          <w:lang w:val="fr-CH"/>
        </w:rPr>
        <w:t>En vertu des alinéas</w:t>
      </w:r>
      <w:r w:rsidR="007F37CE" w:rsidRPr="0071782F">
        <w:rPr>
          <w:lang w:val="fr-CH"/>
        </w:rPr>
        <w:t xml:space="preserve"> </w:t>
      </w:r>
      <w:r w:rsidRPr="0071782F">
        <w:rPr>
          <w:lang w:val="fr-CH"/>
        </w:rPr>
        <w:t xml:space="preserve">A, L </w:t>
      </w:r>
      <w:r w:rsidR="0086023C" w:rsidRPr="0071782F">
        <w:rPr>
          <w:lang w:val="fr-CH"/>
        </w:rPr>
        <w:t>et</w:t>
      </w:r>
      <w:r w:rsidRPr="0071782F">
        <w:rPr>
          <w:lang w:val="fr-CH"/>
        </w:rPr>
        <w:t xml:space="preserve"> Y </w:t>
      </w:r>
      <w:r w:rsidR="0086023C"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97 </w:t>
      </w:r>
      <w:r w:rsidR="0086023C" w:rsidRPr="0071782F">
        <w:rPr>
          <w:lang w:val="fr-CH"/>
        </w:rPr>
        <w:t xml:space="preserve">du </w:t>
      </w:r>
      <w:r w:rsidRPr="0071782F">
        <w:rPr>
          <w:lang w:val="fr-CH"/>
        </w:rPr>
        <w:t xml:space="preserve">plan, </w:t>
      </w:r>
      <w:r w:rsidR="0086023C" w:rsidRPr="0071782F">
        <w:rPr>
          <w:lang w:val="fr-CH"/>
        </w:rPr>
        <w:t>l’État est tenu, afin de prévenir et de réduire les préjudices sociaux, de formuler un plan intégré de lutte contre les préjudices sociaux qui mette l’accent sur la prévention de la toxicomanie et porte notamment sur les axes d’intervention ci-après</w:t>
      </w:r>
      <w:r w:rsidR="001E2A5C" w:rsidRPr="0071782F">
        <w:rPr>
          <w:lang w:val="fr-CH"/>
        </w:rPr>
        <w:t>.</w:t>
      </w:r>
    </w:p>
    <w:p w:rsidR="00DD2B20" w:rsidRPr="0071782F" w:rsidRDefault="00DD2B20" w:rsidP="00DD2B20">
      <w:pPr>
        <w:pStyle w:val="SingleTxtG"/>
        <w:ind w:left="1701" w:hanging="567"/>
        <w:rPr>
          <w:lang w:val="fr-CH"/>
        </w:rPr>
      </w:pPr>
      <w:r w:rsidRPr="0071782F">
        <w:rPr>
          <w:lang w:val="fr-CH"/>
        </w:rPr>
        <w:tab/>
        <w:t>141.6.</w:t>
      </w:r>
      <w:r w:rsidRPr="0071782F">
        <w:rPr>
          <w:lang w:val="fr-CH"/>
        </w:rPr>
        <w:tab/>
        <w:t xml:space="preserve">Promotion </w:t>
      </w:r>
      <w:r w:rsidR="0086023C" w:rsidRPr="0071782F">
        <w:rPr>
          <w:lang w:val="fr-CH"/>
        </w:rPr>
        <w:t>du niveau de santé mentale, extension du travail social et des services sociaux</w:t>
      </w:r>
      <w:r w:rsidRPr="0071782F">
        <w:rPr>
          <w:lang w:val="fr-CH"/>
        </w:rPr>
        <w:t xml:space="preserve">, consolidation </w:t>
      </w:r>
      <w:r w:rsidR="0086023C" w:rsidRPr="0071782F">
        <w:rPr>
          <w:lang w:val="fr-CH"/>
        </w:rPr>
        <w:t xml:space="preserve">de l’institution familiale et renforcement de l’autonomie </w:t>
      </w:r>
      <w:r w:rsidR="007F37CE" w:rsidRPr="0071782F">
        <w:rPr>
          <w:lang w:val="fr-CH"/>
        </w:rPr>
        <w:t>des personnes</w:t>
      </w:r>
      <w:r w:rsidR="0086023C" w:rsidRPr="0071782F">
        <w:rPr>
          <w:lang w:val="fr-CH"/>
        </w:rPr>
        <w:t xml:space="preserve"> </w:t>
      </w:r>
      <w:r w:rsidRPr="0071782F">
        <w:rPr>
          <w:lang w:val="fr-CH"/>
        </w:rPr>
        <w:t>vuln</w:t>
      </w:r>
      <w:r w:rsidR="0086023C" w:rsidRPr="0071782F">
        <w:rPr>
          <w:lang w:val="fr-CH"/>
        </w:rPr>
        <w:t>é</w:t>
      </w:r>
      <w:r w:rsidRPr="0071782F">
        <w:rPr>
          <w:lang w:val="fr-CH"/>
        </w:rPr>
        <w:t>rable</w:t>
      </w:r>
      <w:r w:rsidR="0086023C" w:rsidRPr="0071782F">
        <w:rPr>
          <w:lang w:val="fr-CH"/>
        </w:rPr>
        <w:t>s</w:t>
      </w:r>
      <w:r w:rsidRPr="0071782F">
        <w:rPr>
          <w:lang w:val="fr-CH"/>
        </w:rPr>
        <w:t xml:space="preserve"> </w:t>
      </w:r>
      <w:r w:rsidR="0086023C" w:rsidRPr="0071782F">
        <w:rPr>
          <w:lang w:val="fr-CH"/>
        </w:rPr>
        <w:t>et des groupes à risque</w:t>
      </w:r>
      <w:r w:rsidR="001E2A5C" w:rsidRPr="0071782F">
        <w:rPr>
          <w:lang w:val="fr-CH"/>
        </w:rPr>
        <w:t>.</w:t>
      </w:r>
    </w:p>
    <w:p w:rsidR="00DD2B20" w:rsidRPr="0071782F" w:rsidRDefault="00DD2B20" w:rsidP="00DD2B20">
      <w:pPr>
        <w:pStyle w:val="SingleTxtG"/>
        <w:ind w:left="1701" w:hanging="567"/>
        <w:rPr>
          <w:lang w:val="fr-CH"/>
        </w:rPr>
      </w:pPr>
      <w:r w:rsidRPr="0071782F">
        <w:rPr>
          <w:lang w:val="fr-CH"/>
        </w:rPr>
        <w:tab/>
        <w:t>141.7.</w:t>
      </w:r>
      <w:r w:rsidRPr="0071782F">
        <w:rPr>
          <w:lang w:val="fr-CH"/>
        </w:rPr>
        <w:tab/>
      </w:r>
      <w:r w:rsidR="0086023C" w:rsidRPr="0071782F">
        <w:rPr>
          <w:lang w:val="fr-CH"/>
        </w:rPr>
        <w:t xml:space="preserve">Augmentation du montant de la pension mensuelle que touchent </w:t>
      </w:r>
      <w:r w:rsidR="00DA097D" w:rsidRPr="0071782F">
        <w:rPr>
          <w:lang w:val="fr-CH"/>
        </w:rPr>
        <w:t>les familles</w:t>
      </w:r>
      <w:r w:rsidR="0086023C" w:rsidRPr="0071782F">
        <w:rPr>
          <w:lang w:val="fr-CH"/>
        </w:rPr>
        <w:t xml:space="preserve"> pauvres, </w:t>
      </w:r>
      <w:r w:rsidR="00DA097D" w:rsidRPr="0071782F">
        <w:rPr>
          <w:lang w:val="fr-CH"/>
        </w:rPr>
        <w:t>les familles</w:t>
      </w:r>
      <w:r w:rsidR="0086023C" w:rsidRPr="0071782F">
        <w:rPr>
          <w:lang w:val="fr-CH"/>
        </w:rPr>
        <w:t xml:space="preserve"> sans tuteur et </w:t>
      </w:r>
      <w:r w:rsidR="00DA097D" w:rsidRPr="0071782F">
        <w:rPr>
          <w:lang w:val="fr-CH"/>
        </w:rPr>
        <w:t>les familles</w:t>
      </w:r>
      <w:r w:rsidR="0086023C" w:rsidRPr="0071782F">
        <w:rPr>
          <w:lang w:val="fr-CH"/>
        </w:rPr>
        <w:t xml:space="preserve"> dont le chef est une femme prises en charge par les organisations de secours sur la base de </w:t>
      </w:r>
      <w:r w:rsidRPr="0071782F">
        <w:rPr>
          <w:lang w:val="fr-CH"/>
        </w:rPr>
        <w:t>40</w:t>
      </w:r>
      <w:r w:rsidR="007E5125" w:rsidRPr="0071782F">
        <w:rPr>
          <w:lang w:val="fr-CH"/>
        </w:rPr>
        <w:t>%</w:t>
      </w:r>
      <w:r w:rsidRPr="0071782F">
        <w:rPr>
          <w:lang w:val="fr-CH"/>
        </w:rPr>
        <w:t xml:space="preserve"> </w:t>
      </w:r>
      <w:r w:rsidR="0086023C" w:rsidRPr="0071782F">
        <w:rPr>
          <w:lang w:val="fr-CH"/>
        </w:rPr>
        <w:t xml:space="preserve">du salaire ou traitement minimal dès la première année du </w:t>
      </w:r>
      <w:r w:rsidR="00A90208" w:rsidRPr="0071782F">
        <w:rPr>
          <w:lang w:val="fr-CH"/>
        </w:rPr>
        <w:t>quatrième</w:t>
      </w:r>
      <w:r w:rsidR="0086023C" w:rsidRPr="0071782F">
        <w:rPr>
          <w:lang w:val="fr-CH"/>
        </w:rPr>
        <w:t xml:space="preserve"> plan de développement.</w:t>
      </w:r>
    </w:p>
    <w:p w:rsidR="00DD2B20" w:rsidRPr="0071782F" w:rsidRDefault="00DD2B20" w:rsidP="00DD2B20">
      <w:pPr>
        <w:pStyle w:val="SingleTxtG"/>
        <w:ind w:left="1701" w:hanging="567"/>
        <w:rPr>
          <w:lang w:val="fr-CH"/>
        </w:rPr>
      </w:pPr>
      <w:r w:rsidRPr="0071782F">
        <w:rPr>
          <w:lang w:val="fr-CH"/>
        </w:rPr>
        <w:tab/>
        <w:t>141.8.</w:t>
      </w:r>
      <w:r w:rsidRPr="0071782F">
        <w:rPr>
          <w:lang w:val="fr-CH"/>
        </w:rPr>
        <w:tab/>
        <w:t xml:space="preserve">Formulation </w:t>
      </w:r>
      <w:r w:rsidR="0086023C" w:rsidRPr="0071782F">
        <w:rPr>
          <w:lang w:val="fr-CH"/>
        </w:rPr>
        <w:t xml:space="preserve">d’un plan intégré d’autonomisation des femmes qui doivent </w:t>
      </w:r>
      <w:r w:rsidR="0071782F" w:rsidRPr="0071782F">
        <w:rPr>
          <w:lang w:val="fr-CH"/>
        </w:rPr>
        <w:t>subvenir</w:t>
      </w:r>
      <w:r w:rsidR="0086023C" w:rsidRPr="0071782F">
        <w:rPr>
          <w:lang w:val="fr-CH"/>
        </w:rPr>
        <w:t xml:space="preserve"> à leurs propres besoins ou sont chefs </w:t>
      </w:r>
      <w:r w:rsidR="0092511D" w:rsidRPr="0071782F">
        <w:rPr>
          <w:lang w:val="fr-CH"/>
        </w:rPr>
        <w:t>de famille</w:t>
      </w:r>
      <w:r w:rsidR="0086023C" w:rsidRPr="0071782F">
        <w:rPr>
          <w:lang w:val="fr-CH"/>
        </w:rPr>
        <w:t xml:space="preserve"> en coopération avec les organismes publics et les ONG compétents, à faire approuver par le Conseil des ministres</w:t>
      </w:r>
      <w:r w:rsidRPr="0071782F">
        <w:rPr>
          <w:lang w:val="fr-CH"/>
        </w:rPr>
        <w:t xml:space="preserve"> </w:t>
      </w:r>
      <w:r w:rsidR="0086023C" w:rsidRPr="0071782F">
        <w:rPr>
          <w:lang w:val="fr-CH"/>
        </w:rPr>
        <w:t xml:space="preserve">au cours du premier semestre de la première année du </w:t>
      </w:r>
      <w:r w:rsidR="00A90208" w:rsidRPr="0071782F">
        <w:rPr>
          <w:lang w:val="fr-CH"/>
        </w:rPr>
        <w:t>quatrième</w:t>
      </w:r>
      <w:r w:rsidR="00B71907" w:rsidRPr="0071782F">
        <w:rPr>
          <w:lang w:val="fr-CH"/>
        </w:rPr>
        <w:t xml:space="preserve"> </w:t>
      </w:r>
      <w:r w:rsidR="0086023C" w:rsidRPr="0071782F">
        <w:rPr>
          <w:lang w:val="fr-CH"/>
        </w:rPr>
        <w:t>plan de développement.</w:t>
      </w:r>
    </w:p>
    <w:p w:rsidR="00DD2B20" w:rsidRPr="0071782F" w:rsidRDefault="00DD2B20" w:rsidP="00DD2B20">
      <w:pPr>
        <w:pStyle w:val="SingleTxtG"/>
        <w:ind w:left="1701" w:hanging="567"/>
        <w:rPr>
          <w:lang w:val="fr-CH"/>
        </w:rPr>
      </w:pPr>
      <w:r w:rsidRPr="0071782F">
        <w:rPr>
          <w:lang w:val="fr-CH"/>
        </w:rPr>
        <w:tab/>
        <w:t>141.9.</w:t>
      </w:r>
      <w:r w:rsidRPr="0071782F">
        <w:rPr>
          <w:lang w:val="fr-CH"/>
        </w:rPr>
        <w:tab/>
      </w:r>
      <w:r w:rsidR="0086023C" w:rsidRPr="0071782F">
        <w:rPr>
          <w:lang w:val="fr-CH"/>
        </w:rPr>
        <w:t xml:space="preserve">En vertu de </w:t>
      </w:r>
      <w:r w:rsidR="006B786B" w:rsidRPr="0071782F">
        <w:rPr>
          <w:lang w:val="fr-CH"/>
        </w:rPr>
        <w:t>l’alinéa </w:t>
      </w:r>
      <w:r w:rsidRPr="0071782F">
        <w:rPr>
          <w:lang w:val="fr-CH"/>
        </w:rPr>
        <w:t xml:space="preserve">L </w:t>
      </w:r>
      <w:r w:rsidR="0086023C"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106 </w:t>
      </w:r>
      <w:r w:rsidR="0086023C" w:rsidRPr="0071782F">
        <w:rPr>
          <w:lang w:val="fr-CH"/>
        </w:rPr>
        <w:t>du plan, l’État est tenu, pour approfondir les valeurs et les convictions spirituelles</w:t>
      </w:r>
      <w:r w:rsidRPr="0071782F">
        <w:rPr>
          <w:lang w:val="fr-CH"/>
        </w:rPr>
        <w:t>, pr</w:t>
      </w:r>
      <w:r w:rsidR="0086023C" w:rsidRPr="0071782F">
        <w:rPr>
          <w:lang w:val="fr-CH"/>
        </w:rPr>
        <w:t>é</w:t>
      </w:r>
      <w:r w:rsidRPr="0071782F">
        <w:rPr>
          <w:lang w:val="fr-CH"/>
        </w:rPr>
        <w:t>serve</w:t>
      </w:r>
      <w:r w:rsidR="0086023C" w:rsidRPr="0071782F">
        <w:rPr>
          <w:lang w:val="fr-CH"/>
        </w:rPr>
        <w:t>r l’identité islamique iranienne et</w:t>
      </w:r>
      <w:r w:rsidRPr="0071782F">
        <w:rPr>
          <w:lang w:val="fr-CH"/>
        </w:rPr>
        <w:t xml:space="preserve"> </w:t>
      </w:r>
      <w:r w:rsidR="0086023C" w:rsidRPr="0071782F">
        <w:rPr>
          <w:lang w:val="fr-CH"/>
        </w:rPr>
        <w:t xml:space="preserve">développer la culture et les connaissances religieuses et coraniques, de lancer des programmes dans les médias, d’améliorer le contenu des manuels et de développer le cadre juridique nécessaire à la </w:t>
      </w:r>
      <w:r w:rsidRPr="0071782F">
        <w:rPr>
          <w:lang w:val="fr-CH"/>
        </w:rPr>
        <w:t>pr</w:t>
      </w:r>
      <w:r w:rsidR="0086023C" w:rsidRPr="0071782F">
        <w:rPr>
          <w:lang w:val="fr-CH"/>
        </w:rPr>
        <w:t>é</w:t>
      </w:r>
      <w:r w:rsidRPr="0071782F">
        <w:rPr>
          <w:lang w:val="fr-CH"/>
        </w:rPr>
        <w:t xml:space="preserve">servation </w:t>
      </w:r>
      <w:r w:rsidR="0086023C" w:rsidRPr="0071782F">
        <w:rPr>
          <w:lang w:val="fr-CH"/>
        </w:rPr>
        <w:t xml:space="preserve">et à la </w:t>
      </w:r>
      <w:r w:rsidRPr="0071782F">
        <w:rPr>
          <w:lang w:val="fr-CH"/>
        </w:rPr>
        <w:t xml:space="preserve">promotion </w:t>
      </w:r>
      <w:r w:rsidR="0086023C" w:rsidRPr="0071782F">
        <w:rPr>
          <w:lang w:val="fr-CH"/>
        </w:rPr>
        <w:t xml:space="preserve">de l’identité islamique iranienne et à la </w:t>
      </w:r>
      <w:r w:rsidRPr="0071782F">
        <w:rPr>
          <w:lang w:val="fr-CH"/>
        </w:rPr>
        <w:t xml:space="preserve">consolidation </w:t>
      </w:r>
      <w:r w:rsidR="0086023C" w:rsidRPr="0071782F">
        <w:rPr>
          <w:lang w:val="fr-CH"/>
        </w:rPr>
        <w:t xml:space="preserve">de l’institution familiale sur la base des principes du patrimoine spirituel de la société iranienne. </w:t>
      </w:r>
    </w:p>
    <w:p w:rsidR="00DD2B20" w:rsidRPr="0071782F" w:rsidRDefault="00DD2B20" w:rsidP="00DD2B20">
      <w:pPr>
        <w:pStyle w:val="SingleTxtG"/>
        <w:ind w:left="1701" w:hanging="567"/>
        <w:rPr>
          <w:lang w:val="fr-CH"/>
        </w:rPr>
      </w:pPr>
      <w:r w:rsidRPr="0071782F">
        <w:rPr>
          <w:lang w:val="fr-CH"/>
        </w:rPr>
        <w:tab/>
      </w:r>
      <w:r w:rsidR="001E2A5C" w:rsidRPr="0071782F">
        <w:rPr>
          <w:lang w:val="fr-CH"/>
        </w:rPr>
        <w:t xml:space="preserve">141.10. </w:t>
      </w:r>
      <w:r w:rsidR="00723F2B" w:rsidRPr="0071782F">
        <w:rPr>
          <w:lang w:val="fr-CH"/>
        </w:rPr>
        <w:t>L’</w:t>
      </w:r>
      <w:r w:rsidR="00943A69" w:rsidRPr="0071782F">
        <w:rPr>
          <w:lang w:val="fr-CH"/>
        </w:rPr>
        <w:t>article </w:t>
      </w:r>
      <w:r w:rsidRPr="0071782F">
        <w:rPr>
          <w:lang w:val="fr-CH"/>
        </w:rPr>
        <w:t xml:space="preserve">111 </w:t>
      </w:r>
      <w:r w:rsidR="00D3163F" w:rsidRPr="0071782F">
        <w:rPr>
          <w:lang w:val="fr-CH"/>
        </w:rPr>
        <w:t>du même plan fait obligation à l’État de prendre les mesures ci-après pour renforcer le rôle des femmes dans la société, leur donner davantage d’opportunités et relever le niveau de leur participation aux affaires sociales.</w:t>
      </w:r>
    </w:p>
    <w:p w:rsidR="00DD2B20" w:rsidRPr="0071782F" w:rsidRDefault="00DD2B20" w:rsidP="00DD2B20">
      <w:pPr>
        <w:pStyle w:val="SingleTxtG"/>
        <w:ind w:left="1701" w:hanging="567"/>
        <w:rPr>
          <w:lang w:val="fr-CH"/>
        </w:rPr>
      </w:pPr>
      <w:r w:rsidRPr="0071782F">
        <w:rPr>
          <w:lang w:val="fr-CH"/>
        </w:rPr>
        <w:tab/>
        <w:t>141.11.</w:t>
      </w:r>
      <w:r w:rsidR="001E2A5C" w:rsidRPr="0071782F">
        <w:rPr>
          <w:lang w:val="fr-CH"/>
        </w:rPr>
        <w:t xml:space="preserve"> </w:t>
      </w:r>
      <w:r w:rsidRPr="0071782F">
        <w:rPr>
          <w:lang w:val="fr-CH"/>
        </w:rPr>
        <w:t>Formulation, appro</w:t>
      </w:r>
      <w:r w:rsidR="00D3163F" w:rsidRPr="0071782F">
        <w:rPr>
          <w:lang w:val="fr-CH"/>
        </w:rPr>
        <w:t>bation et exécution d’un plan intégré pour la participation des femmes fondé sur une révision des dispositions des lois correspondantes, en particulier du Code civil; renforcement des compétences des femmes en fonction des besoins de la société et des progrès technologiques;</w:t>
      </w:r>
      <w:r w:rsidRPr="0071782F">
        <w:rPr>
          <w:lang w:val="fr-CH"/>
        </w:rPr>
        <w:t xml:space="preserve"> </w:t>
      </w:r>
      <w:r w:rsidR="00D3163F" w:rsidRPr="0071782F">
        <w:rPr>
          <w:lang w:val="fr-CH"/>
        </w:rPr>
        <w:t xml:space="preserve">mise en place de </w:t>
      </w:r>
      <w:r w:rsidRPr="0071782F">
        <w:rPr>
          <w:lang w:val="fr-CH"/>
        </w:rPr>
        <w:t xml:space="preserve">structures </w:t>
      </w:r>
      <w:r w:rsidR="00D3163F" w:rsidRPr="0071782F">
        <w:rPr>
          <w:lang w:val="fr-CH"/>
        </w:rPr>
        <w:t>d’investissement aux fins de la création d’emplois; équilibrage de la main-d’</w:t>
      </w:r>
      <w:r w:rsidR="00D5366B" w:rsidRPr="0071782F">
        <w:rPr>
          <w:lang w:val="fr-CH"/>
        </w:rPr>
        <w:t>œuvre</w:t>
      </w:r>
      <w:r w:rsidR="00D3163F" w:rsidRPr="0071782F">
        <w:rPr>
          <w:lang w:val="fr-CH"/>
        </w:rPr>
        <w:t xml:space="preserve"> selon le sexe;</w:t>
      </w:r>
      <w:r w:rsidRPr="0071782F">
        <w:rPr>
          <w:lang w:val="fr-CH"/>
        </w:rPr>
        <w:t xml:space="preserve"> </w:t>
      </w:r>
      <w:r w:rsidR="00D3163F" w:rsidRPr="0071782F">
        <w:rPr>
          <w:lang w:val="fr-CH"/>
        </w:rPr>
        <w:t>amélioration des conditions de vie des femmes et accroissement de la confiance du public dans les aptitudes des femmes</w:t>
      </w:r>
      <w:r w:rsidR="001E2A5C" w:rsidRPr="0071782F">
        <w:rPr>
          <w:lang w:val="fr-CH"/>
        </w:rPr>
        <w:t>.</w:t>
      </w:r>
    </w:p>
    <w:p w:rsidR="00DD2B20" w:rsidRPr="0071782F" w:rsidRDefault="00DD2B20" w:rsidP="00DD2B20">
      <w:pPr>
        <w:pStyle w:val="SingleTxtG"/>
        <w:ind w:left="1701" w:hanging="567"/>
        <w:rPr>
          <w:lang w:val="fr-CH"/>
        </w:rPr>
      </w:pPr>
      <w:r w:rsidRPr="0071782F">
        <w:rPr>
          <w:lang w:val="fr-CH"/>
        </w:rPr>
        <w:tab/>
        <w:t>141.12.</w:t>
      </w:r>
      <w:r w:rsidR="001E2A5C" w:rsidRPr="0071782F">
        <w:rPr>
          <w:lang w:val="fr-CH"/>
        </w:rPr>
        <w:t xml:space="preserve"> </w:t>
      </w:r>
      <w:r w:rsidR="004F0BD6" w:rsidRPr="0071782F">
        <w:rPr>
          <w:lang w:val="fr-CH"/>
        </w:rPr>
        <w:t xml:space="preserve">Élaboration des projets de loi nécessaires à la </w:t>
      </w:r>
      <w:r w:rsidRPr="0071782F">
        <w:rPr>
          <w:lang w:val="fr-CH"/>
        </w:rPr>
        <w:t xml:space="preserve">consolidation </w:t>
      </w:r>
      <w:r w:rsidR="004F0BD6" w:rsidRPr="0071782F">
        <w:rPr>
          <w:lang w:val="fr-CH"/>
        </w:rPr>
        <w:t xml:space="preserve">de l’institution familiale et présentation </w:t>
      </w:r>
      <w:r w:rsidR="00E564ED" w:rsidRPr="0071782F">
        <w:rPr>
          <w:lang w:val="fr-CH"/>
        </w:rPr>
        <w:t>de ces projets de loi aux autor</w:t>
      </w:r>
      <w:r w:rsidR="004F0BD6" w:rsidRPr="0071782F">
        <w:rPr>
          <w:lang w:val="fr-CH"/>
        </w:rPr>
        <w:t>ités compétentes pour examen et approbation</w:t>
      </w:r>
      <w:r w:rsidR="001E2A5C" w:rsidRPr="0071782F">
        <w:rPr>
          <w:lang w:val="fr-CH"/>
        </w:rPr>
        <w:t>.</w:t>
      </w:r>
    </w:p>
    <w:p w:rsidR="00DD2B20" w:rsidRPr="0071782F" w:rsidRDefault="00DD2B20" w:rsidP="00DD2B20">
      <w:pPr>
        <w:pStyle w:val="SingleTxtG"/>
        <w:ind w:left="1701" w:hanging="567"/>
        <w:rPr>
          <w:lang w:val="fr-CH"/>
        </w:rPr>
      </w:pPr>
      <w:r w:rsidRPr="0071782F">
        <w:rPr>
          <w:lang w:val="fr-CH"/>
        </w:rPr>
        <w:tab/>
        <w:t>141.13.</w:t>
      </w:r>
      <w:r w:rsidR="001E2A5C" w:rsidRPr="0071782F">
        <w:rPr>
          <w:lang w:val="fr-CH"/>
        </w:rPr>
        <w:t xml:space="preserve"> </w:t>
      </w:r>
      <w:r w:rsidRPr="0071782F">
        <w:rPr>
          <w:lang w:val="fr-CH"/>
        </w:rPr>
        <w:t xml:space="preserve">Adoption </w:t>
      </w:r>
      <w:r w:rsidR="004F0BD6" w:rsidRPr="0071782F">
        <w:rPr>
          <w:lang w:val="fr-CH"/>
        </w:rPr>
        <w:t>des mesures nécessaires en vue d’éliminer la violence contre les femmes, y compris l’élaboration de programmes préventifs et du cadre juridique requis</w:t>
      </w:r>
      <w:r w:rsidR="001E2A5C" w:rsidRPr="0071782F">
        <w:rPr>
          <w:lang w:val="fr-CH"/>
        </w:rPr>
        <w:t>.</w:t>
      </w:r>
    </w:p>
    <w:p w:rsidR="00DD2B20" w:rsidRPr="0071782F" w:rsidRDefault="00DD2B20" w:rsidP="00DD2B20">
      <w:pPr>
        <w:pStyle w:val="SingleTxtG"/>
        <w:ind w:left="1701" w:hanging="567"/>
        <w:rPr>
          <w:lang w:val="fr-CH"/>
        </w:rPr>
      </w:pPr>
      <w:r w:rsidRPr="0071782F">
        <w:rPr>
          <w:lang w:val="fr-CH"/>
        </w:rPr>
        <w:tab/>
        <w:t>141.14.</w:t>
      </w:r>
      <w:r w:rsidR="001E2A5C" w:rsidRPr="0071782F">
        <w:rPr>
          <w:lang w:val="fr-CH"/>
        </w:rPr>
        <w:t xml:space="preserve"> </w:t>
      </w:r>
      <w:r w:rsidR="00082D42" w:rsidRPr="0071782F">
        <w:rPr>
          <w:lang w:val="fr-CH"/>
        </w:rPr>
        <w:t>Présentation à l’Assemblée consultative islamique, pour examen et adoption, du projet de loi relatif à l’appui à la création et au développement d’ONG et d’organisations de la société civile de femmes</w:t>
      </w:r>
      <w:r w:rsidR="001E2A5C" w:rsidRPr="0071782F">
        <w:rPr>
          <w:lang w:val="fr-CH"/>
        </w:rPr>
        <w:t>.</w:t>
      </w:r>
    </w:p>
    <w:p w:rsidR="00DD2B20" w:rsidRPr="0071782F" w:rsidRDefault="00DD2B20" w:rsidP="00DD2B20">
      <w:pPr>
        <w:pStyle w:val="SingleTxtG"/>
        <w:ind w:left="1701" w:hanging="567"/>
        <w:rPr>
          <w:lang w:val="fr-CH"/>
        </w:rPr>
      </w:pPr>
      <w:r w:rsidRPr="0071782F">
        <w:rPr>
          <w:lang w:val="fr-CH"/>
        </w:rPr>
        <w:tab/>
        <w:t>141.15.</w:t>
      </w:r>
      <w:r w:rsidR="001E2A5C" w:rsidRPr="0071782F">
        <w:rPr>
          <w:lang w:val="fr-CH"/>
        </w:rPr>
        <w:t xml:space="preserve"> </w:t>
      </w:r>
      <w:r w:rsidRPr="0071782F">
        <w:rPr>
          <w:lang w:val="fr-CH"/>
        </w:rPr>
        <w:t>Note</w:t>
      </w:r>
      <w:r w:rsidR="008F7D33" w:rsidRPr="0071782F">
        <w:rPr>
          <w:lang w:val="fr-CH"/>
        </w:rPr>
        <w:t>:</w:t>
      </w:r>
      <w:r w:rsidRPr="0071782F">
        <w:rPr>
          <w:lang w:val="fr-CH"/>
        </w:rPr>
        <w:t xml:space="preserve"> </w:t>
      </w:r>
      <w:r w:rsidR="00082D42" w:rsidRPr="0071782F">
        <w:rPr>
          <w:lang w:val="fr-CH"/>
        </w:rPr>
        <w:t xml:space="preserve">Tous les organes d’exécution concernés sont tenus de prévoir dans les lois de finances annuelles les </w:t>
      </w:r>
      <w:r w:rsidRPr="0071782F">
        <w:rPr>
          <w:lang w:val="fr-CH"/>
        </w:rPr>
        <w:t>cr</w:t>
      </w:r>
      <w:r w:rsidR="00082D42" w:rsidRPr="0071782F">
        <w:rPr>
          <w:lang w:val="fr-CH"/>
        </w:rPr>
        <w:t>é</w:t>
      </w:r>
      <w:r w:rsidRPr="0071782F">
        <w:rPr>
          <w:lang w:val="fr-CH"/>
        </w:rPr>
        <w:t xml:space="preserve">dits </w:t>
      </w:r>
      <w:r w:rsidR="00082D42" w:rsidRPr="0071782F">
        <w:rPr>
          <w:lang w:val="fr-CH"/>
        </w:rPr>
        <w:t xml:space="preserve">nécessaires pour s’acquitter des obligations juridiques découlant de </w:t>
      </w:r>
      <w:r w:rsidR="00723F2B" w:rsidRPr="0071782F">
        <w:rPr>
          <w:lang w:val="fr-CH"/>
        </w:rPr>
        <w:t>l’</w:t>
      </w:r>
      <w:r w:rsidR="00943A69" w:rsidRPr="0071782F">
        <w:rPr>
          <w:lang w:val="fr-CH"/>
        </w:rPr>
        <w:t>article </w:t>
      </w:r>
      <w:r w:rsidR="00082D42" w:rsidRPr="0071782F">
        <w:rPr>
          <w:lang w:val="fr-CH"/>
        </w:rPr>
        <w:t xml:space="preserve">111 en ce qui concerne leurs fonctions quotidiennes et de prendre les mesures nécessaires à l’exercice de ces fonctions en </w:t>
      </w:r>
      <w:r w:rsidRPr="0071782F">
        <w:rPr>
          <w:lang w:val="fr-CH"/>
        </w:rPr>
        <w:t xml:space="preserve">coordination </w:t>
      </w:r>
      <w:r w:rsidR="00082D42" w:rsidRPr="0071782F">
        <w:rPr>
          <w:lang w:val="fr-CH"/>
        </w:rPr>
        <w:t>avec le Centre pour la participation des femmes</w:t>
      </w:r>
      <w:r w:rsidR="001E2A5C" w:rsidRPr="0071782F">
        <w:rPr>
          <w:lang w:val="fr-CH"/>
        </w:rPr>
        <w:t>.</w:t>
      </w:r>
    </w:p>
    <w:p w:rsidR="00DD2B20" w:rsidRPr="0071782F" w:rsidRDefault="00DD2B20" w:rsidP="00DD2B20">
      <w:pPr>
        <w:pStyle w:val="SingleTxtG"/>
        <w:ind w:left="1701" w:hanging="567"/>
        <w:rPr>
          <w:lang w:val="fr-CH"/>
        </w:rPr>
      </w:pPr>
      <w:r w:rsidRPr="0071782F">
        <w:rPr>
          <w:lang w:val="fr-CH"/>
        </w:rPr>
        <w:tab/>
        <w:t>141.16.</w:t>
      </w:r>
      <w:r w:rsidR="001E2A5C" w:rsidRPr="0071782F">
        <w:rPr>
          <w:lang w:val="fr-CH"/>
        </w:rPr>
        <w:t xml:space="preserve"> </w:t>
      </w:r>
      <w:r w:rsidR="00082D42" w:rsidRPr="0071782F">
        <w:rPr>
          <w:lang w:val="fr-CH"/>
        </w:rPr>
        <w:t xml:space="preserve">En vertu de </w:t>
      </w:r>
      <w:r w:rsidR="006B786B" w:rsidRPr="0071782F">
        <w:rPr>
          <w:lang w:val="fr-CH"/>
        </w:rPr>
        <w:t>l’alinéa </w:t>
      </w:r>
      <w:r w:rsidRPr="0071782F">
        <w:rPr>
          <w:lang w:val="fr-CH"/>
        </w:rPr>
        <w:t xml:space="preserve">B </w:t>
      </w:r>
      <w:r w:rsidR="00082D42"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132 </w:t>
      </w:r>
      <w:r w:rsidR="00082D42" w:rsidRPr="0071782F">
        <w:rPr>
          <w:lang w:val="fr-CH"/>
        </w:rPr>
        <w:t xml:space="preserve">du </w:t>
      </w:r>
      <w:r w:rsidRPr="0071782F">
        <w:rPr>
          <w:lang w:val="fr-CH"/>
        </w:rPr>
        <w:t xml:space="preserve">plan, </w:t>
      </w:r>
      <w:r w:rsidR="00082D42" w:rsidRPr="0071782F">
        <w:rPr>
          <w:lang w:val="fr-CH"/>
        </w:rPr>
        <w:t xml:space="preserve">l’Organisme public des établissements pénitentiaires est tenu d’aider, par le biais d’ONG caritatives et d’associations de défense des droits des détenus, </w:t>
      </w:r>
      <w:r w:rsidR="00DA097D" w:rsidRPr="0071782F">
        <w:rPr>
          <w:lang w:val="fr-CH"/>
        </w:rPr>
        <w:t>les familles</w:t>
      </w:r>
      <w:r w:rsidR="00082D42" w:rsidRPr="0071782F">
        <w:rPr>
          <w:lang w:val="fr-CH"/>
        </w:rPr>
        <w:t xml:space="preserve"> des détenus et des délinquants exécutés en vue d’améliorer les </w:t>
      </w:r>
      <w:r w:rsidRPr="0071782F">
        <w:rPr>
          <w:lang w:val="fr-CH"/>
        </w:rPr>
        <w:t xml:space="preserve">conditions </w:t>
      </w:r>
      <w:r w:rsidR="00082D42" w:rsidRPr="0071782F">
        <w:rPr>
          <w:lang w:val="fr-CH"/>
        </w:rPr>
        <w:t xml:space="preserve">de détention, de </w:t>
      </w:r>
      <w:r w:rsidRPr="0071782F">
        <w:rPr>
          <w:lang w:val="fr-CH"/>
        </w:rPr>
        <w:t>cr</w:t>
      </w:r>
      <w:r w:rsidR="00082D42" w:rsidRPr="0071782F">
        <w:rPr>
          <w:lang w:val="fr-CH"/>
        </w:rPr>
        <w:t>éer un cadre favorable à la rééducation, à la réadaptation et à la réinsertion sociale des détenus, et de rédui</w:t>
      </w:r>
      <w:r w:rsidR="00E564ED" w:rsidRPr="0071782F">
        <w:rPr>
          <w:lang w:val="fr-CH"/>
        </w:rPr>
        <w:t>r</w:t>
      </w:r>
      <w:r w:rsidR="00082D42" w:rsidRPr="0071782F">
        <w:rPr>
          <w:lang w:val="fr-CH"/>
        </w:rPr>
        <w:t>e le taux de récidive.</w:t>
      </w:r>
    </w:p>
    <w:p w:rsidR="00DD2B20" w:rsidRPr="0071782F" w:rsidRDefault="00DD2B20" w:rsidP="00DD2B20">
      <w:pPr>
        <w:pStyle w:val="H1G"/>
        <w:rPr>
          <w:lang w:val="fr-CH"/>
        </w:rPr>
      </w:pPr>
      <w:r w:rsidRPr="0071782F">
        <w:rPr>
          <w:lang w:val="fr-CH"/>
        </w:rPr>
        <w:tab/>
      </w:r>
      <w:r w:rsidRPr="0071782F">
        <w:rPr>
          <w:lang w:val="fr-CH"/>
        </w:rPr>
        <w:tab/>
      </w:r>
      <w:r w:rsidR="00082D42" w:rsidRPr="0071782F">
        <w:rPr>
          <w:lang w:val="fr-CH"/>
        </w:rPr>
        <w:t>Autres lois civile</w:t>
      </w:r>
      <w:r w:rsidR="00CF57F2" w:rsidRPr="0071782F">
        <w:rPr>
          <w:lang w:val="fr-CH"/>
        </w:rPr>
        <w:t>s</w:t>
      </w:r>
      <w:r w:rsidR="00082D42" w:rsidRPr="0071782F">
        <w:rPr>
          <w:lang w:val="fr-CH"/>
        </w:rPr>
        <w:t>, pénale</w:t>
      </w:r>
      <w:r w:rsidR="00CF57F2" w:rsidRPr="0071782F">
        <w:rPr>
          <w:lang w:val="fr-CH"/>
        </w:rPr>
        <w:t>s</w:t>
      </w:r>
      <w:r w:rsidR="00082D42" w:rsidRPr="0071782F">
        <w:rPr>
          <w:lang w:val="fr-CH"/>
        </w:rPr>
        <w:t xml:space="preserve"> et relative</w:t>
      </w:r>
      <w:r w:rsidR="00CF57F2" w:rsidRPr="0071782F">
        <w:rPr>
          <w:lang w:val="fr-CH"/>
        </w:rPr>
        <w:t>s</w:t>
      </w:r>
      <w:r w:rsidR="00082D42" w:rsidRPr="0071782F">
        <w:rPr>
          <w:lang w:val="fr-CH"/>
        </w:rPr>
        <w:t xml:space="preserve"> au travail et à l’emploi et à la sécurité sociale </w:t>
      </w:r>
      <w:r w:rsidR="00CF57F2" w:rsidRPr="0071782F">
        <w:rPr>
          <w:lang w:val="fr-CH"/>
        </w:rPr>
        <w:t xml:space="preserve">adoptées entre </w:t>
      </w:r>
      <w:r w:rsidR="00082D42" w:rsidRPr="0071782F">
        <w:rPr>
          <w:lang w:val="fr-CH"/>
        </w:rPr>
        <w:t xml:space="preserve">la Révolution islamique (1979) </w:t>
      </w:r>
      <w:r w:rsidR="00CF57F2" w:rsidRPr="0071782F">
        <w:rPr>
          <w:lang w:val="fr-CH"/>
        </w:rPr>
        <w:t>et</w:t>
      </w:r>
      <w:r w:rsidR="00082D42" w:rsidRPr="0071782F">
        <w:rPr>
          <w:lang w:val="fr-CH"/>
        </w:rPr>
        <w:t xml:space="preserve"> la fin du troisième trimestre de 2008 </w:t>
      </w:r>
    </w:p>
    <w:p w:rsidR="00DD2B20" w:rsidRPr="0071782F" w:rsidRDefault="00DD2B20" w:rsidP="00DD2B20">
      <w:pPr>
        <w:pStyle w:val="SingleTxtG"/>
        <w:rPr>
          <w:lang w:val="fr-CH"/>
        </w:rPr>
      </w:pPr>
      <w:r w:rsidRPr="0071782F">
        <w:rPr>
          <w:lang w:val="fr-CH"/>
        </w:rPr>
        <w:t>142.</w:t>
      </w:r>
      <w:r w:rsidRPr="0071782F">
        <w:rPr>
          <w:lang w:val="fr-CH"/>
        </w:rPr>
        <w:tab/>
      </w:r>
      <w:r w:rsidR="009310CD" w:rsidRPr="0071782F">
        <w:rPr>
          <w:lang w:val="fr-CH"/>
        </w:rPr>
        <w:t>En plus des lois susvisées, qui sont autant de documents faisant autorité pour la formulation de politiques relatives à la femme et à</w:t>
      </w:r>
      <w:r w:rsidR="00B71907" w:rsidRPr="0071782F">
        <w:rPr>
          <w:lang w:val="fr-CH"/>
        </w:rPr>
        <w:t xml:space="preserve"> de famille,</w:t>
      </w:r>
      <w:r w:rsidR="009310CD" w:rsidRPr="0071782F">
        <w:rPr>
          <w:lang w:val="fr-CH"/>
        </w:rPr>
        <w:t xml:space="preserve"> on a, au cours de la période considérée, aboli</w:t>
      </w:r>
      <w:r w:rsidRPr="0071782F">
        <w:rPr>
          <w:lang w:val="fr-CH"/>
        </w:rPr>
        <w:t xml:space="preserve">, </w:t>
      </w:r>
      <w:r w:rsidR="009310CD" w:rsidRPr="0071782F">
        <w:rPr>
          <w:lang w:val="fr-CH"/>
        </w:rPr>
        <w:t xml:space="preserve">révisé ou modifié certaines lois et on en a adopté de nouvelles afin de traduire dans les faits la vision de l’islam quant aux droits de </w:t>
      </w:r>
      <w:r w:rsidR="00B71907" w:rsidRPr="0071782F">
        <w:rPr>
          <w:lang w:val="fr-CH"/>
        </w:rPr>
        <w:t>la famille</w:t>
      </w:r>
      <w:r w:rsidR="009310CD" w:rsidRPr="0071782F">
        <w:rPr>
          <w:lang w:val="fr-CH"/>
        </w:rPr>
        <w:t xml:space="preserve"> et de la femme et de jeter les bases du développement intégré du pays</w:t>
      </w:r>
      <w:r w:rsidRPr="0071782F">
        <w:rPr>
          <w:lang w:val="fr-CH"/>
        </w:rPr>
        <w:t xml:space="preserve">. </w:t>
      </w:r>
      <w:r w:rsidR="009310CD" w:rsidRPr="0071782F">
        <w:rPr>
          <w:lang w:val="fr-CH"/>
        </w:rPr>
        <w:t xml:space="preserve">On mentionne ci-après certaines de ces lois qui concernent les droits de </w:t>
      </w:r>
      <w:r w:rsidR="00B71907" w:rsidRPr="0071782F">
        <w:rPr>
          <w:lang w:val="fr-CH"/>
        </w:rPr>
        <w:t>la famille</w:t>
      </w:r>
      <w:r w:rsidR="009310CD" w:rsidRPr="0071782F">
        <w:rPr>
          <w:lang w:val="fr-CH"/>
        </w:rPr>
        <w:t xml:space="preserve"> et de la femme, l’emploi, les assurances, la sécurité sociale et les changements administratifs</w:t>
      </w:r>
      <w:r w:rsidRPr="0071782F">
        <w:rPr>
          <w:lang w:val="fr-CH"/>
        </w:rPr>
        <w:t>, cultur</w:t>
      </w:r>
      <w:r w:rsidR="009310CD" w:rsidRPr="0071782F">
        <w:rPr>
          <w:lang w:val="fr-CH"/>
        </w:rPr>
        <w:t>e</w:t>
      </w:r>
      <w:r w:rsidRPr="0071782F">
        <w:rPr>
          <w:lang w:val="fr-CH"/>
        </w:rPr>
        <w:t>l</w:t>
      </w:r>
      <w:r w:rsidR="009310CD" w:rsidRPr="0071782F">
        <w:rPr>
          <w:lang w:val="fr-CH"/>
        </w:rPr>
        <w:t>s</w:t>
      </w:r>
      <w:r w:rsidRPr="0071782F">
        <w:rPr>
          <w:lang w:val="fr-CH"/>
        </w:rPr>
        <w:t xml:space="preserve"> </w:t>
      </w:r>
      <w:r w:rsidR="009310CD" w:rsidRPr="0071782F">
        <w:rPr>
          <w:lang w:val="fr-CH"/>
        </w:rPr>
        <w:t>et sociaux</w:t>
      </w:r>
      <w:r w:rsidRPr="0071782F">
        <w:rPr>
          <w:lang w:val="fr-CH"/>
        </w:rPr>
        <w:t>.</w:t>
      </w:r>
    </w:p>
    <w:p w:rsidR="00DD2B20" w:rsidRPr="0071782F" w:rsidRDefault="00DD2B20" w:rsidP="00DD2B20">
      <w:pPr>
        <w:pStyle w:val="H23G"/>
        <w:rPr>
          <w:lang w:val="fr-CH"/>
        </w:rPr>
      </w:pPr>
      <w:r w:rsidRPr="0071782F">
        <w:rPr>
          <w:lang w:val="fr-CH"/>
        </w:rPr>
        <w:tab/>
      </w:r>
      <w:r w:rsidRPr="0071782F">
        <w:rPr>
          <w:lang w:val="fr-CH"/>
        </w:rPr>
        <w:tab/>
      </w:r>
      <w:r w:rsidR="009310CD" w:rsidRPr="0071782F">
        <w:rPr>
          <w:lang w:val="fr-CH"/>
        </w:rPr>
        <w:t>Lois et normes c</w:t>
      </w:r>
      <w:r w:rsidRPr="0071782F">
        <w:rPr>
          <w:lang w:val="fr-CH"/>
        </w:rPr>
        <w:t>ivil</w:t>
      </w:r>
      <w:r w:rsidR="009310CD" w:rsidRPr="0071782F">
        <w:rPr>
          <w:lang w:val="fr-CH"/>
        </w:rPr>
        <w:t>es</w:t>
      </w:r>
      <w:r w:rsidRPr="0071782F">
        <w:rPr>
          <w:lang w:val="fr-CH"/>
        </w:rPr>
        <w:t xml:space="preserve"> </w:t>
      </w:r>
    </w:p>
    <w:p w:rsidR="00DD2B20" w:rsidRPr="0071782F" w:rsidRDefault="00DD2B20" w:rsidP="00DD2B20">
      <w:pPr>
        <w:pStyle w:val="SingleTxtG"/>
        <w:rPr>
          <w:lang w:val="fr-CH"/>
        </w:rPr>
      </w:pPr>
      <w:r w:rsidRPr="0071782F">
        <w:rPr>
          <w:lang w:val="fr-CH"/>
        </w:rPr>
        <w:t>143.</w:t>
      </w:r>
      <w:r w:rsidRPr="0071782F">
        <w:rPr>
          <w:lang w:val="fr-CH"/>
        </w:rPr>
        <w:tab/>
      </w:r>
      <w:r w:rsidR="00750B2E" w:rsidRPr="0071782F">
        <w:rPr>
          <w:lang w:val="fr-CH"/>
        </w:rPr>
        <w:t>Il s’agit notamment des instruments suivants</w:t>
      </w:r>
      <w:r w:rsidR="008F7D33" w:rsidRPr="0071782F">
        <w:rPr>
          <w:lang w:val="fr-CH"/>
        </w:rPr>
        <w:t>:</w:t>
      </w:r>
    </w:p>
    <w:p w:rsidR="00DD2B20" w:rsidRPr="0071782F" w:rsidRDefault="00DD2B20" w:rsidP="00DD2B20">
      <w:pPr>
        <w:pStyle w:val="SingleTxtG"/>
        <w:ind w:left="1701" w:hanging="567"/>
        <w:rPr>
          <w:lang w:val="fr-CH"/>
        </w:rPr>
      </w:pPr>
      <w:r w:rsidRPr="0071782F">
        <w:rPr>
          <w:lang w:val="fr-CH"/>
        </w:rPr>
        <w:tab/>
        <w:t>143.1.</w:t>
      </w:r>
      <w:r w:rsidRPr="0071782F">
        <w:rPr>
          <w:lang w:val="fr-CH"/>
        </w:rPr>
        <w:tab/>
      </w:r>
      <w:r w:rsidR="00154F96" w:rsidRPr="0071782F">
        <w:rPr>
          <w:lang w:val="fr-CH"/>
        </w:rPr>
        <w:t xml:space="preserve">Loi attribuant la garde des enfants mineurs à leur mère </w:t>
      </w:r>
      <w:r w:rsidRPr="0071782F">
        <w:rPr>
          <w:lang w:val="fr-CH"/>
        </w:rPr>
        <w:t>(1985)</w:t>
      </w:r>
      <w:r w:rsidR="007B2FBF" w:rsidRPr="0071782F">
        <w:rPr>
          <w:lang w:val="fr-CH"/>
        </w:rPr>
        <w:t>.</w:t>
      </w:r>
    </w:p>
    <w:p w:rsidR="00DD2B20" w:rsidRPr="0071782F" w:rsidRDefault="00DD2B20" w:rsidP="00DD2B20">
      <w:pPr>
        <w:pStyle w:val="SingleTxtG"/>
        <w:ind w:left="1701" w:hanging="567"/>
        <w:rPr>
          <w:lang w:val="fr-CH"/>
        </w:rPr>
      </w:pPr>
      <w:r w:rsidRPr="0071782F">
        <w:rPr>
          <w:lang w:val="fr-CH"/>
        </w:rPr>
        <w:tab/>
        <w:t>143.2.</w:t>
      </w:r>
      <w:r w:rsidRPr="0071782F">
        <w:rPr>
          <w:lang w:val="fr-CH"/>
        </w:rPr>
        <w:tab/>
      </w:r>
      <w:r w:rsidR="00154F96" w:rsidRPr="0071782F">
        <w:rPr>
          <w:lang w:val="fr-CH"/>
        </w:rPr>
        <w:t xml:space="preserve">Loi sur le droit de garde </w:t>
      </w:r>
      <w:r w:rsidRPr="0071782F">
        <w:rPr>
          <w:lang w:val="fr-CH"/>
        </w:rPr>
        <w:t>(1986)</w:t>
      </w:r>
      <w:r w:rsidR="007B2FBF" w:rsidRPr="0071782F">
        <w:rPr>
          <w:lang w:val="fr-CH"/>
        </w:rPr>
        <w:t>.</w:t>
      </w:r>
    </w:p>
    <w:p w:rsidR="00DD2B20" w:rsidRPr="0071782F" w:rsidRDefault="00DD2B20" w:rsidP="00DD2B20">
      <w:pPr>
        <w:pStyle w:val="SingleTxtG"/>
        <w:ind w:left="1701" w:hanging="567"/>
        <w:rPr>
          <w:lang w:val="fr-CH"/>
        </w:rPr>
      </w:pPr>
      <w:r w:rsidRPr="0071782F">
        <w:rPr>
          <w:lang w:val="fr-CH"/>
        </w:rPr>
        <w:tab/>
        <w:t>143.3.</w:t>
      </w:r>
      <w:r w:rsidRPr="0071782F">
        <w:rPr>
          <w:lang w:val="fr-CH"/>
        </w:rPr>
        <w:tab/>
      </w:r>
      <w:r w:rsidR="00154F96" w:rsidRPr="0071782F">
        <w:rPr>
          <w:lang w:val="fr-CH"/>
        </w:rPr>
        <w:t xml:space="preserve">Loi portant modification des réglementations applicables au </w:t>
      </w:r>
      <w:r w:rsidRPr="0071782F">
        <w:rPr>
          <w:lang w:val="fr-CH"/>
        </w:rPr>
        <w:t>divorce (1998)</w:t>
      </w:r>
      <w:r w:rsidR="007B2FBF" w:rsidRPr="0071782F">
        <w:rPr>
          <w:lang w:val="fr-CH"/>
        </w:rPr>
        <w:t>.</w:t>
      </w:r>
    </w:p>
    <w:p w:rsidR="00DD2B20" w:rsidRPr="0071782F" w:rsidRDefault="00DD2B20" w:rsidP="00DD2B20">
      <w:pPr>
        <w:pStyle w:val="SingleTxtG"/>
        <w:ind w:left="1701" w:hanging="567"/>
        <w:rPr>
          <w:lang w:val="fr-CH"/>
        </w:rPr>
      </w:pPr>
      <w:r w:rsidRPr="0071782F">
        <w:rPr>
          <w:lang w:val="fr-CH"/>
        </w:rPr>
        <w:tab/>
        <w:t>143.4.</w:t>
      </w:r>
      <w:r w:rsidRPr="0071782F">
        <w:rPr>
          <w:lang w:val="fr-CH"/>
        </w:rPr>
        <w:tab/>
      </w:r>
      <w:r w:rsidR="00154F96" w:rsidRPr="0071782F">
        <w:rPr>
          <w:lang w:val="fr-CH"/>
        </w:rPr>
        <w:t xml:space="preserve">Loi conférant à certains des tribunaux existants les fonctions prévues à </w:t>
      </w:r>
      <w:r w:rsidR="00723F2B" w:rsidRPr="0071782F">
        <w:rPr>
          <w:lang w:val="fr-CH"/>
        </w:rPr>
        <w:t>l’</w:t>
      </w:r>
      <w:r w:rsidR="00943A69" w:rsidRPr="0071782F">
        <w:rPr>
          <w:lang w:val="fr-CH"/>
        </w:rPr>
        <w:t>article </w:t>
      </w:r>
      <w:r w:rsidR="00154F96" w:rsidRPr="0071782F">
        <w:rPr>
          <w:lang w:val="fr-CH"/>
        </w:rPr>
        <w:t xml:space="preserve">21 de la </w:t>
      </w:r>
      <w:r w:rsidRPr="0071782F">
        <w:rPr>
          <w:lang w:val="fr-CH"/>
        </w:rPr>
        <w:t>Constitution (</w:t>
      </w:r>
      <w:r w:rsidR="00154F96" w:rsidRPr="0071782F">
        <w:rPr>
          <w:lang w:val="fr-CH"/>
        </w:rPr>
        <w:t xml:space="preserve">tribunaux de </w:t>
      </w:r>
      <w:r w:rsidR="00B71907" w:rsidRPr="0071782F">
        <w:rPr>
          <w:lang w:val="fr-CH"/>
        </w:rPr>
        <w:t>la famille</w:t>
      </w:r>
      <w:r w:rsidRPr="0071782F">
        <w:rPr>
          <w:lang w:val="fr-CH"/>
        </w:rPr>
        <w:t>) (1997)</w:t>
      </w:r>
      <w:r w:rsidR="007B2FBF" w:rsidRPr="0071782F">
        <w:rPr>
          <w:lang w:val="fr-CH"/>
        </w:rPr>
        <w:t>.</w:t>
      </w:r>
    </w:p>
    <w:p w:rsidR="00DD2B20" w:rsidRPr="0071782F" w:rsidRDefault="00DD2B20" w:rsidP="00DD2B20">
      <w:pPr>
        <w:pStyle w:val="SingleTxtG"/>
        <w:ind w:left="1701" w:hanging="567"/>
        <w:rPr>
          <w:lang w:val="fr-CH"/>
        </w:rPr>
      </w:pPr>
      <w:r w:rsidRPr="0071782F">
        <w:rPr>
          <w:lang w:val="fr-CH"/>
        </w:rPr>
        <w:tab/>
        <w:t>143.5.</w:t>
      </w:r>
      <w:r w:rsidRPr="0071782F">
        <w:rPr>
          <w:lang w:val="fr-CH"/>
        </w:rPr>
        <w:tab/>
      </w:r>
      <w:r w:rsidR="00154F96" w:rsidRPr="0071782F">
        <w:rPr>
          <w:lang w:val="fr-CH"/>
        </w:rPr>
        <w:t>D</w:t>
      </w:r>
      <w:r w:rsidRPr="0071782F">
        <w:rPr>
          <w:lang w:val="fr-CH"/>
        </w:rPr>
        <w:t xml:space="preserve">irective </w:t>
      </w:r>
      <w:r w:rsidR="00154F96" w:rsidRPr="0071782F">
        <w:rPr>
          <w:lang w:val="fr-CH"/>
        </w:rPr>
        <w:t xml:space="preserve">du </w:t>
      </w:r>
      <w:r w:rsidR="00E84B01" w:rsidRPr="0071782F">
        <w:rPr>
          <w:lang w:val="fr-CH"/>
        </w:rPr>
        <w:t>Haut Conseil culturel de la Révolution</w:t>
      </w:r>
      <w:r w:rsidR="00154F96" w:rsidRPr="0071782F">
        <w:rPr>
          <w:lang w:val="fr-CH"/>
        </w:rPr>
        <w:t xml:space="preserve"> </w:t>
      </w:r>
      <w:r w:rsidRPr="0071782F">
        <w:rPr>
          <w:lang w:val="fr-CH"/>
        </w:rPr>
        <w:t xml:space="preserve">(1991) </w:t>
      </w:r>
      <w:r w:rsidR="00154F96" w:rsidRPr="0071782F">
        <w:rPr>
          <w:lang w:val="fr-CH"/>
        </w:rPr>
        <w:t>sur la constitution d’une unité de consultation et d’appui chargée d’épauler le tribunal civil spécial</w:t>
      </w:r>
      <w:r w:rsidR="007B2FBF" w:rsidRPr="0071782F">
        <w:rPr>
          <w:lang w:val="fr-CH"/>
        </w:rPr>
        <w:t>.</w:t>
      </w:r>
    </w:p>
    <w:p w:rsidR="00DD2B20" w:rsidRPr="0071782F" w:rsidRDefault="00DD2B20" w:rsidP="00DD2B20">
      <w:pPr>
        <w:pStyle w:val="SingleTxtG"/>
        <w:ind w:left="1701" w:hanging="567"/>
        <w:rPr>
          <w:lang w:val="fr-CH"/>
        </w:rPr>
      </w:pPr>
      <w:r w:rsidRPr="0071782F">
        <w:rPr>
          <w:lang w:val="fr-CH"/>
        </w:rPr>
        <w:tab/>
        <w:t>143.6.</w:t>
      </w:r>
      <w:r w:rsidRPr="0071782F">
        <w:rPr>
          <w:lang w:val="fr-CH"/>
        </w:rPr>
        <w:tab/>
      </w:r>
      <w:r w:rsidR="00154F96" w:rsidRPr="0071782F">
        <w:rPr>
          <w:lang w:val="fr-CH"/>
        </w:rPr>
        <w:t xml:space="preserve">Loi sur le don de </w:t>
      </w:r>
      <w:r w:rsidR="0071782F" w:rsidRPr="0071782F">
        <w:rPr>
          <w:lang w:val="fr-CH"/>
        </w:rPr>
        <w:t>fœtus</w:t>
      </w:r>
      <w:r w:rsidR="00154F96" w:rsidRPr="0071782F">
        <w:rPr>
          <w:lang w:val="fr-CH"/>
        </w:rPr>
        <w:t xml:space="preserve"> aux couples </w:t>
      </w:r>
      <w:r w:rsidRPr="0071782F">
        <w:rPr>
          <w:lang w:val="fr-CH"/>
        </w:rPr>
        <w:t xml:space="preserve">(2003) </w:t>
      </w:r>
      <w:r w:rsidR="00154F96" w:rsidRPr="0071782F">
        <w:rPr>
          <w:lang w:val="fr-CH"/>
        </w:rPr>
        <w:t xml:space="preserve">et sa </w:t>
      </w:r>
      <w:r w:rsidRPr="0071782F">
        <w:rPr>
          <w:lang w:val="fr-CH"/>
        </w:rPr>
        <w:t xml:space="preserve">directive </w:t>
      </w:r>
      <w:r w:rsidR="00154F96" w:rsidRPr="0071782F">
        <w:rPr>
          <w:lang w:val="fr-CH"/>
        </w:rPr>
        <w:t>d’</w:t>
      </w:r>
      <w:r w:rsidR="002A0EA4" w:rsidRPr="0071782F">
        <w:rPr>
          <w:lang w:val="fr-CH"/>
        </w:rPr>
        <w:t xml:space="preserve">exécution </w:t>
      </w:r>
      <w:r w:rsidRPr="0071782F">
        <w:rPr>
          <w:lang w:val="fr-CH"/>
        </w:rPr>
        <w:t>(2004)</w:t>
      </w:r>
      <w:r w:rsidR="007B2FBF" w:rsidRPr="0071782F">
        <w:rPr>
          <w:lang w:val="fr-CH"/>
        </w:rPr>
        <w:t>.</w:t>
      </w:r>
    </w:p>
    <w:p w:rsidR="00DD2B20" w:rsidRPr="0071782F" w:rsidRDefault="00DD2B20" w:rsidP="00DD2B20">
      <w:pPr>
        <w:pStyle w:val="SingleTxtG"/>
        <w:ind w:left="1701" w:hanging="567"/>
        <w:rPr>
          <w:lang w:val="fr-CH"/>
        </w:rPr>
      </w:pPr>
      <w:r w:rsidRPr="0071782F">
        <w:rPr>
          <w:lang w:val="fr-CH"/>
        </w:rPr>
        <w:tab/>
        <w:t>143.7.</w:t>
      </w:r>
      <w:r w:rsidRPr="0071782F">
        <w:rPr>
          <w:lang w:val="fr-CH"/>
        </w:rPr>
        <w:tab/>
      </w:r>
      <w:r w:rsidR="00154F96" w:rsidRPr="0071782F">
        <w:rPr>
          <w:lang w:val="fr-CH"/>
        </w:rPr>
        <w:t xml:space="preserve">Loi sur l’appui intégré aux droits </w:t>
      </w:r>
      <w:r w:rsidR="007F37CE" w:rsidRPr="0071782F">
        <w:rPr>
          <w:lang w:val="fr-CH"/>
        </w:rPr>
        <w:t>des personnes</w:t>
      </w:r>
      <w:r w:rsidR="00154F96" w:rsidRPr="0071782F">
        <w:rPr>
          <w:lang w:val="fr-CH"/>
        </w:rPr>
        <w:t xml:space="preserve"> handicapées </w:t>
      </w:r>
      <w:r w:rsidRPr="0071782F">
        <w:rPr>
          <w:lang w:val="fr-CH"/>
        </w:rPr>
        <w:t>(2004)</w:t>
      </w:r>
      <w:r w:rsidR="007B2FBF" w:rsidRPr="0071782F">
        <w:rPr>
          <w:lang w:val="fr-CH"/>
        </w:rPr>
        <w:t>.</w:t>
      </w:r>
    </w:p>
    <w:p w:rsidR="00DD2B20" w:rsidRPr="0071782F" w:rsidRDefault="00DD2B20" w:rsidP="00DD2B20">
      <w:pPr>
        <w:pStyle w:val="SingleTxtG"/>
        <w:ind w:left="1701" w:hanging="567"/>
        <w:rPr>
          <w:lang w:val="fr-CH"/>
        </w:rPr>
      </w:pPr>
      <w:r w:rsidRPr="0071782F">
        <w:rPr>
          <w:lang w:val="fr-CH"/>
        </w:rPr>
        <w:tab/>
        <w:t>143.8.</w:t>
      </w:r>
      <w:r w:rsidRPr="0071782F">
        <w:rPr>
          <w:lang w:val="fr-CH"/>
        </w:rPr>
        <w:tab/>
      </w:r>
      <w:r w:rsidR="00154F96" w:rsidRPr="0071782F">
        <w:rPr>
          <w:lang w:val="fr-CH"/>
        </w:rPr>
        <w:t xml:space="preserve">Charte des droits et responsabilités des femmes en République islamique d’Iran, approuvée par le </w:t>
      </w:r>
      <w:r w:rsidR="00E84B01" w:rsidRPr="0071782F">
        <w:rPr>
          <w:lang w:val="fr-CH"/>
        </w:rPr>
        <w:t>Haut Conseil culturel de la Révolution</w:t>
      </w:r>
      <w:r w:rsidR="00154F96" w:rsidRPr="0071782F">
        <w:rPr>
          <w:lang w:val="fr-CH"/>
        </w:rPr>
        <w:t xml:space="preserve"> </w:t>
      </w:r>
      <w:r w:rsidRPr="0071782F">
        <w:rPr>
          <w:lang w:val="fr-CH"/>
        </w:rPr>
        <w:t>(2004)</w:t>
      </w:r>
      <w:r w:rsidR="007B2FBF" w:rsidRPr="0071782F">
        <w:rPr>
          <w:lang w:val="fr-CH"/>
        </w:rPr>
        <w:t>.</w:t>
      </w:r>
    </w:p>
    <w:p w:rsidR="00DD2B20" w:rsidRPr="0071782F" w:rsidRDefault="00DD2B20" w:rsidP="00DD2B20">
      <w:pPr>
        <w:pStyle w:val="SingleTxtG"/>
        <w:ind w:left="1701" w:hanging="567"/>
        <w:rPr>
          <w:lang w:val="fr-CH"/>
        </w:rPr>
      </w:pPr>
      <w:r w:rsidRPr="0071782F">
        <w:rPr>
          <w:lang w:val="fr-CH"/>
        </w:rPr>
        <w:tab/>
        <w:t>143.9.</w:t>
      </w:r>
      <w:r w:rsidRPr="0071782F">
        <w:rPr>
          <w:lang w:val="fr-CH"/>
        </w:rPr>
        <w:tab/>
      </w:r>
      <w:r w:rsidR="00154F96" w:rsidRPr="0071782F">
        <w:rPr>
          <w:lang w:val="fr-CH"/>
        </w:rPr>
        <w:t>D</w:t>
      </w:r>
      <w:r w:rsidRPr="0071782F">
        <w:rPr>
          <w:lang w:val="fr-CH"/>
        </w:rPr>
        <w:t xml:space="preserve">irective </w:t>
      </w:r>
      <w:r w:rsidR="00154F96" w:rsidRPr="0071782F">
        <w:rPr>
          <w:lang w:val="fr-CH"/>
        </w:rPr>
        <w:t xml:space="preserve">du </w:t>
      </w:r>
      <w:r w:rsidR="00E84B01" w:rsidRPr="0071782F">
        <w:rPr>
          <w:lang w:val="fr-CH"/>
        </w:rPr>
        <w:t>Haut Conseil culturel de la Révolution</w:t>
      </w:r>
      <w:r w:rsidR="00154F96" w:rsidRPr="0071782F">
        <w:rPr>
          <w:lang w:val="fr-CH"/>
        </w:rPr>
        <w:t xml:space="preserve"> </w:t>
      </w:r>
      <w:r w:rsidRPr="0071782F">
        <w:rPr>
          <w:lang w:val="fr-CH"/>
        </w:rPr>
        <w:t xml:space="preserve">(2005) </w:t>
      </w:r>
      <w:r w:rsidR="00154F96" w:rsidRPr="0071782F">
        <w:rPr>
          <w:lang w:val="fr-CH"/>
        </w:rPr>
        <w:t>sur les buts et principes de la formation, de</w:t>
      </w:r>
      <w:r w:rsidR="00D36718">
        <w:rPr>
          <w:lang w:val="fr-CH"/>
        </w:rPr>
        <w:t xml:space="preserve"> </w:t>
      </w:r>
      <w:r w:rsidR="00154F96" w:rsidRPr="0071782F">
        <w:rPr>
          <w:lang w:val="fr-CH"/>
        </w:rPr>
        <w:t xml:space="preserve">la </w:t>
      </w:r>
      <w:r w:rsidRPr="0071782F">
        <w:rPr>
          <w:lang w:val="fr-CH"/>
        </w:rPr>
        <w:t xml:space="preserve">consolidation </w:t>
      </w:r>
      <w:r w:rsidR="00154F96" w:rsidRPr="0071782F">
        <w:rPr>
          <w:lang w:val="fr-CH"/>
        </w:rPr>
        <w:t xml:space="preserve">et de la promotion de </w:t>
      </w:r>
      <w:r w:rsidR="00B71907" w:rsidRPr="0071782F">
        <w:rPr>
          <w:lang w:val="fr-CH"/>
        </w:rPr>
        <w:t>la famille</w:t>
      </w:r>
      <w:r w:rsidR="004D6336" w:rsidRPr="0071782F">
        <w:rPr>
          <w:lang w:val="fr-CH"/>
        </w:rPr>
        <w:t>.</w:t>
      </w:r>
    </w:p>
    <w:p w:rsidR="00DD2B20" w:rsidRPr="0071782F" w:rsidRDefault="00DD2B20" w:rsidP="00DD2B20">
      <w:pPr>
        <w:pStyle w:val="SingleTxtG"/>
        <w:ind w:left="1701" w:hanging="567"/>
        <w:rPr>
          <w:lang w:val="fr-CH"/>
        </w:rPr>
      </w:pPr>
      <w:r w:rsidRPr="0071782F">
        <w:rPr>
          <w:lang w:val="fr-CH"/>
        </w:rPr>
        <w:tab/>
        <w:t>143.10.</w:t>
      </w:r>
      <w:r w:rsidR="004D6336" w:rsidRPr="0071782F">
        <w:rPr>
          <w:lang w:val="fr-CH"/>
        </w:rPr>
        <w:t xml:space="preserve"> </w:t>
      </w:r>
      <w:r w:rsidR="00154F96" w:rsidRPr="0071782F">
        <w:rPr>
          <w:lang w:val="fr-CH"/>
        </w:rPr>
        <w:t xml:space="preserve">Loi sur la nationalité des enfants nés du mariage entre des Iraniennes et des ressortissants étrangers </w:t>
      </w:r>
      <w:r w:rsidRPr="0071782F">
        <w:rPr>
          <w:lang w:val="fr-CH"/>
        </w:rPr>
        <w:t>(2006).</w:t>
      </w:r>
    </w:p>
    <w:p w:rsidR="00DD2B20" w:rsidRPr="0071782F" w:rsidRDefault="00DD2B20" w:rsidP="005B1FE2">
      <w:pPr>
        <w:pStyle w:val="H23G"/>
        <w:rPr>
          <w:lang w:val="fr-CH"/>
        </w:rPr>
      </w:pPr>
      <w:r w:rsidRPr="0071782F">
        <w:rPr>
          <w:lang w:val="fr-CH"/>
        </w:rPr>
        <w:tab/>
      </w:r>
      <w:r w:rsidRPr="0071782F">
        <w:rPr>
          <w:lang w:val="fr-CH"/>
        </w:rPr>
        <w:tab/>
      </w:r>
      <w:r w:rsidR="00154F96" w:rsidRPr="0071782F">
        <w:rPr>
          <w:lang w:val="fr-CH"/>
        </w:rPr>
        <w:t xml:space="preserve">Lois et normes pénales </w:t>
      </w:r>
    </w:p>
    <w:p w:rsidR="00DD2B20" w:rsidRPr="0071782F" w:rsidRDefault="00DD2B20" w:rsidP="005B1FE2">
      <w:pPr>
        <w:pStyle w:val="SingleTxtG"/>
        <w:keepNext/>
        <w:rPr>
          <w:lang w:val="fr-CH"/>
        </w:rPr>
      </w:pPr>
      <w:r w:rsidRPr="0071782F">
        <w:rPr>
          <w:lang w:val="fr-CH"/>
        </w:rPr>
        <w:t>144.</w:t>
      </w:r>
      <w:r w:rsidRPr="0071782F">
        <w:rPr>
          <w:lang w:val="fr-CH"/>
        </w:rPr>
        <w:tab/>
      </w:r>
      <w:r w:rsidR="00750B2E" w:rsidRPr="0071782F">
        <w:rPr>
          <w:lang w:val="fr-CH"/>
        </w:rPr>
        <w:t>Il s’agit notamment des instruments suivants</w:t>
      </w:r>
      <w:r w:rsidR="008F7D33" w:rsidRPr="0071782F">
        <w:rPr>
          <w:lang w:val="fr-CH"/>
        </w:rPr>
        <w:t>:</w:t>
      </w:r>
    </w:p>
    <w:p w:rsidR="00DD2B20" w:rsidRPr="0071782F" w:rsidRDefault="00DD2B20" w:rsidP="005B1FE2">
      <w:pPr>
        <w:pStyle w:val="SingleTxtG"/>
        <w:keepNext/>
        <w:ind w:left="1701" w:hanging="567"/>
        <w:rPr>
          <w:lang w:val="fr-CH"/>
        </w:rPr>
      </w:pPr>
      <w:r w:rsidRPr="0071782F">
        <w:rPr>
          <w:lang w:val="fr-CH"/>
        </w:rPr>
        <w:tab/>
        <w:t>144.1.</w:t>
      </w:r>
      <w:r w:rsidRPr="0071782F">
        <w:rPr>
          <w:lang w:val="fr-CH"/>
        </w:rPr>
        <w:tab/>
      </w:r>
      <w:r w:rsidR="00004FFD" w:rsidRPr="0071782F">
        <w:rPr>
          <w:lang w:val="fr-CH"/>
        </w:rPr>
        <w:t>D</w:t>
      </w:r>
      <w:r w:rsidRPr="0071782F">
        <w:rPr>
          <w:lang w:val="fr-CH"/>
        </w:rPr>
        <w:t xml:space="preserve">irective </w:t>
      </w:r>
      <w:r w:rsidR="00004FFD" w:rsidRPr="0071782F">
        <w:rPr>
          <w:lang w:val="fr-CH"/>
        </w:rPr>
        <w:t xml:space="preserve">du Chef du pouvoir judiciaire aux directeurs de département provincial de la justice sur la création du Bureau de la protection des femmes et des enfants </w:t>
      </w:r>
      <w:r w:rsidRPr="0071782F">
        <w:rPr>
          <w:lang w:val="fr-CH"/>
        </w:rPr>
        <w:t>(2002)</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144.2.</w:t>
      </w:r>
      <w:r w:rsidRPr="0071782F">
        <w:rPr>
          <w:lang w:val="fr-CH"/>
        </w:rPr>
        <w:tab/>
      </w:r>
      <w:r w:rsidR="00004FFD" w:rsidRPr="0071782F">
        <w:rPr>
          <w:lang w:val="fr-CH"/>
        </w:rPr>
        <w:t xml:space="preserve">Loi sur la lutte contre la traite des êtres humains </w:t>
      </w:r>
      <w:r w:rsidRPr="0071782F">
        <w:rPr>
          <w:lang w:val="fr-CH"/>
        </w:rPr>
        <w:t>(2004)</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144.3.</w:t>
      </w:r>
      <w:r w:rsidRPr="0071782F">
        <w:rPr>
          <w:lang w:val="fr-CH"/>
        </w:rPr>
        <w:tab/>
      </w:r>
      <w:r w:rsidR="00004FFD" w:rsidRPr="0071782F">
        <w:rPr>
          <w:lang w:val="fr-CH"/>
        </w:rPr>
        <w:t xml:space="preserve">Loi sur la création des tribunaux pour mineurs </w:t>
      </w:r>
      <w:r w:rsidRPr="0071782F">
        <w:rPr>
          <w:lang w:val="fr-CH"/>
        </w:rPr>
        <w:t>(2007).</w:t>
      </w:r>
    </w:p>
    <w:p w:rsidR="00DD2B20" w:rsidRPr="0071782F" w:rsidRDefault="00DD2B20" w:rsidP="00DD2B20">
      <w:pPr>
        <w:pStyle w:val="H23G"/>
        <w:rPr>
          <w:lang w:val="fr-CH"/>
        </w:rPr>
      </w:pPr>
      <w:r w:rsidRPr="0071782F">
        <w:rPr>
          <w:lang w:val="fr-CH"/>
        </w:rPr>
        <w:tab/>
      </w:r>
      <w:r w:rsidRPr="0071782F">
        <w:rPr>
          <w:lang w:val="fr-CH"/>
        </w:rPr>
        <w:tab/>
      </w:r>
      <w:r w:rsidR="00004FFD" w:rsidRPr="0071782F">
        <w:rPr>
          <w:lang w:val="fr-CH"/>
        </w:rPr>
        <w:t>Lois, règles et règlements sur l’emploi</w:t>
      </w:r>
      <w:r w:rsidRPr="0071782F">
        <w:rPr>
          <w:lang w:val="fr-CH"/>
        </w:rPr>
        <w:t xml:space="preserve"> </w:t>
      </w:r>
    </w:p>
    <w:p w:rsidR="00DD2B20" w:rsidRPr="0071782F" w:rsidRDefault="00DD2B20" w:rsidP="00DD2B20">
      <w:pPr>
        <w:pStyle w:val="SingleTxtG"/>
        <w:rPr>
          <w:lang w:val="fr-CH"/>
        </w:rPr>
      </w:pPr>
      <w:r w:rsidRPr="0071782F">
        <w:rPr>
          <w:lang w:val="fr-CH"/>
        </w:rPr>
        <w:t>145.</w:t>
      </w:r>
      <w:r w:rsidRPr="0071782F">
        <w:rPr>
          <w:lang w:val="fr-CH"/>
        </w:rPr>
        <w:tab/>
      </w:r>
      <w:r w:rsidR="00004FFD" w:rsidRPr="0071782F">
        <w:rPr>
          <w:lang w:val="fr-CH"/>
        </w:rPr>
        <w:t>Il s’agit notamment des instruments suivants</w:t>
      </w:r>
      <w:r w:rsidR="008F7D33" w:rsidRPr="0071782F">
        <w:rPr>
          <w:lang w:val="fr-CH"/>
        </w:rPr>
        <w:t>:</w:t>
      </w:r>
    </w:p>
    <w:p w:rsidR="00DD2B20" w:rsidRPr="0071782F" w:rsidRDefault="00DD2B20" w:rsidP="00DD2B20">
      <w:pPr>
        <w:pStyle w:val="SingleTxtG"/>
        <w:ind w:left="1701" w:hanging="567"/>
        <w:rPr>
          <w:lang w:val="fr-CH"/>
        </w:rPr>
      </w:pPr>
      <w:r w:rsidRPr="0071782F">
        <w:rPr>
          <w:lang w:val="fr-CH"/>
        </w:rPr>
        <w:tab/>
        <w:t>145.1.</w:t>
      </w:r>
      <w:r w:rsidRPr="0071782F">
        <w:rPr>
          <w:lang w:val="fr-CH"/>
        </w:rPr>
        <w:tab/>
      </w:r>
      <w:r w:rsidR="00004FFD" w:rsidRPr="0071782F">
        <w:rPr>
          <w:lang w:val="fr-CH"/>
        </w:rPr>
        <w:t>Loi sur l’emploi de la main-d’</w:t>
      </w:r>
      <w:r w:rsidR="00D5366B" w:rsidRPr="0071782F">
        <w:rPr>
          <w:lang w:val="fr-CH"/>
        </w:rPr>
        <w:t>œuvre</w:t>
      </w:r>
      <w:r w:rsidR="00004FFD" w:rsidRPr="0071782F">
        <w:rPr>
          <w:lang w:val="fr-CH"/>
        </w:rPr>
        <w:t xml:space="preserve"> </w:t>
      </w:r>
      <w:r w:rsidR="00A234E8" w:rsidRPr="0071782F">
        <w:rPr>
          <w:lang w:val="fr-CH"/>
        </w:rPr>
        <w:t>(art. </w:t>
      </w:r>
      <w:r w:rsidRPr="0071782F">
        <w:rPr>
          <w:lang w:val="fr-CH"/>
        </w:rPr>
        <w:t xml:space="preserve">1 </w:t>
      </w:r>
      <w:r w:rsidR="00004FFD" w:rsidRPr="0071782F">
        <w:rPr>
          <w:lang w:val="fr-CH"/>
        </w:rPr>
        <w:t>et</w:t>
      </w:r>
      <w:r w:rsidRPr="0071782F">
        <w:rPr>
          <w:lang w:val="fr-CH"/>
        </w:rPr>
        <w:t xml:space="preserve"> </w:t>
      </w:r>
      <w:r w:rsidR="00B71907" w:rsidRPr="0071782F">
        <w:rPr>
          <w:lang w:val="fr-CH"/>
        </w:rPr>
        <w:t>note </w:t>
      </w:r>
      <w:r w:rsidRPr="0071782F">
        <w:rPr>
          <w:lang w:val="fr-CH"/>
        </w:rPr>
        <w:t>2) (1979)</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145.2.</w:t>
      </w:r>
      <w:r w:rsidRPr="0071782F">
        <w:rPr>
          <w:lang w:val="fr-CH"/>
        </w:rPr>
        <w:tab/>
      </w:r>
      <w:r w:rsidR="00004FFD" w:rsidRPr="0071782F">
        <w:rPr>
          <w:lang w:val="fr-CH"/>
        </w:rPr>
        <w:t>Loi sur l’emploi à temps partiel des femmes</w:t>
      </w:r>
      <w:r w:rsidRPr="0071782F">
        <w:rPr>
          <w:lang w:val="fr-CH"/>
        </w:rPr>
        <w:t xml:space="preserve"> (1983)</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145.3.</w:t>
      </w:r>
      <w:r w:rsidRPr="0071782F">
        <w:rPr>
          <w:lang w:val="fr-CH"/>
        </w:rPr>
        <w:tab/>
      </w:r>
      <w:r w:rsidR="001119CD" w:rsidRPr="0071782F">
        <w:rPr>
          <w:lang w:val="fr-CH"/>
        </w:rPr>
        <w:t xml:space="preserve">Règlement d’exécution </w:t>
      </w:r>
      <w:r w:rsidR="00004FFD" w:rsidRPr="0071782F">
        <w:rPr>
          <w:lang w:val="fr-CH"/>
        </w:rPr>
        <w:t xml:space="preserve">de la loi sur l’emploi à temps partiel des femmes </w:t>
      </w:r>
      <w:r w:rsidRPr="0071782F">
        <w:rPr>
          <w:lang w:val="fr-CH"/>
        </w:rPr>
        <w:t>(1985)</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145.4.</w:t>
      </w:r>
      <w:r w:rsidRPr="0071782F">
        <w:rPr>
          <w:lang w:val="fr-CH"/>
        </w:rPr>
        <w:tab/>
      </w:r>
      <w:r w:rsidR="00004FFD" w:rsidRPr="0071782F">
        <w:rPr>
          <w:lang w:val="fr-CH"/>
        </w:rPr>
        <w:t>Loi modif</w:t>
      </w:r>
      <w:r w:rsidR="00D64731" w:rsidRPr="0071782F">
        <w:rPr>
          <w:lang w:val="fr-CH"/>
        </w:rPr>
        <w:t>i</w:t>
      </w:r>
      <w:r w:rsidR="00004FFD" w:rsidRPr="0071782F">
        <w:rPr>
          <w:lang w:val="fr-CH"/>
        </w:rPr>
        <w:t xml:space="preserve">ant la </w:t>
      </w:r>
      <w:r w:rsidR="00B71907" w:rsidRPr="0071782F">
        <w:rPr>
          <w:lang w:val="fr-CH"/>
        </w:rPr>
        <w:t>note </w:t>
      </w:r>
      <w:r w:rsidRPr="0071782F">
        <w:rPr>
          <w:lang w:val="fr-CH"/>
        </w:rPr>
        <w:t xml:space="preserve">2 </w:t>
      </w:r>
      <w:r w:rsidR="00004FFD" w:rsidRPr="0071782F">
        <w:rPr>
          <w:lang w:val="fr-CH"/>
        </w:rPr>
        <w:t xml:space="preserve">de </w:t>
      </w:r>
      <w:r w:rsidR="00723F2B" w:rsidRPr="0071782F">
        <w:rPr>
          <w:lang w:val="fr-CH"/>
        </w:rPr>
        <w:t>l’</w:t>
      </w:r>
      <w:r w:rsidR="00943A69" w:rsidRPr="0071782F">
        <w:rPr>
          <w:lang w:val="fr-CH"/>
        </w:rPr>
        <w:t>article </w:t>
      </w:r>
      <w:r w:rsidR="00004FFD" w:rsidRPr="0071782F">
        <w:rPr>
          <w:lang w:val="fr-CH"/>
        </w:rPr>
        <w:t xml:space="preserve">unique de la loi sur </w:t>
      </w:r>
      <w:r w:rsidR="00D64731" w:rsidRPr="0071782F">
        <w:rPr>
          <w:lang w:val="fr-CH"/>
        </w:rPr>
        <w:t xml:space="preserve">le paiement de </w:t>
      </w:r>
      <w:r w:rsidRPr="0071782F">
        <w:rPr>
          <w:lang w:val="fr-CH"/>
        </w:rPr>
        <w:t xml:space="preserve">pensions </w:t>
      </w:r>
      <w:r w:rsidR="00D64731" w:rsidRPr="0071782F">
        <w:rPr>
          <w:lang w:val="fr-CH"/>
        </w:rPr>
        <w:t xml:space="preserve">de réversion aux veuves/veufs de fonctionnaires </w:t>
      </w:r>
      <w:r w:rsidRPr="0071782F">
        <w:rPr>
          <w:lang w:val="fr-CH"/>
        </w:rPr>
        <w:t xml:space="preserve">(1959) </w:t>
      </w:r>
      <w:r w:rsidR="00D64731" w:rsidRPr="0071782F">
        <w:rPr>
          <w:lang w:val="fr-CH"/>
        </w:rPr>
        <w:t>et sur le paiement d</w:t>
      </w:r>
      <w:r w:rsidR="002A0EA4" w:rsidRPr="0071782F">
        <w:rPr>
          <w:lang w:val="fr-CH"/>
        </w:rPr>
        <w:t>e pensions aux enfants et petit</w:t>
      </w:r>
      <w:r w:rsidR="00D64731" w:rsidRPr="0071782F">
        <w:rPr>
          <w:lang w:val="fr-CH"/>
        </w:rPr>
        <w:t>s-enfants de</w:t>
      </w:r>
      <w:r w:rsidR="00B71907" w:rsidRPr="0071782F">
        <w:rPr>
          <w:lang w:val="fr-CH"/>
        </w:rPr>
        <w:t xml:space="preserve"> sexe féminin de fonctionnaires</w:t>
      </w:r>
      <w:r w:rsidR="00D64731" w:rsidRPr="0071782F">
        <w:rPr>
          <w:lang w:val="fr-CH"/>
        </w:rPr>
        <w:t xml:space="preserve"> </w:t>
      </w:r>
      <w:r w:rsidRPr="0071782F">
        <w:rPr>
          <w:lang w:val="fr-CH"/>
        </w:rPr>
        <w:t xml:space="preserve">(1984) </w:t>
      </w:r>
      <w:r w:rsidR="00D64731" w:rsidRPr="0071782F">
        <w:rPr>
          <w:lang w:val="fr-CH"/>
        </w:rPr>
        <w:t xml:space="preserve">et </w:t>
      </w:r>
      <w:r w:rsidR="001119CD" w:rsidRPr="0071782F">
        <w:rPr>
          <w:lang w:val="fr-CH"/>
        </w:rPr>
        <w:t>directive d’exécution</w:t>
      </w:r>
      <w:r w:rsidR="00D64731" w:rsidRPr="0071782F">
        <w:rPr>
          <w:lang w:val="fr-CH"/>
        </w:rPr>
        <w:t xml:space="preserve"> de ladite loi </w:t>
      </w:r>
      <w:r w:rsidRPr="0071782F">
        <w:rPr>
          <w:lang w:val="fr-CH"/>
        </w:rPr>
        <w:t>(1985)</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145.5.</w:t>
      </w:r>
      <w:r w:rsidRPr="0071782F">
        <w:rPr>
          <w:lang w:val="fr-CH"/>
        </w:rPr>
        <w:tab/>
      </w:r>
      <w:r w:rsidR="00D64731" w:rsidRPr="0071782F">
        <w:rPr>
          <w:lang w:val="fr-CH"/>
        </w:rPr>
        <w:t xml:space="preserve">Loi sur les congés sans solde accordés aux fonctionnaires dont le conjoint participe à une mission de longue durée à l’étranger </w:t>
      </w:r>
      <w:r w:rsidRPr="0071782F">
        <w:rPr>
          <w:lang w:val="fr-CH"/>
        </w:rPr>
        <w:t>(1987)</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145.6.</w:t>
      </w:r>
      <w:r w:rsidRPr="0071782F">
        <w:rPr>
          <w:lang w:val="fr-CH"/>
        </w:rPr>
        <w:tab/>
      </w:r>
      <w:r w:rsidR="00D64731" w:rsidRPr="0071782F">
        <w:rPr>
          <w:lang w:val="fr-CH"/>
        </w:rPr>
        <w:t>Loi modifiant le règlement régissant la retraite et les pensions dans le cadre de la loi sur l’emploi (</w:t>
      </w:r>
      <w:r w:rsidR="00B71907" w:rsidRPr="0071782F">
        <w:rPr>
          <w:lang w:val="fr-CH"/>
        </w:rPr>
        <w:t>note </w:t>
      </w:r>
      <w:r w:rsidR="00D64731" w:rsidRPr="0071782F">
        <w:rPr>
          <w:lang w:val="fr-CH"/>
        </w:rPr>
        <w:t xml:space="preserve">1, </w:t>
      </w:r>
      <w:r w:rsidR="00943A69" w:rsidRPr="0071782F">
        <w:rPr>
          <w:lang w:val="fr-CH"/>
        </w:rPr>
        <w:t>art</w:t>
      </w:r>
      <w:r w:rsidR="004B3260">
        <w:rPr>
          <w:lang w:val="fr-CH"/>
        </w:rPr>
        <w:t>.</w:t>
      </w:r>
      <w:r w:rsidR="00943A69" w:rsidRPr="0071782F">
        <w:rPr>
          <w:lang w:val="fr-CH"/>
        </w:rPr>
        <w:t> </w:t>
      </w:r>
      <w:r w:rsidR="00D64731" w:rsidRPr="0071782F">
        <w:rPr>
          <w:lang w:val="fr-CH"/>
        </w:rPr>
        <w:t>2)</w:t>
      </w:r>
      <w:r w:rsidRPr="0071782F">
        <w:rPr>
          <w:lang w:val="fr-CH"/>
        </w:rPr>
        <w:t xml:space="preserve"> (1987)</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145.7.</w:t>
      </w:r>
      <w:r w:rsidRPr="0071782F">
        <w:rPr>
          <w:lang w:val="fr-CH"/>
        </w:rPr>
        <w:tab/>
      </w:r>
      <w:r w:rsidR="00750B2E" w:rsidRPr="0071782F">
        <w:rPr>
          <w:lang w:val="fr-CH"/>
        </w:rPr>
        <w:t xml:space="preserve">Loi sur le régime unifié de </w:t>
      </w:r>
      <w:r w:rsidRPr="0071782F">
        <w:rPr>
          <w:lang w:val="fr-CH"/>
        </w:rPr>
        <w:t>r</w:t>
      </w:r>
      <w:r w:rsidR="00750B2E" w:rsidRPr="0071782F">
        <w:rPr>
          <w:lang w:val="fr-CH"/>
        </w:rPr>
        <w:t>é</w:t>
      </w:r>
      <w:r w:rsidRPr="0071782F">
        <w:rPr>
          <w:lang w:val="fr-CH"/>
        </w:rPr>
        <w:t>mun</w:t>
      </w:r>
      <w:r w:rsidR="002A0EA4" w:rsidRPr="0071782F">
        <w:rPr>
          <w:lang w:val="fr-CH"/>
        </w:rPr>
        <w:t>é</w:t>
      </w:r>
      <w:r w:rsidRPr="0071782F">
        <w:rPr>
          <w:lang w:val="fr-CH"/>
        </w:rPr>
        <w:t xml:space="preserve">ration </w:t>
      </w:r>
      <w:r w:rsidR="00750B2E" w:rsidRPr="0071782F">
        <w:rPr>
          <w:lang w:val="fr-CH"/>
        </w:rPr>
        <w:t xml:space="preserve">des fonctionnaires </w:t>
      </w:r>
      <w:r w:rsidRPr="0071782F">
        <w:rPr>
          <w:lang w:val="fr-CH"/>
        </w:rPr>
        <w:t xml:space="preserve">(1991) </w:t>
      </w:r>
      <w:r w:rsidR="00750B2E" w:rsidRPr="0071782F">
        <w:rPr>
          <w:lang w:val="fr-CH"/>
        </w:rPr>
        <w:t>et modification</w:t>
      </w:r>
      <w:r w:rsidR="002A0EA4" w:rsidRPr="0071782F">
        <w:rPr>
          <w:lang w:val="fr-CH"/>
        </w:rPr>
        <w:t>s</w:t>
      </w:r>
      <w:r w:rsidR="00750B2E" w:rsidRPr="0071782F">
        <w:rPr>
          <w:lang w:val="fr-CH"/>
        </w:rPr>
        <w:t xml:space="preserve"> ultérieures </w:t>
      </w:r>
      <w:r w:rsidRPr="0071782F">
        <w:rPr>
          <w:lang w:val="fr-CH"/>
        </w:rPr>
        <w:t xml:space="preserve">(notes 1 </w:t>
      </w:r>
      <w:r w:rsidR="00175962" w:rsidRPr="0071782F">
        <w:rPr>
          <w:lang w:val="fr-CH"/>
        </w:rPr>
        <w:t>et</w:t>
      </w:r>
      <w:r w:rsidRPr="0071782F">
        <w:rPr>
          <w:lang w:val="fr-CH"/>
        </w:rPr>
        <w:t xml:space="preserve"> 2, </w:t>
      </w:r>
      <w:r w:rsidR="00943A69" w:rsidRPr="0071782F">
        <w:rPr>
          <w:lang w:val="fr-CH"/>
        </w:rPr>
        <w:t>art</w:t>
      </w:r>
      <w:r w:rsidR="00175962" w:rsidRPr="0071782F">
        <w:rPr>
          <w:lang w:val="fr-CH"/>
        </w:rPr>
        <w:t>.</w:t>
      </w:r>
      <w:r w:rsidR="00943A69" w:rsidRPr="0071782F">
        <w:rPr>
          <w:lang w:val="fr-CH"/>
        </w:rPr>
        <w:t> </w:t>
      </w:r>
      <w:r w:rsidRPr="0071782F">
        <w:rPr>
          <w:lang w:val="fr-CH"/>
        </w:rPr>
        <w:t>9)</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145.8.</w:t>
      </w:r>
      <w:r w:rsidRPr="0071782F">
        <w:rPr>
          <w:lang w:val="fr-CH"/>
        </w:rPr>
        <w:tab/>
      </w:r>
      <w:r w:rsidR="00750B2E" w:rsidRPr="0071782F">
        <w:rPr>
          <w:lang w:val="fr-CH"/>
        </w:rPr>
        <w:t xml:space="preserve">Loi sur la promotion de l’allaitement maternel et sur l’appui aux mères allaitantes pendant la période d’allaitement </w:t>
      </w:r>
      <w:r w:rsidRPr="0071782F">
        <w:rPr>
          <w:lang w:val="fr-CH"/>
        </w:rPr>
        <w:t xml:space="preserve">(1995) </w:t>
      </w:r>
      <w:r w:rsidR="00750B2E" w:rsidRPr="0071782F">
        <w:rPr>
          <w:lang w:val="fr-CH"/>
        </w:rPr>
        <w:t xml:space="preserve">et </w:t>
      </w:r>
      <w:r w:rsidR="001119CD" w:rsidRPr="0071782F">
        <w:rPr>
          <w:lang w:val="fr-CH"/>
        </w:rPr>
        <w:t xml:space="preserve">sa directive d’exécution </w:t>
      </w:r>
      <w:r w:rsidRPr="0071782F">
        <w:rPr>
          <w:lang w:val="fr-CH"/>
        </w:rPr>
        <w:t>(1996)</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145.9.</w:t>
      </w:r>
      <w:r w:rsidRPr="0071782F">
        <w:rPr>
          <w:lang w:val="fr-CH"/>
        </w:rPr>
        <w:tab/>
      </w:r>
      <w:r w:rsidR="00750B2E" w:rsidRPr="0071782F">
        <w:rPr>
          <w:lang w:val="fr-CH"/>
        </w:rPr>
        <w:t xml:space="preserve">Projet de loi modifiant </w:t>
      </w:r>
      <w:r w:rsidR="00723F2B" w:rsidRPr="0071782F">
        <w:rPr>
          <w:lang w:val="fr-CH"/>
        </w:rPr>
        <w:t>l’</w:t>
      </w:r>
      <w:r w:rsidR="00943A69" w:rsidRPr="0071782F">
        <w:rPr>
          <w:lang w:val="fr-CH"/>
        </w:rPr>
        <w:t>article </w:t>
      </w:r>
      <w:r w:rsidR="00750B2E" w:rsidRPr="0071782F">
        <w:rPr>
          <w:lang w:val="fr-CH"/>
        </w:rPr>
        <w:t xml:space="preserve">9 de la loi révisant certains règlements concernant les droits à pension de retraite des femmes qui travaillent </w:t>
      </w:r>
      <w:r w:rsidRPr="0071782F">
        <w:rPr>
          <w:lang w:val="fr-CH"/>
        </w:rPr>
        <w:t>(2006)</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145.10.</w:t>
      </w:r>
      <w:r w:rsidR="00874AEB" w:rsidRPr="0071782F">
        <w:rPr>
          <w:lang w:val="fr-CH"/>
        </w:rPr>
        <w:t xml:space="preserve"> </w:t>
      </w:r>
      <w:r w:rsidR="00750B2E" w:rsidRPr="0071782F">
        <w:rPr>
          <w:lang w:val="fr-CH"/>
        </w:rPr>
        <w:t xml:space="preserve">Loi modifiant </w:t>
      </w:r>
      <w:r w:rsidR="00723F2B" w:rsidRPr="0071782F">
        <w:rPr>
          <w:lang w:val="fr-CH"/>
        </w:rPr>
        <w:t>l’</w:t>
      </w:r>
      <w:r w:rsidR="00943A69" w:rsidRPr="0071782F">
        <w:rPr>
          <w:lang w:val="fr-CH"/>
        </w:rPr>
        <w:t>article </w:t>
      </w:r>
      <w:r w:rsidRPr="0071782F">
        <w:rPr>
          <w:lang w:val="fr-CH"/>
        </w:rPr>
        <w:t xml:space="preserve">3 </w:t>
      </w:r>
      <w:r w:rsidR="00750B2E" w:rsidRPr="0071782F">
        <w:rPr>
          <w:lang w:val="fr-CH"/>
        </w:rPr>
        <w:t xml:space="preserve">de la loi sur la promotion de l’allaitement maternel et sur l’appui aux mères allaitantes pendant la période d’allaitement </w:t>
      </w:r>
      <w:r w:rsidRPr="0071782F">
        <w:rPr>
          <w:lang w:val="fr-CH"/>
        </w:rPr>
        <w:t>(2007)</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145.11.</w:t>
      </w:r>
      <w:r w:rsidR="00874AEB" w:rsidRPr="0071782F">
        <w:rPr>
          <w:lang w:val="fr-CH"/>
        </w:rPr>
        <w:t xml:space="preserve"> </w:t>
      </w:r>
      <w:r w:rsidR="00750B2E" w:rsidRPr="0071782F">
        <w:rPr>
          <w:lang w:val="fr-CH"/>
        </w:rPr>
        <w:t xml:space="preserve">Loi sur le paiement de </w:t>
      </w:r>
      <w:r w:rsidRPr="0071782F">
        <w:rPr>
          <w:lang w:val="fr-CH"/>
        </w:rPr>
        <w:t xml:space="preserve">pensions </w:t>
      </w:r>
      <w:r w:rsidR="00750B2E" w:rsidRPr="0071782F">
        <w:rPr>
          <w:lang w:val="fr-CH"/>
        </w:rPr>
        <w:t xml:space="preserve">aux enfants de femmes décédées couvertes par la loi sur la sécurité sociale </w:t>
      </w:r>
      <w:r w:rsidR="007875F1" w:rsidRPr="0071782F">
        <w:rPr>
          <w:lang w:val="fr-CH"/>
        </w:rPr>
        <w:t xml:space="preserve">et les autres fonds de pension </w:t>
      </w:r>
      <w:r w:rsidRPr="0071782F">
        <w:rPr>
          <w:lang w:val="fr-CH"/>
        </w:rPr>
        <w:t>(2007).</w:t>
      </w:r>
    </w:p>
    <w:p w:rsidR="00DD2B20" w:rsidRPr="0071782F" w:rsidRDefault="00DD2B20" w:rsidP="00C27D02">
      <w:pPr>
        <w:pStyle w:val="H23G"/>
        <w:rPr>
          <w:lang w:val="fr-CH"/>
        </w:rPr>
      </w:pPr>
      <w:r w:rsidRPr="0071782F">
        <w:rPr>
          <w:lang w:val="fr-CH"/>
        </w:rPr>
        <w:tab/>
      </w:r>
      <w:r w:rsidRPr="0071782F">
        <w:rPr>
          <w:lang w:val="fr-CH"/>
        </w:rPr>
        <w:tab/>
      </w:r>
      <w:r w:rsidR="00750B2E" w:rsidRPr="0071782F">
        <w:rPr>
          <w:lang w:val="fr-CH"/>
        </w:rPr>
        <w:t xml:space="preserve">Lois et règlements </w:t>
      </w:r>
      <w:r w:rsidR="002A0EA4" w:rsidRPr="0071782F">
        <w:rPr>
          <w:lang w:val="fr-CH"/>
        </w:rPr>
        <w:t>professionnels et relatifs à la sécurité sociale</w:t>
      </w:r>
    </w:p>
    <w:p w:rsidR="00DD2B20" w:rsidRPr="0071782F" w:rsidRDefault="00DD2B20" w:rsidP="00C27D02">
      <w:pPr>
        <w:pStyle w:val="SingleTxtG"/>
        <w:keepNext/>
        <w:rPr>
          <w:lang w:val="fr-CH"/>
        </w:rPr>
      </w:pPr>
      <w:r w:rsidRPr="0071782F">
        <w:rPr>
          <w:lang w:val="fr-CH"/>
        </w:rPr>
        <w:t>146.</w:t>
      </w:r>
      <w:r w:rsidRPr="0071782F">
        <w:rPr>
          <w:lang w:val="fr-CH"/>
        </w:rPr>
        <w:tab/>
      </w:r>
      <w:r w:rsidR="00750B2E" w:rsidRPr="0071782F">
        <w:rPr>
          <w:lang w:val="fr-CH"/>
        </w:rPr>
        <w:t>Il s’agit notamment des instruments suivants</w:t>
      </w:r>
      <w:r w:rsidR="008F7D33" w:rsidRPr="0071782F">
        <w:rPr>
          <w:lang w:val="fr-CH"/>
        </w:rPr>
        <w:t>:</w:t>
      </w:r>
    </w:p>
    <w:p w:rsidR="00DD2B20" w:rsidRPr="0071782F" w:rsidRDefault="00DD2B20" w:rsidP="00C27D02">
      <w:pPr>
        <w:pStyle w:val="SingleTxtG"/>
        <w:keepNext/>
        <w:ind w:left="1701" w:hanging="567"/>
        <w:rPr>
          <w:lang w:val="fr-CH"/>
        </w:rPr>
      </w:pPr>
      <w:r w:rsidRPr="0071782F">
        <w:rPr>
          <w:lang w:val="fr-CH"/>
        </w:rPr>
        <w:tab/>
        <w:t>146.1.</w:t>
      </w:r>
      <w:r w:rsidRPr="0071782F">
        <w:rPr>
          <w:lang w:val="fr-CH"/>
        </w:rPr>
        <w:tab/>
      </w:r>
      <w:r w:rsidR="007875F1" w:rsidRPr="0071782F">
        <w:rPr>
          <w:lang w:val="fr-CH"/>
        </w:rPr>
        <w:t xml:space="preserve">Projet de loi portant création de l’Organisme public de protection sociale, adopté par le Conseil de la Révolution </w:t>
      </w:r>
      <w:r w:rsidRPr="0071782F">
        <w:rPr>
          <w:lang w:val="fr-CH"/>
        </w:rPr>
        <w:t>(</w:t>
      </w:r>
      <w:r w:rsidR="00A234E8" w:rsidRPr="0071782F">
        <w:rPr>
          <w:lang w:val="fr-CH"/>
        </w:rPr>
        <w:t xml:space="preserve">article </w:t>
      </w:r>
      <w:r w:rsidR="007875F1" w:rsidRPr="0071782F">
        <w:rPr>
          <w:lang w:val="fr-CH"/>
        </w:rPr>
        <w:t>unique)</w:t>
      </w:r>
      <w:r w:rsidRPr="0071782F">
        <w:rPr>
          <w:lang w:val="fr-CH"/>
        </w:rPr>
        <w:t xml:space="preserve"> (1979)</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146.2.</w:t>
      </w:r>
      <w:r w:rsidRPr="0071782F">
        <w:rPr>
          <w:lang w:val="fr-CH"/>
        </w:rPr>
        <w:tab/>
      </w:r>
      <w:r w:rsidR="00EF7CFE" w:rsidRPr="0071782F">
        <w:rPr>
          <w:lang w:val="fr-CH"/>
        </w:rPr>
        <w:t xml:space="preserve">Loi sur la retraite anticipée </w:t>
      </w:r>
      <w:r w:rsidR="007F37CE" w:rsidRPr="0071782F">
        <w:rPr>
          <w:lang w:val="fr-CH"/>
        </w:rPr>
        <w:t>des personnes</w:t>
      </w:r>
      <w:r w:rsidR="00EF7CFE" w:rsidRPr="0071782F">
        <w:rPr>
          <w:lang w:val="fr-CH"/>
        </w:rPr>
        <w:t xml:space="preserve"> couvertes par le système de sécurité sociale </w:t>
      </w:r>
      <w:r w:rsidRPr="0071782F">
        <w:rPr>
          <w:lang w:val="fr-CH"/>
        </w:rPr>
        <w:t>(</w:t>
      </w:r>
      <w:r w:rsidR="00A234E8" w:rsidRPr="0071782F">
        <w:rPr>
          <w:lang w:val="fr-CH"/>
        </w:rPr>
        <w:t xml:space="preserve">article </w:t>
      </w:r>
      <w:r w:rsidR="00EF7CFE" w:rsidRPr="0071782F">
        <w:rPr>
          <w:lang w:val="fr-CH"/>
        </w:rPr>
        <w:t xml:space="preserve">unique et </w:t>
      </w:r>
      <w:r w:rsidR="00B71907" w:rsidRPr="0071782F">
        <w:rPr>
          <w:lang w:val="fr-CH"/>
        </w:rPr>
        <w:t>note </w:t>
      </w:r>
      <w:r w:rsidRPr="0071782F">
        <w:rPr>
          <w:lang w:val="fr-CH"/>
        </w:rPr>
        <w:t>20</w:t>
      </w:r>
      <w:r w:rsidR="00A5752C">
        <w:rPr>
          <w:lang w:val="fr-CH"/>
        </w:rPr>
        <w:t>)</w:t>
      </w:r>
      <w:r w:rsidRPr="0071782F">
        <w:rPr>
          <w:lang w:val="fr-CH"/>
        </w:rPr>
        <w:t xml:space="preserve"> (1988)</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146.3.</w:t>
      </w:r>
      <w:r w:rsidRPr="0071782F">
        <w:rPr>
          <w:lang w:val="fr-CH"/>
        </w:rPr>
        <w:tab/>
      </w:r>
      <w:r w:rsidR="00EF7CFE" w:rsidRPr="0071782F">
        <w:rPr>
          <w:lang w:val="fr-CH"/>
        </w:rPr>
        <w:t>D</w:t>
      </w:r>
      <w:r w:rsidRPr="0071782F">
        <w:rPr>
          <w:lang w:val="fr-CH"/>
        </w:rPr>
        <w:t xml:space="preserve">irective </w:t>
      </w:r>
      <w:r w:rsidR="00EF7CFE" w:rsidRPr="0071782F">
        <w:rPr>
          <w:lang w:val="fr-CH"/>
        </w:rPr>
        <w:t xml:space="preserve">sur les obligations des organismes chargés d’exécuter les programmes de planification familiale (contrôle des naissances) adoptée par le Conseil des ministres </w:t>
      </w:r>
      <w:r w:rsidRPr="0071782F">
        <w:rPr>
          <w:lang w:val="fr-CH"/>
        </w:rPr>
        <w:t>(1990)</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146.4.</w:t>
      </w:r>
      <w:r w:rsidRPr="0071782F">
        <w:rPr>
          <w:lang w:val="fr-CH"/>
        </w:rPr>
        <w:tab/>
      </w:r>
      <w:r w:rsidR="00EF7CFE" w:rsidRPr="0071782F">
        <w:rPr>
          <w:lang w:val="fr-CH"/>
        </w:rPr>
        <w:t xml:space="preserve">Code du travail </w:t>
      </w:r>
      <w:r w:rsidRPr="0071782F">
        <w:rPr>
          <w:lang w:val="fr-CH"/>
        </w:rPr>
        <w:t>(</w:t>
      </w:r>
      <w:r w:rsidR="00175962" w:rsidRPr="0071782F">
        <w:rPr>
          <w:lang w:val="fr-CH"/>
        </w:rPr>
        <w:t>art.</w:t>
      </w:r>
      <w:r w:rsidR="00723F2B" w:rsidRPr="0071782F">
        <w:rPr>
          <w:lang w:val="fr-CH"/>
        </w:rPr>
        <w:t> </w:t>
      </w:r>
      <w:r w:rsidR="00EF7CFE" w:rsidRPr="0071782F">
        <w:rPr>
          <w:lang w:val="fr-CH"/>
        </w:rPr>
        <w:t xml:space="preserve">75, 76, 77, 78, 198) </w:t>
      </w:r>
      <w:r w:rsidRPr="0071782F">
        <w:rPr>
          <w:lang w:val="fr-CH"/>
        </w:rPr>
        <w:t>(1990)</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146.5.</w:t>
      </w:r>
      <w:r w:rsidRPr="0071782F">
        <w:rPr>
          <w:lang w:val="fr-CH"/>
        </w:rPr>
        <w:tab/>
      </w:r>
      <w:r w:rsidR="001119CD" w:rsidRPr="0071782F">
        <w:rPr>
          <w:lang w:val="fr-CH"/>
        </w:rPr>
        <w:t xml:space="preserve">Règlement interdisant aux femmes et aux </w:t>
      </w:r>
      <w:r w:rsidR="00B13F4B" w:rsidRPr="0071782F">
        <w:rPr>
          <w:lang w:val="fr-CH"/>
        </w:rPr>
        <w:t>adolescents</w:t>
      </w:r>
      <w:r w:rsidR="001119CD" w:rsidRPr="0071782F">
        <w:rPr>
          <w:lang w:val="fr-CH"/>
        </w:rPr>
        <w:t xml:space="preserve"> de lever des charges lourdes sans l’aide d’appareils mécaniques adopté par le Haut Conseil du travail </w:t>
      </w:r>
      <w:r w:rsidRPr="0071782F">
        <w:rPr>
          <w:lang w:val="fr-CH"/>
        </w:rPr>
        <w:t>(1990)</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146.6.</w:t>
      </w:r>
      <w:r w:rsidRPr="0071782F">
        <w:rPr>
          <w:lang w:val="fr-CH"/>
        </w:rPr>
        <w:tab/>
      </w:r>
      <w:r w:rsidR="001119CD" w:rsidRPr="0071782F">
        <w:rPr>
          <w:lang w:val="fr-CH"/>
        </w:rPr>
        <w:t xml:space="preserve">Règlement exécutif concernant les crèches et garderies adopté par le Ministère du travail et des affaires sociales </w:t>
      </w:r>
      <w:r w:rsidRPr="0071782F">
        <w:rPr>
          <w:lang w:val="fr-CH"/>
        </w:rPr>
        <w:t>(1991)</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146.7.</w:t>
      </w:r>
      <w:r w:rsidRPr="0071782F">
        <w:rPr>
          <w:lang w:val="fr-CH"/>
        </w:rPr>
        <w:tab/>
      </w:r>
      <w:r w:rsidR="001119CD" w:rsidRPr="0071782F">
        <w:rPr>
          <w:lang w:val="fr-CH"/>
        </w:rPr>
        <w:t xml:space="preserve">Règlements d’exécution concernant les garderies (y compris les normes applicables aux bâtiments, aux systèmes de sécurité, aux </w:t>
      </w:r>
      <w:r w:rsidRPr="0071782F">
        <w:rPr>
          <w:lang w:val="fr-CH"/>
        </w:rPr>
        <w:t>installations</w:t>
      </w:r>
      <w:r w:rsidR="001119CD" w:rsidRPr="0071782F">
        <w:rPr>
          <w:lang w:val="fr-CH"/>
        </w:rPr>
        <w:t xml:space="preserve"> et équipements, aux ressources humaines et à leurs attributions et programmes de formation interne et externe, et aux activités en matière de </w:t>
      </w:r>
      <w:r w:rsidRPr="0071782F">
        <w:rPr>
          <w:lang w:val="fr-CH"/>
        </w:rPr>
        <w:t xml:space="preserve">nutrition </w:t>
      </w:r>
      <w:r w:rsidR="001119CD" w:rsidRPr="0071782F">
        <w:rPr>
          <w:lang w:val="fr-CH"/>
        </w:rPr>
        <w:t>et de santé</w:t>
      </w:r>
      <w:r w:rsidRPr="0071782F">
        <w:rPr>
          <w:lang w:val="fr-CH"/>
        </w:rPr>
        <w:t>)</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146.8.</w:t>
      </w:r>
      <w:r w:rsidRPr="0071782F">
        <w:rPr>
          <w:lang w:val="fr-CH"/>
        </w:rPr>
        <w:tab/>
      </w:r>
      <w:r w:rsidR="001119CD" w:rsidRPr="0071782F">
        <w:rPr>
          <w:lang w:val="fr-CH"/>
        </w:rPr>
        <w:t xml:space="preserve">Règlement concernant la </w:t>
      </w:r>
      <w:r w:rsidRPr="0071782F">
        <w:rPr>
          <w:lang w:val="fr-CH"/>
        </w:rPr>
        <w:t>s</w:t>
      </w:r>
      <w:r w:rsidR="001119CD" w:rsidRPr="0071782F">
        <w:rPr>
          <w:lang w:val="fr-CH"/>
        </w:rPr>
        <w:t>é</w:t>
      </w:r>
      <w:r w:rsidRPr="0071782F">
        <w:rPr>
          <w:lang w:val="fr-CH"/>
        </w:rPr>
        <w:t xml:space="preserve">lection </w:t>
      </w:r>
      <w:r w:rsidR="001119CD" w:rsidRPr="0071782F">
        <w:rPr>
          <w:lang w:val="fr-CH"/>
        </w:rPr>
        <w:t xml:space="preserve">des travailleuses modèles </w:t>
      </w:r>
      <w:r w:rsidRPr="0071782F">
        <w:rPr>
          <w:lang w:val="fr-CH"/>
        </w:rPr>
        <w:t>(</w:t>
      </w:r>
      <w:r w:rsidR="00175962" w:rsidRPr="0071782F">
        <w:rPr>
          <w:lang w:val="fr-CH"/>
        </w:rPr>
        <w:t>art</w:t>
      </w:r>
      <w:r w:rsidR="00A5752C">
        <w:rPr>
          <w:lang w:val="fr-CH"/>
        </w:rPr>
        <w:t>.</w:t>
      </w:r>
      <w:r w:rsidR="00943A69" w:rsidRPr="0071782F">
        <w:rPr>
          <w:lang w:val="fr-CH"/>
        </w:rPr>
        <w:t> </w:t>
      </w:r>
      <w:r w:rsidRPr="0071782F">
        <w:rPr>
          <w:lang w:val="fr-CH"/>
        </w:rPr>
        <w:t xml:space="preserve">195 </w:t>
      </w:r>
      <w:r w:rsidR="001119CD" w:rsidRPr="0071782F">
        <w:rPr>
          <w:lang w:val="fr-CH"/>
        </w:rPr>
        <w:t>du Code du travail</w:t>
      </w:r>
      <w:r w:rsidRPr="0071782F">
        <w:rPr>
          <w:lang w:val="fr-CH"/>
        </w:rPr>
        <w:t>)</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146.9.</w:t>
      </w:r>
      <w:r w:rsidRPr="0071782F">
        <w:rPr>
          <w:lang w:val="fr-CH"/>
        </w:rPr>
        <w:tab/>
      </w:r>
      <w:r w:rsidR="001119CD" w:rsidRPr="0071782F">
        <w:rPr>
          <w:lang w:val="fr-CH"/>
        </w:rPr>
        <w:t xml:space="preserve">Loi faisant bénéficier de la sécurité sociale les femmes et les enfants sans tuteur </w:t>
      </w:r>
      <w:r w:rsidRPr="0071782F">
        <w:rPr>
          <w:lang w:val="fr-CH"/>
        </w:rPr>
        <w:t xml:space="preserve">(1992) </w:t>
      </w:r>
      <w:r w:rsidR="001119CD" w:rsidRPr="0071782F">
        <w:rPr>
          <w:lang w:val="fr-CH"/>
        </w:rPr>
        <w:t xml:space="preserve">et son règlement d’exécution adopté par le Conseil des ministres </w:t>
      </w:r>
      <w:r w:rsidRPr="0071782F">
        <w:rPr>
          <w:lang w:val="fr-CH"/>
        </w:rPr>
        <w:t>(1995)</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146.10.</w:t>
      </w:r>
      <w:r w:rsidR="00874AEB" w:rsidRPr="0071782F">
        <w:rPr>
          <w:lang w:val="fr-CH"/>
        </w:rPr>
        <w:t xml:space="preserve"> </w:t>
      </w:r>
      <w:r w:rsidR="001119CD" w:rsidRPr="0071782F">
        <w:rPr>
          <w:lang w:val="fr-CH"/>
        </w:rPr>
        <w:t xml:space="preserve">Politiques sur l’emploi des femmes, adoptées par le </w:t>
      </w:r>
      <w:r w:rsidR="00E84B01" w:rsidRPr="0071782F">
        <w:rPr>
          <w:lang w:val="fr-CH"/>
        </w:rPr>
        <w:t>Haut Conseil culturel de la Révolution</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146.11.</w:t>
      </w:r>
      <w:r w:rsidR="00874AEB" w:rsidRPr="0071782F">
        <w:rPr>
          <w:lang w:val="fr-CH"/>
        </w:rPr>
        <w:t xml:space="preserve"> </w:t>
      </w:r>
      <w:r w:rsidR="001119CD" w:rsidRPr="0071782F">
        <w:rPr>
          <w:lang w:val="fr-CH"/>
        </w:rPr>
        <w:t xml:space="preserve">Loi sur la planification familiale et la régulation du mouvement de la population </w:t>
      </w:r>
      <w:r w:rsidRPr="0071782F">
        <w:rPr>
          <w:lang w:val="fr-CH"/>
        </w:rPr>
        <w:t>(1993)</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146.12.</w:t>
      </w:r>
      <w:r w:rsidR="00874AEB" w:rsidRPr="0071782F">
        <w:rPr>
          <w:lang w:val="fr-CH"/>
        </w:rPr>
        <w:t xml:space="preserve"> </w:t>
      </w:r>
      <w:r w:rsidR="001119CD" w:rsidRPr="0071782F">
        <w:rPr>
          <w:lang w:val="fr-CH"/>
        </w:rPr>
        <w:t>Loi sur l’assurance maladie universelle (</w:t>
      </w:r>
      <w:r w:rsidR="00175962" w:rsidRPr="0071782F">
        <w:rPr>
          <w:lang w:val="fr-CH"/>
        </w:rPr>
        <w:t>art.</w:t>
      </w:r>
      <w:r w:rsidR="00943A69" w:rsidRPr="0071782F">
        <w:rPr>
          <w:lang w:val="fr-CH"/>
        </w:rPr>
        <w:t> </w:t>
      </w:r>
      <w:r w:rsidR="001119CD" w:rsidRPr="0071782F">
        <w:rPr>
          <w:lang w:val="fr-CH"/>
        </w:rPr>
        <w:t xml:space="preserve">14) </w:t>
      </w:r>
      <w:r w:rsidRPr="0071782F">
        <w:rPr>
          <w:lang w:val="fr-CH"/>
        </w:rPr>
        <w:t>(1994)</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146.13.</w:t>
      </w:r>
      <w:r w:rsidR="00874AEB" w:rsidRPr="0071782F">
        <w:rPr>
          <w:lang w:val="fr-CH"/>
        </w:rPr>
        <w:t xml:space="preserve"> </w:t>
      </w:r>
      <w:r w:rsidR="001119CD" w:rsidRPr="0071782F">
        <w:rPr>
          <w:lang w:val="fr-CH"/>
        </w:rPr>
        <w:t>D</w:t>
      </w:r>
      <w:r w:rsidRPr="0071782F">
        <w:rPr>
          <w:lang w:val="fr-CH"/>
        </w:rPr>
        <w:t xml:space="preserve">irective </w:t>
      </w:r>
      <w:r w:rsidR="001119CD" w:rsidRPr="0071782F">
        <w:rPr>
          <w:lang w:val="fr-CH"/>
        </w:rPr>
        <w:t>d’exécution du P</w:t>
      </w:r>
      <w:r w:rsidRPr="0071782F">
        <w:rPr>
          <w:lang w:val="fr-CH"/>
        </w:rPr>
        <w:t xml:space="preserve">lan </w:t>
      </w:r>
      <w:r w:rsidR="001119CD" w:rsidRPr="0071782F">
        <w:rPr>
          <w:lang w:val="fr-CH"/>
        </w:rPr>
        <w:t xml:space="preserve">visant à fournir un appui spécial aux femmes vulnérables vivant en milieu rural </w:t>
      </w:r>
      <w:r w:rsidRPr="0071782F">
        <w:rPr>
          <w:lang w:val="fr-CH"/>
        </w:rPr>
        <w:t>(</w:t>
      </w:r>
      <w:r w:rsidR="001119CD" w:rsidRPr="0071782F">
        <w:rPr>
          <w:lang w:val="fr-CH"/>
        </w:rPr>
        <w:t xml:space="preserve">Plan </w:t>
      </w:r>
      <w:r w:rsidRPr="0071782F">
        <w:rPr>
          <w:lang w:val="fr-CH"/>
        </w:rPr>
        <w:t>Zaynab Kobra</w:t>
      </w:r>
      <w:r w:rsidR="001119CD" w:rsidRPr="0071782F">
        <w:rPr>
          <w:lang w:val="fr-CH"/>
        </w:rPr>
        <w:t>)</w:t>
      </w:r>
      <w:r w:rsidRPr="0071782F">
        <w:rPr>
          <w:lang w:val="fr-CH"/>
        </w:rPr>
        <w:t xml:space="preserve"> (1994)</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146.14.</w:t>
      </w:r>
      <w:r w:rsidR="00874AEB" w:rsidRPr="0071782F">
        <w:rPr>
          <w:lang w:val="fr-CH"/>
        </w:rPr>
        <w:t xml:space="preserve"> </w:t>
      </w:r>
      <w:r w:rsidR="001119CD" w:rsidRPr="0071782F">
        <w:rPr>
          <w:lang w:val="fr-CH"/>
        </w:rPr>
        <w:t>D</w:t>
      </w:r>
      <w:r w:rsidRPr="0071782F">
        <w:rPr>
          <w:lang w:val="fr-CH"/>
        </w:rPr>
        <w:t xml:space="preserve">irective </w:t>
      </w:r>
      <w:r w:rsidR="001119CD" w:rsidRPr="0071782F">
        <w:rPr>
          <w:lang w:val="fr-CH"/>
        </w:rPr>
        <w:t xml:space="preserve">sur la prestation d’un appui </w:t>
      </w:r>
      <w:r w:rsidR="00175962" w:rsidRPr="0071782F">
        <w:rPr>
          <w:lang w:val="fr-CH"/>
        </w:rPr>
        <w:t>aux personnes</w:t>
      </w:r>
      <w:r w:rsidR="001119CD" w:rsidRPr="0071782F">
        <w:rPr>
          <w:lang w:val="fr-CH"/>
        </w:rPr>
        <w:t xml:space="preserve"> pauvres et </w:t>
      </w:r>
      <w:r w:rsidR="00A234E8" w:rsidRPr="0071782F">
        <w:rPr>
          <w:lang w:val="fr-CH"/>
        </w:rPr>
        <w:t>aux familles</w:t>
      </w:r>
      <w:r w:rsidR="001119CD" w:rsidRPr="0071782F">
        <w:rPr>
          <w:lang w:val="fr-CH"/>
        </w:rPr>
        <w:t xml:space="preserve"> sans tuteur adoptée par l’Organisme public de protection sociale</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146.15.</w:t>
      </w:r>
      <w:r w:rsidR="00874AEB" w:rsidRPr="0071782F">
        <w:rPr>
          <w:lang w:val="fr-CH"/>
        </w:rPr>
        <w:t xml:space="preserve"> </w:t>
      </w:r>
      <w:r w:rsidR="001119CD" w:rsidRPr="0071782F">
        <w:rPr>
          <w:lang w:val="fr-CH"/>
        </w:rPr>
        <w:t xml:space="preserve">Directive d’exécution sur les centres d’appui et de réadaptation des filles et des femmes courant le risque de subir un préjudice social grave ou victimes d’un préjudice social </w:t>
      </w:r>
      <w:r w:rsidRPr="0071782F">
        <w:rPr>
          <w:lang w:val="fr-CH"/>
        </w:rPr>
        <w:t>(program</w:t>
      </w:r>
      <w:r w:rsidR="001119CD" w:rsidRPr="0071782F">
        <w:rPr>
          <w:lang w:val="fr-CH"/>
        </w:rPr>
        <w:t>me spécial</w:t>
      </w:r>
      <w:r w:rsidRPr="0071782F">
        <w:rPr>
          <w:lang w:val="fr-CH"/>
        </w:rPr>
        <w:t>)</w:t>
      </w:r>
      <w:r w:rsidR="001119CD" w:rsidRPr="0071782F">
        <w:rPr>
          <w:lang w:val="fr-CH"/>
        </w:rPr>
        <w:t>,</w:t>
      </w:r>
      <w:r w:rsidRPr="0071782F">
        <w:rPr>
          <w:lang w:val="fr-CH"/>
        </w:rPr>
        <w:t xml:space="preserve"> a</w:t>
      </w:r>
      <w:r w:rsidR="001119CD" w:rsidRPr="0071782F">
        <w:rPr>
          <w:lang w:val="fr-CH"/>
        </w:rPr>
        <w:t xml:space="preserve">doptée par l’Organisme public de protection sociale </w:t>
      </w:r>
      <w:r w:rsidRPr="0071782F">
        <w:rPr>
          <w:lang w:val="fr-CH"/>
        </w:rPr>
        <w:t>(1997)</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146.16.</w:t>
      </w:r>
      <w:r w:rsidR="00874AEB" w:rsidRPr="0071782F">
        <w:rPr>
          <w:lang w:val="fr-CH"/>
        </w:rPr>
        <w:t xml:space="preserve"> </w:t>
      </w:r>
      <w:r w:rsidR="001119CD" w:rsidRPr="0071782F">
        <w:rPr>
          <w:lang w:val="fr-CH"/>
        </w:rPr>
        <w:t>Loi sur la structure d’un système intégré de protection et de sécurité sociales (</w:t>
      </w:r>
      <w:r w:rsidR="00A234E8" w:rsidRPr="0071782F">
        <w:rPr>
          <w:lang w:val="fr-CH"/>
        </w:rPr>
        <w:t>art.</w:t>
      </w:r>
      <w:r w:rsidR="00723F2B" w:rsidRPr="0071782F">
        <w:rPr>
          <w:lang w:val="fr-CH"/>
        </w:rPr>
        <w:t> </w:t>
      </w:r>
      <w:r w:rsidR="001119CD" w:rsidRPr="0071782F">
        <w:rPr>
          <w:lang w:val="fr-CH"/>
        </w:rPr>
        <w:t xml:space="preserve">1, 2, 3, 4, 18, 19) </w:t>
      </w:r>
      <w:r w:rsidRPr="0071782F">
        <w:rPr>
          <w:lang w:val="fr-CH"/>
        </w:rPr>
        <w:t>(2004)</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146.17.</w:t>
      </w:r>
      <w:r w:rsidR="00874AEB" w:rsidRPr="0071782F">
        <w:rPr>
          <w:lang w:val="fr-CH"/>
        </w:rPr>
        <w:t xml:space="preserve"> </w:t>
      </w:r>
      <w:r w:rsidR="001119CD" w:rsidRPr="0071782F">
        <w:rPr>
          <w:lang w:val="fr-CH"/>
        </w:rPr>
        <w:t xml:space="preserve">Règlement d’exécution concernant les questions liées au mariage entre jeunes, adopté par le Conseil des ministres </w:t>
      </w:r>
      <w:r w:rsidRPr="0071782F">
        <w:rPr>
          <w:lang w:val="fr-CH"/>
        </w:rPr>
        <w:t>(2004)</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146.18.</w:t>
      </w:r>
      <w:r w:rsidR="00874AEB" w:rsidRPr="0071782F">
        <w:rPr>
          <w:lang w:val="fr-CH"/>
        </w:rPr>
        <w:t xml:space="preserve"> </w:t>
      </w:r>
      <w:r w:rsidR="001119CD" w:rsidRPr="0071782F">
        <w:rPr>
          <w:lang w:val="fr-CH"/>
        </w:rPr>
        <w:t xml:space="preserve">Règlement concernant l’extension de la couverture du système de protection sociale, adopté par le Conseil des ministres </w:t>
      </w:r>
      <w:r w:rsidR="00A234E8" w:rsidRPr="0071782F">
        <w:rPr>
          <w:lang w:val="fr-CH"/>
        </w:rPr>
        <w:t>(art. </w:t>
      </w:r>
      <w:r w:rsidRPr="0071782F">
        <w:rPr>
          <w:lang w:val="fr-CH"/>
        </w:rPr>
        <w:t>1, 2, 3) (2005)</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146.19.</w:t>
      </w:r>
      <w:r w:rsidR="00874AEB" w:rsidRPr="0071782F">
        <w:rPr>
          <w:lang w:val="fr-CH"/>
        </w:rPr>
        <w:t xml:space="preserve"> </w:t>
      </w:r>
      <w:r w:rsidR="001119CD" w:rsidRPr="0071782F">
        <w:rPr>
          <w:lang w:val="fr-CH"/>
        </w:rPr>
        <w:t xml:space="preserve">Loi sur la </w:t>
      </w:r>
      <w:r w:rsidRPr="0071782F">
        <w:rPr>
          <w:lang w:val="fr-CH"/>
        </w:rPr>
        <w:t xml:space="preserve">facilitation </w:t>
      </w:r>
      <w:r w:rsidR="001119CD" w:rsidRPr="0071782F">
        <w:rPr>
          <w:lang w:val="fr-CH"/>
        </w:rPr>
        <w:t xml:space="preserve">du mariage entre jeunes </w:t>
      </w:r>
      <w:r w:rsidRPr="0071782F">
        <w:rPr>
          <w:lang w:val="fr-CH"/>
        </w:rPr>
        <w:t>(2005)</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146.20.</w:t>
      </w:r>
      <w:r w:rsidR="00874AEB" w:rsidRPr="0071782F">
        <w:rPr>
          <w:lang w:val="fr-CH"/>
        </w:rPr>
        <w:t xml:space="preserve"> </w:t>
      </w:r>
      <w:r w:rsidR="001119CD" w:rsidRPr="0071782F">
        <w:rPr>
          <w:lang w:val="fr-CH"/>
        </w:rPr>
        <w:t xml:space="preserve">Règlement concernant l’octroi de crédits sans intérêts aux locataires à faible revenu adopté par le Conseil des ministres </w:t>
      </w:r>
      <w:r w:rsidR="00A234E8" w:rsidRPr="0071782F">
        <w:rPr>
          <w:lang w:val="fr-CH"/>
        </w:rPr>
        <w:t>(art. </w:t>
      </w:r>
      <w:r w:rsidR="001119CD" w:rsidRPr="0071782F">
        <w:rPr>
          <w:lang w:val="fr-CH"/>
        </w:rPr>
        <w:t>20)</w:t>
      </w:r>
      <w:r w:rsidRPr="0071782F">
        <w:rPr>
          <w:lang w:val="fr-CH"/>
        </w:rPr>
        <w:t xml:space="preserve"> (2005)</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146.21.</w:t>
      </w:r>
      <w:r w:rsidR="00874AEB" w:rsidRPr="0071782F">
        <w:rPr>
          <w:lang w:val="fr-CH"/>
        </w:rPr>
        <w:t xml:space="preserve"> </w:t>
      </w:r>
      <w:r w:rsidR="001119CD" w:rsidRPr="0071782F">
        <w:rPr>
          <w:lang w:val="fr-CH"/>
        </w:rPr>
        <w:t>Loi sur l’</w:t>
      </w:r>
      <w:r w:rsidRPr="0071782F">
        <w:rPr>
          <w:lang w:val="fr-CH"/>
        </w:rPr>
        <w:t xml:space="preserve">allocation </w:t>
      </w:r>
      <w:r w:rsidR="001119CD" w:rsidRPr="0071782F">
        <w:rPr>
          <w:lang w:val="fr-CH"/>
        </w:rPr>
        <w:t xml:space="preserve">de crédits à l’appui du mariage d’étudiants </w:t>
      </w:r>
      <w:r w:rsidRPr="0071782F">
        <w:rPr>
          <w:lang w:val="fr-CH"/>
        </w:rPr>
        <w:t>(2007)</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146.22.</w:t>
      </w:r>
      <w:r w:rsidR="00874AEB" w:rsidRPr="0071782F">
        <w:rPr>
          <w:lang w:val="fr-CH"/>
        </w:rPr>
        <w:t xml:space="preserve"> </w:t>
      </w:r>
      <w:r w:rsidR="001119CD" w:rsidRPr="0071782F">
        <w:rPr>
          <w:lang w:val="fr-CH"/>
        </w:rPr>
        <w:t xml:space="preserve">Loi sur l’augmentation du montant mensuel de la pension des retraités, </w:t>
      </w:r>
      <w:r w:rsidR="007F37CE" w:rsidRPr="0071782F">
        <w:rPr>
          <w:lang w:val="fr-CH"/>
        </w:rPr>
        <w:t>des personnes</w:t>
      </w:r>
      <w:r w:rsidR="001119CD" w:rsidRPr="0071782F">
        <w:rPr>
          <w:lang w:val="fr-CH"/>
        </w:rPr>
        <w:t xml:space="preserve"> touchant un autre type de pension et des handicapés </w:t>
      </w:r>
      <w:r w:rsidRPr="0071782F">
        <w:rPr>
          <w:lang w:val="fr-CH"/>
        </w:rPr>
        <w:t>(2007)</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146.23.</w:t>
      </w:r>
      <w:r w:rsidR="00874AEB" w:rsidRPr="0071782F">
        <w:rPr>
          <w:lang w:val="fr-CH"/>
        </w:rPr>
        <w:t xml:space="preserve"> </w:t>
      </w:r>
      <w:r w:rsidR="00FB5FD4" w:rsidRPr="0071782F">
        <w:rPr>
          <w:lang w:val="fr-CH"/>
        </w:rPr>
        <w:t xml:space="preserve">Loi sur le paiement de pensions aux enfants de femmes décédées couvertes par la loi sur la sécurité sociale et les autres fonds de pension </w:t>
      </w:r>
      <w:r w:rsidRPr="0071782F">
        <w:rPr>
          <w:lang w:val="fr-CH"/>
        </w:rPr>
        <w:t>(2007)</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146.24.</w:t>
      </w:r>
      <w:r w:rsidR="00874AEB" w:rsidRPr="0071782F">
        <w:rPr>
          <w:lang w:val="fr-CH"/>
        </w:rPr>
        <w:t xml:space="preserve"> </w:t>
      </w:r>
      <w:r w:rsidR="00FB5FD4" w:rsidRPr="0071782F">
        <w:rPr>
          <w:lang w:val="fr-CH"/>
        </w:rPr>
        <w:t xml:space="preserve">Loi sur le règlement du problème de logement de certains segments de la société </w:t>
      </w:r>
      <w:r w:rsidRPr="0071782F">
        <w:rPr>
          <w:lang w:val="fr-CH"/>
        </w:rPr>
        <w:t>(famil</w:t>
      </w:r>
      <w:r w:rsidR="00FB5FD4" w:rsidRPr="0071782F">
        <w:rPr>
          <w:lang w:val="fr-CH"/>
        </w:rPr>
        <w:t>l</w:t>
      </w:r>
      <w:r w:rsidRPr="0071782F">
        <w:rPr>
          <w:lang w:val="fr-CH"/>
        </w:rPr>
        <w:t xml:space="preserve">es </w:t>
      </w:r>
      <w:r w:rsidR="00FB5FD4" w:rsidRPr="0071782F">
        <w:rPr>
          <w:lang w:val="fr-CH"/>
        </w:rPr>
        <w:t xml:space="preserve">des </w:t>
      </w:r>
      <w:r w:rsidRPr="0071782F">
        <w:rPr>
          <w:lang w:val="fr-CH"/>
        </w:rPr>
        <w:t>martyrs</w:t>
      </w:r>
      <w:r w:rsidR="00FB5FD4" w:rsidRPr="0071782F">
        <w:rPr>
          <w:lang w:val="fr-CH"/>
        </w:rPr>
        <w:t xml:space="preserve"> de la guerre</w:t>
      </w:r>
      <w:r w:rsidRPr="0071782F">
        <w:rPr>
          <w:lang w:val="fr-CH"/>
        </w:rPr>
        <w:t xml:space="preserve">, </w:t>
      </w:r>
      <w:r w:rsidR="00FB5FD4" w:rsidRPr="0071782F">
        <w:rPr>
          <w:lang w:val="fr-CH"/>
        </w:rPr>
        <w:t>invalides de guerre dont le degré d’invalidité est égal ou supérieur à 20</w:t>
      </w:r>
      <w:r w:rsidR="007E5125" w:rsidRPr="0071782F">
        <w:rPr>
          <w:lang w:val="fr-CH"/>
        </w:rPr>
        <w:t>%</w:t>
      </w:r>
      <w:r w:rsidRPr="0071782F">
        <w:rPr>
          <w:lang w:val="fr-CH"/>
        </w:rPr>
        <w:t xml:space="preserve"> </w:t>
      </w:r>
      <w:r w:rsidR="00FB5FD4" w:rsidRPr="0071782F">
        <w:rPr>
          <w:lang w:val="fr-CH"/>
        </w:rPr>
        <w:t>et anciens combattants</w:t>
      </w:r>
      <w:r w:rsidRPr="0071782F">
        <w:rPr>
          <w:lang w:val="fr-CH"/>
        </w:rPr>
        <w:t xml:space="preserve">) </w:t>
      </w:r>
      <w:r w:rsidR="00FB5FD4" w:rsidRPr="0071782F">
        <w:rPr>
          <w:lang w:val="fr-CH"/>
        </w:rPr>
        <w:t xml:space="preserve">dans la province de </w:t>
      </w:r>
      <w:r w:rsidRPr="0071782F">
        <w:rPr>
          <w:lang w:val="fr-CH"/>
        </w:rPr>
        <w:t>Kermanshah (2007)</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146.25.</w:t>
      </w:r>
      <w:r w:rsidR="00874AEB" w:rsidRPr="0071782F">
        <w:rPr>
          <w:lang w:val="fr-CH"/>
        </w:rPr>
        <w:t xml:space="preserve"> </w:t>
      </w:r>
      <w:r w:rsidR="00FB5FD4" w:rsidRPr="0071782F">
        <w:rPr>
          <w:lang w:val="fr-CH"/>
        </w:rPr>
        <w:t>Loi sur l’</w:t>
      </w:r>
      <w:r w:rsidRPr="0071782F">
        <w:rPr>
          <w:lang w:val="fr-CH"/>
        </w:rPr>
        <w:t xml:space="preserve">allocation </w:t>
      </w:r>
      <w:r w:rsidR="00FB5FD4" w:rsidRPr="0071782F">
        <w:rPr>
          <w:lang w:val="fr-CH"/>
        </w:rPr>
        <w:t>de</w:t>
      </w:r>
      <w:r w:rsidRPr="0071782F">
        <w:rPr>
          <w:lang w:val="fr-CH"/>
        </w:rPr>
        <w:t xml:space="preserve"> cr</w:t>
      </w:r>
      <w:r w:rsidR="00FB5FD4" w:rsidRPr="0071782F">
        <w:rPr>
          <w:lang w:val="fr-CH"/>
        </w:rPr>
        <w:t>é</w:t>
      </w:r>
      <w:r w:rsidRPr="0071782F">
        <w:rPr>
          <w:lang w:val="fr-CH"/>
        </w:rPr>
        <w:t xml:space="preserve">dits </w:t>
      </w:r>
      <w:r w:rsidR="00FB5FD4" w:rsidRPr="0071782F">
        <w:rPr>
          <w:lang w:val="fr-CH"/>
        </w:rPr>
        <w:t xml:space="preserve">pour les handicapés et les femmes chefs </w:t>
      </w:r>
      <w:r w:rsidR="0092511D" w:rsidRPr="0071782F">
        <w:rPr>
          <w:lang w:val="fr-CH"/>
        </w:rPr>
        <w:t>de famille</w:t>
      </w:r>
      <w:r w:rsidR="00FB5FD4" w:rsidRPr="0071782F">
        <w:rPr>
          <w:lang w:val="fr-CH"/>
        </w:rPr>
        <w:t xml:space="preserve"> qui attendent de bénéficier des </w:t>
      </w:r>
      <w:r w:rsidRPr="0071782F">
        <w:rPr>
          <w:lang w:val="fr-CH"/>
        </w:rPr>
        <w:t xml:space="preserve">services </w:t>
      </w:r>
      <w:r w:rsidR="00FB5FD4" w:rsidRPr="0071782F">
        <w:rPr>
          <w:lang w:val="fr-CH"/>
        </w:rPr>
        <w:t xml:space="preserve">de l’Organisme public de protection sociale </w:t>
      </w:r>
      <w:r w:rsidRPr="0071782F">
        <w:rPr>
          <w:lang w:val="fr-CH"/>
        </w:rPr>
        <w:t>(2007)</w:t>
      </w:r>
      <w:r w:rsidR="00874AEB" w:rsidRPr="0071782F">
        <w:rPr>
          <w:lang w:val="fr-CH"/>
        </w:rPr>
        <w:t>.</w:t>
      </w:r>
    </w:p>
    <w:p w:rsidR="00DD2B20" w:rsidRPr="0071782F" w:rsidRDefault="00DD2B20" w:rsidP="00DD2B20">
      <w:pPr>
        <w:pStyle w:val="SingleTxtG"/>
        <w:ind w:left="1701" w:hanging="567"/>
        <w:rPr>
          <w:lang w:val="fr-CH"/>
        </w:rPr>
      </w:pPr>
      <w:r w:rsidRPr="0071782F">
        <w:rPr>
          <w:lang w:val="fr-CH"/>
        </w:rPr>
        <w:tab/>
        <w:t>146.26.</w:t>
      </w:r>
      <w:r w:rsidR="00874AEB" w:rsidRPr="0071782F">
        <w:rPr>
          <w:lang w:val="fr-CH"/>
        </w:rPr>
        <w:t xml:space="preserve"> </w:t>
      </w:r>
      <w:r w:rsidR="00FB5FD4" w:rsidRPr="0071782F">
        <w:rPr>
          <w:lang w:val="fr-CH"/>
        </w:rPr>
        <w:t xml:space="preserve">Loi sur l’extension aux handicapés et aux femmes chefs </w:t>
      </w:r>
      <w:r w:rsidR="0092511D" w:rsidRPr="0071782F">
        <w:rPr>
          <w:lang w:val="fr-CH"/>
        </w:rPr>
        <w:t>de famille</w:t>
      </w:r>
      <w:r w:rsidR="00FB5FD4" w:rsidRPr="0071782F">
        <w:rPr>
          <w:lang w:val="fr-CH"/>
        </w:rPr>
        <w:t xml:space="preserve"> du bénéfice des services de secours et de réadaptation assurés par l’Organisme public de protection sociale </w:t>
      </w:r>
      <w:r w:rsidRPr="0071782F">
        <w:rPr>
          <w:lang w:val="fr-CH"/>
        </w:rPr>
        <w:t>(2008)</w:t>
      </w:r>
      <w:r w:rsidR="00874AEB" w:rsidRPr="0071782F">
        <w:rPr>
          <w:lang w:val="fr-CH"/>
        </w:rPr>
        <w:t>.</w:t>
      </w:r>
    </w:p>
    <w:p w:rsidR="009F7C7F" w:rsidRPr="0071782F" w:rsidRDefault="009F7C7F" w:rsidP="00496C06">
      <w:pPr>
        <w:pStyle w:val="SingleTxtG"/>
        <w:ind w:left="1701"/>
        <w:rPr>
          <w:lang w:val="fr-CH"/>
        </w:rPr>
      </w:pPr>
      <w:r w:rsidRPr="0071782F">
        <w:rPr>
          <w:lang w:val="fr-CH"/>
        </w:rPr>
        <w:t>146.27</w:t>
      </w:r>
      <w:r w:rsidR="00C64DB1" w:rsidRPr="0071782F">
        <w:rPr>
          <w:lang w:val="fr-CH"/>
        </w:rPr>
        <w:t>.</w:t>
      </w:r>
      <w:r w:rsidRPr="0071782F">
        <w:rPr>
          <w:lang w:val="fr-CH"/>
        </w:rPr>
        <w:t xml:space="preserve"> </w:t>
      </w:r>
      <w:r w:rsidR="00FB5FD4" w:rsidRPr="0071782F">
        <w:rPr>
          <w:lang w:val="fr-CH"/>
        </w:rPr>
        <w:t xml:space="preserve">Loi sur la déduction de </w:t>
      </w:r>
      <w:r w:rsidRPr="0071782F">
        <w:rPr>
          <w:lang w:val="fr-CH"/>
        </w:rPr>
        <w:t>50</w:t>
      </w:r>
      <w:r w:rsidR="007E5125" w:rsidRPr="0071782F">
        <w:rPr>
          <w:lang w:val="fr-CH"/>
        </w:rPr>
        <w:t>%</w:t>
      </w:r>
      <w:r w:rsidRPr="0071782F">
        <w:rPr>
          <w:lang w:val="fr-CH"/>
        </w:rPr>
        <w:t xml:space="preserve"> </w:t>
      </w:r>
      <w:r w:rsidR="00FB5FD4" w:rsidRPr="0071782F">
        <w:rPr>
          <w:lang w:val="fr-CH"/>
        </w:rPr>
        <w:t xml:space="preserve">des cotisations sociales des employeurs qui recrutent des femmes chefs </w:t>
      </w:r>
      <w:r w:rsidR="0092511D" w:rsidRPr="0071782F">
        <w:rPr>
          <w:lang w:val="fr-CH"/>
        </w:rPr>
        <w:t>de famille</w:t>
      </w:r>
      <w:r w:rsidR="00FB5FD4" w:rsidRPr="0071782F">
        <w:rPr>
          <w:lang w:val="fr-CH"/>
        </w:rPr>
        <w:t xml:space="preserve"> dans le secteur privé </w:t>
      </w:r>
      <w:r w:rsidRPr="0071782F">
        <w:rPr>
          <w:lang w:val="fr-CH"/>
        </w:rPr>
        <w:t>(2008).</w:t>
      </w:r>
    </w:p>
    <w:p w:rsidR="009F7C7F" w:rsidRPr="0071782F" w:rsidRDefault="009F7C7F" w:rsidP="00496C06">
      <w:pPr>
        <w:pStyle w:val="H23G"/>
        <w:rPr>
          <w:lang w:val="fr-CH"/>
        </w:rPr>
      </w:pPr>
      <w:r w:rsidRPr="0071782F">
        <w:rPr>
          <w:lang w:val="fr-CH"/>
        </w:rPr>
        <w:tab/>
      </w:r>
      <w:r w:rsidRPr="0071782F">
        <w:rPr>
          <w:lang w:val="fr-CH"/>
        </w:rPr>
        <w:tab/>
      </w:r>
      <w:r w:rsidR="00FB5FD4" w:rsidRPr="0071782F">
        <w:rPr>
          <w:lang w:val="fr-CH"/>
        </w:rPr>
        <w:t xml:space="preserve">Règles et règlements relatifs aux questions culturelles </w:t>
      </w:r>
    </w:p>
    <w:p w:rsidR="009F7C7F" w:rsidRPr="0071782F" w:rsidRDefault="009F7C7F" w:rsidP="00496C06">
      <w:pPr>
        <w:pStyle w:val="SingleTxtG"/>
        <w:rPr>
          <w:lang w:val="fr-CH"/>
        </w:rPr>
      </w:pPr>
      <w:r w:rsidRPr="0071782F">
        <w:rPr>
          <w:lang w:val="fr-CH"/>
        </w:rPr>
        <w:t>147.</w:t>
      </w:r>
      <w:r w:rsidRPr="0071782F">
        <w:rPr>
          <w:lang w:val="fr-CH"/>
        </w:rPr>
        <w:tab/>
      </w:r>
      <w:r w:rsidR="00750B2E" w:rsidRPr="0071782F">
        <w:rPr>
          <w:lang w:val="fr-CH"/>
        </w:rPr>
        <w:t>Il s’agit notamment des instruments suivants</w:t>
      </w:r>
      <w:r w:rsidR="008F7D33" w:rsidRPr="0071782F">
        <w:rPr>
          <w:lang w:val="fr-CH"/>
        </w:rPr>
        <w:t>:</w:t>
      </w:r>
    </w:p>
    <w:p w:rsidR="009F7C7F" w:rsidRPr="0071782F" w:rsidRDefault="009F7C7F" w:rsidP="00496C06">
      <w:pPr>
        <w:pStyle w:val="SingleTxtG"/>
        <w:ind w:left="1701"/>
        <w:rPr>
          <w:lang w:val="fr-CH"/>
        </w:rPr>
      </w:pPr>
      <w:r w:rsidRPr="0071782F">
        <w:rPr>
          <w:lang w:val="fr-CH"/>
        </w:rPr>
        <w:t>147.1</w:t>
      </w:r>
      <w:r w:rsidR="00C64DB1" w:rsidRPr="0071782F">
        <w:rPr>
          <w:lang w:val="fr-CH"/>
        </w:rPr>
        <w:t>.</w:t>
      </w:r>
      <w:r w:rsidRPr="0071782F">
        <w:rPr>
          <w:lang w:val="fr-CH"/>
        </w:rPr>
        <w:tab/>
      </w:r>
      <w:r w:rsidR="00FB5FD4" w:rsidRPr="0071782F">
        <w:rPr>
          <w:lang w:val="fr-CH"/>
        </w:rPr>
        <w:t xml:space="preserve">Loi portant création du Conseil de coordination et de formulation de politiques concernant les questions sociales et culturelles intéressant les femmes, adoptée par </w:t>
      </w:r>
      <w:r w:rsidRPr="0071782F">
        <w:rPr>
          <w:lang w:val="fr-CH"/>
        </w:rPr>
        <w:t>l</w:t>
      </w:r>
      <w:r w:rsidR="00FB5FD4" w:rsidRPr="0071782F">
        <w:rPr>
          <w:lang w:val="fr-CH"/>
        </w:rPr>
        <w:t xml:space="preserve">e </w:t>
      </w:r>
      <w:r w:rsidR="00E84B01" w:rsidRPr="0071782F">
        <w:rPr>
          <w:lang w:val="fr-CH"/>
        </w:rPr>
        <w:t>Haut Conseil culturel de la Révolution</w:t>
      </w:r>
      <w:r w:rsidR="00FB5FD4" w:rsidRPr="0071782F">
        <w:rPr>
          <w:lang w:val="fr-CH"/>
        </w:rPr>
        <w:t xml:space="preserve"> </w:t>
      </w:r>
      <w:r w:rsidRPr="0071782F">
        <w:rPr>
          <w:lang w:val="fr-CH"/>
        </w:rPr>
        <w:t>(1987).</w:t>
      </w:r>
    </w:p>
    <w:p w:rsidR="009F7C7F" w:rsidRPr="0071782F" w:rsidRDefault="009F7C7F" w:rsidP="00496C06">
      <w:pPr>
        <w:pStyle w:val="SingleTxtG"/>
        <w:ind w:left="1701"/>
        <w:rPr>
          <w:lang w:val="fr-CH"/>
        </w:rPr>
      </w:pPr>
      <w:r w:rsidRPr="0071782F">
        <w:rPr>
          <w:lang w:val="fr-CH"/>
        </w:rPr>
        <w:t>147.2</w:t>
      </w:r>
      <w:r w:rsidR="00C64DB1" w:rsidRPr="0071782F">
        <w:rPr>
          <w:lang w:val="fr-CH"/>
        </w:rPr>
        <w:t>.</w:t>
      </w:r>
      <w:r w:rsidRPr="0071782F">
        <w:rPr>
          <w:lang w:val="fr-CH"/>
        </w:rPr>
        <w:tab/>
      </w:r>
      <w:r w:rsidR="00FB5FD4" w:rsidRPr="0071782F">
        <w:rPr>
          <w:lang w:val="fr-CH"/>
        </w:rPr>
        <w:t xml:space="preserve">Règlement concernant les activités </w:t>
      </w:r>
      <w:r w:rsidR="004C673D" w:rsidRPr="0071782F">
        <w:rPr>
          <w:lang w:val="fr-CH"/>
        </w:rPr>
        <w:t xml:space="preserve">du Conseil social et culturel pour les femmes, adopté par </w:t>
      </w:r>
      <w:r w:rsidR="00E84B01" w:rsidRPr="0071782F">
        <w:rPr>
          <w:lang w:val="fr-CH"/>
        </w:rPr>
        <w:t>Haut Conseil culturel de la Révolution</w:t>
      </w:r>
      <w:r w:rsidR="004C673D" w:rsidRPr="0071782F">
        <w:rPr>
          <w:lang w:val="fr-CH"/>
        </w:rPr>
        <w:t xml:space="preserve"> </w:t>
      </w:r>
      <w:r w:rsidRPr="0071782F">
        <w:rPr>
          <w:lang w:val="fr-CH"/>
        </w:rPr>
        <w:t>(1997).</w:t>
      </w:r>
    </w:p>
    <w:p w:rsidR="009F7C7F" w:rsidRPr="0071782F" w:rsidRDefault="009F7C7F" w:rsidP="00496C06">
      <w:pPr>
        <w:pStyle w:val="SingleTxtG"/>
        <w:ind w:left="1701"/>
        <w:rPr>
          <w:lang w:val="fr-CH"/>
        </w:rPr>
      </w:pPr>
      <w:r w:rsidRPr="0071782F">
        <w:rPr>
          <w:lang w:val="fr-CH"/>
        </w:rPr>
        <w:t>147.3</w:t>
      </w:r>
      <w:r w:rsidR="00C64DB1" w:rsidRPr="0071782F">
        <w:rPr>
          <w:lang w:val="fr-CH"/>
        </w:rPr>
        <w:t>.</w:t>
      </w:r>
      <w:r w:rsidRPr="0071782F">
        <w:rPr>
          <w:lang w:val="fr-CH"/>
        </w:rPr>
        <w:tab/>
      </w:r>
      <w:r w:rsidR="004C673D" w:rsidRPr="0071782F">
        <w:rPr>
          <w:lang w:val="fr-CH"/>
        </w:rPr>
        <w:t xml:space="preserve">Politiques culturelles et sociales relatives aux activités sportives des femmes, </w:t>
      </w:r>
      <w:r w:rsidRPr="0071782F">
        <w:rPr>
          <w:lang w:val="fr-CH"/>
        </w:rPr>
        <w:t>a</w:t>
      </w:r>
      <w:r w:rsidR="004C673D" w:rsidRPr="0071782F">
        <w:rPr>
          <w:lang w:val="fr-CH"/>
        </w:rPr>
        <w:t xml:space="preserve">doptées par le </w:t>
      </w:r>
      <w:r w:rsidR="00E84B01" w:rsidRPr="0071782F">
        <w:rPr>
          <w:lang w:val="fr-CH"/>
        </w:rPr>
        <w:t>Haut Conseil culturel de la Révolution</w:t>
      </w:r>
      <w:r w:rsidR="004C673D" w:rsidRPr="0071782F">
        <w:rPr>
          <w:lang w:val="fr-CH"/>
        </w:rPr>
        <w:t xml:space="preserve"> </w:t>
      </w:r>
      <w:r w:rsidRPr="0071782F">
        <w:rPr>
          <w:lang w:val="fr-CH"/>
        </w:rPr>
        <w:t>(1997).</w:t>
      </w:r>
    </w:p>
    <w:p w:rsidR="009F7C7F" w:rsidRPr="0071782F" w:rsidRDefault="009F7C7F" w:rsidP="00496C06">
      <w:pPr>
        <w:pStyle w:val="SingleTxtG"/>
        <w:ind w:left="1701"/>
        <w:rPr>
          <w:lang w:val="fr-CH"/>
        </w:rPr>
      </w:pPr>
      <w:r w:rsidRPr="0071782F">
        <w:rPr>
          <w:lang w:val="fr-CH"/>
        </w:rPr>
        <w:t>147.4</w:t>
      </w:r>
      <w:r w:rsidR="00C64DB1" w:rsidRPr="0071782F">
        <w:rPr>
          <w:lang w:val="fr-CH"/>
        </w:rPr>
        <w:t>.</w:t>
      </w:r>
      <w:r w:rsidRPr="0071782F">
        <w:rPr>
          <w:lang w:val="fr-CH"/>
        </w:rPr>
        <w:tab/>
      </w:r>
      <w:r w:rsidR="004C673D" w:rsidRPr="0071782F">
        <w:rPr>
          <w:lang w:val="fr-CH"/>
        </w:rPr>
        <w:t>D</w:t>
      </w:r>
      <w:r w:rsidRPr="0071782F">
        <w:rPr>
          <w:lang w:val="fr-CH"/>
        </w:rPr>
        <w:t xml:space="preserve">irective </w:t>
      </w:r>
      <w:r w:rsidR="004C673D" w:rsidRPr="0071782F">
        <w:rPr>
          <w:lang w:val="fr-CH"/>
        </w:rPr>
        <w:t xml:space="preserve">sur le développement et la </w:t>
      </w:r>
      <w:r w:rsidRPr="0071782F">
        <w:rPr>
          <w:lang w:val="fr-CH"/>
        </w:rPr>
        <w:t xml:space="preserve">promotion </w:t>
      </w:r>
      <w:r w:rsidR="004C673D" w:rsidRPr="0071782F">
        <w:rPr>
          <w:lang w:val="fr-CH"/>
        </w:rPr>
        <w:t>des activité</w:t>
      </w:r>
      <w:r w:rsidRPr="0071782F">
        <w:rPr>
          <w:lang w:val="fr-CH"/>
        </w:rPr>
        <w:t xml:space="preserve">s </w:t>
      </w:r>
      <w:r w:rsidR="004C673D" w:rsidRPr="0071782F">
        <w:rPr>
          <w:lang w:val="fr-CH"/>
        </w:rPr>
        <w:t xml:space="preserve">sportives des fonctionnaires, adoptée par le </w:t>
      </w:r>
      <w:r w:rsidRPr="0071782F">
        <w:rPr>
          <w:lang w:val="fr-CH"/>
        </w:rPr>
        <w:t>Co</w:t>
      </w:r>
      <w:r w:rsidR="004C673D" w:rsidRPr="0071782F">
        <w:rPr>
          <w:lang w:val="fr-CH"/>
        </w:rPr>
        <w:t xml:space="preserve">nseil des ministres </w:t>
      </w:r>
      <w:r w:rsidR="00A234E8" w:rsidRPr="0071782F">
        <w:rPr>
          <w:lang w:val="fr-CH"/>
        </w:rPr>
        <w:t>(art. </w:t>
      </w:r>
      <w:r w:rsidRPr="0071782F">
        <w:rPr>
          <w:lang w:val="fr-CH"/>
        </w:rPr>
        <w:t>2, 5, 7) (1997).</w:t>
      </w:r>
    </w:p>
    <w:p w:rsidR="009F7C7F" w:rsidRPr="0071782F" w:rsidRDefault="009F7C7F" w:rsidP="00496C06">
      <w:pPr>
        <w:pStyle w:val="SingleTxtG"/>
        <w:ind w:left="1701"/>
        <w:rPr>
          <w:lang w:val="fr-CH"/>
        </w:rPr>
      </w:pPr>
      <w:r w:rsidRPr="0071782F">
        <w:rPr>
          <w:lang w:val="fr-CH"/>
        </w:rPr>
        <w:t>147.5</w:t>
      </w:r>
      <w:r w:rsidR="00C64DB1" w:rsidRPr="0071782F">
        <w:rPr>
          <w:lang w:val="fr-CH"/>
        </w:rPr>
        <w:t>.</w:t>
      </w:r>
      <w:r w:rsidRPr="0071782F">
        <w:rPr>
          <w:lang w:val="fr-CH"/>
        </w:rPr>
        <w:tab/>
      </w:r>
      <w:r w:rsidR="004C673D" w:rsidRPr="0071782F">
        <w:rPr>
          <w:lang w:val="fr-CH"/>
        </w:rPr>
        <w:t>Principes et fondements des politiques de recherche sur les questions intéressant les femmes, adoptés par</w:t>
      </w:r>
      <w:r w:rsidRPr="0071782F">
        <w:rPr>
          <w:lang w:val="fr-CH"/>
        </w:rPr>
        <w:t xml:space="preserve"> </w:t>
      </w:r>
      <w:r w:rsidR="004C673D" w:rsidRPr="0071782F">
        <w:rPr>
          <w:lang w:val="fr-CH"/>
        </w:rPr>
        <w:t xml:space="preserve">le </w:t>
      </w:r>
      <w:r w:rsidR="00E84B01" w:rsidRPr="0071782F">
        <w:rPr>
          <w:lang w:val="fr-CH"/>
        </w:rPr>
        <w:t>Haut Conseil culturel de la Révolution</w:t>
      </w:r>
      <w:r w:rsidR="004C673D" w:rsidRPr="0071782F">
        <w:rPr>
          <w:lang w:val="fr-CH"/>
        </w:rPr>
        <w:t xml:space="preserve"> </w:t>
      </w:r>
      <w:r w:rsidRPr="0071782F">
        <w:rPr>
          <w:lang w:val="fr-CH"/>
        </w:rPr>
        <w:t>(2000).</w:t>
      </w:r>
    </w:p>
    <w:p w:rsidR="009F7C7F" w:rsidRPr="0071782F" w:rsidRDefault="009F7C7F" w:rsidP="00496C06">
      <w:pPr>
        <w:pStyle w:val="SingleTxtG"/>
        <w:ind w:left="1701"/>
        <w:rPr>
          <w:lang w:val="fr-CH"/>
        </w:rPr>
      </w:pPr>
      <w:r w:rsidRPr="0071782F">
        <w:rPr>
          <w:lang w:val="fr-CH"/>
        </w:rPr>
        <w:t>147.6</w:t>
      </w:r>
      <w:r w:rsidR="00C64DB1" w:rsidRPr="0071782F">
        <w:rPr>
          <w:lang w:val="fr-CH"/>
        </w:rPr>
        <w:t>.</w:t>
      </w:r>
      <w:r w:rsidRPr="0071782F">
        <w:rPr>
          <w:lang w:val="fr-CH"/>
        </w:rPr>
        <w:tab/>
      </w:r>
      <w:r w:rsidR="004C673D" w:rsidRPr="0071782F">
        <w:rPr>
          <w:lang w:val="fr-CH"/>
        </w:rPr>
        <w:t>P</w:t>
      </w:r>
      <w:r w:rsidRPr="0071782F">
        <w:rPr>
          <w:lang w:val="fr-CH"/>
        </w:rPr>
        <w:t>oli</w:t>
      </w:r>
      <w:r w:rsidR="004C673D" w:rsidRPr="0071782F">
        <w:rPr>
          <w:lang w:val="fr-CH"/>
        </w:rPr>
        <w:t>tiques relatives à l’enrichissement du temps libre des femmes et des filles, adoptées par le</w:t>
      </w:r>
      <w:r w:rsidRPr="0071782F">
        <w:rPr>
          <w:lang w:val="fr-CH"/>
        </w:rPr>
        <w:t xml:space="preserve"> </w:t>
      </w:r>
      <w:r w:rsidR="00E84B01" w:rsidRPr="0071782F">
        <w:rPr>
          <w:lang w:val="fr-CH"/>
        </w:rPr>
        <w:t>Haut Conseil culturel de la Révolution</w:t>
      </w:r>
      <w:r w:rsidR="004C673D" w:rsidRPr="0071782F">
        <w:rPr>
          <w:lang w:val="fr-CH"/>
        </w:rPr>
        <w:t xml:space="preserve"> </w:t>
      </w:r>
      <w:r w:rsidRPr="0071782F">
        <w:rPr>
          <w:lang w:val="fr-CH"/>
        </w:rPr>
        <w:t>(2002).</w:t>
      </w:r>
    </w:p>
    <w:p w:rsidR="009F7C7F" w:rsidRPr="0071782F" w:rsidRDefault="009F7C7F" w:rsidP="00496C06">
      <w:pPr>
        <w:pStyle w:val="SingleTxtG"/>
        <w:ind w:left="1701"/>
        <w:rPr>
          <w:lang w:val="fr-CH"/>
        </w:rPr>
      </w:pPr>
      <w:r w:rsidRPr="0071782F">
        <w:rPr>
          <w:lang w:val="fr-CH"/>
        </w:rPr>
        <w:t>147.7</w:t>
      </w:r>
      <w:r w:rsidR="00C64DB1" w:rsidRPr="0071782F">
        <w:rPr>
          <w:lang w:val="fr-CH"/>
        </w:rPr>
        <w:t>.</w:t>
      </w:r>
      <w:r w:rsidRPr="0071782F">
        <w:rPr>
          <w:lang w:val="fr-CH"/>
        </w:rPr>
        <w:tab/>
      </w:r>
      <w:r w:rsidR="004C673D" w:rsidRPr="0071782F">
        <w:rPr>
          <w:lang w:val="fr-CH"/>
        </w:rPr>
        <w:t>D</w:t>
      </w:r>
      <w:r w:rsidRPr="0071782F">
        <w:rPr>
          <w:lang w:val="fr-CH"/>
        </w:rPr>
        <w:t xml:space="preserve">irective </w:t>
      </w:r>
      <w:r w:rsidR="004C673D" w:rsidRPr="0071782F">
        <w:rPr>
          <w:lang w:val="fr-CH"/>
        </w:rPr>
        <w:t>sur la création de complexes culturels pour les femmes, adoptée par le Conseil des ministres</w:t>
      </w:r>
      <w:r w:rsidRPr="0071782F">
        <w:rPr>
          <w:lang w:val="fr-CH"/>
        </w:rPr>
        <w:t>.</w:t>
      </w:r>
    </w:p>
    <w:p w:rsidR="009F7C7F" w:rsidRPr="0071782F" w:rsidRDefault="009F7C7F" w:rsidP="00496C06">
      <w:pPr>
        <w:pStyle w:val="SingleTxtG"/>
        <w:ind w:left="1701"/>
        <w:rPr>
          <w:lang w:val="fr-CH"/>
        </w:rPr>
      </w:pPr>
      <w:r w:rsidRPr="0071782F">
        <w:rPr>
          <w:lang w:val="fr-CH"/>
        </w:rPr>
        <w:t>147.8</w:t>
      </w:r>
      <w:r w:rsidR="00C64DB1" w:rsidRPr="0071782F">
        <w:rPr>
          <w:lang w:val="fr-CH"/>
        </w:rPr>
        <w:t>.</w:t>
      </w:r>
      <w:r w:rsidRPr="0071782F">
        <w:rPr>
          <w:lang w:val="fr-CH"/>
        </w:rPr>
        <w:tab/>
      </w:r>
      <w:r w:rsidR="004C673D" w:rsidRPr="0071782F">
        <w:rPr>
          <w:lang w:val="fr-CH"/>
        </w:rPr>
        <w:t>S</w:t>
      </w:r>
      <w:r w:rsidRPr="0071782F">
        <w:rPr>
          <w:lang w:val="fr-CH"/>
        </w:rPr>
        <w:t>trat</w:t>
      </w:r>
      <w:r w:rsidR="004C673D" w:rsidRPr="0071782F">
        <w:rPr>
          <w:lang w:val="fr-CH"/>
        </w:rPr>
        <w:t>é</w:t>
      </w:r>
      <w:r w:rsidRPr="0071782F">
        <w:rPr>
          <w:lang w:val="fr-CH"/>
        </w:rPr>
        <w:t xml:space="preserve">gies </w:t>
      </w:r>
      <w:r w:rsidR="004C673D" w:rsidRPr="0071782F">
        <w:rPr>
          <w:lang w:val="fr-CH"/>
        </w:rPr>
        <w:t xml:space="preserve">et politiques relatives à l’amélioration de la santé des femmes </w:t>
      </w:r>
      <w:r w:rsidRPr="0071782F">
        <w:rPr>
          <w:lang w:val="fr-CH"/>
        </w:rPr>
        <w:t>(2007).</w:t>
      </w:r>
    </w:p>
    <w:p w:rsidR="009F7C7F" w:rsidRPr="0071782F" w:rsidRDefault="009F7C7F" w:rsidP="00496C06">
      <w:pPr>
        <w:pStyle w:val="SingleTxtG"/>
        <w:ind w:left="1701"/>
        <w:rPr>
          <w:lang w:val="fr-CH"/>
        </w:rPr>
      </w:pPr>
      <w:r w:rsidRPr="0071782F">
        <w:rPr>
          <w:lang w:val="fr-CH"/>
        </w:rPr>
        <w:t>147.9</w:t>
      </w:r>
      <w:r w:rsidR="00C64DB1" w:rsidRPr="0071782F">
        <w:rPr>
          <w:lang w:val="fr-CH"/>
        </w:rPr>
        <w:t>.</w:t>
      </w:r>
      <w:r w:rsidRPr="0071782F">
        <w:rPr>
          <w:lang w:val="fr-CH"/>
        </w:rPr>
        <w:tab/>
      </w:r>
      <w:r w:rsidR="00FD4368" w:rsidRPr="0071782F">
        <w:rPr>
          <w:lang w:val="fr-CH"/>
        </w:rPr>
        <w:t xml:space="preserve">Règlement régissant les activités du groupe de travail national sur </w:t>
      </w:r>
      <w:r w:rsidR="00B71907" w:rsidRPr="0071782F">
        <w:rPr>
          <w:lang w:val="fr-CH"/>
        </w:rPr>
        <w:t>la famille</w:t>
      </w:r>
      <w:r w:rsidR="00FD4368" w:rsidRPr="0071782F">
        <w:rPr>
          <w:lang w:val="fr-CH"/>
        </w:rPr>
        <w:t xml:space="preserve">, adopté par le Conseil des ministres </w:t>
      </w:r>
      <w:r w:rsidRPr="0071782F">
        <w:rPr>
          <w:lang w:val="fr-CH"/>
        </w:rPr>
        <w:t>(2008).</w:t>
      </w:r>
    </w:p>
    <w:p w:rsidR="009F7C7F" w:rsidRPr="0071782F" w:rsidRDefault="009F7C7F" w:rsidP="00496C06">
      <w:pPr>
        <w:pStyle w:val="H1G"/>
        <w:rPr>
          <w:lang w:val="fr-CH"/>
        </w:rPr>
      </w:pPr>
      <w:r w:rsidRPr="0071782F">
        <w:rPr>
          <w:lang w:val="fr-CH"/>
        </w:rPr>
        <w:tab/>
      </w:r>
      <w:r w:rsidRPr="0071782F">
        <w:rPr>
          <w:lang w:val="fr-CH"/>
        </w:rPr>
        <w:tab/>
      </w:r>
      <w:r w:rsidR="00FD4368" w:rsidRPr="0071782F">
        <w:rPr>
          <w:lang w:val="fr-CH"/>
        </w:rPr>
        <w:t xml:space="preserve">Conseil </w:t>
      </w:r>
      <w:r w:rsidRPr="0071782F">
        <w:rPr>
          <w:lang w:val="fr-CH"/>
        </w:rPr>
        <w:t xml:space="preserve">social </w:t>
      </w:r>
      <w:r w:rsidR="00FD4368" w:rsidRPr="0071782F">
        <w:rPr>
          <w:lang w:val="fr-CH"/>
        </w:rPr>
        <w:t>et</w:t>
      </w:r>
      <w:r w:rsidRPr="0071782F">
        <w:rPr>
          <w:lang w:val="fr-CH"/>
        </w:rPr>
        <w:t xml:space="preserve"> cultur</w:t>
      </w:r>
      <w:r w:rsidR="00FD4368" w:rsidRPr="0071782F">
        <w:rPr>
          <w:lang w:val="fr-CH"/>
        </w:rPr>
        <w:t>e</w:t>
      </w:r>
      <w:r w:rsidRPr="0071782F">
        <w:rPr>
          <w:lang w:val="fr-CH"/>
        </w:rPr>
        <w:t xml:space="preserve">l </w:t>
      </w:r>
      <w:r w:rsidR="00FD4368" w:rsidRPr="0071782F">
        <w:rPr>
          <w:lang w:val="fr-CH"/>
        </w:rPr>
        <w:t xml:space="preserve">pour les femmes </w:t>
      </w:r>
    </w:p>
    <w:p w:rsidR="009F7C7F" w:rsidRPr="0071782F" w:rsidRDefault="009F7C7F" w:rsidP="00496C06">
      <w:pPr>
        <w:pStyle w:val="SingleTxtG"/>
        <w:rPr>
          <w:lang w:val="fr-CH"/>
        </w:rPr>
      </w:pPr>
      <w:r w:rsidRPr="0071782F">
        <w:rPr>
          <w:lang w:val="fr-CH"/>
        </w:rPr>
        <w:t>148.</w:t>
      </w:r>
      <w:r w:rsidRPr="0071782F">
        <w:rPr>
          <w:lang w:val="fr-CH"/>
        </w:rPr>
        <w:tab/>
      </w:r>
      <w:r w:rsidR="00A13A80" w:rsidRPr="0071782F">
        <w:rPr>
          <w:lang w:val="fr-CH"/>
        </w:rPr>
        <w:t xml:space="preserve">Le Conseil social et culturel pour les femmes, </w:t>
      </w:r>
      <w:r w:rsidR="00C633BE" w:rsidRPr="0071782F">
        <w:rPr>
          <w:lang w:val="fr-CH"/>
        </w:rPr>
        <w:t>se fondant sur les</w:t>
      </w:r>
      <w:r w:rsidR="00A13A80" w:rsidRPr="0071782F">
        <w:rPr>
          <w:lang w:val="fr-CH"/>
        </w:rPr>
        <w:t xml:space="preserve"> dispositions du </w:t>
      </w:r>
      <w:r w:rsidR="00723F2B" w:rsidRPr="0071782F">
        <w:rPr>
          <w:lang w:val="fr-CH"/>
        </w:rPr>
        <w:t>paragraphe </w:t>
      </w:r>
      <w:r w:rsidRPr="0071782F">
        <w:rPr>
          <w:lang w:val="fr-CH"/>
        </w:rPr>
        <w:t xml:space="preserve">3 </w:t>
      </w:r>
      <w:r w:rsidR="00A13A80" w:rsidRPr="0071782F">
        <w:rPr>
          <w:lang w:val="fr-CH"/>
        </w:rPr>
        <w:t>de son mandat, qui soulignent l’</w:t>
      </w:r>
      <w:r w:rsidRPr="0071782F">
        <w:rPr>
          <w:lang w:val="fr-CH"/>
        </w:rPr>
        <w:t xml:space="preserve">importance </w:t>
      </w:r>
      <w:r w:rsidR="00A13A80" w:rsidRPr="0071782F">
        <w:rPr>
          <w:lang w:val="fr-CH"/>
        </w:rPr>
        <w:t xml:space="preserve">de </w:t>
      </w:r>
      <w:r w:rsidR="00A62149" w:rsidRPr="0071782F">
        <w:rPr>
          <w:lang w:val="fr-CH"/>
        </w:rPr>
        <w:t>"</w:t>
      </w:r>
      <w:r w:rsidR="00A13A80" w:rsidRPr="0071782F">
        <w:rPr>
          <w:lang w:val="fr-CH"/>
        </w:rPr>
        <w:t xml:space="preserve">la conception et de la planification de politiques visant à consolider le caractère sacré de la cellule familiale en favorisant la formation de </w:t>
      </w:r>
      <w:r w:rsidR="00B71907" w:rsidRPr="0071782F">
        <w:rPr>
          <w:lang w:val="fr-CH"/>
        </w:rPr>
        <w:t>la famille</w:t>
      </w:r>
      <w:r w:rsidR="00A13A80" w:rsidRPr="0071782F">
        <w:rPr>
          <w:lang w:val="fr-CH"/>
        </w:rPr>
        <w:t>, en</w:t>
      </w:r>
      <w:r w:rsidRPr="0071782F">
        <w:rPr>
          <w:lang w:val="fr-CH"/>
        </w:rPr>
        <w:t xml:space="preserve"> prot</w:t>
      </w:r>
      <w:r w:rsidR="00A13A80" w:rsidRPr="0071782F">
        <w:rPr>
          <w:lang w:val="fr-CH"/>
        </w:rPr>
        <w:t>égeant son caractère sacré et en fondant les liens familiaux sur la loi et l’éthique islamiques</w:t>
      </w:r>
      <w:r w:rsidR="00A62149" w:rsidRPr="0071782F">
        <w:rPr>
          <w:lang w:val="fr-CH"/>
        </w:rPr>
        <w:t>"</w:t>
      </w:r>
      <w:r w:rsidR="00A13A80" w:rsidRPr="0071782F">
        <w:rPr>
          <w:lang w:val="fr-CH"/>
        </w:rPr>
        <w:t>, ainsi que sur les enseignements du Coran, les traditions du prophète Mahomet (la paix soit avec lui) et les dispositions de</w:t>
      </w:r>
      <w:r w:rsidRPr="0071782F">
        <w:rPr>
          <w:lang w:val="fr-CH"/>
        </w:rPr>
        <w:t xml:space="preserve"> </w:t>
      </w:r>
      <w:r w:rsidR="00A13A80" w:rsidRPr="0071782F">
        <w:rPr>
          <w:lang w:val="fr-CH"/>
        </w:rPr>
        <w:t>la Constitution et des autres lois et règlements en vigueur</w:t>
      </w:r>
      <w:r w:rsidRPr="0071782F">
        <w:rPr>
          <w:lang w:val="fr-CH"/>
        </w:rPr>
        <w:t xml:space="preserve">, </w:t>
      </w:r>
      <w:r w:rsidR="00A13A80" w:rsidRPr="0071782F">
        <w:rPr>
          <w:lang w:val="fr-CH"/>
        </w:rPr>
        <w:t xml:space="preserve">a élaboré des politiques concernant la </w:t>
      </w:r>
      <w:r w:rsidRPr="0071782F">
        <w:rPr>
          <w:lang w:val="fr-CH"/>
        </w:rPr>
        <w:t xml:space="preserve">formation, </w:t>
      </w:r>
      <w:r w:rsidR="00A13A80" w:rsidRPr="0071782F">
        <w:rPr>
          <w:lang w:val="fr-CH"/>
        </w:rPr>
        <w:t xml:space="preserve">la </w:t>
      </w:r>
      <w:r w:rsidRPr="0071782F">
        <w:rPr>
          <w:lang w:val="fr-CH"/>
        </w:rPr>
        <w:t xml:space="preserve">consolidation </w:t>
      </w:r>
      <w:r w:rsidR="00A13A80" w:rsidRPr="0071782F">
        <w:rPr>
          <w:lang w:val="fr-CH"/>
        </w:rPr>
        <w:t xml:space="preserve">et la promotion de </w:t>
      </w:r>
      <w:r w:rsidR="00B71907" w:rsidRPr="0071782F">
        <w:rPr>
          <w:lang w:val="fr-CH"/>
        </w:rPr>
        <w:t>la famille</w:t>
      </w:r>
      <w:r w:rsidRPr="0071782F">
        <w:rPr>
          <w:lang w:val="fr-CH"/>
        </w:rPr>
        <w:t xml:space="preserve">. </w:t>
      </w:r>
    </w:p>
    <w:p w:rsidR="009F7C7F" w:rsidRPr="0071782F" w:rsidRDefault="009F7C7F" w:rsidP="00496C06">
      <w:pPr>
        <w:pStyle w:val="SingleTxtG"/>
        <w:rPr>
          <w:lang w:val="fr-CH"/>
        </w:rPr>
      </w:pPr>
      <w:r w:rsidRPr="0071782F">
        <w:rPr>
          <w:lang w:val="fr-CH"/>
        </w:rPr>
        <w:t>149.</w:t>
      </w:r>
      <w:r w:rsidRPr="0071782F">
        <w:rPr>
          <w:lang w:val="fr-CH"/>
        </w:rPr>
        <w:tab/>
      </w:r>
      <w:r w:rsidR="00A13A80" w:rsidRPr="0071782F">
        <w:rPr>
          <w:lang w:val="fr-CH"/>
        </w:rPr>
        <w:t xml:space="preserve">Dans sa </w:t>
      </w:r>
      <w:r w:rsidRPr="0071782F">
        <w:rPr>
          <w:lang w:val="fr-CH"/>
        </w:rPr>
        <w:t xml:space="preserve">directive </w:t>
      </w:r>
      <w:r w:rsidR="00A13A80" w:rsidRPr="0071782F">
        <w:rPr>
          <w:lang w:val="fr-CH"/>
        </w:rPr>
        <w:t>de</w:t>
      </w:r>
      <w:r w:rsidRPr="0071782F">
        <w:rPr>
          <w:lang w:val="fr-CH"/>
        </w:rPr>
        <w:t xml:space="preserve"> 2005, </w:t>
      </w:r>
      <w:r w:rsidR="00A13A80" w:rsidRPr="0071782F">
        <w:rPr>
          <w:lang w:val="fr-CH"/>
        </w:rPr>
        <w:t xml:space="preserve">le </w:t>
      </w:r>
      <w:r w:rsidR="00E84B01" w:rsidRPr="0071782F">
        <w:rPr>
          <w:lang w:val="fr-CH"/>
        </w:rPr>
        <w:t>Haut Conseil culturel de la Révolution</w:t>
      </w:r>
      <w:r w:rsidR="00A13A80" w:rsidRPr="0071782F">
        <w:rPr>
          <w:lang w:val="fr-CH"/>
        </w:rPr>
        <w:t xml:space="preserve"> </w:t>
      </w:r>
      <w:r w:rsidR="00D07EC8" w:rsidRPr="0071782F">
        <w:rPr>
          <w:lang w:val="fr-CH"/>
        </w:rPr>
        <w:t xml:space="preserve">a défini </w:t>
      </w:r>
      <w:r w:rsidR="00B71907" w:rsidRPr="0071782F">
        <w:rPr>
          <w:lang w:val="fr-CH"/>
        </w:rPr>
        <w:t>la famille</w:t>
      </w:r>
      <w:r w:rsidR="00D07EC8" w:rsidRPr="0071782F">
        <w:rPr>
          <w:lang w:val="fr-CH"/>
        </w:rPr>
        <w:t xml:space="preserve"> et précisé le statut, l’i</w:t>
      </w:r>
      <w:r w:rsidRPr="0071782F">
        <w:rPr>
          <w:lang w:val="fr-CH"/>
        </w:rPr>
        <w:t xml:space="preserve">mportance </w:t>
      </w:r>
      <w:r w:rsidR="00D07EC8" w:rsidRPr="0071782F">
        <w:rPr>
          <w:lang w:val="fr-CH"/>
        </w:rPr>
        <w:t xml:space="preserve">et la </w:t>
      </w:r>
      <w:r w:rsidRPr="0071782F">
        <w:rPr>
          <w:lang w:val="fr-CH"/>
        </w:rPr>
        <w:t>f</w:t>
      </w:r>
      <w:r w:rsidR="00D07EC8" w:rsidRPr="0071782F">
        <w:rPr>
          <w:lang w:val="fr-CH"/>
        </w:rPr>
        <w:t>o</w:t>
      </w:r>
      <w:r w:rsidRPr="0071782F">
        <w:rPr>
          <w:lang w:val="fr-CH"/>
        </w:rPr>
        <w:t xml:space="preserve">nction </w:t>
      </w:r>
      <w:r w:rsidR="00D07EC8" w:rsidRPr="0071782F">
        <w:rPr>
          <w:lang w:val="fr-CH"/>
        </w:rPr>
        <w:t>de celle-ci, ainsi que les buts et po</w:t>
      </w:r>
      <w:r w:rsidR="00932D55" w:rsidRPr="0071782F">
        <w:rPr>
          <w:lang w:val="fr-CH"/>
        </w:rPr>
        <w:t>li</w:t>
      </w:r>
      <w:r w:rsidR="00D07EC8" w:rsidRPr="0071782F">
        <w:rPr>
          <w:lang w:val="fr-CH"/>
        </w:rPr>
        <w:t>tiques et stratégies d’exécution concernant la</w:t>
      </w:r>
      <w:r w:rsidRPr="0071782F">
        <w:rPr>
          <w:lang w:val="fr-CH"/>
        </w:rPr>
        <w:t xml:space="preserve"> formation </w:t>
      </w:r>
      <w:r w:rsidR="00D07EC8" w:rsidRPr="0071782F">
        <w:rPr>
          <w:lang w:val="fr-CH"/>
        </w:rPr>
        <w:t xml:space="preserve">de </w:t>
      </w:r>
      <w:r w:rsidR="00B71907" w:rsidRPr="0071782F">
        <w:rPr>
          <w:lang w:val="fr-CH"/>
        </w:rPr>
        <w:t>la famille</w:t>
      </w:r>
      <w:r w:rsidR="00D07EC8" w:rsidRPr="0071782F">
        <w:rPr>
          <w:lang w:val="fr-CH"/>
        </w:rPr>
        <w:t xml:space="preserve"> de la façon suivante</w:t>
      </w:r>
      <w:r w:rsidR="008F7D33" w:rsidRPr="0071782F">
        <w:rPr>
          <w:lang w:val="fr-CH"/>
        </w:rPr>
        <w:t>:</w:t>
      </w:r>
    </w:p>
    <w:p w:rsidR="009F7C7F" w:rsidRPr="0071782F" w:rsidRDefault="009F7C7F" w:rsidP="00496C06">
      <w:pPr>
        <w:pStyle w:val="SingleTxtG"/>
        <w:ind w:left="1701"/>
        <w:rPr>
          <w:lang w:val="fr-CH"/>
        </w:rPr>
      </w:pPr>
      <w:r w:rsidRPr="0071782F">
        <w:rPr>
          <w:lang w:val="fr-CH"/>
        </w:rPr>
        <w:t>149.1</w:t>
      </w:r>
      <w:r w:rsidR="00C64DB1" w:rsidRPr="0071782F">
        <w:rPr>
          <w:lang w:val="fr-CH"/>
        </w:rPr>
        <w:t>.</w:t>
      </w:r>
      <w:r w:rsidRPr="0071782F">
        <w:rPr>
          <w:lang w:val="fr-CH"/>
        </w:rPr>
        <w:tab/>
      </w:r>
      <w:r w:rsidR="00D07EC8" w:rsidRPr="0071782F">
        <w:rPr>
          <w:lang w:val="fr-CH"/>
        </w:rPr>
        <w:t xml:space="preserve">Présenter </w:t>
      </w:r>
      <w:r w:rsidR="00932D55" w:rsidRPr="0071782F">
        <w:rPr>
          <w:lang w:val="fr-CH"/>
        </w:rPr>
        <w:t>un</w:t>
      </w:r>
      <w:r w:rsidR="00D07EC8" w:rsidRPr="0071782F">
        <w:rPr>
          <w:lang w:val="fr-CH"/>
        </w:rPr>
        <w:t xml:space="preserve"> modèle famil</w:t>
      </w:r>
      <w:r w:rsidR="00932D55" w:rsidRPr="0071782F">
        <w:rPr>
          <w:lang w:val="fr-CH"/>
        </w:rPr>
        <w:t>ial modéré</w:t>
      </w:r>
      <w:r w:rsidR="00D07EC8" w:rsidRPr="0071782F">
        <w:rPr>
          <w:lang w:val="fr-CH"/>
        </w:rPr>
        <w:t xml:space="preserve"> et équilibré </w:t>
      </w:r>
      <w:r w:rsidR="00932D55" w:rsidRPr="0071782F">
        <w:rPr>
          <w:lang w:val="fr-CH"/>
        </w:rPr>
        <w:t>fondé sur l</w:t>
      </w:r>
      <w:r w:rsidR="00D07EC8" w:rsidRPr="0071782F">
        <w:rPr>
          <w:lang w:val="fr-CH"/>
        </w:rPr>
        <w:t>es qualités exaltées par l’islam</w:t>
      </w:r>
      <w:r w:rsidRPr="0071782F">
        <w:rPr>
          <w:lang w:val="fr-CH"/>
        </w:rPr>
        <w:t>.</w:t>
      </w:r>
    </w:p>
    <w:p w:rsidR="009F7C7F" w:rsidRPr="0071782F" w:rsidRDefault="009F7C7F" w:rsidP="00496C06">
      <w:pPr>
        <w:pStyle w:val="SingleTxtG"/>
        <w:ind w:left="1701"/>
        <w:rPr>
          <w:lang w:val="fr-CH"/>
        </w:rPr>
      </w:pPr>
      <w:r w:rsidRPr="0071782F">
        <w:rPr>
          <w:lang w:val="fr-CH"/>
        </w:rPr>
        <w:t>149.2</w:t>
      </w:r>
      <w:r w:rsidR="00C64DB1" w:rsidRPr="0071782F">
        <w:rPr>
          <w:lang w:val="fr-CH"/>
        </w:rPr>
        <w:t>.</w:t>
      </w:r>
      <w:r w:rsidRPr="0071782F">
        <w:rPr>
          <w:lang w:val="fr-CH"/>
        </w:rPr>
        <w:tab/>
        <w:t>Consolid</w:t>
      </w:r>
      <w:r w:rsidR="00D07EC8" w:rsidRPr="0071782F">
        <w:rPr>
          <w:lang w:val="fr-CH"/>
        </w:rPr>
        <w:t xml:space="preserve">er les fondements de </w:t>
      </w:r>
      <w:r w:rsidR="00B71907" w:rsidRPr="0071782F">
        <w:rPr>
          <w:lang w:val="fr-CH"/>
        </w:rPr>
        <w:t>la famille</w:t>
      </w:r>
      <w:r w:rsidR="00D07EC8" w:rsidRPr="0071782F">
        <w:rPr>
          <w:lang w:val="fr-CH"/>
        </w:rPr>
        <w:t xml:space="preserve"> par le biais de son développement </w:t>
      </w:r>
      <w:r w:rsidRPr="0071782F">
        <w:rPr>
          <w:lang w:val="fr-CH"/>
        </w:rPr>
        <w:t>moral, intellectu</w:t>
      </w:r>
      <w:r w:rsidR="00D07EC8" w:rsidRPr="0071782F">
        <w:rPr>
          <w:lang w:val="fr-CH"/>
        </w:rPr>
        <w:t>e</w:t>
      </w:r>
      <w:r w:rsidRPr="0071782F">
        <w:rPr>
          <w:lang w:val="fr-CH"/>
        </w:rPr>
        <w:t xml:space="preserve">l </w:t>
      </w:r>
      <w:r w:rsidR="00D07EC8" w:rsidRPr="0071782F">
        <w:rPr>
          <w:lang w:val="fr-CH"/>
        </w:rPr>
        <w:t xml:space="preserve">et éthique et de la </w:t>
      </w:r>
      <w:r w:rsidRPr="0071782F">
        <w:rPr>
          <w:lang w:val="fr-CH"/>
        </w:rPr>
        <w:t xml:space="preserve">promotion </w:t>
      </w:r>
      <w:r w:rsidR="00D07EC8" w:rsidRPr="0071782F">
        <w:rPr>
          <w:lang w:val="fr-CH"/>
        </w:rPr>
        <w:t>de la culture islamique</w:t>
      </w:r>
      <w:r w:rsidRPr="0071782F">
        <w:rPr>
          <w:lang w:val="fr-CH"/>
        </w:rPr>
        <w:t>.</w:t>
      </w:r>
    </w:p>
    <w:p w:rsidR="009F7C7F" w:rsidRPr="0071782F" w:rsidRDefault="009F7C7F" w:rsidP="00496C06">
      <w:pPr>
        <w:pStyle w:val="SingleTxtG"/>
        <w:ind w:left="1701"/>
        <w:rPr>
          <w:lang w:val="fr-CH"/>
        </w:rPr>
      </w:pPr>
      <w:r w:rsidRPr="0071782F">
        <w:rPr>
          <w:lang w:val="fr-CH"/>
        </w:rPr>
        <w:t>149.3</w:t>
      </w:r>
      <w:r w:rsidR="00C64DB1" w:rsidRPr="0071782F">
        <w:rPr>
          <w:lang w:val="fr-CH"/>
        </w:rPr>
        <w:t>.</w:t>
      </w:r>
      <w:r w:rsidRPr="0071782F">
        <w:rPr>
          <w:lang w:val="fr-CH"/>
        </w:rPr>
        <w:tab/>
      </w:r>
      <w:r w:rsidR="0086054C" w:rsidRPr="0071782F">
        <w:rPr>
          <w:lang w:val="fr-CH"/>
        </w:rPr>
        <w:t xml:space="preserve">Sensibiliser le </w:t>
      </w:r>
      <w:r w:rsidRPr="0071782F">
        <w:rPr>
          <w:lang w:val="fr-CH"/>
        </w:rPr>
        <w:t xml:space="preserve">public </w:t>
      </w:r>
      <w:r w:rsidR="0086054C" w:rsidRPr="0071782F">
        <w:rPr>
          <w:lang w:val="fr-CH"/>
        </w:rPr>
        <w:t xml:space="preserve">et les membres de </w:t>
      </w:r>
      <w:r w:rsidR="00B71907" w:rsidRPr="0071782F">
        <w:rPr>
          <w:lang w:val="fr-CH"/>
        </w:rPr>
        <w:t>la famille</w:t>
      </w:r>
      <w:r w:rsidR="0086054C" w:rsidRPr="0071782F">
        <w:rPr>
          <w:lang w:val="fr-CH"/>
        </w:rPr>
        <w:t xml:space="preserve"> à l’</w:t>
      </w:r>
      <w:r w:rsidRPr="0071782F">
        <w:rPr>
          <w:lang w:val="fr-CH"/>
        </w:rPr>
        <w:t xml:space="preserve">importance </w:t>
      </w:r>
      <w:r w:rsidR="0086054C" w:rsidRPr="0071782F">
        <w:rPr>
          <w:lang w:val="fr-CH"/>
        </w:rPr>
        <w:t xml:space="preserve">et à la </w:t>
      </w:r>
      <w:r w:rsidRPr="0071782F">
        <w:rPr>
          <w:lang w:val="fr-CH"/>
        </w:rPr>
        <w:t>f</w:t>
      </w:r>
      <w:r w:rsidR="0086054C" w:rsidRPr="0071782F">
        <w:rPr>
          <w:lang w:val="fr-CH"/>
        </w:rPr>
        <w:t>o</w:t>
      </w:r>
      <w:r w:rsidRPr="0071782F">
        <w:rPr>
          <w:lang w:val="fr-CH"/>
        </w:rPr>
        <w:t xml:space="preserve">nction </w:t>
      </w:r>
      <w:r w:rsidR="0086054C" w:rsidRPr="0071782F">
        <w:rPr>
          <w:lang w:val="fr-CH"/>
        </w:rPr>
        <w:t xml:space="preserve">de </w:t>
      </w:r>
      <w:r w:rsidR="004A4D40" w:rsidRPr="0071782F">
        <w:rPr>
          <w:lang w:val="fr-CH"/>
        </w:rPr>
        <w:t>celle-ci</w:t>
      </w:r>
      <w:r w:rsidR="0086054C" w:rsidRPr="0071782F">
        <w:rPr>
          <w:lang w:val="fr-CH"/>
        </w:rPr>
        <w:t xml:space="preserve"> et à son influence sur le développement des enfants et de la société en tant que moyen de </w:t>
      </w:r>
      <w:r w:rsidRPr="0071782F">
        <w:rPr>
          <w:lang w:val="fr-CH"/>
        </w:rPr>
        <w:t xml:space="preserve">transmission </w:t>
      </w:r>
      <w:r w:rsidR="0086054C" w:rsidRPr="0071782F">
        <w:rPr>
          <w:lang w:val="fr-CH"/>
        </w:rPr>
        <w:t xml:space="preserve">de la </w:t>
      </w:r>
      <w:r w:rsidRPr="0071782F">
        <w:rPr>
          <w:lang w:val="fr-CH"/>
        </w:rPr>
        <w:t xml:space="preserve">culture </w:t>
      </w:r>
      <w:r w:rsidR="0086054C" w:rsidRPr="0071782F">
        <w:rPr>
          <w:lang w:val="fr-CH"/>
        </w:rPr>
        <w:t>et des valeurs aux générations suivantes</w:t>
      </w:r>
      <w:r w:rsidRPr="0071782F">
        <w:rPr>
          <w:lang w:val="fr-CH"/>
        </w:rPr>
        <w:t>.</w:t>
      </w:r>
    </w:p>
    <w:p w:rsidR="009F7C7F" w:rsidRPr="0071782F" w:rsidRDefault="009F7C7F" w:rsidP="00496C06">
      <w:pPr>
        <w:pStyle w:val="SingleTxtG"/>
        <w:ind w:left="1701"/>
        <w:rPr>
          <w:lang w:val="fr-CH"/>
        </w:rPr>
      </w:pPr>
      <w:r w:rsidRPr="0071782F">
        <w:rPr>
          <w:lang w:val="fr-CH"/>
        </w:rPr>
        <w:t>149.4</w:t>
      </w:r>
      <w:r w:rsidR="00C64DB1" w:rsidRPr="0071782F">
        <w:rPr>
          <w:lang w:val="fr-CH"/>
        </w:rPr>
        <w:t>.</w:t>
      </w:r>
      <w:r w:rsidRPr="0071782F">
        <w:rPr>
          <w:lang w:val="fr-CH"/>
        </w:rPr>
        <w:tab/>
      </w:r>
      <w:r w:rsidR="00B86E48" w:rsidRPr="0071782F">
        <w:rPr>
          <w:lang w:val="fr-CH"/>
        </w:rPr>
        <w:t xml:space="preserve">Améliorer la sécurité de </w:t>
      </w:r>
      <w:r w:rsidR="00B71907" w:rsidRPr="0071782F">
        <w:rPr>
          <w:lang w:val="fr-CH"/>
        </w:rPr>
        <w:t>la famille</w:t>
      </w:r>
      <w:r w:rsidR="00B86E48" w:rsidRPr="0071782F">
        <w:rPr>
          <w:lang w:val="fr-CH"/>
        </w:rPr>
        <w:t xml:space="preserve">, répondre à ses besoins matériels, moraux et intellectuels, et protéger son intégrité </w:t>
      </w:r>
      <w:r w:rsidRPr="0071782F">
        <w:rPr>
          <w:lang w:val="fr-CH"/>
        </w:rPr>
        <w:t>cultur</w:t>
      </w:r>
      <w:r w:rsidR="00B86E48" w:rsidRPr="0071782F">
        <w:rPr>
          <w:lang w:val="fr-CH"/>
        </w:rPr>
        <w:t>elle, économique</w:t>
      </w:r>
      <w:r w:rsidRPr="0071782F">
        <w:rPr>
          <w:lang w:val="fr-CH"/>
        </w:rPr>
        <w:t>, social</w:t>
      </w:r>
      <w:r w:rsidR="00B86E48" w:rsidRPr="0071782F">
        <w:rPr>
          <w:lang w:val="fr-CH"/>
        </w:rPr>
        <w:t>e</w:t>
      </w:r>
      <w:r w:rsidRPr="0071782F">
        <w:rPr>
          <w:lang w:val="fr-CH"/>
        </w:rPr>
        <w:t xml:space="preserve"> </w:t>
      </w:r>
      <w:r w:rsidR="00B86E48" w:rsidRPr="0071782F">
        <w:rPr>
          <w:lang w:val="fr-CH"/>
        </w:rPr>
        <w:t>et psychologique</w:t>
      </w:r>
      <w:r w:rsidRPr="0071782F">
        <w:rPr>
          <w:lang w:val="fr-CH"/>
        </w:rPr>
        <w:t>.</w:t>
      </w:r>
    </w:p>
    <w:p w:rsidR="009F7C7F" w:rsidRPr="0071782F" w:rsidRDefault="009F7C7F" w:rsidP="00496C06">
      <w:pPr>
        <w:pStyle w:val="SingleTxtG"/>
        <w:ind w:left="1701"/>
        <w:rPr>
          <w:lang w:val="fr-CH"/>
        </w:rPr>
      </w:pPr>
      <w:r w:rsidRPr="0071782F">
        <w:rPr>
          <w:lang w:val="fr-CH"/>
        </w:rPr>
        <w:t>149.5</w:t>
      </w:r>
      <w:r w:rsidR="00C64DB1" w:rsidRPr="0071782F">
        <w:rPr>
          <w:lang w:val="fr-CH"/>
        </w:rPr>
        <w:t>.</w:t>
      </w:r>
      <w:r w:rsidRPr="0071782F">
        <w:rPr>
          <w:lang w:val="fr-CH"/>
        </w:rPr>
        <w:tab/>
      </w:r>
      <w:r w:rsidR="00B86E48" w:rsidRPr="0071782F">
        <w:rPr>
          <w:lang w:val="fr-CH"/>
        </w:rPr>
        <w:t xml:space="preserve">Répondre aux besoins </w:t>
      </w:r>
      <w:r w:rsidRPr="0071782F">
        <w:rPr>
          <w:lang w:val="fr-CH"/>
        </w:rPr>
        <w:t>mat</w:t>
      </w:r>
      <w:r w:rsidR="00B86E48" w:rsidRPr="0071782F">
        <w:rPr>
          <w:lang w:val="fr-CH"/>
        </w:rPr>
        <w:t>é</w:t>
      </w:r>
      <w:r w:rsidRPr="0071782F">
        <w:rPr>
          <w:lang w:val="fr-CH"/>
        </w:rPr>
        <w:t>ri</w:t>
      </w:r>
      <w:r w:rsidR="00B86E48" w:rsidRPr="0071782F">
        <w:rPr>
          <w:lang w:val="fr-CH"/>
        </w:rPr>
        <w:t>e</w:t>
      </w:r>
      <w:r w:rsidRPr="0071782F">
        <w:rPr>
          <w:lang w:val="fr-CH"/>
        </w:rPr>
        <w:t>l</w:t>
      </w:r>
      <w:r w:rsidR="00B86E48" w:rsidRPr="0071782F">
        <w:rPr>
          <w:lang w:val="fr-CH"/>
        </w:rPr>
        <w:t>s</w:t>
      </w:r>
      <w:r w:rsidRPr="0071782F">
        <w:rPr>
          <w:lang w:val="fr-CH"/>
        </w:rPr>
        <w:t>, intellectu</w:t>
      </w:r>
      <w:r w:rsidR="00B86E48" w:rsidRPr="0071782F">
        <w:rPr>
          <w:lang w:val="fr-CH"/>
        </w:rPr>
        <w:t>els</w:t>
      </w:r>
      <w:r w:rsidRPr="0071782F">
        <w:rPr>
          <w:lang w:val="fr-CH"/>
        </w:rPr>
        <w:t xml:space="preserve"> </w:t>
      </w:r>
      <w:r w:rsidR="00B86E48" w:rsidRPr="0071782F">
        <w:rPr>
          <w:lang w:val="fr-CH"/>
        </w:rPr>
        <w:t xml:space="preserve">et affectifs des enfants au sein de </w:t>
      </w:r>
      <w:r w:rsidR="00B71907" w:rsidRPr="0071782F">
        <w:rPr>
          <w:lang w:val="fr-CH"/>
        </w:rPr>
        <w:t>la famille</w:t>
      </w:r>
      <w:r w:rsidR="00B86E48" w:rsidRPr="0071782F">
        <w:rPr>
          <w:lang w:val="fr-CH"/>
        </w:rPr>
        <w:t xml:space="preserve"> et renforcer leur sentiment d’appartenir à la cellule familiale</w:t>
      </w:r>
      <w:r w:rsidRPr="0071782F">
        <w:rPr>
          <w:lang w:val="fr-CH"/>
        </w:rPr>
        <w:t>.</w:t>
      </w:r>
    </w:p>
    <w:p w:rsidR="009F7C7F" w:rsidRPr="0071782F" w:rsidRDefault="009F7C7F" w:rsidP="00496C06">
      <w:pPr>
        <w:pStyle w:val="SingleTxtG"/>
        <w:ind w:left="1701"/>
        <w:rPr>
          <w:lang w:val="fr-CH"/>
        </w:rPr>
      </w:pPr>
      <w:r w:rsidRPr="0071782F">
        <w:rPr>
          <w:lang w:val="fr-CH"/>
        </w:rPr>
        <w:t>149.6</w:t>
      </w:r>
      <w:r w:rsidR="00C64DB1" w:rsidRPr="0071782F">
        <w:rPr>
          <w:lang w:val="fr-CH"/>
        </w:rPr>
        <w:t>.</w:t>
      </w:r>
      <w:r w:rsidRPr="0071782F">
        <w:rPr>
          <w:lang w:val="fr-CH"/>
        </w:rPr>
        <w:tab/>
      </w:r>
      <w:r w:rsidR="008127CA" w:rsidRPr="0071782F">
        <w:rPr>
          <w:lang w:val="fr-CH"/>
        </w:rPr>
        <w:t xml:space="preserve">Améliorer la santé </w:t>
      </w:r>
      <w:r w:rsidRPr="0071782F">
        <w:rPr>
          <w:lang w:val="fr-CH"/>
        </w:rPr>
        <w:t>physi</w:t>
      </w:r>
      <w:r w:rsidR="008127CA" w:rsidRPr="0071782F">
        <w:rPr>
          <w:lang w:val="fr-CH"/>
        </w:rPr>
        <w:t>que</w:t>
      </w:r>
      <w:r w:rsidRPr="0071782F">
        <w:rPr>
          <w:lang w:val="fr-CH"/>
        </w:rPr>
        <w:t>, mental</w:t>
      </w:r>
      <w:r w:rsidR="008127CA" w:rsidRPr="0071782F">
        <w:rPr>
          <w:lang w:val="fr-CH"/>
        </w:rPr>
        <w:t>e</w:t>
      </w:r>
      <w:r w:rsidRPr="0071782F">
        <w:rPr>
          <w:lang w:val="fr-CH"/>
        </w:rPr>
        <w:t xml:space="preserve"> </w:t>
      </w:r>
      <w:r w:rsidR="008127CA" w:rsidRPr="0071782F">
        <w:rPr>
          <w:lang w:val="fr-CH"/>
        </w:rPr>
        <w:t>et</w:t>
      </w:r>
      <w:r w:rsidRPr="0071782F">
        <w:rPr>
          <w:lang w:val="fr-CH"/>
        </w:rPr>
        <w:t xml:space="preserve"> social</w:t>
      </w:r>
      <w:r w:rsidR="008127CA" w:rsidRPr="0071782F">
        <w:rPr>
          <w:lang w:val="fr-CH"/>
        </w:rPr>
        <w:t>e</w:t>
      </w:r>
      <w:r w:rsidRPr="0071782F">
        <w:rPr>
          <w:lang w:val="fr-CH"/>
        </w:rPr>
        <w:t xml:space="preserve"> </w:t>
      </w:r>
      <w:r w:rsidR="008127CA" w:rsidRPr="0071782F">
        <w:rPr>
          <w:lang w:val="fr-CH"/>
        </w:rPr>
        <w:t xml:space="preserve">des femmes aux différentes étapes de leur vie et leur fournir les ressources et services dont elles ont besoin à toutes ces étapes </w:t>
      </w:r>
      <w:r w:rsidRPr="0071782F">
        <w:rPr>
          <w:lang w:val="fr-CH"/>
        </w:rPr>
        <w:t>(</w:t>
      </w:r>
      <w:r w:rsidR="008127CA" w:rsidRPr="0071782F">
        <w:rPr>
          <w:lang w:val="fr-CH"/>
        </w:rPr>
        <w:t>grossesse</w:t>
      </w:r>
      <w:r w:rsidRPr="0071782F">
        <w:rPr>
          <w:lang w:val="fr-CH"/>
        </w:rPr>
        <w:t xml:space="preserve">, nutrition, type </w:t>
      </w:r>
      <w:r w:rsidR="008127CA" w:rsidRPr="0071782F">
        <w:rPr>
          <w:lang w:val="fr-CH"/>
        </w:rPr>
        <w:t>d’emploi</w:t>
      </w:r>
      <w:r w:rsidRPr="0071782F">
        <w:rPr>
          <w:lang w:val="fr-CH"/>
        </w:rPr>
        <w:t xml:space="preserve">, </w:t>
      </w:r>
      <w:r w:rsidR="008127CA" w:rsidRPr="0071782F">
        <w:rPr>
          <w:lang w:val="fr-CH"/>
        </w:rPr>
        <w:t>garde des enfants</w:t>
      </w:r>
      <w:r w:rsidRPr="0071782F">
        <w:rPr>
          <w:lang w:val="fr-CH"/>
        </w:rPr>
        <w:t>, etc.).</w:t>
      </w:r>
    </w:p>
    <w:p w:rsidR="009F7C7F" w:rsidRPr="0071782F" w:rsidRDefault="009F7C7F" w:rsidP="00496C06">
      <w:pPr>
        <w:pStyle w:val="SingleTxtG"/>
        <w:ind w:left="1701"/>
        <w:rPr>
          <w:lang w:val="fr-CH"/>
        </w:rPr>
      </w:pPr>
      <w:r w:rsidRPr="0071782F">
        <w:rPr>
          <w:lang w:val="fr-CH"/>
        </w:rPr>
        <w:t>149.7</w:t>
      </w:r>
      <w:r w:rsidR="00C64DB1" w:rsidRPr="0071782F">
        <w:rPr>
          <w:lang w:val="fr-CH"/>
        </w:rPr>
        <w:t>.</w:t>
      </w:r>
      <w:r w:rsidRPr="0071782F">
        <w:rPr>
          <w:lang w:val="fr-CH"/>
        </w:rPr>
        <w:tab/>
      </w:r>
      <w:r w:rsidR="004868FB" w:rsidRPr="0071782F">
        <w:rPr>
          <w:lang w:val="fr-CH"/>
        </w:rPr>
        <w:t>Développer la personnalité et la condition des femmes et des hommes en tant que mères, pères et conjoints, et prêter attention au rôle fondamental qu’ils jouent en matière de développement humain et dans la formation d’une génération créative et productive</w:t>
      </w:r>
      <w:r w:rsidRPr="0071782F">
        <w:rPr>
          <w:lang w:val="fr-CH"/>
        </w:rPr>
        <w:t>.</w:t>
      </w:r>
    </w:p>
    <w:p w:rsidR="009F7C7F" w:rsidRPr="0071782F" w:rsidRDefault="009F7C7F" w:rsidP="00496C06">
      <w:pPr>
        <w:pStyle w:val="SingleTxtG"/>
        <w:ind w:left="1701"/>
        <w:rPr>
          <w:lang w:val="fr-CH"/>
        </w:rPr>
      </w:pPr>
      <w:r w:rsidRPr="0071782F">
        <w:rPr>
          <w:lang w:val="fr-CH"/>
        </w:rPr>
        <w:t>149.8</w:t>
      </w:r>
      <w:r w:rsidR="00C64DB1" w:rsidRPr="0071782F">
        <w:rPr>
          <w:lang w:val="fr-CH"/>
        </w:rPr>
        <w:t>.</w:t>
      </w:r>
      <w:r w:rsidRPr="0071782F">
        <w:rPr>
          <w:lang w:val="fr-CH"/>
        </w:rPr>
        <w:tab/>
      </w:r>
      <w:r w:rsidR="009426F7" w:rsidRPr="0071782F">
        <w:rPr>
          <w:lang w:val="fr-CH"/>
        </w:rPr>
        <w:t xml:space="preserve">Sensibiliser les femmes et les membres de </w:t>
      </w:r>
      <w:r w:rsidR="00B71907" w:rsidRPr="0071782F">
        <w:rPr>
          <w:lang w:val="fr-CH"/>
        </w:rPr>
        <w:t>la famille</w:t>
      </w:r>
      <w:r w:rsidR="009426F7" w:rsidRPr="0071782F">
        <w:rPr>
          <w:lang w:val="fr-CH"/>
        </w:rPr>
        <w:t xml:space="preserve"> aux structures économiques devant permettre d’équilibrer les budgets familiaux et à leur impact sur l’économie nationale</w:t>
      </w:r>
      <w:r w:rsidRPr="0071782F">
        <w:rPr>
          <w:lang w:val="fr-CH"/>
        </w:rPr>
        <w:t>.</w:t>
      </w:r>
    </w:p>
    <w:p w:rsidR="009F7C7F" w:rsidRPr="0071782F" w:rsidRDefault="009F7C7F" w:rsidP="00496C06">
      <w:pPr>
        <w:pStyle w:val="SingleTxtG"/>
        <w:ind w:left="1701"/>
        <w:rPr>
          <w:lang w:val="fr-CH"/>
        </w:rPr>
      </w:pPr>
      <w:r w:rsidRPr="0071782F">
        <w:rPr>
          <w:lang w:val="fr-CH"/>
        </w:rPr>
        <w:t>149.9</w:t>
      </w:r>
      <w:r w:rsidR="00C64DB1" w:rsidRPr="0071782F">
        <w:rPr>
          <w:lang w:val="fr-CH"/>
        </w:rPr>
        <w:t>.</w:t>
      </w:r>
      <w:r w:rsidRPr="0071782F">
        <w:rPr>
          <w:lang w:val="fr-CH"/>
        </w:rPr>
        <w:tab/>
      </w:r>
      <w:r w:rsidR="00FA58D3" w:rsidRPr="0071782F">
        <w:rPr>
          <w:lang w:val="fr-CH"/>
        </w:rPr>
        <w:t>Présenter des exemples d’hommes et de femmes ayant réussi dans la société en mettant l’accent sur le rôle qu’ils ont joué en tant que mères, pères et conjoints</w:t>
      </w:r>
      <w:r w:rsidRPr="0071782F">
        <w:rPr>
          <w:lang w:val="fr-CH"/>
        </w:rPr>
        <w:t>.</w:t>
      </w:r>
    </w:p>
    <w:p w:rsidR="009F7C7F" w:rsidRPr="0071782F" w:rsidRDefault="009F7C7F" w:rsidP="00496C06">
      <w:pPr>
        <w:pStyle w:val="SingleTxtG"/>
        <w:ind w:left="1701"/>
        <w:rPr>
          <w:lang w:val="fr-CH"/>
        </w:rPr>
      </w:pPr>
      <w:r w:rsidRPr="0071782F">
        <w:rPr>
          <w:lang w:val="fr-CH"/>
        </w:rPr>
        <w:t>149.10</w:t>
      </w:r>
      <w:r w:rsidR="00C64DB1" w:rsidRPr="0071782F">
        <w:rPr>
          <w:lang w:val="fr-CH"/>
        </w:rPr>
        <w:t>.</w:t>
      </w:r>
      <w:r w:rsidRPr="0071782F">
        <w:rPr>
          <w:lang w:val="fr-CH"/>
        </w:rPr>
        <w:t xml:space="preserve"> Honor</w:t>
      </w:r>
      <w:r w:rsidR="00FA58D3" w:rsidRPr="0071782F">
        <w:rPr>
          <w:lang w:val="fr-CH"/>
        </w:rPr>
        <w:t xml:space="preserve">er </w:t>
      </w:r>
      <w:r w:rsidR="00DA097D" w:rsidRPr="0071782F">
        <w:rPr>
          <w:lang w:val="fr-CH"/>
        </w:rPr>
        <w:t>les familles</w:t>
      </w:r>
      <w:r w:rsidR="00FA58D3" w:rsidRPr="0071782F">
        <w:rPr>
          <w:lang w:val="fr-CH"/>
        </w:rPr>
        <w:t xml:space="preserve"> qui se sont sacrifiées, y compris </w:t>
      </w:r>
      <w:r w:rsidR="00DA097D" w:rsidRPr="0071782F">
        <w:rPr>
          <w:lang w:val="fr-CH"/>
        </w:rPr>
        <w:t>les familles</w:t>
      </w:r>
      <w:r w:rsidR="00FA58D3" w:rsidRPr="0071782F">
        <w:rPr>
          <w:lang w:val="fr-CH"/>
        </w:rPr>
        <w:t xml:space="preserve"> des martyrs, des invalides et des prisonniers de guerre, et répondre à leurs besoins </w:t>
      </w:r>
      <w:r w:rsidRPr="0071782F">
        <w:rPr>
          <w:lang w:val="fr-CH"/>
        </w:rPr>
        <w:t>mat</w:t>
      </w:r>
      <w:r w:rsidR="00FA58D3" w:rsidRPr="0071782F">
        <w:rPr>
          <w:lang w:val="fr-CH"/>
        </w:rPr>
        <w:t>é</w:t>
      </w:r>
      <w:r w:rsidRPr="0071782F">
        <w:rPr>
          <w:lang w:val="fr-CH"/>
        </w:rPr>
        <w:t>ri</w:t>
      </w:r>
      <w:r w:rsidR="00FA58D3" w:rsidRPr="0071782F">
        <w:rPr>
          <w:lang w:val="fr-CH"/>
        </w:rPr>
        <w:t xml:space="preserve">els et </w:t>
      </w:r>
      <w:r w:rsidRPr="0071782F">
        <w:rPr>
          <w:lang w:val="fr-CH"/>
        </w:rPr>
        <w:t>intellectu</w:t>
      </w:r>
      <w:r w:rsidR="00FA58D3" w:rsidRPr="0071782F">
        <w:rPr>
          <w:lang w:val="fr-CH"/>
        </w:rPr>
        <w:t>els</w:t>
      </w:r>
      <w:r w:rsidRPr="0071782F">
        <w:rPr>
          <w:lang w:val="fr-CH"/>
        </w:rPr>
        <w:t>.</w:t>
      </w:r>
    </w:p>
    <w:p w:rsidR="009F7C7F" w:rsidRPr="0071782F" w:rsidRDefault="009F7C7F" w:rsidP="00496C06">
      <w:pPr>
        <w:pStyle w:val="SingleTxtG"/>
        <w:ind w:left="1701"/>
        <w:rPr>
          <w:lang w:val="fr-CH"/>
        </w:rPr>
      </w:pPr>
      <w:r w:rsidRPr="0071782F">
        <w:rPr>
          <w:lang w:val="fr-CH"/>
        </w:rPr>
        <w:t>149.11</w:t>
      </w:r>
      <w:r w:rsidR="00C64DB1" w:rsidRPr="0071782F">
        <w:rPr>
          <w:lang w:val="fr-CH"/>
        </w:rPr>
        <w:t>.</w:t>
      </w:r>
      <w:r w:rsidRPr="0071782F">
        <w:rPr>
          <w:lang w:val="fr-CH"/>
        </w:rPr>
        <w:t xml:space="preserve"> </w:t>
      </w:r>
      <w:r w:rsidR="00E418E1" w:rsidRPr="0071782F">
        <w:rPr>
          <w:lang w:val="fr-CH"/>
        </w:rPr>
        <w:t xml:space="preserve">Exalter l’importance et les valeurs de </w:t>
      </w:r>
      <w:r w:rsidR="00B71907" w:rsidRPr="0071782F">
        <w:rPr>
          <w:lang w:val="fr-CH"/>
        </w:rPr>
        <w:t>la famille</w:t>
      </w:r>
      <w:r w:rsidR="00E418E1" w:rsidRPr="0071782F">
        <w:rPr>
          <w:lang w:val="fr-CH"/>
        </w:rPr>
        <w:t xml:space="preserve"> en désignant à cette fin certains jours de l’année et en présentant </w:t>
      </w:r>
      <w:r w:rsidR="004E45FB" w:rsidRPr="0071782F">
        <w:rPr>
          <w:lang w:val="fr-CH"/>
        </w:rPr>
        <w:t>des familles</w:t>
      </w:r>
      <w:r w:rsidR="00E418E1" w:rsidRPr="0071782F">
        <w:rPr>
          <w:lang w:val="fr-CH"/>
        </w:rPr>
        <w:t xml:space="preserve"> exemplaires</w:t>
      </w:r>
      <w:r w:rsidRPr="0071782F">
        <w:rPr>
          <w:lang w:val="fr-CH"/>
        </w:rPr>
        <w:t>.</w:t>
      </w:r>
    </w:p>
    <w:p w:rsidR="009F7C7F" w:rsidRPr="0071782F" w:rsidRDefault="009F7C7F" w:rsidP="00496C06">
      <w:pPr>
        <w:pStyle w:val="SingleTxtG"/>
        <w:ind w:left="1701"/>
        <w:rPr>
          <w:lang w:val="fr-CH"/>
        </w:rPr>
      </w:pPr>
      <w:r w:rsidRPr="0071782F">
        <w:rPr>
          <w:lang w:val="fr-CH"/>
        </w:rPr>
        <w:t>149.12</w:t>
      </w:r>
      <w:r w:rsidR="00C64DB1" w:rsidRPr="0071782F">
        <w:rPr>
          <w:lang w:val="fr-CH"/>
        </w:rPr>
        <w:t>.</w:t>
      </w:r>
      <w:r w:rsidRPr="0071782F">
        <w:rPr>
          <w:lang w:val="fr-CH"/>
        </w:rPr>
        <w:t xml:space="preserve"> </w:t>
      </w:r>
      <w:r w:rsidR="00E418E1" w:rsidRPr="0071782F">
        <w:rPr>
          <w:lang w:val="fr-CH"/>
        </w:rPr>
        <w:t xml:space="preserve">Inciter les femmes à </w:t>
      </w:r>
      <w:r w:rsidRPr="0071782F">
        <w:rPr>
          <w:lang w:val="fr-CH"/>
        </w:rPr>
        <w:t>accept</w:t>
      </w:r>
      <w:r w:rsidR="00E418E1" w:rsidRPr="0071782F">
        <w:rPr>
          <w:lang w:val="fr-CH"/>
        </w:rPr>
        <w:t xml:space="preserve">er des rôles sociaux bien adaptés à leur personnalité en tant que mères et épouses, et contribuer à améliorer l’efficacité des activités familiales. </w:t>
      </w:r>
    </w:p>
    <w:p w:rsidR="009F7C7F" w:rsidRPr="0071782F" w:rsidRDefault="009F7C7F" w:rsidP="00496C06">
      <w:pPr>
        <w:pStyle w:val="SingleTxtG"/>
        <w:ind w:left="1701"/>
        <w:rPr>
          <w:lang w:val="fr-CH"/>
        </w:rPr>
      </w:pPr>
      <w:r w:rsidRPr="0071782F">
        <w:rPr>
          <w:lang w:val="fr-CH"/>
        </w:rPr>
        <w:t>149.13</w:t>
      </w:r>
      <w:r w:rsidR="00C64DB1" w:rsidRPr="0071782F">
        <w:rPr>
          <w:lang w:val="fr-CH"/>
        </w:rPr>
        <w:t>.</w:t>
      </w:r>
      <w:r w:rsidRPr="0071782F">
        <w:rPr>
          <w:lang w:val="fr-CH"/>
        </w:rPr>
        <w:t xml:space="preserve"> </w:t>
      </w:r>
      <w:r w:rsidR="00D72612" w:rsidRPr="0071782F">
        <w:rPr>
          <w:lang w:val="fr-CH"/>
        </w:rPr>
        <w:t xml:space="preserve">Présenter, par le biais des médias et des manuels scolaires, les fonctions </w:t>
      </w:r>
      <w:r w:rsidRPr="0071782F">
        <w:rPr>
          <w:lang w:val="fr-CH"/>
        </w:rPr>
        <w:t>biologi</w:t>
      </w:r>
      <w:r w:rsidR="00D72612" w:rsidRPr="0071782F">
        <w:rPr>
          <w:lang w:val="fr-CH"/>
        </w:rPr>
        <w:t>ques, intellectuelles</w:t>
      </w:r>
      <w:r w:rsidRPr="0071782F">
        <w:rPr>
          <w:lang w:val="fr-CH"/>
        </w:rPr>
        <w:t>, psychologi</w:t>
      </w:r>
      <w:r w:rsidR="00D72612" w:rsidRPr="0071782F">
        <w:rPr>
          <w:lang w:val="fr-CH"/>
        </w:rPr>
        <w:t>ques</w:t>
      </w:r>
      <w:r w:rsidRPr="0071782F">
        <w:rPr>
          <w:lang w:val="fr-CH"/>
        </w:rPr>
        <w:t>, mental</w:t>
      </w:r>
      <w:r w:rsidR="00D72612" w:rsidRPr="0071782F">
        <w:rPr>
          <w:lang w:val="fr-CH"/>
        </w:rPr>
        <w:t>es</w:t>
      </w:r>
      <w:r w:rsidRPr="0071782F">
        <w:rPr>
          <w:lang w:val="fr-CH"/>
        </w:rPr>
        <w:t xml:space="preserve"> </w:t>
      </w:r>
      <w:r w:rsidR="00D72612" w:rsidRPr="0071782F">
        <w:rPr>
          <w:lang w:val="fr-CH"/>
        </w:rPr>
        <w:t xml:space="preserve">et affectives de </w:t>
      </w:r>
      <w:r w:rsidR="00B71907" w:rsidRPr="0071782F">
        <w:rPr>
          <w:lang w:val="fr-CH"/>
        </w:rPr>
        <w:t>la famille</w:t>
      </w:r>
      <w:r w:rsidR="00D72612" w:rsidRPr="0071782F">
        <w:rPr>
          <w:lang w:val="fr-CH"/>
        </w:rPr>
        <w:t xml:space="preserve"> comme étant le contexte le mieux adapté à l’enrichissement culturel et au développement de la société</w:t>
      </w:r>
      <w:r w:rsidRPr="0071782F">
        <w:rPr>
          <w:lang w:val="fr-CH"/>
        </w:rPr>
        <w:t>.</w:t>
      </w:r>
    </w:p>
    <w:p w:rsidR="009F7C7F" w:rsidRPr="0071782F" w:rsidRDefault="009F7C7F" w:rsidP="00496C06">
      <w:pPr>
        <w:pStyle w:val="SingleTxtG"/>
        <w:ind w:left="1701"/>
        <w:rPr>
          <w:lang w:val="fr-CH"/>
        </w:rPr>
      </w:pPr>
      <w:r w:rsidRPr="0071782F">
        <w:rPr>
          <w:lang w:val="fr-CH"/>
        </w:rPr>
        <w:t>149.14</w:t>
      </w:r>
      <w:r w:rsidR="00C64DB1" w:rsidRPr="0071782F">
        <w:rPr>
          <w:lang w:val="fr-CH"/>
        </w:rPr>
        <w:t>.</w:t>
      </w:r>
      <w:r w:rsidRPr="0071782F">
        <w:rPr>
          <w:lang w:val="fr-CH"/>
        </w:rPr>
        <w:t xml:space="preserve"> Promo</w:t>
      </w:r>
      <w:r w:rsidR="00A87D3B" w:rsidRPr="0071782F">
        <w:rPr>
          <w:lang w:val="fr-CH"/>
        </w:rPr>
        <w:t>uvoir un esprit de coopération et de loyauté mutuelles entre l’homme et la femme dans la vie commune et dans les périodes de crise familiale et éviter de donner une présentation machiste des hommes ou des femmes dans les émissions radiodiffusées.</w:t>
      </w:r>
    </w:p>
    <w:p w:rsidR="009F7C7F" w:rsidRPr="0071782F" w:rsidRDefault="009F7C7F" w:rsidP="00496C06">
      <w:pPr>
        <w:pStyle w:val="SingleTxtG"/>
        <w:ind w:left="1701"/>
        <w:rPr>
          <w:lang w:val="fr-CH"/>
        </w:rPr>
      </w:pPr>
      <w:r w:rsidRPr="0071782F">
        <w:rPr>
          <w:lang w:val="fr-CH"/>
        </w:rPr>
        <w:t>149.15</w:t>
      </w:r>
      <w:r w:rsidR="00C64DB1" w:rsidRPr="0071782F">
        <w:rPr>
          <w:lang w:val="fr-CH"/>
        </w:rPr>
        <w:t xml:space="preserve">. </w:t>
      </w:r>
      <w:r w:rsidR="006B10E2" w:rsidRPr="0071782F">
        <w:rPr>
          <w:lang w:val="fr-CH"/>
        </w:rPr>
        <w:t xml:space="preserve">Rappeler aux </w:t>
      </w:r>
      <w:r w:rsidRPr="0071782F">
        <w:rPr>
          <w:lang w:val="fr-CH"/>
        </w:rPr>
        <w:t xml:space="preserve">parents </w:t>
      </w:r>
      <w:r w:rsidR="006B10E2" w:rsidRPr="0071782F">
        <w:rPr>
          <w:lang w:val="fr-CH"/>
        </w:rPr>
        <w:t>qu’ils doivent consacrer suffisamment de temps à l’éducation de leurs enfants et à la satisfaction de leurs besoins affectifs, et les graves conséquences de la non-exécution de cette obligation</w:t>
      </w:r>
      <w:r w:rsidRPr="0071782F">
        <w:rPr>
          <w:lang w:val="fr-CH"/>
        </w:rPr>
        <w:t>.</w:t>
      </w:r>
    </w:p>
    <w:p w:rsidR="009F7C7F" w:rsidRPr="0071782F" w:rsidRDefault="009F7C7F" w:rsidP="00496C06">
      <w:pPr>
        <w:pStyle w:val="SingleTxtG"/>
        <w:ind w:left="1701"/>
        <w:rPr>
          <w:lang w:val="fr-CH"/>
        </w:rPr>
      </w:pPr>
      <w:r w:rsidRPr="0071782F">
        <w:rPr>
          <w:lang w:val="fr-CH"/>
        </w:rPr>
        <w:t>149.16</w:t>
      </w:r>
      <w:r w:rsidR="00C64DB1" w:rsidRPr="0071782F">
        <w:rPr>
          <w:lang w:val="fr-CH"/>
        </w:rPr>
        <w:t>.</w:t>
      </w:r>
      <w:r w:rsidRPr="0071782F">
        <w:rPr>
          <w:lang w:val="fr-CH"/>
        </w:rPr>
        <w:t xml:space="preserve"> </w:t>
      </w:r>
      <w:r w:rsidR="006B10E2" w:rsidRPr="0071782F">
        <w:rPr>
          <w:lang w:val="fr-CH"/>
        </w:rPr>
        <w:t>Sensibiliser les femmes à l’</w:t>
      </w:r>
      <w:r w:rsidRPr="0071782F">
        <w:rPr>
          <w:lang w:val="fr-CH"/>
        </w:rPr>
        <w:t xml:space="preserve">importance </w:t>
      </w:r>
      <w:r w:rsidR="006B10E2" w:rsidRPr="0071782F">
        <w:rPr>
          <w:lang w:val="fr-CH"/>
        </w:rPr>
        <w:t xml:space="preserve">pour la santé physique et mentale d’une nutrition </w:t>
      </w:r>
      <w:r w:rsidRPr="0071782F">
        <w:rPr>
          <w:lang w:val="fr-CH"/>
        </w:rPr>
        <w:t>appropri</w:t>
      </w:r>
      <w:r w:rsidR="006B10E2" w:rsidRPr="0071782F">
        <w:rPr>
          <w:lang w:val="fr-CH"/>
        </w:rPr>
        <w:t>ée</w:t>
      </w:r>
      <w:r w:rsidRPr="0071782F">
        <w:rPr>
          <w:lang w:val="fr-CH"/>
        </w:rPr>
        <w:t xml:space="preserve">, </w:t>
      </w:r>
      <w:r w:rsidR="006B10E2" w:rsidRPr="0071782F">
        <w:rPr>
          <w:lang w:val="fr-CH"/>
        </w:rPr>
        <w:t xml:space="preserve">de la pratique d’une activité physique </w:t>
      </w:r>
      <w:r w:rsidRPr="0071782F">
        <w:rPr>
          <w:lang w:val="fr-CH"/>
        </w:rPr>
        <w:t>suffi</w:t>
      </w:r>
      <w:r w:rsidR="006B10E2" w:rsidRPr="0071782F">
        <w:rPr>
          <w:lang w:val="fr-CH"/>
        </w:rPr>
        <w:t>sante et de l’hygiène personnelle, et à la nécessité pour l’État de répondre à ces besoins.</w:t>
      </w:r>
    </w:p>
    <w:p w:rsidR="009F7C7F" w:rsidRPr="0071782F" w:rsidRDefault="009F7C7F" w:rsidP="00496C06">
      <w:pPr>
        <w:pStyle w:val="SingleTxtG"/>
        <w:ind w:left="1701"/>
        <w:rPr>
          <w:lang w:val="fr-CH"/>
        </w:rPr>
      </w:pPr>
      <w:r w:rsidRPr="0071782F">
        <w:rPr>
          <w:lang w:val="fr-CH"/>
        </w:rPr>
        <w:t>149.17</w:t>
      </w:r>
      <w:r w:rsidR="00C64DB1" w:rsidRPr="0071782F">
        <w:rPr>
          <w:lang w:val="fr-CH"/>
        </w:rPr>
        <w:t>.</w:t>
      </w:r>
      <w:r w:rsidRPr="0071782F">
        <w:rPr>
          <w:lang w:val="fr-CH"/>
        </w:rPr>
        <w:t xml:space="preserve"> </w:t>
      </w:r>
      <w:r w:rsidR="007D4374" w:rsidRPr="0071782F">
        <w:rPr>
          <w:lang w:val="fr-CH"/>
        </w:rPr>
        <w:t xml:space="preserve">Promouvoir des modèles économiques de consommation au sein de </w:t>
      </w:r>
      <w:r w:rsidR="00B71907" w:rsidRPr="0071782F">
        <w:rPr>
          <w:lang w:val="fr-CH"/>
        </w:rPr>
        <w:t>la famille</w:t>
      </w:r>
      <w:r w:rsidR="007D4374" w:rsidRPr="0071782F">
        <w:rPr>
          <w:lang w:val="fr-CH"/>
        </w:rPr>
        <w:t xml:space="preserve"> et </w:t>
      </w:r>
      <w:r w:rsidR="004A4D40" w:rsidRPr="0071782F">
        <w:rPr>
          <w:lang w:val="fr-CH"/>
        </w:rPr>
        <w:t>créer des espaces dans lesquel</w:t>
      </w:r>
      <w:r w:rsidR="007D4374" w:rsidRPr="0071782F">
        <w:rPr>
          <w:lang w:val="fr-CH"/>
        </w:rPr>
        <w:t xml:space="preserve">s les femmes puissent exercer des activités productives à leur compte tout en accomplissant leurs tâches domestiques, afin de leur permettre de contribuer à l’économie de </w:t>
      </w:r>
      <w:r w:rsidR="00B71907" w:rsidRPr="0071782F">
        <w:rPr>
          <w:lang w:val="fr-CH"/>
        </w:rPr>
        <w:t>la famille</w:t>
      </w:r>
      <w:r w:rsidRPr="0071782F">
        <w:rPr>
          <w:lang w:val="fr-CH"/>
        </w:rPr>
        <w:t>.</w:t>
      </w:r>
    </w:p>
    <w:p w:rsidR="009F7C7F" w:rsidRPr="0071782F" w:rsidRDefault="009F7C7F" w:rsidP="00496C06">
      <w:pPr>
        <w:pStyle w:val="H23G"/>
        <w:rPr>
          <w:lang w:val="fr-CH"/>
        </w:rPr>
      </w:pPr>
      <w:r w:rsidRPr="0071782F">
        <w:rPr>
          <w:lang w:val="fr-CH"/>
        </w:rPr>
        <w:tab/>
      </w:r>
      <w:r w:rsidRPr="0071782F">
        <w:rPr>
          <w:lang w:val="fr-CH"/>
        </w:rPr>
        <w:tab/>
      </w:r>
      <w:r w:rsidR="00550509" w:rsidRPr="0071782F">
        <w:rPr>
          <w:lang w:val="fr-CH"/>
        </w:rPr>
        <w:t xml:space="preserve">Examen de certains indicateurs relatifs à l’évolution de </w:t>
      </w:r>
      <w:r w:rsidR="00B71907" w:rsidRPr="0071782F">
        <w:rPr>
          <w:lang w:val="fr-CH"/>
        </w:rPr>
        <w:t>la famille</w:t>
      </w:r>
      <w:r w:rsidR="00550509" w:rsidRPr="0071782F">
        <w:rPr>
          <w:lang w:val="fr-CH"/>
        </w:rPr>
        <w:t xml:space="preserve"> </w:t>
      </w:r>
    </w:p>
    <w:p w:rsidR="009F7C7F" w:rsidRPr="0071782F" w:rsidRDefault="00F67961" w:rsidP="00B27C58">
      <w:pPr>
        <w:pStyle w:val="SingleTxtG"/>
        <w:rPr>
          <w:lang w:val="fr-CH"/>
        </w:rPr>
      </w:pPr>
      <w:r w:rsidRPr="0071782F">
        <w:rPr>
          <w:lang w:val="fr-CH"/>
        </w:rPr>
      </w:r>
      <w:r w:rsidRPr="0071782F">
        <w:rPr>
          <w:lang w:val="fr-CH"/>
        </w:rPr>
        <w:pict>
          <v:group id="_x0000_s1115" style="width:388.25pt;height:199.3pt;mso-position-horizontal-relative:char;mso-position-vertical-relative:line" coordorigin="1676,2138" coordsize="7765,3986">
            <v:shape id="Picture 48" o:spid="_x0000_s1116" type="#_x0000_t75" style="position:absolute;left:1676;top:2138;width:7765;height:3986;visibility:visible" wrapcoords="-39 0 -39 21536 21600 21536 21600 0 -39 0">
              <v:imagedata r:id="rId17" o:title=""/>
            </v:shape>
            <v:shapetype id="_x0000_t202" coordsize="21600,21600" o:spt="202" path="m,l,21600r21600,l21600,xe">
              <v:stroke joinstyle="miter"/>
              <v:path gradientshapeok="t" o:connecttype="rect"/>
            </v:shapetype>
            <v:shape id="Text Box 46" o:spid="_x0000_s1117" type="#_x0000_t202" style="position:absolute;left:3681;top:2344;width:4320;height: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" strokecolor="white">
              <v:textbox style="mso-next-textbox:#Text Box 46" inset="0,0,0,0">
                <w:txbxContent>
                  <w:p w:rsidR="002847E7" w:rsidRPr="002357C9" w:rsidRDefault="002847E7" w:rsidP="00F67961">
                    <w:pPr>
                      <w:jc w:val="center"/>
                      <w:rPr>
                        <w:lang w:bidi="fa-IR"/>
                      </w:rPr>
                    </w:pPr>
                    <w:r>
                      <w:t>Ratio d</w:t>
                    </w:r>
                    <w:r w:rsidRPr="00DB4571">
                      <w:t>ivorce</w:t>
                    </w:r>
                    <w:r>
                      <w:t>s/</w:t>
                    </w:r>
                    <w:r w:rsidRPr="00DB4571">
                      <w:t>mar</w:t>
                    </w:r>
                    <w:r>
                      <w:t>i</w:t>
                    </w:r>
                    <w:r w:rsidRPr="00DB4571">
                      <w:t>age</w:t>
                    </w:r>
                    <w:r>
                      <w:t>s</w:t>
                    </w:r>
                    <w:r w:rsidRPr="00DB4571">
                      <w:t xml:space="preserve"> 1976</w:t>
                    </w:r>
                    <w:r>
                      <w:t>-</w:t>
                    </w:r>
                    <w:r w:rsidRPr="00DB4571">
                      <w:t>2007</w:t>
                    </w:r>
                  </w:p>
                </w:txbxContent>
              </v:textbox>
            </v:shape>
            <v:shape id="Text Box 47" o:spid="_x0000_s1118" type="#_x0000_t202" style="position:absolute;left:1959;top:2524;width:500;height:321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" filled="f" strokecolor="white">
              <v:textbox style="mso-next-textbox:#Text Box 47" inset="0,0,0,0">
                <w:txbxContent>
                  <w:p w:rsidR="002847E7" w:rsidRPr="002357C9" w:rsidRDefault="002847E7" w:rsidP="00F67961">
                    <w:pPr>
                      <w:spacing w:before="240"/>
                      <w:jc w:val="right"/>
                      <w:rPr>
                        <w:noProof/>
                      </w:rPr>
                    </w:pPr>
                    <w:r w:rsidRPr="002357C9">
                      <w:rPr>
                        <w:noProof/>
                      </w:rPr>
                      <w:t>0</w:t>
                    </w:r>
                    <w:r>
                      <w:rPr>
                        <w:noProof/>
                      </w:rPr>
                      <w:t>,</w:t>
                    </w:r>
                    <w:r w:rsidRPr="002357C9">
                      <w:rPr>
                        <w:noProof/>
                      </w:rPr>
                      <w:t>14</w:t>
                    </w:r>
                  </w:p>
                  <w:p w:rsidR="002847E7" w:rsidRPr="002357C9" w:rsidRDefault="002847E7" w:rsidP="00F67961">
                    <w:pPr>
                      <w:spacing w:before="120"/>
                      <w:jc w:val="right"/>
                      <w:rPr>
                        <w:noProof/>
                      </w:rPr>
                    </w:pPr>
                    <w:r w:rsidRPr="002357C9">
                      <w:rPr>
                        <w:noProof/>
                      </w:rPr>
                      <w:t>0</w:t>
                    </w:r>
                    <w:r>
                      <w:rPr>
                        <w:noProof/>
                      </w:rPr>
                      <w:t>,</w:t>
                    </w:r>
                    <w:r w:rsidRPr="002357C9">
                      <w:rPr>
                        <w:noProof/>
                      </w:rPr>
                      <w:t>12</w:t>
                    </w:r>
                  </w:p>
                  <w:p w:rsidR="002847E7" w:rsidRPr="002357C9" w:rsidRDefault="002847E7" w:rsidP="00F67961">
                    <w:pPr>
                      <w:spacing w:before="120"/>
                      <w:jc w:val="right"/>
                      <w:rPr>
                        <w:noProof/>
                      </w:rPr>
                    </w:pPr>
                    <w:r w:rsidRPr="002357C9">
                      <w:rPr>
                        <w:noProof/>
                      </w:rPr>
                      <w:t>0</w:t>
                    </w:r>
                    <w:r>
                      <w:rPr>
                        <w:noProof/>
                      </w:rPr>
                      <w:t>,</w:t>
                    </w:r>
                    <w:r w:rsidRPr="002357C9">
                      <w:rPr>
                        <w:noProof/>
                      </w:rPr>
                      <w:t>1</w:t>
                    </w:r>
                  </w:p>
                  <w:p w:rsidR="002847E7" w:rsidRPr="002357C9" w:rsidRDefault="002847E7" w:rsidP="00F67961">
                    <w:pPr>
                      <w:spacing w:before="160"/>
                      <w:jc w:val="right"/>
                      <w:rPr>
                        <w:noProof/>
                      </w:rPr>
                    </w:pPr>
                    <w:r w:rsidRPr="002357C9">
                      <w:rPr>
                        <w:noProof/>
                      </w:rPr>
                      <w:t>0</w:t>
                    </w:r>
                    <w:r>
                      <w:rPr>
                        <w:noProof/>
                      </w:rPr>
                      <w:t>,</w:t>
                    </w:r>
                    <w:r w:rsidRPr="002357C9">
                      <w:rPr>
                        <w:noProof/>
                      </w:rPr>
                      <w:t>08</w:t>
                    </w:r>
                  </w:p>
                  <w:p w:rsidR="002847E7" w:rsidRPr="002357C9" w:rsidRDefault="002847E7" w:rsidP="00F67961">
                    <w:pPr>
                      <w:spacing w:before="240" w:line="120" w:lineRule="auto"/>
                      <w:jc w:val="right"/>
                      <w:rPr>
                        <w:noProof/>
                      </w:rPr>
                    </w:pPr>
                    <w:r w:rsidRPr="002357C9">
                      <w:rPr>
                        <w:noProof/>
                      </w:rPr>
                      <w:t>0</w:t>
                    </w:r>
                    <w:r>
                      <w:rPr>
                        <w:noProof/>
                      </w:rPr>
                      <w:t>,</w:t>
                    </w:r>
                    <w:r w:rsidRPr="002357C9">
                      <w:rPr>
                        <w:noProof/>
                      </w:rPr>
                      <w:t>06</w:t>
                    </w:r>
                  </w:p>
                  <w:p w:rsidR="002847E7" w:rsidRPr="002357C9" w:rsidRDefault="002847E7" w:rsidP="00F67961">
                    <w:pPr>
                      <w:spacing w:before="240" w:line="120" w:lineRule="auto"/>
                      <w:jc w:val="right"/>
                      <w:rPr>
                        <w:noProof/>
                      </w:rPr>
                    </w:pPr>
                    <w:r w:rsidRPr="002357C9">
                      <w:rPr>
                        <w:noProof/>
                      </w:rPr>
                      <w:t>0</w:t>
                    </w:r>
                    <w:r>
                      <w:rPr>
                        <w:noProof/>
                      </w:rPr>
                      <w:t>,</w:t>
                    </w:r>
                    <w:r w:rsidRPr="002357C9">
                      <w:rPr>
                        <w:noProof/>
                      </w:rPr>
                      <w:t>04</w:t>
                    </w:r>
                  </w:p>
                  <w:p w:rsidR="002847E7" w:rsidRPr="002357C9" w:rsidRDefault="002847E7" w:rsidP="00F67961">
                    <w:pPr>
                      <w:spacing w:before="160"/>
                      <w:jc w:val="right"/>
                      <w:rPr>
                        <w:noProof/>
                      </w:rPr>
                    </w:pPr>
                    <w:r w:rsidRPr="002357C9">
                      <w:rPr>
                        <w:noProof/>
                      </w:rPr>
                      <w:t>0</w:t>
                    </w:r>
                    <w:r>
                      <w:rPr>
                        <w:noProof/>
                      </w:rPr>
                      <w:t>,</w:t>
                    </w:r>
                    <w:r w:rsidRPr="002357C9">
                      <w:rPr>
                        <w:noProof/>
                      </w:rPr>
                      <w:t>02</w:t>
                    </w:r>
                  </w:p>
                  <w:p w:rsidR="002847E7" w:rsidRPr="002357C9" w:rsidRDefault="002847E7" w:rsidP="00F67961">
                    <w:pPr>
                      <w:spacing w:before="120"/>
                      <w:jc w:val="right"/>
                      <w:rPr>
                        <w:noProof/>
                      </w:rPr>
                    </w:pPr>
                    <w:r w:rsidRPr="002357C9">
                      <w:rPr>
                        <w:noProof/>
                      </w:rPr>
                      <w:t>0</w:t>
                    </w:r>
                    <w:r>
                      <w:rPr>
                        <w:noProof/>
                      </w:rPr>
                      <w:t>,</w:t>
                    </w:r>
                    <w:r w:rsidRPr="002357C9">
                      <w:rPr>
                        <w:noProof/>
                      </w:rPr>
                      <w:t>0</w:t>
                    </w:r>
                  </w:p>
                </w:txbxContent>
              </v:textbox>
            </v:shape>
            <v:shape id="Text Box 49" o:spid="_x0000_s1119" type="#_x0000_t202" style="position:absolute;left:2835;top:5521;width:6200;height: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" filled="f" stroked="f" strokecolor="white">
              <v:textbox style="mso-next-textbox:#Text Box 49" inset="0,0,0,0">
                <w:txbxContent>
                  <w:p w:rsidR="002847E7" w:rsidRDefault="002847E7" w:rsidP="00F67961">
                    <w:r>
                      <w:t>1976          1981         1986       1991       1996        2001        2006      2007</w:t>
                    </w:r>
                  </w:p>
                </w:txbxContent>
              </v:textbox>
            </v:shape>
            <w10:anchorlock/>
          </v:group>
        </w:pict>
      </w:r>
    </w:p>
    <w:p w:rsidR="009F7C7F" w:rsidRPr="0071782F" w:rsidRDefault="009F7C7F" w:rsidP="00E01C5F">
      <w:pPr>
        <w:pStyle w:val="SingleTxtG"/>
        <w:spacing w:before="240" w:after="0"/>
        <w:rPr>
          <w:lang w:val="fr-CH"/>
        </w:rPr>
      </w:pPr>
      <w:r w:rsidRPr="0071782F">
        <w:rPr>
          <w:lang w:val="fr-CH"/>
        </w:rPr>
        <w:t>150.</w:t>
      </w:r>
      <w:r w:rsidRPr="0071782F">
        <w:rPr>
          <w:lang w:val="fr-CH"/>
        </w:rPr>
        <w:tab/>
      </w:r>
      <w:r w:rsidR="004F07CF" w:rsidRPr="0071782F">
        <w:rPr>
          <w:lang w:val="fr-CH"/>
        </w:rPr>
        <w:t xml:space="preserve">Pendant la période 1976-2007, le taux d’accroissement du </w:t>
      </w:r>
      <w:r w:rsidRPr="0071782F">
        <w:rPr>
          <w:lang w:val="fr-CH"/>
        </w:rPr>
        <w:t>ratio divorce</w:t>
      </w:r>
      <w:r w:rsidR="004F07CF" w:rsidRPr="0071782F">
        <w:rPr>
          <w:lang w:val="fr-CH"/>
        </w:rPr>
        <w:t xml:space="preserve">s/mariages a été de </w:t>
      </w:r>
      <w:r w:rsidRPr="0071782F">
        <w:rPr>
          <w:lang w:val="fr-CH"/>
        </w:rPr>
        <w:t>-26</w:t>
      </w:r>
      <w:r w:rsidR="004F07CF" w:rsidRPr="0071782F">
        <w:rPr>
          <w:lang w:val="fr-CH"/>
        </w:rPr>
        <w:t>,</w:t>
      </w:r>
      <w:r w:rsidRPr="0071782F">
        <w:rPr>
          <w:lang w:val="fr-CH"/>
        </w:rPr>
        <w:t>47</w:t>
      </w:r>
      <w:r w:rsidR="007E5125" w:rsidRPr="0071782F">
        <w:rPr>
          <w:lang w:val="fr-CH"/>
        </w:rPr>
        <w:t>%</w:t>
      </w:r>
      <w:r w:rsidRPr="0071782F">
        <w:rPr>
          <w:lang w:val="fr-CH"/>
        </w:rPr>
        <w:t xml:space="preserve">. </w:t>
      </w:r>
      <w:r w:rsidR="004F07CF" w:rsidRPr="0071782F">
        <w:rPr>
          <w:lang w:val="fr-CH"/>
        </w:rPr>
        <w:t xml:space="preserve">Au cours de la même période, le </w:t>
      </w:r>
      <w:r w:rsidR="003B48A4" w:rsidRPr="0071782F">
        <w:rPr>
          <w:lang w:val="fr-CH"/>
        </w:rPr>
        <w:t>nombre</w:t>
      </w:r>
      <w:r w:rsidR="004F07CF" w:rsidRPr="0071782F">
        <w:rPr>
          <w:lang w:val="fr-CH"/>
        </w:rPr>
        <w:t xml:space="preserve"> des </w:t>
      </w:r>
      <w:r w:rsidRPr="0071782F">
        <w:rPr>
          <w:lang w:val="fr-CH"/>
        </w:rPr>
        <w:t xml:space="preserve">mariages </w:t>
      </w:r>
      <w:r w:rsidR="004F07CF" w:rsidRPr="0071782F">
        <w:rPr>
          <w:lang w:val="fr-CH"/>
        </w:rPr>
        <w:t xml:space="preserve">et celui des </w:t>
      </w:r>
      <w:r w:rsidRPr="0071782F">
        <w:rPr>
          <w:lang w:val="fr-CH"/>
        </w:rPr>
        <w:t xml:space="preserve">divorces </w:t>
      </w:r>
      <w:r w:rsidR="004F07CF" w:rsidRPr="0071782F">
        <w:rPr>
          <w:lang w:val="fr-CH"/>
        </w:rPr>
        <w:t xml:space="preserve">ont enregistré des taux d’accroissement de </w:t>
      </w:r>
      <w:r w:rsidRPr="0071782F">
        <w:rPr>
          <w:lang w:val="fr-CH"/>
        </w:rPr>
        <w:t>653</w:t>
      </w:r>
      <w:r w:rsidR="007E5125" w:rsidRPr="0071782F">
        <w:rPr>
          <w:lang w:val="fr-CH"/>
        </w:rPr>
        <w:t>%</w:t>
      </w:r>
      <w:r w:rsidRPr="0071782F">
        <w:rPr>
          <w:lang w:val="fr-CH"/>
        </w:rPr>
        <w:t xml:space="preserve"> </w:t>
      </w:r>
      <w:r w:rsidR="004F07CF" w:rsidRPr="0071782F">
        <w:rPr>
          <w:lang w:val="fr-CH"/>
        </w:rPr>
        <w:t>et</w:t>
      </w:r>
      <w:r w:rsidRPr="0071782F">
        <w:rPr>
          <w:lang w:val="fr-CH"/>
        </w:rPr>
        <w:t xml:space="preserve"> 452</w:t>
      </w:r>
      <w:r w:rsidR="007E5125" w:rsidRPr="0071782F">
        <w:rPr>
          <w:lang w:val="fr-CH"/>
        </w:rPr>
        <w:t>%</w:t>
      </w:r>
      <w:r w:rsidR="004F07CF" w:rsidRPr="0071782F">
        <w:rPr>
          <w:lang w:val="fr-CH"/>
        </w:rPr>
        <w:t>, respectivement</w:t>
      </w:r>
      <w:r w:rsidRPr="0071782F">
        <w:rPr>
          <w:lang w:val="fr-CH"/>
        </w:rPr>
        <w:t xml:space="preserve">. </w:t>
      </w:r>
    </w:p>
    <w:p w:rsidR="009F7C7F" w:rsidRPr="0071782F" w:rsidRDefault="009F7C7F" w:rsidP="00496C06">
      <w:pPr>
        <w:pStyle w:val="H23G"/>
        <w:rPr>
          <w:lang w:val="fr-CH"/>
        </w:rPr>
      </w:pPr>
      <w:r w:rsidRPr="0071782F">
        <w:rPr>
          <w:lang w:val="fr-CH"/>
        </w:rPr>
        <w:tab/>
      </w:r>
      <w:r w:rsidRPr="0071782F">
        <w:rPr>
          <w:lang w:val="fr-CH"/>
        </w:rPr>
        <w:tab/>
      </w:r>
      <w:r w:rsidR="004F07CF" w:rsidRPr="0071782F">
        <w:rPr>
          <w:lang w:val="fr-CH"/>
        </w:rPr>
        <w:t>Âge moyen</w:t>
      </w:r>
      <w:r w:rsidRPr="0071782F">
        <w:rPr>
          <w:b w:val="0"/>
          <w:i/>
          <w:vertAlign w:val="superscript"/>
          <w:lang w:val="fr-CH"/>
        </w:rPr>
        <w:t>(1)</w:t>
      </w:r>
      <w:r w:rsidRPr="0071782F">
        <w:rPr>
          <w:lang w:val="fr-CH"/>
        </w:rPr>
        <w:t xml:space="preserve"> </w:t>
      </w:r>
      <w:r w:rsidR="004F07CF" w:rsidRPr="0071782F">
        <w:rPr>
          <w:lang w:val="fr-CH"/>
        </w:rPr>
        <w:t>au premier mariage en milieu urbain et rural, selon le sexe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53"/>
        <w:gridCol w:w="1052"/>
        <w:gridCol w:w="1053"/>
        <w:gridCol w:w="1052"/>
        <w:gridCol w:w="1053"/>
        <w:gridCol w:w="1053"/>
        <w:gridCol w:w="1054"/>
      </w:tblGrid>
      <w:tr w:rsidR="009F7C7F" w:rsidRPr="0071782F">
        <w:trPr>
          <w:tblHeader/>
        </w:trPr>
        <w:tc>
          <w:tcPr>
            <w:tcW w:w="1053" w:type="dxa"/>
            <w:vMerge w:val="restart"/>
            <w:tcBorders>
              <w:top w:val="single" w:sz="4" w:space="0" w:color="auto"/>
              <w:right w:val="single" w:sz="24" w:space="0" w:color="FFFFFF"/>
            </w:tcBorders>
            <w:shd w:val="clear" w:color="auto" w:fill="auto"/>
            <w:vAlign w:val="bottom"/>
          </w:tcPr>
          <w:p w:rsidR="009F7C7F" w:rsidRPr="0071782F" w:rsidRDefault="004F07CF" w:rsidP="00C27D02">
            <w:pPr>
              <w:keepNext/>
              <w:suppressAutoHyphens w:val="0"/>
              <w:spacing w:before="80" w:after="80" w:line="200" w:lineRule="exact"/>
              <w:rPr>
                <w:i/>
                <w:sz w:val="16"/>
                <w:lang w:val="fr-CH"/>
              </w:rPr>
            </w:pPr>
            <w:r w:rsidRPr="0071782F">
              <w:rPr>
                <w:i/>
                <w:sz w:val="16"/>
                <w:lang w:val="fr-CH"/>
              </w:rPr>
              <w:t>Année</w:t>
            </w:r>
          </w:p>
        </w:tc>
        <w:tc>
          <w:tcPr>
            <w:tcW w:w="210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9F7C7F" w:rsidRPr="0071782F" w:rsidRDefault="004F07CF" w:rsidP="00C27D02">
            <w:pPr>
              <w:keepNext/>
              <w:suppressAutoHyphens w:val="0"/>
              <w:spacing w:before="80" w:after="80" w:line="200" w:lineRule="exact"/>
              <w:jc w:val="center"/>
              <w:rPr>
                <w:i/>
                <w:sz w:val="16"/>
                <w:lang w:val="fr-CH"/>
              </w:rPr>
            </w:pPr>
            <w:r w:rsidRPr="0071782F">
              <w:rPr>
                <w:i/>
                <w:sz w:val="16"/>
                <w:lang w:val="fr-CH"/>
              </w:rPr>
              <w:t>Ensemble du pays</w:t>
            </w:r>
          </w:p>
        </w:tc>
        <w:tc>
          <w:tcPr>
            <w:tcW w:w="210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9F7C7F" w:rsidRPr="0071782F" w:rsidRDefault="004F07CF" w:rsidP="00C27D02">
            <w:pPr>
              <w:keepNext/>
              <w:suppressAutoHyphens w:val="0"/>
              <w:spacing w:before="80" w:after="80" w:line="200" w:lineRule="exact"/>
              <w:jc w:val="center"/>
              <w:rPr>
                <w:i/>
                <w:sz w:val="16"/>
                <w:lang w:val="fr-CH"/>
              </w:rPr>
            </w:pPr>
            <w:r w:rsidRPr="0071782F">
              <w:rPr>
                <w:i/>
                <w:sz w:val="16"/>
                <w:lang w:val="fr-CH"/>
              </w:rPr>
              <w:t xml:space="preserve">Milieu urbain </w:t>
            </w:r>
          </w:p>
        </w:tc>
        <w:tc>
          <w:tcPr>
            <w:tcW w:w="2107" w:type="dxa"/>
            <w:gridSpan w:val="2"/>
            <w:tcBorders>
              <w:top w:val="single" w:sz="4" w:space="0" w:color="auto"/>
              <w:left w:val="single" w:sz="24" w:space="0" w:color="FFFFFF"/>
              <w:bottom w:val="single" w:sz="4" w:space="0" w:color="auto"/>
            </w:tcBorders>
            <w:shd w:val="clear" w:color="auto" w:fill="auto"/>
            <w:vAlign w:val="bottom"/>
          </w:tcPr>
          <w:p w:rsidR="009F7C7F" w:rsidRPr="0071782F" w:rsidRDefault="004F07CF" w:rsidP="00C27D02">
            <w:pPr>
              <w:keepNext/>
              <w:suppressAutoHyphens w:val="0"/>
              <w:spacing w:before="80" w:after="80" w:line="200" w:lineRule="exact"/>
              <w:jc w:val="center"/>
              <w:rPr>
                <w:i/>
                <w:sz w:val="16"/>
                <w:lang w:val="fr-CH"/>
              </w:rPr>
            </w:pPr>
            <w:r w:rsidRPr="0071782F">
              <w:rPr>
                <w:i/>
                <w:sz w:val="16"/>
                <w:lang w:val="fr-CH"/>
              </w:rPr>
              <w:t>Milieu rural</w:t>
            </w:r>
          </w:p>
        </w:tc>
      </w:tr>
      <w:tr w:rsidR="009F7C7F" w:rsidRPr="0071782F">
        <w:trPr>
          <w:tblHeader/>
        </w:trPr>
        <w:tc>
          <w:tcPr>
            <w:tcW w:w="1053" w:type="dxa"/>
            <w:vMerge/>
            <w:tcBorders>
              <w:bottom w:val="single" w:sz="12" w:space="0" w:color="auto"/>
              <w:right w:val="single" w:sz="24" w:space="0" w:color="FFFFFF"/>
            </w:tcBorders>
            <w:shd w:val="clear" w:color="auto" w:fill="auto"/>
            <w:vAlign w:val="bottom"/>
          </w:tcPr>
          <w:p w:rsidR="009F7C7F" w:rsidRPr="0071782F" w:rsidRDefault="009F7C7F" w:rsidP="00C27D02">
            <w:pPr>
              <w:keepNext/>
              <w:suppressAutoHyphens w:val="0"/>
              <w:spacing w:before="80" w:after="80" w:line="200" w:lineRule="exact"/>
              <w:rPr>
                <w:i/>
                <w:sz w:val="16"/>
                <w:szCs w:val="16"/>
                <w:lang w:val="fr-CH"/>
              </w:rPr>
            </w:pPr>
          </w:p>
        </w:tc>
        <w:tc>
          <w:tcPr>
            <w:tcW w:w="1052" w:type="dxa"/>
            <w:tcBorders>
              <w:top w:val="single" w:sz="4" w:space="0" w:color="auto"/>
              <w:left w:val="single" w:sz="24" w:space="0" w:color="FFFFFF"/>
              <w:bottom w:val="single" w:sz="12" w:space="0" w:color="auto"/>
            </w:tcBorders>
            <w:shd w:val="clear" w:color="auto" w:fill="auto"/>
            <w:vAlign w:val="bottom"/>
          </w:tcPr>
          <w:p w:rsidR="009F7C7F" w:rsidRPr="0071782F" w:rsidRDefault="004F07CF" w:rsidP="00C27D02">
            <w:pPr>
              <w:keepNext/>
              <w:suppressAutoHyphens w:val="0"/>
              <w:spacing w:before="80" w:after="80" w:line="200" w:lineRule="exact"/>
              <w:jc w:val="right"/>
              <w:rPr>
                <w:i/>
                <w:sz w:val="16"/>
                <w:szCs w:val="16"/>
                <w:lang w:val="fr-CH"/>
              </w:rPr>
            </w:pPr>
            <w:r w:rsidRPr="0071782F">
              <w:rPr>
                <w:i/>
                <w:sz w:val="16"/>
                <w:szCs w:val="16"/>
                <w:lang w:val="fr-CH"/>
              </w:rPr>
              <w:t>Hommes</w:t>
            </w:r>
          </w:p>
        </w:tc>
        <w:tc>
          <w:tcPr>
            <w:tcW w:w="1053" w:type="dxa"/>
            <w:tcBorders>
              <w:top w:val="single" w:sz="4" w:space="0" w:color="auto"/>
              <w:bottom w:val="single" w:sz="12" w:space="0" w:color="auto"/>
              <w:right w:val="single" w:sz="24" w:space="0" w:color="FFFFFF"/>
            </w:tcBorders>
            <w:shd w:val="clear" w:color="auto" w:fill="auto"/>
            <w:vAlign w:val="bottom"/>
          </w:tcPr>
          <w:p w:rsidR="009F7C7F" w:rsidRPr="0071782F" w:rsidRDefault="004F07CF" w:rsidP="00C27D02">
            <w:pPr>
              <w:keepNext/>
              <w:suppressAutoHyphens w:val="0"/>
              <w:spacing w:before="80" w:after="80" w:line="200" w:lineRule="exact"/>
              <w:jc w:val="right"/>
              <w:rPr>
                <w:i/>
                <w:sz w:val="16"/>
                <w:szCs w:val="16"/>
                <w:lang w:val="fr-CH"/>
              </w:rPr>
            </w:pPr>
            <w:r w:rsidRPr="0071782F">
              <w:rPr>
                <w:i/>
                <w:sz w:val="16"/>
                <w:szCs w:val="16"/>
                <w:lang w:val="fr-CH"/>
              </w:rPr>
              <w:t>Femmes</w:t>
            </w:r>
          </w:p>
        </w:tc>
        <w:tc>
          <w:tcPr>
            <w:tcW w:w="1052" w:type="dxa"/>
            <w:tcBorders>
              <w:top w:val="single" w:sz="4" w:space="0" w:color="auto"/>
              <w:left w:val="single" w:sz="24" w:space="0" w:color="FFFFFF"/>
              <w:bottom w:val="single" w:sz="12" w:space="0" w:color="auto"/>
            </w:tcBorders>
            <w:shd w:val="clear" w:color="auto" w:fill="auto"/>
            <w:vAlign w:val="bottom"/>
          </w:tcPr>
          <w:p w:rsidR="009F7C7F" w:rsidRPr="0071782F" w:rsidRDefault="004F07CF" w:rsidP="00C27D02">
            <w:pPr>
              <w:keepNext/>
              <w:suppressAutoHyphens w:val="0"/>
              <w:spacing w:before="80" w:after="80" w:line="200" w:lineRule="exact"/>
              <w:jc w:val="right"/>
              <w:rPr>
                <w:i/>
                <w:sz w:val="16"/>
                <w:szCs w:val="16"/>
                <w:lang w:val="fr-CH"/>
              </w:rPr>
            </w:pPr>
            <w:r w:rsidRPr="0071782F">
              <w:rPr>
                <w:i/>
                <w:sz w:val="16"/>
                <w:szCs w:val="16"/>
                <w:lang w:val="fr-CH"/>
              </w:rPr>
              <w:t>Hommes</w:t>
            </w:r>
          </w:p>
        </w:tc>
        <w:tc>
          <w:tcPr>
            <w:tcW w:w="1053" w:type="dxa"/>
            <w:tcBorders>
              <w:top w:val="single" w:sz="4" w:space="0" w:color="auto"/>
              <w:bottom w:val="single" w:sz="12" w:space="0" w:color="auto"/>
              <w:right w:val="single" w:sz="24" w:space="0" w:color="FFFFFF"/>
            </w:tcBorders>
            <w:shd w:val="clear" w:color="auto" w:fill="auto"/>
            <w:vAlign w:val="bottom"/>
          </w:tcPr>
          <w:p w:rsidR="009F7C7F" w:rsidRPr="0071782F" w:rsidRDefault="004F07CF" w:rsidP="00C27D02">
            <w:pPr>
              <w:keepNext/>
              <w:suppressAutoHyphens w:val="0"/>
              <w:spacing w:before="80" w:after="80" w:line="200" w:lineRule="exact"/>
              <w:jc w:val="right"/>
              <w:rPr>
                <w:i/>
                <w:sz w:val="16"/>
                <w:szCs w:val="16"/>
                <w:lang w:val="fr-CH"/>
              </w:rPr>
            </w:pPr>
            <w:r w:rsidRPr="0071782F">
              <w:rPr>
                <w:i/>
                <w:sz w:val="16"/>
                <w:szCs w:val="16"/>
                <w:lang w:val="fr-CH"/>
              </w:rPr>
              <w:t>Femmes</w:t>
            </w:r>
          </w:p>
        </w:tc>
        <w:tc>
          <w:tcPr>
            <w:tcW w:w="1053" w:type="dxa"/>
            <w:tcBorders>
              <w:top w:val="single" w:sz="4" w:space="0" w:color="auto"/>
              <w:left w:val="single" w:sz="24" w:space="0" w:color="FFFFFF"/>
              <w:bottom w:val="single" w:sz="12" w:space="0" w:color="auto"/>
            </w:tcBorders>
            <w:shd w:val="clear" w:color="auto" w:fill="auto"/>
            <w:vAlign w:val="bottom"/>
          </w:tcPr>
          <w:p w:rsidR="009F7C7F" w:rsidRPr="0071782F" w:rsidRDefault="004F07CF" w:rsidP="00C27D02">
            <w:pPr>
              <w:keepNext/>
              <w:suppressAutoHyphens w:val="0"/>
              <w:spacing w:before="80" w:after="80" w:line="200" w:lineRule="exact"/>
              <w:jc w:val="right"/>
              <w:rPr>
                <w:i/>
                <w:sz w:val="16"/>
                <w:szCs w:val="16"/>
                <w:lang w:val="fr-CH"/>
              </w:rPr>
            </w:pPr>
            <w:r w:rsidRPr="0071782F">
              <w:rPr>
                <w:i/>
                <w:sz w:val="16"/>
                <w:szCs w:val="16"/>
                <w:lang w:val="fr-CH"/>
              </w:rPr>
              <w:t>Hommes</w:t>
            </w:r>
          </w:p>
        </w:tc>
        <w:tc>
          <w:tcPr>
            <w:tcW w:w="1054" w:type="dxa"/>
            <w:tcBorders>
              <w:top w:val="single" w:sz="4" w:space="0" w:color="auto"/>
              <w:bottom w:val="single" w:sz="12" w:space="0" w:color="auto"/>
            </w:tcBorders>
            <w:shd w:val="clear" w:color="auto" w:fill="auto"/>
            <w:vAlign w:val="bottom"/>
          </w:tcPr>
          <w:p w:rsidR="009F7C7F" w:rsidRPr="0071782F" w:rsidRDefault="004F07CF" w:rsidP="00C27D02">
            <w:pPr>
              <w:keepNext/>
              <w:suppressAutoHyphens w:val="0"/>
              <w:spacing w:before="80" w:after="80" w:line="200" w:lineRule="exact"/>
              <w:jc w:val="right"/>
              <w:rPr>
                <w:i/>
                <w:sz w:val="16"/>
                <w:szCs w:val="16"/>
                <w:lang w:val="fr-CH"/>
              </w:rPr>
            </w:pPr>
            <w:r w:rsidRPr="0071782F">
              <w:rPr>
                <w:i/>
                <w:sz w:val="16"/>
                <w:szCs w:val="16"/>
                <w:lang w:val="fr-CH"/>
              </w:rPr>
              <w:t>Femmes</w:t>
            </w:r>
          </w:p>
        </w:tc>
      </w:tr>
      <w:tr w:rsidR="009F7C7F" w:rsidRPr="0071782F">
        <w:tc>
          <w:tcPr>
            <w:tcW w:w="1053" w:type="dxa"/>
            <w:tcBorders>
              <w:top w:val="single" w:sz="12" w:space="0" w:color="auto"/>
            </w:tcBorders>
            <w:shd w:val="clear" w:color="auto" w:fill="auto"/>
            <w:vAlign w:val="bottom"/>
          </w:tcPr>
          <w:p w:rsidR="009F7C7F" w:rsidRPr="0071782F" w:rsidRDefault="009F7C7F" w:rsidP="00C27D02">
            <w:pPr>
              <w:keepNext/>
              <w:suppressAutoHyphens w:val="0"/>
              <w:spacing w:before="40" w:after="40" w:line="220" w:lineRule="exact"/>
              <w:rPr>
                <w:sz w:val="18"/>
                <w:lang w:val="fr-CH"/>
              </w:rPr>
            </w:pPr>
          </w:p>
        </w:tc>
        <w:tc>
          <w:tcPr>
            <w:tcW w:w="1052" w:type="dxa"/>
            <w:tcBorders>
              <w:top w:val="single" w:sz="12" w:space="0" w:color="auto"/>
            </w:tcBorders>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25</w:t>
            </w:r>
            <w:r w:rsidR="00A234E8" w:rsidRPr="0071782F">
              <w:rPr>
                <w:sz w:val="18"/>
                <w:lang w:val="fr-CH"/>
              </w:rPr>
              <w:t>,</w:t>
            </w:r>
            <w:r w:rsidRPr="0071782F">
              <w:rPr>
                <w:sz w:val="18"/>
                <w:lang w:val="fr-CH"/>
              </w:rPr>
              <w:t>0</w:t>
            </w:r>
          </w:p>
        </w:tc>
        <w:tc>
          <w:tcPr>
            <w:tcW w:w="1053" w:type="dxa"/>
            <w:tcBorders>
              <w:top w:val="single" w:sz="12" w:space="0" w:color="auto"/>
            </w:tcBorders>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18</w:t>
            </w:r>
            <w:r w:rsidR="00A234E8" w:rsidRPr="0071782F">
              <w:rPr>
                <w:sz w:val="18"/>
                <w:lang w:val="fr-CH"/>
              </w:rPr>
              <w:t>,</w:t>
            </w:r>
            <w:r w:rsidRPr="0071782F">
              <w:rPr>
                <w:sz w:val="18"/>
                <w:lang w:val="fr-CH"/>
              </w:rPr>
              <w:t>4</w:t>
            </w:r>
          </w:p>
        </w:tc>
        <w:tc>
          <w:tcPr>
            <w:tcW w:w="1052" w:type="dxa"/>
            <w:tcBorders>
              <w:top w:val="single" w:sz="12" w:space="0" w:color="auto"/>
            </w:tcBorders>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25</w:t>
            </w:r>
            <w:r w:rsidR="00A234E8" w:rsidRPr="0071782F">
              <w:rPr>
                <w:sz w:val="18"/>
                <w:lang w:val="fr-CH"/>
              </w:rPr>
              <w:t>,</w:t>
            </w:r>
            <w:r w:rsidRPr="0071782F">
              <w:rPr>
                <w:sz w:val="18"/>
                <w:lang w:val="fr-CH"/>
              </w:rPr>
              <w:t>6</w:t>
            </w:r>
          </w:p>
        </w:tc>
        <w:tc>
          <w:tcPr>
            <w:tcW w:w="1053" w:type="dxa"/>
            <w:tcBorders>
              <w:top w:val="single" w:sz="12" w:space="0" w:color="auto"/>
            </w:tcBorders>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19</w:t>
            </w:r>
            <w:r w:rsidR="00A234E8" w:rsidRPr="0071782F">
              <w:rPr>
                <w:sz w:val="18"/>
                <w:lang w:val="fr-CH"/>
              </w:rPr>
              <w:t>,</w:t>
            </w:r>
            <w:r w:rsidRPr="0071782F">
              <w:rPr>
                <w:sz w:val="18"/>
                <w:lang w:val="fr-CH"/>
              </w:rPr>
              <w:t>0</w:t>
            </w:r>
          </w:p>
        </w:tc>
        <w:tc>
          <w:tcPr>
            <w:tcW w:w="1053" w:type="dxa"/>
            <w:tcBorders>
              <w:top w:val="single" w:sz="12" w:space="0" w:color="auto"/>
            </w:tcBorders>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24</w:t>
            </w:r>
            <w:r w:rsidR="00A234E8" w:rsidRPr="0071782F">
              <w:rPr>
                <w:sz w:val="18"/>
                <w:lang w:val="fr-CH"/>
              </w:rPr>
              <w:t>,</w:t>
            </w:r>
            <w:r w:rsidRPr="0071782F">
              <w:rPr>
                <w:sz w:val="18"/>
                <w:lang w:val="fr-CH"/>
              </w:rPr>
              <w:t>4</w:t>
            </w:r>
          </w:p>
        </w:tc>
        <w:tc>
          <w:tcPr>
            <w:tcW w:w="1054" w:type="dxa"/>
            <w:tcBorders>
              <w:top w:val="single" w:sz="12" w:space="0" w:color="auto"/>
            </w:tcBorders>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17</w:t>
            </w:r>
            <w:r w:rsidR="00A234E8" w:rsidRPr="0071782F">
              <w:rPr>
                <w:sz w:val="18"/>
                <w:lang w:val="fr-CH"/>
              </w:rPr>
              <w:t>,</w:t>
            </w:r>
            <w:r w:rsidRPr="0071782F">
              <w:rPr>
                <w:sz w:val="18"/>
                <w:lang w:val="fr-CH"/>
              </w:rPr>
              <w:t>9</w:t>
            </w:r>
          </w:p>
        </w:tc>
      </w:tr>
      <w:tr w:rsidR="009F7C7F" w:rsidRPr="0071782F">
        <w:tc>
          <w:tcPr>
            <w:tcW w:w="1053" w:type="dxa"/>
            <w:shd w:val="clear" w:color="auto" w:fill="auto"/>
            <w:vAlign w:val="bottom"/>
          </w:tcPr>
          <w:p w:rsidR="009F7C7F" w:rsidRPr="0071782F" w:rsidRDefault="009F7C7F" w:rsidP="00C27D02">
            <w:pPr>
              <w:keepNext/>
              <w:suppressAutoHyphens w:val="0"/>
              <w:spacing w:before="40" w:after="40" w:line="220" w:lineRule="exact"/>
              <w:rPr>
                <w:sz w:val="18"/>
                <w:lang w:val="fr-CH"/>
              </w:rPr>
            </w:pPr>
          </w:p>
        </w:tc>
        <w:tc>
          <w:tcPr>
            <w:tcW w:w="1052"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24</w:t>
            </w:r>
            <w:r w:rsidR="00A234E8" w:rsidRPr="0071782F">
              <w:rPr>
                <w:sz w:val="18"/>
                <w:lang w:val="fr-CH"/>
              </w:rPr>
              <w:t>,</w:t>
            </w:r>
            <w:r w:rsidRPr="0071782F">
              <w:rPr>
                <w:sz w:val="18"/>
                <w:lang w:val="fr-CH"/>
              </w:rPr>
              <w:t>1</w:t>
            </w:r>
          </w:p>
        </w:tc>
        <w:tc>
          <w:tcPr>
            <w:tcW w:w="1053"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19</w:t>
            </w:r>
            <w:r w:rsidR="00A234E8" w:rsidRPr="0071782F">
              <w:rPr>
                <w:sz w:val="18"/>
                <w:lang w:val="fr-CH"/>
              </w:rPr>
              <w:t>,</w:t>
            </w:r>
            <w:r w:rsidRPr="0071782F">
              <w:rPr>
                <w:sz w:val="18"/>
                <w:lang w:val="fr-CH"/>
              </w:rPr>
              <w:t>7</w:t>
            </w:r>
          </w:p>
        </w:tc>
        <w:tc>
          <w:tcPr>
            <w:tcW w:w="1052"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25</w:t>
            </w:r>
            <w:r w:rsidR="00A234E8" w:rsidRPr="0071782F">
              <w:rPr>
                <w:sz w:val="18"/>
                <w:lang w:val="fr-CH"/>
              </w:rPr>
              <w:t>,</w:t>
            </w:r>
            <w:r w:rsidRPr="0071782F">
              <w:rPr>
                <w:sz w:val="18"/>
                <w:lang w:val="fr-CH"/>
              </w:rPr>
              <w:t>1</w:t>
            </w:r>
          </w:p>
        </w:tc>
        <w:tc>
          <w:tcPr>
            <w:tcW w:w="1053"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20</w:t>
            </w:r>
            <w:r w:rsidR="00A234E8" w:rsidRPr="0071782F">
              <w:rPr>
                <w:sz w:val="18"/>
                <w:lang w:val="fr-CH"/>
              </w:rPr>
              <w:t>,</w:t>
            </w:r>
            <w:r w:rsidRPr="0071782F">
              <w:rPr>
                <w:sz w:val="18"/>
                <w:lang w:val="fr-CH"/>
              </w:rPr>
              <w:t>2</w:t>
            </w:r>
          </w:p>
        </w:tc>
        <w:tc>
          <w:tcPr>
            <w:tcW w:w="1053"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22</w:t>
            </w:r>
            <w:r w:rsidR="00A234E8" w:rsidRPr="0071782F">
              <w:rPr>
                <w:sz w:val="18"/>
                <w:lang w:val="fr-CH"/>
              </w:rPr>
              <w:t>,</w:t>
            </w:r>
            <w:r w:rsidRPr="0071782F">
              <w:rPr>
                <w:sz w:val="18"/>
                <w:lang w:val="fr-CH"/>
              </w:rPr>
              <w:t>7</w:t>
            </w:r>
          </w:p>
        </w:tc>
        <w:tc>
          <w:tcPr>
            <w:tcW w:w="1054"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19</w:t>
            </w:r>
            <w:r w:rsidR="00A234E8" w:rsidRPr="0071782F">
              <w:rPr>
                <w:sz w:val="18"/>
                <w:lang w:val="fr-CH"/>
              </w:rPr>
              <w:t>,</w:t>
            </w:r>
            <w:r w:rsidRPr="0071782F">
              <w:rPr>
                <w:sz w:val="18"/>
                <w:lang w:val="fr-CH"/>
              </w:rPr>
              <w:t>1</w:t>
            </w:r>
          </w:p>
        </w:tc>
      </w:tr>
      <w:tr w:rsidR="009F7C7F" w:rsidRPr="0071782F">
        <w:tc>
          <w:tcPr>
            <w:tcW w:w="1053" w:type="dxa"/>
            <w:shd w:val="clear" w:color="auto" w:fill="auto"/>
            <w:vAlign w:val="bottom"/>
          </w:tcPr>
          <w:p w:rsidR="009F7C7F" w:rsidRPr="0071782F" w:rsidRDefault="009F7C7F" w:rsidP="00C27D02">
            <w:pPr>
              <w:keepNext/>
              <w:suppressAutoHyphens w:val="0"/>
              <w:spacing w:before="40" w:after="40" w:line="220" w:lineRule="exact"/>
              <w:rPr>
                <w:sz w:val="18"/>
                <w:lang w:val="fr-CH"/>
              </w:rPr>
            </w:pPr>
          </w:p>
        </w:tc>
        <w:tc>
          <w:tcPr>
            <w:tcW w:w="1052"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23</w:t>
            </w:r>
            <w:r w:rsidR="00A234E8" w:rsidRPr="0071782F">
              <w:rPr>
                <w:sz w:val="18"/>
                <w:lang w:val="fr-CH"/>
              </w:rPr>
              <w:t>,</w:t>
            </w:r>
            <w:r w:rsidRPr="0071782F">
              <w:rPr>
                <w:sz w:val="18"/>
                <w:lang w:val="fr-CH"/>
              </w:rPr>
              <w:t>6</w:t>
            </w:r>
          </w:p>
        </w:tc>
        <w:tc>
          <w:tcPr>
            <w:tcW w:w="1053"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19</w:t>
            </w:r>
            <w:r w:rsidR="00A234E8" w:rsidRPr="0071782F">
              <w:rPr>
                <w:sz w:val="18"/>
                <w:lang w:val="fr-CH"/>
              </w:rPr>
              <w:t>,</w:t>
            </w:r>
            <w:r w:rsidRPr="0071782F">
              <w:rPr>
                <w:sz w:val="18"/>
                <w:lang w:val="fr-CH"/>
              </w:rPr>
              <w:t>8</w:t>
            </w:r>
          </w:p>
        </w:tc>
        <w:tc>
          <w:tcPr>
            <w:tcW w:w="1052"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24</w:t>
            </w:r>
            <w:r w:rsidR="00A234E8" w:rsidRPr="0071782F">
              <w:rPr>
                <w:sz w:val="18"/>
                <w:lang w:val="fr-CH"/>
              </w:rPr>
              <w:t>,</w:t>
            </w:r>
            <w:r w:rsidRPr="0071782F">
              <w:rPr>
                <w:sz w:val="18"/>
                <w:lang w:val="fr-CH"/>
              </w:rPr>
              <w:t>2</w:t>
            </w:r>
          </w:p>
        </w:tc>
        <w:tc>
          <w:tcPr>
            <w:tcW w:w="1053"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20</w:t>
            </w:r>
            <w:r w:rsidR="00A234E8" w:rsidRPr="0071782F">
              <w:rPr>
                <w:sz w:val="18"/>
                <w:lang w:val="fr-CH"/>
              </w:rPr>
              <w:t>,</w:t>
            </w:r>
            <w:r w:rsidRPr="0071782F">
              <w:rPr>
                <w:sz w:val="18"/>
                <w:lang w:val="fr-CH"/>
              </w:rPr>
              <w:t>0</w:t>
            </w:r>
          </w:p>
        </w:tc>
        <w:tc>
          <w:tcPr>
            <w:tcW w:w="1053"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22</w:t>
            </w:r>
            <w:r w:rsidR="00A234E8" w:rsidRPr="0071782F">
              <w:rPr>
                <w:sz w:val="18"/>
                <w:lang w:val="fr-CH"/>
              </w:rPr>
              <w:t>,</w:t>
            </w:r>
            <w:r w:rsidRPr="0071782F">
              <w:rPr>
                <w:sz w:val="18"/>
                <w:lang w:val="fr-CH"/>
              </w:rPr>
              <w:t>6</w:t>
            </w:r>
          </w:p>
        </w:tc>
        <w:tc>
          <w:tcPr>
            <w:tcW w:w="1054"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19</w:t>
            </w:r>
            <w:r w:rsidR="00A234E8" w:rsidRPr="0071782F">
              <w:rPr>
                <w:sz w:val="18"/>
                <w:lang w:val="fr-CH"/>
              </w:rPr>
              <w:t>,</w:t>
            </w:r>
            <w:r w:rsidRPr="0071782F">
              <w:rPr>
                <w:sz w:val="18"/>
                <w:lang w:val="fr-CH"/>
              </w:rPr>
              <w:t>6</w:t>
            </w:r>
          </w:p>
        </w:tc>
      </w:tr>
      <w:tr w:rsidR="009F7C7F" w:rsidRPr="0071782F">
        <w:tc>
          <w:tcPr>
            <w:tcW w:w="1053" w:type="dxa"/>
            <w:shd w:val="clear" w:color="auto" w:fill="auto"/>
            <w:vAlign w:val="bottom"/>
          </w:tcPr>
          <w:p w:rsidR="009F7C7F" w:rsidRPr="0071782F" w:rsidRDefault="009F7C7F" w:rsidP="00C27D02">
            <w:pPr>
              <w:keepNext/>
              <w:suppressAutoHyphens w:val="0"/>
              <w:spacing w:before="40" w:after="40" w:line="220" w:lineRule="exact"/>
              <w:rPr>
                <w:sz w:val="18"/>
                <w:lang w:val="fr-CH"/>
              </w:rPr>
            </w:pPr>
          </w:p>
        </w:tc>
        <w:tc>
          <w:tcPr>
            <w:tcW w:w="1052"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24</w:t>
            </w:r>
            <w:r w:rsidR="00A234E8" w:rsidRPr="0071782F">
              <w:rPr>
                <w:sz w:val="18"/>
                <w:lang w:val="fr-CH"/>
              </w:rPr>
              <w:t>,</w:t>
            </w:r>
            <w:r w:rsidRPr="0071782F">
              <w:rPr>
                <w:sz w:val="18"/>
                <w:lang w:val="fr-CH"/>
              </w:rPr>
              <w:t>6</w:t>
            </w:r>
          </w:p>
        </w:tc>
        <w:tc>
          <w:tcPr>
            <w:tcW w:w="1053"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20</w:t>
            </w:r>
            <w:r w:rsidR="00A234E8" w:rsidRPr="0071782F">
              <w:rPr>
                <w:sz w:val="18"/>
                <w:lang w:val="fr-CH"/>
              </w:rPr>
              <w:t>,</w:t>
            </w:r>
            <w:r w:rsidRPr="0071782F">
              <w:rPr>
                <w:sz w:val="18"/>
                <w:lang w:val="fr-CH"/>
              </w:rPr>
              <w:t>9</w:t>
            </w:r>
          </w:p>
        </w:tc>
        <w:tc>
          <w:tcPr>
            <w:tcW w:w="1052"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24</w:t>
            </w:r>
            <w:r w:rsidR="00A234E8" w:rsidRPr="0071782F">
              <w:rPr>
                <w:sz w:val="18"/>
                <w:lang w:val="fr-CH"/>
              </w:rPr>
              <w:t>,</w:t>
            </w:r>
            <w:r w:rsidRPr="0071782F">
              <w:rPr>
                <w:sz w:val="18"/>
                <w:lang w:val="fr-CH"/>
              </w:rPr>
              <w:t>9</w:t>
            </w:r>
          </w:p>
        </w:tc>
        <w:tc>
          <w:tcPr>
            <w:tcW w:w="1053"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21</w:t>
            </w:r>
            <w:r w:rsidR="00A234E8" w:rsidRPr="0071782F">
              <w:rPr>
                <w:sz w:val="18"/>
                <w:lang w:val="fr-CH"/>
              </w:rPr>
              <w:t>,</w:t>
            </w:r>
            <w:r w:rsidRPr="0071782F">
              <w:rPr>
                <w:sz w:val="18"/>
                <w:lang w:val="fr-CH"/>
              </w:rPr>
              <w:t>0</w:t>
            </w:r>
          </w:p>
        </w:tc>
        <w:tc>
          <w:tcPr>
            <w:tcW w:w="1053"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23</w:t>
            </w:r>
            <w:r w:rsidR="00A234E8" w:rsidRPr="0071782F">
              <w:rPr>
                <w:sz w:val="18"/>
                <w:lang w:val="fr-CH"/>
              </w:rPr>
              <w:t>,</w:t>
            </w:r>
            <w:r w:rsidRPr="0071782F">
              <w:rPr>
                <w:sz w:val="18"/>
                <w:lang w:val="fr-CH"/>
              </w:rPr>
              <w:t>5</w:t>
            </w:r>
          </w:p>
        </w:tc>
        <w:tc>
          <w:tcPr>
            <w:tcW w:w="1054"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20</w:t>
            </w:r>
            <w:r w:rsidR="00A234E8" w:rsidRPr="0071782F">
              <w:rPr>
                <w:sz w:val="18"/>
                <w:lang w:val="fr-CH"/>
              </w:rPr>
              <w:t>,</w:t>
            </w:r>
            <w:r w:rsidRPr="0071782F">
              <w:rPr>
                <w:sz w:val="18"/>
                <w:lang w:val="fr-CH"/>
              </w:rPr>
              <w:t>8</w:t>
            </w:r>
          </w:p>
        </w:tc>
      </w:tr>
      <w:tr w:rsidR="009F7C7F" w:rsidRPr="0071782F">
        <w:tc>
          <w:tcPr>
            <w:tcW w:w="1053" w:type="dxa"/>
            <w:shd w:val="clear" w:color="auto" w:fill="auto"/>
            <w:vAlign w:val="bottom"/>
          </w:tcPr>
          <w:p w:rsidR="009F7C7F" w:rsidRPr="0071782F" w:rsidRDefault="009F7C7F" w:rsidP="00C27D02">
            <w:pPr>
              <w:keepNext/>
              <w:suppressAutoHyphens w:val="0"/>
              <w:spacing w:before="40" w:after="40" w:line="220" w:lineRule="exact"/>
              <w:rPr>
                <w:sz w:val="18"/>
                <w:lang w:val="fr-CH"/>
              </w:rPr>
            </w:pPr>
          </w:p>
        </w:tc>
        <w:tc>
          <w:tcPr>
            <w:tcW w:w="1052"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25</w:t>
            </w:r>
            <w:r w:rsidR="00A234E8" w:rsidRPr="0071782F">
              <w:rPr>
                <w:sz w:val="18"/>
                <w:lang w:val="fr-CH"/>
              </w:rPr>
              <w:t>,</w:t>
            </w:r>
            <w:r w:rsidRPr="0071782F">
              <w:rPr>
                <w:sz w:val="18"/>
                <w:lang w:val="fr-CH"/>
              </w:rPr>
              <w:t>6</w:t>
            </w:r>
          </w:p>
        </w:tc>
        <w:tc>
          <w:tcPr>
            <w:tcW w:w="1053"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22</w:t>
            </w:r>
            <w:r w:rsidR="00A234E8" w:rsidRPr="0071782F">
              <w:rPr>
                <w:sz w:val="18"/>
                <w:lang w:val="fr-CH"/>
              </w:rPr>
              <w:t>,</w:t>
            </w:r>
            <w:r w:rsidRPr="0071782F">
              <w:rPr>
                <w:sz w:val="18"/>
                <w:lang w:val="fr-CH"/>
              </w:rPr>
              <w:t>4</w:t>
            </w:r>
          </w:p>
        </w:tc>
        <w:tc>
          <w:tcPr>
            <w:tcW w:w="1052"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26</w:t>
            </w:r>
            <w:r w:rsidR="00A234E8" w:rsidRPr="0071782F">
              <w:rPr>
                <w:sz w:val="18"/>
                <w:lang w:val="fr-CH"/>
              </w:rPr>
              <w:t>,</w:t>
            </w:r>
            <w:r w:rsidRPr="0071782F">
              <w:rPr>
                <w:sz w:val="18"/>
                <w:lang w:val="fr-CH"/>
              </w:rPr>
              <w:t>2</w:t>
            </w:r>
          </w:p>
        </w:tc>
        <w:tc>
          <w:tcPr>
            <w:tcW w:w="1053"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22</w:t>
            </w:r>
            <w:r w:rsidR="00A234E8" w:rsidRPr="0071782F">
              <w:rPr>
                <w:sz w:val="18"/>
                <w:lang w:val="fr-CH"/>
              </w:rPr>
              <w:t>,</w:t>
            </w:r>
            <w:r w:rsidRPr="0071782F">
              <w:rPr>
                <w:sz w:val="18"/>
                <w:lang w:val="fr-CH"/>
              </w:rPr>
              <w:t>5</w:t>
            </w:r>
          </w:p>
        </w:tc>
        <w:tc>
          <w:tcPr>
            <w:tcW w:w="1053"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24</w:t>
            </w:r>
            <w:r w:rsidR="00A234E8" w:rsidRPr="0071782F">
              <w:rPr>
                <w:sz w:val="18"/>
                <w:lang w:val="fr-CH"/>
              </w:rPr>
              <w:t>,</w:t>
            </w:r>
            <w:r w:rsidRPr="0071782F">
              <w:rPr>
                <w:sz w:val="18"/>
                <w:lang w:val="fr-CH"/>
              </w:rPr>
              <w:t>5</w:t>
            </w:r>
          </w:p>
        </w:tc>
        <w:tc>
          <w:tcPr>
            <w:tcW w:w="1054"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22</w:t>
            </w:r>
            <w:r w:rsidR="00A234E8" w:rsidRPr="0071782F">
              <w:rPr>
                <w:sz w:val="18"/>
                <w:lang w:val="fr-CH"/>
              </w:rPr>
              <w:t>,</w:t>
            </w:r>
            <w:r w:rsidRPr="0071782F">
              <w:rPr>
                <w:sz w:val="18"/>
                <w:lang w:val="fr-CH"/>
              </w:rPr>
              <w:t>3</w:t>
            </w:r>
          </w:p>
        </w:tc>
      </w:tr>
      <w:tr w:rsidR="009F7C7F" w:rsidRPr="0071782F">
        <w:tc>
          <w:tcPr>
            <w:tcW w:w="1053" w:type="dxa"/>
            <w:shd w:val="clear" w:color="auto" w:fill="auto"/>
            <w:vAlign w:val="bottom"/>
          </w:tcPr>
          <w:p w:rsidR="009F7C7F" w:rsidRPr="0071782F" w:rsidRDefault="009F7C7F" w:rsidP="00C27D02">
            <w:pPr>
              <w:keepNext/>
              <w:suppressAutoHyphens w:val="0"/>
              <w:spacing w:before="40" w:after="40" w:line="220" w:lineRule="exact"/>
              <w:rPr>
                <w:sz w:val="18"/>
                <w:lang w:val="fr-CH"/>
              </w:rPr>
            </w:pPr>
          </w:p>
        </w:tc>
        <w:tc>
          <w:tcPr>
            <w:tcW w:w="1052"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26</w:t>
            </w:r>
            <w:r w:rsidR="00A234E8" w:rsidRPr="0071782F">
              <w:rPr>
                <w:sz w:val="18"/>
                <w:lang w:val="fr-CH"/>
              </w:rPr>
              <w:t>,</w:t>
            </w:r>
            <w:r w:rsidRPr="0071782F">
              <w:rPr>
                <w:sz w:val="18"/>
                <w:lang w:val="fr-CH"/>
              </w:rPr>
              <w:t>2</w:t>
            </w:r>
          </w:p>
        </w:tc>
        <w:tc>
          <w:tcPr>
            <w:tcW w:w="1053"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23</w:t>
            </w:r>
            <w:r w:rsidR="00A234E8" w:rsidRPr="0071782F">
              <w:rPr>
                <w:sz w:val="18"/>
                <w:lang w:val="fr-CH"/>
              </w:rPr>
              <w:t>,</w:t>
            </w:r>
            <w:r w:rsidRPr="0071782F">
              <w:rPr>
                <w:sz w:val="18"/>
                <w:lang w:val="fr-CH"/>
              </w:rPr>
              <w:t>2</w:t>
            </w:r>
          </w:p>
        </w:tc>
        <w:tc>
          <w:tcPr>
            <w:tcW w:w="1052"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26</w:t>
            </w:r>
            <w:r w:rsidR="00A234E8" w:rsidRPr="0071782F">
              <w:rPr>
                <w:sz w:val="18"/>
                <w:lang w:val="fr-CH"/>
              </w:rPr>
              <w:t>,</w:t>
            </w:r>
            <w:r w:rsidRPr="0071782F">
              <w:rPr>
                <w:sz w:val="18"/>
                <w:lang w:val="fr-CH"/>
              </w:rPr>
              <w:t>5</w:t>
            </w:r>
          </w:p>
        </w:tc>
        <w:tc>
          <w:tcPr>
            <w:tcW w:w="1053"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23</w:t>
            </w:r>
            <w:r w:rsidR="00A234E8" w:rsidRPr="0071782F">
              <w:rPr>
                <w:sz w:val="18"/>
                <w:lang w:val="fr-CH"/>
              </w:rPr>
              <w:t>,</w:t>
            </w:r>
            <w:r w:rsidRPr="0071782F">
              <w:rPr>
                <w:sz w:val="18"/>
                <w:lang w:val="fr-CH"/>
              </w:rPr>
              <w:t>3</w:t>
            </w:r>
          </w:p>
        </w:tc>
        <w:tc>
          <w:tcPr>
            <w:tcW w:w="1053"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25</w:t>
            </w:r>
            <w:r w:rsidR="00A234E8" w:rsidRPr="0071782F">
              <w:rPr>
                <w:sz w:val="18"/>
                <w:lang w:val="fr-CH"/>
              </w:rPr>
              <w:t>,</w:t>
            </w:r>
            <w:r w:rsidRPr="0071782F">
              <w:rPr>
                <w:sz w:val="18"/>
                <w:lang w:val="fr-CH"/>
              </w:rPr>
              <w:t>5</w:t>
            </w:r>
          </w:p>
        </w:tc>
        <w:tc>
          <w:tcPr>
            <w:tcW w:w="1054" w:type="dxa"/>
            <w:shd w:val="clear" w:color="auto" w:fill="auto"/>
            <w:vAlign w:val="bottom"/>
          </w:tcPr>
          <w:p w:rsidR="009F7C7F" w:rsidRPr="0071782F" w:rsidRDefault="009F7C7F" w:rsidP="00C27D02">
            <w:pPr>
              <w:keepNext/>
              <w:suppressAutoHyphens w:val="0"/>
              <w:spacing w:before="40" w:after="40" w:line="220" w:lineRule="exact"/>
              <w:jc w:val="right"/>
              <w:rPr>
                <w:sz w:val="18"/>
                <w:lang w:val="fr-CH"/>
              </w:rPr>
            </w:pPr>
            <w:r w:rsidRPr="0071782F">
              <w:rPr>
                <w:sz w:val="18"/>
                <w:lang w:val="fr-CH"/>
              </w:rPr>
              <w:t>23</w:t>
            </w:r>
            <w:r w:rsidR="00A234E8" w:rsidRPr="0071782F">
              <w:rPr>
                <w:sz w:val="18"/>
                <w:lang w:val="fr-CH"/>
              </w:rPr>
              <w:t>,</w:t>
            </w:r>
            <w:r w:rsidRPr="0071782F">
              <w:rPr>
                <w:sz w:val="18"/>
                <w:lang w:val="fr-CH"/>
              </w:rPr>
              <w:t>4</w:t>
            </w:r>
          </w:p>
        </w:tc>
      </w:tr>
    </w:tbl>
    <w:p w:rsidR="009F7C7F" w:rsidRPr="0071782F" w:rsidRDefault="009F7C7F" w:rsidP="00642A57">
      <w:pPr>
        <w:spacing w:before="120"/>
        <w:ind w:left="1134" w:right="1134" w:firstLine="170"/>
        <w:rPr>
          <w:sz w:val="18"/>
          <w:szCs w:val="18"/>
          <w:lang w:val="fr-CH"/>
        </w:rPr>
      </w:pPr>
      <w:r w:rsidRPr="0071782F">
        <w:rPr>
          <w:i/>
          <w:sz w:val="18"/>
          <w:szCs w:val="18"/>
          <w:lang w:val="fr-CH"/>
        </w:rPr>
        <w:t>Source</w:t>
      </w:r>
      <w:r w:rsidR="008F7D33" w:rsidRPr="0071782F">
        <w:rPr>
          <w:i/>
          <w:sz w:val="18"/>
          <w:szCs w:val="18"/>
          <w:lang w:val="fr-CH"/>
        </w:rPr>
        <w:t>:</w:t>
      </w:r>
      <w:r w:rsidRPr="0071782F">
        <w:rPr>
          <w:sz w:val="18"/>
          <w:szCs w:val="18"/>
          <w:lang w:val="fr-CH"/>
        </w:rPr>
        <w:t xml:space="preserve"> </w:t>
      </w:r>
      <w:r w:rsidR="004F07CF" w:rsidRPr="0071782F">
        <w:rPr>
          <w:sz w:val="18"/>
          <w:szCs w:val="18"/>
          <w:lang w:val="fr-CH"/>
        </w:rPr>
        <w:t>Centre iranien de statistique</w:t>
      </w:r>
      <w:r w:rsidRPr="0071782F">
        <w:rPr>
          <w:sz w:val="18"/>
          <w:szCs w:val="18"/>
          <w:lang w:val="fr-CH"/>
        </w:rPr>
        <w:t>.</w:t>
      </w:r>
    </w:p>
    <w:p w:rsidR="009F7C7F" w:rsidRPr="0071782F" w:rsidRDefault="009F7C7F" w:rsidP="008520EF">
      <w:pPr>
        <w:spacing w:after="240"/>
        <w:ind w:left="1134" w:right="1134" w:firstLine="170"/>
        <w:rPr>
          <w:sz w:val="18"/>
          <w:szCs w:val="18"/>
          <w:lang w:val="fr-CH"/>
        </w:rPr>
      </w:pPr>
      <w:r w:rsidRPr="0071782F">
        <w:rPr>
          <w:i/>
          <w:sz w:val="18"/>
          <w:szCs w:val="18"/>
          <w:vertAlign w:val="superscript"/>
          <w:lang w:val="fr-CH"/>
        </w:rPr>
        <w:t>(1)</w:t>
      </w:r>
      <w:r w:rsidRPr="0071782F">
        <w:rPr>
          <w:sz w:val="18"/>
          <w:szCs w:val="18"/>
          <w:lang w:val="fr-CH"/>
        </w:rPr>
        <w:t xml:space="preserve">  </w:t>
      </w:r>
      <w:r w:rsidR="004F07CF" w:rsidRPr="0071782F">
        <w:rPr>
          <w:sz w:val="18"/>
          <w:szCs w:val="18"/>
          <w:lang w:val="fr-CH"/>
        </w:rPr>
        <w:t xml:space="preserve">L’âge moyen au premier mariage a été calculé à l’aide de la méthode </w:t>
      </w:r>
      <w:r w:rsidRPr="0071782F">
        <w:rPr>
          <w:sz w:val="18"/>
          <w:szCs w:val="18"/>
          <w:lang w:val="fr-CH"/>
        </w:rPr>
        <w:t>HINAL.</w:t>
      </w:r>
    </w:p>
    <w:p w:rsidR="009F7C7F" w:rsidRPr="00217F5F" w:rsidRDefault="009F7C7F" w:rsidP="00496C06">
      <w:pPr>
        <w:pStyle w:val="SingleTxtG"/>
        <w:ind w:left="1701"/>
        <w:rPr>
          <w:spacing w:val="-2"/>
          <w:lang w:val="fr-CH"/>
        </w:rPr>
      </w:pPr>
      <w:r w:rsidRPr="00217F5F">
        <w:rPr>
          <w:spacing w:val="-2"/>
          <w:lang w:val="fr-CH"/>
        </w:rPr>
        <w:t>150.1</w:t>
      </w:r>
      <w:r w:rsidR="00F24AE6" w:rsidRPr="00217F5F">
        <w:rPr>
          <w:spacing w:val="-2"/>
          <w:lang w:val="fr-CH"/>
        </w:rPr>
        <w:t>.</w:t>
      </w:r>
      <w:r w:rsidRPr="00217F5F">
        <w:rPr>
          <w:spacing w:val="-2"/>
          <w:lang w:val="fr-CH"/>
        </w:rPr>
        <w:tab/>
      </w:r>
      <w:r w:rsidR="00B5785F" w:rsidRPr="00217F5F">
        <w:rPr>
          <w:spacing w:val="-2"/>
          <w:lang w:val="fr-CH"/>
        </w:rPr>
        <w:t xml:space="preserve">Comme on peut le voir, pendant la période 1966-2006, l’âge moyen des hommes au premier mariage pour l’ensemble du pays a augmenté de </w:t>
      </w:r>
      <w:r w:rsidRPr="00217F5F">
        <w:rPr>
          <w:spacing w:val="-2"/>
          <w:lang w:val="fr-CH"/>
        </w:rPr>
        <w:t>1</w:t>
      </w:r>
      <w:r w:rsidR="00B5785F" w:rsidRPr="00217F5F">
        <w:rPr>
          <w:spacing w:val="-2"/>
          <w:lang w:val="fr-CH"/>
        </w:rPr>
        <w:t>,</w:t>
      </w:r>
      <w:r w:rsidRPr="00217F5F">
        <w:rPr>
          <w:spacing w:val="-2"/>
          <w:lang w:val="fr-CH"/>
        </w:rPr>
        <w:t xml:space="preserve">2 </w:t>
      </w:r>
      <w:r w:rsidR="00B5785F" w:rsidRPr="00217F5F">
        <w:rPr>
          <w:spacing w:val="-2"/>
          <w:lang w:val="fr-CH"/>
        </w:rPr>
        <w:t xml:space="preserve">année, soit un taux d’accroissement de </w:t>
      </w:r>
      <w:r w:rsidRPr="00217F5F">
        <w:rPr>
          <w:spacing w:val="-2"/>
          <w:lang w:val="fr-CH"/>
        </w:rPr>
        <w:t>4</w:t>
      </w:r>
      <w:r w:rsidR="00B5785F" w:rsidRPr="00217F5F">
        <w:rPr>
          <w:spacing w:val="-2"/>
          <w:lang w:val="fr-CH"/>
        </w:rPr>
        <w:t>,</w:t>
      </w:r>
      <w:r w:rsidRPr="00217F5F">
        <w:rPr>
          <w:spacing w:val="-2"/>
          <w:lang w:val="fr-CH"/>
        </w:rPr>
        <w:t>8</w:t>
      </w:r>
      <w:r w:rsidR="007E5125" w:rsidRPr="00217F5F">
        <w:rPr>
          <w:spacing w:val="-2"/>
          <w:lang w:val="fr-CH"/>
        </w:rPr>
        <w:t>%</w:t>
      </w:r>
      <w:r w:rsidRPr="00217F5F">
        <w:rPr>
          <w:spacing w:val="-2"/>
          <w:lang w:val="fr-CH"/>
        </w:rPr>
        <w:t xml:space="preserve">. </w:t>
      </w:r>
      <w:r w:rsidR="00B5785F" w:rsidRPr="00217F5F">
        <w:rPr>
          <w:spacing w:val="-2"/>
          <w:lang w:val="fr-CH"/>
        </w:rPr>
        <w:t xml:space="preserve">Les taux d’accroissement de l’âge moyen au mariage des hommes vivant en milieu urbain et rural ont été de </w:t>
      </w:r>
      <w:r w:rsidRPr="00217F5F">
        <w:rPr>
          <w:spacing w:val="-2"/>
          <w:lang w:val="fr-CH"/>
        </w:rPr>
        <w:t>3</w:t>
      </w:r>
      <w:r w:rsidR="00B5785F" w:rsidRPr="00217F5F">
        <w:rPr>
          <w:spacing w:val="-2"/>
          <w:lang w:val="fr-CH"/>
        </w:rPr>
        <w:t>,</w:t>
      </w:r>
      <w:r w:rsidRPr="00217F5F">
        <w:rPr>
          <w:spacing w:val="-2"/>
          <w:lang w:val="fr-CH"/>
        </w:rPr>
        <w:t>5</w:t>
      </w:r>
      <w:r w:rsidR="007E5125" w:rsidRPr="00217F5F">
        <w:rPr>
          <w:spacing w:val="-2"/>
          <w:lang w:val="fr-CH"/>
        </w:rPr>
        <w:t>%</w:t>
      </w:r>
      <w:r w:rsidRPr="00217F5F">
        <w:rPr>
          <w:spacing w:val="-2"/>
          <w:lang w:val="fr-CH"/>
        </w:rPr>
        <w:t xml:space="preserve"> </w:t>
      </w:r>
      <w:r w:rsidR="00B5785F" w:rsidRPr="00217F5F">
        <w:rPr>
          <w:spacing w:val="-2"/>
          <w:lang w:val="fr-CH"/>
        </w:rPr>
        <w:t xml:space="preserve">et de </w:t>
      </w:r>
      <w:r w:rsidRPr="00217F5F">
        <w:rPr>
          <w:spacing w:val="-2"/>
          <w:lang w:val="fr-CH"/>
        </w:rPr>
        <w:t>4</w:t>
      </w:r>
      <w:r w:rsidR="00B5785F" w:rsidRPr="00217F5F">
        <w:rPr>
          <w:spacing w:val="-2"/>
          <w:lang w:val="fr-CH"/>
        </w:rPr>
        <w:t>,</w:t>
      </w:r>
      <w:r w:rsidRPr="00217F5F">
        <w:rPr>
          <w:spacing w:val="-2"/>
          <w:lang w:val="fr-CH"/>
        </w:rPr>
        <w:t>5</w:t>
      </w:r>
      <w:r w:rsidR="007E5125" w:rsidRPr="00217F5F">
        <w:rPr>
          <w:spacing w:val="-2"/>
          <w:lang w:val="fr-CH"/>
        </w:rPr>
        <w:t>%</w:t>
      </w:r>
      <w:r w:rsidR="00B5785F" w:rsidRPr="00217F5F">
        <w:rPr>
          <w:spacing w:val="-2"/>
          <w:lang w:val="fr-CH"/>
        </w:rPr>
        <w:t>, respectivement</w:t>
      </w:r>
      <w:r w:rsidRPr="00217F5F">
        <w:rPr>
          <w:spacing w:val="-2"/>
          <w:lang w:val="fr-CH"/>
        </w:rPr>
        <w:t xml:space="preserve">. </w:t>
      </w:r>
      <w:r w:rsidR="00B5785F" w:rsidRPr="00217F5F">
        <w:rPr>
          <w:spacing w:val="-2"/>
          <w:lang w:val="fr-CH"/>
        </w:rPr>
        <w:t xml:space="preserve">Au cours de la même période, le taux d’accroissement de l’âge moyen des femmes au premier mariage a été de </w:t>
      </w:r>
      <w:r w:rsidRPr="00217F5F">
        <w:rPr>
          <w:spacing w:val="-2"/>
          <w:lang w:val="fr-CH"/>
        </w:rPr>
        <w:t>26</w:t>
      </w:r>
      <w:r w:rsidR="007E5125" w:rsidRPr="00217F5F">
        <w:rPr>
          <w:spacing w:val="-2"/>
          <w:lang w:val="fr-CH"/>
        </w:rPr>
        <w:t>%</w:t>
      </w:r>
      <w:r w:rsidR="00B5785F" w:rsidRPr="00217F5F">
        <w:rPr>
          <w:spacing w:val="-2"/>
          <w:lang w:val="fr-CH"/>
        </w:rPr>
        <w:t xml:space="preserve"> pour l’ensemble du pays et de </w:t>
      </w:r>
      <w:r w:rsidRPr="00217F5F">
        <w:rPr>
          <w:spacing w:val="-2"/>
          <w:lang w:val="fr-CH"/>
        </w:rPr>
        <w:t>22</w:t>
      </w:r>
      <w:r w:rsidR="00B5785F" w:rsidRPr="00217F5F">
        <w:rPr>
          <w:spacing w:val="-2"/>
          <w:lang w:val="fr-CH"/>
        </w:rPr>
        <w:t>,</w:t>
      </w:r>
      <w:r w:rsidRPr="00217F5F">
        <w:rPr>
          <w:spacing w:val="-2"/>
          <w:lang w:val="fr-CH"/>
        </w:rPr>
        <w:t>6</w:t>
      </w:r>
      <w:r w:rsidR="007E5125" w:rsidRPr="00217F5F">
        <w:rPr>
          <w:spacing w:val="-2"/>
          <w:lang w:val="fr-CH"/>
        </w:rPr>
        <w:t>%</w:t>
      </w:r>
      <w:r w:rsidRPr="00217F5F">
        <w:rPr>
          <w:spacing w:val="-2"/>
          <w:lang w:val="fr-CH"/>
        </w:rPr>
        <w:t xml:space="preserve"> </w:t>
      </w:r>
      <w:r w:rsidR="00B5785F" w:rsidRPr="00217F5F">
        <w:rPr>
          <w:spacing w:val="-2"/>
          <w:lang w:val="fr-CH"/>
        </w:rPr>
        <w:t>et de 30,</w:t>
      </w:r>
      <w:r w:rsidRPr="00217F5F">
        <w:rPr>
          <w:spacing w:val="-2"/>
          <w:lang w:val="fr-CH"/>
        </w:rPr>
        <w:t>7</w:t>
      </w:r>
      <w:r w:rsidR="007E5125" w:rsidRPr="00217F5F">
        <w:rPr>
          <w:spacing w:val="-2"/>
          <w:lang w:val="fr-CH"/>
        </w:rPr>
        <w:t>%</w:t>
      </w:r>
      <w:r w:rsidR="00B5785F" w:rsidRPr="00217F5F">
        <w:rPr>
          <w:spacing w:val="-2"/>
          <w:lang w:val="fr-CH"/>
        </w:rPr>
        <w:t>, pour les zones urbaines et rurales</w:t>
      </w:r>
      <w:r w:rsidR="00AD3823" w:rsidRPr="00217F5F">
        <w:rPr>
          <w:spacing w:val="-2"/>
          <w:lang w:val="fr-CH"/>
        </w:rPr>
        <w:t>, respectivement</w:t>
      </w:r>
      <w:r w:rsidRPr="00217F5F">
        <w:rPr>
          <w:spacing w:val="-2"/>
          <w:lang w:val="fr-CH"/>
        </w:rPr>
        <w:t xml:space="preserve">. </w:t>
      </w:r>
      <w:r w:rsidR="00B5785F" w:rsidRPr="00217F5F">
        <w:rPr>
          <w:spacing w:val="-2"/>
          <w:lang w:val="fr-CH"/>
        </w:rPr>
        <w:t>Le taux d’accroissement de l’âge moyen des femmes au premier mariage a donc été supérieur à celui des hommes</w:t>
      </w:r>
      <w:r w:rsidRPr="00217F5F">
        <w:rPr>
          <w:spacing w:val="-2"/>
          <w:lang w:val="fr-CH"/>
        </w:rPr>
        <w:t xml:space="preserve">. </w:t>
      </w:r>
      <w:r w:rsidR="00B5785F" w:rsidRPr="00217F5F">
        <w:rPr>
          <w:spacing w:val="-2"/>
          <w:lang w:val="fr-CH"/>
        </w:rPr>
        <w:t>On notera également avec intérêt que la plus forte augmentation de l’âge des femmes au premier mariage a été enregistrée en milieu rural</w:t>
      </w:r>
      <w:r w:rsidRPr="00217F5F">
        <w:rPr>
          <w:spacing w:val="-2"/>
          <w:lang w:val="fr-CH"/>
        </w:rPr>
        <w:t>.</w:t>
      </w:r>
    </w:p>
    <w:p w:rsidR="009F7C7F" w:rsidRPr="0071782F" w:rsidRDefault="00887244" w:rsidP="00496C06">
      <w:pPr>
        <w:pStyle w:val="H1G"/>
        <w:rPr>
          <w:lang w:val="fr-CH"/>
        </w:rPr>
      </w:pPr>
      <w:r w:rsidRPr="0071782F">
        <w:rPr>
          <w:lang w:val="fr-CH"/>
        </w:rPr>
        <w:tab/>
      </w:r>
      <w:r w:rsidRPr="0071782F">
        <w:rPr>
          <w:lang w:val="fr-CH"/>
        </w:rPr>
        <w:tab/>
        <w:t>Me</w:t>
      </w:r>
      <w:r w:rsidR="009F7C7F" w:rsidRPr="0071782F">
        <w:rPr>
          <w:lang w:val="fr-CH"/>
        </w:rPr>
        <w:t xml:space="preserve">sures </w:t>
      </w:r>
      <w:r w:rsidRPr="0071782F">
        <w:rPr>
          <w:lang w:val="fr-CH"/>
        </w:rPr>
        <w:t xml:space="preserve">adoptées par le Centre pour les affaires familiales et féminines pour réviser ou modifier les lois et règlements et les projets de loi concernant la femme et </w:t>
      </w:r>
      <w:r w:rsidR="00B71907" w:rsidRPr="0071782F">
        <w:rPr>
          <w:lang w:val="fr-CH"/>
        </w:rPr>
        <w:t>la famille</w:t>
      </w:r>
      <w:r w:rsidRPr="0071782F">
        <w:rPr>
          <w:lang w:val="fr-CH"/>
        </w:rPr>
        <w:t xml:space="preserve"> proposés au Conseil des ministres </w:t>
      </w:r>
    </w:p>
    <w:p w:rsidR="009F7C7F" w:rsidRPr="0071782F" w:rsidRDefault="009F7C7F" w:rsidP="00496C06">
      <w:pPr>
        <w:pStyle w:val="SingleTxtG"/>
        <w:rPr>
          <w:lang w:val="fr-CH"/>
        </w:rPr>
      </w:pPr>
      <w:r w:rsidRPr="0071782F">
        <w:rPr>
          <w:lang w:val="fr-CH"/>
        </w:rPr>
        <w:t>151.</w:t>
      </w:r>
      <w:r w:rsidRPr="0071782F">
        <w:rPr>
          <w:lang w:val="fr-CH"/>
        </w:rPr>
        <w:tab/>
      </w:r>
      <w:r w:rsidR="00887244" w:rsidRPr="0071782F">
        <w:rPr>
          <w:lang w:val="fr-CH"/>
        </w:rPr>
        <w:t>Propositions adoptées</w:t>
      </w:r>
      <w:r w:rsidR="008F7D33" w:rsidRPr="0071782F">
        <w:rPr>
          <w:lang w:val="fr-CH"/>
        </w:rPr>
        <w:t>:</w:t>
      </w:r>
    </w:p>
    <w:p w:rsidR="009F7C7F" w:rsidRPr="0071782F" w:rsidRDefault="009F7C7F" w:rsidP="00496C06">
      <w:pPr>
        <w:pStyle w:val="SingleTxtG"/>
        <w:ind w:left="1701"/>
        <w:rPr>
          <w:lang w:val="fr-CH"/>
        </w:rPr>
      </w:pPr>
      <w:r w:rsidRPr="0071782F">
        <w:rPr>
          <w:lang w:val="fr-CH"/>
        </w:rPr>
        <w:t>151.1</w:t>
      </w:r>
      <w:r w:rsidR="00C006BB" w:rsidRPr="0071782F">
        <w:rPr>
          <w:lang w:val="fr-CH"/>
        </w:rPr>
        <w:t>.</w:t>
      </w:r>
      <w:r w:rsidRPr="0071782F">
        <w:rPr>
          <w:lang w:val="fr-CH"/>
        </w:rPr>
        <w:tab/>
      </w:r>
      <w:r w:rsidR="00887244" w:rsidRPr="0071782F">
        <w:rPr>
          <w:lang w:val="fr-CH"/>
        </w:rPr>
        <w:t xml:space="preserve">Projet de loi sur la retraite anticipée des femmes chefs </w:t>
      </w:r>
      <w:r w:rsidR="0092511D" w:rsidRPr="0071782F">
        <w:rPr>
          <w:lang w:val="fr-CH"/>
        </w:rPr>
        <w:t>de famille</w:t>
      </w:r>
      <w:r w:rsidRPr="0071782F">
        <w:rPr>
          <w:lang w:val="fr-CH"/>
        </w:rPr>
        <w:t>.</w:t>
      </w:r>
    </w:p>
    <w:p w:rsidR="009F7C7F" w:rsidRPr="0071782F" w:rsidRDefault="009F7C7F" w:rsidP="00496C06">
      <w:pPr>
        <w:pStyle w:val="SingleTxtG"/>
        <w:ind w:left="1701"/>
        <w:rPr>
          <w:lang w:val="fr-CH"/>
        </w:rPr>
      </w:pPr>
      <w:r w:rsidRPr="0071782F">
        <w:rPr>
          <w:lang w:val="fr-CH"/>
        </w:rPr>
        <w:t>151.2</w:t>
      </w:r>
      <w:r w:rsidR="00C006BB" w:rsidRPr="0071782F">
        <w:rPr>
          <w:lang w:val="fr-CH"/>
        </w:rPr>
        <w:t>.</w:t>
      </w:r>
      <w:r w:rsidR="00887244" w:rsidRPr="0071782F">
        <w:rPr>
          <w:lang w:val="fr-CH"/>
        </w:rPr>
        <w:t xml:space="preserve"> Modification de la loi sur la promotion de l’allaitement maternel et l’appui aux femmes pendant la période d’allaitement</w:t>
      </w:r>
      <w:r w:rsidRPr="0071782F">
        <w:rPr>
          <w:lang w:val="fr-CH"/>
        </w:rPr>
        <w:t>.</w:t>
      </w:r>
    </w:p>
    <w:p w:rsidR="009F7C7F" w:rsidRPr="0071782F" w:rsidRDefault="009F7C7F" w:rsidP="00496C06">
      <w:pPr>
        <w:pStyle w:val="SingleTxtG"/>
        <w:ind w:left="1701"/>
        <w:rPr>
          <w:lang w:val="fr-CH"/>
        </w:rPr>
      </w:pPr>
      <w:r w:rsidRPr="0071782F">
        <w:rPr>
          <w:lang w:val="fr-CH"/>
        </w:rPr>
        <w:t>151.3</w:t>
      </w:r>
      <w:r w:rsidR="00C006BB" w:rsidRPr="0071782F">
        <w:rPr>
          <w:lang w:val="fr-CH"/>
        </w:rPr>
        <w:t>.</w:t>
      </w:r>
      <w:r w:rsidRPr="0071782F">
        <w:rPr>
          <w:lang w:val="fr-CH"/>
        </w:rPr>
        <w:tab/>
      </w:r>
      <w:r w:rsidR="00887244" w:rsidRPr="0071782F">
        <w:rPr>
          <w:lang w:val="fr-CH"/>
        </w:rPr>
        <w:t>Proposition tendant à offrir des possibilités d’emploi plus nombreuses aux employées ayant un enfant dans une garderie</w:t>
      </w:r>
      <w:r w:rsidRPr="0071782F">
        <w:rPr>
          <w:lang w:val="fr-CH"/>
        </w:rPr>
        <w:t>.</w:t>
      </w:r>
    </w:p>
    <w:p w:rsidR="009F7C7F" w:rsidRPr="0071782F" w:rsidRDefault="009F7C7F" w:rsidP="00496C06">
      <w:pPr>
        <w:pStyle w:val="SingleTxtG"/>
        <w:ind w:left="1701"/>
        <w:rPr>
          <w:lang w:val="fr-CH"/>
        </w:rPr>
      </w:pPr>
      <w:r w:rsidRPr="0071782F">
        <w:rPr>
          <w:lang w:val="fr-CH"/>
        </w:rPr>
        <w:t>151.4</w:t>
      </w:r>
      <w:r w:rsidR="00C006BB" w:rsidRPr="0071782F">
        <w:rPr>
          <w:lang w:val="fr-CH"/>
        </w:rPr>
        <w:t>.</w:t>
      </w:r>
      <w:r w:rsidRPr="0071782F">
        <w:rPr>
          <w:lang w:val="fr-CH"/>
        </w:rPr>
        <w:tab/>
      </w:r>
      <w:r w:rsidR="00887244" w:rsidRPr="0071782F">
        <w:rPr>
          <w:lang w:val="fr-CH"/>
        </w:rPr>
        <w:t xml:space="preserve">Possibilité pour les femmes chefs </w:t>
      </w:r>
      <w:r w:rsidR="0092511D" w:rsidRPr="0071782F">
        <w:rPr>
          <w:lang w:val="fr-CH"/>
        </w:rPr>
        <w:t>de famille</w:t>
      </w:r>
      <w:r w:rsidR="00887244" w:rsidRPr="0071782F">
        <w:rPr>
          <w:lang w:val="fr-CH"/>
        </w:rPr>
        <w:t xml:space="preserve"> non affiliées à un régime de sécurité sociale de bénéficier des crédits non uti</w:t>
      </w:r>
      <w:r w:rsidR="008A3E74" w:rsidRPr="0071782F">
        <w:rPr>
          <w:lang w:val="fr-CH"/>
        </w:rPr>
        <w:t>li</w:t>
      </w:r>
      <w:r w:rsidR="00887244" w:rsidRPr="0071782F">
        <w:rPr>
          <w:lang w:val="fr-CH"/>
        </w:rPr>
        <w:t>sés des caisses d’assurances rurales</w:t>
      </w:r>
      <w:r w:rsidRPr="0071782F">
        <w:rPr>
          <w:lang w:val="fr-CH"/>
        </w:rPr>
        <w:t>.</w:t>
      </w:r>
    </w:p>
    <w:p w:rsidR="009F7C7F" w:rsidRPr="0071782F" w:rsidRDefault="009F7C7F" w:rsidP="00496C06">
      <w:pPr>
        <w:pStyle w:val="SingleTxtG"/>
        <w:ind w:left="1701"/>
        <w:rPr>
          <w:lang w:val="fr-CH"/>
        </w:rPr>
      </w:pPr>
      <w:r w:rsidRPr="0071782F">
        <w:rPr>
          <w:lang w:val="fr-CH"/>
        </w:rPr>
        <w:t>151.5</w:t>
      </w:r>
      <w:r w:rsidR="00C006BB" w:rsidRPr="0071782F">
        <w:rPr>
          <w:lang w:val="fr-CH"/>
        </w:rPr>
        <w:t>.</w:t>
      </w:r>
      <w:r w:rsidRPr="0071782F">
        <w:rPr>
          <w:lang w:val="fr-CH"/>
        </w:rPr>
        <w:tab/>
      </w:r>
      <w:r w:rsidR="008827C1" w:rsidRPr="0071782F">
        <w:rPr>
          <w:lang w:val="fr-CH"/>
        </w:rPr>
        <w:t xml:space="preserve">Projet de loi dispensant du paiement des cotisations d’assurances </w:t>
      </w:r>
      <w:r w:rsidR="00A233C2" w:rsidRPr="0071782F">
        <w:rPr>
          <w:lang w:val="fr-CH"/>
        </w:rPr>
        <w:t>les personnes</w:t>
      </w:r>
      <w:r w:rsidR="008827C1" w:rsidRPr="0071782F">
        <w:rPr>
          <w:lang w:val="fr-CH"/>
        </w:rPr>
        <w:t xml:space="preserve"> qui emploient des femmes chefs </w:t>
      </w:r>
      <w:r w:rsidR="0092511D" w:rsidRPr="0071782F">
        <w:rPr>
          <w:lang w:val="fr-CH"/>
        </w:rPr>
        <w:t>de famille</w:t>
      </w:r>
      <w:r w:rsidRPr="0071782F">
        <w:rPr>
          <w:lang w:val="fr-CH"/>
        </w:rPr>
        <w:t>.</w:t>
      </w:r>
    </w:p>
    <w:p w:rsidR="009F7C7F" w:rsidRPr="0071782F" w:rsidRDefault="009F7C7F" w:rsidP="00496C06">
      <w:pPr>
        <w:pStyle w:val="SingleTxtG"/>
        <w:ind w:left="1701"/>
        <w:rPr>
          <w:lang w:val="fr-CH"/>
        </w:rPr>
      </w:pPr>
      <w:r w:rsidRPr="0071782F">
        <w:rPr>
          <w:lang w:val="fr-CH"/>
        </w:rPr>
        <w:t>151.6</w:t>
      </w:r>
      <w:r w:rsidR="00C006BB" w:rsidRPr="0071782F">
        <w:rPr>
          <w:lang w:val="fr-CH"/>
        </w:rPr>
        <w:t>.</w:t>
      </w:r>
      <w:r w:rsidRPr="0071782F">
        <w:rPr>
          <w:lang w:val="fr-CH"/>
        </w:rPr>
        <w:tab/>
      </w:r>
      <w:r w:rsidR="008827C1" w:rsidRPr="0071782F">
        <w:rPr>
          <w:lang w:val="fr-CH"/>
        </w:rPr>
        <w:t xml:space="preserve">Proposition de modification de la loi sur la planification de </w:t>
      </w:r>
      <w:r w:rsidR="00B71907" w:rsidRPr="0071782F">
        <w:rPr>
          <w:lang w:val="fr-CH"/>
        </w:rPr>
        <w:t>la famille</w:t>
      </w:r>
      <w:r w:rsidR="008827C1" w:rsidRPr="0071782F">
        <w:rPr>
          <w:lang w:val="fr-CH"/>
        </w:rPr>
        <w:t xml:space="preserve"> et la régulation du mouvement de la population </w:t>
      </w:r>
      <w:r w:rsidRPr="0071782F">
        <w:rPr>
          <w:lang w:val="fr-CH"/>
        </w:rPr>
        <w:t>(1998).</w:t>
      </w:r>
    </w:p>
    <w:p w:rsidR="009F7C7F" w:rsidRPr="0071782F" w:rsidRDefault="009F7C7F" w:rsidP="00496C06">
      <w:pPr>
        <w:pStyle w:val="SingleTxtG"/>
        <w:ind w:left="1701"/>
        <w:rPr>
          <w:lang w:val="fr-CH"/>
        </w:rPr>
      </w:pPr>
      <w:r w:rsidRPr="0071782F">
        <w:rPr>
          <w:lang w:val="fr-CH"/>
        </w:rPr>
        <w:t>151.7</w:t>
      </w:r>
      <w:r w:rsidR="00C006BB" w:rsidRPr="0071782F">
        <w:rPr>
          <w:lang w:val="fr-CH"/>
        </w:rPr>
        <w:t>.</w:t>
      </w:r>
      <w:r w:rsidRPr="0071782F">
        <w:rPr>
          <w:lang w:val="fr-CH"/>
        </w:rPr>
        <w:tab/>
      </w:r>
      <w:r w:rsidR="008827C1" w:rsidRPr="0071782F">
        <w:rPr>
          <w:lang w:val="fr-CH"/>
        </w:rPr>
        <w:t>Planification i</w:t>
      </w:r>
      <w:r w:rsidRPr="0071782F">
        <w:rPr>
          <w:lang w:val="fr-CH"/>
        </w:rPr>
        <w:t>ntersector</w:t>
      </w:r>
      <w:r w:rsidR="008827C1" w:rsidRPr="0071782F">
        <w:rPr>
          <w:lang w:val="fr-CH"/>
        </w:rPr>
        <w:t xml:space="preserve">ielle pour le développement des affaires familiales et féminines. </w:t>
      </w:r>
    </w:p>
    <w:p w:rsidR="009F7C7F" w:rsidRPr="0071782F" w:rsidRDefault="009F7C7F" w:rsidP="00D4637F">
      <w:pPr>
        <w:pStyle w:val="SingleTxtG"/>
        <w:keepNext/>
        <w:keepLines/>
        <w:rPr>
          <w:lang w:val="fr-CH"/>
        </w:rPr>
      </w:pPr>
      <w:r w:rsidRPr="0071782F">
        <w:rPr>
          <w:lang w:val="fr-CH"/>
        </w:rPr>
        <w:t>152.</w:t>
      </w:r>
      <w:r w:rsidRPr="0071782F">
        <w:rPr>
          <w:lang w:val="fr-CH"/>
        </w:rPr>
        <w:tab/>
      </w:r>
      <w:r w:rsidR="008827C1" w:rsidRPr="0071782F">
        <w:rPr>
          <w:lang w:val="fr-CH"/>
        </w:rPr>
        <w:t>Propositions à l’étude</w:t>
      </w:r>
      <w:r w:rsidR="008F7D33" w:rsidRPr="0071782F">
        <w:rPr>
          <w:lang w:val="fr-CH"/>
        </w:rPr>
        <w:t>:</w:t>
      </w:r>
      <w:r w:rsidRPr="0071782F">
        <w:rPr>
          <w:lang w:val="fr-CH"/>
        </w:rPr>
        <w:t xml:space="preserve"> </w:t>
      </w:r>
    </w:p>
    <w:p w:rsidR="009F7C7F" w:rsidRPr="0071782F" w:rsidRDefault="009F7C7F" w:rsidP="00496C06">
      <w:pPr>
        <w:pStyle w:val="SingleTxtG"/>
        <w:ind w:left="1701"/>
        <w:rPr>
          <w:lang w:val="fr-CH"/>
        </w:rPr>
      </w:pPr>
      <w:r w:rsidRPr="0071782F">
        <w:rPr>
          <w:lang w:val="fr-CH"/>
        </w:rPr>
        <w:t>152.1</w:t>
      </w:r>
      <w:r w:rsidR="00C006BB" w:rsidRPr="0071782F">
        <w:rPr>
          <w:lang w:val="fr-CH"/>
        </w:rPr>
        <w:t>.</w:t>
      </w:r>
      <w:r w:rsidRPr="0071782F">
        <w:rPr>
          <w:lang w:val="fr-CH"/>
        </w:rPr>
        <w:tab/>
      </w:r>
      <w:r w:rsidR="008827C1" w:rsidRPr="0071782F">
        <w:rPr>
          <w:lang w:val="fr-CH"/>
        </w:rPr>
        <w:t xml:space="preserve">Élaboration d’un projet de loi sur les possibilités d’emploi et la </w:t>
      </w:r>
      <w:r w:rsidRPr="0071782F">
        <w:rPr>
          <w:lang w:val="fr-CH"/>
        </w:rPr>
        <w:t xml:space="preserve">diversification </w:t>
      </w:r>
      <w:r w:rsidR="008827C1" w:rsidRPr="0071782F">
        <w:rPr>
          <w:lang w:val="fr-CH"/>
        </w:rPr>
        <w:t>des emplois pour les femmes</w:t>
      </w:r>
      <w:r w:rsidRPr="0071782F">
        <w:rPr>
          <w:lang w:val="fr-CH"/>
        </w:rPr>
        <w:t>.</w:t>
      </w:r>
    </w:p>
    <w:p w:rsidR="009F7C7F" w:rsidRPr="0071782F" w:rsidRDefault="009F7C7F" w:rsidP="00496C06">
      <w:pPr>
        <w:pStyle w:val="SingleTxtG"/>
        <w:ind w:left="1701"/>
        <w:rPr>
          <w:lang w:val="fr-CH"/>
        </w:rPr>
      </w:pPr>
      <w:r w:rsidRPr="0071782F">
        <w:rPr>
          <w:lang w:val="fr-CH"/>
        </w:rPr>
        <w:t>152.2</w:t>
      </w:r>
      <w:r w:rsidR="00C006BB" w:rsidRPr="0071782F">
        <w:rPr>
          <w:lang w:val="fr-CH"/>
        </w:rPr>
        <w:t>.</w:t>
      </w:r>
      <w:r w:rsidRPr="0071782F">
        <w:rPr>
          <w:lang w:val="fr-CH"/>
        </w:rPr>
        <w:tab/>
      </w:r>
      <w:r w:rsidR="008827C1" w:rsidRPr="0071782F">
        <w:rPr>
          <w:lang w:val="fr-CH"/>
        </w:rPr>
        <w:t xml:space="preserve">Rédaction des statuts du plan d’assurances concernant les femmes au foyer, la priorité étant accordée aux femmes chefs </w:t>
      </w:r>
      <w:r w:rsidR="0092511D" w:rsidRPr="0071782F">
        <w:rPr>
          <w:lang w:val="fr-CH"/>
        </w:rPr>
        <w:t>de famille</w:t>
      </w:r>
      <w:r w:rsidRPr="0071782F">
        <w:rPr>
          <w:lang w:val="fr-CH"/>
        </w:rPr>
        <w:t>.</w:t>
      </w:r>
    </w:p>
    <w:p w:rsidR="009F7C7F" w:rsidRPr="0071782F" w:rsidRDefault="009F7C7F" w:rsidP="00496C06">
      <w:pPr>
        <w:pStyle w:val="SingleTxtG"/>
        <w:ind w:left="1701"/>
        <w:rPr>
          <w:lang w:val="fr-CH"/>
        </w:rPr>
      </w:pPr>
      <w:r w:rsidRPr="0071782F">
        <w:rPr>
          <w:lang w:val="fr-CH"/>
        </w:rPr>
        <w:t>152.3</w:t>
      </w:r>
      <w:r w:rsidR="00C006BB" w:rsidRPr="0071782F">
        <w:rPr>
          <w:lang w:val="fr-CH"/>
        </w:rPr>
        <w:t>.</w:t>
      </w:r>
      <w:r w:rsidRPr="0071782F">
        <w:rPr>
          <w:lang w:val="fr-CH"/>
        </w:rPr>
        <w:tab/>
      </w:r>
      <w:r w:rsidR="008827C1" w:rsidRPr="0071782F">
        <w:rPr>
          <w:lang w:val="fr-CH"/>
        </w:rPr>
        <w:t>Projet de loi sur les possibilités d’emploi à fournir aux femmes des communautés rurales et nomades</w:t>
      </w:r>
      <w:r w:rsidRPr="0071782F">
        <w:rPr>
          <w:lang w:val="fr-CH"/>
        </w:rPr>
        <w:t>.</w:t>
      </w:r>
    </w:p>
    <w:p w:rsidR="009F7C7F" w:rsidRPr="0071782F" w:rsidRDefault="009F7C7F" w:rsidP="00496C06">
      <w:pPr>
        <w:pStyle w:val="SingleTxtG"/>
        <w:ind w:left="1701"/>
        <w:rPr>
          <w:lang w:val="fr-CH"/>
        </w:rPr>
      </w:pPr>
      <w:r w:rsidRPr="0071782F">
        <w:rPr>
          <w:lang w:val="fr-CH"/>
        </w:rPr>
        <w:t>152.4</w:t>
      </w:r>
      <w:r w:rsidR="00C006BB" w:rsidRPr="0071782F">
        <w:rPr>
          <w:lang w:val="fr-CH"/>
        </w:rPr>
        <w:t>.</w:t>
      </w:r>
      <w:r w:rsidRPr="0071782F">
        <w:rPr>
          <w:lang w:val="fr-CH"/>
        </w:rPr>
        <w:tab/>
      </w:r>
      <w:r w:rsidR="008827C1" w:rsidRPr="0071782F">
        <w:rPr>
          <w:lang w:val="fr-CH"/>
        </w:rPr>
        <w:t>Proposition d’aide financière aux femmes détenues (condamnées pour délits financiers non prémédités</w:t>
      </w:r>
      <w:r w:rsidRPr="0071782F">
        <w:rPr>
          <w:lang w:val="fr-CH"/>
        </w:rPr>
        <w:t>).</w:t>
      </w:r>
    </w:p>
    <w:p w:rsidR="009F7C7F" w:rsidRPr="0071782F" w:rsidRDefault="009F7C7F" w:rsidP="00496C06">
      <w:pPr>
        <w:pStyle w:val="SingleTxtG"/>
        <w:ind w:left="1701"/>
        <w:rPr>
          <w:lang w:val="fr-CH"/>
        </w:rPr>
      </w:pPr>
      <w:r w:rsidRPr="0071782F">
        <w:rPr>
          <w:lang w:val="fr-CH"/>
        </w:rPr>
        <w:t>152.5</w:t>
      </w:r>
      <w:r w:rsidR="00C006BB" w:rsidRPr="0071782F">
        <w:rPr>
          <w:lang w:val="fr-CH"/>
        </w:rPr>
        <w:t>.</w:t>
      </w:r>
      <w:r w:rsidRPr="0071782F">
        <w:rPr>
          <w:lang w:val="fr-CH"/>
        </w:rPr>
        <w:tab/>
      </w:r>
      <w:r w:rsidR="008827C1" w:rsidRPr="0071782F">
        <w:rPr>
          <w:lang w:val="fr-CH"/>
        </w:rPr>
        <w:t xml:space="preserve">Proposition de modification des </w:t>
      </w:r>
      <w:r w:rsidR="00723F2B" w:rsidRPr="0071782F">
        <w:rPr>
          <w:lang w:val="fr-CH"/>
        </w:rPr>
        <w:t>articles </w:t>
      </w:r>
      <w:r w:rsidRPr="0071782F">
        <w:rPr>
          <w:lang w:val="fr-CH"/>
        </w:rPr>
        <w:t xml:space="preserve">945, 946, 947 </w:t>
      </w:r>
      <w:r w:rsidR="008827C1" w:rsidRPr="0071782F">
        <w:rPr>
          <w:lang w:val="fr-CH"/>
        </w:rPr>
        <w:t>et</w:t>
      </w:r>
      <w:r w:rsidRPr="0071782F">
        <w:rPr>
          <w:lang w:val="fr-CH"/>
        </w:rPr>
        <w:t xml:space="preserve"> 948 </w:t>
      </w:r>
      <w:r w:rsidR="008827C1" w:rsidRPr="0071782F">
        <w:rPr>
          <w:lang w:val="fr-CH"/>
        </w:rPr>
        <w:t>du Code civil relatifs à l’héritage des femmes</w:t>
      </w:r>
      <w:r w:rsidRPr="0071782F">
        <w:rPr>
          <w:lang w:val="fr-CH"/>
        </w:rPr>
        <w:t>.</w:t>
      </w:r>
    </w:p>
    <w:p w:rsidR="009F7C7F" w:rsidRPr="0071782F" w:rsidRDefault="009F7C7F" w:rsidP="00496C06">
      <w:pPr>
        <w:pStyle w:val="SingleTxtG"/>
        <w:ind w:left="1701"/>
        <w:rPr>
          <w:lang w:val="fr-CH"/>
        </w:rPr>
      </w:pPr>
      <w:r w:rsidRPr="0071782F">
        <w:rPr>
          <w:lang w:val="fr-CH"/>
        </w:rPr>
        <w:t>152.6</w:t>
      </w:r>
      <w:r w:rsidR="00C006BB" w:rsidRPr="0071782F">
        <w:rPr>
          <w:lang w:val="fr-CH"/>
        </w:rPr>
        <w:t>.</w:t>
      </w:r>
      <w:r w:rsidRPr="0071782F">
        <w:rPr>
          <w:lang w:val="fr-CH"/>
        </w:rPr>
        <w:tab/>
        <w:t>R</w:t>
      </w:r>
      <w:r w:rsidR="008827C1" w:rsidRPr="0071782F">
        <w:rPr>
          <w:lang w:val="fr-CH"/>
        </w:rPr>
        <w:t>é</w:t>
      </w:r>
      <w:r w:rsidRPr="0071782F">
        <w:rPr>
          <w:lang w:val="fr-CH"/>
        </w:rPr>
        <w:t xml:space="preserve">vision </w:t>
      </w:r>
      <w:r w:rsidR="008827C1" w:rsidRPr="0071782F">
        <w:rPr>
          <w:lang w:val="fr-CH"/>
        </w:rPr>
        <w:t xml:space="preserve">des </w:t>
      </w:r>
      <w:r w:rsidR="00723F2B" w:rsidRPr="0071782F">
        <w:rPr>
          <w:lang w:val="fr-CH"/>
        </w:rPr>
        <w:t>articles </w:t>
      </w:r>
      <w:r w:rsidR="008827C1" w:rsidRPr="0071782F">
        <w:rPr>
          <w:lang w:val="fr-CH"/>
        </w:rPr>
        <w:t xml:space="preserve">du Code civil relatifs aux droits de </w:t>
      </w:r>
      <w:r w:rsidR="00B71907" w:rsidRPr="0071782F">
        <w:rPr>
          <w:lang w:val="fr-CH"/>
        </w:rPr>
        <w:t>la famille</w:t>
      </w:r>
      <w:r w:rsidRPr="0071782F">
        <w:rPr>
          <w:lang w:val="fr-CH"/>
        </w:rPr>
        <w:t>.</w:t>
      </w:r>
    </w:p>
    <w:p w:rsidR="009F7C7F" w:rsidRPr="0071782F" w:rsidRDefault="009F7C7F" w:rsidP="00496C06">
      <w:pPr>
        <w:pStyle w:val="SingleTxtG"/>
        <w:ind w:left="1701"/>
        <w:rPr>
          <w:lang w:val="fr-CH"/>
        </w:rPr>
      </w:pPr>
      <w:r w:rsidRPr="0071782F">
        <w:rPr>
          <w:lang w:val="fr-CH"/>
        </w:rPr>
        <w:t>152.7</w:t>
      </w:r>
      <w:r w:rsidR="00C006BB" w:rsidRPr="0071782F">
        <w:rPr>
          <w:lang w:val="fr-CH"/>
        </w:rPr>
        <w:t>.</w:t>
      </w:r>
      <w:r w:rsidRPr="0071782F">
        <w:rPr>
          <w:lang w:val="fr-CH"/>
        </w:rPr>
        <w:tab/>
      </w:r>
      <w:r w:rsidR="0002497C" w:rsidRPr="0071782F">
        <w:rPr>
          <w:lang w:val="fr-CH"/>
        </w:rPr>
        <w:t xml:space="preserve">Révision des </w:t>
      </w:r>
      <w:r w:rsidR="00723F2B" w:rsidRPr="0071782F">
        <w:rPr>
          <w:lang w:val="fr-CH"/>
        </w:rPr>
        <w:t>articles </w:t>
      </w:r>
      <w:r w:rsidR="0002497C" w:rsidRPr="0071782F">
        <w:rPr>
          <w:lang w:val="fr-CH"/>
        </w:rPr>
        <w:t>du Code du travail relatifs aux droits des travailleuses</w:t>
      </w:r>
      <w:r w:rsidRPr="0071782F">
        <w:rPr>
          <w:lang w:val="fr-CH"/>
        </w:rPr>
        <w:t>.</w:t>
      </w:r>
    </w:p>
    <w:p w:rsidR="009F7C7F" w:rsidRPr="0071782F" w:rsidRDefault="009F7C7F" w:rsidP="00496C06">
      <w:pPr>
        <w:pStyle w:val="SingleTxtG"/>
        <w:ind w:left="1701"/>
        <w:rPr>
          <w:lang w:val="fr-CH"/>
        </w:rPr>
      </w:pPr>
      <w:r w:rsidRPr="0071782F">
        <w:rPr>
          <w:lang w:val="fr-CH"/>
        </w:rPr>
        <w:t>152.8</w:t>
      </w:r>
      <w:r w:rsidR="00C006BB" w:rsidRPr="0071782F">
        <w:rPr>
          <w:lang w:val="fr-CH"/>
        </w:rPr>
        <w:t>.</w:t>
      </w:r>
      <w:r w:rsidRPr="0071782F">
        <w:rPr>
          <w:lang w:val="fr-CH"/>
        </w:rPr>
        <w:tab/>
      </w:r>
      <w:r w:rsidR="0002497C" w:rsidRPr="0071782F">
        <w:rPr>
          <w:lang w:val="fr-CH"/>
        </w:rPr>
        <w:t>D</w:t>
      </w:r>
      <w:r w:rsidRPr="0071782F">
        <w:rPr>
          <w:lang w:val="fr-CH"/>
        </w:rPr>
        <w:t xml:space="preserve">irectives </w:t>
      </w:r>
      <w:r w:rsidR="0002497C" w:rsidRPr="0071782F">
        <w:rPr>
          <w:lang w:val="fr-CH"/>
        </w:rPr>
        <w:t>d’exécution du Plan intégré relatif aux droits et aux responsabilités familiales des femmes</w:t>
      </w:r>
      <w:r w:rsidRPr="0071782F">
        <w:rPr>
          <w:lang w:val="fr-CH"/>
        </w:rPr>
        <w:t>.</w:t>
      </w:r>
    </w:p>
    <w:p w:rsidR="009F7C7F" w:rsidRPr="0071782F" w:rsidRDefault="009F7C7F" w:rsidP="00496C06">
      <w:pPr>
        <w:pStyle w:val="SingleTxtG"/>
        <w:ind w:left="1701"/>
        <w:rPr>
          <w:lang w:val="fr-CH"/>
        </w:rPr>
      </w:pPr>
      <w:r w:rsidRPr="0071782F">
        <w:rPr>
          <w:lang w:val="fr-CH"/>
        </w:rPr>
        <w:t>152.9</w:t>
      </w:r>
      <w:r w:rsidR="00C006BB" w:rsidRPr="0071782F">
        <w:rPr>
          <w:lang w:val="fr-CH"/>
        </w:rPr>
        <w:t>.</w:t>
      </w:r>
      <w:r w:rsidRPr="0071782F">
        <w:rPr>
          <w:lang w:val="fr-CH"/>
        </w:rPr>
        <w:tab/>
      </w:r>
      <w:r w:rsidR="0002497C" w:rsidRPr="0071782F">
        <w:rPr>
          <w:lang w:val="fr-CH"/>
        </w:rPr>
        <w:t xml:space="preserve">Modification du Règlement des conseils provinciaux de développement et de planification et des groupes de travail spécialisés correspondants </w:t>
      </w:r>
      <w:r w:rsidRPr="0071782F">
        <w:rPr>
          <w:lang w:val="fr-CH"/>
        </w:rPr>
        <w:t xml:space="preserve">(2008) </w:t>
      </w:r>
      <w:r w:rsidR="0002497C" w:rsidRPr="0071782F">
        <w:rPr>
          <w:lang w:val="fr-CH"/>
        </w:rPr>
        <w:t xml:space="preserve">du Conseil des ministres, tendant à permettre au conseiller aux affaires féminines du gouverneur général de la province de participer aux travaux des groupes de travail spécialisés. </w:t>
      </w:r>
    </w:p>
    <w:p w:rsidR="009F7C7F" w:rsidRPr="0071782F" w:rsidRDefault="009F7C7F" w:rsidP="00496C06">
      <w:pPr>
        <w:pStyle w:val="H1G"/>
        <w:rPr>
          <w:lang w:val="fr-CH"/>
        </w:rPr>
      </w:pPr>
      <w:r w:rsidRPr="0071782F">
        <w:rPr>
          <w:lang w:val="fr-CH"/>
        </w:rPr>
        <w:tab/>
      </w:r>
      <w:r w:rsidRPr="0071782F">
        <w:rPr>
          <w:lang w:val="fr-CH"/>
        </w:rPr>
        <w:tab/>
      </w:r>
      <w:r w:rsidR="0002497C" w:rsidRPr="0071782F">
        <w:rPr>
          <w:lang w:val="fr-CH"/>
        </w:rPr>
        <w:t xml:space="preserve">Propositions tendant à modifier certains </w:t>
      </w:r>
      <w:r w:rsidR="00723F2B" w:rsidRPr="0071782F">
        <w:rPr>
          <w:lang w:val="fr-CH"/>
        </w:rPr>
        <w:t>articles </w:t>
      </w:r>
      <w:r w:rsidR="0002497C" w:rsidRPr="0071782F">
        <w:rPr>
          <w:lang w:val="fr-CH"/>
        </w:rPr>
        <w:t xml:space="preserve">du Code du travail </w:t>
      </w:r>
    </w:p>
    <w:p w:rsidR="009F7C7F" w:rsidRPr="0071782F" w:rsidRDefault="009F7C7F" w:rsidP="00496C06">
      <w:pPr>
        <w:pStyle w:val="SingleTxtG"/>
        <w:rPr>
          <w:lang w:val="fr-CH"/>
        </w:rPr>
      </w:pPr>
      <w:r w:rsidRPr="0071782F">
        <w:rPr>
          <w:lang w:val="fr-CH"/>
        </w:rPr>
        <w:t>153.</w:t>
      </w:r>
      <w:r w:rsidRPr="0071782F">
        <w:rPr>
          <w:lang w:val="fr-CH"/>
        </w:rPr>
        <w:tab/>
      </w:r>
      <w:r w:rsidR="0002497C" w:rsidRPr="0071782F">
        <w:rPr>
          <w:lang w:val="fr-CH"/>
        </w:rPr>
        <w:t>Ces propositions sont les suivantes</w:t>
      </w:r>
      <w:r w:rsidR="008F7D33" w:rsidRPr="0071782F">
        <w:rPr>
          <w:lang w:val="fr-CH"/>
        </w:rPr>
        <w:t>:</w:t>
      </w:r>
    </w:p>
    <w:p w:rsidR="009F7C7F" w:rsidRPr="0071782F" w:rsidRDefault="009F7C7F" w:rsidP="00496C06">
      <w:pPr>
        <w:pStyle w:val="SingleTxtG"/>
        <w:ind w:left="1701"/>
        <w:rPr>
          <w:lang w:val="fr-CH"/>
        </w:rPr>
      </w:pPr>
      <w:r w:rsidRPr="0071782F">
        <w:rPr>
          <w:lang w:val="fr-CH"/>
        </w:rPr>
        <w:t>153.1</w:t>
      </w:r>
      <w:r w:rsidR="00C006BB" w:rsidRPr="0071782F">
        <w:rPr>
          <w:lang w:val="fr-CH"/>
        </w:rPr>
        <w:t>.</w:t>
      </w:r>
      <w:r w:rsidRPr="0071782F">
        <w:rPr>
          <w:lang w:val="fr-CH"/>
        </w:rPr>
        <w:tab/>
      </w:r>
      <w:r w:rsidR="0002497C" w:rsidRPr="0071782F">
        <w:rPr>
          <w:lang w:val="fr-CH"/>
        </w:rPr>
        <w:t xml:space="preserve">Modification de </w:t>
      </w:r>
      <w:r w:rsidR="00723F2B" w:rsidRPr="0071782F">
        <w:rPr>
          <w:lang w:val="fr-CH"/>
        </w:rPr>
        <w:t>l’</w:t>
      </w:r>
      <w:r w:rsidR="00943A69" w:rsidRPr="0071782F">
        <w:rPr>
          <w:lang w:val="fr-CH"/>
        </w:rPr>
        <w:t>article </w:t>
      </w:r>
      <w:r w:rsidRPr="0071782F">
        <w:rPr>
          <w:lang w:val="fr-CH"/>
        </w:rPr>
        <w:t xml:space="preserve">73 </w:t>
      </w:r>
      <w:r w:rsidR="0002497C" w:rsidRPr="0071782F">
        <w:rPr>
          <w:lang w:val="fr-CH"/>
        </w:rPr>
        <w:t xml:space="preserve">du Code du travail </w:t>
      </w:r>
      <w:r w:rsidRPr="0071782F">
        <w:rPr>
          <w:lang w:val="fr-CH"/>
        </w:rPr>
        <w:t>(</w:t>
      </w:r>
      <w:r w:rsidR="0002497C" w:rsidRPr="0071782F">
        <w:rPr>
          <w:lang w:val="fr-CH"/>
        </w:rPr>
        <w:t>congé familial</w:t>
      </w:r>
      <w:r w:rsidRPr="0071782F">
        <w:rPr>
          <w:lang w:val="fr-CH"/>
        </w:rPr>
        <w:t>).</w:t>
      </w:r>
    </w:p>
    <w:p w:rsidR="009F7C7F" w:rsidRPr="0071782F" w:rsidRDefault="009F7C7F" w:rsidP="00496C06">
      <w:pPr>
        <w:pStyle w:val="SingleTxtG"/>
        <w:ind w:left="1701"/>
        <w:rPr>
          <w:lang w:val="fr-CH"/>
        </w:rPr>
      </w:pPr>
      <w:r w:rsidRPr="0071782F">
        <w:rPr>
          <w:lang w:val="fr-CH"/>
        </w:rPr>
        <w:t>153.2</w:t>
      </w:r>
      <w:r w:rsidR="00C006BB" w:rsidRPr="0071782F">
        <w:rPr>
          <w:lang w:val="fr-CH"/>
        </w:rPr>
        <w:t>.</w:t>
      </w:r>
      <w:r w:rsidRPr="0071782F">
        <w:rPr>
          <w:lang w:val="fr-CH"/>
        </w:rPr>
        <w:tab/>
      </w:r>
      <w:r w:rsidR="0002497C" w:rsidRPr="0071782F">
        <w:rPr>
          <w:lang w:val="fr-CH"/>
        </w:rPr>
        <w:t xml:space="preserve">Modification de </w:t>
      </w:r>
      <w:r w:rsidR="00723F2B" w:rsidRPr="0071782F">
        <w:rPr>
          <w:lang w:val="fr-CH"/>
        </w:rPr>
        <w:t>l’</w:t>
      </w:r>
      <w:r w:rsidR="00943A69" w:rsidRPr="0071782F">
        <w:rPr>
          <w:lang w:val="fr-CH"/>
        </w:rPr>
        <w:t>article </w:t>
      </w:r>
      <w:r w:rsidR="0002497C" w:rsidRPr="0071782F">
        <w:rPr>
          <w:lang w:val="fr-CH"/>
        </w:rPr>
        <w:t xml:space="preserve">75 du Code du travail </w:t>
      </w:r>
      <w:r w:rsidRPr="0071782F">
        <w:rPr>
          <w:lang w:val="fr-CH"/>
        </w:rPr>
        <w:t>(</w:t>
      </w:r>
      <w:r w:rsidR="0002497C" w:rsidRPr="0071782F">
        <w:rPr>
          <w:lang w:val="fr-CH"/>
        </w:rPr>
        <w:t>interdiction de la journée de travail de 24</w:t>
      </w:r>
      <w:r w:rsidR="00BF435F" w:rsidRPr="0071782F">
        <w:rPr>
          <w:lang w:val="fr-CH"/>
        </w:rPr>
        <w:t> heures</w:t>
      </w:r>
      <w:r w:rsidRPr="0071782F">
        <w:rPr>
          <w:lang w:val="fr-CH"/>
        </w:rPr>
        <w:t>).</w:t>
      </w:r>
    </w:p>
    <w:p w:rsidR="009F7C7F" w:rsidRPr="0071782F" w:rsidRDefault="009F7C7F" w:rsidP="00496C06">
      <w:pPr>
        <w:pStyle w:val="SingleTxtG"/>
        <w:ind w:left="1701"/>
        <w:rPr>
          <w:lang w:val="fr-CH"/>
        </w:rPr>
      </w:pPr>
      <w:r w:rsidRPr="0071782F">
        <w:rPr>
          <w:lang w:val="fr-CH"/>
        </w:rPr>
        <w:t>153.3</w:t>
      </w:r>
      <w:r w:rsidR="00C006BB" w:rsidRPr="0071782F">
        <w:rPr>
          <w:lang w:val="fr-CH"/>
        </w:rPr>
        <w:t>.</w:t>
      </w:r>
      <w:r w:rsidRPr="0071782F">
        <w:rPr>
          <w:lang w:val="fr-CH"/>
        </w:rPr>
        <w:tab/>
      </w:r>
      <w:r w:rsidR="0002497C" w:rsidRPr="0071782F">
        <w:rPr>
          <w:lang w:val="fr-CH"/>
        </w:rPr>
        <w:t xml:space="preserve">Modification de </w:t>
      </w:r>
      <w:r w:rsidR="00723F2B" w:rsidRPr="0071782F">
        <w:rPr>
          <w:lang w:val="fr-CH"/>
        </w:rPr>
        <w:t>l’</w:t>
      </w:r>
      <w:r w:rsidR="00943A69" w:rsidRPr="0071782F">
        <w:rPr>
          <w:lang w:val="fr-CH"/>
        </w:rPr>
        <w:t>article </w:t>
      </w:r>
      <w:r w:rsidR="0002497C" w:rsidRPr="0071782F">
        <w:rPr>
          <w:lang w:val="fr-CH"/>
        </w:rPr>
        <w:t xml:space="preserve">76 du Code du travail </w:t>
      </w:r>
      <w:r w:rsidRPr="0071782F">
        <w:rPr>
          <w:lang w:val="fr-CH"/>
        </w:rPr>
        <w:t>(</w:t>
      </w:r>
      <w:r w:rsidR="0002497C" w:rsidRPr="0071782F">
        <w:rPr>
          <w:lang w:val="fr-CH"/>
        </w:rPr>
        <w:t>allongement de la durée du congé de maternité</w:t>
      </w:r>
      <w:r w:rsidRPr="0071782F">
        <w:rPr>
          <w:lang w:val="fr-CH"/>
        </w:rPr>
        <w:t>).</w:t>
      </w:r>
    </w:p>
    <w:p w:rsidR="009F7C7F" w:rsidRPr="0071782F" w:rsidRDefault="009F7C7F" w:rsidP="00496C06">
      <w:pPr>
        <w:pStyle w:val="SingleTxtG"/>
        <w:ind w:left="1701"/>
        <w:rPr>
          <w:lang w:val="fr-CH"/>
        </w:rPr>
      </w:pPr>
      <w:r w:rsidRPr="0071782F">
        <w:rPr>
          <w:lang w:val="fr-CH"/>
        </w:rPr>
        <w:t>153.4</w:t>
      </w:r>
      <w:r w:rsidR="00C006BB" w:rsidRPr="0071782F">
        <w:rPr>
          <w:lang w:val="fr-CH"/>
        </w:rPr>
        <w:t>.</w:t>
      </w:r>
      <w:r w:rsidRPr="0071782F">
        <w:rPr>
          <w:lang w:val="fr-CH"/>
        </w:rPr>
        <w:tab/>
      </w:r>
      <w:r w:rsidR="0002497C" w:rsidRPr="0071782F">
        <w:rPr>
          <w:lang w:val="fr-CH"/>
        </w:rPr>
        <w:t xml:space="preserve">Modification de </w:t>
      </w:r>
      <w:r w:rsidR="00723F2B" w:rsidRPr="0071782F">
        <w:rPr>
          <w:lang w:val="fr-CH"/>
        </w:rPr>
        <w:t>l’</w:t>
      </w:r>
      <w:r w:rsidR="00943A69" w:rsidRPr="0071782F">
        <w:rPr>
          <w:lang w:val="fr-CH"/>
        </w:rPr>
        <w:t>article </w:t>
      </w:r>
      <w:r w:rsidR="0002497C" w:rsidRPr="0071782F">
        <w:rPr>
          <w:lang w:val="fr-CH"/>
        </w:rPr>
        <w:t xml:space="preserve">77 du Code du travail </w:t>
      </w:r>
      <w:r w:rsidRPr="0071782F">
        <w:rPr>
          <w:lang w:val="fr-CH"/>
        </w:rPr>
        <w:t>(</w:t>
      </w:r>
      <w:r w:rsidR="008A3E74" w:rsidRPr="0071782F">
        <w:rPr>
          <w:lang w:val="fr-CH"/>
        </w:rPr>
        <w:t>inter</w:t>
      </w:r>
      <w:r w:rsidR="0002497C" w:rsidRPr="0071782F">
        <w:rPr>
          <w:lang w:val="fr-CH"/>
        </w:rPr>
        <w:t>diction du licenciement pendant la grossesse et l’allaitement</w:t>
      </w:r>
      <w:r w:rsidRPr="0071782F">
        <w:rPr>
          <w:lang w:val="fr-CH"/>
        </w:rPr>
        <w:t>).</w:t>
      </w:r>
    </w:p>
    <w:p w:rsidR="009F7C7F" w:rsidRPr="00217F5F" w:rsidRDefault="009F7C7F" w:rsidP="00496C06">
      <w:pPr>
        <w:pStyle w:val="SingleTxtG"/>
        <w:ind w:left="1701"/>
        <w:rPr>
          <w:spacing w:val="-2"/>
          <w:lang w:val="fr-CH"/>
        </w:rPr>
      </w:pPr>
      <w:r w:rsidRPr="00217F5F">
        <w:rPr>
          <w:spacing w:val="-2"/>
          <w:lang w:val="fr-CH"/>
        </w:rPr>
        <w:t>153.5</w:t>
      </w:r>
      <w:r w:rsidR="00C006BB" w:rsidRPr="00217F5F">
        <w:rPr>
          <w:spacing w:val="-2"/>
          <w:lang w:val="fr-CH"/>
        </w:rPr>
        <w:t>.</w:t>
      </w:r>
      <w:r w:rsidRPr="00217F5F">
        <w:rPr>
          <w:spacing w:val="-2"/>
          <w:lang w:val="fr-CH"/>
        </w:rPr>
        <w:tab/>
      </w:r>
      <w:r w:rsidR="0002497C" w:rsidRPr="00217F5F">
        <w:rPr>
          <w:spacing w:val="-2"/>
          <w:lang w:val="fr-CH"/>
        </w:rPr>
        <w:t xml:space="preserve">Modification de </w:t>
      </w:r>
      <w:r w:rsidR="00723F2B" w:rsidRPr="00217F5F">
        <w:rPr>
          <w:spacing w:val="-2"/>
          <w:lang w:val="fr-CH"/>
        </w:rPr>
        <w:t>l’</w:t>
      </w:r>
      <w:r w:rsidR="00943A69" w:rsidRPr="00217F5F">
        <w:rPr>
          <w:spacing w:val="-2"/>
          <w:lang w:val="fr-CH"/>
        </w:rPr>
        <w:t>article </w:t>
      </w:r>
      <w:r w:rsidR="0002497C" w:rsidRPr="00217F5F">
        <w:rPr>
          <w:spacing w:val="-2"/>
          <w:lang w:val="fr-CH"/>
        </w:rPr>
        <w:t xml:space="preserve">78 du Code du travail </w:t>
      </w:r>
      <w:r w:rsidRPr="00217F5F">
        <w:rPr>
          <w:spacing w:val="-2"/>
          <w:lang w:val="fr-CH"/>
        </w:rPr>
        <w:t>(</w:t>
      </w:r>
      <w:r w:rsidR="0002497C" w:rsidRPr="00217F5F">
        <w:rPr>
          <w:spacing w:val="-2"/>
          <w:lang w:val="fr-CH"/>
        </w:rPr>
        <w:t>création de garderies de jour</w:t>
      </w:r>
      <w:r w:rsidRPr="00217F5F">
        <w:rPr>
          <w:spacing w:val="-2"/>
          <w:lang w:val="fr-CH"/>
        </w:rPr>
        <w:t>).</w:t>
      </w:r>
    </w:p>
    <w:p w:rsidR="009F7C7F" w:rsidRPr="0071782F" w:rsidRDefault="009F7C7F" w:rsidP="00496C06">
      <w:pPr>
        <w:pStyle w:val="SingleTxtG"/>
        <w:ind w:left="1701"/>
        <w:rPr>
          <w:lang w:val="fr-CH"/>
        </w:rPr>
      </w:pPr>
      <w:r w:rsidRPr="0071782F">
        <w:rPr>
          <w:lang w:val="fr-CH"/>
        </w:rPr>
        <w:t>153.6</w:t>
      </w:r>
      <w:r w:rsidR="00C006BB" w:rsidRPr="0071782F">
        <w:rPr>
          <w:lang w:val="fr-CH"/>
        </w:rPr>
        <w:t>.</w:t>
      </w:r>
      <w:r w:rsidRPr="0071782F">
        <w:rPr>
          <w:lang w:val="fr-CH"/>
        </w:rPr>
        <w:tab/>
        <w:t>Ad</w:t>
      </w:r>
      <w:r w:rsidR="0002497C" w:rsidRPr="0071782F">
        <w:rPr>
          <w:lang w:val="fr-CH"/>
        </w:rPr>
        <w:t xml:space="preserve">jonction d’un </w:t>
      </w:r>
      <w:r w:rsidR="001B2D36">
        <w:rPr>
          <w:lang w:val="fr-CH"/>
        </w:rPr>
        <w:t xml:space="preserve">article </w:t>
      </w:r>
      <w:r w:rsidR="0002497C" w:rsidRPr="0071782F">
        <w:rPr>
          <w:lang w:val="fr-CH"/>
        </w:rPr>
        <w:t xml:space="preserve">à la </w:t>
      </w:r>
      <w:r w:rsidR="00A90208" w:rsidRPr="0071782F">
        <w:rPr>
          <w:lang w:val="fr-CH"/>
        </w:rPr>
        <w:t>quatrième</w:t>
      </w:r>
      <w:r w:rsidR="0002497C" w:rsidRPr="0071782F">
        <w:rPr>
          <w:lang w:val="fr-CH"/>
        </w:rPr>
        <w:t xml:space="preserve"> section du Code du travail sur la réduction de la durée du travail.</w:t>
      </w:r>
    </w:p>
    <w:p w:rsidR="009F7C7F" w:rsidRPr="0071782F" w:rsidRDefault="009F7C7F" w:rsidP="00496C06">
      <w:pPr>
        <w:pStyle w:val="SingleTxtG"/>
        <w:ind w:left="1701"/>
        <w:rPr>
          <w:lang w:val="fr-CH"/>
        </w:rPr>
      </w:pPr>
      <w:r w:rsidRPr="0071782F">
        <w:rPr>
          <w:lang w:val="fr-CH"/>
        </w:rPr>
        <w:t>153.7</w:t>
      </w:r>
      <w:r w:rsidR="00C006BB" w:rsidRPr="0071782F">
        <w:rPr>
          <w:lang w:val="fr-CH"/>
        </w:rPr>
        <w:t>.</w:t>
      </w:r>
      <w:r w:rsidRPr="0071782F">
        <w:rPr>
          <w:lang w:val="fr-CH"/>
        </w:rPr>
        <w:tab/>
      </w:r>
      <w:r w:rsidR="0002497C" w:rsidRPr="0071782F">
        <w:rPr>
          <w:lang w:val="fr-CH"/>
        </w:rPr>
        <w:t>Retraite anticipée sans condition d’âge</w:t>
      </w:r>
      <w:r w:rsidRPr="0071782F">
        <w:rPr>
          <w:lang w:val="fr-CH"/>
        </w:rPr>
        <w:t>.</w:t>
      </w:r>
    </w:p>
    <w:p w:rsidR="009F7C7F" w:rsidRPr="0071782F" w:rsidRDefault="009F7C7F" w:rsidP="00496C06">
      <w:pPr>
        <w:pStyle w:val="SingleTxtG"/>
        <w:ind w:left="1701"/>
        <w:rPr>
          <w:lang w:val="fr-CH"/>
        </w:rPr>
      </w:pPr>
      <w:r w:rsidRPr="0071782F">
        <w:rPr>
          <w:lang w:val="fr-CH"/>
        </w:rPr>
        <w:t>153.8</w:t>
      </w:r>
      <w:r w:rsidR="00C006BB" w:rsidRPr="0071782F">
        <w:rPr>
          <w:lang w:val="fr-CH"/>
        </w:rPr>
        <w:t>.</w:t>
      </w:r>
      <w:r w:rsidRPr="0071782F">
        <w:rPr>
          <w:lang w:val="fr-CH"/>
        </w:rPr>
        <w:tab/>
      </w:r>
      <w:r w:rsidR="0002497C" w:rsidRPr="0071782F">
        <w:rPr>
          <w:lang w:val="fr-CH"/>
        </w:rPr>
        <w:t xml:space="preserve">Modification de </w:t>
      </w:r>
      <w:r w:rsidR="00723F2B" w:rsidRPr="0071782F">
        <w:rPr>
          <w:lang w:val="fr-CH"/>
        </w:rPr>
        <w:t>l’</w:t>
      </w:r>
      <w:r w:rsidR="00943A69" w:rsidRPr="0071782F">
        <w:rPr>
          <w:lang w:val="fr-CH"/>
        </w:rPr>
        <w:t>article </w:t>
      </w:r>
      <w:r w:rsidR="0002497C" w:rsidRPr="0071782F">
        <w:rPr>
          <w:lang w:val="fr-CH"/>
        </w:rPr>
        <w:t xml:space="preserve">86 du Code du travail </w:t>
      </w:r>
      <w:r w:rsidRPr="0071782F">
        <w:rPr>
          <w:lang w:val="fr-CH"/>
        </w:rPr>
        <w:t>(</w:t>
      </w:r>
      <w:r w:rsidR="0002497C" w:rsidRPr="0071782F">
        <w:rPr>
          <w:lang w:val="fr-CH"/>
        </w:rPr>
        <w:t>concern</w:t>
      </w:r>
      <w:r w:rsidR="008A3E74" w:rsidRPr="0071782F">
        <w:rPr>
          <w:lang w:val="fr-CH"/>
        </w:rPr>
        <w:t>ant la présence de représentant</w:t>
      </w:r>
      <w:r w:rsidR="0002497C" w:rsidRPr="0071782F">
        <w:rPr>
          <w:lang w:val="fr-CH"/>
        </w:rPr>
        <w:t>es des travailleuses au Haut Conseil de la protection technique</w:t>
      </w:r>
      <w:r w:rsidRPr="0071782F">
        <w:rPr>
          <w:lang w:val="fr-CH"/>
        </w:rPr>
        <w:t>).</w:t>
      </w:r>
    </w:p>
    <w:p w:rsidR="009F7C7F" w:rsidRPr="0071782F" w:rsidRDefault="009F7C7F" w:rsidP="00496C06">
      <w:pPr>
        <w:pStyle w:val="SingleTxtG"/>
        <w:ind w:left="1701"/>
        <w:rPr>
          <w:lang w:val="fr-CH"/>
        </w:rPr>
      </w:pPr>
      <w:r w:rsidRPr="0071782F">
        <w:rPr>
          <w:lang w:val="fr-CH"/>
        </w:rPr>
        <w:t>153.9</w:t>
      </w:r>
      <w:r w:rsidR="00C006BB" w:rsidRPr="0071782F">
        <w:rPr>
          <w:lang w:val="fr-CH"/>
        </w:rPr>
        <w:t>.</w:t>
      </w:r>
      <w:r w:rsidRPr="0071782F">
        <w:rPr>
          <w:lang w:val="fr-CH"/>
        </w:rPr>
        <w:tab/>
      </w:r>
      <w:r w:rsidR="0002497C" w:rsidRPr="0071782F">
        <w:rPr>
          <w:lang w:val="fr-CH"/>
        </w:rPr>
        <w:t xml:space="preserve">Modification de </w:t>
      </w:r>
      <w:r w:rsidR="00723F2B" w:rsidRPr="0071782F">
        <w:rPr>
          <w:lang w:val="fr-CH"/>
        </w:rPr>
        <w:t>l’</w:t>
      </w:r>
      <w:r w:rsidR="00943A69" w:rsidRPr="0071782F">
        <w:rPr>
          <w:lang w:val="fr-CH"/>
        </w:rPr>
        <w:t>article </w:t>
      </w:r>
      <w:r w:rsidR="0002497C" w:rsidRPr="0071782F">
        <w:rPr>
          <w:lang w:val="fr-CH"/>
        </w:rPr>
        <w:t xml:space="preserve">167 du Code du travail </w:t>
      </w:r>
      <w:r w:rsidRPr="0071782F">
        <w:rPr>
          <w:lang w:val="fr-CH"/>
        </w:rPr>
        <w:t>(</w:t>
      </w:r>
      <w:r w:rsidR="0002497C" w:rsidRPr="0071782F">
        <w:rPr>
          <w:lang w:val="fr-CH"/>
        </w:rPr>
        <w:t>concernan</w:t>
      </w:r>
      <w:r w:rsidR="008A3E74" w:rsidRPr="0071782F">
        <w:rPr>
          <w:lang w:val="fr-CH"/>
        </w:rPr>
        <w:t>t la présence de représentante</w:t>
      </w:r>
      <w:r w:rsidR="0002497C" w:rsidRPr="0071782F">
        <w:rPr>
          <w:lang w:val="fr-CH"/>
        </w:rPr>
        <w:t>s des travailleuses au Haut Conseil i</w:t>
      </w:r>
      <w:r w:rsidR="008A3E74" w:rsidRPr="0071782F">
        <w:rPr>
          <w:lang w:val="fr-CH"/>
        </w:rPr>
        <w:t>slamique</w:t>
      </w:r>
      <w:r w:rsidRPr="0071782F">
        <w:rPr>
          <w:lang w:val="fr-CH"/>
        </w:rPr>
        <w:t xml:space="preserve"> </w:t>
      </w:r>
      <w:r w:rsidR="0002497C" w:rsidRPr="0071782F">
        <w:rPr>
          <w:lang w:val="fr-CH"/>
        </w:rPr>
        <w:t>du travail</w:t>
      </w:r>
      <w:r w:rsidRPr="0071782F">
        <w:rPr>
          <w:lang w:val="fr-CH"/>
        </w:rPr>
        <w:t>).</w:t>
      </w:r>
    </w:p>
    <w:p w:rsidR="009F7C7F" w:rsidRPr="0071782F" w:rsidRDefault="009F7C7F" w:rsidP="00496C06">
      <w:pPr>
        <w:pStyle w:val="H1G"/>
        <w:rPr>
          <w:lang w:val="fr-CH"/>
        </w:rPr>
      </w:pPr>
      <w:r w:rsidRPr="0071782F">
        <w:rPr>
          <w:lang w:val="fr-CH"/>
        </w:rPr>
        <w:tab/>
      </w:r>
      <w:r w:rsidRPr="0071782F">
        <w:rPr>
          <w:lang w:val="fr-CH"/>
        </w:rPr>
        <w:tab/>
      </w:r>
      <w:r w:rsidR="0002497C" w:rsidRPr="0071782F">
        <w:rPr>
          <w:lang w:val="fr-CH"/>
        </w:rPr>
        <w:t xml:space="preserve">Mesures les plus </w:t>
      </w:r>
      <w:r w:rsidRPr="0071782F">
        <w:rPr>
          <w:lang w:val="fr-CH"/>
        </w:rPr>
        <w:t>important</w:t>
      </w:r>
      <w:r w:rsidR="0002497C" w:rsidRPr="0071782F">
        <w:rPr>
          <w:lang w:val="fr-CH"/>
        </w:rPr>
        <w:t xml:space="preserve">es adoptées par le système judiciaire pour appuyer </w:t>
      </w:r>
      <w:r w:rsidR="00B71907" w:rsidRPr="0071782F">
        <w:rPr>
          <w:lang w:val="fr-CH"/>
        </w:rPr>
        <w:t>la famille</w:t>
      </w:r>
    </w:p>
    <w:p w:rsidR="009F7C7F" w:rsidRPr="0071782F" w:rsidRDefault="009F7C7F" w:rsidP="00496C06">
      <w:pPr>
        <w:pStyle w:val="H23G"/>
        <w:rPr>
          <w:lang w:val="fr-CH"/>
        </w:rPr>
      </w:pPr>
      <w:r w:rsidRPr="0071782F">
        <w:rPr>
          <w:lang w:val="fr-CH"/>
        </w:rPr>
        <w:tab/>
      </w:r>
      <w:r w:rsidRPr="0071782F">
        <w:rPr>
          <w:lang w:val="fr-CH"/>
        </w:rPr>
        <w:tab/>
      </w:r>
      <w:r w:rsidR="0002497C" w:rsidRPr="0071782F">
        <w:rPr>
          <w:lang w:val="fr-CH"/>
        </w:rPr>
        <w:t xml:space="preserve">Loi </w:t>
      </w:r>
      <w:r w:rsidR="00E63898" w:rsidRPr="0071782F">
        <w:rPr>
          <w:lang w:val="fr-CH"/>
        </w:rPr>
        <w:t xml:space="preserve">portant </w:t>
      </w:r>
      <w:r w:rsidR="0002497C" w:rsidRPr="0071782F">
        <w:rPr>
          <w:lang w:val="fr-CH"/>
        </w:rPr>
        <w:t>création de</w:t>
      </w:r>
      <w:r w:rsidR="00E63898" w:rsidRPr="0071782F">
        <w:rPr>
          <w:lang w:val="fr-CH"/>
        </w:rPr>
        <w:t>s</w:t>
      </w:r>
      <w:r w:rsidR="0002497C" w:rsidRPr="0071782F">
        <w:rPr>
          <w:lang w:val="fr-CH"/>
        </w:rPr>
        <w:t xml:space="preserve"> tribunaux de la </w:t>
      </w:r>
      <w:r w:rsidR="0071782F" w:rsidRPr="0071782F">
        <w:rPr>
          <w:lang w:val="fr-CH"/>
        </w:rPr>
        <w:t>famille</w:t>
      </w:r>
      <w:r w:rsidR="0002497C" w:rsidRPr="0071782F">
        <w:rPr>
          <w:lang w:val="fr-CH"/>
        </w:rPr>
        <w:t xml:space="preserve"> </w:t>
      </w:r>
    </w:p>
    <w:p w:rsidR="009F7C7F" w:rsidRPr="0071782F" w:rsidRDefault="009F7C7F" w:rsidP="00496C06">
      <w:pPr>
        <w:pStyle w:val="SingleTxtG"/>
        <w:rPr>
          <w:lang w:val="fr-CH"/>
        </w:rPr>
      </w:pPr>
      <w:r w:rsidRPr="0071782F">
        <w:rPr>
          <w:lang w:val="fr-CH"/>
        </w:rPr>
        <w:t>154.</w:t>
      </w:r>
      <w:r w:rsidRPr="0071782F">
        <w:rPr>
          <w:lang w:val="fr-CH"/>
        </w:rPr>
        <w:tab/>
      </w:r>
      <w:r w:rsidR="00E63898" w:rsidRPr="0071782F">
        <w:rPr>
          <w:lang w:val="fr-CH"/>
        </w:rPr>
        <w:t xml:space="preserve">La loi portant création de tribunaux civils spécialisés dans les affaires relatives à </w:t>
      </w:r>
      <w:r w:rsidR="00B71907" w:rsidRPr="0071782F">
        <w:rPr>
          <w:lang w:val="fr-CH"/>
        </w:rPr>
        <w:t>la famille</w:t>
      </w:r>
      <w:r w:rsidR="00E63898" w:rsidRPr="0071782F">
        <w:rPr>
          <w:lang w:val="fr-CH"/>
        </w:rPr>
        <w:t xml:space="preserve"> a été adoptée en </w:t>
      </w:r>
      <w:r w:rsidRPr="0071782F">
        <w:rPr>
          <w:lang w:val="fr-CH"/>
        </w:rPr>
        <w:t xml:space="preserve">1979. </w:t>
      </w:r>
      <w:r w:rsidR="00E63898" w:rsidRPr="0071782F">
        <w:rPr>
          <w:lang w:val="fr-CH"/>
        </w:rPr>
        <w:t xml:space="preserve">Cependant, quand, en </w:t>
      </w:r>
      <w:r w:rsidRPr="0071782F">
        <w:rPr>
          <w:lang w:val="fr-CH"/>
        </w:rPr>
        <w:t xml:space="preserve">1994, </w:t>
      </w:r>
      <w:r w:rsidR="00E63898" w:rsidRPr="0071782F">
        <w:rPr>
          <w:lang w:val="fr-CH"/>
        </w:rPr>
        <w:t xml:space="preserve">les tribunaux ont été divisés en deux catégories (généraux et révolutionnaires) en vertu de la loi assignant les fonctions prévues par </w:t>
      </w:r>
      <w:r w:rsidR="00723F2B" w:rsidRPr="0071782F">
        <w:rPr>
          <w:lang w:val="fr-CH"/>
        </w:rPr>
        <w:t>l’</w:t>
      </w:r>
      <w:r w:rsidR="00943A69" w:rsidRPr="0071782F">
        <w:rPr>
          <w:lang w:val="fr-CH"/>
        </w:rPr>
        <w:t>article </w:t>
      </w:r>
      <w:r w:rsidR="00E63898" w:rsidRPr="0071782F">
        <w:rPr>
          <w:lang w:val="fr-CH"/>
        </w:rPr>
        <w:t>21 de la Constitution à certains des tribunaux existants</w:t>
      </w:r>
      <w:r w:rsidRPr="0071782F">
        <w:rPr>
          <w:lang w:val="fr-CH"/>
        </w:rPr>
        <w:t xml:space="preserve">, </w:t>
      </w:r>
      <w:r w:rsidR="00E63898" w:rsidRPr="0071782F">
        <w:rPr>
          <w:lang w:val="fr-CH"/>
        </w:rPr>
        <w:t xml:space="preserve">il a été décidé que, dans les grandes villes, certains organes judiciaires s’occuperaient de ce type d’affaires et que, dans les petites villes, le chef du tribunal principal pourrait créer des tribunaux de </w:t>
      </w:r>
      <w:r w:rsidR="00B71907" w:rsidRPr="0071782F">
        <w:rPr>
          <w:lang w:val="fr-CH"/>
        </w:rPr>
        <w:t>la famille</w:t>
      </w:r>
      <w:r w:rsidR="00E63898" w:rsidRPr="0071782F">
        <w:rPr>
          <w:lang w:val="fr-CH"/>
        </w:rPr>
        <w:t xml:space="preserve"> puisque les juges qui les composaient devaient recevoir des instructions spéciales à cet effet, être mariés et avoir exercé la profession de juge depuis au moins quatre</w:t>
      </w:r>
      <w:r w:rsidR="00D82C96" w:rsidRPr="0071782F">
        <w:rPr>
          <w:lang w:val="fr-CH"/>
        </w:rPr>
        <w:t> ans</w:t>
      </w:r>
      <w:r w:rsidR="00E63898" w:rsidRPr="0071782F">
        <w:rPr>
          <w:lang w:val="fr-CH"/>
        </w:rPr>
        <w:t>.</w:t>
      </w:r>
    </w:p>
    <w:p w:rsidR="009F7C7F" w:rsidRPr="0071782F" w:rsidRDefault="009F7C7F" w:rsidP="00496C06">
      <w:pPr>
        <w:pStyle w:val="SingleTxtG"/>
        <w:ind w:left="1701"/>
        <w:rPr>
          <w:lang w:val="fr-CH"/>
        </w:rPr>
      </w:pPr>
      <w:r w:rsidRPr="0071782F">
        <w:rPr>
          <w:lang w:val="fr-CH"/>
        </w:rPr>
        <w:t>154.1</w:t>
      </w:r>
      <w:r w:rsidR="00C006BB" w:rsidRPr="0071782F">
        <w:rPr>
          <w:lang w:val="fr-CH"/>
        </w:rPr>
        <w:t>.</w:t>
      </w:r>
      <w:r w:rsidRPr="0071782F">
        <w:rPr>
          <w:lang w:val="fr-CH"/>
        </w:rPr>
        <w:tab/>
      </w:r>
      <w:r w:rsidR="00E63898" w:rsidRPr="0071782F">
        <w:rPr>
          <w:lang w:val="fr-CH"/>
        </w:rPr>
        <w:t xml:space="preserve">Dans les tribunaux spécialisés civils et de </w:t>
      </w:r>
      <w:r w:rsidR="00B71907" w:rsidRPr="0071782F">
        <w:rPr>
          <w:lang w:val="fr-CH"/>
        </w:rPr>
        <w:t>la famille</w:t>
      </w:r>
      <w:r w:rsidR="00E63898" w:rsidRPr="0071782F">
        <w:rPr>
          <w:lang w:val="fr-CH"/>
        </w:rPr>
        <w:t>, l’accent a été mis sur la présence de conseillères juridiques</w:t>
      </w:r>
      <w:r w:rsidRPr="0071782F">
        <w:rPr>
          <w:lang w:val="fr-CH"/>
        </w:rPr>
        <w:t xml:space="preserve">. </w:t>
      </w:r>
      <w:r w:rsidR="00E63898" w:rsidRPr="0071782F">
        <w:rPr>
          <w:lang w:val="fr-CH"/>
        </w:rPr>
        <w:t xml:space="preserve">En vertu du </w:t>
      </w:r>
      <w:r w:rsidR="00723F2B" w:rsidRPr="0071782F">
        <w:rPr>
          <w:lang w:val="fr-CH"/>
        </w:rPr>
        <w:t>paragraphe </w:t>
      </w:r>
      <w:r w:rsidR="00A234E8" w:rsidRPr="0071782F">
        <w:rPr>
          <w:lang w:val="fr-CH"/>
        </w:rPr>
        <w:t>B</w:t>
      </w:r>
      <w:r w:rsidRPr="0071782F">
        <w:rPr>
          <w:lang w:val="fr-CH"/>
        </w:rPr>
        <w:t xml:space="preserve"> </w:t>
      </w:r>
      <w:r w:rsidR="00E63898"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14 </w:t>
      </w:r>
      <w:r w:rsidR="00E63898" w:rsidRPr="0071782F">
        <w:rPr>
          <w:lang w:val="fr-CH"/>
        </w:rPr>
        <w:t xml:space="preserve">de la loi modifiant la loi sur la création des tribunaux généraux et des tribunaux révolutionnaires </w:t>
      </w:r>
      <w:r w:rsidRPr="0071782F">
        <w:rPr>
          <w:lang w:val="fr-CH"/>
        </w:rPr>
        <w:t xml:space="preserve">(2002), </w:t>
      </w:r>
      <w:r w:rsidR="00E63898" w:rsidRPr="0071782F">
        <w:rPr>
          <w:lang w:val="fr-CH"/>
        </w:rPr>
        <w:t xml:space="preserve">le tribunal de </w:t>
      </w:r>
      <w:r w:rsidR="00B71907" w:rsidRPr="0071782F">
        <w:rPr>
          <w:lang w:val="fr-CH"/>
        </w:rPr>
        <w:t>la famille</w:t>
      </w:r>
      <w:r w:rsidR="00E63898" w:rsidRPr="0071782F">
        <w:rPr>
          <w:lang w:val="fr-CH"/>
        </w:rPr>
        <w:t xml:space="preserve"> siège en présence d’une conseillère</w:t>
      </w:r>
      <w:r w:rsidR="00D36718">
        <w:rPr>
          <w:lang w:val="fr-CH"/>
        </w:rPr>
        <w:t xml:space="preserve"> </w:t>
      </w:r>
      <w:r w:rsidR="00E63898" w:rsidRPr="0071782F">
        <w:rPr>
          <w:lang w:val="fr-CH"/>
        </w:rPr>
        <w:t>et doit tenir compte de ses avis dans toute la mesure possible</w:t>
      </w:r>
      <w:r w:rsidRPr="0071782F">
        <w:rPr>
          <w:lang w:val="fr-CH"/>
        </w:rPr>
        <w:t xml:space="preserve">. </w:t>
      </w:r>
      <w:r w:rsidR="00E63898" w:rsidRPr="0071782F">
        <w:rPr>
          <w:lang w:val="fr-CH"/>
        </w:rPr>
        <w:t xml:space="preserve">L’utilisation de l’expression </w:t>
      </w:r>
      <w:r w:rsidR="00A62149" w:rsidRPr="0071782F">
        <w:rPr>
          <w:lang w:val="fr-CH"/>
        </w:rPr>
        <w:t>"</w:t>
      </w:r>
      <w:r w:rsidR="00E63898" w:rsidRPr="0071782F">
        <w:rPr>
          <w:lang w:val="fr-CH"/>
        </w:rPr>
        <w:t>dans toute la mesure possible</w:t>
      </w:r>
      <w:r w:rsidR="00A62149" w:rsidRPr="0071782F">
        <w:rPr>
          <w:lang w:val="fr-CH"/>
        </w:rPr>
        <w:t>"</w:t>
      </w:r>
      <w:r w:rsidRPr="0071782F">
        <w:rPr>
          <w:lang w:val="fr-CH"/>
        </w:rPr>
        <w:t xml:space="preserve"> </w:t>
      </w:r>
      <w:r w:rsidR="00E63898" w:rsidRPr="0071782F">
        <w:rPr>
          <w:lang w:val="fr-CH"/>
        </w:rPr>
        <w:t>tient au fait que l’</w:t>
      </w:r>
      <w:r w:rsidRPr="0071782F">
        <w:rPr>
          <w:lang w:val="fr-CH"/>
        </w:rPr>
        <w:t xml:space="preserve">absence </w:t>
      </w:r>
      <w:r w:rsidR="00E63898" w:rsidRPr="0071782F">
        <w:rPr>
          <w:lang w:val="fr-CH"/>
        </w:rPr>
        <w:t xml:space="preserve">de femmes juges dans les régions reculées ne peut pas y empêcher le fonctionnement des tribunaux de </w:t>
      </w:r>
      <w:r w:rsidR="00B71907" w:rsidRPr="0071782F">
        <w:rPr>
          <w:lang w:val="fr-CH"/>
        </w:rPr>
        <w:t>la famille</w:t>
      </w:r>
      <w:r w:rsidRPr="0071782F">
        <w:rPr>
          <w:lang w:val="fr-CH"/>
        </w:rPr>
        <w:t xml:space="preserve">. </w:t>
      </w:r>
    </w:p>
    <w:p w:rsidR="009F7C7F" w:rsidRPr="0071782F" w:rsidRDefault="009F7C7F" w:rsidP="00496C06">
      <w:pPr>
        <w:pStyle w:val="SingleTxtG"/>
        <w:ind w:left="1701"/>
        <w:rPr>
          <w:lang w:val="fr-CH"/>
        </w:rPr>
      </w:pPr>
      <w:r w:rsidRPr="0071782F">
        <w:rPr>
          <w:lang w:val="fr-CH"/>
        </w:rPr>
        <w:t>154.2</w:t>
      </w:r>
      <w:r w:rsidR="00C006BB" w:rsidRPr="0071782F">
        <w:rPr>
          <w:lang w:val="fr-CH"/>
        </w:rPr>
        <w:t>.</w:t>
      </w:r>
      <w:r w:rsidRPr="0071782F">
        <w:rPr>
          <w:lang w:val="fr-CH"/>
        </w:rPr>
        <w:tab/>
      </w:r>
      <w:r w:rsidR="00E84B01" w:rsidRPr="0071782F">
        <w:rPr>
          <w:lang w:val="fr-CH"/>
        </w:rPr>
        <w:t xml:space="preserve">Une autre mesure adoptée à cet égard est la loi portant création </w:t>
      </w:r>
      <w:r w:rsidR="00A83442">
        <w:rPr>
          <w:lang w:val="fr-CH"/>
        </w:rPr>
        <w:t>des unités</w:t>
      </w:r>
      <w:r w:rsidR="00E84B01" w:rsidRPr="0071782F">
        <w:rPr>
          <w:lang w:val="fr-CH"/>
        </w:rPr>
        <w:t xml:space="preserve"> d’orientation et d’assistance adoptée en 1991 par le Haut Conseil culturel de la Révolution pour aider les </w:t>
      </w:r>
      <w:r w:rsidRPr="0071782F">
        <w:rPr>
          <w:lang w:val="fr-CH"/>
        </w:rPr>
        <w:t xml:space="preserve">couples </w:t>
      </w:r>
      <w:r w:rsidR="00E84B01" w:rsidRPr="0071782F">
        <w:rPr>
          <w:lang w:val="fr-CH"/>
        </w:rPr>
        <w:t xml:space="preserve">devant les tribunaux de </w:t>
      </w:r>
      <w:r w:rsidR="00B71907" w:rsidRPr="0071782F">
        <w:rPr>
          <w:lang w:val="fr-CH"/>
        </w:rPr>
        <w:t>la famille</w:t>
      </w:r>
      <w:r w:rsidR="00E84B01" w:rsidRPr="0071782F">
        <w:rPr>
          <w:lang w:val="fr-CH"/>
        </w:rPr>
        <w:t xml:space="preserve"> ou d’autres tribunaux.</w:t>
      </w:r>
      <w:r w:rsidRPr="0071782F">
        <w:rPr>
          <w:lang w:val="fr-CH"/>
        </w:rPr>
        <w:t xml:space="preserve"> </w:t>
      </w:r>
      <w:r w:rsidR="00E84B01" w:rsidRPr="0071782F">
        <w:rPr>
          <w:lang w:val="fr-CH"/>
        </w:rPr>
        <w:t xml:space="preserve">Toutefois, pour fournir un appui aux femmes dans le domaine juridique, le Chef du pouvoir judiciaire a émis une </w:t>
      </w:r>
      <w:r w:rsidRPr="0071782F">
        <w:rPr>
          <w:lang w:val="fr-CH"/>
        </w:rPr>
        <w:t xml:space="preserve">directive </w:t>
      </w:r>
      <w:r w:rsidR="00E84B01" w:rsidRPr="0071782F">
        <w:rPr>
          <w:lang w:val="fr-CH"/>
        </w:rPr>
        <w:t xml:space="preserve">concernant la création d’un bureau d’appui aux droits des femmes et des enfants au </w:t>
      </w:r>
      <w:r w:rsidR="0071782F" w:rsidRPr="0071782F">
        <w:rPr>
          <w:lang w:val="fr-CH"/>
        </w:rPr>
        <w:t>cœur</w:t>
      </w:r>
      <w:r w:rsidR="00E84B01" w:rsidRPr="0071782F">
        <w:rPr>
          <w:lang w:val="fr-CH"/>
        </w:rPr>
        <w:t xml:space="preserve"> de l’appareil judiciaire et dans les départements judiciaires de chaque province. Cet organe a été spécialement chargé d’appuyer les femmes et les enfants qui ont commis des infractions ou ont été victimes d’actes de violence</w:t>
      </w:r>
      <w:r w:rsidRPr="0071782F">
        <w:rPr>
          <w:lang w:val="fr-CH"/>
        </w:rPr>
        <w:t xml:space="preserve">. </w:t>
      </w:r>
    </w:p>
    <w:p w:rsidR="009F7C7F" w:rsidRPr="0071782F" w:rsidRDefault="009F7C7F" w:rsidP="00496C06">
      <w:pPr>
        <w:pStyle w:val="H23G"/>
        <w:rPr>
          <w:lang w:val="fr-CH"/>
        </w:rPr>
      </w:pPr>
      <w:r w:rsidRPr="0071782F">
        <w:rPr>
          <w:lang w:val="fr-CH"/>
        </w:rPr>
        <w:tab/>
      </w:r>
      <w:r w:rsidRPr="0071782F">
        <w:rPr>
          <w:lang w:val="fr-CH"/>
        </w:rPr>
        <w:tab/>
      </w:r>
      <w:r w:rsidR="00DB434C" w:rsidRPr="0071782F">
        <w:rPr>
          <w:lang w:val="fr-CH"/>
        </w:rPr>
        <w:t xml:space="preserve">Loi modifiant le règlement concernant le divorce </w:t>
      </w:r>
      <w:r w:rsidRPr="0071782F">
        <w:rPr>
          <w:lang w:val="fr-CH"/>
        </w:rPr>
        <w:t xml:space="preserve">(1992) </w:t>
      </w:r>
      <w:r w:rsidR="00DB434C" w:rsidRPr="0071782F">
        <w:rPr>
          <w:lang w:val="fr-CH"/>
        </w:rPr>
        <w:t xml:space="preserve">et règlement connexe </w:t>
      </w:r>
    </w:p>
    <w:p w:rsidR="009F7C7F" w:rsidRPr="0071782F" w:rsidRDefault="009F7C7F" w:rsidP="00496C06">
      <w:pPr>
        <w:pStyle w:val="SingleTxtG"/>
        <w:rPr>
          <w:lang w:val="fr-CH"/>
        </w:rPr>
      </w:pPr>
      <w:r w:rsidRPr="0071782F">
        <w:rPr>
          <w:lang w:val="fr-CH"/>
        </w:rPr>
        <w:t>155.</w:t>
      </w:r>
      <w:r w:rsidRPr="0071782F">
        <w:rPr>
          <w:lang w:val="fr-CH"/>
        </w:rPr>
        <w:tab/>
      </w:r>
      <w:r w:rsidR="00DB434C" w:rsidRPr="0071782F">
        <w:rPr>
          <w:lang w:val="fr-CH"/>
        </w:rPr>
        <w:t xml:space="preserve">En vertu de </w:t>
      </w:r>
      <w:r w:rsidR="00723F2B" w:rsidRPr="0071782F">
        <w:rPr>
          <w:lang w:val="fr-CH"/>
        </w:rPr>
        <w:t>l’</w:t>
      </w:r>
      <w:r w:rsidR="00943A69" w:rsidRPr="0071782F">
        <w:rPr>
          <w:lang w:val="fr-CH"/>
        </w:rPr>
        <w:t>article </w:t>
      </w:r>
      <w:r w:rsidR="00DB434C" w:rsidRPr="0071782F">
        <w:rPr>
          <w:lang w:val="fr-CH"/>
        </w:rPr>
        <w:t xml:space="preserve">unique de cette loi, les hommes et les femmes qui demandent le divorce doivent déposer leur demande auprès du tribunal de </w:t>
      </w:r>
      <w:r w:rsidR="00B71907" w:rsidRPr="0071782F">
        <w:rPr>
          <w:lang w:val="fr-CH"/>
        </w:rPr>
        <w:t>la famille</w:t>
      </w:r>
      <w:r w:rsidR="00DB434C" w:rsidRPr="0071782F">
        <w:rPr>
          <w:lang w:val="fr-CH"/>
        </w:rPr>
        <w:t>. Conformément aux versets du Coran, si les membres du couple demandent le divorce d’un commun accord</w:t>
      </w:r>
      <w:r w:rsidRPr="0071782F">
        <w:rPr>
          <w:lang w:val="fr-CH"/>
        </w:rPr>
        <w:t xml:space="preserve">, </w:t>
      </w:r>
      <w:r w:rsidR="00DB434C" w:rsidRPr="0071782F">
        <w:rPr>
          <w:lang w:val="fr-CH"/>
        </w:rPr>
        <w:t>deux arbitres sont désignés pour régler le différend; s’ils ne peuvent pas les réconcilier, le tribunal délivre un certificat</w:t>
      </w:r>
      <w:r w:rsidRPr="0071782F">
        <w:rPr>
          <w:lang w:val="fr-CH"/>
        </w:rPr>
        <w:t xml:space="preserve"> </w:t>
      </w:r>
      <w:r w:rsidR="00DB434C" w:rsidRPr="0071782F">
        <w:rPr>
          <w:lang w:val="fr-CH"/>
        </w:rPr>
        <w:t>de</w:t>
      </w:r>
      <w:r w:rsidRPr="0071782F">
        <w:rPr>
          <w:lang w:val="fr-CH"/>
        </w:rPr>
        <w:t xml:space="preserve"> non-conciliation</w:t>
      </w:r>
      <w:r w:rsidR="00DB434C" w:rsidRPr="0071782F">
        <w:rPr>
          <w:lang w:val="fr-CH"/>
        </w:rPr>
        <w:t xml:space="preserve"> qui</w:t>
      </w:r>
      <w:r w:rsidRPr="0071782F">
        <w:rPr>
          <w:lang w:val="fr-CH"/>
        </w:rPr>
        <w:t xml:space="preserve">, </w:t>
      </w:r>
      <w:r w:rsidR="00DB434C" w:rsidRPr="0071782F">
        <w:rPr>
          <w:lang w:val="fr-CH"/>
        </w:rPr>
        <w:t xml:space="preserve">en vertu de la loi de </w:t>
      </w:r>
      <w:r w:rsidRPr="0071782F">
        <w:rPr>
          <w:lang w:val="fr-CH"/>
        </w:rPr>
        <w:t xml:space="preserve">1997, </w:t>
      </w:r>
      <w:r w:rsidR="00DB434C" w:rsidRPr="0071782F">
        <w:rPr>
          <w:lang w:val="fr-CH"/>
        </w:rPr>
        <w:t>est valable trois</w:t>
      </w:r>
      <w:r w:rsidR="001F3F05" w:rsidRPr="0071782F">
        <w:rPr>
          <w:lang w:val="fr-CH"/>
        </w:rPr>
        <w:t> mois</w:t>
      </w:r>
      <w:r w:rsidR="00DB434C" w:rsidRPr="0071782F">
        <w:rPr>
          <w:lang w:val="fr-CH"/>
        </w:rPr>
        <w:t xml:space="preserve"> à compter de la date à laquelle il est remis au couple. Si l’épouse ne se présente pas au tribunal pendant cette période, l’époux peut faire enregistrer le divorce et informer l’épouse de la décision</w:t>
      </w:r>
      <w:r w:rsidRPr="0071782F">
        <w:rPr>
          <w:lang w:val="fr-CH"/>
        </w:rPr>
        <w:t xml:space="preserve">. </w:t>
      </w:r>
      <w:r w:rsidR="00DB434C" w:rsidRPr="0071782F">
        <w:rPr>
          <w:lang w:val="fr-CH"/>
        </w:rPr>
        <w:t>Si l’époux ne se présente pas au tribunal pour faire enregistrer le divorce, le tribunal rend une ordonnance de divorce compte dûment tenu des prescriptions islamiques pertinentes et enregistre le divorce.</w:t>
      </w:r>
      <w:r w:rsidRPr="0071782F">
        <w:rPr>
          <w:lang w:val="fr-CH"/>
        </w:rPr>
        <w:t xml:space="preserve"> </w:t>
      </w:r>
    </w:p>
    <w:p w:rsidR="009F7C7F" w:rsidRPr="0071782F" w:rsidRDefault="009F7C7F" w:rsidP="00496C06">
      <w:pPr>
        <w:pStyle w:val="SingleTxtG"/>
        <w:ind w:left="1701"/>
        <w:rPr>
          <w:lang w:val="fr-CH"/>
        </w:rPr>
      </w:pPr>
      <w:r w:rsidRPr="0071782F">
        <w:rPr>
          <w:lang w:val="fr-CH"/>
        </w:rPr>
        <w:t>155.1</w:t>
      </w:r>
      <w:r w:rsidR="00C006BB" w:rsidRPr="0071782F">
        <w:rPr>
          <w:lang w:val="fr-CH"/>
        </w:rPr>
        <w:t>.</w:t>
      </w:r>
      <w:r w:rsidRPr="0071782F">
        <w:rPr>
          <w:lang w:val="fr-CH"/>
        </w:rPr>
        <w:tab/>
      </w:r>
      <w:r w:rsidR="00DB434C" w:rsidRPr="0071782F">
        <w:rPr>
          <w:lang w:val="fr-CH"/>
        </w:rPr>
        <w:t xml:space="preserve">En vertu des dispositions de la </w:t>
      </w:r>
      <w:r w:rsidR="00B71907" w:rsidRPr="0071782F">
        <w:rPr>
          <w:lang w:val="fr-CH"/>
        </w:rPr>
        <w:t>note </w:t>
      </w:r>
      <w:r w:rsidRPr="0071782F">
        <w:rPr>
          <w:lang w:val="fr-CH"/>
        </w:rPr>
        <w:t xml:space="preserve">3 </w:t>
      </w:r>
      <w:r w:rsidR="00DB434C" w:rsidRPr="0071782F">
        <w:rPr>
          <w:lang w:val="fr-CH"/>
        </w:rPr>
        <w:t xml:space="preserve">de </w:t>
      </w:r>
      <w:r w:rsidR="00723F2B" w:rsidRPr="0071782F">
        <w:rPr>
          <w:lang w:val="fr-CH"/>
        </w:rPr>
        <w:t>l’</w:t>
      </w:r>
      <w:r w:rsidR="00A5752C">
        <w:rPr>
          <w:lang w:val="fr-CH"/>
        </w:rPr>
        <w:t xml:space="preserve">article </w:t>
      </w:r>
      <w:r w:rsidR="00DB434C" w:rsidRPr="0071782F">
        <w:rPr>
          <w:lang w:val="fr-CH"/>
        </w:rPr>
        <w:t xml:space="preserve">unique de ladite loi, les droits légitimes de l’épouse </w:t>
      </w:r>
      <w:r w:rsidRPr="0071782F">
        <w:rPr>
          <w:lang w:val="fr-CH"/>
        </w:rPr>
        <w:t>(</w:t>
      </w:r>
      <w:r w:rsidR="00DB434C" w:rsidRPr="0071782F">
        <w:rPr>
          <w:lang w:val="fr-CH"/>
        </w:rPr>
        <w:t>pension alimentaire, dot</w:t>
      </w:r>
      <w:r w:rsidRPr="0071782F">
        <w:rPr>
          <w:lang w:val="fr-CH"/>
        </w:rPr>
        <w:t xml:space="preserve">, etc.) </w:t>
      </w:r>
      <w:r w:rsidR="00DB434C" w:rsidRPr="0071782F">
        <w:rPr>
          <w:lang w:val="fr-CH"/>
        </w:rPr>
        <w:t>doivent être payés en espèces au moment où l’ordonnance de divorce est rendue, à moins que l’accord de divorce n’en dispose autrement</w:t>
      </w:r>
      <w:r w:rsidRPr="0071782F">
        <w:rPr>
          <w:lang w:val="fr-CH"/>
        </w:rPr>
        <w:t xml:space="preserve">. </w:t>
      </w:r>
    </w:p>
    <w:p w:rsidR="009F7C7F" w:rsidRPr="0071782F" w:rsidRDefault="009F7C7F" w:rsidP="00496C06">
      <w:pPr>
        <w:pStyle w:val="SingleTxtG"/>
        <w:ind w:left="1701"/>
        <w:rPr>
          <w:lang w:val="fr-CH"/>
        </w:rPr>
      </w:pPr>
      <w:r w:rsidRPr="0071782F">
        <w:rPr>
          <w:lang w:val="fr-CH"/>
        </w:rPr>
        <w:t>155.2</w:t>
      </w:r>
      <w:r w:rsidR="00C006BB" w:rsidRPr="0071782F">
        <w:rPr>
          <w:lang w:val="fr-CH"/>
        </w:rPr>
        <w:t>.</w:t>
      </w:r>
      <w:r w:rsidRPr="0071782F">
        <w:rPr>
          <w:lang w:val="fr-CH"/>
        </w:rPr>
        <w:tab/>
      </w:r>
      <w:r w:rsidR="00DB434C" w:rsidRPr="0071782F">
        <w:rPr>
          <w:lang w:val="fr-CH"/>
        </w:rPr>
        <w:t xml:space="preserve">En vertu de </w:t>
      </w:r>
      <w:r w:rsidR="006B786B" w:rsidRPr="0071782F">
        <w:rPr>
          <w:lang w:val="fr-CH"/>
        </w:rPr>
        <w:t>l’alinéa </w:t>
      </w:r>
      <w:r w:rsidRPr="0071782F">
        <w:rPr>
          <w:lang w:val="fr-CH"/>
        </w:rPr>
        <w:t xml:space="preserve">A </w:t>
      </w:r>
      <w:r w:rsidR="00DB434C" w:rsidRPr="0071782F">
        <w:rPr>
          <w:lang w:val="fr-CH"/>
        </w:rPr>
        <w:t xml:space="preserve">de la </w:t>
      </w:r>
      <w:r w:rsidR="00B71907" w:rsidRPr="0071782F">
        <w:rPr>
          <w:lang w:val="fr-CH"/>
        </w:rPr>
        <w:t>note </w:t>
      </w:r>
      <w:r w:rsidRPr="0071782F">
        <w:rPr>
          <w:lang w:val="fr-CH"/>
        </w:rPr>
        <w:t xml:space="preserve">6, </w:t>
      </w:r>
      <w:r w:rsidR="00DB434C" w:rsidRPr="0071782F">
        <w:rPr>
          <w:lang w:val="fr-CH"/>
        </w:rPr>
        <w:t>l’épouse peut exiger une rémunération pour les tâches qu’elle n’était pas légalement tenue d’accomplir. Dans le cas où l’époux demande le divorce sans que l’épouse ait manqué à ses obligations morales ou autres et s’il peut être démontré qu’elle n’avait pas l’intention de demander le divorce, le tribunal peut calculer un montant équivalant aux tâches qu’elle a accomplies et ordonner à l’époux de s’en acquitter, à moins que celui-ci ne puisse prouver que l’épouse a accompli les tâches en question sans s’attendre à être rémunérée pour cela.</w:t>
      </w:r>
      <w:r w:rsidRPr="0071782F">
        <w:rPr>
          <w:lang w:val="fr-CH"/>
        </w:rPr>
        <w:t xml:space="preserve"> </w:t>
      </w:r>
    </w:p>
    <w:p w:rsidR="009F7C7F" w:rsidRPr="0071782F" w:rsidRDefault="009F7C7F" w:rsidP="00496C06">
      <w:pPr>
        <w:pStyle w:val="SingleTxtG"/>
        <w:ind w:left="1701"/>
        <w:rPr>
          <w:lang w:val="fr-CH"/>
        </w:rPr>
      </w:pPr>
      <w:r w:rsidRPr="0071782F">
        <w:rPr>
          <w:lang w:val="fr-CH"/>
        </w:rPr>
        <w:t>155.3</w:t>
      </w:r>
      <w:r w:rsidR="00C006BB" w:rsidRPr="0071782F">
        <w:rPr>
          <w:lang w:val="fr-CH"/>
        </w:rPr>
        <w:t>.</w:t>
      </w:r>
      <w:r w:rsidRPr="0071782F">
        <w:rPr>
          <w:lang w:val="fr-CH"/>
        </w:rPr>
        <w:tab/>
      </w:r>
      <w:r w:rsidR="00CE0798" w:rsidRPr="0071782F">
        <w:rPr>
          <w:lang w:val="fr-CH"/>
        </w:rPr>
        <w:t xml:space="preserve">En vertu de </w:t>
      </w:r>
      <w:r w:rsidR="006B786B" w:rsidRPr="0071782F">
        <w:rPr>
          <w:lang w:val="fr-CH"/>
        </w:rPr>
        <w:t>l’alinéa </w:t>
      </w:r>
      <w:r w:rsidRPr="0071782F">
        <w:rPr>
          <w:lang w:val="fr-CH"/>
        </w:rPr>
        <w:t xml:space="preserve">B </w:t>
      </w:r>
      <w:r w:rsidR="00CE0798" w:rsidRPr="0071782F">
        <w:rPr>
          <w:lang w:val="fr-CH"/>
        </w:rPr>
        <w:t xml:space="preserve">de la </w:t>
      </w:r>
      <w:r w:rsidR="00B71907" w:rsidRPr="0071782F">
        <w:rPr>
          <w:lang w:val="fr-CH"/>
        </w:rPr>
        <w:t>note </w:t>
      </w:r>
      <w:r w:rsidRPr="0071782F">
        <w:rPr>
          <w:lang w:val="fr-CH"/>
        </w:rPr>
        <w:t xml:space="preserve">6, </w:t>
      </w:r>
      <w:r w:rsidR="00CE0798" w:rsidRPr="0071782F">
        <w:rPr>
          <w:lang w:val="fr-CH"/>
        </w:rPr>
        <w:t xml:space="preserve">dans les cas non visés par </w:t>
      </w:r>
      <w:r w:rsidR="006B786B" w:rsidRPr="0071782F">
        <w:rPr>
          <w:lang w:val="fr-CH"/>
        </w:rPr>
        <w:t>l’alinéa </w:t>
      </w:r>
      <w:r w:rsidRPr="0071782F">
        <w:rPr>
          <w:lang w:val="fr-CH"/>
        </w:rPr>
        <w:t xml:space="preserve">A, </w:t>
      </w:r>
      <w:r w:rsidR="00CE0798" w:rsidRPr="0071782F">
        <w:rPr>
          <w:lang w:val="fr-CH"/>
        </w:rPr>
        <w:t>le tribunal peut décider d’accorder une rémunération à l’épouse compte tenu des années de vie commune et des tâches qu’elle a accomplies pendant celle-ci et des moyens financiers de l’époux</w:t>
      </w:r>
      <w:r w:rsidRPr="0071782F">
        <w:rPr>
          <w:lang w:val="fr-CH"/>
        </w:rPr>
        <w:t>.</w:t>
      </w:r>
    </w:p>
    <w:p w:rsidR="009F7C7F" w:rsidRPr="0071782F" w:rsidRDefault="009F7C7F" w:rsidP="00496C06">
      <w:pPr>
        <w:pStyle w:val="H23G"/>
        <w:rPr>
          <w:lang w:val="fr-CH"/>
        </w:rPr>
      </w:pPr>
      <w:r w:rsidRPr="0071782F">
        <w:rPr>
          <w:lang w:val="fr-CH"/>
        </w:rPr>
        <w:tab/>
      </w:r>
      <w:r w:rsidRPr="0071782F">
        <w:rPr>
          <w:lang w:val="fr-CH"/>
        </w:rPr>
        <w:tab/>
        <w:t>Transfer</w:t>
      </w:r>
      <w:r w:rsidR="00CE0798" w:rsidRPr="0071782F">
        <w:rPr>
          <w:lang w:val="fr-CH"/>
        </w:rPr>
        <w:t>t de la moitié des biens de l’époux à l’épouse après le divorce</w:t>
      </w:r>
      <w:r w:rsidR="00D36718">
        <w:rPr>
          <w:lang w:val="fr-CH"/>
        </w:rPr>
        <w:t xml:space="preserve"> </w:t>
      </w:r>
    </w:p>
    <w:p w:rsidR="009F7C7F" w:rsidRPr="0071782F" w:rsidRDefault="009F7C7F" w:rsidP="00496C06">
      <w:pPr>
        <w:pStyle w:val="SingleTxtG"/>
        <w:rPr>
          <w:lang w:val="fr-CH"/>
        </w:rPr>
      </w:pPr>
      <w:r w:rsidRPr="0071782F">
        <w:rPr>
          <w:lang w:val="fr-CH"/>
        </w:rPr>
        <w:t>156.</w:t>
      </w:r>
      <w:r w:rsidRPr="0071782F">
        <w:rPr>
          <w:lang w:val="fr-CH"/>
        </w:rPr>
        <w:tab/>
      </w:r>
      <w:r w:rsidR="00CE0798" w:rsidRPr="0071782F">
        <w:rPr>
          <w:lang w:val="fr-CH"/>
        </w:rPr>
        <w:t xml:space="preserve">Le mariage étant un type de contrat, les </w:t>
      </w:r>
      <w:r w:rsidRPr="0071782F">
        <w:rPr>
          <w:lang w:val="fr-CH"/>
        </w:rPr>
        <w:t xml:space="preserve">parties </w:t>
      </w:r>
      <w:r w:rsidR="00CE0798" w:rsidRPr="0071782F">
        <w:rPr>
          <w:lang w:val="fr-CH"/>
        </w:rPr>
        <w:t xml:space="preserve">peuvent insérer n’importe quelle condition dans le contrat de mariage. Le transfert à l’épouse de la moitié des biens de l’époux est une </w:t>
      </w:r>
      <w:r w:rsidR="002F28E5" w:rsidRPr="0071782F">
        <w:rPr>
          <w:lang w:val="fr-CH"/>
        </w:rPr>
        <w:t>clause</w:t>
      </w:r>
      <w:r w:rsidR="00CE0798" w:rsidRPr="0071782F">
        <w:rPr>
          <w:lang w:val="fr-CH"/>
        </w:rPr>
        <w:t xml:space="preserve"> qui figure dans la majorité des contrats de mariage signés par les deux parties. Elle s’applique lorsque le divorce n’a pas été demandé par l’épouse et n’est pas dû à un manquement de celle-ci à ses devoirs</w:t>
      </w:r>
      <w:r w:rsidRPr="0071782F">
        <w:rPr>
          <w:lang w:val="fr-CH"/>
        </w:rPr>
        <w:t xml:space="preserve">. </w:t>
      </w:r>
      <w:r w:rsidR="00CE0798" w:rsidRPr="0071782F">
        <w:rPr>
          <w:lang w:val="fr-CH"/>
        </w:rPr>
        <w:t>En pareil cas, l’époux est légalement tenu de céder à titre gratuit à l’épouse la moitié des biens acquis pendant le mariage ou un montant équivalent équitable fixé par le tribunal</w:t>
      </w:r>
      <w:r w:rsidRPr="0071782F">
        <w:rPr>
          <w:lang w:val="fr-CH"/>
        </w:rPr>
        <w:t>.</w:t>
      </w:r>
    </w:p>
    <w:p w:rsidR="009F7C7F" w:rsidRPr="0071782F" w:rsidRDefault="009F7C7F" w:rsidP="00496C06">
      <w:pPr>
        <w:pStyle w:val="SingleTxtG"/>
        <w:ind w:left="1701"/>
        <w:rPr>
          <w:lang w:val="fr-CH"/>
        </w:rPr>
      </w:pPr>
      <w:r w:rsidRPr="0071782F">
        <w:rPr>
          <w:lang w:val="fr-CH"/>
        </w:rPr>
        <w:t>156.1</w:t>
      </w:r>
      <w:r w:rsidR="00C006BB" w:rsidRPr="0071782F">
        <w:rPr>
          <w:lang w:val="fr-CH"/>
        </w:rPr>
        <w:t>.</w:t>
      </w:r>
      <w:r w:rsidRPr="0071782F">
        <w:rPr>
          <w:lang w:val="fr-CH"/>
        </w:rPr>
        <w:tab/>
      </w:r>
      <w:r w:rsidR="00CE0798" w:rsidRPr="0071782F">
        <w:rPr>
          <w:lang w:val="fr-CH"/>
        </w:rPr>
        <w:t xml:space="preserve">Les avis sont partagés sur la manière </w:t>
      </w:r>
      <w:r w:rsidR="002F28E5" w:rsidRPr="0071782F">
        <w:rPr>
          <w:lang w:val="fr-CH"/>
        </w:rPr>
        <w:t>d’exécuter</w:t>
      </w:r>
      <w:r w:rsidR="00CE0798" w:rsidRPr="0071782F">
        <w:rPr>
          <w:lang w:val="fr-CH"/>
        </w:rPr>
        <w:t xml:space="preserve"> l</w:t>
      </w:r>
      <w:r w:rsidR="002F28E5" w:rsidRPr="0071782F">
        <w:rPr>
          <w:lang w:val="fr-CH"/>
        </w:rPr>
        <w:t>’</w:t>
      </w:r>
      <w:r w:rsidR="00A62149" w:rsidRPr="0071782F">
        <w:rPr>
          <w:lang w:val="fr-CH"/>
        </w:rPr>
        <w:t>"</w:t>
      </w:r>
      <w:r w:rsidR="002F28E5" w:rsidRPr="0071782F">
        <w:rPr>
          <w:lang w:val="fr-CH"/>
        </w:rPr>
        <w:t xml:space="preserve">obligation </w:t>
      </w:r>
      <w:r w:rsidR="00CE0798" w:rsidRPr="0071782F">
        <w:rPr>
          <w:lang w:val="fr-CH"/>
        </w:rPr>
        <w:t>d</w:t>
      </w:r>
      <w:r w:rsidR="002F28E5" w:rsidRPr="0071782F">
        <w:rPr>
          <w:lang w:val="fr-CH"/>
        </w:rPr>
        <w:t>e</w:t>
      </w:r>
      <w:r w:rsidR="00CE0798" w:rsidRPr="0071782F">
        <w:rPr>
          <w:lang w:val="fr-CH"/>
        </w:rPr>
        <w:t xml:space="preserve"> transfert</w:t>
      </w:r>
      <w:r w:rsidRPr="0071782F">
        <w:rPr>
          <w:lang w:val="fr-CH"/>
        </w:rPr>
        <w:t xml:space="preserve">, </w:t>
      </w:r>
      <w:r w:rsidR="00CE0798" w:rsidRPr="0071782F">
        <w:rPr>
          <w:lang w:val="fr-CH"/>
        </w:rPr>
        <w:t>à titre gratuit, de la moitié des biens de l’époux à l’épouse</w:t>
      </w:r>
      <w:r w:rsidR="00A62149" w:rsidRPr="0071782F">
        <w:rPr>
          <w:lang w:val="fr-CH"/>
        </w:rPr>
        <w:t>"</w:t>
      </w:r>
      <w:r w:rsidR="008F7D33" w:rsidRPr="0071782F">
        <w:rPr>
          <w:lang w:val="fr-CH"/>
        </w:rPr>
        <w:t>:</w:t>
      </w:r>
      <w:r w:rsidRPr="0071782F">
        <w:rPr>
          <w:lang w:val="fr-CH"/>
        </w:rPr>
        <w:t xml:space="preserve"> </w:t>
      </w:r>
    </w:p>
    <w:p w:rsidR="009F7C7F" w:rsidRPr="0071782F" w:rsidRDefault="009F7C7F" w:rsidP="00496C06">
      <w:pPr>
        <w:pStyle w:val="SingleTxtG"/>
        <w:ind w:left="1701"/>
        <w:rPr>
          <w:lang w:val="fr-CH"/>
        </w:rPr>
      </w:pPr>
      <w:r w:rsidRPr="0071782F">
        <w:rPr>
          <w:lang w:val="fr-CH"/>
        </w:rPr>
        <w:t>156.2</w:t>
      </w:r>
      <w:r w:rsidR="00C006BB" w:rsidRPr="0071782F">
        <w:rPr>
          <w:lang w:val="fr-CH"/>
        </w:rPr>
        <w:t>.</w:t>
      </w:r>
      <w:r w:rsidRPr="0071782F">
        <w:rPr>
          <w:lang w:val="fr-CH"/>
        </w:rPr>
        <w:tab/>
      </w:r>
      <w:r w:rsidR="00CE0798" w:rsidRPr="0071782F">
        <w:rPr>
          <w:lang w:val="fr-CH"/>
        </w:rPr>
        <w:t xml:space="preserve">L’épouse peut demander à la fois la satisfaction de cette </w:t>
      </w:r>
      <w:r w:rsidR="002F28E5" w:rsidRPr="0071782F">
        <w:rPr>
          <w:lang w:val="fr-CH"/>
        </w:rPr>
        <w:t>clause</w:t>
      </w:r>
      <w:r w:rsidRPr="0071782F">
        <w:rPr>
          <w:lang w:val="fr-CH"/>
        </w:rPr>
        <w:t xml:space="preserve"> </w:t>
      </w:r>
      <w:r w:rsidR="00CE0798" w:rsidRPr="0071782F">
        <w:rPr>
          <w:lang w:val="fr-CH"/>
        </w:rPr>
        <w:t xml:space="preserve">et un montant équivalent équitable </w:t>
      </w:r>
      <w:r w:rsidRPr="0071782F">
        <w:rPr>
          <w:lang w:val="fr-CH"/>
        </w:rPr>
        <w:t>(</w:t>
      </w:r>
      <w:r w:rsidR="00CE0798" w:rsidRPr="0071782F">
        <w:rPr>
          <w:lang w:val="fr-CH"/>
        </w:rPr>
        <w:t>c’est l’</w:t>
      </w:r>
      <w:r w:rsidRPr="0071782F">
        <w:rPr>
          <w:lang w:val="fr-CH"/>
        </w:rPr>
        <w:t xml:space="preserve">opinion </w:t>
      </w:r>
      <w:r w:rsidR="00CE0798" w:rsidRPr="0071782F">
        <w:rPr>
          <w:lang w:val="fr-CH"/>
        </w:rPr>
        <w:t>d’une minorité de</w:t>
      </w:r>
      <w:r w:rsidRPr="0071782F">
        <w:rPr>
          <w:lang w:val="fr-CH"/>
        </w:rPr>
        <w:t xml:space="preserve"> juges).</w:t>
      </w:r>
    </w:p>
    <w:p w:rsidR="009F7C7F" w:rsidRPr="0071782F" w:rsidRDefault="009F7C7F" w:rsidP="00496C06">
      <w:pPr>
        <w:pStyle w:val="SingleTxtG"/>
        <w:ind w:left="1701"/>
        <w:rPr>
          <w:lang w:val="fr-CH"/>
        </w:rPr>
      </w:pPr>
      <w:r w:rsidRPr="0071782F">
        <w:rPr>
          <w:lang w:val="fr-CH"/>
        </w:rPr>
        <w:t>156.3</w:t>
      </w:r>
      <w:r w:rsidR="00C006BB" w:rsidRPr="0071782F">
        <w:rPr>
          <w:lang w:val="fr-CH"/>
        </w:rPr>
        <w:t>.</w:t>
      </w:r>
      <w:r w:rsidRPr="0071782F">
        <w:rPr>
          <w:lang w:val="fr-CH"/>
        </w:rPr>
        <w:tab/>
      </w:r>
      <w:r w:rsidR="00CE0798" w:rsidRPr="0071782F">
        <w:rPr>
          <w:lang w:val="fr-CH"/>
        </w:rPr>
        <w:t xml:space="preserve">L’épouse peut </w:t>
      </w:r>
      <w:r w:rsidRPr="0071782F">
        <w:rPr>
          <w:lang w:val="fr-CH"/>
        </w:rPr>
        <w:t>demand</w:t>
      </w:r>
      <w:r w:rsidR="00CE0798" w:rsidRPr="0071782F">
        <w:rPr>
          <w:lang w:val="fr-CH"/>
        </w:rPr>
        <w:t>er</w:t>
      </w:r>
      <w:r w:rsidRPr="0071782F">
        <w:rPr>
          <w:lang w:val="fr-CH"/>
        </w:rPr>
        <w:t xml:space="preserve"> </w:t>
      </w:r>
      <w:r w:rsidR="00CE0798" w:rsidRPr="0071782F">
        <w:rPr>
          <w:lang w:val="fr-CH"/>
        </w:rPr>
        <w:t>soit la satisfaction de cette</w:t>
      </w:r>
      <w:r w:rsidRPr="0071782F">
        <w:rPr>
          <w:lang w:val="fr-CH"/>
        </w:rPr>
        <w:t xml:space="preserve"> </w:t>
      </w:r>
      <w:r w:rsidR="002F28E5" w:rsidRPr="0071782F">
        <w:rPr>
          <w:lang w:val="fr-CH"/>
        </w:rPr>
        <w:t>clause</w:t>
      </w:r>
      <w:r w:rsidR="00CE0798" w:rsidRPr="0071782F">
        <w:rPr>
          <w:lang w:val="fr-CH"/>
        </w:rPr>
        <w:t>, soit un</w:t>
      </w:r>
      <w:r w:rsidRPr="0071782F">
        <w:rPr>
          <w:lang w:val="fr-CH"/>
        </w:rPr>
        <w:t xml:space="preserve"> </w:t>
      </w:r>
      <w:r w:rsidR="00CE0798" w:rsidRPr="0071782F">
        <w:rPr>
          <w:lang w:val="fr-CH"/>
        </w:rPr>
        <w:t xml:space="preserve">montant équivalent équitable </w:t>
      </w:r>
      <w:r w:rsidRPr="0071782F">
        <w:rPr>
          <w:lang w:val="fr-CH"/>
        </w:rPr>
        <w:t>(</w:t>
      </w:r>
      <w:r w:rsidR="00CE0798" w:rsidRPr="0071782F">
        <w:rPr>
          <w:lang w:val="fr-CH"/>
        </w:rPr>
        <w:t>c’est l’</w:t>
      </w:r>
      <w:r w:rsidRPr="0071782F">
        <w:rPr>
          <w:lang w:val="fr-CH"/>
        </w:rPr>
        <w:t xml:space="preserve">opinion </w:t>
      </w:r>
      <w:r w:rsidR="00CE0798" w:rsidRPr="0071782F">
        <w:rPr>
          <w:lang w:val="fr-CH"/>
        </w:rPr>
        <w:t>de la majorité des juges). Cette opinion donne également lieu à des divergences</w:t>
      </w:r>
      <w:r w:rsidR="008F7D33" w:rsidRPr="0071782F">
        <w:rPr>
          <w:lang w:val="fr-CH"/>
        </w:rPr>
        <w:t>:</w:t>
      </w:r>
      <w:r w:rsidR="00CE0798" w:rsidRPr="0071782F">
        <w:rPr>
          <w:lang w:val="fr-CH"/>
        </w:rPr>
        <w:t xml:space="preserve"> certains juges estiment que si l’épouse demande la satisfaction de cette </w:t>
      </w:r>
      <w:r w:rsidR="002F28E5" w:rsidRPr="0071782F">
        <w:rPr>
          <w:lang w:val="fr-CH"/>
        </w:rPr>
        <w:t>clause</w:t>
      </w:r>
      <w:r w:rsidR="00CE0798" w:rsidRPr="0071782F">
        <w:rPr>
          <w:lang w:val="fr-CH"/>
        </w:rPr>
        <w:t xml:space="preserve"> et exige également un montant équivalent équitable</w:t>
      </w:r>
      <w:r w:rsidR="002F28E5" w:rsidRPr="0071782F">
        <w:rPr>
          <w:lang w:val="fr-CH"/>
        </w:rPr>
        <w:t xml:space="preserve"> s’agissant du </w:t>
      </w:r>
      <w:r w:rsidR="00CE0798" w:rsidRPr="0071782F">
        <w:rPr>
          <w:lang w:val="fr-CH"/>
        </w:rPr>
        <w:t>patrimoine commun, le tribunal peut rejeter cette dernière demande; d’autres juges estiment que l’épouse est libre de demander soit le transfert à titre gratuit de la moitié du patrimoine commun, soit un équivalent équitable.</w:t>
      </w:r>
    </w:p>
    <w:p w:rsidR="009F7C7F" w:rsidRPr="0071782F" w:rsidRDefault="009F7C7F" w:rsidP="00496C06">
      <w:pPr>
        <w:pStyle w:val="H23G"/>
        <w:rPr>
          <w:lang w:val="fr-CH"/>
        </w:rPr>
      </w:pPr>
      <w:r w:rsidRPr="0071782F">
        <w:rPr>
          <w:lang w:val="fr-CH"/>
        </w:rPr>
        <w:tab/>
      </w:r>
      <w:r w:rsidRPr="0071782F">
        <w:rPr>
          <w:lang w:val="fr-CH"/>
        </w:rPr>
        <w:tab/>
      </w:r>
      <w:r w:rsidR="00CE0798" w:rsidRPr="0071782F">
        <w:rPr>
          <w:lang w:val="fr-CH"/>
        </w:rPr>
        <w:t xml:space="preserve">Dot </w:t>
      </w:r>
    </w:p>
    <w:p w:rsidR="009F7C7F" w:rsidRPr="0071782F" w:rsidRDefault="009F7C7F" w:rsidP="00496C06">
      <w:pPr>
        <w:pStyle w:val="SingleTxtG"/>
        <w:rPr>
          <w:lang w:val="fr-CH"/>
        </w:rPr>
      </w:pPr>
      <w:r w:rsidRPr="0071782F">
        <w:rPr>
          <w:lang w:val="fr-CH"/>
        </w:rPr>
        <w:t>157.</w:t>
      </w:r>
      <w:r w:rsidRPr="0071782F">
        <w:rPr>
          <w:lang w:val="fr-CH"/>
        </w:rPr>
        <w:tab/>
      </w:r>
      <w:r w:rsidR="00CE0798" w:rsidRPr="0071782F">
        <w:rPr>
          <w:lang w:val="fr-CH"/>
        </w:rPr>
        <w:t xml:space="preserve">Conformément à </w:t>
      </w:r>
      <w:r w:rsidR="00723F2B" w:rsidRPr="0071782F">
        <w:rPr>
          <w:lang w:val="fr-CH"/>
        </w:rPr>
        <w:t>l’</w:t>
      </w:r>
      <w:r w:rsidR="00943A69" w:rsidRPr="0071782F">
        <w:rPr>
          <w:lang w:val="fr-CH"/>
        </w:rPr>
        <w:t>article </w:t>
      </w:r>
      <w:r w:rsidRPr="0071782F">
        <w:rPr>
          <w:lang w:val="fr-CH"/>
        </w:rPr>
        <w:t xml:space="preserve">1102 </w:t>
      </w:r>
      <w:r w:rsidR="00CE0798" w:rsidRPr="0071782F">
        <w:rPr>
          <w:lang w:val="fr-CH"/>
        </w:rPr>
        <w:t xml:space="preserve">du Code </w:t>
      </w:r>
      <w:r w:rsidRPr="0071782F">
        <w:rPr>
          <w:lang w:val="fr-CH"/>
        </w:rPr>
        <w:t xml:space="preserve">civil, </w:t>
      </w:r>
      <w:r w:rsidR="00CE0798" w:rsidRPr="0071782F">
        <w:rPr>
          <w:lang w:val="fr-CH"/>
        </w:rPr>
        <w:t>dès que le contrat de mariage entre en vigueur, la relation conjugale est établie entre les deux parties avec tous les droits et obligations qui s’y rattachent.</w:t>
      </w:r>
    </w:p>
    <w:p w:rsidR="009F7C7F" w:rsidRPr="0071782F" w:rsidRDefault="009F7C7F" w:rsidP="00496C06">
      <w:pPr>
        <w:pStyle w:val="SingleTxtG"/>
        <w:ind w:left="1701"/>
        <w:rPr>
          <w:lang w:val="fr-CH"/>
        </w:rPr>
      </w:pPr>
      <w:r w:rsidRPr="0071782F">
        <w:rPr>
          <w:lang w:val="fr-CH"/>
        </w:rPr>
        <w:t>157.1</w:t>
      </w:r>
      <w:r w:rsidR="00C006BB" w:rsidRPr="0071782F">
        <w:rPr>
          <w:lang w:val="fr-CH"/>
        </w:rPr>
        <w:t>.</w:t>
      </w:r>
      <w:r w:rsidRPr="0071782F">
        <w:rPr>
          <w:lang w:val="fr-CH"/>
        </w:rPr>
        <w:tab/>
      </w:r>
      <w:r w:rsidR="00CE0798" w:rsidRPr="0071782F">
        <w:rPr>
          <w:lang w:val="fr-CH"/>
        </w:rPr>
        <w:t xml:space="preserve">En vertu de </w:t>
      </w:r>
      <w:r w:rsidR="00723F2B" w:rsidRPr="0071782F">
        <w:rPr>
          <w:lang w:val="fr-CH"/>
        </w:rPr>
        <w:t>l’</w:t>
      </w:r>
      <w:r w:rsidR="00943A69" w:rsidRPr="0071782F">
        <w:rPr>
          <w:lang w:val="fr-CH"/>
        </w:rPr>
        <w:t>article </w:t>
      </w:r>
      <w:r w:rsidRPr="0071782F">
        <w:rPr>
          <w:lang w:val="fr-CH"/>
        </w:rPr>
        <w:t xml:space="preserve">1082 </w:t>
      </w:r>
      <w:r w:rsidR="00CE0798" w:rsidRPr="0071782F">
        <w:rPr>
          <w:lang w:val="fr-CH"/>
        </w:rPr>
        <w:t xml:space="preserve">du Code </w:t>
      </w:r>
      <w:r w:rsidRPr="0071782F">
        <w:rPr>
          <w:lang w:val="fr-CH"/>
        </w:rPr>
        <w:t xml:space="preserve">civil, </w:t>
      </w:r>
      <w:r w:rsidR="00CE0798" w:rsidRPr="0071782F">
        <w:rPr>
          <w:lang w:val="fr-CH"/>
        </w:rPr>
        <w:t xml:space="preserve">dès que le contrat de mariage est conclu, l’épouse peut réclamer sa dot et l’utiliser comme bon lui semble. En outre, conformément à la loi sur l’adjonction d’une </w:t>
      </w:r>
      <w:r w:rsidR="00B71907" w:rsidRPr="0071782F">
        <w:rPr>
          <w:lang w:val="fr-CH"/>
        </w:rPr>
        <w:t>note </w:t>
      </w:r>
      <w:r w:rsidR="00CE0798" w:rsidRPr="0071782F">
        <w:rPr>
          <w:lang w:val="fr-CH"/>
        </w:rPr>
        <w:t xml:space="preserve">à </w:t>
      </w:r>
      <w:r w:rsidR="00723F2B" w:rsidRPr="0071782F">
        <w:rPr>
          <w:lang w:val="fr-CH"/>
        </w:rPr>
        <w:t>l’</w:t>
      </w:r>
      <w:r w:rsidR="00943A69" w:rsidRPr="0071782F">
        <w:rPr>
          <w:lang w:val="fr-CH"/>
        </w:rPr>
        <w:t>article </w:t>
      </w:r>
      <w:r w:rsidRPr="0071782F">
        <w:rPr>
          <w:lang w:val="fr-CH"/>
        </w:rPr>
        <w:t xml:space="preserve">1082 </w:t>
      </w:r>
      <w:r w:rsidR="00CE0798" w:rsidRPr="0071782F">
        <w:rPr>
          <w:lang w:val="fr-CH"/>
        </w:rPr>
        <w:t xml:space="preserve">du Code </w:t>
      </w:r>
      <w:r w:rsidRPr="0071782F">
        <w:rPr>
          <w:lang w:val="fr-CH"/>
        </w:rPr>
        <w:t xml:space="preserve">civil (1997) </w:t>
      </w:r>
      <w:r w:rsidR="00CE0798" w:rsidRPr="0071782F">
        <w:rPr>
          <w:lang w:val="fr-CH"/>
        </w:rPr>
        <w:t xml:space="preserve">et au règlement y relatif adopté par le Conseil des ministres </w:t>
      </w:r>
      <w:r w:rsidRPr="0071782F">
        <w:rPr>
          <w:lang w:val="fr-CH"/>
        </w:rPr>
        <w:t xml:space="preserve">(1998), </w:t>
      </w:r>
      <w:r w:rsidR="00CE0798" w:rsidRPr="0071782F">
        <w:rPr>
          <w:lang w:val="fr-CH"/>
        </w:rPr>
        <w:t>si la dot a été fixée en monnaie ayant cours légal, son montant est calculé, au moment du paiement, en fonction des intérêts actualisés par la Banque centrale sur la base de la variation annuelle de l’indice des prix</w:t>
      </w:r>
      <w:r w:rsidRPr="0071782F">
        <w:rPr>
          <w:lang w:val="fr-CH"/>
        </w:rPr>
        <w:t xml:space="preserve">. </w:t>
      </w:r>
    </w:p>
    <w:p w:rsidR="009F7C7F" w:rsidRPr="0071782F" w:rsidRDefault="009F7C7F" w:rsidP="00496C06">
      <w:pPr>
        <w:pStyle w:val="SingleTxtG"/>
        <w:ind w:left="1701"/>
        <w:rPr>
          <w:lang w:val="fr-CH"/>
        </w:rPr>
      </w:pPr>
      <w:r w:rsidRPr="0071782F">
        <w:rPr>
          <w:lang w:val="fr-CH"/>
        </w:rPr>
        <w:t>157.2</w:t>
      </w:r>
      <w:r w:rsidR="00C006BB" w:rsidRPr="0071782F">
        <w:rPr>
          <w:lang w:val="fr-CH"/>
        </w:rPr>
        <w:t>.</w:t>
      </w:r>
      <w:r w:rsidRPr="0071782F">
        <w:rPr>
          <w:lang w:val="fr-CH"/>
        </w:rPr>
        <w:tab/>
      </w:r>
      <w:r w:rsidR="00CE0798" w:rsidRPr="0071782F">
        <w:rPr>
          <w:lang w:val="fr-CH"/>
        </w:rPr>
        <w:t xml:space="preserve">Pour </w:t>
      </w:r>
      <w:r w:rsidR="002F28E5" w:rsidRPr="0071782F">
        <w:rPr>
          <w:lang w:val="fr-CH"/>
        </w:rPr>
        <w:t>exécuter l’obligation relative à</w:t>
      </w:r>
      <w:r w:rsidR="00CE0798" w:rsidRPr="0071782F">
        <w:rPr>
          <w:lang w:val="fr-CH"/>
        </w:rPr>
        <w:t xml:space="preserve"> la dot, il est possible, en cas de besoin, de confisquer les biens du couple ou, si l’époux est salarié, de retenir le montant correspondant sur son salaire. De plus, en vertu des dispositions de la loi sur l’application des sanctions pécuniaires </w:t>
      </w:r>
      <w:r w:rsidRPr="0071782F">
        <w:rPr>
          <w:lang w:val="fr-CH"/>
        </w:rPr>
        <w:t xml:space="preserve">(1998), </w:t>
      </w:r>
      <w:r w:rsidR="00CE0798" w:rsidRPr="0071782F">
        <w:rPr>
          <w:lang w:val="fr-CH"/>
        </w:rPr>
        <w:t>si ses biens ne peuvent être employés</w:t>
      </w:r>
      <w:r w:rsidR="00D36718">
        <w:rPr>
          <w:lang w:val="fr-CH"/>
        </w:rPr>
        <w:t xml:space="preserve"> </w:t>
      </w:r>
      <w:r w:rsidR="00CE0798" w:rsidRPr="0071782F">
        <w:rPr>
          <w:lang w:val="fr-CH"/>
        </w:rPr>
        <w:t>pour le paiement de la dot, l’époux peut être incarcéré s’il n’est pas déclaré financièrement incapable de payer la dot</w:t>
      </w:r>
      <w:r w:rsidRPr="0071782F">
        <w:rPr>
          <w:lang w:val="fr-CH"/>
        </w:rPr>
        <w:t xml:space="preserve">; </w:t>
      </w:r>
      <w:r w:rsidR="00CE0798" w:rsidRPr="0071782F">
        <w:rPr>
          <w:lang w:val="fr-CH"/>
        </w:rPr>
        <w:t xml:space="preserve">s’il détermine qu’il en est </w:t>
      </w:r>
      <w:r w:rsidRPr="0071782F">
        <w:rPr>
          <w:lang w:val="fr-CH"/>
        </w:rPr>
        <w:t>incapable</w:t>
      </w:r>
      <w:r w:rsidR="00CE0798" w:rsidRPr="0071782F">
        <w:rPr>
          <w:lang w:val="fr-CH"/>
        </w:rPr>
        <w:t>, le tribunal le fera payer par versements échelonnés</w:t>
      </w:r>
      <w:r w:rsidRPr="0071782F">
        <w:rPr>
          <w:lang w:val="fr-CH"/>
        </w:rPr>
        <w:t xml:space="preserve">. </w:t>
      </w:r>
    </w:p>
    <w:p w:rsidR="009F7C7F" w:rsidRPr="0071782F" w:rsidRDefault="009F7C7F" w:rsidP="00496C06">
      <w:pPr>
        <w:pStyle w:val="SingleTxtG"/>
        <w:ind w:left="1701"/>
        <w:rPr>
          <w:lang w:val="fr-CH"/>
        </w:rPr>
      </w:pPr>
      <w:r w:rsidRPr="0071782F">
        <w:rPr>
          <w:lang w:val="fr-CH"/>
        </w:rPr>
        <w:t>157.3</w:t>
      </w:r>
      <w:r w:rsidR="00C006BB" w:rsidRPr="0071782F">
        <w:rPr>
          <w:lang w:val="fr-CH"/>
        </w:rPr>
        <w:t>.</w:t>
      </w:r>
      <w:r w:rsidRPr="0071782F">
        <w:rPr>
          <w:lang w:val="fr-CH"/>
        </w:rPr>
        <w:tab/>
      </w:r>
      <w:r w:rsidR="00F449AD" w:rsidRPr="0071782F">
        <w:rPr>
          <w:lang w:val="fr-CH"/>
        </w:rPr>
        <w:t>Le décès de l’époux n’a aucune incidence sur la propriété effective que l’épouse exerce sur la dot</w:t>
      </w:r>
      <w:r w:rsidR="008F7D33" w:rsidRPr="0071782F">
        <w:rPr>
          <w:lang w:val="fr-CH"/>
        </w:rPr>
        <w:t>:</w:t>
      </w:r>
      <w:r w:rsidR="00F449AD" w:rsidRPr="0071782F">
        <w:rPr>
          <w:lang w:val="fr-CH"/>
        </w:rPr>
        <w:t xml:space="preserve"> celle-ci peut exiger de se la faire payer en totalité sur les biens de l’époux décédé. Si l’épouse vient à décéder, le droit à la dot est transmis à ses héritiers.</w:t>
      </w:r>
      <w:r w:rsidR="00D36718">
        <w:rPr>
          <w:lang w:val="fr-CH"/>
        </w:rPr>
        <w:t xml:space="preserve"> </w:t>
      </w:r>
    </w:p>
    <w:p w:rsidR="009F7C7F" w:rsidRPr="0071782F" w:rsidRDefault="009F7C7F" w:rsidP="00496C06">
      <w:pPr>
        <w:pStyle w:val="H23G"/>
        <w:rPr>
          <w:lang w:val="fr-CH"/>
        </w:rPr>
      </w:pPr>
      <w:r w:rsidRPr="0071782F">
        <w:rPr>
          <w:lang w:val="fr-CH"/>
        </w:rPr>
        <w:tab/>
      </w:r>
      <w:r w:rsidRPr="0071782F">
        <w:rPr>
          <w:lang w:val="fr-CH"/>
        </w:rPr>
        <w:tab/>
      </w:r>
      <w:r w:rsidR="00F449AD" w:rsidRPr="0071782F">
        <w:rPr>
          <w:lang w:val="fr-CH"/>
        </w:rPr>
        <w:t xml:space="preserve">Pension alimentaire </w:t>
      </w:r>
    </w:p>
    <w:p w:rsidR="009F7C7F" w:rsidRPr="0071782F" w:rsidRDefault="009F7C7F" w:rsidP="00496C06">
      <w:pPr>
        <w:pStyle w:val="SingleTxtG"/>
        <w:ind w:left="1701"/>
        <w:rPr>
          <w:lang w:val="fr-CH"/>
        </w:rPr>
      </w:pPr>
      <w:r w:rsidRPr="0071782F">
        <w:rPr>
          <w:lang w:val="fr-CH"/>
        </w:rPr>
        <w:t>157.4</w:t>
      </w:r>
      <w:r w:rsidR="00C006BB" w:rsidRPr="0071782F">
        <w:rPr>
          <w:lang w:val="fr-CH"/>
        </w:rPr>
        <w:t>.</w:t>
      </w:r>
      <w:r w:rsidRPr="0071782F">
        <w:rPr>
          <w:lang w:val="fr-CH"/>
        </w:rPr>
        <w:tab/>
      </w:r>
      <w:r w:rsidR="00F449AD" w:rsidRPr="0071782F">
        <w:rPr>
          <w:lang w:val="fr-CH"/>
        </w:rPr>
        <w:t xml:space="preserve">En vertu des dispositions de </w:t>
      </w:r>
      <w:r w:rsidR="00723F2B" w:rsidRPr="0071782F">
        <w:rPr>
          <w:lang w:val="fr-CH"/>
        </w:rPr>
        <w:t>l’</w:t>
      </w:r>
      <w:r w:rsidR="00943A69" w:rsidRPr="0071782F">
        <w:rPr>
          <w:lang w:val="fr-CH"/>
        </w:rPr>
        <w:t>article </w:t>
      </w:r>
      <w:r w:rsidRPr="0071782F">
        <w:rPr>
          <w:lang w:val="fr-CH"/>
        </w:rPr>
        <w:t xml:space="preserve">1106 </w:t>
      </w:r>
      <w:r w:rsidR="00F449AD" w:rsidRPr="0071782F">
        <w:rPr>
          <w:lang w:val="fr-CH"/>
        </w:rPr>
        <w:t xml:space="preserve">du Code </w:t>
      </w:r>
      <w:r w:rsidRPr="0071782F">
        <w:rPr>
          <w:lang w:val="fr-CH"/>
        </w:rPr>
        <w:t xml:space="preserve">civil, </w:t>
      </w:r>
      <w:r w:rsidR="00F449AD" w:rsidRPr="0071782F">
        <w:rPr>
          <w:lang w:val="fr-CH"/>
        </w:rPr>
        <w:t xml:space="preserve">le mari a le devoir de subvenir aux besoins de sa femme. </w:t>
      </w:r>
      <w:r w:rsidR="00723F2B" w:rsidRPr="0071782F">
        <w:rPr>
          <w:lang w:val="fr-CH"/>
        </w:rPr>
        <w:t>L’</w:t>
      </w:r>
      <w:r w:rsidR="00943A69" w:rsidRPr="0071782F">
        <w:rPr>
          <w:lang w:val="fr-CH"/>
        </w:rPr>
        <w:t>article </w:t>
      </w:r>
      <w:r w:rsidRPr="0071782F">
        <w:rPr>
          <w:lang w:val="fr-CH"/>
        </w:rPr>
        <w:t xml:space="preserve">1107 </w:t>
      </w:r>
      <w:r w:rsidR="00F449AD" w:rsidRPr="0071782F">
        <w:rPr>
          <w:lang w:val="fr-CH"/>
        </w:rPr>
        <w:t>du Code, modifié par l’Assemblée c</w:t>
      </w:r>
      <w:r w:rsidRPr="0071782F">
        <w:rPr>
          <w:lang w:val="fr-CH"/>
        </w:rPr>
        <w:t xml:space="preserve">onsultative </w:t>
      </w:r>
      <w:r w:rsidR="00F449AD" w:rsidRPr="0071782F">
        <w:rPr>
          <w:lang w:val="fr-CH"/>
        </w:rPr>
        <w:t xml:space="preserve">islamique </w:t>
      </w:r>
      <w:r w:rsidRPr="0071782F">
        <w:rPr>
          <w:lang w:val="fr-CH"/>
        </w:rPr>
        <w:t xml:space="preserve">(2002), </w:t>
      </w:r>
      <w:r w:rsidR="00F449AD" w:rsidRPr="0071782F">
        <w:rPr>
          <w:lang w:val="fr-CH"/>
        </w:rPr>
        <w:t>définit la pension alimentaire comme ce qui permet de pourvoir à tous les besoins normaux et appropriés de l’épouse, tels que le logement, l’alimentation, le mobilier, ainsi que les dépenses de santé en cas de maladie ou d’incapacité</w:t>
      </w:r>
      <w:r w:rsidRPr="0071782F">
        <w:rPr>
          <w:lang w:val="fr-CH"/>
        </w:rPr>
        <w:t xml:space="preserve">. </w:t>
      </w:r>
      <w:r w:rsidR="00F449AD" w:rsidRPr="0071782F">
        <w:rPr>
          <w:lang w:val="fr-CH"/>
        </w:rPr>
        <w:t>L’épouse peut intenter une action civile pour exiger la pension alimentaire et poursuivre son mari au pénal; elle peut requérir contre lui en vertu des disposition</w:t>
      </w:r>
      <w:r w:rsidR="008D6B77" w:rsidRPr="0071782F">
        <w:rPr>
          <w:lang w:val="fr-CH"/>
        </w:rPr>
        <w:t>s</w:t>
      </w:r>
      <w:r w:rsidR="00F449AD" w:rsidRPr="0071782F">
        <w:rPr>
          <w:lang w:val="fr-CH"/>
        </w:rPr>
        <w:t xml:space="preserve"> de </w:t>
      </w:r>
      <w:r w:rsidR="00723F2B" w:rsidRPr="0071782F">
        <w:rPr>
          <w:lang w:val="fr-CH"/>
        </w:rPr>
        <w:t>l’</w:t>
      </w:r>
      <w:r w:rsidR="00943A69" w:rsidRPr="0071782F">
        <w:rPr>
          <w:lang w:val="fr-CH"/>
        </w:rPr>
        <w:t>article </w:t>
      </w:r>
      <w:r w:rsidRPr="0071782F">
        <w:rPr>
          <w:lang w:val="fr-CH"/>
        </w:rPr>
        <w:t xml:space="preserve">642 </w:t>
      </w:r>
      <w:r w:rsidR="00F449AD" w:rsidRPr="0071782F">
        <w:rPr>
          <w:lang w:val="fr-CH"/>
        </w:rPr>
        <w:t xml:space="preserve">de la loi islamique sur les sanctions pour manquement à sa responsabilité légale de satisfaire </w:t>
      </w:r>
      <w:r w:rsidR="008D6B77" w:rsidRPr="0071782F">
        <w:rPr>
          <w:lang w:val="fr-CH"/>
        </w:rPr>
        <w:t xml:space="preserve">aux </w:t>
      </w:r>
      <w:r w:rsidR="00F449AD" w:rsidRPr="0071782F">
        <w:rPr>
          <w:lang w:val="fr-CH"/>
        </w:rPr>
        <w:t xml:space="preserve">besoins de sa femme et de lui fournir le soutien qui lui est dû. Ledit </w:t>
      </w:r>
      <w:r w:rsidR="00943A69" w:rsidRPr="0071782F">
        <w:rPr>
          <w:lang w:val="fr-CH"/>
        </w:rPr>
        <w:t>article </w:t>
      </w:r>
      <w:r w:rsidR="00F449AD" w:rsidRPr="0071782F">
        <w:rPr>
          <w:lang w:val="fr-CH"/>
        </w:rPr>
        <w:t>est ainsi libellé</w:t>
      </w:r>
      <w:r w:rsidR="008F7D33" w:rsidRPr="0071782F">
        <w:rPr>
          <w:lang w:val="fr-CH"/>
        </w:rPr>
        <w:t>:</w:t>
      </w:r>
      <w:r w:rsidRPr="0071782F">
        <w:rPr>
          <w:lang w:val="fr-CH"/>
        </w:rPr>
        <w:t xml:space="preserve"> </w:t>
      </w:r>
      <w:r w:rsidR="00A62149" w:rsidRPr="0071782F">
        <w:rPr>
          <w:lang w:val="fr-CH"/>
        </w:rPr>
        <w:t>"</w:t>
      </w:r>
      <w:r w:rsidR="00F449AD" w:rsidRPr="0071782F">
        <w:rPr>
          <w:lang w:val="fr-CH"/>
        </w:rPr>
        <w:t xml:space="preserve">L’époux qui, </w:t>
      </w:r>
      <w:r w:rsidR="008D6B77" w:rsidRPr="0071782F">
        <w:rPr>
          <w:lang w:val="fr-CH"/>
        </w:rPr>
        <w:t xml:space="preserve">tout </w:t>
      </w:r>
      <w:r w:rsidR="00F449AD" w:rsidRPr="0071782F">
        <w:rPr>
          <w:lang w:val="fr-CH"/>
        </w:rPr>
        <w:t>en a</w:t>
      </w:r>
      <w:r w:rsidR="008D6B77" w:rsidRPr="0071782F">
        <w:rPr>
          <w:lang w:val="fr-CH"/>
        </w:rPr>
        <w:t>yant</w:t>
      </w:r>
      <w:r w:rsidR="00F449AD" w:rsidRPr="0071782F">
        <w:rPr>
          <w:lang w:val="fr-CH"/>
        </w:rPr>
        <w:t xml:space="preserve"> les moyens financiers</w:t>
      </w:r>
      <w:r w:rsidR="008D6B77" w:rsidRPr="0071782F">
        <w:rPr>
          <w:lang w:val="fr-CH"/>
        </w:rPr>
        <w:t xml:space="preserve"> de le faire</w:t>
      </w:r>
      <w:r w:rsidR="00F449AD" w:rsidRPr="0071782F">
        <w:rPr>
          <w:lang w:val="fr-CH"/>
        </w:rPr>
        <w:t xml:space="preserve">, ne verse pas la pension alimentaire à son épouse et aux autres membres de </w:t>
      </w:r>
      <w:r w:rsidR="00B71907" w:rsidRPr="0071782F">
        <w:rPr>
          <w:lang w:val="fr-CH"/>
        </w:rPr>
        <w:t>la famille</w:t>
      </w:r>
      <w:r w:rsidR="00F449AD" w:rsidRPr="0071782F">
        <w:rPr>
          <w:lang w:val="fr-CH"/>
        </w:rPr>
        <w:t xml:space="preserve"> aux besoins desquels il est tenu de subvenir est passible d’une peine d’emprisonnement d’une durée comprise entre trois</w:t>
      </w:r>
      <w:r w:rsidR="001F3F05" w:rsidRPr="0071782F">
        <w:rPr>
          <w:lang w:val="fr-CH"/>
        </w:rPr>
        <w:t> mois</w:t>
      </w:r>
      <w:r w:rsidR="00F449AD" w:rsidRPr="0071782F">
        <w:rPr>
          <w:lang w:val="fr-CH"/>
        </w:rPr>
        <w:t xml:space="preserve"> et un jour et cinq</w:t>
      </w:r>
      <w:r w:rsidR="001F3F05" w:rsidRPr="0071782F">
        <w:rPr>
          <w:lang w:val="fr-CH"/>
        </w:rPr>
        <w:t> mois</w:t>
      </w:r>
      <w:r w:rsidR="00A62149" w:rsidRPr="0071782F">
        <w:rPr>
          <w:lang w:val="fr-CH"/>
        </w:rPr>
        <w:t>"</w:t>
      </w:r>
      <w:r w:rsidRPr="0071782F">
        <w:rPr>
          <w:lang w:val="fr-CH"/>
        </w:rPr>
        <w:t>.</w:t>
      </w:r>
    </w:p>
    <w:p w:rsidR="009F7C7F" w:rsidRPr="0071782F" w:rsidRDefault="009F7C7F" w:rsidP="00496C06">
      <w:pPr>
        <w:pStyle w:val="H23G"/>
        <w:rPr>
          <w:lang w:val="fr-CH"/>
        </w:rPr>
      </w:pPr>
      <w:r w:rsidRPr="0071782F">
        <w:rPr>
          <w:lang w:val="fr-CH"/>
        </w:rPr>
        <w:tab/>
      </w:r>
      <w:r w:rsidRPr="0071782F">
        <w:rPr>
          <w:lang w:val="fr-CH"/>
        </w:rPr>
        <w:tab/>
      </w:r>
      <w:r w:rsidR="00F449AD" w:rsidRPr="0071782F">
        <w:rPr>
          <w:lang w:val="fr-CH"/>
        </w:rPr>
        <w:t xml:space="preserve">Enregistrement obligatoire des mariages et des divorces </w:t>
      </w:r>
    </w:p>
    <w:p w:rsidR="009F7C7F" w:rsidRPr="0071782F" w:rsidRDefault="009F7C7F" w:rsidP="00496C06">
      <w:pPr>
        <w:pStyle w:val="SingleTxtG"/>
        <w:rPr>
          <w:lang w:val="fr-CH"/>
        </w:rPr>
      </w:pPr>
      <w:r w:rsidRPr="0071782F">
        <w:rPr>
          <w:lang w:val="fr-CH"/>
        </w:rPr>
        <w:t>158.</w:t>
      </w:r>
      <w:r w:rsidRPr="0071782F">
        <w:rPr>
          <w:lang w:val="fr-CH"/>
        </w:rPr>
        <w:tab/>
      </w:r>
      <w:r w:rsidR="005627FE" w:rsidRPr="0071782F">
        <w:rPr>
          <w:lang w:val="fr-CH"/>
        </w:rPr>
        <w:t xml:space="preserve">En vertu de </w:t>
      </w:r>
      <w:r w:rsidR="00723F2B" w:rsidRPr="0071782F">
        <w:rPr>
          <w:lang w:val="fr-CH"/>
        </w:rPr>
        <w:t>l’</w:t>
      </w:r>
      <w:r w:rsidR="00943A69" w:rsidRPr="0071782F">
        <w:rPr>
          <w:lang w:val="fr-CH"/>
        </w:rPr>
        <w:t>article </w:t>
      </w:r>
      <w:r w:rsidRPr="0071782F">
        <w:rPr>
          <w:lang w:val="fr-CH"/>
        </w:rPr>
        <w:t xml:space="preserve">1 </w:t>
      </w:r>
      <w:r w:rsidR="005627FE" w:rsidRPr="0071782F">
        <w:rPr>
          <w:lang w:val="fr-CH"/>
        </w:rPr>
        <w:t xml:space="preserve">de la loi sur le mariage </w:t>
      </w:r>
      <w:r w:rsidRPr="0071782F">
        <w:rPr>
          <w:lang w:val="fr-CH"/>
        </w:rPr>
        <w:t xml:space="preserve">(1931), </w:t>
      </w:r>
      <w:r w:rsidR="005627FE" w:rsidRPr="0071782F">
        <w:rPr>
          <w:lang w:val="fr-CH"/>
        </w:rPr>
        <w:t xml:space="preserve">les </w:t>
      </w:r>
      <w:r w:rsidRPr="0071782F">
        <w:rPr>
          <w:lang w:val="fr-CH"/>
        </w:rPr>
        <w:t xml:space="preserve">couples </w:t>
      </w:r>
      <w:r w:rsidR="005627FE" w:rsidRPr="0071782F">
        <w:rPr>
          <w:lang w:val="fr-CH"/>
        </w:rPr>
        <w:t xml:space="preserve">sont tenus de faire enregistrer leur mariage </w:t>
      </w:r>
      <w:r w:rsidRPr="0071782F">
        <w:rPr>
          <w:lang w:val="fr-CH"/>
        </w:rPr>
        <w:t>permanent o</w:t>
      </w:r>
      <w:r w:rsidR="005627FE" w:rsidRPr="0071782F">
        <w:rPr>
          <w:lang w:val="fr-CH"/>
        </w:rPr>
        <w:t>u</w:t>
      </w:r>
      <w:r w:rsidRPr="0071782F">
        <w:rPr>
          <w:lang w:val="fr-CH"/>
        </w:rPr>
        <w:t xml:space="preserve"> tempora</w:t>
      </w:r>
      <w:r w:rsidR="005627FE" w:rsidRPr="0071782F">
        <w:rPr>
          <w:lang w:val="fr-CH"/>
        </w:rPr>
        <w:t>ire</w:t>
      </w:r>
      <w:r w:rsidRPr="0071782F">
        <w:rPr>
          <w:lang w:val="fr-CH"/>
        </w:rPr>
        <w:t xml:space="preserve">, </w:t>
      </w:r>
      <w:r w:rsidR="005627FE" w:rsidRPr="0071782F">
        <w:rPr>
          <w:lang w:val="fr-CH"/>
        </w:rPr>
        <w:t xml:space="preserve">leur </w:t>
      </w:r>
      <w:r w:rsidRPr="0071782F">
        <w:rPr>
          <w:lang w:val="fr-CH"/>
        </w:rPr>
        <w:t xml:space="preserve">divorce </w:t>
      </w:r>
      <w:r w:rsidR="005627FE" w:rsidRPr="0071782F">
        <w:rPr>
          <w:lang w:val="fr-CH"/>
        </w:rPr>
        <w:t xml:space="preserve">et leur </w:t>
      </w:r>
      <w:r w:rsidRPr="0071782F">
        <w:rPr>
          <w:lang w:val="fr-CH"/>
        </w:rPr>
        <w:t xml:space="preserve">remariage </w:t>
      </w:r>
      <w:r w:rsidR="005627FE" w:rsidRPr="0071782F">
        <w:rPr>
          <w:lang w:val="fr-CH"/>
        </w:rPr>
        <w:t xml:space="preserve">après </w:t>
      </w:r>
      <w:r w:rsidRPr="0071782F">
        <w:rPr>
          <w:lang w:val="fr-CH"/>
        </w:rPr>
        <w:t xml:space="preserve">divorce. </w:t>
      </w:r>
      <w:r w:rsidR="005627FE" w:rsidRPr="0071782F">
        <w:rPr>
          <w:lang w:val="fr-CH"/>
        </w:rPr>
        <w:t xml:space="preserve">D’un point de vue pénal, le législateur protège l’épouse. </w:t>
      </w:r>
      <w:r w:rsidR="00723F2B" w:rsidRPr="0071782F">
        <w:rPr>
          <w:lang w:val="fr-CH"/>
        </w:rPr>
        <w:t>L’</w:t>
      </w:r>
      <w:r w:rsidR="00943A69" w:rsidRPr="0071782F">
        <w:rPr>
          <w:lang w:val="fr-CH"/>
        </w:rPr>
        <w:t>article </w:t>
      </w:r>
      <w:r w:rsidRPr="0071782F">
        <w:rPr>
          <w:lang w:val="fr-CH"/>
        </w:rPr>
        <w:t xml:space="preserve">625 </w:t>
      </w:r>
      <w:r w:rsidR="005627FE" w:rsidRPr="0071782F">
        <w:rPr>
          <w:lang w:val="fr-CH"/>
        </w:rPr>
        <w:t>de la loi i</w:t>
      </w:r>
      <w:r w:rsidRPr="0071782F">
        <w:rPr>
          <w:lang w:val="fr-CH"/>
        </w:rPr>
        <w:t>slami</w:t>
      </w:r>
      <w:r w:rsidR="005627FE" w:rsidRPr="0071782F">
        <w:rPr>
          <w:lang w:val="fr-CH"/>
        </w:rPr>
        <w:t xml:space="preserve">que sur les sanctions </w:t>
      </w:r>
      <w:r w:rsidRPr="0071782F">
        <w:rPr>
          <w:lang w:val="fr-CH"/>
        </w:rPr>
        <w:t xml:space="preserve">(1996) </w:t>
      </w:r>
      <w:r w:rsidR="005627FE" w:rsidRPr="0071782F">
        <w:rPr>
          <w:lang w:val="fr-CH"/>
        </w:rPr>
        <w:t>dispose en effet que</w:t>
      </w:r>
      <w:r w:rsidRPr="0071782F">
        <w:rPr>
          <w:lang w:val="fr-CH"/>
        </w:rPr>
        <w:t xml:space="preserve"> </w:t>
      </w:r>
      <w:r w:rsidR="00A62149" w:rsidRPr="0071782F">
        <w:rPr>
          <w:lang w:val="fr-CH"/>
        </w:rPr>
        <w:t>"</w:t>
      </w:r>
      <w:r w:rsidR="005627FE" w:rsidRPr="0071782F">
        <w:rPr>
          <w:lang w:val="fr-CH"/>
        </w:rPr>
        <w:t xml:space="preserve">pour sauvegarder l’intégrité de </w:t>
      </w:r>
      <w:r w:rsidR="00B71907" w:rsidRPr="0071782F">
        <w:rPr>
          <w:lang w:val="fr-CH"/>
        </w:rPr>
        <w:t>la famille</w:t>
      </w:r>
      <w:r w:rsidR="005627FE" w:rsidRPr="0071782F">
        <w:rPr>
          <w:lang w:val="fr-CH"/>
        </w:rPr>
        <w:t xml:space="preserve">, il est nécessaire d’enregistrer le </w:t>
      </w:r>
      <w:r w:rsidRPr="0071782F">
        <w:rPr>
          <w:lang w:val="fr-CH"/>
        </w:rPr>
        <w:t xml:space="preserve">mariage, </w:t>
      </w:r>
      <w:r w:rsidR="005627FE" w:rsidRPr="0071782F">
        <w:rPr>
          <w:lang w:val="fr-CH"/>
        </w:rPr>
        <w:t xml:space="preserve">le </w:t>
      </w:r>
      <w:r w:rsidRPr="0071782F">
        <w:rPr>
          <w:lang w:val="fr-CH"/>
        </w:rPr>
        <w:t xml:space="preserve">divorce </w:t>
      </w:r>
      <w:r w:rsidR="005627FE" w:rsidRPr="0071782F">
        <w:rPr>
          <w:lang w:val="fr-CH"/>
        </w:rPr>
        <w:t xml:space="preserve">et le </w:t>
      </w:r>
      <w:r w:rsidRPr="0071782F">
        <w:rPr>
          <w:lang w:val="fr-CH"/>
        </w:rPr>
        <w:t xml:space="preserve">remariage </w:t>
      </w:r>
      <w:r w:rsidR="005627FE" w:rsidRPr="0071782F">
        <w:rPr>
          <w:lang w:val="fr-CH"/>
        </w:rPr>
        <w:t>conformément aux règles en vigueur</w:t>
      </w:r>
      <w:r w:rsidRPr="0071782F">
        <w:rPr>
          <w:lang w:val="fr-CH"/>
        </w:rPr>
        <w:t xml:space="preserve">; </w:t>
      </w:r>
      <w:r w:rsidR="005627FE" w:rsidRPr="0071782F">
        <w:rPr>
          <w:lang w:val="fr-CH"/>
        </w:rPr>
        <w:t>en cas de manquement à cette obligation, les hommes encourent une peine d’emprisonnement d’une durée maximale d’un an</w:t>
      </w:r>
      <w:r w:rsidR="00A62149" w:rsidRPr="0071782F">
        <w:rPr>
          <w:lang w:val="fr-CH"/>
        </w:rPr>
        <w:t>"</w:t>
      </w:r>
      <w:r w:rsidRPr="0071782F">
        <w:rPr>
          <w:lang w:val="fr-CH"/>
        </w:rPr>
        <w:t xml:space="preserve">. </w:t>
      </w:r>
      <w:r w:rsidR="005627FE" w:rsidRPr="0071782F">
        <w:rPr>
          <w:lang w:val="fr-CH"/>
        </w:rPr>
        <w:t>Naturellement, cette sanction n’affecte en rien la validité du mariage</w:t>
      </w:r>
      <w:r w:rsidRPr="0071782F">
        <w:rPr>
          <w:lang w:val="fr-CH"/>
        </w:rPr>
        <w:t xml:space="preserve">. </w:t>
      </w:r>
    </w:p>
    <w:p w:rsidR="009F7C7F" w:rsidRPr="0071782F" w:rsidRDefault="009F7C7F" w:rsidP="00496C06">
      <w:pPr>
        <w:pStyle w:val="H1G"/>
        <w:rPr>
          <w:lang w:val="fr-CH"/>
        </w:rPr>
      </w:pPr>
      <w:r w:rsidRPr="0071782F">
        <w:rPr>
          <w:lang w:val="fr-CH"/>
        </w:rPr>
        <w:tab/>
      </w:r>
      <w:r w:rsidRPr="0071782F">
        <w:rPr>
          <w:lang w:val="fr-CH"/>
        </w:rPr>
        <w:tab/>
      </w:r>
      <w:r w:rsidR="00B66435" w:rsidRPr="0071782F">
        <w:rPr>
          <w:lang w:val="fr-CH"/>
        </w:rPr>
        <w:t xml:space="preserve">Présentation du projet de loi sur l’appui à </w:t>
      </w:r>
      <w:r w:rsidR="00B71907" w:rsidRPr="0071782F">
        <w:rPr>
          <w:lang w:val="fr-CH"/>
        </w:rPr>
        <w:t>la famille</w:t>
      </w:r>
      <w:r w:rsidR="00B66435" w:rsidRPr="0071782F">
        <w:rPr>
          <w:lang w:val="fr-CH"/>
        </w:rPr>
        <w:t xml:space="preserve"> </w:t>
      </w:r>
    </w:p>
    <w:p w:rsidR="009F7C7F" w:rsidRPr="0071782F" w:rsidRDefault="009F7C7F" w:rsidP="00496C06">
      <w:pPr>
        <w:pStyle w:val="SingleTxtG"/>
        <w:rPr>
          <w:lang w:val="fr-CH"/>
        </w:rPr>
      </w:pPr>
      <w:r w:rsidRPr="0071782F">
        <w:rPr>
          <w:lang w:val="fr-CH"/>
        </w:rPr>
        <w:t>159.</w:t>
      </w:r>
      <w:r w:rsidRPr="0071782F">
        <w:rPr>
          <w:lang w:val="fr-CH"/>
        </w:rPr>
        <w:tab/>
      </w:r>
      <w:r w:rsidR="00832663" w:rsidRPr="0071782F">
        <w:rPr>
          <w:lang w:val="fr-CH"/>
        </w:rPr>
        <w:t>Étant donné l’</w:t>
      </w:r>
      <w:r w:rsidRPr="0071782F">
        <w:rPr>
          <w:lang w:val="fr-CH"/>
        </w:rPr>
        <w:t xml:space="preserve">importance </w:t>
      </w:r>
      <w:r w:rsidR="00832663" w:rsidRPr="0071782F">
        <w:rPr>
          <w:lang w:val="fr-CH"/>
        </w:rPr>
        <w:t xml:space="preserve">du </w:t>
      </w:r>
      <w:r w:rsidRPr="0071782F">
        <w:rPr>
          <w:lang w:val="fr-CH"/>
        </w:rPr>
        <w:t>r</w:t>
      </w:r>
      <w:r w:rsidR="00832663" w:rsidRPr="0071782F">
        <w:rPr>
          <w:lang w:val="fr-CH"/>
        </w:rPr>
        <w:t>ô</w:t>
      </w:r>
      <w:r w:rsidRPr="0071782F">
        <w:rPr>
          <w:lang w:val="fr-CH"/>
        </w:rPr>
        <w:t xml:space="preserve">le </w:t>
      </w:r>
      <w:r w:rsidR="00832663" w:rsidRPr="0071782F">
        <w:rPr>
          <w:lang w:val="fr-CH"/>
        </w:rPr>
        <w:t xml:space="preserve">et la place de </w:t>
      </w:r>
      <w:r w:rsidR="00B71907" w:rsidRPr="0071782F">
        <w:rPr>
          <w:lang w:val="fr-CH"/>
        </w:rPr>
        <w:t>la famille</w:t>
      </w:r>
      <w:r w:rsidR="00832663" w:rsidRPr="0071782F">
        <w:rPr>
          <w:lang w:val="fr-CH"/>
        </w:rPr>
        <w:t xml:space="preserve"> dans l’ordre juridique islamique et les lacunes et ambiguïtés que présente à cet égard l’ordre juridique du pays (lesquelles ont été source de confusion et de problèmes pour les </w:t>
      </w:r>
      <w:r w:rsidR="00832663" w:rsidRPr="0071782F">
        <w:rPr>
          <w:bCs/>
          <w:iCs/>
          <w:lang w:val="fr-CH"/>
        </w:rPr>
        <w:t xml:space="preserve">organes judiciaires ayant à statuer sur des affaires relevant du droit de </w:t>
      </w:r>
      <w:r w:rsidR="00B71907" w:rsidRPr="0071782F">
        <w:rPr>
          <w:bCs/>
          <w:iCs/>
          <w:lang w:val="fr-CH"/>
        </w:rPr>
        <w:t>la famille</w:t>
      </w:r>
      <w:r w:rsidR="00832663" w:rsidRPr="0071782F">
        <w:rPr>
          <w:bCs/>
          <w:iCs/>
          <w:lang w:val="fr-CH"/>
        </w:rPr>
        <w:t>), les carences de la législation régissant la cellule familiale, l’inadaptation du cadre législatif à l’évolution des besoins et le retard immanquablement pris dans le règlement des affaires de ce type, l</w:t>
      </w:r>
      <w:r w:rsidR="00666189" w:rsidRPr="0071782F">
        <w:rPr>
          <w:bCs/>
          <w:iCs/>
          <w:lang w:val="fr-CH"/>
        </w:rPr>
        <w:t xml:space="preserve">e pouvoir </w:t>
      </w:r>
      <w:r w:rsidR="00832663" w:rsidRPr="0071782F">
        <w:rPr>
          <w:bCs/>
          <w:iCs/>
          <w:lang w:val="fr-CH"/>
        </w:rPr>
        <w:t xml:space="preserve">judiciaire a élaboré et présenté au gouvernement un projet de loi sur l’appui à </w:t>
      </w:r>
      <w:r w:rsidR="00B71907" w:rsidRPr="0071782F">
        <w:rPr>
          <w:bCs/>
          <w:iCs/>
          <w:lang w:val="fr-CH"/>
        </w:rPr>
        <w:t>la famille</w:t>
      </w:r>
      <w:r w:rsidR="00832663" w:rsidRPr="0071782F">
        <w:rPr>
          <w:bCs/>
          <w:iCs/>
          <w:lang w:val="fr-CH"/>
        </w:rPr>
        <w:t>.</w:t>
      </w:r>
      <w:r w:rsidRPr="0071782F">
        <w:rPr>
          <w:lang w:val="fr-CH"/>
        </w:rPr>
        <w:t xml:space="preserve"> </w:t>
      </w:r>
      <w:r w:rsidR="005672D3" w:rsidRPr="0071782F">
        <w:rPr>
          <w:lang w:val="fr-CH"/>
        </w:rPr>
        <w:t>C</w:t>
      </w:r>
      <w:r w:rsidR="00832663" w:rsidRPr="0071782F">
        <w:rPr>
          <w:lang w:val="fr-CH"/>
        </w:rPr>
        <w:t xml:space="preserve">e projet prévoit la </w:t>
      </w:r>
      <w:r w:rsidRPr="0071782F">
        <w:rPr>
          <w:lang w:val="fr-CH"/>
        </w:rPr>
        <w:t>sp</w:t>
      </w:r>
      <w:r w:rsidR="00832663" w:rsidRPr="0071782F">
        <w:rPr>
          <w:lang w:val="fr-CH"/>
        </w:rPr>
        <w:t>é</w:t>
      </w:r>
      <w:r w:rsidRPr="0071782F">
        <w:rPr>
          <w:lang w:val="fr-CH"/>
        </w:rPr>
        <w:t>ciali</w:t>
      </w:r>
      <w:r w:rsidR="00832663" w:rsidRPr="0071782F">
        <w:rPr>
          <w:lang w:val="fr-CH"/>
        </w:rPr>
        <w:t>s</w:t>
      </w:r>
      <w:r w:rsidRPr="0071782F">
        <w:rPr>
          <w:lang w:val="fr-CH"/>
        </w:rPr>
        <w:t xml:space="preserve">ation </w:t>
      </w:r>
      <w:r w:rsidR="00832663" w:rsidRPr="0071782F">
        <w:rPr>
          <w:lang w:val="fr-CH"/>
        </w:rPr>
        <w:t xml:space="preserve">des tribunaux de </w:t>
      </w:r>
      <w:r w:rsidR="00B71907" w:rsidRPr="0071782F">
        <w:rPr>
          <w:lang w:val="fr-CH"/>
        </w:rPr>
        <w:t>la famille</w:t>
      </w:r>
      <w:r w:rsidR="00832663" w:rsidRPr="0071782F">
        <w:rPr>
          <w:lang w:val="fr-CH"/>
        </w:rPr>
        <w:t xml:space="preserve"> et la </w:t>
      </w:r>
      <w:r w:rsidRPr="0071782F">
        <w:rPr>
          <w:lang w:val="fr-CH"/>
        </w:rPr>
        <w:t>pr</w:t>
      </w:r>
      <w:r w:rsidR="00832663" w:rsidRPr="0071782F">
        <w:rPr>
          <w:lang w:val="fr-CH"/>
        </w:rPr>
        <w:t>é</w:t>
      </w:r>
      <w:r w:rsidRPr="0071782F">
        <w:rPr>
          <w:lang w:val="fr-CH"/>
        </w:rPr>
        <w:t xml:space="preserve">sence </w:t>
      </w:r>
      <w:r w:rsidR="00832663" w:rsidRPr="0071782F">
        <w:rPr>
          <w:lang w:val="fr-CH"/>
        </w:rPr>
        <w:t xml:space="preserve">de femmes juges dans ces tribunaux, afin de garantir les droits des femmes et </w:t>
      </w:r>
      <w:r w:rsidR="004E45FB" w:rsidRPr="0071782F">
        <w:rPr>
          <w:lang w:val="fr-CH"/>
        </w:rPr>
        <w:t>des familles</w:t>
      </w:r>
      <w:r w:rsidR="00832663" w:rsidRPr="0071782F">
        <w:rPr>
          <w:lang w:val="fr-CH"/>
        </w:rPr>
        <w:t xml:space="preserve">. </w:t>
      </w:r>
    </w:p>
    <w:p w:rsidR="009F7C7F" w:rsidRPr="0071782F" w:rsidRDefault="009F7C7F" w:rsidP="00496C06">
      <w:pPr>
        <w:pStyle w:val="SingleTxtG"/>
        <w:ind w:left="1701"/>
        <w:rPr>
          <w:lang w:val="fr-CH"/>
        </w:rPr>
      </w:pPr>
      <w:r w:rsidRPr="0071782F">
        <w:rPr>
          <w:lang w:val="fr-CH"/>
        </w:rPr>
        <w:t>159.1</w:t>
      </w:r>
      <w:r w:rsidR="00C006BB" w:rsidRPr="0071782F">
        <w:rPr>
          <w:lang w:val="fr-CH"/>
        </w:rPr>
        <w:t>.</w:t>
      </w:r>
      <w:r w:rsidRPr="0071782F">
        <w:rPr>
          <w:lang w:val="fr-CH"/>
        </w:rPr>
        <w:tab/>
      </w:r>
      <w:r w:rsidR="00CA1EB0" w:rsidRPr="0071782F">
        <w:rPr>
          <w:lang w:val="fr-CH"/>
        </w:rPr>
        <w:t xml:space="preserve">Ce projet de loi prévoit également un nouveau dispositif de notification des décisions, diverses règles pénales dans les </w:t>
      </w:r>
      <w:r w:rsidR="00723F2B" w:rsidRPr="0071782F">
        <w:rPr>
          <w:lang w:val="fr-CH"/>
        </w:rPr>
        <w:t>articles </w:t>
      </w:r>
      <w:r w:rsidRPr="0071782F">
        <w:rPr>
          <w:lang w:val="fr-CH"/>
        </w:rPr>
        <w:t xml:space="preserve">44 </w:t>
      </w:r>
      <w:r w:rsidR="00CA1EB0" w:rsidRPr="0071782F">
        <w:rPr>
          <w:lang w:val="fr-CH"/>
        </w:rPr>
        <w:t>à 51</w:t>
      </w:r>
      <w:r w:rsidR="00666189" w:rsidRPr="0071782F">
        <w:rPr>
          <w:lang w:val="fr-CH"/>
        </w:rPr>
        <w:t xml:space="preserve"> </w:t>
      </w:r>
      <w:r w:rsidR="00CA1EB0" w:rsidRPr="0071782F">
        <w:rPr>
          <w:lang w:val="fr-CH"/>
        </w:rPr>
        <w:t>et la création de centres de consultation visant à consolider l’institution familiale, régler les différends et réconcilier le mari et la femme, et prendre l’avis d’experts avant le divorce afin d’éviter toute décision hâtive qui pourrait mettre en danger l’institution familiale</w:t>
      </w:r>
      <w:r w:rsidRPr="0071782F">
        <w:rPr>
          <w:lang w:val="fr-CH"/>
        </w:rPr>
        <w:t xml:space="preserve">. </w:t>
      </w:r>
      <w:r w:rsidR="00CA1EB0" w:rsidRPr="0071782F">
        <w:rPr>
          <w:lang w:val="fr-CH"/>
        </w:rPr>
        <w:t>La commission judiciaire a approuvé les grandes lignes du projet, qui doit être examiné par le Parlement.</w:t>
      </w:r>
      <w:r w:rsidRPr="0071782F">
        <w:rPr>
          <w:lang w:val="fr-CH"/>
        </w:rPr>
        <w:t xml:space="preserve"> </w:t>
      </w:r>
    </w:p>
    <w:p w:rsidR="009F7C7F" w:rsidRPr="0071782F" w:rsidRDefault="009F7C7F" w:rsidP="00496C06">
      <w:pPr>
        <w:pStyle w:val="H1G"/>
        <w:rPr>
          <w:lang w:val="fr-CH"/>
        </w:rPr>
      </w:pPr>
      <w:r w:rsidRPr="0071782F">
        <w:rPr>
          <w:lang w:val="fr-CH"/>
        </w:rPr>
        <w:tab/>
      </w:r>
      <w:r w:rsidRPr="0071782F">
        <w:rPr>
          <w:lang w:val="fr-CH"/>
        </w:rPr>
        <w:tab/>
        <w:t>M</w:t>
      </w:r>
      <w:r w:rsidR="00CA1EB0" w:rsidRPr="0071782F">
        <w:rPr>
          <w:lang w:val="fr-CH"/>
        </w:rPr>
        <w:t>ariage m</w:t>
      </w:r>
      <w:r w:rsidRPr="0071782F">
        <w:rPr>
          <w:lang w:val="fr-CH"/>
        </w:rPr>
        <w:t>utu</w:t>
      </w:r>
      <w:r w:rsidR="00CA1EB0" w:rsidRPr="0071782F">
        <w:rPr>
          <w:lang w:val="fr-CH"/>
        </w:rPr>
        <w:t xml:space="preserve">ellement consenti </w:t>
      </w:r>
    </w:p>
    <w:p w:rsidR="009F7C7F" w:rsidRPr="0071782F" w:rsidRDefault="009F7C7F" w:rsidP="00496C06">
      <w:pPr>
        <w:pStyle w:val="SingleTxtG"/>
        <w:rPr>
          <w:lang w:val="fr-CH"/>
        </w:rPr>
      </w:pPr>
      <w:r w:rsidRPr="0071782F">
        <w:rPr>
          <w:lang w:val="fr-CH"/>
        </w:rPr>
        <w:t>160.</w:t>
      </w:r>
      <w:r w:rsidRPr="0071782F">
        <w:rPr>
          <w:lang w:val="fr-CH"/>
        </w:rPr>
        <w:tab/>
      </w:r>
      <w:r w:rsidR="0081574F" w:rsidRPr="0071782F">
        <w:rPr>
          <w:lang w:val="fr-CH"/>
        </w:rPr>
        <w:t xml:space="preserve">En vertu de </w:t>
      </w:r>
      <w:r w:rsidR="00723F2B" w:rsidRPr="0071782F">
        <w:rPr>
          <w:lang w:val="fr-CH"/>
        </w:rPr>
        <w:t>l’</w:t>
      </w:r>
      <w:r w:rsidR="00943A69" w:rsidRPr="0071782F">
        <w:rPr>
          <w:lang w:val="fr-CH"/>
        </w:rPr>
        <w:t>article </w:t>
      </w:r>
      <w:r w:rsidRPr="0071782F">
        <w:rPr>
          <w:lang w:val="fr-CH"/>
        </w:rPr>
        <w:t xml:space="preserve">1041 </w:t>
      </w:r>
      <w:r w:rsidR="0081574F" w:rsidRPr="0071782F">
        <w:rPr>
          <w:lang w:val="fr-CH"/>
        </w:rPr>
        <w:t xml:space="preserve">du Code </w:t>
      </w:r>
      <w:r w:rsidRPr="0071782F">
        <w:rPr>
          <w:lang w:val="fr-CH"/>
        </w:rPr>
        <w:t>civil</w:t>
      </w:r>
      <w:r w:rsidR="0081574F" w:rsidRPr="0071782F">
        <w:rPr>
          <w:lang w:val="fr-CH"/>
        </w:rPr>
        <w:t>,</w:t>
      </w:r>
      <w:r w:rsidRPr="0071782F">
        <w:rPr>
          <w:lang w:val="fr-CH"/>
        </w:rPr>
        <w:t xml:space="preserve"> </w:t>
      </w:r>
      <w:r w:rsidR="0081574F" w:rsidRPr="0071782F">
        <w:rPr>
          <w:lang w:val="fr-CH"/>
        </w:rPr>
        <w:t>le mariage des filles âgées de moins de 13</w:t>
      </w:r>
      <w:r w:rsidR="00D82C96" w:rsidRPr="0071782F">
        <w:rPr>
          <w:lang w:val="fr-CH"/>
        </w:rPr>
        <w:t> ans</w:t>
      </w:r>
      <w:r w:rsidR="0081574F" w:rsidRPr="0071782F">
        <w:rPr>
          <w:lang w:val="fr-CH"/>
        </w:rPr>
        <w:t xml:space="preserve"> et des garçons âgés de moins de 15</w:t>
      </w:r>
      <w:r w:rsidR="00D82C96" w:rsidRPr="0071782F">
        <w:rPr>
          <w:lang w:val="fr-CH"/>
        </w:rPr>
        <w:t> ans</w:t>
      </w:r>
      <w:r w:rsidR="0081574F" w:rsidRPr="0071782F">
        <w:rPr>
          <w:lang w:val="fr-CH"/>
        </w:rPr>
        <w:t xml:space="preserve"> doit être autorisé par leurs parents si un tribunal compétent juge ce mariage approprié et raisonnable.</w:t>
      </w:r>
      <w:r w:rsidRPr="0071782F">
        <w:rPr>
          <w:lang w:val="fr-CH"/>
        </w:rPr>
        <w:t xml:space="preserve"> </w:t>
      </w:r>
      <w:r w:rsidR="00723F2B" w:rsidRPr="0071782F">
        <w:rPr>
          <w:lang w:val="fr-CH"/>
        </w:rPr>
        <w:t>L’</w:t>
      </w:r>
      <w:r w:rsidR="00943A69" w:rsidRPr="0071782F">
        <w:rPr>
          <w:lang w:val="fr-CH"/>
        </w:rPr>
        <w:t>article </w:t>
      </w:r>
      <w:r w:rsidRPr="0071782F">
        <w:rPr>
          <w:lang w:val="fr-CH"/>
        </w:rPr>
        <w:t xml:space="preserve">1043 </w:t>
      </w:r>
      <w:r w:rsidR="0081574F" w:rsidRPr="0071782F">
        <w:rPr>
          <w:lang w:val="fr-CH"/>
        </w:rPr>
        <w:t>du même Code dispose que le mariage d’une fille vierge ayant atteint l’âge adulte nécessite l’autorisation de son père (ou de son grand-père en l’absence du père</w:t>
      </w:r>
      <w:r w:rsidRPr="0071782F">
        <w:rPr>
          <w:lang w:val="fr-CH"/>
        </w:rPr>
        <w:t xml:space="preserve">); </w:t>
      </w:r>
      <w:r w:rsidR="0081574F" w:rsidRPr="0071782F">
        <w:rPr>
          <w:lang w:val="fr-CH"/>
        </w:rPr>
        <w:t>si ce dernier refuse d’autoriser ce mariage sans justifier sa position, cette condition est annulée et la fille peut présenter l’homme qu’elle souhaite épouser et les conditions fixées d’un commun accord pour ce mariage à un tribunal civil afin d’obtenir l’autorisation de se marier et de faire enregistrer le mariage par devant notaire</w:t>
      </w:r>
      <w:r w:rsidRPr="0071782F">
        <w:rPr>
          <w:lang w:val="fr-CH"/>
        </w:rPr>
        <w:t>.</w:t>
      </w:r>
    </w:p>
    <w:p w:rsidR="009F7C7F" w:rsidRPr="0071782F" w:rsidRDefault="009F7C7F" w:rsidP="00496C06">
      <w:pPr>
        <w:pStyle w:val="SingleTxtG"/>
        <w:ind w:left="1701"/>
        <w:rPr>
          <w:lang w:val="fr-CH"/>
        </w:rPr>
      </w:pPr>
      <w:r w:rsidRPr="0071782F">
        <w:rPr>
          <w:lang w:val="fr-CH"/>
        </w:rPr>
        <w:t>160.1</w:t>
      </w:r>
      <w:r w:rsidR="00C006BB" w:rsidRPr="0071782F">
        <w:rPr>
          <w:lang w:val="fr-CH"/>
        </w:rPr>
        <w:t>.</w:t>
      </w:r>
      <w:r w:rsidRPr="0071782F">
        <w:rPr>
          <w:lang w:val="fr-CH"/>
        </w:rPr>
        <w:tab/>
      </w:r>
      <w:r w:rsidR="0081574F" w:rsidRPr="0071782F">
        <w:rPr>
          <w:lang w:val="fr-CH"/>
        </w:rPr>
        <w:t xml:space="preserve">Le Code </w:t>
      </w:r>
      <w:r w:rsidRPr="0071782F">
        <w:rPr>
          <w:lang w:val="fr-CH"/>
        </w:rPr>
        <w:t xml:space="preserve">civil </w:t>
      </w:r>
      <w:r w:rsidR="0081574F" w:rsidRPr="0071782F">
        <w:rPr>
          <w:lang w:val="fr-CH"/>
        </w:rPr>
        <w:t xml:space="preserve">juge nécessaire qu’une fille obtienne l’autorisation de son père ou de son grand-père pour se marier, à condition que l’un ou l’autre soit vivant; si elle n’a pas de père ou de grand-père et est sous tutelle, l’autorisation n’est plus exigée. Au demeurant, le père ou le grand-père ne peut pas refuser arbitrairement son consentement au mariage d’une fille; s’il le fait, le tribunal, conformément à </w:t>
      </w:r>
      <w:r w:rsidR="00723F2B" w:rsidRPr="0071782F">
        <w:rPr>
          <w:lang w:val="fr-CH"/>
        </w:rPr>
        <w:t>l’</w:t>
      </w:r>
      <w:r w:rsidR="00943A69" w:rsidRPr="0071782F">
        <w:rPr>
          <w:lang w:val="fr-CH"/>
        </w:rPr>
        <w:t>article </w:t>
      </w:r>
      <w:r w:rsidRPr="0071782F">
        <w:rPr>
          <w:lang w:val="fr-CH"/>
        </w:rPr>
        <w:t xml:space="preserve">1043, </w:t>
      </w:r>
      <w:r w:rsidR="0081574F" w:rsidRPr="0071782F">
        <w:rPr>
          <w:lang w:val="fr-CH"/>
        </w:rPr>
        <w:t>tranche l’affaire</w:t>
      </w:r>
      <w:r w:rsidRPr="0071782F">
        <w:rPr>
          <w:lang w:val="fr-CH"/>
        </w:rPr>
        <w:t xml:space="preserve">. </w:t>
      </w:r>
      <w:r w:rsidR="0081574F" w:rsidRPr="0071782F">
        <w:rPr>
          <w:lang w:val="fr-CH"/>
        </w:rPr>
        <w:t xml:space="preserve">Si le père ou le grand-père est absent ou impossible à joindre parce qu’il réside dans un autre pays ou si le père et la fille n’entretiennent aucune relation, la fille peut, en vertu de </w:t>
      </w:r>
      <w:r w:rsidR="00723F2B" w:rsidRPr="0071782F">
        <w:rPr>
          <w:lang w:val="fr-CH"/>
        </w:rPr>
        <w:t>l’</w:t>
      </w:r>
      <w:r w:rsidR="00943A69" w:rsidRPr="0071782F">
        <w:rPr>
          <w:lang w:val="fr-CH"/>
        </w:rPr>
        <w:t>article </w:t>
      </w:r>
      <w:r w:rsidRPr="0071782F">
        <w:rPr>
          <w:lang w:val="fr-CH"/>
        </w:rPr>
        <w:t>1044</w:t>
      </w:r>
      <w:r w:rsidR="0081574F" w:rsidRPr="0071782F">
        <w:rPr>
          <w:lang w:val="fr-CH"/>
        </w:rPr>
        <w:t>, demander au tribunal d’autoriser son mariage</w:t>
      </w:r>
      <w:r w:rsidRPr="0071782F">
        <w:rPr>
          <w:lang w:val="fr-CH"/>
        </w:rPr>
        <w:t>.</w:t>
      </w:r>
    </w:p>
    <w:p w:rsidR="009F7C7F" w:rsidRPr="0071782F" w:rsidRDefault="009F7C7F" w:rsidP="00496C06">
      <w:pPr>
        <w:pStyle w:val="SingleTxtG"/>
        <w:ind w:left="1701"/>
        <w:rPr>
          <w:lang w:val="fr-CH"/>
        </w:rPr>
      </w:pPr>
      <w:r w:rsidRPr="0071782F">
        <w:rPr>
          <w:lang w:val="fr-CH"/>
        </w:rPr>
        <w:t>160.2</w:t>
      </w:r>
      <w:r w:rsidR="00C006BB" w:rsidRPr="0071782F">
        <w:rPr>
          <w:lang w:val="fr-CH"/>
        </w:rPr>
        <w:t>.</w:t>
      </w:r>
      <w:r w:rsidRPr="0071782F">
        <w:rPr>
          <w:lang w:val="fr-CH"/>
        </w:rPr>
        <w:tab/>
      </w:r>
      <w:r w:rsidR="0043463E" w:rsidRPr="0071782F">
        <w:rPr>
          <w:lang w:val="fr-CH"/>
        </w:rPr>
        <w:t xml:space="preserve">Il découle des dispositions de </w:t>
      </w:r>
      <w:r w:rsidR="00723F2B" w:rsidRPr="0071782F">
        <w:rPr>
          <w:lang w:val="fr-CH"/>
        </w:rPr>
        <w:t>l’</w:t>
      </w:r>
      <w:r w:rsidR="00943A69" w:rsidRPr="0071782F">
        <w:rPr>
          <w:lang w:val="fr-CH"/>
        </w:rPr>
        <w:t>article </w:t>
      </w:r>
      <w:r w:rsidRPr="0071782F">
        <w:rPr>
          <w:lang w:val="fr-CH"/>
        </w:rPr>
        <w:t>1043</w:t>
      </w:r>
      <w:r w:rsidR="0043463E" w:rsidRPr="0071782F">
        <w:rPr>
          <w:lang w:val="fr-CH"/>
        </w:rPr>
        <w:t xml:space="preserve"> que si une fille se marie sans l’autorisation de son père</w:t>
      </w:r>
      <w:r w:rsidRPr="0071782F">
        <w:rPr>
          <w:lang w:val="fr-CH"/>
        </w:rPr>
        <w:t xml:space="preserve">, </w:t>
      </w:r>
      <w:r w:rsidR="0043463E" w:rsidRPr="0071782F">
        <w:rPr>
          <w:lang w:val="fr-CH"/>
        </w:rPr>
        <w:t>son mariage est légalement nul; il pourra être validé si le père donne ultérieurement son consentement.</w:t>
      </w:r>
    </w:p>
    <w:p w:rsidR="009F7C7F" w:rsidRPr="0071782F" w:rsidRDefault="009F7C7F" w:rsidP="00496C06">
      <w:pPr>
        <w:pStyle w:val="SingleTxtG"/>
        <w:ind w:left="1701"/>
        <w:rPr>
          <w:lang w:val="fr-CH"/>
        </w:rPr>
      </w:pPr>
      <w:r w:rsidRPr="0071782F">
        <w:rPr>
          <w:lang w:val="fr-CH"/>
        </w:rPr>
        <w:t>160.3</w:t>
      </w:r>
      <w:r w:rsidRPr="0071782F">
        <w:rPr>
          <w:lang w:val="fr-CH"/>
        </w:rPr>
        <w:tab/>
      </w:r>
      <w:r w:rsidR="0043463E" w:rsidRPr="0071782F">
        <w:rPr>
          <w:lang w:val="fr-CH"/>
        </w:rPr>
        <w:t xml:space="preserve">En vertu de </w:t>
      </w:r>
      <w:r w:rsidR="00723F2B" w:rsidRPr="0071782F">
        <w:rPr>
          <w:lang w:val="fr-CH"/>
        </w:rPr>
        <w:t>l’</w:t>
      </w:r>
      <w:r w:rsidR="00943A69" w:rsidRPr="0071782F">
        <w:rPr>
          <w:lang w:val="fr-CH"/>
        </w:rPr>
        <w:t>article </w:t>
      </w:r>
      <w:r w:rsidRPr="0071782F">
        <w:rPr>
          <w:lang w:val="fr-CH"/>
        </w:rPr>
        <w:t xml:space="preserve">1062 </w:t>
      </w:r>
      <w:r w:rsidR="0043463E" w:rsidRPr="0071782F">
        <w:rPr>
          <w:lang w:val="fr-CH"/>
        </w:rPr>
        <w:t xml:space="preserve">du Code, la validité d’un mariage dépend du consentement et d’une déclaration indiquant expressément une volonté de contracter mariage. Par ailleurs, en vertu d’un arrêt rendu par la Cour suprême en mai </w:t>
      </w:r>
      <w:r w:rsidRPr="0071782F">
        <w:rPr>
          <w:lang w:val="fr-CH"/>
        </w:rPr>
        <w:t xml:space="preserve">1992, </w:t>
      </w:r>
      <w:r w:rsidR="0043463E" w:rsidRPr="0071782F">
        <w:rPr>
          <w:lang w:val="fr-CH"/>
        </w:rPr>
        <w:t>un mariage forcé qui ne fait pas l’objet d’un consentement ultérieur est nul et la séparation peut alors être obtenue sans divorce</w:t>
      </w:r>
      <w:r w:rsidRPr="0071782F">
        <w:rPr>
          <w:lang w:val="fr-CH"/>
        </w:rPr>
        <w:t>.</w:t>
      </w:r>
    </w:p>
    <w:p w:rsidR="009F7C7F" w:rsidRPr="0071782F" w:rsidRDefault="009F7C7F" w:rsidP="00496C06">
      <w:pPr>
        <w:pStyle w:val="H1G"/>
        <w:rPr>
          <w:lang w:val="fr-CH"/>
        </w:rPr>
      </w:pPr>
      <w:r w:rsidRPr="0071782F">
        <w:rPr>
          <w:lang w:val="fr-CH"/>
        </w:rPr>
        <w:tab/>
      </w:r>
      <w:r w:rsidRPr="0071782F">
        <w:rPr>
          <w:lang w:val="fr-CH"/>
        </w:rPr>
        <w:tab/>
      </w:r>
      <w:r w:rsidR="000D13BE" w:rsidRPr="0071782F">
        <w:rPr>
          <w:lang w:val="fr-CH"/>
        </w:rPr>
        <w:t xml:space="preserve">Appui aux mères allaitantes </w:t>
      </w:r>
    </w:p>
    <w:p w:rsidR="009F7C7F" w:rsidRPr="0071782F" w:rsidRDefault="009F7C7F" w:rsidP="00496C06">
      <w:pPr>
        <w:pStyle w:val="SingleTxtG"/>
        <w:rPr>
          <w:lang w:val="fr-CH"/>
        </w:rPr>
      </w:pPr>
      <w:r w:rsidRPr="0071782F">
        <w:rPr>
          <w:lang w:val="fr-CH"/>
        </w:rPr>
        <w:t>161.</w:t>
      </w:r>
      <w:r w:rsidRPr="0071782F">
        <w:rPr>
          <w:lang w:val="fr-CH"/>
        </w:rPr>
        <w:tab/>
      </w:r>
      <w:r w:rsidR="0009671F" w:rsidRPr="0071782F">
        <w:rPr>
          <w:lang w:val="fr-CH"/>
        </w:rPr>
        <w:t xml:space="preserve">Pour fournir un appui aux mères allaitantes, la loi sur l’appui aux mères allaitantes </w:t>
      </w:r>
      <w:r w:rsidRPr="0071782F">
        <w:rPr>
          <w:lang w:val="fr-CH"/>
        </w:rPr>
        <w:t xml:space="preserve">(1995) </w:t>
      </w:r>
      <w:r w:rsidR="0009671F" w:rsidRPr="0071782F">
        <w:rPr>
          <w:lang w:val="fr-CH"/>
        </w:rPr>
        <w:t>et son règlement d’exécution</w:t>
      </w:r>
      <w:r w:rsidRPr="0071782F">
        <w:rPr>
          <w:lang w:val="fr-CH"/>
        </w:rPr>
        <w:t xml:space="preserve"> (1996) </w:t>
      </w:r>
      <w:r w:rsidR="0009671F" w:rsidRPr="0071782F">
        <w:rPr>
          <w:lang w:val="fr-CH"/>
        </w:rPr>
        <w:t>ont été adoptés</w:t>
      </w:r>
      <w:r w:rsidRPr="0071782F">
        <w:rPr>
          <w:lang w:val="fr-CH"/>
        </w:rPr>
        <w:t xml:space="preserve">. </w:t>
      </w:r>
      <w:r w:rsidR="00AD3587">
        <w:rPr>
          <w:lang w:val="fr-CH"/>
        </w:rPr>
        <w:t>Cette loi a été modifiée en </w:t>
      </w:r>
      <w:r w:rsidRPr="0071782F">
        <w:rPr>
          <w:lang w:val="fr-CH"/>
        </w:rPr>
        <w:t xml:space="preserve">2007. </w:t>
      </w:r>
      <w:r w:rsidR="0009671F" w:rsidRPr="0071782F">
        <w:rPr>
          <w:lang w:val="fr-CH"/>
        </w:rPr>
        <w:t>La loi sur la promotion de l’allaitement maternel et sur l’appui aux mères allaitantes pendant la période d’allaitement dispose notamment ce qui suit</w:t>
      </w:r>
      <w:r w:rsidR="008F7D33" w:rsidRPr="0071782F">
        <w:rPr>
          <w:lang w:val="fr-CH"/>
        </w:rPr>
        <w:t>:</w:t>
      </w:r>
    </w:p>
    <w:p w:rsidR="009F7C7F" w:rsidRPr="0071782F" w:rsidRDefault="009F7C7F" w:rsidP="00496C06">
      <w:pPr>
        <w:pStyle w:val="SingleTxtG"/>
        <w:ind w:left="1701"/>
        <w:rPr>
          <w:lang w:val="fr-CH"/>
        </w:rPr>
      </w:pPr>
      <w:r w:rsidRPr="0071782F">
        <w:rPr>
          <w:lang w:val="fr-CH"/>
        </w:rPr>
        <w:t>161.1</w:t>
      </w:r>
      <w:r w:rsidR="00C006BB" w:rsidRPr="0071782F">
        <w:rPr>
          <w:lang w:val="fr-CH"/>
        </w:rPr>
        <w:t>.</w:t>
      </w:r>
      <w:r w:rsidRPr="0071782F">
        <w:rPr>
          <w:lang w:val="fr-CH"/>
        </w:rPr>
        <w:tab/>
      </w:r>
      <w:r w:rsidR="00943A69" w:rsidRPr="0071782F">
        <w:rPr>
          <w:lang w:val="fr-CH"/>
        </w:rPr>
        <w:t>Article </w:t>
      </w:r>
      <w:r w:rsidRPr="0071782F">
        <w:rPr>
          <w:lang w:val="fr-CH"/>
        </w:rPr>
        <w:t xml:space="preserve">3 – </w:t>
      </w:r>
      <w:r w:rsidR="0009671F" w:rsidRPr="0071782F">
        <w:rPr>
          <w:lang w:val="fr-CH"/>
        </w:rPr>
        <w:t xml:space="preserve">La durée du congé de maternité pour les mères allaitantes (jusqu’au troisième enfant) dans les secteurs </w:t>
      </w:r>
      <w:r w:rsidRPr="0071782F">
        <w:rPr>
          <w:lang w:val="fr-CH"/>
        </w:rPr>
        <w:t xml:space="preserve">public </w:t>
      </w:r>
      <w:r w:rsidR="0009671F" w:rsidRPr="0071782F">
        <w:rPr>
          <w:lang w:val="fr-CH"/>
        </w:rPr>
        <w:t>et privé est de quatre</w:t>
      </w:r>
      <w:r w:rsidR="001F3F05" w:rsidRPr="0071782F">
        <w:rPr>
          <w:lang w:val="fr-CH"/>
        </w:rPr>
        <w:t> mois</w:t>
      </w:r>
      <w:r w:rsidR="0009671F" w:rsidRPr="0071782F">
        <w:rPr>
          <w:lang w:val="fr-CH"/>
        </w:rPr>
        <w:t xml:space="preserve"> </w:t>
      </w:r>
      <w:r w:rsidRPr="0071782F">
        <w:rPr>
          <w:lang w:val="fr-CH"/>
        </w:rPr>
        <w:t>(</w:t>
      </w:r>
      <w:r w:rsidR="0009671F" w:rsidRPr="0071782F">
        <w:rPr>
          <w:lang w:val="fr-CH"/>
        </w:rPr>
        <w:t xml:space="preserve">en vertu des modifications apportées en </w:t>
      </w:r>
      <w:r w:rsidRPr="0071782F">
        <w:rPr>
          <w:lang w:val="fr-CH"/>
        </w:rPr>
        <w:t xml:space="preserve">2001, </w:t>
      </w:r>
      <w:r w:rsidR="0009671F" w:rsidRPr="0071782F">
        <w:rPr>
          <w:lang w:val="fr-CH"/>
        </w:rPr>
        <w:t>la mère a droit à un congé de maternité de cinq</w:t>
      </w:r>
      <w:r w:rsidR="001F3F05" w:rsidRPr="0071782F">
        <w:rPr>
          <w:lang w:val="fr-CH"/>
        </w:rPr>
        <w:t> mois</w:t>
      </w:r>
      <w:r w:rsidR="0009671F" w:rsidRPr="0071782F">
        <w:rPr>
          <w:lang w:val="fr-CH"/>
        </w:rPr>
        <w:t xml:space="preserve"> si elle a mis au monde des jumeaux et de plus d’un an en cas de naissances multiples (au moins trois enfants)</w:t>
      </w:r>
      <w:r w:rsidRPr="0071782F">
        <w:rPr>
          <w:lang w:val="fr-CH"/>
        </w:rPr>
        <w:t xml:space="preserve">. </w:t>
      </w:r>
      <w:r w:rsidR="0009671F" w:rsidRPr="0071782F">
        <w:rPr>
          <w:lang w:val="fr-CH"/>
        </w:rPr>
        <w:t xml:space="preserve">Les modifications apportées en </w:t>
      </w:r>
      <w:r w:rsidRPr="0071782F">
        <w:rPr>
          <w:lang w:val="fr-CH"/>
        </w:rPr>
        <w:t xml:space="preserve">2007 </w:t>
      </w:r>
      <w:r w:rsidR="0009671F" w:rsidRPr="0071782F">
        <w:rPr>
          <w:lang w:val="fr-CH"/>
        </w:rPr>
        <w:t>ont porté la durée du congé de maternité de quatre à six</w:t>
      </w:r>
      <w:r w:rsidR="001F3F05" w:rsidRPr="0071782F">
        <w:rPr>
          <w:lang w:val="fr-CH"/>
        </w:rPr>
        <w:t> mois</w:t>
      </w:r>
      <w:r w:rsidRPr="0071782F">
        <w:rPr>
          <w:lang w:val="fr-CH"/>
        </w:rPr>
        <w:t>).</w:t>
      </w:r>
    </w:p>
    <w:p w:rsidR="009F7C7F" w:rsidRPr="0071782F" w:rsidRDefault="009F7C7F" w:rsidP="00496C06">
      <w:pPr>
        <w:pStyle w:val="SingleTxtG"/>
        <w:ind w:left="1701"/>
        <w:rPr>
          <w:lang w:val="fr-CH"/>
        </w:rPr>
      </w:pPr>
      <w:r w:rsidRPr="0071782F">
        <w:rPr>
          <w:lang w:val="fr-CH"/>
        </w:rPr>
        <w:t>161.2</w:t>
      </w:r>
      <w:r w:rsidR="00C006BB" w:rsidRPr="0071782F">
        <w:rPr>
          <w:lang w:val="fr-CH"/>
        </w:rPr>
        <w:t>.</w:t>
      </w:r>
      <w:r w:rsidRPr="0071782F">
        <w:rPr>
          <w:lang w:val="fr-CH"/>
        </w:rPr>
        <w:tab/>
      </w:r>
      <w:r w:rsidR="00B71907" w:rsidRPr="0071782F">
        <w:rPr>
          <w:lang w:val="fr-CH"/>
        </w:rPr>
        <w:t>Note </w:t>
      </w:r>
      <w:r w:rsidRPr="0071782F">
        <w:rPr>
          <w:lang w:val="fr-CH"/>
        </w:rPr>
        <w:t xml:space="preserve">1 – </w:t>
      </w:r>
      <w:r w:rsidR="00275368" w:rsidRPr="0071782F">
        <w:rPr>
          <w:lang w:val="fr-CH"/>
        </w:rPr>
        <w:t>Lorsqu’elles reprennent le travail, les mères allaitantes qui souhaitent continuer d’allaiter leurs nourrissons jusqu’à ce qu’ils aient atteint l’âge maximal de 20</w:t>
      </w:r>
      <w:r w:rsidR="001F3F05" w:rsidRPr="0071782F">
        <w:rPr>
          <w:lang w:val="fr-CH"/>
        </w:rPr>
        <w:t> mois</w:t>
      </w:r>
      <w:r w:rsidR="00275368" w:rsidRPr="0071782F">
        <w:rPr>
          <w:lang w:val="fr-CH"/>
        </w:rPr>
        <w:t xml:space="preserve"> disposent d’une heure par jour pour le faire </w:t>
      </w:r>
      <w:r w:rsidRPr="0071782F">
        <w:rPr>
          <w:lang w:val="fr-CH"/>
        </w:rPr>
        <w:t>(</w:t>
      </w:r>
      <w:r w:rsidR="00275368" w:rsidRPr="0071782F">
        <w:rPr>
          <w:lang w:val="fr-CH"/>
        </w:rPr>
        <w:t xml:space="preserve">cette heure n’est pas déduite de leur congé annuel) </w:t>
      </w:r>
      <w:r w:rsidRPr="0071782F">
        <w:rPr>
          <w:lang w:val="fr-CH"/>
        </w:rPr>
        <w:t>(</w:t>
      </w:r>
      <w:r w:rsidR="00275368" w:rsidRPr="0071782F">
        <w:rPr>
          <w:lang w:val="fr-CH"/>
        </w:rPr>
        <w:t xml:space="preserve">les modifications apportées en </w:t>
      </w:r>
      <w:r w:rsidRPr="0071782F">
        <w:rPr>
          <w:lang w:val="fr-CH"/>
        </w:rPr>
        <w:t xml:space="preserve">2007 </w:t>
      </w:r>
      <w:r w:rsidR="00275368" w:rsidRPr="0071782F">
        <w:rPr>
          <w:lang w:val="fr-CH"/>
        </w:rPr>
        <w:t>ont porté la période d’allaitement de 20 à 24</w:t>
      </w:r>
      <w:r w:rsidR="001F3F05" w:rsidRPr="0071782F">
        <w:rPr>
          <w:lang w:val="fr-CH"/>
        </w:rPr>
        <w:t> mois</w:t>
      </w:r>
      <w:r w:rsidRPr="0071782F">
        <w:rPr>
          <w:lang w:val="fr-CH"/>
        </w:rPr>
        <w:t>).</w:t>
      </w:r>
    </w:p>
    <w:p w:rsidR="009F7C7F" w:rsidRPr="0071782F" w:rsidRDefault="009F7C7F" w:rsidP="00496C06">
      <w:pPr>
        <w:pStyle w:val="SingleTxtG"/>
        <w:ind w:left="1701"/>
        <w:rPr>
          <w:lang w:val="fr-CH"/>
        </w:rPr>
      </w:pPr>
      <w:r w:rsidRPr="0071782F">
        <w:rPr>
          <w:lang w:val="fr-CH"/>
        </w:rPr>
        <w:t>161.3</w:t>
      </w:r>
      <w:r w:rsidR="00C006BB" w:rsidRPr="0071782F">
        <w:rPr>
          <w:lang w:val="fr-CH"/>
        </w:rPr>
        <w:t>.</w:t>
      </w:r>
      <w:r w:rsidRPr="0071782F">
        <w:rPr>
          <w:lang w:val="fr-CH"/>
        </w:rPr>
        <w:tab/>
      </w:r>
      <w:r w:rsidR="00B71907" w:rsidRPr="0071782F">
        <w:rPr>
          <w:lang w:val="fr-CH"/>
        </w:rPr>
        <w:t>Note </w:t>
      </w:r>
      <w:r w:rsidRPr="0071782F">
        <w:rPr>
          <w:lang w:val="fr-CH"/>
        </w:rPr>
        <w:t>2 –</w:t>
      </w:r>
      <w:r w:rsidR="006A4873" w:rsidRPr="0071782F">
        <w:rPr>
          <w:lang w:val="fr-CH"/>
        </w:rPr>
        <w:t xml:space="preserve"> L</w:t>
      </w:r>
      <w:r w:rsidR="00B513D6" w:rsidRPr="0071782F">
        <w:rPr>
          <w:lang w:val="fr-CH"/>
        </w:rPr>
        <w:t>a sécurité d’emploi des mères à la fin du congé de maternité et pendant la période d’allaitement</w:t>
      </w:r>
      <w:r w:rsidR="006A4873" w:rsidRPr="0071782F">
        <w:rPr>
          <w:lang w:val="fr-CH"/>
        </w:rPr>
        <w:t xml:space="preserve"> doit être garantie</w:t>
      </w:r>
      <w:r w:rsidR="00B513D6" w:rsidRPr="0071782F">
        <w:rPr>
          <w:lang w:val="fr-CH"/>
        </w:rPr>
        <w:t>.</w:t>
      </w:r>
      <w:r w:rsidRPr="0071782F">
        <w:rPr>
          <w:lang w:val="fr-CH"/>
        </w:rPr>
        <w:t xml:space="preserve"> </w:t>
      </w:r>
    </w:p>
    <w:p w:rsidR="009F7C7F" w:rsidRPr="0071782F" w:rsidRDefault="009F7C7F" w:rsidP="00496C06">
      <w:pPr>
        <w:pStyle w:val="SingleTxtG"/>
        <w:ind w:left="1701"/>
        <w:rPr>
          <w:lang w:val="fr-CH"/>
        </w:rPr>
      </w:pPr>
      <w:r w:rsidRPr="0071782F">
        <w:rPr>
          <w:lang w:val="fr-CH"/>
        </w:rPr>
        <w:t>161.4</w:t>
      </w:r>
      <w:r w:rsidR="00C006BB" w:rsidRPr="0071782F">
        <w:rPr>
          <w:lang w:val="fr-CH"/>
        </w:rPr>
        <w:t>.</w:t>
      </w:r>
      <w:r w:rsidRPr="0071782F">
        <w:rPr>
          <w:lang w:val="fr-CH"/>
        </w:rPr>
        <w:tab/>
      </w:r>
      <w:r w:rsidR="00943A69" w:rsidRPr="0071782F">
        <w:rPr>
          <w:lang w:val="fr-CH"/>
        </w:rPr>
        <w:t>Article </w:t>
      </w:r>
      <w:r w:rsidRPr="0071782F">
        <w:rPr>
          <w:lang w:val="fr-CH"/>
        </w:rPr>
        <w:t xml:space="preserve">4 – </w:t>
      </w:r>
      <w:r w:rsidR="003926BF" w:rsidRPr="0071782F">
        <w:rPr>
          <w:lang w:val="fr-CH"/>
        </w:rPr>
        <w:t xml:space="preserve">Les organisations publiques </w:t>
      </w:r>
      <w:r w:rsidR="009B61BA" w:rsidRPr="0071782F">
        <w:rPr>
          <w:lang w:val="fr-CH"/>
        </w:rPr>
        <w:t>(</w:t>
      </w:r>
      <w:r w:rsidR="003926BF" w:rsidRPr="0071782F">
        <w:rPr>
          <w:lang w:val="fr-CH"/>
        </w:rPr>
        <w:t>et les organes qui leur sont affiliés</w:t>
      </w:r>
      <w:r w:rsidR="009B61BA" w:rsidRPr="0071782F">
        <w:rPr>
          <w:lang w:val="fr-CH"/>
        </w:rPr>
        <w:t>)</w:t>
      </w:r>
      <w:r w:rsidR="003926BF" w:rsidRPr="0071782F">
        <w:rPr>
          <w:lang w:val="fr-CH"/>
        </w:rPr>
        <w:t>, y compris celles qui doivent respecter les règles du C</w:t>
      </w:r>
      <w:r w:rsidR="009B61BA" w:rsidRPr="0071782F">
        <w:rPr>
          <w:lang w:val="fr-CH"/>
        </w:rPr>
        <w:t xml:space="preserve">ode du travail et celles qui n’ont pas à le faire en raison </w:t>
      </w:r>
      <w:r w:rsidR="003926BF" w:rsidRPr="0071782F">
        <w:rPr>
          <w:lang w:val="fr-CH"/>
        </w:rPr>
        <w:t>des conditions de travail spéciales qu’elles offrent, doivent mettre à proximité du lieu de travail des installations adéquates à la disposition des mères qui travaillent pour qu’elles puissent allaiter leurs nourrissons</w:t>
      </w:r>
      <w:r w:rsidRPr="0071782F">
        <w:rPr>
          <w:lang w:val="fr-CH"/>
        </w:rPr>
        <w:t>.</w:t>
      </w:r>
    </w:p>
    <w:p w:rsidR="009F7C7F" w:rsidRPr="0071782F" w:rsidRDefault="009F7C7F" w:rsidP="00496C06">
      <w:pPr>
        <w:pStyle w:val="SingleTxtG"/>
        <w:ind w:left="1701"/>
        <w:rPr>
          <w:lang w:val="fr-CH"/>
        </w:rPr>
      </w:pPr>
      <w:r w:rsidRPr="0071782F">
        <w:rPr>
          <w:lang w:val="fr-CH"/>
        </w:rPr>
        <w:t>161.5</w:t>
      </w:r>
      <w:r w:rsidR="00C006BB" w:rsidRPr="0071782F">
        <w:rPr>
          <w:lang w:val="fr-CH"/>
        </w:rPr>
        <w:t>.</w:t>
      </w:r>
      <w:r w:rsidRPr="0071782F">
        <w:rPr>
          <w:lang w:val="fr-CH"/>
        </w:rPr>
        <w:tab/>
      </w:r>
      <w:r w:rsidR="00A448F4" w:rsidRPr="0071782F">
        <w:rPr>
          <w:lang w:val="fr-CH"/>
        </w:rPr>
        <w:t>Les mères qui travaillent auxquelles s’applique le Code du travail bénéficient des dispositions de la section</w:t>
      </w:r>
      <w:r w:rsidR="001B2D36">
        <w:rPr>
          <w:lang w:val="fr-CH"/>
        </w:rPr>
        <w:t> </w:t>
      </w:r>
      <w:r w:rsidR="00A448F4" w:rsidRPr="0071782F">
        <w:rPr>
          <w:lang w:val="fr-CH"/>
        </w:rPr>
        <w:t xml:space="preserve">4 de la loi sur les conditions de travail des femmes qui concernent l’allaitement de leurs enfants, en particulier les </w:t>
      </w:r>
      <w:r w:rsidR="00723F2B" w:rsidRPr="0071782F">
        <w:rPr>
          <w:lang w:val="fr-CH"/>
        </w:rPr>
        <w:t>articles </w:t>
      </w:r>
      <w:r w:rsidRPr="0071782F">
        <w:rPr>
          <w:lang w:val="fr-CH"/>
        </w:rPr>
        <w:t>76</w:t>
      </w:r>
      <w:r w:rsidR="00A448F4" w:rsidRPr="0071782F">
        <w:rPr>
          <w:lang w:val="fr-CH"/>
        </w:rPr>
        <w:t xml:space="preserve"> à </w:t>
      </w:r>
      <w:r w:rsidRPr="0071782F">
        <w:rPr>
          <w:lang w:val="fr-CH"/>
        </w:rPr>
        <w:t>78</w:t>
      </w:r>
      <w:r w:rsidR="00A448F4" w:rsidRPr="0071782F">
        <w:rPr>
          <w:lang w:val="fr-CH"/>
        </w:rPr>
        <w:t>,</w:t>
      </w:r>
      <w:r w:rsidRPr="0071782F">
        <w:rPr>
          <w:lang w:val="fr-CH"/>
        </w:rPr>
        <w:t xml:space="preserve"> </w:t>
      </w:r>
      <w:r w:rsidR="00A448F4" w:rsidRPr="0071782F">
        <w:rPr>
          <w:lang w:val="fr-CH"/>
        </w:rPr>
        <w:t xml:space="preserve">qui traitent du congé de grossesse et de maternité, </w:t>
      </w:r>
      <w:r w:rsidR="001B2D36">
        <w:rPr>
          <w:lang w:val="fr-CH"/>
        </w:rPr>
        <w:t>des heures</w:t>
      </w:r>
      <w:r w:rsidR="00A448F4" w:rsidRPr="0071782F">
        <w:rPr>
          <w:lang w:val="fr-CH"/>
        </w:rPr>
        <w:t xml:space="preserve"> d’allaitement et de l’obligation de l’employeur de fournir des services de garderie à proximité du lieu de travail à l’intention des mères allaitantes. Néanmoins, s’agissant de l’utilisation du congé de maternité, les modifications apportées à la loi sur la promotion de l’allaitement maternel ont été étendues à ce groupe de mères par la directive d’exécution émise par l’Organisme de sécurité sociale.</w:t>
      </w:r>
    </w:p>
    <w:p w:rsidR="009F7C7F" w:rsidRPr="0071782F" w:rsidRDefault="00A448F4" w:rsidP="005B1FE2">
      <w:pPr>
        <w:pStyle w:val="H1G"/>
        <w:rPr>
          <w:lang w:val="fr-CH"/>
        </w:rPr>
      </w:pPr>
      <w:r w:rsidRPr="0071782F">
        <w:rPr>
          <w:lang w:val="fr-CH"/>
        </w:rPr>
        <w:tab/>
      </w:r>
      <w:r w:rsidRPr="0071782F">
        <w:rPr>
          <w:lang w:val="fr-CH"/>
        </w:rPr>
        <w:tab/>
        <w:t xml:space="preserve">Adhésion à la </w:t>
      </w:r>
      <w:r w:rsidR="009F7C7F" w:rsidRPr="0071782F">
        <w:rPr>
          <w:lang w:val="fr-CH"/>
        </w:rPr>
        <w:t xml:space="preserve">Convention </w:t>
      </w:r>
      <w:r w:rsidRPr="0071782F">
        <w:rPr>
          <w:lang w:val="fr-CH"/>
        </w:rPr>
        <w:t>n</w:t>
      </w:r>
      <w:r w:rsidR="005B1FE2" w:rsidRPr="0071782F">
        <w:rPr>
          <w:vertAlign w:val="superscript"/>
          <w:lang w:val="fr-CH"/>
        </w:rPr>
        <w:t>o </w:t>
      </w:r>
      <w:r w:rsidR="009F7C7F" w:rsidRPr="0071782F">
        <w:rPr>
          <w:lang w:val="fr-CH"/>
        </w:rPr>
        <w:t xml:space="preserve">183 </w:t>
      </w:r>
    </w:p>
    <w:p w:rsidR="009F7C7F" w:rsidRPr="0071782F" w:rsidRDefault="009F7C7F" w:rsidP="005B1FE2">
      <w:pPr>
        <w:pStyle w:val="SingleTxtG"/>
        <w:rPr>
          <w:lang w:val="fr-CH"/>
        </w:rPr>
      </w:pPr>
      <w:r w:rsidRPr="0071782F">
        <w:rPr>
          <w:lang w:val="fr-CH"/>
        </w:rPr>
        <w:t>162.</w:t>
      </w:r>
      <w:r w:rsidRPr="0071782F">
        <w:rPr>
          <w:lang w:val="fr-CH"/>
        </w:rPr>
        <w:tab/>
      </w:r>
      <w:r w:rsidR="00BC475F" w:rsidRPr="0071782F">
        <w:rPr>
          <w:lang w:val="fr-CH"/>
        </w:rPr>
        <w:t>Le Conseil des ministres a approuvé l’adhésion de la République islamique d’Iran à la Convention de l’OIT n</w:t>
      </w:r>
      <w:r w:rsidR="005B1FE2" w:rsidRPr="0071782F">
        <w:rPr>
          <w:vertAlign w:val="superscript"/>
          <w:lang w:val="fr-CH"/>
        </w:rPr>
        <w:t>o</w:t>
      </w:r>
      <w:r w:rsidR="005B1FE2" w:rsidRPr="00A5752C">
        <w:rPr>
          <w:lang w:val="fr-CH"/>
        </w:rPr>
        <w:t> </w:t>
      </w:r>
      <w:r w:rsidR="00BC475F" w:rsidRPr="0071782F">
        <w:rPr>
          <w:lang w:val="fr-CH"/>
        </w:rPr>
        <w:t>183 sur la protection de la maternité, qui a été soumi</w:t>
      </w:r>
      <w:r w:rsidR="00745040" w:rsidRPr="0071782F">
        <w:rPr>
          <w:lang w:val="fr-CH"/>
        </w:rPr>
        <w:t>s</w:t>
      </w:r>
      <w:r w:rsidR="00BC475F" w:rsidRPr="0071782F">
        <w:rPr>
          <w:lang w:val="fr-CH"/>
        </w:rPr>
        <w:t>e à l’Assemblée c</w:t>
      </w:r>
      <w:r w:rsidRPr="0071782F">
        <w:rPr>
          <w:lang w:val="fr-CH"/>
        </w:rPr>
        <w:t xml:space="preserve">onsultative </w:t>
      </w:r>
      <w:r w:rsidR="00BC475F" w:rsidRPr="0071782F">
        <w:rPr>
          <w:lang w:val="fr-CH"/>
        </w:rPr>
        <w:t xml:space="preserve">islamique pour </w:t>
      </w:r>
      <w:r w:rsidRPr="0071782F">
        <w:rPr>
          <w:lang w:val="fr-CH"/>
        </w:rPr>
        <w:t xml:space="preserve">ratification. </w:t>
      </w:r>
    </w:p>
    <w:p w:rsidR="009F7C7F" w:rsidRPr="0071782F" w:rsidRDefault="009F7C7F" w:rsidP="00496C06">
      <w:pPr>
        <w:pStyle w:val="H1G"/>
        <w:rPr>
          <w:lang w:val="fr-CH"/>
        </w:rPr>
      </w:pPr>
      <w:r w:rsidRPr="0071782F">
        <w:rPr>
          <w:lang w:val="fr-CH"/>
        </w:rPr>
        <w:tab/>
      </w:r>
      <w:r w:rsidRPr="0071782F">
        <w:rPr>
          <w:lang w:val="fr-CH"/>
        </w:rPr>
        <w:tab/>
      </w:r>
      <w:r w:rsidR="00BC475F" w:rsidRPr="0071782F">
        <w:rPr>
          <w:lang w:val="fr-CH"/>
        </w:rPr>
        <w:t xml:space="preserve">Appui aux enfants </w:t>
      </w:r>
    </w:p>
    <w:p w:rsidR="009F7C7F" w:rsidRPr="0071782F" w:rsidRDefault="009F7C7F" w:rsidP="00496C06">
      <w:pPr>
        <w:pStyle w:val="SingleTxtG"/>
        <w:rPr>
          <w:lang w:val="fr-CH"/>
        </w:rPr>
      </w:pPr>
      <w:r w:rsidRPr="0071782F">
        <w:rPr>
          <w:lang w:val="fr-CH"/>
        </w:rPr>
        <w:t>163.</w:t>
      </w:r>
      <w:r w:rsidRPr="0071782F">
        <w:rPr>
          <w:lang w:val="fr-CH"/>
        </w:rPr>
        <w:tab/>
      </w:r>
      <w:r w:rsidR="00BC475F" w:rsidRPr="0071782F">
        <w:rPr>
          <w:lang w:val="fr-CH"/>
        </w:rPr>
        <w:t>La s</w:t>
      </w:r>
      <w:r w:rsidRPr="0071782F">
        <w:rPr>
          <w:lang w:val="fr-CH"/>
        </w:rPr>
        <w:t xml:space="preserve">ection 5 </w:t>
      </w:r>
      <w:r w:rsidR="00BC475F" w:rsidRPr="0071782F">
        <w:rPr>
          <w:lang w:val="fr-CH"/>
        </w:rPr>
        <w:t xml:space="preserve">du chapitre </w:t>
      </w:r>
      <w:r w:rsidRPr="0071782F">
        <w:rPr>
          <w:lang w:val="fr-CH"/>
        </w:rPr>
        <w:t xml:space="preserve">3 </w:t>
      </w:r>
      <w:r w:rsidR="00BC475F" w:rsidRPr="0071782F">
        <w:rPr>
          <w:lang w:val="fr-CH"/>
        </w:rPr>
        <w:t>du Code du travail prévoit l’interdiction d’employer des enfants âgés de moins de 15</w:t>
      </w:r>
      <w:r w:rsidR="00D82C96" w:rsidRPr="0071782F">
        <w:rPr>
          <w:lang w:val="fr-CH"/>
        </w:rPr>
        <w:t> ans</w:t>
      </w:r>
      <w:r w:rsidR="00BC475F" w:rsidRPr="0071782F">
        <w:rPr>
          <w:lang w:val="fr-CH"/>
        </w:rPr>
        <w:t xml:space="preserve"> et les conditions dans lesquelles il est possible de recruter </w:t>
      </w:r>
      <w:r w:rsidR="007F37CE" w:rsidRPr="0071782F">
        <w:rPr>
          <w:lang w:val="fr-CH"/>
        </w:rPr>
        <w:t>des personnes</w:t>
      </w:r>
      <w:r w:rsidR="00BC475F" w:rsidRPr="0071782F">
        <w:rPr>
          <w:lang w:val="fr-CH"/>
        </w:rPr>
        <w:t xml:space="preserve"> âgées de 15 à 18</w:t>
      </w:r>
      <w:r w:rsidR="00D82C96" w:rsidRPr="0071782F">
        <w:rPr>
          <w:lang w:val="fr-CH"/>
        </w:rPr>
        <w:t> ans</w:t>
      </w:r>
      <w:r w:rsidR="00BC475F" w:rsidRPr="0071782F">
        <w:rPr>
          <w:lang w:val="fr-CH"/>
        </w:rPr>
        <w:t>, appelées travailleurs adolescents. Ces derniers doivent</w:t>
      </w:r>
      <w:r w:rsidR="00D36718">
        <w:rPr>
          <w:lang w:val="fr-CH"/>
        </w:rPr>
        <w:t xml:space="preserve"> </w:t>
      </w:r>
      <w:r w:rsidR="00BC475F" w:rsidRPr="0071782F">
        <w:rPr>
          <w:lang w:val="fr-CH"/>
        </w:rPr>
        <w:t>passer les examens médicaux nécessaires à l’Organisme de sécurité sociale et obtenir l’autorisation du médecin qui les examine pour déterminer si le poste de travail est adapté à leur condition physique; si tel n’est pas le cas, l’employeur doit affecter ces travailleurs adolescents à d’autres tâches. Par ailleurs, ces derniers doivent accomplir une demi-heure de moins de travail par jour que les adultes</w:t>
      </w:r>
      <w:r w:rsidRPr="0071782F">
        <w:rPr>
          <w:lang w:val="fr-CH"/>
        </w:rPr>
        <w:t xml:space="preserve">. </w:t>
      </w:r>
      <w:r w:rsidR="00BC475F" w:rsidRPr="0071782F">
        <w:rPr>
          <w:lang w:val="fr-CH"/>
        </w:rPr>
        <w:t>De plus, il est interdit de confier à des adolescents des travaux extraordinaires ou de nuit, ou des travaux pénibles, difficiles ou dangereux, et de leur demander de transporter à la main des charges dépassant les limites autorisées. L’âge minimal légal pour accomplir des travaux pouvant être dom</w:t>
      </w:r>
      <w:r w:rsidR="00DD79C1" w:rsidRPr="0071782F">
        <w:rPr>
          <w:lang w:val="fr-CH"/>
        </w:rPr>
        <w:t>m</w:t>
      </w:r>
      <w:r w:rsidR="00BC475F" w:rsidRPr="0071782F">
        <w:rPr>
          <w:lang w:val="fr-CH"/>
        </w:rPr>
        <w:t>age</w:t>
      </w:r>
      <w:r w:rsidR="00DD79C1" w:rsidRPr="0071782F">
        <w:rPr>
          <w:lang w:val="fr-CH"/>
        </w:rPr>
        <w:t>able</w:t>
      </w:r>
      <w:r w:rsidR="00BC475F" w:rsidRPr="0071782F">
        <w:rPr>
          <w:lang w:val="fr-CH"/>
        </w:rPr>
        <w:t>s pour la santé ou la moralité des travailleurs adolescents est de 18</w:t>
      </w:r>
      <w:r w:rsidR="00D82C96" w:rsidRPr="0071782F">
        <w:rPr>
          <w:lang w:val="fr-CH"/>
        </w:rPr>
        <w:t> ans</w:t>
      </w:r>
      <w:r w:rsidR="00BC475F" w:rsidRPr="0071782F">
        <w:rPr>
          <w:lang w:val="fr-CH"/>
        </w:rPr>
        <w:t>.</w:t>
      </w:r>
    </w:p>
    <w:p w:rsidR="009F7C7F" w:rsidRPr="0071782F" w:rsidRDefault="009F7C7F" w:rsidP="00496C06">
      <w:pPr>
        <w:pStyle w:val="H1G"/>
        <w:rPr>
          <w:lang w:val="fr-CH"/>
        </w:rPr>
      </w:pPr>
      <w:r w:rsidRPr="0071782F">
        <w:rPr>
          <w:lang w:val="fr-CH"/>
        </w:rPr>
        <w:tab/>
      </w:r>
      <w:r w:rsidRPr="0071782F">
        <w:rPr>
          <w:lang w:val="fr-CH"/>
        </w:rPr>
        <w:tab/>
      </w:r>
      <w:r w:rsidR="003D7BF9" w:rsidRPr="0071782F">
        <w:rPr>
          <w:lang w:val="fr-CH"/>
        </w:rPr>
        <w:t xml:space="preserve">Mesures adoptées pour protéger les enfants depuis la Révolution islamique </w:t>
      </w:r>
    </w:p>
    <w:p w:rsidR="009F7C7F" w:rsidRPr="0071782F" w:rsidRDefault="009F7C7F" w:rsidP="00496C06">
      <w:pPr>
        <w:pStyle w:val="H23G"/>
        <w:rPr>
          <w:lang w:val="fr-CH"/>
        </w:rPr>
      </w:pPr>
      <w:r w:rsidRPr="0071782F">
        <w:rPr>
          <w:lang w:val="fr-CH"/>
        </w:rPr>
        <w:tab/>
      </w:r>
      <w:r w:rsidRPr="0071782F">
        <w:rPr>
          <w:lang w:val="fr-CH"/>
        </w:rPr>
        <w:tab/>
      </w:r>
      <w:r w:rsidR="003D7BF9" w:rsidRPr="0071782F">
        <w:rPr>
          <w:lang w:val="fr-CH"/>
        </w:rPr>
        <w:t xml:space="preserve">Création de l’Organisme public de protection sociale </w:t>
      </w:r>
    </w:p>
    <w:p w:rsidR="009F7C7F" w:rsidRPr="0071782F" w:rsidRDefault="009F7C7F" w:rsidP="00496C06">
      <w:pPr>
        <w:pStyle w:val="SingleTxtG"/>
        <w:rPr>
          <w:lang w:val="fr-CH"/>
        </w:rPr>
      </w:pPr>
      <w:r w:rsidRPr="0071782F">
        <w:rPr>
          <w:lang w:val="fr-CH"/>
        </w:rPr>
        <w:t>164.</w:t>
      </w:r>
      <w:r w:rsidRPr="0071782F">
        <w:rPr>
          <w:lang w:val="fr-CH"/>
        </w:rPr>
        <w:tab/>
      </w:r>
      <w:r w:rsidR="00DE1026" w:rsidRPr="0071782F">
        <w:rPr>
          <w:lang w:val="fr-CH"/>
        </w:rPr>
        <w:t>L’Organisme public de protection sociale a été créé en 1980 sur la base d’un projet de loi adopté par le Conseil de la Révolution. Ses objectifs sont les suivants</w:t>
      </w:r>
      <w:r w:rsidR="008F7D33" w:rsidRPr="0071782F">
        <w:rPr>
          <w:lang w:val="fr-CH"/>
        </w:rPr>
        <w:t>:</w:t>
      </w:r>
      <w:r w:rsidR="00DE1026" w:rsidRPr="0071782F">
        <w:rPr>
          <w:lang w:val="fr-CH"/>
        </w:rPr>
        <w:t xml:space="preserve"> donner concrètement effet aux dispositions des </w:t>
      </w:r>
      <w:r w:rsidR="00723F2B" w:rsidRPr="0071782F">
        <w:rPr>
          <w:lang w:val="fr-CH"/>
        </w:rPr>
        <w:t>articles </w:t>
      </w:r>
      <w:r w:rsidRPr="0071782F">
        <w:rPr>
          <w:lang w:val="fr-CH"/>
        </w:rPr>
        <w:t xml:space="preserve">21 </w:t>
      </w:r>
      <w:r w:rsidR="00DE1026" w:rsidRPr="0071782F">
        <w:rPr>
          <w:lang w:val="fr-CH"/>
        </w:rPr>
        <w:t>et</w:t>
      </w:r>
      <w:r w:rsidRPr="0071782F">
        <w:rPr>
          <w:lang w:val="fr-CH"/>
        </w:rPr>
        <w:t xml:space="preserve"> 29 </w:t>
      </w:r>
      <w:r w:rsidR="00DE1026" w:rsidRPr="0071782F">
        <w:rPr>
          <w:lang w:val="fr-CH"/>
        </w:rPr>
        <w:t xml:space="preserve">de la </w:t>
      </w:r>
      <w:r w:rsidRPr="0071782F">
        <w:rPr>
          <w:lang w:val="fr-CH"/>
        </w:rPr>
        <w:t>Constitution</w:t>
      </w:r>
      <w:r w:rsidR="00DE1026" w:rsidRPr="0071782F">
        <w:rPr>
          <w:lang w:val="fr-CH"/>
        </w:rPr>
        <w:t xml:space="preserve"> et faciliter la planification</w:t>
      </w:r>
      <w:r w:rsidRPr="0071782F">
        <w:rPr>
          <w:lang w:val="fr-CH"/>
        </w:rPr>
        <w:t xml:space="preserve">, </w:t>
      </w:r>
      <w:r w:rsidR="00DE1026" w:rsidRPr="0071782F">
        <w:rPr>
          <w:lang w:val="fr-CH"/>
        </w:rPr>
        <w:t xml:space="preserve">la </w:t>
      </w:r>
      <w:r w:rsidRPr="0071782F">
        <w:rPr>
          <w:lang w:val="fr-CH"/>
        </w:rPr>
        <w:t xml:space="preserve">coordination, </w:t>
      </w:r>
      <w:r w:rsidR="00DE1026" w:rsidRPr="0071782F">
        <w:rPr>
          <w:lang w:val="fr-CH"/>
        </w:rPr>
        <w:t>le suivi et l’é</w:t>
      </w:r>
      <w:r w:rsidRPr="0071782F">
        <w:rPr>
          <w:lang w:val="fr-CH"/>
        </w:rPr>
        <w:t xml:space="preserve">valuation </w:t>
      </w:r>
      <w:r w:rsidR="00DE1026" w:rsidRPr="0071782F">
        <w:rPr>
          <w:lang w:val="fr-CH"/>
        </w:rPr>
        <w:t xml:space="preserve">des </w:t>
      </w:r>
      <w:r w:rsidRPr="0071782F">
        <w:rPr>
          <w:lang w:val="fr-CH"/>
        </w:rPr>
        <w:t>activit</w:t>
      </w:r>
      <w:r w:rsidR="00DE1026" w:rsidRPr="0071782F">
        <w:rPr>
          <w:lang w:val="fr-CH"/>
        </w:rPr>
        <w:t>é</w:t>
      </w:r>
      <w:r w:rsidRPr="0071782F">
        <w:rPr>
          <w:lang w:val="fr-CH"/>
        </w:rPr>
        <w:t xml:space="preserve">s </w:t>
      </w:r>
      <w:r w:rsidR="00DE1026" w:rsidRPr="0071782F">
        <w:rPr>
          <w:lang w:val="fr-CH"/>
        </w:rPr>
        <w:t xml:space="preserve">à mener pour appuyer </w:t>
      </w:r>
      <w:r w:rsidR="00DA097D" w:rsidRPr="0071782F">
        <w:rPr>
          <w:lang w:val="fr-CH"/>
        </w:rPr>
        <w:t>les familles</w:t>
      </w:r>
      <w:r w:rsidR="00DE1026" w:rsidRPr="0071782F">
        <w:rPr>
          <w:lang w:val="fr-CH"/>
        </w:rPr>
        <w:t xml:space="preserve"> pauvres et </w:t>
      </w:r>
      <w:r w:rsidR="00DA097D" w:rsidRPr="0071782F">
        <w:rPr>
          <w:lang w:val="fr-CH"/>
        </w:rPr>
        <w:t>les familles</w:t>
      </w:r>
      <w:r w:rsidR="00DE1026" w:rsidRPr="0071782F">
        <w:rPr>
          <w:lang w:val="fr-CH"/>
        </w:rPr>
        <w:t xml:space="preserve"> sans tuteur, fournir différents </w:t>
      </w:r>
      <w:r w:rsidRPr="0071782F">
        <w:rPr>
          <w:lang w:val="fr-CH"/>
        </w:rPr>
        <w:t xml:space="preserve">services </w:t>
      </w:r>
      <w:r w:rsidR="00DE1026" w:rsidRPr="0071782F">
        <w:rPr>
          <w:lang w:val="fr-CH"/>
        </w:rPr>
        <w:t>aux enfants appartenant à ces</w:t>
      </w:r>
      <w:r w:rsidR="007F37CE" w:rsidRPr="0071782F">
        <w:rPr>
          <w:lang w:val="fr-CH"/>
        </w:rPr>
        <w:t> famille</w:t>
      </w:r>
      <w:r w:rsidR="00DE1026" w:rsidRPr="0071782F">
        <w:rPr>
          <w:lang w:val="fr-CH"/>
        </w:rPr>
        <w:t>s et prévenir tout handicap parmi eux</w:t>
      </w:r>
      <w:r w:rsidRPr="0071782F">
        <w:rPr>
          <w:lang w:val="fr-CH"/>
        </w:rPr>
        <w:t xml:space="preserve">, </w:t>
      </w:r>
      <w:r w:rsidR="00DE1026" w:rsidRPr="0071782F">
        <w:rPr>
          <w:lang w:val="fr-CH"/>
        </w:rPr>
        <w:t>prendre les mesures nécessaires pour rééduquer les enfants impliqués dans des activités délictueuses</w:t>
      </w:r>
      <w:r w:rsidRPr="0071782F">
        <w:rPr>
          <w:lang w:val="fr-CH"/>
        </w:rPr>
        <w:t xml:space="preserve">, </w:t>
      </w:r>
      <w:r w:rsidR="00DE1026" w:rsidRPr="0071782F">
        <w:rPr>
          <w:lang w:val="fr-CH"/>
        </w:rPr>
        <w:t>prendre en charge les enfants sans tuteur et les enfants handicapés, et mobiliser et appuyer les groupes bénévoles et les organisations non gouvernementales actives dans ces secteurs</w:t>
      </w:r>
      <w:r w:rsidRPr="0071782F">
        <w:rPr>
          <w:lang w:val="fr-CH"/>
        </w:rPr>
        <w:t xml:space="preserve">. </w:t>
      </w:r>
    </w:p>
    <w:p w:rsidR="009F7C7F" w:rsidRPr="0071782F" w:rsidRDefault="009F7C7F" w:rsidP="00496C06">
      <w:pPr>
        <w:pStyle w:val="SingleTxtG"/>
        <w:ind w:left="1701"/>
        <w:rPr>
          <w:lang w:val="fr-CH"/>
        </w:rPr>
      </w:pPr>
      <w:r w:rsidRPr="0071782F">
        <w:rPr>
          <w:lang w:val="fr-CH"/>
        </w:rPr>
        <w:t>164.1</w:t>
      </w:r>
      <w:r w:rsidR="00C006BB" w:rsidRPr="0071782F">
        <w:rPr>
          <w:lang w:val="fr-CH"/>
        </w:rPr>
        <w:t>.</w:t>
      </w:r>
      <w:r w:rsidRPr="0071782F">
        <w:rPr>
          <w:lang w:val="fr-CH"/>
        </w:rPr>
        <w:tab/>
      </w:r>
      <w:r w:rsidR="00DE1026" w:rsidRPr="0071782F">
        <w:rPr>
          <w:lang w:val="fr-CH"/>
        </w:rPr>
        <w:t xml:space="preserve">En vertu de la </w:t>
      </w:r>
      <w:r w:rsidRPr="0071782F">
        <w:rPr>
          <w:lang w:val="fr-CH"/>
        </w:rPr>
        <w:t xml:space="preserve">directive </w:t>
      </w:r>
      <w:r w:rsidR="00DE1026" w:rsidRPr="0071782F">
        <w:rPr>
          <w:lang w:val="fr-CH"/>
        </w:rPr>
        <w:t>n</w:t>
      </w:r>
      <w:r w:rsidR="001F3F05" w:rsidRPr="0071782F">
        <w:rPr>
          <w:vertAlign w:val="superscript"/>
          <w:lang w:val="fr-CH"/>
        </w:rPr>
        <w:t>o</w:t>
      </w:r>
      <w:r w:rsidR="001F3F05" w:rsidRPr="0071782F">
        <w:rPr>
          <w:lang w:val="fr-CH"/>
        </w:rPr>
        <w:t> </w:t>
      </w:r>
      <w:r w:rsidRPr="0071782F">
        <w:rPr>
          <w:lang w:val="fr-CH"/>
        </w:rPr>
        <w:t xml:space="preserve">14549-D26549 (1995) </w:t>
      </w:r>
      <w:r w:rsidR="00DE1026" w:rsidRPr="0071782F">
        <w:rPr>
          <w:lang w:val="fr-CH"/>
        </w:rPr>
        <w:t>du Conseil des ministres sur la loi faisant bénéficier de la sécurité sociale les femmes et les enfants sans tuteur</w:t>
      </w:r>
      <w:r w:rsidRPr="0071782F">
        <w:rPr>
          <w:lang w:val="fr-CH"/>
        </w:rPr>
        <w:t xml:space="preserve">, </w:t>
      </w:r>
      <w:r w:rsidR="00DE1026" w:rsidRPr="0071782F">
        <w:rPr>
          <w:lang w:val="fr-CH"/>
        </w:rPr>
        <w:t>l’Organisme public de protection sociale est tenu d’organiser et d’employer toutes les ressources et capacités à sa disposition pour fournir des services de qualité aux groupes cibles en faisant respecter leur dignité d’êtres humains.</w:t>
      </w:r>
      <w:r w:rsidRPr="0071782F">
        <w:rPr>
          <w:lang w:val="fr-CH"/>
        </w:rPr>
        <w:t xml:space="preserve"> </w:t>
      </w:r>
      <w:r w:rsidR="00DE1026" w:rsidRPr="0071782F">
        <w:rPr>
          <w:lang w:val="fr-CH"/>
        </w:rPr>
        <w:t>Cette loi couvre également les veuves, les autres femmes et filles sans tuteur, les enfants et les femmes âgées.</w:t>
      </w:r>
      <w:r w:rsidRPr="0071782F">
        <w:rPr>
          <w:lang w:val="fr-CH"/>
        </w:rPr>
        <w:t xml:space="preserve"> </w:t>
      </w:r>
    </w:p>
    <w:p w:rsidR="009F7C7F" w:rsidRPr="0071782F" w:rsidRDefault="009F7C7F" w:rsidP="00496C06">
      <w:pPr>
        <w:pStyle w:val="H1G"/>
        <w:rPr>
          <w:lang w:val="fr-CH"/>
        </w:rPr>
      </w:pPr>
      <w:r w:rsidRPr="0071782F">
        <w:rPr>
          <w:lang w:val="fr-CH"/>
        </w:rPr>
        <w:tab/>
      </w:r>
      <w:r w:rsidRPr="0071782F">
        <w:rPr>
          <w:lang w:val="fr-CH"/>
        </w:rPr>
        <w:tab/>
      </w:r>
      <w:r w:rsidR="00DE1026" w:rsidRPr="0071782F">
        <w:rPr>
          <w:lang w:val="fr-CH"/>
        </w:rPr>
        <w:t xml:space="preserve">Appui aux enfants sans tuteur </w:t>
      </w:r>
    </w:p>
    <w:p w:rsidR="009F7C7F" w:rsidRPr="0071782F" w:rsidRDefault="009F7C7F" w:rsidP="00496C06">
      <w:pPr>
        <w:pStyle w:val="SingleTxtG"/>
        <w:rPr>
          <w:lang w:val="fr-CH"/>
        </w:rPr>
      </w:pPr>
      <w:r w:rsidRPr="0071782F">
        <w:rPr>
          <w:lang w:val="fr-CH"/>
        </w:rPr>
        <w:t>165.</w:t>
      </w:r>
      <w:r w:rsidRPr="0071782F">
        <w:rPr>
          <w:lang w:val="fr-CH"/>
        </w:rPr>
        <w:tab/>
      </w:r>
      <w:r w:rsidR="004C50C0" w:rsidRPr="0071782F">
        <w:rPr>
          <w:lang w:val="fr-CH"/>
        </w:rPr>
        <w:t xml:space="preserve">En août 2008, l’Organisme public de protection sociale a créé en son sein le Bureau des affaires parafamiliales pour élargir les mécanismes d’appui aux enfants sans tuteur, régler les problèmes de pratiques, de </w:t>
      </w:r>
      <w:r w:rsidRPr="0071782F">
        <w:rPr>
          <w:lang w:val="fr-CH"/>
        </w:rPr>
        <w:t xml:space="preserve">structures, </w:t>
      </w:r>
      <w:r w:rsidR="004C50C0" w:rsidRPr="0071782F">
        <w:rPr>
          <w:lang w:val="fr-CH"/>
        </w:rPr>
        <w:t xml:space="preserve">de </w:t>
      </w:r>
      <w:r w:rsidRPr="0071782F">
        <w:rPr>
          <w:lang w:val="fr-CH"/>
        </w:rPr>
        <w:t>poli</w:t>
      </w:r>
      <w:r w:rsidR="004C50C0" w:rsidRPr="0071782F">
        <w:rPr>
          <w:lang w:val="fr-CH"/>
        </w:rPr>
        <w:t xml:space="preserve">tiques et de prestation, et affecter des crédits et des ressources humaines à cet effet. Les </w:t>
      </w:r>
      <w:r w:rsidRPr="0071782F">
        <w:rPr>
          <w:lang w:val="fr-CH"/>
        </w:rPr>
        <w:t>plans, activit</w:t>
      </w:r>
      <w:r w:rsidR="004C50C0" w:rsidRPr="0071782F">
        <w:rPr>
          <w:lang w:val="fr-CH"/>
        </w:rPr>
        <w:t>é</w:t>
      </w:r>
      <w:r w:rsidRPr="0071782F">
        <w:rPr>
          <w:lang w:val="fr-CH"/>
        </w:rPr>
        <w:t xml:space="preserve">s </w:t>
      </w:r>
      <w:r w:rsidR="004C50C0" w:rsidRPr="0071782F">
        <w:rPr>
          <w:lang w:val="fr-CH"/>
        </w:rPr>
        <w:t>et mesures de ce Bureau sont présentés ci-après.</w:t>
      </w:r>
    </w:p>
    <w:p w:rsidR="009F7C7F" w:rsidRPr="0071782F" w:rsidRDefault="009F7C7F" w:rsidP="00496C06">
      <w:pPr>
        <w:pStyle w:val="H1G"/>
        <w:rPr>
          <w:lang w:val="fr-CH"/>
        </w:rPr>
      </w:pPr>
      <w:r w:rsidRPr="0071782F">
        <w:rPr>
          <w:lang w:val="fr-CH"/>
        </w:rPr>
        <w:tab/>
      </w:r>
      <w:r w:rsidRPr="0071782F">
        <w:rPr>
          <w:lang w:val="fr-CH"/>
        </w:rPr>
        <w:tab/>
        <w:t xml:space="preserve">Plan </w:t>
      </w:r>
      <w:r w:rsidR="004C50C0" w:rsidRPr="0071782F">
        <w:rPr>
          <w:lang w:val="fr-CH"/>
        </w:rPr>
        <w:t>de réduction et de régulation des activités des centres de soins publics et privés ouverts 24</w:t>
      </w:r>
      <w:r w:rsidR="00BF435F" w:rsidRPr="0071782F">
        <w:rPr>
          <w:lang w:val="fr-CH"/>
        </w:rPr>
        <w:t> heures</w:t>
      </w:r>
      <w:r w:rsidR="004C50C0" w:rsidRPr="0071782F">
        <w:rPr>
          <w:lang w:val="fr-CH"/>
        </w:rPr>
        <w:t xml:space="preserve"> sur 24 </w:t>
      </w:r>
    </w:p>
    <w:p w:rsidR="009F7C7F" w:rsidRPr="0071782F" w:rsidRDefault="009F7C7F" w:rsidP="00496C06">
      <w:pPr>
        <w:pStyle w:val="SingleTxtG"/>
        <w:rPr>
          <w:lang w:val="fr-CH"/>
        </w:rPr>
      </w:pPr>
      <w:r w:rsidRPr="0071782F">
        <w:rPr>
          <w:lang w:val="fr-CH"/>
        </w:rPr>
        <w:t>166.</w:t>
      </w:r>
      <w:r w:rsidRPr="0071782F">
        <w:rPr>
          <w:lang w:val="fr-CH"/>
        </w:rPr>
        <w:tab/>
      </w:r>
      <w:r w:rsidR="004C50C0" w:rsidRPr="0071782F">
        <w:rPr>
          <w:lang w:val="fr-CH"/>
        </w:rPr>
        <w:t xml:space="preserve">Étant donné que la vie dans les établissements et camps de ce type est l’une des principales causes des préjudices sociaux, la politique de réduction </w:t>
      </w:r>
      <w:r w:rsidR="00745040" w:rsidRPr="0071782F">
        <w:rPr>
          <w:lang w:val="fr-CH"/>
        </w:rPr>
        <w:t>du nombre</w:t>
      </w:r>
      <w:r w:rsidR="004C50C0" w:rsidRPr="0071782F">
        <w:rPr>
          <w:lang w:val="fr-CH"/>
        </w:rPr>
        <w:t xml:space="preserve"> </w:t>
      </w:r>
      <w:r w:rsidR="00745040" w:rsidRPr="0071782F">
        <w:rPr>
          <w:lang w:val="fr-CH"/>
        </w:rPr>
        <w:t xml:space="preserve">de ces institutions </w:t>
      </w:r>
      <w:r w:rsidR="004C50C0" w:rsidRPr="0071782F">
        <w:rPr>
          <w:lang w:val="fr-CH"/>
        </w:rPr>
        <w:t>est devenue prioritaire pour les programmes parafamiliaux. Ce plan vise notamment à réduire la taille des centres de soins et d’ouvrir des centre</w:t>
      </w:r>
      <w:r w:rsidR="00745040" w:rsidRPr="0071782F">
        <w:rPr>
          <w:lang w:val="fr-CH"/>
        </w:rPr>
        <w:t>s</w:t>
      </w:r>
      <w:r w:rsidR="004C50C0" w:rsidRPr="0071782F">
        <w:rPr>
          <w:lang w:val="fr-CH"/>
        </w:rPr>
        <w:t xml:space="preserve"> professionnels dont la structure est inspirée de celle d’</w:t>
      </w:r>
      <w:r w:rsidR="001F3F05" w:rsidRPr="0071782F">
        <w:rPr>
          <w:lang w:val="fr-CH"/>
        </w:rPr>
        <w:t>une famille</w:t>
      </w:r>
      <w:r w:rsidRPr="0071782F">
        <w:rPr>
          <w:lang w:val="fr-CH"/>
        </w:rPr>
        <w:t xml:space="preserve">. </w:t>
      </w:r>
      <w:r w:rsidR="004C50C0" w:rsidRPr="0071782F">
        <w:rPr>
          <w:lang w:val="fr-CH"/>
        </w:rPr>
        <w:t>Ce plan a obtenu les résultats suivants</w:t>
      </w:r>
      <w:r w:rsidR="008F7D33" w:rsidRPr="0071782F">
        <w:rPr>
          <w:lang w:val="fr-CH"/>
        </w:rPr>
        <w:t>:</w:t>
      </w:r>
      <w:r w:rsidRPr="0071782F">
        <w:rPr>
          <w:lang w:val="fr-CH"/>
        </w:rPr>
        <w:t xml:space="preserve"> </w:t>
      </w:r>
    </w:p>
    <w:p w:rsidR="009F7C7F" w:rsidRPr="0071782F" w:rsidRDefault="009F7C7F" w:rsidP="00496C06">
      <w:pPr>
        <w:pStyle w:val="SingleTxtG"/>
        <w:ind w:left="1701"/>
        <w:rPr>
          <w:lang w:val="fr-CH"/>
        </w:rPr>
      </w:pPr>
      <w:r w:rsidRPr="0071782F">
        <w:rPr>
          <w:lang w:val="fr-CH"/>
        </w:rPr>
        <w:t>166.1</w:t>
      </w:r>
      <w:r w:rsidR="00C006BB" w:rsidRPr="0071782F">
        <w:rPr>
          <w:lang w:val="fr-CH"/>
        </w:rPr>
        <w:t>.</w:t>
      </w:r>
      <w:r w:rsidRPr="0071782F">
        <w:rPr>
          <w:lang w:val="fr-CH"/>
        </w:rPr>
        <w:tab/>
        <w:t>R</w:t>
      </w:r>
      <w:r w:rsidR="004C50C0" w:rsidRPr="0071782F">
        <w:rPr>
          <w:lang w:val="fr-CH"/>
        </w:rPr>
        <w:t>é</w:t>
      </w:r>
      <w:r w:rsidRPr="0071782F">
        <w:rPr>
          <w:lang w:val="fr-CH"/>
        </w:rPr>
        <w:t xml:space="preserve">duction </w:t>
      </w:r>
      <w:r w:rsidR="004C50C0" w:rsidRPr="0071782F">
        <w:rPr>
          <w:lang w:val="fr-CH"/>
        </w:rPr>
        <w:t xml:space="preserve">de la taille des centres de prise en charge des enfants (tant les centres publics que ceux qui sont gérés par un conseil d’administration) et du </w:t>
      </w:r>
      <w:r w:rsidR="003B48A4" w:rsidRPr="0071782F">
        <w:rPr>
          <w:lang w:val="fr-CH"/>
        </w:rPr>
        <w:t>nombre</w:t>
      </w:r>
      <w:r w:rsidRPr="0071782F">
        <w:rPr>
          <w:lang w:val="fr-CH"/>
        </w:rPr>
        <w:t xml:space="preserve"> </w:t>
      </w:r>
      <w:r w:rsidR="004C50C0" w:rsidRPr="0071782F">
        <w:rPr>
          <w:lang w:val="fr-CH"/>
        </w:rPr>
        <w:t>d’enfants qui y sont hébergés</w:t>
      </w:r>
      <w:r w:rsidRPr="0071782F">
        <w:rPr>
          <w:lang w:val="fr-CH"/>
        </w:rPr>
        <w:t>.</w:t>
      </w:r>
    </w:p>
    <w:p w:rsidR="009F7C7F" w:rsidRPr="0071782F" w:rsidRDefault="009F7C7F" w:rsidP="00496C06">
      <w:pPr>
        <w:pStyle w:val="SingleTxtG"/>
        <w:ind w:left="1701"/>
        <w:rPr>
          <w:lang w:val="fr-CH"/>
        </w:rPr>
      </w:pPr>
      <w:r w:rsidRPr="0071782F">
        <w:rPr>
          <w:lang w:val="fr-CH"/>
        </w:rPr>
        <w:t>166.2</w:t>
      </w:r>
      <w:r w:rsidR="00C006BB" w:rsidRPr="0071782F">
        <w:rPr>
          <w:lang w:val="fr-CH"/>
        </w:rPr>
        <w:t>.</w:t>
      </w:r>
      <w:r w:rsidRPr="0071782F">
        <w:rPr>
          <w:lang w:val="fr-CH"/>
        </w:rPr>
        <w:tab/>
      </w:r>
      <w:r w:rsidR="004C50C0" w:rsidRPr="0071782F">
        <w:rPr>
          <w:lang w:val="fr-CH"/>
        </w:rPr>
        <w:t xml:space="preserve">Accroissement du </w:t>
      </w:r>
      <w:r w:rsidR="003B48A4" w:rsidRPr="0071782F">
        <w:rPr>
          <w:lang w:val="fr-CH"/>
        </w:rPr>
        <w:t>nombre</w:t>
      </w:r>
      <w:r w:rsidRPr="0071782F">
        <w:rPr>
          <w:lang w:val="fr-CH"/>
        </w:rPr>
        <w:t xml:space="preserve"> </w:t>
      </w:r>
      <w:r w:rsidR="004C50C0" w:rsidRPr="0071782F">
        <w:rPr>
          <w:lang w:val="fr-CH"/>
        </w:rPr>
        <w:t>des centres de prise en charge des enfants gérés par un conseil d’administration</w:t>
      </w:r>
      <w:r w:rsidRPr="0071782F">
        <w:rPr>
          <w:lang w:val="fr-CH"/>
        </w:rPr>
        <w:t>.</w:t>
      </w:r>
    </w:p>
    <w:p w:rsidR="009F7C7F" w:rsidRPr="0071782F" w:rsidRDefault="009F7C7F" w:rsidP="00496C06">
      <w:pPr>
        <w:pStyle w:val="SingleTxtG"/>
        <w:ind w:left="1701"/>
        <w:rPr>
          <w:lang w:val="fr-CH"/>
        </w:rPr>
      </w:pPr>
      <w:r w:rsidRPr="0071782F">
        <w:rPr>
          <w:lang w:val="fr-CH"/>
        </w:rPr>
        <w:t>166.3</w:t>
      </w:r>
      <w:r w:rsidR="00C006BB" w:rsidRPr="0071782F">
        <w:rPr>
          <w:lang w:val="fr-CH"/>
        </w:rPr>
        <w:t>.</w:t>
      </w:r>
      <w:r w:rsidRPr="0071782F">
        <w:rPr>
          <w:lang w:val="fr-CH"/>
        </w:rPr>
        <w:tab/>
        <w:t xml:space="preserve">Promotion </w:t>
      </w:r>
      <w:r w:rsidR="00D1518C" w:rsidRPr="0071782F">
        <w:rPr>
          <w:lang w:val="fr-CH"/>
        </w:rPr>
        <w:t xml:space="preserve">de la </w:t>
      </w:r>
      <w:r w:rsidRPr="0071782F">
        <w:rPr>
          <w:lang w:val="fr-CH"/>
        </w:rPr>
        <w:t>qualit</w:t>
      </w:r>
      <w:r w:rsidR="00D1518C" w:rsidRPr="0071782F">
        <w:rPr>
          <w:lang w:val="fr-CH"/>
        </w:rPr>
        <w:t>é</w:t>
      </w:r>
      <w:r w:rsidRPr="0071782F">
        <w:rPr>
          <w:lang w:val="fr-CH"/>
        </w:rPr>
        <w:t xml:space="preserve"> </w:t>
      </w:r>
      <w:r w:rsidR="00D1518C" w:rsidRPr="0071782F">
        <w:rPr>
          <w:lang w:val="fr-CH"/>
        </w:rPr>
        <w:t xml:space="preserve">du travail </w:t>
      </w:r>
      <w:r w:rsidRPr="0071782F">
        <w:rPr>
          <w:lang w:val="fr-CH"/>
        </w:rPr>
        <w:t xml:space="preserve">social </w:t>
      </w:r>
      <w:r w:rsidR="00D1518C" w:rsidRPr="0071782F">
        <w:rPr>
          <w:lang w:val="fr-CH"/>
        </w:rPr>
        <w:t>et des services sociaux, et augmentation du nombre d’enfants transférés dans un cadre familial ou parafamilial</w:t>
      </w:r>
      <w:r w:rsidRPr="0071782F">
        <w:rPr>
          <w:lang w:val="fr-CH"/>
        </w:rPr>
        <w:t>.</w:t>
      </w:r>
    </w:p>
    <w:p w:rsidR="009F7C7F" w:rsidRPr="0071782F" w:rsidRDefault="009F7C7F" w:rsidP="00496C06">
      <w:pPr>
        <w:pStyle w:val="SingleTxtG"/>
        <w:ind w:left="1701"/>
        <w:rPr>
          <w:lang w:val="fr-CH"/>
        </w:rPr>
      </w:pPr>
      <w:r w:rsidRPr="0071782F">
        <w:rPr>
          <w:lang w:val="fr-CH"/>
        </w:rPr>
        <w:t>166.4</w:t>
      </w:r>
      <w:r w:rsidR="00C006BB" w:rsidRPr="0071782F">
        <w:rPr>
          <w:lang w:val="fr-CH"/>
        </w:rPr>
        <w:t>.</w:t>
      </w:r>
      <w:r w:rsidRPr="0071782F">
        <w:rPr>
          <w:lang w:val="fr-CH"/>
        </w:rPr>
        <w:tab/>
        <w:t>Pr</w:t>
      </w:r>
      <w:r w:rsidR="00D1518C" w:rsidRPr="0071782F">
        <w:rPr>
          <w:lang w:val="fr-CH"/>
        </w:rPr>
        <w:t>é</w:t>
      </w:r>
      <w:r w:rsidRPr="0071782F">
        <w:rPr>
          <w:lang w:val="fr-CH"/>
        </w:rPr>
        <w:t xml:space="preserve">vention </w:t>
      </w:r>
      <w:r w:rsidR="00D1518C" w:rsidRPr="0071782F">
        <w:rPr>
          <w:lang w:val="fr-CH"/>
        </w:rPr>
        <w:t xml:space="preserve">de la </w:t>
      </w:r>
      <w:r w:rsidRPr="0071782F">
        <w:rPr>
          <w:lang w:val="fr-CH"/>
        </w:rPr>
        <w:t>s</w:t>
      </w:r>
      <w:r w:rsidR="00D1518C" w:rsidRPr="0071782F">
        <w:rPr>
          <w:lang w:val="fr-CH"/>
        </w:rPr>
        <w:t>é</w:t>
      </w:r>
      <w:r w:rsidRPr="0071782F">
        <w:rPr>
          <w:lang w:val="fr-CH"/>
        </w:rPr>
        <w:t xml:space="preserve">paration </w:t>
      </w:r>
      <w:r w:rsidR="00D1518C" w:rsidRPr="0071782F">
        <w:rPr>
          <w:lang w:val="fr-CH"/>
        </w:rPr>
        <w:t xml:space="preserve">des enfants d’avec </w:t>
      </w:r>
      <w:r w:rsidR="001F3F05" w:rsidRPr="0071782F">
        <w:rPr>
          <w:lang w:val="fr-CH"/>
        </w:rPr>
        <w:t>leur famille</w:t>
      </w:r>
      <w:r w:rsidRPr="0071782F">
        <w:rPr>
          <w:lang w:val="fr-CH"/>
        </w:rPr>
        <w:t>.</w:t>
      </w:r>
    </w:p>
    <w:p w:rsidR="009F7C7F" w:rsidRPr="0071782F" w:rsidRDefault="009F7C7F" w:rsidP="00496C06">
      <w:pPr>
        <w:pStyle w:val="H1G"/>
        <w:rPr>
          <w:lang w:val="fr-CH"/>
        </w:rPr>
      </w:pPr>
      <w:r w:rsidRPr="0071782F">
        <w:rPr>
          <w:lang w:val="fr-CH"/>
        </w:rPr>
        <w:tab/>
      </w:r>
      <w:r w:rsidRPr="0071782F">
        <w:rPr>
          <w:lang w:val="fr-CH"/>
        </w:rPr>
        <w:tab/>
      </w:r>
      <w:r w:rsidR="00D1518C" w:rsidRPr="0071782F">
        <w:rPr>
          <w:lang w:val="fr-CH"/>
        </w:rPr>
        <w:t>Plan parafamilial</w:t>
      </w:r>
      <w:r w:rsidRPr="0071782F">
        <w:rPr>
          <w:lang w:val="fr-CH"/>
        </w:rPr>
        <w:t xml:space="preserve"> </w:t>
      </w:r>
    </w:p>
    <w:p w:rsidR="009F7C7F" w:rsidRPr="0071782F" w:rsidRDefault="009F7C7F" w:rsidP="00496C06">
      <w:pPr>
        <w:pStyle w:val="SingleTxtG"/>
        <w:rPr>
          <w:lang w:val="fr-CH"/>
        </w:rPr>
      </w:pPr>
      <w:r w:rsidRPr="0071782F">
        <w:rPr>
          <w:lang w:val="fr-CH"/>
        </w:rPr>
        <w:t>167.</w:t>
      </w:r>
      <w:r w:rsidRPr="0071782F">
        <w:rPr>
          <w:lang w:val="fr-CH"/>
        </w:rPr>
        <w:tab/>
      </w:r>
      <w:r w:rsidR="009E3FF2" w:rsidRPr="0071782F">
        <w:rPr>
          <w:lang w:val="fr-CH"/>
        </w:rPr>
        <w:t xml:space="preserve">Dans le cadre de ce </w:t>
      </w:r>
      <w:r w:rsidRPr="0071782F">
        <w:rPr>
          <w:lang w:val="fr-CH"/>
        </w:rPr>
        <w:t>plan</w:t>
      </w:r>
      <w:r w:rsidR="009E3FF2" w:rsidRPr="0071782F">
        <w:rPr>
          <w:lang w:val="fr-CH"/>
        </w:rPr>
        <w:t>, les enfants d’</w:t>
      </w:r>
      <w:r w:rsidR="001F3F05" w:rsidRPr="0071782F">
        <w:rPr>
          <w:lang w:val="fr-CH"/>
        </w:rPr>
        <w:t>une famille</w:t>
      </w:r>
      <w:r w:rsidR="009E3FF2" w:rsidRPr="0071782F">
        <w:rPr>
          <w:lang w:val="fr-CH"/>
        </w:rPr>
        <w:t xml:space="preserve"> (entre un et trois) sont pris en charge dans </w:t>
      </w:r>
      <w:r w:rsidR="001F3F05" w:rsidRPr="0071782F">
        <w:rPr>
          <w:lang w:val="fr-CH"/>
        </w:rPr>
        <w:t>une famille</w:t>
      </w:r>
      <w:r w:rsidR="009E3FF2" w:rsidRPr="0071782F">
        <w:rPr>
          <w:lang w:val="fr-CH"/>
        </w:rPr>
        <w:t xml:space="preserve"> de bénévoles qualifiés (famille qui ne leur est pas reliée par le sang ou par mariage), où ils bénéficient d’une</w:t>
      </w:r>
      <w:r w:rsidRPr="0071782F">
        <w:rPr>
          <w:lang w:val="fr-CH"/>
        </w:rPr>
        <w:t xml:space="preserve"> supervision </w:t>
      </w:r>
      <w:r w:rsidR="009E3FF2" w:rsidRPr="0071782F">
        <w:rPr>
          <w:lang w:val="fr-CH"/>
        </w:rPr>
        <w:t>suffisante</w:t>
      </w:r>
      <w:r w:rsidRPr="0071782F">
        <w:rPr>
          <w:lang w:val="fr-CH"/>
        </w:rPr>
        <w:t xml:space="preserve">. </w:t>
      </w:r>
      <w:r w:rsidR="009E3FF2" w:rsidRPr="0071782F">
        <w:rPr>
          <w:lang w:val="fr-CH"/>
        </w:rPr>
        <w:t>Le plan parafamilial est l’une des principales formes d’appui aux enfants sans tuteur</w:t>
      </w:r>
      <w:r w:rsidRPr="0071782F">
        <w:rPr>
          <w:lang w:val="fr-CH"/>
        </w:rPr>
        <w:t xml:space="preserve">. </w:t>
      </w:r>
      <w:r w:rsidR="009E3FF2" w:rsidRPr="0071782F">
        <w:rPr>
          <w:lang w:val="fr-CH"/>
        </w:rPr>
        <w:t>Il permet d’éviter aux enfants un long séjour dans les centres de soins ouverts 24</w:t>
      </w:r>
      <w:r w:rsidR="00BF435F" w:rsidRPr="0071782F">
        <w:rPr>
          <w:lang w:val="fr-CH"/>
        </w:rPr>
        <w:t> heures</w:t>
      </w:r>
      <w:r w:rsidR="009E3FF2" w:rsidRPr="0071782F">
        <w:rPr>
          <w:lang w:val="fr-CH"/>
        </w:rPr>
        <w:t xml:space="preserve"> sur 24, d’améliorer la prise en charge en milieu familial, de promouvoir la pratique de la </w:t>
      </w:r>
      <w:r w:rsidRPr="0071782F">
        <w:rPr>
          <w:lang w:val="fr-CH"/>
        </w:rPr>
        <w:t>d</w:t>
      </w:r>
      <w:r w:rsidR="009E3FF2" w:rsidRPr="0071782F">
        <w:rPr>
          <w:lang w:val="fr-CH"/>
        </w:rPr>
        <w:t>és</w:t>
      </w:r>
      <w:r w:rsidRPr="0071782F">
        <w:rPr>
          <w:lang w:val="fr-CH"/>
        </w:rPr>
        <w:t>institution</w:t>
      </w:r>
      <w:r w:rsidR="009E3FF2" w:rsidRPr="0071782F">
        <w:rPr>
          <w:lang w:val="fr-CH"/>
        </w:rPr>
        <w:t>n</w:t>
      </w:r>
      <w:r w:rsidRPr="0071782F">
        <w:rPr>
          <w:lang w:val="fr-CH"/>
        </w:rPr>
        <w:t>ali</w:t>
      </w:r>
      <w:r w:rsidR="009E3FF2" w:rsidRPr="0071782F">
        <w:rPr>
          <w:lang w:val="fr-CH"/>
        </w:rPr>
        <w:t>s</w:t>
      </w:r>
      <w:r w:rsidRPr="0071782F">
        <w:rPr>
          <w:lang w:val="fr-CH"/>
        </w:rPr>
        <w:t xml:space="preserve">ation </w:t>
      </w:r>
      <w:r w:rsidR="009E3FF2" w:rsidRPr="0071782F">
        <w:rPr>
          <w:lang w:val="fr-CH"/>
        </w:rPr>
        <w:t xml:space="preserve">de la prise en charge des enfants et d’assurer un suivi approprié de la vie que mènent ces enfants dans </w:t>
      </w:r>
      <w:r w:rsidR="004E45FB" w:rsidRPr="0071782F">
        <w:rPr>
          <w:lang w:val="fr-CH"/>
        </w:rPr>
        <w:t>des familles</w:t>
      </w:r>
      <w:r w:rsidR="009E3FF2" w:rsidRPr="0071782F">
        <w:rPr>
          <w:lang w:val="fr-CH"/>
        </w:rPr>
        <w:t xml:space="preserve"> qualifiées. Le plan parafamilial a été mis en place dans les </w:t>
      </w:r>
      <w:r w:rsidRPr="0071782F">
        <w:rPr>
          <w:lang w:val="fr-CH"/>
        </w:rPr>
        <w:t xml:space="preserve">provinces </w:t>
      </w:r>
      <w:r w:rsidR="009E3FF2" w:rsidRPr="0071782F">
        <w:rPr>
          <w:lang w:val="fr-CH"/>
        </w:rPr>
        <w:t xml:space="preserve">de </w:t>
      </w:r>
      <w:r w:rsidRPr="0071782F">
        <w:rPr>
          <w:lang w:val="fr-CH"/>
        </w:rPr>
        <w:t>T</w:t>
      </w:r>
      <w:r w:rsidR="009E3FF2" w:rsidRPr="0071782F">
        <w:rPr>
          <w:lang w:val="fr-CH"/>
        </w:rPr>
        <w:t>é</w:t>
      </w:r>
      <w:r w:rsidRPr="0071782F">
        <w:rPr>
          <w:lang w:val="fr-CH"/>
        </w:rPr>
        <w:t>h</w:t>
      </w:r>
      <w:r w:rsidR="009E3FF2" w:rsidRPr="0071782F">
        <w:rPr>
          <w:lang w:val="fr-CH"/>
        </w:rPr>
        <w:t>é</w:t>
      </w:r>
      <w:r w:rsidRPr="0071782F">
        <w:rPr>
          <w:lang w:val="fr-CH"/>
        </w:rPr>
        <w:t>ran, Khorasan, Is</w:t>
      </w:r>
      <w:r w:rsidR="009E3FF2" w:rsidRPr="0071782F">
        <w:rPr>
          <w:lang w:val="fr-CH"/>
        </w:rPr>
        <w:t>p</w:t>
      </w:r>
      <w:r w:rsidRPr="0071782F">
        <w:rPr>
          <w:lang w:val="fr-CH"/>
        </w:rPr>
        <w:t xml:space="preserve">ahan </w:t>
      </w:r>
      <w:r w:rsidR="009E3FF2" w:rsidRPr="0071782F">
        <w:rPr>
          <w:lang w:val="fr-CH"/>
        </w:rPr>
        <w:t xml:space="preserve">et </w:t>
      </w:r>
      <w:r w:rsidRPr="0071782F">
        <w:rPr>
          <w:lang w:val="fr-CH"/>
        </w:rPr>
        <w:t xml:space="preserve">Fars. </w:t>
      </w:r>
    </w:p>
    <w:p w:rsidR="009F7C7F" w:rsidRPr="0071782F" w:rsidRDefault="009F7C7F" w:rsidP="00496C06">
      <w:pPr>
        <w:pStyle w:val="H1G"/>
        <w:rPr>
          <w:lang w:val="fr-CH"/>
        </w:rPr>
      </w:pPr>
      <w:r w:rsidRPr="0071782F">
        <w:rPr>
          <w:lang w:val="fr-CH"/>
        </w:rPr>
        <w:tab/>
      </w:r>
      <w:r w:rsidRPr="0071782F">
        <w:rPr>
          <w:lang w:val="fr-CH"/>
        </w:rPr>
        <w:tab/>
      </w:r>
      <w:r w:rsidR="00FF2AB7" w:rsidRPr="0071782F">
        <w:rPr>
          <w:lang w:val="fr-CH"/>
        </w:rPr>
        <w:t>P</w:t>
      </w:r>
      <w:r w:rsidRPr="0071782F">
        <w:rPr>
          <w:lang w:val="fr-CH"/>
        </w:rPr>
        <w:t xml:space="preserve">lan </w:t>
      </w:r>
      <w:r w:rsidR="00FF2AB7" w:rsidRPr="0071782F">
        <w:rPr>
          <w:lang w:val="fr-CH"/>
        </w:rPr>
        <w:t xml:space="preserve">d’appui aux enfants handicapés sans tuteur </w:t>
      </w:r>
    </w:p>
    <w:p w:rsidR="009F7C7F" w:rsidRPr="0071782F" w:rsidRDefault="009F7C7F" w:rsidP="00496C06">
      <w:pPr>
        <w:pStyle w:val="SingleTxtG"/>
        <w:rPr>
          <w:lang w:val="fr-CH"/>
        </w:rPr>
      </w:pPr>
      <w:r w:rsidRPr="0071782F">
        <w:rPr>
          <w:lang w:val="fr-CH"/>
        </w:rPr>
        <w:t>168.</w:t>
      </w:r>
      <w:r w:rsidRPr="0071782F">
        <w:rPr>
          <w:lang w:val="fr-CH"/>
        </w:rPr>
        <w:tab/>
      </w:r>
      <w:r w:rsidR="00FF2AB7" w:rsidRPr="0071782F">
        <w:rPr>
          <w:lang w:val="fr-CH"/>
        </w:rPr>
        <w:t>Ce</w:t>
      </w:r>
      <w:r w:rsidRPr="0071782F">
        <w:rPr>
          <w:lang w:val="fr-CH"/>
        </w:rPr>
        <w:t xml:space="preserve"> plan </w:t>
      </w:r>
      <w:r w:rsidR="00FF2AB7" w:rsidRPr="0071782F">
        <w:rPr>
          <w:lang w:val="fr-CH"/>
        </w:rPr>
        <w:t xml:space="preserve">vise à éliminer la </w:t>
      </w:r>
      <w:r w:rsidRPr="0071782F">
        <w:rPr>
          <w:lang w:val="fr-CH"/>
        </w:rPr>
        <w:t xml:space="preserve">discrimination </w:t>
      </w:r>
      <w:r w:rsidR="00FF2AB7" w:rsidRPr="0071782F">
        <w:rPr>
          <w:lang w:val="fr-CH"/>
        </w:rPr>
        <w:t>à l’égard des enfants sans tuteur qui souffrent de handicaps</w:t>
      </w:r>
      <w:r w:rsidRPr="0071782F">
        <w:rPr>
          <w:lang w:val="fr-CH"/>
        </w:rPr>
        <w:t xml:space="preserve">. </w:t>
      </w:r>
      <w:r w:rsidR="00FF2AB7" w:rsidRPr="0071782F">
        <w:rPr>
          <w:lang w:val="fr-CH"/>
        </w:rPr>
        <w:t>Ses objectifs généraux sont basés sur trois principes</w:t>
      </w:r>
      <w:r w:rsidR="008F7D33" w:rsidRPr="0071782F">
        <w:rPr>
          <w:lang w:val="fr-CH"/>
        </w:rPr>
        <w:t>:</w:t>
      </w:r>
      <w:r w:rsidR="00FF2AB7" w:rsidRPr="0071782F">
        <w:rPr>
          <w:lang w:val="fr-CH"/>
        </w:rPr>
        <w:t xml:space="preserve"> l’égalisation des chances, la </w:t>
      </w:r>
      <w:r w:rsidRPr="0071782F">
        <w:rPr>
          <w:lang w:val="fr-CH"/>
        </w:rPr>
        <w:t>d</w:t>
      </w:r>
      <w:r w:rsidR="00FF2AB7" w:rsidRPr="0071782F">
        <w:rPr>
          <w:lang w:val="fr-CH"/>
        </w:rPr>
        <w:t>és</w:t>
      </w:r>
      <w:r w:rsidRPr="0071782F">
        <w:rPr>
          <w:lang w:val="fr-CH"/>
        </w:rPr>
        <w:t>institution</w:t>
      </w:r>
      <w:r w:rsidR="00FF2AB7" w:rsidRPr="0071782F">
        <w:rPr>
          <w:lang w:val="fr-CH"/>
        </w:rPr>
        <w:t>n</w:t>
      </w:r>
      <w:r w:rsidRPr="0071782F">
        <w:rPr>
          <w:lang w:val="fr-CH"/>
        </w:rPr>
        <w:t>ali</w:t>
      </w:r>
      <w:r w:rsidR="00FF2AB7" w:rsidRPr="0071782F">
        <w:rPr>
          <w:lang w:val="fr-CH"/>
        </w:rPr>
        <w:t>s</w:t>
      </w:r>
      <w:r w:rsidRPr="0071782F">
        <w:rPr>
          <w:lang w:val="fr-CH"/>
        </w:rPr>
        <w:t xml:space="preserve">ation </w:t>
      </w:r>
      <w:r w:rsidR="00FF2AB7" w:rsidRPr="0071782F">
        <w:rPr>
          <w:lang w:val="fr-CH"/>
        </w:rPr>
        <w:t>de la prise en charge des enfants et l’</w:t>
      </w:r>
      <w:r w:rsidRPr="0071782F">
        <w:rPr>
          <w:lang w:val="fr-CH"/>
        </w:rPr>
        <w:t>int</w:t>
      </w:r>
      <w:r w:rsidR="00FF2AB7" w:rsidRPr="0071782F">
        <w:rPr>
          <w:lang w:val="fr-CH"/>
        </w:rPr>
        <w:t>é</w:t>
      </w:r>
      <w:r w:rsidRPr="0071782F">
        <w:rPr>
          <w:lang w:val="fr-CH"/>
        </w:rPr>
        <w:t xml:space="preserve">gration </w:t>
      </w:r>
      <w:r w:rsidR="00FF2AB7" w:rsidRPr="0071782F">
        <w:rPr>
          <w:lang w:val="fr-CH"/>
        </w:rPr>
        <w:t>des formes d’appui aux enfants handicapés sans tuteur</w:t>
      </w:r>
      <w:r w:rsidRPr="0071782F">
        <w:rPr>
          <w:lang w:val="fr-CH"/>
        </w:rPr>
        <w:t>.</w:t>
      </w:r>
    </w:p>
    <w:p w:rsidR="009F7C7F" w:rsidRPr="0071782F" w:rsidRDefault="009F7C7F" w:rsidP="00496C06">
      <w:pPr>
        <w:pStyle w:val="H1G"/>
        <w:rPr>
          <w:lang w:val="fr-CH"/>
        </w:rPr>
      </w:pPr>
      <w:r w:rsidRPr="0071782F">
        <w:rPr>
          <w:lang w:val="fr-CH"/>
        </w:rPr>
        <w:tab/>
      </w:r>
      <w:r w:rsidRPr="0071782F">
        <w:rPr>
          <w:lang w:val="fr-CH"/>
        </w:rPr>
        <w:tab/>
      </w:r>
      <w:r w:rsidR="00FF2AB7" w:rsidRPr="0071782F">
        <w:rPr>
          <w:lang w:val="fr-CH"/>
        </w:rPr>
        <w:t>P</w:t>
      </w:r>
      <w:r w:rsidRPr="0071782F">
        <w:rPr>
          <w:lang w:val="fr-CH"/>
        </w:rPr>
        <w:t xml:space="preserve">lan </w:t>
      </w:r>
      <w:r w:rsidR="00FF2AB7" w:rsidRPr="0071782F">
        <w:rPr>
          <w:lang w:val="fr-CH"/>
        </w:rPr>
        <w:t xml:space="preserve">d’organisation des enfants de détenus </w:t>
      </w:r>
    </w:p>
    <w:p w:rsidR="009F7C7F" w:rsidRPr="0071782F" w:rsidRDefault="009F7C7F" w:rsidP="00496C06">
      <w:pPr>
        <w:pStyle w:val="SingleTxtG"/>
        <w:rPr>
          <w:lang w:val="fr-CH"/>
        </w:rPr>
      </w:pPr>
      <w:r w:rsidRPr="0071782F">
        <w:rPr>
          <w:lang w:val="fr-CH"/>
        </w:rPr>
        <w:t>169.</w:t>
      </w:r>
      <w:r w:rsidRPr="0071782F">
        <w:rPr>
          <w:lang w:val="fr-CH"/>
        </w:rPr>
        <w:tab/>
      </w:r>
      <w:r w:rsidR="00FF2AB7" w:rsidRPr="0071782F">
        <w:rPr>
          <w:lang w:val="fr-CH"/>
        </w:rPr>
        <w:t>Selon les statistiques officielles, plus de 600 enfants vivent actuellement avec leur mère en prison. Ces mêmes statistiques indiquent que le nombre des filles qui vivent avec leur mère en prison est supérieur à celui des garçons et qu’une forte proportion de ces enfants sont âgés de moins de deux</w:t>
      </w:r>
      <w:r w:rsidR="00D82C96" w:rsidRPr="0071782F">
        <w:rPr>
          <w:lang w:val="fr-CH"/>
        </w:rPr>
        <w:t> ans</w:t>
      </w:r>
      <w:r w:rsidR="00FF2AB7" w:rsidRPr="0071782F">
        <w:rPr>
          <w:lang w:val="fr-CH"/>
        </w:rPr>
        <w:t xml:space="preserve">. Pour régler ces problèmes, il est absolument nécessaire de disposer d’un plan permettant d’extraire ces enfants de l’environnement carcéral et de les organiser d’une façon appropriée. Ce plan a pour objectif général de formuler des politiques appropriées et des programmes d’exécution échelonnée qui puissent faire l’objet d’une évaluation </w:t>
      </w:r>
      <w:r w:rsidR="00881287" w:rsidRPr="0071782F">
        <w:rPr>
          <w:lang w:val="fr-CH"/>
        </w:rPr>
        <w:t xml:space="preserve">et </w:t>
      </w:r>
      <w:r w:rsidR="00FF2AB7" w:rsidRPr="0071782F">
        <w:rPr>
          <w:lang w:val="fr-CH"/>
        </w:rPr>
        <w:t>repos</w:t>
      </w:r>
      <w:r w:rsidR="00881287" w:rsidRPr="0071782F">
        <w:rPr>
          <w:lang w:val="fr-CH"/>
        </w:rPr>
        <w:t>e</w:t>
      </w:r>
      <w:r w:rsidR="00FF2AB7" w:rsidRPr="0071782F">
        <w:rPr>
          <w:lang w:val="fr-CH"/>
        </w:rPr>
        <w:t xml:space="preserve">nt sur une approche universelle et inclusive pour défendre les droits de tous les enfants indépendamment de leur </w:t>
      </w:r>
      <w:r w:rsidRPr="0071782F">
        <w:rPr>
          <w:lang w:val="fr-CH"/>
        </w:rPr>
        <w:t xml:space="preserve">race, </w:t>
      </w:r>
      <w:r w:rsidR="00FF2AB7" w:rsidRPr="0071782F">
        <w:rPr>
          <w:lang w:val="fr-CH"/>
        </w:rPr>
        <w:t>de leur appartenance ethnique, de leur nationalité</w:t>
      </w:r>
      <w:r w:rsidRPr="0071782F">
        <w:rPr>
          <w:lang w:val="fr-CH"/>
        </w:rPr>
        <w:t xml:space="preserve">, etc. </w:t>
      </w:r>
    </w:p>
    <w:p w:rsidR="009F7C7F" w:rsidRPr="0071782F" w:rsidRDefault="009F7C7F" w:rsidP="00496C06">
      <w:pPr>
        <w:pStyle w:val="H1G"/>
        <w:rPr>
          <w:lang w:val="fr-CH"/>
        </w:rPr>
      </w:pPr>
      <w:r w:rsidRPr="0071782F">
        <w:rPr>
          <w:lang w:val="fr-CH"/>
        </w:rPr>
        <w:tab/>
      </w:r>
      <w:r w:rsidRPr="0071782F">
        <w:rPr>
          <w:lang w:val="fr-CH"/>
        </w:rPr>
        <w:tab/>
      </w:r>
      <w:r w:rsidR="006D0E0C" w:rsidRPr="0071782F">
        <w:rPr>
          <w:lang w:val="fr-CH"/>
        </w:rPr>
        <w:t>P</w:t>
      </w:r>
      <w:r w:rsidRPr="0071782F">
        <w:rPr>
          <w:lang w:val="fr-CH"/>
        </w:rPr>
        <w:t xml:space="preserve">lan </w:t>
      </w:r>
      <w:r w:rsidR="006D0E0C" w:rsidRPr="0071782F">
        <w:rPr>
          <w:lang w:val="fr-CH"/>
        </w:rPr>
        <w:t>d’organisation des enfants de réfugiés étrangers sans tuteur</w:t>
      </w:r>
      <w:r w:rsidR="00D36718">
        <w:rPr>
          <w:lang w:val="fr-CH"/>
        </w:rPr>
        <w:t xml:space="preserve"> </w:t>
      </w:r>
    </w:p>
    <w:p w:rsidR="009F7C7F" w:rsidRPr="0071782F" w:rsidRDefault="009F7C7F" w:rsidP="00496C06">
      <w:pPr>
        <w:pStyle w:val="SingleTxtG"/>
        <w:rPr>
          <w:lang w:val="fr-CH"/>
        </w:rPr>
      </w:pPr>
      <w:r w:rsidRPr="0071782F">
        <w:rPr>
          <w:lang w:val="fr-CH"/>
        </w:rPr>
        <w:t>170.</w:t>
      </w:r>
      <w:r w:rsidRPr="0071782F">
        <w:rPr>
          <w:lang w:val="fr-CH"/>
        </w:rPr>
        <w:tab/>
      </w:r>
      <w:r w:rsidR="00EB4869" w:rsidRPr="0071782F">
        <w:rPr>
          <w:lang w:val="fr-CH"/>
        </w:rPr>
        <w:t xml:space="preserve">Ces dernières années, la </w:t>
      </w:r>
      <w:r w:rsidRPr="0071782F">
        <w:rPr>
          <w:lang w:val="fr-CH"/>
        </w:rPr>
        <w:t>R</w:t>
      </w:r>
      <w:r w:rsidR="00EB4869" w:rsidRPr="0071782F">
        <w:rPr>
          <w:lang w:val="fr-CH"/>
        </w:rPr>
        <w:t xml:space="preserve">épublique islamique d’Iran a accueilli un grand </w:t>
      </w:r>
      <w:r w:rsidR="003B48A4" w:rsidRPr="0071782F">
        <w:rPr>
          <w:lang w:val="fr-CH"/>
        </w:rPr>
        <w:t>nombre</w:t>
      </w:r>
      <w:r w:rsidRPr="0071782F">
        <w:rPr>
          <w:lang w:val="fr-CH"/>
        </w:rPr>
        <w:t xml:space="preserve"> </w:t>
      </w:r>
      <w:r w:rsidR="00EB4869" w:rsidRPr="0071782F">
        <w:rPr>
          <w:lang w:val="fr-CH"/>
        </w:rPr>
        <w:t>de réfugiés venus d’</w:t>
      </w:r>
      <w:r w:rsidRPr="0071782F">
        <w:rPr>
          <w:lang w:val="fr-CH"/>
        </w:rPr>
        <w:t xml:space="preserve">Afghanistan </w:t>
      </w:r>
      <w:r w:rsidR="00EB4869" w:rsidRPr="0071782F">
        <w:rPr>
          <w:lang w:val="fr-CH"/>
        </w:rPr>
        <w:t>et d’</w:t>
      </w:r>
      <w:r w:rsidRPr="0071782F">
        <w:rPr>
          <w:lang w:val="fr-CH"/>
        </w:rPr>
        <w:t xml:space="preserve">Iraq. </w:t>
      </w:r>
      <w:r w:rsidR="00EB4869" w:rsidRPr="0071782F">
        <w:rPr>
          <w:lang w:val="fr-CH"/>
        </w:rPr>
        <w:t xml:space="preserve">Le fait qu’un </w:t>
      </w:r>
      <w:r w:rsidR="003B48A4" w:rsidRPr="0071782F">
        <w:rPr>
          <w:lang w:val="fr-CH"/>
        </w:rPr>
        <w:t>nombre</w:t>
      </w:r>
      <w:r w:rsidRPr="0071782F">
        <w:rPr>
          <w:lang w:val="fr-CH"/>
        </w:rPr>
        <w:t xml:space="preserve"> </w:t>
      </w:r>
      <w:r w:rsidR="00EB4869" w:rsidRPr="0071782F">
        <w:rPr>
          <w:lang w:val="fr-CH"/>
        </w:rPr>
        <w:t xml:space="preserve">considérable d’enfants appartenant à </w:t>
      </w:r>
      <w:r w:rsidR="004E45FB" w:rsidRPr="0071782F">
        <w:rPr>
          <w:lang w:val="fr-CH"/>
        </w:rPr>
        <w:t>des familles</w:t>
      </w:r>
      <w:r w:rsidR="00EB4869" w:rsidRPr="0071782F">
        <w:rPr>
          <w:lang w:val="fr-CH"/>
        </w:rPr>
        <w:t xml:space="preserve"> de réfugiés et d’enfants nés de mères iraniennes sans tuteur ou sans tuteur compétent se trouvent en situation de risque a amené les autorités responsables des ressortissants étrangers à procéder, pendant les réunions qu’elles ont tenues en 1998, aux préparatifs devant déboucher sur la </w:t>
      </w:r>
      <w:r w:rsidRPr="0071782F">
        <w:rPr>
          <w:lang w:val="fr-CH"/>
        </w:rPr>
        <w:t xml:space="preserve">formulation </w:t>
      </w:r>
      <w:r w:rsidR="00EB4869" w:rsidRPr="0071782F">
        <w:rPr>
          <w:lang w:val="fr-CH"/>
        </w:rPr>
        <w:t>et l’exé</w:t>
      </w:r>
      <w:r w:rsidRPr="0071782F">
        <w:rPr>
          <w:lang w:val="fr-CH"/>
        </w:rPr>
        <w:t xml:space="preserve">cution </w:t>
      </w:r>
      <w:r w:rsidR="00EB4869" w:rsidRPr="0071782F">
        <w:rPr>
          <w:lang w:val="fr-CH"/>
        </w:rPr>
        <w:t xml:space="preserve">de ce </w:t>
      </w:r>
      <w:r w:rsidRPr="0071782F">
        <w:rPr>
          <w:lang w:val="fr-CH"/>
        </w:rPr>
        <w:t>plan.</w:t>
      </w:r>
    </w:p>
    <w:p w:rsidR="009F7C7F" w:rsidRPr="0071782F" w:rsidRDefault="009F7C7F" w:rsidP="00496C06">
      <w:pPr>
        <w:pStyle w:val="H1G"/>
        <w:rPr>
          <w:lang w:val="fr-CH"/>
        </w:rPr>
      </w:pPr>
      <w:r w:rsidRPr="0071782F">
        <w:rPr>
          <w:lang w:val="fr-CH"/>
        </w:rPr>
        <w:tab/>
      </w:r>
      <w:r w:rsidRPr="0071782F">
        <w:rPr>
          <w:lang w:val="fr-CH"/>
        </w:rPr>
        <w:tab/>
      </w:r>
      <w:r w:rsidR="00EB4869" w:rsidRPr="0071782F">
        <w:rPr>
          <w:lang w:val="fr-CH"/>
        </w:rPr>
        <w:t xml:space="preserve">Plan des tuteurs bénévoles </w:t>
      </w:r>
    </w:p>
    <w:p w:rsidR="009F7C7F" w:rsidRPr="0071782F" w:rsidRDefault="009F7C7F" w:rsidP="00496C06">
      <w:pPr>
        <w:pStyle w:val="SingleTxtG"/>
        <w:rPr>
          <w:lang w:val="fr-CH"/>
        </w:rPr>
      </w:pPr>
      <w:r w:rsidRPr="0071782F">
        <w:rPr>
          <w:lang w:val="fr-CH"/>
        </w:rPr>
        <w:t>171.</w:t>
      </w:r>
      <w:r w:rsidRPr="0071782F">
        <w:rPr>
          <w:lang w:val="fr-CH"/>
        </w:rPr>
        <w:tab/>
      </w:r>
      <w:r w:rsidR="000A5041" w:rsidRPr="0071782F">
        <w:rPr>
          <w:lang w:val="fr-CH"/>
        </w:rPr>
        <w:t xml:space="preserve">Ce plan se propose d’inciter la société à prendre une part active sous différentes formes, notamment celle d’une assistance financière et sociale, à l’amélioration de la qualité des services </w:t>
      </w:r>
      <w:r w:rsidRPr="0071782F">
        <w:rPr>
          <w:lang w:val="fr-CH"/>
        </w:rPr>
        <w:t>offer</w:t>
      </w:r>
      <w:r w:rsidR="000A5041" w:rsidRPr="0071782F">
        <w:rPr>
          <w:lang w:val="fr-CH"/>
        </w:rPr>
        <w:t>ts par l’Organisme public de protection sociale aux enfants hébergés dans les centres de soins ouverts 24</w:t>
      </w:r>
      <w:r w:rsidR="00BF435F" w:rsidRPr="0071782F">
        <w:rPr>
          <w:lang w:val="fr-CH"/>
        </w:rPr>
        <w:t> heures</w:t>
      </w:r>
      <w:r w:rsidR="000A5041" w:rsidRPr="0071782F">
        <w:rPr>
          <w:lang w:val="fr-CH"/>
        </w:rPr>
        <w:t xml:space="preserve"> sur 24 ou vivant dans </w:t>
      </w:r>
      <w:r w:rsidR="001F3F05" w:rsidRPr="0071782F">
        <w:rPr>
          <w:lang w:val="fr-CH"/>
        </w:rPr>
        <w:t>leur famille</w:t>
      </w:r>
      <w:r w:rsidR="000A5041" w:rsidRPr="0071782F">
        <w:rPr>
          <w:lang w:val="fr-CH"/>
        </w:rPr>
        <w:t xml:space="preserve"> ou auprès de membres de </w:t>
      </w:r>
      <w:r w:rsidR="001F3F05" w:rsidRPr="0071782F">
        <w:rPr>
          <w:lang w:val="fr-CH"/>
        </w:rPr>
        <w:t>leur famille</w:t>
      </w:r>
      <w:r w:rsidR="000A5041" w:rsidRPr="0071782F">
        <w:rPr>
          <w:lang w:val="fr-CH"/>
        </w:rPr>
        <w:t xml:space="preserve"> élargie</w:t>
      </w:r>
      <w:r w:rsidRPr="0071782F">
        <w:rPr>
          <w:lang w:val="fr-CH"/>
        </w:rPr>
        <w:t xml:space="preserve">. </w:t>
      </w:r>
      <w:r w:rsidR="000A5041" w:rsidRPr="0071782F">
        <w:rPr>
          <w:lang w:val="fr-CH"/>
        </w:rPr>
        <w:t>Cette assistance est canalisée par le biais d’activités caritatives précises.</w:t>
      </w:r>
    </w:p>
    <w:p w:rsidR="009F7C7F" w:rsidRPr="0071782F" w:rsidRDefault="009F7C7F" w:rsidP="00496C06">
      <w:pPr>
        <w:pStyle w:val="H1G"/>
        <w:rPr>
          <w:lang w:val="fr-CH"/>
        </w:rPr>
      </w:pPr>
      <w:r w:rsidRPr="0071782F">
        <w:rPr>
          <w:lang w:val="fr-CH"/>
        </w:rPr>
        <w:tab/>
      </w:r>
      <w:r w:rsidRPr="0071782F">
        <w:rPr>
          <w:lang w:val="fr-CH"/>
        </w:rPr>
        <w:tab/>
      </w:r>
      <w:r w:rsidR="005C595C" w:rsidRPr="0071782F">
        <w:rPr>
          <w:lang w:val="fr-CH"/>
        </w:rPr>
        <w:t xml:space="preserve">Plan d’auto-assistance en faveur des enfants sortant de centres d’appui </w:t>
      </w:r>
    </w:p>
    <w:p w:rsidR="009F7C7F" w:rsidRPr="0071782F" w:rsidRDefault="009F7C7F" w:rsidP="00496C06">
      <w:pPr>
        <w:pStyle w:val="SingleTxtG"/>
        <w:rPr>
          <w:lang w:val="fr-CH"/>
        </w:rPr>
      </w:pPr>
      <w:r w:rsidRPr="0071782F">
        <w:rPr>
          <w:lang w:val="fr-CH"/>
        </w:rPr>
        <w:t>172.</w:t>
      </w:r>
      <w:r w:rsidRPr="0071782F">
        <w:rPr>
          <w:lang w:val="fr-CH"/>
        </w:rPr>
        <w:tab/>
      </w:r>
      <w:r w:rsidR="00B60A05" w:rsidRPr="0071782F">
        <w:rPr>
          <w:lang w:val="fr-CH"/>
        </w:rPr>
        <w:t xml:space="preserve">Ce </w:t>
      </w:r>
      <w:r w:rsidRPr="0071782F">
        <w:rPr>
          <w:lang w:val="fr-CH"/>
        </w:rPr>
        <w:t xml:space="preserve">plan </w:t>
      </w:r>
      <w:r w:rsidR="00B60A05" w:rsidRPr="0071782F">
        <w:rPr>
          <w:lang w:val="fr-CH"/>
        </w:rPr>
        <w:t xml:space="preserve">se propose d’organiser les enfants sortant de centres d’appui et de créer </w:t>
      </w:r>
      <w:r w:rsidR="00881287" w:rsidRPr="0071782F">
        <w:rPr>
          <w:lang w:val="fr-CH"/>
        </w:rPr>
        <w:t>l</w:t>
      </w:r>
      <w:r w:rsidR="00B60A05" w:rsidRPr="0071782F">
        <w:rPr>
          <w:lang w:val="fr-CH"/>
        </w:rPr>
        <w:t xml:space="preserve">es conditions </w:t>
      </w:r>
      <w:r w:rsidR="00881287" w:rsidRPr="0071782F">
        <w:rPr>
          <w:lang w:val="fr-CH"/>
        </w:rPr>
        <w:t xml:space="preserve">qui </w:t>
      </w:r>
      <w:r w:rsidR="00B60A05" w:rsidRPr="0071782F">
        <w:rPr>
          <w:lang w:val="fr-CH"/>
        </w:rPr>
        <w:t>permett</w:t>
      </w:r>
      <w:r w:rsidR="00881287" w:rsidRPr="0071782F">
        <w:rPr>
          <w:lang w:val="fr-CH"/>
        </w:rPr>
        <w:t>e</w:t>
      </w:r>
      <w:r w:rsidR="00B60A05" w:rsidRPr="0071782F">
        <w:rPr>
          <w:lang w:val="fr-CH"/>
        </w:rPr>
        <w:t>nt de leur offrir une assistance plus efficace.</w:t>
      </w:r>
      <w:r w:rsidRPr="0071782F">
        <w:rPr>
          <w:lang w:val="fr-CH"/>
        </w:rPr>
        <w:t xml:space="preserve"> </w:t>
      </w:r>
      <w:r w:rsidR="00B60A05" w:rsidRPr="0071782F">
        <w:rPr>
          <w:lang w:val="fr-CH"/>
        </w:rPr>
        <w:t>Il s’est fixé les objectifs suivants</w:t>
      </w:r>
      <w:r w:rsidR="008F7D33" w:rsidRPr="0071782F">
        <w:rPr>
          <w:lang w:val="fr-CH"/>
        </w:rPr>
        <w:t>:</w:t>
      </w:r>
      <w:r w:rsidRPr="0071782F">
        <w:rPr>
          <w:lang w:val="fr-CH"/>
        </w:rPr>
        <w:t xml:space="preserve"> </w:t>
      </w:r>
    </w:p>
    <w:p w:rsidR="009F7C7F" w:rsidRPr="0071782F" w:rsidRDefault="009F7C7F" w:rsidP="00496C06">
      <w:pPr>
        <w:pStyle w:val="SingleTxtG"/>
        <w:ind w:left="1701"/>
        <w:rPr>
          <w:lang w:val="fr-CH"/>
        </w:rPr>
      </w:pPr>
      <w:r w:rsidRPr="0071782F">
        <w:rPr>
          <w:lang w:val="fr-CH"/>
        </w:rPr>
        <w:t>172.1</w:t>
      </w:r>
      <w:r w:rsidR="00C006BB" w:rsidRPr="0071782F">
        <w:rPr>
          <w:lang w:val="fr-CH"/>
        </w:rPr>
        <w:t>.</w:t>
      </w:r>
      <w:r w:rsidRPr="0071782F">
        <w:rPr>
          <w:lang w:val="fr-CH"/>
        </w:rPr>
        <w:tab/>
      </w:r>
      <w:r w:rsidR="00B60A05" w:rsidRPr="0071782F">
        <w:rPr>
          <w:lang w:val="fr-CH"/>
        </w:rPr>
        <w:t>Créer les conditions adéquates pour développer les relations interpersonnelles, fournir un appui personnel et collectif à ces enfants et améliorer leurs attitudes et relations sociales sur la base des modèles de l’auto-assistance et de la</w:t>
      </w:r>
      <w:r w:rsidR="00D36718">
        <w:rPr>
          <w:lang w:val="fr-CH"/>
        </w:rPr>
        <w:t xml:space="preserve"> </w:t>
      </w:r>
      <w:r w:rsidRPr="0071782F">
        <w:rPr>
          <w:lang w:val="fr-CH"/>
        </w:rPr>
        <w:t>participation.</w:t>
      </w:r>
    </w:p>
    <w:p w:rsidR="009F7C7F" w:rsidRPr="0071782F" w:rsidRDefault="009F7C7F" w:rsidP="00496C06">
      <w:pPr>
        <w:pStyle w:val="SingleTxtG"/>
        <w:ind w:left="1701"/>
        <w:rPr>
          <w:lang w:val="fr-CH"/>
        </w:rPr>
      </w:pPr>
      <w:r w:rsidRPr="0071782F">
        <w:rPr>
          <w:lang w:val="fr-CH"/>
        </w:rPr>
        <w:t>172.2</w:t>
      </w:r>
      <w:r w:rsidR="00C006BB" w:rsidRPr="0071782F">
        <w:rPr>
          <w:lang w:val="fr-CH"/>
        </w:rPr>
        <w:t>.</w:t>
      </w:r>
      <w:r w:rsidRPr="0071782F">
        <w:rPr>
          <w:lang w:val="fr-CH"/>
        </w:rPr>
        <w:tab/>
      </w:r>
      <w:r w:rsidR="00DF78A1" w:rsidRPr="0071782F">
        <w:rPr>
          <w:lang w:val="fr-CH"/>
        </w:rPr>
        <w:t>Créer des centres spéciaux où ces enfants puissent nouer des relations avec d’autres demandeurs d’aide afin de renforcer leur confiance en soi et de participer plus activement aux affaires sociales, et puissent se familiariser avec les autres programmes d’appui qui existent dans différents domaines</w:t>
      </w:r>
      <w:r w:rsidRPr="0071782F">
        <w:rPr>
          <w:lang w:val="fr-CH"/>
        </w:rPr>
        <w:t>.</w:t>
      </w:r>
    </w:p>
    <w:p w:rsidR="009F7C7F" w:rsidRPr="0071782F" w:rsidRDefault="009F7C7F" w:rsidP="00496C06">
      <w:pPr>
        <w:pStyle w:val="SingleTxtG"/>
        <w:ind w:left="1701"/>
        <w:rPr>
          <w:lang w:val="fr-CH"/>
        </w:rPr>
      </w:pPr>
      <w:r w:rsidRPr="0071782F">
        <w:rPr>
          <w:lang w:val="fr-CH"/>
        </w:rPr>
        <w:t>172.3</w:t>
      </w:r>
      <w:r w:rsidR="00C006BB" w:rsidRPr="0071782F">
        <w:rPr>
          <w:lang w:val="fr-CH"/>
        </w:rPr>
        <w:t>.</w:t>
      </w:r>
      <w:r w:rsidRPr="0071782F">
        <w:rPr>
          <w:lang w:val="fr-CH"/>
        </w:rPr>
        <w:tab/>
      </w:r>
      <w:r w:rsidR="00DF78A1" w:rsidRPr="0071782F">
        <w:rPr>
          <w:lang w:val="fr-CH"/>
        </w:rPr>
        <w:t>E</w:t>
      </w:r>
      <w:r w:rsidRPr="0071782F">
        <w:rPr>
          <w:lang w:val="fr-CH"/>
        </w:rPr>
        <w:t>ncourage</w:t>
      </w:r>
      <w:r w:rsidR="00DF78A1" w:rsidRPr="0071782F">
        <w:rPr>
          <w:lang w:val="fr-CH"/>
        </w:rPr>
        <w:t>r et appuyer des plans d’auto-assistance et de coopération dans des domaines tels que l’emploi, le logement et le mariage</w:t>
      </w:r>
      <w:r w:rsidRPr="0071782F">
        <w:rPr>
          <w:lang w:val="fr-CH"/>
        </w:rPr>
        <w:t>.</w:t>
      </w:r>
    </w:p>
    <w:p w:rsidR="009F7C7F" w:rsidRPr="0071782F" w:rsidRDefault="009F7C7F" w:rsidP="00496C06">
      <w:pPr>
        <w:pStyle w:val="SingleTxtG"/>
        <w:ind w:left="1701"/>
        <w:rPr>
          <w:lang w:val="fr-CH"/>
        </w:rPr>
      </w:pPr>
      <w:r w:rsidRPr="0071782F">
        <w:rPr>
          <w:lang w:val="fr-CH"/>
        </w:rPr>
        <w:t>172.4</w:t>
      </w:r>
      <w:r w:rsidR="00C006BB" w:rsidRPr="0071782F">
        <w:rPr>
          <w:lang w:val="fr-CH"/>
        </w:rPr>
        <w:t>.</w:t>
      </w:r>
      <w:r w:rsidRPr="0071782F">
        <w:rPr>
          <w:lang w:val="fr-CH"/>
        </w:rPr>
        <w:tab/>
      </w:r>
      <w:r w:rsidR="00DF78A1" w:rsidRPr="0071782F">
        <w:rPr>
          <w:lang w:val="fr-CH"/>
        </w:rPr>
        <w:t>Fournir des services de conseil et prendre en charge les problèmes que ces enfants rencontrent lorsqu’ils quittent les centres d’appui et par la suite</w:t>
      </w:r>
      <w:r w:rsidRPr="0071782F">
        <w:rPr>
          <w:lang w:val="fr-CH"/>
        </w:rPr>
        <w:t xml:space="preserve">. </w:t>
      </w:r>
    </w:p>
    <w:p w:rsidR="009F7C7F" w:rsidRPr="0071782F" w:rsidRDefault="009F7C7F" w:rsidP="00496C06">
      <w:pPr>
        <w:pStyle w:val="H1G"/>
        <w:rPr>
          <w:lang w:val="fr-CH"/>
        </w:rPr>
      </w:pPr>
      <w:r w:rsidRPr="0071782F">
        <w:rPr>
          <w:lang w:val="fr-CH"/>
        </w:rPr>
        <w:tab/>
      </w:r>
      <w:r w:rsidRPr="0071782F">
        <w:rPr>
          <w:lang w:val="fr-CH"/>
        </w:rPr>
        <w:tab/>
      </w:r>
      <w:r w:rsidR="00DF78A1" w:rsidRPr="0071782F">
        <w:rPr>
          <w:lang w:val="fr-CH"/>
        </w:rPr>
        <w:t>P</w:t>
      </w:r>
      <w:r w:rsidRPr="0071782F">
        <w:rPr>
          <w:lang w:val="fr-CH"/>
        </w:rPr>
        <w:t xml:space="preserve">lan </w:t>
      </w:r>
      <w:r w:rsidR="00DF78A1" w:rsidRPr="0071782F">
        <w:rPr>
          <w:lang w:val="fr-CH"/>
        </w:rPr>
        <w:t xml:space="preserve">visant à créer un centre de services de conseil pour les enfants sortant de centres d’appui </w:t>
      </w:r>
    </w:p>
    <w:p w:rsidR="009F7C7F" w:rsidRPr="0071782F" w:rsidRDefault="009F7C7F" w:rsidP="00496C06">
      <w:pPr>
        <w:pStyle w:val="SingleTxtG"/>
        <w:rPr>
          <w:lang w:val="fr-CH"/>
        </w:rPr>
      </w:pPr>
      <w:r w:rsidRPr="0071782F">
        <w:rPr>
          <w:lang w:val="fr-CH"/>
        </w:rPr>
        <w:t>173.</w:t>
      </w:r>
      <w:r w:rsidRPr="0071782F">
        <w:rPr>
          <w:lang w:val="fr-CH"/>
        </w:rPr>
        <w:tab/>
      </w:r>
      <w:r w:rsidR="00460588" w:rsidRPr="0071782F">
        <w:rPr>
          <w:lang w:val="fr-CH"/>
        </w:rPr>
        <w:t xml:space="preserve">Les </w:t>
      </w:r>
      <w:r w:rsidR="00B13F4B" w:rsidRPr="0071782F">
        <w:rPr>
          <w:lang w:val="fr-CH"/>
        </w:rPr>
        <w:t>adolescents</w:t>
      </w:r>
      <w:r w:rsidR="00460588" w:rsidRPr="0071782F">
        <w:rPr>
          <w:lang w:val="fr-CH"/>
        </w:rPr>
        <w:t xml:space="preserve"> qui ont passé leur enfance dans des centres d’appui sont exposés aux problèmes et pressions de la vie quotidienne et peuvent rencontrer des problèmes d’ordre social et affectif susceptibles de mettre leur vie en danger.</w:t>
      </w:r>
      <w:r w:rsidRPr="0071782F">
        <w:rPr>
          <w:lang w:val="fr-CH"/>
        </w:rPr>
        <w:t xml:space="preserve"> </w:t>
      </w:r>
    </w:p>
    <w:p w:rsidR="009F7C7F" w:rsidRPr="0071782F" w:rsidRDefault="009F7C7F" w:rsidP="00496C06">
      <w:pPr>
        <w:pStyle w:val="SingleTxtG"/>
        <w:ind w:left="1701"/>
        <w:rPr>
          <w:lang w:val="fr-CH"/>
        </w:rPr>
      </w:pPr>
      <w:r w:rsidRPr="0071782F">
        <w:rPr>
          <w:lang w:val="fr-CH"/>
        </w:rPr>
        <w:t>173.1</w:t>
      </w:r>
      <w:r w:rsidR="00C006BB" w:rsidRPr="0071782F">
        <w:rPr>
          <w:lang w:val="fr-CH"/>
        </w:rPr>
        <w:t>.</w:t>
      </w:r>
      <w:r w:rsidRPr="0071782F">
        <w:rPr>
          <w:lang w:val="fr-CH"/>
        </w:rPr>
        <w:tab/>
      </w:r>
      <w:r w:rsidR="00A91A8D" w:rsidRPr="0071782F">
        <w:rPr>
          <w:lang w:val="fr-CH"/>
        </w:rPr>
        <w:t xml:space="preserve">Pour remédier à ces problèmes, améliorer la santé mentale de ces </w:t>
      </w:r>
      <w:r w:rsidR="00B13F4B" w:rsidRPr="0071782F">
        <w:rPr>
          <w:lang w:val="fr-CH"/>
        </w:rPr>
        <w:t>adolescents</w:t>
      </w:r>
      <w:r w:rsidR="00A91A8D" w:rsidRPr="0071782F">
        <w:rPr>
          <w:lang w:val="fr-CH"/>
        </w:rPr>
        <w:t xml:space="preserve"> et prévenir les préjudices sociaux tels que la toxicomanie, le </w:t>
      </w:r>
      <w:r w:rsidRPr="0071782F">
        <w:rPr>
          <w:lang w:val="fr-CH"/>
        </w:rPr>
        <w:t xml:space="preserve">suicide </w:t>
      </w:r>
      <w:r w:rsidR="00A91A8D" w:rsidRPr="0071782F">
        <w:rPr>
          <w:lang w:val="fr-CH"/>
        </w:rPr>
        <w:t xml:space="preserve">et la délinquance, il importe d’améliorer leurs compétences et </w:t>
      </w:r>
      <w:r w:rsidR="00216ABF" w:rsidRPr="0071782F">
        <w:rPr>
          <w:lang w:val="fr-CH"/>
        </w:rPr>
        <w:t>de leur donner les moyens de faire face aux problèmes qu’ils rencontrent et de les régler dans le cadre d’un plan</w:t>
      </w:r>
      <w:r w:rsidR="00D36718">
        <w:rPr>
          <w:lang w:val="fr-CH"/>
        </w:rPr>
        <w:t xml:space="preserve"> </w:t>
      </w:r>
      <w:r w:rsidR="00216ABF" w:rsidRPr="0071782F">
        <w:rPr>
          <w:lang w:val="fr-CH"/>
        </w:rPr>
        <w:t xml:space="preserve">consistant notamment à ouvrir un centre pour fournir des services de conseil à ces </w:t>
      </w:r>
      <w:r w:rsidR="00B13F4B" w:rsidRPr="0071782F">
        <w:rPr>
          <w:lang w:val="fr-CH"/>
        </w:rPr>
        <w:t>adolescents</w:t>
      </w:r>
      <w:r w:rsidR="00216ABF" w:rsidRPr="0071782F">
        <w:rPr>
          <w:lang w:val="fr-CH"/>
        </w:rPr>
        <w:t xml:space="preserve"> avec le concours de </w:t>
      </w:r>
      <w:r w:rsidRPr="0071782F">
        <w:rPr>
          <w:lang w:val="fr-CH"/>
        </w:rPr>
        <w:t>psychiatr</w:t>
      </w:r>
      <w:r w:rsidR="00216ABF" w:rsidRPr="0071782F">
        <w:rPr>
          <w:lang w:val="fr-CH"/>
        </w:rPr>
        <w:t>e</w:t>
      </w:r>
      <w:r w:rsidRPr="0071782F">
        <w:rPr>
          <w:lang w:val="fr-CH"/>
        </w:rPr>
        <w:t xml:space="preserve">s </w:t>
      </w:r>
      <w:r w:rsidR="00216ABF" w:rsidRPr="0071782F">
        <w:rPr>
          <w:lang w:val="fr-CH"/>
        </w:rPr>
        <w:t>ayant reçu une formation spécifique</w:t>
      </w:r>
      <w:r w:rsidRPr="0071782F">
        <w:rPr>
          <w:lang w:val="fr-CH"/>
        </w:rPr>
        <w:t xml:space="preserve">, </w:t>
      </w:r>
      <w:r w:rsidR="00216ABF" w:rsidRPr="0071782F">
        <w:rPr>
          <w:lang w:val="fr-CH"/>
        </w:rPr>
        <w:t xml:space="preserve">à aider ces </w:t>
      </w:r>
      <w:r w:rsidR="00B13F4B" w:rsidRPr="0071782F">
        <w:rPr>
          <w:lang w:val="fr-CH"/>
        </w:rPr>
        <w:t>adolescents</w:t>
      </w:r>
      <w:r w:rsidR="00216ABF" w:rsidRPr="0071782F">
        <w:rPr>
          <w:lang w:val="fr-CH"/>
        </w:rPr>
        <w:t xml:space="preserve"> à acquérir des compétences pratiques et à mettre en place un service d’assistance téléphonique permettant d’intervenir en vas de situation grave et de recueillir régulièrement des informations sur ce groupe. </w:t>
      </w:r>
    </w:p>
    <w:p w:rsidR="009F7C7F" w:rsidRPr="0071782F" w:rsidRDefault="009F7C7F" w:rsidP="00496C06">
      <w:pPr>
        <w:pStyle w:val="H1G"/>
        <w:rPr>
          <w:lang w:val="fr-CH"/>
        </w:rPr>
      </w:pPr>
      <w:r w:rsidRPr="0071782F">
        <w:rPr>
          <w:lang w:val="fr-CH"/>
        </w:rPr>
        <w:tab/>
      </w:r>
      <w:r w:rsidRPr="0071782F">
        <w:rPr>
          <w:lang w:val="fr-CH"/>
        </w:rPr>
        <w:tab/>
      </w:r>
      <w:r w:rsidR="00216ABF" w:rsidRPr="0071782F">
        <w:rPr>
          <w:lang w:val="fr-CH"/>
        </w:rPr>
        <w:t>P</w:t>
      </w:r>
      <w:r w:rsidRPr="0071782F">
        <w:rPr>
          <w:lang w:val="fr-CH"/>
        </w:rPr>
        <w:t xml:space="preserve">lan </w:t>
      </w:r>
      <w:r w:rsidR="00216ABF" w:rsidRPr="0071782F">
        <w:rPr>
          <w:lang w:val="fr-CH"/>
        </w:rPr>
        <w:t xml:space="preserve">de formation à la vie pratique en faveur des </w:t>
      </w:r>
      <w:r w:rsidR="00B13F4B" w:rsidRPr="0071782F">
        <w:rPr>
          <w:lang w:val="fr-CH"/>
        </w:rPr>
        <w:t>adolescents</w:t>
      </w:r>
      <w:r w:rsidR="00216ABF" w:rsidRPr="0071782F">
        <w:rPr>
          <w:lang w:val="fr-CH"/>
        </w:rPr>
        <w:t xml:space="preserve"> </w:t>
      </w:r>
    </w:p>
    <w:p w:rsidR="009F7C7F" w:rsidRPr="00217F5F" w:rsidRDefault="009F7C7F" w:rsidP="00496C06">
      <w:pPr>
        <w:pStyle w:val="SingleTxtG"/>
        <w:rPr>
          <w:spacing w:val="-2"/>
          <w:lang w:val="fr-CH"/>
        </w:rPr>
      </w:pPr>
      <w:r w:rsidRPr="00217F5F">
        <w:rPr>
          <w:spacing w:val="-2"/>
          <w:lang w:val="fr-CH"/>
        </w:rPr>
        <w:t>174.</w:t>
      </w:r>
      <w:r w:rsidRPr="00217F5F">
        <w:rPr>
          <w:spacing w:val="-2"/>
          <w:lang w:val="fr-CH"/>
        </w:rPr>
        <w:tab/>
      </w:r>
      <w:r w:rsidR="00A26C35" w:rsidRPr="00217F5F">
        <w:rPr>
          <w:spacing w:val="-2"/>
          <w:lang w:val="fr-CH"/>
        </w:rPr>
        <w:t xml:space="preserve">L’acquisition des aptitudes nécessaires à la vie pratique aidera les </w:t>
      </w:r>
      <w:r w:rsidR="00B13F4B" w:rsidRPr="00217F5F">
        <w:rPr>
          <w:spacing w:val="-2"/>
          <w:lang w:val="fr-CH"/>
        </w:rPr>
        <w:t>adolescents</w:t>
      </w:r>
      <w:r w:rsidR="00A26C35" w:rsidRPr="00217F5F">
        <w:rPr>
          <w:spacing w:val="-2"/>
          <w:lang w:val="fr-CH"/>
        </w:rPr>
        <w:t xml:space="preserve"> à développer les capacités dont ils auront besoin pour traverser l’adolescence et se préparer à une mener une vie d’adulte responsable. Ce </w:t>
      </w:r>
      <w:r w:rsidRPr="00217F5F">
        <w:rPr>
          <w:spacing w:val="-2"/>
          <w:lang w:val="fr-CH"/>
        </w:rPr>
        <w:t xml:space="preserve">plan </w:t>
      </w:r>
      <w:r w:rsidR="00A26C35" w:rsidRPr="00217F5F">
        <w:rPr>
          <w:spacing w:val="-2"/>
          <w:lang w:val="fr-CH"/>
        </w:rPr>
        <w:t xml:space="preserve">se propose de faire participer ces </w:t>
      </w:r>
      <w:r w:rsidR="00B13F4B" w:rsidRPr="00217F5F">
        <w:rPr>
          <w:spacing w:val="-2"/>
          <w:lang w:val="fr-CH"/>
        </w:rPr>
        <w:t>adolescents</w:t>
      </w:r>
      <w:r w:rsidR="00A26C35" w:rsidRPr="00217F5F">
        <w:rPr>
          <w:spacing w:val="-2"/>
          <w:lang w:val="fr-CH"/>
        </w:rPr>
        <w:t xml:space="preserve"> à des programmes qui leur enseignent les compétences et les aptitudes nécessaires pour faire face à leurs problèmes et les régler et pour choisir la meilleure manière de réaliser leurs objectifs.</w:t>
      </w:r>
      <w:r w:rsidRPr="00217F5F">
        <w:rPr>
          <w:spacing w:val="-2"/>
          <w:lang w:val="fr-CH"/>
        </w:rPr>
        <w:t xml:space="preserve"> </w:t>
      </w:r>
      <w:r w:rsidR="00A26C35" w:rsidRPr="00217F5F">
        <w:rPr>
          <w:spacing w:val="-2"/>
          <w:lang w:val="fr-CH"/>
        </w:rPr>
        <w:t xml:space="preserve">Ces programmes de formation à la vie pratique établissent un lien entre les souhaits et les différents besoins des </w:t>
      </w:r>
      <w:r w:rsidR="00B13F4B" w:rsidRPr="00217F5F">
        <w:rPr>
          <w:spacing w:val="-2"/>
          <w:lang w:val="fr-CH"/>
        </w:rPr>
        <w:t>adolescents</w:t>
      </w:r>
      <w:r w:rsidR="00A26C35" w:rsidRPr="00217F5F">
        <w:rPr>
          <w:spacing w:val="-2"/>
          <w:lang w:val="fr-CH"/>
        </w:rPr>
        <w:t>, y compris leurs besoins éducatifs et professionnels, et les emplois qu’ils choisiront d’exercer à l’avenir.</w:t>
      </w:r>
      <w:r w:rsidR="00D36718" w:rsidRPr="00217F5F">
        <w:rPr>
          <w:spacing w:val="-2"/>
          <w:lang w:val="fr-CH"/>
        </w:rPr>
        <w:t xml:space="preserve"> </w:t>
      </w:r>
    </w:p>
    <w:p w:rsidR="009F7C7F" w:rsidRPr="0071782F" w:rsidRDefault="009F7C7F" w:rsidP="00496C06">
      <w:pPr>
        <w:pStyle w:val="H1G"/>
        <w:rPr>
          <w:lang w:val="fr-CH"/>
        </w:rPr>
      </w:pPr>
      <w:r w:rsidRPr="0071782F">
        <w:rPr>
          <w:lang w:val="fr-CH"/>
        </w:rPr>
        <w:tab/>
      </w:r>
      <w:r w:rsidRPr="0071782F">
        <w:rPr>
          <w:lang w:val="fr-CH"/>
        </w:rPr>
        <w:tab/>
      </w:r>
      <w:r w:rsidR="000D2376" w:rsidRPr="0071782F">
        <w:rPr>
          <w:lang w:val="fr-CH"/>
        </w:rPr>
        <w:t>P</w:t>
      </w:r>
      <w:r w:rsidRPr="0071782F">
        <w:rPr>
          <w:lang w:val="fr-CH"/>
        </w:rPr>
        <w:t xml:space="preserve">lan </w:t>
      </w:r>
      <w:r w:rsidR="000D2376" w:rsidRPr="0071782F">
        <w:rPr>
          <w:lang w:val="fr-CH"/>
        </w:rPr>
        <w:t xml:space="preserve">d’organisation des enfants des rues </w:t>
      </w:r>
    </w:p>
    <w:p w:rsidR="009F7C7F" w:rsidRPr="0071782F" w:rsidRDefault="009F7C7F" w:rsidP="00496C06">
      <w:pPr>
        <w:pStyle w:val="SingleTxtG"/>
        <w:rPr>
          <w:lang w:val="fr-CH"/>
        </w:rPr>
      </w:pPr>
      <w:r w:rsidRPr="0071782F">
        <w:rPr>
          <w:lang w:val="fr-CH"/>
        </w:rPr>
        <w:t>175.</w:t>
      </w:r>
      <w:r w:rsidRPr="0071782F">
        <w:rPr>
          <w:lang w:val="fr-CH"/>
        </w:rPr>
        <w:tab/>
      </w:r>
      <w:r w:rsidR="000D2376" w:rsidRPr="0071782F">
        <w:rPr>
          <w:lang w:val="fr-CH"/>
        </w:rPr>
        <w:t>En 2002, le Conseil social du Ministère de l’intérieur a adopté le Plan d’organisation des enfants des rues</w:t>
      </w:r>
      <w:r w:rsidRPr="0071782F">
        <w:rPr>
          <w:lang w:val="fr-CH"/>
        </w:rPr>
        <w:t xml:space="preserve">. </w:t>
      </w:r>
      <w:r w:rsidR="000D2376" w:rsidRPr="0071782F">
        <w:rPr>
          <w:lang w:val="fr-CH"/>
        </w:rPr>
        <w:t>Les objectifs de ce Plan sont les suivants</w:t>
      </w:r>
      <w:r w:rsidR="008F7D33" w:rsidRPr="0071782F">
        <w:rPr>
          <w:lang w:val="fr-CH"/>
        </w:rPr>
        <w:t>:</w:t>
      </w:r>
      <w:r w:rsidR="000D2376" w:rsidRPr="0071782F">
        <w:rPr>
          <w:lang w:val="fr-CH"/>
        </w:rPr>
        <w:t xml:space="preserve"> prêter une attention particulière aux droits des enfants</w:t>
      </w:r>
      <w:r w:rsidR="00881287" w:rsidRPr="0071782F">
        <w:rPr>
          <w:lang w:val="fr-CH"/>
        </w:rPr>
        <w:t xml:space="preserve"> des rues</w:t>
      </w:r>
      <w:r w:rsidR="000D2376" w:rsidRPr="0071782F">
        <w:rPr>
          <w:lang w:val="fr-CH"/>
        </w:rPr>
        <w:t xml:space="preserve">, autonomiser </w:t>
      </w:r>
      <w:r w:rsidR="00881287" w:rsidRPr="0071782F">
        <w:rPr>
          <w:lang w:val="fr-CH"/>
        </w:rPr>
        <w:t>c</w:t>
      </w:r>
      <w:r w:rsidR="000D2376" w:rsidRPr="0071782F">
        <w:rPr>
          <w:lang w:val="fr-CH"/>
        </w:rPr>
        <w:t>es enfants et mettre en place le cadre nécessaire à l’amélioration de</w:t>
      </w:r>
      <w:r w:rsidR="00881287" w:rsidRPr="0071782F">
        <w:rPr>
          <w:lang w:val="fr-CH"/>
        </w:rPr>
        <w:t xml:space="preserve"> leur</w:t>
      </w:r>
      <w:r w:rsidR="000D2376" w:rsidRPr="0071782F">
        <w:rPr>
          <w:lang w:val="fr-CH"/>
        </w:rPr>
        <w:t>s conditions de vie, éliminer les dangers et les facteurs de risque qui menacent ces enfants, développer les connaissances et les compétences pratiques de</w:t>
      </w:r>
      <w:r w:rsidR="00881287" w:rsidRPr="0071782F">
        <w:rPr>
          <w:lang w:val="fr-CH"/>
        </w:rPr>
        <w:t xml:space="preserve"> ce</w:t>
      </w:r>
      <w:r w:rsidR="000D2376" w:rsidRPr="0071782F">
        <w:rPr>
          <w:lang w:val="fr-CH"/>
        </w:rPr>
        <w:t xml:space="preserve">s enfants et de </w:t>
      </w:r>
      <w:r w:rsidR="001F3F05" w:rsidRPr="0071782F">
        <w:rPr>
          <w:lang w:val="fr-CH"/>
        </w:rPr>
        <w:t>leur famille</w:t>
      </w:r>
      <w:r w:rsidR="000D2376" w:rsidRPr="0071782F">
        <w:rPr>
          <w:lang w:val="fr-CH"/>
        </w:rPr>
        <w:t xml:space="preserve">, mettre en évidence les capacités et les </w:t>
      </w:r>
      <w:r w:rsidRPr="0071782F">
        <w:rPr>
          <w:lang w:val="fr-CH"/>
        </w:rPr>
        <w:t xml:space="preserve">talents </w:t>
      </w:r>
      <w:r w:rsidR="000D2376" w:rsidRPr="0071782F">
        <w:rPr>
          <w:lang w:val="fr-CH"/>
        </w:rPr>
        <w:t>de</w:t>
      </w:r>
      <w:r w:rsidR="00881287" w:rsidRPr="0071782F">
        <w:rPr>
          <w:lang w:val="fr-CH"/>
        </w:rPr>
        <w:t xml:space="preserve"> ce</w:t>
      </w:r>
      <w:r w:rsidR="000D2376" w:rsidRPr="0071782F">
        <w:rPr>
          <w:lang w:val="fr-CH"/>
        </w:rPr>
        <w:t>s enfants</w:t>
      </w:r>
      <w:r w:rsidRPr="0071782F">
        <w:rPr>
          <w:lang w:val="fr-CH"/>
        </w:rPr>
        <w:t xml:space="preserve">, </w:t>
      </w:r>
      <w:r w:rsidR="000D2376" w:rsidRPr="0071782F">
        <w:rPr>
          <w:lang w:val="fr-CH"/>
        </w:rPr>
        <w:t xml:space="preserve">leur fournir des services sociaux tels qu’une prise en charge temporaire et une assistance au sein de </w:t>
      </w:r>
      <w:r w:rsidR="00B71907" w:rsidRPr="0071782F">
        <w:rPr>
          <w:lang w:val="fr-CH"/>
        </w:rPr>
        <w:t>la famille</w:t>
      </w:r>
      <w:r w:rsidR="000D2376" w:rsidRPr="0071782F">
        <w:rPr>
          <w:lang w:val="fr-CH"/>
        </w:rPr>
        <w:t>, et rendre opérati</w:t>
      </w:r>
      <w:r w:rsidR="00E46CC5" w:rsidRPr="0071782F">
        <w:rPr>
          <w:lang w:val="fr-CH"/>
        </w:rPr>
        <w:t>on</w:t>
      </w:r>
      <w:r w:rsidR="000D2376" w:rsidRPr="0071782F">
        <w:rPr>
          <w:lang w:val="fr-CH"/>
        </w:rPr>
        <w:t>nels les centres de services fonctionnant 24</w:t>
      </w:r>
      <w:r w:rsidR="00BF435F" w:rsidRPr="0071782F">
        <w:rPr>
          <w:lang w:val="fr-CH"/>
        </w:rPr>
        <w:t> heures</w:t>
      </w:r>
      <w:r w:rsidR="000D2376" w:rsidRPr="0071782F">
        <w:rPr>
          <w:lang w:val="fr-CH"/>
        </w:rPr>
        <w:t xml:space="preserve"> sur 24 de l’Organisme public de protection sociale et des municipalité</w:t>
      </w:r>
      <w:r w:rsidRPr="0071782F">
        <w:rPr>
          <w:lang w:val="fr-CH"/>
        </w:rPr>
        <w:t>s (</w:t>
      </w:r>
      <w:r w:rsidR="000D2376" w:rsidRPr="0071782F">
        <w:rPr>
          <w:lang w:val="fr-CH"/>
        </w:rPr>
        <w:t>centres temporaires</w:t>
      </w:r>
      <w:r w:rsidRPr="0071782F">
        <w:rPr>
          <w:lang w:val="fr-CH"/>
        </w:rPr>
        <w:t xml:space="preserve">, </w:t>
      </w:r>
      <w:r w:rsidR="000D2376" w:rsidRPr="0071782F">
        <w:rPr>
          <w:lang w:val="fr-CH"/>
        </w:rPr>
        <w:t>refuges</w:t>
      </w:r>
      <w:r w:rsidRPr="0071782F">
        <w:rPr>
          <w:lang w:val="fr-CH"/>
        </w:rPr>
        <w:t xml:space="preserve">, </w:t>
      </w:r>
      <w:r w:rsidR="000D2376" w:rsidRPr="0071782F">
        <w:rPr>
          <w:lang w:val="fr-CH"/>
        </w:rPr>
        <w:t>centre d’</w:t>
      </w:r>
      <w:r w:rsidRPr="0071782F">
        <w:rPr>
          <w:lang w:val="fr-CH"/>
        </w:rPr>
        <w:t>intervention</w:t>
      </w:r>
      <w:r w:rsidR="000D2376" w:rsidRPr="0071782F">
        <w:rPr>
          <w:lang w:val="fr-CH"/>
        </w:rPr>
        <w:t>s d’urgence et centres de prise en charge à long terme</w:t>
      </w:r>
      <w:r w:rsidRPr="0071782F">
        <w:rPr>
          <w:lang w:val="fr-CH"/>
        </w:rPr>
        <w:t xml:space="preserve">). </w:t>
      </w:r>
    </w:p>
    <w:p w:rsidR="009F7C7F" w:rsidRPr="0071782F" w:rsidRDefault="009F7C7F" w:rsidP="00496C06">
      <w:pPr>
        <w:pStyle w:val="H1G"/>
        <w:rPr>
          <w:lang w:val="fr-CH"/>
        </w:rPr>
      </w:pPr>
      <w:r w:rsidRPr="0071782F">
        <w:rPr>
          <w:lang w:val="fr-CH"/>
        </w:rPr>
        <w:tab/>
      </w:r>
      <w:r w:rsidRPr="0071782F">
        <w:rPr>
          <w:lang w:val="fr-CH"/>
        </w:rPr>
        <w:tab/>
      </w:r>
      <w:r w:rsidR="00E46CC5" w:rsidRPr="0071782F">
        <w:rPr>
          <w:lang w:val="fr-CH"/>
        </w:rPr>
        <w:t xml:space="preserve">Mesures adoptées par l’Organisme public de protection sociale en faveur </w:t>
      </w:r>
      <w:r w:rsidR="004E45FB" w:rsidRPr="0071782F">
        <w:rPr>
          <w:lang w:val="fr-CH"/>
        </w:rPr>
        <w:t>des familles</w:t>
      </w:r>
      <w:r w:rsidR="00E46CC5" w:rsidRPr="0071782F">
        <w:rPr>
          <w:lang w:val="fr-CH"/>
        </w:rPr>
        <w:t xml:space="preserve"> auxquelles s’applique la loi faisant bénéficier de la sécurité sociale les femmes et les enfants sans tuteur</w:t>
      </w:r>
      <w:r w:rsidR="00D36718">
        <w:rPr>
          <w:lang w:val="fr-CH"/>
        </w:rPr>
        <w:t xml:space="preserve"> </w:t>
      </w:r>
    </w:p>
    <w:p w:rsidR="009F7C7F" w:rsidRPr="0071782F" w:rsidRDefault="009F7C7F" w:rsidP="00496C06">
      <w:pPr>
        <w:pStyle w:val="SingleTxtG"/>
        <w:rPr>
          <w:lang w:val="fr-CH"/>
        </w:rPr>
      </w:pPr>
      <w:r w:rsidRPr="0071782F">
        <w:rPr>
          <w:lang w:val="fr-CH"/>
        </w:rPr>
        <w:t>176.</w:t>
      </w:r>
      <w:r w:rsidRPr="0071782F">
        <w:rPr>
          <w:lang w:val="fr-CH"/>
        </w:rPr>
        <w:tab/>
      </w:r>
      <w:r w:rsidR="00E46CC5" w:rsidRPr="0071782F">
        <w:rPr>
          <w:lang w:val="fr-CH"/>
        </w:rPr>
        <w:t>Il s’agit des mesures suivantes</w:t>
      </w:r>
      <w:r w:rsidR="008F7D33" w:rsidRPr="0071782F">
        <w:rPr>
          <w:lang w:val="fr-CH"/>
        </w:rPr>
        <w:t>:</w:t>
      </w:r>
    </w:p>
    <w:p w:rsidR="009F7C7F" w:rsidRPr="0071782F" w:rsidRDefault="009F7C7F" w:rsidP="00496C06">
      <w:pPr>
        <w:pStyle w:val="SingleTxtG"/>
        <w:ind w:left="1701"/>
        <w:rPr>
          <w:lang w:val="fr-CH"/>
        </w:rPr>
      </w:pPr>
      <w:r w:rsidRPr="0071782F">
        <w:rPr>
          <w:lang w:val="fr-CH"/>
        </w:rPr>
        <w:t>176.1</w:t>
      </w:r>
      <w:r w:rsidR="00C006BB" w:rsidRPr="0071782F">
        <w:rPr>
          <w:lang w:val="fr-CH"/>
        </w:rPr>
        <w:t>.</w:t>
      </w:r>
      <w:r w:rsidRPr="0071782F">
        <w:rPr>
          <w:lang w:val="fr-CH"/>
        </w:rPr>
        <w:tab/>
      </w:r>
      <w:r w:rsidR="008B17A5" w:rsidRPr="0071782F">
        <w:rPr>
          <w:lang w:val="fr-CH"/>
        </w:rPr>
        <w:t>Fourniture d’un appui financier sous diverses formes</w:t>
      </w:r>
      <w:r w:rsidR="008F7D33" w:rsidRPr="0071782F">
        <w:rPr>
          <w:lang w:val="fr-CH"/>
        </w:rPr>
        <w:t>:</w:t>
      </w:r>
      <w:r w:rsidR="008B17A5" w:rsidRPr="0071782F">
        <w:rPr>
          <w:lang w:val="fr-CH"/>
        </w:rPr>
        <w:t xml:space="preserve"> moyens de promotion de l’autosuffisance, espèces ou autres types d’aides financières périodiques ou régulières</w:t>
      </w:r>
      <w:r w:rsidRPr="0071782F">
        <w:rPr>
          <w:lang w:val="fr-CH"/>
        </w:rPr>
        <w:t>.</w:t>
      </w:r>
    </w:p>
    <w:p w:rsidR="009F7C7F" w:rsidRPr="0071782F" w:rsidRDefault="009F7C7F" w:rsidP="00496C06">
      <w:pPr>
        <w:pStyle w:val="SingleTxtG"/>
        <w:ind w:left="1701"/>
        <w:rPr>
          <w:lang w:val="fr-CH"/>
        </w:rPr>
      </w:pPr>
      <w:r w:rsidRPr="0071782F">
        <w:rPr>
          <w:lang w:val="fr-CH"/>
        </w:rPr>
        <w:t>176.2</w:t>
      </w:r>
      <w:r w:rsidR="00C006BB" w:rsidRPr="0071782F">
        <w:rPr>
          <w:lang w:val="fr-CH"/>
        </w:rPr>
        <w:t>.</w:t>
      </w:r>
      <w:r w:rsidRPr="0071782F">
        <w:rPr>
          <w:lang w:val="fr-CH"/>
        </w:rPr>
        <w:tab/>
      </w:r>
      <w:r w:rsidR="008B17A5" w:rsidRPr="0071782F">
        <w:rPr>
          <w:lang w:val="fr-CH"/>
        </w:rPr>
        <w:t xml:space="preserve">Appui socioculturel par le biais de la prestation de services éducatifs et de formation spécialisée, technique et professionnelle, de conseils en matière d’emploi et de services sociaux pour régler les problèmes que rencontrent ces </w:t>
      </w:r>
      <w:r w:rsidR="00B13F4B" w:rsidRPr="0071782F">
        <w:rPr>
          <w:lang w:val="fr-CH"/>
        </w:rPr>
        <w:t>adolescents</w:t>
      </w:r>
      <w:r w:rsidR="008B17A5" w:rsidRPr="0071782F">
        <w:rPr>
          <w:lang w:val="fr-CH"/>
        </w:rPr>
        <w:t xml:space="preserve"> dans la vie quotidienne et les aider à se marier et à former </w:t>
      </w:r>
      <w:r w:rsidR="001F3F05" w:rsidRPr="0071782F">
        <w:rPr>
          <w:lang w:val="fr-CH"/>
        </w:rPr>
        <w:t>une famille</w:t>
      </w:r>
      <w:r w:rsidRPr="0071782F">
        <w:rPr>
          <w:lang w:val="fr-CH"/>
        </w:rPr>
        <w:t>.</w:t>
      </w:r>
    </w:p>
    <w:p w:rsidR="009F7C7F" w:rsidRPr="0071782F" w:rsidRDefault="009F7C7F" w:rsidP="00496C06">
      <w:pPr>
        <w:pStyle w:val="SingleTxtG"/>
        <w:ind w:left="1701"/>
        <w:rPr>
          <w:lang w:val="fr-CH"/>
        </w:rPr>
      </w:pPr>
      <w:r w:rsidRPr="0071782F">
        <w:rPr>
          <w:lang w:val="fr-CH"/>
        </w:rPr>
        <w:t>176.3</w:t>
      </w:r>
      <w:r w:rsidR="00C006BB" w:rsidRPr="0071782F">
        <w:rPr>
          <w:lang w:val="fr-CH"/>
        </w:rPr>
        <w:t>.</w:t>
      </w:r>
      <w:r w:rsidRPr="0071782F">
        <w:rPr>
          <w:lang w:val="fr-CH"/>
        </w:rPr>
        <w:tab/>
        <w:t>Pr</w:t>
      </w:r>
      <w:r w:rsidR="008B17A5" w:rsidRPr="0071782F">
        <w:rPr>
          <w:lang w:val="fr-CH"/>
        </w:rPr>
        <w:t>ise en charge d’enfants et de femmes âgées sans tuteur dans des garderies ou des centres fonctionnant 24</w:t>
      </w:r>
      <w:r w:rsidR="00BF435F" w:rsidRPr="0071782F">
        <w:rPr>
          <w:lang w:val="fr-CH"/>
        </w:rPr>
        <w:t> heures</w:t>
      </w:r>
      <w:r w:rsidR="008B17A5" w:rsidRPr="0071782F">
        <w:rPr>
          <w:lang w:val="fr-CH"/>
        </w:rPr>
        <w:t xml:space="preserve"> sur 24 relevant de l’Organisme public de protection sociale, ou délégation à </w:t>
      </w:r>
      <w:r w:rsidR="007F37CE" w:rsidRPr="0071782F">
        <w:rPr>
          <w:lang w:val="fr-CH"/>
        </w:rPr>
        <w:t>des personnes</w:t>
      </w:r>
      <w:r w:rsidR="008B17A5" w:rsidRPr="0071782F">
        <w:rPr>
          <w:lang w:val="fr-CH"/>
        </w:rPr>
        <w:t xml:space="preserve"> compétentes de la tutelle ou de la responsabilité des soins à apporter à ces enfants et à ces femmes</w:t>
      </w:r>
      <w:r w:rsidRPr="0071782F">
        <w:rPr>
          <w:lang w:val="fr-CH"/>
        </w:rPr>
        <w:t xml:space="preserve">. </w:t>
      </w:r>
    </w:p>
    <w:p w:rsidR="009F7C7F" w:rsidRPr="0071782F" w:rsidRDefault="009F7C7F" w:rsidP="00496C06">
      <w:pPr>
        <w:pStyle w:val="H1G"/>
        <w:rPr>
          <w:lang w:val="fr-CH"/>
        </w:rPr>
      </w:pPr>
      <w:r w:rsidRPr="0071782F">
        <w:rPr>
          <w:lang w:val="fr-CH"/>
        </w:rPr>
        <w:tab/>
      </w:r>
      <w:r w:rsidRPr="0071782F">
        <w:rPr>
          <w:lang w:val="fr-CH"/>
        </w:rPr>
        <w:tab/>
        <w:t>Pr</w:t>
      </w:r>
      <w:r w:rsidR="008B17A5" w:rsidRPr="0071782F">
        <w:rPr>
          <w:lang w:val="fr-CH"/>
        </w:rPr>
        <w:t>é</w:t>
      </w:r>
      <w:r w:rsidRPr="0071782F">
        <w:rPr>
          <w:lang w:val="fr-CH"/>
        </w:rPr>
        <w:t xml:space="preserve">vention </w:t>
      </w:r>
      <w:r w:rsidR="008B17A5" w:rsidRPr="0071782F">
        <w:rPr>
          <w:lang w:val="fr-CH"/>
        </w:rPr>
        <w:t>de l’</w:t>
      </w:r>
      <w:r w:rsidRPr="0071782F">
        <w:rPr>
          <w:lang w:val="fr-CH"/>
        </w:rPr>
        <w:t xml:space="preserve">exploitation </w:t>
      </w:r>
      <w:r w:rsidR="008B17A5" w:rsidRPr="0071782F">
        <w:rPr>
          <w:lang w:val="fr-CH"/>
        </w:rPr>
        <w:t>des enfants</w:t>
      </w:r>
    </w:p>
    <w:p w:rsidR="009F7C7F" w:rsidRPr="0071782F" w:rsidRDefault="009F7C7F" w:rsidP="00496C06">
      <w:pPr>
        <w:pStyle w:val="SingleTxtG"/>
        <w:rPr>
          <w:lang w:val="fr-CH"/>
        </w:rPr>
      </w:pPr>
      <w:r w:rsidRPr="0071782F">
        <w:rPr>
          <w:lang w:val="fr-CH"/>
        </w:rPr>
        <w:t>177.</w:t>
      </w:r>
      <w:r w:rsidRPr="0071782F">
        <w:rPr>
          <w:lang w:val="fr-CH"/>
        </w:rPr>
        <w:tab/>
      </w:r>
      <w:r w:rsidR="008B17A5" w:rsidRPr="0071782F">
        <w:rPr>
          <w:lang w:val="fr-CH"/>
        </w:rPr>
        <w:t xml:space="preserve">La </w:t>
      </w:r>
      <w:r w:rsidRPr="0071782F">
        <w:rPr>
          <w:lang w:val="fr-CH"/>
        </w:rPr>
        <w:t>R</w:t>
      </w:r>
      <w:r w:rsidR="008B17A5" w:rsidRPr="0071782F">
        <w:rPr>
          <w:lang w:val="fr-CH"/>
        </w:rPr>
        <w:t>épublique islamique d’Iran est partie au Pacte i</w:t>
      </w:r>
      <w:r w:rsidRPr="0071782F">
        <w:rPr>
          <w:lang w:val="fr-CH"/>
        </w:rPr>
        <w:t xml:space="preserve">nternational </w:t>
      </w:r>
      <w:r w:rsidR="008B17A5" w:rsidRPr="0071782F">
        <w:rPr>
          <w:lang w:val="fr-CH"/>
        </w:rPr>
        <w:t>relatif aux droits civils et politiques</w:t>
      </w:r>
      <w:r w:rsidRPr="0071782F">
        <w:rPr>
          <w:lang w:val="fr-CH"/>
        </w:rPr>
        <w:t xml:space="preserve">, </w:t>
      </w:r>
      <w:r w:rsidR="008B17A5" w:rsidRPr="0071782F">
        <w:rPr>
          <w:lang w:val="fr-CH"/>
        </w:rPr>
        <w:t xml:space="preserve">à la </w:t>
      </w:r>
      <w:r w:rsidRPr="0071782F">
        <w:rPr>
          <w:lang w:val="fr-CH"/>
        </w:rPr>
        <w:t xml:space="preserve">Convention </w:t>
      </w:r>
      <w:r w:rsidR="008B17A5" w:rsidRPr="0071782F">
        <w:rPr>
          <w:lang w:val="fr-CH"/>
        </w:rPr>
        <w:t>relative aux droits de l’enfant et à la C</w:t>
      </w:r>
      <w:r w:rsidRPr="0071782F">
        <w:rPr>
          <w:lang w:val="fr-CH"/>
        </w:rPr>
        <w:t xml:space="preserve">onvention </w:t>
      </w:r>
      <w:r w:rsidR="008B17A5" w:rsidRPr="0071782F">
        <w:rPr>
          <w:lang w:val="fr-CH"/>
        </w:rPr>
        <w:t>de l’OIT n</w:t>
      </w:r>
      <w:r w:rsidR="00E83264" w:rsidRPr="0071782F">
        <w:rPr>
          <w:vertAlign w:val="superscript"/>
          <w:lang w:val="fr-CH"/>
        </w:rPr>
        <w:t>o</w:t>
      </w:r>
      <w:r w:rsidR="00E83264" w:rsidRPr="0071782F">
        <w:rPr>
          <w:lang w:val="fr-CH"/>
        </w:rPr>
        <w:t> </w:t>
      </w:r>
      <w:r w:rsidRPr="0071782F">
        <w:rPr>
          <w:lang w:val="fr-CH"/>
        </w:rPr>
        <w:t xml:space="preserve">182. </w:t>
      </w:r>
      <w:r w:rsidR="008B17A5" w:rsidRPr="0071782F">
        <w:rPr>
          <w:lang w:val="fr-CH"/>
        </w:rPr>
        <w:t xml:space="preserve">Le pays n’a pas encore adhéré à la </w:t>
      </w:r>
      <w:r w:rsidRPr="0071782F">
        <w:rPr>
          <w:lang w:val="fr-CH"/>
        </w:rPr>
        <w:t xml:space="preserve">Convention </w:t>
      </w:r>
      <w:r w:rsidR="008B17A5" w:rsidRPr="0071782F">
        <w:rPr>
          <w:lang w:val="fr-CH"/>
        </w:rPr>
        <w:t>n</w:t>
      </w:r>
      <w:r w:rsidR="00E83264" w:rsidRPr="0071782F">
        <w:rPr>
          <w:vertAlign w:val="superscript"/>
          <w:lang w:val="fr-CH"/>
        </w:rPr>
        <w:t>o</w:t>
      </w:r>
      <w:r w:rsidR="00E83264" w:rsidRPr="0071782F">
        <w:rPr>
          <w:lang w:val="fr-CH"/>
        </w:rPr>
        <w:t> </w:t>
      </w:r>
      <w:r w:rsidRPr="0071782F">
        <w:rPr>
          <w:lang w:val="fr-CH"/>
        </w:rPr>
        <w:t xml:space="preserve">138, </w:t>
      </w:r>
      <w:r w:rsidR="008B17A5" w:rsidRPr="0071782F">
        <w:rPr>
          <w:lang w:val="fr-CH"/>
        </w:rPr>
        <w:t>mais les règles de son Code du travail qui concernent l’une des principales préoccupations de cette Convention, à savoir l’âge minimal d’admission à l’emploi (15</w:t>
      </w:r>
      <w:r w:rsidR="00D82C96" w:rsidRPr="0071782F">
        <w:rPr>
          <w:lang w:val="fr-CH"/>
        </w:rPr>
        <w:t> ans</w:t>
      </w:r>
      <w:r w:rsidR="008B17A5" w:rsidRPr="0071782F">
        <w:rPr>
          <w:lang w:val="fr-CH"/>
        </w:rPr>
        <w:t>) et l’âge minimal d’admission à un emploi difficile ou pénible (18</w:t>
      </w:r>
      <w:r w:rsidR="00D82C96" w:rsidRPr="0071782F">
        <w:rPr>
          <w:lang w:val="fr-CH"/>
        </w:rPr>
        <w:t> ans</w:t>
      </w:r>
      <w:r w:rsidR="008B17A5" w:rsidRPr="0071782F">
        <w:rPr>
          <w:lang w:val="fr-CH"/>
        </w:rPr>
        <w:t xml:space="preserve">), sont conformes aux dispositions de la </w:t>
      </w:r>
      <w:r w:rsidRPr="0071782F">
        <w:rPr>
          <w:lang w:val="fr-CH"/>
        </w:rPr>
        <w:t>Convention.</w:t>
      </w:r>
    </w:p>
    <w:p w:rsidR="009F7C7F" w:rsidRPr="0071782F" w:rsidRDefault="009F7C7F" w:rsidP="00496C06">
      <w:pPr>
        <w:pStyle w:val="SingleTxtG"/>
        <w:ind w:left="1701"/>
        <w:rPr>
          <w:lang w:val="fr-CH"/>
        </w:rPr>
      </w:pPr>
      <w:r w:rsidRPr="0071782F">
        <w:rPr>
          <w:lang w:val="fr-CH"/>
        </w:rPr>
        <w:t>177.1</w:t>
      </w:r>
      <w:r w:rsidR="00C006BB" w:rsidRPr="0071782F">
        <w:rPr>
          <w:lang w:val="fr-CH"/>
        </w:rPr>
        <w:t>.</w:t>
      </w:r>
      <w:r w:rsidRPr="0071782F">
        <w:rPr>
          <w:lang w:val="fr-CH"/>
        </w:rPr>
        <w:tab/>
      </w:r>
      <w:r w:rsidR="00864F47" w:rsidRPr="0071782F">
        <w:rPr>
          <w:lang w:val="fr-CH"/>
        </w:rPr>
        <w:t>L’</w:t>
      </w:r>
      <w:r w:rsidRPr="0071782F">
        <w:rPr>
          <w:lang w:val="fr-CH"/>
        </w:rPr>
        <w:t xml:space="preserve">Iran </w:t>
      </w:r>
      <w:r w:rsidR="00864F47" w:rsidRPr="0071782F">
        <w:rPr>
          <w:lang w:val="fr-CH"/>
        </w:rPr>
        <w:t xml:space="preserve">a adopté la loi de </w:t>
      </w:r>
      <w:r w:rsidRPr="0071782F">
        <w:rPr>
          <w:lang w:val="fr-CH"/>
        </w:rPr>
        <w:t xml:space="preserve">ratification </w:t>
      </w:r>
      <w:r w:rsidR="00864F47" w:rsidRPr="0071782F">
        <w:rPr>
          <w:lang w:val="fr-CH"/>
        </w:rPr>
        <w:t>de la Convention de l’OIT n</w:t>
      </w:r>
      <w:r w:rsidR="00E83264" w:rsidRPr="0071782F">
        <w:rPr>
          <w:vertAlign w:val="superscript"/>
          <w:lang w:val="fr-CH"/>
        </w:rPr>
        <w:t>o</w:t>
      </w:r>
      <w:r w:rsidR="00E83264" w:rsidRPr="0071782F">
        <w:rPr>
          <w:lang w:val="fr-CH"/>
        </w:rPr>
        <w:t> </w:t>
      </w:r>
      <w:r w:rsidR="00864F47" w:rsidRPr="0071782F">
        <w:rPr>
          <w:lang w:val="fr-CH"/>
        </w:rPr>
        <w:t xml:space="preserve">182 </w:t>
      </w:r>
      <w:r w:rsidRPr="0071782F">
        <w:rPr>
          <w:lang w:val="fr-CH"/>
        </w:rPr>
        <w:t>concern</w:t>
      </w:r>
      <w:r w:rsidR="00864F47" w:rsidRPr="0071782F">
        <w:rPr>
          <w:lang w:val="fr-CH"/>
        </w:rPr>
        <w:t xml:space="preserve">ant l’interdiction des pires formes de travail des enfants et l’action immédiate en vue de leur élimination et les recommandations additionnelles de </w:t>
      </w:r>
      <w:r w:rsidRPr="0071782F">
        <w:rPr>
          <w:lang w:val="fr-CH"/>
        </w:rPr>
        <w:t>2001</w:t>
      </w:r>
      <w:r w:rsidR="00864F47" w:rsidRPr="0071782F">
        <w:rPr>
          <w:lang w:val="fr-CH"/>
        </w:rPr>
        <w:t xml:space="preserve"> qui s’y rapportent</w:t>
      </w:r>
      <w:r w:rsidRPr="0071782F">
        <w:rPr>
          <w:lang w:val="fr-CH"/>
        </w:rPr>
        <w:t xml:space="preserve">. </w:t>
      </w:r>
    </w:p>
    <w:p w:rsidR="009F7C7F" w:rsidRPr="0071782F" w:rsidRDefault="009F7C7F" w:rsidP="00496C06">
      <w:pPr>
        <w:pStyle w:val="SingleTxtG"/>
        <w:ind w:left="1701"/>
        <w:rPr>
          <w:lang w:val="fr-CH"/>
        </w:rPr>
      </w:pPr>
      <w:r w:rsidRPr="0071782F">
        <w:rPr>
          <w:lang w:val="fr-CH"/>
        </w:rPr>
        <w:t>177.2</w:t>
      </w:r>
      <w:r w:rsidR="00C006BB" w:rsidRPr="0071782F">
        <w:rPr>
          <w:lang w:val="fr-CH"/>
        </w:rPr>
        <w:t>.</w:t>
      </w:r>
      <w:r w:rsidRPr="0071782F">
        <w:rPr>
          <w:lang w:val="fr-CH"/>
        </w:rPr>
        <w:tab/>
      </w:r>
      <w:r w:rsidR="00864F47" w:rsidRPr="0071782F">
        <w:rPr>
          <w:lang w:val="fr-CH"/>
        </w:rPr>
        <w:t>Le principe de l’élimination du travail des enfants a été fondamentalement accepté en République islamique d’Iran</w:t>
      </w:r>
      <w:r w:rsidRPr="0071782F">
        <w:rPr>
          <w:lang w:val="fr-CH"/>
        </w:rPr>
        <w:t xml:space="preserve">. </w:t>
      </w:r>
      <w:r w:rsidR="00864F47" w:rsidRPr="0071782F">
        <w:rPr>
          <w:lang w:val="fr-CH"/>
        </w:rPr>
        <w:t xml:space="preserve">Il est reconnu par la </w:t>
      </w:r>
      <w:r w:rsidRPr="0071782F">
        <w:rPr>
          <w:lang w:val="fr-CH"/>
        </w:rPr>
        <w:t>Constitution (</w:t>
      </w:r>
      <w:r w:rsidR="00723F2B" w:rsidRPr="0071782F">
        <w:rPr>
          <w:lang w:val="fr-CH"/>
        </w:rPr>
        <w:t>paragraphe </w:t>
      </w:r>
      <w:r w:rsidRPr="0071782F">
        <w:rPr>
          <w:lang w:val="fr-CH"/>
        </w:rPr>
        <w:t>3</w:t>
      </w:r>
      <w:r w:rsidR="00864F47" w:rsidRPr="0071782F">
        <w:rPr>
          <w:lang w:val="fr-CH"/>
        </w:rPr>
        <w:t xml:space="preserve"> de </w:t>
      </w:r>
      <w:r w:rsidR="00723F2B" w:rsidRPr="0071782F">
        <w:rPr>
          <w:lang w:val="fr-CH"/>
        </w:rPr>
        <w:t>l’</w:t>
      </w:r>
      <w:r w:rsidR="00943A69" w:rsidRPr="0071782F">
        <w:rPr>
          <w:lang w:val="fr-CH"/>
        </w:rPr>
        <w:t>article </w:t>
      </w:r>
      <w:r w:rsidRPr="0071782F">
        <w:rPr>
          <w:lang w:val="fr-CH"/>
        </w:rPr>
        <w:t xml:space="preserve">3, </w:t>
      </w:r>
      <w:r w:rsidR="00943A69" w:rsidRPr="0071782F">
        <w:rPr>
          <w:lang w:val="fr-CH"/>
        </w:rPr>
        <w:t>article </w:t>
      </w:r>
      <w:r w:rsidRPr="0071782F">
        <w:rPr>
          <w:lang w:val="fr-CH"/>
        </w:rPr>
        <w:t xml:space="preserve">20 </w:t>
      </w:r>
      <w:r w:rsidR="00864F47" w:rsidRPr="0071782F">
        <w:rPr>
          <w:lang w:val="fr-CH"/>
        </w:rPr>
        <w:t>et</w:t>
      </w:r>
      <w:r w:rsidRPr="0071782F">
        <w:rPr>
          <w:lang w:val="fr-CH"/>
        </w:rPr>
        <w:t xml:space="preserve"> </w:t>
      </w:r>
      <w:r w:rsidR="00943A69" w:rsidRPr="0071782F">
        <w:rPr>
          <w:lang w:val="fr-CH"/>
        </w:rPr>
        <w:t>article </w:t>
      </w:r>
      <w:r w:rsidRPr="0071782F">
        <w:rPr>
          <w:lang w:val="fr-CH"/>
        </w:rPr>
        <w:t xml:space="preserve">30), </w:t>
      </w:r>
      <w:r w:rsidR="00864F47" w:rsidRPr="0071782F">
        <w:rPr>
          <w:lang w:val="fr-CH"/>
        </w:rPr>
        <w:t xml:space="preserve">la loi d’adhésion de la République islamique d’Iran à la </w:t>
      </w:r>
      <w:r w:rsidRPr="0071782F">
        <w:rPr>
          <w:lang w:val="fr-CH"/>
        </w:rPr>
        <w:t xml:space="preserve">Convention </w:t>
      </w:r>
      <w:r w:rsidR="00864F47" w:rsidRPr="0071782F">
        <w:rPr>
          <w:lang w:val="fr-CH"/>
        </w:rPr>
        <w:t xml:space="preserve">relative aux droits de l’enfant </w:t>
      </w:r>
      <w:r w:rsidRPr="0071782F">
        <w:rPr>
          <w:lang w:val="fr-CH"/>
        </w:rPr>
        <w:t xml:space="preserve">(1993) </w:t>
      </w:r>
      <w:r w:rsidR="00864F47" w:rsidRPr="0071782F">
        <w:rPr>
          <w:lang w:val="fr-CH"/>
        </w:rPr>
        <w:t>et le Code du travail</w:t>
      </w:r>
      <w:r w:rsidRPr="0071782F">
        <w:rPr>
          <w:lang w:val="fr-CH"/>
        </w:rPr>
        <w:t>.</w:t>
      </w:r>
    </w:p>
    <w:p w:rsidR="009F7C7F" w:rsidRPr="0071782F" w:rsidRDefault="009F7C7F" w:rsidP="00496C06">
      <w:pPr>
        <w:pStyle w:val="SingleTxtG"/>
        <w:ind w:left="1701"/>
        <w:rPr>
          <w:lang w:val="fr-CH"/>
        </w:rPr>
      </w:pPr>
      <w:r w:rsidRPr="0071782F">
        <w:rPr>
          <w:lang w:val="fr-CH"/>
        </w:rPr>
        <w:t>177.3</w:t>
      </w:r>
      <w:r w:rsidR="00C006BB" w:rsidRPr="0071782F">
        <w:rPr>
          <w:lang w:val="fr-CH"/>
        </w:rPr>
        <w:t>.</w:t>
      </w:r>
      <w:r w:rsidRPr="0071782F">
        <w:rPr>
          <w:lang w:val="fr-CH"/>
        </w:rPr>
        <w:tab/>
      </w:r>
      <w:r w:rsidR="00FE18EF" w:rsidRPr="0071782F">
        <w:rPr>
          <w:lang w:val="fr-CH"/>
        </w:rPr>
        <w:t>Le Code du travail a rendu effective l’él</w:t>
      </w:r>
      <w:r w:rsidRPr="0071782F">
        <w:rPr>
          <w:lang w:val="fr-CH"/>
        </w:rPr>
        <w:t xml:space="preserve">imination </w:t>
      </w:r>
      <w:r w:rsidR="00FE18EF" w:rsidRPr="0071782F">
        <w:rPr>
          <w:lang w:val="fr-CH"/>
        </w:rPr>
        <w:t>du travail des enfants en fixant à 15</w:t>
      </w:r>
      <w:r w:rsidR="00D82C96" w:rsidRPr="0071782F">
        <w:rPr>
          <w:lang w:val="fr-CH"/>
        </w:rPr>
        <w:t> ans</w:t>
      </w:r>
      <w:r w:rsidR="00FE18EF" w:rsidRPr="0071782F">
        <w:rPr>
          <w:lang w:val="fr-CH"/>
        </w:rPr>
        <w:t xml:space="preserve"> l’âge minimal d’admission à l’emploi et en stipulant que ces enfants doivent avoir suivi avec succès un programme d’apprentissage. </w:t>
      </w:r>
      <w:r w:rsidRPr="0071782F">
        <w:rPr>
          <w:lang w:val="fr-CH"/>
        </w:rPr>
        <w:t>A</w:t>
      </w:r>
      <w:r w:rsidR="00FE18EF" w:rsidRPr="0071782F">
        <w:rPr>
          <w:lang w:val="fr-CH"/>
        </w:rPr>
        <w:t xml:space="preserve">u demeurant, étant donné que la </w:t>
      </w:r>
      <w:r w:rsidRPr="0071782F">
        <w:rPr>
          <w:lang w:val="fr-CH"/>
        </w:rPr>
        <w:t xml:space="preserve">Constitution </w:t>
      </w:r>
      <w:r w:rsidR="00FE18EF" w:rsidRPr="0071782F">
        <w:rPr>
          <w:lang w:val="fr-CH"/>
        </w:rPr>
        <w:t xml:space="preserve">prévoit l’instruction gratuite pour tous et rend obligatoire l’achèvement des études primaires, la </w:t>
      </w:r>
      <w:r w:rsidRPr="0071782F">
        <w:rPr>
          <w:lang w:val="fr-CH"/>
        </w:rPr>
        <w:t>corr</w:t>
      </w:r>
      <w:r w:rsidR="00FE18EF" w:rsidRPr="0071782F">
        <w:rPr>
          <w:lang w:val="fr-CH"/>
        </w:rPr>
        <w:t>é</w:t>
      </w:r>
      <w:r w:rsidRPr="0071782F">
        <w:rPr>
          <w:lang w:val="fr-CH"/>
        </w:rPr>
        <w:t xml:space="preserve">lation </w:t>
      </w:r>
      <w:r w:rsidR="00FE18EF" w:rsidRPr="0071782F">
        <w:rPr>
          <w:lang w:val="fr-CH"/>
        </w:rPr>
        <w:t>entre l’âge minimal d’admission à l’emploi et l’instruction obligatoire peut être invoquée comme preuve</w:t>
      </w:r>
      <w:r w:rsidRPr="0071782F">
        <w:rPr>
          <w:lang w:val="fr-CH"/>
        </w:rPr>
        <w:t xml:space="preserve">. </w:t>
      </w:r>
    </w:p>
    <w:p w:rsidR="009F7C7F" w:rsidRPr="0071782F" w:rsidRDefault="009F7C7F" w:rsidP="00496C06">
      <w:pPr>
        <w:pStyle w:val="SingleTxtG"/>
        <w:ind w:left="1701"/>
        <w:rPr>
          <w:lang w:val="fr-CH"/>
        </w:rPr>
      </w:pPr>
      <w:r w:rsidRPr="0071782F">
        <w:rPr>
          <w:lang w:val="fr-CH"/>
        </w:rPr>
        <w:t>177.4</w:t>
      </w:r>
      <w:r w:rsidR="00C006BB" w:rsidRPr="0071782F">
        <w:rPr>
          <w:lang w:val="fr-CH"/>
        </w:rPr>
        <w:t>.</w:t>
      </w:r>
      <w:r w:rsidRPr="0071782F">
        <w:rPr>
          <w:lang w:val="fr-CH"/>
        </w:rPr>
        <w:tab/>
      </w:r>
      <w:r w:rsidR="001078DD" w:rsidRPr="0071782F">
        <w:rPr>
          <w:lang w:val="fr-CH"/>
        </w:rPr>
        <w:t xml:space="preserve">De surcroît, sur proposition du Ministère du travail et des affaires sociales, le gouvernement a émis une directive en vertu de laquelle tous les employeurs sont tenus de faire face à leurs besoins en matière d’emploi en faisant appel à des jeunes en possession de certificats de formation technique et professionnelle. Cette </w:t>
      </w:r>
      <w:r w:rsidRPr="0071782F">
        <w:rPr>
          <w:lang w:val="fr-CH"/>
        </w:rPr>
        <w:t xml:space="preserve">directive </w:t>
      </w:r>
      <w:r w:rsidR="001078DD" w:rsidRPr="0071782F">
        <w:rPr>
          <w:lang w:val="fr-CH"/>
        </w:rPr>
        <w:t>a contribué à réorienter les enfants qui avaient abandonné leurs études générales vers l’enseignement technique et professionnel et, ultérieurement, vers le marché du travail</w:t>
      </w:r>
      <w:r w:rsidRPr="0071782F">
        <w:rPr>
          <w:lang w:val="fr-CH"/>
        </w:rPr>
        <w:t xml:space="preserve">. </w:t>
      </w:r>
    </w:p>
    <w:p w:rsidR="009F7C7F" w:rsidRPr="0071782F" w:rsidRDefault="009F7C7F" w:rsidP="00496C06">
      <w:pPr>
        <w:pStyle w:val="SingleTxtG"/>
        <w:ind w:left="1701"/>
        <w:rPr>
          <w:lang w:val="fr-CH"/>
        </w:rPr>
      </w:pPr>
      <w:r w:rsidRPr="0071782F">
        <w:rPr>
          <w:lang w:val="fr-CH"/>
        </w:rPr>
        <w:t>177.5</w:t>
      </w:r>
      <w:r w:rsidR="00C006BB" w:rsidRPr="0071782F">
        <w:rPr>
          <w:lang w:val="fr-CH"/>
        </w:rPr>
        <w:t>.</w:t>
      </w:r>
      <w:r w:rsidRPr="0071782F">
        <w:rPr>
          <w:lang w:val="fr-CH"/>
        </w:rPr>
        <w:tab/>
      </w:r>
      <w:r w:rsidR="00CB3867" w:rsidRPr="0071782F">
        <w:rPr>
          <w:lang w:val="fr-CH"/>
        </w:rPr>
        <w:t>Le gouvernement envisage également d’allonger la durée de l’éducation pour tous en la rendant obligatoire jusqu’à l’âge de 15</w:t>
      </w:r>
      <w:r w:rsidR="00D82C96" w:rsidRPr="0071782F">
        <w:rPr>
          <w:lang w:val="fr-CH"/>
        </w:rPr>
        <w:t> ans</w:t>
      </w:r>
      <w:r w:rsidR="00CB3867" w:rsidRPr="0071782F">
        <w:rPr>
          <w:lang w:val="fr-CH"/>
        </w:rPr>
        <w:t>, c’est-à-dire en rendant obligatoire l’achèvement non plus seulement des études primaires, mais du premier cycle des études secondaires</w:t>
      </w:r>
      <w:r w:rsidRPr="0071782F">
        <w:rPr>
          <w:lang w:val="fr-CH"/>
        </w:rPr>
        <w:t xml:space="preserve">. </w:t>
      </w:r>
    </w:p>
    <w:p w:rsidR="009F7C7F" w:rsidRPr="0071782F" w:rsidRDefault="009F7C7F" w:rsidP="00496C06">
      <w:pPr>
        <w:pStyle w:val="SingleTxtG"/>
        <w:ind w:left="1701"/>
        <w:rPr>
          <w:lang w:val="fr-CH"/>
        </w:rPr>
      </w:pPr>
      <w:r w:rsidRPr="0071782F">
        <w:rPr>
          <w:lang w:val="fr-CH"/>
        </w:rPr>
        <w:t>177.6</w:t>
      </w:r>
      <w:r w:rsidR="00C006BB" w:rsidRPr="0071782F">
        <w:rPr>
          <w:lang w:val="fr-CH"/>
        </w:rPr>
        <w:t>.</w:t>
      </w:r>
      <w:r w:rsidRPr="0071782F">
        <w:rPr>
          <w:lang w:val="fr-CH"/>
        </w:rPr>
        <w:tab/>
      </w:r>
      <w:r w:rsidR="009A20F3" w:rsidRPr="0071782F">
        <w:rPr>
          <w:lang w:val="fr-CH"/>
        </w:rPr>
        <w:t xml:space="preserve">Tous les emplois et postes offerts par le secteur économique et par toutes les </w:t>
      </w:r>
      <w:r w:rsidRPr="0071782F">
        <w:rPr>
          <w:lang w:val="fr-CH"/>
        </w:rPr>
        <w:t xml:space="preserve">institutions </w:t>
      </w:r>
      <w:r w:rsidR="009A20F3" w:rsidRPr="0071782F">
        <w:rPr>
          <w:lang w:val="fr-CH"/>
        </w:rPr>
        <w:t>du pays so</w:t>
      </w:r>
      <w:r w:rsidR="0068065D" w:rsidRPr="0071782F">
        <w:rPr>
          <w:lang w:val="fr-CH"/>
        </w:rPr>
        <w:t>nt régis par le Code du travail – à</w:t>
      </w:r>
      <w:r w:rsidR="00D36718">
        <w:rPr>
          <w:lang w:val="fr-CH"/>
        </w:rPr>
        <w:t xml:space="preserve"> </w:t>
      </w:r>
      <w:r w:rsidR="009A20F3" w:rsidRPr="0071782F">
        <w:rPr>
          <w:lang w:val="fr-CH"/>
        </w:rPr>
        <w:t xml:space="preserve">l’exception de certains cas dans lesquels sont appliquées des normes de travail spécifiques </w:t>
      </w:r>
      <w:r w:rsidRPr="0071782F">
        <w:rPr>
          <w:lang w:val="fr-CH"/>
        </w:rPr>
        <w:t>(</w:t>
      </w:r>
      <w:r w:rsidR="009A20F3" w:rsidRPr="0071782F">
        <w:rPr>
          <w:lang w:val="fr-CH"/>
        </w:rPr>
        <w:t xml:space="preserve">comme </w:t>
      </w:r>
      <w:r w:rsidR="0068065D" w:rsidRPr="0071782F">
        <w:rPr>
          <w:lang w:val="fr-CH"/>
        </w:rPr>
        <w:t xml:space="preserve">ceux </w:t>
      </w:r>
      <w:r w:rsidR="009A20F3" w:rsidRPr="0071782F">
        <w:rPr>
          <w:lang w:val="fr-CH"/>
        </w:rPr>
        <w:t>des ministères, de</w:t>
      </w:r>
      <w:r w:rsidR="0068065D" w:rsidRPr="0071782F">
        <w:rPr>
          <w:lang w:val="fr-CH"/>
        </w:rPr>
        <w:t xml:space="preserve"> la</w:t>
      </w:r>
      <w:r w:rsidR="009A20F3" w:rsidRPr="0071782F">
        <w:rPr>
          <w:lang w:val="fr-CH"/>
        </w:rPr>
        <w:t xml:space="preserve"> </w:t>
      </w:r>
      <w:r w:rsidRPr="0071782F">
        <w:rPr>
          <w:lang w:val="fr-CH"/>
        </w:rPr>
        <w:t xml:space="preserve">police </w:t>
      </w:r>
      <w:r w:rsidR="009A20F3" w:rsidRPr="0071782F">
        <w:rPr>
          <w:lang w:val="fr-CH"/>
        </w:rPr>
        <w:t>et de l’armée</w:t>
      </w:r>
      <w:r w:rsidRPr="0071782F">
        <w:rPr>
          <w:lang w:val="fr-CH"/>
        </w:rPr>
        <w:t>)</w:t>
      </w:r>
      <w:r w:rsidR="0068065D" w:rsidRPr="0071782F">
        <w:rPr>
          <w:lang w:val="fr-CH"/>
        </w:rPr>
        <w:t xml:space="preserve"> – et </w:t>
      </w:r>
      <w:r w:rsidR="009A20F3" w:rsidRPr="0071782F">
        <w:rPr>
          <w:lang w:val="fr-CH"/>
        </w:rPr>
        <w:t xml:space="preserve">doivent donc appliquer les </w:t>
      </w:r>
      <w:r w:rsidRPr="0071782F">
        <w:rPr>
          <w:lang w:val="fr-CH"/>
        </w:rPr>
        <w:t xml:space="preserve">restrictions </w:t>
      </w:r>
      <w:r w:rsidR="009A20F3" w:rsidRPr="0071782F">
        <w:rPr>
          <w:lang w:val="fr-CH"/>
        </w:rPr>
        <w:t xml:space="preserve">en vigueur en ce qui concerne le travail des enfants. Font exception à cette règle les ateliers familiaux qui, conformément aux dispositions de </w:t>
      </w:r>
      <w:r w:rsidR="00723F2B" w:rsidRPr="0071782F">
        <w:rPr>
          <w:lang w:val="fr-CH"/>
        </w:rPr>
        <w:t>l’</w:t>
      </w:r>
      <w:r w:rsidR="00943A69" w:rsidRPr="0071782F">
        <w:rPr>
          <w:lang w:val="fr-CH"/>
        </w:rPr>
        <w:t>article </w:t>
      </w:r>
      <w:r w:rsidRPr="0071782F">
        <w:rPr>
          <w:lang w:val="fr-CH"/>
        </w:rPr>
        <w:t xml:space="preserve">188 </w:t>
      </w:r>
      <w:r w:rsidR="009A20F3" w:rsidRPr="0071782F">
        <w:rPr>
          <w:lang w:val="fr-CH"/>
        </w:rPr>
        <w:t>du Code du travail, sont gérés exclusivement par l’employeur, son conjoint ou son parent le plus proche (son père ou sa mère, par exemple) et sortent du champ d’application du Code du travail</w:t>
      </w:r>
      <w:r w:rsidRPr="0071782F">
        <w:rPr>
          <w:lang w:val="fr-CH"/>
        </w:rPr>
        <w:t>.</w:t>
      </w:r>
    </w:p>
    <w:p w:rsidR="009F7C7F" w:rsidRPr="001B2D36" w:rsidRDefault="009F7C7F" w:rsidP="00496C06">
      <w:pPr>
        <w:pStyle w:val="SingleTxtG"/>
        <w:ind w:left="1701"/>
        <w:rPr>
          <w:spacing w:val="-2"/>
          <w:lang w:val="fr-CH"/>
        </w:rPr>
      </w:pPr>
      <w:r w:rsidRPr="001B2D36">
        <w:rPr>
          <w:spacing w:val="-2"/>
          <w:lang w:val="fr-CH"/>
        </w:rPr>
        <w:t>177.7</w:t>
      </w:r>
      <w:r w:rsidR="00C006BB" w:rsidRPr="001B2D36">
        <w:rPr>
          <w:spacing w:val="-2"/>
          <w:lang w:val="fr-CH"/>
        </w:rPr>
        <w:t>.</w:t>
      </w:r>
      <w:r w:rsidRPr="001B2D36">
        <w:rPr>
          <w:spacing w:val="-2"/>
          <w:lang w:val="fr-CH"/>
        </w:rPr>
        <w:tab/>
      </w:r>
      <w:r w:rsidR="008917E5" w:rsidRPr="001B2D36">
        <w:rPr>
          <w:spacing w:val="-2"/>
          <w:lang w:val="fr-CH"/>
        </w:rPr>
        <w:t xml:space="preserve">Il convient de noter qu’à la suite de l’adoption de la loi exemptant les ateliers (unités) de cinq travailleurs au maximum de l’obligation de respecter les dispositions du Code du travail, les enfants qui y travaillent ont eux aussi été exclus du champ d’application de ce Code en ce qui concerne les </w:t>
      </w:r>
      <w:r w:rsidRPr="001B2D36">
        <w:rPr>
          <w:spacing w:val="-2"/>
          <w:lang w:val="fr-CH"/>
        </w:rPr>
        <w:t xml:space="preserve">restrictions </w:t>
      </w:r>
      <w:r w:rsidR="008917E5" w:rsidRPr="001B2D36">
        <w:rPr>
          <w:spacing w:val="-2"/>
          <w:lang w:val="fr-CH"/>
        </w:rPr>
        <w:t>en matière de travail des enfants</w:t>
      </w:r>
      <w:r w:rsidRPr="001B2D36">
        <w:rPr>
          <w:spacing w:val="-2"/>
          <w:lang w:val="fr-CH"/>
        </w:rPr>
        <w:t xml:space="preserve">. </w:t>
      </w:r>
      <w:r w:rsidR="008917E5" w:rsidRPr="001B2D36">
        <w:rPr>
          <w:spacing w:val="-2"/>
          <w:lang w:val="fr-CH"/>
        </w:rPr>
        <w:t>Face aux conséquences préjudiciables de l’</w:t>
      </w:r>
      <w:r w:rsidRPr="001B2D36">
        <w:rPr>
          <w:spacing w:val="-2"/>
          <w:lang w:val="fr-CH"/>
        </w:rPr>
        <w:t>ex</w:t>
      </w:r>
      <w:r w:rsidR="008917E5" w:rsidRPr="001B2D36">
        <w:rPr>
          <w:spacing w:val="-2"/>
          <w:lang w:val="fr-CH"/>
        </w:rPr>
        <w:t>é</w:t>
      </w:r>
      <w:r w:rsidRPr="001B2D36">
        <w:rPr>
          <w:spacing w:val="-2"/>
          <w:lang w:val="fr-CH"/>
        </w:rPr>
        <w:t xml:space="preserve">cution </w:t>
      </w:r>
      <w:r w:rsidR="008917E5" w:rsidRPr="001B2D36">
        <w:rPr>
          <w:spacing w:val="-2"/>
          <w:lang w:val="fr-CH"/>
        </w:rPr>
        <w:t>de cette loi</w:t>
      </w:r>
      <w:r w:rsidRPr="001B2D36">
        <w:rPr>
          <w:spacing w:val="-2"/>
          <w:lang w:val="fr-CH"/>
        </w:rPr>
        <w:t xml:space="preserve">, </w:t>
      </w:r>
      <w:r w:rsidR="008917E5" w:rsidRPr="001B2D36">
        <w:rPr>
          <w:spacing w:val="-2"/>
          <w:lang w:val="fr-CH"/>
        </w:rPr>
        <w:t xml:space="preserve">le gouvernement a chargé un comité spécial d’élaborer un </w:t>
      </w:r>
      <w:r w:rsidR="001B2D36">
        <w:rPr>
          <w:spacing w:val="-2"/>
          <w:lang w:val="fr-CH"/>
        </w:rPr>
        <w:t xml:space="preserve">article </w:t>
      </w:r>
      <w:r w:rsidR="008917E5" w:rsidRPr="001B2D36">
        <w:rPr>
          <w:spacing w:val="-2"/>
          <w:lang w:val="fr-CH"/>
        </w:rPr>
        <w:t>unique qui remédie</w:t>
      </w:r>
      <w:r w:rsidR="0068065D" w:rsidRPr="001B2D36">
        <w:rPr>
          <w:spacing w:val="-2"/>
          <w:lang w:val="fr-CH"/>
        </w:rPr>
        <w:t>r</w:t>
      </w:r>
      <w:r w:rsidR="008917E5" w:rsidRPr="001B2D36">
        <w:rPr>
          <w:spacing w:val="-2"/>
          <w:lang w:val="fr-CH"/>
        </w:rPr>
        <w:t xml:space="preserve"> à cette situation, lequel sera présenté à l’Assemblée c</w:t>
      </w:r>
      <w:r w:rsidRPr="001B2D36">
        <w:rPr>
          <w:spacing w:val="-2"/>
          <w:lang w:val="fr-CH"/>
        </w:rPr>
        <w:t>onsultative (</w:t>
      </w:r>
      <w:r w:rsidR="008917E5" w:rsidRPr="001B2D36">
        <w:rPr>
          <w:spacing w:val="-2"/>
          <w:lang w:val="fr-CH"/>
        </w:rPr>
        <w:t>Parlement</w:t>
      </w:r>
      <w:r w:rsidRPr="001B2D36">
        <w:rPr>
          <w:spacing w:val="-2"/>
          <w:lang w:val="fr-CH"/>
        </w:rPr>
        <w:t xml:space="preserve">). </w:t>
      </w:r>
    </w:p>
    <w:p w:rsidR="009F7C7F" w:rsidRPr="0071782F" w:rsidRDefault="009F7C7F" w:rsidP="00496C06">
      <w:pPr>
        <w:pStyle w:val="SingleTxtG"/>
        <w:ind w:left="1701"/>
        <w:rPr>
          <w:lang w:val="fr-CH"/>
        </w:rPr>
      </w:pPr>
      <w:r w:rsidRPr="0071782F">
        <w:rPr>
          <w:lang w:val="fr-CH"/>
        </w:rPr>
        <w:t>177.8</w:t>
      </w:r>
      <w:r w:rsidR="00C006BB" w:rsidRPr="0071782F">
        <w:rPr>
          <w:lang w:val="fr-CH"/>
        </w:rPr>
        <w:t>.</w:t>
      </w:r>
      <w:r w:rsidRPr="0071782F">
        <w:rPr>
          <w:lang w:val="fr-CH"/>
        </w:rPr>
        <w:tab/>
      </w:r>
      <w:r w:rsidR="001604F3" w:rsidRPr="0071782F">
        <w:rPr>
          <w:lang w:val="fr-CH"/>
        </w:rPr>
        <w:t>Pour sa part, le Parlement a appelé l’attention sur les conséquences néfastes de cette loi et s’est déclaré prêt à examiner et à adopter toute proposition de nature à la modifier.</w:t>
      </w:r>
    </w:p>
    <w:p w:rsidR="009F7C7F" w:rsidRPr="001B2D36" w:rsidRDefault="009F7C7F" w:rsidP="00496C06">
      <w:pPr>
        <w:pStyle w:val="SingleTxtG"/>
        <w:ind w:left="1701"/>
        <w:rPr>
          <w:spacing w:val="-2"/>
          <w:lang w:val="fr-CH"/>
        </w:rPr>
      </w:pPr>
      <w:r w:rsidRPr="001B2D36">
        <w:rPr>
          <w:spacing w:val="-2"/>
          <w:lang w:val="fr-CH"/>
        </w:rPr>
        <w:t>177.9</w:t>
      </w:r>
      <w:r w:rsidR="00C006BB" w:rsidRPr="001B2D36">
        <w:rPr>
          <w:spacing w:val="-2"/>
          <w:lang w:val="fr-CH"/>
        </w:rPr>
        <w:t>.</w:t>
      </w:r>
      <w:r w:rsidRPr="001B2D36">
        <w:rPr>
          <w:spacing w:val="-2"/>
          <w:lang w:val="fr-CH"/>
        </w:rPr>
        <w:tab/>
      </w:r>
      <w:r w:rsidR="00A43EF8" w:rsidRPr="001B2D36">
        <w:rPr>
          <w:spacing w:val="-2"/>
          <w:lang w:val="fr-CH"/>
        </w:rPr>
        <w:t>Le Centre supérieur des associations professionnelles d’employeurs, le Haut Conseil islamique du travail et les représentants des travailleurs ont signé un accord collectif à l’issue des réunions du Haut Comité d’experts qu’ils avaient constitué.</w:t>
      </w:r>
      <w:r w:rsidRPr="001B2D36">
        <w:rPr>
          <w:spacing w:val="-2"/>
          <w:lang w:val="fr-CH"/>
        </w:rPr>
        <w:t xml:space="preserve"> </w:t>
      </w:r>
      <w:r w:rsidR="00A43EF8" w:rsidRPr="001B2D36">
        <w:rPr>
          <w:spacing w:val="-2"/>
          <w:lang w:val="fr-CH"/>
        </w:rPr>
        <w:t>Cet accord, qui doit être présenté au Conseil des ministres, puis à l’Assemblée c</w:t>
      </w:r>
      <w:r w:rsidRPr="001B2D36">
        <w:rPr>
          <w:spacing w:val="-2"/>
          <w:lang w:val="fr-CH"/>
        </w:rPr>
        <w:t xml:space="preserve">onsultative </w:t>
      </w:r>
      <w:r w:rsidR="00A43EF8" w:rsidRPr="001B2D36">
        <w:rPr>
          <w:spacing w:val="-2"/>
          <w:lang w:val="fr-CH"/>
        </w:rPr>
        <w:t>islamique pour examen et adoption, prévoit le respect des dispositions des conventions de l’OIT concernant le travail des enfants et l’âge d’admission à l’emploi</w:t>
      </w:r>
      <w:r w:rsidRPr="001B2D36">
        <w:rPr>
          <w:spacing w:val="-2"/>
          <w:lang w:val="fr-CH"/>
        </w:rPr>
        <w:t>.</w:t>
      </w:r>
    </w:p>
    <w:p w:rsidR="009F7C7F" w:rsidRPr="0071782F" w:rsidRDefault="009F7C7F" w:rsidP="00496C06">
      <w:pPr>
        <w:pStyle w:val="SingleTxtG"/>
        <w:ind w:left="1701"/>
        <w:rPr>
          <w:lang w:val="fr-CH"/>
        </w:rPr>
      </w:pPr>
      <w:r w:rsidRPr="0071782F">
        <w:rPr>
          <w:lang w:val="fr-CH"/>
        </w:rPr>
        <w:t>177.10</w:t>
      </w:r>
      <w:r w:rsidR="00C006BB" w:rsidRPr="0071782F">
        <w:rPr>
          <w:lang w:val="fr-CH"/>
        </w:rPr>
        <w:t>.</w:t>
      </w:r>
      <w:r w:rsidRPr="0071782F">
        <w:rPr>
          <w:lang w:val="fr-CH"/>
        </w:rPr>
        <w:t xml:space="preserve"> </w:t>
      </w:r>
      <w:r w:rsidR="00670311" w:rsidRPr="0071782F">
        <w:rPr>
          <w:lang w:val="fr-CH"/>
        </w:rPr>
        <w:t xml:space="preserve">De même, pour défendre les droits des enfants et prévenir leur </w:t>
      </w:r>
      <w:r w:rsidRPr="0071782F">
        <w:rPr>
          <w:lang w:val="fr-CH"/>
        </w:rPr>
        <w:t xml:space="preserve">exploitation, </w:t>
      </w:r>
      <w:r w:rsidR="00670311" w:rsidRPr="0071782F">
        <w:rPr>
          <w:lang w:val="fr-CH"/>
        </w:rPr>
        <w:t>l’Organisme public de protection sociale a décidé de créer des écoles vertes et a formulé de nouvelles politiques d’exécution</w:t>
      </w:r>
      <w:r w:rsidRPr="0071782F">
        <w:rPr>
          <w:lang w:val="fr-CH"/>
        </w:rPr>
        <w:t xml:space="preserve">. </w:t>
      </w:r>
    </w:p>
    <w:p w:rsidR="009F7C7F" w:rsidRPr="0071782F" w:rsidRDefault="009F7C7F" w:rsidP="00496C06">
      <w:pPr>
        <w:pStyle w:val="SingleTxtG"/>
        <w:ind w:left="1701"/>
        <w:rPr>
          <w:lang w:val="fr-CH"/>
        </w:rPr>
      </w:pPr>
      <w:r w:rsidRPr="0071782F">
        <w:rPr>
          <w:lang w:val="fr-CH"/>
        </w:rPr>
        <w:t>177.11</w:t>
      </w:r>
      <w:r w:rsidR="00C006BB" w:rsidRPr="0071782F">
        <w:rPr>
          <w:lang w:val="fr-CH"/>
        </w:rPr>
        <w:t>.</w:t>
      </w:r>
      <w:r w:rsidRPr="0071782F">
        <w:rPr>
          <w:lang w:val="fr-CH"/>
        </w:rPr>
        <w:t xml:space="preserve"> </w:t>
      </w:r>
      <w:r w:rsidR="00A234C2" w:rsidRPr="0071782F">
        <w:rPr>
          <w:lang w:val="fr-CH"/>
        </w:rPr>
        <w:t xml:space="preserve">Pour garantir l’application des règles concernant l’interdiction du travail des enfants, outre les inspections effectuées par les inspecteurs du travail conformément aux obligations prévues au </w:t>
      </w:r>
      <w:r w:rsidR="00723F2B" w:rsidRPr="0071782F">
        <w:rPr>
          <w:lang w:val="fr-CH"/>
        </w:rPr>
        <w:t>paragraphe </w:t>
      </w:r>
      <w:r w:rsidRPr="0071782F">
        <w:rPr>
          <w:lang w:val="fr-CH"/>
        </w:rPr>
        <w:t xml:space="preserve">A </w:t>
      </w:r>
      <w:r w:rsidR="00A234C2"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96 </w:t>
      </w:r>
      <w:r w:rsidR="00A234C2" w:rsidRPr="0071782F">
        <w:rPr>
          <w:lang w:val="fr-CH"/>
        </w:rPr>
        <w:t xml:space="preserve">du Code du travail, </w:t>
      </w:r>
      <w:r w:rsidR="00723F2B" w:rsidRPr="0071782F">
        <w:rPr>
          <w:lang w:val="fr-CH"/>
        </w:rPr>
        <w:t>l’</w:t>
      </w:r>
      <w:r w:rsidR="00943A69" w:rsidRPr="0071782F">
        <w:rPr>
          <w:lang w:val="fr-CH"/>
        </w:rPr>
        <w:t>article </w:t>
      </w:r>
      <w:r w:rsidRPr="0071782F">
        <w:rPr>
          <w:lang w:val="fr-CH"/>
        </w:rPr>
        <w:t xml:space="preserve">176 </w:t>
      </w:r>
      <w:r w:rsidR="00A234C2" w:rsidRPr="0071782F">
        <w:rPr>
          <w:lang w:val="fr-CH"/>
        </w:rPr>
        <w:t>du même Code prévoit l’imposition de sanctions pécuniaires et de peines d’emprisonnement pour les contrevenants</w:t>
      </w:r>
      <w:r w:rsidRPr="0071782F">
        <w:rPr>
          <w:lang w:val="fr-CH"/>
        </w:rPr>
        <w:t>.</w:t>
      </w:r>
    </w:p>
    <w:p w:rsidR="009F7C7F" w:rsidRPr="0071782F" w:rsidRDefault="009F7C7F" w:rsidP="00496C06">
      <w:pPr>
        <w:pStyle w:val="H1G"/>
        <w:rPr>
          <w:lang w:val="fr-CH"/>
        </w:rPr>
      </w:pPr>
      <w:r w:rsidRPr="0071782F">
        <w:rPr>
          <w:lang w:val="fr-CH"/>
        </w:rPr>
        <w:tab/>
      </w:r>
      <w:r w:rsidRPr="0071782F">
        <w:rPr>
          <w:lang w:val="fr-CH"/>
        </w:rPr>
        <w:tab/>
        <w:t>R</w:t>
      </w:r>
      <w:r w:rsidR="00A234C2" w:rsidRPr="0071782F">
        <w:rPr>
          <w:lang w:val="fr-CH"/>
        </w:rPr>
        <w:t>ègles et règlements interdisant l’</w:t>
      </w:r>
      <w:r w:rsidRPr="0071782F">
        <w:rPr>
          <w:lang w:val="fr-CH"/>
        </w:rPr>
        <w:t>exploitation</w:t>
      </w:r>
      <w:r w:rsidR="00A234C2" w:rsidRPr="0071782F">
        <w:rPr>
          <w:lang w:val="fr-CH"/>
        </w:rPr>
        <w:t xml:space="preserve"> des enfants par le travail</w:t>
      </w:r>
    </w:p>
    <w:p w:rsidR="009F7C7F" w:rsidRPr="0071782F" w:rsidRDefault="009F7C7F" w:rsidP="00496C06">
      <w:pPr>
        <w:pStyle w:val="H4G"/>
        <w:rPr>
          <w:lang w:val="fr-CH"/>
        </w:rPr>
      </w:pPr>
      <w:r w:rsidRPr="0071782F">
        <w:rPr>
          <w:lang w:val="fr-CH"/>
        </w:rPr>
        <w:tab/>
      </w:r>
      <w:r w:rsidRPr="0071782F">
        <w:rPr>
          <w:lang w:val="fr-CH"/>
        </w:rPr>
        <w:tab/>
      </w:r>
      <w:r w:rsidR="00A234C2" w:rsidRPr="0071782F">
        <w:rPr>
          <w:lang w:val="fr-CH"/>
        </w:rPr>
        <w:t xml:space="preserve">Code du travail </w:t>
      </w:r>
      <w:r w:rsidRPr="0071782F">
        <w:rPr>
          <w:lang w:val="fr-CH"/>
        </w:rPr>
        <w:t>(1990)</w:t>
      </w:r>
    </w:p>
    <w:p w:rsidR="009F7C7F" w:rsidRPr="0071782F" w:rsidRDefault="009F7C7F" w:rsidP="00496C06">
      <w:pPr>
        <w:pStyle w:val="SingleTxtG"/>
        <w:rPr>
          <w:lang w:val="fr-CH"/>
        </w:rPr>
      </w:pPr>
      <w:r w:rsidRPr="0071782F">
        <w:rPr>
          <w:lang w:val="fr-CH"/>
        </w:rPr>
        <w:t>178.</w:t>
      </w:r>
      <w:r w:rsidRPr="0071782F">
        <w:rPr>
          <w:lang w:val="fr-CH"/>
        </w:rPr>
        <w:tab/>
      </w:r>
      <w:r w:rsidR="00846881" w:rsidRPr="0071782F">
        <w:rPr>
          <w:lang w:val="fr-CH"/>
        </w:rPr>
        <w:t xml:space="preserve">En vertu des dispositions des </w:t>
      </w:r>
      <w:r w:rsidR="00723F2B" w:rsidRPr="0071782F">
        <w:rPr>
          <w:lang w:val="fr-CH"/>
        </w:rPr>
        <w:t>articles </w:t>
      </w:r>
      <w:r w:rsidRPr="0071782F">
        <w:rPr>
          <w:lang w:val="fr-CH"/>
        </w:rPr>
        <w:t>79</w:t>
      </w:r>
      <w:r w:rsidR="00846881" w:rsidRPr="0071782F">
        <w:rPr>
          <w:lang w:val="fr-CH"/>
        </w:rPr>
        <w:t xml:space="preserve"> à </w:t>
      </w:r>
      <w:r w:rsidRPr="0071782F">
        <w:rPr>
          <w:lang w:val="fr-CH"/>
        </w:rPr>
        <w:t xml:space="preserve">84, </w:t>
      </w:r>
      <w:r w:rsidR="00846881" w:rsidRPr="0071782F">
        <w:rPr>
          <w:lang w:val="fr-CH"/>
        </w:rPr>
        <w:t>l’âge minimal d’admission à l’emploi est de 15</w:t>
      </w:r>
      <w:r w:rsidR="00D82C96" w:rsidRPr="0071782F">
        <w:rPr>
          <w:lang w:val="fr-CH"/>
        </w:rPr>
        <w:t> ans</w:t>
      </w:r>
      <w:r w:rsidR="00846881" w:rsidRPr="0071782F">
        <w:rPr>
          <w:lang w:val="fr-CH"/>
        </w:rPr>
        <w:t>, et les travailleurs âgés de 15 à 18</w:t>
      </w:r>
      <w:r w:rsidR="00D82C96" w:rsidRPr="0071782F">
        <w:rPr>
          <w:lang w:val="fr-CH"/>
        </w:rPr>
        <w:t> ans</w:t>
      </w:r>
      <w:r w:rsidR="00846881" w:rsidRPr="0071782F">
        <w:rPr>
          <w:lang w:val="fr-CH"/>
        </w:rPr>
        <w:t>, qui ont le statut de travailleurs adolescents, doivent subir certains examens médicaux avant et pendant leur emploi.</w:t>
      </w:r>
      <w:r w:rsidRPr="0071782F">
        <w:rPr>
          <w:lang w:val="fr-CH"/>
        </w:rPr>
        <w:t xml:space="preserve"> </w:t>
      </w:r>
      <w:r w:rsidR="00846881" w:rsidRPr="0071782F">
        <w:rPr>
          <w:lang w:val="fr-CH"/>
        </w:rPr>
        <w:t xml:space="preserve">Ces </w:t>
      </w:r>
      <w:r w:rsidR="001B2D36">
        <w:rPr>
          <w:lang w:val="fr-CH"/>
        </w:rPr>
        <w:t xml:space="preserve">articles </w:t>
      </w:r>
      <w:r w:rsidR="00846881" w:rsidRPr="0071782F">
        <w:rPr>
          <w:lang w:val="fr-CH"/>
        </w:rPr>
        <w:t>disposent ce qui suit</w:t>
      </w:r>
      <w:r w:rsidR="008F7D33" w:rsidRPr="0071782F">
        <w:rPr>
          <w:lang w:val="fr-CH"/>
        </w:rPr>
        <w:t>:</w:t>
      </w:r>
      <w:r w:rsidRPr="0071782F">
        <w:rPr>
          <w:lang w:val="fr-CH"/>
        </w:rPr>
        <w:t xml:space="preserve"> </w:t>
      </w:r>
    </w:p>
    <w:p w:rsidR="009F7C7F" w:rsidRPr="0071782F" w:rsidRDefault="009F7C7F" w:rsidP="00496C06">
      <w:pPr>
        <w:pStyle w:val="SingleTxtG"/>
        <w:ind w:left="1701"/>
        <w:rPr>
          <w:lang w:val="fr-CH"/>
        </w:rPr>
      </w:pPr>
      <w:r w:rsidRPr="0071782F">
        <w:rPr>
          <w:lang w:val="fr-CH"/>
        </w:rPr>
        <w:t>178.1</w:t>
      </w:r>
      <w:r w:rsidR="00F732C5" w:rsidRPr="0071782F">
        <w:rPr>
          <w:lang w:val="fr-CH"/>
        </w:rPr>
        <w:t>.</w:t>
      </w:r>
      <w:r w:rsidRPr="0071782F">
        <w:rPr>
          <w:lang w:val="fr-CH"/>
        </w:rPr>
        <w:tab/>
      </w:r>
      <w:r w:rsidR="00943A69" w:rsidRPr="0071782F">
        <w:rPr>
          <w:lang w:val="fr-CH"/>
        </w:rPr>
        <w:t>Article </w:t>
      </w:r>
      <w:r w:rsidRPr="0071782F">
        <w:rPr>
          <w:lang w:val="fr-CH"/>
        </w:rPr>
        <w:t xml:space="preserve">79 – </w:t>
      </w:r>
      <w:r w:rsidR="00846881" w:rsidRPr="0071782F">
        <w:rPr>
          <w:lang w:val="fr-CH"/>
        </w:rPr>
        <w:t>Il est interdit d’employer une personne qui n’a pas 15</w:t>
      </w:r>
      <w:r w:rsidR="00D82C96" w:rsidRPr="0071782F">
        <w:rPr>
          <w:lang w:val="fr-CH"/>
        </w:rPr>
        <w:t> ans</w:t>
      </w:r>
      <w:r w:rsidR="00846881" w:rsidRPr="0071782F">
        <w:rPr>
          <w:lang w:val="fr-CH"/>
        </w:rPr>
        <w:t xml:space="preserve"> révolus</w:t>
      </w:r>
      <w:r w:rsidRPr="0071782F">
        <w:rPr>
          <w:lang w:val="fr-CH"/>
        </w:rPr>
        <w:t xml:space="preserve">. </w:t>
      </w:r>
    </w:p>
    <w:p w:rsidR="009F7C7F" w:rsidRPr="0071782F" w:rsidRDefault="009F7C7F" w:rsidP="00496C06">
      <w:pPr>
        <w:pStyle w:val="SingleTxtG"/>
        <w:ind w:left="1701"/>
        <w:rPr>
          <w:lang w:val="fr-CH"/>
        </w:rPr>
      </w:pPr>
      <w:r w:rsidRPr="0071782F">
        <w:rPr>
          <w:lang w:val="fr-CH"/>
        </w:rPr>
        <w:t>178.2</w:t>
      </w:r>
      <w:r w:rsidR="00F732C5" w:rsidRPr="0071782F">
        <w:rPr>
          <w:lang w:val="fr-CH"/>
        </w:rPr>
        <w:t>.</w:t>
      </w:r>
      <w:r w:rsidRPr="0071782F">
        <w:rPr>
          <w:lang w:val="fr-CH"/>
        </w:rPr>
        <w:tab/>
      </w:r>
      <w:r w:rsidR="00943A69" w:rsidRPr="0071782F">
        <w:rPr>
          <w:lang w:val="fr-CH"/>
        </w:rPr>
        <w:t>Article </w:t>
      </w:r>
      <w:r w:rsidRPr="0071782F">
        <w:rPr>
          <w:lang w:val="fr-CH"/>
        </w:rPr>
        <w:t xml:space="preserve">80 – </w:t>
      </w:r>
      <w:r w:rsidR="00846881" w:rsidRPr="0071782F">
        <w:rPr>
          <w:lang w:val="fr-CH"/>
        </w:rPr>
        <w:t>Les travailleurs âgés de 15 à 18</w:t>
      </w:r>
      <w:r w:rsidR="00D82C96" w:rsidRPr="0071782F">
        <w:rPr>
          <w:lang w:val="fr-CH"/>
        </w:rPr>
        <w:t> ans</w:t>
      </w:r>
      <w:r w:rsidR="00846881" w:rsidRPr="0071782F">
        <w:rPr>
          <w:lang w:val="fr-CH"/>
        </w:rPr>
        <w:t>, q</w:t>
      </w:r>
      <w:r w:rsidR="00402EE2" w:rsidRPr="0071782F">
        <w:rPr>
          <w:lang w:val="fr-CH"/>
        </w:rPr>
        <w:t>ui ont le statut de travailleur</w:t>
      </w:r>
      <w:r w:rsidR="00846881" w:rsidRPr="0071782F">
        <w:rPr>
          <w:lang w:val="fr-CH"/>
        </w:rPr>
        <w:t xml:space="preserve"> adolescent, doivent subir certains examens médicaux avant et pendant leur emploi</w:t>
      </w:r>
      <w:r w:rsidRPr="0071782F">
        <w:rPr>
          <w:lang w:val="fr-CH"/>
        </w:rPr>
        <w:t>.</w:t>
      </w:r>
    </w:p>
    <w:p w:rsidR="009F7C7F" w:rsidRPr="0071782F" w:rsidRDefault="009F7C7F" w:rsidP="00496C06">
      <w:pPr>
        <w:pStyle w:val="SingleTxtG"/>
        <w:ind w:left="1701"/>
        <w:rPr>
          <w:lang w:val="fr-CH"/>
        </w:rPr>
      </w:pPr>
      <w:r w:rsidRPr="0071782F">
        <w:rPr>
          <w:lang w:val="fr-CH"/>
        </w:rPr>
        <w:t>178.3</w:t>
      </w:r>
      <w:r w:rsidR="00F732C5" w:rsidRPr="0071782F">
        <w:rPr>
          <w:lang w:val="fr-CH"/>
        </w:rPr>
        <w:t>.</w:t>
      </w:r>
      <w:r w:rsidRPr="0071782F">
        <w:rPr>
          <w:lang w:val="fr-CH"/>
        </w:rPr>
        <w:tab/>
      </w:r>
      <w:r w:rsidR="00943A69" w:rsidRPr="0071782F">
        <w:rPr>
          <w:lang w:val="fr-CH"/>
        </w:rPr>
        <w:t>Article </w:t>
      </w:r>
      <w:r w:rsidRPr="0071782F">
        <w:rPr>
          <w:lang w:val="fr-CH"/>
        </w:rPr>
        <w:t xml:space="preserve">81 – </w:t>
      </w:r>
      <w:r w:rsidR="00020E93" w:rsidRPr="0071782F">
        <w:rPr>
          <w:lang w:val="fr-CH"/>
        </w:rPr>
        <w:t xml:space="preserve">Les travailleurs adolescents doivent subir des examens médicaux au moins une fois par an et la documentation qui s’y rapporte doit être versée au dossier </w:t>
      </w:r>
      <w:r w:rsidR="00402EE2" w:rsidRPr="0071782F">
        <w:rPr>
          <w:lang w:val="fr-CH"/>
        </w:rPr>
        <w:t>de chacun d’eux</w:t>
      </w:r>
      <w:r w:rsidR="00020E93" w:rsidRPr="0071782F">
        <w:rPr>
          <w:lang w:val="fr-CH"/>
        </w:rPr>
        <w:t>. Le médecin doit donner son avis sur le caractère approprié de l’emploi au vu des caractéristiques physiques du travailleur</w:t>
      </w:r>
      <w:r w:rsidR="008F7D33" w:rsidRPr="0071782F">
        <w:rPr>
          <w:lang w:val="fr-CH"/>
        </w:rPr>
        <w:t>:</w:t>
      </w:r>
      <w:r w:rsidR="00020E93" w:rsidRPr="0071782F">
        <w:rPr>
          <w:lang w:val="fr-CH"/>
        </w:rPr>
        <w:t xml:space="preserve"> s’il considère que cet emploi n’est pas approprié pour ce dernier, l’employeur est tenu de modifier dans toute la mesure possible ses conditions de travail</w:t>
      </w:r>
      <w:r w:rsidRPr="0071782F">
        <w:rPr>
          <w:lang w:val="fr-CH"/>
        </w:rPr>
        <w:t>.</w:t>
      </w:r>
    </w:p>
    <w:p w:rsidR="009F7C7F" w:rsidRPr="0071782F" w:rsidRDefault="009F7C7F" w:rsidP="00496C06">
      <w:pPr>
        <w:pStyle w:val="SingleTxtG"/>
        <w:ind w:left="1701"/>
        <w:rPr>
          <w:lang w:val="fr-CH"/>
        </w:rPr>
      </w:pPr>
      <w:r w:rsidRPr="0071782F">
        <w:rPr>
          <w:lang w:val="fr-CH"/>
        </w:rPr>
        <w:t>178.4</w:t>
      </w:r>
      <w:r w:rsidR="00F732C5" w:rsidRPr="0071782F">
        <w:rPr>
          <w:lang w:val="fr-CH"/>
        </w:rPr>
        <w:t>.</w:t>
      </w:r>
      <w:r w:rsidRPr="0071782F">
        <w:rPr>
          <w:lang w:val="fr-CH"/>
        </w:rPr>
        <w:tab/>
      </w:r>
      <w:r w:rsidR="00943A69" w:rsidRPr="0071782F">
        <w:rPr>
          <w:lang w:val="fr-CH"/>
        </w:rPr>
        <w:t>Article </w:t>
      </w:r>
      <w:r w:rsidRPr="0071782F">
        <w:rPr>
          <w:lang w:val="fr-CH"/>
        </w:rPr>
        <w:t xml:space="preserve">82 – </w:t>
      </w:r>
      <w:r w:rsidR="00020E93" w:rsidRPr="0071782F">
        <w:rPr>
          <w:lang w:val="fr-CH"/>
        </w:rPr>
        <w:t>La durée de la journée de travail d’un travailleur adolescent est inférieure d’une demi-heure à celle de la journée de travail normale. Il incombe au travailleur et à l’employeur de s’entendre sur la façon d’appliquer cette disposition</w:t>
      </w:r>
      <w:r w:rsidRPr="0071782F">
        <w:rPr>
          <w:lang w:val="fr-CH"/>
        </w:rPr>
        <w:t xml:space="preserve">. </w:t>
      </w:r>
    </w:p>
    <w:p w:rsidR="009F7C7F" w:rsidRPr="0071782F" w:rsidRDefault="009F7C7F" w:rsidP="00496C06">
      <w:pPr>
        <w:pStyle w:val="SingleTxtG"/>
        <w:ind w:left="1701"/>
        <w:rPr>
          <w:lang w:val="fr-CH"/>
        </w:rPr>
      </w:pPr>
      <w:r w:rsidRPr="0071782F">
        <w:rPr>
          <w:lang w:val="fr-CH"/>
        </w:rPr>
        <w:t>178.5</w:t>
      </w:r>
      <w:r w:rsidR="00F732C5" w:rsidRPr="0071782F">
        <w:rPr>
          <w:lang w:val="fr-CH"/>
        </w:rPr>
        <w:t>.</w:t>
      </w:r>
      <w:r w:rsidRPr="0071782F">
        <w:rPr>
          <w:lang w:val="fr-CH"/>
        </w:rPr>
        <w:tab/>
      </w:r>
      <w:r w:rsidR="00943A69" w:rsidRPr="0071782F">
        <w:rPr>
          <w:lang w:val="fr-CH"/>
        </w:rPr>
        <w:t>Article </w:t>
      </w:r>
      <w:r w:rsidRPr="0071782F">
        <w:rPr>
          <w:lang w:val="fr-CH"/>
        </w:rPr>
        <w:t xml:space="preserve">83 – </w:t>
      </w:r>
      <w:r w:rsidR="000E7951" w:rsidRPr="0071782F">
        <w:rPr>
          <w:lang w:val="fr-CH"/>
        </w:rPr>
        <w:t>Il est interdit de confier à des adolescents des travaux extraordinaires ou de nuit, ou des travaux pénibles, difficiles ou dangereux, et de leur demander de transporter à la main des charges dépassant les limites autorisées sans l’aide d’appareils mécaniques</w:t>
      </w:r>
      <w:r w:rsidRPr="0071782F">
        <w:rPr>
          <w:lang w:val="fr-CH"/>
        </w:rPr>
        <w:t xml:space="preserve">. </w:t>
      </w:r>
      <w:r w:rsidR="00723F2B" w:rsidRPr="0071782F">
        <w:rPr>
          <w:lang w:val="fr-CH"/>
        </w:rPr>
        <w:t>L’</w:t>
      </w:r>
      <w:r w:rsidR="00943A69" w:rsidRPr="0071782F">
        <w:rPr>
          <w:lang w:val="fr-CH"/>
        </w:rPr>
        <w:t>article </w:t>
      </w:r>
      <w:r w:rsidR="000E7951" w:rsidRPr="0071782F">
        <w:rPr>
          <w:lang w:val="fr-CH"/>
        </w:rPr>
        <w:t xml:space="preserve">1 de la directive sur les travaux difficiles ou pénibles (1992), qui se réfère à </w:t>
      </w:r>
      <w:r w:rsidR="00723F2B" w:rsidRPr="0071782F">
        <w:rPr>
          <w:lang w:val="fr-CH"/>
        </w:rPr>
        <w:t>l’</w:t>
      </w:r>
      <w:r w:rsidR="00943A69" w:rsidRPr="0071782F">
        <w:rPr>
          <w:lang w:val="fr-CH"/>
        </w:rPr>
        <w:t>article </w:t>
      </w:r>
      <w:r w:rsidR="000E7951" w:rsidRPr="0071782F">
        <w:rPr>
          <w:lang w:val="fr-CH"/>
        </w:rPr>
        <w:t xml:space="preserve">52 du Code du travail, définit les travaux de ce type et les </w:t>
      </w:r>
      <w:r w:rsidR="00723F2B" w:rsidRPr="0071782F">
        <w:rPr>
          <w:lang w:val="fr-CH"/>
        </w:rPr>
        <w:t>articles </w:t>
      </w:r>
      <w:r w:rsidR="000E7951" w:rsidRPr="0071782F">
        <w:rPr>
          <w:lang w:val="fr-CH"/>
        </w:rPr>
        <w:t>2 à 16 de cette directive les énumèrent.</w:t>
      </w:r>
    </w:p>
    <w:p w:rsidR="009F7C7F" w:rsidRPr="0071782F" w:rsidRDefault="009F7C7F" w:rsidP="00496C06">
      <w:pPr>
        <w:pStyle w:val="SingleTxtG"/>
        <w:ind w:left="1701"/>
        <w:rPr>
          <w:lang w:val="fr-CH"/>
        </w:rPr>
      </w:pPr>
      <w:r w:rsidRPr="0071782F">
        <w:rPr>
          <w:lang w:val="fr-CH"/>
        </w:rPr>
        <w:t>178.6</w:t>
      </w:r>
      <w:r w:rsidR="00F732C5" w:rsidRPr="0071782F">
        <w:rPr>
          <w:lang w:val="fr-CH"/>
        </w:rPr>
        <w:t>.</w:t>
      </w:r>
      <w:r w:rsidRPr="0071782F">
        <w:rPr>
          <w:lang w:val="fr-CH"/>
        </w:rPr>
        <w:tab/>
      </w:r>
      <w:r w:rsidR="00943A69" w:rsidRPr="0071782F">
        <w:rPr>
          <w:lang w:val="fr-CH"/>
        </w:rPr>
        <w:t>Article </w:t>
      </w:r>
      <w:r w:rsidRPr="0071782F">
        <w:rPr>
          <w:lang w:val="fr-CH"/>
        </w:rPr>
        <w:t xml:space="preserve">84 – </w:t>
      </w:r>
      <w:r w:rsidR="009E70C9" w:rsidRPr="0071782F">
        <w:rPr>
          <w:lang w:val="fr-CH"/>
        </w:rPr>
        <w:t xml:space="preserve">Dans le cas de travaux dont la nature est préjudiciable à la santé ou à l’éthique des apprentis et des travailleurs adolescents, l’âge minimal d’admission à l’emploi est de </w:t>
      </w:r>
      <w:r w:rsidRPr="0071782F">
        <w:rPr>
          <w:lang w:val="fr-CH"/>
        </w:rPr>
        <w:t>18</w:t>
      </w:r>
      <w:r w:rsidR="00D82C96" w:rsidRPr="0071782F">
        <w:rPr>
          <w:lang w:val="fr-CH"/>
        </w:rPr>
        <w:t> ans</w:t>
      </w:r>
      <w:r w:rsidRPr="0071782F">
        <w:rPr>
          <w:lang w:val="fr-CH"/>
        </w:rPr>
        <w:t xml:space="preserve">; </w:t>
      </w:r>
      <w:r w:rsidR="009E70C9" w:rsidRPr="0071782F">
        <w:rPr>
          <w:lang w:val="fr-CH"/>
        </w:rPr>
        <w:t>il appartient au Ministère du travail et des affaires sociales de décider si un emploi est préjudiciable ou non à cet égard</w:t>
      </w:r>
      <w:r w:rsidRPr="0071782F">
        <w:rPr>
          <w:lang w:val="fr-CH"/>
        </w:rPr>
        <w:t xml:space="preserve">. </w:t>
      </w:r>
    </w:p>
    <w:p w:rsidR="009F7C7F" w:rsidRPr="0071782F" w:rsidRDefault="009F7C7F" w:rsidP="00496C06">
      <w:pPr>
        <w:pStyle w:val="H4G"/>
        <w:rPr>
          <w:lang w:val="fr-CH"/>
        </w:rPr>
      </w:pPr>
      <w:r w:rsidRPr="0071782F">
        <w:rPr>
          <w:lang w:val="fr-CH"/>
        </w:rPr>
        <w:tab/>
      </w:r>
      <w:r w:rsidRPr="0071782F">
        <w:rPr>
          <w:lang w:val="fr-CH"/>
        </w:rPr>
        <w:tab/>
      </w:r>
      <w:r w:rsidR="00FA776E" w:rsidRPr="0071782F">
        <w:rPr>
          <w:lang w:val="fr-CH"/>
        </w:rPr>
        <w:t xml:space="preserve">Loi sur l’appui aux enfants et aux </w:t>
      </w:r>
      <w:r w:rsidR="00B13F4B" w:rsidRPr="0071782F">
        <w:rPr>
          <w:lang w:val="fr-CH"/>
        </w:rPr>
        <w:t>adolescents</w:t>
      </w:r>
      <w:r w:rsidR="00FA776E" w:rsidRPr="0071782F">
        <w:rPr>
          <w:lang w:val="fr-CH"/>
        </w:rPr>
        <w:t xml:space="preserve"> </w:t>
      </w:r>
    </w:p>
    <w:p w:rsidR="009F7C7F" w:rsidRPr="0071782F" w:rsidRDefault="009F7C7F" w:rsidP="00496C06">
      <w:pPr>
        <w:pStyle w:val="SingleTxtG"/>
        <w:rPr>
          <w:lang w:val="fr-CH"/>
        </w:rPr>
      </w:pPr>
      <w:r w:rsidRPr="0071782F">
        <w:rPr>
          <w:lang w:val="fr-CH"/>
        </w:rPr>
        <w:t>179.</w:t>
      </w:r>
      <w:r w:rsidRPr="0071782F">
        <w:rPr>
          <w:lang w:val="fr-CH"/>
        </w:rPr>
        <w:tab/>
      </w:r>
      <w:r w:rsidR="00FA776E" w:rsidRPr="0071782F">
        <w:rPr>
          <w:lang w:val="fr-CH"/>
        </w:rPr>
        <w:t xml:space="preserve">Conformément aux dispositions de cette loi, tout acte consistant à infliger des dommages corporels ou mentaux à des </w:t>
      </w:r>
      <w:r w:rsidR="00B13F4B" w:rsidRPr="0071782F">
        <w:rPr>
          <w:lang w:val="fr-CH"/>
        </w:rPr>
        <w:t>adolescents</w:t>
      </w:r>
      <w:r w:rsidR="00FA776E" w:rsidRPr="0071782F">
        <w:rPr>
          <w:lang w:val="fr-CH"/>
        </w:rPr>
        <w:t xml:space="preserve"> âgés de moins de 18</w:t>
      </w:r>
      <w:r w:rsidR="00D82C96" w:rsidRPr="0071782F">
        <w:rPr>
          <w:lang w:val="fr-CH"/>
        </w:rPr>
        <w:t> ans</w:t>
      </w:r>
      <w:r w:rsidR="00FA776E" w:rsidRPr="0071782F">
        <w:rPr>
          <w:lang w:val="fr-CH"/>
        </w:rPr>
        <w:t>, ainsi que la traite</w:t>
      </w:r>
      <w:r w:rsidRPr="0071782F">
        <w:rPr>
          <w:lang w:val="fr-CH"/>
        </w:rPr>
        <w:t xml:space="preserve">, </w:t>
      </w:r>
      <w:r w:rsidR="00FA776E" w:rsidRPr="0071782F">
        <w:rPr>
          <w:lang w:val="fr-CH"/>
        </w:rPr>
        <w:t>l’achat et la vente</w:t>
      </w:r>
      <w:r w:rsidRPr="0071782F">
        <w:rPr>
          <w:lang w:val="fr-CH"/>
        </w:rPr>
        <w:t xml:space="preserve">, </w:t>
      </w:r>
      <w:r w:rsidR="00FA776E" w:rsidRPr="0071782F">
        <w:rPr>
          <w:lang w:val="fr-CH"/>
        </w:rPr>
        <w:t>l’</w:t>
      </w:r>
      <w:r w:rsidRPr="0071782F">
        <w:rPr>
          <w:lang w:val="fr-CH"/>
        </w:rPr>
        <w:t xml:space="preserve">exploitation </w:t>
      </w:r>
      <w:r w:rsidR="00FA776E" w:rsidRPr="0071782F">
        <w:rPr>
          <w:lang w:val="fr-CH"/>
        </w:rPr>
        <w:t>et la maltraitance des enfants sont interdits et réprimés</w:t>
      </w:r>
      <w:r w:rsidRPr="0071782F">
        <w:rPr>
          <w:lang w:val="fr-CH"/>
        </w:rPr>
        <w:t xml:space="preserve">. </w:t>
      </w:r>
      <w:r w:rsidR="00FA776E" w:rsidRPr="0071782F">
        <w:rPr>
          <w:lang w:val="fr-CH"/>
        </w:rPr>
        <w:t>Par ailleurs, les actes qui font obstacle à l’accès des enfants à l’éducation et la non-prise en charge intentionnelle de leur santé physique et mentale sont passibles d’amendes ou de peines d’emprisonnement</w:t>
      </w:r>
      <w:r w:rsidRPr="0071782F">
        <w:rPr>
          <w:lang w:val="fr-CH"/>
        </w:rPr>
        <w:t xml:space="preserve">. </w:t>
      </w:r>
      <w:r w:rsidR="00FA776E" w:rsidRPr="0071782F">
        <w:rPr>
          <w:lang w:val="fr-CH"/>
        </w:rPr>
        <w:t>L’importance de cette loi tient au fait qu’elle considère la maltraitance à enfant comme une atteinte à l’ordre public, qui peut donc être jugée et réprimée sans qu’une plainte privée soit nécessaire</w:t>
      </w:r>
      <w:r w:rsidRPr="0071782F">
        <w:rPr>
          <w:lang w:val="fr-CH"/>
        </w:rPr>
        <w:t xml:space="preserve">. </w:t>
      </w:r>
    </w:p>
    <w:p w:rsidR="009F7C7F" w:rsidRPr="0071782F" w:rsidRDefault="009F7C7F" w:rsidP="00496C06">
      <w:pPr>
        <w:pStyle w:val="H4G"/>
        <w:rPr>
          <w:lang w:val="fr-CH"/>
        </w:rPr>
      </w:pPr>
      <w:r w:rsidRPr="0071782F">
        <w:rPr>
          <w:lang w:val="fr-CH"/>
        </w:rPr>
        <w:tab/>
      </w:r>
      <w:r w:rsidRPr="0071782F">
        <w:rPr>
          <w:lang w:val="fr-CH"/>
        </w:rPr>
        <w:tab/>
      </w:r>
      <w:r w:rsidR="00124EBD" w:rsidRPr="0071782F">
        <w:rPr>
          <w:lang w:val="fr-CH"/>
        </w:rPr>
        <w:t xml:space="preserve">Loi d’adhésion de la </w:t>
      </w:r>
      <w:r w:rsidRPr="0071782F">
        <w:rPr>
          <w:lang w:val="fr-CH"/>
        </w:rPr>
        <w:t>R</w:t>
      </w:r>
      <w:r w:rsidR="00124EBD" w:rsidRPr="0071782F">
        <w:rPr>
          <w:lang w:val="fr-CH"/>
        </w:rPr>
        <w:t xml:space="preserve">épublique islamique d’Iran à la </w:t>
      </w:r>
      <w:r w:rsidRPr="0071782F">
        <w:rPr>
          <w:lang w:val="fr-CH"/>
        </w:rPr>
        <w:t xml:space="preserve">Convention </w:t>
      </w:r>
      <w:r w:rsidR="00124EBD" w:rsidRPr="0071782F">
        <w:rPr>
          <w:lang w:val="fr-CH"/>
        </w:rPr>
        <w:t xml:space="preserve">relative aux droits de l’enfant </w:t>
      </w:r>
    </w:p>
    <w:p w:rsidR="009F7C7F" w:rsidRPr="00120407" w:rsidRDefault="009F7C7F" w:rsidP="00496C06">
      <w:pPr>
        <w:pStyle w:val="SingleTxtG"/>
        <w:rPr>
          <w:spacing w:val="-2"/>
          <w:lang w:val="fr-CH"/>
        </w:rPr>
      </w:pPr>
      <w:r w:rsidRPr="00120407">
        <w:rPr>
          <w:spacing w:val="-2"/>
          <w:lang w:val="fr-CH"/>
        </w:rPr>
        <w:t>180.</w:t>
      </w:r>
      <w:r w:rsidRPr="00120407">
        <w:rPr>
          <w:spacing w:val="-2"/>
          <w:lang w:val="fr-CH"/>
        </w:rPr>
        <w:tab/>
      </w:r>
      <w:r w:rsidR="00A12407" w:rsidRPr="00120407">
        <w:rPr>
          <w:spacing w:val="-2"/>
          <w:lang w:val="fr-CH"/>
        </w:rPr>
        <w:t xml:space="preserve">En vertu de cette loi, qui porte sur la vente d’enfants, la </w:t>
      </w:r>
      <w:r w:rsidRPr="00120407">
        <w:rPr>
          <w:spacing w:val="-2"/>
          <w:lang w:val="fr-CH"/>
        </w:rPr>
        <w:t xml:space="preserve">prostitution </w:t>
      </w:r>
      <w:r w:rsidR="00A12407" w:rsidRPr="00120407">
        <w:rPr>
          <w:spacing w:val="-2"/>
          <w:lang w:val="fr-CH"/>
        </w:rPr>
        <w:t>des enfants et la pornographie mettant en scène des enfants</w:t>
      </w:r>
      <w:r w:rsidRPr="00120407">
        <w:rPr>
          <w:spacing w:val="-2"/>
          <w:lang w:val="fr-CH"/>
        </w:rPr>
        <w:t xml:space="preserve"> (2007), </w:t>
      </w:r>
      <w:r w:rsidR="00A12407" w:rsidRPr="00120407">
        <w:rPr>
          <w:spacing w:val="-2"/>
          <w:lang w:val="fr-CH"/>
        </w:rPr>
        <w:t>et conformément aux dispositions de la Convention, les autorités compétentes sont notamment tenues de fournir des services d’appui aux victimes</w:t>
      </w:r>
      <w:r w:rsidRPr="00120407">
        <w:rPr>
          <w:spacing w:val="-2"/>
          <w:lang w:val="fr-CH"/>
        </w:rPr>
        <w:t xml:space="preserve">, </w:t>
      </w:r>
      <w:r w:rsidR="00A12407" w:rsidRPr="00120407">
        <w:rPr>
          <w:spacing w:val="-2"/>
          <w:lang w:val="fr-CH"/>
        </w:rPr>
        <w:t xml:space="preserve">de garantir leur sécurité et celle de </w:t>
      </w:r>
      <w:r w:rsidR="001F3F05" w:rsidRPr="00120407">
        <w:rPr>
          <w:spacing w:val="-2"/>
          <w:lang w:val="fr-CH"/>
        </w:rPr>
        <w:t>leur famille</w:t>
      </w:r>
      <w:r w:rsidR="00A12407" w:rsidRPr="00120407">
        <w:rPr>
          <w:spacing w:val="-2"/>
          <w:lang w:val="fr-CH"/>
        </w:rPr>
        <w:t xml:space="preserve"> et de leur fournir une assistance juridique et un soutien psychologique</w:t>
      </w:r>
      <w:r w:rsidRPr="00120407">
        <w:rPr>
          <w:spacing w:val="-2"/>
          <w:lang w:val="fr-CH"/>
        </w:rPr>
        <w:t xml:space="preserve">, </w:t>
      </w:r>
      <w:r w:rsidR="00A12407" w:rsidRPr="00120407">
        <w:rPr>
          <w:spacing w:val="-2"/>
          <w:lang w:val="fr-CH"/>
        </w:rPr>
        <w:t xml:space="preserve">et de </w:t>
      </w:r>
      <w:r w:rsidRPr="00120407">
        <w:rPr>
          <w:spacing w:val="-2"/>
          <w:lang w:val="fr-CH"/>
        </w:rPr>
        <w:t>pr</w:t>
      </w:r>
      <w:r w:rsidR="00A12407" w:rsidRPr="00120407">
        <w:rPr>
          <w:spacing w:val="-2"/>
          <w:lang w:val="fr-CH"/>
        </w:rPr>
        <w:t>é</w:t>
      </w:r>
      <w:r w:rsidRPr="00120407">
        <w:rPr>
          <w:spacing w:val="-2"/>
          <w:lang w:val="fr-CH"/>
        </w:rPr>
        <w:t>ven</w:t>
      </w:r>
      <w:r w:rsidR="00A12407" w:rsidRPr="00120407">
        <w:rPr>
          <w:spacing w:val="-2"/>
          <w:lang w:val="fr-CH"/>
        </w:rPr>
        <w:t>ir, de poursuivre et de réprimer les infractions de traite, de pornographie et de tourisme sexuel impliquant des enfants</w:t>
      </w:r>
      <w:r w:rsidRPr="00120407">
        <w:rPr>
          <w:spacing w:val="-2"/>
          <w:lang w:val="fr-CH"/>
        </w:rPr>
        <w:t xml:space="preserve">. </w:t>
      </w:r>
    </w:p>
    <w:p w:rsidR="009F7C7F" w:rsidRPr="0071782F" w:rsidRDefault="009F7C7F" w:rsidP="00496C06">
      <w:pPr>
        <w:pStyle w:val="H4G"/>
        <w:rPr>
          <w:lang w:val="fr-CH"/>
        </w:rPr>
      </w:pPr>
      <w:r w:rsidRPr="0071782F">
        <w:rPr>
          <w:lang w:val="fr-CH"/>
        </w:rPr>
        <w:tab/>
      </w:r>
      <w:r w:rsidRPr="0071782F">
        <w:rPr>
          <w:lang w:val="fr-CH"/>
        </w:rPr>
        <w:tab/>
      </w:r>
      <w:r w:rsidR="00A12407" w:rsidRPr="0071782F">
        <w:rPr>
          <w:lang w:val="fr-CH"/>
        </w:rPr>
        <w:t xml:space="preserve">Loi portant création des tribunaux pour mineurs </w:t>
      </w:r>
    </w:p>
    <w:p w:rsidR="009F7C7F" w:rsidRPr="0071782F" w:rsidRDefault="009F7C7F" w:rsidP="00496C06">
      <w:pPr>
        <w:pStyle w:val="SingleTxtG"/>
        <w:rPr>
          <w:lang w:val="fr-CH"/>
        </w:rPr>
      </w:pPr>
      <w:r w:rsidRPr="0071782F">
        <w:rPr>
          <w:lang w:val="fr-CH"/>
        </w:rPr>
        <w:t>181.</w:t>
      </w:r>
      <w:r w:rsidRPr="0071782F">
        <w:rPr>
          <w:lang w:val="fr-CH"/>
        </w:rPr>
        <w:tab/>
      </w:r>
      <w:r w:rsidR="00917009" w:rsidRPr="0071782F">
        <w:rPr>
          <w:lang w:val="fr-CH"/>
        </w:rPr>
        <w:t xml:space="preserve">Cette loi, qui comporte cinq chapitres et 56 articles, a été présentée en </w:t>
      </w:r>
      <w:r w:rsidRPr="0071782F">
        <w:rPr>
          <w:lang w:val="fr-CH"/>
        </w:rPr>
        <w:t xml:space="preserve">2003 </w:t>
      </w:r>
      <w:r w:rsidR="00917009" w:rsidRPr="0071782F">
        <w:rPr>
          <w:lang w:val="fr-CH"/>
        </w:rPr>
        <w:t>à l’Assemblée c</w:t>
      </w:r>
      <w:r w:rsidRPr="0071782F">
        <w:rPr>
          <w:lang w:val="fr-CH"/>
        </w:rPr>
        <w:t xml:space="preserve">onsultative </w:t>
      </w:r>
      <w:r w:rsidR="00917009" w:rsidRPr="0071782F">
        <w:rPr>
          <w:lang w:val="fr-CH"/>
        </w:rPr>
        <w:t>islamique, qui l’a examinée pendant trois</w:t>
      </w:r>
      <w:r w:rsidR="00D82C96" w:rsidRPr="0071782F">
        <w:rPr>
          <w:lang w:val="fr-CH"/>
        </w:rPr>
        <w:t> ans</w:t>
      </w:r>
      <w:r w:rsidR="00917009" w:rsidRPr="0071782F">
        <w:rPr>
          <w:lang w:val="fr-CH"/>
        </w:rPr>
        <w:t xml:space="preserve">. Elle a ensuite été débattue par la commission judiciaire du Parlement, avant d’être adoptée en </w:t>
      </w:r>
      <w:r w:rsidRPr="0071782F">
        <w:rPr>
          <w:lang w:val="fr-CH"/>
        </w:rPr>
        <w:t>2007.</w:t>
      </w:r>
      <w:r w:rsidR="00E532CF" w:rsidRPr="0071782F">
        <w:rPr>
          <w:lang w:val="fr-CH"/>
        </w:rPr>
        <w:t xml:space="preserve"> </w:t>
      </w:r>
      <w:r w:rsidR="00917009" w:rsidRPr="0071782F">
        <w:rPr>
          <w:lang w:val="fr-CH"/>
        </w:rPr>
        <w:t xml:space="preserve">Cette loi prévoit certaines règles concernant la </w:t>
      </w:r>
      <w:r w:rsidRPr="0071782F">
        <w:rPr>
          <w:lang w:val="fr-CH"/>
        </w:rPr>
        <w:t xml:space="preserve">structure </w:t>
      </w:r>
      <w:r w:rsidR="00917009" w:rsidRPr="0071782F">
        <w:rPr>
          <w:lang w:val="fr-CH"/>
        </w:rPr>
        <w:t xml:space="preserve">et la </w:t>
      </w:r>
      <w:r w:rsidRPr="0071782F">
        <w:rPr>
          <w:lang w:val="fr-CH"/>
        </w:rPr>
        <w:t xml:space="preserve">jurisprudence </w:t>
      </w:r>
      <w:r w:rsidR="00917009" w:rsidRPr="0071782F">
        <w:rPr>
          <w:lang w:val="fr-CH"/>
        </w:rPr>
        <w:t>des tribunaux pour mineurs</w:t>
      </w:r>
      <w:r w:rsidRPr="0071782F">
        <w:rPr>
          <w:lang w:val="fr-CH"/>
        </w:rPr>
        <w:t xml:space="preserve">, </w:t>
      </w:r>
      <w:r w:rsidR="00917009" w:rsidRPr="0071782F">
        <w:rPr>
          <w:lang w:val="fr-CH"/>
        </w:rPr>
        <w:t>les procédures spéciales d’examen des infractions commises par des mineurs, l’imposition des verdicts et des décisions, les types de peines, l’atténuation des peines et la suspension de l’exécution d’une peine, ainsi que l’organisation et le règlement des établissements correctionnels</w:t>
      </w:r>
      <w:r w:rsidRPr="0071782F">
        <w:rPr>
          <w:lang w:val="fr-CH"/>
        </w:rPr>
        <w:t>.</w:t>
      </w:r>
    </w:p>
    <w:p w:rsidR="009F7C7F" w:rsidRPr="0071782F" w:rsidRDefault="009F7C7F" w:rsidP="00496C06">
      <w:pPr>
        <w:pStyle w:val="SingleTxtG"/>
        <w:ind w:left="1701"/>
        <w:rPr>
          <w:lang w:val="fr-CH"/>
        </w:rPr>
      </w:pPr>
      <w:r w:rsidRPr="0071782F">
        <w:rPr>
          <w:lang w:val="fr-CH"/>
        </w:rPr>
        <w:t>181.1</w:t>
      </w:r>
      <w:r w:rsidR="00F732C5" w:rsidRPr="0071782F">
        <w:rPr>
          <w:lang w:val="fr-CH"/>
        </w:rPr>
        <w:t>.</w:t>
      </w:r>
      <w:r w:rsidRPr="0071782F">
        <w:rPr>
          <w:lang w:val="fr-CH"/>
        </w:rPr>
        <w:tab/>
      </w:r>
      <w:r w:rsidR="00CD111F" w:rsidRPr="0071782F">
        <w:rPr>
          <w:lang w:val="fr-CH"/>
        </w:rPr>
        <w:t xml:space="preserve">Compte tenu des nouvelles règles applicables aux droits de l’enfant, cette loi a éliminé les peines telles que la peine de mort, la flagellation et la réclusion perpétuelle pour tous les enfants et </w:t>
      </w:r>
      <w:r w:rsidR="00B13F4B" w:rsidRPr="0071782F">
        <w:rPr>
          <w:lang w:val="fr-CH"/>
        </w:rPr>
        <w:t>adolescents</w:t>
      </w:r>
      <w:r w:rsidR="00CD111F" w:rsidRPr="0071782F">
        <w:rPr>
          <w:lang w:val="fr-CH"/>
        </w:rPr>
        <w:t xml:space="preserve"> âgés de moins de 18</w:t>
      </w:r>
      <w:r w:rsidR="00D82C96" w:rsidRPr="0071782F">
        <w:rPr>
          <w:lang w:val="fr-CH"/>
        </w:rPr>
        <w:t> ans</w:t>
      </w:r>
      <w:r w:rsidR="00CD111F" w:rsidRPr="0071782F">
        <w:rPr>
          <w:lang w:val="fr-CH"/>
        </w:rPr>
        <w:t>.</w:t>
      </w:r>
      <w:r w:rsidRPr="0071782F">
        <w:rPr>
          <w:lang w:val="fr-CH"/>
        </w:rPr>
        <w:t xml:space="preserve"> </w:t>
      </w:r>
    </w:p>
    <w:p w:rsidR="009F7C7F" w:rsidRPr="0071782F" w:rsidRDefault="009F7C7F" w:rsidP="00496C06">
      <w:pPr>
        <w:pStyle w:val="SingleTxtG"/>
        <w:ind w:left="1701"/>
        <w:rPr>
          <w:lang w:val="fr-CH"/>
        </w:rPr>
      </w:pPr>
      <w:r w:rsidRPr="0071782F">
        <w:rPr>
          <w:lang w:val="fr-CH"/>
        </w:rPr>
        <w:t>181.2</w:t>
      </w:r>
      <w:r w:rsidR="00F732C5" w:rsidRPr="0071782F">
        <w:rPr>
          <w:lang w:val="fr-CH"/>
        </w:rPr>
        <w:t>.</w:t>
      </w:r>
      <w:r w:rsidRPr="0071782F">
        <w:rPr>
          <w:lang w:val="fr-CH"/>
        </w:rPr>
        <w:tab/>
      </w:r>
      <w:r w:rsidR="00723F2B" w:rsidRPr="0071782F">
        <w:rPr>
          <w:lang w:val="fr-CH"/>
        </w:rPr>
        <w:t>L’</w:t>
      </w:r>
      <w:r w:rsidR="00943A69" w:rsidRPr="0071782F">
        <w:rPr>
          <w:lang w:val="fr-CH"/>
        </w:rPr>
        <w:t>article </w:t>
      </w:r>
      <w:r w:rsidRPr="0071782F">
        <w:rPr>
          <w:lang w:val="fr-CH"/>
        </w:rPr>
        <w:t xml:space="preserve">1 </w:t>
      </w:r>
      <w:r w:rsidR="00CD111F" w:rsidRPr="0071782F">
        <w:rPr>
          <w:lang w:val="fr-CH"/>
        </w:rPr>
        <w:t>de la loi dispose ce qui suit</w:t>
      </w:r>
      <w:r w:rsidR="008F7D33" w:rsidRPr="0071782F">
        <w:rPr>
          <w:lang w:val="fr-CH"/>
        </w:rPr>
        <w:t>:</w:t>
      </w:r>
      <w:r w:rsidRPr="0071782F">
        <w:rPr>
          <w:lang w:val="fr-CH"/>
        </w:rPr>
        <w:t xml:space="preserve"> </w:t>
      </w:r>
      <w:r w:rsidR="00A62149" w:rsidRPr="0071782F">
        <w:rPr>
          <w:lang w:val="fr-CH"/>
        </w:rPr>
        <w:t>"</w:t>
      </w:r>
      <w:r w:rsidR="00CD111F" w:rsidRPr="0071782F">
        <w:rPr>
          <w:lang w:val="fr-CH"/>
        </w:rPr>
        <w:t>Le tribunal pour mineurs se réunit en présence d’un juge et de deux conseillers, dont une femme</w:t>
      </w:r>
      <w:r w:rsidR="00A62149" w:rsidRPr="0071782F">
        <w:rPr>
          <w:lang w:val="fr-CH"/>
        </w:rPr>
        <w:t>"</w:t>
      </w:r>
      <w:r w:rsidRPr="0071782F">
        <w:rPr>
          <w:lang w:val="fr-CH"/>
        </w:rPr>
        <w:t xml:space="preserve">. </w:t>
      </w:r>
      <w:r w:rsidR="00CD111F" w:rsidRPr="0071782F">
        <w:rPr>
          <w:lang w:val="fr-CH"/>
        </w:rPr>
        <w:t xml:space="preserve">En vertu de </w:t>
      </w:r>
      <w:r w:rsidR="00723F2B" w:rsidRPr="0071782F">
        <w:rPr>
          <w:lang w:val="fr-CH"/>
        </w:rPr>
        <w:t>l’</w:t>
      </w:r>
      <w:r w:rsidR="00943A69" w:rsidRPr="0071782F">
        <w:rPr>
          <w:lang w:val="fr-CH"/>
        </w:rPr>
        <w:t>article </w:t>
      </w:r>
      <w:r w:rsidRPr="0071782F">
        <w:rPr>
          <w:lang w:val="fr-CH"/>
        </w:rPr>
        <w:t xml:space="preserve">2, </w:t>
      </w:r>
      <w:r w:rsidR="00CD111F" w:rsidRPr="0071782F">
        <w:rPr>
          <w:lang w:val="fr-CH"/>
        </w:rPr>
        <w:t>les juges doivent avoir cinq</w:t>
      </w:r>
      <w:r w:rsidR="00D82C96" w:rsidRPr="0071782F">
        <w:rPr>
          <w:lang w:val="fr-CH"/>
        </w:rPr>
        <w:t> ans</w:t>
      </w:r>
      <w:r w:rsidR="00CD111F" w:rsidRPr="0071782F">
        <w:rPr>
          <w:lang w:val="fr-CH"/>
        </w:rPr>
        <w:t xml:space="preserve"> d’expérience de la profession et posséder certaines caractéristiques, par exemple avoir atteint un certain âge, être mariés (et, de préférence, avoir des enfants) et avoir suivi certains programmes de formation. Les conseillers du tribunal doivent être des personnalités du monde universitaire, culturel ou scientifique, ou issues de l’appareil administratif</w:t>
      </w:r>
      <w:r w:rsidRPr="0071782F">
        <w:rPr>
          <w:lang w:val="fr-CH"/>
        </w:rPr>
        <w:t xml:space="preserve">. </w:t>
      </w:r>
    </w:p>
    <w:p w:rsidR="009F7C7F" w:rsidRPr="0071782F" w:rsidRDefault="009F7C7F" w:rsidP="00496C06">
      <w:pPr>
        <w:pStyle w:val="SingleTxtG"/>
        <w:ind w:left="1701"/>
        <w:rPr>
          <w:lang w:val="fr-CH"/>
        </w:rPr>
      </w:pPr>
      <w:r w:rsidRPr="0071782F">
        <w:rPr>
          <w:lang w:val="fr-CH"/>
        </w:rPr>
        <w:t>181.3</w:t>
      </w:r>
      <w:r w:rsidR="00F732C5" w:rsidRPr="0071782F">
        <w:rPr>
          <w:lang w:val="fr-CH"/>
        </w:rPr>
        <w:t>.</w:t>
      </w:r>
      <w:r w:rsidRPr="0071782F">
        <w:rPr>
          <w:lang w:val="fr-CH"/>
        </w:rPr>
        <w:tab/>
      </w:r>
      <w:r w:rsidR="00CD111F" w:rsidRPr="0071782F">
        <w:rPr>
          <w:lang w:val="fr-CH"/>
        </w:rPr>
        <w:t xml:space="preserve">Cette loi distingue trois groupes d’âge parmi les enfants et les </w:t>
      </w:r>
      <w:r w:rsidR="00B13F4B" w:rsidRPr="0071782F">
        <w:rPr>
          <w:lang w:val="fr-CH"/>
        </w:rPr>
        <w:t>adolescents</w:t>
      </w:r>
      <w:r w:rsidR="00CD111F" w:rsidRPr="0071782F">
        <w:rPr>
          <w:lang w:val="fr-CH"/>
        </w:rPr>
        <w:t xml:space="preserve">, en fonction des </w:t>
      </w:r>
      <w:r w:rsidR="0071782F" w:rsidRPr="0071782F">
        <w:rPr>
          <w:lang w:val="fr-CH"/>
        </w:rPr>
        <w:t>caractéristiques</w:t>
      </w:r>
      <w:r w:rsidR="00CD111F" w:rsidRPr="0071782F">
        <w:rPr>
          <w:lang w:val="fr-CH"/>
        </w:rPr>
        <w:t xml:space="preserve"> propres à chacun d’eux. Son </w:t>
      </w:r>
      <w:r w:rsidR="00943A69" w:rsidRPr="0071782F">
        <w:rPr>
          <w:lang w:val="fr-CH"/>
        </w:rPr>
        <w:t>article </w:t>
      </w:r>
      <w:r w:rsidRPr="0071782F">
        <w:rPr>
          <w:lang w:val="fr-CH"/>
        </w:rPr>
        <w:t xml:space="preserve">30 </w:t>
      </w:r>
      <w:r w:rsidR="00CD111F" w:rsidRPr="0071782F">
        <w:rPr>
          <w:lang w:val="fr-CH"/>
        </w:rPr>
        <w:t>prévoit pour les enfants âgés de neuf à 12</w:t>
      </w:r>
      <w:r w:rsidR="00D82C96" w:rsidRPr="0071782F">
        <w:rPr>
          <w:lang w:val="fr-CH"/>
        </w:rPr>
        <w:t> ans</w:t>
      </w:r>
      <w:r w:rsidR="00CD111F" w:rsidRPr="0071782F">
        <w:rPr>
          <w:lang w:val="fr-CH"/>
        </w:rPr>
        <w:t xml:space="preserve"> uniquement des mesures correctives qui n’incluent pas l’emprisonnement et les châtiments corporels.</w:t>
      </w:r>
    </w:p>
    <w:p w:rsidR="009F7C7F" w:rsidRPr="0071782F" w:rsidRDefault="009F7C7F" w:rsidP="00496C06">
      <w:pPr>
        <w:pStyle w:val="SingleTxtG"/>
        <w:ind w:left="1701"/>
        <w:rPr>
          <w:lang w:val="fr-CH"/>
        </w:rPr>
      </w:pPr>
      <w:r w:rsidRPr="0071782F">
        <w:rPr>
          <w:lang w:val="fr-CH"/>
        </w:rPr>
        <w:t>181.4</w:t>
      </w:r>
      <w:r w:rsidR="00F732C5" w:rsidRPr="0071782F">
        <w:rPr>
          <w:lang w:val="fr-CH"/>
        </w:rPr>
        <w:t>.</w:t>
      </w:r>
      <w:r w:rsidRPr="0071782F">
        <w:rPr>
          <w:lang w:val="fr-CH"/>
        </w:rPr>
        <w:tab/>
      </w:r>
      <w:r w:rsidR="00723F2B" w:rsidRPr="0071782F">
        <w:rPr>
          <w:lang w:val="fr-CH"/>
        </w:rPr>
        <w:t>L’</w:t>
      </w:r>
      <w:r w:rsidR="00943A69" w:rsidRPr="0071782F">
        <w:rPr>
          <w:lang w:val="fr-CH"/>
        </w:rPr>
        <w:t>article </w:t>
      </w:r>
      <w:r w:rsidRPr="0071782F">
        <w:rPr>
          <w:lang w:val="fr-CH"/>
        </w:rPr>
        <w:t xml:space="preserve">31 </w:t>
      </w:r>
      <w:r w:rsidR="00CD111F" w:rsidRPr="0071782F">
        <w:rPr>
          <w:lang w:val="fr-CH"/>
        </w:rPr>
        <w:t>de la loi prévoit, pour les enfants âgés de 12 à 15</w:t>
      </w:r>
      <w:r w:rsidR="00D82C96" w:rsidRPr="0071782F">
        <w:rPr>
          <w:lang w:val="fr-CH"/>
        </w:rPr>
        <w:t> ans</w:t>
      </w:r>
      <w:r w:rsidR="00CD111F" w:rsidRPr="0071782F">
        <w:rPr>
          <w:lang w:val="fr-CH"/>
        </w:rPr>
        <w:t>, en sus des mesures correctives</w:t>
      </w:r>
      <w:r w:rsidRPr="0071782F">
        <w:rPr>
          <w:lang w:val="fr-CH"/>
        </w:rPr>
        <w:t xml:space="preserve">, </w:t>
      </w:r>
      <w:r w:rsidR="00CD111F" w:rsidRPr="0071782F">
        <w:rPr>
          <w:lang w:val="fr-CH"/>
        </w:rPr>
        <w:t>des sanctions plus lourdes comprises entre deux et huit années d’emprisonnement</w:t>
      </w:r>
      <w:r w:rsidRPr="0071782F">
        <w:rPr>
          <w:lang w:val="fr-CH"/>
        </w:rPr>
        <w:t xml:space="preserve">. </w:t>
      </w:r>
    </w:p>
    <w:p w:rsidR="009F7C7F" w:rsidRPr="0071782F" w:rsidRDefault="009F7C7F" w:rsidP="00496C06">
      <w:pPr>
        <w:pStyle w:val="SingleTxtG"/>
        <w:ind w:left="1701"/>
        <w:rPr>
          <w:lang w:val="fr-CH"/>
        </w:rPr>
      </w:pPr>
      <w:r w:rsidRPr="0071782F">
        <w:rPr>
          <w:lang w:val="fr-CH"/>
        </w:rPr>
        <w:t>181.5</w:t>
      </w:r>
      <w:r w:rsidR="00F732C5" w:rsidRPr="0071782F">
        <w:rPr>
          <w:lang w:val="fr-CH"/>
        </w:rPr>
        <w:t>.</w:t>
      </w:r>
      <w:r w:rsidRPr="0071782F">
        <w:rPr>
          <w:lang w:val="fr-CH"/>
        </w:rPr>
        <w:tab/>
      </w:r>
      <w:r w:rsidR="00CD111F" w:rsidRPr="0071782F">
        <w:rPr>
          <w:lang w:val="fr-CH"/>
        </w:rPr>
        <w:t>On notera que la peine la plus lourde, à savoir huit années d’emprisonnement, est réservée au groupe d’âge des 15-18</w:t>
      </w:r>
      <w:r w:rsidR="00D82C96" w:rsidRPr="0071782F">
        <w:rPr>
          <w:lang w:val="fr-CH"/>
        </w:rPr>
        <w:t> ans</w:t>
      </w:r>
      <w:r w:rsidR="00CD111F" w:rsidRPr="0071782F">
        <w:rPr>
          <w:lang w:val="fr-CH"/>
        </w:rPr>
        <w:t xml:space="preserve"> et s’applique pour des infractions passibles de la peine de mort ou de </w:t>
      </w:r>
      <w:r w:rsidR="00402EE2" w:rsidRPr="0071782F">
        <w:rPr>
          <w:lang w:val="fr-CH"/>
        </w:rPr>
        <w:t xml:space="preserve">la </w:t>
      </w:r>
      <w:r w:rsidR="00CD111F" w:rsidRPr="0071782F">
        <w:rPr>
          <w:lang w:val="fr-CH"/>
        </w:rPr>
        <w:t xml:space="preserve">réclusion perpétuelle dans le cas des adultes. </w:t>
      </w:r>
    </w:p>
    <w:p w:rsidR="009F7C7F" w:rsidRPr="0071782F" w:rsidRDefault="009F7C7F" w:rsidP="00496C06">
      <w:pPr>
        <w:pStyle w:val="H4G"/>
        <w:rPr>
          <w:lang w:val="fr-CH"/>
        </w:rPr>
      </w:pPr>
      <w:r w:rsidRPr="0071782F">
        <w:rPr>
          <w:lang w:val="fr-CH"/>
        </w:rPr>
        <w:tab/>
      </w:r>
      <w:r w:rsidRPr="0071782F">
        <w:rPr>
          <w:lang w:val="fr-CH"/>
        </w:rPr>
        <w:tab/>
      </w:r>
      <w:r w:rsidR="00CD111F" w:rsidRPr="0071782F">
        <w:rPr>
          <w:lang w:val="fr-CH"/>
        </w:rPr>
        <w:t xml:space="preserve">Création du Bureau d’appui aux femmes et aux enfants dans l’appareil judiciaire et dans les départements judiciaires des provinces du pays sur la base de la </w:t>
      </w:r>
      <w:r w:rsidRPr="0071782F">
        <w:rPr>
          <w:lang w:val="fr-CH"/>
        </w:rPr>
        <w:t xml:space="preserve">directive </w:t>
      </w:r>
      <w:r w:rsidR="00CD111F" w:rsidRPr="0071782F">
        <w:rPr>
          <w:lang w:val="fr-CH"/>
        </w:rPr>
        <w:t xml:space="preserve">du Chef du pouvoir judiciaire </w:t>
      </w:r>
    </w:p>
    <w:p w:rsidR="009F7C7F" w:rsidRPr="00120407" w:rsidRDefault="009F7C7F" w:rsidP="00496C06">
      <w:pPr>
        <w:pStyle w:val="SingleTxtG"/>
        <w:rPr>
          <w:spacing w:val="-2"/>
          <w:lang w:val="fr-CH"/>
        </w:rPr>
      </w:pPr>
      <w:r w:rsidRPr="00120407">
        <w:rPr>
          <w:spacing w:val="-2"/>
          <w:lang w:val="fr-CH"/>
        </w:rPr>
        <w:t>182.</w:t>
      </w:r>
      <w:r w:rsidRPr="00120407">
        <w:rPr>
          <w:spacing w:val="-2"/>
          <w:lang w:val="fr-CH"/>
        </w:rPr>
        <w:tab/>
      </w:r>
      <w:r w:rsidR="00CD111F" w:rsidRPr="00120407">
        <w:rPr>
          <w:spacing w:val="-2"/>
          <w:lang w:val="fr-CH"/>
        </w:rPr>
        <w:t xml:space="preserve">Cette </w:t>
      </w:r>
      <w:r w:rsidRPr="00120407">
        <w:rPr>
          <w:spacing w:val="-2"/>
          <w:lang w:val="fr-CH"/>
        </w:rPr>
        <w:t>directive</w:t>
      </w:r>
      <w:r w:rsidR="00CD111F" w:rsidRPr="00120407">
        <w:rPr>
          <w:spacing w:val="-2"/>
          <w:lang w:val="fr-CH"/>
        </w:rPr>
        <w:t xml:space="preserve"> a créé une unité dénommée Bureau d’appui aux femmes et aux enfants dans l’appareil </w:t>
      </w:r>
      <w:r w:rsidR="0071782F" w:rsidRPr="00120407">
        <w:rPr>
          <w:spacing w:val="-2"/>
          <w:lang w:val="fr-CH"/>
        </w:rPr>
        <w:t>judiciaire</w:t>
      </w:r>
      <w:r w:rsidR="00CD111F" w:rsidRPr="00120407">
        <w:rPr>
          <w:spacing w:val="-2"/>
          <w:lang w:val="fr-CH"/>
        </w:rPr>
        <w:t xml:space="preserve"> et dans les départements judiciaires des provinces du pays, chargé de suivre les procès intentés à des femmes, enfants et adolescents ayant commis des infractions, leur processus de rééducation et la fourniture de l’appui dont ils ont besoin, et de garantir l’accès des juges des tribunaux pour mineurs à des programmes de formation de qualité</w:t>
      </w:r>
      <w:r w:rsidRPr="00120407">
        <w:rPr>
          <w:spacing w:val="-2"/>
          <w:lang w:val="fr-CH"/>
        </w:rPr>
        <w:t>.</w:t>
      </w:r>
    </w:p>
    <w:p w:rsidR="009F7C7F" w:rsidRPr="0071782F" w:rsidRDefault="009F7C7F" w:rsidP="00496C06">
      <w:pPr>
        <w:pStyle w:val="H4G"/>
        <w:rPr>
          <w:lang w:val="fr-CH"/>
        </w:rPr>
      </w:pPr>
      <w:r w:rsidRPr="0071782F">
        <w:rPr>
          <w:lang w:val="fr-CH"/>
        </w:rPr>
        <w:tab/>
      </w:r>
      <w:r w:rsidRPr="0071782F">
        <w:rPr>
          <w:lang w:val="fr-CH"/>
        </w:rPr>
        <w:tab/>
      </w:r>
      <w:r w:rsidR="00CD111F" w:rsidRPr="0071782F">
        <w:rPr>
          <w:lang w:val="fr-CH"/>
        </w:rPr>
        <w:t>Loi portant création des tribunaux pour enfants</w:t>
      </w:r>
    </w:p>
    <w:p w:rsidR="009F7C7F" w:rsidRPr="0071782F" w:rsidRDefault="009F7C7F" w:rsidP="00496C06">
      <w:pPr>
        <w:pStyle w:val="SingleTxtG"/>
        <w:rPr>
          <w:lang w:val="fr-CH"/>
        </w:rPr>
      </w:pPr>
      <w:r w:rsidRPr="0071782F">
        <w:rPr>
          <w:lang w:val="fr-CH"/>
        </w:rPr>
        <w:t>183.</w:t>
      </w:r>
      <w:r w:rsidRPr="0071782F">
        <w:rPr>
          <w:lang w:val="fr-CH"/>
        </w:rPr>
        <w:tab/>
      </w:r>
      <w:r w:rsidR="007C23C4" w:rsidRPr="0071782F">
        <w:rPr>
          <w:lang w:val="fr-CH"/>
        </w:rPr>
        <w:t>Chaque complexe juridique a affecté à un ou plusieurs tribunaux publics (en fonction des besoins) les affaires concernant des infractions commises par des enfants. Aux fins de cette loi, un enfant s’entend de toute personne qui n’a pas atteint l’âge de la maturité religieuse</w:t>
      </w:r>
      <w:r w:rsidRPr="0071782F">
        <w:rPr>
          <w:lang w:val="fr-CH"/>
        </w:rPr>
        <w:t xml:space="preserve">. </w:t>
      </w:r>
      <w:r w:rsidR="007C23C4" w:rsidRPr="0071782F">
        <w:rPr>
          <w:lang w:val="fr-CH"/>
        </w:rPr>
        <w:t>Ces tribunaux peuvent également connaître des affaires concernant tous les jeunes âgés de moins de 18</w:t>
      </w:r>
      <w:r w:rsidR="00D82C96" w:rsidRPr="0071782F">
        <w:rPr>
          <w:lang w:val="fr-CH"/>
        </w:rPr>
        <w:t> ans</w:t>
      </w:r>
      <w:r w:rsidR="007C23C4" w:rsidRPr="0071782F">
        <w:rPr>
          <w:lang w:val="fr-CH"/>
        </w:rPr>
        <w:t xml:space="preserve">. Les </w:t>
      </w:r>
      <w:r w:rsidR="00723F2B" w:rsidRPr="0071782F">
        <w:rPr>
          <w:lang w:val="fr-CH"/>
        </w:rPr>
        <w:t>articles </w:t>
      </w:r>
      <w:r w:rsidRPr="0071782F">
        <w:rPr>
          <w:lang w:val="fr-CH"/>
        </w:rPr>
        <w:t xml:space="preserve">219 </w:t>
      </w:r>
      <w:r w:rsidR="007C23C4" w:rsidRPr="0071782F">
        <w:rPr>
          <w:lang w:val="fr-CH"/>
        </w:rPr>
        <w:t>à</w:t>
      </w:r>
      <w:r w:rsidRPr="0071782F">
        <w:rPr>
          <w:lang w:val="fr-CH"/>
        </w:rPr>
        <w:t xml:space="preserve"> 231 </w:t>
      </w:r>
      <w:r w:rsidR="007C23C4" w:rsidRPr="0071782F">
        <w:rPr>
          <w:lang w:val="fr-CH"/>
        </w:rPr>
        <w:t>de la loi sur les procédures pénales des tribunaux publics et révolutionnaires décrivent la procédure à suivre pour juger les affaires impliquant des enfants.</w:t>
      </w:r>
      <w:r w:rsidR="00D36718">
        <w:rPr>
          <w:lang w:val="fr-CH"/>
        </w:rPr>
        <w:t xml:space="preserve"> </w:t>
      </w:r>
    </w:p>
    <w:p w:rsidR="009F7C7F" w:rsidRPr="0071782F" w:rsidRDefault="009F7C7F" w:rsidP="00496C06">
      <w:pPr>
        <w:pStyle w:val="H4G"/>
        <w:rPr>
          <w:lang w:val="fr-CH"/>
        </w:rPr>
      </w:pPr>
      <w:r w:rsidRPr="0071782F">
        <w:rPr>
          <w:lang w:val="fr-CH"/>
        </w:rPr>
        <w:tab/>
      </w:r>
      <w:r w:rsidRPr="0071782F">
        <w:rPr>
          <w:lang w:val="fr-CH"/>
        </w:rPr>
        <w:tab/>
      </w:r>
      <w:r w:rsidR="0035165E" w:rsidRPr="0071782F">
        <w:rPr>
          <w:lang w:val="fr-CH"/>
        </w:rPr>
        <w:t xml:space="preserve">Projet de loi relatif à la création d’une autorité nationale de défense des droits des enfants </w:t>
      </w:r>
    </w:p>
    <w:p w:rsidR="009F7C7F" w:rsidRPr="0071782F" w:rsidRDefault="009F7C7F" w:rsidP="0025182F">
      <w:pPr>
        <w:pStyle w:val="SingleTxtG"/>
        <w:spacing w:after="0"/>
        <w:rPr>
          <w:lang w:val="fr-CH"/>
        </w:rPr>
      </w:pPr>
      <w:r w:rsidRPr="0071782F">
        <w:rPr>
          <w:lang w:val="fr-CH"/>
        </w:rPr>
        <w:t>184.</w:t>
      </w:r>
      <w:r w:rsidRPr="0071782F">
        <w:rPr>
          <w:lang w:val="fr-CH"/>
        </w:rPr>
        <w:tab/>
      </w:r>
      <w:r w:rsidR="0035165E" w:rsidRPr="0071782F">
        <w:rPr>
          <w:lang w:val="fr-CH"/>
        </w:rPr>
        <w:t>Élaboré sur proposition du Ministère des affaires étrangères dans le cadre des préparatifs de l’application des dispositions de la Convention relative aux droits de l’enfant (1993), ce projet de loi a été présenté au Conseil des ministres pour examen et adoption.</w:t>
      </w:r>
      <w:r w:rsidRPr="0071782F">
        <w:rPr>
          <w:lang w:val="fr-CH"/>
        </w:rPr>
        <w:t xml:space="preserve"> </w:t>
      </w:r>
    </w:p>
    <w:p w:rsidR="009F7C7F" w:rsidRPr="0071782F" w:rsidRDefault="009F7C7F" w:rsidP="00496C06">
      <w:pPr>
        <w:pStyle w:val="H23G"/>
        <w:rPr>
          <w:lang w:val="fr-CH"/>
        </w:rPr>
      </w:pPr>
      <w:r w:rsidRPr="0071782F">
        <w:rPr>
          <w:lang w:val="fr-CH"/>
        </w:rPr>
        <w:tab/>
      </w:r>
      <w:r w:rsidRPr="0071782F">
        <w:rPr>
          <w:lang w:val="fr-CH"/>
        </w:rPr>
        <w:tab/>
      </w:r>
      <w:r w:rsidR="0035165E" w:rsidRPr="0071782F">
        <w:rPr>
          <w:lang w:val="fr-CH"/>
        </w:rPr>
        <w:t>S</w:t>
      </w:r>
      <w:r w:rsidRPr="0071782F">
        <w:rPr>
          <w:lang w:val="fr-CH"/>
        </w:rPr>
        <w:t xml:space="preserve">ervices </w:t>
      </w:r>
      <w:r w:rsidR="0035165E" w:rsidRPr="0071782F">
        <w:rPr>
          <w:lang w:val="fr-CH"/>
        </w:rPr>
        <w:t xml:space="preserve">de secours fournis </w:t>
      </w:r>
      <w:r w:rsidR="00A234E8" w:rsidRPr="0071782F">
        <w:rPr>
          <w:lang w:val="fr-CH"/>
        </w:rPr>
        <w:t>aux familles</w:t>
      </w:r>
      <w:r w:rsidR="0035165E" w:rsidRPr="0071782F">
        <w:rPr>
          <w:lang w:val="fr-CH"/>
        </w:rPr>
        <w:t xml:space="preserve"> par l’Organisme public de protection sociale entre </w:t>
      </w:r>
      <w:r w:rsidRPr="0071782F">
        <w:rPr>
          <w:lang w:val="fr-CH"/>
        </w:rPr>
        <w:t xml:space="preserve">2000 </w:t>
      </w:r>
      <w:r w:rsidR="0035165E" w:rsidRPr="0071782F">
        <w:rPr>
          <w:lang w:val="fr-CH"/>
        </w:rPr>
        <w:t>et</w:t>
      </w:r>
      <w:r w:rsidRPr="0071782F">
        <w:rPr>
          <w:lang w:val="fr-CH"/>
        </w:rPr>
        <w:t xml:space="preserve"> 2007 (</w:t>
      </w:r>
      <w:r w:rsidR="0035165E" w:rsidRPr="0071782F">
        <w:rPr>
          <w:lang w:val="fr-CH"/>
        </w:rPr>
        <w:t>montants exprimés en</w:t>
      </w:r>
      <w:r w:rsidR="00D50123">
        <w:rPr>
          <w:lang w:val="fr-CH"/>
        </w:rPr>
        <w:t xml:space="preserve"> </w:t>
      </w:r>
      <w:r w:rsidR="00860D09" w:rsidRPr="0071782F">
        <w:rPr>
          <w:lang w:val="fr-CH"/>
        </w:rPr>
        <w:t>rials</w:t>
      </w:r>
      <w:r w:rsidRPr="0071782F">
        <w:rPr>
          <w:lang w:val="fr-CH"/>
        </w:rPr>
        <w:t>)</w:t>
      </w:r>
    </w:p>
    <w:tbl>
      <w:tblPr>
        <w:tblW w:w="8539" w:type="dxa"/>
        <w:tblInd w:w="1100"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2300"/>
        <w:gridCol w:w="1420"/>
        <w:gridCol w:w="961"/>
        <w:gridCol w:w="819"/>
        <w:gridCol w:w="946"/>
        <w:gridCol w:w="1046"/>
        <w:gridCol w:w="1047"/>
      </w:tblGrid>
      <w:tr w:rsidR="004B2988" w:rsidRPr="0071782F">
        <w:trPr>
          <w:tblHeader/>
        </w:trPr>
        <w:tc>
          <w:tcPr>
            <w:tcW w:w="2300" w:type="dxa"/>
            <w:tcBorders>
              <w:top w:val="single" w:sz="4" w:space="0" w:color="auto"/>
              <w:bottom w:val="single" w:sz="12" w:space="0" w:color="auto"/>
            </w:tcBorders>
            <w:shd w:val="clear" w:color="000000" w:fill="auto"/>
            <w:vAlign w:val="bottom"/>
          </w:tcPr>
          <w:p w:rsidR="004B2988" w:rsidRPr="0071782F" w:rsidRDefault="004B2988" w:rsidP="005B1FE2">
            <w:pPr>
              <w:suppressAutoHyphens w:val="0"/>
              <w:spacing w:before="80" w:after="80" w:line="200" w:lineRule="exact"/>
              <w:rPr>
                <w:sz w:val="18"/>
                <w:lang w:val="fr-CH"/>
              </w:rPr>
            </w:pPr>
            <w:r w:rsidRPr="0071782F">
              <w:rPr>
                <w:i/>
                <w:sz w:val="16"/>
                <w:lang w:val="fr-CH"/>
              </w:rPr>
              <w:t>Program</w:t>
            </w:r>
            <w:r w:rsidR="0035165E" w:rsidRPr="0071782F">
              <w:rPr>
                <w:i/>
                <w:sz w:val="16"/>
                <w:lang w:val="fr-CH"/>
              </w:rPr>
              <w:t>me</w:t>
            </w:r>
          </w:p>
        </w:tc>
        <w:tc>
          <w:tcPr>
            <w:tcW w:w="1420" w:type="dxa"/>
            <w:tcBorders>
              <w:top w:val="single" w:sz="4" w:space="0" w:color="auto"/>
              <w:bottom w:val="single" w:sz="12" w:space="0" w:color="auto"/>
            </w:tcBorders>
            <w:shd w:val="clear" w:color="000000" w:fill="auto"/>
            <w:vAlign w:val="bottom"/>
          </w:tcPr>
          <w:p w:rsidR="004B2988" w:rsidRPr="0071782F" w:rsidRDefault="0035165E" w:rsidP="005B1FE2">
            <w:pPr>
              <w:suppressAutoHyphens w:val="0"/>
              <w:spacing w:before="80" w:after="80" w:line="200" w:lineRule="exact"/>
              <w:rPr>
                <w:sz w:val="18"/>
                <w:lang w:val="fr-CH"/>
              </w:rPr>
            </w:pPr>
            <w:r w:rsidRPr="0071782F">
              <w:rPr>
                <w:i/>
                <w:sz w:val="16"/>
                <w:lang w:val="fr-CH"/>
              </w:rPr>
              <w:t>Année de début</w:t>
            </w:r>
          </w:p>
        </w:tc>
        <w:tc>
          <w:tcPr>
            <w:tcW w:w="1780" w:type="dxa"/>
            <w:gridSpan w:val="2"/>
            <w:tcBorders>
              <w:top w:val="single" w:sz="4" w:space="0" w:color="auto"/>
              <w:bottom w:val="single" w:sz="12" w:space="0" w:color="auto"/>
            </w:tcBorders>
            <w:shd w:val="clear" w:color="000000" w:fill="auto"/>
            <w:vAlign w:val="bottom"/>
          </w:tcPr>
          <w:p w:rsidR="004B2988" w:rsidRPr="0071782F" w:rsidRDefault="004B2988" w:rsidP="005B1FE2">
            <w:pPr>
              <w:suppressAutoHyphens w:val="0"/>
              <w:spacing w:before="80" w:after="80" w:line="200" w:lineRule="exact"/>
              <w:rPr>
                <w:sz w:val="18"/>
                <w:lang w:val="fr-CH"/>
              </w:rPr>
            </w:pPr>
            <w:r w:rsidRPr="0071782F">
              <w:rPr>
                <w:i/>
                <w:sz w:val="16"/>
                <w:lang w:val="fr-CH"/>
              </w:rPr>
              <w:t>Indicat</w:t>
            </w:r>
            <w:r w:rsidR="0035165E" w:rsidRPr="0071782F">
              <w:rPr>
                <w:i/>
                <w:sz w:val="16"/>
                <w:lang w:val="fr-CH"/>
              </w:rPr>
              <w:t>eu</w:t>
            </w:r>
            <w:r w:rsidRPr="0071782F">
              <w:rPr>
                <w:i/>
                <w:sz w:val="16"/>
                <w:lang w:val="fr-CH"/>
              </w:rPr>
              <w:t>r</w:t>
            </w:r>
          </w:p>
        </w:tc>
        <w:tc>
          <w:tcPr>
            <w:tcW w:w="946" w:type="dxa"/>
            <w:tcBorders>
              <w:top w:val="single" w:sz="4" w:space="0" w:color="auto"/>
              <w:bottom w:val="single" w:sz="12" w:space="0" w:color="auto"/>
            </w:tcBorders>
            <w:shd w:val="clear" w:color="000000" w:fill="auto"/>
            <w:vAlign w:val="bottom"/>
          </w:tcPr>
          <w:p w:rsidR="004B2988" w:rsidRPr="0071782F" w:rsidRDefault="004B2988" w:rsidP="005B1FE2">
            <w:pPr>
              <w:suppressAutoHyphens w:val="0"/>
              <w:spacing w:before="80" w:after="80" w:line="200" w:lineRule="exact"/>
              <w:jc w:val="right"/>
              <w:rPr>
                <w:sz w:val="18"/>
                <w:lang w:val="fr-CH"/>
              </w:rPr>
            </w:pPr>
            <w:r w:rsidRPr="0071782F">
              <w:rPr>
                <w:i/>
                <w:sz w:val="16"/>
                <w:lang w:val="fr-CH"/>
              </w:rPr>
              <w:t>2000</w:t>
            </w:r>
          </w:p>
        </w:tc>
        <w:tc>
          <w:tcPr>
            <w:tcW w:w="1046" w:type="dxa"/>
            <w:tcBorders>
              <w:top w:val="single" w:sz="4" w:space="0" w:color="auto"/>
              <w:bottom w:val="single" w:sz="12" w:space="0" w:color="auto"/>
            </w:tcBorders>
            <w:shd w:val="clear" w:color="000000" w:fill="auto"/>
            <w:vAlign w:val="bottom"/>
          </w:tcPr>
          <w:p w:rsidR="004B2988" w:rsidRPr="0071782F" w:rsidRDefault="004B2988" w:rsidP="005B1FE2">
            <w:pPr>
              <w:suppressAutoHyphens w:val="0"/>
              <w:spacing w:before="80" w:after="80" w:line="200" w:lineRule="exact"/>
              <w:jc w:val="right"/>
              <w:rPr>
                <w:sz w:val="18"/>
                <w:lang w:val="fr-CH"/>
              </w:rPr>
            </w:pPr>
            <w:r w:rsidRPr="0071782F">
              <w:rPr>
                <w:i/>
                <w:sz w:val="16"/>
                <w:lang w:val="fr-CH"/>
              </w:rPr>
              <w:t>2006</w:t>
            </w:r>
          </w:p>
        </w:tc>
        <w:tc>
          <w:tcPr>
            <w:tcW w:w="1047" w:type="dxa"/>
            <w:tcBorders>
              <w:top w:val="single" w:sz="4" w:space="0" w:color="auto"/>
              <w:bottom w:val="single" w:sz="12" w:space="0" w:color="auto"/>
            </w:tcBorders>
            <w:shd w:val="clear" w:color="000000" w:fill="auto"/>
            <w:vAlign w:val="bottom"/>
          </w:tcPr>
          <w:p w:rsidR="004B2988" w:rsidRPr="0071782F" w:rsidRDefault="004B2988" w:rsidP="005B1FE2">
            <w:pPr>
              <w:suppressAutoHyphens w:val="0"/>
              <w:spacing w:before="80" w:after="80" w:line="200" w:lineRule="exact"/>
              <w:jc w:val="right"/>
              <w:rPr>
                <w:sz w:val="18"/>
                <w:lang w:val="fr-CH"/>
              </w:rPr>
            </w:pPr>
            <w:r w:rsidRPr="0071782F">
              <w:rPr>
                <w:i/>
                <w:sz w:val="16"/>
                <w:lang w:val="fr-CH"/>
              </w:rPr>
              <w:t>2007</w:t>
            </w:r>
          </w:p>
        </w:tc>
      </w:tr>
      <w:tr w:rsidR="00A02D20" w:rsidRPr="0071782F">
        <w:tc>
          <w:tcPr>
            <w:tcW w:w="2300" w:type="dxa"/>
            <w:vMerge w:val="restart"/>
            <w:tcBorders>
              <w:top w:val="single" w:sz="12" w:space="0" w:color="auto"/>
              <w:bottom w:val="single" w:sz="12" w:space="0" w:color="auto"/>
            </w:tcBorders>
            <w:shd w:val="clear" w:color="000000" w:fill="auto"/>
          </w:tcPr>
          <w:p w:rsidR="009F7C7F" w:rsidRPr="0071782F" w:rsidRDefault="0035165E" w:rsidP="005B1FE2">
            <w:pPr>
              <w:suppressAutoHyphens w:val="0"/>
              <w:spacing w:before="40" w:after="40" w:line="220" w:lineRule="exact"/>
              <w:rPr>
                <w:sz w:val="18"/>
                <w:lang w:val="fr-CH"/>
              </w:rPr>
            </w:pPr>
            <w:r w:rsidRPr="0071782F">
              <w:rPr>
                <w:sz w:val="18"/>
                <w:lang w:val="fr-CH"/>
              </w:rPr>
              <w:t xml:space="preserve">Familles </w:t>
            </w:r>
            <w:r w:rsidR="00402EE2" w:rsidRPr="0071782F">
              <w:rPr>
                <w:sz w:val="18"/>
                <w:lang w:val="fr-CH"/>
              </w:rPr>
              <w:t>bénéficiaires</w:t>
            </w:r>
            <w:r w:rsidRPr="0071782F">
              <w:rPr>
                <w:sz w:val="18"/>
                <w:lang w:val="fr-CH"/>
              </w:rPr>
              <w:t xml:space="preserve"> </w:t>
            </w:r>
          </w:p>
        </w:tc>
        <w:tc>
          <w:tcPr>
            <w:tcW w:w="1420" w:type="dxa"/>
            <w:vMerge w:val="restart"/>
            <w:tcBorders>
              <w:top w:val="single" w:sz="12" w:space="0" w:color="auto"/>
              <w:bottom w:val="single" w:sz="12" w:space="0" w:color="auto"/>
            </w:tcBorders>
            <w:shd w:val="clear" w:color="000000" w:fill="auto"/>
          </w:tcPr>
          <w:p w:rsidR="009F7C7F" w:rsidRPr="0071782F" w:rsidRDefault="0035165E" w:rsidP="005B1FE2">
            <w:pPr>
              <w:suppressAutoHyphens w:val="0"/>
              <w:spacing w:before="40" w:after="40" w:line="220" w:lineRule="exact"/>
              <w:rPr>
                <w:sz w:val="18"/>
                <w:lang w:val="fr-CH"/>
              </w:rPr>
            </w:pPr>
            <w:r w:rsidRPr="0071782F">
              <w:rPr>
                <w:sz w:val="18"/>
                <w:lang w:val="fr-CH"/>
              </w:rPr>
              <w:t xml:space="preserve">Depuis sa création </w:t>
            </w:r>
          </w:p>
        </w:tc>
        <w:tc>
          <w:tcPr>
            <w:tcW w:w="1780" w:type="dxa"/>
            <w:gridSpan w:val="2"/>
            <w:tcBorders>
              <w:top w:val="single" w:sz="12" w:space="0" w:color="auto"/>
              <w:bottom w:val="nil"/>
            </w:tcBorders>
            <w:shd w:val="clear" w:color="000000" w:fill="auto"/>
          </w:tcPr>
          <w:p w:rsidR="009F7C7F" w:rsidRPr="0071782F" w:rsidRDefault="003B48A4" w:rsidP="005B1FE2">
            <w:pPr>
              <w:suppressAutoHyphens w:val="0"/>
              <w:spacing w:before="40" w:after="40" w:line="220" w:lineRule="exact"/>
              <w:rPr>
                <w:sz w:val="18"/>
                <w:lang w:val="fr-CH"/>
              </w:rPr>
            </w:pPr>
            <w:r w:rsidRPr="0071782F">
              <w:rPr>
                <w:sz w:val="18"/>
                <w:lang w:val="fr-CH"/>
              </w:rPr>
              <w:t>Nombre</w:t>
            </w:r>
            <w:r w:rsidR="009F7C7F" w:rsidRPr="0071782F">
              <w:rPr>
                <w:sz w:val="18"/>
                <w:lang w:val="fr-CH"/>
              </w:rPr>
              <w:t xml:space="preserve"> </w:t>
            </w:r>
            <w:r w:rsidR="0092511D" w:rsidRPr="0071782F">
              <w:rPr>
                <w:sz w:val="18"/>
                <w:lang w:val="fr-CH"/>
              </w:rPr>
              <w:t>de famille</w:t>
            </w:r>
            <w:r w:rsidR="009F7C7F" w:rsidRPr="0071782F">
              <w:rPr>
                <w:sz w:val="18"/>
                <w:lang w:val="fr-CH"/>
              </w:rPr>
              <w:t>s</w:t>
            </w:r>
          </w:p>
        </w:tc>
        <w:tc>
          <w:tcPr>
            <w:tcW w:w="946" w:type="dxa"/>
            <w:tcBorders>
              <w:top w:val="single" w:sz="12" w:space="0" w:color="auto"/>
              <w:bottom w:val="nil"/>
            </w:tcBorders>
            <w:shd w:val="clear" w:color="000000" w:fill="auto"/>
          </w:tcPr>
          <w:p w:rsidR="009F7C7F" w:rsidRPr="0071782F" w:rsidRDefault="009F7C7F" w:rsidP="005B1FE2">
            <w:pPr>
              <w:suppressAutoHyphens w:val="0"/>
              <w:spacing w:before="40" w:after="40" w:line="220" w:lineRule="exact"/>
              <w:jc w:val="right"/>
              <w:rPr>
                <w:sz w:val="18"/>
                <w:lang w:val="fr-CH"/>
              </w:rPr>
            </w:pPr>
            <w:r w:rsidRPr="0071782F">
              <w:rPr>
                <w:sz w:val="18"/>
                <w:lang w:val="fr-CH"/>
              </w:rPr>
              <w:t>107 000</w:t>
            </w:r>
          </w:p>
        </w:tc>
        <w:tc>
          <w:tcPr>
            <w:tcW w:w="1046" w:type="dxa"/>
            <w:tcBorders>
              <w:top w:val="single" w:sz="12" w:space="0" w:color="auto"/>
              <w:bottom w:val="nil"/>
            </w:tcBorders>
            <w:shd w:val="clear" w:color="000000" w:fill="auto"/>
          </w:tcPr>
          <w:p w:rsidR="009F7C7F" w:rsidRPr="0071782F" w:rsidRDefault="009F7C7F" w:rsidP="005B1FE2">
            <w:pPr>
              <w:suppressAutoHyphens w:val="0"/>
              <w:spacing w:before="40" w:after="40" w:line="220" w:lineRule="exact"/>
              <w:jc w:val="right"/>
              <w:rPr>
                <w:sz w:val="18"/>
                <w:lang w:val="fr-CH"/>
              </w:rPr>
            </w:pPr>
            <w:r w:rsidRPr="0071782F">
              <w:rPr>
                <w:sz w:val="18"/>
                <w:lang w:val="fr-CH"/>
              </w:rPr>
              <w:t>144 500</w:t>
            </w:r>
          </w:p>
        </w:tc>
        <w:tc>
          <w:tcPr>
            <w:tcW w:w="1047" w:type="dxa"/>
            <w:tcBorders>
              <w:top w:val="single" w:sz="12" w:space="0" w:color="auto"/>
              <w:bottom w:val="nil"/>
            </w:tcBorders>
            <w:shd w:val="clear" w:color="000000" w:fill="auto"/>
          </w:tcPr>
          <w:p w:rsidR="009F7C7F" w:rsidRPr="0071782F" w:rsidRDefault="009F7C7F" w:rsidP="005B1FE2">
            <w:pPr>
              <w:suppressAutoHyphens w:val="0"/>
              <w:spacing w:before="40" w:after="40" w:line="220" w:lineRule="exact"/>
              <w:jc w:val="right"/>
              <w:rPr>
                <w:sz w:val="18"/>
                <w:lang w:val="fr-CH"/>
              </w:rPr>
            </w:pPr>
            <w:r w:rsidRPr="0071782F">
              <w:rPr>
                <w:sz w:val="18"/>
                <w:lang w:val="fr-CH"/>
              </w:rPr>
              <w:t>146 673</w:t>
            </w:r>
          </w:p>
        </w:tc>
      </w:tr>
      <w:tr w:rsidR="00A7453D" w:rsidRPr="0071782F">
        <w:tc>
          <w:tcPr>
            <w:tcW w:w="2300" w:type="dxa"/>
            <w:vMerge/>
            <w:tcBorders>
              <w:top w:val="single" w:sz="12" w:space="0" w:color="auto"/>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top w:val="single" w:sz="12" w:space="0" w:color="auto"/>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w:t>
            </w:r>
            <w:r w:rsidR="0035165E" w:rsidRPr="0071782F">
              <w:rPr>
                <w:sz w:val="18"/>
                <w:lang w:val="fr-CH"/>
              </w:rPr>
              <w:t>personnel</w:t>
            </w:r>
            <w:r w:rsidRPr="0071782F">
              <w:rPr>
                <w:sz w:val="18"/>
                <w:lang w:val="fr-CH"/>
              </w:rPr>
              <w:t>) cr</w:t>
            </w:r>
            <w:r w:rsidR="0035165E" w:rsidRPr="0071782F">
              <w:rPr>
                <w:sz w:val="18"/>
                <w:lang w:val="fr-CH"/>
              </w:rPr>
              <w:t>é</w:t>
            </w:r>
            <w:r w:rsidRPr="0071782F">
              <w:rPr>
                <w:sz w:val="18"/>
                <w:lang w:val="fr-CH"/>
              </w:rPr>
              <w:t>dit</w:t>
            </w:r>
          </w:p>
        </w:tc>
        <w:tc>
          <w:tcPr>
            <w:tcW w:w="9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361 354 000</w:t>
            </w:r>
          </w:p>
        </w:tc>
        <w:tc>
          <w:tcPr>
            <w:tcW w:w="1047"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369 216 000</w:t>
            </w:r>
          </w:p>
        </w:tc>
      </w:tr>
      <w:tr w:rsidR="00A7453D" w:rsidRPr="0071782F">
        <w:tc>
          <w:tcPr>
            <w:tcW w:w="2300" w:type="dxa"/>
            <w:vMerge w:val="restart"/>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 xml:space="preserve">Distribution </w:t>
            </w:r>
            <w:r w:rsidR="0035165E" w:rsidRPr="0071782F">
              <w:rPr>
                <w:sz w:val="18"/>
                <w:lang w:val="fr-CH"/>
              </w:rPr>
              <w:t>de lait en poudre</w:t>
            </w:r>
          </w:p>
        </w:tc>
        <w:tc>
          <w:tcPr>
            <w:tcW w:w="1420" w:type="dxa"/>
            <w:vMerge w:val="restart"/>
            <w:tcBorders>
              <w:top w:val="nil"/>
              <w:bottom w:val="nil"/>
            </w:tcBorders>
            <w:shd w:val="clear" w:color="000000" w:fill="auto"/>
          </w:tcPr>
          <w:p w:rsidR="00A7453D" w:rsidRPr="0071782F" w:rsidRDefault="0035165E" w:rsidP="005B1FE2">
            <w:pPr>
              <w:suppressAutoHyphens w:val="0"/>
              <w:spacing w:before="40" w:after="40" w:line="220" w:lineRule="exact"/>
              <w:rPr>
                <w:sz w:val="18"/>
                <w:lang w:val="fr-CH"/>
              </w:rPr>
            </w:pPr>
            <w:r w:rsidRPr="0071782F">
              <w:rPr>
                <w:sz w:val="18"/>
                <w:lang w:val="fr-CH"/>
              </w:rPr>
              <w:t>Depuis sa création</w:t>
            </w:r>
          </w:p>
        </w:tc>
        <w:tc>
          <w:tcPr>
            <w:tcW w:w="1780" w:type="dxa"/>
            <w:gridSpan w:val="2"/>
            <w:tcBorders>
              <w:top w:val="nil"/>
              <w:bottom w:val="nil"/>
            </w:tcBorders>
            <w:shd w:val="clear" w:color="000000" w:fill="auto"/>
          </w:tcPr>
          <w:p w:rsidR="00A7453D" w:rsidRPr="0071782F" w:rsidRDefault="003B48A4" w:rsidP="005B1FE2">
            <w:pPr>
              <w:suppressAutoHyphens w:val="0"/>
              <w:spacing w:before="40" w:after="40" w:line="220" w:lineRule="exact"/>
              <w:rPr>
                <w:sz w:val="18"/>
                <w:lang w:val="fr-CH"/>
              </w:rPr>
            </w:pPr>
            <w:r w:rsidRPr="0071782F">
              <w:rPr>
                <w:sz w:val="18"/>
                <w:lang w:val="fr-CH"/>
              </w:rPr>
              <w:t>Nombre</w:t>
            </w:r>
            <w:r w:rsidR="00A7453D" w:rsidRPr="0071782F">
              <w:rPr>
                <w:sz w:val="18"/>
                <w:lang w:val="fr-CH"/>
              </w:rPr>
              <w:t xml:space="preserve"> </w:t>
            </w:r>
            <w:r w:rsidR="0035165E" w:rsidRPr="0071782F">
              <w:rPr>
                <w:sz w:val="18"/>
                <w:lang w:val="fr-CH"/>
              </w:rPr>
              <w:t>de boîtes</w:t>
            </w:r>
          </w:p>
        </w:tc>
        <w:tc>
          <w:tcPr>
            <w:tcW w:w="9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500 000</w:t>
            </w:r>
          </w:p>
        </w:tc>
        <w:tc>
          <w:tcPr>
            <w:tcW w:w="1047"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500 000</w:t>
            </w:r>
          </w:p>
        </w:tc>
      </w:tr>
      <w:tr w:rsidR="00A7453D" w:rsidRPr="0071782F">
        <w:tc>
          <w:tcPr>
            <w:tcW w:w="230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tcBorders>
              <w:top w:val="nil"/>
              <w:bottom w:val="nil"/>
            </w:tcBorders>
            <w:shd w:val="clear" w:color="000000" w:fill="auto"/>
          </w:tcPr>
          <w:p w:rsidR="00A7453D" w:rsidRPr="0071782F" w:rsidRDefault="003B48A4" w:rsidP="005B1FE2">
            <w:pPr>
              <w:suppressAutoHyphens w:val="0"/>
              <w:spacing w:before="40" w:after="40" w:line="220" w:lineRule="exact"/>
              <w:rPr>
                <w:sz w:val="18"/>
                <w:lang w:val="fr-CH"/>
              </w:rPr>
            </w:pPr>
            <w:r w:rsidRPr="0071782F">
              <w:rPr>
                <w:sz w:val="18"/>
                <w:lang w:val="fr-CH"/>
              </w:rPr>
              <w:t>Nombre</w:t>
            </w:r>
            <w:r w:rsidR="00A7453D" w:rsidRPr="0071782F">
              <w:rPr>
                <w:sz w:val="18"/>
                <w:lang w:val="fr-CH"/>
              </w:rPr>
              <w:t xml:space="preserve"> </w:t>
            </w:r>
            <w:r w:rsidR="0035165E" w:rsidRPr="0071782F">
              <w:rPr>
                <w:sz w:val="18"/>
                <w:lang w:val="fr-CH"/>
              </w:rPr>
              <w:t>de nourrisson</w:t>
            </w:r>
            <w:r w:rsidR="00402EE2" w:rsidRPr="0071782F">
              <w:rPr>
                <w:sz w:val="18"/>
                <w:lang w:val="fr-CH"/>
              </w:rPr>
              <w:t>s</w:t>
            </w:r>
            <w:r w:rsidR="0035165E" w:rsidRPr="0071782F">
              <w:rPr>
                <w:sz w:val="18"/>
                <w:lang w:val="fr-CH"/>
              </w:rPr>
              <w:t xml:space="preserve"> utilisateurs </w:t>
            </w:r>
          </w:p>
        </w:tc>
        <w:tc>
          <w:tcPr>
            <w:tcW w:w="9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15 428</w:t>
            </w:r>
          </w:p>
        </w:tc>
        <w:tc>
          <w:tcPr>
            <w:tcW w:w="1047"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r>
      <w:tr w:rsidR="00A02D20" w:rsidRPr="0071782F">
        <w:tc>
          <w:tcPr>
            <w:tcW w:w="2300" w:type="dxa"/>
            <w:vMerge w:val="restart"/>
            <w:tcBorders>
              <w:top w:val="nil"/>
              <w:bottom w:val="nil"/>
            </w:tcBorders>
            <w:shd w:val="clear" w:color="000000" w:fill="auto"/>
          </w:tcPr>
          <w:p w:rsidR="009F7C7F" w:rsidRPr="0071782F" w:rsidRDefault="009F7C7F" w:rsidP="005B1FE2">
            <w:pPr>
              <w:suppressAutoHyphens w:val="0"/>
              <w:spacing w:before="40" w:after="40" w:line="220" w:lineRule="exact"/>
              <w:rPr>
                <w:sz w:val="18"/>
                <w:lang w:val="fr-CH"/>
              </w:rPr>
            </w:pPr>
            <w:r w:rsidRPr="0071782F">
              <w:rPr>
                <w:sz w:val="18"/>
                <w:lang w:val="fr-CH"/>
              </w:rPr>
              <w:t>Pa</w:t>
            </w:r>
            <w:r w:rsidR="0035165E" w:rsidRPr="0071782F">
              <w:rPr>
                <w:sz w:val="18"/>
                <w:lang w:val="fr-CH"/>
              </w:rPr>
              <w:t xml:space="preserve">iement des droits d’inscription à l’université </w:t>
            </w:r>
          </w:p>
        </w:tc>
        <w:tc>
          <w:tcPr>
            <w:tcW w:w="1420" w:type="dxa"/>
            <w:vMerge w:val="restart"/>
            <w:tcBorders>
              <w:top w:val="nil"/>
              <w:bottom w:val="nil"/>
            </w:tcBorders>
            <w:shd w:val="clear" w:color="000000" w:fill="auto"/>
          </w:tcPr>
          <w:p w:rsidR="009F7C7F" w:rsidRPr="0071782F" w:rsidRDefault="009F7C7F" w:rsidP="005B1FE2">
            <w:pPr>
              <w:suppressAutoHyphens w:val="0"/>
              <w:spacing w:before="40" w:after="40" w:line="220" w:lineRule="exact"/>
              <w:rPr>
                <w:sz w:val="18"/>
                <w:lang w:val="fr-CH"/>
              </w:rPr>
            </w:pPr>
            <w:r w:rsidRPr="0071782F">
              <w:rPr>
                <w:sz w:val="18"/>
                <w:lang w:val="fr-CH"/>
              </w:rPr>
              <w:t>2000</w:t>
            </w:r>
          </w:p>
        </w:tc>
        <w:tc>
          <w:tcPr>
            <w:tcW w:w="1780" w:type="dxa"/>
            <w:gridSpan w:val="2"/>
            <w:tcBorders>
              <w:top w:val="nil"/>
              <w:bottom w:val="nil"/>
            </w:tcBorders>
            <w:shd w:val="clear" w:color="000000" w:fill="auto"/>
          </w:tcPr>
          <w:p w:rsidR="009F7C7F" w:rsidRPr="0071782F" w:rsidRDefault="003B48A4" w:rsidP="005B1FE2">
            <w:pPr>
              <w:suppressAutoHyphens w:val="0"/>
              <w:spacing w:before="40" w:after="40" w:line="220" w:lineRule="exact"/>
              <w:rPr>
                <w:sz w:val="18"/>
                <w:lang w:val="fr-CH"/>
              </w:rPr>
            </w:pPr>
            <w:r w:rsidRPr="0071782F">
              <w:rPr>
                <w:sz w:val="18"/>
                <w:lang w:val="fr-CH"/>
              </w:rPr>
              <w:t>Nombre</w:t>
            </w:r>
            <w:r w:rsidR="009F7C7F" w:rsidRPr="0071782F">
              <w:rPr>
                <w:sz w:val="18"/>
                <w:lang w:val="fr-CH"/>
              </w:rPr>
              <w:t xml:space="preserve"> </w:t>
            </w:r>
            <w:r w:rsidR="0035165E" w:rsidRPr="0071782F">
              <w:rPr>
                <w:sz w:val="18"/>
                <w:lang w:val="fr-CH"/>
              </w:rPr>
              <w:t>d’étudiants utilisateurs</w:t>
            </w:r>
          </w:p>
        </w:tc>
        <w:tc>
          <w:tcPr>
            <w:tcW w:w="946" w:type="dxa"/>
            <w:tcBorders>
              <w:top w:val="nil"/>
              <w:bottom w:val="nil"/>
            </w:tcBorders>
            <w:shd w:val="clear" w:color="000000" w:fill="auto"/>
          </w:tcPr>
          <w:p w:rsidR="009F7C7F" w:rsidRPr="0071782F" w:rsidRDefault="009F7C7F" w:rsidP="005B1FE2">
            <w:pPr>
              <w:suppressAutoHyphens w:val="0"/>
              <w:spacing w:before="40" w:after="40" w:line="220" w:lineRule="exact"/>
              <w:jc w:val="right"/>
              <w:rPr>
                <w:sz w:val="18"/>
                <w:lang w:val="fr-CH"/>
              </w:rPr>
            </w:pPr>
            <w:r w:rsidRPr="0071782F">
              <w:rPr>
                <w:sz w:val="18"/>
                <w:lang w:val="fr-CH"/>
              </w:rPr>
              <w:t>3 500</w:t>
            </w:r>
          </w:p>
        </w:tc>
        <w:tc>
          <w:tcPr>
            <w:tcW w:w="1046" w:type="dxa"/>
            <w:tcBorders>
              <w:top w:val="nil"/>
              <w:bottom w:val="nil"/>
            </w:tcBorders>
            <w:shd w:val="clear" w:color="000000" w:fill="auto"/>
          </w:tcPr>
          <w:p w:rsidR="009F7C7F" w:rsidRPr="0071782F" w:rsidRDefault="009F7C7F" w:rsidP="005B1FE2">
            <w:pPr>
              <w:suppressAutoHyphens w:val="0"/>
              <w:spacing w:before="40" w:after="40" w:line="220" w:lineRule="exact"/>
              <w:jc w:val="right"/>
              <w:rPr>
                <w:sz w:val="18"/>
                <w:lang w:val="fr-CH"/>
              </w:rPr>
            </w:pPr>
            <w:r w:rsidRPr="0071782F">
              <w:rPr>
                <w:sz w:val="18"/>
                <w:lang w:val="fr-CH"/>
              </w:rPr>
              <w:t>9 086</w:t>
            </w:r>
          </w:p>
        </w:tc>
        <w:tc>
          <w:tcPr>
            <w:tcW w:w="1047" w:type="dxa"/>
            <w:tcBorders>
              <w:top w:val="nil"/>
              <w:bottom w:val="nil"/>
            </w:tcBorders>
            <w:shd w:val="clear" w:color="000000" w:fill="auto"/>
          </w:tcPr>
          <w:p w:rsidR="009F7C7F" w:rsidRPr="0071782F" w:rsidRDefault="009F7C7F" w:rsidP="005B1FE2">
            <w:pPr>
              <w:suppressAutoHyphens w:val="0"/>
              <w:spacing w:before="40" w:after="40" w:line="220" w:lineRule="exact"/>
              <w:jc w:val="right"/>
              <w:rPr>
                <w:sz w:val="18"/>
                <w:lang w:val="fr-CH"/>
              </w:rPr>
            </w:pPr>
            <w:r w:rsidRPr="0071782F">
              <w:rPr>
                <w:sz w:val="18"/>
                <w:lang w:val="fr-CH"/>
              </w:rPr>
              <w:t>9 086</w:t>
            </w:r>
          </w:p>
        </w:tc>
      </w:tr>
      <w:tr w:rsidR="00A02D20" w:rsidRPr="0071782F">
        <w:tc>
          <w:tcPr>
            <w:tcW w:w="2300" w:type="dxa"/>
            <w:vMerge/>
            <w:tcBorders>
              <w:top w:val="nil"/>
            </w:tcBorders>
            <w:shd w:val="clear" w:color="000000" w:fill="auto"/>
          </w:tcPr>
          <w:p w:rsidR="009F7C7F" w:rsidRPr="0071782F" w:rsidRDefault="009F7C7F" w:rsidP="005B1FE2">
            <w:pPr>
              <w:suppressAutoHyphens w:val="0"/>
              <w:spacing w:before="40" w:after="40" w:line="220" w:lineRule="exact"/>
              <w:rPr>
                <w:sz w:val="18"/>
                <w:lang w:val="fr-CH"/>
              </w:rPr>
            </w:pPr>
          </w:p>
        </w:tc>
        <w:tc>
          <w:tcPr>
            <w:tcW w:w="1420" w:type="dxa"/>
            <w:vMerge/>
            <w:tcBorders>
              <w:top w:val="nil"/>
            </w:tcBorders>
            <w:shd w:val="clear" w:color="000000" w:fill="auto"/>
          </w:tcPr>
          <w:p w:rsidR="009F7C7F" w:rsidRPr="0071782F" w:rsidRDefault="009F7C7F" w:rsidP="005B1FE2">
            <w:pPr>
              <w:suppressAutoHyphens w:val="0"/>
              <w:spacing w:before="40" w:after="40" w:line="220" w:lineRule="exact"/>
              <w:rPr>
                <w:sz w:val="18"/>
                <w:lang w:val="fr-CH"/>
              </w:rPr>
            </w:pPr>
          </w:p>
        </w:tc>
        <w:tc>
          <w:tcPr>
            <w:tcW w:w="1780" w:type="dxa"/>
            <w:gridSpan w:val="2"/>
            <w:tcBorders>
              <w:top w:val="nil"/>
            </w:tcBorders>
            <w:shd w:val="clear" w:color="000000" w:fill="auto"/>
          </w:tcPr>
          <w:p w:rsidR="009F7C7F" w:rsidRPr="0071782F" w:rsidRDefault="009F7C7F" w:rsidP="005B1FE2">
            <w:pPr>
              <w:suppressAutoHyphens w:val="0"/>
              <w:spacing w:before="40" w:after="40" w:line="220" w:lineRule="exact"/>
              <w:rPr>
                <w:sz w:val="18"/>
                <w:lang w:val="fr-CH"/>
              </w:rPr>
            </w:pPr>
            <w:r w:rsidRPr="0071782F">
              <w:rPr>
                <w:sz w:val="18"/>
                <w:lang w:val="fr-CH"/>
              </w:rPr>
              <w:t>Cr</w:t>
            </w:r>
            <w:r w:rsidR="0035165E" w:rsidRPr="0071782F">
              <w:rPr>
                <w:sz w:val="18"/>
                <w:lang w:val="fr-CH"/>
              </w:rPr>
              <w:t>é</w:t>
            </w:r>
            <w:r w:rsidRPr="0071782F">
              <w:rPr>
                <w:sz w:val="18"/>
                <w:lang w:val="fr-CH"/>
              </w:rPr>
              <w:t>dit</w:t>
            </w:r>
          </w:p>
        </w:tc>
        <w:tc>
          <w:tcPr>
            <w:tcW w:w="946" w:type="dxa"/>
            <w:tcBorders>
              <w:top w:val="nil"/>
            </w:tcBorders>
            <w:shd w:val="clear" w:color="000000" w:fill="auto"/>
          </w:tcPr>
          <w:p w:rsidR="009F7C7F" w:rsidRPr="0071782F" w:rsidRDefault="009F7C7F" w:rsidP="005B1FE2">
            <w:pPr>
              <w:suppressAutoHyphens w:val="0"/>
              <w:spacing w:before="40" w:after="40" w:line="220" w:lineRule="exact"/>
              <w:jc w:val="right"/>
              <w:rPr>
                <w:sz w:val="18"/>
                <w:lang w:val="fr-CH"/>
              </w:rPr>
            </w:pPr>
            <w:r w:rsidRPr="0071782F">
              <w:rPr>
                <w:sz w:val="18"/>
                <w:lang w:val="fr-CH"/>
              </w:rPr>
              <w:t>2 000 000</w:t>
            </w:r>
          </w:p>
        </w:tc>
        <w:tc>
          <w:tcPr>
            <w:tcW w:w="1046" w:type="dxa"/>
            <w:tcBorders>
              <w:top w:val="nil"/>
            </w:tcBorders>
            <w:shd w:val="clear" w:color="000000" w:fill="auto"/>
          </w:tcPr>
          <w:p w:rsidR="009F7C7F" w:rsidRPr="0071782F" w:rsidRDefault="009F7C7F" w:rsidP="005B1FE2">
            <w:pPr>
              <w:suppressAutoHyphens w:val="0"/>
              <w:spacing w:before="40" w:after="40" w:line="220" w:lineRule="exact"/>
              <w:jc w:val="right"/>
              <w:rPr>
                <w:sz w:val="18"/>
                <w:lang w:val="fr-CH"/>
              </w:rPr>
            </w:pPr>
          </w:p>
        </w:tc>
        <w:tc>
          <w:tcPr>
            <w:tcW w:w="1047" w:type="dxa"/>
            <w:tcBorders>
              <w:top w:val="nil"/>
            </w:tcBorders>
            <w:shd w:val="clear" w:color="000000" w:fill="auto"/>
          </w:tcPr>
          <w:p w:rsidR="009F7C7F" w:rsidRPr="0071782F" w:rsidRDefault="009F7C7F" w:rsidP="005B1FE2">
            <w:pPr>
              <w:suppressAutoHyphens w:val="0"/>
              <w:spacing w:before="40" w:after="40" w:line="220" w:lineRule="exact"/>
              <w:jc w:val="right"/>
              <w:rPr>
                <w:sz w:val="18"/>
                <w:lang w:val="fr-CH"/>
              </w:rPr>
            </w:pPr>
          </w:p>
        </w:tc>
      </w:tr>
      <w:tr w:rsidR="00A02D20" w:rsidRPr="0071782F">
        <w:tc>
          <w:tcPr>
            <w:tcW w:w="2300" w:type="dxa"/>
            <w:vMerge w:val="restart"/>
            <w:shd w:val="clear" w:color="000000" w:fill="auto"/>
          </w:tcPr>
          <w:p w:rsidR="009F7C7F" w:rsidRPr="0071782F" w:rsidRDefault="0035165E" w:rsidP="005B1FE2">
            <w:pPr>
              <w:suppressAutoHyphens w:val="0"/>
              <w:spacing w:before="40" w:after="40" w:line="220" w:lineRule="exact"/>
              <w:rPr>
                <w:sz w:val="18"/>
                <w:lang w:val="fr-CH"/>
              </w:rPr>
            </w:pPr>
            <w:r w:rsidRPr="0071782F">
              <w:rPr>
                <w:sz w:val="18"/>
                <w:lang w:val="fr-CH"/>
              </w:rPr>
              <w:t>Groupes d’entraide</w:t>
            </w:r>
            <w:r w:rsidR="009F7C7F" w:rsidRPr="0071782F">
              <w:rPr>
                <w:sz w:val="18"/>
                <w:lang w:val="fr-CH"/>
              </w:rPr>
              <w:t xml:space="preserve"> </w:t>
            </w:r>
          </w:p>
        </w:tc>
        <w:tc>
          <w:tcPr>
            <w:tcW w:w="1420" w:type="dxa"/>
            <w:vMerge w:val="restart"/>
            <w:shd w:val="clear" w:color="000000" w:fill="auto"/>
          </w:tcPr>
          <w:p w:rsidR="009F7C7F" w:rsidRPr="0071782F" w:rsidRDefault="009F7C7F" w:rsidP="005B1FE2">
            <w:pPr>
              <w:suppressAutoHyphens w:val="0"/>
              <w:spacing w:before="40" w:after="40" w:line="220" w:lineRule="exact"/>
              <w:rPr>
                <w:sz w:val="18"/>
                <w:lang w:val="fr-CH"/>
              </w:rPr>
            </w:pPr>
            <w:r w:rsidRPr="0071782F">
              <w:rPr>
                <w:sz w:val="18"/>
                <w:lang w:val="fr-CH"/>
              </w:rPr>
              <w:t>2000</w:t>
            </w:r>
          </w:p>
        </w:tc>
        <w:tc>
          <w:tcPr>
            <w:tcW w:w="1780" w:type="dxa"/>
            <w:gridSpan w:val="2"/>
            <w:shd w:val="clear" w:color="000000" w:fill="auto"/>
          </w:tcPr>
          <w:p w:rsidR="009F7C7F" w:rsidRPr="0071782F" w:rsidRDefault="003B48A4" w:rsidP="005B1FE2">
            <w:pPr>
              <w:suppressAutoHyphens w:val="0"/>
              <w:spacing w:before="40" w:after="40" w:line="220" w:lineRule="exact"/>
              <w:rPr>
                <w:sz w:val="18"/>
                <w:lang w:val="fr-CH"/>
              </w:rPr>
            </w:pPr>
            <w:r w:rsidRPr="0071782F">
              <w:rPr>
                <w:sz w:val="18"/>
                <w:lang w:val="fr-CH"/>
              </w:rPr>
              <w:t>Nombre</w:t>
            </w:r>
            <w:r w:rsidR="009F7C7F" w:rsidRPr="0071782F">
              <w:rPr>
                <w:sz w:val="18"/>
                <w:lang w:val="fr-CH"/>
              </w:rPr>
              <w:t xml:space="preserve"> </w:t>
            </w:r>
            <w:r w:rsidR="0035165E" w:rsidRPr="0071782F">
              <w:rPr>
                <w:sz w:val="18"/>
                <w:lang w:val="fr-CH"/>
              </w:rPr>
              <w:t>de</w:t>
            </w:r>
            <w:r w:rsidR="009F7C7F" w:rsidRPr="0071782F">
              <w:rPr>
                <w:sz w:val="18"/>
                <w:lang w:val="fr-CH"/>
              </w:rPr>
              <w:t xml:space="preserve"> group</w:t>
            </w:r>
            <w:r w:rsidR="0035165E" w:rsidRPr="0071782F">
              <w:rPr>
                <w:sz w:val="18"/>
                <w:lang w:val="fr-CH"/>
              </w:rPr>
              <w:t>e</w:t>
            </w:r>
            <w:r w:rsidR="009F7C7F" w:rsidRPr="0071782F">
              <w:rPr>
                <w:sz w:val="18"/>
                <w:lang w:val="fr-CH"/>
              </w:rPr>
              <w:t>s</w:t>
            </w:r>
          </w:p>
        </w:tc>
        <w:tc>
          <w:tcPr>
            <w:tcW w:w="946" w:type="dxa"/>
            <w:shd w:val="clear" w:color="000000" w:fill="auto"/>
          </w:tcPr>
          <w:p w:rsidR="009F7C7F" w:rsidRPr="0071782F" w:rsidRDefault="009F7C7F" w:rsidP="005B1FE2">
            <w:pPr>
              <w:suppressAutoHyphens w:val="0"/>
              <w:spacing w:before="40" w:after="40" w:line="220" w:lineRule="exact"/>
              <w:jc w:val="right"/>
              <w:rPr>
                <w:sz w:val="18"/>
                <w:lang w:val="fr-CH"/>
              </w:rPr>
            </w:pPr>
            <w:r w:rsidRPr="0071782F">
              <w:rPr>
                <w:sz w:val="18"/>
                <w:lang w:val="fr-CH"/>
              </w:rPr>
              <w:t>52</w:t>
            </w:r>
          </w:p>
        </w:tc>
        <w:tc>
          <w:tcPr>
            <w:tcW w:w="1046" w:type="dxa"/>
            <w:shd w:val="clear" w:color="000000" w:fill="auto"/>
          </w:tcPr>
          <w:p w:rsidR="009F7C7F" w:rsidRPr="0071782F" w:rsidRDefault="009F7C7F" w:rsidP="005B1FE2">
            <w:pPr>
              <w:suppressAutoHyphens w:val="0"/>
              <w:spacing w:before="40" w:after="40" w:line="220" w:lineRule="exact"/>
              <w:jc w:val="right"/>
              <w:rPr>
                <w:sz w:val="18"/>
                <w:lang w:val="fr-CH"/>
              </w:rPr>
            </w:pPr>
            <w:r w:rsidRPr="0071782F">
              <w:rPr>
                <w:sz w:val="18"/>
                <w:lang w:val="fr-CH"/>
              </w:rPr>
              <w:t>606</w:t>
            </w:r>
          </w:p>
        </w:tc>
        <w:tc>
          <w:tcPr>
            <w:tcW w:w="1047" w:type="dxa"/>
            <w:shd w:val="clear" w:color="000000" w:fill="auto"/>
          </w:tcPr>
          <w:p w:rsidR="009F7C7F" w:rsidRPr="0071782F" w:rsidRDefault="009F7C7F" w:rsidP="005B1FE2">
            <w:pPr>
              <w:suppressAutoHyphens w:val="0"/>
              <w:spacing w:before="40" w:after="40" w:line="220" w:lineRule="exact"/>
              <w:jc w:val="right"/>
              <w:rPr>
                <w:sz w:val="18"/>
                <w:lang w:val="fr-CH"/>
              </w:rPr>
            </w:pPr>
            <w:r w:rsidRPr="0071782F">
              <w:rPr>
                <w:sz w:val="18"/>
                <w:lang w:val="fr-CH"/>
              </w:rPr>
              <w:t>700</w:t>
            </w:r>
          </w:p>
        </w:tc>
      </w:tr>
      <w:tr w:rsidR="00A7453D" w:rsidRPr="0071782F">
        <w:tc>
          <w:tcPr>
            <w:tcW w:w="2300" w:type="dxa"/>
            <w:vMerge/>
            <w:tcBorders>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tcBorders>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Cr</w:t>
            </w:r>
            <w:r w:rsidR="0035165E" w:rsidRPr="0071782F">
              <w:rPr>
                <w:sz w:val="18"/>
                <w:lang w:val="fr-CH"/>
              </w:rPr>
              <w:t>é</w:t>
            </w:r>
            <w:r w:rsidRPr="0071782F">
              <w:rPr>
                <w:sz w:val="18"/>
                <w:lang w:val="fr-CH"/>
              </w:rPr>
              <w:t>dit</w:t>
            </w:r>
          </w:p>
        </w:tc>
        <w:tc>
          <w:tcPr>
            <w:tcW w:w="946" w:type="dxa"/>
            <w:tcBorders>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996 000</w:t>
            </w:r>
          </w:p>
        </w:tc>
        <w:tc>
          <w:tcPr>
            <w:tcW w:w="1047" w:type="dxa"/>
            <w:tcBorders>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1 796 000</w:t>
            </w:r>
          </w:p>
        </w:tc>
      </w:tr>
      <w:tr w:rsidR="00A7453D" w:rsidRPr="0071782F">
        <w:tc>
          <w:tcPr>
            <w:tcW w:w="2300" w:type="dxa"/>
            <w:vMerge w:val="restart"/>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Re</w:t>
            </w:r>
            <w:r w:rsidR="0035165E" w:rsidRPr="0071782F">
              <w:rPr>
                <w:sz w:val="18"/>
                <w:lang w:val="fr-CH"/>
              </w:rPr>
              <w:t xml:space="preserve">nvoi de </w:t>
            </w:r>
            <w:r w:rsidRPr="0071782F">
              <w:rPr>
                <w:sz w:val="18"/>
                <w:lang w:val="fr-CH"/>
              </w:rPr>
              <w:t>cas</w:t>
            </w:r>
            <w:r w:rsidR="0035165E" w:rsidRPr="0071782F">
              <w:rPr>
                <w:sz w:val="18"/>
                <w:lang w:val="fr-CH"/>
              </w:rPr>
              <w:t xml:space="preserve"> aux organisations caritatives</w:t>
            </w:r>
          </w:p>
        </w:tc>
        <w:tc>
          <w:tcPr>
            <w:tcW w:w="1420" w:type="dxa"/>
            <w:vMerge w:val="restart"/>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2000</w:t>
            </w:r>
          </w:p>
        </w:tc>
        <w:tc>
          <w:tcPr>
            <w:tcW w:w="1780" w:type="dxa"/>
            <w:gridSpan w:val="2"/>
            <w:tcBorders>
              <w:top w:val="nil"/>
              <w:bottom w:val="nil"/>
            </w:tcBorders>
            <w:shd w:val="clear" w:color="000000" w:fill="auto"/>
          </w:tcPr>
          <w:p w:rsidR="00A7453D" w:rsidRPr="0071782F" w:rsidRDefault="003B48A4" w:rsidP="005B1FE2">
            <w:pPr>
              <w:suppressAutoHyphens w:val="0"/>
              <w:spacing w:before="40" w:after="40" w:line="220" w:lineRule="exact"/>
              <w:rPr>
                <w:sz w:val="18"/>
                <w:lang w:val="fr-CH"/>
              </w:rPr>
            </w:pPr>
            <w:r w:rsidRPr="0071782F">
              <w:rPr>
                <w:sz w:val="18"/>
                <w:lang w:val="fr-CH"/>
              </w:rPr>
              <w:t>Nombre</w:t>
            </w:r>
            <w:r w:rsidR="00A7453D" w:rsidRPr="0071782F">
              <w:rPr>
                <w:sz w:val="18"/>
                <w:lang w:val="fr-CH"/>
              </w:rPr>
              <w:t xml:space="preserve"> </w:t>
            </w:r>
            <w:r w:rsidR="0035165E" w:rsidRPr="0071782F">
              <w:rPr>
                <w:sz w:val="18"/>
                <w:lang w:val="fr-CH"/>
              </w:rPr>
              <w:t>de</w:t>
            </w:r>
            <w:r w:rsidR="00A7453D" w:rsidRPr="0071782F">
              <w:rPr>
                <w:sz w:val="18"/>
                <w:lang w:val="fr-CH"/>
              </w:rPr>
              <w:t xml:space="preserve"> cas</w:t>
            </w:r>
          </w:p>
        </w:tc>
        <w:tc>
          <w:tcPr>
            <w:tcW w:w="9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56 478</w:t>
            </w:r>
          </w:p>
        </w:tc>
        <w:tc>
          <w:tcPr>
            <w:tcW w:w="1047"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63 628</w:t>
            </w:r>
          </w:p>
        </w:tc>
      </w:tr>
      <w:tr w:rsidR="00A7453D" w:rsidRPr="0071782F">
        <w:tc>
          <w:tcPr>
            <w:tcW w:w="230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tcBorders>
              <w:top w:val="nil"/>
              <w:bottom w:val="nil"/>
            </w:tcBorders>
            <w:shd w:val="clear" w:color="000000" w:fill="auto"/>
          </w:tcPr>
          <w:p w:rsidR="00A7453D" w:rsidRPr="0071782F" w:rsidRDefault="003B48A4" w:rsidP="005B1FE2">
            <w:pPr>
              <w:suppressAutoHyphens w:val="0"/>
              <w:spacing w:before="40" w:after="40" w:line="220" w:lineRule="exact"/>
              <w:rPr>
                <w:sz w:val="18"/>
                <w:lang w:val="fr-CH"/>
              </w:rPr>
            </w:pPr>
            <w:r w:rsidRPr="0071782F">
              <w:rPr>
                <w:sz w:val="18"/>
                <w:lang w:val="fr-CH"/>
              </w:rPr>
              <w:t>Nombre</w:t>
            </w:r>
            <w:r w:rsidR="00A7453D" w:rsidRPr="0071782F">
              <w:rPr>
                <w:sz w:val="18"/>
                <w:lang w:val="fr-CH"/>
              </w:rPr>
              <w:t xml:space="preserve"> </w:t>
            </w:r>
            <w:r w:rsidR="0035165E" w:rsidRPr="0071782F">
              <w:rPr>
                <w:sz w:val="18"/>
                <w:lang w:val="fr-CH"/>
              </w:rPr>
              <w:t>d’organisations caritatives</w:t>
            </w:r>
          </w:p>
        </w:tc>
        <w:tc>
          <w:tcPr>
            <w:tcW w:w="9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7"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r>
      <w:tr w:rsidR="00A7453D" w:rsidRPr="0071782F">
        <w:tc>
          <w:tcPr>
            <w:tcW w:w="230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Cr</w:t>
            </w:r>
            <w:r w:rsidR="0035165E" w:rsidRPr="0071782F">
              <w:rPr>
                <w:sz w:val="18"/>
                <w:lang w:val="fr-CH"/>
              </w:rPr>
              <w:t>é</w:t>
            </w:r>
            <w:r w:rsidRPr="0071782F">
              <w:rPr>
                <w:sz w:val="18"/>
                <w:lang w:val="fr-CH"/>
              </w:rPr>
              <w:t>dit</w:t>
            </w:r>
          </w:p>
        </w:tc>
        <w:tc>
          <w:tcPr>
            <w:tcW w:w="9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197 557 000</w:t>
            </w:r>
          </w:p>
        </w:tc>
        <w:tc>
          <w:tcPr>
            <w:tcW w:w="1047"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153 852 000</w:t>
            </w:r>
          </w:p>
        </w:tc>
      </w:tr>
      <w:tr w:rsidR="00A7453D" w:rsidRPr="0071782F">
        <w:tc>
          <w:tcPr>
            <w:tcW w:w="2300" w:type="dxa"/>
            <w:vMerge w:val="restart"/>
            <w:tcBorders>
              <w:top w:val="nil"/>
            </w:tcBorders>
            <w:shd w:val="clear" w:color="000000" w:fill="auto"/>
          </w:tcPr>
          <w:p w:rsidR="00A7453D" w:rsidRPr="0071782F" w:rsidRDefault="0035165E" w:rsidP="005B1FE2">
            <w:pPr>
              <w:suppressAutoHyphens w:val="0"/>
              <w:spacing w:before="40" w:after="40" w:line="220" w:lineRule="exact"/>
              <w:rPr>
                <w:sz w:val="18"/>
                <w:lang w:val="fr-CH"/>
              </w:rPr>
            </w:pPr>
            <w:r w:rsidRPr="0071782F">
              <w:rPr>
                <w:sz w:val="18"/>
                <w:lang w:val="fr-CH"/>
              </w:rPr>
              <w:t xml:space="preserve">Amélioration de l’indicateur du développement humain </w:t>
            </w:r>
          </w:p>
        </w:tc>
        <w:tc>
          <w:tcPr>
            <w:tcW w:w="1420" w:type="dxa"/>
            <w:vMerge w:val="restart"/>
            <w:tcBorders>
              <w:top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2001</w:t>
            </w:r>
          </w:p>
        </w:tc>
        <w:tc>
          <w:tcPr>
            <w:tcW w:w="1780" w:type="dxa"/>
            <w:gridSpan w:val="2"/>
            <w:tcBorders>
              <w:top w:val="nil"/>
            </w:tcBorders>
            <w:shd w:val="clear" w:color="000000" w:fill="auto"/>
          </w:tcPr>
          <w:p w:rsidR="00A7453D" w:rsidRPr="0071782F" w:rsidRDefault="003B48A4" w:rsidP="005B1FE2">
            <w:pPr>
              <w:suppressAutoHyphens w:val="0"/>
              <w:spacing w:before="40" w:after="40" w:line="220" w:lineRule="exact"/>
              <w:rPr>
                <w:sz w:val="18"/>
                <w:lang w:val="fr-CH"/>
              </w:rPr>
            </w:pPr>
            <w:r w:rsidRPr="0071782F">
              <w:rPr>
                <w:sz w:val="18"/>
                <w:lang w:val="fr-CH"/>
              </w:rPr>
              <w:t>Nombre</w:t>
            </w:r>
            <w:r w:rsidR="00A7453D" w:rsidRPr="0071782F">
              <w:rPr>
                <w:sz w:val="18"/>
                <w:lang w:val="fr-CH"/>
              </w:rPr>
              <w:t xml:space="preserve"> </w:t>
            </w:r>
            <w:r w:rsidR="00D82C96" w:rsidRPr="0071782F">
              <w:rPr>
                <w:sz w:val="18"/>
                <w:lang w:val="fr-CH"/>
              </w:rPr>
              <w:t>de personnes</w:t>
            </w:r>
            <w:r w:rsidR="0035165E" w:rsidRPr="0071782F">
              <w:rPr>
                <w:sz w:val="18"/>
                <w:lang w:val="fr-CH"/>
              </w:rPr>
              <w:t xml:space="preserve"> formées</w:t>
            </w:r>
          </w:p>
        </w:tc>
        <w:tc>
          <w:tcPr>
            <w:tcW w:w="946" w:type="dxa"/>
            <w:tcBorders>
              <w:top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927</w:t>
            </w:r>
          </w:p>
        </w:tc>
        <w:tc>
          <w:tcPr>
            <w:tcW w:w="1047" w:type="dxa"/>
            <w:tcBorders>
              <w:top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927</w:t>
            </w:r>
          </w:p>
        </w:tc>
      </w:tr>
      <w:tr w:rsidR="00A7453D" w:rsidRPr="0071782F">
        <w:tc>
          <w:tcPr>
            <w:tcW w:w="2300" w:type="dxa"/>
            <w:vMerge/>
            <w:tcBorders>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Cr</w:t>
            </w:r>
            <w:r w:rsidR="0035165E" w:rsidRPr="0071782F">
              <w:rPr>
                <w:sz w:val="18"/>
                <w:lang w:val="fr-CH"/>
              </w:rPr>
              <w:t>é</w:t>
            </w:r>
            <w:r w:rsidRPr="0071782F">
              <w:rPr>
                <w:sz w:val="18"/>
                <w:lang w:val="fr-CH"/>
              </w:rPr>
              <w:t>dit</w:t>
            </w:r>
          </w:p>
        </w:tc>
        <w:tc>
          <w:tcPr>
            <w:tcW w:w="946" w:type="dxa"/>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50 000</w:t>
            </w:r>
          </w:p>
        </w:tc>
        <w:tc>
          <w:tcPr>
            <w:tcW w:w="1047" w:type="dxa"/>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50 000</w:t>
            </w:r>
          </w:p>
        </w:tc>
      </w:tr>
      <w:tr w:rsidR="00A7453D" w:rsidRPr="0071782F">
        <w:tc>
          <w:tcPr>
            <w:tcW w:w="2300" w:type="dxa"/>
            <w:vMerge w:val="restart"/>
            <w:tcBorders>
              <w:top w:val="nil"/>
              <w:bottom w:val="nil"/>
            </w:tcBorders>
            <w:shd w:val="clear" w:color="000000" w:fill="auto"/>
          </w:tcPr>
          <w:p w:rsidR="00A7453D" w:rsidRPr="0071782F" w:rsidRDefault="0035165E" w:rsidP="005B1FE2">
            <w:pPr>
              <w:suppressAutoHyphens w:val="0"/>
              <w:spacing w:before="40" w:after="40" w:line="220" w:lineRule="exact"/>
              <w:rPr>
                <w:sz w:val="18"/>
                <w:lang w:val="fr-CH"/>
              </w:rPr>
            </w:pPr>
            <w:r w:rsidRPr="0071782F">
              <w:rPr>
                <w:sz w:val="18"/>
                <w:lang w:val="fr-CH"/>
              </w:rPr>
              <w:t>Logement t</w:t>
            </w:r>
            <w:r w:rsidR="00A7453D" w:rsidRPr="0071782F">
              <w:rPr>
                <w:sz w:val="18"/>
                <w:lang w:val="fr-CH"/>
              </w:rPr>
              <w:t>empora</w:t>
            </w:r>
            <w:r w:rsidRPr="0071782F">
              <w:rPr>
                <w:sz w:val="18"/>
                <w:lang w:val="fr-CH"/>
              </w:rPr>
              <w:t xml:space="preserve">ire </w:t>
            </w:r>
            <w:r w:rsidR="00A7453D" w:rsidRPr="0071782F">
              <w:rPr>
                <w:sz w:val="18"/>
                <w:lang w:val="fr-CH"/>
              </w:rPr>
              <w:t>(</w:t>
            </w:r>
            <w:r w:rsidRPr="0071782F">
              <w:rPr>
                <w:sz w:val="18"/>
                <w:lang w:val="fr-CH"/>
              </w:rPr>
              <w:t>résidence pour femmes</w:t>
            </w:r>
            <w:r w:rsidR="00A7453D" w:rsidRPr="0071782F">
              <w:rPr>
                <w:sz w:val="18"/>
                <w:lang w:val="fr-CH"/>
              </w:rPr>
              <w:t>)</w:t>
            </w:r>
          </w:p>
        </w:tc>
        <w:tc>
          <w:tcPr>
            <w:tcW w:w="1420" w:type="dxa"/>
            <w:vMerge w:val="restart"/>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2001</w:t>
            </w:r>
          </w:p>
        </w:tc>
        <w:tc>
          <w:tcPr>
            <w:tcW w:w="1780" w:type="dxa"/>
            <w:gridSpan w:val="2"/>
            <w:tcBorders>
              <w:bottom w:val="nil"/>
            </w:tcBorders>
            <w:shd w:val="clear" w:color="000000" w:fill="auto"/>
          </w:tcPr>
          <w:p w:rsidR="00A7453D" w:rsidRPr="0071782F" w:rsidRDefault="003B48A4" w:rsidP="005B1FE2">
            <w:pPr>
              <w:suppressAutoHyphens w:val="0"/>
              <w:spacing w:before="40" w:after="40" w:line="220" w:lineRule="exact"/>
              <w:rPr>
                <w:sz w:val="18"/>
                <w:lang w:val="fr-CH"/>
              </w:rPr>
            </w:pPr>
            <w:r w:rsidRPr="0071782F">
              <w:rPr>
                <w:sz w:val="18"/>
                <w:lang w:val="fr-CH"/>
              </w:rPr>
              <w:t>Nombre</w:t>
            </w:r>
            <w:r w:rsidR="00A7453D" w:rsidRPr="0071782F">
              <w:rPr>
                <w:sz w:val="18"/>
                <w:lang w:val="fr-CH"/>
              </w:rPr>
              <w:t xml:space="preserve"> </w:t>
            </w:r>
            <w:r w:rsidR="0035165E" w:rsidRPr="0071782F">
              <w:rPr>
                <w:sz w:val="18"/>
                <w:lang w:val="fr-CH"/>
              </w:rPr>
              <w:t xml:space="preserve">de centres </w:t>
            </w:r>
          </w:p>
        </w:tc>
        <w:tc>
          <w:tcPr>
            <w:tcW w:w="946" w:type="dxa"/>
            <w:tcBorders>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bottom w:val="nil"/>
            </w:tcBorders>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31</w:t>
            </w:r>
          </w:p>
        </w:tc>
        <w:tc>
          <w:tcPr>
            <w:tcW w:w="1047" w:type="dxa"/>
            <w:tcBorders>
              <w:bottom w:val="nil"/>
            </w:tcBorders>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33</w:t>
            </w:r>
          </w:p>
        </w:tc>
      </w:tr>
      <w:tr w:rsidR="00A7453D" w:rsidRPr="0071782F">
        <w:tc>
          <w:tcPr>
            <w:tcW w:w="230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tcBorders>
              <w:top w:val="nil"/>
              <w:bottom w:val="nil"/>
            </w:tcBorders>
            <w:shd w:val="clear" w:color="000000" w:fill="auto"/>
          </w:tcPr>
          <w:p w:rsidR="00A7453D" w:rsidRPr="0071782F" w:rsidRDefault="003B48A4" w:rsidP="005B1FE2">
            <w:pPr>
              <w:suppressAutoHyphens w:val="0"/>
              <w:spacing w:before="40" w:after="40" w:line="220" w:lineRule="exact"/>
              <w:rPr>
                <w:sz w:val="18"/>
                <w:lang w:val="fr-CH"/>
              </w:rPr>
            </w:pPr>
            <w:r w:rsidRPr="0071782F">
              <w:rPr>
                <w:sz w:val="18"/>
                <w:lang w:val="fr-CH"/>
              </w:rPr>
              <w:t>Nombre</w:t>
            </w:r>
            <w:r w:rsidR="00A7453D" w:rsidRPr="0071782F">
              <w:rPr>
                <w:sz w:val="18"/>
                <w:lang w:val="fr-CH"/>
              </w:rPr>
              <w:t xml:space="preserve"> </w:t>
            </w:r>
            <w:r w:rsidR="00D82C96" w:rsidRPr="0071782F">
              <w:rPr>
                <w:sz w:val="18"/>
                <w:lang w:val="fr-CH"/>
              </w:rPr>
              <w:t>de personnes</w:t>
            </w:r>
            <w:r w:rsidR="00A7453D" w:rsidRPr="0071782F">
              <w:rPr>
                <w:sz w:val="18"/>
                <w:lang w:val="fr-CH"/>
              </w:rPr>
              <w:t xml:space="preserve"> admi</w:t>
            </w:r>
            <w:r w:rsidR="0035165E" w:rsidRPr="0071782F">
              <w:rPr>
                <w:sz w:val="18"/>
                <w:lang w:val="fr-CH"/>
              </w:rPr>
              <w:t>ses</w:t>
            </w:r>
          </w:p>
        </w:tc>
        <w:tc>
          <w:tcPr>
            <w:tcW w:w="9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nil"/>
            </w:tcBorders>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1 333</w:t>
            </w:r>
          </w:p>
        </w:tc>
        <w:tc>
          <w:tcPr>
            <w:tcW w:w="1047" w:type="dxa"/>
            <w:tcBorders>
              <w:top w:val="nil"/>
              <w:bottom w:val="nil"/>
            </w:tcBorders>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r>
      <w:tr w:rsidR="00A7453D" w:rsidRPr="0071782F">
        <w:tc>
          <w:tcPr>
            <w:tcW w:w="230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Cr</w:t>
            </w:r>
            <w:r w:rsidR="0035165E" w:rsidRPr="0071782F">
              <w:rPr>
                <w:sz w:val="18"/>
                <w:lang w:val="fr-CH"/>
              </w:rPr>
              <w:t>é</w:t>
            </w:r>
            <w:r w:rsidRPr="0071782F">
              <w:rPr>
                <w:sz w:val="18"/>
                <w:lang w:val="fr-CH"/>
              </w:rPr>
              <w:t>dit</w:t>
            </w:r>
          </w:p>
        </w:tc>
        <w:tc>
          <w:tcPr>
            <w:tcW w:w="9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nil"/>
            </w:tcBorders>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650 000</w:t>
            </w:r>
          </w:p>
        </w:tc>
        <w:tc>
          <w:tcPr>
            <w:tcW w:w="1047" w:type="dxa"/>
            <w:tcBorders>
              <w:top w:val="nil"/>
              <w:bottom w:val="nil"/>
            </w:tcBorders>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650 000</w:t>
            </w:r>
          </w:p>
        </w:tc>
      </w:tr>
      <w:tr w:rsidR="00A7453D" w:rsidRPr="0071782F">
        <w:tc>
          <w:tcPr>
            <w:tcW w:w="230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tcBorders>
              <w:top w:val="nil"/>
            </w:tcBorders>
            <w:shd w:val="clear" w:color="000000" w:fill="auto"/>
          </w:tcPr>
          <w:p w:rsidR="00A7453D" w:rsidRPr="0071782F" w:rsidRDefault="003B48A4" w:rsidP="005B1FE2">
            <w:pPr>
              <w:suppressAutoHyphens w:val="0"/>
              <w:spacing w:before="40" w:after="40" w:line="220" w:lineRule="exact"/>
              <w:rPr>
                <w:sz w:val="18"/>
                <w:lang w:val="fr-CH"/>
              </w:rPr>
            </w:pPr>
            <w:r w:rsidRPr="0071782F">
              <w:rPr>
                <w:sz w:val="18"/>
                <w:lang w:val="fr-CH"/>
              </w:rPr>
              <w:t>Nombre</w:t>
            </w:r>
            <w:r w:rsidR="00A7453D" w:rsidRPr="0071782F">
              <w:rPr>
                <w:sz w:val="18"/>
                <w:lang w:val="fr-CH"/>
              </w:rPr>
              <w:t xml:space="preserve"> </w:t>
            </w:r>
            <w:r w:rsidR="00D82C96" w:rsidRPr="0071782F">
              <w:rPr>
                <w:sz w:val="18"/>
                <w:lang w:val="fr-CH"/>
              </w:rPr>
              <w:t>de personnes</w:t>
            </w:r>
            <w:r w:rsidR="0035165E" w:rsidRPr="0071782F">
              <w:rPr>
                <w:sz w:val="18"/>
                <w:lang w:val="fr-CH"/>
              </w:rPr>
              <w:t xml:space="preserve"> réadaptées </w:t>
            </w:r>
          </w:p>
        </w:tc>
        <w:tc>
          <w:tcPr>
            <w:tcW w:w="946" w:type="dxa"/>
            <w:tcBorders>
              <w:top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tcBorders>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403</w:t>
            </w:r>
          </w:p>
        </w:tc>
        <w:tc>
          <w:tcPr>
            <w:tcW w:w="1047" w:type="dxa"/>
            <w:tcBorders>
              <w:top w:val="nil"/>
            </w:tcBorders>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r>
      <w:tr w:rsidR="00A7453D" w:rsidRPr="0071782F">
        <w:tc>
          <w:tcPr>
            <w:tcW w:w="2300" w:type="dxa"/>
            <w:tcBorders>
              <w:top w:val="nil"/>
            </w:tcBorders>
            <w:shd w:val="clear" w:color="000000" w:fill="auto"/>
          </w:tcPr>
          <w:p w:rsidR="00A7453D" w:rsidRPr="0071782F" w:rsidRDefault="0035165E" w:rsidP="005B1FE2">
            <w:pPr>
              <w:suppressAutoHyphens w:val="0"/>
              <w:spacing w:before="40" w:after="40" w:line="220" w:lineRule="exact"/>
              <w:rPr>
                <w:sz w:val="18"/>
                <w:lang w:val="fr-CH"/>
              </w:rPr>
            </w:pPr>
            <w:r w:rsidRPr="0071782F">
              <w:rPr>
                <w:sz w:val="18"/>
                <w:lang w:val="fr-CH"/>
              </w:rPr>
              <w:t xml:space="preserve">Farine de blé subventionnée </w:t>
            </w:r>
          </w:p>
        </w:tc>
        <w:tc>
          <w:tcPr>
            <w:tcW w:w="1420" w:type="dxa"/>
            <w:tcBorders>
              <w:top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2001</w:t>
            </w:r>
          </w:p>
        </w:tc>
        <w:tc>
          <w:tcPr>
            <w:tcW w:w="1780" w:type="dxa"/>
            <w:gridSpan w:val="2"/>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Quantit</w:t>
            </w:r>
            <w:r w:rsidR="0035165E" w:rsidRPr="0071782F">
              <w:rPr>
                <w:sz w:val="18"/>
                <w:lang w:val="fr-CH"/>
              </w:rPr>
              <w:t>é</w:t>
            </w:r>
            <w:r w:rsidRPr="0071782F">
              <w:rPr>
                <w:sz w:val="18"/>
                <w:lang w:val="fr-CH"/>
              </w:rPr>
              <w:t xml:space="preserve"> </w:t>
            </w:r>
            <w:r w:rsidR="0035165E" w:rsidRPr="0071782F">
              <w:rPr>
                <w:sz w:val="18"/>
                <w:lang w:val="fr-CH"/>
              </w:rPr>
              <w:t xml:space="preserve">de farine de blé </w:t>
            </w:r>
            <w:r w:rsidRPr="0071782F">
              <w:rPr>
                <w:sz w:val="18"/>
                <w:lang w:val="fr-CH"/>
              </w:rPr>
              <w:br/>
              <w:t>(</w:t>
            </w:r>
            <w:r w:rsidR="0035165E" w:rsidRPr="0071782F">
              <w:rPr>
                <w:sz w:val="18"/>
                <w:lang w:val="fr-CH"/>
              </w:rPr>
              <w:t>e</w:t>
            </w:r>
            <w:r w:rsidRPr="0071782F">
              <w:rPr>
                <w:sz w:val="18"/>
                <w:lang w:val="fr-CH"/>
              </w:rPr>
              <w:t>n</w:t>
            </w:r>
            <w:r w:rsidR="00D3560C" w:rsidRPr="0071782F">
              <w:rPr>
                <w:sz w:val="18"/>
                <w:lang w:val="fr-CH"/>
              </w:rPr>
              <w:t> tonnes</w:t>
            </w:r>
            <w:r w:rsidRPr="0071782F">
              <w:rPr>
                <w:sz w:val="18"/>
                <w:lang w:val="fr-CH"/>
              </w:rPr>
              <w:t>)</w:t>
            </w:r>
          </w:p>
        </w:tc>
        <w:tc>
          <w:tcPr>
            <w:tcW w:w="946" w:type="dxa"/>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13 200</w:t>
            </w:r>
          </w:p>
        </w:tc>
        <w:tc>
          <w:tcPr>
            <w:tcW w:w="1047" w:type="dxa"/>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15 200</w:t>
            </w:r>
          </w:p>
        </w:tc>
      </w:tr>
      <w:tr w:rsidR="00A7453D" w:rsidRPr="0071782F">
        <w:tc>
          <w:tcPr>
            <w:tcW w:w="2300" w:type="dxa"/>
            <w:shd w:val="clear" w:color="000000" w:fill="auto"/>
          </w:tcPr>
          <w:p w:rsidR="00A7453D" w:rsidRPr="0071782F" w:rsidRDefault="00C4376F" w:rsidP="005B1FE2">
            <w:pPr>
              <w:suppressAutoHyphens w:val="0"/>
              <w:spacing w:before="40" w:after="40" w:line="220" w:lineRule="exact"/>
              <w:rPr>
                <w:sz w:val="18"/>
                <w:lang w:val="fr-CH"/>
              </w:rPr>
            </w:pPr>
            <w:r w:rsidRPr="0071782F">
              <w:rPr>
                <w:sz w:val="18"/>
                <w:lang w:val="fr-CH"/>
              </w:rPr>
              <w:t>Biens essentiels</w:t>
            </w:r>
          </w:p>
        </w:tc>
        <w:tc>
          <w:tcPr>
            <w:tcW w:w="1420" w:type="dxa"/>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2001</w:t>
            </w:r>
          </w:p>
        </w:tc>
        <w:tc>
          <w:tcPr>
            <w:tcW w:w="1780" w:type="dxa"/>
            <w:gridSpan w:val="2"/>
            <w:shd w:val="clear" w:color="000000" w:fill="auto"/>
          </w:tcPr>
          <w:p w:rsidR="00A7453D" w:rsidRPr="0071782F" w:rsidRDefault="003B48A4" w:rsidP="005B1FE2">
            <w:pPr>
              <w:suppressAutoHyphens w:val="0"/>
              <w:spacing w:before="40" w:after="40" w:line="220" w:lineRule="exact"/>
              <w:rPr>
                <w:sz w:val="18"/>
                <w:lang w:val="fr-CH"/>
              </w:rPr>
            </w:pPr>
            <w:r w:rsidRPr="0071782F">
              <w:rPr>
                <w:sz w:val="18"/>
                <w:lang w:val="fr-CH"/>
              </w:rPr>
              <w:t>Nombre</w:t>
            </w:r>
            <w:r w:rsidR="00A7453D" w:rsidRPr="0071782F">
              <w:rPr>
                <w:sz w:val="18"/>
                <w:lang w:val="fr-CH"/>
              </w:rPr>
              <w:t xml:space="preserve"> </w:t>
            </w:r>
            <w:r w:rsidR="0035165E" w:rsidRPr="0071782F">
              <w:rPr>
                <w:sz w:val="18"/>
                <w:lang w:val="fr-CH"/>
              </w:rPr>
              <w:t>d’utilisateurs</w:t>
            </w:r>
          </w:p>
        </w:tc>
        <w:tc>
          <w:tcPr>
            <w:tcW w:w="946" w:type="dxa"/>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1 099 698</w:t>
            </w:r>
          </w:p>
        </w:tc>
        <w:tc>
          <w:tcPr>
            <w:tcW w:w="1047" w:type="dxa"/>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1 500 000</w:t>
            </w:r>
          </w:p>
        </w:tc>
      </w:tr>
      <w:tr w:rsidR="00A7453D" w:rsidRPr="0071782F">
        <w:tc>
          <w:tcPr>
            <w:tcW w:w="2300" w:type="dxa"/>
            <w:vMerge w:val="restart"/>
            <w:tcBorders>
              <w:top w:val="nil"/>
              <w:bottom w:val="nil"/>
            </w:tcBorders>
            <w:shd w:val="clear" w:color="000000" w:fill="auto"/>
          </w:tcPr>
          <w:p w:rsidR="00A7453D" w:rsidRPr="0071782F" w:rsidRDefault="0035165E" w:rsidP="005B1FE2">
            <w:pPr>
              <w:suppressAutoHyphens w:val="0"/>
              <w:spacing w:before="40" w:after="40" w:line="220" w:lineRule="exact"/>
              <w:rPr>
                <w:sz w:val="18"/>
                <w:lang w:val="fr-CH"/>
              </w:rPr>
            </w:pPr>
            <w:r w:rsidRPr="0071782F">
              <w:rPr>
                <w:sz w:val="18"/>
                <w:lang w:val="fr-CH"/>
              </w:rPr>
              <w:t xml:space="preserve">Assurance sociale des femmes au foyer </w:t>
            </w:r>
          </w:p>
        </w:tc>
        <w:tc>
          <w:tcPr>
            <w:tcW w:w="1420" w:type="dxa"/>
            <w:vMerge w:val="restart"/>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2002</w:t>
            </w:r>
          </w:p>
        </w:tc>
        <w:tc>
          <w:tcPr>
            <w:tcW w:w="961" w:type="dxa"/>
            <w:vMerge w:val="restart"/>
            <w:tcBorders>
              <w:top w:val="nil"/>
              <w:bottom w:val="nil"/>
            </w:tcBorders>
            <w:shd w:val="clear" w:color="000000" w:fill="auto"/>
          </w:tcPr>
          <w:p w:rsidR="00A7453D" w:rsidRPr="0071782F" w:rsidRDefault="003B48A4" w:rsidP="005B1FE2">
            <w:pPr>
              <w:suppressAutoHyphens w:val="0"/>
              <w:spacing w:before="40" w:after="40" w:line="220" w:lineRule="exact"/>
              <w:rPr>
                <w:sz w:val="18"/>
                <w:lang w:val="fr-CH"/>
              </w:rPr>
            </w:pPr>
            <w:r w:rsidRPr="0071782F">
              <w:rPr>
                <w:sz w:val="18"/>
                <w:lang w:val="fr-CH"/>
              </w:rPr>
              <w:t>Nombre</w:t>
            </w:r>
            <w:r w:rsidR="00A7453D" w:rsidRPr="0071782F">
              <w:rPr>
                <w:sz w:val="18"/>
                <w:lang w:val="fr-CH"/>
              </w:rPr>
              <w:t xml:space="preserve"> </w:t>
            </w:r>
            <w:r w:rsidR="0035165E" w:rsidRPr="0071782F">
              <w:rPr>
                <w:sz w:val="18"/>
                <w:lang w:val="fr-CH"/>
              </w:rPr>
              <w:t xml:space="preserve">d’assurées </w:t>
            </w:r>
          </w:p>
        </w:tc>
        <w:tc>
          <w:tcPr>
            <w:tcW w:w="819" w:type="dxa"/>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946" w:type="dxa"/>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21 035</w:t>
            </w:r>
          </w:p>
        </w:tc>
        <w:tc>
          <w:tcPr>
            <w:tcW w:w="1047" w:type="dxa"/>
            <w:shd w:val="clear" w:color="000000" w:fill="auto"/>
            <w:vAlign w:val="bottom"/>
          </w:tcPr>
          <w:p w:rsidR="00A7453D" w:rsidRPr="0071782F" w:rsidRDefault="00A7453D" w:rsidP="005B1FE2">
            <w:pPr>
              <w:suppressAutoHyphens w:val="0"/>
              <w:spacing w:before="40" w:after="40" w:line="220" w:lineRule="exact"/>
              <w:jc w:val="right"/>
              <w:rPr>
                <w:sz w:val="18"/>
                <w:lang w:val="fr-CH"/>
              </w:rPr>
            </w:pPr>
          </w:p>
        </w:tc>
      </w:tr>
      <w:tr w:rsidR="00A7453D" w:rsidRPr="0071782F">
        <w:tc>
          <w:tcPr>
            <w:tcW w:w="230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961"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819" w:type="dxa"/>
            <w:tcBorders>
              <w:bottom w:val="single" w:sz="4" w:space="0" w:color="auto"/>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946" w:type="dxa"/>
            <w:tcBorders>
              <w:bottom w:val="single" w:sz="4" w:space="0" w:color="auto"/>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bottom w:val="single" w:sz="4" w:space="0" w:color="auto"/>
            </w:tcBorders>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7 239</w:t>
            </w:r>
          </w:p>
        </w:tc>
        <w:tc>
          <w:tcPr>
            <w:tcW w:w="1047" w:type="dxa"/>
            <w:tcBorders>
              <w:bottom w:val="single" w:sz="4" w:space="0" w:color="auto"/>
            </w:tcBorders>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7 239</w:t>
            </w:r>
          </w:p>
        </w:tc>
      </w:tr>
      <w:tr w:rsidR="00A7453D" w:rsidRPr="0071782F">
        <w:tc>
          <w:tcPr>
            <w:tcW w:w="230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961"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819" w:type="dxa"/>
            <w:tcBorders>
              <w:top w:val="single" w:sz="4" w:space="0" w:color="auto"/>
              <w:bottom w:val="single" w:sz="4" w:space="0" w:color="auto"/>
            </w:tcBorders>
            <w:shd w:val="clear" w:color="000000" w:fill="auto"/>
          </w:tcPr>
          <w:p w:rsidR="00A7453D" w:rsidRPr="0071782F" w:rsidRDefault="00821712" w:rsidP="00200E5B">
            <w:pPr>
              <w:suppressAutoHyphens w:val="0"/>
              <w:spacing w:before="80" w:after="80"/>
              <w:ind w:left="227"/>
              <w:rPr>
                <w:b/>
                <w:lang w:val="fr-CH"/>
              </w:rPr>
            </w:pPr>
            <w:r w:rsidRPr="0071782F">
              <w:rPr>
                <w:b/>
                <w:sz w:val="18"/>
                <w:lang w:val="fr-CH"/>
              </w:rPr>
              <w:t>Total</w:t>
            </w:r>
          </w:p>
        </w:tc>
        <w:tc>
          <w:tcPr>
            <w:tcW w:w="946" w:type="dxa"/>
            <w:tcBorders>
              <w:top w:val="single" w:sz="4" w:space="0" w:color="auto"/>
              <w:bottom w:val="single" w:sz="4" w:space="0" w:color="auto"/>
            </w:tcBorders>
            <w:shd w:val="clear" w:color="000000" w:fill="auto"/>
          </w:tcPr>
          <w:p w:rsidR="00A7453D" w:rsidRPr="0071782F" w:rsidRDefault="00A7453D" w:rsidP="005B1FE2">
            <w:pPr>
              <w:suppressAutoHyphens w:val="0"/>
              <w:spacing w:before="80" w:after="80" w:line="220" w:lineRule="exact"/>
              <w:jc w:val="right"/>
              <w:rPr>
                <w:b/>
                <w:sz w:val="18"/>
                <w:lang w:val="fr-CH"/>
              </w:rPr>
            </w:pPr>
            <w:r w:rsidRPr="0071782F">
              <w:rPr>
                <w:b/>
                <w:sz w:val="18"/>
                <w:lang w:val="fr-CH"/>
              </w:rPr>
              <w:t>–</w:t>
            </w:r>
          </w:p>
        </w:tc>
        <w:tc>
          <w:tcPr>
            <w:tcW w:w="1046" w:type="dxa"/>
            <w:tcBorders>
              <w:top w:val="single" w:sz="4" w:space="0" w:color="auto"/>
              <w:bottom w:val="single" w:sz="4" w:space="0" w:color="auto"/>
            </w:tcBorders>
            <w:shd w:val="clear" w:color="000000" w:fill="auto"/>
            <w:vAlign w:val="bottom"/>
          </w:tcPr>
          <w:p w:rsidR="00A7453D" w:rsidRPr="0071782F" w:rsidRDefault="00A7453D" w:rsidP="005B1FE2">
            <w:pPr>
              <w:suppressAutoHyphens w:val="0"/>
              <w:spacing w:before="80" w:after="80" w:line="220" w:lineRule="exact"/>
              <w:jc w:val="right"/>
              <w:rPr>
                <w:b/>
                <w:sz w:val="18"/>
                <w:lang w:val="fr-CH"/>
              </w:rPr>
            </w:pPr>
            <w:r w:rsidRPr="0071782F">
              <w:rPr>
                <w:b/>
                <w:sz w:val="18"/>
                <w:lang w:val="fr-CH"/>
              </w:rPr>
              <w:t>28 274</w:t>
            </w:r>
          </w:p>
        </w:tc>
        <w:tc>
          <w:tcPr>
            <w:tcW w:w="1047" w:type="dxa"/>
            <w:tcBorders>
              <w:top w:val="single" w:sz="4" w:space="0" w:color="auto"/>
              <w:bottom w:val="single" w:sz="4" w:space="0" w:color="auto"/>
            </w:tcBorders>
            <w:shd w:val="clear" w:color="000000" w:fill="auto"/>
            <w:vAlign w:val="bottom"/>
          </w:tcPr>
          <w:p w:rsidR="00A7453D" w:rsidRPr="0071782F" w:rsidRDefault="00A7453D" w:rsidP="005B1FE2">
            <w:pPr>
              <w:suppressAutoHyphens w:val="0"/>
              <w:spacing w:before="80" w:after="80" w:line="220" w:lineRule="exact"/>
              <w:jc w:val="right"/>
              <w:rPr>
                <w:b/>
                <w:sz w:val="18"/>
                <w:lang w:val="fr-CH"/>
              </w:rPr>
            </w:pPr>
            <w:r w:rsidRPr="0071782F">
              <w:rPr>
                <w:b/>
                <w:sz w:val="18"/>
                <w:lang w:val="fr-CH"/>
              </w:rPr>
              <w:t>28 274</w:t>
            </w:r>
          </w:p>
        </w:tc>
      </w:tr>
      <w:tr w:rsidR="00A7453D" w:rsidRPr="0071782F">
        <w:tc>
          <w:tcPr>
            <w:tcW w:w="230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961"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819" w:type="dxa"/>
            <w:tcBorders>
              <w:top w:val="single" w:sz="4" w:space="0" w:color="auto"/>
              <w:bottom w:val="nil"/>
            </w:tcBorders>
            <w:shd w:val="clear" w:color="000000" w:fill="auto"/>
          </w:tcPr>
          <w:p w:rsidR="00A7453D" w:rsidRPr="0071782F" w:rsidRDefault="00A7453D" w:rsidP="005B1FE2">
            <w:pPr>
              <w:suppressAutoHyphens w:val="0"/>
              <w:spacing w:before="40" w:after="40" w:line="220" w:lineRule="exact"/>
              <w:jc w:val="right"/>
              <w:rPr>
                <w:lang w:val="fr-CH"/>
              </w:rPr>
            </w:pPr>
            <w:r w:rsidRPr="0071782F">
              <w:rPr>
                <w:sz w:val="18"/>
                <w:lang w:val="fr-CH"/>
              </w:rPr>
              <w:t>–</w:t>
            </w:r>
          </w:p>
        </w:tc>
        <w:tc>
          <w:tcPr>
            <w:tcW w:w="946" w:type="dxa"/>
            <w:tcBorders>
              <w:top w:val="single" w:sz="4" w:space="0" w:color="auto"/>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single" w:sz="4" w:space="0" w:color="auto"/>
              <w:bottom w:val="nil"/>
            </w:tcBorders>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2 000 000</w:t>
            </w:r>
          </w:p>
        </w:tc>
        <w:tc>
          <w:tcPr>
            <w:tcW w:w="1047" w:type="dxa"/>
            <w:tcBorders>
              <w:top w:val="single" w:sz="4" w:space="0" w:color="auto"/>
              <w:bottom w:val="nil"/>
            </w:tcBorders>
            <w:shd w:val="clear" w:color="000000" w:fill="auto"/>
            <w:vAlign w:val="bottom"/>
          </w:tcPr>
          <w:p w:rsidR="00A7453D" w:rsidRPr="0071782F" w:rsidRDefault="00A7453D" w:rsidP="005B1FE2">
            <w:pPr>
              <w:suppressAutoHyphens w:val="0"/>
              <w:spacing w:before="40" w:after="40" w:line="220" w:lineRule="exact"/>
              <w:jc w:val="right"/>
              <w:rPr>
                <w:sz w:val="18"/>
                <w:lang w:val="fr-CH"/>
              </w:rPr>
            </w:pPr>
            <w:r w:rsidRPr="0071782F">
              <w:rPr>
                <w:sz w:val="18"/>
                <w:lang w:val="fr-CH"/>
              </w:rPr>
              <w:t>2 000 000</w:t>
            </w:r>
          </w:p>
        </w:tc>
      </w:tr>
      <w:tr w:rsidR="00A7453D" w:rsidRPr="0071782F">
        <w:tc>
          <w:tcPr>
            <w:tcW w:w="2300" w:type="dxa"/>
            <w:vMerge w:val="restart"/>
            <w:tcBorders>
              <w:top w:val="nil"/>
              <w:bottom w:val="nil"/>
            </w:tcBorders>
            <w:shd w:val="clear" w:color="000000" w:fill="auto"/>
          </w:tcPr>
          <w:p w:rsidR="00A7453D" w:rsidRPr="0071782F" w:rsidRDefault="00C4376F" w:rsidP="005B1FE2">
            <w:pPr>
              <w:suppressAutoHyphens w:val="0"/>
              <w:spacing w:before="40" w:after="40" w:line="220" w:lineRule="exact"/>
              <w:rPr>
                <w:sz w:val="18"/>
                <w:lang w:val="fr-CH"/>
              </w:rPr>
            </w:pPr>
            <w:r w:rsidRPr="0071782F">
              <w:rPr>
                <w:sz w:val="18"/>
                <w:lang w:val="fr-CH"/>
              </w:rPr>
              <w:t xml:space="preserve">Travailleurs sociaux </w:t>
            </w:r>
            <w:r w:rsidR="00402EE2" w:rsidRPr="0071782F">
              <w:rPr>
                <w:sz w:val="18"/>
                <w:lang w:val="fr-CH"/>
              </w:rPr>
              <w:t xml:space="preserve">ruraux </w:t>
            </w:r>
          </w:p>
        </w:tc>
        <w:tc>
          <w:tcPr>
            <w:tcW w:w="1420" w:type="dxa"/>
            <w:vMerge w:val="restart"/>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2002</w:t>
            </w:r>
          </w:p>
        </w:tc>
        <w:tc>
          <w:tcPr>
            <w:tcW w:w="1780" w:type="dxa"/>
            <w:gridSpan w:val="2"/>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Cas</w:t>
            </w:r>
            <w:r w:rsidR="00C4376F" w:rsidRPr="0071782F">
              <w:rPr>
                <w:sz w:val="18"/>
                <w:lang w:val="fr-CH"/>
              </w:rPr>
              <w:t xml:space="preserve"> renvoyés </w:t>
            </w:r>
          </w:p>
        </w:tc>
        <w:tc>
          <w:tcPr>
            <w:tcW w:w="9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769</w:t>
            </w:r>
          </w:p>
        </w:tc>
        <w:tc>
          <w:tcPr>
            <w:tcW w:w="1047"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774</w:t>
            </w:r>
          </w:p>
        </w:tc>
      </w:tr>
      <w:tr w:rsidR="00A7453D" w:rsidRPr="0071782F">
        <w:tc>
          <w:tcPr>
            <w:tcW w:w="230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tcBorders>
              <w:top w:val="nil"/>
              <w:bottom w:val="nil"/>
            </w:tcBorders>
            <w:shd w:val="clear" w:color="000000" w:fill="auto"/>
          </w:tcPr>
          <w:p w:rsidR="00A7453D" w:rsidRPr="0071782F" w:rsidRDefault="00C4376F" w:rsidP="005B1FE2">
            <w:pPr>
              <w:suppressAutoHyphens w:val="0"/>
              <w:spacing w:before="40" w:after="40" w:line="220" w:lineRule="exact"/>
              <w:rPr>
                <w:sz w:val="18"/>
                <w:lang w:val="fr-CH"/>
              </w:rPr>
            </w:pPr>
            <w:r w:rsidRPr="0071782F">
              <w:rPr>
                <w:sz w:val="18"/>
                <w:lang w:val="fr-CH"/>
              </w:rPr>
              <w:t xml:space="preserve">Personnes réadaptées </w:t>
            </w:r>
          </w:p>
        </w:tc>
        <w:tc>
          <w:tcPr>
            <w:tcW w:w="9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355</w:t>
            </w:r>
          </w:p>
        </w:tc>
        <w:tc>
          <w:tcPr>
            <w:tcW w:w="1047"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r>
      <w:tr w:rsidR="00A7453D" w:rsidRPr="0071782F">
        <w:tc>
          <w:tcPr>
            <w:tcW w:w="2300" w:type="dxa"/>
            <w:vMerge/>
            <w:tcBorders>
              <w:top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top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tcBorders>
              <w:top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Cr</w:t>
            </w:r>
            <w:r w:rsidR="00C4376F" w:rsidRPr="0071782F">
              <w:rPr>
                <w:sz w:val="18"/>
                <w:lang w:val="fr-CH"/>
              </w:rPr>
              <w:t>é</w:t>
            </w:r>
            <w:r w:rsidRPr="0071782F">
              <w:rPr>
                <w:sz w:val="18"/>
                <w:lang w:val="fr-CH"/>
              </w:rPr>
              <w:t>dit</w:t>
            </w:r>
          </w:p>
        </w:tc>
        <w:tc>
          <w:tcPr>
            <w:tcW w:w="946" w:type="dxa"/>
            <w:tcBorders>
              <w:top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390 000</w:t>
            </w:r>
          </w:p>
        </w:tc>
        <w:tc>
          <w:tcPr>
            <w:tcW w:w="1047" w:type="dxa"/>
            <w:tcBorders>
              <w:top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390 000</w:t>
            </w:r>
          </w:p>
        </w:tc>
      </w:tr>
      <w:tr w:rsidR="00A7453D" w:rsidRPr="0071782F">
        <w:tc>
          <w:tcPr>
            <w:tcW w:w="2300" w:type="dxa"/>
            <w:vMerge w:val="restart"/>
            <w:shd w:val="clear" w:color="000000" w:fill="auto"/>
          </w:tcPr>
          <w:p w:rsidR="00A7453D" w:rsidRPr="0071782F" w:rsidRDefault="00C4376F" w:rsidP="005B1FE2">
            <w:pPr>
              <w:suppressAutoHyphens w:val="0"/>
              <w:spacing w:before="40" w:after="40" w:line="220" w:lineRule="exact"/>
              <w:rPr>
                <w:sz w:val="18"/>
                <w:lang w:val="fr-CH"/>
              </w:rPr>
            </w:pPr>
            <w:r w:rsidRPr="0071782F">
              <w:rPr>
                <w:sz w:val="18"/>
                <w:lang w:val="fr-CH"/>
              </w:rPr>
              <w:t>Cliniques de travail social</w:t>
            </w:r>
          </w:p>
        </w:tc>
        <w:tc>
          <w:tcPr>
            <w:tcW w:w="1420" w:type="dxa"/>
            <w:vMerge w:val="restart"/>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2002</w:t>
            </w:r>
          </w:p>
        </w:tc>
        <w:tc>
          <w:tcPr>
            <w:tcW w:w="1780" w:type="dxa"/>
            <w:gridSpan w:val="2"/>
            <w:shd w:val="clear" w:color="000000" w:fill="auto"/>
          </w:tcPr>
          <w:p w:rsidR="00A7453D" w:rsidRPr="0071782F" w:rsidRDefault="003B48A4" w:rsidP="005B1FE2">
            <w:pPr>
              <w:suppressAutoHyphens w:val="0"/>
              <w:spacing w:before="40" w:after="40" w:line="220" w:lineRule="exact"/>
              <w:rPr>
                <w:sz w:val="18"/>
                <w:lang w:val="fr-CH"/>
              </w:rPr>
            </w:pPr>
            <w:r w:rsidRPr="0071782F">
              <w:rPr>
                <w:sz w:val="18"/>
                <w:lang w:val="fr-CH"/>
              </w:rPr>
              <w:t>Nombre</w:t>
            </w:r>
            <w:r w:rsidR="00A7453D" w:rsidRPr="0071782F">
              <w:rPr>
                <w:sz w:val="18"/>
                <w:lang w:val="fr-CH"/>
              </w:rPr>
              <w:t xml:space="preserve"> </w:t>
            </w:r>
            <w:r w:rsidR="00C4376F" w:rsidRPr="0071782F">
              <w:rPr>
                <w:sz w:val="18"/>
                <w:lang w:val="fr-CH"/>
              </w:rPr>
              <w:t xml:space="preserve">de cliniques </w:t>
            </w:r>
          </w:p>
        </w:tc>
        <w:tc>
          <w:tcPr>
            <w:tcW w:w="946" w:type="dxa"/>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108</w:t>
            </w:r>
          </w:p>
        </w:tc>
        <w:tc>
          <w:tcPr>
            <w:tcW w:w="1047" w:type="dxa"/>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150</w:t>
            </w:r>
          </w:p>
        </w:tc>
      </w:tr>
      <w:tr w:rsidR="00A7453D" w:rsidRPr="0071782F">
        <w:tc>
          <w:tcPr>
            <w:tcW w:w="2300" w:type="dxa"/>
            <w:vMerge/>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shd w:val="clear" w:color="000000" w:fill="auto"/>
          </w:tcPr>
          <w:p w:rsidR="00A7453D" w:rsidRPr="0071782F" w:rsidRDefault="00C4376F" w:rsidP="005B1FE2">
            <w:pPr>
              <w:suppressAutoHyphens w:val="0"/>
              <w:spacing w:before="40" w:after="40" w:line="220" w:lineRule="exact"/>
              <w:rPr>
                <w:sz w:val="18"/>
                <w:lang w:val="fr-CH"/>
              </w:rPr>
            </w:pPr>
            <w:r w:rsidRPr="0071782F">
              <w:rPr>
                <w:sz w:val="18"/>
                <w:lang w:val="fr-CH"/>
              </w:rPr>
              <w:t>Cas renvoyés</w:t>
            </w:r>
          </w:p>
        </w:tc>
        <w:tc>
          <w:tcPr>
            <w:tcW w:w="946" w:type="dxa"/>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5 811</w:t>
            </w:r>
          </w:p>
        </w:tc>
        <w:tc>
          <w:tcPr>
            <w:tcW w:w="1047" w:type="dxa"/>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r>
      <w:tr w:rsidR="00A7453D" w:rsidRPr="0071782F">
        <w:tc>
          <w:tcPr>
            <w:tcW w:w="2300" w:type="dxa"/>
            <w:vMerge/>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shd w:val="clear" w:color="000000" w:fill="auto"/>
          </w:tcPr>
          <w:p w:rsidR="00A7453D" w:rsidRPr="0071782F" w:rsidRDefault="00C4376F" w:rsidP="005B1FE2">
            <w:pPr>
              <w:suppressAutoHyphens w:val="0"/>
              <w:spacing w:before="40" w:after="40" w:line="220" w:lineRule="exact"/>
              <w:rPr>
                <w:sz w:val="18"/>
                <w:lang w:val="fr-CH"/>
              </w:rPr>
            </w:pPr>
            <w:r w:rsidRPr="0071782F">
              <w:rPr>
                <w:sz w:val="18"/>
                <w:lang w:val="fr-CH"/>
              </w:rPr>
              <w:t>Personnes réadaptées</w:t>
            </w:r>
          </w:p>
        </w:tc>
        <w:tc>
          <w:tcPr>
            <w:tcW w:w="946" w:type="dxa"/>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977</w:t>
            </w:r>
          </w:p>
        </w:tc>
        <w:tc>
          <w:tcPr>
            <w:tcW w:w="1047" w:type="dxa"/>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r>
      <w:tr w:rsidR="00A7453D" w:rsidRPr="0071782F">
        <w:tc>
          <w:tcPr>
            <w:tcW w:w="2300" w:type="dxa"/>
            <w:vMerge/>
            <w:tcBorders>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tcBorders>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Cr</w:t>
            </w:r>
            <w:r w:rsidR="00C4376F" w:rsidRPr="0071782F">
              <w:rPr>
                <w:sz w:val="18"/>
                <w:lang w:val="fr-CH"/>
              </w:rPr>
              <w:t>é</w:t>
            </w:r>
            <w:r w:rsidRPr="0071782F">
              <w:rPr>
                <w:sz w:val="18"/>
                <w:lang w:val="fr-CH"/>
              </w:rPr>
              <w:t>dit</w:t>
            </w:r>
          </w:p>
        </w:tc>
        <w:tc>
          <w:tcPr>
            <w:tcW w:w="946" w:type="dxa"/>
            <w:tcBorders>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1 290 000</w:t>
            </w:r>
          </w:p>
        </w:tc>
        <w:tc>
          <w:tcPr>
            <w:tcW w:w="1047" w:type="dxa"/>
            <w:tcBorders>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1 126 000</w:t>
            </w:r>
          </w:p>
        </w:tc>
      </w:tr>
      <w:tr w:rsidR="00A7453D" w:rsidRPr="0071782F">
        <w:tc>
          <w:tcPr>
            <w:tcW w:w="2300" w:type="dxa"/>
            <w:vMerge w:val="restart"/>
            <w:tcBorders>
              <w:top w:val="nil"/>
              <w:bottom w:val="nil"/>
            </w:tcBorders>
            <w:shd w:val="clear" w:color="000000" w:fill="auto"/>
          </w:tcPr>
          <w:p w:rsidR="00A7453D" w:rsidRPr="0071782F" w:rsidRDefault="00C4376F" w:rsidP="005B1FE2">
            <w:pPr>
              <w:suppressAutoHyphens w:val="0"/>
              <w:spacing w:before="40" w:after="40" w:line="220" w:lineRule="exact"/>
              <w:rPr>
                <w:sz w:val="18"/>
                <w:lang w:val="fr-CH"/>
              </w:rPr>
            </w:pPr>
            <w:r w:rsidRPr="0071782F">
              <w:rPr>
                <w:sz w:val="18"/>
                <w:lang w:val="fr-CH"/>
              </w:rPr>
              <w:t>Cautions locatives</w:t>
            </w:r>
          </w:p>
        </w:tc>
        <w:tc>
          <w:tcPr>
            <w:tcW w:w="1420" w:type="dxa"/>
            <w:vMerge w:val="restart"/>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2002</w:t>
            </w:r>
          </w:p>
        </w:tc>
        <w:tc>
          <w:tcPr>
            <w:tcW w:w="1780" w:type="dxa"/>
            <w:gridSpan w:val="2"/>
            <w:tcBorders>
              <w:top w:val="nil"/>
              <w:bottom w:val="nil"/>
            </w:tcBorders>
            <w:shd w:val="clear" w:color="000000" w:fill="auto"/>
          </w:tcPr>
          <w:p w:rsidR="00A7453D" w:rsidRPr="0071782F" w:rsidRDefault="00C4376F" w:rsidP="005B1FE2">
            <w:pPr>
              <w:suppressAutoHyphens w:val="0"/>
              <w:spacing w:before="40" w:after="40" w:line="220" w:lineRule="exact"/>
              <w:rPr>
                <w:sz w:val="18"/>
                <w:lang w:val="fr-CH"/>
              </w:rPr>
            </w:pPr>
            <w:r w:rsidRPr="0071782F">
              <w:rPr>
                <w:sz w:val="18"/>
                <w:lang w:val="fr-CH"/>
              </w:rPr>
              <w:t xml:space="preserve">Familles </w:t>
            </w:r>
            <w:r w:rsidR="00402EE2" w:rsidRPr="0071782F">
              <w:rPr>
                <w:sz w:val="18"/>
                <w:lang w:val="fr-CH"/>
              </w:rPr>
              <w:t>bénéficiair</w:t>
            </w:r>
            <w:r w:rsidRPr="0071782F">
              <w:rPr>
                <w:sz w:val="18"/>
                <w:lang w:val="fr-CH"/>
              </w:rPr>
              <w:t>es</w:t>
            </w:r>
          </w:p>
        </w:tc>
        <w:tc>
          <w:tcPr>
            <w:tcW w:w="9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1 222</w:t>
            </w:r>
          </w:p>
        </w:tc>
        <w:tc>
          <w:tcPr>
            <w:tcW w:w="1047"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1 222</w:t>
            </w:r>
          </w:p>
        </w:tc>
      </w:tr>
      <w:tr w:rsidR="00A7453D" w:rsidRPr="0071782F">
        <w:tc>
          <w:tcPr>
            <w:tcW w:w="230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Cr</w:t>
            </w:r>
            <w:r w:rsidR="00C4376F" w:rsidRPr="0071782F">
              <w:rPr>
                <w:sz w:val="18"/>
                <w:lang w:val="fr-CH"/>
              </w:rPr>
              <w:t>é</w:t>
            </w:r>
            <w:r w:rsidRPr="0071782F">
              <w:rPr>
                <w:sz w:val="18"/>
                <w:lang w:val="fr-CH"/>
              </w:rPr>
              <w:t>dit</w:t>
            </w:r>
          </w:p>
        </w:tc>
        <w:tc>
          <w:tcPr>
            <w:tcW w:w="9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12 228 000</w:t>
            </w:r>
          </w:p>
        </w:tc>
        <w:tc>
          <w:tcPr>
            <w:tcW w:w="1047"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12 228 000</w:t>
            </w:r>
          </w:p>
        </w:tc>
      </w:tr>
      <w:tr w:rsidR="00A7453D" w:rsidRPr="0071782F">
        <w:tc>
          <w:tcPr>
            <w:tcW w:w="2300" w:type="dxa"/>
            <w:vMerge w:val="restart"/>
            <w:tcBorders>
              <w:top w:val="nil"/>
            </w:tcBorders>
            <w:shd w:val="clear" w:color="000000" w:fill="auto"/>
          </w:tcPr>
          <w:p w:rsidR="00A7453D" w:rsidRPr="0071782F" w:rsidRDefault="00C4376F" w:rsidP="00543C5A">
            <w:pPr>
              <w:keepNext/>
              <w:suppressAutoHyphens w:val="0"/>
              <w:spacing w:before="40" w:after="40" w:line="220" w:lineRule="exact"/>
              <w:rPr>
                <w:sz w:val="18"/>
                <w:lang w:val="fr-CH"/>
              </w:rPr>
            </w:pPr>
            <w:r w:rsidRPr="0071782F">
              <w:rPr>
                <w:sz w:val="18"/>
                <w:lang w:val="fr-CH"/>
              </w:rPr>
              <w:t xml:space="preserve">Amélioration de la </w:t>
            </w:r>
            <w:r w:rsidR="00A7453D" w:rsidRPr="0071782F">
              <w:rPr>
                <w:sz w:val="18"/>
                <w:lang w:val="fr-CH"/>
              </w:rPr>
              <w:t xml:space="preserve">nutrition </w:t>
            </w:r>
            <w:r w:rsidRPr="0071782F">
              <w:rPr>
                <w:sz w:val="18"/>
                <w:lang w:val="fr-CH"/>
              </w:rPr>
              <w:t>des enfants âgés de moins de six</w:t>
            </w:r>
            <w:r w:rsidR="00D82C96" w:rsidRPr="0071782F">
              <w:rPr>
                <w:sz w:val="18"/>
                <w:lang w:val="fr-CH"/>
              </w:rPr>
              <w:t> ans</w:t>
            </w:r>
            <w:r w:rsidRPr="0071782F">
              <w:rPr>
                <w:sz w:val="18"/>
                <w:lang w:val="fr-CH"/>
              </w:rPr>
              <w:t xml:space="preserve"> </w:t>
            </w:r>
          </w:p>
        </w:tc>
        <w:tc>
          <w:tcPr>
            <w:tcW w:w="1420" w:type="dxa"/>
            <w:vMerge w:val="restart"/>
            <w:tcBorders>
              <w:top w:val="nil"/>
            </w:tcBorders>
            <w:shd w:val="clear" w:color="000000" w:fill="auto"/>
          </w:tcPr>
          <w:p w:rsidR="00A7453D" w:rsidRPr="0071782F" w:rsidRDefault="00A7453D" w:rsidP="00543C5A">
            <w:pPr>
              <w:keepNext/>
              <w:suppressAutoHyphens w:val="0"/>
              <w:spacing w:before="40" w:after="40" w:line="220" w:lineRule="exact"/>
              <w:rPr>
                <w:sz w:val="18"/>
                <w:lang w:val="fr-CH"/>
              </w:rPr>
            </w:pPr>
            <w:r w:rsidRPr="0071782F">
              <w:rPr>
                <w:sz w:val="18"/>
                <w:lang w:val="fr-CH"/>
              </w:rPr>
              <w:t>2003</w:t>
            </w:r>
          </w:p>
        </w:tc>
        <w:tc>
          <w:tcPr>
            <w:tcW w:w="1780" w:type="dxa"/>
            <w:gridSpan w:val="2"/>
            <w:tcBorders>
              <w:top w:val="nil"/>
            </w:tcBorders>
            <w:shd w:val="clear" w:color="000000" w:fill="auto"/>
          </w:tcPr>
          <w:p w:rsidR="00A7453D" w:rsidRPr="0071782F" w:rsidRDefault="00C4376F" w:rsidP="00543C5A">
            <w:pPr>
              <w:keepNext/>
              <w:suppressAutoHyphens w:val="0"/>
              <w:spacing w:before="40" w:after="40" w:line="220" w:lineRule="exact"/>
              <w:rPr>
                <w:sz w:val="18"/>
                <w:lang w:val="fr-CH"/>
              </w:rPr>
            </w:pPr>
            <w:r w:rsidRPr="0071782F">
              <w:rPr>
                <w:sz w:val="18"/>
                <w:lang w:val="fr-CH"/>
              </w:rPr>
              <w:t xml:space="preserve">Femmes </w:t>
            </w:r>
            <w:r w:rsidR="00402EE2" w:rsidRPr="0071782F">
              <w:rPr>
                <w:sz w:val="18"/>
                <w:lang w:val="fr-CH"/>
              </w:rPr>
              <w:t>bénéficiaires</w:t>
            </w:r>
          </w:p>
        </w:tc>
        <w:tc>
          <w:tcPr>
            <w:tcW w:w="946" w:type="dxa"/>
            <w:tcBorders>
              <w:top w:val="nil"/>
            </w:tcBorders>
            <w:shd w:val="clear" w:color="000000" w:fill="auto"/>
          </w:tcPr>
          <w:p w:rsidR="00A7453D" w:rsidRPr="0071782F" w:rsidRDefault="00A7453D" w:rsidP="00543C5A">
            <w:pPr>
              <w:keepNext/>
              <w:suppressAutoHyphens w:val="0"/>
              <w:spacing w:before="40" w:after="40" w:line="220" w:lineRule="exact"/>
              <w:jc w:val="right"/>
              <w:rPr>
                <w:sz w:val="18"/>
                <w:lang w:val="fr-CH"/>
              </w:rPr>
            </w:pPr>
            <w:r w:rsidRPr="0071782F">
              <w:rPr>
                <w:sz w:val="18"/>
                <w:lang w:val="fr-CH"/>
              </w:rPr>
              <w:t>–</w:t>
            </w:r>
          </w:p>
        </w:tc>
        <w:tc>
          <w:tcPr>
            <w:tcW w:w="1046" w:type="dxa"/>
            <w:tcBorders>
              <w:top w:val="nil"/>
            </w:tcBorders>
            <w:shd w:val="clear" w:color="000000" w:fill="auto"/>
          </w:tcPr>
          <w:p w:rsidR="00A7453D" w:rsidRPr="0071782F" w:rsidRDefault="00A7453D" w:rsidP="00543C5A">
            <w:pPr>
              <w:keepNext/>
              <w:suppressAutoHyphens w:val="0"/>
              <w:spacing w:before="40" w:after="40" w:line="220" w:lineRule="exact"/>
              <w:jc w:val="right"/>
              <w:rPr>
                <w:sz w:val="18"/>
                <w:lang w:val="fr-CH"/>
              </w:rPr>
            </w:pPr>
            <w:r w:rsidRPr="0071782F">
              <w:rPr>
                <w:sz w:val="18"/>
                <w:lang w:val="fr-CH"/>
              </w:rPr>
              <w:t>4 343</w:t>
            </w:r>
          </w:p>
        </w:tc>
        <w:tc>
          <w:tcPr>
            <w:tcW w:w="1047" w:type="dxa"/>
            <w:tcBorders>
              <w:top w:val="nil"/>
            </w:tcBorders>
            <w:shd w:val="clear" w:color="000000" w:fill="auto"/>
          </w:tcPr>
          <w:p w:rsidR="00A7453D" w:rsidRPr="0071782F" w:rsidRDefault="00A7453D" w:rsidP="00543C5A">
            <w:pPr>
              <w:keepNext/>
              <w:suppressAutoHyphens w:val="0"/>
              <w:spacing w:before="40" w:after="40" w:line="220" w:lineRule="exact"/>
              <w:jc w:val="right"/>
              <w:rPr>
                <w:sz w:val="18"/>
                <w:lang w:val="fr-CH"/>
              </w:rPr>
            </w:pPr>
            <w:r w:rsidRPr="0071782F">
              <w:rPr>
                <w:sz w:val="18"/>
                <w:lang w:val="fr-CH"/>
              </w:rPr>
              <w:t>4 343</w:t>
            </w:r>
          </w:p>
        </w:tc>
      </w:tr>
      <w:tr w:rsidR="00A7453D" w:rsidRPr="0071782F">
        <w:tc>
          <w:tcPr>
            <w:tcW w:w="2300" w:type="dxa"/>
            <w:vMerge/>
            <w:tcBorders>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tcBorders>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Cr</w:t>
            </w:r>
            <w:r w:rsidR="00C4376F" w:rsidRPr="0071782F">
              <w:rPr>
                <w:sz w:val="18"/>
                <w:lang w:val="fr-CH"/>
              </w:rPr>
              <w:t>é</w:t>
            </w:r>
            <w:r w:rsidRPr="0071782F">
              <w:rPr>
                <w:sz w:val="18"/>
                <w:lang w:val="fr-CH"/>
              </w:rPr>
              <w:t>dit</w:t>
            </w:r>
          </w:p>
        </w:tc>
        <w:tc>
          <w:tcPr>
            <w:tcW w:w="946" w:type="dxa"/>
            <w:tcBorders>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12 000</w:t>
            </w:r>
          </w:p>
        </w:tc>
        <w:tc>
          <w:tcPr>
            <w:tcW w:w="1047" w:type="dxa"/>
            <w:tcBorders>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12 000</w:t>
            </w:r>
          </w:p>
        </w:tc>
      </w:tr>
      <w:tr w:rsidR="00A7453D" w:rsidRPr="0071782F">
        <w:tc>
          <w:tcPr>
            <w:tcW w:w="2300" w:type="dxa"/>
            <w:vMerge w:val="restart"/>
            <w:tcBorders>
              <w:top w:val="nil"/>
              <w:bottom w:val="nil"/>
            </w:tcBorders>
            <w:shd w:val="clear" w:color="000000" w:fill="auto"/>
          </w:tcPr>
          <w:p w:rsidR="00A7453D" w:rsidRPr="0071782F" w:rsidRDefault="00C4376F" w:rsidP="005B1FE2">
            <w:pPr>
              <w:suppressAutoHyphens w:val="0"/>
              <w:spacing w:before="40" w:after="40" w:line="220" w:lineRule="exact"/>
              <w:rPr>
                <w:sz w:val="18"/>
                <w:lang w:val="fr-CH"/>
              </w:rPr>
            </w:pPr>
            <w:r w:rsidRPr="0071782F">
              <w:rPr>
                <w:sz w:val="18"/>
                <w:lang w:val="fr-CH"/>
              </w:rPr>
              <w:t xml:space="preserve">Amélioration de l’instruction </w:t>
            </w:r>
          </w:p>
        </w:tc>
        <w:tc>
          <w:tcPr>
            <w:tcW w:w="1420" w:type="dxa"/>
            <w:vMerge w:val="restart"/>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2003</w:t>
            </w:r>
          </w:p>
        </w:tc>
        <w:tc>
          <w:tcPr>
            <w:tcW w:w="1780" w:type="dxa"/>
            <w:gridSpan w:val="2"/>
            <w:tcBorders>
              <w:top w:val="nil"/>
              <w:bottom w:val="nil"/>
            </w:tcBorders>
            <w:shd w:val="clear" w:color="000000" w:fill="auto"/>
          </w:tcPr>
          <w:p w:rsidR="00A7453D" w:rsidRPr="0071782F" w:rsidRDefault="00C4376F" w:rsidP="005B1FE2">
            <w:pPr>
              <w:suppressAutoHyphens w:val="0"/>
              <w:spacing w:before="40" w:after="40" w:line="220" w:lineRule="exact"/>
              <w:rPr>
                <w:sz w:val="18"/>
                <w:lang w:val="fr-CH"/>
              </w:rPr>
            </w:pPr>
            <w:r w:rsidRPr="0071782F">
              <w:rPr>
                <w:sz w:val="18"/>
                <w:lang w:val="fr-CH"/>
              </w:rPr>
              <w:t xml:space="preserve">Femmes </w:t>
            </w:r>
            <w:r w:rsidR="00402EE2" w:rsidRPr="0071782F">
              <w:rPr>
                <w:sz w:val="18"/>
                <w:lang w:val="fr-CH"/>
              </w:rPr>
              <w:t>bénéficiaires</w:t>
            </w:r>
          </w:p>
        </w:tc>
        <w:tc>
          <w:tcPr>
            <w:tcW w:w="9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80 253</w:t>
            </w:r>
          </w:p>
        </w:tc>
        <w:tc>
          <w:tcPr>
            <w:tcW w:w="1047"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85 000</w:t>
            </w:r>
          </w:p>
        </w:tc>
      </w:tr>
      <w:tr w:rsidR="00A7453D" w:rsidRPr="0071782F">
        <w:tc>
          <w:tcPr>
            <w:tcW w:w="230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Cr</w:t>
            </w:r>
            <w:r w:rsidR="00C4376F" w:rsidRPr="0071782F">
              <w:rPr>
                <w:sz w:val="18"/>
                <w:lang w:val="fr-CH"/>
              </w:rPr>
              <w:t>é</w:t>
            </w:r>
            <w:r w:rsidRPr="0071782F">
              <w:rPr>
                <w:sz w:val="18"/>
                <w:lang w:val="fr-CH"/>
              </w:rPr>
              <w:t>dit</w:t>
            </w:r>
          </w:p>
        </w:tc>
        <w:tc>
          <w:tcPr>
            <w:tcW w:w="9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850 000</w:t>
            </w:r>
          </w:p>
        </w:tc>
        <w:tc>
          <w:tcPr>
            <w:tcW w:w="1047"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850 000</w:t>
            </w:r>
          </w:p>
        </w:tc>
      </w:tr>
      <w:tr w:rsidR="00A7453D" w:rsidRPr="0071782F">
        <w:tc>
          <w:tcPr>
            <w:tcW w:w="2300" w:type="dxa"/>
            <w:vMerge w:val="restart"/>
            <w:tcBorders>
              <w:top w:val="nil"/>
              <w:bottom w:val="nil"/>
            </w:tcBorders>
            <w:shd w:val="clear" w:color="000000" w:fill="auto"/>
          </w:tcPr>
          <w:p w:rsidR="00A7453D" w:rsidRPr="0071782F" w:rsidRDefault="00C4376F" w:rsidP="005B1FE2">
            <w:pPr>
              <w:suppressAutoHyphens w:val="0"/>
              <w:spacing w:before="40" w:after="40" w:line="220" w:lineRule="exact"/>
              <w:rPr>
                <w:sz w:val="18"/>
                <w:lang w:val="fr-CH"/>
              </w:rPr>
            </w:pPr>
            <w:r w:rsidRPr="0071782F">
              <w:rPr>
                <w:sz w:val="18"/>
                <w:lang w:val="fr-CH"/>
              </w:rPr>
              <w:t xml:space="preserve">Amélioration de la nutrition des femmes enceintes </w:t>
            </w:r>
          </w:p>
        </w:tc>
        <w:tc>
          <w:tcPr>
            <w:tcW w:w="1420" w:type="dxa"/>
            <w:vMerge w:val="restart"/>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2006</w:t>
            </w:r>
          </w:p>
        </w:tc>
        <w:tc>
          <w:tcPr>
            <w:tcW w:w="1780" w:type="dxa"/>
            <w:gridSpan w:val="2"/>
            <w:tcBorders>
              <w:top w:val="nil"/>
              <w:bottom w:val="nil"/>
            </w:tcBorders>
            <w:shd w:val="clear" w:color="000000" w:fill="auto"/>
          </w:tcPr>
          <w:p w:rsidR="00A7453D" w:rsidRPr="0071782F" w:rsidRDefault="00C4376F" w:rsidP="005B1FE2">
            <w:pPr>
              <w:suppressAutoHyphens w:val="0"/>
              <w:spacing w:before="40" w:after="40" w:line="220" w:lineRule="exact"/>
              <w:rPr>
                <w:sz w:val="18"/>
                <w:lang w:val="fr-CH"/>
              </w:rPr>
            </w:pPr>
            <w:r w:rsidRPr="0071782F">
              <w:rPr>
                <w:sz w:val="18"/>
                <w:lang w:val="fr-CH"/>
              </w:rPr>
              <w:t xml:space="preserve">Femmes </w:t>
            </w:r>
            <w:r w:rsidR="00402EE2" w:rsidRPr="0071782F">
              <w:rPr>
                <w:sz w:val="18"/>
                <w:lang w:val="fr-CH"/>
              </w:rPr>
              <w:t xml:space="preserve">bénéficiaires </w:t>
            </w:r>
          </w:p>
        </w:tc>
        <w:tc>
          <w:tcPr>
            <w:tcW w:w="9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1 500</w:t>
            </w:r>
          </w:p>
        </w:tc>
        <w:tc>
          <w:tcPr>
            <w:tcW w:w="1047"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1 500</w:t>
            </w:r>
          </w:p>
        </w:tc>
      </w:tr>
      <w:tr w:rsidR="00A7453D" w:rsidRPr="0071782F">
        <w:tc>
          <w:tcPr>
            <w:tcW w:w="230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420" w:type="dxa"/>
            <w:vMerge/>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p>
        </w:tc>
        <w:tc>
          <w:tcPr>
            <w:tcW w:w="1780" w:type="dxa"/>
            <w:gridSpan w:val="2"/>
            <w:tcBorders>
              <w:top w:val="nil"/>
              <w:bottom w:val="nil"/>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Cr</w:t>
            </w:r>
            <w:r w:rsidR="00C4376F" w:rsidRPr="0071782F">
              <w:rPr>
                <w:sz w:val="18"/>
                <w:lang w:val="fr-CH"/>
              </w:rPr>
              <w:t>é</w:t>
            </w:r>
            <w:r w:rsidRPr="0071782F">
              <w:rPr>
                <w:sz w:val="18"/>
                <w:lang w:val="fr-CH"/>
              </w:rPr>
              <w:t>dit</w:t>
            </w:r>
          </w:p>
        </w:tc>
        <w:tc>
          <w:tcPr>
            <w:tcW w:w="9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300 000</w:t>
            </w:r>
          </w:p>
        </w:tc>
        <w:tc>
          <w:tcPr>
            <w:tcW w:w="1047" w:type="dxa"/>
            <w:tcBorders>
              <w:top w:val="nil"/>
              <w:bottom w:val="nil"/>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300 000</w:t>
            </w:r>
          </w:p>
        </w:tc>
      </w:tr>
      <w:tr w:rsidR="00A7453D" w:rsidRPr="0071782F">
        <w:tc>
          <w:tcPr>
            <w:tcW w:w="2300" w:type="dxa"/>
            <w:tcBorders>
              <w:top w:val="nil"/>
              <w:bottom w:val="single" w:sz="12" w:space="0" w:color="auto"/>
            </w:tcBorders>
            <w:shd w:val="clear" w:color="000000" w:fill="auto"/>
          </w:tcPr>
          <w:p w:rsidR="00A7453D" w:rsidRPr="0071782F" w:rsidRDefault="00FA395F" w:rsidP="005B1FE2">
            <w:pPr>
              <w:suppressAutoHyphens w:val="0"/>
              <w:spacing w:before="40" w:after="40" w:line="220" w:lineRule="exact"/>
              <w:rPr>
                <w:sz w:val="18"/>
                <w:lang w:val="fr-CH"/>
              </w:rPr>
            </w:pPr>
            <w:r w:rsidRPr="0071782F">
              <w:rPr>
                <w:sz w:val="18"/>
                <w:lang w:val="fr-CH"/>
              </w:rPr>
              <w:t>Actions de j</w:t>
            </w:r>
            <w:r w:rsidR="00A7453D" w:rsidRPr="0071782F">
              <w:rPr>
                <w:sz w:val="18"/>
                <w:lang w:val="fr-CH"/>
              </w:rPr>
              <w:t xml:space="preserve">ustice </w:t>
            </w:r>
          </w:p>
        </w:tc>
        <w:tc>
          <w:tcPr>
            <w:tcW w:w="1420" w:type="dxa"/>
            <w:tcBorders>
              <w:top w:val="nil"/>
              <w:bottom w:val="single" w:sz="12" w:space="0" w:color="auto"/>
            </w:tcBorders>
            <w:shd w:val="clear" w:color="000000" w:fill="auto"/>
          </w:tcPr>
          <w:p w:rsidR="00A7453D" w:rsidRPr="0071782F" w:rsidRDefault="00A7453D" w:rsidP="005B1FE2">
            <w:pPr>
              <w:suppressAutoHyphens w:val="0"/>
              <w:spacing w:before="40" w:after="40" w:line="220" w:lineRule="exact"/>
              <w:rPr>
                <w:sz w:val="18"/>
                <w:lang w:val="fr-CH"/>
              </w:rPr>
            </w:pPr>
            <w:r w:rsidRPr="0071782F">
              <w:rPr>
                <w:sz w:val="18"/>
                <w:lang w:val="fr-CH"/>
              </w:rPr>
              <w:t>2006</w:t>
            </w:r>
          </w:p>
        </w:tc>
        <w:tc>
          <w:tcPr>
            <w:tcW w:w="1780" w:type="dxa"/>
            <w:gridSpan w:val="2"/>
            <w:tcBorders>
              <w:top w:val="nil"/>
              <w:bottom w:val="single" w:sz="12" w:space="0" w:color="auto"/>
            </w:tcBorders>
            <w:shd w:val="clear" w:color="000000" w:fill="auto"/>
          </w:tcPr>
          <w:p w:rsidR="00A7453D" w:rsidRPr="0071782F" w:rsidRDefault="003B48A4" w:rsidP="005B1FE2">
            <w:pPr>
              <w:suppressAutoHyphens w:val="0"/>
              <w:spacing w:before="40" w:after="40" w:line="220" w:lineRule="exact"/>
              <w:rPr>
                <w:sz w:val="18"/>
                <w:lang w:val="fr-CH"/>
              </w:rPr>
            </w:pPr>
            <w:r w:rsidRPr="0071782F">
              <w:rPr>
                <w:sz w:val="18"/>
                <w:lang w:val="fr-CH"/>
              </w:rPr>
              <w:t>Nombre</w:t>
            </w:r>
            <w:r w:rsidR="00A7453D" w:rsidRPr="0071782F">
              <w:rPr>
                <w:sz w:val="18"/>
                <w:lang w:val="fr-CH"/>
              </w:rPr>
              <w:t xml:space="preserve"> </w:t>
            </w:r>
            <w:r w:rsidR="00FA395F" w:rsidRPr="0071782F">
              <w:rPr>
                <w:sz w:val="18"/>
                <w:lang w:val="fr-CH"/>
              </w:rPr>
              <w:t xml:space="preserve">d’actions attribuées </w:t>
            </w:r>
          </w:p>
        </w:tc>
        <w:tc>
          <w:tcPr>
            <w:tcW w:w="946" w:type="dxa"/>
            <w:tcBorders>
              <w:top w:val="nil"/>
              <w:bottom w:val="single" w:sz="12" w:space="0" w:color="auto"/>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w:t>
            </w:r>
          </w:p>
        </w:tc>
        <w:tc>
          <w:tcPr>
            <w:tcW w:w="1046" w:type="dxa"/>
            <w:tcBorders>
              <w:top w:val="nil"/>
              <w:bottom w:val="single" w:sz="12" w:space="0" w:color="auto"/>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917 320</w:t>
            </w:r>
          </w:p>
        </w:tc>
        <w:tc>
          <w:tcPr>
            <w:tcW w:w="1047" w:type="dxa"/>
            <w:tcBorders>
              <w:top w:val="nil"/>
              <w:bottom w:val="single" w:sz="12" w:space="0" w:color="auto"/>
            </w:tcBorders>
            <w:shd w:val="clear" w:color="000000" w:fill="auto"/>
          </w:tcPr>
          <w:p w:rsidR="00A7453D" w:rsidRPr="0071782F" w:rsidRDefault="00A7453D" w:rsidP="005B1FE2">
            <w:pPr>
              <w:suppressAutoHyphens w:val="0"/>
              <w:spacing w:before="40" w:after="40" w:line="220" w:lineRule="exact"/>
              <w:jc w:val="right"/>
              <w:rPr>
                <w:sz w:val="18"/>
                <w:lang w:val="fr-CH"/>
              </w:rPr>
            </w:pPr>
            <w:r w:rsidRPr="0071782F">
              <w:rPr>
                <w:sz w:val="18"/>
                <w:lang w:val="fr-CH"/>
              </w:rPr>
              <w:t>917 320</w:t>
            </w:r>
          </w:p>
        </w:tc>
      </w:tr>
    </w:tbl>
    <w:p w:rsidR="009F7C7F" w:rsidRPr="0071782F" w:rsidRDefault="009F7C7F" w:rsidP="00DE2153">
      <w:pPr>
        <w:pStyle w:val="H23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FA395F" w:rsidRPr="0071782F">
        <w:rPr>
          <w:lang w:val="fr-CH"/>
        </w:rPr>
        <w:t>d’</w:t>
      </w:r>
      <w:r w:rsidRPr="0071782F">
        <w:rPr>
          <w:lang w:val="fr-CH"/>
        </w:rPr>
        <w:t>unit</w:t>
      </w:r>
      <w:r w:rsidR="00FA395F" w:rsidRPr="0071782F">
        <w:rPr>
          <w:lang w:val="fr-CH"/>
        </w:rPr>
        <w:t>és</w:t>
      </w:r>
      <w:r w:rsidRPr="0071782F">
        <w:rPr>
          <w:lang w:val="fr-CH"/>
        </w:rPr>
        <w:t xml:space="preserve"> </w:t>
      </w:r>
      <w:r w:rsidR="00FA395F" w:rsidRPr="0071782F">
        <w:rPr>
          <w:lang w:val="fr-CH"/>
        </w:rPr>
        <w:t xml:space="preserve">fournissant les </w:t>
      </w:r>
      <w:r w:rsidRPr="0071782F">
        <w:rPr>
          <w:lang w:val="fr-CH"/>
        </w:rPr>
        <w:t xml:space="preserve">services </w:t>
      </w:r>
      <w:r w:rsidR="00FA395F" w:rsidRPr="0071782F">
        <w:rPr>
          <w:lang w:val="fr-CH"/>
        </w:rPr>
        <w:t xml:space="preserve">de l’Organisme public de protection sociale </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466"/>
        <w:gridCol w:w="900"/>
        <w:gridCol w:w="800"/>
        <w:gridCol w:w="1236"/>
        <w:gridCol w:w="964"/>
        <w:gridCol w:w="1225"/>
        <w:gridCol w:w="775"/>
        <w:gridCol w:w="900"/>
        <w:gridCol w:w="1239"/>
      </w:tblGrid>
      <w:tr w:rsidR="009F7C7F" w:rsidRPr="0071782F">
        <w:trPr>
          <w:tblHeader/>
        </w:trPr>
        <w:tc>
          <w:tcPr>
            <w:tcW w:w="466" w:type="dxa"/>
            <w:vMerge w:val="restart"/>
            <w:tcBorders>
              <w:top w:val="single" w:sz="4" w:space="0" w:color="auto"/>
              <w:bottom w:val="single" w:sz="4" w:space="0" w:color="auto"/>
              <w:right w:val="single" w:sz="24" w:space="0" w:color="FFFFFF"/>
            </w:tcBorders>
            <w:shd w:val="clear" w:color="000000" w:fill="auto"/>
            <w:vAlign w:val="bottom"/>
          </w:tcPr>
          <w:p w:rsidR="009F7C7F" w:rsidRPr="0071782F" w:rsidRDefault="00FA395F" w:rsidP="005B1FE2">
            <w:pPr>
              <w:suppressAutoHyphens w:val="0"/>
              <w:spacing w:before="80" w:after="80" w:line="200" w:lineRule="exact"/>
              <w:rPr>
                <w:i/>
                <w:sz w:val="16"/>
                <w:szCs w:val="16"/>
                <w:lang w:val="fr-CH"/>
              </w:rPr>
            </w:pPr>
            <w:r w:rsidRPr="0071782F">
              <w:rPr>
                <w:i/>
                <w:sz w:val="16"/>
                <w:szCs w:val="16"/>
                <w:lang w:val="fr-CH"/>
              </w:rPr>
              <w:t>Année</w:t>
            </w:r>
          </w:p>
        </w:tc>
        <w:tc>
          <w:tcPr>
            <w:tcW w:w="170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9F7C7F" w:rsidRPr="0071782F" w:rsidRDefault="00FA395F" w:rsidP="005B1FE2">
            <w:pPr>
              <w:suppressAutoHyphens w:val="0"/>
              <w:spacing w:before="80" w:after="80" w:line="200" w:lineRule="exact"/>
              <w:jc w:val="center"/>
              <w:rPr>
                <w:i/>
                <w:sz w:val="16"/>
                <w:szCs w:val="16"/>
                <w:lang w:val="fr-CH"/>
              </w:rPr>
            </w:pPr>
            <w:r w:rsidRPr="0071782F">
              <w:rPr>
                <w:i/>
                <w:sz w:val="16"/>
                <w:szCs w:val="16"/>
                <w:lang w:val="fr-CH"/>
              </w:rPr>
              <w:t>C</w:t>
            </w:r>
            <w:r w:rsidR="009F7C7F" w:rsidRPr="0071782F">
              <w:rPr>
                <w:i/>
                <w:sz w:val="16"/>
                <w:szCs w:val="16"/>
                <w:lang w:val="fr-CH"/>
              </w:rPr>
              <w:t>omplexes</w:t>
            </w:r>
            <w:r w:rsidRPr="0071782F">
              <w:rPr>
                <w:i/>
                <w:sz w:val="16"/>
                <w:szCs w:val="16"/>
                <w:lang w:val="fr-CH"/>
              </w:rPr>
              <w:t xml:space="preserve"> de services sociaux</w:t>
            </w:r>
          </w:p>
        </w:tc>
        <w:tc>
          <w:tcPr>
            <w:tcW w:w="4200" w:type="dxa"/>
            <w:gridSpan w:val="4"/>
            <w:tcBorders>
              <w:top w:val="single" w:sz="4" w:space="0" w:color="auto"/>
              <w:left w:val="single" w:sz="24" w:space="0" w:color="FFFFFF"/>
              <w:bottom w:val="single" w:sz="4" w:space="0" w:color="auto"/>
              <w:right w:val="single" w:sz="24" w:space="0" w:color="FFFFFF"/>
            </w:tcBorders>
            <w:shd w:val="clear" w:color="000000" w:fill="auto"/>
            <w:vAlign w:val="bottom"/>
          </w:tcPr>
          <w:p w:rsidR="009F7C7F" w:rsidRPr="0071782F" w:rsidRDefault="00FA395F" w:rsidP="005B1FE2">
            <w:pPr>
              <w:suppressAutoHyphens w:val="0"/>
              <w:spacing w:before="80" w:after="80" w:line="200" w:lineRule="exact"/>
              <w:jc w:val="center"/>
              <w:rPr>
                <w:i/>
                <w:sz w:val="16"/>
                <w:szCs w:val="16"/>
                <w:lang w:val="fr-CH"/>
              </w:rPr>
            </w:pPr>
            <w:r w:rsidRPr="0071782F">
              <w:rPr>
                <w:i/>
                <w:sz w:val="16"/>
                <w:szCs w:val="16"/>
                <w:lang w:val="fr-CH"/>
              </w:rPr>
              <w:t>Services sociaux urbains</w:t>
            </w:r>
          </w:p>
        </w:tc>
        <w:tc>
          <w:tcPr>
            <w:tcW w:w="2139" w:type="dxa"/>
            <w:gridSpan w:val="2"/>
            <w:tcBorders>
              <w:top w:val="single" w:sz="4" w:space="0" w:color="auto"/>
              <w:left w:val="single" w:sz="24" w:space="0" w:color="FFFFFF"/>
              <w:bottom w:val="single" w:sz="4" w:space="0" w:color="auto"/>
            </w:tcBorders>
            <w:shd w:val="clear" w:color="000000" w:fill="auto"/>
            <w:vAlign w:val="bottom"/>
          </w:tcPr>
          <w:p w:rsidR="009F7C7F" w:rsidRPr="0071782F" w:rsidRDefault="00FA395F" w:rsidP="005B1FE2">
            <w:pPr>
              <w:suppressAutoHyphens w:val="0"/>
              <w:spacing w:before="80" w:after="80" w:line="200" w:lineRule="exact"/>
              <w:jc w:val="center"/>
              <w:rPr>
                <w:i/>
                <w:sz w:val="16"/>
                <w:szCs w:val="16"/>
                <w:lang w:val="fr-CH"/>
              </w:rPr>
            </w:pPr>
            <w:r w:rsidRPr="0071782F">
              <w:rPr>
                <w:i/>
                <w:sz w:val="16"/>
                <w:szCs w:val="16"/>
                <w:lang w:val="fr-CH"/>
              </w:rPr>
              <w:t xml:space="preserve">Services sociaux ruraux </w:t>
            </w:r>
          </w:p>
        </w:tc>
      </w:tr>
      <w:tr w:rsidR="009F7C7F" w:rsidRPr="0071782F">
        <w:trPr>
          <w:tblHeader/>
        </w:trPr>
        <w:tc>
          <w:tcPr>
            <w:tcW w:w="466" w:type="dxa"/>
            <w:vMerge/>
            <w:tcBorders>
              <w:top w:val="single" w:sz="4" w:space="0" w:color="auto"/>
              <w:bottom w:val="single" w:sz="12" w:space="0" w:color="auto"/>
              <w:right w:val="single" w:sz="24" w:space="0" w:color="FFFFFF"/>
            </w:tcBorders>
            <w:shd w:val="clear" w:color="000000" w:fill="auto"/>
            <w:vAlign w:val="bottom"/>
          </w:tcPr>
          <w:p w:rsidR="009F7C7F" w:rsidRPr="0071782F" w:rsidRDefault="009F7C7F" w:rsidP="005B1FE2">
            <w:pPr>
              <w:suppressAutoHyphens w:val="0"/>
              <w:spacing w:before="80" w:after="80" w:line="200" w:lineRule="exact"/>
              <w:rPr>
                <w:i/>
                <w:sz w:val="16"/>
                <w:szCs w:val="16"/>
                <w:lang w:val="fr-CH"/>
              </w:rPr>
            </w:pPr>
          </w:p>
        </w:tc>
        <w:tc>
          <w:tcPr>
            <w:tcW w:w="900" w:type="dxa"/>
            <w:tcBorders>
              <w:top w:val="single" w:sz="4" w:space="0" w:color="auto"/>
              <w:left w:val="single" w:sz="24" w:space="0" w:color="FFFFFF"/>
              <w:bottom w:val="single" w:sz="12" w:space="0" w:color="auto"/>
            </w:tcBorders>
            <w:shd w:val="clear" w:color="000000" w:fill="auto"/>
            <w:vAlign w:val="bottom"/>
          </w:tcPr>
          <w:p w:rsidR="009F7C7F" w:rsidRPr="0071782F" w:rsidRDefault="009F7C7F" w:rsidP="005B1FE2">
            <w:pPr>
              <w:suppressAutoHyphens w:val="0"/>
              <w:spacing w:before="80" w:after="80" w:line="200" w:lineRule="exact"/>
              <w:jc w:val="right"/>
              <w:rPr>
                <w:i/>
                <w:sz w:val="16"/>
                <w:szCs w:val="16"/>
                <w:lang w:val="fr-CH"/>
              </w:rPr>
            </w:pPr>
            <w:r w:rsidRPr="0071782F">
              <w:rPr>
                <w:i/>
                <w:sz w:val="16"/>
                <w:szCs w:val="16"/>
                <w:lang w:val="fr-CH"/>
              </w:rPr>
              <w:t>Urba</w:t>
            </w:r>
            <w:r w:rsidR="00FA395F" w:rsidRPr="0071782F">
              <w:rPr>
                <w:i/>
                <w:sz w:val="16"/>
                <w:szCs w:val="16"/>
                <w:lang w:val="fr-CH"/>
              </w:rPr>
              <w:t>ins</w:t>
            </w:r>
          </w:p>
        </w:tc>
        <w:tc>
          <w:tcPr>
            <w:tcW w:w="800" w:type="dxa"/>
            <w:tcBorders>
              <w:top w:val="single" w:sz="4" w:space="0" w:color="auto"/>
              <w:bottom w:val="single" w:sz="12" w:space="0" w:color="auto"/>
              <w:right w:val="single" w:sz="24" w:space="0" w:color="FFFFFF"/>
            </w:tcBorders>
            <w:shd w:val="clear" w:color="000000" w:fill="auto"/>
            <w:vAlign w:val="bottom"/>
          </w:tcPr>
          <w:p w:rsidR="009F7C7F" w:rsidRPr="0071782F" w:rsidRDefault="009F7C7F" w:rsidP="005B1FE2">
            <w:pPr>
              <w:suppressAutoHyphens w:val="0"/>
              <w:spacing w:before="80" w:after="80" w:line="200" w:lineRule="exact"/>
              <w:jc w:val="right"/>
              <w:rPr>
                <w:i/>
                <w:sz w:val="16"/>
                <w:szCs w:val="16"/>
                <w:lang w:val="fr-CH"/>
              </w:rPr>
            </w:pPr>
            <w:r w:rsidRPr="0071782F">
              <w:rPr>
                <w:i/>
                <w:sz w:val="16"/>
                <w:szCs w:val="16"/>
                <w:lang w:val="fr-CH"/>
              </w:rPr>
              <w:t>Rura</w:t>
            </w:r>
            <w:r w:rsidR="00FA395F" w:rsidRPr="0071782F">
              <w:rPr>
                <w:i/>
                <w:sz w:val="16"/>
                <w:szCs w:val="16"/>
                <w:lang w:val="fr-CH"/>
              </w:rPr>
              <w:t>ux</w:t>
            </w:r>
          </w:p>
        </w:tc>
        <w:tc>
          <w:tcPr>
            <w:tcW w:w="1236" w:type="dxa"/>
            <w:tcBorders>
              <w:top w:val="single" w:sz="4" w:space="0" w:color="auto"/>
              <w:left w:val="single" w:sz="24" w:space="0" w:color="FFFFFF"/>
              <w:bottom w:val="single" w:sz="12" w:space="0" w:color="auto"/>
            </w:tcBorders>
            <w:shd w:val="clear" w:color="000000" w:fill="auto"/>
            <w:vAlign w:val="bottom"/>
          </w:tcPr>
          <w:p w:rsidR="009F7C7F" w:rsidRPr="0071782F" w:rsidRDefault="00FA395F" w:rsidP="005B1FE2">
            <w:pPr>
              <w:suppressAutoHyphens w:val="0"/>
              <w:spacing w:before="80" w:after="80" w:line="200" w:lineRule="exact"/>
              <w:jc w:val="right"/>
              <w:rPr>
                <w:i/>
                <w:sz w:val="16"/>
                <w:szCs w:val="16"/>
                <w:lang w:val="fr-CH"/>
              </w:rPr>
            </w:pPr>
            <w:r w:rsidRPr="0071782F">
              <w:rPr>
                <w:i/>
                <w:sz w:val="16"/>
                <w:szCs w:val="16"/>
                <w:lang w:val="fr-CH"/>
              </w:rPr>
              <w:t xml:space="preserve">Prise en charge d’enfants </w:t>
            </w:r>
            <w:r w:rsidR="00684B4B">
              <w:rPr>
                <w:i/>
                <w:sz w:val="16"/>
                <w:szCs w:val="16"/>
                <w:lang w:val="fr-CH"/>
              </w:rPr>
              <w:br/>
            </w:r>
            <w:r w:rsidRPr="0071782F">
              <w:rPr>
                <w:i/>
                <w:sz w:val="16"/>
                <w:szCs w:val="16"/>
                <w:lang w:val="fr-CH"/>
              </w:rPr>
              <w:t>sans tuteur</w:t>
            </w:r>
            <w:r w:rsidRPr="0071782F">
              <w:rPr>
                <w:i/>
                <w:sz w:val="16"/>
                <w:szCs w:val="16"/>
                <w:vertAlign w:val="superscript"/>
                <w:lang w:val="fr-CH"/>
              </w:rPr>
              <w:t xml:space="preserve"> </w:t>
            </w:r>
            <w:r w:rsidR="009F7C7F" w:rsidRPr="0071782F">
              <w:rPr>
                <w:i/>
                <w:sz w:val="16"/>
                <w:szCs w:val="16"/>
                <w:vertAlign w:val="superscript"/>
                <w:lang w:val="fr-CH"/>
              </w:rPr>
              <w:t>(1)</w:t>
            </w:r>
          </w:p>
        </w:tc>
        <w:tc>
          <w:tcPr>
            <w:tcW w:w="964" w:type="dxa"/>
            <w:tcBorders>
              <w:top w:val="single" w:sz="4" w:space="0" w:color="auto"/>
              <w:bottom w:val="single" w:sz="12" w:space="0" w:color="auto"/>
            </w:tcBorders>
            <w:shd w:val="clear" w:color="000000" w:fill="auto"/>
            <w:vAlign w:val="bottom"/>
          </w:tcPr>
          <w:p w:rsidR="009F7C7F" w:rsidRPr="0071782F" w:rsidRDefault="00FA395F" w:rsidP="005B1FE2">
            <w:pPr>
              <w:suppressAutoHyphens w:val="0"/>
              <w:spacing w:before="80" w:after="80" w:line="200" w:lineRule="exact"/>
              <w:jc w:val="right"/>
              <w:rPr>
                <w:i/>
                <w:sz w:val="16"/>
                <w:szCs w:val="16"/>
                <w:lang w:val="fr-CH"/>
              </w:rPr>
            </w:pPr>
            <w:r w:rsidRPr="0071782F">
              <w:rPr>
                <w:i/>
                <w:sz w:val="16"/>
                <w:szCs w:val="16"/>
                <w:lang w:val="fr-CH"/>
              </w:rPr>
              <w:t>S</w:t>
            </w:r>
            <w:r w:rsidR="009F7C7F" w:rsidRPr="0071782F">
              <w:rPr>
                <w:i/>
                <w:sz w:val="16"/>
                <w:szCs w:val="16"/>
                <w:lang w:val="fr-CH"/>
              </w:rPr>
              <w:t>ervices</w:t>
            </w:r>
            <w:r w:rsidRPr="0071782F">
              <w:rPr>
                <w:i/>
                <w:sz w:val="16"/>
                <w:szCs w:val="16"/>
                <w:lang w:val="fr-CH"/>
              </w:rPr>
              <w:t xml:space="preserve"> de garde</w:t>
            </w:r>
            <w:r w:rsidR="00402EE2" w:rsidRPr="0071782F">
              <w:rPr>
                <w:i/>
                <w:sz w:val="16"/>
                <w:szCs w:val="16"/>
                <w:lang w:val="fr-CH"/>
              </w:rPr>
              <w:t>rie</w:t>
            </w:r>
          </w:p>
        </w:tc>
        <w:tc>
          <w:tcPr>
            <w:tcW w:w="1225" w:type="dxa"/>
            <w:tcBorders>
              <w:top w:val="single" w:sz="4" w:space="0" w:color="auto"/>
              <w:bottom w:val="single" w:sz="12" w:space="0" w:color="auto"/>
            </w:tcBorders>
            <w:shd w:val="clear" w:color="000000" w:fill="auto"/>
            <w:vAlign w:val="bottom"/>
          </w:tcPr>
          <w:p w:rsidR="009F7C7F" w:rsidRPr="0071782F" w:rsidRDefault="00FA395F" w:rsidP="005B1FE2">
            <w:pPr>
              <w:suppressAutoHyphens w:val="0"/>
              <w:spacing w:before="80" w:after="80" w:line="200" w:lineRule="exact"/>
              <w:jc w:val="right"/>
              <w:rPr>
                <w:i/>
                <w:sz w:val="16"/>
                <w:szCs w:val="16"/>
                <w:lang w:val="fr-CH"/>
              </w:rPr>
            </w:pPr>
            <w:r w:rsidRPr="0071782F">
              <w:rPr>
                <w:i/>
                <w:sz w:val="16"/>
                <w:szCs w:val="16"/>
                <w:lang w:val="fr-CH"/>
              </w:rPr>
              <w:t xml:space="preserve">Appui </w:t>
            </w:r>
            <w:r w:rsidR="00A234E8" w:rsidRPr="0071782F">
              <w:rPr>
                <w:i/>
                <w:sz w:val="16"/>
                <w:szCs w:val="16"/>
                <w:lang w:val="fr-CH"/>
              </w:rPr>
              <w:t>aux familles</w:t>
            </w:r>
            <w:r w:rsidRPr="0071782F">
              <w:rPr>
                <w:i/>
                <w:sz w:val="16"/>
                <w:szCs w:val="16"/>
                <w:lang w:val="fr-CH"/>
              </w:rPr>
              <w:t xml:space="preserve"> pauvres sans tuteur</w:t>
            </w:r>
          </w:p>
        </w:tc>
        <w:tc>
          <w:tcPr>
            <w:tcW w:w="775" w:type="dxa"/>
            <w:tcBorders>
              <w:top w:val="single" w:sz="4" w:space="0" w:color="auto"/>
              <w:bottom w:val="single" w:sz="12" w:space="0" w:color="auto"/>
              <w:right w:val="single" w:sz="24" w:space="0" w:color="FFFFFF"/>
            </w:tcBorders>
            <w:shd w:val="clear" w:color="000000" w:fill="auto"/>
            <w:vAlign w:val="bottom"/>
          </w:tcPr>
          <w:p w:rsidR="009F7C7F" w:rsidRPr="0071782F" w:rsidRDefault="00FA395F" w:rsidP="005B1FE2">
            <w:pPr>
              <w:suppressAutoHyphens w:val="0"/>
              <w:spacing w:before="80" w:after="80" w:line="200" w:lineRule="exact"/>
              <w:jc w:val="right"/>
              <w:rPr>
                <w:i/>
                <w:sz w:val="16"/>
                <w:szCs w:val="16"/>
                <w:lang w:val="fr-CH"/>
              </w:rPr>
            </w:pPr>
            <w:r w:rsidRPr="0071782F">
              <w:rPr>
                <w:i/>
                <w:sz w:val="16"/>
                <w:szCs w:val="16"/>
                <w:lang w:val="fr-CH"/>
              </w:rPr>
              <w:t>Préjudices sociaux</w:t>
            </w:r>
            <w:r w:rsidR="009F7C7F" w:rsidRPr="0071782F">
              <w:rPr>
                <w:i/>
                <w:sz w:val="16"/>
                <w:szCs w:val="16"/>
                <w:vertAlign w:val="superscript"/>
                <w:lang w:val="fr-CH"/>
              </w:rPr>
              <w:t>(2)</w:t>
            </w:r>
          </w:p>
        </w:tc>
        <w:tc>
          <w:tcPr>
            <w:tcW w:w="900" w:type="dxa"/>
            <w:tcBorders>
              <w:top w:val="single" w:sz="4" w:space="0" w:color="auto"/>
              <w:left w:val="single" w:sz="24" w:space="0" w:color="FFFFFF"/>
              <w:bottom w:val="single" w:sz="12" w:space="0" w:color="auto"/>
            </w:tcBorders>
            <w:shd w:val="clear" w:color="000000" w:fill="auto"/>
            <w:vAlign w:val="bottom"/>
          </w:tcPr>
          <w:p w:rsidR="009F7C7F" w:rsidRPr="0071782F" w:rsidRDefault="00FA395F" w:rsidP="005B1FE2">
            <w:pPr>
              <w:suppressAutoHyphens w:val="0"/>
              <w:spacing w:before="80" w:after="80" w:line="200" w:lineRule="exact"/>
              <w:jc w:val="right"/>
              <w:rPr>
                <w:i/>
                <w:sz w:val="16"/>
                <w:szCs w:val="16"/>
                <w:lang w:val="fr-CH"/>
              </w:rPr>
            </w:pPr>
            <w:r w:rsidRPr="0071782F">
              <w:rPr>
                <w:i/>
                <w:sz w:val="16"/>
                <w:szCs w:val="16"/>
                <w:lang w:val="fr-CH"/>
              </w:rPr>
              <w:t>Services de garde</w:t>
            </w:r>
            <w:r w:rsidR="00402EE2" w:rsidRPr="0071782F">
              <w:rPr>
                <w:i/>
                <w:sz w:val="16"/>
                <w:szCs w:val="16"/>
                <w:lang w:val="fr-CH"/>
              </w:rPr>
              <w:t>rie</w:t>
            </w:r>
          </w:p>
        </w:tc>
        <w:tc>
          <w:tcPr>
            <w:tcW w:w="1239" w:type="dxa"/>
            <w:tcBorders>
              <w:top w:val="single" w:sz="4" w:space="0" w:color="auto"/>
              <w:bottom w:val="single" w:sz="12" w:space="0" w:color="auto"/>
            </w:tcBorders>
            <w:shd w:val="clear" w:color="000000" w:fill="auto"/>
            <w:vAlign w:val="bottom"/>
          </w:tcPr>
          <w:p w:rsidR="009F7C7F" w:rsidRPr="0071782F" w:rsidRDefault="00FA395F" w:rsidP="005B1FE2">
            <w:pPr>
              <w:suppressAutoHyphens w:val="0"/>
              <w:spacing w:before="80" w:after="80" w:line="200" w:lineRule="exact"/>
              <w:jc w:val="right"/>
              <w:rPr>
                <w:i/>
                <w:sz w:val="16"/>
                <w:szCs w:val="16"/>
                <w:lang w:val="fr-CH"/>
              </w:rPr>
            </w:pPr>
            <w:r w:rsidRPr="0071782F">
              <w:rPr>
                <w:i/>
                <w:sz w:val="16"/>
                <w:szCs w:val="16"/>
                <w:lang w:val="fr-CH"/>
              </w:rPr>
              <w:t xml:space="preserve">Appui </w:t>
            </w:r>
            <w:r w:rsidR="00A234E8" w:rsidRPr="0071782F">
              <w:rPr>
                <w:i/>
                <w:sz w:val="16"/>
                <w:szCs w:val="16"/>
                <w:lang w:val="fr-CH"/>
              </w:rPr>
              <w:t>aux familles</w:t>
            </w:r>
            <w:r w:rsidRPr="0071782F">
              <w:rPr>
                <w:i/>
                <w:sz w:val="16"/>
                <w:szCs w:val="16"/>
                <w:lang w:val="fr-CH"/>
              </w:rPr>
              <w:t xml:space="preserve"> pauvres sans tuteur</w:t>
            </w:r>
          </w:p>
        </w:tc>
      </w:tr>
      <w:tr w:rsidR="009F7C7F" w:rsidRPr="0071782F">
        <w:tc>
          <w:tcPr>
            <w:tcW w:w="466" w:type="dxa"/>
            <w:tcBorders>
              <w:top w:val="single" w:sz="12" w:space="0" w:color="auto"/>
            </w:tcBorders>
            <w:shd w:val="clear" w:color="000000" w:fill="auto"/>
            <w:vAlign w:val="bottom"/>
          </w:tcPr>
          <w:p w:rsidR="009F7C7F" w:rsidRPr="0071782F" w:rsidRDefault="009F7C7F" w:rsidP="005B1FE2">
            <w:pPr>
              <w:suppressAutoHyphens w:val="0"/>
              <w:spacing w:before="40" w:after="40" w:line="220" w:lineRule="exact"/>
              <w:rPr>
                <w:sz w:val="18"/>
                <w:lang w:val="fr-CH"/>
              </w:rPr>
            </w:pPr>
            <w:r w:rsidRPr="0071782F">
              <w:rPr>
                <w:sz w:val="18"/>
                <w:lang w:val="fr-CH"/>
              </w:rPr>
              <w:t>1991</w:t>
            </w:r>
          </w:p>
        </w:tc>
        <w:tc>
          <w:tcPr>
            <w:tcW w:w="900" w:type="dxa"/>
            <w:tcBorders>
              <w:top w:val="single" w:sz="12" w:space="0" w:color="auto"/>
            </w:tcBorders>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414</w:t>
            </w:r>
          </w:p>
        </w:tc>
        <w:tc>
          <w:tcPr>
            <w:tcW w:w="800" w:type="dxa"/>
            <w:tcBorders>
              <w:top w:val="single" w:sz="12" w:space="0" w:color="auto"/>
            </w:tcBorders>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1 121</w:t>
            </w:r>
          </w:p>
        </w:tc>
        <w:tc>
          <w:tcPr>
            <w:tcW w:w="1236" w:type="dxa"/>
            <w:tcBorders>
              <w:top w:val="single" w:sz="12" w:space="0" w:color="auto"/>
            </w:tcBorders>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67</w:t>
            </w:r>
          </w:p>
        </w:tc>
        <w:tc>
          <w:tcPr>
            <w:tcW w:w="964" w:type="dxa"/>
            <w:tcBorders>
              <w:top w:val="single" w:sz="12" w:space="0" w:color="auto"/>
            </w:tcBorders>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382</w:t>
            </w:r>
          </w:p>
        </w:tc>
        <w:tc>
          <w:tcPr>
            <w:tcW w:w="1225" w:type="dxa"/>
            <w:tcBorders>
              <w:top w:val="single" w:sz="12" w:space="0" w:color="auto"/>
            </w:tcBorders>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393</w:t>
            </w:r>
          </w:p>
        </w:tc>
        <w:tc>
          <w:tcPr>
            <w:tcW w:w="775" w:type="dxa"/>
            <w:tcBorders>
              <w:top w:val="single" w:sz="12" w:space="0" w:color="auto"/>
            </w:tcBorders>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X</w:t>
            </w:r>
          </w:p>
        </w:tc>
        <w:tc>
          <w:tcPr>
            <w:tcW w:w="900" w:type="dxa"/>
            <w:tcBorders>
              <w:top w:val="single" w:sz="12" w:space="0" w:color="auto"/>
            </w:tcBorders>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1 025</w:t>
            </w:r>
          </w:p>
        </w:tc>
        <w:tc>
          <w:tcPr>
            <w:tcW w:w="1239" w:type="dxa"/>
            <w:tcBorders>
              <w:top w:val="single" w:sz="12" w:space="0" w:color="auto"/>
            </w:tcBorders>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217</w:t>
            </w:r>
          </w:p>
        </w:tc>
      </w:tr>
      <w:tr w:rsidR="009F7C7F" w:rsidRPr="0071782F">
        <w:tc>
          <w:tcPr>
            <w:tcW w:w="466" w:type="dxa"/>
            <w:shd w:val="clear" w:color="000000" w:fill="auto"/>
            <w:vAlign w:val="bottom"/>
          </w:tcPr>
          <w:p w:rsidR="009F7C7F" w:rsidRPr="0071782F" w:rsidRDefault="009F7C7F" w:rsidP="005B1FE2">
            <w:pPr>
              <w:suppressAutoHyphens w:val="0"/>
              <w:spacing w:before="40" w:after="40" w:line="220" w:lineRule="exact"/>
              <w:rPr>
                <w:sz w:val="18"/>
                <w:lang w:val="fr-CH"/>
              </w:rPr>
            </w:pPr>
            <w:r w:rsidRPr="0071782F">
              <w:rPr>
                <w:sz w:val="18"/>
                <w:lang w:val="fr-CH"/>
              </w:rPr>
              <w:t>1996</w:t>
            </w:r>
          </w:p>
        </w:tc>
        <w:tc>
          <w:tcPr>
            <w:tcW w:w="900"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472</w:t>
            </w:r>
          </w:p>
        </w:tc>
        <w:tc>
          <w:tcPr>
            <w:tcW w:w="800"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1 233</w:t>
            </w:r>
          </w:p>
        </w:tc>
        <w:tc>
          <w:tcPr>
            <w:tcW w:w="1236"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68</w:t>
            </w:r>
          </w:p>
        </w:tc>
        <w:tc>
          <w:tcPr>
            <w:tcW w:w="964"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446</w:t>
            </w:r>
          </w:p>
        </w:tc>
        <w:tc>
          <w:tcPr>
            <w:tcW w:w="1225"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446</w:t>
            </w:r>
          </w:p>
        </w:tc>
        <w:tc>
          <w:tcPr>
            <w:tcW w:w="775"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X</w:t>
            </w:r>
          </w:p>
        </w:tc>
        <w:tc>
          <w:tcPr>
            <w:tcW w:w="900"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1 188</w:t>
            </w:r>
          </w:p>
        </w:tc>
        <w:tc>
          <w:tcPr>
            <w:tcW w:w="1239"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636</w:t>
            </w:r>
          </w:p>
        </w:tc>
      </w:tr>
      <w:tr w:rsidR="009F7C7F" w:rsidRPr="0071782F">
        <w:tc>
          <w:tcPr>
            <w:tcW w:w="466" w:type="dxa"/>
            <w:shd w:val="clear" w:color="000000" w:fill="auto"/>
            <w:vAlign w:val="bottom"/>
          </w:tcPr>
          <w:p w:rsidR="009F7C7F" w:rsidRPr="0071782F" w:rsidRDefault="009F7C7F" w:rsidP="005B1FE2">
            <w:pPr>
              <w:suppressAutoHyphens w:val="0"/>
              <w:spacing w:before="40" w:after="40" w:line="220" w:lineRule="exact"/>
              <w:rPr>
                <w:sz w:val="18"/>
                <w:lang w:val="fr-CH"/>
              </w:rPr>
            </w:pPr>
            <w:r w:rsidRPr="0071782F">
              <w:rPr>
                <w:sz w:val="18"/>
                <w:lang w:val="fr-CH"/>
              </w:rPr>
              <w:t>2001</w:t>
            </w:r>
          </w:p>
        </w:tc>
        <w:tc>
          <w:tcPr>
            <w:tcW w:w="900"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499</w:t>
            </w:r>
          </w:p>
        </w:tc>
        <w:tc>
          <w:tcPr>
            <w:tcW w:w="800"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1 230</w:t>
            </w:r>
          </w:p>
        </w:tc>
        <w:tc>
          <w:tcPr>
            <w:tcW w:w="1236"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116</w:t>
            </w:r>
          </w:p>
        </w:tc>
        <w:tc>
          <w:tcPr>
            <w:tcW w:w="964"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353</w:t>
            </w:r>
          </w:p>
        </w:tc>
        <w:tc>
          <w:tcPr>
            <w:tcW w:w="1225"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474</w:t>
            </w:r>
          </w:p>
        </w:tc>
        <w:tc>
          <w:tcPr>
            <w:tcW w:w="775"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181</w:t>
            </w:r>
          </w:p>
        </w:tc>
        <w:tc>
          <w:tcPr>
            <w:tcW w:w="900"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1 140</w:t>
            </w:r>
          </w:p>
        </w:tc>
        <w:tc>
          <w:tcPr>
            <w:tcW w:w="1239"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661</w:t>
            </w:r>
          </w:p>
        </w:tc>
      </w:tr>
      <w:tr w:rsidR="009F7C7F" w:rsidRPr="0071782F">
        <w:tc>
          <w:tcPr>
            <w:tcW w:w="466" w:type="dxa"/>
            <w:shd w:val="clear" w:color="000000" w:fill="auto"/>
            <w:vAlign w:val="bottom"/>
          </w:tcPr>
          <w:p w:rsidR="009F7C7F" w:rsidRPr="0071782F" w:rsidRDefault="009F7C7F" w:rsidP="005B1FE2">
            <w:pPr>
              <w:suppressAutoHyphens w:val="0"/>
              <w:spacing w:before="40" w:after="40" w:line="220" w:lineRule="exact"/>
              <w:rPr>
                <w:sz w:val="18"/>
                <w:lang w:val="fr-CH"/>
              </w:rPr>
            </w:pPr>
            <w:r w:rsidRPr="0071782F">
              <w:rPr>
                <w:sz w:val="18"/>
                <w:lang w:val="fr-CH"/>
              </w:rPr>
              <w:t>2006</w:t>
            </w:r>
          </w:p>
        </w:tc>
        <w:tc>
          <w:tcPr>
            <w:tcW w:w="900"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980</w:t>
            </w:r>
          </w:p>
        </w:tc>
        <w:tc>
          <w:tcPr>
            <w:tcW w:w="800"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1 495</w:t>
            </w:r>
          </w:p>
        </w:tc>
        <w:tc>
          <w:tcPr>
            <w:tcW w:w="1236"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148</w:t>
            </w:r>
          </w:p>
        </w:tc>
        <w:tc>
          <w:tcPr>
            <w:tcW w:w="964"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163</w:t>
            </w:r>
          </w:p>
        </w:tc>
        <w:tc>
          <w:tcPr>
            <w:tcW w:w="1225"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442</w:t>
            </w:r>
          </w:p>
        </w:tc>
        <w:tc>
          <w:tcPr>
            <w:tcW w:w="775"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227</w:t>
            </w:r>
          </w:p>
        </w:tc>
        <w:tc>
          <w:tcPr>
            <w:tcW w:w="900"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900</w:t>
            </w:r>
          </w:p>
        </w:tc>
        <w:tc>
          <w:tcPr>
            <w:tcW w:w="1239" w:type="dxa"/>
            <w:shd w:val="clear" w:color="000000" w:fill="auto"/>
            <w:vAlign w:val="bottom"/>
          </w:tcPr>
          <w:p w:rsidR="009F7C7F" w:rsidRPr="0071782F" w:rsidRDefault="009F7C7F" w:rsidP="005B1FE2">
            <w:pPr>
              <w:suppressAutoHyphens w:val="0"/>
              <w:spacing w:before="40" w:after="40" w:line="220" w:lineRule="exact"/>
              <w:jc w:val="right"/>
              <w:rPr>
                <w:sz w:val="18"/>
                <w:lang w:val="fr-CH"/>
              </w:rPr>
            </w:pPr>
            <w:r w:rsidRPr="0071782F">
              <w:rPr>
                <w:sz w:val="18"/>
                <w:lang w:val="fr-CH"/>
              </w:rPr>
              <w:t>595</w:t>
            </w:r>
          </w:p>
        </w:tc>
      </w:tr>
    </w:tbl>
    <w:p w:rsidR="009F7C7F" w:rsidRPr="0071782F" w:rsidRDefault="009F7C7F" w:rsidP="00496C06">
      <w:pPr>
        <w:pStyle w:val="SingleTxtG"/>
        <w:spacing w:before="240"/>
        <w:rPr>
          <w:lang w:val="fr-CH"/>
        </w:rPr>
      </w:pPr>
      <w:r w:rsidRPr="0071782F">
        <w:rPr>
          <w:lang w:val="fr-CH"/>
        </w:rPr>
        <w:t>185.</w:t>
      </w:r>
      <w:r w:rsidRPr="0071782F">
        <w:rPr>
          <w:lang w:val="fr-CH"/>
        </w:rPr>
        <w:tab/>
      </w:r>
      <w:r w:rsidR="00FA395F" w:rsidRPr="0071782F">
        <w:rPr>
          <w:lang w:val="fr-CH"/>
        </w:rPr>
        <w:t>Y compris les crèches</w:t>
      </w:r>
      <w:r w:rsidRPr="0071782F">
        <w:rPr>
          <w:lang w:val="fr-CH"/>
        </w:rPr>
        <w:t>.</w:t>
      </w:r>
    </w:p>
    <w:p w:rsidR="009F7C7F" w:rsidRPr="0071782F" w:rsidRDefault="009F7C7F" w:rsidP="0025182F">
      <w:pPr>
        <w:pStyle w:val="SingleTxtG"/>
        <w:spacing w:after="240"/>
        <w:rPr>
          <w:lang w:val="fr-CH"/>
        </w:rPr>
      </w:pPr>
      <w:r w:rsidRPr="0071782F">
        <w:rPr>
          <w:lang w:val="fr-CH"/>
        </w:rPr>
        <w:t>186.</w:t>
      </w:r>
      <w:r w:rsidRPr="0071782F">
        <w:rPr>
          <w:lang w:val="fr-CH"/>
        </w:rPr>
        <w:tab/>
      </w:r>
      <w:r w:rsidR="00FA395F" w:rsidRPr="0071782F">
        <w:rPr>
          <w:lang w:val="fr-CH"/>
        </w:rPr>
        <w:t xml:space="preserve">Y compris les activités </w:t>
      </w:r>
      <w:r w:rsidR="00A83442">
        <w:rPr>
          <w:lang w:val="fr-CH"/>
        </w:rPr>
        <w:t>des unités</w:t>
      </w:r>
      <w:r w:rsidR="00FA395F" w:rsidRPr="0071782F">
        <w:rPr>
          <w:lang w:val="fr-CH"/>
        </w:rPr>
        <w:t xml:space="preserve"> de réadaptation des femmes et des filles victimes de préjudices sociaux </w:t>
      </w:r>
      <w:r w:rsidRPr="0071782F">
        <w:rPr>
          <w:lang w:val="fr-CH"/>
        </w:rPr>
        <w:t>(21</w:t>
      </w:r>
      <w:r w:rsidR="00E83264" w:rsidRPr="0071782F">
        <w:rPr>
          <w:lang w:val="fr-CH"/>
        </w:rPr>
        <w:t> unités</w:t>
      </w:r>
      <w:r w:rsidRPr="0071782F">
        <w:rPr>
          <w:lang w:val="fr-CH"/>
        </w:rPr>
        <w:t>),</w:t>
      </w:r>
      <w:r w:rsidR="00FA395F" w:rsidRPr="0071782F">
        <w:rPr>
          <w:lang w:val="fr-CH"/>
        </w:rPr>
        <w:t xml:space="preserve"> les résidences médicalisées pour filles </w:t>
      </w:r>
      <w:r w:rsidRPr="0071782F">
        <w:rPr>
          <w:lang w:val="fr-CH"/>
        </w:rPr>
        <w:t xml:space="preserve">(28 </w:t>
      </w:r>
      <w:r w:rsidR="00FA395F" w:rsidRPr="0071782F">
        <w:rPr>
          <w:lang w:val="fr-CH"/>
        </w:rPr>
        <w:t>résidences</w:t>
      </w:r>
      <w:r w:rsidRPr="0071782F">
        <w:rPr>
          <w:lang w:val="fr-CH"/>
        </w:rPr>
        <w:t xml:space="preserve">), </w:t>
      </w:r>
      <w:r w:rsidR="00FA395F" w:rsidRPr="0071782F">
        <w:rPr>
          <w:lang w:val="fr-CH"/>
        </w:rPr>
        <w:t xml:space="preserve">le recensement des enfants des rues </w:t>
      </w:r>
      <w:r w:rsidRPr="0071782F">
        <w:rPr>
          <w:lang w:val="fr-CH"/>
        </w:rPr>
        <w:t>(28</w:t>
      </w:r>
      <w:r w:rsidR="00E83264" w:rsidRPr="0071782F">
        <w:rPr>
          <w:lang w:val="fr-CH"/>
        </w:rPr>
        <w:t> unités</w:t>
      </w:r>
      <w:r w:rsidRPr="0071782F">
        <w:rPr>
          <w:lang w:val="fr-CH"/>
        </w:rPr>
        <w:t xml:space="preserve">), </w:t>
      </w:r>
      <w:r w:rsidR="00FA395F" w:rsidRPr="0071782F">
        <w:rPr>
          <w:lang w:val="fr-CH"/>
        </w:rPr>
        <w:t>le plan d’</w:t>
      </w:r>
      <w:r w:rsidRPr="0071782F">
        <w:rPr>
          <w:lang w:val="fr-CH"/>
        </w:rPr>
        <w:t xml:space="preserve">intervention </w:t>
      </w:r>
      <w:r w:rsidR="00FA395F" w:rsidRPr="0071782F">
        <w:rPr>
          <w:lang w:val="fr-CH"/>
        </w:rPr>
        <w:t xml:space="preserve">dans les cas critiques </w:t>
      </w:r>
      <w:r w:rsidRPr="0071782F">
        <w:rPr>
          <w:lang w:val="fr-CH"/>
        </w:rPr>
        <w:t>(58</w:t>
      </w:r>
      <w:r w:rsidR="00E83264" w:rsidRPr="0071782F">
        <w:rPr>
          <w:lang w:val="fr-CH"/>
        </w:rPr>
        <w:t> unités</w:t>
      </w:r>
      <w:r w:rsidRPr="0071782F">
        <w:rPr>
          <w:lang w:val="fr-CH"/>
        </w:rPr>
        <w:t xml:space="preserve">), </w:t>
      </w:r>
      <w:r w:rsidR="00FA395F" w:rsidRPr="0071782F">
        <w:rPr>
          <w:lang w:val="fr-CH"/>
        </w:rPr>
        <w:t xml:space="preserve">le </w:t>
      </w:r>
      <w:r w:rsidRPr="0071782F">
        <w:rPr>
          <w:lang w:val="fr-CH"/>
        </w:rPr>
        <w:t xml:space="preserve">plan </w:t>
      </w:r>
      <w:r w:rsidR="00FA395F" w:rsidRPr="0071782F">
        <w:rPr>
          <w:lang w:val="fr-CH"/>
        </w:rPr>
        <w:t>d’</w:t>
      </w:r>
      <w:r w:rsidRPr="0071782F">
        <w:rPr>
          <w:lang w:val="fr-CH"/>
        </w:rPr>
        <w:t xml:space="preserve">intervention </w:t>
      </w:r>
      <w:r w:rsidR="00FA395F" w:rsidRPr="0071782F">
        <w:rPr>
          <w:lang w:val="fr-CH"/>
        </w:rPr>
        <w:t xml:space="preserve">dans </w:t>
      </w:r>
      <w:r w:rsidR="00B71907" w:rsidRPr="0071782F">
        <w:rPr>
          <w:lang w:val="fr-CH"/>
        </w:rPr>
        <w:t>la famille</w:t>
      </w:r>
      <w:r w:rsidR="00FA395F" w:rsidRPr="0071782F">
        <w:rPr>
          <w:lang w:val="fr-CH"/>
        </w:rPr>
        <w:t xml:space="preserve"> visant à réduire les taux de divorce </w:t>
      </w:r>
      <w:r w:rsidRPr="0071782F">
        <w:rPr>
          <w:lang w:val="fr-CH"/>
        </w:rPr>
        <w:t>(75</w:t>
      </w:r>
      <w:r w:rsidR="00E83264" w:rsidRPr="0071782F">
        <w:rPr>
          <w:lang w:val="fr-CH"/>
        </w:rPr>
        <w:t> unités</w:t>
      </w:r>
      <w:r w:rsidRPr="0071782F">
        <w:rPr>
          <w:lang w:val="fr-CH"/>
        </w:rPr>
        <w:t xml:space="preserve">), </w:t>
      </w:r>
      <w:r w:rsidR="00FA395F" w:rsidRPr="0071782F">
        <w:rPr>
          <w:lang w:val="fr-CH"/>
        </w:rPr>
        <w:t xml:space="preserve">les résidences médicalisées pour enfants </w:t>
      </w:r>
      <w:r w:rsidRPr="0071782F">
        <w:rPr>
          <w:lang w:val="fr-CH"/>
        </w:rPr>
        <w:t xml:space="preserve">(5 </w:t>
      </w:r>
      <w:r w:rsidR="00FA395F" w:rsidRPr="0071782F">
        <w:rPr>
          <w:lang w:val="fr-CH"/>
        </w:rPr>
        <w:t>résidences) et le plan d’assistance téléphonique aux enfants</w:t>
      </w:r>
      <w:r w:rsidRPr="0071782F">
        <w:rPr>
          <w:lang w:val="fr-CH"/>
        </w:rPr>
        <w:t xml:space="preserve"> (12</w:t>
      </w:r>
      <w:r w:rsidR="00E83264" w:rsidRPr="0071782F">
        <w:rPr>
          <w:lang w:val="fr-CH"/>
        </w:rPr>
        <w:t> unités</w:t>
      </w:r>
      <w:r w:rsidRPr="0071782F">
        <w:rPr>
          <w:lang w:val="fr-CH"/>
        </w:rPr>
        <w:t xml:space="preserve">) – </w:t>
      </w:r>
      <w:r w:rsidR="00FA395F" w:rsidRPr="00D50123">
        <w:rPr>
          <w:i/>
          <w:lang w:val="fr-CH"/>
        </w:rPr>
        <w:t>Source</w:t>
      </w:r>
      <w:r w:rsidR="008F7D33" w:rsidRPr="0071782F">
        <w:rPr>
          <w:lang w:val="fr-CH"/>
        </w:rPr>
        <w:t>:</w:t>
      </w:r>
      <w:r w:rsidRPr="0071782F">
        <w:rPr>
          <w:lang w:val="fr-CH"/>
        </w:rPr>
        <w:t xml:space="preserve"> </w:t>
      </w:r>
      <w:r w:rsidR="00FA395F" w:rsidRPr="0071782F">
        <w:rPr>
          <w:lang w:val="fr-CH"/>
        </w:rPr>
        <w:t>Organisme public de protection sociale</w:t>
      </w:r>
      <w:r w:rsidRPr="0071782F">
        <w:rPr>
          <w:lang w:val="fr-CH"/>
        </w:rPr>
        <w:t>.</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1229"/>
        <w:gridCol w:w="1227"/>
        <w:gridCol w:w="1228"/>
        <w:gridCol w:w="1228"/>
        <w:gridCol w:w="1230"/>
        <w:gridCol w:w="1228"/>
      </w:tblGrid>
      <w:tr w:rsidR="009F7C7F" w:rsidRPr="0071782F">
        <w:trPr>
          <w:tblHeader/>
        </w:trPr>
        <w:tc>
          <w:tcPr>
            <w:tcW w:w="1419" w:type="dxa"/>
            <w:vMerge w:val="restart"/>
            <w:tcBorders>
              <w:top w:val="single" w:sz="4" w:space="0" w:color="auto"/>
              <w:bottom w:val="single" w:sz="4" w:space="0" w:color="auto"/>
            </w:tcBorders>
            <w:shd w:val="clear" w:color="000000" w:fill="auto"/>
            <w:vAlign w:val="bottom"/>
          </w:tcPr>
          <w:p w:rsidR="009F7C7F" w:rsidRPr="0071782F" w:rsidRDefault="00FA395F" w:rsidP="000838E6">
            <w:pPr>
              <w:suppressAutoHyphens w:val="0"/>
              <w:spacing w:before="80" w:after="80" w:line="200" w:lineRule="exact"/>
              <w:rPr>
                <w:i/>
                <w:sz w:val="16"/>
                <w:lang w:val="fr-CH"/>
              </w:rPr>
            </w:pPr>
            <w:r w:rsidRPr="0071782F">
              <w:rPr>
                <w:i/>
                <w:sz w:val="16"/>
                <w:lang w:val="fr-CH"/>
              </w:rPr>
              <w:t>Année</w:t>
            </w:r>
          </w:p>
        </w:tc>
        <w:tc>
          <w:tcPr>
            <w:tcW w:w="5677" w:type="dxa"/>
            <w:gridSpan w:val="4"/>
            <w:tcBorders>
              <w:top w:val="single" w:sz="4" w:space="0" w:color="auto"/>
              <w:bottom w:val="single" w:sz="4" w:space="0" w:color="auto"/>
            </w:tcBorders>
            <w:shd w:val="clear" w:color="000000" w:fill="auto"/>
            <w:vAlign w:val="bottom"/>
          </w:tcPr>
          <w:p w:rsidR="009F7C7F" w:rsidRPr="0071782F" w:rsidRDefault="00FA395F" w:rsidP="000838E6">
            <w:pPr>
              <w:suppressAutoHyphens w:val="0"/>
              <w:spacing w:before="80" w:after="80" w:line="200" w:lineRule="exact"/>
              <w:jc w:val="center"/>
              <w:rPr>
                <w:i/>
                <w:sz w:val="16"/>
                <w:lang w:val="fr-CH"/>
              </w:rPr>
            </w:pPr>
            <w:r w:rsidRPr="0071782F">
              <w:rPr>
                <w:i/>
                <w:sz w:val="16"/>
                <w:lang w:val="fr-CH"/>
              </w:rPr>
              <w:t>S</w:t>
            </w:r>
            <w:r w:rsidR="009F7C7F" w:rsidRPr="0071782F">
              <w:rPr>
                <w:i/>
                <w:sz w:val="16"/>
                <w:lang w:val="fr-CH"/>
              </w:rPr>
              <w:t>ervices</w:t>
            </w:r>
            <w:r w:rsidRPr="0071782F">
              <w:rPr>
                <w:i/>
                <w:sz w:val="16"/>
                <w:lang w:val="fr-CH"/>
              </w:rPr>
              <w:t xml:space="preserve"> de prévention</w:t>
            </w:r>
            <w:r w:rsidR="009F7C7F" w:rsidRPr="0071782F">
              <w:rPr>
                <w:i/>
                <w:sz w:val="16"/>
                <w:lang w:val="fr-CH"/>
              </w:rPr>
              <w:t xml:space="preserve">, </w:t>
            </w:r>
            <w:r w:rsidRPr="0071782F">
              <w:rPr>
                <w:i/>
                <w:sz w:val="16"/>
                <w:lang w:val="fr-CH"/>
              </w:rPr>
              <w:t xml:space="preserve">questions culturelles et toxicomanies </w:t>
            </w:r>
          </w:p>
        </w:tc>
        <w:tc>
          <w:tcPr>
            <w:tcW w:w="1419" w:type="dxa"/>
            <w:vMerge w:val="restart"/>
            <w:tcBorders>
              <w:top w:val="single" w:sz="4" w:space="0" w:color="auto"/>
              <w:bottom w:val="single" w:sz="12" w:space="0" w:color="auto"/>
            </w:tcBorders>
            <w:shd w:val="clear" w:color="000000" w:fill="auto"/>
            <w:vAlign w:val="bottom"/>
          </w:tcPr>
          <w:p w:rsidR="009F7C7F" w:rsidRPr="0071782F" w:rsidRDefault="00FA395F" w:rsidP="000838E6">
            <w:pPr>
              <w:suppressAutoHyphens w:val="0"/>
              <w:spacing w:before="80" w:after="80" w:line="200" w:lineRule="exact"/>
              <w:jc w:val="right"/>
              <w:rPr>
                <w:i/>
                <w:sz w:val="16"/>
                <w:lang w:val="fr-CH"/>
              </w:rPr>
            </w:pPr>
            <w:r w:rsidRPr="0071782F">
              <w:rPr>
                <w:i/>
                <w:sz w:val="16"/>
                <w:lang w:val="fr-CH"/>
              </w:rPr>
              <w:t>Autre</w:t>
            </w:r>
            <w:r w:rsidR="009F7C7F" w:rsidRPr="0071782F">
              <w:rPr>
                <w:i/>
                <w:sz w:val="16"/>
                <w:lang w:val="fr-CH"/>
              </w:rPr>
              <w:t>s</w:t>
            </w:r>
          </w:p>
        </w:tc>
      </w:tr>
      <w:tr w:rsidR="009F7C7F" w:rsidRPr="0071782F">
        <w:trPr>
          <w:tblHeader/>
        </w:trPr>
        <w:tc>
          <w:tcPr>
            <w:tcW w:w="1419" w:type="dxa"/>
            <w:vMerge/>
            <w:tcBorders>
              <w:top w:val="single" w:sz="4" w:space="0" w:color="auto"/>
              <w:bottom w:val="single" w:sz="12" w:space="0" w:color="auto"/>
            </w:tcBorders>
            <w:shd w:val="clear" w:color="000000" w:fill="auto"/>
            <w:vAlign w:val="bottom"/>
          </w:tcPr>
          <w:p w:rsidR="009F7C7F" w:rsidRPr="0071782F" w:rsidRDefault="009F7C7F" w:rsidP="000838E6">
            <w:pPr>
              <w:suppressAutoHyphens w:val="0"/>
              <w:spacing w:before="40" w:after="40" w:line="220" w:lineRule="exact"/>
              <w:rPr>
                <w:sz w:val="18"/>
                <w:lang w:val="fr-CH"/>
              </w:rPr>
            </w:pPr>
          </w:p>
        </w:tc>
        <w:tc>
          <w:tcPr>
            <w:tcW w:w="1418" w:type="dxa"/>
            <w:tcBorders>
              <w:top w:val="single" w:sz="4" w:space="0" w:color="auto"/>
              <w:bottom w:val="single" w:sz="12" w:space="0" w:color="auto"/>
            </w:tcBorders>
            <w:shd w:val="clear" w:color="000000" w:fill="auto"/>
            <w:vAlign w:val="bottom"/>
          </w:tcPr>
          <w:p w:rsidR="009F7C7F" w:rsidRPr="0071782F" w:rsidRDefault="009F7C7F" w:rsidP="000838E6">
            <w:pPr>
              <w:suppressAutoHyphens w:val="0"/>
              <w:spacing w:before="80" w:after="80" w:line="200" w:lineRule="exact"/>
              <w:jc w:val="right"/>
              <w:rPr>
                <w:i/>
                <w:sz w:val="16"/>
                <w:szCs w:val="16"/>
                <w:lang w:val="fr-CH"/>
              </w:rPr>
            </w:pPr>
            <w:r w:rsidRPr="0071782F">
              <w:rPr>
                <w:i/>
                <w:sz w:val="16"/>
                <w:szCs w:val="16"/>
                <w:lang w:val="fr-CH"/>
              </w:rPr>
              <w:t>Voi</w:t>
            </w:r>
            <w:r w:rsidR="00FA395F" w:rsidRPr="0071782F">
              <w:rPr>
                <w:i/>
                <w:sz w:val="16"/>
                <w:szCs w:val="16"/>
                <w:lang w:val="fr-CH"/>
              </w:rPr>
              <w:t xml:space="preserve">x du conseiller </w:t>
            </w:r>
          </w:p>
        </w:tc>
        <w:tc>
          <w:tcPr>
            <w:tcW w:w="1419" w:type="dxa"/>
            <w:tcBorders>
              <w:top w:val="single" w:sz="4" w:space="0" w:color="auto"/>
              <w:bottom w:val="single" w:sz="12" w:space="0" w:color="auto"/>
            </w:tcBorders>
            <w:shd w:val="clear" w:color="000000" w:fill="auto"/>
            <w:vAlign w:val="bottom"/>
          </w:tcPr>
          <w:p w:rsidR="009F7C7F" w:rsidRPr="0071782F" w:rsidRDefault="00FA395F" w:rsidP="000838E6">
            <w:pPr>
              <w:suppressAutoHyphens w:val="0"/>
              <w:spacing w:before="80" w:after="80" w:line="200" w:lineRule="exact"/>
              <w:jc w:val="right"/>
              <w:rPr>
                <w:i/>
                <w:sz w:val="16"/>
                <w:szCs w:val="16"/>
                <w:lang w:val="fr-CH"/>
              </w:rPr>
            </w:pPr>
            <w:r w:rsidRPr="0071782F">
              <w:rPr>
                <w:i/>
                <w:sz w:val="16"/>
                <w:szCs w:val="16"/>
                <w:lang w:val="fr-CH"/>
              </w:rPr>
              <w:t xml:space="preserve">Consultation individuelle </w:t>
            </w:r>
          </w:p>
        </w:tc>
        <w:tc>
          <w:tcPr>
            <w:tcW w:w="1419" w:type="dxa"/>
            <w:tcBorders>
              <w:top w:val="single" w:sz="4" w:space="0" w:color="auto"/>
              <w:bottom w:val="single" w:sz="12" w:space="0" w:color="auto"/>
            </w:tcBorders>
            <w:shd w:val="clear" w:color="000000" w:fill="auto"/>
            <w:vAlign w:val="bottom"/>
          </w:tcPr>
          <w:p w:rsidR="009F7C7F" w:rsidRPr="0071782F" w:rsidRDefault="00FA395F" w:rsidP="000838E6">
            <w:pPr>
              <w:suppressAutoHyphens w:val="0"/>
              <w:spacing w:before="80" w:after="80" w:line="200" w:lineRule="exact"/>
              <w:jc w:val="right"/>
              <w:rPr>
                <w:i/>
                <w:sz w:val="16"/>
                <w:szCs w:val="16"/>
                <w:lang w:val="fr-CH"/>
              </w:rPr>
            </w:pPr>
            <w:r w:rsidRPr="0071782F">
              <w:rPr>
                <w:i/>
                <w:sz w:val="16"/>
                <w:szCs w:val="16"/>
                <w:lang w:val="fr-CH"/>
              </w:rPr>
              <w:t>Conseils génétiques</w:t>
            </w:r>
          </w:p>
        </w:tc>
        <w:tc>
          <w:tcPr>
            <w:tcW w:w="1421" w:type="dxa"/>
            <w:tcBorders>
              <w:top w:val="single" w:sz="4" w:space="0" w:color="auto"/>
              <w:bottom w:val="single" w:sz="12" w:space="0" w:color="auto"/>
            </w:tcBorders>
            <w:shd w:val="clear" w:color="000000" w:fill="auto"/>
            <w:vAlign w:val="bottom"/>
          </w:tcPr>
          <w:p w:rsidR="009F7C7F" w:rsidRPr="0071782F" w:rsidRDefault="00FA395F" w:rsidP="000838E6">
            <w:pPr>
              <w:suppressAutoHyphens w:val="0"/>
              <w:spacing w:before="80" w:after="80" w:line="200" w:lineRule="exact"/>
              <w:jc w:val="right"/>
              <w:rPr>
                <w:i/>
                <w:sz w:val="16"/>
                <w:szCs w:val="16"/>
                <w:lang w:val="fr-CH"/>
              </w:rPr>
            </w:pPr>
            <w:r w:rsidRPr="0071782F">
              <w:rPr>
                <w:i/>
                <w:sz w:val="16"/>
                <w:szCs w:val="16"/>
                <w:lang w:val="fr-CH"/>
              </w:rPr>
              <w:t>Désintoxication des toxicomanes</w:t>
            </w:r>
          </w:p>
        </w:tc>
        <w:tc>
          <w:tcPr>
            <w:tcW w:w="1419" w:type="dxa"/>
            <w:vMerge/>
            <w:tcBorders>
              <w:top w:val="single" w:sz="12" w:space="0" w:color="auto"/>
              <w:bottom w:val="single" w:sz="12" w:space="0" w:color="auto"/>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p>
        </w:tc>
      </w:tr>
      <w:tr w:rsidR="009F7C7F" w:rsidRPr="0071782F">
        <w:tc>
          <w:tcPr>
            <w:tcW w:w="1419" w:type="dxa"/>
            <w:tcBorders>
              <w:top w:val="single" w:sz="12" w:space="0" w:color="auto"/>
            </w:tcBorders>
            <w:shd w:val="clear" w:color="000000" w:fill="auto"/>
          </w:tcPr>
          <w:p w:rsidR="009F7C7F" w:rsidRPr="0071782F" w:rsidRDefault="009F7C7F" w:rsidP="000838E6">
            <w:pPr>
              <w:suppressAutoHyphens w:val="0"/>
              <w:spacing w:before="40" w:after="40" w:line="220" w:lineRule="exact"/>
              <w:rPr>
                <w:sz w:val="18"/>
                <w:lang w:val="fr-CH"/>
              </w:rPr>
            </w:pPr>
            <w:r w:rsidRPr="0071782F">
              <w:rPr>
                <w:sz w:val="18"/>
                <w:lang w:val="fr-CH"/>
              </w:rPr>
              <w:t>1991</w:t>
            </w:r>
          </w:p>
        </w:tc>
        <w:tc>
          <w:tcPr>
            <w:tcW w:w="1418" w:type="dxa"/>
            <w:tcBorders>
              <w:top w:val="single" w:sz="12" w:space="0" w:color="auto"/>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X</w:t>
            </w:r>
          </w:p>
        </w:tc>
        <w:tc>
          <w:tcPr>
            <w:tcW w:w="1419" w:type="dxa"/>
            <w:tcBorders>
              <w:top w:val="single" w:sz="12" w:space="0" w:color="auto"/>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X</w:t>
            </w:r>
          </w:p>
        </w:tc>
        <w:tc>
          <w:tcPr>
            <w:tcW w:w="1419" w:type="dxa"/>
            <w:tcBorders>
              <w:top w:val="single" w:sz="12" w:space="0" w:color="auto"/>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X</w:t>
            </w:r>
          </w:p>
        </w:tc>
        <w:tc>
          <w:tcPr>
            <w:tcW w:w="1421" w:type="dxa"/>
            <w:tcBorders>
              <w:top w:val="single" w:sz="12" w:space="0" w:color="auto"/>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X</w:t>
            </w:r>
          </w:p>
        </w:tc>
        <w:tc>
          <w:tcPr>
            <w:tcW w:w="1419" w:type="dxa"/>
            <w:tcBorders>
              <w:top w:val="single" w:sz="12" w:space="0" w:color="auto"/>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1 531</w:t>
            </w:r>
          </w:p>
        </w:tc>
      </w:tr>
      <w:tr w:rsidR="009F7C7F" w:rsidRPr="0071782F">
        <w:tc>
          <w:tcPr>
            <w:tcW w:w="1419" w:type="dxa"/>
            <w:shd w:val="clear" w:color="000000" w:fill="auto"/>
          </w:tcPr>
          <w:p w:rsidR="009F7C7F" w:rsidRPr="0071782F" w:rsidRDefault="009F7C7F" w:rsidP="000838E6">
            <w:pPr>
              <w:suppressAutoHyphens w:val="0"/>
              <w:spacing w:before="40" w:after="40" w:line="220" w:lineRule="exact"/>
              <w:rPr>
                <w:sz w:val="18"/>
                <w:lang w:val="fr-CH"/>
              </w:rPr>
            </w:pPr>
            <w:r w:rsidRPr="0071782F">
              <w:rPr>
                <w:sz w:val="18"/>
                <w:lang w:val="fr-CH"/>
              </w:rPr>
              <w:t>1996</w:t>
            </w:r>
          </w:p>
        </w:tc>
        <w:tc>
          <w:tcPr>
            <w:tcW w:w="1418"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X</w:t>
            </w:r>
          </w:p>
        </w:tc>
        <w:tc>
          <w:tcPr>
            <w:tcW w:w="1419"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X</w:t>
            </w:r>
          </w:p>
        </w:tc>
        <w:tc>
          <w:tcPr>
            <w:tcW w:w="1419"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X</w:t>
            </w:r>
          </w:p>
        </w:tc>
        <w:tc>
          <w:tcPr>
            <w:tcW w:w="1421"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X</w:t>
            </w:r>
          </w:p>
        </w:tc>
        <w:tc>
          <w:tcPr>
            <w:tcW w:w="1419"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1 766</w:t>
            </w:r>
          </w:p>
        </w:tc>
      </w:tr>
      <w:tr w:rsidR="009F7C7F" w:rsidRPr="0071782F">
        <w:tc>
          <w:tcPr>
            <w:tcW w:w="1419" w:type="dxa"/>
            <w:shd w:val="clear" w:color="000000" w:fill="auto"/>
          </w:tcPr>
          <w:p w:rsidR="009F7C7F" w:rsidRPr="0071782F" w:rsidRDefault="009F7C7F" w:rsidP="000838E6">
            <w:pPr>
              <w:suppressAutoHyphens w:val="0"/>
              <w:spacing w:before="40" w:after="40" w:line="220" w:lineRule="exact"/>
              <w:rPr>
                <w:sz w:val="18"/>
                <w:lang w:val="fr-CH"/>
              </w:rPr>
            </w:pPr>
            <w:r w:rsidRPr="0071782F">
              <w:rPr>
                <w:sz w:val="18"/>
                <w:lang w:val="fr-CH"/>
              </w:rPr>
              <w:t>2001</w:t>
            </w:r>
          </w:p>
        </w:tc>
        <w:tc>
          <w:tcPr>
            <w:tcW w:w="1418"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89</w:t>
            </w:r>
          </w:p>
        </w:tc>
        <w:tc>
          <w:tcPr>
            <w:tcW w:w="1419"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103</w:t>
            </w:r>
          </w:p>
        </w:tc>
        <w:tc>
          <w:tcPr>
            <w:tcW w:w="1419"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64</w:t>
            </w:r>
          </w:p>
        </w:tc>
        <w:tc>
          <w:tcPr>
            <w:tcW w:w="1421"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73</w:t>
            </w:r>
          </w:p>
        </w:tc>
        <w:tc>
          <w:tcPr>
            <w:tcW w:w="1419"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1 419</w:t>
            </w:r>
          </w:p>
        </w:tc>
      </w:tr>
      <w:tr w:rsidR="009F7C7F" w:rsidRPr="0071782F">
        <w:tc>
          <w:tcPr>
            <w:tcW w:w="1419" w:type="dxa"/>
            <w:tcBorders>
              <w:bottom w:val="nil"/>
            </w:tcBorders>
            <w:shd w:val="clear" w:color="000000" w:fill="auto"/>
          </w:tcPr>
          <w:p w:rsidR="009F7C7F" w:rsidRPr="0071782F" w:rsidRDefault="009F7C7F" w:rsidP="000838E6">
            <w:pPr>
              <w:suppressAutoHyphens w:val="0"/>
              <w:spacing w:before="40" w:after="40" w:line="220" w:lineRule="exact"/>
              <w:rPr>
                <w:sz w:val="18"/>
                <w:lang w:val="fr-CH"/>
              </w:rPr>
            </w:pPr>
            <w:r w:rsidRPr="0071782F">
              <w:rPr>
                <w:sz w:val="18"/>
                <w:lang w:val="fr-CH"/>
              </w:rPr>
              <w:t>2002</w:t>
            </w:r>
          </w:p>
        </w:tc>
        <w:tc>
          <w:tcPr>
            <w:tcW w:w="1418" w:type="dxa"/>
            <w:tcBorders>
              <w:bottom w:val="nil"/>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126</w:t>
            </w:r>
          </w:p>
        </w:tc>
        <w:tc>
          <w:tcPr>
            <w:tcW w:w="1419" w:type="dxa"/>
            <w:tcBorders>
              <w:bottom w:val="nil"/>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116</w:t>
            </w:r>
          </w:p>
        </w:tc>
        <w:tc>
          <w:tcPr>
            <w:tcW w:w="1419" w:type="dxa"/>
            <w:tcBorders>
              <w:bottom w:val="nil"/>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70</w:t>
            </w:r>
          </w:p>
        </w:tc>
        <w:tc>
          <w:tcPr>
            <w:tcW w:w="1421" w:type="dxa"/>
            <w:tcBorders>
              <w:bottom w:val="nil"/>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79</w:t>
            </w:r>
          </w:p>
        </w:tc>
        <w:tc>
          <w:tcPr>
            <w:tcW w:w="1419" w:type="dxa"/>
            <w:tcBorders>
              <w:bottom w:val="nil"/>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1 385</w:t>
            </w:r>
          </w:p>
        </w:tc>
      </w:tr>
      <w:tr w:rsidR="009F7C7F" w:rsidRPr="0071782F">
        <w:tc>
          <w:tcPr>
            <w:tcW w:w="1419" w:type="dxa"/>
            <w:tcBorders>
              <w:top w:val="nil"/>
              <w:bottom w:val="nil"/>
            </w:tcBorders>
            <w:shd w:val="clear" w:color="000000" w:fill="auto"/>
          </w:tcPr>
          <w:p w:rsidR="009F7C7F" w:rsidRPr="0071782F" w:rsidRDefault="009F7C7F" w:rsidP="000838E6">
            <w:pPr>
              <w:suppressAutoHyphens w:val="0"/>
              <w:spacing w:before="40" w:after="40" w:line="220" w:lineRule="exact"/>
              <w:rPr>
                <w:sz w:val="18"/>
                <w:lang w:val="fr-CH"/>
              </w:rPr>
            </w:pPr>
            <w:r w:rsidRPr="0071782F">
              <w:rPr>
                <w:sz w:val="18"/>
                <w:lang w:val="fr-CH"/>
              </w:rPr>
              <w:t>2003</w:t>
            </w:r>
          </w:p>
        </w:tc>
        <w:tc>
          <w:tcPr>
            <w:tcW w:w="1418" w:type="dxa"/>
            <w:tcBorders>
              <w:top w:val="nil"/>
              <w:bottom w:val="nil"/>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138</w:t>
            </w:r>
          </w:p>
        </w:tc>
        <w:tc>
          <w:tcPr>
            <w:tcW w:w="1419" w:type="dxa"/>
            <w:tcBorders>
              <w:top w:val="nil"/>
              <w:bottom w:val="nil"/>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116</w:t>
            </w:r>
          </w:p>
        </w:tc>
        <w:tc>
          <w:tcPr>
            <w:tcW w:w="1419" w:type="dxa"/>
            <w:tcBorders>
              <w:top w:val="nil"/>
              <w:bottom w:val="nil"/>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60</w:t>
            </w:r>
          </w:p>
        </w:tc>
        <w:tc>
          <w:tcPr>
            <w:tcW w:w="1421" w:type="dxa"/>
            <w:tcBorders>
              <w:top w:val="nil"/>
              <w:bottom w:val="nil"/>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75</w:t>
            </w:r>
          </w:p>
        </w:tc>
        <w:tc>
          <w:tcPr>
            <w:tcW w:w="1419" w:type="dxa"/>
            <w:tcBorders>
              <w:top w:val="nil"/>
              <w:bottom w:val="nil"/>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1 277</w:t>
            </w:r>
          </w:p>
        </w:tc>
      </w:tr>
      <w:tr w:rsidR="009F7C7F" w:rsidRPr="0071782F">
        <w:tc>
          <w:tcPr>
            <w:tcW w:w="1419" w:type="dxa"/>
            <w:tcBorders>
              <w:top w:val="nil"/>
            </w:tcBorders>
            <w:shd w:val="clear" w:color="000000" w:fill="auto"/>
          </w:tcPr>
          <w:p w:rsidR="009F7C7F" w:rsidRPr="0071782F" w:rsidRDefault="009F7C7F" w:rsidP="000838E6">
            <w:pPr>
              <w:suppressAutoHyphens w:val="0"/>
              <w:spacing w:before="40" w:after="40" w:line="220" w:lineRule="exact"/>
              <w:rPr>
                <w:sz w:val="18"/>
                <w:lang w:val="fr-CH"/>
              </w:rPr>
            </w:pPr>
            <w:r w:rsidRPr="0071782F">
              <w:rPr>
                <w:sz w:val="18"/>
                <w:lang w:val="fr-CH"/>
              </w:rPr>
              <w:t>2004</w:t>
            </w:r>
          </w:p>
        </w:tc>
        <w:tc>
          <w:tcPr>
            <w:tcW w:w="1418" w:type="dxa"/>
            <w:tcBorders>
              <w:top w:val="nil"/>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65</w:t>
            </w:r>
          </w:p>
        </w:tc>
        <w:tc>
          <w:tcPr>
            <w:tcW w:w="1419" w:type="dxa"/>
            <w:tcBorders>
              <w:top w:val="nil"/>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99</w:t>
            </w:r>
          </w:p>
        </w:tc>
        <w:tc>
          <w:tcPr>
            <w:tcW w:w="1419" w:type="dxa"/>
            <w:tcBorders>
              <w:top w:val="nil"/>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55</w:t>
            </w:r>
          </w:p>
        </w:tc>
        <w:tc>
          <w:tcPr>
            <w:tcW w:w="1421" w:type="dxa"/>
            <w:tcBorders>
              <w:top w:val="nil"/>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54</w:t>
            </w:r>
          </w:p>
        </w:tc>
        <w:tc>
          <w:tcPr>
            <w:tcW w:w="1419" w:type="dxa"/>
            <w:tcBorders>
              <w:top w:val="nil"/>
            </w:tcBorders>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1 078</w:t>
            </w:r>
          </w:p>
        </w:tc>
      </w:tr>
      <w:tr w:rsidR="009F7C7F" w:rsidRPr="0071782F">
        <w:tc>
          <w:tcPr>
            <w:tcW w:w="1419" w:type="dxa"/>
            <w:shd w:val="clear" w:color="000000" w:fill="auto"/>
          </w:tcPr>
          <w:p w:rsidR="009F7C7F" w:rsidRPr="0071782F" w:rsidRDefault="009F7C7F" w:rsidP="000838E6">
            <w:pPr>
              <w:suppressAutoHyphens w:val="0"/>
              <w:spacing w:before="40" w:after="40" w:line="220" w:lineRule="exact"/>
              <w:rPr>
                <w:sz w:val="18"/>
                <w:lang w:val="fr-CH"/>
              </w:rPr>
            </w:pPr>
            <w:r w:rsidRPr="0071782F">
              <w:rPr>
                <w:sz w:val="18"/>
                <w:lang w:val="fr-CH"/>
              </w:rPr>
              <w:t>2005</w:t>
            </w:r>
          </w:p>
        </w:tc>
        <w:tc>
          <w:tcPr>
            <w:tcW w:w="1418"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44</w:t>
            </w:r>
          </w:p>
        </w:tc>
        <w:tc>
          <w:tcPr>
            <w:tcW w:w="1419"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92</w:t>
            </w:r>
          </w:p>
        </w:tc>
        <w:tc>
          <w:tcPr>
            <w:tcW w:w="1419"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46</w:t>
            </w:r>
          </w:p>
        </w:tc>
        <w:tc>
          <w:tcPr>
            <w:tcW w:w="1421"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50</w:t>
            </w:r>
          </w:p>
        </w:tc>
        <w:tc>
          <w:tcPr>
            <w:tcW w:w="1419"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839</w:t>
            </w:r>
          </w:p>
        </w:tc>
      </w:tr>
      <w:tr w:rsidR="009F7C7F" w:rsidRPr="0071782F">
        <w:tc>
          <w:tcPr>
            <w:tcW w:w="1419" w:type="dxa"/>
            <w:shd w:val="clear" w:color="000000" w:fill="auto"/>
          </w:tcPr>
          <w:p w:rsidR="009F7C7F" w:rsidRPr="0071782F" w:rsidRDefault="009F7C7F" w:rsidP="000838E6">
            <w:pPr>
              <w:suppressAutoHyphens w:val="0"/>
              <w:spacing w:before="40" w:after="40" w:line="220" w:lineRule="exact"/>
              <w:rPr>
                <w:sz w:val="18"/>
                <w:lang w:val="fr-CH"/>
              </w:rPr>
            </w:pPr>
            <w:r w:rsidRPr="0071782F">
              <w:rPr>
                <w:sz w:val="18"/>
                <w:lang w:val="fr-CH"/>
              </w:rPr>
              <w:t>2006</w:t>
            </w:r>
          </w:p>
        </w:tc>
        <w:tc>
          <w:tcPr>
            <w:tcW w:w="1418"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30</w:t>
            </w:r>
          </w:p>
        </w:tc>
        <w:tc>
          <w:tcPr>
            <w:tcW w:w="1419"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81</w:t>
            </w:r>
          </w:p>
        </w:tc>
        <w:tc>
          <w:tcPr>
            <w:tcW w:w="1419"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47</w:t>
            </w:r>
          </w:p>
        </w:tc>
        <w:tc>
          <w:tcPr>
            <w:tcW w:w="1421"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72</w:t>
            </w:r>
          </w:p>
        </w:tc>
        <w:tc>
          <w:tcPr>
            <w:tcW w:w="1419" w:type="dxa"/>
            <w:shd w:val="clear" w:color="000000"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643</w:t>
            </w:r>
          </w:p>
        </w:tc>
      </w:tr>
    </w:tbl>
    <w:p w:rsidR="009F7C7F" w:rsidRPr="0071782F" w:rsidRDefault="009F7C7F" w:rsidP="006D1BAC">
      <w:pPr>
        <w:spacing w:before="120" w:after="120"/>
        <w:rPr>
          <w:lang w:val="fr-CH"/>
        </w:rPr>
      </w:pP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566"/>
        <w:gridCol w:w="1776"/>
        <w:gridCol w:w="1776"/>
        <w:gridCol w:w="1777"/>
        <w:gridCol w:w="1475"/>
      </w:tblGrid>
      <w:tr w:rsidR="009F7C7F" w:rsidRPr="0071782F">
        <w:trPr>
          <w:tblHeader/>
        </w:trPr>
        <w:tc>
          <w:tcPr>
            <w:tcW w:w="566" w:type="dxa"/>
            <w:vMerge w:val="restart"/>
            <w:tcBorders>
              <w:top w:val="single" w:sz="4" w:space="0" w:color="auto"/>
              <w:bottom w:val="single" w:sz="12" w:space="0" w:color="auto"/>
            </w:tcBorders>
            <w:shd w:val="clear" w:color="000000" w:fill="auto"/>
            <w:vAlign w:val="bottom"/>
          </w:tcPr>
          <w:p w:rsidR="009F7C7F" w:rsidRPr="0071782F" w:rsidRDefault="00FA395F" w:rsidP="00543C5A">
            <w:pPr>
              <w:keepNext/>
              <w:suppressAutoHyphens w:val="0"/>
              <w:spacing w:before="80" w:after="80" w:line="200" w:lineRule="exact"/>
              <w:rPr>
                <w:i/>
                <w:sz w:val="16"/>
                <w:lang w:val="fr-CH"/>
              </w:rPr>
            </w:pPr>
            <w:r w:rsidRPr="0071782F">
              <w:rPr>
                <w:i/>
                <w:sz w:val="16"/>
                <w:lang w:val="fr-CH"/>
              </w:rPr>
              <w:t>Année</w:t>
            </w:r>
          </w:p>
        </w:tc>
        <w:tc>
          <w:tcPr>
            <w:tcW w:w="5329" w:type="dxa"/>
            <w:gridSpan w:val="3"/>
            <w:tcBorders>
              <w:top w:val="single" w:sz="4" w:space="0" w:color="auto"/>
              <w:bottom w:val="single" w:sz="4" w:space="0" w:color="auto"/>
            </w:tcBorders>
            <w:shd w:val="clear" w:color="000000" w:fill="auto"/>
            <w:vAlign w:val="bottom"/>
          </w:tcPr>
          <w:p w:rsidR="009F7C7F" w:rsidRPr="0071782F" w:rsidRDefault="00FA395F" w:rsidP="00543C5A">
            <w:pPr>
              <w:keepNext/>
              <w:suppressAutoHyphens w:val="0"/>
              <w:spacing w:before="80" w:after="80" w:line="200" w:lineRule="exact"/>
              <w:jc w:val="center"/>
              <w:rPr>
                <w:i/>
                <w:sz w:val="16"/>
                <w:lang w:val="fr-CH"/>
              </w:rPr>
            </w:pPr>
            <w:r w:rsidRPr="0071782F">
              <w:rPr>
                <w:i/>
                <w:sz w:val="16"/>
                <w:lang w:val="fr-CH"/>
              </w:rPr>
              <w:t>S</w:t>
            </w:r>
            <w:r w:rsidR="009F7C7F" w:rsidRPr="0071782F">
              <w:rPr>
                <w:i/>
                <w:sz w:val="16"/>
                <w:lang w:val="fr-CH"/>
              </w:rPr>
              <w:t>ervices</w:t>
            </w:r>
            <w:r w:rsidRPr="0071782F">
              <w:rPr>
                <w:i/>
                <w:sz w:val="16"/>
                <w:lang w:val="fr-CH"/>
              </w:rPr>
              <w:t xml:space="preserve"> sociaux</w:t>
            </w:r>
          </w:p>
        </w:tc>
        <w:tc>
          <w:tcPr>
            <w:tcW w:w="1475" w:type="dxa"/>
            <w:vMerge w:val="restart"/>
            <w:tcBorders>
              <w:top w:val="single" w:sz="4" w:space="0" w:color="auto"/>
              <w:bottom w:val="single" w:sz="12" w:space="0" w:color="auto"/>
            </w:tcBorders>
            <w:shd w:val="clear" w:color="000000" w:fill="auto"/>
            <w:vAlign w:val="bottom"/>
          </w:tcPr>
          <w:p w:rsidR="009F7C7F" w:rsidRPr="0071782F" w:rsidRDefault="00FA395F" w:rsidP="00543C5A">
            <w:pPr>
              <w:keepNext/>
              <w:suppressAutoHyphens w:val="0"/>
              <w:spacing w:before="80" w:after="80" w:line="200" w:lineRule="exact"/>
              <w:jc w:val="right"/>
              <w:rPr>
                <w:i/>
                <w:sz w:val="16"/>
                <w:lang w:val="fr-CH"/>
              </w:rPr>
            </w:pPr>
            <w:r w:rsidRPr="0071782F">
              <w:rPr>
                <w:i/>
                <w:sz w:val="16"/>
                <w:lang w:val="fr-CH"/>
              </w:rPr>
              <w:t>Services de réadaptation</w:t>
            </w:r>
          </w:p>
        </w:tc>
      </w:tr>
      <w:tr w:rsidR="009F7C7F" w:rsidRPr="0071782F">
        <w:trPr>
          <w:tblHeader/>
        </w:trPr>
        <w:tc>
          <w:tcPr>
            <w:tcW w:w="566" w:type="dxa"/>
            <w:vMerge/>
            <w:tcBorders>
              <w:top w:val="single" w:sz="12" w:space="0" w:color="auto"/>
              <w:bottom w:val="single" w:sz="12" w:space="0" w:color="auto"/>
            </w:tcBorders>
            <w:shd w:val="clear" w:color="000000" w:fill="auto"/>
            <w:vAlign w:val="bottom"/>
          </w:tcPr>
          <w:p w:rsidR="009F7C7F" w:rsidRPr="0071782F" w:rsidRDefault="009F7C7F" w:rsidP="00543C5A">
            <w:pPr>
              <w:keepNext/>
              <w:suppressAutoHyphens w:val="0"/>
              <w:spacing w:before="40" w:after="40" w:line="220" w:lineRule="exact"/>
              <w:rPr>
                <w:sz w:val="18"/>
                <w:lang w:val="fr-CH"/>
              </w:rPr>
            </w:pPr>
          </w:p>
        </w:tc>
        <w:tc>
          <w:tcPr>
            <w:tcW w:w="1776" w:type="dxa"/>
            <w:tcBorders>
              <w:top w:val="single" w:sz="4" w:space="0" w:color="auto"/>
              <w:bottom w:val="single" w:sz="12" w:space="0" w:color="auto"/>
            </w:tcBorders>
            <w:shd w:val="clear" w:color="000000" w:fill="auto"/>
            <w:vAlign w:val="bottom"/>
          </w:tcPr>
          <w:p w:rsidR="009F7C7F" w:rsidRPr="0071782F" w:rsidRDefault="00FA395F" w:rsidP="00543C5A">
            <w:pPr>
              <w:keepNext/>
              <w:suppressAutoHyphens w:val="0"/>
              <w:spacing w:before="80" w:after="80" w:line="200" w:lineRule="exact"/>
              <w:jc w:val="right"/>
              <w:rPr>
                <w:i/>
                <w:sz w:val="16"/>
                <w:szCs w:val="16"/>
                <w:lang w:val="fr-CH"/>
              </w:rPr>
            </w:pPr>
            <w:r w:rsidRPr="0071782F">
              <w:rPr>
                <w:i/>
                <w:sz w:val="16"/>
                <w:szCs w:val="16"/>
                <w:lang w:val="fr-CH"/>
              </w:rPr>
              <w:t xml:space="preserve">Prise en charge </w:t>
            </w:r>
            <w:r w:rsidR="00684B4B">
              <w:rPr>
                <w:i/>
                <w:sz w:val="16"/>
                <w:szCs w:val="16"/>
                <w:lang w:val="fr-CH"/>
              </w:rPr>
              <w:br/>
            </w:r>
            <w:r w:rsidRPr="0071782F">
              <w:rPr>
                <w:i/>
                <w:sz w:val="16"/>
                <w:szCs w:val="16"/>
                <w:lang w:val="fr-CH"/>
              </w:rPr>
              <w:t>d’enfants sans tuteur</w:t>
            </w:r>
          </w:p>
        </w:tc>
        <w:tc>
          <w:tcPr>
            <w:tcW w:w="1776" w:type="dxa"/>
            <w:tcBorders>
              <w:top w:val="single" w:sz="4" w:space="0" w:color="auto"/>
              <w:bottom w:val="single" w:sz="12" w:space="0" w:color="auto"/>
            </w:tcBorders>
            <w:shd w:val="clear" w:color="000000" w:fill="auto"/>
            <w:vAlign w:val="bottom"/>
          </w:tcPr>
          <w:p w:rsidR="009F7C7F" w:rsidRPr="0071782F" w:rsidRDefault="00FA395F" w:rsidP="00543C5A">
            <w:pPr>
              <w:keepNext/>
              <w:suppressAutoHyphens w:val="0"/>
              <w:spacing w:before="80" w:after="80" w:line="200" w:lineRule="exact"/>
              <w:jc w:val="right"/>
              <w:rPr>
                <w:i/>
                <w:sz w:val="16"/>
                <w:szCs w:val="16"/>
                <w:lang w:val="fr-CH"/>
              </w:rPr>
            </w:pPr>
            <w:r w:rsidRPr="0071782F">
              <w:rPr>
                <w:i/>
                <w:sz w:val="16"/>
                <w:szCs w:val="16"/>
                <w:lang w:val="fr-CH"/>
              </w:rPr>
              <w:t>Services de garde</w:t>
            </w:r>
            <w:r w:rsidR="00402EE2" w:rsidRPr="0071782F">
              <w:rPr>
                <w:i/>
                <w:sz w:val="16"/>
                <w:szCs w:val="16"/>
                <w:lang w:val="fr-CH"/>
              </w:rPr>
              <w:t>rie</w:t>
            </w:r>
          </w:p>
        </w:tc>
        <w:tc>
          <w:tcPr>
            <w:tcW w:w="1777" w:type="dxa"/>
            <w:tcBorders>
              <w:top w:val="single" w:sz="4" w:space="0" w:color="auto"/>
              <w:bottom w:val="single" w:sz="12" w:space="0" w:color="auto"/>
            </w:tcBorders>
            <w:shd w:val="clear" w:color="000000" w:fill="auto"/>
            <w:vAlign w:val="bottom"/>
          </w:tcPr>
          <w:p w:rsidR="009F7C7F" w:rsidRPr="0071782F" w:rsidRDefault="00FA395F" w:rsidP="00543C5A">
            <w:pPr>
              <w:keepNext/>
              <w:suppressAutoHyphens w:val="0"/>
              <w:spacing w:before="80" w:after="80" w:line="200" w:lineRule="exact"/>
              <w:jc w:val="right"/>
              <w:rPr>
                <w:i/>
                <w:sz w:val="16"/>
                <w:szCs w:val="16"/>
                <w:lang w:val="fr-CH"/>
              </w:rPr>
            </w:pPr>
            <w:r w:rsidRPr="0071782F">
              <w:rPr>
                <w:i/>
                <w:sz w:val="16"/>
                <w:szCs w:val="16"/>
                <w:lang w:val="fr-CH"/>
              </w:rPr>
              <w:t xml:space="preserve">Appui </w:t>
            </w:r>
            <w:r w:rsidR="00A234E8" w:rsidRPr="0071782F">
              <w:rPr>
                <w:i/>
                <w:sz w:val="16"/>
                <w:szCs w:val="16"/>
                <w:lang w:val="fr-CH"/>
              </w:rPr>
              <w:t>aux familles</w:t>
            </w:r>
            <w:r w:rsidRPr="0071782F">
              <w:rPr>
                <w:i/>
                <w:sz w:val="16"/>
                <w:szCs w:val="16"/>
                <w:lang w:val="fr-CH"/>
              </w:rPr>
              <w:t xml:space="preserve"> </w:t>
            </w:r>
            <w:r w:rsidR="00684B4B">
              <w:rPr>
                <w:i/>
                <w:sz w:val="16"/>
                <w:szCs w:val="16"/>
                <w:lang w:val="fr-CH"/>
              </w:rPr>
              <w:br/>
            </w:r>
            <w:r w:rsidRPr="0071782F">
              <w:rPr>
                <w:i/>
                <w:sz w:val="16"/>
                <w:szCs w:val="16"/>
                <w:lang w:val="fr-CH"/>
              </w:rPr>
              <w:t>pauvres sans tuteur</w:t>
            </w:r>
          </w:p>
        </w:tc>
        <w:tc>
          <w:tcPr>
            <w:tcW w:w="1475" w:type="dxa"/>
            <w:vMerge/>
            <w:tcBorders>
              <w:top w:val="single" w:sz="12" w:space="0" w:color="auto"/>
              <w:bottom w:val="single" w:sz="12" w:space="0" w:color="auto"/>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p>
        </w:tc>
      </w:tr>
      <w:tr w:rsidR="009F7C7F" w:rsidRPr="0071782F">
        <w:tc>
          <w:tcPr>
            <w:tcW w:w="566" w:type="dxa"/>
            <w:tcBorders>
              <w:top w:val="single" w:sz="12" w:space="0" w:color="auto"/>
              <w:bottom w:val="nil"/>
            </w:tcBorders>
            <w:shd w:val="clear" w:color="000000" w:fill="auto"/>
            <w:vAlign w:val="bottom"/>
          </w:tcPr>
          <w:p w:rsidR="009F7C7F" w:rsidRPr="0071782F" w:rsidRDefault="009F7C7F" w:rsidP="00543C5A">
            <w:pPr>
              <w:keepNext/>
              <w:suppressAutoHyphens w:val="0"/>
              <w:spacing w:before="40" w:after="40" w:line="220" w:lineRule="exact"/>
              <w:rPr>
                <w:sz w:val="18"/>
                <w:lang w:val="fr-CH"/>
              </w:rPr>
            </w:pPr>
            <w:r w:rsidRPr="0071782F">
              <w:rPr>
                <w:sz w:val="18"/>
                <w:lang w:val="fr-CH"/>
              </w:rPr>
              <w:t>2001</w:t>
            </w:r>
          </w:p>
        </w:tc>
        <w:tc>
          <w:tcPr>
            <w:tcW w:w="1776" w:type="dxa"/>
            <w:tcBorders>
              <w:top w:val="single" w:sz="12" w:space="0" w:color="auto"/>
              <w:bottom w:val="nil"/>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2 937</w:t>
            </w:r>
          </w:p>
        </w:tc>
        <w:tc>
          <w:tcPr>
            <w:tcW w:w="1776" w:type="dxa"/>
            <w:tcBorders>
              <w:top w:val="single" w:sz="12" w:space="0" w:color="auto"/>
              <w:bottom w:val="nil"/>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154 528</w:t>
            </w:r>
          </w:p>
        </w:tc>
        <w:tc>
          <w:tcPr>
            <w:tcW w:w="1777" w:type="dxa"/>
            <w:tcBorders>
              <w:top w:val="single" w:sz="12" w:space="0" w:color="auto"/>
              <w:bottom w:val="nil"/>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35 822</w:t>
            </w:r>
          </w:p>
        </w:tc>
        <w:tc>
          <w:tcPr>
            <w:tcW w:w="1475" w:type="dxa"/>
            <w:tcBorders>
              <w:top w:val="single" w:sz="12" w:space="0" w:color="auto"/>
              <w:bottom w:val="nil"/>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32 501</w:t>
            </w:r>
          </w:p>
        </w:tc>
      </w:tr>
      <w:tr w:rsidR="009F7C7F" w:rsidRPr="0071782F">
        <w:tc>
          <w:tcPr>
            <w:tcW w:w="566" w:type="dxa"/>
            <w:tcBorders>
              <w:top w:val="nil"/>
              <w:bottom w:val="nil"/>
            </w:tcBorders>
            <w:shd w:val="clear" w:color="000000" w:fill="auto"/>
            <w:vAlign w:val="bottom"/>
          </w:tcPr>
          <w:p w:rsidR="009F7C7F" w:rsidRPr="0071782F" w:rsidRDefault="009F7C7F" w:rsidP="00543C5A">
            <w:pPr>
              <w:keepNext/>
              <w:suppressAutoHyphens w:val="0"/>
              <w:spacing w:before="40" w:after="40" w:line="220" w:lineRule="exact"/>
              <w:rPr>
                <w:sz w:val="18"/>
                <w:lang w:val="fr-CH"/>
              </w:rPr>
            </w:pPr>
            <w:r w:rsidRPr="0071782F">
              <w:rPr>
                <w:sz w:val="18"/>
                <w:lang w:val="fr-CH"/>
              </w:rPr>
              <w:t>2002</w:t>
            </w:r>
          </w:p>
        </w:tc>
        <w:tc>
          <w:tcPr>
            <w:tcW w:w="1776" w:type="dxa"/>
            <w:tcBorders>
              <w:top w:val="nil"/>
              <w:bottom w:val="nil"/>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4 243</w:t>
            </w:r>
          </w:p>
        </w:tc>
        <w:tc>
          <w:tcPr>
            <w:tcW w:w="1776" w:type="dxa"/>
            <w:tcBorders>
              <w:top w:val="nil"/>
              <w:bottom w:val="nil"/>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141 581</w:t>
            </w:r>
          </w:p>
        </w:tc>
        <w:tc>
          <w:tcPr>
            <w:tcW w:w="1777" w:type="dxa"/>
            <w:tcBorders>
              <w:top w:val="nil"/>
              <w:bottom w:val="nil"/>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51 862</w:t>
            </w:r>
          </w:p>
        </w:tc>
        <w:tc>
          <w:tcPr>
            <w:tcW w:w="1475" w:type="dxa"/>
            <w:tcBorders>
              <w:top w:val="nil"/>
              <w:bottom w:val="nil"/>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30 315</w:t>
            </w:r>
          </w:p>
        </w:tc>
      </w:tr>
      <w:tr w:rsidR="009F7C7F" w:rsidRPr="0071782F">
        <w:tc>
          <w:tcPr>
            <w:tcW w:w="566" w:type="dxa"/>
            <w:tcBorders>
              <w:top w:val="nil"/>
              <w:bottom w:val="nil"/>
            </w:tcBorders>
            <w:shd w:val="clear" w:color="000000" w:fill="auto"/>
            <w:vAlign w:val="bottom"/>
          </w:tcPr>
          <w:p w:rsidR="009F7C7F" w:rsidRPr="0071782F" w:rsidRDefault="009F7C7F" w:rsidP="00543C5A">
            <w:pPr>
              <w:keepNext/>
              <w:suppressAutoHyphens w:val="0"/>
              <w:spacing w:before="40" w:after="40" w:line="220" w:lineRule="exact"/>
              <w:rPr>
                <w:sz w:val="18"/>
                <w:lang w:val="fr-CH"/>
              </w:rPr>
            </w:pPr>
            <w:r w:rsidRPr="0071782F">
              <w:rPr>
                <w:sz w:val="18"/>
                <w:lang w:val="fr-CH"/>
              </w:rPr>
              <w:t>2003</w:t>
            </w:r>
          </w:p>
        </w:tc>
        <w:tc>
          <w:tcPr>
            <w:tcW w:w="1776" w:type="dxa"/>
            <w:tcBorders>
              <w:top w:val="nil"/>
              <w:bottom w:val="nil"/>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3 855</w:t>
            </w:r>
          </w:p>
        </w:tc>
        <w:tc>
          <w:tcPr>
            <w:tcW w:w="1776" w:type="dxa"/>
            <w:tcBorders>
              <w:top w:val="nil"/>
              <w:bottom w:val="nil"/>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232 820 (1)</w:t>
            </w:r>
          </w:p>
        </w:tc>
        <w:tc>
          <w:tcPr>
            <w:tcW w:w="1777" w:type="dxa"/>
            <w:tcBorders>
              <w:top w:val="nil"/>
              <w:bottom w:val="nil"/>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60 906</w:t>
            </w:r>
          </w:p>
        </w:tc>
        <w:tc>
          <w:tcPr>
            <w:tcW w:w="1475" w:type="dxa"/>
            <w:tcBorders>
              <w:top w:val="nil"/>
              <w:bottom w:val="nil"/>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38 375</w:t>
            </w:r>
          </w:p>
        </w:tc>
      </w:tr>
      <w:tr w:rsidR="009F7C7F" w:rsidRPr="0071782F">
        <w:tc>
          <w:tcPr>
            <w:tcW w:w="566" w:type="dxa"/>
            <w:tcBorders>
              <w:top w:val="nil"/>
            </w:tcBorders>
            <w:shd w:val="clear" w:color="000000" w:fill="auto"/>
            <w:vAlign w:val="bottom"/>
          </w:tcPr>
          <w:p w:rsidR="009F7C7F" w:rsidRPr="0071782F" w:rsidRDefault="009F7C7F" w:rsidP="00543C5A">
            <w:pPr>
              <w:keepNext/>
              <w:suppressAutoHyphens w:val="0"/>
              <w:spacing w:before="40" w:after="40" w:line="220" w:lineRule="exact"/>
              <w:rPr>
                <w:sz w:val="18"/>
                <w:lang w:val="fr-CH"/>
              </w:rPr>
            </w:pPr>
            <w:r w:rsidRPr="0071782F">
              <w:rPr>
                <w:sz w:val="18"/>
                <w:lang w:val="fr-CH"/>
              </w:rPr>
              <w:t>2004</w:t>
            </w:r>
          </w:p>
        </w:tc>
        <w:tc>
          <w:tcPr>
            <w:tcW w:w="1776" w:type="dxa"/>
            <w:tcBorders>
              <w:top w:val="nil"/>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9 976</w:t>
            </w:r>
          </w:p>
        </w:tc>
        <w:tc>
          <w:tcPr>
            <w:tcW w:w="1776" w:type="dxa"/>
            <w:tcBorders>
              <w:top w:val="nil"/>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265 622</w:t>
            </w:r>
          </w:p>
        </w:tc>
        <w:tc>
          <w:tcPr>
            <w:tcW w:w="1777" w:type="dxa"/>
            <w:tcBorders>
              <w:top w:val="nil"/>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58 610</w:t>
            </w:r>
          </w:p>
        </w:tc>
        <w:tc>
          <w:tcPr>
            <w:tcW w:w="1475" w:type="dxa"/>
            <w:tcBorders>
              <w:top w:val="nil"/>
            </w:tcBorders>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33 945</w:t>
            </w:r>
          </w:p>
        </w:tc>
      </w:tr>
      <w:tr w:rsidR="009F7C7F" w:rsidRPr="0071782F">
        <w:tc>
          <w:tcPr>
            <w:tcW w:w="566" w:type="dxa"/>
            <w:shd w:val="clear" w:color="000000" w:fill="auto"/>
            <w:vAlign w:val="bottom"/>
          </w:tcPr>
          <w:p w:rsidR="009F7C7F" w:rsidRPr="0071782F" w:rsidRDefault="009F7C7F" w:rsidP="00543C5A">
            <w:pPr>
              <w:keepNext/>
              <w:suppressAutoHyphens w:val="0"/>
              <w:spacing w:before="40" w:after="40" w:line="220" w:lineRule="exact"/>
              <w:rPr>
                <w:sz w:val="18"/>
                <w:lang w:val="fr-CH"/>
              </w:rPr>
            </w:pPr>
            <w:r w:rsidRPr="0071782F">
              <w:rPr>
                <w:sz w:val="18"/>
                <w:lang w:val="fr-CH"/>
              </w:rPr>
              <w:t>2005</w:t>
            </w:r>
          </w:p>
        </w:tc>
        <w:tc>
          <w:tcPr>
            <w:tcW w:w="1776" w:type="dxa"/>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12 295</w:t>
            </w:r>
          </w:p>
        </w:tc>
        <w:tc>
          <w:tcPr>
            <w:tcW w:w="1776" w:type="dxa"/>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336 828</w:t>
            </w:r>
          </w:p>
        </w:tc>
        <w:tc>
          <w:tcPr>
            <w:tcW w:w="1777" w:type="dxa"/>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78 105</w:t>
            </w:r>
          </w:p>
        </w:tc>
        <w:tc>
          <w:tcPr>
            <w:tcW w:w="1475" w:type="dxa"/>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55 116</w:t>
            </w:r>
          </w:p>
        </w:tc>
      </w:tr>
      <w:tr w:rsidR="009F7C7F" w:rsidRPr="0071782F">
        <w:tc>
          <w:tcPr>
            <w:tcW w:w="566" w:type="dxa"/>
            <w:shd w:val="clear" w:color="000000" w:fill="auto"/>
            <w:vAlign w:val="bottom"/>
          </w:tcPr>
          <w:p w:rsidR="009F7C7F" w:rsidRPr="0071782F" w:rsidRDefault="009F7C7F" w:rsidP="00543C5A">
            <w:pPr>
              <w:keepNext/>
              <w:suppressAutoHyphens w:val="0"/>
              <w:spacing w:before="40" w:after="40" w:line="220" w:lineRule="exact"/>
              <w:rPr>
                <w:sz w:val="18"/>
                <w:lang w:val="fr-CH"/>
              </w:rPr>
            </w:pPr>
            <w:r w:rsidRPr="0071782F">
              <w:rPr>
                <w:sz w:val="18"/>
                <w:lang w:val="fr-CH"/>
              </w:rPr>
              <w:t>2006</w:t>
            </w:r>
          </w:p>
        </w:tc>
        <w:tc>
          <w:tcPr>
            <w:tcW w:w="1776" w:type="dxa"/>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5 606</w:t>
            </w:r>
          </w:p>
        </w:tc>
        <w:tc>
          <w:tcPr>
            <w:tcW w:w="1776" w:type="dxa"/>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543 695</w:t>
            </w:r>
          </w:p>
        </w:tc>
        <w:tc>
          <w:tcPr>
            <w:tcW w:w="1777" w:type="dxa"/>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54 774</w:t>
            </w:r>
          </w:p>
        </w:tc>
        <w:tc>
          <w:tcPr>
            <w:tcW w:w="1475" w:type="dxa"/>
            <w:shd w:val="clear" w:color="000000" w:fill="auto"/>
            <w:vAlign w:val="bottom"/>
          </w:tcPr>
          <w:p w:rsidR="009F7C7F" w:rsidRPr="0071782F" w:rsidRDefault="009F7C7F" w:rsidP="00543C5A">
            <w:pPr>
              <w:keepNext/>
              <w:suppressAutoHyphens w:val="0"/>
              <w:spacing w:before="40" w:after="40" w:line="220" w:lineRule="exact"/>
              <w:jc w:val="right"/>
              <w:rPr>
                <w:sz w:val="18"/>
                <w:lang w:val="fr-CH"/>
              </w:rPr>
            </w:pPr>
            <w:r w:rsidRPr="0071782F">
              <w:rPr>
                <w:sz w:val="18"/>
                <w:lang w:val="fr-CH"/>
              </w:rPr>
              <w:t>73 020</w:t>
            </w:r>
          </w:p>
        </w:tc>
      </w:tr>
    </w:tbl>
    <w:p w:rsidR="009F7C7F" w:rsidRPr="0071782F" w:rsidRDefault="00FA395F" w:rsidP="00DE2153">
      <w:pPr>
        <w:pStyle w:val="H23G"/>
        <w:rPr>
          <w:lang w:val="fr-CH"/>
        </w:rPr>
      </w:pPr>
      <w:r w:rsidRPr="0071782F">
        <w:rPr>
          <w:lang w:val="fr-CH"/>
        </w:rPr>
        <w:tab/>
      </w:r>
      <w:r w:rsidRPr="0071782F">
        <w:rPr>
          <w:lang w:val="fr-CH"/>
        </w:rPr>
        <w:tab/>
        <w:t>Activités</w:t>
      </w:r>
      <w:r w:rsidR="009F7C7F" w:rsidRPr="0071782F">
        <w:rPr>
          <w:lang w:val="fr-CH"/>
        </w:rPr>
        <w:t xml:space="preserve"> </w:t>
      </w:r>
      <w:r w:rsidRPr="0071782F">
        <w:rPr>
          <w:lang w:val="fr-CH"/>
        </w:rPr>
        <w:t xml:space="preserve">d’appui </w:t>
      </w:r>
      <w:r w:rsidR="00A234E8" w:rsidRPr="0071782F">
        <w:rPr>
          <w:lang w:val="fr-CH"/>
        </w:rPr>
        <w:t>aux familles</w:t>
      </w:r>
      <w:r w:rsidRPr="0071782F">
        <w:rPr>
          <w:lang w:val="fr-CH"/>
        </w:rPr>
        <w:t xml:space="preserve"> couvertes par le Comité de secours de l’Imam Khomeini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8"/>
        <w:gridCol w:w="1089"/>
        <w:gridCol w:w="933"/>
        <w:gridCol w:w="1089"/>
        <w:gridCol w:w="933"/>
        <w:gridCol w:w="1089"/>
        <w:gridCol w:w="899"/>
      </w:tblGrid>
      <w:tr w:rsidR="009F7C7F" w:rsidRPr="0071782F">
        <w:trPr>
          <w:tblHeader/>
        </w:trPr>
        <w:tc>
          <w:tcPr>
            <w:tcW w:w="1547" w:type="dxa"/>
            <w:tcBorders>
              <w:top w:val="single" w:sz="4" w:space="0" w:color="auto"/>
              <w:bottom w:val="single" w:sz="12" w:space="0" w:color="auto"/>
            </w:tcBorders>
            <w:shd w:val="clear" w:color="auto" w:fill="auto"/>
            <w:vAlign w:val="bottom"/>
          </w:tcPr>
          <w:p w:rsidR="009F7C7F" w:rsidRPr="0071782F" w:rsidRDefault="00FA395F" w:rsidP="000838E6">
            <w:pPr>
              <w:suppressAutoHyphens w:val="0"/>
              <w:spacing w:before="80" w:after="80" w:line="200" w:lineRule="exact"/>
              <w:rPr>
                <w:i/>
                <w:sz w:val="16"/>
                <w:lang w:val="fr-CH"/>
              </w:rPr>
            </w:pPr>
            <w:r w:rsidRPr="0071782F">
              <w:rPr>
                <w:i/>
                <w:sz w:val="16"/>
                <w:lang w:val="fr-CH"/>
              </w:rPr>
              <w:t>Année</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suppressAutoHyphens w:val="0"/>
              <w:spacing w:before="80" w:after="80" w:line="200" w:lineRule="exact"/>
              <w:jc w:val="right"/>
              <w:rPr>
                <w:i/>
                <w:sz w:val="16"/>
                <w:lang w:val="fr-CH"/>
              </w:rPr>
            </w:pPr>
            <w:r w:rsidRPr="0071782F">
              <w:rPr>
                <w:i/>
                <w:sz w:val="16"/>
                <w:lang w:val="fr-CH"/>
              </w:rPr>
              <w:t>1987</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suppressAutoHyphens w:val="0"/>
              <w:spacing w:before="80" w:after="80" w:line="200" w:lineRule="exact"/>
              <w:jc w:val="right"/>
              <w:rPr>
                <w:i/>
                <w:sz w:val="16"/>
                <w:lang w:val="fr-CH"/>
              </w:rPr>
            </w:pPr>
            <w:r w:rsidRPr="0071782F">
              <w:rPr>
                <w:i/>
                <w:sz w:val="16"/>
                <w:lang w:val="fr-CH"/>
              </w:rPr>
              <w:t>1997</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suppressAutoHyphens w:val="0"/>
              <w:spacing w:before="80" w:after="80" w:line="200" w:lineRule="exact"/>
              <w:jc w:val="right"/>
              <w:rPr>
                <w:i/>
                <w:sz w:val="16"/>
                <w:lang w:val="fr-CH"/>
              </w:rPr>
            </w:pPr>
            <w:r w:rsidRPr="0071782F">
              <w:rPr>
                <w:i/>
                <w:sz w:val="16"/>
                <w:lang w:val="fr-CH"/>
              </w:rPr>
              <w:t>2003</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suppressAutoHyphens w:val="0"/>
              <w:spacing w:before="80" w:after="80" w:line="200" w:lineRule="exact"/>
              <w:jc w:val="right"/>
              <w:rPr>
                <w:i/>
                <w:sz w:val="16"/>
                <w:lang w:val="fr-CH"/>
              </w:rPr>
            </w:pPr>
            <w:r w:rsidRPr="0071782F">
              <w:rPr>
                <w:i/>
                <w:sz w:val="16"/>
                <w:lang w:val="fr-CH"/>
              </w:rPr>
              <w:t>2004</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suppressAutoHyphens w:val="0"/>
              <w:spacing w:before="80" w:after="80" w:line="200" w:lineRule="exact"/>
              <w:jc w:val="right"/>
              <w:rPr>
                <w:i/>
                <w:sz w:val="16"/>
                <w:lang w:val="fr-CH"/>
              </w:rPr>
            </w:pPr>
            <w:r w:rsidRPr="0071782F">
              <w:rPr>
                <w:i/>
                <w:sz w:val="16"/>
                <w:lang w:val="fr-CH"/>
              </w:rPr>
              <w:t>2005</w:t>
            </w:r>
          </w:p>
        </w:tc>
        <w:tc>
          <w:tcPr>
            <w:tcW w:w="1038" w:type="dxa"/>
            <w:tcBorders>
              <w:top w:val="single" w:sz="4" w:space="0" w:color="auto"/>
              <w:bottom w:val="single" w:sz="12" w:space="0" w:color="auto"/>
            </w:tcBorders>
            <w:shd w:val="clear" w:color="auto" w:fill="auto"/>
            <w:vAlign w:val="bottom"/>
          </w:tcPr>
          <w:p w:rsidR="009F7C7F" w:rsidRPr="0071782F" w:rsidRDefault="009F7C7F" w:rsidP="000838E6">
            <w:pPr>
              <w:suppressAutoHyphens w:val="0"/>
              <w:spacing w:before="80" w:after="80" w:line="200" w:lineRule="exact"/>
              <w:jc w:val="right"/>
              <w:rPr>
                <w:i/>
                <w:sz w:val="16"/>
                <w:lang w:val="fr-CH"/>
              </w:rPr>
            </w:pPr>
            <w:r w:rsidRPr="0071782F">
              <w:rPr>
                <w:i/>
                <w:sz w:val="16"/>
                <w:lang w:val="fr-CH"/>
              </w:rPr>
              <w:t>2006</w:t>
            </w:r>
          </w:p>
        </w:tc>
      </w:tr>
      <w:tr w:rsidR="009F7C7F" w:rsidRPr="0071782F">
        <w:tc>
          <w:tcPr>
            <w:tcW w:w="1547" w:type="dxa"/>
            <w:tcBorders>
              <w:top w:val="single" w:sz="12" w:space="0" w:color="auto"/>
            </w:tcBorders>
            <w:shd w:val="clear" w:color="auto" w:fill="auto"/>
            <w:vAlign w:val="bottom"/>
          </w:tcPr>
          <w:p w:rsidR="009F7C7F" w:rsidRPr="0071782F" w:rsidRDefault="00FA395F" w:rsidP="000838E6">
            <w:pPr>
              <w:suppressAutoHyphens w:val="0"/>
              <w:spacing w:before="40" w:after="40" w:line="220" w:lineRule="exact"/>
              <w:rPr>
                <w:sz w:val="18"/>
                <w:lang w:val="fr-CH"/>
              </w:rPr>
            </w:pPr>
            <w:r w:rsidRPr="0071782F">
              <w:rPr>
                <w:sz w:val="18"/>
                <w:lang w:val="fr-CH"/>
              </w:rPr>
              <w:t xml:space="preserve">Hommes et garçons </w:t>
            </w:r>
          </w:p>
        </w:tc>
        <w:tc>
          <w:tcPr>
            <w:tcW w:w="1258" w:type="dxa"/>
            <w:tcBorders>
              <w:top w:val="single" w:sz="12" w:space="0" w:color="auto"/>
            </w:tcBorders>
            <w:shd w:val="clear" w:color="auto"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1 116 170</w:t>
            </w:r>
          </w:p>
        </w:tc>
        <w:tc>
          <w:tcPr>
            <w:tcW w:w="1078" w:type="dxa"/>
            <w:tcBorders>
              <w:top w:val="single" w:sz="12" w:space="0" w:color="auto"/>
            </w:tcBorders>
            <w:shd w:val="clear" w:color="auto"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1 468 591</w:t>
            </w:r>
          </w:p>
        </w:tc>
        <w:tc>
          <w:tcPr>
            <w:tcW w:w="1258" w:type="dxa"/>
            <w:tcBorders>
              <w:top w:val="single" w:sz="12" w:space="0" w:color="auto"/>
            </w:tcBorders>
            <w:shd w:val="clear" w:color="auto"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1 524 303</w:t>
            </w:r>
          </w:p>
        </w:tc>
        <w:tc>
          <w:tcPr>
            <w:tcW w:w="1078" w:type="dxa"/>
            <w:tcBorders>
              <w:top w:val="single" w:sz="12" w:space="0" w:color="auto"/>
            </w:tcBorders>
            <w:shd w:val="clear" w:color="auto"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1 475 357</w:t>
            </w:r>
          </w:p>
        </w:tc>
        <w:tc>
          <w:tcPr>
            <w:tcW w:w="1258" w:type="dxa"/>
            <w:tcBorders>
              <w:top w:val="single" w:sz="12" w:space="0" w:color="auto"/>
            </w:tcBorders>
            <w:shd w:val="clear" w:color="auto"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1 450 955</w:t>
            </w:r>
          </w:p>
        </w:tc>
        <w:tc>
          <w:tcPr>
            <w:tcW w:w="1038" w:type="dxa"/>
            <w:tcBorders>
              <w:top w:val="single" w:sz="12" w:space="0" w:color="auto"/>
            </w:tcBorders>
            <w:shd w:val="clear" w:color="auto"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1 454 106</w:t>
            </w:r>
          </w:p>
        </w:tc>
      </w:tr>
      <w:tr w:rsidR="009F7C7F" w:rsidRPr="0071782F">
        <w:tc>
          <w:tcPr>
            <w:tcW w:w="1547" w:type="dxa"/>
            <w:tcBorders>
              <w:bottom w:val="single" w:sz="4" w:space="0" w:color="auto"/>
            </w:tcBorders>
            <w:shd w:val="clear" w:color="auto" w:fill="auto"/>
            <w:vAlign w:val="bottom"/>
          </w:tcPr>
          <w:p w:rsidR="009F7C7F" w:rsidRPr="0071782F" w:rsidRDefault="00FA395F" w:rsidP="000838E6">
            <w:pPr>
              <w:suppressAutoHyphens w:val="0"/>
              <w:spacing w:before="40" w:after="40" w:line="220" w:lineRule="exact"/>
              <w:rPr>
                <w:sz w:val="18"/>
                <w:lang w:val="fr-CH"/>
              </w:rPr>
            </w:pPr>
            <w:r w:rsidRPr="0071782F">
              <w:rPr>
                <w:sz w:val="18"/>
                <w:lang w:val="fr-CH"/>
              </w:rPr>
              <w:t>Femmes et filles</w:t>
            </w:r>
          </w:p>
        </w:tc>
        <w:tc>
          <w:tcPr>
            <w:tcW w:w="1258" w:type="dxa"/>
            <w:tcBorders>
              <w:bottom w:val="single" w:sz="4" w:space="0" w:color="auto"/>
            </w:tcBorders>
            <w:shd w:val="clear" w:color="auto"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1 360 238</w:t>
            </w:r>
          </w:p>
        </w:tc>
        <w:tc>
          <w:tcPr>
            <w:tcW w:w="1078" w:type="dxa"/>
            <w:tcBorders>
              <w:bottom w:val="single" w:sz="4" w:space="0" w:color="auto"/>
            </w:tcBorders>
            <w:shd w:val="clear" w:color="auto"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2 064 942</w:t>
            </w:r>
          </w:p>
        </w:tc>
        <w:tc>
          <w:tcPr>
            <w:tcW w:w="1258" w:type="dxa"/>
            <w:tcBorders>
              <w:bottom w:val="single" w:sz="4" w:space="0" w:color="auto"/>
            </w:tcBorders>
            <w:shd w:val="clear" w:color="auto"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2 531 754</w:t>
            </w:r>
          </w:p>
        </w:tc>
        <w:tc>
          <w:tcPr>
            <w:tcW w:w="1078" w:type="dxa"/>
            <w:tcBorders>
              <w:bottom w:val="single" w:sz="4" w:space="0" w:color="auto"/>
            </w:tcBorders>
            <w:shd w:val="clear" w:color="auto"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2 558 217</w:t>
            </w:r>
          </w:p>
        </w:tc>
        <w:tc>
          <w:tcPr>
            <w:tcW w:w="1258" w:type="dxa"/>
            <w:tcBorders>
              <w:bottom w:val="single" w:sz="4" w:space="0" w:color="auto"/>
            </w:tcBorders>
            <w:shd w:val="clear" w:color="auto"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2 660 015</w:t>
            </w:r>
          </w:p>
        </w:tc>
        <w:tc>
          <w:tcPr>
            <w:tcW w:w="1038" w:type="dxa"/>
            <w:tcBorders>
              <w:bottom w:val="single" w:sz="4" w:space="0" w:color="auto"/>
            </w:tcBorders>
            <w:shd w:val="clear" w:color="auto" w:fill="auto"/>
            <w:vAlign w:val="bottom"/>
          </w:tcPr>
          <w:p w:rsidR="009F7C7F" w:rsidRPr="0071782F" w:rsidRDefault="009F7C7F" w:rsidP="000838E6">
            <w:pPr>
              <w:suppressAutoHyphens w:val="0"/>
              <w:spacing w:before="40" w:after="40" w:line="220" w:lineRule="exact"/>
              <w:jc w:val="right"/>
              <w:rPr>
                <w:sz w:val="18"/>
                <w:lang w:val="fr-CH"/>
              </w:rPr>
            </w:pPr>
            <w:r w:rsidRPr="0071782F">
              <w:rPr>
                <w:sz w:val="18"/>
                <w:lang w:val="fr-CH"/>
              </w:rPr>
              <w:t>2 696 394</w:t>
            </w:r>
          </w:p>
        </w:tc>
      </w:tr>
      <w:tr w:rsidR="009F7C7F" w:rsidRPr="0071782F">
        <w:tc>
          <w:tcPr>
            <w:tcW w:w="1547" w:type="dxa"/>
            <w:tcBorders>
              <w:top w:val="single" w:sz="4" w:space="0" w:color="auto"/>
              <w:bottom w:val="single" w:sz="12" w:space="0" w:color="auto"/>
            </w:tcBorders>
            <w:shd w:val="clear" w:color="auto" w:fill="auto"/>
            <w:vAlign w:val="bottom"/>
          </w:tcPr>
          <w:p w:rsidR="009F7C7F" w:rsidRPr="0071782F" w:rsidRDefault="009F7C7F" w:rsidP="000838E6">
            <w:pPr>
              <w:suppressAutoHyphens w:val="0"/>
              <w:spacing w:before="80" w:after="80" w:line="220" w:lineRule="exact"/>
              <w:ind w:left="283"/>
              <w:rPr>
                <w:b/>
                <w:sz w:val="18"/>
                <w:lang w:val="fr-CH"/>
              </w:rPr>
            </w:pPr>
            <w:r w:rsidRPr="0071782F">
              <w:rPr>
                <w:b/>
                <w:sz w:val="18"/>
                <w:lang w:val="fr-CH"/>
              </w:rPr>
              <w:t>Total</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suppressAutoHyphens w:val="0"/>
              <w:spacing w:before="80" w:after="80" w:line="220" w:lineRule="exact"/>
              <w:jc w:val="right"/>
              <w:rPr>
                <w:b/>
                <w:sz w:val="18"/>
                <w:lang w:val="fr-CH"/>
              </w:rPr>
            </w:pPr>
            <w:r w:rsidRPr="0071782F">
              <w:rPr>
                <w:b/>
                <w:sz w:val="18"/>
                <w:lang w:val="fr-CH"/>
              </w:rPr>
              <w:t>2 476 408</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suppressAutoHyphens w:val="0"/>
              <w:spacing w:before="80" w:after="80" w:line="220" w:lineRule="exact"/>
              <w:jc w:val="right"/>
              <w:rPr>
                <w:b/>
                <w:sz w:val="18"/>
                <w:lang w:val="fr-CH"/>
              </w:rPr>
            </w:pPr>
            <w:r w:rsidRPr="0071782F">
              <w:rPr>
                <w:b/>
                <w:sz w:val="18"/>
                <w:lang w:val="fr-CH"/>
              </w:rPr>
              <w:t>3 533 533</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suppressAutoHyphens w:val="0"/>
              <w:spacing w:before="80" w:after="80" w:line="220" w:lineRule="exact"/>
              <w:jc w:val="right"/>
              <w:rPr>
                <w:b/>
                <w:sz w:val="18"/>
                <w:lang w:val="fr-CH"/>
              </w:rPr>
            </w:pPr>
            <w:r w:rsidRPr="0071782F">
              <w:rPr>
                <w:b/>
                <w:sz w:val="18"/>
                <w:lang w:val="fr-CH"/>
              </w:rPr>
              <w:t>4 056 057</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suppressAutoHyphens w:val="0"/>
              <w:spacing w:before="80" w:after="80" w:line="220" w:lineRule="exact"/>
              <w:jc w:val="right"/>
              <w:rPr>
                <w:b/>
                <w:sz w:val="18"/>
                <w:lang w:val="fr-CH"/>
              </w:rPr>
            </w:pPr>
            <w:r w:rsidRPr="0071782F">
              <w:rPr>
                <w:b/>
                <w:sz w:val="18"/>
                <w:lang w:val="fr-CH"/>
              </w:rPr>
              <w:t>4 033 574</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suppressAutoHyphens w:val="0"/>
              <w:spacing w:before="80" w:after="80" w:line="220" w:lineRule="exact"/>
              <w:jc w:val="right"/>
              <w:rPr>
                <w:b/>
                <w:sz w:val="18"/>
                <w:lang w:val="fr-CH"/>
              </w:rPr>
            </w:pPr>
            <w:r w:rsidRPr="0071782F">
              <w:rPr>
                <w:b/>
                <w:sz w:val="18"/>
                <w:lang w:val="fr-CH"/>
              </w:rPr>
              <w:t>4 110 970</w:t>
            </w:r>
          </w:p>
        </w:tc>
        <w:tc>
          <w:tcPr>
            <w:tcW w:w="1038" w:type="dxa"/>
            <w:tcBorders>
              <w:top w:val="single" w:sz="4" w:space="0" w:color="auto"/>
              <w:bottom w:val="single" w:sz="12" w:space="0" w:color="auto"/>
            </w:tcBorders>
            <w:shd w:val="clear" w:color="auto" w:fill="auto"/>
            <w:vAlign w:val="bottom"/>
          </w:tcPr>
          <w:p w:rsidR="009F7C7F" w:rsidRPr="0071782F" w:rsidRDefault="009F7C7F" w:rsidP="000838E6">
            <w:pPr>
              <w:suppressAutoHyphens w:val="0"/>
              <w:spacing w:before="80" w:after="80" w:line="220" w:lineRule="exact"/>
              <w:jc w:val="right"/>
              <w:rPr>
                <w:b/>
                <w:sz w:val="18"/>
                <w:lang w:val="fr-CH"/>
              </w:rPr>
            </w:pPr>
            <w:r w:rsidRPr="0071782F">
              <w:rPr>
                <w:b/>
                <w:sz w:val="18"/>
                <w:lang w:val="fr-CH"/>
              </w:rPr>
              <w:t>4 150 500</w:t>
            </w:r>
          </w:p>
        </w:tc>
      </w:tr>
    </w:tbl>
    <w:p w:rsidR="009F7C7F" w:rsidRPr="0071782F" w:rsidRDefault="009F7C7F" w:rsidP="006D1BAC">
      <w:pPr>
        <w:pStyle w:val="SingleTxtG"/>
        <w:spacing w:before="240" w:after="0"/>
        <w:rPr>
          <w:lang w:val="fr-CH"/>
        </w:rPr>
      </w:pPr>
      <w:r w:rsidRPr="0071782F">
        <w:rPr>
          <w:lang w:val="fr-CH"/>
        </w:rPr>
        <w:t>187.</w:t>
      </w:r>
      <w:r w:rsidRPr="0071782F">
        <w:rPr>
          <w:lang w:val="fr-CH"/>
        </w:rPr>
        <w:tab/>
      </w:r>
      <w:r w:rsidR="009C50C4" w:rsidRPr="0071782F">
        <w:rPr>
          <w:lang w:val="fr-CH"/>
        </w:rPr>
        <w:t xml:space="preserve">Sur 1 645 </w:t>
      </w:r>
      <w:r w:rsidRPr="0071782F">
        <w:rPr>
          <w:lang w:val="fr-CH"/>
        </w:rPr>
        <w:t>940</w:t>
      </w:r>
      <w:r w:rsidR="007F37CE" w:rsidRPr="0071782F">
        <w:rPr>
          <w:lang w:val="fr-CH"/>
        </w:rPr>
        <w:t> famille</w:t>
      </w:r>
      <w:r w:rsidRPr="0071782F">
        <w:rPr>
          <w:lang w:val="fr-CH"/>
        </w:rPr>
        <w:t xml:space="preserve">s </w:t>
      </w:r>
      <w:r w:rsidR="00402EE2" w:rsidRPr="0071782F">
        <w:rPr>
          <w:lang w:val="fr-CH"/>
        </w:rPr>
        <w:t>bénéficiaire</w:t>
      </w:r>
      <w:r w:rsidR="009C50C4" w:rsidRPr="0071782F">
        <w:rPr>
          <w:lang w:val="fr-CH"/>
        </w:rPr>
        <w:t xml:space="preserve">s (soit </w:t>
      </w:r>
      <w:r w:rsidRPr="0071782F">
        <w:rPr>
          <w:lang w:val="fr-CH"/>
        </w:rPr>
        <w:t>4</w:t>
      </w:r>
      <w:r w:rsidR="009C50C4" w:rsidRPr="0071782F">
        <w:rPr>
          <w:lang w:val="fr-CH"/>
        </w:rPr>
        <w:t> </w:t>
      </w:r>
      <w:r w:rsidRPr="0071782F">
        <w:rPr>
          <w:lang w:val="fr-CH"/>
        </w:rPr>
        <w:t>150</w:t>
      </w:r>
      <w:r w:rsidR="009C50C4" w:rsidRPr="0071782F">
        <w:rPr>
          <w:lang w:val="fr-CH"/>
        </w:rPr>
        <w:t xml:space="preserve"> </w:t>
      </w:r>
      <w:r w:rsidRPr="0071782F">
        <w:rPr>
          <w:lang w:val="fr-CH"/>
        </w:rPr>
        <w:t>500</w:t>
      </w:r>
      <w:r w:rsidR="00097CDB" w:rsidRPr="0071782F">
        <w:rPr>
          <w:lang w:val="fr-CH"/>
        </w:rPr>
        <w:t> personnes</w:t>
      </w:r>
      <w:r w:rsidR="009C50C4" w:rsidRPr="0071782F">
        <w:rPr>
          <w:lang w:val="fr-CH"/>
        </w:rPr>
        <w:t>)</w:t>
      </w:r>
      <w:r w:rsidRPr="0071782F">
        <w:rPr>
          <w:lang w:val="fr-CH"/>
        </w:rPr>
        <w:t>, 841</w:t>
      </w:r>
      <w:r w:rsidR="00684B4B">
        <w:rPr>
          <w:lang w:val="fr-CH"/>
        </w:rPr>
        <w:t> </w:t>
      </w:r>
      <w:r w:rsidRPr="0071782F">
        <w:rPr>
          <w:lang w:val="fr-CH"/>
        </w:rPr>
        <w:t>639</w:t>
      </w:r>
      <w:r w:rsidR="007F37CE" w:rsidRPr="0071782F">
        <w:rPr>
          <w:lang w:val="fr-CH"/>
        </w:rPr>
        <w:t> famille</w:t>
      </w:r>
      <w:r w:rsidRPr="0071782F">
        <w:rPr>
          <w:lang w:val="fr-CH"/>
        </w:rPr>
        <w:t>s (51</w:t>
      </w:r>
      <w:r w:rsidR="009C50C4" w:rsidRPr="0071782F">
        <w:rPr>
          <w:lang w:val="fr-CH"/>
        </w:rPr>
        <w:t>,</w:t>
      </w:r>
      <w:r w:rsidRPr="0071782F">
        <w:rPr>
          <w:lang w:val="fr-CH"/>
        </w:rPr>
        <w:t>1</w:t>
      </w:r>
      <w:r w:rsidR="007E5125" w:rsidRPr="0071782F">
        <w:rPr>
          <w:lang w:val="fr-CH"/>
        </w:rPr>
        <w:t>%</w:t>
      </w:r>
      <w:r w:rsidRPr="0071782F">
        <w:rPr>
          <w:lang w:val="fr-CH"/>
        </w:rPr>
        <w:t xml:space="preserve">) </w:t>
      </w:r>
      <w:r w:rsidR="009C50C4" w:rsidRPr="0071782F">
        <w:rPr>
          <w:lang w:val="fr-CH"/>
        </w:rPr>
        <w:t xml:space="preserve">(soit 1 525 </w:t>
      </w:r>
      <w:r w:rsidRPr="0071782F">
        <w:rPr>
          <w:lang w:val="fr-CH"/>
        </w:rPr>
        <w:t>314</w:t>
      </w:r>
      <w:r w:rsidR="00097CDB" w:rsidRPr="0071782F">
        <w:rPr>
          <w:lang w:val="fr-CH"/>
        </w:rPr>
        <w:t> personnes</w:t>
      </w:r>
      <w:r w:rsidR="009C50C4" w:rsidRPr="0071782F">
        <w:rPr>
          <w:lang w:val="fr-CH"/>
        </w:rPr>
        <w:t>)</w:t>
      </w:r>
      <w:r w:rsidRPr="0071782F">
        <w:rPr>
          <w:lang w:val="fr-CH"/>
        </w:rPr>
        <w:t xml:space="preserve"> (38</w:t>
      </w:r>
      <w:r w:rsidR="009C50C4" w:rsidRPr="0071782F">
        <w:rPr>
          <w:lang w:val="fr-CH"/>
        </w:rPr>
        <w:t>,</w:t>
      </w:r>
      <w:r w:rsidRPr="0071782F">
        <w:rPr>
          <w:lang w:val="fr-CH"/>
        </w:rPr>
        <w:t>8</w:t>
      </w:r>
      <w:r w:rsidR="007E5125" w:rsidRPr="0071782F">
        <w:rPr>
          <w:lang w:val="fr-CH"/>
        </w:rPr>
        <w:t>%</w:t>
      </w:r>
      <w:r w:rsidRPr="0071782F">
        <w:rPr>
          <w:lang w:val="fr-CH"/>
        </w:rPr>
        <w:t xml:space="preserve">) </w:t>
      </w:r>
      <w:r w:rsidR="009C50C4" w:rsidRPr="0071782F">
        <w:rPr>
          <w:lang w:val="fr-CH"/>
        </w:rPr>
        <w:t>sont dirigées par une femme</w:t>
      </w:r>
      <w:r w:rsidRPr="0071782F">
        <w:rPr>
          <w:lang w:val="fr-CH"/>
        </w:rPr>
        <w:t>.</w:t>
      </w:r>
    </w:p>
    <w:p w:rsidR="009F7C7F" w:rsidRPr="0071782F" w:rsidRDefault="009F7C7F" w:rsidP="000838E6">
      <w:pPr>
        <w:pStyle w:val="H23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92511D" w:rsidRPr="0071782F">
        <w:rPr>
          <w:lang w:val="fr-CH"/>
        </w:rPr>
        <w:t>de famille</w:t>
      </w:r>
      <w:r w:rsidR="009C50C4" w:rsidRPr="0071782F">
        <w:rPr>
          <w:lang w:val="fr-CH"/>
        </w:rPr>
        <w:t xml:space="preserve">s couvertes par le Comité de secours de l’Imam Khomeini, selon le sexe du chef </w:t>
      </w:r>
      <w:r w:rsidR="0092511D" w:rsidRPr="0071782F">
        <w:rPr>
          <w:lang w:val="fr-CH"/>
        </w:rPr>
        <w:t>de famille</w:t>
      </w:r>
      <w:r w:rsidR="00D36718">
        <w:rPr>
          <w:lang w:val="fr-CH"/>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8"/>
        <w:gridCol w:w="1089"/>
        <w:gridCol w:w="933"/>
        <w:gridCol w:w="1089"/>
        <w:gridCol w:w="933"/>
        <w:gridCol w:w="1089"/>
        <w:gridCol w:w="899"/>
      </w:tblGrid>
      <w:tr w:rsidR="009F7C7F" w:rsidRPr="0071782F">
        <w:trPr>
          <w:tblHeader/>
        </w:trPr>
        <w:tc>
          <w:tcPr>
            <w:tcW w:w="1547" w:type="dxa"/>
            <w:tcBorders>
              <w:top w:val="single" w:sz="4" w:space="0" w:color="auto"/>
              <w:bottom w:val="single" w:sz="12" w:space="0" w:color="auto"/>
            </w:tcBorders>
            <w:shd w:val="clear" w:color="auto" w:fill="auto"/>
            <w:vAlign w:val="bottom"/>
          </w:tcPr>
          <w:p w:rsidR="009F7C7F" w:rsidRPr="0071782F" w:rsidRDefault="009C50C4" w:rsidP="000838E6">
            <w:pPr>
              <w:keepNext/>
              <w:keepLines/>
              <w:suppressAutoHyphens w:val="0"/>
              <w:spacing w:before="80" w:after="80" w:line="200" w:lineRule="exact"/>
              <w:rPr>
                <w:i/>
                <w:sz w:val="16"/>
                <w:lang w:val="fr-CH"/>
              </w:rPr>
            </w:pPr>
            <w:r w:rsidRPr="0071782F">
              <w:rPr>
                <w:i/>
                <w:sz w:val="16"/>
                <w:lang w:val="fr-CH"/>
              </w:rPr>
              <w:t>Année</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keepLines/>
              <w:suppressAutoHyphens w:val="0"/>
              <w:spacing w:before="80" w:after="80" w:line="200" w:lineRule="exact"/>
              <w:jc w:val="right"/>
              <w:rPr>
                <w:i/>
                <w:sz w:val="16"/>
                <w:lang w:val="fr-CH"/>
              </w:rPr>
            </w:pPr>
            <w:r w:rsidRPr="0071782F">
              <w:rPr>
                <w:i/>
                <w:sz w:val="16"/>
                <w:lang w:val="fr-CH"/>
              </w:rPr>
              <w:t>1987</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keepNext/>
              <w:keepLines/>
              <w:suppressAutoHyphens w:val="0"/>
              <w:spacing w:before="80" w:after="80" w:line="200" w:lineRule="exact"/>
              <w:jc w:val="right"/>
              <w:rPr>
                <w:i/>
                <w:sz w:val="16"/>
                <w:lang w:val="fr-CH"/>
              </w:rPr>
            </w:pPr>
            <w:r w:rsidRPr="0071782F">
              <w:rPr>
                <w:i/>
                <w:sz w:val="16"/>
                <w:lang w:val="fr-CH"/>
              </w:rPr>
              <w:t>1997</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keepLines/>
              <w:suppressAutoHyphens w:val="0"/>
              <w:spacing w:before="80" w:after="80" w:line="200" w:lineRule="exact"/>
              <w:jc w:val="right"/>
              <w:rPr>
                <w:i/>
                <w:sz w:val="16"/>
                <w:lang w:val="fr-CH"/>
              </w:rPr>
            </w:pPr>
            <w:r w:rsidRPr="0071782F">
              <w:rPr>
                <w:i/>
                <w:sz w:val="16"/>
                <w:lang w:val="fr-CH"/>
              </w:rPr>
              <w:t>2003</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keepNext/>
              <w:keepLines/>
              <w:suppressAutoHyphens w:val="0"/>
              <w:spacing w:before="80" w:after="80" w:line="200" w:lineRule="exact"/>
              <w:jc w:val="right"/>
              <w:rPr>
                <w:i/>
                <w:sz w:val="16"/>
                <w:lang w:val="fr-CH"/>
              </w:rPr>
            </w:pPr>
            <w:r w:rsidRPr="0071782F">
              <w:rPr>
                <w:i/>
                <w:sz w:val="16"/>
                <w:lang w:val="fr-CH"/>
              </w:rPr>
              <w:t>2004</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keepLines/>
              <w:suppressAutoHyphens w:val="0"/>
              <w:spacing w:before="80" w:after="80" w:line="200" w:lineRule="exact"/>
              <w:jc w:val="right"/>
              <w:rPr>
                <w:i/>
                <w:sz w:val="16"/>
                <w:lang w:val="fr-CH"/>
              </w:rPr>
            </w:pPr>
            <w:r w:rsidRPr="0071782F">
              <w:rPr>
                <w:i/>
                <w:sz w:val="16"/>
                <w:lang w:val="fr-CH"/>
              </w:rPr>
              <w:t>2005</w:t>
            </w:r>
          </w:p>
        </w:tc>
        <w:tc>
          <w:tcPr>
            <w:tcW w:w="1038" w:type="dxa"/>
            <w:tcBorders>
              <w:top w:val="single" w:sz="4" w:space="0" w:color="auto"/>
              <w:bottom w:val="single" w:sz="12" w:space="0" w:color="auto"/>
            </w:tcBorders>
            <w:shd w:val="clear" w:color="auto" w:fill="auto"/>
            <w:vAlign w:val="bottom"/>
          </w:tcPr>
          <w:p w:rsidR="009F7C7F" w:rsidRPr="0071782F" w:rsidRDefault="009F7C7F" w:rsidP="000838E6">
            <w:pPr>
              <w:keepNext/>
              <w:keepLines/>
              <w:suppressAutoHyphens w:val="0"/>
              <w:spacing w:before="80" w:after="80" w:line="200" w:lineRule="exact"/>
              <w:jc w:val="right"/>
              <w:rPr>
                <w:i/>
                <w:sz w:val="16"/>
                <w:lang w:val="fr-CH"/>
              </w:rPr>
            </w:pPr>
            <w:r w:rsidRPr="0071782F">
              <w:rPr>
                <w:i/>
                <w:sz w:val="16"/>
                <w:lang w:val="fr-CH"/>
              </w:rPr>
              <w:t>2006</w:t>
            </w:r>
          </w:p>
        </w:tc>
      </w:tr>
      <w:tr w:rsidR="009F7C7F" w:rsidRPr="0071782F">
        <w:tc>
          <w:tcPr>
            <w:tcW w:w="1547" w:type="dxa"/>
            <w:tcBorders>
              <w:top w:val="single" w:sz="12" w:space="0" w:color="auto"/>
            </w:tcBorders>
            <w:shd w:val="clear" w:color="auto" w:fill="auto"/>
            <w:vAlign w:val="bottom"/>
          </w:tcPr>
          <w:p w:rsidR="009F7C7F" w:rsidRPr="0071782F" w:rsidRDefault="009C50C4" w:rsidP="000838E6">
            <w:pPr>
              <w:keepNext/>
              <w:suppressAutoHyphens w:val="0"/>
              <w:spacing w:before="40" w:after="40" w:line="220" w:lineRule="exact"/>
              <w:rPr>
                <w:sz w:val="18"/>
                <w:lang w:val="fr-CH"/>
              </w:rPr>
            </w:pPr>
            <w:r w:rsidRPr="0071782F">
              <w:rPr>
                <w:sz w:val="18"/>
                <w:lang w:val="fr-CH"/>
              </w:rPr>
              <w:t>Hommes</w:t>
            </w:r>
          </w:p>
        </w:tc>
        <w:tc>
          <w:tcPr>
            <w:tcW w:w="125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325 036</w:t>
            </w:r>
          </w:p>
        </w:tc>
        <w:tc>
          <w:tcPr>
            <w:tcW w:w="107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634 545</w:t>
            </w:r>
          </w:p>
        </w:tc>
        <w:tc>
          <w:tcPr>
            <w:tcW w:w="125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716 323</w:t>
            </w:r>
          </w:p>
        </w:tc>
        <w:tc>
          <w:tcPr>
            <w:tcW w:w="107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677 241</w:t>
            </w:r>
          </w:p>
        </w:tc>
        <w:tc>
          <w:tcPr>
            <w:tcW w:w="125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786 085</w:t>
            </w:r>
          </w:p>
        </w:tc>
        <w:tc>
          <w:tcPr>
            <w:tcW w:w="103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80 401</w:t>
            </w:r>
          </w:p>
        </w:tc>
      </w:tr>
      <w:tr w:rsidR="009F7C7F" w:rsidRPr="0071782F">
        <w:tc>
          <w:tcPr>
            <w:tcW w:w="1547" w:type="dxa"/>
            <w:tcBorders>
              <w:bottom w:val="single" w:sz="4" w:space="0" w:color="auto"/>
            </w:tcBorders>
            <w:shd w:val="clear" w:color="auto" w:fill="auto"/>
            <w:vAlign w:val="bottom"/>
          </w:tcPr>
          <w:p w:rsidR="009F7C7F" w:rsidRPr="0071782F" w:rsidRDefault="009C50C4" w:rsidP="000838E6">
            <w:pPr>
              <w:keepNext/>
              <w:suppressAutoHyphens w:val="0"/>
              <w:spacing w:before="40" w:after="40" w:line="220" w:lineRule="exact"/>
              <w:rPr>
                <w:sz w:val="18"/>
                <w:lang w:val="fr-CH"/>
              </w:rPr>
            </w:pPr>
            <w:r w:rsidRPr="0071782F">
              <w:rPr>
                <w:sz w:val="18"/>
                <w:lang w:val="fr-CH"/>
              </w:rPr>
              <w:t xml:space="preserve">Femmes </w:t>
            </w:r>
          </w:p>
        </w:tc>
        <w:tc>
          <w:tcPr>
            <w:tcW w:w="125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503 021</w:t>
            </w:r>
          </w:p>
        </w:tc>
        <w:tc>
          <w:tcPr>
            <w:tcW w:w="107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571 134</w:t>
            </w:r>
          </w:p>
        </w:tc>
        <w:tc>
          <w:tcPr>
            <w:tcW w:w="125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776 500</w:t>
            </w:r>
          </w:p>
        </w:tc>
        <w:tc>
          <w:tcPr>
            <w:tcW w:w="107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831 637</w:t>
            </w:r>
          </w:p>
        </w:tc>
        <w:tc>
          <w:tcPr>
            <w:tcW w:w="125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803 277</w:t>
            </w:r>
          </w:p>
        </w:tc>
        <w:tc>
          <w:tcPr>
            <w:tcW w:w="103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841 639</w:t>
            </w:r>
          </w:p>
        </w:tc>
      </w:tr>
      <w:tr w:rsidR="009F7C7F" w:rsidRPr="0071782F">
        <w:tc>
          <w:tcPr>
            <w:tcW w:w="1547"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ind w:left="284"/>
              <w:rPr>
                <w:b/>
                <w:sz w:val="18"/>
                <w:lang w:val="fr-CH"/>
              </w:rPr>
            </w:pPr>
            <w:r w:rsidRPr="0071782F">
              <w:rPr>
                <w:b/>
                <w:sz w:val="18"/>
                <w:lang w:val="fr-CH"/>
              </w:rPr>
              <w:t>Total</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828 057</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1 205 679</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1 492 823</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1 518 878</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1 589 362</w:t>
            </w:r>
          </w:p>
        </w:tc>
        <w:tc>
          <w:tcPr>
            <w:tcW w:w="103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1 645 940</w:t>
            </w:r>
          </w:p>
        </w:tc>
      </w:tr>
    </w:tbl>
    <w:p w:rsidR="009F7C7F" w:rsidRPr="0071782F" w:rsidRDefault="009F7C7F" w:rsidP="000838E6">
      <w:pPr>
        <w:pStyle w:val="SingleTxtG"/>
        <w:keepNext/>
        <w:spacing w:before="240"/>
        <w:rPr>
          <w:lang w:val="fr-CH"/>
        </w:rPr>
      </w:pPr>
      <w:r w:rsidRPr="0071782F">
        <w:rPr>
          <w:lang w:val="fr-CH"/>
        </w:rPr>
        <w:t>188.</w:t>
      </w:r>
      <w:r w:rsidRPr="0071782F">
        <w:rPr>
          <w:lang w:val="fr-CH"/>
        </w:rPr>
        <w:tab/>
      </w:r>
      <w:r w:rsidR="009C50C4" w:rsidRPr="0071782F">
        <w:rPr>
          <w:lang w:val="fr-CH"/>
        </w:rPr>
        <w:t xml:space="preserve">Sur les </w:t>
      </w:r>
      <w:r w:rsidRPr="0071782F">
        <w:rPr>
          <w:lang w:val="fr-CH"/>
        </w:rPr>
        <w:t>841</w:t>
      </w:r>
      <w:r w:rsidR="009C50C4" w:rsidRPr="0071782F">
        <w:rPr>
          <w:lang w:val="fr-CH"/>
        </w:rPr>
        <w:t xml:space="preserve"> </w:t>
      </w:r>
      <w:r w:rsidRPr="0071782F">
        <w:rPr>
          <w:lang w:val="fr-CH"/>
        </w:rPr>
        <w:t>639</w:t>
      </w:r>
      <w:r w:rsidR="007F37CE" w:rsidRPr="0071782F">
        <w:rPr>
          <w:lang w:val="fr-CH"/>
        </w:rPr>
        <w:t> famille</w:t>
      </w:r>
      <w:r w:rsidRPr="0071782F">
        <w:rPr>
          <w:lang w:val="fr-CH"/>
        </w:rPr>
        <w:t xml:space="preserve">s </w:t>
      </w:r>
      <w:r w:rsidR="009C50C4" w:rsidRPr="0071782F">
        <w:rPr>
          <w:lang w:val="fr-CH"/>
        </w:rPr>
        <w:t xml:space="preserve">(soit 1 525 </w:t>
      </w:r>
      <w:r w:rsidRPr="0071782F">
        <w:rPr>
          <w:lang w:val="fr-CH"/>
        </w:rPr>
        <w:t>314</w:t>
      </w:r>
      <w:r w:rsidR="00097CDB" w:rsidRPr="0071782F">
        <w:rPr>
          <w:lang w:val="fr-CH"/>
        </w:rPr>
        <w:t> personnes</w:t>
      </w:r>
      <w:r w:rsidR="009C50C4" w:rsidRPr="0071782F">
        <w:rPr>
          <w:lang w:val="fr-CH"/>
        </w:rPr>
        <w:t>) qui sont dirigées par une femme,</w:t>
      </w:r>
      <w:r w:rsidRPr="0071782F">
        <w:rPr>
          <w:lang w:val="fr-CH"/>
        </w:rPr>
        <w:t xml:space="preserve"> </w:t>
      </w:r>
    </w:p>
    <w:p w:rsidR="009F7C7F" w:rsidRPr="0071782F" w:rsidRDefault="009F7C7F" w:rsidP="00496C06">
      <w:pPr>
        <w:pStyle w:val="SingleTxtG"/>
        <w:ind w:left="1701"/>
        <w:rPr>
          <w:lang w:val="fr-CH"/>
        </w:rPr>
      </w:pPr>
      <w:r w:rsidRPr="0071782F">
        <w:rPr>
          <w:lang w:val="fr-CH"/>
        </w:rPr>
        <w:t>188.1</w:t>
      </w:r>
      <w:r w:rsidR="00EA4A9E" w:rsidRPr="0071782F">
        <w:rPr>
          <w:lang w:val="fr-CH"/>
        </w:rPr>
        <w:t>.</w:t>
      </w:r>
      <w:r w:rsidRPr="0071782F">
        <w:rPr>
          <w:lang w:val="fr-CH"/>
        </w:rPr>
        <w:tab/>
        <w:t>560</w:t>
      </w:r>
      <w:r w:rsidR="009C50C4" w:rsidRPr="0071782F">
        <w:rPr>
          <w:lang w:val="fr-CH"/>
        </w:rPr>
        <w:t xml:space="preserve"> </w:t>
      </w:r>
      <w:r w:rsidRPr="0071782F">
        <w:rPr>
          <w:lang w:val="fr-CH"/>
        </w:rPr>
        <w:t>609 (66</w:t>
      </w:r>
      <w:r w:rsidR="009C50C4" w:rsidRPr="0071782F">
        <w:rPr>
          <w:lang w:val="fr-CH"/>
        </w:rPr>
        <w:t>,</w:t>
      </w:r>
      <w:r w:rsidRPr="0071782F">
        <w:rPr>
          <w:lang w:val="fr-CH"/>
        </w:rPr>
        <w:t>6</w:t>
      </w:r>
      <w:r w:rsidR="007E5125" w:rsidRPr="0071782F">
        <w:rPr>
          <w:lang w:val="fr-CH"/>
        </w:rPr>
        <w:t>%</w:t>
      </w:r>
      <w:r w:rsidRPr="0071782F">
        <w:rPr>
          <w:lang w:val="fr-CH"/>
        </w:rPr>
        <w:t>)</w:t>
      </w:r>
      <w:r w:rsidR="00402EE2" w:rsidRPr="0071782F">
        <w:rPr>
          <w:lang w:val="fr-CH"/>
        </w:rPr>
        <w:t>,</w:t>
      </w:r>
      <w:r w:rsidRPr="0071782F">
        <w:rPr>
          <w:lang w:val="fr-CH"/>
        </w:rPr>
        <w:t xml:space="preserve"> </w:t>
      </w:r>
      <w:r w:rsidR="009C50C4" w:rsidRPr="0071782F">
        <w:rPr>
          <w:lang w:val="fr-CH"/>
        </w:rPr>
        <w:t xml:space="preserve">soit 1 162 </w:t>
      </w:r>
      <w:r w:rsidRPr="0071782F">
        <w:rPr>
          <w:lang w:val="fr-CH"/>
        </w:rPr>
        <w:t>333</w:t>
      </w:r>
      <w:r w:rsidR="00097CDB" w:rsidRPr="0071782F">
        <w:rPr>
          <w:lang w:val="fr-CH"/>
        </w:rPr>
        <w:t> personnes</w:t>
      </w:r>
      <w:r w:rsidR="009C50C4" w:rsidRPr="0071782F">
        <w:rPr>
          <w:lang w:val="fr-CH"/>
        </w:rPr>
        <w:t xml:space="preserve"> (76,</w:t>
      </w:r>
      <w:r w:rsidRPr="0071782F">
        <w:rPr>
          <w:lang w:val="fr-CH"/>
        </w:rPr>
        <w:t>2</w:t>
      </w:r>
      <w:r w:rsidR="007E5125" w:rsidRPr="0071782F">
        <w:rPr>
          <w:lang w:val="fr-CH"/>
        </w:rPr>
        <w:t>%</w:t>
      </w:r>
      <w:r w:rsidRPr="0071782F">
        <w:rPr>
          <w:lang w:val="fr-CH"/>
        </w:rPr>
        <w:t>)</w:t>
      </w:r>
      <w:r w:rsidR="00402EE2" w:rsidRPr="0071782F">
        <w:rPr>
          <w:lang w:val="fr-CH"/>
        </w:rPr>
        <w:t>,</w:t>
      </w:r>
      <w:r w:rsidRPr="0071782F">
        <w:rPr>
          <w:lang w:val="fr-CH"/>
        </w:rPr>
        <w:t xml:space="preserve"> </w:t>
      </w:r>
      <w:r w:rsidR="009C50C4" w:rsidRPr="0071782F">
        <w:rPr>
          <w:lang w:val="fr-CH"/>
        </w:rPr>
        <w:t>sont couvertes par le Programme en faveur des demandeurs d’aide</w:t>
      </w:r>
      <w:r w:rsidRPr="0071782F">
        <w:rPr>
          <w:lang w:val="fr-CH"/>
        </w:rPr>
        <w:t>.</w:t>
      </w:r>
    </w:p>
    <w:p w:rsidR="009F7C7F" w:rsidRPr="0071782F" w:rsidRDefault="009F7C7F" w:rsidP="00496C06">
      <w:pPr>
        <w:pStyle w:val="SingleTxtG"/>
        <w:ind w:left="1701"/>
        <w:rPr>
          <w:lang w:val="fr-CH"/>
        </w:rPr>
      </w:pPr>
      <w:r w:rsidRPr="0071782F">
        <w:rPr>
          <w:lang w:val="fr-CH"/>
        </w:rPr>
        <w:t>188.2</w:t>
      </w:r>
      <w:r w:rsidR="00EA4A9E" w:rsidRPr="0071782F">
        <w:rPr>
          <w:lang w:val="fr-CH"/>
        </w:rPr>
        <w:t>.</w:t>
      </w:r>
      <w:r w:rsidRPr="0071782F">
        <w:rPr>
          <w:lang w:val="fr-CH"/>
        </w:rPr>
        <w:tab/>
        <w:t>281</w:t>
      </w:r>
      <w:r w:rsidR="009C50C4" w:rsidRPr="0071782F">
        <w:rPr>
          <w:lang w:val="fr-CH"/>
        </w:rPr>
        <w:t xml:space="preserve"> </w:t>
      </w:r>
      <w:r w:rsidRPr="0071782F">
        <w:rPr>
          <w:lang w:val="fr-CH"/>
        </w:rPr>
        <w:t>030 (33</w:t>
      </w:r>
      <w:r w:rsidR="009C50C4" w:rsidRPr="0071782F">
        <w:rPr>
          <w:lang w:val="fr-CH"/>
        </w:rPr>
        <w:t>,</w:t>
      </w:r>
      <w:r w:rsidRPr="0071782F">
        <w:rPr>
          <w:lang w:val="fr-CH"/>
        </w:rPr>
        <w:t>4</w:t>
      </w:r>
      <w:r w:rsidR="007E5125" w:rsidRPr="0071782F">
        <w:rPr>
          <w:lang w:val="fr-CH"/>
        </w:rPr>
        <w:t>%</w:t>
      </w:r>
      <w:r w:rsidRPr="0071782F">
        <w:rPr>
          <w:lang w:val="fr-CH"/>
        </w:rPr>
        <w:t>)</w:t>
      </w:r>
      <w:r w:rsidR="00402EE2" w:rsidRPr="0071782F">
        <w:rPr>
          <w:lang w:val="fr-CH"/>
        </w:rPr>
        <w:t xml:space="preserve">, </w:t>
      </w:r>
      <w:r w:rsidR="009C50C4" w:rsidRPr="0071782F">
        <w:rPr>
          <w:lang w:val="fr-CH"/>
        </w:rPr>
        <w:t xml:space="preserve">soit 362 </w:t>
      </w:r>
      <w:r w:rsidRPr="0071782F">
        <w:rPr>
          <w:lang w:val="fr-CH"/>
        </w:rPr>
        <w:t>981</w:t>
      </w:r>
      <w:r w:rsidR="00097CDB" w:rsidRPr="0071782F">
        <w:rPr>
          <w:lang w:val="fr-CH"/>
        </w:rPr>
        <w:t> personnes</w:t>
      </w:r>
      <w:r w:rsidR="009C50C4" w:rsidRPr="0071782F">
        <w:rPr>
          <w:lang w:val="fr-CH"/>
        </w:rPr>
        <w:t xml:space="preserve"> </w:t>
      </w:r>
      <w:r w:rsidRPr="0071782F">
        <w:rPr>
          <w:lang w:val="fr-CH"/>
        </w:rPr>
        <w:t>(23</w:t>
      </w:r>
      <w:r w:rsidR="009C50C4" w:rsidRPr="0071782F">
        <w:rPr>
          <w:lang w:val="fr-CH"/>
        </w:rPr>
        <w:t>,</w:t>
      </w:r>
      <w:r w:rsidRPr="0071782F">
        <w:rPr>
          <w:lang w:val="fr-CH"/>
        </w:rPr>
        <w:t>8</w:t>
      </w:r>
      <w:r w:rsidR="007E5125" w:rsidRPr="0071782F">
        <w:rPr>
          <w:lang w:val="fr-CH"/>
        </w:rPr>
        <w:t>%</w:t>
      </w:r>
      <w:r w:rsidRPr="0071782F">
        <w:rPr>
          <w:lang w:val="fr-CH"/>
        </w:rPr>
        <w:t>)</w:t>
      </w:r>
      <w:r w:rsidR="00402EE2" w:rsidRPr="0071782F">
        <w:rPr>
          <w:lang w:val="fr-CH"/>
        </w:rPr>
        <w:t>,</w:t>
      </w:r>
      <w:r w:rsidRPr="0071782F">
        <w:rPr>
          <w:lang w:val="fr-CH"/>
        </w:rPr>
        <w:t xml:space="preserve"> </w:t>
      </w:r>
      <w:r w:rsidR="009C50C4" w:rsidRPr="0071782F">
        <w:rPr>
          <w:lang w:val="fr-CH"/>
        </w:rPr>
        <w:t xml:space="preserve">sont couvertes par le </w:t>
      </w:r>
      <w:r w:rsidR="0071782F" w:rsidRPr="0071782F">
        <w:rPr>
          <w:lang w:val="fr-CH"/>
        </w:rPr>
        <w:t>Programme</w:t>
      </w:r>
      <w:r w:rsidR="009C50C4" w:rsidRPr="0071782F">
        <w:rPr>
          <w:lang w:val="fr-CH"/>
        </w:rPr>
        <w:t xml:space="preserve"> </w:t>
      </w:r>
      <w:r w:rsidRPr="0071782F">
        <w:rPr>
          <w:lang w:val="fr-CH"/>
        </w:rPr>
        <w:t>Shahid Rajaii.</w:t>
      </w:r>
    </w:p>
    <w:p w:rsidR="009F7C7F" w:rsidRPr="0071782F" w:rsidRDefault="009F7C7F" w:rsidP="00496C06">
      <w:pPr>
        <w:pStyle w:val="SingleTxtG"/>
        <w:ind w:left="1701"/>
        <w:rPr>
          <w:lang w:val="fr-CH"/>
        </w:rPr>
      </w:pPr>
      <w:r w:rsidRPr="0071782F">
        <w:rPr>
          <w:lang w:val="fr-CH"/>
        </w:rPr>
        <w:t>188.3</w:t>
      </w:r>
      <w:r w:rsidR="00EA4A9E" w:rsidRPr="0071782F">
        <w:rPr>
          <w:lang w:val="fr-CH"/>
        </w:rPr>
        <w:t>.</w:t>
      </w:r>
      <w:r w:rsidRPr="0071782F">
        <w:rPr>
          <w:lang w:val="fr-CH"/>
        </w:rPr>
        <w:tab/>
        <w:t>361</w:t>
      </w:r>
      <w:r w:rsidR="009C50C4" w:rsidRPr="0071782F">
        <w:rPr>
          <w:lang w:val="fr-CH"/>
        </w:rPr>
        <w:t xml:space="preserve"> </w:t>
      </w:r>
      <w:r w:rsidRPr="0071782F">
        <w:rPr>
          <w:lang w:val="fr-CH"/>
        </w:rPr>
        <w:t>905 (43</w:t>
      </w:r>
      <w:r w:rsidR="007E5125" w:rsidRPr="0071782F">
        <w:rPr>
          <w:lang w:val="fr-CH"/>
        </w:rPr>
        <w:t>%</w:t>
      </w:r>
      <w:r w:rsidRPr="0071782F">
        <w:rPr>
          <w:lang w:val="fr-CH"/>
        </w:rPr>
        <w:t>)</w:t>
      </w:r>
      <w:r w:rsidR="00402EE2" w:rsidRPr="0071782F">
        <w:rPr>
          <w:lang w:val="fr-CH"/>
        </w:rPr>
        <w:t xml:space="preserve">, </w:t>
      </w:r>
      <w:r w:rsidR="009C50C4" w:rsidRPr="0071782F">
        <w:rPr>
          <w:lang w:val="fr-CH"/>
        </w:rPr>
        <w:t xml:space="preserve">soit 694 </w:t>
      </w:r>
      <w:r w:rsidRPr="0071782F">
        <w:rPr>
          <w:lang w:val="fr-CH"/>
        </w:rPr>
        <w:t>018</w:t>
      </w:r>
      <w:r w:rsidR="00097CDB" w:rsidRPr="0071782F">
        <w:rPr>
          <w:lang w:val="fr-CH"/>
        </w:rPr>
        <w:t> personnes</w:t>
      </w:r>
      <w:r w:rsidR="009C50C4" w:rsidRPr="0071782F">
        <w:rPr>
          <w:lang w:val="fr-CH"/>
        </w:rPr>
        <w:t xml:space="preserve"> </w:t>
      </w:r>
      <w:r w:rsidRPr="0071782F">
        <w:rPr>
          <w:lang w:val="fr-CH"/>
        </w:rPr>
        <w:t>(45</w:t>
      </w:r>
      <w:r w:rsidR="009C50C4" w:rsidRPr="0071782F">
        <w:rPr>
          <w:lang w:val="fr-CH"/>
        </w:rPr>
        <w:t>,</w:t>
      </w:r>
      <w:r w:rsidRPr="0071782F">
        <w:rPr>
          <w:lang w:val="fr-CH"/>
        </w:rPr>
        <w:t>5</w:t>
      </w:r>
      <w:r w:rsidR="007E5125" w:rsidRPr="0071782F">
        <w:rPr>
          <w:lang w:val="fr-CH"/>
        </w:rPr>
        <w:t>%</w:t>
      </w:r>
      <w:r w:rsidRPr="0071782F">
        <w:rPr>
          <w:lang w:val="fr-CH"/>
        </w:rPr>
        <w:t>)</w:t>
      </w:r>
      <w:r w:rsidR="00402EE2" w:rsidRPr="0071782F">
        <w:rPr>
          <w:lang w:val="fr-CH"/>
        </w:rPr>
        <w:t>,</w:t>
      </w:r>
      <w:r w:rsidRPr="0071782F">
        <w:rPr>
          <w:lang w:val="fr-CH"/>
        </w:rPr>
        <w:t xml:space="preserve"> </w:t>
      </w:r>
      <w:r w:rsidR="009C50C4" w:rsidRPr="0071782F">
        <w:rPr>
          <w:lang w:val="fr-CH"/>
        </w:rPr>
        <w:t>résident en milieu urbain</w:t>
      </w:r>
      <w:r w:rsidRPr="0071782F">
        <w:rPr>
          <w:lang w:val="fr-CH"/>
        </w:rPr>
        <w:t>.</w:t>
      </w:r>
    </w:p>
    <w:p w:rsidR="009F7C7F" w:rsidRPr="0071782F" w:rsidRDefault="009F7C7F" w:rsidP="0025182F">
      <w:pPr>
        <w:pStyle w:val="SingleTxtG"/>
        <w:spacing w:after="0"/>
        <w:ind w:left="1701"/>
        <w:rPr>
          <w:lang w:val="fr-CH"/>
        </w:rPr>
      </w:pPr>
      <w:r w:rsidRPr="0071782F">
        <w:rPr>
          <w:lang w:val="fr-CH"/>
        </w:rPr>
        <w:t>188.4</w:t>
      </w:r>
      <w:r w:rsidR="00EA4A9E" w:rsidRPr="0071782F">
        <w:rPr>
          <w:lang w:val="fr-CH"/>
        </w:rPr>
        <w:t>.</w:t>
      </w:r>
      <w:r w:rsidRPr="0071782F">
        <w:rPr>
          <w:lang w:val="fr-CH"/>
        </w:rPr>
        <w:tab/>
        <w:t>479</w:t>
      </w:r>
      <w:r w:rsidR="009C50C4" w:rsidRPr="0071782F">
        <w:rPr>
          <w:lang w:val="fr-CH"/>
        </w:rPr>
        <w:t xml:space="preserve"> </w:t>
      </w:r>
      <w:r w:rsidRPr="0071782F">
        <w:rPr>
          <w:lang w:val="fr-CH"/>
        </w:rPr>
        <w:t>734 (57</w:t>
      </w:r>
      <w:r w:rsidR="007E5125" w:rsidRPr="0071782F">
        <w:rPr>
          <w:lang w:val="fr-CH"/>
        </w:rPr>
        <w:t>%</w:t>
      </w:r>
      <w:r w:rsidRPr="0071782F">
        <w:rPr>
          <w:lang w:val="fr-CH"/>
        </w:rPr>
        <w:t>)</w:t>
      </w:r>
      <w:r w:rsidR="00402EE2" w:rsidRPr="0071782F">
        <w:rPr>
          <w:lang w:val="fr-CH"/>
        </w:rPr>
        <w:t>,</w:t>
      </w:r>
      <w:r w:rsidRPr="0071782F">
        <w:rPr>
          <w:lang w:val="fr-CH"/>
        </w:rPr>
        <w:t xml:space="preserve"> </w:t>
      </w:r>
      <w:r w:rsidR="009C50C4" w:rsidRPr="0071782F">
        <w:rPr>
          <w:lang w:val="fr-CH"/>
        </w:rPr>
        <w:t xml:space="preserve">soit </w:t>
      </w:r>
      <w:r w:rsidRPr="0071782F">
        <w:rPr>
          <w:lang w:val="fr-CH"/>
        </w:rPr>
        <w:t>831</w:t>
      </w:r>
      <w:r w:rsidR="009C50C4" w:rsidRPr="0071782F">
        <w:rPr>
          <w:lang w:val="fr-CH"/>
        </w:rPr>
        <w:t xml:space="preserve"> </w:t>
      </w:r>
      <w:r w:rsidRPr="0071782F">
        <w:rPr>
          <w:lang w:val="fr-CH"/>
        </w:rPr>
        <w:t>296</w:t>
      </w:r>
      <w:r w:rsidR="00097CDB" w:rsidRPr="0071782F">
        <w:rPr>
          <w:lang w:val="fr-CH"/>
        </w:rPr>
        <w:t> personnes</w:t>
      </w:r>
      <w:r w:rsidR="009C50C4" w:rsidRPr="0071782F">
        <w:rPr>
          <w:lang w:val="fr-CH"/>
        </w:rPr>
        <w:t xml:space="preserve"> </w:t>
      </w:r>
      <w:r w:rsidRPr="0071782F">
        <w:rPr>
          <w:lang w:val="fr-CH"/>
        </w:rPr>
        <w:t>(54</w:t>
      </w:r>
      <w:r w:rsidR="009C50C4" w:rsidRPr="0071782F">
        <w:rPr>
          <w:lang w:val="fr-CH"/>
        </w:rPr>
        <w:t>,</w:t>
      </w:r>
      <w:r w:rsidRPr="0071782F">
        <w:rPr>
          <w:lang w:val="fr-CH"/>
        </w:rPr>
        <w:t>5</w:t>
      </w:r>
      <w:r w:rsidR="007E5125" w:rsidRPr="0071782F">
        <w:rPr>
          <w:lang w:val="fr-CH"/>
        </w:rPr>
        <w:t>%</w:t>
      </w:r>
      <w:r w:rsidRPr="0071782F">
        <w:rPr>
          <w:lang w:val="fr-CH"/>
        </w:rPr>
        <w:t>)</w:t>
      </w:r>
      <w:r w:rsidR="00402EE2" w:rsidRPr="0071782F">
        <w:rPr>
          <w:lang w:val="fr-CH"/>
        </w:rPr>
        <w:t>,</w:t>
      </w:r>
      <w:r w:rsidRPr="0071782F">
        <w:rPr>
          <w:lang w:val="fr-CH"/>
        </w:rPr>
        <w:t xml:space="preserve"> </w:t>
      </w:r>
      <w:r w:rsidR="009C50C4" w:rsidRPr="0071782F">
        <w:rPr>
          <w:lang w:val="fr-CH"/>
        </w:rPr>
        <w:t xml:space="preserve">résident en milieu </w:t>
      </w:r>
      <w:r w:rsidRPr="0071782F">
        <w:rPr>
          <w:lang w:val="fr-CH"/>
        </w:rPr>
        <w:t xml:space="preserve">rural. </w:t>
      </w:r>
    </w:p>
    <w:p w:rsidR="009F7C7F" w:rsidRPr="0071782F" w:rsidRDefault="009F7C7F" w:rsidP="00496C06">
      <w:pPr>
        <w:pStyle w:val="H23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92511D" w:rsidRPr="0071782F">
        <w:rPr>
          <w:lang w:val="fr-CH"/>
        </w:rPr>
        <w:t>de famille</w:t>
      </w:r>
      <w:r w:rsidR="009C50C4" w:rsidRPr="0071782F">
        <w:rPr>
          <w:lang w:val="fr-CH"/>
        </w:rPr>
        <w:t xml:space="preserve">s </w:t>
      </w:r>
      <w:r w:rsidR="00402EE2" w:rsidRPr="0071782F">
        <w:rPr>
          <w:lang w:val="fr-CH"/>
        </w:rPr>
        <w:t>bénéficiaire</w:t>
      </w:r>
      <w:r w:rsidR="009C50C4" w:rsidRPr="0071782F">
        <w:rPr>
          <w:lang w:val="fr-CH"/>
        </w:rPr>
        <w:t>s dont le chef est une femme, selon le lieu de résidence</w:t>
      </w:r>
      <w:r w:rsidR="00D36718">
        <w:rPr>
          <w:lang w:val="fr-CH"/>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7"/>
        <w:gridCol w:w="1089"/>
        <w:gridCol w:w="933"/>
        <w:gridCol w:w="1089"/>
        <w:gridCol w:w="933"/>
        <w:gridCol w:w="1089"/>
        <w:gridCol w:w="900"/>
      </w:tblGrid>
      <w:tr w:rsidR="009F7C7F" w:rsidRPr="0071782F">
        <w:trPr>
          <w:tblHeader/>
        </w:trPr>
        <w:tc>
          <w:tcPr>
            <w:tcW w:w="1546" w:type="dxa"/>
            <w:tcBorders>
              <w:top w:val="single" w:sz="4" w:space="0" w:color="auto"/>
              <w:bottom w:val="single" w:sz="12" w:space="0" w:color="auto"/>
            </w:tcBorders>
            <w:shd w:val="clear" w:color="auto" w:fill="auto"/>
            <w:vAlign w:val="bottom"/>
          </w:tcPr>
          <w:p w:rsidR="009F7C7F" w:rsidRPr="0071782F" w:rsidRDefault="009C50C4" w:rsidP="000838E6">
            <w:pPr>
              <w:keepNext/>
              <w:suppressAutoHyphens w:val="0"/>
              <w:spacing w:before="80" w:after="80" w:line="200" w:lineRule="exact"/>
              <w:rPr>
                <w:i/>
                <w:sz w:val="16"/>
                <w:lang w:val="fr-CH"/>
              </w:rPr>
            </w:pPr>
            <w:r w:rsidRPr="0071782F">
              <w:rPr>
                <w:i/>
                <w:sz w:val="16"/>
                <w:lang w:val="fr-CH"/>
              </w:rPr>
              <w:t>Année</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1987</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1997</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2003</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2004</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2005</w:t>
            </w:r>
          </w:p>
        </w:tc>
        <w:tc>
          <w:tcPr>
            <w:tcW w:w="1039"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2006</w:t>
            </w:r>
          </w:p>
        </w:tc>
      </w:tr>
      <w:tr w:rsidR="009F7C7F" w:rsidRPr="0071782F">
        <w:tc>
          <w:tcPr>
            <w:tcW w:w="1546" w:type="dxa"/>
            <w:tcBorders>
              <w:top w:val="single" w:sz="12" w:space="0" w:color="auto"/>
            </w:tcBorders>
            <w:shd w:val="clear" w:color="auto" w:fill="auto"/>
            <w:vAlign w:val="bottom"/>
          </w:tcPr>
          <w:p w:rsidR="009F7C7F" w:rsidRPr="0071782F" w:rsidRDefault="009C50C4" w:rsidP="000838E6">
            <w:pPr>
              <w:keepNext/>
              <w:suppressAutoHyphens w:val="0"/>
              <w:spacing w:before="40" w:after="40" w:line="220" w:lineRule="exact"/>
              <w:rPr>
                <w:sz w:val="18"/>
                <w:lang w:val="fr-CH"/>
              </w:rPr>
            </w:pPr>
            <w:r w:rsidRPr="0071782F">
              <w:rPr>
                <w:sz w:val="18"/>
                <w:lang w:val="fr-CH"/>
              </w:rPr>
              <w:t>Milieu u</w:t>
            </w:r>
            <w:r w:rsidR="009F7C7F" w:rsidRPr="0071782F">
              <w:rPr>
                <w:sz w:val="18"/>
                <w:lang w:val="fr-CH"/>
              </w:rPr>
              <w:t>rba</w:t>
            </w:r>
            <w:r w:rsidRPr="0071782F">
              <w:rPr>
                <w:sz w:val="18"/>
                <w:lang w:val="fr-CH"/>
              </w:rPr>
              <w:t>i</w:t>
            </w:r>
            <w:r w:rsidR="009F7C7F" w:rsidRPr="0071782F">
              <w:rPr>
                <w:sz w:val="18"/>
                <w:lang w:val="fr-CH"/>
              </w:rPr>
              <w:t>n</w:t>
            </w:r>
          </w:p>
        </w:tc>
        <w:tc>
          <w:tcPr>
            <w:tcW w:w="125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143 333</w:t>
            </w:r>
          </w:p>
        </w:tc>
        <w:tc>
          <w:tcPr>
            <w:tcW w:w="107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151 726</w:t>
            </w:r>
          </w:p>
        </w:tc>
        <w:tc>
          <w:tcPr>
            <w:tcW w:w="125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334 160</w:t>
            </w:r>
          </w:p>
        </w:tc>
        <w:tc>
          <w:tcPr>
            <w:tcW w:w="107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357 888</w:t>
            </w:r>
          </w:p>
        </w:tc>
        <w:tc>
          <w:tcPr>
            <w:tcW w:w="125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345 683</w:t>
            </w:r>
          </w:p>
        </w:tc>
        <w:tc>
          <w:tcPr>
            <w:tcW w:w="1039"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361 905</w:t>
            </w:r>
          </w:p>
        </w:tc>
      </w:tr>
      <w:tr w:rsidR="009F7C7F" w:rsidRPr="0071782F">
        <w:tc>
          <w:tcPr>
            <w:tcW w:w="1546" w:type="dxa"/>
            <w:tcBorders>
              <w:bottom w:val="single" w:sz="4" w:space="0" w:color="auto"/>
            </w:tcBorders>
            <w:shd w:val="clear" w:color="auto" w:fill="auto"/>
            <w:vAlign w:val="bottom"/>
          </w:tcPr>
          <w:p w:rsidR="009F7C7F" w:rsidRPr="0071782F" w:rsidRDefault="009C50C4" w:rsidP="000838E6">
            <w:pPr>
              <w:keepNext/>
              <w:suppressAutoHyphens w:val="0"/>
              <w:spacing w:before="40" w:after="40" w:line="220" w:lineRule="exact"/>
              <w:rPr>
                <w:sz w:val="18"/>
                <w:lang w:val="fr-CH"/>
              </w:rPr>
            </w:pPr>
            <w:r w:rsidRPr="0071782F">
              <w:rPr>
                <w:sz w:val="18"/>
                <w:lang w:val="fr-CH"/>
              </w:rPr>
              <w:t>Milieu r</w:t>
            </w:r>
            <w:r w:rsidR="009F7C7F" w:rsidRPr="0071782F">
              <w:rPr>
                <w:sz w:val="18"/>
                <w:lang w:val="fr-CH"/>
              </w:rPr>
              <w:t>ural</w:t>
            </w:r>
          </w:p>
        </w:tc>
        <w:tc>
          <w:tcPr>
            <w:tcW w:w="125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359 688</w:t>
            </w:r>
          </w:p>
        </w:tc>
        <w:tc>
          <w:tcPr>
            <w:tcW w:w="107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419 408</w:t>
            </w:r>
          </w:p>
        </w:tc>
        <w:tc>
          <w:tcPr>
            <w:tcW w:w="125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442 340</w:t>
            </w:r>
          </w:p>
        </w:tc>
        <w:tc>
          <w:tcPr>
            <w:tcW w:w="107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473 749</w:t>
            </w:r>
          </w:p>
        </w:tc>
        <w:tc>
          <w:tcPr>
            <w:tcW w:w="125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457 594</w:t>
            </w:r>
          </w:p>
        </w:tc>
        <w:tc>
          <w:tcPr>
            <w:tcW w:w="1039"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479 734</w:t>
            </w:r>
          </w:p>
        </w:tc>
      </w:tr>
      <w:tr w:rsidR="009F7C7F" w:rsidRPr="0071782F">
        <w:tc>
          <w:tcPr>
            <w:tcW w:w="1546"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ind w:left="284"/>
              <w:rPr>
                <w:b/>
                <w:sz w:val="18"/>
                <w:lang w:val="fr-CH"/>
              </w:rPr>
            </w:pPr>
            <w:r w:rsidRPr="0071782F">
              <w:rPr>
                <w:b/>
                <w:sz w:val="18"/>
                <w:lang w:val="fr-CH"/>
              </w:rPr>
              <w:t>Total</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503 021</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571 134</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776 500</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831 637</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803 277</w:t>
            </w:r>
          </w:p>
        </w:tc>
        <w:tc>
          <w:tcPr>
            <w:tcW w:w="1039"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841 639</w:t>
            </w:r>
          </w:p>
        </w:tc>
      </w:tr>
    </w:tbl>
    <w:p w:rsidR="009F7C7F" w:rsidRPr="0071782F" w:rsidRDefault="009F7C7F" w:rsidP="00496C06">
      <w:pPr>
        <w:pStyle w:val="SingleTxtG"/>
        <w:spacing w:before="240"/>
        <w:rPr>
          <w:lang w:val="fr-CH"/>
        </w:rPr>
      </w:pPr>
      <w:r w:rsidRPr="0071782F">
        <w:rPr>
          <w:lang w:val="fr-CH"/>
        </w:rPr>
        <w:t>189.</w:t>
      </w:r>
      <w:r w:rsidRPr="0071782F">
        <w:rPr>
          <w:lang w:val="fr-CH"/>
        </w:rPr>
        <w:tab/>
      </w:r>
      <w:r w:rsidR="00940B08" w:rsidRPr="0071782F">
        <w:rPr>
          <w:lang w:val="fr-CH"/>
        </w:rPr>
        <w:t xml:space="preserve">Sur les </w:t>
      </w:r>
      <w:r w:rsidRPr="0071782F">
        <w:rPr>
          <w:lang w:val="fr-CH"/>
        </w:rPr>
        <w:t>1</w:t>
      </w:r>
      <w:r w:rsidR="00940B08" w:rsidRPr="0071782F">
        <w:rPr>
          <w:lang w:val="fr-CH"/>
        </w:rPr>
        <w:t> </w:t>
      </w:r>
      <w:r w:rsidRPr="0071782F">
        <w:rPr>
          <w:lang w:val="fr-CH"/>
        </w:rPr>
        <w:t>525</w:t>
      </w:r>
      <w:r w:rsidR="00940B08" w:rsidRPr="0071782F">
        <w:rPr>
          <w:lang w:val="fr-CH"/>
        </w:rPr>
        <w:t xml:space="preserve"> </w:t>
      </w:r>
      <w:r w:rsidRPr="0071782F">
        <w:rPr>
          <w:lang w:val="fr-CH"/>
        </w:rPr>
        <w:t>314</w:t>
      </w:r>
      <w:r w:rsidR="00097CDB" w:rsidRPr="0071782F">
        <w:rPr>
          <w:lang w:val="fr-CH"/>
        </w:rPr>
        <w:t> personnes</w:t>
      </w:r>
      <w:r w:rsidR="00940B08" w:rsidRPr="0071782F">
        <w:rPr>
          <w:lang w:val="fr-CH"/>
        </w:rPr>
        <w:t xml:space="preserve"> appartenant à </w:t>
      </w:r>
      <w:r w:rsidR="004E45FB" w:rsidRPr="0071782F">
        <w:rPr>
          <w:lang w:val="fr-CH"/>
        </w:rPr>
        <w:t>des familles</w:t>
      </w:r>
      <w:r w:rsidR="00940B08" w:rsidRPr="0071782F">
        <w:rPr>
          <w:lang w:val="fr-CH"/>
        </w:rPr>
        <w:t xml:space="preserve"> dont le chef est une femme,</w:t>
      </w:r>
    </w:p>
    <w:p w:rsidR="009F7C7F" w:rsidRPr="0071782F" w:rsidRDefault="009F7C7F" w:rsidP="00496C06">
      <w:pPr>
        <w:pStyle w:val="SingleTxtG"/>
        <w:ind w:left="1701"/>
        <w:rPr>
          <w:lang w:val="fr-CH"/>
        </w:rPr>
      </w:pPr>
      <w:r w:rsidRPr="0071782F">
        <w:rPr>
          <w:lang w:val="fr-CH"/>
        </w:rPr>
        <w:t>189.1</w:t>
      </w:r>
      <w:r w:rsidR="00EA4A9E" w:rsidRPr="0071782F">
        <w:rPr>
          <w:lang w:val="fr-CH"/>
        </w:rPr>
        <w:t>.</w:t>
      </w:r>
      <w:r w:rsidR="00940B08" w:rsidRPr="0071782F">
        <w:rPr>
          <w:lang w:val="fr-CH"/>
        </w:rPr>
        <w:tab/>
        <w:t xml:space="preserve">361 </w:t>
      </w:r>
      <w:r w:rsidRPr="0071782F">
        <w:rPr>
          <w:lang w:val="fr-CH"/>
        </w:rPr>
        <w:t>499 (23</w:t>
      </w:r>
      <w:r w:rsidR="00A33E36" w:rsidRPr="0071782F">
        <w:rPr>
          <w:lang w:val="fr-CH"/>
        </w:rPr>
        <w:t>,</w:t>
      </w:r>
      <w:r w:rsidRPr="0071782F">
        <w:rPr>
          <w:lang w:val="fr-CH"/>
        </w:rPr>
        <w:t>7</w:t>
      </w:r>
      <w:r w:rsidR="007E5125" w:rsidRPr="0071782F">
        <w:rPr>
          <w:lang w:val="fr-CH"/>
        </w:rPr>
        <w:t>%</w:t>
      </w:r>
      <w:r w:rsidRPr="0071782F">
        <w:rPr>
          <w:lang w:val="fr-CH"/>
        </w:rPr>
        <w:t xml:space="preserve">) </w:t>
      </w:r>
      <w:r w:rsidR="00A33E36" w:rsidRPr="0071782F">
        <w:rPr>
          <w:lang w:val="fr-CH"/>
        </w:rPr>
        <w:t>sont des garçons</w:t>
      </w:r>
      <w:r w:rsidRPr="0071782F">
        <w:rPr>
          <w:lang w:val="fr-CH"/>
        </w:rPr>
        <w:t>.</w:t>
      </w:r>
    </w:p>
    <w:p w:rsidR="009F7C7F" w:rsidRPr="0071782F" w:rsidRDefault="009F7C7F" w:rsidP="0025182F">
      <w:pPr>
        <w:pStyle w:val="SingleTxtG"/>
        <w:spacing w:after="0"/>
        <w:ind w:left="1701"/>
        <w:rPr>
          <w:lang w:val="fr-CH"/>
        </w:rPr>
      </w:pPr>
      <w:r w:rsidRPr="0071782F">
        <w:rPr>
          <w:lang w:val="fr-CH"/>
        </w:rPr>
        <w:t>189.2.</w:t>
      </w:r>
      <w:r w:rsidRPr="0071782F">
        <w:rPr>
          <w:lang w:val="fr-CH"/>
        </w:rPr>
        <w:tab/>
        <w:t>1</w:t>
      </w:r>
      <w:r w:rsidR="00A33E36" w:rsidRPr="0071782F">
        <w:rPr>
          <w:lang w:val="fr-CH"/>
        </w:rPr>
        <w:t xml:space="preserve"> 163 </w:t>
      </w:r>
      <w:r w:rsidRPr="0071782F">
        <w:rPr>
          <w:lang w:val="fr-CH"/>
        </w:rPr>
        <w:t xml:space="preserve">815 </w:t>
      </w:r>
      <w:r w:rsidR="00A33E36" w:rsidRPr="0071782F">
        <w:rPr>
          <w:lang w:val="fr-CH"/>
        </w:rPr>
        <w:t>(76,</w:t>
      </w:r>
      <w:r w:rsidRPr="0071782F">
        <w:rPr>
          <w:lang w:val="fr-CH"/>
        </w:rPr>
        <w:t>3</w:t>
      </w:r>
      <w:r w:rsidR="007E5125" w:rsidRPr="0071782F">
        <w:rPr>
          <w:lang w:val="fr-CH"/>
        </w:rPr>
        <w:t>%</w:t>
      </w:r>
      <w:r w:rsidRPr="0071782F">
        <w:rPr>
          <w:lang w:val="fr-CH"/>
        </w:rPr>
        <w:t xml:space="preserve">) </w:t>
      </w:r>
      <w:r w:rsidR="00A33E36" w:rsidRPr="0071782F">
        <w:rPr>
          <w:lang w:val="fr-CH"/>
        </w:rPr>
        <w:t>sont des filles et des femmes</w:t>
      </w:r>
      <w:r w:rsidRPr="0071782F">
        <w:rPr>
          <w:lang w:val="fr-CH"/>
        </w:rPr>
        <w:t>.</w:t>
      </w:r>
    </w:p>
    <w:p w:rsidR="009F7C7F" w:rsidRPr="0071782F" w:rsidRDefault="009F7C7F" w:rsidP="00A26292">
      <w:pPr>
        <w:pStyle w:val="H23G"/>
        <w:rPr>
          <w:lang w:val="fr-CH"/>
        </w:rPr>
      </w:pPr>
      <w:r w:rsidRPr="0071782F">
        <w:rPr>
          <w:lang w:val="fr-CH"/>
        </w:rPr>
        <w:tab/>
      </w:r>
      <w:r w:rsidRPr="0071782F">
        <w:rPr>
          <w:lang w:val="fr-CH"/>
        </w:rPr>
        <w:tab/>
      </w:r>
      <w:r w:rsidR="00A33E36" w:rsidRPr="0071782F">
        <w:rPr>
          <w:lang w:val="fr-CH"/>
        </w:rPr>
        <w:t xml:space="preserve">Nombre </w:t>
      </w:r>
      <w:r w:rsidR="00D82C96" w:rsidRPr="0071782F">
        <w:rPr>
          <w:lang w:val="fr-CH"/>
        </w:rPr>
        <w:t>de personnes</w:t>
      </w:r>
      <w:r w:rsidR="00A33E36" w:rsidRPr="0071782F">
        <w:rPr>
          <w:lang w:val="fr-CH"/>
        </w:rPr>
        <w:t xml:space="preserve"> appartenant à </w:t>
      </w:r>
      <w:r w:rsidR="004E45FB" w:rsidRPr="0071782F">
        <w:rPr>
          <w:lang w:val="fr-CH"/>
        </w:rPr>
        <w:t>des familles</w:t>
      </w:r>
      <w:r w:rsidR="00A33E36" w:rsidRPr="0071782F">
        <w:rPr>
          <w:lang w:val="fr-CH"/>
        </w:rPr>
        <w:t xml:space="preserve"> dont le chef est une femme, selon le sexe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8"/>
        <w:gridCol w:w="1089"/>
        <w:gridCol w:w="933"/>
        <w:gridCol w:w="1089"/>
        <w:gridCol w:w="933"/>
        <w:gridCol w:w="1089"/>
        <w:gridCol w:w="899"/>
      </w:tblGrid>
      <w:tr w:rsidR="009F7C7F" w:rsidRPr="0071782F">
        <w:trPr>
          <w:tblHeader/>
        </w:trPr>
        <w:tc>
          <w:tcPr>
            <w:tcW w:w="1547" w:type="dxa"/>
            <w:tcBorders>
              <w:top w:val="single" w:sz="4" w:space="0" w:color="auto"/>
              <w:bottom w:val="single" w:sz="12" w:space="0" w:color="auto"/>
            </w:tcBorders>
            <w:shd w:val="clear" w:color="auto" w:fill="auto"/>
            <w:vAlign w:val="bottom"/>
          </w:tcPr>
          <w:p w:rsidR="009F7C7F" w:rsidRPr="0071782F" w:rsidRDefault="00A33E36" w:rsidP="00120407">
            <w:pPr>
              <w:suppressAutoHyphens w:val="0"/>
              <w:spacing w:before="80" w:after="80" w:line="200" w:lineRule="exact"/>
              <w:rPr>
                <w:i/>
                <w:sz w:val="16"/>
                <w:lang w:val="fr-CH"/>
              </w:rPr>
            </w:pPr>
            <w:r w:rsidRPr="0071782F">
              <w:rPr>
                <w:i/>
                <w:sz w:val="16"/>
                <w:lang w:val="fr-CH"/>
              </w:rPr>
              <w:t>Année</w:t>
            </w:r>
          </w:p>
        </w:tc>
        <w:tc>
          <w:tcPr>
            <w:tcW w:w="1258"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00" w:lineRule="exact"/>
              <w:jc w:val="right"/>
              <w:rPr>
                <w:i/>
                <w:sz w:val="16"/>
                <w:lang w:val="fr-CH"/>
              </w:rPr>
            </w:pPr>
            <w:r w:rsidRPr="0071782F">
              <w:rPr>
                <w:i/>
                <w:sz w:val="16"/>
                <w:lang w:val="fr-CH"/>
              </w:rPr>
              <w:t>1987</w:t>
            </w:r>
          </w:p>
        </w:tc>
        <w:tc>
          <w:tcPr>
            <w:tcW w:w="1078"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00" w:lineRule="exact"/>
              <w:jc w:val="right"/>
              <w:rPr>
                <w:i/>
                <w:sz w:val="16"/>
                <w:lang w:val="fr-CH"/>
              </w:rPr>
            </w:pPr>
            <w:r w:rsidRPr="0071782F">
              <w:rPr>
                <w:i/>
                <w:sz w:val="16"/>
                <w:lang w:val="fr-CH"/>
              </w:rPr>
              <w:t>1997</w:t>
            </w:r>
          </w:p>
        </w:tc>
        <w:tc>
          <w:tcPr>
            <w:tcW w:w="1258"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00" w:lineRule="exact"/>
              <w:jc w:val="right"/>
              <w:rPr>
                <w:i/>
                <w:sz w:val="16"/>
                <w:lang w:val="fr-CH"/>
              </w:rPr>
            </w:pPr>
            <w:r w:rsidRPr="0071782F">
              <w:rPr>
                <w:i/>
                <w:sz w:val="16"/>
                <w:lang w:val="fr-CH"/>
              </w:rPr>
              <w:t>2003</w:t>
            </w:r>
          </w:p>
        </w:tc>
        <w:tc>
          <w:tcPr>
            <w:tcW w:w="1078"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00" w:lineRule="exact"/>
              <w:jc w:val="right"/>
              <w:rPr>
                <w:i/>
                <w:sz w:val="16"/>
                <w:lang w:val="fr-CH"/>
              </w:rPr>
            </w:pPr>
            <w:r w:rsidRPr="0071782F">
              <w:rPr>
                <w:i/>
                <w:sz w:val="16"/>
                <w:lang w:val="fr-CH"/>
              </w:rPr>
              <w:t>2004</w:t>
            </w:r>
          </w:p>
        </w:tc>
        <w:tc>
          <w:tcPr>
            <w:tcW w:w="1258"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00" w:lineRule="exact"/>
              <w:jc w:val="right"/>
              <w:rPr>
                <w:i/>
                <w:sz w:val="16"/>
                <w:lang w:val="fr-CH"/>
              </w:rPr>
            </w:pPr>
            <w:r w:rsidRPr="0071782F">
              <w:rPr>
                <w:i/>
                <w:sz w:val="16"/>
                <w:lang w:val="fr-CH"/>
              </w:rPr>
              <w:t>2005</w:t>
            </w:r>
          </w:p>
        </w:tc>
        <w:tc>
          <w:tcPr>
            <w:tcW w:w="1038"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00" w:lineRule="exact"/>
              <w:jc w:val="right"/>
              <w:rPr>
                <w:i/>
                <w:sz w:val="16"/>
                <w:lang w:val="fr-CH"/>
              </w:rPr>
            </w:pPr>
            <w:r w:rsidRPr="0071782F">
              <w:rPr>
                <w:i/>
                <w:sz w:val="16"/>
                <w:lang w:val="fr-CH"/>
              </w:rPr>
              <w:t>2006</w:t>
            </w:r>
          </w:p>
        </w:tc>
      </w:tr>
      <w:tr w:rsidR="009F7C7F" w:rsidRPr="0071782F">
        <w:tc>
          <w:tcPr>
            <w:tcW w:w="1547" w:type="dxa"/>
            <w:tcBorders>
              <w:top w:val="single" w:sz="12" w:space="0" w:color="auto"/>
            </w:tcBorders>
            <w:shd w:val="clear" w:color="auto" w:fill="auto"/>
            <w:vAlign w:val="bottom"/>
          </w:tcPr>
          <w:p w:rsidR="009F7C7F" w:rsidRPr="0071782F" w:rsidRDefault="00A33E36" w:rsidP="00120407">
            <w:pPr>
              <w:suppressAutoHyphens w:val="0"/>
              <w:spacing w:before="40" w:after="40" w:line="220" w:lineRule="exact"/>
              <w:rPr>
                <w:sz w:val="18"/>
                <w:lang w:val="fr-CH"/>
              </w:rPr>
            </w:pPr>
            <w:r w:rsidRPr="0071782F">
              <w:rPr>
                <w:sz w:val="18"/>
                <w:lang w:val="fr-CH"/>
              </w:rPr>
              <w:t>Hommes et garçons</w:t>
            </w:r>
          </w:p>
        </w:tc>
        <w:tc>
          <w:tcPr>
            <w:tcW w:w="1258" w:type="dxa"/>
            <w:tcBorders>
              <w:top w:val="single" w:sz="12" w:space="0" w:color="auto"/>
            </w:tcBorders>
            <w:shd w:val="clear" w:color="auto" w:fill="auto"/>
            <w:vAlign w:val="bottom"/>
          </w:tcPr>
          <w:p w:rsidR="009F7C7F" w:rsidRPr="0071782F" w:rsidRDefault="009F7C7F" w:rsidP="00120407">
            <w:pPr>
              <w:suppressAutoHyphens w:val="0"/>
              <w:spacing w:before="40" w:after="40" w:line="220" w:lineRule="exact"/>
              <w:jc w:val="right"/>
              <w:rPr>
                <w:sz w:val="18"/>
                <w:lang w:val="fr-CH"/>
              </w:rPr>
            </w:pPr>
            <w:r w:rsidRPr="0071782F">
              <w:rPr>
                <w:sz w:val="18"/>
                <w:lang w:val="fr-CH"/>
              </w:rPr>
              <w:t>525 027</w:t>
            </w:r>
          </w:p>
        </w:tc>
        <w:tc>
          <w:tcPr>
            <w:tcW w:w="1078" w:type="dxa"/>
            <w:tcBorders>
              <w:top w:val="single" w:sz="12" w:space="0" w:color="auto"/>
            </w:tcBorders>
            <w:shd w:val="clear" w:color="auto" w:fill="auto"/>
            <w:vAlign w:val="bottom"/>
          </w:tcPr>
          <w:p w:rsidR="009F7C7F" w:rsidRPr="0071782F" w:rsidRDefault="009F7C7F" w:rsidP="00120407">
            <w:pPr>
              <w:suppressAutoHyphens w:val="0"/>
              <w:spacing w:before="40" w:after="40" w:line="220" w:lineRule="exact"/>
              <w:jc w:val="right"/>
              <w:rPr>
                <w:sz w:val="18"/>
                <w:lang w:val="fr-CH"/>
              </w:rPr>
            </w:pPr>
            <w:r w:rsidRPr="0071782F">
              <w:rPr>
                <w:sz w:val="18"/>
                <w:lang w:val="fr-CH"/>
              </w:rPr>
              <w:t>322 417</w:t>
            </w:r>
          </w:p>
        </w:tc>
        <w:tc>
          <w:tcPr>
            <w:tcW w:w="1258" w:type="dxa"/>
            <w:tcBorders>
              <w:top w:val="single" w:sz="12" w:space="0" w:color="auto"/>
            </w:tcBorders>
            <w:shd w:val="clear" w:color="auto" w:fill="auto"/>
            <w:vAlign w:val="bottom"/>
          </w:tcPr>
          <w:p w:rsidR="009F7C7F" w:rsidRPr="0071782F" w:rsidRDefault="009F7C7F" w:rsidP="00120407">
            <w:pPr>
              <w:suppressAutoHyphens w:val="0"/>
              <w:spacing w:before="40" w:after="40" w:line="220" w:lineRule="exact"/>
              <w:jc w:val="right"/>
              <w:rPr>
                <w:sz w:val="18"/>
                <w:lang w:val="fr-CH"/>
              </w:rPr>
            </w:pPr>
            <w:r w:rsidRPr="0071782F">
              <w:rPr>
                <w:sz w:val="18"/>
                <w:lang w:val="fr-CH"/>
              </w:rPr>
              <w:t>366 166</w:t>
            </w:r>
          </w:p>
        </w:tc>
        <w:tc>
          <w:tcPr>
            <w:tcW w:w="1078" w:type="dxa"/>
            <w:tcBorders>
              <w:top w:val="single" w:sz="12" w:space="0" w:color="auto"/>
            </w:tcBorders>
            <w:shd w:val="clear" w:color="auto" w:fill="auto"/>
            <w:vAlign w:val="bottom"/>
          </w:tcPr>
          <w:p w:rsidR="009F7C7F" w:rsidRPr="0071782F" w:rsidRDefault="009F7C7F" w:rsidP="00120407">
            <w:pPr>
              <w:suppressAutoHyphens w:val="0"/>
              <w:spacing w:before="40" w:after="40" w:line="220" w:lineRule="exact"/>
              <w:jc w:val="right"/>
              <w:rPr>
                <w:sz w:val="18"/>
                <w:lang w:val="fr-CH"/>
              </w:rPr>
            </w:pPr>
            <w:r w:rsidRPr="0071782F">
              <w:rPr>
                <w:sz w:val="18"/>
                <w:lang w:val="fr-CH"/>
              </w:rPr>
              <w:t>419 232</w:t>
            </w:r>
          </w:p>
        </w:tc>
        <w:tc>
          <w:tcPr>
            <w:tcW w:w="1258" w:type="dxa"/>
            <w:tcBorders>
              <w:top w:val="single" w:sz="12" w:space="0" w:color="auto"/>
            </w:tcBorders>
            <w:shd w:val="clear" w:color="auto" w:fill="auto"/>
            <w:vAlign w:val="bottom"/>
          </w:tcPr>
          <w:p w:rsidR="009F7C7F" w:rsidRPr="0071782F" w:rsidRDefault="009F7C7F" w:rsidP="00120407">
            <w:pPr>
              <w:suppressAutoHyphens w:val="0"/>
              <w:spacing w:before="40" w:after="40" w:line="220" w:lineRule="exact"/>
              <w:jc w:val="right"/>
              <w:rPr>
                <w:sz w:val="18"/>
                <w:lang w:val="fr-CH"/>
              </w:rPr>
            </w:pPr>
            <w:r w:rsidRPr="0071782F">
              <w:rPr>
                <w:sz w:val="18"/>
                <w:lang w:val="fr-CH"/>
              </w:rPr>
              <w:t>356 476</w:t>
            </w:r>
          </w:p>
        </w:tc>
        <w:tc>
          <w:tcPr>
            <w:tcW w:w="1038" w:type="dxa"/>
            <w:tcBorders>
              <w:top w:val="single" w:sz="12" w:space="0" w:color="auto"/>
            </w:tcBorders>
            <w:shd w:val="clear" w:color="auto" w:fill="auto"/>
            <w:vAlign w:val="bottom"/>
          </w:tcPr>
          <w:p w:rsidR="009F7C7F" w:rsidRPr="0071782F" w:rsidRDefault="009F7C7F" w:rsidP="00120407">
            <w:pPr>
              <w:suppressAutoHyphens w:val="0"/>
              <w:spacing w:before="40" w:after="40" w:line="220" w:lineRule="exact"/>
              <w:jc w:val="right"/>
              <w:rPr>
                <w:sz w:val="18"/>
                <w:lang w:val="fr-CH"/>
              </w:rPr>
            </w:pPr>
            <w:r w:rsidRPr="0071782F">
              <w:rPr>
                <w:sz w:val="18"/>
                <w:lang w:val="fr-CH"/>
              </w:rPr>
              <w:t>361 499</w:t>
            </w:r>
          </w:p>
        </w:tc>
      </w:tr>
      <w:tr w:rsidR="009F7C7F" w:rsidRPr="0071782F">
        <w:tc>
          <w:tcPr>
            <w:tcW w:w="1547" w:type="dxa"/>
            <w:tcBorders>
              <w:bottom w:val="single" w:sz="4" w:space="0" w:color="auto"/>
            </w:tcBorders>
            <w:shd w:val="clear" w:color="auto" w:fill="auto"/>
            <w:vAlign w:val="bottom"/>
          </w:tcPr>
          <w:p w:rsidR="009F7C7F" w:rsidRPr="0071782F" w:rsidRDefault="00A33E36" w:rsidP="00120407">
            <w:pPr>
              <w:suppressAutoHyphens w:val="0"/>
              <w:spacing w:before="40" w:after="40" w:line="220" w:lineRule="exact"/>
              <w:rPr>
                <w:sz w:val="18"/>
                <w:lang w:val="fr-CH"/>
              </w:rPr>
            </w:pPr>
            <w:r w:rsidRPr="0071782F">
              <w:rPr>
                <w:sz w:val="18"/>
                <w:lang w:val="fr-CH"/>
              </w:rPr>
              <w:t>Femmes et filles</w:t>
            </w:r>
          </w:p>
        </w:tc>
        <w:tc>
          <w:tcPr>
            <w:tcW w:w="1258" w:type="dxa"/>
            <w:tcBorders>
              <w:bottom w:val="single" w:sz="4" w:space="0" w:color="auto"/>
            </w:tcBorders>
            <w:shd w:val="clear" w:color="auto" w:fill="auto"/>
            <w:vAlign w:val="bottom"/>
          </w:tcPr>
          <w:p w:rsidR="009F7C7F" w:rsidRPr="0071782F" w:rsidRDefault="009F7C7F" w:rsidP="00120407">
            <w:pPr>
              <w:suppressAutoHyphens w:val="0"/>
              <w:spacing w:before="40" w:after="40" w:line="220" w:lineRule="exact"/>
              <w:jc w:val="right"/>
              <w:rPr>
                <w:sz w:val="18"/>
                <w:lang w:val="fr-CH"/>
              </w:rPr>
            </w:pPr>
            <w:r w:rsidRPr="0071782F">
              <w:rPr>
                <w:sz w:val="18"/>
                <w:lang w:val="fr-CH"/>
              </w:rPr>
              <w:t>1 017 611</w:t>
            </w:r>
          </w:p>
        </w:tc>
        <w:tc>
          <w:tcPr>
            <w:tcW w:w="1078" w:type="dxa"/>
            <w:tcBorders>
              <w:bottom w:val="single" w:sz="4" w:space="0" w:color="auto"/>
            </w:tcBorders>
            <w:shd w:val="clear" w:color="auto" w:fill="auto"/>
            <w:vAlign w:val="bottom"/>
          </w:tcPr>
          <w:p w:rsidR="009F7C7F" w:rsidRPr="0071782F" w:rsidRDefault="009F7C7F" w:rsidP="00120407">
            <w:pPr>
              <w:suppressAutoHyphens w:val="0"/>
              <w:spacing w:before="40" w:after="40" w:line="220" w:lineRule="exact"/>
              <w:jc w:val="right"/>
              <w:rPr>
                <w:sz w:val="18"/>
                <w:lang w:val="fr-CH"/>
              </w:rPr>
            </w:pPr>
            <w:r w:rsidRPr="0071782F">
              <w:rPr>
                <w:sz w:val="18"/>
                <w:lang w:val="fr-CH"/>
              </w:rPr>
              <w:t>1 037 993</w:t>
            </w:r>
          </w:p>
        </w:tc>
        <w:tc>
          <w:tcPr>
            <w:tcW w:w="1258" w:type="dxa"/>
            <w:tcBorders>
              <w:bottom w:val="single" w:sz="4" w:space="0" w:color="auto"/>
            </w:tcBorders>
            <w:shd w:val="clear" w:color="auto" w:fill="auto"/>
            <w:vAlign w:val="bottom"/>
          </w:tcPr>
          <w:p w:rsidR="009F7C7F" w:rsidRPr="0071782F" w:rsidRDefault="009F7C7F" w:rsidP="00120407">
            <w:pPr>
              <w:suppressAutoHyphens w:val="0"/>
              <w:spacing w:before="40" w:after="40" w:line="220" w:lineRule="exact"/>
              <w:jc w:val="right"/>
              <w:rPr>
                <w:sz w:val="18"/>
                <w:lang w:val="fr-CH"/>
              </w:rPr>
            </w:pPr>
            <w:r w:rsidRPr="0071782F">
              <w:rPr>
                <w:sz w:val="18"/>
                <w:lang w:val="fr-CH"/>
              </w:rPr>
              <w:t>1 176 422</w:t>
            </w:r>
          </w:p>
        </w:tc>
        <w:tc>
          <w:tcPr>
            <w:tcW w:w="1078" w:type="dxa"/>
            <w:tcBorders>
              <w:bottom w:val="single" w:sz="4" w:space="0" w:color="auto"/>
            </w:tcBorders>
            <w:shd w:val="clear" w:color="auto" w:fill="auto"/>
            <w:vAlign w:val="bottom"/>
          </w:tcPr>
          <w:p w:rsidR="009F7C7F" w:rsidRPr="0071782F" w:rsidRDefault="009F7C7F" w:rsidP="00120407">
            <w:pPr>
              <w:suppressAutoHyphens w:val="0"/>
              <w:spacing w:before="40" w:after="40" w:line="220" w:lineRule="exact"/>
              <w:jc w:val="right"/>
              <w:rPr>
                <w:sz w:val="18"/>
                <w:lang w:val="fr-CH"/>
              </w:rPr>
            </w:pPr>
            <w:r w:rsidRPr="0071782F">
              <w:rPr>
                <w:sz w:val="18"/>
                <w:lang w:val="fr-CH"/>
              </w:rPr>
              <w:t>1 346 911</w:t>
            </w:r>
          </w:p>
        </w:tc>
        <w:tc>
          <w:tcPr>
            <w:tcW w:w="1258" w:type="dxa"/>
            <w:tcBorders>
              <w:bottom w:val="single" w:sz="4" w:space="0" w:color="auto"/>
            </w:tcBorders>
            <w:shd w:val="clear" w:color="auto" w:fill="auto"/>
            <w:vAlign w:val="bottom"/>
          </w:tcPr>
          <w:p w:rsidR="009F7C7F" w:rsidRPr="0071782F" w:rsidRDefault="009F7C7F" w:rsidP="00120407">
            <w:pPr>
              <w:suppressAutoHyphens w:val="0"/>
              <w:spacing w:before="40" w:after="40" w:line="220" w:lineRule="exact"/>
              <w:jc w:val="right"/>
              <w:rPr>
                <w:sz w:val="18"/>
                <w:lang w:val="fr-CH"/>
              </w:rPr>
            </w:pPr>
            <w:r w:rsidRPr="0071782F">
              <w:rPr>
                <w:sz w:val="18"/>
                <w:lang w:val="fr-CH"/>
              </w:rPr>
              <w:t>1 145 289</w:t>
            </w:r>
          </w:p>
        </w:tc>
        <w:tc>
          <w:tcPr>
            <w:tcW w:w="1038" w:type="dxa"/>
            <w:tcBorders>
              <w:bottom w:val="single" w:sz="4" w:space="0" w:color="auto"/>
            </w:tcBorders>
            <w:shd w:val="clear" w:color="auto" w:fill="auto"/>
            <w:vAlign w:val="bottom"/>
          </w:tcPr>
          <w:p w:rsidR="009F7C7F" w:rsidRPr="0071782F" w:rsidRDefault="009F7C7F" w:rsidP="00120407">
            <w:pPr>
              <w:suppressAutoHyphens w:val="0"/>
              <w:spacing w:before="40" w:after="40" w:line="220" w:lineRule="exact"/>
              <w:jc w:val="right"/>
              <w:rPr>
                <w:sz w:val="18"/>
                <w:lang w:val="fr-CH"/>
              </w:rPr>
            </w:pPr>
            <w:r w:rsidRPr="0071782F">
              <w:rPr>
                <w:sz w:val="18"/>
                <w:lang w:val="fr-CH"/>
              </w:rPr>
              <w:t>1 163 815</w:t>
            </w:r>
          </w:p>
        </w:tc>
      </w:tr>
      <w:tr w:rsidR="009F7C7F" w:rsidRPr="0071782F">
        <w:tc>
          <w:tcPr>
            <w:tcW w:w="1547"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20" w:lineRule="exact"/>
              <w:ind w:left="284"/>
              <w:rPr>
                <w:b/>
                <w:sz w:val="18"/>
                <w:lang w:val="fr-CH"/>
              </w:rPr>
            </w:pPr>
            <w:r w:rsidRPr="0071782F">
              <w:rPr>
                <w:b/>
                <w:sz w:val="18"/>
                <w:lang w:val="fr-CH"/>
              </w:rPr>
              <w:t>Total</w:t>
            </w:r>
          </w:p>
        </w:tc>
        <w:tc>
          <w:tcPr>
            <w:tcW w:w="1258"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20" w:lineRule="exact"/>
              <w:jc w:val="right"/>
              <w:rPr>
                <w:b/>
                <w:sz w:val="18"/>
                <w:lang w:val="fr-CH"/>
              </w:rPr>
            </w:pPr>
            <w:r w:rsidRPr="0071782F">
              <w:rPr>
                <w:b/>
                <w:sz w:val="18"/>
                <w:lang w:val="fr-CH"/>
              </w:rPr>
              <w:t>1 542 638</w:t>
            </w:r>
          </w:p>
        </w:tc>
        <w:tc>
          <w:tcPr>
            <w:tcW w:w="1078"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20" w:lineRule="exact"/>
              <w:jc w:val="right"/>
              <w:rPr>
                <w:b/>
                <w:sz w:val="18"/>
                <w:lang w:val="fr-CH"/>
              </w:rPr>
            </w:pPr>
            <w:r w:rsidRPr="0071782F">
              <w:rPr>
                <w:b/>
                <w:sz w:val="18"/>
                <w:lang w:val="fr-CH"/>
              </w:rPr>
              <w:t>1 360 410</w:t>
            </w:r>
          </w:p>
        </w:tc>
        <w:tc>
          <w:tcPr>
            <w:tcW w:w="1258"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20" w:lineRule="exact"/>
              <w:jc w:val="right"/>
              <w:rPr>
                <w:b/>
                <w:sz w:val="18"/>
                <w:lang w:val="fr-CH"/>
              </w:rPr>
            </w:pPr>
            <w:r w:rsidRPr="0071782F">
              <w:rPr>
                <w:b/>
                <w:sz w:val="18"/>
                <w:lang w:val="fr-CH"/>
              </w:rPr>
              <w:t>1 542 588</w:t>
            </w:r>
          </w:p>
        </w:tc>
        <w:tc>
          <w:tcPr>
            <w:tcW w:w="1078"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20" w:lineRule="exact"/>
              <w:jc w:val="right"/>
              <w:rPr>
                <w:b/>
                <w:sz w:val="18"/>
                <w:lang w:val="fr-CH"/>
              </w:rPr>
            </w:pPr>
            <w:r w:rsidRPr="0071782F">
              <w:rPr>
                <w:b/>
                <w:sz w:val="18"/>
                <w:lang w:val="fr-CH"/>
              </w:rPr>
              <w:t>1 766 143</w:t>
            </w:r>
          </w:p>
        </w:tc>
        <w:tc>
          <w:tcPr>
            <w:tcW w:w="1258"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20" w:lineRule="exact"/>
              <w:jc w:val="right"/>
              <w:rPr>
                <w:b/>
                <w:sz w:val="18"/>
                <w:lang w:val="fr-CH"/>
              </w:rPr>
            </w:pPr>
            <w:r w:rsidRPr="0071782F">
              <w:rPr>
                <w:b/>
                <w:sz w:val="18"/>
                <w:lang w:val="fr-CH"/>
              </w:rPr>
              <w:t>1 501 765</w:t>
            </w:r>
          </w:p>
        </w:tc>
        <w:tc>
          <w:tcPr>
            <w:tcW w:w="1038"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20" w:lineRule="exact"/>
              <w:jc w:val="right"/>
              <w:rPr>
                <w:b/>
                <w:sz w:val="18"/>
                <w:lang w:val="fr-CH"/>
              </w:rPr>
            </w:pPr>
            <w:r w:rsidRPr="0071782F">
              <w:rPr>
                <w:b/>
                <w:sz w:val="18"/>
                <w:lang w:val="fr-CH"/>
              </w:rPr>
              <w:t>1 525 314</w:t>
            </w:r>
          </w:p>
        </w:tc>
      </w:tr>
    </w:tbl>
    <w:p w:rsidR="009F7C7F" w:rsidRPr="0071782F" w:rsidRDefault="009F7C7F" w:rsidP="00496C06">
      <w:pPr>
        <w:pStyle w:val="H23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92511D" w:rsidRPr="0071782F">
        <w:rPr>
          <w:lang w:val="fr-CH"/>
        </w:rPr>
        <w:t>de famille</w:t>
      </w:r>
      <w:r w:rsidR="00A33E36" w:rsidRPr="0071782F">
        <w:rPr>
          <w:lang w:val="fr-CH"/>
        </w:rPr>
        <w:t xml:space="preserve">s de détenus couvertes par le Comité de secours de l’Imam Khomeini </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851"/>
        <w:gridCol w:w="850"/>
        <w:gridCol w:w="810"/>
        <w:gridCol w:w="918"/>
        <w:gridCol w:w="1069"/>
        <w:gridCol w:w="918"/>
        <w:gridCol w:w="1069"/>
        <w:gridCol w:w="885"/>
      </w:tblGrid>
      <w:tr w:rsidR="009F7C7F" w:rsidRPr="0071782F">
        <w:trPr>
          <w:tblHeader/>
        </w:trPr>
        <w:tc>
          <w:tcPr>
            <w:tcW w:w="1701" w:type="dxa"/>
            <w:gridSpan w:val="2"/>
            <w:tcBorders>
              <w:top w:val="single" w:sz="4" w:space="0" w:color="auto"/>
              <w:bottom w:val="single" w:sz="12" w:space="0" w:color="auto"/>
            </w:tcBorders>
            <w:shd w:val="clear" w:color="000000" w:fill="auto"/>
            <w:vAlign w:val="bottom"/>
          </w:tcPr>
          <w:p w:rsidR="009F7C7F" w:rsidRPr="0071782F" w:rsidRDefault="00A33E36" w:rsidP="000838E6">
            <w:pPr>
              <w:keepNext/>
              <w:suppressAutoHyphens w:val="0"/>
              <w:spacing w:before="80" w:after="80" w:line="200" w:lineRule="exact"/>
              <w:rPr>
                <w:i/>
                <w:sz w:val="16"/>
                <w:lang w:val="fr-CH"/>
              </w:rPr>
            </w:pPr>
            <w:r w:rsidRPr="0071782F">
              <w:rPr>
                <w:i/>
                <w:sz w:val="16"/>
                <w:lang w:val="fr-CH"/>
              </w:rPr>
              <w:t>Année</w:t>
            </w:r>
          </w:p>
        </w:tc>
        <w:tc>
          <w:tcPr>
            <w:tcW w:w="810" w:type="dxa"/>
            <w:tcBorders>
              <w:top w:val="single" w:sz="4" w:space="0" w:color="auto"/>
              <w:bottom w:val="single" w:sz="12" w:space="0" w:color="auto"/>
            </w:tcBorders>
            <w:shd w:val="clear" w:color="000000"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1987</w:t>
            </w:r>
          </w:p>
        </w:tc>
        <w:tc>
          <w:tcPr>
            <w:tcW w:w="918" w:type="dxa"/>
            <w:tcBorders>
              <w:top w:val="single" w:sz="4" w:space="0" w:color="auto"/>
              <w:bottom w:val="single" w:sz="12" w:space="0" w:color="auto"/>
            </w:tcBorders>
            <w:shd w:val="clear" w:color="000000"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1997</w:t>
            </w:r>
          </w:p>
        </w:tc>
        <w:tc>
          <w:tcPr>
            <w:tcW w:w="1069" w:type="dxa"/>
            <w:tcBorders>
              <w:top w:val="single" w:sz="4" w:space="0" w:color="auto"/>
              <w:bottom w:val="single" w:sz="12" w:space="0" w:color="auto"/>
            </w:tcBorders>
            <w:shd w:val="clear" w:color="000000"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2003</w:t>
            </w:r>
          </w:p>
        </w:tc>
        <w:tc>
          <w:tcPr>
            <w:tcW w:w="918" w:type="dxa"/>
            <w:tcBorders>
              <w:top w:val="single" w:sz="4" w:space="0" w:color="auto"/>
              <w:bottom w:val="single" w:sz="12" w:space="0" w:color="auto"/>
            </w:tcBorders>
            <w:shd w:val="clear" w:color="000000"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2004</w:t>
            </w:r>
          </w:p>
        </w:tc>
        <w:tc>
          <w:tcPr>
            <w:tcW w:w="1069" w:type="dxa"/>
            <w:tcBorders>
              <w:top w:val="single" w:sz="4" w:space="0" w:color="auto"/>
              <w:bottom w:val="single" w:sz="12" w:space="0" w:color="auto"/>
            </w:tcBorders>
            <w:shd w:val="clear" w:color="000000"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2005</w:t>
            </w:r>
          </w:p>
        </w:tc>
        <w:tc>
          <w:tcPr>
            <w:tcW w:w="885" w:type="dxa"/>
            <w:tcBorders>
              <w:top w:val="single" w:sz="4" w:space="0" w:color="auto"/>
              <w:bottom w:val="single" w:sz="12" w:space="0" w:color="auto"/>
            </w:tcBorders>
            <w:shd w:val="clear" w:color="000000"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2006</w:t>
            </w:r>
          </w:p>
        </w:tc>
      </w:tr>
      <w:tr w:rsidR="00D216A1" w:rsidRPr="0071782F">
        <w:tc>
          <w:tcPr>
            <w:tcW w:w="1701" w:type="dxa"/>
            <w:gridSpan w:val="2"/>
            <w:tcBorders>
              <w:top w:val="single" w:sz="12" w:space="0" w:color="auto"/>
            </w:tcBorders>
            <w:shd w:val="clear" w:color="000000" w:fill="auto"/>
            <w:vAlign w:val="bottom"/>
          </w:tcPr>
          <w:p w:rsidR="00D216A1" w:rsidRPr="0071782F" w:rsidRDefault="00D216A1" w:rsidP="000838E6">
            <w:pPr>
              <w:keepNext/>
              <w:suppressAutoHyphens w:val="0"/>
              <w:spacing w:before="40" w:after="40" w:line="220" w:lineRule="exact"/>
              <w:rPr>
                <w:sz w:val="18"/>
                <w:lang w:val="fr-CH"/>
              </w:rPr>
            </w:pPr>
            <w:r w:rsidRPr="0071782F">
              <w:rPr>
                <w:sz w:val="18"/>
                <w:lang w:val="fr-CH"/>
              </w:rPr>
              <w:t>Famil</w:t>
            </w:r>
            <w:r w:rsidR="00A33E36" w:rsidRPr="0071782F">
              <w:rPr>
                <w:sz w:val="18"/>
                <w:lang w:val="fr-CH"/>
              </w:rPr>
              <w:t>les</w:t>
            </w:r>
          </w:p>
        </w:tc>
        <w:tc>
          <w:tcPr>
            <w:tcW w:w="810" w:type="dxa"/>
            <w:tcBorders>
              <w:top w:val="single" w:sz="12" w:space="0" w:color="auto"/>
            </w:tcBorders>
            <w:shd w:val="clear" w:color="000000" w:fill="auto"/>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w:t>
            </w:r>
          </w:p>
        </w:tc>
        <w:tc>
          <w:tcPr>
            <w:tcW w:w="918" w:type="dxa"/>
            <w:tcBorders>
              <w:top w:val="single" w:sz="12" w:space="0" w:color="auto"/>
            </w:tcBorders>
            <w:shd w:val="clear" w:color="000000" w:fill="auto"/>
            <w:vAlign w:val="bottom"/>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36 208</w:t>
            </w:r>
          </w:p>
        </w:tc>
        <w:tc>
          <w:tcPr>
            <w:tcW w:w="1069" w:type="dxa"/>
            <w:tcBorders>
              <w:top w:val="single" w:sz="12" w:space="0" w:color="auto"/>
            </w:tcBorders>
            <w:shd w:val="clear" w:color="000000" w:fill="auto"/>
            <w:vAlign w:val="bottom"/>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30 798</w:t>
            </w:r>
          </w:p>
        </w:tc>
        <w:tc>
          <w:tcPr>
            <w:tcW w:w="918" w:type="dxa"/>
            <w:tcBorders>
              <w:top w:val="single" w:sz="12" w:space="0" w:color="auto"/>
            </w:tcBorders>
            <w:shd w:val="clear" w:color="000000" w:fill="auto"/>
            <w:vAlign w:val="bottom"/>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27 512</w:t>
            </w:r>
          </w:p>
        </w:tc>
        <w:tc>
          <w:tcPr>
            <w:tcW w:w="1069" w:type="dxa"/>
            <w:tcBorders>
              <w:top w:val="single" w:sz="12" w:space="0" w:color="auto"/>
            </w:tcBorders>
            <w:shd w:val="clear" w:color="000000" w:fill="auto"/>
            <w:vAlign w:val="bottom"/>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27 619</w:t>
            </w:r>
          </w:p>
        </w:tc>
        <w:tc>
          <w:tcPr>
            <w:tcW w:w="885" w:type="dxa"/>
            <w:tcBorders>
              <w:top w:val="single" w:sz="12" w:space="0" w:color="auto"/>
            </w:tcBorders>
            <w:shd w:val="clear" w:color="000000" w:fill="auto"/>
            <w:vAlign w:val="bottom"/>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26 782</w:t>
            </w:r>
          </w:p>
        </w:tc>
      </w:tr>
      <w:tr w:rsidR="00D216A1" w:rsidRPr="0071782F">
        <w:tc>
          <w:tcPr>
            <w:tcW w:w="851" w:type="dxa"/>
            <w:vMerge w:val="restart"/>
            <w:shd w:val="clear" w:color="000000" w:fill="auto"/>
          </w:tcPr>
          <w:p w:rsidR="00D216A1" w:rsidRPr="0071782F" w:rsidRDefault="00D216A1" w:rsidP="000838E6">
            <w:pPr>
              <w:keepNext/>
              <w:suppressAutoHyphens w:val="0"/>
              <w:spacing w:before="40" w:after="40" w:line="220" w:lineRule="exact"/>
              <w:rPr>
                <w:sz w:val="18"/>
                <w:lang w:val="fr-CH"/>
              </w:rPr>
            </w:pPr>
            <w:r w:rsidRPr="0071782F">
              <w:rPr>
                <w:sz w:val="18"/>
                <w:lang w:val="fr-CH"/>
              </w:rPr>
              <w:t>Pe</w:t>
            </w:r>
            <w:r w:rsidR="00A33E36" w:rsidRPr="0071782F">
              <w:rPr>
                <w:sz w:val="18"/>
                <w:lang w:val="fr-CH"/>
              </w:rPr>
              <w:t xml:space="preserve">rsonnes </w:t>
            </w:r>
          </w:p>
        </w:tc>
        <w:tc>
          <w:tcPr>
            <w:tcW w:w="850" w:type="dxa"/>
            <w:shd w:val="clear" w:color="000000" w:fill="auto"/>
          </w:tcPr>
          <w:p w:rsidR="00D216A1" w:rsidRPr="0071782F" w:rsidRDefault="00A33E36" w:rsidP="000838E6">
            <w:pPr>
              <w:keepNext/>
              <w:suppressAutoHyphens w:val="0"/>
              <w:rPr>
                <w:lang w:val="fr-CH"/>
              </w:rPr>
            </w:pPr>
            <w:r w:rsidRPr="0071782F">
              <w:rPr>
                <w:sz w:val="18"/>
                <w:lang w:val="fr-CH"/>
              </w:rPr>
              <w:t>Hommes</w:t>
            </w:r>
          </w:p>
        </w:tc>
        <w:tc>
          <w:tcPr>
            <w:tcW w:w="810" w:type="dxa"/>
            <w:shd w:val="clear" w:color="000000" w:fill="auto"/>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w:t>
            </w:r>
          </w:p>
        </w:tc>
        <w:tc>
          <w:tcPr>
            <w:tcW w:w="918" w:type="dxa"/>
            <w:shd w:val="clear" w:color="000000" w:fill="auto"/>
            <w:vAlign w:val="bottom"/>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52 897</w:t>
            </w:r>
          </w:p>
        </w:tc>
        <w:tc>
          <w:tcPr>
            <w:tcW w:w="1069" w:type="dxa"/>
            <w:shd w:val="clear" w:color="000000" w:fill="auto"/>
            <w:vAlign w:val="bottom"/>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36 849</w:t>
            </w:r>
          </w:p>
        </w:tc>
        <w:tc>
          <w:tcPr>
            <w:tcW w:w="918" w:type="dxa"/>
            <w:shd w:val="clear" w:color="000000" w:fill="auto"/>
            <w:vAlign w:val="bottom"/>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31 076</w:t>
            </w:r>
          </w:p>
        </w:tc>
        <w:tc>
          <w:tcPr>
            <w:tcW w:w="1069" w:type="dxa"/>
            <w:shd w:val="clear" w:color="000000" w:fill="auto"/>
            <w:vAlign w:val="bottom"/>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29 135</w:t>
            </w:r>
          </w:p>
        </w:tc>
        <w:tc>
          <w:tcPr>
            <w:tcW w:w="885" w:type="dxa"/>
            <w:shd w:val="clear" w:color="000000" w:fill="auto"/>
            <w:vAlign w:val="bottom"/>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27 167</w:t>
            </w:r>
          </w:p>
        </w:tc>
      </w:tr>
      <w:tr w:rsidR="00D216A1" w:rsidRPr="0071782F">
        <w:tc>
          <w:tcPr>
            <w:tcW w:w="851" w:type="dxa"/>
            <w:vMerge/>
            <w:tcBorders>
              <w:bottom w:val="single" w:sz="4" w:space="0" w:color="auto"/>
            </w:tcBorders>
            <w:shd w:val="clear" w:color="000000" w:fill="auto"/>
            <w:vAlign w:val="bottom"/>
          </w:tcPr>
          <w:p w:rsidR="00D216A1" w:rsidRPr="0071782F" w:rsidRDefault="00D216A1" w:rsidP="000838E6">
            <w:pPr>
              <w:keepNext/>
              <w:suppressAutoHyphens w:val="0"/>
              <w:spacing w:before="40" w:after="40" w:line="220" w:lineRule="exact"/>
              <w:rPr>
                <w:sz w:val="18"/>
                <w:lang w:val="fr-CH"/>
              </w:rPr>
            </w:pPr>
          </w:p>
        </w:tc>
        <w:tc>
          <w:tcPr>
            <w:tcW w:w="850" w:type="dxa"/>
            <w:tcBorders>
              <w:bottom w:val="single" w:sz="4" w:space="0" w:color="auto"/>
            </w:tcBorders>
            <w:shd w:val="clear" w:color="000000" w:fill="auto"/>
          </w:tcPr>
          <w:p w:rsidR="00D216A1" w:rsidRPr="0071782F" w:rsidRDefault="00A33E36" w:rsidP="000838E6">
            <w:pPr>
              <w:keepNext/>
              <w:suppressAutoHyphens w:val="0"/>
              <w:rPr>
                <w:lang w:val="fr-CH"/>
              </w:rPr>
            </w:pPr>
            <w:r w:rsidRPr="0071782F">
              <w:rPr>
                <w:sz w:val="18"/>
                <w:lang w:val="fr-CH"/>
              </w:rPr>
              <w:t>Femmes</w:t>
            </w:r>
          </w:p>
        </w:tc>
        <w:tc>
          <w:tcPr>
            <w:tcW w:w="810" w:type="dxa"/>
            <w:tcBorders>
              <w:bottom w:val="single" w:sz="4" w:space="0" w:color="auto"/>
            </w:tcBorders>
            <w:shd w:val="clear" w:color="000000" w:fill="auto"/>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w:t>
            </w:r>
          </w:p>
        </w:tc>
        <w:tc>
          <w:tcPr>
            <w:tcW w:w="918" w:type="dxa"/>
            <w:tcBorders>
              <w:bottom w:val="single" w:sz="4" w:space="0" w:color="auto"/>
            </w:tcBorders>
            <w:shd w:val="clear" w:color="000000" w:fill="auto"/>
            <w:vAlign w:val="bottom"/>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93 698</w:t>
            </w:r>
          </w:p>
        </w:tc>
        <w:tc>
          <w:tcPr>
            <w:tcW w:w="1069" w:type="dxa"/>
            <w:tcBorders>
              <w:bottom w:val="single" w:sz="4" w:space="0" w:color="auto"/>
            </w:tcBorders>
            <w:shd w:val="clear" w:color="000000" w:fill="auto"/>
            <w:vAlign w:val="bottom"/>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66 934</w:t>
            </w:r>
          </w:p>
        </w:tc>
        <w:tc>
          <w:tcPr>
            <w:tcW w:w="918" w:type="dxa"/>
            <w:tcBorders>
              <w:bottom w:val="single" w:sz="4" w:space="0" w:color="auto"/>
            </w:tcBorders>
            <w:shd w:val="clear" w:color="000000" w:fill="auto"/>
            <w:vAlign w:val="bottom"/>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59 524</w:t>
            </w:r>
          </w:p>
        </w:tc>
        <w:tc>
          <w:tcPr>
            <w:tcW w:w="1069" w:type="dxa"/>
            <w:tcBorders>
              <w:bottom w:val="single" w:sz="4" w:space="0" w:color="auto"/>
            </w:tcBorders>
            <w:shd w:val="clear" w:color="000000" w:fill="auto"/>
            <w:vAlign w:val="bottom"/>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58 715</w:t>
            </w:r>
          </w:p>
        </w:tc>
        <w:tc>
          <w:tcPr>
            <w:tcW w:w="885" w:type="dxa"/>
            <w:tcBorders>
              <w:bottom w:val="single" w:sz="4" w:space="0" w:color="auto"/>
            </w:tcBorders>
            <w:shd w:val="clear" w:color="000000" w:fill="auto"/>
            <w:vAlign w:val="bottom"/>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55 538</w:t>
            </w:r>
          </w:p>
        </w:tc>
      </w:tr>
      <w:tr w:rsidR="00D216A1" w:rsidRPr="0071782F">
        <w:tc>
          <w:tcPr>
            <w:tcW w:w="1701" w:type="dxa"/>
            <w:gridSpan w:val="2"/>
            <w:tcBorders>
              <w:top w:val="single" w:sz="4" w:space="0" w:color="auto"/>
              <w:bottom w:val="single" w:sz="12" w:space="0" w:color="auto"/>
            </w:tcBorders>
            <w:shd w:val="clear" w:color="000000" w:fill="auto"/>
            <w:vAlign w:val="bottom"/>
          </w:tcPr>
          <w:p w:rsidR="00D216A1" w:rsidRPr="0071782F" w:rsidRDefault="00D216A1" w:rsidP="000838E6">
            <w:pPr>
              <w:keepNext/>
              <w:suppressAutoHyphens w:val="0"/>
              <w:spacing w:before="80" w:after="80" w:line="220" w:lineRule="exact"/>
              <w:ind w:left="284"/>
              <w:rPr>
                <w:b/>
                <w:sz w:val="18"/>
                <w:lang w:val="fr-CH"/>
              </w:rPr>
            </w:pPr>
            <w:r w:rsidRPr="0071782F">
              <w:rPr>
                <w:b/>
                <w:sz w:val="18"/>
                <w:lang w:val="fr-CH"/>
              </w:rPr>
              <w:t>Total</w:t>
            </w:r>
          </w:p>
        </w:tc>
        <w:tc>
          <w:tcPr>
            <w:tcW w:w="810" w:type="dxa"/>
            <w:tcBorders>
              <w:top w:val="single" w:sz="4" w:space="0" w:color="auto"/>
              <w:bottom w:val="single" w:sz="12" w:space="0" w:color="auto"/>
            </w:tcBorders>
            <w:shd w:val="clear" w:color="000000" w:fill="auto"/>
          </w:tcPr>
          <w:p w:rsidR="00D216A1" w:rsidRPr="0071782F" w:rsidRDefault="00D216A1" w:rsidP="000838E6">
            <w:pPr>
              <w:keepNext/>
              <w:suppressAutoHyphens w:val="0"/>
              <w:spacing w:before="40" w:after="40" w:line="220" w:lineRule="exact"/>
              <w:jc w:val="right"/>
              <w:rPr>
                <w:sz w:val="18"/>
                <w:lang w:val="fr-CH"/>
              </w:rPr>
            </w:pPr>
            <w:r w:rsidRPr="0071782F">
              <w:rPr>
                <w:sz w:val="18"/>
                <w:lang w:val="fr-CH"/>
              </w:rPr>
              <w:t>–</w:t>
            </w:r>
          </w:p>
        </w:tc>
        <w:tc>
          <w:tcPr>
            <w:tcW w:w="918" w:type="dxa"/>
            <w:tcBorders>
              <w:top w:val="single" w:sz="4" w:space="0" w:color="auto"/>
              <w:bottom w:val="single" w:sz="12" w:space="0" w:color="auto"/>
            </w:tcBorders>
            <w:shd w:val="clear" w:color="000000" w:fill="auto"/>
            <w:vAlign w:val="bottom"/>
          </w:tcPr>
          <w:p w:rsidR="00D216A1" w:rsidRPr="0071782F" w:rsidRDefault="00D216A1" w:rsidP="000838E6">
            <w:pPr>
              <w:keepNext/>
              <w:suppressAutoHyphens w:val="0"/>
              <w:spacing w:before="80" w:after="80" w:line="220" w:lineRule="exact"/>
              <w:jc w:val="right"/>
              <w:rPr>
                <w:b/>
                <w:sz w:val="18"/>
                <w:lang w:val="fr-CH"/>
              </w:rPr>
            </w:pPr>
            <w:r w:rsidRPr="0071782F">
              <w:rPr>
                <w:b/>
                <w:sz w:val="18"/>
                <w:lang w:val="fr-CH"/>
              </w:rPr>
              <w:t>146 595</w:t>
            </w:r>
          </w:p>
        </w:tc>
        <w:tc>
          <w:tcPr>
            <w:tcW w:w="1069" w:type="dxa"/>
            <w:tcBorders>
              <w:top w:val="single" w:sz="4" w:space="0" w:color="auto"/>
              <w:bottom w:val="single" w:sz="12" w:space="0" w:color="auto"/>
            </w:tcBorders>
            <w:shd w:val="clear" w:color="000000" w:fill="auto"/>
            <w:vAlign w:val="bottom"/>
          </w:tcPr>
          <w:p w:rsidR="00D216A1" w:rsidRPr="0071782F" w:rsidRDefault="00D216A1" w:rsidP="000838E6">
            <w:pPr>
              <w:keepNext/>
              <w:suppressAutoHyphens w:val="0"/>
              <w:spacing w:before="80" w:after="80" w:line="220" w:lineRule="exact"/>
              <w:jc w:val="right"/>
              <w:rPr>
                <w:b/>
                <w:sz w:val="18"/>
                <w:lang w:val="fr-CH"/>
              </w:rPr>
            </w:pPr>
            <w:r w:rsidRPr="0071782F">
              <w:rPr>
                <w:b/>
                <w:sz w:val="18"/>
                <w:lang w:val="fr-CH"/>
              </w:rPr>
              <w:t>103 783</w:t>
            </w:r>
          </w:p>
        </w:tc>
        <w:tc>
          <w:tcPr>
            <w:tcW w:w="918" w:type="dxa"/>
            <w:tcBorders>
              <w:top w:val="single" w:sz="4" w:space="0" w:color="auto"/>
              <w:bottom w:val="single" w:sz="12" w:space="0" w:color="auto"/>
            </w:tcBorders>
            <w:shd w:val="clear" w:color="000000" w:fill="auto"/>
            <w:vAlign w:val="bottom"/>
          </w:tcPr>
          <w:p w:rsidR="00D216A1" w:rsidRPr="0071782F" w:rsidRDefault="00D216A1" w:rsidP="000838E6">
            <w:pPr>
              <w:keepNext/>
              <w:suppressAutoHyphens w:val="0"/>
              <w:spacing w:before="80" w:after="80" w:line="220" w:lineRule="exact"/>
              <w:jc w:val="right"/>
              <w:rPr>
                <w:b/>
                <w:sz w:val="18"/>
                <w:lang w:val="fr-CH"/>
              </w:rPr>
            </w:pPr>
            <w:r w:rsidRPr="0071782F">
              <w:rPr>
                <w:b/>
                <w:sz w:val="18"/>
                <w:lang w:val="fr-CH"/>
              </w:rPr>
              <w:t>90 600</w:t>
            </w:r>
          </w:p>
        </w:tc>
        <w:tc>
          <w:tcPr>
            <w:tcW w:w="1069" w:type="dxa"/>
            <w:tcBorders>
              <w:top w:val="single" w:sz="4" w:space="0" w:color="auto"/>
              <w:bottom w:val="single" w:sz="12" w:space="0" w:color="auto"/>
            </w:tcBorders>
            <w:shd w:val="clear" w:color="000000" w:fill="auto"/>
            <w:vAlign w:val="bottom"/>
          </w:tcPr>
          <w:p w:rsidR="00D216A1" w:rsidRPr="0071782F" w:rsidRDefault="00D216A1" w:rsidP="000838E6">
            <w:pPr>
              <w:keepNext/>
              <w:suppressAutoHyphens w:val="0"/>
              <w:spacing w:before="80" w:after="80" w:line="220" w:lineRule="exact"/>
              <w:jc w:val="right"/>
              <w:rPr>
                <w:b/>
                <w:sz w:val="18"/>
                <w:lang w:val="fr-CH"/>
              </w:rPr>
            </w:pPr>
            <w:r w:rsidRPr="0071782F">
              <w:rPr>
                <w:b/>
                <w:sz w:val="18"/>
                <w:lang w:val="fr-CH"/>
              </w:rPr>
              <w:t>87 850</w:t>
            </w:r>
          </w:p>
        </w:tc>
        <w:tc>
          <w:tcPr>
            <w:tcW w:w="885" w:type="dxa"/>
            <w:tcBorders>
              <w:top w:val="single" w:sz="4" w:space="0" w:color="auto"/>
              <w:bottom w:val="single" w:sz="12" w:space="0" w:color="auto"/>
            </w:tcBorders>
            <w:shd w:val="clear" w:color="000000" w:fill="auto"/>
            <w:vAlign w:val="bottom"/>
          </w:tcPr>
          <w:p w:rsidR="00D216A1" w:rsidRPr="0071782F" w:rsidRDefault="00D216A1" w:rsidP="000838E6">
            <w:pPr>
              <w:keepNext/>
              <w:suppressAutoHyphens w:val="0"/>
              <w:spacing w:before="80" w:after="80" w:line="220" w:lineRule="exact"/>
              <w:jc w:val="right"/>
              <w:rPr>
                <w:b/>
                <w:sz w:val="18"/>
                <w:lang w:val="fr-CH"/>
              </w:rPr>
            </w:pPr>
            <w:r w:rsidRPr="0071782F">
              <w:rPr>
                <w:b/>
                <w:sz w:val="18"/>
                <w:lang w:val="fr-CH"/>
              </w:rPr>
              <w:t>82 705</w:t>
            </w:r>
          </w:p>
        </w:tc>
      </w:tr>
    </w:tbl>
    <w:p w:rsidR="009F7C7F" w:rsidRPr="0071782F" w:rsidRDefault="009F7C7F" w:rsidP="00496C06">
      <w:pPr>
        <w:pStyle w:val="H23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A33E36" w:rsidRPr="0071782F">
        <w:rPr>
          <w:lang w:val="fr-CH"/>
        </w:rPr>
        <w:t xml:space="preserve">d’écoliers couverts par le Comité de secours de l’Imam Khomeini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7"/>
        <w:gridCol w:w="1089"/>
        <w:gridCol w:w="933"/>
        <w:gridCol w:w="1089"/>
        <w:gridCol w:w="933"/>
        <w:gridCol w:w="1089"/>
        <w:gridCol w:w="900"/>
      </w:tblGrid>
      <w:tr w:rsidR="009F7C7F" w:rsidRPr="0071782F">
        <w:trPr>
          <w:tblHeader/>
        </w:trPr>
        <w:tc>
          <w:tcPr>
            <w:tcW w:w="1546" w:type="dxa"/>
            <w:tcBorders>
              <w:top w:val="single" w:sz="4" w:space="0" w:color="auto"/>
              <w:bottom w:val="single" w:sz="12" w:space="0" w:color="auto"/>
            </w:tcBorders>
            <w:shd w:val="clear" w:color="auto" w:fill="auto"/>
            <w:vAlign w:val="bottom"/>
          </w:tcPr>
          <w:p w:rsidR="009F7C7F" w:rsidRPr="0071782F" w:rsidRDefault="00A33E36" w:rsidP="00D50123">
            <w:pPr>
              <w:suppressAutoHyphens w:val="0"/>
              <w:spacing w:before="80" w:after="80" w:line="200" w:lineRule="exact"/>
              <w:rPr>
                <w:i/>
                <w:sz w:val="16"/>
                <w:lang w:val="fr-CH"/>
              </w:rPr>
            </w:pPr>
            <w:r w:rsidRPr="0071782F">
              <w:rPr>
                <w:i/>
                <w:sz w:val="16"/>
                <w:lang w:val="fr-CH"/>
              </w:rPr>
              <w:t>Année</w:t>
            </w:r>
          </w:p>
        </w:tc>
        <w:tc>
          <w:tcPr>
            <w:tcW w:w="1258" w:type="dxa"/>
            <w:tcBorders>
              <w:top w:val="single" w:sz="4" w:space="0" w:color="auto"/>
              <w:bottom w:val="single" w:sz="12" w:space="0" w:color="auto"/>
            </w:tcBorders>
            <w:shd w:val="clear" w:color="auto" w:fill="auto"/>
            <w:vAlign w:val="bottom"/>
          </w:tcPr>
          <w:p w:rsidR="009F7C7F" w:rsidRPr="0071782F" w:rsidRDefault="009F7C7F" w:rsidP="00D50123">
            <w:pPr>
              <w:suppressAutoHyphens w:val="0"/>
              <w:spacing w:before="80" w:after="80" w:line="200" w:lineRule="exact"/>
              <w:jc w:val="right"/>
              <w:rPr>
                <w:i/>
                <w:sz w:val="16"/>
                <w:lang w:val="fr-CH"/>
              </w:rPr>
            </w:pPr>
            <w:r w:rsidRPr="0071782F">
              <w:rPr>
                <w:i/>
                <w:sz w:val="16"/>
                <w:lang w:val="fr-CH"/>
              </w:rPr>
              <w:t>1987</w:t>
            </w:r>
          </w:p>
        </w:tc>
        <w:tc>
          <w:tcPr>
            <w:tcW w:w="1078" w:type="dxa"/>
            <w:tcBorders>
              <w:top w:val="single" w:sz="4" w:space="0" w:color="auto"/>
              <w:bottom w:val="single" w:sz="12" w:space="0" w:color="auto"/>
            </w:tcBorders>
            <w:shd w:val="clear" w:color="auto" w:fill="auto"/>
            <w:vAlign w:val="bottom"/>
          </w:tcPr>
          <w:p w:rsidR="009F7C7F" w:rsidRPr="0071782F" w:rsidRDefault="009F7C7F" w:rsidP="00D50123">
            <w:pPr>
              <w:suppressAutoHyphens w:val="0"/>
              <w:spacing w:before="80" w:after="80" w:line="200" w:lineRule="exact"/>
              <w:jc w:val="right"/>
              <w:rPr>
                <w:i/>
                <w:sz w:val="16"/>
                <w:lang w:val="fr-CH"/>
              </w:rPr>
            </w:pPr>
            <w:r w:rsidRPr="0071782F">
              <w:rPr>
                <w:i/>
                <w:sz w:val="16"/>
                <w:lang w:val="fr-CH"/>
              </w:rPr>
              <w:t>1997</w:t>
            </w:r>
          </w:p>
        </w:tc>
        <w:tc>
          <w:tcPr>
            <w:tcW w:w="1258" w:type="dxa"/>
            <w:tcBorders>
              <w:top w:val="single" w:sz="4" w:space="0" w:color="auto"/>
              <w:bottom w:val="single" w:sz="12" w:space="0" w:color="auto"/>
            </w:tcBorders>
            <w:shd w:val="clear" w:color="auto" w:fill="auto"/>
            <w:vAlign w:val="bottom"/>
          </w:tcPr>
          <w:p w:rsidR="009F7C7F" w:rsidRPr="0071782F" w:rsidRDefault="009F7C7F" w:rsidP="00D50123">
            <w:pPr>
              <w:suppressAutoHyphens w:val="0"/>
              <w:spacing w:before="80" w:after="80" w:line="200" w:lineRule="exact"/>
              <w:jc w:val="right"/>
              <w:rPr>
                <w:i/>
                <w:sz w:val="16"/>
                <w:lang w:val="fr-CH"/>
              </w:rPr>
            </w:pPr>
            <w:r w:rsidRPr="0071782F">
              <w:rPr>
                <w:i/>
                <w:sz w:val="16"/>
                <w:lang w:val="fr-CH"/>
              </w:rPr>
              <w:t>2003</w:t>
            </w:r>
          </w:p>
        </w:tc>
        <w:tc>
          <w:tcPr>
            <w:tcW w:w="1078" w:type="dxa"/>
            <w:tcBorders>
              <w:top w:val="single" w:sz="4" w:space="0" w:color="auto"/>
              <w:bottom w:val="single" w:sz="12" w:space="0" w:color="auto"/>
            </w:tcBorders>
            <w:shd w:val="clear" w:color="auto" w:fill="auto"/>
            <w:vAlign w:val="bottom"/>
          </w:tcPr>
          <w:p w:rsidR="009F7C7F" w:rsidRPr="0071782F" w:rsidRDefault="009F7C7F" w:rsidP="00D50123">
            <w:pPr>
              <w:suppressAutoHyphens w:val="0"/>
              <w:spacing w:before="80" w:after="80" w:line="200" w:lineRule="exact"/>
              <w:jc w:val="right"/>
              <w:rPr>
                <w:i/>
                <w:sz w:val="16"/>
                <w:lang w:val="fr-CH"/>
              </w:rPr>
            </w:pPr>
            <w:r w:rsidRPr="0071782F">
              <w:rPr>
                <w:i/>
                <w:sz w:val="16"/>
                <w:lang w:val="fr-CH"/>
              </w:rPr>
              <w:t>2004</w:t>
            </w:r>
          </w:p>
        </w:tc>
        <w:tc>
          <w:tcPr>
            <w:tcW w:w="1258" w:type="dxa"/>
            <w:tcBorders>
              <w:top w:val="single" w:sz="4" w:space="0" w:color="auto"/>
              <w:bottom w:val="single" w:sz="12" w:space="0" w:color="auto"/>
            </w:tcBorders>
            <w:shd w:val="clear" w:color="auto" w:fill="auto"/>
            <w:vAlign w:val="bottom"/>
          </w:tcPr>
          <w:p w:rsidR="009F7C7F" w:rsidRPr="0071782F" w:rsidRDefault="009F7C7F" w:rsidP="00D50123">
            <w:pPr>
              <w:suppressAutoHyphens w:val="0"/>
              <w:spacing w:before="80" w:after="80" w:line="200" w:lineRule="exact"/>
              <w:jc w:val="right"/>
              <w:rPr>
                <w:i/>
                <w:sz w:val="16"/>
                <w:lang w:val="fr-CH"/>
              </w:rPr>
            </w:pPr>
            <w:r w:rsidRPr="0071782F">
              <w:rPr>
                <w:i/>
                <w:sz w:val="16"/>
                <w:lang w:val="fr-CH"/>
              </w:rPr>
              <w:t>2005</w:t>
            </w:r>
          </w:p>
        </w:tc>
        <w:tc>
          <w:tcPr>
            <w:tcW w:w="1039" w:type="dxa"/>
            <w:tcBorders>
              <w:top w:val="single" w:sz="4" w:space="0" w:color="auto"/>
              <w:bottom w:val="single" w:sz="12" w:space="0" w:color="auto"/>
            </w:tcBorders>
            <w:shd w:val="clear" w:color="auto" w:fill="auto"/>
            <w:vAlign w:val="bottom"/>
          </w:tcPr>
          <w:p w:rsidR="009F7C7F" w:rsidRPr="0071782F" w:rsidRDefault="009F7C7F" w:rsidP="00D50123">
            <w:pPr>
              <w:suppressAutoHyphens w:val="0"/>
              <w:spacing w:before="80" w:after="80" w:line="200" w:lineRule="exact"/>
              <w:jc w:val="right"/>
              <w:rPr>
                <w:i/>
                <w:sz w:val="16"/>
                <w:lang w:val="fr-CH"/>
              </w:rPr>
            </w:pPr>
            <w:r w:rsidRPr="0071782F">
              <w:rPr>
                <w:i/>
                <w:sz w:val="16"/>
                <w:lang w:val="fr-CH"/>
              </w:rPr>
              <w:t>2006</w:t>
            </w:r>
          </w:p>
        </w:tc>
      </w:tr>
      <w:tr w:rsidR="009F7C7F" w:rsidRPr="0071782F">
        <w:tc>
          <w:tcPr>
            <w:tcW w:w="1546" w:type="dxa"/>
            <w:tcBorders>
              <w:top w:val="single" w:sz="12" w:space="0" w:color="auto"/>
            </w:tcBorders>
            <w:shd w:val="clear" w:color="auto" w:fill="auto"/>
            <w:vAlign w:val="bottom"/>
          </w:tcPr>
          <w:p w:rsidR="009F7C7F" w:rsidRPr="0071782F" w:rsidRDefault="00A33E36" w:rsidP="00D50123">
            <w:pPr>
              <w:suppressAutoHyphens w:val="0"/>
              <w:spacing w:before="40" w:after="40" w:line="220" w:lineRule="exact"/>
              <w:rPr>
                <w:sz w:val="18"/>
                <w:lang w:val="fr-CH"/>
              </w:rPr>
            </w:pPr>
            <w:r w:rsidRPr="0071782F">
              <w:rPr>
                <w:sz w:val="18"/>
                <w:lang w:val="fr-CH"/>
              </w:rPr>
              <w:t>Garçons</w:t>
            </w:r>
          </w:p>
        </w:tc>
        <w:tc>
          <w:tcPr>
            <w:tcW w:w="1258" w:type="dxa"/>
            <w:tcBorders>
              <w:top w:val="single" w:sz="12" w:space="0" w:color="auto"/>
            </w:tcBorders>
            <w:shd w:val="clear" w:color="auto" w:fill="auto"/>
            <w:vAlign w:val="bottom"/>
          </w:tcPr>
          <w:p w:rsidR="009F7C7F" w:rsidRPr="0071782F" w:rsidRDefault="009F7C7F" w:rsidP="00D50123">
            <w:pPr>
              <w:suppressAutoHyphens w:val="0"/>
              <w:spacing w:before="40" w:after="40" w:line="220" w:lineRule="exact"/>
              <w:jc w:val="right"/>
              <w:rPr>
                <w:sz w:val="18"/>
                <w:lang w:val="fr-CH"/>
              </w:rPr>
            </w:pPr>
            <w:r w:rsidRPr="0071782F">
              <w:rPr>
                <w:sz w:val="18"/>
                <w:lang w:val="fr-CH"/>
              </w:rPr>
              <w:t>147 566</w:t>
            </w:r>
          </w:p>
        </w:tc>
        <w:tc>
          <w:tcPr>
            <w:tcW w:w="1078" w:type="dxa"/>
            <w:tcBorders>
              <w:top w:val="single" w:sz="12" w:space="0" w:color="auto"/>
            </w:tcBorders>
            <w:shd w:val="clear" w:color="auto" w:fill="auto"/>
            <w:vAlign w:val="bottom"/>
          </w:tcPr>
          <w:p w:rsidR="009F7C7F" w:rsidRPr="0071782F" w:rsidRDefault="009F7C7F" w:rsidP="00D50123">
            <w:pPr>
              <w:suppressAutoHyphens w:val="0"/>
              <w:spacing w:before="40" w:after="40" w:line="220" w:lineRule="exact"/>
              <w:jc w:val="right"/>
              <w:rPr>
                <w:sz w:val="18"/>
                <w:lang w:val="fr-CH"/>
              </w:rPr>
            </w:pPr>
            <w:r w:rsidRPr="0071782F">
              <w:rPr>
                <w:sz w:val="18"/>
                <w:lang w:val="fr-CH"/>
              </w:rPr>
              <w:t>469 636</w:t>
            </w:r>
          </w:p>
        </w:tc>
        <w:tc>
          <w:tcPr>
            <w:tcW w:w="1258" w:type="dxa"/>
            <w:tcBorders>
              <w:top w:val="single" w:sz="12" w:space="0" w:color="auto"/>
            </w:tcBorders>
            <w:shd w:val="clear" w:color="auto" w:fill="auto"/>
            <w:vAlign w:val="bottom"/>
          </w:tcPr>
          <w:p w:rsidR="009F7C7F" w:rsidRPr="0071782F" w:rsidRDefault="009F7C7F" w:rsidP="00D50123">
            <w:pPr>
              <w:suppressAutoHyphens w:val="0"/>
              <w:spacing w:before="40" w:after="40" w:line="220" w:lineRule="exact"/>
              <w:jc w:val="right"/>
              <w:rPr>
                <w:sz w:val="18"/>
                <w:lang w:val="fr-CH"/>
              </w:rPr>
            </w:pPr>
            <w:r w:rsidRPr="0071782F">
              <w:rPr>
                <w:sz w:val="18"/>
                <w:lang w:val="fr-CH"/>
              </w:rPr>
              <w:t>494 936</w:t>
            </w:r>
          </w:p>
        </w:tc>
        <w:tc>
          <w:tcPr>
            <w:tcW w:w="1078" w:type="dxa"/>
            <w:tcBorders>
              <w:top w:val="single" w:sz="12" w:space="0" w:color="auto"/>
            </w:tcBorders>
            <w:shd w:val="clear" w:color="auto" w:fill="auto"/>
            <w:vAlign w:val="bottom"/>
          </w:tcPr>
          <w:p w:rsidR="009F7C7F" w:rsidRPr="0071782F" w:rsidRDefault="009F7C7F" w:rsidP="00D50123">
            <w:pPr>
              <w:suppressAutoHyphens w:val="0"/>
              <w:spacing w:before="40" w:after="40" w:line="220" w:lineRule="exact"/>
              <w:jc w:val="right"/>
              <w:rPr>
                <w:sz w:val="18"/>
                <w:lang w:val="fr-CH"/>
              </w:rPr>
            </w:pPr>
            <w:r w:rsidRPr="0071782F">
              <w:rPr>
                <w:sz w:val="18"/>
                <w:lang w:val="fr-CH"/>
              </w:rPr>
              <w:t>450 782</w:t>
            </w:r>
          </w:p>
        </w:tc>
        <w:tc>
          <w:tcPr>
            <w:tcW w:w="1258" w:type="dxa"/>
            <w:tcBorders>
              <w:top w:val="single" w:sz="12" w:space="0" w:color="auto"/>
            </w:tcBorders>
            <w:shd w:val="clear" w:color="auto" w:fill="auto"/>
            <w:vAlign w:val="bottom"/>
          </w:tcPr>
          <w:p w:rsidR="009F7C7F" w:rsidRPr="0071782F" w:rsidRDefault="009F7C7F" w:rsidP="00D50123">
            <w:pPr>
              <w:suppressAutoHyphens w:val="0"/>
              <w:spacing w:before="40" w:after="40" w:line="220" w:lineRule="exact"/>
              <w:jc w:val="right"/>
              <w:rPr>
                <w:sz w:val="18"/>
                <w:lang w:val="fr-CH"/>
              </w:rPr>
            </w:pPr>
            <w:r w:rsidRPr="0071782F">
              <w:rPr>
                <w:sz w:val="18"/>
                <w:lang w:val="fr-CH"/>
              </w:rPr>
              <w:t>424 339</w:t>
            </w:r>
          </w:p>
        </w:tc>
        <w:tc>
          <w:tcPr>
            <w:tcW w:w="1039" w:type="dxa"/>
            <w:tcBorders>
              <w:top w:val="single" w:sz="12" w:space="0" w:color="auto"/>
            </w:tcBorders>
            <w:shd w:val="clear" w:color="auto" w:fill="auto"/>
            <w:vAlign w:val="bottom"/>
          </w:tcPr>
          <w:p w:rsidR="009F7C7F" w:rsidRPr="0071782F" w:rsidRDefault="009F7C7F" w:rsidP="00D50123">
            <w:pPr>
              <w:suppressAutoHyphens w:val="0"/>
              <w:spacing w:before="40" w:after="40" w:line="220" w:lineRule="exact"/>
              <w:jc w:val="right"/>
              <w:rPr>
                <w:sz w:val="18"/>
                <w:lang w:val="fr-CH"/>
              </w:rPr>
            </w:pPr>
            <w:r w:rsidRPr="0071782F">
              <w:rPr>
                <w:sz w:val="18"/>
                <w:lang w:val="fr-CH"/>
              </w:rPr>
              <w:t>393 283</w:t>
            </w:r>
          </w:p>
        </w:tc>
      </w:tr>
      <w:tr w:rsidR="009F7C7F" w:rsidRPr="0071782F">
        <w:tc>
          <w:tcPr>
            <w:tcW w:w="1546" w:type="dxa"/>
            <w:tcBorders>
              <w:bottom w:val="single" w:sz="4" w:space="0" w:color="auto"/>
            </w:tcBorders>
            <w:shd w:val="clear" w:color="auto" w:fill="auto"/>
            <w:vAlign w:val="bottom"/>
          </w:tcPr>
          <w:p w:rsidR="009F7C7F" w:rsidRPr="0071782F" w:rsidRDefault="00A33E36" w:rsidP="00D50123">
            <w:pPr>
              <w:suppressAutoHyphens w:val="0"/>
              <w:spacing w:before="40" w:after="40" w:line="220" w:lineRule="exact"/>
              <w:rPr>
                <w:sz w:val="18"/>
                <w:lang w:val="fr-CH"/>
              </w:rPr>
            </w:pPr>
            <w:r w:rsidRPr="0071782F">
              <w:rPr>
                <w:sz w:val="18"/>
                <w:lang w:val="fr-CH"/>
              </w:rPr>
              <w:t>Filles</w:t>
            </w:r>
          </w:p>
        </w:tc>
        <w:tc>
          <w:tcPr>
            <w:tcW w:w="1258" w:type="dxa"/>
            <w:tcBorders>
              <w:bottom w:val="single" w:sz="4" w:space="0" w:color="auto"/>
            </w:tcBorders>
            <w:shd w:val="clear" w:color="auto" w:fill="auto"/>
            <w:vAlign w:val="bottom"/>
          </w:tcPr>
          <w:p w:rsidR="009F7C7F" w:rsidRPr="0071782F" w:rsidRDefault="009F7C7F" w:rsidP="00D50123">
            <w:pPr>
              <w:suppressAutoHyphens w:val="0"/>
              <w:spacing w:before="40" w:after="40" w:line="220" w:lineRule="exact"/>
              <w:jc w:val="right"/>
              <w:rPr>
                <w:sz w:val="18"/>
                <w:lang w:val="fr-CH"/>
              </w:rPr>
            </w:pPr>
            <w:r w:rsidRPr="0071782F">
              <w:rPr>
                <w:sz w:val="18"/>
                <w:lang w:val="fr-CH"/>
              </w:rPr>
              <w:t>107 311</w:t>
            </w:r>
          </w:p>
        </w:tc>
        <w:tc>
          <w:tcPr>
            <w:tcW w:w="1078" w:type="dxa"/>
            <w:tcBorders>
              <w:bottom w:val="single" w:sz="4" w:space="0" w:color="auto"/>
            </w:tcBorders>
            <w:shd w:val="clear" w:color="auto" w:fill="auto"/>
            <w:vAlign w:val="bottom"/>
          </w:tcPr>
          <w:p w:rsidR="009F7C7F" w:rsidRPr="0071782F" w:rsidRDefault="009F7C7F" w:rsidP="00D50123">
            <w:pPr>
              <w:suppressAutoHyphens w:val="0"/>
              <w:spacing w:before="40" w:after="40" w:line="220" w:lineRule="exact"/>
              <w:jc w:val="right"/>
              <w:rPr>
                <w:sz w:val="18"/>
                <w:lang w:val="fr-CH"/>
              </w:rPr>
            </w:pPr>
            <w:r w:rsidRPr="0071782F">
              <w:rPr>
                <w:sz w:val="18"/>
                <w:lang w:val="fr-CH"/>
              </w:rPr>
              <w:t>413 851</w:t>
            </w:r>
          </w:p>
        </w:tc>
        <w:tc>
          <w:tcPr>
            <w:tcW w:w="1258" w:type="dxa"/>
            <w:tcBorders>
              <w:bottom w:val="single" w:sz="4" w:space="0" w:color="auto"/>
            </w:tcBorders>
            <w:shd w:val="clear" w:color="auto" w:fill="auto"/>
            <w:vAlign w:val="bottom"/>
          </w:tcPr>
          <w:p w:rsidR="009F7C7F" w:rsidRPr="0071782F" w:rsidRDefault="009F7C7F" w:rsidP="00D50123">
            <w:pPr>
              <w:suppressAutoHyphens w:val="0"/>
              <w:spacing w:before="40" w:after="40" w:line="220" w:lineRule="exact"/>
              <w:jc w:val="right"/>
              <w:rPr>
                <w:sz w:val="18"/>
                <w:lang w:val="fr-CH"/>
              </w:rPr>
            </w:pPr>
            <w:r w:rsidRPr="0071782F">
              <w:rPr>
                <w:sz w:val="18"/>
                <w:lang w:val="fr-CH"/>
              </w:rPr>
              <w:t>476 007</w:t>
            </w:r>
          </w:p>
        </w:tc>
        <w:tc>
          <w:tcPr>
            <w:tcW w:w="1078" w:type="dxa"/>
            <w:tcBorders>
              <w:bottom w:val="single" w:sz="4" w:space="0" w:color="auto"/>
            </w:tcBorders>
            <w:shd w:val="clear" w:color="auto" w:fill="auto"/>
            <w:vAlign w:val="bottom"/>
          </w:tcPr>
          <w:p w:rsidR="009F7C7F" w:rsidRPr="0071782F" w:rsidRDefault="009F7C7F" w:rsidP="00D50123">
            <w:pPr>
              <w:suppressAutoHyphens w:val="0"/>
              <w:spacing w:before="40" w:after="40" w:line="220" w:lineRule="exact"/>
              <w:jc w:val="right"/>
              <w:rPr>
                <w:sz w:val="18"/>
                <w:lang w:val="fr-CH"/>
              </w:rPr>
            </w:pPr>
            <w:r w:rsidRPr="0071782F">
              <w:rPr>
                <w:sz w:val="18"/>
                <w:lang w:val="fr-CH"/>
              </w:rPr>
              <w:t>442 102</w:t>
            </w:r>
          </w:p>
        </w:tc>
        <w:tc>
          <w:tcPr>
            <w:tcW w:w="1258" w:type="dxa"/>
            <w:tcBorders>
              <w:bottom w:val="single" w:sz="4" w:space="0" w:color="auto"/>
            </w:tcBorders>
            <w:shd w:val="clear" w:color="auto" w:fill="auto"/>
            <w:vAlign w:val="bottom"/>
          </w:tcPr>
          <w:p w:rsidR="009F7C7F" w:rsidRPr="0071782F" w:rsidRDefault="009F7C7F" w:rsidP="00D50123">
            <w:pPr>
              <w:suppressAutoHyphens w:val="0"/>
              <w:spacing w:before="40" w:after="40" w:line="220" w:lineRule="exact"/>
              <w:jc w:val="right"/>
              <w:rPr>
                <w:sz w:val="18"/>
                <w:lang w:val="fr-CH"/>
              </w:rPr>
            </w:pPr>
            <w:r w:rsidRPr="0071782F">
              <w:rPr>
                <w:sz w:val="18"/>
                <w:lang w:val="fr-CH"/>
              </w:rPr>
              <w:t>416 668</w:t>
            </w:r>
          </w:p>
        </w:tc>
        <w:tc>
          <w:tcPr>
            <w:tcW w:w="1039" w:type="dxa"/>
            <w:tcBorders>
              <w:bottom w:val="single" w:sz="4" w:space="0" w:color="auto"/>
            </w:tcBorders>
            <w:shd w:val="clear" w:color="auto" w:fill="auto"/>
            <w:vAlign w:val="bottom"/>
          </w:tcPr>
          <w:p w:rsidR="009F7C7F" w:rsidRPr="0071782F" w:rsidRDefault="009F7C7F" w:rsidP="00D50123">
            <w:pPr>
              <w:suppressAutoHyphens w:val="0"/>
              <w:spacing w:before="40" w:after="40" w:line="220" w:lineRule="exact"/>
              <w:jc w:val="right"/>
              <w:rPr>
                <w:sz w:val="18"/>
                <w:lang w:val="fr-CH"/>
              </w:rPr>
            </w:pPr>
            <w:r w:rsidRPr="0071782F">
              <w:rPr>
                <w:sz w:val="18"/>
                <w:lang w:val="fr-CH"/>
              </w:rPr>
              <w:t>390 603</w:t>
            </w:r>
          </w:p>
        </w:tc>
      </w:tr>
      <w:tr w:rsidR="009F7C7F" w:rsidRPr="0071782F">
        <w:tc>
          <w:tcPr>
            <w:tcW w:w="1546" w:type="dxa"/>
            <w:tcBorders>
              <w:top w:val="single" w:sz="4" w:space="0" w:color="auto"/>
              <w:bottom w:val="single" w:sz="12" w:space="0" w:color="auto"/>
            </w:tcBorders>
            <w:shd w:val="clear" w:color="auto" w:fill="auto"/>
            <w:vAlign w:val="bottom"/>
          </w:tcPr>
          <w:p w:rsidR="009F7C7F" w:rsidRPr="0071782F" w:rsidRDefault="009F7C7F" w:rsidP="00D50123">
            <w:pPr>
              <w:suppressAutoHyphens w:val="0"/>
              <w:spacing w:before="80" w:after="80" w:line="220" w:lineRule="exact"/>
              <w:ind w:left="284"/>
              <w:rPr>
                <w:b/>
                <w:sz w:val="18"/>
                <w:lang w:val="fr-CH"/>
              </w:rPr>
            </w:pPr>
            <w:r w:rsidRPr="0071782F">
              <w:rPr>
                <w:b/>
                <w:sz w:val="18"/>
                <w:lang w:val="fr-CH"/>
              </w:rPr>
              <w:t>Total</w:t>
            </w:r>
          </w:p>
        </w:tc>
        <w:tc>
          <w:tcPr>
            <w:tcW w:w="1258" w:type="dxa"/>
            <w:tcBorders>
              <w:top w:val="single" w:sz="4" w:space="0" w:color="auto"/>
              <w:bottom w:val="single" w:sz="12" w:space="0" w:color="auto"/>
            </w:tcBorders>
            <w:shd w:val="clear" w:color="auto" w:fill="auto"/>
            <w:vAlign w:val="bottom"/>
          </w:tcPr>
          <w:p w:rsidR="009F7C7F" w:rsidRPr="0071782F" w:rsidRDefault="009F7C7F" w:rsidP="00D50123">
            <w:pPr>
              <w:suppressAutoHyphens w:val="0"/>
              <w:spacing w:before="80" w:after="80" w:line="220" w:lineRule="exact"/>
              <w:jc w:val="right"/>
              <w:rPr>
                <w:b/>
                <w:sz w:val="18"/>
                <w:lang w:val="fr-CH"/>
              </w:rPr>
            </w:pPr>
            <w:r w:rsidRPr="0071782F">
              <w:rPr>
                <w:b/>
                <w:sz w:val="18"/>
                <w:lang w:val="fr-CH"/>
              </w:rPr>
              <w:t>254 877</w:t>
            </w:r>
          </w:p>
        </w:tc>
        <w:tc>
          <w:tcPr>
            <w:tcW w:w="1078" w:type="dxa"/>
            <w:tcBorders>
              <w:top w:val="single" w:sz="4" w:space="0" w:color="auto"/>
              <w:bottom w:val="single" w:sz="12" w:space="0" w:color="auto"/>
            </w:tcBorders>
            <w:shd w:val="clear" w:color="auto" w:fill="auto"/>
            <w:vAlign w:val="bottom"/>
          </w:tcPr>
          <w:p w:rsidR="009F7C7F" w:rsidRPr="0071782F" w:rsidRDefault="009F7C7F" w:rsidP="00D50123">
            <w:pPr>
              <w:suppressAutoHyphens w:val="0"/>
              <w:spacing w:before="80" w:after="80" w:line="220" w:lineRule="exact"/>
              <w:jc w:val="right"/>
              <w:rPr>
                <w:b/>
                <w:sz w:val="18"/>
                <w:lang w:val="fr-CH"/>
              </w:rPr>
            </w:pPr>
            <w:r w:rsidRPr="0071782F">
              <w:rPr>
                <w:b/>
                <w:sz w:val="18"/>
                <w:lang w:val="fr-CH"/>
              </w:rPr>
              <w:t>883 487</w:t>
            </w:r>
          </w:p>
        </w:tc>
        <w:tc>
          <w:tcPr>
            <w:tcW w:w="1258" w:type="dxa"/>
            <w:tcBorders>
              <w:top w:val="single" w:sz="4" w:space="0" w:color="auto"/>
              <w:bottom w:val="single" w:sz="12" w:space="0" w:color="auto"/>
            </w:tcBorders>
            <w:shd w:val="clear" w:color="auto" w:fill="auto"/>
            <w:vAlign w:val="bottom"/>
          </w:tcPr>
          <w:p w:rsidR="009F7C7F" w:rsidRPr="0071782F" w:rsidRDefault="009F7C7F" w:rsidP="00D50123">
            <w:pPr>
              <w:suppressAutoHyphens w:val="0"/>
              <w:spacing w:before="80" w:after="80" w:line="220" w:lineRule="exact"/>
              <w:jc w:val="right"/>
              <w:rPr>
                <w:b/>
                <w:sz w:val="18"/>
                <w:lang w:val="fr-CH"/>
              </w:rPr>
            </w:pPr>
            <w:r w:rsidRPr="0071782F">
              <w:rPr>
                <w:b/>
                <w:sz w:val="18"/>
                <w:lang w:val="fr-CH"/>
              </w:rPr>
              <w:t>970 943</w:t>
            </w:r>
          </w:p>
        </w:tc>
        <w:tc>
          <w:tcPr>
            <w:tcW w:w="1078" w:type="dxa"/>
            <w:tcBorders>
              <w:top w:val="single" w:sz="4" w:space="0" w:color="auto"/>
              <w:bottom w:val="single" w:sz="12" w:space="0" w:color="auto"/>
            </w:tcBorders>
            <w:shd w:val="clear" w:color="auto" w:fill="auto"/>
            <w:vAlign w:val="bottom"/>
          </w:tcPr>
          <w:p w:rsidR="009F7C7F" w:rsidRPr="0071782F" w:rsidRDefault="009F7C7F" w:rsidP="00D50123">
            <w:pPr>
              <w:suppressAutoHyphens w:val="0"/>
              <w:spacing w:before="80" w:after="80" w:line="220" w:lineRule="exact"/>
              <w:jc w:val="right"/>
              <w:rPr>
                <w:b/>
                <w:sz w:val="18"/>
                <w:lang w:val="fr-CH"/>
              </w:rPr>
            </w:pPr>
            <w:r w:rsidRPr="0071782F">
              <w:rPr>
                <w:b/>
                <w:sz w:val="18"/>
                <w:lang w:val="fr-CH"/>
              </w:rPr>
              <w:t>892 884</w:t>
            </w:r>
          </w:p>
        </w:tc>
        <w:tc>
          <w:tcPr>
            <w:tcW w:w="1258" w:type="dxa"/>
            <w:tcBorders>
              <w:top w:val="single" w:sz="4" w:space="0" w:color="auto"/>
              <w:bottom w:val="single" w:sz="12" w:space="0" w:color="auto"/>
            </w:tcBorders>
            <w:shd w:val="clear" w:color="auto" w:fill="auto"/>
            <w:vAlign w:val="bottom"/>
          </w:tcPr>
          <w:p w:rsidR="009F7C7F" w:rsidRPr="0071782F" w:rsidRDefault="009F7C7F" w:rsidP="00D50123">
            <w:pPr>
              <w:suppressAutoHyphens w:val="0"/>
              <w:spacing w:before="80" w:after="80" w:line="220" w:lineRule="exact"/>
              <w:jc w:val="right"/>
              <w:rPr>
                <w:b/>
                <w:sz w:val="18"/>
                <w:lang w:val="fr-CH"/>
              </w:rPr>
            </w:pPr>
            <w:r w:rsidRPr="0071782F">
              <w:rPr>
                <w:b/>
                <w:sz w:val="18"/>
                <w:lang w:val="fr-CH"/>
              </w:rPr>
              <w:t>841 007</w:t>
            </w:r>
          </w:p>
        </w:tc>
        <w:tc>
          <w:tcPr>
            <w:tcW w:w="1039" w:type="dxa"/>
            <w:tcBorders>
              <w:top w:val="single" w:sz="4" w:space="0" w:color="auto"/>
              <w:bottom w:val="single" w:sz="12" w:space="0" w:color="auto"/>
            </w:tcBorders>
            <w:shd w:val="clear" w:color="auto" w:fill="auto"/>
            <w:vAlign w:val="bottom"/>
          </w:tcPr>
          <w:p w:rsidR="009F7C7F" w:rsidRPr="0071782F" w:rsidRDefault="009F7C7F" w:rsidP="00D50123">
            <w:pPr>
              <w:suppressAutoHyphens w:val="0"/>
              <w:spacing w:before="80" w:after="80" w:line="220" w:lineRule="exact"/>
              <w:jc w:val="right"/>
              <w:rPr>
                <w:b/>
                <w:sz w:val="18"/>
                <w:lang w:val="fr-CH"/>
              </w:rPr>
            </w:pPr>
            <w:r w:rsidRPr="0071782F">
              <w:rPr>
                <w:b/>
                <w:sz w:val="18"/>
                <w:lang w:val="fr-CH"/>
              </w:rPr>
              <w:t>783 886</w:t>
            </w:r>
          </w:p>
        </w:tc>
      </w:tr>
    </w:tbl>
    <w:p w:rsidR="009F7C7F" w:rsidRPr="0071782F" w:rsidRDefault="009F7C7F" w:rsidP="00C97E8E">
      <w:pPr>
        <w:pStyle w:val="H23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A33E36" w:rsidRPr="0071782F">
        <w:rPr>
          <w:lang w:val="fr-CH"/>
        </w:rPr>
        <w:t>d’étudiants couverts par le Comité de secours de l’Imam Khomeini</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7"/>
        <w:gridCol w:w="1089"/>
        <w:gridCol w:w="933"/>
        <w:gridCol w:w="1089"/>
        <w:gridCol w:w="933"/>
        <w:gridCol w:w="1089"/>
        <w:gridCol w:w="900"/>
      </w:tblGrid>
      <w:tr w:rsidR="009F7C7F" w:rsidRPr="0071782F">
        <w:trPr>
          <w:tblHeader/>
        </w:trPr>
        <w:tc>
          <w:tcPr>
            <w:tcW w:w="1546" w:type="dxa"/>
            <w:tcBorders>
              <w:top w:val="single" w:sz="4" w:space="0" w:color="auto"/>
              <w:bottom w:val="single" w:sz="12" w:space="0" w:color="auto"/>
            </w:tcBorders>
            <w:shd w:val="clear" w:color="auto" w:fill="auto"/>
            <w:vAlign w:val="bottom"/>
          </w:tcPr>
          <w:p w:rsidR="009F7C7F" w:rsidRPr="0071782F" w:rsidRDefault="00A33E36" w:rsidP="00543C5A">
            <w:pPr>
              <w:keepLines/>
              <w:suppressAutoHyphens w:val="0"/>
              <w:spacing w:before="80" w:after="80" w:line="200" w:lineRule="exact"/>
              <w:rPr>
                <w:i/>
                <w:sz w:val="16"/>
                <w:lang w:val="fr-CH"/>
              </w:rPr>
            </w:pPr>
            <w:r w:rsidRPr="0071782F">
              <w:rPr>
                <w:i/>
                <w:sz w:val="16"/>
                <w:lang w:val="fr-CH"/>
              </w:rPr>
              <w:t>Année</w:t>
            </w:r>
          </w:p>
        </w:tc>
        <w:tc>
          <w:tcPr>
            <w:tcW w:w="1258" w:type="dxa"/>
            <w:tcBorders>
              <w:top w:val="single" w:sz="4" w:space="0" w:color="auto"/>
              <w:bottom w:val="single" w:sz="12" w:space="0" w:color="auto"/>
            </w:tcBorders>
            <w:shd w:val="clear" w:color="auto" w:fill="auto"/>
            <w:vAlign w:val="bottom"/>
          </w:tcPr>
          <w:p w:rsidR="009F7C7F" w:rsidRPr="0071782F" w:rsidRDefault="009F7C7F" w:rsidP="00543C5A">
            <w:pPr>
              <w:keepLines/>
              <w:suppressAutoHyphens w:val="0"/>
              <w:spacing w:before="80" w:after="80" w:line="200" w:lineRule="exact"/>
              <w:jc w:val="right"/>
              <w:rPr>
                <w:i/>
                <w:sz w:val="16"/>
                <w:lang w:val="fr-CH"/>
              </w:rPr>
            </w:pPr>
            <w:r w:rsidRPr="0071782F">
              <w:rPr>
                <w:i/>
                <w:sz w:val="16"/>
                <w:lang w:val="fr-CH"/>
              </w:rPr>
              <w:t>1989</w:t>
            </w:r>
          </w:p>
        </w:tc>
        <w:tc>
          <w:tcPr>
            <w:tcW w:w="1078" w:type="dxa"/>
            <w:tcBorders>
              <w:top w:val="single" w:sz="4" w:space="0" w:color="auto"/>
              <w:bottom w:val="single" w:sz="12" w:space="0" w:color="auto"/>
            </w:tcBorders>
            <w:shd w:val="clear" w:color="auto" w:fill="auto"/>
            <w:vAlign w:val="bottom"/>
          </w:tcPr>
          <w:p w:rsidR="009F7C7F" w:rsidRPr="0071782F" w:rsidRDefault="009F7C7F" w:rsidP="00543C5A">
            <w:pPr>
              <w:keepLines/>
              <w:suppressAutoHyphens w:val="0"/>
              <w:spacing w:before="80" w:after="80" w:line="200" w:lineRule="exact"/>
              <w:jc w:val="right"/>
              <w:rPr>
                <w:i/>
                <w:sz w:val="16"/>
                <w:lang w:val="fr-CH"/>
              </w:rPr>
            </w:pPr>
            <w:r w:rsidRPr="0071782F">
              <w:rPr>
                <w:i/>
                <w:sz w:val="16"/>
                <w:lang w:val="fr-CH"/>
              </w:rPr>
              <w:t>1997</w:t>
            </w:r>
          </w:p>
        </w:tc>
        <w:tc>
          <w:tcPr>
            <w:tcW w:w="1258" w:type="dxa"/>
            <w:tcBorders>
              <w:top w:val="single" w:sz="4" w:space="0" w:color="auto"/>
              <w:bottom w:val="single" w:sz="12" w:space="0" w:color="auto"/>
            </w:tcBorders>
            <w:shd w:val="clear" w:color="auto" w:fill="auto"/>
            <w:vAlign w:val="bottom"/>
          </w:tcPr>
          <w:p w:rsidR="009F7C7F" w:rsidRPr="0071782F" w:rsidRDefault="009F7C7F" w:rsidP="00543C5A">
            <w:pPr>
              <w:keepLines/>
              <w:suppressAutoHyphens w:val="0"/>
              <w:spacing w:before="80" w:after="80" w:line="200" w:lineRule="exact"/>
              <w:jc w:val="right"/>
              <w:rPr>
                <w:i/>
                <w:sz w:val="16"/>
                <w:lang w:val="fr-CH"/>
              </w:rPr>
            </w:pPr>
            <w:r w:rsidRPr="0071782F">
              <w:rPr>
                <w:i/>
                <w:sz w:val="16"/>
                <w:lang w:val="fr-CH"/>
              </w:rPr>
              <w:t>2003</w:t>
            </w:r>
          </w:p>
        </w:tc>
        <w:tc>
          <w:tcPr>
            <w:tcW w:w="1078" w:type="dxa"/>
            <w:tcBorders>
              <w:top w:val="single" w:sz="4" w:space="0" w:color="auto"/>
              <w:bottom w:val="single" w:sz="12" w:space="0" w:color="auto"/>
            </w:tcBorders>
            <w:shd w:val="clear" w:color="auto" w:fill="auto"/>
            <w:vAlign w:val="bottom"/>
          </w:tcPr>
          <w:p w:rsidR="009F7C7F" w:rsidRPr="0071782F" w:rsidRDefault="009F7C7F" w:rsidP="00543C5A">
            <w:pPr>
              <w:keepLines/>
              <w:suppressAutoHyphens w:val="0"/>
              <w:spacing w:before="80" w:after="80" w:line="200" w:lineRule="exact"/>
              <w:jc w:val="right"/>
              <w:rPr>
                <w:i/>
                <w:sz w:val="16"/>
                <w:lang w:val="fr-CH"/>
              </w:rPr>
            </w:pPr>
            <w:r w:rsidRPr="0071782F">
              <w:rPr>
                <w:i/>
                <w:sz w:val="16"/>
                <w:lang w:val="fr-CH"/>
              </w:rPr>
              <w:t>2004</w:t>
            </w:r>
          </w:p>
        </w:tc>
        <w:tc>
          <w:tcPr>
            <w:tcW w:w="1258" w:type="dxa"/>
            <w:tcBorders>
              <w:top w:val="single" w:sz="4" w:space="0" w:color="auto"/>
              <w:bottom w:val="single" w:sz="12" w:space="0" w:color="auto"/>
            </w:tcBorders>
            <w:shd w:val="clear" w:color="auto" w:fill="auto"/>
            <w:vAlign w:val="bottom"/>
          </w:tcPr>
          <w:p w:rsidR="009F7C7F" w:rsidRPr="0071782F" w:rsidRDefault="009F7C7F" w:rsidP="00543C5A">
            <w:pPr>
              <w:keepLines/>
              <w:suppressAutoHyphens w:val="0"/>
              <w:spacing w:before="80" w:after="80" w:line="200" w:lineRule="exact"/>
              <w:jc w:val="right"/>
              <w:rPr>
                <w:i/>
                <w:sz w:val="16"/>
                <w:lang w:val="fr-CH"/>
              </w:rPr>
            </w:pPr>
            <w:r w:rsidRPr="0071782F">
              <w:rPr>
                <w:i/>
                <w:sz w:val="16"/>
                <w:lang w:val="fr-CH"/>
              </w:rPr>
              <w:t>2005</w:t>
            </w:r>
          </w:p>
        </w:tc>
        <w:tc>
          <w:tcPr>
            <w:tcW w:w="1039" w:type="dxa"/>
            <w:tcBorders>
              <w:top w:val="single" w:sz="4" w:space="0" w:color="auto"/>
              <w:bottom w:val="single" w:sz="12" w:space="0" w:color="auto"/>
            </w:tcBorders>
            <w:shd w:val="clear" w:color="auto" w:fill="auto"/>
            <w:vAlign w:val="bottom"/>
          </w:tcPr>
          <w:p w:rsidR="009F7C7F" w:rsidRPr="0071782F" w:rsidRDefault="009F7C7F" w:rsidP="00543C5A">
            <w:pPr>
              <w:keepLines/>
              <w:suppressAutoHyphens w:val="0"/>
              <w:spacing w:before="80" w:after="80" w:line="200" w:lineRule="exact"/>
              <w:jc w:val="right"/>
              <w:rPr>
                <w:i/>
                <w:sz w:val="16"/>
                <w:lang w:val="fr-CH"/>
              </w:rPr>
            </w:pPr>
            <w:r w:rsidRPr="0071782F">
              <w:rPr>
                <w:i/>
                <w:sz w:val="16"/>
                <w:lang w:val="fr-CH"/>
              </w:rPr>
              <w:t>2006</w:t>
            </w:r>
          </w:p>
        </w:tc>
      </w:tr>
      <w:tr w:rsidR="009F7C7F" w:rsidRPr="0071782F" w:rsidTr="00B2191A">
        <w:tc>
          <w:tcPr>
            <w:tcW w:w="1546" w:type="dxa"/>
            <w:tcBorders>
              <w:top w:val="single" w:sz="12" w:space="0" w:color="auto"/>
              <w:bottom w:val="nil"/>
            </w:tcBorders>
            <w:shd w:val="clear" w:color="auto" w:fill="auto"/>
            <w:vAlign w:val="bottom"/>
          </w:tcPr>
          <w:p w:rsidR="009F7C7F" w:rsidRPr="0071782F" w:rsidRDefault="00A33E36" w:rsidP="00543C5A">
            <w:pPr>
              <w:keepLines/>
              <w:suppressAutoHyphens w:val="0"/>
              <w:spacing w:before="40" w:after="40" w:line="220" w:lineRule="exact"/>
              <w:rPr>
                <w:sz w:val="18"/>
                <w:lang w:val="fr-CH"/>
              </w:rPr>
            </w:pPr>
            <w:r w:rsidRPr="0071782F">
              <w:rPr>
                <w:sz w:val="18"/>
                <w:lang w:val="fr-CH"/>
              </w:rPr>
              <w:t>Hommes</w:t>
            </w:r>
          </w:p>
        </w:tc>
        <w:tc>
          <w:tcPr>
            <w:tcW w:w="1258" w:type="dxa"/>
            <w:tcBorders>
              <w:top w:val="single" w:sz="12" w:space="0" w:color="auto"/>
              <w:bottom w:val="nil"/>
            </w:tcBorders>
            <w:shd w:val="clear" w:color="auto" w:fill="auto"/>
            <w:vAlign w:val="bottom"/>
          </w:tcPr>
          <w:p w:rsidR="009F7C7F" w:rsidRPr="0071782F" w:rsidRDefault="009F7C7F" w:rsidP="00543C5A">
            <w:pPr>
              <w:keepLines/>
              <w:suppressAutoHyphens w:val="0"/>
              <w:spacing w:before="40" w:after="40" w:line="220" w:lineRule="exact"/>
              <w:jc w:val="right"/>
              <w:rPr>
                <w:sz w:val="18"/>
                <w:lang w:val="fr-CH"/>
              </w:rPr>
            </w:pPr>
            <w:r w:rsidRPr="0071782F">
              <w:rPr>
                <w:sz w:val="18"/>
                <w:lang w:val="fr-CH"/>
              </w:rPr>
              <w:t>891</w:t>
            </w:r>
          </w:p>
        </w:tc>
        <w:tc>
          <w:tcPr>
            <w:tcW w:w="1078" w:type="dxa"/>
            <w:tcBorders>
              <w:top w:val="single" w:sz="12" w:space="0" w:color="auto"/>
              <w:bottom w:val="nil"/>
            </w:tcBorders>
            <w:shd w:val="clear" w:color="auto" w:fill="auto"/>
            <w:vAlign w:val="bottom"/>
          </w:tcPr>
          <w:p w:rsidR="009F7C7F" w:rsidRPr="0071782F" w:rsidRDefault="009F7C7F" w:rsidP="00543C5A">
            <w:pPr>
              <w:keepLines/>
              <w:suppressAutoHyphens w:val="0"/>
              <w:spacing w:before="40" w:after="40" w:line="220" w:lineRule="exact"/>
              <w:jc w:val="right"/>
              <w:rPr>
                <w:sz w:val="18"/>
                <w:lang w:val="fr-CH"/>
              </w:rPr>
            </w:pPr>
            <w:r w:rsidRPr="0071782F">
              <w:rPr>
                <w:sz w:val="18"/>
                <w:lang w:val="fr-CH"/>
              </w:rPr>
              <w:t>12 931</w:t>
            </w:r>
          </w:p>
        </w:tc>
        <w:tc>
          <w:tcPr>
            <w:tcW w:w="1258" w:type="dxa"/>
            <w:tcBorders>
              <w:top w:val="single" w:sz="12" w:space="0" w:color="auto"/>
              <w:bottom w:val="nil"/>
            </w:tcBorders>
            <w:shd w:val="clear" w:color="auto" w:fill="auto"/>
            <w:vAlign w:val="bottom"/>
          </w:tcPr>
          <w:p w:rsidR="009F7C7F" w:rsidRPr="0071782F" w:rsidRDefault="009F7C7F" w:rsidP="00543C5A">
            <w:pPr>
              <w:keepLines/>
              <w:suppressAutoHyphens w:val="0"/>
              <w:spacing w:before="40" w:after="40" w:line="220" w:lineRule="exact"/>
              <w:jc w:val="right"/>
              <w:rPr>
                <w:sz w:val="18"/>
                <w:lang w:val="fr-CH"/>
              </w:rPr>
            </w:pPr>
            <w:r w:rsidRPr="0071782F">
              <w:rPr>
                <w:sz w:val="18"/>
                <w:lang w:val="fr-CH"/>
              </w:rPr>
              <w:t>8 939</w:t>
            </w:r>
          </w:p>
        </w:tc>
        <w:tc>
          <w:tcPr>
            <w:tcW w:w="1078" w:type="dxa"/>
            <w:tcBorders>
              <w:top w:val="single" w:sz="12" w:space="0" w:color="auto"/>
              <w:bottom w:val="nil"/>
            </w:tcBorders>
            <w:shd w:val="clear" w:color="auto" w:fill="auto"/>
            <w:vAlign w:val="bottom"/>
          </w:tcPr>
          <w:p w:rsidR="009F7C7F" w:rsidRPr="0071782F" w:rsidRDefault="009F7C7F" w:rsidP="00543C5A">
            <w:pPr>
              <w:keepLines/>
              <w:suppressAutoHyphens w:val="0"/>
              <w:spacing w:before="40" w:after="40" w:line="220" w:lineRule="exact"/>
              <w:jc w:val="right"/>
              <w:rPr>
                <w:sz w:val="18"/>
                <w:lang w:val="fr-CH"/>
              </w:rPr>
            </w:pPr>
            <w:r w:rsidRPr="0071782F">
              <w:rPr>
                <w:sz w:val="18"/>
                <w:lang w:val="fr-CH"/>
              </w:rPr>
              <w:t>9 855</w:t>
            </w:r>
          </w:p>
        </w:tc>
        <w:tc>
          <w:tcPr>
            <w:tcW w:w="1258" w:type="dxa"/>
            <w:tcBorders>
              <w:top w:val="single" w:sz="12" w:space="0" w:color="auto"/>
              <w:bottom w:val="nil"/>
            </w:tcBorders>
            <w:shd w:val="clear" w:color="auto" w:fill="auto"/>
            <w:vAlign w:val="bottom"/>
          </w:tcPr>
          <w:p w:rsidR="009F7C7F" w:rsidRPr="0071782F" w:rsidRDefault="009F7C7F" w:rsidP="00543C5A">
            <w:pPr>
              <w:keepLines/>
              <w:suppressAutoHyphens w:val="0"/>
              <w:spacing w:before="40" w:after="40" w:line="220" w:lineRule="exact"/>
              <w:jc w:val="right"/>
              <w:rPr>
                <w:sz w:val="18"/>
                <w:lang w:val="fr-CH"/>
              </w:rPr>
            </w:pPr>
            <w:r w:rsidRPr="0071782F">
              <w:rPr>
                <w:sz w:val="18"/>
                <w:lang w:val="fr-CH"/>
              </w:rPr>
              <w:t>12 070</w:t>
            </w:r>
          </w:p>
        </w:tc>
        <w:tc>
          <w:tcPr>
            <w:tcW w:w="1039" w:type="dxa"/>
            <w:tcBorders>
              <w:top w:val="single" w:sz="12" w:space="0" w:color="auto"/>
              <w:bottom w:val="nil"/>
            </w:tcBorders>
            <w:shd w:val="clear" w:color="auto" w:fill="auto"/>
            <w:vAlign w:val="bottom"/>
          </w:tcPr>
          <w:p w:rsidR="009F7C7F" w:rsidRPr="0071782F" w:rsidRDefault="009F7C7F" w:rsidP="00543C5A">
            <w:pPr>
              <w:keepLines/>
              <w:suppressAutoHyphens w:val="0"/>
              <w:spacing w:before="40" w:after="40" w:line="220" w:lineRule="exact"/>
              <w:jc w:val="right"/>
              <w:rPr>
                <w:sz w:val="18"/>
                <w:lang w:val="fr-CH"/>
              </w:rPr>
            </w:pPr>
            <w:r w:rsidRPr="0071782F">
              <w:rPr>
                <w:sz w:val="18"/>
                <w:lang w:val="fr-CH"/>
              </w:rPr>
              <w:t>19 410</w:t>
            </w:r>
          </w:p>
        </w:tc>
      </w:tr>
      <w:tr w:rsidR="009F7C7F" w:rsidRPr="0071782F" w:rsidTr="00B2191A">
        <w:tc>
          <w:tcPr>
            <w:tcW w:w="1546" w:type="dxa"/>
            <w:tcBorders>
              <w:top w:val="nil"/>
              <w:bottom w:val="single" w:sz="4" w:space="0" w:color="auto"/>
            </w:tcBorders>
            <w:shd w:val="clear" w:color="auto" w:fill="auto"/>
            <w:vAlign w:val="bottom"/>
          </w:tcPr>
          <w:p w:rsidR="009F7C7F" w:rsidRPr="0071782F" w:rsidRDefault="00A33E36" w:rsidP="00543C5A">
            <w:pPr>
              <w:keepLines/>
              <w:suppressAutoHyphens w:val="0"/>
              <w:spacing w:before="40" w:after="40" w:line="220" w:lineRule="exact"/>
              <w:rPr>
                <w:sz w:val="18"/>
                <w:lang w:val="fr-CH"/>
              </w:rPr>
            </w:pPr>
            <w:r w:rsidRPr="0071782F">
              <w:rPr>
                <w:sz w:val="18"/>
                <w:lang w:val="fr-CH"/>
              </w:rPr>
              <w:t>Femmes</w:t>
            </w:r>
          </w:p>
        </w:tc>
        <w:tc>
          <w:tcPr>
            <w:tcW w:w="1258" w:type="dxa"/>
            <w:tcBorders>
              <w:top w:val="nil"/>
              <w:bottom w:val="single" w:sz="4" w:space="0" w:color="auto"/>
            </w:tcBorders>
            <w:shd w:val="clear" w:color="auto" w:fill="auto"/>
            <w:vAlign w:val="bottom"/>
          </w:tcPr>
          <w:p w:rsidR="009F7C7F" w:rsidRPr="0071782F" w:rsidRDefault="009F7C7F" w:rsidP="00543C5A">
            <w:pPr>
              <w:keepLines/>
              <w:suppressAutoHyphens w:val="0"/>
              <w:spacing w:before="40" w:after="40" w:line="220" w:lineRule="exact"/>
              <w:jc w:val="right"/>
              <w:rPr>
                <w:sz w:val="18"/>
                <w:lang w:val="fr-CH"/>
              </w:rPr>
            </w:pPr>
            <w:r w:rsidRPr="0071782F">
              <w:rPr>
                <w:sz w:val="18"/>
                <w:lang w:val="fr-CH"/>
              </w:rPr>
              <w:t>174</w:t>
            </w:r>
          </w:p>
        </w:tc>
        <w:tc>
          <w:tcPr>
            <w:tcW w:w="1078" w:type="dxa"/>
            <w:tcBorders>
              <w:top w:val="nil"/>
              <w:bottom w:val="single" w:sz="4" w:space="0" w:color="auto"/>
            </w:tcBorders>
            <w:shd w:val="clear" w:color="auto" w:fill="auto"/>
            <w:vAlign w:val="bottom"/>
          </w:tcPr>
          <w:p w:rsidR="009F7C7F" w:rsidRPr="0071782F" w:rsidRDefault="009F7C7F" w:rsidP="00543C5A">
            <w:pPr>
              <w:keepLines/>
              <w:suppressAutoHyphens w:val="0"/>
              <w:spacing w:before="40" w:after="40" w:line="220" w:lineRule="exact"/>
              <w:jc w:val="right"/>
              <w:rPr>
                <w:sz w:val="18"/>
                <w:lang w:val="fr-CH"/>
              </w:rPr>
            </w:pPr>
            <w:r w:rsidRPr="0071782F">
              <w:rPr>
                <w:sz w:val="18"/>
                <w:lang w:val="fr-CH"/>
              </w:rPr>
              <w:t>7 186</w:t>
            </w:r>
          </w:p>
        </w:tc>
        <w:tc>
          <w:tcPr>
            <w:tcW w:w="1258" w:type="dxa"/>
            <w:tcBorders>
              <w:top w:val="nil"/>
              <w:bottom w:val="single" w:sz="4" w:space="0" w:color="auto"/>
            </w:tcBorders>
            <w:shd w:val="clear" w:color="auto" w:fill="auto"/>
            <w:vAlign w:val="bottom"/>
          </w:tcPr>
          <w:p w:rsidR="009F7C7F" w:rsidRPr="0071782F" w:rsidRDefault="009F7C7F" w:rsidP="00543C5A">
            <w:pPr>
              <w:keepLines/>
              <w:suppressAutoHyphens w:val="0"/>
              <w:spacing w:before="40" w:after="40" w:line="220" w:lineRule="exact"/>
              <w:jc w:val="right"/>
              <w:rPr>
                <w:sz w:val="18"/>
                <w:lang w:val="fr-CH"/>
              </w:rPr>
            </w:pPr>
            <w:r w:rsidRPr="0071782F">
              <w:rPr>
                <w:sz w:val="18"/>
                <w:lang w:val="fr-CH"/>
              </w:rPr>
              <w:t>13 787</w:t>
            </w:r>
          </w:p>
        </w:tc>
        <w:tc>
          <w:tcPr>
            <w:tcW w:w="1078" w:type="dxa"/>
            <w:tcBorders>
              <w:top w:val="nil"/>
              <w:bottom w:val="single" w:sz="4" w:space="0" w:color="auto"/>
            </w:tcBorders>
            <w:shd w:val="clear" w:color="auto" w:fill="auto"/>
            <w:vAlign w:val="bottom"/>
          </w:tcPr>
          <w:p w:rsidR="009F7C7F" w:rsidRPr="0071782F" w:rsidRDefault="009F7C7F" w:rsidP="00543C5A">
            <w:pPr>
              <w:keepLines/>
              <w:suppressAutoHyphens w:val="0"/>
              <w:spacing w:before="40" w:after="40" w:line="220" w:lineRule="exact"/>
              <w:jc w:val="right"/>
              <w:rPr>
                <w:sz w:val="18"/>
                <w:lang w:val="fr-CH"/>
              </w:rPr>
            </w:pPr>
            <w:r w:rsidRPr="0071782F">
              <w:rPr>
                <w:sz w:val="18"/>
                <w:lang w:val="fr-CH"/>
              </w:rPr>
              <w:t>14 992</w:t>
            </w:r>
          </w:p>
        </w:tc>
        <w:tc>
          <w:tcPr>
            <w:tcW w:w="1258" w:type="dxa"/>
            <w:tcBorders>
              <w:top w:val="nil"/>
              <w:bottom w:val="single" w:sz="4" w:space="0" w:color="auto"/>
            </w:tcBorders>
            <w:shd w:val="clear" w:color="auto" w:fill="auto"/>
            <w:vAlign w:val="bottom"/>
          </w:tcPr>
          <w:p w:rsidR="009F7C7F" w:rsidRPr="0071782F" w:rsidRDefault="009F7C7F" w:rsidP="00543C5A">
            <w:pPr>
              <w:keepLines/>
              <w:suppressAutoHyphens w:val="0"/>
              <w:spacing w:before="40" w:after="40" w:line="220" w:lineRule="exact"/>
              <w:jc w:val="right"/>
              <w:rPr>
                <w:sz w:val="18"/>
                <w:lang w:val="fr-CH"/>
              </w:rPr>
            </w:pPr>
            <w:r w:rsidRPr="0071782F">
              <w:rPr>
                <w:sz w:val="18"/>
                <w:lang w:val="fr-CH"/>
              </w:rPr>
              <w:t>17 416</w:t>
            </w:r>
          </w:p>
        </w:tc>
        <w:tc>
          <w:tcPr>
            <w:tcW w:w="1039" w:type="dxa"/>
            <w:tcBorders>
              <w:top w:val="nil"/>
              <w:bottom w:val="single" w:sz="4" w:space="0" w:color="auto"/>
            </w:tcBorders>
            <w:shd w:val="clear" w:color="auto" w:fill="auto"/>
            <w:vAlign w:val="bottom"/>
          </w:tcPr>
          <w:p w:rsidR="009F7C7F" w:rsidRPr="0071782F" w:rsidRDefault="009F7C7F" w:rsidP="00543C5A">
            <w:pPr>
              <w:keepLines/>
              <w:suppressAutoHyphens w:val="0"/>
              <w:spacing w:before="40" w:after="40" w:line="220" w:lineRule="exact"/>
              <w:jc w:val="right"/>
              <w:rPr>
                <w:sz w:val="18"/>
                <w:lang w:val="fr-CH"/>
              </w:rPr>
            </w:pPr>
            <w:r w:rsidRPr="0071782F">
              <w:rPr>
                <w:sz w:val="18"/>
                <w:lang w:val="fr-CH"/>
              </w:rPr>
              <w:t>30 968</w:t>
            </w:r>
          </w:p>
        </w:tc>
      </w:tr>
      <w:tr w:rsidR="009F7C7F" w:rsidRPr="0071782F" w:rsidTr="00B2191A">
        <w:tc>
          <w:tcPr>
            <w:tcW w:w="1546" w:type="dxa"/>
            <w:tcBorders>
              <w:top w:val="single" w:sz="4" w:space="0" w:color="auto"/>
              <w:bottom w:val="single" w:sz="12" w:space="0" w:color="auto"/>
            </w:tcBorders>
            <w:shd w:val="clear" w:color="auto" w:fill="auto"/>
            <w:vAlign w:val="bottom"/>
          </w:tcPr>
          <w:p w:rsidR="009F7C7F" w:rsidRPr="0071782F" w:rsidRDefault="009F7C7F" w:rsidP="00543C5A">
            <w:pPr>
              <w:suppressAutoHyphens w:val="0"/>
              <w:spacing w:before="80" w:after="80" w:line="220" w:lineRule="exact"/>
              <w:ind w:left="284"/>
              <w:rPr>
                <w:b/>
                <w:sz w:val="18"/>
                <w:lang w:val="fr-CH"/>
              </w:rPr>
            </w:pPr>
            <w:r w:rsidRPr="0071782F">
              <w:rPr>
                <w:b/>
                <w:sz w:val="18"/>
                <w:lang w:val="fr-CH"/>
              </w:rPr>
              <w:t>Total</w:t>
            </w:r>
          </w:p>
        </w:tc>
        <w:tc>
          <w:tcPr>
            <w:tcW w:w="1258" w:type="dxa"/>
            <w:tcBorders>
              <w:top w:val="single" w:sz="4" w:space="0" w:color="auto"/>
              <w:bottom w:val="single" w:sz="12" w:space="0" w:color="auto"/>
            </w:tcBorders>
            <w:shd w:val="clear" w:color="auto" w:fill="auto"/>
            <w:vAlign w:val="bottom"/>
          </w:tcPr>
          <w:p w:rsidR="009F7C7F" w:rsidRPr="0071782F" w:rsidRDefault="009F7C7F" w:rsidP="00543C5A">
            <w:pPr>
              <w:suppressAutoHyphens w:val="0"/>
              <w:spacing w:before="80" w:after="80" w:line="220" w:lineRule="exact"/>
              <w:jc w:val="right"/>
              <w:rPr>
                <w:b/>
                <w:sz w:val="18"/>
                <w:lang w:val="fr-CH"/>
              </w:rPr>
            </w:pPr>
            <w:r w:rsidRPr="0071782F">
              <w:rPr>
                <w:b/>
                <w:sz w:val="18"/>
                <w:lang w:val="fr-CH"/>
              </w:rPr>
              <w:t>1 065</w:t>
            </w:r>
          </w:p>
        </w:tc>
        <w:tc>
          <w:tcPr>
            <w:tcW w:w="1078" w:type="dxa"/>
            <w:tcBorders>
              <w:top w:val="single" w:sz="4" w:space="0" w:color="auto"/>
              <w:bottom w:val="single" w:sz="12" w:space="0" w:color="auto"/>
            </w:tcBorders>
            <w:shd w:val="clear" w:color="auto" w:fill="auto"/>
            <w:vAlign w:val="bottom"/>
          </w:tcPr>
          <w:p w:rsidR="009F7C7F" w:rsidRPr="0071782F" w:rsidRDefault="009F7C7F" w:rsidP="00543C5A">
            <w:pPr>
              <w:suppressAutoHyphens w:val="0"/>
              <w:spacing w:before="80" w:after="80" w:line="220" w:lineRule="exact"/>
              <w:jc w:val="right"/>
              <w:rPr>
                <w:b/>
                <w:sz w:val="18"/>
                <w:lang w:val="fr-CH"/>
              </w:rPr>
            </w:pPr>
            <w:r w:rsidRPr="0071782F">
              <w:rPr>
                <w:b/>
                <w:sz w:val="18"/>
                <w:lang w:val="fr-CH"/>
              </w:rPr>
              <w:t>20 117</w:t>
            </w:r>
          </w:p>
        </w:tc>
        <w:tc>
          <w:tcPr>
            <w:tcW w:w="1258" w:type="dxa"/>
            <w:tcBorders>
              <w:top w:val="single" w:sz="4" w:space="0" w:color="auto"/>
              <w:bottom w:val="single" w:sz="12" w:space="0" w:color="auto"/>
            </w:tcBorders>
            <w:shd w:val="clear" w:color="auto" w:fill="auto"/>
            <w:vAlign w:val="bottom"/>
          </w:tcPr>
          <w:p w:rsidR="009F7C7F" w:rsidRPr="0071782F" w:rsidRDefault="009F7C7F" w:rsidP="00543C5A">
            <w:pPr>
              <w:suppressAutoHyphens w:val="0"/>
              <w:spacing w:before="80" w:after="80" w:line="220" w:lineRule="exact"/>
              <w:jc w:val="right"/>
              <w:rPr>
                <w:b/>
                <w:sz w:val="18"/>
                <w:lang w:val="fr-CH"/>
              </w:rPr>
            </w:pPr>
            <w:r w:rsidRPr="0071782F">
              <w:rPr>
                <w:b/>
                <w:sz w:val="18"/>
                <w:lang w:val="fr-CH"/>
              </w:rPr>
              <w:t>22 726</w:t>
            </w:r>
          </w:p>
        </w:tc>
        <w:tc>
          <w:tcPr>
            <w:tcW w:w="1078" w:type="dxa"/>
            <w:tcBorders>
              <w:top w:val="single" w:sz="4" w:space="0" w:color="auto"/>
              <w:bottom w:val="single" w:sz="12" w:space="0" w:color="auto"/>
            </w:tcBorders>
            <w:shd w:val="clear" w:color="auto" w:fill="auto"/>
            <w:vAlign w:val="bottom"/>
          </w:tcPr>
          <w:p w:rsidR="009F7C7F" w:rsidRPr="0071782F" w:rsidRDefault="009F7C7F" w:rsidP="00543C5A">
            <w:pPr>
              <w:suppressAutoHyphens w:val="0"/>
              <w:spacing w:before="80" w:after="80" w:line="220" w:lineRule="exact"/>
              <w:jc w:val="right"/>
              <w:rPr>
                <w:b/>
                <w:sz w:val="18"/>
                <w:lang w:val="fr-CH"/>
              </w:rPr>
            </w:pPr>
            <w:r w:rsidRPr="0071782F">
              <w:rPr>
                <w:b/>
                <w:sz w:val="18"/>
                <w:lang w:val="fr-CH"/>
              </w:rPr>
              <w:t>24 847</w:t>
            </w:r>
          </w:p>
        </w:tc>
        <w:tc>
          <w:tcPr>
            <w:tcW w:w="1258" w:type="dxa"/>
            <w:tcBorders>
              <w:top w:val="single" w:sz="4" w:space="0" w:color="auto"/>
              <w:bottom w:val="single" w:sz="12" w:space="0" w:color="auto"/>
            </w:tcBorders>
            <w:shd w:val="clear" w:color="auto" w:fill="auto"/>
            <w:vAlign w:val="bottom"/>
          </w:tcPr>
          <w:p w:rsidR="009F7C7F" w:rsidRPr="0071782F" w:rsidRDefault="009F7C7F" w:rsidP="00543C5A">
            <w:pPr>
              <w:suppressAutoHyphens w:val="0"/>
              <w:spacing w:before="80" w:after="80" w:line="220" w:lineRule="exact"/>
              <w:jc w:val="right"/>
              <w:rPr>
                <w:b/>
                <w:sz w:val="18"/>
                <w:lang w:val="fr-CH"/>
              </w:rPr>
            </w:pPr>
            <w:r w:rsidRPr="0071782F">
              <w:rPr>
                <w:b/>
                <w:sz w:val="18"/>
                <w:lang w:val="fr-CH"/>
              </w:rPr>
              <w:t>29 486</w:t>
            </w:r>
          </w:p>
        </w:tc>
        <w:tc>
          <w:tcPr>
            <w:tcW w:w="1039" w:type="dxa"/>
            <w:tcBorders>
              <w:top w:val="single" w:sz="4" w:space="0" w:color="auto"/>
              <w:bottom w:val="single" w:sz="12" w:space="0" w:color="auto"/>
            </w:tcBorders>
            <w:shd w:val="clear" w:color="auto" w:fill="auto"/>
            <w:vAlign w:val="bottom"/>
          </w:tcPr>
          <w:p w:rsidR="009F7C7F" w:rsidRPr="0071782F" w:rsidRDefault="009F7C7F" w:rsidP="00543C5A">
            <w:pPr>
              <w:suppressAutoHyphens w:val="0"/>
              <w:spacing w:before="80" w:after="80" w:line="220" w:lineRule="exact"/>
              <w:jc w:val="right"/>
              <w:rPr>
                <w:b/>
                <w:sz w:val="18"/>
                <w:lang w:val="fr-CH"/>
              </w:rPr>
            </w:pPr>
            <w:r w:rsidRPr="0071782F">
              <w:rPr>
                <w:b/>
                <w:sz w:val="18"/>
                <w:lang w:val="fr-CH"/>
              </w:rPr>
              <w:t>50 396</w:t>
            </w:r>
          </w:p>
        </w:tc>
      </w:tr>
    </w:tbl>
    <w:p w:rsidR="009F7C7F" w:rsidRPr="0071782F" w:rsidRDefault="009F7C7F" w:rsidP="00496C06">
      <w:pPr>
        <w:pStyle w:val="H23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402EE2" w:rsidRPr="0071782F">
        <w:rPr>
          <w:lang w:val="fr-CH"/>
        </w:rPr>
        <w:t>de bénéficiaire</w:t>
      </w:r>
      <w:r w:rsidR="00A33E36" w:rsidRPr="0071782F">
        <w:rPr>
          <w:lang w:val="fr-CH"/>
        </w:rPr>
        <w:t xml:space="preserve">s des programmes d’éducation familiale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7"/>
        <w:gridCol w:w="1089"/>
        <w:gridCol w:w="933"/>
        <w:gridCol w:w="1089"/>
        <w:gridCol w:w="933"/>
        <w:gridCol w:w="1089"/>
        <w:gridCol w:w="900"/>
      </w:tblGrid>
      <w:tr w:rsidR="009F7C7F" w:rsidRPr="0071782F">
        <w:trPr>
          <w:tblHeader/>
        </w:trPr>
        <w:tc>
          <w:tcPr>
            <w:tcW w:w="1546" w:type="dxa"/>
            <w:tcBorders>
              <w:top w:val="single" w:sz="4" w:space="0" w:color="auto"/>
              <w:bottom w:val="single" w:sz="12" w:space="0" w:color="auto"/>
            </w:tcBorders>
            <w:shd w:val="clear" w:color="auto" w:fill="auto"/>
            <w:vAlign w:val="bottom"/>
          </w:tcPr>
          <w:p w:rsidR="009F7C7F" w:rsidRPr="0071782F" w:rsidRDefault="00A33E36" w:rsidP="000838E6">
            <w:pPr>
              <w:keepNext/>
              <w:suppressAutoHyphens w:val="0"/>
              <w:spacing w:before="80" w:after="80" w:line="200" w:lineRule="exact"/>
              <w:rPr>
                <w:i/>
                <w:sz w:val="16"/>
                <w:lang w:val="fr-CH"/>
              </w:rPr>
            </w:pPr>
            <w:r w:rsidRPr="0071782F">
              <w:rPr>
                <w:i/>
                <w:sz w:val="16"/>
                <w:lang w:val="fr-CH"/>
              </w:rPr>
              <w:t>Année</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1987</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1997</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2003</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2004</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2005</w:t>
            </w:r>
          </w:p>
        </w:tc>
        <w:tc>
          <w:tcPr>
            <w:tcW w:w="1039"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2006</w:t>
            </w:r>
          </w:p>
        </w:tc>
      </w:tr>
      <w:tr w:rsidR="009F7C7F" w:rsidRPr="0071782F">
        <w:tc>
          <w:tcPr>
            <w:tcW w:w="1546" w:type="dxa"/>
            <w:tcBorders>
              <w:top w:val="single" w:sz="12" w:space="0" w:color="auto"/>
            </w:tcBorders>
            <w:shd w:val="clear" w:color="auto" w:fill="auto"/>
            <w:vAlign w:val="bottom"/>
          </w:tcPr>
          <w:p w:rsidR="009F7C7F" w:rsidRPr="0071782F" w:rsidRDefault="00A33E36" w:rsidP="000838E6">
            <w:pPr>
              <w:keepNext/>
              <w:suppressAutoHyphens w:val="0"/>
              <w:spacing w:before="40" w:after="40" w:line="220" w:lineRule="exact"/>
              <w:rPr>
                <w:sz w:val="18"/>
                <w:lang w:val="fr-CH"/>
              </w:rPr>
            </w:pPr>
            <w:r w:rsidRPr="0071782F">
              <w:rPr>
                <w:sz w:val="18"/>
                <w:lang w:val="fr-CH"/>
              </w:rPr>
              <w:t>Garçons</w:t>
            </w:r>
          </w:p>
        </w:tc>
        <w:tc>
          <w:tcPr>
            <w:tcW w:w="125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15 249</w:t>
            </w:r>
          </w:p>
        </w:tc>
        <w:tc>
          <w:tcPr>
            <w:tcW w:w="107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73 694</w:t>
            </w:r>
          </w:p>
        </w:tc>
        <w:tc>
          <w:tcPr>
            <w:tcW w:w="125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126 769</w:t>
            </w:r>
          </w:p>
        </w:tc>
        <w:tc>
          <w:tcPr>
            <w:tcW w:w="107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90 334</w:t>
            </w:r>
          </w:p>
        </w:tc>
        <w:tc>
          <w:tcPr>
            <w:tcW w:w="125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84 576</w:t>
            </w:r>
          </w:p>
        </w:tc>
        <w:tc>
          <w:tcPr>
            <w:tcW w:w="1039"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54 270</w:t>
            </w:r>
          </w:p>
        </w:tc>
      </w:tr>
      <w:tr w:rsidR="009F7C7F" w:rsidRPr="0071782F">
        <w:tc>
          <w:tcPr>
            <w:tcW w:w="1546" w:type="dxa"/>
            <w:tcBorders>
              <w:bottom w:val="single" w:sz="4" w:space="0" w:color="auto"/>
            </w:tcBorders>
            <w:shd w:val="clear" w:color="auto" w:fill="auto"/>
            <w:vAlign w:val="bottom"/>
          </w:tcPr>
          <w:p w:rsidR="009F7C7F" w:rsidRPr="0071782F" w:rsidRDefault="00A33E36" w:rsidP="000838E6">
            <w:pPr>
              <w:keepNext/>
              <w:suppressAutoHyphens w:val="0"/>
              <w:spacing w:before="40" w:after="40" w:line="220" w:lineRule="exact"/>
              <w:rPr>
                <w:sz w:val="18"/>
                <w:lang w:val="fr-CH"/>
              </w:rPr>
            </w:pPr>
            <w:r w:rsidRPr="0071782F">
              <w:rPr>
                <w:sz w:val="18"/>
                <w:lang w:val="fr-CH"/>
              </w:rPr>
              <w:t xml:space="preserve">Filles </w:t>
            </w:r>
          </w:p>
        </w:tc>
        <w:tc>
          <w:tcPr>
            <w:tcW w:w="125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39 654</w:t>
            </w:r>
          </w:p>
        </w:tc>
        <w:tc>
          <w:tcPr>
            <w:tcW w:w="107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191 644</w:t>
            </w:r>
          </w:p>
        </w:tc>
        <w:tc>
          <w:tcPr>
            <w:tcW w:w="125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539 757</w:t>
            </w:r>
          </w:p>
        </w:tc>
        <w:tc>
          <w:tcPr>
            <w:tcW w:w="107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83 558</w:t>
            </w:r>
          </w:p>
        </w:tc>
        <w:tc>
          <w:tcPr>
            <w:tcW w:w="125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959 256</w:t>
            </w:r>
          </w:p>
        </w:tc>
        <w:tc>
          <w:tcPr>
            <w:tcW w:w="1039"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456 241</w:t>
            </w:r>
          </w:p>
        </w:tc>
      </w:tr>
      <w:tr w:rsidR="009F7C7F" w:rsidRPr="0071782F">
        <w:tc>
          <w:tcPr>
            <w:tcW w:w="1546"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ind w:left="284"/>
              <w:rPr>
                <w:b/>
                <w:sz w:val="18"/>
                <w:lang w:val="fr-CH"/>
              </w:rPr>
            </w:pPr>
            <w:r w:rsidRPr="0071782F">
              <w:rPr>
                <w:b/>
                <w:sz w:val="18"/>
                <w:lang w:val="fr-CH"/>
              </w:rPr>
              <w:t>Total</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54 903</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265 338</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666 526</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921 892</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1 043 832</w:t>
            </w:r>
          </w:p>
        </w:tc>
        <w:tc>
          <w:tcPr>
            <w:tcW w:w="1039"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510 511</w:t>
            </w:r>
          </w:p>
        </w:tc>
      </w:tr>
    </w:tbl>
    <w:p w:rsidR="009F7C7F" w:rsidRPr="0071782F" w:rsidRDefault="009F7C7F" w:rsidP="00EA4A9E">
      <w:pPr>
        <w:pStyle w:val="H23G"/>
        <w:rPr>
          <w:lang w:val="fr-CH"/>
        </w:rPr>
      </w:pPr>
      <w:r w:rsidRPr="0071782F">
        <w:rPr>
          <w:lang w:val="fr-CH"/>
        </w:rPr>
        <w:tab/>
      </w:r>
      <w:r w:rsidRPr="0071782F">
        <w:rPr>
          <w:lang w:val="fr-CH"/>
        </w:rPr>
        <w:tab/>
      </w:r>
      <w:r w:rsidR="00FC03B2" w:rsidRPr="0071782F">
        <w:rPr>
          <w:lang w:val="fr-CH"/>
        </w:rPr>
        <w:t xml:space="preserve">Prêts au titre de l’autosuffisance accordés aux femmes chefs </w:t>
      </w:r>
      <w:r w:rsidR="0092511D" w:rsidRPr="0071782F">
        <w:rPr>
          <w:lang w:val="fr-CH"/>
        </w:rPr>
        <w:t>de famille</w:t>
      </w:r>
      <w:r w:rsidR="00FC03B2" w:rsidRPr="0071782F">
        <w:rPr>
          <w:lang w:val="fr-CH"/>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66"/>
        <w:gridCol w:w="900"/>
        <w:gridCol w:w="901"/>
        <w:gridCol w:w="901"/>
        <w:gridCol w:w="900"/>
        <w:gridCol w:w="901"/>
        <w:gridCol w:w="901"/>
      </w:tblGrid>
      <w:tr w:rsidR="009F7C7F" w:rsidRPr="0071782F">
        <w:trPr>
          <w:tblHeader/>
        </w:trPr>
        <w:tc>
          <w:tcPr>
            <w:tcW w:w="1966" w:type="dxa"/>
            <w:tcBorders>
              <w:top w:val="single" w:sz="4" w:space="0" w:color="auto"/>
              <w:bottom w:val="single" w:sz="12" w:space="0" w:color="auto"/>
            </w:tcBorders>
            <w:shd w:val="clear" w:color="auto" w:fill="auto"/>
            <w:vAlign w:val="bottom"/>
          </w:tcPr>
          <w:p w:rsidR="009F7C7F" w:rsidRPr="0071782F" w:rsidRDefault="00FC03B2" w:rsidP="000838E6">
            <w:pPr>
              <w:keepNext/>
              <w:keepLines/>
              <w:suppressAutoHyphens w:val="0"/>
              <w:spacing w:before="80" w:after="80" w:line="200" w:lineRule="exact"/>
              <w:rPr>
                <w:i/>
                <w:sz w:val="16"/>
                <w:lang w:val="fr-CH"/>
              </w:rPr>
            </w:pPr>
            <w:r w:rsidRPr="0071782F">
              <w:rPr>
                <w:i/>
                <w:sz w:val="16"/>
                <w:lang w:val="fr-CH"/>
              </w:rPr>
              <w:t>Année</w:t>
            </w:r>
          </w:p>
        </w:tc>
        <w:tc>
          <w:tcPr>
            <w:tcW w:w="900" w:type="dxa"/>
            <w:tcBorders>
              <w:top w:val="single" w:sz="4" w:space="0" w:color="auto"/>
              <w:bottom w:val="single" w:sz="12" w:space="0" w:color="auto"/>
            </w:tcBorders>
            <w:shd w:val="clear" w:color="auto" w:fill="auto"/>
            <w:vAlign w:val="bottom"/>
          </w:tcPr>
          <w:p w:rsidR="009F7C7F" w:rsidRPr="0071782F" w:rsidRDefault="009F7C7F" w:rsidP="000838E6">
            <w:pPr>
              <w:keepNext/>
              <w:keepLines/>
              <w:suppressAutoHyphens w:val="0"/>
              <w:spacing w:before="80" w:after="80" w:line="200" w:lineRule="exact"/>
              <w:jc w:val="right"/>
              <w:rPr>
                <w:i/>
                <w:sz w:val="16"/>
                <w:lang w:val="fr-CH"/>
              </w:rPr>
            </w:pPr>
            <w:r w:rsidRPr="0071782F">
              <w:rPr>
                <w:i/>
                <w:sz w:val="16"/>
                <w:lang w:val="fr-CH"/>
              </w:rPr>
              <w:t>1987</w:t>
            </w:r>
          </w:p>
        </w:tc>
        <w:tc>
          <w:tcPr>
            <w:tcW w:w="901" w:type="dxa"/>
            <w:tcBorders>
              <w:top w:val="single" w:sz="4" w:space="0" w:color="auto"/>
              <w:bottom w:val="single" w:sz="12" w:space="0" w:color="auto"/>
            </w:tcBorders>
            <w:shd w:val="clear" w:color="auto" w:fill="auto"/>
            <w:vAlign w:val="bottom"/>
          </w:tcPr>
          <w:p w:rsidR="009F7C7F" w:rsidRPr="0071782F" w:rsidRDefault="009F7C7F" w:rsidP="000838E6">
            <w:pPr>
              <w:keepNext/>
              <w:keepLines/>
              <w:suppressAutoHyphens w:val="0"/>
              <w:spacing w:before="80" w:after="80" w:line="200" w:lineRule="exact"/>
              <w:jc w:val="right"/>
              <w:rPr>
                <w:i/>
                <w:sz w:val="16"/>
                <w:lang w:val="fr-CH"/>
              </w:rPr>
            </w:pPr>
            <w:r w:rsidRPr="0071782F">
              <w:rPr>
                <w:i/>
                <w:sz w:val="16"/>
                <w:lang w:val="fr-CH"/>
              </w:rPr>
              <w:t>1997</w:t>
            </w:r>
          </w:p>
        </w:tc>
        <w:tc>
          <w:tcPr>
            <w:tcW w:w="901" w:type="dxa"/>
            <w:tcBorders>
              <w:top w:val="single" w:sz="4" w:space="0" w:color="auto"/>
              <w:bottom w:val="single" w:sz="12" w:space="0" w:color="auto"/>
            </w:tcBorders>
            <w:shd w:val="clear" w:color="auto" w:fill="auto"/>
            <w:vAlign w:val="bottom"/>
          </w:tcPr>
          <w:p w:rsidR="009F7C7F" w:rsidRPr="0071782F" w:rsidRDefault="009F7C7F" w:rsidP="000838E6">
            <w:pPr>
              <w:keepNext/>
              <w:keepLines/>
              <w:suppressAutoHyphens w:val="0"/>
              <w:spacing w:before="80" w:after="80" w:line="200" w:lineRule="exact"/>
              <w:jc w:val="right"/>
              <w:rPr>
                <w:i/>
                <w:sz w:val="16"/>
                <w:lang w:val="fr-CH"/>
              </w:rPr>
            </w:pPr>
            <w:r w:rsidRPr="0071782F">
              <w:rPr>
                <w:i/>
                <w:sz w:val="16"/>
                <w:lang w:val="fr-CH"/>
              </w:rPr>
              <w:t>2003</w:t>
            </w:r>
          </w:p>
        </w:tc>
        <w:tc>
          <w:tcPr>
            <w:tcW w:w="900" w:type="dxa"/>
            <w:tcBorders>
              <w:top w:val="single" w:sz="4" w:space="0" w:color="auto"/>
              <w:bottom w:val="single" w:sz="12" w:space="0" w:color="auto"/>
            </w:tcBorders>
            <w:shd w:val="clear" w:color="auto" w:fill="auto"/>
            <w:vAlign w:val="bottom"/>
          </w:tcPr>
          <w:p w:rsidR="009F7C7F" w:rsidRPr="0071782F" w:rsidRDefault="009F7C7F" w:rsidP="000838E6">
            <w:pPr>
              <w:keepNext/>
              <w:keepLines/>
              <w:suppressAutoHyphens w:val="0"/>
              <w:spacing w:before="80" w:after="80" w:line="200" w:lineRule="exact"/>
              <w:jc w:val="right"/>
              <w:rPr>
                <w:i/>
                <w:sz w:val="16"/>
                <w:lang w:val="fr-CH"/>
              </w:rPr>
            </w:pPr>
            <w:r w:rsidRPr="0071782F">
              <w:rPr>
                <w:i/>
                <w:sz w:val="16"/>
                <w:lang w:val="fr-CH"/>
              </w:rPr>
              <w:t>2004</w:t>
            </w:r>
          </w:p>
        </w:tc>
        <w:tc>
          <w:tcPr>
            <w:tcW w:w="901" w:type="dxa"/>
            <w:tcBorders>
              <w:top w:val="single" w:sz="4" w:space="0" w:color="auto"/>
              <w:bottom w:val="single" w:sz="12" w:space="0" w:color="auto"/>
            </w:tcBorders>
            <w:shd w:val="clear" w:color="auto" w:fill="auto"/>
            <w:vAlign w:val="bottom"/>
          </w:tcPr>
          <w:p w:rsidR="009F7C7F" w:rsidRPr="0071782F" w:rsidRDefault="009F7C7F" w:rsidP="000838E6">
            <w:pPr>
              <w:keepNext/>
              <w:keepLines/>
              <w:suppressAutoHyphens w:val="0"/>
              <w:spacing w:before="80" w:after="80" w:line="200" w:lineRule="exact"/>
              <w:jc w:val="right"/>
              <w:rPr>
                <w:i/>
                <w:sz w:val="16"/>
                <w:lang w:val="fr-CH"/>
              </w:rPr>
            </w:pPr>
            <w:r w:rsidRPr="0071782F">
              <w:rPr>
                <w:i/>
                <w:sz w:val="16"/>
                <w:lang w:val="fr-CH"/>
              </w:rPr>
              <w:t>2005</w:t>
            </w:r>
          </w:p>
        </w:tc>
        <w:tc>
          <w:tcPr>
            <w:tcW w:w="901" w:type="dxa"/>
            <w:tcBorders>
              <w:top w:val="single" w:sz="4" w:space="0" w:color="auto"/>
              <w:bottom w:val="single" w:sz="12" w:space="0" w:color="auto"/>
            </w:tcBorders>
            <w:shd w:val="clear" w:color="auto" w:fill="auto"/>
            <w:vAlign w:val="bottom"/>
          </w:tcPr>
          <w:p w:rsidR="009F7C7F" w:rsidRPr="0071782F" w:rsidRDefault="009F7C7F" w:rsidP="000838E6">
            <w:pPr>
              <w:keepNext/>
              <w:keepLines/>
              <w:suppressAutoHyphens w:val="0"/>
              <w:spacing w:before="80" w:after="80" w:line="200" w:lineRule="exact"/>
              <w:jc w:val="right"/>
              <w:rPr>
                <w:i/>
                <w:sz w:val="16"/>
                <w:lang w:val="fr-CH"/>
              </w:rPr>
            </w:pPr>
            <w:r w:rsidRPr="0071782F">
              <w:rPr>
                <w:i/>
                <w:sz w:val="16"/>
                <w:lang w:val="fr-CH"/>
              </w:rPr>
              <w:t>2006</w:t>
            </w:r>
          </w:p>
        </w:tc>
      </w:tr>
      <w:tr w:rsidR="009F7C7F" w:rsidRPr="0071782F">
        <w:tc>
          <w:tcPr>
            <w:tcW w:w="1966" w:type="dxa"/>
            <w:tcBorders>
              <w:top w:val="single" w:sz="12" w:space="0" w:color="auto"/>
            </w:tcBorders>
            <w:shd w:val="clear" w:color="auto" w:fill="auto"/>
          </w:tcPr>
          <w:p w:rsidR="009F7C7F" w:rsidRPr="0071782F" w:rsidRDefault="003B48A4" w:rsidP="000838E6">
            <w:pPr>
              <w:keepNext/>
              <w:keepLines/>
              <w:suppressAutoHyphens w:val="0"/>
              <w:spacing w:before="40" w:after="40" w:line="220" w:lineRule="exact"/>
              <w:rPr>
                <w:sz w:val="18"/>
                <w:lang w:val="fr-CH"/>
              </w:rPr>
            </w:pPr>
            <w:r w:rsidRPr="0071782F">
              <w:rPr>
                <w:sz w:val="18"/>
                <w:lang w:val="fr-CH"/>
              </w:rPr>
              <w:t>Nombre</w:t>
            </w:r>
            <w:r w:rsidR="009F7C7F" w:rsidRPr="0071782F">
              <w:rPr>
                <w:sz w:val="18"/>
                <w:lang w:val="fr-CH"/>
              </w:rPr>
              <w:t xml:space="preserve"> (</w:t>
            </w:r>
            <w:r w:rsidR="00D82C96" w:rsidRPr="0071782F">
              <w:rPr>
                <w:sz w:val="18"/>
                <w:lang w:val="fr-CH"/>
              </w:rPr>
              <w:t>de personnes</w:t>
            </w:r>
            <w:r w:rsidR="009F7C7F" w:rsidRPr="0071782F">
              <w:rPr>
                <w:sz w:val="18"/>
                <w:lang w:val="fr-CH"/>
              </w:rPr>
              <w:t>)</w:t>
            </w:r>
          </w:p>
        </w:tc>
        <w:tc>
          <w:tcPr>
            <w:tcW w:w="900" w:type="dxa"/>
            <w:tcBorders>
              <w:top w:val="single" w:sz="12" w:space="0" w:color="auto"/>
            </w:tcBorders>
            <w:shd w:val="clear" w:color="auto" w:fill="auto"/>
            <w:vAlign w:val="bottom"/>
          </w:tcPr>
          <w:p w:rsidR="009F7C7F" w:rsidRPr="0071782F" w:rsidRDefault="009F7C7F" w:rsidP="000838E6">
            <w:pPr>
              <w:keepNext/>
              <w:keepLines/>
              <w:suppressAutoHyphens w:val="0"/>
              <w:spacing w:before="40" w:after="40" w:line="220" w:lineRule="exact"/>
              <w:jc w:val="right"/>
              <w:rPr>
                <w:sz w:val="18"/>
                <w:lang w:val="fr-CH"/>
              </w:rPr>
            </w:pPr>
            <w:r w:rsidRPr="0071782F">
              <w:rPr>
                <w:sz w:val="18"/>
                <w:lang w:val="fr-CH"/>
              </w:rPr>
              <w:t>3 320</w:t>
            </w:r>
          </w:p>
        </w:tc>
        <w:tc>
          <w:tcPr>
            <w:tcW w:w="901" w:type="dxa"/>
            <w:tcBorders>
              <w:top w:val="single" w:sz="12" w:space="0" w:color="auto"/>
            </w:tcBorders>
            <w:shd w:val="clear" w:color="auto" w:fill="auto"/>
            <w:vAlign w:val="bottom"/>
          </w:tcPr>
          <w:p w:rsidR="009F7C7F" w:rsidRPr="0071782F" w:rsidRDefault="009F7C7F" w:rsidP="000838E6">
            <w:pPr>
              <w:keepNext/>
              <w:keepLines/>
              <w:suppressAutoHyphens w:val="0"/>
              <w:spacing w:before="40" w:after="40" w:line="220" w:lineRule="exact"/>
              <w:jc w:val="right"/>
              <w:rPr>
                <w:sz w:val="18"/>
                <w:lang w:val="fr-CH"/>
              </w:rPr>
            </w:pPr>
            <w:r w:rsidRPr="0071782F">
              <w:rPr>
                <w:sz w:val="18"/>
                <w:lang w:val="fr-CH"/>
              </w:rPr>
              <w:t>4 501</w:t>
            </w:r>
          </w:p>
        </w:tc>
        <w:tc>
          <w:tcPr>
            <w:tcW w:w="901" w:type="dxa"/>
            <w:tcBorders>
              <w:top w:val="single" w:sz="12" w:space="0" w:color="auto"/>
            </w:tcBorders>
            <w:shd w:val="clear" w:color="auto" w:fill="auto"/>
            <w:vAlign w:val="bottom"/>
          </w:tcPr>
          <w:p w:rsidR="009F7C7F" w:rsidRPr="0071782F" w:rsidRDefault="009F7C7F" w:rsidP="000838E6">
            <w:pPr>
              <w:keepNext/>
              <w:keepLines/>
              <w:suppressAutoHyphens w:val="0"/>
              <w:spacing w:before="40" w:after="40" w:line="220" w:lineRule="exact"/>
              <w:jc w:val="right"/>
              <w:rPr>
                <w:sz w:val="18"/>
                <w:lang w:val="fr-CH"/>
              </w:rPr>
            </w:pPr>
            <w:r w:rsidRPr="0071782F">
              <w:rPr>
                <w:sz w:val="18"/>
                <w:lang w:val="fr-CH"/>
              </w:rPr>
              <w:t>9 377</w:t>
            </w:r>
          </w:p>
        </w:tc>
        <w:tc>
          <w:tcPr>
            <w:tcW w:w="900" w:type="dxa"/>
            <w:tcBorders>
              <w:top w:val="single" w:sz="12" w:space="0" w:color="auto"/>
            </w:tcBorders>
            <w:shd w:val="clear" w:color="auto" w:fill="auto"/>
            <w:vAlign w:val="bottom"/>
          </w:tcPr>
          <w:p w:rsidR="009F7C7F" w:rsidRPr="0071782F" w:rsidRDefault="009F7C7F" w:rsidP="000838E6">
            <w:pPr>
              <w:keepNext/>
              <w:keepLines/>
              <w:suppressAutoHyphens w:val="0"/>
              <w:spacing w:before="40" w:after="40" w:line="220" w:lineRule="exact"/>
              <w:jc w:val="right"/>
              <w:rPr>
                <w:sz w:val="18"/>
                <w:lang w:val="fr-CH"/>
              </w:rPr>
            </w:pPr>
            <w:r w:rsidRPr="0071782F">
              <w:rPr>
                <w:sz w:val="18"/>
                <w:lang w:val="fr-CH"/>
              </w:rPr>
              <w:t>12 183</w:t>
            </w:r>
          </w:p>
        </w:tc>
        <w:tc>
          <w:tcPr>
            <w:tcW w:w="901" w:type="dxa"/>
            <w:tcBorders>
              <w:top w:val="single" w:sz="12" w:space="0" w:color="auto"/>
            </w:tcBorders>
            <w:shd w:val="clear" w:color="auto" w:fill="auto"/>
            <w:vAlign w:val="bottom"/>
          </w:tcPr>
          <w:p w:rsidR="009F7C7F" w:rsidRPr="0071782F" w:rsidRDefault="009F7C7F" w:rsidP="000838E6">
            <w:pPr>
              <w:keepNext/>
              <w:keepLines/>
              <w:suppressAutoHyphens w:val="0"/>
              <w:spacing w:before="40" w:after="40" w:line="220" w:lineRule="exact"/>
              <w:jc w:val="right"/>
              <w:rPr>
                <w:sz w:val="18"/>
                <w:lang w:val="fr-CH"/>
              </w:rPr>
            </w:pPr>
            <w:r w:rsidRPr="0071782F">
              <w:rPr>
                <w:sz w:val="18"/>
                <w:lang w:val="fr-CH"/>
              </w:rPr>
              <w:t>11 974</w:t>
            </w:r>
          </w:p>
        </w:tc>
        <w:tc>
          <w:tcPr>
            <w:tcW w:w="901" w:type="dxa"/>
            <w:tcBorders>
              <w:top w:val="single" w:sz="12" w:space="0" w:color="auto"/>
            </w:tcBorders>
            <w:shd w:val="clear" w:color="auto" w:fill="auto"/>
            <w:vAlign w:val="bottom"/>
          </w:tcPr>
          <w:p w:rsidR="009F7C7F" w:rsidRPr="0071782F" w:rsidRDefault="009F7C7F" w:rsidP="000838E6">
            <w:pPr>
              <w:keepNext/>
              <w:keepLines/>
              <w:suppressAutoHyphens w:val="0"/>
              <w:spacing w:before="40" w:after="40" w:line="220" w:lineRule="exact"/>
              <w:jc w:val="right"/>
              <w:rPr>
                <w:sz w:val="18"/>
                <w:lang w:val="fr-CH"/>
              </w:rPr>
            </w:pPr>
            <w:r w:rsidRPr="0071782F">
              <w:rPr>
                <w:sz w:val="18"/>
                <w:lang w:val="fr-CH"/>
              </w:rPr>
              <w:t>10 129</w:t>
            </w:r>
          </w:p>
        </w:tc>
      </w:tr>
      <w:tr w:rsidR="009F7C7F" w:rsidRPr="0071782F">
        <w:tc>
          <w:tcPr>
            <w:tcW w:w="1966" w:type="dxa"/>
            <w:shd w:val="clear" w:color="auto" w:fill="auto"/>
          </w:tcPr>
          <w:p w:rsidR="009F7C7F" w:rsidRPr="0071782F" w:rsidRDefault="00FC03B2" w:rsidP="000838E6">
            <w:pPr>
              <w:keepNext/>
              <w:suppressAutoHyphens w:val="0"/>
              <w:spacing w:before="40" w:after="40" w:line="220" w:lineRule="exact"/>
              <w:rPr>
                <w:sz w:val="18"/>
                <w:lang w:val="fr-CH"/>
              </w:rPr>
            </w:pPr>
            <w:r w:rsidRPr="0071782F">
              <w:rPr>
                <w:sz w:val="18"/>
                <w:lang w:val="fr-CH"/>
              </w:rPr>
              <w:t xml:space="preserve">Montant </w:t>
            </w:r>
            <w:r w:rsidR="00D50123">
              <w:rPr>
                <w:sz w:val="18"/>
                <w:lang w:val="fr-CH"/>
              </w:rPr>
              <w:br/>
            </w:r>
            <w:r w:rsidR="009F7C7F" w:rsidRPr="0071782F">
              <w:rPr>
                <w:sz w:val="18"/>
                <w:lang w:val="fr-CH"/>
              </w:rPr>
              <w:t>(</w:t>
            </w:r>
            <w:r w:rsidRPr="0071782F">
              <w:rPr>
                <w:sz w:val="18"/>
                <w:lang w:val="fr-CH"/>
              </w:rPr>
              <w:t>e</w:t>
            </w:r>
            <w:r w:rsidR="009F7C7F" w:rsidRPr="0071782F">
              <w:rPr>
                <w:sz w:val="18"/>
                <w:lang w:val="fr-CH"/>
              </w:rPr>
              <w:t>n</w:t>
            </w:r>
            <w:r w:rsidR="008553D9" w:rsidRPr="0071782F">
              <w:rPr>
                <w:sz w:val="18"/>
                <w:lang w:val="fr-CH"/>
              </w:rPr>
              <w:t> milliard</w:t>
            </w:r>
            <w:r w:rsidR="00097CDB" w:rsidRPr="0071782F">
              <w:rPr>
                <w:sz w:val="18"/>
                <w:lang w:val="fr-CH"/>
              </w:rPr>
              <w:t>s</w:t>
            </w:r>
            <w:r w:rsidRPr="0071782F">
              <w:rPr>
                <w:sz w:val="18"/>
                <w:lang w:val="fr-CH"/>
              </w:rPr>
              <w:t xml:space="preserve"> </w:t>
            </w:r>
            <w:r w:rsidR="003B1403" w:rsidRPr="0071782F">
              <w:rPr>
                <w:sz w:val="18"/>
                <w:lang w:val="fr-CH"/>
              </w:rPr>
              <w:t>de rials</w:t>
            </w:r>
            <w:r w:rsidR="009F7C7F" w:rsidRPr="0071782F">
              <w:rPr>
                <w:sz w:val="18"/>
                <w:lang w:val="fr-CH"/>
              </w:rPr>
              <w:t>)</w:t>
            </w:r>
          </w:p>
        </w:tc>
        <w:tc>
          <w:tcPr>
            <w:tcW w:w="900" w:type="dxa"/>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0/33</w:t>
            </w:r>
          </w:p>
        </w:tc>
        <w:tc>
          <w:tcPr>
            <w:tcW w:w="901" w:type="dxa"/>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17/6</w:t>
            </w:r>
          </w:p>
        </w:tc>
        <w:tc>
          <w:tcPr>
            <w:tcW w:w="901" w:type="dxa"/>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30/0</w:t>
            </w:r>
          </w:p>
        </w:tc>
        <w:tc>
          <w:tcPr>
            <w:tcW w:w="900" w:type="dxa"/>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248/8</w:t>
            </w:r>
          </w:p>
        </w:tc>
        <w:tc>
          <w:tcPr>
            <w:tcW w:w="901" w:type="dxa"/>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260/5</w:t>
            </w:r>
          </w:p>
        </w:tc>
        <w:tc>
          <w:tcPr>
            <w:tcW w:w="901" w:type="dxa"/>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468/2</w:t>
            </w:r>
          </w:p>
        </w:tc>
      </w:tr>
    </w:tbl>
    <w:p w:rsidR="009F7C7F" w:rsidRPr="0071782F" w:rsidRDefault="00FC03B2" w:rsidP="0025182F">
      <w:pPr>
        <w:pStyle w:val="SingleTxtG"/>
        <w:spacing w:before="240" w:after="0"/>
        <w:rPr>
          <w:lang w:val="fr-CH"/>
        </w:rPr>
      </w:pPr>
      <w:r w:rsidRPr="0071782F">
        <w:rPr>
          <w:lang w:val="fr-CH"/>
        </w:rPr>
        <w:t>190.</w:t>
      </w:r>
      <w:r w:rsidRPr="0071782F">
        <w:rPr>
          <w:lang w:val="fr-CH"/>
        </w:rPr>
        <w:tab/>
        <w:t>Sont inclus les prêts du Comité de secours de l’</w:t>
      </w:r>
      <w:r w:rsidR="009F7C7F" w:rsidRPr="0071782F">
        <w:rPr>
          <w:lang w:val="fr-CH"/>
        </w:rPr>
        <w:t>Imam Khomeini</w:t>
      </w:r>
      <w:r w:rsidRPr="0071782F">
        <w:rPr>
          <w:lang w:val="fr-CH"/>
        </w:rPr>
        <w:t xml:space="preserve"> et</w:t>
      </w:r>
      <w:r w:rsidR="009F7C7F" w:rsidRPr="0071782F">
        <w:rPr>
          <w:lang w:val="fr-CH"/>
        </w:rPr>
        <w:t xml:space="preserve"> </w:t>
      </w:r>
      <w:r w:rsidRPr="0071782F">
        <w:rPr>
          <w:lang w:val="fr-CH"/>
        </w:rPr>
        <w:t xml:space="preserve">du Plan </w:t>
      </w:r>
      <w:r w:rsidR="009F7C7F" w:rsidRPr="0071782F">
        <w:rPr>
          <w:lang w:val="fr-CH"/>
        </w:rPr>
        <w:t xml:space="preserve">Hazrat Zaynab, </w:t>
      </w:r>
      <w:r w:rsidRPr="0071782F">
        <w:rPr>
          <w:lang w:val="fr-CH"/>
        </w:rPr>
        <w:t>les prêts aux petites entreprises et les crédits prévus dans les notes à la loi de finances</w:t>
      </w:r>
      <w:r w:rsidR="009F7C7F" w:rsidRPr="0071782F">
        <w:rPr>
          <w:lang w:val="fr-CH"/>
        </w:rPr>
        <w:t>.</w:t>
      </w:r>
    </w:p>
    <w:p w:rsidR="009F7C7F" w:rsidRPr="0071782F" w:rsidRDefault="009F7C7F" w:rsidP="00496C06">
      <w:pPr>
        <w:pStyle w:val="H23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FC03B2" w:rsidRPr="0071782F">
        <w:rPr>
          <w:lang w:val="fr-CH"/>
        </w:rPr>
        <w:t xml:space="preserve">de demandeurs d’aide utilisant les services d’assurance médicale du Comité de secours de l’Imam Khomeini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8"/>
        <w:gridCol w:w="1089"/>
        <w:gridCol w:w="933"/>
        <w:gridCol w:w="1089"/>
        <w:gridCol w:w="933"/>
        <w:gridCol w:w="1089"/>
        <w:gridCol w:w="899"/>
      </w:tblGrid>
      <w:tr w:rsidR="009F7C7F" w:rsidRPr="0071782F">
        <w:trPr>
          <w:tblHeader/>
        </w:trPr>
        <w:tc>
          <w:tcPr>
            <w:tcW w:w="1547" w:type="dxa"/>
            <w:tcBorders>
              <w:top w:val="single" w:sz="4" w:space="0" w:color="auto"/>
              <w:bottom w:val="single" w:sz="12" w:space="0" w:color="auto"/>
            </w:tcBorders>
            <w:shd w:val="clear" w:color="auto" w:fill="auto"/>
            <w:vAlign w:val="bottom"/>
          </w:tcPr>
          <w:p w:rsidR="009F7C7F" w:rsidRPr="0071782F" w:rsidRDefault="00FC03B2" w:rsidP="000838E6">
            <w:pPr>
              <w:keepNext/>
              <w:suppressAutoHyphens w:val="0"/>
              <w:spacing w:before="80" w:after="80" w:line="200" w:lineRule="exact"/>
              <w:rPr>
                <w:i/>
                <w:sz w:val="16"/>
                <w:lang w:val="fr-CH"/>
              </w:rPr>
            </w:pPr>
            <w:r w:rsidRPr="0071782F">
              <w:rPr>
                <w:i/>
                <w:sz w:val="16"/>
                <w:lang w:val="fr-CH"/>
              </w:rPr>
              <w:t>Année</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1987</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1997</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2003</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2004</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2005</w:t>
            </w:r>
          </w:p>
        </w:tc>
        <w:tc>
          <w:tcPr>
            <w:tcW w:w="103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2006</w:t>
            </w:r>
          </w:p>
        </w:tc>
      </w:tr>
      <w:tr w:rsidR="009F7C7F" w:rsidRPr="0071782F">
        <w:tc>
          <w:tcPr>
            <w:tcW w:w="1547" w:type="dxa"/>
            <w:tcBorders>
              <w:top w:val="single" w:sz="12" w:space="0" w:color="auto"/>
            </w:tcBorders>
            <w:shd w:val="clear" w:color="auto" w:fill="auto"/>
            <w:vAlign w:val="bottom"/>
          </w:tcPr>
          <w:p w:rsidR="009F7C7F" w:rsidRPr="0071782F" w:rsidRDefault="00FC03B2" w:rsidP="000838E6">
            <w:pPr>
              <w:keepNext/>
              <w:suppressAutoHyphens w:val="0"/>
              <w:spacing w:before="40" w:after="40" w:line="220" w:lineRule="exact"/>
              <w:rPr>
                <w:sz w:val="18"/>
                <w:lang w:val="fr-CH"/>
              </w:rPr>
            </w:pPr>
            <w:r w:rsidRPr="0071782F">
              <w:rPr>
                <w:sz w:val="18"/>
                <w:lang w:val="fr-CH"/>
              </w:rPr>
              <w:t>Hommes</w:t>
            </w:r>
          </w:p>
        </w:tc>
        <w:tc>
          <w:tcPr>
            <w:tcW w:w="125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1 054 398</w:t>
            </w:r>
          </w:p>
        </w:tc>
        <w:tc>
          <w:tcPr>
            <w:tcW w:w="107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1 754 148</w:t>
            </w:r>
          </w:p>
        </w:tc>
        <w:tc>
          <w:tcPr>
            <w:tcW w:w="125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1 464 448</w:t>
            </w:r>
          </w:p>
        </w:tc>
        <w:tc>
          <w:tcPr>
            <w:tcW w:w="107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1 411 524</w:t>
            </w:r>
          </w:p>
        </w:tc>
        <w:tc>
          <w:tcPr>
            <w:tcW w:w="125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1 368 582</w:t>
            </w:r>
          </w:p>
        </w:tc>
        <w:tc>
          <w:tcPr>
            <w:tcW w:w="1038" w:type="dxa"/>
            <w:tcBorders>
              <w:top w:val="single" w:sz="12"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444 832</w:t>
            </w:r>
          </w:p>
        </w:tc>
      </w:tr>
      <w:tr w:rsidR="009F7C7F" w:rsidRPr="0071782F">
        <w:tc>
          <w:tcPr>
            <w:tcW w:w="1547" w:type="dxa"/>
            <w:tcBorders>
              <w:bottom w:val="single" w:sz="4" w:space="0" w:color="auto"/>
            </w:tcBorders>
            <w:shd w:val="clear" w:color="auto" w:fill="auto"/>
            <w:vAlign w:val="bottom"/>
          </w:tcPr>
          <w:p w:rsidR="009F7C7F" w:rsidRPr="0071782F" w:rsidRDefault="00FC03B2" w:rsidP="000838E6">
            <w:pPr>
              <w:keepNext/>
              <w:suppressAutoHyphens w:val="0"/>
              <w:spacing w:before="40" w:after="40" w:line="220" w:lineRule="exact"/>
              <w:rPr>
                <w:sz w:val="18"/>
                <w:lang w:val="fr-CH"/>
              </w:rPr>
            </w:pPr>
            <w:r w:rsidRPr="0071782F">
              <w:rPr>
                <w:sz w:val="18"/>
                <w:lang w:val="fr-CH"/>
              </w:rPr>
              <w:t>Femmes</w:t>
            </w:r>
          </w:p>
        </w:tc>
        <w:tc>
          <w:tcPr>
            <w:tcW w:w="125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142 210</w:t>
            </w:r>
          </w:p>
        </w:tc>
        <w:tc>
          <w:tcPr>
            <w:tcW w:w="107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2 305 788</w:t>
            </w:r>
          </w:p>
        </w:tc>
        <w:tc>
          <w:tcPr>
            <w:tcW w:w="125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2 453 778</w:t>
            </w:r>
          </w:p>
        </w:tc>
        <w:tc>
          <w:tcPr>
            <w:tcW w:w="107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2 487 199</w:t>
            </w:r>
          </w:p>
        </w:tc>
        <w:tc>
          <w:tcPr>
            <w:tcW w:w="125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2 545 659</w:t>
            </w:r>
          </w:p>
        </w:tc>
        <w:tc>
          <w:tcPr>
            <w:tcW w:w="1038" w:type="dxa"/>
            <w:tcBorders>
              <w:bottom w:val="single" w:sz="4" w:space="0" w:color="auto"/>
            </w:tcBorders>
            <w:shd w:val="clear" w:color="auto"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904 943</w:t>
            </w:r>
          </w:p>
        </w:tc>
      </w:tr>
      <w:tr w:rsidR="009F7C7F" w:rsidRPr="0071782F">
        <w:tc>
          <w:tcPr>
            <w:tcW w:w="1547"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ind w:left="284"/>
              <w:rPr>
                <w:b/>
                <w:sz w:val="18"/>
                <w:lang w:val="fr-CH"/>
              </w:rPr>
            </w:pPr>
            <w:r w:rsidRPr="0071782F">
              <w:rPr>
                <w:b/>
                <w:sz w:val="18"/>
                <w:lang w:val="fr-CH"/>
              </w:rPr>
              <w:t>Total</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2 476 408</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4 059 936</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3 918 226</w:t>
            </w:r>
          </w:p>
        </w:tc>
        <w:tc>
          <w:tcPr>
            <w:tcW w:w="107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3 898 723</w:t>
            </w:r>
          </w:p>
        </w:tc>
        <w:tc>
          <w:tcPr>
            <w:tcW w:w="125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3 914 241</w:t>
            </w:r>
          </w:p>
        </w:tc>
        <w:tc>
          <w:tcPr>
            <w:tcW w:w="1038" w:type="dxa"/>
            <w:tcBorders>
              <w:top w:val="single" w:sz="4" w:space="0" w:color="auto"/>
              <w:bottom w:val="single" w:sz="12" w:space="0" w:color="auto"/>
            </w:tcBorders>
            <w:shd w:val="clear" w:color="auto"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1 349 775</w:t>
            </w:r>
          </w:p>
        </w:tc>
      </w:tr>
    </w:tbl>
    <w:p w:rsidR="009F7C7F" w:rsidRPr="0071782F" w:rsidRDefault="009F7C7F" w:rsidP="00496C06">
      <w:pPr>
        <w:pStyle w:val="H1G"/>
        <w:rPr>
          <w:lang w:val="fr-CH"/>
        </w:rPr>
      </w:pPr>
      <w:r w:rsidRPr="0071782F">
        <w:rPr>
          <w:lang w:val="fr-CH"/>
        </w:rPr>
        <w:tab/>
      </w:r>
      <w:r w:rsidRPr="0071782F">
        <w:rPr>
          <w:lang w:val="fr-CH"/>
        </w:rPr>
        <w:tab/>
      </w:r>
      <w:r w:rsidR="00FC03B2" w:rsidRPr="0071782F">
        <w:rPr>
          <w:lang w:val="fr-CH"/>
        </w:rPr>
        <w:t xml:space="preserve">Plan de </w:t>
      </w:r>
      <w:r w:rsidRPr="0071782F">
        <w:rPr>
          <w:lang w:val="fr-CH"/>
        </w:rPr>
        <w:t xml:space="preserve">nutrition </w:t>
      </w:r>
      <w:r w:rsidR="00FC03B2" w:rsidRPr="0071782F">
        <w:rPr>
          <w:lang w:val="fr-CH"/>
        </w:rPr>
        <w:t>en faveur des enfants âgés de moins de six</w:t>
      </w:r>
      <w:r w:rsidR="00D82C96" w:rsidRPr="0071782F">
        <w:rPr>
          <w:lang w:val="fr-CH"/>
        </w:rPr>
        <w:t> ans</w:t>
      </w:r>
      <w:r w:rsidR="00FC03B2" w:rsidRPr="0071782F">
        <w:rPr>
          <w:lang w:val="fr-CH"/>
        </w:rPr>
        <w:t xml:space="preserve"> </w:t>
      </w:r>
    </w:p>
    <w:p w:rsidR="009F7C7F" w:rsidRPr="0071782F" w:rsidRDefault="009F7C7F" w:rsidP="00496C06">
      <w:pPr>
        <w:pStyle w:val="SingleTxtG"/>
        <w:rPr>
          <w:lang w:val="fr-CH"/>
        </w:rPr>
      </w:pPr>
      <w:r w:rsidRPr="0071782F">
        <w:rPr>
          <w:lang w:val="fr-CH"/>
        </w:rPr>
        <w:t>191.</w:t>
      </w:r>
      <w:r w:rsidRPr="0071782F">
        <w:rPr>
          <w:lang w:val="fr-CH"/>
        </w:rPr>
        <w:tab/>
      </w:r>
      <w:r w:rsidR="00C458C8" w:rsidRPr="0071782F">
        <w:rPr>
          <w:lang w:val="fr-CH"/>
        </w:rPr>
        <w:t>Les plans de nutrition du Comité de secours de l’Imam Khomeini ont couvert 55</w:t>
      </w:r>
      <w:r w:rsidR="008F24C9">
        <w:rPr>
          <w:lang w:val="fr-CH"/>
        </w:rPr>
        <w:t> </w:t>
      </w:r>
      <w:r w:rsidRPr="0071782F">
        <w:rPr>
          <w:lang w:val="fr-CH"/>
        </w:rPr>
        <w:t>962</w:t>
      </w:r>
      <w:r w:rsidR="008F24C9">
        <w:rPr>
          <w:lang w:val="fr-CH"/>
        </w:rPr>
        <w:t> </w:t>
      </w:r>
      <w:r w:rsidR="00C458C8" w:rsidRPr="0071782F">
        <w:rPr>
          <w:lang w:val="fr-CH"/>
        </w:rPr>
        <w:t xml:space="preserve">enfants </w:t>
      </w:r>
      <w:r w:rsidRPr="0071782F">
        <w:rPr>
          <w:lang w:val="fr-CH"/>
        </w:rPr>
        <w:t>(30</w:t>
      </w:r>
      <w:r w:rsidR="00120407">
        <w:rPr>
          <w:lang w:val="fr-CH"/>
        </w:rPr>
        <w:t> </w:t>
      </w:r>
      <w:r w:rsidRPr="0071782F">
        <w:rPr>
          <w:lang w:val="fr-CH"/>
        </w:rPr>
        <w:t xml:space="preserve">373 </w:t>
      </w:r>
      <w:r w:rsidR="00C458C8" w:rsidRPr="0071782F">
        <w:rPr>
          <w:lang w:val="fr-CH"/>
        </w:rPr>
        <w:t>filles et 25</w:t>
      </w:r>
      <w:r w:rsidR="00120407">
        <w:rPr>
          <w:lang w:val="fr-CH"/>
        </w:rPr>
        <w:t> </w:t>
      </w:r>
      <w:r w:rsidRPr="0071782F">
        <w:rPr>
          <w:lang w:val="fr-CH"/>
        </w:rPr>
        <w:t xml:space="preserve">589 </w:t>
      </w:r>
      <w:r w:rsidR="00C458C8" w:rsidRPr="0071782F">
        <w:rPr>
          <w:lang w:val="fr-CH"/>
        </w:rPr>
        <w:t>garçons</w:t>
      </w:r>
      <w:r w:rsidRPr="0071782F">
        <w:rPr>
          <w:lang w:val="fr-CH"/>
        </w:rPr>
        <w:t>)</w:t>
      </w:r>
      <w:r w:rsidR="00C458C8" w:rsidRPr="0071782F">
        <w:rPr>
          <w:lang w:val="fr-CH"/>
        </w:rPr>
        <w:t>, pour</w:t>
      </w:r>
      <w:r w:rsidRPr="0071782F">
        <w:rPr>
          <w:lang w:val="fr-CH"/>
        </w:rPr>
        <w:t xml:space="preserve"> </w:t>
      </w:r>
      <w:r w:rsidR="00C458C8" w:rsidRPr="0071782F">
        <w:rPr>
          <w:lang w:val="fr-CH"/>
        </w:rPr>
        <w:t xml:space="preserve">un coût de </w:t>
      </w:r>
      <w:r w:rsidRPr="0071782F">
        <w:rPr>
          <w:lang w:val="fr-CH"/>
        </w:rPr>
        <w:t>37</w:t>
      </w:r>
      <w:r w:rsidR="00C458C8" w:rsidRPr="0071782F">
        <w:rPr>
          <w:lang w:val="fr-CH"/>
        </w:rPr>
        <w:t>,</w:t>
      </w:r>
      <w:r w:rsidRPr="0071782F">
        <w:rPr>
          <w:lang w:val="fr-CH"/>
        </w:rPr>
        <w:t>9</w:t>
      </w:r>
      <w:r w:rsidR="008553D9" w:rsidRPr="0071782F">
        <w:rPr>
          <w:lang w:val="fr-CH"/>
        </w:rPr>
        <w:t> milliard</w:t>
      </w:r>
      <w:r w:rsidR="00097CDB" w:rsidRPr="0071782F">
        <w:rPr>
          <w:lang w:val="fr-CH"/>
        </w:rPr>
        <w:t>s</w:t>
      </w:r>
      <w:r w:rsidR="00C458C8" w:rsidRPr="0071782F">
        <w:rPr>
          <w:lang w:val="fr-CH"/>
        </w:rPr>
        <w:t xml:space="preserve"> </w:t>
      </w:r>
      <w:r w:rsidR="003B1403" w:rsidRPr="0071782F">
        <w:rPr>
          <w:lang w:val="fr-CH"/>
        </w:rPr>
        <w:t>de rials</w:t>
      </w:r>
      <w:r w:rsidRPr="0071782F">
        <w:rPr>
          <w:lang w:val="fr-CH"/>
        </w:rPr>
        <w:t xml:space="preserve">. </w:t>
      </w:r>
    </w:p>
    <w:p w:rsidR="009F7C7F" w:rsidRPr="0071782F" w:rsidRDefault="009F7C7F" w:rsidP="00496C06">
      <w:pPr>
        <w:pStyle w:val="H1G"/>
        <w:rPr>
          <w:lang w:val="fr-CH"/>
        </w:rPr>
      </w:pPr>
      <w:r w:rsidRPr="0071782F">
        <w:rPr>
          <w:lang w:val="fr-CH"/>
        </w:rPr>
        <w:tab/>
      </w:r>
      <w:r w:rsidRPr="0071782F">
        <w:rPr>
          <w:lang w:val="fr-CH"/>
        </w:rPr>
        <w:tab/>
      </w:r>
      <w:r w:rsidR="00C458C8" w:rsidRPr="0071782F">
        <w:rPr>
          <w:lang w:val="fr-CH"/>
        </w:rPr>
        <w:t>S</w:t>
      </w:r>
      <w:r w:rsidRPr="0071782F">
        <w:rPr>
          <w:lang w:val="fr-CH"/>
        </w:rPr>
        <w:t>ervices</w:t>
      </w:r>
      <w:r w:rsidR="00C458C8" w:rsidRPr="0071782F">
        <w:rPr>
          <w:lang w:val="fr-CH"/>
        </w:rPr>
        <w:t xml:space="preserve"> de développement</w:t>
      </w:r>
    </w:p>
    <w:p w:rsidR="009F7C7F" w:rsidRPr="0071782F" w:rsidRDefault="009F7C7F" w:rsidP="00496C06">
      <w:pPr>
        <w:pStyle w:val="SingleTxtG"/>
        <w:rPr>
          <w:lang w:val="fr-CH"/>
        </w:rPr>
      </w:pPr>
      <w:r w:rsidRPr="0071782F">
        <w:rPr>
          <w:lang w:val="fr-CH"/>
        </w:rPr>
        <w:t>192.</w:t>
      </w:r>
      <w:r w:rsidRPr="0071782F">
        <w:rPr>
          <w:lang w:val="fr-CH"/>
        </w:rPr>
        <w:tab/>
      </w:r>
      <w:r w:rsidR="00446FB9" w:rsidRPr="0071782F">
        <w:rPr>
          <w:lang w:val="fr-CH"/>
        </w:rPr>
        <w:t xml:space="preserve">Un abri et un </w:t>
      </w:r>
      <w:r w:rsidR="009C2BD5" w:rsidRPr="0071782F">
        <w:rPr>
          <w:lang w:val="fr-CH"/>
        </w:rPr>
        <w:t xml:space="preserve">endroit approprié où se fixer et </w:t>
      </w:r>
      <w:r w:rsidR="00446FB9" w:rsidRPr="0071782F">
        <w:rPr>
          <w:lang w:val="fr-CH"/>
        </w:rPr>
        <w:t>vivre en sécurité ont toujours été l’un des besoins</w:t>
      </w:r>
      <w:r w:rsidR="009C2BD5" w:rsidRPr="0071782F">
        <w:rPr>
          <w:lang w:val="fr-CH"/>
        </w:rPr>
        <w:t xml:space="preserve"> fondamentaux des êtres humains</w:t>
      </w:r>
      <w:r w:rsidR="00446FB9" w:rsidRPr="0071782F">
        <w:rPr>
          <w:lang w:val="fr-CH"/>
        </w:rPr>
        <w:t>. À l’heure actuelle, la fourniture d’un logement est l’un des problèmes les plus complexes auxquels les communautés humaines soient confrontées. Aussi le Comité de secours de l’</w:t>
      </w:r>
      <w:r w:rsidRPr="0071782F">
        <w:rPr>
          <w:lang w:val="fr-CH"/>
        </w:rPr>
        <w:t xml:space="preserve">Imam Khomeini </w:t>
      </w:r>
      <w:r w:rsidR="00446FB9" w:rsidRPr="0071782F">
        <w:rPr>
          <w:lang w:val="fr-CH"/>
        </w:rPr>
        <w:t xml:space="preserve">a-t-il toujours accordé une attention particulière à la question de la fourniture </w:t>
      </w:r>
      <w:r w:rsidR="003F25A2">
        <w:rPr>
          <w:lang w:val="fr-CH"/>
        </w:rPr>
        <w:t>de logements</w:t>
      </w:r>
      <w:r w:rsidR="00446FB9" w:rsidRPr="0071782F">
        <w:rPr>
          <w:lang w:val="fr-CH"/>
        </w:rPr>
        <w:t xml:space="preserve"> aux demandeurs d’aide ou de la rénovation de ces</w:t>
      </w:r>
      <w:r w:rsidR="00120407">
        <w:rPr>
          <w:lang w:val="fr-CH"/>
        </w:rPr>
        <w:t xml:space="preserve"> </w:t>
      </w:r>
      <w:r w:rsidR="003F25A2">
        <w:rPr>
          <w:lang w:val="fr-CH"/>
        </w:rPr>
        <w:t>logements</w:t>
      </w:r>
      <w:r w:rsidR="00446FB9" w:rsidRPr="0071782F">
        <w:rPr>
          <w:lang w:val="fr-CH"/>
        </w:rPr>
        <w:t xml:space="preserve"> et a-t-il rendu des services considérables dans ce secteur, en plus des services qu’il f</w:t>
      </w:r>
      <w:r w:rsidR="00E83264" w:rsidRPr="0071782F">
        <w:rPr>
          <w:lang w:val="fr-CH"/>
        </w:rPr>
        <w:t xml:space="preserve">ournit dans d’autres domaines. </w:t>
      </w:r>
    </w:p>
    <w:p w:rsidR="009F7C7F" w:rsidRPr="0071782F" w:rsidRDefault="009F7C7F" w:rsidP="0025182F">
      <w:pPr>
        <w:pStyle w:val="SingleTxtG"/>
        <w:spacing w:after="0"/>
        <w:ind w:left="1701"/>
        <w:rPr>
          <w:lang w:val="fr-CH"/>
        </w:rPr>
      </w:pPr>
      <w:r w:rsidRPr="0071782F">
        <w:rPr>
          <w:lang w:val="fr-CH"/>
        </w:rPr>
        <w:t>192.1</w:t>
      </w:r>
      <w:r w:rsidR="00EA4A9E" w:rsidRPr="0071782F">
        <w:rPr>
          <w:lang w:val="fr-CH"/>
        </w:rPr>
        <w:t>.</w:t>
      </w:r>
      <w:r w:rsidRPr="0071782F">
        <w:rPr>
          <w:lang w:val="fr-CH"/>
        </w:rPr>
        <w:tab/>
      </w:r>
      <w:r w:rsidR="00446FB9" w:rsidRPr="0071782F">
        <w:rPr>
          <w:lang w:val="fr-CH"/>
        </w:rPr>
        <w:t xml:space="preserve">En </w:t>
      </w:r>
      <w:r w:rsidRPr="0071782F">
        <w:rPr>
          <w:lang w:val="fr-CH"/>
        </w:rPr>
        <w:t xml:space="preserve">2006, </w:t>
      </w:r>
      <w:r w:rsidR="00446FB9" w:rsidRPr="0071782F">
        <w:rPr>
          <w:lang w:val="fr-CH"/>
        </w:rPr>
        <w:t xml:space="preserve">quelque </w:t>
      </w:r>
      <w:r w:rsidRPr="0071782F">
        <w:rPr>
          <w:lang w:val="fr-CH"/>
        </w:rPr>
        <w:t>638</w:t>
      </w:r>
      <w:r w:rsidR="00446FB9" w:rsidRPr="0071782F">
        <w:rPr>
          <w:lang w:val="fr-CH"/>
        </w:rPr>
        <w:t xml:space="preserve"> </w:t>
      </w:r>
      <w:r w:rsidRPr="0071782F">
        <w:rPr>
          <w:lang w:val="fr-CH"/>
        </w:rPr>
        <w:t>000</w:t>
      </w:r>
      <w:r w:rsidR="003F25A2">
        <w:rPr>
          <w:lang w:val="fr-CH"/>
        </w:rPr>
        <w:t> logements</w:t>
      </w:r>
      <w:r w:rsidR="00446FB9" w:rsidRPr="0071782F">
        <w:rPr>
          <w:lang w:val="fr-CH"/>
        </w:rPr>
        <w:t xml:space="preserve"> ont été construits, réparés ou achevés pour un coût de </w:t>
      </w:r>
      <w:r w:rsidRPr="0071782F">
        <w:rPr>
          <w:lang w:val="fr-CH"/>
        </w:rPr>
        <w:t>321</w:t>
      </w:r>
      <w:r w:rsidR="00446FB9" w:rsidRPr="0071782F">
        <w:rPr>
          <w:lang w:val="fr-CH"/>
        </w:rPr>
        <w:t>,</w:t>
      </w:r>
      <w:r w:rsidRPr="0071782F">
        <w:rPr>
          <w:lang w:val="fr-CH"/>
        </w:rPr>
        <w:t>7</w:t>
      </w:r>
      <w:r w:rsidR="008553D9" w:rsidRPr="0071782F">
        <w:rPr>
          <w:lang w:val="fr-CH"/>
        </w:rPr>
        <w:t> milliard</w:t>
      </w:r>
      <w:r w:rsidR="00097CDB" w:rsidRPr="0071782F">
        <w:rPr>
          <w:lang w:val="fr-CH"/>
        </w:rPr>
        <w:t>s</w:t>
      </w:r>
      <w:r w:rsidR="00446FB9" w:rsidRPr="0071782F">
        <w:rPr>
          <w:lang w:val="fr-CH"/>
        </w:rPr>
        <w:t xml:space="preserve"> </w:t>
      </w:r>
      <w:r w:rsidR="003B1403" w:rsidRPr="0071782F">
        <w:rPr>
          <w:lang w:val="fr-CH"/>
        </w:rPr>
        <w:t>de rials</w:t>
      </w:r>
      <w:r w:rsidRPr="0071782F">
        <w:rPr>
          <w:lang w:val="fr-CH"/>
        </w:rPr>
        <w:t>. I</w:t>
      </w:r>
      <w:r w:rsidR="00446FB9" w:rsidRPr="0071782F">
        <w:rPr>
          <w:lang w:val="fr-CH"/>
        </w:rPr>
        <w:t>l convient de noter que sur les 1 </w:t>
      </w:r>
      <w:r w:rsidRPr="0071782F">
        <w:rPr>
          <w:lang w:val="fr-CH"/>
        </w:rPr>
        <w:t>645</w:t>
      </w:r>
      <w:r w:rsidR="00E83264" w:rsidRPr="0071782F">
        <w:rPr>
          <w:lang w:val="fr-CH"/>
        </w:rPr>
        <w:t> </w:t>
      </w:r>
      <w:r w:rsidRPr="0071782F">
        <w:rPr>
          <w:lang w:val="fr-CH"/>
        </w:rPr>
        <w:t>940</w:t>
      </w:r>
      <w:r w:rsidR="007F37CE" w:rsidRPr="0071782F">
        <w:rPr>
          <w:lang w:val="fr-CH"/>
        </w:rPr>
        <w:t> famille</w:t>
      </w:r>
      <w:r w:rsidRPr="0071782F">
        <w:rPr>
          <w:lang w:val="fr-CH"/>
        </w:rPr>
        <w:t xml:space="preserve">s </w:t>
      </w:r>
      <w:r w:rsidR="00446FB9" w:rsidRPr="0071782F">
        <w:rPr>
          <w:lang w:val="fr-CH"/>
        </w:rPr>
        <w:t>couvertes par le Comité de secours de l’Imam</w:t>
      </w:r>
      <w:r w:rsidRPr="0071782F">
        <w:rPr>
          <w:lang w:val="fr-CH"/>
        </w:rPr>
        <w:t>, 309</w:t>
      </w:r>
      <w:r w:rsidR="00E83264" w:rsidRPr="0071782F">
        <w:rPr>
          <w:lang w:val="fr-CH"/>
        </w:rPr>
        <w:t> </w:t>
      </w:r>
      <w:r w:rsidRPr="0071782F">
        <w:rPr>
          <w:lang w:val="fr-CH"/>
        </w:rPr>
        <w:t>511 (18</w:t>
      </w:r>
      <w:r w:rsidR="00446FB9" w:rsidRPr="0071782F">
        <w:rPr>
          <w:lang w:val="fr-CH"/>
        </w:rPr>
        <w:t>,</w:t>
      </w:r>
      <w:r w:rsidRPr="0071782F">
        <w:rPr>
          <w:lang w:val="fr-CH"/>
        </w:rPr>
        <w:t>8</w:t>
      </w:r>
      <w:r w:rsidR="007E5125" w:rsidRPr="0071782F">
        <w:rPr>
          <w:lang w:val="fr-CH"/>
        </w:rPr>
        <w:t>%</w:t>
      </w:r>
      <w:r w:rsidRPr="0071782F">
        <w:rPr>
          <w:lang w:val="fr-CH"/>
        </w:rPr>
        <w:t xml:space="preserve">), </w:t>
      </w:r>
      <w:r w:rsidR="00446FB9" w:rsidRPr="0071782F">
        <w:rPr>
          <w:lang w:val="fr-CH"/>
        </w:rPr>
        <w:t>dont plus de la moitié dirigées par une femme, recherchent un logement</w:t>
      </w:r>
      <w:r w:rsidRPr="0071782F">
        <w:rPr>
          <w:lang w:val="fr-CH"/>
        </w:rPr>
        <w:t xml:space="preserve">. </w:t>
      </w:r>
      <w:r w:rsidR="00446FB9" w:rsidRPr="0071782F">
        <w:rPr>
          <w:lang w:val="fr-CH"/>
        </w:rPr>
        <w:t xml:space="preserve">À cet égard, au cours des 28 dernières années, quelque </w:t>
      </w:r>
      <w:r w:rsidRPr="0071782F">
        <w:rPr>
          <w:lang w:val="fr-CH"/>
        </w:rPr>
        <w:t>6</w:t>
      </w:r>
      <w:r w:rsidR="00446FB9" w:rsidRPr="0071782F">
        <w:rPr>
          <w:lang w:val="fr-CH"/>
        </w:rPr>
        <w:t> 96</w:t>
      </w:r>
      <w:r w:rsidRPr="0071782F">
        <w:rPr>
          <w:lang w:val="fr-CH"/>
        </w:rPr>
        <w:t>9</w:t>
      </w:r>
      <w:r w:rsidR="00A5752C">
        <w:rPr>
          <w:lang w:val="fr-CH"/>
        </w:rPr>
        <w:t> </w:t>
      </w:r>
      <w:r w:rsidRPr="0071782F">
        <w:rPr>
          <w:lang w:val="fr-CH"/>
        </w:rPr>
        <w:t>000</w:t>
      </w:r>
      <w:r w:rsidR="003F25A2">
        <w:rPr>
          <w:lang w:val="fr-CH"/>
        </w:rPr>
        <w:t> logements</w:t>
      </w:r>
      <w:r w:rsidR="00446FB9" w:rsidRPr="0071782F">
        <w:rPr>
          <w:lang w:val="fr-CH"/>
        </w:rPr>
        <w:t xml:space="preserve"> ont été construits, réparés ou achevés pour des demandeurs d’aide, pour un coût de </w:t>
      </w:r>
      <w:r w:rsidRPr="0071782F">
        <w:rPr>
          <w:lang w:val="fr-CH"/>
        </w:rPr>
        <w:t>1</w:t>
      </w:r>
      <w:r w:rsidR="00446FB9" w:rsidRPr="0071782F">
        <w:rPr>
          <w:lang w:val="fr-CH"/>
        </w:rPr>
        <w:t> </w:t>
      </w:r>
      <w:r w:rsidRPr="0071782F">
        <w:rPr>
          <w:lang w:val="fr-CH"/>
        </w:rPr>
        <w:t>806</w:t>
      </w:r>
      <w:r w:rsidR="00446FB9" w:rsidRPr="0071782F">
        <w:rPr>
          <w:lang w:val="fr-CH"/>
        </w:rPr>
        <w:t>,</w:t>
      </w:r>
      <w:r w:rsidRPr="0071782F">
        <w:rPr>
          <w:lang w:val="fr-CH"/>
        </w:rPr>
        <w:t>2</w:t>
      </w:r>
      <w:r w:rsidR="008553D9" w:rsidRPr="0071782F">
        <w:rPr>
          <w:lang w:val="fr-CH"/>
        </w:rPr>
        <w:t> milliard</w:t>
      </w:r>
      <w:r w:rsidR="00097CDB" w:rsidRPr="0071782F">
        <w:rPr>
          <w:lang w:val="fr-CH"/>
        </w:rPr>
        <w:t>s</w:t>
      </w:r>
      <w:r w:rsidR="00446FB9" w:rsidRPr="0071782F">
        <w:rPr>
          <w:lang w:val="fr-CH"/>
        </w:rPr>
        <w:t xml:space="preserve"> </w:t>
      </w:r>
      <w:r w:rsidR="003B1403" w:rsidRPr="0071782F">
        <w:rPr>
          <w:lang w:val="fr-CH"/>
        </w:rPr>
        <w:t>de rials</w:t>
      </w:r>
      <w:r w:rsidRPr="0071782F">
        <w:rPr>
          <w:lang w:val="fr-CH"/>
        </w:rPr>
        <w:t xml:space="preserve">. </w:t>
      </w:r>
    </w:p>
    <w:p w:rsidR="009F7C7F" w:rsidRPr="0071782F" w:rsidRDefault="009F7C7F" w:rsidP="00496C06">
      <w:pPr>
        <w:pStyle w:val="H23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D82C96" w:rsidRPr="0071782F">
        <w:rPr>
          <w:lang w:val="fr-CH"/>
        </w:rPr>
        <w:t>de personnes</w:t>
      </w:r>
      <w:r w:rsidR="00446FB9" w:rsidRPr="0071782F">
        <w:rPr>
          <w:lang w:val="fr-CH"/>
        </w:rPr>
        <w:t xml:space="preserve"> bénéficiant des services d’orientation et de conseil du Comité de secours de l’Imam Khomeini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38"/>
        <w:gridCol w:w="1089"/>
        <w:gridCol w:w="933"/>
        <w:gridCol w:w="6"/>
        <w:gridCol w:w="1083"/>
        <w:gridCol w:w="933"/>
        <w:gridCol w:w="1089"/>
        <w:gridCol w:w="899"/>
      </w:tblGrid>
      <w:tr w:rsidR="009F7C7F" w:rsidRPr="0071782F">
        <w:trPr>
          <w:tblHeader/>
        </w:trPr>
        <w:tc>
          <w:tcPr>
            <w:tcW w:w="1338" w:type="dxa"/>
            <w:tcBorders>
              <w:top w:val="single" w:sz="4" w:space="0" w:color="auto"/>
              <w:bottom w:val="single" w:sz="12" w:space="0" w:color="auto"/>
            </w:tcBorders>
            <w:shd w:val="clear" w:color="auto" w:fill="auto"/>
            <w:vAlign w:val="bottom"/>
          </w:tcPr>
          <w:p w:rsidR="009F7C7F" w:rsidRPr="0071782F" w:rsidRDefault="00446FB9" w:rsidP="00120407">
            <w:pPr>
              <w:suppressAutoHyphens w:val="0"/>
              <w:spacing w:before="80" w:after="80" w:line="200" w:lineRule="exact"/>
              <w:rPr>
                <w:i/>
                <w:sz w:val="16"/>
                <w:lang w:val="fr-CH"/>
              </w:rPr>
            </w:pPr>
            <w:r w:rsidRPr="0071782F">
              <w:rPr>
                <w:i/>
                <w:sz w:val="16"/>
                <w:lang w:val="fr-CH"/>
              </w:rPr>
              <w:t>Année</w:t>
            </w:r>
          </w:p>
        </w:tc>
        <w:tc>
          <w:tcPr>
            <w:tcW w:w="1089"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00" w:lineRule="exact"/>
              <w:jc w:val="right"/>
              <w:rPr>
                <w:i/>
                <w:sz w:val="16"/>
                <w:lang w:val="fr-CH"/>
              </w:rPr>
            </w:pPr>
            <w:r w:rsidRPr="0071782F">
              <w:rPr>
                <w:i/>
                <w:sz w:val="16"/>
                <w:lang w:val="fr-CH"/>
              </w:rPr>
              <w:t>1987</w:t>
            </w:r>
          </w:p>
        </w:tc>
        <w:tc>
          <w:tcPr>
            <w:tcW w:w="933"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00" w:lineRule="exact"/>
              <w:jc w:val="right"/>
              <w:rPr>
                <w:i/>
                <w:sz w:val="16"/>
                <w:lang w:val="fr-CH"/>
              </w:rPr>
            </w:pPr>
            <w:r w:rsidRPr="0071782F">
              <w:rPr>
                <w:i/>
                <w:sz w:val="16"/>
                <w:lang w:val="fr-CH"/>
              </w:rPr>
              <w:t>1997</w:t>
            </w:r>
          </w:p>
        </w:tc>
        <w:tc>
          <w:tcPr>
            <w:tcW w:w="1089" w:type="dxa"/>
            <w:gridSpan w:val="2"/>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00" w:lineRule="exact"/>
              <w:jc w:val="right"/>
              <w:rPr>
                <w:i/>
                <w:sz w:val="16"/>
                <w:lang w:val="fr-CH"/>
              </w:rPr>
            </w:pPr>
            <w:r w:rsidRPr="0071782F">
              <w:rPr>
                <w:i/>
                <w:sz w:val="16"/>
                <w:lang w:val="fr-CH"/>
              </w:rPr>
              <w:t>2003</w:t>
            </w:r>
          </w:p>
        </w:tc>
        <w:tc>
          <w:tcPr>
            <w:tcW w:w="933"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00" w:lineRule="exact"/>
              <w:jc w:val="right"/>
              <w:rPr>
                <w:i/>
                <w:sz w:val="16"/>
                <w:lang w:val="fr-CH"/>
              </w:rPr>
            </w:pPr>
            <w:r w:rsidRPr="0071782F">
              <w:rPr>
                <w:i/>
                <w:sz w:val="16"/>
                <w:lang w:val="fr-CH"/>
              </w:rPr>
              <w:t>2004</w:t>
            </w:r>
          </w:p>
        </w:tc>
        <w:tc>
          <w:tcPr>
            <w:tcW w:w="1089"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00" w:lineRule="exact"/>
              <w:jc w:val="right"/>
              <w:rPr>
                <w:i/>
                <w:sz w:val="16"/>
                <w:lang w:val="fr-CH"/>
              </w:rPr>
            </w:pPr>
            <w:r w:rsidRPr="0071782F">
              <w:rPr>
                <w:i/>
                <w:sz w:val="16"/>
                <w:lang w:val="fr-CH"/>
              </w:rPr>
              <w:t>2005</w:t>
            </w:r>
          </w:p>
        </w:tc>
        <w:tc>
          <w:tcPr>
            <w:tcW w:w="899" w:type="dxa"/>
            <w:tcBorders>
              <w:top w:val="single" w:sz="4" w:space="0" w:color="auto"/>
              <w:bottom w:val="single" w:sz="12" w:space="0" w:color="auto"/>
            </w:tcBorders>
            <w:shd w:val="clear" w:color="auto" w:fill="auto"/>
            <w:vAlign w:val="bottom"/>
          </w:tcPr>
          <w:p w:rsidR="009F7C7F" w:rsidRPr="0071782F" w:rsidRDefault="009F7C7F" w:rsidP="00120407">
            <w:pPr>
              <w:suppressAutoHyphens w:val="0"/>
              <w:spacing w:before="80" w:after="80" w:line="200" w:lineRule="exact"/>
              <w:jc w:val="right"/>
              <w:rPr>
                <w:i/>
                <w:sz w:val="16"/>
                <w:lang w:val="fr-CH"/>
              </w:rPr>
            </w:pPr>
            <w:r w:rsidRPr="0071782F">
              <w:rPr>
                <w:i/>
                <w:sz w:val="16"/>
                <w:lang w:val="fr-CH"/>
              </w:rPr>
              <w:t>2006</w:t>
            </w:r>
          </w:p>
        </w:tc>
      </w:tr>
      <w:tr w:rsidR="00BF223D" w:rsidRPr="0071782F">
        <w:tc>
          <w:tcPr>
            <w:tcW w:w="1338" w:type="dxa"/>
            <w:tcBorders>
              <w:top w:val="single" w:sz="12" w:space="0" w:color="auto"/>
            </w:tcBorders>
            <w:shd w:val="clear" w:color="auto" w:fill="auto"/>
            <w:vAlign w:val="bottom"/>
          </w:tcPr>
          <w:p w:rsidR="00BF223D" w:rsidRPr="0071782F" w:rsidRDefault="00446FB9" w:rsidP="00120407">
            <w:pPr>
              <w:suppressAutoHyphens w:val="0"/>
              <w:spacing w:before="40" w:after="40" w:line="220" w:lineRule="exact"/>
              <w:rPr>
                <w:sz w:val="18"/>
                <w:lang w:val="fr-CH"/>
              </w:rPr>
            </w:pPr>
            <w:r w:rsidRPr="0071782F">
              <w:rPr>
                <w:sz w:val="18"/>
                <w:lang w:val="fr-CH"/>
              </w:rPr>
              <w:t>Hommes</w:t>
            </w:r>
          </w:p>
        </w:tc>
        <w:tc>
          <w:tcPr>
            <w:tcW w:w="1089" w:type="dxa"/>
            <w:tcBorders>
              <w:top w:val="single" w:sz="12" w:space="0" w:color="auto"/>
            </w:tcBorders>
            <w:shd w:val="clear" w:color="auto" w:fill="auto"/>
          </w:tcPr>
          <w:p w:rsidR="00BF223D" w:rsidRPr="0071782F" w:rsidRDefault="00BF223D" w:rsidP="00120407">
            <w:pPr>
              <w:suppressAutoHyphens w:val="0"/>
              <w:spacing w:before="40" w:after="40" w:line="220" w:lineRule="exact"/>
              <w:jc w:val="right"/>
              <w:rPr>
                <w:sz w:val="18"/>
                <w:lang w:val="fr-CH"/>
              </w:rPr>
            </w:pPr>
            <w:r w:rsidRPr="0071782F">
              <w:rPr>
                <w:sz w:val="18"/>
                <w:lang w:val="fr-CH"/>
              </w:rPr>
              <w:t>–</w:t>
            </w:r>
          </w:p>
        </w:tc>
        <w:tc>
          <w:tcPr>
            <w:tcW w:w="933" w:type="dxa"/>
            <w:tcBorders>
              <w:top w:val="single" w:sz="12" w:space="0" w:color="auto"/>
            </w:tcBorders>
            <w:shd w:val="clear" w:color="auto" w:fill="auto"/>
          </w:tcPr>
          <w:p w:rsidR="00BF223D" w:rsidRPr="0071782F" w:rsidRDefault="00BF223D" w:rsidP="00120407">
            <w:pPr>
              <w:suppressAutoHyphens w:val="0"/>
              <w:spacing w:before="40" w:after="40" w:line="220" w:lineRule="exact"/>
              <w:jc w:val="right"/>
              <w:rPr>
                <w:sz w:val="18"/>
                <w:lang w:val="fr-CH"/>
              </w:rPr>
            </w:pPr>
            <w:r w:rsidRPr="0071782F">
              <w:rPr>
                <w:sz w:val="18"/>
                <w:lang w:val="fr-CH"/>
              </w:rPr>
              <w:t>–</w:t>
            </w:r>
          </w:p>
        </w:tc>
        <w:tc>
          <w:tcPr>
            <w:tcW w:w="1089" w:type="dxa"/>
            <w:gridSpan w:val="2"/>
            <w:tcBorders>
              <w:top w:val="single" w:sz="12" w:space="0" w:color="auto"/>
            </w:tcBorders>
            <w:shd w:val="clear" w:color="auto" w:fill="auto"/>
            <w:vAlign w:val="bottom"/>
          </w:tcPr>
          <w:p w:rsidR="00BF223D" w:rsidRPr="0071782F" w:rsidRDefault="00BF223D" w:rsidP="00120407">
            <w:pPr>
              <w:suppressAutoHyphens w:val="0"/>
              <w:spacing w:before="40" w:after="40" w:line="220" w:lineRule="exact"/>
              <w:jc w:val="right"/>
              <w:rPr>
                <w:sz w:val="18"/>
                <w:lang w:val="fr-CH"/>
              </w:rPr>
            </w:pPr>
            <w:r w:rsidRPr="0071782F">
              <w:rPr>
                <w:sz w:val="18"/>
                <w:lang w:val="fr-CH"/>
              </w:rPr>
              <w:t>61 063</w:t>
            </w:r>
          </w:p>
        </w:tc>
        <w:tc>
          <w:tcPr>
            <w:tcW w:w="933" w:type="dxa"/>
            <w:tcBorders>
              <w:top w:val="single" w:sz="12" w:space="0" w:color="auto"/>
            </w:tcBorders>
            <w:shd w:val="clear" w:color="auto" w:fill="auto"/>
            <w:vAlign w:val="bottom"/>
          </w:tcPr>
          <w:p w:rsidR="00BF223D" w:rsidRPr="0071782F" w:rsidRDefault="00BF223D" w:rsidP="00120407">
            <w:pPr>
              <w:suppressAutoHyphens w:val="0"/>
              <w:spacing w:before="40" w:after="40" w:line="220" w:lineRule="exact"/>
              <w:jc w:val="right"/>
              <w:rPr>
                <w:sz w:val="18"/>
                <w:lang w:val="fr-CH"/>
              </w:rPr>
            </w:pPr>
            <w:r w:rsidRPr="0071782F">
              <w:rPr>
                <w:sz w:val="18"/>
                <w:lang w:val="fr-CH"/>
              </w:rPr>
              <w:t>57 331</w:t>
            </w:r>
          </w:p>
        </w:tc>
        <w:tc>
          <w:tcPr>
            <w:tcW w:w="1089" w:type="dxa"/>
            <w:tcBorders>
              <w:top w:val="single" w:sz="12" w:space="0" w:color="auto"/>
            </w:tcBorders>
            <w:shd w:val="clear" w:color="auto" w:fill="auto"/>
            <w:vAlign w:val="bottom"/>
          </w:tcPr>
          <w:p w:rsidR="00BF223D" w:rsidRPr="0071782F" w:rsidRDefault="00BF223D" w:rsidP="00120407">
            <w:pPr>
              <w:suppressAutoHyphens w:val="0"/>
              <w:spacing w:before="40" w:after="40" w:line="220" w:lineRule="exact"/>
              <w:jc w:val="right"/>
              <w:rPr>
                <w:sz w:val="18"/>
                <w:lang w:val="fr-CH"/>
              </w:rPr>
            </w:pPr>
            <w:r w:rsidRPr="0071782F">
              <w:rPr>
                <w:sz w:val="18"/>
                <w:lang w:val="fr-CH"/>
              </w:rPr>
              <w:t>79 616</w:t>
            </w:r>
          </w:p>
        </w:tc>
        <w:tc>
          <w:tcPr>
            <w:tcW w:w="899" w:type="dxa"/>
            <w:tcBorders>
              <w:top w:val="single" w:sz="12" w:space="0" w:color="auto"/>
            </w:tcBorders>
            <w:shd w:val="clear" w:color="auto" w:fill="auto"/>
            <w:vAlign w:val="bottom"/>
          </w:tcPr>
          <w:p w:rsidR="00BF223D" w:rsidRPr="0071782F" w:rsidRDefault="00BF223D" w:rsidP="00120407">
            <w:pPr>
              <w:suppressAutoHyphens w:val="0"/>
              <w:spacing w:before="40" w:after="40" w:line="220" w:lineRule="exact"/>
              <w:jc w:val="right"/>
              <w:rPr>
                <w:sz w:val="18"/>
                <w:lang w:val="fr-CH"/>
              </w:rPr>
            </w:pPr>
            <w:r w:rsidRPr="0071782F">
              <w:rPr>
                <w:sz w:val="18"/>
                <w:lang w:val="fr-CH"/>
              </w:rPr>
              <w:t>89 280</w:t>
            </w:r>
          </w:p>
        </w:tc>
      </w:tr>
      <w:tr w:rsidR="00BF223D" w:rsidRPr="0071782F">
        <w:tc>
          <w:tcPr>
            <w:tcW w:w="1338" w:type="dxa"/>
            <w:tcBorders>
              <w:bottom w:val="single" w:sz="4" w:space="0" w:color="auto"/>
            </w:tcBorders>
            <w:shd w:val="clear" w:color="auto" w:fill="auto"/>
            <w:vAlign w:val="bottom"/>
          </w:tcPr>
          <w:p w:rsidR="00BF223D" w:rsidRPr="0071782F" w:rsidRDefault="00446FB9" w:rsidP="00120407">
            <w:pPr>
              <w:suppressAutoHyphens w:val="0"/>
              <w:spacing w:before="40" w:after="40" w:line="220" w:lineRule="exact"/>
              <w:rPr>
                <w:sz w:val="18"/>
                <w:lang w:val="fr-CH"/>
              </w:rPr>
            </w:pPr>
            <w:r w:rsidRPr="0071782F">
              <w:rPr>
                <w:sz w:val="18"/>
                <w:lang w:val="fr-CH"/>
              </w:rPr>
              <w:t>Femmes</w:t>
            </w:r>
          </w:p>
        </w:tc>
        <w:tc>
          <w:tcPr>
            <w:tcW w:w="1089" w:type="dxa"/>
            <w:tcBorders>
              <w:bottom w:val="single" w:sz="4" w:space="0" w:color="auto"/>
            </w:tcBorders>
            <w:shd w:val="clear" w:color="auto" w:fill="auto"/>
          </w:tcPr>
          <w:p w:rsidR="00BF223D" w:rsidRPr="0071782F" w:rsidRDefault="00BF223D" w:rsidP="00120407">
            <w:pPr>
              <w:suppressAutoHyphens w:val="0"/>
              <w:spacing w:before="40" w:after="40" w:line="220" w:lineRule="exact"/>
              <w:jc w:val="right"/>
              <w:rPr>
                <w:sz w:val="18"/>
                <w:lang w:val="fr-CH"/>
              </w:rPr>
            </w:pPr>
            <w:r w:rsidRPr="0071782F">
              <w:rPr>
                <w:sz w:val="18"/>
                <w:lang w:val="fr-CH"/>
              </w:rPr>
              <w:t>–</w:t>
            </w:r>
          </w:p>
        </w:tc>
        <w:tc>
          <w:tcPr>
            <w:tcW w:w="933" w:type="dxa"/>
            <w:tcBorders>
              <w:bottom w:val="single" w:sz="4" w:space="0" w:color="auto"/>
            </w:tcBorders>
            <w:shd w:val="clear" w:color="auto" w:fill="auto"/>
          </w:tcPr>
          <w:p w:rsidR="00BF223D" w:rsidRPr="0071782F" w:rsidRDefault="00BF223D" w:rsidP="00120407">
            <w:pPr>
              <w:suppressAutoHyphens w:val="0"/>
              <w:spacing w:before="40" w:after="40" w:line="220" w:lineRule="exact"/>
              <w:jc w:val="right"/>
              <w:rPr>
                <w:sz w:val="18"/>
                <w:lang w:val="fr-CH"/>
              </w:rPr>
            </w:pPr>
            <w:r w:rsidRPr="0071782F">
              <w:rPr>
                <w:sz w:val="18"/>
                <w:lang w:val="fr-CH"/>
              </w:rPr>
              <w:t>–</w:t>
            </w:r>
          </w:p>
        </w:tc>
        <w:tc>
          <w:tcPr>
            <w:tcW w:w="1089" w:type="dxa"/>
            <w:gridSpan w:val="2"/>
            <w:tcBorders>
              <w:bottom w:val="single" w:sz="4" w:space="0" w:color="auto"/>
            </w:tcBorders>
            <w:shd w:val="clear" w:color="auto" w:fill="auto"/>
            <w:vAlign w:val="bottom"/>
          </w:tcPr>
          <w:p w:rsidR="00BF223D" w:rsidRPr="0071782F" w:rsidRDefault="00BF223D" w:rsidP="00120407">
            <w:pPr>
              <w:suppressAutoHyphens w:val="0"/>
              <w:spacing w:before="40" w:after="40" w:line="220" w:lineRule="exact"/>
              <w:jc w:val="right"/>
              <w:rPr>
                <w:sz w:val="18"/>
                <w:lang w:val="fr-CH"/>
              </w:rPr>
            </w:pPr>
            <w:r w:rsidRPr="0071782F">
              <w:rPr>
                <w:sz w:val="18"/>
                <w:lang w:val="fr-CH"/>
              </w:rPr>
              <w:t>165 650</w:t>
            </w:r>
          </w:p>
        </w:tc>
        <w:tc>
          <w:tcPr>
            <w:tcW w:w="933" w:type="dxa"/>
            <w:tcBorders>
              <w:bottom w:val="single" w:sz="4" w:space="0" w:color="auto"/>
            </w:tcBorders>
            <w:shd w:val="clear" w:color="auto" w:fill="auto"/>
            <w:vAlign w:val="bottom"/>
          </w:tcPr>
          <w:p w:rsidR="00BF223D" w:rsidRPr="0071782F" w:rsidRDefault="00BF223D" w:rsidP="00120407">
            <w:pPr>
              <w:suppressAutoHyphens w:val="0"/>
              <w:spacing w:before="40" w:after="40" w:line="220" w:lineRule="exact"/>
              <w:jc w:val="right"/>
              <w:rPr>
                <w:sz w:val="18"/>
                <w:lang w:val="fr-CH"/>
              </w:rPr>
            </w:pPr>
            <w:r w:rsidRPr="0071782F">
              <w:rPr>
                <w:sz w:val="18"/>
                <w:lang w:val="fr-CH"/>
              </w:rPr>
              <w:t>190 571</w:t>
            </w:r>
          </w:p>
        </w:tc>
        <w:tc>
          <w:tcPr>
            <w:tcW w:w="1089" w:type="dxa"/>
            <w:tcBorders>
              <w:bottom w:val="single" w:sz="4" w:space="0" w:color="auto"/>
            </w:tcBorders>
            <w:shd w:val="clear" w:color="auto" w:fill="auto"/>
            <w:vAlign w:val="bottom"/>
          </w:tcPr>
          <w:p w:rsidR="00BF223D" w:rsidRPr="0071782F" w:rsidRDefault="00BF223D" w:rsidP="00120407">
            <w:pPr>
              <w:suppressAutoHyphens w:val="0"/>
              <w:spacing w:before="40" w:after="40" w:line="220" w:lineRule="exact"/>
              <w:jc w:val="right"/>
              <w:rPr>
                <w:sz w:val="18"/>
                <w:lang w:val="fr-CH"/>
              </w:rPr>
            </w:pPr>
            <w:r w:rsidRPr="0071782F">
              <w:rPr>
                <w:sz w:val="18"/>
                <w:lang w:val="fr-CH"/>
              </w:rPr>
              <w:t>244 732</w:t>
            </w:r>
          </w:p>
        </w:tc>
        <w:tc>
          <w:tcPr>
            <w:tcW w:w="899" w:type="dxa"/>
            <w:tcBorders>
              <w:bottom w:val="single" w:sz="4" w:space="0" w:color="auto"/>
            </w:tcBorders>
            <w:shd w:val="clear" w:color="auto" w:fill="auto"/>
            <w:vAlign w:val="bottom"/>
          </w:tcPr>
          <w:p w:rsidR="00BF223D" w:rsidRPr="0071782F" w:rsidRDefault="00BF223D" w:rsidP="00120407">
            <w:pPr>
              <w:suppressAutoHyphens w:val="0"/>
              <w:spacing w:before="40" w:after="40" w:line="220" w:lineRule="exact"/>
              <w:jc w:val="right"/>
              <w:rPr>
                <w:sz w:val="18"/>
                <w:lang w:val="fr-CH"/>
              </w:rPr>
            </w:pPr>
            <w:r w:rsidRPr="0071782F">
              <w:rPr>
                <w:sz w:val="18"/>
                <w:lang w:val="fr-CH"/>
              </w:rPr>
              <w:t>273 791</w:t>
            </w:r>
          </w:p>
        </w:tc>
      </w:tr>
      <w:tr w:rsidR="00BF223D" w:rsidRPr="0071782F">
        <w:tc>
          <w:tcPr>
            <w:tcW w:w="1338" w:type="dxa"/>
            <w:tcBorders>
              <w:top w:val="single" w:sz="4" w:space="0" w:color="auto"/>
              <w:bottom w:val="single" w:sz="12" w:space="0" w:color="auto"/>
            </w:tcBorders>
            <w:shd w:val="clear" w:color="auto" w:fill="auto"/>
            <w:vAlign w:val="bottom"/>
          </w:tcPr>
          <w:p w:rsidR="00BF223D" w:rsidRPr="0071782F" w:rsidRDefault="00BF223D" w:rsidP="00120407">
            <w:pPr>
              <w:suppressAutoHyphens w:val="0"/>
              <w:spacing w:before="80" w:after="80" w:line="220" w:lineRule="exact"/>
              <w:ind w:left="284"/>
              <w:rPr>
                <w:b/>
                <w:sz w:val="18"/>
                <w:lang w:val="fr-CH"/>
              </w:rPr>
            </w:pPr>
            <w:r w:rsidRPr="0071782F">
              <w:rPr>
                <w:b/>
                <w:sz w:val="18"/>
                <w:lang w:val="fr-CH"/>
              </w:rPr>
              <w:t>Total</w:t>
            </w:r>
          </w:p>
        </w:tc>
        <w:tc>
          <w:tcPr>
            <w:tcW w:w="1089" w:type="dxa"/>
            <w:tcBorders>
              <w:top w:val="single" w:sz="4" w:space="0" w:color="auto"/>
              <w:bottom w:val="single" w:sz="12" w:space="0" w:color="auto"/>
            </w:tcBorders>
            <w:shd w:val="clear" w:color="auto" w:fill="auto"/>
          </w:tcPr>
          <w:p w:rsidR="00BF223D" w:rsidRPr="0071782F" w:rsidRDefault="00BF223D" w:rsidP="00120407">
            <w:pPr>
              <w:suppressAutoHyphens w:val="0"/>
              <w:spacing w:before="80" w:after="80" w:line="220" w:lineRule="exact"/>
              <w:jc w:val="right"/>
              <w:rPr>
                <w:b/>
                <w:sz w:val="18"/>
                <w:lang w:val="fr-CH"/>
              </w:rPr>
            </w:pPr>
            <w:r w:rsidRPr="0071782F">
              <w:rPr>
                <w:b/>
                <w:sz w:val="18"/>
                <w:lang w:val="fr-CH"/>
              </w:rPr>
              <w:t>–</w:t>
            </w:r>
          </w:p>
        </w:tc>
        <w:tc>
          <w:tcPr>
            <w:tcW w:w="939" w:type="dxa"/>
            <w:gridSpan w:val="2"/>
            <w:tcBorders>
              <w:top w:val="single" w:sz="4" w:space="0" w:color="auto"/>
              <w:bottom w:val="single" w:sz="12" w:space="0" w:color="auto"/>
            </w:tcBorders>
            <w:shd w:val="clear" w:color="auto" w:fill="auto"/>
          </w:tcPr>
          <w:p w:rsidR="00BF223D" w:rsidRPr="0071782F" w:rsidRDefault="00BF223D" w:rsidP="00120407">
            <w:pPr>
              <w:suppressAutoHyphens w:val="0"/>
              <w:spacing w:before="80" w:after="80" w:line="220" w:lineRule="exact"/>
              <w:jc w:val="right"/>
              <w:rPr>
                <w:b/>
                <w:sz w:val="18"/>
                <w:lang w:val="fr-CH"/>
              </w:rPr>
            </w:pPr>
            <w:r w:rsidRPr="0071782F">
              <w:rPr>
                <w:b/>
                <w:sz w:val="18"/>
                <w:lang w:val="fr-CH"/>
              </w:rPr>
              <w:t>–</w:t>
            </w:r>
          </w:p>
        </w:tc>
        <w:tc>
          <w:tcPr>
            <w:tcW w:w="1083" w:type="dxa"/>
            <w:tcBorders>
              <w:top w:val="single" w:sz="4" w:space="0" w:color="auto"/>
              <w:bottom w:val="single" w:sz="12" w:space="0" w:color="auto"/>
            </w:tcBorders>
            <w:shd w:val="clear" w:color="auto" w:fill="auto"/>
            <w:vAlign w:val="bottom"/>
          </w:tcPr>
          <w:p w:rsidR="00BF223D" w:rsidRPr="0071782F" w:rsidRDefault="00BF223D" w:rsidP="00120407">
            <w:pPr>
              <w:suppressAutoHyphens w:val="0"/>
              <w:spacing w:before="80" w:after="80" w:line="220" w:lineRule="exact"/>
              <w:jc w:val="right"/>
              <w:rPr>
                <w:b/>
                <w:sz w:val="18"/>
                <w:lang w:val="fr-CH"/>
              </w:rPr>
            </w:pPr>
            <w:r w:rsidRPr="0071782F">
              <w:rPr>
                <w:b/>
                <w:sz w:val="18"/>
                <w:lang w:val="fr-CH"/>
              </w:rPr>
              <w:t>226 713</w:t>
            </w:r>
          </w:p>
        </w:tc>
        <w:tc>
          <w:tcPr>
            <w:tcW w:w="933" w:type="dxa"/>
            <w:tcBorders>
              <w:top w:val="single" w:sz="4" w:space="0" w:color="auto"/>
              <w:bottom w:val="single" w:sz="12" w:space="0" w:color="auto"/>
            </w:tcBorders>
            <w:shd w:val="clear" w:color="auto" w:fill="auto"/>
            <w:vAlign w:val="bottom"/>
          </w:tcPr>
          <w:p w:rsidR="00BF223D" w:rsidRPr="0071782F" w:rsidRDefault="00BF223D" w:rsidP="00120407">
            <w:pPr>
              <w:suppressAutoHyphens w:val="0"/>
              <w:spacing w:before="80" w:after="80" w:line="220" w:lineRule="exact"/>
              <w:jc w:val="right"/>
              <w:rPr>
                <w:b/>
                <w:sz w:val="18"/>
                <w:lang w:val="fr-CH"/>
              </w:rPr>
            </w:pPr>
            <w:r w:rsidRPr="0071782F">
              <w:rPr>
                <w:b/>
                <w:sz w:val="18"/>
                <w:lang w:val="fr-CH"/>
              </w:rPr>
              <w:t>247 902</w:t>
            </w:r>
          </w:p>
        </w:tc>
        <w:tc>
          <w:tcPr>
            <w:tcW w:w="1089" w:type="dxa"/>
            <w:tcBorders>
              <w:top w:val="single" w:sz="4" w:space="0" w:color="auto"/>
              <w:bottom w:val="single" w:sz="12" w:space="0" w:color="auto"/>
            </w:tcBorders>
            <w:shd w:val="clear" w:color="auto" w:fill="auto"/>
            <w:vAlign w:val="bottom"/>
          </w:tcPr>
          <w:p w:rsidR="00BF223D" w:rsidRPr="0071782F" w:rsidRDefault="00BF223D" w:rsidP="00120407">
            <w:pPr>
              <w:suppressAutoHyphens w:val="0"/>
              <w:spacing w:before="80" w:after="80" w:line="220" w:lineRule="exact"/>
              <w:jc w:val="right"/>
              <w:rPr>
                <w:b/>
                <w:sz w:val="18"/>
                <w:lang w:val="fr-CH"/>
              </w:rPr>
            </w:pPr>
            <w:r w:rsidRPr="0071782F">
              <w:rPr>
                <w:b/>
                <w:sz w:val="18"/>
                <w:lang w:val="fr-CH"/>
              </w:rPr>
              <w:t>324 348</w:t>
            </w:r>
          </w:p>
        </w:tc>
        <w:tc>
          <w:tcPr>
            <w:tcW w:w="899" w:type="dxa"/>
            <w:tcBorders>
              <w:top w:val="single" w:sz="4" w:space="0" w:color="auto"/>
              <w:bottom w:val="single" w:sz="12" w:space="0" w:color="auto"/>
            </w:tcBorders>
            <w:shd w:val="clear" w:color="auto" w:fill="auto"/>
            <w:vAlign w:val="bottom"/>
          </w:tcPr>
          <w:p w:rsidR="00BF223D" w:rsidRPr="0071782F" w:rsidRDefault="00BF223D" w:rsidP="00120407">
            <w:pPr>
              <w:suppressAutoHyphens w:val="0"/>
              <w:spacing w:before="80" w:after="80" w:line="220" w:lineRule="exact"/>
              <w:jc w:val="right"/>
              <w:rPr>
                <w:b/>
                <w:sz w:val="18"/>
                <w:lang w:val="fr-CH"/>
              </w:rPr>
            </w:pPr>
            <w:r w:rsidRPr="0071782F">
              <w:rPr>
                <w:b/>
                <w:sz w:val="18"/>
                <w:lang w:val="fr-CH"/>
              </w:rPr>
              <w:t>363 071</w:t>
            </w:r>
          </w:p>
        </w:tc>
      </w:tr>
    </w:tbl>
    <w:p w:rsidR="009F7C7F" w:rsidRPr="0071782F" w:rsidRDefault="009F7C7F" w:rsidP="00496C06">
      <w:pPr>
        <w:pStyle w:val="H23G"/>
        <w:rPr>
          <w:lang w:val="fr-CH"/>
        </w:rPr>
      </w:pPr>
      <w:r w:rsidRPr="0071782F">
        <w:rPr>
          <w:lang w:val="fr-CH"/>
        </w:rPr>
        <w:tab/>
      </w:r>
      <w:r w:rsidRPr="0071782F">
        <w:rPr>
          <w:lang w:val="fr-CH"/>
        </w:rPr>
        <w:tab/>
      </w:r>
      <w:r w:rsidR="00446FB9" w:rsidRPr="0071782F">
        <w:rPr>
          <w:lang w:val="fr-CH"/>
        </w:rPr>
        <w:t xml:space="preserve">Activités liées au logement menées en faveur des demandeurs d’aide </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2866"/>
        <w:gridCol w:w="800"/>
        <w:gridCol w:w="806"/>
        <w:gridCol w:w="807"/>
        <w:gridCol w:w="806"/>
        <w:gridCol w:w="807"/>
        <w:gridCol w:w="806"/>
        <w:gridCol w:w="807"/>
      </w:tblGrid>
      <w:tr w:rsidR="009F7C7F" w:rsidRPr="0071782F">
        <w:trPr>
          <w:tblHeader/>
        </w:trPr>
        <w:tc>
          <w:tcPr>
            <w:tcW w:w="3666" w:type="dxa"/>
            <w:gridSpan w:val="2"/>
            <w:tcBorders>
              <w:top w:val="single" w:sz="4" w:space="0" w:color="auto"/>
              <w:bottom w:val="single" w:sz="12" w:space="0" w:color="auto"/>
            </w:tcBorders>
            <w:shd w:val="clear" w:color="000000" w:fill="auto"/>
            <w:vAlign w:val="bottom"/>
          </w:tcPr>
          <w:p w:rsidR="009F7C7F" w:rsidRPr="0071782F" w:rsidRDefault="00446FB9" w:rsidP="000838E6">
            <w:pPr>
              <w:keepNext/>
              <w:suppressAutoHyphens w:val="0"/>
              <w:spacing w:before="80" w:after="80" w:line="200" w:lineRule="exact"/>
              <w:rPr>
                <w:i/>
                <w:sz w:val="16"/>
                <w:lang w:val="fr-CH"/>
              </w:rPr>
            </w:pPr>
            <w:r w:rsidRPr="0071782F">
              <w:rPr>
                <w:i/>
                <w:sz w:val="16"/>
                <w:lang w:val="fr-CH"/>
              </w:rPr>
              <w:t>Année</w:t>
            </w:r>
          </w:p>
        </w:tc>
        <w:tc>
          <w:tcPr>
            <w:tcW w:w="806" w:type="dxa"/>
            <w:tcBorders>
              <w:top w:val="single" w:sz="4" w:space="0" w:color="auto"/>
              <w:bottom w:val="single" w:sz="12" w:space="0" w:color="auto"/>
            </w:tcBorders>
            <w:shd w:val="clear" w:color="000000"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1987</w:t>
            </w:r>
          </w:p>
        </w:tc>
        <w:tc>
          <w:tcPr>
            <w:tcW w:w="807" w:type="dxa"/>
            <w:tcBorders>
              <w:top w:val="single" w:sz="4" w:space="0" w:color="auto"/>
              <w:bottom w:val="single" w:sz="12" w:space="0" w:color="auto"/>
            </w:tcBorders>
            <w:shd w:val="clear" w:color="000000"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1997</w:t>
            </w:r>
          </w:p>
        </w:tc>
        <w:tc>
          <w:tcPr>
            <w:tcW w:w="806" w:type="dxa"/>
            <w:tcBorders>
              <w:top w:val="single" w:sz="4" w:space="0" w:color="auto"/>
              <w:bottom w:val="single" w:sz="12" w:space="0" w:color="auto"/>
            </w:tcBorders>
            <w:shd w:val="clear" w:color="000000"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2003</w:t>
            </w:r>
          </w:p>
        </w:tc>
        <w:tc>
          <w:tcPr>
            <w:tcW w:w="807" w:type="dxa"/>
            <w:tcBorders>
              <w:top w:val="single" w:sz="4" w:space="0" w:color="auto"/>
              <w:bottom w:val="single" w:sz="12" w:space="0" w:color="auto"/>
            </w:tcBorders>
            <w:shd w:val="clear" w:color="000000"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2004</w:t>
            </w:r>
          </w:p>
        </w:tc>
        <w:tc>
          <w:tcPr>
            <w:tcW w:w="806" w:type="dxa"/>
            <w:tcBorders>
              <w:top w:val="single" w:sz="4" w:space="0" w:color="auto"/>
              <w:bottom w:val="single" w:sz="12" w:space="0" w:color="auto"/>
            </w:tcBorders>
            <w:shd w:val="clear" w:color="000000"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2005</w:t>
            </w:r>
          </w:p>
        </w:tc>
        <w:tc>
          <w:tcPr>
            <w:tcW w:w="807" w:type="dxa"/>
            <w:tcBorders>
              <w:top w:val="single" w:sz="4" w:space="0" w:color="auto"/>
              <w:bottom w:val="single" w:sz="12" w:space="0" w:color="auto"/>
            </w:tcBorders>
            <w:shd w:val="clear" w:color="000000" w:fill="auto"/>
            <w:vAlign w:val="bottom"/>
          </w:tcPr>
          <w:p w:rsidR="009F7C7F" w:rsidRPr="0071782F" w:rsidRDefault="009F7C7F" w:rsidP="000838E6">
            <w:pPr>
              <w:keepNext/>
              <w:suppressAutoHyphens w:val="0"/>
              <w:spacing w:before="80" w:after="80" w:line="200" w:lineRule="exact"/>
              <w:jc w:val="right"/>
              <w:rPr>
                <w:i/>
                <w:sz w:val="16"/>
                <w:lang w:val="fr-CH"/>
              </w:rPr>
            </w:pPr>
            <w:r w:rsidRPr="0071782F">
              <w:rPr>
                <w:i/>
                <w:sz w:val="16"/>
                <w:lang w:val="fr-CH"/>
              </w:rPr>
              <w:t>2006</w:t>
            </w:r>
          </w:p>
        </w:tc>
      </w:tr>
      <w:tr w:rsidR="009F7C7F" w:rsidRPr="0071782F">
        <w:tc>
          <w:tcPr>
            <w:tcW w:w="2866" w:type="dxa"/>
            <w:tcBorders>
              <w:top w:val="single" w:sz="12" w:space="0" w:color="auto"/>
              <w:bottom w:val="nil"/>
            </w:tcBorders>
            <w:shd w:val="clear" w:color="000000" w:fill="auto"/>
          </w:tcPr>
          <w:p w:rsidR="009F7C7F" w:rsidRPr="0071782F" w:rsidRDefault="00446FB9" w:rsidP="000838E6">
            <w:pPr>
              <w:keepNext/>
              <w:suppressAutoHyphens w:val="0"/>
              <w:spacing w:before="80" w:after="80" w:line="220" w:lineRule="exact"/>
              <w:ind w:left="284"/>
              <w:rPr>
                <w:b/>
                <w:sz w:val="18"/>
                <w:lang w:val="fr-CH"/>
              </w:rPr>
            </w:pPr>
            <w:r w:rsidRPr="0071782F">
              <w:rPr>
                <w:b/>
                <w:sz w:val="18"/>
                <w:lang w:val="fr-CH"/>
              </w:rPr>
              <w:t>N</w:t>
            </w:r>
            <w:r w:rsidR="003B48A4" w:rsidRPr="0071782F">
              <w:rPr>
                <w:b/>
                <w:sz w:val="18"/>
                <w:lang w:val="fr-CH"/>
              </w:rPr>
              <w:t>ombre</w:t>
            </w:r>
            <w:r w:rsidR="009F7C7F" w:rsidRPr="0071782F">
              <w:rPr>
                <w:b/>
                <w:sz w:val="18"/>
                <w:lang w:val="fr-CH"/>
              </w:rPr>
              <w:t xml:space="preserve"> </w:t>
            </w:r>
            <w:r w:rsidRPr="0071782F">
              <w:rPr>
                <w:b/>
                <w:sz w:val="18"/>
                <w:lang w:val="fr-CH"/>
              </w:rPr>
              <w:t xml:space="preserve">total </w:t>
            </w:r>
            <w:r w:rsidR="003F25A2">
              <w:rPr>
                <w:b/>
                <w:sz w:val="18"/>
                <w:lang w:val="fr-CH"/>
              </w:rPr>
              <w:t>de logements</w:t>
            </w:r>
            <w:r w:rsidRPr="0071782F">
              <w:rPr>
                <w:b/>
                <w:sz w:val="18"/>
                <w:lang w:val="fr-CH"/>
              </w:rPr>
              <w:t xml:space="preserve"> </w:t>
            </w:r>
          </w:p>
        </w:tc>
        <w:tc>
          <w:tcPr>
            <w:tcW w:w="800" w:type="dxa"/>
            <w:tcBorders>
              <w:top w:val="single" w:sz="12" w:space="0" w:color="auto"/>
              <w:bottom w:val="nil"/>
            </w:tcBorders>
            <w:shd w:val="clear" w:color="000000" w:fill="auto"/>
            <w:vAlign w:val="bottom"/>
          </w:tcPr>
          <w:p w:rsidR="009F7C7F" w:rsidRPr="0071782F" w:rsidRDefault="00446FB9" w:rsidP="000838E6">
            <w:pPr>
              <w:keepNext/>
              <w:suppressAutoHyphens w:val="0"/>
              <w:spacing w:before="80" w:after="80" w:line="220" w:lineRule="exact"/>
              <w:rPr>
                <w:b/>
                <w:sz w:val="18"/>
                <w:lang w:val="fr-CH"/>
              </w:rPr>
            </w:pPr>
            <w:r w:rsidRPr="0071782F">
              <w:rPr>
                <w:b/>
                <w:sz w:val="18"/>
                <w:lang w:val="fr-CH"/>
              </w:rPr>
              <w:t xml:space="preserve">Quantité </w:t>
            </w:r>
          </w:p>
        </w:tc>
        <w:tc>
          <w:tcPr>
            <w:tcW w:w="806" w:type="dxa"/>
            <w:tcBorders>
              <w:top w:val="single" w:sz="12" w:space="0" w:color="auto"/>
              <w:bottom w:val="nil"/>
            </w:tcBorders>
            <w:shd w:val="clear" w:color="000000"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1/3</w:t>
            </w:r>
          </w:p>
        </w:tc>
        <w:tc>
          <w:tcPr>
            <w:tcW w:w="807" w:type="dxa"/>
            <w:tcBorders>
              <w:top w:val="single" w:sz="12" w:space="0" w:color="auto"/>
              <w:bottom w:val="nil"/>
            </w:tcBorders>
            <w:shd w:val="clear" w:color="000000"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84/3</w:t>
            </w:r>
          </w:p>
        </w:tc>
        <w:tc>
          <w:tcPr>
            <w:tcW w:w="806" w:type="dxa"/>
            <w:tcBorders>
              <w:top w:val="single" w:sz="12" w:space="0" w:color="auto"/>
              <w:bottom w:val="nil"/>
            </w:tcBorders>
            <w:shd w:val="clear" w:color="000000"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149/8</w:t>
            </w:r>
          </w:p>
        </w:tc>
        <w:tc>
          <w:tcPr>
            <w:tcW w:w="807" w:type="dxa"/>
            <w:tcBorders>
              <w:top w:val="single" w:sz="12" w:space="0" w:color="auto"/>
              <w:bottom w:val="nil"/>
            </w:tcBorders>
            <w:shd w:val="clear" w:color="000000"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190/6</w:t>
            </w:r>
          </w:p>
        </w:tc>
        <w:tc>
          <w:tcPr>
            <w:tcW w:w="806" w:type="dxa"/>
            <w:tcBorders>
              <w:top w:val="single" w:sz="12" w:space="0" w:color="auto"/>
              <w:bottom w:val="nil"/>
            </w:tcBorders>
            <w:shd w:val="clear" w:color="000000"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329/7</w:t>
            </w:r>
          </w:p>
        </w:tc>
        <w:tc>
          <w:tcPr>
            <w:tcW w:w="807" w:type="dxa"/>
            <w:tcBorders>
              <w:top w:val="single" w:sz="12" w:space="0" w:color="auto"/>
              <w:bottom w:val="nil"/>
            </w:tcBorders>
            <w:shd w:val="clear" w:color="000000"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321/7</w:t>
            </w:r>
          </w:p>
        </w:tc>
      </w:tr>
      <w:tr w:rsidR="009F7C7F" w:rsidRPr="0071782F">
        <w:tc>
          <w:tcPr>
            <w:tcW w:w="2866" w:type="dxa"/>
            <w:tcBorders>
              <w:top w:val="nil"/>
              <w:bottom w:val="single" w:sz="4" w:space="0" w:color="auto"/>
            </w:tcBorders>
            <w:shd w:val="clear" w:color="000000" w:fill="auto"/>
            <w:vAlign w:val="bottom"/>
          </w:tcPr>
          <w:p w:rsidR="009F7C7F" w:rsidRPr="0071782F" w:rsidRDefault="009F7C7F" w:rsidP="000838E6">
            <w:pPr>
              <w:keepNext/>
              <w:suppressAutoHyphens w:val="0"/>
              <w:spacing w:before="80" w:after="80" w:line="220" w:lineRule="exact"/>
              <w:rPr>
                <w:b/>
                <w:sz w:val="18"/>
                <w:lang w:val="fr-CH"/>
              </w:rPr>
            </w:pPr>
          </w:p>
        </w:tc>
        <w:tc>
          <w:tcPr>
            <w:tcW w:w="800" w:type="dxa"/>
            <w:tcBorders>
              <w:top w:val="nil"/>
              <w:bottom w:val="single" w:sz="4" w:space="0" w:color="auto"/>
            </w:tcBorders>
            <w:shd w:val="clear" w:color="000000" w:fill="auto"/>
            <w:vAlign w:val="bottom"/>
          </w:tcPr>
          <w:p w:rsidR="009F7C7F" w:rsidRPr="0071782F" w:rsidRDefault="003B48A4" w:rsidP="000838E6">
            <w:pPr>
              <w:keepNext/>
              <w:suppressAutoHyphens w:val="0"/>
              <w:spacing w:before="80" w:after="80" w:line="220" w:lineRule="exact"/>
              <w:rPr>
                <w:b/>
                <w:sz w:val="18"/>
                <w:lang w:val="fr-CH"/>
              </w:rPr>
            </w:pPr>
            <w:r w:rsidRPr="0071782F">
              <w:rPr>
                <w:b/>
                <w:sz w:val="18"/>
                <w:lang w:val="fr-CH"/>
              </w:rPr>
              <w:t>Nombre</w:t>
            </w:r>
          </w:p>
        </w:tc>
        <w:tc>
          <w:tcPr>
            <w:tcW w:w="806" w:type="dxa"/>
            <w:tcBorders>
              <w:top w:val="nil"/>
              <w:bottom w:val="single" w:sz="4" w:space="0" w:color="auto"/>
            </w:tcBorders>
            <w:shd w:val="clear" w:color="000000"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3 022</w:t>
            </w:r>
          </w:p>
        </w:tc>
        <w:tc>
          <w:tcPr>
            <w:tcW w:w="807" w:type="dxa"/>
            <w:tcBorders>
              <w:top w:val="nil"/>
              <w:bottom w:val="single" w:sz="4" w:space="0" w:color="auto"/>
            </w:tcBorders>
            <w:shd w:val="clear" w:color="000000"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48 376</w:t>
            </w:r>
          </w:p>
        </w:tc>
        <w:tc>
          <w:tcPr>
            <w:tcW w:w="806" w:type="dxa"/>
            <w:tcBorders>
              <w:top w:val="nil"/>
              <w:bottom w:val="single" w:sz="4" w:space="0" w:color="auto"/>
            </w:tcBorders>
            <w:shd w:val="clear" w:color="000000"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53 683</w:t>
            </w:r>
          </w:p>
        </w:tc>
        <w:tc>
          <w:tcPr>
            <w:tcW w:w="807" w:type="dxa"/>
            <w:tcBorders>
              <w:top w:val="nil"/>
              <w:bottom w:val="single" w:sz="4" w:space="0" w:color="auto"/>
            </w:tcBorders>
            <w:shd w:val="clear" w:color="000000"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51 747</w:t>
            </w:r>
          </w:p>
        </w:tc>
        <w:tc>
          <w:tcPr>
            <w:tcW w:w="806" w:type="dxa"/>
            <w:tcBorders>
              <w:top w:val="nil"/>
              <w:bottom w:val="single" w:sz="4" w:space="0" w:color="auto"/>
            </w:tcBorders>
            <w:shd w:val="clear" w:color="000000"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78 733</w:t>
            </w:r>
          </w:p>
        </w:tc>
        <w:tc>
          <w:tcPr>
            <w:tcW w:w="807" w:type="dxa"/>
            <w:tcBorders>
              <w:top w:val="nil"/>
              <w:bottom w:val="single" w:sz="4" w:space="0" w:color="auto"/>
            </w:tcBorders>
            <w:shd w:val="clear" w:color="000000" w:fill="auto"/>
            <w:vAlign w:val="bottom"/>
          </w:tcPr>
          <w:p w:rsidR="009F7C7F" w:rsidRPr="0071782F" w:rsidRDefault="009F7C7F" w:rsidP="000838E6">
            <w:pPr>
              <w:keepNext/>
              <w:suppressAutoHyphens w:val="0"/>
              <w:spacing w:before="80" w:after="80" w:line="220" w:lineRule="exact"/>
              <w:jc w:val="right"/>
              <w:rPr>
                <w:b/>
                <w:sz w:val="18"/>
                <w:lang w:val="fr-CH"/>
              </w:rPr>
            </w:pPr>
            <w:r w:rsidRPr="0071782F">
              <w:rPr>
                <w:b/>
                <w:sz w:val="18"/>
                <w:lang w:val="fr-CH"/>
              </w:rPr>
              <w:t>63 789</w:t>
            </w:r>
          </w:p>
        </w:tc>
      </w:tr>
      <w:tr w:rsidR="009F7C7F" w:rsidRPr="0071782F">
        <w:tc>
          <w:tcPr>
            <w:tcW w:w="2866" w:type="dxa"/>
            <w:vMerge w:val="restart"/>
            <w:tcBorders>
              <w:top w:val="single" w:sz="4" w:space="0" w:color="auto"/>
              <w:bottom w:val="nil"/>
            </w:tcBorders>
            <w:shd w:val="clear" w:color="000000" w:fill="auto"/>
          </w:tcPr>
          <w:p w:rsidR="009F7C7F" w:rsidRPr="0071782F" w:rsidRDefault="009F7C7F" w:rsidP="008F24C9">
            <w:pPr>
              <w:keepNext/>
              <w:suppressAutoHyphens w:val="0"/>
              <w:spacing w:before="40" w:after="40" w:line="220" w:lineRule="exact"/>
              <w:rPr>
                <w:sz w:val="18"/>
                <w:lang w:val="fr-CH"/>
              </w:rPr>
            </w:pPr>
            <w:r w:rsidRPr="0071782F">
              <w:rPr>
                <w:sz w:val="18"/>
                <w:lang w:val="fr-CH"/>
              </w:rPr>
              <w:t xml:space="preserve">Construction </w:t>
            </w:r>
            <w:r w:rsidR="00446FB9" w:rsidRPr="0071782F">
              <w:rPr>
                <w:sz w:val="18"/>
                <w:lang w:val="fr-CH"/>
              </w:rPr>
              <w:t xml:space="preserve">et achat </w:t>
            </w:r>
            <w:r w:rsidRPr="0071782F">
              <w:rPr>
                <w:sz w:val="18"/>
                <w:lang w:val="fr-CH"/>
              </w:rPr>
              <w:t>1)</w:t>
            </w:r>
          </w:p>
        </w:tc>
        <w:tc>
          <w:tcPr>
            <w:tcW w:w="800" w:type="dxa"/>
            <w:tcBorders>
              <w:top w:val="single" w:sz="4" w:space="0" w:color="auto"/>
              <w:bottom w:val="nil"/>
            </w:tcBorders>
            <w:shd w:val="clear" w:color="000000" w:fill="auto"/>
            <w:vAlign w:val="bottom"/>
          </w:tcPr>
          <w:p w:rsidR="009F7C7F" w:rsidRPr="0071782F" w:rsidRDefault="00446FB9" w:rsidP="000838E6">
            <w:pPr>
              <w:keepNext/>
              <w:suppressAutoHyphens w:val="0"/>
              <w:spacing w:before="40" w:after="40" w:line="220" w:lineRule="exact"/>
              <w:rPr>
                <w:sz w:val="18"/>
                <w:lang w:val="fr-CH"/>
              </w:rPr>
            </w:pPr>
            <w:r w:rsidRPr="0071782F">
              <w:rPr>
                <w:sz w:val="18"/>
                <w:lang w:val="fr-CH"/>
              </w:rPr>
              <w:t>Quantité</w:t>
            </w:r>
          </w:p>
        </w:tc>
        <w:tc>
          <w:tcPr>
            <w:tcW w:w="806" w:type="dxa"/>
            <w:tcBorders>
              <w:top w:val="single" w:sz="4" w:space="0" w:color="auto"/>
              <w:bottom w:val="nil"/>
            </w:tcBorders>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0/1</w:t>
            </w:r>
          </w:p>
        </w:tc>
        <w:tc>
          <w:tcPr>
            <w:tcW w:w="807" w:type="dxa"/>
            <w:tcBorders>
              <w:top w:val="single" w:sz="4" w:space="0" w:color="auto"/>
              <w:bottom w:val="nil"/>
            </w:tcBorders>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58/4</w:t>
            </w:r>
          </w:p>
        </w:tc>
        <w:tc>
          <w:tcPr>
            <w:tcW w:w="806" w:type="dxa"/>
            <w:tcBorders>
              <w:top w:val="single" w:sz="4" w:space="0" w:color="auto"/>
              <w:bottom w:val="nil"/>
            </w:tcBorders>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73/8</w:t>
            </w:r>
          </w:p>
        </w:tc>
        <w:tc>
          <w:tcPr>
            <w:tcW w:w="807" w:type="dxa"/>
            <w:tcBorders>
              <w:top w:val="single" w:sz="4" w:space="0" w:color="auto"/>
              <w:bottom w:val="nil"/>
            </w:tcBorders>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109/3</w:t>
            </w:r>
          </w:p>
        </w:tc>
        <w:tc>
          <w:tcPr>
            <w:tcW w:w="806" w:type="dxa"/>
            <w:tcBorders>
              <w:top w:val="single" w:sz="4" w:space="0" w:color="auto"/>
              <w:bottom w:val="nil"/>
            </w:tcBorders>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184/3</w:t>
            </w:r>
          </w:p>
        </w:tc>
        <w:tc>
          <w:tcPr>
            <w:tcW w:w="807" w:type="dxa"/>
            <w:tcBorders>
              <w:top w:val="single" w:sz="4" w:space="0" w:color="auto"/>
              <w:bottom w:val="nil"/>
            </w:tcBorders>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142/3</w:t>
            </w:r>
          </w:p>
        </w:tc>
      </w:tr>
      <w:tr w:rsidR="009F7C7F" w:rsidRPr="0071782F">
        <w:tc>
          <w:tcPr>
            <w:tcW w:w="2866" w:type="dxa"/>
            <w:vMerge/>
            <w:tcBorders>
              <w:top w:val="nil"/>
            </w:tcBorders>
            <w:shd w:val="clear" w:color="000000" w:fill="auto"/>
          </w:tcPr>
          <w:p w:rsidR="009F7C7F" w:rsidRPr="0071782F" w:rsidRDefault="009F7C7F" w:rsidP="000838E6">
            <w:pPr>
              <w:keepNext/>
              <w:suppressAutoHyphens w:val="0"/>
              <w:spacing w:before="40" w:after="40" w:line="220" w:lineRule="exact"/>
              <w:rPr>
                <w:sz w:val="18"/>
                <w:lang w:val="fr-CH"/>
              </w:rPr>
            </w:pPr>
          </w:p>
        </w:tc>
        <w:tc>
          <w:tcPr>
            <w:tcW w:w="800" w:type="dxa"/>
            <w:tcBorders>
              <w:top w:val="nil"/>
            </w:tcBorders>
            <w:shd w:val="clear" w:color="000000" w:fill="auto"/>
            <w:vAlign w:val="bottom"/>
          </w:tcPr>
          <w:p w:rsidR="009F7C7F" w:rsidRPr="0071782F" w:rsidRDefault="003B48A4" w:rsidP="000838E6">
            <w:pPr>
              <w:keepNext/>
              <w:suppressAutoHyphens w:val="0"/>
              <w:spacing w:before="40" w:after="40" w:line="220" w:lineRule="exact"/>
              <w:rPr>
                <w:sz w:val="18"/>
                <w:lang w:val="fr-CH"/>
              </w:rPr>
            </w:pPr>
            <w:r w:rsidRPr="0071782F">
              <w:rPr>
                <w:sz w:val="18"/>
                <w:lang w:val="fr-CH"/>
              </w:rPr>
              <w:t>Nombre</w:t>
            </w:r>
          </w:p>
        </w:tc>
        <w:tc>
          <w:tcPr>
            <w:tcW w:w="806" w:type="dxa"/>
            <w:tcBorders>
              <w:top w:val="nil"/>
            </w:tcBorders>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1 128</w:t>
            </w:r>
          </w:p>
        </w:tc>
        <w:tc>
          <w:tcPr>
            <w:tcW w:w="807" w:type="dxa"/>
            <w:tcBorders>
              <w:top w:val="nil"/>
            </w:tcBorders>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7 824</w:t>
            </w:r>
          </w:p>
        </w:tc>
        <w:tc>
          <w:tcPr>
            <w:tcW w:w="806" w:type="dxa"/>
            <w:tcBorders>
              <w:top w:val="nil"/>
            </w:tcBorders>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4 325</w:t>
            </w:r>
          </w:p>
        </w:tc>
        <w:tc>
          <w:tcPr>
            <w:tcW w:w="807" w:type="dxa"/>
            <w:tcBorders>
              <w:top w:val="nil"/>
            </w:tcBorders>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4 671</w:t>
            </w:r>
          </w:p>
        </w:tc>
        <w:tc>
          <w:tcPr>
            <w:tcW w:w="806" w:type="dxa"/>
            <w:tcBorders>
              <w:top w:val="nil"/>
            </w:tcBorders>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6 176</w:t>
            </w:r>
          </w:p>
        </w:tc>
        <w:tc>
          <w:tcPr>
            <w:tcW w:w="807" w:type="dxa"/>
            <w:tcBorders>
              <w:top w:val="nil"/>
            </w:tcBorders>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4 342</w:t>
            </w:r>
          </w:p>
        </w:tc>
      </w:tr>
      <w:tr w:rsidR="009F7C7F" w:rsidRPr="0071782F">
        <w:tc>
          <w:tcPr>
            <w:tcW w:w="2866" w:type="dxa"/>
            <w:vMerge w:val="restart"/>
            <w:shd w:val="clear" w:color="000000" w:fill="auto"/>
          </w:tcPr>
          <w:p w:rsidR="009F7C7F" w:rsidRPr="0071782F" w:rsidRDefault="009F7C7F" w:rsidP="008F24C9">
            <w:pPr>
              <w:keepNext/>
              <w:suppressAutoHyphens w:val="0"/>
              <w:spacing w:before="40" w:after="40" w:line="220" w:lineRule="exact"/>
              <w:rPr>
                <w:sz w:val="18"/>
                <w:lang w:val="fr-CH"/>
              </w:rPr>
            </w:pPr>
            <w:r w:rsidRPr="0071782F">
              <w:rPr>
                <w:sz w:val="18"/>
                <w:lang w:val="fr-CH"/>
              </w:rPr>
              <w:t>R</w:t>
            </w:r>
            <w:r w:rsidR="00446FB9" w:rsidRPr="0071782F">
              <w:rPr>
                <w:sz w:val="18"/>
                <w:lang w:val="fr-CH"/>
              </w:rPr>
              <w:t xml:space="preserve">éparation et </w:t>
            </w:r>
            <w:r w:rsidRPr="0071782F">
              <w:rPr>
                <w:sz w:val="18"/>
                <w:lang w:val="fr-CH"/>
              </w:rPr>
              <w:t>construction 2)</w:t>
            </w:r>
          </w:p>
        </w:tc>
        <w:tc>
          <w:tcPr>
            <w:tcW w:w="800" w:type="dxa"/>
            <w:shd w:val="clear" w:color="000000" w:fill="auto"/>
            <w:vAlign w:val="bottom"/>
          </w:tcPr>
          <w:p w:rsidR="009F7C7F" w:rsidRPr="0071782F" w:rsidRDefault="00446FB9" w:rsidP="000838E6">
            <w:pPr>
              <w:keepNext/>
              <w:suppressAutoHyphens w:val="0"/>
              <w:spacing w:before="40" w:after="40" w:line="220" w:lineRule="exact"/>
              <w:rPr>
                <w:sz w:val="18"/>
                <w:lang w:val="fr-CH"/>
              </w:rPr>
            </w:pPr>
            <w:r w:rsidRPr="0071782F">
              <w:rPr>
                <w:sz w:val="18"/>
                <w:lang w:val="fr-CH"/>
              </w:rPr>
              <w:t>Quantité</w:t>
            </w:r>
          </w:p>
        </w:tc>
        <w:tc>
          <w:tcPr>
            <w:tcW w:w="806" w:type="dxa"/>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1/2</w:t>
            </w:r>
          </w:p>
        </w:tc>
        <w:tc>
          <w:tcPr>
            <w:tcW w:w="807" w:type="dxa"/>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9/1</w:t>
            </w:r>
          </w:p>
        </w:tc>
        <w:tc>
          <w:tcPr>
            <w:tcW w:w="806" w:type="dxa"/>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31/8</w:t>
            </w:r>
          </w:p>
        </w:tc>
        <w:tc>
          <w:tcPr>
            <w:tcW w:w="807" w:type="dxa"/>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p>
        </w:tc>
        <w:tc>
          <w:tcPr>
            <w:tcW w:w="806" w:type="dxa"/>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95/0</w:t>
            </w:r>
          </w:p>
        </w:tc>
        <w:tc>
          <w:tcPr>
            <w:tcW w:w="807" w:type="dxa"/>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142/1</w:t>
            </w:r>
          </w:p>
        </w:tc>
      </w:tr>
      <w:tr w:rsidR="009F7C7F" w:rsidRPr="0071782F">
        <w:tc>
          <w:tcPr>
            <w:tcW w:w="2866" w:type="dxa"/>
            <w:vMerge/>
            <w:shd w:val="clear" w:color="000000" w:fill="auto"/>
          </w:tcPr>
          <w:p w:rsidR="009F7C7F" w:rsidRPr="0071782F" w:rsidRDefault="009F7C7F" w:rsidP="000838E6">
            <w:pPr>
              <w:keepNext/>
              <w:suppressAutoHyphens w:val="0"/>
              <w:spacing w:before="40" w:after="40" w:line="220" w:lineRule="exact"/>
              <w:rPr>
                <w:sz w:val="18"/>
                <w:lang w:val="fr-CH"/>
              </w:rPr>
            </w:pPr>
          </w:p>
        </w:tc>
        <w:tc>
          <w:tcPr>
            <w:tcW w:w="800" w:type="dxa"/>
            <w:shd w:val="clear" w:color="000000" w:fill="auto"/>
            <w:vAlign w:val="bottom"/>
          </w:tcPr>
          <w:p w:rsidR="009F7C7F" w:rsidRPr="0071782F" w:rsidRDefault="003B48A4" w:rsidP="000838E6">
            <w:pPr>
              <w:keepNext/>
              <w:suppressAutoHyphens w:val="0"/>
              <w:spacing w:before="40" w:after="40" w:line="220" w:lineRule="exact"/>
              <w:rPr>
                <w:sz w:val="18"/>
                <w:lang w:val="fr-CH"/>
              </w:rPr>
            </w:pPr>
            <w:r w:rsidRPr="0071782F">
              <w:rPr>
                <w:sz w:val="18"/>
                <w:lang w:val="fr-CH"/>
              </w:rPr>
              <w:t>Nombre</w:t>
            </w:r>
          </w:p>
        </w:tc>
        <w:tc>
          <w:tcPr>
            <w:tcW w:w="806" w:type="dxa"/>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1 894</w:t>
            </w:r>
          </w:p>
        </w:tc>
        <w:tc>
          <w:tcPr>
            <w:tcW w:w="807" w:type="dxa"/>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14 254</w:t>
            </w:r>
          </w:p>
        </w:tc>
        <w:tc>
          <w:tcPr>
            <w:tcW w:w="806" w:type="dxa"/>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21 031</w:t>
            </w:r>
          </w:p>
        </w:tc>
        <w:tc>
          <w:tcPr>
            <w:tcW w:w="807" w:type="dxa"/>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19 517</w:t>
            </w:r>
          </w:p>
        </w:tc>
        <w:tc>
          <w:tcPr>
            <w:tcW w:w="806" w:type="dxa"/>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39 144</w:t>
            </w:r>
          </w:p>
        </w:tc>
        <w:tc>
          <w:tcPr>
            <w:tcW w:w="807" w:type="dxa"/>
            <w:shd w:val="clear" w:color="000000" w:fill="auto"/>
            <w:vAlign w:val="bottom"/>
          </w:tcPr>
          <w:p w:rsidR="009F7C7F" w:rsidRPr="0071782F" w:rsidRDefault="009F7C7F" w:rsidP="000838E6">
            <w:pPr>
              <w:keepNext/>
              <w:suppressAutoHyphens w:val="0"/>
              <w:spacing w:before="40" w:after="40" w:line="220" w:lineRule="exact"/>
              <w:jc w:val="right"/>
              <w:rPr>
                <w:sz w:val="18"/>
                <w:lang w:val="fr-CH"/>
              </w:rPr>
            </w:pPr>
            <w:r w:rsidRPr="0071782F">
              <w:rPr>
                <w:sz w:val="18"/>
                <w:lang w:val="fr-CH"/>
              </w:rPr>
              <w:t>50 262</w:t>
            </w:r>
          </w:p>
        </w:tc>
      </w:tr>
      <w:tr w:rsidR="00615FC7" w:rsidRPr="0071782F">
        <w:tc>
          <w:tcPr>
            <w:tcW w:w="2866" w:type="dxa"/>
            <w:vMerge w:val="restart"/>
            <w:shd w:val="clear" w:color="000000" w:fill="auto"/>
          </w:tcPr>
          <w:p w:rsidR="00615FC7" w:rsidRPr="0071782F" w:rsidRDefault="00446FB9" w:rsidP="008F24C9">
            <w:pPr>
              <w:keepNext/>
              <w:suppressAutoHyphens w:val="0"/>
              <w:spacing w:before="40" w:after="40" w:line="220" w:lineRule="exact"/>
              <w:rPr>
                <w:sz w:val="18"/>
                <w:lang w:val="fr-CH"/>
              </w:rPr>
            </w:pPr>
            <w:r w:rsidRPr="0071782F">
              <w:rPr>
                <w:sz w:val="18"/>
                <w:lang w:val="fr-CH"/>
              </w:rPr>
              <w:t xml:space="preserve">Achèvement </w:t>
            </w:r>
            <w:r w:rsidR="003F25A2">
              <w:rPr>
                <w:sz w:val="18"/>
                <w:lang w:val="fr-CH"/>
              </w:rPr>
              <w:t>des logements</w:t>
            </w:r>
            <w:r w:rsidR="00615FC7" w:rsidRPr="0071782F">
              <w:rPr>
                <w:sz w:val="18"/>
                <w:lang w:val="fr-CH"/>
              </w:rPr>
              <w:t xml:space="preserve"> 3)</w:t>
            </w:r>
          </w:p>
        </w:tc>
        <w:tc>
          <w:tcPr>
            <w:tcW w:w="800" w:type="dxa"/>
            <w:shd w:val="clear" w:color="000000" w:fill="auto"/>
            <w:vAlign w:val="bottom"/>
          </w:tcPr>
          <w:p w:rsidR="00615FC7" w:rsidRPr="0071782F" w:rsidRDefault="00446FB9" w:rsidP="000838E6">
            <w:pPr>
              <w:keepNext/>
              <w:suppressAutoHyphens w:val="0"/>
              <w:spacing w:before="40" w:after="40" w:line="220" w:lineRule="exact"/>
              <w:rPr>
                <w:sz w:val="18"/>
                <w:lang w:val="fr-CH"/>
              </w:rPr>
            </w:pPr>
            <w:r w:rsidRPr="0071782F">
              <w:rPr>
                <w:sz w:val="18"/>
                <w:lang w:val="fr-CH"/>
              </w:rPr>
              <w:t>Quantité</w:t>
            </w:r>
          </w:p>
        </w:tc>
        <w:tc>
          <w:tcPr>
            <w:tcW w:w="806" w:type="dxa"/>
            <w:shd w:val="clear" w:color="000000" w:fill="auto"/>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w:t>
            </w:r>
          </w:p>
        </w:tc>
        <w:tc>
          <w:tcPr>
            <w:tcW w:w="807" w:type="dxa"/>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16/8</w:t>
            </w:r>
          </w:p>
        </w:tc>
        <w:tc>
          <w:tcPr>
            <w:tcW w:w="806" w:type="dxa"/>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44/2</w:t>
            </w:r>
          </w:p>
        </w:tc>
        <w:tc>
          <w:tcPr>
            <w:tcW w:w="807" w:type="dxa"/>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48/7</w:t>
            </w:r>
          </w:p>
        </w:tc>
        <w:tc>
          <w:tcPr>
            <w:tcW w:w="806" w:type="dxa"/>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50/4</w:t>
            </w:r>
          </w:p>
        </w:tc>
        <w:tc>
          <w:tcPr>
            <w:tcW w:w="807" w:type="dxa"/>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37/3</w:t>
            </w:r>
          </w:p>
        </w:tc>
      </w:tr>
      <w:tr w:rsidR="00615FC7" w:rsidRPr="0071782F">
        <w:tc>
          <w:tcPr>
            <w:tcW w:w="2866" w:type="dxa"/>
            <w:vMerge/>
            <w:tcBorders>
              <w:bottom w:val="nil"/>
            </w:tcBorders>
            <w:shd w:val="clear" w:color="000000" w:fill="auto"/>
          </w:tcPr>
          <w:p w:rsidR="00615FC7" w:rsidRPr="0071782F" w:rsidRDefault="00615FC7" w:rsidP="000838E6">
            <w:pPr>
              <w:keepNext/>
              <w:suppressAutoHyphens w:val="0"/>
              <w:spacing w:before="40" w:after="40" w:line="220" w:lineRule="exact"/>
              <w:rPr>
                <w:sz w:val="18"/>
                <w:lang w:val="fr-CH"/>
              </w:rPr>
            </w:pPr>
          </w:p>
        </w:tc>
        <w:tc>
          <w:tcPr>
            <w:tcW w:w="800" w:type="dxa"/>
            <w:tcBorders>
              <w:bottom w:val="nil"/>
            </w:tcBorders>
            <w:shd w:val="clear" w:color="000000" w:fill="auto"/>
            <w:vAlign w:val="bottom"/>
          </w:tcPr>
          <w:p w:rsidR="00615FC7" w:rsidRPr="0071782F" w:rsidRDefault="003B48A4" w:rsidP="000838E6">
            <w:pPr>
              <w:keepNext/>
              <w:suppressAutoHyphens w:val="0"/>
              <w:spacing w:before="40" w:after="40" w:line="220" w:lineRule="exact"/>
              <w:rPr>
                <w:sz w:val="18"/>
                <w:lang w:val="fr-CH"/>
              </w:rPr>
            </w:pPr>
            <w:r w:rsidRPr="0071782F">
              <w:rPr>
                <w:sz w:val="18"/>
                <w:lang w:val="fr-CH"/>
              </w:rPr>
              <w:t>Nombre</w:t>
            </w:r>
          </w:p>
        </w:tc>
        <w:tc>
          <w:tcPr>
            <w:tcW w:w="806" w:type="dxa"/>
            <w:tcBorders>
              <w:bottom w:val="nil"/>
            </w:tcBorders>
            <w:shd w:val="clear" w:color="000000" w:fill="auto"/>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w:t>
            </w:r>
          </w:p>
        </w:tc>
        <w:tc>
          <w:tcPr>
            <w:tcW w:w="807" w:type="dxa"/>
            <w:tcBorders>
              <w:bottom w:val="nil"/>
            </w:tcBorders>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26 298</w:t>
            </w:r>
          </w:p>
        </w:tc>
        <w:tc>
          <w:tcPr>
            <w:tcW w:w="806" w:type="dxa"/>
            <w:tcBorders>
              <w:bottom w:val="nil"/>
            </w:tcBorders>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28 327</w:t>
            </w:r>
          </w:p>
        </w:tc>
        <w:tc>
          <w:tcPr>
            <w:tcW w:w="807" w:type="dxa"/>
            <w:tcBorders>
              <w:bottom w:val="nil"/>
            </w:tcBorders>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27 559</w:t>
            </w:r>
          </w:p>
        </w:tc>
        <w:tc>
          <w:tcPr>
            <w:tcW w:w="806" w:type="dxa"/>
            <w:tcBorders>
              <w:bottom w:val="nil"/>
            </w:tcBorders>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33 413</w:t>
            </w:r>
          </w:p>
        </w:tc>
        <w:tc>
          <w:tcPr>
            <w:tcW w:w="807" w:type="dxa"/>
            <w:tcBorders>
              <w:bottom w:val="nil"/>
            </w:tcBorders>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9 185</w:t>
            </w:r>
          </w:p>
        </w:tc>
      </w:tr>
      <w:tr w:rsidR="00615FC7" w:rsidRPr="0071782F">
        <w:tc>
          <w:tcPr>
            <w:tcW w:w="2866" w:type="dxa"/>
            <w:tcBorders>
              <w:top w:val="nil"/>
              <w:bottom w:val="nil"/>
            </w:tcBorders>
            <w:shd w:val="clear" w:color="000000" w:fill="auto"/>
          </w:tcPr>
          <w:p w:rsidR="00615FC7" w:rsidRPr="0071782F" w:rsidRDefault="00446FB9" w:rsidP="008F24C9">
            <w:pPr>
              <w:keepNext/>
              <w:suppressAutoHyphens w:val="0"/>
              <w:spacing w:before="40" w:after="40" w:line="220" w:lineRule="exact"/>
              <w:rPr>
                <w:sz w:val="18"/>
                <w:lang w:val="fr-CH"/>
              </w:rPr>
            </w:pPr>
            <w:r w:rsidRPr="0071782F">
              <w:rPr>
                <w:sz w:val="18"/>
                <w:lang w:val="fr-CH"/>
              </w:rPr>
              <w:t>Prêts au logement pour les</w:t>
            </w:r>
            <w:r w:rsidR="003F25A2">
              <w:rPr>
                <w:sz w:val="18"/>
                <w:lang w:val="fr-CH"/>
              </w:rPr>
              <w:t> logements</w:t>
            </w:r>
            <w:r w:rsidRPr="0071782F">
              <w:rPr>
                <w:sz w:val="18"/>
                <w:lang w:val="fr-CH"/>
              </w:rPr>
              <w:t xml:space="preserve"> non couverts </w:t>
            </w:r>
            <w:r w:rsidR="00615FC7" w:rsidRPr="0071782F">
              <w:rPr>
                <w:sz w:val="18"/>
                <w:lang w:val="fr-CH"/>
              </w:rPr>
              <w:t>4)</w:t>
            </w:r>
          </w:p>
        </w:tc>
        <w:tc>
          <w:tcPr>
            <w:tcW w:w="800" w:type="dxa"/>
            <w:tcBorders>
              <w:top w:val="nil"/>
              <w:bottom w:val="nil"/>
            </w:tcBorders>
            <w:shd w:val="clear" w:color="000000" w:fill="auto"/>
            <w:vAlign w:val="bottom"/>
          </w:tcPr>
          <w:p w:rsidR="00615FC7" w:rsidRPr="0071782F" w:rsidRDefault="00446FB9" w:rsidP="000838E6">
            <w:pPr>
              <w:keepNext/>
              <w:suppressAutoHyphens w:val="0"/>
              <w:spacing w:before="40" w:after="40" w:line="220" w:lineRule="exact"/>
              <w:rPr>
                <w:sz w:val="18"/>
                <w:lang w:val="fr-CH"/>
              </w:rPr>
            </w:pPr>
            <w:r w:rsidRPr="0071782F">
              <w:rPr>
                <w:sz w:val="18"/>
                <w:lang w:val="fr-CH"/>
              </w:rPr>
              <w:t>Quantité</w:t>
            </w:r>
          </w:p>
        </w:tc>
        <w:tc>
          <w:tcPr>
            <w:tcW w:w="806" w:type="dxa"/>
            <w:tcBorders>
              <w:top w:val="nil"/>
              <w:bottom w:val="nil"/>
            </w:tcBorders>
            <w:shd w:val="clear" w:color="000000" w:fill="auto"/>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w:t>
            </w:r>
          </w:p>
        </w:tc>
        <w:tc>
          <w:tcPr>
            <w:tcW w:w="807" w:type="dxa"/>
            <w:tcBorders>
              <w:top w:val="nil"/>
              <w:bottom w:val="nil"/>
            </w:tcBorders>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0/8</w:t>
            </w:r>
          </w:p>
        </w:tc>
        <w:tc>
          <w:tcPr>
            <w:tcW w:w="806" w:type="dxa"/>
            <w:tcBorders>
              <w:top w:val="nil"/>
              <w:bottom w:val="nil"/>
            </w:tcBorders>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25</w:t>
            </w:r>
          </w:p>
        </w:tc>
        <w:tc>
          <w:tcPr>
            <w:tcW w:w="807" w:type="dxa"/>
            <w:tcBorders>
              <w:top w:val="nil"/>
              <w:bottom w:val="nil"/>
            </w:tcBorders>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23/8</w:t>
            </w:r>
          </w:p>
        </w:tc>
        <w:tc>
          <w:tcPr>
            <w:tcW w:w="806" w:type="dxa"/>
            <w:tcBorders>
              <w:top w:val="nil"/>
              <w:bottom w:val="nil"/>
            </w:tcBorders>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33/7</w:t>
            </w:r>
          </w:p>
        </w:tc>
        <w:tc>
          <w:tcPr>
            <w:tcW w:w="807" w:type="dxa"/>
            <w:tcBorders>
              <w:top w:val="nil"/>
              <w:bottom w:val="nil"/>
            </w:tcBorders>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33/1</w:t>
            </w:r>
          </w:p>
        </w:tc>
      </w:tr>
      <w:tr w:rsidR="00615FC7" w:rsidRPr="0071782F">
        <w:tc>
          <w:tcPr>
            <w:tcW w:w="2866" w:type="dxa"/>
            <w:tcBorders>
              <w:top w:val="nil"/>
              <w:bottom w:val="nil"/>
            </w:tcBorders>
            <w:shd w:val="clear" w:color="000000" w:fill="auto"/>
            <w:vAlign w:val="bottom"/>
          </w:tcPr>
          <w:p w:rsidR="00615FC7" w:rsidRPr="0071782F" w:rsidRDefault="00615FC7" w:rsidP="000838E6">
            <w:pPr>
              <w:keepNext/>
              <w:suppressAutoHyphens w:val="0"/>
              <w:spacing w:before="40" w:after="40" w:line="220" w:lineRule="exact"/>
              <w:rPr>
                <w:sz w:val="18"/>
                <w:lang w:val="fr-CH"/>
              </w:rPr>
            </w:pPr>
          </w:p>
        </w:tc>
        <w:tc>
          <w:tcPr>
            <w:tcW w:w="800" w:type="dxa"/>
            <w:tcBorders>
              <w:top w:val="nil"/>
              <w:bottom w:val="nil"/>
            </w:tcBorders>
            <w:shd w:val="clear" w:color="000000" w:fill="auto"/>
            <w:vAlign w:val="bottom"/>
          </w:tcPr>
          <w:p w:rsidR="00615FC7" w:rsidRPr="0071782F" w:rsidRDefault="003B48A4" w:rsidP="000838E6">
            <w:pPr>
              <w:keepNext/>
              <w:suppressAutoHyphens w:val="0"/>
              <w:spacing w:before="40" w:after="40" w:line="220" w:lineRule="exact"/>
              <w:rPr>
                <w:sz w:val="18"/>
                <w:lang w:val="fr-CH"/>
              </w:rPr>
            </w:pPr>
            <w:r w:rsidRPr="0071782F">
              <w:rPr>
                <w:sz w:val="18"/>
                <w:lang w:val="fr-CH"/>
              </w:rPr>
              <w:t>Nombre</w:t>
            </w:r>
          </w:p>
        </w:tc>
        <w:tc>
          <w:tcPr>
            <w:tcW w:w="806" w:type="dxa"/>
            <w:tcBorders>
              <w:top w:val="nil"/>
              <w:bottom w:val="nil"/>
            </w:tcBorders>
            <w:shd w:val="clear" w:color="000000" w:fill="auto"/>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w:t>
            </w:r>
          </w:p>
        </w:tc>
        <w:tc>
          <w:tcPr>
            <w:tcW w:w="807" w:type="dxa"/>
            <w:tcBorders>
              <w:top w:val="nil"/>
              <w:bottom w:val="nil"/>
            </w:tcBorders>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326</w:t>
            </w:r>
          </w:p>
        </w:tc>
        <w:tc>
          <w:tcPr>
            <w:tcW w:w="806" w:type="dxa"/>
            <w:tcBorders>
              <w:top w:val="nil"/>
              <w:bottom w:val="nil"/>
            </w:tcBorders>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1 112</w:t>
            </w:r>
          </w:p>
        </w:tc>
        <w:tc>
          <w:tcPr>
            <w:tcW w:w="807" w:type="dxa"/>
            <w:tcBorders>
              <w:top w:val="nil"/>
              <w:bottom w:val="nil"/>
            </w:tcBorders>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1 031</w:t>
            </w:r>
          </w:p>
        </w:tc>
        <w:tc>
          <w:tcPr>
            <w:tcW w:w="806" w:type="dxa"/>
            <w:tcBorders>
              <w:top w:val="nil"/>
              <w:bottom w:val="nil"/>
            </w:tcBorders>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1 128</w:t>
            </w:r>
          </w:p>
        </w:tc>
        <w:tc>
          <w:tcPr>
            <w:tcW w:w="807" w:type="dxa"/>
            <w:tcBorders>
              <w:top w:val="nil"/>
              <w:bottom w:val="nil"/>
            </w:tcBorders>
            <w:shd w:val="clear" w:color="000000" w:fill="auto"/>
            <w:vAlign w:val="bottom"/>
          </w:tcPr>
          <w:p w:rsidR="00615FC7" w:rsidRPr="0071782F" w:rsidRDefault="00615FC7" w:rsidP="000838E6">
            <w:pPr>
              <w:keepNext/>
              <w:suppressAutoHyphens w:val="0"/>
              <w:spacing w:before="40" w:after="40" w:line="220" w:lineRule="exact"/>
              <w:jc w:val="right"/>
              <w:rPr>
                <w:sz w:val="18"/>
                <w:lang w:val="fr-CH"/>
              </w:rPr>
            </w:pPr>
            <w:r w:rsidRPr="0071782F">
              <w:rPr>
                <w:sz w:val="18"/>
                <w:lang w:val="fr-CH"/>
              </w:rPr>
              <w:t>1 070</w:t>
            </w:r>
          </w:p>
        </w:tc>
      </w:tr>
    </w:tbl>
    <w:p w:rsidR="009F7C7F" w:rsidRPr="0071782F" w:rsidRDefault="00D639D5" w:rsidP="00496C06">
      <w:pPr>
        <w:pStyle w:val="SingleTxtG"/>
        <w:spacing w:before="240"/>
        <w:rPr>
          <w:lang w:val="fr-CH"/>
        </w:rPr>
      </w:pPr>
      <w:r w:rsidRPr="0071782F">
        <w:rPr>
          <w:sz w:val="18"/>
          <w:lang w:val="fr-CH"/>
        </w:rPr>
        <w:pict>
          <v:line id="_x0000_s1039" style="position:absolute;left:0;text-align:left;z-index:4;mso-position-horizontal-relative:text;mso-position-vertical-relative:text" from="55pt,.25pt" to="480pt,.25pt" strokeweight="1.5pt"/>
        </w:pict>
      </w:r>
      <w:r w:rsidR="009F7C7F" w:rsidRPr="0071782F">
        <w:rPr>
          <w:lang w:val="fr-CH"/>
        </w:rPr>
        <w:t>193.</w:t>
      </w:r>
      <w:r w:rsidR="009F7C7F" w:rsidRPr="0071782F">
        <w:rPr>
          <w:lang w:val="fr-CH"/>
        </w:rPr>
        <w:tab/>
      </w:r>
      <w:r w:rsidR="00446FB9" w:rsidRPr="0071782F">
        <w:rPr>
          <w:lang w:val="fr-CH"/>
        </w:rPr>
        <w:t>Il convient de signaler ce qui suit</w:t>
      </w:r>
      <w:r w:rsidR="008F7D33" w:rsidRPr="0071782F">
        <w:rPr>
          <w:lang w:val="fr-CH"/>
        </w:rPr>
        <w:t>:</w:t>
      </w:r>
    </w:p>
    <w:p w:rsidR="009F7C7F" w:rsidRPr="0071782F" w:rsidRDefault="009F7C7F" w:rsidP="00496C06">
      <w:pPr>
        <w:pStyle w:val="SingleTxtG"/>
        <w:ind w:left="1701"/>
        <w:rPr>
          <w:lang w:val="fr-CH"/>
        </w:rPr>
      </w:pPr>
      <w:r w:rsidRPr="0071782F">
        <w:rPr>
          <w:lang w:val="fr-CH"/>
        </w:rPr>
        <w:t>193.1</w:t>
      </w:r>
      <w:r w:rsidR="008A0917" w:rsidRPr="0071782F">
        <w:rPr>
          <w:lang w:val="fr-CH"/>
        </w:rPr>
        <w:t>.</w:t>
      </w:r>
      <w:r w:rsidRPr="0071782F">
        <w:rPr>
          <w:lang w:val="fr-CH"/>
        </w:rPr>
        <w:tab/>
        <w:t xml:space="preserve">1) </w:t>
      </w:r>
      <w:r w:rsidR="00446FB9" w:rsidRPr="0071782F">
        <w:rPr>
          <w:lang w:val="fr-CH"/>
        </w:rPr>
        <w:t xml:space="preserve">Y compris les coûts des projets de </w:t>
      </w:r>
      <w:r w:rsidRPr="0071782F">
        <w:rPr>
          <w:lang w:val="fr-CH"/>
        </w:rPr>
        <w:t xml:space="preserve">construction, </w:t>
      </w:r>
      <w:r w:rsidR="00446FB9" w:rsidRPr="0071782F">
        <w:rPr>
          <w:lang w:val="fr-CH"/>
        </w:rPr>
        <w:t>d’achat, de contrôle et de développement</w:t>
      </w:r>
      <w:r w:rsidRPr="0071782F">
        <w:rPr>
          <w:lang w:val="fr-CH"/>
        </w:rPr>
        <w:t>.</w:t>
      </w:r>
    </w:p>
    <w:p w:rsidR="009F7C7F" w:rsidRPr="0071782F" w:rsidRDefault="009F7C7F" w:rsidP="00496C06">
      <w:pPr>
        <w:pStyle w:val="SingleTxtG"/>
        <w:ind w:left="1701"/>
        <w:rPr>
          <w:lang w:val="fr-CH"/>
        </w:rPr>
      </w:pPr>
      <w:r w:rsidRPr="0071782F">
        <w:rPr>
          <w:lang w:val="fr-CH"/>
        </w:rPr>
        <w:t>193.2</w:t>
      </w:r>
      <w:r w:rsidR="008A0917" w:rsidRPr="0071782F">
        <w:rPr>
          <w:lang w:val="fr-CH"/>
        </w:rPr>
        <w:t>.</w:t>
      </w:r>
      <w:r w:rsidRPr="0071782F">
        <w:rPr>
          <w:lang w:val="fr-CH"/>
        </w:rPr>
        <w:tab/>
        <w:t xml:space="preserve">2) </w:t>
      </w:r>
      <w:r w:rsidR="00446FB9" w:rsidRPr="0071782F">
        <w:rPr>
          <w:lang w:val="fr-CH"/>
        </w:rPr>
        <w:t xml:space="preserve">Y compris les coûts de la </w:t>
      </w:r>
      <w:r w:rsidRPr="0071782F">
        <w:rPr>
          <w:lang w:val="fr-CH"/>
        </w:rPr>
        <w:t xml:space="preserve">reconstruction </w:t>
      </w:r>
      <w:r w:rsidR="003F25A2">
        <w:rPr>
          <w:lang w:val="fr-CH"/>
        </w:rPr>
        <w:t>des logements</w:t>
      </w:r>
      <w:r w:rsidR="00446FB9" w:rsidRPr="0071782F">
        <w:rPr>
          <w:lang w:val="fr-CH"/>
        </w:rPr>
        <w:t xml:space="preserve"> endommagés, des grosses réparations et des réparations mineures, et des activités de développement dans les zones touchées par des tremblements de terre</w:t>
      </w:r>
      <w:r w:rsidRPr="0071782F">
        <w:rPr>
          <w:lang w:val="fr-CH"/>
        </w:rPr>
        <w:t>.</w:t>
      </w:r>
    </w:p>
    <w:p w:rsidR="009F7C7F" w:rsidRPr="0071782F" w:rsidRDefault="009F7C7F" w:rsidP="00496C06">
      <w:pPr>
        <w:pStyle w:val="SingleTxtG"/>
        <w:ind w:left="1701"/>
        <w:rPr>
          <w:lang w:val="fr-CH"/>
        </w:rPr>
      </w:pPr>
      <w:r w:rsidRPr="0071782F">
        <w:rPr>
          <w:lang w:val="fr-CH"/>
        </w:rPr>
        <w:t>193.3.</w:t>
      </w:r>
      <w:r w:rsidRPr="0071782F">
        <w:rPr>
          <w:lang w:val="fr-CH"/>
        </w:rPr>
        <w:tab/>
        <w:t xml:space="preserve">3) </w:t>
      </w:r>
      <w:r w:rsidR="00446FB9" w:rsidRPr="0071782F">
        <w:rPr>
          <w:lang w:val="fr-CH"/>
        </w:rPr>
        <w:t xml:space="preserve">Y compris les coûts de la pose de clôtures, des installations sanitaires, des salles de bains et des cuisines. </w:t>
      </w:r>
    </w:p>
    <w:p w:rsidR="008A7415" w:rsidRPr="0071782F" w:rsidRDefault="008A7415" w:rsidP="0025182F">
      <w:pPr>
        <w:pStyle w:val="SingleTxtG"/>
        <w:spacing w:after="0"/>
        <w:ind w:left="1701"/>
        <w:rPr>
          <w:lang w:val="fr-CH"/>
        </w:rPr>
      </w:pPr>
      <w:r w:rsidRPr="0071782F">
        <w:rPr>
          <w:lang w:val="fr-CH"/>
        </w:rPr>
        <w:t>193.4.</w:t>
      </w:r>
      <w:r w:rsidRPr="0071782F">
        <w:rPr>
          <w:lang w:val="fr-CH"/>
        </w:rPr>
        <w:tab/>
        <w:t xml:space="preserve">4) </w:t>
      </w:r>
      <w:r w:rsidR="00446FB9" w:rsidRPr="0071782F">
        <w:rPr>
          <w:lang w:val="fr-CH"/>
        </w:rPr>
        <w:t xml:space="preserve">Les prêts au logement n’ont pas été inclus dans le </w:t>
      </w:r>
      <w:r w:rsidR="003B48A4" w:rsidRPr="0071782F">
        <w:rPr>
          <w:lang w:val="fr-CH"/>
        </w:rPr>
        <w:t>nombre</w:t>
      </w:r>
      <w:r w:rsidRPr="0071782F">
        <w:rPr>
          <w:lang w:val="fr-CH"/>
        </w:rPr>
        <w:t xml:space="preserve"> </w:t>
      </w:r>
      <w:r w:rsidR="003F25A2">
        <w:rPr>
          <w:lang w:val="fr-CH"/>
        </w:rPr>
        <w:t>de logements</w:t>
      </w:r>
      <w:r w:rsidRPr="0071782F">
        <w:rPr>
          <w:lang w:val="fr-CH"/>
        </w:rPr>
        <w:t xml:space="preserve">. </w:t>
      </w:r>
    </w:p>
    <w:p w:rsidR="008A7415" w:rsidRPr="0071782F" w:rsidRDefault="008A7415" w:rsidP="00204410">
      <w:pPr>
        <w:pStyle w:val="H23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446FB9" w:rsidRPr="0071782F">
        <w:rPr>
          <w:lang w:val="fr-CH"/>
        </w:rPr>
        <w:t>de</w:t>
      </w:r>
      <w:r w:rsidRPr="0071782F">
        <w:rPr>
          <w:lang w:val="fr-CH"/>
        </w:rPr>
        <w:t xml:space="preserve"> couples </w:t>
      </w:r>
      <w:r w:rsidR="00446FB9" w:rsidRPr="0071782F">
        <w:rPr>
          <w:lang w:val="fr-CH"/>
        </w:rPr>
        <w:t>et montant de la dot ou de l’aide au mariage accordée</w:t>
      </w:r>
      <w:r w:rsidR="00D36718">
        <w:rPr>
          <w:lang w:val="fr-CH"/>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897"/>
        <w:gridCol w:w="898"/>
        <w:gridCol w:w="897"/>
        <w:gridCol w:w="898"/>
        <w:gridCol w:w="897"/>
        <w:gridCol w:w="898"/>
      </w:tblGrid>
      <w:tr w:rsidR="008A7415" w:rsidRPr="0071782F">
        <w:trPr>
          <w:tblHeader/>
        </w:trPr>
        <w:tc>
          <w:tcPr>
            <w:tcW w:w="1985" w:type="dxa"/>
            <w:tcBorders>
              <w:top w:val="single" w:sz="4" w:space="0" w:color="auto"/>
              <w:bottom w:val="single" w:sz="12" w:space="0" w:color="auto"/>
            </w:tcBorders>
            <w:shd w:val="clear" w:color="auto" w:fill="auto"/>
            <w:vAlign w:val="bottom"/>
          </w:tcPr>
          <w:p w:rsidR="008A7415" w:rsidRPr="0071782F" w:rsidRDefault="00446FB9" w:rsidP="00543C5A">
            <w:pPr>
              <w:suppressAutoHyphens w:val="0"/>
              <w:spacing w:before="80" w:after="80" w:line="200" w:lineRule="exact"/>
              <w:rPr>
                <w:i/>
                <w:sz w:val="16"/>
                <w:lang w:val="fr-CH"/>
              </w:rPr>
            </w:pPr>
            <w:r w:rsidRPr="0071782F">
              <w:rPr>
                <w:i/>
                <w:sz w:val="16"/>
                <w:lang w:val="fr-CH"/>
              </w:rPr>
              <w:t xml:space="preserve">Année </w:t>
            </w:r>
          </w:p>
        </w:tc>
        <w:tc>
          <w:tcPr>
            <w:tcW w:w="897" w:type="dxa"/>
            <w:tcBorders>
              <w:top w:val="single" w:sz="4" w:space="0" w:color="auto"/>
              <w:bottom w:val="single" w:sz="12" w:space="0" w:color="auto"/>
            </w:tcBorders>
            <w:shd w:val="clear" w:color="auto" w:fill="auto"/>
            <w:vAlign w:val="bottom"/>
          </w:tcPr>
          <w:p w:rsidR="008A7415" w:rsidRPr="0071782F" w:rsidRDefault="008A7415" w:rsidP="00543C5A">
            <w:pPr>
              <w:suppressAutoHyphens w:val="0"/>
              <w:spacing w:before="80" w:after="80" w:line="200" w:lineRule="exact"/>
              <w:jc w:val="right"/>
              <w:rPr>
                <w:i/>
                <w:sz w:val="16"/>
                <w:lang w:val="fr-CH"/>
              </w:rPr>
            </w:pPr>
            <w:r w:rsidRPr="0071782F">
              <w:rPr>
                <w:i/>
                <w:sz w:val="16"/>
                <w:lang w:val="fr-CH"/>
              </w:rPr>
              <w:t>1987</w:t>
            </w:r>
          </w:p>
        </w:tc>
        <w:tc>
          <w:tcPr>
            <w:tcW w:w="898" w:type="dxa"/>
            <w:tcBorders>
              <w:top w:val="single" w:sz="4" w:space="0" w:color="auto"/>
              <w:bottom w:val="single" w:sz="12" w:space="0" w:color="auto"/>
            </w:tcBorders>
            <w:shd w:val="clear" w:color="auto" w:fill="auto"/>
            <w:vAlign w:val="bottom"/>
          </w:tcPr>
          <w:p w:rsidR="008A7415" w:rsidRPr="0071782F" w:rsidRDefault="008A7415" w:rsidP="00543C5A">
            <w:pPr>
              <w:suppressAutoHyphens w:val="0"/>
              <w:spacing w:before="80" w:after="80" w:line="200" w:lineRule="exact"/>
              <w:jc w:val="right"/>
              <w:rPr>
                <w:i/>
                <w:sz w:val="16"/>
                <w:lang w:val="fr-CH"/>
              </w:rPr>
            </w:pPr>
            <w:r w:rsidRPr="0071782F">
              <w:rPr>
                <w:i/>
                <w:sz w:val="16"/>
                <w:lang w:val="fr-CH"/>
              </w:rPr>
              <w:t>1997</w:t>
            </w:r>
          </w:p>
        </w:tc>
        <w:tc>
          <w:tcPr>
            <w:tcW w:w="897" w:type="dxa"/>
            <w:tcBorders>
              <w:top w:val="single" w:sz="4" w:space="0" w:color="auto"/>
              <w:bottom w:val="single" w:sz="12" w:space="0" w:color="auto"/>
            </w:tcBorders>
            <w:shd w:val="clear" w:color="auto" w:fill="auto"/>
            <w:vAlign w:val="bottom"/>
          </w:tcPr>
          <w:p w:rsidR="008A7415" w:rsidRPr="0071782F" w:rsidRDefault="008A7415" w:rsidP="00543C5A">
            <w:pPr>
              <w:suppressAutoHyphens w:val="0"/>
              <w:spacing w:before="80" w:after="80" w:line="200" w:lineRule="exact"/>
              <w:jc w:val="right"/>
              <w:rPr>
                <w:i/>
                <w:sz w:val="16"/>
                <w:lang w:val="fr-CH"/>
              </w:rPr>
            </w:pPr>
            <w:r w:rsidRPr="0071782F">
              <w:rPr>
                <w:i/>
                <w:sz w:val="16"/>
                <w:lang w:val="fr-CH"/>
              </w:rPr>
              <w:t>2003</w:t>
            </w:r>
          </w:p>
        </w:tc>
        <w:tc>
          <w:tcPr>
            <w:tcW w:w="898" w:type="dxa"/>
            <w:tcBorders>
              <w:top w:val="single" w:sz="4" w:space="0" w:color="auto"/>
              <w:bottom w:val="single" w:sz="12" w:space="0" w:color="auto"/>
            </w:tcBorders>
            <w:shd w:val="clear" w:color="auto" w:fill="auto"/>
            <w:vAlign w:val="bottom"/>
          </w:tcPr>
          <w:p w:rsidR="008A7415" w:rsidRPr="0071782F" w:rsidRDefault="008A7415" w:rsidP="00543C5A">
            <w:pPr>
              <w:suppressAutoHyphens w:val="0"/>
              <w:spacing w:before="80" w:after="80" w:line="200" w:lineRule="exact"/>
              <w:jc w:val="right"/>
              <w:rPr>
                <w:i/>
                <w:sz w:val="16"/>
                <w:lang w:val="fr-CH"/>
              </w:rPr>
            </w:pPr>
            <w:r w:rsidRPr="0071782F">
              <w:rPr>
                <w:i/>
                <w:sz w:val="16"/>
                <w:lang w:val="fr-CH"/>
              </w:rPr>
              <w:t>2004</w:t>
            </w:r>
          </w:p>
        </w:tc>
        <w:tc>
          <w:tcPr>
            <w:tcW w:w="897" w:type="dxa"/>
            <w:tcBorders>
              <w:top w:val="single" w:sz="4" w:space="0" w:color="auto"/>
              <w:bottom w:val="single" w:sz="12" w:space="0" w:color="auto"/>
            </w:tcBorders>
            <w:shd w:val="clear" w:color="auto" w:fill="auto"/>
            <w:vAlign w:val="bottom"/>
          </w:tcPr>
          <w:p w:rsidR="008A7415" w:rsidRPr="0071782F" w:rsidRDefault="008A7415" w:rsidP="00543C5A">
            <w:pPr>
              <w:suppressAutoHyphens w:val="0"/>
              <w:spacing w:before="80" w:after="80" w:line="200" w:lineRule="exact"/>
              <w:jc w:val="right"/>
              <w:rPr>
                <w:i/>
                <w:sz w:val="16"/>
                <w:lang w:val="fr-CH"/>
              </w:rPr>
            </w:pPr>
            <w:r w:rsidRPr="0071782F">
              <w:rPr>
                <w:i/>
                <w:sz w:val="16"/>
                <w:lang w:val="fr-CH"/>
              </w:rPr>
              <w:t>2005</w:t>
            </w:r>
          </w:p>
        </w:tc>
        <w:tc>
          <w:tcPr>
            <w:tcW w:w="898" w:type="dxa"/>
            <w:tcBorders>
              <w:top w:val="single" w:sz="4" w:space="0" w:color="auto"/>
              <w:bottom w:val="single" w:sz="12" w:space="0" w:color="auto"/>
            </w:tcBorders>
            <w:shd w:val="clear" w:color="auto" w:fill="auto"/>
            <w:vAlign w:val="bottom"/>
          </w:tcPr>
          <w:p w:rsidR="008A7415" w:rsidRPr="0071782F" w:rsidRDefault="008A7415" w:rsidP="00543C5A">
            <w:pPr>
              <w:suppressAutoHyphens w:val="0"/>
              <w:spacing w:before="80" w:after="80" w:line="200" w:lineRule="exact"/>
              <w:jc w:val="right"/>
              <w:rPr>
                <w:i/>
                <w:sz w:val="16"/>
                <w:lang w:val="fr-CH"/>
              </w:rPr>
            </w:pPr>
            <w:r w:rsidRPr="0071782F">
              <w:rPr>
                <w:i/>
                <w:sz w:val="16"/>
                <w:lang w:val="fr-CH"/>
              </w:rPr>
              <w:t>2006</w:t>
            </w:r>
          </w:p>
        </w:tc>
      </w:tr>
      <w:tr w:rsidR="008A7415" w:rsidRPr="0071782F">
        <w:tc>
          <w:tcPr>
            <w:tcW w:w="1985" w:type="dxa"/>
            <w:tcBorders>
              <w:top w:val="single" w:sz="12" w:space="0" w:color="auto"/>
            </w:tcBorders>
            <w:shd w:val="clear" w:color="auto" w:fill="auto"/>
          </w:tcPr>
          <w:p w:rsidR="008A7415" w:rsidRPr="0071782F" w:rsidRDefault="003B48A4" w:rsidP="00543C5A">
            <w:pPr>
              <w:suppressAutoHyphens w:val="0"/>
              <w:spacing w:before="40" w:after="40" w:line="220" w:lineRule="exact"/>
              <w:rPr>
                <w:sz w:val="18"/>
                <w:lang w:val="fr-CH"/>
              </w:rPr>
            </w:pPr>
            <w:r w:rsidRPr="0071782F">
              <w:rPr>
                <w:sz w:val="18"/>
                <w:lang w:val="fr-CH"/>
              </w:rPr>
              <w:t>Nombre</w:t>
            </w:r>
            <w:r w:rsidR="008A7415" w:rsidRPr="0071782F">
              <w:rPr>
                <w:sz w:val="18"/>
                <w:lang w:val="fr-CH"/>
              </w:rPr>
              <w:t xml:space="preserve"> (</w:t>
            </w:r>
            <w:r w:rsidR="00D82C96" w:rsidRPr="0071782F">
              <w:rPr>
                <w:sz w:val="18"/>
                <w:lang w:val="fr-CH"/>
              </w:rPr>
              <w:t>de personnes</w:t>
            </w:r>
            <w:r w:rsidR="008A7415" w:rsidRPr="0071782F">
              <w:rPr>
                <w:sz w:val="18"/>
                <w:lang w:val="fr-CH"/>
              </w:rPr>
              <w:t>)</w:t>
            </w:r>
          </w:p>
        </w:tc>
        <w:tc>
          <w:tcPr>
            <w:tcW w:w="897" w:type="dxa"/>
            <w:tcBorders>
              <w:top w:val="single" w:sz="12" w:space="0" w:color="auto"/>
            </w:tcBorders>
            <w:shd w:val="clear" w:color="auto" w:fill="auto"/>
            <w:vAlign w:val="bottom"/>
          </w:tcPr>
          <w:p w:rsidR="008A7415" w:rsidRPr="0071782F" w:rsidRDefault="008A7415" w:rsidP="00543C5A">
            <w:pPr>
              <w:suppressAutoHyphens w:val="0"/>
              <w:spacing w:before="40" w:after="40" w:line="220" w:lineRule="exact"/>
              <w:jc w:val="right"/>
              <w:rPr>
                <w:sz w:val="18"/>
                <w:lang w:val="fr-CH"/>
              </w:rPr>
            </w:pPr>
            <w:r w:rsidRPr="0071782F">
              <w:rPr>
                <w:sz w:val="18"/>
                <w:lang w:val="fr-CH"/>
              </w:rPr>
              <w:t>470</w:t>
            </w:r>
          </w:p>
        </w:tc>
        <w:tc>
          <w:tcPr>
            <w:tcW w:w="898" w:type="dxa"/>
            <w:tcBorders>
              <w:top w:val="single" w:sz="12" w:space="0" w:color="auto"/>
            </w:tcBorders>
            <w:shd w:val="clear" w:color="auto" w:fill="auto"/>
            <w:vAlign w:val="bottom"/>
          </w:tcPr>
          <w:p w:rsidR="008A7415" w:rsidRPr="0071782F" w:rsidRDefault="008A7415" w:rsidP="00543C5A">
            <w:pPr>
              <w:suppressAutoHyphens w:val="0"/>
              <w:spacing w:before="40" w:after="40" w:line="220" w:lineRule="exact"/>
              <w:jc w:val="right"/>
              <w:rPr>
                <w:sz w:val="18"/>
                <w:lang w:val="fr-CH"/>
              </w:rPr>
            </w:pPr>
            <w:r w:rsidRPr="0071782F">
              <w:rPr>
                <w:sz w:val="18"/>
                <w:lang w:val="fr-CH"/>
              </w:rPr>
              <w:t>30 768</w:t>
            </w:r>
          </w:p>
        </w:tc>
        <w:tc>
          <w:tcPr>
            <w:tcW w:w="897" w:type="dxa"/>
            <w:tcBorders>
              <w:top w:val="single" w:sz="12" w:space="0" w:color="auto"/>
            </w:tcBorders>
            <w:shd w:val="clear" w:color="auto" w:fill="auto"/>
            <w:vAlign w:val="bottom"/>
          </w:tcPr>
          <w:p w:rsidR="008A7415" w:rsidRPr="0071782F" w:rsidRDefault="008A7415" w:rsidP="00543C5A">
            <w:pPr>
              <w:suppressAutoHyphens w:val="0"/>
              <w:spacing w:before="40" w:after="40" w:line="220" w:lineRule="exact"/>
              <w:jc w:val="right"/>
              <w:rPr>
                <w:sz w:val="18"/>
                <w:lang w:val="fr-CH"/>
              </w:rPr>
            </w:pPr>
            <w:r w:rsidRPr="0071782F">
              <w:rPr>
                <w:sz w:val="18"/>
                <w:lang w:val="fr-CH"/>
              </w:rPr>
              <w:t>68 851</w:t>
            </w:r>
          </w:p>
        </w:tc>
        <w:tc>
          <w:tcPr>
            <w:tcW w:w="898" w:type="dxa"/>
            <w:tcBorders>
              <w:top w:val="single" w:sz="12" w:space="0" w:color="auto"/>
            </w:tcBorders>
            <w:shd w:val="clear" w:color="auto" w:fill="auto"/>
            <w:vAlign w:val="bottom"/>
          </w:tcPr>
          <w:p w:rsidR="008A7415" w:rsidRPr="0071782F" w:rsidRDefault="008A7415" w:rsidP="00543C5A">
            <w:pPr>
              <w:suppressAutoHyphens w:val="0"/>
              <w:spacing w:before="40" w:after="40" w:line="220" w:lineRule="exact"/>
              <w:jc w:val="right"/>
              <w:rPr>
                <w:sz w:val="18"/>
                <w:lang w:val="fr-CH"/>
              </w:rPr>
            </w:pPr>
            <w:r w:rsidRPr="0071782F">
              <w:rPr>
                <w:sz w:val="18"/>
                <w:lang w:val="fr-CH"/>
              </w:rPr>
              <w:t>73 181</w:t>
            </w:r>
          </w:p>
        </w:tc>
        <w:tc>
          <w:tcPr>
            <w:tcW w:w="897" w:type="dxa"/>
            <w:tcBorders>
              <w:top w:val="single" w:sz="12" w:space="0" w:color="auto"/>
            </w:tcBorders>
            <w:shd w:val="clear" w:color="auto" w:fill="auto"/>
            <w:vAlign w:val="bottom"/>
          </w:tcPr>
          <w:p w:rsidR="008A7415" w:rsidRPr="0071782F" w:rsidRDefault="008A7415" w:rsidP="00543C5A">
            <w:pPr>
              <w:suppressAutoHyphens w:val="0"/>
              <w:spacing w:before="40" w:after="40" w:line="220" w:lineRule="exact"/>
              <w:jc w:val="right"/>
              <w:rPr>
                <w:sz w:val="18"/>
                <w:lang w:val="fr-CH"/>
              </w:rPr>
            </w:pPr>
            <w:r w:rsidRPr="0071782F">
              <w:rPr>
                <w:sz w:val="18"/>
                <w:lang w:val="fr-CH"/>
              </w:rPr>
              <w:t>83 146</w:t>
            </w:r>
          </w:p>
        </w:tc>
        <w:tc>
          <w:tcPr>
            <w:tcW w:w="898" w:type="dxa"/>
            <w:tcBorders>
              <w:top w:val="single" w:sz="12" w:space="0" w:color="auto"/>
            </w:tcBorders>
            <w:shd w:val="clear" w:color="auto" w:fill="auto"/>
            <w:vAlign w:val="bottom"/>
          </w:tcPr>
          <w:p w:rsidR="008A7415" w:rsidRPr="0071782F" w:rsidRDefault="008A7415" w:rsidP="00543C5A">
            <w:pPr>
              <w:suppressAutoHyphens w:val="0"/>
              <w:spacing w:before="40" w:after="40" w:line="220" w:lineRule="exact"/>
              <w:jc w:val="right"/>
              <w:rPr>
                <w:sz w:val="18"/>
                <w:lang w:val="fr-CH"/>
              </w:rPr>
            </w:pPr>
            <w:r w:rsidRPr="0071782F">
              <w:rPr>
                <w:sz w:val="18"/>
                <w:lang w:val="fr-CH"/>
              </w:rPr>
              <w:t>92 398</w:t>
            </w:r>
          </w:p>
        </w:tc>
      </w:tr>
      <w:tr w:rsidR="008A7415" w:rsidRPr="0071782F">
        <w:tc>
          <w:tcPr>
            <w:tcW w:w="1985" w:type="dxa"/>
            <w:shd w:val="clear" w:color="auto" w:fill="auto"/>
          </w:tcPr>
          <w:p w:rsidR="008A7415" w:rsidRPr="0071782F" w:rsidRDefault="00446FB9" w:rsidP="00543C5A">
            <w:pPr>
              <w:suppressAutoHyphens w:val="0"/>
              <w:spacing w:before="40" w:after="40" w:line="220" w:lineRule="exact"/>
              <w:rPr>
                <w:sz w:val="18"/>
                <w:lang w:val="fr-CH"/>
              </w:rPr>
            </w:pPr>
            <w:r w:rsidRPr="0071782F">
              <w:rPr>
                <w:sz w:val="18"/>
                <w:lang w:val="fr-CH"/>
              </w:rPr>
              <w:t xml:space="preserve">Montant </w:t>
            </w:r>
            <w:r w:rsidR="008A7415" w:rsidRPr="0071782F">
              <w:rPr>
                <w:sz w:val="18"/>
                <w:lang w:val="fr-CH"/>
              </w:rPr>
              <w:t>(</w:t>
            </w:r>
            <w:r w:rsidRPr="0071782F">
              <w:rPr>
                <w:sz w:val="18"/>
                <w:lang w:val="fr-CH"/>
              </w:rPr>
              <w:t>e</w:t>
            </w:r>
            <w:r w:rsidR="008A7415" w:rsidRPr="0071782F">
              <w:rPr>
                <w:sz w:val="18"/>
                <w:lang w:val="fr-CH"/>
              </w:rPr>
              <w:t>n</w:t>
            </w:r>
            <w:r w:rsidR="00860D09" w:rsidRPr="0071782F">
              <w:rPr>
                <w:sz w:val="18"/>
                <w:lang w:val="fr-CH"/>
              </w:rPr>
              <w:t> rials</w:t>
            </w:r>
            <w:r w:rsidR="008A7415" w:rsidRPr="0071782F">
              <w:rPr>
                <w:sz w:val="18"/>
                <w:lang w:val="fr-CH"/>
              </w:rPr>
              <w:t>)</w:t>
            </w:r>
          </w:p>
        </w:tc>
        <w:tc>
          <w:tcPr>
            <w:tcW w:w="897" w:type="dxa"/>
            <w:shd w:val="clear" w:color="auto" w:fill="auto"/>
            <w:vAlign w:val="bottom"/>
          </w:tcPr>
          <w:p w:rsidR="008A7415" w:rsidRPr="0071782F" w:rsidRDefault="008A7415" w:rsidP="00543C5A">
            <w:pPr>
              <w:suppressAutoHyphens w:val="0"/>
              <w:spacing w:before="40" w:after="40" w:line="220" w:lineRule="exact"/>
              <w:jc w:val="right"/>
              <w:rPr>
                <w:sz w:val="18"/>
                <w:lang w:val="fr-CH"/>
              </w:rPr>
            </w:pPr>
            <w:r w:rsidRPr="0071782F">
              <w:rPr>
                <w:sz w:val="18"/>
                <w:lang w:val="fr-CH"/>
              </w:rPr>
              <w:t>0/01</w:t>
            </w:r>
          </w:p>
        </w:tc>
        <w:tc>
          <w:tcPr>
            <w:tcW w:w="898" w:type="dxa"/>
            <w:shd w:val="clear" w:color="auto" w:fill="auto"/>
            <w:vAlign w:val="bottom"/>
          </w:tcPr>
          <w:p w:rsidR="008A7415" w:rsidRPr="0071782F" w:rsidRDefault="008A7415" w:rsidP="00543C5A">
            <w:pPr>
              <w:suppressAutoHyphens w:val="0"/>
              <w:spacing w:before="40" w:after="40" w:line="220" w:lineRule="exact"/>
              <w:jc w:val="right"/>
              <w:rPr>
                <w:sz w:val="18"/>
                <w:lang w:val="fr-CH"/>
              </w:rPr>
            </w:pPr>
            <w:r w:rsidRPr="0071782F">
              <w:rPr>
                <w:sz w:val="18"/>
                <w:lang w:val="fr-CH"/>
              </w:rPr>
              <w:t>37/8</w:t>
            </w:r>
          </w:p>
        </w:tc>
        <w:tc>
          <w:tcPr>
            <w:tcW w:w="897" w:type="dxa"/>
            <w:shd w:val="clear" w:color="auto" w:fill="auto"/>
            <w:vAlign w:val="bottom"/>
          </w:tcPr>
          <w:p w:rsidR="008A7415" w:rsidRPr="0071782F" w:rsidRDefault="008A7415" w:rsidP="00543C5A">
            <w:pPr>
              <w:suppressAutoHyphens w:val="0"/>
              <w:spacing w:before="40" w:after="40" w:line="220" w:lineRule="exact"/>
              <w:jc w:val="right"/>
              <w:rPr>
                <w:sz w:val="18"/>
                <w:lang w:val="fr-CH"/>
              </w:rPr>
            </w:pPr>
            <w:r w:rsidRPr="0071782F">
              <w:rPr>
                <w:sz w:val="18"/>
                <w:lang w:val="fr-CH"/>
              </w:rPr>
              <w:t>116/7</w:t>
            </w:r>
          </w:p>
        </w:tc>
        <w:tc>
          <w:tcPr>
            <w:tcW w:w="898" w:type="dxa"/>
            <w:shd w:val="clear" w:color="auto" w:fill="auto"/>
            <w:vAlign w:val="bottom"/>
          </w:tcPr>
          <w:p w:rsidR="008A7415" w:rsidRPr="0071782F" w:rsidRDefault="008A7415" w:rsidP="00543C5A">
            <w:pPr>
              <w:suppressAutoHyphens w:val="0"/>
              <w:spacing w:before="40" w:after="40" w:line="220" w:lineRule="exact"/>
              <w:jc w:val="right"/>
              <w:rPr>
                <w:sz w:val="18"/>
                <w:lang w:val="fr-CH"/>
              </w:rPr>
            </w:pPr>
            <w:r w:rsidRPr="0071782F">
              <w:rPr>
                <w:sz w:val="18"/>
                <w:lang w:val="fr-CH"/>
              </w:rPr>
              <w:t>136/7</w:t>
            </w:r>
          </w:p>
        </w:tc>
        <w:tc>
          <w:tcPr>
            <w:tcW w:w="897" w:type="dxa"/>
            <w:shd w:val="clear" w:color="auto" w:fill="auto"/>
            <w:vAlign w:val="bottom"/>
          </w:tcPr>
          <w:p w:rsidR="008A7415" w:rsidRPr="0071782F" w:rsidRDefault="008A7415" w:rsidP="00543C5A">
            <w:pPr>
              <w:suppressAutoHyphens w:val="0"/>
              <w:spacing w:before="40" w:after="40" w:line="220" w:lineRule="exact"/>
              <w:jc w:val="right"/>
              <w:rPr>
                <w:sz w:val="18"/>
                <w:lang w:val="fr-CH"/>
              </w:rPr>
            </w:pPr>
            <w:r w:rsidRPr="0071782F">
              <w:rPr>
                <w:sz w:val="18"/>
                <w:lang w:val="fr-CH"/>
              </w:rPr>
              <w:t>198/7</w:t>
            </w:r>
          </w:p>
        </w:tc>
        <w:tc>
          <w:tcPr>
            <w:tcW w:w="898" w:type="dxa"/>
            <w:shd w:val="clear" w:color="auto" w:fill="auto"/>
            <w:vAlign w:val="bottom"/>
          </w:tcPr>
          <w:p w:rsidR="008A7415" w:rsidRPr="0071782F" w:rsidRDefault="008A7415" w:rsidP="00543C5A">
            <w:pPr>
              <w:suppressAutoHyphens w:val="0"/>
              <w:spacing w:before="40" w:after="40" w:line="220" w:lineRule="exact"/>
              <w:jc w:val="right"/>
              <w:rPr>
                <w:sz w:val="18"/>
                <w:lang w:val="fr-CH"/>
              </w:rPr>
            </w:pPr>
            <w:r w:rsidRPr="0071782F">
              <w:rPr>
                <w:sz w:val="18"/>
                <w:lang w:val="fr-CH"/>
              </w:rPr>
              <w:t>328/7</w:t>
            </w:r>
          </w:p>
        </w:tc>
      </w:tr>
    </w:tbl>
    <w:p w:rsidR="008A7415" w:rsidRPr="0071782F" w:rsidRDefault="008A7415" w:rsidP="00204410">
      <w:pPr>
        <w:pStyle w:val="HChG"/>
        <w:rPr>
          <w:lang w:val="fr-CH"/>
        </w:rPr>
      </w:pPr>
      <w:r w:rsidRPr="0071782F">
        <w:rPr>
          <w:lang w:val="fr-CH"/>
        </w:rPr>
        <w:tab/>
      </w:r>
      <w:r w:rsidRPr="0071782F">
        <w:rPr>
          <w:lang w:val="fr-CH"/>
        </w:rPr>
        <w:tab/>
      </w:r>
      <w:r w:rsidR="00943A69" w:rsidRPr="0071782F">
        <w:rPr>
          <w:lang w:val="fr-CH"/>
        </w:rPr>
        <w:t>Article </w:t>
      </w:r>
      <w:r w:rsidRPr="0071782F">
        <w:rPr>
          <w:lang w:val="fr-CH"/>
        </w:rPr>
        <w:t>11</w:t>
      </w:r>
      <w:r w:rsidR="00120407">
        <w:rPr>
          <w:lang w:val="fr-CH"/>
        </w:rPr>
        <w:br/>
      </w:r>
      <w:r w:rsidR="00446FB9" w:rsidRPr="0071782F">
        <w:rPr>
          <w:lang w:val="fr-CH"/>
        </w:rPr>
        <w:t xml:space="preserve">Droit au logement et à l’alimentation </w:t>
      </w:r>
    </w:p>
    <w:p w:rsidR="008A7415" w:rsidRPr="0071782F" w:rsidRDefault="008A7415" w:rsidP="00204410">
      <w:pPr>
        <w:pStyle w:val="H1G"/>
        <w:rPr>
          <w:lang w:val="fr-CH"/>
        </w:rPr>
      </w:pPr>
      <w:r w:rsidRPr="0071782F">
        <w:rPr>
          <w:lang w:val="fr-CH"/>
        </w:rPr>
        <w:tab/>
      </w:r>
      <w:r w:rsidRPr="0071782F">
        <w:rPr>
          <w:lang w:val="fr-CH"/>
        </w:rPr>
        <w:tab/>
        <w:t xml:space="preserve">Introduction </w:t>
      </w:r>
    </w:p>
    <w:p w:rsidR="008A7415" w:rsidRPr="0071782F" w:rsidRDefault="008A7415" w:rsidP="00204410">
      <w:pPr>
        <w:pStyle w:val="SingleTxtG"/>
        <w:rPr>
          <w:lang w:val="fr-CH"/>
        </w:rPr>
      </w:pPr>
      <w:r w:rsidRPr="0071782F">
        <w:rPr>
          <w:lang w:val="fr-CH"/>
        </w:rPr>
        <w:t>194.</w:t>
      </w:r>
      <w:r w:rsidRPr="0071782F">
        <w:rPr>
          <w:lang w:val="fr-CH"/>
        </w:rPr>
        <w:tab/>
      </w:r>
      <w:r w:rsidR="00492B46" w:rsidRPr="0071782F">
        <w:rPr>
          <w:lang w:val="fr-CH"/>
        </w:rPr>
        <w:t xml:space="preserve">La présente </w:t>
      </w:r>
      <w:r w:rsidRPr="0071782F">
        <w:rPr>
          <w:lang w:val="fr-CH"/>
        </w:rPr>
        <w:t xml:space="preserve">section </w:t>
      </w:r>
      <w:r w:rsidR="00492B46" w:rsidRPr="0071782F">
        <w:rPr>
          <w:lang w:val="fr-CH"/>
        </w:rPr>
        <w:t>comprend deux parties</w:t>
      </w:r>
      <w:r w:rsidR="008F7D33" w:rsidRPr="0071782F">
        <w:rPr>
          <w:lang w:val="fr-CH"/>
        </w:rPr>
        <w:t>:</w:t>
      </w:r>
      <w:r w:rsidRPr="0071782F">
        <w:rPr>
          <w:lang w:val="fr-CH"/>
        </w:rPr>
        <w:t xml:space="preserve"> </w:t>
      </w:r>
      <w:r w:rsidR="00492B46" w:rsidRPr="0071782F">
        <w:rPr>
          <w:lang w:val="fr-CH"/>
        </w:rPr>
        <w:t>la première traite des mesures prises par le gouvernement pour réaliser les droits consacrés par le Pacte, notamment le droit à un logement suffisant, et la seconde porte sur les mesures adoptées par le gouvernement pour garantir la sécurité alimentaire.</w:t>
      </w:r>
      <w:r w:rsidRPr="0071782F">
        <w:rPr>
          <w:lang w:val="fr-CH"/>
        </w:rPr>
        <w:t xml:space="preserve"> </w:t>
      </w:r>
    </w:p>
    <w:p w:rsidR="008A7415" w:rsidRPr="0071782F" w:rsidRDefault="008A7415" w:rsidP="00204410">
      <w:pPr>
        <w:pStyle w:val="H1G"/>
        <w:rPr>
          <w:lang w:val="fr-CH"/>
        </w:rPr>
      </w:pPr>
      <w:r w:rsidRPr="0071782F">
        <w:rPr>
          <w:lang w:val="fr-CH"/>
        </w:rPr>
        <w:tab/>
      </w:r>
      <w:r w:rsidRPr="0071782F">
        <w:rPr>
          <w:lang w:val="fr-CH"/>
        </w:rPr>
        <w:tab/>
      </w:r>
      <w:r w:rsidR="00492B46" w:rsidRPr="0071782F">
        <w:rPr>
          <w:lang w:val="fr-CH"/>
        </w:rPr>
        <w:t xml:space="preserve">Le droit au logement </w:t>
      </w:r>
    </w:p>
    <w:p w:rsidR="008A7415" w:rsidRPr="0071782F" w:rsidRDefault="008A7415" w:rsidP="00204410">
      <w:pPr>
        <w:pStyle w:val="H23G"/>
        <w:rPr>
          <w:lang w:val="fr-CH"/>
        </w:rPr>
      </w:pPr>
      <w:r w:rsidRPr="0071782F">
        <w:rPr>
          <w:lang w:val="fr-CH"/>
        </w:rPr>
        <w:tab/>
      </w:r>
      <w:r w:rsidRPr="0071782F">
        <w:rPr>
          <w:lang w:val="fr-CH"/>
        </w:rPr>
        <w:tab/>
      </w:r>
      <w:r w:rsidR="00492B46" w:rsidRPr="0071782F">
        <w:rPr>
          <w:lang w:val="fr-CH"/>
        </w:rPr>
        <w:t xml:space="preserve">Les dispositions du </w:t>
      </w:r>
      <w:r w:rsidR="00A90208" w:rsidRPr="0071782F">
        <w:rPr>
          <w:lang w:val="fr-CH"/>
        </w:rPr>
        <w:t>quatrième</w:t>
      </w:r>
      <w:r w:rsidR="00492B46" w:rsidRPr="0071782F">
        <w:rPr>
          <w:lang w:val="fr-CH"/>
        </w:rPr>
        <w:t xml:space="preserve"> plan de développement concernant le secteur du logement </w:t>
      </w:r>
    </w:p>
    <w:p w:rsidR="008A7415" w:rsidRPr="00A5752C" w:rsidRDefault="008A7415" w:rsidP="00204410">
      <w:pPr>
        <w:pStyle w:val="SingleTxtG"/>
        <w:rPr>
          <w:spacing w:val="-2"/>
          <w:lang w:val="fr-CH"/>
        </w:rPr>
      </w:pPr>
      <w:r w:rsidRPr="00A5752C">
        <w:rPr>
          <w:spacing w:val="-2"/>
          <w:lang w:val="fr-CH"/>
        </w:rPr>
        <w:t>195.</w:t>
      </w:r>
      <w:r w:rsidRPr="00A5752C">
        <w:rPr>
          <w:spacing w:val="-2"/>
          <w:lang w:val="fr-CH"/>
        </w:rPr>
        <w:tab/>
      </w:r>
      <w:r w:rsidR="00DB434F" w:rsidRPr="00A5752C">
        <w:rPr>
          <w:spacing w:val="-2"/>
          <w:lang w:val="fr-CH"/>
        </w:rPr>
        <w:t>Ces dispositions sont les suivantes</w:t>
      </w:r>
      <w:r w:rsidR="008F7D33" w:rsidRPr="00A5752C">
        <w:rPr>
          <w:spacing w:val="-2"/>
          <w:lang w:val="fr-CH"/>
        </w:rPr>
        <w:t>:</w:t>
      </w:r>
      <w:r w:rsidR="00DB434F" w:rsidRPr="00A5752C">
        <w:rPr>
          <w:spacing w:val="-2"/>
          <w:lang w:val="fr-CH"/>
        </w:rPr>
        <w:t xml:space="preserve"> </w:t>
      </w:r>
      <w:r w:rsidR="005023C0" w:rsidRPr="00A5752C">
        <w:rPr>
          <w:spacing w:val="-2"/>
          <w:lang w:val="fr-CH"/>
        </w:rPr>
        <w:t xml:space="preserve">le </w:t>
      </w:r>
      <w:r w:rsidR="00723F2B" w:rsidRPr="00A5752C">
        <w:rPr>
          <w:spacing w:val="-2"/>
          <w:lang w:val="fr-CH"/>
        </w:rPr>
        <w:t>paragraphe </w:t>
      </w:r>
      <w:r w:rsidRPr="00A5752C">
        <w:rPr>
          <w:spacing w:val="-2"/>
          <w:lang w:val="fr-CH"/>
        </w:rPr>
        <w:t xml:space="preserve">C </w:t>
      </w:r>
      <w:r w:rsidR="00DB434F" w:rsidRPr="00A5752C">
        <w:rPr>
          <w:spacing w:val="-2"/>
          <w:lang w:val="fr-CH"/>
        </w:rPr>
        <w:t xml:space="preserve">de </w:t>
      </w:r>
      <w:r w:rsidR="00723F2B" w:rsidRPr="00A5752C">
        <w:rPr>
          <w:spacing w:val="-2"/>
          <w:lang w:val="fr-CH"/>
        </w:rPr>
        <w:t>l’</w:t>
      </w:r>
      <w:r w:rsidR="00943A69" w:rsidRPr="00A5752C">
        <w:rPr>
          <w:spacing w:val="-2"/>
          <w:lang w:val="fr-CH"/>
        </w:rPr>
        <w:t>article </w:t>
      </w:r>
      <w:r w:rsidRPr="00A5752C">
        <w:rPr>
          <w:spacing w:val="-2"/>
          <w:lang w:val="fr-CH"/>
        </w:rPr>
        <w:t>30</w:t>
      </w:r>
      <w:r w:rsidR="00DB434F" w:rsidRPr="00A5752C">
        <w:rPr>
          <w:spacing w:val="-2"/>
          <w:lang w:val="fr-CH"/>
        </w:rPr>
        <w:t>,</w:t>
      </w:r>
      <w:r w:rsidRPr="00A5752C">
        <w:rPr>
          <w:spacing w:val="-2"/>
          <w:lang w:val="fr-CH"/>
        </w:rPr>
        <w:t xml:space="preserve"> </w:t>
      </w:r>
      <w:r w:rsidR="00DB434F" w:rsidRPr="00A5752C">
        <w:rPr>
          <w:spacing w:val="-2"/>
          <w:lang w:val="fr-CH"/>
        </w:rPr>
        <w:t>sur l’élargissement du marché des capitaux pour le secteur du logement et l’</w:t>
      </w:r>
      <w:r w:rsidRPr="00A5752C">
        <w:rPr>
          <w:spacing w:val="-2"/>
          <w:lang w:val="fr-CH"/>
        </w:rPr>
        <w:t xml:space="preserve">adoption </w:t>
      </w:r>
      <w:r w:rsidR="00DB434F" w:rsidRPr="00A5752C">
        <w:rPr>
          <w:spacing w:val="-2"/>
          <w:lang w:val="fr-CH"/>
        </w:rPr>
        <w:t>des mesures nécessaires pour fournir des capitaux à ce secteur</w:t>
      </w:r>
      <w:r w:rsidRPr="00A5752C">
        <w:rPr>
          <w:spacing w:val="-2"/>
          <w:lang w:val="fr-CH"/>
        </w:rPr>
        <w:t xml:space="preserve">; </w:t>
      </w:r>
      <w:r w:rsidR="005023C0" w:rsidRPr="00A5752C">
        <w:rPr>
          <w:spacing w:val="-2"/>
          <w:lang w:val="fr-CH"/>
        </w:rPr>
        <w:t xml:space="preserve">le </w:t>
      </w:r>
      <w:r w:rsidR="00723F2B" w:rsidRPr="00A5752C">
        <w:rPr>
          <w:spacing w:val="-2"/>
          <w:lang w:val="fr-CH"/>
        </w:rPr>
        <w:t>paragraphe </w:t>
      </w:r>
      <w:r w:rsidRPr="00A5752C">
        <w:rPr>
          <w:spacing w:val="-2"/>
          <w:lang w:val="fr-CH"/>
        </w:rPr>
        <w:t xml:space="preserve">D </w:t>
      </w:r>
      <w:r w:rsidR="00DB434F" w:rsidRPr="00A5752C">
        <w:rPr>
          <w:spacing w:val="-2"/>
          <w:lang w:val="fr-CH"/>
        </w:rPr>
        <w:t xml:space="preserve">du même </w:t>
      </w:r>
      <w:r w:rsidRPr="00A5752C">
        <w:rPr>
          <w:spacing w:val="-2"/>
          <w:lang w:val="fr-CH"/>
        </w:rPr>
        <w:t>article</w:t>
      </w:r>
      <w:r w:rsidR="00DB434F" w:rsidRPr="00A5752C">
        <w:rPr>
          <w:spacing w:val="-2"/>
          <w:lang w:val="fr-CH"/>
        </w:rPr>
        <w:t xml:space="preserve">, sur la manière de faciliter l’application de </w:t>
      </w:r>
      <w:r w:rsidR="00723F2B" w:rsidRPr="00A5752C">
        <w:rPr>
          <w:spacing w:val="-2"/>
          <w:lang w:val="fr-CH"/>
        </w:rPr>
        <w:t>l’</w:t>
      </w:r>
      <w:r w:rsidR="00943A69" w:rsidRPr="00A5752C">
        <w:rPr>
          <w:spacing w:val="-2"/>
          <w:lang w:val="fr-CH"/>
        </w:rPr>
        <w:t>article </w:t>
      </w:r>
      <w:r w:rsidRPr="00A5752C">
        <w:rPr>
          <w:spacing w:val="-2"/>
          <w:lang w:val="fr-CH"/>
        </w:rPr>
        <w:t xml:space="preserve">31 </w:t>
      </w:r>
      <w:r w:rsidR="00DB434F" w:rsidRPr="00A5752C">
        <w:rPr>
          <w:spacing w:val="-2"/>
          <w:lang w:val="fr-CH"/>
        </w:rPr>
        <w:t>de la C</w:t>
      </w:r>
      <w:r w:rsidRPr="00A5752C">
        <w:rPr>
          <w:spacing w:val="-2"/>
          <w:lang w:val="fr-CH"/>
        </w:rPr>
        <w:t xml:space="preserve">onstitution </w:t>
      </w:r>
      <w:r w:rsidR="00DB434F" w:rsidRPr="00A5752C">
        <w:rPr>
          <w:spacing w:val="-2"/>
          <w:lang w:val="fr-CH"/>
        </w:rPr>
        <w:t>dans le secteur du logement</w:t>
      </w:r>
      <w:r w:rsidRPr="00A5752C">
        <w:rPr>
          <w:spacing w:val="-2"/>
          <w:lang w:val="fr-CH"/>
        </w:rPr>
        <w:t xml:space="preserve">; </w:t>
      </w:r>
      <w:r w:rsidR="006B786B" w:rsidRPr="00A5752C">
        <w:rPr>
          <w:spacing w:val="-2"/>
          <w:lang w:val="fr-CH"/>
        </w:rPr>
        <w:t>l’alinéa </w:t>
      </w:r>
      <w:r w:rsidRPr="00A5752C">
        <w:rPr>
          <w:spacing w:val="-2"/>
          <w:lang w:val="fr-CH"/>
        </w:rPr>
        <w:t xml:space="preserve">1 </w:t>
      </w:r>
      <w:r w:rsidR="00DB434F" w:rsidRPr="00A5752C">
        <w:rPr>
          <w:spacing w:val="-2"/>
          <w:lang w:val="fr-CH"/>
        </w:rPr>
        <w:t>du</w:t>
      </w:r>
      <w:r w:rsidRPr="00A5752C">
        <w:rPr>
          <w:spacing w:val="-2"/>
          <w:lang w:val="fr-CH"/>
        </w:rPr>
        <w:t xml:space="preserve"> </w:t>
      </w:r>
      <w:r w:rsidR="00723F2B" w:rsidRPr="00A5752C">
        <w:rPr>
          <w:spacing w:val="-2"/>
          <w:lang w:val="fr-CH"/>
        </w:rPr>
        <w:t>paragraphe </w:t>
      </w:r>
      <w:r w:rsidRPr="00A5752C">
        <w:rPr>
          <w:spacing w:val="-2"/>
          <w:lang w:val="fr-CH"/>
        </w:rPr>
        <w:t xml:space="preserve">D </w:t>
      </w:r>
      <w:r w:rsidR="00DB434F" w:rsidRPr="00A5752C">
        <w:rPr>
          <w:spacing w:val="-2"/>
          <w:lang w:val="fr-CH"/>
        </w:rPr>
        <w:t xml:space="preserve">du même article, sur la promotion et l’utilisation des </w:t>
      </w:r>
      <w:r w:rsidRPr="00A5752C">
        <w:rPr>
          <w:spacing w:val="-2"/>
          <w:lang w:val="fr-CH"/>
        </w:rPr>
        <w:t xml:space="preserve">services </w:t>
      </w:r>
      <w:r w:rsidR="00DB434F" w:rsidRPr="00A5752C">
        <w:rPr>
          <w:spacing w:val="-2"/>
          <w:lang w:val="fr-CH"/>
        </w:rPr>
        <w:t>fournis par les groupements caritatifs, les</w:t>
      </w:r>
      <w:r w:rsidRPr="00A5752C">
        <w:rPr>
          <w:spacing w:val="-2"/>
          <w:lang w:val="fr-CH"/>
        </w:rPr>
        <w:t xml:space="preserve"> associations </w:t>
      </w:r>
      <w:r w:rsidR="00DB434F" w:rsidRPr="00A5752C">
        <w:rPr>
          <w:spacing w:val="-2"/>
          <w:lang w:val="fr-CH"/>
        </w:rPr>
        <w:t xml:space="preserve">et les organisations participant à la </w:t>
      </w:r>
      <w:r w:rsidRPr="00A5752C">
        <w:rPr>
          <w:spacing w:val="-2"/>
          <w:lang w:val="fr-CH"/>
        </w:rPr>
        <w:t xml:space="preserve">construction </w:t>
      </w:r>
      <w:r w:rsidR="003F25A2" w:rsidRPr="00A5752C">
        <w:rPr>
          <w:spacing w:val="-2"/>
          <w:lang w:val="fr-CH"/>
        </w:rPr>
        <w:t>de logements</w:t>
      </w:r>
      <w:r w:rsidR="00DB434F" w:rsidRPr="00A5752C">
        <w:rPr>
          <w:spacing w:val="-2"/>
          <w:lang w:val="fr-CH"/>
        </w:rPr>
        <w:t xml:space="preserve"> pour les groupes défavorisés de la société</w:t>
      </w:r>
      <w:r w:rsidRPr="00A5752C">
        <w:rPr>
          <w:spacing w:val="-2"/>
          <w:lang w:val="fr-CH"/>
        </w:rPr>
        <w:t xml:space="preserve">; </w:t>
      </w:r>
      <w:r w:rsidR="006B786B" w:rsidRPr="00A5752C">
        <w:rPr>
          <w:spacing w:val="-2"/>
          <w:lang w:val="fr-CH"/>
        </w:rPr>
        <w:t>l’alinéa </w:t>
      </w:r>
      <w:r w:rsidRPr="00A5752C">
        <w:rPr>
          <w:spacing w:val="-2"/>
          <w:lang w:val="fr-CH"/>
        </w:rPr>
        <w:t xml:space="preserve">2 </w:t>
      </w:r>
      <w:r w:rsidR="00DB434F" w:rsidRPr="00A5752C">
        <w:rPr>
          <w:spacing w:val="-2"/>
          <w:lang w:val="fr-CH"/>
        </w:rPr>
        <w:t xml:space="preserve">du </w:t>
      </w:r>
      <w:r w:rsidR="005023C0" w:rsidRPr="00A5752C">
        <w:rPr>
          <w:spacing w:val="-2"/>
          <w:lang w:val="fr-CH"/>
        </w:rPr>
        <w:t xml:space="preserve">même </w:t>
      </w:r>
      <w:r w:rsidRPr="00A5752C">
        <w:rPr>
          <w:spacing w:val="-2"/>
          <w:lang w:val="fr-CH"/>
        </w:rPr>
        <w:t>paragraph</w:t>
      </w:r>
      <w:r w:rsidR="00DB434F" w:rsidRPr="00A5752C">
        <w:rPr>
          <w:spacing w:val="-2"/>
          <w:lang w:val="fr-CH"/>
        </w:rPr>
        <w:t xml:space="preserve">e, sur l’encouragement des investissements étrangers </w:t>
      </w:r>
      <w:r w:rsidR="00BF08CC" w:rsidRPr="00A5752C">
        <w:rPr>
          <w:spacing w:val="-2"/>
          <w:lang w:val="fr-CH"/>
        </w:rPr>
        <w:t>dans le secteur du logement</w:t>
      </w:r>
      <w:r w:rsidRPr="00A5752C">
        <w:rPr>
          <w:spacing w:val="-2"/>
          <w:lang w:val="fr-CH"/>
        </w:rPr>
        <w:t xml:space="preserve">; </w:t>
      </w:r>
      <w:r w:rsidR="006B786B" w:rsidRPr="00A5752C">
        <w:rPr>
          <w:spacing w:val="-2"/>
          <w:lang w:val="fr-CH"/>
        </w:rPr>
        <w:t>l’alinéa </w:t>
      </w:r>
      <w:r w:rsidRPr="00A5752C">
        <w:rPr>
          <w:spacing w:val="-2"/>
          <w:lang w:val="fr-CH"/>
        </w:rPr>
        <w:t xml:space="preserve">3 </w:t>
      </w:r>
      <w:r w:rsidR="00BF08CC" w:rsidRPr="00A5752C">
        <w:rPr>
          <w:spacing w:val="-2"/>
          <w:lang w:val="fr-CH"/>
        </w:rPr>
        <w:t>du</w:t>
      </w:r>
      <w:r w:rsidRPr="00A5752C">
        <w:rPr>
          <w:spacing w:val="-2"/>
          <w:lang w:val="fr-CH"/>
        </w:rPr>
        <w:t xml:space="preserve"> </w:t>
      </w:r>
      <w:r w:rsidR="005023C0" w:rsidRPr="00A5752C">
        <w:rPr>
          <w:spacing w:val="-2"/>
          <w:lang w:val="fr-CH"/>
        </w:rPr>
        <w:t xml:space="preserve">même </w:t>
      </w:r>
      <w:r w:rsidRPr="00A5752C">
        <w:rPr>
          <w:spacing w:val="-2"/>
          <w:lang w:val="fr-CH"/>
        </w:rPr>
        <w:t>paragraph</w:t>
      </w:r>
      <w:r w:rsidR="00BF08CC" w:rsidRPr="00A5752C">
        <w:rPr>
          <w:spacing w:val="-2"/>
          <w:lang w:val="fr-CH"/>
        </w:rPr>
        <w:t xml:space="preserve">e, sur le financement des commissions associées aux crédits bancaires octroyés aux constructeurs </w:t>
      </w:r>
      <w:r w:rsidR="003F25A2" w:rsidRPr="00A5752C">
        <w:rPr>
          <w:spacing w:val="-2"/>
          <w:lang w:val="fr-CH"/>
        </w:rPr>
        <w:t>de logements</w:t>
      </w:r>
      <w:r w:rsidR="00BF08CC" w:rsidRPr="00A5752C">
        <w:rPr>
          <w:spacing w:val="-2"/>
          <w:lang w:val="fr-CH"/>
        </w:rPr>
        <w:t xml:space="preserve"> bon marché et </w:t>
      </w:r>
      <w:r w:rsidR="003F25A2" w:rsidRPr="00A5752C">
        <w:rPr>
          <w:spacing w:val="-2"/>
          <w:lang w:val="fr-CH"/>
        </w:rPr>
        <w:t>de logements</w:t>
      </w:r>
      <w:r w:rsidR="00BF08CC" w:rsidRPr="00A5752C">
        <w:rPr>
          <w:spacing w:val="-2"/>
          <w:lang w:val="fr-CH"/>
        </w:rPr>
        <w:t xml:space="preserve"> à louer</w:t>
      </w:r>
      <w:r w:rsidRPr="00A5752C">
        <w:rPr>
          <w:spacing w:val="-2"/>
          <w:lang w:val="fr-CH"/>
        </w:rPr>
        <w:t xml:space="preserve">; </w:t>
      </w:r>
      <w:r w:rsidR="006B786B" w:rsidRPr="00A5752C">
        <w:rPr>
          <w:spacing w:val="-2"/>
          <w:lang w:val="fr-CH"/>
        </w:rPr>
        <w:t>l’alinéa </w:t>
      </w:r>
      <w:r w:rsidRPr="00A5752C">
        <w:rPr>
          <w:spacing w:val="-2"/>
          <w:lang w:val="fr-CH"/>
        </w:rPr>
        <w:t xml:space="preserve">4 </w:t>
      </w:r>
      <w:r w:rsidR="00BF08CC" w:rsidRPr="00A5752C">
        <w:rPr>
          <w:spacing w:val="-2"/>
          <w:lang w:val="fr-CH"/>
        </w:rPr>
        <w:t xml:space="preserve">du </w:t>
      </w:r>
      <w:r w:rsidR="005023C0" w:rsidRPr="00A5752C">
        <w:rPr>
          <w:spacing w:val="-2"/>
          <w:lang w:val="fr-CH"/>
        </w:rPr>
        <w:t xml:space="preserve">même </w:t>
      </w:r>
      <w:r w:rsidRPr="00A5752C">
        <w:rPr>
          <w:spacing w:val="-2"/>
          <w:lang w:val="fr-CH"/>
        </w:rPr>
        <w:t>paragraph</w:t>
      </w:r>
      <w:r w:rsidR="00BF08CC" w:rsidRPr="00A5752C">
        <w:rPr>
          <w:spacing w:val="-2"/>
          <w:lang w:val="fr-CH"/>
        </w:rPr>
        <w:t xml:space="preserve">e, sur le doublement de l’indice d’amélioration des structures </w:t>
      </w:r>
      <w:r w:rsidR="003F25A2" w:rsidRPr="00A5752C">
        <w:rPr>
          <w:spacing w:val="-2"/>
          <w:lang w:val="fr-CH"/>
        </w:rPr>
        <w:t>des logements</w:t>
      </w:r>
      <w:r w:rsidR="00BF08CC" w:rsidRPr="00A5752C">
        <w:rPr>
          <w:spacing w:val="-2"/>
          <w:lang w:val="fr-CH"/>
        </w:rPr>
        <w:t xml:space="preserve"> ruraux par rapport au niveau prévu par le </w:t>
      </w:r>
      <w:r w:rsidR="009E6189" w:rsidRPr="00A5752C">
        <w:rPr>
          <w:spacing w:val="-2"/>
          <w:lang w:val="fr-CH"/>
        </w:rPr>
        <w:t>troisième plan</w:t>
      </w:r>
      <w:r w:rsidR="00BF08CC" w:rsidRPr="00A5752C">
        <w:rPr>
          <w:spacing w:val="-2"/>
          <w:lang w:val="fr-CH"/>
        </w:rPr>
        <w:t xml:space="preserve"> de développement</w:t>
      </w:r>
      <w:r w:rsidRPr="00A5752C">
        <w:rPr>
          <w:spacing w:val="-2"/>
          <w:lang w:val="fr-CH"/>
        </w:rPr>
        <w:t xml:space="preserve">; </w:t>
      </w:r>
      <w:r w:rsidR="006B786B" w:rsidRPr="00A5752C">
        <w:rPr>
          <w:spacing w:val="-2"/>
          <w:lang w:val="fr-CH"/>
        </w:rPr>
        <w:t>l’alinéa </w:t>
      </w:r>
      <w:r w:rsidRPr="00A5752C">
        <w:rPr>
          <w:spacing w:val="-2"/>
          <w:lang w:val="fr-CH"/>
        </w:rPr>
        <w:t xml:space="preserve">5 </w:t>
      </w:r>
      <w:r w:rsidR="005023C0" w:rsidRPr="00A5752C">
        <w:rPr>
          <w:spacing w:val="-2"/>
          <w:lang w:val="fr-CH"/>
        </w:rPr>
        <w:t>du</w:t>
      </w:r>
      <w:r w:rsidRPr="00A5752C">
        <w:rPr>
          <w:spacing w:val="-2"/>
          <w:lang w:val="fr-CH"/>
        </w:rPr>
        <w:t xml:space="preserve"> </w:t>
      </w:r>
      <w:r w:rsidR="005023C0" w:rsidRPr="00A5752C">
        <w:rPr>
          <w:spacing w:val="-2"/>
          <w:lang w:val="fr-CH"/>
        </w:rPr>
        <w:t xml:space="preserve">même </w:t>
      </w:r>
      <w:r w:rsidRPr="00A5752C">
        <w:rPr>
          <w:spacing w:val="-2"/>
          <w:lang w:val="fr-CH"/>
        </w:rPr>
        <w:t>paragraph</w:t>
      </w:r>
      <w:r w:rsidR="005023C0" w:rsidRPr="00A5752C">
        <w:rPr>
          <w:spacing w:val="-2"/>
          <w:lang w:val="fr-CH"/>
        </w:rPr>
        <w:t>e, sur le remboursement différé des crédits bancaires</w:t>
      </w:r>
      <w:r w:rsidRPr="00A5752C">
        <w:rPr>
          <w:spacing w:val="-2"/>
          <w:lang w:val="fr-CH"/>
        </w:rPr>
        <w:t xml:space="preserve">; </w:t>
      </w:r>
      <w:r w:rsidR="006B786B" w:rsidRPr="00A5752C">
        <w:rPr>
          <w:spacing w:val="-2"/>
          <w:lang w:val="fr-CH"/>
        </w:rPr>
        <w:t>l’alinéa </w:t>
      </w:r>
      <w:r w:rsidRPr="00A5752C">
        <w:rPr>
          <w:spacing w:val="-2"/>
          <w:lang w:val="fr-CH"/>
        </w:rPr>
        <w:t xml:space="preserve">6 </w:t>
      </w:r>
      <w:r w:rsidR="005023C0" w:rsidRPr="00A5752C">
        <w:rPr>
          <w:spacing w:val="-2"/>
          <w:lang w:val="fr-CH"/>
        </w:rPr>
        <w:t xml:space="preserve">du même </w:t>
      </w:r>
      <w:r w:rsidRPr="00A5752C">
        <w:rPr>
          <w:spacing w:val="-2"/>
          <w:lang w:val="fr-CH"/>
        </w:rPr>
        <w:t>paragraph</w:t>
      </w:r>
      <w:r w:rsidR="005023C0" w:rsidRPr="00A5752C">
        <w:rPr>
          <w:spacing w:val="-2"/>
          <w:lang w:val="fr-CH"/>
        </w:rPr>
        <w:t xml:space="preserve">e, sur l’octroi de moyens financiers et techniques pour améliorer et rénover le parc </w:t>
      </w:r>
      <w:r w:rsidR="003F25A2" w:rsidRPr="00A5752C">
        <w:rPr>
          <w:spacing w:val="-2"/>
          <w:lang w:val="fr-CH"/>
        </w:rPr>
        <w:t>de logements</w:t>
      </w:r>
      <w:r w:rsidR="005023C0" w:rsidRPr="00A5752C">
        <w:rPr>
          <w:spacing w:val="-2"/>
          <w:lang w:val="fr-CH"/>
        </w:rPr>
        <w:t xml:space="preserve"> ruraux</w:t>
      </w:r>
      <w:r w:rsidRPr="00A5752C">
        <w:rPr>
          <w:spacing w:val="-2"/>
          <w:lang w:val="fr-CH"/>
        </w:rPr>
        <w:t xml:space="preserve">; </w:t>
      </w:r>
      <w:r w:rsidR="00CA5378" w:rsidRPr="00A5752C">
        <w:rPr>
          <w:spacing w:val="-2"/>
          <w:lang w:val="fr-CH"/>
        </w:rPr>
        <w:t xml:space="preserve">le </w:t>
      </w:r>
      <w:r w:rsidR="00723F2B" w:rsidRPr="00A5752C">
        <w:rPr>
          <w:spacing w:val="-2"/>
          <w:lang w:val="fr-CH"/>
        </w:rPr>
        <w:t>paragraphe </w:t>
      </w:r>
      <w:r w:rsidRPr="00A5752C">
        <w:rPr>
          <w:spacing w:val="-2"/>
          <w:lang w:val="fr-CH"/>
        </w:rPr>
        <w:t xml:space="preserve">E </w:t>
      </w:r>
      <w:r w:rsidR="00CA5378" w:rsidRPr="00A5752C">
        <w:rPr>
          <w:spacing w:val="-2"/>
          <w:lang w:val="fr-CH"/>
        </w:rPr>
        <w:t xml:space="preserve">de </w:t>
      </w:r>
      <w:r w:rsidR="00723F2B" w:rsidRPr="00A5752C">
        <w:rPr>
          <w:spacing w:val="-2"/>
          <w:lang w:val="fr-CH"/>
        </w:rPr>
        <w:t>l’</w:t>
      </w:r>
      <w:r w:rsidR="00943A69" w:rsidRPr="00A5752C">
        <w:rPr>
          <w:spacing w:val="-2"/>
          <w:lang w:val="fr-CH"/>
        </w:rPr>
        <w:t>article </w:t>
      </w:r>
      <w:r w:rsidRPr="00A5752C">
        <w:rPr>
          <w:spacing w:val="-2"/>
          <w:lang w:val="fr-CH"/>
        </w:rPr>
        <w:t>30</w:t>
      </w:r>
      <w:r w:rsidR="00CA5378" w:rsidRPr="00A5752C">
        <w:rPr>
          <w:spacing w:val="-2"/>
          <w:lang w:val="fr-CH"/>
        </w:rPr>
        <w:t>,</w:t>
      </w:r>
      <w:r w:rsidRPr="00A5752C">
        <w:rPr>
          <w:spacing w:val="-2"/>
          <w:lang w:val="fr-CH"/>
        </w:rPr>
        <w:t xml:space="preserve"> </w:t>
      </w:r>
      <w:r w:rsidR="00CA5378" w:rsidRPr="00A5752C">
        <w:rPr>
          <w:spacing w:val="-2"/>
          <w:lang w:val="fr-CH"/>
        </w:rPr>
        <w:t>sur l’achat des immeubles dans le parc ancien des villes nécessaires à l’exécution de la loi sur le logement locatif et d’autres projets de développement</w:t>
      </w:r>
      <w:r w:rsidRPr="00A5752C">
        <w:rPr>
          <w:spacing w:val="-2"/>
          <w:lang w:val="fr-CH"/>
        </w:rPr>
        <w:t xml:space="preserve">; </w:t>
      </w:r>
      <w:r w:rsidR="00CA5378" w:rsidRPr="00A5752C">
        <w:rPr>
          <w:spacing w:val="-2"/>
          <w:lang w:val="fr-CH"/>
        </w:rPr>
        <w:t xml:space="preserve">et </w:t>
      </w:r>
      <w:r w:rsidR="006B786B" w:rsidRPr="00A5752C">
        <w:rPr>
          <w:spacing w:val="-2"/>
          <w:lang w:val="fr-CH"/>
        </w:rPr>
        <w:t>l’alinéa </w:t>
      </w:r>
      <w:r w:rsidRPr="00A5752C">
        <w:rPr>
          <w:spacing w:val="-2"/>
          <w:lang w:val="fr-CH"/>
        </w:rPr>
        <w:t xml:space="preserve">F </w:t>
      </w:r>
      <w:r w:rsidR="00CA5378" w:rsidRPr="00A5752C">
        <w:rPr>
          <w:spacing w:val="-2"/>
          <w:lang w:val="fr-CH"/>
        </w:rPr>
        <w:t xml:space="preserve">du même article, sur </w:t>
      </w:r>
      <w:r w:rsidR="0065621B" w:rsidRPr="00A5752C">
        <w:rPr>
          <w:spacing w:val="-2"/>
          <w:lang w:val="fr-CH"/>
        </w:rPr>
        <w:t xml:space="preserve">la vente par appel d’offres de terrains urbains qui appartiennent au Ministère du logement et de l’aménagement urbain </w:t>
      </w:r>
      <w:r w:rsidR="00C405F3" w:rsidRPr="00A5752C">
        <w:rPr>
          <w:spacing w:val="-2"/>
          <w:lang w:val="fr-CH"/>
        </w:rPr>
        <w:t>pour financer en partie l’ex</w:t>
      </w:r>
      <w:r w:rsidR="004B6624" w:rsidRPr="00A5752C">
        <w:rPr>
          <w:spacing w:val="-2"/>
          <w:lang w:val="fr-CH"/>
        </w:rPr>
        <w:t>é</w:t>
      </w:r>
      <w:r w:rsidR="00C405F3" w:rsidRPr="00A5752C">
        <w:rPr>
          <w:spacing w:val="-2"/>
          <w:lang w:val="fr-CH"/>
        </w:rPr>
        <w:t xml:space="preserve">cution de la loi sur l’incitation à la </w:t>
      </w:r>
      <w:r w:rsidRPr="00A5752C">
        <w:rPr>
          <w:spacing w:val="-2"/>
          <w:lang w:val="fr-CH"/>
        </w:rPr>
        <w:t xml:space="preserve">construction </w:t>
      </w:r>
      <w:r w:rsidR="003F25A2" w:rsidRPr="00A5752C">
        <w:rPr>
          <w:spacing w:val="-2"/>
          <w:lang w:val="fr-CH"/>
        </w:rPr>
        <w:t>de logements</w:t>
      </w:r>
      <w:r w:rsidR="00C405F3" w:rsidRPr="00A5752C">
        <w:rPr>
          <w:spacing w:val="-2"/>
          <w:lang w:val="fr-CH"/>
        </w:rPr>
        <w:t xml:space="preserve"> locatifs</w:t>
      </w:r>
      <w:r w:rsidRPr="00A5752C">
        <w:rPr>
          <w:spacing w:val="-2"/>
          <w:lang w:val="fr-CH"/>
        </w:rPr>
        <w:t xml:space="preserve">. </w:t>
      </w:r>
    </w:p>
    <w:p w:rsidR="008A7415" w:rsidRPr="0071782F" w:rsidRDefault="008A7415" w:rsidP="00204410">
      <w:pPr>
        <w:pStyle w:val="H23G"/>
        <w:rPr>
          <w:lang w:val="fr-CH"/>
        </w:rPr>
      </w:pPr>
      <w:r w:rsidRPr="0071782F">
        <w:rPr>
          <w:lang w:val="fr-CH"/>
        </w:rPr>
        <w:tab/>
      </w:r>
      <w:r w:rsidRPr="0071782F">
        <w:rPr>
          <w:lang w:val="fr-CH"/>
        </w:rPr>
        <w:tab/>
      </w:r>
      <w:r w:rsidR="00A143BC" w:rsidRPr="0071782F">
        <w:rPr>
          <w:lang w:val="fr-CH"/>
        </w:rPr>
        <w:t xml:space="preserve">Mécanismes d’application prévus pour le secteur du logement dans le </w:t>
      </w:r>
      <w:r w:rsidR="00A90208" w:rsidRPr="0071782F">
        <w:rPr>
          <w:lang w:val="fr-CH"/>
        </w:rPr>
        <w:t>quatrième</w:t>
      </w:r>
      <w:r w:rsidR="00A143BC" w:rsidRPr="0071782F">
        <w:rPr>
          <w:lang w:val="fr-CH"/>
        </w:rPr>
        <w:t xml:space="preserve"> plan de développement</w:t>
      </w:r>
      <w:r w:rsidR="00D36718">
        <w:rPr>
          <w:lang w:val="fr-CH"/>
        </w:rPr>
        <w:t xml:space="preserve"> </w:t>
      </w:r>
    </w:p>
    <w:p w:rsidR="008A7415" w:rsidRPr="0071782F" w:rsidRDefault="008A7415" w:rsidP="00204410">
      <w:pPr>
        <w:pStyle w:val="SingleTxtG"/>
        <w:rPr>
          <w:lang w:val="fr-CH"/>
        </w:rPr>
      </w:pPr>
      <w:r w:rsidRPr="0071782F">
        <w:rPr>
          <w:lang w:val="fr-CH"/>
        </w:rPr>
        <w:t>196.</w:t>
      </w:r>
      <w:r w:rsidRPr="0071782F">
        <w:rPr>
          <w:lang w:val="fr-CH"/>
        </w:rPr>
        <w:tab/>
      </w:r>
      <w:r w:rsidR="000269B6" w:rsidRPr="0071782F">
        <w:rPr>
          <w:lang w:val="fr-CH"/>
        </w:rPr>
        <w:t xml:space="preserve">Élaboration d’un plan global stratégique et exécutif de logement visant à recenser et traiter les principaux problèmes du secteur du logement par le biais de solutions cohérentes et intégrées et conformément aux dispositions de </w:t>
      </w:r>
      <w:r w:rsidR="00723F2B" w:rsidRPr="0071782F">
        <w:rPr>
          <w:lang w:val="fr-CH"/>
        </w:rPr>
        <w:t>l’</w:t>
      </w:r>
      <w:r w:rsidR="00943A69" w:rsidRPr="0071782F">
        <w:rPr>
          <w:lang w:val="fr-CH"/>
        </w:rPr>
        <w:t>article </w:t>
      </w:r>
      <w:r w:rsidRPr="0071782F">
        <w:rPr>
          <w:lang w:val="fr-CH"/>
        </w:rPr>
        <w:t xml:space="preserve">30 </w:t>
      </w:r>
      <w:r w:rsidR="000269B6" w:rsidRPr="0071782F">
        <w:rPr>
          <w:lang w:val="fr-CH"/>
        </w:rPr>
        <w:t xml:space="preserve">du </w:t>
      </w:r>
      <w:r w:rsidR="00A90208" w:rsidRPr="0071782F">
        <w:rPr>
          <w:lang w:val="fr-CH"/>
        </w:rPr>
        <w:t>quatrième</w:t>
      </w:r>
      <w:r w:rsidR="000269B6" w:rsidRPr="0071782F">
        <w:rPr>
          <w:lang w:val="fr-CH"/>
        </w:rPr>
        <w:t xml:space="preserve"> plan de développement. Cette initiative a débouché sur la rédaction d’un document stratégique basé sur neuf axes d’intervention et </w:t>
      </w:r>
      <w:r w:rsidRPr="0071782F">
        <w:rPr>
          <w:lang w:val="fr-CH"/>
        </w:rPr>
        <w:t>55 program</w:t>
      </w:r>
      <w:r w:rsidR="000269B6" w:rsidRPr="0071782F">
        <w:rPr>
          <w:lang w:val="fr-CH"/>
        </w:rPr>
        <w:t>me</w:t>
      </w:r>
      <w:r w:rsidRPr="0071782F">
        <w:rPr>
          <w:lang w:val="fr-CH"/>
        </w:rPr>
        <w:t xml:space="preserve">s </w:t>
      </w:r>
      <w:r w:rsidR="000269B6" w:rsidRPr="0071782F">
        <w:rPr>
          <w:lang w:val="fr-CH"/>
        </w:rPr>
        <w:t xml:space="preserve">présenté au Conseil des </w:t>
      </w:r>
      <w:r w:rsidR="00E83264" w:rsidRPr="0071782F">
        <w:rPr>
          <w:lang w:val="fr-CH"/>
        </w:rPr>
        <w:t>ministres au second semestre de </w:t>
      </w:r>
      <w:r w:rsidRPr="0071782F">
        <w:rPr>
          <w:lang w:val="fr-CH"/>
        </w:rPr>
        <w:t xml:space="preserve">2006. </w:t>
      </w:r>
    </w:p>
    <w:p w:rsidR="008A7415" w:rsidRPr="0071782F" w:rsidRDefault="008A7415" w:rsidP="00204410">
      <w:pPr>
        <w:pStyle w:val="SingleTxtG"/>
        <w:ind w:left="1701"/>
        <w:rPr>
          <w:lang w:val="fr-CH"/>
        </w:rPr>
      </w:pPr>
      <w:r w:rsidRPr="0071782F">
        <w:rPr>
          <w:lang w:val="fr-CH"/>
        </w:rPr>
        <w:t>196.1.</w:t>
      </w:r>
      <w:r w:rsidRPr="0071782F">
        <w:rPr>
          <w:lang w:val="fr-CH"/>
        </w:rPr>
        <w:tab/>
      </w:r>
      <w:r w:rsidR="00574061" w:rsidRPr="0071782F">
        <w:rPr>
          <w:lang w:val="fr-CH"/>
        </w:rPr>
        <w:t xml:space="preserve">Conception par des spécialistes d’un système régional de planification du logement visant à recenser et traiter les problèmes de logement au niveau régional en mettant en </w:t>
      </w:r>
      <w:r w:rsidR="00D5366B" w:rsidRPr="0071782F">
        <w:rPr>
          <w:lang w:val="fr-CH"/>
        </w:rPr>
        <w:t>œuvre</w:t>
      </w:r>
      <w:r w:rsidR="00574061" w:rsidRPr="0071782F">
        <w:rPr>
          <w:lang w:val="fr-CH"/>
        </w:rPr>
        <w:t xml:space="preserve"> des solutions adaptées aux conditions climatiques de chaque province</w:t>
      </w:r>
      <w:r w:rsidR="00C175FF" w:rsidRPr="0071782F">
        <w:rPr>
          <w:lang w:val="fr-CH"/>
        </w:rPr>
        <w:t>.</w:t>
      </w:r>
      <w:r w:rsidRPr="0071782F">
        <w:rPr>
          <w:lang w:val="fr-CH"/>
        </w:rPr>
        <w:t xml:space="preserve"> </w:t>
      </w:r>
    </w:p>
    <w:p w:rsidR="008A7415" w:rsidRPr="0071782F" w:rsidRDefault="008A7415" w:rsidP="00204410">
      <w:pPr>
        <w:pStyle w:val="SingleTxtG"/>
        <w:ind w:left="1701"/>
        <w:rPr>
          <w:lang w:val="fr-CH"/>
        </w:rPr>
      </w:pPr>
      <w:r w:rsidRPr="0071782F">
        <w:rPr>
          <w:lang w:val="fr-CH"/>
        </w:rPr>
        <w:t>196.2.</w:t>
      </w:r>
      <w:r w:rsidRPr="0071782F">
        <w:rPr>
          <w:lang w:val="fr-CH"/>
        </w:rPr>
        <w:tab/>
      </w:r>
      <w:r w:rsidR="00574061" w:rsidRPr="0071782F">
        <w:rPr>
          <w:lang w:val="fr-CH"/>
        </w:rPr>
        <w:t xml:space="preserve">Élaboration de la </w:t>
      </w:r>
      <w:r w:rsidRPr="0071782F">
        <w:rPr>
          <w:lang w:val="fr-CH"/>
        </w:rPr>
        <w:t xml:space="preserve">directive </w:t>
      </w:r>
      <w:r w:rsidR="00574061" w:rsidRPr="0071782F">
        <w:rPr>
          <w:lang w:val="fr-CH"/>
        </w:rPr>
        <w:t xml:space="preserve">relative au </w:t>
      </w:r>
      <w:r w:rsidR="00723F2B" w:rsidRPr="0071782F">
        <w:rPr>
          <w:lang w:val="fr-CH"/>
        </w:rPr>
        <w:t>paragraphe </w:t>
      </w:r>
      <w:r w:rsidRPr="0071782F">
        <w:rPr>
          <w:lang w:val="fr-CH"/>
        </w:rPr>
        <w:t xml:space="preserve">D </w:t>
      </w:r>
      <w:r w:rsidR="00574061" w:rsidRPr="0071782F">
        <w:rPr>
          <w:lang w:val="fr-CH"/>
        </w:rPr>
        <w:t xml:space="preserve">de la </w:t>
      </w:r>
      <w:r w:rsidR="00B71907" w:rsidRPr="0071782F">
        <w:rPr>
          <w:lang w:val="fr-CH"/>
        </w:rPr>
        <w:t>note </w:t>
      </w:r>
      <w:r w:rsidRPr="0071782F">
        <w:rPr>
          <w:lang w:val="fr-CH"/>
        </w:rPr>
        <w:t xml:space="preserve">6 </w:t>
      </w:r>
      <w:r w:rsidR="00574061" w:rsidRPr="0071782F">
        <w:rPr>
          <w:lang w:val="fr-CH"/>
        </w:rPr>
        <w:t xml:space="preserve">de la loi de finances de </w:t>
      </w:r>
      <w:r w:rsidRPr="0071782F">
        <w:rPr>
          <w:lang w:val="fr-CH"/>
        </w:rPr>
        <w:t xml:space="preserve">2007 </w:t>
      </w:r>
      <w:r w:rsidR="00574061" w:rsidRPr="0071782F">
        <w:rPr>
          <w:lang w:val="fr-CH"/>
        </w:rPr>
        <w:t xml:space="preserve">ayant pour objet de faciliter l’accès des groupes de la société à faible revenu au crédit logement et d’augmenter le nombre et d’améliorer la qualité </w:t>
      </w:r>
      <w:r w:rsidR="003F25A2">
        <w:rPr>
          <w:lang w:val="fr-CH"/>
        </w:rPr>
        <w:t>des logements</w:t>
      </w:r>
      <w:r w:rsidR="00574061" w:rsidRPr="0071782F">
        <w:rPr>
          <w:lang w:val="fr-CH"/>
        </w:rPr>
        <w:t xml:space="preserve"> construits pour la première fois conformément aux dispositions du plan global de logement du Ministère du logement et de l’aménagement urbain adopté par l’Assemblée c</w:t>
      </w:r>
      <w:r w:rsidRPr="0071782F">
        <w:rPr>
          <w:lang w:val="fr-CH"/>
        </w:rPr>
        <w:t xml:space="preserve">onsultative </w:t>
      </w:r>
      <w:r w:rsidR="00574061" w:rsidRPr="0071782F">
        <w:rPr>
          <w:lang w:val="fr-CH"/>
        </w:rPr>
        <w:t xml:space="preserve">islamique en </w:t>
      </w:r>
      <w:r w:rsidRPr="0071782F">
        <w:rPr>
          <w:lang w:val="fr-CH"/>
        </w:rPr>
        <w:t xml:space="preserve">2008. </w:t>
      </w:r>
    </w:p>
    <w:p w:rsidR="008A7415" w:rsidRPr="0071782F" w:rsidRDefault="008A7415" w:rsidP="000838E6">
      <w:pPr>
        <w:pStyle w:val="H1G"/>
        <w:rPr>
          <w:lang w:val="fr-CH"/>
        </w:rPr>
      </w:pPr>
      <w:r w:rsidRPr="0071782F">
        <w:rPr>
          <w:lang w:val="fr-CH"/>
        </w:rPr>
        <w:tab/>
      </w:r>
      <w:r w:rsidRPr="0071782F">
        <w:rPr>
          <w:lang w:val="fr-CH"/>
        </w:rPr>
        <w:tab/>
      </w:r>
      <w:r w:rsidR="00574061" w:rsidRPr="0071782F">
        <w:rPr>
          <w:lang w:val="fr-CH"/>
        </w:rPr>
        <w:t xml:space="preserve">Ce </w:t>
      </w:r>
      <w:r w:rsidRPr="0071782F">
        <w:rPr>
          <w:lang w:val="fr-CH"/>
        </w:rPr>
        <w:t xml:space="preserve">plan </w:t>
      </w:r>
      <w:r w:rsidR="00574061" w:rsidRPr="0071782F">
        <w:rPr>
          <w:lang w:val="fr-CH"/>
        </w:rPr>
        <w:t xml:space="preserve">vise à fournir </w:t>
      </w:r>
      <w:r w:rsidR="003F25A2">
        <w:rPr>
          <w:lang w:val="fr-CH"/>
        </w:rPr>
        <w:t>des logements</w:t>
      </w:r>
      <w:r w:rsidR="00574061" w:rsidRPr="0071782F">
        <w:rPr>
          <w:lang w:val="fr-CH"/>
        </w:rPr>
        <w:t xml:space="preserve"> en priorité aux groupes à faible revenu par le biais de</w:t>
      </w:r>
      <w:r w:rsidR="00CB7BCB" w:rsidRPr="0071782F">
        <w:rPr>
          <w:lang w:val="fr-CH"/>
        </w:rPr>
        <w:t xml:space="preserve"> l’exécution de</w:t>
      </w:r>
      <w:r w:rsidR="00574061" w:rsidRPr="0071782F">
        <w:rPr>
          <w:lang w:val="fr-CH"/>
        </w:rPr>
        <w:t xml:space="preserve">s programmes ci-après </w:t>
      </w:r>
    </w:p>
    <w:p w:rsidR="008A7415" w:rsidRPr="0071782F" w:rsidRDefault="008A7415" w:rsidP="00204410">
      <w:pPr>
        <w:pStyle w:val="SingleTxtG"/>
        <w:rPr>
          <w:lang w:val="fr-CH"/>
        </w:rPr>
      </w:pPr>
      <w:r w:rsidRPr="0071782F">
        <w:rPr>
          <w:lang w:val="fr-CH"/>
        </w:rPr>
        <w:t>197.</w:t>
      </w:r>
      <w:r w:rsidRPr="0071782F">
        <w:rPr>
          <w:lang w:val="fr-CH"/>
        </w:rPr>
        <w:tab/>
      </w:r>
      <w:r w:rsidR="00574061" w:rsidRPr="0071782F">
        <w:rPr>
          <w:lang w:val="fr-CH"/>
        </w:rPr>
        <w:t xml:space="preserve">Ces programmes sont </w:t>
      </w:r>
      <w:r w:rsidR="00CB7BCB" w:rsidRPr="0071782F">
        <w:rPr>
          <w:lang w:val="fr-CH"/>
        </w:rPr>
        <w:t xml:space="preserve">notamment </w:t>
      </w:r>
      <w:r w:rsidR="00574061" w:rsidRPr="0071782F">
        <w:rPr>
          <w:lang w:val="fr-CH"/>
        </w:rPr>
        <w:t>les suivants</w:t>
      </w:r>
      <w:r w:rsidR="008F7D33" w:rsidRPr="0071782F">
        <w:rPr>
          <w:lang w:val="fr-CH"/>
        </w:rPr>
        <w:t>:</w:t>
      </w:r>
    </w:p>
    <w:p w:rsidR="008A7415" w:rsidRPr="0071782F" w:rsidRDefault="008A7415" w:rsidP="00204410">
      <w:pPr>
        <w:pStyle w:val="SingleTxtG"/>
        <w:tabs>
          <w:tab w:val="left" w:pos="2410"/>
        </w:tabs>
        <w:ind w:left="1701"/>
        <w:rPr>
          <w:lang w:val="fr-CH"/>
        </w:rPr>
      </w:pPr>
      <w:r w:rsidRPr="0071782F">
        <w:rPr>
          <w:lang w:val="fr-CH"/>
        </w:rPr>
        <w:t>197.1.</w:t>
      </w:r>
      <w:r w:rsidRPr="0071782F">
        <w:rPr>
          <w:lang w:val="fr-CH"/>
        </w:rPr>
        <w:tab/>
      </w:r>
      <w:r w:rsidR="00EE6742" w:rsidRPr="0071782F">
        <w:rPr>
          <w:lang w:val="fr-CH"/>
        </w:rPr>
        <w:t>Accorder le droit d’</w:t>
      </w:r>
      <w:r w:rsidRPr="0071782F">
        <w:rPr>
          <w:lang w:val="fr-CH"/>
        </w:rPr>
        <w:t xml:space="preserve">exploitation </w:t>
      </w:r>
      <w:r w:rsidR="00EE6742" w:rsidRPr="0071782F">
        <w:rPr>
          <w:lang w:val="fr-CH"/>
        </w:rPr>
        <w:t xml:space="preserve">du terrain afin de réduire ou d’éliminer le coût de ce dernier dans le coût final du logement afin d’adapter ce coût aux moyens financiers </w:t>
      </w:r>
      <w:r w:rsidR="004E45FB" w:rsidRPr="0071782F">
        <w:rPr>
          <w:lang w:val="fr-CH"/>
        </w:rPr>
        <w:t>des familles</w:t>
      </w:r>
      <w:r w:rsidR="00EE6742" w:rsidRPr="0071782F">
        <w:rPr>
          <w:lang w:val="fr-CH"/>
        </w:rPr>
        <w:t xml:space="preserve"> à revenu faible ou moyen</w:t>
      </w:r>
      <w:r w:rsidR="0081596C" w:rsidRPr="0071782F">
        <w:rPr>
          <w:lang w:val="fr-CH"/>
        </w:rPr>
        <w:t>.</w:t>
      </w:r>
      <w:r w:rsidRPr="0071782F">
        <w:rPr>
          <w:lang w:val="fr-CH"/>
        </w:rPr>
        <w:t xml:space="preserve"> </w:t>
      </w:r>
    </w:p>
    <w:p w:rsidR="008A7415" w:rsidRPr="0071782F" w:rsidRDefault="008A7415" w:rsidP="00204410">
      <w:pPr>
        <w:pStyle w:val="SingleTxtG"/>
        <w:tabs>
          <w:tab w:val="left" w:pos="2410"/>
        </w:tabs>
        <w:ind w:left="1701"/>
        <w:rPr>
          <w:lang w:val="fr-CH"/>
        </w:rPr>
      </w:pPr>
      <w:r w:rsidRPr="0071782F">
        <w:rPr>
          <w:lang w:val="fr-CH"/>
        </w:rPr>
        <w:t>197.2.</w:t>
      </w:r>
      <w:r w:rsidRPr="0071782F">
        <w:rPr>
          <w:lang w:val="fr-CH"/>
        </w:rPr>
        <w:tab/>
        <w:t>Constru</w:t>
      </w:r>
      <w:r w:rsidR="00EE6742" w:rsidRPr="0071782F">
        <w:rPr>
          <w:lang w:val="fr-CH"/>
        </w:rPr>
        <w:t xml:space="preserve">ire et fournir </w:t>
      </w:r>
      <w:r w:rsidR="003F25A2">
        <w:rPr>
          <w:lang w:val="fr-CH"/>
        </w:rPr>
        <w:t>des logements</w:t>
      </w:r>
      <w:r w:rsidR="00EE6742" w:rsidRPr="0071782F">
        <w:rPr>
          <w:lang w:val="fr-CH"/>
        </w:rPr>
        <w:t xml:space="preserve"> locatifs afin d’accroître l’offre de petits</w:t>
      </w:r>
      <w:r w:rsidR="00120407">
        <w:rPr>
          <w:lang w:val="fr-CH"/>
        </w:rPr>
        <w:t xml:space="preserve"> </w:t>
      </w:r>
      <w:r w:rsidR="003F25A2">
        <w:rPr>
          <w:lang w:val="fr-CH"/>
        </w:rPr>
        <w:t>logements</w:t>
      </w:r>
      <w:r w:rsidR="00EE6742" w:rsidRPr="0071782F">
        <w:rPr>
          <w:lang w:val="fr-CH"/>
        </w:rPr>
        <w:t xml:space="preserve"> à louer et d’améliorer l’accès </w:t>
      </w:r>
      <w:r w:rsidR="004E45FB" w:rsidRPr="0071782F">
        <w:rPr>
          <w:lang w:val="fr-CH"/>
        </w:rPr>
        <w:t>des familles</w:t>
      </w:r>
      <w:r w:rsidR="00EE6742" w:rsidRPr="0071782F">
        <w:rPr>
          <w:lang w:val="fr-CH"/>
        </w:rPr>
        <w:t xml:space="preserve"> à revenu faible ou moyen à ces</w:t>
      </w:r>
      <w:r w:rsidR="00120407">
        <w:rPr>
          <w:lang w:val="fr-CH"/>
        </w:rPr>
        <w:t xml:space="preserve"> </w:t>
      </w:r>
      <w:r w:rsidR="003F25A2">
        <w:rPr>
          <w:lang w:val="fr-CH"/>
        </w:rPr>
        <w:t>logements</w:t>
      </w:r>
      <w:r w:rsidR="0081596C" w:rsidRPr="0071782F">
        <w:rPr>
          <w:lang w:val="fr-CH"/>
        </w:rPr>
        <w:t>.</w:t>
      </w:r>
      <w:r w:rsidRPr="0071782F">
        <w:rPr>
          <w:lang w:val="fr-CH"/>
        </w:rPr>
        <w:t xml:space="preserve"> </w:t>
      </w:r>
    </w:p>
    <w:p w:rsidR="008A7415" w:rsidRPr="0071782F" w:rsidRDefault="008A7415" w:rsidP="00204410">
      <w:pPr>
        <w:pStyle w:val="SingleTxtG"/>
        <w:tabs>
          <w:tab w:val="left" w:pos="2410"/>
        </w:tabs>
        <w:ind w:left="1701"/>
        <w:rPr>
          <w:lang w:val="fr-CH"/>
        </w:rPr>
      </w:pPr>
      <w:r w:rsidRPr="0071782F">
        <w:rPr>
          <w:lang w:val="fr-CH"/>
        </w:rPr>
        <w:t>197.3.</w:t>
      </w:r>
      <w:r w:rsidRPr="0071782F">
        <w:rPr>
          <w:lang w:val="fr-CH"/>
        </w:rPr>
        <w:tab/>
      </w:r>
      <w:r w:rsidR="000B432D" w:rsidRPr="0071782F">
        <w:rPr>
          <w:lang w:val="fr-CH"/>
        </w:rPr>
        <w:t xml:space="preserve">Accorder des prêts aux locataires à faible revenu au titre du versement du dépôt de garantie pour un logement locatif en vue d’aider </w:t>
      </w:r>
      <w:r w:rsidR="00DA097D" w:rsidRPr="0071782F">
        <w:rPr>
          <w:lang w:val="fr-CH"/>
        </w:rPr>
        <w:t>les familles</w:t>
      </w:r>
      <w:r w:rsidR="000B432D" w:rsidRPr="0071782F">
        <w:rPr>
          <w:lang w:val="fr-CH"/>
        </w:rPr>
        <w:t xml:space="preserve"> à faible revenu à prendre un logement en location</w:t>
      </w:r>
      <w:r w:rsidR="0081596C" w:rsidRPr="0071782F">
        <w:rPr>
          <w:lang w:val="fr-CH"/>
        </w:rPr>
        <w:t>.</w:t>
      </w:r>
      <w:r w:rsidRPr="0071782F">
        <w:rPr>
          <w:lang w:val="fr-CH"/>
        </w:rPr>
        <w:t xml:space="preserve"> </w:t>
      </w:r>
    </w:p>
    <w:p w:rsidR="008A7415" w:rsidRPr="0071782F" w:rsidRDefault="008A7415" w:rsidP="00204410">
      <w:pPr>
        <w:pStyle w:val="SingleTxtG"/>
        <w:tabs>
          <w:tab w:val="left" w:pos="2410"/>
        </w:tabs>
        <w:ind w:left="1701"/>
        <w:rPr>
          <w:lang w:val="fr-CH"/>
        </w:rPr>
      </w:pPr>
      <w:r w:rsidRPr="0071782F">
        <w:rPr>
          <w:lang w:val="fr-CH"/>
        </w:rPr>
        <w:t>197.4.</w:t>
      </w:r>
      <w:r w:rsidRPr="0071782F">
        <w:rPr>
          <w:lang w:val="fr-CH"/>
        </w:rPr>
        <w:tab/>
      </w:r>
      <w:r w:rsidR="000B432D" w:rsidRPr="0071782F">
        <w:rPr>
          <w:lang w:val="fr-CH"/>
        </w:rPr>
        <w:t xml:space="preserve">Construire et fournir </w:t>
      </w:r>
      <w:r w:rsidR="003F25A2">
        <w:rPr>
          <w:lang w:val="fr-CH"/>
        </w:rPr>
        <w:t>des logements</w:t>
      </w:r>
      <w:r w:rsidR="000B432D" w:rsidRPr="0071782F">
        <w:rPr>
          <w:lang w:val="fr-CH"/>
        </w:rPr>
        <w:t xml:space="preserve"> communautaires afin de répondre aux besoins de logement </w:t>
      </w:r>
      <w:r w:rsidR="004E45FB" w:rsidRPr="0071782F">
        <w:rPr>
          <w:lang w:val="fr-CH"/>
        </w:rPr>
        <w:t>des familles</w:t>
      </w:r>
      <w:r w:rsidR="000B432D" w:rsidRPr="0071782F">
        <w:rPr>
          <w:lang w:val="fr-CH"/>
        </w:rPr>
        <w:t xml:space="preserve"> appartenant aux deux premiers déciles de revenus</w:t>
      </w:r>
      <w:r w:rsidR="0081596C" w:rsidRPr="0071782F">
        <w:rPr>
          <w:lang w:val="fr-CH"/>
        </w:rPr>
        <w:t>.</w:t>
      </w:r>
      <w:r w:rsidRPr="0071782F">
        <w:rPr>
          <w:lang w:val="fr-CH"/>
        </w:rPr>
        <w:t xml:space="preserve"> </w:t>
      </w:r>
    </w:p>
    <w:p w:rsidR="008A7415" w:rsidRPr="0071782F" w:rsidRDefault="008A7415" w:rsidP="00204410">
      <w:pPr>
        <w:pStyle w:val="SingleTxtG"/>
        <w:tabs>
          <w:tab w:val="left" w:pos="2410"/>
        </w:tabs>
        <w:ind w:left="1701"/>
        <w:rPr>
          <w:lang w:val="fr-CH"/>
        </w:rPr>
      </w:pPr>
      <w:r w:rsidRPr="0071782F">
        <w:rPr>
          <w:lang w:val="fr-CH"/>
        </w:rPr>
        <w:t>197.5.</w:t>
      </w:r>
      <w:r w:rsidRPr="0071782F">
        <w:rPr>
          <w:lang w:val="fr-CH"/>
        </w:rPr>
        <w:tab/>
      </w:r>
      <w:r w:rsidR="009E3A5C" w:rsidRPr="0071782F">
        <w:rPr>
          <w:lang w:val="fr-CH"/>
        </w:rPr>
        <w:t xml:space="preserve">Améliorer et rénover le parc résidentiel urbain ancien en vue de </w:t>
      </w:r>
      <w:r w:rsidRPr="0071782F">
        <w:rPr>
          <w:lang w:val="fr-CH"/>
        </w:rPr>
        <w:t>reconstru</w:t>
      </w:r>
      <w:r w:rsidR="009E3A5C" w:rsidRPr="0071782F">
        <w:rPr>
          <w:lang w:val="fr-CH"/>
        </w:rPr>
        <w:t>ire</w:t>
      </w:r>
      <w:r w:rsidRPr="0071782F">
        <w:rPr>
          <w:lang w:val="fr-CH"/>
        </w:rPr>
        <w:t xml:space="preserve">, </w:t>
      </w:r>
      <w:r w:rsidR="009E3A5C" w:rsidRPr="0071782F">
        <w:rPr>
          <w:lang w:val="fr-CH"/>
        </w:rPr>
        <w:t>d’améliorer et de rénover les quartiers anciens des villes et de les doter de nouveaux</w:t>
      </w:r>
      <w:r w:rsidR="008018C9">
        <w:rPr>
          <w:lang w:val="fr-CH"/>
        </w:rPr>
        <w:t xml:space="preserve"> </w:t>
      </w:r>
      <w:r w:rsidR="003F25A2">
        <w:rPr>
          <w:lang w:val="fr-CH"/>
        </w:rPr>
        <w:t>logements</w:t>
      </w:r>
      <w:r w:rsidR="0081596C" w:rsidRPr="0071782F">
        <w:rPr>
          <w:lang w:val="fr-CH"/>
        </w:rPr>
        <w:t>.</w:t>
      </w:r>
      <w:r w:rsidRPr="0071782F">
        <w:rPr>
          <w:lang w:val="fr-CH"/>
        </w:rPr>
        <w:t xml:space="preserve"> </w:t>
      </w:r>
    </w:p>
    <w:p w:rsidR="008A7415" w:rsidRPr="0071782F" w:rsidRDefault="008A7415" w:rsidP="00204410">
      <w:pPr>
        <w:pStyle w:val="SingleTxtG"/>
        <w:tabs>
          <w:tab w:val="left" w:pos="2410"/>
        </w:tabs>
        <w:ind w:left="1701"/>
        <w:rPr>
          <w:lang w:val="fr-CH"/>
        </w:rPr>
      </w:pPr>
      <w:r w:rsidRPr="0071782F">
        <w:rPr>
          <w:lang w:val="fr-CH"/>
        </w:rPr>
        <w:t>197.6.</w:t>
      </w:r>
      <w:r w:rsidRPr="0071782F">
        <w:rPr>
          <w:lang w:val="fr-CH"/>
        </w:rPr>
        <w:tab/>
      </w:r>
      <w:r w:rsidR="006D7AC5" w:rsidRPr="0071782F">
        <w:rPr>
          <w:lang w:val="fr-CH"/>
        </w:rPr>
        <w:t>Améliorer et rénover le parc résidentiel rural pour répondre aux besoins de logement des zones rurales en ce qui concerne la sécurité, la superficie, la dotation en</w:t>
      </w:r>
      <w:r w:rsidR="003F25A2">
        <w:rPr>
          <w:lang w:val="fr-CH"/>
        </w:rPr>
        <w:t> logements</w:t>
      </w:r>
      <w:r w:rsidR="006D7AC5" w:rsidRPr="0071782F">
        <w:rPr>
          <w:lang w:val="fr-CH"/>
        </w:rPr>
        <w:t xml:space="preserve"> et l’enregistrement des titres de propriété.</w:t>
      </w:r>
      <w:r w:rsidRPr="0071782F">
        <w:rPr>
          <w:lang w:val="fr-CH"/>
        </w:rPr>
        <w:t xml:space="preserve"> </w:t>
      </w:r>
    </w:p>
    <w:p w:rsidR="008A7415" w:rsidRPr="0071782F" w:rsidRDefault="008A7415" w:rsidP="00204410">
      <w:pPr>
        <w:pStyle w:val="SingleTxtG"/>
        <w:tabs>
          <w:tab w:val="left" w:pos="2410"/>
        </w:tabs>
        <w:ind w:left="1701"/>
        <w:rPr>
          <w:lang w:val="fr-CH"/>
        </w:rPr>
      </w:pPr>
      <w:r w:rsidRPr="0071782F">
        <w:rPr>
          <w:lang w:val="fr-CH"/>
        </w:rPr>
        <w:t>197.7.</w:t>
      </w:r>
      <w:r w:rsidRPr="0071782F">
        <w:rPr>
          <w:lang w:val="fr-CH"/>
        </w:rPr>
        <w:tab/>
      </w:r>
      <w:r w:rsidR="00CE29DB" w:rsidRPr="0071782F">
        <w:rPr>
          <w:lang w:val="fr-CH"/>
        </w:rPr>
        <w:t xml:space="preserve">Formuler des politiques concernant les activités des coopératives d’épargne opérant dans le secteur du logement et contrôler ces activités afin, notamment, de faciliter la mise en place et la réglementation des activités des coopératives de logement, de fournir </w:t>
      </w:r>
      <w:r w:rsidR="003F25A2">
        <w:rPr>
          <w:lang w:val="fr-CH"/>
        </w:rPr>
        <w:t>des logements</w:t>
      </w:r>
      <w:r w:rsidR="00CE29DB" w:rsidRPr="0071782F">
        <w:rPr>
          <w:lang w:val="fr-CH"/>
        </w:rPr>
        <w:t xml:space="preserve"> à leurs membres et de renforcer le rôle de ces coopératives dans la construction </w:t>
      </w:r>
      <w:r w:rsidR="003F25A2">
        <w:rPr>
          <w:lang w:val="fr-CH"/>
        </w:rPr>
        <w:t>de logements</w:t>
      </w:r>
      <w:r w:rsidR="0081596C" w:rsidRPr="0071782F">
        <w:rPr>
          <w:lang w:val="fr-CH"/>
        </w:rPr>
        <w:t>.</w:t>
      </w:r>
      <w:r w:rsidRPr="0071782F">
        <w:rPr>
          <w:lang w:val="fr-CH"/>
        </w:rPr>
        <w:t xml:space="preserve"> </w:t>
      </w:r>
    </w:p>
    <w:p w:rsidR="008A7415" w:rsidRPr="0071782F" w:rsidRDefault="008A7415" w:rsidP="00204410">
      <w:pPr>
        <w:pStyle w:val="SingleTxtG"/>
        <w:tabs>
          <w:tab w:val="left" w:pos="2410"/>
        </w:tabs>
        <w:ind w:left="1701"/>
        <w:rPr>
          <w:lang w:val="fr-CH"/>
        </w:rPr>
      </w:pPr>
      <w:r w:rsidRPr="0071782F">
        <w:rPr>
          <w:lang w:val="fr-CH"/>
        </w:rPr>
        <w:t>197.8.</w:t>
      </w:r>
      <w:r w:rsidRPr="0071782F">
        <w:rPr>
          <w:lang w:val="fr-CH"/>
        </w:rPr>
        <w:tab/>
      </w:r>
      <w:r w:rsidR="007E19B7" w:rsidRPr="0071782F">
        <w:rPr>
          <w:lang w:val="fr-CH"/>
        </w:rPr>
        <w:t xml:space="preserve">Contrôler l’exécution du Projet de logement </w:t>
      </w:r>
      <w:r w:rsidRPr="0071782F">
        <w:rPr>
          <w:lang w:val="fr-CH"/>
        </w:rPr>
        <w:t xml:space="preserve">Mehr </w:t>
      </w:r>
      <w:r w:rsidR="007E19B7" w:rsidRPr="0071782F">
        <w:rPr>
          <w:lang w:val="fr-CH"/>
        </w:rPr>
        <w:t xml:space="preserve">afin d’améliorer la qualité </w:t>
      </w:r>
      <w:r w:rsidR="003F25A2">
        <w:rPr>
          <w:lang w:val="fr-CH"/>
        </w:rPr>
        <w:t>des logements</w:t>
      </w:r>
      <w:r w:rsidR="007E19B7" w:rsidRPr="0071782F">
        <w:rPr>
          <w:lang w:val="fr-CH"/>
        </w:rPr>
        <w:t xml:space="preserve"> construits</w:t>
      </w:r>
      <w:r w:rsidR="0081596C" w:rsidRPr="0071782F">
        <w:rPr>
          <w:lang w:val="fr-CH"/>
        </w:rPr>
        <w:t>.</w:t>
      </w:r>
      <w:r w:rsidRPr="0071782F">
        <w:rPr>
          <w:lang w:val="fr-CH"/>
        </w:rPr>
        <w:t xml:space="preserve"> </w:t>
      </w:r>
    </w:p>
    <w:p w:rsidR="008A7415" w:rsidRPr="0071782F" w:rsidRDefault="008A7415" w:rsidP="00204410">
      <w:pPr>
        <w:pStyle w:val="SingleTxtG"/>
        <w:tabs>
          <w:tab w:val="left" w:pos="2410"/>
        </w:tabs>
        <w:ind w:left="1701"/>
        <w:rPr>
          <w:lang w:val="fr-CH"/>
        </w:rPr>
      </w:pPr>
      <w:r w:rsidRPr="0071782F">
        <w:rPr>
          <w:lang w:val="fr-CH"/>
        </w:rPr>
        <w:t>197.9.</w:t>
      </w:r>
      <w:r w:rsidRPr="0071782F">
        <w:rPr>
          <w:lang w:val="fr-CH"/>
        </w:rPr>
        <w:tab/>
        <w:t>Supervis</w:t>
      </w:r>
      <w:r w:rsidR="004E53F2" w:rsidRPr="0071782F">
        <w:rPr>
          <w:lang w:val="fr-CH"/>
        </w:rPr>
        <w:t xml:space="preserve">er la </w:t>
      </w:r>
      <w:r w:rsidRPr="0071782F">
        <w:rPr>
          <w:lang w:val="fr-CH"/>
        </w:rPr>
        <w:t xml:space="preserve">formulation </w:t>
      </w:r>
      <w:r w:rsidR="004E53F2" w:rsidRPr="0071782F">
        <w:rPr>
          <w:lang w:val="fr-CH"/>
        </w:rPr>
        <w:t>et l’</w:t>
      </w:r>
      <w:r w:rsidRPr="0071782F">
        <w:rPr>
          <w:lang w:val="fr-CH"/>
        </w:rPr>
        <w:t>ex</w:t>
      </w:r>
      <w:r w:rsidR="004E53F2" w:rsidRPr="0071782F">
        <w:rPr>
          <w:lang w:val="fr-CH"/>
        </w:rPr>
        <w:t>é</w:t>
      </w:r>
      <w:r w:rsidRPr="0071782F">
        <w:rPr>
          <w:lang w:val="fr-CH"/>
        </w:rPr>
        <w:t xml:space="preserve">cution </w:t>
      </w:r>
      <w:r w:rsidR="004E53F2" w:rsidRPr="0071782F">
        <w:rPr>
          <w:lang w:val="fr-CH"/>
        </w:rPr>
        <w:t xml:space="preserve">des plans et programmes de logement et coordonner les règles, règlements et </w:t>
      </w:r>
      <w:r w:rsidRPr="0071782F">
        <w:rPr>
          <w:lang w:val="fr-CH"/>
        </w:rPr>
        <w:t xml:space="preserve">directives </w:t>
      </w:r>
      <w:r w:rsidR="004E53F2" w:rsidRPr="0071782F">
        <w:rPr>
          <w:lang w:val="fr-CH"/>
        </w:rPr>
        <w:t xml:space="preserve">concernant la construction </w:t>
      </w:r>
      <w:r w:rsidR="003F25A2">
        <w:rPr>
          <w:lang w:val="fr-CH"/>
        </w:rPr>
        <w:t>de logements</w:t>
      </w:r>
      <w:r w:rsidR="004E53F2" w:rsidRPr="0071782F">
        <w:rPr>
          <w:lang w:val="fr-CH"/>
        </w:rPr>
        <w:t xml:space="preserve"> en série dans le but de fournir les incitations nécessaires à la construction </w:t>
      </w:r>
      <w:r w:rsidR="003F25A2">
        <w:rPr>
          <w:lang w:val="fr-CH"/>
        </w:rPr>
        <w:t>de logements</w:t>
      </w:r>
      <w:r w:rsidR="004E53F2" w:rsidRPr="0071782F">
        <w:rPr>
          <w:lang w:val="fr-CH"/>
        </w:rPr>
        <w:t xml:space="preserve"> sur une grande échelle en encourageant la mise en </w:t>
      </w:r>
      <w:r w:rsidR="00D5366B" w:rsidRPr="0071782F">
        <w:rPr>
          <w:lang w:val="fr-CH"/>
        </w:rPr>
        <w:t>œuvre</w:t>
      </w:r>
      <w:r w:rsidR="004E53F2" w:rsidRPr="0071782F">
        <w:rPr>
          <w:lang w:val="fr-CH"/>
        </w:rPr>
        <w:t xml:space="preserve"> de </w:t>
      </w:r>
      <w:r w:rsidRPr="0071782F">
        <w:rPr>
          <w:lang w:val="fr-CH"/>
        </w:rPr>
        <w:t xml:space="preserve">technologies </w:t>
      </w:r>
      <w:r w:rsidR="004E53F2" w:rsidRPr="0071782F">
        <w:rPr>
          <w:lang w:val="fr-CH"/>
        </w:rPr>
        <w:t xml:space="preserve">modernes et en préconisant ce type de </w:t>
      </w:r>
      <w:r w:rsidRPr="0071782F">
        <w:rPr>
          <w:lang w:val="fr-CH"/>
        </w:rPr>
        <w:t>construction</w:t>
      </w:r>
      <w:r w:rsidR="004E53F2" w:rsidRPr="0071782F">
        <w:rPr>
          <w:lang w:val="fr-CH"/>
        </w:rPr>
        <w:t xml:space="preserve">, ce qui peut contribuer à améliorer la qualité </w:t>
      </w:r>
      <w:r w:rsidR="003F25A2">
        <w:rPr>
          <w:lang w:val="fr-CH"/>
        </w:rPr>
        <w:t>des logements</w:t>
      </w:r>
      <w:r w:rsidR="004E53F2" w:rsidRPr="0071782F">
        <w:rPr>
          <w:lang w:val="fr-CH"/>
        </w:rPr>
        <w:t xml:space="preserve"> construits.</w:t>
      </w:r>
      <w:r w:rsidRPr="0071782F">
        <w:rPr>
          <w:lang w:val="fr-CH"/>
        </w:rPr>
        <w:t xml:space="preserve"> </w:t>
      </w:r>
    </w:p>
    <w:p w:rsidR="008A7415" w:rsidRPr="0071782F" w:rsidRDefault="008A7415" w:rsidP="0081596C">
      <w:pPr>
        <w:pStyle w:val="SingleTxtG"/>
        <w:ind w:left="1701"/>
        <w:rPr>
          <w:lang w:val="fr-CH"/>
        </w:rPr>
      </w:pPr>
      <w:r w:rsidRPr="0071782F">
        <w:rPr>
          <w:lang w:val="fr-CH"/>
        </w:rPr>
        <w:t>197.10.</w:t>
      </w:r>
      <w:r w:rsidR="0081596C" w:rsidRPr="0071782F">
        <w:rPr>
          <w:lang w:val="fr-CH"/>
        </w:rPr>
        <w:t xml:space="preserve"> </w:t>
      </w:r>
      <w:r w:rsidR="002602EA" w:rsidRPr="0071782F">
        <w:rPr>
          <w:lang w:val="fr-CH"/>
        </w:rPr>
        <w:t>Cré</w:t>
      </w:r>
      <w:r w:rsidR="00CB7BCB" w:rsidRPr="0071782F">
        <w:rPr>
          <w:lang w:val="fr-CH"/>
        </w:rPr>
        <w:t xml:space="preserve">er </w:t>
      </w:r>
      <w:r w:rsidR="002602EA" w:rsidRPr="0071782F">
        <w:rPr>
          <w:lang w:val="fr-CH"/>
        </w:rPr>
        <w:t>au sein de la Banque centrale un groupe de travail chargé de coordonner et de superviser l’octroi de crédits bancaires</w:t>
      </w:r>
      <w:r w:rsidR="0081596C" w:rsidRPr="0071782F">
        <w:rPr>
          <w:lang w:val="fr-CH"/>
        </w:rPr>
        <w:t>.</w:t>
      </w:r>
      <w:r w:rsidRPr="0071782F">
        <w:rPr>
          <w:lang w:val="fr-CH"/>
        </w:rPr>
        <w:t xml:space="preserve"> </w:t>
      </w:r>
    </w:p>
    <w:p w:rsidR="008A7415" w:rsidRPr="0071782F" w:rsidRDefault="008A7415" w:rsidP="0081596C">
      <w:pPr>
        <w:pStyle w:val="SingleTxtG"/>
        <w:ind w:left="1701"/>
        <w:rPr>
          <w:lang w:val="fr-CH"/>
        </w:rPr>
      </w:pPr>
      <w:r w:rsidRPr="0071782F">
        <w:rPr>
          <w:lang w:val="fr-CH"/>
        </w:rPr>
        <w:t>197.11.</w:t>
      </w:r>
      <w:r w:rsidR="0081596C" w:rsidRPr="0071782F">
        <w:rPr>
          <w:lang w:val="fr-CH"/>
        </w:rPr>
        <w:t xml:space="preserve"> </w:t>
      </w:r>
      <w:r w:rsidR="00397D41" w:rsidRPr="0071782F">
        <w:rPr>
          <w:lang w:val="fr-CH"/>
        </w:rPr>
        <w:t xml:space="preserve">Appuyer la construction en série </w:t>
      </w:r>
      <w:r w:rsidR="003F25A2">
        <w:rPr>
          <w:lang w:val="fr-CH"/>
        </w:rPr>
        <w:t>de logements</w:t>
      </w:r>
      <w:r w:rsidR="00397D41" w:rsidRPr="0071782F">
        <w:rPr>
          <w:lang w:val="fr-CH"/>
        </w:rPr>
        <w:t xml:space="preserve"> et l’ensemble du secteur </w:t>
      </w:r>
      <w:r w:rsidR="00A758F9" w:rsidRPr="0071782F">
        <w:rPr>
          <w:lang w:val="fr-CH"/>
        </w:rPr>
        <w:t xml:space="preserve">de la construction </w:t>
      </w:r>
      <w:r w:rsidR="00397D41" w:rsidRPr="0071782F">
        <w:rPr>
          <w:lang w:val="fr-CH"/>
        </w:rPr>
        <w:t xml:space="preserve">en vue d’augmenter la production </w:t>
      </w:r>
      <w:r w:rsidR="003F25A2">
        <w:rPr>
          <w:lang w:val="fr-CH"/>
        </w:rPr>
        <w:t>de logements</w:t>
      </w:r>
      <w:r w:rsidR="00397D41" w:rsidRPr="0071782F">
        <w:rPr>
          <w:lang w:val="fr-CH"/>
        </w:rPr>
        <w:t xml:space="preserve"> en utilisant des matériaux plus légers et meilleur marché et en mettant en </w:t>
      </w:r>
      <w:r w:rsidR="00D5366B" w:rsidRPr="0071782F">
        <w:rPr>
          <w:lang w:val="fr-CH"/>
        </w:rPr>
        <w:t>œuvre</w:t>
      </w:r>
      <w:r w:rsidR="00397D41" w:rsidRPr="0071782F">
        <w:rPr>
          <w:lang w:val="fr-CH"/>
        </w:rPr>
        <w:t xml:space="preserve"> des techniques plus rapides</w:t>
      </w:r>
      <w:r w:rsidR="00FB43A4" w:rsidRPr="0071782F">
        <w:rPr>
          <w:lang w:val="fr-CH"/>
        </w:rPr>
        <w:t>.</w:t>
      </w:r>
      <w:r w:rsidRPr="0071782F">
        <w:rPr>
          <w:lang w:val="fr-CH"/>
        </w:rPr>
        <w:t xml:space="preserve"> </w:t>
      </w:r>
    </w:p>
    <w:p w:rsidR="008A7415" w:rsidRPr="0071782F" w:rsidRDefault="008A7415" w:rsidP="00FB43A4">
      <w:pPr>
        <w:pStyle w:val="SingleTxtG"/>
        <w:ind w:left="1701"/>
        <w:rPr>
          <w:lang w:val="fr-CH"/>
        </w:rPr>
      </w:pPr>
      <w:r w:rsidRPr="0071782F">
        <w:rPr>
          <w:lang w:val="fr-CH"/>
        </w:rPr>
        <w:t>197.12.</w:t>
      </w:r>
      <w:r w:rsidR="00FB43A4" w:rsidRPr="0071782F">
        <w:rPr>
          <w:lang w:val="fr-CH"/>
        </w:rPr>
        <w:t xml:space="preserve"> </w:t>
      </w:r>
      <w:r w:rsidR="0049131C" w:rsidRPr="0071782F">
        <w:rPr>
          <w:lang w:val="fr-CH"/>
        </w:rPr>
        <w:t>Contrôler le marché du logement par le biais de programmes visant à réglementer les activités des agences immobilières en élaborant des directives, des mécanismes de contrôle et des mesures d’incitation</w:t>
      </w:r>
      <w:r w:rsidRPr="0071782F">
        <w:rPr>
          <w:lang w:val="fr-CH"/>
        </w:rPr>
        <w:t xml:space="preserve">; </w:t>
      </w:r>
      <w:r w:rsidR="0049131C" w:rsidRPr="0071782F">
        <w:rPr>
          <w:lang w:val="fr-CH"/>
        </w:rPr>
        <w:t>mettre au point un modèle d’évaluation des besoins et d’étude de faisabilité des programmes de logement pour utiliser au mieux les ressources et capacités existantes aux fins de la réalisation des objectifs du secteur du logement;</w:t>
      </w:r>
      <w:r w:rsidRPr="0071782F">
        <w:rPr>
          <w:lang w:val="fr-CH"/>
        </w:rPr>
        <w:t xml:space="preserve"> </w:t>
      </w:r>
      <w:r w:rsidR="0049131C" w:rsidRPr="0071782F">
        <w:rPr>
          <w:lang w:val="fr-CH"/>
        </w:rPr>
        <w:t>et créer une base de données sur les biens immobiliers et les</w:t>
      </w:r>
      <w:r w:rsidR="003F25A2">
        <w:rPr>
          <w:lang w:val="fr-CH"/>
        </w:rPr>
        <w:t> logements</w:t>
      </w:r>
      <w:r w:rsidR="0049131C" w:rsidRPr="0071782F">
        <w:rPr>
          <w:lang w:val="fr-CH"/>
        </w:rPr>
        <w:t xml:space="preserve"> pour améliorer la transparence et assurer un accès continu à des informations complètes et actualisées dans ce secteur.</w:t>
      </w:r>
      <w:r w:rsidRPr="0071782F">
        <w:rPr>
          <w:lang w:val="fr-CH"/>
        </w:rPr>
        <w:t xml:space="preserve"> </w:t>
      </w:r>
    </w:p>
    <w:p w:rsidR="008A7415" w:rsidRPr="0071782F" w:rsidRDefault="008A7415" w:rsidP="00FB43A4">
      <w:pPr>
        <w:pStyle w:val="SingleTxtG"/>
        <w:ind w:left="1701"/>
        <w:rPr>
          <w:lang w:val="fr-CH"/>
        </w:rPr>
      </w:pPr>
      <w:r w:rsidRPr="0071782F">
        <w:rPr>
          <w:lang w:val="fr-CH"/>
        </w:rPr>
        <w:t>197.13.</w:t>
      </w:r>
      <w:r w:rsidR="00FB43A4" w:rsidRPr="0071782F">
        <w:rPr>
          <w:lang w:val="fr-CH"/>
        </w:rPr>
        <w:t xml:space="preserve"> </w:t>
      </w:r>
      <w:r w:rsidRPr="0071782F">
        <w:rPr>
          <w:lang w:val="fr-CH"/>
        </w:rPr>
        <w:t>D</w:t>
      </w:r>
      <w:r w:rsidR="004F41DC" w:rsidRPr="0071782F">
        <w:rPr>
          <w:lang w:val="fr-CH"/>
        </w:rPr>
        <w:t xml:space="preserve">éfinir les modes de consommation </w:t>
      </w:r>
      <w:r w:rsidR="003F25A2">
        <w:rPr>
          <w:lang w:val="fr-CH"/>
        </w:rPr>
        <w:t>de logements</w:t>
      </w:r>
      <w:r w:rsidR="004F41DC" w:rsidRPr="0071782F">
        <w:rPr>
          <w:lang w:val="fr-CH"/>
        </w:rPr>
        <w:t xml:space="preserve"> en s’appuyant sur les principes de l’aménagement urbain, de l’</w:t>
      </w:r>
      <w:r w:rsidRPr="0071782F">
        <w:rPr>
          <w:lang w:val="fr-CH"/>
        </w:rPr>
        <w:t xml:space="preserve">architecture </w:t>
      </w:r>
      <w:r w:rsidR="004F41DC" w:rsidRPr="0071782F">
        <w:rPr>
          <w:lang w:val="fr-CH"/>
        </w:rPr>
        <w:t xml:space="preserve">et du développement adaptés aux caractéristiques régionales et aux conditions climatiques; concevoir un modèle de logement urbain de nature à améliorer les modèles actuels de consommation </w:t>
      </w:r>
      <w:r w:rsidR="003F25A2">
        <w:rPr>
          <w:lang w:val="fr-CH"/>
        </w:rPr>
        <w:t>de logements</w:t>
      </w:r>
      <w:r w:rsidR="004F41DC" w:rsidRPr="0071782F">
        <w:rPr>
          <w:lang w:val="fr-CH"/>
        </w:rPr>
        <w:t xml:space="preserve">; et mettre en place un dispositif d’incitations en vue de la mise en </w:t>
      </w:r>
      <w:r w:rsidR="00D5366B" w:rsidRPr="0071782F">
        <w:rPr>
          <w:lang w:val="fr-CH"/>
        </w:rPr>
        <w:t>œuvre</w:t>
      </w:r>
      <w:r w:rsidR="004F41DC" w:rsidRPr="0071782F">
        <w:rPr>
          <w:lang w:val="fr-CH"/>
        </w:rPr>
        <w:t xml:space="preserve"> du modèle souhaité de consommation </w:t>
      </w:r>
      <w:r w:rsidR="003F25A2">
        <w:rPr>
          <w:lang w:val="fr-CH"/>
        </w:rPr>
        <w:t>de logements</w:t>
      </w:r>
      <w:r w:rsidR="004F41DC" w:rsidRPr="0071782F">
        <w:rPr>
          <w:lang w:val="fr-CH"/>
        </w:rPr>
        <w:t>.</w:t>
      </w:r>
    </w:p>
    <w:p w:rsidR="008A7415" w:rsidRPr="0071782F" w:rsidRDefault="008A7415" w:rsidP="00FB43A4">
      <w:pPr>
        <w:pStyle w:val="SingleTxtG"/>
        <w:ind w:left="1701"/>
        <w:rPr>
          <w:lang w:val="fr-CH"/>
        </w:rPr>
      </w:pPr>
      <w:r w:rsidRPr="0071782F">
        <w:rPr>
          <w:lang w:val="fr-CH"/>
        </w:rPr>
        <w:t>197.14.</w:t>
      </w:r>
      <w:r w:rsidR="00FB43A4" w:rsidRPr="0071782F">
        <w:rPr>
          <w:lang w:val="fr-CH"/>
        </w:rPr>
        <w:t xml:space="preserve"> </w:t>
      </w:r>
      <w:r w:rsidR="00C03629" w:rsidRPr="0071782F">
        <w:rPr>
          <w:lang w:val="fr-CH"/>
        </w:rPr>
        <w:t>Encourager la participation d</w:t>
      </w:r>
      <w:r w:rsidR="00CB7BCB" w:rsidRPr="0071782F">
        <w:rPr>
          <w:lang w:val="fr-CH"/>
        </w:rPr>
        <w:t>u</w:t>
      </w:r>
      <w:r w:rsidR="00C03629" w:rsidRPr="0071782F">
        <w:rPr>
          <w:lang w:val="fr-CH"/>
        </w:rPr>
        <w:t xml:space="preserve"> secteur privé et </w:t>
      </w:r>
      <w:r w:rsidR="00CB7BCB" w:rsidRPr="0071782F">
        <w:rPr>
          <w:lang w:val="fr-CH"/>
        </w:rPr>
        <w:t xml:space="preserve">de celui des </w:t>
      </w:r>
      <w:r w:rsidR="00C03629" w:rsidRPr="0071782F">
        <w:rPr>
          <w:lang w:val="fr-CH"/>
        </w:rPr>
        <w:t>coopérati</w:t>
      </w:r>
      <w:r w:rsidR="00CB7BCB" w:rsidRPr="0071782F">
        <w:rPr>
          <w:lang w:val="fr-CH"/>
        </w:rPr>
        <w:t>ves</w:t>
      </w:r>
      <w:r w:rsidR="00C03629" w:rsidRPr="0071782F">
        <w:rPr>
          <w:lang w:val="fr-CH"/>
        </w:rPr>
        <w:t xml:space="preserve"> ainsi que des établissements de crédit et de financement à la construction et à la planification </w:t>
      </w:r>
      <w:r w:rsidR="003F25A2">
        <w:rPr>
          <w:lang w:val="fr-CH"/>
        </w:rPr>
        <w:t>de logements</w:t>
      </w:r>
      <w:r w:rsidR="00C03629" w:rsidRPr="0071782F">
        <w:rPr>
          <w:lang w:val="fr-CH"/>
        </w:rPr>
        <w:t xml:space="preserve"> et à la mobilisation de ressources destinées à fournir </w:t>
      </w:r>
      <w:r w:rsidR="003F25A2">
        <w:rPr>
          <w:lang w:val="fr-CH"/>
        </w:rPr>
        <w:t>des logements</w:t>
      </w:r>
      <w:r w:rsidR="00C03629" w:rsidRPr="0071782F">
        <w:rPr>
          <w:lang w:val="fr-CH"/>
        </w:rPr>
        <w:t xml:space="preserve"> </w:t>
      </w:r>
      <w:r w:rsidR="00A234E8" w:rsidRPr="0071782F">
        <w:rPr>
          <w:lang w:val="fr-CH"/>
        </w:rPr>
        <w:t>aux familles</w:t>
      </w:r>
      <w:r w:rsidR="00C03629" w:rsidRPr="0071782F">
        <w:rPr>
          <w:lang w:val="fr-CH"/>
        </w:rPr>
        <w:t xml:space="preserve"> à faible revenu à la recherche d’un logement,</w:t>
      </w:r>
      <w:r w:rsidRPr="0071782F">
        <w:rPr>
          <w:lang w:val="fr-CH"/>
        </w:rPr>
        <w:t xml:space="preserve"> </w:t>
      </w:r>
      <w:r w:rsidR="00C03629" w:rsidRPr="0071782F">
        <w:rPr>
          <w:lang w:val="fr-CH"/>
        </w:rPr>
        <w:t>et fournir les moyens nécessaires à cette participation</w:t>
      </w:r>
      <w:r w:rsidRPr="0071782F">
        <w:rPr>
          <w:lang w:val="fr-CH"/>
        </w:rPr>
        <w:t xml:space="preserve"> </w:t>
      </w:r>
    </w:p>
    <w:p w:rsidR="008A7415" w:rsidRPr="0071782F" w:rsidRDefault="008A7415" w:rsidP="00FB43A4">
      <w:pPr>
        <w:pStyle w:val="SingleTxtG"/>
        <w:ind w:left="1701"/>
        <w:rPr>
          <w:lang w:val="fr-CH"/>
        </w:rPr>
      </w:pPr>
      <w:r w:rsidRPr="0071782F">
        <w:rPr>
          <w:lang w:val="fr-CH"/>
        </w:rPr>
        <w:t>197.15.</w:t>
      </w:r>
      <w:r w:rsidR="00FB43A4" w:rsidRPr="0071782F">
        <w:rPr>
          <w:lang w:val="fr-CH"/>
        </w:rPr>
        <w:t xml:space="preserve"> </w:t>
      </w:r>
      <w:r w:rsidR="0087082A" w:rsidRPr="0071782F">
        <w:rPr>
          <w:lang w:val="fr-CH"/>
        </w:rPr>
        <w:t>Créer un marché hypothécaire secondaire et émettre des obligations gagées sur des crédits hypothécaires en vue de développer les prêts bancaires au secteur du logement</w:t>
      </w:r>
      <w:r w:rsidR="00FB43A4" w:rsidRPr="0071782F">
        <w:rPr>
          <w:lang w:val="fr-CH"/>
        </w:rPr>
        <w:t>.</w:t>
      </w:r>
    </w:p>
    <w:p w:rsidR="008A7415" w:rsidRPr="0071782F" w:rsidRDefault="008A7415" w:rsidP="00FB43A4">
      <w:pPr>
        <w:pStyle w:val="SingleTxtG"/>
        <w:ind w:left="1701"/>
        <w:rPr>
          <w:lang w:val="fr-CH"/>
        </w:rPr>
      </w:pPr>
      <w:r w:rsidRPr="0071782F">
        <w:rPr>
          <w:lang w:val="fr-CH"/>
        </w:rPr>
        <w:t>197.16.</w:t>
      </w:r>
      <w:r w:rsidR="00FB43A4" w:rsidRPr="0071782F">
        <w:rPr>
          <w:lang w:val="fr-CH"/>
        </w:rPr>
        <w:t xml:space="preserve"> </w:t>
      </w:r>
      <w:r w:rsidR="0087082A" w:rsidRPr="0071782F">
        <w:rPr>
          <w:lang w:val="fr-CH"/>
        </w:rPr>
        <w:t>Créer des établissements de financement afin d’augmenter les ressources financières du secteur du logement.</w:t>
      </w:r>
    </w:p>
    <w:p w:rsidR="008A7415" w:rsidRPr="0071782F" w:rsidRDefault="008A7415" w:rsidP="00204410">
      <w:pPr>
        <w:pStyle w:val="SingleTxtG"/>
        <w:tabs>
          <w:tab w:val="left" w:pos="2552"/>
        </w:tabs>
        <w:ind w:left="1701"/>
        <w:rPr>
          <w:lang w:val="fr-CH"/>
        </w:rPr>
      </w:pPr>
      <w:r w:rsidRPr="0071782F">
        <w:rPr>
          <w:lang w:val="fr-CH"/>
        </w:rPr>
        <w:t>197.17.</w:t>
      </w:r>
      <w:r w:rsidR="00FB43A4" w:rsidRPr="0071782F">
        <w:rPr>
          <w:lang w:val="fr-CH"/>
        </w:rPr>
        <w:t xml:space="preserve"> </w:t>
      </w:r>
      <w:r w:rsidR="00266125" w:rsidRPr="0071782F">
        <w:rPr>
          <w:lang w:val="fr-CH"/>
        </w:rPr>
        <w:t xml:space="preserve">Faire appel aux sociétés de crédit-bail pour qu’elles fournissent des ressources financières sous la forme de contrats de location ou de location avec option d’achat afin de promouvoir l’investissement dans le secteur de la construction </w:t>
      </w:r>
      <w:r w:rsidR="003F25A2">
        <w:rPr>
          <w:lang w:val="fr-CH"/>
        </w:rPr>
        <w:t>de logements</w:t>
      </w:r>
      <w:r w:rsidR="00266125" w:rsidRPr="0071782F">
        <w:rPr>
          <w:lang w:val="fr-CH"/>
        </w:rPr>
        <w:t xml:space="preserve"> locatifs</w:t>
      </w:r>
      <w:r w:rsidR="00FB43A4" w:rsidRPr="0071782F">
        <w:rPr>
          <w:lang w:val="fr-CH"/>
        </w:rPr>
        <w:t>.</w:t>
      </w:r>
    </w:p>
    <w:p w:rsidR="008A7415" w:rsidRPr="0071782F" w:rsidRDefault="00924575" w:rsidP="00FB43A4">
      <w:pPr>
        <w:pStyle w:val="SingleTxtG"/>
        <w:ind w:left="1701"/>
        <w:rPr>
          <w:lang w:val="fr-CH"/>
        </w:rPr>
      </w:pPr>
      <w:r w:rsidRPr="0071782F">
        <w:rPr>
          <w:lang w:val="fr-CH"/>
        </w:rPr>
        <w:t xml:space="preserve">197.18. </w:t>
      </w:r>
      <w:r w:rsidR="00B55403" w:rsidRPr="0071782F">
        <w:rPr>
          <w:lang w:val="fr-CH"/>
        </w:rPr>
        <w:t>Émettre des obligations et d’autres instruments financiers islamiques pour attirer davantage de ressources vers le marché du logement</w:t>
      </w:r>
      <w:r w:rsidRPr="0071782F">
        <w:rPr>
          <w:lang w:val="fr-CH"/>
        </w:rPr>
        <w:t>.</w:t>
      </w:r>
      <w:r w:rsidR="008A7415" w:rsidRPr="0071782F">
        <w:rPr>
          <w:lang w:val="fr-CH"/>
        </w:rPr>
        <w:t xml:space="preserve"> </w:t>
      </w:r>
    </w:p>
    <w:p w:rsidR="008A7415" w:rsidRPr="0071782F" w:rsidRDefault="008A7415" w:rsidP="00FB43A4">
      <w:pPr>
        <w:pStyle w:val="SingleTxtG"/>
        <w:ind w:left="1701"/>
        <w:rPr>
          <w:lang w:val="fr-CH"/>
        </w:rPr>
      </w:pPr>
      <w:r w:rsidRPr="0071782F">
        <w:rPr>
          <w:lang w:val="fr-CH"/>
        </w:rPr>
        <w:t>197.19.</w:t>
      </w:r>
      <w:r w:rsidR="00924575" w:rsidRPr="0071782F">
        <w:rPr>
          <w:lang w:val="fr-CH"/>
        </w:rPr>
        <w:t xml:space="preserve"> </w:t>
      </w:r>
      <w:r w:rsidRPr="0071782F">
        <w:rPr>
          <w:lang w:val="fr-CH"/>
        </w:rPr>
        <w:t>Cr</w:t>
      </w:r>
      <w:r w:rsidR="00B55403" w:rsidRPr="0071782F">
        <w:rPr>
          <w:lang w:val="fr-CH"/>
        </w:rPr>
        <w:t xml:space="preserve">éer des fonds pour l’achat de terrains et la construction </w:t>
      </w:r>
      <w:r w:rsidR="003F25A2">
        <w:rPr>
          <w:lang w:val="fr-CH"/>
        </w:rPr>
        <w:t>de logements</w:t>
      </w:r>
      <w:r w:rsidR="00B55403" w:rsidRPr="0071782F">
        <w:rPr>
          <w:lang w:val="fr-CH"/>
        </w:rPr>
        <w:t xml:space="preserve"> afin de tirer parti du microcrédit public et d’accroître l’apport de ressources financières au secteur du logement</w:t>
      </w:r>
      <w:r w:rsidR="00924575" w:rsidRPr="0071782F">
        <w:rPr>
          <w:lang w:val="fr-CH"/>
        </w:rPr>
        <w:t>.</w:t>
      </w:r>
      <w:r w:rsidRPr="0071782F">
        <w:rPr>
          <w:lang w:val="fr-CH"/>
        </w:rPr>
        <w:t xml:space="preserve"> </w:t>
      </w:r>
    </w:p>
    <w:p w:rsidR="008A7415" w:rsidRPr="0071782F" w:rsidRDefault="008A7415" w:rsidP="00FB43A4">
      <w:pPr>
        <w:pStyle w:val="SingleTxtG"/>
        <w:ind w:left="1701"/>
        <w:rPr>
          <w:lang w:val="fr-CH"/>
        </w:rPr>
      </w:pPr>
      <w:r w:rsidRPr="0071782F">
        <w:rPr>
          <w:lang w:val="fr-CH"/>
        </w:rPr>
        <w:t>197.20.</w:t>
      </w:r>
      <w:r w:rsidR="00924575" w:rsidRPr="0071782F">
        <w:rPr>
          <w:lang w:val="fr-CH"/>
        </w:rPr>
        <w:t xml:space="preserve"> </w:t>
      </w:r>
      <w:r w:rsidR="00D7754A" w:rsidRPr="0071782F">
        <w:rPr>
          <w:lang w:val="fr-CH"/>
        </w:rPr>
        <w:t>Utiliser les fonds d’investissements collectifs nationaux et internationaux pour attirer les investissements étrangers et les technologies modernes et accroître le capital circulant du secteur du logement.</w:t>
      </w:r>
    </w:p>
    <w:p w:rsidR="008A7415" w:rsidRPr="0071782F" w:rsidRDefault="008A7415" w:rsidP="00FB43A4">
      <w:pPr>
        <w:pStyle w:val="SingleTxtG"/>
        <w:ind w:left="1701"/>
        <w:rPr>
          <w:lang w:val="fr-CH"/>
        </w:rPr>
      </w:pPr>
      <w:r w:rsidRPr="0071782F">
        <w:rPr>
          <w:lang w:val="fr-CH"/>
        </w:rPr>
        <w:t>197.21.</w:t>
      </w:r>
      <w:r w:rsidR="00924575" w:rsidRPr="0071782F">
        <w:rPr>
          <w:lang w:val="fr-CH"/>
        </w:rPr>
        <w:t xml:space="preserve"> </w:t>
      </w:r>
      <w:r w:rsidR="0078387E" w:rsidRPr="0071782F">
        <w:rPr>
          <w:lang w:val="fr-CH"/>
        </w:rPr>
        <w:t xml:space="preserve">Élaborer les formules et lignes directrices appropriées pour la construction de complexes </w:t>
      </w:r>
      <w:r w:rsidR="003F25A2">
        <w:rPr>
          <w:lang w:val="fr-CH"/>
        </w:rPr>
        <w:t>de logements</w:t>
      </w:r>
      <w:r w:rsidR="0078387E" w:rsidRPr="0071782F">
        <w:rPr>
          <w:lang w:val="fr-CH"/>
        </w:rPr>
        <w:t xml:space="preserve"> locatifs par les entreprises du secteur privé qui s’intéressent à la construction et à l’administration de ce type de complexes en mettant en place des mécanismes facilitant la création d’entreprises de location </w:t>
      </w:r>
      <w:r w:rsidR="003F25A2">
        <w:rPr>
          <w:lang w:val="fr-CH"/>
        </w:rPr>
        <w:t>de logements</w:t>
      </w:r>
      <w:r w:rsidR="0078387E" w:rsidRPr="0071782F">
        <w:rPr>
          <w:lang w:val="fr-CH"/>
        </w:rPr>
        <w:t xml:space="preserve"> en vue de gérer et d’améliorer le marché du logement locatif</w:t>
      </w:r>
      <w:r w:rsidR="00924575" w:rsidRPr="0071782F">
        <w:rPr>
          <w:lang w:val="fr-CH"/>
        </w:rPr>
        <w:t>.</w:t>
      </w:r>
      <w:r w:rsidRPr="0071782F">
        <w:rPr>
          <w:lang w:val="fr-CH"/>
        </w:rPr>
        <w:t xml:space="preserve"> </w:t>
      </w:r>
    </w:p>
    <w:p w:rsidR="008A7415" w:rsidRPr="0071782F" w:rsidRDefault="008A7415" w:rsidP="00FB43A4">
      <w:pPr>
        <w:pStyle w:val="SingleTxtG"/>
        <w:ind w:left="1701"/>
        <w:rPr>
          <w:lang w:val="fr-CH"/>
        </w:rPr>
      </w:pPr>
      <w:r w:rsidRPr="0071782F">
        <w:rPr>
          <w:lang w:val="fr-CH"/>
        </w:rPr>
        <w:t>197.22.</w:t>
      </w:r>
      <w:r w:rsidR="00924575" w:rsidRPr="0071782F">
        <w:rPr>
          <w:lang w:val="fr-CH"/>
        </w:rPr>
        <w:t xml:space="preserve"> </w:t>
      </w:r>
      <w:r w:rsidR="005164C3" w:rsidRPr="0071782F">
        <w:rPr>
          <w:lang w:val="fr-CH"/>
        </w:rPr>
        <w:t>Réglement</w:t>
      </w:r>
      <w:r w:rsidR="00E442E1" w:rsidRPr="0071782F">
        <w:rPr>
          <w:lang w:val="fr-CH"/>
        </w:rPr>
        <w:t>er et gérer l</w:t>
      </w:r>
      <w:r w:rsidR="005164C3" w:rsidRPr="0071782F">
        <w:rPr>
          <w:lang w:val="fr-CH"/>
        </w:rPr>
        <w:t xml:space="preserve">es matériaux et équipements de construction dans le secteur du logement et de la construction afin de tirer parti du potentiel et des capacités existant dans les différentes régions du pays; </w:t>
      </w:r>
      <w:r w:rsidR="00E442E1" w:rsidRPr="0071782F">
        <w:rPr>
          <w:lang w:val="fr-CH"/>
        </w:rPr>
        <w:t xml:space="preserve">élaborer les plans nécessaires à l’utilisation des matériaux de construction locaux en collaboration avec les autorités locales compétentes en formulant et appliquant des plans d’assurance de la qualité </w:t>
      </w:r>
      <w:r w:rsidR="003F25A2">
        <w:rPr>
          <w:lang w:val="fr-CH"/>
        </w:rPr>
        <w:t>des logements</w:t>
      </w:r>
      <w:r w:rsidR="00E442E1" w:rsidRPr="0071782F">
        <w:rPr>
          <w:lang w:val="fr-CH"/>
        </w:rPr>
        <w:t xml:space="preserve"> en vue de renforcer la sécurité des immeubles construits; concevoir un modèle d’évaluation des besoins en matériaux de construction afin de calculer le volume de matériaux nécessaire; et améliorer la qualité de ces matériaux</w:t>
      </w:r>
      <w:r w:rsidR="00924575" w:rsidRPr="0071782F">
        <w:rPr>
          <w:lang w:val="fr-CH"/>
        </w:rPr>
        <w:t>.</w:t>
      </w:r>
      <w:r w:rsidRPr="0071782F">
        <w:rPr>
          <w:lang w:val="fr-CH"/>
        </w:rPr>
        <w:t xml:space="preserve"> </w:t>
      </w:r>
    </w:p>
    <w:p w:rsidR="008A7415" w:rsidRPr="0071782F" w:rsidRDefault="008A7415" w:rsidP="00FB43A4">
      <w:pPr>
        <w:pStyle w:val="SingleTxtG"/>
        <w:ind w:left="1701"/>
        <w:rPr>
          <w:lang w:val="fr-CH"/>
        </w:rPr>
      </w:pPr>
      <w:r w:rsidRPr="0071782F">
        <w:rPr>
          <w:lang w:val="fr-CH"/>
        </w:rPr>
        <w:t>197.23.</w:t>
      </w:r>
      <w:r w:rsidR="00924575" w:rsidRPr="0071782F">
        <w:rPr>
          <w:lang w:val="fr-CH"/>
        </w:rPr>
        <w:t xml:space="preserve"> </w:t>
      </w:r>
      <w:r w:rsidR="00BC0919" w:rsidRPr="0071782F">
        <w:rPr>
          <w:lang w:val="fr-CH"/>
        </w:rPr>
        <w:t xml:space="preserve">Améliorer les règles et règlements régissant l’investissement dans le secteur du logement et en contrôler la stricte application. À ces fins, on a modifié le régime fiscal applicable aux terrains urbains afin de réduire les transactions spéculatives dans ce secteur et d’accroître l’offre de terrains à bâtir dans l’optique de la construction </w:t>
      </w:r>
      <w:r w:rsidR="003F25A2">
        <w:rPr>
          <w:lang w:val="fr-CH"/>
        </w:rPr>
        <w:t>de logements</w:t>
      </w:r>
      <w:r w:rsidR="00924575" w:rsidRPr="0071782F">
        <w:rPr>
          <w:lang w:val="fr-CH"/>
        </w:rPr>
        <w:t>.</w:t>
      </w:r>
      <w:r w:rsidRPr="0071782F">
        <w:rPr>
          <w:lang w:val="fr-CH"/>
        </w:rPr>
        <w:t xml:space="preserve"> </w:t>
      </w:r>
    </w:p>
    <w:p w:rsidR="008A7415" w:rsidRPr="0071782F" w:rsidRDefault="008A7415" w:rsidP="00FB43A4">
      <w:pPr>
        <w:pStyle w:val="SingleTxtG"/>
        <w:ind w:left="1701"/>
        <w:rPr>
          <w:lang w:val="fr-CH"/>
        </w:rPr>
      </w:pPr>
      <w:r w:rsidRPr="0071782F">
        <w:rPr>
          <w:lang w:val="fr-CH"/>
        </w:rPr>
        <w:t>197.24.</w:t>
      </w:r>
      <w:r w:rsidR="00924575" w:rsidRPr="0071782F">
        <w:rPr>
          <w:lang w:val="fr-CH"/>
        </w:rPr>
        <w:t xml:space="preserve"> </w:t>
      </w:r>
      <w:r w:rsidR="00046312" w:rsidRPr="0071782F">
        <w:rPr>
          <w:lang w:val="fr-CH"/>
        </w:rPr>
        <w:t xml:space="preserve">Élaborer une loi visant à réglementer et appuyer la construction et l’offre </w:t>
      </w:r>
      <w:r w:rsidR="003F25A2">
        <w:rPr>
          <w:lang w:val="fr-CH"/>
        </w:rPr>
        <w:t>de logements</w:t>
      </w:r>
      <w:r w:rsidR="00046312" w:rsidRPr="0071782F">
        <w:rPr>
          <w:lang w:val="fr-CH"/>
        </w:rPr>
        <w:t xml:space="preserve">, à faciliter l’accès des groupes à faible revenu au logement et à augmenter le nombre </w:t>
      </w:r>
      <w:r w:rsidR="003F25A2">
        <w:rPr>
          <w:lang w:val="fr-CH"/>
        </w:rPr>
        <w:t>des logements</w:t>
      </w:r>
      <w:r w:rsidR="00046312" w:rsidRPr="0071782F">
        <w:rPr>
          <w:lang w:val="fr-CH"/>
        </w:rPr>
        <w:t xml:space="preserve"> construits et à en améliorer la qualité. Cette loi a été adoptée par l’Assemblée c</w:t>
      </w:r>
      <w:r w:rsidRPr="0071782F">
        <w:rPr>
          <w:lang w:val="fr-CH"/>
        </w:rPr>
        <w:t xml:space="preserve">onsultative </w:t>
      </w:r>
      <w:r w:rsidR="00046312" w:rsidRPr="0071782F">
        <w:rPr>
          <w:lang w:val="fr-CH"/>
        </w:rPr>
        <w:t xml:space="preserve">islamique en juin </w:t>
      </w:r>
      <w:r w:rsidRPr="0071782F">
        <w:rPr>
          <w:lang w:val="fr-CH"/>
        </w:rPr>
        <w:t xml:space="preserve">2008 </w:t>
      </w:r>
      <w:r w:rsidR="00046312" w:rsidRPr="0071782F">
        <w:rPr>
          <w:lang w:val="fr-CH"/>
        </w:rPr>
        <w:t xml:space="preserve">une fois approuvé le plan </w:t>
      </w:r>
      <w:r w:rsidR="00CB7BCB" w:rsidRPr="0071782F">
        <w:rPr>
          <w:lang w:val="fr-CH"/>
        </w:rPr>
        <w:t>intégré</w:t>
      </w:r>
      <w:r w:rsidR="00046312" w:rsidRPr="0071782F">
        <w:rPr>
          <w:lang w:val="fr-CH"/>
        </w:rPr>
        <w:t xml:space="preserve"> de logement du Ministère du logement et de l’aménagement urbain</w:t>
      </w:r>
      <w:r w:rsidRPr="0071782F">
        <w:rPr>
          <w:lang w:val="fr-CH"/>
        </w:rPr>
        <w:t xml:space="preserve">. </w:t>
      </w:r>
      <w:r w:rsidR="00046312" w:rsidRPr="0071782F">
        <w:rPr>
          <w:lang w:val="fr-CH"/>
        </w:rPr>
        <w:t>Elle a facilité la réglementation des programmes du secteur du logement.</w:t>
      </w:r>
      <w:r w:rsidRPr="0071782F">
        <w:rPr>
          <w:lang w:val="fr-CH"/>
        </w:rPr>
        <w:t xml:space="preserve"> </w:t>
      </w:r>
    </w:p>
    <w:p w:rsidR="008A7415" w:rsidRPr="0071782F" w:rsidRDefault="008A7415" w:rsidP="00FB43A4">
      <w:pPr>
        <w:pStyle w:val="SingleTxtG"/>
        <w:ind w:left="1701"/>
        <w:rPr>
          <w:lang w:val="fr-CH"/>
        </w:rPr>
      </w:pPr>
      <w:r w:rsidRPr="0071782F">
        <w:rPr>
          <w:lang w:val="fr-CH"/>
        </w:rPr>
        <w:t>197.25.</w:t>
      </w:r>
      <w:r w:rsidR="008A69F2" w:rsidRPr="0071782F">
        <w:rPr>
          <w:lang w:val="fr-CH"/>
        </w:rPr>
        <w:t xml:space="preserve"> </w:t>
      </w:r>
      <w:r w:rsidR="00A82212" w:rsidRPr="0071782F">
        <w:rPr>
          <w:lang w:val="fr-CH"/>
        </w:rPr>
        <w:t xml:space="preserve">Élaborer une loi sur l’achat anticipé </w:t>
      </w:r>
      <w:r w:rsidR="003F25A2">
        <w:rPr>
          <w:lang w:val="fr-CH"/>
        </w:rPr>
        <w:t>de logements</w:t>
      </w:r>
      <w:r w:rsidR="00A82212" w:rsidRPr="0071782F">
        <w:rPr>
          <w:lang w:val="fr-CH"/>
        </w:rPr>
        <w:t xml:space="preserve"> pour contribuer à réglementer les transactions de ce type sur le marché du logement. Cette loi est en instance d’approbation par les commissions parlementaires compétentes.</w:t>
      </w:r>
    </w:p>
    <w:p w:rsidR="008A7415" w:rsidRPr="0071782F" w:rsidRDefault="008A7415" w:rsidP="00FB43A4">
      <w:pPr>
        <w:pStyle w:val="SingleTxtG"/>
        <w:ind w:left="1701"/>
        <w:rPr>
          <w:lang w:val="fr-CH"/>
        </w:rPr>
      </w:pPr>
      <w:r w:rsidRPr="0071782F">
        <w:rPr>
          <w:lang w:val="fr-CH"/>
        </w:rPr>
        <w:t>197.26.</w:t>
      </w:r>
      <w:r w:rsidR="008A69F2" w:rsidRPr="0071782F">
        <w:rPr>
          <w:lang w:val="fr-CH"/>
        </w:rPr>
        <w:t xml:space="preserve"> </w:t>
      </w:r>
      <w:r w:rsidR="00A82212" w:rsidRPr="0071782F">
        <w:rPr>
          <w:lang w:val="fr-CH"/>
        </w:rPr>
        <w:t xml:space="preserve">Élaborer une loi d’exécution relative au transfert des résidents des mégapoles, visant à </w:t>
      </w:r>
      <w:r w:rsidRPr="0071782F">
        <w:rPr>
          <w:lang w:val="fr-CH"/>
        </w:rPr>
        <w:t>encourage</w:t>
      </w:r>
      <w:r w:rsidR="00A82212" w:rsidRPr="0071782F">
        <w:rPr>
          <w:lang w:val="fr-CH"/>
        </w:rPr>
        <w:t>r l’exode urbain conformément aux dispositions du Plan stratégique sur 20</w:t>
      </w:r>
      <w:r w:rsidR="00D82C96" w:rsidRPr="0071782F">
        <w:rPr>
          <w:lang w:val="fr-CH"/>
        </w:rPr>
        <w:t> ans</w:t>
      </w:r>
      <w:r w:rsidR="00A82212" w:rsidRPr="0071782F">
        <w:rPr>
          <w:lang w:val="fr-CH"/>
        </w:rPr>
        <w:t xml:space="preserve"> et au système d’aménagement du territoire.</w:t>
      </w:r>
      <w:r w:rsidR="00D36718">
        <w:rPr>
          <w:lang w:val="fr-CH"/>
        </w:rPr>
        <w:t xml:space="preserve"> </w:t>
      </w:r>
    </w:p>
    <w:p w:rsidR="008A7415" w:rsidRPr="0071782F" w:rsidRDefault="008A7415" w:rsidP="00FB43A4">
      <w:pPr>
        <w:pStyle w:val="SingleTxtG"/>
        <w:ind w:left="1701"/>
        <w:rPr>
          <w:lang w:val="fr-CH"/>
        </w:rPr>
      </w:pPr>
      <w:r w:rsidRPr="0071782F">
        <w:rPr>
          <w:lang w:val="fr-CH"/>
        </w:rPr>
        <w:t>197.27.</w:t>
      </w:r>
      <w:r w:rsidR="008A69F2" w:rsidRPr="0071782F">
        <w:rPr>
          <w:lang w:val="fr-CH"/>
        </w:rPr>
        <w:t xml:space="preserve"> </w:t>
      </w:r>
      <w:r w:rsidR="00F64305" w:rsidRPr="0071782F">
        <w:rPr>
          <w:lang w:val="fr-CH"/>
        </w:rPr>
        <w:t xml:space="preserve">Concevoir un modèle d’évaluation des résultats des programmes du secteur du logement devant permettre d’évaluer les progrès accomplis par ces programmes et d’augmenter l’offre </w:t>
      </w:r>
      <w:r w:rsidR="003F25A2">
        <w:rPr>
          <w:lang w:val="fr-CH"/>
        </w:rPr>
        <w:t>de logements</w:t>
      </w:r>
      <w:r w:rsidR="00F64305" w:rsidRPr="0071782F">
        <w:rPr>
          <w:lang w:val="fr-CH"/>
        </w:rPr>
        <w:t xml:space="preserve"> et d’en améliorer la qualité</w:t>
      </w:r>
      <w:r w:rsidR="008A69F2" w:rsidRPr="0071782F">
        <w:rPr>
          <w:lang w:val="fr-CH"/>
        </w:rPr>
        <w:t>.</w:t>
      </w:r>
      <w:r w:rsidRPr="0071782F">
        <w:rPr>
          <w:lang w:val="fr-CH"/>
        </w:rPr>
        <w:t xml:space="preserve"> </w:t>
      </w:r>
    </w:p>
    <w:p w:rsidR="008A7415" w:rsidRPr="0071782F" w:rsidRDefault="008A7415" w:rsidP="00FB43A4">
      <w:pPr>
        <w:pStyle w:val="SingleTxtG"/>
        <w:ind w:left="1701"/>
        <w:rPr>
          <w:lang w:val="fr-CH"/>
        </w:rPr>
      </w:pPr>
      <w:r w:rsidRPr="0071782F">
        <w:rPr>
          <w:lang w:val="fr-CH"/>
        </w:rPr>
        <w:t>197.28.</w:t>
      </w:r>
      <w:r w:rsidR="002A7CC3" w:rsidRPr="0071782F">
        <w:rPr>
          <w:lang w:val="fr-CH"/>
        </w:rPr>
        <w:t xml:space="preserve"> </w:t>
      </w:r>
      <w:r w:rsidR="008078BA" w:rsidRPr="0071782F">
        <w:rPr>
          <w:lang w:val="fr-CH"/>
        </w:rPr>
        <w:t xml:space="preserve">Créer un Conseil public du logement pour coordonner les politiques et programmes intersectoriels. Créé sur décision du Conseil des ministres, ce Conseil a tenu des séances hebdomadaires sous la présidence du Président </w:t>
      </w:r>
      <w:r w:rsidR="00CB7BCB" w:rsidRPr="0071782F">
        <w:rPr>
          <w:lang w:val="fr-CH"/>
        </w:rPr>
        <w:t>du pays</w:t>
      </w:r>
      <w:r w:rsidR="008078BA" w:rsidRPr="0071782F">
        <w:rPr>
          <w:lang w:val="fr-CH"/>
        </w:rPr>
        <w:t xml:space="preserve"> pour adopter les décisions nécessaires sur le secteur du logement</w:t>
      </w:r>
      <w:r w:rsidR="002A7CC3" w:rsidRPr="0071782F">
        <w:rPr>
          <w:lang w:val="fr-CH"/>
        </w:rPr>
        <w:t>.</w:t>
      </w:r>
      <w:r w:rsidR="00D36718">
        <w:rPr>
          <w:lang w:val="fr-CH"/>
        </w:rPr>
        <w:t xml:space="preserve"> </w:t>
      </w:r>
    </w:p>
    <w:p w:rsidR="008A7415" w:rsidRPr="0071782F" w:rsidRDefault="008A7415" w:rsidP="00FB43A4">
      <w:pPr>
        <w:pStyle w:val="SingleTxtG"/>
        <w:ind w:left="1701"/>
        <w:rPr>
          <w:lang w:val="fr-CH"/>
        </w:rPr>
      </w:pPr>
      <w:r w:rsidRPr="0071782F">
        <w:rPr>
          <w:lang w:val="fr-CH"/>
        </w:rPr>
        <w:t>197.29.</w:t>
      </w:r>
      <w:r w:rsidR="002A7CC3" w:rsidRPr="0071782F">
        <w:rPr>
          <w:lang w:val="fr-CH"/>
        </w:rPr>
        <w:t xml:space="preserve"> </w:t>
      </w:r>
      <w:r w:rsidR="008078BA" w:rsidRPr="0071782F">
        <w:rPr>
          <w:lang w:val="fr-CH"/>
        </w:rPr>
        <w:t xml:space="preserve">Créer un groupe de travail sur le logement en lui conférant les compétences prévues par </w:t>
      </w:r>
      <w:r w:rsidR="00723F2B" w:rsidRPr="0071782F">
        <w:rPr>
          <w:lang w:val="fr-CH"/>
        </w:rPr>
        <w:t>l’</w:t>
      </w:r>
      <w:r w:rsidR="00943A69" w:rsidRPr="0071782F">
        <w:rPr>
          <w:lang w:val="fr-CH"/>
        </w:rPr>
        <w:t>article </w:t>
      </w:r>
      <w:r w:rsidRPr="0071782F">
        <w:rPr>
          <w:lang w:val="fr-CH"/>
        </w:rPr>
        <w:t xml:space="preserve">17 </w:t>
      </w:r>
      <w:r w:rsidR="008078BA" w:rsidRPr="0071782F">
        <w:rPr>
          <w:lang w:val="fr-CH"/>
        </w:rPr>
        <w:t xml:space="preserve">de la </w:t>
      </w:r>
      <w:r w:rsidRPr="0071782F">
        <w:rPr>
          <w:lang w:val="fr-CH"/>
        </w:rPr>
        <w:t xml:space="preserve">Constitution </w:t>
      </w:r>
      <w:r w:rsidR="008078BA" w:rsidRPr="0071782F">
        <w:rPr>
          <w:lang w:val="fr-CH"/>
        </w:rPr>
        <w:t>afin d’accélérer le processus d’adoption des décisions et lignes directrices relatives au secteur du logement. Ce groupe de travail a tenu 50</w:t>
      </w:r>
      <w:r w:rsidR="00120407">
        <w:rPr>
          <w:lang w:val="fr-CH"/>
        </w:rPr>
        <w:t> </w:t>
      </w:r>
      <w:r w:rsidR="008078BA" w:rsidRPr="0071782F">
        <w:rPr>
          <w:lang w:val="fr-CH"/>
        </w:rPr>
        <w:t xml:space="preserve">réunions hebdomadaires et a adopté les politiques nécessaires au secteur du logement, portant notamment sur </w:t>
      </w:r>
      <w:r w:rsidR="00376A93" w:rsidRPr="0071782F">
        <w:rPr>
          <w:lang w:val="fr-CH"/>
        </w:rPr>
        <w:t>la cession</w:t>
      </w:r>
      <w:r w:rsidR="008078BA" w:rsidRPr="0071782F">
        <w:rPr>
          <w:lang w:val="fr-CH"/>
        </w:rPr>
        <w:t xml:space="preserve"> et l’achat de </w:t>
      </w:r>
      <w:r w:rsidRPr="0071782F">
        <w:rPr>
          <w:lang w:val="fr-CH"/>
        </w:rPr>
        <w:t>40</w:t>
      </w:r>
      <w:r w:rsidR="00E83264" w:rsidRPr="0071782F">
        <w:rPr>
          <w:lang w:val="fr-CH"/>
        </w:rPr>
        <w:t> </w:t>
      </w:r>
      <w:r w:rsidRPr="0071782F">
        <w:rPr>
          <w:lang w:val="fr-CH"/>
        </w:rPr>
        <w:t>000</w:t>
      </w:r>
      <w:r w:rsidR="00F071D1" w:rsidRPr="0071782F">
        <w:rPr>
          <w:lang w:val="fr-CH"/>
        </w:rPr>
        <w:t> h</w:t>
      </w:r>
      <w:r w:rsidR="009E6189">
        <w:rPr>
          <w:lang w:val="fr-CH"/>
        </w:rPr>
        <w:t>a</w:t>
      </w:r>
      <w:r w:rsidRPr="0071782F">
        <w:rPr>
          <w:lang w:val="fr-CH"/>
        </w:rPr>
        <w:t xml:space="preserve"> </w:t>
      </w:r>
      <w:r w:rsidR="008078BA" w:rsidRPr="0071782F">
        <w:rPr>
          <w:lang w:val="fr-CH"/>
        </w:rPr>
        <w:t>de terrains appartenant à d’autres organismes publics.</w:t>
      </w:r>
      <w:r w:rsidRPr="0071782F">
        <w:rPr>
          <w:lang w:val="fr-CH"/>
        </w:rPr>
        <w:t xml:space="preserve"> </w:t>
      </w:r>
    </w:p>
    <w:p w:rsidR="008A7415" w:rsidRPr="0071782F" w:rsidRDefault="008A7415" w:rsidP="00FB43A4">
      <w:pPr>
        <w:pStyle w:val="SingleTxtG"/>
        <w:ind w:left="1701"/>
        <w:rPr>
          <w:lang w:val="fr-CH"/>
        </w:rPr>
      </w:pPr>
      <w:r w:rsidRPr="0071782F">
        <w:rPr>
          <w:lang w:val="fr-CH"/>
        </w:rPr>
        <w:t>197.30.</w:t>
      </w:r>
      <w:r w:rsidR="002A7CC3" w:rsidRPr="0071782F">
        <w:rPr>
          <w:lang w:val="fr-CH"/>
        </w:rPr>
        <w:t xml:space="preserve"> </w:t>
      </w:r>
      <w:r w:rsidR="00376A93" w:rsidRPr="0071782F">
        <w:rPr>
          <w:lang w:val="fr-CH"/>
        </w:rPr>
        <w:t xml:space="preserve">Créer des conseils du logement provinciaux chargés de coordonner les politiques et programmes intersectoriels au niveau provincial. Les conseils locaux ont tenu des réunions présidées par le gouverneur général de chaque province et ont adopté des politiques relatives au secteur local du logement et, en particulier, celles qui concernent la cession de terrains aux fins de la construction </w:t>
      </w:r>
      <w:r w:rsidR="003F25A2">
        <w:rPr>
          <w:lang w:val="fr-CH"/>
        </w:rPr>
        <w:t>de logements</w:t>
      </w:r>
      <w:r w:rsidRPr="0071782F">
        <w:rPr>
          <w:lang w:val="fr-CH"/>
        </w:rPr>
        <w:t xml:space="preserve">. </w:t>
      </w:r>
    </w:p>
    <w:p w:rsidR="008A7415" w:rsidRPr="0071782F" w:rsidRDefault="008A7415" w:rsidP="00204410">
      <w:pPr>
        <w:pStyle w:val="H1G"/>
        <w:rPr>
          <w:lang w:val="fr-CH"/>
        </w:rPr>
      </w:pPr>
      <w:r w:rsidRPr="0071782F">
        <w:rPr>
          <w:lang w:val="fr-CH"/>
        </w:rPr>
        <w:tab/>
      </w:r>
      <w:r w:rsidRPr="0071782F">
        <w:rPr>
          <w:lang w:val="fr-CH"/>
        </w:rPr>
        <w:tab/>
      </w:r>
      <w:r w:rsidR="00376A93" w:rsidRPr="0071782F">
        <w:rPr>
          <w:lang w:val="fr-CH"/>
        </w:rPr>
        <w:t xml:space="preserve">Résultats des variables </w:t>
      </w:r>
      <w:r w:rsidRPr="0071782F">
        <w:rPr>
          <w:lang w:val="fr-CH"/>
        </w:rPr>
        <w:t>quantitative</w:t>
      </w:r>
      <w:r w:rsidR="00376A93" w:rsidRPr="0071782F">
        <w:rPr>
          <w:lang w:val="fr-CH"/>
        </w:rPr>
        <w:t xml:space="preserve">s du </w:t>
      </w:r>
      <w:r w:rsidR="00A90208" w:rsidRPr="0071782F">
        <w:rPr>
          <w:lang w:val="fr-CH"/>
        </w:rPr>
        <w:t>quatrième</w:t>
      </w:r>
      <w:r w:rsidR="00376A93" w:rsidRPr="0071782F">
        <w:rPr>
          <w:lang w:val="fr-CH"/>
        </w:rPr>
        <w:t xml:space="preserve"> plan de développement dans le secteur du logement</w:t>
      </w:r>
      <w:r w:rsidR="00D36718">
        <w:rPr>
          <w:lang w:val="fr-CH"/>
        </w:rPr>
        <w:t xml:space="preserve"> </w:t>
      </w:r>
    </w:p>
    <w:p w:rsidR="008A7415" w:rsidRPr="0071782F" w:rsidRDefault="008A7415" w:rsidP="00204410">
      <w:pPr>
        <w:pStyle w:val="H23G"/>
        <w:rPr>
          <w:lang w:val="fr-CH"/>
        </w:rPr>
      </w:pPr>
      <w:r w:rsidRPr="0071782F">
        <w:rPr>
          <w:lang w:val="fr-CH"/>
        </w:rPr>
        <w:tab/>
      </w:r>
      <w:r w:rsidRPr="0071782F">
        <w:rPr>
          <w:lang w:val="fr-CH"/>
        </w:rPr>
        <w:tab/>
        <w:t xml:space="preserve">Population </w:t>
      </w:r>
      <w:r w:rsidR="00E83264" w:rsidRPr="0071782F">
        <w:rPr>
          <w:lang w:val="fr-CH"/>
        </w:rPr>
        <w:t>et famille</w:t>
      </w:r>
      <w:r w:rsidR="00376A93" w:rsidRPr="0071782F">
        <w:rPr>
          <w:lang w:val="fr-CH"/>
        </w:rPr>
        <w:t xml:space="preserve"> </w:t>
      </w:r>
    </w:p>
    <w:p w:rsidR="008A7415" w:rsidRPr="0071782F" w:rsidRDefault="008A7415" w:rsidP="00204410">
      <w:pPr>
        <w:pStyle w:val="SingleTxtG"/>
        <w:rPr>
          <w:lang w:val="fr-CH"/>
        </w:rPr>
      </w:pPr>
      <w:r w:rsidRPr="0071782F">
        <w:rPr>
          <w:lang w:val="fr-CH"/>
        </w:rPr>
        <w:t>198.</w:t>
      </w:r>
      <w:r w:rsidRPr="0071782F">
        <w:rPr>
          <w:lang w:val="fr-CH"/>
        </w:rPr>
        <w:tab/>
        <w:t>A</w:t>
      </w:r>
      <w:r w:rsidR="00CB4BD7" w:rsidRPr="0071782F">
        <w:rPr>
          <w:lang w:val="fr-CH"/>
        </w:rPr>
        <w:t xml:space="preserve">u début du </w:t>
      </w:r>
      <w:r w:rsidR="00A90208" w:rsidRPr="0071782F">
        <w:rPr>
          <w:lang w:val="fr-CH"/>
        </w:rPr>
        <w:t>quatrième</w:t>
      </w:r>
      <w:r w:rsidR="00CB4BD7" w:rsidRPr="0071782F">
        <w:rPr>
          <w:lang w:val="fr-CH"/>
        </w:rPr>
        <w:t xml:space="preserve"> plan de développement (2005), le pays comptait </w:t>
      </w:r>
      <w:r w:rsidRPr="0071782F">
        <w:rPr>
          <w:lang w:val="fr-CH"/>
        </w:rPr>
        <w:t>63</w:t>
      </w:r>
      <w:r w:rsidR="00CB4BD7" w:rsidRPr="0071782F">
        <w:rPr>
          <w:lang w:val="fr-CH"/>
        </w:rPr>
        <w:t>,9</w:t>
      </w:r>
      <w:r w:rsidR="00097CDB" w:rsidRPr="0071782F">
        <w:rPr>
          <w:lang w:val="fr-CH"/>
        </w:rPr>
        <w:t> millions</w:t>
      </w:r>
      <w:r w:rsidR="00CB4BD7" w:rsidRPr="0071782F">
        <w:rPr>
          <w:lang w:val="fr-CH"/>
        </w:rPr>
        <w:t xml:space="preserve"> d’habitants; en 2007, ce chiffre est passé à </w:t>
      </w:r>
      <w:r w:rsidRPr="0071782F">
        <w:rPr>
          <w:lang w:val="fr-CH"/>
        </w:rPr>
        <w:t>71</w:t>
      </w:r>
      <w:r w:rsidR="00CB4BD7" w:rsidRPr="0071782F">
        <w:rPr>
          <w:lang w:val="fr-CH"/>
        </w:rPr>
        <w:t>,</w:t>
      </w:r>
      <w:r w:rsidRPr="0071782F">
        <w:rPr>
          <w:lang w:val="fr-CH"/>
        </w:rPr>
        <w:t>5</w:t>
      </w:r>
      <w:r w:rsidR="00097CDB" w:rsidRPr="0071782F">
        <w:rPr>
          <w:lang w:val="fr-CH"/>
        </w:rPr>
        <w:t> millions</w:t>
      </w:r>
      <w:r w:rsidRPr="0071782F">
        <w:rPr>
          <w:lang w:val="fr-CH"/>
        </w:rPr>
        <w:t xml:space="preserve">, </w:t>
      </w:r>
      <w:r w:rsidR="00CB4BD7" w:rsidRPr="0071782F">
        <w:rPr>
          <w:lang w:val="fr-CH"/>
        </w:rPr>
        <w:t xml:space="preserve">en augmentation de </w:t>
      </w:r>
      <w:r w:rsidRPr="0071782F">
        <w:rPr>
          <w:lang w:val="fr-CH"/>
        </w:rPr>
        <w:t>11</w:t>
      </w:r>
      <w:r w:rsidR="00CB4BD7" w:rsidRPr="0071782F">
        <w:rPr>
          <w:lang w:val="fr-CH"/>
        </w:rPr>
        <w:t>,</w:t>
      </w:r>
      <w:r w:rsidRPr="0071782F">
        <w:rPr>
          <w:lang w:val="fr-CH"/>
        </w:rPr>
        <w:t>8</w:t>
      </w:r>
      <w:r w:rsidR="007E5125" w:rsidRPr="0071782F">
        <w:rPr>
          <w:lang w:val="fr-CH"/>
        </w:rPr>
        <w:t>%</w:t>
      </w:r>
      <w:r w:rsidRPr="0071782F">
        <w:rPr>
          <w:lang w:val="fr-CH"/>
        </w:rPr>
        <w:t xml:space="preserve">. </w:t>
      </w:r>
      <w:r w:rsidR="00CB4BD7" w:rsidRPr="0071782F">
        <w:rPr>
          <w:lang w:val="fr-CH"/>
        </w:rPr>
        <w:t xml:space="preserve">Selon les résultats du recensement de </w:t>
      </w:r>
      <w:r w:rsidRPr="0071782F">
        <w:rPr>
          <w:lang w:val="fr-CH"/>
        </w:rPr>
        <w:t xml:space="preserve">2006, </w:t>
      </w:r>
      <w:r w:rsidR="00CB4BD7" w:rsidRPr="0071782F">
        <w:rPr>
          <w:lang w:val="fr-CH"/>
        </w:rPr>
        <w:t>on dé</w:t>
      </w:r>
      <w:r w:rsidR="003B48A4" w:rsidRPr="0071782F">
        <w:rPr>
          <w:lang w:val="fr-CH"/>
        </w:rPr>
        <w:t>nombr</w:t>
      </w:r>
      <w:r w:rsidR="00CB4BD7" w:rsidRPr="0071782F">
        <w:rPr>
          <w:lang w:val="fr-CH"/>
        </w:rPr>
        <w:t>ait dans l’ensemble du pays</w:t>
      </w:r>
      <w:r w:rsidRPr="0071782F">
        <w:rPr>
          <w:lang w:val="fr-CH"/>
        </w:rPr>
        <w:t xml:space="preserve"> 17</w:t>
      </w:r>
      <w:r w:rsidR="00CB4BD7" w:rsidRPr="0071782F">
        <w:rPr>
          <w:lang w:val="fr-CH"/>
        </w:rPr>
        <w:t>,</w:t>
      </w:r>
      <w:r w:rsidRPr="0071782F">
        <w:rPr>
          <w:lang w:val="fr-CH"/>
        </w:rPr>
        <w:t>49</w:t>
      </w:r>
      <w:r w:rsidR="00097CDB" w:rsidRPr="0071782F">
        <w:rPr>
          <w:lang w:val="fr-CH"/>
        </w:rPr>
        <w:t> millions</w:t>
      </w:r>
      <w:r w:rsidR="00CB4BD7" w:rsidRPr="0071782F">
        <w:rPr>
          <w:lang w:val="fr-CH"/>
        </w:rPr>
        <w:t xml:space="preserve"> </w:t>
      </w:r>
      <w:r w:rsidR="0092511D" w:rsidRPr="0071782F">
        <w:rPr>
          <w:lang w:val="fr-CH"/>
        </w:rPr>
        <w:t>de famille</w:t>
      </w:r>
      <w:r w:rsidR="00CB4BD7" w:rsidRPr="0071782F">
        <w:rPr>
          <w:lang w:val="fr-CH"/>
        </w:rPr>
        <w:t>s</w:t>
      </w:r>
      <w:r w:rsidRPr="0071782F">
        <w:rPr>
          <w:lang w:val="fr-CH"/>
        </w:rPr>
        <w:t xml:space="preserve">, </w:t>
      </w:r>
      <w:r w:rsidR="00CB4BD7" w:rsidRPr="0071782F">
        <w:rPr>
          <w:lang w:val="fr-CH"/>
        </w:rPr>
        <w:t xml:space="preserve">dont </w:t>
      </w:r>
      <w:r w:rsidRPr="0071782F">
        <w:rPr>
          <w:lang w:val="fr-CH"/>
        </w:rPr>
        <w:t>12</w:t>
      </w:r>
      <w:r w:rsidR="00CB4BD7" w:rsidRPr="0071782F">
        <w:rPr>
          <w:lang w:val="fr-CH"/>
        </w:rPr>
        <w:t>,</w:t>
      </w:r>
      <w:r w:rsidRPr="0071782F">
        <w:rPr>
          <w:lang w:val="fr-CH"/>
        </w:rPr>
        <w:t>4</w:t>
      </w:r>
      <w:r w:rsidR="00097CDB" w:rsidRPr="0071782F">
        <w:rPr>
          <w:lang w:val="fr-CH"/>
        </w:rPr>
        <w:t> millions</w:t>
      </w:r>
      <w:r w:rsidR="00CB4BD7" w:rsidRPr="0071782F">
        <w:rPr>
          <w:lang w:val="fr-CH"/>
        </w:rPr>
        <w:t xml:space="preserve"> vivaient dans les zones urbaines et cinq</w:t>
      </w:r>
      <w:r w:rsidR="00097CDB" w:rsidRPr="0071782F">
        <w:rPr>
          <w:lang w:val="fr-CH"/>
        </w:rPr>
        <w:t> millions</w:t>
      </w:r>
      <w:r w:rsidR="00CB4BD7" w:rsidRPr="0071782F">
        <w:rPr>
          <w:lang w:val="fr-CH"/>
        </w:rPr>
        <w:t xml:space="preserve"> dans les zones </w:t>
      </w:r>
      <w:r w:rsidRPr="0071782F">
        <w:rPr>
          <w:lang w:val="fr-CH"/>
        </w:rPr>
        <w:t>rural</w:t>
      </w:r>
      <w:r w:rsidR="00CB4BD7" w:rsidRPr="0071782F">
        <w:rPr>
          <w:lang w:val="fr-CH"/>
        </w:rPr>
        <w:t>es</w:t>
      </w:r>
      <w:r w:rsidRPr="0071782F">
        <w:rPr>
          <w:lang w:val="fr-CH"/>
        </w:rPr>
        <w:t xml:space="preserve">. </w:t>
      </w:r>
    </w:p>
    <w:p w:rsidR="008A7415" w:rsidRPr="0071782F" w:rsidRDefault="008A7415" w:rsidP="00204410">
      <w:pPr>
        <w:pStyle w:val="H23G"/>
        <w:rPr>
          <w:lang w:val="fr-CH"/>
        </w:rPr>
      </w:pPr>
      <w:r w:rsidRPr="0071782F">
        <w:rPr>
          <w:lang w:val="fr-CH"/>
        </w:rPr>
        <w:tab/>
      </w:r>
      <w:r w:rsidRPr="0071782F">
        <w:rPr>
          <w:lang w:val="fr-CH"/>
        </w:rPr>
        <w:tab/>
      </w:r>
      <w:r w:rsidR="00CB4BD7" w:rsidRPr="0071782F">
        <w:rPr>
          <w:lang w:val="fr-CH"/>
        </w:rPr>
        <w:t xml:space="preserve">Valeur ajoutée du secteur du logement </w:t>
      </w:r>
    </w:p>
    <w:p w:rsidR="008A7415" w:rsidRPr="0071782F" w:rsidRDefault="008A7415" w:rsidP="00204410">
      <w:pPr>
        <w:pStyle w:val="SingleTxtG"/>
        <w:rPr>
          <w:lang w:val="fr-CH"/>
        </w:rPr>
      </w:pPr>
      <w:r w:rsidRPr="0071782F">
        <w:rPr>
          <w:lang w:val="fr-CH"/>
        </w:rPr>
        <w:t>199.</w:t>
      </w:r>
      <w:r w:rsidRPr="0071782F">
        <w:rPr>
          <w:lang w:val="fr-CH"/>
        </w:rPr>
        <w:tab/>
      </w:r>
      <w:r w:rsidR="00CB4BD7" w:rsidRPr="0071782F">
        <w:rPr>
          <w:lang w:val="fr-CH"/>
        </w:rPr>
        <w:t>Selon les données publiées par la Banque centrale, la valeur ajoutée du secteur du logement a atteint en 2005, en prix constants de 1997, 18</w:t>
      </w:r>
      <w:r w:rsidR="0094231D" w:rsidRPr="0071782F">
        <w:rPr>
          <w:lang w:val="fr-CH"/>
        </w:rPr>
        <w:t xml:space="preserve"> </w:t>
      </w:r>
      <w:r w:rsidRPr="0071782F">
        <w:rPr>
          <w:lang w:val="fr-CH"/>
        </w:rPr>
        <w:t>728</w:t>
      </w:r>
      <w:r w:rsidR="008553D9" w:rsidRPr="0071782F">
        <w:rPr>
          <w:lang w:val="fr-CH"/>
        </w:rPr>
        <w:t> milliard</w:t>
      </w:r>
      <w:r w:rsidR="00097CDB" w:rsidRPr="0071782F">
        <w:rPr>
          <w:lang w:val="fr-CH"/>
        </w:rPr>
        <w:t>s</w:t>
      </w:r>
      <w:r w:rsidR="00CB4BD7" w:rsidRPr="0071782F">
        <w:rPr>
          <w:lang w:val="fr-CH"/>
        </w:rPr>
        <w:t xml:space="preserve"> </w:t>
      </w:r>
      <w:r w:rsidR="003B1403" w:rsidRPr="0071782F">
        <w:rPr>
          <w:lang w:val="fr-CH"/>
        </w:rPr>
        <w:t>de rials</w:t>
      </w:r>
      <w:r w:rsidR="00CB4BD7" w:rsidRPr="0071782F">
        <w:rPr>
          <w:lang w:val="fr-CH"/>
        </w:rPr>
        <w:t xml:space="preserve">, ce qui représente un accroissement de </w:t>
      </w:r>
      <w:r w:rsidRPr="0071782F">
        <w:rPr>
          <w:lang w:val="fr-CH"/>
        </w:rPr>
        <w:t>4</w:t>
      </w:r>
      <w:r w:rsidR="00CB4BD7" w:rsidRPr="0071782F">
        <w:rPr>
          <w:lang w:val="fr-CH"/>
        </w:rPr>
        <w:t>,</w:t>
      </w:r>
      <w:r w:rsidRPr="0071782F">
        <w:rPr>
          <w:lang w:val="fr-CH"/>
        </w:rPr>
        <w:t>4</w:t>
      </w:r>
      <w:r w:rsidR="007E5125" w:rsidRPr="0071782F">
        <w:rPr>
          <w:lang w:val="fr-CH"/>
        </w:rPr>
        <w:t>%</w:t>
      </w:r>
      <w:r w:rsidRPr="0071782F">
        <w:rPr>
          <w:lang w:val="fr-CH"/>
        </w:rPr>
        <w:t xml:space="preserve"> </w:t>
      </w:r>
      <w:r w:rsidR="00CB4BD7" w:rsidRPr="0071782F">
        <w:rPr>
          <w:lang w:val="fr-CH"/>
        </w:rPr>
        <w:t xml:space="preserve">par rapport à celle de </w:t>
      </w:r>
      <w:r w:rsidRPr="0071782F">
        <w:rPr>
          <w:lang w:val="fr-CH"/>
        </w:rPr>
        <w:t xml:space="preserve">2004; </w:t>
      </w:r>
      <w:r w:rsidR="004E45FB" w:rsidRPr="0071782F">
        <w:rPr>
          <w:lang w:val="fr-CH"/>
        </w:rPr>
        <w:t>un taux de croissance de </w:t>
      </w:r>
      <w:r w:rsidRPr="0071782F">
        <w:rPr>
          <w:lang w:val="fr-CH"/>
        </w:rPr>
        <w:t>3</w:t>
      </w:r>
      <w:r w:rsidR="00CB4BD7" w:rsidRPr="0071782F">
        <w:rPr>
          <w:lang w:val="fr-CH"/>
        </w:rPr>
        <w:t>,</w:t>
      </w:r>
      <w:r w:rsidRPr="0071782F">
        <w:rPr>
          <w:lang w:val="fr-CH"/>
        </w:rPr>
        <w:t>7</w:t>
      </w:r>
      <w:r w:rsidR="007E5125" w:rsidRPr="0071782F">
        <w:rPr>
          <w:lang w:val="fr-CH"/>
        </w:rPr>
        <w:t>%</w:t>
      </w:r>
      <w:r w:rsidRPr="0071782F">
        <w:rPr>
          <w:lang w:val="fr-CH"/>
        </w:rPr>
        <w:t xml:space="preserve"> </w:t>
      </w:r>
      <w:r w:rsidR="00CB4BD7" w:rsidRPr="0071782F">
        <w:rPr>
          <w:lang w:val="fr-CH"/>
        </w:rPr>
        <w:t xml:space="preserve">a porté ce chiffre à </w:t>
      </w:r>
      <w:r w:rsidRPr="0071782F">
        <w:rPr>
          <w:lang w:val="fr-CH"/>
        </w:rPr>
        <w:t>19</w:t>
      </w:r>
      <w:r w:rsidR="00CB4BD7" w:rsidRPr="0071782F">
        <w:rPr>
          <w:lang w:val="fr-CH"/>
        </w:rPr>
        <w:t xml:space="preserve"> </w:t>
      </w:r>
      <w:r w:rsidRPr="0071782F">
        <w:rPr>
          <w:lang w:val="fr-CH"/>
        </w:rPr>
        <w:t>420</w:t>
      </w:r>
      <w:r w:rsidR="008553D9" w:rsidRPr="0071782F">
        <w:rPr>
          <w:lang w:val="fr-CH"/>
        </w:rPr>
        <w:t> milliard</w:t>
      </w:r>
      <w:r w:rsidR="00097CDB" w:rsidRPr="0071782F">
        <w:rPr>
          <w:lang w:val="fr-CH"/>
        </w:rPr>
        <w:t>s</w:t>
      </w:r>
      <w:r w:rsidR="00CB4BD7" w:rsidRPr="0071782F">
        <w:rPr>
          <w:lang w:val="fr-CH"/>
        </w:rPr>
        <w:t xml:space="preserve"> </w:t>
      </w:r>
      <w:r w:rsidR="003B1403" w:rsidRPr="0071782F">
        <w:rPr>
          <w:lang w:val="fr-CH"/>
        </w:rPr>
        <w:t>de rials</w:t>
      </w:r>
      <w:r w:rsidRPr="0071782F">
        <w:rPr>
          <w:lang w:val="fr-CH"/>
        </w:rPr>
        <w:t xml:space="preserve"> </w:t>
      </w:r>
      <w:r w:rsidR="00CB4BD7" w:rsidRPr="0071782F">
        <w:rPr>
          <w:lang w:val="fr-CH"/>
        </w:rPr>
        <w:t>e</w:t>
      </w:r>
      <w:r w:rsidRPr="0071782F">
        <w:rPr>
          <w:lang w:val="fr-CH"/>
        </w:rPr>
        <w:t xml:space="preserve">n 2006. </w:t>
      </w:r>
    </w:p>
    <w:p w:rsidR="008A7415" w:rsidRPr="0071782F" w:rsidRDefault="008A7415" w:rsidP="00695FF7">
      <w:pPr>
        <w:pStyle w:val="SingleTxtG"/>
        <w:tabs>
          <w:tab w:val="left" w:pos="2410"/>
        </w:tabs>
        <w:spacing w:after="0"/>
        <w:ind w:left="1701"/>
        <w:rPr>
          <w:lang w:val="fr-CH"/>
        </w:rPr>
      </w:pPr>
      <w:r w:rsidRPr="0071782F">
        <w:rPr>
          <w:lang w:val="fr-CH"/>
        </w:rPr>
        <w:t>199.1.</w:t>
      </w:r>
      <w:r w:rsidRPr="0071782F">
        <w:rPr>
          <w:lang w:val="fr-CH"/>
        </w:rPr>
        <w:tab/>
      </w:r>
      <w:r w:rsidR="00CB4BD7" w:rsidRPr="0071782F">
        <w:rPr>
          <w:lang w:val="fr-CH"/>
        </w:rPr>
        <w:t xml:space="preserve">Au dernier trimestre de </w:t>
      </w:r>
      <w:r w:rsidRPr="0071782F">
        <w:rPr>
          <w:lang w:val="fr-CH"/>
        </w:rPr>
        <w:t xml:space="preserve">2007 </w:t>
      </w:r>
      <w:r w:rsidR="00CB4BD7" w:rsidRPr="0071782F">
        <w:rPr>
          <w:lang w:val="fr-CH"/>
        </w:rPr>
        <w:t xml:space="preserve">et au premier trimestre de </w:t>
      </w:r>
      <w:r w:rsidRPr="0071782F">
        <w:rPr>
          <w:lang w:val="fr-CH"/>
        </w:rPr>
        <w:t xml:space="preserve">2008, </w:t>
      </w:r>
      <w:r w:rsidR="00CB4BD7" w:rsidRPr="0071782F">
        <w:rPr>
          <w:lang w:val="fr-CH"/>
        </w:rPr>
        <w:t xml:space="preserve">la valeur ajoutée du secteur du logement a atteint, en prix constants de 1997, quelque </w:t>
      </w:r>
      <w:r w:rsidRPr="0071782F">
        <w:rPr>
          <w:lang w:val="fr-CH"/>
        </w:rPr>
        <w:t>6</w:t>
      </w:r>
      <w:r w:rsidR="004E45FB" w:rsidRPr="0071782F">
        <w:rPr>
          <w:lang w:val="fr-CH"/>
        </w:rPr>
        <w:t> </w:t>
      </w:r>
      <w:r w:rsidRPr="0071782F">
        <w:rPr>
          <w:lang w:val="fr-CH"/>
        </w:rPr>
        <w:t>645</w:t>
      </w:r>
      <w:r w:rsidR="008553D9" w:rsidRPr="0071782F">
        <w:rPr>
          <w:lang w:val="fr-CH"/>
        </w:rPr>
        <w:t> milliard</w:t>
      </w:r>
      <w:r w:rsidR="00097CDB" w:rsidRPr="0071782F">
        <w:rPr>
          <w:lang w:val="fr-CH"/>
        </w:rPr>
        <w:t>s</w:t>
      </w:r>
      <w:r w:rsidR="00CB4BD7" w:rsidRPr="0071782F">
        <w:rPr>
          <w:lang w:val="fr-CH"/>
        </w:rPr>
        <w:t xml:space="preserve"> </w:t>
      </w:r>
      <w:r w:rsidR="003B1403" w:rsidRPr="0071782F">
        <w:rPr>
          <w:lang w:val="fr-CH"/>
        </w:rPr>
        <w:t>de rials</w:t>
      </w:r>
      <w:r w:rsidRPr="0071782F">
        <w:rPr>
          <w:lang w:val="fr-CH"/>
        </w:rPr>
        <w:t xml:space="preserve">, </w:t>
      </w:r>
      <w:r w:rsidR="00CB4BD7" w:rsidRPr="0071782F">
        <w:rPr>
          <w:lang w:val="fr-CH"/>
        </w:rPr>
        <w:t xml:space="preserve">en augmentation de </w:t>
      </w:r>
      <w:r w:rsidRPr="0071782F">
        <w:rPr>
          <w:lang w:val="fr-CH"/>
        </w:rPr>
        <w:t>18</w:t>
      </w:r>
      <w:r w:rsidR="00CB4BD7" w:rsidRPr="0071782F">
        <w:rPr>
          <w:lang w:val="fr-CH"/>
        </w:rPr>
        <w:t>,</w:t>
      </w:r>
      <w:r w:rsidRPr="0071782F">
        <w:rPr>
          <w:lang w:val="fr-CH"/>
        </w:rPr>
        <w:t>8</w:t>
      </w:r>
      <w:r w:rsidR="007E5125" w:rsidRPr="0071782F">
        <w:rPr>
          <w:lang w:val="fr-CH"/>
        </w:rPr>
        <w:t>%</w:t>
      </w:r>
      <w:r w:rsidRPr="0071782F">
        <w:rPr>
          <w:lang w:val="fr-CH"/>
        </w:rPr>
        <w:t xml:space="preserve"> </w:t>
      </w:r>
      <w:r w:rsidR="00CB4BD7" w:rsidRPr="0071782F">
        <w:rPr>
          <w:lang w:val="fr-CH"/>
        </w:rPr>
        <w:t>par rapport à celle de l’année antérieure.</w:t>
      </w:r>
      <w:r w:rsidRPr="0071782F">
        <w:rPr>
          <w:lang w:val="fr-CH"/>
        </w:rPr>
        <w:t xml:space="preserve"> </w:t>
      </w:r>
    </w:p>
    <w:p w:rsidR="008A7415" w:rsidRPr="0071782F" w:rsidRDefault="008A7415" w:rsidP="00204410">
      <w:pPr>
        <w:pStyle w:val="H23G"/>
        <w:rPr>
          <w:lang w:val="fr-CH"/>
        </w:rPr>
      </w:pPr>
      <w:r w:rsidRPr="0071782F">
        <w:rPr>
          <w:lang w:val="fr-CH"/>
        </w:rPr>
        <w:tab/>
      </w:r>
      <w:r w:rsidRPr="0071782F">
        <w:rPr>
          <w:lang w:val="fr-CH"/>
        </w:rPr>
        <w:tab/>
      </w:r>
      <w:r w:rsidR="00CB4BD7" w:rsidRPr="0071782F">
        <w:rPr>
          <w:lang w:val="fr-CH"/>
        </w:rPr>
        <w:t xml:space="preserve">Part de la valeur ajoutée du secteur du logement dans le PIB en prix constants de </w:t>
      </w:r>
      <w:r w:rsidRPr="0071782F">
        <w:rPr>
          <w:lang w:val="fr-CH"/>
        </w:rPr>
        <w:t xml:space="preserve">1982 </w:t>
      </w:r>
      <w:r w:rsidR="00CB4BD7" w:rsidRPr="0071782F">
        <w:rPr>
          <w:lang w:val="fr-CH"/>
        </w:rPr>
        <w:t xml:space="preserve">entre </w:t>
      </w:r>
      <w:r w:rsidRPr="0071782F">
        <w:rPr>
          <w:lang w:val="fr-CH"/>
        </w:rPr>
        <w:t>2001</w:t>
      </w:r>
      <w:r w:rsidR="00CB4BD7" w:rsidRPr="0071782F">
        <w:rPr>
          <w:lang w:val="fr-CH"/>
        </w:rPr>
        <w:t xml:space="preserve"> et </w:t>
      </w:r>
      <w:r w:rsidRPr="0071782F">
        <w:rPr>
          <w:lang w:val="fr-CH"/>
        </w:rPr>
        <w:t>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817"/>
        <w:gridCol w:w="3553"/>
      </w:tblGrid>
      <w:tr w:rsidR="008A7415" w:rsidRPr="0071782F">
        <w:trPr>
          <w:tblHeader/>
        </w:trPr>
        <w:tc>
          <w:tcPr>
            <w:tcW w:w="3076" w:type="dxa"/>
            <w:tcBorders>
              <w:top w:val="single" w:sz="4" w:space="0" w:color="auto"/>
              <w:bottom w:val="single" w:sz="12" w:space="0" w:color="auto"/>
            </w:tcBorders>
            <w:shd w:val="clear" w:color="auto" w:fill="auto"/>
            <w:vAlign w:val="bottom"/>
          </w:tcPr>
          <w:p w:rsidR="008A7415" w:rsidRPr="0071782F" w:rsidRDefault="00CB4BD7" w:rsidP="000838E6">
            <w:pPr>
              <w:suppressAutoHyphens w:val="0"/>
              <w:spacing w:before="80" w:after="80" w:line="200" w:lineRule="exact"/>
              <w:rPr>
                <w:i/>
                <w:sz w:val="16"/>
                <w:lang w:val="fr-CH"/>
              </w:rPr>
            </w:pPr>
            <w:r w:rsidRPr="0071782F">
              <w:rPr>
                <w:i/>
                <w:sz w:val="16"/>
                <w:lang w:val="fr-CH"/>
              </w:rPr>
              <w:t>Année</w:t>
            </w:r>
          </w:p>
        </w:tc>
        <w:tc>
          <w:tcPr>
            <w:tcW w:w="2864" w:type="dxa"/>
            <w:tcBorders>
              <w:top w:val="single" w:sz="4" w:space="0" w:color="auto"/>
              <w:bottom w:val="single" w:sz="12" w:space="0" w:color="auto"/>
            </w:tcBorders>
            <w:shd w:val="clear" w:color="auto" w:fill="auto"/>
            <w:vAlign w:val="bottom"/>
          </w:tcPr>
          <w:p w:rsidR="008A7415" w:rsidRPr="0071782F" w:rsidRDefault="00CB4BD7" w:rsidP="000838E6">
            <w:pPr>
              <w:suppressAutoHyphens w:val="0"/>
              <w:spacing w:before="80" w:after="80" w:line="200" w:lineRule="exact"/>
              <w:jc w:val="right"/>
              <w:rPr>
                <w:i/>
                <w:sz w:val="16"/>
                <w:lang w:val="fr-CH"/>
              </w:rPr>
            </w:pPr>
            <w:r w:rsidRPr="0071782F">
              <w:rPr>
                <w:i/>
                <w:sz w:val="16"/>
                <w:lang w:val="fr-CH"/>
              </w:rPr>
              <w:t>Part du PIB</w:t>
            </w:r>
          </w:p>
        </w:tc>
      </w:tr>
      <w:tr w:rsidR="008A7415" w:rsidRPr="0071782F">
        <w:tc>
          <w:tcPr>
            <w:tcW w:w="3076" w:type="dxa"/>
            <w:tcBorders>
              <w:top w:val="single" w:sz="12" w:space="0" w:color="auto"/>
            </w:tcBorders>
            <w:shd w:val="clear" w:color="auto" w:fill="auto"/>
          </w:tcPr>
          <w:p w:rsidR="008A7415" w:rsidRPr="0071782F" w:rsidRDefault="008A7415" w:rsidP="000838E6">
            <w:pPr>
              <w:suppressAutoHyphens w:val="0"/>
              <w:spacing w:before="40" w:after="40" w:line="220" w:lineRule="exact"/>
              <w:rPr>
                <w:sz w:val="18"/>
                <w:lang w:val="fr-CH"/>
              </w:rPr>
            </w:pPr>
            <w:r w:rsidRPr="0071782F">
              <w:rPr>
                <w:sz w:val="18"/>
                <w:lang w:val="fr-CH"/>
              </w:rPr>
              <w:t>2001</w:t>
            </w:r>
          </w:p>
        </w:tc>
        <w:tc>
          <w:tcPr>
            <w:tcW w:w="2864" w:type="dxa"/>
            <w:tcBorders>
              <w:top w:val="single" w:sz="12" w:space="0" w:color="auto"/>
            </w:tcBorders>
            <w:shd w:val="clear" w:color="auto"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4</w:t>
            </w:r>
            <w:r w:rsidR="00273386">
              <w:rPr>
                <w:sz w:val="18"/>
                <w:lang w:val="fr-CH"/>
              </w:rPr>
              <w:t>,</w:t>
            </w:r>
            <w:r w:rsidRPr="0071782F">
              <w:rPr>
                <w:sz w:val="18"/>
                <w:lang w:val="fr-CH"/>
              </w:rPr>
              <w:t>8</w:t>
            </w:r>
          </w:p>
        </w:tc>
      </w:tr>
      <w:tr w:rsidR="008A7415" w:rsidRPr="0071782F">
        <w:tc>
          <w:tcPr>
            <w:tcW w:w="3076" w:type="dxa"/>
            <w:shd w:val="clear" w:color="auto" w:fill="auto"/>
          </w:tcPr>
          <w:p w:rsidR="008A7415" w:rsidRPr="0071782F" w:rsidRDefault="008A7415" w:rsidP="000838E6">
            <w:pPr>
              <w:suppressAutoHyphens w:val="0"/>
              <w:spacing w:before="40" w:after="40" w:line="220" w:lineRule="exact"/>
              <w:rPr>
                <w:sz w:val="18"/>
                <w:lang w:val="fr-CH"/>
              </w:rPr>
            </w:pPr>
            <w:r w:rsidRPr="0071782F">
              <w:rPr>
                <w:sz w:val="18"/>
                <w:lang w:val="fr-CH"/>
              </w:rPr>
              <w:t>2002</w:t>
            </w:r>
          </w:p>
        </w:tc>
        <w:tc>
          <w:tcPr>
            <w:tcW w:w="2864" w:type="dxa"/>
            <w:shd w:val="clear" w:color="auto"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5</w:t>
            </w:r>
            <w:r w:rsidR="00273386">
              <w:rPr>
                <w:sz w:val="18"/>
                <w:lang w:val="fr-CH"/>
              </w:rPr>
              <w:t>,</w:t>
            </w:r>
            <w:r w:rsidRPr="0071782F">
              <w:rPr>
                <w:sz w:val="18"/>
                <w:lang w:val="fr-CH"/>
              </w:rPr>
              <w:t>3</w:t>
            </w:r>
          </w:p>
        </w:tc>
      </w:tr>
      <w:tr w:rsidR="008A7415" w:rsidRPr="0071782F">
        <w:tc>
          <w:tcPr>
            <w:tcW w:w="3076" w:type="dxa"/>
            <w:shd w:val="clear" w:color="auto" w:fill="auto"/>
          </w:tcPr>
          <w:p w:rsidR="008A7415" w:rsidRPr="0071782F" w:rsidRDefault="008A7415" w:rsidP="000838E6">
            <w:pPr>
              <w:suppressAutoHyphens w:val="0"/>
              <w:spacing w:before="40" w:after="40" w:line="220" w:lineRule="exact"/>
              <w:rPr>
                <w:sz w:val="18"/>
                <w:lang w:val="fr-CH"/>
              </w:rPr>
            </w:pPr>
            <w:r w:rsidRPr="0071782F">
              <w:rPr>
                <w:sz w:val="18"/>
                <w:lang w:val="fr-CH"/>
              </w:rPr>
              <w:t>2003</w:t>
            </w:r>
          </w:p>
        </w:tc>
        <w:tc>
          <w:tcPr>
            <w:tcW w:w="2864" w:type="dxa"/>
            <w:shd w:val="clear" w:color="auto"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4</w:t>
            </w:r>
            <w:r w:rsidR="00273386">
              <w:rPr>
                <w:sz w:val="18"/>
                <w:lang w:val="fr-CH"/>
              </w:rPr>
              <w:t>,</w:t>
            </w:r>
            <w:r w:rsidRPr="0071782F">
              <w:rPr>
                <w:sz w:val="18"/>
                <w:lang w:val="fr-CH"/>
              </w:rPr>
              <w:t>9</w:t>
            </w:r>
          </w:p>
        </w:tc>
      </w:tr>
      <w:tr w:rsidR="008A7415" w:rsidRPr="0071782F">
        <w:tc>
          <w:tcPr>
            <w:tcW w:w="3076" w:type="dxa"/>
            <w:shd w:val="clear" w:color="auto" w:fill="auto"/>
          </w:tcPr>
          <w:p w:rsidR="008A7415" w:rsidRPr="0071782F" w:rsidRDefault="008A7415" w:rsidP="000838E6">
            <w:pPr>
              <w:suppressAutoHyphens w:val="0"/>
              <w:spacing w:before="40" w:after="40" w:line="220" w:lineRule="exact"/>
              <w:rPr>
                <w:sz w:val="18"/>
                <w:lang w:val="fr-CH"/>
              </w:rPr>
            </w:pPr>
            <w:r w:rsidRPr="0071782F">
              <w:rPr>
                <w:sz w:val="18"/>
                <w:lang w:val="fr-CH"/>
              </w:rPr>
              <w:t>2004</w:t>
            </w:r>
          </w:p>
        </w:tc>
        <w:tc>
          <w:tcPr>
            <w:tcW w:w="2864" w:type="dxa"/>
            <w:shd w:val="clear" w:color="auto"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4</w:t>
            </w:r>
            <w:r w:rsidR="00273386">
              <w:rPr>
                <w:sz w:val="18"/>
                <w:lang w:val="fr-CH"/>
              </w:rPr>
              <w:t>,</w:t>
            </w:r>
            <w:r w:rsidRPr="0071782F">
              <w:rPr>
                <w:sz w:val="18"/>
                <w:lang w:val="fr-CH"/>
              </w:rPr>
              <w:t>5</w:t>
            </w:r>
          </w:p>
        </w:tc>
      </w:tr>
      <w:tr w:rsidR="008A7415" w:rsidRPr="0071782F">
        <w:tc>
          <w:tcPr>
            <w:tcW w:w="3076" w:type="dxa"/>
            <w:shd w:val="clear" w:color="auto" w:fill="auto"/>
          </w:tcPr>
          <w:p w:rsidR="008A7415" w:rsidRPr="0071782F" w:rsidRDefault="008A7415" w:rsidP="000838E6">
            <w:pPr>
              <w:suppressAutoHyphens w:val="0"/>
              <w:spacing w:before="40" w:after="40" w:line="220" w:lineRule="exact"/>
              <w:rPr>
                <w:sz w:val="18"/>
                <w:lang w:val="fr-CH"/>
              </w:rPr>
            </w:pPr>
            <w:r w:rsidRPr="0071782F">
              <w:rPr>
                <w:sz w:val="18"/>
                <w:lang w:val="fr-CH"/>
              </w:rPr>
              <w:t>2005</w:t>
            </w:r>
          </w:p>
        </w:tc>
        <w:tc>
          <w:tcPr>
            <w:tcW w:w="2864" w:type="dxa"/>
            <w:shd w:val="clear" w:color="auto"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4</w:t>
            </w:r>
            <w:r w:rsidR="00273386">
              <w:rPr>
                <w:sz w:val="18"/>
                <w:lang w:val="fr-CH"/>
              </w:rPr>
              <w:t>,</w:t>
            </w:r>
            <w:r w:rsidRPr="0071782F">
              <w:rPr>
                <w:sz w:val="18"/>
                <w:lang w:val="fr-CH"/>
              </w:rPr>
              <w:t>4</w:t>
            </w:r>
          </w:p>
        </w:tc>
      </w:tr>
      <w:tr w:rsidR="008A7415" w:rsidRPr="0071782F">
        <w:tc>
          <w:tcPr>
            <w:tcW w:w="3076" w:type="dxa"/>
            <w:shd w:val="clear" w:color="auto" w:fill="auto"/>
          </w:tcPr>
          <w:p w:rsidR="008A7415" w:rsidRPr="0071782F" w:rsidRDefault="008A7415" w:rsidP="000838E6">
            <w:pPr>
              <w:suppressAutoHyphens w:val="0"/>
              <w:spacing w:before="40" w:after="40" w:line="220" w:lineRule="exact"/>
              <w:rPr>
                <w:sz w:val="18"/>
                <w:lang w:val="fr-CH"/>
              </w:rPr>
            </w:pPr>
            <w:r w:rsidRPr="0071782F">
              <w:rPr>
                <w:sz w:val="18"/>
                <w:lang w:val="fr-CH"/>
              </w:rPr>
              <w:t>2006</w:t>
            </w:r>
          </w:p>
        </w:tc>
        <w:tc>
          <w:tcPr>
            <w:tcW w:w="2864" w:type="dxa"/>
            <w:shd w:val="clear" w:color="auto"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4</w:t>
            </w:r>
            <w:r w:rsidR="00273386">
              <w:rPr>
                <w:sz w:val="18"/>
                <w:lang w:val="fr-CH"/>
              </w:rPr>
              <w:t>,</w:t>
            </w:r>
            <w:r w:rsidRPr="0071782F">
              <w:rPr>
                <w:sz w:val="18"/>
                <w:lang w:val="fr-CH"/>
              </w:rPr>
              <w:t>3</w:t>
            </w:r>
          </w:p>
        </w:tc>
      </w:tr>
      <w:tr w:rsidR="008A7415" w:rsidRPr="0071782F">
        <w:tc>
          <w:tcPr>
            <w:tcW w:w="3076" w:type="dxa"/>
            <w:shd w:val="clear" w:color="auto" w:fill="auto"/>
          </w:tcPr>
          <w:p w:rsidR="008A7415" w:rsidRPr="0071782F" w:rsidRDefault="008A7415" w:rsidP="000838E6">
            <w:pPr>
              <w:suppressAutoHyphens w:val="0"/>
              <w:spacing w:before="40" w:after="40" w:line="220" w:lineRule="exact"/>
              <w:rPr>
                <w:sz w:val="18"/>
                <w:lang w:val="fr-CH"/>
              </w:rPr>
            </w:pPr>
            <w:r w:rsidRPr="0071782F">
              <w:rPr>
                <w:sz w:val="18"/>
                <w:lang w:val="fr-CH"/>
              </w:rPr>
              <w:t>2007</w:t>
            </w:r>
          </w:p>
        </w:tc>
        <w:tc>
          <w:tcPr>
            <w:tcW w:w="2864" w:type="dxa"/>
            <w:shd w:val="clear" w:color="auto"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4</w:t>
            </w:r>
            <w:r w:rsidR="00273386">
              <w:rPr>
                <w:sz w:val="18"/>
                <w:lang w:val="fr-CH"/>
              </w:rPr>
              <w:t>,</w:t>
            </w:r>
            <w:r w:rsidRPr="0071782F">
              <w:rPr>
                <w:sz w:val="18"/>
                <w:lang w:val="fr-CH"/>
              </w:rPr>
              <w:t>9</w:t>
            </w:r>
          </w:p>
        </w:tc>
      </w:tr>
    </w:tbl>
    <w:p w:rsidR="008A7415" w:rsidRPr="0071782F" w:rsidRDefault="008A7415" w:rsidP="00204410">
      <w:pPr>
        <w:pStyle w:val="H1G"/>
        <w:rPr>
          <w:lang w:val="fr-CH"/>
        </w:rPr>
      </w:pPr>
      <w:r w:rsidRPr="0071782F">
        <w:rPr>
          <w:lang w:val="fr-CH"/>
        </w:rPr>
        <w:tab/>
      </w:r>
      <w:r w:rsidRPr="0071782F">
        <w:rPr>
          <w:lang w:val="fr-CH"/>
        </w:rPr>
        <w:tab/>
        <w:t>Invest</w:t>
      </w:r>
      <w:r w:rsidR="00CB4BD7" w:rsidRPr="0071782F">
        <w:rPr>
          <w:lang w:val="fr-CH"/>
        </w:rPr>
        <w:t>issement du secteur privé dans les activités liées au logement</w:t>
      </w:r>
      <w:r w:rsidRPr="0071782F">
        <w:rPr>
          <w:lang w:val="fr-CH"/>
        </w:rPr>
        <w:t xml:space="preserve"> </w:t>
      </w:r>
    </w:p>
    <w:p w:rsidR="008A7415" w:rsidRPr="0071782F" w:rsidRDefault="008A7415" w:rsidP="00204410">
      <w:pPr>
        <w:pStyle w:val="SingleTxtG"/>
        <w:rPr>
          <w:lang w:val="fr-CH"/>
        </w:rPr>
      </w:pPr>
      <w:r w:rsidRPr="0071782F">
        <w:rPr>
          <w:lang w:val="fr-CH"/>
        </w:rPr>
        <w:t>200.</w:t>
      </w:r>
      <w:r w:rsidRPr="0071782F">
        <w:rPr>
          <w:lang w:val="fr-CH"/>
        </w:rPr>
        <w:tab/>
      </w:r>
      <w:r w:rsidR="00FF77FB" w:rsidRPr="0071782F">
        <w:rPr>
          <w:lang w:val="fr-CH"/>
        </w:rPr>
        <w:t xml:space="preserve">L’indicateur qui permet d’évaluer l’offre future </w:t>
      </w:r>
      <w:r w:rsidR="003F25A2">
        <w:rPr>
          <w:lang w:val="fr-CH"/>
        </w:rPr>
        <w:t>de logements</w:t>
      </w:r>
      <w:r w:rsidR="00FF77FB" w:rsidRPr="0071782F">
        <w:rPr>
          <w:lang w:val="fr-CH"/>
        </w:rPr>
        <w:t xml:space="preserve"> est l’investissement réalisé par le secteur privé dans ce secteur</w:t>
      </w:r>
      <w:r w:rsidRPr="0071782F">
        <w:rPr>
          <w:lang w:val="fr-CH"/>
        </w:rPr>
        <w:t xml:space="preserve">. </w:t>
      </w:r>
      <w:r w:rsidR="00FF77FB" w:rsidRPr="0071782F">
        <w:rPr>
          <w:lang w:val="fr-CH"/>
        </w:rPr>
        <w:t>Selon les statistiques de la Banque centrale sur les ac</w:t>
      </w:r>
      <w:r w:rsidR="00F149D4" w:rsidRPr="0071782F">
        <w:rPr>
          <w:lang w:val="fr-CH"/>
        </w:rPr>
        <w:t>tivités du secteur privé dans le</w:t>
      </w:r>
      <w:r w:rsidR="00FF77FB" w:rsidRPr="0071782F">
        <w:rPr>
          <w:lang w:val="fr-CH"/>
        </w:rPr>
        <w:t xml:space="preserve"> domaine de </w:t>
      </w:r>
      <w:r w:rsidR="00F149D4" w:rsidRPr="0071782F">
        <w:rPr>
          <w:lang w:val="fr-CH"/>
        </w:rPr>
        <w:t xml:space="preserve">la </w:t>
      </w:r>
      <w:r w:rsidRPr="0071782F">
        <w:rPr>
          <w:lang w:val="fr-CH"/>
        </w:rPr>
        <w:t xml:space="preserve">construction </w:t>
      </w:r>
      <w:r w:rsidR="00FF77FB" w:rsidRPr="0071782F">
        <w:rPr>
          <w:lang w:val="fr-CH"/>
        </w:rPr>
        <w:t>de nouveaux</w:t>
      </w:r>
      <w:r w:rsidR="003F25A2">
        <w:rPr>
          <w:lang w:val="fr-CH"/>
        </w:rPr>
        <w:t> logements</w:t>
      </w:r>
      <w:r w:rsidR="00FF77FB" w:rsidRPr="0071782F">
        <w:rPr>
          <w:lang w:val="fr-CH"/>
        </w:rPr>
        <w:t xml:space="preserve"> en milieu urbain, les investissements privés réalisés par le secteur privé dans les activités liées au logement entre </w:t>
      </w:r>
      <w:r w:rsidRPr="0071782F">
        <w:rPr>
          <w:lang w:val="fr-CH"/>
        </w:rPr>
        <w:t>1976</w:t>
      </w:r>
      <w:r w:rsidR="00FF77FB" w:rsidRPr="0071782F">
        <w:rPr>
          <w:lang w:val="fr-CH"/>
        </w:rPr>
        <w:t xml:space="preserve"> et </w:t>
      </w:r>
      <w:r w:rsidRPr="0071782F">
        <w:rPr>
          <w:lang w:val="fr-CH"/>
        </w:rPr>
        <w:t xml:space="preserve">1986 </w:t>
      </w:r>
      <w:r w:rsidR="00FF77FB" w:rsidRPr="0071782F">
        <w:rPr>
          <w:lang w:val="fr-CH"/>
        </w:rPr>
        <w:t>ont été</w:t>
      </w:r>
      <w:r w:rsidRPr="0071782F">
        <w:rPr>
          <w:lang w:val="fr-CH"/>
        </w:rPr>
        <w:t xml:space="preserve"> consid</w:t>
      </w:r>
      <w:r w:rsidR="00FF77FB" w:rsidRPr="0071782F">
        <w:rPr>
          <w:lang w:val="fr-CH"/>
        </w:rPr>
        <w:t>é</w:t>
      </w:r>
      <w:r w:rsidRPr="0071782F">
        <w:rPr>
          <w:lang w:val="fr-CH"/>
        </w:rPr>
        <w:t>rable</w:t>
      </w:r>
      <w:r w:rsidR="00FF77FB" w:rsidRPr="0071782F">
        <w:rPr>
          <w:lang w:val="fr-CH"/>
        </w:rPr>
        <w:t>s</w:t>
      </w:r>
      <w:r w:rsidRPr="0071782F">
        <w:rPr>
          <w:lang w:val="fr-CH"/>
        </w:rPr>
        <w:t xml:space="preserve">, </w:t>
      </w:r>
      <w:r w:rsidR="00F149D4" w:rsidRPr="0071782F">
        <w:rPr>
          <w:lang w:val="fr-CH"/>
        </w:rPr>
        <w:t>enregistrant un taux de crois</w:t>
      </w:r>
      <w:r w:rsidR="00FF77FB" w:rsidRPr="0071782F">
        <w:rPr>
          <w:lang w:val="fr-CH"/>
        </w:rPr>
        <w:t xml:space="preserve">sance moyen annuel de </w:t>
      </w:r>
      <w:r w:rsidRPr="0071782F">
        <w:rPr>
          <w:lang w:val="fr-CH"/>
        </w:rPr>
        <w:t>24</w:t>
      </w:r>
      <w:r w:rsidR="00FF77FB" w:rsidRPr="0071782F">
        <w:rPr>
          <w:lang w:val="fr-CH"/>
        </w:rPr>
        <w:t>,</w:t>
      </w:r>
      <w:r w:rsidRPr="0071782F">
        <w:rPr>
          <w:lang w:val="fr-CH"/>
        </w:rPr>
        <w:t>4</w:t>
      </w:r>
      <w:r w:rsidR="007E5125" w:rsidRPr="0071782F">
        <w:rPr>
          <w:lang w:val="fr-CH"/>
        </w:rPr>
        <w:t>%</w:t>
      </w:r>
      <w:r w:rsidRPr="0071782F">
        <w:rPr>
          <w:lang w:val="fr-CH"/>
        </w:rPr>
        <w:t xml:space="preserve">. </w:t>
      </w:r>
      <w:r w:rsidR="00FF77FB" w:rsidRPr="0071782F">
        <w:rPr>
          <w:lang w:val="fr-CH"/>
        </w:rPr>
        <w:t>Cette tendance s’</w:t>
      </w:r>
      <w:r w:rsidR="00F149D4" w:rsidRPr="0071782F">
        <w:rPr>
          <w:lang w:val="fr-CH"/>
        </w:rPr>
        <w:t>est maintenue</w:t>
      </w:r>
      <w:r w:rsidR="00FF77FB" w:rsidRPr="0071782F">
        <w:rPr>
          <w:lang w:val="fr-CH"/>
        </w:rPr>
        <w:t xml:space="preserve"> en </w:t>
      </w:r>
      <w:r w:rsidRPr="0071782F">
        <w:rPr>
          <w:lang w:val="fr-CH"/>
        </w:rPr>
        <w:t>2007</w:t>
      </w:r>
      <w:r w:rsidR="00FF77FB" w:rsidRPr="0071782F">
        <w:rPr>
          <w:lang w:val="fr-CH"/>
        </w:rPr>
        <w:t xml:space="preserve">, année qui a connu un taux de croissance de </w:t>
      </w:r>
      <w:r w:rsidRPr="0071782F">
        <w:rPr>
          <w:lang w:val="fr-CH"/>
        </w:rPr>
        <w:t>80</w:t>
      </w:r>
      <w:r w:rsidR="00FF77FB" w:rsidRPr="0071782F">
        <w:rPr>
          <w:lang w:val="fr-CH"/>
        </w:rPr>
        <w:t>,</w:t>
      </w:r>
      <w:r w:rsidRPr="0071782F">
        <w:rPr>
          <w:lang w:val="fr-CH"/>
        </w:rPr>
        <w:t>4</w:t>
      </w:r>
      <w:r w:rsidR="007E5125" w:rsidRPr="0071782F">
        <w:rPr>
          <w:lang w:val="fr-CH"/>
        </w:rPr>
        <w:t>%</w:t>
      </w:r>
      <w:r w:rsidRPr="0071782F">
        <w:rPr>
          <w:lang w:val="fr-CH"/>
        </w:rPr>
        <w:t xml:space="preserve"> </w:t>
      </w:r>
      <w:r w:rsidR="00FF77FB" w:rsidRPr="0071782F">
        <w:rPr>
          <w:lang w:val="fr-CH"/>
        </w:rPr>
        <w:t xml:space="preserve">par rapport à </w:t>
      </w:r>
      <w:r w:rsidRPr="0071782F">
        <w:rPr>
          <w:lang w:val="fr-CH"/>
        </w:rPr>
        <w:t xml:space="preserve">2006. </w:t>
      </w:r>
      <w:r w:rsidR="00FF77FB" w:rsidRPr="0071782F">
        <w:rPr>
          <w:lang w:val="fr-CH"/>
        </w:rPr>
        <w:t>Ces chiffres témoignent de l’</w:t>
      </w:r>
      <w:r w:rsidRPr="0071782F">
        <w:rPr>
          <w:lang w:val="fr-CH"/>
        </w:rPr>
        <w:t xml:space="preserve">existence </w:t>
      </w:r>
      <w:r w:rsidR="00FF77FB" w:rsidRPr="0071782F">
        <w:rPr>
          <w:lang w:val="fr-CH"/>
        </w:rPr>
        <w:t xml:space="preserve">d’un climat très favorable à l’investissement dans le secteur du logement et d’une augmentation spectaculaire de l’offre </w:t>
      </w:r>
      <w:r w:rsidR="003F25A2">
        <w:rPr>
          <w:lang w:val="fr-CH"/>
        </w:rPr>
        <w:t>de logements</w:t>
      </w:r>
      <w:r w:rsidR="00FF77FB" w:rsidRPr="0071782F">
        <w:rPr>
          <w:lang w:val="fr-CH"/>
        </w:rPr>
        <w:t xml:space="preserve"> dans le pays. </w:t>
      </w:r>
    </w:p>
    <w:p w:rsidR="008A7415" w:rsidRPr="0071782F" w:rsidRDefault="008A7415" w:rsidP="00204410">
      <w:pPr>
        <w:pStyle w:val="H1G"/>
        <w:rPr>
          <w:lang w:val="fr-CH"/>
        </w:rPr>
      </w:pPr>
      <w:r w:rsidRPr="0071782F">
        <w:rPr>
          <w:lang w:val="fr-CH"/>
        </w:rPr>
        <w:tab/>
      </w:r>
      <w:r w:rsidRPr="0071782F">
        <w:rPr>
          <w:lang w:val="fr-CH"/>
        </w:rPr>
        <w:tab/>
      </w:r>
      <w:r w:rsidR="00F149D4" w:rsidRPr="0071782F">
        <w:rPr>
          <w:lang w:val="fr-CH"/>
        </w:rPr>
        <w:t xml:space="preserve">Logements nouvellement construits </w:t>
      </w:r>
    </w:p>
    <w:p w:rsidR="008A7415" w:rsidRPr="0071782F" w:rsidRDefault="008A7415" w:rsidP="00204410">
      <w:pPr>
        <w:pStyle w:val="SingleTxtG"/>
        <w:rPr>
          <w:lang w:val="fr-CH"/>
        </w:rPr>
      </w:pPr>
      <w:r w:rsidRPr="0071782F">
        <w:rPr>
          <w:lang w:val="fr-CH"/>
        </w:rPr>
        <w:t>201.</w:t>
      </w:r>
      <w:r w:rsidRPr="0071782F">
        <w:rPr>
          <w:lang w:val="fr-CH"/>
        </w:rPr>
        <w:tab/>
      </w:r>
      <w:r w:rsidR="00F149D4" w:rsidRPr="0071782F">
        <w:rPr>
          <w:lang w:val="fr-CH"/>
        </w:rPr>
        <w:t>Selon les statistiques publiées par la Banque centrale sur les</w:t>
      </w:r>
      <w:r w:rsidR="003F25A2">
        <w:rPr>
          <w:lang w:val="fr-CH"/>
        </w:rPr>
        <w:t> logements</w:t>
      </w:r>
      <w:r w:rsidR="00F149D4" w:rsidRPr="0071782F">
        <w:rPr>
          <w:lang w:val="fr-CH"/>
        </w:rPr>
        <w:t xml:space="preserve"> construits par le secteur privé, 479</w:t>
      </w:r>
      <w:r w:rsidR="00A5752C">
        <w:rPr>
          <w:lang w:val="fr-CH"/>
        </w:rPr>
        <w:t> </w:t>
      </w:r>
      <w:r w:rsidR="00F149D4" w:rsidRPr="0071782F">
        <w:rPr>
          <w:lang w:val="fr-CH"/>
        </w:rPr>
        <w:t>000 et 491</w:t>
      </w:r>
      <w:r w:rsidR="00A5752C">
        <w:rPr>
          <w:lang w:val="fr-CH"/>
        </w:rPr>
        <w:t> </w:t>
      </w:r>
      <w:r w:rsidR="00F149D4" w:rsidRPr="0071782F">
        <w:rPr>
          <w:lang w:val="fr-CH"/>
        </w:rPr>
        <w:t>000</w:t>
      </w:r>
      <w:r w:rsidR="003F25A2">
        <w:rPr>
          <w:lang w:val="fr-CH"/>
        </w:rPr>
        <w:t> logements</w:t>
      </w:r>
      <w:r w:rsidR="00F149D4" w:rsidRPr="0071782F">
        <w:rPr>
          <w:lang w:val="fr-CH"/>
        </w:rPr>
        <w:t xml:space="preserve"> ont été construits dans le pays en </w:t>
      </w:r>
      <w:r w:rsidRPr="0071782F">
        <w:rPr>
          <w:lang w:val="fr-CH"/>
        </w:rPr>
        <w:t xml:space="preserve">2005 </w:t>
      </w:r>
      <w:r w:rsidR="00F149D4" w:rsidRPr="0071782F">
        <w:rPr>
          <w:lang w:val="fr-CH"/>
        </w:rPr>
        <w:t>et</w:t>
      </w:r>
      <w:r w:rsidR="00A5752C">
        <w:rPr>
          <w:lang w:val="fr-CH"/>
        </w:rPr>
        <w:t> </w:t>
      </w:r>
      <w:r w:rsidRPr="0071782F">
        <w:rPr>
          <w:lang w:val="fr-CH"/>
        </w:rPr>
        <w:t>2007</w:t>
      </w:r>
      <w:r w:rsidR="00F149D4" w:rsidRPr="0071782F">
        <w:rPr>
          <w:lang w:val="fr-CH"/>
        </w:rPr>
        <w:t>, respectivement</w:t>
      </w:r>
      <w:r w:rsidRPr="0071782F">
        <w:rPr>
          <w:lang w:val="fr-CH"/>
        </w:rPr>
        <w:t xml:space="preserve">. </w:t>
      </w:r>
    </w:p>
    <w:p w:rsidR="008A7415" w:rsidRPr="0071782F" w:rsidRDefault="008A7415" w:rsidP="00204410">
      <w:pPr>
        <w:pStyle w:val="H1G"/>
        <w:rPr>
          <w:lang w:val="fr-CH"/>
        </w:rPr>
      </w:pPr>
      <w:r w:rsidRPr="0071782F">
        <w:rPr>
          <w:lang w:val="fr-CH"/>
        </w:rPr>
        <w:tab/>
      </w:r>
      <w:r w:rsidRPr="0071782F">
        <w:rPr>
          <w:lang w:val="fr-CH"/>
        </w:rPr>
        <w:tab/>
      </w:r>
      <w:r w:rsidR="00F149D4" w:rsidRPr="0071782F">
        <w:rPr>
          <w:lang w:val="fr-CH"/>
        </w:rPr>
        <w:t xml:space="preserve">Construction </w:t>
      </w:r>
      <w:r w:rsidR="003F25A2">
        <w:rPr>
          <w:lang w:val="fr-CH"/>
        </w:rPr>
        <w:t>de logements</w:t>
      </w:r>
    </w:p>
    <w:p w:rsidR="008A7415" w:rsidRPr="0071782F" w:rsidRDefault="008A7415" w:rsidP="00204410">
      <w:pPr>
        <w:pStyle w:val="SingleTxtG"/>
        <w:rPr>
          <w:lang w:val="fr-CH"/>
        </w:rPr>
      </w:pPr>
      <w:r w:rsidRPr="0071782F">
        <w:rPr>
          <w:lang w:val="fr-CH"/>
        </w:rPr>
        <w:t>202.</w:t>
      </w:r>
      <w:r w:rsidRPr="0071782F">
        <w:rPr>
          <w:lang w:val="fr-CH"/>
        </w:rPr>
        <w:tab/>
      </w:r>
      <w:r w:rsidR="00F149D4" w:rsidRPr="0071782F">
        <w:rPr>
          <w:lang w:val="fr-CH"/>
        </w:rPr>
        <w:t>E</w:t>
      </w:r>
      <w:r w:rsidRPr="0071782F">
        <w:rPr>
          <w:lang w:val="fr-CH"/>
        </w:rPr>
        <w:t xml:space="preserve">n 2005, </w:t>
      </w:r>
      <w:r w:rsidR="00F149D4" w:rsidRPr="0071782F">
        <w:rPr>
          <w:lang w:val="fr-CH"/>
        </w:rPr>
        <w:t xml:space="preserve">quelque </w:t>
      </w:r>
      <w:r w:rsidRPr="0071782F">
        <w:rPr>
          <w:lang w:val="fr-CH"/>
        </w:rPr>
        <w:t>581</w:t>
      </w:r>
      <w:r w:rsidR="00F149D4" w:rsidRPr="0071782F">
        <w:rPr>
          <w:lang w:val="fr-CH"/>
        </w:rPr>
        <w:t xml:space="preserve"> </w:t>
      </w:r>
      <w:r w:rsidRPr="0071782F">
        <w:rPr>
          <w:lang w:val="fr-CH"/>
        </w:rPr>
        <w:t>000</w:t>
      </w:r>
      <w:r w:rsidR="003F25A2">
        <w:rPr>
          <w:lang w:val="fr-CH"/>
        </w:rPr>
        <w:t> logements</w:t>
      </w:r>
      <w:r w:rsidR="00F149D4" w:rsidRPr="0071782F">
        <w:rPr>
          <w:lang w:val="fr-CH"/>
        </w:rPr>
        <w:t xml:space="preserve"> ont été construits en milieu urbain. Après la stagnation de la construction </w:t>
      </w:r>
      <w:r w:rsidR="003F25A2">
        <w:rPr>
          <w:lang w:val="fr-CH"/>
        </w:rPr>
        <w:t>de logements</w:t>
      </w:r>
      <w:r w:rsidR="00F149D4" w:rsidRPr="0071782F">
        <w:rPr>
          <w:lang w:val="fr-CH"/>
        </w:rPr>
        <w:t xml:space="preserve"> enregistrée entre </w:t>
      </w:r>
      <w:r w:rsidRPr="0071782F">
        <w:rPr>
          <w:lang w:val="fr-CH"/>
        </w:rPr>
        <w:t xml:space="preserve">2003 </w:t>
      </w:r>
      <w:r w:rsidR="00F149D4" w:rsidRPr="0071782F">
        <w:rPr>
          <w:lang w:val="fr-CH"/>
        </w:rPr>
        <w:t>et</w:t>
      </w:r>
      <w:r w:rsidRPr="0071782F">
        <w:rPr>
          <w:lang w:val="fr-CH"/>
        </w:rPr>
        <w:t xml:space="preserve"> 2005, </w:t>
      </w:r>
      <w:r w:rsidR="00F149D4" w:rsidRPr="0071782F">
        <w:rPr>
          <w:lang w:val="fr-CH"/>
        </w:rPr>
        <w:t xml:space="preserve">le secteur a rebondi en </w:t>
      </w:r>
      <w:r w:rsidRPr="0071782F">
        <w:rPr>
          <w:lang w:val="fr-CH"/>
        </w:rPr>
        <w:t xml:space="preserve">2006 </w:t>
      </w:r>
      <w:r w:rsidR="00F149D4" w:rsidRPr="0071782F">
        <w:rPr>
          <w:lang w:val="fr-CH"/>
        </w:rPr>
        <w:t>et</w:t>
      </w:r>
      <w:r w:rsidRPr="0071782F">
        <w:rPr>
          <w:lang w:val="fr-CH"/>
        </w:rPr>
        <w:t xml:space="preserve"> 2007. </w:t>
      </w:r>
      <w:r w:rsidR="00F149D4" w:rsidRPr="0071782F">
        <w:rPr>
          <w:lang w:val="fr-CH"/>
        </w:rPr>
        <w:t xml:space="preserve">On notera qu’en 2006, la construction </w:t>
      </w:r>
      <w:r w:rsidR="003F25A2">
        <w:rPr>
          <w:lang w:val="fr-CH"/>
        </w:rPr>
        <w:t>de logements</w:t>
      </w:r>
      <w:r w:rsidR="00F149D4" w:rsidRPr="0071782F">
        <w:rPr>
          <w:lang w:val="fr-CH"/>
        </w:rPr>
        <w:t xml:space="preserve"> a enregistré un taux de croissance de </w:t>
      </w:r>
      <w:r w:rsidRPr="0071782F">
        <w:rPr>
          <w:lang w:val="fr-CH"/>
        </w:rPr>
        <w:t>7</w:t>
      </w:r>
      <w:r w:rsidR="00F149D4" w:rsidRPr="0071782F">
        <w:rPr>
          <w:lang w:val="fr-CH"/>
        </w:rPr>
        <w:t>,</w:t>
      </w:r>
      <w:r w:rsidRPr="0071782F">
        <w:rPr>
          <w:lang w:val="fr-CH"/>
        </w:rPr>
        <w:t>58</w:t>
      </w:r>
      <w:r w:rsidR="007E5125" w:rsidRPr="0071782F">
        <w:rPr>
          <w:lang w:val="fr-CH"/>
        </w:rPr>
        <w:t>%</w:t>
      </w:r>
      <w:r w:rsidRPr="0071782F">
        <w:rPr>
          <w:lang w:val="fr-CH"/>
        </w:rPr>
        <w:t xml:space="preserve"> </w:t>
      </w:r>
      <w:r w:rsidR="00F149D4" w:rsidRPr="0071782F">
        <w:rPr>
          <w:lang w:val="fr-CH"/>
        </w:rPr>
        <w:t xml:space="preserve">par rapport à </w:t>
      </w:r>
      <w:r w:rsidRPr="0071782F">
        <w:rPr>
          <w:lang w:val="fr-CH"/>
        </w:rPr>
        <w:t xml:space="preserve">2004. </w:t>
      </w:r>
    </w:p>
    <w:p w:rsidR="008A7415" w:rsidRPr="0071782F" w:rsidRDefault="008A7415" w:rsidP="00204410">
      <w:pPr>
        <w:pStyle w:val="SingleTxtG"/>
        <w:tabs>
          <w:tab w:val="left" w:pos="2410"/>
        </w:tabs>
        <w:ind w:left="1701"/>
        <w:rPr>
          <w:lang w:val="fr-CH"/>
        </w:rPr>
      </w:pPr>
      <w:r w:rsidRPr="0071782F">
        <w:rPr>
          <w:lang w:val="fr-CH"/>
        </w:rPr>
        <w:t>202.1.</w:t>
      </w:r>
      <w:r w:rsidRPr="0071782F">
        <w:rPr>
          <w:lang w:val="fr-CH"/>
        </w:rPr>
        <w:tab/>
      </w:r>
      <w:r w:rsidR="00F149D4" w:rsidRPr="0071782F">
        <w:rPr>
          <w:lang w:val="fr-CH"/>
        </w:rPr>
        <w:t>E</w:t>
      </w:r>
      <w:r w:rsidRPr="0071782F">
        <w:rPr>
          <w:lang w:val="fr-CH"/>
        </w:rPr>
        <w:t xml:space="preserve">n 2007, </w:t>
      </w:r>
      <w:r w:rsidR="00F149D4" w:rsidRPr="0071782F">
        <w:rPr>
          <w:lang w:val="fr-CH"/>
        </w:rPr>
        <w:t xml:space="preserve">quelque </w:t>
      </w:r>
      <w:r w:rsidRPr="0071782F">
        <w:rPr>
          <w:lang w:val="fr-CH"/>
        </w:rPr>
        <w:t>523</w:t>
      </w:r>
      <w:r w:rsidR="00A5752C">
        <w:rPr>
          <w:lang w:val="fr-CH"/>
        </w:rPr>
        <w:t> </w:t>
      </w:r>
      <w:r w:rsidRPr="0071782F">
        <w:rPr>
          <w:lang w:val="fr-CH"/>
        </w:rPr>
        <w:t xml:space="preserve">000 </w:t>
      </w:r>
      <w:r w:rsidR="00F149D4" w:rsidRPr="0071782F">
        <w:rPr>
          <w:lang w:val="fr-CH"/>
        </w:rPr>
        <w:t>et</w:t>
      </w:r>
      <w:r w:rsidRPr="0071782F">
        <w:rPr>
          <w:lang w:val="fr-CH"/>
        </w:rPr>
        <w:t xml:space="preserve"> 161</w:t>
      </w:r>
      <w:r w:rsidR="00F149D4" w:rsidRPr="0071782F">
        <w:rPr>
          <w:lang w:val="fr-CH"/>
        </w:rPr>
        <w:t xml:space="preserve"> </w:t>
      </w:r>
      <w:r w:rsidRPr="0071782F">
        <w:rPr>
          <w:lang w:val="fr-CH"/>
        </w:rPr>
        <w:t>000</w:t>
      </w:r>
      <w:r w:rsidR="003F25A2">
        <w:rPr>
          <w:lang w:val="fr-CH"/>
        </w:rPr>
        <w:t> logements</w:t>
      </w:r>
      <w:r w:rsidR="00F149D4" w:rsidRPr="0071782F">
        <w:rPr>
          <w:lang w:val="fr-CH"/>
        </w:rPr>
        <w:t xml:space="preserve"> ont été construits dans les zones urbaines et rurales, </w:t>
      </w:r>
      <w:r w:rsidRPr="0071782F">
        <w:rPr>
          <w:lang w:val="fr-CH"/>
        </w:rPr>
        <w:t>respective</w:t>
      </w:r>
      <w:r w:rsidR="00F149D4" w:rsidRPr="0071782F">
        <w:rPr>
          <w:lang w:val="fr-CH"/>
        </w:rPr>
        <w:t>ment, ce qui a permis de réaliser à 126</w:t>
      </w:r>
      <w:r w:rsidR="007E5125" w:rsidRPr="0071782F">
        <w:rPr>
          <w:lang w:val="fr-CH"/>
        </w:rPr>
        <w:t>%</w:t>
      </w:r>
      <w:r w:rsidR="00F149D4" w:rsidRPr="0071782F">
        <w:rPr>
          <w:lang w:val="fr-CH"/>
        </w:rPr>
        <w:t xml:space="preserve"> et 121</w:t>
      </w:r>
      <w:r w:rsidR="007E5125" w:rsidRPr="0071782F">
        <w:rPr>
          <w:lang w:val="fr-CH"/>
        </w:rPr>
        <w:t>%</w:t>
      </w:r>
      <w:r w:rsidR="00F149D4" w:rsidRPr="0071782F">
        <w:rPr>
          <w:lang w:val="fr-CH"/>
        </w:rPr>
        <w:t xml:space="preserve">, respectivement, l’objectif du </w:t>
      </w:r>
      <w:r w:rsidR="00A90208" w:rsidRPr="0071782F">
        <w:rPr>
          <w:lang w:val="fr-CH"/>
        </w:rPr>
        <w:t>quatrième</w:t>
      </w:r>
      <w:r w:rsidR="00F149D4" w:rsidRPr="0071782F">
        <w:rPr>
          <w:lang w:val="fr-CH"/>
        </w:rPr>
        <w:t xml:space="preserve"> plan de développement</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3F25A2">
        <w:rPr>
          <w:lang w:val="fr-CH"/>
        </w:rPr>
        <w:t>de logements</w:t>
      </w:r>
      <w:r w:rsidR="00F149D4" w:rsidRPr="0071782F">
        <w:rPr>
          <w:lang w:val="fr-CH"/>
        </w:rPr>
        <w:t xml:space="preserve"> dans le pays </w:t>
      </w:r>
    </w:p>
    <w:p w:rsidR="008A7415" w:rsidRPr="0071782F" w:rsidRDefault="008A7415" w:rsidP="00204410">
      <w:pPr>
        <w:pStyle w:val="SingleTxtG"/>
        <w:rPr>
          <w:lang w:val="fr-CH"/>
        </w:rPr>
      </w:pPr>
      <w:r w:rsidRPr="0071782F">
        <w:rPr>
          <w:lang w:val="fr-CH"/>
        </w:rPr>
        <w:t>203.</w:t>
      </w:r>
      <w:r w:rsidRPr="0071782F">
        <w:rPr>
          <w:lang w:val="fr-CH"/>
        </w:rPr>
        <w:tab/>
      </w:r>
      <w:r w:rsidR="00F149D4" w:rsidRPr="0071782F">
        <w:rPr>
          <w:lang w:val="fr-CH"/>
        </w:rPr>
        <w:t>E</w:t>
      </w:r>
      <w:r w:rsidRPr="0071782F">
        <w:rPr>
          <w:lang w:val="fr-CH"/>
        </w:rPr>
        <w:t xml:space="preserve">n 2008, </w:t>
      </w:r>
      <w:r w:rsidR="00F149D4" w:rsidRPr="0071782F">
        <w:rPr>
          <w:lang w:val="fr-CH"/>
        </w:rPr>
        <w:t xml:space="preserve">on recensait dans l’ensemble du pays </w:t>
      </w:r>
      <w:r w:rsidRPr="0071782F">
        <w:rPr>
          <w:lang w:val="fr-CH"/>
        </w:rPr>
        <w:t>11</w:t>
      </w:r>
      <w:r w:rsidR="00F149D4" w:rsidRPr="0071782F">
        <w:rPr>
          <w:lang w:val="fr-CH"/>
        </w:rPr>
        <w:t>,</w:t>
      </w:r>
      <w:r w:rsidRPr="0071782F">
        <w:rPr>
          <w:lang w:val="fr-CH"/>
        </w:rPr>
        <w:t>9</w:t>
      </w:r>
      <w:r w:rsidR="00097CDB" w:rsidRPr="0071782F">
        <w:rPr>
          <w:lang w:val="fr-CH"/>
        </w:rPr>
        <w:t> millions</w:t>
      </w:r>
      <w:r w:rsidR="00F149D4" w:rsidRPr="0071782F">
        <w:rPr>
          <w:lang w:val="fr-CH"/>
        </w:rPr>
        <w:t xml:space="preserve"> </w:t>
      </w:r>
      <w:r w:rsidR="003F25A2">
        <w:rPr>
          <w:lang w:val="fr-CH"/>
        </w:rPr>
        <w:t>de logements</w:t>
      </w:r>
      <w:r w:rsidRPr="0071782F">
        <w:rPr>
          <w:lang w:val="fr-CH"/>
        </w:rPr>
        <w:t xml:space="preserve">, </w:t>
      </w:r>
      <w:r w:rsidR="00F149D4" w:rsidRPr="0071782F">
        <w:rPr>
          <w:lang w:val="fr-CH"/>
        </w:rPr>
        <w:t xml:space="preserve">dont </w:t>
      </w:r>
      <w:r w:rsidRPr="0071782F">
        <w:rPr>
          <w:lang w:val="fr-CH"/>
        </w:rPr>
        <w:t>7</w:t>
      </w:r>
      <w:r w:rsidR="00F149D4" w:rsidRPr="0071782F">
        <w:rPr>
          <w:lang w:val="fr-CH"/>
        </w:rPr>
        <w:t>,</w:t>
      </w:r>
      <w:r w:rsidRPr="0071782F">
        <w:rPr>
          <w:lang w:val="fr-CH"/>
        </w:rPr>
        <w:t>8</w:t>
      </w:r>
      <w:r w:rsidR="00097CDB" w:rsidRPr="0071782F">
        <w:rPr>
          <w:lang w:val="fr-CH"/>
        </w:rPr>
        <w:t> millions</w:t>
      </w:r>
      <w:r w:rsidR="00F149D4" w:rsidRPr="0071782F">
        <w:rPr>
          <w:lang w:val="fr-CH"/>
        </w:rPr>
        <w:t xml:space="preserve"> en milieu urbain et </w:t>
      </w:r>
      <w:r w:rsidRPr="0071782F">
        <w:rPr>
          <w:lang w:val="fr-CH"/>
        </w:rPr>
        <w:t>4</w:t>
      </w:r>
      <w:r w:rsidR="00F149D4" w:rsidRPr="0071782F">
        <w:rPr>
          <w:lang w:val="fr-CH"/>
        </w:rPr>
        <w:t>,</w:t>
      </w:r>
      <w:r w:rsidRPr="0071782F">
        <w:rPr>
          <w:lang w:val="fr-CH"/>
        </w:rPr>
        <w:t>1</w:t>
      </w:r>
      <w:r w:rsidR="00097CDB" w:rsidRPr="0071782F">
        <w:rPr>
          <w:lang w:val="fr-CH"/>
        </w:rPr>
        <w:t> millions</w:t>
      </w:r>
      <w:r w:rsidR="00F149D4" w:rsidRPr="0071782F">
        <w:rPr>
          <w:lang w:val="fr-CH"/>
        </w:rPr>
        <w:t xml:space="preserve"> en milieu rural</w:t>
      </w:r>
      <w:r w:rsidRPr="0071782F">
        <w:rPr>
          <w:lang w:val="fr-CH"/>
        </w:rPr>
        <w:t xml:space="preserve">. </w:t>
      </w:r>
      <w:r w:rsidR="00F149D4" w:rsidRPr="0071782F">
        <w:rPr>
          <w:lang w:val="fr-CH"/>
        </w:rPr>
        <w:t>E</w:t>
      </w:r>
      <w:r w:rsidRPr="0071782F">
        <w:rPr>
          <w:lang w:val="fr-CH"/>
        </w:rPr>
        <w:t xml:space="preserve">n 2006, </w:t>
      </w:r>
      <w:r w:rsidR="007211D2" w:rsidRPr="0071782F">
        <w:rPr>
          <w:lang w:val="fr-CH"/>
        </w:rPr>
        <w:t xml:space="preserve">le nombre </w:t>
      </w:r>
      <w:r w:rsidRPr="0071782F">
        <w:rPr>
          <w:lang w:val="fr-CH"/>
        </w:rPr>
        <w:t xml:space="preserve">total </w:t>
      </w:r>
      <w:r w:rsidR="003F25A2">
        <w:rPr>
          <w:lang w:val="fr-CH"/>
        </w:rPr>
        <w:t>de logements</w:t>
      </w:r>
      <w:r w:rsidR="007211D2" w:rsidRPr="0071782F">
        <w:rPr>
          <w:lang w:val="fr-CH"/>
        </w:rPr>
        <w:t xml:space="preserve"> dans le pays atteignait </w:t>
      </w:r>
      <w:r w:rsidRPr="0071782F">
        <w:rPr>
          <w:lang w:val="fr-CH"/>
        </w:rPr>
        <w:t>15</w:t>
      </w:r>
      <w:r w:rsidR="007211D2" w:rsidRPr="0071782F">
        <w:rPr>
          <w:lang w:val="fr-CH"/>
        </w:rPr>
        <w:t>,</w:t>
      </w:r>
      <w:r w:rsidRPr="0071782F">
        <w:rPr>
          <w:lang w:val="fr-CH"/>
        </w:rPr>
        <w:t>97</w:t>
      </w:r>
      <w:r w:rsidR="00097CDB" w:rsidRPr="0071782F">
        <w:rPr>
          <w:lang w:val="fr-CH"/>
        </w:rPr>
        <w:t> millions</w:t>
      </w:r>
      <w:r w:rsidRPr="0071782F">
        <w:rPr>
          <w:lang w:val="fr-CH"/>
        </w:rPr>
        <w:t xml:space="preserve">, </w:t>
      </w:r>
      <w:r w:rsidR="007211D2" w:rsidRPr="0071782F">
        <w:rPr>
          <w:lang w:val="fr-CH"/>
        </w:rPr>
        <w:t xml:space="preserve">dont </w:t>
      </w:r>
      <w:r w:rsidRPr="0071782F">
        <w:rPr>
          <w:lang w:val="fr-CH"/>
        </w:rPr>
        <w:t>11</w:t>
      </w:r>
      <w:r w:rsidR="007211D2" w:rsidRPr="0071782F">
        <w:rPr>
          <w:lang w:val="fr-CH"/>
        </w:rPr>
        <w:t>,</w:t>
      </w:r>
      <w:r w:rsidRPr="0071782F">
        <w:rPr>
          <w:lang w:val="fr-CH"/>
        </w:rPr>
        <w:t>5</w:t>
      </w:r>
      <w:r w:rsidR="00097CDB" w:rsidRPr="0071782F">
        <w:rPr>
          <w:lang w:val="fr-CH"/>
        </w:rPr>
        <w:t> millions</w:t>
      </w:r>
      <w:r w:rsidR="007211D2" w:rsidRPr="0071782F">
        <w:rPr>
          <w:lang w:val="fr-CH"/>
        </w:rPr>
        <w:t xml:space="preserve"> en milieu urbain et </w:t>
      </w:r>
      <w:r w:rsidRPr="0071782F">
        <w:rPr>
          <w:lang w:val="fr-CH"/>
        </w:rPr>
        <w:t>4</w:t>
      </w:r>
      <w:r w:rsidR="007211D2" w:rsidRPr="0071782F">
        <w:rPr>
          <w:lang w:val="fr-CH"/>
        </w:rPr>
        <w:t>,</w:t>
      </w:r>
      <w:r w:rsidRPr="0071782F">
        <w:rPr>
          <w:lang w:val="fr-CH"/>
        </w:rPr>
        <w:t>47</w:t>
      </w:r>
      <w:r w:rsidR="00097CDB" w:rsidRPr="0071782F">
        <w:rPr>
          <w:lang w:val="fr-CH"/>
        </w:rPr>
        <w:t> millions</w:t>
      </w:r>
      <w:r w:rsidRPr="0071782F">
        <w:rPr>
          <w:lang w:val="fr-CH"/>
        </w:rPr>
        <w:t xml:space="preserve"> </w:t>
      </w:r>
      <w:r w:rsidR="007211D2" w:rsidRPr="0071782F">
        <w:rPr>
          <w:lang w:val="fr-CH"/>
        </w:rPr>
        <w:t xml:space="preserve">en milieu </w:t>
      </w:r>
      <w:r w:rsidRPr="0071782F">
        <w:rPr>
          <w:lang w:val="fr-CH"/>
        </w:rPr>
        <w:t>rural.</w:t>
      </w:r>
    </w:p>
    <w:p w:rsidR="008A7415" w:rsidRPr="0071782F" w:rsidRDefault="008A7415" w:rsidP="00204410">
      <w:pPr>
        <w:pStyle w:val="H1G"/>
        <w:rPr>
          <w:lang w:val="fr-CH"/>
        </w:rPr>
      </w:pPr>
      <w:r w:rsidRPr="0071782F">
        <w:rPr>
          <w:lang w:val="fr-CH"/>
        </w:rPr>
        <w:tab/>
      </w:r>
      <w:r w:rsidRPr="0071782F">
        <w:rPr>
          <w:lang w:val="fr-CH"/>
        </w:rPr>
        <w:tab/>
      </w:r>
      <w:r w:rsidR="007211D2" w:rsidRPr="0071782F">
        <w:rPr>
          <w:lang w:val="fr-CH"/>
        </w:rPr>
        <w:t xml:space="preserve">Densité familiale et logement </w:t>
      </w:r>
    </w:p>
    <w:p w:rsidR="008A7415" w:rsidRPr="0071782F" w:rsidRDefault="008A7415" w:rsidP="00204410">
      <w:pPr>
        <w:pStyle w:val="SingleTxtG"/>
        <w:rPr>
          <w:lang w:val="fr-CH"/>
        </w:rPr>
      </w:pPr>
      <w:r w:rsidRPr="0071782F">
        <w:rPr>
          <w:lang w:val="fr-CH"/>
        </w:rPr>
        <w:t>204.</w:t>
      </w:r>
      <w:r w:rsidRPr="0071782F">
        <w:rPr>
          <w:lang w:val="fr-CH"/>
        </w:rPr>
        <w:tab/>
      </w:r>
      <w:r w:rsidR="007211D2" w:rsidRPr="0071782F">
        <w:rPr>
          <w:lang w:val="fr-CH"/>
        </w:rPr>
        <w:t xml:space="preserve">La croissance de la production </w:t>
      </w:r>
      <w:r w:rsidR="003F25A2">
        <w:rPr>
          <w:lang w:val="fr-CH"/>
        </w:rPr>
        <w:t>de logements</w:t>
      </w:r>
      <w:r w:rsidR="007211D2" w:rsidRPr="0071782F">
        <w:rPr>
          <w:lang w:val="fr-CH"/>
        </w:rPr>
        <w:t xml:space="preserve">, d’une part, et la baisse du taux d’accroissement de la population du pays, d’autre part, et le fait que le rythme de la croissance de la construction </w:t>
      </w:r>
      <w:r w:rsidR="003F25A2">
        <w:rPr>
          <w:lang w:val="fr-CH"/>
        </w:rPr>
        <w:t>de logements</w:t>
      </w:r>
      <w:r w:rsidR="007211D2" w:rsidRPr="0071782F">
        <w:rPr>
          <w:lang w:val="fr-CH"/>
        </w:rPr>
        <w:t xml:space="preserve"> a été supérieur à celui de l’accroissement de la population ont fait baisser la densité familiale, ramenée de </w:t>
      </w:r>
      <w:r w:rsidRPr="0071782F">
        <w:rPr>
          <w:lang w:val="fr-CH"/>
        </w:rPr>
        <w:t>1</w:t>
      </w:r>
      <w:r w:rsidR="007211D2" w:rsidRPr="0071782F">
        <w:rPr>
          <w:lang w:val="fr-CH"/>
        </w:rPr>
        <w:t>,</w:t>
      </w:r>
      <w:r w:rsidRPr="0071782F">
        <w:rPr>
          <w:lang w:val="fr-CH"/>
        </w:rPr>
        <w:t>2</w:t>
      </w:r>
      <w:r w:rsidR="007E5125" w:rsidRPr="0071782F">
        <w:rPr>
          <w:lang w:val="fr-CH"/>
        </w:rPr>
        <w:t>%</w:t>
      </w:r>
      <w:r w:rsidRPr="0071782F">
        <w:rPr>
          <w:lang w:val="fr-CH"/>
        </w:rPr>
        <w:t xml:space="preserve"> </w:t>
      </w:r>
      <w:r w:rsidR="007211D2" w:rsidRPr="0071782F">
        <w:rPr>
          <w:lang w:val="fr-CH"/>
        </w:rPr>
        <w:t>e</w:t>
      </w:r>
      <w:r w:rsidRPr="0071782F">
        <w:rPr>
          <w:lang w:val="fr-CH"/>
        </w:rPr>
        <w:t xml:space="preserve">n 2005 </w:t>
      </w:r>
      <w:r w:rsidR="007211D2" w:rsidRPr="0071782F">
        <w:rPr>
          <w:lang w:val="fr-CH"/>
        </w:rPr>
        <w:t>à</w:t>
      </w:r>
      <w:r w:rsidRPr="0071782F">
        <w:rPr>
          <w:lang w:val="fr-CH"/>
        </w:rPr>
        <w:t xml:space="preserve"> 1</w:t>
      </w:r>
      <w:r w:rsidR="007211D2" w:rsidRPr="0071782F">
        <w:rPr>
          <w:lang w:val="fr-CH"/>
        </w:rPr>
        <w:t>,</w:t>
      </w:r>
      <w:r w:rsidRPr="0071782F">
        <w:rPr>
          <w:lang w:val="fr-CH"/>
        </w:rPr>
        <w:t>1</w:t>
      </w:r>
      <w:r w:rsidR="007E5125" w:rsidRPr="0071782F">
        <w:rPr>
          <w:lang w:val="fr-CH"/>
        </w:rPr>
        <w:t>%</w:t>
      </w:r>
      <w:r w:rsidRPr="0071782F">
        <w:rPr>
          <w:lang w:val="fr-CH"/>
        </w:rPr>
        <w:t xml:space="preserve"> </w:t>
      </w:r>
      <w:r w:rsidR="007211D2" w:rsidRPr="0071782F">
        <w:rPr>
          <w:lang w:val="fr-CH"/>
        </w:rPr>
        <w:t>e</w:t>
      </w:r>
      <w:r w:rsidRPr="0071782F">
        <w:rPr>
          <w:lang w:val="fr-CH"/>
        </w:rPr>
        <w:t>n 2006.</w:t>
      </w:r>
    </w:p>
    <w:p w:rsidR="008A7415" w:rsidRPr="0071782F" w:rsidRDefault="008A7415" w:rsidP="00204410">
      <w:pPr>
        <w:pStyle w:val="H1G"/>
        <w:rPr>
          <w:lang w:val="fr-CH"/>
        </w:rPr>
      </w:pPr>
      <w:r w:rsidRPr="0071782F">
        <w:rPr>
          <w:lang w:val="fr-CH"/>
        </w:rPr>
        <w:tab/>
      </w:r>
      <w:r w:rsidRPr="0071782F">
        <w:rPr>
          <w:lang w:val="fr-CH"/>
        </w:rPr>
        <w:tab/>
      </w:r>
      <w:r w:rsidR="007211D2" w:rsidRPr="0071782F">
        <w:rPr>
          <w:lang w:val="fr-CH"/>
        </w:rPr>
        <w:t>Logements démolis</w:t>
      </w:r>
      <w:r w:rsidRPr="0071782F">
        <w:rPr>
          <w:lang w:val="fr-CH"/>
        </w:rPr>
        <w:t xml:space="preserve"> </w:t>
      </w:r>
    </w:p>
    <w:p w:rsidR="008A7415" w:rsidRPr="0071782F" w:rsidRDefault="008A7415" w:rsidP="00204410">
      <w:pPr>
        <w:pStyle w:val="SingleTxtG"/>
        <w:rPr>
          <w:lang w:val="fr-CH"/>
        </w:rPr>
      </w:pPr>
      <w:r w:rsidRPr="0071782F">
        <w:rPr>
          <w:lang w:val="fr-CH"/>
        </w:rPr>
        <w:t>205.</w:t>
      </w:r>
      <w:r w:rsidRPr="0071782F">
        <w:rPr>
          <w:lang w:val="fr-CH"/>
        </w:rPr>
        <w:tab/>
      </w:r>
      <w:r w:rsidR="00EC0B81" w:rsidRPr="0071782F">
        <w:rPr>
          <w:lang w:val="fr-CH"/>
        </w:rPr>
        <w:t>Pour l’ensemble du pays moins la ville de Téhéran, l</w:t>
      </w:r>
      <w:r w:rsidR="00AF0852" w:rsidRPr="0071782F">
        <w:rPr>
          <w:lang w:val="fr-CH"/>
        </w:rPr>
        <w:t xml:space="preserve">e </w:t>
      </w:r>
      <w:r w:rsidR="003B48A4" w:rsidRPr="0071782F">
        <w:rPr>
          <w:lang w:val="fr-CH"/>
        </w:rPr>
        <w:t>nombre</w:t>
      </w:r>
      <w:r w:rsidRPr="0071782F">
        <w:rPr>
          <w:lang w:val="fr-CH"/>
        </w:rPr>
        <w:t xml:space="preserve"> </w:t>
      </w:r>
      <w:r w:rsidR="00EC0B81" w:rsidRPr="0071782F">
        <w:rPr>
          <w:lang w:val="fr-CH"/>
        </w:rPr>
        <w:t xml:space="preserve">d’autorisations délivrées et 2005 et 2007 pour reconstruire </w:t>
      </w:r>
      <w:r w:rsidR="003F25A2">
        <w:rPr>
          <w:lang w:val="fr-CH"/>
        </w:rPr>
        <w:t>des logements</w:t>
      </w:r>
      <w:r w:rsidR="00EC0B81" w:rsidRPr="0071782F">
        <w:rPr>
          <w:lang w:val="fr-CH"/>
        </w:rPr>
        <w:t xml:space="preserve"> démolis a été</w:t>
      </w:r>
      <w:r w:rsidRPr="0071782F">
        <w:rPr>
          <w:lang w:val="fr-CH"/>
        </w:rPr>
        <w:t xml:space="preserve"> </w:t>
      </w:r>
      <w:r w:rsidR="00EC0B81" w:rsidRPr="0071782F">
        <w:rPr>
          <w:lang w:val="fr-CH"/>
        </w:rPr>
        <w:t xml:space="preserve">de </w:t>
      </w:r>
      <w:r w:rsidRPr="0071782F">
        <w:rPr>
          <w:lang w:val="fr-CH"/>
        </w:rPr>
        <w:t>51</w:t>
      </w:r>
      <w:r w:rsidR="00EC0B81" w:rsidRPr="0071782F">
        <w:rPr>
          <w:lang w:val="fr-CH"/>
        </w:rPr>
        <w:t xml:space="preserve"> </w:t>
      </w:r>
      <w:r w:rsidRPr="0071782F">
        <w:rPr>
          <w:lang w:val="fr-CH"/>
        </w:rPr>
        <w:t xml:space="preserve">795 </w:t>
      </w:r>
      <w:r w:rsidR="00EC0B81" w:rsidRPr="0071782F">
        <w:rPr>
          <w:lang w:val="fr-CH"/>
        </w:rPr>
        <w:t>et de 123 </w:t>
      </w:r>
      <w:r w:rsidRPr="0071782F">
        <w:rPr>
          <w:lang w:val="fr-CH"/>
        </w:rPr>
        <w:t>282</w:t>
      </w:r>
      <w:r w:rsidR="00EC0B81" w:rsidRPr="0071782F">
        <w:rPr>
          <w:lang w:val="fr-CH"/>
        </w:rPr>
        <w:t>, respectivement</w:t>
      </w:r>
      <w:r w:rsidRPr="0071782F">
        <w:rPr>
          <w:lang w:val="fr-CH"/>
        </w:rPr>
        <w:t xml:space="preserve">. </w:t>
      </w:r>
    </w:p>
    <w:p w:rsidR="008A7415" w:rsidRPr="0071782F" w:rsidRDefault="008A7415" w:rsidP="00204410">
      <w:pPr>
        <w:pStyle w:val="H1G"/>
        <w:rPr>
          <w:lang w:val="fr-CH"/>
        </w:rPr>
      </w:pPr>
      <w:r w:rsidRPr="0071782F">
        <w:rPr>
          <w:lang w:val="fr-CH"/>
        </w:rPr>
        <w:tab/>
      </w:r>
      <w:r w:rsidRPr="0071782F">
        <w:rPr>
          <w:lang w:val="fr-CH"/>
        </w:rPr>
        <w:tab/>
      </w:r>
      <w:r w:rsidR="00EC0B81" w:rsidRPr="0071782F">
        <w:rPr>
          <w:lang w:val="fr-CH"/>
        </w:rPr>
        <w:t xml:space="preserve">Superficie moyenne </w:t>
      </w:r>
      <w:r w:rsidR="003F25A2">
        <w:rPr>
          <w:lang w:val="fr-CH"/>
        </w:rPr>
        <w:t>des logements</w:t>
      </w:r>
      <w:r w:rsidR="00EC0B81" w:rsidRPr="0071782F">
        <w:rPr>
          <w:lang w:val="fr-CH"/>
        </w:rPr>
        <w:t xml:space="preserve"> nouvellement construits </w:t>
      </w:r>
    </w:p>
    <w:p w:rsidR="008A7415" w:rsidRPr="0071782F" w:rsidRDefault="008A7415" w:rsidP="00204410">
      <w:pPr>
        <w:pStyle w:val="SingleTxtG"/>
        <w:rPr>
          <w:lang w:val="fr-CH"/>
        </w:rPr>
      </w:pPr>
      <w:r w:rsidRPr="0071782F">
        <w:rPr>
          <w:lang w:val="fr-CH"/>
        </w:rPr>
        <w:t>206.</w:t>
      </w:r>
      <w:r w:rsidRPr="0071782F">
        <w:rPr>
          <w:lang w:val="fr-CH"/>
        </w:rPr>
        <w:tab/>
      </w:r>
      <w:r w:rsidR="00EC0B81" w:rsidRPr="0071782F">
        <w:rPr>
          <w:lang w:val="fr-CH"/>
        </w:rPr>
        <w:t xml:space="preserve">Cet indicateur a atteint en 2005 et 2007 </w:t>
      </w:r>
      <w:r w:rsidRPr="0071782F">
        <w:rPr>
          <w:lang w:val="fr-CH"/>
        </w:rPr>
        <w:t xml:space="preserve">121 </w:t>
      </w:r>
      <w:r w:rsidR="00EC0B81" w:rsidRPr="0071782F">
        <w:rPr>
          <w:lang w:val="fr-CH"/>
        </w:rPr>
        <w:t xml:space="preserve">et </w:t>
      </w:r>
      <w:r w:rsidRPr="0071782F">
        <w:rPr>
          <w:lang w:val="fr-CH"/>
        </w:rPr>
        <w:t>122</w:t>
      </w:r>
      <w:r w:rsidR="00AF44B8" w:rsidRPr="0071782F">
        <w:rPr>
          <w:lang w:val="fr-CH"/>
        </w:rPr>
        <w:t> m</w:t>
      </w:r>
      <w:r w:rsidR="003F25A2" w:rsidRPr="003F25A2">
        <w:rPr>
          <w:vertAlign w:val="superscript"/>
          <w:lang w:val="fr-CH"/>
        </w:rPr>
        <w:t>2</w:t>
      </w:r>
      <w:r w:rsidRPr="0071782F">
        <w:rPr>
          <w:lang w:val="fr-CH"/>
        </w:rPr>
        <w:t xml:space="preserve">, </w:t>
      </w:r>
      <w:r w:rsidR="00EC0B81" w:rsidRPr="0071782F">
        <w:rPr>
          <w:lang w:val="fr-CH"/>
        </w:rPr>
        <w:t xml:space="preserve">respectivement, ce qui est loin des objectifs fixés dans le </w:t>
      </w:r>
      <w:r w:rsidR="00A90208" w:rsidRPr="0071782F">
        <w:rPr>
          <w:lang w:val="fr-CH"/>
        </w:rPr>
        <w:t>quatrième</w:t>
      </w:r>
      <w:r w:rsidR="00EC0B81" w:rsidRPr="0071782F">
        <w:rPr>
          <w:lang w:val="fr-CH"/>
        </w:rPr>
        <w:t xml:space="preserve"> plan de développement (</w:t>
      </w:r>
      <w:r w:rsidRPr="0071782F">
        <w:rPr>
          <w:lang w:val="fr-CH"/>
        </w:rPr>
        <w:t xml:space="preserve">120 </w:t>
      </w:r>
      <w:r w:rsidR="00EC0B81" w:rsidRPr="0071782F">
        <w:rPr>
          <w:lang w:val="fr-CH"/>
        </w:rPr>
        <w:t>et</w:t>
      </w:r>
      <w:r w:rsidRPr="0071782F">
        <w:rPr>
          <w:lang w:val="fr-CH"/>
        </w:rPr>
        <w:t xml:space="preserve"> 116</w:t>
      </w:r>
      <w:r w:rsidR="00AF44B8" w:rsidRPr="0071782F">
        <w:rPr>
          <w:lang w:val="fr-CH"/>
        </w:rPr>
        <w:t> m</w:t>
      </w:r>
      <w:r w:rsidR="003F25A2" w:rsidRPr="003F25A2">
        <w:rPr>
          <w:vertAlign w:val="superscript"/>
          <w:lang w:val="fr-CH"/>
        </w:rPr>
        <w:t>2</w:t>
      </w:r>
      <w:r w:rsidR="00EC0B81" w:rsidRPr="0071782F">
        <w:rPr>
          <w:lang w:val="fr-CH"/>
        </w:rPr>
        <w:t xml:space="preserve"> pour </w:t>
      </w:r>
      <w:r w:rsidRPr="0071782F">
        <w:rPr>
          <w:lang w:val="fr-CH"/>
        </w:rPr>
        <w:t xml:space="preserve">2005 </w:t>
      </w:r>
      <w:r w:rsidR="00EC0B81" w:rsidRPr="0071782F">
        <w:rPr>
          <w:lang w:val="fr-CH"/>
        </w:rPr>
        <w:t>et</w:t>
      </w:r>
      <w:r w:rsidRPr="0071782F">
        <w:rPr>
          <w:lang w:val="fr-CH"/>
        </w:rPr>
        <w:t xml:space="preserve"> 2007</w:t>
      </w:r>
      <w:r w:rsidR="00EC0B81" w:rsidRPr="0071782F">
        <w:rPr>
          <w:lang w:val="fr-CH"/>
        </w:rPr>
        <w:t>, respectivement)</w:t>
      </w:r>
      <w:r w:rsidRPr="0071782F">
        <w:rPr>
          <w:lang w:val="fr-CH"/>
        </w:rPr>
        <w:t xml:space="preserve">. </w:t>
      </w:r>
    </w:p>
    <w:p w:rsidR="008A7415" w:rsidRPr="0071782F" w:rsidRDefault="008A7415" w:rsidP="00204410">
      <w:pPr>
        <w:pStyle w:val="H1G"/>
        <w:rPr>
          <w:lang w:val="fr-CH"/>
        </w:rPr>
      </w:pPr>
      <w:r w:rsidRPr="0071782F">
        <w:rPr>
          <w:lang w:val="fr-CH"/>
        </w:rPr>
        <w:tab/>
      </w:r>
      <w:r w:rsidRPr="0071782F">
        <w:rPr>
          <w:lang w:val="fr-CH"/>
        </w:rPr>
        <w:tab/>
      </w:r>
      <w:r w:rsidR="00777FFB" w:rsidRPr="0071782F">
        <w:rPr>
          <w:lang w:val="fr-CH"/>
        </w:rPr>
        <w:t xml:space="preserve">Logements et nombre d’étages </w:t>
      </w:r>
    </w:p>
    <w:p w:rsidR="008A7415" w:rsidRPr="0071782F" w:rsidRDefault="008A7415" w:rsidP="00204410">
      <w:pPr>
        <w:pStyle w:val="SingleTxtG"/>
        <w:rPr>
          <w:lang w:val="fr-CH"/>
        </w:rPr>
      </w:pPr>
      <w:r w:rsidRPr="0071782F">
        <w:rPr>
          <w:lang w:val="fr-CH"/>
        </w:rPr>
        <w:t>207.</w:t>
      </w:r>
      <w:r w:rsidRPr="0071782F">
        <w:rPr>
          <w:lang w:val="fr-CH"/>
        </w:rPr>
        <w:tab/>
      </w:r>
      <w:r w:rsidR="004B389C" w:rsidRPr="0071782F">
        <w:rPr>
          <w:lang w:val="fr-CH"/>
        </w:rPr>
        <w:t xml:space="preserve">La proportion de bâtiments </w:t>
      </w:r>
      <w:r w:rsidR="00A774F8" w:rsidRPr="0071782F">
        <w:rPr>
          <w:lang w:val="fr-CH"/>
        </w:rPr>
        <w:t>d’</w:t>
      </w:r>
      <w:r w:rsidR="004B389C" w:rsidRPr="0071782F">
        <w:rPr>
          <w:lang w:val="fr-CH"/>
        </w:rPr>
        <w:t>au moins trois étages par rapport au nombre total de bâtiments pour lesquels des permis de construire ont été délivrés est passée de 41,5</w:t>
      </w:r>
      <w:r w:rsidR="007E5125" w:rsidRPr="0071782F">
        <w:rPr>
          <w:lang w:val="fr-CH"/>
        </w:rPr>
        <w:t>%</w:t>
      </w:r>
      <w:r w:rsidR="004B389C" w:rsidRPr="0071782F">
        <w:rPr>
          <w:lang w:val="fr-CH"/>
        </w:rPr>
        <w:t xml:space="preserve"> en 2005 à 53,8</w:t>
      </w:r>
      <w:r w:rsidR="007E5125" w:rsidRPr="0071782F">
        <w:rPr>
          <w:lang w:val="fr-CH"/>
        </w:rPr>
        <w:t>%</w:t>
      </w:r>
      <w:r w:rsidR="004B389C" w:rsidRPr="0071782F">
        <w:rPr>
          <w:lang w:val="fr-CH"/>
        </w:rPr>
        <w:t xml:space="preserve"> en 2007, ce qui témoigne du développement de la construction en série </w:t>
      </w:r>
      <w:r w:rsidR="003F25A2">
        <w:rPr>
          <w:lang w:val="fr-CH"/>
        </w:rPr>
        <w:t>de logements</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4B389C" w:rsidRPr="0071782F">
        <w:rPr>
          <w:lang w:val="fr-CH"/>
        </w:rPr>
        <w:t xml:space="preserve">L’indice des prix </w:t>
      </w:r>
      <w:r w:rsidR="003F25A2">
        <w:rPr>
          <w:lang w:val="fr-CH"/>
        </w:rPr>
        <w:t>des logements</w:t>
      </w:r>
      <w:r w:rsidR="004B389C" w:rsidRPr="0071782F">
        <w:rPr>
          <w:lang w:val="fr-CH"/>
        </w:rPr>
        <w:t xml:space="preserve"> et l’indice des prix à la consommation de biens et de services </w:t>
      </w:r>
    </w:p>
    <w:p w:rsidR="008A7415" w:rsidRPr="0071782F" w:rsidRDefault="008A7415" w:rsidP="00204410">
      <w:pPr>
        <w:pStyle w:val="SingleTxtG"/>
        <w:rPr>
          <w:lang w:val="fr-CH"/>
        </w:rPr>
      </w:pPr>
      <w:r w:rsidRPr="0071782F">
        <w:rPr>
          <w:lang w:val="fr-CH"/>
        </w:rPr>
        <w:t>208.</w:t>
      </w:r>
      <w:r w:rsidRPr="0071782F">
        <w:rPr>
          <w:lang w:val="fr-CH"/>
        </w:rPr>
        <w:tab/>
      </w:r>
      <w:r w:rsidR="004B389C" w:rsidRPr="0071782F">
        <w:rPr>
          <w:lang w:val="fr-CH"/>
        </w:rPr>
        <w:t xml:space="preserve">L’indice des prix </w:t>
      </w:r>
      <w:r w:rsidR="003F25A2">
        <w:rPr>
          <w:lang w:val="fr-CH"/>
        </w:rPr>
        <w:t>des logements</w:t>
      </w:r>
      <w:r w:rsidR="004B389C" w:rsidRPr="0071782F">
        <w:rPr>
          <w:lang w:val="fr-CH"/>
        </w:rPr>
        <w:t xml:space="preserve">, du combustible et de l’électricité </w:t>
      </w:r>
      <w:r w:rsidR="00160811" w:rsidRPr="0071782F">
        <w:rPr>
          <w:lang w:val="fr-CH"/>
        </w:rPr>
        <w:t xml:space="preserve">des années 2005 et 2007 a été de </w:t>
      </w:r>
      <w:r w:rsidRPr="0071782F">
        <w:rPr>
          <w:lang w:val="fr-CH"/>
        </w:rPr>
        <w:t>384</w:t>
      </w:r>
      <w:r w:rsidR="00160811" w:rsidRPr="0071782F">
        <w:rPr>
          <w:lang w:val="fr-CH"/>
        </w:rPr>
        <w:t>,</w:t>
      </w:r>
      <w:r w:rsidRPr="0071782F">
        <w:rPr>
          <w:lang w:val="fr-CH"/>
        </w:rPr>
        <w:t xml:space="preserve">8 </w:t>
      </w:r>
      <w:r w:rsidR="00160811" w:rsidRPr="0071782F">
        <w:rPr>
          <w:lang w:val="fr-CH"/>
        </w:rPr>
        <w:t>et</w:t>
      </w:r>
      <w:r w:rsidRPr="0071782F">
        <w:rPr>
          <w:lang w:val="fr-CH"/>
        </w:rPr>
        <w:t xml:space="preserve"> 153</w:t>
      </w:r>
      <w:r w:rsidR="00160811" w:rsidRPr="0071782F">
        <w:rPr>
          <w:lang w:val="fr-CH"/>
        </w:rPr>
        <w:t>,</w:t>
      </w:r>
      <w:r w:rsidRPr="0071782F">
        <w:rPr>
          <w:lang w:val="fr-CH"/>
        </w:rPr>
        <w:t>4</w:t>
      </w:r>
      <w:r w:rsidR="00160811" w:rsidRPr="0071782F">
        <w:rPr>
          <w:lang w:val="fr-CH"/>
        </w:rPr>
        <w:t>,</w:t>
      </w:r>
      <w:r w:rsidRPr="0071782F">
        <w:rPr>
          <w:lang w:val="fr-CH"/>
        </w:rPr>
        <w:t xml:space="preserve"> respective</w:t>
      </w:r>
      <w:r w:rsidR="00160811" w:rsidRPr="0071782F">
        <w:rPr>
          <w:lang w:val="fr-CH"/>
        </w:rPr>
        <w:t>ment</w:t>
      </w:r>
      <w:r w:rsidRPr="0071782F">
        <w:rPr>
          <w:lang w:val="fr-CH"/>
        </w:rPr>
        <w:t xml:space="preserve">, </w:t>
      </w:r>
      <w:r w:rsidR="00160811" w:rsidRPr="0071782F">
        <w:rPr>
          <w:lang w:val="fr-CH"/>
        </w:rPr>
        <w:t xml:space="preserve">tandis que l’indice général des prix à la consommation de biens et de services a été, pour les mêmes années, de </w:t>
      </w:r>
      <w:r w:rsidRPr="0071782F">
        <w:rPr>
          <w:lang w:val="fr-CH"/>
        </w:rPr>
        <w:t>307</w:t>
      </w:r>
      <w:r w:rsidR="00160811" w:rsidRPr="0071782F">
        <w:rPr>
          <w:lang w:val="fr-CH"/>
        </w:rPr>
        <w:t>,</w:t>
      </w:r>
      <w:r w:rsidRPr="0071782F">
        <w:rPr>
          <w:lang w:val="fr-CH"/>
        </w:rPr>
        <w:t xml:space="preserve">6 </w:t>
      </w:r>
      <w:r w:rsidR="00160811" w:rsidRPr="0071782F">
        <w:rPr>
          <w:lang w:val="fr-CH"/>
        </w:rPr>
        <w:t xml:space="preserve">et de </w:t>
      </w:r>
      <w:r w:rsidRPr="0071782F">
        <w:rPr>
          <w:lang w:val="fr-CH"/>
        </w:rPr>
        <w:t>146</w:t>
      </w:r>
      <w:r w:rsidR="00160811" w:rsidRPr="0071782F">
        <w:rPr>
          <w:lang w:val="fr-CH"/>
        </w:rPr>
        <w:t>,</w:t>
      </w:r>
      <w:r w:rsidRPr="0071782F">
        <w:rPr>
          <w:lang w:val="fr-CH"/>
        </w:rPr>
        <w:t>2 respective</w:t>
      </w:r>
      <w:r w:rsidR="00160811" w:rsidRPr="0071782F">
        <w:rPr>
          <w:lang w:val="fr-CH"/>
        </w:rPr>
        <w:t>ment</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F96693" w:rsidRPr="0071782F">
        <w:rPr>
          <w:lang w:val="fr-CH"/>
        </w:rPr>
        <w:t xml:space="preserve">Prix de vente et de location d’un mètre carré de terrain et de logement </w:t>
      </w:r>
    </w:p>
    <w:p w:rsidR="008A7415" w:rsidRPr="0071782F" w:rsidRDefault="008A7415" w:rsidP="00204410">
      <w:pPr>
        <w:pStyle w:val="SingleTxtG"/>
        <w:rPr>
          <w:lang w:val="fr-CH"/>
        </w:rPr>
      </w:pPr>
      <w:r w:rsidRPr="0071782F">
        <w:rPr>
          <w:lang w:val="fr-CH"/>
        </w:rPr>
        <w:t>209.</w:t>
      </w:r>
      <w:r w:rsidRPr="0071782F">
        <w:rPr>
          <w:lang w:val="fr-CH"/>
        </w:rPr>
        <w:tab/>
      </w:r>
      <w:r w:rsidR="00477C24" w:rsidRPr="0071782F">
        <w:rPr>
          <w:lang w:val="fr-CH"/>
        </w:rPr>
        <w:t xml:space="preserve">Entre </w:t>
      </w:r>
      <w:r w:rsidRPr="0071782F">
        <w:rPr>
          <w:lang w:val="fr-CH"/>
        </w:rPr>
        <w:t>2005</w:t>
      </w:r>
      <w:r w:rsidR="00477C24" w:rsidRPr="0071782F">
        <w:rPr>
          <w:lang w:val="fr-CH"/>
        </w:rPr>
        <w:t xml:space="preserve"> et </w:t>
      </w:r>
      <w:r w:rsidRPr="0071782F">
        <w:rPr>
          <w:lang w:val="fr-CH"/>
        </w:rPr>
        <w:t xml:space="preserve">2007, </w:t>
      </w:r>
      <w:r w:rsidR="00477C24" w:rsidRPr="0071782F">
        <w:rPr>
          <w:lang w:val="fr-CH"/>
        </w:rPr>
        <w:t>le secteur du logement a enregistré des taux de croissance</w:t>
      </w:r>
      <w:r w:rsidR="00D36718">
        <w:rPr>
          <w:lang w:val="fr-CH"/>
        </w:rPr>
        <w:t xml:space="preserve"> </w:t>
      </w:r>
      <w:r w:rsidR="00477C24" w:rsidRPr="0071782F">
        <w:rPr>
          <w:lang w:val="fr-CH"/>
        </w:rPr>
        <w:t xml:space="preserve">de </w:t>
      </w:r>
      <w:r w:rsidRPr="0071782F">
        <w:rPr>
          <w:lang w:val="fr-CH"/>
        </w:rPr>
        <w:t>11</w:t>
      </w:r>
      <w:r w:rsidR="00477C24" w:rsidRPr="0071782F">
        <w:rPr>
          <w:lang w:val="fr-CH"/>
        </w:rPr>
        <w:t>,</w:t>
      </w:r>
      <w:r w:rsidRPr="0071782F">
        <w:rPr>
          <w:lang w:val="fr-CH"/>
        </w:rPr>
        <w:t>2</w:t>
      </w:r>
      <w:r w:rsidR="007E5125" w:rsidRPr="0071782F">
        <w:rPr>
          <w:lang w:val="fr-CH"/>
        </w:rPr>
        <w:t>%</w:t>
      </w:r>
      <w:r w:rsidRPr="0071782F">
        <w:rPr>
          <w:lang w:val="fr-CH"/>
        </w:rPr>
        <w:t>, 28</w:t>
      </w:r>
      <w:r w:rsidR="007E5125" w:rsidRPr="0071782F">
        <w:rPr>
          <w:lang w:val="fr-CH"/>
        </w:rPr>
        <w:t>%</w:t>
      </w:r>
      <w:r w:rsidRPr="0071782F">
        <w:rPr>
          <w:lang w:val="fr-CH"/>
        </w:rPr>
        <w:t xml:space="preserve"> </w:t>
      </w:r>
      <w:r w:rsidR="00477C24" w:rsidRPr="0071782F">
        <w:rPr>
          <w:lang w:val="fr-CH"/>
        </w:rPr>
        <w:t xml:space="preserve">et </w:t>
      </w:r>
      <w:r w:rsidRPr="0071782F">
        <w:rPr>
          <w:lang w:val="fr-CH"/>
        </w:rPr>
        <w:t>86</w:t>
      </w:r>
      <w:r w:rsidR="007E5125" w:rsidRPr="0071782F">
        <w:rPr>
          <w:lang w:val="fr-CH"/>
        </w:rPr>
        <w:t>%</w:t>
      </w:r>
      <w:r w:rsidR="00477C24" w:rsidRPr="0071782F">
        <w:rPr>
          <w:lang w:val="fr-CH"/>
        </w:rPr>
        <w:t>,</w:t>
      </w:r>
      <w:r w:rsidRPr="0071782F">
        <w:rPr>
          <w:lang w:val="fr-CH"/>
        </w:rPr>
        <w:t xml:space="preserve"> respective</w:t>
      </w:r>
      <w:r w:rsidR="00477C24" w:rsidRPr="0071782F">
        <w:rPr>
          <w:lang w:val="fr-CH"/>
        </w:rPr>
        <w:t>ment</w:t>
      </w:r>
      <w:r w:rsidRPr="0071782F">
        <w:rPr>
          <w:lang w:val="fr-CH"/>
        </w:rPr>
        <w:t xml:space="preserve">. </w:t>
      </w:r>
      <w:r w:rsidR="00477C24" w:rsidRPr="0071782F">
        <w:rPr>
          <w:lang w:val="fr-CH"/>
        </w:rPr>
        <w:t>E</w:t>
      </w:r>
      <w:r w:rsidRPr="0071782F">
        <w:rPr>
          <w:lang w:val="fr-CH"/>
        </w:rPr>
        <w:t xml:space="preserve">n 2007, </w:t>
      </w:r>
      <w:r w:rsidR="00477C24" w:rsidRPr="0071782F">
        <w:rPr>
          <w:lang w:val="fr-CH"/>
        </w:rPr>
        <w:t>certains facteurs extérieurs et l’augmentation des anticipations inflationnistes sur le marché du logement ont fait monter les prix, ce qui s’est traduit par un fort taux de croissance de ce secteur.</w:t>
      </w:r>
      <w:r w:rsidR="00D36718">
        <w:rPr>
          <w:lang w:val="fr-CH"/>
        </w:rPr>
        <w:t xml:space="preserve"> </w:t>
      </w:r>
    </w:p>
    <w:p w:rsidR="008A7415" w:rsidRPr="0071782F" w:rsidRDefault="008A7415" w:rsidP="00204410">
      <w:pPr>
        <w:pStyle w:val="H1G"/>
        <w:rPr>
          <w:lang w:val="fr-CH"/>
        </w:rPr>
      </w:pPr>
      <w:r w:rsidRPr="0071782F">
        <w:rPr>
          <w:lang w:val="fr-CH"/>
        </w:rPr>
        <w:tab/>
      </w:r>
      <w:r w:rsidRPr="0071782F">
        <w:rPr>
          <w:lang w:val="fr-CH"/>
        </w:rPr>
        <w:tab/>
      </w:r>
      <w:r w:rsidR="00477C24" w:rsidRPr="0071782F">
        <w:rPr>
          <w:lang w:val="fr-CH"/>
        </w:rPr>
        <w:t xml:space="preserve">Participation du secteur du logement à la création d’emplois à l’échelle du pays </w:t>
      </w:r>
    </w:p>
    <w:p w:rsidR="008A7415" w:rsidRPr="0071782F" w:rsidRDefault="008A7415" w:rsidP="00204410">
      <w:pPr>
        <w:pStyle w:val="SingleTxtG"/>
        <w:rPr>
          <w:lang w:val="fr-CH"/>
        </w:rPr>
      </w:pPr>
      <w:r w:rsidRPr="0071782F">
        <w:rPr>
          <w:lang w:val="fr-CH"/>
        </w:rPr>
        <w:t>210.</w:t>
      </w:r>
      <w:r w:rsidRPr="0071782F">
        <w:rPr>
          <w:lang w:val="fr-CH"/>
        </w:rPr>
        <w:tab/>
      </w:r>
      <w:r w:rsidR="00477C24" w:rsidRPr="0071782F">
        <w:rPr>
          <w:lang w:val="fr-CH"/>
        </w:rPr>
        <w:t xml:space="preserve">Cette participation est passée de </w:t>
      </w:r>
      <w:r w:rsidRPr="0071782F">
        <w:rPr>
          <w:lang w:val="fr-CH"/>
        </w:rPr>
        <w:t>11</w:t>
      </w:r>
      <w:r w:rsidR="007E5125" w:rsidRPr="0071782F">
        <w:rPr>
          <w:lang w:val="fr-CH"/>
        </w:rPr>
        <w:t>%</w:t>
      </w:r>
      <w:r w:rsidRPr="0071782F">
        <w:rPr>
          <w:lang w:val="fr-CH"/>
        </w:rPr>
        <w:t xml:space="preserve"> </w:t>
      </w:r>
      <w:r w:rsidR="00477C24" w:rsidRPr="0071782F">
        <w:rPr>
          <w:lang w:val="fr-CH"/>
        </w:rPr>
        <w:t>e</w:t>
      </w:r>
      <w:r w:rsidRPr="0071782F">
        <w:rPr>
          <w:lang w:val="fr-CH"/>
        </w:rPr>
        <w:t xml:space="preserve">n 2005 </w:t>
      </w:r>
      <w:r w:rsidR="00477C24" w:rsidRPr="0071782F">
        <w:rPr>
          <w:lang w:val="fr-CH"/>
        </w:rPr>
        <w:t>à</w:t>
      </w:r>
      <w:r w:rsidRPr="0071782F">
        <w:rPr>
          <w:lang w:val="fr-CH"/>
        </w:rPr>
        <w:t xml:space="preserve"> 12</w:t>
      </w:r>
      <w:r w:rsidR="00477C24" w:rsidRPr="0071782F">
        <w:rPr>
          <w:lang w:val="fr-CH"/>
        </w:rPr>
        <w:t>,</w:t>
      </w:r>
      <w:r w:rsidRPr="0071782F">
        <w:rPr>
          <w:lang w:val="fr-CH"/>
        </w:rPr>
        <w:t>8</w:t>
      </w:r>
      <w:r w:rsidR="007E5125" w:rsidRPr="0071782F">
        <w:rPr>
          <w:lang w:val="fr-CH"/>
        </w:rPr>
        <w:t>%</w:t>
      </w:r>
      <w:r w:rsidRPr="0071782F">
        <w:rPr>
          <w:lang w:val="fr-CH"/>
        </w:rPr>
        <w:t xml:space="preserve"> </w:t>
      </w:r>
      <w:r w:rsidR="00477C24" w:rsidRPr="0071782F">
        <w:rPr>
          <w:lang w:val="fr-CH"/>
        </w:rPr>
        <w:t>et</w:t>
      </w:r>
      <w:r w:rsidRPr="0071782F">
        <w:rPr>
          <w:lang w:val="fr-CH"/>
        </w:rPr>
        <w:t xml:space="preserve"> 13</w:t>
      </w:r>
      <w:r w:rsidR="007E5125" w:rsidRPr="0071782F">
        <w:rPr>
          <w:lang w:val="fr-CH"/>
        </w:rPr>
        <w:t>%</w:t>
      </w:r>
      <w:r w:rsidRPr="0071782F">
        <w:rPr>
          <w:lang w:val="fr-CH"/>
        </w:rPr>
        <w:t xml:space="preserve"> </w:t>
      </w:r>
      <w:r w:rsidR="00477C24" w:rsidRPr="0071782F">
        <w:rPr>
          <w:lang w:val="fr-CH"/>
        </w:rPr>
        <w:t xml:space="preserve">en 2006 et </w:t>
      </w:r>
      <w:r w:rsidRPr="0071782F">
        <w:rPr>
          <w:lang w:val="fr-CH"/>
        </w:rPr>
        <w:t>2007</w:t>
      </w:r>
      <w:r w:rsidR="00477C24" w:rsidRPr="0071782F">
        <w:rPr>
          <w:lang w:val="fr-CH"/>
        </w:rPr>
        <w:t>, respectivement</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t>Conclusions</w:t>
      </w:r>
    </w:p>
    <w:p w:rsidR="008A7415" w:rsidRPr="0071782F" w:rsidRDefault="008A7415" w:rsidP="00204410">
      <w:pPr>
        <w:pStyle w:val="SingleTxtG"/>
        <w:rPr>
          <w:lang w:val="fr-CH"/>
        </w:rPr>
      </w:pPr>
      <w:r w:rsidRPr="0071782F">
        <w:rPr>
          <w:lang w:val="fr-CH"/>
        </w:rPr>
        <w:t>211.</w:t>
      </w:r>
      <w:r w:rsidRPr="0071782F">
        <w:rPr>
          <w:lang w:val="fr-CH"/>
        </w:rPr>
        <w:tab/>
      </w:r>
      <w:r w:rsidR="004945F8" w:rsidRPr="0071782F">
        <w:rPr>
          <w:lang w:val="fr-CH"/>
        </w:rPr>
        <w:t xml:space="preserve">Un examen des règles juridiques inscrites dans le </w:t>
      </w:r>
      <w:r w:rsidR="00A90208" w:rsidRPr="0071782F">
        <w:rPr>
          <w:lang w:val="fr-CH"/>
        </w:rPr>
        <w:t>quatrième</w:t>
      </w:r>
      <w:r w:rsidR="004945F8" w:rsidRPr="0071782F">
        <w:rPr>
          <w:lang w:val="fr-CH"/>
        </w:rPr>
        <w:t xml:space="preserve"> plan de développement et applicables au secteur du logement montre que les </w:t>
      </w:r>
      <w:r w:rsidR="00723F2B" w:rsidRPr="0071782F">
        <w:rPr>
          <w:lang w:val="fr-CH"/>
        </w:rPr>
        <w:t>articles </w:t>
      </w:r>
      <w:r w:rsidRPr="0071782F">
        <w:rPr>
          <w:lang w:val="fr-CH"/>
        </w:rPr>
        <w:t xml:space="preserve">3, 30, 31, 52, 95, 99, 112, 121 </w:t>
      </w:r>
      <w:r w:rsidR="004945F8" w:rsidRPr="0071782F">
        <w:rPr>
          <w:lang w:val="fr-CH"/>
        </w:rPr>
        <w:t xml:space="preserve">et </w:t>
      </w:r>
      <w:r w:rsidRPr="0071782F">
        <w:rPr>
          <w:lang w:val="fr-CH"/>
        </w:rPr>
        <w:t xml:space="preserve">181 </w:t>
      </w:r>
      <w:r w:rsidR="004945F8" w:rsidRPr="0071782F">
        <w:rPr>
          <w:lang w:val="fr-CH"/>
        </w:rPr>
        <w:t xml:space="preserve">de la loi sur le </w:t>
      </w:r>
      <w:r w:rsidR="00A90208" w:rsidRPr="0071782F">
        <w:rPr>
          <w:lang w:val="fr-CH"/>
        </w:rPr>
        <w:t>quatrième</w:t>
      </w:r>
      <w:r w:rsidRPr="0071782F">
        <w:rPr>
          <w:lang w:val="fr-CH"/>
        </w:rPr>
        <w:t xml:space="preserve"> </w:t>
      </w:r>
      <w:r w:rsidR="004945F8" w:rsidRPr="0071782F">
        <w:rPr>
          <w:lang w:val="fr-CH"/>
        </w:rPr>
        <w:t xml:space="preserve">plan de développement sont liés à un titre ou à un autre au secteur du logement. Néanmoins, la plupart des compétences dans ce secteur sont décrites dans </w:t>
      </w:r>
      <w:r w:rsidR="00723F2B" w:rsidRPr="0071782F">
        <w:rPr>
          <w:lang w:val="fr-CH"/>
        </w:rPr>
        <w:t>l’</w:t>
      </w:r>
      <w:r w:rsidR="00943A69" w:rsidRPr="0071782F">
        <w:rPr>
          <w:lang w:val="fr-CH"/>
        </w:rPr>
        <w:t>article </w:t>
      </w:r>
      <w:r w:rsidRPr="0071782F">
        <w:rPr>
          <w:lang w:val="fr-CH"/>
        </w:rPr>
        <w:t xml:space="preserve">30 </w:t>
      </w:r>
      <w:r w:rsidR="004945F8" w:rsidRPr="0071782F">
        <w:rPr>
          <w:lang w:val="fr-CH"/>
        </w:rPr>
        <w:t>de la loi et concernent pour l’essentiel l’augmentation de la résistance des bâtiments contre les tremblements de terre</w:t>
      </w:r>
      <w:r w:rsidRPr="0071782F">
        <w:rPr>
          <w:lang w:val="fr-CH"/>
        </w:rPr>
        <w:t xml:space="preserve">; </w:t>
      </w:r>
      <w:r w:rsidR="004945F8" w:rsidRPr="0071782F">
        <w:rPr>
          <w:lang w:val="fr-CH"/>
        </w:rPr>
        <w:t>l’optimis</w:t>
      </w:r>
      <w:r w:rsidRPr="0071782F">
        <w:rPr>
          <w:lang w:val="fr-CH"/>
        </w:rPr>
        <w:t xml:space="preserve">ation </w:t>
      </w:r>
      <w:r w:rsidR="004945F8" w:rsidRPr="0071782F">
        <w:rPr>
          <w:lang w:val="fr-CH"/>
        </w:rPr>
        <w:t>de la consommation d’énergie dans les bâtiments</w:t>
      </w:r>
      <w:r w:rsidRPr="0071782F">
        <w:rPr>
          <w:lang w:val="fr-CH"/>
        </w:rPr>
        <w:t xml:space="preserve">; </w:t>
      </w:r>
      <w:r w:rsidR="004945F8" w:rsidRPr="0071782F">
        <w:rPr>
          <w:lang w:val="fr-CH"/>
        </w:rPr>
        <w:t xml:space="preserve">le </w:t>
      </w:r>
      <w:r w:rsidRPr="0071782F">
        <w:rPr>
          <w:lang w:val="fr-CH"/>
        </w:rPr>
        <w:t xml:space="preserve">plan </w:t>
      </w:r>
      <w:r w:rsidR="004945F8" w:rsidRPr="0071782F">
        <w:rPr>
          <w:lang w:val="fr-CH"/>
        </w:rPr>
        <w:t xml:space="preserve">d’amélioration et de mise en </w:t>
      </w:r>
      <w:r w:rsidR="00D5366B" w:rsidRPr="0071782F">
        <w:rPr>
          <w:lang w:val="fr-CH"/>
        </w:rPr>
        <w:t>œuvre</w:t>
      </w:r>
      <w:r w:rsidR="004945F8" w:rsidRPr="0071782F">
        <w:rPr>
          <w:lang w:val="fr-CH"/>
        </w:rPr>
        <w:t xml:space="preserve"> de technologies plus avancées dans l’électroménager et les dispositifs électriques</w:t>
      </w:r>
      <w:r w:rsidRPr="0071782F">
        <w:rPr>
          <w:lang w:val="fr-CH"/>
        </w:rPr>
        <w:t xml:space="preserve">; </w:t>
      </w:r>
      <w:r w:rsidR="004945F8" w:rsidRPr="0071782F">
        <w:rPr>
          <w:lang w:val="fr-CH"/>
        </w:rPr>
        <w:t xml:space="preserve">le respect du code technique de </w:t>
      </w:r>
      <w:r w:rsidRPr="0071782F">
        <w:rPr>
          <w:lang w:val="fr-CH"/>
        </w:rPr>
        <w:t xml:space="preserve">2008 </w:t>
      </w:r>
      <w:r w:rsidR="004945F8" w:rsidRPr="0071782F">
        <w:rPr>
          <w:lang w:val="fr-CH"/>
        </w:rPr>
        <w:t>concernant la conception parasismique des bâtiments</w:t>
      </w:r>
      <w:r w:rsidRPr="0071782F">
        <w:rPr>
          <w:lang w:val="fr-CH"/>
        </w:rPr>
        <w:t xml:space="preserve">; </w:t>
      </w:r>
      <w:r w:rsidR="004945F8" w:rsidRPr="0071782F">
        <w:rPr>
          <w:lang w:val="fr-CH"/>
        </w:rPr>
        <w:t xml:space="preserve">la normalisation de la </w:t>
      </w:r>
      <w:r w:rsidRPr="0071782F">
        <w:rPr>
          <w:lang w:val="fr-CH"/>
        </w:rPr>
        <w:t xml:space="preserve">reconstruction </w:t>
      </w:r>
      <w:r w:rsidR="004945F8" w:rsidRPr="0071782F">
        <w:rPr>
          <w:lang w:val="fr-CH"/>
        </w:rPr>
        <w:t xml:space="preserve">et de la </w:t>
      </w:r>
      <w:r w:rsidRPr="0071782F">
        <w:rPr>
          <w:lang w:val="fr-CH"/>
        </w:rPr>
        <w:t>r</w:t>
      </w:r>
      <w:r w:rsidR="004945F8" w:rsidRPr="0071782F">
        <w:rPr>
          <w:lang w:val="fr-CH"/>
        </w:rPr>
        <w:t>é</w:t>
      </w:r>
      <w:r w:rsidRPr="0071782F">
        <w:rPr>
          <w:lang w:val="fr-CH"/>
        </w:rPr>
        <w:t xml:space="preserve">novation </w:t>
      </w:r>
      <w:r w:rsidR="004945F8" w:rsidRPr="0071782F">
        <w:rPr>
          <w:lang w:val="fr-CH"/>
        </w:rPr>
        <w:t xml:space="preserve">des quartiers résidentiels anciens des villes et des </w:t>
      </w:r>
      <w:r w:rsidRPr="0071782F">
        <w:rPr>
          <w:lang w:val="fr-CH"/>
        </w:rPr>
        <w:t xml:space="preserve">villages; </w:t>
      </w:r>
      <w:r w:rsidR="004945F8" w:rsidRPr="0071782F">
        <w:rPr>
          <w:lang w:val="fr-CH"/>
        </w:rPr>
        <w:t xml:space="preserve">la </w:t>
      </w:r>
      <w:r w:rsidRPr="0071782F">
        <w:rPr>
          <w:lang w:val="fr-CH"/>
        </w:rPr>
        <w:t xml:space="preserve">formulation </w:t>
      </w:r>
      <w:r w:rsidR="004945F8" w:rsidRPr="0071782F">
        <w:rPr>
          <w:lang w:val="fr-CH"/>
        </w:rPr>
        <w:t>d’un plan intégré de logement</w:t>
      </w:r>
      <w:r w:rsidRPr="0071782F">
        <w:rPr>
          <w:lang w:val="fr-CH"/>
        </w:rPr>
        <w:t xml:space="preserve">; </w:t>
      </w:r>
      <w:r w:rsidR="004945F8" w:rsidRPr="0071782F">
        <w:rPr>
          <w:lang w:val="fr-CH"/>
        </w:rPr>
        <w:t>les mesures mises en place pour le remboursement différé des crédits bancaires</w:t>
      </w:r>
      <w:r w:rsidRPr="0071782F">
        <w:rPr>
          <w:lang w:val="fr-CH"/>
        </w:rPr>
        <w:t xml:space="preserve">; </w:t>
      </w:r>
      <w:r w:rsidR="004945F8" w:rsidRPr="0071782F">
        <w:rPr>
          <w:lang w:val="fr-CH"/>
        </w:rPr>
        <w:t xml:space="preserve">et l’octroi de subventions à la </w:t>
      </w:r>
      <w:r w:rsidRPr="0071782F">
        <w:rPr>
          <w:lang w:val="fr-CH"/>
        </w:rPr>
        <w:t xml:space="preserve">construction </w:t>
      </w:r>
      <w:r w:rsidR="003F25A2">
        <w:rPr>
          <w:lang w:val="fr-CH"/>
        </w:rPr>
        <w:t>de logements</w:t>
      </w:r>
      <w:r w:rsidR="004945F8" w:rsidRPr="0071782F">
        <w:rPr>
          <w:lang w:val="fr-CH"/>
        </w:rPr>
        <w:t xml:space="preserve"> locatifs. Ces dispositions sont </w:t>
      </w:r>
      <w:r w:rsidR="004B0EDD" w:rsidRPr="0071782F">
        <w:rPr>
          <w:lang w:val="fr-CH"/>
        </w:rPr>
        <w:t>devenues opérati</w:t>
      </w:r>
      <w:r w:rsidR="00A774F8" w:rsidRPr="0071782F">
        <w:rPr>
          <w:lang w:val="fr-CH"/>
        </w:rPr>
        <w:t>on</w:t>
      </w:r>
      <w:r w:rsidR="004B0EDD" w:rsidRPr="0071782F">
        <w:rPr>
          <w:lang w:val="fr-CH"/>
        </w:rPr>
        <w:t>nelles</w:t>
      </w:r>
      <w:r w:rsidR="004945F8" w:rsidRPr="0071782F">
        <w:rPr>
          <w:lang w:val="fr-CH"/>
        </w:rPr>
        <w:t xml:space="preserve"> dans le cadre du plan intégré </w:t>
      </w:r>
      <w:r w:rsidR="003F25A2">
        <w:rPr>
          <w:lang w:val="fr-CH"/>
        </w:rPr>
        <w:t>de logements</w:t>
      </w:r>
      <w:r w:rsidR="004945F8" w:rsidRPr="0071782F">
        <w:rPr>
          <w:lang w:val="fr-CH"/>
        </w:rPr>
        <w:t>, de la</w:t>
      </w:r>
      <w:r w:rsidRPr="0071782F">
        <w:rPr>
          <w:lang w:val="fr-CH"/>
        </w:rPr>
        <w:t xml:space="preserve"> </w:t>
      </w:r>
      <w:r w:rsidR="00B71907" w:rsidRPr="0071782F">
        <w:rPr>
          <w:lang w:val="fr-CH"/>
        </w:rPr>
        <w:t>note </w:t>
      </w:r>
      <w:r w:rsidRPr="0071782F">
        <w:rPr>
          <w:lang w:val="fr-CH"/>
        </w:rPr>
        <w:t xml:space="preserve">6 </w:t>
      </w:r>
      <w:r w:rsidR="004945F8" w:rsidRPr="0071782F">
        <w:rPr>
          <w:lang w:val="fr-CH"/>
        </w:rPr>
        <w:t xml:space="preserve">des lois de finances de </w:t>
      </w:r>
      <w:r w:rsidRPr="0071782F">
        <w:rPr>
          <w:lang w:val="fr-CH"/>
        </w:rPr>
        <w:t xml:space="preserve">2007 </w:t>
      </w:r>
      <w:r w:rsidR="004945F8" w:rsidRPr="0071782F">
        <w:rPr>
          <w:lang w:val="fr-CH"/>
        </w:rPr>
        <w:t>et</w:t>
      </w:r>
      <w:r w:rsidRPr="0071782F">
        <w:rPr>
          <w:lang w:val="fr-CH"/>
        </w:rPr>
        <w:t xml:space="preserve"> 2008 </w:t>
      </w:r>
      <w:r w:rsidR="004945F8" w:rsidRPr="0071782F">
        <w:rPr>
          <w:lang w:val="fr-CH"/>
        </w:rPr>
        <w:t xml:space="preserve">et de la loi sur la régulation et le soutien de la construction et de l’offre </w:t>
      </w:r>
      <w:r w:rsidR="003F25A2">
        <w:rPr>
          <w:lang w:val="fr-CH"/>
        </w:rPr>
        <w:t>de logements</w:t>
      </w:r>
      <w:r w:rsidRPr="0071782F">
        <w:rPr>
          <w:lang w:val="fr-CH"/>
        </w:rPr>
        <w:t>.</w:t>
      </w:r>
    </w:p>
    <w:p w:rsidR="008A7415" w:rsidRPr="0071782F" w:rsidRDefault="008A7415" w:rsidP="003C5A76">
      <w:pPr>
        <w:pStyle w:val="SingleTxtG"/>
        <w:ind w:left="1701"/>
        <w:rPr>
          <w:lang w:val="fr-CH"/>
        </w:rPr>
      </w:pPr>
      <w:r w:rsidRPr="0071782F">
        <w:rPr>
          <w:lang w:val="fr-CH"/>
        </w:rPr>
        <w:t>211.1.</w:t>
      </w:r>
      <w:r w:rsidRPr="0071782F">
        <w:rPr>
          <w:lang w:val="fr-CH"/>
        </w:rPr>
        <w:tab/>
      </w:r>
      <w:r w:rsidR="00390AA7" w:rsidRPr="0071782F">
        <w:rPr>
          <w:lang w:val="fr-CH"/>
        </w:rPr>
        <w:t xml:space="preserve">Conformément aux dispositions de la loi relative au </w:t>
      </w:r>
      <w:r w:rsidR="00A90208" w:rsidRPr="0071782F">
        <w:rPr>
          <w:lang w:val="fr-CH"/>
        </w:rPr>
        <w:t>quatrième</w:t>
      </w:r>
      <w:r w:rsidR="00390AA7" w:rsidRPr="0071782F">
        <w:rPr>
          <w:lang w:val="fr-CH"/>
        </w:rPr>
        <w:t xml:space="preserve"> plan de développement, le Plan national intégré de logement formulé en </w:t>
      </w:r>
      <w:r w:rsidRPr="0071782F">
        <w:rPr>
          <w:lang w:val="fr-CH"/>
        </w:rPr>
        <w:t xml:space="preserve">2006 </w:t>
      </w:r>
      <w:r w:rsidR="00390AA7" w:rsidRPr="0071782F">
        <w:rPr>
          <w:lang w:val="fr-CH"/>
        </w:rPr>
        <w:t xml:space="preserve">en tant qu’instrument </w:t>
      </w:r>
      <w:r w:rsidRPr="0071782F">
        <w:rPr>
          <w:lang w:val="fr-CH"/>
        </w:rPr>
        <w:t>strat</w:t>
      </w:r>
      <w:r w:rsidR="00390AA7" w:rsidRPr="0071782F">
        <w:rPr>
          <w:lang w:val="fr-CH"/>
        </w:rPr>
        <w:t>é</w:t>
      </w:r>
      <w:r w:rsidRPr="0071782F">
        <w:rPr>
          <w:lang w:val="fr-CH"/>
        </w:rPr>
        <w:t>gi</w:t>
      </w:r>
      <w:r w:rsidR="00390AA7" w:rsidRPr="0071782F">
        <w:rPr>
          <w:lang w:val="fr-CH"/>
        </w:rPr>
        <w:t xml:space="preserve">que et </w:t>
      </w:r>
      <w:r w:rsidR="00A774F8" w:rsidRPr="0071782F">
        <w:rPr>
          <w:lang w:val="fr-CH"/>
        </w:rPr>
        <w:t>d’</w:t>
      </w:r>
      <w:r w:rsidR="00390AA7" w:rsidRPr="0071782F">
        <w:rPr>
          <w:lang w:val="fr-CH"/>
        </w:rPr>
        <w:t>exé</w:t>
      </w:r>
      <w:r w:rsidRPr="0071782F">
        <w:rPr>
          <w:lang w:val="fr-CH"/>
        </w:rPr>
        <w:t>cuti</w:t>
      </w:r>
      <w:r w:rsidR="00A774F8" w:rsidRPr="0071782F">
        <w:rPr>
          <w:lang w:val="fr-CH"/>
        </w:rPr>
        <w:t>on</w:t>
      </w:r>
      <w:r w:rsidRPr="0071782F">
        <w:rPr>
          <w:lang w:val="fr-CH"/>
        </w:rPr>
        <w:t xml:space="preserve"> </w:t>
      </w:r>
      <w:r w:rsidR="00390AA7" w:rsidRPr="0071782F">
        <w:rPr>
          <w:lang w:val="fr-CH"/>
        </w:rPr>
        <w:t xml:space="preserve">contient </w:t>
      </w:r>
      <w:r w:rsidRPr="0071782F">
        <w:rPr>
          <w:lang w:val="fr-CH"/>
        </w:rPr>
        <w:t>55 program</w:t>
      </w:r>
      <w:r w:rsidR="00390AA7" w:rsidRPr="0071782F">
        <w:rPr>
          <w:lang w:val="fr-CH"/>
        </w:rPr>
        <w:t>me</w:t>
      </w:r>
      <w:r w:rsidRPr="0071782F">
        <w:rPr>
          <w:lang w:val="fr-CH"/>
        </w:rPr>
        <w:t xml:space="preserve">s </w:t>
      </w:r>
      <w:r w:rsidR="00390AA7" w:rsidRPr="0071782F">
        <w:rPr>
          <w:lang w:val="fr-CH"/>
        </w:rPr>
        <w:t>articulés autour de neuf axes d’intervention et visant à remédier aux problèmes du secteur du logement d’une manière globale et intégrée</w:t>
      </w:r>
      <w:r w:rsidRPr="0071782F">
        <w:rPr>
          <w:lang w:val="fr-CH"/>
        </w:rPr>
        <w:t xml:space="preserve">. </w:t>
      </w:r>
      <w:r w:rsidR="00390AA7" w:rsidRPr="0071782F">
        <w:rPr>
          <w:lang w:val="fr-CH"/>
        </w:rPr>
        <w:t>Lui ont fait suite les différents plans intégrés de logement provinciaux, qui ont servi de modèles à utiliser pour les futurs plans et politiques du secteur du logement à l’échelon provincial</w:t>
      </w:r>
      <w:r w:rsidRPr="0071782F">
        <w:rPr>
          <w:lang w:val="fr-CH"/>
        </w:rPr>
        <w:t>.</w:t>
      </w:r>
    </w:p>
    <w:p w:rsidR="008A7415" w:rsidRPr="0071782F" w:rsidRDefault="008A7415" w:rsidP="00A26292">
      <w:pPr>
        <w:pStyle w:val="SingleTxtG"/>
        <w:ind w:left="1701"/>
        <w:rPr>
          <w:lang w:val="fr-CH"/>
        </w:rPr>
      </w:pPr>
      <w:r w:rsidRPr="0071782F">
        <w:rPr>
          <w:lang w:val="fr-CH"/>
        </w:rPr>
        <w:t>211.2.</w:t>
      </w:r>
      <w:r w:rsidRPr="0071782F">
        <w:rPr>
          <w:lang w:val="fr-CH"/>
        </w:rPr>
        <w:tab/>
      </w:r>
      <w:r w:rsidR="00F7210D" w:rsidRPr="0071782F">
        <w:rPr>
          <w:lang w:val="fr-CH"/>
        </w:rPr>
        <w:t xml:space="preserve">Pour finaliser le Plan national intégré de logement en </w:t>
      </w:r>
      <w:r w:rsidRPr="0071782F">
        <w:rPr>
          <w:lang w:val="fr-CH"/>
        </w:rPr>
        <w:t xml:space="preserve">2006 </w:t>
      </w:r>
      <w:r w:rsidR="00F7210D" w:rsidRPr="0071782F">
        <w:rPr>
          <w:lang w:val="fr-CH"/>
        </w:rPr>
        <w:t xml:space="preserve">et exécuter certains de ses programmes connexes conformément aux dispositions de la </w:t>
      </w:r>
      <w:r w:rsidR="00B71907" w:rsidRPr="0071782F">
        <w:rPr>
          <w:lang w:val="fr-CH"/>
        </w:rPr>
        <w:t>note </w:t>
      </w:r>
      <w:r w:rsidR="00F7210D" w:rsidRPr="0071782F">
        <w:rPr>
          <w:lang w:val="fr-CH"/>
        </w:rPr>
        <w:t xml:space="preserve">6 de la loi de finances de 2007, il a fallu créer un cadre juridique qui garantisse la continuité de ces programmes et jette les bases nécessaires à l’exécution d’autres programmes et stratégies liés à ce Plan. À cette fin, la loi sur la réglementation et le soutien de la construction et de l’offre </w:t>
      </w:r>
      <w:r w:rsidR="003F25A2">
        <w:rPr>
          <w:lang w:val="fr-CH"/>
        </w:rPr>
        <w:t>de logements</w:t>
      </w:r>
      <w:r w:rsidR="00F7210D" w:rsidRPr="0071782F">
        <w:rPr>
          <w:lang w:val="fr-CH"/>
        </w:rPr>
        <w:t xml:space="preserve"> a été adoptée en décembre </w:t>
      </w:r>
      <w:r w:rsidRPr="0071782F">
        <w:rPr>
          <w:lang w:val="fr-CH"/>
        </w:rPr>
        <w:t xml:space="preserve">2007. </w:t>
      </w:r>
      <w:r w:rsidR="00F7210D" w:rsidRPr="0071782F">
        <w:rPr>
          <w:lang w:val="fr-CH"/>
        </w:rPr>
        <w:t>Cette loi, qui est la première et la plus complète des lois devant servir à formuler les programmes et politiques du secteur du logement, se base sur trois stratégies fondamentales</w:t>
      </w:r>
      <w:r w:rsidR="008F7D33" w:rsidRPr="0071782F">
        <w:rPr>
          <w:lang w:val="fr-CH"/>
        </w:rPr>
        <w:t>:</w:t>
      </w:r>
      <w:r w:rsidR="00F7210D" w:rsidRPr="0071782F">
        <w:rPr>
          <w:lang w:val="fr-CH"/>
        </w:rPr>
        <w:t xml:space="preserve"> augmenter la </w:t>
      </w:r>
      <w:r w:rsidRPr="0071782F">
        <w:rPr>
          <w:lang w:val="fr-CH"/>
        </w:rPr>
        <w:t xml:space="preserve">production </w:t>
      </w:r>
      <w:r w:rsidR="00F7210D" w:rsidRPr="0071782F">
        <w:rPr>
          <w:lang w:val="fr-CH"/>
        </w:rPr>
        <w:t>et la capacité d’investissement du secteur en lui fournissant les aides, les crédits et les autres ressources dont il a besoin</w:t>
      </w:r>
      <w:r w:rsidRPr="0071782F">
        <w:rPr>
          <w:lang w:val="fr-CH"/>
        </w:rPr>
        <w:t xml:space="preserve">; </w:t>
      </w:r>
      <w:r w:rsidR="00F7210D" w:rsidRPr="0071782F">
        <w:rPr>
          <w:lang w:val="fr-CH"/>
        </w:rPr>
        <w:t xml:space="preserve">développer et appuyer les programmes de logement en faveur </w:t>
      </w:r>
      <w:r w:rsidR="004E45FB" w:rsidRPr="0071782F">
        <w:rPr>
          <w:lang w:val="fr-CH"/>
        </w:rPr>
        <w:t>des familles</w:t>
      </w:r>
      <w:r w:rsidR="00F7210D" w:rsidRPr="0071782F">
        <w:rPr>
          <w:lang w:val="fr-CH"/>
        </w:rPr>
        <w:t xml:space="preserve"> à faible revenu et des groupes défavorisés de la société</w:t>
      </w:r>
      <w:r w:rsidRPr="0071782F">
        <w:rPr>
          <w:lang w:val="fr-CH"/>
        </w:rPr>
        <w:t xml:space="preserve">; </w:t>
      </w:r>
      <w:r w:rsidR="00F7210D" w:rsidRPr="0071782F">
        <w:rPr>
          <w:lang w:val="fr-CH"/>
        </w:rPr>
        <w:t xml:space="preserve">et renforcer l’appui du système bancaire et les subventions nécessaires à l’exécution de ces </w:t>
      </w:r>
      <w:r w:rsidR="0071782F" w:rsidRPr="0071782F">
        <w:rPr>
          <w:lang w:val="fr-CH"/>
        </w:rPr>
        <w:t>stratégies</w:t>
      </w:r>
      <w:r w:rsidRPr="0071782F">
        <w:rPr>
          <w:lang w:val="fr-CH"/>
        </w:rPr>
        <w:t>.</w:t>
      </w:r>
    </w:p>
    <w:p w:rsidR="008A7415" w:rsidRPr="0071782F" w:rsidRDefault="008A7415" w:rsidP="003C5A76">
      <w:pPr>
        <w:pStyle w:val="SingleTxtG"/>
        <w:ind w:left="1701"/>
        <w:rPr>
          <w:lang w:val="fr-CH"/>
        </w:rPr>
      </w:pPr>
      <w:r w:rsidRPr="0071782F">
        <w:rPr>
          <w:lang w:val="fr-CH"/>
        </w:rPr>
        <w:t>211.3.</w:t>
      </w:r>
      <w:r w:rsidRPr="0071782F">
        <w:rPr>
          <w:lang w:val="fr-CH"/>
        </w:rPr>
        <w:tab/>
      </w:r>
      <w:r w:rsidR="00F42F0A" w:rsidRPr="0071782F">
        <w:rPr>
          <w:lang w:val="fr-CH"/>
        </w:rPr>
        <w:t>Au nombre des activités menées à bien conformément aux stratégies susvisées, on peut mentionner les programmes de gestion du secteur du logement, parmi lesquels la création d’un conseil du logement, d’un groupe de travail sur le logement et de comités de développement du logement</w:t>
      </w:r>
      <w:r w:rsidRPr="0071782F">
        <w:rPr>
          <w:lang w:val="fr-CH"/>
        </w:rPr>
        <w:t xml:space="preserve">, </w:t>
      </w:r>
      <w:r w:rsidR="00F42F0A" w:rsidRPr="0071782F">
        <w:rPr>
          <w:lang w:val="fr-CH"/>
        </w:rPr>
        <w:t>la gestion de la spéculation sur les marchés immobiliers</w:t>
      </w:r>
      <w:r w:rsidRPr="0071782F">
        <w:rPr>
          <w:lang w:val="fr-CH"/>
        </w:rPr>
        <w:t xml:space="preserve">, </w:t>
      </w:r>
      <w:r w:rsidR="00F42F0A" w:rsidRPr="0071782F">
        <w:rPr>
          <w:lang w:val="fr-CH"/>
        </w:rPr>
        <w:t xml:space="preserve">la </w:t>
      </w:r>
      <w:r w:rsidRPr="0071782F">
        <w:rPr>
          <w:lang w:val="fr-CH"/>
        </w:rPr>
        <w:t>cr</w:t>
      </w:r>
      <w:r w:rsidR="00F42F0A" w:rsidRPr="0071782F">
        <w:rPr>
          <w:lang w:val="fr-CH"/>
        </w:rPr>
        <w:t>é</w:t>
      </w:r>
      <w:r w:rsidRPr="0071782F">
        <w:rPr>
          <w:lang w:val="fr-CH"/>
        </w:rPr>
        <w:t xml:space="preserve">ation </w:t>
      </w:r>
      <w:r w:rsidR="00F42F0A" w:rsidRPr="0071782F">
        <w:rPr>
          <w:lang w:val="fr-CH"/>
        </w:rPr>
        <w:t>de la banque de données sur les biens immobiliers existant dans le pays et la réglementation des agences immobilières.</w:t>
      </w:r>
      <w:r w:rsidRPr="0071782F">
        <w:rPr>
          <w:lang w:val="fr-CH"/>
        </w:rPr>
        <w:t xml:space="preserve"> </w:t>
      </w:r>
    </w:p>
    <w:p w:rsidR="008A7415" w:rsidRPr="0071782F" w:rsidRDefault="008A7415" w:rsidP="003C5A76">
      <w:pPr>
        <w:pStyle w:val="SingleTxtG"/>
        <w:ind w:left="1701"/>
        <w:rPr>
          <w:lang w:val="fr-CH"/>
        </w:rPr>
      </w:pPr>
      <w:r w:rsidRPr="0071782F">
        <w:rPr>
          <w:lang w:val="fr-CH"/>
        </w:rPr>
        <w:t>211.4.</w:t>
      </w:r>
      <w:r w:rsidRPr="0071782F">
        <w:rPr>
          <w:lang w:val="fr-CH"/>
        </w:rPr>
        <w:tab/>
      </w:r>
      <w:r w:rsidR="00F42F0A" w:rsidRPr="0071782F">
        <w:rPr>
          <w:lang w:val="fr-CH"/>
        </w:rPr>
        <w:t>Dans le cadre de ces programmes et stratégies, les</w:t>
      </w:r>
      <w:r w:rsidR="003F25A2">
        <w:rPr>
          <w:lang w:val="fr-CH"/>
        </w:rPr>
        <w:t> logements</w:t>
      </w:r>
      <w:r w:rsidR="00F42F0A" w:rsidRPr="0071782F">
        <w:rPr>
          <w:lang w:val="fr-CH"/>
        </w:rPr>
        <w:t xml:space="preserve"> construits sur une grande échelle sont chaque année plus durables, plus petits et de meilleure qualité.</w:t>
      </w:r>
    </w:p>
    <w:p w:rsidR="008A7415" w:rsidRPr="0071782F" w:rsidRDefault="008A7415" w:rsidP="003C5A76">
      <w:pPr>
        <w:pStyle w:val="SingleTxtG"/>
        <w:ind w:left="1701"/>
        <w:rPr>
          <w:lang w:val="fr-CH"/>
        </w:rPr>
      </w:pPr>
      <w:r w:rsidRPr="0071782F">
        <w:rPr>
          <w:lang w:val="fr-CH"/>
        </w:rPr>
        <w:t>211.5.</w:t>
      </w:r>
      <w:r w:rsidRPr="0071782F">
        <w:rPr>
          <w:lang w:val="fr-CH"/>
        </w:rPr>
        <w:tab/>
      </w:r>
      <w:r w:rsidR="00F42F0A" w:rsidRPr="0071782F">
        <w:rPr>
          <w:lang w:val="fr-CH"/>
        </w:rPr>
        <w:t xml:space="preserve">La part </w:t>
      </w:r>
      <w:r w:rsidR="003F25A2">
        <w:rPr>
          <w:lang w:val="fr-CH"/>
        </w:rPr>
        <w:t>des logements</w:t>
      </w:r>
      <w:r w:rsidR="00F42F0A" w:rsidRPr="0071782F">
        <w:rPr>
          <w:lang w:val="fr-CH"/>
        </w:rPr>
        <w:t xml:space="preserve"> permanents est passée de </w:t>
      </w:r>
      <w:r w:rsidRPr="0071782F">
        <w:rPr>
          <w:lang w:val="fr-CH"/>
        </w:rPr>
        <w:t>60</w:t>
      </w:r>
      <w:r w:rsidR="00F42F0A" w:rsidRPr="0071782F">
        <w:rPr>
          <w:lang w:val="fr-CH"/>
        </w:rPr>
        <w:t>,</w:t>
      </w:r>
      <w:r w:rsidRPr="0071782F">
        <w:rPr>
          <w:lang w:val="fr-CH"/>
        </w:rPr>
        <w:t>62</w:t>
      </w:r>
      <w:r w:rsidR="007E5125" w:rsidRPr="0071782F">
        <w:rPr>
          <w:lang w:val="fr-CH"/>
        </w:rPr>
        <w:t>%</w:t>
      </w:r>
      <w:r w:rsidRPr="0071782F">
        <w:rPr>
          <w:lang w:val="fr-CH"/>
        </w:rPr>
        <w:t xml:space="preserve"> </w:t>
      </w:r>
      <w:r w:rsidR="00F42F0A" w:rsidRPr="0071782F">
        <w:rPr>
          <w:lang w:val="fr-CH"/>
        </w:rPr>
        <w:t>e</w:t>
      </w:r>
      <w:r w:rsidRPr="0071782F">
        <w:rPr>
          <w:lang w:val="fr-CH"/>
        </w:rPr>
        <w:t xml:space="preserve">n 1996 </w:t>
      </w:r>
      <w:r w:rsidR="00F42F0A" w:rsidRPr="0071782F">
        <w:rPr>
          <w:lang w:val="fr-CH"/>
        </w:rPr>
        <w:t>à</w:t>
      </w:r>
      <w:r w:rsidRPr="0071782F">
        <w:rPr>
          <w:lang w:val="fr-CH"/>
        </w:rPr>
        <w:t xml:space="preserve"> 79</w:t>
      </w:r>
      <w:r w:rsidR="00F42F0A" w:rsidRPr="0071782F">
        <w:rPr>
          <w:lang w:val="fr-CH"/>
        </w:rPr>
        <w:t>,</w:t>
      </w:r>
      <w:r w:rsidRPr="0071782F">
        <w:rPr>
          <w:lang w:val="fr-CH"/>
        </w:rPr>
        <w:t>4</w:t>
      </w:r>
      <w:r w:rsidR="007E5125" w:rsidRPr="0071782F">
        <w:rPr>
          <w:lang w:val="fr-CH"/>
        </w:rPr>
        <w:t>%</w:t>
      </w:r>
      <w:r w:rsidRPr="0071782F">
        <w:rPr>
          <w:lang w:val="fr-CH"/>
        </w:rPr>
        <w:t xml:space="preserve"> </w:t>
      </w:r>
      <w:r w:rsidR="00F42F0A" w:rsidRPr="0071782F">
        <w:rPr>
          <w:lang w:val="fr-CH"/>
        </w:rPr>
        <w:t>e</w:t>
      </w:r>
      <w:r w:rsidRPr="0071782F">
        <w:rPr>
          <w:lang w:val="fr-CH"/>
        </w:rPr>
        <w:t>n</w:t>
      </w:r>
      <w:r w:rsidR="00A5752C">
        <w:rPr>
          <w:lang w:val="fr-CH"/>
        </w:rPr>
        <w:t> </w:t>
      </w:r>
      <w:r w:rsidRPr="0071782F">
        <w:rPr>
          <w:lang w:val="fr-CH"/>
        </w:rPr>
        <w:t>2006.</w:t>
      </w:r>
    </w:p>
    <w:p w:rsidR="008A7415" w:rsidRPr="0071782F" w:rsidRDefault="008A7415" w:rsidP="003C5A76">
      <w:pPr>
        <w:pStyle w:val="SingleTxtG"/>
        <w:ind w:left="1701"/>
        <w:rPr>
          <w:lang w:val="fr-CH"/>
        </w:rPr>
      </w:pPr>
      <w:r w:rsidRPr="0071782F">
        <w:rPr>
          <w:lang w:val="fr-CH"/>
        </w:rPr>
        <w:t>211.6.</w:t>
      </w:r>
      <w:r w:rsidRPr="0071782F">
        <w:rPr>
          <w:lang w:val="fr-CH"/>
        </w:rPr>
        <w:tab/>
      </w:r>
      <w:r w:rsidR="00D914E1" w:rsidRPr="0071782F">
        <w:rPr>
          <w:lang w:val="fr-CH"/>
        </w:rPr>
        <w:t xml:space="preserve">Par ailleurs, la proportion des bâtiments d’au moins trois étages a fait un bond en passant de </w:t>
      </w:r>
      <w:r w:rsidRPr="0071782F">
        <w:rPr>
          <w:lang w:val="fr-CH"/>
        </w:rPr>
        <w:t>41</w:t>
      </w:r>
      <w:r w:rsidR="00D914E1" w:rsidRPr="0071782F">
        <w:rPr>
          <w:lang w:val="fr-CH"/>
        </w:rPr>
        <w:t>,</w:t>
      </w:r>
      <w:r w:rsidRPr="0071782F">
        <w:rPr>
          <w:lang w:val="fr-CH"/>
        </w:rPr>
        <w:t>5</w:t>
      </w:r>
      <w:r w:rsidR="007E5125" w:rsidRPr="0071782F">
        <w:rPr>
          <w:lang w:val="fr-CH"/>
        </w:rPr>
        <w:t>%</w:t>
      </w:r>
      <w:r w:rsidRPr="0071782F">
        <w:rPr>
          <w:lang w:val="fr-CH"/>
        </w:rPr>
        <w:t xml:space="preserve"> </w:t>
      </w:r>
      <w:r w:rsidR="00D914E1" w:rsidRPr="0071782F">
        <w:rPr>
          <w:lang w:val="fr-CH"/>
        </w:rPr>
        <w:t>e</w:t>
      </w:r>
      <w:r w:rsidRPr="0071782F">
        <w:rPr>
          <w:lang w:val="fr-CH"/>
        </w:rPr>
        <w:t xml:space="preserve">n 2005 </w:t>
      </w:r>
      <w:r w:rsidR="00D914E1" w:rsidRPr="0071782F">
        <w:rPr>
          <w:lang w:val="fr-CH"/>
        </w:rPr>
        <w:t>à</w:t>
      </w:r>
      <w:r w:rsidRPr="0071782F">
        <w:rPr>
          <w:lang w:val="fr-CH"/>
        </w:rPr>
        <w:t xml:space="preserve"> 53</w:t>
      </w:r>
      <w:r w:rsidR="00D914E1" w:rsidRPr="0071782F">
        <w:rPr>
          <w:lang w:val="fr-CH"/>
        </w:rPr>
        <w:t>,</w:t>
      </w:r>
      <w:r w:rsidRPr="0071782F">
        <w:rPr>
          <w:lang w:val="fr-CH"/>
        </w:rPr>
        <w:t>8</w:t>
      </w:r>
      <w:r w:rsidR="007E5125" w:rsidRPr="0071782F">
        <w:rPr>
          <w:lang w:val="fr-CH"/>
        </w:rPr>
        <w:t>%</w:t>
      </w:r>
      <w:r w:rsidRPr="0071782F">
        <w:rPr>
          <w:lang w:val="fr-CH"/>
        </w:rPr>
        <w:t xml:space="preserve"> </w:t>
      </w:r>
      <w:r w:rsidR="00D914E1" w:rsidRPr="0071782F">
        <w:rPr>
          <w:lang w:val="fr-CH"/>
        </w:rPr>
        <w:t>e</w:t>
      </w:r>
      <w:r w:rsidRPr="0071782F">
        <w:rPr>
          <w:lang w:val="fr-CH"/>
        </w:rPr>
        <w:t>n 2007.</w:t>
      </w:r>
    </w:p>
    <w:p w:rsidR="008A7415" w:rsidRPr="0071782F" w:rsidRDefault="008A7415" w:rsidP="003C5A76">
      <w:pPr>
        <w:pStyle w:val="SingleTxtG"/>
        <w:ind w:left="1701"/>
        <w:rPr>
          <w:lang w:val="fr-CH"/>
        </w:rPr>
      </w:pPr>
      <w:r w:rsidRPr="0071782F">
        <w:rPr>
          <w:lang w:val="fr-CH"/>
        </w:rPr>
        <w:t>211.7.</w:t>
      </w:r>
      <w:r w:rsidRPr="0071782F">
        <w:rPr>
          <w:lang w:val="fr-CH"/>
        </w:rPr>
        <w:tab/>
      </w:r>
      <w:r w:rsidR="00DD7D9E" w:rsidRPr="0071782F">
        <w:rPr>
          <w:lang w:val="fr-CH"/>
        </w:rPr>
        <w:t xml:space="preserve">On doit à des phénomènes tels que le nombre de plus en plus important </w:t>
      </w:r>
      <w:r w:rsidR="003F25A2">
        <w:rPr>
          <w:lang w:val="fr-CH"/>
        </w:rPr>
        <w:t>de logements</w:t>
      </w:r>
      <w:r w:rsidR="00DD7D9E" w:rsidRPr="0071782F">
        <w:rPr>
          <w:lang w:val="fr-CH"/>
        </w:rPr>
        <w:t xml:space="preserve"> </w:t>
      </w:r>
      <w:r w:rsidR="0071782F" w:rsidRPr="0071782F">
        <w:rPr>
          <w:lang w:val="fr-CH"/>
        </w:rPr>
        <w:t>nouvellement</w:t>
      </w:r>
      <w:r w:rsidR="00DD7D9E" w:rsidRPr="0071782F">
        <w:rPr>
          <w:lang w:val="fr-CH"/>
        </w:rPr>
        <w:t xml:space="preserve"> construits et l’évolution constante de la composition de la population et de </w:t>
      </w:r>
      <w:r w:rsidR="00B71907" w:rsidRPr="0071782F">
        <w:rPr>
          <w:lang w:val="fr-CH"/>
        </w:rPr>
        <w:t>la famille</w:t>
      </w:r>
      <w:r w:rsidR="00DD7D9E" w:rsidRPr="0071782F">
        <w:rPr>
          <w:lang w:val="fr-CH"/>
        </w:rPr>
        <w:t xml:space="preserve"> le fait que le</w:t>
      </w:r>
      <w:r w:rsidRPr="0071782F">
        <w:rPr>
          <w:lang w:val="fr-CH"/>
        </w:rPr>
        <w:t xml:space="preserve"> </w:t>
      </w:r>
      <w:r w:rsidR="003B48A4" w:rsidRPr="0071782F">
        <w:rPr>
          <w:lang w:val="fr-CH"/>
        </w:rPr>
        <w:t>nombre</w:t>
      </w:r>
      <w:r w:rsidRPr="0071782F">
        <w:rPr>
          <w:lang w:val="fr-CH"/>
        </w:rPr>
        <w:t xml:space="preserve"> </w:t>
      </w:r>
      <w:r w:rsidR="00DD7D9E" w:rsidRPr="0071782F">
        <w:rPr>
          <w:lang w:val="fr-CH"/>
        </w:rPr>
        <w:t>de logement a augmenté plus vite que celui</w:t>
      </w:r>
      <w:r w:rsidRPr="0071782F">
        <w:rPr>
          <w:lang w:val="fr-CH"/>
        </w:rPr>
        <w:t xml:space="preserve"> </w:t>
      </w:r>
      <w:r w:rsidR="004E45FB" w:rsidRPr="0071782F">
        <w:rPr>
          <w:lang w:val="fr-CH"/>
        </w:rPr>
        <w:t>des familles</w:t>
      </w:r>
      <w:r w:rsidRPr="0071782F">
        <w:rPr>
          <w:lang w:val="fr-CH"/>
        </w:rPr>
        <w:t xml:space="preserve">, </w:t>
      </w:r>
      <w:r w:rsidR="00DD7D9E" w:rsidRPr="0071782F">
        <w:rPr>
          <w:lang w:val="fr-CH"/>
        </w:rPr>
        <w:t xml:space="preserve">ce qui a amélioré l’indice de densité </w:t>
      </w:r>
      <w:r w:rsidR="003F25A2">
        <w:rPr>
          <w:lang w:val="fr-CH"/>
        </w:rPr>
        <w:t>de logements</w:t>
      </w:r>
      <w:r w:rsidR="00DD7D9E" w:rsidRPr="0071782F">
        <w:rPr>
          <w:lang w:val="fr-CH"/>
        </w:rPr>
        <w:t xml:space="preserve"> et a réduit la pénurie </w:t>
      </w:r>
      <w:r w:rsidR="003F25A2">
        <w:rPr>
          <w:lang w:val="fr-CH"/>
        </w:rPr>
        <w:t>de logements</w:t>
      </w:r>
      <w:r w:rsidR="00DD7D9E" w:rsidRPr="0071782F">
        <w:rPr>
          <w:lang w:val="fr-CH"/>
        </w:rPr>
        <w:t xml:space="preserve"> au point de ramener l’indice de densité familiale dans les</w:t>
      </w:r>
      <w:r w:rsidR="003F25A2">
        <w:rPr>
          <w:lang w:val="fr-CH"/>
        </w:rPr>
        <w:t> logements</w:t>
      </w:r>
      <w:r w:rsidR="00DD7D9E" w:rsidRPr="0071782F">
        <w:rPr>
          <w:lang w:val="fr-CH"/>
        </w:rPr>
        <w:t xml:space="preserve"> de </w:t>
      </w:r>
      <w:r w:rsidRPr="0071782F">
        <w:rPr>
          <w:lang w:val="fr-CH"/>
        </w:rPr>
        <w:t>1</w:t>
      </w:r>
      <w:r w:rsidR="00DD7D9E" w:rsidRPr="0071782F">
        <w:rPr>
          <w:lang w:val="fr-CH"/>
        </w:rPr>
        <w:t>,</w:t>
      </w:r>
      <w:r w:rsidRPr="0071782F">
        <w:rPr>
          <w:lang w:val="fr-CH"/>
        </w:rPr>
        <w:t xml:space="preserve">1 </w:t>
      </w:r>
      <w:r w:rsidR="00DD7D9E" w:rsidRPr="0071782F">
        <w:rPr>
          <w:lang w:val="fr-CH"/>
        </w:rPr>
        <w:t>e</w:t>
      </w:r>
      <w:r w:rsidRPr="0071782F">
        <w:rPr>
          <w:lang w:val="fr-CH"/>
        </w:rPr>
        <w:t xml:space="preserve">n 2005 </w:t>
      </w:r>
      <w:r w:rsidR="00DD7D9E" w:rsidRPr="0071782F">
        <w:rPr>
          <w:lang w:val="fr-CH"/>
        </w:rPr>
        <w:t>à</w:t>
      </w:r>
      <w:r w:rsidRPr="0071782F">
        <w:rPr>
          <w:lang w:val="fr-CH"/>
        </w:rPr>
        <w:t xml:space="preserve"> 1</w:t>
      </w:r>
      <w:r w:rsidR="00DD7D9E" w:rsidRPr="0071782F">
        <w:rPr>
          <w:lang w:val="fr-CH"/>
        </w:rPr>
        <w:t>,</w:t>
      </w:r>
      <w:r w:rsidRPr="0071782F">
        <w:rPr>
          <w:lang w:val="fr-CH"/>
        </w:rPr>
        <w:t xml:space="preserve">9 </w:t>
      </w:r>
      <w:r w:rsidR="00DD7D9E" w:rsidRPr="0071782F">
        <w:rPr>
          <w:lang w:val="fr-CH"/>
        </w:rPr>
        <w:t>e</w:t>
      </w:r>
      <w:r w:rsidRPr="0071782F">
        <w:rPr>
          <w:lang w:val="fr-CH"/>
        </w:rPr>
        <w:t>n 2006.</w:t>
      </w:r>
    </w:p>
    <w:p w:rsidR="008A7415" w:rsidRPr="0071782F" w:rsidRDefault="008A7415" w:rsidP="003C5A76">
      <w:pPr>
        <w:pStyle w:val="SingleTxtG"/>
        <w:tabs>
          <w:tab w:val="left" w:pos="-1701"/>
          <w:tab w:val="left" w:pos="2552"/>
        </w:tabs>
        <w:ind w:left="1701"/>
        <w:rPr>
          <w:lang w:val="fr-CH"/>
        </w:rPr>
      </w:pPr>
      <w:r w:rsidRPr="0071782F">
        <w:rPr>
          <w:lang w:val="fr-CH"/>
        </w:rPr>
        <w:t>211.8.</w:t>
      </w:r>
      <w:r w:rsidR="00E45494" w:rsidRPr="0071782F">
        <w:rPr>
          <w:lang w:val="fr-CH"/>
        </w:rPr>
        <w:t xml:space="preserve"> </w:t>
      </w:r>
      <w:r w:rsidR="00DD7D9E" w:rsidRPr="0071782F">
        <w:rPr>
          <w:lang w:val="fr-CH"/>
        </w:rPr>
        <w:t>E</w:t>
      </w:r>
      <w:r w:rsidRPr="0071782F">
        <w:rPr>
          <w:lang w:val="fr-CH"/>
        </w:rPr>
        <w:t xml:space="preserve">n 2007, </w:t>
      </w:r>
      <w:r w:rsidR="00DD7D9E" w:rsidRPr="0071782F">
        <w:rPr>
          <w:lang w:val="fr-CH"/>
        </w:rPr>
        <w:t xml:space="preserve">le </w:t>
      </w:r>
      <w:r w:rsidR="003B48A4" w:rsidRPr="0071782F">
        <w:rPr>
          <w:lang w:val="fr-CH"/>
        </w:rPr>
        <w:t>nombre</w:t>
      </w:r>
      <w:r w:rsidRPr="0071782F">
        <w:rPr>
          <w:lang w:val="fr-CH"/>
        </w:rPr>
        <w:t xml:space="preserve"> </w:t>
      </w:r>
      <w:r w:rsidR="003F25A2">
        <w:rPr>
          <w:lang w:val="fr-CH"/>
        </w:rPr>
        <w:t>de logements</w:t>
      </w:r>
      <w:r w:rsidR="00DD7D9E" w:rsidRPr="0071782F">
        <w:rPr>
          <w:lang w:val="fr-CH"/>
        </w:rPr>
        <w:t xml:space="preserve"> dans l’ensemble des zone urbaines, dans la ville de Téhéran, dans les principales villes et dans les autres villes a enregistré des taux de croissance spectaculaires de</w:t>
      </w:r>
      <w:r w:rsidRPr="0071782F">
        <w:rPr>
          <w:lang w:val="fr-CH"/>
        </w:rPr>
        <w:t xml:space="preserve"> 64</w:t>
      </w:r>
      <w:r w:rsidR="00DD7D9E" w:rsidRPr="0071782F">
        <w:rPr>
          <w:lang w:val="fr-CH"/>
        </w:rPr>
        <w:t>,</w:t>
      </w:r>
      <w:r w:rsidRPr="0071782F">
        <w:rPr>
          <w:lang w:val="fr-CH"/>
        </w:rPr>
        <w:t>8</w:t>
      </w:r>
      <w:r w:rsidR="007E5125" w:rsidRPr="0071782F">
        <w:rPr>
          <w:lang w:val="fr-CH"/>
        </w:rPr>
        <w:t>%</w:t>
      </w:r>
      <w:r w:rsidRPr="0071782F">
        <w:rPr>
          <w:lang w:val="fr-CH"/>
        </w:rPr>
        <w:t>, 69</w:t>
      </w:r>
      <w:r w:rsidR="00DD7D9E" w:rsidRPr="0071782F">
        <w:rPr>
          <w:lang w:val="fr-CH"/>
        </w:rPr>
        <w:t>,</w:t>
      </w:r>
      <w:r w:rsidRPr="0071782F">
        <w:rPr>
          <w:lang w:val="fr-CH"/>
        </w:rPr>
        <w:t>5</w:t>
      </w:r>
      <w:r w:rsidR="007E5125" w:rsidRPr="0071782F">
        <w:rPr>
          <w:lang w:val="fr-CH"/>
        </w:rPr>
        <w:t>%</w:t>
      </w:r>
      <w:r w:rsidR="00DD7D9E" w:rsidRPr="0071782F">
        <w:rPr>
          <w:lang w:val="fr-CH"/>
        </w:rPr>
        <w:t>, 51,</w:t>
      </w:r>
      <w:r w:rsidRPr="0071782F">
        <w:rPr>
          <w:lang w:val="fr-CH"/>
        </w:rPr>
        <w:t>7</w:t>
      </w:r>
      <w:r w:rsidR="007E5125" w:rsidRPr="0071782F">
        <w:rPr>
          <w:lang w:val="fr-CH"/>
        </w:rPr>
        <w:t>%</w:t>
      </w:r>
      <w:r w:rsidRPr="0071782F">
        <w:rPr>
          <w:lang w:val="fr-CH"/>
        </w:rPr>
        <w:t xml:space="preserve"> </w:t>
      </w:r>
      <w:r w:rsidR="00DD7D9E" w:rsidRPr="0071782F">
        <w:rPr>
          <w:lang w:val="fr-CH"/>
        </w:rPr>
        <w:t>et</w:t>
      </w:r>
      <w:r w:rsidRPr="0071782F">
        <w:rPr>
          <w:lang w:val="fr-CH"/>
        </w:rPr>
        <w:t xml:space="preserve"> 69</w:t>
      </w:r>
      <w:r w:rsidR="00DD7D9E" w:rsidRPr="0071782F">
        <w:rPr>
          <w:lang w:val="fr-CH"/>
        </w:rPr>
        <w:t>,</w:t>
      </w:r>
      <w:r w:rsidRPr="0071782F">
        <w:rPr>
          <w:lang w:val="fr-CH"/>
        </w:rPr>
        <w:t>2</w:t>
      </w:r>
      <w:r w:rsidR="007E5125" w:rsidRPr="0071782F">
        <w:rPr>
          <w:lang w:val="fr-CH"/>
        </w:rPr>
        <w:t>%</w:t>
      </w:r>
      <w:r w:rsidR="00DD7D9E" w:rsidRPr="0071782F">
        <w:rPr>
          <w:lang w:val="fr-CH"/>
        </w:rPr>
        <w:t>, respectivement</w:t>
      </w:r>
      <w:r w:rsidRPr="0071782F">
        <w:rPr>
          <w:lang w:val="fr-CH"/>
        </w:rPr>
        <w:t>.</w:t>
      </w:r>
    </w:p>
    <w:p w:rsidR="008A7415" w:rsidRPr="0071782F" w:rsidRDefault="008A7415" w:rsidP="003C5A76">
      <w:pPr>
        <w:pStyle w:val="SingleTxtG"/>
        <w:tabs>
          <w:tab w:val="left" w:pos="-1701"/>
          <w:tab w:val="left" w:pos="2552"/>
        </w:tabs>
        <w:ind w:left="1701"/>
        <w:rPr>
          <w:lang w:val="fr-CH"/>
        </w:rPr>
      </w:pPr>
      <w:r w:rsidRPr="0071782F">
        <w:rPr>
          <w:lang w:val="fr-CH"/>
        </w:rPr>
        <w:t>211.9.</w:t>
      </w:r>
      <w:r w:rsidR="00E45494" w:rsidRPr="0071782F">
        <w:rPr>
          <w:lang w:val="fr-CH"/>
        </w:rPr>
        <w:t xml:space="preserve"> </w:t>
      </w:r>
      <w:r w:rsidR="00882AEA" w:rsidRPr="0071782F">
        <w:rPr>
          <w:lang w:val="fr-CH"/>
        </w:rPr>
        <w:t xml:space="preserve">La superficie moyenne </w:t>
      </w:r>
      <w:r w:rsidR="003F25A2">
        <w:rPr>
          <w:lang w:val="fr-CH"/>
        </w:rPr>
        <w:t>des logements</w:t>
      </w:r>
      <w:r w:rsidR="00882AEA" w:rsidRPr="0071782F">
        <w:rPr>
          <w:lang w:val="fr-CH"/>
        </w:rPr>
        <w:t xml:space="preserve"> est passée de </w:t>
      </w:r>
      <w:r w:rsidRPr="0071782F">
        <w:rPr>
          <w:lang w:val="fr-CH"/>
        </w:rPr>
        <w:t>121</w:t>
      </w:r>
      <w:r w:rsidR="00AF44B8" w:rsidRPr="0071782F">
        <w:rPr>
          <w:lang w:val="fr-CH"/>
        </w:rPr>
        <w:t> m</w:t>
      </w:r>
      <w:r w:rsidR="00CA698E" w:rsidRPr="00CA698E">
        <w:rPr>
          <w:vertAlign w:val="superscript"/>
          <w:lang w:val="fr-CH"/>
        </w:rPr>
        <w:t>2</w:t>
      </w:r>
      <w:r w:rsidR="00CA698E">
        <w:rPr>
          <w:lang w:val="fr-CH"/>
        </w:rPr>
        <w:t xml:space="preserve"> </w:t>
      </w:r>
      <w:r w:rsidR="004E45FB" w:rsidRPr="0071782F">
        <w:rPr>
          <w:lang w:val="fr-CH"/>
        </w:rPr>
        <w:t>en </w:t>
      </w:r>
      <w:r w:rsidRPr="0071782F">
        <w:rPr>
          <w:lang w:val="fr-CH"/>
        </w:rPr>
        <w:t xml:space="preserve">2005 </w:t>
      </w:r>
      <w:r w:rsidR="00882AEA" w:rsidRPr="0071782F">
        <w:rPr>
          <w:lang w:val="fr-CH"/>
        </w:rPr>
        <w:t>à</w:t>
      </w:r>
      <w:r w:rsidRPr="0071782F">
        <w:rPr>
          <w:lang w:val="fr-CH"/>
        </w:rPr>
        <w:t xml:space="preserve"> 123 </w:t>
      </w:r>
      <w:r w:rsidR="00882AEA" w:rsidRPr="0071782F">
        <w:rPr>
          <w:lang w:val="fr-CH"/>
        </w:rPr>
        <w:t>et</w:t>
      </w:r>
      <w:r w:rsidRPr="0071782F">
        <w:rPr>
          <w:lang w:val="fr-CH"/>
        </w:rPr>
        <w:t xml:space="preserve"> 122</w:t>
      </w:r>
      <w:r w:rsidR="00AF44B8" w:rsidRPr="0071782F">
        <w:rPr>
          <w:lang w:val="fr-CH"/>
        </w:rPr>
        <w:t> m</w:t>
      </w:r>
      <w:r w:rsidR="003F25A2" w:rsidRPr="003F25A2">
        <w:rPr>
          <w:vertAlign w:val="superscript"/>
          <w:lang w:val="fr-CH"/>
        </w:rPr>
        <w:t>2</w:t>
      </w:r>
      <w:r w:rsidR="00882AEA" w:rsidRPr="0071782F">
        <w:rPr>
          <w:lang w:val="fr-CH"/>
        </w:rPr>
        <w:t xml:space="preserve"> en </w:t>
      </w:r>
      <w:r w:rsidRPr="0071782F">
        <w:rPr>
          <w:lang w:val="fr-CH"/>
        </w:rPr>
        <w:t xml:space="preserve">2006 </w:t>
      </w:r>
      <w:r w:rsidR="00882AEA" w:rsidRPr="0071782F">
        <w:rPr>
          <w:lang w:val="fr-CH"/>
        </w:rPr>
        <w:t>et</w:t>
      </w:r>
      <w:r w:rsidRPr="0071782F">
        <w:rPr>
          <w:lang w:val="fr-CH"/>
        </w:rPr>
        <w:t xml:space="preserve"> 2007</w:t>
      </w:r>
      <w:r w:rsidR="00882AEA" w:rsidRPr="0071782F">
        <w:rPr>
          <w:lang w:val="fr-CH"/>
        </w:rPr>
        <w:t>, respectivement</w:t>
      </w:r>
      <w:r w:rsidRPr="0071782F">
        <w:rPr>
          <w:lang w:val="fr-CH"/>
        </w:rPr>
        <w:t xml:space="preserve">. </w:t>
      </w:r>
      <w:r w:rsidR="00882AEA" w:rsidRPr="0071782F">
        <w:rPr>
          <w:lang w:val="fr-CH"/>
        </w:rPr>
        <w:t>Par ailleurs, la superficie moyenne des terrains affectés aux</w:t>
      </w:r>
      <w:r w:rsidR="003F25A2">
        <w:rPr>
          <w:lang w:val="fr-CH"/>
        </w:rPr>
        <w:t> logements</w:t>
      </w:r>
      <w:r w:rsidR="00882AEA" w:rsidRPr="0071782F">
        <w:rPr>
          <w:lang w:val="fr-CH"/>
        </w:rPr>
        <w:t xml:space="preserve"> est passée de </w:t>
      </w:r>
      <w:r w:rsidRPr="0071782F">
        <w:rPr>
          <w:lang w:val="fr-CH"/>
        </w:rPr>
        <w:t>67</w:t>
      </w:r>
      <w:r w:rsidR="00882AEA" w:rsidRPr="0071782F">
        <w:rPr>
          <w:lang w:val="fr-CH"/>
        </w:rPr>
        <w:t>,</w:t>
      </w:r>
      <w:r w:rsidRPr="0071782F">
        <w:rPr>
          <w:lang w:val="fr-CH"/>
        </w:rPr>
        <w:t>5</w:t>
      </w:r>
      <w:r w:rsidR="00AF44B8" w:rsidRPr="0071782F">
        <w:rPr>
          <w:lang w:val="fr-CH"/>
        </w:rPr>
        <w:t> m</w:t>
      </w:r>
      <w:r w:rsidR="003F25A2" w:rsidRPr="003F25A2">
        <w:rPr>
          <w:vertAlign w:val="superscript"/>
          <w:lang w:val="fr-CH"/>
        </w:rPr>
        <w:t>2</w:t>
      </w:r>
      <w:r w:rsidR="00882AEA" w:rsidRPr="0071782F">
        <w:rPr>
          <w:lang w:val="fr-CH"/>
        </w:rPr>
        <w:t xml:space="preserve"> en </w:t>
      </w:r>
      <w:r w:rsidRPr="0071782F">
        <w:rPr>
          <w:lang w:val="fr-CH"/>
        </w:rPr>
        <w:t xml:space="preserve">2005 </w:t>
      </w:r>
      <w:r w:rsidR="00882AEA" w:rsidRPr="0071782F">
        <w:rPr>
          <w:lang w:val="fr-CH"/>
        </w:rPr>
        <w:t>à</w:t>
      </w:r>
      <w:r w:rsidRPr="0071782F">
        <w:rPr>
          <w:lang w:val="fr-CH"/>
        </w:rPr>
        <w:t xml:space="preserve"> 72</w:t>
      </w:r>
      <w:r w:rsidR="00AF44B8" w:rsidRPr="0071782F">
        <w:rPr>
          <w:lang w:val="fr-CH"/>
        </w:rPr>
        <w:t> m</w:t>
      </w:r>
      <w:r w:rsidR="003F25A2" w:rsidRPr="003F25A2">
        <w:rPr>
          <w:vertAlign w:val="superscript"/>
          <w:lang w:val="fr-CH"/>
        </w:rPr>
        <w:t>2</w:t>
      </w:r>
      <w:r w:rsidR="00882AEA" w:rsidRPr="0071782F">
        <w:rPr>
          <w:lang w:val="fr-CH"/>
        </w:rPr>
        <w:t xml:space="preserve"> en </w:t>
      </w:r>
      <w:r w:rsidRPr="0071782F">
        <w:rPr>
          <w:lang w:val="fr-CH"/>
        </w:rPr>
        <w:t xml:space="preserve">2007. </w:t>
      </w:r>
    </w:p>
    <w:p w:rsidR="008A7415" w:rsidRPr="0071782F" w:rsidRDefault="008A7415" w:rsidP="003C5A76">
      <w:pPr>
        <w:pStyle w:val="SingleTxtG"/>
        <w:tabs>
          <w:tab w:val="left" w:pos="-1701"/>
          <w:tab w:val="left" w:pos="2552"/>
        </w:tabs>
        <w:ind w:left="1701"/>
        <w:rPr>
          <w:lang w:val="fr-CH"/>
        </w:rPr>
      </w:pPr>
      <w:r w:rsidRPr="0071782F">
        <w:rPr>
          <w:lang w:val="fr-CH"/>
        </w:rPr>
        <w:t>211.10.</w:t>
      </w:r>
      <w:r w:rsidR="00E45494" w:rsidRPr="0071782F">
        <w:rPr>
          <w:lang w:val="fr-CH"/>
        </w:rPr>
        <w:t xml:space="preserve"> </w:t>
      </w:r>
      <w:r w:rsidR="00882AEA" w:rsidRPr="0071782F">
        <w:rPr>
          <w:lang w:val="fr-CH"/>
        </w:rPr>
        <w:t xml:space="preserve">Le nombre </w:t>
      </w:r>
      <w:r w:rsidR="003F25A2">
        <w:rPr>
          <w:lang w:val="fr-CH"/>
        </w:rPr>
        <w:t>de logements</w:t>
      </w:r>
      <w:r w:rsidR="00882AEA" w:rsidRPr="0071782F">
        <w:rPr>
          <w:lang w:val="fr-CH"/>
        </w:rPr>
        <w:t xml:space="preserve"> urbains nouvellement construits, qui était de </w:t>
      </w:r>
      <w:r w:rsidRPr="0071782F">
        <w:rPr>
          <w:lang w:val="fr-CH"/>
        </w:rPr>
        <w:t>581</w:t>
      </w:r>
      <w:r w:rsidR="00882AEA" w:rsidRPr="0071782F">
        <w:rPr>
          <w:lang w:val="fr-CH"/>
        </w:rPr>
        <w:t> </w:t>
      </w:r>
      <w:r w:rsidRPr="0071782F">
        <w:rPr>
          <w:lang w:val="fr-CH"/>
        </w:rPr>
        <w:t>000</w:t>
      </w:r>
      <w:r w:rsidR="00882AEA" w:rsidRPr="0071782F">
        <w:rPr>
          <w:lang w:val="fr-CH"/>
        </w:rPr>
        <w:t xml:space="preserve"> en 2005</w:t>
      </w:r>
      <w:r w:rsidRPr="0071782F">
        <w:rPr>
          <w:lang w:val="fr-CH"/>
        </w:rPr>
        <w:t xml:space="preserve">, </w:t>
      </w:r>
      <w:r w:rsidR="00882AEA" w:rsidRPr="0071782F">
        <w:rPr>
          <w:lang w:val="fr-CH"/>
        </w:rPr>
        <w:t>a dépassé 710</w:t>
      </w:r>
      <w:r w:rsidR="004E45FB" w:rsidRPr="0071782F">
        <w:rPr>
          <w:lang w:val="fr-CH"/>
        </w:rPr>
        <w:t> </w:t>
      </w:r>
      <w:r w:rsidRPr="0071782F">
        <w:rPr>
          <w:lang w:val="fr-CH"/>
        </w:rPr>
        <w:t xml:space="preserve">000 </w:t>
      </w:r>
      <w:r w:rsidR="00882AEA" w:rsidRPr="0071782F">
        <w:rPr>
          <w:lang w:val="fr-CH"/>
        </w:rPr>
        <w:t xml:space="preserve">en </w:t>
      </w:r>
      <w:r w:rsidRPr="0071782F">
        <w:rPr>
          <w:lang w:val="fr-CH"/>
        </w:rPr>
        <w:t>2007.</w:t>
      </w:r>
    </w:p>
    <w:p w:rsidR="008A7415" w:rsidRPr="0071782F" w:rsidRDefault="008A7415" w:rsidP="003C5A76">
      <w:pPr>
        <w:pStyle w:val="SingleTxtG"/>
        <w:tabs>
          <w:tab w:val="left" w:pos="-1701"/>
          <w:tab w:val="left" w:pos="2552"/>
        </w:tabs>
        <w:ind w:left="1701"/>
        <w:rPr>
          <w:lang w:val="fr-CH"/>
        </w:rPr>
      </w:pPr>
      <w:r w:rsidRPr="0071782F">
        <w:rPr>
          <w:lang w:val="fr-CH"/>
        </w:rPr>
        <w:t>211.11.</w:t>
      </w:r>
      <w:r w:rsidR="00E45494" w:rsidRPr="0071782F">
        <w:rPr>
          <w:lang w:val="fr-CH"/>
        </w:rPr>
        <w:t xml:space="preserve"> </w:t>
      </w:r>
      <w:r w:rsidR="00AD0267" w:rsidRPr="0071782F">
        <w:rPr>
          <w:lang w:val="fr-CH"/>
        </w:rPr>
        <w:t xml:space="preserve">Par ailleurs, </w:t>
      </w:r>
      <w:r w:rsidR="00774F8B" w:rsidRPr="0071782F">
        <w:rPr>
          <w:lang w:val="fr-CH"/>
        </w:rPr>
        <w:t>l</w:t>
      </w:r>
      <w:r w:rsidR="00AD0267" w:rsidRPr="0071782F">
        <w:rPr>
          <w:lang w:val="fr-CH"/>
        </w:rPr>
        <w:t xml:space="preserve">e nombre </w:t>
      </w:r>
      <w:r w:rsidR="003F25A2">
        <w:rPr>
          <w:lang w:val="fr-CH"/>
        </w:rPr>
        <w:t>de logements</w:t>
      </w:r>
      <w:r w:rsidR="00AD0267" w:rsidRPr="0071782F">
        <w:rPr>
          <w:lang w:val="fr-CH"/>
        </w:rPr>
        <w:t xml:space="preserve"> ruraux nouvellement construits, qui était de </w:t>
      </w:r>
      <w:r w:rsidRPr="0071782F">
        <w:rPr>
          <w:lang w:val="fr-CH"/>
        </w:rPr>
        <w:t>98</w:t>
      </w:r>
      <w:r w:rsidR="00A5752C">
        <w:rPr>
          <w:lang w:val="fr-CH"/>
        </w:rPr>
        <w:t> </w:t>
      </w:r>
      <w:r w:rsidRPr="0071782F">
        <w:rPr>
          <w:lang w:val="fr-CH"/>
        </w:rPr>
        <w:t xml:space="preserve">000 </w:t>
      </w:r>
      <w:r w:rsidR="00AD0267" w:rsidRPr="0071782F">
        <w:rPr>
          <w:lang w:val="fr-CH"/>
        </w:rPr>
        <w:t>en 2005</w:t>
      </w:r>
      <w:r w:rsidRPr="0071782F">
        <w:rPr>
          <w:lang w:val="fr-CH"/>
        </w:rPr>
        <w:t xml:space="preserve">, </w:t>
      </w:r>
      <w:r w:rsidR="00AD0267" w:rsidRPr="0071782F">
        <w:rPr>
          <w:lang w:val="fr-CH"/>
        </w:rPr>
        <w:t xml:space="preserve">est passé à </w:t>
      </w:r>
      <w:r w:rsidRPr="0071782F">
        <w:rPr>
          <w:lang w:val="fr-CH"/>
        </w:rPr>
        <w:t>231</w:t>
      </w:r>
      <w:r w:rsidR="004E45FB" w:rsidRPr="0071782F">
        <w:rPr>
          <w:lang w:val="fr-CH"/>
        </w:rPr>
        <w:t> </w:t>
      </w:r>
      <w:r w:rsidRPr="0071782F">
        <w:rPr>
          <w:lang w:val="fr-CH"/>
        </w:rPr>
        <w:t xml:space="preserve">000 </w:t>
      </w:r>
      <w:r w:rsidR="00AD0267" w:rsidRPr="0071782F">
        <w:rPr>
          <w:lang w:val="fr-CH"/>
        </w:rPr>
        <w:t>en 2007. Le taux de croissance de la</w:t>
      </w:r>
      <w:r w:rsidR="00774F8B" w:rsidRPr="0071782F">
        <w:rPr>
          <w:lang w:val="fr-CH"/>
        </w:rPr>
        <w:t xml:space="preserve"> construction </w:t>
      </w:r>
      <w:r w:rsidR="003F25A2">
        <w:rPr>
          <w:lang w:val="fr-CH"/>
        </w:rPr>
        <w:t>de logements</w:t>
      </w:r>
      <w:r w:rsidR="00774F8B" w:rsidRPr="0071782F">
        <w:rPr>
          <w:lang w:val="fr-CH"/>
        </w:rPr>
        <w:t xml:space="preserve"> a été de </w:t>
      </w:r>
      <w:r w:rsidRPr="0071782F">
        <w:rPr>
          <w:lang w:val="fr-CH"/>
        </w:rPr>
        <w:t>22</w:t>
      </w:r>
      <w:r w:rsidR="007E5125" w:rsidRPr="0071782F">
        <w:rPr>
          <w:lang w:val="fr-CH"/>
        </w:rPr>
        <w:t>%</w:t>
      </w:r>
      <w:r w:rsidRPr="0071782F">
        <w:rPr>
          <w:lang w:val="fr-CH"/>
        </w:rPr>
        <w:t xml:space="preserve"> </w:t>
      </w:r>
      <w:r w:rsidR="00774F8B" w:rsidRPr="0071782F">
        <w:rPr>
          <w:lang w:val="fr-CH"/>
        </w:rPr>
        <w:t xml:space="preserve">en milieu urbain et de </w:t>
      </w:r>
      <w:r w:rsidRPr="0071782F">
        <w:rPr>
          <w:lang w:val="fr-CH"/>
        </w:rPr>
        <w:t>135</w:t>
      </w:r>
      <w:r w:rsidR="007E5125" w:rsidRPr="0071782F">
        <w:rPr>
          <w:lang w:val="fr-CH"/>
        </w:rPr>
        <w:t>%</w:t>
      </w:r>
      <w:r w:rsidR="00774F8B" w:rsidRPr="0071782F">
        <w:rPr>
          <w:lang w:val="fr-CH"/>
        </w:rPr>
        <w:t xml:space="preserve"> en milieu </w:t>
      </w:r>
      <w:r w:rsidRPr="0071782F">
        <w:rPr>
          <w:lang w:val="fr-CH"/>
        </w:rPr>
        <w:t>rural.</w:t>
      </w:r>
    </w:p>
    <w:p w:rsidR="008A7415" w:rsidRPr="0071782F" w:rsidRDefault="008A7415" w:rsidP="003C5A76">
      <w:pPr>
        <w:pStyle w:val="SingleTxtG"/>
        <w:tabs>
          <w:tab w:val="left" w:pos="-1701"/>
          <w:tab w:val="left" w:pos="2552"/>
        </w:tabs>
        <w:ind w:left="1701"/>
        <w:rPr>
          <w:lang w:val="fr-CH"/>
        </w:rPr>
      </w:pPr>
      <w:r w:rsidRPr="0071782F">
        <w:rPr>
          <w:lang w:val="fr-CH"/>
        </w:rPr>
        <w:t>211.12.</w:t>
      </w:r>
      <w:r w:rsidR="00E45494" w:rsidRPr="0071782F">
        <w:rPr>
          <w:lang w:val="fr-CH"/>
        </w:rPr>
        <w:t xml:space="preserve"> </w:t>
      </w:r>
      <w:r w:rsidRPr="0071782F">
        <w:rPr>
          <w:lang w:val="fr-CH"/>
        </w:rPr>
        <w:t>I</w:t>
      </w:r>
      <w:r w:rsidR="00774F8B" w:rsidRPr="0071782F">
        <w:rPr>
          <w:lang w:val="fr-CH"/>
        </w:rPr>
        <w:t xml:space="preserve">l convient de noter qu’en 2005, la construction </w:t>
      </w:r>
      <w:r w:rsidR="003F25A2">
        <w:rPr>
          <w:lang w:val="fr-CH"/>
        </w:rPr>
        <w:t>de logements</w:t>
      </w:r>
      <w:r w:rsidR="00774F8B" w:rsidRPr="0071782F">
        <w:rPr>
          <w:lang w:val="fr-CH"/>
        </w:rPr>
        <w:t xml:space="preserve"> a augmenté de 7,58</w:t>
      </w:r>
      <w:r w:rsidR="007E5125" w:rsidRPr="0071782F">
        <w:rPr>
          <w:lang w:val="fr-CH"/>
        </w:rPr>
        <w:t>%</w:t>
      </w:r>
      <w:r w:rsidR="00774F8B" w:rsidRPr="0071782F">
        <w:rPr>
          <w:lang w:val="fr-CH"/>
        </w:rPr>
        <w:t xml:space="preserve"> par rapport à 2004, ce qui traduit une tendance à la hausse de l’activité de ce secteur. </w:t>
      </w:r>
    </w:p>
    <w:p w:rsidR="008A7415" w:rsidRPr="0071782F" w:rsidRDefault="008A7415" w:rsidP="00A26292">
      <w:pPr>
        <w:pStyle w:val="SingleTxtG"/>
        <w:tabs>
          <w:tab w:val="left" w:pos="-1701"/>
          <w:tab w:val="left" w:pos="2552"/>
        </w:tabs>
        <w:ind w:left="1701"/>
        <w:rPr>
          <w:lang w:val="fr-CH"/>
        </w:rPr>
      </w:pPr>
      <w:r w:rsidRPr="0071782F">
        <w:rPr>
          <w:lang w:val="fr-CH"/>
        </w:rPr>
        <w:t>211.13.</w:t>
      </w:r>
      <w:r w:rsidR="00E45494" w:rsidRPr="0071782F">
        <w:rPr>
          <w:lang w:val="fr-CH"/>
        </w:rPr>
        <w:t xml:space="preserve"> </w:t>
      </w:r>
      <w:r w:rsidR="00774F8B" w:rsidRPr="0071782F">
        <w:rPr>
          <w:lang w:val="fr-CH"/>
        </w:rPr>
        <w:t xml:space="preserve">Le secteur du logement attire depuis toujours des apports de capital dans la </w:t>
      </w:r>
      <w:r w:rsidRPr="0071782F">
        <w:rPr>
          <w:lang w:val="fr-CH"/>
        </w:rPr>
        <w:t>macro-</w:t>
      </w:r>
      <w:r w:rsidR="00774F8B" w:rsidRPr="0071782F">
        <w:rPr>
          <w:lang w:val="fr-CH"/>
        </w:rPr>
        <w:t>économie du pays et contribue à</w:t>
      </w:r>
      <w:r w:rsidRPr="0071782F">
        <w:rPr>
          <w:lang w:val="fr-CH"/>
        </w:rPr>
        <w:t xml:space="preserve"> </w:t>
      </w:r>
      <w:r w:rsidR="00774F8B" w:rsidRPr="0071782F">
        <w:rPr>
          <w:lang w:val="fr-CH"/>
        </w:rPr>
        <w:t>y enrayer l’inflation</w:t>
      </w:r>
      <w:r w:rsidRPr="0071782F">
        <w:rPr>
          <w:lang w:val="fr-CH"/>
        </w:rPr>
        <w:t xml:space="preserve">. </w:t>
      </w:r>
      <w:r w:rsidR="00774F8B" w:rsidRPr="0071782F">
        <w:rPr>
          <w:lang w:val="fr-CH"/>
        </w:rPr>
        <w:t xml:space="preserve">Pendant cette période également, ce secteur a absorbé entre </w:t>
      </w:r>
      <w:r w:rsidRPr="0071782F">
        <w:rPr>
          <w:lang w:val="fr-CH"/>
        </w:rPr>
        <w:t>30</w:t>
      </w:r>
      <w:r w:rsidR="007E5125" w:rsidRPr="0071782F">
        <w:rPr>
          <w:lang w:val="fr-CH"/>
        </w:rPr>
        <w:t>%</w:t>
      </w:r>
      <w:r w:rsidRPr="0071782F">
        <w:rPr>
          <w:lang w:val="fr-CH"/>
        </w:rPr>
        <w:t xml:space="preserve"> </w:t>
      </w:r>
      <w:r w:rsidR="00774F8B" w:rsidRPr="0071782F">
        <w:rPr>
          <w:lang w:val="fr-CH"/>
        </w:rPr>
        <w:t>et</w:t>
      </w:r>
      <w:r w:rsidRPr="0071782F">
        <w:rPr>
          <w:lang w:val="fr-CH"/>
        </w:rPr>
        <w:t xml:space="preserve"> 40</w:t>
      </w:r>
      <w:r w:rsidR="007E5125" w:rsidRPr="0071782F">
        <w:rPr>
          <w:lang w:val="fr-CH"/>
        </w:rPr>
        <w:t>%</w:t>
      </w:r>
      <w:r w:rsidRPr="0071782F">
        <w:rPr>
          <w:lang w:val="fr-CH"/>
        </w:rPr>
        <w:t xml:space="preserve"> </w:t>
      </w:r>
      <w:r w:rsidR="00774F8B" w:rsidRPr="0071782F">
        <w:rPr>
          <w:lang w:val="fr-CH"/>
        </w:rPr>
        <w:t>des actifs liquides de l’économie nationale</w:t>
      </w:r>
      <w:r w:rsidRPr="0071782F">
        <w:rPr>
          <w:lang w:val="fr-CH"/>
        </w:rPr>
        <w:t xml:space="preserve">. </w:t>
      </w:r>
      <w:r w:rsidR="00774F8B" w:rsidRPr="0071782F">
        <w:rPr>
          <w:lang w:val="fr-CH"/>
        </w:rPr>
        <w:t xml:space="preserve">Par ailleurs, l’un des objectifs fixés pendant cette période a été l’utilisation optimale des facteurs de production, tels que la réduction des effectifs, la construction en série et l’utilisation de </w:t>
      </w:r>
      <w:r w:rsidRPr="0071782F">
        <w:rPr>
          <w:lang w:val="fr-CH"/>
        </w:rPr>
        <w:t xml:space="preserve">technologies </w:t>
      </w:r>
      <w:r w:rsidR="00774F8B" w:rsidRPr="0071782F">
        <w:rPr>
          <w:lang w:val="fr-CH"/>
        </w:rPr>
        <w:t>modernes</w:t>
      </w:r>
      <w:r w:rsidRPr="0071782F">
        <w:rPr>
          <w:lang w:val="fr-CH"/>
        </w:rPr>
        <w:t>.</w:t>
      </w:r>
    </w:p>
    <w:p w:rsidR="008A7415" w:rsidRPr="0071782F" w:rsidRDefault="008A7415" w:rsidP="00A26292">
      <w:pPr>
        <w:pStyle w:val="SingleTxtG"/>
        <w:tabs>
          <w:tab w:val="left" w:pos="-1701"/>
          <w:tab w:val="left" w:pos="2552"/>
        </w:tabs>
        <w:ind w:left="1701"/>
        <w:rPr>
          <w:lang w:val="fr-CH"/>
        </w:rPr>
      </w:pPr>
      <w:r w:rsidRPr="0071782F">
        <w:rPr>
          <w:lang w:val="fr-CH"/>
        </w:rPr>
        <w:t>211.14.</w:t>
      </w:r>
      <w:r w:rsidR="00E45494" w:rsidRPr="0071782F">
        <w:rPr>
          <w:lang w:val="fr-CH"/>
        </w:rPr>
        <w:t xml:space="preserve"> </w:t>
      </w:r>
      <w:r w:rsidR="001B0E44" w:rsidRPr="0071782F">
        <w:rPr>
          <w:lang w:val="fr-CH"/>
        </w:rPr>
        <w:t xml:space="preserve">Selon les </w:t>
      </w:r>
      <w:r w:rsidRPr="0071782F">
        <w:rPr>
          <w:lang w:val="fr-CH"/>
        </w:rPr>
        <w:t>statisti</w:t>
      </w:r>
      <w:r w:rsidR="001B0E44" w:rsidRPr="0071782F">
        <w:rPr>
          <w:lang w:val="fr-CH"/>
        </w:rPr>
        <w:t>que</w:t>
      </w:r>
      <w:r w:rsidRPr="0071782F">
        <w:rPr>
          <w:lang w:val="fr-CH"/>
        </w:rPr>
        <w:t xml:space="preserve">s </w:t>
      </w:r>
      <w:r w:rsidR="001B0E44" w:rsidRPr="0071782F">
        <w:rPr>
          <w:lang w:val="fr-CH"/>
        </w:rPr>
        <w:t xml:space="preserve">de la Banque centrale, l’investissement réalisé en 2007 dans le secteur du logement a enregistré, en prix constants de </w:t>
      </w:r>
      <w:r w:rsidRPr="0071782F">
        <w:rPr>
          <w:lang w:val="fr-CH"/>
        </w:rPr>
        <w:t>1997</w:t>
      </w:r>
      <w:r w:rsidR="001B0E44" w:rsidRPr="0071782F">
        <w:rPr>
          <w:lang w:val="fr-CH"/>
        </w:rPr>
        <w:t xml:space="preserve">, une croissance de </w:t>
      </w:r>
      <w:r w:rsidRPr="0071782F">
        <w:rPr>
          <w:lang w:val="fr-CH"/>
        </w:rPr>
        <w:t>12</w:t>
      </w:r>
      <w:r w:rsidR="001B0E44" w:rsidRPr="0071782F">
        <w:rPr>
          <w:lang w:val="fr-CH"/>
        </w:rPr>
        <w:t>,</w:t>
      </w:r>
      <w:r w:rsidRPr="0071782F">
        <w:rPr>
          <w:lang w:val="fr-CH"/>
        </w:rPr>
        <w:t>8</w:t>
      </w:r>
      <w:r w:rsidR="007E5125" w:rsidRPr="0071782F">
        <w:rPr>
          <w:lang w:val="fr-CH"/>
        </w:rPr>
        <w:t>%</w:t>
      </w:r>
      <w:r w:rsidRPr="0071782F">
        <w:rPr>
          <w:lang w:val="fr-CH"/>
        </w:rPr>
        <w:t xml:space="preserve"> </w:t>
      </w:r>
      <w:r w:rsidR="001B0E44" w:rsidRPr="0071782F">
        <w:rPr>
          <w:lang w:val="fr-CH"/>
        </w:rPr>
        <w:t xml:space="preserve">par rapport aux </w:t>
      </w:r>
      <w:r w:rsidRPr="0071782F">
        <w:rPr>
          <w:lang w:val="fr-CH"/>
        </w:rPr>
        <w:t>3</w:t>
      </w:r>
      <w:r w:rsidR="001B0E44" w:rsidRPr="0071782F">
        <w:rPr>
          <w:lang w:val="fr-CH"/>
        </w:rPr>
        <w:t>,</w:t>
      </w:r>
      <w:r w:rsidRPr="0071782F">
        <w:rPr>
          <w:lang w:val="fr-CH"/>
        </w:rPr>
        <w:t>9</w:t>
      </w:r>
      <w:r w:rsidR="007E5125" w:rsidRPr="0071782F">
        <w:rPr>
          <w:lang w:val="fr-CH"/>
        </w:rPr>
        <w:t>%</w:t>
      </w:r>
      <w:r w:rsidRPr="0071782F">
        <w:rPr>
          <w:lang w:val="fr-CH"/>
        </w:rPr>
        <w:t xml:space="preserve"> </w:t>
      </w:r>
      <w:r w:rsidR="001B0E44" w:rsidRPr="0071782F">
        <w:rPr>
          <w:lang w:val="fr-CH"/>
        </w:rPr>
        <w:t>enregistrés e</w:t>
      </w:r>
      <w:r w:rsidRPr="0071782F">
        <w:rPr>
          <w:lang w:val="fr-CH"/>
        </w:rPr>
        <w:t>n 2006.</w:t>
      </w:r>
    </w:p>
    <w:p w:rsidR="008A7415" w:rsidRPr="0071782F" w:rsidRDefault="008A7415" w:rsidP="00A26292">
      <w:pPr>
        <w:pStyle w:val="SingleTxtG"/>
        <w:tabs>
          <w:tab w:val="left" w:pos="-1701"/>
          <w:tab w:val="left" w:pos="2552"/>
        </w:tabs>
        <w:ind w:left="1701"/>
        <w:rPr>
          <w:lang w:val="fr-CH"/>
        </w:rPr>
      </w:pPr>
      <w:r w:rsidRPr="0071782F">
        <w:rPr>
          <w:lang w:val="fr-CH"/>
        </w:rPr>
        <w:t>211.15.</w:t>
      </w:r>
      <w:r w:rsidR="00E45494" w:rsidRPr="0071782F">
        <w:rPr>
          <w:lang w:val="fr-CH"/>
        </w:rPr>
        <w:t xml:space="preserve"> </w:t>
      </w:r>
      <w:r w:rsidR="005D5024" w:rsidRPr="0071782F">
        <w:rPr>
          <w:lang w:val="fr-CH"/>
        </w:rPr>
        <w:t xml:space="preserve">Le tendance </w:t>
      </w:r>
      <w:r w:rsidR="004E45FB" w:rsidRPr="0071782F">
        <w:rPr>
          <w:lang w:val="fr-CH"/>
        </w:rPr>
        <w:t>des familles</w:t>
      </w:r>
      <w:r w:rsidR="005D5024" w:rsidRPr="0071782F">
        <w:rPr>
          <w:lang w:val="fr-CH"/>
        </w:rPr>
        <w:t xml:space="preserve"> et des entreprises à investir dans le secteur du logement a augmenté pendant cette période, au point que l’investissement du secteur privé est passé de </w:t>
      </w:r>
      <w:r w:rsidRPr="0071782F">
        <w:rPr>
          <w:lang w:val="fr-CH"/>
        </w:rPr>
        <w:t>103</w:t>
      </w:r>
      <w:r w:rsidR="00A5752C">
        <w:rPr>
          <w:lang w:val="fr-CH"/>
        </w:rPr>
        <w:t> </w:t>
      </w:r>
      <w:r w:rsidRPr="0071782F">
        <w:rPr>
          <w:lang w:val="fr-CH"/>
        </w:rPr>
        <w:t>171</w:t>
      </w:r>
      <w:r w:rsidR="008553D9" w:rsidRPr="0071782F">
        <w:rPr>
          <w:lang w:val="fr-CH"/>
        </w:rPr>
        <w:t> milliard</w:t>
      </w:r>
      <w:r w:rsidR="00097CDB" w:rsidRPr="0071782F">
        <w:rPr>
          <w:lang w:val="fr-CH"/>
        </w:rPr>
        <w:t>s</w:t>
      </w:r>
      <w:r w:rsidR="005D5024" w:rsidRPr="0071782F">
        <w:rPr>
          <w:lang w:val="fr-CH"/>
        </w:rPr>
        <w:t xml:space="preserve"> </w:t>
      </w:r>
      <w:r w:rsidR="003B1403" w:rsidRPr="0071782F">
        <w:rPr>
          <w:lang w:val="fr-CH"/>
        </w:rPr>
        <w:t>de rials</w:t>
      </w:r>
      <w:r w:rsidRPr="0071782F">
        <w:rPr>
          <w:lang w:val="fr-CH"/>
        </w:rPr>
        <w:t xml:space="preserve"> </w:t>
      </w:r>
      <w:r w:rsidR="005D5024" w:rsidRPr="0071782F">
        <w:rPr>
          <w:lang w:val="fr-CH"/>
        </w:rPr>
        <w:t>e</w:t>
      </w:r>
      <w:r w:rsidRPr="0071782F">
        <w:rPr>
          <w:lang w:val="fr-CH"/>
        </w:rPr>
        <w:t xml:space="preserve">n 2005 </w:t>
      </w:r>
      <w:r w:rsidR="005D5024" w:rsidRPr="0071782F">
        <w:rPr>
          <w:lang w:val="fr-CH"/>
        </w:rPr>
        <w:t xml:space="preserve">à </w:t>
      </w:r>
      <w:r w:rsidRPr="0071782F">
        <w:rPr>
          <w:lang w:val="fr-CH"/>
        </w:rPr>
        <w:t>204</w:t>
      </w:r>
      <w:r w:rsidR="005D5024" w:rsidRPr="0071782F">
        <w:rPr>
          <w:lang w:val="fr-CH"/>
        </w:rPr>
        <w:t xml:space="preserve"> </w:t>
      </w:r>
      <w:r w:rsidRPr="0071782F">
        <w:rPr>
          <w:lang w:val="fr-CH"/>
        </w:rPr>
        <w:t>902</w:t>
      </w:r>
      <w:r w:rsidR="008553D9" w:rsidRPr="0071782F">
        <w:rPr>
          <w:lang w:val="fr-CH"/>
        </w:rPr>
        <w:t> milliard</w:t>
      </w:r>
      <w:r w:rsidR="00097CDB" w:rsidRPr="0071782F">
        <w:rPr>
          <w:lang w:val="fr-CH"/>
        </w:rPr>
        <w:t>s</w:t>
      </w:r>
      <w:r w:rsidR="005D5024" w:rsidRPr="0071782F">
        <w:rPr>
          <w:lang w:val="fr-CH"/>
        </w:rPr>
        <w:t xml:space="preserve"> en </w:t>
      </w:r>
      <w:r w:rsidRPr="0071782F">
        <w:rPr>
          <w:lang w:val="fr-CH"/>
        </w:rPr>
        <w:t>2007.</w:t>
      </w:r>
    </w:p>
    <w:p w:rsidR="008A7415" w:rsidRPr="0071782F" w:rsidRDefault="008A7415" w:rsidP="00A26292">
      <w:pPr>
        <w:pStyle w:val="SingleTxtG"/>
        <w:tabs>
          <w:tab w:val="left" w:pos="-1701"/>
          <w:tab w:val="left" w:pos="2552"/>
        </w:tabs>
        <w:ind w:left="1701"/>
        <w:rPr>
          <w:lang w:val="fr-CH"/>
        </w:rPr>
      </w:pPr>
      <w:r w:rsidRPr="0071782F">
        <w:rPr>
          <w:lang w:val="fr-CH"/>
        </w:rPr>
        <w:t>211.16.</w:t>
      </w:r>
      <w:r w:rsidR="00E45494" w:rsidRPr="0071782F">
        <w:rPr>
          <w:lang w:val="fr-CH"/>
        </w:rPr>
        <w:t xml:space="preserve"> </w:t>
      </w:r>
      <w:r w:rsidR="005D5024" w:rsidRPr="0071782F">
        <w:rPr>
          <w:lang w:val="fr-CH"/>
        </w:rPr>
        <w:t xml:space="preserve">En 2007, la valeur ajoutée de ce secteur en prix constants de 1997 s’est établie à </w:t>
      </w:r>
      <w:r w:rsidRPr="0071782F">
        <w:rPr>
          <w:lang w:val="fr-CH"/>
        </w:rPr>
        <w:t>23</w:t>
      </w:r>
      <w:r w:rsidR="00A5752C">
        <w:rPr>
          <w:lang w:val="fr-CH"/>
        </w:rPr>
        <w:t> </w:t>
      </w:r>
      <w:r w:rsidRPr="0071782F">
        <w:rPr>
          <w:lang w:val="fr-CH"/>
        </w:rPr>
        <w:t>224</w:t>
      </w:r>
      <w:r w:rsidR="008553D9" w:rsidRPr="0071782F">
        <w:rPr>
          <w:lang w:val="fr-CH"/>
        </w:rPr>
        <w:t> milliard</w:t>
      </w:r>
      <w:r w:rsidR="00097CDB" w:rsidRPr="0071782F">
        <w:rPr>
          <w:lang w:val="fr-CH"/>
        </w:rPr>
        <w:t>s</w:t>
      </w:r>
      <w:r w:rsidR="005D5024" w:rsidRPr="0071782F">
        <w:rPr>
          <w:lang w:val="fr-CH"/>
        </w:rPr>
        <w:t xml:space="preserve"> </w:t>
      </w:r>
      <w:r w:rsidR="003B1403" w:rsidRPr="0071782F">
        <w:rPr>
          <w:lang w:val="fr-CH"/>
        </w:rPr>
        <w:t>de rials</w:t>
      </w:r>
      <w:r w:rsidRPr="0071782F">
        <w:rPr>
          <w:lang w:val="fr-CH"/>
        </w:rPr>
        <w:t xml:space="preserve"> </w:t>
      </w:r>
      <w:r w:rsidR="005D5024" w:rsidRPr="0071782F">
        <w:rPr>
          <w:lang w:val="fr-CH"/>
        </w:rPr>
        <w:t xml:space="preserve">(contre </w:t>
      </w:r>
      <w:r w:rsidRPr="0071782F">
        <w:rPr>
          <w:lang w:val="fr-CH"/>
        </w:rPr>
        <w:t>19</w:t>
      </w:r>
      <w:r w:rsidR="00A5752C">
        <w:rPr>
          <w:lang w:val="fr-CH"/>
        </w:rPr>
        <w:t> </w:t>
      </w:r>
      <w:r w:rsidRPr="0071782F">
        <w:rPr>
          <w:lang w:val="fr-CH"/>
        </w:rPr>
        <w:t>420</w:t>
      </w:r>
      <w:r w:rsidR="008553D9" w:rsidRPr="0071782F">
        <w:rPr>
          <w:lang w:val="fr-CH"/>
        </w:rPr>
        <w:t> milliard</w:t>
      </w:r>
      <w:r w:rsidR="00097CDB" w:rsidRPr="0071782F">
        <w:rPr>
          <w:lang w:val="fr-CH"/>
        </w:rPr>
        <w:t>s</w:t>
      </w:r>
      <w:r w:rsidR="005D5024" w:rsidRPr="0071782F">
        <w:rPr>
          <w:lang w:val="fr-CH"/>
        </w:rPr>
        <w:t xml:space="preserve"> en 2006)</w:t>
      </w:r>
      <w:r w:rsidRPr="0071782F">
        <w:rPr>
          <w:lang w:val="fr-CH"/>
        </w:rPr>
        <w:t xml:space="preserve">, </w:t>
      </w:r>
      <w:r w:rsidR="005D5024" w:rsidRPr="0071782F">
        <w:rPr>
          <w:lang w:val="fr-CH"/>
        </w:rPr>
        <w:t xml:space="preserve">ce qui représente un taux de croissance de </w:t>
      </w:r>
      <w:r w:rsidRPr="0071782F">
        <w:rPr>
          <w:lang w:val="fr-CH"/>
        </w:rPr>
        <w:t>19</w:t>
      </w:r>
      <w:r w:rsidR="003F25A2">
        <w:rPr>
          <w:lang w:val="fr-CH"/>
        </w:rPr>
        <w:t>,</w:t>
      </w:r>
      <w:r w:rsidRPr="0071782F">
        <w:rPr>
          <w:lang w:val="fr-CH"/>
        </w:rPr>
        <w:t>6</w:t>
      </w:r>
      <w:r w:rsidR="007E5125" w:rsidRPr="0071782F">
        <w:rPr>
          <w:lang w:val="fr-CH"/>
        </w:rPr>
        <w:t>%</w:t>
      </w:r>
      <w:r w:rsidRPr="0071782F">
        <w:rPr>
          <w:lang w:val="fr-CH"/>
        </w:rPr>
        <w:t xml:space="preserve"> </w:t>
      </w:r>
      <w:r w:rsidR="005D5024" w:rsidRPr="0071782F">
        <w:rPr>
          <w:lang w:val="fr-CH"/>
        </w:rPr>
        <w:t xml:space="preserve">par rapport à </w:t>
      </w:r>
      <w:r w:rsidRPr="0071782F">
        <w:rPr>
          <w:lang w:val="fr-CH"/>
        </w:rPr>
        <w:t>2006.</w:t>
      </w:r>
    </w:p>
    <w:p w:rsidR="008A7415" w:rsidRPr="0071782F" w:rsidRDefault="008A7415" w:rsidP="00A26292">
      <w:pPr>
        <w:pStyle w:val="SingleTxtG"/>
        <w:tabs>
          <w:tab w:val="left" w:pos="-1701"/>
          <w:tab w:val="left" w:pos="2552"/>
        </w:tabs>
        <w:ind w:left="1701"/>
        <w:rPr>
          <w:lang w:val="fr-CH"/>
        </w:rPr>
      </w:pPr>
      <w:r w:rsidRPr="0071782F">
        <w:rPr>
          <w:lang w:val="fr-CH"/>
        </w:rPr>
        <w:t>211.17.</w:t>
      </w:r>
      <w:r w:rsidR="00E45494" w:rsidRPr="0071782F">
        <w:rPr>
          <w:lang w:val="fr-CH"/>
        </w:rPr>
        <w:t xml:space="preserve"> </w:t>
      </w:r>
      <w:r w:rsidR="005D5024" w:rsidRPr="0071782F">
        <w:rPr>
          <w:lang w:val="fr-CH"/>
        </w:rPr>
        <w:t xml:space="preserve">Il convient de noter que le taux de croissance moyen annuel de cette variable pendant la décennie achevée en mars 2006 a été de </w:t>
      </w:r>
      <w:r w:rsidRPr="0071782F">
        <w:rPr>
          <w:lang w:val="fr-CH"/>
        </w:rPr>
        <w:t>0</w:t>
      </w:r>
      <w:r w:rsidR="005D5024" w:rsidRPr="0071782F">
        <w:rPr>
          <w:lang w:val="fr-CH"/>
        </w:rPr>
        <w:t>,</w:t>
      </w:r>
      <w:r w:rsidRPr="0071782F">
        <w:rPr>
          <w:lang w:val="fr-CH"/>
        </w:rPr>
        <w:t>36</w:t>
      </w:r>
      <w:r w:rsidR="007E5125" w:rsidRPr="0071782F">
        <w:rPr>
          <w:lang w:val="fr-CH"/>
        </w:rPr>
        <w:t>%</w:t>
      </w:r>
      <w:r w:rsidR="005D5024" w:rsidRPr="0071782F">
        <w:rPr>
          <w:lang w:val="fr-CH"/>
        </w:rPr>
        <w:t>, ce qui fait apparaître la croissance exceptionnelle enregistrée par la valeur ajoutée du secteur du logement</w:t>
      </w:r>
      <w:r w:rsidRPr="0071782F">
        <w:rPr>
          <w:lang w:val="fr-CH"/>
        </w:rPr>
        <w:t xml:space="preserve">. </w:t>
      </w:r>
    </w:p>
    <w:p w:rsidR="008A7415" w:rsidRPr="0071782F" w:rsidRDefault="008A7415" w:rsidP="00A26292">
      <w:pPr>
        <w:pStyle w:val="SingleTxtG"/>
        <w:tabs>
          <w:tab w:val="left" w:pos="-1701"/>
          <w:tab w:val="left" w:pos="2552"/>
        </w:tabs>
        <w:ind w:left="1701"/>
        <w:rPr>
          <w:lang w:val="fr-CH"/>
        </w:rPr>
      </w:pPr>
      <w:r w:rsidRPr="0071782F">
        <w:rPr>
          <w:lang w:val="fr-CH"/>
        </w:rPr>
        <w:t>211.18.</w:t>
      </w:r>
      <w:r w:rsidR="00E45494" w:rsidRPr="0071782F">
        <w:rPr>
          <w:lang w:val="fr-CH"/>
        </w:rPr>
        <w:t xml:space="preserve"> </w:t>
      </w:r>
      <w:r w:rsidR="005D5024" w:rsidRPr="0071782F">
        <w:rPr>
          <w:lang w:val="fr-CH"/>
        </w:rPr>
        <w:t xml:space="preserve">Le secteur du logement a toujours fait preuve d’un immense potentiel en matière de création d’emplois dans l’ensemble du pays, au point qu’il a représenté </w:t>
      </w:r>
      <w:r w:rsidRPr="0071782F">
        <w:rPr>
          <w:lang w:val="fr-CH"/>
        </w:rPr>
        <w:t>11</w:t>
      </w:r>
      <w:r w:rsidR="007E5125" w:rsidRPr="0071782F">
        <w:rPr>
          <w:lang w:val="fr-CH"/>
        </w:rPr>
        <w:t>%</w:t>
      </w:r>
      <w:r w:rsidRPr="0071782F">
        <w:rPr>
          <w:lang w:val="fr-CH"/>
        </w:rPr>
        <w:t xml:space="preserve"> </w:t>
      </w:r>
      <w:r w:rsidR="005D5024" w:rsidRPr="0071782F">
        <w:rPr>
          <w:lang w:val="fr-CH"/>
        </w:rPr>
        <w:t>et</w:t>
      </w:r>
      <w:r w:rsidRPr="0071782F">
        <w:rPr>
          <w:lang w:val="fr-CH"/>
        </w:rPr>
        <w:t xml:space="preserve"> 13</w:t>
      </w:r>
      <w:r w:rsidR="007E5125" w:rsidRPr="0071782F">
        <w:rPr>
          <w:lang w:val="fr-CH"/>
        </w:rPr>
        <w:t>%</w:t>
      </w:r>
      <w:r w:rsidRPr="0071782F">
        <w:rPr>
          <w:lang w:val="fr-CH"/>
        </w:rPr>
        <w:t xml:space="preserve"> </w:t>
      </w:r>
      <w:r w:rsidR="005D5024" w:rsidRPr="0071782F">
        <w:rPr>
          <w:lang w:val="fr-CH"/>
        </w:rPr>
        <w:t xml:space="preserve">de l’emploi total du pays en </w:t>
      </w:r>
      <w:r w:rsidRPr="0071782F">
        <w:rPr>
          <w:lang w:val="fr-CH"/>
        </w:rPr>
        <w:t xml:space="preserve">2005 </w:t>
      </w:r>
      <w:r w:rsidR="005D5024" w:rsidRPr="0071782F">
        <w:rPr>
          <w:lang w:val="fr-CH"/>
        </w:rPr>
        <w:t>et</w:t>
      </w:r>
      <w:r w:rsidRPr="0071782F">
        <w:rPr>
          <w:lang w:val="fr-CH"/>
        </w:rPr>
        <w:t xml:space="preserve"> 2007</w:t>
      </w:r>
      <w:r w:rsidR="005D5024" w:rsidRPr="0071782F">
        <w:rPr>
          <w:lang w:val="fr-CH"/>
        </w:rPr>
        <w:t>, respectivement</w:t>
      </w:r>
      <w:r w:rsidRPr="0071782F">
        <w:rPr>
          <w:lang w:val="fr-CH"/>
        </w:rPr>
        <w:t>.</w:t>
      </w:r>
    </w:p>
    <w:p w:rsidR="008A7415" w:rsidRPr="0071782F" w:rsidRDefault="008A7415" w:rsidP="00A26292">
      <w:pPr>
        <w:pStyle w:val="SingleTxtG"/>
        <w:tabs>
          <w:tab w:val="left" w:pos="-1701"/>
          <w:tab w:val="left" w:pos="2552"/>
        </w:tabs>
        <w:ind w:left="1701"/>
        <w:rPr>
          <w:lang w:val="fr-CH"/>
        </w:rPr>
      </w:pPr>
      <w:r w:rsidRPr="0071782F">
        <w:rPr>
          <w:lang w:val="fr-CH"/>
        </w:rPr>
        <w:t>211.19.</w:t>
      </w:r>
      <w:r w:rsidR="00E45494" w:rsidRPr="0071782F">
        <w:rPr>
          <w:lang w:val="fr-CH"/>
        </w:rPr>
        <w:t xml:space="preserve"> </w:t>
      </w:r>
      <w:r w:rsidR="00363121" w:rsidRPr="0071782F">
        <w:rPr>
          <w:lang w:val="fr-CH"/>
        </w:rPr>
        <w:t xml:space="preserve">Pendant cette période, les règles du code technique national de la construction ont été respectées, on a eu recours aux services d’entrepreneurs et de spécialistes compétents, et la qualité des constructions a été améliorée </w:t>
      </w:r>
      <w:r w:rsidRPr="0071782F">
        <w:rPr>
          <w:lang w:val="fr-CH"/>
        </w:rPr>
        <w:t>(</w:t>
      </w:r>
      <w:r w:rsidR="00363121" w:rsidRPr="0071782F">
        <w:rPr>
          <w:lang w:val="fr-CH"/>
        </w:rPr>
        <w:t>travailleurs, compétences, assurance de la qualité</w:t>
      </w:r>
      <w:r w:rsidRPr="0071782F">
        <w:rPr>
          <w:lang w:val="fr-CH"/>
        </w:rPr>
        <w:t>, contr</w:t>
      </w:r>
      <w:r w:rsidR="00363121" w:rsidRPr="0071782F">
        <w:rPr>
          <w:lang w:val="fr-CH"/>
        </w:rPr>
        <w:t>ôle et é</w:t>
      </w:r>
      <w:r w:rsidRPr="0071782F">
        <w:rPr>
          <w:lang w:val="fr-CH"/>
        </w:rPr>
        <w:t xml:space="preserve">valuation). </w:t>
      </w:r>
    </w:p>
    <w:p w:rsidR="008A7415" w:rsidRPr="0071782F" w:rsidRDefault="008A7415" w:rsidP="00A26292">
      <w:pPr>
        <w:pStyle w:val="SingleTxtG"/>
        <w:tabs>
          <w:tab w:val="left" w:pos="-1701"/>
          <w:tab w:val="left" w:pos="2552"/>
        </w:tabs>
        <w:ind w:left="1701"/>
        <w:rPr>
          <w:lang w:val="fr-CH"/>
        </w:rPr>
      </w:pPr>
      <w:r w:rsidRPr="0071782F">
        <w:rPr>
          <w:lang w:val="fr-CH"/>
        </w:rPr>
        <w:t>211.20.</w:t>
      </w:r>
      <w:r w:rsidR="00E45494" w:rsidRPr="0071782F">
        <w:rPr>
          <w:lang w:val="fr-CH"/>
        </w:rPr>
        <w:t xml:space="preserve"> </w:t>
      </w:r>
      <w:r w:rsidR="00D026E7" w:rsidRPr="0071782F">
        <w:rPr>
          <w:lang w:val="fr-CH"/>
        </w:rPr>
        <w:t xml:space="preserve">Les lois de finances et la loi sur la régulation et le soutien de la construction et de l’offre </w:t>
      </w:r>
      <w:r w:rsidR="003F25A2">
        <w:rPr>
          <w:lang w:val="fr-CH"/>
        </w:rPr>
        <w:t>de logements</w:t>
      </w:r>
      <w:r w:rsidR="00D026E7" w:rsidRPr="0071782F">
        <w:rPr>
          <w:lang w:val="fr-CH"/>
        </w:rPr>
        <w:t xml:space="preserve"> ont prévu la mise en place de système spéciaux de fourniture </w:t>
      </w:r>
      <w:r w:rsidR="003F25A2">
        <w:rPr>
          <w:lang w:val="fr-CH"/>
        </w:rPr>
        <w:t>de logements</w:t>
      </w:r>
      <w:r w:rsidR="00D026E7" w:rsidRPr="0071782F">
        <w:rPr>
          <w:lang w:val="fr-CH"/>
        </w:rPr>
        <w:t xml:space="preserve"> aux groupes à faible revenu (logements communautaires, organisations caritatives actives dans le domaine du logement, relance du système de dotation </w:t>
      </w:r>
      <w:r w:rsidR="003F25A2">
        <w:rPr>
          <w:lang w:val="fr-CH"/>
        </w:rPr>
        <w:t>de logements</w:t>
      </w:r>
      <w:r w:rsidRPr="0071782F">
        <w:rPr>
          <w:lang w:val="fr-CH"/>
        </w:rPr>
        <w:t>, etc.).</w:t>
      </w:r>
    </w:p>
    <w:p w:rsidR="008A7415" w:rsidRPr="0071782F" w:rsidRDefault="008A7415" w:rsidP="00A26292">
      <w:pPr>
        <w:pStyle w:val="SingleTxtG"/>
        <w:tabs>
          <w:tab w:val="left" w:pos="-1701"/>
          <w:tab w:val="left" w:pos="2552"/>
        </w:tabs>
        <w:ind w:left="1701"/>
        <w:rPr>
          <w:lang w:val="fr-CH"/>
        </w:rPr>
      </w:pPr>
      <w:r w:rsidRPr="0071782F">
        <w:rPr>
          <w:lang w:val="fr-CH"/>
        </w:rPr>
        <w:t>211.21.</w:t>
      </w:r>
      <w:r w:rsidR="00E45494" w:rsidRPr="0071782F">
        <w:rPr>
          <w:lang w:val="fr-CH"/>
        </w:rPr>
        <w:t xml:space="preserve"> </w:t>
      </w:r>
      <w:r w:rsidR="00000356" w:rsidRPr="0071782F">
        <w:rPr>
          <w:lang w:val="fr-CH"/>
        </w:rPr>
        <w:t xml:space="preserve">Les crédits bancaires ont été le seul </w:t>
      </w:r>
      <w:r w:rsidRPr="0071782F">
        <w:rPr>
          <w:lang w:val="fr-CH"/>
        </w:rPr>
        <w:t xml:space="preserve">instrument </w:t>
      </w:r>
      <w:r w:rsidR="00000356" w:rsidRPr="0071782F">
        <w:rPr>
          <w:lang w:val="fr-CH"/>
        </w:rPr>
        <w:t>de financement des activités liées au logement, mais on s’attend à ce que le volume des crédits octroyés par le système bancaire au secteur du logement augmente de façon proportionnelle aux besoins de ce secteur</w:t>
      </w:r>
      <w:r w:rsidRPr="0071782F">
        <w:rPr>
          <w:lang w:val="fr-CH"/>
        </w:rPr>
        <w:t xml:space="preserve">. </w:t>
      </w:r>
      <w:r w:rsidR="00000356" w:rsidRPr="0071782F">
        <w:rPr>
          <w:lang w:val="fr-CH"/>
        </w:rPr>
        <w:t>Les besoins de construction de nouveaux</w:t>
      </w:r>
      <w:r w:rsidR="003F25A2">
        <w:rPr>
          <w:lang w:val="fr-CH"/>
        </w:rPr>
        <w:t> logements</w:t>
      </w:r>
      <w:r w:rsidR="00000356" w:rsidRPr="0071782F">
        <w:rPr>
          <w:lang w:val="fr-CH"/>
        </w:rPr>
        <w:t xml:space="preserve"> peuvent être évalués en établissant le nombre des nouvel</w:t>
      </w:r>
      <w:r w:rsidR="00DA097D" w:rsidRPr="0071782F">
        <w:rPr>
          <w:lang w:val="fr-CH"/>
        </w:rPr>
        <w:t>les familles</w:t>
      </w:r>
      <w:r w:rsidR="00000356" w:rsidRPr="0071782F">
        <w:rPr>
          <w:lang w:val="fr-CH"/>
        </w:rPr>
        <w:t xml:space="preserve"> à partir des résultats du recensement national. Néanmoins, le montant des crédits octroyés au secteur du logement ne tient pas compte de ces facteurs essentiels.</w:t>
      </w:r>
      <w:r w:rsidR="00D36718">
        <w:rPr>
          <w:lang w:val="fr-CH"/>
        </w:rPr>
        <w:t xml:space="preserve"> </w:t>
      </w:r>
    </w:p>
    <w:p w:rsidR="008A7415" w:rsidRPr="0071782F" w:rsidRDefault="008A7415" w:rsidP="00A26292">
      <w:pPr>
        <w:pStyle w:val="SingleTxtG"/>
        <w:tabs>
          <w:tab w:val="left" w:pos="-1701"/>
          <w:tab w:val="left" w:pos="2552"/>
        </w:tabs>
        <w:ind w:left="1701"/>
        <w:rPr>
          <w:lang w:val="fr-CH"/>
        </w:rPr>
      </w:pPr>
      <w:r w:rsidRPr="0071782F">
        <w:rPr>
          <w:lang w:val="fr-CH"/>
        </w:rPr>
        <w:t>211.22.</w:t>
      </w:r>
      <w:r w:rsidR="00E45494" w:rsidRPr="0071782F">
        <w:rPr>
          <w:lang w:val="fr-CH"/>
        </w:rPr>
        <w:t xml:space="preserve"> </w:t>
      </w:r>
      <w:r w:rsidR="00000356" w:rsidRPr="0071782F">
        <w:rPr>
          <w:lang w:val="fr-CH"/>
        </w:rPr>
        <w:t xml:space="preserve">Selon les statistiques élaborées dans ce domaine, les crédits affectés au secteur du logement entre 1996 et 2006 qui n’ont pas été utilisés ont enregistré un taux de croissance moyen annuel de </w:t>
      </w:r>
      <w:r w:rsidRPr="0071782F">
        <w:rPr>
          <w:lang w:val="fr-CH"/>
        </w:rPr>
        <w:t>32</w:t>
      </w:r>
      <w:r w:rsidR="00000356" w:rsidRPr="0071782F">
        <w:rPr>
          <w:lang w:val="fr-CH"/>
        </w:rPr>
        <w:t>,</w:t>
      </w:r>
      <w:r w:rsidRPr="0071782F">
        <w:rPr>
          <w:lang w:val="fr-CH"/>
        </w:rPr>
        <w:t>8</w:t>
      </w:r>
      <w:r w:rsidR="007E5125" w:rsidRPr="0071782F">
        <w:rPr>
          <w:lang w:val="fr-CH"/>
        </w:rPr>
        <w:t>%</w:t>
      </w:r>
      <w:r w:rsidRPr="0071782F">
        <w:rPr>
          <w:lang w:val="fr-CH"/>
        </w:rPr>
        <w:t xml:space="preserve">. </w:t>
      </w:r>
      <w:r w:rsidR="00A305E1" w:rsidRPr="0071782F">
        <w:rPr>
          <w:lang w:val="fr-CH"/>
        </w:rPr>
        <w:t>De surcroît, pendant cette période, l’investissement dans le logement et les prix du logement ont enregistré des fluctuations très importantes</w:t>
      </w:r>
      <w:r w:rsidRPr="0071782F">
        <w:rPr>
          <w:lang w:val="fr-CH"/>
        </w:rPr>
        <w:t xml:space="preserve">. </w:t>
      </w:r>
      <w:r w:rsidR="00A305E1" w:rsidRPr="0071782F">
        <w:rPr>
          <w:lang w:val="fr-CH"/>
        </w:rPr>
        <w:t xml:space="preserve">Par ailleurs, la proportion des crédits octroyés au secteur du logement par rapport à l’ensemble des crédits octroyés par le système bancaire a fluctué entre </w:t>
      </w:r>
      <w:r w:rsidRPr="0071782F">
        <w:rPr>
          <w:lang w:val="fr-CH"/>
        </w:rPr>
        <w:t>20</w:t>
      </w:r>
      <w:r w:rsidR="007E5125" w:rsidRPr="0071782F">
        <w:rPr>
          <w:lang w:val="fr-CH"/>
        </w:rPr>
        <w:t>%</w:t>
      </w:r>
      <w:r w:rsidRPr="0071782F">
        <w:rPr>
          <w:lang w:val="fr-CH"/>
        </w:rPr>
        <w:t xml:space="preserve"> </w:t>
      </w:r>
      <w:r w:rsidR="00A305E1" w:rsidRPr="0071782F">
        <w:rPr>
          <w:lang w:val="fr-CH"/>
        </w:rPr>
        <w:t>et</w:t>
      </w:r>
      <w:r w:rsidRPr="0071782F">
        <w:rPr>
          <w:lang w:val="fr-CH"/>
        </w:rPr>
        <w:t xml:space="preserve"> 30</w:t>
      </w:r>
      <w:r w:rsidR="007E5125" w:rsidRPr="0071782F">
        <w:rPr>
          <w:lang w:val="fr-CH"/>
        </w:rPr>
        <w:t>%</w:t>
      </w:r>
      <w:r w:rsidRPr="0071782F">
        <w:rPr>
          <w:lang w:val="fr-CH"/>
        </w:rPr>
        <w:t xml:space="preserve">. </w:t>
      </w:r>
      <w:r w:rsidR="00A305E1" w:rsidRPr="0071782F">
        <w:rPr>
          <w:lang w:val="fr-CH"/>
        </w:rPr>
        <w:t xml:space="preserve">Il est donc devenu nécessaire, comme le prévoit </w:t>
      </w:r>
      <w:r w:rsidR="00723F2B" w:rsidRPr="0071782F">
        <w:rPr>
          <w:lang w:val="fr-CH"/>
        </w:rPr>
        <w:t>l’</w:t>
      </w:r>
      <w:r w:rsidR="00943A69" w:rsidRPr="0071782F">
        <w:rPr>
          <w:lang w:val="fr-CH"/>
        </w:rPr>
        <w:t>article </w:t>
      </w:r>
      <w:r w:rsidR="00A305E1" w:rsidRPr="0071782F">
        <w:rPr>
          <w:lang w:val="fr-CH"/>
        </w:rPr>
        <w:t xml:space="preserve">14 de la loi sur la régulation et le soutien de la construction et de l’offre </w:t>
      </w:r>
      <w:r w:rsidR="003F25A2">
        <w:rPr>
          <w:lang w:val="fr-CH"/>
        </w:rPr>
        <w:t>de logements</w:t>
      </w:r>
      <w:r w:rsidR="00A305E1" w:rsidRPr="0071782F">
        <w:rPr>
          <w:lang w:val="fr-CH"/>
        </w:rPr>
        <w:t>, de développer le marché financier et d’utiliser de nouveaux instruments de financement du secteur du logement</w:t>
      </w:r>
      <w:r w:rsidRPr="0071782F">
        <w:rPr>
          <w:lang w:val="fr-CH"/>
        </w:rPr>
        <w:t>.</w:t>
      </w:r>
    </w:p>
    <w:p w:rsidR="008A7415" w:rsidRPr="0071782F" w:rsidRDefault="008A7415" w:rsidP="003C5A76">
      <w:pPr>
        <w:pStyle w:val="SingleTxtG"/>
        <w:tabs>
          <w:tab w:val="left" w:pos="-1701"/>
          <w:tab w:val="left" w:pos="2552"/>
        </w:tabs>
        <w:ind w:left="1701"/>
        <w:rPr>
          <w:lang w:val="fr-CH"/>
        </w:rPr>
      </w:pPr>
      <w:r w:rsidRPr="0071782F">
        <w:rPr>
          <w:lang w:val="fr-CH"/>
        </w:rPr>
        <w:t>211.23.</w:t>
      </w:r>
      <w:r w:rsidR="00E45494" w:rsidRPr="0071782F">
        <w:rPr>
          <w:lang w:val="fr-CH"/>
        </w:rPr>
        <w:t xml:space="preserve"> </w:t>
      </w:r>
      <w:r w:rsidR="00BF2586" w:rsidRPr="0071782F">
        <w:rPr>
          <w:lang w:val="fr-CH"/>
        </w:rPr>
        <w:t xml:space="preserve">La loi susvisée a également prévu la possibilité de recourir à l’investissement étranger pour mener à bien des projets de construction </w:t>
      </w:r>
      <w:r w:rsidR="003F25A2">
        <w:rPr>
          <w:lang w:val="fr-CH"/>
        </w:rPr>
        <w:t>de logements</w:t>
      </w:r>
      <w:r w:rsidR="00BF2586" w:rsidRPr="0071782F">
        <w:rPr>
          <w:lang w:val="fr-CH"/>
        </w:rPr>
        <w:t>.</w:t>
      </w:r>
    </w:p>
    <w:p w:rsidR="008A7415" w:rsidRPr="0071782F" w:rsidRDefault="008A7415" w:rsidP="003C5A76">
      <w:pPr>
        <w:pStyle w:val="SingleTxtG"/>
        <w:tabs>
          <w:tab w:val="left" w:pos="-1701"/>
          <w:tab w:val="left" w:pos="2552"/>
        </w:tabs>
        <w:ind w:left="1701"/>
        <w:rPr>
          <w:lang w:val="fr-CH"/>
        </w:rPr>
      </w:pPr>
      <w:r w:rsidRPr="0071782F">
        <w:rPr>
          <w:lang w:val="fr-CH"/>
        </w:rPr>
        <w:t>211.24.</w:t>
      </w:r>
      <w:r w:rsidR="00E45494" w:rsidRPr="0071782F">
        <w:rPr>
          <w:lang w:val="fr-CH"/>
        </w:rPr>
        <w:t xml:space="preserve"> </w:t>
      </w:r>
      <w:r w:rsidR="00BF2586" w:rsidRPr="0071782F">
        <w:rPr>
          <w:lang w:val="fr-CH"/>
        </w:rPr>
        <w:t xml:space="preserve">Entre </w:t>
      </w:r>
      <w:r w:rsidRPr="0071782F">
        <w:rPr>
          <w:lang w:val="fr-CH"/>
        </w:rPr>
        <w:t>1996</w:t>
      </w:r>
      <w:r w:rsidR="00BF2586" w:rsidRPr="0071782F">
        <w:rPr>
          <w:lang w:val="fr-CH"/>
        </w:rPr>
        <w:t xml:space="preserve"> et </w:t>
      </w:r>
      <w:r w:rsidRPr="0071782F">
        <w:rPr>
          <w:lang w:val="fr-CH"/>
        </w:rPr>
        <w:t xml:space="preserve">2006, </w:t>
      </w:r>
      <w:r w:rsidR="00BF2586" w:rsidRPr="0071782F">
        <w:rPr>
          <w:lang w:val="fr-CH"/>
        </w:rPr>
        <w:t xml:space="preserve">le pourcentage </w:t>
      </w:r>
      <w:r w:rsidR="003F25A2">
        <w:rPr>
          <w:lang w:val="fr-CH"/>
        </w:rPr>
        <w:t>de logements</w:t>
      </w:r>
      <w:r w:rsidR="00BF2586" w:rsidRPr="0071782F">
        <w:rPr>
          <w:lang w:val="fr-CH"/>
        </w:rPr>
        <w:t xml:space="preserve"> en propriété a baissé tandis que le pourcentage </w:t>
      </w:r>
      <w:r w:rsidR="003F25A2">
        <w:rPr>
          <w:lang w:val="fr-CH"/>
        </w:rPr>
        <w:t>de logements</w:t>
      </w:r>
      <w:r w:rsidR="00BF2586" w:rsidRPr="0071782F">
        <w:rPr>
          <w:lang w:val="fr-CH"/>
        </w:rPr>
        <w:t xml:space="preserve"> en location augmentait. La baisse du pourcentage </w:t>
      </w:r>
      <w:r w:rsidR="003F25A2">
        <w:rPr>
          <w:lang w:val="fr-CH"/>
        </w:rPr>
        <w:t>de logements</w:t>
      </w:r>
      <w:r w:rsidR="00BF2586" w:rsidRPr="0071782F">
        <w:rPr>
          <w:lang w:val="fr-CH"/>
        </w:rPr>
        <w:t xml:space="preserve"> en propriété s’est produite tant dans les zones urbaines que les zones rurales du pays, alors que le nombre </w:t>
      </w:r>
      <w:r w:rsidR="003F25A2">
        <w:rPr>
          <w:lang w:val="fr-CH"/>
        </w:rPr>
        <w:t>de logements</w:t>
      </w:r>
      <w:r w:rsidR="00BF2586" w:rsidRPr="0071782F">
        <w:rPr>
          <w:lang w:val="fr-CH"/>
        </w:rPr>
        <w:t xml:space="preserve"> en location a baissé dans les zones rurales et augmenté dans les zones urbaines.</w:t>
      </w:r>
    </w:p>
    <w:p w:rsidR="008A7415" w:rsidRPr="0071782F" w:rsidRDefault="008A7415" w:rsidP="003C5A76">
      <w:pPr>
        <w:pStyle w:val="SingleTxtG"/>
        <w:tabs>
          <w:tab w:val="left" w:pos="-1701"/>
          <w:tab w:val="left" w:pos="2552"/>
        </w:tabs>
        <w:ind w:left="1701"/>
        <w:rPr>
          <w:spacing w:val="-2"/>
          <w:lang w:val="fr-CH"/>
        </w:rPr>
      </w:pPr>
      <w:r w:rsidRPr="0071782F">
        <w:rPr>
          <w:spacing w:val="-2"/>
          <w:lang w:val="fr-CH"/>
        </w:rPr>
        <w:t>211.25.</w:t>
      </w:r>
      <w:r w:rsidR="00E45494" w:rsidRPr="0071782F">
        <w:rPr>
          <w:spacing w:val="-2"/>
          <w:lang w:val="fr-CH"/>
        </w:rPr>
        <w:t xml:space="preserve"> </w:t>
      </w:r>
      <w:r w:rsidR="003904E1" w:rsidRPr="0071782F">
        <w:rPr>
          <w:spacing w:val="-2"/>
          <w:lang w:val="fr-CH"/>
        </w:rPr>
        <w:t xml:space="preserve">Le pourcentage </w:t>
      </w:r>
      <w:r w:rsidR="004E45FB" w:rsidRPr="0071782F">
        <w:rPr>
          <w:spacing w:val="-2"/>
          <w:lang w:val="fr-CH"/>
        </w:rPr>
        <w:t>des familles</w:t>
      </w:r>
      <w:r w:rsidR="003904E1" w:rsidRPr="0071782F">
        <w:rPr>
          <w:spacing w:val="-2"/>
          <w:lang w:val="fr-CH"/>
        </w:rPr>
        <w:t xml:space="preserve"> possédant leur logement a été ramené de </w:t>
      </w:r>
      <w:r w:rsidRPr="0071782F">
        <w:rPr>
          <w:spacing w:val="-2"/>
          <w:lang w:val="fr-CH"/>
        </w:rPr>
        <w:t>73</w:t>
      </w:r>
      <w:r w:rsidR="003904E1" w:rsidRPr="0071782F">
        <w:rPr>
          <w:spacing w:val="-2"/>
          <w:lang w:val="fr-CH"/>
        </w:rPr>
        <w:t>,</w:t>
      </w:r>
      <w:r w:rsidRPr="0071782F">
        <w:rPr>
          <w:spacing w:val="-2"/>
          <w:lang w:val="fr-CH"/>
        </w:rPr>
        <w:t>4</w:t>
      </w:r>
      <w:r w:rsidR="007E5125" w:rsidRPr="0071782F">
        <w:rPr>
          <w:spacing w:val="-2"/>
          <w:lang w:val="fr-CH"/>
        </w:rPr>
        <w:t>%</w:t>
      </w:r>
      <w:r w:rsidRPr="0071782F">
        <w:rPr>
          <w:spacing w:val="-2"/>
          <w:lang w:val="fr-CH"/>
        </w:rPr>
        <w:t xml:space="preserve"> </w:t>
      </w:r>
      <w:r w:rsidR="003904E1" w:rsidRPr="0071782F">
        <w:rPr>
          <w:spacing w:val="-2"/>
          <w:lang w:val="fr-CH"/>
        </w:rPr>
        <w:t>e</w:t>
      </w:r>
      <w:r w:rsidRPr="0071782F">
        <w:rPr>
          <w:spacing w:val="-2"/>
          <w:lang w:val="fr-CH"/>
        </w:rPr>
        <w:t xml:space="preserve">n 1996 </w:t>
      </w:r>
      <w:r w:rsidR="003904E1" w:rsidRPr="0071782F">
        <w:rPr>
          <w:spacing w:val="-2"/>
          <w:lang w:val="fr-CH"/>
        </w:rPr>
        <w:t>à</w:t>
      </w:r>
      <w:r w:rsidRPr="0071782F">
        <w:rPr>
          <w:spacing w:val="-2"/>
          <w:lang w:val="fr-CH"/>
        </w:rPr>
        <w:t xml:space="preserve"> 67</w:t>
      </w:r>
      <w:r w:rsidR="003904E1" w:rsidRPr="0071782F">
        <w:rPr>
          <w:spacing w:val="-2"/>
          <w:lang w:val="fr-CH"/>
        </w:rPr>
        <w:t>,</w:t>
      </w:r>
      <w:r w:rsidRPr="0071782F">
        <w:rPr>
          <w:spacing w:val="-2"/>
          <w:lang w:val="fr-CH"/>
        </w:rPr>
        <w:t>42</w:t>
      </w:r>
      <w:r w:rsidR="007E5125" w:rsidRPr="0071782F">
        <w:rPr>
          <w:spacing w:val="-2"/>
          <w:lang w:val="fr-CH"/>
        </w:rPr>
        <w:t>%</w:t>
      </w:r>
      <w:r w:rsidRPr="0071782F">
        <w:rPr>
          <w:spacing w:val="-2"/>
          <w:lang w:val="fr-CH"/>
        </w:rPr>
        <w:t xml:space="preserve"> </w:t>
      </w:r>
      <w:r w:rsidR="003904E1" w:rsidRPr="0071782F">
        <w:rPr>
          <w:spacing w:val="-2"/>
          <w:lang w:val="fr-CH"/>
        </w:rPr>
        <w:t>e</w:t>
      </w:r>
      <w:r w:rsidRPr="0071782F">
        <w:rPr>
          <w:spacing w:val="-2"/>
          <w:lang w:val="fr-CH"/>
        </w:rPr>
        <w:t xml:space="preserve">n 2006, </w:t>
      </w:r>
      <w:r w:rsidR="003904E1" w:rsidRPr="0071782F">
        <w:rPr>
          <w:spacing w:val="-2"/>
          <w:lang w:val="fr-CH"/>
        </w:rPr>
        <w:t xml:space="preserve">tandis que le pourcentage </w:t>
      </w:r>
      <w:r w:rsidR="004E45FB" w:rsidRPr="0071782F">
        <w:rPr>
          <w:spacing w:val="-2"/>
          <w:lang w:val="fr-CH"/>
        </w:rPr>
        <w:t>des familles</w:t>
      </w:r>
      <w:r w:rsidR="003904E1" w:rsidRPr="0071782F">
        <w:rPr>
          <w:spacing w:val="-2"/>
          <w:lang w:val="fr-CH"/>
        </w:rPr>
        <w:t xml:space="preserve"> louant un logement augmentait, pour passer de </w:t>
      </w:r>
      <w:r w:rsidRPr="0071782F">
        <w:rPr>
          <w:spacing w:val="-2"/>
          <w:lang w:val="fr-CH"/>
        </w:rPr>
        <w:t>15</w:t>
      </w:r>
      <w:r w:rsidR="003904E1" w:rsidRPr="0071782F">
        <w:rPr>
          <w:spacing w:val="-2"/>
          <w:lang w:val="fr-CH"/>
        </w:rPr>
        <w:t>,</w:t>
      </w:r>
      <w:r w:rsidRPr="0071782F">
        <w:rPr>
          <w:spacing w:val="-2"/>
          <w:lang w:val="fr-CH"/>
        </w:rPr>
        <w:t>57</w:t>
      </w:r>
      <w:r w:rsidR="007E5125" w:rsidRPr="0071782F">
        <w:rPr>
          <w:spacing w:val="-2"/>
          <w:lang w:val="fr-CH"/>
        </w:rPr>
        <w:t>%</w:t>
      </w:r>
      <w:r w:rsidRPr="0071782F">
        <w:rPr>
          <w:spacing w:val="-2"/>
          <w:lang w:val="fr-CH"/>
        </w:rPr>
        <w:t xml:space="preserve"> </w:t>
      </w:r>
      <w:r w:rsidR="003904E1" w:rsidRPr="0071782F">
        <w:rPr>
          <w:spacing w:val="-2"/>
          <w:lang w:val="fr-CH"/>
        </w:rPr>
        <w:t>à</w:t>
      </w:r>
      <w:r w:rsidRPr="0071782F">
        <w:rPr>
          <w:spacing w:val="-2"/>
          <w:lang w:val="fr-CH"/>
        </w:rPr>
        <w:t xml:space="preserve"> 24</w:t>
      </w:r>
      <w:r w:rsidR="003904E1" w:rsidRPr="0071782F">
        <w:rPr>
          <w:spacing w:val="-2"/>
          <w:lang w:val="fr-CH"/>
        </w:rPr>
        <w:t>,</w:t>
      </w:r>
      <w:r w:rsidRPr="0071782F">
        <w:rPr>
          <w:spacing w:val="-2"/>
          <w:lang w:val="fr-CH"/>
        </w:rPr>
        <w:t>21</w:t>
      </w:r>
      <w:r w:rsidR="007E5125" w:rsidRPr="0071782F">
        <w:rPr>
          <w:spacing w:val="-2"/>
          <w:lang w:val="fr-CH"/>
        </w:rPr>
        <w:t>%</w:t>
      </w:r>
      <w:r w:rsidRPr="0071782F">
        <w:rPr>
          <w:spacing w:val="-2"/>
          <w:lang w:val="fr-CH"/>
        </w:rPr>
        <w:t xml:space="preserve"> </w:t>
      </w:r>
      <w:r w:rsidR="003904E1" w:rsidRPr="0071782F">
        <w:rPr>
          <w:spacing w:val="-2"/>
          <w:lang w:val="fr-CH"/>
        </w:rPr>
        <w:t>au cours de la même période</w:t>
      </w:r>
      <w:r w:rsidRPr="0071782F">
        <w:rPr>
          <w:spacing w:val="-2"/>
          <w:lang w:val="fr-CH"/>
        </w:rPr>
        <w:t>.</w:t>
      </w:r>
    </w:p>
    <w:p w:rsidR="008A7415" w:rsidRPr="0071782F" w:rsidRDefault="008A7415" w:rsidP="003C5A76">
      <w:pPr>
        <w:pStyle w:val="SingleTxtG"/>
        <w:tabs>
          <w:tab w:val="left" w:pos="-1701"/>
          <w:tab w:val="left" w:pos="2552"/>
        </w:tabs>
        <w:ind w:left="1701"/>
        <w:rPr>
          <w:lang w:val="fr-CH"/>
        </w:rPr>
      </w:pPr>
      <w:r w:rsidRPr="0071782F">
        <w:rPr>
          <w:lang w:val="fr-CH"/>
        </w:rPr>
        <w:t>211.26.</w:t>
      </w:r>
      <w:r w:rsidR="00E45494" w:rsidRPr="0071782F">
        <w:rPr>
          <w:lang w:val="fr-CH"/>
        </w:rPr>
        <w:t xml:space="preserve"> </w:t>
      </w:r>
      <w:r w:rsidR="004B1B4E" w:rsidRPr="0071782F">
        <w:rPr>
          <w:lang w:val="fr-CH"/>
        </w:rPr>
        <w:t xml:space="preserve">L’examen de l’évolution des prix </w:t>
      </w:r>
      <w:r w:rsidR="003F25A2">
        <w:rPr>
          <w:lang w:val="fr-CH"/>
        </w:rPr>
        <w:t>des logements</w:t>
      </w:r>
      <w:r w:rsidR="004B1B4E" w:rsidRPr="0071782F">
        <w:rPr>
          <w:lang w:val="fr-CH"/>
        </w:rPr>
        <w:t xml:space="preserve"> fait apparaître qu’au cours des 16 dernières années, le secteur du logement a connu trois cycles de prix différents. Entre </w:t>
      </w:r>
      <w:r w:rsidRPr="0071782F">
        <w:rPr>
          <w:lang w:val="fr-CH"/>
        </w:rPr>
        <w:t>1992</w:t>
      </w:r>
      <w:r w:rsidR="004B1B4E" w:rsidRPr="0071782F">
        <w:rPr>
          <w:lang w:val="fr-CH"/>
        </w:rPr>
        <w:t xml:space="preserve"> et </w:t>
      </w:r>
      <w:r w:rsidRPr="0071782F">
        <w:rPr>
          <w:lang w:val="fr-CH"/>
        </w:rPr>
        <w:t xml:space="preserve">1997, </w:t>
      </w:r>
      <w:r w:rsidR="004B1B4E" w:rsidRPr="0071782F">
        <w:rPr>
          <w:lang w:val="fr-CH"/>
        </w:rPr>
        <w:t xml:space="preserve">le secteur a connu une forte expansion, les prix affichant pendant deux années consécutives des taux de croissance de </w:t>
      </w:r>
      <w:r w:rsidRPr="0071782F">
        <w:rPr>
          <w:lang w:val="fr-CH"/>
        </w:rPr>
        <w:t>61</w:t>
      </w:r>
      <w:r w:rsidR="007E5125" w:rsidRPr="0071782F">
        <w:rPr>
          <w:lang w:val="fr-CH"/>
        </w:rPr>
        <w:t>%</w:t>
      </w:r>
      <w:r w:rsidRPr="0071782F">
        <w:rPr>
          <w:lang w:val="fr-CH"/>
        </w:rPr>
        <w:t xml:space="preserve"> </w:t>
      </w:r>
      <w:r w:rsidR="004B1B4E" w:rsidRPr="0071782F">
        <w:rPr>
          <w:lang w:val="fr-CH"/>
        </w:rPr>
        <w:t>et</w:t>
      </w:r>
      <w:r w:rsidRPr="0071782F">
        <w:rPr>
          <w:lang w:val="fr-CH"/>
        </w:rPr>
        <w:t xml:space="preserve"> 67</w:t>
      </w:r>
      <w:r w:rsidR="007E5125" w:rsidRPr="0071782F">
        <w:rPr>
          <w:lang w:val="fr-CH"/>
        </w:rPr>
        <w:t>%</w:t>
      </w:r>
      <w:r w:rsidR="004B1B4E" w:rsidRPr="0071782F">
        <w:rPr>
          <w:lang w:val="fr-CH"/>
        </w:rPr>
        <w:t xml:space="preserve">; entre </w:t>
      </w:r>
      <w:r w:rsidRPr="0071782F">
        <w:rPr>
          <w:lang w:val="fr-CH"/>
        </w:rPr>
        <w:t>1998</w:t>
      </w:r>
      <w:r w:rsidR="004B1B4E" w:rsidRPr="0071782F">
        <w:rPr>
          <w:lang w:val="fr-CH"/>
        </w:rPr>
        <w:t xml:space="preserve"> et </w:t>
      </w:r>
      <w:r w:rsidRPr="0071782F">
        <w:rPr>
          <w:lang w:val="fr-CH"/>
        </w:rPr>
        <w:t xml:space="preserve">2003, </w:t>
      </w:r>
      <w:r w:rsidR="004B1B4E" w:rsidRPr="0071782F">
        <w:rPr>
          <w:lang w:val="fr-CH"/>
        </w:rPr>
        <w:t xml:space="preserve">les prix du logement ont enregistré des taux de croissance de </w:t>
      </w:r>
      <w:r w:rsidRPr="0071782F">
        <w:rPr>
          <w:lang w:val="fr-CH"/>
        </w:rPr>
        <w:t>25</w:t>
      </w:r>
      <w:r w:rsidR="007E5125" w:rsidRPr="0071782F">
        <w:rPr>
          <w:lang w:val="fr-CH"/>
        </w:rPr>
        <w:t>%</w:t>
      </w:r>
      <w:r w:rsidRPr="0071782F">
        <w:rPr>
          <w:lang w:val="fr-CH"/>
        </w:rPr>
        <w:t>, 42</w:t>
      </w:r>
      <w:r w:rsidR="007E5125" w:rsidRPr="0071782F">
        <w:rPr>
          <w:lang w:val="fr-CH"/>
        </w:rPr>
        <w:t>%</w:t>
      </w:r>
      <w:r w:rsidRPr="0071782F">
        <w:rPr>
          <w:lang w:val="fr-CH"/>
        </w:rPr>
        <w:t>, 50</w:t>
      </w:r>
      <w:r w:rsidR="007E5125" w:rsidRPr="0071782F">
        <w:rPr>
          <w:lang w:val="fr-CH"/>
        </w:rPr>
        <w:t>%</w:t>
      </w:r>
      <w:r w:rsidRPr="0071782F">
        <w:rPr>
          <w:lang w:val="fr-CH"/>
        </w:rPr>
        <w:t xml:space="preserve"> </w:t>
      </w:r>
      <w:r w:rsidR="004B1B4E" w:rsidRPr="0071782F">
        <w:rPr>
          <w:lang w:val="fr-CH"/>
        </w:rPr>
        <w:t>et</w:t>
      </w:r>
      <w:r w:rsidRPr="0071782F">
        <w:rPr>
          <w:lang w:val="fr-CH"/>
        </w:rPr>
        <w:t xml:space="preserve"> 25</w:t>
      </w:r>
      <w:r w:rsidR="007E5125" w:rsidRPr="0071782F">
        <w:rPr>
          <w:lang w:val="fr-CH"/>
        </w:rPr>
        <w:t>%</w:t>
      </w:r>
      <w:r w:rsidRPr="0071782F">
        <w:rPr>
          <w:lang w:val="fr-CH"/>
        </w:rPr>
        <w:t xml:space="preserve">; </w:t>
      </w:r>
      <w:r w:rsidR="004B1B4E" w:rsidRPr="0071782F">
        <w:rPr>
          <w:lang w:val="fr-CH"/>
        </w:rPr>
        <w:t xml:space="preserve">et entre </w:t>
      </w:r>
      <w:r w:rsidRPr="0071782F">
        <w:rPr>
          <w:lang w:val="fr-CH"/>
        </w:rPr>
        <w:t>2004</w:t>
      </w:r>
      <w:r w:rsidR="004B1B4E" w:rsidRPr="0071782F">
        <w:rPr>
          <w:lang w:val="fr-CH"/>
        </w:rPr>
        <w:t xml:space="preserve"> et </w:t>
      </w:r>
      <w:r w:rsidRPr="0071782F">
        <w:rPr>
          <w:lang w:val="fr-CH"/>
        </w:rPr>
        <w:t xml:space="preserve">2007, </w:t>
      </w:r>
      <w:r w:rsidR="004B1B4E" w:rsidRPr="0071782F">
        <w:rPr>
          <w:lang w:val="fr-CH"/>
        </w:rPr>
        <w:t>les taux de croissance de ces prix ont été de -2,</w:t>
      </w:r>
      <w:r w:rsidRPr="0071782F">
        <w:rPr>
          <w:lang w:val="fr-CH"/>
        </w:rPr>
        <w:t>6</w:t>
      </w:r>
      <w:r w:rsidR="007E5125" w:rsidRPr="0071782F">
        <w:rPr>
          <w:lang w:val="fr-CH"/>
        </w:rPr>
        <w:t>%</w:t>
      </w:r>
      <w:r w:rsidRPr="0071782F">
        <w:rPr>
          <w:lang w:val="fr-CH"/>
        </w:rPr>
        <w:t>, 11</w:t>
      </w:r>
      <w:r w:rsidR="004B1B4E" w:rsidRPr="0071782F">
        <w:rPr>
          <w:lang w:val="fr-CH"/>
        </w:rPr>
        <w:t>,</w:t>
      </w:r>
      <w:r w:rsidRPr="0071782F">
        <w:rPr>
          <w:lang w:val="fr-CH"/>
        </w:rPr>
        <w:t>2</w:t>
      </w:r>
      <w:r w:rsidR="007E5125" w:rsidRPr="0071782F">
        <w:rPr>
          <w:lang w:val="fr-CH"/>
        </w:rPr>
        <w:t>%</w:t>
      </w:r>
      <w:r w:rsidRPr="0071782F">
        <w:rPr>
          <w:lang w:val="fr-CH"/>
        </w:rPr>
        <w:t>, 26</w:t>
      </w:r>
      <w:r w:rsidR="007E5125" w:rsidRPr="0071782F">
        <w:rPr>
          <w:lang w:val="fr-CH"/>
        </w:rPr>
        <w:t>%</w:t>
      </w:r>
      <w:r w:rsidRPr="0071782F">
        <w:rPr>
          <w:lang w:val="fr-CH"/>
        </w:rPr>
        <w:t xml:space="preserve"> </w:t>
      </w:r>
      <w:r w:rsidR="004B1B4E" w:rsidRPr="0071782F">
        <w:rPr>
          <w:lang w:val="fr-CH"/>
        </w:rPr>
        <w:t>et</w:t>
      </w:r>
      <w:r w:rsidRPr="0071782F">
        <w:rPr>
          <w:lang w:val="fr-CH"/>
        </w:rPr>
        <w:t xml:space="preserve"> 86</w:t>
      </w:r>
      <w:r w:rsidR="007E5125" w:rsidRPr="0071782F">
        <w:rPr>
          <w:lang w:val="fr-CH"/>
        </w:rPr>
        <w:t>%</w:t>
      </w:r>
      <w:r w:rsidRPr="0071782F">
        <w:rPr>
          <w:lang w:val="fr-CH"/>
        </w:rPr>
        <w:t xml:space="preserve">. </w:t>
      </w:r>
      <w:r w:rsidR="004B1B4E" w:rsidRPr="0071782F">
        <w:rPr>
          <w:lang w:val="fr-CH"/>
        </w:rPr>
        <w:t>D’une façon générale, e</w:t>
      </w:r>
      <w:r w:rsidRPr="0071782F">
        <w:rPr>
          <w:lang w:val="fr-CH"/>
        </w:rPr>
        <w:t xml:space="preserve">n 2007, </w:t>
      </w:r>
      <w:r w:rsidR="00A41B6E" w:rsidRPr="0071782F">
        <w:rPr>
          <w:lang w:val="fr-CH"/>
        </w:rPr>
        <w:t>certains facteurs extérieurs et la hausse des anticipations inflationnistes ont provoqué une augmentation spectaculaire des prix du logement jusqu’à la fin de l’année.</w:t>
      </w:r>
    </w:p>
    <w:p w:rsidR="008A7415" w:rsidRPr="0071782F" w:rsidRDefault="008A7415" w:rsidP="00204410">
      <w:pPr>
        <w:pStyle w:val="H1G"/>
        <w:rPr>
          <w:lang w:val="fr-CH"/>
        </w:rPr>
      </w:pPr>
      <w:r w:rsidRPr="0071782F">
        <w:rPr>
          <w:lang w:val="fr-CH"/>
        </w:rPr>
        <w:tab/>
      </w:r>
      <w:r w:rsidRPr="0071782F">
        <w:rPr>
          <w:lang w:val="fr-CH"/>
        </w:rPr>
        <w:tab/>
      </w:r>
      <w:r w:rsidR="00A41B6E" w:rsidRPr="0071782F">
        <w:rPr>
          <w:lang w:val="fr-CH"/>
        </w:rPr>
        <w:t>Le logement r</w:t>
      </w:r>
      <w:r w:rsidRPr="0071782F">
        <w:rPr>
          <w:lang w:val="fr-CH"/>
        </w:rPr>
        <w:t xml:space="preserve">ural </w:t>
      </w:r>
      <w:r w:rsidR="00A41B6E" w:rsidRPr="0071782F">
        <w:rPr>
          <w:lang w:val="fr-CH"/>
        </w:rPr>
        <w:t xml:space="preserve">dans le </w:t>
      </w:r>
      <w:r w:rsidR="00A90208" w:rsidRPr="0071782F">
        <w:rPr>
          <w:lang w:val="fr-CH"/>
        </w:rPr>
        <w:t>quatrième</w:t>
      </w:r>
      <w:r w:rsidR="00A41B6E" w:rsidRPr="0071782F">
        <w:rPr>
          <w:lang w:val="fr-CH"/>
        </w:rPr>
        <w:t xml:space="preserve"> plan de développement </w:t>
      </w:r>
    </w:p>
    <w:p w:rsidR="008A7415" w:rsidRPr="0071782F" w:rsidRDefault="008A7415" w:rsidP="00204410">
      <w:pPr>
        <w:pStyle w:val="H23G"/>
        <w:rPr>
          <w:lang w:val="fr-CH"/>
        </w:rPr>
      </w:pPr>
      <w:r w:rsidRPr="0071782F">
        <w:rPr>
          <w:lang w:val="fr-CH"/>
        </w:rPr>
        <w:tab/>
      </w:r>
      <w:r w:rsidRPr="0071782F">
        <w:rPr>
          <w:lang w:val="fr-CH"/>
        </w:rPr>
        <w:tab/>
        <w:t xml:space="preserve">Reconstruction </w:t>
      </w:r>
      <w:r w:rsidR="00A41B6E" w:rsidRPr="0071782F">
        <w:rPr>
          <w:lang w:val="fr-CH"/>
        </w:rPr>
        <w:t>des zones touchées par les catastrophes naturelles</w:t>
      </w:r>
      <w:r w:rsidRPr="0071782F">
        <w:rPr>
          <w:lang w:val="fr-CH"/>
        </w:rPr>
        <w:t xml:space="preserve"> </w:t>
      </w:r>
    </w:p>
    <w:p w:rsidR="008A7415" w:rsidRPr="0071782F" w:rsidRDefault="008A7415" w:rsidP="00695FF7">
      <w:pPr>
        <w:pStyle w:val="SingleTxtG"/>
        <w:spacing w:after="240"/>
        <w:rPr>
          <w:lang w:val="fr-CH"/>
        </w:rPr>
      </w:pPr>
      <w:r w:rsidRPr="0071782F">
        <w:rPr>
          <w:lang w:val="fr-CH"/>
        </w:rPr>
        <w:t>212.</w:t>
      </w:r>
      <w:r w:rsidRPr="0071782F">
        <w:rPr>
          <w:lang w:val="fr-CH"/>
        </w:rPr>
        <w:tab/>
      </w:r>
      <w:r w:rsidR="00FF5A1C" w:rsidRPr="0071782F">
        <w:rPr>
          <w:lang w:val="fr-CH"/>
        </w:rPr>
        <w:t xml:space="preserve">Du fait des catastrophes naturelles ayant frappé les zones rurales et dans le cadre du processus de </w:t>
      </w:r>
      <w:r w:rsidRPr="0071782F">
        <w:rPr>
          <w:lang w:val="fr-CH"/>
        </w:rPr>
        <w:t xml:space="preserve">reconstruction </w:t>
      </w:r>
      <w:r w:rsidR="00FF5A1C" w:rsidRPr="0071782F">
        <w:rPr>
          <w:lang w:val="fr-CH"/>
        </w:rPr>
        <w:t>engagé pen</w:t>
      </w:r>
      <w:r w:rsidR="000841D5" w:rsidRPr="0071782F">
        <w:rPr>
          <w:lang w:val="fr-CH"/>
        </w:rPr>
        <w:t>d</w:t>
      </w:r>
      <w:r w:rsidR="00FF5A1C" w:rsidRPr="0071782F">
        <w:rPr>
          <w:lang w:val="fr-CH"/>
        </w:rPr>
        <w:t xml:space="preserve">ant le </w:t>
      </w:r>
      <w:r w:rsidR="003F25A2">
        <w:rPr>
          <w:lang w:val="fr-CH"/>
        </w:rPr>
        <w:t>troisième</w:t>
      </w:r>
      <w:r w:rsidR="00FF5A1C" w:rsidRPr="0071782F">
        <w:rPr>
          <w:lang w:val="fr-CH"/>
        </w:rPr>
        <w:t xml:space="preserve"> plan de développement, </w:t>
      </w:r>
      <w:r w:rsidRPr="0071782F">
        <w:rPr>
          <w:lang w:val="fr-CH"/>
        </w:rPr>
        <w:t>170</w:t>
      </w:r>
      <w:r w:rsidR="000A4AA0" w:rsidRPr="0071782F">
        <w:rPr>
          <w:lang w:val="fr-CH"/>
        </w:rPr>
        <w:t> 811</w:t>
      </w:r>
      <w:r w:rsidR="003F25A2">
        <w:rPr>
          <w:lang w:val="fr-CH"/>
        </w:rPr>
        <w:t> logements</w:t>
      </w:r>
      <w:r w:rsidR="00FF5A1C" w:rsidRPr="0071782F">
        <w:rPr>
          <w:lang w:val="fr-CH"/>
        </w:rPr>
        <w:t xml:space="preserve"> ont été reconstruits dans les zones rurales entre </w:t>
      </w:r>
      <w:r w:rsidRPr="0071782F">
        <w:rPr>
          <w:lang w:val="fr-CH"/>
        </w:rPr>
        <w:t>2005</w:t>
      </w:r>
      <w:r w:rsidR="00FF5A1C" w:rsidRPr="0071782F">
        <w:rPr>
          <w:lang w:val="fr-CH"/>
        </w:rPr>
        <w:t xml:space="preserve"> et </w:t>
      </w:r>
      <w:r w:rsidRPr="0071782F">
        <w:rPr>
          <w:lang w:val="fr-CH"/>
        </w:rPr>
        <w:t>2008</w:t>
      </w:r>
      <w:r w:rsidR="00FF5A1C" w:rsidRPr="0071782F">
        <w:rPr>
          <w:lang w:val="fr-CH"/>
        </w:rPr>
        <w:t xml:space="preserve"> grâce à l’octroi de crédits bancaires d’un montant de 9</w:t>
      </w:r>
      <w:r w:rsidR="000841D5" w:rsidRPr="0071782F">
        <w:rPr>
          <w:lang w:val="fr-CH"/>
        </w:rPr>
        <w:t> </w:t>
      </w:r>
      <w:r w:rsidR="00FF5A1C" w:rsidRPr="0071782F">
        <w:rPr>
          <w:lang w:val="fr-CH"/>
        </w:rPr>
        <w:t>151</w:t>
      </w:r>
      <w:r w:rsidR="000841D5" w:rsidRPr="0071782F">
        <w:rPr>
          <w:lang w:val="fr-CH"/>
        </w:rPr>
        <w:t>,</w:t>
      </w:r>
      <w:r w:rsidR="00FF5A1C" w:rsidRPr="0071782F">
        <w:rPr>
          <w:lang w:val="fr-CH"/>
        </w:rPr>
        <w:t>5</w:t>
      </w:r>
      <w:r w:rsidR="008553D9" w:rsidRPr="0071782F">
        <w:rPr>
          <w:lang w:val="fr-CH"/>
        </w:rPr>
        <w:t> milliard</w:t>
      </w:r>
      <w:r w:rsidR="00097CDB" w:rsidRPr="0071782F">
        <w:rPr>
          <w:lang w:val="fr-CH"/>
        </w:rPr>
        <w:t>s</w:t>
      </w:r>
      <w:r w:rsidR="00FF5A1C" w:rsidRPr="0071782F">
        <w:rPr>
          <w:lang w:val="fr-CH"/>
        </w:rPr>
        <w:t xml:space="preserve"> </w:t>
      </w:r>
      <w:r w:rsidR="003B1403" w:rsidRPr="0071782F">
        <w:rPr>
          <w:lang w:val="fr-CH"/>
        </w:rPr>
        <w:t>de rials</w:t>
      </w:r>
      <w:r w:rsidRPr="0071782F">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66"/>
        <w:gridCol w:w="700"/>
        <w:gridCol w:w="3152"/>
        <w:gridCol w:w="3152"/>
      </w:tblGrid>
      <w:tr w:rsidR="008A7415" w:rsidRPr="0071782F">
        <w:trPr>
          <w:tblHeader/>
        </w:trPr>
        <w:tc>
          <w:tcPr>
            <w:tcW w:w="366" w:type="dxa"/>
            <w:tcBorders>
              <w:top w:val="single" w:sz="4" w:space="0" w:color="auto"/>
              <w:bottom w:val="single" w:sz="12" w:space="0" w:color="auto"/>
            </w:tcBorders>
            <w:shd w:val="clear" w:color="auto" w:fill="auto"/>
            <w:vAlign w:val="bottom"/>
          </w:tcPr>
          <w:p w:rsidR="008A7415" w:rsidRPr="0071782F" w:rsidRDefault="008A7415" w:rsidP="000A4AA0">
            <w:pPr>
              <w:suppressAutoHyphens w:val="0"/>
              <w:spacing w:before="80" w:after="80" w:line="200" w:lineRule="exact"/>
              <w:rPr>
                <w:i/>
                <w:sz w:val="16"/>
                <w:lang w:val="fr-CH"/>
              </w:rPr>
            </w:pPr>
            <w:bookmarkStart w:id="1" w:name="OLE_LINK1"/>
            <w:bookmarkStart w:id="2" w:name="OLE_LINK2"/>
          </w:p>
        </w:tc>
        <w:tc>
          <w:tcPr>
            <w:tcW w:w="700" w:type="dxa"/>
            <w:tcBorders>
              <w:top w:val="single" w:sz="4" w:space="0" w:color="auto"/>
              <w:bottom w:val="single" w:sz="12" w:space="0" w:color="auto"/>
            </w:tcBorders>
            <w:shd w:val="clear" w:color="auto" w:fill="auto"/>
            <w:vAlign w:val="bottom"/>
          </w:tcPr>
          <w:p w:rsidR="008A7415" w:rsidRPr="0071782F" w:rsidRDefault="00FF5A1C" w:rsidP="000A4AA0">
            <w:pPr>
              <w:suppressAutoHyphens w:val="0"/>
              <w:spacing w:before="80" w:after="80" w:line="200" w:lineRule="exact"/>
              <w:jc w:val="right"/>
              <w:rPr>
                <w:i/>
                <w:sz w:val="16"/>
                <w:lang w:val="fr-CH"/>
              </w:rPr>
            </w:pPr>
            <w:r w:rsidRPr="0071782F">
              <w:rPr>
                <w:i/>
                <w:sz w:val="16"/>
                <w:lang w:val="fr-CH"/>
              </w:rPr>
              <w:t>Année</w:t>
            </w:r>
          </w:p>
        </w:tc>
        <w:tc>
          <w:tcPr>
            <w:tcW w:w="3152" w:type="dxa"/>
            <w:tcBorders>
              <w:top w:val="single" w:sz="4" w:space="0" w:color="auto"/>
              <w:bottom w:val="single" w:sz="12" w:space="0" w:color="auto"/>
            </w:tcBorders>
            <w:shd w:val="clear" w:color="auto" w:fill="auto"/>
            <w:vAlign w:val="bottom"/>
          </w:tcPr>
          <w:p w:rsidR="008A7415" w:rsidRPr="0071782F" w:rsidRDefault="00FF5A1C" w:rsidP="000A4AA0">
            <w:pPr>
              <w:suppressAutoHyphens w:val="0"/>
              <w:spacing w:before="80" w:after="80" w:line="200" w:lineRule="exact"/>
              <w:jc w:val="right"/>
              <w:rPr>
                <w:i/>
                <w:sz w:val="16"/>
                <w:lang w:val="fr-CH"/>
              </w:rPr>
            </w:pPr>
            <w:r w:rsidRPr="0071782F">
              <w:rPr>
                <w:i/>
                <w:sz w:val="16"/>
                <w:lang w:val="fr-CH"/>
              </w:rPr>
              <w:t xml:space="preserve">Crédits octroyés </w:t>
            </w:r>
            <w:r w:rsidR="008A7415" w:rsidRPr="0071782F">
              <w:rPr>
                <w:i/>
                <w:sz w:val="16"/>
                <w:lang w:val="fr-CH"/>
              </w:rPr>
              <w:t>(</w:t>
            </w:r>
            <w:r w:rsidRPr="0071782F">
              <w:rPr>
                <w:i/>
                <w:sz w:val="16"/>
                <w:lang w:val="fr-CH"/>
              </w:rPr>
              <w:t>en</w:t>
            </w:r>
            <w:r w:rsidR="00097CDB" w:rsidRPr="0071782F">
              <w:rPr>
                <w:i/>
                <w:sz w:val="16"/>
                <w:lang w:val="fr-CH"/>
              </w:rPr>
              <w:t> millions</w:t>
            </w:r>
            <w:r w:rsidRPr="0071782F">
              <w:rPr>
                <w:i/>
                <w:sz w:val="16"/>
                <w:lang w:val="fr-CH"/>
              </w:rPr>
              <w:t xml:space="preserve"> </w:t>
            </w:r>
            <w:r w:rsidR="003B1403" w:rsidRPr="0071782F">
              <w:rPr>
                <w:i/>
                <w:sz w:val="16"/>
                <w:lang w:val="fr-CH"/>
              </w:rPr>
              <w:t>de rials</w:t>
            </w:r>
            <w:r w:rsidR="008A7415" w:rsidRPr="0071782F">
              <w:rPr>
                <w:i/>
                <w:sz w:val="16"/>
                <w:lang w:val="fr-CH"/>
              </w:rPr>
              <w:t>)</w:t>
            </w:r>
          </w:p>
        </w:tc>
        <w:tc>
          <w:tcPr>
            <w:tcW w:w="3152" w:type="dxa"/>
            <w:tcBorders>
              <w:top w:val="single" w:sz="4" w:space="0" w:color="auto"/>
              <w:bottom w:val="single" w:sz="12" w:space="0" w:color="auto"/>
            </w:tcBorders>
            <w:shd w:val="clear" w:color="auto" w:fill="auto"/>
            <w:vAlign w:val="bottom"/>
          </w:tcPr>
          <w:p w:rsidR="008A7415" w:rsidRPr="0071782F" w:rsidRDefault="003B48A4" w:rsidP="000A4AA0">
            <w:pPr>
              <w:suppressAutoHyphens w:val="0"/>
              <w:spacing w:before="80" w:after="80" w:line="200" w:lineRule="exact"/>
              <w:jc w:val="right"/>
              <w:rPr>
                <w:i/>
                <w:sz w:val="16"/>
                <w:lang w:val="fr-CH"/>
              </w:rPr>
            </w:pPr>
            <w:r w:rsidRPr="0071782F">
              <w:rPr>
                <w:i/>
                <w:sz w:val="16"/>
                <w:lang w:val="fr-CH"/>
              </w:rPr>
              <w:t>Nombre</w:t>
            </w:r>
            <w:r w:rsidR="008A7415" w:rsidRPr="0071782F">
              <w:rPr>
                <w:i/>
                <w:sz w:val="16"/>
                <w:lang w:val="fr-CH"/>
              </w:rPr>
              <w:t xml:space="preserve"> </w:t>
            </w:r>
            <w:r w:rsidR="003F25A2">
              <w:rPr>
                <w:i/>
                <w:sz w:val="16"/>
                <w:lang w:val="fr-CH"/>
              </w:rPr>
              <w:t>de logements</w:t>
            </w:r>
          </w:p>
        </w:tc>
      </w:tr>
      <w:tr w:rsidR="008A7415" w:rsidRPr="0071782F">
        <w:tc>
          <w:tcPr>
            <w:tcW w:w="366" w:type="dxa"/>
            <w:tcBorders>
              <w:top w:val="single" w:sz="12" w:space="0" w:color="auto"/>
              <w:bottom w:val="nil"/>
            </w:tcBorders>
            <w:shd w:val="clear" w:color="auto" w:fill="auto"/>
          </w:tcPr>
          <w:p w:rsidR="008A7415" w:rsidRPr="0071782F" w:rsidRDefault="008A7415" w:rsidP="000A4AA0">
            <w:pPr>
              <w:suppressAutoHyphens w:val="0"/>
              <w:spacing w:before="40" w:after="40" w:line="220" w:lineRule="exact"/>
              <w:rPr>
                <w:sz w:val="18"/>
                <w:lang w:val="fr-CH"/>
              </w:rPr>
            </w:pPr>
            <w:r w:rsidRPr="0071782F">
              <w:rPr>
                <w:sz w:val="18"/>
                <w:lang w:val="fr-CH"/>
              </w:rPr>
              <w:t>1</w:t>
            </w:r>
          </w:p>
        </w:tc>
        <w:tc>
          <w:tcPr>
            <w:tcW w:w="700" w:type="dxa"/>
            <w:tcBorders>
              <w:top w:val="single" w:sz="12" w:space="0" w:color="auto"/>
              <w:bottom w:val="nil"/>
            </w:tcBorders>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2005</w:t>
            </w:r>
          </w:p>
        </w:tc>
        <w:tc>
          <w:tcPr>
            <w:tcW w:w="3152" w:type="dxa"/>
            <w:tcBorders>
              <w:top w:val="single" w:sz="12" w:space="0" w:color="auto"/>
              <w:bottom w:val="nil"/>
            </w:tcBorders>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2 456 500</w:t>
            </w:r>
          </w:p>
        </w:tc>
        <w:tc>
          <w:tcPr>
            <w:tcW w:w="3152" w:type="dxa"/>
            <w:tcBorders>
              <w:top w:val="single" w:sz="12" w:space="0" w:color="auto"/>
              <w:bottom w:val="nil"/>
            </w:tcBorders>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59 365</w:t>
            </w:r>
          </w:p>
        </w:tc>
      </w:tr>
      <w:tr w:rsidR="008A7415" w:rsidRPr="0071782F">
        <w:tc>
          <w:tcPr>
            <w:tcW w:w="366" w:type="dxa"/>
            <w:tcBorders>
              <w:top w:val="nil"/>
              <w:bottom w:val="nil"/>
            </w:tcBorders>
            <w:shd w:val="clear" w:color="auto" w:fill="auto"/>
          </w:tcPr>
          <w:p w:rsidR="008A7415" w:rsidRPr="0071782F" w:rsidRDefault="008A7415" w:rsidP="000A4AA0">
            <w:pPr>
              <w:suppressAutoHyphens w:val="0"/>
              <w:spacing w:before="40" w:after="40" w:line="220" w:lineRule="exact"/>
              <w:rPr>
                <w:sz w:val="18"/>
                <w:lang w:val="fr-CH"/>
              </w:rPr>
            </w:pPr>
            <w:r w:rsidRPr="0071782F">
              <w:rPr>
                <w:sz w:val="18"/>
                <w:lang w:val="fr-CH"/>
              </w:rPr>
              <w:t>2</w:t>
            </w:r>
          </w:p>
        </w:tc>
        <w:tc>
          <w:tcPr>
            <w:tcW w:w="700" w:type="dxa"/>
            <w:tcBorders>
              <w:top w:val="nil"/>
              <w:bottom w:val="nil"/>
            </w:tcBorders>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2006</w:t>
            </w:r>
          </w:p>
        </w:tc>
        <w:tc>
          <w:tcPr>
            <w:tcW w:w="3152" w:type="dxa"/>
            <w:tcBorders>
              <w:top w:val="nil"/>
              <w:bottom w:val="nil"/>
            </w:tcBorders>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2 665 000</w:t>
            </w:r>
          </w:p>
        </w:tc>
        <w:tc>
          <w:tcPr>
            <w:tcW w:w="3152" w:type="dxa"/>
            <w:tcBorders>
              <w:top w:val="nil"/>
              <w:bottom w:val="nil"/>
            </w:tcBorders>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48 398</w:t>
            </w:r>
          </w:p>
        </w:tc>
      </w:tr>
      <w:tr w:rsidR="008A7415" w:rsidRPr="0071782F">
        <w:tc>
          <w:tcPr>
            <w:tcW w:w="366" w:type="dxa"/>
            <w:tcBorders>
              <w:top w:val="nil"/>
              <w:bottom w:val="nil"/>
            </w:tcBorders>
            <w:shd w:val="clear" w:color="auto" w:fill="auto"/>
          </w:tcPr>
          <w:p w:rsidR="008A7415" w:rsidRPr="0071782F" w:rsidRDefault="008A7415" w:rsidP="000A4AA0">
            <w:pPr>
              <w:suppressAutoHyphens w:val="0"/>
              <w:spacing w:before="40" w:after="40" w:line="220" w:lineRule="exact"/>
              <w:rPr>
                <w:sz w:val="18"/>
                <w:lang w:val="fr-CH"/>
              </w:rPr>
            </w:pPr>
            <w:r w:rsidRPr="0071782F">
              <w:rPr>
                <w:sz w:val="18"/>
                <w:lang w:val="fr-CH"/>
              </w:rPr>
              <w:t>3</w:t>
            </w:r>
          </w:p>
        </w:tc>
        <w:tc>
          <w:tcPr>
            <w:tcW w:w="700" w:type="dxa"/>
            <w:tcBorders>
              <w:top w:val="nil"/>
              <w:bottom w:val="nil"/>
            </w:tcBorders>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2007</w:t>
            </w:r>
          </w:p>
        </w:tc>
        <w:tc>
          <w:tcPr>
            <w:tcW w:w="3152" w:type="dxa"/>
            <w:tcBorders>
              <w:top w:val="nil"/>
              <w:bottom w:val="nil"/>
            </w:tcBorders>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3 630 000</w:t>
            </w:r>
          </w:p>
        </w:tc>
        <w:tc>
          <w:tcPr>
            <w:tcW w:w="3152" w:type="dxa"/>
            <w:tcBorders>
              <w:top w:val="nil"/>
              <w:bottom w:val="nil"/>
            </w:tcBorders>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58 339</w:t>
            </w:r>
          </w:p>
        </w:tc>
      </w:tr>
      <w:tr w:rsidR="008A7415" w:rsidRPr="0071782F">
        <w:tc>
          <w:tcPr>
            <w:tcW w:w="366" w:type="dxa"/>
            <w:tcBorders>
              <w:top w:val="nil"/>
            </w:tcBorders>
            <w:shd w:val="clear" w:color="auto" w:fill="auto"/>
          </w:tcPr>
          <w:p w:rsidR="008A7415" w:rsidRPr="0071782F" w:rsidRDefault="008A7415" w:rsidP="000A4AA0">
            <w:pPr>
              <w:suppressAutoHyphens w:val="0"/>
              <w:spacing w:before="40" w:after="40" w:line="220" w:lineRule="exact"/>
              <w:rPr>
                <w:sz w:val="18"/>
                <w:lang w:val="fr-CH"/>
              </w:rPr>
            </w:pPr>
            <w:r w:rsidRPr="0071782F">
              <w:rPr>
                <w:sz w:val="18"/>
                <w:lang w:val="fr-CH"/>
              </w:rPr>
              <w:t>4</w:t>
            </w:r>
          </w:p>
        </w:tc>
        <w:tc>
          <w:tcPr>
            <w:tcW w:w="700" w:type="dxa"/>
            <w:tcBorders>
              <w:top w:val="nil"/>
            </w:tcBorders>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2008</w:t>
            </w:r>
          </w:p>
        </w:tc>
        <w:tc>
          <w:tcPr>
            <w:tcW w:w="3152" w:type="dxa"/>
            <w:tcBorders>
              <w:top w:val="nil"/>
            </w:tcBorders>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400 000</w:t>
            </w:r>
          </w:p>
        </w:tc>
        <w:tc>
          <w:tcPr>
            <w:tcW w:w="3152" w:type="dxa"/>
            <w:tcBorders>
              <w:top w:val="nil"/>
            </w:tcBorders>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4 709</w:t>
            </w:r>
          </w:p>
        </w:tc>
      </w:tr>
      <w:tr w:rsidR="008A7415" w:rsidRPr="0071782F">
        <w:tc>
          <w:tcPr>
            <w:tcW w:w="366" w:type="dxa"/>
            <w:shd w:val="clear" w:color="auto" w:fill="auto"/>
          </w:tcPr>
          <w:p w:rsidR="008A7415" w:rsidRPr="0071782F" w:rsidRDefault="008A7415" w:rsidP="000A4AA0">
            <w:pPr>
              <w:suppressAutoHyphens w:val="0"/>
              <w:spacing w:before="40" w:after="40" w:line="220" w:lineRule="exact"/>
              <w:rPr>
                <w:sz w:val="18"/>
                <w:lang w:val="fr-CH"/>
              </w:rPr>
            </w:pPr>
            <w:r w:rsidRPr="0071782F">
              <w:rPr>
                <w:sz w:val="18"/>
                <w:lang w:val="fr-CH"/>
              </w:rPr>
              <w:t>5</w:t>
            </w:r>
          </w:p>
        </w:tc>
        <w:tc>
          <w:tcPr>
            <w:tcW w:w="700" w:type="dxa"/>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2009</w:t>
            </w:r>
          </w:p>
        </w:tc>
        <w:tc>
          <w:tcPr>
            <w:tcW w:w="3152" w:type="dxa"/>
            <w:shd w:val="clear" w:color="auto" w:fill="auto"/>
            <w:vAlign w:val="bottom"/>
          </w:tcPr>
          <w:p w:rsidR="008A7415" w:rsidRPr="0071782F" w:rsidRDefault="00667255" w:rsidP="000A4AA0">
            <w:pPr>
              <w:suppressAutoHyphens w:val="0"/>
              <w:spacing w:before="40" w:after="40" w:line="220" w:lineRule="exact"/>
              <w:jc w:val="right"/>
              <w:rPr>
                <w:sz w:val="18"/>
                <w:lang w:val="fr-CH"/>
              </w:rPr>
            </w:pPr>
            <w:r w:rsidRPr="0071782F">
              <w:rPr>
                <w:sz w:val="18"/>
                <w:lang w:val="fr-CH"/>
              </w:rPr>
              <w:t>–</w:t>
            </w:r>
          </w:p>
        </w:tc>
        <w:tc>
          <w:tcPr>
            <w:tcW w:w="3152" w:type="dxa"/>
            <w:shd w:val="clear" w:color="auto" w:fill="auto"/>
            <w:vAlign w:val="bottom"/>
          </w:tcPr>
          <w:p w:rsidR="008A7415" w:rsidRPr="0071782F" w:rsidRDefault="00667255" w:rsidP="000A4AA0">
            <w:pPr>
              <w:suppressAutoHyphens w:val="0"/>
              <w:spacing w:before="40" w:after="40" w:line="220" w:lineRule="exact"/>
              <w:jc w:val="right"/>
              <w:rPr>
                <w:sz w:val="18"/>
                <w:lang w:val="fr-CH"/>
              </w:rPr>
            </w:pPr>
            <w:r w:rsidRPr="0071782F">
              <w:rPr>
                <w:sz w:val="18"/>
                <w:lang w:val="fr-CH"/>
              </w:rPr>
              <w:t>–</w:t>
            </w:r>
          </w:p>
        </w:tc>
      </w:tr>
    </w:tbl>
    <w:bookmarkEnd w:id="1"/>
    <w:bookmarkEnd w:id="2"/>
    <w:p w:rsidR="008A7415" w:rsidRPr="0071782F" w:rsidRDefault="008A7415" w:rsidP="00204410">
      <w:pPr>
        <w:pStyle w:val="H1G"/>
        <w:rPr>
          <w:lang w:val="fr-CH"/>
        </w:rPr>
      </w:pPr>
      <w:r w:rsidRPr="0071782F">
        <w:rPr>
          <w:lang w:val="fr-CH"/>
        </w:rPr>
        <w:tab/>
      </w:r>
      <w:r w:rsidRPr="0071782F">
        <w:rPr>
          <w:lang w:val="fr-CH"/>
        </w:rPr>
        <w:tab/>
      </w:r>
      <w:r w:rsidR="00FF5A1C" w:rsidRPr="0071782F">
        <w:rPr>
          <w:lang w:val="fr-CH"/>
        </w:rPr>
        <w:t xml:space="preserve">Crédits pour la </w:t>
      </w:r>
      <w:r w:rsidRPr="0071782F">
        <w:rPr>
          <w:lang w:val="fr-CH"/>
        </w:rPr>
        <w:t>r</w:t>
      </w:r>
      <w:r w:rsidR="00FF5A1C" w:rsidRPr="0071782F">
        <w:rPr>
          <w:lang w:val="fr-CH"/>
        </w:rPr>
        <w:t>é</w:t>
      </w:r>
      <w:r w:rsidRPr="0071782F">
        <w:rPr>
          <w:lang w:val="fr-CH"/>
        </w:rPr>
        <w:t xml:space="preserve">novation </w:t>
      </w:r>
      <w:r w:rsidR="003F25A2">
        <w:rPr>
          <w:lang w:val="fr-CH"/>
        </w:rPr>
        <w:t>des logements</w:t>
      </w:r>
      <w:r w:rsidR="00FF5A1C" w:rsidRPr="0071782F">
        <w:rPr>
          <w:lang w:val="fr-CH"/>
        </w:rPr>
        <w:t xml:space="preserve"> ruraux </w:t>
      </w:r>
    </w:p>
    <w:p w:rsidR="008A7415" w:rsidRPr="0071782F" w:rsidRDefault="008A7415" w:rsidP="00695FF7">
      <w:pPr>
        <w:pStyle w:val="SingleTxtG"/>
        <w:spacing w:after="240"/>
        <w:rPr>
          <w:lang w:val="fr-CH"/>
        </w:rPr>
      </w:pPr>
      <w:r w:rsidRPr="0071782F">
        <w:rPr>
          <w:lang w:val="fr-CH"/>
        </w:rPr>
        <w:t>213.</w:t>
      </w:r>
      <w:r w:rsidRPr="0071782F">
        <w:rPr>
          <w:lang w:val="fr-CH"/>
        </w:rPr>
        <w:tab/>
      </w:r>
      <w:r w:rsidR="00FF5A1C" w:rsidRPr="0071782F">
        <w:rPr>
          <w:lang w:val="fr-CH"/>
        </w:rPr>
        <w:t xml:space="preserve">Dans le cadre du processus de </w:t>
      </w:r>
      <w:r w:rsidRPr="0071782F">
        <w:rPr>
          <w:lang w:val="fr-CH"/>
        </w:rPr>
        <w:t>r</w:t>
      </w:r>
      <w:r w:rsidR="00FF5A1C" w:rsidRPr="0071782F">
        <w:rPr>
          <w:lang w:val="fr-CH"/>
        </w:rPr>
        <w:t>é</w:t>
      </w:r>
      <w:r w:rsidRPr="0071782F">
        <w:rPr>
          <w:lang w:val="fr-CH"/>
        </w:rPr>
        <w:t xml:space="preserve">novation, </w:t>
      </w:r>
      <w:r w:rsidR="00FF5A1C" w:rsidRPr="0071782F">
        <w:rPr>
          <w:lang w:val="fr-CH"/>
        </w:rPr>
        <w:t xml:space="preserve">et afin d’accélérer ce processus, on a commencé à mettre en </w:t>
      </w:r>
      <w:r w:rsidR="00D5366B" w:rsidRPr="0071782F">
        <w:rPr>
          <w:lang w:val="fr-CH"/>
        </w:rPr>
        <w:t>œuvre</w:t>
      </w:r>
      <w:r w:rsidR="00FF5A1C" w:rsidRPr="0071782F">
        <w:rPr>
          <w:lang w:val="fr-CH"/>
        </w:rPr>
        <w:t xml:space="preserve">, pendant le </w:t>
      </w:r>
      <w:r w:rsidR="00A90208" w:rsidRPr="0071782F">
        <w:rPr>
          <w:lang w:val="fr-CH"/>
        </w:rPr>
        <w:t>quatrième</w:t>
      </w:r>
      <w:r w:rsidR="00FF5A1C" w:rsidRPr="0071782F">
        <w:rPr>
          <w:lang w:val="fr-CH"/>
        </w:rPr>
        <w:t xml:space="preserve"> plan de développement, un plan spécial d’amélioration du logement rural; depuis 2005, 668</w:t>
      </w:r>
      <w:r w:rsidR="003F25A2">
        <w:rPr>
          <w:lang w:val="fr-CH"/>
        </w:rPr>
        <w:t> </w:t>
      </w:r>
      <w:r w:rsidR="00FF5A1C" w:rsidRPr="0071782F">
        <w:rPr>
          <w:lang w:val="fr-CH"/>
        </w:rPr>
        <w:t>037</w:t>
      </w:r>
      <w:r w:rsidR="003F25A2">
        <w:rPr>
          <w:lang w:val="fr-CH"/>
        </w:rPr>
        <w:t> logements</w:t>
      </w:r>
      <w:r w:rsidR="00FF5A1C" w:rsidRPr="0071782F">
        <w:rPr>
          <w:lang w:val="fr-CH"/>
        </w:rPr>
        <w:t xml:space="preserve"> ont été rénovés au prix de </w:t>
      </w:r>
      <w:r w:rsidRPr="0071782F">
        <w:rPr>
          <w:lang w:val="fr-CH"/>
        </w:rPr>
        <w:t>38</w:t>
      </w:r>
      <w:r w:rsidR="002055A2" w:rsidRPr="0071782F">
        <w:rPr>
          <w:lang w:val="fr-CH"/>
        </w:rPr>
        <w:t> </w:t>
      </w:r>
      <w:r w:rsidRPr="0071782F">
        <w:rPr>
          <w:lang w:val="fr-CH"/>
        </w:rPr>
        <w:t>929</w:t>
      </w:r>
      <w:r w:rsidR="002055A2" w:rsidRPr="0071782F">
        <w:rPr>
          <w:lang w:val="fr-CH"/>
        </w:rPr>
        <w:t>,</w:t>
      </w:r>
      <w:r w:rsidRPr="0071782F">
        <w:rPr>
          <w:lang w:val="fr-CH"/>
        </w:rPr>
        <w:t>349</w:t>
      </w:r>
      <w:r w:rsidR="008553D9" w:rsidRPr="0071782F">
        <w:rPr>
          <w:lang w:val="fr-CH"/>
        </w:rPr>
        <w:t> milliard</w:t>
      </w:r>
      <w:r w:rsidR="00097CDB" w:rsidRPr="0071782F">
        <w:rPr>
          <w:lang w:val="fr-CH"/>
        </w:rPr>
        <w:t>s</w:t>
      </w:r>
      <w:r w:rsidR="00FF5A1C" w:rsidRPr="0071782F">
        <w:rPr>
          <w:lang w:val="fr-CH"/>
        </w:rPr>
        <w:t xml:space="preserve"> </w:t>
      </w:r>
      <w:r w:rsidR="003B1403" w:rsidRPr="0071782F">
        <w:rPr>
          <w:lang w:val="fr-CH"/>
        </w:rPr>
        <w:t>de rials</w:t>
      </w:r>
      <w:r w:rsidRPr="0071782F">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66"/>
        <w:gridCol w:w="700"/>
        <w:gridCol w:w="3152"/>
        <w:gridCol w:w="3152"/>
      </w:tblGrid>
      <w:tr w:rsidR="008A7415" w:rsidRPr="0071782F">
        <w:trPr>
          <w:tblHeader/>
        </w:trPr>
        <w:tc>
          <w:tcPr>
            <w:tcW w:w="366" w:type="dxa"/>
            <w:tcBorders>
              <w:top w:val="single" w:sz="4" w:space="0" w:color="auto"/>
              <w:bottom w:val="single" w:sz="12" w:space="0" w:color="auto"/>
            </w:tcBorders>
            <w:shd w:val="clear" w:color="auto" w:fill="auto"/>
            <w:vAlign w:val="bottom"/>
          </w:tcPr>
          <w:p w:rsidR="008A7415" w:rsidRPr="0071782F" w:rsidRDefault="008A7415" w:rsidP="000A4AA0">
            <w:pPr>
              <w:suppressAutoHyphens w:val="0"/>
              <w:spacing w:before="80" w:after="80" w:line="200" w:lineRule="exact"/>
              <w:rPr>
                <w:i/>
                <w:sz w:val="16"/>
                <w:lang w:val="fr-CH"/>
              </w:rPr>
            </w:pPr>
            <w:bookmarkStart w:id="3" w:name="OLE_LINK3"/>
            <w:bookmarkStart w:id="4" w:name="OLE_LINK4"/>
          </w:p>
        </w:tc>
        <w:tc>
          <w:tcPr>
            <w:tcW w:w="700" w:type="dxa"/>
            <w:tcBorders>
              <w:top w:val="single" w:sz="4" w:space="0" w:color="auto"/>
              <w:bottom w:val="single" w:sz="12" w:space="0" w:color="auto"/>
            </w:tcBorders>
            <w:shd w:val="clear" w:color="auto" w:fill="auto"/>
            <w:vAlign w:val="bottom"/>
          </w:tcPr>
          <w:p w:rsidR="008A7415" w:rsidRPr="0071782F" w:rsidRDefault="00FF5A1C" w:rsidP="000A4AA0">
            <w:pPr>
              <w:suppressAutoHyphens w:val="0"/>
              <w:spacing w:before="80" w:after="80" w:line="200" w:lineRule="exact"/>
              <w:jc w:val="right"/>
              <w:rPr>
                <w:i/>
                <w:sz w:val="16"/>
                <w:lang w:val="fr-CH"/>
              </w:rPr>
            </w:pPr>
            <w:r w:rsidRPr="0071782F">
              <w:rPr>
                <w:i/>
                <w:sz w:val="16"/>
                <w:lang w:val="fr-CH"/>
              </w:rPr>
              <w:t>Année</w:t>
            </w:r>
          </w:p>
        </w:tc>
        <w:tc>
          <w:tcPr>
            <w:tcW w:w="3152" w:type="dxa"/>
            <w:tcBorders>
              <w:top w:val="single" w:sz="4" w:space="0" w:color="auto"/>
              <w:bottom w:val="single" w:sz="12" w:space="0" w:color="auto"/>
            </w:tcBorders>
            <w:shd w:val="clear" w:color="auto" w:fill="auto"/>
            <w:vAlign w:val="bottom"/>
          </w:tcPr>
          <w:p w:rsidR="008A7415" w:rsidRPr="0071782F" w:rsidRDefault="00FF5A1C" w:rsidP="000A4AA0">
            <w:pPr>
              <w:suppressAutoHyphens w:val="0"/>
              <w:spacing w:before="80" w:after="80" w:line="200" w:lineRule="exact"/>
              <w:jc w:val="right"/>
              <w:rPr>
                <w:i/>
                <w:sz w:val="16"/>
                <w:lang w:val="fr-CH"/>
              </w:rPr>
            </w:pPr>
            <w:r w:rsidRPr="0071782F">
              <w:rPr>
                <w:i/>
                <w:sz w:val="16"/>
                <w:lang w:val="fr-CH"/>
              </w:rPr>
              <w:t>Crédits octroyés (en</w:t>
            </w:r>
            <w:r w:rsidR="00097CDB" w:rsidRPr="0071782F">
              <w:rPr>
                <w:i/>
                <w:sz w:val="16"/>
                <w:lang w:val="fr-CH"/>
              </w:rPr>
              <w:t> millions</w:t>
            </w:r>
            <w:r w:rsidRPr="0071782F">
              <w:rPr>
                <w:i/>
                <w:sz w:val="16"/>
                <w:lang w:val="fr-CH"/>
              </w:rPr>
              <w:t xml:space="preserve"> </w:t>
            </w:r>
            <w:r w:rsidR="003B1403" w:rsidRPr="0071782F">
              <w:rPr>
                <w:i/>
                <w:sz w:val="16"/>
                <w:lang w:val="fr-CH"/>
              </w:rPr>
              <w:t>de rials</w:t>
            </w:r>
            <w:r w:rsidR="008A7415" w:rsidRPr="0071782F">
              <w:rPr>
                <w:i/>
                <w:sz w:val="16"/>
                <w:lang w:val="fr-CH"/>
              </w:rPr>
              <w:t>)</w:t>
            </w:r>
          </w:p>
        </w:tc>
        <w:tc>
          <w:tcPr>
            <w:tcW w:w="3152" w:type="dxa"/>
            <w:tcBorders>
              <w:top w:val="single" w:sz="4" w:space="0" w:color="auto"/>
              <w:bottom w:val="single" w:sz="12" w:space="0" w:color="auto"/>
            </w:tcBorders>
            <w:shd w:val="clear" w:color="auto" w:fill="auto"/>
            <w:vAlign w:val="bottom"/>
          </w:tcPr>
          <w:p w:rsidR="008A7415" w:rsidRPr="0071782F" w:rsidRDefault="00FF5A1C" w:rsidP="000A4AA0">
            <w:pPr>
              <w:suppressAutoHyphens w:val="0"/>
              <w:spacing w:before="80" w:after="80" w:line="200" w:lineRule="exact"/>
              <w:jc w:val="right"/>
              <w:rPr>
                <w:i/>
                <w:sz w:val="16"/>
                <w:lang w:val="fr-CH"/>
              </w:rPr>
            </w:pPr>
            <w:r w:rsidRPr="0071782F">
              <w:rPr>
                <w:i/>
                <w:sz w:val="16"/>
                <w:lang w:val="fr-CH"/>
              </w:rPr>
              <w:t xml:space="preserve">Nombre </w:t>
            </w:r>
            <w:r w:rsidR="003F25A2">
              <w:rPr>
                <w:i/>
                <w:sz w:val="16"/>
                <w:lang w:val="fr-CH"/>
              </w:rPr>
              <w:t>de logements</w:t>
            </w:r>
          </w:p>
        </w:tc>
      </w:tr>
      <w:tr w:rsidR="008A7415" w:rsidRPr="0071782F">
        <w:tc>
          <w:tcPr>
            <w:tcW w:w="366" w:type="dxa"/>
            <w:tcBorders>
              <w:top w:val="single" w:sz="12" w:space="0" w:color="auto"/>
            </w:tcBorders>
            <w:shd w:val="clear" w:color="auto" w:fill="auto"/>
          </w:tcPr>
          <w:p w:rsidR="008A7415" w:rsidRPr="0071782F" w:rsidRDefault="008A7415" w:rsidP="000A4AA0">
            <w:pPr>
              <w:suppressAutoHyphens w:val="0"/>
              <w:spacing w:before="40" w:after="40" w:line="220" w:lineRule="exact"/>
              <w:rPr>
                <w:sz w:val="18"/>
                <w:lang w:val="fr-CH"/>
              </w:rPr>
            </w:pPr>
            <w:r w:rsidRPr="0071782F">
              <w:rPr>
                <w:sz w:val="18"/>
                <w:lang w:val="fr-CH"/>
              </w:rPr>
              <w:t>1</w:t>
            </w:r>
          </w:p>
        </w:tc>
        <w:tc>
          <w:tcPr>
            <w:tcW w:w="700" w:type="dxa"/>
            <w:tcBorders>
              <w:top w:val="single" w:sz="12" w:space="0" w:color="auto"/>
            </w:tcBorders>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2005</w:t>
            </w:r>
          </w:p>
        </w:tc>
        <w:tc>
          <w:tcPr>
            <w:tcW w:w="3152" w:type="dxa"/>
            <w:tcBorders>
              <w:top w:val="single" w:sz="12" w:space="0" w:color="auto"/>
            </w:tcBorders>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10 843 700</w:t>
            </w:r>
          </w:p>
        </w:tc>
        <w:tc>
          <w:tcPr>
            <w:tcW w:w="3152" w:type="dxa"/>
            <w:tcBorders>
              <w:top w:val="single" w:sz="12" w:space="0" w:color="auto"/>
            </w:tcBorders>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216 874</w:t>
            </w:r>
          </w:p>
        </w:tc>
      </w:tr>
      <w:tr w:rsidR="008A7415" w:rsidRPr="0071782F">
        <w:tc>
          <w:tcPr>
            <w:tcW w:w="366" w:type="dxa"/>
            <w:shd w:val="clear" w:color="auto" w:fill="auto"/>
          </w:tcPr>
          <w:p w:rsidR="008A7415" w:rsidRPr="0071782F" w:rsidRDefault="008A7415" w:rsidP="000A4AA0">
            <w:pPr>
              <w:suppressAutoHyphens w:val="0"/>
              <w:spacing w:before="40" w:after="40" w:line="220" w:lineRule="exact"/>
              <w:rPr>
                <w:sz w:val="18"/>
                <w:lang w:val="fr-CH"/>
              </w:rPr>
            </w:pPr>
            <w:r w:rsidRPr="0071782F">
              <w:rPr>
                <w:sz w:val="18"/>
                <w:lang w:val="fr-CH"/>
              </w:rPr>
              <w:t>2</w:t>
            </w:r>
          </w:p>
        </w:tc>
        <w:tc>
          <w:tcPr>
            <w:tcW w:w="700" w:type="dxa"/>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2006</w:t>
            </w:r>
          </w:p>
        </w:tc>
        <w:tc>
          <w:tcPr>
            <w:tcW w:w="3152" w:type="dxa"/>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11 391 279</w:t>
            </w:r>
          </w:p>
        </w:tc>
        <w:tc>
          <w:tcPr>
            <w:tcW w:w="3152" w:type="dxa"/>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199 847</w:t>
            </w:r>
          </w:p>
        </w:tc>
      </w:tr>
      <w:tr w:rsidR="008A7415" w:rsidRPr="0071782F">
        <w:tc>
          <w:tcPr>
            <w:tcW w:w="366" w:type="dxa"/>
            <w:shd w:val="clear" w:color="auto" w:fill="auto"/>
          </w:tcPr>
          <w:p w:rsidR="008A7415" w:rsidRPr="0071782F" w:rsidRDefault="008A7415" w:rsidP="000A4AA0">
            <w:pPr>
              <w:suppressAutoHyphens w:val="0"/>
              <w:spacing w:before="40" w:after="40" w:line="220" w:lineRule="exact"/>
              <w:rPr>
                <w:sz w:val="18"/>
                <w:lang w:val="fr-CH"/>
              </w:rPr>
            </w:pPr>
            <w:r w:rsidRPr="0071782F">
              <w:rPr>
                <w:sz w:val="18"/>
                <w:lang w:val="fr-CH"/>
              </w:rPr>
              <w:t>3</w:t>
            </w:r>
          </w:p>
        </w:tc>
        <w:tc>
          <w:tcPr>
            <w:tcW w:w="700" w:type="dxa"/>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2007</w:t>
            </w:r>
          </w:p>
        </w:tc>
        <w:tc>
          <w:tcPr>
            <w:tcW w:w="3152" w:type="dxa"/>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14 003 145</w:t>
            </w:r>
          </w:p>
        </w:tc>
        <w:tc>
          <w:tcPr>
            <w:tcW w:w="3152" w:type="dxa"/>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215 433</w:t>
            </w:r>
          </w:p>
        </w:tc>
      </w:tr>
      <w:tr w:rsidR="008A7415" w:rsidRPr="0071782F">
        <w:tc>
          <w:tcPr>
            <w:tcW w:w="366" w:type="dxa"/>
            <w:shd w:val="clear" w:color="auto" w:fill="auto"/>
          </w:tcPr>
          <w:p w:rsidR="008A7415" w:rsidRPr="0071782F" w:rsidRDefault="008A7415" w:rsidP="000A4AA0">
            <w:pPr>
              <w:suppressAutoHyphens w:val="0"/>
              <w:spacing w:before="40" w:after="40" w:line="220" w:lineRule="exact"/>
              <w:rPr>
                <w:sz w:val="18"/>
                <w:lang w:val="fr-CH"/>
              </w:rPr>
            </w:pPr>
            <w:r w:rsidRPr="0071782F">
              <w:rPr>
                <w:sz w:val="18"/>
                <w:lang w:val="fr-CH"/>
              </w:rPr>
              <w:t>4</w:t>
            </w:r>
          </w:p>
        </w:tc>
        <w:tc>
          <w:tcPr>
            <w:tcW w:w="700" w:type="dxa"/>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2008</w:t>
            </w:r>
          </w:p>
        </w:tc>
        <w:tc>
          <w:tcPr>
            <w:tcW w:w="3152" w:type="dxa"/>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2 691 225</w:t>
            </w:r>
          </w:p>
        </w:tc>
        <w:tc>
          <w:tcPr>
            <w:tcW w:w="3152" w:type="dxa"/>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35 883</w:t>
            </w:r>
          </w:p>
        </w:tc>
      </w:tr>
      <w:tr w:rsidR="008A7415" w:rsidRPr="0071782F">
        <w:tc>
          <w:tcPr>
            <w:tcW w:w="366" w:type="dxa"/>
            <w:shd w:val="clear" w:color="auto" w:fill="auto"/>
          </w:tcPr>
          <w:p w:rsidR="008A7415" w:rsidRPr="0071782F" w:rsidRDefault="008A7415" w:rsidP="000A4AA0">
            <w:pPr>
              <w:suppressAutoHyphens w:val="0"/>
              <w:spacing w:before="40" w:after="40" w:line="220" w:lineRule="exact"/>
              <w:rPr>
                <w:sz w:val="18"/>
                <w:lang w:val="fr-CH"/>
              </w:rPr>
            </w:pPr>
            <w:r w:rsidRPr="0071782F">
              <w:rPr>
                <w:sz w:val="18"/>
                <w:lang w:val="fr-CH"/>
              </w:rPr>
              <w:t>5</w:t>
            </w:r>
          </w:p>
        </w:tc>
        <w:tc>
          <w:tcPr>
            <w:tcW w:w="700" w:type="dxa"/>
            <w:shd w:val="clear" w:color="auto" w:fill="auto"/>
            <w:vAlign w:val="bottom"/>
          </w:tcPr>
          <w:p w:rsidR="008A7415" w:rsidRPr="0071782F" w:rsidRDefault="008A7415" w:rsidP="000A4AA0">
            <w:pPr>
              <w:suppressAutoHyphens w:val="0"/>
              <w:spacing w:before="40" w:after="40" w:line="220" w:lineRule="exact"/>
              <w:jc w:val="right"/>
              <w:rPr>
                <w:sz w:val="18"/>
                <w:lang w:val="fr-CH"/>
              </w:rPr>
            </w:pPr>
            <w:r w:rsidRPr="0071782F">
              <w:rPr>
                <w:sz w:val="18"/>
                <w:lang w:val="fr-CH"/>
              </w:rPr>
              <w:t>2009</w:t>
            </w:r>
          </w:p>
        </w:tc>
        <w:tc>
          <w:tcPr>
            <w:tcW w:w="3152" w:type="dxa"/>
            <w:shd w:val="clear" w:color="auto" w:fill="auto"/>
            <w:vAlign w:val="bottom"/>
          </w:tcPr>
          <w:p w:rsidR="008A7415" w:rsidRPr="0071782F" w:rsidRDefault="003B396B" w:rsidP="000A4AA0">
            <w:pPr>
              <w:suppressAutoHyphens w:val="0"/>
              <w:spacing w:before="40" w:after="40" w:line="220" w:lineRule="exact"/>
              <w:jc w:val="right"/>
              <w:rPr>
                <w:sz w:val="18"/>
                <w:lang w:val="fr-CH"/>
              </w:rPr>
            </w:pPr>
            <w:r w:rsidRPr="0071782F">
              <w:rPr>
                <w:sz w:val="18"/>
                <w:lang w:val="fr-CH"/>
              </w:rPr>
              <w:t>–</w:t>
            </w:r>
          </w:p>
        </w:tc>
        <w:tc>
          <w:tcPr>
            <w:tcW w:w="3152" w:type="dxa"/>
            <w:shd w:val="clear" w:color="auto" w:fill="auto"/>
            <w:vAlign w:val="bottom"/>
          </w:tcPr>
          <w:p w:rsidR="008A7415" w:rsidRPr="0071782F" w:rsidRDefault="003B396B" w:rsidP="000A4AA0">
            <w:pPr>
              <w:suppressAutoHyphens w:val="0"/>
              <w:spacing w:before="40" w:after="40" w:line="220" w:lineRule="exact"/>
              <w:jc w:val="right"/>
              <w:rPr>
                <w:sz w:val="18"/>
                <w:lang w:val="fr-CH"/>
              </w:rPr>
            </w:pPr>
            <w:r w:rsidRPr="0071782F">
              <w:rPr>
                <w:sz w:val="18"/>
                <w:lang w:val="fr-CH"/>
              </w:rPr>
              <w:t>–</w:t>
            </w:r>
          </w:p>
        </w:tc>
      </w:tr>
    </w:tbl>
    <w:bookmarkEnd w:id="3"/>
    <w:bookmarkEnd w:id="4"/>
    <w:p w:rsidR="008A7415" w:rsidRPr="0071782F" w:rsidRDefault="008A7415" w:rsidP="00204410">
      <w:pPr>
        <w:pStyle w:val="H1G"/>
        <w:rPr>
          <w:lang w:val="fr-CH"/>
        </w:rPr>
      </w:pPr>
      <w:r w:rsidRPr="0071782F">
        <w:rPr>
          <w:lang w:val="fr-CH"/>
        </w:rPr>
        <w:tab/>
      </w:r>
      <w:r w:rsidRPr="0071782F">
        <w:rPr>
          <w:lang w:val="fr-CH"/>
        </w:rPr>
        <w:tab/>
      </w:r>
      <w:r w:rsidR="00CE52E5" w:rsidRPr="0071782F">
        <w:rPr>
          <w:lang w:val="fr-CH"/>
        </w:rPr>
        <w:t>Crédits bancaires sans intérêt</w:t>
      </w:r>
      <w:r w:rsidRPr="0071782F">
        <w:rPr>
          <w:lang w:val="fr-CH"/>
        </w:rPr>
        <w:t xml:space="preserve"> (</w:t>
      </w:r>
      <w:r w:rsidR="00CE52E5" w:rsidRPr="0071782F">
        <w:rPr>
          <w:lang w:val="fr-CH"/>
        </w:rPr>
        <w:t xml:space="preserve">pour la réparation </w:t>
      </w:r>
      <w:r w:rsidR="003F25A2">
        <w:rPr>
          <w:lang w:val="fr-CH"/>
        </w:rPr>
        <w:t>de logements</w:t>
      </w:r>
      <w:r w:rsidR="00CE52E5" w:rsidRPr="0071782F">
        <w:rPr>
          <w:lang w:val="fr-CH"/>
        </w:rPr>
        <w:t xml:space="preserve"> et la construction de toilettes)</w:t>
      </w:r>
      <w:r w:rsidRPr="0071782F">
        <w:rPr>
          <w:lang w:val="fr-CH"/>
        </w:rPr>
        <w:t xml:space="preserve"> </w:t>
      </w:r>
    </w:p>
    <w:p w:rsidR="008A7415" w:rsidRPr="0071782F" w:rsidRDefault="000A4AA0" w:rsidP="00120407">
      <w:pPr>
        <w:pStyle w:val="SingleTxtG"/>
        <w:spacing w:after="240"/>
        <w:rPr>
          <w:lang w:val="fr-CH"/>
        </w:rPr>
      </w:pPr>
      <w:r w:rsidRPr="0071782F">
        <w:rPr>
          <w:lang w:val="fr-CH"/>
        </w:rPr>
        <w:tab/>
      </w:r>
      <w:r w:rsidR="00CE52E5" w:rsidRPr="0071782F">
        <w:rPr>
          <w:lang w:val="fr-CH"/>
        </w:rPr>
        <w:t xml:space="preserve">Pour réaliser les </w:t>
      </w:r>
      <w:r w:rsidR="008A7415" w:rsidRPr="0071782F">
        <w:rPr>
          <w:lang w:val="fr-CH"/>
        </w:rPr>
        <w:t>objecti</w:t>
      </w:r>
      <w:r w:rsidR="00CE52E5" w:rsidRPr="0071782F">
        <w:rPr>
          <w:lang w:val="fr-CH"/>
        </w:rPr>
        <w:t>f</w:t>
      </w:r>
      <w:r w:rsidR="008A7415" w:rsidRPr="0071782F">
        <w:rPr>
          <w:lang w:val="fr-CH"/>
        </w:rPr>
        <w:t xml:space="preserve">s </w:t>
      </w:r>
      <w:r w:rsidR="00CE52E5" w:rsidRPr="0071782F">
        <w:rPr>
          <w:lang w:val="fr-CH"/>
        </w:rPr>
        <w:t xml:space="preserve">d’un développement durable et de l’amélioration de l’environnement, pour faire suite au </w:t>
      </w:r>
      <w:r w:rsidR="009E6189">
        <w:rPr>
          <w:lang w:val="fr-CH"/>
        </w:rPr>
        <w:t>troisième plan</w:t>
      </w:r>
      <w:r w:rsidR="00CE52E5" w:rsidRPr="0071782F">
        <w:rPr>
          <w:lang w:val="fr-CH"/>
        </w:rPr>
        <w:t xml:space="preserve"> de développement et dans le cadre de l’exécution des politiques de développement du secteur </w:t>
      </w:r>
      <w:r w:rsidR="00A234E8" w:rsidRPr="0071782F">
        <w:rPr>
          <w:lang w:val="fr-CH"/>
        </w:rPr>
        <w:t>(art. </w:t>
      </w:r>
      <w:r w:rsidR="008A7415" w:rsidRPr="0071782F">
        <w:rPr>
          <w:lang w:val="fr-CH"/>
        </w:rPr>
        <w:t xml:space="preserve">30 </w:t>
      </w:r>
      <w:r w:rsidR="00CE52E5" w:rsidRPr="0071782F">
        <w:rPr>
          <w:lang w:val="fr-CH"/>
        </w:rPr>
        <w:t xml:space="preserve">du </w:t>
      </w:r>
      <w:r w:rsidR="00A90208" w:rsidRPr="0071782F">
        <w:rPr>
          <w:lang w:val="fr-CH"/>
        </w:rPr>
        <w:t>quatrième</w:t>
      </w:r>
      <w:r w:rsidR="00CE52E5" w:rsidRPr="0071782F">
        <w:rPr>
          <w:lang w:val="fr-CH"/>
        </w:rPr>
        <w:t xml:space="preserve"> plan de développement</w:t>
      </w:r>
      <w:r w:rsidR="008A7415" w:rsidRPr="0071782F">
        <w:rPr>
          <w:lang w:val="fr-CH"/>
        </w:rPr>
        <w:t xml:space="preserve">), </w:t>
      </w:r>
      <w:r w:rsidR="00CE52E5" w:rsidRPr="0071782F">
        <w:rPr>
          <w:lang w:val="fr-CH"/>
        </w:rPr>
        <w:t xml:space="preserve">des crédits bancaires d’un montant de </w:t>
      </w:r>
      <w:r w:rsidR="008A7415" w:rsidRPr="0071782F">
        <w:rPr>
          <w:lang w:val="fr-CH"/>
        </w:rPr>
        <w:t>432</w:t>
      </w:r>
      <w:r w:rsidR="002055A2" w:rsidRPr="0071782F">
        <w:rPr>
          <w:lang w:val="fr-CH"/>
        </w:rPr>
        <w:t>,</w:t>
      </w:r>
      <w:r w:rsidR="008A7415" w:rsidRPr="0071782F">
        <w:rPr>
          <w:lang w:val="fr-CH"/>
        </w:rPr>
        <w:t>138</w:t>
      </w:r>
      <w:r w:rsidR="008553D9" w:rsidRPr="0071782F">
        <w:rPr>
          <w:lang w:val="fr-CH"/>
        </w:rPr>
        <w:t> milliard</w:t>
      </w:r>
      <w:r w:rsidR="00097CDB" w:rsidRPr="0071782F">
        <w:rPr>
          <w:lang w:val="fr-CH"/>
        </w:rPr>
        <w:t>s</w:t>
      </w:r>
      <w:r w:rsidR="00CE52E5" w:rsidRPr="0071782F">
        <w:rPr>
          <w:lang w:val="fr-CH"/>
        </w:rPr>
        <w:t xml:space="preserve"> de</w:t>
      </w:r>
      <w:r w:rsidR="00D36718">
        <w:rPr>
          <w:lang w:val="fr-CH"/>
        </w:rPr>
        <w:t xml:space="preserve"> </w:t>
      </w:r>
      <w:r w:rsidR="00860D09" w:rsidRPr="0071782F">
        <w:rPr>
          <w:lang w:val="fr-CH"/>
        </w:rPr>
        <w:t>rials</w:t>
      </w:r>
      <w:r w:rsidR="008A7415" w:rsidRPr="0071782F">
        <w:rPr>
          <w:lang w:val="fr-CH"/>
        </w:rPr>
        <w:t xml:space="preserve"> </w:t>
      </w:r>
      <w:r w:rsidR="00CE52E5" w:rsidRPr="0071782F">
        <w:rPr>
          <w:lang w:val="fr-CH"/>
        </w:rPr>
        <w:t xml:space="preserve">ont été affectés à la </w:t>
      </w:r>
      <w:r w:rsidR="008A7415" w:rsidRPr="0071782F">
        <w:rPr>
          <w:lang w:val="fr-CH"/>
        </w:rPr>
        <w:t xml:space="preserve">reconstruction </w:t>
      </w:r>
      <w:r w:rsidR="00CE52E5" w:rsidRPr="0071782F">
        <w:rPr>
          <w:lang w:val="fr-CH"/>
        </w:rPr>
        <w:t>de</w:t>
      </w:r>
      <w:r w:rsidR="00D36718">
        <w:rPr>
          <w:lang w:val="fr-CH"/>
        </w:rPr>
        <w:t xml:space="preserve"> </w:t>
      </w:r>
      <w:r w:rsidR="008A7415" w:rsidRPr="0071782F">
        <w:rPr>
          <w:lang w:val="fr-CH"/>
        </w:rPr>
        <w:t>83</w:t>
      </w:r>
      <w:r w:rsidR="00A5752C">
        <w:rPr>
          <w:lang w:val="fr-CH"/>
        </w:rPr>
        <w:t> </w:t>
      </w:r>
      <w:r w:rsidR="008A7415" w:rsidRPr="0071782F">
        <w:rPr>
          <w:lang w:val="fr-CH"/>
        </w:rPr>
        <w:t>098</w:t>
      </w:r>
      <w:r w:rsidR="003F25A2">
        <w:rPr>
          <w:lang w:val="fr-CH"/>
        </w:rPr>
        <w:t> logements</w:t>
      </w:r>
      <w:r w:rsidR="00CE52E5" w:rsidRPr="0071782F">
        <w:rPr>
          <w:lang w:val="fr-CH"/>
        </w:rPr>
        <w:t xml:space="preserve"> ruraux</w:t>
      </w:r>
      <w:r w:rsidR="008A7415" w:rsidRPr="0071782F">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66"/>
        <w:gridCol w:w="700"/>
        <w:gridCol w:w="3152"/>
        <w:gridCol w:w="3152"/>
      </w:tblGrid>
      <w:tr w:rsidR="008A7415" w:rsidRPr="0071782F">
        <w:trPr>
          <w:tblHeader/>
        </w:trPr>
        <w:tc>
          <w:tcPr>
            <w:tcW w:w="366" w:type="dxa"/>
            <w:tcBorders>
              <w:top w:val="single" w:sz="4" w:space="0" w:color="auto"/>
              <w:bottom w:val="single" w:sz="12" w:space="0" w:color="auto"/>
            </w:tcBorders>
            <w:shd w:val="clear" w:color="auto" w:fill="auto"/>
            <w:vAlign w:val="bottom"/>
          </w:tcPr>
          <w:p w:rsidR="008A7415" w:rsidRPr="0071782F" w:rsidRDefault="008A7415" w:rsidP="00C767F3">
            <w:pPr>
              <w:suppressAutoHyphens w:val="0"/>
              <w:spacing w:before="80" w:after="80" w:line="200" w:lineRule="exact"/>
              <w:rPr>
                <w:i/>
                <w:sz w:val="16"/>
                <w:lang w:val="fr-CH"/>
              </w:rPr>
            </w:pPr>
          </w:p>
        </w:tc>
        <w:tc>
          <w:tcPr>
            <w:tcW w:w="700" w:type="dxa"/>
            <w:tcBorders>
              <w:top w:val="single" w:sz="4" w:space="0" w:color="auto"/>
              <w:bottom w:val="single" w:sz="12" w:space="0" w:color="auto"/>
            </w:tcBorders>
            <w:shd w:val="clear" w:color="auto" w:fill="auto"/>
            <w:vAlign w:val="bottom"/>
          </w:tcPr>
          <w:p w:rsidR="008A7415" w:rsidRPr="0071782F" w:rsidRDefault="00CE52E5" w:rsidP="00C767F3">
            <w:pPr>
              <w:suppressAutoHyphens w:val="0"/>
              <w:spacing w:before="80" w:after="80" w:line="200" w:lineRule="exact"/>
              <w:jc w:val="right"/>
              <w:rPr>
                <w:i/>
                <w:sz w:val="16"/>
                <w:lang w:val="fr-CH"/>
              </w:rPr>
            </w:pPr>
            <w:r w:rsidRPr="0071782F">
              <w:rPr>
                <w:i/>
                <w:sz w:val="16"/>
                <w:lang w:val="fr-CH"/>
              </w:rPr>
              <w:t>Année</w:t>
            </w:r>
          </w:p>
        </w:tc>
        <w:tc>
          <w:tcPr>
            <w:tcW w:w="3152" w:type="dxa"/>
            <w:tcBorders>
              <w:top w:val="single" w:sz="4" w:space="0" w:color="auto"/>
              <w:bottom w:val="single" w:sz="12" w:space="0" w:color="auto"/>
            </w:tcBorders>
            <w:shd w:val="clear" w:color="auto" w:fill="auto"/>
            <w:vAlign w:val="bottom"/>
          </w:tcPr>
          <w:p w:rsidR="008A7415" w:rsidRPr="0071782F" w:rsidRDefault="00CE52E5" w:rsidP="00C767F3">
            <w:pPr>
              <w:suppressAutoHyphens w:val="0"/>
              <w:spacing w:before="80" w:after="80" w:line="200" w:lineRule="exact"/>
              <w:jc w:val="right"/>
              <w:rPr>
                <w:i/>
                <w:sz w:val="16"/>
                <w:lang w:val="fr-CH"/>
              </w:rPr>
            </w:pPr>
            <w:r w:rsidRPr="0071782F">
              <w:rPr>
                <w:i/>
                <w:sz w:val="16"/>
                <w:lang w:val="fr-CH"/>
              </w:rPr>
              <w:t>Crédits octroyés (en</w:t>
            </w:r>
            <w:r w:rsidR="00097CDB" w:rsidRPr="0071782F">
              <w:rPr>
                <w:i/>
                <w:sz w:val="16"/>
                <w:lang w:val="fr-CH"/>
              </w:rPr>
              <w:t> millions</w:t>
            </w:r>
            <w:r w:rsidRPr="0071782F">
              <w:rPr>
                <w:i/>
                <w:sz w:val="16"/>
                <w:lang w:val="fr-CH"/>
              </w:rPr>
              <w:t xml:space="preserve"> </w:t>
            </w:r>
            <w:r w:rsidR="003B1403" w:rsidRPr="0071782F">
              <w:rPr>
                <w:i/>
                <w:sz w:val="16"/>
                <w:lang w:val="fr-CH"/>
              </w:rPr>
              <w:t>de rials</w:t>
            </w:r>
            <w:r w:rsidRPr="0071782F">
              <w:rPr>
                <w:i/>
                <w:sz w:val="16"/>
                <w:lang w:val="fr-CH"/>
              </w:rPr>
              <w:t>)</w:t>
            </w:r>
          </w:p>
        </w:tc>
        <w:tc>
          <w:tcPr>
            <w:tcW w:w="3152" w:type="dxa"/>
            <w:tcBorders>
              <w:top w:val="single" w:sz="4" w:space="0" w:color="auto"/>
              <w:bottom w:val="single" w:sz="12" w:space="0" w:color="auto"/>
            </w:tcBorders>
            <w:shd w:val="clear" w:color="auto" w:fill="auto"/>
            <w:vAlign w:val="bottom"/>
          </w:tcPr>
          <w:p w:rsidR="008A7415" w:rsidRPr="0071782F" w:rsidRDefault="00CE52E5" w:rsidP="00C767F3">
            <w:pPr>
              <w:suppressAutoHyphens w:val="0"/>
              <w:spacing w:before="80" w:after="80" w:line="200" w:lineRule="exact"/>
              <w:jc w:val="right"/>
              <w:rPr>
                <w:i/>
                <w:sz w:val="16"/>
                <w:lang w:val="fr-CH"/>
              </w:rPr>
            </w:pPr>
            <w:r w:rsidRPr="0071782F">
              <w:rPr>
                <w:i/>
                <w:sz w:val="16"/>
                <w:lang w:val="fr-CH"/>
              </w:rPr>
              <w:t xml:space="preserve">Nombre </w:t>
            </w:r>
            <w:r w:rsidR="003F25A2">
              <w:rPr>
                <w:i/>
                <w:sz w:val="16"/>
                <w:lang w:val="fr-CH"/>
              </w:rPr>
              <w:t>de logements</w:t>
            </w:r>
          </w:p>
        </w:tc>
      </w:tr>
      <w:tr w:rsidR="008A7415" w:rsidRPr="0071782F">
        <w:tc>
          <w:tcPr>
            <w:tcW w:w="366" w:type="dxa"/>
            <w:tcBorders>
              <w:top w:val="single" w:sz="12" w:space="0" w:color="auto"/>
            </w:tcBorders>
            <w:shd w:val="clear" w:color="auto" w:fill="auto"/>
          </w:tcPr>
          <w:p w:rsidR="008A7415" w:rsidRPr="0071782F" w:rsidRDefault="008A7415" w:rsidP="00C767F3">
            <w:pPr>
              <w:suppressAutoHyphens w:val="0"/>
              <w:spacing w:before="40" w:after="40" w:line="220" w:lineRule="exact"/>
              <w:rPr>
                <w:sz w:val="18"/>
                <w:lang w:val="fr-CH"/>
              </w:rPr>
            </w:pPr>
            <w:r w:rsidRPr="0071782F">
              <w:rPr>
                <w:sz w:val="18"/>
                <w:lang w:val="fr-CH"/>
              </w:rPr>
              <w:t>1</w:t>
            </w:r>
          </w:p>
        </w:tc>
        <w:tc>
          <w:tcPr>
            <w:tcW w:w="700" w:type="dxa"/>
            <w:tcBorders>
              <w:top w:val="single" w:sz="12" w:space="0" w:color="auto"/>
            </w:tcBorders>
            <w:shd w:val="clear" w:color="auto"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2005</w:t>
            </w:r>
          </w:p>
        </w:tc>
        <w:tc>
          <w:tcPr>
            <w:tcW w:w="3152" w:type="dxa"/>
            <w:tcBorders>
              <w:top w:val="single" w:sz="12" w:space="0" w:color="auto"/>
            </w:tcBorders>
            <w:shd w:val="clear" w:color="auto"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149 220</w:t>
            </w:r>
          </w:p>
        </w:tc>
        <w:tc>
          <w:tcPr>
            <w:tcW w:w="3152" w:type="dxa"/>
            <w:tcBorders>
              <w:top w:val="single" w:sz="12" w:space="0" w:color="auto"/>
            </w:tcBorders>
            <w:shd w:val="clear" w:color="auto"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29 844</w:t>
            </w:r>
          </w:p>
        </w:tc>
      </w:tr>
      <w:tr w:rsidR="008A7415" w:rsidRPr="0071782F">
        <w:tc>
          <w:tcPr>
            <w:tcW w:w="366" w:type="dxa"/>
            <w:shd w:val="clear" w:color="auto" w:fill="auto"/>
          </w:tcPr>
          <w:p w:rsidR="008A7415" w:rsidRPr="0071782F" w:rsidRDefault="008A7415" w:rsidP="00C767F3">
            <w:pPr>
              <w:suppressAutoHyphens w:val="0"/>
              <w:spacing w:before="40" w:after="40" w:line="220" w:lineRule="exact"/>
              <w:rPr>
                <w:sz w:val="18"/>
                <w:lang w:val="fr-CH"/>
              </w:rPr>
            </w:pPr>
            <w:r w:rsidRPr="0071782F">
              <w:rPr>
                <w:sz w:val="18"/>
                <w:lang w:val="fr-CH"/>
              </w:rPr>
              <w:t>2</w:t>
            </w:r>
          </w:p>
        </w:tc>
        <w:tc>
          <w:tcPr>
            <w:tcW w:w="700" w:type="dxa"/>
            <w:shd w:val="clear" w:color="auto"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2006</w:t>
            </w:r>
          </w:p>
        </w:tc>
        <w:tc>
          <w:tcPr>
            <w:tcW w:w="3152" w:type="dxa"/>
            <w:shd w:val="clear" w:color="auto"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128 645</w:t>
            </w:r>
          </w:p>
        </w:tc>
        <w:tc>
          <w:tcPr>
            <w:tcW w:w="3152" w:type="dxa"/>
            <w:shd w:val="clear" w:color="auto"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25 729</w:t>
            </w:r>
          </w:p>
        </w:tc>
      </w:tr>
      <w:tr w:rsidR="008A7415" w:rsidRPr="0071782F">
        <w:tc>
          <w:tcPr>
            <w:tcW w:w="366" w:type="dxa"/>
            <w:shd w:val="clear" w:color="auto" w:fill="auto"/>
          </w:tcPr>
          <w:p w:rsidR="008A7415" w:rsidRPr="0071782F" w:rsidRDefault="008A7415" w:rsidP="00C767F3">
            <w:pPr>
              <w:suppressAutoHyphens w:val="0"/>
              <w:spacing w:before="40" w:after="40" w:line="220" w:lineRule="exact"/>
              <w:rPr>
                <w:sz w:val="18"/>
                <w:lang w:val="fr-CH"/>
              </w:rPr>
            </w:pPr>
            <w:r w:rsidRPr="0071782F">
              <w:rPr>
                <w:sz w:val="18"/>
                <w:lang w:val="fr-CH"/>
              </w:rPr>
              <w:t>3</w:t>
            </w:r>
          </w:p>
        </w:tc>
        <w:tc>
          <w:tcPr>
            <w:tcW w:w="700" w:type="dxa"/>
            <w:shd w:val="clear" w:color="auto"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2007</w:t>
            </w:r>
          </w:p>
        </w:tc>
        <w:tc>
          <w:tcPr>
            <w:tcW w:w="3152" w:type="dxa"/>
            <w:shd w:val="clear" w:color="auto"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54 385</w:t>
            </w:r>
          </w:p>
        </w:tc>
        <w:tc>
          <w:tcPr>
            <w:tcW w:w="3152" w:type="dxa"/>
            <w:shd w:val="clear" w:color="auto"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10 877</w:t>
            </w:r>
          </w:p>
        </w:tc>
      </w:tr>
      <w:tr w:rsidR="008A7415" w:rsidRPr="0071782F">
        <w:tc>
          <w:tcPr>
            <w:tcW w:w="366" w:type="dxa"/>
            <w:shd w:val="clear" w:color="auto" w:fill="auto"/>
          </w:tcPr>
          <w:p w:rsidR="008A7415" w:rsidRPr="0071782F" w:rsidRDefault="008A7415" w:rsidP="00C767F3">
            <w:pPr>
              <w:suppressAutoHyphens w:val="0"/>
              <w:spacing w:before="40" w:after="40" w:line="220" w:lineRule="exact"/>
              <w:rPr>
                <w:sz w:val="18"/>
                <w:lang w:val="fr-CH"/>
              </w:rPr>
            </w:pPr>
            <w:r w:rsidRPr="0071782F">
              <w:rPr>
                <w:sz w:val="18"/>
                <w:lang w:val="fr-CH"/>
              </w:rPr>
              <w:t>4</w:t>
            </w:r>
          </w:p>
        </w:tc>
        <w:tc>
          <w:tcPr>
            <w:tcW w:w="700" w:type="dxa"/>
            <w:shd w:val="clear" w:color="auto"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2008</w:t>
            </w:r>
          </w:p>
        </w:tc>
        <w:tc>
          <w:tcPr>
            <w:tcW w:w="3152" w:type="dxa"/>
            <w:shd w:val="clear" w:color="auto"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99 888</w:t>
            </w:r>
          </w:p>
        </w:tc>
        <w:tc>
          <w:tcPr>
            <w:tcW w:w="3152" w:type="dxa"/>
            <w:shd w:val="clear" w:color="auto"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16 648</w:t>
            </w:r>
          </w:p>
        </w:tc>
      </w:tr>
      <w:tr w:rsidR="00704462" w:rsidRPr="0071782F">
        <w:tc>
          <w:tcPr>
            <w:tcW w:w="366" w:type="dxa"/>
            <w:shd w:val="clear" w:color="auto" w:fill="auto"/>
          </w:tcPr>
          <w:p w:rsidR="00704462" w:rsidRPr="0071782F" w:rsidRDefault="00704462" w:rsidP="00C767F3">
            <w:pPr>
              <w:suppressAutoHyphens w:val="0"/>
              <w:spacing w:before="40" w:after="40" w:line="220" w:lineRule="exact"/>
              <w:rPr>
                <w:sz w:val="18"/>
                <w:lang w:val="fr-CH"/>
              </w:rPr>
            </w:pPr>
            <w:r w:rsidRPr="0071782F">
              <w:rPr>
                <w:sz w:val="18"/>
                <w:lang w:val="fr-CH"/>
              </w:rPr>
              <w:t>5</w:t>
            </w:r>
          </w:p>
        </w:tc>
        <w:tc>
          <w:tcPr>
            <w:tcW w:w="700" w:type="dxa"/>
            <w:shd w:val="clear" w:color="auto" w:fill="auto"/>
            <w:vAlign w:val="bottom"/>
          </w:tcPr>
          <w:p w:rsidR="00704462" w:rsidRPr="0071782F" w:rsidRDefault="00704462" w:rsidP="00C767F3">
            <w:pPr>
              <w:suppressAutoHyphens w:val="0"/>
              <w:spacing w:before="40" w:after="40" w:line="220" w:lineRule="exact"/>
              <w:jc w:val="right"/>
              <w:rPr>
                <w:sz w:val="18"/>
                <w:lang w:val="fr-CH"/>
              </w:rPr>
            </w:pPr>
            <w:r w:rsidRPr="0071782F">
              <w:rPr>
                <w:sz w:val="18"/>
                <w:lang w:val="fr-CH"/>
              </w:rPr>
              <w:t>2009</w:t>
            </w:r>
          </w:p>
        </w:tc>
        <w:tc>
          <w:tcPr>
            <w:tcW w:w="3152" w:type="dxa"/>
            <w:shd w:val="clear" w:color="auto" w:fill="auto"/>
          </w:tcPr>
          <w:p w:rsidR="00704462" w:rsidRPr="0071782F" w:rsidRDefault="00704462" w:rsidP="00C767F3">
            <w:pPr>
              <w:suppressAutoHyphens w:val="0"/>
              <w:spacing w:before="40" w:after="40" w:line="220" w:lineRule="exact"/>
              <w:jc w:val="right"/>
              <w:rPr>
                <w:sz w:val="18"/>
                <w:lang w:val="fr-CH"/>
              </w:rPr>
            </w:pPr>
            <w:r w:rsidRPr="0071782F">
              <w:rPr>
                <w:sz w:val="18"/>
                <w:lang w:val="fr-CH"/>
              </w:rPr>
              <w:t>–</w:t>
            </w:r>
          </w:p>
        </w:tc>
        <w:tc>
          <w:tcPr>
            <w:tcW w:w="3152" w:type="dxa"/>
            <w:shd w:val="clear" w:color="auto" w:fill="auto"/>
          </w:tcPr>
          <w:p w:rsidR="00704462" w:rsidRPr="0071782F" w:rsidRDefault="00704462" w:rsidP="00C767F3">
            <w:pPr>
              <w:suppressAutoHyphens w:val="0"/>
              <w:spacing w:before="40" w:after="40" w:line="220" w:lineRule="exact"/>
              <w:jc w:val="right"/>
              <w:rPr>
                <w:sz w:val="18"/>
                <w:lang w:val="fr-CH"/>
              </w:rPr>
            </w:pPr>
            <w:r w:rsidRPr="0071782F">
              <w:rPr>
                <w:sz w:val="18"/>
                <w:lang w:val="fr-CH"/>
              </w:rPr>
              <w:t>–</w:t>
            </w:r>
          </w:p>
        </w:tc>
      </w:tr>
    </w:tbl>
    <w:p w:rsidR="008A7415" w:rsidRPr="0071782F" w:rsidRDefault="008A7415" w:rsidP="00204410">
      <w:pPr>
        <w:pStyle w:val="H1G"/>
        <w:rPr>
          <w:lang w:val="fr-CH"/>
        </w:rPr>
      </w:pPr>
      <w:r w:rsidRPr="0071782F">
        <w:rPr>
          <w:lang w:val="fr-CH"/>
        </w:rPr>
        <w:tab/>
      </w:r>
      <w:r w:rsidRPr="0071782F">
        <w:rPr>
          <w:lang w:val="fr-CH"/>
        </w:rPr>
        <w:tab/>
      </w:r>
      <w:r w:rsidR="00CE52E5" w:rsidRPr="0071782F">
        <w:rPr>
          <w:lang w:val="fr-CH"/>
        </w:rPr>
        <w:t xml:space="preserve">Système de formation technique rurale </w:t>
      </w:r>
    </w:p>
    <w:p w:rsidR="008A7415" w:rsidRPr="0071782F" w:rsidRDefault="008A7415" w:rsidP="00204410">
      <w:pPr>
        <w:pStyle w:val="SingleTxtG"/>
        <w:rPr>
          <w:lang w:val="fr-CH"/>
        </w:rPr>
      </w:pPr>
      <w:r w:rsidRPr="0071782F">
        <w:rPr>
          <w:lang w:val="fr-CH"/>
        </w:rPr>
        <w:t>214.</w:t>
      </w:r>
      <w:r w:rsidRPr="0071782F">
        <w:rPr>
          <w:lang w:val="fr-CH"/>
        </w:rPr>
        <w:tab/>
      </w:r>
      <w:r w:rsidR="007D002B" w:rsidRPr="0071782F">
        <w:rPr>
          <w:lang w:val="fr-CH"/>
        </w:rPr>
        <w:t xml:space="preserve">Dans le cadre du processus engagé pendant le </w:t>
      </w:r>
      <w:r w:rsidR="003F25A2">
        <w:rPr>
          <w:lang w:val="fr-CH"/>
        </w:rPr>
        <w:t>troisième</w:t>
      </w:r>
      <w:r w:rsidR="007D002B" w:rsidRPr="0071782F">
        <w:rPr>
          <w:lang w:val="fr-CH"/>
        </w:rPr>
        <w:t xml:space="preserve"> plan de développement, le </w:t>
      </w:r>
      <w:r w:rsidR="003B48A4" w:rsidRPr="0071782F">
        <w:rPr>
          <w:lang w:val="fr-CH"/>
        </w:rPr>
        <w:t>nombre</w:t>
      </w:r>
      <w:r w:rsidRPr="0071782F">
        <w:rPr>
          <w:lang w:val="fr-CH"/>
        </w:rPr>
        <w:t xml:space="preserve"> </w:t>
      </w:r>
      <w:r w:rsidR="007D002B" w:rsidRPr="0071782F">
        <w:rPr>
          <w:lang w:val="fr-CH"/>
        </w:rPr>
        <w:t xml:space="preserve">de bénéficiaires du système de formation technique rurale a dépassé les </w:t>
      </w:r>
      <w:r w:rsidRPr="0071782F">
        <w:rPr>
          <w:lang w:val="fr-CH"/>
        </w:rPr>
        <w:t>10</w:t>
      </w:r>
      <w:r w:rsidR="003F25A2">
        <w:rPr>
          <w:lang w:val="fr-CH"/>
        </w:rPr>
        <w:t> </w:t>
      </w:r>
      <w:r w:rsidRPr="0071782F">
        <w:rPr>
          <w:lang w:val="fr-CH"/>
        </w:rPr>
        <w:t>200</w:t>
      </w:r>
      <w:r w:rsidR="003F25A2">
        <w:rPr>
          <w:lang w:val="fr-CH"/>
        </w:rPr>
        <w:t> </w:t>
      </w:r>
      <w:r w:rsidR="007D002B" w:rsidRPr="0071782F">
        <w:rPr>
          <w:lang w:val="fr-CH"/>
        </w:rPr>
        <w:t xml:space="preserve">pendant le </w:t>
      </w:r>
      <w:r w:rsidR="00A90208" w:rsidRPr="0071782F">
        <w:rPr>
          <w:lang w:val="fr-CH"/>
        </w:rPr>
        <w:t>quatrième</w:t>
      </w:r>
      <w:r w:rsidR="007D002B" w:rsidRPr="0071782F">
        <w:rPr>
          <w:lang w:val="fr-CH"/>
        </w:rPr>
        <w:t xml:space="preserve"> plan de développement.</w:t>
      </w:r>
    </w:p>
    <w:p w:rsidR="008A7415" w:rsidRPr="0071782F" w:rsidRDefault="008A7415" w:rsidP="0081605D">
      <w:pPr>
        <w:pStyle w:val="SingleTxtG"/>
        <w:ind w:left="1701"/>
        <w:rPr>
          <w:lang w:val="fr-CH"/>
        </w:rPr>
      </w:pPr>
      <w:r w:rsidRPr="0071782F">
        <w:rPr>
          <w:lang w:val="fr-CH"/>
        </w:rPr>
        <w:t>214.1.</w:t>
      </w:r>
      <w:r w:rsidRPr="0071782F">
        <w:rPr>
          <w:lang w:val="fr-CH"/>
        </w:rPr>
        <w:tab/>
      </w:r>
      <w:r w:rsidR="00A233C2" w:rsidRPr="0071782F">
        <w:rPr>
          <w:lang w:val="fr-CH"/>
        </w:rPr>
        <w:t>Les personnes</w:t>
      </w:r>
      <w:r w:rsidR="007D002B" w:rsidRPr="0071782F">
        <w:rPr>
          <w:lang w:val="fr-CH"/>
        </w:rPr>
        <w:t xml:space="preserve"> participant à </w:t>
      </w:r>
      <w:r w:rsidR="00354103" w:rsidRPr="0071782F">
        <w:rPr>
          <w:lang w:val="fr-CH"/>
        </w:rPr>
        <w:t>ce programme</w:t>
      </w:r>
      <w:r w:rsidR="007D002B" w:rsidRPr="0071782F">
        <w:rPr>
          <w:lang w:val="fr-CH"/>
        </w:rPr>
        <w:t xml:space="preserve"> ont suivi cinq programmes de formation élaborés et approuvés par le Bureau de définition et de promotion des normes techniques nationales de construction afin d’améliorer leur niveau de compétence technique</w:t>
      </w:r>
      <w:r w:rsidRPr="0071782F">
        <w:rPr>
          <w:lang w:val="fr-CH"/>
        </w:rPr>
        <w:t>.</w:t>
      </w:r>
    </w:p>
    <w:p w:rsidR="008A7415" w:rsidRPr="0071782F" w:rsidRDefault="008A7415" w:rsidP="0081605D">
      <w:pPr>
        <w:pStyle w:val="SingleTxtG"/>
        <w:ind w:left="1701"/>
        <w:rPr>
          <w:lang w:val="fr-CH"/>
        </w:rPr>
      </w:pPr>
      <w:r w:rsidRPr="0071782F">
        <w:rPr>
          <w:lang w:val="fr-CH"/>
        </w:rPr>
        <w:t>214.2.</w:t>
      </w:r>
      <w:r w:rsidRPr="0071782F">
        <w:rPr>
          <w:lang w:val="fr-CH"/>
        </w:rPr>
        <w:tab/>
      </w:r>
      <w:r w:rsidR="00354103" w:rsidRPr="0071782F">
        <w:rPr>
          <w:lang w:val="fr-CH"/>
        </w:rPr>
        <w:t>Afin d’intégrer la conception, la supervision, le suivi et le contrôle des activités de construction en milieu rural et après la mise en place du système de formation technique rurale</w:t>
      </w:r>
      <w:r w:rsidRPr="0071782F">
        <w:rPr>
          <w:lang w:val="fr-CH"/>
        </w:rPr>
        <w:t xml:space="preserve">, </w:t>
      </w:r>
      <w:r w:rsidR="00354103" w:rsidRPr="0071782F">
        <w:rPr>
          <w:lang w:val="fr-CH"/>
        </w:rPr>
        <w:t>la création de bureaux de formation technique et d’ingénierie dans toutes les zones rurales du pays a été prévue en 2006</w:t>
      </w:r>
      <w:r w:rsidRPr="0071782F">
        <w:rPr>
          <w:lang w:val="fr-CH"/>
        </w:rPr>
        <w:t xml:space="preserve">; </w:t>
      </w:r>
      <w:r w:rsidR="00354103" w:rsidRPr="0071782F">
        <w:rPr>
          <w:lang w:val="fr-CH"/>
        </w:rPr>
        <w:t xml:space="preserve">à ce jour, quelque </w:t>
      </w:r>
      <w:r w:rsidRPr="0071782F">
        <w:rPr>
          <w:lang w:val="fr-CH"/>
        </w:rPr>
        <w:t>1</w:t>
      </w:r>
      <w:r w:rsidR="003F25A2">
        <w:rPr>
          <w:lang w:val="fr-CH"/>
        </w:rPr>
        <w:t> </w:t>
      </w:r>
      <w:r w:rsidRPr="0071782F">
        <w:rPr>
          <w:lang w:val="fr-CH"/>
        </w:rPr>
        <w:t xml:space="preserve">070 </w:t>
      </w:r>
      <w:r w:rsidR="00354103" w:rsidRPr="0071782F">
        <w:rPr>
          <w:lang w:val="fr-CH"/>
        </w:rPr>
        <w:t>de ces bureaux ont commencé à fonctionner à travers le pays</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354103" w:rsidRPr="0071782F">
        <w:rPr>
          <w:lang w:val="fr-CH"/>
        </w:rPr>
        <w:t xml:space="preserve">Dénombrement </w:t>
      </w:r>
      <w:r w:rsidR="003F25A2">
        <w:rPr>
          <w:lang w:val="fr-CH"/>
        </w:rPr>
        <w:t>des logements</w:t>
      </w:r>
      <w:r w:rsidR="00354103" w:rsidRPr="0071782F">
        <w:rPr>
          <w:lang w:val="fr-CH"/>
        </w:rPr>
        <w:t xml:space="preserve"> ruraux </w:t>
      </w:r>
    </w:p>
    <w:p w:rsidR="008A7415" w:rsidRPr="0071782F" w:rsidRDefault="008A7415" w:rsidP="00204410">
      <w:pPr>
        <w:pStyle w:val="SingleTxtG"/>
        <w:rPr>
          <w:lang w:val="fr-CH"/>
        </w:rPr>
      </w:pPr>
      <w:r w:rsidRPr="0071782F">
        <w:rPr>
          <w:lang w:val="fr-CH"/>
        </w:rPr>
        <w:t>215.</w:t>
      </w:r>
      <w:r w:rsidRPr="0071782F">
        <w:rPr>
          <w:lang w:val="fr-CH"/>
        </w:rPr>
        <w:tab/>
      </w:r>
      <w:r w:rsidR="00354103" w:rsidRPr="0071782F">
        <w:rPr>
          <w:lang w:val="fr-CH"/>
        </w:rPr>
        <w:t xml:space="preserve">Le deuxième dénombrement </w:t>
      </w:r>
      <w:r w:rsidR="003F25A2">
        <w:rPr>
          <w:lang w:val="fr-CH"/>
        </w:rPr>
        <w:t>des logements</w:t>
      </w:r>
      <w:r w:rsidR="00354103" w:rsidRPr="0071782F">
        <w:rPr>
          <w:lang w:val="fr-CH"/>
        </w:rPr>
        <w:t xml:space="preserve"> rurau</w:t>
      </w:r>
      <w:r w:rsidR="00C767F3" w:rsidRPr="0071782F">
        <w:rPr>
          <w:lang w:val="fr-CH"/>
        </w:rPr>
        <w:t>x a été effectué à l’automne de </w:t>
      </w:r>
      <w:r w:rsidR="00354103" w:rsidRPr="0071782F">
        <w:rPr>
          <w:lang w:val="fr-CH"/>
        </w:rPr>
        <w:t>2008.</w:t>
      </w:r>
      <w:r w:rsidRPr="0071782F">
        <w:rPr>
          <w:lang w:val="fr-CH"/>
        </w:rPr>
        <w:t xml:space="preserve"> </w:t>
      </w:r>
      <w:r w:rsidR="00354103" w:rsidRPr="0071782F">
        <w:rPr>
          <w:lang w:val="fr-CH"/>
        </w:rPr>
        <w:t xml:space="preserve">Il a permis de recueillir des données sur </w:t>
      </w:r>
      <w:r w:rsidRPr="0071782F">
        <w:rPr>
          <w:lang w:val="fr-CH"/>
        </w:rPr>
        <w:t>8</w:t>
      </w:r>
      <w:r w:rsidR="003F25A2">
        <w:rPr>
          <w:lang w:val="fr-CH"/>
        </w:rPr>
        <w:t> </w:t>
      </w:r>
      <w:r w:rsidRPr="0071782F">
        <w:rPr>
          <w:lang w:val="fr-CH"/>
        </w:rPr>
        <w:t>075</w:t>
      </w:r>
      <w:r w:rsidR="003F25A2">
        <w:rPr>
          <w:lang w:val="fr-CH"/>
        </w:rPr>
        <w:t> </w:t>
      </w:r>
      <w:r w:rsidRPr="0071782F">
        <w:rPr>
          <w:lang w:val="fr-CH"/>
        </w:rPr>
        <w:t xml:space="preserve">villages </w:t>
      </w:r>
      <w:r w:rsidR="00354103" w:rsidRPr="0071782F">
        <w:rPr>
          <w:lang w:val="fr-CH"/>
        </w:rPr>
        <w:t>et 165</w:t>
      </w:r>
      <w:r w:rsidR="003F25A2">
        <w:rPr>
          <w:lang w:val="fr-CH"/>
        </w:rPr>
        <w:t> </w:t>
      </w:r>
      <w:r w:rsidRPr="0071782F">
        <w:rPr>
          <w:lang w:val="fr-CH"/>
        </w:rPr>
        <w:t>000</w:t>
      </w:r>
      <w:r w:rsidR="003F25A2">
        <w:rPr>
          <w:lang w:val="fr-CH"/>
        </w:rPr>
        <w:t> logements</w:t>
      </w:r>
      <w:r w:rsidR="00354103" w:rsidRPr="0071782F">
        <w:rPr>
          <w:lang w:val="fr-CH"/>
        </w:rPr>
        <w:t xml:space="preserve"> ruraux</w:t>
      </w:r>
      <w:r w:rsidRPr="0071782F">
        <w:rPr>
          <w:lang w:val="fr-CH"/>
        </w:rPr>
        <w:t xml:space="preserve">. </w:t>
      </w:r>
      <w:r w:rsidR="00354103" w:rsidRPr="0071782F">
        <w:rPr>
          <w:lang w:val="fr-CH"/>
        </w:rPr>
        <w:t>Ses résultats seront publiés sous peu.</w:t>
      </w:r>
    </w:p>
    <w:p w:rsidR="008A7415" w:rsidRPr="0071782F" w:rsidRDefault="008A7415" w:rsidP="00204410">
      <w:pPr>
        <w:pStyle w:val="H1G"/>
        <w:rPr>
          <w:lang w:val="fr-CH"/>
        </w:rPr>
      </w:pPr>
      <w:r w:rsidRPr="0071782F">
        <w:rPr>
          <w:lang w:val="fr-CH"/>
        </w:rPr>
        <w:tab/>
      </w:r>
      <w:r w:rsidRPr="0071782F">
        <w:rPr>
          <w:lang w:val="fr-CH"/>
        </w:rPr>
        <w:tab/>
      </w:r>
      <w:r w:rsidR="00354103" w:rsidRPr="0071782F">
        <w:rPr>
          <w:lang w:val="fr-CH"/>
        </w:rPr>
        <w:t xml:space="preserve">Étude </w:t>
      </w:r>
      <w:r w:rsidRPr="0071782F">
        <w:rPr>
          <w:lang w:val="fr-CH"/>
        </w:rPr>
        <w:t xml:space="preserve">comparative </w:t>
      </w:r>
      <w:r w:rsidR="00354103" w:rsidRPr="0071782F">
        <w:rPr>
          <w:lang w:val="fr-CH"/>
        </w:rPr>
        <w:t xml:space="preserve">sur les </w:t>
      </w:r>
      <w:r w:rsidRPr="0071782F">
        <w:rPr>
          <w:lang w:val="fr-CH"/>
        </w:rPr>
        <w:t>activit</w:t>
      </w:r>
      <w:r w:rsidR="00354103" w:rsidRPr="0071782F">
        <w:rPr>
          <w:lang w:val="fr-CH"/>
        </w:rPr>
        <w:t>é</w:t>
      </w:r>
      <w:r w:rsidRPr="0071782F">
        <w:rPr>
          <w:lang w:val="fr-CH"/>
        </w:rPr>
        <w:t xml:space="preserve">s </w:t>
      </w:r>
      <w:r w:rsidR="00354103" w:rsidRPr="0071782F">
        <w:rPr>
          <w:lang w:val="fr-CH"/>
        </w:rPr>
        <w:t xml:space="preserve">du secteur du logement en </w:t>
      </w:r>
      <w:r w:rsidRPr="0071782F">
        <w:rPr>
          <w:lang w:val="fr-CH"/>
        </w:rPr>
        <w:t xml:space="preserve">2005 </w:t>
      </w:r>
      <w:r w:rsidR="00354103" w:rsidRPr="0071782F">
        <w:rPr>
          <w:lang w:val="fr-CH"/>
        </w:rPr>
        <w:t>et</w:t>
      </w:r>
      <w:r w:rsidRPr="0071782F">
        <w:rPr>
          <w:lang w:val="fr-CH"/>
        </w:rPr>
        <w:t xml:space="preserve"> 2006</w:t>
      </w:r>
    </w:p>
    <w:p w:rsidR="008A7415" w:rsidRPr="0071782F" w:rsidRDefault="008A7415" w:rsidP="00204410">
      <w:pPr>
        <w:pStyle w:val="SingleTxtG"/>
        <w:rPr>
          <w:lang w:val="fr-CH"/>
        </w:rPr>
      </w:pPr>
      <w:r w:rsidRPr="0071782F">
        <w:rPr>
          <w:lang w:val="fr-CH"/>
        </w:rPr>
        <w:t>216.</w:t>
      </w:r>
      <w:r w:rsidRPr="0071782F">
        <w:rPr>
          <w:lang w:val="fr-CH"/>
        </w:rPr>
        <w:tab/>
      </w:r>
      <w:r w:rsidR="00354103" w:rsidRPr="0071782F">
        <w:rPr>
          <w:lang w:val="fr-CH"/>
        </w:rPr>
        <w:t>De tous les secteurs de l’économie, le secteur du logement est celui qui a attiré le plus fort taux de participation du secteur privé, au point qu’à l’heure actuelle, les acteurs privés réalisent plus de 95</w:t>
      </w:r>
      <w:r w:rsidR="007E5125" w:rsidRPr="0071782F">
        <w:rPr>
          <w:lang w:val="fr-CH"/>
        </w:rPr>
        <w:t>%</w:t>
      </w:r>
      <w:r w:rsidR="00354103" w:rsidRPr="0071782F">
        <w:rPr>
          <w:lang w:val="fr-CH"/>
        </w:rPr>
        <w:t xml:space="preserve"> des activités liées au logement et à la </w:t>
      </w:r>
      <w:r w:rsidRPr="0071782F">
        <w:rPr>
          <w:lang w:val="fr-CH"/>
        </w:rPr>
        <w:t>construction.</w:t>
      </w:r>
    </w:p>
    <w:p w:rsidR="008A7415" w:rsidRPr="0071782F" w:rsidRDefault="008A7415" w:rsidP="00204410">
      <w:pPr>
        <w:pStyle w:val="H1G"/>
        <w:rPr>
          <w:lang w:val="fr-CH"/>
        </w:rPr>
      </w:pPr>
      <w:r w:rsidRPr="0071782F">
        <w:rPr>
          <w:lang w:val="fr-CH"/>
        </w:rPr>
        <w:tab/>
      </w:r>
      <w:r w:rsidRPr="0071782F">
        <w:rPr>
          <w:lang w:val="fr-CH"/>
        </w:rPr>
        <w:tab/>
      </w:r>
      <w:r w:rsidR="00354103" w:rsidRPr="0071782F">
        <w:rPr>
          <w:lang w:val="fr-CH"/>
        </w:rPr>
        <w:t xml:space="preserve">Résultats des indicateurs servant à évaluer l’évolution du secteur du logement </w:t>
      </w:r>
    </w:p>
    <w:p w:rsidR="008A7415" w:rsidRPr="003F25A2" w:rsidRDefault="008A7415" w:rsidP="003F25A2">
      <w:pPr>
        <w:pStyle w:val="SingleTxtG"/>
        <w:rPr>
          <w:spacing w:val="-2"/>
          <w:lang w:val="fr-CH"/>
        </w:rPr>
      </w:pPr>
      <w:r w:rsidRPr="003F25A2">
        <w:rPr>
          <w:spacing w:val="-2"/>
          <w:lang w:val="fr-CH"/>
        </w:rPr>
        <w:t>217.</w:t>
      </w:r>
      <w:r w:rsidRPr="003F25A2">
        <w:rPr>
          <w:spacing w:val="-2"/>
          <w:lang w:val="fr-CH"/>
        </w:rPr>
        <w:tab/>
      </w:r>
      <w:r w:rsidR="00590C97" w:rsidRPr="003F25A2">
        <w:rPr>
          <w:spacing w:val="-2"/>
          <w:lang w:val="fr-CH"/>
        </w:rPr>
        <w:t>Le</w:t>
      </w:r>
      <w:r w:rsidRPr="003F25A2">
        <w:rPr>
          <w:spacing w:val="-2"/>
          <w:lang w:val="fr-CH"/>
        </w:rPr>
        <w:t xml:space="preserve"> </w:t>
      </w:r>
      <w:r w:rsidR="003B48A4" w:rsidRPr="003F25A2">
        <w:rPr>
          <w:spacing w:val="-2"/>
          <w:lang w:val="fr-CH"/>
        </w:rPr>
        <w:t>nombre</w:t>
      </w:r>
      <w:r w:rsidRPr="003F25A2">
        <w:rPr>
          <w:spacing w:val="-2"/>
          <w:lang w:val="fr-CH"/>
        </w:rPr>
        <w:t xml:space="preserve"> </w:t>
      </w:r>
      <w:r w:rsidR="003F25A2" w:rsidRPr="003F25A2">
        <w:rPr>
          <w:spacing w:val="-2"/>
          <w:lang w:val="fr-CH"/>
        </w:rPr>
        <w:t>de logements</w:t>
      </w:r>
      <w:r w:rsidR="00590C97" w:rsidRPr="003F25A2">
        <w:rPr>
          <w:spacing w:val="-2"/>
          <w:lang w:val="fr-CH"/>
        </w:rPr>
        <w:t xml:space="preserve"> </w:t>
      </w:r>
      <w:r w:rsidRPr="003F25A2">
        <w:rPr>
          <w:spacing w:val="-2"/>
          <w:lang w:val="fr-CH"/>
        </w:rPr>
        <w:t>(urba</w:t>
      </w:r>
      <w:r w:rsidR="00590C97" w:rsidRPr="003F25A2">
        <w:rPr>
          <w:spacing w:val="-2"/>
          <w:lang w:val="fr-CH"/>
        </w:rPr>
        <w:t>ins</w:t>
      </w:r>
      <w:r w:rsidRPr="003F25A2">
        <w:rPr>
          <w:spacing w:val="-2"/>
          <w:lang w:val="fr-CH"/>
        </w:rPr>
        <w:t xml:space="preserve">) </w:t>
      </w:r>
      <w:r w:rsidR="00590C97" w:rsidRPr="003F25A2">
        <w:rPr>
          <w:spacing w:val="-2"/>
          <w:lang w:val="fr-CH"/>
        </w:rPr>
        <w:t xml:space="preserve">construits en </w:t>
      </w:r>
      <w:r w:rsidRPr="003F25A2">
        <w:rPr>
          <w:spacing w:val="-2"/>
          <w:lang w:val="fr-CH"/>
        </w:rPr>
        <w:t xml:space="preserve">2005 </w:t>
      </w:r>
      <w:r w:rsidR="00590C97" w:rsidRPr="003F25A2">
        <w:rPr>
          <w:spacing w:val="-2"/>
          <w:lang w:val="fr-CH"/>
        </w:rPr>
        <w:t xml:space="preserve">et en </w:t>
      </w:r>
      <w:r w:rsidRPr="003F25A2">
        <w:rPr>
          <w:spacing w:val="-2"/>
          <w:lang w:val="fr-CH"/>
        </w:rPr>
        <w:t xml:space="preserve">2006 </w:t>
      </w:r>
      <w:r w:rsidR="00590C97" w:rsidRPr="003F25A2">
        <w:rPr>
          <w:spacing w:val="-2"/>
          <w:lang w:val="fr-CH"/>
        </w:rPr>
        <w:t>a atteint 480</w:t>
      </w:r>
      <w:r w:rsidR="003F25A2" w:rsidRPr="003F25A2">
        <w:rPr>
          <w:spacing w:val="-2"/>
          <w:lang w:val="fr-CH"/>
        </w:rPr>
        <w:t> </w:t>
      </w:r>
      <w:r w:rsidRPr="003F25A2">
        <w:rPr>
          <w:spacing w:val="-2"/>
          <w:lang w:val="fr-CH"/>
        </w:rPr>
        <w:t xml:space="preserve">100 </w:t>
      </w:r>
      <w:r w:rsidR="00590C97" w:rsidRPr="003F25A2">
        <w:rPr>
          <w:spacing w:val="-2"/>
          <w:lang w:val="fr-CH"/>
        </w:rPr>
        <w:t>et 459 </w:t>
      </w:r>
      <w:r w:rsidRPr="003F25A2">
        <w:rPr>
          <w:spacing w:val="-2"/>
          <w:lang w:val="fr-CH"/>
        </w:rPr>
        <w:t>460</w:t>
      </w:r>
      <w:r w:rsidR="00590C97" w:rsidRPr="003F25A2">
        <w:rPr>
          <w:spacing w:val="-2"/>
          <w:lang w:val="fr-CH"/>
        </w:rPr>
        <w:t>, respectivement, ce qui a permis de réaliser à 58,7</w:t>
      </w:r>
      <w:r w:rsidR="007E5125" w:rsidRPr="003F25A2">
        <w:rPr>
          <w:spacing w:val="-2"/>
          <w:lang w:val="fr-CH"/>
        </w:rPr>
        <w:t>%</w:t>
      </w:r>
      <w:r w:rsidR="00590C97" w:rsidRPr="003F25A2">
        <w:rPr>
          <w:spacing w:val="-2"/>
          <w:lang w:val="fr-CH"/>
        </w:rPr>
        <w:t xml:space="preserve"> l’objectif du </w:t>
      </w:r>
      <w:r w:rsidR="00A90208" w:rsidRPr="003F25A2">
        <w:rPr>
          <w:spacing w:val="-2"/>
          <w:lang w:val="fr-CH"/>
        </w:rPr>
        <w:t>quatrième</w:t>
      </w:r>
      <w:r w:rsidR="00590C97" w:rsidRPr="003F25A2">
        <w:rPr>
          <w:spacing w:val="-2"/>
          <w:lang w:val="fr-CH"/>
        </w:rPr>
        <w:t xml:space="preserve"> plan de développement.</w:t>
      </w:r>
      <w:r w:rsidRPr="003F25A2">
        <w:rPr>
          <w:spacing w:val="-2"/>
          <w:lang w:val="fr-CH"/>
        </w:rPr>
        <w:t xml:space="preserve"> </w:t>
      </w:r>
      <w:r w:rsidR="00590C97" w:rsidRPr="003F25A2">
        <w:rPr>
          <w:spacing w:val="-2"/>
          <w:lang w:val="fr-CH"/>
        </w:rPr>
        <w:t xml:space="preserve">Par ailleurs, la superficie </w:t>
      </w:r>
      <w:r w:rsidR="003F25A2" w:rsidRPr="003F25A2">
        <w:rPr>
          <w:spacing w:val="-2"/>
          <w:lang w:val="fr-CH"/>
        </w:rPr>
        <w:t>des logements</w:t>
      </w:r>
      <w:r w:rsidR="00590C97" w:rsidRPr="003F25A2">
        <w:rPr>
          <w:spacing w:val="-2"/>
          <w:lang w:val="fr-CH"/>
        </w:rPr>
        <w:t xml:space="preserve"> urbains construits ces deux années-là s’est établie à</w:t>
      </w:r>
      <w:r w:rsidRPr="003F25A2">
        <w:rPr>
          <w:spacing w:val="-2"/>
          <w:lang w:val="fr-CH"/>
        </w:rPr>
        <w:t xml:space="preserve"> 98</w:t>
      </w:r>
      <w:r w:rsidR="00590C97" w:rsidRPr="003F25A2">
        <w:rPr>
          <w:spacing w:val="-2"/>
          <w:lang w:val="fr-CH"/>
        </w:rPr>
        <w:t>,</w:t>
      </w:r>
      <w:r w:rsidRPr="003F25A2">
        <w:rPr>
          <w:spacing w:val="-2"/>
          <w:lang w:val="fr-CH"/>
        </w:rPr>
        <w:t xml:space="preserve">3 </w:t>
      </w:r>
      <w:r w:rsidR="00590C97" w:rsidRPr="003F25A2">
        <w:rPr>
          <w:spacing w:val="-2"/>
          <w:lang w:val="fr-CH"/>
        </w:rPr>
        <w:t xml:space="preserve">et </w:t>
      </w:r>
      <w:r w:rsidRPr="003F25A2">
        <w:rPr>
          <w:spacing w:val="-2"/>
          <w:lang w:val="fr-CH"/>
        </w:rPr>
        <w:t>98</w:t>
      </w:r>
      <w:r w:rsidR="00590C97" w:rsidRPr="003F25A2">
        <w:rPr>
          <w:spacing w:val="-2"/>
          <w:lang w:val="fr-CH"/>
        </w:rPr>
        <w:t>,</w:t>
      </w:r>
      <w:r w:rsidRPr="003F25A2">
        <w:rPr>
          <w:spacing w:val="-2"/>
          <w:lang w:val="fr-CH"/>
        </w:rPr>
        <w:t>4</w:t>
      </w:r>
      <w:r w:rsidR="00097CDB" w:rsidRPr="003F25A2">
        <w:rPr>
          <w:spacing w:val="-2"/>
          <w:lang w:val="fr-CH"/>
        </w:rPr>
        <w:t> millions</w:t>
      </w:r>
      <w:r w:rsidRPr="003F25A2">
        <w:rPr>
          <w:spacing w:val="-2"/>
          <w:lang w:val="fr-CH"/>
        </w:rPr>
        <w:t xml:space="preserve"> </w:t>
      </w:r>
      <w:r w:rsidR="00C767F3" w:rsidRPr="003F25A2">
        <w:rPr>
          <w:spacing w:val="-2"/>
          <w:lang w:val="fr-CH"/>
        </w:rPr>
        <w:t>de mètres</w:t>
      </w:r>
      <w:r w:rsidR="00590C97" w:rsidRPr="003F25A2">
        <w:rPr>
          <w:spacing w:val="-2"/>
          <w:lang w:val="fr-CH"/>
        </w:rPr>
        <w:t xml:space="preserve"> carrés, respectivement</w:t>
      </w:r>
      <w:r w:rsidRPr="003F25A2">
        <w:rPr>
          <w:spacing w:val="-2"/>
          <w:lang w:val="fr-CH"/>
        </w:rPr>
        <w:t xml:space="preserve">, </w:t>
      </w:r>
      <w:r w:rsidR="00590C97" w:rsidRPr="003F25A2">
        <w:rPr>
          <w:spacing w:val="-2"/>
          <w:lang w:val="fr-CH"/>
        </w:rPr>
        <w:t>atteignant à 65</w:t>
      </w:r>
      <w:r w:rsidR="007E5125" w:rsidRPr="003F25A2">
        <w:rPr>
          <w:spacing w:val="-2"/>
          <w:lang w:val="fr-CH"/>
        </w:rPr>
        <w:t>%</w:t>
      </w:r>
      <w:r w:rsidR="00590C97" w:rsidRPr="003F25A2">
        <w:rPr>
          <w:spacing w:val="-2"/>
          <w:lang w:val="fr-CH"/>
        </w:rPr>
        <w:t xml:space="preserve"> l’objectif du </w:t>
      </w:r>
      <w:r w:rsidR="00A90208" w:rsidRPr="003F25A2">
        <w:rPr>
          <w:spacing w:val="-2"/>
          <w:lang w:val="fr-CH"/>
        </w:rPr>
        <w:t>quatrième</w:t>
      </w:r>
      <w:r w:rsidR="00590C97" w:rsidRPr="003F25A2">
        <w:rPr>
          <w:spacing w:val="-2"/>
          <w:lang w:val="fr-CH"/>
        </w:rPr>
        <w:t xml:space="preserve"> plan. La densité familiale </w:t>
      </w:r>
      <w:r w:rsidR="003F25A2" w:rsidRPr="003F25A2">
        <w:rPr>
          <w:spacing w:val="-2"/>
          <w:lang w:val="fr-CH"/>
        </w:rPr>
        <w:t>des logements</w:t>
      </w:r>
      <w:r w:rsidR="00590C97" w:rsidRPr="003F25A2">
        <w:rPr>
          <w:spacing w:val="-2"/>
          <w:lang w:val="fr-CH"/>
        </w:rPr>
        <w:t xml:space="preserve"> urbains pour ces deux années a été de 1,</w:t>
      </w:r>
      <w:r w:rsidRPr="003F25A2">
        <w:rPr>
          <w:spacing w:val="-2"/>
          <w:lang w:val="fr-CH"/>
        </w:rPr>
        <w:t xml:space="preserve">11 </w:t>
      </w:r>
      <w:r w:rsidR="00590C97" w:rsidRPr="003F25A2">
        <w:rPr>
          <w:spacing w:val="-2"/>
          <w:lang w:val="fr-CH"/>
        </w:rPr>
        <w:t xml:space="preserve">et </w:t>
      </w:r>
      <w:r w:rsidRPr="003F25A2">
        <w:rPr>
          <w:spacing w:val="-2"/>
          <w:lang w:val="fr-CH"/>
        </w:rPr>
        <w:t>1</w:t>
      </w:r>
      <w:r w:rsidR="00590C97" w:rsidRPr="003F25A2">
        <w:rPr>
          <w:spacing w:val="-2"/>
          <w:lang w:val="fr-CH"/>
        </w:rPr>
        <w:t>,</w:t>
      </w:r>
      <w:r w:rsidRPr="003F25A2">
        <w:rPr>
          <w:spacing w:val="-2"/>
          <w:lang w:val="fr-CH"/>
        </w:rPr>
        <w:t xml:space="preserve">09, </w:t>
      </w:r>
      <w:r w:rsidR="00590C97" w:rsidRPr="003F25A2">
        <w:rPr>
          <w:spacing w:val="-2"/>
          <w:lang w:val="fr-CH"/>
        </w:rPr>
        <w:t>respectivement, ce qui a permis d’atteindre à 100,6</w:t>
      </w:r>
      <w:r w:rsidR="007E5125" w:rsidRPr="003F25A2">
        <w:rPr>
          <w:spacing w:val="-2"/>
          <w:lang w:val="fr-CH"/>
        </w:rPr>
        <w:t>%</w:t>
      </w:r>
      <w:r w:rsidR="00590C97" w:rsidRPr="003F25A2">
        <w:rPr>
          <w:spacing w:val="-2"/>
          <w:lang w:val="fr-CH"/>
        </w:rPr>
        <w:t xml:space="preserve"> l’objectif fixé.</w:t>
      </w:r>
    </w:p>
    <w:p w:rsidR="008A7415" w:rsidRPr="0071782F" w:rsidRDefault="008A7415" w:rsidP="00204410">
      <w:pPr>
        <w:pStyle w:val="SingleTxtG"/>
        <w:tabs>
          <w:tab w:val="left" w:pos="2410"/>
        </w:tabs>
        <w:ind w:left="1701"/>
        <w:rPr>
          <w:lang w:val="fr-CH"/>
        </w:rPr>
      </w:pPr>
      <w:r w:rsidRPr="0071782F">
        <w:rPr>
          <w:lang w:val="fr-CH"/>
        </w:rPr>
        <w:t>217.1.</w:t>
      </w:r>
      <w:r w:rsidRPr="0071782F">
        <w:rPr>
          <w:lang w:val="fr-CH"/>
        </w:rPr>
        <w:tab/>
      </w:r>
      <w:r w:rsidR="00AB72B6" w:rsidRPr="0071782F">
        <w:rPr>
          <w:lang w:val="fr-CH"/>
        </w:rPr>
        <w:t xml:space="preserve">La proportion de bâtiments </w:t>
      </w:r>
      <w:r w:rsidR="00D77781" w:rsidRPr="0071782F">
        <w:rPr>
          <w:lang w:val="fr-CH"/>
        </w:rPr>
        <w:t>d’</w:t>
      </w:r>
      <w:r w:rsidR="00AB72B6" w:rsidRPr="0071782F">
        <w:rPr>
          <w:lang w:val="fr-CH"/>
        </w:rPr>
        <w:t>au moins trois étages par rapport au nombre total de bâtiments du pays a été de 29,7</w:t>
      </w:r>
      <w:r w:rsidR="007E5125" w:rsidRPr="0071782F">
        <w:rPr>
          <w:lang w:val="fr-CH"/>
        </w:rPr>
        <w:t>%</w:t>
      </w:r>
      <w:r w:rsidR="00AB72B6" w:rsidRPr="0071782F">
        <w:rPr>
          <w:lang w:val="fr-CH"/>
        </w:rPr>
        <w:t xml:space="preserve"> et de 27,2</w:t>
      </w:r>
      <w:r w:rsidR="007E5125" w:rsidRPr="0071782F">
        <w:rPr>
          <w:lang w:val="fr-CH"/>
        </w:rPr>
        <w:t>%</w:t>
      </w:r>
      <w:r w:rsidR="00AB72B6" w:rsidRPr="0071782F">
        <w:rPr>
          <w:lang w:val="fr-CH"/>
        </w:rPr>
        <w:t xml:space="preserve">, respectivement, en </w:t>
      </w:r>
      <w:r w:rsidRPr="0071782F">
        <w:rPr>
          <w:lang w:val="fr-CH"/>
        </w:rPr>
        <w:t xml:space="preserve">2005 </w:t>
      </w:r>
      <w:r w:rsidR="00AB72B6" w:rsidRPr="0071782F">
        <w:rPr>
          <w:lang w:val="fr-CH"/>
        </w:rPr>
        <w:t>et</w:t>
      </w:r>
      <w:r w:rsidR="003F25A2">
        <w:rPr>
          <w:lang w:val="fr-CH"/>
        </w:rPr>
        <w:t> </w:t>
      </w:r>
      <w:r w:rsidRPr="0071782F">
        <w:rPr>
          <w:lang w:val="fr-CH"/>
        </w:rPr>
        <w:t>2006</w:t>
      </w:r>
      <w:r w:rsidR="00AB72B6" w:rsidRPr="0071782F">
        <w:rPr>
          <w:lang w:val="fr-CH"/>
        </w:rPr>
        <w:t xml:space="preserve">, atteignant à </w:t>
      </w:r>
      <w:r w:rsidRPr="0071782F">
        <w:rPr>
          <w:lang w:val="fr-CH"/>
        </w:rPr>
        <w:t>77</w:t>
      </w:r>
      <w:r w:rsidR="00AB72B6" w:rsidRPr="0071782F">
        <w:rPr>
          <w:lang w:val="fr-CH"/>
        </w:rPr>
        <w:t>,</w:t>
      </w:r>
      <w:r w:rsidRPr="0071782F">
        <w:rPr>
          <w:lang w:val="fr-CH"/>
        </w:rPr>
        <w:t>7</w:t>
      </w:r>
      <w:r w:rsidR="007E5125" w:rsidRPr="0071782F">
        <w:rPr>
          <w:lang w:val="fr-CH"/>
        </w:rPr>
        <w:t>%</w:t>
      </w:r>
      <w:r w:rsidRPr="0071782F">
        <w:rPr>
          <w:lang w:val="fr-CH"/>
        </w:rPr>
        <w:t xml:space="preserve"> </w:t>
      </w:r>
      <w:r w:rsidR="00AB72B6" w:rsidRPr="0071782F">
        <w:rPr>
          <w:lang w:val="fr-CH"/>
        </w:rPr>
        <w:t xml:space="preserve">l’objectif fixé par le </w:t>
      </w:r>
      <w:r w:rsidRPr="0071782F">
        <w:rPr>
          <w:lang w:val="fr-CH"/>
        </w:rPr>
        <w:t xml:space="preserve">plan. </w:t>
      </w:r>
      <w:r w:rsidR="00AB72B6" w:rsidRPr="0071782F">
        <w:rPr>
          <w:lang w:val="fr-CH"/>
        </w:rPr>
        <w:t xml:space="preserve">Le nombre moyen </w:t>
      </w:r>
      <w:r w:rsidR="003F25A2">
        <w:rPr>
          <w:lang w:val="fr-CH"/>
        </w:rPr>
        <w:t>de logements</w:t>
      </w:r>
      <w:r w:rsidR="00AB72B6" w:rsidRPr="0071782F">
        <w:rPr>
          <w:lang w:val="fr-CH"/>
        </w:rPr>
        <w:t xml:space="preserve"> par bâtiment en</w:t>
      </w:r>
      <w:r w:rsidRPr="0071782F">
        <w:rPr>
          <w:lang w:val="fr-CH"/>
        </w:rPr>
        <w:t xml:space="preserve"> 2005 </w:t>
      </w:r>
      <w:r w:rsidR="00AB72B6" w:rsidRPr="0071782F">
        <w:rPr>
          <w:lang w:val="fr-CH"/>
        </w:rPr>
        <w:t>et</w:t>
      </w:r>
      <w:r w:rsidRPr="0071782F">
        <w:rPr>
          <w:lang w:val="fr-CH"/>
        </w:rPr>
        <w:t xml:space="preserve"> 2006 </w:t>
      </w:r>
      <w:r w:rsidR="00AB72B6" w:rsidRPr="0071782F">
        <w:rPr>
          <w:lang w:val="fr-CH"/>
        </w:rPr>
        <w:t xml:space="preserve">a été de </w:t>
      </w:r>
      <w:r w:rsidRPr="0071782F">
        <w:rPr>
          <w:lang w:val="fr-CH"/>
        </w:rPr>
        <w:t>2</w:t>
      </w:r>
      <w:r w:rsidR="00AB72B6" w:rsidRPr="0071782F">
        <w:rPr>
          <w:lang w:val="fr-CH"/>
        </w:rPr>
        <w:t>,</w:t>
      </w:r>
      <w:r w:rsidRPr="0071782F">
        <w:rPr>
          <w:lang w:val="fr-CH"/>
        </w:rPr>
        <w:t>98</w:t>
      </w:r>
      <w:r w:rsidR="00E532CF" w:rsidRPr="0071782F">
        <w:rPr>
          <w:lang w:val="fr-CH"/>
        </w:rPr>
        <w:t xml:space="preserve"> </w:t>
      </w:r>
      <w:r w:rsidR="00AB72B6" w:rsidRPr="0071782F">
        <w:rPr>
          <w:lang w:val="fr-CH"/>
        </w:rPr>
        <w:t xml:space="preserve">et </w:t>
      </w:r>
      <w:r w:rsidRPr="0071782F">
        <w:rPr>
          <w:lang w:val="fr-CH"/>
        </w:rPr>
        <w:t>2</w:t>
      </w:r>
      <w:r w:rsidR="00AB72B6" w:rsidRPr="0071782F">
        <w:rPr>
          <w:lang w:val="fr-CH"/>
        </w:rPr>
        <w:t>,</w:t>
      </w:r>
      <w:r w:rsidRPr="0071782F">
        <w:rPr>
          <w:lang w:val="fr-CH"/>
        </w:rPr>
        <w:t>83</w:t>
      </w:r>
      <w:r w:rsidR="00AB72B6" w:rsidRPr="0071782F">
        <w:rPr>
          <w:lang w:val="fr-CH"/>
        </w:rPr>
        <w:t>, respectivement</w:t>
      </w:r>
      <w:r w:rsidRPr="0071782F">
        <w:rPr>
          <w:lang w:val="fr-CH"/>
        </w:rPr>
        <w:t xml:space="preserve">, </w:t>
      </w:r>
      <w:r w:rsidR="00AB72B6" w:rsidRPr="0071782F">
        <w:rPr>
          <w:lang w:val="fr-CH"/>
        </w:rPr>
        <w:t xml:space="preserve">ce qui a permis d’atteindre à </w:t>
      </w:r>
      <w:r w:rsidRPr="0071782F">
        <w:rPr>
          <w:lang w:val="fr-CH"/>
        </w:rPr>
        <w:t>80</w:t>
      </w:r>
      <w:r w:rsidR="00AB72B6" w:rsidRPr="0071782F">
        <w:rPr>
          <w:lang w:val="fr-CH"/>
        </w:rPr>
        <w:t>,</w:t>
      </w:r>
      <w:r w:rsidRPr="0071782F">
        <w:rPr>
          <w:lang w:val="fr-CH"/>
        </w:rPr>
        <w:t>9</w:t>
      </w:r>
      <w:r w:rsidR="007E5125" w:rsidRPr="0071782F">
        <w:rPr>
          <w:lang w:val="fr-CH"/>
        </w:rPr>
        <w:t>%</w:t>
      </w:r>
      <w:r w:rsidRPr="0071782F">
        <w:rPr>
          <w:lang w:val="fr-CH"/>
        </w:rPr>
        <w:t xml:space="preserve"> </w:t>
      </w:r>
      <w:r w:rsidR="00AB72B6" w:rsidRPr="0071782F">
        <w:rPr>
          <w:lang w:val="fr-CH"/>
        </w:rPr>
        <w:t xml:space="preserve">l’objectif du </w:t>
      </w:r>
      <w:r w:rsidRPr="0071782F">
        <w:rPr>
          <w:lang w:val="fr-CH"/>
        </w:rPr>
        <w:t xml:space="preserve">plan. </w:t>
      </w:r>
      <w:r w:rsidR="00AB72B6" w:rsidRPr="0071782F">
        <w:rPr>
          <w:lang w:val="fr-CH"/>
        </w:rPr>
        <w:t xml:space="preserve">La superficie moyenne </w:t>
      </w:r>
      <w:r w:rsidR="003F25A2">
        <w:rPr>
          <w:lang w:val="fr-CH"/>
        </w:rPr>
        <w:t>des logements</w:t>
      </w:r>
      <w:r w:rsidR="00AB72B6" w:rsidRPr="0071782F">
        <w:rPr>
          <w:lang w:val="fr-CH"/>
        </w:rPr>
        <w:t xml:space="preserve"> urbains construits en </w:t>
      </w:r>
      <w:r w:rsidRPr="0071782F">
        <w:rPr>
          <w:lang w:val="fr-CH"/>
        </w:rPr>
        <w:t xml:space="preserve">2005 </w:t>
      </w:r>
      <w:r w:rsidR="00AB72B6" w:rsidRPr="0071782F">
        <w:rPr>
          <w:lang w:val="fr-CH"/>
        </w:rPr>
        <w:t>et</w:t>
      </w:r>
      <w:r w:rsidRPr="0071782F">
        <w:rPr>
          <w:lang w:val="fr-CH"/>
        </w:rPr>
        <w:t xml:space="preserve"> 2006 </w:t>
      </w:r>
      <w:r w:rsidR="00AB72B6" w:rsidRPr="0071782F">
        <w:rPr>
          <w:lang w:val="fr-CH"/>
        </w:rPr>
        <w:t xml:space="preserve">a été de </w:t>
      </w:r>
      <w:r w:rsidRPr="0071782F">
        <w:rPr>
          <w:lang w:val="fr-CH"/>
        </w:rPr>
        <w:t>121</w:t>
      </w:r>
      <w:r w:rsidR="00E532CF" w:rsidRPr="0071782F">
        <w:rPr>
          <w:lang w:val="fr-CH"/>
        </w:rPr>
        <w:t xml:space="preserve"> </w:t>
      </w:r>
      <w:r w:rsidR="00AB72B6" w:rsidRPr="0071782F">
        <w:rPr>
          <w:lang w:val="fr-CH"/>
        </w:rPr>
        <w:t xml:space="preserve">et </w:t>
      </w:r>
      <w:r w:rsidRPr="0071782F">
        <w:rPr>
          <w:lang w:val="fr-CH"/>
        </w:rPr>
        <w:t>123</w:t>
      </w:r>
      <w:r w:rsidR="00AF44B8" w:rsidRPr="0071782F">
        <w:rPr>
          <w:lang w:val="fr-CH"/>
        </w:rPr>
        <w:t> m</w:t>
      </w:r>
      <w:r w:rsidR="003F25A2" w:rsidRPr="003F25A2">
        <w:rPr>
          <w:vertAlign w:val="superscript"/>
          <w:lang w:val="fr-CH"/>
        </w:rPr>
        <w:t>2</w:t>
      </w:r>
      <w:r w:rsidR="00AB72B6" w:rsidRPr="0071782F">
        <w:rPr>
          <w:lang w:val="fr-CH"/>
        </w:rPr>
        <w:t>, respectivement</w:t>
      </w:r>
      <w:r w:rsidRPr="0071782F">
        <w:rPr>
          <w:lang w:val="fr-CH"/>
        </w:rPr>
        <w:t xml:space="preserve">, </w:t>
      </w:r>
      <w:r w:rsidR="00AB72B6" w:rsidRPr="0071782F">
        <w:rPr>
          <w:lang w:val="fr-CH"/>
        </w:rPr>
        <w:t xml:space="preserve">atteignant à </w:t>
      </w:r>
      <w:r w:rsidRPr="0071782F">
        <w:rPr>
          <w:lang w:val="fr-CH"/>
        </w:rPr>
        <w:t>89</w:t>
      </w:r>
      <w:r w:rsidR="00AB72B6" w:rsidRPr="0071782F">
        <w:rPr>
          <w:lang w:val="fr-CH"/>
        </w:rPr>
        <w:t>,</w:t>
      </w:r>
      <w:r w:rsidRPr="0071782F">
        <w:rPr>
          <w:lang w:val="fr-CH"/>
        </w:rPr>
        <w:t>2</w:t>
      </w:r>
      <w:r w:rsidR="007E5125" w:rsidRPr="0071782F">
        <w:rPr>
          <w:lang w:val="fr-CH"/>
        </w:rPr>
        <w:t>%</w:t>
      </w:r>
      <w:r w:rsidRPr="0071782F">
        <w:rPr>
          <w:lang w:val="fr-CH"/>
        </w:rPr>
        <w:t xml:space="preserve"> </w:t>
      </w:r>
      <w:r w:rsidR="00AB72B6" w:rsidRPr="0071782F">
        <w:rPr>
          <w:lang w:val="fr-CH"/>
        </w:rPr>
        <w:t>l’objectif fixé.</w:t>
      </w:r>
    </w:p>
    <w:p w:rsidR="008A7415" w:rsidRPr="0071782F" w:rsidRDefault="008A7415" w:rsidP="00204410">
      <w:pPr>
        <w:pStyle w:val="H1G"/>
        <w:rPr>
          <w:lang w:val="fr-CH"/>
        </w:rPr>
      </w:pPr>
      <w:r w:rsidRPr="0071782F">
        <w:rPr>
          <w:lang w:val="fr-CH"/>
        </w:rPr>
        <w:tab/>
      </w:r>
      <w:r w:rsidRPr="0071782F">
        <w:rPr>
          <w:lang w:val="fr-CH"/>
        </w:rPr>
        <w:tab/>
      </w:r>
      <w:r w:rsidR="00AB72B6" w:rsidRPr="0071782F">
        <w:rPr>
          <w:lang w:val="fr-CH"/>
        </w:rPr>
        <w:t>P</w:t>
      </w:r>
      <w:r w:rsidRPr="0071782F">
        <w:rPr>
          <w:lang w:val="fr-CH"/>
        </w:rPr>
        <w:t>erformance</w:t>
      </w:r>
      <w:r w:rsidR="00AB72B6" w:rsidRPr="0071782F">
        <w:rPr>
          <w:lang w:val="fr-CH"/>
        </w:rPr>
        <w:t>s des crédits alloués</w:t>
      </w:r>
      <w:r w:rsidR="00D36718">
        <w:rPr>
          <w:lang w:val="fr-CH"/>
        </w:rPr>
        <w:t xml:space="preserve"> </w:t>
      </w:r>
    </w:p>
    <w:p w:rsidR="008A7415" w:rsidRPr="0071782F" w:rsidRDefault="008A7415" w:rsidP="00204410">
      <w:pPr>
        <w:pStyle w:val="SingleTxtG"/>
        <w:rPr>
          <w:lang w:val="fr-CH"/>
        </w:rPr>
      </w:pPr>
      <w:r w:rsidRPr="0071782F">
        <w:rPr>
          <w:lang w:val="fr-CH"/>
        </w:rPr>
        <w:t>218.</w:t>
      </w:r>
      <w:r w:rsidRPr="0071782F">
        <w:rPr>
          <w:lang w:val="fr-CH"/>
        </w:rPr>
        <w:tab/>
      </w:r>
      <w:r w:rsidR="00B26E16" w:rsidRPr="0071782F">
        <w:rPr>
          <w:lang w:val="fr-CH"/>
        </w:rPr>
        <w:t xml:space="preserve">Le montant des </w:t>
      </w:r>
      <w:r w:rsidRPr="0071782F">
        <w:rPr>
          <w:lang w:val="fr-CH"/>
        </w:rPr>
        <w:t>cr</w:t>
      </w:r>
      <w:r w:rsidR="00B26E16" w:rsidRPr="0071782F">
        <w:rPr>
          <w:lang w:val="fr-CH"/>
        </w:rPr>
        <w:t>é</w:t>
      </w:r>
      <w:r w:rsidRPr="0071782F">
        <w:rPr>
          <w:lang w:val="fr-CH"/>
        </w:rPr>
        <w:t>dit</w:t>
      </w:r>
      <w:r w:rsidR="00B26E16" w:rsidRPr="0071782F">
        <w:rPr>
          <w:lang w:val="fr-CH"/>
        </w:rPr>
        <w:t>s</w:t>
      </w:r>
      <w:r w:rsidRPr="0071782F">
        <w:rPr>
          <w:lang w:val="fr-CH"/>
        </w:rPr>
        <w:t xml:space="preserve"> allo</w:t>
      </w:r>
      <w:r w:rsidR="00B26E16" w:rsidRPr="0071782F">
        <w:rPr>
          <w:lang w:val="fr-CH"/>
        </w:rPr>
        <w:t xml:space="preserve">ués aux programmes de construction </w:t>
      </w:r>
      <w:r w:rsidR="003F25A2">
        <w:rPr>
          <w:lang w:val="fr-CH"/>
        </w:rPr>
        <w:t>de logements</w:t>
      </w:r>
      <w:r w:rsidR="00B26E16" w:rsidRPr="0071782F">
        <w:rPr>
          <w:lang w:val="fr-CH"/>
        </w:rPr>
        <w:t xml:space="preserve"> ruraux par la Fondation de la Révolution islamique pour le logement a été de 95</w:t>
      </w:r>
      <w:r w:rsidR="008553D9" w:rsidRPr="0071782F">
        <w:rPr>
          <w:lang w:val="fr-CH"/>
        </w:rPr>
        <w:t> milliard</w:t>
      </w:r>
      <w:r w:rsidR="00097CDB" w:rsidRPr="0071782F">
        <w:rPr>
          <w:lang w:val="fr-CH"/>
        </w:rPr>
        <w:t>s</w:t>
      </w:r>
      <w:r w:rsidRPr="0071782F">
        <w:rPr>
          <w:lang w:val="fr-CH"/>
        </w:rPr>
        <w:t xml:space="preserve"> </w:t>
      </w:r>
      <w:r w:rsidR="003B1403" w:rsidRPr="0071782F">
        <w:rPr>
          <w:lang w:val="fr-CH"/>
        </w:rPr>
        <w:t>de rials</w:t>
      </w:r>
      <w:r w:rsidRPr="0071782F">
        <w:rPr>
          <w:lang w:val="fr-CH"/>
        </w:rPr>
        <w:t xml:space="preserve"> </w:t>
      </w:r>
      <w:r w:rsidR="00B26E16" w:rsidRPr="0071782F">
        <w:rPr>
          <w:lang w:val="fr-CH"/>
        </w:rPr>
        <w:t>e</w:t>
      </w:r>
      <w:r w:rsidRPr="0071782F">
        <w:rPr>
          <w:lang w:val="fr-CH"/>
        </w:rPr>
        <w:t xml:space="preserve">n 2005, </w:t>
      </w:r>
      <w:r w:rsidR="00B26E16" w:rsidRPr="0071782F">
        <w:rPr>
          <w:lang w:val="fr-CH"/>
        </w:rPr>
        <w:t>avant d’atteindre 166</w:t>
      </w:r>
      <w:r w:rsidR="00662760" w:rsidRPr="0071782F">
        <w:rPr>
          <w:lang w:val="fr-CH"/>
        </w:rPr>
        <w:t>,</w:t>
      </w:r>
      <w:r w:rsidRPr="0071782F">
        <w:rPr>
          <w:lang w:val="fr-CH"/>
        </w:rPr>
        <w:t>420</w:t>
      </w:r>
      <w:r w:rsidR="008553D9" w:rsidRPr="0071782F">
        <w:rPr>
          <w:lang w:val="fr-CH"/>
        </w:rPr>
        <w:t> milliard</w:t>
      </w:r>
      <w:r w:rsidR="00097CDB" w:rsidRPr="0071782F">
        <w:rPr>
          <w:lang w:val="fr-CH"/>
        </w:rPr>
        <w:t>s</w:t>
      </w:r>
      <w:r w:rsidRPr="0071782F">
        <w:rPr>
          <w:lang w:val="fr-CH"/>
        </w:rPr>
        <w:t xml:space="preserve"> </w:t>
      </w:r>
      <w:r w:rsidR="00B26E16" w:rsidRPr="0071782F">
        <w:rPr>
          <w:lang w:val="fr-CH"/>
        </w:rPr>
        <w:t>e</w:t>
      </w:r>
      <w:r w:rsidRPr="0071782F">
        <w:rPr>
          <w:lang w:val="fr-CH"/>
        </w:rPr>
        <w:t xml:space="preserve">n 2006, </w:t>
      </w:r>
      <w:r w:rsidR="00B26E16" w:rsidRPr="0071782F">
        <w:rPr>
          <w:lang w:val="fr-CH"/>
        </w:rPr>
        <w:t xml:space="preserve">en augmentation de </w:t>
      </w:r>
      <w:r w:rsidRPr="0071782F">
        <w:rPr>
          <w:lang w:val="fr-CH"/>
        </w:rPr>
        <w:t>75</w:t>
      </w:r>
      <w:r w:rsidR="00B26E16" w:rsidRPr="0071782F">
        <w:rPr>
          <w:lang w:val="fr-CH"/>
        </w:rPr>
        <w:t>,</w:t>
      </w:r>
      <w:r w:rsidRPr="0071782F">
        <w:rPr>
          <w:lang w:val="fr-CH"/>
        </w:rPr>
        <w:t>2</w:t>
      </w:r>
      <w:r w:rsidR="007E5125" w:rsidRPr="0071782F">
        <w:rPr>
          <w:lang w:val="fr-CH"/>
        </w:rPr>
        <w:t>%</w:t>
      </w:r>
      <w:r w:rsidRPr="0071782F">
        <w:rPr>
          <w:lang w:val="fr-CH"/>
        </w:rPr>
        <w:t>.</w:t>
      </w:r>
    </w:p>
    <w:p w:rsidR="008A7415" w:rsidRPr="0071782F" w:rsidRDefault="008A7415" w:rsidP="00EF1A47">
      <w:pPr>
        <w:pStyle w:val="SingleTxtG"/>
        <w:ind w:left="1701"/>
        <w:rPr>
          <w:lang w:val="fr-CH"/>
        </w:rPr>
      </w:pPr>
      <w:r w:rsidRPr="0071782F">
        <w:rPr>
          <w:lang w:val="fr-CH"/>
        </w:rPr>
        <w:t>218.1.</w:t>
      </w:r>
      <w:r w:rsidRPr="0071782F">
        <w:rPr>
          <w:lang w:val="fr-CH"/>
        </w:rPr>
        <w:tab/>
      </w:r>
      <w:r w:rsidR="00B26E16" w:rsidRPr="0071782F">
        <w:rPr>
          <w:lang w:val="fr-CH"/>
        </w:rPr>
        <w:t xml:space="preserve">Le </w:t>
      </w:r>
      <w:r w:rsidRPr="0071782F">
        <w:rPr>
          <w:lang w:val="fr-CH"/>
        </w:rPr>
        <w:t>cr</w:t>
      </w:r>
      <w:r w:rsidR="00B26E16" w:rsidRPr="0071782F">
        <w:rPr>
          <w:lang w:val="fr-CH"/>
        </w:rPr>
        <w:t>é</w:t>
      </w:r>
      <w:r w:rsidRPr="0071782F">
        <w:rPr>
          <w:lang w:val="fr-CH"/>
        </w:rPr>
        <w:t>dit a</w:t>
      </w:r>
      <w:r w:rsidR="00B26E16" w:rsidRPr="0071782F">
        <w:rPr>
          <w:lang w:val="fr-CH"/>
        </w:rPr>
        <w:t xml:space="preserve">ffecté au </w:t>
      </w:r>
      <w:r w:rsidRPr="0071782F">
        <w:rPr>
          <w:lang w:val="fr-CH"/>
        </w:rPr>
        <w:t>program</w:t>
      </w:r>
      <w:r w:rsidR="00B26E16" w:rsidRPr="0071782F">
        <w:rPr>
          <w:lang w:val="fr-CH"/>
        </w:rPr>
        <w:t xml:space="preserve">me d’appui à la construction </w:t>
      </w:r>
      <w:r w:rsidR="003F25A2">
        <w:rPr>
          <w:lang w:val="fr-CH"/>
        </w:rPr>
        <w:t>de logements</w:t>
      </w:r>
      <w:r w:rsidR="00B26E16" w:rsidRPr="0071782F">
        <w:rPr>
          <w:lang w:val="fr-CH"/>
        </w:rPr>
        <w:t xml:space="preserve"> pour les groupes défavorisés et à faible revenu s’est établi à </w:t>
      </w:r>
      <w:r w:rsidRPr="0071782F">
        <w:rPr>
          <w:lang w:val="fr-CH"/>
        </w:rPr>
        <w:t>35</w:t>
      </w:r>
      <w:r w:rsidR="008553D9" w:rsidRPr="0071782F">
        <w:rPr>
          <w:lang w:val="fr-CH"/>
        </w:rPr>
        <w:t> milliard</w:t>
      </w:r>
      <w:r w:rsidR="00097CDB" w:rsidRPr="0071782F">
        <w:rPr>
          <w:lang w:val="fr-CH"/>
        </w:rPr>
        <w:t>s</w:t>
      </w:r>
      <w:r w:rsidRPr="0071782F">
        <w:rPr>
          <w:lang w:val="fr-CH"/>
        </w:rPr>
        <w:t xml:space="preserve"> </w:t>
      </w:r>
      <w:r w:rsidR="003B1403" w:rsidRPr="0071782F">
        <w:rPr>
          <w:lang w:val="fr-CH"/>
        </w:rPr>
        <w:t>de rials</w:t>
      </w:r>
      <w:r w:rsidRPr="0071782F">
        <w:rPr>
          <w:lang w:val="fr-CH"/>
        </w:rPr>
        <w:t xml:space="preserve"> </w:t>
      </w:r>
      <w:r w:rsidR="00B26E16" w:rsidRPr="0071782F">
        <w:rPr>
          <w:lang w:val="fr-CH"/>
        </w:rPr>
        <w:t>e</w:t>
      </w:r>
      <w:r w:rsidRPr="0071782F">
        <w:rPr>
          <w:lang w:val="fr-CH"/>
        </w:rPr>
        <w:t xml:space="preserve">n 2005, </w:t>
      </w:r>
      <w:r w:rsidR="00B26E16" w:rsidRPr="0071782F">
        <w:rPr>
          <w:lang w:val="fr-CH"/>
        </w:rPr>
        <w:t>avant d’être ramené à 23</w:t>
      </w:r>
      <w:r w:rsidR="00662760" w:rsidRPr="0071782F">
        <w:rPr>
          <w:lang w:val="fr-CH"/>
        </w:rPr>
        <w:t>,</w:t>
      </w:r>
      <w:r w:rsidRPr="0071782F">
        <w:rPr>
          <w:lang w:val="fr-CH"/>
        </w:rPr>
        <w:t>374</w:t>
      </w:r>
      <w:r w:rsidR="008553D9" w:rsidRPr="0071782F">
        <w:rPr>
          <w:lang w:val="fr-CH"/>
        </w:rPr>
        <w:t> milliard</w:t>
      </w:r>
      <w:r w:rsidR="00097CDB" w:rsidRPr="0071782F">
        <w:rPr>
          <w:lang w:val="fr-CH"/>
        </w:rPr>
        <w:t>s</w:t>
      </w:r>
      <w:r w:rsidR="00B26E16" w:rsidRPr="0071782F">
        <w:rPr>
          <w:lang w:val="fr-CH"/>
        </w:rPr>
        <w:t xml:space="preserve"> en </w:t>
      </w:r>
      <w:r w:rsidRPr="0071782F">
        <w:rPr>
          <w:lang w:val="fr-CH"/>
        </w:rPr>
        <w:t xml:space="preserve">2006, </w:t>
      </w:r>
      <w:r w:rsidR="00B26E16" w:rsidRPr="0071782F">
        <w:rPr>
          <w:lang w:val="fr-CH"/>
        </w:rPr>
        <w:t xml:space="preserve">en baisse de </w:t>
      </w:r>
      <w:r w:rsidRPr="0071782F">
        <w:rPr>
          <w:lang w:val="fr-CH"/>
        </w:rPr>
        <w:t>33</w:t>
      </w:r>
      <w:r w:rsidR="00B26E16" w:rsidRPr="0071782F">
        <w:rPr>
          <w:lang w:val="fr-CH"/>
        </w:rPr>
        <w:t>,</w:t>
      </w:r>
      <w:r w:rsidRPr="0071782F">
        <w:rPr>
          <w:lang w:val="fr-CH"/>
        </w:rPr>
        <w:t>2</w:t>
      </w:r>
      <w:r w:rsidR="007E5125" w:rsidRPr="0071782F">
        <w:rPr>
          <w:lang w:val="fr-CH"/>
        </w:rPr>
        <w:t>%</w:t>
      </w:r>
      <w:r w:rsidRPr="0071782F">
        <w:rPr>
          <w:lang w:val="fr-CH"/>
        </w:rPr>
        <w:t>.</w:t>
      </w:r>
    </w:p>
    <w:p w:rsidR="008A7415" w:rsidRPr="0071782F" w:rsidRDefault="008A7415" w:rsidP="00EF1A47">
      <w:pPr>
        <w:pStyle w:val="SingleTxtG"/>
        <w:ind w:left="1701"/>
        <w:rPr>
          <w:lang w:val="fr-CH"/>
        </w:rPr>
      </w:pPr>
      <w:r w:rsidRPr="0071782F">
        <w:rPr>
          <w:lang w:val="fr-CH"/>
        </w:rPr>
        <w:t>218.2.</w:t>
      </w:r>
      <w:r w:rsidRPr="0071782F">
        <w:rPr>
          <w:lang w:val="fr-CH"/>
        </w:rPr>
        <w:tab/>
      </w:r>
      <w:r w:rsidR="00B26E16" w:rsidRPr="0071782F">
        <w:rPr>
          <w:lang w:val="fr-CH"/>
        </w:rPr>
        <w:t xml:space="preserve">Le crédit affecté au programme d’aide au crédit pour la construction </w:t>
      </w:r>
      <w:r w:rsidR="003F25A2">
        <w:rPr>
          <w:lang w:val="fr-CH"/>
        </w:rPr>
        <w:t>de logements</w:t>
      </w:r>
      <w:r w:rsidR="00011273" w:rsidRPr="0071782F">
        <w:rPr>
          <w:lang w:val="fr-CH"/>
        </w:rPr>
        <w:t xml:space="preserve"> est passé de</w:t>
      </w:r>
      <w:r w:rsidRPr="0071782F">
        <w:rPr>
          <w:lang w:val="fr-CH"/>
        </w:rPr>
        <w:t xml:space="preserve"> 320</w:t>
      </w:r>
      <w:r w:rsidR="00097CDB" w:rsidRPr="0071782F">
        <w:rPr>
          <w:lang w:val="fr-CH"/>
        </w:rPr>
        <w:t> millions</w:t>
      </w:r>
      <w:r w:rsidR="00011273" w:rsidRPr="0071782F">
        <w:rPr>
          <w:lang w:val="fr-CH"/>
        </w:rPr>
        <w:t xml:space="preserve"> </w:t>
      </w:r>
      <w:r w:rsidR="003B1403" w:rsidRPr="0071782F">
        <w:rPr>
          <w:lang w:val="fr-CH"/>
        </w:rPr>
        <w:t>de rials</w:t>
      </w:r>
      <w:r w:rsidRPr="0071782F">
        <w:rPr>
          <w:lang w:val="fr-CH"/>
        </w:rPr>
        <w:t xml:space="preserve"> </w:t>
      </w:r>
      <w:r w:rsidR="00011273" w:rsidRPr="0071782F">
        <w:rPr>
          <w:lang w:val="fr-CH"/>
        </w:rPr>
        <w:t>en 2005 à</w:t>
      </w:r>
      <w:r w:rsidRPr="0071782F">
        <w:rPr>
          <w:lang w:val="fr-CH"/>
        </w:rPr>
        <w:t xml:space="preserve"> 123</w:t>
      </w:r>
      <w:r w:rsidR="00662760" w:rsidRPr="0071782F">
        <w:rPr>
          <w:lang w:val="fr-CH"/>
        </w:rPr>
        <w:t>,</w:t>
      </w:r>
      <w:r w:rsidRPr="0071782F">
        <w:rPr>
          <w:lang w:val="fr-CH"/>
        </w:rPr>
        <w:t>937</w:t>
      </w:r>
      <w:r w:rsidR="008553D9" w:rsidRPr="0071782F">
        <w:rPr>
          <w:lang w:val="fr-CH"/>
        </w:rPr>
        <w:t> milliard</w:t>
      </w:r>
      <w:r w:rsidR="00097CDB" w:rsidRPr="0071782F">
        <w:rPr>
          <w:lang w:val="fr-CH"/>
        </w:rPr>
        <w:t>s</w:t>
      </w:r>
      <w:r w:rsidRPr="0071782F">
        <w:rPr>
          <w:lang w:val="fr-CH"/>
        </w:rPr>
        <w:t xml:space="preserve"> </w:t>
      </w:r>
      <w:r w:rsidR="00011273" w:rsidRPr="0071782F">
        <w:rPr>
          <w:lang w:val="fr-CH"/>
        </w:rPr>
        <w:t xml:space="preserve">en </w:t>
      </w:r>
      <w:r w:rsidRPr="0071782F">
        <w:rPr>
          <w:lang w:val="fr-CH"/>
        </w:rPr>
        <w:t xml:space="preserve">2006, </w:t>
      </w:r>
      <w:r w:rsidR="00011273" w:rsidRPr="0071782F">
        <w:rPr>
          <w:lang w:val="fr-CH"/>
        </w:rPr>
        <w:t xml:space="preserve">en augmentation de </w:t>
      </w:r>
      <w:r w:rsidRPr="0071782F">
        <w:rPr>
          <w:lang w:val="fr-CH"/>
        </w:rPr>
        <w:t>38</w:t>
      </w:r>
      <w:r w:rsidR="00011273" w:rsidRPr="0071782F">
        <w:rPr>
          <w:lang w:val="fr-CH"/>
        </w:rPr>
        <w:t>,</w:t>
      </w:r>
      <w:r w:rsidRPr="0071782F">
        <w:rPr>
          <w:lang w:val="fr-CH"/>
        </w:rPr>
        <w:t>63</w:t>
      </w:r>
      <w:r w:rsidR="007E5125" w:rsidRPr="0071782F">
        <w:rPr>
          <w:lang w:val="fr-CH"/>
        </w:rPr>
        <w:t>%</w:t>
      </w:r>
      <w:r w:rsidRPr="0071782F">
        <w:rPr>
          <w:lang w:val="fr-CH"/>
        </w:rPr>
        <w:t>.</w:t>
      </w:r>
    </w:p>
    <w:p w:rsidR="008A7415" w:rsidRPr="0071782F" w:rsidRDefault="008A7415" w:rsidP="00695FF7">
      <w:pPr>
        <w:pStyle w:val="SingleTxtG"/>
        <w:spacing w:after="0"/>
        <w:ind w:left="1701"/>
        <w:rPr>
          <w:lang w:val="fr-CH"/>
        </w:rPr>
      </w:pPr>
      <w:r w:rsidRPr="0071782F">
        <w:rPr>
          <w:lang w:val="fr-CH"/>
        </w:rPr>
        <w:t>218.3.</w:t>
      </w:r>
      <w:r w:rsidRPr="0071782F">
        <w:rPr>
          <w:lang w:val="fr-CH"/>
        </w:rPr>
        <w:tab/>
      </w:r>
      <w:r w:rsidR="00B26E16" w:rsidRPr="0071782F">
        <w:rPr>
          <w:lang w:val="fr-CH"/>
        </w:rPr>
        <w:t xml:space="preserve">Le crédit affecté au programme </w:t>
      </w:r>
      <w:r w:rsidR="00011273" w:rsidRPr="0071782F">
        <w:rPr>
          <w:lang w:val="fr-CH"/>
        </w:rPr>
        <w:t xml:space="preserve">de construction </w:t>
      </w:r>
      <w:r w:rsidR="003F25A2">
        <w:rPr>
          <w:lang w:val="fr-CH"/>
        </w:rPr>
        <w:t>de logements</w:t>
      </w:r>
      <w:r w:rsidR="00011273" w:rsidRPr="0071782F">
        <w:rPr>
          <w:lang w:val="fr-CH"/>
        </w:rPr>
        <w:t xml:space="preserve"> urbains du Ministère du logement et de l’aménagement urbain est passé de 240</w:t>
      </w:r>
      <w:r w:rsidR="008553D9" w:rsidRPr="0071782F">
        <w:rPr>
          <w:lang w:val="fr-CH"/>
        </w:rPr>
        <w:t> milliard</w:t>
      </w:r>
      <w:r w:rsidR="00097CDB" w:rsidRPr="0071782F">
        <w:rPr>
          <w:lang w:val="fr-CH"/>
        </w:rPr>
        <w:t>s</w:t>
      </w:r>
      <w:r w:rsidRPr="0071782F">
        <w:rPr>
          <w:lang w:val="fr-CH"/>
        </w:rPr>
        <w:t xml:space="preserve"> </w:t>
      </w:r>
      <w:r w:rsidR="003B1403" w:rsidRPr="0071782F">
        <w:rPr>
          <w:lang w:val="fr-CH"/>
        </w:rPr>
        <w:t>de rials</w:t>
      </w:r>
      <w:r w:rsidRPr="0071782F">
        <w:rPr>
          <w:lang w:val="fr-CH"/>
        </w:rPr>
        <w:t xml:space="preserve"> </w:t>
      </w:r>
      <w:r w:rsidR="00011273" w:rsidRPr="0071782F">
        <w:rPr>
          <w:lang w:val="fr-CH"/>
        </w:rPr>
        <w:t>e</w:t>
      </w:r>
      <w:r w:rsidRPr="0071782F">
        <w:rPr>
          <w:lang w:val="fr-CH"/>
        </w:rPr>
        <w:t>n 2005</w:t>
      </w:r>
      <w:r w:rsidR="00011273" w:rsidRPr="0071782F">
        <w:rPr>
          <w:lang w:val="fr-CH"/>
        </w:rPr>
        <w:t xml:space="preserve"> à </w:t>
      </w:r>
      <w:r w:rsidRPr="0071782F">
        <w:rPr>
          <w:lang w:val="fr-CH"/>
        </w:rPr>
        <w:t>354</w:t>
      </w:r>
      <w:r w:rsidR="00662760" w:rsidRPr="0071782F">
        <w:rPr>
          <w:lang w:val="fr-CH"/>
        </w:rPr>
        <w:t>,</w:t>
      </w:r>
      <w:r w:rsidRPr="0071782F">
        <w:rPr>
          <w:lang w:val="fr-CH"/>
        </w:rPr>
        <w:t>680</w:t>
      </w:r>
      <w:r w:rsidR="008553D9" w:rsidRPr="0071782F">
        <w:rPr>
          <w:lang w:val="fr-CH"/>
        </w:rPr>
        <w:t> milliard</w:t>
      </w:r>
      <w:r w:rsidR="00097CDB" w:rsidRPr="0071782F">
        <w:rPr>
          <w:lang w:val="fr-CH"/>
        </w:rPr>
        <w:t>s</w:t>
      </w:r>
      <w:r w:rsidRPr="0071782F">
        <w:rPr>
          <w:lang w:val="fr-CH"/>
        </w:rPr>
        <w:t xml:space="preserve"> </w:t>
      </w:r>
      <w:r w:rsidR="00011273" w:rsidRPr="0071782F">
        <w:rPr>
          <w:lang w:val="fr-CH"/>
        </w:rPr>
        <w:t xml:space="preserve">en </w:t>
      </w:r>
      <w:r w:rsidRPr="0071782F">
        <w:rPr>
          <w:lang w:val="fr-CH"/>
        </w:rPr>
        <w:t xml:space="preserve">2006, </w:t>
      </w:r>
      <w:r w:rsidR="00011273" w:rsidRPr="0071782F">
        <w:rPr>
          <w:lang w:val="fr-CH"/>
        </w:rPr>
        <w:t xml:space="preserve">en augmentation de </w:t>
      </w:r>
      <w:r w:rsidRPr="0071782F">
        <w:rPr>
          <w:lang w:val="fr-CH"/>
        </w:rPr>
        <w:t>47</w:t>
      </w:r>
      <w:r w:rsidR="00011273" w:rsidRPr="0071782F">
        <w:rPr>
          <w:lang w:val="fr-CH"/>
        </w:rPr>
        <w:t>,</w:t>
      </w:r>
      <w:r w:rsidRPr="0071782F">
        <w:rPr>
          <w:lang w:val="fr-CH"/>
        </w:rPr>
        <w:t>8</w:t>
      </w:r>
      <w:r w:rsidR="007E5125" w:rsidRPr="0071782F">
        <w:rPr>
          <w:lang w:val="fr-CH"/>
        </w:rPr>
        <w:t>%</w:t>
      </w:r>
      <w:r w:rsidR="003139C1" w:rsidRPr="0071782F">
        <w:rPr>
          <w:lang w:val="fr-CH"/>
        </w:rPr>
        <w:t>.</w:t>
      </w:r>
    </w:p>
    <w:p w:rsidR="008A7415" w:rsidRPr="0071782F" w:rsidRDefault="008A7415" w:rsidP="003B396B">
      <w:pPr>
        <w:pStyle w:val="H23G"/>
        <w:rPr>
          <w:lang w:val="fr-CH"/>
        </w:rPr>
      </w:pPr>
      <w:r w:rsidRPr="0071782F">
        <w:rPr>
          <w:lang w:val="fr-CH"/>
        </w:rPr>
        <w:tab/>
      </w:r>
      <w:r w:rsidRPr="0071782F">
        <w:rPr>
          <w:lang w:val="fr-CH"/>
        </w:rPr>
        <w:tab/>
        <w:t>Indicat</w:t>
      </w:r>
      <w:r w:rsidR="00011273" w:rsidRPr="0071782F">
        <w:rPr>
          <w:lang w:val="fr-CH"/>
        </w:rPr>
        <w:t>eur</w:t>
      </w:r>
      <w:r w:rsidRPr="0071782F">
        <w:rPr>
          <w:lang w:val="fr-CH"/>
        </w:rPr>
        <w:t>s relati</w:t>
      </w:r>
      <w:r w:rsidR="00011273" w:rsidRPr="0071782F">
        <w:rPr>
          <w:lang w:val="fr-CH"/>
        </w:rPr>
        <w:t>fs aux</w:t>
      </w:r>
      <w:r w:rsidR="003F25A2">
        <w:rPr>
          <w:lang w:val="fr-CH"/>
        </w:rPr>
        <w:t> logements</w:t>
      </w:r>
      <w:r w:rsidR="00011273" w:rsidRPr="0071782F">
        <w:rPr>
          <w:lang w:val="fr-CH"/>
        </w:rPr>
        <w:t xml:space="preserve"> existant entre </w:t>
      </w:r>
      <w:r w:rsidRPr="0071782F">
        <w:rPr>
          <w:lang w:val="fr-CH"/>
        </w:rPr>
        <w:t>1996</w:t>
      </w:r>
      <w:r w:rsidR="00011273" w:rsidRPr="0071782F">
        <w:rPr>
          <w:lang w:val="fr-CH"/>
        </w:rPr>
        <w:t xml:space="preserve"> et </w:t>
      </w:r>
      <w:r w:rsidRPr="0071782F">
        <w:rPr>
          <w:lang w:val="fr-CH"/>
        </w:rPr>
        <w:t>2006</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482"/>
        <w:gridCol w:w="3403"/>
        <w:gridCol w:w="692"/>
        <w:gridCol w:w="692"/>
        <w:gridCol w:w="923"/>
        <w:gridCol w:w="635"/>
        <w:gridCol w:w="635"/>
        <w:gridCol w:w="1043"/>
      </w:tblGrid>
      <w:tr w:rsidR="008A7415" w:rsidRPr="0071782F">
        <w:trPr>
          <w:tblHeader/>
        </w:trPr>
        <w:tc>
          <w:tcPr>
            <w:tcW w:w="3366" w:type="dxa"/>
            <w:gridSpan w:val="2"/>
            <w:vMerge w:val="restart"/>
            <w:tcBorders>
              <w:top w:val="single" w:sz="4" w:space="0" w:color="auto"/>
              <w:bottom w:val="single" w:sz="12" w:space="0" w:color="auto"/>
            </w:tcBorders>
            <w:shd w:val="clear" w:color="000000" w:fill="auto"/>
            <w:vAlign w:val="bottom"/>
          </w:tcPr>
          <w:p w:rsidR="008A7415" w:rsidRPr="0071782F" w:rsidRDefault="008A7415" w:rsidP="00C767F3">
            <w:pPr>
              <w:keepNext/>
              <w:keepLines/>
              <w:suppressAutoHyphens w:val="0"/>
              <w:spacing w:before="80" w:after="80" w:line="200" w:lineRule="exact"/>
              <w:rPr>
                <w:i/>
                <w:sz w:val="16"/>
                <w:lang w:val="fr-CH"/>
              </w:rPr>
            </w:pPr>
            <w:r w:rsidRPr="0071782F">
              <w:rPr>
                <w:i/>
                <w:sz w:val="16"/>
                <w:lang w:val="fr-CH"/>
              </w:rPr>
              <w:t>Indicat</w:t>
            </w:r>
            <w:r w:rsidR="00011273" w:rsidRPr="0071782F">
              <w:rPr>
                <w:i/>
                <w:sz w:val="16"/>
                <w:lang w:val="fr-CH"/>
              </w:rPr>
              <w:t>eu</w:t>
            </w:r>
            <w:r w:rsidRPr="0071782F">
              <w:rPr>
                <w:i/>
                <w:sz w:val="16"/>
                <w:lang w:val="fr-CH"/>
              </w:rPr>
              <w:t>rs</w:t>
            </w:r>
          </w:p>
        </w:tc>
        <w:tc>
          <w:tcPr>
            <w:tcW w:w="2000" w:type="dxa"/>
            <w:gridSpan w:val="3"/>
            <w:tcBorders>
              <w:top w:val="single" w:sz="4" w:space="0" w:color="auto"/>
              <w:bottom w:val="single" w:sz="4" w:space="0" w:color="auto"/>
              <w:right w:val="single" w:sz="24" w:space="0" w:color="FFFFFF"/>
            </w:tcBorders>
            <w:shd w:val="clear" w:color="000000" w:fill="auto"/>
            <w:vAlign w:val="bottom"/>
          </w:tcPr>
          <w:p w:rsidR="008A7415" w:rsidRPr="0071782F" w:rsidRDefault="008A7415" w:rsidP="00C767F3">
            <w:pPr>
              <w:keepNext/>
              <w:keepLines/>
              <w:suppressAutoHyphens w:val="0"/>
              <w:spacing w:before="80" w:after="80" w:line="200" w:lineRule="exact"/>
              <w:jc w:val="center"/>
              <w:rPr>
                <w:i/>
                <w:sz w:val="16"/>
                <w:lang w:val="fr-CH"/>
              </w:rPr>
            </w:pPr>
            <w:r w:rsidRPr="0071782F">
              <w:rPr>
                <w:i/>
                <w:sz w:val="16"/>
                <w:lang w:val="fr-CH"/>
              </w:rPr>
              <w:t>1996</w:t>
            </w:r>
          </w:p>
        </w:tc>
        <w:tc>
          <w:tcPr>
            <w:tcW w:w="2004" w:type="dxa"/>
            <w:gridSpan w:val="3"/>
            <w:tcBorders>
              <w:top w:val="single" w:sz="4" w:space="0" w:color="auto"/>
              <w:left w:val="single" w:sz="24" w:space="0" w:color="FFFFFF"/>
              <w:bottom w:val="single" w:sz="4" w:space="0" w:color="auto"/>
            </w:tcBorders>
            <w:shd w:val="clear" w:color="000000" w:fill="auto"/>
            <w:vAlign w:val="bottom"/>
          </w:tcPr>
          <w:p w:rsidR="008A7415" w:rsidRPr="0071782F" w:rsidRDefault="008A7415" w:rsidP="00C767F3">
            <w:pPr>
              <w:keepNext/>
              <w:keepLines/>
              <w:suppressAutoHyphens w:val="0"/>
              <w:spacing w:before="80" w:after="80" w:line="200" w:lineRule="exact"/>
              <w:jc w:val="center"/>
              <w:rPr>
                <w:i/>
                <w:sz w:val="16"/>
                <w:lang w:val="fr-CH"/>
              </w:rPr>
            </w:pPr>
            <w:r w:rsidRPr="0071782F">
              <w:rPr>
                <w:i/>
                <w:sz w:val="16"/>
                <w:lang w:val="fr-CH"/>
              </w:rPr>
              <w:t>2006</w:t>
            </w:r>
          </w:p>
        </w:tc>
      </w:tr>
      <w:tr w:rsidR="008A7415" w:rsidRPr="0071782F">
        <w:trPr>
          <w:tblHeader/>
        </w:trPr>
        <w:tc>
          <w:tcPr>
            <w:tcW w:w="3366" w:type="dxa"/>
            <w:gridSpan w:val="2"/>
            <w:vMerge/>
            <w:tcBorders>
              <w:top w:val="single" w:sz="4" w:space="0" w:color="auto"/>
              <w:bottom w:val="single" w:sz="12" w:space="0" w:color="auto"/>
            </w:tcBorders>
            <w:shd w:val="clear" w:color="000000" w:fill="auto"/>
            <w:vAlign w:val="bottom"/>
          </w:tcPr>
          <w:p w:rsidR="008A7415" w:rsidRPr="0071782F" w:rsidRDefault="008A7415" w:rsidP="00C767F3">
            <w:pPr>
              <w:suppressAutoHyphens w:val="0"/>
              <w:spacing w:before="40" w:after="40" w:line="220" w:lineRule="exact"/>
              <w:rPr>
                <w:sz w:val="18"/>
                <w:lang w:val="fr-CH"/>
              </w:rPr>
            </w:pPr>
            <w:bookmarkStart w:id="5" w:name="_Hlk242530901"/>
          </w:p>
        </w:tc>
        <w:tc>
          <w:tcPr>
            <w:tcW w:w="600" w:type="dxa"/>
            <w:tcBorders>
              <w:top w:val="single" w:sz="4" w:space="0" w:color="auto"/>
              <w:bottom w:val="single" w:sz="12" w:space="0" w:color="auto"/>
            </w:tcBorders>
            <w:shd w:val="clear" w:color="000000" w:fill="auto"/>
            <w:vAlign w:val="bottom"/>
          </w:tcPr>
          <w:p w:rsidR="008A7415" w:rsidRPr="0071782F" w:rsidRDefault="008A7415" w:rsidP="00C767F3">
            <w:pPr>
              <w:suppressAutoHyphens w:val="0"/>
              <w:spacing w:before="80" w:after="80" w:line="200" w:lineRule="exact"/>
              <w:jc w:val="right"/>
              <w:rPr>
                <w:i/>
                <w:sz w:val="16"/>
                <w:lang w:val="fr-CH"/>
              </w:rPr>
            </w:pPr>
            <w:r w:rsidRPr="0071782F">
              <w:rPr>
                <w:i/>
                <w:sz w:val="16"/>
                <w:lang w:val="fr-CH"/>
              </w:rPr>
              <w:t>Urba</w:t>
            </w:r>
            <w:r w:rsidR="00011273" w:rsidRPr="0071782F">
              <w:rPr>
                <w:i/>
                <w:sz w:val="16"/>
                <w:lang w:val="fr-CH"/>
              </w:rPr>
              <w:t>ins</w:t>
            </w:r>
          </w:p>
        </w:tc>
        <w:tc>
          <w:tcPr>
            <w:tcW w:w="600" w:type="dxa"/>
            <w:tcBorders>
              <w:top w:val="single" w:sz="4" w:space="0" w:color="auto"/>
              <w:bottom w:val="single" w:sz="12" w:space="0" w:color="auto"/>
            </w:tcBorders>
            <w:shd w:val="clear" w:color="000000" w:fill="auto"/>
            <w:vAlign w:val="bottom"/>
          </w:tcPr>
          <w:p w:rsidR="008A7415" w:rsidRPr="0071782F" w:rsidRDefault="00011273" w:rsidP="00C767F3">
            <w:pPr>
              <w:suppressAutoHyphens w:val="0"/>
              <w:spacing w:before="80" w:after="80" w:line="200" w:lineRule="exact"/>
              <w:jc w:val="right"/>
              <w:rPr>
                <w:i/>
                <w:sz w:val="16"/>
                <w:lang w:val="fr-CH"/>
              </w:rPr>
            </w:pPr>
            <w:r w:rsidRPr="0071782F">
              <w:rPr>
                <w:i/>
                <w:sz w:val="16"/>
                <w:lang w:val="fr-CH"/>
              </w:rPr>
              <w:t>Ruraux</w:t>
            </w:r>
          </w:p>
        </w:tc>
        <w:tc>
          <w:tcPr>
            <w:tcW w:w="800" w:type="dxa"/>
            <w:tcBorders>
              <w:top w:val="single" w:sz="4" w:space="0" w:color="auto"/>
              <w:bottom w:val="single" w:sz="12" w:space="0" w:color="auto"/>
              <w:right w:val="single" w:sz="24" w:space="0" w:color="FFFFFF"/>
            </w:tcBorders>
            <w:shd w:val="clear" w:color="000000" w:fill="auto"/>
            <w:vAlign w:val="bottom"/>
          </w:tcPr>
          <w:p w:rsidR="008A7415" w:rsidRPr="0071782F" w:rsidRDefault="008A7415" w:rsidP="00C767F3">
            <w:pPr>
              <w:suppressAutoHyphens w:val="0"/>
              <w:spacing w:before="80" w:after="80" w:line="200" w:lineRule="exact"/>
              <w:jc w:val="right"/>
              <w:rPr>
                <w:b/>
                <w:i/>
                <w:sz w:val="16"/>
                <w:lang w:val="fr-CH"/>
              </w:rPr>
            </w:pPr>
            <w:r w:rsidRPr="0071782F">
              <w:rPr>
                <w:b/>
                <w:i/>
                <w:sz w:val="16"/>
                <w:lang w:val="fr-CH"/>
              </w:rPr>
              <w:t>Total</w:t>
            </w:r>
          </w:p>
        </w:tc>
        <w:tc>
          <w:tcPr>
            <w:tcW w:w="550" w:type="dxa"/>
            <w:tcBorders>
              <w:top w:val="single" w:sz="4" w:space="0" w:color="auto"/>
              <w:left w:val="single" w:sz="24" w:space="0" w:color="FFFFFF"/>
              <w:bottom w:val="single" w:sz="12" w:space="0" w:color="auto"/>
            </w:tcBorders>
            <w:shd w:val="clear" w:color="000000" w:fill="auto"/>
            <w:vAlign w:val="bottom"/>
          </w:tcPr>
          <w:p w:rsidR="008A7415" w:rsidRPr="0071782F" w:rsidRDefault="008A7415" w:rsidP="00C767F3">
            <w:pPr>
              <w:suppressAutoHyphens w:val="0"/>
              <w:spacing w:before="80" w:after="80" w:line="200" w:lineRule="exact"/>
              <w:jc w:val="right"/>
              <w:rPr>
                <w:i/>
                <w:sz w:val="16"/>
                <w:lang w:val="fr-CH"/>
              </w:rPr>
            </w:pPr>
            <w:r w:rsidRPr="0071782F">
              <w:rPr>
                <w:i/>
                <w:sz w:val="16"/>
                <w:lang w:val="fr-CH"/>
              </w:rPr>
              <w:t>Urba</w:t>
            </w:r>
            <w:r w:rsidR="00011273" w:rsidRPr="0071782F">
              <w:rPr>
                <w:i/>
                <w:sz w:val="16"/>
                <w:lang w:val="fr-CH"/>
              </w:rPr>
              <w:t>ins</w:t>
            </w:r>
          </w:p>
        </w:tc>
        <w:tc>
          <w:tcPr>
            <w:tcW w:w="550" w:type="dxa"/>
            <w:tcBorders>
              <w:top w:val="single" w:sz="4" w:space="0" w:color="auto"/>
              <w:bottom w:val="single" w:sz="12" w:space="0" w:color="auto"/>
            </w:tcBorders>
            <w:shd w:val="clear" w:color="000000" w:fill="auto"/>
            <w:vAlign w:val="bottom"/>
          </w:tcPr>
          <w:p w:rsidR="008A7415" w:rsidRPr="0071782F" w:rsidRDefault="008A7415" w:rsidP="00C767F3">
            <w:pPr>
              <w:suppressAutoHyphens w:val="0"/>
              <w:spacing w:before="80" w:after="80" w:line="200" w:lineRule="exact"/>
              <w:jc w:val="right"/>
              <w:rPr>
                <w:i/>
                <w:sz w:val="16"/>
                <w:lang w:val="fr-CH"/>
              </w:rPr>
            </w:pPr>
            <w:r w:rsidRPr="0071782F">
              <w:rPr>
                <w:i/>
                <w:sz w:val="16"/>
                <w:lang w:val="fr-CH"/>
              </w:rPr>
              <w:t>Rura</w:t>
            </w:r>
            <w:r w:rsidR="00011273" w:rsidRPr="0071782F">
              <w:rPr>
                <w:i/>
                <w:sz w:val="16"/>
                <w:lang w:val="fr-CH"/>
              </w:rPr>
              <w:t>ux</w:t>
            </w:r>
          </w:p>
        </w:tc>
        <w:tc>
          <w:tcPr>
            <w:tcW w:w="904" w:type="dxa"/>
            <w:tcBorders>
              <w:top w:val="single" w:sz="4" w:space="0" w:color="auto"/>
              <w:bottom w:val="single" w:sz="12" w:space="0" w:color="auto"/>
            </w:tcBorders>
            <w:shd w:val="clear" w:color="000000" w:fill="auto"/>
            <w:vAlign w:val="bottom"/>
          </w:tcPr>
          <w:p w:rsidR="008A7415" w:rsidRPr="0071782F" w:rsidRDefault="008A7415" w:rsidP="00C767F3">
            <w:pPr>
              <w:suppressAutoHyphens w:val="0"/>
              <w:spacing w:before="80" w:after="80" w:line="200" w:lineRule="exact"/>
              <w:jc w:val="right"/>
              <w:rPr>
                <w:b/>
                <w:i/>
                <w:sz w:val="16"/>
                <w:lang w:val="fr-CH"/>
              </w:rPr>
            </w:pPr>
            <w:r w:rsidRPr="0071782F">
              <w:rPr>
                <w:b/>
                <w:i/>
                <w:sz w:val="16"/>
                <w:lang w:val="fr-CH"/>
              </w:rPr>
              <w:t>Total</w:t>
            </w:r>
          </w:p>
        </w:tc>
      </w:tr>
      <w:bookmarkEnd w:id="5"/>
      <w:tr w:rsidR="008A7415" w:rsidRPr="0071782F">
        <w:tc>
          <w:tcPr>
            <w:tcW w:w="417" w:type="dxa"/>
            <w:tcBorders>
              <w:top w:val="single" w:sz="12" w:space="0" w:color="auto"/>
            </w:tcBorders>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1</w:t>
            </w:r>
          </w:p>
        </w:tc>
        <w:tc>
          <w:tcPr>
            <w:tcW w:w="2949" w:type="dxa"/>
            <w:tcBorders>
              <w:top w:val="single" w:sz="12" w:space="0" w:color="auto"/>
            </w:tcBorders>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Population (</w:t>
            </w:r>
            <w:r w:rsidR="00011273" w:rsidRPr="0071782F">
              <w:rPr>
                <w:sz w:val="18"/>
                <w:lang w:val="fr-CH"/>
              </w:rPr>
              <w:t>en</w:t>
            </w:r>
            <w:r w:rsidR="00097CDB" w:rsidRPr="0071782F">
              <w:rPr>
                <w:sz w:val="18"/>
                <w:lang w:val="fr-CH"/>
              </w:rPr>
              <w:t> millions</w:t>
            </w:r>
            <w:r w:rsidRPr="0071782F">
              <w:rPr>
                <w:sz w:val="18"/>
                <w:lang w:val="fr-CH"/>
              </w:rPr>
              <w:t>)</w:t>
            </w:r>
          </w:p>
        </w:tc>
        <w:tc>
          <w:tcPr>
            <w:tcW w:w="600" w:type="dxa"/>
            <w:tcBorders>
              <w:top w:val="single" w:sz="12" w:space="0" w:color="auto"/>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37</w:t>
            </w:r>
          </w:p>
        </w:tc>
        <w:tc>
          <w:tcPr>
            <w:tcW w:w="600" w:type="dxa"/>
            <w:tcBorders>
              <w:top w:val="single" w:sz="12" w:space="0" w:color="auto"/>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23</w:t>
            </w:r>
          </w:p>
        </w:tc>
        <w:tc>
          <w:tcPr>
            <w:tcW w:w="800" w:type="dxa"/>
            <w:tcBorders>
              <w:top w:val="single" w:sz="12" w:space="0" w:color="auto"/>
            </w:tcBorders>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60</w:t>
            </w:r>
          </w:p>
        </w:tc>
        <w:tc>
          <w:tcPr>
            <w:tcW w:w="550" w:type="dxa"/>
            <w:tcBorders>
              <w:top w:val="single" w:sz="12" w:space="0" w:color="auto"/>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48/3</w:t>
            </w:r>
          </w:p>
        </w:tc>
        <w:tc>
          <w:tcPr>
            <w:tcW w:w="550" w:type="dxa"/>
            <w:tcBorders>
              <w:top w:val="single" w:sz="12" w:space="0" w:color="auto"/>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22/1</w:t>
            </w:r>
          </w:p>
        </w:tc>
        <w:tc>
          <w:tcPr>
            <w:tcW w:w="904" w:type="dxa"/>
            <w:tcBorders>
              <w:top w:val="single" w:sz="12" w:space="0" w:color="auto"/>
            </w:tcBorders>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70/4</w:t>
            </w:r>
          </w:p>
        </w:tc>
      </w:tr>
      <w:tr w:rsidR="008A7415" w:rsidRPr="0071782F">
        <w:tc>
          <w:tcPr>
            <w:tcW w:w="417" w:type="dxa"/>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2</w:t>
            </w:r>
          </w:p>
        </w:tc>
        <w:tc>
          <w:tcPr>
            <w:tcW w:w="2949" w:type="dxa"/>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Fami</w:t>
            </w:r>
            <w:r w:rsidR="00011273" w:rsidRPr="0071782F">
              <w:rPr>
                <w:sz w:val="18"/>
                <w:lang w:val="fr-CH"/>
              </w:rPr>
              <w:t xml:space="preserve">lles </w:t>
            </w:r>
            <w:r w:rsidRPr="0071782F">
              <w:rPr>
                <w:sz w:val="18"/>
                <w:lang w:val="fr-CH"/>
              </w:rPr>
              <w:t>(</w:t>
            </w:r>
            <w:r w:rsidR="00011273" w:rsidRPr="0071782F">
              <w:rPr>
                <w:sz w:val="18"/>
                <w:lang w:val="fr-CH"/>
              </w:rPr>
              <w:t>en</w:t>
            </w:r>
            <w:r w:rsidR="00097CDB" w:rsidRPr="0071782F">
              <w:rPr>
                <w:sz w:val="18"/>
                <w:lang w:val="fr-CH"/>
              </w:rPr>
              <w:t> millions</w:t>
            </w:r>
            <w:r w:rsidRPr="0071782F">
              <w:rPr>
                <w:sz w:val="18"/>
                <w:lang w:val="fr-CH"/>
              </w:rPr>
              <w:t>)</w:t>
            </w:r>
          </w:p>
        </w:tc>
        <w:tc>
          <w:tcPr>
            <w:tcW w:w="60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7/9</w:t>
            </w:r>
          </w:p>
        </w:tc>
        <w:tc>
          <w:tcPr>
            <w:tcW w:w="60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4/4</w:t>
            </w:r>
          </w:p>
        </w:tc>
        <w:tc>
          <w:tcPr>
            <w:tcW w:w="800"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12/3</w:t>
            </w:r>
          </w:p>
        </w:tc>
        <w:tc>
          <w:tcPr>
            <w:tcW w:w="55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12/4</w:t>
            </w:r>
          </w:p>
        </w:tc>
        <w:tc>
          <w:tcPr>
            <w:tcW w:w="55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5/1</w:t>
            </w:r>
          </w:p>
        </w:tc>
        <w:tc>
          <w:tcPr>
            <w:tcW w:w="904"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17/5</w:t>
            </w:r>
          </w:p>
        </w:tc>
      </w:tr>
      <w:tr w:rsidR="008A7415" w:rsidRPr="0071782F">
        <w:tc>
          <w:tcPr>
            <w:tcW w:w="417" w:type="dxa"/>
            <w:tcBorders>
              <w:bottom w:val="nil"/>
            </w:tcBorders>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3</w:t>
            </w:r>
          </w:p>
        </w:tc>
        <w:tc>
          <w:tcPr>
            <w:tcW w:w="2949" w:type="dxa"/>
            <w:tcBorders>
              <w:bottom w:val="nil"/>
            </w:tcBorders>
            <w:shd w:val="clear" w:color="000000" w:fill="auto"/>
          </w:tcPr>
          <w:p w:rsidR="008A7415" w:rsidRPr="0071782F" w:rsidRDefault="00011273" w:rsidP="00C767F3">
            <w:pPr>
              <w:suppressAutoHyphens w:val="0"/>
              <w:spacing w:before="40" w:after="40" w:line="220" w:lineRule="exact"/>
              <w:rPr>
                <w:sz w:val="18"/>
                <w:lang w:val="fr-CH"/>
              </w:rPr>
            </w:pPr>
            <w:r w:rsidRPr="0071782F">
              <w:rPr>
                <w:sz w:val="18"/>
                <w:lang w:val="fr-CH"/>
              </w:rPr>
              <w:t xml:space="preserve">Logements </w:t>
            </w:r>
            <w:r w:rsidR="008A7415" w:rsidRPr="0071782F">
              <w:rPr>
                <w:sz w:val="18"/>
                <w:lang w:val="fr-CH"/>
              </w:rPr>
              <w:t>(</w:t>
            </w:r>
            <w:r w:rsidRPr="0071782F">
              <w:rPr>
                <w:sz w:val="18"/>
                <w:lang w:val="fr-CH"/>
              </w:rPr>
              <w:t>en</w:t>
            </w:r>
            <w:r w:rsidR="00097CDB" w:rsidRPr="0071782F">
              <w:rPr>
                <w:sz w:val="18"/>
                <w:lang w:val="fr-CH"/>
              </w:rPr>
              <w:t> millions</w:t>
            </w:r>
            <w:r w:rsidR="008A7415" w:rsidRPr="0071782F">
              <w:rPr>
                <w:sz w:val="18"/>
                <w:lang w:val="fr-CH"/>
              </w:rPr>
              <w:t>)</w:t>
            </w:r>
          </w:p>
        </w:tc>
        <w:tc>
          <w:tcPr>
            <w:tcW w:w="600" w:type="dxa"/>
            <w:tcBorders>
              <w:bottom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6/9</w:t>
            </w:r>
          </w:p>
        </w:tc>
        <w:tc>
          <w:tcPr>
            <w:tcW w:w="600" w:type="dxa"/>
            <w:tcBorders>
              <w:bottom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3/9</w:t>
            </w:r>
          </w:p>
        </w:tc>
        <w:tc>
          <w:tcPr>
            <w:tcW w:w="800" w:type="dxa"/>
            <w:tcBorders>
              <w:bottom w:val="nil"/>
            </w:tcBorders>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10/8</w:t>
            </w:r>
          </w:p>
        </w:tc>
        <w:tc>
          <w:tcPr>
            <w:tcW w:w="550" w:type="dxa"/>
            <w:tcBorders>
              <w:bottom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11/5</w:t>
            </w:r>
          </w:p>
        </w:tc>
        <w:tc>
          <w:tcPr>
            <w:tcW w:w="550" w:type="dxa"/>
            <w:tcBorders>
              <w:bottom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4/5</w:t>
            </w:r>
          </w:p>
        </w:tc>
        <w:tc>
          <w:tcPr>
            <w:tcW w:w="904" w:type="dxa"/>
            <w:tcBorders>
              <w:bottom w:val="nil"/>
            </w:tcBorders>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16</w:t>
            </w:r>
          </w:p>
        </w:tc>
      </w:tr>
      <w:tr w:rsidR="008A7415" w:rsidRPr="0071782F">
        <w:tc>
          <w:tcPr>
            <w:tcW w:w="417" w:type="dxa"/>
            <w:tcBorders>
              <w:top w:val="nil"/>
              <w:bottom w:val="nil"/>
            </w:tcBorders>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4</w:t>
            </w:r>
          </w:p>
        </w:tc>
        <w:tc>
          <w:tcPr>
            <w:tcW w:w="2949" w:type="dxa"/>
            <w:tcBorders>
              <w:top w:val="nil"/>
              <w:bottom w:val="nil"/>
            </w:tcBorders>
            <w:shd w:val="clear" w:color="000000" w:fill="auto"/>
          </w:tcPr>
          <w:p w:rsidR="008A7415" w:rsidRPr="0071782F" w:rsidRDefault="00011273" w:rsidP="00C767F3">
            <w:pPr>
              <w:suppressAutoHyphens w:val="0"/>
              <w:spacing w:before="40" w:after="40" w:line="220" w:lineRule="exact"/>
              <w:rPr>
                <w:sz w:val="18"/>
                <w:lang w:val="fr-CH"/>
              </w:rPr>
            </w:pPr>
            <w:r w:rsidRPr="0071782F">
              <w:rPr>
                <w:sz w:val="18"/>
                <w:lang w:val="fr-CH"/>
              </w:rPr>
              <w:t xml:space="preserve">Pièces </w:t>
            </w:r>
            <w:r w:rsidR="008A7415" w:rsidRPr="0071782F">
              <w:rPr>
                <w:sz w:val="18"/>
                <w:lang w:val="fr-CH"/>
              </w:rPr>
              <w:t>(</w:t>
            </w:r>
            <w:r w:rsidRPr="0071782F">
              <w:rPr>
                <w:sz w:val="18"/>
                <w:lang w:val="fr-CH"/>
              </w:rPr>
              <w:t>en</w:t>
            </w:r>
            <w:r w:rsidR="00097CDB" w:rsidRPr="0071782F">
              <w:rPr>
                <w:sz w:val="18"/>
                <w:lang w:val="fr-CH"/>
              </w:rPr>
              <w:t> millions</w:t>
            </w:r>
            <w:r w:rsidR="008A7415" w:rsidRPr="0071782F">
              <w:rPr>
                <w:sz w:val="18"/>
                <w:lang w:val="fr-CH"/>
              </w:rPr>
              <w:t>)</w:t>
            </w:r>
          </w:p>
        </w:tc>
        <w:tc>
          <w:tcPr>
            <w:tcW w:w="600" w:type="dxa"/>
            <w:tcBorders>
              <w:top w:val="nil"/>
              <w:bottom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28</w:t>
            </w:r>
          </w:p>
        </w:tc>
        <w:tc>
          <w:tcPr>
            <w:tcW w:w="600" w:type="dxa"/>
            <w:tcBorders>
              <w:top w:val="nil"/>
              <w:bottom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13/4</w:t>
            </w:r>
          </w:p>
        </w:tc>
        <w:tc>
          <w:tcPr>
            <w:tcW w:w="800" w:type="dxa"/>
            <w:tcBorders>
              <w:top w:val="nil"/>
              <w:bottom w:val="nil"/>
            </w:tcBorders>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41/4</w:t>
            </w:r>
          </w:p>
        </w:tc>
        <w:tc>
          <w:tcPr>
            <w:tcW w:w="550" w:type="dxa"/>
            <w:tcBorders>
              <w:top w:val="nil"/>
              <w:bottom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40</w:t>
            </w:r>
          </w:p>
        </w:tc>
        <w:tc>
          <w:tcPr>
            <w:tcW w:w="550" w:type="dxa"/>
            <w:tcBorders>
              <w:top w:val="nil"/>
              <w:bottom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15</w:t>
            </w:r>
          </w:p>
        </w:tc>
        <w:tc>
          <w:tcPr>
            <w:tcW w:w="904" w:type="dxa"/>
            <w:tcBorders>
              <w:top w:val="nil"/>
              <w:bottom w:val="nil"/>
            </w:tcBorders>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55</w:t>
            </w:r>
          </w:p>
        </w:tc>
      </w:tr>
      <w:tr w:rsidR="008A7415" w:rsidRPr="0071782F">
        <w:tc>
          <w:tcPr>
            <w:tcW w:w="417" w:type="dxa"/>
            <w:tcBorders>
              <w:top w:val="nil"/>
            </w:tcBorders>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5</w:t>
            </w:r>
          </w:p>
        </w:tc>
        <w:tc>
          <w:tcPr>
            <w:tcW w:w="2949" w:type="dxa"/>
            <w:tcBorders>
              <w:top w:val="nil"/>
            </w:tcBorders>
            <w:shd w:val="clear" w:color="000000" w:fill="auto"/>
          </w:tcPr>
          <w:p w:rsidR="008A7415" w:rsidRPr="0071782F" w:rsidRDefault="00011273" w:rsidP="00C767F3">
            <w:pPr>
              <w:suppressAutoHyphens w:val="0"/>
              <w:spacing w:before="40" w:after="40" w:line="220" w:lineRule="exact"/>
              <w:rPr>
                <w:sz w:val="18"/>
                <w:lang w:val="fr-CH"/>
              </w:rPr>
            </w:pPr>
            <w:r w:rsidRPr="0071782F">
              <w:rPr>
                <w:sz w:val="18"/>
                <w:lang w:val="fr-CH"/>
              </w:rPr>
              <w:t xml:space="preserve">Taille de </w:t>
            </w:r>
            <w:r w:rsidR="00B71907" w:rsidRPr="0071782F">
              <w:rPr>
                <w:sz w:val="18"/>
                <w:lang w:val="fr-CH"/>
              </w:rPr>
              <w:t>la famille</w:t>
            </w:r>
            <w:r w:rsidRPr="0071782F">
              <w:rPr>
                <w:sz w:val="18"/>
                <w:lang w:val="fr-CH"/>
              </w:rPr>
              <w:t xml:space="preserve"> </w:t>
            </w:r>
          </w:p>
        </w:tc>
        <w:tc>
          <w:tcPr>
            <w:tcW w:w="600" w:type="dxa"/>
            <w:tcBorders>
              <w:top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4/68</w:t>
            </w:r>
          </w:p>
        </w:tc>
        <w:tc>
          <w:tcPr>
            <w:tcW w:w="600" w:type="dxa"/>
            <w:tcBorders>
              <w:top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5/23</w:t>
            </w:r>
          </w:p>
        </w:tc>
        <w:tc>
          <w:tcPr>
            <w:tcW w:w="800" w:type="dxa"/>
            <w:tcBorders>
              <w:top w:val="nil"/>
            </w:tcBorders>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4/88</w:t>
            </w:r>
          </w:p>
        </w:tc>
        <w:tc>
          <w:tcPr>
            <w:tcW w:w="550" w:type="dxa"/>
            <w:tcBorders>
              <w:top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3/89</w:t>
            </w:r>
          </w:p>
        </w:tc>
        <w:tc>
          <w:tcPr>
            <w:tcW w:w="550" w:type="dxa"/>
            <w:tcBorders>
              <w:top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4/33</w:t>
            </w:r>
          </w:p>
        </w:tc>
        <w:tc>
          <w:tcPr>
            <w:tcW w:w="904" w:type="dxa"/>
            <w:tcBorders>
              <w:top w:val="nil"/>
            </w:tcBorders>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4/02</w:t>
            </w:r>
          </w:p>
        </w:tc>
      </w:tr>
      <w:tr w:rsidR="008A7415" w:rsidRPr="0071782F">
        <w:tc>
          <w:tcPr>
            <w:tcW w:w="417" w:type="dxa"/>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6</w:t>
            </w:r>
          </w:p>
        </w:tc>
        <w:tc>
          <w:tcPr>
            <w:tcW w:w="2949" w:type="dxa"/>
            <w:shd w:val="clear" w:color="000000" w:fill="auto"/>
          </w:tcPr>
          <w:p w:rsidR="008A7415" w:rsidRPr="0071782F" w:rsidRDefault="00011273" w:rsidP="00C767F3">
            <w:pPr>
              <w:suppressAutoHyphens w:val="0"/>
              <w:spacing w:before="40" w:after="40" w:line="220" w:lineRule="exact"/>
              <w:rPr>
                <w:sz w:val="18"/>
                <w:lang w:val="fr-CH"/>
              </w:rPr>
            </w:pPr>
            <w:r w:rsidRPr="0071782F">
              <w:rPr>
                <w:sz w:val="18"/>
                <w:lang w:val="fr-CH"/>
              </w:rPr>
              <w:t xml:space="preserve">Densité familiale par logement </w:t>
            </w:r>
          </w:p>
        </w:tc>
        <w:tc>
          <w:tcPr>
            <w:tcW w:w="60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1/15</w:t>
            </w:r>
          </w:p>
        </w:tc>
        <w:tc>
          <w:tcPr>
            <w:tcW w:w="60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1/13</w:t>
            </w:r>
          </w:p>
        </w:tc>
        <w:tc>
          <w:tcPr>
            <w:tcW w:w="800"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1/14</w:t>
            </w:r>
          </w:p>
        </w:tc>
        <w:tc>
          <w:tcPr>
            <w:tcW w:w="55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1/08</w:t>
            </w:r>
          </w:p>
        </w:tc>
        <w:tc>
          <w:tcPr>
            <w:tcW w:w="55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1/13</w:t>
            </w:r>
          </w:p>
        </w:tc>
        <w:tc>
          <w:tcPr>
            <w:tcW w:w="904"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1/09</w:t>
            </w:r>
          </w:p>
        </w:tc>
      </w:tr>
      <w:tr w:rsidR="008A7415" w:rsidRPr="0071782F">
        <w:tc>
          <w:tcPr>
            <w:tcW w:w="417" w:type="dxa"/>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7</w:t>
            </w:r>
          </w:p>
        </w:tc>
        <w:tc>
          <w:tcPr>
            <w:tcW w:w="2949" w:type="dxa"/>
            <w:shd w:val="clear" w:color="000000" w:fill="auto"/>
          </w:tcPr>
          <w:p w:rsidR="008A7415" w:rsidRPr="0071782F" w:rsidRDefault="00011273" w:rsidP="00C767F3">
            <w:pPr>
              <w:suppressAutoHyphens w:val="0"/>
              <w:spacing w:before="40" w:after="40" w:line="220" w:lineRule="exact"/>
              <w:rPr>
                <w:sz w:val="18"/>
                <w:lang w:val="fr-CH"/>
              </w:rPr>
            </w:pPr>
            <w:r w:rsidRPr="0071782F">
              <w:rPr>
                <w:sz w:val="18"/>
                <w:lang w:val="fr-CH"/>
              </w:rPr>
              <w:t xml:space="preserve">Densité individuelle par logement </w:t>
            </w:r>
          </w:p>
        </w:tc>
        <w:tc>
          <w:tcPr>
            <w:tcW w:w="60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5/4</w:t>
            </w:r>
          </w:p>
        </w:tc>
        <w:tc>
          <w:tcPr>
            <w:tcW w:w="60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5/9</w:t>
            </w:r>
          </w:p>
        </w:tc>
        <w:tc>
          <w:tcPr>
            <w:tcW w:w="800"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5/6</w:t>
            </w:r>
          </w:p>
        </w:tc>
        <w:tc>
          <w:tcPr>
            <w:tcW w:w="55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4/2</w:t>
            </w:r>
          </w:p>
        </w:tc>
        <w:tc>
          <w:tcPr>
            <w:tcW w:w="55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4/9</w:t>
            </w:r>
          </w:p>
        </w:tc>
        <w:tc>
          <w:tcPr>
            <w:tcW w:w="904"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4/4</w:t>
            </w:r>
          </w:p>
        </w:tc>
      </w:tr>
      <w:tr w:rsidR="008A7415" w:rsidRPr="0071782F">
        <w:tc>
          <w:tcPr>
            <w:tcW w:w="417" w:type="dxa"/>
            <w:tcBorders>
              <w:bottom w:val="nil"/>
            </w:tcBorders>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8</w:t>
            </w:r>
          </w:p>
        </w:tc>
        <w:tc>
          <w:tcPr>
            <w:tcW w:w="2949" w:type="dxa"/>
            <w:tcBorders>
              <w:bottom w:val="nil"/>
            </w:tcBorders>
            <w:shd w:val="clear" w:color="000000" w:fill="auto"/>
          </w:tcPr>
          <w:p w:rsidR="008A7415" w:rsidRPr="0071782F" w:rsidRDefault="00011273" w:rsidP="00C767F3">
            <w:pPr>
              <w:suppressAutoHyphens w:val="0"/>
              <w:spacing w:before="40" w:after="40" w:line="220" w:lineRule="exact"/>
              <w:rPr>
                <w:sz w:val="18"/>
                <w:lang w:val="fr-CH"/>
              </w:rPr>
            </w:pPr>
            <w:r w:rsidRPr="0071782F">
              <w:rPr>
                <w:sz w:val="18"/>
                <w:lang w:val="fr-CH"/>
              </w:rPr>
              <w:t xml:space="preserve">Densité individuelle par pièce </w:t>
            </w:r>
          </w:p>
        </w:tc>
        <w:tc>
          <w:tcPr>
            <w:tcW w:w="600" w:type="dxa"/>
            <w:tcBorders>
              <w:bottom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1/32</w:t>
            </w:r>
          </w:p>
        </w:tc>
        <w:tc>
          <w:tcPr>
            <w:tcW w:w="600" w:type="dxa"/>
            <w:tcBorders>
              <w:bottom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1/72</w:t>
            </w:r>
          </w:p>
        </w:tc>
        <w:tc>
          <w:tcPr>
            <w:tcW w:w="800" w:type="dxa"/>
            <w:tcBorders>
              <w:bottom w:val="nil"/>
            </w:tcBorders>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1/45</w:t>
            </w:r>
          </w:p>
        </w:tc>
        <w:tc>
          <w:tcPr>
            <w:tcW w:w="550" w:type="dxa"/>
            <w:tcBorders>
              <w:bottom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1/21</w:t>
            </w:r>
          </w:p>
        </w:tc>
        <w:tc>
          <w:tcPr>
            <w:tcW w:w="550" w:type="dxa"/>
            <w:tcBorders>
              <w:bottom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1/47</w:t>
            </w:r>
          </w:p>
        </w:tc>
        <w:tc>
          <w:tcPr>
            <w:tcW w:w="904" w:type="dxa"/>
            <w:tcBorders>
              <w:bottom w:val="nil"/>
            </w:tcBorders>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1/28</w:t>
            </w:r>
          </w:p>
        </w:tc>
      </w:tr>
      <w:tr w:rsidR="008A7415" w:rsidRPr="0071782F">
        <w:tc>
          <w:tcPr>
            <w:tcW w:w="417" w:type="dxa"/>
            <w:tcBorders>
              <w:top w:val="nil"/>
              <w:bottom w:val="nil"/>
            </w:tcBorders>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9</w:t>
            </w:r>
          </w:p>
        </w:tc>
        <w:tc>
          <w:tcPr>
            <w:tcW w:w="2949" w:type="dxa"/>
            <w:tcBorders>
              <w:top w:val="nil"/>
              <w:bottom w:val="nil"/>
            </w:tcBorders>
            <w:shd w:val="clear" w:color="000000" w:fill="auto"/>
          </w:tcPr>
          <w:p w:rsidR="008A7415" w:rsidRPr="0071782F" w:rsidRDefault="00011273" w:rsidP="00C767F3">
            <w:pPr>
              <w:suppressAutoHyphens w:val="0"/>
              <w:spacing w:before="40" w:after="40" w:line="220" w:lineRule="exact"/>
              <w:rPr>
                <w:sz w:val="18"/>
                <w:lang w:val="fr-CH"/>
              </w:rPr>
            </w:pPr>
            <w:r w:rsidRPr="0071782F">
              <w:rPr>
                <w:sz w:val="18"/>
                <w:lang w:val="fr-CH"/>
              </w:rPr>
              <w:t>N</w:t>
            </w:r>
            <w:r w:rsidR="003B48A4" w:rsidRPr="0071782F">
              <w:rPr>
                <w:sz w:val="18"/>
                <w:lang w:val="fr-CH"/>
              </w:rPr>
              <w:t>ombre</w:t>
            </w:r>
            <w:r w:rsidR="008A7415" w:rsidRPr="0071782F">
              <w:rPr>
                <w:sz w:val="18"/>
                <w:lang w:val="fr-CH"/>
              </w:rPr>
              <w:t xml:space="preserve"> </w:t>
            </w:r>
            <w:r w:rsidRPr="0071782F">
              <w:rPr>
                <w:sz w:val="18"/>
                <w:lang w:val="fr-CH"/>
              </w:rPr>
              <w:t xml:space="preserve">moyen de pièces par logement </w:t>
            </w:r>
          </w:p>
        </w:tc>
        <w:tc>
          <w:tcPr>
            <w:tcW w:w="600" w:type="dxa"/>
            <w:tcBorders>
              <w:top w:val="nil"/>
              <w:bottom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4/06</w:t>
            </w:r>
          </w:p>
        </w:tc>
        <w:tc>
          <w:tcPr>
            <w:tcW w:w="600" w:type="dxa"/>
            <w:tcBorders>
              <w:top w:val="nil"/>
              <w:bottom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3/43</w:t>
            </w:r>
          </w:p>
        </w:tc>
        <w:tc>
          <w:tcPr>
            <w:tcW w:w="800" w:type="dxa"/>
            <w:tcBorders>
              <w:top w:val="nil"/>
              <w:bottom w:val="nil"/>
            </w:tcBorders>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3/83</w:t>
            </w:r>
          </w:p>
        </w:tc>
        <w:tc>
          <w:tcPr>
            <w:tcW w:w="550" w:type="dxa"/>
            <w:tcBorders>
              <w:top w:val="nil"/>
              <w:bottom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3/48</w:t>
            </w:r>
          </w:p>
        </w:tc>
        <w:tc>
          <w:tcPr>
            <w:tcW w:w="550" w:type="dxa"/>
            <w:tcBorders>
              <w:top w:val="nil"/>
              <w:bottom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3/33</w:t>
            </w:r>
          </w:p>
        </w:tc>
        <w:tc>
          <w:tcPr>
            <w:tcW w:w="904" w:type="dxa"/>
            <w:tcBorders>
              <w:top w:val="nil"/>
              <w:bottom w:val="nil"/>
            </w:tcBorders>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3/44</w:t>
            </w:r>
          </w:p>
        </w:tc>
      </w:tr>
      <w:tr w:rsidR="008A7415" w:rsidRPr="0071782F">
        <w:tc>
          <w:tcPr>
            <w:tcW w:w="417" w:type="dxa"/>
            <w:tcBorders>
              <w:top w:val="nil"/>
            </w:tcBorders>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10</w:t>
            </w:r>
          </w:p>
        </w:tc>
        <w:tc>
          <w:tcPr>
            <w:tcW w:w="2949" w:type="dxa"/>
            <w:tcBorders>
              <w:top w:val="nil"/>
            </w:tcBorders>
            <w:shd w:val="clear" w:color="000000" w:fill="auto"/>
          </w:tcPr>
          <w:p w:rsidR="008A7415" w:rsidRPr="0071782F" w:rsidRDefault="00011273" w:rsidP="00C767F3">
            <w:pPr>
              <w:suppressAutoHyphens w:val="0"/>
              <w:spacing w:before="40" w:after="40" w:line="220" w:lineRule="exact"/>
              <w:rPr>
                <w:sz w:val="18"/>
                <w:lang w:val="fr-CH"/>
              </w:rPr>
            </w:pPr>
            <w:bookmarkStart w:id="6" w:name="OLE_LINK7"/>
            <w:bookmarkStart w:id="7" w:name="OLE_LINK8"/>
            <w:r w:rsidRPr="0071782F">
              <w:rPr>
                <w:sz w:val="18"/>
                <w:lang w:val="fr-CH"/>
              </w:rPr>
              <w:t>Logements durables</w:t>
            </w:r>
            <w:bookmarkEnd w:id="6"/>
            <w:bookmarkEnd w:id="7"/>
            <w:r w:rsidR="00D36718">
              <w:rPr>
                <w:sz w:val="18"/>
                <w:lang w:val="fr-CH"/>
              </w:rPr>
              <w:t xml:space="preserve"> </w:t>
            </w:r>
            <w:r w:rsidR="008A7415" w:rsidRPr="0071782F">
              <w:rPr>
                <w:sz w:val="18"/>
                <w:lang w:val="fr-CH"/>
              </w:rPr>
              <w:t>(%)</w:t>
            </w:r>
          </w:p>
        </w:tc>
        <w:tc>
          <w:tcPr>
            <w:tcW w:w="600" w:type="dxa"/>
            <w:tcBorders>
              <w:top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76/6</w:t>
            </w:r>
          </w:p>
        </w:tc>
        <w:tc>
          <w:tcPr>
            <w:tcW w:w="600" w:type="dxa"/>
            <w:tcBorders>
              <w:top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28/3</w:t>
            </w:r>
          </w:p>
        </w:tc>
        <w:tc>
          <w:tcPr>
            <w:tcW w:w="800" w:type="dxa"/>
            <w:tcBorders>
              <w:top w:val="nil"/>
            </w:tcBorders>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59/3</w:t>
            </w:r>
          </w:p>
        </w:tc>
        <w:tc>
          <w:tcPr>
            <w:tcW w:w="550" w:type="dxa"/>
            <w:tcBorders>
              <w:top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86/8</w:t>
            </w:r>
          </w:p>
        </w:tc>
        <w:tc>
          <w:tcPr>
            <w:tcW w:w="550" w:type="dxa"/>
            <w:tcBorders>
              <w:top w:val="nil"/>
            </w:tcBorders>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44/2</w:t>
            </w:r>
          </w:p>
        </w:tc>
        <w:tc>
          <w:tcPr>
            <w:tcW w:w="904" w:type="dxa"/>
            <w:tcBorders>
              <w:top w:val="nil"/>
            </w:tcBorders>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74</w:t>
            </w:r>
          </w:p>
        </w:tc>
      </w:tr>
      <w:tr w:rsidR="008A7415" w:rsidRPr="0071782F">
        <w:tc>
          <w:tcPr>
            <w:tcW w:w="417" w:type="dxa"/>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11</w:t>
            </w:r>
          </w:p>
        </w:tc>
        <w:tc>
          <w:tcPr>
            <w:tcW w:w="2949" w:type="dxa"/>
            <w:shd w:val="clear" w:color="000000" w:fill="auto"/>
          </w:tcPr>
          <w:p w:rsidR="008A7415" w:rsidRPr="0071782F" w:rsidRDefault="00011273" w:rsidP="00C767F3">
            <w:pPr>
              <w:suppressAutoHyphens w:val="0"/>
              <w:spacing w:before="40" w:after="40" w:line="220" w:lineRule="exact"/>
              <w:rPr>
                <w:sz w:val="18"/>
                <w:lang w:val="fr-CH"/>
              </w:rPr>
            </w:pPr>
            <w:r w:rsidRPr="0071782F">
              <w:rPr>
                <w:sz w:val="18"/>
                <w:lang w:val="fr-CH"/>
              </w:rPr>
              <w:t xml:space="preserve">Logements semi-durables (%) </w:t>
            </w:r>
          </w:p>
        </w:tc>
        <w:tc>
          <w:tcPr>
            <w:tcW w:w="60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15/1</w:t>
            </w:r>
          </w:p>
        </w:tc>
        <w:tc>
          <w:tcPr>
            <w:tcW w:w="60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36/2</w:t>
            </w:r>
          </w:p>
        </w:tc>
        <w:tc>
          <w:tcPr>
            <w:tcW w:w="800"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22/7</w:t>
            </w:r>
          </w:p>
        </w:tc>
        <w:tc>
          <w:tcPr>
            <w:tcW w:w="55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9/1</w:t>
            </w:r>
          </w:p>
        </w:tc>
        <w:tc>
          <w:tcPr>
            <w:tcW w:w="55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32/6</w:t>
            </w:r>
          </w:p>
        </w:tc>
        <w:tc>
          <w:tcPr>
            <w:tcW w:w="904"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16/3</w:t>
            </w:r>
          </w:p>
        </w:tc>
      </w:tr>
      <w:tr w:rsidR="008A7415" w:rsidRPr="0071782F">
        <w:tc>
          <w:tcPr>
            <w:tcW w:w="417" w:type="dxa"/>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12</w:t>
            </w:r>
          </w:p>
        </w:tc>
        <w:tc>
          <w:tcPr>
            <w:tcW w:w="2949" w:type="dxa"/>
            <w:shd w:val="clear" w:color="000000" w:fill="auto"/>
          </w:tcPr>
          <w:p w:rsidR="008A7415" w:rsidRPr="0071782F" w:rsidRDefault="00011273" w:rsidP="00C767F3">
            <w:pPr>
              <w:suppressAutoHyphens w:val="0"/>
              <w:spacing w:before="40" w:after="40" w:line="220" w:lineRule="exact"/>
              <w:rPr>
                <w:sz w:val="18"/>
                <w:lang w:val="fr-CH"/>
              </w:rPr>
            </w:pPr>
            <w:r w:rsidRPr="0071782F">
              <w:rPr>
                <w:sz w:val="18"/>
                <w:lang w:val="fr-CH"/>
              </w:rPr>
              <w:t>Logements non durables</w:t>
            </w:r>
            <w:r w:rsidR="008A7415" w:rsidRPr="0071782F">
              <w:rPr>
                <w:sz w:val="18"/>
                <w:lang w:val="fr-CH"/>
              </w:rPr>
              <w:t xml:space="preserve"> </w:t>
            </w:r>
          </w:p>
        </w:tc>
        <w:tc>
          <w:tcPr>
            <w:tcW w:w="60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6/3</w:t>
            </w:r>
          </w:p>
        </w:tc>
        <w:tc>
          <w:tcPr>
            <w:tcW w:w="60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34/1</w:t>
            </w:r>
          </w:p>
        </w:tc>
        <w:tc>
          <w:tcPr>
            <w:tcW w:w="800"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16/2</w:t>
            </w:r>
          </w:p>
        </w:tc>
        <w:tc>
          <w:tcPr>
            <w:tcW w:w="55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2/9</w:t>
            </w:r>
          </w:p>
        </w:tc>
        <w:tc>
          <w:tcPr>
            <w:tcW w:w="55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20/7</w:t>
            </w:r>
          </w:p>
        </w:tc>
        <w:tc>
          <w:tcPr>
            <w:tcW w:w="904"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7/8</w:t>
            </w:r>
          </w:p>
        </w:tc>
      </w:tr>
      <w:tr w:rsidR="008A7415" w:rsidRPr="0071782F">
        <w:tc>
          <w:tcPr>
            <w:tcW w:w="417" w:type="dxa"/>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13</w:t>
            </w:r>
          </w:p>
        </w:tc>
        <w:tc>
          <w:tcPr>
            <w:tcW w:w="2949" w:type="dxa"/>
            <w:shd w:val="clear" w:color="000000" w:fill="auto"/>
          </w:tcPr>
          <w:p w:rsidR="008A7415" w:rsidRPr="0071782F" w:rsidRDefault="00011273" w:rsidP="00C767F3">
            <w:pPr>
              <w:suppressAutoHyphens w:val="0"/>
              <w:spacing w:before="40" w:after="40" w:line="220" w:lineRule="exact"/>
              <w:rPr>
                <w:sz w:val="18"/>
                <w:lang w:val="fr-CH"/>
              </w:rPr>
            </w:pPr>
            <w:r w:rsidRPr="0071782F">
              <w:rPr>
                <w:sz w:val="18"/>
                <w:lang w:val="fr-CH"/>
              </w:rPr>
              <w:t xml:space="preserve">Logement en propriété </w:t>
            </w:r>
            <w:r w:rsidR="008A7415" w:rsidRPr="0071782F">
              <w:rPr>
                <w:sz w:val="18"/>
                <w:lang w:val="fr-CH"/>
              </w:rPr>
              <w:t>(%)</w:t>
            </w:r>
          </w:p>
        </w:tc>
        <w:tc>
          <w:tcPr>
            <w:tcW w:w="60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66/7</w:t>
            </w:r>
          </w:p>
        </w:tc>
        <w:tc>
          <w:tcPr>
            <w:tcW w:w="60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33/5</w:t>
            </w:r>
          </w:p>
        </w:tc>
        <w:tc>
          <w:tcPr>
            <w:tcW w:w="800"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73/4</w:t>
            </w:r>
          </w:p>
        </w:tc>
        <w:tc>
          <w:tcPr>
            <w:tcW w:w="55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62</w:t>
            </w:r>
          </w:p>
        </w:tc>
        <w:tc>
          <w:tcPr>
            <w:tcW w:w="55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82</w:t>
            </w:r>
          </w:p>
        </w:tc>
        <w:tc>
          <w:tcPr>
            <w:tcW w:w="904"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67/4</w:t>
            </w:r>
          </w:p>
        </w:tc>
      </w:tr>
      <w:tr w:rsidR="008A7415" w:rsidRPr="0071782F">
        <w:tc>
          <w:tcPr>
            <w:tcW w:w="417" w:type="dxa"/>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14</w:t>
            </w:r>
          </w:p>
        </w:tc>
        <w:tc>
          <w:tcPr>
            <w:tcW w:w="2949" w:type="dxa"/>
            <w:shd w:val="clear" w:color="000000" w:fill="auto"/>
          </w:tcPr>
          <w:p w:rsidR="008A7415" w:rsidRPr="0071782F" w:rsidRDefault="00011273" w:rsidP="00C767F3">
            <w:pPr>
              <w:suppressAutoHyphens w:val="0"/>
              <w:spacing w:before="40" w:after="40" w:line="220" w:lineRule="exact"/>
              <w:rPr>
                <w:sz w:val="18"/>
                <w:lang w:val="fr-CH"/>
              </w:rPr>
            </w:pPr>
            <w:r w:rsidRPr="0071782F">
              <w:rPr>
                <w:sz w:val="18"/>
                <w:lang w:val="fr-CH"/>
              </w:rPr>
              <w:t xml:space="preserve">Logement en location </w:t>
            </w:r>
            <w:r w:rsidR="008A7415" w:rsidRPr="0071782F">
              <w:rPr>
                <w:sz w:val="18"/>
                <w:lang w:val="fr-CH"/>
              </w:rPr>
              <w:t>(%)</w:t>
            </w:r>
          </w:p>
        </w:tc>
        <w:tc>
          <w:tcPr>
            <w:tcW w:w="60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20/8</w:t>
            </w:r>
          </w:p>
        </w:tc>
        <w:tc>
          <w:tcPr>
            <w:tcW w:w="60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5/4</w:t>
            </w:r>
          </w:p>
        </w:tc>
        <w:tc>
          <w:tcPr>
            <w:tcW w:w="800"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15/6</w:t>
            </w:r>
          </w:p>
        </w:tc>
        <w:tc>
          <w:tcPr>
            <w:tcW w:w="55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29</w:t>
            </w:r>
          </w:p>
        </w:tc>
        <w:tc>
          <w:tcPr>
            <w:tcW w:w="55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8</w:t>
            </w:r>
          </w:p>
        </w:tc>
        <w:tc>
          <w:tcPr>
            <w:tcW w:w="904"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24/2</w:t>
            </w:r>
          </w:p>
        </w:tc>
      </w:tr>
      <w:tr w:rsidR="008A7415" w:rsidRPr="0071782F">
        <w:tc>
          <w:tcPr>
            <w:tcW w:w="417" w:type="dxa"/>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15</w:t>
            </w:r>
          </w:p>
        </w:tc>
        <w:tc>
          <w:tcPr>
            <w:tcW w:w="2949" w:type="dxa"/>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 xml:space="preserve">Ratio </w:t>
            </w:r>
            <w:r w:rsidR="00011273" w:rsidRPr="0071782F">
              <w:rPr>
                <w:sz w:val="18"/>
                <w:lang w:val="fr-CH"/>
              </w:rPr>
              <w:t xml:space="preserve">dépenses de logement/dépenses familiales totales </w:t>
            </w:r>
          </w:p>
        </w:tc>
        <w:tc>
          <w:tcPr>
            <w:tcW w:w="60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33/5</w:t>
            </w:r>
          </w:p>
        </w:tc>
        <w:tc>
          <w:tcPr>
            <w:tcW w:w="60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14/8</w:t>
            </w:r>
          </w:p>
        </w:tc>
        <w:tc>
          <w:tcPr>
            <w:tcW w:w="800" w:type="dxa"/>
            <w:shd w:val="clear" w:color="000000" w:fill="auto"/>
            <w:vAlign w:val="bottom"/>
          </w:tcPr>
          <w:p w:rsidR="008A7415" w:rsidRPr="0071782F" w:rsidRDefault="00A62B4E" w:rsidP="00C767F3">
            <w:pPr>
              <w:suppressAutoHyphens w:val="0"/>
              <w:spacing w:before="40" w:after="40" w:line="220" w:lineRule="exact"/>
              <w:jc w:val="right"/>
              <w:rPr>
                <w:b/>
                <w:sz w:val="18"/>
                <w:lang w:val="fr-CH"/>
              </w:rPr>
            </w:pPr>
            <w:r w:rsidRPr="0071782F">
              <w:rPr>
                <w:b/>
                <w:sz w:val="18"/>
                <w:lang w:val="fr-CH"/>
              </w:rPr>
              <w:t>–</w:t>
            </w:r>
          </w:p>
        </w:tc>
        <w:tc>
          <w:tcPr>
            <w:tcW w:w="55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29</w:t>
            </w:r>
          </w:p>
        </w:tc>
        <w:tc>
          <w:tcPr>
            <w:tcW w:w="550" w:type="dxa"/>
            <w:shd w:val="clear" w:color="000000" w:fill="auto"/>
            <w:vAlign w:val="bottom"/>
          </w:tcPr>
          <w:p w:rsidR="008A7415" w:rsidRPr="0071782F" w:rsidRDefault="008A7415" w:rsidP="00C767F3">
            <w:pPr>
              <w:suppressAutoHyphens w:val="0"/>
              <w:spacing w:before="40" w:after="40" w:line="220" w:lineRule="exact"/>
              <w:jc w:val="right"/>
              <w:rPr>
                <w:sz w:val="18"/>
                <w:lang w:val="fr-CH"/>
              </w:rPr>
            </w:pPr>
            <w:r w:rsidRPr="0071782F">
              <w:rPr>
                <w:sz w:val="18"/>
                <w:lang w:val="fr-CH"/>
              </w:rPr>
              <w:t>15</w:t>
            </w:r>
          </w:p>
        </w:tc>
        <w:tc>
          <w:tcPr>
            <w:tcW w:w="904" w:type="dxa"/>
            <w:shd w:val="clear" w:color="000000" w:fill="auto"/>
            <w:vAlign w:val="bottom"/>
          </w:tcPr>
          <w:p w:rsidR="008A7415" w:rsidRPr="0071782F" w:rsidRDefault="00A62B4E" w:rsidP="00C767F3">
            <w:pPr>
              <w:suppressAutoHyphens w:val="0"/>
              <w:spacing w:before="40" w:after="40" w:line="220" w:lineRule="exact"/>
              <w:jc w:val="right"/>
              <w:rPr>
                <w:b/>
                <w:sz w:val="18"/>
                <w:lang w:val="fr-CH"/>
              </w:rPr>
            </w:pPr>
            <w:r w:rsidRPr="0071782F">
              <w:rPr>
                <w:b/>
                <w:sz w:val="18"/>
                <w:lang w:val="fr-CH"/>
              </w:rPr>
              <w:t>–</w:t>
            </w:r>
          </w:p>
        </w:tc>
      </w:tr>
      <w:tr w:rsidR="008A7415" w:rsidRPr="0071782F">
        <w:tc>
          <w:tcPr>
            <w:tcW w:w="417" w:type="dxa"/>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16</w:t>
            </w:r>
          </w:p>
        </w:tc>
        <w:tc>
          <w:tcPr>
            <w:tcW w:w="2949" w:type="dxa"/>
            <w:shd w:val="clear" w:color="000000" w:fill="auto"/>
          </w:tcPr>
          <w:p w:rsidR="008A7415" w:rsidRPr="0071782F" w:rsidRDefault="00D40B3A" w:rsidP="00C767F3">
            <w:pPr>
              <w:suppressAutoHyphens w:val="0"/>
              <w:spacing w:before="40" w:after="40" w:line="220" w:lineRule="exact"/>
              <w:rPr>
                <w:sz w:val="18"/>
                <w:lang w:val="fr-CH"/>
              </w:rPr>
            </w:pPr>
            <w:r w:rsidRPr="0071782F">
              <w:rPr>
                <w:sz w:val="18"/>
                <w:lang w:val="fr-CH"/>
              </w:rPr>
              <w:t xml:space="preserve">Crédits bancaires octroyés </w:t>
            </w:r>
            <w:r w:rsidR="00B832AA">
              <w:rPr>
                <w:sz w:val="18"/>
                <w:lang w:val="fr-CH"/>
              </w:rPr>
              <w:br/>
            </w:r>
            <w:r w:rsidR="008A7415" w:rsidRPr="0071782F">
              <w:rPr>
                <w:sz w:val="18"/>
                <w:lang w:val="fr-CH"/>
              </w:rPr>
              <w:t>(</w:t>
            </w:r>
            <w:r w:rsidRPr="0071782F">
              <w:rPr>
                <w:sz w:val="18"/>
                <w:lang w:val="fr-CH"/>
              </w:rPr>
              <w:t>en</w:t>
            </w:r>
            <w:r w:rsidR="008553D9" w:rsidRPr="0071782F">
              <w:rPr>
                <w:sz w:val="18"/>
                <w:lang w:val="fr-CH"/>
              </w:rPr>
              <w:t> milliard</w:t>
            </w:r>
            <w:r w:rsidR="00097CDB" w:rsidRPr="0071782F">
              <w:rPr>
                <w:sz w:val="18"/>
                <w:lang w:val="fr-CH"/>
              </w:rPr>
              <w:t>s</w:t>
            </w:r>
            <w:r w:rsidRPr="0071782F">
              <w:rPr>
                <w:sz w:val="18"/>
                <w:lang w:val="fr-CH"/>
              </w:rPr>
              <w:t xml:space="preserve"> </w:t>
            </w:r>
            <w:r w:rsidR="003B1403" w:rsidRPr="0071782F">
              <w:rPr>
                <w:sz w:val="18"/>
                <w:lang w:val="fr-CH"/>
              </w:rPr>
              <w:t>de rials</w:t>
            </w:r>
            <w:r w:rsidR="008A7415" w:rsidRPr="0071782F">
              <w:rPr>
                <w:sz w:val="18"/>
                <w:lang w:val="fr-CH"/>
              </w:rPr>
              <w:t>)</w:t>
            </w:r>
          </w:p>
        </w:tc>
        <w:tc>
          <w:tcPr>
            <w:tcW w:w="600" w:type="dxa"/>
            <w:shd w:val="clear" w:color="000000" w:fill="auto"/>
            <w:vAlign w:val="bottom"/>
          </w:tcPr>
          <w:p w:rsidR="008A7415" w:rsidRPr="0071782F" w:rsidRDefault="00A62B4E" w:rsidP="00C767F3">
            <w:pPr>
              <w:suppressAutoHyphens w:val="0"/>
              <w:spacing w:before="40" w:after="40" w:line="220" w:lineRule="exact"/>
              <w:jc w:val="right"/>
              <w:rPr>
                <w:sz w:val="18"/>
                <w:lang w:val="fr-CH"/>
              </w:rPr>
            </w:pPr>
            <w:r w:rsidRPr="0071782F">
              <w:rPr>
                <w:sz w:val="18"/>
                <w:lang w:val="fr-CH"/>
              </w:rPr>
              <w:t>–</w:t>
            </w:r>
          </w:p>
        </w:tc>
        <w:tc>
          <w:tcPr>
            <w:tcW w:w="600" w:type="dxa"/>
            <w:shd w:val="clear" w:color="000000" w:fill="auto"/>
            <w:vAlign w:val="bottom"/>
          </w:tcPr>
          <w:p w:rsidR="008A7415" w:rsidRPr="0071782F" w:rsidRDefault="00A62B4E" w:rsidP="00C767F3">
            <w:pPr>
              <w:suppressAutoHyphens w:val="0"/>
              <w:spacing w:before="40" w:after="40" w:line="220" w:lineRule="exact"/>
              <w:jc w:val="right"/>
              <w:rPr>
                <w:sz w:val="18"/>
                <w:lang w:val="fr-CH"/>
              </w:rPr>
            </w:pPr>
            <w:r w:rsidRPr="0071782F">
              <w:rPr>
                <w:sz w:val="18"/>
                <w:lang w:val="fr-CH"/>
              </w:rPr>
              <w:t>–</w:t>
            </w:r>
          </w:p>
        </w:tc>
        <w:tc>
          <w:tcPr>
            <w:tcW w:w="800"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50 312/6</w:t>
            </w:r>
          </w:p>
        </w:tc>
        <w:tc>
          <w:tcPr>
            <w:tcW w:w="550" w:type="dxa"/>
            <w:shd w:val="clear" w:color="000000" w:fill="auto"/>
            <w:vAlign w:val="bottom"/>
          </w:tcPr>
          <w:p w:rsidR="008A7415" w:rsidRPr="0071782F" w:rsidRDefault="00A62B4E" w:rsidP="00C767F3">
            <w:pPr>
              <w:suppressAutoHyphens w:val="0"/>
              <w:spacing w:before="40" w:after="40" w:line="220" w:lineRule="exact"/>
              <w:jc w:val="right"/>
              <w:rPr>
                <w:sz w:val="18"/>
                <w:lang w:val="fr-CH"/>
              </w:rPr>
            </w:pPr>
            <w:r w:rsidRPr="0071782F">
              <w:rPr>
                <w:sz w:val="18"/>
                <w:lang w:val="fr-CH"/>
              </w:rPr>
              <w:t>–</w:t>
            </w:r>
          </w:p>
        </w:tc>
        <w:tc>
          <w:tcPr>
            <w:tcW w:w="550" w:type="dxa"/>
            <w:shd w:val="clear" w:color="000000" w:fill="auto"/>
            <w:vAlign w:val="bottom"/>
          </w:tcPr>
          <w:p w:rsidR="008A7415" w:rsidRPr="0071782F" w:rsidRDefault="00A62B4E" w:rsidP="00C767F3">
            <w:pPr>
              <w:suppressAutoHyphens w:val="0"/>
              <w:spacing w:before="40" w:after="40" w:line="220" w:lineRule="exact"/>
              <w:jc w:val="right"/>
              <w:rPr>
                <w:sz w:val="18"/>
                <w:lang w:val="fr-CH"/>
              </w:rPr>
            </w:pPr>
            <w:r w:rsidRPr="0071782F">
              <w:rPr>
                <w:sz w:val="18"/>
                <w:lang w:val="fr-CH"/>
              </w:rPr>
              <w:t>–</w:t>
            </w:r>
          </w:p>
        </w:tc>
        <w:tc>
          <w:tcPr>
            <w:tcW w:w="904"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1 023 029</w:t>
            </w:r>
          </w:p>
        </w:tc>
      </w:tr>
      <w:tr w:rsidR="008A7415" w:rsidRPr="0071782F">
        <w:tc>
          <w:tcPr>
            <w:tcW w:w="417" w:type="dxa"/>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17</w:t>
            </w:r>
          </w:p>
        </w:tc>
        <w:tc>
          <w:tcPr>
            <w:tcW w:w="2949" w:type="dxa"/>
            <w:shd w:val="clear" w:color="000000" w:fill="auto"/>
          </w:tcPr>
          <w:p w:rsidR="008A7415" w:rsidRPr="0071782F" w:rsidRDefault="00662760" w:rsidP="00C767F3">
            <w:pPr>
              <w:suppressAutoHyphens w:val="0"/>
              <w:spacing w:before="40" w:after="40" w:line="220" w:lineRule="exact"/>
              <w:rPr>
                <w:sz w:val="18"/>
                <w:lang w:val="fr-CH"/>
              </w:rPr>
            </w:pPr>
            <w:r w:rsidRPr="0071782F">
              <w:rPr>
                <w:sz w:val="18"/>
                <w:lang w:val="fr-CH"/>
              </w:rPr>
              <w:t>Crédits bancaires octroyés a</w:t>
            </w:r>
            <w:r w:rsidR="00D40B3A" w:rsidRPr="0071782F">
              <w:rPr>
                <w:sz w:val="18"/>
                <w:lang w:val="fr-CH"/>
              </w:rPr>
              <w:t xml:space="preserve">u secteur du logement </w:t>
            </w:r>
            <w:r w:rsidR="008A7415" w:rsidRPr="0071782F">
              <w:rPr>
                <w:sz w:val="18"/>
                <w:lang w:val="fr-CH"/>
              </w:rPr>
              <w:t>(</w:t>
            </w:r>
            <w:r w:rsidR="00D40B3A" w:rsidRPr="0071782F">
              <w:rPr>
                <w:sz w:val="18"/>
                <w:lang w:val="fr-CH"/>
              </w:rPr>
              <w:t>en</w:t>
            </w:r>
            <w:r w:rsidR="008553D9" w:rsidRPr="0071782F">
              <w:rPr>
                <w:sz w:val="18"/>
                <w:lang w:val="fr-CH"/>
              </w:rPr>
              <w:t> milliard</w:t>
            </w:r>
            <w:r w:rsidR="00097CDB" w:rsidRPr="0071782F">
              <w:rPr>
                <w:sz w:val="18"/>
                <w:lang w:val="fr-CH"/>
              </w:rPr>
              <w:t>s</w:t>
            </w:r>
            <w:r w:rsidR="00D40B3A" w:rsidRPr="0071782F">
              <w:rPr>
                <w:sz w:val="18"/>
                <w:lang w:val="fr-CH"/>
              </w:rPr>
              <w:t xml:space="preserve"> </w:t>
            </w:r>
            <w:r w:rsidR="003B1403" w:rsidRPr="0071782F">
              <w:rPr>
                <w:sz w:val="18"/>
                <w:lang w:val="fr-CH"/>
              </w:rPr>
              <w:t>de rials</w:t>
            </w:r>
            <w:r w:rsidR="008A7415" w:rsidRPr="0071782F">
              <w:rPr>
                <w:sz w:val="18"/>
                <w:lang w:val="fr-CH"/>
              </w:rPr>
              <w:t>)</w:t>
            </w:r>
          </w:p>
        </w:tc>
        <w:tc>
          <w:tcPr>
            <w:tcW w:w="600" w:type="dxa"/>
            <w:shd w:val="clear" w:color="000000" w:fill="auto"/>
            <w:vAlign w:val="bottom"/>
          </w:tcPr>
          <w:p w:rsidR="008A7415" w:rsidRPr="0071782F" w:rsidRDefault="00A62B4E" w:rsidP="00C767F3">
            <w:pPr>
              <w:suppressAutoHyphens w:val="0"/>
              <w:spacing w:before="40" w:after="40" w:line="220" w:lineRule="exact"/>
              <w:jc w:val="right"/>
              <w:rPr>
                <w:sz w:val="18"/>
                <w:lang w:val="fr-CH"/>
              </w:rPr>
            </w:pPr>
            <w:r w:rsidRPr="0071782F">
              <w:rPr>
                <w:sz w:val="18"/>
                <w:lang w:val="fr-CH"/>
              </w:rPr>
              <w:t>–</w:t>
            </w:r>
          </w:p>
        </w:tc>
        <w:tc>
          <w:tcPr>
            <w:tcW w:w="600" w:type="dxa"/>
            <w:shd w:val="clear" w:color="000000" w:fill="auto"/>
            <w:vAlign w:val="bottom"/>
          </w:tcPr>
          <w:p w:rsidR="008A7415" w:rsidRPr="0071782F" w:rsidRDefault="00A62B4E" w:rsidP="00C767F3">
            <w:pPr>
              <w:suppressAutoHyphens w:val="0"/>
              <w:spacing w:before="40" w:after="40" w:line="220" w:lineRule="exact"/>
              <w:jc w:val="right"/>
              <w:rPr>
                <w:sz w:val="18"/>
                <w:lang w:val="fr-CH"/>
              </w:rPr>
            </w:pPr>
            <w:r w:rsidRPr="0071782F">
              <w:rPr>
                <w:sz w:val="18"/>
                <w:lang w:val="fr-CH"/>
              </w:rPr>
              <w:t>–</w:t>
            </w:r>
          </w:p>
        </w:tc>
        <w:tc>
          <w:tcPr>
            <w:tcW w:w="800"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14 065/8</w:t>
            </w:r>
          </w:p>
        </w:tc>
        <w:tc>
          <w:tcPr>
            <w:tcW w:w="550" w:type="dxa"/>
            <w:shd w:val="clear" w:color="000000" w:fill="auto"/>
            <w:vAlign w:val="bottom"/>
          </w:tcPr>
          <w:p w:rsidR="008A7415" w:rsidRPr="0071782F" w:rsidRDefault="00A62B4E" w:rsidP="00C767F3">
            <w:pPr>
              <w:suppressAutoHyphens w:val="0"/>
              <w:spacing w:before="40" w:after="40" w:line="220" w:lineRule="exact"/>
              <w:jc w:val="right"/>
              <w:rPr>
                <w:sz w:val="18"/>
                <w:lang w:val="fr-CH"/>
              </w:rPr>
            </w:pPr>
            <w:r w:rsidRPr="0071782F">
              <w:rPr>
                <w:sz w:val="18"/>
                <w:lang w:val="fr-CH"/>
              </w:rPr>
              <w:t>–</w:t>
            </w:r>
          </w:p>
        </w:tc>
        <w:tc>
          <w:tcPr>
            <w:tcW w:w="550" w:type="dxa"/>
            <w:shd w:val="clear" w:color="000000" w:fill="auto"/>
            <w:vAlign w:val="bottom"/>
          </w:tcPr>
          <w:p w:rsidR="008A7415" w:rsidRPr="0071782F" w:rsidRDefault="00A62B4E" w:rsidP="00C767F3">
            <w:pPr>
              <w:suppressAutoHyphens w:val="0"/>
              <w:spacing w:before="40" w:after="40" w:line="220" w:lineRule="exact"/>
              <w:jc w:val="right"/>
              <w:rPr>
                <w:sz w:val="18"/>
                <w:lang w:val="fr-CH"/>
              </w:rPr>
            </w:pPr>
            <w:r w:rsidRPr="0071782F">
              <w:rPr>
                <w:sz w:val="18"/>
                <w:lang w:val="fr-CH"/>
              </w:rPr>
              <w:t>–</w:t>
            </w:r>
          </w:p>
        </w:tc>
        <w:tc>
          <w:tcPr>
            <w:tcW w:w="904"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239 108/1</w:t>
            </w:r>
          </w:p>
        </w:tc>
      </w:tr>
      <w:tr w:rsidR="008A7415" w:rsidRPr="0071782F">
        <w:tc>
          <w:tcPr>
            <w:tcW w:w="417" w:type="dxa"/>
            <w:shd w:val="clear" w:color="000000" w:fill="auto"/>
          </w:tcPr>
          <w:p w:rsidR="008A7415" w:rsidRPr="0071782F" w:rsidRDefault="008A7415" w:rsidP="00C767F3">
            <w:pPr>
              <w:suppressAutoHyphens w:val="0"/>
              <w:spacing w:before="40" w:after="40" w:line="220" w:lineRule="exact"/>
              <w:rPr>
                <w:sz w:val="18"/>
                <w:lang w:val="fr-CH"/>
              </w:rPr>
            </w:pPr>
            <w:r w:rsidRPr="0071782F">
              <w:rPr>
                <w:sz w:val="18"/>
                <w:lang w:val="fr-CH"/>
              </w:rPr>
              <w:t>18</w:t>
            </w:r>
          </w:p>
        </w:tc>
        <w:tc>
          <w:tcPr>
            <w:tcW w:w="2949" w:type="dxa"/>
            <w:shd w:val="clear" w:color="000000" w:fill="auto"/>
          </w:tcPr>
          <w:p w:rsidR="008A7415" w:rsidRPr="0071782F" w:rsidRDefault="00D40B3A" w:rsidP="00C767F3">
            <w:pPr>
              <w:suppressAutoHyphens w:val="0"/>
              <w:spacing w:before="40" w:after="40" w:line="220" w:lineRule="exact"/>
              <w:rPr>
                <w:sz w:val="18"/>
                <w:lang w:val="fr-CH"/>
              </w:rPr>
            </w:pPr>
            <w:r w:rsidRPr="0071782F">
              <w:rPr>
                <w:sz w:val="18"/>
                <w:lang w:val="fr-CH"/>
              </w:rPr>
              <w:t xml:space="preserve">Part des crédits accordés au secteur du logement dans l’ensemble des crédits accordés </w:t>
            </w:r>
          </w:p>
        </w:tc>
        <w:tc>
          <w:tcPr>
            <w:tcW w:w="600" w:type="dxa"/>
            <w:shd w:val="clear" w:color="000000" w:fill="auto"/>
            <w:vAlign w:val="bottom"/>
          </w:tcPr>
          <w:p w:rsidR="008A7415" w:rsidRPr="0071782F" w:rsidRDefault="00A62B4E" w:rsidP="00C767F3">
            <w:pPr>
              <w:suppressAutoHyphens w:val="0"/>
              <w:spacing w:before="40" w:after="40" w:line="220" w:lineRule="exact"/>
              <w:jc w:val="right"/>
              <w:rPr>
                <w:sz w:val="18"/>
                <w:lang w:val="fr-CH"/>
              </w:rPr>
            </w:pPr>
            <w:r w:rsidRPr="0071782F">
              <w:rPr>
                <w:sz w:val="18"/>
                <w:lang w:val="fr-CH"/>
              </w:rPr>
              <w:t>–</w:t>
            </w:r>
          </w:p>
        </w:tc>
        <w:tc>
          <w:tcPr>
            <w:tcW w:w="600" w:type="dxa"/>
            <w:shd w:val="clear" w:color="000000" w:fill="auto"/>
            <w:vAlign w:val="bottom"/>
          </w:tcPr>
          <w:p w:rsidR="008A7415" w:rsidRPr="0071782F" w:rsidRDefault="00A62B4E" w:rsidP="00C767F3">
            <w:pPr>
              <w:suppressAutoHyphens w:val="0"/>
              <w:spacing w:before="40" w:after="40" w:line="220" w:lineRule="exact"/>
              <w:jc w:val="right"/>
              <w:rPr>
                <w:sz w:val="18"/>
                <w:lang w:val="fr-CH"/>
              </w:rPr>
            </w:pPr>
            <w:r w:rsidRPr="0071782F">
              <w:rPr>
                <w:sz w:val="18"/>
                <w:lang w:val="fr-CH"/>
              </w:rPr>
              <w:t>–</w:t>
            </w:r>
          </w:p>
        </w:tc>
        <w:tc>
          <w:tcPr>
            <w:tcW w:w="800"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18</w:t>
            </w:r>
          </w:p>
        </w:tc>
        <w:tc>
          <w:tcPr>
            <w:tcW w:w="550" w:type="dxa"/>
            <w:shd w:val="clear" w:color="000000" w:fill="auto"/>
            <w:vAlign w:val="bottom"/>
          </w:tcPr>
          <w:p w:rsidR="008A7415" w:rsidRPr="0071782F" w:rsidRDefault="00A62B4E" w:rsidP="00C767F3">
            <w:pPr>
              <w:suppressAutoHyphens w:val="0"/>
              <w:spacing w:before="40" w:after="40" w:line="220" w:lineRule="exact"/>
              <w:jc w:val="right"/>
              <w:rPr>
                <w:sz w:val="18"/>
                <w:lang w:val="fr-CH"/>
              </w:rPr>
            </w:pPr>
            <w:r w:rsidRPr="0071782F">
              <w:rPr>
                <w:sz w:val="18"/>
                <w:lang w:val="fr-CH"/>
              </w:rPr>
              <w:t>–</w:t>
            </w:r>
          </w:p>
        </w:tc>
        <w:tc>
          <w:tcPr>
            <w:tcW w:w="550" w:type="dxa"/>
            <w:shd w:val="clear" w:color="000000" w:fill="auto"/>
            <w:vAlign w:val="bottom"/>
          </w:tcPr>
          <w:p w:rsidR="008A7415" w:rsidRPr="0071782F" w:rsidRDefault="00A62B4E" w:rsidP="00C767F3">
            <w:pPr>
              <w:suppressAutoHyphens w:val="0"/>
              <w:spacing w:before="40" w:after="40" w:line="220" w:lineRule="exact"/>
              <w:jc w:val="right"/>
              <w:rPr>
                <w:sz w:val="18"/>
                <w:lang w:val="fr-CH"/>
              </w:rPr>
            </w:pPr>
            <w:r w:rsidRPr="0071782F">
              <w:rPr>
                <w:sz w:val="18"/>
                <w:lang w:val="fr-CH"/>
              </w:rPr>
              <w:t>–</w:t>
            </w:r>
          </w:p>
        </w:tc>
        <w:tc>
          <w:tcPr>
            <w:tcW w:w="904" w:type="dxa"/>
            <w:shd w:val="clear" w:color="000000" w:fill="auto"/>
            <w:vAlign w:val="bottom"/>
          </w:tcPr>
          <w:p w:rsidR="008A7415" w:rsidRPr="0071782F" w:rsidRDefault="008A7415" w:rsidP="00C767F3">
            <w:pPr>
              <w:suppressAutoHyphens w:val="0"/>
              <w:spacing w:before="40" w:after="40" w:line="220" w:lineRule="exact"/>
              <w:jc w:val="right"/>
              <w:rPr>
                <w:b/>
                <w:sz w:val="18"/>
                <w:lang w:val="fr-CH"/>
              </w:rPr>
            </w:pPr>
            <w:r w:rsidRPr="0071782F">
              <w:rPr>
                <w:b/>
                <w:sz w:val="18"/>
                <w:lang w:val="fr-CH"/>
              </w:rPr>
              <w:t>23/4</w:t>
            </w:r>
          </w:p>
        </w:tc>
      </w:tr>
    </w:tbl>
    <w:p w:rsidR="008A7415" w:rsidRPr="0071782F" w:rsidRDefault="00D40B3A" w:rsidP="000A419F">
      <w:pPr>
        <w:pStyle w:val="H23G"/>
        <w:ind w:firstLine="0"/>
        <w:rPr>
          <w:lang w:val="fr-CH"/>
        </w:rPr>
      </w:pPr>
      <w:r w:rsidRPr="0071782F">
        <w:rPr>
          <w:lang w:val="fr-CH"/>
        </w:rPr>
        <w:t>É</w:t>
      </w:r>
      <w:r w:rsidR="008A7415" w:rsidRPr="0071782F">
        <w:rPr>
          <w:lang w:val="fr-CH"/>
        </w:rPr>
        <w:t xml:space="preserve">valuation </w:t>
      </w:r>
      <w:r w:rsidRPr="0071782F">
        <w:rPr>
          <w:lang w:val="fr-CH"/>
        </w:rPr>
        <w:t xml:space="preserve">du degré de réalisation des objectifs quantitatifs fixés par le </w:t>
      </w:r>
      <w:r w:rsidR="00A90208" w:rsidRPr="0071782F">
        <w:rPr>
          <w:lang w:val="fr-CH"/>
        </w:rPr>
        <w:t>quatrième</w:t>
      </w:r>
      <w:r w:rsidRPr="0071782F">
        <w:rPr>
          <w:lang w:val="fr-CH"/>
        </w:rPr>
        <w:t xml:space="preserve"> plan de développement pour le secteur du logement </w:t>
      </w:r>
    </w:p>
    <w:tbl>
      <w:tblPr>
        <w:tblW w:w="9639"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3402"/>
        <w:gridCol w:w="709"/>
        <w:gridCol w:w="992"/>
        <w:gridCol w:w="709"/>
        <w:gridCol w:w="992"/>
        <w:gridCol w:w="709"/>
        <w:gridCol w:w="851"/>
        <w:gridCol w:w="708"/>
        <w:gridCol w:w="567"/>
      </w:tblGrid>
      <w:tr w:rsidR="008A7415" w:rsidRPr="0071782F">
        <w:trPr>
          <w:tblHeader/>
        </w:trPr>
        <w:tc>
          <w:tcPr>
            <w:tcW w:w="3402" w:type="dxa"/>
            <w:vMerge w:val="restart"/>
            <w:tcBorders>
              <w:top w:val="single" w:sz="4" w:space="0" w:color="auto"/>
              <w:bottom w:val="single" w:sz="4" w:space="0" w:color="auto"/>
            </w:tcBorders>
            <w:shd w:val="clear" w:color="000000" w:fill="auto"/>
            <w:vAlign w:val="bottom"/>
          </w:tcPr>
          <w:p w:rsidR="008A7415" w:rsidRPr="0071782F" w:rsidRDefault="00D40B3A" w:rsidP="000A419F">
            <w:pPr>
              <w:keepNext/>
              <w:suppressAutoHyphens w:val="0"/>
              <w:spacing w:before="80" w:after="80" w:line="200" w:lineRule="exact"/>
              <w:rPr>
                <w:i/>
                <w:sz w:val="16"/>
                <w:lang w:val="fr-CH"/>
              </w:rPr>
            </w:pPr>
            <w:r w:rsidRPr="0071782F">
              <w:rPr>
                <w:i/>
                <w:sz w:val="16"/>
                <w:lang w:val="fr-CH"/>
              </w:rPr>
              <w:t>Indicateu</w:t>
            </w:r>
            <w:r w:rsidR="008A7415" w:rsidRPr="0071782F">
              <w:rPr>
                <w:i/>
                <w:sz w:val="16"/>
                <w:lang w:val="fr-CH"/>
              </w:rPr>
              <w:t>rs</w:t>
            </w:r>
            <w:r w:rsidRPr="0071782F">
              <w:rPr>
                <w:i/>
                <w:sz w:val="16"/>
                <w:lang w:val="fr-CH"/>
              </w:rPr>
              <w:t xml:space="preserve"> annuels</w:t>
            </w:r>
          </w:p>
        </w:tc>
        <w:tc>
          <w:tcPr>
            <w:tcW w:w="6237" w:type="dxa"/>
            <w:gridSpan w:val="8"/>
            <w:tcBorders>
              <w:top w:val="single" w:sz="4" w:space="0" w:color="auto"/>
              <w:bottom w:val="single" w:sz="4" w:space="0" w:color="auto"/>
            </w:tcBorders>
            <w:shd w:val="clear" w:color="000000" w:fill="auto"/>
            <w:vAlign w:val="bottom"/>
          </w:tcPr>
          <w:p w:rsidR="008A7415" w:rsidRPr="0071782F" w:rsidRDefault="000A419F" w:rsidP="000A419F">
            <w:pPr>
              <w:keepNext/>
              <w:suppressAutoHyphens w:val="0"/>
              <w:spacing w:before="80" w:after="80" w:line="200" w:lineRule="exact"/>
              <w:jc w:val="center"/>
              <w:rPr>
                <w:i/>
                <w:sz w:val="16"/>
                <w:lang w:val="fr-CH"/>
              </w:rPr>
            </w:pPr>
            <w:r w:rsidRPr="0071782F">
              <w:rPr>
                <w:i/>
                <w:sz w:val="16"/>
                <w:lang w:val="fr-CH"/>
              </w:rPr>
              <w:t>Q</w:t>
            </w:r>
            <w:r w:rsidR="00A90208" w:rsidRPr="0071782F">
              <w:rPr>
                <w:i/>
                <w:sz w:val="16"/>
                <w:lang w:val="fr-CH"/>
              </w:rPr>
              <w:t>uatrième</w:t>
            </w:r>
            <w:r w:rsidR="00D40B3A" w:rsidRPr="0071782F">
              <w:rPr>
                <w:i/>
                <w:sz w:val="16"/>
                <w:lang w:val="fr-CH"/>
              </w:rPr>
              <w:t xml:space="preserve"> </w:t>
            </w:r>
            <w:r w:rsidR="008A7415" w:rsidRPr="0071782F">
              <w:rPr>
                <w:i/>
                <w:sz w:val="16"/>
                <w:lang w:val="fr-CH"/>
              </w:rPr>
              <w:t>plan</w:t>
            </w:r>
            <w:r w:rsidR="00D40B3A" w:rsidRPr="0071782F">
              <w:rPr>
                <w:i/>
                <w:sz w:val="16"/>
                <w:lang w:val="fr-CH"/>
              </w:rPr>
              <w:t xml:space="preserve"> de développement</w:t>
            </w:r>
          </w:p>
        </w:tc>
      </w:tr>
      <w:tr w:rsidR="008A7415" w:rsidRPr="0071782F">
        <w:trPr>
          <w:tblHeader/>
        </w:trPr>
        <w:tc>
          <w:tcPr>
            <w:tcW w:w="3402" w:type="dxa"/>
            <w:vMerge/>
            <w:tcBorders>
              <w:top w:val="single" w:sz="4" w:space="0" w:color="auto"/>
              <w:bottom w:val="single" w:sz="4" w:space="0" w:color="auto"/>
            </w:tcBorders>
            <w:shd w:val="clear" w:color="000000" w:fill="auto"/>
            <w:vAlign w:val="bottom"/>
          </w:tcPr>
          <w:p w:rsidR="008A7415" w:rsidRPr="0071782F" w:rsidRDefault="008A7415" w:rsidP="000A419F">
            <w:pPr>
              <w:keepNext/>
              <w:suppressAutoHyphens w:val="0"/>
              <w:spacing w:before="40" w:after="40" w:line="220" w:lineRule="exact"/>
              <w:rPr>
                <w:sz w:val="18"/>
                <w:lang w:val="fr-CH"/>
              </w:rPr>
            </w:pPr>
          </w:p>
        </w:tc>
        <w:tc>
          <w:tcPr>
            <w:tcW w:w="1701" w:type="dxa"/>
            <w:gridSpan w:val="2"/>
            <w:tcBorders>
              <w:top w:val="single" w:sz="4" w:space="0" w:color="auto"/>
              <w:bottom w:val="single" w:sz="4" w:space="0" w:color="auto"/>
              <w:right w:val="single" w:sz="24" w:space="0" w:color="FFFFFF"/>
            </w:tcBorders>
            <w:shd w:val="clear" w:color="000000" w:fill="auto"/>
            <w:vAlign w:val="bottom"/>
          </w:tcPr>
          <w:p w:rsidR="008A7415" w:rsidRPr="0071782F" w:rsidRDefault="008A7415" w:rsidP="000A419F">
            <w:pPr>
              <w:keepNext/>
              <w:suppressAutoHyphens w:val="0"/>
              <w:spacing w:before="80" w:after="80" w:line="200" w:lineRule="exact"/>
              <w:jc w:val="center"/>
              <w:rPr>
                <w:i/>
                <w:sz w:val="16"/>
                <w:lang w:val="fr-CH"/>
              </w:rPr>
            </w:pPr>
            <w:r w:rsidRPr="0071782F">
              <w:rPr>
                <w:i/>
                <w:sz w:val="16"/>
                <w:lang w:val="fr-CH"/>
              </w:rPr>
              <w:t>2005</w:t>
            </w:r>
          </w:p>
        </w:tc>
        <w:tc>
          <w:tcPr>
            <w:tcW w:w="1701"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8A7415" w:rsidRPr="0071782F" w:rsidRDefault="008A7415" w:rsidP="000A419F">
            <w:pPr>
              <w:keepNext/>
              <w:suppressAutoHyphens w:val="0"/>
              <w:spacing w:before="80" w:after="80" w:line="200" w:lineRule="exact"/>
              <w:jc w:val="center"/>
              <w:rPr>
                <w:i/>
                <w:sz w:val="16"/>
                <w:lang w:val="fr-CH"/>
              </w:rPr>
            </w:pPr>
            <w:r w:rsidRPr="0071782F">
              <w:rPr>
                <w:i/>
                <w:sz w:val="16"/>
                <w:lang w:val="fr-CH"/>
              </w:rPr>
              <w:t>2006</w:t>
            </w:r>
          </w:p>
        </w:tc>
        <w:tc>
          <w:tcPr>
            <w:tcW w:w="1560" w:type="dxa"/>
            <w:gridSpan w:val="2"/>
            <w:tcBorders>
              <w:top w:val="single" w:sz="4" w:space="0" w:color="auto"/>
              <w:left w:val="single" w:sz="24" w:space="0" w:color="FFFFFF"/>
              <w:bottom w:val="single" w:sz="4" w:space="0" w:color="auto"/>
            </w:tcBorders>
            <w:shd w:val="clear" w:color="000000" w:fill="auto"/>
            <w:vAlign w:val="bottom"/>
          </w:tcPr>
          <w:p w:rsidR="008A7415" w:rsidRPr="0071782F" w:rsidRDefault="008A7415" w:rsidP="000A419F">
            <w:pPr>
              <w:keepNext/>
              <w:suppressAutoHyphens w:val="0"/>
              <w:spacing w:before="80" w:after="80" w:line="200" w:lineRule="exact"/>
              <w:jc w:val="center"/>
              <w:rPr>
                <w:i/>
                <w:sz w:val="16"/>
                <w:lang w:val="fr-CH"/>
              </w:rPr>
            </w:pPr>
            <w:r w:rsidRPr="0071782F">
              <w:rPr>
                <w:i/>
                <w:sz w:val="16"/>
                <w:lang w:val="fr-CH"/>
              </w:rPr>
              <w:t>2007</w:t>
            </w:r>
          </w:p>
        </w:tc>
        <w:tc>
          <w:tcPr>
            <w:tcW w:w="708" w:type="dxa"/>
            <w:vMerge w:val="restart"/>
            <w:tcBorders>
              <w:top w:val="single" w:sz="4" w:space="0" w:color="auto"/>
              <w:bottom w:val="single" w:sz="4" w:space="0" w:color="auto"/>
            </w:tcBorders>
            <w:shd w:val="clear" w:color="000000" w:fill="auto"/>
            <w:vAlign w:val="bottom"/>
          </w:tcPr>
          <w:p w:rsidR="008A7415" w:rsidRPr="0071782F" w:rsidRDefault="008A7415" w:rsidP="000A419F">
            <w:pPr>
              <w:keepNext/>
              <w:suppressAutoHyphens w:val="0"/>
              <w:spacing w:before="80" w:after="80" w:line="200" w:lineRule="exact"/>
              <w:jc w:val="right"/>
              <w:rPr>
                <w:i/>
                <w:sz w:val="16"/>
                <w:lang w:val="fr-CH"/>
              </w:rPr>
            </w:pPr>
            <w:r w:rsidRPr="0071782F">
              <w:rPr>
                <w:i/>
                <w:sz w:val="16"/>
                <w:lang w:val="fr-CH"/>
              </w:rPr>
              <w:t>2008</w:t>
            </w:r>
          </w:p>
        </w:tc>
        <w:tc>
          <w:tcPr>
            <w:tcW w:w="567" w:type="dxa"/>
            <w:vMerge w:val="restart"/>
            <w:tcBorders>
              <w:top w:val="single" w:sz="4" w:space="0" w:color="auto"/>
              <w:bottom w:val="single" w:sz="4" w:space="0" w:color="auto"/>
            </w:tcBorders>
            <w:shd w:val="clear" w:color="000000" w:fill="auto"/>
            <w:vAlign w:val="bottom"/>
          </w:tcPr>
          <w:p w:rsidR="008A7415" w:rsidRPr="0071782F" w:rsidRDefault="008A7415" w:rsidP="000A419F">
            <w:pPr>
              <w:keepNext/>
              <w:suppressAutoHyphens w:val="0"/>
              <w:spacing w:before="80" w:after="80" w:line="200" w:lineRule="exact"/>
              <w:jc w:val="right"/>
              <w:rPr>
                <w:i/>
                <w:sz w:val="16"/>
                <w:lang w:val="fr-CH"/>
              </w:rPr>
            </w:pPr>
            <w:r w:rsidRPr="0071782F">
              <w:rPr>
                <w:i/>
                <w:sz w:val="16"/>
                <w:lang w:val="fr-CH"/>
              </w:rPr>
              <w:t>2009</w:t>
            </w:r>
          </w:p>
        </w:tc>
      </w:tr>
      <w:tr w:rsidR="008A7415" w:rsidRPr="0071782F">
        <w:trPr>
          <w:tblHeader/>
        </w:trPr>
        <w:tc>
          <w:tcPr>
            <w:tcW w:w="3402" w:type="dxa"/>
            <w:vMerge/>
            <w:tcBorders>
              <w:top w:val="single" w:sz="4" w:space="0" w:color="auto"/>
              <w:bottom w:val="single" w:sz="12" w:space="0" w:color="auto"/>
            </w:tcBorders>
            <w:shd w:val="clear" w:color="000000" w:fill="auto"/>
            <w:vAlign w:val="bottom"/>
          </w:tcPr>
          <w:p w:rsidR="008A7415" w:rsidRPr="0071782F" w:rsidRDefault="008A7415" w:rsidP="000A419F">
            <w:pPr>
              <w:keepNext/>
              <w:suppressAutoHyphens w:val="0"/>
              <w:spacing w:before="40" w:after="40" w:line="220" w:lineRule="exact"/>
              <w:rPr>
                <w:sz w:val="18"/>
                <w:lang w:val="fr-CH"/>
              </w:rPr>
            </w:pPr>
          </w:p>
        </w:tc>
        <w:tc>
          <w:tcPr>
            <w:tcW w:w="709" w:type="dxa"/>
            <w:tcBorders>
              <w:top w:val="single" w:sz="4" w:space="0" w:color="auto"/>
              <w:bottom w:val="single" w:sz="12" w:space="0" w:color="auto"/>
            </w:tcBorders>
            <w:shd w:val="clear" w:color="000000" w:fill="auto"/>
            <w:vAlign w:val="bottom"/>
          </w:tcPr>
          <w:p w:rsidR="008A7415" w:rsidRPr="0071782F" w:rsidRDefault="008A7415" w:rsidP="000A419F">
            <w:pPr>
              <w:keepNext/>
              <w:suppressAutoHyphens w:val="0"/>
              <w:spacing w:before="80" w:after="80" w:line="200" w:lineRule="exact"/>
              <w:jc w:val="right"/>
              <w:rPr>
                <w:i/>
                <w:sz w:val="16"/>
                <w:lang w:val="fr-CH"/>
              </w:rPr>
            </w:pPr>
            <w:r w:rsidRPr="0071782F">
              <w:rPr>
                <w:i/>
                <w:sz w:val="16"/>
                <w:lang w:val="fr-CH"/>
              </w:rPr>
              <w:t>Objecti</w:t>
            </w:r>
            <w:r w:rsidR="00D40B3A" w:rsidRPr="0071782F">
              <w:rPr>
                <w:i/>
                <w:sz w:val="16"/>
                <w:lang w:val="fr-CH"/>
              </w:rPr>
              <w:t>f</w:t>
            </w:r>
          </w:p>
        </w:tc>
        <w:tc>
          <w:tcPr>
            <w:tcW w:w="992" w:type="dxa"/>
            <w:tcBorders>
              <w:top w:val="single" w:sz="4" w:space="0" w:color="auto"/>
              <w:bottom w:val="single" w:sz="12" w:space="0" w:color="auto"/>
              <w:right w:val="single" w:sz="24" w:space="0" w:color="FFFFFF"/>
            </w:tcBorders>
            <w:shd w:val="clear" w:color="000000" w:fill="auto"/>
            <w:vAlign w:val="bottom"/>
          </w:tcPr>
          <w:p w:rsidR="008A7415" w:rsidRPr="0071782F" w:rsidRDefault="00D40B3A" w:rsidP="000A419F">
            <w:pPr>
              <w:keepNext/>
              <w:suppressAutoHyphens w:val="0"/>
              <w:spacing w:before="80" w:after="80" w:line="200" w:lineRule="exact"/>
              <w:jc w:val="right"/>
              <w:rPr>
                <w:i/>
                <w:sz w:val="16"/>
                <w:lang w:val="fr-CH"/>
              </w:rPr>
            </w:pPr>
            <w:r w:rsidRPr="0071782F">
              <w:rPr>
                <w:i/>
                <w:sz w:val="16"/>
                <w:lang w:val="fr-CH"/>
              </w:rPr>
              <w:t xml:space="preserve">Réalisation </w:t>
            </w:r>
          </w:p>
        </w:tc>
        <w:tc>
          <w:tcPr>
            <w:tcW w:w="709" w:type="dxa"/>
            <w:tcBorders>
              <w:top w:val="single" w:sz="4" w:space="0" w:color="auto"/>
              <w:left w:val="single" w:sz="24" w:space="0" w:color="FFFFFF"/>
              <w:bottom w:val="single" w:sz="12" w:space="0" w:color="auto"/>
            </w:tcBorders>
            <w:shd w:val="clear" w:color="000000" w:fill="auto"/>
            <w:vAlign w:val="bottom"/>
          </w:tcPr>
          <w:p w:rsidR="008A7415" w:rsidRPr="0071782F" w:rsidRDefault="00D40B3A" w:rsidP="000A419F">
            <w:pPr>
              <w:keepNext/>
              <w:suppressAutoHyphens w:val="0"/>
              <w:spacing w:before="80" w:after="80" w:line="200" w:lineRule="exact"/>
              <w:jc w:val="right"/>
              <w:rPr>
                <w:i/>
                <w:sz w:val="16"/>
                <w:lang w:val="fr-CH"/>
              </w:rPr>
            </w:pPr>
            <w:r w:rsidRPr="0071782F">
              <w:rPr>
                <w:i/>
                <w:sz w:val="16"/>
                <w:lang w:val="fr-CH"/>
              </w:rPr>
              <w:t xml:space="preserve">Objectif </w:t>
            </w:r>
          </w:p>
        </w:tc>
        <w:tc>
          <w:tcPr>
            <w:tcW w:w="992" w:type="dxa"/>
            <w:tcBorders>
              <w:top w:val="single" w:sz="4" w:space="0" w:color="auto"/>
              <w:bottom w:val="single" w:sz="12" w:space="0" w:color="auto"/>
              <w:right w:val="single" w:sz="24" w:space="0" w:color="FFFFFF"/>
            </w:tcBorders>
            <w:shd w:val="clear" w:color="000000" w:fill="auto"/>
            <w:vAlign w:val="bottom"/>
          </w:tcPr>
          <w:p w:rsidR="008A7415" w:rsidRPr="0071782F" w:rsidRDefault="00D40B3A" w:rsidP="000A419F">
            <w:pPr>
              <w:keepNext/>
              <w:suppressAutoHyphens w:val="0"/>
              <w:spacing w:before="80" w:after="80" w:line="200" w:lineRule="exact"/>
              <w:jc w:val="right"/>
              <w:rPr>
                <w:i/>
                <w:sz w:val="16"/>
                <w:lang w:val="fr-CH"/>
              </w:rPr>
            </w:pPr>
            <w:r w:rsidRPr="0071782F">
              <w:rPr>
                <w:i/>
                <w:sz w:val="16"/>
                <w:lang w:val="fr-CH"/>
              </w:rPr>
              <w:t>Réalisation</w:t>
            </w:r>
          </w:p>
        </w:tc>
        <w:tc>
          <w:tcPr>
            <w:tcW w:w="709" w:type="dxa"/>
            <w:tcBorders>
              <w:top w:val="single" w:sz="4" w:space="0" w:color="auto"/>
              <w:left w:val="single" w:sz="24" w:space="0" w:color="FFFFFF"/>
              <w:bottom w:val="single" w:sz="12" w:space="0" w:color="auto"/>
            </w:tcBorders>
            <w:shd w:val="clear" w:color="000000" w:fill="auto"/>
            <w:vAlign w:val="bottom"/>
          </w:tcPr>
          <w:p w:rsidR="008A7415" w:rsidRPr="0071782F" w:rsidRDefault="00D40B3A" w:rsidP="000A419F">
            <w:pPr>
              <w:keepNext/>
              <w:suppressAutoHyphens w:val="0"/>
              <w:spacing w:before="80" w:after="80" w:line="200" w:lineRule="exact"/>
              <w:jc w:val="right"/>
              <w:rPr>
                <w:i/>
                <w:sz w:val="16"/>
                <w:lang w:val="fr-CH"/>
              </w:rPr>
            </w:pPr>
            <w:r w:rsidRPr="0071782F">
              <w:rPr>
                <w:i/>
                <w:sz w:val="16"/>
                <w:lang w:val="fr-CH"/>
              </w:rPr>
              <w:t>Objectif</w:t>
            </w:r>
          </w:p>
        </w:tc>
        <w:tc>
          <w:tcPr>
            <w:tcW w:w="851" w:type="dxa"/>
            <w:tcBorders>
              <w:top w:val="single" w:sz="4" w:space="0" w:color="auto"/>
              <w:bottom w:val="single" w:sz="12" w:space="0" w:color="auto"/>
            </w:tcBorders>
            <w:shd w:val="clear" w:color="000000" w:fill="auto"/>
            <w:vAlign w:val="bottom"/>
          </w:tcPr>
          <w:p w:rsidR="008A7415" w:rsidRPr="0071782F" w:rsidRDefault="00D40B3A" w:rsidP="000A419F">
            <w:pPr>
              <w:keepNext/>
              <w:suppressAutoHyphens w:val="0"/>
              <w:spacing w:before="80" w:after="80" w:line="200" w:lineRule="exact"/>
              <w:jc w:val="right"/>
              <w:rPr>
                <w:i/>
                <w:sz w:val="16"/>
                <w:lang w:val="fr-CH"/>
              </w:rPr>
            </w:pPr>
            <w:r w:rsidRPr="0071782F">
              <w:rPr>
                <w:i/>
                <w:sz w:val="16"/>
                <w:lang w:val="fr-CH"/>
              </w:rPr>
              <w:t>Réalisation</w:t>
            </w:r>
          </w:p>
        </w:tc>
        <w:tc>
          <w:tcPr>
            <w:tcW w:w="708" w:type="dxa"/>
            <w:vMerge/>
            <w:tcBorders>
              <w:top w:val="single" w:sz="4" w:space="0" w:color="auto"/>
              <w:bottom w:val="single" w:sz="12" w:space="0" w:color="auto"/>
            </w:tcBorders>
            <w:shd w:val="clear" w:color="000000" w:fill="auto"/>
            <w:vAlign w:val="bottom"/>
          </w:tcPr>
          <w:p w:rsidR="008A7415" w:rsidRPr="0071782F" w:rsidRDefault="008A7415" w:rsidP="000A419F">
            <w:pPr>
              <w:keepNext/>
              <w:suppressAutoHyphens w:val="0"/>
              <w:spacing w:before="40" w:after="40" w:line="220" w:lineRule="exact"/>
              <w:jc w:val="right"/>
              <w:rPr>
                <w:sz w:val="18"/>
                <w:lang w:val="fr-CH"/>
              </w:rPr>
            </w:pPr>
          </w:p>
        </w:tc>
        <w:tc>
          <w:tcPr>
            <w:tcW w:w="567" w:type="dxa"/>
            <w:vMerge/>
            <w:tcBorders>
              <w:top w:val="single" w:sz="4" w:space="0" w:color="auto"/>
              <w:bottom w:val="single" w:sz="12" w:space="0" w:color="auto"/>
            </w:tcBorders>
            <w:shd w:val="clear" w:color="000000" w:fill="auto"/>
            <w:vAlign w:val="bottom"/>
          </w:tcPr>
          <w:p w:rsidR="008A7415" w:rsidRPr="0071782F" w:rsidRDefault="008A7415" w:rsidP="000A419F">
            <w:pPr>
              <w:keepNext/>
              <w:suppressAutoHyphens w:val="0"/>
              <w:spacing w:before="40" w:after="40" w:line="220" w:lineRule="exact"/>
              <w:jc w:val="right"/>
              <w:rPr>
                <w:sz w:val="18"/>
                <w:lang w:val="fr-CH"/>
              </w:rPr>
            </w:pPr>
          </w:p>
        </w:tc>
      </w:tr>
      <w:tr w:rsidR="008A7415" w:rsidRPr="0071782F">
        <w:tc>
          <w:tcPr>
            <w:tcW w:w="3402" w:type="dxa"/>
            <w:tcBorders>
              <w:top w:val="single" w:sz="12" w:space="0" w:color="auto"/>
            </w:tcBorders>
            <w:shd w:val="clear" w:color="000000" w:fill="auto"/>
          </w:tcPr>
          <w:p w:rsidR="008A7415" w:rsidRPr="0071782F" w:rsidRDefault="00D40B3A" w:rsidP="00A5752C">
            <w:pPr>
              <w:keepNext/>
              <w:suppressAutoHyphens w:val="0"/>
              <w:spacing w:before="40" w:after="40" w:line="220" w:lineRule="exact"/>
              <w:rPr>
                <w:sz w:val="18"/>
                <w:lang w:val="fr-CH"/>
              </w:rPr>
            </w:pPr>
            <w:r w:rsidRPr="0071782F">
              <w:rPr>
                <w:sz w:val="18"/>
                <w:lang w:val="fr-CH"/>
              </w:rPr>
              <w:t xml:space="preserve">Construction </w:t>
            </w:r>
            <w:r w:rsidR="003F25A2">
              <w:rPr>
                <w:sz w:val="18"/>
                <w:lang w:val="fr-CH"/>
              </w:rPr>
              <w:t>de logements</w:t>
            </w:r>
            <w:r w:rsidRPr="0071782F">
              <w:rPr>
                <w:sz w:val="18"/>
                <w:lang w:val="fr-CH"/>
              </w:rPr>
              <w:t xml:space="preserve"> </w:t>
            </w:r>
            <w:r w:rsidR="008A7415" w:rsidRPr="0071782F">
              <w:rPr>
                <w:sz w:val="18"/>
                <w:lang w:val="fr-CH"/>
              </w:rPr>
              <w:t>(</w:t>
            </w:r>
            <w:r w:rsidRPr="0071782F">
              <w:rPr>
                <w:sz w:val="18"/>
                <w:lang w:val="fr-CH"/>
              </w:rPr>
              <w:t>en milliers</w:t>
            </w:r>
            <w:r w:rsidR="008A7415" w:rsidRPr="0071782F">
              <w:rPr>
                <w:sz w:val="18"/>
                <w:lang w:val="fr-CH"/>
              </w:rPr>
              <w:t>)</w:t>
            </w:r>
          </w:p>
        </w:tc>
        <w:tc>
          <w:tcPr>
            <w:tcW w:w="709" w:type="dxa"/>
            <w:tcBorders>
              <w:top w:val="single" w:sz="12" w:space="0" w:color="auto"/>
            </w:tcBorders>
            <w:shd w:val="clear" w:color="000000" w:fill="auto"/>
            <w:vAlign w:val="bottom"/>
          </w:tcPr>
          <w:p w:rsidR="008A7415" w:rsidRPr="0071782F" w:rsidRDefault="008A7415" w:rsidP="000A419F">
            <w:pPr>
              <w:keepNext/>
              <w:suppressAutoHyphens w:val="0"/>
              <w:spacing w:before="40" w:after="40" w:line="220" w:lineRule="exact"/>
              <w:jc w:val="right"/>
              <w:rPr>
                <w:sz w:val="18"/>
                <w:lang w:val="fr-CH"/>
              </w:rPr>
            </w:pPr>
            <w:r w:rsidRPr="0071782F">
              <w:rPr>
                <w:sz w:val="18"/>
                <w:lang w:val="fr-CH"/>
              </w:rPr>
              <w:t>530</w:t>
            </w:r>
          </w:p>
        </w:tc>
        <w:tc>
          <w:tcPr>
            <w:tcW w:w="992" w:type="dxa"/>
            <w:tcBorders>
              <w:top w:val="single" w:sz="12" w:space="0" w:color="auto"/>
            </w:tcBorders>
            <w:shd w:val="clear" w:color="000000" w:fill="auto"/>
            <w:vAlign w:val="bottom"/>
          </w:tcPr>
          <w:p w:rsidR="008A7415" w:rsidRPr="0071782F" w:rsidRDefault="008A7415" w:rsidP="000A419F">
            <w:pPr>
              <w:keepNext/>
              <w:suppressAutoHyphens w:val="0"/>
              <w:spacing w:before="40" w:after="40" w:line="220" w:lineRule="exact"/>
              <w:jc w:val="right"/>
              <w:rPr>
                <w:sz w:val="18"/>
                <w:lang w:val="fr-CH"/>
              </w:rPr>
            </w:pPr>
            <w:r w:rsidRPr="0071782F">
              <w:rPr>
                <w:sz w:val="18"/>
                <w:lang w:val="fr-CH"/>
              </w:rPr>
              <w:t>581</w:t>
            </w:r>
          </w:p>
        </w:tc>
        <w:tc>
          <w:tcPr>
            <w:tcW w:w="709" w:type="dxa"/>
            <w:tcBorders>
              <w:top w:val="single" w:sz="12" w:space="0" w:color="auto"/>
            </w:tcBorders>
            <w:shd w:val="clear" w:color="000000" w:fill="auto"/>
            <w:vAlign w:val="bottom"/>
          </w:tcPr>
          <w:p w:rsidR="008A7415" w:rsidRPr="0071782F" w:rsidRDefault="008A7415" w:rsidP="000A419F">
            <w:pPr>
              <w:keepNext/>
              <w:suppressAutoHyphens w:val="0"/>
              <w:spacing w:before="40" w:after="40" w:line="220" w:lineRule="exact"/>
              <w:jc w:val="right"/>
              <w:rPr>
                <w:sz w:val="18"/>
                <w:lang w:val="fr-CH"/>
              </w:rPr>
            </w:pPr>
            <w:r w:rsidRPr="0071782F">
              <w:rPr>
                <w:sz w:val="18"/>
                <w:lang w:val="fr-CH"/>
              </w:rPr>
              <w:t>580</w:t>
            </w:r>
          </w:p>
        </w:tc>
        <w:tc>
          <w:tcPr>
            <w:tcW w:w="992" w:type="dxa"/>
            <w:tcBorders>
              <w:top w:val="single" w:sz="12" w:space="0" w:color="auto"/>
            </w:tcBorders>
            <w:shd w:val="clear" w:color="000000" w:fill="auto"/>
            <w:vAlign w:val="bottom"/>
          </w:tcPr>
          <w:p w:rsidR="008A7415" w:rsidRPr="0071782F" w:rsidRDefault="008A7415" w:rsidP="000A419F">
            <w:pPr>
              <w:keepNext/>
              <w:suppressAutoHyphens w:val="0"/>
              <w:spacing w:before="40" w:after="40" w:line="220" w:lineRule="exact"/>
              <w:jc w:val="right"/>
              <w:rPr>
                <w:sz w:val="18"/>
                <w:lang w:val="fr-CH"/>
              </w:rPr>
            </w:pPr>
            <w:r w:rsidRPr="0071782F">
              <w:rPr>
                <w:sz w:val="18"/>
                <w:lang w:val="fr-CH"/>
              </w:rPr>
              <w:t>638</w:t>
            </w:r>
          </w:p>
        </w:tc>
        <w:tc>
          <w:tcPr>
            <w:tcW w:w="709" w:type="dxa"/>
            <w:tcBorders>
              <w:top w:val="single" w:sz="12" w:space="0" w:color="auto"/>
            </w:tcBorders>
            <w:shd w:val="clear" w:color="000000" w:fill="auto"/>
            <w:vAlign w:val="bottom"/>
          </w:tcPr>
          <w:p w:rsidR="008A7415" w:rsidRPr="0071782F" w:rsidRDefault="008A7415" w:rsidP="000A419F">
            <w:pPr>
              <w:keepNext/>
              <w:suppressAutoHyphens w:val="0"/>
              <w:spacing w:before="40" w:after="40" w:line="220" w:lineRule="exact"/>
              <w:jc w:val="right"/>
              <w:rPr>
                <w:sz w:val="18"/>
                <w:lang w:val="fr-CH"/>
              </w:rPr>
            </w:pPr>
            <w:r w:rsidRPr="0071782F">
              <w:rPr>
                <w:sz w:val="18"/>
                <w:lang w:val="fr-CH"/>
              </w:rPr>
              <w:t>624</w:t>
            </w:r>
          </w:p>
        </w:tc>
        <w:tc>
          <w:tcPr>
            <w:tcW w:w="851" w:type="dxa"/>
            <w:tcBorders>
              <w:top w:val="single" w:sz="12" w:space="0" w:color="auto"/>
            </w:tcBorders>
            <w:shd w:val="clear" w:color="000000" w:fill="auto"/>
            <w:vAlign w:val="bottom"/>
          </w:tcPr>
          <w:p w:rsidR="008A7415" w:rsidRPr="0071782F" w:rsidRDefault="008A7415" w:rsidP="000A419F">
            <w:pPr>
              <w:keepNext/>
              <w:suppressAutoHyphens w:val="0"/>
              <w:spacing w:before="40" w:after="40" w:line="220" w:lineRule="exact"/>
              <w:jc w:val="right"/>
              <w:rPr>
                <w:sz w:val="18"/>
                <w:lang w:val="fr-CH"/>
              </w:rPr>
            </w:pPr>
            <w:r w:rsidRPr="0071782F">
              <w:rPr>
                <w:sz w:val="18"/>
                <w:lang w:val="fr-CH"/>
              </w:rPr>
              <w:t>830</w:t>
            </w:r>
          </w:p>
        </w:tc>
        <w:tc>
          <w:tcPr>
            <w:tcW w:w="708" w:type="dxa"/>
            <w:tcBorders>
              <w:top w:val="single" w:sz="12" w:space="0" w:color="auto"/>
            </w:tcBorders>
            <w:shd w:val="clear" w:color="000000" w:fill="auto"/>
            <w:vAlign w:val="bottom"/>
          </w:tcPr>
          <w:p w:rsidR="008A7415" w:rsidRPr="0071782F" w:rsidRDefault="008A7415" w:rsidP="000A419F">
            <w:pPr>
              <w:keepNext/>
              <w:suppressAutoHyphens w:val="0"/>
              <w:spacing w:before="40" w:after="40" w:line="220" w:lineRule="exact"/>
              <w:jc w:val="right"/>
              <w:rPr>
                <w:sz w:val="18"/>
                <w:lang w:val="fr-CH"/>
              </w:rPr>
            </w:pPr>
            <w:r w:rsidRPr="0071782F">
              <w:rPr>
                <w:sz w:val="18"/>
                <w:lang w:val="fr-CH"/>
              </w:rPr>
              <w:t>661</w:t>
            </w:r>
          </w:p>
        </w:tc>
        <w:tc>
          <w:tcPr>
            <w:tcW w:w="567" w:type="dxa"/>
            <w:tcBorders>
              <w:top w:val="single" w:sz="12" w:space="0" w:color="auto"/>
            </w:tcBorders>
            <w:shd w:val="clear" w:color="000000" w:fill="auto"/>
            <w:vAlign w:val="bottom"/>
          </w:tcPr>
          <w:p w:rsidR="008A7415" w:rsidRPr="0071782F" w:rsidRDefault="008A7415" w:rsidP="000A419F">
            <w:pPr>
              <w:keepNext/>
              <w:suppressAutoHyphens w:val="0"/>
              <w:spacing w:before="40" w:after="40" w:line="220" w:lineRule="exact"/>
              <w:jc w:val="right"/>
              <w:rPr>
                <w:sz w:val="18"/>
                <w:lang w:val="fr-CH"/>
              </w:rPr>
            </w:pPr>
            <w:r w:rsidRPr="0071782F">
              <w:rPr>
                <w:sz w:val="18"/>
                <w:lang w:val="fr-CH"/>
              </w:rPr>
              <w:t>712</w:t>
            </w:r>
          </w:p>
        </w:tc>
      </w:tr>
      <w:tr w:rsidR="008A7415" w:rsidRPr="0071782F">
        <w:tc>
          <w:tcPr>
            <w:tcW w:w="3402" w:type="dxa"/>
            <w:shd w:val="clear" w:color="000000" w:fill="auto"/>
          </w:tcPr>
          <w:p w:rsidR="008A7415" w:rsidRPr="0071782F" w:rsidRDefault="00C5050D" w:rsidP="003F25A2">
            <w:pPr>
              <w:suppressAutoHyphens w:val="0"/>
              <w:spacing w:before="40" w:after="40" w:line="220" w:lineRule="exact"/>
              <w:rPr>
                <w:sz w:val="18"/>
                <w:lang w:val="fr-CH"/>
              </w:rPr>
            </w:pPr>
            <w:r w:rsidRPr="0071782F">
              <w:rPr>
                <w:sz w:val="18"/>
                <w:lang w:val="fr-CH"/>
              </w:rPr>
              <w:t>Superficie moyenne utile de chaque logement</w:t>
            </w:r>
            <w:r w:rsidR="008A7415" w:rsidRPr="0071782F">
              <w:rPr>
                <w:sz w:val="18"/>
                <w:lang w:val="fr-CH"/>
              </w:rPr>
              <w:t xml:space="preserve"> (</w:t>
            </w:r>
            <w:r w:rsidRPr="0071782F">
              <w:rPr>
                <w:sz w:val="18"/>
                <w:lang w:val="fr-CH"/>
              </w:rPr>
              <w:t>en</w:t>
            </w:r>
            <w:r w:rsidR="003F25A2">
              <w:rPr>
                <w:sz w:val="18"/>
                <w:lang w:val="fr-CH"/>
              </w:rPr>
              <w:t xml:space="preserve"> </w:t>
            </w:r>
            <w:r w:rsidR="00AF44B8" w:rsidRPr="0071782F">
              <w:rPr>
                <w:sz w:val="18"/>
                <w:lang w:val="fr-CH"/>
              </w:rPr>
              <w:t>m</w:t>
            </w:r>
            <w:r w:rsidR="003F25A2" w:rsidRPr="003F25A2">
              <w:rPr>
                <w:sz w:val="18"/>
                <w:vertAlign w:val="superscript"/>
                <w:lang w:val="fr-CH"/>
              </w:rPr>
              <w:t>2</w:t>
            </w:r>
            <w:r w:rsidR="008A7415" w:rsidRPr="0071782F">
              <w:rPr>
                <w:sz w:val="18"/>
                <w:lang w:val="fr-CH"/>
              </w:rPr>
              <w:t>)</w:t>
            </w:r>
          </w:p>
        </w:tc>
        <w:tc>
          <w:tcPr>
            <w:tcW w:w="709"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79</w:t>
            </w:r>
          </w:p>
        </w:tc>
        <w:tc>
          <w:tcPr>
            <w:tcW w:w="992"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67/5</w:t>
            </w:r>
          </w:p>
        </w:tc>
        <w:tc>
          <w:tcPr>
            <w:tcW w:w="709"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76</w:t>
            </w:r>
          </w:p>
        </w:tc>
        <w:tc>
          <w:tcPr>
            <w:tcW w:w="992"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67/4</w:t>
            </w:r>
          </w:p>
        </w:tc>
        <w:tc>
          <w:tcPr>
            <w:tcW w:w="709"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73</w:t>
            </w:r>
          </w:p>
        </w:tc>
        <w:tc>
          <w:tcPr>
            <w:tcW w:w="851"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72</w:t>
            </w:r>
          </w:p>
        </w:tc>
        <w:tc>
          <w:tcPr>
            <w:tcW w:w="708"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71</w:t>
            </w:r>
          </w:p>
        </w:tc>
        <w:tc>
          <w:tcPr>
            <w:tcW w:w="567"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69</w:t>
            </w:r>
          </w:p>
        </w:tc>
      </w:tr>
      <w:tr w:rsidR="008A7415" w:rsidRPr="0071782F">
        <w:tc>
          <w:tcPr>
            <w:tcW w:w="3402" w:type="dxa"/>
            <w:tcBorders>
              <w:bottom w:val="nil"/>
            </w:tcBorders>
            <w:shd w:val="clear" w:color="000000" w:fill="auto"/>
          </w:tcPr>
          <w:p w:rsidR="008A7415" w:rsidRPr="0071782F" w:rsidRDefault="00C5050D" w:rsidP="003F25A2">
            <w:pPr>
              <w:suppressAutoHyphens w:val="0"/>
              <w:spacing w:before="40" w:after="40" w:line="220" w:lineRule="exact"/>
              <w:rPr>
                <w:sz w:val="18"/>
                <w:lang w:val="fr-CH"/>
              </w:rPr>
            </w:pPr>
            <w:r w:rsidRPr="0071782F">
              <w:rPr>
                <w:sz w:val="18"/>
                <w:lang w:val="fr-CH"/>
              </w:rPr>
              <w:t>Superficie moyenne bâtie de chaque logement</w:t>
            </w:r>
            <w:r w:rsidR="008A7415" w:rsidRPr="0071782F">
              <w:rPr>
                <w:sz w:val="18"/>
                <w:lang w:val="fr-CH"/>
              </w:rPr>
              <w:t xml:space="preserve"> (</w:t>
            </w:r>
            <w:r w:rsidRPr="0071782F">
              <w:rPr>
                <w:sz w:val="18"/>
                <w:lang w:val="fr-CH"/>
              </w:rPr>
              <w:t>en</w:t>
            </w:r>
            <w:r w:rsidR="003F25A2">
              <w:rPr>
                <w:sz w:val="18"/>
                <w:lang w:val="fr-CH"/>
              </w:rPr>
              <w:t xml:space="preserve"> </w:t>
            </w:r>
            <w:r w:rsidR="00AF44B8" w:rsidRPr="0071782F">
              <w:rPr>
                <w:sz w:val="18"/>
                <w:lang w:val="fr-CH"/>
              </w:rPr>
              <w:t>m</w:t>
            </w:r>
            <w:r w:rsidR="003F25A2" w:rsidRPr="003F25A2">
              <w:rPr>
                <w:sz w:val="18"/>
                <w:vertAlign w:val="superscript"/>
                <w:lang w:val="fr-CH"/>
              </w:rPr>
              <w:t>2</w:t>
            </w:r>
            <w:r w:rsidR="008A7415" w:rsidRPr="0071782F">
              <w:rPr>
                <w:sz w:val="18"/>
                <w:lang w:val="fr-CH"/>
              </w:rPr>
              <w:t>)</w:t>
            </w:r>
          </w:p>
        </w:tc>
        <w:tc>
          <w:tcPr>
            <w:tcW w:w="709" w:type="dxa"/>
            <w:tcBorders>
              <w:bottom w:val="nil"/>
            </w:tcBorders>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120</w:t>
            </w:r>
          </w:p>
        </w:tc>
        <w:tc>
          <w:tcPr>
            <w:tcW w:w="992" w:type="dxa"/>
            <w:tcBorders>
              <w:bottom w:val="nil"/>
            </w:tcBorders>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121</w:t>
            </w:r>
          </w:p>
        </w:tc>
        <w:tc>
          <w:tcPr>
            <w:tcW w:w="709" w:type="dxa"/>
            <w:tcBorders>
              <w:bottom w:val="nil"/>
            </w:tcBorders>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118</w:t>
            </w:r>
          </w:p>
        </w:tc>
        <w:tc>
          <w:tcPr>
            <w:tcW w:w="992" w:type="dxa"/>
            <w:tcBorders>
              <w:bottom w:val="nil"/>
            </w:tcBorders>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123</w:t>
            </w:r>
          </w:p>
        </w:tc>
        <w:tc>
          <w:tcPr>
            <w:tcW w:w="709" w:type="dxa"/>
            <w:tcBorders>
              <w:bottom w:val="nil"/>
            </w:tcBorders>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116</w:t>
            </w:r>
          </w:p>
        </w:tc>
        <w:tc>
          <w:tcPr>
            <w:tcW w:w="851" w:type="dxa"/>
            <w:tcBorders>
              <w:bottom w:val="nil"/>
            </w:tcBorders>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122</w:t>
            </w:r>
          </w:p>
        </w:tc>
        <w:tc>
          <w:tcPr>
            <w:tcW w:w="708" w:type="dxa"/>
            <w:tcBorders>
              <w:bottom w:val="nil"/>
            </w:tcBorders>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114</w:t>
            </w:r>
          </w:p>
        </w:tc>
        <w:tc>
          <w:tcPr>
            <w:tcW w:w="567" w:type="dxa"/>
            <w:tcBorders>
              <w:bottom w:val="nil"/>
            </w:tcBorders>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112</w:t>
            </w:r>
          </w:p>
        </w:tc>
      </w:tr>
      <w:tr w:rsidR="008A7415" w:rsidRPr="0071782F">
        <w:tc>
          <w:tcPr>
            <w:tcW w:w="3402" w:type="dxa"/>
            <w:tcBorders>
              <w:top w:val="nil"/>
              <w:bottom w:val="nil"/>
            </w:tcBorders>
            <w:shd w:val="clear" w:color="000000" w:fill="auto"/>
          </w:tcPr>
          <w:p w:rsidR="008A7415" w:rsidRPr="0071782F" w:rsidRDefault="00C5050D" w:rsidP="000838E6">
            <w:pPr>
              <w:suppressAutoHyphens w:val="0"/>
              <w:spacing w:before="40" w:after="40" w:line="220" w:lineRule="exact"/>
              <w:rPr>
                <w:sz w:val="18"/>
                <w:lang w:val="fr-CH"/>
              </w:rPr>
            </w:pPr>
            <w:r w:rsidRPr="0071782F">
              <w:rPr>
                <w:sz w:val="18"/>
                <w:lang w:val="fr-CH"/>
              </w:rPr>
              <w:t>Densité familiale par logement</w:t>
            </w:r>
          </w:p>
        </w:tc>
        <w:tc>
          <w:tcPr>
            <w:tcW w:w="709" w:type="dxa"/>
            <w:tcBorders>
              <w:top w:val="nil"/>
              <w:bottom w:val="nil"/>
            </w:tcBorders>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1/12</w:t>
            </w:r>
          </w:p>
        </w:tc>
        <w:tc>
          <w:tcPr>
            <w:tcW w:w="992" w:type="dxa"/>
            <w:tcBorders>
              <w:top w:val="nil"/>
              <w:bottom w:val="nil"/>
            </w:tcBorders>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1/1</w:t>
            </w:r>
          </w:p>
        </w:tc>
        <w:tc>
          <w:tcPr>
            <w:tcW w:w="709" w:type="dxa"/>
            <w:tcBorders>
              <w:top w:val="nil"/>
              <w:bottom w:val="nil"/>
            </w:tcBorders>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1/117</w:t>
            </w:r>
          </w:p>
        </w:tc>
        <w:tc>
          <w:tcPr>
            <w:tcW w:w="992" w:type="dxa"/>
            <w:tcBorders>
              <w:top w:val="nil"/>
              <w:bottom w:val="nil"/>
            </w:tcBorders>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1/08</w:t>
            </w:r>
          </w:p>
        </w:tc>
        <w:tc>
          <w:tcPr>
            <w:tcW w:w="709" w:type="dxa"/>
            <w:tcBorders>
              <w:top w:val="nil"/>
              <w:bottom w:val="nil"/>
            </w:tcBorders>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1/112</w:t>
            </w:r>
          </w:p>
        </w:tc>
        <w:tc>
          <w:tcPr>
            <w:tcW w:w="851" w:type="dxa"/>
            <w:tcBorders>
              <w:top w:val="nil"/>
              <w:bottom w:val="nil"/>
            </w:tcBorders>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1/09</w:t>
            </w:r>
          </w:p>
        </w:tc>
        <w:tc>
          <w:tcPr>
            <w:tcW w:w="708" w:type="dxa"/>
            <w:tcBorders>
              <w:top w:val="nil"/>
              <w:bottom w:val="nil"/>
            </w:tcBorders>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1/106</w:t>
            </w:r>
          </w:p>
        </w:tc>
        <w:tc>
          <w:tcPr>
            <w:tcW w:w="567" w:type="dxa"/>
            <w:tcBorders>
              <w:top w:val="nil"/>
              <w:bottom w:val="nil"/>
            </w:tcBorders>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1/098</w:t>
            </w:r>
          </w:p>
        </w:tc>
      </w:tr>
      <w:tr w:rsidR="008A7415" w:rsidRPr="0071782F">
        <w:tc>
          <w:tcPr>
            <w:tcW w:w="3402" w:type="dxa"/>
            <w:tcBorders>
              <w:top w:val="nil"/>
            </w:tcBorders>
            <w:shd w:val="clear" w:color="000000" w:fill="auto"/>
          </w:tcPr>
          <w:p w:rsidR="008A7415" w:rsidRPr="0071782F" w:rsidRDefault="00C5050D" w:rsidP="000838E6">
            <w:pPr>
              <w:keepNext/>
              <w:keepLines/>
              <w:suppressAutoHyphens w:val="0"/>
              <w:spacing w:before="40" w:after="40" w:line="220" w:lineRule="exact"/>
              <w:rPr>
                <w:sz w:val="18"/>
                <w:lang w:val="fr-CH"/>
              </w:rPr>
            </w:pPr>
            <w:r w:rsidRPr="0071782F">
              <w:rPr>
                <w:sz w:val="18"/>
                <w:lang w:val="fr-CH"/>
              </w:rPr>
              <w:t xml:space="preserve">Pourcentage de constructions collectives </w:t>
            </w:r>
            <w:r w:rsidR="00B832AA">
              <w:rPr>
                <w:sz w:val="18"/>
                <w:lang w:val="fr-CH"/>
              </w:rPr>
              <w:br/>
            </w:r>
            <w:r w:rsidRPr="0071782F">
              <w:rPr>
                <w:sz w:val="18"/>
                <w:lang w:val="fr-CH"/>
              </w:rPr>
              <w:t>(au moins cinq</w:t>
            </w:r>
            <w:r w:rsidR="003F25A2">
              <w:rPr>
                <w:sz w:val="18"/>
                <w:lang w:val="fr-CH"/>
              </w:rPr>
              <w:t> logements</w:t>
            </w:r>
            <w:r w:rsidRPr="0071782F">
              <w:rPr>
                <w:sz w:val="18"/>
                <w:lang w:val="fr-CH"/>
              </w:rPr>
              <w:t xml:space="preserve">) </w:t>
            </w:r>
          </w:p>
        </w:tc>
        <w:tc>
          <w:tcPr>
            <w:tcW w:w="709" w:type="dxa"/>
            <w:tcBorders>
              <w:top w:val="nil"/>
            </w:tcBorders>
            <w:shd w:val="clear" w:color="000000" w:fill="auto"/>
            <w:vAlign w:val="bottom"/>
          </w:tcPr>
          <w:p w:rsidR="008A7415" w:rsidRPr="0071782F" w:rsidRDefault="008A7415" w:rsidP="000838E6">
            <w:pPr>
              <w:keepNext/>
              <w:keepLines/>
              <w:suppressAutoHyphens w:val="0"/>
              <w:spacing w:before="40" w:after="40" w:line="220" w:lineRule="exact"/>
              <w:jc w:val="right"/>
              <w:rPr>
                <w:sz w:val="18"/>
                <w:lang w:val="fr-CH"/>
              </w:rPr>
            </w:pPr>
            <w:r w:rsidRPr="0071782F">
              <w:rPr>
                <w:sz w:val="18"/>
                <w:lang w:val="fr-CH"/>
              </w:rPr>
              <w:t>17</w:t>
            </w:r>
          </w:p>
        </w:tc>
        <w:tc>
          <w:tcPr>
            <w:tcW w:w="992" w:type="dxa"/>
            <w:tcBorders>
              <w:top w:val="nil"/>
            </w:tcBorders>
            <w:shd w:val="clear" w:color="000000" w:fill="auto"/>
            <w:vAlign w:val="bottom"/>
          </w:tcPr>
          <w:p w:rsidR="008A7415" w:rsidRPr="0071782F" w:rsidRDefault="008A7415" w:rsidP="000838E6">
            <w:pPr>
              <w:keepNext/>
              <w:keepLines/>
              <w:suppressAutoHyphens w:val="0"/>
              <w:spacing w:before="40" w:after="40" w:line="220" w:lineRule="exact"/>
              <w:jc w:val="right"/>
              <w:rPr>
                <w:sz w:val="18"/>
                <w:lang w:val="fr-CH"/>
              </w:rPr>
            </w:pPr>
            <w:r w:rsidRPr="0071782F">
              <w:rPr>
                <w:sz w:val="18"/>
                <w:lang w:val="fr-CH"/>
              </w:rPr>
              <w:t>44</w:t>
            </w:r>
          </w:p>
        </w:tc>
        <w:tc>
          <w:tcPr>
            <w:tcW w:w="709" w:type="dxa"/>
            <w:tcBorders>
              <w:top w:val="nil"/>
            </w:tcBorders>
            <w:shd w:val="clear" w:color="000000" w:fill="auto"/>
            <w:vAlign w:val="bottom"/>
          </w:tcPr>
          <w:p w:rsidR="008A7415" w:rsidRPr="0071782F" w:rsidRDefault="008A7415" w:rsidP="000838E6">
            <w:pPr>
              <w:keepNext/>
              <w:keepLines/>
              <w:suppressAutoHyphens w:val="0"/>
              <w:spacing w:before="40" w:after="40" w:line="220" w:lineRule="exact"/>
              <w:jc w:val="right"/>
              <w:rPr>
                <w:sz w:val="18"/>
                <w:lang w:val="fr-CH"/>
              </w:rPr>
            </w:pPr>
            <w:r w:rsidRPr="0071782F">
              <w:rPr>
                <w:sz w:val="18"/>
                <w:lang w:val="fr-CH"/>
              </w:rPr>
              <w:t>18</w:t>
            </w:r>
          </w:p>
        </w:tc>
        <w:tc>
          <w:tcPr>
            <w:tcW w:w="992" w:type="dxa"/>
            <w:tcBorders>
              <w:top w:val="nil"/>
            </w:tcBorders>
            <w:shd w:val="clear" w:color="000000" w:fill="auto"/>
            <w:vAlign w:val="bottom"/>
          </w:tcPr>
          <w:p w:rsidR="008A7415" w:rsidRPr="0071782F" w:rsidRDefault="008A7415" w:rsidP="000838E6">
            <w:pPr>
              <w:keepNext/>
              <w:keepLines/>
              <w:suppressAutoHyphens w:val="0"/>
              <w:spacing w:before="40" w:after="40" w:line="220" w:lineRule="exact"/>
              <w:jc w:val="right"/>
              <w:rPr>
                <w:sz w:val="18"/>
                <w:lang w:val="fr-CH"/>
              </w:rPr>
            </w:pPr>
            <w:r w:rsidRPr="0071782F">
              <w:rPr>
                <w:sz w:val="18"/>
                <w:lang w:val="fr-CH"/>
              </w:rPr>
              <w:t>45/5</w:t>
            </w:r>
          </w:p>
        </w:tc>
        <w:tc>
          <w:tcPr>
            <w:tcW w:w="709" w:type="dxa"/>
            <w:tcBorders>
              <w:top w:val="nil"/>
            </w:tcBorders>
            <w:shd w:val="clear" w:color="000000" w:fill="auto"/>
            <w:vAlign w:val="bottom"/>
          </w:tcPr>
          <w:p w:rsidR="008A7415" w:rsidRPr="0071782F" w:rsidRDefault="008A7415" w:rsidP="000838E6">
            <w:pPr>
              <w:keepNext/>
              <w:keepLines/>
              <w:suppressAutoHyphens w:val="0"/>
              <w:spacing w:before="40" w:after="40" w:line="220" w:lineRule="exact"/>
              <w:jc w:val="right"/>
              <w:rPr>
                <w:sz w:val="18"/>
                <w:lang w:val="fr-CH"/>
              </w:rPr>
            </w:pPr>
            <w:r w:rsidRPr="0071782F">
              <w:rPr>
                <w:sz w:val="18"/>
                <w:lang w:val="fr-CH"/>
              </w:rPr>
              <w:t>19</w:t>
            </w:r>
          </w:p>
        </w:tc>
        <w:tc>
          <w:tcPr>
            <w:tcW w:w="851" w:type="dxa"/>
            <w:tcBorders>
              <w:top w:val="nil"/>
            </w:tcBorders>
            <w:shd w:val="clear" w:color="000000" w:fill="auto"/>
            <w:vAlign w:val="bottom"/>
          </w:tcPr>
          <w:p w:rsidR="008A7415" w:rsidRPr="0071782F" w:rsidRDefault="008A7415" w:rsidP="000838E6">
            <w:pPr>
              <w:keepNext/>
              <w:keepLines/>
              <w:suppressAutoHyphens w:val="0"/>
              <w:spacing w:before="40" w:after="40" w:line="220" w:lineRule="exact"/>
              <w:jc w:val="right"/>
              <w:rPr>
                <w:sz w:val="18"/>
                <w:lang w:val="fr-CH"/>
              </w:rPr>
            </w:pPr>
            <w:r w:rsidRPr="0071782F">
              <w:rPr>
                <w:sz w:val="18"/>
                <w:lang w:val="fr-CH"/>
              </w:rPr>
              <w:t>46/2</w:t>
            </w:r>
          </w:p>
        </w:tc>
        <w:tc>
          <w:tcPr>
            <w:tcW w:w="708" w:type="dxa"/>
            <w:tcBorders>
              <w:top w:val="nil"/>
            </w:tcBorders>
            <w:shd w:val="clear" w:color="000000" w:fill="auto"/>
            <w:vAlign w:val="bottom"/>
          </w:tcPr>
          <w:p w:rsidR="008A7415" w:rsidRPr="0071782F" w:rsidRDefault="008A7415" w:rsidP="000838E6">
            <w:pPr>
              <w:keepNext/>
              <w:keepLines/>
              <w:suppressAutoHyphens w:val="0"/>
              <w:spacing w:before="40" w:after="40" w:line="220" w:lineRule="exact"/>
              <w:jc w:val="right"/>
              <w:rPr>
                <w:sz w:val="18"/>
                <w:lang w:val="fr-CH"/>
              </w:rPr>
            </w:pPr>
            <w:r w:rsidRPr="0071782F">
              <w:rPr>
                <w:sz w:val="18"/>
                <w:lang w:val="fr-CH"/>
              </w:rPr>
              <w:t>20</w:t>
            </w:r>
          </w:p>
        </w:tc>
        <w:tc>
          <w:tcPr>
            <w:tcW w:w="567" w:type="dxa"/>
            <w:tcBorders>
              <w:top w:val="nil"/>
            </w:tcBorders>
            <w:shd w:val="clear" w:color="000000" w:fill="auto"/>
            <w:vAlign w:val="bottom"/>
          </w:tcPr>
          <w:p w:rsidR="008A7415" w:rsidRPr="0071782F" w:rsidRDefault="008A7415" w:rsidP="000838E6">
            <w:pPr>
              <w:keepNext/>
              <w:keepLines/>
              <w:suppressAutoHyphens w:val="0"/>
              <w:spacing w:before="40" w:after="40" w:line="220" w:lineRule="exact"/>
              <w:jc w:val="right"/>
              <w:rPr>
                <w:sz w:val="18"/>
                <w:lang w:val="fr-CH"/>
              </w:rPr>
            </w:pPr>
            <w:r w:rsidRPr="0071782F">
              <w:rPr>
                <w:sz w:val="18"/>
                <w:lang w:val="fr-CH"/>
              </w:rPr>
              <w:t>21</w:t>
            </w:r>
          </w:p>
        </w:tc>
      </w:tr>
      <w:tr w:rsidR="008A7415" w:rsidRPr="0071782F">
        <w:tc>
          <w:tcPr>
            <w:tcW w:w="3402" w:type="dxa"/>
            <w:shd w:val="clear" w:color="000000" w:fill="auto"/>
          </w:tcPr>
          <w:p w:rsidR="008A7415" w:rsidRPr="0071782F" w:rsidRDefault="00C5050D" w:rsidP="000838E6">
            <w:pPr>
              <w:suppressAutoHyphens w:val="0"/>
              <w:spacing w:before="40" w:after="40" w:line="220" w:lineRule="exact"/>
              <w:rPr>
                <w:sz w:val="18"/>
                <w:lang w:val="fr-CH"/>
              </w:rPr>
            </w:pPr>
            <w:r w:rsidRPr="0071782F">
              <w:rPr>
                <w:sz w:val="18"/>
                <w:lang w:val="fr-CH"/>
              </w:rPr>
              <w:t>Montant de l’investissement en prix constants</w:t>
            </w:r>
            <w:r w:rsidR="008A7415" w:rsidRPr="0071782F">
              <w:rPr>
                <w:sz w:val="18"/>
                <w:lang w:val="fr-CH"/>
              </w:rPr>
              <w:t xml:space="preserve"> (</w:t>
            </w:r>
            <w:r w:rsidRPr="0071782F">
              <w:rPr>
                <w:sz w:val="18"/>
                <w:lang w:val="fr-CH"/>
              </w:rPr>
              <w:t>année de base</w:t>
            </w:r>
            <w:r w:rsidR="008F7D33" w:rsidRPr="0071782F">
              <w:rPr>
                <w:sz w:val="18"/>
                <w:lang w:val="fr-CH"/>
              </w:rPr>
              <w:t>:</w:t>
            </w:r>
            <w:r w:rsidRPr="0071782F">
              <w:rPr>
                <w:sz w:val="18"/>
                <w:lang w:val="fr-CH"/>
              </w:rPr>
              <w:t xml:space="preserve"> </w:t>
            </w:r>
            <w:r w:rsidR="008A7415" w:rsidRPr="0071782F">
              <w:rPr>
                <w:sz w:val="18"/>
                <w:lang w:val="fr-CH"/>
              </w:rPr>
              <w:t>2004)</w:t>
            </w:r>
          </w:p>
        </w:tc>
        <w:tc>
          <w:tcPr>
            <w:tcW w:w="709"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73 015/8</w:t>
            </w:r>
          </w:p>
        </w:tc>
        <w:tc>
          <w:tcPr>
            <w:tcW w:w="992"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93 473</w:t>
            </w:r>
          </w:p>
        </w:tc>
        <w:tc>
          <w:tcPr>
            <w:tcW w:w="709"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76 631/4</w:t>
            </w:r>
          </w:p>
        </w:tc>
        <w:tc>
          <w:tcPr>
            <w:tcW w:w="992"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99 751</w:t>
            </w:r>
          </w:p>
        </w:tc>
        <w:tc>
          <w:tcPr>
            <w:tcW w:w="709"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80 419/5</w:t>
            </w:r>
          </w:p>
        </w:tc>
        <w:tc>
          <w:tcPr>
            <w:tcW w:w="851"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83 790</w:t>
            </w:r>
          </w:p>
        </w:tc>
        <w:tc>
          <w:tcPr>
            <w:tcW w:w="708"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85 284</w:t>
            </w:r>
          </w:p>
        </w:tc>
        <w:tc>
          <w:tcPr>
            <w:tcW w:w="567"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90 160</w:t>
            </w:r>
          </w:p>
        </w:tc>
      </w:tr>
      <w:tr w:rsidR="008A7415" w:rsidRPr="0071782F">
        <w:tc>
          <w:tcPr>
            <w:tcW w:w="3402" w:type="dxa"/>
            <w:shd w:val="clear" w:color="000000" w:fill="auto"/>
          </w:tcPr>
          <w:p w:rsidR="008A7415" w:rsidRPr="0071782F" w:rsidRDefault="00C5050D" w:rsidP="000838E6">
            <w:pPr>
              <w:suppressAutoHyphens w:val="0"/>
              <w:spacing w:before="40" w:after="40" w:line="220" w:lineRule="exact"/>
              <w:rPr>
                <w:sz w:val="18"/>
                <w:lang w:val="fr-CH"/>
              </w:rPr>
            </w:pPr>
            <w:r w:rsidRPr="0071782F">
              <w:rPr>
                <w:sz w:val="18"/>
                <w:lang w:val="fr-CH"/>
              </w:rPr>
              <w:t xml:space="preserve">Construction </w:t>
            </w:r>
            <w:r w:rsidR="003F25A2">
              <w:rPr>
                <w:sz w:val="18"/>
                <w:lang w:val="fr-CH"/>
              </w:rPr>
              <w:t>de logements</w:t>
            </w:r>
            <w:r w:rsidRPr="0071782F">
              <w:rPr>
                <w:sz w:val="18"/>
                <w:lang w:val="fr-CH"/>
              </w:rPr>
              <w:t xml:space="preserve"> ruraux </w:t>
            </w:r>
            <w:r w:rsidR="008A7415" w:rsidRPr="0071782F">
              <w:rPr>
                <w:sz w:val="18"/>
                <w:lang w:val="fr-CH"/>
              </w:rPr>
              <w:t>(</w:t>
            </w:r>
            <w:r w:rsidRPr="0071782F">
              <w:rPr>
                <w:sz w:val="18"/>
                <w:lang w:val="fr-CH"/>
              </w:rPr>
              <w:t>en milliers</w:t>
            </w:r>
            <w:r w:rsidR="008A7415" w:rsidRPr="0071782F">
              <w:rPr>
                <w:sz w:val="18"/>
                <w:lang w:val="fr-CH"/>
              </w:rPr>
              <w:t>)</w:t>
            </w:r>
          </w:p>
        </w:tc>
        <w:tc>
          <w:tcPr>
            <w:tcW w:w="709"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200</w:t>
            </w:r>
          </w:p>
        </w:tc>
        <w:tc>
          <w:tcPr>
            <w:tcW w:w="992"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98</w:t>
            </w:r>
          </w:p>
        </w:tc>
        <w:tc>
          <w:tcPr>
            <w:tcW w:w="709"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200</w:t>
            </w:r>
          </w:p>
        </w:tc>
        <w:tc>
          <w:tcPr>
            <w:tcW w:w="992"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200</w:t>
            </w:r>
          </w:p>
        </w:tc>
        <w:tc>
          <w:tcPr>
            <w:tcW w:w="709"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200</w:t>
            </w:r>
          </w:p>
        </w:tc>
        <w:tc>
          <w:tcPr>
            <w:tcW w:w="851"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231</w:t>
            </w:r>
          </w:p>
        </w:tc>
        <w:tc>
          <w:tcPr>
            <w:tcW w:w="708"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200</w:t>
            </w:r>
          </w:p>
        </w:tc>
        <w:tc>
          <w:tcPr>
            <w:tcW w:w="567" w:type="dxa"/>
            <w:shd w:val="clear" w:color="000000" w:fill="auto"/>
            <w:vAlign w:val="bottom"/>
          </w:tcPr>
          <w:p w:rsidR="008A7415" w:rsidRPr="0071782F" w:rsidRDefault="008A7415" w:rsidP="000838E6">
            <w:pPr>
              <w:suppressAutoHyphens w:val="0"/>
              <w:spacing w:before="40" w:after="40" w:line="220" w:lineRule="exact"/>
              <w:jc w:val="right"/>
              <w:rPr>
                <w:sz w:val="18"/>
                <w:lang w:val="fr-CH"/>
              </w:rPr>
            </w:pPr>
            <w:r w:rsidRPr="0071782F">
              <w:rPr>
                <w:sz w:val="18"/>
                <w:lang w:val="fr-CH"/>
              </w:rPr>
              <w:t>200</w:t>
            </w:r>
          </w:p>
        </w:tc>
      </w:tr>
    </w:tbl>
    <w:p w:rsidR="008A7415" w:rsidRPr="0071782F" w:rsidRDefault="008A7415" w:rsidP="00204410">
      <w:pPr>
        <w:pStyle w:val="HChG"/>
        <w:rPr>
          <w:lang w:val="fr-CH"/>
        </w:rPr>
      </w:pPr>
      <w:r w:rsidRPr="0071782F">
        <w:rPr>
          <w:lang w:val="fr-CH"/>
        </w:rPr>
        <w:tab/>
      </w:r>
      <w:r w:rsidRPr="0071782F">
        <w:rPr>
          <w:lang w:val="fr-CH"/>
        </w:rPr>
        <w:tab/>
      </w:r>
      <w:r w:rsidR="00C5050D" w:rsidRPr="0071782F">
        <w:rPr>
          <w:lang w:val="fr-CH"/>
        </w:rPr>
        <w:t xml:space="preserve">Le droit à l’alimentation </w:t>
      </w:r>
    </w:p>
    <w:p w:rsidR="008A7415" w:rsidRPr="0071782F" w:rsidRDefault="008A7415" w:rsidP="00204410">
      <w:pPr>
        <w:pStyle w:val="H1G"/>
        <w:rPr>
          <w:lang w:val="fr-CH"/>
        </w:rPr>
      </w:pPr>
      <w:r w:rsidRPr="0071782F">
        <w:rPr>
          <w:lang w:val="fr-CH"/>
        </w:rPr>
        <w:tab/>
      </w:r>
      <w:r w:rsidRPr="0071782F">
        <w:rPr>
          <w:lang w:val="fr-CH"/>
        </w:rPr>
        <w:tab/>
        <w:t>Introduction</w:t>
      </w:r>
    </w:p>
    <w:p w:rsidR="008A7415" w:rsidRPr="0071782F" w:rsidRDefault="008A7415" w:rsidP="00204410">
      <w:pPr>
        <w:pStyle w:val="SingleTxtG"/>
        <w:rPr>
          <w:lang w:val="fr-CH"/>
        </w:rPr>
      </w:pPr>
      <w:r w:rsidRPr="0071782F">
        <w:rPr>
          <w:lang w:val="fr-CH"/>
        </w:rPr>
        <w:t>219.</w:t>
      </w:r>
      <w:r w:rsidRPr="0071782F">
        <w:rPr>
          <w:lang w:val="fr-CH"/>
        </w:rPr>
        <w:tab/>
      </w:r>
      <w:r w:rsidR="00175520" w:rsidRPr="0071782F">
        <w:rPr>
          <w:lang w:val="fr-CH"/>
        </w:rPr>
        <w:t xml:space="preserve">Selon la </w:t>
      </w:r>
      <w:r w:rsidRPr="0071782F">
        <w:rPr>
          <w:lang w:val="fr-CH"/>
        </w:rPr>
        <w:t>d</w:t>
      </w:r>
      <w:r w:rsidR="00175520" w:rsidRPr="0071782F">
        <w:rPr>
          <w:lang w:val="fr-CH"/>
        </w:rPr>
        <w:t>é</w:t>
      </w:r>
      <w:r w:rsidRPr="0071782F">
        <w:rPr>
          <w:lang w:val="fr-CH"/>
        </w:rPr>
        <w:t xml:space="preserve">finition </w:t>
      </w:r>
      <w:r w:rsidR="00175520" w:rsidRPr="0071782F">
        <w:rPr>
          <w:lang w:val="fr-CH"/>
        </w:rPr>
        <w:t>donnée en 1996 par l’Organisation des Nations Unies pour l’alimentation et l’a</w:t>
      </w:r>
      <w:r w:rsidRPr="0071782F">
        <w:rPr>
          <w:lang w:val="fr-CH"/>
        </w:rPr>
        <w:t xml:space="preserve">griculture (FAO), </w:t>
      </w:r>
      <w:r w:rsidR="00175520" w:rsidRPr="0071782F">
        <w:rPr>
          <w:lang w:val="fr-CH"/>
        </w:rPr>
        <w:t xml:space="preserve">la sécurité alimentaire s’entend de l’accès physique et financier de toutes </w:t>
      </w:r>
      <w:r w:rsidR="00A233C2" w:rsidRPr="0071782F">
        <w:rPr>
          <w:lang w:val="fr-CH"/>
        </w:rPr>
        <w:t>les personnes</w:t>
      </w:r>
      <w:r w:rsidR="00175520" w:rsidRPr="0071782F">
        <w:rPr>
          <w:lang w:val="fr-CH"/>
        </w:rPr>
        <w:t>, et à tout moment, à une alimentation suffisante pour leur permettre de mener une vie saine et active.</w:t>
      </w:r>
      <w:r w:rsidRPr="0071782F">
        <w:rPr>
          <w:lang w:val="fr-CH"/>
        </w:rPr>
        <w:t xml:space="preserve"> </w:t>
      </w:r>
      <w:r w:rsidR="00175520" w:rsidRPr="0071782F">
        <w:rPr>
          <w:lang w:val="fr-CH"/>
        </w:rPr>
        <w:t>En dépit de la rapidité de l’accroissement démographique enregistré depuis 30</w:t>
      </w:r>
      <w:r w:rsidR="00D82C96" w:rsidRPr="0071782F">
        <w:rPr>
          <w:lang w:val="fr-CH"/>
        </w:rPr>
        <w:t> ans</w:t>
      </w:r>
      <w:r w:rsidR="00175520" w:rsidRPr="0071782F">
        <w:rPr>
          <w:lang w:val="fr-CH"/>
        </w:rPr>
        <w:t>, l’exécution de ses plans de développement a fait faire à l’</w:t>
      </w:r>
      <w:r w:rsidRPr="0071782F">
        <w:rPr>
          <w:lang w:val="fr-CH"/>
        </w:rPr>
        <w:t xml:space="preserve">Iran </w:t>
      </w:r>
      <w:r w:rsidR="00175520" w:rsidRPr="0071782F">
        <w:rPr>
          <w:lang w:val="fr-CH"/>
        </w:rPr>
        <w:t>des progrès spectaculaires dans le domaine de la sécurité et des préférences alimentaires</w:t>
      </w:r>
      <w:r w:rsidRPr="0071782F">
        <w:rPr>
          <w:lang w:val="fr-CH"/>
        </w:rPr>
        <w:t>.</w:t>
      </w:r>
    </w:p>
    <w:p w:rsidR="008A7415" w:rsidRPr="0071782F" w:rsidRDefault="008A7415" w:rsidP="00600AB2">
      <w:pPr>
        <w:pStyle w:val="SingleTxtG"/>
        <w:ind w:left="1701"/>
        <w:rPr>
          <w:lang w:val="fr-CH"/>
        </w:rPr>
      </w:pPr>
      <w:r w:rsidRPr="0071782F">
        <w:rPr>
          <w:lang w:val="fr-CH"/>
        </w:rPr>
        <w:t>219.1.</w:t>
      </w:r>
      <w:r w:rsidRPr="0071782F">
        <w:rPr>
          <w:lang w:val="fr-CH"/>
        </w:rPr>
        <w:tab/>
      </w:r>
      <w:r w:rsidR="00986DE6" w:rsidRPr="0071782F">
        <w:rPr>
          <w:lang w:val="fr-CH"/>
        </w:rPr>
        <w:t xml:space="preserve">Le rapport ci-après rend compte d’une partie des mesures adoptées par le gouvernement pour réaliser le droit à l’alimentation et répondre aux besoins alimentaires du pays. </w:t>
      </w:r>
    </w:p>
    <w:p w:rsidR="008A7415" w:rsidRPr="0071782F" w:rsidRDefault="008A7415" w:rsidP="00600AB2">
      <w:pPr>
        <w:pStyle w:val="SingleTxtG"/>
        <w:ind w:left="1701"/>
        <w:rPr>
          <w:lang w:val="fr-CH"/>
        </w:rPr>
      </w:pPr>
      <w:r w:rsidRPr="0071782F">
        <w:rPr>
          <w:lang w:val="fr-CH"/>
        </w:rPr>
        <w:t>219.2.</w:t>
      </w:r>
      <w:r w:rsidRPr="0071782F">
        <w:rPr>
          <w:lang w:val="fr-CH"/>
        </w:rPr>
        <w:tab/>
      </w:r>
      <w:r w:rsidR="00986DE6" w:rsidRPr="0071782F">
        <w:rPr>
          <w:lang w:val="fr-CH"/>
        </w:rPr>
        <w:t xml:space="preserve">La présente </w:t>
      </w:r>
      <w:r w:rsidRPr="0071782F">
        <w:rPr>
          <w:lang w:val="fr-CH"/>
        </w:rPr>
        <w:t xml:space="preserve">section </w:t>
      </w:r>
      <w:r w:rsidR="00986DE6" w:rsidRPr="0071782F">
        <w:rPr>
          <w:lang w:val="fr-CH"/>
        </w:rPr>
        <w:t xml:space="preserve">commence par se référer aux </w:t>
      </w:r>
      <w:r w:rsidR="00723F2B" w:rsidRPr="0071782F">
        <w:rPr>
          <w:lang w:val="fr-CH"/>
        </w:rPr>
        <w:t>articles </w:t>
      </w:r>
      <w:r w:rsidR="00986DE6" w:rsidRPr="0071782F">
        <w:rPr>
          <w:lang w:val="fr-CH"/>
        </w:rPr>
        <w:t xml:space="preserve">de la </w:t>
      </w:r>
      <w:r w:rsidRPr="0071782F">
        <w:rPr>
          <w:lang w:val="fr-CH"/>
        </w:rPr>
        <w:t xml:space="preserve">Constitution </w:t>
      </w:r>
      <w:r w:rsidR="00986DE6" w:rsidRPr="0071782F">
        <w:rPr>
          <w:lang w:val="fr-CH"/>
        </w:rPr>
        <w:t xml:space="preserve">et aux dispositions de la loi relative au </w:t>
      </w:r>
      <w:r w:rsidR="00A90208" w:rsidRPr="0071782F">
        <w:rPr>
          <w:lang w:val="fr-CH"/>
        </w:rPr>
        <w:t>quatrième</w:t>
      </w:r>
      <w:r w:rsidR="00986DE6" w:rsidRPr="0071782F">
        <w:rPr>
          <w:lang w:val="fr-CH"/>
        </w:rPr>
        <w:t xml:space="preserve"> plan de développement qui concernent la réalisation du droit à l’alimentation et donne ensuite des informations sur les mesures prises par le Ministère de l’agriculture pour maintenir la tendance à la hausse de la production agricole et assurer la promotion de la sécurité alimentaire</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986DE6" w:rsidRPr="0071782F">
        <w:rPr>
          <w:lang w:val="fr-CH"/>
        </w:rPr>
        <w:t xml:space="preserve">La </w:t>
      </w:r>
      <w:r w:rsidRPr="0071782F">
        <w:rPr>
          <w:lang w:val="fr-CH"/>
        </w:rPr>
        <w:t xml:space="preserve">Constitution </w:t>
      </w:r>
      <w:r w:rsidR="00986DE6" w:rsidRPr="0071782F">
        <w:rPr>
          <w:lang w:val="fr-CH"/>
        </w:rPr>
        <w:t xml:space="preserve">et le </w:t>
      </w:r>
      <w:r w:rsidR="00A90208" w:rsidRPr="0071782F">
        <w:rPr>
          <w:lang w:val="fr-CH"/>
        </w:rPr>
        <w:t>quatrième</w:t>
      </w:r>
      <w:r w:rsidR="00986DE6" w:rsidRPr="0071782F">
        <w:rPr>
          <w:lang w:val="fr-CH"/>
        </w:rPr>
        <w:t xml:space="preserve"> plan de développement </w:t>
      </w:r>
    </w:p>
    <w:p w:rsidR="008A7415" w:rsidRPr="0071782F" w:rsidRDefault="008A7415" w:rsidP="00204410">
      <w:pPr>
        <w:pStyle w:val="SingleTxtG"/>
        <w:rPr>
          <w:lang w:val="fr-CH"/>
        </w:rPr>
      </w:pPr>
      <w:r w:rsidRPr="0071782F">
        <w:rPr>
          <w:lang w:val="fr-CH"/>
        </w:rPr>
        <w:t>220.</w:t>
      </w:r>
      <w:r w:rsidRPr="0071782F">
        <w:rPr>
          <w:lang w:val="fr-CH"/>
        </w:rPr>
        <w:tab/>
      </w:r>
      <w:r w:rsidR="00723F2B" w:rsidRPr="0071782F">
        <w:rPr>
          <w:lang w:val="fr-CH"/>
        </w:rPr>
        <w:t>L’</w:t>
      </w:r>
      <w:r w:rsidR="00943A69" w:rsidRPr="0071782F">
        <w:rPr>
          <w:lang w:val="fr-CH"/>
        </w:rPr>
        <w:t>article </w:t>
      </w:r>
      <w:r w:rsidRPr="0071782F">
        <w:rPr>
          <w:lang w:val="fr-CH"/>
        </w:rPr>
        <w:t xml:space="preserve">43 </w:t>
      </w:r>
      <w:r w:rsidR="00986DE6" w:rsidRPr="0071782F">
        <w:rPr>
          <w:lang w:val="fr-CH"/>
        </w:rPr>
        <w:t xml:space="preserve">de la </w:t>
      </w:r>
      <w:r w:rsidRPr="0071782F">
        <w:rPr>
          <w:lang w:val="fr-CH"/>
        </w:rPr>
        <w:t xml:space="preserve">Constitution </w:t>
      </w:r>
      <w:r w:rsidR="00986DE6" w:rsidRPr="0071782F">
        <w:rPr>
          <w:lang w:val="fr-CH"/>
        </w:rPr>
        <w:t>dispose ce qui suit</w:t>
      </w:r>
      <w:r w:rsidR="008F7D33" w:rsidRPr="0071782F">
        <w:rPr>
          <w:lang w:val="fr-CH"/>
        </w:rPr>
        <w:t>:</w:t>
      </w:r>
      <w:r w:rsidRPr="0071782F">
        <w:rPr>
          <w:lang w:val="fr-CH"/>
        </w:rPr>
        <w:t xml:space="preserve"> </w:t>
      </w:r>
      <w:r w:rsidR="00A62149" w:rsidRPr="0071782F">
        <w:rPr>
          <w:lang w:val="fr-CH"/>
        </w:rPr>
        <w:t>"</w:t>
      </w:r>
      <w:r w:rsidR="00986DE6" w:rsidRPr="0071782F">
        <w:rPr>
          <w:lang w:val="fr-CH"/>
        </w:rPr>
        <w:t>Afin de réaliser l’indépendance économique du pays, d’en finir avec la pauvreté et le dénuement et de répondre aux besoins de ses</w:t>
      </w:r>
      <w:r w:rsidR="003D43D2">
        <w:rPr>
          <w:lang w:val="fr-CH"/>
        </w:rPr>
        <w:t xml:space="preserve"> </w:t>
      </w:r>
      <w:r w:rsidR="00BF435F" w:rsidRPr="0071782F">
        <w:rPr>
          <w:lang w:val="fr-CH"/>
        </w:rPr>
        <w:t>habitants</w:t>
      </w:r>
      <w:r w:rsidR="00986DE6" w:rsidRPr="0071782F">
        <w:rPr>
          <w:lang w:val="fr-CH"/>
        </w:rPr>
        <w:t xml:space="preserve"> en matière de croissance et de développement tout en préservant leur dignité, l’économie iranienne vise à assurer leurs besoins essentiels, tels que le logement, la nourriture, l’habillement </w:t>
      </w:r>
      <w:r w:rsidRPr="0071782F">
        <w:rPr>
          <w:lang w:val="fr-CH"/>
        </w:rPr>
        <w:t>…</w:t>
      </w:r>
      <w:r w:rsidR="00A62149" w:rsidRPr="0071782F">
        <w:rPr>
          <w:lang w:val="fr-CH"/>
        </w:rPr>
        <w:t>"</w:t>
      </w:r>
      <w:r w:rsidRPr="0071782F">
        <w:rPr>
          <w:lang w:val="fr-CH"/>
        </w:rPr>
        <w:t>.</w:t>
      </w:r>
    </w:p>
    <w:p w:rsidR="008A7415" w:rsidRPr="0071782F" w:rsidRDefault="008A7415" w:rsidP="001D0FDE">
      <w:pPr>
        <w:pStyle w:val="SingleTxtG"/>
        <w:ind w:left="1701"/>
        <w:rPr>
          <w:lang w:val="fr-CH"/>
        </w:rPr>
      </w:pPr>
      <w:r w:rsidRPr="0071782F">
        <w:rPr>
          <w:lang w:val="fr-CH"/>
        </w:rPr>
        <w:t>220.1.</w:t>
      </w:r>
      <w:r w:rsidRPr="0071782F">
        <w:rPr>
          <w:lang w:val="fr-CH"/>
        </w:rPr>
        <w:tab/>
      </w:r>
      <w:r w:rsidR="00986DE6" w:rsidRPr="0071782F">
        <w:rPr>
          <w:lang w:val="fr-CH"/>
        </w:rPr>
        <w:t xml:space="preserve">De son côté, le </w:t>
      </w:r>
      <w:r w:rsidR="00A90208" w:rsidRPr="0071782F">
        <w:rPr>
          <w:lang w:val="fr-CH"/>
        </w:rPr>
        <w:t>quatrième</w:t>
      </w:r>
      <w:r w:rsidR="00C767F3" w:rsidRPr="0071782F">
        <w:rPr>
          <w:lang w:val="fr-CH"/>
        </w:rPr>
        <w:t xml:space="preserve"> </w:t>
      </w:r>
      <w:r w:rsidR="00986DE6" w:rsidRPr="0071782F">
        <w:rPr>
          <w:lang w:val="fr-CH"/>
        </w:rPr>
        <w:t>plan de développement, dans les chapitres consacrés, par exemple, à la création des fondements de la croissance économique, à l’interaction avec l’économie mondiale, au développement fondé sur le savoir et à la protection de l’environnement, prévoit des mesures spéciales pour répondre aux besoins alimentaires du pays</w:t>
      </w:r>
      <w:r w:rsidRPr="0071782F">
        <w:rPr>
          <w:lang w:val="fr-CH"/>
        </w:rPr>
        <w:t>.</w:t>
      </w:r>
    </w:p>
    <w:p w:rsidR="008A7415" w:rsidRPr="0071782F" w:rsidRDefault="008A7415" w:rsidP="001D0FDE">
      <w:pPr>
        <w:pStyle w:val="SingleTxtG"/>
        <w:ind w:left="1701"/>
        <w:rPr>
          <w:lang w:val="fr-CH"/>
        </w:rPr>
      </w:pPr>
      <w:r w:rsidRPr="0071782F">
        <w:rPr>
          <w:lang w:val="fr-CH"/>
        </w:rPr>
        <w:t>220.2.</w:t>
      </w:r>
      <w:r w:rsidRPr="0071782F">
        <w:rPr>
          <w:lang w:val="fr-CH"/>
        </w:rPr>
        <w:tab/>
      </w:r>
      <w:r w:rsidR="00493353" w:rsidRPr="0071782F">
        <w:rPr>
          <w:lang w:val="fr-CH"/>
        </w:rPr>
        <w:t xml:space="preserve">Le </w:t>
      </w:r>
      <w:r w:rsidR="00A90208" w:rsidRPr="0071782F">
        <w:rPr>
          <w:lang w:val="fr-CH"/>
        </w:rPr>
        <w:t>quatrième</w:t>
      </w:r>
      <w:r w:rsidR="009E6189">
        <w:rPr>
          <w:lang w:val="fr-CH"/>
        </w:rPr>
        <w:t xml:space="preserve"> </w:t>
      </w:r>
      <w:r w:rsidR="00C87EE9" w:rsidRPr="0071782F">
        <w:rPr>
          <w:lang w:val="fr-CH"/>
        </w:rPr>
        <w:t xml:space="preserve">plan de développement </w:t>
      </w:r>
      <w:r w:rsidR="00493353" w:rsidRPr="0071782F">
        <w:rPr>
          <w:lang w:val="fr-CH"/>
        </w:rPr>
        <w:t xml:space="preserve">traite en particulier du secteur agricole dans ses </w:t>
      </w:r>
      <w:r w:rsidR="00723F2B" w:rsidRPr="0071782F">
        <w:rPr>
          <w:lang w:val="fr-CH"/>
        </w:rPr>
        <w:t>articles </w:t>
      </w:r>
      <w:r w:rsidRPr="0071782F">
        <w:rPr>
          <w:lang w:val="fr-CH"/>
        </w:rPr>
        <w:t xml:space="preserve">17, 18 </w:t>
      </w:r>
      <w:r w:rsidR="00493353" w:rsidRPr="0071782F">
        <w:rPr>
          <w:lang w:val="fr-CH"/>
        </w:rPr>
        <w:t xml:space="preserve">et </w:t>
      </w:r>
      <w:r w:rsidRPr="0071782F">
        <w:rPr>
          <w:lang w:val="fr-CH"/>
        </w:rPr>
        <w:t>84.</w:t>
      </w:r>
    </w:p>
    <w:p w:rsidR="008A7415" w:rsidRPr="0071782F" w:rsidRDefault="008A7415" w:rsidP="001D0FDE">
      <w:pPr>
        <w:pStyle w:val="SingleTxtG"/>
        <w:ind w:left="1701"/>
        <w:rPr>
          <w:lang w:val="fr-CH"/>
        </w:rPr>
      </w:pPr>
      <w:r w:rsidRPr="0071782F">
        <w:rPr>
          <w:lang w:val="fr-CH"/>
        </w:rPr>
        <w:t>220.3.</w:t>
      </w:r>
      <w:r w:rsidRPr="0071782F">
        <w:rPr>
          <w:lang w:val="fr-CH"/>
        </w:rPr>
        <w:tab/>
      </w:r>
      <w:r w:rsidR="00C87EE9" w:rsidRPr="0071782F">
        <w:rPr>
          <w:lang w:val="fr-CH"/>
        </w:rPr>
        <w:t xml:space="preserve">Conformément à </w:t>
      </w:r>
      <w:r w:rsidR="00723F2B" w:rsidRPr="0071782F">
        <w:rPr>
          <w:lang w:val="fr-CH"/>
        </w:rPr>
        <w:t>l’</w:t>
      </w:r>
      <w:r w:rsidR="00943A69" w:rsidRPr="0071782F">
        <w:rPr>
          <w:lang w:val="fr-CH"/>
        </w:rPr>
        <w:t>article </w:t>
      </w:r>
      <w:r w:rsidRPr="0071782F">
        <w:rPr>
          <w:lang w:val="fr-CH"/>
        </w:rPr>
        <w:t xml:space="preserve">17, </w:t>
      </w:r>
      <w:r w:rsidR="00C87EE9" w:rsidRPr="0071782F">
        <w:rPr>
          <w:lang w:val="fr-CH"/>
        </w:rPr>
        <w:t>eu égard au</w:t>
      </w:r>
      <w:r w:rsidR="00493353" w:rsidRPr="0071782F">
        <w:rPr>
          <w:lang w:val="fr-CH"/>
        </w:rPr>
        <w:t xml:space="preserve"> fait </w:t>
      </w:r>
      <w:r w:rsidR="00C87EE9" w:rsidRPr="0071782F">
        <w:rPr>
          <w:lang w:val="fr-CH"/>
        </w:rPr>
        <w:t>que le</w:t>
      </w:r>
      <w:r w:rsidR="00493353" w:rsidRPr="0071782F">
        <w:rPr>
          <w:lang w:val="fr-CH"/>
        </w:rPr>
        <w:t xml:space="preserve"> pays </w:t>
      </w:r>
      <w:r w:rsidR="00C87EE9" w:rsidRPr="0071782F">
        <w:rPr>
          <w:lang w:val="fr-CH"/>
        </w:rPr>
        <w:t xml:space="preserve">se trouve </w:t>
      </w:r>
      <w:r w:rsidR="00493353" w:rsidRPr="0071782F">
        <w:rPr>
          <w:lang w:val="fr-CH"/>
        </w:rPr>
        <w:t xml:space="preserve">dans </w:t>
      </w:r>
      <w:r w:rsidR="00C87EE9" w:rsidRPr="0071782F">
        <w:rPr>
          <w:lang w:val="fr-CH"/>
        </w:rPr>
        <w:t>une zone</w:t>
      </w:r>
      <w:r w:rsidR="00493353" w:rsidRPr="0071782F">
        <w:rPr>
          <w:lang w:val="fr-CH"/>
        </w:rPr>
        <w:t xml:space="preserve"> aride </w:t>
      </w:r>
      <w:r w:rsidR="00C87EE9" w:rsidRPr="0071782F">
        <w:rPr>
          <w:lang w:val="fr-CH"/>
        </w:rPr>
        <w:t xml:space="preserve">ou </w:t>
      </w:r>
      <w:r w:rsidR="00493353" w:rsidRPr="0071782F">
        <w:rPr>
          <w:lang w:val="fr-CH"/>
        </w:rPr>
        <w:t xml:space="preserve">semi-aride, l’État est tenu de garantir un approvisionnement et une exploitation optimaux de l’eau ainsi que la rationalisation de sa consommation aux fins de l’agriculture en mettant au point et en </w:t>
      </w:r>
      <w:r w:rsidR="00D5366B" w:rsidRPr="0071782F">
        <w:rPr>
          <w:lang w:val="fr-CH"/>
        </w:rPr>
        <w:t>œuvre</w:t>
      </w:r>
      <w:r w:rsidR="00493353" w:rsidRPr="0071782F">
        <w:rPr>
          <w:lang w:val="fr-CH"/>
        </w:rPr>
        <w:t xml:space="preserve"> de nouvelles méthodes d’irrigation afin de préserver et de développer la capacité de production d’eau du pays, proposant ainsi d’augmenter de 25</w:t>
      </w:r>
      <w:r w:rsidR="007E5125" w:rsidRPr="0071782F">
        <w:rPr>
          <w:lang w:val="fr-CH"/>
        </w:rPr>
        <w:t>%</w:t>
      </w:r>
      <w:r w:rsidR="00493353" w:rsidRPr="0071782F">
        <w:rPr>
          <w:lang w:val="fr-CH"/>
        </w:rPr>
        <w:t xml:space="preserve"> pendant la durée du plan l’efficacité de l’utilisation de l’eau par mètre</w:t>
      </w:r>
      <w:r w:rsidR="00CA698E" w:rsidRPr="00CA698E">
        <w:rPr>
          <w:vertAlign w:val="superscript"/>
          <w:lang w:val="fr-CH"/>
        </w:rPr>
        <w:t>3</w:t>
      </w:r>
      <w:r w:rsidRPr="0071782F">
        <w:rPr>
          <w:lang w:val="fr-CH"/>
        </w:rPr>
        <w:t>.</w:t>
      </w:r>
    </w:p>
    <w:p w:rsidR="008A7415" w:rsidRPr="0071782F" w:rsidRDefault="008A7415" w:rsidP="001D0FDE">
      <w:pPr>
        <w:pStyle w:val="SingleTxtG"/>
        <w:ind w:left="1701"/>
        <w:rPr>
          <w:lang w:val="fr-CH"/>
        </w:rPr>
      </w:pPr>
      <w:r w:rsidRPr="0071782F">
        <w:rPr>
          <w:lang w:val="fr-CH"/>
        </w:rPr>
        <w:t>220.4.</w:t>
      </w:r>
      <w:r w:rsidRPr="0071782F">
        <w:rPr>
          <w:lang w:val="fr-CH"/>
        </w:rPr>
        <w:tab/>
      </w:r>
      <w:r w:rsidR="00493353" w:rsidRPr="0071782F">
        <w:rPr>
          <w:lang w:val="fr-CH"/>
        </w:rPr>
        <w:t xml:space="preserve">En vertu de </w:t>
      </w:r>
      <w:r w:rsidR="00723F2B" w:rsidRPr="0071782F">
        <w:rPr>
          <w:lang w:val="fr-CH"/>
        </w:rPr>
        <w:t>l’</w:t>
      </w:r>
      <w:r w:rsidR="00943A69" w:rsidRPr="0071782F">
        <w:rPr>
          <w:lang w:val="fr-CH"/>
        </w:rPr>
        <w:t>article </w:t>
      </w:r>
      <w:r w:rsidRPr="0071782F">
        <w:rPr>
          <w:lang w:val="fr-CH"/>
        </w:rPr>
        <w:t>18</w:t>
      </w:r>
      <w:r w:rsidR="00493353" w:rsidRPr="0071782F">
        <w:rPr>
          <w:lang w:val="fr-CH"/>
        </w:rPr>
        <w:t xml:space="preserve">, l’État doit formuler un plan spécial de développement du secteur agricole en vue d’obtenir un taux de croissance moyen annuel de la valeur ajoutée de ce secteur de </w:t>
      </w:r>
      <w:r w:rsidRPr="0071782F">
        <w:rPr>
          <w:lang w:val="fr-CH"/>
        </w:rPr>
        <w:t>6</w:t>
      </w:r>
      <w:r w:rsidR="00493353" w:rsidRPr="0071782F">
        <w:rPr>
          <w:lang w:val="fr-CH"/>
        </w:rPr>
        <w:t>,</w:t>
      </w:r>
      <w:r w:rsidRPr="0071782F">
        <w:rPr>
          <w:lang w:val="fr-CH"/>
        </w:rPr>
        <w:t>5</w:t>
      </w:r>
      <w:r w:rsidR="007E5125" w:rsidRPr="0071782F">
        <w:rPr>
          <w:lang w:val="fr-CH"/>
        </w:rPr>
        <w:t>%</w:t>
      </w:r>
      <w:r w:rsidRPr="0071782F">
        <w:rPr>
          <w:lang w:val="fr-CH"/>
        </w:rPr>
        <w:t xml:space="preserve"> </w:t>
      </w:r>
      <w:r w:rsidR="00493353" w:rsidRPr="0071782F">
        <w:rPr>
          <w:lang w:val="fr-CH"/>
        </w:rPr>
        <w:t xml:space="preserve">d’ici à </w:t>
      </w:r>
      <w:r w:rsidRPr="0071782F">
        <w:rPr>
          <w:lang w:val="fr-CH"/>
        </w:rPr>
        <w:t xml:space="preserve">2009. </w:t>
      </w:r>
      <w:r w:rsidR="00493353" w:rsidRPr="0071782F">
        <w:rPr>
          <w:lang w:val="fr-CH"/>
        </w:rPr>
        <w:t>Parmi les autres impératifs prévus par cet article, on peut citer la mise en place d’</w:t>
      </w:r>
      <w:r w:rsidRPr="0071782F">
        <w:rPr>
          <w:lang w:val="fr-CH"/>
        </w:rPr>
        <w:t xml:space="preserve">infrastructures </w:t>
      </w:r>
      <w:r w:rsidR="00493353" w:rsidRPr="0071782F">
        <w:rPr>
          <w:lang w:val="fr-CH"/>
        </w:rPr>
        <w:t>aquatiques et terrestres et de réseaux d’</w:t>
      </w:r>
      <w:r w:rsidRPr="0071782F">
        <w:rPr>
          <w:lang w:val="fr-CH"/>
        </w:rPr>
        <w:t xml:space="preserve">irrigation </w:t>
      </w:r>
      <w:r w:rsidR="00493353" w:rsidRPr="0071782F">
        <w:rPr>
          <w:lang w:val="fr-CH"/>
        </w:rPr>
        <w:t xml:space="preserve">et de </w:t>
      </w:r>
      <w:r w:rsidRPr="0071782F">
        <w:rPr>
          <w:lang w:val="fr-CH"/>
        </w:rPr>
        <w:t xml:space="preserve">drainage </w:t>
      </w:r>
      <w:r w:rsidR="00493353" w:rsidRPr="0071782F">
        <w:rPr>
          <w:lang w:val="fr-CH"/>
        </w:rPr>
        <w:t>sur une superficie de deux</w:t>
      </w:r>
      <w:r w:rsidR="00120407">
        <w:rPr>
          <w:lang w:val="fr-CH"/>
        </w:rPr>
        <w:t xml:space="preserve"> </w:t>
      </w:r>
      <w:r w:rsidR="00097CDB" w:rsidRPr="0071782F">
        <w:rPr>
          <w:lang w:val="fr-CH"/>
        </w:rPr>
        <w:t>millions</w:t>
      </w:r>
      <w:r w:rsidR="00493353" w:rsidRPr="0071782F">
        <w:rPr>
          <w:lang w:val="fr-CH"/>
        </w:rPr>
        <w:t xml:space="preserve"> d’hectares</w:t>
      </w:r>
      <w:r w:rsidRPr="0071782F">
        <w:rPr>
          <w:lang w:val="fr-CH"/>
        </w:rPr>
        <w:t xml:space="preserve">, </w:t>
      </w:r>
      <w:r w:rsidR="00493353" w:rsidRPr="0071782F">
        <w:rPr>
          <w:lang w:val="fr-CH"/>
        </w:rPr>
        <w:t>la création d’un fonds de stabilis</w:t>
      </w:r>
      <w:r w:rsidRPr="0071782F">
        <w:rPr>
          <w:lang w:val="fr-CH"/>
        </w:rPr>
        <w:t xml:space="preserve">ation </w:t>
      </w:r>
      <w:r w:rsidR="00493353" w:rsidRPr="0071782F">
        <w:rPr>
          <w:lang w:val="fr-CH"/>
        </w:rPr>
        <w:t xml:space="preserve">des revenus des agriculteurs, la fourniture d’une assurance couvrant </w:t>
      </w:r>
      <w:r w:rsidRPr="0071782F">
        <w:rPr>
          <w:lang w:val="fr-CH"/>
        </w:rPr>
        <w:t>50</w:t>
      </w:r>
      <w:r w:rsidR="007E5125" w:rsidRPr="0071782F">
        <w:rPr>
          <w:lang w:val="fr-CH"/>
        </w:rPr>
        <w:t>%</w:t>
      </w:r>
      <w:r w:rsidRPr="0071782F">
        <w:rPr>
          <w:lang w:val="fr-CH"/>
        </w:rPr>
        <w:t xml:space="preserve"> </w:t>
      </w:r>
      <w:r w:rsidR="00493353" w:rsidRPr="0071782F">
        <w:rPr>
          <w:lang w:val="fr-CH"/>
        </w:rPr>
        <w:t>des produits agricoles</w:t>
      </w:r>
      <w:r w:rsidRPr="0071782F">
        <w:rPr>
          <w:lang w:val="fr-CH"/>
        </w:rPr>
        <w:t xml:space="preserve">, </w:t>
      </w:r>
      <w:r w:rsidR="00493353" w:rsidRPr="0071782F">
        <w:rPr>
          <w:lang w:val="fr-CH"/>
        </w:rPr>
        <w:t>le lancement d’industries de transformation et complémentaires, la ré</w:t>
      </w:r>
      <w:r w:rsidRPr="0071782F">
        <w:rPr>
          <w:lang w:val="fr-CH"/>
        </w:rPr>
        <w:t xml:space="preserve">duction </w:t>
      </w:r>
      <w:r w:rsidR="00493353" w:rsidRPr="0071782F">
        <w:rPr>
          <w:lang w:val="fr-CH"/>
        </w:rPr>
        <w:t>de 50</w:t>
      </w:r>
      <w:r w:rsidR="007E5125" w:rsidRPr="0071782F">
        <w:rPr>
          <w:lang w:val="fr-CH"/>
        </w:rPr>
        <w:t>%</w:t>
      </w:r>
      <w:r w:rsidR="00493353" w:rsidRPr="0071782F">
        <w:rPr>
          <w:lang w:val="fr-CH"/>
        </w:rPr>
        <w:t xml:space="preserve"> des déchets agricoles</w:t>
      </w:r>
      <w:r w:rsidRPr="0071782F">
        <w:rPr>
          <w:lang w:val="fr-CH"/>
        </w:rPr>
        <w:t xml:space="preserve">, </w:t>
      </w:r>
      <w:r w:rsidR="00493353" w:rsidRPr="0071782F">
        <w:rPr>
          <w:lang w:val="fr-CH"/>
        </w:rPr>
        <w:t xml:space="preserve">l’augmentation du </w:t>
      </w:r>
      <w:r w:rsidRPr="0071782F">
        <w:rPr>
          <w:lang w:val="fr-CH"/>
        </w:rPr>
        <w:t xml:space="preserve">capital </w:t>
      </w:r>
      <w:r w:rsidR="00493353" w:rsidRPr="0071782F">
        <w:rPr>
          <w:lang w:val="fr-CH"/>
        </w:rPr>
        <w:t>du holding spécialisé affilié au fonds de développement de l’investissement agricole</w:t>
      </w:r>
      <w:r w:rsidRPr="0071782F">
        <w:rPr>
          <w:lang w:val="fr-CH"/>
        </w:rPr>
        <w:t xml:space="preserve">, </w:t>
      </w:r>
      <w:r w:rsidR="00493353" w:rsidRPr="0071782F">
        <w:rPr>
          <w:lang w:val="fr-CH"/>
        </w:rPr>
        <w:t xml:space="preserve">l’accroissement de la </w:t>
      </w:r>
      <w:r w:rsidRPr="0071782F">
        <w:rPr>
          <w:lang w:val="fr-CH"/>
        </w:rPr>
        <w:t xml:space="preserve">production </w:t>
      </w:r>
      <w:r w:rsidR="00493353" w:rsidRPr="0071782F">
        <w:rPr>
          <w:lang w:val="fr-CH"/>
        </w:rPr>
        <w:t xml:space="preserve">annuelle de protéines </w:t>
      </w:r>
      <w:r w:rsidRPr="0071782F">
        <w:rPr>
          <w:lang w:val="fr-CH"/>
        </w:rPr>
        <w:t>(</w:t>
      </w:r>
      <w:r w:rsidR="00493353" w:rsidRPr="0071782F">
        <w:rPr>
          <w:lang w:val="fr-CH"/>
        </w:rPr>
        <w:t>provenant d’espèces animales et marines</w:t>
      </w:r>
      <w:r w:rsidRPr="0071782F">
        <w:rPr>
          <w:lang w:val="fr-CH"/>
        </w:rPr>
        <w:t>)</w:t>
      </w:r>
      <w:r w:rsidR="00493353" w:rsidRPr="0071782F">
        <w:rPr>
          <w:lang w:val="fr-CH"/>
        </w:rPr>
        <w:t xml:space="preserve">, portée à </w:t>
      </w:r>
      <w:r w:rsidRPr="0071782F">
        <w:rPr>
          <w:lang w:val="fr-CH"/>
        </w:rPr>
        <w:t>29</w:t>
      </w:r>
      <w:r w:rsidR="00C767F3" w:rsidRPr="0071782F">
        <w:rPr>
          <w:lang w:val="fr-CH"/>
        </w:rPr>
        <w:t> </w:t>
      </w:r>
      <w:r w:rsidRPr="0071782F">
        <w:rPr>
          <w:lang w:val="fr-CH"/>
        </w:rPr>
        <w:t>gram</w:t>
      </w:r>
      <w:r w:rsidR="00493353" w:rsidRPr="0071782F">
        <w:rPr>
          <w:lang w:val="fr-CH"/>
        </w:rPr>
        <w:t>me</w:t>
      </w:r>
      <w:r w:rsidRPr="0071782F">
        <w:rPr>
          <w:lang w:val="fr-CH"/>
        </w:rPr>
        <w:t xml:space="preserve">s, </w:t>
      </w:r>
      <w:r w:rsidR="00493353" w:rsidRPr="0071782F">
        <w:rPr>
          <w:lang w:val="fr-CH"/>
        </w:rPr>
        <w:t>la délivrance de titres de propriété pour les terres agricoles, la ré</w:t>
      </w:r>
      <w:r w:rsidRPr="0071782F">
        <w:rPr>
          <w:lang w:val="fr-CH"/>
        </w:rPr>
        <w:t xml:space="preserve">novation </w:t>
      </w:r>
      <w:r w:rsidR="00493353" w:rsidRPr="0071782F">
        <w:rPr>
          <w:lang w:val="fr-CH"/>
        </w:rPr>
        <w:t>des vergers</w:t>
      </w:r>
      <w:r w:rsidRPr="0071782F">
        <w:rPr>
          <w:lang w:val="fr-CH"/>
        </w:rPr>
        <w:t xml:space="preserve">, </w:t>
      </w:r>
      <w:r w:rsidR="00493353" w:rsidRPr="0071782F">
        <w:rPr>
          <w:lang w:val="fr-CH"/>
        </w:rPr>
        <w:t xml:space="preserve">en particulier ceux qui sont situés sur des terrains en pente, et l’adoption de mesures d’incitation au recrutement de </w:t>
      </w:r>
      <w:r w:rsidRPr="0071782F">
        <w:rPr>
          <w:lang w:val="fr-CH"/>
        </w:rPr>
        <w:t>sp</w:t>
      </w:r>
      <w:r w:rsidR="00493353" w:rsidRPr="0071782F">
        <w:rPr>
          <w:lang w:val="fr-CH"/>
        </w:rPr>
        <w:t>é</w:t>
      </w:r>
      <w:r w:rsidRPr="0071782F">
        <w:rPr>
          <w:lang w:val="fr-CH"/>
        </w:rPr>
        <w:t>cialist</w:t>
      </w:r>
      <w:r w:rsidR="00493353" w:rsidRPr="0071782F">
        <w:rPr>
          <w:lang w:val="fr-CH"/>
        </w:rPr>
        <w:t>e</w:t>
      </w:r>
      <w:r w:rsidRPr="0071782F">
        <w:rPr>
          <w:lang w:val="fr-CH"/>
        </w:rPr>
        <w:t xml:space="preserve">s </w:t>
      </w:r>
      <w:r w:rsidR="00493353" w:rsidRPr="0071782F">
        <w:rPr>
          <w:lang w:val="fr-CH"/>
        </w:rPr>
        <w:t>du secteur privé pour l’enseignement et la promotion des sciences agricoles et le développement de la recherche agricole appliquée</w:t>
      </w:r>
      <w:r w:rsidRPr="0071782F">
        <w:rPr>
          <w:lang w:val="fr-CH"/>
        </w:rPr>
        <w:t>.</w:t>
      </w:r>
    </w:p>
    <w:p w:rsidR="008A7415" w:rsidRPr="0071782F" w:rsidRDefault="008A7415" w:rsidP="001D0FDE">
      <w:pPr>
        <w:pStyle w:val="SingleTxtG"/>
        <w:ind w:left="1701"/>
        <w:rPr>
          <w:lang w:val="fr-CH"/>
        </w:rPr>
      </w:pPr>
      <w:r w:rsidRPr="0071782F">
        <w:rPr>
          <w:lang w:val="fr-CH"/>
        </w:rPr>
        <w:t>220.5.</w:t>
      </w:r>
      <w:r w:rsidRPr="0071782F">
        <w:rPr>
          <w:lang w:val="fr-CH"/>
        </w:rPr>
        <w:tab/>
      </w:r>
      <w:r w:rsidR="00723F2B" w:rsidRPr="0071782F">
        <w:rPr>
          <w:lang w:val="fr-CH"/>
        </w:rPr>
        <w:t>L’</w:t>
      </w:r>
      <w:r w:rsidR="00943A69" w:rsidRPr="0071782F">
        <w:rPr>
          <w:lang w:val="fr-CH"/>
        </w:rPr>
        <w:t>article </w:t>
      </w:r>
      <w:r w:rsidRPr="0071782F">
        <w:rPr>
          <w:lang w:val="fr-CH"/>
        </w:rPr>
        <w:t xml:space="preserve">84 </w:t>
      </w:r>
      <w:r w:rsidR="00D025CF" w:rsidRPr="0071782F">
        <w:rPr>
          <w:lang w:val="fr-CH"/>
        </w:rPr>
        <w:t xml:space="preserve">stipule que l’État doit </w:t>
      </w:r>
      <w:r w:rsidRPr="0071782F">
        <w:rPr>
          <w:lang w:val="fr-CH"/>
        </w:rPr>
        <w:t>institution</w:t>
      </w:r>
      <w:r w:rsidR="00D025CF" w:rsidRPr="0071782F">
        <w:rPr>
          <w:lang w:val="fr-CH"/>
        </w:rPr>
        <w:t xml:space="preserve">naliser la sécurité alimentaire en créant le Haut Conseil de la santé et de la sécurité alimentaire qui serait chargé de réaliser les études préalables à l’affectation de fonds, de crédits bancaires et de subventions à la </w:t>
      </w:r>
      <w:r w:rsidRPr="0071782F">
        <w:rPr>
          <w:lang w:val="fr-CH"/>
        </w:rPr>
        <w:t xml:space="preserve">production, </w:t>
      </w:r>
      <w:r w:rsidR="00D025CF" w:rsidRPr="0071782F">
        <w:rPr>
          <w:lang w:val="fr-CH"/>
        </w:rPr>
        <w:t xml:space="preserve">à la fourniture, à la </w:t>
      </w:r>
      <w:r w:rsidRPr="0071782F">
        <w:rPr>
          <w:lang w:val="fr-CH"/>
        </w:rPr>
        <w:t xml:space="preserve">distribution </w:t>
      </w:r>
      <w:r w:rsidR="00D025CF" w:rsidRPr="0071782F">
        <w:rPr>
          <w:lang w:val="fr-CH"/>
        </w:rPr>
        <w:t xml:space="preserve">et à la consommation de produits alimentaires. Le </w:t>
      </w:r>
      <w:r w:rsidR="00A90208" w:rsidRPr="0071782F">
        <w:rPr>
          <w:lang w:val="fr-CH"/>
        </w:rPr>
        <w:t>quatrième</w:t>
      </w:r>
      <w:r w:rsidR="00D025CF" w:rsidRPr="0071782F">
        <w:rPr>
          <w:lang w:val="fr-CH"/>
        </w:rPr>
        <w:t xml:space="preserve"> plan de développement fait également obligation à l’État d’élaborer un programme spécial de réduction des déchets alimentaires depuis la phase de la production jusqu’à celle de la consommation</w:t>
      </w:r>
      <w:r w:rsidRPr="0071782F">
        <w:rPr>
          <w:lang w:val="fr-CH"/>
        </w:rPr>
        <w:t>.</w:t>
      </w:r>
    </w:p>
    <w:p w:rsidR="008A7415" w:rsidRPr="0071782F" w:rsidRDefault="008A7415" w:rsidP="001D0FDE">
      <w:pPr>
        <w:pStyle w:val="SingleTxtG"/>
        <w:ind w:left="1701"/>
        <w:rPr>
          <w:spacing w:val="-2"/>
          <w:lang w:val="fr-CH"/>
        </w:rPr>
      </w:pPr>
      <w:r w:rsidRPr="0071782F">
        <w:rPr>
          <w:spacing w:val="-2"/>
          <w:lang w:val="fr-CH"/>
        </w:rPr>
        <w:t>220.6.</w:t>
      </w:r>
      <w:r w:rsidRPr="0071782F">
        <w:rPr>
          <w:spacing w:val="-2"/>
          <w:lang w:val="fr-CH"/>
        </w:rPr>
        <w:tab/>
      </w:r>
      <w:r w:rsidR="008828A7" w:rsidRPr="0071782F">
        <w:rPr>
          <w:spacing w:val="-2"/>
          <w:lang w:val="fr-CH"/>
        </w:rPr>
        <w:t>Par ailleurs, le texte du Plan stratégique sur 20</w:t>
      </w:r>
      <w:r w:rsidR="00D82C96" w:rsidRPr="0071782F">
        <w:rPr>
          <w:spacing w:val="-2"/>
          <w:lang w:val="fr-CH"/>
        </w:rPr>
        <w:t> ans</w:t>
      </w:r>
      <w:r w:rsidR="008828A7" w:rsidRPr="0071782F">
        <w:rPr>
          <w:spacing w:val="-2"/>
          <w:lang w:val="fr-CH"/>
        </w:rPr>
        <w:t xml:space="preserve"> pour le développement de la République islamique d’Iran, qui est l’une des plus importantes sources du </w:t>
      </w:r>
      <w:r w:rsidR="00A90208" w:rsidRPr="0071782F">
        <w:rPr>
          <w:spacing w:val="-2"/>
          <w:lang w:val="fr-CH"/>
        </w:rPr>
        <w:t>quatrième</w:t>
      </w:r>
      <w:r w:rsidR="00C767F3" w:rsidRPr="0071782F">
        <w:rPr>
          <w:spacing w:val="-2"/>
          <w:lang w:val="fr-CH"/>
        </w:rPr>
        <w:t> </w:t>
      </w:r>
      <w:r w:rsidR="008828A7" w:rsidRPr="0071782F">
        <w:rPr>
          <w:spacing w:val="-2"/>
          <w:lang w:val="fr-CH"/>
        </w:rPr>
        <w:t xml:space="preserve">plan de développement, aborde la question de la sécurité alimentaire dans l’optique de l’utilisation des ressources nationales et en privilégiant l’autosuffisance en matière de cultures essentielles, ce qui souligne que l’État est fermement déterminé à assurer la sécurité alimentaire en tant que l’un des droits </w:t>
      </w:r>
      <w:r w:rsidRPr="0071782F">
        <w:rPr>
          <w:spacing w:val="-2"/>
          <w:lang w:val="fr-CH"/>
        </w:rPr>
        <w:t>inali</w:t>
      </w:r>
      <w:r w:rsidR="008828A7" w:rsidRPr="0071782F">
        <w:rPr>
          <w:spacing w:val="-2"/>
          <w:lang w:val="fr-CH"/>
        </w:rPr>
        <w:t>é</w:t>
      </w:r>
      <w:r w:rsidRPr="0071782F">
        <w:rPr>
          <w:spacing w:val="-2"/>
          <w:lang w:val="fr-CH"/>
        </w:rPr>
        <w:t>nable</w:t>
      </w:r>
      <w:r w:rsidR="008828A7" w:rsidRPr="0071782F">
        <w:rPr>
          <w:spacing w:val="-2"/>
          <w:lang w:val="fr-CH"/>
        </w:rPr>
        <w:t>s</w:t>
      </w:r>
      <w:r w:rsidRPr="0071782F">
        <w:rPr>
          <w:spacing w:val="-2"/>
          <w:lang w:val="fr-CH"/>
        </w:rPr>
        <w:t xml:space="preserve"> </w:t>
      </w:r>
      <w:r w:rsidR="008828A7" w:rsidRPr="0071782F">
        <w:rPr>
          <w:spacing w:val="-2"/>
          <w:lang w:val="fr-CH"/>
        </w:rPr>
        <w:t>de la population</w:t>
      </w:r>
      <w:r w:rsidRPr="0071782F">
        <w:rPr>
          <w:spacing w:val="-2"/>
          <w:lang w:val="fr-CH"/>
        </w:rPr>
        <w:t>.</w:t>
      </w:r>
    </w:p>
    <w:p w:rsidR="008A7415" w:rsidRPr="0071782F" w:rsidRDefault="008A7415" w:rsidP="00204410">
      <w:pPr>
        <w:pStyle w:val="H1G"/>
        <w:rPr>
          <w:lang w:val="fr-CH"/>
        </w:rPr>
      </w:pPr>
      <w:r w:rsidRPr="0071782F">
        <w:rPr>
          <w:lang w:val="fr-CH"/>
        </w:rPr>
        <w:tab/>
      </w:r>
      <w:r w:rsidRPr="0071782F">
        <w:rPr>
          <w:lang w:val="fr-CH"/>
        </w:rPr>
        <w:tab/>
        <w:t xml:space="preserve">Mesures </w:t>
      </w:r>
      <w:r w:rsidR="008828A7" w:rsidRPr="0071782F">
        <w:rPr>
          <w:lang w:val="fr-CH"/>
        </w:rPr>
        <w:t xml:space="preserve">prises pour élever le niveau de la </w:t>
      </w:r>
      <w:r w:rsidRPr="0071782F">
        <w:rPr>
          <w:lang w:val="fr-CH"/>
        </w:rPr>
        <w:t xml:space="preserve">production </w:t>
      </w:r>
      <w:r w:rsidR="008828A7" w:rsidRPr="0071782F">
        <w:rPr>
          <w:lang w:val="fr-CH"/>
        </w:rPr>
        <w:t xml:space="preserve">de plantes cultivées et de denrées alimentaires </w:t>
      </w:r>
    </w:p>
    <w:p w:rsidR="008A7415" w:rsidRPr="0071782F" w:rsidRDefault="008A7415" w:rsidP="00204410">
      <w:pPr>
        <w:pStyle w:val="H23G"/>
        <w:rPr>
          <w:lang w:val="fr-CH"/>
        </w:rPr>
      </w:pPr>
      <w:r w:rsidRPr="0071782F">
        <w:rPr>
          <w:lang w:val="fr-CH"/>
        </w:rPr>
        <w:tab/>
      </w:r>
      <w:r w:rsidRPr="0071782F">
        <w:rPr>
          <w:lang w:val="fr-CH"/>
        </w:rPr>
        <w:tab/>
      </w:r>
      <w:r w:rsidR="008828A7" w:rsidRPr="0071782F">
        <w:rPr>
          <w:lang w:val="fr-CH"/>
        </w:rPr>
        <w:t>Gesti</w:t>
      </w:r>
      <w:r w:rsidR="00B155EC" w:rsidRPr="0071782F">
        <w:rPr>
          <w:lang w:val="fr-CH"/>
        </w:rPr>
        <w:t>on</w:t>
      </w:r>
      <w:r w:rsidR="008828A7" w:rsidRPr="0071782F">
        <w:rPr>
          <w:lang w:val="fr-CH"/>
        </w:rPr>
        <w:t xml:space="preserve"> des ressou</w:t>
      </w:r>
      <w:r w:rsidR="00B155EC" w:rsidRPr="0071782F">
        <w:rPr>
          <w:lang w:val="fr-CH"/>
        </w:rPr>
        <w:t>rces en eau nécessaires au sect</w:t>
      </w:r>
      <w:r w:rsidR="008828A7" w:rsidRPr="0071782F">
        <w:rPr>
          <w:lang w:val="fr-CH"/>
        </w:rPr>
        <w:t xml:space="preserve">eur agricole </w:t>
      </w:r>
    </w:p>
    <w:p w:rsidR="008A7415" w:rsidRPr="0071782F" w:rsidRDefault="008A7415" w:rsidP="000E7C70">
      <w:pPr>
        <w:pStyle w:val="SingleTxtG"/>
        <w:spacing w:after="0"/>
        <w:rPr>
          <w:lang w:val="fr-CH"/>
        </w:rPr>
      </w:pPr>
      <w:r w:rsidRPr="0071782F">
        <w:rPr>
          <w:lang w:val="fr-CH"/>
        </w:rPr>
        <w:t>221.</w:t>
      </w:r>
      <w:r w:rsidRPr="0071782F">
        <w:rPr>
          <w:lang w:val="fr-CH"/>
        </w:rPr>
        <w:tab/>
      </w:r>
      <w:r w:rsidR="00124D0C" w:rsidRPr="0071782F">
        <w:rPr>
          <w:lang w:val="fr-CH"/>
        </w:rPr>
        <w:t xml:space="preserve">Pour garantir la fourniture continue des intrants de base nécessaires à l’agriculture, le </w:t>
      </w:r>
      <w:r w:rsidR="00A90208" w:rsidRPr="0071782F">
        <w:rPr>
          <w:lang w:val="fr-CH"/>
        </w:rPr>
        <w:t>quatrième</w:t>
      </w:r>
      <w:r w:rsidR="00C767F3" w:rsidRPr="0071782F">
        <w:rPr>
          <w:lang w:val="fr-CH"/>
        </w:rPr>
        <w:t> </w:t>
      </w:r>
      <w:r w:rsidR="00124D0C" w:rsidRPr="0071782F">
        <w:rPr>
          <w:lang w:val="fr-CH"/>
        </w:rPr>
        <w:t>plan de développement met l’accent sur le développement de la gestion des ressources en eau et sur la mise en place de systèmes synchronisés d’offre et de demande d’eau.</w:t>
      </w:r>
      <w:r w:rsidRPr="0071782F">
        <w:rPr>
          <w:lang w:val="fr-CH"/>
        </w:rPr>
        <w:t xml:space="preserve"> </w:t>
      </w:r>
      <w:r w:rsidR="00124D0C" w:rsidRPr="0071782F">
        <w:rPr>
          <w:lang w:val="fr-CH"/>
        </w:rPr>
        <w:t>Dans le cadre de ce plan, des efforts importants ont donc été déployés pour s’acquitter de ces obligations en adoptant des politiques et des mesures visant à augmenter la productivité des ressources en eau</w:t>
      </w:r>
      <w:r w:rsidRPr="0071782F">
        <w:rPr>
          <w:lang w:val="fr-CH"/>
        </w:rPr>
        <w:t xml:space="preserve">, </w:t>
      </w:r>
      <w:r w:rsidR="00124D0C" w:rsidRPr="0071782F">
        <w:rPr>
          <w:lang w:val="fr-CH"/>
        </w:rPr>
        <w:t>à préserver la quantité et la qualité de ces ressources</w:t>
      </w:r>
      <w:r w:rsidRPr="0071782F">
        <w:rPr>
          <w:lang w:val="fr-CH"/>
        </w:rPr>
        <w:t xml:space="preserve">, </w:t>
      </w:r>
      <w:r w:rsidR="00124D0C" w:rsidRPr="0071782F">
        <w:rPr>
          <w:lang w:val="fr-CH"/>
        </w:rPr>
        <w:t xml:space="preserve">à </w:t>
      </w:r>
      <w:r w:rsidRPr="0071782F">
        <w:rPr>
          <w:lang w:val="fr-CH"/>
        </w:rPr>
        <w:t>r</w:t>
      </w:r>
      <w:r w:rsidR="00124D0C" w:rsidRPr="0071782F">
        <w:rPr>
          <w:lang w:val="fr-CH"/>
        </w:rPr>
        <w:t>é</w:t>
      </w:r>
      <w:r w:rsidRPr="0071782F">
        <w:rPr>
          <w:lang w:val="fr-CH"/>
        </w:rPr>
        <w:t>orient</w:t>
      </w:r>
      <w:r w:rsidR="00124D0C" w:rsidRPr="0071782F">
        <w:rPr>
          <w:lang w:val="fr-CH"/>
        </w:rPr>
        <w:t xml:space="preserve">er le système de </w:t>
      </w:r>
      <w:r w:rsidR="00B155EC" w:rsidRPr="0071782F">
        <w:rPr>
          <w:lang w:val="fr-CH"/>
        </w:rPr>
        <w:t xml:space="preserve">leur </w:t>
      </w:r>
      <w:r w:rsidR="00124D0C" w:rsidRPr="0071782F">
        <w:rPr>
          <w:lang w:val="fr-CH"/>
        </w:rPr>
        <w:t xml:space="preserve">gestion sur la base de la gestion de la demande avec la </w:t>
      </w:r>
      <w:r w:rsidRPr="0071782F">
        <w:rPr>
          <w:lang w:val="fr-CH"/>
        </w:rPr>
        <w:t xml:space="preserve">participation </w:t>
      </w:r>
      <w:r w:rsidR="00124D0C" w:rsidRPr="0071782F">
        <w:rPr>
          <w:lang w:val="fr-CH"/>
        </w:rPr>
        <w:t xml:space="preserve">des usagers, à fournir l’eau compte tenu des modes optimaux de </w:t>
      </w:r>
      <w:r w:rsidR="00B155EC" w:rsidRPr="0071782F">
        <w:rPr>
          <w:lang w:val="fr-CH"/>
        </w:rPr>
        <w:t xml:space="preserve">sa </w:t>
      </w:r>
      <w:r w:rsidR="00124D0C" w:rsidRPr="0071782F">
        <w:rPr>
          <w:lang w:val="fr-CH"/>
        </w:rPr>
        <w:t>consommation à des fins agricoles et à incorporer dans toutes les phases de la planification le cycle complet de l’eau, depuis les sources d’eau jusqu’aux terres agricoles</w:t>
      </w:r>
      <w:r w:rsidRPr="0071782F">
        <w:rPr>
          <w:lang w:val="fr-CH"/>
        </w:rPr>
        <w:t>.</w:t>
      </w:r>
    </w:p>
    <w:p w:rsidR="008A7415" w:rsidRPr="0071782F" w:rsidRDefault="008A7415" w:rsidP="00195262">
      <w:pPr>
        <w:pStyle w:val="H23G"/>
        <w:rPr>
          <w:lang w:val="fr-CH"/>
        </w:rPr>
      </w:pPr>
      <w:r w:rsidRPr="0071782F">
        <w:rPr>
          <w:lang w:val="fr-CH"/>
        </w:rPr>
        <w:tab/>
      </w:r>
      <w:r w:rsidRPr="0071782F">
        <w:rPr>
          <w:lang w:val="fr-CH"/>
        </w:rPr>
        <w:tab/>
        <w:t>Compar</w:t>
      </w:r>
      <w:r w:rsidR="00E1395C" w:rsidRPr="0071782F">
        <w:rPr>
          <w:lang w:val="fr-CH"/>
        </w:rPr>
        <w:t>aison entre les objectif</w:t>
      </w:r>
      <w:r w:rsidRPr="0071782F">
        <w:rPr>
          <w:lang w:val="fr-CH"/>
        </w:rPr>
        <w:t xml:space="preserve">s </w:t>
      </w:r>
      <w:r w:rsidR="00E1395C" w:rsidRPr="0071782F">
        <w:rPr>
          <w:lang w:val="fr-CH"/>
        </w:rPr>
        <w:t xml:space="preserve">du secteur de l’eau et les résultats obtenus pendant les quatre </w:t>
      </w:r>
      <w:r w:rsidR="0071782F" w:rsidRPr="0071782F">
        <w:rPr>
          <w:lang w:val="fr-CH"/>
        </w:rPr>
        <w:t>premières</w:t>
      </w:r>
      <w:r w:rsidR="00E1395C" w:rsidRPr="0071782F">
        <w:rPr>
          <w:lang w:val="fr-CH"/>
        </w:rPr>
        <w:t xml:space="preserve"> années du </w:t>
      </w:r>
      <w:r w:rsidR="00A90208" w:rsidRPr="0071782F">
        <w:rPr>
          <w:lang w:val="fr-CH"/>
        </w:rPr>
        <w:t>quatrième</w:t>
      </w:r>
      <w:r w:rsidR="00E1395C" w:rsidRPr="0071782F">
        <w:rPr>
          <w:lang w:val="fr-CH"/>
        </w:rPr>
        <w:t xml:space="preserve"> plan de développement </w:t>
      </w:r>
      <w:r w:rsidRPr="0071782F">
        <w:rPr>
          <w:lang w:val="fr-CH"/>
        </w:rPr>
        <w:t>(2005</w:t>
      </w:r>
      <w:r w:rsidR="00E1395C" w:rsidRPr="0071782F">
        <w:rPr>
          <w:lang w:val="fr-CH"/>
        </w:rPr>
        <w:t>-</w:t>
      </w:r>
      <w:r w:rsidRPr="0071782F">
        <w:rPr>
          <w:lang w:val="fr-CH"/>
        </w:rPr>
        <w:t>2008)</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828"/>
        <w:gridCol w:w="1417"/>
        <w:gridCol w:w="851"/>
        <w:gridCol w:w="850"/>
        <w:gridCol w:w="1559"/>
      </w:tblGrid>
      <w:tr w:rsidR="008A7415" w:rsidRPr="0071782F">
        <w:trPr>
          <w:tblHeader/>
        </w:trPr>
        <w:tc>
          <w:tcPr>
            <w:tcW w:w="3828" w:type="dxa"/>
            <w:tcBorders>
              <w:top w:val="single" w:sz="4" w:space="0" w:color="auto"/>
              <w:bottom w:val="single" w:sz="12" w:space="0" w:color="auto"/>
            </w:tcBorders>
            <w:shd w:val="clear" w:color="auto" w:fill="auto"/>
            <w:vAlign w:val="bottom"/>
          </w:tcPr>
          <w:p w:rsidR="008A7415" w:rsidRPr="0071782F" w:rsidRDefault="00E1395C" w:rsidP="009E6189">
            <w:pPr>
              <w:keepNext/>
              <w:keepLines/>
              <w:suppressAutoHyphens w:val="0"/>
              <w:spacing w:before="80" w:after="80" w:line="200" w:lineRule="exact"/>
              <w:rPr>
                <w:i/>
                <w:sz w:val="16"/>
                <w:lang w:val="fr-CH"/>
              </w:rPr>
            </w:pPr>
            <w:r w:rsidRPr="0071782F">
              <w:rPr>
                <w:i/>
                <w:sz w:val="16"/>
                <w:lang w:val="fr-CH"/>
              </w:rPr>
              <w:t>Activité</w:t>
            </w:r>
          </w:p>
        </w:tc>
        <w:tc>
          <w:tcPr>
            <w:tcW w:w="1417" w:type="dxa"/>
            <w:tcBorders>
              <w:top w:val="single" w:sz="4" w:space="0" w:color="auto"/>
              <w:bottom w:val="single" w:sz="12" w:space="0" w:color="auto"/>
            </w:tcBorders>
            <w:shd w:val="clear" w:color="auto" w:fill="auto"/>
            <w:vAlign w:val="bottom"/>
          </w:tcPr>
          <w:p w:rsidR="008A7415" w:rsidRPr="0071782F" w:rsidRDefault="00E1395C" w:rsidP="007A1E2D">
            <w:pPr>
              <w:keepNext/>
              <w:keepLines/>
              <w:suppressAutoHyphens w:val="0"/>
              <w:spacing w:before="80" w:after="80" w:line="200" w:lineRule="exact"/>
              <w:jc w:val="right"/>
              <w:rPr>
                <w:i/>
                <w:sz w:val="16"/>
                <w:lang w:val="fr-CH"/>
              </w:rPr>
            </w:pPr>
            <w:r w:rsidRPr="0071782F">
              <w:rPr>
                <w:i/>
                <w:sz w:val="16"/>
                <w:lang w:val="fr-CH"/>
              </w:rPr>
              <w:t>Unité de mesure</w:t>
            </w:r>
          </w:p>
        </w:tc>
        <w:tc>
          <w:tcPr>
            <w:tcW w:w="851" w:type="dxa"/>
            <w:tcBorders>
              <w:top w:val="single" w:sz="4" w:space="0" w:color="auto"/>
              <w:bottom w:val="single" w:sz="12" w:space="0" w:color="auto"/>
            </w:tcBorders>
            <w:shd w:val="clear" w:color="auto" w:fill="auto"/>
            <w:vAlign w:val="bottom"/>
          </w:tcPr>
          <w:p w:rsidR="008A7415" w:rsidRPr="0071782F" w:rsidRDefault="00E1395C" w:rsidP="007A1E2D">
            <w:pPr>
              <w:keepNext/>
              <w:keepLines/>
              <w:suppressAutoHyphens w:val="0"/>
              <w:spacing w:before="80" w:after="80" w:line="200" w:lineRule="exact"/>
              <w:jc w:val="right"/>
              <w:rPr>
                <w:i/>
                <w:sz w:val="16"/>
                <w:lang w:val="fr-CH"/>
              </w:rPr>
            </w:pPr>
            <w:r w:rsidRPr="0071782F">
              <w:rPr>
                <w:i/>
                <w:sz w:val="16"/>
                <w:lang w:val="fr-CH"/>
              </w:rPr>
              <w:t>Prévision</w:t>
            </w:r>
          </w:p>
        </w:tc>
        <w:tc>
          <w:tcPr>
            <w:tcW w:w="850" w:type="dxa"/>
            <w:tcBorders>
              <w:top w:val="single" w:sz="4" w:space="0" w:color="auto"/>
              <w:bottom w:val="single" w:sz="12" w:space="0" w:color="auto"/>
            </w:tcBorders>
            <w:shd w:val="clear" w:color="auto" w:fill="auto"/>
            <w:vAlign w:val="bottom"/>
          </w:tcPr>
          <w:p w:rsidR="008A7415" w:rsidRPr="0071782F" w:rsidRDefault="00E1395C" w:rsidP="007A1E2D">
            <w:pPr>
              <w:keepNext/>
              <w:keepLines/>
              <w:suppressAutoHyphens w:val="0"/>
              <w:spacing w:before="80" w:after="80" w:line="200" w:lineRule="exact"/>
              <w:jc w:val="right"/>
              <w:rPr>
                <w:i/>
                <w:sz w:val="16"/>
                <w:lang w:val="fr-CH"/>
              </w:rPr>
            </w:pPr>
            <w:r w:rsidRPr="0071782F">
              <w:rPr>
                <w:i/>
                <w:sz w:val="16"/>
                <w:lang w:val="fr-CH"/>
              </w:rPr>
              <w:t>Résultats</w:t>
            </w:r>
          </w:p>
        </w:tc>
        <w:tc>
          <w:tcPr>
            <w:tcW w:w="1559" w:type="dxa"/>
            <w:tcBorders>
              <w:top w:val="single" w:sz="4" w:space="0" w:color="auto"/>
              <w:bottom w:val="single" w:sz="12" w:space="0" w:color="auto"/>
            </w:tcBorders>
            <w:shd w:val="clear" w:color="auto" w:fill="auto"/>
            <w:vAlign w:val="bottom"/>
          </w:tcPr>
          <w:p w:rsidR="008A7415" w:rsidRPr="0071782F" w:rsidRDefault="00E1395C" w:rsidP="007A1E2D">
            <w:pPr>
              <w:keepNext/>
              <w:keepLines/>
              <w:suppressAutoHyphens w:val="0"/>
              <w:spacing w:before="80" w:after="80" w:line="200" w:lineRule="exact"/>
              <w:jc w:val="right"/>
              <w:rPr>
                <w:i/>
                <w:sz w:val="16"/>
                <w:lang w:val="fr-CH"/>
              </w:rPr>
            </w:pPr>
            <w:r w:rsidRPr="0071782F">
              <w:rPr>
                <w:i/>
                <w:sz w:val="16"/>
                <w:lang w:val="fr-CH"/>
              </w:rPr>
              <w:t xml:space="preserve">Taux de réalisation </w:t>
            </w:r>
            <w:r w:rsidR="008A7415" w:rsidRPr="0071782F">
              <w:rPr>
                <w:i/>
                <w:sz w:val="16"/>
                <w:lang w:val="fr-CH"/>
              </w:rPr>
              <w:t>(%)</w:t>
            </w:r>
          </w:p>
        </w:tc>
      </w:tr>
      <w:tr w:rsidR="008A7415" w:rsidRPr="0071782F">
        <w:tc>
          <w:tcPr>
            <w:tcW w:w="3828" w:type="dxa"/>
            <w:tcBorders>
              <w:top w:val="single" w:sz="12" w:space="0" w:color="auto"/>
            </w:tcBorders>
            <w:shd w:val="clear" w:color="auto" w:fill="auto"/>
          </w:tcPr>
          <w:p w:rsidR="008A7415" w:rsidRPr="0071782F" w:rsidRDefault="00D1177E" w:rsidP="009E6189">
            <w:pPr>
              <w:keepNext/>
              <w:keepLines/>
              <w:suppressAutoHyphens w:val="0"/>
              <w:spacing w:before="40" w:after="40" w:line="220" w:lineRule="exact"/>
              <w:rPr>
                <w:sz w:val="18"/>
                <w:lang w:val="fr-CH"/>
              </w:rPr>
            </w:pPr>
            <w:r w:rsidRPr="0071782F">
              <w:rPr>
                <w:sz w:val="18"/>
                <w:lang w:val="fr-CH"/>
              </w:rPr>
              <w:t xml:space="preserve">Installation et mise en service de systèmes d’irrigation sous pression dans les exploitations traditionnelles et modernes </w:t>
            </w:r>
          </w:p>
        </w:tc>
        <w:tc>
          <w:tcPr>
            <w:tcW w:w="1417" w:type="dxa"/>
            <w:tcBorders>
              <w:top w:val="single" w:sz="12" w:space="0" w:color="auto"/>
            </w:tcBorders>
            <w:shd w:val="clear" w:color="auto" w:fill="auto"/>
            <w:vAlign w:val="bottom"/>
          </w:tcPr>
          <w:p w:rsidR="008A7415" w:rsidRPr="0071782F" w:rsidRDefault="008A7415" w:rsidP="007A1E2D">
            <w:pPr>
              <w:keepNext/>
              <w:keepLines/>
              <w:suppressAutoHyphens w:val="0"/>
              <w:spacing w:before="40" w:after="40" w:line="220" w:lineRule="exact"/>
              <w:jc w:val="right"/>
              <w:rPr>
                <w:sz w:val="18"/>
                <w:lang w:val="fr-CH"/>
              </w:rPr>
            </w:pPr>
            <w:r w:rsidRPr="0071782F">
              <w:rPr>
                <w:sz w:val="18"/>
                <w:lang w:val="fr-CH"/>
              </w:rPr>
              <w:t>1 000</w:t>
            </w:r>
            <w:r w:rsidR="00F071D1" w:rsidRPr="0071782F">
              <w:rPr>
                <w:sz w:val="18"/>
                <w:lang w:val="fr-CH"/>
              </w:rPr>
              <w:t> h</w:t>
            </w:r>
            <w:r w:rsidR="009E6189">
              <w:rPr>
                <w:sz w:val="18"/>
                <w:lang w:val="fr-CH"/>
              </w:rPr>
              <w:t>a</w:t>
            </w:r>
          </w:p>
        </w:tc>
        <w:tc>
          <w:tcPr>
            <w:tcW w:w="851" w:type="dxa"/>
            <w:tcBorders>
              <w:top w:val="single" w:sz="12" w:space="0" w:color="auto"/>
            </w:tcBorders>
            <w:shd w:val="clear" w:color="auto" w:fill="auto"/>
            <w:vAlign w:val="bottom"/>
          </w:tcPr>
          <w:p w:rsidR="008A7415" w:rsidRPr="0071782F" w:rsidRDefault="008A7415" w:rsidP="009E6189">
            <w:pPr>
              <w:keepNext/>
              <w:keepLines/>
              <w:suppressAutoHyphens w:val="0"/>
              <w:spacing w:before="40" w:after="40" w:line="220" w:lineRule="exact"/>
              <w:jc w:val="right"/>
              <w:rPr>
                <w:sz w:val="18"/>
                <w:lang w:val="fr-CH"/>
              </w:rPr>
            </w:pPr>
            <w:r w:rsidRPr="0071782F">
              <w:rPr>
                <w:sz w:val="18"/>
                <w:lang w:val="fr-CH"/>
              </w:rPr>
              <w:t>665</w:t>
            </w:r>
          </w:p>
        </w:tc>
        <w:tc>
          <w:tcPr>
            <w:tcW w:w="850" w:type="dxa"/>
            <w:tcBorders>
              <w:top w:val="single" w:sz="12" w:space="0" w:color="auto"/>
            </w:tcBorders>
            <w:shd w:val="clear" w:color="auto" w:fill="auto"/>
            <w:vAlign w:val="bottom"/>
          </w:tcPr>
          <w:p w:rsidR="008A7415" w:rsidRPr="0071782F" w:rsidRDefault="008A7415" w:rsidP="009E6189">
            <w:pPr>
              <w:keepNext/>
              <w:keepLines/>
              <w:suppressAutoHyphens w:val="0"/>
              <w:spacing w:before="40" w:after="40" w:line="220" w:lineRule="exact"/>
              <w:jc w:val="right"/>
              <w:rPr>
                <w:sz w:val="18"/>
                <w:lang w:val="fr-CH"/>
              </w:rPr>
            </w:pPr>
            <w:r w:rsidRPr="0071782F">
              <w:rPr>
                <w:sz w:val="18"/>
                <w:lang w:val="fr-CH"/>
              </w:rPr>
              <w:t>271/73</w:t>
            </w:r>
          </w:p>
        </w:tc>
        <w:tc>
          <w:tcPr>
            <w:tcW w:w="1559" w:type="dxa"/>
            <w:tcBorders>
              <w:top w:val="single" w:sz="12" w:space="0" w:color="auto"/>
            </w:tcBorders>
            <w:shd w:val="clear" w:color="auto" w:fill="auto"/>
            <w:vAlign w:val="bottom"/>
          </w:tcPr>
          <w:p w:rsidR="008A7415" w:rsidRPr="0071782F" w:rsidRDefault="008A7415" w:rsidP="009E6189">
            <w:pPr>
              <w:keepNext/>
              <w:keepLines/>
              <w:suppressAutoHyphens w:val="0"/>
              <w:spacing w:before="40" w:after="40" w:line="220" w:lineRule="exact"/>
              <w:jc w:val="right"/>
              <w:rPr>
                <w:sz w:val="18"/>
                <w:lang w:val="fr-CH"/>
              </w:rPr>
            </w:pPr>
            <w:r w:rsidRPr="0071782F">
              <w:rPr>
                <w:sz w:val="18"/>
                <w:lang w:val="fr-CH"/>
              </w:rPr>
              <w:t>41</w:t>
            </w:r>
          </w:p>
        </w:tc>
      </w:tr>
      <w:tr w:rsidR="008A7415" w:rsidRPr="0071782F">
        <w:tc>
          <w:tcPr>
            <w:tcW w:w="3828" w:type="dxa"/>
            <w:shd w:val="clear" w:color="auto" w:fill="auto"/>
          </w:tcPr>
          <w:p w:rsidR="008A7415" w:rsidRPr="0071782F" w:rsidRDefault="008A7415" w:rsidP="009E6189">
            <w:pPr>
              <w:suppressAutoHyphens w:val="0"/>
              <w:spacing w:before="40" w:after="40" w:line="220" w:lineRule="exact"/>
              <w:rPr>
                <w:sz w:val="18"/>
                <w:lang w:val="fr-CH"/>
              </w:rPr>
            </w:pPr>
            <w:r w:rsidRPr="0071782F">
              <w:rPr>
                <w:sz w:val="18"/>
                <w:lang w:val="fr-CH"/>
              </w:rPr>
              <w:t>D</w:t>
            </w:r>
            <w:r w:rsidR="00D1177E" w:rsidRPr="0071782F">
              <w:rPr>
                <w:sz w:val="18"/>
                <w:lang w:val="fr-CH"/>
              </w:rPr>
              <w:t xml:space="preserve">éveloppement de petites ressources en eau </w:t>
            </w:r>
          </w:p>
        </w:tc>
        <w:tc>
          <w:tcPr>
            <w:tcW w:w="1417" w:type="dxa"/>
            <w:shd w:val="clear" w:color="auto" w:fill="auto"/>
            <w:vAlign w:val="bottom"/>
          </w:tcPr>
          <w:p w:rsidR="008A7415" w:rsidRPr="0071782F" w:rsidRDefault="008A7415" w:rsidP="007A1E2D">
            <w:pPr>
              <w:suppressAutoHyphens w:val="0"/>
              <w:spacing w:before="40" w:after="40" w:line="220" w:lineRule="exact"/>
              <w:jc w:val="right"/>
              <w:rPr>
                <w:sz w:val="18"/>
                <w:lang w:val="fr-CH"/>
              </w:rPr>
            </w:pPr>
            <w:r w:rsidRPr="0071782F">
              <w:rPr>
                <w:sz w:val="18"/>
                <w:lang w:val="fr-CH"/>
              </w:rPr>
              <w:t>1 000 000</w:t>
            </w:r>
            <w:r w:rsidR="00AF44B8" w:rsidRPr="0071782F">
              <w:rPr>
                <w:sz w:val="18"/>
                <w:lang w:val="fr-CH"/>
              </w:rPr>
              <w:t> m</w:t>
            </w:r>
            <w:r w:rsidR="00CA698E" w:rsidRPr="00CA698E">
              <w:rPr>
                <w:sz w:val="18"/>
                <w:vertAlign w:val="superscript"/>
                <w:lang w:val="fr-CH"/>
              </w:rPr>
              <w:t>3</w:t>
            </w:r>
          </w:p>
        </w:tc>
        <w:tc>
          <w:tcPr>
            <w:tcW w:w="851" w:type="dxa"/>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610</w:t>
            </w:r>
          </w:p>
        </w:tc>
        <w:tc>
          <w:tcPr>
            <w:tcW w:w="850" w:type="dxa"/>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1 241</w:t>
            </w:r>
          </w:p>
        </w:tc>
        <w:tc>
          <w:tcPr>
            <w:tcW w:w="1559" w:type="dxa"/>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203</w:t>
            </w:r>
          </w:p>
        </w:tc>
      </w:tr>
      <w:tr w:rsidR="008A7415" w:rsidRPr="0071782F">
        <w:tc>
          <w:tcPr>
            <w:tcW w:w="3828" w:type="dxa"/>
            <w:shd w:val="clear" w:color="auto" w:fill="auto"/>
          </w:tcPr>
          <w:p w:rsidR="008A7415" w:rsidRPr="0071782F" w:rsidRDefault="00D1177E" w:rsidP="009E6189">
            <w:pPr>
              <w:suppressAutoHyphens w:val="0"/>
              <w:spacing w:before="40" w:after="40" w:line="220" w:lineRule="exact"/>
              <w:rPr>
                <w:sz w:val="18"/>
                <w:lang w:val="fr-CH"/>
              </w:rPr>
            </w:pPr>
            <w:r w:rsidRPr="0071782F">
              <w:rPr>
                <w:sz w:val="18"/>
                <w:lang w:val="fr-CH"/>
              </w:rPr>
              <w:t xml:space="preserve">Construction et amélioration de canaux d’irrigation publics </w:t>
            </w:r>
          </w:p>
        </w:tc>
        <w:tc>
          <w:tcPr>
            <w:tcW w:w="1417" w:type="dxa"/>
            <w:shd w:val="clear" w:color="auto" w:fill="auto"/>
            <w:vAlign w:val="bottom"/>
          </w:tcPr>
          <w:p w:rsidR="008A7415" w:rsidRPr="0071782F" w:rsidRDefault="0079492E" w:rsidP="007A1E2D">
            <w:pPr>
              <w:suppressAutoHyphens w:val="0"/>
              <w:spacing w:before="40" w:after="40" w:line="220" w:lineRule="exact"/>
              <w:jc w:val="right"/>
              <w:rPr>
                <w:sz w:val="18"/>
                <w:lang w:val="fr-CH"/>
              </w:rPr>
            </w:pPr>
            <w:bookmarkStart w:id="8" w:name="OLE_LINK11"/>
            <w:bookmarkStart w:id="9" w:name="OLE_LINK12"/>
            <w:r w:rsidRPr="0071782F">
              <w:rPr>
                <w:sz w:val="18"/>
                <w:lang w:val="fr-CH"/>
              </w:rPr>
              <w:t>1 000</w:t>
            </w:r>
            <w:r w:rsidR="00F071D1" w:rsidRPr="0071782F">
              <w:rPr>
                <w:sz w:val="18"/>
                <w:lang w:val="fr-CH"/>
              </w:rPr>
              <w:t> h</w:t>
            </w:r>
            <w:bookmarkEnd w:id="8"/>
            <w:bookmarkEnd w:id="9"/>
            <w:r w:rsidR="009E6189">
              <w:rPr>
                <w:sz w:val="18"/>
                <w:lang w:val="fr-CH"/>
              </w:rPr>
              <w:t>a</w:t>
            </w:r>
          </w:p>
        </w:tc>
        <w:tc>
          <w:tcPr>
            <w:tcW w:w="851" w:type="dxa"/>
            <w:shd w:val="clear" w:color="auto" w:fill="auto"/>
            <w:vAlign w:val="bottom"/>
          </w:tcPr>
          <w:p w:rsidR="008A7415" w:rsidRPr="0071782F" w:rsidRDefault="008A7415" w:rsidP="009E6189">
            <w:pPr>
              <w:suppressAutoHyphens w:val="0"/>
              <w:spacing w:before="40" w:after="40" w:line="220" w:lineRule="exact"/>
              <w:jc w:val="right"/>
              <w:rPr>
                <w:sz w:val="18"/>
                <w:lang w:val="fr-CH"/>
              </w:rPr>
            </w:pPr>
            <w:bookmarkStart w:id="10" w:name="OLE_LINK13"/>
            <w:bookmarkStart w:id="11" w:name="OLE_LINK14"/>
            <w:r w:rsidRPr="0071782F">
              <w:rPr>
                <w:sz w:val="18"/>
                <w:lang w:val="fr-CH"/>
              </w:rPr>
              <w:t>375</w:t>
            </w:r>
            <w:bookmarkEnd w:id="10"/>
            <w:bookmarkEnd w:id="11"/>
          </w:p>
        </w:tc>
        <w:tc>
          <w:tcPr>
            <w:tcW w:w="850" w:type="dxa"/>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158/57</w:t>
            </w:r>
          </w:p>
        </w:tc>
        <w:tc>
          <w:tcPr>
            <w:tcW w:w="1559" w:type="dxa"/>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42</w:t>
            </w:r>
          </w:p>
        </w:tc>
      </w:tr>
      <w:tr w:rsidR="008A7415" w:rsidRPr="0071782F">
        <w:tc>
          <w:tcPr>
            <w:tcW w:w="3828" w:type="dxa"/>
            <w:shd w:val="clear" w:color="auto" w:fill="auto"/>
          </w:tcPr>
          <w:p w:rsidR="008A7415" w:rsidRPr="0071782F" w:rsidRDefault="00D903AE" w:rsidP="009E6189">
            <w:pPr>
              <w:suppressAutoHyphens w:val="0"/>
              <w:spacing w:before="40" w:after="40" w:line="220" w:lineRule="exact"/>
              <w:rPr>
                <w:sz w:val="18"/>
                <w:lang w:val="fr-CH"/>
              </w:rPr>
            </w:pPr>
            <w:r w:rsidRPr="0071782F">
              <w:rPr>
                <w:sz w:val="18"/>
                <w:lang w:val="fr-CH"/>
              </w:rPr>
              <w:t xml:space="preserve">Utilisation des cours d’eau traditionnels </w:t>
            </w:r>
          </w:p>
        </w:tc>
        <w:tc>
          <w:tcPr>
            <w:tcW w:w="1417" w:type="dxa"/>
            <w:shd w:val="clear" w:color="auto" w:fill="auto"/>
            <w:vAlign w:val="bottom"/>
          </w:tcPr>
          <w:p w:rsidR="008A7415" w:rsidRPr="0071782F" w:rsidRDefault="0079492E" w:rsidP="007A1E2D">
            <w:pPr>
              <w:suppressAutoHyphens w:val="0"/>
              <w:spacing w:before="40" w:after="40" w:line="220" w:lineRule="exact"/>
              <w:jc w:val="right"/>
              <w:rPr>
                <w:sz w:val="18"/>
                <w:lang w:val="fr-CH"/>
              </w:rPr>
            </w:pPr>
            <w:r w:rsidRPr="0071782F">
              <w:rPr>
                <w:sz w:val="18"/>
                <w:lang w:val="fr-CH"/>
              </w:rPr>
              <w:t>1 000</w:t>
            </w:r>
            <w:r w:rsidR="00F071D1" w:rsidRPr="0071782F">
              <w:rPr>
                <w:sz w:val="18"/>
                <w:lang w:val="fr-CH"/>
              </w:rPr>
              <w:t> h</w:t>
            </w:r>
            <w:r w:rsidR="009E6189">
              <w:rPr>
                <w:sz w:val="18"/>
                <w:lang w:val="fr-CH"/>
              </w:rPr>
              <w:t>a</w:t>
            </w:r>
          </w:p>
        </w:tc>
        <w:tc>
          <w:tcPr>
            <w:tcW w:w="851" w:type="dxa"/>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375</w:t>
            </w:r>
          </w:p>
        </w:tc>
        <w:tc>
          <w:tcPr>
            <w:tcW w:w="850" w:type="dxa"/>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45/39</w:t>
            </w:r>
          </w:p>
        </w:tc>
        <w:tc>
          <w:tcPr>
            <w:tcW w:w="1559" w:type="dxa"/>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12</w:t>
            </w:r>
          </w:p>
        </w:tc>
      </w:tr>
      <w:tr w:rsidR="008A7415" w:rsidRPr="0071782F">
        <w:tc>
          <w:tcPr>
            <w:tcW w:w="3828" w:type="dxa"/>
            <w:tcBorders>
              <w:bottom w:val="nil"/>
            </w:tcBorders>
            <w:shd w:val="clear" w:color="auto" w:fill="auto"/>
          </w:tcPr>
          <w:p w:rsidR="008A7415" w:rsidRPr="0071782F" w:rsidRDefault="002C0B1D" w:rsidP="009E6189">
            <w:pPr>
              <w:suppressAutoHyphens w:val="0"/>
              <w:spacing w:before="40" w:after="40" w:line="220" w:lineRule="exact"/>
              <w:rPr>
                <w:sz w:val="18"/>
                <w:lang w:val="fr-CH"/>
              </w:rPr>
            </w:pPr>
            <w:bookmarkStart w:id="12" w:name="OLE_LINK5"/>
            <w:bookmarkStart w:id="13" w:name="OLE_LINK6"/>
            <w:r w:rsidRPr="0071782F">
              <w:rPr>
                <w:sz w:val="18"/>
                <w:lang w:val="fr-CH"/>
              </w:rPr>
              <w:t xml:space="preserve">Activités d’équipement et de rénovation dans les exploitations agricoles modernes </w:t>
            </w:r>
            <w:bookmarkEnd w:id="12"/>
            <w:bookmarkEnd w:id="13"/>
          </w:p>
        </w:tc>
        <w:tc>
          <w:tcPr>
            <w:tcW w:w="1417" w:type="dxa"/>
            <w:tcBorders>
              <w:bottom w:val="nil"/>
            </w:tcBorders>
            <w:shd w:val="clear" w:color="auto" w:fill="auto"/>
            <w:vAlign w:val="bottom"/>
          </w:tcPr>
          <w:p w:rsidR="008A7415" w:rsidRPr="0071782F" w:rsidRDefault="0079492E" w:rsidP="007A1E2D">
            <w:pPr>
              <w:suppressAutoHyphens w:val="0"/>
              <w:spacing w:before="40" w:after="40" w:line="220" w:lineRule="exact"/>
              <w:jc w:val="right"/>
              <w:rPr>
                <w:sz w:val="18"/>
                <w:lang w:val="fr-CH"/>
              </w:rPr>
            </w:pPr>
            <w:r w:rsidRPr="0071782F">
              <w:rPr>
                <w:sz w:val="18"/>
                <w:lang w:val="fr-CH"/>
              </w:rPr>
              <w:t>1 000</w:t>
            </w:r>
            <w:r w:rsidR="00F071D1" w:rsidRPr="0071782F">
              <w:rPr>
                <w:sz w:val="18"/>
                <w:lang w:val="fr-CH"/>
              </w:rPr>
              <w:t> h</w:t>
            </w:r>
            <w:r w:rsidR="009E6189">
              <w:rPr>
                <w:sz w:val="18"/>
                <w:lang w:val="fr-CH"/>
              </w:rPr>
              <w:t>a</w:t>
            </w:r>
          </w:p>
        </w:tc>
        <w:tc>
          <w:tcPr>
            <w:tcW w:w="851" w:type="dxa"/>
            <w:tcBorders>
              <w:bottom w:val="nil"/>
            </w:tcBorders>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375</w:t>
            </w:r>
          </w:p>
        </w:tc>
        <w:tc>
          <w:tcPr>
            <w:tcW w:w="850" w:type="dxa"/>
            <w:tcBorders>
              <w:bottom w:val="nil"/>
            </w:tcBorders>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175/90</w:t>
            </w:r>
          </w:p>
        </w:tc>
        <w:tc>
          <w:tcPr>
            <w:tcW w:w="1559" w:type="dxa"/>
            <w:tcBorders>
              <w:bottom w:val="nil"/>
            </w:tcBorders>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47</w:t>
            </w:r>
          </w:p>
        </w:tc>
      </w:tr>
      <w:tr w:rsidR="008A7415" w:rsidRPr="0071782F">
        <w:tc>
          <w:tcPr>
            <w:tcW w:w="3828" w:type="dxa"/>
            <w:tcBorders>
              <w:top w:val="nil"/>
              <w:bottom w:val="nil"/>
            </w:tcBorders>
            <w:shd w:val="clear" w:color="auto" w:fill="auto"/>
          </w:tcPr>
          <w:p w:rsidR="008A7415" w:rsidRPr="0071782F" w:rsidRDefault="002C0B1D" w:rsidP="009E6189">
            <w:pPr>
              <w:suppressAutoHyphens w:val="0"/>
              <w:spacing w:before="40" w:after="40" w:line="220" w:lineRule="exact"/>
              <w:rPr>
                <w:sz w:val="18"/>
                <w:lang w:val="fr-CH"/>
              </w:rPr>
            </w:pPr>
            <w:r w:rsidRPr="0071782F">
              <w:rPr>
                <w:sz w:val="18"/>
                <w:lang w:val="fr-CH"/>
              </w:rPr>
              <w:t>Activités d’équipement et de rénovation dans les exploitations agricoles traditionnelles</w:t>
            </w:r>
          </w:p>
        </w:tc>
        <w:tc>
          <w:tcPr>
            <w:tcW w:w="1417" w:type="dxa"/>
            <w:tcBorders>
              <w:top w:val="nil"/>
              <w:bottom w:val="nil"/>
            </w:tcBorders>
            <w:shd w:val="clear" w:color="auto" w:fill="auto"/>
            <w:vAlign w:val="bottom"/>
          </w:tcPr>
          <w:p w:rsidR="008A7415" w:rsidRPr="0071782F" w:rsidRDefault="0079492E" w:rsidP="007A1E2D">
            <w:pPr>
              <w:suppressAutoHyphens w:val="0"/>
              <w:spacing w:before="40" w:after="40" w:line="220" w:lineRule="exact"/>
              <w:jc w:val="right"/>
              <w:rPr>
                <w:sz w:val="18"/>
                <w:lang w:val="fr-CH"/>
              </w:rPr>
            </w:pPr>
            <w:r w:rsidRPr="0071782F">
              <w:rPr>
                <w:sz w:val="18"/>
                <w:lang w:val="fr-CH"/>
              </w:rPr>
              <w:t>1 000</w:t>
            </w:r>
            <w:r w:rsidR="00F071D1" w:rsidRPr="0071782F">
              <w:rPr>
                <w:sz w:val="18"/>
                <w:lang w:val="fr-CH"/>
              </w:rPr>
              <w:t> h</w:t>
            </w:r>
            <w:r w:rsidR="009E6189">
              <w:rPr>
                <w:sz w:val="18"/>
                <w:lang w:val="fr-CH"/>
              </w:rPr>
              <w:t>a</w:t>
            </w:r>
          </w:p>
        </w:tc>
        <w:tc>
          <w:tcPr>
            <w:tcW w:w="851" w:type="dxa"/>
            <w:tcBorders>
              <w:top w:val="nil"/>
              <w:bottom w:val="nil"/>
            </w:tcBorders>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375</w:t>
            </w:r>
          </w:p>
        </w:tc>
        <w:tc>
          <w:tcPr>
            <w:tcW w:w="850" w:type="dxa"/>
            <w:tcBorders>
              <w:top w:val="nil"/>
              <w:bottom w:val="nil"/>
            </w:tcBorders>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131/90</w:t>
            </w:r>
          </w:p>
        </w:tc>
        <w:tc>
          <w:tcPr>
            <w:tcW w:w="1559" w:type="dxa"/>
            <w:tcBorders>
              <w:top w:val="nil"/>
              <w:bottom w:val="nil"/>
            </w:tcBorders>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35</w:t>
            </w:r>
          </w:p>
        </w:tc>
      </w:tr>
      <w:tr w:rsidR="008A7415" w:rsidRPr="0071782F">
        <w:tc>
          <w:tcPr>
            <w:tcW w:w="3828" w:type="dxa"/>
            <w:tcBorders>
              <w:top w:val="nil"/>
            </w:tcBorders>
            <w:shd w:val="clear" w:color="auto" w:fill="auto"/>
          </w:tcPr>
          <w:p w:rsidR="008A7415" w:rsidRPr="0071782F" w:rsidRDefault="002C0B1D" w:rsidP="009E6189">
            <w:pPr>
              <w:suppressAutoHyphens w:val="0"/>
              <w:spacing w:before="40" w:after="40" w:line="220" w:lineRule="exact"/>
              <w:rPr>
                <w:sz w:val="18"/>
                <w:lang w:val="fr-CH"/>
              </w:rPr>
            </w:pPr>
            <w:r w:rsidRPr="0071782F">
              <w:rPr>
                <w:sz w:val="18"/>
                <w:lang w:val="fr-CH"/>
              </w:rPr>
              <w:t xml:space="preserve">Mise en place d’un réseau d’irrigation et de drainage secondaire dans les exploitations agricoles modernes </w:t>
            </w:r>
          </w:p>
        </w:tc>
        <w:tc>
          <w:tcPr>
            <w:tcW w:w="1417" w:type="dxa"/>
            <w:tcBorders>
              <w:top w:val="nil"/>
            </w:tcBorders>
            <w:shd w:val="clear" w:color="auto" w:fill="auto"/>
            <w:vAlign w:val="bottom"/>
          </w:tcPr>
          <w:p w:rsidR="008A7415" w:rsidRPr="0071782F" w:rsidRDefault="0079492E" w:rsidP="007A1E2D">
            <w:pPr>
              <w:suppressAutoHyphens w:val="0"/>
              <w:spacing w:before="40" w:after="40" w:line="220" w:lineRule="exact"/>
              <w:jc w:val="right"/>
              <w:rPr>
                <w:sz w:val="18"/>
                <w:lang w:val="fr-CH"/>
              </w:rPr>
            </w:pPr>
            <w:r w:rsidRPr="0071782F">
              <w:rPr>
                <w:sz w:val="18"/>
                <w:lang w:val="fr-CH"/>
              </w:rPr>
              <w:t>1 000</w:t>
            </w:r>
            <w:r w:rsidR="00F071D1" w:rsidRPr="0071782F">
              <w:rPr>
                <w:sz w:val="18"/>
                <w:lang w:val="fr-CH"/>
              </w:rPr>
              <w:t> h</w:t>
            </w:r>
            <w:r w:rsidR="009E6189">
              <w:rPr>
                <w:sz w:val="18"/>
                <w:lang w:val="fr-CH"/>
              </w:rPr>
              <w:t>a</w:t>
            </w:r>
          </w:p>
        </w:tc>
        <w:tc>
          <w:tcPr>
            <w:tcW w:w="851" w:type="dxa"/>
            <w:tcBorders>
              <w:top w:val="nil"/>
            </w:tcBorders>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375</w:t>
            </w:r>
          </w:p>
        </w:tc>
        <w:tc>
          <w:tcPr>
            <w:tcW w:w="850" w:type="dxa"/>
            <w:tcBorders>
              <w:top w:val="nil"/>
            </w:tcBorders>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57/2</w:t>
            </w:r>
          </w:p>
        </w:tc>
        <w:tc>
          <w:tcPr>
            <w:tcW w:w="1559" w:type="dxa"/>
            <w:tcBorders>
              <w:top w:val="nil"/>
            </w:tcBorders>
            <w:shd w:val="clear" w:color="auto" w:fill="auto"/>
            <w:vAlign w:val="bottom"/>
          </w:tcPr>
          <w:p w:rsidR="008A7415" w:rsidRPr="0071782F" w:rsidRDefault="008A7415" w:rsidP="009E6189">
            <w:pPr>
              <w:suppressAutoHyphens w:val="0"/>
              <w:spacing w:before="40" w:after="40" w:line="220" w:lineRule="exact"/>
              <w:jc w:val="right"/>
              <w:rPr>
                <w:sz w:val="18"/>
                <w:lang w:val="fr-CH"/>
              </w:rPr>
            </w:pPr>
            <w:r w:rsidRPr="0071782F">
              <w:rPr>
                <w:sz w:val="18"/>
                <w:lang w:val="fr-CH"/>
              </w:rPr>
              <w:t>15</w:t>
            </w:r>
          </w:p>
        </w:tc>
      </w:tr>
    </w:tbl>
    <w:p w:rsidR="008A7415" w:rsidRPr="0071782F" w:rsidRDefault="008A7415" w:rsidP="00204410">
      <w:pPr>
        <w:pStyle w:val="H1G"/>
        <w:rPr>
          <w:lang w:val="fr-CH"/>
        </w:rPr>
      </w:pPr>
      <w:r w:rsidRPr="0071782F">
        <w:rPr>
          <w:lang w:val="fr-CH"/>
        </w:rPr>
        <w:tab/>
      </w:r>
      <w:r w:rsidRPr="0071782F">
        <w:rPr>
          <w:lang w:val="fr-CH"/>
        </w:rPr>
        <w:tab/>
        <w:t xml:space="preserve">Mesures </w:t>
      </w:r>
      <w:r w:rsidR="002C0B1D" w:rsidRPr="0071782F">
        <w:rPr>
          <w:lang w:val="fr-CH"/>
        </w:rPr>
        <w:t xml:space="preserve">de conservation des espèces végétales </w:t>
      </w:r>
    </w:p>
    <w:p w:rsidR="008A7415" w:rsidRPr="007A1E2D" w:rsidRDefault="008A7415" w:rsidP="00204410">
      <w:pPr>
        <w:pStyle w:val="SingleTxtG"/>
        <w:rPr>
          <w:spacing w:val="-2"/>
          <w:lang w:val="fr-CH"/>
        </w:rPr>
      </w:pPr>
      <w:r w:rsidRPr="007A1E2D">
        <w:rPr>
          <w:spacing w:val="-2"/>
          <w:lang w:val="fr-CH"/>
        </w:rPr>
        <w:t>222.</w:t>
      </w:r>
      <w:r w:rsidRPr="007A1E2D">
        <w:rPr>
          <w:spacing w:val="-2"/>
          <w:lang w:val="fr-CH"/>
        </w:rPr>
        <w:tab/>
      </w:r>
      <w:r w:rsidR="003D3F62" w:rsidRPr="007A1E2D">
        <w:rPr>
          <w:spacing w:val="-2"/>
          <w:lang w:val="fr-CH"/>
        </w:rPr>
        <w:t xml:space="preserve">L’un des principaux défis à relever pour assurer la sécurité alimentaire et l’approvisionnement en produits alimentaires dans le pays est la prévention de la diffusion des parasites des cultures et des maladies d’origine animale. Le </w:t>
      </w:r>
      <w:r w:rsidR="00A90208" w:rsidRPr="007A1E2D">
        <w:rPr>
          <w:spacing w:val="-2"/>
          <w:lang w:val="fr-CH"/>
        </w:rPr>
        <w:t>quatrième</w:t>
      </w:r>
      <w:r w:rsidR="00C767F3" w:rsidRPr="007A1E2D">
        <w:rPr>
          <w:spacing w:val="-2"/>
          <w:lang w:val="fr-CH"/>
        </w:rPr>
        <w:t> </w:t>
      </w:r>
      <w:r w:rsidR="003D3F62" w:rsidRPr="007A1E2D">
        <w:rPr>
          <w:spacing w:val="-2"/>
          <w:lang w:val="fr-CH"/>
        </w:rPr>
        <w:t xml:space="preserve">plan de développement accorde une </w:t>
      </w:r>
      <w:r w:rsidRPr="007A1E2D">
        <w:rPr>
          <w:spacing w:val="-2"/>
          <w:lang w:val="fr-CH"/>
        </w:rPr>
        <w:t xml:space="preserve">attention </w:t>
      </w:r>
      <w:r w:rsidR="003D3F62" w:rsidRPr="007A1E2D">
        <w:rPr>
          <w:spacing w:val="-2"/>
          <w:lang w:val="fr-CH"/>
        </w:rPr>
        <w:t>particulière aux activités de conservation des espèces végétales.</w:t>
      </w:r>
      <w:r w:rsidRPr="007A1E2D">
        <w:rPr>
          <w:spacing w:val="-2"/>
          <w:lang w:val="fr-CH"/>
        </w:rPr>
        <w:t xml:space="preserve"> </w:t>
      </w:r>
    </w:p>
    <w:p w:rsidR="008A7415" w:rsidRPr="0071782F" w:rsidRDefault="008A7415" w:rsidP="000E7C70">
      <w:pPr>
        <w:pStyle w:val="SingleTxtG"/>
        <w:ind w:left="1701"/>
        <w:rPr>
          <w:lang w:val="fr-CH"/>
        </w:rPr>
      </w:pPr>
      <w:r w:rsidRPr="0071782F">
        <w:rPr>
          <w:lang w:val="fr-CH"/>
        </w:rPr>
        <w:t>222.1.</w:t>
      </w:r>
      <w:r w:rsidRPr="0071782F">
        <w:rPr>
          <w:lang w:val="fr-CH"/>
        </w:rPr>
        <w:tab/>
      </w:r>
      <w:r w:rsidR="001554D1" w:rsidRPr="0071782F">
        <w:rPr>
          <w:lang w:val="fr-CH"/>
        </w:rPr>
        <w:t xml:space="preserve">Dans le secteur agricole, la conservation des espèces végétales est principalement axée sur la lutte contre les parasites généraux et universels, la quarantaine des plantes et les </w:t>
      </w:r>
      <w:r w:rsidRPr="0071782F">
        <w:rPr>
          <w:lang w:val="fr-CH"/>
        </w:rPr>
        <w:t xml:space="preserve">pesticides </w:t>
      </w:r>
      <w:r w:rsidR="001554D1" w:rsidRPr="0071782F">
        <w:rPr>
          <w:lang w:val="fr-CH"/>
        </w:rPr>
        <w:t>et</w:t>
      </w:r>
      <w:r w:rsidRPr="0071782F">
        <w:rPr>
          <w:lang w:val="fr-CH"/>
        </w:rPr>
        <w:t xml:space="preserve"> insecticides </w:t>
      </w:r>
      <w:r w:rsidR="001554D1" w:rsidRPr="0071782F">
        <w:rPr>
          <w:lang w:val="fr-CH"/>
        </w:rPr>
        <w:t xml:space="preserve">qui sont </w:t>
      </w:r>
      <w:r w:rsidRPr="0071782F">
        <w:rPr>
          <w:lang w:val="fr-CH"/>
        </w:rPr>
        <w:t>indispensable</w:t>
      </w:r>
      <w:r w:rsidR="001554D1" w:rsidRPr="0071782F">
        <w:rPr>
          <w:lang w:val="fr-CH"/>
        </w:rPr>
        <w:t>s</w:t>
      </w:r>
      <w:r w:rsidRPr="0071782F">
        <w:rPr>
          <w:lang w:val="fr-CH"/>
        </w:rPr>
        <w:t xml:space="preserve"> </w:t>
      </w:r>
      <w:r w:rsidR="001554D1" w:rsidRPr="0071782F">
        <w:rPr>
          <w:lang w:val="fr-CH"/>
        </w:rPr>
        <w:t>à la préservation et à la croissance de la production agricole</w:t>
      </w:r>
      <w:r w:rsidRPr="0071782F">
        <w:rPr>
          <w:lang w:val="fr-CH"/>
        </w:rPr>
        <w:t xml:space="preserve">. </w:t>
      </w:r>
      <w:r w:rsidR="001554D1" w:rsidRPr="0071782F">
        <w:rPr>
          <w:lang w:val="fr-CH"/>
        </w:rPr>
        <w:t>L’</w:t>
      </w:r>
      <w:r w:rsidRPr="0071782F">
        <w:rPr>
          <w:lang w:val="fr-CH"/>
        </w:rPr>
        <w:t>exten</w:t>
      </w:r>
      <w:r w:rsidR="001554D1" w:rsidRPr="0071782F">
        <w:rPr>
          <w:lang w:val="fr-CH"/>
        </w:rPr>
        <w:t>sion et la portée de ces activités varient en fonction du danger que représentent les parasites et les maladies et des quantités de produits agricoles importés et transportés</w:t>
      </w:r>
      <w:r w:rsidRPr="0071782F">
        <w:rPr>
          <w:lang w:val="fr-CH"/>
        </w:rPr>
        <w:t xml:space="preserve">. </w:t>
      </w:r>
      <w:r w:rsidR="001554D1" w:rsidRPr="0071782F">
        <w:rPr>
          <w:lang w:val="fr-CH"/>
        </w:rPr>
        <w:t xml:space="preserve">On trouvera énumérées ci-après certaines des mesures prévues à cet effet par le </w:t>
      </w:r>
      <w:r w:rsidR="00A90208" w:rsidRPr="0071782F">
        <w:rPr>
          <w:lang w:val="fr-CH"/>
        </w:rPr>
        <w:t>quatrième</w:t>
      </w:r>
      <w:r w:rsidR="00C767F3" w:rsidRPr="0071782F">
        <w:rPr>
          <w:lang w:val="fr-CH"/>
        </w:rPr>
        <w:t> </w:t>
      </w:r>
      <w:r w:rsidR="001554D1" w:rsidRPr="0071782F">
        <w:rPr>
          <w:lang w:val="fr-CH"/>
        </w:rPr>
        <w:t>plan de développement</w:t>
      </w:r>
      <w:r w:rsidR="008F7D33" w:rsidRPr="0071782F">
        <w:rPr>
          <w:lang w:val="fr-CH"/>
        </w:rPr>
        <w:t>:</w:t>
      </w:r>
    </w:p>
    <w:p w:rsidR="008A7415" w:rsidRPr="0071782F" w:rsidRDefault="008A7415" w:rsidP="000E7C70">
      <w:pPr>
        <w:pStyle w:val="SingleTxtG"/>
        <w:ind w:left="1701"/>
        <w:rPr>
          <w:lang w:val="fr-CH"/>
        </w:rPr>
      </w:pPr>
      <w:r w:rsidRPr="0071782F">
        <w:rPr>
          <w:lang w:val="fr-CH"/>
        </w:rPr>
        <w:t>222.2.</w:t>
      </w:r>
      <w:r w:rsidRPr="0071782F">
        <w:rPr>
          <w:lang w:val="fr-CH"/>
        </w:rPr>
        <w:tab/>
        <w:t xml:space="preserve">Extension </w:t>
      </w:r>
      <w:r w:rsidR="00E3557C" w:rsidRPr="0071782F">
        <w:rPr>
          <w:lang w:val="fr-CH"/>
        </w:rPr>
        <w:t xml:space="preserve">de la lutte biologique et mécanique contre les parasites des cultures, portée de </w:t>
      </w:r>
      <w:r w:rsidRPr="0071782F">
        <w:rPr>
          <w:lang w:val="fr-CH"/>
        </w:rPr>
        <w:t>3</w:t>
      </w:r>
      <w:r w:rsidR="00E3557C" w:rsidRPr="0071782F">
        <w:rPr>
          <w:lang w:val="fr-CH"/>
        </w:rPr>
        <w:t>,</w:t>
      </w:r>
      <w:r w:rsidRPr="0071782F">
        <w:rPr>
          <w:lang w:val="fr-CH"/>
        </w:rPr>
        <w:t>5</w:t>
      </w:r>
      <w:r w:rsidR="00097CDB" w:rsidRPr="0071782F">
        <w:rPr>
          <w:lang w:val="fr-CH"/>
        </w:rPr>
        <w:t> millions</w:t>
      </w:r>
      <w:r w:rsidRPr="0071782F">
        <w:rPr>
          <w:lang w:val="fr-CH"/>
        </w:rPr>
        <w:t xml:space="preserve"> </w:t>
      </w:r>
      <w:r w:rsidR="00E3557C" w:rsidRPr="0071782F">
        <w:rPr>
          <w:lang w:val="fr-CH"/>
        </w:rPr>
        <w:t>d’</w:t>
      </w:r>
      <w:r w:rsidRPr="0071782F">
        <w:rPr>
          <w:lang w:val="fr-CH"/>
        </w:rPr>
        <w:t xml:space="preserve">hectares </w:t>
      </w:r>
      <w:r w:rsidR="00E3557C" w:rsidRPr="0071782F">
        <w:rPr>
          <w:lang w:val="fr-CH"/>
        </w:rPr>
        <w:t>e</w:t>
      </w:r>
      <w:r w:rsidRPr="0071782F">
        <w:rPr>
          <w:lang w:val="fr-CH"/>
        </w:rPr>
        <w:t xml:space="preserve">n 2005 </w:t>
      </w:r>
      <w:r w:rsidR="00E3557C" w:rsidRPr="0071782F">
        <w:rPr>
          <w:lang w:val="fr-CH"/>
        </w:rPr>
        <w:t>à</w:t>
      </w:r>
      <w:r w:rsidRPr="0071782F">
        <w:rPr>
          <w:lang w:val="fr-CH"/>
        </w:rPr>
        <w:t xml:space="preserve"> 3</w:t>
      </w:r>
      <w:r w:rsidR="00E3557C" w:rsidRPr="0071782F">
        <w:rPr>
          <w:lang w:val="fr-CH"/>
        </w:rPr>
        <w:t>,</w:t>
      </w:r>
      <w:r w:rsidRPr="0071782F">
        <w:rPr>
          <w:lang w:val="fr-CH"/>
        </w:rPr>
        <w:t>9</w:t>
      </w:r>
      <w:r w:rsidR="00097CDB" w:rsidRPr="0071782F">
        <w:rPr>
          <w:lang w:val="fr-CH"/>
        </w:rPr>
        <w:t> millions</w:t>
      </w:r>
      <w:r w:rsidRPr="0071782F">
        <w:rPr>
          <w:lang w:val="fr-CH"/>
        </w:rPr>
        <w:t xml:space="preserve"> </w:t>
      </w:r>
      <w:r w:rsidR="00E3557C" w:rsidRPr="0071782F">
        <w:rPr>
          <w:lang w:val="fr-CH"/>
        </w:rPr>
        <w:t>d’</w:t>
      </w:r>
      <w:r w:rsidRPr="0071782F">
        <w:rPr>
          <w:lang w:val="fr-CH"/>
        </w:rPr>
        <w:t xml:space="preserve">hectares </w:t>
      </w:r>
      <w:r w:rsidR="00E3557C" w:rsidRPr="0071782F">
        <w:rPr>
          <w:lang w:val="fr-CH"/>
        </w:rPr>
        <w:t>e</w:t>
      </w:r>
      <w:r w:rsidRPr="0071782F">
        <w:rPr>
          <w:lang w:val="fr-CH"/>
        </w:rPr>
        <w:t>n 2008</w:t>
      </w:r>
      <w:r w:rsidR="00E3557C" w:rsidRPr="0071782F">
        <w:rPr>
          <w:lang w:val="fr-CH"/>
        </w:rPr>
        <w:t xml:space="preserve">, ce qui représente un taux de croissance moyen annuel de </w:t>
      </w:r>
      <w:r w:rsidRPr="0071782F">
        <w:rPr>
          <w:lang w:val="fr-CH"/>
        </w:rPr>
        <w:t>12</w:t>
      </w:r>
      <w:r w:rsidR="00E3557C" w:rsidRPr="0071782F">
        <w:rPr>
          <w:lang w:val="fr-CH"/>
        </w:rPr>
        <w:t>,</w:t>
      </w:r>
      <w:r w:rsidRPr="0071782F">
        <w:rPr>
          <w:lang w:val="fr-CH"/>
        </w:rPr>
        <w:t>3</w:t>
      </w:r>
      <w:r w:rsidR="007E5125" w:rsidRPr="0071782F">
        <w:rPr>
          <w:lang w:val="fr-CH"/>
        </w:rPr>
        <w:t>%</w:t>
      </w:r>
      <w:r w:rsidRPr="0071782F">
        <w:rPr>
          <w:lang w:val="fr-CH"/>
        </w:rPr>
        <w:t xml:space="preserve"> (</w:t>
      </w:r>
      <w:r w:rsidR="00E3557C" w:rsidRPr="0071782F">
        <w:rPr>
          <w:lang w:val="fr-CH"/>
        </w:rPr>
        <w:t xml:space="preserve">par rapport à l’année de référence, </w:t>
      </w:r>
      <w:r w:rsidRPr="0071782F">
        <w:rPr>
          <w:lang w:val="fr-CH"/>
        </w:rPr>
        <w:t>2004).</w:t>
      </w:r>
    </w:p>
    <w:p w:rsidR="008A7415" w:rsidRPr="0071782F" w:rsidRDefault="008A7415" w:rsidP="000E7C70">
      <w:pPr>
        <w:pStyle w:val="SingleTxtG"/>
        <w:ind w:left="1701"/>
        <w:rPr>
          <w:lang w:val="fr-CH"/>
        </w:rPr>
      </w:pPr>
      <w:r w:rsidRPr="0071782F">
        <w:rPr>
          <w:lang w:val="fr-CH"/>
        </w:rPr>
        <w:t>222.3.</w:t>
      </w:r>
      <w:r w:rsidRPr="0071782F">
        <w:rPr>
          <w:lang w:val="fr-CH"/>
        </w:rPr>
        <w:tab/>
        <w:t xml:space="preserve">Extension </w:t>
      </w:r>
      <w:r w:rsidR="00E3557C" w:rsidRPr="0071782F">
        <w:rPr>
          <w:lang w:val="fr-CH"/>
        </w:rPr>
        <w:t xml:space="preserve">du réseau d’alerte avancée et de contrôle, porté de </w:t>
      </w:r>
      <w:r w:rsidRPr="0071782F">
        <w:rPr>
          <w:lang w:val="fr-CH"/>
        </w:rPr>
        <w:t>7</w:t>
      </w:r>
      <w:r w:rsidR="00E3557C" w:rsidRPr="0071782F">
        <w:rPr>
          <w:lang w:val="fr-CH"/>
        </w:rPr>
        <w:t>,</w:t>
      </w:r>
      <w:r w:rsidRPr="0071782F">
        <w:rPr>
          <w:lang w:val="fr-CH"/>
        </w:rPr>
        <w:t>8</w:t>
      </w:r>
      <w:r w:rsidR="00097CDB" w:rsidRPr="0071782F">
        <w:rPr>
          <w:lang w:val="fr-CH"/>
        </w:rPr>
        <w:t> millions</w:t>
      </w:r>
      <w:r w:rsidRPr="0071782F">
        <w:rPr>
          <w:lang w:val="fr-CH"/>
        </w:rPr>
        <w:t xml:space="preserve"> </w:t>
      </w:r>
      <w:r w:rsidR="00E3557C" w:rsidRPr="0071782F">
        <w:rPr>
          <w:lang w:val="fr-CH"/>
        </w:rPr>
        <w:t>d’</w:t>
      </w:r>
      <w:r w:rsidRPr="0071782F">
        <w:rPr>
          <w:lang w:val="fr-CH"/>
        </w:rPr>
        <w:t xml:space="preserve">hectares </w:t>
      </w:r>
      <w:r w:rsidR="00E3557C" w:rsidRPr="0071782F">
        <w:rPr>
          <w:lang w:val="fr-CH"/>
        </w:rPr>
        <w:t>e</w:t>
      </w:r>
      <w:r w:rsidRPr="0071782F">
        <w:rPr>
          <w:lang w:val="fr-CH"/>
        </w:rPr>
        <w:t xml:space="preserve">n 2005 </w:t>
      </w:r>
      <w:r w:rsidR="00E3557C" w:rsidRPr="0071782F">
        <w:rPr>
          <w:lang w:val="fr-CH"/>
        </w:rPr>
        <w:t>à</w:t>
      </w:r>
      <w:r w:rsidRPr="0071782F">
        <w:rPr>
          <w:lang w:val="fr-CH"/>
        </w:rPr>
        <w:t xml:space="preserve"> 11</w:t>
      </w:r>
      <w:r w:rsidR="00097CDB" w:rsidRPr="0071782F">
        <w:rPr>
          <w:lang w:val="fr-CH"/>
        </w:rPr>
        <w:t> millions</w:t>
      </w:r>
      <w:r w:rsidRPr="0071782F">
        <w:rPr>
          <w:lang w:val="fr-CH"/>
        </w:rPr>
        <w:t xml:space="preserve"> </w:t>
      </w:r>
      <w:r w:rsidR="00E3557C" w:rsidRPr="0071782F">
        <w:rPr>
          <w:lang w:val="fr-CH"/>
        </w:rPr>
        <w:t>d’</w:t>
      </w:r>
      <w:r w:rsidRPr="0071782F">
        <w:rPr>
          <w:lang w:val="fr-CH"/>
        </w:rPr>
        <w:t xml:space="preserve">hectares </w:t>
      </w:r>
      <w:r w:rsidR="00E3557C" w:rsidRPr="0071782F">
        <w:rPr>
          <w:lang w:val="fr-CH"/>
        </w:rPr>
        <w:t xml:space="preserve">en 2008, ce qui représente un taux de croissance moyen annuel de </w:t>
      </w:r>
      <w:r w:rsidRPr="0071782F">
        <w:rPr>
          <w:lang w:val="fr-CH"/>
        </w:rPr>
        <w:t>11</w:t>
      </w:r>
      <w:r w:rsidR="00E3557C" w:rsidRPr="0071782F">
        <w:rPr>
          <w:lang w:val="fr-CH"/>
        </w:rPr>
        <w:t>,</w:t>
      </w:r>
      <w:r w:rsidRPr="0071782F">
        <w:rPr>
          <w:lang w:val="fr-CH"/>
        </w:rPr>
        <w:t>6</w:t>
      </w:r>
      <w:r w:rsidR="007E5125" w:rsidRPr="0071782F">
        <w:rPr>
          <w:lang w:val="fr-CH"/>
        </w:rPr>
        <w:t>%</w:t>
      </w:r>
      <w:r w:rsidRPr="0071782F">
        <w:rPr>
          <w:lang w:val="fr-CH"/>
        </w:rPr>
        <w:t xml:space="preserve"> (</w:t>
      </w:r>
      <w:r w:rsidR="00E3557C" w:rsidRPr="0071782F">
        <w:rPr>
          <w:lang w:val="fr-CH"/>
        </w:rPr>
        <w:t>par rapport à l’année de référence, 2004</w:t>
      </w:r>
      <w:r w:rsidRPr="0071782F">
        <w:rPr>
          <w:lang w:val="fr-CH"/>
        </w:rPr>
        <w:t>).</w:t>
      </w:r>
    </w:p>
    <w:p w:rsidR="008A7415" w:rsidRPr="0071782F" w:rsidRDefault="008A7415" w:rsidP="000E7C70">
      <w:pPr>
        <w:pStyle w:val="SingleTxtG"/>
        <w:ind w:left="1701"/>
        <w:rPr>
          <w:lang w:val="fr-CH"/>
        </w:rPr>
      </w:pPr>
      <w:r w:rsidRPr="0071782F">
        <w:rPr>
          <w:lang w:val="fr-CH"/>
        </w:rPr>
        <w:t>222.4.</w:t>
      </w:r>
      <w:r w:rsidRPr="0071782F">
        <w:rPr>
          <w:lang w:val="fr-CH"/>
        </w:rPr>
        <w:tab/>
      </w:r>
      <w:r w:rsidR="00F95D89" w:rsidRPr="0071782F">
        <w:rPr>
          <w:lang w:val="fr-CH"/>
        </w:rPr>
        <w:t xml:space="preserve">Renforcement des contrôles de quarantaine </w:t>
      </w:r>
      <w:r w:rsidRPr="0071782F">
        <w:rPr>
          <w:lang w:val="fr-CH"/>
        </w:rPr>
        <w:t xml:space="preserve">(transit </w:t>
      </w:r>
      <w:r w:rsidR="00F95D89" w:rsidRPr="0071782F">
        <w:rPr>
          <w:lang w:val="fr-CH"/>
        </w:rPr>
        <w:t>et sortie des produits d’exportation</w:t>
      </w:r>
      <w:r w:rsidRPr="0071782F">
        <w:rPr>
          <w:lang w:val="fr-CH"/>
        </w:rPr>
        <w:t>)</w:t>
      </w:r>
      <w:r w:rsidR="00F95D89" w:rsidRPr="0071782F">
        <w:rPr>
          <w:lang w:val="fr-CH"/>
        </w:rPr>
        <w:t>, appliqués dans le cas de 15,9</w:t>
      </w:r>
      <w:r w:rsidR="00097CDB" w:rsidRPr="0071782F">
        <w:rPr>
          <w:lang w:val="fr-CH"/>
        </w:rPr>
        <w:t> millions</w:t>
      </w:r>
      <w:r w:rsidR="00F95D89" w:rsidRPr="0071782F">
        <w:rPr>
          <w:lang w:val="fr-CH"/>
        </w:rPr>
        <w:t xml:space="preserve"> </w:t>
      </w:r>
      <w:r w:rsidR="00F87C4B" w:rsidRPr="0071782F">
        <w:rPr>
          <w:lang w:val="fr-CH"/>
        </w:rPr>
        <w:t>de tonnes</w:t>
      </w:r>
      <w:r w:rsidR="00F95D89" w:rsidRPr="0071782F">
        <w:rPr>
          <w:lang w:val="fr-CH"/>
        </w:rPr>
        <w:t xml:space="preserve">/millions </w:t>
      </w:r>
      <w:r w:rsidR="00C767F3" w:rsidRPr="0071782F">
        <w:rPr>
          <w:lang w:val="fr-CH"/>
        </w:rPr>
        <w:t>de mètres</w:t>
      </w:r>
      <w:r w:rsidR="003F25A2">
        <w:rPr>
          <w:lang w:val="fr-CH"/>
        </w:rPr>
        <w:t xml:space="preserve"> cube</w:t>
      </w:r>
      <w:r w:rsidR="00CA698E">
        <w:rPr>
          <w:lang w:val="fr-CH"/>
        </w:rPr>
        <w:t xml:space="preserve"> </w:t>
      </w:r>
      <w:r w:rsidR="00F95D89" w:rsidRPr="0071782F">
        <w:rPr>
          <w:lang w:val="fr-CH"/>
        </w:rPr>
        <w:t xml:space="preserve">en 2008, contre </w:t>
      </w:r>
      <w:r w:rsidRPr="0071782F">
        <w:rPr>
          <w:lang w:val="fr-CH"/>
        </w:rPr>
        <w:t>9</w:t>
      </w:r>
      <w:r w:rsidR="00F95D89" w:rsidRPr="0071782F">
        <w:rPr>
          <w:lang w:val="fr-CH"/>
        </w:rPr>
        <w:t>,</w:t>
      </w:r>
      <w:r w:rsidRPr="0071782F">
        <w:rPr>
          <w:lang w:val="fr-CH"/>
        </w:rPr>
        <w:t>5</w:t>
      </w:r>
      <w:r w:rsidR="00097CDB" w:rsidRPr="0071782F">
        <w:rPr>
          <w:lang w:val="fr-CH"/>
        </w:rPr>
        <w:t> millions</w:t>
      </w:r>
      <w:r w:rsidR="00F95D89" w:rsidRPr="0071782F">
        <w:rPr>
          <w:lang w:val="fr-CH"/>
        </w:rPr>
        <w:t xml:space="preserve"> </w:t>
      </w:r>
      <w:r w:rsidR="00F87C4B" w:rsidRPr="0071782F">
        <w:rPr>
          <w:lang w:val="fr-CH"/>
        </w:rPr>
        <w:t>de tonnes</w:t>
      </w:r>
      <w:r w:rsidR="00F95D89" w:rsidRPr="0071782F">
        <w:rPr>
          <w:lang w:val="fr-CH"/>
        </w:rPr>
        <w:t xml:space="preserve">/millions </w:t>
      </w:r>
      <w:r w:rsidR="00C767F3" w:rsidRPr="0071782F">
        <w:rPr>
          <w:lang w:val="fr-CH"/>
        </w:rPr>
        <w:t>de mètres</w:t>
      </w:r>
      <w:r w:rsidR="003F25A2">
        <w:rPr>
          <w:lang w:val="fr-CH"/>
        </w:rPr>
        <w:t xml:space="preserve"> cube</w:t>
      </w:r>
      <w:r w:rsidR="00F95D89" w:rsidRPr="0071782F">
        <w:rPr>
          <w:lang w:val="fr-CH"/>
        </w:rPr>
        <w:t xml:space="preserve"> en </w:t>
      </w:r>
      <w:r w:rsidRPr="0071782F">
        <w:rPr>
          <w:lang w:val="fr-CH"/>
        </w:rPr>
        <w:t>2005</w:t>
      </w:r>
      <w:r w:rsidR="00F95D89" w:rsidRPr="0071782F">
        <w:rPr>
          <w:lang w:val="fr-CH"/>
        </w:rPr>
        <w:t xml:space="preserve">, ce qui représente un taux de croissance moyen annuel de </w:t>
      </w:r>
      <w:r w:rsidRPr="0071782F">
        <w:rPr>
          <w:lang w:val="fr-CH"/>
        </w:rPr>
        <w:t>67</w:t>
      </w:r>
      <w:r w:rsidR="007E5125" w:rsidRPr="0071782F">
        <w:rPr>
          <w:lang w:val="fr-CH"/>
        </w:rPr>
        <w:t>%</w:t>
      </w:r>
      <w:r w:rsidRPr="0071782F">
        <w:rPr>
          <w:lang w:val="fr-CH"/>
        </w:rPr>
        <w:t xml:space="preserve"> (</w:t>
      </w:r>
      <w:r w:rsidR="00F95D89" w:rsidRPr="0071782F">
        <w:rPr>
          <w:lang w:val="fr-CH"/>
        </w:rPr>
        <w:t>par rapport à l’année de référence</w:t>
      </w:r>
      <w:r w:rsidRPr="0071782F">
        <w:rPr>
          <w:lang w:val="fr-CH"/>
        </w:rPr>
        <w:t>).</w:t>
      </w:r>
    </w:p>
    <w:p w:rsidR="008A7415" w:rsidRPr="0071782F" w:rsidRDefault="008A7415" w:rsidP="000E7C70">
      <w:pPr>
        <w:pStyle w:val="SingleTxtG"/>
        <w:ind w:left="1701"/>
        <w:rPr>
          <w:lang w:val="fr-CH"/>
        </w:rPr>
      </w:pPr>
      <w:r w:rsidRPr="0071782F">
        <w:rPr>
          <w:lang w:val="fr-CH"/>
        </w:rPr>
        <w:t>222.5.</w:t>
      </w:r>
      <w:r w:rsidRPr="0071782F">
        <w:rPr>
          <w:lang w:val="fr-CH"/>
        </w:rPr>
        <w:tab/>
      </w:r>
      <w:r w:rsidR="00A3774C" w:rsidRPr="0071782F">
        <w:rPr>
          <w:lang w:val="fr-CH"/>
        </w:rPr>
        <w:t xml:space="preserve">Augmenter le nombre de certificats sanitaires délivrés pour des produits d’exportation, les produits concernés passant de </w:t>
      </w:r>
      <w:r w:rsidRPr="0071782F">
        <w:rPr>
          <w:lang w:val="fr-CH"/>
        </w:rPr>
        <w:t>1</w:t>
      </w:r>
      <w:r w:rsidR="00A3774C" w:rsidRPr="0071782F">
        <w:rPr>
          <w:lang w:val="fr-CH"/>
        </w:rPr>
        <w:t>,</w:t>
      </w:r>
      <w:r w:rsidRPr="0071782F">
        <w:rPr>
          <w:lang w:val="fr-CH"/>
        </w:rPr>
        <w:t>45</w:t>
      </w:r>
      <w:r w:rsidR="00F071D1" w:rsidRPr="0071782F">
        <w:rPr>
          <w:lang w:val="fr-CH"/>
        </w:rPr>
        <w:t> </w:t>
      </w:r>
      <w:r w:rsidRPr="0071782F">
        <w:rPr>
          <w:lang w:val="fr-CH"/>
        </w:rPr>
        <w:t xml:space="preserve">million </w:t>
      </w:r>
      <w:r w:rsidR="00F87C4B" w:rsidRPr="0071782F">
        <w:rPr>
          <w:lang w:val="fr-CH"/>
        </w:rPr>
        <w:t>de tonnes</w:t>
      </w:r>
      <w:r w:rsidRPr="0071782F">
        <w:rPr>
          <w:lang w:val="fr-CH"/>
        </w:rPr>
        <w:t xml:space="preserve"> </w:t>
      </w:r>
      <w:r w:rsidR="00A3774C" w:rsidRPr="0071782F">
        <w:rPr>
          <w:lang w:val="fr-CH"/>
        </w:rPr>
        <w:t>e</w:t>
      </w:r>
      <w:r w:rsidRPr="0071782F">
        <w:rPr>
          <w:lang w:val="fr-CH"/>
        </w:rPr>
        <w:t xml:space="preserve">n 2005 </w:t>
      </w:r>
      <w:r w:rsidR="00A3774C" w:rsidRPr="0071782F">
        <w:rPr>
          <w:lang w:val="fr-CH"/>
        </w:rPr>
        <w:t>à</w:t>
      </w:r>
      <w:r w:rsidRPr="0071782F">
        <w:rPr>
          <w:lang w:val="fr-CH"/>
        </w:rPr>
        <w:t xml:space="preserve"> 4</w:t>
      </w:r>
      <w:r w:rsidR="00A3774C" w:rsidRPr="0071782F">
        <w:rPr>
          <w:lang w:val="fr-CH"/>
        </w:rPr>
        <w:t>,</w:t>
      </w:r>
      <w:r w:rsidRPr="0071782F">
        <w:rPr>
          <w:lang w:val="fr-CH"/>
        </w:rPr>
        <w:t>2</w:t>
      </w:r>
      <w:r w:rsidR="00097CDB" w:rsidRPr="0071782F">
        <w:rPr>
          <w:lang w:val="fr-CH"/>
        </w:rPr>
        <w:t> millions</w:t>
      </w:r>
      <w:r w:rsidRPr="0071782F">
        <w:rPr>
          <w:lang w:val="fr-CH"/>
        </w:rPr>
        <w:t xml:space="preserve"> </w:t>
      </w:r>
      <w:r w:rsidR="00F87C4B" w:rsidRPr="0071782F">
        <w:rPr>
          <w:lang w:val="fr-CH"/>
        </w:rPr>
        <w:t>de tonnes</w:t>
      </w:r>
      <w:r w:rsidRPr="0071782F">
        <w:rPr>
          <w:lang w:val="fr-CH"/>
        </w:rPr>
        <w:t xml:space="preserve"> </w:t>
      </w:r>
      <w:r w:rsidR="00A3774C" w:rsidRPr="0071782F">
        <w:rPr>
          <w:lang w:val="fr-CH"/>
        </w:rPr>
        <w:t>e</w:t>
      </w:r>
      <w:r w:rsidRPr="0071782F">
        <w:rPr>
          <w:lang w:val="fr-CH"/>
        </w:rPr>
        <w:t xml:space="preserve">n 2008, </w:t>
      </w:r>
      <w:r w:rsidR="00A3774C" w:rsidRPr="0071782F">
        <w:rPr>
          <w:lang w:val="fr-CH"/>
        </w:rPr>
        <w:t xml:space="preserve">soit une augmentation de </w:t>
      </w:r>
      <w:r w:rsidRPr="0071782F">
        <w:rPr>
          <w:lang w:val="fr-CH"/>
        </w:rPr>
        <w:t>290</w:t>
      </w:r>
      <w:r w:rsidR="007E5125" w:rsidRPr="0071782F">
        <w:rPr>
          <w:lang w:val="fr-CH"/>
        </w:rPr>
        <w:t>%</w:t>
      </w:r>
      <w:r w:rsidRPr="0071782F">
        <w:rPr>
          <w:lang w:val="fr-CH"/>
        </w:rPr>
        <w:t>.</w:t>
      </w:r>
    </w:p>
    <w:p w:rsidR="008A7415" w:rsidRPr="007A1E2D" w:rsidRDefault="008A7415" w:rsidP="000E7C70">
      <w:pPr>
        <w:pStyle w:val="SingleTxtG"/>
        <w:ind w:left="1701"/>
        <w:rPr>
          <w:spacing w:val="-2"/>
          <w:lang w:val="fr-CH"/>
        </w:rPr>
      </w:pPr>
      <w:r w:rsidRPr="007A1E2D">
        <w:rPr>
          <w:spacing w:val="-2"/>
          <w:lang w:val="fr-CH"/>
        </w:rPr>
        <w:t>222.6.</w:t>
      </w:r>
      <w:r w:rsidRPr="007A1E2D">
        <w:rPr>
          <w:spacing w:val="-2"/>
          <w:lang w:val="fr-CH"/>
        </w:rPr>
        <w:tab/>
      </w:r>
      <w:r w:rsidR="00D46E30" w:rsidRPr="007A1E2D">
        <w:rPr>
          <w:spacing w:val="-2"/>
          <w:lang w:val="fr-CH"/>
        </w:rPr>
        <w:t xml:space="preserve">Entre autres mesures </w:t>
      </w:r>
      <w:r w:rsidRPr="007A1E2D">
        <w:rPr>
          <w:spacing w:val="-2"/>
          <w:lang w:val="fr-CH"/>
        </w:rPr>
        <w:t>important</w:t>
      </w:r>
      <w:r w:rsidR="00D46E30" w:rsidRPr="007A1E2D">
        <w:rPr>
          <w:spacing w:val="-2"/>
          <w:lang w:val="fr-CH"/>
        </w:rPr>
        <w:t>es adoptées pour réaliser les objectifs susvisés,</w:t>
      </w:r>
      <w:r w:rsidR="00D36718" w:rsidRPr="007A1E2D">
        <w:rPr>
          <w:spacing w:val="-2"/>
          <w:lang w:val="fr-CH"/>
        </w:rPr>
        <w:t xml:space="preserve"> </w:t>
      </w:r>
      <w:r w:rsidR="00D46E30" w:rsidRPr="007A1E2D">
        <w:rPr>
          <w:spacing w:val="-2"/>
          <w:lang w:val="fr-CH"/>
        </w:rPr>
        <w:t>il convient de mentionner la lutte biologique et non chimique menée depuis 2005 dans le cadre du Plan de réduction de l’emploi de toxines chimiques</w:t>
      </w:r>
      <w:r w:rsidRPr="007A1E2D">
        <w:rPr>
          <w:spacing w:val="-2"/>
          <w:lang w:val="fr-CH"/>
        </w:rPr>
        <w:t xml:space="preserve">. </w:t>
      </w:r>
      <w:r w:rsidR="00D46E30" w:rsidRPr="007A1E2D">
        <w:rPr>
          <w:spacing w:val="-2"/>
          <w:lang w:val="fr-CH"/>
        </w:rPr>
        <w:t>L’</w:t>
      </w:r>
      <w:r w:rsidRPr="007A1E2D">
        <w:rPr>
          <w:spacing w:val="-2"/>
          <w:lang w:val="fr-CH"/>
        </w:rPr>
        <w:t>ex</w:t>
      </w:r>
      <w:r w:rsidR="00D46E30" w:rsidRPr="007A1E2D">
        <w:rPr>
          <w:spacing w:val="-2"/>
          <w:lang w:val="fr-CH"/>
        </w:rPr>
        <w:t>é</w:t>
      </w:r>
      <w:r w:rsidRPr="007A1E2D">
        <w:rPr>
          <w:spacing w:val="-2"/>
          <w:lang w:val="fr-CH"/>
        </w:rPr>
        <w:t xml:space="preserve">cution </w:t>
      </w:r>
      <w:r w:rsidR="00D46E30" w:rsidRPr="007A1E2D">
        <w:rPr>
          <w:spacing w:val="-2"/>
          <w:lang w:val="fr-CH"/>
        </w:rPr>
        <w:t xml:space="preserve">de ce Plan a permis de réduire considérablement l’utilisation des </w:t>
      </w:r>
      <w:r w:rsidRPr="007A1E2D">
        <w:rPr>
          <w:spacing w:val="-2"/>
          <w:lang w:val="fr-CH"/>
        </w:rPr>
        <w:t xml:space="preserve">pesticides </w:t>
      </w:r>
      <w:r w:rsidR="00D46E30" w:rsidRPr="007A1E2D">
        <w:rPr>
          <w:spacing w:val="-2"/>
          <w:lang w:val="fr-CH"/>
        </w:rPr>
        <w:t>et d’intensifier la lutte non chimique, et en particulier biologique, contre les parasites des cultures.</w:t>
      </w:r>
    </w:p>
    <w:p w:rsidR="008A7415" w:rsidRPr="0071782F" w:rsidRDefault="008A7415" w:rsidP="000E7C70">
      <w:pPr>
        <w:pStyle w:val="SingleTxtG"/>
        <w:ind w:left="1701"/>
        <w:rPr>
          <w:lang w:val="fr-CH"/>
        </w:rPr>
      </w:pPr>
      <w:r w:rsidRPr="0071782F">
        <w:rPr>
          <w:lang w:val="fr-CH"/>
        </w:rPr>
        <w:t>222.7.</w:t>
      </w:r>
      <w:r w:rsidRPr="0071782F">
        <w:rPr>
          <w:lang w:val="fr-CH"/>
        </w:rPr>
        <w:tab/>
      </w:r>
      <w:r w:rsidR="00D7423A" w:rsidRPr="0071782F">
        <w:rPr>
          <w:lang w:val="fr-CH"/>
        </w:rPr>
        <w:t>La lutte biologique contre les parasites des cultures à l’aide de moyens et facteurs biologiques a été appliquée à 1 999 000</w:t>
      </w:r>
      <w:r w:rsidR="00F071D1" w:rsidRPr="0071782F">
        <w:rPr>
          <w:lang w:val="fr-CH"/>
        </w:rPr>
        <w:t> h</w:t>
      </w:r>
      <w:r w:rsidR="009E6189">
        <w:rPr>
          <w:lang w:val="fr-CH"/>
        </w:rPr>
        <w:t>a</w:t>
      </w:r>
      <w:r w:rsidR="00D7423A" w:rsidRPr="0071782F">
        <w:rPr>
          <w:lang w:val="fr-CH"/>
        </w:rPr>
        <w:t xml:space="preserve"> en 20</w:t>
      </w:r>
      <w:r w:rsidR="00D3560C" w:rsidRPr="0071782F">
        <w:rPr>
          <w:lang w:val="fr-CH"/>
        </w:rPr>
        <w:t>08, contre 948 000</w:t>
      </w:r>
      <w:r w:rsidR="009E6189">
        <w:rPr>
          <w:lang w:val="fr-CH"/>
        </w:rPr>
        <w:t> </w:t>
      </w:r>
      <w:r w:rsidR="00F071D1" w:rsidRPr="0071782F">
        <w:rPr>
          <w:lang w:val="fr-CH"/>
        </w:rPr>
        <w:t>h</w:t>
      </w:r>
      <w:r w:rsidR="009E6189">
        <w:rPr>
          <w:lang w:val="fr-CH"/>
        </w:rPr>
        <w:t>a</w:t>
      </w:r>
      <w:r w:rsidRPr="0071782F">
        <w:rPr>
          <w:lang w:val="fr-CH"/>
        </w:rPr>
        <w:t xml:space="preserve"> </w:t>
      </w:r>
      <w:r w:rsidR="009E6189">
        <w:rPr>
          <w:lang w:val="fr-CH"/>
        </w:rPr>
        <w:t>en </w:t>
      </w:r>
      <w:r w:rsidR="00D7423A" w:rsidRPr="0071782F">
        <w:rPr>
          <w:lang w:val="fr-CH"/>
        </w:rPr>
        <w:t xml:space="preserve">2005, ce qui représente un taux de croissance moyen annuel de </w:t>
      </w:r>
      <w:r w:rsidRPr="0071782F">
        <w:rPr>
          <w:lang w:val="fr-CH"/>
        </w:rPr>
        <w:t>14</w:t>
      </w:r>
      <w:r w:rsidR="00D7423A" w:rsidRPr="0071782F">
        <w:rPr>
          <w:lang w:val="fr-CH"/>
        </w:rPr>
        <w:t>,</w:t>
      </w:r>
      <w:r w:rsidRPr="0071782F">
        <w:rPr>
          <w:lang w:val="fr-CH"/>
        </w:rPr>
        <w:t>5</w:t>
      </w:r>
      <w:r w:rsidR="007E5125" w:rsidRPr="0071782F">
        <w:rPr>
          <w:lang w:val="fr-CH"/>
        </w:rPr>
        <w:t>%</w:t>
      </w:r>
      <w:r w:rsidRPr="0071782F">
        <w:rPr>
          <w:lang w:val="fr-CH"/>
        </w:rPr>
        <w:t xml:space="preserve"> (</w:t>
      </w:r>
      <w:r w:rsidR="00D7423A" w:rsidRPr="0071782F">
        <w:rPr>
          <w:lang w:val="fr-CH"/>
        </w:rPr>
        <w:t>par rapport à l’année de référence)</w:t>
      </w:r>
      <w:r w:rsidRPr="0071782F">
        <w:rPr>
          <w:lang w:val="fr-CH"/>
        </w:rPr>
        <w:t xml:space="preserve">. </w:t>
      </w:r>
      <w:r w:rsidR="00D7423A" w:rsidRPr="0071782F">
        <w:rPr>
          <w:lang w:val="fr-CH"/>
        </w:rPr>
        <w:t>Les autres mesures prises à cette fin sont notamment les suivantes</w:t>
      </w:r>
      <w:r w:rsidR="008F7D33" w:rsidRPr="0071782F">
        <w:rPr>
          <w:lang w:val="fr-CH"/>
        </w:rPr>
        <w:t>:</w:t>
      </w:r>
    </w:p>
    <w:p w:rsidR="008A7415" w:rsidRPr="0071782F" w:rsidRDefault="008A7415" w:rsidP="000E7C70">
      <w:pPr>
        <w:pStyle w:val="SingleTxtG"/>
        <w:ind w:left="1701"/>
        <w:rPr>
          <w:lang w:val="fr-CH"/>
        </w:rPr>
      </w:pPr>
      <w:r w:rsidRPr="0071782F">
        <w:rPr>
          <w:lang w:val="fr-CH"/>
        </w:rPr>
        <w:t>222.8.</w:t>
      </w:r>
      <w:r w:rsidRPr="0071782F">
        <w:rPr>
          <w:lang w:val="fr-CH"/>
        </w:rPr>
        <w:tab/>
      </w:r>
      <w:r w:rsidR="005D6016" w:rsidRPr="0071782F">
        <w:rPr>
          <w:lang w:val="fr-CH"/>
        </w:rPr>
        <w:t xml:space="preserve">Enregistrement de </w:t>
      </w:r>
      <w:r w:rsidRPr="0071782F">
        <w:rPr>
          <w:lang w:val="fr-CH"/>
        </w:rPr>
        <w:t>11 n</w:t>
      </w:r>
      <w:r w:rsidR="005D6016" w:rsidRPr="0071782F">
        <w:rPr>
          <w:lang w:val="fr-CH"/>
        </w:rPr>
        <w:t xml:space="preserve">ouveaux </w:t>
      </w:r>
      <w:r w:rsidRPr="0071782F">
        <w:rPr>
          <w:lang w:val="fr-CH"/>
        </w:rPr>
        <w:t xml:space="preserve">agents </w:t>
      </w:r>
      <w:r w:rsidR="005D6016" w:rsidRPr="0071782F">
        <w:rPr>
          <w:lang w:val="fr-CH"/>
        </w:rPr>
        <w:t xml:space="preserve">de lutte non chimique contre les parasites qui affectent les produits de serre, les cultures d’été et les légumes </w:t>
      </w:r>
      <w:r w:rsidRPr="0071782F">
        <w:rPr>
          <w:lang w:val="fr-CH"/>
        </w:rPr>
        <w:t>(</w:t>
      </w:r>
      <w:r w:rsidR="005D6016" w:rsidRPr="0071782F">
        <w:rPr>
          <w:lang w:val="fr-CH"/>
        </w:rPr>
        <w:t>on notera que ces dernières années, six agents biologiques au total ont été enregistrés dans le pays</w:t>
      </w:r>
      <w:r w:rsidRPr="0071782F">
        <w:rPr>
          <w:lang w:val="fr-CH"/>
        </w:rPr>
        <w:t>)</w:t>
      </w:r>
      <w:r w:rsidR="000E7C70" w:rsidRPr="0071782F">
        <w:rPr>
          <w:lang w:val="fr-CH"/>
        </w:rPr>
        <w:t>.</w:t>
      </w:r>
    </w:p>
    <w:p w:rsidR="008A7415" w:rsidRPr="0071782F" w:rsidRDefault="008A7415" w:rsidP="000E7C70">
      <w:pPr>
        <w:pStyle w:val="SingleTxtG"/>
        <w:ind w:left="1701"/>
        <w:rPr>
          <w:lang w:val="fr-CH"/>
        </w:rPr>
      </w:pPr>
      <w:r w:rsidRPr="0071782F">
        <w:rPr>
          <w:lang w:val="fr-CH"/>
        </w:rPr>
        <w:t>222.9.</w:t>
      </w:r>
      <w:r w:rsidRPr="0071782F">
        <w:rPr>
          <w:lang w:val="fr-CH"/>
        </w:rPr>
        <w:tab/>
      </w:r>
      <w:r w:rsidR="0056515D" w:rsidRPr="0071782F">
        <w:rPr>
          <w:lang w:val="fr-CH"/>
        </w:rPr>
        <w:t xml:space="preserve">Accroissement du nombre des </w:t>
      </w:r>
      <w:r w:rsidRPr="0071782F">
        <w:rPr>
          <w:lang w:val="fr-CH"/>
        </w:rPr>
        <w:t>insectariums (</w:t>
      </w:r>
      <w:r w:rsidR="0056515D" w:rsidRPr="0071782F">
        <w:rPr>
          <w:lang w:val="fr-CH"/>
        </w:rPr>
        <w:t xml:space="preserve">centres de production d’agents biologiques) de </w:t>
      </w:r>
      <w:r w:rsidRPr="0071782F">
        <w:rPr>
          <w:lang w:val="fr-CH"/>
        </w:rPr>
        <w:t>147</w:t>
      </w:r>
      <w:r w:rsidR="007E5125" w:rsidRPr="0071782F">
        <w:rPr>
          <w:lang w:val="fr-CH"/>
        </w:rPr>
        <w:t>%</w:t>
      </w:r>
      <w:r w:rsidR="0056515D" w:rsidRPr="0071782F">
        <w:rPr>
          <w:lang w:val="fr-CH"/>
        </w:rPr>
        <w:t>, qui ont tous été cédés au secteur privé au cours des quatre années écoulées</w:t>
      </w:r>
      <w:r w:rsidR="000E7C70" w:rsidRPr="0071782F">
        <w:rPr>
          <w:lang w:val="fr-CH"/>
        </w:rPr>
        <w:t>.</w:t>
      </w:r>
    </w:p>
    <w:p w:rsidR="008A7415" w:rsidRPr="0071782F" w:rsidRDefault="008A7415" w:rsidP="001B3CED">
      <w:pPr>
        <w:pStyle w:val="SingleTxtG"/>
        <w:ind w:left="1701"/>
        <w:rPr>
          <w:lang w:val="fr-CH"/>
        </w:rPr>
      </w:pPr>
      <w:r w:rsidRPr="0071782F">
        <w:rPr>
          <w:lang w:val="fr-CH"/>
        </w:rPr>
        <w:t>222.10.</w:t>
      </w:r>
      <w:r w:rsidR="000E7C70" w:rsidRPr="0071782F">
        <w:rPr>
          <w:lang w:val="fr-CH"/>
        </w:rPr>
        <w:t xml:space="preserve"> </w:t>
      </w:r>
      <w:r w:rsidRPr="0071782F">
        <w:rPr>
          <w:lang w:val="fr-CH"/>
        </w:rPr>
        <w:t xml:space="preserve">Extension </w:t>
      </w:r>
      <w:r w:rsidR="003123FD" w:rsidRPr="0071782F">
        <w:rPr>
          <w:lang w:val="fr-CH"/>
        </w:rPr>
        <w:t>de la gestion intégrée de la lutte antiparasitaire menée à l’aide de substances et de matériel non chimiques, appliquée à 900 000</w:t>
      </w:r>
      <w:r w:rsidR="00F071D1" w:rsidRPr="0071782F">
        <w:rPr>
          <w:lang w:val="fr-CH"/>
        </w:rPr>
        <w:t> h</w:t>
      </w:r>
      <w:r w:rsidR="005E329A">
        <w:rPr>
          <w:lang w:val="fr-CH"/>
        </w:rPr>
        <w:t>a</w:t>
      </w:r>
      <w:r w:rsidR="003123FD" w:rsidRPr="0071782F">
        <w:rPr>
          <w:lang w:val="fr-CH"/>
        </w:rPr>
        <w:t xml:space="preserve"> en 2008, contre 200</w:t>
      </w:r>
      <w:r w:rsidR="00B00574">
        <w:rPr>
          <w:lang w:val="fr-CH"/>
        </w:rPr>
        <w:t> </w:t>
      </w:r>
      <w:r w:rsidRPr="0071782F">
        <w:rPr>
          <w:lang w:val="fr-CH"/>
        </w:rPr>
        <w:t>000</w:t>
      </w:r>
      <w:r w:rsidR="00F071D1" w:rsidRPr="0071782F">
        <w:rPr>
          <w:lang w:val="fr-CH"/>
        </w:rPr>
        <w:t> h</w:t>
      </w:r>
      <w:r w:rsidR="005E329A">
        <w:rPr>
          <w:lang w:val="fr-CH"/>
        </w:rPr>
        <w:t>a</w:t>
      </w:r>
      <w:r w:rsidRPr="0071782F">
        <w:rPr>
          <w:lang w:val="fr-CH"/>
        </w:rPr>
        <w:t xml:space="preserve"> </w:t>
      </w:r>
      <w:r w:rsidR="003123FD" w:rsidRPr="0071782F">
        <w:rPr>
          <w:lang w:val="fr-CH"/>
        </w:rPr>
        <w:t xml:space="preserve">en 2005, ce qui représente une augmentation de </w:t>
      </w:r>
      <w:r w:rsidRPr="0071782F">
        <w:rPr>
          <w:lang w:val="fr-CH"/>
        </w:rPr>
        <w:t>350</w:t>
      </w:r>
      <w:r w:rsidR="007E5125" w:rsidRPr="0071782F">
        <w:rPr>
          <w:lang w:val="fr-CH"/>
        </w:rPr>
        <w:t>%</w:t>
      </w:r>
      <w:r w:rsidR="000E7C70" w:rsidRPr="0071782F">
        <w:rPr>
          <w:lang w:val="fr-CH"/>
        </w:rPr>
        <w:t>.</w:t>
      </w:r>
    </w:p>
    <w:p w:rsidR="008A7415" w:rsidRPr="0071782F" w:rsidRDefault="008A7415" w:rsidP="001B3CED">
      <w:pPr>
        <w:pStyle w:val="SingleTxtG"/>
        <w:ind w:left="1701"/>
        <w:rPr>
          <w:lang w:val="fr-CH"/>
        </w:rPr>
      </w:pPr>
      <w:r w:rsidRPr="0071782F">
        <w:rPr>
          <w:lang w:val="fr-CH"/>
        </w:rPr>
        <w:t>222.11.</w:t>
      </w:r>
      <w:r w:rsidR="000E7C70" w:rsidRPr="0071782F">
        <w:rPr>
          <w:lang w:val="fr-CH"/>
        </w:rPr>
        <w:t xml:space="preserve"> </w:t>
      </w:r>
      <w:r w:rsidR="002F527E" w:rsidRPr="0071782F">
        <w:rPr>
          <w:lang w:val="fr-CH"/>
        </w:rPr>
        <w:t xml:space="preserve">Élimination complète de la fumigation aérienne des céréales en 2006, alors qu’elle était utilisée sur environ un </w:t>
      </w:r>
      <w:r w:rsidRPr="0071782F">
        <w:rPr>
          <w:lang w:val="fr-CH"/>
        </w:rPr>
        <w:t xml:space="preserve">million </w:t>
      </w:r>
      <w:r w:rsidR="002F527E" w:rsidRPr="0071782F">
        <w:rPr>
          <w:lang w:val="fr-CH"/>
        </w:rPr>
        <w:t>d’</w:t>
      </w:r>
      <w:r w:rsidRPr="0071782F">
        <w:rPr>
          <w:lang w:val="fr-CH"/>
        </w:rPr>
        <w:t xml:space="preserve">hectares </w:t>
      </w:r>
      <w:r w:rsidR="002F527E" w:rsidRPr="0071782F">
        <w:rPr>
          <w:lang w:val="fr-CH"/>
        </w:rPr>
        <w:t>e</w:t>
      </w:r>
      <w:r w:rsidRPr="0071782F">
        <w:rPr>
          <w:lang w:val="fr-CH"/>
        </w:rPr>
        <w:t>n 2005</w:t>
      </w:r>
      <w:r w:rsidR="000E7C70" w:rsidRPr="0071782F">
        <w:rPr>
          <w:lang w:val="fr-CH"/>
        </w:rPr>
        <w:t>.</w:t>
      </w:r>
    </w:p>
    <w:p w:rsidR="008A7415" w:rsidRPr="0071782F" w:rsidRDefault="008A7415" w:rsidP="000E7C70">
      <w:pPr>
        <w:pStyle w:val="SingleTxtG"/>
        <w:ind w:left="1701"/>
        <w:rPr>
          <w:lang w:val="fr-CH"/>
        </w:rPr>
      </w:pPr>
      <w:r w:rsidRPr="0071782F">
        <w:rPr>
          <w:lang w:val="fr-CH"/>
        </w:rPr>
        <w:t>222.12.</w:t>
      </w:r>
      <w:r w:rsidR="000E7C70" w:rsidRPr="0071782F">
        <w:rPr>
          <w:lang w:val="fr-CH"/>
        </w:rPr>
        <w:t xml:space="preserve"> </w:t>
      </w:r>
      <w:r w:rsidRPr="0071782F">
        <w:rPr>
          <w:lang w:val="fr-CH"/>
        </w:rPr>
        <w:t>R</w:t>
      </w:r>
      <w:r w:rsidR="002F527E" w:rsidRPr="0071782F">
        <w:rPr>
          <w:lang w:val="fr-CH"/>
        </w:rPr>
        <w:t>é</w:t>
      </w:r>
      <w:r w:rsidRPr="0071782F">
        <w:rPr>
          <w:lang w:val="fr-CH"/>
        </w:rPr>
        <w:t xml:space="preserve">duction </w:t>
      </w:r>
      <w:r w:rsidR="002F527E" w:rsidRPr="0071782F">
        <w:rPr>
          <w:lang w:val="fr-CH"/>
        </w:rPr>
        <w:t>de la fumigation aérie</w:t>
      </w:r>
      <w:r w:rsidR="00F071D1" w:rsidRPr="0071782F">
        <w:rPr>
          <w:lang w:val="fr-CH"/>
        </w:rPr>
        <w:t>nne des palmiers, ramenée de 36 </w:t>
      </w:r>
      <w:r w:rsidRPr="0071782F">
        <w:rPr>
          <w:lang w:val="fr-CH"/>
        </w:rPr>
        <w:t>000</w:t>
      </w:r>
      <w:r w:rsidR="00F071D1" w:rsidRPr="0071782F">
        <w:rPr>
          <w:lang w:val="fr-CH"/>
        </w:rPr>
        <w:t> h</w:t>
      </w:r>
      <w:r w:rsidR="00B118F2">
        <w:rPr>
          <w:lang w:val="fr-CH"/>
        </w:rPr>
        <w:t>a</w:t>
      </w:r>
      <w:r w:rsidRPr="0071782F">
        <w:rPr>
          <w:lang w:val="fr-CH"/>
        </w:rPr>
        <w:t xml:space="preserve"> </w:t>
      </w:r>
      <w:r w:rsidR="002F527E" w:rsidRPr="0071782F">
        <w:rPr>
          <w:lang w:val="fr-CH"/>
        </w:rPr>
        <w:t>e</w:t>
      </w:r>
      <w:r w:rsidR="00B118F2">
        <w:rPr>
          <w:lang w:val="fr-CH"/>
        </w:rPr>
        <w:t>n </w:t>
      </w:r>
      <w:r w:rsidRPr="0071782F">
        <w:rPr>
          <w:lang w:val="fr-CH"/>
        </w:rPr>
        <w:t xml:space="preserve">2004 </w:t>
      </w:r>
      <w:r w:rsidR="002F527E" w:rsidRPr="0071782F">
        <w:rPr>
          <w:lang w:val="fr-CH"/>
        </w:rPr>
        <w:t>à 4</w:t>
      </w:r>
      <w:r w:rsidR="00B118F2">
        <w:rPr>
          <w:lang w:val="fr-CH"/>
        </w:rPr>
        <w:t> </w:t>
      </w:r>
      <w:r w:rsidRPr="0071782F">
        <w:rPr>
          <w:lang w:val="fr-CH"/>
        </w:rPr>
        <w:t>000</w:t>
      </w:r>
      <w:r w:rsidR="00F071D1" w:rsidRPr="0071782F">
        <w:rPr>
          <w:lang w:val="fr-CH"/>
        </w:rPr>
        <w:t> h</w:t>
      </w:r>
      <w:r w:rsidR="005E329A">
        <w:rPr>
          <w:lang w:val="fr-CH"/>
        </w:rPr>
        <w:t>a</w:t>
      </w:r>
      <w:r w:rsidRPr="0071782F">
        <w:rPr>
          <w:lang w:val="fr-CH"/>
        </w:rPr>
        <w:t xml:space="preserve"> </w:t>
      </w:r>
      <w:r w:rsidR="002F527E" w:rsidRPr="0071782F">
        <w:rPr>
          <w:lang w:val="fr-CH"/>
        </w:rPr>
        <w:t>e</w:t>
      </w:r>
      <w:r w:rsidRPr="0071782F">
        <w:rPr>
          <w:lang w:val="fr-CH"/>
        </w:rPr>
        <w:t>n 2006</w:t>
      </w:r>
      <w:r w:rsidR="002F527E" w:rsidRPr="0071782F">
        <w:rPr>
          <w:lang w:val="fr-CH"/>
        </w:rPr>
        <w:t>, afin de protéger la santé des produits et l’environnement</w:t>
      </w:r>
      <w:r w:rsidR="000E7C70" w:rsidRPr="0071782F">
        <w:rPr>
          <w:lang w:val="fr-CH"/>
        </w:rPr>
        <w:t>.</w:t>
      </w:r>
    </w:p>
    <w:p w:rsidR="008A7415" w:rsidRPr="0071782F" w:rsidRDefault="008A7415" w:rsidP="000E7C70">
      <w:pPr>
        <w:pStyle w:val="SingleTxtG"/>
        <w:ind w:left="1701"/>
        <w:rPr>
          <w:lang w:val="fr-CH"/>
        </w:rPr>
      </w:pPr>
      <w:r w:rsidRPr="0071782F">
        <w:rPr>
          <w:lang w:val="fr-CH"/>
        </w:rPr>
        <w:t>222.13.</w:t>
      </w:r>
      <w:r w:rsidR="000E7C70" w:rsidRPr="0071782F">
        <w:rPr>
          <w:lang w:val="fr-CH"/>
        </w:rPr>
        <w:t xml:space="preserve"> </w:t>
      </w:r>
      <w:r w:rsidR="002F527E" w:rsidRPr="0071782F">
        <w:rPr>
          <w:lang w:val="fr-CH"/>
        </w:rPr>
        <w:t>É</w:t>
      </w:r>
      <w:r w:rsidRPr="0071782F">
        <w:rPr>
          <w:lang w:val="fr-CH"/>
        </w:rPr>
        <w:t xml:space="preserve">limination </w:t>
      </w:r>
      <w:r w:rsidR="002F527E" w:rsidRPr="0071782F">
        <w:rPr>
          <w:lang w:val="fr-CH"/>
        </w:rPr>
        <w:t xml:space="preserve">des subventions </w:t>
      </w:r>
      <w:r w:rsidRPr="0071782F">
        <w:rPr>
          <w:lang w:val="fr-CH"/>
        </w:rPr>
        <w:t>direct</w:t>
      </w:r>
      <w:r w:rsidR="002F527E" w:rsidRPr="0071782F">
        <w:rPr>
          <w:lang w:val="fr-CH"/>
        </w:rPr>
        <w:t>es versées depuis 28</w:t>
      </w:r>
      <w:r w:rsidR="00D82C96" w:rsidRPr="0071782F">
        <w:rPr>
          <w:lang w:val="fr-CH"/>
        </w:rPr>
        <w:t> ans</w:t>
      </w:r>
      <w:r w:rsidR="002F527E" w:rsidRPr="0071782F">
        <w:rPr>
          <w:lang w:val="fr-CH"/>
        </w:rPr>
        <w:t xml:space="preserve"> au titre des pesticides, à hauteur de </w:t>
      </w:r>
      <w:r w:rsidRPr="0071782F">
        <w:rPr>
          <w:lang w:val="fr-CH"/>
        </w:rPr>
        <w:t>130</w:t>
      </w:r>
      <w:r w:rsidR="00097CDB" w:rsidRPr="0071782F">
        <w:rPr>
          <w:lang w:val="fr-CH"/>
        </w:rPr>
        <w:t> millions</w:t>
      </w:r>
      <w:r w:rsidRPr="0071782F">
        <w:rPr>
          <w:lang w:val="fr-CH"/>
        </w:rPr>
        <w:t xml:space="preserve"> </w:t>
      </w:r>
      <w:r w:rsidR="00ED4643" w:rsidRPr="0071782F">
        <w:rPr>
          <w:lang w:val="fr-CH"/>
        </w:rPr>
        <w:t xml:space="preserve">de </w:t>
      </w:r>
      <w:r w:rsidRPr="0071782F">
        <w:rPr>
          <w:lang w:val="fr-CH"/>
        </w:rPr>
        <w:t xml:space="preserve">dollars </w:t>
      </w:r>
      <w:r w:rsidR="002F527E" w:rsidRPr="0071782F">
        <w:rPr>
          <w:lang w:val="fr-CH"/>
        </w:rPr>
        <w:t>par an, et allocation d’une partie de ce montant à la lutte biologique et non chimique</w:t>
      </w:r>
      <w:r w:rsidRPr="0071782F">
        <w:rPr>
          <w:lang w:val="fr-CH"/>
        </w:rPr>
        <w:t>.</w:t>
      </w:r>
    </w:p>
    <w:p w:rsidR="008A7415" w:rsidRPr="0071782F" w:rsidRDefault="008A7415" w:rsidP="000E7C70">
      <w:pPr>
        <w:pStyle w:val="SingleTxtG"/>
        <w:ind w:left="1701"/>
        <w:rPr>
          <w:lang w:val="fr-CH"/>
        </w:rPr>
      </w:pPr>
      <w:r w:rsidRPr="0071782F">
        <w:rPr>
          <w:lang w:val="fr-CH"/>
        </w:rPr>
        <w:t>222.14.</w:t>
      </w:r>
      <w:r w:rsidR="000E7C70" w:rsidRPr="0071782F">
        <w:rPr>
          <w:lang w:val="fr-CH"/>
        </w:rPr>
        <w:t xml:space="preserve"> </w:t>
      </w:r>
      <w:r w:rsidR="002F527E" w:rsidRPr="0071782F">
        <w:rPr>
          <w:lang w:val="fr-CH"/>
        </w:rPr>
        <w:t>Élimination de huit</w:t>
      </w:r>
      <w:r w:rsidRPr="0071782F">
        <w:rPr>
          <w:lang w:val="fr-CH"/>
        </w:rPr>
        <w:t xml:space="preserve"> pesticides</w:t>
      </w:r>
      <w:r w:rsidR="002F527E" w:rsidRPr="0071782F">
        <w:rPr>
          <w:lang w:val="fr-CH"/>
        </w:rPr>
        <w:t xml:space="preserve"> à haut risque</w:t>
      </w:r>
      <w:r w:rsidR="000E7C70" w:rsidRPr="0071782F">
        <w:rPr>
          <w:lang w:val="fr-CH"/>
        </w:rPr>
        <w:t>.</w:t>
      </w:r>
    </w:p>
    <w:p w:rsidR="008A7415" w:rsidRPr="0071782F" w:rsidRDefault="008A7415" w:rsidP="000E7C70">
      <w:pPr>
        <w:pStyle w:val="SingleTxtG"/>
        <w:ind w:left="1701"/>
        <w:rPr>
          <w:lang w:val="fr-CH"/>
        </w:rPr>
      </w:pPr>
      <w:r w:rsidRPr="0071782F">
        <w:rPr>
          <w:lang w:val="fr-CH"/>
        </w:rPr>
        <w:t>222.15.</w:t>
      </w:r>
      <w:r w:rsidR="000E7C70" w:rsidRPr="0071782F">
        <w:rPr>
          <w:lang w:val="fr-CH"/>
        </w:rPr>
        <w:t xml:space="preserve"> </w:t>
      </w:r>
      <w:r w:rsidRPr="0071782F">
        <w:rPr>
          <w:lang w:val="fr-CH"/>
        </w:rPr>
        <w:t>R</w:t>
      </w:r>
      <w:r w:rsidR="002F527E" w:rsidRPr="0071782F">
        <w:rPr>
          <w:lang w:val="fr-CH"/>
        </w:rPr>
        <w:t>é</w:t>
      </w:r>
      <w:r w:rsidRPr="0071782F">
        <w:rPr>
          <w:lang w:val="fr-CH"/>
        </w:rPr>
        <w:t xml:space="preserve">duction </w:t>
      </w:r>
      <w:r w:rsidR="002F527E" w:rsidRPr="0071782F">
        <w:rPr>
          <w:lang w:val="fr-CH"/>
        </w:rPr>
        <w:t xml:space="preserve">de la lutte chimique contre les parasites dans les champs de céréales, les superficies concernées étant ramenées de plus de </w:t>
      </w:r>
      <w:r w:rsidRPr="0071782F">
        <w:rPr>
          <w:lang w:val="fr-CH"/>
        </w:rPr>
        <w:t>1</w:t>
      </w:r>
      <w:r w:rsidR="002F527E" w:rsidRPr="0071782F">
        <w:rPr>
          <w:lang w:val="fr-CH"/>
        </w:rPr>
        <w:t>,</w:t>
      </w:r>
      <w:r w:rsidRPr="0071782F">
        <w:rPr>
          <w:lang w:val="fr-CH"/>
        </w:rPr>
        <w:t>7</w:t>
      </w:r>
      <w:r w:rsidR="007A1E2D">
        <w:rPr>
          <w:lang w:val="fr-CH"/>
        </w:rPr>
        <w:t> </w:t>
      </w:r>
      <w:r w:rsidRPr="0071782F">
        <w:rPr>
          <w:lang w:val="fr-CH"/>
        </w:rPr>
        <w:t xml:space="preserve">million </w:t>
      </w:r>
      <w:r w:rsidR="002F527E" w:rsidRPr="0071782F">
        <w:rPr>
          <w:lang w:val="fr-CH"/>
        </w:rPr>
        <w:t>d’</w:t>
      </w:r>
      <w:r w:rsidRPr="0071782F">
        <w:rPr>
          <w:lang w:val="fr-CH"/>
        </w:rPr>
        <w:t xml:space="preserve">hectares </w:t>
      </w:r>
      <w:r w:rsidR="002F527E" w:rsidRPr="0071782F">
        <w:rPr>
          <w:lang w:val="fr-CH"/>
        </w:rPr>
        <w:t xml:space="preserve">à moins de </w:t>
      </w:r>
      <w:r w:rsidRPr="0071782F">
        <w:rPr>
          <w:lang w:val="fr-CH"/>
        </w:rPr>
        <w:t>900</w:t>
      </w:r>
      <w:r w:rsidR="003D43D2">
        <w:rPr>
          <w:lang w:val="fr-CH"/>
        </w:rPr>
        <w:t> </w:t>
      </w:r>
      <w:r w:rsidRPr="0071782F">
        <w:rPr>
          <w:lang w:val="fr-CH"/>
        </w:rPr>
        <w:t>000</w:t>
      </w:r>
      <w:r w:rsidR="00F071D1" w:rsidRPr="0071782F">
        <w:rPr>
          <w:lang w:val="fr-CH"/>
        </w:rPr>
        <w:t> h</w:t>
      </w:r>
      <w:r w:rsidR="005E329A">
        <w:rPr>
          <w:lang w:val="fr-CH"/>
        </w:rPr>
        <w:t>a</w:t>
      </w:r>
      <w:r w:rsidRPr="0071782F">
        <w:rPr>
          <w:lang w:val="fr-CH"/>
        </w:rPr>
        <w:t>.</w:t>
      </w:r>
    </w:p>
    <w:p w:rsidR="008A7415" w:rsidRPr="0071782F" w:rsidRDefault="008A7415" w:rsidP="00204410">
      <w:pPr>
        <w:pStyle w:val="H23G"/>
        <w:rPr>
          <w:lang w:val="fr-CH"/>
        </w:rPr>
      </w:pPr>
      <w:r w:rsidRPr="0071782F">
        <w:rPr>
          <w:lang w:val="fr-CH"/>
        </w:rPr>
        <w:tab/>
      </w:r>
      <w:r w:rsidRPr="0071782F">
        <w:rPr>
          <w:lang w:val="fr-CH"/>
        </w:rPr>
        <w:tab/>
      </w:r>
      <w:r w:rsidR="002F527E" w:rsidRPr="0071782F">
        <w:rPr>
          <w:lang w:val="fr-CH"/>
        </w:rPr>
        <w:t xml:space="preserve">Mesures vétérinaires </w:t>
      </w:r>
    </w:p>
    <w:p w:rsidR="008A7415" w:rsidRPr="0071782F" w:rsidRDefault="008A7415" w:rsidP="00204410">
      <w:pPr>
        <w:pStyle w:val="SingleTxtG"/>
        <w:rPr>
          <w:lang w:val="fr-CH"/>
        </w:rPr>
      </w:pPr>
      <w:r w:rsidRPr="0071782F">
        <w:rPr>
          <w:lang w:val="fr-CH"/>
        </w:rPr>
        <w:t>223.</w:t>
      </w:r>
      <w:r w:rsidRPr="0071782F">
        <w:rPr>
          <w:lang w:val="fr-CH"/>
        </w:rPr>
        <w:tab/>
      </w:r>
      <w:r w:rsidR="002F527E" w:rsidRPr="0071782F">
        <w:rPr>
          <w:lang w:val="fr-CH"/>
        </w:rPr>
        <w:t>Chaque année, les maladies animales causent de graves dommages aux produits d’origine animale</w:t>
      </w:r>
      <w:r w:rsidRPr="0071782F">
        <w:rPr>
          <w:lang w:val="fr-CH"/>
        </w:rPr>
        <w:t xml:space="preserve">. </w:t>
      </w:r>
      <w:r w:rsidR="002F527E" w:rsidRPr="0071782F">
        <w:rPr>
          <w:lang w:val="fr-CH"/>
        </w:rPr>
        <w:t>Par exemple, selon une enquête réalisée par l’Office international des épizooties, les dommages causés par la fièvre aphteuse dans les pays touchés ont été responsables de 25</w:t>
      </w:r>
      <w:r w:rsidR="007E5125" w:rsidRPr="0071782F">
        <w:rPr>
          <w:lang w:val="fr-CH"/>
        </w:rPr>
        <w:t>%</w:t>
      </w:r>
      <w:r w:rsidR="002F527E" w:rsidRPr="0071782F">
        <w:rPr>
          <w:lang w:val="fr-CH"/>
        </w:rPr>
        <w:t xml:space="preserve"> des avortements parmi les femelles enceintes et de </w:t>
      </w:r>
      <w:r w:rsidRPr="0071782F">
        <w:rPr>
          <w:lang w:val="fr-CH"/>
        </w:rPr>
        <w:t>5</w:t>
      </w:r>
      <w:r w:rsidR="002F527E" w:rsidRPr="0071782F">
        <w:rPr>
          <w:lang w:val="fr-CH"/>
        </w:rPr>
        <w:t>,</w:t>
      </w:r>
      <w:r w:rsidRPr="0071782F">
        <w:rPr>
          <w:lang w:val="fr-CH"/>
        </w:rPr>
        <w:t>5</w:t>
      </w:r>
      <w:r w:rsidR="007E5125" w:rsidRPr="0071782F">
        <w:rPr>
          <w:lang w:val="fr-CH"/>
        </w:rPr>
        <w:t>%</w:t>
      </w:r>
      <w:r w:rsidRPr="0071782F">
        <w:rPr>
          <w:lang w:val="fr-CH"/>
        </w:rPr>
        <w:t xml:space="preserve"> </w:t>
      </w:r>
      <w:r w:rsidR="002F527E" w:rsidRPr="0071782F">
        <w:rPr>
          <w:lang w:val="fr-CH"/>
        </w:rPr>
        <w:t>des décès parmi les animaux malades.</w:t>
      </w:r>
    </w:p>
    <w:p w:rsidR="008A7415" w:rsidRPr="0071782F" w:rsidRDefault="008A7415" w:rsidP="00204410">
      <w:pPr>
        <w:pStyle w:val="SingleTxtG"/>
        <w:rPr>
          <w:lang w:val="fr-CH"/>
        </w:rPr>
      </w:pPr>
      <w:r w:rsidRPr="0071782F">
        <w:rPr>
          <w:lang w:val="fr-CH"/>
        </w:rPr>
        <w:t>224.</w:t>
      </w:r>
      <w:r w:rsidRPr="0071782F">
        <w:rPr>
          <w:lang w:val="fr-CH"/>
        </w:rPr>
        <w:tab/>
      </w:r>
      <w:r w:rsidR="002F527E" w:rsidRPr="0071782F">
        <w:rPr>
          <w:lang w:val="fr-CH"/>
        </w:rPr>
        <w:t xml:space="preserve">Parmi les mesures vétérinaires les plus </w:t>
      </w:r>
      <w:r w:rsidRPr="0071782F">
        <w:rPr>
          <w:lang w:val="fr-CH"/>
        </w:rPr>
        <w:t>important</w:t>
      </w:r>
      <w:r w:rsidR="002F527E" w:rsidRPr="0071782F">
        <w:rPr>
          <w:lang w:val="fr-CH"/>
        </w:rPr>
        <w:t>es prises par les autorités compétentes, on peut mentionner les suivantes</w:t>
      </w:r>
      <w:r w:rsidR="008F7D33" w:rsidRPr="0071782F">
        <w:rPr>
          <w:lang w:val="fr-CH"/>
        </w:rPr>
        <w:t>:</w:t>
      </w:r>
      <w:r w:rsidR="00D36718">
        <w:rPr>
          <w:lang w:val="fr-CH"/>
        </w:rPr>
        <w:t xml:space="preserve"> </w:t>
      </w:r>
    </w:p>
    <w:p w:rsidR="008A7415" w:rsidRPr="0071782F" w:rsidRDefault="008A7415" w:rsidP="000E7C70">
      <w:pPr>
        <w:pStyle w:val="SingleTxtG"/>
        <w:ind w:left="1701"/>
        <w:rPr>
          <w:lang w:val="fr-CH"/>
        </w:rPr>
      </w:pPr>
      <w:r w:rsidRPr="0071782F">
        <w:rPr>
          <w:lang w:val="fr-CH"/>
        </w:rPr>
        <w:t>224.1.</w:t>
      </w:r>
      <w:r w:rsidRPr="0071782F">
        <w:rPr>
          <w:lang w:val="fr-CH"/>
        </w:rPr>
        <w:tab/>
        <w:t xml:space="preserve">Extension </w:t>
      </w:r>
      <w:r w:rsidR="002F527E" w:rsidRPr="0071782F">
        <w:rPr>
          <w:lang w:val="fr-CH"/>
        </w:rPr>
        <w:t xml:space="preserve">de la </w:t>
      </w:r>
      <w:r w:rsidRPr="0071782F">
        <w:rPr>
          <w:lang w:val="fr-CH"/>
        </w:rPr>
        <w:t xml:space="preserve">protection </w:t>
      </w:r>
      <w:r w:rsidR="002F527E" w:rsidRPr="0071782F">
        <w:rPr>
          <w:lang w:val="fr-CH"/>
        </w:rPr>
        <w:t>contre les maladies communes à l’homme et aux animaux de</w:t>
      </w:r>
      <w:r w:rsidRPr="0071782F">
        <w:rPr>
          <w:lang w:val="fr-CH"/>
        </w:rPr>
        <w:t xml:space="preserve"> 53</w:t>
      </w:r>
      <w:r w:rsidR="002F527E" w:rsidRPr="0071782F">
        <w:rPr>
          <w:lang w:val="fr-CH"/>
        </w:rPr>
        <w:t>,</w:t>
      </w:r>
      <w:r w:rsidRPr="0071782F">
        <w:rPr>
          <w:lang w:val="fr-CH"/>
        </w:rPr>
        <w:t>9</w:t>
      </w:r>
      <w:r w:rsidR="007E5125" w:rsidRPr="0071782F">
        <w:rPr>
          <w:lang w:val="fr-CH"/>
        </w:rPr>
        <w:t>%</w:t>
      </w:r>
      <w:r w:rsidRPr="0071782F">
        <w:rPr>
          <w:lang w:val="fr-CH"/>
        </w:rPr>
        <w:t xml:space="preserve"> </w:t>
      </w:r>
      <w:r w:rsidR="002F527E" w:rsidRPr="0071782F">
        <w:rPr>
          <w:lang w:val="fr-CH"/>
        </w:rPr>
        <w:t>e</w:t>
      </w:r>
      <w:r w:rsidRPr="0071782F">
        <w:rPr>
          <w:lang w:val="fr-CH"/>
        </w:rPr>
        <w:t xml:space="preserve">n 2004 </w:t>
      </w:r>
      <w:r w:rsidR="002F527E" w:rsidRPr="0071782F">
        <w:rPr>
          <w:lang w:val="fr-CH"/>
        </w:rPr>
        <w:t>à</w:t>
      </w:r>
      <w:r w:rsidRPr="0071782F">
        <w:rPr>
          <w:lang w:val="fr-CH"/>
        </w:rPr>
        <w:t xml:space="preserve"> 82</w:t>
      </w:r>
      <w:r w:rsidR="007E5125" w:rsidRPr="0071782F">
        <w:rPr>
          <w:lang w:val="fr-CH"/>
        </w:rPr>
        <w:t>%</w:t>
      </w:r>
      <w:r w:rsidR="002F527E" w:rsidRPr="0071782F">
        <w:rPr>
          <w:lang w:val="fr-CH"/>
        </w:rPr>
        <w:t xml:space="preserve"> e</w:t>
      </w:r>
      <w:r w:rsidRPr="0071782F">
        <w:rPr>
          <w:lang w:val="fr-CH"/>
        </w:rPr>
        <w:t>n 2008</w:t>
      </w:r>
      <w:r w:rsidR="002F527E" w:rsidRPr="0071782F">
        <w:rPr>
          <w:lang w:val="fr-CH"/>
        </w:rPr>
        <w:t xml:space="preserve">, soit un taux de croissance moyen annuel de </w:t>
      </w:r>
      <w:r w:rsidRPr="0071782F">
        <w:rPr>
          <w:lang w:val="fr-CH"/>
        </w:rPr>
        <w:t>11</w:t>
      </w:r>
      <w:r w:rsidR="002F527E" w:rsidRPr="0071782F">
        <w:rPr>
          <w:lang w:val="fr-CH"/>
        </w:rPr>
        <w:t>,</w:t>
      </w:r>
      <w:r w:rsidR="000E7C70" w:rsidRPr="0071782F">
        <w:rPr>
          <w:lang w:val="fr-CH"/>
        </w:rPr>
        <w:t>1</w:t>
      </w:r>
      <w:r w:rsidR="007E5125" w:rsidRPr="0071782F">
        <w:rPr>
          <w:lang w:val="fr-CH"/>
        </w:rPr>
        <w:t>%</w:t>
      </w:r>
      <w:r w:rsidR="000E7C70" w:rsidRPr="0071782F">
        <w:rPr>
          <w:lang w:val="fr-CH"/>
        </w:rPr>
        <w:t>.</w:t>
      </w:r>
    </w:p>
    <w:p w:rsidR="008A7415" w:rsidRPr="0071782F" w:rsidRDefault="008A7415" w:rsidP="000E7C70">
      <w:pPr>
        <w:pStyle w:val="SingleTxtG"/>
        <w:ind w:left="1701"/>
        <w:rPr>
          <w:lang w:val="fr-CH"/>
        </w:rPr>
      </w:pPr>
      <w:r w:rsidRPr="0071782F">
        <w:rPr>
          <w:lang w:val="fr-CH"/>
        </w:rPr>
        <w:t>224.2.</w:t>
      </w:r>
      <w:r w:rsidRPr="0071782F">
        <w:rPr>
          <w:lang w:val="fr-CH"/>
        </w:rPr>
        <w:tab/>
        <w:t xml:space="preserve">Extension </w:t>
      </w:r>
      <w:r w:rsidR="002F527E" w:rsidRPr="0071782F">
        <w:rPr>
          <w:lang w:val="fr-CH"/>
        </w:rPr>
        <w:t xml:space="preserve">de la surveillance et du suivi des produits animaux et halieutiques crus de </w:t>
      </w:r>
      <w:r w:rsidRPr="0071782F">
        <w:rPr>
          <w:lang w:val="fr-CH"/>
        </w:rPr>
        <w:t>60</w:t>
      </w:r>
      <w:r w:rsidR="002F527E" w:rsidRPr="0071782F">
        <w:rPr>
          <w:lang w:val="fr-CH"/>
        </w:rPr>
        <w:t>,</w:t>
      </w:r>
      <w:r w:rsidRPr="0071782F">
        <w:rPr>
          <w:lang w:val="fr-CH"/>
        </w:rPr>
        <w:t>4</w:t>
      </w:r>
      <w:r w:rsidR="007E5125" w:rsidRPr="0071782F">
        <w:rPr>
          <w:lang w:val="fr-CH"/>
        </w:rPr>
        <w:t>%</w:t>
      </w:r>
      <w:r w:rsidRPr="0071782F">
        <w:rPr>
          <w:lang w:val="fr-CH"/>
        </w:rPr>
        <w:t xml:space="preserve"> </w:t>
      </w:r>
      <w:r w:rsidR="002F527E" w:rsidRPr="0071782F">
        <w:rPr>
          <w:lang w:val="fr-CH"/>
        </w:rPr>
        <w:t>e</w:t>
      </w:r>
      <w:r w:rsidRPr="0071782F">
        <w:rPr>
          <w:lang w:val="fr-CH"/>
        </w:rPr>
        <w:t xml:space="preserve">n 2004 </w:t>
      </w:r>
      <w:r w:rsidR="002F527E" w:rsidRPr="0071782F">
        <w:rPr>
          <w:lang w:val="fr-CH"/>
        </w:rPr>
        <w:t>à</w:t>
      </w:r>
      <w:r w:rsidRPr="0071782F">
        <w:rPr>
          <w:lang w:val="fr-CH"/>
        </w:rPr>
        <w:t xml:space="preserve"> 73</w:t>
      </w:r>
      <w:r w:rsidR="002F527E" w:rsidRPr="0071782F">
        <w:rPr>
          <w:lang w:val="fr-CH"/>
        </w:rPr>
        <w:t>,</w:t>
      </w:r>
      <w:r w:rsidRPr="0071782F">
        <w:rPr>
          <w:lang w:val="fr-CH"/>
        </w:rPr>
        <w:t>4</w:t>
      </w:r>
      <w:r w:rsidR="007E5125" w:rsidRPr="0071782F">
        <w:rPr>
          <w:lang w:val="fr-CH"/>
        </w:rPr>
        <w:t>%</w:t>
      </w:r>
      <w:r w:rsidRPr="0071782F">
        <w:rPr>
          <w:lang w:val="fr-CH"/>
        </w:rPr>
        <w:t xml:space="preserve"> </w:t>
      </w:r>
      <w:r w:rsidR="002F527E" w:rsidRPr="0071782F">
        <w:rPr>
          <w:lang w:val="fr-CH"/>
        </w:rPr>
        <w:t>e</w:t>
      </w:r>
      <w:r w:rsidRPr="0071782F">
        <w:rPr>
          <w:lang w:val="fr-CH"/>
        </w:rPr>
        <w:t>n 2008</w:t>
      </w:r>
      <w:r w:rsidR="002F527E" w:rsidRPr="0071782F">
        <w:rPr>
          <w:lang w:val="fr-CH"/>
        </w:rPr>
        <w:t>,</w:t>
      </w:r>
      <w:r w:rsidRPr="0071782F">
        <w:rPr>
          <w:lang w:val="fr-CH"/>
        </w:rPr>
        <w:t xml:space="preserve"> </w:t>
      </w:r>
      <w:r w:rsidR="002F527E" w:rsidRPr="0071782F">
        <w:rPr>
          <w:lang w:val="fr-CH"/>
        </w:rPr>
        <w:t>soit un taux de croissance moyen annue</w:t>
      </w:r>
      <w:r w:rsidR="00B00574">
        <w:rPr>
          <w:lang w:val="fr-CH"/>
        </w:rPr>
        <w:t>l de </w:t>
      </w:r>
      <w:r w:rsidRPr="0071782F">
        <w:rPr>
          <w:lang w:val="fr-CH"/>
        </w:rPr>
        <w:t>5%</w:t>
      </w:r>
      <w:r w:rsidR="000E7C70" w:rsidRPr="0071782F">
        <w:rPr>
          <w:lang w:val="fr-CH"/>
        </w:rPr>
        <w:t>.</w:t>
      </w:r>
    </w:p>
    <w:p w:rsidR="008A7415" w:rsidRPr="0071782F" w:rsidRDefault="008A7415" w:rsidP="000E7C70">
      <w:pPr>
        <w:pStyle w:val="SingleTxtG"/>
        <w:ind w:left="1701"/>
        <w:rPr>
          <w:lang w:val="fr-CH"/>
        </w:rPr>
      </w:pPr>
      <w:r w:rsidRPr="0071782F">
        <w:rPr>
          <w:lang w:val="fr-CH"/>
        </w:rPr>
        <w:t>224.3.</w:t>
      </w:r>
      <w:r w:rsidRPr="0071782F">
        <w:rPr>
          <w:lang w:val="fr-CH"/>
        </w:rPr>
        <w:tab/>
        <w:t xml:space="preserve">Extension </w:t>
      </w:r>
      <w:r w:rsidR="002F527E" w:rsidRPr="0071782F">
        <w:rPr>
          <w:lang w:val="fr-CH"/>
        </w:rPr>
        <w:t xml:space="preserve">de la </w:t>
      </w:r>
      <w:r w:rsidRPr="0071782F">
        <w:rPr>
          <w:lang w:val="fr-CH"/>
        </w:rPr>
        <w:t xml:space="preserve">protection </w:t>
      </w:r>
      <w:r w:rsidR="002F527E" w:rsidRPr="0071782F">
        <w:rPr>
          <w:lang w:val="fr-CH"/>
        </w:rPr>
        <w:t>contre les maladies animales de</w:t>
      </w:r>
      <w:r w:rsidRPr="0071782F">
        <w:rPr>
          <w:lang w:val="fr-CH"/>
        </w:rPr>
        <w:t xml:space="preserve"> 54</w:t>
      </w:r>
      <w:r w:rsidR="007E5125" w:rsidRPr="0071782F">
        <w:rPr>
          <w:lang w:val="fr-CH"/>
        </w:rPr>
        <w:t>%</w:t>
      </w:r>
      <w:r w:rsidRPr="0071782F">
        <w:rPr>
          <w:lang w:val="fr-CH"/>
        </w:rPr>
        <w:t xml:space="preserve"> </w:t>
      </w:r>
      <w:r w:rsidR="002F527E" w:rsidRPr="0071782F">
        <w:rPr>
          <w:lang w:val="fr-CH"/>
        </w:rPr>
        <w:t>e</w:t>
      </w:r>
      <w:r w:rsidRPr="0071782F">
        <w:rPr>
          <w:lang w:val="fr-CH"/>
        </w:rPr>
        <w:t xml:space="preserve">n 2004 </w:t>
      </w:r>
      <w:r w:rsidR="002F527E" w:rsidRPr="0071782F">
        <w:rPr>
          <w:lang w:val="fr-CH"/>
        </w:rPr>
        <w:t xml:space="preserve">à </w:t>
      </w:r>
      <w:r w:rsidRPr="0071782F">
        <w:rPr>
          <w:lang w:val="fr-CH"/>
        </w:rPr>
        <w:t>60</w:t>
      </w:r>
      <w:r w:rsidR="007E5125" w:rsidRPr="0071782F">
        <w:rPr>
          <w:lang w:val="fr-CH"/>
        </w:rPr>
        <w:t>%</w:t>
      </w:r>
      <w:r w:rsidRPr="0071782F">
        <w:rPr>
          <w:lang w:val="fr-CH"/>
        </w:rPr>
        <w:t xml:space="preserve"> </w:t>
      </w:r>
      <w:r w:rsidR="002F527E" w:rsidRPr="0071782F">
        <w:rPr>
          <w:lang w:val="fr-CH"/>
        </w:rPr>
        <w:t>e</w:t>
      </w:r>
      <w:r w:rsidRPr="0071782F">
        <w:rPr>
          <w:lang w:val="fr-CH"/>
        </w:rPr>
        <w:t>n 2008</w:t>
      </w:r>
      <w:r w:rsidR="002F527E" w:rsidRPr="0071782F">
        <w:rPr>
          <w:lang w:val="fr-CH"/>
        </w:rPr>
        <w:t>,</w:t>
      </w:r>
      <w:r w:rsidR="00D36718">
        <w:rPr>
          <w:lang w:val="fr-CH"/>
        </w:rPr>
        <w:t xml:space="preserve"> </w:t>
      </w:r>
      <w:r w:rsidR="002F527E" w:rsidRPr="0071782F">
        <w:rPr>
          <w:lang w:val="fr-CH"/>
        </w:rPr>
        <w:t xml:space="preserve">soit un taux de croissance moyen annuel de </w:t>
      </w:r>
      <w:r w:rsidRPr="0071782F">
        <w:rPr>
          <w:lang w:val="fr-CH"/>
        </w:rPr>
        <w:t>2</w:t>
      </w:r>
      <w:r w:rsidR="002F527E" w:rsidRPr="0071782F">
        <w:rPr>
          <w:lang w:val="fr-CH"/>
        </w:rPr>
        <w:t>,</w:t>
      </w:r>
      <w:r w:rsidRPr="0071782F">
        <w:rPr>
          <w:lang w:val="fr-CH"/>
        </w:rPr>
        <w:t>7</w:t>
      </w:r>
      <w:r w:rsidR="007E5125" w:rsidRPr="0071782F">
        <w:rPr>
          <w:lang w:val="fr-CH"/>
        </w:rPr>
        <w:t>%</w:t>
      </w:r>
      <w:r w:rsidR="000E7C70" w:rsidRPr="0071782F">
        <w:rPr>
          <w:lang w:val="fr-CH"/>
        </w:rPr>
        <w:t>.</w:t>
      </w:r>
    </w:p>
    <w:p w:rsidR="008A7415" w:rsidRPr="0071782F" w:rsidRDefault="008A7415" w:rsidP="000E7C70">
      <w:pPr>
        <w:pStyle w:val="SingleTxtG"/>
        <w:ind w:left="1701"/>
        <w:rPr>
          <w:lang w:val="fr-CH"/>
        </w:rPr>
      </w:pPr>
      <w:r w:rsidRPr="0071782F">
        <w:rPr>
          <w:lang w:val="fr-CH"/>
        </w:rPr>
        <w:t>224.4.</w:t>
      </w:r>
      <w:r w:rsidRPr="0071782F">
        <w:rPr>
          <w:lang w:val="fr-CH"/>
        </w:rPr>
        <w:tab/>
        <w:t xml:space="preserve">Extension </w:t>
      </w:r>
      <w:r w:rsidR="002F527E" w:rsidRPr="0071782F">
        <w:rPr>
          <w:lang w:val="fr-CH"/>
        </w:rPr>
        <w:t>de la protection contre les maladies aviaires de</w:t>
      </w:r>
      <w:r w:rsidRPr="0071782F">
        <w:rPr>
          <w:lang w:val="fr-CH"/>
        </w:rPr>
        <w:t xml:space="preserve"> 49</w:t>
      </w:r>
      <w:r w:rsidR="002F527E" w:rsidRPr="0071782F">
        <w:rPr>
          <w:lang w:val="fr-CH"/>
        </w:rPr>
        <w:t>,</w:t>
      </w:r>
      <w:r w:rsidRPr="0071782F">
        <w:rPr>
          <w:lang w:val="fr-CH"/>
        </w:rPr>
        <w:t>4</w:t>
      </w:r>
      <w:r w:rsidR="007E5125" w:rsidRPr="0071782F">
        <w:rPr>
          <w:lang w:val="fr-CH"/>
        </w:rPr>
        <w:t>%</w:t>
      </w:r>
      <w:r w:rsidRPr="0071782F">
        <w:rPr>
          <w:lang w:val="fr-CH"/>
        </w:rPr>
        <w:t xml:space="preserve"> </w:t>
      </w:r>
      <w:r w:rsidR="002F527E" w:rsidRPr="0071782F">
        <w:rPr>
          <w:lang w:val="fr-CH"/>
        </w:rPr>
        <w:t>e</w:t>
      </w:r>
      <w:r w:rsidRPr="0071782F">
        <w:rPr>
          <w:lang w:val="fr-CH"/>
        </w:rPr>
        <w:t xml:space="preserve">n 2004 </w:t>
      </w:r>
      <w:r w:rsidR="002F527E" w:rsidRPr="0071782F">
        <w:rPr>
          <w:lang w:val="fr-CH"/>
        </w:rPr>
        <w:t>à</w:t>
      </w:r>
      <w:r w:rsidRPr="0071782F">
        <w:rPr>
          <w:lang w:val="fr-CH"/>
        </w:rPr>
        <w:t xml:space="preserve"> 84</w:t>
      </w:r>
      <w:r w:rsidR="002F527E" w:rsidRPr="0071782F">
        <w:rPr>
          <w:lang w:val="fr-CH"/>
        </w:rPr>
        <w:t>,</w:t>
      </w:r>
      <w:r w:rsidRPr="0071782F">
        <w:rPr>
          <w:lang w:val="fr-CH"/>
        </w:rPr>
        <w:t>6</w:t>
      </w:r>
      <w:r w:rsidR="007E5125" w:rsidRPr="0071782F">
        <w:rPr>
          <w:lang w:val="fr-CH"/>
        </w:rPr>
        <w:t>%</w:t>
      </w:r>
      <w:r w:rsidRPr="0071782F">
        <w:rPr>
          <w:lang w:val="fr-CH"/>
        </w:rPr>
        <w:t xml:space="preserve"> </w:t>
      </w:r>
      <w:r w:rsidR="002F527E" w:rsidRPr="0071782F">
        <w:rPr>
          <w:lang w:val="fr-CH"/>
        </w:rPr>
        <w:t>e</w:t>
      </w:r>
      <w:r w:rsidRPr="0071782F">
        <w:rPr>
          <w:lang w:val="fr-CH"/>
        </w:rPr>
        <w:t>n 2008</w:t>
      </w:r>
      <w:r w:rsidR="002F527E" w:rsidRPr="0071782F">
        <w:rPr>
          <w:lang w:val="fr-CH"/>
        </w:rPr>
        <w:t>,</w:t>
      </w:r>
      <w:r w:rsidRPr="0071782F">
        <w:rPr>
          <w:lang w:val="fr-CH"/>
        </w:rPr>
        <w:t xml:space="preserve"> </w:t>
      </w:r>
      <w:r w:rsidR="002F527E" w:rsidRPr="0071782F">
        <w:rPr>
          <w:lang w:val="fr-CH"/>
        </w:rPr>
        <w:t xml:space="preserve">soit un taux de croissance moyen annuel de </w:t>
      </w:r>
      <w:r w:rsidRPr="0071782F">
        <w:rPr>
          <w:lang w:val="fr-CH"/>
        </w:rPr>
        <w:t>14.4%</w:t>
      </w:r>
      <w:r w:rsidR="000E7C70" w:rsidRPr="0071782F">
        <w:rPr>
          <w:lang w:val="fr-CH"/>
        </w:rPr>
        <w:t>.</w:t>
      </w:r>
    </w:p>
    <w:p w:rsidR="008A7415" w:rsidRPr="0071782F" w:rsidRDefault="008A7415" w:rsidP="000E7C70">
      <w:pPr>
        <w:pStyle w:val="SingleTxtG"/>
        <w:ind w:left="1701"/>
        <w:rPr>
          <w:lang w:val="fr-CH"/>
        </w:rPr>
      </w:pPr>
      <w:r w:rsidRPr="0071782F">
        <w:rPr>
          <w:lang w:val="fr-CH"/>
        </w:rPr>
        <w:t>224.5.</w:t>
      </w:r>
      <w:r w:rsidRPr="0071782F">
        <w:rPr>
          <w:lang w:val="fr-CH"/>
        </w:rPr>
        <w:tab/>
        <w:t xml:space="preserve">Extension </w:t>
      </w:r>
      <w:r w:rsidR="002F527E" w:rsidRPr="0071782F">
        <w:rPr>
          <w:lang w:val="fr-CH"/>
        </w:rPr>
        <w:t>de la protection contre les maladies des animaux aquatiques de</w:t>
      </w:r>
      <w:r w:rsidRPr="0071782F">
        <w:rPr>
          <w:lang w:val="fr-CH"/>
        </w:rPr>
        <w:t xml:space="preserve"> 3</w:t>
      </w:r>
      <w:r w:rsidR="007E5125" w:rsidRPr="0071782F">
        <w:rPr>
          <w:lang w:val="fr-CH"/>
        </w:rPr>
        <w:t>%</w:t>
      </w:r>
      <w:r w:rsidRPr="0071782F">
        <w:rPr>
          <w:lang w:val="fr-CH"/>
        </w:rPr>
        <w:t xml:space="preserve"> </w:t>
      </w:r>
      <w:r w:rsidR="002F527E" w:rsidRPr="0071782F">
        <w:rPr>
          <w:lang w:val="fr-CH"/>
        </w:rPr>
        <w:t>e</w:t>
      </w:r>
      <w:r w:rsidRPr="0071782F">
        <w:rPr>
          <w:lang w:val="fr-CH"/>
        </w:rPr>
        <w:t xml:space="preserve">n 2004 </w:t>
      </w:r>
      <w:r w:rsidR="002F527E" w:rsidRPr="0071782F">
        <w:rPr>
          <w:lang w:val="fr-CH"/>
        </w:rPr>
        <w:t>à</w:t>
      </w:r>
      <w:r w:rsidRPr="0071782F">
        <w:rPr>
          <w:lang w:val="fr-CH"/>
        </w:rPr>
        <w:t xml:space="preserve"> 29</w:t>
      </w:r>
      <w:r w:rsidR="002F527E" w:rsidRPr="0071782F">
        <w:rPr>
          <w:lang w:val="fr-CH"/>
        </w:rPr>
        <w:t>,</w:t>
      </w:r>
      <w:r w:rsidRPr="0071782F">
        <w:rPr>
          <w:lang w:val="fr-CH"/>
        </w:rPr>
        <w:t>4</w:t>
      </w:r>
      <w:r w:rsidR="007E5125" w:rsidRPr="0071782F">
        <w:rPr>
          <w:lang w:val="fr-CH"/>
        </w:rPr>
        <w:t>%</w:t>
      </w:r>
      <w:r w:rsidRPr="0071782F">
        <w:rPr>
          <w:lang w:val="fr-CH"/>
        </w:rPr>
        <w:t xml:space="preserve"> </w:t>
      </w:r>
      <w:r w:rsidR="002F527E" w:rsidRPr="0071782F">
        <w:rPr>
          <w:lang w:val="fr-CH"/>
        </w:rPr>
        <w:t>e</w:t>
      </w:r>
      <w:r w:rsidRPr="0071782F">
        <w:rPr>
          <w:lang w:val="fr-CH"/>
        </w:rPr>
        <w:t>n 2008</w:t>
      </w:r>
      <w:r w:rsidR="002F527E" w:rsidRPr="0071782F">
        <w:rPr>
          <w:lang w:val="fr-CH"/>
        </w:rPr>
        <w:t>,</w:t>
      </w:r>
      <w:r w:rsidRPr="0071782F">
        <w:rPr>
          <w:lang w:val="fr-CH"/>
        </w:rPr>
        <w:t xml:space="preserve"> </w:t>
      </w:r>
      <w:r w:rsidR="002F527E" w:rsidRPr="0071782F">
        <w:rPr>
          <w:lang w:val="fr-CH"/>
        </w:rPr>
        <w:t xml:space="preserve">soit un taux de croissance moyen annuel de </w:t>
      </w:r>
      <w:r w:rsidRPr="0071782F">
        <w:rPr>
          <w:lang w:val="fr-CH"/>
        </w:rPr>
        <w:t>77</w:t>
      </w:r>
      <w:r w:rsidR="007E5125" w:rsidRPr="0071782F">
        <w:rPr>
          <w:lang w:val="fr-CH"/>
        </w:rPr>
        <w:t>%</w:t>
      </w:r>
      <w:r w:rsidRPr="0071782F">
        <w:rPr>
          <w:lang w:val="fr-CH"/>
        </w:rPr>
        <w:t>.</w:t>
      </w:r>
    </w:p>
    <w:p w:rsidR="008A7415" w:rsidRPr="0071782F" w:rsidRDefault="002F527E" w:rsidP="00204410">
      <w:pPr>
        <w:pStyle w:val="H23G"/>
        <w:rPr>
          <w:lang w:val="fr-CH"/>
        </w:rPr>
      </w:pPr>
      <w:r w:rsidRPr="0071782F">
        <w:rPr>
          <w:lang w:val="fr-CH"/>
        </w:rPr>
        <w:tab/>
      </w:r>
      <w:r w:rsidRPr="0071782F">
        <w:rPr>
          <w:lang w:val="fr-CH"/>
        </w:rPr>
        <w:tab/>
        <w:t>Méc</w:t>
      </w:r>
      <w:r w:rsidR="008A7415" w:rsidRPr="0071782F">
        <w:rPr>
          <w:lang w:val="fr-CH"/>
        </w:rPr>
        <w:t>ani</w:t>
      </w:r>
      <w:r w:rsidRPr="0071782F">
        <w:rPr>
          <w:lang w:val="fr-CH"/>
        </w:rPr>
        <w:t>s</w:t>
      </w:r>
      <w:r w:rsidR="008A7415" w:rsidRPr="0071782F">
        <w:rPr>
          <w:lang w:val="fr-CH"/>
        </w:rPr>
        <w:t>ation</w:t>
      </w:r>
    </w:p>
    <w:p w:rsidR="008A7415" w:rsidRPr="0071782F" w:rsidRDefault="008A7415" w:rsidP="00204410">
      <w:pPr>
        <w:pStyle w:val="SingleTxtG"/>
        <w:rPr>
          <w:lang w:val="fr-CH"/>
        </w:rPr>
      </w:pPr>
      <w:r w:rsidRPr="0071782F">
        <w:rPr>
          <w:lang w:val="fr-CH"/>
        </w:rPr>
        <w:t>225.</w:t>
      </w:r>
      <w:r w:rsidRPr="0071782F">
        <w:rPr>
          <w:lang w:val="fr-CH"/>
        </w:rPr>
        <w:tab/>
      </w:r>
      <w:r w:rsidR="003832AA" w:rsidRPr="0071782F">
        <w:rPr>
          <w:lang w:val="fr-CH"/>
        </w:rPr>
        <w:t>Les progrès de la mécanisation des tâches agricoles sont l’un des indicateurs du développement du secteur de l’</w:t>
      </w:r>
      <w:r w:rsidRPr="0071782F">
        <w:rPr>
          <w:lang w:val="fr-CH"/>
        </w:rPr>
        <w:t>agricultur</w:t>
      </w:r>
      <w:r w:rsidR="003832AA" w:rsidRPr="0071782F">
        <w:rPr>
          <w:lang w:val="fr-CH"/>
        </w:rPr>
        <w:t>e dans le pays</w:t>
      </w:r>
      <w:r w:rsidRPr="0071782F">
        <w:rPr>
          <w:lang w:val="fr-CH"/>
        </w:rPr>
        <w:t xml:space="preserve">. </w:t>
      </w:r>
      <w:r w:rsidR="003832AA" w:rsidRPr="0071782F">
        <w:rPr>
          <w:lang w:val="fr-CH"/>
        </w:rPr>
        <w:t>La diffusion de la mécanisation contribue à améliorer les activités agricoles, ce qui se traduit par une augmentation des rendements et une diminution des déchets agricoles</w:t>
      </w:r>
      <w:r w:rsidRPr="0071782F">
        <w:rPr>
          <w:lang w:val="fr-CH"/>
        </w:rPr>
        <w:t>.</w:t>
      </w:r>
    </w:p>
    <w:p w:rsidR="008A7415" w:rsidRPr="0071782F" w:rsidRDefault="008A7415" w:rsidP="000E7C70">
      <w:pPr>
        <w:pStyle w:val="SingleTxtG"/>
        <w:ind w:left="1701"/>
        <w:rPr>
          <w:lang w:val="fr-CH"/>
        </w:rPr>
      </w:pPr>
      <w:r w:rsidRPr="0071782F">
        <w:rPr>
          <w:lang w:val="fr-CH"/>
        </w:rPr>
        <w:t>225.1.</w:t>
      </w:r>
      <w:r w:rsidRPr="0071782F">
        <w:rPr>
          <w:lang w:val="fr-CH"/>
        </w:rPr>
        <w:tab/>
      </w:r>
      <w:r w:rsidR="003832AA" w:rsidRPr="0071782F">
        <w:rPr>
          <w:lang w:val="fr-CH"/>
        </w:rPr>
        <w:t xml:space="preserve">À l’heure actuelle, on a mécanisé entre </w:t>
      </w:r>
      <w:r w:rsidRPr="0071782F">
        <w:rPr>
          <w:lang w:val="fr-CH"/>
        </w:rPr>
        <w:t>90</w:t>
      </w:r>
      <w:r w:rsidR="007E5125" w:rsidRPr="0071782F">
        <w:rPr>
          <w:lang w:val="fr-CH"/>
        </w:rPr>
        <w:t>%</w:t>
      </w:r>
      <w:r w:rsidRPr="0071782F">
        <w:rPr>
          <w:lang w:val="fr-CH"/>
        </w:rPr>
        <w:t xml:space="preserve"> </w:t>
      </w:r>
      <w:r w:rsidR="003832AA" w:rsidRPr="0071782F">
        <w:rPr>
          <w:lang w:val="fr-CH"/>
        </w:rPr>
        <w:t>et</w:t>
      </w:r>
      <w:r w:rsidRPr="0071782F">
        <w:rPr>
          <w:lang w:val="fr-CH"/>
        </w:rPr>
        <w:t xml:space="preserve"> 95</w:t>
      </w:r>
      <w:r w:rsidR="007E5125" w:rsidRPr="0071782F">
        <w:rPr>
          <w:lang w:val="fr-CH"/>
        </w:rPr>
        <w:t>%</w:t>
      </w:r>
      <w:r w:rsidRPr="0071782F">
        <w:rPr>
          <w:lang w:val="fr-CH"/>
        </w:rPr>
        <w:t xml:space="preserve"> </w:t>
      </w:r>
      <w:r w:rsidR="003832AA" w:rsidRPr="0071782F">
        <w:rPr>
          <w:lang w:val="fr-CH"/>
        </w:rPr>
        <w:t xml:space="preserve">des activités agricoles accomplies dans les plantations réservées aux cultures essentielles, la récolte de </w:t>
      </w:r>
      <w:r w:rsidRPr="0071782F">
        <w:rPr>
          <w:lang w:val="fr-CH"/>
        </w:rPr>
        <w:t>80</w:t>
      </w:r>
      <w:r w:rsidR="007E5125" w:rsidRPr="0071782F">
        <w:rPr>
          <w:lang w:val="fr-CH"/>
        </w:rPr>
        <w:t>%</w:t>
      </w:r>
      <w:r w:rsidRPr="0071782F">
        <w:rPr>
          <w:lang w:val="fr-CH"/>
        </w:rPr>
        <w:t xml:space="preserve"> </w:t>
      </w:r>
      <w:r w:rsidR="003832AA" w:rsidRPr="0071782F">
        <w:rPr>
          <w:lang w:val="fr-CH"/>
        </w:rPr>
        <w:t>à</w:t>
      </w:r>
      <w:r w:rsidRPr="0071782F">
        <w:rPr>
          <w:lang w:val="fr-CH"/>
        </w:rPr>
        <w:t xml:space="preserve"> 90</w:t>
      </w:r>
      <w:r w:rsidR="007E5125" w:rsidRPr="0071782F">
        <w:rPr>
          <w:lang w:val="fr-CH"/>
        </w:rPr>
        <w:t>%</w:t>
      </w:r>
      <w:r w:rsidRPr="0071782F">
        <w:rPr>
          <w:lang w:val="fr-CH"/>
        </w:rPr>
        <w:t xml:space="preserve"> </w:t>
      </w:r>
      <w:r w:rsidR="003832AA" w:rsidRPr="0071782F">
        <w:rPr>
          <w:lang w:val="fr-CH"/>
        </w:rPr>
        <w:t xml:space="preserve">du blé et de l’orge irrigués et pluviaux, et les activités de plantation de </w:t>
      </w:r>
      <w:r w:rsidRPr="0071782F">
        <w:rPr>
          <w:lang w:val="fr-CH"/>
        </w:rPr>
        <w:t>90</w:t>
      </w:r>
      <w:r w:rsidR="007E5125" w:rsidRPr="0071782F">
        <w:rPr>
          <w:lang w:val="fr-CH"/>
        </w:rPr>
        <w:t>%</w:t>
      </w:r>
      <w:r w:rsidRPr="0071782F">
        <w:rPr>
          <w:lang w:val="fr-CH"/>
        </w:rPr>
        <w:t xml:space="preserve"> </w:t>
      </w:r>
      <w:r w:rsidR="003832AA" w:rsidRPr="0071782F">
        <w:rPr>
          <w:lang w:val="fr-CH"/>
        </w:rPr>
        <w:t>à</w:t>
      </w:r>
      <w:r w:rsidRPr="0071782F">
        <w:rPr>
          <w:lang w:val="fr-CH"/>
        </w:rPr>
        <w:t xml:space="preserve"> 95</w:t>
      </w:r>
      <w:r w:rsidR="007E5125" w:rsidRPr="0071782F">
        <w:rPr>
          <w:lang w:val="fr-CH"/>
        </w:rPr>
        <w:t>%</w:t>
      </w:r>
      <w:r w:rsidRPr="0071782F">
        <w:rPr>
          <w:lang w:val="fr-CH"/>
        </w:rPr>
        <w:t xml:space="preserve"> </w:t>
      </w:r>
      <w:r w:rsidR="003832AA" w:rsidRPr="0071782F">
        <w:rPr>
          <w:lang w:val="fr-CH"/>
        </w:rPr>
        <w:t>du maïs, de la canne à sucre, etc</w:t>
      </w:r>
      <w:r w:rsidRPr="0071782F">
        <w:rPr>
          <w:lang w:val="fr-CH"/>
        </w:rPr>
        <w:t>.</w:t>
      </w:r>
    </w:p>
    <w:p w:rsidR="008A7415" w:rsidRPr="0071782F" w:rsidRDefault="008A7415" w:rsidP="000E7C70">
      <w:pPr>
        <w:pStyle w:val="SingleTxtG"/>
        <w:ind w:left="1701"/>
        <w:rPr>
          <w:lang w:val="fr-CH"/>
        </w:rPr>
      </w:pPr>
      <w:r w:rsidRPr="0071782F">
        <w:rPr>
          <w:lang w:val="fr-CH"/>
        </w:rPr>
        <w:t>225.2.</w:t>
      </w:r>
      <w:r w:rsidRPr="0071782F">
        <w:rPr>
          <w:lang w:val="fr-CH"/>
        </w:rPr>
        <w:tab/>
      </w:r>
      <w:r w:rsidR="003832AA" w:rsidRPr="0071782F">
        <w:rPr>
          <w:lang w:val="fr-CH"/>
        </w:rPr>
        <w:t>L’indice de mécanisation, à savoir l’indicateur de l’utilisation des machines agricoles par unité de superficie, est passé de 0,51</w:t>
      </w:r>
      <w:r w:rsidR="00B00574">
        <w:rPr>
          <w:lang w:val="fr-CH"/>
        </w:rPr>
        <w:t> </w:t>
      </w:r>
      <w:r w:rsidR="00B00574" w:rsidRPr="00B00574">
        <w:rPr>
          <w:lang w:val="fr-CH"/>
        </w:rPr>
        <w:t xml:space="preserve">cv/ha </w:t>
      </w:r>
      <w:r w:rsidR="00B00574">
        <w:rPr>
          <w:lang w:val="fr-CH"/>
        </w:rPr>
        <w:t>(cheval par hectare</w:t>
      </w:r>
      <w:r w:rsidR="003832AA" w:rsidRPr="0071782F">
        <w:rPr>
          <w:lang w:val="fr-CH"/>
        </w:rPr>
        <w:t xml:space="preserve">) au cours de la première année du </w:t>
      </w:r>
      <w:r w:rsidR="009E6189">
        <w:rPr>
          <w:lang w:val="fr-CH"/>
        </w:rPr>
        <w:t xml:space="preserve">troisième </w:t>
      </w:r>
      <w:r w:rsidR="003832AA" w:rsidRPr="0071782F">
        <w:rPr>
          <w:lang w:val="fr-CH"/>
        </w:rPr>
        <w:t>plan de développement à 0,63</w:t>
      </w:r>
      <w:r w:rsidR="009E6189">
        <w:rPr>
          <w:lang w:val="fr-CH"/>
        </w:rPr>
        <w:t> </w:t>
      </w:r>
      <w:r w:rsidR="003832AA" w:rsidRPr="0071782F">
        <w:rPr>
          <w:lang w:val="fr-CH"/>
        </w:rPr>
        <w:t>cv/ha au cours de la dernière année de ce plan, c’est-à-dire 2004</w:t>
      </w:r>
      <w:r w:rsidRPr="0071782F">
        <w:rPr>
          <w:lang w:val="fr-CH"/>
        </w:rPr>
        <w:t xml:space="preserve">. </w:t>
      </w:r>
      <w:r w:rsidR="003832AA" w:rsidRPr="0071782F">
        <w:rPr>
          <w:lang w:val="fr-CH"/>
        </w:rPr>
        <w:t xml:space="preserve">Pendant le </w:t>
      </w:r>
      <w:r w:rsidR="00A90208" w:rsidRPr="0071782F">
        <w:rPr>
          <w:lang w:val="fr-CH"/>
        </w:rPr>
        <w:t>quatrième</w:t>
      </w:r>
      <w:r w:rsidR="003832AA" w:rsidRPr="0071782F">
        <w:rPr>
          <w:lang w:val="fr-CH"/>
        </w:rPr>
        <w:t xml:space="preserve"> plan, des mesures efficaces ont été prises en matière de production et de fourniture de machines agricoles, en particulier des tracteu</w:t>
      </w:r>
      <w:r w:rsidRPr="0071782F">
        <w:rPr>
          <w:lang w:val="fr-CH"/>
        </w:rPr>
        <w:t xml:space="preserve">rs </w:t>
      </w:r>
      <w:r w:rsidR="003832AA" w:rsidRPr="0071782F">
        <w:rPr>
          <w:lang w:val="fr-CH"/>
        </w:rPr>
        <w:t>et des</w:t>
      </w:r>
      <w:r w:rsidR="00B00574">
        <w:rPr>
          <w:lang w:val="fr-CH"/>
        </w:rPr>
        <w:t xml:space="preserve"> </w:t>
      </w:r>
      <w:r w:rsidR="001F3F05" w:rsidRPr="0071782F">
        <w:rPr>
          <w:lang w:val="fr-CH"/>
        </w:rPr>
        <w:t>mois</w:t>
      </w:r>
      <w:r w:rsidR="003832AA" w:rsidRPr="0071782F">
        <w:rPr>
          <w:lang w:val="fr-CH"/>
        </w:rPr>
        <w:t>sonneuses-batteuses</w:t>
      </w:r>
      <w:r w:rsidRPr="0071782F">
        <w:rPr>
          <w:lang w:val="fr-CH"/>
        </w:rPr>
        <w:t xml:space="preserve">, </w:t>
      </w:r>
      <w:r w:rsidR="003832AA" w:rsidRPr="0071782F">
        <w:rPr>
          <w:lang w:val="fr-CH"/>
        </w:rPr>
        <w:t>ce qui a contribué a augmenter la quantité et à améliorer la qualité des activités de mécanisation à travers le pays.</w:t>
      </w:r>
    </w:p>
    <w:p w:rsidR="008A7415" w:rsidRPr="0071782F" w:rsidRDefault="008A7415" w:rsidP="000E7C70">
      <w:pPr>
        <w:pStyle w:val="SingleTxtG"/>
        <w:ind w:left="1701"/>
        <w:rPr>
          <w:lang w:val="fr-CH"/>
        </w:rPr>
      </w:pPr>
      <w:r w:rsidRPr="0071782F">
        <w:rPr>
          <w:lang w:val="fr-CH"/>
        </w:rPr>
        <w:t>225.3.</w:t>
      </w:r>
      <w:r w:rsidRPr="0071782F">
        <w:rPr>
          <w:lang w:val="fr-CH"/>
        </w:rPr>
        <w:tab/>
      </w:r>
      <w:r w:rsidR="003832AA" w:rsidRPr="0071782F">
        <w:rPr>
          <w:lang w:val="fr-CH"/>
        </w:rPr>
        <w:t xml:space="preserve">Au cours des quatre premières années du </w:t>
      </w:r>
      <w:r w:rsidR="00A90208" w:rsidRPr="0071782F">
        <w:rPr>
          <w:lang w:val="fr-CH"/>
        </w:rPr>
        <w:t>quatrième</w:t>
      </w:r>
      <w:r w:rsidR="003832AA" w:rsidRPr="0071782F">
        <w:rPr>
          <w:lang w:val="fr-CH"/>
        </w:rPr>
        <w:t xml:space="preserve"> plan de développement, les indices de mécanisation ont connu une tendance à l</w:t>
      </w:r>
      <w:r w:rsidR="009E6189">
        <w:rPr>
          <w:lang w:val="fr-CH"/>
        </w:rPr>
        <w:t>a hausse, puisqu’ils ont été de </w:t>
      </w:r>
      <w:r w:rsidRPr="0071782F">
        <w:rPr>
          <w:lang w:val="fr-CH"/>
        </w:rPr>
        <w:t>0</w:t>
      </w:r>
      <w:r w:rsidR="003832AA" w:rsidRPr="0071782F">
        <w:rPr>
          <w:lang w:val="fr-CH"/>
        </w:rPr>
        <w:t>,</w:t>
      </w:r>
      <w:r w:rsidRPr="0071782F">
        <w:rPr>
          <w:lang w:val="fr-CH"/>
        </w:rPr>
        <w:t>67, 0</w:t>
      </w:r>
      <w:r w:rsidR="003832AA" w:rsidRPr="0071782F">
        <w:rPr>
          <w:lang w:val="fr-CH"/>
        </w:rPr>
        <w:t>,82, 0,</w:t>
      </w:r>
      <w:r w:rsidRPr="0071782F">
        <w:rPr>
          <w:lang w:val="fr-CH"/>
        </w:rPr>
        <w:t xml:space="preserve">84 </w:t>
      </w:r>
      <w:r w:rsidR="003832AA" w:rsidRPr="0071782F">
        <w:rPr>
          <w:lang w:val="fr-CH"/>
        </w:rPr>
        <w:t xml:space="preserve">et </w:t>
      </w:r>
      <w:r w:rsidRPr="0071782F">
        <w:rPr>
          <w:lang w:val="fr-CH"/>
        </w:rPr>
        <w:t>1</w:t>
      </w:r>
      <w:r w:rsidR="003832AA" w:rsidRPr="0071782F">
        <w:rPr>
          <w:lang w:val="fr-CH"/>
        </w:rPr>
        <w:t>,</w:t>
      </w:r>
      <w:r w:rsidRPr="0071782F">
        <w:rPr>
          <w:lang w:val="fr-CH"/>
        </w:rPr>
        <w:t>01</w:t>
      </w:r>
      <w:r w:rsidR="00B00574">
        <w:rPr>
          <w:lang w:val="fr-CH"/>
        </w:rPr>
        <w:t> </w:t>
      </w:r>
      <w:r w:rsidR="003832AA" w:rsidRPr="0071782F">
        <w:rPr>
          <w:lang w:val="fr-CH"/>
        </w:rPr>
        <w:t>cv/ha</w:t>
      </w:r>
      <w:r w:rsidRPr="0071782F">
        <w:rPr>
          <w:lang w:val="fr-CH"/>
        </w:rPr>
        <w:t xml:space="preserve">, </w:t>
      </w:r>
      <w:r w:rsidR="003832AA" w:rsidRPr="0071782F">
        <w:rPr>
          <w:lang w:val="fr-CH"/>
        </w:rPr>
        <w:t>respectivement</w:t>
      </w:r>
      <w:r w:rsidRPr="0071782F">
        <w:rPr>
          <w:lang w:val="fr-CH"/>
        </w:rPr>
        <w:t xml:space="preserve">. </w:t>
      </w:r>
    </w:p>
    <w:p w:rsidR="008A7415" w:rsidRPr="0071782F" w:rsidRDefault="008A7415" w:rsidP="000E7C70">
      <w:pPr>
        <w:pStyle w:val="SingleTxtG"/>
        <w:ind w:left="1701"/>
        <w:rPr>
          <w:lang w:val="fr-CH"/>
        </w:rPr>
      </w:pPr>
      <w:r w:rsidRPr="0071782F">
        <w:rPr>
          <w:lang w:val="fr-CH"/>
        </w:rPr>
        <w:t>225.4.</w:t>
      </w:r>
      <w:r w:rsidRPr="0071782F">
        <w:rPr>
          <w:lang w:val="fr-CH"/>
        </w:rPr>
        <w:tab/>
      </w:r>
      <w:r w:rsidR="003832AA" w:rsidRPr="0071782F">
        <w:rPr>
          <w:lang w:val="fr-CH"/>
        </w:rPr>
        <w:t>L’indice de mécanisation de l’</w:t>
      </w:r>
      <w:r w:rsidRPr="0071782F">
        <w:rPr>
          <w:lang w:val="fr-CH"/>
        </w:rPr>
        <w:t xml:space="preserve">agriculture </w:t>
      </w:r>
      <w:r w:rsidR="003832AA" w:rsidRPr="0071782F">
        <w:rPr>
          <w:lang w:val="fr-CH"/>
        </w:rPr>
        <w:t xml:space="preserve">est passé de </w:t>
      </w:r>
      <w:r w:rsidRPr="0071782F">
        <w:rPr>
          <w:lang w:val="fr-CH"/>
        </w:rPr>
        <w:t>0</w:t>
      </w:r>
      <w:r w:rsidR="003832AA" w:rsidRPr="0071782F">
        <w:rPr>
          <w:lang w:val="fr-CH"/>
        </w:rPr>
        <w:t>,</w:t>
      </w:r>
      <w:r w:rsidRPr="0071782F">
        <w:rPr>
          <w:lang w:val="fr-CH"/>
        </w:rPr>
        <w:t>67</w:t>
      </w:r>
      <w:r w:rsidR="00B00574">
        <w:rPr>
          <w:lang w:val="fr-CH"/>
        </w:rPr>
        <w:t> </w:t>
      </w:r>
      <w:r w:rsidR="003832AA" w:rsidRPr="0071782F">
        <w:rPr>
          <w:lang w:val="fr-CH"/>
        </w:rPr>
        <w:t>cv/ha e</w:t>
      </w:r>
      <w:r w:rsidRPr="0071782F">
        <w:rPr>
          <w:lang w:val="fr-CH"/>
        </w:rPr>
        <w:t xml:space="preserve">n 2005 </w:t>
      </w:r>
      <w:r w:rsidR="003832AA" w:rsidRPr="0071782F">
        <w:rPr>
          <w:lang w:val="fr-CH"/>
        </w:rPr>
        <w:t xml:space="preserve">à </w:t>
      </w:r>
      <w:r w:rsidRPr="0071782F">
        <w:rPr>
          <w:lang w:val="fr-CH"/>
        </w:rPr>
        <w:t>1</w:t>
      </w:r>
      <w:r w:rsidR="003832AA" w:rsidRPr="0071782F">
        <w:rPr>
          <w:lang w:val="fr-CH"/>
        </w:rPr>
        <w:t>,</w:t>
      </w:r>
      <w:r w:rsidRPr="0071782F">
        <w:rPr>
          <w:lang w:val="fr-CH"/>
        </w:rPr>
        <w:t>01</w:t>
      </w:r>
      <w:r w:rsidR="009E6189">
        <w:rPr>
          <w:lang w:val="fr-CH"/>
        </w:rPr>
        <w:t> </w:t>
      </w:r>
      <w:r w:rsidR="003832AA" w:rsidRPr="0071782F">
        <w:rPr>
          <w:lang w:val="fr-CH"/>
        </w:rPr>
        <w:t>cv/ha en</w:t>
      </w:r>
      <w:r w:rsidRPr="0071782F">
        <w:rPr>
          <w:lang w:val="fr-CH"/>
        </w:rPr>
        <w:t xml:space="preserve"> 2008, </w:t>
      </w:r>
      <w:r w:rsidR="003832AA" w:rsidRPr="0071782F">
        <w:rPr>
          <w:lang w:val="fr-CH"/>
        </w:rPr>
        <w:t xml:space="preserve">ce qui a représenté un taux de croissance moyen annuel de </w:t>
      </w:r>
      <w:r w:rsidRPr="0071782F">
        <w:rPr>
          <w:lang w:val="fr-CH"/>
        </w:rPr>
        <w:t>12</w:t>
      </w:r>
      <w:r w:rsidR="003832AA" w:rsidRPr="0071782F">
        <w:rPr>
          <w:lang w:val="fr-CH"/>
        </w:rPr>
        <w:t>,</w:t>
      </w:r>
      <w:r w:rsidRPr="0071782F">
        <w:rPr>
          <w:lang w:val="fr-CH"/>
        </w:rPr>
        <w:t>5</w:t>
      </w:r>
      <w:r w:rsidR="007E5125" w:rsidRPr="0071782F">
        <w:rPr>
          <w:lang w:val="fr-CH"/>
        </w:rPr>
        <w:t>%</w:t>
      </w:r>
      <w:r w:rsidRPr="0071782F">
        <w:rPr>
          <w:lang w:val="fr-CH"/>
        </w:rPr>
        <w:t xml:space="preserve">. </w:t>
      </w:r>
      <w:r w:rsidR="003832AA" w:rsidRPr="0071782F">
        <w:rPr>
          <w:lang w:val="fr-CH"/>
        </w:rPr>
        <w:t xml:space="preserve">Entre </w:t>
      </w:r>
      <w:r w:rsidRPr="0071782F">
        <w:rPr>
          <w:lang w:val="fr-CH"/>
        </w:rPr>
        <w:t>2005</w:t>
      </w:r>
      <w:r w:rsidR="003832AA" w:rsidRPr="0071782F">
        <w:rPr>
          <w:lang w:val="fr-CH"/>
        </w:rPr>
        <w:t xml:space="preserve"> et </w:t>
      </w:r>
      <w:r w:rsidRPr="0071782F">
        <w:rPr>
          <w:lang w:val="fr-CH"/>
        </w:rPr>
        <w:t>2008, 69</w:t>
      </w:r>
      <w:r w:rsidR="003832AA" w:rsidRPr="0071782F">
        <w:rPr>
          <w:lang w:val="fr-CH"/>
        </w:rPr>
        <w:t xml:space="preserve"> </w:t>
      </w:r>
      <w:r w:rsidRPr="0071782F">
        <w:rPr>
          <w:lang w:val="fr-CH"/>
        </w:rPr>
        <w:t>274 tract</w:t>
      </w:r>
      <w:r w:rsidR="003832AA" w:rsidRPr="0071782F">
        <w:rPr>
          <w:lang w:val="fr-CH"/>
        </w:rPr>
        <w:t xml:space="preserve">eurs, 3 </w:t>
      </w:r>
      <w:r w:rsidRPr="0071782F">
        <w:rPr>
          <w:lang w:val="fr-CH"/>
        </w:rPr>
        <w:t>034</w:t>
      </w:r>
      <w:r w:rsidR="001F3F05" w:rsidRPr="0071782F">
        <w:rPr>
          <w:lang w:val="fr-CH"/>
        </w:rPr>
        <w:t> mois</w:t>
      </w:r>
      <w:r w:rsidR="003832AA" w:rsidRPr="0071782F">
        <w:rPr>
          <w:lang w:val="fr-CH"/>
        </w:rPr>
        <w:t>sonneuses-batteuses et</w:t>
      </w:r>
      <w:r w:rsidRPr="0071782F">
        <w:rPr>
          <w:lang w:val="fr-CH"/>
        </w:rPr>
        <w:t xml:space="preserve"> 3</w:t>
      </w:r>
      <w:r w:rsidR="00D3560C" w:rsidRPr="0071782F">
        <w:rPr>
          <w:lang w:val="fr-CH"/>
        </w:rPr>
        <w:t> </w:t>
      </w:r>
      <w:r w:rsidRPr="0071782F">
        <w:rPr>
          <w:lang w:val="fr-CH"/>
        </w:rPr>
        <w:t>898</w:t>
      </w:r>
      <w:r w:rsidR="00D3560C" w:rsidRPr="0071782F">
        <w:rPr>
          <w:lang w:val="fr-CH"/>
        </w:rPr>
        <w:t> </w:t>
      </w:r>
      <w:r w:rsidR="003832AA" w:rsidRPr="0071782F">
        <w:rPr>
          <w:lang w:val="fr-CH"/>
        </w:rPr>
        <w:t>cultivateurs ont été distribués aux agriculteurs</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3832AA" w:rsidRPr="0071782F">
        <w:rPr>
          <w:lang w:val="fr-CH"/>
        </w:rPr>
        <w:t xml:space="preserve">Industries de transformation et </w:t>
      </w:r>
      <w:r w:rsidRPr="0071782F">
        <w:rPr>
          <w:lang w:val="fr-CH"/>
        </w:rPr>
        <w:t>compl</w:t>
      </w:r>
      <w:r w:rsidR="003832AA" w:rsidRPr="0071782F">
        <w:rPr>
          <w:lang w:val="fr-CH"/>
        </w:rPr>
        <w:t>é</w:t>
      </w:r>
      <w:r w:rsidRPr="0071782F">
        <w:rPr>
          <w:lang w:val="fr-CH"/>
        </w:rPr>
        <w:t>menta</w:t>
      </w:r>
      <w:r w:rsidR="003832AA" w:rsidRPr="0071782F">
        <w:rPr>
          <w:lang w:val="fr-CH"/>
        </w:rPr>
        <w:t xml:space="preserve">ires </w:t>
      </w:r>
    </w:p>
    <w:p w:rsidR="008A7415" w:rsidRPr="0071782F" w:rsidRDefault="008A7415" w:rsidP="003D43D2">
      <w:pPr>
        <w:pStyle w:val="SingleTxtG"/>
        <w:keepNext/>
        <w:rPr>
          <w:lang w:val="fr-CH"/>
        </w:rPr>
      </w:pPr>
      <w:r w:rsidRPr="0071782F">
        <w:rPr>
          <w:lang w:val="fr-CH"/>
        </w:rPr>
        <w:t>226.</w:t>
      </w:r>
      <w:r w:rsidRPr="0071782F">
        <w:rPr>
          <w:lang w:val="fr-CH"/>
        </w:rPr>
        <w:tab/>
      </w:r>
      <w:r w:rsidR="003832AA" w:rsidRPr="0071782F">
        <w:rPr>
          <w:lang w:val="fr-CH"/>
        </w:rPr>
        <w:t>À ce propos, on peut indiquer ce qui suit</w:t>
      </w:r>
      <w:r w:rsidR="008F7D33" w:rsidRPr="0071782F">
        <w:rPr>
          <w:lang w:val="fr-CH"/>
        </w:rPr>
        <w:t>:</w:t>
      </w:r>
    </w:p>
    <w:p w:rsidR="008A7415" w:rsidRPr="0071782F" w:rsidRDefault="008A7415" w:rsidP="004C5BDD">
      <w:pPr>
        <w:pStyle w:val="SingleTxtG"/>
        <w:ind w:left="1701"/>
        <w:rPr>
          <w:lang w:val="fr-CH"/>
        </w:rPr>
      </w:pPr>
      <w:r w:rsidRPr="0071782F">
        <w:rPr>
          <w:lang w:val="fr-CH"/>
        </w:rPr>
        <w:t>226.1.</w:t>
      </w:r>
      <w:r w:rsidRPr="0071782F">
        <w:rPr>
          <w:lang w:val="fr-CH"/>
        </w:rPr>
        <w:tab/>
      </w:r>
      <w:r w:rsidR="003832AA" w:rsidRPr="0071782F">
        <w:rPr>
          <w:lang w:val="fr-CH"/>
        </w:rPr>
        <w:t xml:space="preserve">On estime que les déchets agricoles représentent </w:t>
      </w:r>
      <w:r w:rsidRPr="0071782F">
        <w:rPr>
          <w:lang w:val="fr-CH"/>
        </w:rPr>
        <w:t>20</w:t>
      </w:r>
      <w:r w:rsidR="007E5125" w:rsidRPr="0071782F">
        <w:rPr>
          <w:lang w:val="fr-CH"/>
        </w:rPr>
        <w:t>%</w:t>
      </w:r>
      <w:r w:rsidRPr="0071782F">
        <w:rPr>
          <w:lang w:val="fr-CH"/>
        </w:rPr>
        <w:t xml:space="preserve"> </w:t>
      </w:r>
      <w:r w:rsidR="003832AA" w:rsidRPr="0071782F">
        <w:rPr>
          <w:lang w:val="fr-CH"/>
        </w:rPr>
        <w:t xml:space="preserve">du volume </w:t>
      </w:r>
      <w:r w:rsidRPr="0071782F">
        <w:rPr>
          <w:lang w:val="fr-CH"/>
        </w:rPr>
        <w:t xml:space="preserve">total </w:t>
      </w:r>
      <w:r w:rsidR="003832AA" w:rsidRPr="0071782F">
        <w:rPr>
          <w:lang w:val="fr-CH"/>
        </w:rPr>
        <w:t>des produits agricoles</w:t>
      </w:r>
      <w:r w:rsidRPr="0071782F">
        <w:rPr>
          <w:lang w:val="fr-CH"/>
        </w:rPr>
        <w:t xml:space="preserve">. </w:t>
      </w:r>
      <w:r w:rsidR="003832AA" w:rsidRPr="0071782F">
        <w:rPr>
          <w:lang w:val="fr-CH"/>
        </w:rPr>
        <w:t>Le développement des industries de transformation et complémentaires peut contribuer à réincorporer ces déchets dans la chaîne alimentaire du pays ou à les transformer en d’autres produits</w:t>
      </w:r>
      <w:r w:rsidRPr="0071782F">
        <w:rPr>
          <w:lang w:val="fr-CH"/>
        </w:rPr>
        <w:t>.</w:t>
      </w:r>
    </w:p>
    <w:p w:rsidR="008A7415" w:rsidRPr="0071782F" w:rsidRDefault="008A7415" w:rsidP="004C5BDD">
      <w:pPr>
        <w:pStyle w:val="SingleTxtG"/>
        <w:ind w:left="1701"/>
        <w:rPr>
          <w:lang w:val="fr-CH"/>
        </w:rPr>
      </w:pPr>
      <w:r w:rsidRPr="0071782F">
        <w:rPr>
          <w:lang w:val="fr-CH"/>
        </w:rPr>
        <w:t>226.2.</w:t>
      </w:r>
      <w:r w:rsidRPr="0071782F">
        <w:rPr>
          <w:lang w:val="fr-CH"/>
        </w:rPr>
        <w:tab/>
      </w:r>
      <w:r w:rsidR="003832AA" w:rsidRPr="0071782F">
        <w:rPr>
          <w:lang w:val="fr-CH"/>
        </w:rPr>
        <w:t xml:space="preserve">Selon des études réalisées dans ce domaine, la capacité totale de transformation des produits agricoles dépasse </w:t>
      </w:r>
      <w:r w:rsidRPr="0071782F">
        <w:rPr>
          <w:lang w:val="fr-CH"/>
        </w:rPr>
        <w:t>100</w:t>
      </w:r>
      <w:r w:rsidR="00097CDB" w:rsidRPr="0071782F">
        <w:rPr>
          <w:lang w:val="fr-CH"/>
        </w:rPr>
        <w:t> millions</w:t>
      </w:r>
      <w:r w:rsidRPr="0071782F">
        <w:rPr>
          <w:lang w:val="fr-CH"/>
        </w:rPr>
        <w:t xml:space="preserve"> </w:t>
      </w:r>
      <w:r w:rsidR="00F87C4B" w:rsidRPr="0071782F">
        <w:rPr>
          <w:lang w:val="fr-CH"/>
        </w:rPr>
        <w:t>de tonnes</w:t>
      </w:r>
      <w:r w:rsidRPr="0071782F">
        <w:rPr>
          <w:lang w:val="fr-CH"/>
        </w:rPr>
        <w:t xml:space="preserve">. </w:t>
      </w:r>
      <w:r w:rsidR="003832AA" w:rsidRPr="0071782F">
        <w:rPr>
          <w:lang w:val="fr-CH"/>
        </w:rPr>
        <w:t xml:space="preserve">Néanmoins, étant donné que, dans la pratique, la capacité moyenne se situe aux alentours de </w:t>
      </w:r>
      <w:r w:rsidRPr="0071782F">
        <w:rPr>
          <w:lang w:val="fr-CH"/>
        </w:rPr>
        <w:t>50</w:t>
      </w:r>
      <w:r w:rsidR="007E5125" w:rsidRPr="0071782F">
        <w:rPr>
          <w:lang w:val="fr-CH"/>
        </w:rPr>
        <w:t>%</w:t>
      </w:r>
      <w:r w:rsidRPr="0071782F">
        <w:rPr>
          <w:lang w:val="fr-CH"/>
        </w:rPr>
        <w:t xml:space="preserve">, </w:t>
      </w:r>
      <w:r w:rsidR="003832AA" w:rsidRPr="0071782F">
        <w:rPr>
          <w:lang w:val="fr-CH"/>
        </w:rPr>
        <w:t>on peut dire qu’à l’heure actuelle, c’est l’équivalent de 50</w:t>
      </w:r>
      <w:r w:rsidR="00097CDB" w:rsidRPr="0071782F">
        <w:rPr>
          <w:lang w:val="fr-CH"/>
        </w:rPr>
        <w:t> millions</w:t>
      </w:r>
      <w:r w:rsidR="003832AA" w:rsidRPr="0071782F">
        <w:rPr>
          <w:lang w:val="fr-CH"/>
        </w:rPr>
        <w:t xml:space="preserve"> </w:t>
      </w:r>
      <w:r w:rsidR="00F87C4B" w:rsidRPr="0071782F">
        <w:rPr>
          <w:lang w:val="fr-CH"/>
        </w:rPr>
        <w:t>de tonnes</w:t>
      </w:r>
      <w:r w:rsidR="003832AA" w:rsidRPr="0071782F">
        <w:rPr>
          <w:lang w:val="fr-CH"/>
        </w:rPr>
        <w:t xml:space="preserve"> de produits agricoles qui est envoyé aux usines de transformation. </w:t>
      </w:r>
    </w:p>
    <w:p w:rsidR="008A7415" w:rsidRPr="0071782F" w:rsidRDefault="008A7415" w:rsidP="004C5BDD">
      <w:pPr>
        <w:pStyle w:val="SingleTxtG"/>
        <w:ind w:left="1701"/>
        <w:rPr>
          <w:lang w:val="fr-CH"/>
        </w:rPr>
      </w:pPr>
      <w:r w:rsidRPr="0071782F">
        <w:rPr>
          <w:lang w:val="fr-CH"/>
        </w:rPr>
        <w:t>226.3.</w:t>
      </w:r>
      <w:r w:rsidRPr="0071782F">
        <w:rPr>
          <w:lang w:val="fr-CH"/>
        </w:rPr>
        <w:tab/>
      </w:r>
      <w:r w:rsidR="003832AA" w:rsidRPr="0071782F">
        <w:rPr>
          <w:lang w:val="fr-CH"/>
        </w:rPr>
        <w:t xml:space="preserve">Entre </w:t>
      </w:r>
      <w:r w:rsidRPr="0071782F">
        <w:rPr>
          <w:lang w:val="fr-CH"/>
        </w:rPr>
        <w:t>2000</w:t>
      </w:r>
      <w:r w:rsidR="003832AA" w:rsidRPr="0071782F">
        <w:rPr>
          <w:lang w:val="fr-CH"/>
        </w:rPr>
        <w:t xml:space="preserve"> et </w:t>
      </w:r>
      <w:r w:rsidRPr="0071782F">
        <w:rPr>
          <w:lang w:val="fr-CH"/>
        </w:rPr>
        <w:t>2008, 13</w:t>
      </w:r>
      <w:r w:rsidR="00D3560C" w:rsidRPr="0071782F">
        <w:rPr>
          <w:lang w:val="fr-CH"/>
        </w:rPr>
        <w:t> </w:t>
      </w:r>
      <w:r w:rsidRPr="0071782F">
        <w:rPr>
          <w:lang w:val="fr-CH"/>
        </w:rPr>
        <w:t>960</w:t>
      </w:r>
      <w:r w:rsidR="00D3560C" w:rsidRPr="0071782F">
        <w:rPr>
          <w:lang w:val="fr-CH"/>
        </w:rPr>
        <w:t> </w:t>
      </w:r>
      <w:r w:rsidRPr="0071782F">
        <w:rPr>
          <w:lang w:val="fr-CH"/>
        </w:rPr>
        <w:t>licen</w:t>
      </w:r>
      <w:r w:rsidR="003832AA" w:rsidRPr="0071782F">
        <w:rPr>
          <w:lang w:val="fr-CH"/>
        </w:rPr>
        <w:t>c</w:t>
      </w:r>
      <w:r w:rsidRPr="0071782F">
        <w:rPr>
          <w:lang w:val="fr-CH"/>
        </w:rPr>
        <w:t xml:space="preserve">es </w:t>
      </w:r>
      <w:r w:rsidR="003832AA" w:rsidRPr="0071782F">
        <w:rPr>
          <w:lang w:val="fr-CH"/>
        </w:rPr>
        <w:t>ont été délivrées à des entreprises alimentaires du secteur des industries de transformation et complémentaires qui se proposaient d’investir 55</w:t>
      </w:r>
      <w:r w:rsidR="003D43D2">
        <w:rPr>
          <w:lang w:val="fr-CH"/>
        </w:rPr>
        <w:t> </w:t>
      </w:r>
      <w:r w:rsidRPr="0071782F">
        <w:rPr>
          <w:lang w:val="fr-CH"/>
        </w:rPr>
        <w:t>000</w:t>
      </w:r>
      <w:r w:rsidR="008553D9" w:rsidRPr="0071782F">
        <w:rPr>
          <w:lang w:val="fr-CH"/>
        </w:rPr>
        <w:t> milliard</w:t>
      </w:r>
      <w:r w:rsidR="00097CDB" w:rsidRPr="0071782F">
        <w:rPr>
          <w:lang w:val="fr-CH"/>
        </w:rPr>
        <w:t>s</w:t>
      </w:r>
      <w:r w:rsidR="003832AA" w:rsidRPr="0071782F">
        <w:rPr>
          <w:lang w:val="fr-CH"/>
        </w:rPr>
        <w:t xml:space="preserve"> </w:t>
      </w:r>
      <w:r w:rsidR="003B1403" w:rsidRPr="0071782F">
        <w:rPr>
          <w:lang w:val="fr-CH"/>
        </w:rPr>
        <w:t>de rials</w:t>
      </w:r>
      <w:r w:rsidR="003832AA" w:rsidRPr="0071782F">
        <w:rPr>
          <w:lang w:val="fr-CH"/>
        </w:rPr>
        <w:t xml:space="preserve"> et de créer </w:t>
      </w:r>
      <w:r w:rsidRPr="0071782F">
        <w:rPr>
          <w:lang w:val="fr-CH"/>
        </w:rPr>
        <w:t>210</w:t>
      </w:r>
      <w:r w:rsidR="00B00574">
        <w:rPr>
          <w:lang w:val="fr-CH"/>
        </w:rPr>
        <w:t> </w:t>
      </w:r>
      <w:r w:rsidRPr="0071782F">
        <w:rPr>
          <w:lang w:val="fr-CH"/>
        </w:rPr>
        <w:t xml:space="preserve">000 </w:t>
      </w:r>
      <w:r w:rsidR="003832AA" w:rsidRPr="0071782F">
        <w:rPr>
          <w:lang w:val="fr-CH"/>
        </w:rPr>
        <w:t>emplois</w:t>
      </w:r>
      <w:r w:rsidRPr="0071782F">
        <w:rPr>
          <w:lang w:val="fr-CH"/>
        </w:rPr>
        <w:t xml:space="preserve">. </w:t>
      </w:r>
      <w:r w:rsidR="003832AA" w:rsidRPr="0071782F">
        <w:rPr>
          <w:lang w:val="fr-CH"/>
        </w:rPr>
        <w:t>Pendant cette période, 3</w:t>
      </w:r>
      <w:r w:rsidR="00D3560C" w:rsidRPr="0071782F">
        <w:rPr>
          <w:lang w:val="fr-CH"/>
        </w:rPr>
        <w:t> </w:t>
      </w:r>
      <w:r w:rsidRPr="0071782F">
        <w:rPr>
          <w:lang w:val="fr-CH"/>
        </w:rPr>
        <w:t>222</w:t>
      </w:r>
      <w:r w:rsidR="00D3560C" w:rsidRPr="0071782F">
        <w:rPr>
          <w:lang w:val="fr-CH"/>
        </w:rPr>
        <w:t> </w:t>
      </w:r>
      <w:r w:rsidR="003832AA" w:rsidRPr="0071782F">
        <w:rPr>
          <w:lang w:val="fr-CH"/>
        </w:rPr>
        <w:t xml:space="preserve">entreprises en possession d’une licence et ayant investi </w:t>
      </w:r>
      <w:r w:rsidRPr="0071782F">
        <w:rPr>
          <w:lang w:val="fr-CH"/>
        </w:rPr>
        <w:t>12</w:t>
      </w:r>
      <w:r w:rsidR="00D3560C" w:rsidRPr="0071782F">
        <w:rPr>
          <w:lang w:val="fr-CH"/>
        </w:rPr>
        <w:t> </w:t>
      </w:r>
      <w:r w:rsidRPr="0071782F">
        <w:rPr>
          <w:lang w:val="fr-CH"/>
        </w:rPr>
        <w:t>745</w:t>
      </w:r>
      <w:r w:rsidR="008553D9" w:rsidRPr="0071782F">
        <w:rPr>
          <w:lang w:val="fr-CH"/>
        </w:rPr>
        <w:t> milliard</w:t>
      </w:r>
      <w:r w:rsidR="00097CDB" w:rsidRPr="0071782F">
        <w:rPr>
          <w:lang w:val="fr-CH"/>
        </w:rPr>
        <w:t>s</w:t>
      </w:r>
      <w:r w:rsidR="003832AA" w:rsidRPr="0071782F">
        <w:rPr>
          <w:lang w:val="fr-CH"/>
        </w:rPr>
        <w:t xml:space="preserve"> </w:t>
      </w:r>
      <w:r w:rsidR="003B1403" w:rsidRPr="0071782F">
        <w:rPr>
          <w:lang w:val="fr-CH"/>
        </w:rPr>
        <w:t>de rials</w:t>
      </w:r>
      <w:r w:rsidRPr="0071782F">
        <w:rPr>
          <w:lang w:val="fr-CH"/>
        </w:rPr>
        <w:t xml:space="preserve"> </w:t>
      </w:r>
      <w:r w:rsidR="003832AA" w:rsidRPr="0071782F">
        <w:rPr>
          <w:lang w:val="fr-CH"/>
        </w:rPr>
        <w:t>et employant 40</w:t>
      </w:r>
      <w:r w:rsidR="00B00574">
        <w:rPr>
          <w:lang w:val="fr-CH"/>
        </w:rPr>
        <w:t> </w:t>
      </w:r>
      <w:r w:rsidRPr="0071782F">
        <w:rPr>
          <w:lang w:val="fr-CH"/>
        </w:rPr>
        <w:t>555</w:t>
      </w:r>
      <w:r w:rsidR="00097CDB" w:rsidRPr="0071782F">
        <w:rPr>
          <w:lang w:val="fr-CH"/>
        </w:rPr>
        <w:t> personnes</w:t>
      </w:r>
      <w:r w:rsidR="003832AA" w:rsidRPr="0071782F">
        <w:rPr>
          <w:lang w:val="fr-CH"/>
        </w:rPr>
        <w:t xml:space="preserve"> sont devenues opérationnelles</w:t>
      </w:r>
      <w:r w:rsidRPr="0071782F">
        <w:rPr>
          <w:lang w:val="fr-CH"/>
        </w:rPr>
        <w:t xml:space="preserve">. </w:t>
      </w:r>
      <w:r w:rsidR="003832AA" w:rsidRPr="0071782F">
        <w:rPr>
          <w:lang w:val="fr-CH"/>
        </w:rPr>
        <w:t xml:space="preserve">Au cours des quatre premières années du </w:t>
      </w:r>
      <w:r w:rsidR="00A90208" w:rsidRPr="0071782F">
        <w:rPr>
          <w:lang w:val="fr-CH"/>
        </w:rPr>
        <w:t>quatrième</w:t>
      </w:r>
      <w:r w:rsidR="003832AA" w:rsidRPr="0071782F">
        <w:rPr>
          <w:lang w:val="fr-CH"/>
        </w:rPr>
        <w:t xml:space="preserve"> plan de développement (2005-2008), le volume total de produits agricoles transformés par les nouvelles industries de transformation et complémentaires a été de </w:t>
      </w:r>
      <w:r w:rsidRPr="0071782F">
        <w:rPr>
          <w:lang w:val="fr-CH"/>
        </w:rPr>
        <w:t>11</w:t>
      </w:r>
      <w:r w:rsidR="003832AA" w:rsidRPr="0071782F">
        <w:rPr>
          <w:lang w:val="fr-CH"/>
        </w:rPr>
        <w:t> </w:t>
      </w:r>
      <w:r w:rsidRPr="0071782F">
        <w:rPr>
          <w:lang w:val="fr-CH"/>
        </w:rPr>
        <w:t>591</w:t>
      </w:r>
      <w:r w:rsidR="00D3560C" w:rsidRPr="0071782F">
        <w:rPr>
          <w:lang w:val="fr-CH"/>
        </w:rPr>
        <w:t> </w:t>
      </w:r>
      <w:r w:rsidRPr="0071782F">
        <w:rPr>
          <w:lang w:val="fr-CH"/>
        </w:rPr>
        <w:t>000</w:t>
      </w:r>
      <w:r w:rsidR="00D3560C" w:rsidRPr="0071782F">
        <w:rPr>
          <w:lang w:val="fr-CH"/>
        </w:rPr>
        <w:t> t</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3832AA" w:rsidRPr="0071782F">
        <w:rPr>
          <w:lang w:val="fr-CH"/>
        </w:rPr>
        <w:t xml:space="preserve">Couverture assurantielle </w:t>
      </w:r>
    </w:p>
    <w:p w:rsidR="008A7415" w:rsidRPr="0071782F" w:rsidRDefault="008A7415" w:rsidP="00204410">
      <w:pPr>
        <w:pStyle w:val="SingleTxtG"/>
        <w:rPr>
          <w:lang w:val="fr-CH"/>
        </w:rPr>
      </w:pPr>
      <w:r w:rsidRPr="0071782F">
        <w:rPr>
          <w:lang w:val="fr-CH"/>
        </w:rPr>
        <w:t>227.</w:t>
      </w:r>
      <w:r w:rsidRPr="0071782F">
        <w:rPr>
          <w:lang w:val="fr-CH"/>
        </w:rPr>
        <w:tab/>
      </w:r>
      <w:r w:rsidR="003832AA" w:rsidRPr="0071782F">
        <w:rPr>
          <w:lang w:val="fr-CH"/>
        </w:rPr>
        <w:t>Deux des principales préoccupations des pays où l’agriculture tient une place essentielle dans l’économie sont l’appui au secteur agricole et la stabilisation des revenus des agriculteurs</w:t>
      </w:r>
      <w:r w:rsidRPr="0071782F">
        <w:rPr>
          <w:lang w:val="fr-CH"/>
        </w:rPr>
        <w:t xml:space="preserve">. </w:t>
      </w:r>
      <w:r w:rsidR="003832AA" w:rsidRPr="0071782F">
        <w:rPr>
          <w:lang w:val="fr-CH"/>
        </w:rPr>
        <w:t>La couverture assurantielle en tant</w:t>
      </w:r>
      <w:r w:rsidR="00786702" w:rsidRPr="0071782F">
        <w:rPr>
          <w:lang w:val="fr-CH"/>
        </w:rPr>
        <w:t xml:space="preserve"> que moyen d’appui a d’</w:t>
      </w:r>
      <w:r w:rsidR="001C4954" w:rsidRPr="0071782F">
        <w:rPr>
          <w:lang w:val="fr-CH"/>
        </w:rPr>
        <w:t xml:space="preserve">abord bénéficié à deux cultures – </w:t>
      </w:r>
      <w:r w:rsidR="00786702" w:rsidRPr="0071782F">
        <w:rPr>
          <w:lang w:val="fr-CH"/>
        </w:rPr>
        <w:t xml:space="preserve">le coton et la betterave à sucre – dans les trois provinces de </w:t>
      </w:r>
      <w:r w:rsidRPr="0071782F">
        <w:rPr>
          <w:lang w:val="fr-CH"/>
        </w:rPr>
        <w:t xml:space="preserve">Mazanderan, Golestan </w:t>
      </w:r>
      <w:r w:rsidR="00786702" w:rsidRPr="0071782F">
        <w:rPr>
          <w:lang w:val="fr-CH"/>
        </w:rPr>
        <w:t>et</w:t>
      </w:r>
      <w:r w:rsidRPr="0071782F">
        <w:rPr>
          <w:lang w:val="fr-CH"/>
        </w:rPr>
        <w:t xml:space="preserve"> Khorasan, </w:t>
      </w:r>
      <w:r w:rsidR="00786702" w:rsidRPr="0071782F">
        <w:rPr>
          <w:lang w:val="fr-CH"/>
        </w:rPr>
        <w:t>l’assurance concernant dans un premier temps un</w:t>
      </w:r>
      <w:r w:rsidRPr="0071782F">
        <w:rPr>
          <w:lang w:val="fr-CH"/>
        </w:rPr>
        <w:t xml:space="preserve"> certain p</w:t>
      </w:r>
      <w:r w:rsidR="00786702" w:rsidRPr="0071782F">
        <w:rPr>
          <w:lang w:val="fr-CH"/>
        </w:rPr>
        <w:t>ourcentage des terres cultivées, avant d’être étendue à d’autres cultures pratiquées dans d’autres provinces du pays</w:t>
      </w:r>
      <w:r w:rsidRPr="0071782F">
        <w:rPr>
          <w:lang w:val="fr-CH"/>
        </w:rPr>
        <w:t>.</w:t>
      </w:r>
    </w:p>
    <w:p w:rsidR="008A7415" w:rsidRPr="0071782F" w:rsidRDefault="008A7415" w:rsidP="005F3317">
      <w:pPr>
        <w:pStyle w:val="SingleTxtG"/>
        <w:ind w:left="1701"/>
        <w:rPr>
          <w:lang w:val="fr-CH"/>
        </w:rPr>
      </w:pPr>
      <w:r w:rsidRPr="0071782F">
        <w:rPr>
          <w:lang w:val="fr-CH"/>
        </w:rPr>
        <w:t>227.1.</w:t>
      </w:r>
      <w:r w:rsidRPr="0071782F">
        <w:rPr>
          <w:lang w:val="fr-CH"/>
        </w:rPr>
        <w:tab/>
      </w:r>
      <w:r w:rsidR="00F91C69" w:rsidRPr="0071782F">
        <w:rPr>
          <w:lang w:val="fr-CH"/>
        </w:rPr>
        <w:t xml:space="preserve">Le </w:t>
      </w:r>
      <w:r w:rsidR="003B48A4" w:rsidRPr="0071782F">
        <w:rPr>
          <w:lang w:val="fr-CH"/>
        </w:rPr>
        <w:t>nombre</w:t>
      </w:r>
      <w:r w:rsidRPr="0071782F">
        <w:rPr>
          <w:lang w:val="fr-CH"/>
        </w:rPr>
        <w:t xml:space="preserve"> </w:t>
      </w:r>
      <w:r w:rsidR="00F91C69" w:rsidRPr="0071782F">
        <w:rPr>
          <w:lang w:val="fr-CH"/>
        </w:rPr>
        <w:t xml:space="preserve">des cultures assurées est passé de deux en </w:t>
      </w:r>
      <w:r w:rsidRPr="0071782F">
        <w:rPr>
          <w:lang w:val="fr-CH"/>
        </w:rPr>
        <w:t xml:space="preserve">1985 </w:t>
      </w:r>
      <w:r w:rsidR="00F91C69" w:rsidRPr="0071782F">
        <w:rPr>
          <w:lang w:val="fr-CH"/>
        </w:rPr>
        <w:t>à</w:t>
      </w:r>
      <w:r w:rsidRPr="0071782F">
        <w:rPr>
          <w:lang w:val="fr-CH"/>
        </w:rPr>
        <w:t xml:space="preserve"> 65 </w:t>
      </w:r>
      <w:r w:rsidR="00F91C69" w:rsidRPr="0071782F">
        <w:rPr>
          <w:lang w:val="fr-CH"/>
        </w:rPr>
        <w:t xml:space="preserve">à la fin du </w:t>
      </w:r>
      <w:r w:rsidR="009E6189">
        <w:rPr>
          <w:lang w:val="fr-CH"/>
        </w:rPr>
        <w:t xml:space="preserve">troisième </w:t>
      </w:r>
      <w:r w:rsidR="00F91C69" w:rsidRPr="0071782F">
        <w:rPr>
          <w:lang w:val="fr-CH"/>
        </w:rPr>
        <w:t xml:space="preserve">plan de développement, puis à </w:t>
      </w:r>
      <w:r w:rsidRPr="0071782F">
        <w:rPr>
          <w:lang w:val="fr-CH"/>
        </w:rPr>
        <w:t xml:space="preserve">94 </w:t>
      </w:r>
      <w:r w:rsidR="00F91C69" w:rsidRPr="0071782F">
        <w:rPr>
          <w:lang w:val="fr-CH"/>
        </w:rPr>
        <w:t xml:space="preserve">au cours de la troisième année du </w:t>
      </w:r>
      <w:r w:rsidR="00A90208" w:rsidRPr="0071782F">
        <w:rPr>
          <w:lang w:val="fr-CH"/>
        </w:rPr>
        <w:t>quatrième</w:t>
      </w:r>
      <w:r w:rsidR="009E6189">
        <w:rPr>
          <w:lang w:val="fr-CH"/>
        </w:rPr>
        <w:t xml:space="preserve"> </w:t>
      </w:r>
      <w:r w:rsidR="00F91C69" w:rsidRPr="0071782F">
        <w:rPr>
          <w:lang w:val="fr-CH"/>
        </w:rPr>
        <w:t>plan,</w:t>
      </w:r>
      <w:r w:rsidR="001C4954" w:rsidRPr="0071782F">
        <w:rPr>
          <w:lang w:val="fr-CH"/>
        </w:rPr>
        <w:t xml:space="preserve"> ce qui a fait passer les super</w:t>
      </w:r>
      <w:r w:rsidR="00F91C69" w:rsidRPr="0071782F">
        <w:rPr>
          <w:lang w:val="fr-CH"/>
        </w:rPr>
        <w:t xml:space="preserve">ficies des terres agricoles et des vergers assurés de </w:t>
      </w:r>
      <w:r w:rsidRPr="0071782F">
        <w:rPr>
          <w:lang w:val="fr-CH"/>
        </w:rPr>
        <w:t>1</w:t>
      </w:r>
      <w:r w:rsidR="00F91C69" w:rsidRPr="0071782F">
        <w:rPr>
          <w:lang w:val="fr-CH"/>
        </w:rPr>
        <w:t> </w:t>
      </w:r>
      <w:r w:rsidRPr="0071782F">
        <w:rPr>
          <w:lang w:val="fr-CH"/>
        </w:rPr>
        <w:t>658</w:t>
      </w:r>
      <w:r w:rsidR="00D3560C" w:rsidRPr="0071782F">
        <w:rPr>
          <w:lang w:val="fr-CH"/>
        </w:rPr>
        <w:t> </w:t>
      </w:r>
      <w:r w:rsidRPr="0071782F">
        <w:rPr>
          <w:lang w:val="fr-CH"/>
        </w:rPr>
        <w:t>000</w:t>
      </w:r>
      <w:r w:rsidR="00F071D1" w:rsidRPr="0071782F">
        <w:rPr>
          <w:lang w:val="fr-CH"/>
        </w:rPr>
        <w:t> h</w:t>
      </w:r>
      <w:r w:rsidR="009E6189">
        <w:rPr>
          <w:lang w:val="fr-CH"/>
        </w:rPr>
        <w:t>a</w:t>
      </w:r>
      <w:r w:rsidRPr="0071782F">
        <w:rPr>
          <w:lang w:val="fr-CH"/>
        </w:rPr>
        <w:t xml:space="preserve"> </w:t>
      </w:r>
      <w:r w:rsidR="00F91C69" w:rsidRPr="0071782F">
        <w:rPr>
          <w:lang w:val="fr-CH"/>
        </w:rPr>
        <w:t xml:space="preserve">au début du </w:t>
      </w:r>
      <w:r w:rsidR="009E6189">
        <w:rPr>
          <w:lang w:val="fr-CH"/>
        </w:rPr>
        <w:t>troisième</w:t>
      </w:r>
      <w:r w:rsidR="00F91C69" w:rsidRPr="0071782F">
        <w:rPr>
          <w:lang w:val="fr-CH"/>
        </w:rPr>
        <w:t xml:space="preserve"> plan à </w:t>
      </w:r>
      <w:r w:rsidRPr="0071782F">
        <w:rPr>
          <w:lang w:val="fr-CH"/>
        </w:rPr>
        <w:t>5</w:t>
      </w:r>
      <w:r w:rsidR="00F91C69" w:rsidRPr="0071782F">
        <w:rPr>
          <w:lang w:val="fr-CH"/>
        </w:rPr>
        <w:t> </w:t>
      </w:r>
      <w:r w:rsidRPr="0071782F">
        <w:rPr>
          <w:lang w:val="fr-CH"/>
        </w:rPr>
        <w:t>397</w:t>
      </w:r>
      <w:r w:rsidR="003D43D2">
        <w:rPr>
          <w:lang w:val="fr-CH"/>
        </w:rPr>
        <w:t> </w:t>
      </w:r>
      <w:r w:rsidRPr="0071782F">
        <w:rPr>
          <w:lang w:val="fr-CH"/>
        </w:rPr>
        <w:t>000</w:t>
      </w:r>
      <w:r w:rsidR="00F071D1" w:rsidRPr="0071782F">
        <w:rPr>
          <w:lang w:val="fr-CH"/>
        </w:rPr>
        <w:t> h</w:t>
      </w:r>
      <w:r w:rsidR="009E6189">
        <w:rPr>
          <w:lang w:val="fr-CH"/>
        </w:rPr>
        <w:t>a</w:t>
      </w:r>
      <w:r w:rsidRPr="0071782F">
        <w:rPr>
          <w:lang w:val="fr-CH"/>
        </w:rPr>
        <w:t xml:space="preserve"> </w:t>
      </w:r>
      <w:r w:rsidR="00F91C69" w:rsidRPr="0071782F">
        <w:rPr>
          <w:lang w:val="fr-CH"/>
        </w:rPr>
        <w:t xml:space="preserve">au cours de la troisième année du </w:t>
      </w:r>
      <w:r w:rsidR="00A90208" w:rsidRPr="0071782F">
        <w:rPr>
          <w:lang w:val="fr-CH"/>
        </w:rPr>
        <w:t>quatrième</w:t>
      </w:r>
      <w:r w:rsidR="00D3560C" w:rsidRPr="0071782F">
        <w:rPr>
          <w:lang w:val="fr-CH"/>
        </w:rPr>
        <w:t> </w:t>
      </w:r>
      <w:r w:rsidR="00F91C69" w:rsidRPr="0071782F">
        <w:rPr>
          <w:lang w:val="fr-CH"/>
        </w:rPr>
        <w:t>plan</w:t>
      </w:r>
      <w:r w:rsidRPr="0071782F">
        <w:rPr>
          <w:lang w:val="fr-CH"/>
        </w:rPr>
        <w:t>.</w:t>
      </w:r>
    </w:p>
    <w:p w:rsidR="008A7415" w:rsidRPr="0071782F" w:rsidRDefault="008A7415" w:rsidP="00197BA2">
      <w:pPr>
        <w:pStyle w:val="SingleTxtG"/>
        <w:keepNext/>
        <w:keepLines/>
        <w:ind w:left="1701"/>
        <w:rPr>
          <w:lang w:val="fr-CH"/>
        </w:rPr>
      </w:pPr>
      <w:r w:rsidRPr="0071782F">
        <w:rPr>
          <w:lang w:val="fr-CH"/>
        </w:rPr>
        <w:t>227.2.</w:t>
      </w:r>
      <w:r w:rsidRPr="0071782F">
        <w:rPr>
          <w:lang w:val="fr-CH"/>
        </w:rPr>
        <w:tab/>
      </w:r>
      <w:r w:rsidR="00B70F5E" w:rsidRPr="0071782F">
        <w:rPr>
          <w:lang w:val="fr-CH"/>
        </w:rPr>
        <w:t>L’élevage de certaines espèces de bétail et de volaille a également été assuré au titre des produits agricoles.</w:t>
      </w:r>
    </w:p>
    <w:p w:rsidR="008A7415" w:rsidRPr="0071782F" w:rsidRDefault="008A7415" w:rsidP="00197BA2">
      <w:pPr>
        <w:pStyle w:val="SingleTxtG"/>
        <w:keepNext/>
        <w:keepLines/>
        <w:ind w:left="1701"/>
        <w:rPr>
          <w:lang w:val="fr-CH"/>
        </w:rPr>
      </w:pPr>
      <w:r w:rsidRPr="0071782F">
        <w:rPr>
          <w:lang w:val="fr-CH"/>
        </w:rPr>
        <w:t>227.3.</w:t>
      </w:r>
      <w:r w:rsidRPr="0071782F">
        <w:rPr>
          <w:lang w:val="fr-CH"/>
        </w:rPr>
        <w:tab/>
      </w:r>
      <w:r w:rsidR="00B70F5E" w:rsidRPr="0071782F">
        <w:rPr>
          <w:lang w:val="fr-CH"/>
        </w:rPr>
        <w:t xml:space="preserve">Le </w:t>
      </w:r>
      <w:r w:rsidR="003B48A4" w:rsidRPr="0071782F">
        <w:rPr>
          <w:lang w:val="fr-CH"/>
        </w:rPr>
        <w:t>nombre</w:t>
      </w:r>
      <w:r w:rsidRPr="0071782F">
        <w:rPr>
          <w:lang w:val="fr-CH"/>
        </w:rPr>
        <w:t xml:space="preserve"> </w:t>
      </w:r>
      <w:r w:rsidR="00B70F5E" w:rsidRPr="0071782F">
        <w:rPr>
          <w:lang w:val="fr-CH"/>
        </w:rPr>
        <w:t xml:space="preserve">d’oiseaux de basse-cour assurés est passé de </w:t>
      </w:r>
      <w:r w:rsidRPr="0071782F">
        <w:rPr>
          <w:lang w:val="fr-CH"/>
        </w:rPr>
        <w:t>376</w:t>
      </w:r>
      <w:r w:rsidR="00097CDB" w:rsidRPr="0071782F">
        <w:rPr>
          <w:lang w:val="fr-CH"/>
        </w:rPr>
        <w:t> millions</w:t>
      </w:r>
      <w:r w:rsidRPr="0071782F">
        <w:rPr>
          <w:lang w:val="fr-CH"/>
        </w:rPr>
        <w:t xml:space="preserve"> </w:t>
      </w:r>
      <w:r w:rsidR="00B70F5E" w:rsidRPr="0071782F">
        <w:rPr>
          <w:lang w:val="fr-CH"/>
        </w:rPr>
        <w:t xml:space="preserve">en </w:t>
      </w:r>
      <w:r w:rsidRPr="0071782F">
        <w:rPr>
          <w:lang w:val="fr-CH"/>
        </w:rPr>
        <w:t xml:space="preserve">2005 </w:t>
      </w:r>
      <w:r w:rsidR="00B70F5E" w:rsidRPr="0071782F">
        <w:rPr>
          <w:lang w:val="fr-CH"/>
        </w:rPr>
        <w:t xml:space="preserve">à </w:t>
      </w:r>
      <w:r w:rsidRPr="0071782F">
        <w:rPr>
          <w:lang w:val="fr-CH"/>
        </w:rPr>
        <w:t>511</w:t>
      </w:r>
      <w:r w:rsidR="00097CDB" w:rsidRPr="0071782F">
        <w:rPr>
          <w:lang w:val="fr-CH"/>
        </w:rPr>
        <w:t> millions</w:t>
      </w:r>
      <w:r w:rsidRPr="0071782F">
        <w:rPr>
          <w:lang w:val="fr-CH"/>
        </w:rPr>
        <w:t xml:space="preserve"> </w:t>
      </w:r>
      <w:r w:rsidR="00B70F5E" w:rsidRPr="0071782F">
        <w:rPr>
          <w:lang w:val="fr-CH"/>
        </w:rPr>
        <w:t>e</w:t>
      </w:r>
      <w:r w:rsidRPr="0071782F">
        <w:rPr>
          <w:lang w:val="fr-CH"/>
        </w:rPr>
        <w:t xml:space="preserve">n 2008. </w:t>
      </w:r>
      <w:r w:rsidR="00B70F5E" w:rsidRPr="0071782F">
        <w:rPr>
          <w:lang w:val="fr-CH"/>
        </w:rPr>
        <w:t xml:space="preserve">De même, le </w:t>
      </w:r>
      <w:r w:rsidR="003B48A4" w:rsidRPr="0071782F">
        <w:rPr>
          <w:lang w:val="fr-CH"/>
        </w:rPr>
        <w:t>nombre</w:t>
      </w:r>
      <w:r w:rsidRPr="0071782F">
        <w:rPr>
          <w:lang w:val="fr-CH"/>
        </w:rPr>
        <w:t xml:space="preserve"> </w:t>
      </w:r>
      <w:r w:rsidR="00B70F5E" w:rsidRPr="0071782F">
        <w:rPr>
          <w:lang w:val="fr-CH"/>
        </w:rPr>
        <w:t xml:space="preserve">de têtes de bétail assurées a fait un bond, passant de </w:t>
      </w:r>
      <w:r w:rsidRPr="0071782F">
        <w:rPr>
          <w:lang w:val="fr-CH"/>
        </w:rPr>
        <w:t>3</w:t>
      </w:r>
      <w:r w:rsidR="00B70F5E" w:rsidRPr="0071782F">
        <w:rPr>
          <w:lang w:val="fr-CH"/>
        </w:rPr>
        <w:t>,</w:t>
      </w:r>
      <w:r w:rsidRPr="0071782F">
        <w:rPr>
          <w:lang w:val="fr-CH"/>
        </w:rPr>
        <w:t>1</w:t>
      </w:r>
      <w:r w:rsidR="00097CDB" w:rsidRPr="0071782F">
        <w:rPr>
          <w:lang w:val="fr-CH"/>
        </w:rPr>
        <w:t> millions</w:t>
      </w:r>
      <w:r w:rsidRPr="0071782F">
        <w:rPr>
          <w:lang w:val="fr-CH"/>
        </w:rPr>
        <w:t xml:space="preserve"> </w:t>
      </w:r>
      <w:r w:rsidR="00B70F5E" w:rsidRPr="0071782F">
        <w:rPr>
          <w:lang w:val="fr-CH"/>
        </w:rPr>
        <w:t xml:space="preserve">au début du </w:t>
      </w:r>
      <w:r w:rsidR="009E6189">
        <w:rPr>
          <w:lang w:val="fr-CH"/>
        </w:rPr>
        <w:t>troisième</w:t>
      </w:r>
      <w:r w:rsidR="00B70F5E" w:rsidRPr="0071782F">
        <w:rPr>
          <w:lang w:val="fr-CH"/>
        </w:rPr>
        <w:t xml:space="preserve"> plan à </w:t>
      </w:r>
      <w:r w:rsidRPr="0071782F">
        <w:rPr>
          <w:lang w:val="fr-CH"/>
        </w:rPr>
        <w:t>6</w:t>
      </w:r>
      <w:r w:rsidR="00B70F5E" w:rsidRPr="0071782F">
        <w:rPr>
          <w:lang w:val="fr-CH"/>
        </w:rPr>
        <w:t>,</w:t>
      </w:r>
      <w:r w:rsidRPr="0071782F">
        <w:rPr>
          <w:lang w:val="fr-CH"/>
        </w:rPr>
        <w:t>3</w:t>
      </w:r>
      <w:r w:rsidR="00097CDB" w:rsidRPr="0071782F">
        <w:rPr>
          <w:lang w:val="fr-CH"/>
        </w:rPr>
        <w:t> millions</w:t>
      </w:r>
      <w:r w:rsidR="00B70F5E" w:rsidRPr="0071782F">
        <w:rPr>
          <w:lang w:val="fr-CH"/>
        </w:rPr>
        <w:t xml:space="preserve"> à la fin du même plan et à </w:t>
      </w:r>
      <w:r w:rsidRPr="0071782F">
        <w:rPr>
          <w:lang w:val="fr-CH"/>
        </w:rPr>
        <w:t>11</w:t>
      </w:r>
      <w:r w:rsidR="00B70F5E" w:rsidRPr="0071782F">
        <w:rPr>
          <w:lang w:val="fr-CH"/>
        </w:rPr>
        <w:t>,</w:t>
      </w:r>
      <w:r w:rsidRPr="0071782F">
        <w:rPr>
          <w:lang w:val="fr-CH"/>
        </w:rPr>
        <w:t>4</w:t>
      </w:r>
      <w:r w:rsidR="00097CDB" w:rsidRPr="0071782F">
        <w:rPr>
          <w:lang w:val="fr-CH"/>
        </w:rPr>
        <w:t> millions</w:t>
      </w:r>
      <w:r w:rsidRPr="0071782F">
        <w:rPr>
          <w:lang w:val="fr-CH"/>
        </w:rPr>
        <w:t xml:space="preserve"> </w:t>
      </w:r>
      <w:r w:rsidR="00B70F5E" w:rsidRPr="0071782F">
        <w:rPr>
          <w:lang w:val="fr-CH"/>
        </w:rPr>
        <w:t xml:space="preserve">au cours de la troisième année du </w:t>
      </w:r>
      <w:r w:rsidR="00A90208" w:rsidRPr="0071782F">
        <w:rPr>
          <w:lang w:val="fr-CH"/>
        </w:rPr>
        <w:t>quatrième</w:t>
      </w:r>
      <w:r w:rsidR="00D3560C" w:rsidRPr="0071782F">
        <w:rPr>
          <w:lang w:val="fr-CH"/>
        </w:rPr>
        <w:t> </w:t>
      </w:r>
      <w:r w:rsidR="00B70F5E" w:rsidRPr="0071782F">
        <w:rPr>
          <w:lang w:val="fr-CH"/>
        </w:rPr>
        <w:t>plan</w:t>
      </w:r>
      <w:r w:rsidRPr="0071782F">
        <w:rPr>
          <w:lang w:val="fr-CH"/>
        </w:rPr>
        <w:t>.</w:t>
      </w:r>
    </w:p>
    <w:p w:rsidR="008A7415" w:rsidRPr="00B00574" w:rsidRDefault="008A7415" w:rsidP="005F3317">
      <w:pPr>
        <w:pStyle w:val="SingleTxtG"/>
        <w:ind w:left="1701"/>
        <w:rPr>
          <w:spacing w:val="-2"/>
          <w:lang w:val="fr-CH"/>
        </w:rPr>
      </w:pPr>
      <w:r w:rsidRPr="00B00574">
        <w:rPr>
          <w:spacing w:val="-2"/>
          <w:lang w:val="fr-CH"/>
        </w:rPr>
        <w:t>227.4.</w:t>
      </w:r>
      <w:r w:rsidRPr="00B00574">
        <w:rPr>
          <w:spacing w:val="-2"/>
          <w:lang w:val="fr-CH"/>
        </w:rPr>
        <w:tab/>
      </w:r>
      <w:r w:rsidR="00B70F5E" w:rsidRPr="00B00574">
        <w:rPr>
          <w:spacing w:val="-2"/>
          <w:lang w:val="fr-CH"/>
        </w:rPr>
        <w:t>Au</w:t>
      </w:r>
      <w:r w:rsidRPr="00B00574">
        <w:rPr>
          <w:spacing w:val="-2"/>
          <w:lang w:val="fr-CH"/>
        </w:rPr>
        <w:t xml:space="preserve"> total, </w:t>
      </w:r>
      <w:r w:rsidR="00B70F5E" w:rsidRPr="00B00574">
        <w:rPr>
          <w:spacing w:val="-2"/>
          <w:lang w:val="fr-CH"/>
        </w:rPr>
        <w:t xml:space="preserve">le </w:t>
      </w:r>
      <w:r w:rsidR="003B48A4" w:rsidRPr="00B00574">
        <w:rPr>
          <w:spacing w:val="-2"/>
          <w:lang w:val="fr-CH"/>
        </w:rPr>
        <w:t>nombre</w:t>
      </w:r>
      <w:r w:rsidRPr="00B00574">
        <w:rPr>
          <w:spacing w:val="-2"/>
          <w:lang w:val="fr-CH"/>
        </w:rPr>
        <w:t xml:space="preserve"> </w:t>
      </w:r>
      <w:r w:rsidR="00B70F5E" w:rsidRPr="00B00574">
        <w:rPr>
          <w:spacing w:val="-2"/>
          <w:lang w:val="fr-CH"/>
        </w:rPr>
        <w:t>d’utilisateurs assurés est passé de 420 </w:t>
      </w:r>
      <w:r w:rsidRPr="00B00574">
        <w:rPr>
          <w:spacing w:val="-2"/>
          <w:lang w:val="fr-CH"/>
        </w:rPr>
        <w:t xml:space="preserve">000 </w:t>
      </w:r>
      <w:r w:rsidR="00B70F5E" w:rsidRPr="00B00574">
        <w:rPr>
          <w:spacing w:val="-2"/>
          <w:lang w:val="fr-CH"/>
        </w:rPr>
        <w:t xml:space="preserve">au début du </w:t>
      </w:r>
      <w:r w:rsidR="009E6189" w:rsidRPr="00B00574">
        <w:rPr>
          <w:spacing w:val="-2"/>
          <w:lang w:val="fr-CH"/>
        </w:rPr>
        <w:t>troisième</w:t>
      </w:r>
      <w:r w:rsidR="00B70F5E" w:rsidRPr="00B00574">
        <w:rPr>
          <w:spacing w:val="-2"/>
          <w:lang w:val="fr-CH"/>
        </w:rPr>
        <w:t xml:space="preserve"> plan à </w:t>
      </w:r>
      <w:r w:rsidRPr="00B00574">
        <w:rPr>
          <w:spacing w:val="-2"/>
          <w:lang w:val="fr-CH"/>
        </w:rPr>
        <w:t>1</w:t>
      </w:r>
      <w:r w:rsidR="00B70F5E" w:rsidRPr="00B00574">
        <w:rPr>
          <w:spacing w:val="-2"/>
          <w:lang w:val="fr-CH"/>
        </w:rPr>
        <w:t> </w:t>
      </w:r>
      <w:r w:rsidRPr="00B00574">
        <w:rPr>
          <w:spacing w:val="-2"/>
          <w:lang w:val="fr-CH"/>
        </w:rPr>
        <w:t>201</w:t>
      </w:r>
      <w:r w:rsidR="00B70F5E" w:rsidRPr="00B00574">
        <w:rPr>
          <w:spacing w:val="-2"/>
          <w:lang w:val="fr-CH"/>
        </w:rPr>
        <w:t> </w:t>
      </w:r>
      <w:r w:rsidRPr="00B00574">
        <w:rPr>
          <w:spacing w:val="-2"/>
          <w:lang w:val="fr-CH"/>
        </w:rPr>
        <w:t xml:space="preserve">000 </w:t>
      </w:r>
      <w:r w:rsidR="00B70F5E" w:rsidRPr="00B00574">
        <w:rPr>
          <w:spacing w:val="-2"/>
          <w:lang w:val="fr-CH"/>
        </w:rPr>
        <w:t xml:space="preserve">à la fin du même plan et à </w:t>
      </w:r>
      <w:r w:rsidRPr="00B00574">
        <w:rPr>
          <w:spacing w:val="-2"/>
          <w:lang w:val="fr-CH"/>
        </w:rPr>
        <w:t>1</w:t>
      </w:r>
      <w:r w:rsidR="00B70F5E" w:rsidRPr="00B00574">
        <w:rPr>
          <w:spacing w:val="-2"/>
          <w:lang w:val="fr-CH"/>
        </w:rPr>
        <w:t> </w:t>
      </w:r>
      <w:r w:rsidRPr="00B00574">
        <w:rPr>
          <w:spacing w:val="-2"/>
          <w:lang w:val="fr-CH"/>
        </w:rPr>
        <w:t>725</w:t>
      </w:r>
      <w:r w:rsidR="00B70F5E" w:rsidRPr="00B00574">
        <w:rPr>
          <w:spacing w:val="-2"/>
          <w:lang w:val="fr-CH"/>
        </w:rPr>
        <w:t> </w:t>
      </w:r>
      <w:r w:rsidRPr="00B00574">
        <w:rPr>
          <w:spacing w:val="-2"/>
          <w:lang w:val="fr-CH"/>
        </w:rPr>
        <w:t xml:space="preserve">000 </w:t>
      </w:r>
      <w:r w:rsidR="00B70F5E" w:rsidRPr="00B00574">
        <w:rPr>
          <w:spacing w:val="-2"/>
          <w:lang w:val="fr-CH"/>
        </w:rPr>
        <w:t xml:space="preserve">au cours de la troisième année du </w:t>
      </w:r>
      <w:r w:rsidR="00A90208" w:rsidRPr="00B00574">
        <w:rPr>
          <w:spacing w:val="-2"/>
          <w:lang w:val="fr-CH"/>
        </w:rPr>
        <w:t>quatrième</w:t>
      </w:r>
      <w:r w:rsidR="003D43D2">
        <w:rPr>
          <w:spacing w:val="-2"/>
          <w:lang w:val="fr-CH"/>
        </w:rPr>
        <w:t xml:space="preserve"> </w:t>
      </w:r>
      <w:r w:rsidR="00B70F5E" w:rsidRPr="00B00574">
        <w:rPr>
          <w:spacing w:val="-2"/>
          <w:lang w:val="fr-CH"/>
        </w:rPr>
        <w:t>plan</w:t>
      </w:r>
      <w:r w:rsidRPr="00B00574">
        <w:rPr>
          <w:spacing w:val="-2"/>
          <w:lang w:val="fr-CH"/>
        </w:rPr>
        <w:t xml:space="preserve">. </w:t>
      </w:r>
      <w:r w:rsidR="00B70F5E" w:rsidRPr="00B00574">
        <w:rPr>
          <w:spacing w:val="-2"/>
          <w:lang w:val="fr-CH"/>
        </w:rPr>
        <w:t>De même</w:t>
      </w:r>
      <w:r w:rsidRPr="00B00574">
        <w:rPr>
          <w:spacing w:val="-2"/>
          <w:lang w:val="fr-CH"/>
        </w:rPr>
        <w:t xml:space="preserve">, </w:t>
      </w:r>
      <w:r w:rsidR="00B70F5E" w:rsidRPr="00B00574">
        <w:rPr>
          <w:spacing w:val="-2"/>
          <w:lang w:val="fr-CH"/>
        </w:rPr>
        <w:t xml:space="preserve">le montant des indemnités versées par les sociétés d’assurances est passé de </w:t>
      </w:r>
      <w:r w:rsidRPr="00B00574">
        <w:rPr>
          <w:spacing w:val="-2"/>
          <w:lang w:val="fr-CH"/>
        </w:rPr>
        <w:t>2</w:t>
      </w:r>
      <w:r w:rsidR="00D3560C" w:rsidRPr="00B00574">
        <w:rPr>
          <w:spacing w:val="-2"/>
          <w:lang w:val="fr-CH"/>
        </w:rPr>
        <w:t> </w:t>
      </w:r>
      <w:r w:rsidRPr="00B00574">
        <w:rPr>
          <w:spacing w:val="-2"/>
          <w:lang w:val="fr-CH"/>
        </w:rPr>
        <w:t>513</w:t>
      </w:r>
      <w:r w:rsidR="008553D9" w:rsidRPr="00B00574">
        <w:rPr>
          <w:spacing w:val="-2"/>
          <w:lang w:val="fr-CH"/>
        </w:rPr>
        <w:t> milliard</w:t>
      </w:r>
      <w:r w:rsidR="00097CDB" w:rsidRPr="00B00574">
        <w:rPr>
          <w:spacing w:val="-2"/>
          <w:lang w:val="fr-CH"/>
        </w:rPr>
        <w:t>s</w:t>
      </w:r>
      <w:r w:rsidR="00B70F5E" w:rsidRPr="00B00574">
        <w:rPr>
          <w:spacing w:val="-2"/>
          <w:lang w:val="fr-CH"/>
        </w:rPr>
        <w:t xml:space="preserve"> </w:t>
      </w:r>
      <w:r w:rsidR="003B1403" w:rsidRPr="00B00574">
        <w:rPr>
          <w:spacing w:val="-2"/>
          <w:lang w:val="fr-CH"/>
        </w:rPr>
        <w:t>de rials</w:t>
      </w:r>
      <w:r w:rsidRPr="00B00574">
        <w:rPr>
          <w:spacing w:val="-2"/>
          <w:lang w:val="fr-CH"/>
        </w:rPr>
        <w:t xml:space="preserve"> </w:t>
      </w:r>
      <w:r w:rsidR="00B70F5E" w:rsidRPr="00B00574">
        <w:rPr>
          <w:spacing w:val="-2"/>
          <w:lang w:val="fr-CH"/>
        </w:rPr>
        <w:t>e</w:t>
      </w:r>
      <w:r w:rsidRPr="00B00574">
        <w:rPr>
          <w:spacing w:val="-2"/>
          <w:lang w:val="fr-CH"/>
        </w:rPr>
        <w:t xml:space="preserve">n 2005 </w:t>
      </w:r>
      <w:r w:rsidR="00B70F5E" w:rsidRPr="00B00574">
        <w:rPr>
          <w:spacing w:val="-2"/>
          <w:lang w:val="fr-CH"/>
        </w:rPr>
        <w:t>à</w:t>
      </w:r>
      <w:r w:rsidRPr="00B00574">
        <w:rPr>
          <w:spacing w:val="-2"/>
          <w:lang w:val="fr-CH"/>
        </w:rPr>
        <w:t xml:space="preserve"> 3</w:t>
      </w:r>
      <w:r w:rsidR="00B00574" w:rsidRPr="00B00574">
        <w:rPr>
          <w:spacing w:val="-2"/>
          <w:lang w:val="fr-CH"/>
        </w:rPr>
        <w:t> </w:t>
      </w:r>
      <w:r w:rsidRPr="00B00574">
        <w:rPr>
          <w:spacing w:val="-2"/>
          <w:lang w:val="fr-CH"/>
        </w:rPr>
        <w:t>960</w:t>
      </w:r>
      <w:r w:rsidR="008553D9" w:rsidRPr="00B00574">
        <w:rPr>
          <w:spacing w:val="-2"/>
          <w:lang w:val="fr-CH"/>
        </w:rPr>
        <w:t> milliard</w:t>
      </w:r>
      <w:r w:rsidR="00097CDB" w:rsidRPr="00B00574">
        <w:rPr>
          <w:spacing w:val="-2"/>
          <w:lang w:val="fr-CH"/>
        </w:rPr>
        <w:t>s</w:t>
      </w:r>
      <w:r w:rsidR="00B70F5E" w:rsidRPr="00B00574">
        <w:rPr>
          <w:spacing w:val="-2"/>
          <w:lang w:val="fr-CH"/>
        </w:rPr>
        <w:t xml:space="preserve"> en </w:t>
      </w:r>
      <w:r w:rsidRPr="00B00574">
        <w:rPr>
          <w:spacing w:val="-2"/>
          <w:lang w:val="fr-CH"/>
        </w:rPr>
        <w:t xml:space="preserve">2008, </w:t>
      </w:r>
      <w:r w:rsidR="00B70F5E" w:rsidRPr="00B00574">
        <w:rPr>
          <w:spacing w:val="-2"/>
          <w:lang w:val="fr-CH"/>
        </w:rPr>
        <w:t xml:space="preserve">ce qui a représenté un taux de croissance moyen annuel </w:t>
      </w:r>
      <w:r w:rsidRPr="00B00574">
        <w:rPr>
          <w:spacing w:val="-2"/>
          <w:lang w:val="fr-CH"/>
        </w:rPr>
        <w:t>23</w:t>
      </w:r>
      <w:r w:rsidR="00B70F5E" w:rsidRPr="00B00574">
        <w:rPr>
          <w:spacing w:val="-2"/>
          <w:lang w:val="fr-CH"/>
        </w:rPr>
        <w:t>,</w:t>
      </w:r>
      <w:r w:rsidRPr="00B00574">
        <w:rPr>
          <w:spacing w:val="-2"/>
          <w:lang w:val="fr-CH"/>
        </w:rPr>
        <w:t>5</w:t>
      </w:r>
      <w:r w:rsidR="007E5125" w:rsidRPr="00B00574">
        <w:rPr>
          <w:spacing w:val="-2"/>
          <w:lang w:val="fr-CH"/>
        </w:rPr>
        <w:t>%</w:t>
      </w:r>
      <w:r w:rsidRPr="00B00574">
        <w:rPr>
          <w:spacing w:val="-2"/>
          <w:lang w:val="fr-CH"/>
        </w:rPr>
        <w:t>.</w:t>
      </w:r>
    </w:p>
    <w:p w:rsidR="008A7415" w:rsidRPr="0071782F" w:rsidRDefault="008A7415" w:rsidP="00204410">
      <w:pPr>
        <w:pStyle w:val="H1G"/>
        <w:rPr>
          <w:lang w:val="fr-CH"/>
        </w:rPr>
      </w:pPr>
      <w:r w:rsidRPr="0071782F">
        <w:rPr>
          <w:lang w:val="fr-CH"/>
        </w:rPr>
        <w:tab/>
      </w:r>
      <w:r w:rsidRPr="0071782F">
        <w:rPr>
          <w:lang w:val="fr-CH"/>
        </w:rPr>
        <w:tab/>
        <w:t>Productivit</w:t>
      </w:r>
      <w:r w:rsidR="00B70F5E" w:rsidRPr="0071782F">
        <w:rPr>
          <w:lang w:val="fr-CH"/>
        </w:rPr>
        <w:t>é</w:t>
      </w:r>
    </w:p>
    <w:p w:rsidR="008A7415" w:rsidRPr="0071782F" w:rsidRDefault="008A7415" w:rsidP="00204410">
      <w:pPr>
        <w:pStyle w:val="SingleTxtG"/>
        <w:rPr>
          <w:lang w:val="fr-CH"/>
        </w:rPr>
      </w:pPr>
      <w:r w:rsidRPr="0071782F">
        <w:rPr>
          <w:lang w:val="fr-CH"/>
        </w:rPr>
        <w:t>228.</w:t>
      </w:r>
      <w:r w:rsidRPr="0071782F">
        <w:rPr>
          <w:lang w:val="fr-CH"/>
        </w:rPr>
        <w:tab/>
      </w:r>
      <w:r w:rsidR="00A02AFE" w:rsidRPr="0071782F">
        <w:rPr>
          <w:lang w:val="fr-CH"/>
        </w:rPr>
        <w:t>Globalement, et en dépit d’une prévision de 2,2</w:t>
      </w:r>
      <w:r w:rsidR="007E5125" w:rsidRPr="0071782F">
        <w:rPr>
          <w:lang w:val="fr-CH"/>
        </w:rPr>
        <w:t>%</w:t>
      </w:r>
      <w:r w:rsidR="00A02AFE" w:rsidRPr="0071782F">
        <w:rPr>
          <w:lang w:val="fr-CH"/>
        </w:rPr>
        <w:t xml:space="preserve"> pour le taux de croissance de tous les facteurs de production dans toutes les activités agricoles, les résultats des enquêtes indiquent que le taux de croissance moyen annuel de la productivité</w:t>
      </w:r>
      <w:r w:rsidRPr="0071782F">
        <w:rPr>
          <w:lang w:val="fr-CH"/>
        </w:rPr>
        <w:t xml:space="preserve"> </w:t>
      </w:r>
      <w:r w:rsidR="00A02AFE" w:rsidRPr="0071782F">
        <w:rPr>
          <w:lang w:val="fr-CH"/>
        </w:rPr>
        <w:t>du secteur de l’</w:t>
      </w:r>
      <w:r w:rsidRPr="0071782F">
        <w:rPr>
          <w:lang w:val="fr-CH"/>
        </w:rPr>
        <w:t>agricultur</w:t>
      </w:r>
      <w:r w:rsidR="00A02AFE" w:rsidRPr="0071782F">
        <w:rPr>
          <w:lang w:val="fr-CH"/>
        </w:rPr>
        <w:t xml:space="preserve">e a été de </w:t>
      </w:r>
      <w:r w:rsidRPr="0071782F">
        <w:rPr>
          <w:lang w:val="fr-CH"/>
        </w:rPr>
        <w:t>2</w:t>
      </w:r>
      <w:r w:rsidR="00A02AFE" w:rsidRPr="0071782F">
        <w:rPr>
          <w:lang w:val="fr-CH"/>
        </w:rPr>
        <w:t>,</w:t>
      </w:r>
      <w:r w:rsidRPr="0071782F">
        <w:rPr>
          <w:lang w:val="fr-CH"/>
        </w:rPr>
        <w:t>13</w:t>
      </w:r>
      <w:r w:rsidR="007E5125" w:rsidRPr="0071782F">
        <w:rPr>
          <w:lang w:val="fr-CH"/>
        </w:rPr>
        <w:t>%</w:t>
      </w:r>
      <w:r w:rsidRPr="0071782F">
        <w:rPr>
          <w:lang w:val="fr-CH"/>
        </w:rPr>
        <w:t xml:space="preserve"> </w:t>
      </w:r>
      <w:r w:rsidR="00A02AFE" w:rsidRPr="0071782F">
        <w:rPr>
          <w:lang w:val="fr-CH"/>
        </w:rPr>
        <w:t xml:space="preserve">au cours des deux premières années du </w:t>
      </w:r>
      <w:r w:rsidR="00A90208" w:rsidRPr="0071782F">
        <w:rPr>
          <w:lang w:val="fr-CH"/>
        </w:rPr>
        <w:t>quatrième</w:t>
      </w:r>
      <w:r w:rsidR="00F87C4B" w:rsidRPr="0071782F">
        <w:rPr>
          <w:lang w:val="fr-CH"/>
        </w:rPr>
        <w:t> </w:t>
      </w:r>
      <w:r w:rsidR="00A02AFE" w:rsidRPr="0071782F">
        <w:rPr>
          <w:lang w:val="fr-CH"/>
        </w:rPr>
        <w:t xml:space="preserve">plan de développement, ce qui a permis de réaliser à </w:t>
      </w:r>
      <w:r w:rsidRPr="0071782F">
        <w:rPr>
          <w:lang w:val="fr-CH"/>
        </w:rPr>
        <w:t>97</w:t>
      </w:r>
      <w:r w:rsidR="007E5125" w:rsidRPr="0071782F">
        <w:rPr>
          <w:lang w:val="fr-CH"/>
        </w:rPr>
        <w:t>%</w:t>
      </w:r>
      <w:r w:rsidRPr="0071782F">
        <w:rPr>
          <w:lang w:val="fr-CH"/>
        </w:rPr>
        <w:t xml:space="preserve"> </w:t>
      </w:r>
      <w:r w:rsidR="00A02AFE" w:rsidRPr="0071782F">
        <w:rPr>
          <w:lang w:val="fr-CH"/>
        </w:rPr>
        <w:t>l’objectif fixé par le plan</w:t>
      </w:r>
      <w:r w:rsidRPr="0071782F">
        <w:rPr>
          <w:lang w:val="fr-CH"/>
        </w:rPr>
        <w:t>.</w:t>
      </w:r>
    </w:p>
    <w:p w:rsidR="008A7415" w:rsidRPr="0071782F" w:rsidRDefault="008A7415" w:rsidP="00204410">
      <w:pPr>
        <w:pStyle w:val="H23G"/>
        <w:rPr>
          <w:lang w:val="fr-CH"/>
        </w:rPr>
      </w:pPr>
      <w:r w:rsidRPr="0071782F">
        <w:rPr>
          <w:lang w:val="fr-CH"/>
        </w:rPr>
        <w:tab/>
      </w:r>
      <w:r w:rsidRPr="0071782F">
        <w:rPr>
          <w:lang w:val="fr-CH"/>
        </w:rPr>
        <w:tab/>
      </w:r>
      <w:r w:rsidR="00A02AFE" w:rsidRPr="0071782F">
        <w:rPr>
          <w:lang w:val="fr-CH"/>
        </w:rPr>
        <w:t xml:space="preserve">Augmentation de la production agricole </w:t>
      </w:r>
    </w:p>
    <w:p w:rsidR="008A7415" w:rsidRPr="0071782F" w:rsidRDefault="008A7415" w:rsidP="00204410">
      <w:pPr>
        <w:pStyle w:val="SingleTxtG"/>
        <w:rPr>
          <w:lang w:val="fr-CH"/>
        </w:rPr>
      </w:pPr>
      <w:r w:rsidRPr="0071782F">
        <w:rPr>
          <w:lang w:val="fr-CH"/>
        </w:rPr>
        <w:t>229.</w:t>
      </w:r>
      <w:r w:rsidRPr="0071782F">
        <w:rPr>
          <w:lang w:val="fr-CH"/>
        </w:rPr>
        <w:tab/>
      </w:r>
      <w:r w:rsidR="00A02AFE" w:rsidRPr="0071782F">
        <w:rPr>
          <w:lang w:val="fr-CH"/>
        </w:rPr>
        <w:t>À ce sujet, il convient de noter ce qui suit</w:t>
      </w:r>
      <w:r w:rsidR="008F7D33" w:rsidRPr="0071782F">
        <w:rPr>
          <w:lang w:val="fr-CH"/>
        </w:rPr>
        <w:t>:</w:t>
      </w:r>
    </w:p>
    <w:p w:rsidR="008A7415" w:rsidRPr="0071782F" w:rsidRDefault="008A7415" w:rsidP="0053454A">
      <w:pPr>
        <w:pStyle w:val="SingleTxtG"/>
        <w:ind w:left="1701"/>
        <w:rPr>
          <w:lang w:val="fr-CH"/>
        </w:rPr>
      </w:pPr>
      <w:r w:rsidRPr="0071782F">
        <w:rPr>
          <w:lang w:val="fr-CH"/>
        </w:rPr>
        <w:t>229.1.</w:t>
      </w:r>
      <w:r w:rsidRPr="0071782F">
        <w:rPr>
          <w:lang w:val="fr-CH"/>
        </w:rPr>
        <w:tab/>
      </w:r>
      <w:r w:rsidR="00A02AFE" w:rsidRPr="0071782F">
        <w:rPr>
          <w:lang w:val="fr-CH"/>
        </w:rPr>
        <w:t xml:space="preserve">Il ressort d’une étude sur l’évolution de la production agricole entre </w:t>
      </w:r>
      <w:r w:rsidRPr="0071782F">
        <w:rPr>
          <w:lang w:val="fr-CH"/>
        </w:rPr>
        <w:t>2004</w:t>
      </w:r>
      <w:r w:rsidR="00A02AFE" w:rsidRPr="0071782F">
        <w:rPr>
          <w:lang w:val="fr-CH"/>
        </w:rPr>
        <w:t xml:space="preserve"> et</w:t>
      </w:r>
      <w:r w:rsidR="003D43D2">
        <w:rPr>
          <w:lang w:val="fr-CH"/>
        </w:rPr>
        <w:t> </w:t>
      </w:r>
      <w:r w:rsidRPr="0071782F">
        <w:rPr>
          <w:lang w:val="fr-CH"/>
        </w:rPr>
        <w:t xml:space="preserve">2007 </w:t>
      </w:r>
      <w:r w:rsidR="00A02AFE" w:rsidRPr="0071782F">
        <w:rPr>
          <w:lang w:val="fr-CH"/>
        </w:rPr>
        <w:t xml:space="preserve">que celle-ci est passée de </w:t>
      </w:r>
      <w:r w:rsidRPr="0071782F">
        <w:rPr>
          <w:lang w:val="fr-CH"/>
        </w:rPr>
        <w:t>86</w:t>
      </w:r>
      <w:r w:rsidR="00A02AFE" w:rsidRPr="0071782F">
        <w:rPr>
          <w:lang w:val="fr-CH"/>
        </w:rPr>
        <w:t>,</w:t>
      </w:r>
      <w:r w:rsidRPr="0071782F">
        <w:rPr>
          <w:lang w:val="fr-CH"/>
        </w:rPr>
        <w:t>9</w:t>
      </w:r>
      <w:r w:rsidR="00097CDB" w:rsidRPr="0071782F">
        <w:rPr>
          <w:lang w:val="fr-CH"/>
        </w:rPr>
        <w:t> millions</w:t>
      </w:r>
      <w:r w:rsidRPr="0071782F">
        <w:rPr>
          <w:lang w:val="fr-CH"/>
        </w:rPr>
        <w:t xml:space="preserve"> </w:t>
      </w:r>
      <w:r w:rsidR="00F87C4B" w:rsidRPr="0071782F">
        <w:rPr>
          <w:lang w:val="fr-CH"/>
        </w:rPr>
        <w:t>de tonnes</w:t>
      </w:r>
      <w:r w:rsidRPr="0071782F">
        <w:rPr>
          <w:lang w:val="fr-CH"/>
        </w:rPr>
        <w:t xml:space="preserve"> </w:t>
      </w:r>
      <w:r w:rsidR="00A02AFE" w:rsidRPr="0071782F">
        <w:rPr>
          <w:lang w:val="fr-CH"/>
        </w:rPr>
        <w:t>e</w:t>
      </w:r>
      <w:r w:rsidRPr="0071782F">
        <w:rPr>
          <w:lang w:val="fr-CH"/>
        </w:rPr>
        <w:t xml:space="preserve">n 2004 </w:t>
      </w:r>
      <w:r w:rsidR="00A02AFE" w:rsidRPr="0071782F">
        <w:rPr>
          <w:lang w:val="fr-CH"/>
        </w:rPr>
        <w:t>à</w:t>
      </w:r>
      <w:r w:rsidRPr="0071782F">
        <w:rPr>
          <w:lang w:val="fr-CH"/>
        </w:rPr>
        <w:t xml:space="preserve"> 102</w:t>
      </w:r>
      <w:r w:rsidR="00097CDB" w:rsidRPr="0071782F">
        <w:rPr>
          <w:lang w:val="fr-CH"/>
        </w:rPr>
        <w:t> millions</w:t>
      </w:r>
      <w:r w:rsidRPr="0071782F">
        <w:rPr>
          <w:lang w:val="fr-CH"/>
        </w:rPr>
        <w:t xml:space="preserve"> </w:t>
      </w:r>
      <w:r w:rsidR="00F87C4B" w:rsidRPr="0071782F">
        <w:rPr>
          <w:lang w:val="fr-CH"/>
        </w:rPr>
        <w:t>de tonnes</w:t>
      </w:r>
      <w:r w:rsidRPr="0071782F">
        <w:rPr>
          <w:lang w:val="fr-CH"/>
        </w:rPr>
        <w:t xml:space="preserve"> </w:t>
      </w:r>
      <w:r w:rsidR="00A02AFE" w:rsidRPr="0071782F">
        <w:rPr>
          <w:lang w:val="fr-CH"/>
        </w:rPr>
        <w:t>e</w:t>
      </w:r>
      <w:r w:rsidRPr="0071782F">
        <w:rPr>
          <w:lang w:val="fr-CH"/>
        </w:rPr>
        <w:t>n 2007</w:t>
      </w:r>
      <w:r w:rsidR="00A02AFE" w:rsidRPr="0071782F">
        <w:rPr>
          <w:lang w:val="fr-CH"/>
        </w:rPr>
        <w:t xml:space="preserve">, pour un taux de croissance moyen annuel de </w:t>
      </w:r>
      <w:r w:rsidRPr="0071782F">
        <w:rPr>
          <w:lang w:val="fr-CH"/>
        </w:rPr>
        <w:t>5</w:t>
      </w:r>
      <w:r w:rsidR="00A02AFE" w:rsidRPr="0071782F">
        <w:rPr>
          <w:lang w:val="fr-CH"/>
        </w:rPr>
        <w:t>,</w:t>
      </w:r>
      <w:r w:rsidRPr="0071782F">
        <w:rPr>
          <w:lang w:val="fr-CH"/>
        </w:rPr>
        <w:t>5</w:t>
      </w:r>
      <w:r w:rsidR="007E5125" w:rsidRPr="0071782F">
        <w:rPr>
          <w:lang w:val="fr-CH"/>
        </w:rPr>
        <w:t>%</w:t>
      </w:r>
      <w:r w:rsidR="00A02AFE" w:rsidRPr="0071782F">
        <w:rPr>
          <w:lang w:val="fr-CH"/>
        </w:rPr>
        <w:t>, contre 4,9</w:t>
      </w:r>
      <w:r w:rsidR="007E5125" w:rsidRPr="0071782F">
        <w:rPr>
          <w:lang w:val="fr-CH"/>
        </w:rPr>
        <w:t>%</w:t>
      </w:r>
      <w:r w:rsidR="00A02AFE" w:rsidRPr="0071782F">
        <w:rPr>
          <w:lang w:val="fr-CH"/>
        </w:rPr>
        <w:t xml:space="preserve"> au cours du </w:t>
      </w:r>
      <w:r w:rsidR="009E6189">
        <w:rPr>
          <w:lang w:val="fr-CH"/>
        </w:rPr>
        <w:t>troisième plan</w:t>
      </w:r>
      <w:r w:rsidRPr="0071782F">
        <w:rPr>
          <w:lang w:val="fr-CH"/>
        </w:rPr>
        <w:t>.</w:t>
      </w:r>
    </w:p>
    <w:p w:rsidR="008A7415" w:rsidRPr="0071782F" w:rsidRDefault="008A7415" w:rsidP="0053454A">
      <w:pPr>
        <w:pStyle w:val="SingleTxtG"/>
        <w:ind w:left="1701"/>
        <w:rPr>
          <w:lang w:val="fr-CH"/>
        </w:rPr>
      </w:pPr>
      <w:r w:rsidRPr="0071782F">
        <w:rPr>
          <w:lang w:val="fr-CH"/>
        </w:rPr>
        <w:t>229.2.</w:t>
      </w:r>
      <w:r w:rsidRPr="0071782F">
        <w:rPr>
          <w:lang w:val="fr-CH"/>
        </w:rPr>
        <w:tab/>
      </w:r>
      <w:r w:rsidR="00A02AFE" w:rsidRPr="0071782F">
        <w:rPr>
          <w:lang w:val="fr-CH"/>
        </w:rPr>
        <w:t xml:space="preserve">En 2008, la production agricole a baissé en raison de l’hiver extrêmement </w:t>
      </w:r>
      <w:r w:rsidR="0071782F" w:rsidRPr="0071782F">
        <w:rPr>
          <w:lang w:val="fr-CH"/>
        </w:rPr>
        <w:t>froid</w:t>
      </w:r>
      <w:r w:rsidR="00A02AFE" w:rsidRPr="0071782F">
        <w:rPr>
          <w:lang w:val="fr-CH"/>
        </w:rPr>
        <w:t xml:space="preserve"> de 2007 et d’une sécheresse sans précédent survenue en </w:t>
      </w:r>
      <w:r w:rsidRPr="0071782F">
        <w:rPr>
          <w:lang w:val="fr-CH"/>
        </w:rPr>
        <w:t xml:space="preserve">2008, </w:t>
      </w:r>
      <w:r w:rsidR="00A02AFE" w:rsidRPr="0071782F">
        <w:rPr>
          <w:lang w:val="fr-CH"/>
        </w:rPr>
        <w:t>ce qui a beaucoup pénalisé les cultures maraîchères.</w:t>
      </w:r>
    </w:p>
    <w:p w:rsidR="008A7415" w:rsidRPr="0071782F" w:rsidRDefault="008A7415" w:rsidP="004107BE">
      <w:pPr>
        <w:pStyle w:val="SingleTxtG"/>
        <w:spacing w:after="0"/>
        <w:ind w:left="1701"/>
        <w:rPr>
          <w:lang w:val="fr-CH"/>
        </w:rPr>
      </w:pPr>
      <w:r w:rsidRPr="0071782F">
        <w:rPr>
          <w:lang w:val="fr-CH"/>
        </w:rPr>
        <w:t>229.3.</w:t>
      </w:r>
      <w:r w:rsidRPr="0071782F">
        <w:rPr>
          <w:lang w:val="fr-CH"/>
        </w:rPr>
        <w:tab/>
      </w:r>
      <w:r w:rsidR="00A02AFE" w:rsidRPr="0071782F">
        <w:rPr>
          <w:lang w:val="fr-CH"/>
        </w:rPr>
        <w:t>On prévoit que l’amélioration des conditions météorologiques et les crédits octroyés permettront à la production agricole de retrouver ses niveaux normaux en</w:t>
      </w:r>
      <w:r w:rsidR="003D43D2">
        <w:rPr>
          <w:lang w:val="fr-CH"/>
        </w:rPr>
        <w:t> </w:t>
      </w:r>
      <w:r w:rsidR="00A02AFE" w:rsidRPr="0071782F">
        <w:rPr>
          <w:lang w:val="fr-CH"/>
        </w:rPr>
        <w:t>2009</w:t>
      </w:r>
      <w:r w:rsidRPr="0071782F">
        <w:rPr>
          <w:lang w:val="fr-CH"/>
        </w:rPr>
        <w:t>.</w:t>
      </w:r>
    </w:p>
    <w:p w:rsidR="008A7415" w:rsidRPr="0071782F" w:rsidRDefault="008A7415" w:rsidP="00204410">
      <w:pPr>
        <w:pStyle w:val="H23G"/>
        <w:rPr>
          <w:lang w:val="fr-CH"/>
        </w:rPr>
      </w:pPr>
      <w:r w:rsidRPr="0071782F">
        <w:rPr>
          <w:lang w:val="fr-CH"/>
        </w:rPr>
        <w:tab/>
      </w:r>
      <w:r w:rsidRPr="0071782F">
        <w:rPr>
          <w:lang w:val="fr-CH"/>
        </w:rPr>
        <w:tab/>
      </w:r>
      <w:r w:rsidR="00A02AFE" w:rsidRPr="0071782F">
        <w:rPr>
          <w:lang w:val="fr-CH"/>
        </w:rPr>
        <w:t xml:space="preserve">Production agricole entre </w:t>
      </w:r>
      <w:r w:rsidRPr="0071782F">
        <w:rPr>
          <w:lang w:val="fr-CH"/>
        </w:rPr>
        <w:t>2004</w:t>
      </w:r>
      <w:r w:rsidR="00A02AFE" w:rsidRPr="0071782F">
        <w:rPr>
          <w:lang w:val="fr-CH"/>
        </w:rPr>
        <w:t xml:space="preserve"> et </w:t>
      </w:r>
      <w:r w:rsidRPr="0071782F">
        <w:rPr>
          <w:lang w:val="fr-CH"/>
        </w:rPr>
        <w:t>2008</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2290"/>
        <w:gridCol w:w="1309"/>
        <w:gridCol w:w="1145"/>
        <w:gridCol w:w="1145"/>
        <w:gridCol w:w="1146"/>
        <w:gridCol w:w="1470"/>
      </w:tblGrid>
      <w:tr w:rsidR="008A7415" w:rsidRPr="0071782F">
        <w:trPr>
          <w:tblHeader/>
        </w:trPr>
        <w:tc>
          <w:tcPr>
            <w:tcW w:w="1985" w:type="dxa"/>
            <w:vMerge w:val="restart"/>
            <w:tcBorders>
              <w:top w:val="single" w:sz="4" w:space="0" w:color="auto"/>
              <w:bottom w:val="single" w:sz="4" w:space="0" w:color="auto"/>
            </w:tcBorders>
            <w:shd w:val="clear" w:color="000000" w:fill="auto"/>
            <w:vAlign w:val="bottom"/>
          </w:tcPr>
          <w:p w:rsidR="008A7415" w:rsidRPr="0071782F" w:rsidRDefault="001C4954" w:rsidP="001D01B5">
            <w:pPr>
              <w:suppressAutoHyphens w:val="0"/>
              <w:spacing w:before="80" w:after="80" w:line="200" w:lineRule="exact"/>
              <w:rPr>
                <w:i/>
                <w:sz w:val="16"/>
                <w:lang w:val="fr-CH"/>
              </w:rPr>
            </w:pPr>
            <w:r w:rsidRPr="0071782F">
              <w:rPr>
                <w:i/>
                <w:sz w:val="16"/>
                <w:lang w:val="fr-CH"/>
              </w:rPr>
              <w:t>Article</w:t>
            </w:r>
          </w:p>
        </w:tc>
        <w:tc>
          <w:tcPr>
            <w:tcW w:w="1134" w:type="dxa"/>
            <w:vMerge w:val="restart"/>
            <w:tcBorders>
              <w:top w:val="single" w:sz="4" w:space="0" w:color="auto"/>
              <w:bottom w:val="single" w:sz="4" w:space="0" w:color="auto"/>
            </w:tcBorders>
            <w:shd w:val="clear" w:color="000000" w:fill="auto"/>
            <w:vAlign w:val="bottom"/>
          </w:tcPr>
          <w:p w:rsidR="008A7415" w:rsidRPr="0071782F" w:rsidRDefault="00A02AFE" w:rsidP="001D01B5">
            <w:pPr>
              <w:suppressAutoHyphens w:val="0"/>
              <w:spacing w:before="80" w:after="80" w:line="200" w:lineRule="exact"/>
              <w:jc w:val="right"/>
              <w:rPr>
                <w:i/>
                <w:sz w:val="16"/>
                <w:lang w:val="fr-CH"/>
              </w:rPr>
            </w:pPr>
            <w:r w:rsidRPr="0071782F">
              <w:rPr>
                <w:i/>
                <w:sz w:val="16"/>
                <w:lang w:val="fr-CH"/>
              </w:rPr>
              <w:t xml:space="preserve">Année de référence du </w:t>
            </w:r>
            <w:r w:rsidR="008A7415" w:rsidRPr="0071782F">
              <w:rPr>
                <w:i/>
                <w:sz w:val="16"/>
                <w:lang w:val="fr-CH"/>
              </w:rPr>
              <w:t>plan (2004)</w:t>
            </w:r>
            <w:r w:rsidR="008A7415" w:rsidRPr="0071782F">
              <w:rPr>
                <w:i/>
                <w:sz w:val="16"/>
                <w:lang w:val="fr-CH"/>
              </w:rPr>
              <w:br/>
              <w:t>(</w:t>
            </w:r>
            <w:r w:rsidRPr="0071782F">
              <w:rPr>
                <w:i/>
                <w:sz w:val="16"/>
                <w:lang w:val="fr-CH"/>
              </w:rPr>
              <w:t xml:space="preserve">milliers </w:t>
            </w:r>
            <w:r w:rsidR="00F87C4B" w:rsidRPr="0071782F">
              <w:rPr>
                <w:i/>
                <w:sz w:val="16"/>
                <w:lang w:val="fr-CH"/>
              </w:rPr>
              <w:t>de tonnes</w:t>
            </w:r>
            <w:r w:rsidR="008A7415" w:rsidRPr="0071782F">
              <w:rPr>
                <w:i/>
                <w:sz w:val="16"/>
                <w:lang w:val="fr-CH"/>
              </w:rPr>
              <w:t>)</w:t>
            </w:r>
          </w:p>
        </w:tc>
        <w:tc>
          <w:tcPr>
            <w:tcW w:w="2977" w:type="dxa"/>
            <w:gridSpan w:val="3"/>
            <w:tcBorders>
              <w:top w:val="single" w:sz="4" w:space="0" w:color="auto"/>
              <w:bottom w:val="single" w:sz="4" w:space="0" w:color="auto"/>
            </w:tcBorders>
            <w:shd w:val="clear" w:color="000000" w:fill="auto"/>
            <w:vAlign w:val="bottom"/>
          </w:tcPr>
          <w:p w:rsidR="008A7415" w:rsidRPr="0071782F" w:rsidRDefault="001C4954" w:rsidP="001D01B5">
            <w:pPr>
              <w:suppressAutoHyphens w:val="0"/>
              <w:spacing w:before="80" w:after="80" w:line="200" w:lineRule="exact"/>
              <w:jc w:val="center"/>
              <w:rPr>
                <w:i/>
                <w:sz w:val="16"/>
                <w:lang w:val="fr-CH"/>
              </w:rPr>
            </w:pPr>
            <w:r w:rsidRPr="0071782F">
              <w:rPr>
                <w:i/>
                <w:sz w:val="16"/>
                <w:lang w:val="fr-CH"/>
              </w:rPr>
              <w:t>Anné</w:t>
            </w:r>
            <w:r w:rsidR="00A02AFE" w:rsidRPr="0071782F">
              <w:rPr>
                <w:i/>
                <w:sz w:val="16"/>
                <w:lang w:val="fr-CH"/>
              </w:rPr>
              <w:t xml:space="preserve">e du </w:t>
            </w:r>
            <w:r w:rsidR="00A90208" w:rsidRPr="0071782F">
              <w:rPr>
                <w:i/>
                <w:sz w:val="16"/>
                <w:lang w:val="fr-CH"/>
              </w:rPr>
              <w:t>quatrième</w:t>
            </w:r>
            <w:r w:rsidR="00A02AFE" w:rsidRPr="0071782F">
              <w:rPr>
                <w:i/>
                <w:sz w:val="16"/>
                <w:lang w:val="fr-CH"/>
              </w:rPr>
              <w:t xml:space="preserve"> plan de développement</w:t>
            </w:r>
          </w:p>
        </w:tc>
        <w:tc>
          <w:tcPr>
            <w:tcW w:w="1274" w:type="dxa"/>
            <w:vMerge w:val="restart"/>
            <w:tcBorders>
              <w:top w:val="single" w:sz="4" w:space="0" w:color="auto"/>
              <w:bottom w:val="single" w:sz="12" w:space="0" w:color="auto"/>
            </w:tcBorders>
            <w:shd w:val="clear" w:color="000000" w:fill="auto"/>
            <w:vAlign w:val="bottom"/>
          </w:tcPr>
          <w:p w:rsidR="008A7415" w:rsidRPr="0071782F" w:rsidRDefault="00A02AFE" w:rsidP="007A1E2D">
            <w:pPr>
              <w:suppressAutoHyphens w:val="0"/>
              <w:spacing w:before="80" w:after="80" w:line="200" w:lineRule="exact"/>
              <w:jc w:val="right"/>
              <w:rPr>
                <w:i/>
                <w:sz w:val="16"/>
                <w:lang w:val="fr-CH"/>
              </w:rPr>
            </w:pPr>
            <w:r w:rsidRPr="0071782F">
              <w:rPr>
                <w:i/>
                <w:sz w:val="16"/>
                <w:lang w:val="fr-CH"/>
              </w:rPr>
              <w:t>Taux de croissance moyen annuel</w:t>
            </w:r>
            <w:r w:rsidR="007A1E2D">
              <w:rPr>
                <w:i/>
                <w:sz w:val="16"/>
                <w:lang w:val="fr-CH"/>
              </w:rPr>
              <w:t xml:space="preserve"> </w:t>
            </w:r>
            <w:r w:rsidRPr="0071782F">
              <w:rPr>
                <w:i/>
                <w:sz w:val="16"/>
                <w:lang w:val="fr-CH"/>
              </w:rPr>
              <w:t>de</w:t>
            </w:r>
            <w:r w:rsidR="008A7415" w:rsidRPr="0071782F">
              <w:rPr>
                <w:i/>
                <w:sz w:val="16"/>
                <w:lang w:val="fr-CH"/>
              </w:rPr>
              <w:t xml:space="preserve"> </w:t>
            </w:r>
            <w:r w:rsidR="007A1E2D">
              <w:rPr>
                <w:i/>
                <w:sz w:val="16"/>
                <w:lang w:val="fr-CH"/>
              </w:rPr>
              <w:br/>
            </w:r>
            <w:r w:rsidR="008A7415" w:rsidRPr="0071782F">
              <w:rPr>
                <w:i/>
                <w:sz w:val="16"/>
                <w:lang w:val="fr-CH"/>
              </w:rPr>
              <w:t xml:space="preserve">2007 </w:t>
            </w:r>
            <w:r w:rsidRPr="0071782F">
              <w:rPr>
                <w:i/>
                <w:sz w:val="16"/>
                <w:lang w:val="fr-CH"/>
              </w:rPr>
              <w:t xml:space="preserve">par rapport </w:t>
            </w:r>
            <w:r w:rsidR="007A1E2D">
              <w:rPr>
                <w:i/>
                <w:sz w:val="16"/>
                <w:lang w:val="fr-CH"/>
              </w:rPr>
              <w:br/>
            </w:r>
            <w:r w:rsidRPr="0071782F">
              <w:rPr>
                <w:i/>
                <w:sz w:val="16"/>
                <w:lang w:val="fr-CH"/>
              </w:rPr>
              <w:t xml:space="preserve">à </w:t>
            </w:r>
            <w:r w:rsidR="008A7415" w:rsidRPr="0071782F">
              <w:rPr>
                <w:i/>
                <w:sz w:val="16"/>
                <w:lang w:val="fr-CH"/>
              </w:rPr>
              <w:t>2004 (%)</w:t>
            </w:r>
          </w:p>
        </w:tc>
      </w:tr>
      <w:tr w:rsidR="008A7415" w:rsidRPr="0071782F">
        <w:trPr>
          <w:tblHeader/>
        </w:trPr>
        <w:tc>
          <w:tcPr>
            <w:tcW w:w="1985" w:type="dxa"/>
            <w:vMerge/>
            <w:tcBorders>
              <w:top w:val="single" w:sz="4" w:space="0" w:color="auto"/>
              <w:bottom w:val="single" w:sz="12" w:space="0" w:color="auto"/>
            </w:tcBorders>
            <w:shd w:val="clear" w:color="000000" w:fill="auto"/>
            <w:vAlign w:val="bottom"/>
          </w:tcPr>
          <w:p w:rsidR="008A7415" w:rsidRPr="0071782F" w:rsidRDefault="008A7415" w:rsidP="001D01B5">
            <w:pPr>
              <w:suppressAutoHyphens w:val="0"/>
              <w:spacing w:before="40" w:after="40" w:line="220" w:lineRule="exact"/>
              <w:rPr>
                <w:sz w:val="18"/>
                <w:lang w:val="fr-CH"/>
              </w:rPr>
            </w:pPr>
          </w:p>
        </w:tc>
        <w:tc>
          <w:tcPr>
            <w:tcW w:w="1134" w:type="dxa"/>
            <w:vMerge/>
            <w:tcBorders>
              <w:top w:val="single" w:sz="4" w:space="0" w:color="auto"/>
              <w:bottom w:val="single" w:sz="12" w:space="0" w:color="auto"/>
            </w:tcBorders>
            <w:shd w:val="clear" w:color="000000" w:fill="auto"/>
            <w:vAlign w:val="bottom"/>
          </w:tcPr>
          <w:p w:rsidR="008A7415" w:rsidRPr="0071782F" w:rsidRDefault="008A7415" w:rsidP="001D01B5">
            <w:pPr>
              <w:suppressAutoHyphens w:val="0"/>
              <w:spacing w:before="40" w:after="40" w:line="220" w:lineRule="exact"/>
              <w:jc w:val="right"/>
              <w:rPr>
                <w:sz w:val="18"/>
                <w:lang w:val="fr-CH"/>
              </w:rPr>
            </w:pPr>
          </w:p>
        </w:tc>
        <w:tc>
          <w:tcPr>
            <w:tcW w:w="992" w:type="dxa"/>
            <w:tcBorders>
              <w:top w:val="single" w:sz="4" w:space="0" w:color="auto"/>
              <w:bottom w:val="single" w:sz="12" w:space="0" w:color="auto"/>
            </w:tcBorders>
            <w:shd w:val="clear" w:color="000000" w:fill="auto"/>
            <w:vAlign w:val="bottom"/>
          </w:tcPr>
          <w:p w:rsidR="008A7415" w:rsidRPr="0071782F" w:rsidRDefault="008A7415" w:rsidP="007A1E2D">
            <w:pPr>
              <w:suppressAutoHyphens w:val="0"/>
              <w:spacing w:before="80" w:after="80" w:line="200" w:lineRule="exact"/>
              <w:jc w:val="right"/>
              <w:rPr>
                <w:i/>
                <w:sz w:val="16"/>
                <w:lang w:val="fr-CH"/>
              </w:rPr>
            </w:pPr>
            <w:r w:rsidRPr="0071782F">
              <w:rPr>
                <w:i/>
                <w:sz w:val="16"/>
                <w:lang w:val="fr-CH"/>
              </w:rPr>
              <w:t>2005</w:t>
            </w:r>
            <w:r w:rsidRPr="0071782F">
              <w:rPr>
                <w:i/>
                <w:sz w:val="16"/>
                <w:lang w:val="fr-CH"/>
              </w:rPr>
              <w:br/>
              <w:t>(</w:t>
            </w:r>
            <w:r w:rsidR="00A02AFE" w:rsidRPr="0071782F">
              <w:rPr>
                <w:i/>
                <w:sz w:val="16"/>
                <w:lang w:val="fr-CH"/>
              </w:rPr>
              <w:t xml:space="preserve">milliers </w:t>
            </w:r>
            <w:r w:rsidR="00F87C4B" w:rsidRPr="0071782F">
              <w:rPr>
                <w:i/>
                <w:sz w:val="16"/>
                <w:lang w:val="fr-CH"/>
              </w:rPr>
              <w:t>de tonnes</w:t>
            </w:r>
            <w:r w:rsidRPr="0071782F">
              <w:rPr>
                <w:i/>
                <w:sz w:val="16"/>
                <w:lang w:val="fr-CH"/>
              </w:rPr>
              <w:t>)</w:t>
            </w:r>
          </w:p>
        </w:tc>
        <w:tc>
          <w:tcPr>
            <w:tcW w:w="992" w:type="dxa"/>
            <w:tcBorders>
              <w:top w:val="single" w:sz="4" w:space="0" w:color="auto"/>
              <w:bottom w:val="single" w:sz="12" w:space="0" w:color="auto"/>
            </w:tcBorders>
            <w:shd w:val="clear" w:color="000000" w:fill="auto"/>
            <w:vAlign w:val="bottom"/>
          </w:tcPr>
          <w:p w:rsidR="008A7415" w:rsidRPr="0071782F" w:rsidRDefault="008A7415" w:rsidP="007A1E2D">
            <w:pPr>
              <w:suppressAutoHyphens w:val="0"/>
              <w:spacing w:before="80" w:after="80" w:line="200" w:lineRule="exact"/>
              <w:jc w:val="right"/>
              <w:rPr>
                <w:i/>
                <w:sz w:val="16"/>
                <w:lang w:val="fr-CH"/>
              </w:rPr>
            </w:pPr>
            <w:r w:rsidRPr="0071782F">
              <w:rPr>
                <w:i/>
                <w:sz w:val="16"/>
                <w:lang w:val="fr-CH"/>
              </w:rPr>
              <w:t>2006</w:t>
            </w:r>
            <w:r w:rsidRPr="0071782F">
              <w:rPr>
                <w:i/>
                <w:sz w:val="16"/>
                <w:lang w:val="fr-CH"/>
              </w:rPr>
              <w:br/>
              <w:t>(</w:t>
            </w:r>
            <w:r w:rsidR="00A02AFE" w:rsidRPr="0071782F">
              <w:rPr>
                <w:i/>
                <w:sz w:val="16"/>
                <w:lang w:val="fr-CH"/>
              </w:rPr>
              <w:t xml:space="preserve">milliers </w:t>
            </w:r>
            <w:r w:rsidR="00F87C4B" w:rsidRPr="0071782F">
              <w:rPr>
                <w:i/>
                <w:sz w:val="16"/>
                <w:lang w:val="fr-CH"/>
              </w:rPr>
              <w:t>de tonnes</w:t>
            </w:r>
            <w:r w:rsidRPr="0071782F">
              <w:rPr>
                <w:i/>
                <w:sz w:val="16"/>
                <w:lang w:val="fr-CH"/>
              </w:rPr>
              <w:t>)</w:t>
            </w:r>
          </w:p>
        </w:tc>
        <w:tc>
          <w:tcPr>
            <w:tcW w:w="993" w:type="dxa"/>
            <w:tcBorders>
              <w:top w:val="single" w:sz="4" w:space="0" w:color="auto"/>
              <w:bottom w:val="single" w:sz="12" w:space="0" w:color="auto"/>
            </w:tcBorders>
            <w:shd w:val="clear" w:color="000000" w:fill="auto"/>
            <w:vAlign w:val="bottom"/>
          </w:tcPr>
          <w:p w:rsidR="008A7415" w:rsidRPr="0071782F" w:rsidRDefault="008A7415" w:rsidP="007A1E2D">
            <w:pPr>
              <w:suppressAutoHyphens w:val="0"/>
              <w:spacing w:before="80" w:after="80" w:line="200" w:lineRule="exact"/>
              <w:jc w:val="right"/>
              <w:rPr>
                <w:i/>
                <w:sz w:val="16"/>
                <w:lang w:val="fr-CH"/>
              </w:rPr>
            </w:pPr>
            <w:r w:rsidRPr="0071782F">
              <w:rPr>
                <w:i/>
                <w:sz w:val="16"/>
                <w:lang w:val="fr-CH"/>
              </w:rPr>
              <w:t>2007</w:t>
            </w:r>
            <w:r w:rsidRPr="0071782F">
              <w:rPr>
                <w:i/>
                <w:sz w:val="16"/>
                <w:lang w:val="fr-CH"/>
              </w:rPr>
              <w:br/>
              <w:t>(</w:t>
            </w:r>
            <w:r w:rsidR="00A02AFE" w:rsidRPr="0071782F">
              <w:rPr>
                <w:i/>
                <w:sz w:val="16"/>
                <w:lang w:val="fr-CH"/>
              </w:rPr>
              <w:t xml:space="preserve">milliers </w:t>
            </w:r>
            <w:r w:rsidR="00F87C4B" w:rsidRPr="0071782F">
              <w:rPr>
                <w:i/>
                <w:sz w:val="16"/>
                <w:lang w:val="fr-CH"/>
              </w:rPr>
              <w:t>de tonnes</w:t>
            </w:r>
            <w:r w:rsidRPr="0071782F">
              <w:rPr>
                <w:i/>
                <w:sz w:val="16"/>
                <w:lang w:val="fr-CH"/>
              </w:rPr>
              <w:t>)</w:t>
            </w:r>
          </w:p>
        </w:tc>
        <w:tc>
          <w:tcPr>
            <w:tcW w:w="1274" w:type="dxa"/>
            <w:vMerge/>
            <w:tcBorders>
              <w:top w:val="single" w:sz="12" w:space="0" w:color="auto"/>
              <w:bottom w:val="single" w:sz="12" w:space="0" w:color="auto"/>
            </w:tcBorders>
            <w:shd w:val="clear" w:color="000000" w:fill="auto"/>
            <w:vAlign w:val="bottom"/>
          </w:tcPr>
          <w:p w:rsidR="008A7415" w:rsidRPr="0071782F" w:rsidRDefault="008A7415" w:rsidP="001D01B5">
            <w:pPr>
              <w:suppressAutoHyphens w:val="0"/>
              <w:spacing w:before="40" w:after="40" w:line="220" w:lineRule="exact"/>
              <w:jc w:val="right"/>
              <w:rPr>
                <w:sz w:val="18"/>
                <w:lang w:val="fr-CH"/>
              </w:rPr>
            </w:pPr>
          </w:p>
        </w:tc>
      </w:tr>
      <w:tr w:rsidR="008A7415" w:rsidRPr="0071782F">
        <w:tc>
          <w:tcPr>
            <w:tcW w:w="1985" w:type="dxa"/>
            <w:tcBorders>
              <w:top w:val="single" w:sz="12" w:space="0" w:color="auto"/>
              <w:bottom w:val="nil"/>
            </w:tcBorders>
            <w:shd w:val="clear" w:color="000000" w:fill="auto"/>
          </w:tcPr>
          <w:p w:rsidR="008A7415" w:rsidRPr="0071782F" w:rsidRDefault="00A02AFE" w:rsidP="001D01B5">
            <w:pPr>
              <w:suppressAutoHyphens w:val="0"/>
              <w:spacing w:before="40" w:after="40" w:line="220" w:lineRule="exact"/>
              <w:rPr>
                <w:sz w:val="18"/>
                <w:lang w:val="fr-CH"/>
              </w:rPr>
            </w:pPr>
            <w:r w:rsidRPr="0071782F">
              <w:rPr>
                <w:sz w:val="18"/>
                <w:lang w:val="fr-CH"/>
              </w:rPr>
              <w:t xml:space="preserve">Produits de l’agriculture et de l’élevage </w:t>
            </w:r>
          </w:p>
        </w:tc>
        <w:tc>
          <w:tcPr>
            <w:tcW w:w="1134" w:type="dxa"/>
            <w:tcBorders>
              <w:top w:val="single" w:sz="12" w:space="0" w:color="auto"/>
              <w:bottom w:val="nil"/>
            </w:tcBorders>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86 970</w:t>
            </w:r>
          </w:p>
        </w:tc>
        <w:tc>
          <w:tcPr>
            <w:tcW w:w="992" w:type="dxa"/>
            <w:tcBorders>
              <w:top w:val="single" w:sz="12" w:space="0" w:color="auto"/>
              <w:bottom w:val="nil"/>
            </w:tcBorders>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95 316</w:t>
            </w:r>
          </w:p>
        </w:tc>
        <w:tc>
          <w:tcPr>
            <w:tcW w:w="992" w:type="dxa"/>
            <w:tcBorders>
              <w:top w:val="single" w:sz="12" w:space="0" w:color="auto"/>
              <w:bottom w:val="nil"/>
            </w:tcBorders>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98 039</w:t>
            </w:r>
          </w:p>
        </w:tc>
        <w:tc>
          <w:tcPr>
            <w:tcW w:w="993" w:type="dxa"/>
            <w:tcBorders>
              <w:top w:val="single" w:sz="12" w:space="0" w:color="auto"/>
              <w:bottom w:val="nil"/>
            </w:tcBorders>
            <w:shd w:val="clear" w:color="000000" w:fill="auto"/>
            <w:vAlign w:val="bottom"/>
          </w:tcPr>
          <w:p w:rsidR="008A7415" w:rsidRPr="0071782F" w:rsidRDefault="008A7415" w:rsidP="007A1E2D">
            <w:pPr>
              <w:suppressAutoHyphens w:val="0"/>
              <w:spacing w:before="40" w:after="40" w:line="220" w:lineRule="exact"/>
              <w:jc w:val="right"/>
              <w:rPr>
                <w:sz w:val="18"/>
                <w:lang w:val="fr-CH"/>
              </w:rPr>
            </w:pPr>
            <w:r w:rsidRPr="0071782F">
              <w:rPr>
                <w:sz w:val="18"/>
                <w:lang w:val="fr-CH"/>
              </w:rPr>
              <w:t>102 053</w:t>
            </w:r>
          </w:p>
        </w:tc>
        <w:tc>
          <w:tcPr>
            <w:tcW w:w="1274" w:type="dxa"/>
            <w:tcBorders>
              <w:top w:val="single" w:sz="12" w:space="0" w:color="auto"/>
              <w:bottom w:val="nil"/>
            </w:tcBorders>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5</w:t>
            </w:r>
            <w:r w:rsidR="006A6DB9">
              <w:rPr>
                <w:sz w:val="18"/>
                <w:lang w:val="fr-CH"/>
              </w:rPr>
              <w:t>,</w:t>
            </w:r>
            <w:r w:rsidRPr="0071782F">
              <w:rPr>
                <w:sz w:val="18"/>
                <w:lang w:val="fr-CH"/>
              </w:rPr>
              <w:t>5</w:t>
            </w:r>
          </w:p>
        </w:tc>
      </w:tr>
      <w:tr w:rsidR="008A7415" w:rsidRPr="0071782F">
        <w:tc>
          <w:tcPr>
            <w:tcW w:w="1985" w:type="dxa"/>
            <w:tcBorders>
              <w:top w:val="nil"/>
              <w:bottom w:val="nil"/>
            </w:tcBorders>
            <w:shd w:val="clear" w:color="000000" w:fill="auto"/>
          </w:tcPr>
          <w:p w:rsidR="008A7415" w:rsidRPr="0071782F" w:rsidRDefault="00A02AFE" w:rsidP="001D01B5">
            <w:pPr>
              <w:suppressAutoHyphens w:val="0"/>
              <w:spacing w:before="40" w:after="40" w:line="220" w:lineRule="exact"/>
              <w:rPr>
                <w:sz w:val="18"/>
                <w:lang w:val="fr-CH"/>
              </w:rPr>
            </w:pPr>
            <w:r w:rsidRPr="0071782F">
              <w:rPr>
                <w:sz w:val="18"/>
                <w:lang w:val="fr-CH"/>
              </w:rPr>
              <w:t>Produits agricoles</w:t>
            </w:r>
          </w:p>
        </w:tc>
        <w:tc>
          <w:tcPr>
            <w:tcW w:w="1134" w:type="dxa"/>
            <w:tcBorders>
              <w:top w:val="nil"/>
              <w:bottom w:val="nil"/>
            </w:tcBorders>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64 036</w:t>
            </w:r>
          </w:p>
        </w:tc>
        <w:tc>
          <w:tcPr>
            <w:tcW w:w="992" w:type="dxa"/>
            <w:tcBorders>
              <w:top w:val="nil"/>
              <w:bottom w:val="nil"/>
            </w:tcBorders>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69 939</w:t>
            </w:r>
          </w:p>
        </w:tc>
        <w:tc>
          <w:tcPr>
            <w:tcW w:w="992" w:type="dxa"/>
            <w:tcBorders>
              <w:top w:val="nil"/>
              <w:bottom w:val="nil"/>
            </w:tcBorders>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71 264</w:t>
            </w:r>
          </w:p>
        </w:tc>
        <w:tc>
          <w:tcPr>
            <w:tcW w:w="993" w:type="dxa"/>
            <w:tcBorders>
              <w:top w:val="nil"/>
              <w:bottom w:val="nil"/>
            </w:tcBorders>
            <w:shd w:val="clear" w:color="000000" w:fill="auto"/>
            <w:vAlign w:val="bottom"/>
          </w:tcPr>
          <w:p w:rsidR="008A7415" w:rsidRPr="0071782F" w:rsidRDefault="008A7415" w:rsidP="007A1E2D">
            <w:pPr>
              <w:suppressAutoHyphens w:val="0"/>
              <w:spacing w:before="40" w:after="40" w:line="220" w:lineRule="exact"/>
              <w:jc w:val="right"/>
              <w:rPr>
                <w:sz w:val="18"/>
                <w:lang w:val="fr-CH"/>
              </w:rPr>
            </w:pPr>
            <w:r w:rsidRPr="0071782F">
              <w:rPr>
                <w:sz w:val="18"/>
                <w:lang w:val="fr-CH"/>
              </w:rPr>
              <w:t>73 618</w:t>
            </w:r>
          </w:p>
        </w:tc>
        <w:tc>
          <w:tcPr>
            <w:tcW w:w="1274" w:type="dxa"/>
            <w:tcBorders>
              <w:top w:val="nil"/>
              <w:bottom w:val="nil"/>
            </w:tcBorders>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4</w:t>
            </w:r>
            <w:r w:rsidR="006A6DB9">
              <w:rPr>
                <w:sz w:val="18"/>
                <w:lang w:val="fr-CH"/>
              </w:rPr>
              <w:t>,</w:t>
            </w:r>
            <w:r w:rsidRPr="0071782F">
              <w:rPr>
                <w:sz w:val="18"/>
                <w:lang w:val="fr-CH"/>
              </w:rPr>
              <w:t>8</w:t>
            </w:r>
          </w:p>
        </w:tc>
      </w:tr>
      <w:tr w:rsidR="008A7415" w:rsidRPr="0071782F">
        <w:tc>
          <w:tcPr>
            <w:tcW w:w="1985" w:type="dxa"/>
            <w:tcBorders>
              <w:top w:val="nil"/>
            </w:tcBorders>
            <w:shd w:val="clear" w:color="000000" w:fill="auto"/>
          </w:tcPr>
          <w:p w:rsidR="008A7415" w:rsidRPr="0071782F" w:rsidRDefault="00A02AFE" w:rsidP="001D01B5">
            <w:pPr>
              <w:suppressAutoHyphens w:val="0"/>
              <w:spacing w:before="40" w:after="40" w:line="220" w:lineRule="exact"/>
              <w:rPr>
                <w:sz w:val="18"/>
                <w:lang w:val="fr-CH"/>
              </w:rPr>
            </w:pPr>
            <w:r w:rsidRPr="0071782F">
              <w:rPr>
                <w:sz w:val="18"/>
                <w:lang w:val="fr-CH"/>
              </w:rPr>
              <w:t>Produits horticoles</w:t>
            </w:r>
          </w:p>
        </w:tc>
        <w:tc>
          <w:tcPr>
            <w:tcW w:w="1134" w:type="dxa"/>
            <w:tcBorders>
              <w:top w:val="nil"/>
            </w:tcBorders>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13 109</w:t>
            </w:r>
          </w:p>
        </w:tc>
        <w:tc>
          <w:tcPr>
            <w:tcW w:w="992" w:type="dxa"/>
            <w:tcBorders>
              <w:top w:val="nil"/>
            </w:tcBorders>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14 864</w:t>
            </w:r>
          </w:p>
        </w:tc>
        <w:tc>
          <w:tcPr>
            <w:tcW w:w="992" w:type="dxa"/>
            <w:tcBorders>
              <w:top w:val="nil"/>
            </w:tcBorders>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15 545</w:t>
            </w:r>
          </w:p>
        </w:tc>
        <w:tc>
          <w:tcPr>
            <w:tcW w:w="993" w:type="dxa"/>
            <w:tcBorders>
              <w:top w:val="nil"/>
            </w:tcBorders>
            <w:shd w:val="clear" w:color="000000" w:fill="auto"/>
            <w:vAlign w:val="bottom"/>
          </w:tcPr>
          <w:p w:rsidR="008A7415" w:rsidRPr="0071782F" w:rsidRDefault="008A7415" w:rsidP="007A1E2D">
            <w:pPr>
              <w:suppressAutoHyphens w:val="0"/>
              <w:spacing w:before="40" w:after="40" w:line="220" w:lineRule="exact"/>
              <w:jc w:val="right"/>
              <w:rPr>
                <w:sz w:val="18"/>
                <w:lang w:val="fr-CH"/>
              </w:rPr>
            </w:pPr>
            <w:r w:rsidRPr="0071782F">
              <w:rPr>
                <w:sz w:val="18"/>
                <w:lang w:val="fr-CH"/>
              </w:rPr>
              <w:t>16 538</w:t>
            </w:r>
          </w:p>
        </w:tc>
        <w:tc>
          <w:tcPr>
            <w:tcW w:w="1274" w:type="dxa"/>
            <w:tcBorders>
              <w:top w:val="nil"/>
            </w:tcBorders>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8</w:t>
            </w:r>
            <w:r w:rsidR="006A6DB9">
              <w:rPr>
                <w:sz w:val="18"/>
                <w:lang w:val="fr-CH"/>
              </w:rPr>
              <w:t>,</w:t>
            </w:r>
            <w:r w:rsidRPr="0071782F">
              <w:rPr>
                <w:sz w:val="18"/>
                <w:lang w:val="fr-CH"/>
              </w:rPr>
              <w:t>0</w:t>
            </w:r>
          </w:p>
        </w:tc>
      </w:tr>
      <w:tr w:rsidR="008A7415" w:rsidRPr="0071782F">
        <w:tc>
          <w:tcPr>
            <w:tcW w:w="1985" w:type="dxa"/>
            <w:shd w:val="clear" w:color="000000" w:fill="auto"/>
          </w:tcPr>
          <w:p w:rsidR="008A7415" w:rsidRPr="0071782F" w:rsidRDefault="001C4954" w:rsidP="001D01B5">
            <w:pPr>
              <w:suppressAutoHyphens w:val="0"/>
              <w:spacing w:before="40" w:after="40" w:line="220" w:lineRule="exact"/>
              <w:rPr>
                <w:sz w:val="18"/>
                <w:lang w:val="fr-CH"/>
              </w:rPr>
            </w:pPr>
            <w:r w:rsidRPr="0071782F">
              <w:rPr>
                <w:sz w:val="18"/>
                <w:lang w:val="fr-CH"/>
              </w:rPr>
              <w:t>Produits de l’éle</w:t>
            </w:r>
            <w:r w:rsidR="00A02AFE" w:rsidRPr="0071782F">
              <w:rPr>
                <w:sz w:val="18"/>
                <w:lang w:val="fr-CH"/>
              </w:rPr>
              <w:t>vage du bétail et des oiseaux de basse-cour</w:t>
            </w:r>
          </w:p>
        </w:tc>
        <w:tc>
          <w:tcPr>
            <w:tcW w:w="1134" w:type="dxa"/>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9 341</w:t>
            </w:r>
          </w:p>
        </w:tc>
        <w:tc>
          <w:tcPr>
            <w:tcW w:w="992" w:type="dxa"/>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9 990</w:t>
            </w:r>
            <w:r w:rsidR="001D01B5" w:rsidRPr="0071782F">
              <w:rPr>
                <w:sz w:val="18"/>
                <w:lang w:val="fr-CH"/>
              </w:rPr>
              <w:t>.</w:t>
            </w:r>
            <w:r w:rsidRPr="0071782F">
              <w:rPr>
                <w:sz w:val="18"/>
                <w:lang w:val="fr-CH"/>
              </w:rPr>
              <w:t>5</w:t>
            </w:r>
          </w:p>
        </w:tc>
        <w:tc>
          <w:tcPr>
            <w:tcW w:w="992" w:type="dxa"/>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10 654</w:t>
            </w:r>
          </w:p>
        </w:tc>
        <w:tc>
          <w:tcPr>
            <w:tcW w:w="993" w:type="dxa"/>
            <w:shd w:val="clear" w:color="000000" w:fill="auto"/>
            <w:vAlign w:val="bottom"/>
          </w:tcPr>
          <w:p w:rsidR="008A7415" w:rsidRPr="0071782F" w:rsidRDefault="008A7415" w:rsidP="007A1E2D">
            <w:pPr>
              <w:suppressAutoHyphens w:val="0"/>
              <w:spacing w:before="40" w:after="40" w:line="220" w:lineRule="exact"/>
              <w:jc w:val="right"/>
              <w:rPr>
                <w:sz w:val="18"/>
                <w:lang w:val="fr-CH"/>
              </w:rPr>
            </w:pPr>
            <w:r w:rsidRPr="0071782F">
              <w:rPr>
                <w:sz w:val="18"/>
                <w:lang w:val="fr-CH"/>
              </w:rPr>
              <w:t>11 335</w:t>
            </w:r>
          </w:p>
        </w:tc>
        <w:tc>
          <w:tcPr>
            <w:tcW w:w="1274" w:type="dxa"/>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6</w:t>
            </w:r>
            <w:r w:rsidR="006A6DB9">
              <w:rPr>
                <w:sz w:val="18"/>
                <w:lang w:val="fr-CH"/>
              </w:rPr>
              <w:t>,</w:t>
            </w:r>
            <w:r w:rsidRPr="0071782F">
              <w:rPr>
                <w:sz w:val="18"/>
                <w:lang w:val="fr-CH"/>
              </w:rPr>
              <w:t>6</w:t>
            </w:r>
          </w:p>
        </w:tc>
      </w:tr>
      <w:tr w:rsidR="008A7415" w:rsidRPr="0071782F">
        <w:tc>
          <w:tcPr>
            <w:tcW w:w="1985" w:type="dxa"/>
            <w:shd w:val="clear" w:color="000000" w:fill="auto"/>
          </w:tcPr>
          <w:p w:rsidR="008A7415" w:rsidRPr="0071782F" w:rsidRDefault="00A02AFE" w:rsidP="001D01B5">
            <w:pPr>
              <w:suppressAutoHyphens w:val="0"/>
              <w:spacing w:before="40" w:after="40" w:line="220" w:lineRule="exact"/>
              <w:rPr>
                <w:sz w:val="18"/>
                <w:lang w:val="fr-CH"/>
              </w:rPr>
            </w:pPr>
            <w:r w:rsidRPr="0071782F">
              <w:rPr>
                <w:sz w:val="18"/>
                <w:lang w:val="fr-CH"/>
              </w:rPr>
              <w:t>Produits de la pêche</w:t>
            </w:r>
          </w:p>
        </w:tc>
        <w:tc>
          <w:tcPr>
            <w:tcW w:w="1134" w:type="dxa"/>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474</w:t>
            </w:r>
          </w:p>
        </w:tc>
        <w:tc>
          <w:tcPr>
            <w:tcW w:w="992" w:type="dxa"/>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523</w:t>
            </w:r>
          </w:p>
        </w:tc>
        <w:tc>
          <w:tcPr>
            <w:tcW w:w="992" w:type="dxa"/>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576</w:t>
            </w:r>
          </w:p>
        </w:tc>
        <w:tc>
          <w:tcPr>
            <w:tcW w:w="993" w:type="dxa"/>
            <w:shd w:val="clear" w:color="000000" w:fill="auto"/>
            <w:vAlign w:val="bottom"/>
          </w:tcPr>
          <w:p w:rsidR="008A7415" w:rsidRPr="0071782F" w:rsidRDefault="008A7415" w:rsidP="007A1E2D">
            <w:pPr>
              <w:suppressAutoHyphens w:val="0"/>
              <w:spacing w:before="40" w:after="40" w:line="220" w:lineRule="exact"/>
              <w:jc w:val="right"/>
              <w:rPr>
                <w:sz w:val="18"/>
                <w:lang w:val="fr-CH"/>
              </w:rPr>
            </w:pPr>
            <w:r w:rsidRPr="0071782F">
              <w:rPr>
                <w:sz w:val="18"/>
                <w:lang w:val="fr-CH"/>
              </w:rPr>
              <w:t>562</w:t>
            </w:r>
          </w:p>
        </w:tc>
        <w:tc>
          <w:tcPr>
            <w:tcW w:w="1274" w:type="dxa"/>
            <w:shd w:val="clear" w:color="000000" w:fill="auto"/>
            <w:vAlign w:val="bottom"/>
          </w:tcPr>
          <w:p w:rsidR="008A7415" w:rsidRPr="0071782F" w:rsidRDefault="008A7415" w:rsidP="001D01B5">
            <w:pPr>
              <w:suppressAutoHyphens w:val="0"/>
              <w:spacing w:before="40" w:after="40" w:line="220" w:lineRule="exact"/>
              <w:jc w:val="right"/>
              <w:rPr>
                <w:sz w:val="18"/>
                <w:lang w:val="fr-CH"/>
              </w:rPr>
            </w:pPr>
            <w:r w:rsidRPr="0071782F">
              <w:rPr>
                <w:sz w:val="18"/>
                <w:lang w:val="fr-CH"/>
              </w:rPr>
              <w:t>5</w:t>
            </w:r>
            <w:r w:rsidR="006A6DB9">
              <w:rPr>
                <w:sz w:val="18"/>
                <w:lang w:val="fr-CH"/>
              </w:rPr>
              <w:t>,</w:t>
            </w:r>
            <w:r w:rsidRPr="0071782F">
              <w:rPr>
                <w:sz w:val="18"/>
                <w:lang w:val="fr-CH"/>
              </w:rPr>
              <w:t>8</w:t>
            </w:r>
          </w:p>
        </w:tc>
      </w:tr>
    </w:tbl>
    <w:p w:rsidR="008A7415" w:rsidRPr="0071782F" w:rsidRDefault="008A7415" w:rsidP="008520EF">
      <w:pPr>
        <w:spacing w:before="120" w:after="240"/>
        <w:ind w:left="1134" w:right="1134" w:firstLine="170"/>
        <w:rPr>
          <w:sz w:val="18"/>
          <w:lang w:val="fr-CH"/>
        </w:rPr>
      </w:pPr>
      <w:r w:rsidRPr="0071782F">
        <w:rPr>
          <w:i/>
          <w:sz w:val="18"/>
          <w:lang w:val="fr-CH"/>
        </w:rPr>
        <w:t>Source</w:t>
      </w:r>
      <w:r w:rsidR="008F7D33" w:rsidRPr="0071782F">
        <w:rPr>
          <w:i/>
          <w:sz w:val="18"/>
          <w:lang w:val="fr-CH"/>
        </w:rPr>
        <w:t>:</w:t>
      </w:r>
      <w:r w:rsidRPr="0071782F">
        <w:rPr>
          <w:sz w:val="18"/>
          <w:lang w:val="fr-CH"/>
        </w:rPr>
        <w:t xml:space="preserve"> Minist</w:t>
      </w:r>
      <w:r w:rsidR="00A02AFE" w:rsidRPr="0071782F">
        <w:rPr>
          <w:sz w:val="18"/>
          <w:lang w:val="fr-CH"/>
        </w:rPr>
        <w:t>ère de l’agriculture</w:t>
      </w:r>
      <w:r w:rsidRPr="0071782F">
        <w:rPr>
          <w:sz w:val="18"/>
          <w:lang w:val="fr-CH"/>
        </w:rPr>
        <w:t>.</w:t>
      </w:r>
    </w:p>
    <w:p w:rsidR="008A7415" w:rsidRPr="0071782F" w:rsidRDefault="008A7415" w:rsidP="00B114DD">
      <w:pPr>
        <w:pStyle w:val="SingleTxtG"/>
        <w:ind w:left="1701"/>
        <w:rPr>
          <w:lang w:val="fr-CH"/>
        </w:rPr>
      </w:pPr>
      <w:r w:rsidRPr="0071782F">
        <w:rPr>
          <w:lang w:val="fr-CH"/>
        </w:rPr>
        <w:t>229.4.</w:t>
      </w:r>
      <w:r w:rsidRPr="0071782F">
        <w:rPr>
          <w:lang w:val="fr-CH"/>
        </w:rPr>
        <w:tab/>
      </w:r>
      <w:r w:rsidR="00D733D3" w:rsidRPr="0071782F">
        <w:rPr>
          <w:lang w:val="fr-CH"/>
        </w:rPr>
        <w:t xml:space="preserve">La </w:t>
      </w:r>
      <w:r w:rsidRPr="0071782F">
        <w:rPr>
          <w:lang w:val="fr-CH"/>
        </w:rPr>
        <w:t xml:space="preserve">production </w:t>
      </w:r>
      <w:r w:rsidR="00D733D3" w:rsidRPr="0071782F">
        <w:rPr>
          <w:lang w:val="fr-CH"/>
        </w:rPr>
        <w:t xml:space="preserve">de blé est passée de </w:t>
      </w:r>
      <w:r w:rsidRPr="0071782F">
        <w:rPr>
          <w:lang w:val="fr-CH"/>
        </w:rPr>
        <w:t>14</w:t>
      </w:r>
      <w:r w:rsidR="00D733D3" w:rsidRPr="0071782F">
        <w:rPr>
          <w:lang w:val="fr-CH"/>
        </w:rPr>
        <w:t> </w:t>
      </w:r>
      <w:r w:rsidRPr="0071782F">
        <w:rPr>
          <w:lang w:val="fr-CH"/>
        </w:rPr>
        <w:t>569</w:t>
      </w:r>
      <w:r w:rsidR="00D733D3" w:rsidRPr="0071782F">
        <w:rPr>
          <w:lang w:val="fr-CH"/>
        </w:rPr>
        <w:t xml:space="preserve"> </w:t>
      </w:r>
      <w:r w:rsidRPr="0071782F">
        <w:rPr>
          <w:lang w:val="fr-CH"/>
        </w:rPr>
        <w:t>000</w:t>
      </w:r>
      <w:r w:rsidR="00D3560C" w:rsidRPr="0071782F">
        <w:rPr>
          <w:lang w:val="fr-CH"/>
        </w:rPr>
        <w:t> t</w:t>
      </w:r>
      <w:r w:rsidRPr="0071782F">
        <w:rPr>
          <w:lang w:val="fr-CH"/>
        </w:rPr>
        <w:t xml:space="preserve"> </w:t>
      </w:r>
      <w:r w:rsidR="00D733D3" w:rsidRPr="0071782F">
        <w:rPr>
          <w:lang w:val="fr-CH"/>
        </w:rPr>
        <w:t>e</w:t>
      </w:r>
      <w:r w:rsidRPr="0071782F">
        <w:rPr>
          <w:lang w:val="fr-CH"/>
        </w:rPr>
        <w:t xml:space="preserve">n 2004 </w:t>
      </w:r>
      <w:r w:rsidR="00D733D3" w:rsidRPr="0071782F">
        <w:rPr>
          <w:lang w:val="fr-CH"/>
        </w:rPr>
        <w:t>à</w:t>
      </w:r>
      <w:r w:rsidRPr="0071782F">
        <w:rPr>
          <w:lang w:val="fr-CH"/>
        </w:rPr>
        <w:t xml:space="preserve"> 15</w:t>
      </w:r>
      <w:r w:rsidR="00D733D3" w:rsidRPr="0071782F">
        <w:rPr>
          <w:lang w:val="fr-CH"/>
        </w:rPr>
        <w:t> </w:t>
      </w:r>
      <w:r w:rsidRPr="0071782F">
        <w:rPr>
          <w:lang w:val="fr-CH"/>
        </w:rPr>
        <w:t>887</w:t>
      </w:r>
      <w:r w:rsidR="001D01B5" w:rsidRPr="0071782F">
        <w:rPr>
          <w:lang w:val="fr-CH"/>
        </w:rPr>
        <w:t> </w:t>
      </w:r>
      <w:r w:rsidRPr="0071782F">
        <w:rPr>
          <w:lang w:val="fr-CH"/>
        </w:rPr>
        <w:t>000</w:t>
      </w:r>
      <w:r w:rsidR="00D3560C" w:rsidRPr="0071782F">
        <w:rPr>
          <w:lang w:val="fr-CH"/>
        </w:rPr>
        <w:t> t</w:t>
      </w:r>
      <w:r w:rsidRPr="0071782F">
        <w:rPr>
          <w:lang w:val="fr-CH"/>
        </w:rPr>
        <w:t xml:space="preserve"> </w:t>
      </w:r>
      <w:r w:rsidR="00D733D3" w:rsidRPr="0071782F">
        <w:rPr>
          <w:lang w:val="fr-CH"/>
        </w:rPr>
        <w:t>e</w:t>
      </w:r>
      <w:r w:rsidR="00E97CAD">
        <w:rPr>
          <w:lang w:val="fr-CH"/>
        </w:rPr>
        <w:t>n </w:t>
      </w:r>
      <w:r w:rsidRPr="0071782F">
        <w:rPr>
          <w:lang w:val="fr-CH"/>
        </w:rPr>
        <w:t>2007</w:t>
      </w:r>
      <w:r w:rsidR="00D733D3" w:rsidRPr="0071782F">
        <w:rPr>
          <w:lang w:val="fr-CH"/>
        </w:rPr>
        <w:t xml:space="preserve">, pour un taux de croissance moyen annuel de </w:t>
      </w:r>
      <w:r w:rsidRPr="0071782F">
        <w:rPr>
          <w:lang w:val="fr-CH"/>
        </w:rPr>
        <w:t>2</w:t>
      </w:r>
      <w:r w:rsidR="00D733D3" w:rsidRPr="0071782F">
        <w:rPr>
          <w:lang w:val="fr-CH"/>
        </w:rPr>
        <w:t>,</w:t>
      </w:r>
      <w:r w:rsidRPr="0071782F">
        <w:rPr>
          <w:lang w:val="fr-CH"/>
        </w:rPr>
        <w:t>9</w:t>
      </w:r>
      <w:r w:rsidR="007E5125" w:rsidRPr="0071782F">
        <w:rPr>
          <w:lang w:val="fr-CH"/>
        </w:rPr>
        <w:t>%</w:t>
      </w:r>
      <w:r w:rsidRPr="0071782F">
        <w:rPr>
          <w:lang w:val="fr-CH"/>
        </w:rPr>
        <w:t xml:space="preserve">, </w:t>
      </w:r>
      <w:r w:rsidR="00D733D3" w:rsidRPr="0071782F">
        <w:rPr>
          <w:lang w:val="fr-CH"/>
        </w:rPr>
        <w:t xml:space="preserve">mais est retombée en raison d’un hiver extrêmement froid en </w:t>
      </w:r>
      <w:r w:rsidRPr="0071782F">
        <w:rPr>
          <w:lang w:val="fr-CH"/>
        </w:rPr>
        <w:t xml:space="preserve">2007 </w:t>
      </w:r>
      <w:r w:rsidR="00D733D3" w:rsidRPr="0071782F">
        <w:rPr>
          <w:lang w:val="fr-CH"/>
        </w:rPr>
        <w:t>et d’u</w:t>
      </w:r>
      <w:r w:rsidR="00E97CAD">
        <w:rPr>
          <w:lang w:val="fr-CH"/>
        </w:rPr>
        <w:t>ne sécheresse sans précédent en </w:t>
      </w:r>
      <w:r w:rsidRPr="0071782F">
        <w:rPr>
          <w:lang w:val="fr-CH"/>
        </w:rPr>
        <w:t>2008.</w:t>
      </w:r>
    </w:p>
    <w:p w:rsidR="008A7415" w:rsidRPr="0071782F" w:rsidRDefault="008A7415" w:rsidP="00B114DD">
      <w:pPr>
        <w:pStyle w:val="SingleTxtG"/>
        <w:ind w:left="1701"/>
        <w:rPr>
          <w:lang w:val="fr-CH"/>
        </w:rPr>
      </w:pPr>
      <w:r w:rsidRPr="0071782F">
        <w:rPr>
          <w:lang w:val="fr-CH"/>
        </w:rPr>
        <w:t>229.5.</w:t>
      </w:r>
      <w:r w:rsidRPr="0071782F">
        <w:rPr>
          <w:lang w:val="fr-CH"/>
        </w:rPr>
        <w:tab/>
      </w:r>
      <w:r w:rsidR="00D733D3" w:rsidRPr="0071782F">
        <w:rPr>
          <w:lang w:val="fr-CH"/>
        </w:rPr>
        <w:t xml:space="preserve">La </w:t>
      </w:r>
      <w:r w:rsidRPr="0071782F">
        <w:rPr>
          <w:lang w:val="fr-CH"/>
        </w:rPr>
        <w:t xml:space="preserve">production </w:t>
      </w:r>
      <w:r w:rsidR="00D733D3" w:rsidRPr="0071782F">
        <w:rPr>
          <w:lang w:val="fr-CH"/>
        </w:rPr>
        <w:t>de riz est passée de 2 </w:t>
      </w:r>
      <w:r w:rsidRPr="0071782F">
        <w:rPr>
          <w:lang w:val="fr-CH"/>
        </w:rPr>
        <w:t>542</w:t>
      </w:r>
      <w:r w:rsidR="001D01B5" w:rsidRPr="0071782F">
        <w:rPr>
          <w:lang w:val="fr-CH"/>
        </w:rPr>
        <w:t> </w:t>
      </w:r>
      <w:r w:rsidRPr="0071782F">
        <w:rPr>
          <w:lang w:val="fr-CH"/>
        </w:rPr>
        <w:t>000</w:t>
      </w:r>
      <w:r w:rsidR="00D3560C" w:rsidRPr="0071782F">
        <w:rPr>
          <w:lang w:val="fr-CH"/>
        </w:rPr>
        <w:t> t</w:t>
      </w:r>
      <w:r w:rsidRPr="0071782F">
        <w:rPr>
          <w:lang w:val="fr-CH"/>
        </w:rPr>
        <w:t xml:space="preserve"> </w:t>
      </w:r>
      <w:r w:rsidR="00D733D3" w:rsidRPr="0071782F">
        <w:rPr>
          <w:lang w:val="fr-CH"/>
        </w:rPr>
        <w:t>e</w:t>
      </w:r>
      <w:r w:rsidRPr="0071782F">
        <w:rPr>
          <w:lang w:val="fr-CH"/>
        </w:rPr>
        <w:t xml:space="preserve">n 2004 </w:t>
      </w:r>
      <w:r w:rsidR="00D733D3" w:rsidRPr="0071782F">
        <w:rPr>
          <w:lang w:val="fr-CH"/>
        </w:rPr>
        <w:t>à 2 664</w:t>
      </w:r>
      <w:r w:rsidR="001D01B5" w:rsidRPr="0071782F">
        <w:rPr>
          <w:lang w:val="fr-CH"/>
        </w:rPr>
        <w:t> </w:t>
      </w:r>
      <w:r w:rsidRPr="0071782F">
        <w:rPr>
          <w:lang w:val="fr-CH"/>
        </w:rPr>
        <w:t>000</w:t>
      </w:r>
      <w:r w:rsidR="00D3560C" w:rsidRPr="0071782F">
        <w:rPr>
          <w:lang w:val="fr-CH"/>
        </w:rPr>
        <w:t> t</w:t>
      </w:r>
      <w:r w:rsidRPr="0071782F">
        <w:rPr>
          <w:lang w:val="fr-CH"/>
        </w:rPr>
        <w:t xml:space="preserve"> </w:t>
      </w:r>
      <w:r w:rsidR="00D733D3" w:rsidRPr="0071782F">
        <w:rPr>
          <w:lang w:val="fr-CH"/>
        </w:rPr>
        <w:t>e</w:t>
      </w:r>
      <w:r w:rsidRPr="0071782F">
        <w:rPr>
          <w:lang w:val="fr-CH"/>
        </w:rPr>
        <w:t>n 2007</w:t>
      </w:r>
      <w:r w:rsidR="00D733D3" w:rsidRPr="0071782F">
        <w:rPr>
          <w:lang w:val="fr-CH"/>
        </w:rPr>
        <w:t>,</w:t>
      </w:r>
      <w:r w:rsidRPr="0071782F">
        <w:rPr>
          <w:lang w:val="fr-CH"/>
        </w:rPr>
        <w:t xml:space="preserve"> </w:t>
      </w:r>
      <w:r w:rsidR="00D733D3" w:rsidRPr="0071782F">
        <w:rPr>
          <w:lang w:val="fr-CH"/>
        </w:rPr>
        <w:t>pour un taux de croissance moyen annuel de 1,6</w:t>
      </w:r>
      <w:r w:rsidR="007E5125" w:rsidRPr="0071782F">
        <w:rPr>
          <w:lang w:val="fr-CH"/>
        </w:rPr>
        <w:t>%</w:t>
      </w:r>
      <w:r w:rsidR="00D733D3" w:rsidRPr="0071782F">
        <w:rPr>
          <w:lang w:val="fr-CH"/>
        </w:rPr>
        <w:t>, mais est retombée en raison d’un hiver extrêmement froid en 2007 et d’une sécheresse sans précédent en 2008</w:t>
      </w:r>
      <w:r w:rsidRPr="0071782F">
        <w:rPr>
          <w:lang w:val="fr-CH"/>
        </w:rPr>
        <w:t>.</w:t>
      </w:r>
    </w:p>
    <w:p w:rsidR="008A7415" w:rsidRPr="0071782F" w:rsidRDefault="008A7415" w:rsidP="00B114DD">
      <w:pPr>
        <w:pStyle w:val="SingleTxtG"/>
        <w:ind w:left="1701"/>
        <w:rPr>
          <w:lang w:val="fr-CH"/>
        </w:rPr>
      </w:pPr>
      <w:r w:rsidRPr="0071782F">
        <w:rPr>
          <w:lang w:val="fr-CH"/>
        </w:rPr>
        <w:t>229.6.</w:t>
      </w:r>
      <w:r w:rsidRPr="0071782F">
        <w:rPr>
          <w:lang w:val="fr-CH"/>
        </w:rPr>
        <w:tab/>
      </w:r>
      <w:r w:rsidR="00D733D3" w:rsidRPr="0071782F">
        <w:rPr>
          <w:lang w:val="fr-CH"/>
        </w:rPr>
        <w:t>La production de maïs a fait un bond, passant de 1 926</w:t>
      </w:r>
      <w:r w:rsidR="003D43D2">
        <w:rPr>
          <w:lang w:val="fr-CH"/>
        </w:rPr>
        <w:t> </w:t>
      </w:r>
      <w:r w:rsidRPr="0071782F">
        <w:rPr>
          <w:lang w:val="fr-CH"/>
        </w:rPr>
        <w:t>000</w:t>
      </w:r>
      <w:r w:rsidR="00D3560C" w:rsidRPr="0071782F">
        <w:rPr>
          <w:lang w:val="fr-CH"/>
        </w:rPr>
        <w:t> </w:t>
      </w:r>
      <w:r w:rsidR="006A6DB9">
        <w:rPr>
          <w:lang w:val="fr-CH"/>
        </w:rPr>
        <w:t xml:space="preserve">t </w:t>
      </w:r>
      <w:r w:rsidR="00D733D3" w:rsidRPr="0071782F">
        <w:rPr>
          <w:lang w:val="fr-CH"/>
        </w:rPr>
        <w:t>e</w:t>
      </w:r>
      <w:r w:rsidRPr="0071782F">
        <w:rPr>
          <w:lang w:val="fr-CH"/>
        </w:rPr>
        <w:t xml:space="preserve">n 2004 </w:t>
      </w:r>
      <w:r w:rsidR="00D733D3" w:rsidRPr="0071782F">
        <w:rPr>
          <w:lang w:val="fr-CH"/>
        </w:rPr>
        <w:t>à</w:t>
      </w:r>
      <w:r w:rsidRPr="0071782F">
        <w:rPr>
          <w:lang w:val="fr-CH"/>
        </w:rPr>
        <w:t xml:space="preserve"> 2</w:t>
      </w:r>
      <w:r w:rsidR="00D733D3" w:rsidRPr="0071782F">
        <w:rPr>
          <w:lang w:val="fr-CH"/>
        </w:rPr>
        <w:t> </w:t>
      </w:r>
      <w:r w:rsidRPr="0071782F">
        <w:rPr>
          <w:lang w:val="fr-CH"/>
        </w:rPr>
        <w:t>361</w:t>
      </w:r>
      <w:r w:rsidR="006A6DB9">
        <w:rPr>
          <w:lang w:val="fr-CH"/>
        </w:rPr>
        <w:t> </w:t>
      </w:r>
      <w:r w:rsidRPr="0071782F">
        <w:rPr>
          <w:lang w:val="fr-CH"/>
        </w:rPr>
        <w:t>000</w:t>
      </w:r>
      <w:r w:rsidR="00D3560C" w:rsidRPr="0071782F">
        <w:rPr>
          <w:lang w:val="fr-CH"/>
        </w:rPr>
        <w:t> t</w:t>
      </w:r>
      <w:r w:rsidRPr="0071782F">
        <w:rPr>
          <w:lang w:val="fr-CH"/>
        </w:rPr>
        <w:t xml:space="preserve"> </w:t>
      </w:r>
      <w:r w:rsidR="00D733D3" w:rsidRPr="0071782F">
        <w:rPr>
          <w:lang w:val="fr-CH"/>
        </w:rPr>
        <w:t>e</w:t>
      </w:r>
      <w:r w:rsidRPr="0071782F">
        <w:rPr>
          <w:lang w:val="fr-CH"/>
        </w:rPr>
        <w:t>n 2007</w:t>
      </w:r>
      <w:r w:rsidR="00D733D3" w:rsidRPr="0071782F">
        <w:rPr>
          <w:lang w:val="fr-CH"/>
        </w:rPr>
        <w:t>,</w:t>
      </w:r>
      <w:r w:rsidRPr="0071782F">
        <w:rPr>
          <w:lang w:val="fr-CH"/>
        </w:rPr>
        <w:t xml:space="preserve"> </w:t>
      </w:r>
      <w:r w:rsidR="00D733D3" w:rsidRPr="0071782F">
        <w:rPr>
          <w:lang w:val="fr-CH"/>
        </w:rPr>
        <w:t>pour un taux de croissance moyen annuel de 7</w:t>
      </w:r>
      <w:r w:rsidR="007E5125" w:rsidRPr="0071782F">
        <w:rPr>
          <w:lang w:val="fr-CH"/>
        </w:rPr>
        <w:t>%</w:t>
      </w:r>
      <w:r w:rsidR="00D733D3" w:rsidRPr="0071782F">
        <w:rPr>
          <w:lang w:val="fr-CH"/>
        </w:rPr>
        <w:t>, mais est retombée en raison d’un hiver extrêmement froid en 2007 et d’une sécheresse sans précédent en 2008</w:t>
      </w:r>
      <w:r w:rsidRPr="0071782F">
        <w:rPr>
          <w:lang w:val="fr-CH"/>
        </w:rPr>
        <w:t>.</w:t>
      </w:r>
    </w:p>
    <w:p w:rsidR="008A7415" w:rsidRPr="006A6DB9" w:rsidRDefault="008A7415" w:rsidP="00B114DD">
      <w:pPr>
        <w:pStyle w:val="SingleTxtG"/>
        <w:ind w:left="1701"/>
        <w:rPr>
          <w:spacing w:val="-2"/>
          <w:lang w:val="fr-CH"/>
        </w:rPr>
      </w:pPr>
      <w:r w:rsidRPr="006A6DB9">
        <w:rPr>
          <w:spacing w:val="-2"/>
          <w:lang w:val="fr-CH"/>
        </w:rPr>
        <w:t>229.7.</w:t>
      </w:r>
      <w:r w:rsidRPr="006A6DB9">
        <w:rPr>
          <w:spacing w:val="-2"/>
          <w:lang w:val="fr-CH"/>
        </w:rPr>
        <w:tab/>
      </w:r>
      <w:r w:rsidR="00D733D3" w:rsidRPr="006A6DB9">
        <w:rPr>
          <w:spacing w:val="-2"/>
          <w:lang w:val="fr-CH"/>
        </w:rPr>
        <w:t>La production de céréales est passée de 666</w:t>
      </w:r>
      <w:r w:rsidR="006A6DB9" w:rsidRPr="006A6DB9">
        <w:rPr>
          <w:spacing w:val="-2"/>
          <w:lang w:val="fr-CH"/>
        </w:rPr>
        <w:t> </w:t>
      </w:r>
      <w:r w:rsidRPr="006A6DB9">
        <w:rPr>
          <w:spacing w:val="-2"/>
          <w:lang w:val="fr-CH"/>
        </w:rPr>
        <w:t>000</w:t>
      </w:r>
      <w:r w:rsidR="00D3560C" w:rsidRPr="006A6DB9">
        <w:rPr>
          <w:spacing w:val="-2"/>
          <w:lang w:val="fr-CH"/>
        </w:rPr>
        <w:t> t</w:t>
      </w:r>
      <w:r w:rsidRPr="006A6DB9">
        <w:rPr>
          <w:spacing w:val="-2"/>
          <w:lang w:val="fr-CH"/>
        </w:rPr>
        <w:t xml:space="preserve"> </w:t>
      </w:r>
      <w:r w:rsidR="00D733D3" w:rsidRPr="006A6DB9">
        <w:rPr>
          <w:spacing w:val="-2"/>
          <w:lang w:val="fr-CH"/>
        </w:rPr>
        <w:t>e</w:t>
      </w:r>
      <w:r w:rsidRPr="006A6DB9">
        <w:rPr>
          <w:spacing w:val="-2"/>
          <w:lang w:val="fr-CH"/>
        </w:rPr>
        <w:t xml:space="preserve">n 2004 </w:t>
      </w:r>
      <w:r w:rsidR="00D733D3" w:rsidRPr="006A6DB9">
        <w:rPr>
          <w:spacing w:val="-2"/>
          <w:lang w:val="fr-CH"/>
        </w:rPr>
        <w:t>à</w:t>
      </w:r>
      <w:r w:rsidRPr="006A6DB9">
        <w:rPr>
          <w:spacing w:val="-2"/>
          <w:lang w:val="fr-CH"/>
        </w:rPr>
        <w:t xml:space="preserve"> 711</w:t>
      </w:r>
      <w:r w:rsidR="001D01B5" w:rsidRPr="006A6DB9">
        <w:rPr>
          <w:spacing w:val="-2"/>
          <w:lang w:val="fr-CH"/>
        </w:rPr>
        <w:t> </w:t>
      </w:r>
      <w:r w:rsidRPr="006A6DB9">
        <w:rPr>
          <w:spacing w:val="-2"/>
          <w:lang w:val="fr-CH"/>
        </w:rPr>
        <w:t>000</w:t>
      </w:r>
      <w:r w:rsidR="00D3560C" w:rsidRPr="006A6DB9">
        <w:rPr>
          <w:spacing w:val="-2"/>
          <w:lang w:val="fr-CH"/>
        </w:rPr>
        <w:t> t</w:t>
      </w:r>
      <w:r w:rsidRPr="006A6DB9">
        <w:rPr>
          <w:spacing w:val="-2"/>
          <w:lang w:val="fr-CH"/>
        </w:rPr>
        <w:t xml:space="preserve"> </w:t>
      </w:r>
      <w:r w:rsidR="00D733D3" w:rsidRPr="006A6DB9">
        <w:rPr>
          <w:spacing w:val="-2"/>
          <w:lang w:val="fr-CH"/>
        </w:rPr>
        <w:t>e</w:t>
      </w:r>
      <w:r w:rsidR="006A6DB9" w:rsidRPr="006A6DB9">
        <w:rPr>
          <w:spacing w:val="-2"/>
          <w:lang w:val="fr-CH"/>
        </w:rPr>
        <w:t>n </w:t>
      </w:r>
      <w:r w:rsidRPr="006A6DB9">
        <w:rPr>
          <w:spacing w:val="-2"/>
          <w:lang w:val="fr-CH"/>
        </w:rPr>
        <w:t>2007</w:t>
      </w:r>
      <w:r w:rsidR="00D733D3" w:rsidRPr="006A6DB9">
        <w:rPr>
          <w:spacing w:val="-2"/>
          <w:lang w:val="fr-CH"/>
        </w:rPr>
        <w:t>, pour un taux de croissance moyen annuel de 2,2</w:t>
      </w:r>
      <w:r w:rsidR="007E5125" w:rsidRPr="006A6DB9">
        <w:rPr>
          <w:spacing w:val="-2"/>
          <w:lang w:val="fr-CH"/>
        </w:rPr>
        <w:t>%</w:t>
      </w:r>
      <w:r w:rsidR="00D733D3" w:rsidRPr="006A6DB9">
        <w:rPr>
          <w:spacing w:val="-2"/>
          <w:lang w:val="fr-CH"/>
        </w:rPr>
        <w:t>, mais est retombée en raison d’un hiver extrêmement froid en 2007 et d’u</w:t>
      </w:r>
      <w:r w:rsidR="006A6DB9" w:rsidRPr="006A6DB9">
        <w:rPr>
          <w:spacing w:val="-2"/>
          <w:lang w:val="fr-CH"/>
        </w:rPr>
        <w:t>ne sécheresse sans précédent en </w:t>
      </w:r>
      <w:r w:rsidR="00D733D3" w:rsidRPr="006A6DB9">
        <w:rPr>
          <w:spacing w:val="-2"/>
          <w:lang w:val="fr-CH"/>
        </w:rPr>
        <w:t>2008</w:t>
      </w:r>
      <w:r w:rsidRPr="006A6DB9">
        <w:rPr>
          <w:spacing w:val="-2"/>
          <w:lang w:val="fr-CH"/>
        </w:rPr>
        <w:t>.</w:t>
      </w:r>
    </w:p>
    <w:p w:rsidR="008A7415" w:rsidRPr="0071782F" w:rsidRDefault="008A7415" w:rsidP="00B114DD">
      <w:pPr>
        <w:pStyle w:val="SingleTxtG"/>
        <w:ind w:left="1701"/>
        <w:rPr>
          <w:lang w:val="fr-CH"/>
        </w:rPr>
      </w:pPr>
      <w:r w:rsidRPr="0071782F">
        <w:rPr>
          <w:lang w:val="fr-CH"/>
        </w:rPr>
        <w:t>229.8.</w:t>
      </w:r>
      <w:r w:rsidRPr="0071782F">
        <w:rPr>
          <w:lang w:val="fr-CH"/>
        </w:rPr>
        <w:tab/>
      </w:r>
      <w:r w:rsidR="00D733D3" w:rsidRPr="0071782F">
        <w:rPr>
          <w:lang w:val="fr-CH"/>
        </w:rPr>
        <w:t xml:space="preserve">La production de </w:t>
      </w:r>
      <w:r w:rsidR="00F86B64" w:rsidRPr="0071782F">
        <w:rPr>
          <w:lang w:val="fr-CH"/>
        </w:rPr>
        <w:t xml:space="preserve">graines oléagineuses </w:t>
      </w:r>
      <w:r w:rsidR="00FD3B92" w:rsidRPr="0071782F">
        <w:rPr>
          <w:lang w:val="fr-CH"/>
        </w:rPr>
        <w:t>est passé de 402</w:t>
      </w:r>
      <w:r w:rsidR="001D01B5" w:rsidRPr="0071782F">
        <w:rPr>
          <w:lang w:val="fr-CH"/>
        </w:rPr>
        <w:t> </w:t>
      </w:r>
      <w:r w:rsidRPr="0071782F">
        <w:rPr>
          <w:lang w:val="fr-CH"/>
        </w:rPr>
        <w:t>000</w:t>
      </w:r>
      <w:r w:rsidR="00D3560C" w:rsidRPr="0071782F">
        <w:rPr>
          <w:lang w:val="fr-CH"/>
        </w:rPr>
        <w:t> t</w:t>
      </w:r>
      <w:r w:rsidRPr="0071782F">
        <w:rPr>
          <w:lang w:val="fr-CH"/>
        </w:rPr>
        <w:t xml:space="preserve"> </w:t>
      </w:r>
      <w:r w:rsidR="00FD3B92" w:rsidRPr="0071782F">
        <w:rPr>
          <w:lang w:val="fr-CH"/>
        </w:rPr>
        <w:t>e</w:t>
      </w:r>
      <w:r w:rsidRPr="0071782F">
        <w:rPr>
          <w:lang w:val="fr-CH"/>
        </w:rPr>
        <w:t xml:space="preserve">n 2004 </w:t>
      </w:r>
      <w:r w:rsidR="00FD3B92" w:rsidRPr="0071782F">
        <w:rPr>
          <w:lang w:val="fr-CH"/>
        </w:rPr>
        <w:t>à 628</w:t>
      </w:r>
      <w:r w:rsidR="001D01B5" w:rsidRPr="0071782F">
        <w:rPr>
          <w:lang w:val="fr-CH"/>
        </w:rPr>
        <w:t> </w:t>
      </w:r>
      <w:r w:rsidRPr="0071782F">
        <w:rPr>
          <w:lang w:val="fr-CH"/>
        </w:rPr>
        <w:t>000</w:t>
      </w:r>
      <w:r w:rsidR="00D3560C" w:rsidRPr="0071782F">
        <w:rPr>
          <w:lang w:val="fr-CH"/>
        </w:rPr>
        <w:t> t</w:t>
      </w:r>
      <w:r w:rsidRPr="0071782F">
        <w:rPr>
          <w:lang w:val="fr-CH"/>
        </w:rPr>
        <w:t xml:space="preserve"> </w:t>
      </w:r>
      <w:r w:rsidR="00FD3B92" w:rsidRPr="0071782F">
        <w:rPr>
          <w:lang w:val="fr-CH"/>
        </w:rPr>
        <w:t>e</w:t>
      </w:r>
      <w:r w:rsidRPr="0071782F">
        <w:rPr>
          <w:lang w:val="fr-CH"/>
        </w:rPr>
        <w:t>n 2007</w:t>
      </w:r>
      <w:r w:rsidR="00FD3B92" w:rsidRPr="0071782F">
        <w:rPr>
          <w:lang w:val="fr-CH"/>
        </w:rPr>
        <w:t>,</w:t>
      </w:r>
      <w:r w:rsidRPr="0071782F">
        <w:rPr>
          <w:lang w:val="fr-CH"/>
        </w:rPr>
        <w:t xml:space="preserve"> </w:t>
      </w:r>
      <w:r w:rsidR="00FD3B92" w:rsidRPr="0071782F">
        <w:rPr>
          <w:lang w:val="fr-CH"/>
        </w:rPr>
        <w:t>pour un taux de croissance moyen annuel de 16</w:t>
      </w:r>
      <w:r w:rsidR="007E5125" w:rsidRPr="0071782F">
        <w:rPr>
          <w:lang w:val="fr-CH"/>
        </w:rPr>
        <w:t>%</w:t>
      </w:r>
      <w:r w:rsidR="00FD3B92" w:rsidRPr="0071782F">
        <w:rPr>
          <w:lang w:val="fr-CH"/>
        </w:rPr>
        <w:t>, mais est retombée en raison d’un hiver extrêmement froid en 2007 et d’une sécheresse sans précédent en 2008</w:t>
      </w:r>
      <w:r w:rsidRPr="0071782F">
        <w:rPr>
          <w:lang w:val="fr-CH"/>
        </w:rPr>
        <w:t>.</w:t>
      </w:r>
    </w:p>
    <w:p w:rsidR="008A7415" w:rsidRPr="0071782F" w:rsidRDefault="008A7415" w:rsidP="00B114DD">
      <w:pPr>
        <w:pStyle w:val="SingleTxtG"/>
        <w:ind w:left="1701"/>
        <w:rPr>
          <w:lang w:val="fr-CH"/>
        </w:rPr>
      </w:pPr>
      <w:r w:rsidRPr="0071782F">
        <w:rPr>
          <w:lang w:val="fr-CH"/>
        </w:rPr>
        <w:t>229.9.</w:t>
      </w:r>
      <w:r w:rsidRPr="0071782F">
        <w:rPr>
          <w:lang w:val="fr-CH"/>
        </w:rPr>
        <w:tab/>
      </w:r>
      <w:r w:rsidR="00D733D3" w:rsidRPr="0071782F">
        <w:rPr>
          <w:lang w:val="fr-CH"/>
        </w:rPr>
        <w:t xml:space="preserve">La production de </w:t>
      </w:r>
      <w:r w:rsidR="00FD3B92" w:rsidRPr="0071782F">
        <w:rPr>
          <w:lang w:val="fr-CH"/>
        </w:rPr>
        <w:t xml:space="preserve">pommes de terre est passée de </w:t>
      </w:r>
      <w:r w:rsidRPr="0071782F">
        <w:rPr>
          <w:lang w:val="fr-CH"/>
        </w:rPr>
        <w:t>4</w:t>
      </w:r>
      <w:r w:rsidR="00FD3B92" w:rsidRPr="0071782F">
        <w:rPr>
          <w:lang w:val="fr-CH"/>
        </w:rPr>
        <w:t> 454</w:t>
      </w:r>
      <w:r w:rsidR="001D01B5" w:rsidRPr="0071782F">
        <w:rPr>
          <w:lang w:val="fr-CH"/>
        </w:rPr>
        <w:t> </w:t>
      </w:r>
      <w:r w:rsidRPr="0071782F">
        <w:rPr>
          <w:lang w:val="fr-CH"/>
        </w:rPr>
        <w:t>000</w:t>
      </w:r>
      <w:r w:rsidR="00D3560C" w:rsidRPr="0071782F">
        <w:rPr>
          <w:lang w:val="fr-CH"/>
        </w:rPr>
        <w:t> t</w:t>
      </w:r>
      <w:r w:rsidRPr="0071782F">
        <w:rPr>
          <w:lang w:val="fr-CH"/>
        </w:rPr>
        <w:t xml:space="preserve"> </w:t>
      </w:r>
      <w:r w:rsidR="00FD3B92" w:rsidRPr="0071782F">
        <w:rPr>
          <w:lang w:val="fr-CH"/>
        </w:rPr>
        <w:t>e</w:t>
      </w:r>
      <w:r w:rsidRPr="0071782F">
        <w:rPr>
          <w:lang w:val="fr-CH"/>
        </w:rPr>
        <w:t xml:space="preserve">n 2004 </w:t>
      </w:r>
      <w:r w:rsidR="00FD3B92" w:rsidRPr="0071782F">
        <w:rPr>
          <w:lang w:val="fr-CH"/>
        </w:rPr>
        <w:t>à 4 640</w:t>
      </w:r>
      <w:r w:rsidR="001D01B5" w:rsidRPr="0071782F">
        <w:rPr>
          <w:lang w:val="fr-CH"/>
        </w:rPr>
        <w:t> </w:t>
      </w:r>
      <w:r w:rsidRPr="0071782F">
        <w:rPr>
          <w:lang w:val="fr-CH"/>
        </w:rPr>
        <w:t>000</w:t>
      </w:r>
      <w:r w:rsidR="00D3560C" w:rsidRPr="0071782F">
        <w:rPr>
          <w:lang w:val="fr-CH"/>
        </w:rPr>
        <w:t> t</w:t>
      </w:r>
      <w:r w:rsidRPr="0071782F">
        <w:rPr>
          <w:lang w:val="fr-CH"/>
        </w:rPr>
        <w:t xml:space="preserve"> </w:t>
      </w:r>
      <w:r w:rsidR="00FD3B92" w:rsidRPr="0071782F">
        <w:rPr>
          <w:lang w:val="fr-CH"/>
        </w:rPr>
        <w:t>e</w:t>
      </w:r>
      <w:r w:rsidRPr="0071782F">
        <w:rPr>
          <w:lang w:val="fr-CH"/>
        </w:rPr>
        <w:t>n 2008</w:t>
      </w:r>
      <w:r w:rsidR="00FD3B92" w:rsidRPr="0071782F">
        <w:rPr>
          <w:lang w:val="fr-CH"/>
        </w:rPr>
        <w:t xml:space="preserve">, pour un taux de croissance moyen annuel de </w:t>
      </w:r>
      <w:r w:rsidRPr="0071782F">
        <w:rPr>
          <w:lang w:val="fr-CH"/>
        </w:rPr>
        <w:t>1%.</w:t>
      </w:r>
    </w:p>
    <w:p w:rsidR="008A7415" w:rsidRPr="0071782F" w:rsidRDefault="00B114DD" w:rsidP="00B114DD">
      <w:pPr>
        <w:pStyle w:val="SingleTxtG"/>
        <w:tabs>
          <w:tab w:val="left" w:pos="-1701"/>
          <w:tab w:val="left" w:pos="2552"/>
        </w:tabs>
        <w:ind w:left="1701"/>
        <w:rPr>
          <w:lang w:val="fr-CH"/>
        </w:rPr>
      </w:pPr>
      <w:r w:rsidRPr="0071782F">
        <w:rPr>
          <w:lang w:val="fr-CH"/>
        </w:rPr>
        <w:t xml:space="preserve">229.10. </w:t>
      </w:r>
      <w:r w:rsidR="00D733D3" w:rsidRPr="0071782F">
        <w:rPr>
          <w:lang w:val="fr-CH"/>
        </w:rPr>
        <w:t>La production d</w:t>
      </w:r>
      <w:r w:rsidR="00FD3B92" w:rsidRPr="0071782F">
        <w:rPr>
          <w:lang w:val="fr-CH"/>
        </w:rPr>
        <w:t>’oignons est passée d</w:t>
      </w:r>
      <w:r w:rsidR="00D733D3" w:rsidRPr="0071782F">
        <w:rPr>
          <w:lang w:val="fr-CH"/>
        </w:rPr>
        <w:t xml:space="preserve">e </w:t>
      </w:r>
      <w:r w:rsidR="008A7415" w:rsidRPr="0071782F">
        <w:rPr>
          <w:lang w:val="fr-CH"/>
        </w:rPr>
        <w:t>1</w:t>
      </w:r>
      <w:r w:rsidR="00FD3B92" w:rsidRPr="0071782F">
        <w:rPr>
          <w:lang w:val="fr-CH"/>
        </w:rPr>
        <w:t> </w:t>
      </w:r>
      <w:r w:rsidR="008A7415" w:rsidRPr="0071782F">
        <w:rPr>
          <w:lang w:val="fr-CH"/>
        </w:rPr>
        <w:t>627</w:t>
      </w:r>
      <w:r w:rsidR="001D01B5" w:rsidRPr="0071782F">
        <w:rPr>
          <w:lang w:val="fr-CH"/>
        </w:rPr>
        <w:t> </w:t>
      </w:r>
      <w:r w:rsidR="008A7415" w:rsidRPr="0071782F">
        <w:rPr>
          <w:lang w:val="fr-CH"/>
        </w:rPr>
        <w:t>000</w:t>
      </w:r>
      <w:r w:rsidR="00D3560C" w:rsidRPr="0071782F">
        <w:rPr>
          <w:lang w:val="fr-CH"/>
        </w:rPr>
        <w:t> </w:t>
      </w:r>
      <w:r w:rsidR="006A6DB9">
        <w:rPr>
          <w:lang w:val="fr-CH"/>
        </w:rPr>
        <w:t xml:space="preserve">t </w:t>
      </w:r>
      <w:r w:rsidR="00FD3B92" w:rsidRPr="0071782F">
        <w:rPr>
          <w:lang w:val="fr-CH"/>
        </w:rPr>
        <w:t>e</w:t>
      </w:r>
      <w:r w:rsidR="008A7415" w:rsidRPr="0071782F">
        <w:rPr>
          <w:lang w:val="fr-CH"/>
        </w:rPr>
        <w:t xml:space="preserve">n 2004 </w:t>
      </w:r>
      <w:r w:rsidR="00FD3B92" w:rsidRPr="0071782F">
        <w:rPr>
          <w:lang w:val="fr-CH"/>
        </w:rPr>
        <w:t>à</w:t>
      </w:r>
      <w:r w:rsidR="008A7415" w:rsidRPr="0071782F">
        <w:rPr>
          <w:lang w:val="fr-CH"/>
        </w:rPr>
        <w:t xml:space="preserve"> 2</w:t>
      </w:r>
      <w:r w:rsidR="00FD3B92" w:rsidRPr="0071782F">
        <w:rPr>
          <w:lang w:val="fr-CH"/>
        </w:rPr>
        <w:t> </w:t>
      </w:r>
      <w:r w:rsidR="008A7415" w:rsidRPr="0071782F">
        <w:rPr>
          <w:lang w:val="fr-CH"/>
        </w:rPr>
        <w:t>014</w:t>
      </w:r>
      <w:r w:rsidR="001D01B5" w:rsidRPr="0071782F">
        <w:rPr>
          <w:lang w:val="fr-CH"/>
        </w:rPr>
        <w:t> </w:t>
      </w:r>
      <w:r w:rsidR="008A7415" w:rsidRPr="0071782F">
        <w:rPr>
          <w:lang w:val="fr-CH"/>
        </w:rPr>
        <w:t>000</w:t>
      </w:r>
      <w:r w:rsidR="00D3560C" w:rsidRPr="0071782F">
        <w:rPr>
          <w:lang w:val="fr-CH"/>
        </w:rPr>
        <w:t> t</w:t>
      </w:r>
      <w:r w:rsidR="008A7415" w:rsidRPr="0071782F">
        <w:rPr>
          <w:lang w:val="fr-CH"/>
        </w:rPr>
        <w:t xml:space="preserve"> </w:t>
      </w:r>
      <w:r w:rsidR="00FD3B92" w:rsidRPr="0071782F">
        <w:rPr>
          <w:lang w:val="fr-CH"/>
        </w:rPr>
        <w:t>e</w:t>
      </w:r>
      <w:r w:rsidR="008018C9">
        <w:rPr>
          <w:lang w:val="fr-CH"/>
        </w:rPr>
        <w:t>n </w:t>
      </w:r>
      <w:r w:rsidR="008A7415" w:rsidRPr="0071782F">
        <w:rPr>
          <w:lang w:val="fr-CH"/>
        </w:rPr>
        <w:t>2007</w:t>
      </w:r>
      <w:r w:rsidR="00FD3B92" w:rsidRPr="0071782F">
        <w:rPr>
          <w:lang w:val="fr-CH"/>
        </w:rPr>
        <w:t>,</w:t>
      </w:r>
      <w:r w:rsidR="008A7415" w:rsidRPr="0071782F">
        <w:rPr>
          <w:lang w:val="fr-CH"/>
        </w:rPr>
        <w:t xml:space="preserve"> </w:t>
      </w:r>
      <w:r w:rsidR="00FD3B92" w:rsidRPr="0071782F">
        <w:rPr>
          <w:lang w:val="fr-CH"/>
        </w:rPr>
        <w:t xml:space="preserve">pour un taux de croissance moyen annuel de </w:t>
      </w:r>
      <w:r w:rsidR="008A7415" w:rsidRPr="0071782F">
        <w:rPr>
          <w:lang w:val="fr-CH"/>
        </w:rPr>
        <w:t>7</w:t>
      </w:r>
      <w:r w:rsidR="00FD3B92" w:rsidRPr="0071782F">
        <w:rPr>
          <w:lang w:val="fr-CH"/>
        </w:rPr>
        <w:t>,</w:t>
      </w:r>
      <w:r w:rsidR="008A7415" w:rsidRPr="0071782F">
        <w:rPr>
          <w:lang w:val="fr-CH"/>
        </w:rPr>
        <w:t>4</w:t>
      </w:r>
      <w:r w:rsidR="007E5125" w:rsidRPr="0071782F">
        <w:rPr>
          <w:lang w:val="fr-CH"/>
        </w:rPr>
        <w:t>%</w:t>
      </w:r>
      <w:r w:rsidR="008A7415" w:rsidRPr="0071782F">
        <w:rPr>
          <w:lang w:val="fr-CH"/>
        </w:rPr>
        <w:t xml:space="preserve">. </w:t>
      </w:r>
      <w:r w:rsidR="00FD3B92" w:rsidRPr="0071782F">
        <w:rPr>
          <w:lang w:val="fr-CH"/>
        </w:rPr>
        <w:t xml:space="preserve">Cette production a également enregistré une hausse en </w:t>
      </w:r>
      <w:r w:rsidR="008A7415" w:rsidRPr="0071782F">
        <w:rPr>
          <w:lang w:val="fr-CH"/>
        </w:rPr>
        <w:t>2008.</w:t>
      </w:r>
    </w:p>
    <w:p w:rsidR="008A7415" w:rsidRPr="0071782F" w:rsidRDefault="008A7415" w:rsidP="00B114DD">
      <w:pPr>
        <w:pStyle w:val="SingleTxtG"/>
        <w:tabs>
          <w:tab w:val="left" w:pos="-1701"/>
          <w:tab w:val="left" w:pos="2552"/>
        </w:tabs>
        <w:ind w:left="1701"/>
        <w:rPr>
          <w:lang w:val="fr-CH"/>
        </w:rPr>
      </w:pPr>
      <w:r w:rsidRPr="0071782F">
        <w:rPr>
          <w:lang w:val="fr-CH"/>
        </w:rPr>
        <w:t>229.11.</w:t>
      </w:r>
      <w:r w:rsidR="00B114DD" w:rsidRPr="0071782F">
        <w:rPr>
          <w:lang w:val="fr-CH"/>
        </w:rPr>
        <w:t xml:space="preserve"> </w:t>
      </w:r>
      <w:r w:rsidR="00FD3B92" w:rsidRPr="0071782F">
        <w:rPr>
          <w:lang w:val="fr-CH"/>
        </w:rPr>
        <w:t xml:space="preserve">Les cultures d’été et la production de légumes sont passées de </w:t>
      </w:r>
      <w:r w:rsidRPr="0071782F">
        <w:rPr>
          <w:lang w:val="fr-CH"/>
        </w:rPr>
        <w:t>12</w:t>
      </w:r>
      <w:r w:rsidR="00FD3B92" w:rsidRPr="0071782F">
        <w:rPr>
          <w:lang w:val="fr-CH"/>
        </w:rPr>
        <w:t> </w:t>
      </w:r>
      <w:r w:rsidRPr="0071782F">
        <w:rPr>
          <w:lang w:val="fr-CH"/>
        </w:rPr>
        <w:t>477</w:t>
      </w:r>
      <w:r w:rsidR="001D01B5" w:rsidRPr="0071782F">
        <w:rPr>
          <w:lang w:val="fr-CH"/>
        </w:rPr>
        <w:t> </w:t>
      </w:r>
      <w:r w:rsidRPr="0071782F">
        <w:rPr>
          <w:lang w:val="fr-CH"/>
        </w:rPr>
        <w:t>000</w:t>
      </w:r>
      <w:r w:rsidR="00D3560C" w:rsidRPr="0071782F">
        <w:rPr>
          <w:lang w:val="fr-CH"/>
        </w:rPr>
        <w:t> </w:t>
      </w:r>
      <w:r w:rsidR="006A6DB9">
        <w:rPr>
          <w:lang w:val="fr-CH"/>
        </w:rPr>
        <w:t xml:space="preserve">t </w:t>
      </w:r>
      <w:r w:rsidR="00FD3B92" w:rsidRPr="0071782F">
        <w:rPr>
          <w:lang w:val="fr-CH"/>
        </w:rPr>
        <w:t>e</w:t>
      </w:r>
      <w:r w:rsidRPr="0071782F">
        <w:rPr>
          <w:lang w:val="fr-CH"/>
        </w:rPr>
        <w:t xml:space="preserve">n 2004 </w:t>
      </w:r>
      <w:r w:rsidR="00FD3B92" w:rsidRPr="0071782F">
        <w:rPr>
          <w:lang w:val="fr-CH"/>
        </w:rPr>
        <w:t>à</w:t>
      </w:r>
      <w:r w:rsidRPr="0071782F">
        <w:rPr>
          <w:lang w:val="fr-CH"/>
        </w:rPr>
        <w:t xml:space="preserve"> 15</w:t>
      </w:r>
      <w:r w:rsidR="00FD3B92" w:rsidRPr="0071782F">
        <w:rPr>
          <w:lang w:val="fr-CH"/>
        </w:rPr>
        <w:t> 768</w:t>
      </w:r>
      <w:r w:rsidR="001D01B5" w:rsidRPr="0071782F">
        <w:rPr>
          <w:lang w:val="fr-CH"/>
        </w:rPr>
        <w:t> </w:t>
      </w:r>
      <w:r w:rsidRPr="0071782F">
        <w:rPr>
          <w:lang w:val="fr-CH"/>
        </w:rPr>
        <w:t>000</w:t>
      </w:r>
      <w:r w:rsidR="00D3560C" w:rsidRPr="0071782F">
        <w:rPr>
          <w:lang w:val="fr-CH"/>
        </w:rPr>
        <w:t> </w:t>
      </w:r>
      <w:r w:rsidR="006A6DB9">
        <w:rPr>
          <w:lang w:val="fr-CH"/>
        </w:rPr>
        <w:t xml:space="preserve">t </w:t>
      </w:r>
      <w:r w:rsidR="00FD3B92" w:rsidRPr="0071782F">
        <w:rPr>
          <w:lang w:val="fr-CH"/>
        </w:rPr>
        <w:t>e</w:t>
      </w:r>
      <w:r w:rsidRPr="0071782F">
        <w:rPr>
          <w:lang w:val="fr-CH"/>
        </w:rPr>
        <w:t>n 2007</w:t>
      </w:r>
      <w:r w:rsidR="00FD3B92" w:rsidRPr="0071782F">
        <w:rPr>
          <w:lang w:val="fr-CH"/>
        </w:rPr>
        <w:t>,</w:t>
      </w:r>
      <w:r w:rsidRPr="0071782F">
        <w:rPr>
          <w:lang w:val="fr-CH"/>
        </w:rPr>
        <w:t xml:space="preserve"> </w:t>
      </w:r>
      <w:r w:rsidR="00FD3B92" w:rsidRPr="0071782F">
        <w:rPr>
          <w:lang w:val="fr-CH"/>
        </w:rPr>
        <w:t xml:space="preserve">pour un taux de croissance moyen annuel de </w:t>
      </w:r>
      <w:r w:rsidRPr="0071782F">
        <w:rPr>
          <w:lang w:val="fr-CH"/>
        </w:rPr>
        <w:t>8</w:t>
      </w:r>
      <w:r w:rsidR="00FD3B92" w:rsidRPr="0071782F">
        <w:rPr>
          <w:lang w:val="fr-CH"/>
        </w:rPr>
        <w:t>,</w:t>
      </w:r>
      <w:r w:rsidRPr="0071782F">
        <w:rPr>
          <w:lang w:val="fr-CH"/>
        </w:rPr>
        <w:t>1</w:t>
      </w:r>
      <w:r w:rsidR="007E5125" w:rsidRPr="0071782F">
        <w:rPr>
          <w:lang w:val="fr-CH"/>
        </w:rPr>
        <w:t>%</w:t>
      </w:r>
      <w:r w:rsidRPr="0071782F">
        <w:rPr>
          <w:lang w:val="fr-CH"/>
        </w:rPr>
        <w:t xml:space="preserve">, </w:t>
      </w:r>
      <w:r w:rsidR="00FD3B92" w:rsidRPr="0071782F">
        <w:rPr>
          <w:lang w:val="fr-CH"/>
        </w:rPr>
        <w:t>mais sont retombées en raison d’une sécheresse sans précédent en 2008</w:t>
      </w:r>
      <w:r w:rsidRPr="0071782F">
        <w:rPr>
          <w:lang w:val="fr-CH"/>
        </w:rPr>
        <w:t>.</w:t>
      </w:r>
    </w:p>
    <w:p w:rsidR="008A7415" w:rsidRPr="007A1E2D" w:rsidRDefault="008A7415" w:rsidP="00B114DD">
      <w:pPr>
        <w:pStyle w:val="SingleTxtG"/>
        <w:tabs>
          <w:tab w:val="left" w:pos="-1701"/>
          <w:tab w:val="left" w:pos="2552"/>
        </w:tabs>
        <w:ind w:left="1701"/>
        <w:rPr>
          <w:spacing w:val="-2"/>
          <w:lang w:val="fr-CH"/>
        </w:rPr>
      </w:pPr>
      <w:r w:rsidRPr="007A1E2D">
        <w:rPr>
          <w:spacing w:val="-2"/>
          <w:lang w:val="fr-CH"/>
        </w:rPr>
        <w:t>229.12.</w:t>
      </w:r>
      <w:r w:rsidR="00B114DD" w:rsidRPr="007A1E2D">
        <w:rPr>
          <w:spacing w:val="-2"/>
          <w:lang w:val="fr-CH"/>
        </w:rPr>
        <w:t xml:space="preserve"> </w:t>
      </w:r>
      <w:r w:rsidR="00D733D3" w:rsidRPr="007A1E2D">
        <w:rPr>
          <w:spacing w:val="-2"/>
          <w:lang w:val="fr-CH"/>
        </w:rPr>
        <w:t>La production</w:t>
      </w:r>
      <w:r w:rsidR="00FD3B92" w:rsidRPr="007A1E2D">
        <w:rPr>
          <w:spacing w:val="-2"/>
          <w:lang w:val="fr-CH"/>
        </w:rPr>
        <w:t xml:space="preserve"> de cultures fourragères </w:t>
      </w:r>
      <w:r w:rsidRPr="007A1E2D">
        <w:rPr>
          <w:spacing w:val="-2"/>
          <w:lang w:val="fr-CH"/>
        </w:rPr>
        <w:t>(</w:t>
      </w:r>
      <w:r w:rsidR="00FD3B92" w:rsidRPr="007A1E2D">
        <w:rPr>
          <w:spacing w:val="-2"/>
          <w:lang w:val="fr-CH"/>
        </w:rPr>
        <w:t xml:space="preserve">luzerne, foin, etc.) est passée de </w:t>
      </w:r>
      <w:r w:rsidRPr="007A1E2D">
        <w:rPr>
          <w:spacing w:val="-2"/>
          <w:lang w:val="fr-CH"/>
        </w:rPr>
        <w:t>10</w:t>
      </w:r>
      <w:r w:rsidR="00FD3B92" w:rsidRPr="007A1E2D">
        <w:rPr>
          <w:spacing w:val="-2"/>
          <w:lang w:val="fr-CH"/>
        </w:rPr>
        <w:t> </w:t>
      </w:r>
      <w:r w:rsidRPr="007A1E2D">
        <w:rPr>
          <w:spacing w:val="-2"/>
          <w:lang w:val="fr-CH"/>
        </w:rPr>
        <w:t>992</w:t>
      </w:r>
      <w:r w:rsidR="007A1E2D">
        <w:rPr>
          <w:spacing w:val="-2"/>
          <w:lang w:val="fr-CH"/>
        </w:rPr>
        <w:t> </w:t>
      </w:r>
      <w:r w:rsidRPr="007A1E2D">
        <w:rPr>
          <w:spacing w:val="-2"/>
          <w:lang w:val="fr-CH"/>
        </w:rPr>
        <w:t>000</w:t>
      </w:r>
      <w:r w:rsidR="00D3560C" w:rsidRPr="007A1E2D">
        <w:rPr>
          <w:spacing w:val="-2"/>
          <w:lang w:val="fr-CH"/>
        </w:rPr>
        <w:t> </w:t>
      </w:r>
      <w:r w:rsidR="006A6DB9" w:rsidRPr="007A1E2D">
        <w:rPr>
          <w:spacing w:val="-2"/>
          <w:lang w:val="fr-CH"/>
        </w:rPr>
        <w:t xml:space="preserve">t </w:t>
      </w:r>
      <w:r w:rsidR="00FD3B92" w:rsidRPr="007A1E2D">
        <w:rPr>
          <w:spacing w:val="-2"/>
          <w:lang w:val="fr-CH"/>
        </w:rPr>
        <w:t>e</w:t>
      </w:r>
      <w:r w:rsidRPr="007A1E2D">
        <w:rPr>
          <w:spacing w:val="-2"/>
          <w:lang w:val="fr-CH"/>
        </w:rPr>
        <w:t xml:space="preserve">n 2004 </w:t>
      </w:r>
      <w:r w:rsidR="00FD3B92" w:rsidRPr="007A1E2D">
        <w:rPr>
          <w:spacing w:val="-2"/>
          <w:lang w:val="fr-CH"/>
        </w:rPr>
        <w:t>à</w:t>
      </w:r>
      <w:r w:rsidRPr="007A1E2D">
        <w:rPr>
          <w:spacing w:val="-2"/>
          <w:lang w:val="fr-CH"/>
        </w:rPr>
        <w:t xml:space="preserve"> 15</w:t>
      </w:r>
      <w:r w:rsidR="00FD3B92" w:rsidRPr="007A1E2D">
        <w:rPr>
          <w:spacing w:val="-2"/>
          <w:lang w:val="fr-CH"/>
        </w:rPr>
        <w:t> </w:t>
      </w:r>
      <w:r w:rsidRPr="007A1E2D">
        <w:rPr>
          <w:spacing w:val="-2"/>
          <w:lang w:val="fr-CH"/>
        </w:rPr>
        <w:t>222</w:t>
      </w:r>
      <w:r w:rsidR="003D43D2" w:rsidRPr="007A1E2D">
        <w:rPr>
          <w:spacing w:val="-2"/>
          <w:lang w:val="fr-CH"/>
        </w:rPr>
        <w:t> </w:t>
      </w:r>
      <w:r w:rsidRPr="007A1E2D">
        <w:rPr>
          <w:spacing w:val="-2"/>
          <w:lang w:val="fr-CH"/>
        </w:rPr>
        <w:t>000</w:t>
      </w:r>
      <w:r w:rsidR="00D3560C" w:rsidRPr="007A1E2D">
        <w:rPr>
          <w:spacing w:val="-2"/>
          <w:lang w:val="fr-CH"/>
        </w:rPr>
        <w:t> </w:t>
      </w:r>
      <w:r w:rsidR="006A6DB9" w:rsidRPr="007A1E2D">
        <w:rPr>
          <w:spacing w:val="-2"/>
          <w:lang w:val="fr-CH"/>
        </w:rPr>
        <w:t xml:space="preserve">t </w:t>
      </w:r>
      <w:r w:rsidR="00FD3B92" w:rsidRPr="007A1E2D">
        <w:rPr>
          <w:spacing w:val="-2"/>
          <w:lang w:val="fr-CH"/>
        </w:rPr>
        <w:t>e</w:t>
      </w:r>
      <w:r w:rsidRPr="007A1E2D">
        <w:rPr>
          <w:spacing w:val="-2"/>
          <w:lang w:val="fr-CH"/>
        </w:rPr>
        <w:t>n 2007</w:t>
      </w:r>
      <w:r w:rsidR="00FD3B92" w:rsidRPr="007A1E2D">
        <w:rPr>
          <w:spacing w:val="-2"/>
          <w:lang w:val="fr-CH"/>
        </w:rPr>
        <w:t xml:space="preserve">, pour un taux de croissance moyen annuel de </w:t>
      </w:r>
      <w:r w:rsidRPr="007A1E2D">
        <w:rPr>
          <w:spacing w:val="-2"/>
          <w:lang w:val="fr-CH"/>
        </w:rPr>
        <w:t>11</w:t>
      </w:r>
      <w:r w:rsidR="00FD3B92" w:rsidRPr="007A1E2D">
        <w:rPr>
          <w:spacing w:val="-2"/>
          <w:lang w:val="fr-CH"/>
        </w:rPr>
        <w:t>,</w:t>
      </w:r>
      <w:r w:rsidRPr="007A1E2D">
        <w:rPr>
          <w:spacing w:val="-2"/>
          <w:lang w:val="fr-CH"/>
        </w:rPr>
        <w:t>5</w:t>
      </w:r>
      <w:r w:rsidR="007E5125" w:rsidRPr="007A1E2D">
        <w:rPr>
          <w:spacing w:val="-2"/>
          <w:lang w:val="fr-CH"/>
        </w:rPr>
        <w:t>%</w:t>
      </w:r>
      <w:r w:rsidRPr="007A1E2D">
        <w:rPr>
          <w:spacing w:val="-2"/>
          <w:lang w:val="fr-CH"/>
        </w:rPr>
        <w:t xml:space="preserve">. </w:t>
      </w:r>
      <w:r w:rsidR="00FD3B92" w:rsidRPr="007A1E2D">
        <w:rPr>
          <w:spacing w:val="-2"/>
          <w:lang w:val="fr-CH"/>
        </w:rPr>
        <w:t>L’</w:t>
      </w:r>
      <w:r w:rsidRPr="007A1E2D">
        <w:rPr>
          <w:spacing w:val="-2"/>
          <w:lang w:val="fr-CH"/>
        </w:rPr>
        <w:t xml:space="preserve">importance </w:t>
      </w:r>
      <w:r w:rsidR="00FD3B92" w:rsidRPr="007A1E2D">
        <w:rPr>
          <w:spacing w:val="-2"/>
          <w:lang w:val="fr-CH"/>
        </w:rPr>
        <w:t xml:space="preserve">des cultures fourragères pour l’alimentation du bétail et l’augmentation de la demande de ces cultures en période de sécheresse ont conduit à modifier la composition de la production agricole du pays dans un sens favorable à ces cultures. Néanmoins, leur production a enregistré une légère baisse en </w:t>
      </w:r>
      <w:r w:rsidRPr="007A1E2D">
        <w:rPr>
          <w:spacing w:val="-2"/>
          <w:lang w:val="fr-CH"/>
        </w:rPr>
        <w:t>2008.</w:t>
      </w:r>
    </w:p>
    <w:p w:rsidR="008A7415" w:rsidRPr="0071782F" w:rsidRDefault="008A7415" w:rsidP="00B114DD">
      <w:pPr>
        <w:pStyle w:val="SingleTxtG"/>
        <w:tabs>
          <w:tab w:val="left" w:pos="-1701"/>
          <w:tab w:val="left" w:pos="2552"/>
        </w:tabs>
        <w:ind w:left="1701"/>
        <w:rPr>
          <w:lang w:val="fr-CH"/>
        </w:rPr>
      </w:pPr>
      <w:r w:rsidRPr="0071782F">
        <w:rPr>
          <w:lang w:val="fr-CH"/>
        </w:rPr>
        <w:t>229.13.</w:t>
      </w:r>
      <w:r w:rsidR="00B114DD" w:rsidRPr="0071782F">
        <w:rPr>
          <w:lang w:val="fr-CH"/>
        </w:rPr>
        <w:t xml:space="preserve"> </w:t>
      </w:r>
      <w:r w:rsidR="00D733D3" w:rsidRPr="0071782F">
        <w:rPr>
          <w:lang w:val="fr-CH"/>
        </w:rPr>
        <w:t xml:space="preserve">La production de </w:t>
      </w:r>
      <w:r w:rsidR="00FA4D7F" w:rsidRPr="0071782F">
        <w:rPr>
          <w:lang w:val="fr-CH"/>
        </w:rPr>
        <w:t>viande rouge est passée de 785</w:t>
      </w:r>
      <w:r w:rsidR="007A1E2D">
        <w:rPr>
          <w:lang w:val="fr-CH"/>
        </w:rPr>
        <w:t> </w:t>
      </w:r>
      <w:r w:rsidRPr="0071782F">
        <w:rPr>
          <w:lang w:val="fr-CH"/>
        </w:rPr>
        <w:t>000</w:t>
      </w:r>
      <w:r w:rsidR="00D3560C" w:rsidRPr="0071782F">
        <w:rPr>
          <w:lang w:val="fr-CH"/>
        </w:rPr>
        <w:t> </w:t>
      </w:r>
      <w:r w:rsidR="006A6DB9">
        <w:rPr>
          <w:lang w:val="fr-CH"/>
        </w:rPr>
        <w:t xml:space="preserve">t </w:t>
      </w:r>
      <w:r w:rsidR="00FA4D7F" w:rsidRPr="0071782F">
        <w:rPr>
          <w:lang w:val="fr-CH"/>
        </w:rPr>
        <w:t>e</w:t>
      </w:r>
      <w:r w:rsidRPr="0071782F">
        <w:rPr>
          <w:lang w:val="fr-CH"/>
        </w:rPr>
        <w:t xml:space="preserve">n 2004 </w:t>
      </w:r>
      <w:r w:rsidR="00FA4D7F" w:rsidRPr="0071782F">
        <w:rPr>
          <w:lang w:val="fr-CH"/>
        </w:rPr>
        <w:t>à</w:t>
      </w:r>
      <w:r w:rsidRPr="0071782F">
        <w:rPr>
          <w:lang w:val="fr-CH"/>
        </w:rPr>
        <w:t xml:space="preserve"> 870</w:t>
      </w:r>
      <w:r w:rsidR="001D01B5" w:rsidRPr="0071782F">
        <w:rPr>
          <w:lang w:val="fr-CH"/>
        </w:rPr>
        <w:t> </w:t>
      </w:r>
      <w:r w:rsidRPr="0071782F">
        <w:rPr>
          <w:lang w:val="fr-CH"/>
        </w:rPr>
        <w:t>000</w:t>
      </w:r>
      <w:r w:rsidR="00D3560C" w:rsidRPr="0071782F">
        <w:rPr>
          <w:lang w:val="fr-CH"/>
        </w:rPr>
        <w:t> </w:t>
      </w:r>
      <w:r w:rsidR="006A6DB9">
        <w:rPr>
          <w:lang w:val="fr-CH"/>
        </w:rPr>
        <w:t xml:space="preserve">t </w:t>
      </w:r>
      <w:r w:rsidR="00FA4D7F" w:rsidRPr="0071782F">
        <w:rPr>
          <w:lang w:val="fr-CH"/>
        </w:rPr>
        <w:t>e</w:t>
      </w:r>
      <w:r w:rsidRPr="0071782F">
        <w:rPr>
          <w:lang w:val="fr-CH"/>
        </w:rPr>
        <w:t>n 2008</w:t>
      </w:r>
      <w:r w:rsidR="00FA4D7F" w:rsidRPr="0071782F">
        <w:rPr>
          <w:lang w:val="fr-CH"/>
        </w:rPr>
        <w:t xml:space="preserve">, pour un taux de croissance moyen annuel de </w:t>
      </w:r>
      <w:r w:rsidRPr="0071782F">
        <w:rPr>
          <w:lang w:val="fr-CH"/>
        </w:rPr>
        <w:t>2</w:t>
      </w:r>
      <w:r w:rsidR="00FA4D7F" w:rsidRPr="0071782F">
        <w:rPr>
          <w:lang w:val="fr-CH"/>
        </w:rPr>
        <w:t>,</w:t>
      </w:r>
      <w:r w:rsidRPr="0071782F">
        <w:rPr>
          <w:lang w:val="fr-CH"/>
        </w:rPr>
        <w:t>6</w:t>
      </w:r>
      <w:r w:rsidR="007E5125" w:rsidRPr="0071782F">
        <w:rPr>
          <w:lang w:val="fr-CH"/>
        </w:rPr>
        <w:t>%</w:t>
      </w:r>
      <w:r w:rsidRPr="0071782F">
        <w:rPr>
          <w:lang w:val="fr-CH"/>
        </w:rPr>
        <w:t>.</w:t>
      </w:r>
    </w:p>
    <w:p w:rsidR="008A7415" w:rsidRPr="0071782F" w:rsidRDefault="008A7415" w:rsidP="00B114DD">
      <w:pPr>
        <w:pStyle w:val="SingleTxtG"/>
        <w:tabs>
          <w:tab w:val="left" w:pos="-1701"/>
          <w:tab w:val="left" w:pos="2552"/>
        </w:tabs>
        <w:ind w:left="1701"/>
        <w:rPr>
          <w:lang w:val="fr-CH"/>
        </w:rPr>
      </w:pPr>
      <w:r w:rsidRPr="0071782F">
        <w:rPr>
          <w:lang w:val="fr-CH"/>
        </w:rPr>
        <w:t>229.14.</w:t>
      </w:r>
      <w:r w:rsidR="00B114DD" w:rsidRPr="0071782F">
        <w:rPr>
          <w:lang w:val="fr-CH"/>
        </w:rPr>
        <w:t xml:space="preserve"> </w:t>
      </w:r>
      <w:r w:rsidR="00D733D3" w:rsidRPr="0071782F">
        <w:rPr>
          <w:lang w:val="fr-CH"/>
        </w:rPr>
        <w:t xml:space="preserve">La production de </w:t>
      </w:r>
      <w:r w:rsidR="00FA4D7F" w:rsidRPr="0071782F">
        <w:rPr>
          <w:lang w:val="fr-CH"/>
        </w:rPr>
        <w:t xml:space="preserve">viande de poulet est passée de </w:t>
      </w:r>
      <w:r w:rsidRPr="0071782F">
        <w:rPr>
          <w:lang w:val="fr-CH"/>
        </w:rPr>
        <w:t>1</w:t>
      </w:r>
      <w:r w:rsidR="00FA4D7F" w:rsidRPr="0071782F">
        <w:rPr>
          <w:lang w:val="fr-CH"/>
        </w:rPr>
        <w:t> 152</w:t>
      </w:r>
      <w:r w:rsidR="006A6DB9">
        <w:rPr>
          <w:lang w:val="fr-CH"/>
        </w:rPr>
        <w:t> </w:t>
      </w:r>
      <w:r w:rsidRPr="0071782F">
        <w:rPr>
          <w:lang w:val="fr-CH"/>
        </w:rPr>
        <w:t>000</w:t>
      </w:r>
      <w:r w:rsidR="00D3560C" w:rsidRPr="0071782F">
        <w:rPr>
          <w:lang w:val="fr-CH"/>
        </w:rPr>
        <w:t> </w:t>
      </w:r>
      <w:r w:rsidR="006A6DB9">
        <w:rPr>
          <w:lang w:val="fr-CH"/>
        </w:rPr>
        <w:t xml:space="preserve">t </w:t>
      </w:r>
      <w:r w:rsidR="00FA4D7F" w:rsidRPr="0071782F">
        <w:rPr>
          <w:lang w:val="fr-CH"/>
        </w:rPr>
        <w:t>e</w:t>
      </w:r>
      <w:r w:rsidRPr="0071782F">
        <w:rPr>
          <w:lang w:val="fr-CH"/>
        </w:rPr>
        <w:t xml:space="preserve">n 2004 </w:t>
      </w:r>
      <w:r w:rsidR="006A6DB9">
        <w:rPr>
          <w:lang w:val="fr-CH"/>
        </w:rPr>
        <w:t>à 1 565 </w:t>
      </w:r>
      <w:r w:rsidRPr="0071782F">
        <w:rPr>
          <w:lang w:val="fr-CH"/>
        </w:rPr>
        <w:t>000</w:t>
      </w:r>
      <w:r w:rsidR="00D3560C" w:rsidRPr="0071782F">
        <w:rPr>
          <w:lang w:val="fr-CH"/>
        </w:rPr>
        <w:t> </w:t>
      </w:r>
      <w:r w:rsidR="006A6DB9">
        <w:rPr>
          <w:lang w:val="fr-CH"/>
        </w:rPr>
        <w:t xml:space="preserve">t </w:t>
      </w:r>
      <w:r w:rsidR="00FA4D7F" w:rsidRPr="0071782F">
        <w:rPr>
          <w:lang w:val="fr-CH"/>
        </w:rPr>
        <w:t>e</w:t>
      </w:r>
      <w:r w:rsidRPr="0071782F">
        <w:rPr>
          <w:lang w:val="fr-CH"/>
        </w:rPr>
        <w:t>n 2008</w:t>
      </w:r>
      <w:r w:rsidR="00FA4D7F" w:rsidRPr="0071782F">
        <w:rPr>
          <w:lang w:val="fr-CH"/>
        </w:rPr>
        <w:t xml:space="preserve">, pour un taux de croissance moyen annuel de </w:t>
      </w:r>
      <w:r w:rsidRPr="0071782F">
        <w:rPr>
          <w:lang w:val="fr-CH"/>
        </w:rPr>
        <w:t>8</w:t>
      </w:r>
      <w:r w:rsidR="007E5125" w:rsidRPr="0071782F">
        <w:rPr>
          <w:lang w:val="fr-CH"/>
        </w:rPr>
        <w:t>%</w:t>
      </w:r>
      <w:r w:rsidRPr="0071782F">
        <w:rPr>
          <w:lang w:val="fr-CH"/>
        </w:rPr>
        <w:t>.</w:t>
      </w:r>
    </w:p>
    <w:p w:rsidR="008A7415" w:rsidRPr="0071782F" w:rsidRDefault="008A7415" w:rsidP="00B114DD">
      <w:pPr>
        <w:pStyle w:val="SingleTxtG"/>
        <w:tabs>
          <w:tab w:val="left" w:pos="-1701"/>
          <w:tab w:val="left" w:pos="2552"/>
        </w:tabs>
        <w:ind w:left="1701"/>
        <w:rPr>
          <w:lang w:val="fr-CH"/>
        </w:rPr>
      </w:pPr>
      <w:r w:rsidRPr="0071782F">
        <w:rPr>
          <w:lang w:val="fr-CH"/>
        </w:rPr>
        <w:t>229.15.</w:t>
      </w:r>
      <w:r w:rsidR="00B114DD" w:rsidRPr="0071782F">
        <w:rPr>
          <w:lang w:val="fr-CH"/>
        </w:rPr>
        <w:t xml:space="preserve"> </w:t>
      </w:r>
      <w:r w:rsidR="00D733D3" w:rsidRPr="0071782F">
        <w:rPr>
          <w:lang w:val="fr-CH"/>
        </w:rPr>
        <w:t>La production d</w:t>
      </w:r>
      <w:r w:rsidR="00FA4D7F" w:rsidRPr="0071782F">
        <w:rPr>
          <w:lang w:val="fr-CH"/>
        </w:rPr>
        <w:t>’</w:t>
      </w:r>
      <w:r w:rsidR="0071782F" w:rsidRPr="0071782F">
        <w:rPr>
          <w:lang w:val="fr-CH"/>
        </w:rPr>
        <w:t>œufs</w:t>
      </w:r>
      <w:r w:rsidR="00FA4D7F" w:rsidRPr="0071782F">
        <w:rPr>
          <w:lang w:val="fr-CH"/>
        </w:rPr>
        <w:t xml:space="preserve"> est passé</w:t>
      </w:r>
      <w:r w:rsidR="00022BDA" w:rsidRPr="0071782F">
        <w:rPr>
          <w:lang w:val="fr-CH"/>
        </w:rPr>
        <w:t>e</w:t>
      </w:r>
      <w:r w:rsidR="00FA4D7F" w:rsidRPr="0071782F">
        <w:rPr>
          <w:lang w:val="fr-CH"/>
        </w:rPr>
        <w:t xml:space="preserve"> de </w:t>
      </w:r>
      <w:r w:rsidRPr="0071782F">
        <w:rPr>
          <w:lang w:val="fr-CH"/>
        </w:rPr>
        <w:t>655</w:t>
      </w:r>
      <w:r w:rsidR="003D43D2">
        <w:rPr>
          <w:lang w:val="fr-CH"/>
        </w:rPr>
        <w:t> </w:t>
      </w:r>
      <w:r w:rsidRPr="0071782F">
        <w:rPr>
          <w:lang w:val="fr-CH"/>
        </w:rPr>
        <w:t>000</w:t>
      </w:r>
      <w:r w:rsidR="00D3560C" w:rsidRPr="0071782F">
        <w:rPr>
          <w:lang w:val="fr-CH"/>
        </w:rPr>
        <w:t> </w:t>
      </w:r>
      <w:r w:rsidR="006A6DB9">
        <w:rPr>
          <w:lang w:val="fr-CH"/>
        </w:rPr>
        <w:t xml:space="preserve">t </w:t>
      </w:r>
      <w:r w:rsidR="00FA4D7F" w:rsidRPr="0071782F">
        <w:rPr>
          <w:lang w:val="fr-CH"/>
        </w:rPr>
        <w:t>e</w:t>
      </w:r>
      <w:r w:rsidRPr="0071782F">
        <w:rPr>
          <w:lang w:val="fr-CH"/>
        </w:rPr>
        <w:t xml:space="preserve">n 2004 </w:t>
      </w:r>
      <w:r w:rsidR="00FA4D7F" w:rsidRPr="0071782F">
        <w:rPr>
          <w:lang w:val="fr-CH"/>
        </w:rPr>
        <w:t>à 727</w:t>
      </w:r>
      <w:r w:rsidR="001D01B5" w:rsidRPr="0071782F">
        <w:rPr>
          <w:lang w:val="fr-CH"/>
        </w:rPr>
        <w:t> </w:t>
      </w:r>
      <w:r w:rsidRPr="0071782F">
        <w:rPr>
          <w:lang w:val="fr-CH"/>
        </w:rPr>
        <w:t>000</w:t>
      </w:r>
      <w:r w:rsidR="00D3560C" w:rsidRPr="0071782F">
        <w:rPr>
          <w:lang w:val="fr-CH"/>
        </w:rPr>
        <w:t> </w:t>
      </w:r>
      <w:r w:rsidR="006A6DB9">
        <w:rPr>
          <w:lang w:val="fr-CH"/>
        </w:rPr>
        <w:t xml:space="preserve">t </w:t>
      </w:r>
      <w:r w:rsidR="00FA4D7F" w:rsidRPr="0071782F">
        <w:rPr>
          <w:lang w:val="fr-CH"/>
        </w:rPr>
        <w:t>e</w:t>
      </w:r>
      <w:r w:rsidRPr="0071782F">
        <w:rPr>
          <w:lang w:val="fr-CH"/>
        </w:rPr>
        <w:t>n 2008</w:t>
      </w:r>
      <w:r w:rsidR="00FA4D7F" w:rsidRPr="0071782F">
        <w:rPr>
          <w:lang w:val="fr-CH"/>
        </w:rPr>
        <w:t>,</w:t>
      </w:r>
      <w:r w:rsidRPr="0071782F">
        <w:rPr>
          <w:lang w:val="fr-CH"/>
        </w:rPr>
        <w:t xml:space="preserve"> </w:t>
      </w:r>
      <w:r w:rsidR="00FA4D7F" w:rsidRPr="0071782F">
        <w:rPr>
          <w:lang w:val="fr-CH"/>
        </w:rPr>
        <w:t xml:space="preserve">pour un taux de croissance moyen annuel de </w:t>
      </w:r>
      <w:r w:rsidRPr="0071782F">
        <w:rPr>
          <w:lang w:val="fr-CH"/>
        </w:rPr>
        <w:t>2</w:t>
      </w:r>
      <w:r w:rsidR="00FA4D7F" w:rsidRPr="0071782F">
        <w:rPr>
          <w:lang w:val="fr-CH"/>
        </w:rPr>
        <w:t>,</w:t>
      </w:r>
      <w:r w:rsidRPr="0071782F">
        <w:rPr>
          <w:lang w:val="fr-CH"/>
        </w:rPr>
        <w:t>6</w:t>
      </w:r>
      <w:r w:rsidR="007E5125" w:rsidRPr="0071782F">
        <w:rPr>
          <w:lang w:val="fr-CH"/>
        </w:rPr>
        <w:t>%</w:t>
      </w:r>
      <w:r w:rsidRPr="0071782F">
        <w:rPr>
          <w:lang w:val="fr-CH"/>
        </w:rPr>
        <w:t>.</w:t>
      </w:r>
    </w:p>
    <w:p w:rsidR="008A7415" w:rsidRPr="0071782F" w:rsidRDefault="008A7415" w:rsidP="00B114DD">
      <w:pPr>
        <w:pStyle w:val="SingleTxtG"/>
        <w:tabs>
          <w:tab w:val="left" w:pos="-1701"/>
          <w:tab w:val="left" w:pos="2552"/>
        </w:tabs>
        <w:ind w:left="1701"/>
        <w:rPr>
          <w:lang w:val="fr-CH"/>
        </w:rPr>
      </w:pPr>
      <w:r w:rsidRPr="0071782F">
        <w:rPr>
          <w:lang w:val="fr-CH"/>
        </w:rPr>
        <w:t>229.16.</w:t>
      </w:r>
      <w:r w:rsidR="00B114DD" w:rsidRPr="0071782F">
        <w:rPr>
          <w:lang w:val="fr-CH"/>
        </w:rPr>
        <w:t xml:space="preserve"> </w:t>
      </w:r>
      <w:r w:rsidR="00D733D3" w:rsidRPr="0071782F">
        <w:rPr>
          <w:lang w:val="fr-CH"/>
        </w:rPr>
        <w:t>La production de</w:t>
      </w:r>
      <w:r w:rsidR="00022BDA" w:rsidRPr="0071782F">
        <w:rPr>
          <w:lang w:val="fr-CH"/>
        </w:rPr>
        <w:t xml:space="preserve"> lait est passée de 6 </w:t>
      </w:r>
      <w:r w:rsidRPr="0071782F">
        <w:rPr>
          <w:lang w:val="fr-CH"/>
        </w:rPr>
        <w:t>720</w:t>
      </w:r>
      <w:r w:rsidR="003D43D2">
        <w:rPr>
          <w:lang w:val="fr-CH"/>
        </w:rPr>
        <w:t> </w:t>
      </w:r>
      <w:r w:rsidRPr="0071782F">
        <w:rPr>
          <w:lang w:val="fr-CH"/>
        </w:rPr>
        <w:t>000</w:t>
      </w:r>
      <w:r w:rsidR="00D3560C" w:rsidRPr="0071782F">
        <w:rPr>
          <w:lang w:val="fr-CH"/>
        </w:rPr>
        <w:t> </w:t>
      </w:r>
      <w:r w:rsidR="006A6DB9">
        <w:rPr>
          <w:lang w:val="fr-CH"/>
        </w:rPr>
        <w:t xml:space="preserve">t </w:t>
      </w:r>
      <w:r w:rsidR="00022BDA" w:rsidRPr="0071782F">
        <w:rPr>
          <w:lang w:val="fr-CH"/>
        </w:rPr>
        <w:t>e</w:t>
      </w:r>
      <w:r w:rsidRPr="0071782F">
        <w:rPr>
          <w:lang w:val="fr-CH"/>
        </w:rPr>
        <w:t xml:space="preserve">n 2004 </w:t>
      </w:r>
      <w:r w:rsidR="00022BDA" w:rsidRPr="0071782F">
        <w:rPr>
          <w:lang w:val="fr-CH"/>
        </w:rPr>
        <w:t>à</w:t>
      </w:r>
      <w:r w:rsidRPr="0071782F">
        <w:rPr>
          <w:lang w:val="fr-CH"/>
        </w:rPr>
        <w:t xml:space="preserve"> 8</w:t>
      </w:r>
      <w:r w:rsidR="00022BDA" w:rsidRPr="0071782F">
        <w:rPr>
          <w:lang w:val="fr-CH"/>
        </w:rPr>
        <w:t> </w:t>
      </w:r>
      <w:r w:rsidRPr="0071782F">
        <w:rPr>
          <w:lang w:val="fr-CH"/>
        </w:rPr>
        <w:t>772</w:t>
      </w:r>
      <w:r w:rsidR="001D01B5" w:rsidRPr="0071782F">
        <w:rPr>
          <w:lang w:val="fr-CH"/>
        </w:rPr>
        <w:t> </w:t>
      </w:r>
      <w:r w:rsidRPr="0071782F">
        <w:rPr>
          <w:lang w:val="fr-CH"/>
        </w:rPr>
        <w:t>000</w:t>
      </w:r>
      <w:r w:rsidR="00D3560C" w:rsidRPr="0071782F">
        <w:rPr>
          <w:lang w:val="fr-CH"/>
        </w:rPr>
        <w:t> </w:t>
      </w:r>
      <w:r w:rsidR="006A6DB9">
        <w:rPr>
          <w:lang w:val="fr-CH"/>
        </w:rPr>
        <w:t xml:space="preserve">t </w:t>
      </w:r>
      <w:r w:rsidR="00022BDA" w:rsidRPr="0071782F">
        <w:rPr>
          <w:lang w:val="fr-CH"/>
        </w:rPr>
        <w:t>e</w:t>
      </w:r>
      <w:r w:rsidR="006A6DB9">
        <w:rPr>
          <w:lang w:val="fr-CH"/>
        </w:rPr>
        <w:t>n </w:t>
      </w:r>
      <w:r w:rsidRPr="0071782F">
        <w:rPr>
          <w:lang w:val="fr-CH"/>
        </w:rPr>
        <w:t>2008</w:t>
      </w:r>
      <w:r w:rsidR="00022BDA" w:rsidRPr="0071782F">
        <w:rPr>
          <w:lang w:val="fr-CH"/>
        </w:rPr>
        <w:t>,</w:t>
      </w:r>
      <w:r w:rsidRPr="0071782F">
        <w:rPr>
          <w:lang w:val="fr-CH"/>
        </w:rPr>
        <w:t xml:space="preserve"> </w:t>
      </w:r>
      <w:r w:rsidR="00022BDA" w:rsidRPr="0071782F">
        <w:rPr>
          <w:lang w:val="fr-CH"/>
        </w:rPr>
        <w:t xml:space="preserve">pour un taux de croissance moyen annuel de </w:t>
      </w:r>
      <w:r w:rsidRPr="0071782F">
        <w:rPr>
          <w:lang w:val="fr-CH"/>
        </w:rPr>
        <w:t>6</w:t>
      </w:r>
      <w:r w:rsidR="00022BDA" w:rsidRPr="0071782F">
        <w:rPr>
          <w:lang w:val="fr-CH"/>
        </w:rPr>
        <w:t>,</w:t>
      </w:r>
      <w:r w:rsidRPr="0071782F">
        <w:rPr>
          <w:lang w:val="fr-CH"/>
        </w:rPr>
        <w:t>9</w:t>
      </w:r>
      <w:r w:rsidR="007E5125" w:rsidRPr="0071782F">
        <w:rPr>
          <w:lang w:val="fr-CH"/>
        </w:rPr>
        <w:t>%</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022BDA" w:rsidRPr="0071782F">
        <w:rPr>
          <w:lang w:val="fr-CH"/>
        </w:rPr>
        <w:t xml:space="preserve">Garanties concernant la sécurité alimentaire </w:t>
      </w:r>
    </w:p>
    <w:p w:rsidR="008A7415" w:rsidRPr="007A1E2D" w:rsidRDefault="008A7415" w:rsidP="00204410">
      <w:pPr>
        <w:pStyle w:val="SingleTxtG"/>
        <w:rPr>
          <w:spacing w:val="-2"/>
          <w:lang w:val="fr-CH"/>
        </w:rPr>
      </w:pPr>
      <w:r w:rsidRPr="007A1E2D">
        <w:rPr>
          <w:spacing w:val="-2"/>
          <w:lang w:val="fr-CH"/>
        </w:rPr>
        <w:t>230.</w:t>
      </w:r>
      <w:r w:rsidRPr="007A1E2D">
        <w:rPr>
          <w:spacing w:val="-2"/>
          <w:lang w:val="fr-CH"/>
        </w:rPr>
        <w:tab/>
      </w:r>
      <w:r w:rsidR="00022BDA" w:rsidRPr="007A1E2D">
        <w:rPr>
          <w:spacing w:val="-2"/>
          <w:lang w:val="fr-CH"/>
        </w:rPr>
        <w:t>Une étude de l’évolution de l’indicateur de la production alimentaire par habitant fait apparaître une certaine variation des modes de production rapportés aux structures démographiques pendant la période considérée. Elle fait état d’un accès physique suffisant à l’alimentation d’origine nationale pour chaque habitant, ce qui permet d’évaluer la capacité de production nécessaire pour garantir la sécurité alimentaire au niveau national</w:t>
      </w:r>
      <w:r w:rsidRPr="007A1E2D">
        <w:rPr>
          <w:spacing w:val="-2"/>
          <w:lang w:val="fr-CH"/>
        </w:rPr>
        <w:t xml:space="preserve">. </w:t>
      </w:r>
      <w:r w:rsidR="00022BDA" w:rsidRPr="007A1E2D">
        <w:rPr>
          <w:spacing w:val="-2"/>
          <w:lang w:val="fr-CH"/>
        </w:rPr>
        <w:t xml:space="preserve">La production alimentaire </w:t>
      </w:r>
      <w:r w:rsidRPr="007A1E2D">
        <w:rPr>
          <w:spacing w:val="-2"/>
          <w:lang w:val="fr-CH"/>
        </w:rPr>
        <w:t>total</w:t>
      </w:r>
      <w:r w:rsidR="00022BDA" w:rsidRPr="007A1E2D">
        <w:rPr>
          <w:spacing w:val="-2"/>
          <w:lang w:val="fr-CH"/>
        </w:rPr>
        <w:t>e</w:t>
      </w:r>
      <w:r w:rsidRPr="007A1E2D">
        <w:rPr>
          <w:spacing w:val="-2"/>
          <w:lang w:val="fr-CH"/>
        </w:rPr>
        <w:t xml:space="preserve"> p</w:t>
      </w:r>
      <w:r w:rsidR="00022BDA" w:rsidRPr="007A1E2D">
        <w:rPr>
          <w:spacing w:val="-2"/>
          <w:lang w:val="fr-CH"/>
        </w:rPr>
        <w:t>a</w:t>
      </w:r>
      <w:r w:rsidRPr="007A1E2D">
        <w:rPr>
          <w:spacing w:val="-2"/>
          <w:lang w:val="fr-CH"/>
        </w:rPr>
        <w:t xml:space="preserve">r </w:t>
      </w:r>
      <w:r w:rsidR="00022BDA" w:rsidRPr="007A1E2D">
        <w:rPr>
          <w:spacing w:val="-2"/>
          <w:lang w:val="fr-CH"/>
        </w:rPr>
        <w:t xml:space="preserve">habitant est passée de </w:t>
      </w:r>
      <w:r w:rsidRPr="007A1E2D">
        <w:rPr>
          <w:spacing w:val="-2"/>
          <w:lang w:val="fr-CH"/>
        </w:rPr>
        <w:t>726</w:t>
      </w:r>
      <w:r w:rsidR="00B00574" w:rsidRPr="007A1E2D">
        <w:rPr>
          <w:spacing w:val="-2"/>
          <w:lang w:val="fr-CH"/>
        </w:rPr>
        <w:t> kg</w:t>
      </w:r>
      <w:r w:rsidRPr="007A1E2D">
        <w:rPr>
          <w:spacing w:val="-2"/>
          <w:lang w:val="fr-CH"/>
        </w:rPr>
        <w:t xml:space="preserve"> </w:t>
      </w:r>
      <w:r w:rsidR="00022BDA" w:rsidRPr="007A1E2D">
        <w:rPr>
          <w:spacing w:val="-2"/>
          <w:lang w:val="fr-CH"/>
        </w:rPr>
        <w:t>e</w:t>
      </w:r>
      <w:r w:rsidRPr="007A1E2D">
        <w:rPr>
          <w:spacing w:val="-2"/>
          <w:lang w:val="fr-CH"/>
        </w:rPr>
        <w:t xml:space="preserve">n 2000 </w:t>
      </w:r>
      <w:r w:rsidR="00022BDA" w:rsidRPr="007A1E2D">
        <w:rPr>
          <w:spacing w:val="-2"/>
          <w:lang w:val="fr-CH"/>
        </w:rPr>
        <w:t>à</w:t>
      </w:r>
      <w:r w:rsidRPr="007A1E2D">
        <w:rPr>
          <w:spacing w:val="-2"/>
          <w:lang w:val="fr-CH"/>
        </w:rPr>
        <w:t xml:space="preserve"> 971</w:t>
      </w:r>
      <w:r w:rsidR="00B00574" w:rsidRPr="007A1E2D">
        <w:rPr>
          <w:spacing w:val="-2"/>
          <w:lang w:val="fr-CH"/>
        </w:rPr>
        <w:t> kg</w:t>
      </w:r>
      <w:r w:rsidRPr="007A1E2D">
        <w:rPr>
          <w:spacing w:val="-2"/>
          <w:lang w:val="fr-CH"/>
        </w:rPr>
        <w:t xml:space="preserve"> </w:t>
      </w:r>
      <w:r w:rsidR="00022BDA" w:rsidRPr="007A1E2D">
        <w:rPr>
          <w:spacing w:val="-2"/>
          <w:lang w:val="fr-CH"/>
        </w:rPr>
        <w:t>e</w:t>
      </w:r>
      <w:r w:rsidR="00B00574" w:rsidRPr="007A1E2D">
        <w:rPr>
          <w:spacing w:val="-2"/>
          <w:lang w:val="fr-CH"/>
        </w:rPr>
        <w:t>n </w:t>
      </w:r>
      <w:r w:rsidRPr="007A1E2D">
        <w:rPr>
          <w:spacing w:val="-2"/>
          <w:lang w:val="fr-CH"/>
        </w:rPr>
        <w:t>2007.</w:t>
      </w:r>
    </w:p>
    <w:p w:rsidR="008A7415" w:rsidRPr="0071782F" w:rsidRDefault="008A7415" w:rsidP="00204410">
      <w:pPr>
        <w:pStyle w:val="SingleTxtG"/>
        <w:tabs>
          <w:tab w:val="left" w:pos="2410"/>
        </w:tabs>
        <w:ind w:left="1701"/>
        <w:rPr>
          <w:lang w:val="fr-CH"/>
        </w:rPr>
      </w:pPr>
      <w:r w:rsidRPr="0071782F">
        <w:rPr>
          <w:lang w:val="fr-CH"/>
        </w:rPr>
        <w:t>230.1.</w:t>
      </w:r>
      <w:r w:rsidRPr="0071782F">
        <w:rPr>
          <w:lang w:val="fr-CH"/>
        </w:rPr>
        <w:tab/>
      </w:r>
      <w:r w:rsidR="00022BDA" w:rsidRPr="0071782F">
        <w:rPr>
          <w:lang w:val="fr-CH"/>
        </w:rPr>
        <w:t>Au</w:t>
      </w:r>
      <w:r w:rsidRPr="0071782F">
        <w:rPr>
          <w:lang w:val="fr-CH"/>
        </w:rPr>
        <w:t xml:space="preserve"> total, </w:t>
      </w:r>
      <w:r w:rsidR="00022BDA" w:rsidRPr="0071782F">
        <w:rPr>
          <w:lang w:val="fr-CH"/>
        </w:rPr>
        <w:t xml:space="preserve">compte tenu d’une </w:t>
      </w:r>
      <w:r w:rsidRPr="0071782F">
        <w:rPr>
          <w:lang w:val="fr-CH"/>
        </w:rPr>
        <w:t xml:space="preserve">production </w:t>
      </w:r>
      <w:r w:rsidR="00022BDA" w:rsidRPr="0071782F">
        <w:rPr>
          <w:lang w:val="fr-CH"/>
        </w:rPr>
        <w:t>de</w:t>
      </w:r>
      <w:r w:rsidRPr="0071782F">
        <w:rPr>
          <w:lang w:val="fr-CH"/>
        </w:rPr>
        <w:t xml:space="preserve"> 102</w:t>
      </w:r>
      <w:r w:rsidR="00097CDB" w:rsidRPr="0071782F">
        <w:rPr>
          <w:lang w:val="fr-CH"/>
        </w:rPr>
        <w:t> millions</w:t>
      </w:r>
      <w:r w:rsidRPr="0071782F">
        <w:rPr>
          <w:lang w:val="fr-CH"/>
        </w:rPr>
        <w:t xml:space="preserve"> </w:t>
      </w:r>
      <w:r w:rsidR="00F87C4B" w:rsidRPr="0071782F">
        <w:rPr>
          <w:lang w:val="fr-CH"/>
        </w:rPr>
        <w:t>de tonnes</w:t>
      </w:r>
      <w:r w:rsidRPr="0071782F">
        <w:rPr>
          <w:lang w:val="fr-CH"/>
        </w:rPr>
        <w:t xml:space="preserve"> </w:t>
      </w:r>
      <w:r w:rsidR="00022BDA" w:rsidRPr="0071782F">
        <w:rPr>
          <w:lang w:val="fr-CH"/>
        </w:rPr>
        <w:t>de produits agricoles et de l’</w:t>
      </w:r>
      <w:r w:rsidRPr="0071782F">
        <w:rPr>
          <w:lang w:val="fr-CH"/>
        </w:rPr>
        <w:t>import</w:t>
      </w:r>
      <w:r w:rsidR="0071782F">
        <w:rPr>
          <w:lang w:val="fr-CH"/>
        </w:rPr>
        <w:t>a</w:t>
      </w:r>
      <w:r w:rsidR="00022BDA" w:rsidRPr="0071782F">
        <w:rPr>
          <w:lang w:val="fr-CH"/>
        </w:rPr>
        <w:t>tion d’environ sept</w:t>
      </w:r>
      <w:r w:rsidR="00097CDB" w:rsidRPr="0071782F">
        <w:rPr>
          <w:lang w:val="fr-CH"/>
        </w:rPr>
        <w:t> millions</w:t>
      </w:r>
      <w:r w:rsidRPr="0071782F">
        <w:rPr>
          <w:lang w:val="fr-CH"/>
        </w:rPr>
        <w:t xml:space="preserve"> </w:t>
      </w:r>
      <w:r w:rsidR="00F87C4B" w:rsidRPr="0071782F">
        <w:rPr>
          <w:lang w:val="fr-CH"/>
        </w:rPr>
        <w:t>de tonnes</w:t>
      </w:r>
      <w:r w:rsidRPr="0071782F">
        <w:rPr>
          <w:lang w:val="fr-CH"/>
        </w:rPr>
        <w:t xml:space="preserve"> </w:t>
      </w:r>
      <w:r w:rsidR="00022BDA" w:rsidRPr="0071782F">
        <w:rPr>
          <w:lang w:val="fr-CH"/>
        </w:rPr>
        <w:t xml:space="preserve">de produits agricoles essentiels, le taux d’autosuffisance agricole a atteint </w:t>
      </w:r>
      <w:r w:rsidRPr="0071782F">
        <w:rPr>
          <w:lang w:val="fr-CH"/>
        </w:rPr>
        <w:t>94</w:t>
      </w:r>
      <w:r w:rsidR="007E5125" w:rsidRPr="0071782F">
        <w:rPr>
          <w:lang w:val="fr-CH"/>
        </w:rPr>
        <w:t>%</w:t>
      </w:r>
      <w:r w:rsidRPr="0071782F">
        <w:rPr>
          <w:lang w:val="fr-CH"/>
        </w:rPr>
        <w:t xml:space="preserve"> </w:t>
      </w:r>
      <w:r w:rsidR="00022BDA" w:rsidRPr="0071782F">
        <w:rPr>
          <w:lang w:val="fr-CH"/>
        </w:rPr>
        <w:t>e</w:t>
      </w:r>
      <w:r w:rsidRPr="0071782F">
        <w:rPr>
          <w:lang w:val="fr-CH"/>
        </w:rPr>
        <w:t>n 2007.</w:t>
      </w:r>
    </w:p>
    <w:p w:rsidR="008A7415" w:rsidRPr="0071782F" w:rsidRDefault="008A7415" w:rsidP="00204410">
      <w:pPr>
        <w:pStyle w:val="H1G"/>
        <w:rPr>
          <w:lang w:val="fr-CH"/>
        </w:rPr>
      </w:pPr>
      <w:r w:rsidRPr="0071782F">
        <w:rPr>
          <w:lang w:val="fr-CH"/>
        </w:rPr>
        <w:tab/>
      </w:r>
      <w:r w:rsidRPr="0071782F">
        <w:rPr>
          <w:lang w:val="fr-CH"/>
        </w:rPr>
        <w:tab/>
      </w:r>
      <w:r w:rsidR="00022BDA" w:rsidRPr="0071782F">
        <w:rPr>
          <w:lang w:val="fr-CH"/>
        </w:rPr>
        <w:t xml:space="preserve">Eau </w:t>
      </w:r>
    </w:p>
    <w:p w:rsidR="008A7415" w:rsidRPr="0071782F" w:rsidRDefault="008A7415" w:rsidP="00204410">
      <w:pPr>
        <w:pStyle w:val="SingleTxtG"/>
        <w:rPr>
          <w:lang w:val="fr-CH"/>
        </w:rPr>
      </w:pPr>
      <w:r w:rsidRPr="0071782F">
        <w:rPr>
          <w:lang w:val="fr-CH"/>
        </w:rPr>
        <w:t>231.</w:t>
      </w:r>
      <w:r w:rsidRPr="0071782F">
        <w:rPr>
          <w:lang w:val="fr-CH"/>
        </w:rPr>
        <w:tab/>
      </w:r>
      <w:r w:rsidR="00143793" w:rsidRPr="0071782F">
        <w:rPr>
          <w:lang w:val="fr-CH"/>
        </w:rPr>
        <w:t xml:space="preserve">Les programmes de financement concernant le secteur de l’eau les plus </w:t>
      </w:r>
      <w:r w:rsidRPr="0071782F">
        <w:rPr>
          <w:lang w:val="fr-CH"/>
        </w:rPr>
        <w:t>important</w:t>
      </w:r>
      <w:r w:rsidR="00143793" w:rsidRPr="0071782F">
        <w:rPr>
          <w:lang w:val="fr-CH"/>
        </w:rPr>
        <w:t>s</w:t>
      </w:r>
      <w:r w:rsidRPr="0071782F">
        <w:rPr>
          <w:lang w:val="fr-CH"/>
        </w:rPr>
        <w:t xml:space="preserve"> </w:t>
      </w:r>
      <w:r w:rsidR="00143793" w:rsidRPr="0071782F">
        <w:rPr>
          <w:lang w:val="fr-CH"/>
        </w:rPr>
        <w:t xml:space="preserve">sont décrits dans le chapitre du </w:t>
      </w:r>
      <w:r w:rsidR="00A90208" w:rsidRPr="0071782F">
        <w:rPr>
          <w:lang w:val="fr-CH"/>
        </w:rPr>
        <w:t>quatrième</w:t>
      </w:r>
      <w:r w:rsidR="00143793" w:rsidRPr="0071782F">
        <w:rPr>
          <w:lang w:val="fr-CH"/>
        </w:rPr>
        <w:t xml:space="preserve"> plan consacré aux ressources en eau.</w:t>
      </w:r>
      <w:r w:rsidRPr="0071782F">
        <w:rPr>
          <w:lang w:val="fr-CH"/>
        </w:rPr>
        <w:t xml:space="preserve"> </w:t>
      </w:r>
      <w:r w:rsidR="00143793" w:rsidRPr="0071782F">
        <w:rPr>
          <w:lang w:val="fr-CH"/>
        </w:rPr>
        <w:t xml:space="preserve">Ces </w:t>
      </w:r>
      <w:r w:rsidRPr="0071782F">
        <w:rPr>
          <w:lang w:val="fr-CH"/>
        </w:rPr>
        <w:t>program</w:t>
      </w:r>
      <w:r w:rsidR="00143793" w:rsidRPr="0071782F">
        <w:rPr>
          <w:lang w:val="fr-CH"/>
        </w:rPr>
        <w:t>me</w:t>
      </w:r>
      <w:r w:rsidRPr="0071782F">
        <w:rPr>
          <w:lang w:val="fr-CH"/>
        </w:rPr>
        <w:t>s</w:t>
      </w:r>
      <w:r w:rsidR="00143793" w:rsidRPr="0071782F">
        <w:rPr>
          <w:lang w:val="fr-CH"/>
        </w:rPr>
        <w:t xml:space="preserve"> portent sur l’approvisionnement en eau et la fourniture d’eau, l’amélioration de l’</w:t>
      </w:r>
      <w:r w:rsidRPr="0071782F">
        <w:rPr>
          <w:lang w:val="fr-CH"/>
        </w:rPr>
        <w:t xml:space="preserve">exploitation </w:t>
      </w:r>
      <w:r w:rsidR="00143793" w:rsidRPr="0071782F">
        <w:rPr>
          <w:lang w:val="fr-CH"/>
        </w:rPr>
        <w:t xml:space="preserve">et de la </w:t>
      </w:r>
      <w:r w:rsidRPr="0071782F">
        <w:rPr>
          <w:lang w:val="fr-CH"/>
        </w:rPr>
        <w:t xml:space="preserve">protection </w:t>
      </w:r>
      <w:r w:rsidR="00143793" w:rsidRPr="0071782F">
        <w:rPr>
          <w:lang w:val="fr-CH"/>
        </w:rPr>
        <w:t>des ressources en eau, l’ingénierie côtière et fluviale, la mise en valeur des ressources en eau des bassins des fleuves frontaliers partagés et l’octroi d’une aide technique et financière</w:t>
      </w:r>
      <w:r w:rsidRPr="0071782F">
        <w:rPr>
          <w:lang w:val="fr-CH"/>
        </w:rPr>
        <w:t>.</w:t>
      </w:r>
    </w:p>
    <w:p w:rsidR="008A7415" w:rsidRPr="0071782F" w:rsidRDefault="00143793" w:rsidP="00D32966">
      <w:pPr>
        <w:pStyle w:val="SingleTxtG"/>
        <w:ind w:left="1701"/>
        <w:rPr>
          <w:lang w:val="fr-CH"/>
        </w:rPr>
      </w:pPr>
      <w:r w:rsidRPr="0071782F">
        <w:rPr>
          <w:lang w:val="fr-CH"/>
        </w:rPr>
        <w:t>231.1.</w:t>
      </w:r>
      <w:r w:rsidRPr="0071782F">
        <w:rPr>
          <w:lang w:val="fr-CH"/>
        </w:rPr>
        <w:tab/>
        <w:t>E</w:t>
      </w:r>
      <w:r w:rsidR="008A7415" w:rsidRPr="0071782F">
        <w:rPr>
          <w:lang w:val="fr-CH"/>
        </w:rPr>
        <w:t xml:space="preserve">n 2006, </w:t>
      </w:r>
      <w:r w:rsidRPr="0071782F">
        <w:rPr>
          <w:lang w:val="fr-CH"/>
        </w:rPr>
        <w:t xml:space="preserve">plus de </w:t>
      </w:r>
      <w:r w:rsidR="008A7415" w:rsidRPr="0071782F">
        <w:rPr>
          <w:lang w:val="fr-CH"/>
        </w:rPr>
        <w:t>71</w:t>
      </w:r>
      <w:r w:rsidR="007E5125" w:rsidRPr="0071782F">
        <w:rPr>
          <w:lang w:val="fr-CH"/>
        </w:rPr>
        <w:t>%</w:t>
      </w:r>
      <w:r w:rsidR="008A7415" w:rsidRPr="0071782F">
        <w:rPr>
          <w:lang w:val="fr-CH"/>
        </w:rPr>
        <w:t xml:space="preserve"> </w:t>
      </w:r>
      <w:r w:rsidRPr="0071782F">
        <w:rPr>
          <w:lang w:val="fr-CH"/>
        </w:rPr>
        <w:t xml:space="preserve">des </w:t>
      </w:r>
      <w:r w:rsidR="008A7415" w:rsidRPr="0071782F">
        <w:rPr>
          <w:lang w:val="fr-CH"/>
        </w:rPr>
        <w:t>cr</w:t>
      </w:r>
      <w:r w:rsidRPr="0071782F">
        <w:rPr>
          <w:lang w:val="fr-CH"/>
        </w:rPr>
        <w:t>é</w:t>
      </w:r>
      <w:r w:rsidR="008A7415" w:rsidRPr="0071782F">
        <w:rPr>
          <w:lang w:val="fr-CH"/>
        </w:rPr>
        <w:t xml:space="preserve">dits </w:t>
      </w:r>
      <w:r w:rsidRPr="0071782F">
        <w:rPr>
          <w:lang w:val="fr-CH"/>
        </w:rPr>
        <w:t>destinés aux programmes relatifs au secteur de l’eau ont été fournis par des sources différentes</w:t>
      </w:r>
      <w:r w:rsidR="008A7415" w:rsidRPr="0071782F">
        <w:rPr>
          <w:lang w:val="fr-CH"/>
        </w:rPr>
        <w:t xml:space="preserve">. </w:t>
      </w:r>
      <w:r w:rsidRPr="0071782F">
        <w:rPr>
          <w:lang w:val="fr-CH"/>
        </w:rPr>
        <w:t xml:space="preserve">L’une des réalisations les plus </w:t>
      </w:r>
      <w:r w:rsidR="008A7415" w:rsidRPr="0071782F">
        <w:rPr>
          <w:lang w:val="fr-CH"/>
        </w:rPr>
        <w:t>important</w:t>
      </w:r>
      <w:r w:rsidRPr="0071782F">
        <w:rPr>
          <w:lang w:val="fr-CH"/>
        </w:rPr>
        <w:t xml:space="preserve">es de </w:t>
      </w:r>
      <w:r w:rsidR="008A7415" w:rsidRPr="0071782F">
        <w:rPr>
          <w:lang w:val="fr-CH"/>
        </w:rPr>
        <w:t xml:space="preserve">2006 </w:t>
      </w:r>
      <w:r w:rsidRPr="0071782F">
        <w:rPr>
          <w:lang w:val="fr-CH"/>
        </w:rPr>
        <w:t xml:space="preserve">a été la </w:t>
      </w:r>
      <w:r w:rsidR="008A7415" w:rsidRPr="0071782F">
        <w:rPr>
          <w:lang w:val="fr-CH"/>
        </w:rPr>
        <w:t>r</w:t>
      </w:r>
      <w:r w:rsidRPr="0071782F">
        <w:rPr>
          <w:lang w:val="fr-CH"/>
        </w:rPr>
        <w:t>é</w:t>
      </w:r>
      <w:r w:rsidR="008A7415" w:rsidRPr="0071782F">
        <w:rPr>
          <w:lang w:val="fr-CH"/>
        </w:rPr>
        <w:t xml:space="preserve">gulation </w:t>
      </w:r>
      <w:r w:rsidRPr="0071782F">
        <w:rPr>
          <w:lang w:val="fr-CH"/>
        </w:rPr>
        <w:t xml:space="preserve">et le contrôle de </w:t>
      </w:r>
      <w:r w:rsidR="008A7415" w:rsidRPr="0071782F">
        <w:rPr>
          <w:lang w:val="fr-CH"/>
        </w:rPr>
        <w:t>750</w:t>
      </w:r>
      <w:r w:rsidRPr="0071782F">
        <w:rPr>
          <w:lang w:val="fr-CH"/>
        </w:rPr>
        <w:t>,</w:t>
      </w:r>
      <w:r w:rsidR="008A7415" w:rsidRPr="0071782F">
        <w:rPr>
          <w:lang w:val="fr-CH"/>
        </w:rPr>
        <w:t>5</w:t>
      </w:r>
      <w:r w:rsidR="00097CDB" w:rsidRPr="0071782F">
        <w:rPr>
          <w:lang w:val="fr-CH"/>
        </w:rPr>
        <w:t> millions</w:t>
      </w:r>
      <w:r w:rsidRPr="0071782F">
        <w:rPr>
          <w:lang w:val="fr-CH"/>
        </w:rPr>
        <w:t xml:space="preserve"> </w:t>
      </w:r>
      <w:r w:rsidR="00C767F3" w:rsidRPr="0071782F">
        <w:rPr>
          <w:lang w:val="fr-CH"/>
        </w:rPr>
        <w:t>de mètres</w:t>
      </w:r>
      <w:r w:rsidR="003F25A2">
        <w:rPr>
          <w:vertAlign w:val="superscript"/>
          <w:lang w:val="fr-CH"/>
        </w:rPr>
        <w:t xml:space="preserve"> </w:t>
      </w:r>
      <w:r w:rsidR="003F25A2">
        <w:rPr>
          <w:lang w:val="fr-CH"/>
        </w:rPr>
        <w:t>cube</w:t>
      </w:r>
      <w:r w:rsidRPr="0071782F">
        <w:rPr>
          <w:lang w:val="fr-CH"/>
        </w:rPr>
        <w:t xml:space="preserve"> d’eau grâce à la </w:t>
      </w:r>
      <w:r w:rsidR="008A7415" w:rsidRPr="0071782F">
        <w:rPr>
          <w:lang w:val="fr-CH"/>
        </w:rPr>
        <w:t xml:space="preserve">construction </w:t>
      </w:r>
      <w:r w:rsidRPr="0071782F">
        <w:rPr>
          <w:lang w:val="fr-CH"/>
        </w:rPr>
        <w:t>de barrages-réservoirs</w:t>
      </w:r>
      <w:r w:rsidR="008A7415" w:rsidRPr="0071782F">
        <w:rPr>
          <w:lang w:val="fr-CH"/>
        </w:rPr>
        <w:t xml:space="preserve">, </w:t>
      </w:r>
      <w:r w:rsidRPr="0071782F">
        <w:rPr>
          <w:lang w:val="fr-CH"/>
        </w:rPr>
        <w:t>la mise en place de réseaux principaux d’</w:t>
      </w:r>
      <w:r w:rsidR="008A7415" w:rsidRPr="0071782F">
        <w:rPr>
          <w:lang w:val="fr-CH"/>
        </w:rPr>
        <w:t>irrigation</w:t>
      </w:r>
      <w:r w:rsidRPr="0071782F">
        <w:rPr>
          <w:lang w:val="fr-CH"/>
        </w:rPr>
        <w:t xml:space="preserve"> et de </w:t>
      </w:r>
      <w:r w:rsidR="008A7415" w:rsidRPr="0071782F">
        <w:rPr>
          <w:lang w:val="fr-CH"/>
        </w:rPr>
        <w:t xml:space="preserve">drainage </w:t>
      </w:r>
      <w:r w:rsidRPr="0071782F">
        <w:rPr>
          <w:lang w:val="fr-CH"/>
        </w:rPr>
        <w:t>sur une superficie de 45</w:t>
      </w:r>
      <w:r w:rsidR="008A7415" w:rsidRPr="0071782F">
        <w:rPr>
          <w:lang w:val="fr-CH"/>
        </w:rPr>
        <w:t>4</w:t>
      </w:r>
      <w:r w:rsidR="001D01B5" w:rsidRPr="0071782F">
        <w:rPr>
          <w:lang w:val="fr-CH"/>
        </w:rPr>
        <w:t> </w:t>
      </w:r>
      <w:r w:rsidR="008A7415" w:rsidRPr="0071782F">
        <w:rPr>
          <w:lang w:val="fr-CH"/>
        </w:rPr>
        <w:t>000</w:t>
      </w:r>
      <w:r w:rsidR="00F071D1" w:rsidRPr="0071782F">
        <w:rPr>
          <w:lang w:val="fr-CH"/>
        </w:rPr>
        <w:t> h</w:t>
      </w:r>
      <w:r w:rsidR="005E329A">
        <w:rPr>
          <w:lang w:val="fr-CH"/>
        </w:rPr>
        <w:t>a</w:t>
      </w:r>
      <w:r w:rsidR="008A7415" w:rsidRPr="0071782F">
        <w:rPr>
          <w:lang w:val="fr-CH"/>
        </w:rPr>
        <w:t xml:space="preserve"> </w:t>
      </w:r>
      <w:r w:rsidRPr="0071782F">
        <w:rPr>
          <w:lang w:val="fr-CH"/>
        </w:rPr>
        <w:t>de terres et l’affectation de 217,</w:t>
      </w:r>
      <w:r w:rsidR="008A7415" w:rsidRPr="0071782F">
        <w:rPr>
          <w:lang w:val="fr-CH"/>
        </w:rPr>
        <w:t>5</w:t>
      </w:r>
      <w:r w:rsidR="00097CDB" w:rsidRPr="0071782F">
        <w:rPr>
          <w:lang w:val="fr-CH"/>
        </w:rPr>
        <w:t> millions</w:t>
      </w:r>
      <w:r w:rsidRPr="0071782F">
        <w:rPr>
          <w:lang w:val="fr-CH"/>
        </w:rPr>
        <w:t xml:space="preserve"> </w:t>
      </w:r>
      <w:r w:rsidR="00C767F3" w:rsidRPr="0071782F">
        <w:rPr>
          <w:lang w:val="fr-CH"/>
        </w:rPr>
        <w:t>de mètres</w:t>
      </w:r>
      <w:r w:rsidR="003F25A2">
        <w:rPr>
          <w:lang w:val="fr-CH"/>
        </w:rPr>
        <w:t xml:space="preserve"> cube</w:t>
      </w:r>
      <w:r w:rsidRPr="0071782F">
        <w:rPr>
          <w:lang w:val="fr-CH"/>
        </w:rPr>
        <w:t xml:space="preserve"> d’eau à la boisson</w:t>
      </w:r>
      <w:r w:rsidR="00D36718">
        <w:rPr>
          <w:lang w:val="fr-CH"/>
        </w:rPr>
        <w:t xml:space="preserve"> </w:t>
      </w:r>
      <w:r w:rsidRPr="0071782F">
        <w:rPr>
          <w:lang w:val="fr-CH"/>
        </w:rPr>
        <w:t>et à des usages sanitaires et industriels</w:t>
      </w:r>
      <w:r w:rsidR="008A7415" w:rsidRPr="0071782F">
        <w:rPr>
          <w:lang w:val="fr-CH"/>
        </w:rPr>
        <w:t>.</w:t>
      </w:r>
    </w:p>
    <w:p w:rsidR="008A7415" w:rsidRPr="0071782F" w:rsidRDefault="008A7415" w:rsidP="00D32966">
      <w:pPr>
        <w:pStyle w:val="SingleTxtG"/>
        <w:ind w:left="1701"/>
        <w:rPr>
          <w:lang w:val="fr-CH"/>
        </w:rPr>
      </w:pPr>
      <w:r w:rsidRPr="0071782F">
        <w:rPr>
          <w:lang w:val="fr-CH"/>
        </w:rPr>
        <w:t>231.2.</w:t>
      </w:r>
      <w:r w:rsidRPr="0071782F">
        <w:rPr>
          <w:lang w:val="fr-CH"/>
        </w:rPr>
        <w:tab/>
      </w:r>
      <w:r w:rsidR="00143793" w:rsidRPr="0071782F">
        <w:rPr>
          <w:lang w:val="fr-CH"/>
        </w:rPr>
        <w:t>E</w:t>
      </w:r>
      <w:r w:rsidRPr="0071782F">
        <w:rPr>
          <w:lang w:val="fr-CH"/>
        </w:rPr>
        <w:t xml:space="preserve">n 2006, </w:t>
      </w:r>
      <w:r w:rsidR="00143793" w:rsidRPr="0071782F">
        <w:rPr>
          <w:lang w:val="fr-CH"/>
        </w:rPr>
        <w:t>la mise en service du barrage-</w:t>
      </w:r>
      <w:r w:rsidRPr="0071782F">
        <w:rPr>
          <w:lang w:val="fr-CH"/>
        </w:rPr>
        <w:t>r</w:t>
      </w:r>
      <w:r w:rsidR="00143793" w:rsidRPr="0071782F">
        <w:rPr>
          <w:lang w:val="fr-CH"/>
        </w:rPr>
        <w:t>é</w:t>
      </w:r>
      <w:r w:rsidRPr="0071782F">
        <w:rPr>
          <w:lang w:val="fr-CH"/>
        </w:rPr>
        <w:t xml:space="preserve">servoir </w:t>
      </w:r>
      <w:r w:rsidR="00143793" w:rsidRPr="0071782F">
        <w:rPr>
          <w:lang w:val="fr-CH"/>
        </w:rPr>
        <w:t xml:space="preserve">de la ville frontalière de </w:t>
      </w:r>
      <w:r w:rsidRPr="0071782F">
        <w:rPr>
          <w:lang w:val="fr-CH"/>
        </w:rPr>
        <w:t>Solaimanshahr</w:t>
      </w:r>
      <w:r w:rsidR="00143793" w:rsidRPr="0071782F">
        <w:rPr>
          <w:lang w:val="fr-CH"/>
        </w:rPr>
        <w:t xml:space="preserve">, dans la province de </w:t>
      </w:r>
      <w:r w:rsidRPr="0071782F">
        <w:rPr>
          <w:lang w:val="fr-CH"/>
        </w:rPr>
        <w:t>Kermanshah</w:t>
      </w:r>
      <w:r w:rsidR="00143793" w:rsidRPr="0071782F">
        <w:rPr>
          <w:lang w:val="fr-CH"/>
        </w:rPr>
        <w:t>, a augmenté de quelque 46</w:t>
      </w:r>
      <w:r w:rsidR="00097CDB" w:rsidRPr="0071782F">
        <w:rPr>
          <w:lang w:val="fr-CH"/>
        </w:rPr>
        <w:t> millions</w:t>
      </w:r>
      <w:r w:rsidR="00143793" w:rsidRPr="0071782F">
        <w:rPr>
          <w:lang w:val="fr-CH"/>
        </w:rPr>
        <w:t xml:space="preserve"> </w:t>
      </w:r>
      <w:r w:rsidR="00C767F3" w:rsidRPr="0071782F">
        <w:rPr>
          <w:lang w:val="fr-CH"/>
        </w:rPr>
        <w:t>de mètres</w:t>
      </w:r>
      <w:r w:rsidR="00143793" w:rsidRPr="0071782F">
        <w:rPr>
          <w:lang w:val="fr-CH"/>
        </w:rPr>
        <w:t xml:space="preserve"> cubes la capacité de retenue d’eau par les barrages. L’achèvement des travaux correspondants a permis de construire quelque 94 000</w:t>
      </w:r>
      <w:r w:rsidR="00F071D1" w:rsidRPr="0071782F">
        <w:rPr>
          <w:lang w:val="fr-CH"/>
        </w:rPr>
        <w:t> h</w:t>
      </w:r>
      <w:r w:rsidR="005E329A">
        <w:rPr>
          <w:lang w:val="fr-CH"/>
        </w:rPr>
        <w:t>a</w:t>
      </w:r>
      <w:r w:rsidRPr="0071782F">
        <w:rPr>
          <w:lang w:val="fr-CH"/>
        </w:rPr>
        <w:t xml:space="preserve"> </w:t>
      </w:r>
      <w:r w:rsidR="00143793" w:rsidRPr="0071782F">
        <w:rPr>
          <w:lang w:val="fr-CH"/>
        </w:rPr>
        <w:t>de réseaux d’</w:t>
      </w:r>
      <w:r w:rsidRPr="0071782F">
        <w:rPr>
          <w:lang w:val="fr-CH"/>
        </w:rPr>
        <w:t>irrigation</w:t>
      </w:r>
      <w:r w:rsidR="00143793" w:rsidRPr="0071782F">
        <w:rPr>
          <w:lang w:val="fr-CH"/>
        </w:rPr>
        <w:t xml:space="preserve"> et de </w:t>
      </w:r>
      <w:r w:rsidRPr="0071782F">
        <w:rPr>
          <w:lang w:val="fr-CH"/>
        </w:rPr>
        <w:t xml:space="preserve">drainage. </w:t>
      </w:r>
      <w:r w:rsidR="00143793" w:rsidRPr="0071782F">
        <w:rPr>
          <w:lang w:val="fr-CH"/>
        </w:rPr>
        <w:t xml:space="preserve">Afin de mettre en </w:t>
      </w:r>
      <w:r w:rsidR="00D5366B" w:rsidRPr="0071782F">
        <w:rPr>
          <w:lang w:val="fr-CH"/>
        </w:rPr>
        <w:t>œuvre</w:t>
      </w:r>
      <w:r w:rsidR="00143793" w:rsidRPr="0071782F">
        <w:rPr>
          <w:lang w:val="fr-CH"/>
        </w:rPr>
        <w:t xml:space="preserve"> les dispositions du </w:t>
      </w:r>
      <w:r w:rsidR="00723F2B" w:rsidRPr="0071782F">
        <w:rPr>
          <w:lang w:val="fr-CH"/>
        </w:rPr>
        <w:t>paragraphe </w:t>
      </w:r>
      <w:r w:rsidRPr="0071782F">
        <w:rPr>
          <w:lang w:val="fr-CH"/>
        </w:rPr>
        <w:t xml:space="preserve">T </w:t>
      </w:r>
      <w:r w:rsidR="00143793"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17 </w:t>
      </w:r>
      <w:r w:rsidR="00143793" w:rsidRPr="0071782F">
        <w:rPr>
          <w:lang w:val="fr-CH"/>
        </w:rPr>
        <w:t xml:space="preserve">de la loi relative au </w:t>
      </w:r>
      <w:r w:rsidR="00A90208" w:rsidRPr="0071782F">
        <w:rPr>
          <w:lang w:val="fr-CH"/>
        </w:rPr>
        <w:t>quatrième</w:t>
      </w:r>
      <w:r w:rsidRPr="0071782F">
        <w:rPr>
          <w:lang w:val="fr-CH"/>
        </w:rPr>
        <w:t xml:space="preserve"> </w:t>
      </w:r>
      <w:r w:rsidR="00143793" w:rsidRPr="0071782F">
        <w:rPr>
          <w:lang w:val="fr-CH"/>
        </w:rPr>
        <w:t>plan de développement</w:t>
      </w:r>
      <w:r w:rsidRPr="0071782F">
        <w:rPr>
          <w:lang w:val="fr-CH"/>
        </w:rPr>
        <w:t xml:space="preserve">, </w:t>
      </w:r>
      <w:r w:rsidR="00143793" w:rsidRPr="0071782F">
        <w:rPr>
          <w:lang w:val="fr-CH"/>
        </w:rPr>
        <w:t xml:space="preserve">et en application de la </w:t>
      </w:r>
      <w:r w:rsidR="00B71907" w:rsidRPr="0071782F">
        <w:rPr>
          <w:lang w:val="fr-CH"/>
        </w:rPr>
        <w:t>note </w:t>
      </w:r>
      <w:r w:rsidRPr="0071782F">
        <w:rPr>
          <w:lang w:val="fr-CH"/>
        </w:rPr>
        <w:t xml:space="preserve">76 </w:t>
      </w:r>
      <w:r w:rsidR="00143793" w:rsidRPr="0071782F">
        <w:rPr>
          <w:lang w:val="fr-CH"/>
        </w:rPr>
        <w:t xml:space="preserve">de la même loi, de </w:t>
      </w:r>
      <w:r w:rsidR="00723F2B" w:rsidRPr="0071782F">
        <w:rPr>
          <w:lang w:val="fr-CH"/>
        </w:rPr>
        <w:t>l’</w:t>
      </w:r>
      <w:r w:rsidR="00943A69" w:rsidRPr="0071782F">
        <w:rPr>
          <w:lang w:val="fr-CH"/>
        </w:rPr>
        <w:t>article </w:t>
      </w:r>
      <w:r w:rsidRPr="0071782F">
        <w:rPr>
          <w:lang w:val="fr-CH"/>
        </w:rPr>
        <w:t xml:space="preserve">106 </w:t>
      </w:r>
      <w:r w:rsidR="00143793" w:rsidRPr="0071782F">
        <w:rPr>
          <w:lang w:val="fr-CH"/>
        </w:rPr>
        <w:t xml:space="preserve">du </w:t>
      </w:r>
      <w:r w:rsidR="003F25A2">
        <w:rPr>
          <w:lang w:val="fr-CH"/>
        </w:rPr>
        <w:t xml:space="preserve">troisième </w:t>
      </w:r>
      <w:r w:rsidR="00143793" w:rsidRPr="0071782F">
        <w:rPr>
          <w:lang w:val="fr-CH"/>
        </w:rPr>
        <w:t xml:space="preserve">plan de développement et de la loi sur la </w:t>
      </w:r>
      <w:r w:rsidRPr="0071782F">
        <w:rPr>
          <w:lang w:val="fr-CH"/>
        </w:rPr>
        <w:t xml:space="preserve">promotion </w:t>
      </w:r>
      <w:r w:rsidR="00143793" w:rsidRPr="0071782F">
        <w:rPr>
          <w:lang w:val="fr-CH"/>
        </w:rPr>
        <w:t xml:space="preserve">des investissements dans les projets hydrauliques, et afin de garantir un renforcement de la </w:t>
      </w:r>
      <w:r w:rsidRPr="0071782F">
        <w:rPr>
          <w:lang w:val="fr-CH"/>
        </w:rPr>
        <w:t xml:space="preserve">participation </w:t>
      </w:r>
      <w:r w:rsidR="00143793" w:rsidRPr="0071782F">
        <w:rPr>
          <w:lang w:val="fr-CH"/>
        </w:rPr>
        <w:t>du secteur privé à l’exécution de ce type de projets, la loi de finances de 2006 a prévu un</w:t>
      </w:r>
      <w:r w:rsidRPr="0071782F">
        <w:rPr>
          <w:lang w:val="fr-CH"/>
        </w:rPr>
        <w:t xml:space="preserve"> cr</w:t>
      </w:r>
      <w:r w:rsidR="00143793" w:rsidRPr="0071782F">
        <w:rPr>
          <w:lang w:val="fr-CH"/>
        </w:rPr>
        <w:t>é</w:t>
      </w:r>
      <w:r w:rsidRPr="0071782F">
        <w:rPr>
          <w:lang w:val="fr-CH"/>
        </w:rPr>
        <w:t xml:space="preserve">dit </w:t>
      </w:r>
      <w:r w:rsidR="00143793" w:rsidRPr="0071782F">
        <w:rPr>
          <w:lang w:val="fr-CH"/>
        </w:rPr>
        <w:t>de</w:t>
      </w:r>
      <w:r w:rsidRPr="0071782F">
        <w:rPr>
          <w:lang w:val="fr-CH"/>
        </w:rPr>
        <w:t xml:space="preserve"> 850</w:t>
      </w:r>
      <w:r w:rsidR="008553D9" w:rsidRPr="0071782F">
        <w:rPr>
          <w:lang w:val="fr-CH"/>
        </w:rPr>
        <w:t> milliard</w:t>
      </w:r>
      <w:r w:rsidR="00097CDB" w:rsidRPr="0071782F">
        <w:rPr>
          <w:lang w:val="fr-CH"/>
        </w:rPr>
        <w:t>s</w:t>
      </w:r>
      <w:r w:rsidR="00143793" w:rsidRPr="0071782F">
        <w:rPr>
          <w:lang w:val="fr-CH"/>
        </w:rPr>
        <w:t xml:space="preserve"> </w:t>
      </w:r>
      <w:r w:rsidR="003B1403" w:rsidRPr="0071782F">
        <w:rPr>
          <w:lang w:val="fr-CH"/>
        </w:rPr>
        <w:t>de rials</w:t>
      </w:r>
      <w:r w:rsidRPr="0071782F">
        <w:rPr>
          <w:lang w:val="fr-CH"/>
        </w:rPr>
        <w:t xml:space="preserve"> </w:t>
      </w:r>
      <w:r w:rsidR="00143793" w:rsidRPr="0071782F">
        <w:rPr>
          <w:lang w:val="fr-CH"/>
        </w:rPr>
        <w:t>destiné à deux projets, à savoir l’octroi d’aides techniques et financières, et l’amélioration du réseau secondaire d’</w:t>
      </w:r>
      <w:r w:rsidRPr="0071782F">
        <w:rPr>
          <w:lang w:val="fr-CH"/>
        </w:rPr>
        <w:t>irrigation</w:t>
      </w:r>
      <w:r w:rsidR="00143793" w:rsidRPr="0071782F">
        <w:rPr>
          <w:lang w:val="fr-CH"/>
        </w:rPr>
        <w:t xml:space="preserve"> et de </w:t>
      </w:r>
      <w:r w:rsidRPr="0071782F">
        <w:rPr>
          <w:lang w:val="fr-CH"/>
        </w:rPr>
        <w:t xml:space="preserve">drainage. </w:t>
      </w:r>
      <w:r w:rsidR="00143793" w:rsidRPr="0071782F">
        <w:rPr>
          <w:lang w:val="fr-CH"/>
        </w:rPr>
        <w:t xml:space="preserve">Cependant, moins de </w:t>
      </w:r>
      <w:r w:rsidRPr="0071782F">
        <w:rPr>
          <w:lang w:val="fr-CH"/>
        </w:rPr>
        <w:t>300</w:t>
      </w:r>
      <w:r w:rsidR="008553D9" w:rsidRPr="0071782F">
        <w:rPr>
          <w:lang w:val="fr-CH"/>
        </w:rPr>
        <w:t> milliard</w:t>
      </w:r>
      <w:r w:rsidR="00097CDB" w:rsidRPr="0071782F">
        <w:rPr>
          <w:lang w:val="fr-CH"/>
        </w:rPr>
        <w:t>s</w:t>
      </w:r>
      <w:r w:rsidR="00143793" w:rsidRPr="0071782F">
        <w:rPr>
          <w:lang w:val="fr-CH"/>
        </w:rPr>
        <w:t xml:space="preserve"> </w:t>
      </w:r>
      <w:r w:rsidR="003B1403" w:rsidRPr="0071782F">
        <w:rPr>
          <w:lang w:val="fr-CH"/>
        </w:rPr>
        <w:t>de rials</w:t>
      </w:r>
      <w:r w:rsidRPr="0071782F">
        <w:rPr>
          <w:lang w:val="fr-CH"/>
        </w:rPr>
        <w:t xml:space="preserve"> </w:t>
      </w:r>
      <w:r w:rsidR="00143793" w:rsidRPr="0071782F">
        <w:rPr>
          <w:lang w:val="fr-CH"/>
        </w:rPr>
        <w:t xml:space="preserve">du crédit alloué ont été affectés à ces deux projets en </w:t>
      </w:r>
      <w:r w:rsidRPr="0071782F">
        <w:rPr>
          <w:lang w:val="fr-CH"/>
        </w:rPr>
        <w:t>2006.</w:t>
      </w:r>
    </w:p>
    <w:p w:rsidR="008A7415" w:rsidRPr="0071782F" w:rsidRDefault="008A7415" w:rsidP="00D32966">
      <w:pPr>
        <w:pStyle w:val="SingleTxtG"/>
        <w:ind w:left="1701"/>
        <w:rPr>
          <w:lang w:val="fr-CH"/>
        </w:rPr>
      </w:pPr>
      <w:r w:rsidRPr="0071782F">
        <w:rPr>
          <w:lang w:val="fr-CH"/>
        </w:rPr>
        <w:t>231.3.</w:t>
      </w:r>
      <w:r w:rsidRPr="0071782F">
        <w:rPr>
          <w:lang w:val="fr-CH"/>
        </w:rPr>
        <w:tab/>
      </w:r>
      <w:r w:rsidR="00E53632" w:rsidRPr="0071782F">
        <w:rPr>
          <w:lang w:val="fr-CH"/>
        </w:rPr>
        <w:t xml:space="preserve">Les Ministères de l’énergie et de l’agriculture ont affecté des crédits à l’extension des réseaux secondaires d’irrigation et de </w:t>
      </w:r>
      <w:r w:rsidRPr="0071782F">
        <w:rPr>
          <w:lang w:val="fr-CH"/>
        </w:rPr>
        <w:t xml:space="preserve">drainage </w:t>
      </w:r>
      <w:r w:rsidR="00E53632" w:rsidRPr="0071782F">
        <w:rPr>
          <w:lang w:val="fr-CH"/>
        </w:rPr>
        <w:t xml:space="preserve">sur une superficie de de </w:t>
      </w:r>
      <w:r w:rsidRPr="0071782F">
        <w:rPr>
          <w:lang w:val="fr-CH"/>
        </w:rPr>
        <w:t>15</w:t>
      </w:r>
      <w:r w:rsidR="001D01B5" w:rsidRPr="0071782F">
        <w:rPr>
          <w:lang w:val="fr-CH"/>
        </w:rPr>
        <w:t> </w:t>
      </w:r>
      <w:r w:rsidR="00E53632" w:rsidRPr="0071782F">
        <w:rPr>
          <w:lang w:val="fr-CH"/>
        </w:rPr>
        <w:t>800</w:t>
      </w:r>
      <w:r w:rsidR="00F071D1" w:rsidRPr="0071782F">
        <w:rPr>
          <w:lang w:val="fr-CH"/>
        </w:rPr>
        <w:t> h</w:t>
      </w:r>
      <w:r w:rsidR="005E329A">
        <w:rPr>
          <w:lang w:val="fr-CH"/>
        </w:rPr>
        <w:t>a</w:t>
      </w:r>
      <w:r w:rsidR="00E53632" w:rsidRPr="0071782F">
        <w:rPr>
          <w:lang w:val="fr-CH"/>
        </w:rPr>
        <w:t xml:space="preserve"> (développement et amélioration</w:t>
      </w:r>
      <w:r w:rsidRPr="0071782F">
        <w:rPr>
          <w:lang w:val="fr-CH"/>
        </w:rPr>
        <w:t xml:space="preserve">) </w:t>
      </w:r>
      <w:r w:rsidR="00E53632" w:rsidRPr="0071782F">
        <w:rPr>
          <w:lang w:val="fr-CH"/>
        </w:rPr>
        <w:t xml:space="preserve">et de </w:t>
      </w:r>
      <w:r w:rsidRPr="0071782F">
        <w:rPr>
          <w:lang w:val="fr-CH"/>
        </w:rPr>
        <w:t>11</w:t>
      </w:r>
      <w:r w:rsidR="001D01B5" w:rsidRPr="0071782F">
        <w:rPr>
          <w:lang w:val="fr-CH"/>
        </w:rPr>
        <w:t> </w:t>
      </w:r>
      <w:r w:rsidRPr="0071782F">
        <w:rPr>
          <w:lang w:val="fr-CH"/>
        </w:rPr>
        <w:t>000</w:t>
      </w:r>
      <w:r w:rsidR="00F071D1" w:rsidRPr="0071782F">
        <w:rPr>
          <w:lang w:val="fr-CH"/>
        </w:rPr>
        <w:t> h</w:t>
      </w:r>
      <w:r w:rsidR="005E329A">
        <w:rPr>
          <w:lang w:val="fr-CH"/>
        </w:rPr>
        <w:t>a</w:t>
      </w:r>
      <w:r w:rsidRPr="0071782F">
        <w:rPr>
          <w:lang w:val="fr-CH"/>
        </w:rPr>
        <w:t xml:space="preserve"> (</w:t>
      </w:r>
      <w:r w:rsidR="00E53632" w:rsidRPr="0071782F">
        <w:rPr>
          <w:lang w:val="fr-CH"/>
        </w:rPr>
        <w:t>développement</w:t>
      </w:r>
      <w:r w:rsidRPr="0071782F">
        <w:rPr>
          <w:lang w:val="fr-CH"/>
        </w:rPr>
        <w:t>)</w:t>
      </w:r>
      <w:r w:rsidR="00E53632" w:rsidRPr="0071782F">
        <w:rPr>
          <w:lang w:val="fr-CH"/>
        </w:rPr>
        <w:t>, respectivement</w:t>
      </w:r>
      <w:r w:rsidRPr="0071782F">
        <w:rPr>
          <w:lang w:val="fr-CH"/>
        </w:rPr>
        <w:t>.</w:t>
      </w:r>
    </w:p>
    <w:p w:rsidR="008A7415" w:rsidRPr="0071782F" w:rsidRDefault="008A7415" w:rsidP="00155C57">
      <w:pPr>
        <w:pStyle w:val="SingleTxtG"/>
        <w:ind w:left="1701"/>
        <w:rPr>
          <w:lang w:val="fr-CH"/>
        </w:rPr>
      </w:pPr>
      <w:r w:rsidRPr="0071782F">
        <w:rPr>
          <w:lang w:val="fr-CH"/>
        </w:rPr>
        <w:t>231.4.</w:t>
      </w:r>
      <w:r w:rsidRPr="0071782F">
        <w:rPr>
          <w:lang w:val="fr-CH"/>
        </w:rPr>
        <w:tab/>
      </w:r>
      <w:r w:rsidR="00B44057" w:rsidRPr="0071782F">
        <w:rPr>
          <w:lang w:val="fr-CH"/>
        </w:rPr>
        <w:t xml:space="preserve">En 2006, l’exécution du </w:t>
      </w:r>
      <w:r w:rsidRPr="0071782F">
        <w:rPr>
          <w:lang w:val="fr-CH"/>
        </w:rPr>
        <w:t>program</w:t>
      </w:r>
      <w:r w:rsidR="00B44057" w:rsidRPr="0071782F">
        <w:rPr>
          <w:lang w:val="fr-CH"/>
        </w:rPr>
        <w:t>me d’amélioration, d’</w:t>
      </w:r>
      <w:r w:rsidRPr="0071782F">
        <w:rPr>
          <w:lang w:val="fr-CH"/>
        </w:rPr>
        <w:t xml:space="preserve">exploitation </w:t>
      </w:r>
      <w:r w:rsidR="00B44057" w:rsidRPr="0071782F">
        <w:rPr>
          <w:lang w:val="fr-CH"/>
        </w:rPr>
        <w:t xml:space="preserve">et de </w:t>
      </w:r>
      <w:r w:rsidRPr="0071782F">
        <w:rPr>
          <w:lang w:val="fr-CH"/>
        </w:rPr>
        <w:t xml:space="preserve">protection </w:t>
      </w:r>
      <w:r w:rsidR="00B44057" w:rsidRPr="0071782F">
        <w:rPr>
          <w:lang w:val="fr-CH"/>
        </w:rPr>
        <w:t xml:space="preserve">des ressources en eau a permis d’économiser </w:t>
      </w:r>
      <w:r w:rsidRPr="0071782F">
        <w:rPr>
          <w:lang w:val="fr-CH"/>
        </w:rPr>
        <w:t>85</w:t>
      </w:r>
      <w:r w:rsidR="00097CDB" w:rsidRPr="0071782F">
        <w:rPr>
          <w:lang w:val="fr-CH"/>
        </w:rPr>
        <w:t> millions</w:t>
      </w:r>
      <w:r w:rsidRPr="0071782F">
        <w:rPr>
          <w:lang w:val="fr-CH"/>
        </w:rPr>
        <w:t xml:space="preserve"> </w:t>
      </w:r>
      <w:r w:rsidR="00C767F3" w:rsidRPr="0071782F">
        <w:rPr>
          <w:lang w:val="fr-CH"/>
        </w:rPr>
        <w:t>de mètres</w:t>
      </w:r>
      <w:r w:rsidR="003F25A2">
        <w:rPr>
          <w:lang w:val="fr-CH"/>
        </w:rPr>
        <w:t xml:space="preserve"> cube</w:t>
      </w:r>
      <w:r w:rsidR="001D01B5" w:rsidRPr="0071782F">
        <w:rPr>
          <w:lang w:val="fr-CH"/>
        </w:rPr>
        <w:t xml:space="preserve"> </w:t>
      </w:r>
      <w:r w:rsidR="00B44057" w:rsidRPr="0071782F">
        <w:rPr>
          <w:lang w:val="fr-CH"/>
        </w:rPr>
        <w:t xml:space="preserve">d’eau en prévenant la </w:t>
      </w:r>
      <w:r w:rsidRPr="0071782F">
        <w:rPr>
          <w:lang w:val="fr-CH"/>
        </w:rPr>
        <w:t xml:space="preserve">subsidence </w:t>
      </w:r>
      <w:r w:rsidR="00B44057" w:rsidRPr="0071782F">
        <w:rPr>
          <w:lang w:val="fr-CH"/>
        </w:rPr>
        <w:t xml:space="preserve">et en </w:t>
      </w:r>
      <w:r w:rsidRPr="0071782F">
        <w:rPr>
          <w:lang w:val="fr-CH"/>
        </w:rPr>
        <w:t>stabili</w:t>
      </w:r>
      <w:r w:rsidR="00B44057" w:rsidRPr="0071782F">
        <w:rPr>
          <w:lang w:val="fr-CH"/>
        </w:rPr>
        <w:t>sant les dépôts alluviaux</w:t>
      </w:r>
      <w:r w:rsidRPr="0071782F">
        <w:rPr>
          <w:lang w:val="fr-CH"/>
        </w:rPr>
        <w:t xml:space="preserve">. </w:t>
      </w:r>
      <w:r w:rsidR="00B44057" w:rsidRPr="0071782F">
        <w:rPr>
          <w:lang w:val="fr-CH"/>
        </w:rPr>
        <w:t xml:space="preserve">Par ailleurs, au cours de la même année, l’achat et la fermeture de puits agricoles illégaux et la prévention de la diminution du niveau des ressources en eau et des aquifères des plaines protégées, dont l’état est critique, ont permis d’économiser quelque </w:t>
      </w:r>
      <w:r w:rsidRPr="0071782F">
        <w:rPr>
          <w:lang w:val="fr-CH"/>
        </w:rPr>
        <w:t>281</w:t>
      </w:r>
      <w:r w:rsidR="00097CDB" w:rsidRPr="0071782F">
        <w:rPr>
          <w:lang w:val="fr-CH"/>
        </w:rPr>
        <w:t> millions</w:t>
      </w:r>
      <w:r w:rsidR="00B44057" w:rsidRPr="0071782F">
        <w:rPr>
          <w:lang w:val="fr-CH"/>
        </w:rPr>
        <w:t xml:space="preserve"> </w:t>
      </w:r>
      <w:r w:rsidR="00C767F3" w:rsidRPr="0071782F">
        <w:rPr>
          <w:lang w:val="fr-CH"/>
        </w:rPr>
        <w:t>de mètres</w:t>
      </w:r>
      <w:r w:rsidR="003F25A2">
        <w:rPr>
          <w:lang w:val="fr-CH"/>
        </w:rPr>
        <w:t xml:space="preserve"> cube</w:t>
      </w:r>
      <w:r w:rsidR="00B44057" w:rsidRPr="0071782F">
        <w:rPr>
          <w:lang w:val="fr-CH"/>
        </w:rPr>
        <w:t xml:space="preserve"> d’eau</w:t>
      </w:r>
      <w:r w:rsidRPr="0071782F">
        <w:rPr>
          <w:lang w:val="fr-CH"/>
        </w:rPr>
        <w:t>.</w:t>
      </w:r>
    </w:p>
    <w:p w:rsidR="008A7415" w:rsidRPr="0071782F" w:rsidRDefault="008A7415" w:rsidP="00D32966">
      <w:pPr>
        <w:pStyle w:val="SingleTxtG"/>
        <w:ind w:left="1701"/>
        <w:rPr>
          <w:lang w:val="fr-CH"/>
        </w:rPr>
      </w:pPr>
      <w:r w:rsidRPr="0071782F">
        <w:rPr>
          <w:lang w:val="fr-CH"/>
        </w:rPr>
        <w:t>231.5.</w:t>
      </w:r>
      <w:r w:rsidRPr="0071782F">
        <w:rPr>
          <w:lang w:val="fr-CH"/>
        </w:rPr>
        <w:tab/>
      </w:r>
      <w:r w:rsidR="001E0866" w:rsidRPr="0071782F">
        <w:rPr>
          <w:lang w:val="fr-CH"/>
        </w:rPr>
        <w:t xml:space="preserve">La mise en </w:t>
      </w:r>
      <w:r w:rsidR="00D5366B" w:rsidRPr="0071782F">
        <w:rPr>
          <w:lang w:val="fr-CH"/>
        </w:rPr>
        <w:t>œuvre</w:t>
      </w:r>
      <w:r w:rsidR="001E0866" w:rsidRPr="0071782F">
        <w:rPr>
          <w:lang w:val="fr-CH"/>
        </w:rPr>
        <w:t xml:space="preserve"> du Programme de mise en valeur des ressources en eau des bassins des fleuves frontaliers partagés a permis d’achever en 2006 l’exécution du plan de mise en valeur, de régulation, de transfert et d’utilisation optimale des ressources en eau de ces fleuves, en employant </w:t>
      </w:r>
      <w:r w:rsidRPr="0071782F">
        <w:rPr>
          <w:lang w:val="fr-CH"/>
        </w:rPr>
        <w:t>78</w:t>
      </w:r>
      <w:r w:rsidR="007E5125" w:rsidRPr="0071782F">
        <w:rPr>
          <w:lang w:val="fr-CH"/>
        </w:rPr>
        <w:t>%</w:t>
      </w:r>
      <w:r w:rsidRPr="0071782F">
        <w:rPr>
          <w:lang w:val="fr-CH"/>
        </w:rPr>
        <w:t xml:space="preserve"> </w:t>
      </w:r>
      <w:r w:rsidR="001E0866" w:rsidRPr="0071782F">
        <w:rPr>
          <w:lang w:val="fr-CH"/>
        </w:rPr>
        <w:t xml:space="preserve">des crédits prévus. </w:t>
      </w:r>
    </w:p>
    <w:p w:rsidR="008A7415" w:rsidRPr="0071782F" w:rsidRDefault="008A7415" w:rsidP="00204410">
      <w:pPr>
        <w:pStyle w:val="H1G"/>
        <w:rPr>
          <w:lang w:val="fr-CH"/>
        </w:rPr>
      </w:pPr>
      <w:r w:rsidRPr="0071782F">
        <w:rPr>
          <w:lang w:val="fr-CH"/>
        </w:rPr>
        <w:tab/>
      </w:r>
      <w:r w:rsidRPr="0071782F">
        <w:rPr>
          <w:lang w:val="fr-CH"/>
        </w:rPr>
        <w:tab/>
        <w:t xml:space="preserve">Agriculture </w:t>
      </w:r>
      <w:r w:rsidR="001E0866" w:rsidRPr="0071782F">
        <w:rPr>
          <w:lang w:val="fr-CH"/>
        </w:rPr>
        <w:t xml:space="preserve">et ressources naturelles </w:t>
      </w:r>
    </w:p>
    <w:p w:rsidR="008A7415" w:rsidRPr="0071782F" w:rsidRDefault="008A7415" w:rsidP="00204410">
      <w:pPr>
        <w:pStyle w:val="SingleTxtG"/>
        <w:rPr>
          <w:lang w:val="fr-CH"/>
        </w:rPr>
      </w:pPr>
      <w:r w:rsidRPr="0071782F">
        <w:rPr>
          <w:lang w:val="fr-CH"/>
        </w:rPr>
        <w:t>232.</w:t>
      </w:r>
      <w:r w:rsidRPr="0071782F">
        <w:rPr>
          <w:lang w:val="fr-CH"/>
        </w:rPr>
        <w:tab/>
      </w:r>
      <w:r w:rsidR="007327C7" w:rsidRPr="0071782F">
        <w:rPr>
          <w:lang w:val="fr-CH"/>
        </w:rPr>
        <w:t>Du fait du rôle essentiel qu’elles jouent dans la sécurité alimentaire du pays et de leur énorme potentiel de production d’</w:t>
      </w:r>
      <w:r w:rsidR="00723F2B" w:rsidRPr="0071782F">
        <w:rPr>
          <w:lang w:val="fr-CH"/>
        </w:rPr>
        <w:t>articles</w:t>
      </w:r>
      <w:r w:rsidR="001D01B5" w:rsidRPr="0071782F">
        <w:rPr>
          <w:lang w:val="fr-CH"/>
        </w:rPr>
        <w:t xml:space="preserve"> </w:t>
      </w:r>
      <w:r w:rsidR="007327C7" w:rsidRPr="0071782F">
        <w:rPr>
          <w:lang w:val="fr-CH"/>
        </w:rPr>
        <w:t>exportables, l’a</w:t>
      </w:r>
      <w:r w:rsidRPr="0071782F">
        <w:rPr>
          <w:lang w:val="fr-CH"/>
        </w:rPr>
        <w:t xml:space="preserve">griculture </w:t>
      </w:r>
      <w:r w:rsidR="007327C7" w:rsidRPr="0071782F">
        <w:rPr>
          <w:lang w:val="fr-CH"/>
        </w:rPr>
        <w:t>et les ressources naturelles figurent parmi les plus importants secteurs de l’économie</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7327C7" w:rsidRPr="0071782F">
        <w:rPr>
          <w:lang w:val="fr-CH"/>
        </w:rPr>
        <w:t>Principaux indicateu</w:t>
      </w:r>
      <w:r w:rsidRPr="0071782F">
        <w:rPr>
          <w:lang w:val="fr-CH"/>
        </w:rPr>
        <w:t xml:space="preserve">rs </w:t>
      </w:r>
      <w:r w:rsidR="007327C7" w:rsidRPr="0071782F">
        <w:rPr>
          <w:lang w:val="fr-CH"/>
        </w:rPr>
        <w:t>du secteur de l’</w:t>
      </w:r>
      <w:r w:rsidRPr="0071782F">
        <w:rPr>
          <w:lang w:val="fr-CH"/>
        </w:rPr>
        <w:t xml:space="preserve">agriculture </w:t>
      </w:r>
    </w:p>
    <w:p w:rsidR="008A7415" w:rsidRPr="0071782F" w:rsidRDefault="008A7415" w:rsidP="00204410">
      <w:pPr>
        <w:pStyle w:val="SingleTxtG"/>
        <w:rPr>
          <w:lang w:val="fr-CH"/>
        </w:rPr>
      </w:pPr>
      <w:r w:rsidRPr="0071782F">
        <w:rPr>
          <w:lang w:val="fr-CH"/>
        </w:rPr>
        <w:t>233.</w:t>
      </w:r>
      <w:r w:rsidRPr="0071782F">
        <w:rPr>
          <w:lang w:val="fr-CH"/>
        </w:rPr>
        <w:tab/>
      </w:r>
      <w:r w:rsidR="007327C7" w:rsidRPr="0071782F">
        <w:rPr>
          <w:lang w:val="fr-CH"/>
        </w:rPr>
        <w:t>Ces indicateurs sont les suivants</w:t>
      </w:r>
      <w:r w:rsidR="008F7D33" w:rsidRPr="0071782F">
        <w:rPr>
          <w:lang w:val="fr-CH"/>
        </w:rPr>
        <w:t>:</w:t>
      </w:r>
    </w:p>
    <w:p w:rsidR="008A7415" w:rsidRPr="0071782F" w:rsidRDefault="008A7415" w:rsidP="00033DC4">
      <w:pPr>
        <w:pStyle w:val="SingleTxtG"/>
        <w:ind w:left="1701"/>
        <w:rPr>
          <w:lang w:val="fr-CH"/>
        </w:rPr>
      </w:pPr>
      <w:r w:rsidRPr="0071782F">
        <w:rPr>
          <w:lang w:val="fr-CH"/>
        </w:rPr>
        <w:t>233.1.</w:t>
      </w:r>
      <w:r w:rsidRPr="0071782F">
        <w:rPr>
          <w:lang w:val="fr-CH"/>
        </w:rPr>
        <w:tab/>
      </w:r>
      <w:r w:rsidR="006D520C" w:rsidRPr="0071782F">
        <w:rPr>
          <w:lang w:val="fr-CH"/>
        </w:rPr>
        <w:t xml:space="preserve">Selon les </w:t>
      </w:r>
      <w:r w:rsidRPr="0071782F">
        <w:rPr>
          <w:lang w:val="fr-CH"/>
        </w:rPr>
        <w:t>statisti</w:t>
      </w:r>
      <w:r w:rsidR="006D520C" w:rsidRPr="0071782F">
        <w:rPr>
          <w:lang w:val="fr-CH"/>
        </w:rPr>
        <w:t>que</w:t>
      </w:r>
      <w:r w:rsidRPr="0071782F">
        <w:rPr>
          <w:lang w:val="fr-CH"/>
        </w:rPr>
        <w:t xml:space="preserve">s </w:t>
      </w:r>
      <w:r w:rsidR="006D520C" w:rsidRPr="0071782F">
        <w:rPr>
          <w:lang w:val="fr-CH"/>
        </w:rPr>
        <w:t>de la Banque centrale, la valeur ajoutée du secteur de l’</w:t>
      </w:r>
      <w:r w:rsidRPr="0071782F">
        <w:rPr>
          <w:lang w:val="fr-CH"/>
        </w:rPr>
        <w:t xml:space="preserve">agriculture </w:t>
      </w:r>
      <w:r w:rsidR="006D520C" w:rsidRPr="0071782F">
        <w:rPr>
          <w:lang w:val="fr-CH"/>
        </w:rPr>
        <w:t>a été e</w:t>
      </w:r>
      <w:r w:rsidRPr="0071782F">
        <w:rPr>
          <w:lang w:val="fr-CH"/>
        </w:rPr>
        <w:t xml:space="preserve">n 2006 </w:t>
      </w:r>
      <w:r w:rsidR="006D520C" w:rsidRPr="0071782F">
        <w:rPr>
          <w:lang w:val="fr-CH"/>
        </w:rPr>
        <w:t xml:space="preserve">de </w:t>
      </w:r>
      <w:r w:rsidRPr="0071782F">
        <w:rPr>
          <w:lang w:val="fr-CH"/>
        </w:rPr>
        <w:t>62</w:t>
      </w:r>
      <w:r w:rsidR="006D520C" w:rsidRPr="0071782F">
        <w:rPr>
          <w:lang w:val="fr-CH"/>
        </w:rPr>
        <w:t xml:space="preserve"> </w:t>
      </w:r>
      <w:r w:rsidRPr="0071782F">
        <w:rPr>
          <w:lang w:val="fr-CH"/>
        </w:rPr>
        <w:t>386</w:t>
      </w:r>
      <w:r w:rsidR="008553D9" w:rsidRPr="0071782F">
        <w:rPr>
          <w:lang w:val="fr-CH"/>
        </w:rPr>
        <w:t> milliard</w:t>
      </w:r>
      <w:r w:rsidR="00097CDB" w:rsidRPr="0071782F">
        <w:rPr>
          <w:lang w:val="fr-CH"/>
        </w:rPr>
        <w:t>s</w:t>
      </w:r>
      <w:r w:rsidR="006D520C" w:rsidRPr="0071782F">
        <w:rPr>
          <w:lang w:val="fr-CH"/>
        </w:rPr>
        <w:t xml:space="preserve"> </w:t>
      </w:r>
      <w:r w:rsidR="003B1403" w:rsidRPr="0071782F">
        <w:rPr>
          <w:lang w:val="fr-CH"/>
        </w:rPr>
        <w:t>de rials</w:t>
      </w:r>
      <w:r w:rsidR="006D520C" w:rsidRPr="0071782F">
        <w:rPr>
          <w:lang w:val="fr-CH"/>
        </w:rPr>
        <w:t xml:space="preserve">, en prix constants de </w:t>
      </w:r>
      <w:r w:rsidRPr="0071782F">
        <w:rPr>
          <w:lang w:val="fr-CH"/>
        </w:rPr>
        <w:t xml:space="preserve">1996, </w:t>
      </w:r>
      <w:r w:rsidR="006D520C" w:rsidRPr="0071782F">
        <w:rPr>
          <w:lang w:val="fr-CH"/>
        </w:rPr>
        <w:t xml:space="preserve">ce qui représente une croissance de </w:t>
      </w:r>
      <w:r w:rsidRPr="0071782F">
        <w:rPr>
          <w:lang w:val="fr-CH"/>
        </w:rPr>
        <w:t>4</w:t>
      </w:r>
      <w:r w:rsidR="006D520C" w:rsidRPr="0071782F">
        <w:rPr>
          <w:lang w:val="fr-CH"/>
        </w:rPr>
        <w:t>,</w:t>
      </w:r>
      <w:r w:rsidRPr="0071782F">
        <w:rPr>
          <w:lang w:val="fr-CH"/>
        </w:rPr>
        <w:t>7</w:t>
      </w:r>
      <w:r w:rsidR="007E5125" w:rsidRPr="0071782F">
        <w:rPr>
          <w:lang w:val="fr-CH"/>
        </w:rPr>
        <w:t>%</w:t>
      </w:r>
      <w:r w:rsidRPr="0071782F">
        <w:rPr>
          <w:lang w:val="fr-CH"/>
        </w:rPr>
        <w:t xml:space="preserve"> </w:t>
      </w:r>
      <w:r w:rsidR="006D520C" w:rsidRPr="0071782F">
        <w:rPr>
          <w:lang w:val="fr-CH"/>
        </w:rPr>
        <w:t>par rapport à l’année antérieure</w:t>
      </w:r>
      <w:r w:rsidRPr="0071782F">
        <w:rPr>
          <w:lang w:val="fr-CH"/>
        </w:rPr>
        <w:t xml:space="preserve">. </w:t>
      </w:r>
      <w:r w:rsidR="006D520C" w:rsidRPr="0071782F">
        <w:rPr>
          <w:lang w:val="fr-CH"/>
        </w:rPr>
        <w:t xml:space="preserve">On voit que les performances de ce secteur ont été inférieures à l’objectif prévu par le </w:t>
      </w:r>
      <w:r w:rsidR="00A90208" w:rsidRPr="0071782F">
        <w:rPr>
          <w:lang w:val="fr-CH"/>
        </w:rPr>
        <w:t>quatrième</w:t>
      </w:r>
      <w:r w:rsidR="006D520C" w:rsidRPr="0071782F">
        <w:rPr>
          <w:lang w:val="fr-CH"/>
        </w:rPr>
        <w:t xml:space="preserve"> plan de développement </w:t>
      </w:r>
      <w:r w:rsidRPr="0071782F">
        <w:rPr>
          <w:lang w:val="fr-CH"/>
        </w:rPr>
        <w:t>(6</w:t>
      </w:r>
      <w:r w:rsidR="006D520C" w:rsidRPr="0071782F">
        <w:rPr>
          <w:lang w:val="fr-CH"/>
        </w:rPr>
        <w:t>,</w:t>
      </w:r>
      <w:r w:rsidRPr="0071782F">
        <w:rPr>
          <w:lang w:val="fr-CH"/>
        </w:rPr>
        <w:t>5</w:t>
      </w:r>
      <w:r w:rsidR="007E5125" w:rsidRPr="0071782F">
        <w:rPr>
          <w:lang w:val="fr-CH"/>
        </w:rPr>
        <w:t>%</w:t>
      </w:r>
      <w:r w:rsidRPr="0071782F">
        <w:rPr>
          <w:lang w:val="fr-CH"/>
        </w:rPr>
        <w:t xml:space="preserve">). </w:t>
      </w:r>
      <w:r w:rsidR="006D520C" w:rsidRPr="0071782F">
        <w:rPr>
          <w:lang w:val="fr-CH"/>
        </w:rPr>
        <w:t>La part de ce secteur dans le PIB</w:t>
      </w:r>
      <w:r w:rsidRPr="0071782F">
        <w:rPr>
          <w:lang w:val="fr-CH"/>
        </w:rPr>
        <w:t xml:space="preserve"> </w:t>
      </w:r>
      <w:r w:rsidR="006D520C" w:rsidRPr="0071782F">
        <w:rPr>
          <w:lang w:val="fr-CH"/>
        </w:rPr>
        <w:t>a été de 14</w:t>
      </w:r>
      <w:r w:rsidR="007E5125" w:rsidRPr="0071782F">
        <w:rPr>
          <w:lang w:val="fr-CH"/>
        </w:rPr>
        <w:t>%</w:t>
      </w:r>
      <w:r w:rsidR="007A1E2D">
        <w:rPr>
          <w:lang w:val="fr-CH"/>
        </w:rPr>
        <w:t xml:space="preserve"> en </w:t>
      </w:r>
      <w:r w:rsidRPr="0071782F">
        <w:rPr>
          <w:lang w:val="fr-CH"/>
        </w:rPr>
        <w:t>2006</w:t>
      </w:r>
      <w:r w:rsidR="006D520C" w:rsidRPr="0071782F">
        <w:rPr>
          <w:lang w:val="fr-CH"/>
        </w:rPr>
        <w:t>,</w:t>
      </w:r>
      <w:r w:rsidRPr="0071782F">
        <w:rPr>
          <w:lang w:val="fr-CH"/>
        </w:rPr>
        <w:t xml:space="preserve"> </w:t>
      </w:r>
      <w:r w:rsidR="006D520C" w:rsidRPr="0071782F">
        <w:rPr>
          <w:lang w:val="fr-CH"/>
        </w:rPr>
        <w:t xml:space="preserve">en légère baisse par rapport à l’année antérieure </w:t>
      </w:r>
      <w:r w:rsidRPr="0071782F">
        <w:rPr>
          <w:lang w:val="fr-CH"/>
        </w:rPr>
        <w:t>(14</w:t>
      </w:r>
      <w:r w:rsidR="006D520C" w:rsidRPr="0071782F">
        <w:rPr>
          <w:lang w:val="fr-CH"/>
        </w:rPr>
        <w:t>,</w:t>
      </w:r>
      <w:r w:rsidRPr="0071782F">
        <w:rPr>
          <w:lang w:val="fr-CH"/>
        </w:rPr>
        <w:t>2</w:t>
      </w:r>
      <w:r w:rsidR="007E5125" w:rsidRPr="0071782F">
        <w:rPr>
          <w:lang w:val="fr-CH"/>
        </w:rPr>
        <w:t>%</w:t>
      </w:r>
      <w:r w:rsidRPr="0071782F">
        <w:rPr>
          <w:lang w:val="fr-CH"/>
        </w:rPr>
        <w:t>).</w:t>
      </w:r>
    </w:p>
    <w:p w:rsidR="008A7415" w:rsidRPr="0071782F" w:rsidRDefault="008A7415" w:rsidP="00033DC4">
      <w:pPr>
        <w:pStyle w:val="SingleTxtG"/>
        <w:ind w:left="1701"/>
        <w:rPr>
          <w:lang w:val="fr-CH"/>
        </w:rPr>
      </w:pPr>
      <w:r w:rsidRPr="0071782F">
        <w:rPr>
          <w:lang w:val="fr-CH"/>
        </w:rPr>
        <w:t>233.2.</w:t>
      </w:r>
      <w:r w:rsidRPr="0071782F">
        <w:rPr>
          <w:lang w:val="fr-CH"/>
        </w:rPr>
        <w:tab/>
      </w:r>
      <w:r w:rsidR="006D520C" w:rsidRPr="0071782F">
        <w:rPr>
          <w:lang w:val="fr-CH"/>
        </w:rPr>
        <w:t xml:space="preserve">Selon les statistiques du Bureau de la planification et de la gestion </w:t>
      </w:r>
      <w:r w:rsidRPr="0071782F">
        <w:rPr>
          <w:lang w:val="fr-CH"/>
        </w:rPr>
        <w:t>macro</w:t>
      </w:r>
      <w:r w:rsidR="006D520C" w:rsidRPr="0071782F">
        <w:rPr>
          <w:lang w:val="fr-CH"/>
        </w:rPr>
        <w:t>économiques</w:t>
      </w:r>
      <w:r w:rsidRPr="0071782F">
        <w:rPr>
          <w:lang w:val="fr-CH"/>
        </w:rPr>
        <w:t xml:space="preserve"> </w:t>
      </w:r>
      <w:r w:rsidR="006D520C" w:rsidRPr="0071782F">
        <w:rPr>
          <w:lang w:val="fr-CH"/>
        </w:rPr>
        <w:t xml:space="preserve">et les résultats du recensement de </w:t>
      </w:r>
      <w:r w:rsidRPr="0071782F">
        <w:rPr>
          <w:lang w:val="fr-CH"/>
        </w:rPr>
        <w:t xml:space="preserve">2006, </w:t>
      </w:r>
      <w:r w:rsidR="006D520C" w:rsidRPr="0071782F">
        <w:rPr>
          <w:lang w:val="fr-CH"/>
        </w:rPr>
        <w:t xml:space="preserve">le </w:t>
      </w:r>
      <w:r w:rsidR="003B48A4" w:rsidRPr="0071782F">
        <w:rPr>
          <w:lang w:val="fr-CH"/>
        </w:rPr>
        <w:t>nombre</w:t>
      </w:r>
      <w:r w:rsidRPr="0071782F">
        <w:rPr>
          <w:lang w:val="fr-CH"/>
        </w:rPr>
        <w:t xml:space="preserve"> </w:t>
      </w:r>
      <w:r w:rsidR="00D82C96" w:rsidRPr="0071782F">
        <w:rPr>
          <w:lang w:val="fr-CH"/>
        </w:rPr>
        <w:t>de personnes</w:t>
      </w:r>
      <w:r w:rsidR="006D520C" w:rsidRPr="0071782F">
        <w:rPr>
          <w:lang w:val="fr-CH"/>
        </w:rPr>
        <w:t xml:space="preserve"> </w:t>
      </w:r>
      <w:r w:rsidRPr="0071782F">
        <w:rPr>
          <w:lang w:val="fr-CH"/>
        </w:rPr>
        <w:t>employ</w:t>
      </w:r>
      <w:r w:rsidR="006D520C" w:rsidRPr="0071782F">
        <w:rPr>
          <w:lang w:val="fr-CH"/>
        </w:rPr>
        <w:t>ées dans le secteur de l’</w:t>
      </w:r>
      <w:r w:rsidRPr="0071782F">
        <w:rPr>
          <w:lang w:val="fr-CH"/>
        </w:rPr>
        <w:t xml:space="preserve">agriculture </w:t>
      </w:r>
      <w:r w:rsidR="006D520C" w:rsidRPr="0071782F">
        <w:rPr>
          <w:lang w:val="fr-CH"/>
        </w:rPr>
        <w:t>s’est établi à 3 687</w:t>
      </w:r>
      <w:r w:rsidR="001D01B5" w:rsidRPr="0071782F">
        <w:rPr>
          <w:lang w:val="fr-CH"/>
        </w:rPr>
        <w:t> </w:t>
      </w:r>
      <w:r w:rsidR="006D520C" w:rsidRPr="0071782F">
        <w:rPr>
          <w:lang w:val="fr-CH"/>
        </w:rPr>
        <w:t>000 en 2006 après avoir augmenté de 59</w:t>
      </w:r>
      <w:r w:rsidR="003D43D2">
        <w:rPr>
          <w:lang w:val="fr-CH"/>
        </w:rPr>
        <w:t> </w:t>
      </w:r>
      <w:r w:rsidR="006D520C" w:rsidRPr="0071782F">
        <w:rPr>
          <w:lang w:val="fr-CH"/>
        </w:rPr>
        <w:t>000</w:t>
      </w:r>
      <w:r w:rsidR="00097CDB" w:rsidRPr="0071782F">
        <w:rPr>
          <w:lang w:val="fr-CH"/>
        </w:rPr>
        <w:t> personnes</w:t>
      </w:r>
      <w:r w:rsidR="006D520C" w:rsidRPr="0071782F">
        <w:rPr>
          <w:lang w:val="fr-CH"/>
        </w:rPr>
        <w:t xml:space="preserve"> (soit 1,6</w:t>
      </w:r>
      <w:r w:rsidR="007E5125" w:rsidRPr="0071782F">
        <w:rPr>
          <w:lang w:val="fr-CH"/>
        </w:rPr>
        <w:t>%</w:t>
      </w:r>
      <w:r w:rsidR="006D520C" w:rsidRPr="0071782F">
        <w:rPr>
          <w:lang w:val="fr-CH"/>
        </w:rPr>
        <w:t xml:space="preserve">). La même année, la croissance de la </w:t>
      </w:r>
      <w:r w:rsidRPr="0071782F">
        <w:rPr>
          <w:lang w:val="fr-CH"/>
        </w:rPr>
        <w:t>pr</w:t>
      </w:r>
      <w:r w:rsidR="006D520C" w:rsidRPr="0071782F">
        <w:rPr>
          <w:lang w:val="fr-CH"/>
        </w:rPr>
        <w:t>oductivité de la main-d’</w:t>
      </w:r>
      <w:r w:rsidR="00D5366B" w:rsidRPr="0071782F">
        <w:rPr>
          <w:lang w:val="fr-CH"/>
        </w:rPr>
        <w:t>œuvre</w:t>
      </w:r>
      <w:r w:rsidR="006D520C" w:rsidRPr="0071782F">
        <w:rPr>
          <w:lang w:val="fr-CH"/>
        </w:rPr>
        <w:t xml:space="preserve"> de ce secteur a été de </w:t>
      </w:r>
      <w:r w:rsidRPr="0071782F">
        <w:rPr>
          <w:lang w:val="fr-CH"/>
        </w:rPr>
        <w:t>5</w:t>
      </w:r>
      <w:r w:rsidR="006D520C" w:rsidRPr="0071782F">
        <w:rPr>
          <w:lang w:val="fr-CH"/>
        </w:rPr>
        <w:t>,</w:t>
      </w:r>
      <w:r w:rsidRPr="0071782F">
        <w:rPr>
          <w:lang w:val="fr-CH"/>
        </w:rPr>
        <w:t>2</w:t>
      </w:r>
      <w:r w:rsidR="007E5125" w:rsidRPr="0071782F">
        <w:rPr>
          <w:lang w:val="fr-CH"/>
        </w:rPr>
        <w:t>%</w:t>
      </w:r>
      <w:r w:rsidRPr="0071782F">
        <w:rPr>
          <w:lang w:val="fr-CH"/>
        </w:rPr>
        <w:t xml:space="preserve">, </w:t>
      </w:r>
      <w:r w:rsidR="006D520C" w:rsidRPr="0071782F">
        <w:rPr>
          <w:lang w:val="fr-CH"/>
        </w:rPr>
        <w:t xml:space="preserve">ce qui a dépassé l’objectif fixé par le </w:t>
      </w:r>
      <w:r w:rsidR="00A90208" w:rsidRPr="0071782F">
        <w:rPr>
          <w:lang w:val="fr-CH"/>
        </w:rPr>
        <w:t>quatrième</w:t>
      </w:r>
      <w:r w:rsidR="006D520C" w:rsidRPr="0071782F">
        <w:rPr>
          <w:lang w:val="fr-CH"/>
        </w:rPr>
        <w:t xml:space="preserve"> plan </w:t>
      </w:r>
      <w:r w:rsidRPr="0071782F">
        <w:rPr>
          <w:lang w:val="fr-CH"/>
        </w:rPr>
        <w:t>(4</w:t>
      </w:r>
      <w:r w:rsidR="006D520C" w:rsidRPr="0071782F">
        <w:rPr>
          <w:lang w:val="fr-CH"/>
        </w:rPr>
        <w:t>,</w:t>
      </w:r>
      <w:r w:rsidRPr="0071782F">
        <w:rPr>
          <w:lang w:val="fr-CH"/>
        </w:rPr>
        <w:t>6</w:t>
      </w:r>
      <w:r w:rsidR="007E5125" w:rsidRPr="0071782F">
        <w:rPr>
          <w:lang w:val="fr-CH"/>
        </w:rPr>
        <w:t>%</w:t>
      </w:r>
      <w:r w:rsidRPr="0071782F">
        <w:rPr>
          <w:lang w:val="fr-CH"/>
        </w:rPr>
        <w:t>).</w:t>
      </w:r>
    </w:p>
    <w:p w:rsidR="008A7415" w:rsidRPr="0071782F" w:rsidRDefault="008A7415" w:rsidP="00033DC4">
      <w:pPr>
        <w:pStyle w:val="SingleTxtG"/>
        <w:ind w:left="1701"/>
        <w:rPr>
          <w:lang w:val="fr-CH"/>
        </w:rPr>
      </w:pPr>
      <w:r w:rsidRPr="0071782F">
        <w:rPr>
          <w:lang w:val="fr-CH"/>
        </w:rPr>
        <w:t>233.3.</w:t>
      </w:r>
      <w:r w:rsidRPr="0071782F">
        <w:rPr>
          <w:lang w:val="fr-CH"/>
        </w:rPr>
        <w:tab/>
      </w:r>
      <w:r w:rsidR="006D520C" w:rsidRPr="0071782F">
        <w:rPr>
          <w:lang w:val="fr-CH"/>
        </w:rPr>
        <w:t xml:space="preserve">Selon les statistiques de l’Administration des douanes, quelque </w:t>
      </w:r>
      <w:r w:rsidRPr="0071782F">
        <w:rPr>
          <w:lang w:val="fr-CH"/>
        </w:rPr>
        <w:t>1</w:t>
      </w:r>
      <w:r w:rsidR="006D520C" w:rsidRPr="0071782F">
        <w:rPr>
          <w:lang w:val="fr-CH"/>
        </w:rPr>
        <w:t> </w:t>
      </w:r>
      <w:r w:rsidRPr="0071782F">
        <w:rPr>
          <w:lang w:val="fr-CH"/>
        </w:rPr>
        <w:t>529</w:t>
      </w:r>
      <w:r w:rsidR="001D01B5" w:rsidRPr="0071782F">
        <w:rPr>
          <w:lang w:val="fr-CH"/>
        </w:rPr>
        <w:t> </w:t>
      </w:r>
      <w:r w:rsidR="006D520C" w:rsidRPr="0071782F">
        <w:rPr>
          <w:lang w:val="fr-CH"/>
        </w:rPr>
        <w:t>20</w:t>
      </w:r>
      <w:r w:rsidRPr="0071782F">
        <w:rPr>
          <w:lang w:val="fr-CH"/>
        </w:rPr>
        <w:t>0</w:t>
      </w:r>
      <w:r w:rsidR="00D3560C" w:rsidRPr="0071782F">
        <w:rPr>
          <w:lang w:val="fr-CH"/>
        </w:rPr>
        <w:t> </w:t>
      </w:r>
      <w:r w:rsidR="006A6DB9">
        <w:rPr>
          <w:lang w:val="fr-CH"/>
        </w:rPr>
        <w:t xml:space="preserve">t </w:t>
      </w:r>
      <w:r w:rsidR="006D520C" w:rsidRPr="0071782F">
        <w:rPr>
          <w:lang w:val="fr-CH"/>
        </w:rPr>
        <w:t xml:space="preserve">de produits agricoles divers d’une valeur de </w:t>
      </w:r>
      <w:r w:rsidRPr="0071782F">
        <w:rPr>
          <w:lang w:val="fr-CH"/>
        </w:rPr>
        <w:t>2</w:t>
      </w:r>
      <w:r w:rsidR="00221B71" w:rsidRPr="0071782F">
        <w:rPr>
          <w:lang w:val="fr-CH"/>
        </w:rPr>
        <w:t>,</w:t>
      </w:r>
      <w:r w:rsidRPr="0071782F">
        <w:rPr>
          <w:lang w:val="fr-CH"/>
        </w:rPr>
        <w:t>0698</w:t>
      </w:r>
      <w:r w:rsidR="008553D9" w:rsidRPr="0071782F">
        <w:rPr>
          <w:lang w:val="fr-CH"/>
        </w:rPr>
        <w:t> milliard</w:t>
      </w:r>
      <w:r w:rsidR="00097CDB" w:rsidRPr="0071782F">
        <w:rPr>
          <w:lang w:val="fr-CH"/>
        </w:rPr>
        <w:t>s</w:t>
      </w:r>
      <w:r w:rsidR="006D520C" w:rsidRPr="0071782F">
        <w:rPr>
          <w:lang w:val="fr-CH"/>
        </w:rPr>
        <w:t xml:space="preserve"> de</w:t>
      </w:r>
      <w:r w:rsidRPr="0071782F">
        <w:rPr>
          <w:lang w:val="fr-CH"/>
        </w:rPr>
        <w:t xml:space="preserve"> dollars </w:t>
      </w:r>
      <w:r w:rsidR="006D520C" w:rsidRPr="0071782F">
        <w:rPr>
          <w:lang w:val="fr-CH"/>
        </w:rPr>
        <w:t>ont été exportées au cours des neuf derniers</w:t>
      </w:r>
      <w:r w:rsidR="001D01B5" w:rsidRPr="0071782F">
        <w:rPr>
          <w:lang w:val="fr-CH"/>
        </w:rPr>
        <w:t xml:space="preserve"> </w:t>
      </w:r>
      <w:r w:rsidR="001F3F05" w:rsidRPr="0071782F">
        <w:rPr>
          <w:lang w:val="fr-CH"/>
        </w:rPr>
        <w:t>mois</w:t>
      </w:r>
      <w:r w:rsidR="006D520C" w:rsidRPr="0071782F">
        <w:rPr>
          <w:lang w:val="fr-CH"/>
        </w:rPr>
        <w:t xml:space="preserve"> de </w:t>
      </w:r>
      <w:r w:rsidRPr="0071782F">
        <w:rPr>
          <w:lang w:val="fr-CH"/>
        </w:rPr>
        <w:t xml:space="preserve">2006 </w:t>
      </w:r>
      <w:r w:rsidR="006D520C" w:rsidRPr="0071782F">
        <w:rPr>
          <w:lang w:val="fr-CH"/>
        </w:rPr>
        <w:t>et les trois premiers</w:t>
      </w:r>
      <w:r w:rsidR="001D01B5" w:rsidRPr="0071782F">
        <w:rPr>
          <w:lang w:val="fr-CH"/>
        </w:rPr>
        <w:t xml:space="preserve"> </w:t>
      </w:r>
      <w:r w:rsidR="001F3F05" w:rsidRPr="0071782F">
        <w:rPr>
          <w:lang w:val="fr-CH"/>
        </w:rPr>
        <w:t>mois</w:t>
      </w:r>
      <w:r w:rsidR="006D520C" w:rsidRPr="0071782F">
        <w:rPr>
          <w:lang w:val="fr-CH"/>
        </w:rPr>
        <w:t xml:space="preserve"> de</w:t>
      </w:r>
      <w:r w:rsidR="003D43D2">
        <w:rPr>
          <w:lang w:val="fr-CH"/>
        </w:rPr>
        <w:t> </w:t>
      </w:r>
      <w:r w:rsidRPr="0071782F">
        <w:rPr>
          <w:lang w:val="fr-CH"/>
        </w:rPr>
        <w:t xml:space="preserve">2007, </w:t>
      </w:r>
      <w:r w:rsidR="006D520C" w:rsidRPr="0071782F">
        <w:rPr>
          <w:lang w:val="fr-CH"/>
        </w:rPr>
        <w:t>soit u</w:t>
      </w:r>
      <w:r w:rsidR="00221B71" w:rsidRPr="0071782F">
        <w:rPr>
          <w:lang w:val="fr-CH"/>
        </w:rPr>
        <w:t>ne</w:t>
      </w:r>
      <w:r w:rsidR="006D520C" w:rsidRPr="0071782F">
        <w:rPr>
          <w:lang w:val="fr-CH"/>
        </w:rPr>
        <w:t xml:space="preserve"> augmentation de </w:t>
      </w:r>
      <w:r w:rsidRPr="0071782F">
        <w:rPr>
          <w:lang w:val="fr-CH"/>
        </w:rPr>
        <w:t>43</w:t>
      </w:r>
      <w:r w:rsidR="006D520C" w:rsidRPr="0071782F">
        <w:rPr>
          <w:lang w:val="fr-CH"/>
        </w:rPr>
        <w:t>,</w:t>
      </w:r>
      <w:r w:rsidRPr="0071782F">
        <w:rPr>
          <w:lang w:val="fr-CH"/>
        </w:rPr>
        <w:t>8</w:t>
      </w:r>
      <w:r w:rsidR="007E5125" w:rsidRPr="0071782F">
        <w:rPr>
          <w:lang w:val="fr-CH"/>
        </w:rPr>
        <w:t>%</w:t>
      </w:r>
      <w:r w:rsidRPr="0071782F">
        <w:rPr>
          <w:lang w:val="fr-CH"/>
        </w:rPr>
        <w:t xml:space="preserve"> </w:t>
      </w:r>
      <w:r w:rsidR="006D520C" w:rsidRPr="0071782F">
        <w:rPr>
          <w:lang w:val="fr-CH"/>
        </w:rPr>
        <w:t xml:space="preserve">en volume et de </w:t>
      </w:r>
      <w:r w:rsidRPr="0071782F">
        <w:rPr>
          <w:lang w:val="fr-CH"/>
        </w:rPr>
        <w:t>25</w:t>
      </w:r>
      <w:r w:rsidR="006D520C" w:rsidRPr="0071782F">
        <w:rPr>
          <w:lang w:val="fr-CH"/>
        </w:rPr>
        <w:t>,</w:t>
      </w:r>
      <w:r w:rsidRPr="0071782F">
        <w:rPr>
          <w:lang w:val="fr-CH"/>
        </w:rPr>
        <w:t>4</w:t>
      </w:r>
      <w:r w:rsidR="007E5125" w:rsidRPr="0071782F">
        <w:rPr>
          <w:lang w:val="fr-CH"/>
        </w:rPr>
        <w:t>%</w:t>
      </w:r>
      <w:r w:rsidRPr="0071782F">
        <w:rPr>
          <w:lang w:val="fr-CH"/>
        </w:rPr>
        <w:t xml:space="preserve"> </w:t>
      </w:r>
      <w:r w:rsidR="006D520C" w:rsidRPr="0071782F">
        <w:rPr>
          <w:lang w:val="fr-CH"/>
        </w:rPr>
        <w:t>en valeur par rapport à la période correspondante de l’année antérieure.</w:t>
      </w:r>
      <w:r w:rsidRPr="0071782F">
        <w:rPr>
          <w:lang w:val="fr-CH"/>
        </w:rPr>
        <w:t xml:space="preserve"> </w:t>
      </w:r>
      <w:r w:rsidR="006D520C" w:rsidRPr="0071782F">
        <w:rPr>
          <w:lang w:val="fr-CH"/>
        </w:rPr>
        <w:t xml:space="preserve">On voit que les performances de ce secteur ont été supérieures à l’objectif prévu par le </w:t>
      </w:r>
      <w:r w:rsidR="00A90208" w:rsidRPr="0071782F">
        <w:rPr>
          <w:lang w:val="fr-CH"/>
        </w:rPr>
        <w:t>quatrième</w:t>
      </w:r>
      <w:r w:rsidR="006D520C" w:rsidRPr="0071782F">
        <w:rPr>
          <w:lang w:val="fr-CH"/>
        </w:rPr>
        <w:t xml:space="preserve"> plan de développement pour l’année considérée </w:t>
      </w:r>
      <w:r w:rsidRPr="0071782F">
        <w:rPr>
          <w:lang w:val="fr-CH"/>
        </w:rPr>
        <w:t>(export</w:t>
      </w:r>
      <w:r w:rsidR="006D520C" w:rsidRPr="0071782F">
        <w:rPr>
          <w:lang w:val="fr-CH"/>
        </w:rPr>
        <w:t xml:space="preserve">ation de produits agricoles pour une valeur de </w:t>
      </w:r>
      <w:r w:rsidRPr="0071782F">
        <w:rPr>
          <w:lang w:val="fr-CH"/>
        </w:rPr>
        <w:t>1</w:t>
      </w:r>
      <w:r w:rsidR="00221B71" w:rsidRPr="0071782F">
        <w:rPr>
          <w:lang w:val="fr-CH"/>
        </w:rPr>
        <w:t>,</w:t>
      </w:r>
      <w:r w:rsidRPr="0071782F">
        <w:rPr>
          <w:lang w:val="fr-CH"/>
        </w:rPr>
        <w:t>516</w:t>
      </w:r>
      <w:r w:rsidR="008553D9" w:rsidRPr="0071782F">
        <w:rPr>
          <w:lang w:val="fr-CH"/>
        </w:rPr>
        <w:t> milliard</w:t>
      </w:r>
      <w:r w:rsidR="006D520C" w:rsidRPr="0071782F">
        <w:rPr>
          <w:lang w:val="fr-CH"/>
        </w:rPr>
        <w:t xml:space="preserve"> de</w:t>
      </w:r>
      <w:r w:rsidRPr="0071782F">
        <w:rPr>
          <w:lang w:val="fr-CH"/>
        </w:rPr>
        <w:t xml:space="preserve"> dollars).</w:t>
      </w:r>
    </w:p>
    <w:p w:rsidR="008A7415" w:rsidRPr="0071782F" w:rsidRDefault="008A7415" w:rsidP="00204410">
      <w:pPr>
        <w:pStyle w:val="H1G"/>
        <w:rPr>
          <w:lang w:val="fr-CH"/>
        </w:rPr>
      </w:pPr>
      <w:r w:rsidRPr="0071782F">
        <w:rPr>
          <w:lang w:val="fr-CH"/>
        </w:rPr>
        <w:tab/>
      </w:r>
      <w:r w:rsidRPr="0071782F">
        <w:rPr>
          <w:lang w:val="fr-CH"/>
        </w:rPr>
        <w:tab/>
      </w:r>
      <w:r w:rsidR="006D520C" w:rsidRPr="0071782F">
        <w:rPr>
          <w:lang w:val="fr-CH"/>
        </w:rPr>
        <w:t xml:space="preserve">Agriculture et horticulture </w:t>
      </w:r>
    </w:p>
    <w:p w:rsidR="008A7415" w:rsidRPr="0071782F" w:rsidRDefault="008A7415" w:rsidP="00204410">
      <w:pPr>
        <w:pStyle w:val="SingleTxtG"/>
        <w:rPr>
          <w:lang w:val="fr-CH"/>
        </w:rPr>
      </w:pPr>
      <w:r w:rsidRPr="0071782F">
        <w:rPr>
          <w:lang w:val="fr-CH"/>
        </w:rPr>
        <w:t>234.</w:t>
      </w:r>
      <w:r w:rsidRPr="0071782F">
        <w:rPr>
          <w:lang w:val="fr-CH"/>
        </w:rPr>
        <w:tab/>
      </w:r>
      <w:r w:rsidR="00221B71" w:rsidRPr="0071782F">
        <w:rPr>
          <w:lang w:val="fr-CH"/>
        </w:rPr>
        <w:t>À ce sujet, il convient de noter ce qui suit</w:t>
      </w:r>
      <w:r w:rsidR="008F7D33" w:rsidRPr="0071782F">
        <w:rPr>
          <w:lang w:val="fr-CH"/>
        </w:rPr>
        <w:t>:</w:t>
      </w:r>
      <w:r w:rsidR="006D520C" w:rsidRPr="0071782F">
        <w:rPr>
          <w:lang w:val="fr-CH"/>
        </w:rPr>
        <w:t xml:space="preserve"> </w:t>
      </w:r>
    </w:p>
    <w:p w:rsidR="008A7415" w:rsidRPr="0071782F" w:rsidRDefault="008A7415" w:rsidP="00E5244D">
      <w:pPr>
        <w:pStyle w:val="SingleTxtG"/>
        <w:ind w:left="1701"/>
        <w:rPr>
          <w:lang w:val="fr-CH"/>
        </w:rPr>
      </w:pPr>
      <w:r w:rsidRPr="0071782F">
        <w:rPr>
          <w:lang w:val="fr-CH"/>
        </w:rPr>
        <w:t>234.1.</w:t>
      </w:r>
      <w:r w:rsidRPr="0071782F">
        <w:rPr>
          <w:lang w:val="fr-CH"/>
        </w:rPr>
        <w:tab/>
      </w:r>
      <w:r w:rsidR="006D520C" w:rsidRPr="0071782F">
        <w:rPr>
          <w:lang w:val="fr-CH"/>
        </w:rPr>
        <w:t>La réalisation de l’autosuffisance en matière de produits agricoles essentiels est l’un des principaux objectifs du développement du secteur de l’</w:t>
      </w:r>
      <w:r w:rsidRPr="0071782F">
        <w:rPr>
          <w:lang w:val="fr-CH"/>
        </w:rPr>
        <w:t xml:space="preserve">agriculture </w:t>
      </w:r>
      <w:r w:rsidR="006D520C" w:rsidRPr="0071782F">
        <w:rPr>
          <w:lang w:val="fr-CH"/>
        </w:rPr>
        <w:t xml:space="preserve">dans le cadre du </w:t>
      </w:r>
      <w:r w:rsidR="00A90208" w:rsidRPr="0071782F">
        <w:rPr>
          <w:lang w:val="fr-CH"/>
        </w:rPr>
        <w:t>quatrième</w:t>
      </w:r>
      <w:r w:rsidR="006D520C" w:rsidRPr="0071782F">
        <w:rPr>
          <w:lang w:val="fr-CH"/>
        </w:rPr>
        <w:t xml:space="preserve"> plan de développement, qui vise notamment à promouvoir la sécurité alimentaire</w:t>
      </w:r>
      <w:r w:rsidRPr="0071782F">
        <w:rPr>
          <w:lang w:val="fr-CH"/>
        </w:rPr>
        <w:t>.</w:t>
      </w:r>
    </w:p>
    <w:p w:rsidR="008A7415" w:rsidRPr="0071782F" w:rsidRDefault="008A7415" w:rsidP="00E5244D">
      <w:pPr>
        <w:pStyle w:val="SingleTxtG"/>
        <w:ind w:left="1701"/>
        <w:rPr>
          <w:lang w:val="fr-CH"/>
        </w:rPr>
      </w:pPr>
      <w:r w:rsidRPr="0071782F">
        <w:rPr>
          <w:lang w:val="fr-CH"/>
        </w:rPr>
        <w:t>234.2.</w:t>
      </w:r>
      <w:r w:rsidRPr="0071782F">
        <w:rPr>
          <w:lang w:val="fr-CH"/>
        </w:rPr>
        <w:tab/>
      </w:r>
      <w:r w:rsidR="006D520C" w:rsidRPr="0071782F">
        <w:rPr>
          <w:lang w:val="fr-CH"/>
        </w:rPr>
        <w:t>L’examen des résultats enregistrés pour ces produits en 2006 montre que la production de blé (14 586</w:t>
      </w:r>
      <w:r w:rsidR="001D01B5" w:rsidRPr="0071782F">
        <w:rPr>
          <w:lang w:val="fr-CH"/>
        </w:rPr>
        <w:t> </w:t>
      </w:r>
      <w:r w:rsidR="006D520C" w:rsidRPr="0071782F">
        <w:rPr>
          <w:lang w:val="fr-CH"/>
        </w:rPr>
        <w:t>000</w:t>
      </w:r>
      <w:r w:rsidR="00D3560C" w:rsidRPr="0071782F">
        <w:rPr>
          <w:lang w:val="fr-CH"/>
        </w:rPr>
        <w:t> t</w:t>
      </w:r>
      <w:r w:rsidR="006D520C" w:rsidRPr="0071782F">
        <w:rPr>
          <w:lang w:val="fr-CH"/>
        </w:rPr>
        <w:t>) et de riz (3 150</w:t>
      </w:r>
      <w:r w:rsidR="001D01B5" w:rsidRPr="0071782F">
        <w:rPr>
          <w:lang w:val="fr-CH"/>
        </w:rPr>
        <w:t> </w:t>
      </w:r>
      <w:r w:rsidR="006D520C" w:rsidRPr="0071782F">
        <w:rPr>
          <w:lang w:val="fr-CH"/>
        </w:rPr>
        <w:t>000</w:t>
      </w:r>
      <w:r w:rsidR="00D3560C" w:rsidRPr="0071782F">
        <w:rPr>
          <w:lang w:val="fr-CH"/>
        </w:rPr>
        <w:t> t</w:t>
      </w:r>
      <w:r w:rsidR="006D520C" w:rsidRPr="0071782F">
        <w:rPr>
          <w:lang w:val="fr-CH"/>
        </w:rPr>
        <w:t xml:space="preserve">) a atteint les objectifs prévus par le </w:t>
      </w:r>
      <w:r w:rsidR="00A90208" w:rsidRPr="0071782F">
        <w:rPr>
          <w:lang w:val="fr-CH"/>
        </w:rPr>
        <w:t>quatrième</w:t>
      </w:r>
      <w:r w:rsidR="006D520C" w:rsidRPr="0071782F">
        <w:rPr>
          <w:lang w:val="fr-CH"/>
        </w:rPr>
        <w:t xml:space="preserve"> plan de développement</w:t>
      </w:r>
      <w:r w:rsidRPr="0071782F">
        <w:rPr>
          <w:lang w:val="fr-CH"/>
        </w:rPr>
        <w:t xml:space="preserve">. </w:t>
      </w:r>
      <w:r w:rsidR="006D520C" w:rsidRPr="0071782F">
        <w:rPr>
          <w:lang w:val="fr-CH"/>
        </w:rPr>
        <w:t>En ce qui concerne les graines oléagineuses (505</w:t>
      </w:r>
      <w:r w:rsidR="009E6189">
        <w:rPr>
          <w:lang w:val="fr-CH"/>
        </w:rPr>
        <w:t> </w:t>
      </w:r>
      <w:r w:rsidR="006D520C" w:rsidRPr="0071782F">
        <w:rPr>
          <w:lang w:val="fr-CH"/>
        </w:rPr>
        <w:t>000</w:t>
      </w:r>
      <w:r w:rsidR="00D3560C" w:rsidRPr="0071782F">
        <w:rPr>
          <w:lang w:val="fr-CH"/>
        </w:rPr>
        <w:t> t</w:t>
      </w:r>
      <w:r w:rsidR="006D520C" w:rsidRPr="0071782F">
        <w:rPr>
          <w:lang w:val="fr-CH"/>
        </w:rPr>
        <w:t>), le niveau de production a été</w:t>
      </w:r>
      <w:r w:rsidR="001D01B5" w:rsidRPr="0071782F">
        <w:rPr>
          <w:lang w:val="fr-CH"/>
        </w:rPr>
        <w:t xml:space="preserve"> inférieur à l’objectif prévu. </w:t>
      </w:r>
    </w:p>
    <w:p w:rsidR="008A7415" w:rsidRPr="0071782F" w:rsidRDefault="008A7415" w:rsidP="00E5244D">
      <w:pPr>
        <w:pStyle w:val="SingleTxtG"/>
        <w:ind w:left="1701"/>
        <w:rPr>
          <w:lang w:val="fr-CH"/>
        </w:rPr>
      </w:pPr>
      <w:r w:rsidRPr="0071782F">
        <w:rPr>
          <w:lang w:val="fr-CH"/>
        </w:rPr>
        <w:t>234.3.</w:t>
      </w:r>
      <w:r w:rsidRPr="0071782F">
        <w:rPr>
          <w:lang w:val="fr-CH"/>
        </w:rPr>
        <w:tab/>
      </w:r>
      <w:r w:rsidR="00120C2E" w:rsidRPr="0071782F">
        <w:rPr>
          <w:lang w:val="fr-CH"/>
        </w:rPr>
        <w:t xml:space="preserve">Au cours de la même année, la </w:t>
      </w:r>
      <w:r w:rsidRPr="0071782F">
        <w:rPr>
          <w:lang w:val="fr-CH"/>
        </w:rPr>
        <w:t xml:space="preserve">production </w:t>
      </w:r>
      <w:r w:rsidR="00120C2E" w:rsidRPr="0071782F">
        <w:rPr>
          <w:lang w:val="fr-CH"/>
        </w:rPr>
        <w:t xml:space="preserve">de maïs a été de </w:t>
      </w:r>
      <w:r w:rsidRPr="0071782F">
        <w:rPr>
          <w:lang w:val="fr-CH"/>
        </w:rPr>
        <w:t>6</w:t>
      </w:r>
      <w:r w:rsidR="00120C2E" w:rsidRPr="0071782F">
        <w:rPr>
          <w:lang w:val="fr-CH"/>
        </w:rPr>
        <w:t xml:space="preserve"> 590 </w:t>
      </w:r>
      <w:r w:rsidRPr="0071782F">
        <w:rPr>
          <w:lang w:val="fr-CH"/>
        </w:rPr>
        <w:t>000</w:t>
      </w:r>
      <w:r w:rsidR="00D3560C" w:rsidRPr="0071782F">
        <w:rPr>
          <w:lang w:val="fr-CH"/>
        </w:rPr>
        <w:t> t</w:t>
      </w:r>
      <w:r w:rsidRPr="0071782F">
        <w:rPr>
          <w:lang w:val="fr-CH"/>
        </w:rPr>
        <w:t xml:space="preserve"> </w:t>
      </w:r>
      <w:r w:rsidR="00120C2E" w:rsidRPr="0071782F">
        <w:rPr>
          <w:lang w:val="fr-CH"/>
        </w:rPr>
        <w:t xml:space="preserve">et celle des betteraves à sucre de </w:t>
      </w:r>
      <w:r w:rsidRPr="0071782F">
        <w:rPr>
          <w:lang w:val="fr-CH"/>
        </w:rPr>
        <w:t>2</w:t>
      </w:r>
      <w:r w:rsidR="00120C2E" w:rsidRPr="0071782F">
        <w:rPr>
          <w:lang w:val="fr-CH"/>
        </w:rPr>
        <w:t> </w:t>
      </w:r>
      <w:r w:rsidRPr="0071782F">
        <w:rPr>
          <w:lang w:val="fr-CH"/>
        </w:rPr>
        <w:t>407</w:t>
      </w:r>
      <w:r w:rsidR="00120C2E" w:rsidRPr="0071782F">
        <w:rPr>
          <w:lang w:val="fr-CH"/>
        </w:rPr>
        <w:t xml:space="preserve"> 000</w:t>
      </w:r>
      <w:r w:rsidR="00D3560C" w:rsidRPr="0071782F">
        <w:rPr>
          <w:lang w:val="fr-CH"/>
        </w:rPr>
        <w:t> t</w:t>
      </w:r>
      <w:r w:rsidRPr="0071782F">
        <w:rPr>
          <w:lang w:val="fr-CH"/>
        </w:rPr>
        <w:t xml:space="preserve">, </w:t>
      </w:r>
      <w:r w:rsidR="00120C2E" w:rsidRPr="0071782F">
        <w:rPr>
          <w:lang w:val="fr-CH"/>
        </w:rPr>
        <w:t xml:space="preserve">ce qui a permis d’atteindre à </w:t>
      </w:r>
      <w:r w:rsidRPr="0071782F">
        <w:rPr>
          <w:lang w:val="fr-CH"/>
        </w:rPr>
        <w:t>106</w:t>
      </w:r>
      <w:r w:rsidR="00120C2E" w:rsidRPr="0071782F">
        <w:rPr>
          <w:lang w:val="fr-CH"/>
        </w:rPr>
        <w:t>,</w:t>
      </w:r>
      <w:r w:rsidRPr="0071782F">
        <w:rPr>
          <w:lang w:val="fr-CH"/>
        </w:rPr>
        <w:t>5</w:t>
      </w:r>
      <w:r w:rsidR="007E5125" w:rsidRPr="0071782F">
        <w:rPr>
          <w:lang w:val="fr-CH"/>
        </w:rPr>
        <w:t>%</w:t>
      </w:r>
      <w:r w:rsidRPr="0071782F">
        <w:rPr>
          <w:lang w:val="fr-CH"/>
        </w:rPr>
        <w:t xml:space="preserve"> </w:t>
      </w:r>
      <w:r w:rsidR="00120C2E" w:rsidRPr="0071782F">
        <w:rPr>
          <w:lang w:val="fr-CH"/>
        </w:rPr>
        <w:t>et</w:t>
      </w:r>
      <w:r w:rsidRPr="0071782F">
        <w:rPr>
          <w:lang w:val="fr-CH"/>
        </w:rPr>
        <w:t xml:space="preserve"> 110</w:t>
      </w:r>
      <w:r w:rsidR="00120C2E" w:rsidRPr="0071782F">
        <w:rPr>
          <w:lang w:val="fr-CH"/>
        </w:rPr>
        <w:t>,</w:t>
      </w:r>
      <w:r w:rsidRPr="0071782F">
        <w:rPr>
          <w:lang w:val="fr-CH"/>
        </w:rPr>
        <w:t>9</w:t>
      </w:r>
      <w:r w:rsidR="007E5125" w:rsidRPr="0071782F">
        <w:rPr>
          <w:lang w:val="fr-CH"/>
        </w:rPr>
        <w:t>%</w:t>
      </w:r>
      <w:r w:rsidR="00120C2E" w:rsidRPr="0071782F">
        <w:rPr>
          <w:lang w:val="fr-CH"/>
        </w:rPr>
        <w:t>, respectivement, les objectifs prévus</w:t>
      </w:r>
      <w:r w:rsidRPr="0071782F">
        <w:rPr>
          <w:lang w:val="fr-CH"/>
        </w:rPr>
        <w:t>.</w:t>
      </w:r>
    </w:p>
    <w:p w:rsidR="008A7415" w:rsidRPr="0071782F" w:rsidRDefault="00E5244D" w:rsidP="00505E7B">
      <w:pPr>
        <w:pStyle w:val="SingleTxtG"/>
        <w:ind w:left="1701"/>
        <w:rPr>
          <w:lang w:val="fr-CH"/>
        </w:rPr>
      </w:pPr>
      <w:r w:rsidRPr="0071782F">
        <w:rPr>
          <w:lang w:val="fr-CH"/>
        </w:rPr>
        <w:tab/>
      </w:r>
      <w:r w:rsidR="00120C2E" w:rsidRPr="0071782F">
        <w:rPr>
          <w:lang w:val="fr-CH"/>
        </w:rPr>
        <w:t xml:space="preserve">Toujours en </w:t>
      </w:r>
      <w:r w:rsidR="008A7415" w:rsidRPr="0071782F">
        <w:rPr>
          <w:lang w:val="fr-CH"/>
        </w:rPr>
        <w:t xml:space="preserve">2006, </w:t>
      </w:r>
      <w:r w:rsidR="00120C2E" w:rsidRPr="0071782F">
        <w:rPr>
          <w:lang w:val="fr-CH"/>
        </w:rPr>
        <w:t>quelque 100</w:t>
      </w:r>
      <w:r w:rsidR="001D01B5" w:rsidRPr="0071782F">
        <w:rPr>
          <w:lang w:val="fr-CH"/>
        </w:rPr>
        <w:t> </w:t>
      </w:r>
      <w:r w:rsidR="008A7415" w:rsidRPr="0071782F">
        <w:rPr>
          <w:lang w:val="fr-CH"/>
        </w:rPr>
        <w:t>000</w:t>
      </w:r>
      <w:r w:rsidR="00F071D1" w:rsidRPr="0071782F">
        <w:rPr>
          <w:lang w:val="fr-CH"/>
        </w:rPr>
        <w:t> h</w:t>
      </w:r>
      <w:r w:rsidR="005E329A">
        <w:rPr>
          <w:lang w:val="fr-CH"/>
        </w:rPr>
        <w:t>a</w:t>
      </w:r>
      <w:r w:rsidR="008A7415" w:rsidRPr="0071782F">
        <w:rPr>
          <w:lang w:val="fr-CH"/>
        </w:rPr>
        <w:t xml:space="preserve"> </w:t>
      </w:r>
      <w:r w:rsidR="00120C2E" w:rsidRPr="0071782F">
        <w:rPr>
          <w:lang w:val="fr-CH"/>
        </w:rPr>
        <w:t xml:space="preserve">de nouveaux jardins potagers ont été mis en culture et </w:t>
      </w:r>
      <w:r w:rsidR="008A7415" w:rsidRPr="0071782F">
        <w:rPr>
          <w:lang w:val="fr-CH"/>
        </w:rPr>
        <w:t>36</w:t>
      </w:r>
      <w:r w:rsidR="001D01B5" w:rsidRPr="0071782F">
        <w:rPr>
          <w:lang w:val="fr-CH"/>
        </w:rPr>
        <w:t> </w:t>
      </w:r>
      <w:r w:rsidR="008A7415" w:rsidRPr="0071782F">
        <w:rPr>
          <w:lang w:val="fr-CH"/>
        </w:rPr>
        <w:t>500</w:t>
      </w:r>
      <w:r w:rsidR="00F071D1" w:rsidRPr="0071782F">
        <w:rPr>
          <w:lang w:val="fr-CH"/>
        </w:rPr>
        <w:t> h</w:t>
      </w:r>
      <w:r w:rsidR="005E329A">
        <w:rPr>
          <w:lang w:val="fr-CH"/>
        </w:rPr>
        <w:t>a</w:t>
      </w:r>
      <w:r w:rsidR="008A7415" w:rsidRPr="0071782F">
        <w:rPr>
          <w:lang w:val="fr-CH"/>
        </w:rPr>
        <w:t xml:space="preserve"> </w:t>
      </w:r>
      <w:r w:rsidR="00120C2E" w:rsidRPr="0071782F">
        <w:rPr>
          <w:lang w:val="fr-CH"/>
        </w:rPr>
        <w:t>de jardins potagers ont été remis en culture</w:t>
      </w:r>
      <w:r w:rsidR="008A7415" w:rsidRPr="0071782F">
        <w:rPr>
          <w:lang w:val="fr-CH"/>
        </w:rPr>
        <w:t>.</w:t>
      </w:r>
    </w:p>
    <w:p w:rsidR="008A7415" w:rsidRPr="0071782F" w:rsidRDefault="008A7415" w:rsidP="00272DA8">
      <w:pPr>
        <w:pStyle w:val="SingleTxtG"/>
        <w:ind w:left="1701"/>
        <w:rPr>
          <w:lang w:val="fr-CH"/>
        </w:rPr>
      </w:pPr>
      <w:r w:rsidRPr="0071782F">
        <w:rPr>
          <w:lang w:val="fr-CH"/>
        </w:rPr>
        <w:t>234.4.</w:t>
      </w:r>
      <w:r w:rsidRPr="0071782F">
        <w:rPr>
          <w:lang w:val="fr-CH"/>
        </w:rPr>
        <w:tab/>
      </w:r>
      <w:r w:rsidR="00805D5B" w:rsidRPr="0071782F">
        <w:rPr>
          <w:lang w:val="fr-CH"/>
        </w:rPr>
        <w:t xml:space="preserve">La même année, la </w:t>
      </w:r>
      <w:r w:rsidRPr="0071782F">
        <w:rPr>
          <w:lang w:val="fr-CH"/>
        </w:rPr>
        <w:t xml:space="preserve">production </w:t>
      </w:r>
      <w:r w:rsidR="00805D5B" w:rsidRPr="0071782F">
        <w:rPr>
          <w:lang w:val="fr-CH"/>
        </w:rPr>
        <w:t>de pistaches a été de 250</w:t>
      </w:r>
      <w:r w:rsidR="001D01B5" w:rsidRPr="0071782F">
        <w:rPr>
          <w:lang w:val="fr-CH"/>
        </w:rPr>
        <w:t> </w:t>
      </w:r>
      <w:r w:rsidR="00805D5B" w:rsidRPr="0071782F">
        <w:rPr>
          <w:lang w:val="fr-CH"/>
        </w:rPr>
        <w:t>000</w:t>
      </w:r>
      <w:r w:rsidR="00D3560C" w:rsidRPr="0071782F">
        <w:rPr>
          <w:lang w:val="fr-CH"/>
        </w:rPr>
        <w:t> t</w:t>
      </w:r>
      <w:r w:rsidRPr="0071782F">
        <w:rPr>
          <w:lang w:val="fr-CH"/>
        </w:rPr>
        <w:t xml:space="preserve">, </w:t>
      </w:r>
      <w:r w:rsidR="00805D5B" w:rsidRPr="0071782F">
        <w:rPr>
          <w:lang w:val="fr-CH"/>
        </w:rPr>
        <w:t>celle d’agrumes de 4 398</w:t>
      </w:r>
      <w:r w:rsidR="003D43D2">
        <w:rPr>
          <w:lang w:val="fr-CH"/>
        </w:rPr>
        <w:t> </w:t>
      </w:r>
      <w:r w:rsidR="00805D5B" w:rsidRPr="0071782F">
        <w:rPr>
          <w:lang w:val="fr-CH"/>
        </w:rPr>
        <w:t>000</w:t>
      </w:r>
      <w:r w:rsidR="00D3560C" w:rsidRPr="0071782F">
        <w:rPr>
          <w:lang w:val="fr-CH"/>
        </w:rPr>
        <w:t> t</w:t>
      </w:r>
      <w:r w:rsidR="00805D5B" w:rsidRPr="0071782F">
        <w:rPr>
          <w:lang w:val="fr-CH"/>
        </w:rPr>
        <w:t xml:space="preserve">, celle de </w:t>
      </w:r>
      <w:r w:rsidRPr="0071782F">
        <w:rPr>
          <w:lang w:val="fr-CH"/>
        </w:rPr>
        <w:t>dat</w:t>
      </w:r>
      <w:r w:rsidR="006B5DC8" w:rsidRPr="0071782F">
        <w:rPr>
          <w:lang w:val="fr-CH"/>
        </w:rPr>
        <w:t>t</w:t>
      </w:r>
      <w:r w:rsidRPr="0071782F">
        <w:rPr>
          <w:lang w:val="fr-CH"/>
        </w:rPr>
        <w:t xml:space="preserve">es </w:t>
      </w:r>
      <w:r w:rsidR="00805D5B" w:rsidRPr="0071782F">
        <w:rPr>
          <w:lang w:val="fr-CH"/>
        </w:rPr>
        <w:t xml:space="preserve">de </w:t>
      </w:r>
      <w:r w:rsidRPr="0071782F">
        <w:rPr>
          <w:lang w:val="fr-CH"/>
        </w:rPr>
        <w:t>1</w:t>
      </w:r>
      <w:r w:rsidR="00805D5B" w:rsidRPr="0071782F">
        <w:rPr>
          <w:lang w:val="fr-CH"/>
        </w:rPr>
        <w:t> </w:t>
      </w:r>
      <w:r w:rsidRPr="0071782F">
        <w:rPr>
          <w:lang w:val="fr-CH"/>
        </w:rPr>
        <w:t>007</w:t>
      </w:r>
      <w:r w:rsidR="001D01B5" w:rsidRPr="0071782F">
        <w:rPr>
          <w:lang w:val="fr-CH"/>
        </w:rPr>
        <w:t> </w:t>
      </w:r>
      <w:r w:rsidRPr="0071782F">
        <w:rPr>
          <w:lang w:val="fr-CH"/>
        </w:rPr>
        <w:t>000</w:t>
      </w:r>
      <w:r w:rsidR="00D3560C" w:rsidRPr="0071782F">
        <w:rPr>
          <w:lang w:val="fr-CH"/>
        </w:rPr>
        <w:t> t</w:t>
      </w:r>
      <w:r w:rsidRPr="0071782F">
        <w:rPr>
          <w:lang w:val="fr-CH"/>
        </w:rPr>
        <w:t xml:space="preserve"> </w:t>
      </w:r>
      <w:r w:rsidR="00805D5B" w:rsidRPr="0071782F">
        <w:rPr>
          <w:lang w:val="fr-CH"/>
        </w:rPr>
        <w:t>et celle de raisin de 3 </w:t>
      </w:r>
      <w:r w:rsidRPr="0071782F">
        <w:rPr>
          <w:lang w:val="fr-CH"/>
        </w:rPr>
        <w:t>103</w:t>
      </w:r>
      <w:r w:rsidR="001D01B5" w:rsidRPr="0071782F">
        <w:rPr>
          <w:lang w:val="fr-CH"/>
        </w:rPr>
        <w:t> </w:t>
      </w:r>
      <w:r w:rsidRPr="0071782F">
        <w:rPr>
          <w:lang w:val="fr-CH"/>
        </w:rPr>
        <w:t>000</w:t>
      </w:r>
      <w:r w:rsidR="00D3560C" w:rsidRPr="0071782F">
        <w:rPr>
          <w:lang w:val="fr-CH"/>
        </w:rPr>
        <w:t> t</w:t>
      </w:r>
      <w:r w:rsidRPr="0071782F">
        <w:rPr>
          <w:lang w:val="fr-CH"/>
        </w:rPr>
        <w:t xml:space="preserve">, </w:t>
      </w:r>
      <w:r w:rsidR="00805D5B" w:rsidRPr="0071782F">
        <w:rPr>
          <w:lang w:val="fr-CH"/>
        </w:rPr>
        <w:t>chiffres qui, tout en représentant un accroissement positif par rapport à l’année antérieure, ont été inférieurs aux objectifs du plan</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805D5B" w:rsidRPr="0071782F">
        <w:rPr>
          <w:lang w:val="fr-CH"/>
        </w:rPr>
        <w:t>Bétail, volaille et espèces aquatiques</w:t>
      </w:r>
      <w:r w:rsidRPr="0071782F">
        <w:rPr>
          <w:lang w:val="fr-CH"/>
        </w:rPr>
        <w:t xml:space="preserve"> </w:t>
      </w:r>
    </w:p>
    <w:p w:rsidR="008A7415" w:rsidRPr="0071782F" w:rsidRDefault="008A7415" w:rsidP="00204410">
      <w:pPr>
        <w:pStyle w:val="SingleTxtG"/>
        <w:rPr>
          <w:lang w:val="fr-CH"/>
        </w:rPr>
      </w:pPr>
      <w:r w:rsidRPr="0071782F">
        <w:rPr>
          <w:lang w:val="fr-CH"/>
        </w:rPr>
        <w:t>235.</w:t>
      </w:r>
      <w:r w:rsidRPr="0071782F">
        <w:rPr>
          <w:lang w:val="fr-CH"/>
        </w:rPr>
        <w:tab/>
      </w:r>
      <w:r w:rsidR="006B5DC8" w:rsidRPr="0071782F">
        <w:rPr>
          <w:lang w:val="fr-CH"/>
        </w:rPr>
        <w:t>À ce sujet, il convient de noter ce qui suit</w:t>
      </w:r>
      <w:r w:rsidR="008F7D33" w:rsidRPr="0071782F">
        <w:rPr>
          <w:lang w:val="fr-CH"/>
        </w:rPr>
        <w:t>:</w:t>
      </w:r>
    </w:p>
    <w:p w:rsidR="008A7415" w:rsidRPr="0071782F" w:rsidRDefault="008A7415" w:rsidP="008A0F8A">
      <w:pPr>
        <w:pStyle w:val="SingleTxtG"/>
        <w:ind w:left="1701"/>
        <w:rPr>
          <w:lang w:val="fr-CH"/>
        </w:rPr>
      </w:pPr>
      <w:r w:rsidRPr="0071782F">
        <w:rPr>
          <w:lang w:val="fr-CH"/>
        </w:rPr>
        <w:t>235.1</w:t>
      </w:r>
      <w:r w:rsidR="00805D5B" w:rsidRPr="0071782F">
        <w:rPr>
          <w:lang w:val="fr-CH"/>
        </w:rPr>
        <w:t>.</w:t>
      </w:r>
      <w:r w:rsidR="00805D5B" w:rsidRPr="0071782F">
        <w:rPr>
          <w:lang w:val="fr-CH"/>
        </w:rPr>
        <w:tab/>
        <w:t>E</w:t>
      </w:r>
      <w:r w:rsidRPr="0071782F">
        <w:rPr>
          <w:lang w:val="fr-CH"/>
        </w:rPr>
        <w:t xml:space="preserve">n 2005, </w:t>
      </w:r>
      <w:r w:rsidR="00805D5B" w:rsidRPr="0071782F">
        <w:rPr>
          <w:lang w:val="fr-CH"/>
        </w:rPr>
        <w:t xml:space="preserve">la </w:t>
      </w:r>
      <w:r w:rsidRPr="0071782F">
        <w:rPr>
          <w:lang w:val="fr-CH"/>
        </w:rPr>
        <w:t xml:space="preserve">production </w:t>
      </w:r>
      <w:r w:rsidR="00805D5B" w:rsidRPr="0071782F">
        <w:rPr>
          <w:lang w:val="fr-CH"/>
        </w:rPr>
        <w:t xml:space="preserve">de viande rouge et de viande de poulet a été de </w:t>
      </w:r>
      <w:r w:rsidRPr="0071782F">
        <w:rPr>
          <w:lang w:val="fr-CH"/>
        </w:rPr>
        <w:t>781</w:t>
      </w:r>
      <w:r w:rsidR="00C2083C" w:rsidRPr="0071782F">
        <w:rPr>
          <w:lang w:val="fr-CH"/>
        </w:rPr>
        <w:t> </w:t>
      </w:r>
      <w:r w:rsidRPr="0071782F">
        <w:rPr>
          <w:lang w:val="fr-CH"/>
        </w:rPr>
        <w:t>000</w:t>
      </w:r>
      <w:r w:rsidR="00D3560C" w:rsidRPr="0071782F">
        <w:rPr>
          <w:lang w:val="fr-CH"/>
        </w:rPr>
        <w:t> </w:t>
      </w:r>
      <w:r w:rsidR="006A6DB9">
        <w:rPr>
          <w:lang w:val="fr-CH"/>
        </w:rPr>
        <w:t xml:space="preserve">t </w:t>
      </w:r>
      <w:r w:rsidR="00805D5B" w:rsidRPr="0071782F">
        <w:rPr>
          <w:lang w:val="fr-CH"/>
        </w:rPr>
        <w:t xml:space="preserve">et de </w:t>
      </w:r>
      <w:r w:rsidRPr="0071782F">
        <w:rPr>
          <w:lang w:val="fr-CH"/>
        </w:rPr>
        <w:t>1</w:t>
      </w:r>
      <w:r w:rsidR="00805D5B" w:rsidRPr="0071782F">
        <w:rPr>
          <w:lang w:val="fr-CH"/>
        </w:rPr>
        <w:t> 360</w:t>
      </w:r>
      <w:r w:rsidR="00E97CAD">
        <w:rPr>
          <w:lang w:val="fr-CH"/>
        </w:rPr>
        <w:t> </w:t>
      </w:r>
      <w:r w:rsidR="00805D5B" w:rsidRPr="0071782F">
        <w:rPr>
          <w:lang w:val="fr-CH"/>
        </w:rPr>
        <w:t>40</w:t>
      </w:r>
      <w:r w:rsidRPr="0071782F">
        <w:rPr>
          <w:lang w:val="fr-CH"/>
        </w:rPr>
        <w:t>0</w:t>
      </w:r>
      <w:r w:rsidR="00D3560C" w:rsidRPr="0071782F">
        <w:rPr>
          <w:lang w:val="fr-CH"/>
        </w:rPr>
        <w:t> t</w:t>
      </w:r>
      <w:r w:rsidR="00805D5B" w:rsidRPr="0071782F">
        <w:rPr>
          <w:lang w:val="fr-CH"/>
        </w:rPr>
        <w:t>,</w:t>
      </w:r>
      <w:r w:rsidRPr="0071782F">
        <w:rPr>
          <w:lang w:val="fr-CH"/>
        </w:rPr>
        <w:t xml:space="preserve"> respective</w:t>
      </w:r>
      <w:r w:rsidR="00805D5B" w:rsidRPr="0071782F">
        <w:rPr>
          <w:lang w:val="fr-CH"/>
        </w:rPr>
        <w:t xml:space="preserve">ment, soit une croissance de </w:t>
      </w:r>
      <w:r w:rsidRPr="0071782F">
        <w:rPr>
          <w:lang w:val="fr-CH"/>
        </w:rPr>
        <w:t>2</w:t>
      </w:r>
      <w:r w:rsidR="00805D5B" w:rsidRPr="0071782F">
        <w:rPr>
          <w:lang w:val="fr-CH"/>
        </w:rPr>
        <w:t>,</w:t>
      </w:r>
      <w:r w:rsidRPr="0071782F">
        <w:rPr>
          <w:lang w:val="fr-CH"/>
        </w:rPr>
        <w:t>8</w:t>
      </w:r>
      <w:r w:rsidR="007E5125" w:rsidRPr="0071782F">
        <w:rPr>
          <w:lang w:val="fr-CH"/>
        </w:rPr>
        <w:t>%</w:t>
      </w:r>
      <w:r w:rsidRPr="0071782F">
        <w:rPr>
          <w:lang w:val="fr-CH"/>
        </w:rPr>
        <w:t xml:space="preserve"> </w:t>
      </w:r>
      <w:r w:rsidR="00805D5B" w:rsidRPr="0071782F">
        <w:rPr>
          <w:lang w:val="fr-CH"/>
        </w:rPr>
        <w:t xml:space="preserve">et de </w:t>
      </w:r>
      <w:r w:rsidRPr="0071782F">
        <w:rPr>
          <w:lang w:val="fr-CH"/>
        </w:rPr>
        <w:t>9</w:t>
      </w:r>
      <w:r w:rsidR="00805D5B" w:rsidRPr="0071782F">
        <w:rPr>
          <w:lang w:val="fr-CH"/>
        </w:rPr>
        <w:t>,</w:t>
      </w:r>
      <w:r w:rsidRPr="0071782F">
        <w:rPr>
          <w:lang w:val="fr-CH"/>
        </w:rPr>
        <w:t>9</w:t>
      </w:r>
      <w:r w:rsidR="007E5125" w:rsidRPr="0071782F">
        <w:rPr>
          <w:lang w:val="fr-CH"/>
        </w:rPr>
        <w:t>%</w:t>
      </w:r>
      <w:r w:rsidRPr="0071782F">
        <w:rPr>
          <w:lang w:val="fr-CH"/>
        </w:rPr>
        <w:t xml:space="preserve">. </w:t>
      </w:r>
    </w:p>
    <w:p w:rsidR="008A7415" w:rsidRPr="0071782F" w:rsidRDefault="008A7415" w:rsidP="008A0F8A">
      <w:pPr>
        <w:pStyle w:val="SingleTxtG"/>
        <w:ind w:left="1701"/>
        <w:rPr>
          <w:lang w:val="fr-CH"/>
        </w:rPr>
      </w:pPr>
      <w:r w:rsidRPr="0071782F">
        <w:rPr>
          <w:lang w:val="fr-CH"/>
        </w:rPr>
        <w:t>235.2.</w:t>
      </w:r>
      <w:r w:rsidRPr="0071782F">
        <w:rPr>
          <w:lang w:val="fr-CH"/>
        </w:rPr>
        <w:tab/>
      </w:r>
      <w:r w:rsidR="00805D5B" w:rsidRPr="0071782F">
        <w:rPr>
          <w:lang w:val="fr-CH"/>
        </w:rPr>
        <w:t>La même année, la p</w:t>
      </w:r>
      <w:r w:rsidRPr="0071782F">
        <w:rPr>
          <w:lang w:val="fr-CH"/>
        </w:rPr>
        <w:t xml:space="preserve">roduction </w:t>
      </w:r>
      <w:r w:rsidR="00805D5B" w:rsidRPr="0071782F">
        <w:rPr>
          <w:lang w:val="fr-CH"/>
        </w:rPr>
        <w:t>de lait et d’</w:t>
      </w:r>
      <w:r w:rsidR="0071782F" w:rsidRPr="0071782F">
        <w:rPr>
          <w:lang w:val="fr-CH"/>
        </w:rPr>
        <w:t>œufs</w:t>
      </w:r>
      <w:r w:rsidR="00805D5B" w:rsidRPr="0071782F">
        <w:rPr>
          <w:lang w:val="fr-CH"/>
        </w:rPr>
        <w:t xml:space="preserve"> a été de 7 594</w:t>
      </w:r>
      <w:r w:rsidR="00C2083C" w:rsidRPr="0071782F">
        <w:rPr>
          <w:lang w:val="fr-CH"/>
        </w:rPr>
        <w:t> </w:t>
      </w:r>
      <w:r w:rsidRPr="0071782F">
        <w:rPr>
          <w:lang w:val="fr-CH"/>
        </w:rPr>
        <w:t>000</w:t>
      </w:r>
      <w:r w:rsidR="00D3560C" w:rsidRPr="0071782F">
        <w:rPr>
          <w:lang w:val="fr-CH"/>
        </w:rPr>
        <w:t> t</w:t>
      </w:r>
      <w:r w:rsidRPr="0071782F">
        <w:rPr>
          <w:lang w:val="fr-CH"/>
        </w:rPr>
        <w:t xml:space="preserve"> </w:t>
      </w:r>
      <w:r w:rsidR="00805D5B" w:rsidRPr="0071782F">
        <w:rPr>
          <w:lang w:val="fr-CH"/>
        </w:rPr>
        <w:t>et de 677</w:t>
      </w:r>
      <w:r w:rsidR="00C2083C" w:rsidRPr="0071782F">
        <w:rPr>
          <w:lang w:val="fr-CH"/>
        </w:rPr>
        <w:t> </w:t>
      </w:r>
      <w:r w:rsidRPr="0071782F">
        <w:rPr>
          <w:lang w:val="fr-CH"/>
        </w:rPr>
        <w:t>000</w:t>
      </w:r>
      <w:r w:rsidR="00D3560C" w:rsidRPr="0071782F">
        <w:rPr>
          <w:lang w:val="fr-CH"/>
        </w:rPr>
        <w:t> t</w:t>
      </w:r>
      <w:r w:rsidR="00805D5B" w:rsidRPr="0071782F">
        <w:rPr>
          <w:lang w:val="fr-CH"/>
        </w:rPr>
        <w:t>, respectivement</w:t>
      </w:r>
      <w:r w:rsidRPr="0071782F">
        <w:rPr>
          <w:lang w:val="fr-CH"/>
        </w:rPr>
        <w:t xml:space="preserve">. </w:t>
      </w:r>
      <w:r w:rsidR="00805D5B" w:rsidRPr="0071782F">
        <w:rPr>
          <w:lang w:val="fr-CH"/>
        </w:rPr>
        <w:t xml:space="preserve">En 2006, la </w:t>
      </w:r>
      <w:r w:rsidRPr="0071782F">
        <w:rPr>
          <w:lang w:val="fr-CH"/>
        </w:rPr>
        <w:t xml:space="preserve">culture </w:t>
      </w:r>
      <w:r w:rsidR="00805D5B" w:rsidRPr="0071782F">
        <w:rPr>
          <w:lang w:val="fr-CH"/>
        </w:rPr>
        <w:t>et la capture d’espèces aquatiques a atteint 154</w:t>
      </w:r>
      <w:r w:rsidR="005E329A">
        <w:rPr>
          <w:lang w:val="fr-CH"/>
        </w:rPr>
        <w:t> </w:t>
      </w:r>
      <w:r w:rsidR="00805D5B" w:rsidRPr="0071782F">
        <w:rPr>
          <w:lang w:val="fr-CH"/>
        </w:rPr>
        <w:t>60</w:t>
      </w:r>
      <w:r w:rsidRPr="0071782F">
        <w:rPr>
          <w:lang w:val="fr-CH"/>
        </w:rPr>
        <w:t>0</w:t>
      </w:r>
      <w:r w:rsidR="00D3560C" w:rsidRPr="0071782F">
        <w:rPr>
          <w:lang w:val="fr-CH"/>
        </w:rPr>
        <w:t> t</w:t>
      </w:r>
      <w:r w:rsidRPr="0071782F">
        <w:rPr>
          <w:lang w:val="fr-CH"/>
        </w:rPr>
        <w:t xml:space="preserve"> </w:t>
      </w:r>
      <w:r w:rsidR="00805D5B" w:rsidRPr="0071782F">
        <w:rPr>
          <w:lang w:val="fr-CH"/>
        </w:rPr>
        <w:t>et 438</w:t>
      </w:r>
      <w:r w:rsidR="00C2083C" w:rsidRPr="0071782F">
        <w:rPr>
          <w:lang w:val="fr-CH"/>
        </w:rPr>
        <w:t> </w:t>
      </w:r>
      <w:r w:rsidR="00805D5B" w:rsidRPr="0071782F">
        <w:rPr>
          <w:lang w:val="fr-CH"/>
        </w:rPr>
        <w:t>8</w:t>
      </w:r>
      <w:r w:rsidRPr="0071782F">
        <w:rPr>
          <w:lang w:val="fr-CH"/>
        </w:rPr>
        <w:t>00</w:t>
      </w:r>
      <w:r w:rsidR="00D3560C" w:rsidRPr="0071782F">
        <w:rPr>
          <w:lang w:val="fr-CH"/>
        </w:rPr>
        <w:t> t</w:t>
      </w:r>
      <w:r w:rsidR="00805D5B" w:rsidRPr="0071782F">
        <w:rPr>
          <w:lang w:val="fr-CH"/>
        </w:rPr>
        <w:t>, respectivement</w:t>
      </w:r>
      <w:r w:rsidRPr="0071782F">
        <w:rPr>
          <w:lang w:val="fr-CH"/>
        </w:rPr>
        <w:t xml:space="preserve">, </w:t>
      </w:r>
      <w:r w:rsidR="00805D5B" w:rsidRPr="0071782F">
        <w:rPr>
          <w:lang w:val="fr-CH"/>
        </w:rPr>
        <w:t xml:space="preserve">soit une croissance de </w:t>
      </w:r>
      <w:r w:rsidRPr="0071782F">
        <w:rPr>
          <w:lang w:val="fr-CH"/>
        </w:rPr>
        <w:t>15</w:t>
      </w:r>
      <w:r w:rsidR="00805D5B" w:rsidRPr="0071782F">
        <w:rPr>
          <w:lang w:val="fr-CH"/>
        </w:rPr>
        <w:t>,</w:t>
      </w:r>
      <w:r w:rsidRPr="0071782F">
        <w:rPr>
          <w:lang w:val="fr-CH"/>
        </w:rPr>
        <w:t>4</w:t>
      </w:r>
      <w:r w:rsidR="007E5125" w:rsidRPr="0071782F">
        <w:rPr>
          <w:lang w:val="fr-CH"/>
        </w:rPr>
        <w:t>%</w:t>
      </w:r>
      <w:r w:rsidRPr="0071782F">
        <w:rPr>
          <w:lang w:val="fr-CH"/>
        </w:rPr>
        <w:t xml:space="preserve"> </w:t>
      </w:r>
      <w:r w:rsidR="006A6DB9">
        <w:rPr>
          <w:lang w:val="fr-CH"/>
        </w:rPr>
        <w:t>et de </w:t>
      </w:r>
      <w:r w:rsidRPr="0071782F">
        <w:rPr>
          <w:lang w:val="fr-CH"/>
        </w:rPr>
        <w:t>131</w:t>
      </w:r>
      <w:r w:rsidR="007E5125" w:rsidRPr="0071782F">
        <w:rPr>
          <w:lang w:val="fr-CH"/>
        </w:rPr>
        <w:t>%</w:t>
      </w:r>
      <w:r w:rsidRPr="0071782F">
        <w:rPr>
          <w:lang w:val="fr-CH"/>
        </w:rPr>
        <w:t>.</w:t>
      </w:r>
    </w:p>
    <w:p w:rsidR="008A7415" w:rsidRPr="0071782F" w:rsidRDefault="008A7415" w:rsidP="008A0F8A">
      <w:pPr>
        <w:pStyle w:val="SingleTxtG"/>
        <w:ind w:left="1701"/>
        <w:rPr>
          <w:lang w:val="fr-CH"/>
        </w:rPr>
      </w:pPr>
      <w:r w:rsidRPr="0071782F">
        <w:rPr>
          <w:lang w:val="fr-CH"/>
        </w:rPr>
        <w:t>235.3.</w:t>
      </w:r>
      <w:r w:rsidRPr="0071782F">
        <w:rPr>
          <w:lang w:val="fr-CH"/>
        </w:rPr>
        <w:tab/>
      </w:r>
      <w:r w:rsidR="0097416C" w:rsidRPr="0071782F">
        <w:rPr>
          <w:lang w:val="fr-CH"/>
        </w:rPr>
        <w:t xml:space="preserve">Les résultats des principaux indicateurs du secteur de la santé animale et de la médecine vétérinaire montrent qu’en </w:t>
      </w:r>
      <w:r w:rsidRPr="0071782F">
        <w:rPr>
          <w:lang w:val="fr-CH"/>
        </w:rPr>
        <w:t xml:space="preserve">2006, </w:t>
      </w:r>
      <w:r w:rsidR="0097416C" w:rsidRPr="0071782F">
        <w:rPr>
          <w:lang w:val="fr-CH"/>
        </w:rPr>
        <w:t xml:space="preserve">les services de santé ont fourni des soins à </w:t>
      </w:r>
      <w:r w:rsidRPr="0071782F">
        <w:rPr>
          <w:lang w:val="fr-CH"/>
        </w:rPr>
        <w:t>60</w:t>
      </w:r>
      <w:r w:rsidR="0097416C" w:rsidRPr="0071782F">
        <w:rPr>
          <w:lang w:val="fr-CH"/>
        </w:rPr>
        <w:t>,</w:t>
      </w:r>
      <w:r w:rsidRPr="0071782F">
        <w:rPr>
          <w:lang w:val="fr-CH"/>
        </w:rPr>
        <w:t>9</w:t>
      </w:r>
      <w:r w:rsidR="007E5125" w:rsidRPr="0071782F">
        <w:rPr>
          <w:lang w:val="fr-CH"/>
        </w:rPr>
        <w:t>%</w:t>
      </w:r>
      <w:r w:rsidRPr="0071782F">
        <w:rPr>
          <w:lang w:val="fr-CH"/>
        </w:rPr>
        <w:t xml:space="preserve"> </w:t>
      </w:r>
      <w:r w:rsidR="0097416C" w:rsidRPr="0071782F">
        <w:rPr>
          <w:lang w:val="fr-CH"/>
        </w:rPr>
        <w:t xml:space="preserve">des têtes de bétail du pays et les ont vaccinées contre les maladies contagieuses, et que </w:t>
      </w:r>
      <w:r w:rsidRPr="0071782F">
        <w:rPr>
          <w:lang w:val="fr-CH"/>
        </w:rPr>
        <w:t>64</w:t>
      </w:r>
      <w:r w:rsidR="0097416C" w:rsidRPr="0071782F">
        <w:rPr>
          <w:lang w:val="fr-CH"/>
        </w:rPr>
        <w:t>,</w:t>
      </w:r>
      <w:r w:rsidRPr="0071782F">
        <w:rPr>
          <w:lang w:val="fr-CH"/>
        </w:rPr>
        <w:t>8</w:t>
      </w:r>
      <w:r w:rsidR="007E5125" w:rsidRPr="0071782F">
        <w:rPr>
          <w:lang w:val="fr-CH"/>
        </w:rPr>
        <w:t>%</w:t>
      </w:r>
      <w:r w:rsidRPr="0071782F">
        <w:rPr>
          <w:lang w:val="fr-CH"/>
        </w:rPr>
        <w:t xml:space="preserve"> </w:t>
      </w:r>
      <w:r w:rsidR="0097416C" w:rsidRPr="0071782F">
        <w:rPr>
          <w:lang w:val="fr-CH"/>
        </w:rPr>
        <w:t>des bêtes ont également été vaccinées contre les maladies courantes. Par ailleurs, l</w:t>
      </w:r>
      <w:r w:rsidRPr="0071782F">
        <w:rPr>
          <w:lang w:val="fr-CH"/>
        </w:rPr>
        <w:t xml:space="preserve">e </w:t>
      </w:r>
      <w:r w:rsidR="0097416C" w:rsidRPr="0071782F">
        <w:rPr>
          <w:lang w:val="fr-CH"/>
        </w:rPr>
        <w:t xml:space="preserve">contrôle de </w:t>
      </w:r>
      <w:r w:rsidR="006B5DC8" w:rsidRPr="0071782F">
        <w:rPr>
          <w:lang w:val="fr-CH"/>
        </w:rPr>
        <w:t xml:space="preserve">la </w:t>
      </w:r>
      <w:r w:rsidR="0097416C" w:rsidRPr="0071782F">
        <w:rPr>
          <w:lang w:val="fr-CH"/>
        </w:rPr>
        <w:t>qualité et le contrôle sanitaire</w:t>
      </w:r>
      <w:r w:rsidRPr="0071782F">
        <w:rPr>
          <w:lang w:val="fr-CH"/>
        </w:rPr>
        <w:t xml:space="preserve"> </w:t>
      </w:r>
      <w:r w:rsidR="0097416C" w:rsidRPr="0071782F">
        <w:rPr>
          <w:lang w:val="fr-CH"/>
        </w:rPr>
        <w:t>de</w:t>
      </w:r>
      <w:r w:rsidR="006B5DC8" w:rsidRPr="0071782F">
        <w:rPr>
          <w:lang w:val="fr-CH"/>
        </w:rPr>
        <w:t>s</w:t>
      </w:r>
      <w:r w:rsidR="0097416C" w:rsidRPr="0071782F">
        <w:rPr>
          <w:lang w:val="fr-CH"/>
        </w:rPr>
        <w:t xml:space="preserve"> produits d’origine </w:t>
      </w:r>
      <w:r w:rsidRPr="0071782F">
        <w:rPr>
          <w:lang w:val="fr-CH"/>
        </w:rPr>
        <w:t>animal</w:t>
      </w:r>
      <w:r w:rsidR="0097416C" w:rsidRPr="0071782F">
        <w:rPr>
          <w:lang w:val="fr-CH"/>
        </w:rPr>
        <w:t>e</w:t>
      </w:r>
      <w:r w:rsidRPr="0071782F">
        <w:rPr>
          <w:lang w:val="fr-CH"/>
        </w:rPr>
        <w:t xml:space="preserve"> </w:t>
      </w:r>
      <w:r w:rsidR="0097416C" w:rsidRPr="0071782F">
        <w:rPr>
          <w:lang w:val="fr-CH"/>
        </w:rPr>
        <w:t xml:space="preserve">ou halieutique a atteint </w:t>
      </w:r>
      <w:r w:rsidRPr="0071782F">
        <w:rPr>
          <w:lang w:val="fr-CH"/>
        </w:rPr>
        <w:t>73</w:t>
      </w:r>
      <w:r w:rsidR="0097416C" w:rsidRPr="0071782F">
        <w:rPr>
          <w:lang w:val="fr-CH"/>
        </w:rPr>
        <w:t>,</w:t>
      </w:r>
      <w:r w:rsidRPr="0071782F">
        <w:rPr>
          <w:lang w:val="fr-CH"/>
        </w:rPr>
        <w:t>1</w:t>
      </w:r>
      <w:r w:rsidR="007E5125" w:rsidRPr="0071782F">
        <w:rPr>
          <w:lang w:val="fr-CH"/>
        </w:rPr>
        <w:t>%</w:t>
      </w:r>
      <w:r w:rsidR="0097416C" w:rsidRPr="0071782F">
        <w:rPr>
          <w:lang w:val="fr-CH"/>
        </w:rPr>
        <w:t xml:space="preserve"> en 2006</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97416C" w:rsidRPr="0071782F">
        <w:rPr>
          <w:lang w:val="fr-CH"/>
        </w:rPr>
        <w:t xml:space="preserve">Assurance des produits agricoles </w:t>
      </w:r>
    </w:p>
    <w:p w:rsidR="008A7415" w:rsidRPr="0071782F" w:rsidRDefault="008A7415" w:rsidP="00204410">
      <w:pPr>
        <w:pStyle w:val="SingleTxtG"/>
        <w:rPr>
          <w:lang w:val="fr-CH"/>
        </w:rPr>
      </w:pPr>
      <w:r w:rsidRPr="0071782F">
        <w:rPr>
          <w:lang w:val="fr-CH"/>
        </w:rPr>
        <w:t>236.</w:t>
      </w:r>
      <w:r w:rsidRPr="0071782F">
        <w:rPr>
          <w:lang w:val="fr-CH"/>
        </w:rPr>
        <w:tab/>
      </w:r>
      <w:r w:rsidR="0097416C" w:rsidRPr="0071782F">
        <w:rPr>
          <w:lang w:val="fr-CH"/>
        </w:rPr>
        <w:t>E</w:t>
      </w:r>
      <w:r w:rsidRPr="0071782F">
        <w:rPr>
          <w:lang w:val="fr-CH"/>
        </w:rPr>
        <w:t xml:space="preserve">n 2006, </w:t>
      </w:r>
      <w:r w:rsidR="0097416C" w:rsidRPr="0071782F">
        <w:rPr>
          <w:lang w:val="fr-CH"/>
        </w:rPr>
        <w:t xml:space="preserve">une assurance de caractère général a été contractée pour quelque </w:t>
      </w:r>
      <w:r w:rsidRPr="0071782F">
        <w:rPr>
          <w:lang w:val="fr-CH"/>
        </w:rPr>
        <w:t>4</w:t>
      </w:r>
      <w:r w:rsidR="0097416C" w:rsidRPr="0071782F">
        <w:rPr>
          <w:lang w:val="fr-CH"/>
        </w:rPr>
        <w:t> </w:t>
      </w:r>
      <w:r w:rsidRPr="0071782F">
        <w:rPr>
          <w:lang w:val="fr-CH"/>
        </w:rPr>
        <w:t>846</w:t>
      </w:r>
      <w:r w:rsidR="00C2083C" w:rsidRPr="0071782F">
        <w:rPr>
          <w:lang w:val="fr-CH"/>
        </w:rPr>
        <w:t> </w:t>
      </w:r>
      <w:r w:rsidRPr="0071782F">
        <w:rPr>
          <w:lang w:val="fr-CH"/>
        </w:rPr>
        <w:t>000</w:t>
      </w:r>
      <w:r w:rsidR="00F071D1" w:rsidRPr="0071782F">
        <w:rPr>
          <w:lang w:val="fr-CH"/>
        </w:rPr>
        <w:t> h</w:t>
      </w:r>
      <w:r w:rsidR="00E97CAD">
        <w:rPr>
          <w:lang w:val="fr-CH"/>
        </w:rPr>
        <w:t>a</w:t>
      </w:r>
      <w:r w:rsidRPr="0071782F">
        <w:rPr>
          <w:lang w:val="fr-CH"/>
        </w:rPr>
        <w:t xml:space="preserve"> </w:t>
      </w:r>
      <w:r w:rsidR="0097416C" w:rsidRPr="0071782F">
        <w:rPr>
          <w:lang w:val="fr-CH"/>
        </w:rPr>
        <w:t xml:space="preserve">de terres agricoles, et quelque </w:t>
      </w:r>
      <w:r w:rsidRPr="0071782F">
        <w:rPr>
          <w:lang w:val="fr-CH"/>
        </w:rPr>
        <w:t>3</w:t>
      </w:r>
      <w:r w:rsidR="0097416C" w:rsidRPr="0071782F">
        <w:rPr>
          <w:lang w:val="fr-CH"/>
        </w:rPr>
        <w:t> </w:t>
      </w:r>
      <w:r w:rsidRPr="0071782F">
        <w:rPr>
          <w:lang w:val="fr-CH"/>
        </w:rPr>
        <w:t>832</w:t>
      </w:r>
      <w:r w:rsidR="0097416C" w:rsidRPr="0071782F">
        <w:rPr>
          <w:lang w:val="fr-CH"/>
        </w:rPr>
        <w:t xml:space="preserve"> </w:t>
      </w:r>
      <w:r w:rsidRPr="0071782F">
        <w:rPr>
          <w:lang w:val="fr-CH"/>
        </w:rPr>
        <w:t>000</w:t>
      </w:r>
      <w:r w:rsidR="00F071D1" w:rsidRPr="0071782F">
        <w:rPr>
          <w:lang w:val="fr-CH"/>
        </w:rPr>
        <w:t> h</w:t>
      </w:r>
      <w:r w:rsidR="00E97CAD">
        <w:rPr>
          <w:lang w:val="fr-CH"/>
        </w:rPr>
        <w:t>a</w:t>
      </w:r>
      <w:r w:rsidRPr="0071782F">
        <w:rPr>
          <w:lang w:val="fr-CH"/>
        </w:rPr>
        <w:t xml:space="preserve"> </w:t>
      </w:r>
      <w:r w:rsidR="0097416C" w:rsidRPr="0071782F">
        <w:rPr>
          <w:lang w:val="fr-CH"/>
        </w:rPr>
        <w:t>de terres ont été assurées contre la sécheresse</w:t>
      </w:r>
      <w:r w:rsidRPr="0071782F">
        <w:rPr>
          <w:lang w:val="fr-CH"/>
        </w:rPr>
        <w:t xml:space="preserve">. </w:t>
      </w:r>
      <w:r w:rsidR="0097416C" w:rsidRPr="0071782F">
        <w:rPr>
          <w:lang w:val="fr-CH"/>
        </w:rPr>
        <w:t xml:space="preserve">On a également assuré une superficie de jardins potagers équivalant à </w:t>
      </w:r>
      <w:r w:rsidRPr="0071782F">
        <w:rPr>
          <w:lang w:val="fr-CH"/>
        </w:rPr>
        <w:t>407</w:t>
      </w:r>
      <w:r w:rsidR="00E97CAD">
        <w:rPr>
          <w:lang w:val="fr-CH"/>
        </w:rPr>
        <w:t> </w:t>
      </w:r>
      <w:r w:rsidRPr="0071782F">
        <w:rPr>
          <w:lang w:val="fr-CH"/>
        </w:rPr>
        <w:t>000</w:t>
      </w:r>
      <w:r w:rsidR="00F071D1" w:rsidRPr="0071782F">
        <w:rPr>
          <w:lang w:val="fr-CH"/>
        </w:rPr>
        <w:t> h</w:t>
      </w:r>
      <w:r w:rsidR="00E97CAD">
        <w:rPr>
          <w:lang w:val="fr-CH"/>
        </w:rPr>
        <w:t>a</w:t>
      </w:r>
      <w:r w:rsidRPr="0071782F">
        <w:rPr>
          <w:lang w:val="fr-CH"/>
        </w:rPr>
        <w:t xml:space="preserve">. </w:t>
      </w:r>
      <w:r w:rsidR="0097416C" w:rsidRPr="0071782F">
        <w:rPr>
          <w:lang w:val="fr-CH"/>
        </w:rPr>
        <w:t xml:space="preserve">Par ailleurs, cette même année, on a assuré </w:t>
      </w:r>
      <w:r w:rsidRPr="0071782F">
        <w:rPr>
          <w:lang w:val="fr-CH"/>
        </w:rPr>
        <w:t>10</w:t>
      </w:r>
      <w:r w:rsidR="0097416C" w:rsidRPr="0071782F">
        <w:rPr>
          <w:lang w:val="fr-CH"/>
        </w:rPr>
        <w:t> 437</w:t>
      </w:r>
      <w:r w:rsidR="00C2083C" w:rsidRPr="0071782F">
        <w:rPr>
          <w:lang w:val="fr-CH"/>
        </w:rPr>
        <w:t> </w:t>
      </w:r>
      <w:r w:rsidRPr="0071782F">
        <w:rPr>
          <w:lang w:val="fr-CH"/>
        </w:rPr>
        <w:t xml:space="preserve">000 </w:t>
      </w:r>
      <w:r w:rsidR="0097416C" w:rsidRPr="0071782F">
        <w:rPr>
          <w:lang w:val="fr-CH"/>
        </w:rPr>
        <w:t>têtes de bétail</w:t>
      </w:r>
      <w:r w:rsidRPr="0071782F">
        <w:rPr>
          <w:lang w:val="fr-CH"/>
        </w:rPr>
        <w:t>, 642</w:t>
      </w:r>
      <w:r w:rsidR="00097CDB" w:rsidRPr="0071782F">
        <w:rPr>
          <w:lang w:val="fr-CH"/>
        </w:rPr>
        <w:t> millions</w:t>
      </w:r>
      <w:r w:rsidR="0097416C" w:rsidRPr="0071782F">
        <w:rPr>
          <w:lang w:val="fr-CH"/>
        </w:rPr>
        <w:t xml:space="preserve"> d’oiseaux de basse-cour et </w:t>
      </w:r>
      <w:r w:rsidRPr="0071782F">
        <w:rPr>
          <w:lang w:val="fr-CH"/>
        </w:rPr>
        <w:t>4</w:t>
      </w:r>
      <w:r w:rsidR="00C2083C" w:rsidRPr="0071782F">
        <w:rPr>
          <w:lang w:val="fr-CH"/>
        </w:rPr>
        <w:t> </w:t>
      </w:r>
      <w:r w:rsidRPr="0071782F">
        <w:rPr>
          <w:lang w:val="fr-CH"/>
        </w:rPr>
        <w:t>934</w:t>
      </w:r>
      <w:r w:rsidR="00F071D1" w:rsidRPr="0071782F">
        <w:rPr>
          <w:lang w:val="fr-CH"/>
        </w:rPr>
        <w:t> h</w:t>
      </w:r>
      <w:r w:rsidR="00E97CAD">
        <w:rPr>
          <w:lang w:val="fr-CH"/>
        </w:rPr>
        <w:t>a</w:t>
      </w:r>
      <w:r w:rsidRPr="0071782F">
        <w:rPr>
          <w:lang w:val="fr-CH"/>
        </w:rPr>
        <w:t xml:space="preserve"> </w:t>
      </w:r>
      <w:r w:rsidR="0097416C" w:rsidRPr="0071782F">
        <w:rPr>
          <w:lang w:val="fr-CH"/>
        </w:rPr>
        <w:t>de terres agricoles aquatiques</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t>R</w:t>
      </w:r>
      <w:r w:rsidR="006814E9" w:rsidRPr="0071782F">
        <w:rPr>
          <w:lang w:val="fr-CH"/>
        </w:rPr>
        <w:t xml:space="preserve">églementation de la mise en valeur des terres agricoles </w:t>
      </w:r>
    </w:p>
    <w:p w:rsidR="008A7415" w:rsidRPr="009E6189" w:rsidRDefault="008A7415" w:rsidP="00204410">
      <w:pPr>
        <w:pStyle w:val="SingleTxtG"/>
        <w:rPr>
          <w:spacing w:val="-2"/>
          <w:lang w:val="fr-CH"/>
        </w:rPr>
      </w:pPr>
      <w:r w:rsidRPr="009E6189">
        <w:rPr>
          <w:spacing w:val="-2"/>
          <w:lang w:val="fr-CH"/>
        </w:rPr>
        <w:t>237.</w:t>
      </w:r>
      <w:r w:rsidRPr="009E6189">
        <w:rPr>
          <w:spacing w:val="-2"/>
          <w:lang w:val="fr-CH"/>
        </w:rPr>
        <w:tab/>
      </w:r>
      <w:r w:rsidR="006814E9" w:rsidRPr="009E6189">
        <w:rPr>
          <w:spacing w:val="-2"/>
          <w:lang w:val="fr-CH"/>
        </w:rPr>
        <w:t>E</w:t>
      </w:r>
      <w:r w:rsidRPr="009E6189">
        <w:rPr>
          <w:spacing w:val="-2"/>
          <w:lang w:val="fr-CH"/>
        </w:rPr>
        <w:t xml:space="preserve">n 2006, </w:t>
      </w:r>
      <w:r w:rsidR="006814E9" w:rsidRPr="009E6189">
        <w:rPr>
          <w:spacing w:val="-2"/>
          <w:lang w:val="fr-CH"/>
        </w:rPr>
        <w:t xml:space="preserve">on a récupéré </w:t>
      </w:r>
      <w:r w:rsidRPr="009E6189">
        <w:rPr>
          <w:spacing w:val="-2"/>
          <w:lang w:val="fr-CH"/>
        </w:rPr>
        <w:t>28</w:t>
      </w:r>
      <w:r w:rsidR="006814E9" w:rsidRPr="009E6189">
        <w:rPr>
          <w:spacing w:val="-2"/>
          <w:lang w:val="fr-CH"/>
        </w:rPr>
        <w:t xml:space="preserve"> </w:t>
      </w:r>
      <w:r w:rsidRPr="009E6189">
        <w:rPr>
          <w:spacing w:val="-2"/>
          <w:lang w:val="fr-CH"/>
        </w:rPr>
        <w:t>300</w:t>
      </w:r>
      <w:r w:rsidR="00F071D1" w:rsidRPr="009E6189">
        <w:rPr>
          <w:spacing w:val="-2"/>
          <w:lang w:val="fr-CH"/>
        </w:rPr>
        <w:t> h</w:t>
      </w:r>
      <w:r w:rsidR="009E6189" w:rsidRPr="009E6189">
        <w:rPr>
          <w:spacing w:val="-2"/>
          <w:lang w:val="fr-CH"/>
        </w:rPr>
        <w:t>a</w:t>
      </w:r>
      <w:r w:rsidRPr="009E6189">
        <w:rPr>
          <w:spacing w:val="-2"/>
          <w:lang w:val="fr-CH"/>
        </w:rPr>
        <w:t xml:space="preserve"> </w:t>
      </w:r>
      <w:r w:rsidR="006814E9" w:rsidRPr="009E6189">
        <w:rPr>
          <w:spacing w:val="-2"/>
          <w:lang w:val="fr-CH"/>
        </w:rPr>
        <w:t xml:space="preserve">de terres appartenant à des exploitations agricoles modernes (en amont d’un barrage) et on leur a fourni des équipements modernes, ce qui a permis de réaliser à </w:t>
      </w:r>
      <w:r w:rsidRPr="009E6189">
        <w:rPr>
          <w:spacing w:val="-2"/>
          <w:lang w:val="fr-CH"/>
        </w:rPr>
        <w:t>37</w:t>
      </w:r>
      <w:r w:rsidR="006814E9" w:rsidRPr="009E6189">
        <w:rPr>
          <w:spacing w:val="-2"/>
          <w:lang w:val="fr-CH"/>
        </w:rPr>
        <w:t>,</w:t>
      </w:r>
      <w:r w:rsidRPr="009E6189">
        <w:rPr>
          <w:spacing w:val="-2"/>
          <w:lang w:val="fr-CH"/>
        </w:rPr>
        <w:t>7</w:t>
      </w:r>
      <w:r w:rsidR="007E5125" w:rsidRPr="009E6189">
        <w:rPr>
          <w:spacing w:val="-2"/>
          <w:lang w:val="fr-CH"/>
        </w:rPr>
        <w:t>%</w:t>
      </w:r>
      <w:r w:rsidRPr="009E6189">
        <w:rPr>
          <w:spacing w:val="-2"/>
          <w:lang w:val="fr-CH"/>
        </w:rPr>
        <w:t xml:space="preserve"> </w:t>
      </w:r>
      <w:r w:rsidR="006814E9" w:rsidRPr="009E6189">
        <w:rPr>
          <w:spacing w:val="-2"/>
          <w:lang w:val="fr-CH"/>
        </w:rPr>
        <w:t xml:space="preserve">l’objectif du </w:t>
      </w:r>
      <w:r w:rsidR="00A90208" w:rsidRPr="009E6189">
        <w:rPr>
          <w:spacing w:val="-2"/>
          <w:lang w:val="fr-CH"/>
        </w:rPr>
        <w:t>quatrième</w:t>
      </w:r>
      <w:r w:rsidR="009E6189" w:rsidRPr="009E6189">
        <w:rPr>
          <w:spacing w:val="-2"/>
          <w:lang w:val="fr-CH"/>
        </w:rPr>
        <w:t xml:space="preserve"> </w:t>
      </w:r>
      <w:r w:rsidR="006814E9" w:rsidRPr="009E6189">
        <w:rPr>
          <w:spacing w:val="-2"/>
          <w:lang w:val="fr-CH"/>
        </w:rPr>
        <w:t>plan pour cette année-là (75</w:t>
      </w:r>
      <w:r w:rsidR="00C2083C" w:rsidRPr="009E6189">
        <w:rPr>
          <w:spacing w:val="-2"/>
          <w:lang w:val="fr-CH"/>
        </w:rPr>
        <w:t> </w:t>
      </w:r>
      <w:r w:rsidRPr="009E6189">
        <w:rPr>
          <w:spacing w:val="-2"/>
          <w:lang w:val="fr-CH"/>
        </w:rPr>
        <w:t>000</w:t>
      </w:r>
      <w:r w:rsidR="00F071D1" w:rsidRPr="009E6189">
        <w:rPr>
          <w:spacing w:val="-2"/>
          <w:lang w:val="fr-CH"/>
        </w:rPr>
        <w:t> h</w:t>
      </w:r>
      <w:r w:rsidR="009E6189" w:rsidRPr="009E6189">
        <w:rPr>
          <w:spacing w:val="-2"/>
          <w:lang w:val="fr-CH"/>
        </w:rPr>
        <w:t>a</w:t>
      </w:r>
      <w:r w:rsidRPr="009E6189">
        <w:rPr>
          <w:spacing w:val="-2"/>
          <w:lang w:val="fr-CH"/>
        </w:rPr>
        <w:t xml:space="preserve">). </w:t>
      </w:r>
      <w:r w:rsidR="006814E9" w:rsidRPr="009E6189">
        <w:rPr>
          <w:spacing w:val="-2"/>
          <w:lang w:val="fr-CH"/>
        </w:rPr>
        <w:t xml:space="preserve">En ce qui concerne les exploitations traditionnelles, le chiffre s’est établi à </w:t>
      </w:r>
      <w:r w:rsidRPr="009E6189">
        <w:rPr>
          <w:spacing w:val="-2"/>
          <w:lang w:val="fr-CH"/>
        </w:rPr>
        <w:t>22</w:t>
      </w:r>
      <w:r w:rsidR="00C2083C" w:rsidRPr="009E6189">
        <w:rPr>
          <w:spacing w:val="-2"/>
          <w:lang w:val="fr-CH"/>
        </w:rPr>
        <w:t> </w:t>
      </w:r>
      <w:r w:rsidRPr="009E6189">
        <w:rPr>
          <w:spacing w:val="-2"/>
          <w:lang w:val="fr-CH"/>
        </w:rPr>
        <w:t>500</w:t>
      </w:r>
      <w:r w:rsidR="00F071D1" w:rsidRPr="009E6189">
        <w:rPr>
          <w:spacing w:val="-2"/>
          <w:lang w:val="fr-CH"/>
        </w:rPr>
        <w:t> h</w:t>
      </w:r>
      <w:r w:rsidR="009E6189" w:rsidRPr="009E6189">
        <w:rPr>
          <w:spacing w:val="-2"/>
          <w:lang w:val="fr-CH"/>
        </w:rPr>
        <w:t>a</w:t>
      </w:r>
      <w:r w:rsidRPr="009E6189">
        <w:rPr>
          <w:spacing w:val="-2"/>
          <w:lang w:val="fr-CH"/>
        </w:rPr>
        <w:t xml:space="preserve">, </w:t>
      </w:r>
      <w:r w:rsidR="006814E9" w:rsidRPr="009E6189">
        <w:rPr>
          <w:spacing w:val="-2"/>
          <w:lang w:val="fr-CH"/>
        </w:rPr>
        <w:t xml:space="preserve">soit </w:t>
      </w:r>
      <w:r w:rsidRPr="009E6189">
        <w:rPr>
          <w:spacing w:val="-2"/>
          <w:lang w:val="fr-CH"/>
        </w:rPr>
        <w:t>30</w:t>
      </w:r>
      <w:r w:rsidR="007E5125" w:rsidRPr="009E6189">
        <w:rPr>
          <w:spacing w:val="-2"/>
          <w:lang w:val="fr-CH"/>
        </w:rPr>
        <w:t>%</w:t>
      </w:r>
      <w:r w:rsidRPr="009E6189">
        <w:rPr>
          <w:spacing w:val="-2"/>
          <w:lang w:val="fr-CH"/>
        </w:rPr>
        <w:t xml:space="preserve"> </w:t>
      </w:r>
      <w:r w:rsidR="006814E9" w:rsidRPr="009E6189">
        <w:rPr>
          <w:spacing w:val="-2"/>
          <w:lang w:val="fr-CH"/>
        </w:rPr>
        <w:t>de l’objectif prévu</w:t>
      </w:r>
      <w:r w:rsidRPr="009E6189">
        <w:rPr>
          <w:spacing w:val="-2"/>
          <w:lang w:val="fr-CH"/>
        </w:rPr>
        <w:t xml:space="preserve">. </w:t>
      </w:r>
      <w:r w:rsidR="006814E9" w:rsidRPr="009E6189">
        <w:rPr>
          <w:spacing w:val="-2"/>
          <w:lang w:val="fr-CH"/>
        </w:rPr>
        <w:t>La même année, on a construit des réseaux d’irrigation sous pression pour 80 500</w:t>
      </w:r>
      <w:r w:rsidR="00F071D1" w:rsidRPr="009E6189">
        <w:rPr>
          <w:spacing w:val="-2"/>
          <w:lang w:val="fr-CH"/>
        </w:rPr>
        <w:t> h</w:t>
      </w:r>
      <w:r w:rsidR="009E6189" w:rsidRPr="009E6189">
        <w:rPr>
          <w:spacing w:val="-2"/>
          <w:lang w:val="fr-CH"/>
        </w:rPr>
        <w:t>a</w:t>
      </w:r>
      <w:r w:rsidR="006814E9" w:rsidRPr="009E6189">
        <w:rPr>
          <w:spacing w:val="-2"/>
          <w:lang w:val="fr-CH"/>
        </w:rPr>
        <w:t>, ce qui a permis de réaliser à 84,7</w:t>
      </w:r>
      <w:r w:rsidR="007E5125" w:rsidRPr="009E6189">
        <w:rPr>
          <w:spacing w:val="-2"/>
          <w:lang w:val="fr-CH"/>
        </w:rPr>
        <w:t>%</w:t>
      </w:r>
      <w:r w:rsidR="006814E9" w:rsidRPr="009E6189">
        <w:rPr>
          <w:spacing w:val="-2"/>
          <w:lang w:val="fr-CH"/>
        </w:rPr>
        <w:t xml:space="preserve"> l’objectif du </w:t>
      </w:r>
      <w:r w:rsidR="00A90208" w:rsidRPr="009E6189">
        <w:rPr>
          <w:spacing w:val="-2"/>
          <w:lang w:val="fr-CH"/>
        </w:rPr>
        <w:t>quatrième</w:t>
      </w:r>
      <w:r w:rsidR="009E6189" w:rsidRPr="009E6189">
        <w:rPr>
          <w:spacing w:val="-2"/>
          <w:lang w:val="fr-CH"/>
        </w:rPr>
        <w:t xml:space="preserve"> </w:t>
      </w:r>
      <w:r w:rsidR="006814E9" w:rsidRPr="009E6189">
        <w:rPr>
          <w:spacing w:val="-2"/>
          <w:lang w:val="fr-CH"/>
        </w:rPr>
        <w:t xml:space="preserve">plan </w:t>
      </w:r>
      <w:r w:rsidRPr="009E6189">
        <w:rPr>
          <w:spacing w:val="-2"/>
          <w:lang w:val="fr-CH"/>
        </w:rPr>
        <w:t>(95</w:t>
      </w:r>
      <w:r w:rsidR="00C2083C" w:rsidRPr="009E6189">
        <w:rPr>
          <w:spacing w:val="-2"/>
          <w:lang w:val="fr-CH"/>
        </w:rPr>
        <w:t> </w:t>
      </w:r>
      <w:r w:rsidRPr="009E6189">
        <w:rPr>
          <w:spacing w:val="-2"/>
          <w:lang w:val="fr-CH"/>
        </w:rPr>
        <w:t>000</w:t>
      </w:r>
      <w:r w:rsidR="00F071D1" w:rsidRPr="009E6189">
        <w:rPr>
          <w:spacing w:val="-2"/>
          <w:lang w:val="fr-CH"/>
        </w:rPr>
        <w:t> h</w:t>
      </w:r>
      <w:r w:rsidR="009E6189" w:rsidRPr="009E6189">
        <w:rPr>
          <w:spacing w:val="-2"/>
          <w:lang w:val="fr-CH"/>
        </w:rPr>
        <w:t>a</w:t>
      </w:r>
      <w:r w:rsidRPr="009E6189">
        <w:rPr>
          <w:spacing w:val="-2"/>
          <w:lang w:val="fr-CH"/>
        </w:rPr>
        <w:t>).</w:t>
      </w:r>
    </w:p>
    <w:p w:rsidR="008A7415" w:rsidRPr="0071782F" w:rsidRDefault="008A7415" w:rsidP="00204410">
      <w:pPr>
        <w:pStyle w:val="H1G"/>
        <w:rPr>
          <w:lang w:val="fr-CH"/>
        </w:rPr>
      </w:pPr>
      <w:r w:rsidRPr="0071782F">
        <w:rPr>
          <w:lang w:val="fr-CH"/>
        </w:rPr>
        <w:tab/>
      </w:r>
      <w:r w:rsidRPr="0071782F">
        <w:rPr>
          <w:lang w:val="fr-CH"/>
        </w:rPr>
        <w:tab/>
      </w:r>
      <w:r w:rsidR="006814E9" w:rsidRPr="0071782F">
        <w:rPr>
          <w:lang w:val="fr-CH"/>
        </w:rPr>
        <w:t>Gestion des forêts, des pâturages et des bassins hydrographiques</w:t>
      </w:r>
      <w:r w:rsidRPr="0071782F">
        <w:rPr>
          <w:lang w:val="fr-CH"/>
        </w:rPr>
        <w:t xml:space="preserve"> </w:t>
      </w:r>
    </w:p>
    <w:p w:rsidR="008A7415" w:rsidRPr="0071782F" w:rsidRDefault="008A7415" w:rsidP="00204410">
      <w:pPr>
        <w:pStyle w:val="SingleTxtG"/>
        <w:rPr>
          <w:lang w:val="fr-CH"/>
        </w:rPr>
      </w:pPr>
      <w:r w:rsidRPr="0071782F">
        <w:rPr>
          <w:lang w:val="fr-CH"/>
        </w:rPr>
        <w:t>238.</w:t>
      </w:r>
      <w:r w:rsidRPr="0071782F">
        <w:rPr>
          <w:lang w:val="fr-CH"/>
        </w:rPr>
        <w:tab/>
      </w:r>
      <w:r w:rsidR="006814E9" w:rsidRPr="0071782F">
        <w:rPr>
          <w:lang w:val="fr-CH"/>
        </w:rPr>
        <w:t>E</w:t>
      </w:r>
      <w:r w:rsidRPr="0071782F">
        <w:rPr>
          <w:lang w:val="fr-CH"/>
        </w:rPr>
        <w:t>n 2006, 134</w:t>
      </w:r>
      <w:r w:rsidR="006814E9" w:rsidRPr="0071782F">
        <w:rPr>
          <w:lang w:val="fr-CH"/>
        </w:rPr>
        <w:t xml:space="preserve"> </w:t>
      </w:r>
      <w:r w:rsidRPr="0071782F">
        <w:rPr>
          <w:lang w:val="fr-CH"/>
        </w:rPr>
        <w:t xml:space="preserve">000 </w:t>
      </w:r>
      <w:r w:rsidR="006814E9" w:rsidRPr="0071782F">
        <w:rPr>
          <w:lang w:val="fr-CH"/>
        </w:rPr>
        <w:t>têtes de bétail se trouvant dans les forêts du nord du pays en ont été retirées. Par ailleurs, de</w:t>
      </w:r>
      <w:r w:rsidR="006B5DC8" w:rsidRPr="0071782F">
        <w:rPr>
          <w:lang w:val="fr-CH"/>
        </w:rPr>
        <w:t>s</w:t>
      </w:r>
      <w:r w:rsidR="006814E9" w:rsidRPr="0071782F">
        <w:rPr>
          <w:lang w:val="fr-CH"/>
        </w:rPr>
        <w:t xml:space="preserve"> activités de gestion des bassins hydrographiques et de dispersion des eaux de crue ont été réalisé</w:t>
      </w:r>
      <w:r w:rsidR="006B5DC8" w:rsidRPr="0071782F">
        <w:rPr>
          <w:lang w:val="fr-CH"/>
        </w:rPr>
        <w:t>es</w:t>
      </w:r>
      <w:r w:rsidR="006814E9" w:rsidRPr="0071782F">
        <w:rPr>
          <w:lang w:val="fr-CH"/>
        </w:rPr>
        <w:t xml:space="preserve"> sur </w:t>
      </w:r>
      <w:r w:rsidRPr="0071782F">
        <w:rPr>
          <w:lang w:val="fr-CH"/>
        </w:rPr>
        <w:t>139</w:t>
      </w:r>
      <w:r w:rsidR="00C2083C" w:rsidRPr="0071782F">
        <w:rPr>
          <w:lang w:val="fr-CH"/>
        </w:rPr>
        <w:t> </w:t>
      </w:r>
      <w:r w:rsidRPr="0071782F">
        <w:rPr>
          <w:lang w:val="fr-CH"/>
        </w:rPr>
        <w:t>134</w:t>
      </w:r>
      <w:r w:rsidR="00F071D1" w:rsidRPr="0071782F">
        <w:rPr>
          <w:lang w:val="fr-CH"/>
        </w:rPr>
        <w:t> h</w:t>
      </w:r>
      <w:r w:rsidR="009E6189">
        <w:rPr>
          <w:lang w:val="fr-CH"/>
        </w:rPr>
        <w:t>a</w:t>
      </w:r>
      <w:r w:rsidRPr="0071782F">
        <w:rPr>
          <w:lang w:val="fr-CH"/>
        </w:rPr>
        <w:t>.</w:t>
      </w:r>
    </w:p>
    <w:p w:rsidR="008A7415" w:rsidRPr="0071782F" w:rsidRDefault="008A7415" w:rsidP="005724E6">
      <w:pPr>
        <w:pStyle w:val="SingleTxtG"/>
        <w:ind w:left="1701"/>
        <w:rPr>
          <w:lang w:val="fr-CH"/>
        </w:rPr>
      </w:pPr>
      <w:r w:rsidRPr="0071782F">
        <w:rPr>
          <w:lang w:val="fr-CH"/>
        </w:rPr>
        <w:t>238.1.</w:t>
      </w:r>
      <w:r w:rsidRPr="0071782F">
        <w:rPr>
          <w:lang w:val="fr-CH"/>
        </w:rPr>
        <w:tab/>
      </w:r>
      <w:r w:rsidR="00BC739D" w:rsidRPr="0071782F">
        <w:rPr>
          <w:lang w:val="fr-CH"/>
        </w:rPr>
        <w:t xml:space="preserve">Des activités de contrôle du processus de désertification ont été menées sur une superficie limitée à </w:t>
      </w:r>
      <w:r w:rsidRPr="0071782F">
        <w:rPr>
          <w:lang w:val="fr-CH"/>
        </w:rPr>
        <w:t>62</w:t>
      </w:r>
      <w:r w:rsidR="00C2083C" w:rsidRPr="0071782F">
        <w:rPr>
          <w:lang w:val="fr-CH"/>
        </w:rPr>
        <w:t> </w:t>
      </w:r>
      <w:r w:rsidRPr="0071782F">
        <w:rPr>
          <w:lang w:val="fr-CH"/>
        </w:rPr>
        <w:t>000</w:t>
      </w:r>
      <w:r w:rsidR="00F071D1" w:rsidRPr="0071782F">
        <w:rPr>
          <w:lang w:val="fr-CH"/>
        </w:rPr>
        <w:t> h</w:t>
      </w:r>
      <w:r w:rsidR="009E6189">
        <w:rPr>
          <w:lang w:val="fr-CH"/>
        </w:rPr>
        <w:t>a</w:t>
      </w:r>
      <w:r w:rsidRPr="0071782F">
        <w:rPr>
          <w:lang w:val="fr-CH"/>
        </w:rPr>
        <w:t xml:space="preserve">. </w:t>
      </w:r>
      <w:r w:rsidR="00BC739D" w:rsidRPr="0071782F">
        <w:rPr>
          <w:lang w:val="fr-CH"/>
        </w:rPr>
        <w:t xml:space="preserve">La même année, des activités de parcellement de terres et de séparation des terres exemptées ont été réalisées sur </w:t>
      </w:r>
      <w:r w:rsidRPr="0071782F">
        <w:rPr>
          <w:lang w:val="fr-CH"/>
        </w:rPr>
        <w:t>8</w:t>
      </w:r>
      <w:r w:rsidR="00BC739D" w:rsidRPr="0071782F">
        <w:rPr>
          <w:lang w:val="fr-CH"/>
        </w:rPr>
        <w:t> </w:t>
      </w:r>
      <w:r w:rsidRPr="0071782F">
        <w:rPr>
          <w:lang w:val="fr-CH"/>
        </w:rPr>
        <w:t>617</w:t>
      </w:r>
      <w:r w:rsidR="00B00574">
        <w:rPr>
          <w:lang w:val="fr-CH"/>
        </w:rPr>
        <w:t> </w:t>
      </w:r>
      <w:r w:rsidRPr="0071782F">
        <w:rPr>
          <w:lang w:val="fr-CH"/>
        </w:rPr>
        <w:t>000</w:t>
      </w:r>
      <w:r w:rsidR="00F071D1" w:rsidRPr="0071782F">
        <w:rPr>
          <w:lang w:val="fr-CH"/>
        </w:rPr>
        <w:t> h</w:t>
      </w:r>
      <w:r w:rsidR="009E6189">
        <w:rPr>
          <w:lang w:val="fr-CH"/>
        </w:rPr>
        <w:t>a</w:t>
      </w:r>
      <w:r w:rsidRPr="0071782F">
        <w:rPr>
          <w:lang w:val="fr-CH"/>
        </w:rPr>
        <w:t xml:space="preserve"> </w:t>
      </w:r>
      <w:r w:rsidR="00BC739D" w:rsidRPr="0071782F">
        <w:rPr>
          <w:lang w:val="fr-CH"/>
        </w:rPr>
        <w:t>de terres</w:t>
      </w:r>
      <w:r w:rsidRPr="0071782F">
        <w:rPr>
          <w:lang w:val="fr-CH"/>
        </w:rPr>
        <w:t xml:space="preserve">. </w:t>
      </w:r>
      <w:r w:rsidR="00BC739D" w:rsidRPr="0071782F">
        <w:rPr>
          <w:lang w:val="fr-CH"/>
        </w:rPr>
        <w:t>L’</w:t>
      </w:r>
      <w:r w:rsidRPr="0071782F">
        <w:rPr>
          <w:lang w:val="fr-CH"/>
        </w:rPr>
        <w:t>ex</w:t>
      </w:r>
      <w:r w:rsidR="00BC739D" w:rsidRPr="0071782F">
        <w:rPr>
          <w:lang w:val="fr-CH"/>
        </w:rPr>
        <w:t>é</w:t>
      </w:r>
      <w:r w:rsidRPr="0071782F">
        <w:rPr>
          <w:lang w:val="fr-CH"/>
        </w:rPr>
        <w:t xml:space="preserve">cution </w:t>
      </w:r>
      <w:r w:rsidR="00BC739D" w:rsidRPr="0071782F">
        <w:rPr>
          <w:lang w:val="fr-CH"/>
        </w:rPr>
        <w:t xml:space="preserve">des projets de conservation des forêts et la gestion durable des pâturages ont permis d’incorporer </w:t>
      </w:r>
      <w:r w:rsidRPr="0071782F">
        <w:rPr>
          <w:lang w:val="fr-CH"/>
        </w:rPr>
        <w:t>39</w:t>
      </w:r>
      <w:r w:rsidR="007E5125" w:rsidRPr="0071782F">
        <w:rPr>
          <w:lang w:val="fr-CH"/>
        </w:rPr>
        <w:t>%</w:t>
      </w:r>
      <w:r w:rsidRPr="0071782F">
        <w:rPr>
          <w:lang w:val="fr-CH"/>
        </w:rPr>
        <w:t xml:space="preserve"> </w:t>
      </w:r>
      <w:r w:rsidR="00BC739D" w:rsidRPr="0071782F">
        <w:rPr>
          <w:lang w:val="fr-CH"/>
        </w:rPr>
        <w:t>des forêts et pâturages du pays dans les plans de conservation.</w:t>
      </w:r>
    </w:p>
    <w:p w:rsidR="008A7415" w:rsidRPr="0071782F" w:rsidRDefault="008A7415" w:rsidP="00204410">
      <w:pPr>
        <w:pStyle w:val="H1G"/>
        <w:rPr>
          <w:lang w:val="fr-CH"/>
        </w:rPr>
      </w:pPr>
      <w:r w:rsidRPr="0071782F">
        <w:rPr>
          <w:lang w:val="fr-CH"/>
        </w:rPr>
        <w:tab/>
      </w:r>
      <w:r w:rsidRPr="0071782F">
        <w:rPr>
          <w:lang w:val="fr-CH"/>
        </w:rPr>
        <w:tab/>
        <w:t>Re</w:t>
      </w:r>
      <w:r w:rsidR="00BC739D" w:rsidRPr="0071782F">
        <w:rPr>
          <w:lang w:val="fr-CH"/>
        </w:rPr>
        <w:t>cherche</w:t>
      </w:r>
      <w:r w:rsidRPr="0071782F">
        <w:rPr>
          <w:lang w:val="fr-CH"/>
        </w:rPr>
        <w:t xml:space="preserve">, </w:t>
      </w:r>
      <w:r w:rsidR="00BC739D" w:rsidRPr="0071782F">
        <w:rPr>
          <w:lang w:val="fr-CH"/>
        </w:rPr>
        <w:t>é</w:t>
      </w:r>
      <w:r w:rsidRPr="0071782F">
        <w:rPr>
          <w:lang w:val="fr-CH"/>
        </w:rPr>
        <w:t xml:space="preserve">ducation </w:t>
      </w:r>
      <w:r w:rsidR="00BC739D" w:rsidRPr="0071782F">
        <w:rPr>
          <w:lang w:val="fr-CH"/>
        </w:rPr>
        <w:t xml:space="preserve">et diffusion </w:t>
      </w:r>
    </w:p>
    <w:p w:rsidR="008A7415" w:rsidRPr="003E75EC" w:rsidRDefault="00BC739D" w:rsidP="00204410">
      <w:pPr>
        <w:pStyle w:val="SingleTxtG"/>
        <w:rPr>
          <w:spacing w:val="-2"/>
          <w:lang w:val="fr-CH"/>
        </w:rPr>
      </w:pPr>
      <w:r w:rsidRPr="003E75EC">
        <w:rPr>
          <w:spacing w:val="-2"/>
          <w:lang w:val="fr-CH"/>
        </w:rPr>
        <w:t>239.</w:t>
      </w:r>
      <w:r w:rsidRPr="003E75EC">
        <w:rPr>
          <w:spacing w:val="-2"/>
          <w:lang w:val="fr-CH"/>
        </w:rPr>
        <w:tab/>
        <w:t>E</w:t>
      </w:r>
      <w:r w:rsidR="008A7415" w:rsidRPr="003E75EC">
        <w:rPr>
          <w:spacing w:val="-2"/>
          <w:lang w:val="fr-CH"/>
        </w:rPr>
        <w:t xml:space="preserve">n 2006, </w:t>
      </w:r>
      <w:r w:rsidRPr="003E75EC">
        <w:rPr>
          <w:spacing w:val="-2"/>
          <w:lang w:val="fr-CH"/>
        </w:rPr>
        <w:t>17 000</w:t>
      </w:r>
      <w:r w:rsidR="00F071D1" w:rsidRPr="003E75EC">
        <w:rPr>
          <w:spacing w:val="-2"/>
          <w:lang w:val="fr-CH"/>
        </w:rPr>
        <w:t> h</w:t>
      </w:r>
      <w:r w:rsidR="00E97CAD" w:rsidRPr="003E75EC">
        <w:rPr>
          <w:spacing w:val="-2"/>
          <w:lang w:val="fr-CH"/>
        </w:rPr>
        <w:t>a</w:t>
      </w:r>
      <w:r w:rsidRPr="003E75EC">
        <w:rPr>
          <w:spacing w:val="-2"/>
          <w:lang w:val="fr-CH"/>
        </w:rPr>
        <w:t xml:space="preserve"> ont été consacrés à la </w:t>
      </w:r>
      <w:r w:rsidR="008A7415" w:rsidRPr="003E75EC">
        <w:rPr>
          <w:spacing w:val="-2"/>
          <w:lang w:val="fr-CH"/>
        </w:rPr>
        <w:t xml:space="preserve">production </w:t>
      </w:r>
      <w:r w:rsidRPr="003E75EC">
        <w:rPr>
          <w:spacing w:val="-2"/>
          <w:lang w:val="fr-CH"/>
        </w:rPr>
        <w:t>de semences améliorées et de semences de base</w:t>
      </w:r>
      <w:r w:rsidR="008A7415" w:rsidRPr="003E75EC">
        <w:rPr>
          <w:spacing w:val="-2"/>
          <w:lang w:val="fr-CH"/>
        </w:rPr>
        <w:t xml:space="preserve">. </w:t>
      </w:r>
      <w:r w:rsidRPr="003E75EC">
        <w:rPr>
          <w:spacing w:val="-2"/>
          <w:lang w:val="fr-CH"/>
        </w:rPr>
        <w:t>La même année, 70 000 plants améliorés ont été produits</w:t>
      </w:r>
      <w:r w:rsidR="008A7415" w:rsidRPr="003E75EC">
        <w:rPr>
          <w:spacing w:val="-2"/>
          <w:lang w:val="fr-CH"/>
        </w:rPr>
        <w:t xml:space="preserve">. </w:t>
      </w:r>
      <w:r w:rsidRPr="003E75EC">
        <w:rPr>
          <w:spacing w:val="-2"/>
          <w:lang w:val="fr-CH"/>
        </w:rPr>
        <w:t xml:space="preserve">Une formation et une formation spécialisée informelle ont été dispensées à </w:t>
      </w:r>
      <w:r w:rsidR="008A7415" w:rsidRPr="003E75EC">
        <w:rPr>
          <w:spacing w:val="-2"/>
          <w:lang w:val="fr-CH"/>
        </w:rPr>
        <w:t>148</w:t>
      </w:r>
      <w:r w:rsidR="00C2083C" w:rsidRPr="003E75EC">
        <w:rPr>
          <w:spacing w:val="-2"/>
          <w:lang w:val="fr-CH"/>
        </w:rPr>
        <w:t> </w:t>
      </w:r>
      <w:r w:rsidR="008A7415" w:rsidRPr="003E75EC">
        <w:rPr>
          <w:spacing w:val="-2"/>
          <w:lang w:val="fr-CH"/>
        </w:rPr>
        <w:t xml:space="preserve">000 </w:t>
      </w:r>
      <w:r w:rsidRPr="003E75EC">
        <w:rPr>
          <w:spacing w:val="-2"/>
          <w:lang w:val="fr-CH"/>
        </w:rPr>
        <w:t xml:space="preserve">et à </w:t>
      </w:r>
      <w:r w:rsidR="008A7415" w:rsidRPr="003E75EC">
        <w:rPr>
          <w:spacing w:val="-2"/>
          <w:lang w:val="fr-CH"/>
        </w:rPr>
        <w:t>132</w:t>
      </w:r>
      <w:r w:rsidR="00C2083C" w:rsidRPr="003E75EC">
        <w:rPr>
          <w:spacing w:val="-2"/>
          <w:lang w:val="fr-CH"/>
        </w:rPr>
        <w:t> </w:t>
      </w:r>
      <w:r w:rsidR="008A7415" w:rsidRPr="003E75EC">
        <w:rPr>
          <w:spacing w:val="-2"/>
          <w:lang w:val="fr-CH"/>
        </w:rPr>
        <w:t>000</w:t>
      </w:r>
      <w:r w:rsidR="00097CDB" w:rsidRPr="003E75EC">
        <w:rPr>
          <w:spacing w:val="-2"/>
          <w:lang w:val="fr-CH"/>
        </w:rPr>
        <w:t> personnes</w:t>
      </w:r>
      <w:r w:rsidRPr="003E75EC">
        <w:rPr>
          <w:spacing w:val="-2"/>
          <w:lang w:val="fr-CH"/>
        </w:rPr>
        <w:t>, respectivement</w:t>
      </w:r>
      <w:r w:rsidR="008A7415" w:rsidRPr="003E75EC">
        <w:rPr>
          <w:spacing w:val="-2"/>
          <w:lang w:val="fr-CH"/>
        </w:rPr>
        <w:t xml:space="preserve">, </w:t>
      </w:r>
      <w:r w:rsidRPr="003E75EC">
        <w:rPr>
          <w:spacing w:val="-2"/>
          <w:lang w:val="fr-CH"/>
        </w:rPr>
        <w:t>chiffres inférieurs aux objectifs du plan</w:t>
      </w:r>
      <w:r w:rsidR="008A7415" w:rsidRPr="003E75EC">
        <w:rPr>
          <w:spacing w:val="-2"/>
          <w:lang w:val="fr-CH"/>
        </w:rPr>
        <w:t>.</w:t>
      </w:r>
      <w:r w:rsidRPr="003E75EC">
        <w:rPr>
          <w:spacing w:val="-2"/>
          <w:lang w:val="fr-CH"/>
        </w:rPr>
        <w:t xml:space="preserve"> De surcroît, une formation formelle</w:t>
      </w:r>
      <w:r w:rsidR="008A7415" w:rsidRPr="003E75EC">
        <w:rPr>
          <w:spacing w:val="-2"/>
          <w:lang w:val="fr-CH"/>
        </w:rPr>
        <w:t xml:space="preserve"> (techni</w:t>
      </w:r>
      <w:r w:rsidRPr="003E75EC">
        <w:rPr>
          <w:spacing w:val="-2"/>
          <w:lang w:val="fr-CH"/>
        </w:rPr>
        <w:t>que, professionnelle et spécialisée</w:t>
      </w:r>
      <w:r w:rsidR="008A7415" w:rsidRPr="003E75EC">
        <w:rPr>
          <w:spacing w:val="-2"/>
          <w:lang w:val="fr-CH"/>
        </w:rPr>
        <w:t xml:space="preserve">) </w:t>
      </w:r>
      <w:r w:rsidRPr="003E75EC">
        <w:rPr>
          <w:spacing w:val="-2"/>
          <w:lang w:val="fr-CH"/>
        </w:rPr>
        <w:t xml:space="preserve">a été dispensée à </w:t>
      </w:r>
      <w:r w:rsidR="008A7415" w:rsidRPr="003E75EC">
        <w:rPr>
          <w:spacing w:val="-2"/>
          <w:lang w:val="fr-CH"/>
        </w:rPr>
        <w:t>6</w:t>
      </w:r>
      <w:r w:rsidR="00C2083C" w:rsidRPr="003E75EC">
        <w:rPr>
          <w:spacing w:val="-2"/>
          <w:lang w:val="fr-CH"/>
        </w:rPr>
        <w:t> </w:t>
      </w:r>
      <w:r w:rsidR="008A7415" w:rsidRPr="003E75EC">
        <w:rPr>
          <w:spacing w:val="-2"/>
          <w:lang w:val="fr-CH"/>
        </w:rPr>
        <w:t>469</w:t>
      </w:r>
      <w:r w:rsidR="00C2083C" w:rsidRPr="003E75EC">
        <w:rPr>
          <w:spacing w:val="-2"/>
          <w:lang w:val="fr-CH"/>
        </w:rPr>
        <w:t> </w:t>
      </w:r>
      <w:r w:rsidRPr="003E75EC">
        <w:rPr>
          <w:spacing w:val="-2"/>
          <w:lang w:val="fr-CH"/>
        </w:rPr>
        <w:t>utilisateurs</w:t>
      </w:r>
      <w:r w:rsidR="008A7415" w:rsidRPr="003E75EC">
        <w:rPr>
          <w:spacing w:val="-2"/>
          <w:lang w:val="fr-CH"/>
        </w:rPr>
        <w:t>.</w:t>
      </w:r>
    </w:p>
    <w:p w:rsidR="008A7415" w:rsidRPr="0071782F" w:rsidRDefault="008A7415" w:rsidP="00204410">
      <w:pPr>
        <w:pStyle w:val="H1G"/>
        <w:rPr>
          <w:lang w:val="fr-CH"/>
        </w:rPr>
      </w:pPr>
      <w:r w:rsidRPr="0071782F">
        <w:rPr>
          <w:lang w:val="fr-CH"/>
        </w:rPr>
        <w:tab/>
      </w:r>
      <w:r w:rsidRPr="0071782F">
        <w:rPr>
          <w:lang w:val="fr-CH"/>
        </w:rPr>
        <w:tab/>
      </w:r>
      <w:r w:rsidR="00BC739D" w:rsidRPr="0071782F">
        <w:rPr>
          <w:lang w:val="fr-CH"/>
        </w:rPr>
        <w:t>Document n</w:t>
      </w:r>
      <w:r w:rsidRPr="0071782F">
        <w:rPr>
          <w:lang w:val="fr-CH"/>
        </w:rPr>
        <w:t xml:space="preserve">ational </w:t>
      </w:r>
      <w:r w:rsidR="00BC739D" w:rsidRPr="0071782F">
        <w:rPr>
          <w:lang w:val="fr-CH"/>
        </w:rPr>
        <w:t xml:space="preserve">sur la sécurité alimentaire de la République islamique d’Iran </w:t>
      </w:r>
      <w:r w:rsidRPr="0071782F">
        <w:rPr>
          <w:lang w:val="fr-CH"/>
        </w:rPr>
        <w:t>(a</w:t>
      </w:r>
      <w:r w:rsidR="00BC739D" w:rsidRPr="0071782F">
        <w:rPr>
          <w:lang w:val="fr-CH"/>
        </w:rPr>
        <w:t xml:space="preserve">dopté en </w:t>
      </w:r>
      <w:r w:rsidRPr="0071782F">
        <w:rPr>
          <w:lang w:val="fr-CH"/>
        </w:rPr>
        <w:t xml:space="preserve">2004) </w:t>
      </w:r>
    </w:p>
    <w:p w:rsidR="008A7415" w:rsidRPr="0071782F" w:rsidRDefault="008A7415" w:rsidP="00204410">
      <w:pPr>
        <w:pStyle w:val="SingleTxtG"/>
        <w:rPr>
          <w:lang w:val="fr-CH"/>
        </w:rPr>
      </w:pPr>
      <w:r w:rsidRPr="0071782F">
        <w:rPr>
          <w:lang w:val="fr-CH"/>
        </w:rPr>
        <w:t>240.</w:t>
      </w:r>
      <w:r w:rsidRPr="0071782F">
        <w:rPr>
          <w:lang w:val="fr-CH"/>
        </w:rPr>
        <w:tab/>
      </w:r>
      <w:r w:rsidR="00246D32" w:rsidRPr="0071782F">
        <w:rPr>
          <w:lang w:val="fr-CH"/>
        </w:rPr>
        <w:t xml:space="preserve">Après plusieurs années de réunions et de débats d’experts auxquels ont participé les autorités des organismes </w:t>
      </w:r>
      <w:r w:rsidR="009A7517" w:rsidRPr="0071782F">
        <w:rPr>
          <w:lang w:val="fr-CH"/>
        </w:rPr>
        <w:t>d’</w:t>
      </w:r>
      <w:r w:rsidR="00246D32" w:rsidRPr="0071782F">
        <w:rPr>
          <w:lang w:val="fr-CH"/>
        </w:rPr>
        <w:t>exécuti</w:t>
      </w:r>
      <w:r w:rsidR="009A7517" w:rsidRPr="0071782F">
        <w:rPr>
          <w:lang w:val="fr-CH"/>
        </w:rPr>
        <w:t>on</w:t>
      </w:r>
      <w:r w:rsidR="00246D32" w:rsidRPr="0071782F">
        <w:rPr>
          <w:lang w:val="fr-CH"/>
        </w:rPr>
        <w:t>, scientifiques et universi</w:t>
      </w:r>
      <w:r w:rsidR="00B0408C" w:rsidRPr="0071782F">
        <w:rPr>
          <w:lang w:val="fr-CH"/>
        </w:rPr>
        <w:t>t</w:t>
      </w:r>
      <w:r w:rsidR="009A7517" w:rsidRPr="0071782F">
        <w:rPr>
          <w:lang w:val="fr-CH"/>
        </w:rPr>
        <w:t>aires publics et d</w:t>
      </w:r>
      <w:r w:rsidR="00246D32" w:rsidRPr="0071782F">
        <w:rPr>
          <w:lang w:val="fr-CH"/>
        </w:rPr>
        <w:t xml:space="preserve">es ONG compétents, le document </w:t>
      </w:r>
      <w:r w:rsidRPr="0071782F">
        <w:rPr>
          <w:lang w:val="fr-CH"/>
        </w:rPr>
        <w:t xml:space="preserve">national </w:t>
      </w:r>
      <w:r w:rsidR="00246D32" w:rsidRPr="0071782F">
        <w:rPr>
          <w:lang w:val="fr-CH"/>
        </w:rPr>
        <w:t>sur la sécurité alimentaire, qui doit rester en vigueur pendant cinq</w:t>
      </w:r>
      <w:r w:rsidR="00D82C96" w:rsidRPr="0071782F">
        <w:rPr>
          <w:lang w:val="fr-CH"/>
        </w:rPr>
        <w:t> ans</w:t>
      </w:r>
      <w:r w:rsidR="00246D32" w:rsidRPr="0071782F">
        <w:rPr>
          <w:lang w:val="fr-CH"/>
        </w:rPr>
        <w:t xml:space="preserve">, a été élaboré et adopté en </w:t>
      </w:r>
      <w:r w:rsidRPr="0071782F">
        <w:rPr>
          <w:lang w:val="fr-CH"/>
        </w:rPr>
        <w:t xml:space="preserve">2004. </w:t>
      </w:r>
      <w:r w:rsidR="00246D32" w:rsidRPr="0071782F">
        <w:rPr>
          <w:lang w:val="fr-CH"/>
        </w:rPr>
        <w:t xml:space="preserve">Ce </w:t>
      </w:r>
      <w:r w:rsidRPr="0071782F">
        <w:rPr>
          <w:lang w:val="fr-CH"/>
        </w:rPr>
        <w:t xml:space="preserve">document </w:t>
      </w:r>
      <w:r w:rsidR="00246D32" w:rsidRPr="0071782F">
        <w:rPr>
          <w:lang w:val="fr-CH"/>
        </w:rPr>
        <w:t xml:space="preserve">aborde les problèmes et </w:t>
      </w:r>
      <w:r w:rsidR="009A7517" w:rsidRPr="0071782F">
        <w:rPr>
          <w:lang w:val="fr-CH"/>
        </w:rPr>
        <w:t xml:space="preserve">carences </w:t>
      </w:r>
      <w:r w:rsidR="00246D32" w:rsidRPr="0071782F">
        <w:rPr>
          <w:lang w:val="fr-CH"/>
        </w:rPr>
        <w:t xml:space="preserve">du panier alimentaire iranien ainsi que les objectifs, </w:t>
      </w:r>
      <w:r w:rsidRPr="0071782F">
        <w:rPr>
          <w:lang w:val="fr-CH"/>
        </w:rPr>
        <w:t>strat</w:t>
      </w:r>
      <w:r w:rsidR="00246D32" w:rsidRPr="0071782F">
        <w:rPr>
          <w:lang w:val="fr-CH"/>
        </w:rPr>
        <w:t>é</w:t>
      </w:r>
      <w:r w:rsidRPr="0071782F">
        <w:rPr>
          <w:lang w:val="fr-CH"/>
        </w:rPr>
        <w:t>gies</w:t>
      </w:r>
      <w:r w:rsidR="00246D32" w:rsidRPr="0071782F">
        <w:rPr>
          <w:lang w:val="fr-CH"/>
        </w:rPr>
        <w:t xml:space="preserve"> et programmes d’exécution qui se proposent d’améliorer ce panier.</w:t>
      </w:r>
      <w:r w:rsidR="00D36718">
        <w:rPr>
          <w:lang w:val="fr-CH"/>
        </w:rPr>
        <w:t xml:space="preserve"> </w:t>
      </w:r>
    </w:p>
    <w:p w:rsidR="008A7415" w:rsidRPr="0071782F" w:rsidRDefault="008A7415" w:rsidP="00204410">
      <w:pPr>
        <w:pStyle w:val="H1G"/>
        <w:rPr>
          <w:lang w:val="fr-CH"/>
        </w:rPr>
      </w:pPr>
      <w:r w:rsidRPr="0071782F">
        <w:rPr>
          <w:lang w:val="fr-CH"/>
        </w:rPr>
        <w:tab/>
      </w:r>
      <w:r w:rsidRPr="0071782F">
        <w:rPr>
          <w:lang w:val="fr-CH"/>
        </w:rPr>
        <w:tab/>
        <w:t>D</w:t>
      </w:r>
      <w:r w:rsidR="00246D32" w:rsidRPr="0071782F">
        <w:rPr>
          <w:lang w:val="fr-CH"/>
        </w:rPr>
        <w:t>é</w:t>
      </w:r>
      <w:r w:rsidRPr="0071782F">
        <w:rPr>
          <w:lang w:val="fr-CH"/>
        </w:rPr>
        <w:t xml:space="preserve">finition </w:t>
      </w:r>
      <w:r w:rsidR="00246D32" w:rsidRPr="0071782F">
        <w:rPr>
          <w:lang w:val="fr-CH"/>
        </w:rPr>
        <w:t xml:space="preserve">et portée du développement </w:t>
      </w:r>
      <w:r w:rsidRPr="0071782F">
        <w:rPr>
          <w:lang w:val="fr-CH"/>
        </w:rPr>
        <w:t>intersector</w:t>
      </w:r>
      <w:r w:rsidR="00246D32" w:rsidRPr="0071782F">
        <w:rPr>
          <w:lang w:val="fr-CH"/>
        </w:rPr>
        <w:t>iel</w:t>
      </w:r>
      <w:r w:rsidRPr="0071782F">
        <w:rPr>
          <w:lang w:val="fr-CH"/>
        </w:rPr>
        <w:t xml:space="preserve"> </w:t>
      </w:r>
    </w:p>
    <w:p w:rsidR="008A7415" w:rsidRPr="0071782F" w:rsidRDefault="008A7415" w:rsidP="00204410">
      <w:pPr>
        <w:pStyle w:val="SingleTxtG"/>
        <w:rPr>
          <w:lang w:val="fr-CH"/>
        </w:rPr>
      </w:pPr>
      <w:r w:rsidRPr="0071782F">
        <w:rPr>
          <w:lang w:val="fr-CH"/>
        </w:rPr>
        <w:t>241.</w:t>
      </w:r>
      <w:r w:rsidRPr="0071782F">
        <w:rPr>
          <w:lang w:val="fr-CH"/>
        </w:rPr>
        <w:tab/>
      </w:r>
      <w:r w:rsidR="00B0408C" w:rsidRPr="0071782F">
        <w:rPr>
          <w:lang w:val="fr-CH"/>
        </w:rPr>
        <w:t>L’un des indicateurs et instruments de la croissance et de la prospérité d’un pays est un indicateur du développement humain fondé sur le développement national et la sécurité alimentaire</w:t>
      </w:r>
      <w:r w:rsidRPr="0071782F">
        <w:rPr>
          <w:lang w:val="fr-CH"/>
        </w:rPr>
        <w:t xml:space="preserve">. </w:t>
      </w:r>
      <w:r w:rsidR="00B0408C" w:rsidRPr="0071782F">
        <w:rPr>
          <w:lang w:val="fr-CH"/>
        </w:rPr>
        <w:t xml:space="preserve">Les politiques nationales et sectorielles du pays considèrent comme un objectif important ce que l’on appelle la </w:t>
      </w:r>
      <w:r w:rsidR="00A62149" w:rsidRPr="0071782F">
        <w:rPr>
          <w:lang w:val="fr-CH"/>
        </w:rPr>
        <w:t>"</w:t>
      </w:r>
      <w:r w:rsidR="00B0408C" w:rsidRPr="0071782F">
        <w:rPr>
          <w:lang w:val="fr-CH"/>
        </w:rPr>
        <w:t>vie</w:t>
      </w:r>
      <w:r w:rsidRPr="0071782F">
        <w:rPr>
          <w:lang w:val="fr-CH"/>
        </w:rPr>
        <w:t xml:space="preserve"> </w:t>
      </w:r>
      <w:r w:rsidR="00B0408C" w:rsidRPr="0071782F">
        <w:rPr>
          <w:lang w:val="fr-CH"/>
        </w:rPr>
        <w:t>en bonne santé et dans la prospé</w:t>
      </w:r>
      <w:r w:rsidRPr="0071782F">
        <w:rPr>
          <w:lang w:val="fr-CH"/>
        </w:rPr>
        <w:t>rit</w:t>
      </w:r>
      <w:r w:rsidR="00B0408C" w:rsidRPr="0071782F">
        <w:rPr>
          <w:lang w:val="fr-CH"/>
        </w:rPr>
        <w:t>é</w:t>
      </w:r>
      <w:r w:rsidR="00A62149" w:rsidRPr="0071782F">
        <w:rPr>
          <w:lang w:val="fr-CH"/>
        </w:rPr>
        <w:t>"</w:t>
      </w:r>
      <w:r w:rsidRPr="0071782F">
        <w:rPr>
          <w:lang w:val="fr-CH"/>
        </w:rPr>
        <w:t xml:space="preserve">, </w:t>
      </w:r>
      <w:r w:rsidR="00B0408C" w:rsidRPr="0071782F">
        <w:rPr>
          <w:lang w:val="fr-CH"/>
        </w:rPr>
        <w:t>un indicateur du développement humain qui exige un niveau de santé et de sécurité alimentaire adéquat et une alimentation suffisante</w:t>
      </w:r>
      <w:r w:rsidRPr="0071782F">
        <w:rPr>
          <w:lang w:val="fr-CH"/>
        </w:rPr>
        <w:t xml:space="preserve">. </w:t>
      </w:r>
    </w:p>
    <w:p w:rsidR="008A7415" w:rsidRPr="0071782F" w:rsidRDefault="008A7415" w:rsidP="005724E6">
      <w:pPr>
        <w:pStyle w:val="SingleTxtG"/>
        <w:ind w:left="1701"/>
        <w:rPr>
          <w:lang w:val="fr-CH"/>
        </w:rPr>
      </w:pPr>
      <w:r w:rsidRPr="0071782F">
        <w:rPr>
          <w:lang w:val="fr-CH"/>
        </w:rPr>
        <w:t>241.1.</w:t>
      </w:r>
      <w:r w:rsidRPr="0071782F">
        <w:rPr>
          <w:lang w:val="fr-CH"/>
        </w:rPr>
        <w:tab/>
      </w:r>
      <w:r w:rsidR="009B314D" w:rsidRPr="0071782F">
        <w:rPr>
          <w:lang w:val="fr-CH"/>
        </w:rPr>
        <w:t xml:space="preserve">Il n’y a sécurité alimentaire que lorsque tout un chacun bénéficie à tout moment d’un accès physique et financier à une alimentation suffisante, saine et nutritive qui lui permette de répondre à ses besoins nutritifs et de satisfaire </w:t>
      </w:r>
      <w:r w:rsidR="009A7517" w:rsidRPr="0071782F">
        <w:rPr>
          <w:lang w:val="fr-CH"/>
        </w:rPr>
        <w:t xml:space="preserve">à </w:t>
      </w:r>
      <w:r w:rsidR="009B314D" w:rsidRPr="0071782F">
        <w:rPr>
          <w:lang w:val="fr-CH"/>
        </w:rPr>
        <w:t>ses préférences en matière d’alimentation. On voit que l’une des principales conditions du développement et de la santé de la société et de la mise en place de l’</w:t>
      </w:r>
      <w:r w:rsidRPr="0071782F">
        <w:rPr>
          <w:lang w:val="fr-CH"/>
        </w:rPr>
        <w:t>infrastructure n</w:t>
      </w:r>
      <w:r w:rsidR="009B314D" w:rsidRPr="0071782F">
        <w:rPr>
          <w:lang w:val="fr-CH"/>
        </w:rPr>
        <w:t>é</w:t>
      </w:r>
      <w:r w:rsidRPr="0071782F">
        <w:rPr>
          <w:lang w:val="fr-CH"/>
        </w:rPr>
        <w:t>cessa</w:t>
      </w:r>
      <w:r w:rsidR="009B314D" w:rsidRPr="0071782F">
        <w:rPr>
          <w:lang w:val="fr-CH"/>
        </w:rPr>
        <w:t>ire à la croissance de</w:t>
      </w:r>
      <w:r w:rsidR="009A7517" w:rsidRPr="0071782F">
        <w:rPr>
          <w:lang w:val="fr-CH"/>
        </w:rPr>
        <w:t>s</w:t>
      </w:r>
      <w:r w:rsidR="009B314D" w:rsidRPr="0071782F">
        <w:rPr>
          <w:lang w:val="fr-CH"/>
        </w:rPr>
        <w:t xml:space="preserve"> générations à venir est l’amélioration de l’accès à une alimentation suffisante, adéquate et saine</w:t>
      </w:r>
      <w:r w:rsidRPr="0071782F">
        <w:rPr>
          <w:lang w:val="fr-CH"/>
        </w:rPr>
        <w:t>.</w:t>
      </w:r>
    </w:p>
    <w:p w:rsidR="008A7415" w:rsidRPr="0071782F" w:rsidRDefault="008A7415" w:rsidP="005724E6">
      <w:pPr>
        <w:pStyle w:val="SingleTxtG"/>
        <w:ind w:left="1701"/>
        <w:rPr>
          <w:lang w:val="fr-CH"/>
        </w:rPr>
      </w:pPr>
      <w:r w:rsidRPr="0071782F">
        <w:rPr>
          <w:lang w:val="fr-CH"/>
        </w:rPr>
        <w:t>241.2.</w:t>
      </w:r>
      <w:r w:rsidRPr="0071782F">
        <w:rPr>
          <w:lang w:val="fr-CH"/>
        </w:rPr>
        <w:tab/>
      </w:r>
      <w:r w:rsidR="009B314D" w:rsidRPr="0071782F">
        <w:rPr>
          <w:lang w:val="fr-CH"/>
        </w:rPr>
        <w:t>Par ailleurs, conformément aux critères scientifiques définis ces dernières décennies, l’accès physique et financier à une alimentation suffisante pour garantir une vie saine et active est considéré non seulement comme un droit que tous les citoyens peuvent exercer pour développer leurs talents et capacités, mais aussi comme une liberté positive que les gouvernements ont l’obligation de respecter</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9B314D" w:rsidRPr="0071782F">
        <w:rPr>
          <w:lang w:val="fr-CH"/>
        </w:rPr>
        <w:t xml:space="preserve">Objectif général </w:t>
      </w:r>
    </w:p>
    <w:p w:rsidR="008A7415" w:rsidRPr="0071782F" w:rsidRDefault="008A7415" w:rsidP="00204410">
      <w:pPr>
        <w:pStyle w:val="SingleTxtG"/>
        <w:rPr>
          <w:lang w:val="fr-CH"/>
        </w:rPr>
      </w:pPr>
      <w:r w:rsidRPr="0071782F">
        <w:rPr>
          <w:lang w:val="fr-CH"/>
        </w:rPr>
        <w:t>242.</w:t>
      </w:r>
      <w:r w:rsidRPr="0071782F">
        <w:rPr>
          <w:lang w:val="fr-CH"/>
        </w:rPr>
        <w:tab/>
      </w:r>
      <w:r w:rsidR="009B314D" w:rsidRPr="0071782F">
        <w:rPr>
          <w:lang w:val="fr-CH"/>
        </w:rPr>
        <w:t xml:space="preserve">Fourniture, </w:t>
      </w:r>
      <w:r w:rsidRPr="0071782F">
        <w:rPr>
          <w:lang w:val="fr-CH"/>
        </w:rPr>
        <w:t>pr</w:t>
      </w:r>
      <w:r w:rsidR="009B314D" w:rsidRPr="0071782F">
        <w:rPr>
          <w:lang w:val="fr-CH"/>
        </w:rPr>
        <w:t>é</w:t>
      </w:r>
      <w:r w:rsidRPr="0071782F">
        <w:rPr>
          <w:lang w:val="fr-CH"/>
        </w:rPr>
        <w:t xml:space="preserve">servation </w:t>
      </w:r>
      <w:r w:rsidR="009B314D" w:rsidRPr="0071782F">
        <w:rPr>
          <w:lang w:val="fr-CH"/>
        </w:rPr>
        <w:t>et</w:t>
      </w:r>
      <w:r w:rsidRPr="0071782F">
        <w:rPr>
          <w:lang w:val="fr-CH"/>
        </w:rPr>
        <w:t xml:space="preserve"> promotion </w:t>
      </w:r>
      <w:r w:rsidR="009B314D" w:rsidRPr="0071782F">
        <w:rPr>
          <w:lang w:val="fr-CH"/>
        </w:rPr>
        <w:t>de la sécurité alimentaire et de la nutrition</w:t>
      </w:r>
      <w:r w:rsidRPr="0071782F">
        <w:rPr>
          <w:lang w:val="fr-CH"/>
        </w:rPr>
        <w:t xml:space="preserve">. </w:t>
      </w:r>
    </w:p>
    <w:p w:rsidR="008A7415" w:rsidRPr="0071782F" w:rsidRDefault="008A7415" w:rsidP="00204410">
      <w:pPr>
        <w:pStyle w:val="H1G"/>
        <w:rPr>
          <w:lang w:val="fr-CH"/>
        </w:rPr>
      </w:pPr>
      <w:r w:rsidRPr="0071782F">
        <w:rPr>
          <w:lang w:val="fr-CH"/>
        </w:rPr>
        <w:tab/>
      </w:r>
      <w:r w:rsidRPr="0071782F">
        <w:rPr>
          <w:lang w:val="fr-CH"/>
        </w:rPr>
        <w:tab/>
        <w:t>Strat</w:t>
      </w:r>
      <w:r w:rsidR="009B314D" w:rsidRPr="0071782F">
        <w:rPr>
          <w:lang w:val="fr-CH"/>
        </w:rPr>
        <w:t>é</w:t>
      </w:r>
      <w:r w:rsidRPr="0071782F">
        <w:rPr>
          <w:lang w:val="fr-CH"/>
        </w:rPr>
        <w:t>gies</w:t>
      </w:r>
    </w:p>
    <w:p w:rsidR="008A7415" w:rsidRPr="0071782F" w:rsidRDefault="008A7415" w:rsidP="00204410">
      <w:pPr>
        <w:pStyle w:val="SingleTxtG"/>
        <w:rPr>
          <w:lang w:val="fr-CH"/>
        </w:rPr>
      </w:pPr>
      <w:r w:rsidRPr="0071782F">
        <w:rPr>
          <w:lang w:val="fr-CH"/>
        </w:rPr>
        <w:t>243.</w:t>
      </w:r>
      <w:r w:rsidRPr="0071782F">
        <w:rPr>
          <w:lang w:val="fr-CH"/>
        </w:rPr>
        <w:tab/>
      </w:r>
      <w:r w:rsidR="009B314D" w:rsidRPr="0071782F">
        <w:rPr>
          <w:lang w:val="fr-CH"/>
        </w:rPr>
        <w:t>Les stratégies sont notamment les suivantes</w:t>
      </w:r>
      <w:r w:rsidR="008F7D33" w:rsidRPr="0071782F">
        <w:rPr>
          <w:lang w:val="fr-CH"/>
        </w:rPr>
        <w:t>:</w:t>
      </w:r>
    </w:p>
    <w:p w:rsidR="008A7415" w:rsidRPr="0071782F" w:rsidRDefault="008A7415" w:rsidP="005724E6">
      <w:pPr>
        <w:pStyle w:val="SingleTxtG"/>
        <w:ind w:left="1701"/>
        <w:rPr>
          <w:lang w:val="fr-CH"/>
        </w:rPr>
      </w:pPr>
      <w:r w:rsidRPr="0071782F">
        <w:rPr>
          <w:lang w:val="fr-CH"/>
        </w:rPr>
        <w:t>243.1.</w:t>
      </w:r>
      <w:r w:rsidRPr="0071782F">
        <w:rPr>
          <w:lang w:val="fr-CH"/>
        </w:rPr>
        <w:tab/>
      </w:r>
      <w:r w:rsidR="00F03A49" w:rsidRPr="0071782F">
        <w:rPr>
          <w:lang w:val="fr-CH"/>
        </w:rPr>
        <w:t>Sensibilisation des décideurs au niveau national à la nécessité de passer d’une approche macroéconomique à une approche microéconomique, c’est-à-dire d’un approvisionnement suffisant à une consommation d’aliments de qualité.</w:t>
      </w:r>
      <w:r w:rsidR="00D36718">
        <w:rPr>
          <w:lang w:val="fr-CH"/>
        </w:rPr>
        <w:t xml:space="preserve"> </w:t>
      </w:r>
    </w:p>
    <w:p w:rsidR="008A7415" w:rsidRPr="0071782F" w:rsidRDefault="008A7415" w:rsidP="005724E6">
      <w:pPr>
        <w:pStyle w:val="SingleTxtG"/>
        <w:ind w:left="1701"/>
        <w:rPr>
          <w:lang w:val="fr-CH"/>
        </w:rPr>
      </w:pPr>
      <w:r w:rsidRPr="0071782F">
        <w:rPr>
          <w:lang w:val="fr-CH"/>
        </w:rPr>
        <w:t>243.2.</w:t>
      </w:r>
      <w:r w:rsidRPr="0071782F">
        <w:rPr>
          <w:lang w:val="fr-CH"/>
        </w:rPr>
        <w:tab/>
      </w:r>
      <w:r w:rsidR="00F03A49" w:rsidRPr="0071782F">
        <w:rPr>
          <w:lang w:val="fr-CH"/>
        </w:rPr>
        <w:t xml:space="preserve">Prise des mesures destinées à garantir à tous les citoyens l’accès à un panier alimentaire approprié. </w:t>
      </w:r>
    </w:p>
    <w:p w:rsidR="008A7415" w:rsidRPr="0071782F" w:rsidRDefault="008A7415" w:rsidP="005724E6">
      <w:pPr>
        <w:pStyle w:val="SingleTxtG"/>
        <w:ind w:left="1701"/>
        <w:rPr>
          <w:lang w:val="fr-CH"/>
        </w:rPr>
      </w:pPr>
      <w:r w:rsidRPr="0071782F">
        <w:rPr>
          <w:lang w:val="fr-CH"/>
        </w:rPr>
        <w:t>243.3.</w:t>
      </w:r>
      <w:r w:rsidRPr="0071782F">
        <w:rPr>
          <w:lang w:val="fr-CH"/>
        </w:rPr>
        <w:tab/>
        <w:t>R</w:t>
      </w:r>
      <w:r w:rsidR="00F03A49" w:rsidRPr="0071782F">
        <w:rPr>
          <w:lang w:val="fr-CH"/>
        </w:rPr>
        <w:t xml:space="preserve">éorientation des subventions </w:t>
      </w:r>
      <w:r w:rsidR="009A7517" w:rsidRPr="0071782F">
        <w:rPr>
          <w:lang w:val="fr-CH"/>
        </w:rPr>
        <w:t xml:space="preserve">destinées </w:t>
      </w:r>
      <w:r w:rsidR="00F03A49" w:rsidRPr="0071782F">
        <w:rPr>
          <w:lang w:val="fr-CH"/>
        </w:rPr>
        <w:t>aux produits alimentaires.</w:t>
      </w:r>
    </w:p>
    <w:p w:rsidR="008A7415" w:rsidRPr="0071782F" w:rsidRDefault="008A7415" w:rsidP="005724E6">
      <w:pPr>
        <w:pStyle w:val="SingleTxtG"/>
        <w:ind w:left="1701"/>
        <w:rPr>
          <w:lang w:val="fr-CH"/>
        </w:rPr>
      </w:pPr>
      <w:r w:rsidRPr="0071782F">
        <w:rPr>
          <w:lang w:val="fr-CH"/>
        </w:rPr>
        <w:t>243.4.</w:t>
      </w:r>
      <w:r w:rsidRPr="0071782F">
        <w:rPr>
          <w:lang w:val="fr-CH"/>
        </w:rPr>
        <w:tab/>
      </w:r>
      <w:r w:rsidR="00F03A49" w:rsidRPr="0071782F">
        <w:rPr>
          <w:lang w:val="fr-CH"/>
        </w:rPr>
        <w:t xml:space="preserve">Garantie de la salubrité de la </w:t>
      </w:r>
      <w:r w:rsidRPr="0071782F">
        <w:rPr>
          <w:lang w:val="fr-CH"/>
        </w:rPr>
        <w:t xml:space="preserve">production, </w:t>
      </w:r>
      <w:r w:rsidR="00F03A49" w:rsidRPr="0071782F">
        <w:rPr>
          <w:lang w:val="fr-CH"/>
        </w:rPr>
        <w:t xml:space="preserve">du stockage, de la transformation, de la </w:t>
      </w:r>
      <w:r w:rsidRPr="0071782F">
        <w:rPr>
          <w:lang w:val="fr-CH"/>
        </w:rPr>
        <w:t xml:space="preserve">distribution </w:t>
      </w:r>
      <w:r w:rsidR="00F03A49" w:rsidRPr="0071782F">
        <w:rPr>
          <w:lang w:val="fr-CH"/>
        </w:rPr>
        <w:t>et de la consommation des produits alimentaires</w:t>
      </w:r>
      <w:r w:rsidR="005724E6" w:rsidRPr="0071782F">
        <w:rPr>
          <w:lang w:val="fr-CH"/>
        </w:rPr>
        <w:t>.</w:t>
      </w:r>
    </w:p>
    <w:p w:rsidR="008A7415" w:rsidRPr="0071782F" w:rsidRDefault="008A7415" w:rsidP="005724E6">
      <w:pPr>
        <w:pStyle w:val="SingleTxtG"/>
        <w:ind w:left="1701"/>
        <w:rPr>
          <w:lang w:val="fr-CH"/>
        </w:rPr>
      </w:pPr>
      <w:r w:rsidRPr="0071782F">
        <w:rPr>
          <w:lang w:val="fr-CH"/>
        </w:rPr>
        <w:t>243.5.</w:t>
      </w:r>
      <w:r w:rsidRPr="0071782F">
        <w:rPr>
          <w:lang w:val="fr-CH"/>
        </w:rPr>
        <w:tab/>
      </w:r>
      <w:r w:rsidR="00F03A49" w:rsidRPr="0071782F">
        <w:rPr>
          <w:lang w:val="fr-CH"/>
        </w:rPr>
        <w:t>Amélioration du niveau de la technologie et de la production dans la chaîne alimentaire, depuis la production jusqu’à la consommation.</w:t>
      </w:r>
      <w:r w:rsidR="00D36718">
        <w:rPr>
          <w:lang w:val="fr-CH"/>
        </w:rPr>
        <w:t xml:space="preserve"> </w:t>
      </w:r>
    </w:p>
    <w:p w:rsidR="008A7415" w:rsidRPr="0071782F" w:rsidRDefault="008A7415" w:rsidP="005724E6">
      <w:pPr>
        <w:pStyle w:val="SingleTxtG"/>
        <w:ind w:left="1701"/>
        <w:rPr>
          <w:lang w:val="fr-CH"/>
        </w:rPr>
      </w:pPr>
      <w:r w:rsidRPr="0071782F">
        <w:rPr>
          <w:lang w:val="fr-CH"/>
        </w:rPr>
        <w:t>243.6.</w:t>
      </w:r>
      <w:r w:rsidRPr="0071782F">
        <w:rPr>
          <w:lang w:val="fr-CH"/>
        </w:rPr>
        <w:tab/>
        <w:t>D</w:t>
      </w:r>
      <w:r w:rsidR="00F03A49" w:rsidRPr="0071782F">
        <w:rPr>
          <w:lang w:val="fr-CH"/>
        </w:rPr>
        <w:t xml:space="preserve">éveloppement des </w:t>
      </w:r>
      <w:r w:rsidRPr="0071782F">
        <w:rPr>
          <w:lang w:val="fr-CH"/>
        </w:rPr>
        <w:t>export</w:t>
      </w:r>
      <w:r w:rsidR="00F03A49" w:rsidRPr="0071782F">
        <w:rPr>
          <w:lang w:val="fr-CH"/>
        </w:rPr>
        <w:t>ations de produits alimentaires</w:t>
      </w:r>
      <w:r w:rsidR="005724E6" w:rsidRPr="0071782F">
        <w:rPr>
          <w:lang w:val="fr-CH"/>
        </w:rPr>
        <w:t>.</w:t>
      </w:r>
      <w:r w:rsidRPr="0071782F">
        <w:rPr>
          <w:lang w:val="fr-CH"/>
        </w:rPr>
        <w:t xml:space="preserve"> </w:t>
      </w:r>
    </w:p>
    <w:p w:rsidR="008A7415" w:rsidRPr="0071782F" w:rsidRDefault="008A7415" w:rsidP="005724E6">
      <w:pPr>
        <w:pStyle w:val="SingleTxtG"/>
        <w:ind w:left="1701"/>
        <w:rPr>
          <w:lang w:val="fr-CH"/>
        </w:rPr>
      </w:pPr>
      <w:r w:rsidRPr="0071782F">
        <w:rPr>
          <w:lang w:val="fr-CH"/>
        </w:rPr>
        <w:t>243.7.</w:t>
      </w:r>
      <w:r w:rsidRPr="0071782F">
        <w:rPr>
          <w:lang w:val="fr-CH"/>
        </w:rPr>
        <w:tab/>
        <w:t>Facilitati</w:t>
      </w:r>
      <w:r w:rsidR="00F03A49" w:rsidRPr="0071782F">
        <w:rPr>
          <w:lang w:val="fr-CH"/>
        </w:rPr>
        <w:t>on de l’accès aux aliments frais, en particulier les fruits et les légumes</w:t>
      </w:r>
      <w:r w:rsidR="005724E6" w:rsidRPr="0071782F">
        <w:rPr>
          <w:lang w:val="fr-CH"/>
        </w:rPr>
        <w:t>.</w:t>
      </w:r>
    </w:p>
    <w:p w:rsidR="008A7415" w:rsidRPr="0071782F" w:rsidRDefault="008A7415" w:rsidP="005724E6">
      <w:pPr>
        <w:pStyle w:val="SingleTxtG"/>
        <w:ind w:left="1701"/>
        <w:rPr>
          <w:lang w:val="fr-CH"/>
        </w:rPr>
      </w:pPr>
      <w:r w:rsidRPr="0071782F">
        <w:rPr>
          <w:lang w:val="fr-CH"/>
        </w:rPr>
        <w:t>243.8.</w:t>
      </w:r>
      <w:r w:rsidRPr="0071782F">
        <w:rPr>
          <w:lang w:val="fr-CH"/>
        </w:rPr>
        <w:tab/>
      </w:r>
      <w:r w:rsidR="00F03A49" w:rsidRPr="0071782F">
        <w:rPr>
          <w:lang w:val="fr-CH"/>
        </w:rPr>
        <w:t xml:space="preserve">Renforcement de l’autonomie des quartiers, </w:t>
      </w:r>
      <w:r w:rsidR="004E45FB" w:rsidRPr="0071782F">
        <w:rPr>
          <w:lang w:val="fr-CH"/>
        </w:rPr>
        <w:t>des familles</w:t>
      </w:r>
      <w:r w:rsidR="00F03A49" w:rsidRPr="0071782F">
        <w:rPr>
          <w:lang w:val="fr-CH"/>
        </w:rPr>
        <w:t xml:space="preserve"> et des individus</w:t>
      </w:r>
      <w:r w:rsidR="005724E6" w:rsidRPr="0071782F">
        <w:rPr>
          <w:lang w:val="fr-CH"/>
        </w:rPr>
        <w:t>.</w:t>
      </w:r>
      <w:r w:rsidRPr="0071782F">
        <w:rPr>
          <w:lang w:val="fr-CH"/>
        </w:rPr>
        <w:t xml:space="preserve"> </w:t>
      </w:r>
    </w:p>
    <w:p w:rsidR="008A7415" w:rsidRPr="0071782F" w:rsidRDefault="008A7415" w:rsidP="005724E6">
      <w:pPr>
        <w:pStyle w:val="SingleTxtG"/>
        <w:ind w:left="1701"/>
        <w:rPr>
          <w:lang w:val="fr-CH"/>
        </w:rPr>
      </w:pPr>
      <w:r w:rsidRPr="0071782F">
        <w:rPr>
          <w:lang w:val="fr-CH"/>
        </w:rPr>
        <w:t>243.9.</w:t>
      </w:r>
      <w:r w:rsidRPr="0071782F">
        <w:rPr>
          <w:lang w:val="fr-CH"/>
        </w:rPr>
        <w:tab/>
        <w:t xml:space="preserve">Intervention </w:t>
      </w:r>
      <w:r w:rsidR="00F03A49" w:rsidRPr="0071782F">
        <w:rPr>
          <w:lang w:val="fr-CH"/>
        </w:rPr>
        <w:t>dans les segments de la société où existe un problème de micronutriments</w:t>
      </w:r>
      <w:r w:rsidR="005724E6" w:rsidRPr="0071782F">
        <w:rPr>
          <w:lang w:val="fr-CH"/>
        </w:rPr>
        <w:t>.</w:t>
      </w:r>
      <w:r w:rsidRPr="0071782F">
        <w:rPr>
          <w:lang w:val="fr-CH"/>
        </w:rPr>
        <w:t xml:space="preserve"> </w:t>
      </w:r>
    </w:p>
    <w:p w:rsidR="008A7415" w:rsidRPr="0071782F" w:rsidRDefault="005724E6" w:rsidP="005724E6">
      <w:pPr>
        <w:pStyle w:val="SingleTxtG"/>
        <w:ind w:left="1701"/>
        <w:rPr>
          <w:lang w:val="fr-CH"/>
        </w:rPr>
      </w:pPr>
      <w:r w:rsidRPr="0071782F">
        <w:rPr>
          <w:lang w:val="fr-CH"/>
        </w:rPr>
        <w:t xml:space="preserve">243.10. </w:t>
      </w:r>
      <w:r w:rsidR="008A7415" w:rsidRPr="0071782F">
        <w:rPr>
          <w:lang w:val="fr-CH"/>
        </w:rPr>
        <w:t xml:space="preserve">Promotion </w:t>
      </w:r>
      <w:r w:rsidR="00243970" w:rsidRPr="0071782F">
        <w:rPr>
          <w:lang w:val="fr-CH"/>
        </w:rPr>
        <w:t xml:space="preserve">d’une culture de l’alimentation et de la </w:t>
      </w:r>
      <w:r w:rsidR="008A7415" w:rsidRPr="0071782F">
        <w:rPr>
          <w:lang w:val="fr-CH"/>
        </w:rPr>
        <w:t xml:space="preserve">nutrition </w:t>
      </w:r>
      <w:r w:rsidR="00243970" w:rsidRPr="0071782F">
        <w:rPr>
          <w:lang w:val="fr-CH"/>
        </w:rPr>
        <w:t>et sensibilisation à celles-ci</w:t>
      </w:r>
      <w:r w:rsidRPr="0071782F">
        <w:rPr>
          <w:lang w:val="fr-CH"/>
        </w:rPr>
        <w:t>.</w:t>
      </w:r>
      <w:r w:rsidR="008A7415" w:rsidRPr="0071782F">
        <w:rPr>
          <w:lang w:val="fr-CH"/>
        </w:rPr>
        <w:t xml:space="preserve"> </w:t>
      </w:r>
    </w:p>
    <w:p w:rsidR="008A7415" w:rsidRPr="0071782F" w:rsidRDefault="008A7415" w:rsidP="005724E6">
      <w:pPr>
        <w:pStyle w:val="SingleTxtG"/>
        <w:ind w:left="1701"/>
        <w:rPr>
          <w:lang w:val="fr-CH"/>
        </w:rPr>
      </w:pPr>
      <w:r w:rsidRPr="0071782F">
        <w:rPr>
          <w:lang w:val="fr-CH"/>
        </w:rPr>
        <w:t>243.11.</w:t>
      </w:r>
      <w:r w:rsidR="005724E6" w:rsidRPr="0071782F">
        <w:rPr>
          <w:lang w:val="fr-CH"/>
        </w:rPr>
        <w:t xml:space="preserve"> </w:t>
      </w:r>
      <w:r w:rsidR="00243970" w:rsidRPr="0071782F">
        <w:rPr>
          <w:lang w:val="fr-CH"/>
        </w:rPr>
        <w:t xml:space="preserve">Surveillance systématique de la </w:t>
      </w:r>
      <w:r w:rsidRPr="0071782F">
        <w:rPr>
          <w:lang w:val="fr-CH"/>
        </w:rPr>
        <w:t xml:space="preserve">situation </w:t>
      </w:r>
      <w:r w:rsidR="00243970" w:rsidRPr="0071782F">
        <w:rPr>
          <w:lang w:val="fr-CH"/>
        </w:rPr>
        <w:t>de l’alimentation et de la nutrition dans la société</w:t>
      </w:r>
      <w:r w:rsidR="005724E6" w:rsidRPr="0071782F">
        <w:rPr>
          <w:lang w:val="fr-CH"/>
        </w:rPr>
        <w:t>.</w:t>
      </w:r>
    </w:p>
    <w:p w:rsidR="008A7415" w:rsidRPr="0071782F" w:rsidRDefault="008A7415" w:rsidP="005724E6">
      <w:pPr>
        <w:pStyle w:val="SingleTxtG"/>
        <w:ind w:left="1701"/>
        <w:rPr>
          <w:lang w:val="fr-CH"/>
        </w:rPr>
      </w:pPr>
      <w:r w:rsidRPr="0071782F">
        <w:rPr>
          <w:lang w:val="fr-CH"/>
        </w:rPr>
        <w:t>243.12.</w:t>
      </w:r>
      <w:r w:rsidR="005724E6" w:rsidRPr="0071782F">
        <w:rPr>
          <w:lang w:val="fr-CH"/>
        </w:rPr>
        <w:t xml:space="preserve"> </w:t>
      </w:r>
      <w:r w:rsidRPr="0071782F">
        <w:rPr>
          <w:lang w:val="fr-CH"/>
        </w:rPr>
        <w:t>D</w:t>
      </w:r>
      <w:r w:rsidR="00243970" w:rsidRPr="0071782F">
        <w:rPr>
          <w:lang w:val="fr-CH"/>
        </w:rPr>
        <w:t>éveloppement de spécialités et de capacités de recherche interdisciplinaires.</w:t>
      </w:r>
      <w:r w:rsidR="00D36718">
        <w:rPr>
          <w:lang w:val="fr-CH"/>
        </w:rPr>
        <w:t xml:space="preserve"> </w:t>
      </w:r>
    </w:p>
    <w:p w:rsidR="008A7415" w:rsidRPr="0071782F" w:rsidRDefault="008A7415" w:rsidP="005724E6">
      <w:pPr>
        <w:pStyle w:val="SingleTxtG"/>
        <w:ind w:left="1701"/>
        <w:rPr>
          <w:lang w:val="fr-CH"/>
        </w:rPr>
      </w:pPr>
      <w:r w:rsidRPr="0071782F">
        <w:rPr>
          <w:lang w:val="fr-CH"/>
        </w:rPr>
        <w:t>243.13.</w:t>
      </w:r>
      <w:r w:rsidR="005724E6" w:rsidRPr="0071782F">
        <w:rPr>
          <w:lang w:val="fr-CH"/>
        </w:rPr>
        <w:t xml:space="preserve"> </w:t>
      </w:r>
      <w:r w:rsidR="00243970" w:rsidRPr="0071782F">
        <w:rPr>
          <w:lang w:val="fr-CH"/>
        </w:rPr>
        <w:t xml:space="preserve">Durabilité de la </w:t>
      </w:r>
      <w:r w:rsidRPr="0071782F">
        <w:rPr>
          <w:lang w:val="fr-CH"/>
        </w:rPr>
        <w:t xml:space="preserve">production </w:t>
      </w:r>
      <w:r w:rsidR="00243970" w:rsidRPr="0071782F">
        <w:rPr>
          <w:lang w:val="fr-CH"/>
        </w:rPr>
        <w:t>et de l’offre de produits agricoles et alimentaires appropriés à des prix raisonnables</w:t>
      </w:r>
      <w:r w:rsidRPr="0071782F">
        <w:rPr>
          <w:lang w:val="fr-CH"/>
        </w:rPr>
        <w:t>.</w:t>
      </w:r>
      <w:r w:rsidR="00D36718">
        <w:rPr>
          <w:lang w:val="fr-CH"/>
        </w:rPr>
        <w:t xml:space="preserve"> </w:t>
      </w:r>
    </w:p>
    <w:p w:rsidR="008A7415" w:rsidRPr="0071782F" w:rsidRDefault="008A7415" w:rsidP="00204410">
      <w:pPr>
        <w:pStyle w:val="H1G"/>
        <w:rPr>
          <w:lang w:val="fr-CH"/>
        </w:rPr>
      </w:pPr>
      <w:r w:rsidRPr="0071782F">
        <w:rPr>
          <w:lang w:val="fr-CH"/>
        </w:rPr>
        <w:tab/>
      </w:r>
      <w:r w:rsidRPr="0071782F">
        <w:rPr>
          <w:lang w:val="fr-CH"/>
        </w:rPr>
        <w:tab/>
      </w:r>
      <w:r w:rsidR="00243970" w:rsidRPr="0071782F">
        <w:rPr>
          <w:lang w:val="fr-CH"/>
        </w:rPr>
        <w:t>Objectifs q</w:t>
      </w:r>
      <w:r w:rsidRPr="0071782F">
        <w:rPr>
          <w:lang w:val="fr-CH"/>
        </w:rPr>
        <w:t>uantitati</w:t>
      </w:r>
      <w:r w:rsidR="00243970" w:rsidRPr="0071782F">
        <w:rPr>
          <w:lang w:val="fr-CH"/>
        </w:rPr>
        <w:t>fs</w:t>
      </w:r>
      <w:r w:rsidRPr="0071782F">
        <w:rPr>
          <w:lang w:val="fr-CH"/>
        </w:rPr>
        <w:t xml:space="preserve"> </w:t>
      </w:r>
    </w:p>
    <w:p w:rsidR="008A7415" w:rsidRPr="0071782F" w:rsidRDefault="008A7415" w:rsidP="00204410">
      <w:pPr>
        <w:pStyle w:val="SingleTxtG"/>
        <w:rPr>
          <w:lang w:val="fr-CH"/>
        </w:rPr>
      </w:pPr>
      <w:r w:rsidRPr="0071782F">
        <w:rPr>
          <w:lang w:val="fr-CH"/>
        </w:rPr>
        <w:t>244.</w:t>
      </w:r>
      <w:r w:rsidRPr="0071782F">
        <w:rPr>
          <w:lang w:val="fr-CH"/>
        </w:rPr>
        <w:tab/>
      </w:r>
      <w:r w:rsidR="00243970" w:rsidRPr="0071782F">
        <w:rPr>
          <w:lang w:val="fr-CH"/>
        </w:rPr>
        <w:t>Il s’agit notamment des objectifs suivants</w:t>
      </w:r>
      <w:r w:rsidR="008F7D33" w:rsidRPr="0071782F">
        <w:rPr>
          <w:lang w:val="fr-CH"/>
        </w:rPr>
        <w:t>:</w:t>
      </w:r>
    </w:p>
    <w:p w:rsidR="008A7415" w:rsidRPr="0071782F" w:rsidRDefault="008A7415" w:rsidP="005724E6">
      <w:pPr>
        <w:pStyle w:val="SingleTxtG"/>
        <w:ind w:left="1701"/>
        <w:rPr>
          <w:lang w:val="fr-CH"/>
        </w:rPr>
      </w:pPr>
      <w:r w:rsidRPr="0071782F">
        <w:rPr>
          <w:lang w:val="fr-CH"/>
        </w:rPr>
        <w:t>244.1.</w:t>
      </w:r>
      <w:r w:rsidRPr="0071782F">
        <w:rPr>
          <w:lang w:val="fr-CH"/>
        </w:rPr>
        <w:tab/>
        <w:t>D</w:t>
      </w:r>
      <w:r w:rsidR="00243970" w:rsidRPr="0071782F">
        <w:rPr>
          <w:lang w:val="fr-CH"/>
        </w:rPr>
        <w:t>éveloppement d’un profil de consommation basé sur le panier alimentaire recommandé</w:t>
      </w:r>
      <w:r w:rsidR="009A327E" w:rsidRPr="0071782F">
        <w:rPr>
          <w:lang w:val="fr-CH"/>
        </w:rPr>
        <w:t>.</w:t>
      </w:r>
    </w:p>
    <w:p w:rsidR="008A7415" w:rsidRPr="0071782F" w:rsidRDefault="008A7415" w:rsidP="005724E6">
      <w:pPr>
        <w:pStyle w:val="SingleTxtG"/>
        <w:ind w:left="1701"/>
        <w:rPr>
          <w:lang w:val="fr-CH"/>
        </w:rPr>
      </w:pPr>
      <w:r w:rsidRPr="0071782F">
        <w:rPr>
          <w:lang w:val="fr-CH"/>
        </w:rPr>
        <w:t>244.2.</w:t>
      </w:r>
      <w:r w:rsidRPr="0071782F">
        <w:rPr>
          <w:lang w:val="fr-CH"/>
        </w:rPr>
        <w:tab/>
      </w:r>
      <w:r w:rsidR="00243970" w:rsidRPr="0071782F">
        <w:rPr>
          <w:lang w:val="fr-CH"/>
        </w:rPr>
        <w:t>Développement d’un profil d’offre de produits alimentaires basé sur le panier alimentaire recommandé</w:t>
      </w:r>
      <w:r w:rsidR="009A327E" w:rsidRPr="0071782F">
        <w:rPr>
          <w:lang w:val="fr-CH"/>
        </w:rPr>
        <w:t>.</w:t>
      </w:r>
    </w:p>
    <w:p w:rsidR="008A7415" w:rsidRPr="0071782F" w:rsidRDefault="008A7415" w:rsidP="005724E6">
      <w:pPr>
        <w:pStyle w:val="SingleTxtG"/>
        <w:ind w:left="1701"/>
        <w:rPr>
          <w:lang w:val="fr-CH"/>
        </w:rPr>
      </w:pPr>
      <w:r w:rsidRPr="0071782F">
        <w:rPr>
          <w:lang w:val="fr-CH"/>
        </w:rPr>
        <w:t>244.3.</w:t>
      </w:r>
      <w:r w:rsidRPr="0071782F">
        <w:rPr>
          <w:lang w:val="fr-CH"/>
        </w:rPr>
        <w:tab/>
      </w:r>
      <w:r w:rsidR="00243970" w:rsidRPr="0071782F">
        <w:rPr>
          <w:lang w:val="fr-CH"/>
        </w:rPr>
        <w:t>Nécessité de porter la consommation de protéines animales par habitant à 29 grammes par jour</w:t>
      </w:r>
      <w:r w:rsidR="009A327E" w:rsidRPr="0071782F">
        <w:rPr>
          <w:lang w:val="fr-CH"/>
        </w:rPr>
        <w:t>.</w:t>
      </w:r>
    </w:p>
    <w:p w:rsidR="008A7415" w:rsidRPr="0071782F" w:rsidRDefault="008A7415" w:rsidP="005724E6">
      <w:pPr>
        <w:pStyle w:val="SingleTxtG"/>
        <w:ind w:left="1701"/>
        <w:rPr>
          <w:lang w:val="fr-CH"/>
        </w:rPr>
      </w:pPr>
      <w:r w:rsidRPr="0071782F">
        <w:rPr>
          <w:lang w:val="fr-CH"/>
        </w:rPr>
        <w:t>244.4.</w:t>
      </w:r>
      <w:r w:rsidRPr="0071782F">
        <w:rPr>
          <w:lang w:val="fr-CH"/>
        </w:rPr>
        <w:tab/>
        <w:t>R</w:t>
      </w:r>
      <w:r w:rsidR="00243970" w:rsidRPr="0071782F">
        <w:rPr>
          <w:lang w:val="fr-CH"/>
        </w:rPr>
        <w:t>é</w:t>
      </w:r>
      <w:r w:rsidRPr="0071782F">
        <w:rPr>
          <w:lang w:val="fr-CH"/>
        </w:rPr>
        <w:t xml:space="preserve">duction </w:t>
      </w:r>
      <w:r w:rsidR="00243970" w:rsidRPr="0071782F">
        <w:rPr>
          <w:lang w:val="fr-CH"/>
        </w:rPr>
        <w:t xml:space="preserve">de la </w:t>
      </w:r>
      <w:r w:rsidRPr="0071782F">
        <w:rPr>
          <w:lang w:val="fr-CH"/>
        </w:rPr>
        <w:t xml:space="preserve">malnutrition </w:t>
      </w:r>
      <w:r w:rsidR="00243970" w:rsidRPr="0071782F">
        <w:rPr>
          <w:lang w:val="fr-CH"/>
        </w:rPr>
        <w:t xml:space="preserve">et de la carence en </w:t>
      </w:r>
      <w:r w:rsidRPr="0071782F">
        <w:rPr>
          <w:lang w:val="fr-CH"/>
        </w:rPr>
        <w:t>micronutri</w:t>
      </w:r>
      <w:r w:rsidR="00243970" w:rsidRPr="0071782F">
        <w:rPr>
          <w:lang w:val="fr-CH"/>
        </w:rPr>
        <w:t>m</w:t>
      </w:r>
      <w:r w:rsidRPr="0071782F">
        <w:rPr>
          <w:lang w:val="fr-CH"/>
        </w:rPr>
        <w:t xml:space="preserve">ents </w:t>
      </w:r>
      <w:r w:rsidR="00243970" w:rsidRPr="0071782F">
        <w:rPr>
          <w:lang w:val="fr-CH"/>
        </w:rPr>
        <w:t>comme suit</w:t>
      </w:r>
      <w:r w:rsidR="009A327E" w:rsidRPr="0071782F">
        <w:rPr>
          <w:lang w:val="fr-CH"/>
        </w:rPr>
        <w:t>.</w:t>
      </w:r>
    </w:p>
    <w:p w:rsidR="008A7415" w:rsidRPr="0071782F" w:rsidRDefault="008A7415" w:rsidP="005724E6">
      <w:pPr>
        <w:pStyle w:val="SingleTxtG"/>
        <w:ind w:left="1701"/>
        <w:rPr>
          <w:lang w:val="fr-CH"/>
        </w:rPr>
      </w:pPr>
      <w:r w:rsidRPr="0071782F">
        <w:rPr>
          <w:lang w:val="fr-CH"/>
        </w:rPr>
        <w:t>244.5.</w:t>
      </w:r>
      <w:r w:rsidRPr="0071782F">
        <w:rPr>
          <w:lang w:val="fr-CH"/>
        </w:rPr>
        <w:tab/>
      </w:r>
      <w:r w:rsidR="00243970" w:rsidRPr="0071782F">
        <w:rPr>
          <w:lang w:val="fr-CH"/>
        </w:rPr>
        <w:t xml:space="preserve">Réduction de </w:t>
      </w:r>
      <w:r w:rsidRPr="0071782F">
        <w:rPr>
          <w:lang w:val="fr-CH"/>
        </w:rPr>
        <w:t>10</w:t>
      </w:r>
      <w:r w:rsidR="007E5125" w:rsidRPr="0071782F">
        <w:rPr>
          <w:lang w:val="fr-CH"/>
        </w:rPr>
        <w:t>%</w:t>
      </w:r>
      <w:r w:rsidRPr="0071782F">
        <w:rPr>
          <w:lang w:val="fr-CH"/>
        </w:rPr>
        <w:t xml:space="preserve"> </w:t>
      </w:r>
      <w:r w:rsidR="00243970" w:rsidRPr="0071782F">
        <w:rPr>
          <w:lang w:val="fr-CH"/>
        </w:rPr>
        <w:t xml:space="preserve">du taux de </w:t>
      </w:r>
      <w:r w:rsidRPr="0071782F">
        <w:rPr>
          <w:lang w:val="fr-CH"/>
        </w:rPr>
        <w:t xml:space="preserve">malnutrition </w:t>
      </w:r>
      <w:r w:rsidR="00243970" w:rsidRPr="0071782F">
        <w:rPr>
          <w:lang w:val="fr-CH"/>
        </w:rPr>
        <w:t>parmi les enfants âgés de moins de cinq</w:t>
      </w:r>
      <w:r w:rsidR="00D82C96" w:rsidRPr="0071782F">
        <w:rPr>
          <w:lang w:val="fr-CH"/>
        </w:rPr>
        <w:t> ans</w:t>
      </w:r>
      <w:r w:rsidR="00243970" w:rsidRPr="0071782F">
        <w:rPr>
          <w:lang w:val="fr-CH"/>
        </w:rPr>
        <w:t>, sur la base de l’indicateur taille/âge</w:t>
      </w:r>
      <w:r w:rsidR="009A327E" w:rsidRPr="0071782F">
        <w:rPr>
          <w:lang w:val="fr-CH"/>
        </w:rPr>
        <w:t>.</w:t>
      </w:r>
      <w:r w:rsidRPr="0071782F">
        <w:rPr>
          <w:lang w:val="fr-CH"/>
        </w:rPr>
        <w:t xml:space="preserve"> </w:t>
      </w:r>
    </w:p>
    <w:p w:rsidR="008A7415" w:rsidRPr="0071782F" w:rsidRDefault="008A7415" w:rsidP="005724E6">
      <w:pPr>
        <w:pStyle w:val="SingleTxtG"/>
        <w:ind w:left="1701"/>
        <w:rPr>
          <w:lang w:val="fr-CH"/>
        </w:rPr>
      </w:pPr>
      <w:r w:rsidRPr="0071782F">
        <w:rPr>
          <w:lang w:val="fr-CH"/>
        </w:rPr>
        <w:t>244.6.</w:t>
      </w:r>
      <w:r w:rsidRPr="0071782F">
        <w:rPr>
          <w:lang w:val="fr-CH"/>
        </w:rPr>
        <w:tab/>
      </w:r>
      <w:r w:rsidR="00243970" w:rsidRPr="0071782F">
        <w:rPr>
          <w:lang w:val="fr-CH"/>
        </w:rPr>
        <w:t>Réduction de 10</w:t>
      </w:r>
      <w:r w:rsidR="007E5125" w:rsidRPr="0071782F">
        <w:rPr>
          <w:lang w:val="fr-CH"/>
        </w:rPr>
        <w:t>%</w:t>
      </w:r>
      <w:r w:rsidR="00243970" w:rsidRPr="0071782F">
        <w:rPr>
          <w:lang w:val="fr-CH"/>
        </w:rPr>
        <w:t xml:space="preserve"> du taux de malnutrition parmi les enfants âgés de moins de cinq</w:t>
      </w:r>
      <w:r w:rsidR="00D82C96" w:rsidRPr="0071782F">
        <w:rPr>
          <w:lang w:val="fr-CH"/>
        </w:rPr>
        <w:t> ans</w:t>
      </w:r>
      <w:r w:rsidR="00243970" w:rsidRPr="0071782F">
        <w:rPr>
          <w:lang w:val="fr-CH"/>
        </w:rPr>
        <w:t>, sur la base de l’indicateur poids/âge</w:t>
      </w:r>
      <w:r w:rsidR="009A327E" w:rsidRPr="0071782F">
        <w:rPr>
          <w:lang w:val="fr-CH"/>
        </w:rPr>
        <w:t>.</w:t>
      </w:r>
      <w:r w:rsidRPr="0071782F">
        <w:rPr>
          <w:lang w:val="fr-CH"/>
        </w:rPr>
        <w:t xml:space="preserve"> </w:t>
      </w:r>
    </w:p>
    <w:p w:rsidR="008A7415" w:rsidRPr="0071782F" w:rsidRDefault="008A7415" w:rsidP="005724E6">
      <w:pPr>
        <w:pStyle w:val="SingleTxtG"/>
        <w:ind w:left="1701"/>
        <w:rPr>
          <w:lang w:val="fr-CH"/>
        </w:rPr>
      </w:pPr>
      <w:r w:rsidRPr="0071782F">
        <w:rPr>
          <w:lang w:val="fr-CH"/>
        </w:rPr>
        <w:t>244.7.</w:t>
      </w:r>
      <w:r w:rsidRPr="0071782F">
        <w:rPr>
          <w:lang w:val="fr-CH"/>
        </w:rPr>
        <w:tab/>
      </w:r>
      <w:r w:rsidR="00243970" w:rsidRPr="0071782F">
        <w:rPr>
          <w:lang w:val="fr-CH"/>
        </w:rPr>
        <w:t>Réduction de 10</w:t>
      </w:r>
      <w:r w:rsidR="007E5125" w:rsidRPr="0071782F">
        <w:rPr>
          <w:lang w:val="fr-CH"/>
        </w:rPr>
        <w:t>%</w:t>
      </w:r>
      <w:r w:rsidR="00243970" w:rsidRPr="0071782F">
        <w:rPr>
          <w:lang w:val="fr-CH"/>
        </w:rPr>
        <w:t xml:space="preserve"> de la carence en</w:t>
      </w:r>
      <w:r w:rsidRPr="0071782F">
        <w:rPr>
          <w:lang w:val="fr-CH"/>
        </w:rPr>
        <w:t xml:space="preserve"> zinc </w:t>
      </w:r>
      <w:r w:rsidR="00243970" w:rsidRPr="0071782F">
        <w:rPr>
          <w:lang w:val="fr-CH"/>
        </w:rPr>
        <w:t>parmi les différents groupes d’âge</w:t>
      </w:r>
      <w:r w:rsidR="009A327E" w:rsidRPr="0071782F">
        <w:rPr>
          <w:lang w:val="fr-CH"/>
        </w:rPr>
        <w:t>.</w:t>
      </w:r>
    </w:p>
    <w:p w:rsidR="008A7415" w:rsidRPr="0071782F" w:rsidRDefault="008A7415" w:rsidP="005724E6">
      <w:pPr>
        <w:pStyle w:val="SingleTxtG"/>
        <w:ind w:left="1701"/>
        <w:rPr>
          <w:lang w:val="fr-CH"/>
        </w:rPr>
      </w:pPr>
      <w:r w:rsidRPr="0071782F">
        <w:rPr>
          <w:lang w:val="fr-CH"/>
        </w:rPr>
        <w:t>244.8.</w:t>
      </w:r>
      <w:r w:rsidRPr="0071782F">
        <w:rPr>
          <w:lang w:val="fr-CH"/>
        </w:rPr>
        <w:tab/>
      </w:r>
      <w:r w:rsidR="00243970" w:rsidRPr="0071782F">
        <w:rPr>
          <w:lang w:val="fr-CH"/>
        </w:rPr>
        <w:t>Réduction de 10</w:t>
      </w:r>
      <w:r w:rsidR="007E5125" w:rsidRPr="0071782F">
        <w:rPr>
          <w:lang w:val="fr-CH"/>
        </w:rPr>
        <w:t>%</w:t>
      </w:r>
      <w:r w:rsidR="00243970" w:rsidRPr="0071782F">
        <w:rPr>
          <w:lang w:val="fr-CH"/>
        </w:rPr>
        <w:t xml:space="preserve"> de la carence en fer grave parmi les différents groupes d’âge</w:t>
      </w:r>
      <w:r w:rsidR="009A327E" w:rsidRPr="0071782F">
        <w:rPr>
          <w:lang w:val="fr-CH"/>
        </w:rPr>
        <w:t>.</w:t>
      </w:r>
    </w:p>
    <w:p w:rsidR="008A7415" w:rsidRPr="0071782F" w:rsidRDefault="008A7415" w:rsidP="005724E6">
      <w:pPr>
        <w:pStyle w:val="SingleTxtG"/>
        <w:ind w:left="1701"/>
        <w:rPr>
          <w:lang w:val="fr-CH"/>
        </w:rPr>
      </w:pPr>
      <w:r w:rsidRPr="0071782F">
        <w:rPr>
          <w:lang w:val="fr-CH"/>
        </w:rPr>
        <w:t>244.9.</w:t>
      </w:r>
      <w:r w:rsidRPr="0071782F">
        <w:rPr>
          <w:lang w:val="fr-CH"/>
        </w:rPr>
        <w:tab/>
      </w:r>
      <w:r w:rsidR="00243970" w:rsidRPr="0071782F">
        <w:rPr>
          <w:lang w:val="fr-CH"/>
        </w:rPr>
        <w:t>Réduction de 10</w:t>
      </w:r>
      <w:r w:rsidR="007E5125" w:rsidRPr="0071782F">
        <w:rPr>
          <w:lang w:val="fr-CH"/>
        </w:rPr>
        <w:t>%</w:t>
      </w:r>
      <w:r w:rsidR="00243970" w:rsidRPr="0071782F">
        <w:rPr>
          <w:lang w:val="fr-CH"/>
        </w:rPr>
        <w:t xml:space="preserve"> de l’avitaminose </w:t>
      </w:r>
      <w:r w:rsidRPr="0071782F">
        <w:rPr>
          <w:lang w:val="fr-CH"/>
        </w:rPr>
        <w:t xml:space="preserve">D </w:t>
      </w:r>
      <w:r w:rsidR="00243970" w:rsidRPr="0071782F">
        <w:rPr>
          <w:lang w:val="fr-CH"/>
        </w:rPr>
        <w:t>parmi les femmes enceintes</w:t>
      </w:r>
      <w:r w:rsidR="009A327E" w:rsidRPr="0071782F">
        <w:rPr>
          <w:lang w:val="fr-CH"/>
        </w:rPr>
        <w:t>.</w:t>
      </w:r>
    </w:p>
    <w:p w:rsidR="008A7415" w:rsidRPr="0071782F" w:rsidRDefault="008A7415" w:rsidP="005724E6">
      <w:pPr>
        <w:pStyle w:val="SingleTxtG"/>
        <w:ind w:left="1701"/>
        <w:rPr>
          <w:lang w:val="fr-CH"/>
        </w:rPr>
      </w:pPr>
      <w:r w:rsidRPr="0071782F">
        <w:rPr>
          <w:lang w:val="fr-CH"/>
        </w:rPr>
        <w:t>244.10.</w:t>
      </w:r>
      <w:r w:rsidR="009A327E" w:rsidRPr="0071782F">
        <w:rPr>
          <w:lang w:val="fr-CH"/>
        </w:rPr>
        <w:t xml:space="preserve"> </w:t>
      </w:r>
      <w:r w:rsidR="00243970" w:rsidRPr="0071782F">
        <w:rPr>
          <w:lang w:val="fr-CH"/>
        </w:rPr>
        <w:t>Réduction de 10</w:t>
      </w:r>
      <w:r w:rsidR="007E5125" w:rsidRPr="0071782F">
        <w:rPr>
          <w:lang w:val="fr-CH"/>
        </w:rPr>
        <w:t>%</w:t>
      </w:r>
      <w:r w:rsidR="00243970" w:rsidRPr="0071782F">
        <w:rPr>
          <w:lang w:val="fr-CH"/>
        </w:rPr>
        <w:t xml:space="preserve"> de l’avitaminose A parmi les femmes enceintes</w:t>
      </w:r>
      <w:r w:rsidR="009A327E" w:rsidRPr="0071782F">
        <w:rPr>
          <w:lang w:val="fr-CH"/>
        </w:rPr>
        <w:t>.</w:t>
      </w:r>
    </w:p>
    <w:p w:rsidR="008A7415" w:rsidRPr="0071782F" w:rsidRDefault="008A7415" w:rsidP="005724E6">
      <w:pPr>
        <w:pStyle w:val="SingleTxtG"/>
        <w:ind w:left="1701"/>
        <w:rPr>
          <w:lang w:val="fr-CH"/>
        </w:rPr>
      </w:pPr>
      <w:r w:rsidRPr="0071782F">
        <w:rPr>
          <w:lang w:val="fr-CH"/>
        </w:rPr>
        <w:t>244.11.</w:t>
      </w:r>
      <w:r w:rsidR="009A327E" w:rsidRPr="0071782F">
        <w:rPr>
          <w:lang w:val="fr-CH"/>
        </w:rPr>
        <w:t xml:space="preserve"> </w:t>
      </w:r>
      <w:r w:rsidR="00243970" w:rsidRPr="0071782F">
        <w:rPr>
          <w:lang w:val="fr-CH"/>
        </w:rPr>
        <w:t>Réduction de 10</w:t>
      </w:r>
      <w:r w:rsidR="007E5125" w:rsidRPr="0071782F">
        <w:rPr>
          <w:lang w:val="fr-CH"/>
        </w:rPr>
        <w:t>%</w:t>
      </w:r>
      <w:r w:rsidR="00243970" w:rsidRPr="0071782F">
        <w:rPr>
          <w:lang w:val="fr-CH"/>
        </w:rPr>
        <w:t xml:space="preserve"> du </w:t>
      </w:r>
      <w:r w:rsidR="003B48A4" w:rsidRPr="0071782F">
        <w:rPr>
          <w:lang w:val="fr-CH"/>
        </w:rPr>
        <w:t>nombre</w:t>
      </w:r>
      <w:r w:rsidRPr="0071782F">
        <w:rPr>
          <w:lang w:val="fr-CH"/>
        </w:rPr>
        <w:t xml:space="preserve"> </w:t>
      </w:r>
      <w:r w:rsidR="00D82C96" w:rsidRPr="0071782F">
        <w:rPr>
          <w:lang w:val="fr-CH"/>
        </w:rPr>
        <w:t>de personnes</w:t>
      </w:r>
      <w:r w:rsidR="00243970" w:rsidRPr="0071782F">
        <w:rPr>
          <w:lang w:val="fr-CH"/>
        </w:rPr>
        <w:t xml:space="preserve"> souffrant d’obésité</w:t>
      </w:r>
      <w:r w:rsidR="009A327E" w:rsidRPr="0071782F">
        <w:rPr>
          <w:lang w:val="fr-CH"/>
        </w:rPr>
        <w:t>.</w:t>
      </w:r>
      <w:r w:rsidRPr="0071782F">
        <w:rPr>
          <w:lang w:val="fr-CH"/>
        </w:rPr>
        <w:t xml:space="preserve"> </w:t>
      </w:r>
    </w:p>
    <w:p w:rsidR="008A7415" w:rsidRPr="0071782F" w:rsidRDefault="008A7415" w:rsidP="005724E6">
      <w:pPr>
        <w:pStyle w:val="SingleTxtG"/>
        <w:ind w:left="1701"/>
        <w:rPr>
          <w:lang w:val="fr-CH"/>
        </w:rPr>
      </w:pPr>
      <w:r w:rsidRPr="0071782F">
        <w:rPr>
          <w:lang w:val="fr-CH"/>
        </w:rPr>
        <w:t>244.12.</w:t>
      </w:r>
      <w:r w:rsidR="009A327E" w:rsidRPr="0071782F">
        <w:rPr>
          <w:lang w:val="fr-CH"/>
        </w:rPr>
        <w:t xml:space="preserve"> </w:t>
      </w:r>
      <w:r w:rsidR="00D760BB" w:rsidRPr="0071782F">
        <w:rPr>
          <w:lang w:val="fr-CH"/>
        </w:rPr>
        <w:t>Nécessité d’é</w:t>
      </w:r>
      <w:r w:rsidR="00243970" w:rsidRPr="0071782F">
        <w:rPr>
          <w:lang w:val="fr-CH"/>
        </w:rPr>
        <w:t>lever de 25</w:t>
      </w:r>
      <w:r w:rsidR="007E5125" w:rsidRPr="0071782F">
        <w:rPr>
          <w:lang w:val="fr-CH"/>
        </w:rPr>
        <w:t>%</w:t>
      </w:r>
      <w:r w:rsidR="00243970" w:rsidRPr="0071782F">
        <w:rPr>
          <w:lang w:val="fr-CH"/>
        </w:rPr>
        <w:t xml:space="preserve"> la conscience de l’importance de la nutrition parmi les différents groupes d’âge</w:t>
      </w:r>
      <w:r w:rsidR="009A327E" w:rsidRPr="0071782F">
        <w:rPr>
          <w:lang w:val="fr-CH"/>
        </w:rPr>
        <w:t>.</w:t>
      </w:r>
    </w:p>
    <w:p w:rsidR="008A7415" w:rsidRPr="0071782F" w:rsidRDefault="008A7415" w:rsidP="003D43D2">
      <w:pPr>
        <w:pStyle w:val="SingleTxtG"/>
        <w:ind w:left="1701"/>
        <w:rPr>
          <w:lang w:val="fr-CH"/>
        </w:rPr>
      </w:pPr>
      <w:r w:rsidRPr="0071782F">
        <w:rPr>
          <w:lang w:val="fr-CH"/>
        </w:rPr>
        <w:t>244.13.</w:t>
      </w:r>
      <w:r w:rsidR="009A327E" w:rsidRPr="0071782F">
        <w:rPr>
          <w:lang w:val="fr-CH"/>
        </w:rPr>
        <w:t xml:space="preserve"> </w:t>
      </w:r>
      <w:r w:rsidRPr="0071782F">
        <w:rPr>
          <w:lang w:val="fr-CH"/>
        </w:rPr>
        <w:t>R</w:t>
      </w:r>
      <w:r w:rsidR="00D760BB" w:rsidRPr="0071782F">
        <w:rPr>
          <w:lang w:val="fr-CH"/>
        </w:rPr>
        <w:t>éduction de 50</w:t>
      </w:r>
      <w:r w:rsidR="007E5125" w:rsidRPr="0071782F">
        <w:rPr>
          <w:lang w:val="fr-CH"/>
        </w:rPr>
        <w:t>%</w:t>
      </w:r>
      <w:r w:rsidR="00D760BB" w:rsidRPr="0071782F">
        <w:rPr>
          <w:lang w:val="fr-CH"/>
        </w:rPr>
        <w:t xml:space="preserve"> des déchets alimentaires.</w:t>
      </w:r>
    </w:p>
    <w:p w:rsidR="008A7415" w:rsidRPr="0071782F" w:rsidRDefault="008A7415" w:rsidP="003D43D2">
      <w:pPr>
        <w:pStyle w:val="SingleTxtG"/>
        <w:ind w:left="1701"/>
        <w:rPr>
          <w:lang w:val="fr-CH"/>
        </w:rPr>
      </w:pPr>
      <w:r w:rsidRPr="0071782F">
        <w:rPr>
          <w:lang w:val="fr-CH"/>
        </w:rPr>
        <w:t>244.14.</w:t>
      </w:r>
      <w:r w:rsidR="009A327E" w:rsidRPr="0071782F">
        <w:rPr>
          <w:lang w:val="fr-CH"/>
        </w:rPr>
        <w:t xml:space="preserve"> </w:t>
      </w:r>
      <w:r w:rsidR="00D760BB" w:rsidRPr="0071782F">
        <w:rPr>
          <w:lang w:val="fr-CH"/>
        </w:rPr>
        <w:t>Mise en place de système</w:t>
      </w:r>
      <w:r w:rsidR="009A7517" w:rsidRPr="0071782F">
        <w:rPr>
          <w:lang w:val="fr-CH"/>
        </w:rPr>
        <w:t>s</w:t>
      </w:r>
      <w:r w:rsidR="00D760BB" w:rsidRPr="0071782F">
        <w:rPr>
          <w:lang w:val="fr-CH"/>
        </w:rPr>
        <w:t xml:space="preserve"> de garantie de la qualité dans </w:t>
      </w:r>
      <w:r w:rsidRPr="0071782F">
        <w:rPr>
          <w:lang w:val="fr-CH"/>
        </w:rPr>
        <w:t>10</w:t>
      </w:r>
      <w:r w:rsidR="007E5125" w:rsidRPr="0071782F">
        <w:rPr>
          <w:lang w:val="fr-CH"/>
        </w:rPr>
        <w:t>%</w:t>
      </w:r>
      <w:r w:rsidRPr="0071782F">
        <w:rPr>
          <w:lang w:val="fr-CH"/>
        </w:rPr>
        <w:t xml:space="preserve"> </w:t>
      </w:r>
      <w:r w:rsidR="00A83442">
        <w:rPr>
          <w:lang w:val="fr-CH"/>
        </w:rPr>
        <w:t>des unités</w:t>
      </w:r>
      <w:r w:rsidR="00D760BB" w:rsidRPr="0071782F">
        <w:rPr>
          <w:lang w:val="fr-CH"/>
        </w:rPr>
        <w:t xml:space="preserve"> de </w:t>
      </w:r>
      <w:r w:rsidRPr="0071782F">
        <w:rPr>
          <w:lang w:val="fr-CH"/>
        </w:rPr>
        <w:t xml:space="preserve">production </w:t>
      </w:r>
      <w:r w:rsidR="00D760BB" w:rsidRPr="0071782F">
        <w:rPr>
          <w:lang w:val="fr-CH"/>
        </w:rPr>
        <w:t xml:space="preserve">et </w:t>
      </w:r>
      <w:r w:rsidRPr="0071782F">
        <w:rPr>
          <w:lang w:val="fr-CH"/>
        </w:rPr>
        <w:t>50</w:t>
      </w:r>
      <w:r w:rsidR="007E5125" w:rsidRPr="0071782F">
        <w:rPr>
          <w:lang w:val="fr-CH"/>
        </w:rPr>
        <w:t>%</w:t>
      </w:r>
      <w:r w:rsidRPr="0071782F">
        <w:rPr>
          <w:lang w:val="fr-CH"/>
        </w:rPr>
        <w:t xml:space="preserve"> </w:t>
      </w:r>
      <w:r w:rsidR="00A83442">
        <w:rPr>
          <w:lang w:val="fr-CH"/>
        </w:rPr>
        <w:t>des unités</w:t>
      </w:r>
      <w:r w:rsidR="00D760BB" w:rsidRPr="0071782F">
        <w:rPr>
          <w:lang w:val="fr-CH"/>
        </w:rPr>
        <w:t xml:space="preserve"> de transformation et de stockage</w:t>
      </w:r>
      <w:r w:rsidR="009A327E" w:rsidRPr="0071782F">
        <w:rPr>
          <w:lang w:val="fr-CH"/>
        </w:rPr>
        <w:t>.</w:t>
      </w:r>
    </w:p>
    <w:p w:rsidR="008A7415" w:rsidRPr="0071782F" w:rsidRDefault="008A7415" w:rsidP="005724E6">
      <w:pPr>
        <w:pStyle w:val="SingleTxtG"/>
        <w:ind w:left="1701"/>
        <w:rPr>
          <w:lang w:val="fr-CH"/>
        </w:rPr>
      </w:pPr>
      <w:r w:rsidRPr="0071782F">
        <w:rPr>
          <w:lang w:val="fr-CH"/>
        </w:rPr>
        <w:t>244.15.</w:t>
      </w:r>
      <w:r w:rsidR="009A327E" w:rsidRPr="0071782F">
        <w:rPr>
          <w:lang w:val="fr-CH"/>
        </w:rPr>
        <w:t xml:space="preserve"> </w:t>
      </w:r>
      <w:r w:rsidR="00D760BB" w:rsidRPr="0071782F">
        <w:rPr>
          <w:lang w:val="fr-CH"/>
        </w:rPr>
        <w:t>Augmentation de 20</w:t>
      </w:r>
      <w:r w:rsidR="007E5125" w:rsidRPr="0071782F">
        <w:rPr>
          <w:lang w:val="fr-CH"/>
        </w:rPr>
        <w:t>%</w:t>
      </w:r>
      <w:r w:rsidR="00D760BB" w:rsidRPr="0071782F">
        <w:rPr>
          <w:lang w:val="fr-CH"/>
        </w:rPr>
        <w:t xml:space="preserve"> de l’accès des citadins aux marchés de fruits, de légumes et de protéines</w:t>
      </w:r>
      <w:r w:rsidR="009A327E" w:rsidRPr="0071782F">
        <w:rPr>
          <w:lang w:val="fr-CH"/>
        </w:rPr>
        <w:t>.</w:t>
      </w:r>
    </w:p>
    <w:p w:rsidR="008A7415" w:rsidRPr="0071782F" w:rsidRDefault="008A7415" w:rsidP="005724E6">
      <w:pPr>
        <w:pStyle w:val="SingleTxtG"/>
        <w:ind w:left="1701"/>
        <w:rPr>
          <w:lang w:val="fr-CH"/>
        </w:rPr>
      </w:pPr>
      <w:r w:rsidRPr="0071782F">
        <w:rPr>
          <w:lang w:val="fr-CH"/>
        </w:rPr>
        <w:t>244.16.</w:t>
      </w:r>
      <w:r w:rsidR="009A327E" w:rsidRPr="0071782F">
        <w:rPr>
          <w:lang w:val="fr-CH"/>
        </w:rPr>
        <w:t xml:space="preserve"> </w:t>
      </w:r>
      <w:r w:rsidR="007D1B67" w:rsidRPr="0071782F">
        <w:rPr>
          <w:lang w:val="fr-CH"/>
        </w:rPr>
        <w:t xml:space="preserve">Recensement de toutes </w:t>
      </w:r>
      <w:r w:rsidR="004E45FB" w:rsidRPr="0071782F">
        <w:rPr>
          <w:lang w:val="fr-CH"/>
        </w:rPr>
        <w:t>des familles</w:t>
      </w:r>
      <w:r w:rsidR="007D1B67" w:rsidRPr="0071782F">
        <w:rPr>
          <w:lang w:val="fr-CH"/>
        </w:rPr>
        <w:t xml:space="preserve"> souffrant d’une </w:t>
      </w:r>
      <w:r w:rsidRPr="0071782F">
        <w:rPr>
          <w:lang w:val="fr-CH"/>
        </w:rPr>
        <w:t xml:space="preserve">malnutrition </w:t>
      </w:r>
      <w:r w:rsidR="007D1B67" w:rsidRPr="0071782F">
        <w:rPr>
          <w:lang w:val="fr-CH"/>
        </w:rPr>
        <w:t xml:space="preserve">associée à la pauvreté et aux crises, et </w:t>
      </w:r>
      <w:r w:rsidRPr="0071782F">
        <w:rPr>
          <w:lang w:val="fr-CH"/>
        </w:rPr>
        <w:t xml:space="preserve">intervention </w:t>
      </w:r>
      <w:r w:rsidR="007D1B67" w:rsidRPr="0071782F">
        <w:rPr>
          <w:lang w:val="fr-CH"/>
        </w:rPr>
        <w:t xml:space="preserve">auprès de </w:t>
      </w:r>
      <w:r w:rsidRPr="0071782F">
        <w:rPr>
          <w:lang w:val="fr-CH"/>
        </w:rPr>
        <w:t>50</w:t>
      </w:r>
      <w:r w:rsidR="007E5125" w:rsidRPr="0071782F">
        <w:rPr>
          <w:lang w:val="fr-CH"/>
        </w:rPr>
        <w:t>%</w:t>
      </w:r>
      <w:r w:rsidRPr="0071782F">
        <w:rPr>
          <w:lang w:val="fr-CH"/>
        </w:rPr>
        <w:t xml:space="preserve"> </w:t>
      </w:r>
      <w:r w:rsidR="007D1B67" w:rsidRPr="0071782F">
        <w:rPr>
          <w:lang w:val="fr-CH"/>
        </w:rPr>
        <w:t>de ces</w:t>
      </w:r>
      <w:r w:rsidR="007F37CE" w:rsidRPr="0071782F">
        <w:rPr>
          <w:lang w:val="fr-CH"/>
        </w:rPr>
        <w:t> famille</w:t>
      </w:r>
      <w:r w:rsidR="007D1B67" w:rsidRPr="0071782F">
        <w:rPr>
          <w:lang w:val="fr-CH"/>
        </w:rPr>
        <w:t>s</w:t>
      </w:r>
      <w:r w:rsidR="009A327E" w:rsidRPr="0071782F">
        <w:rPr>
          <w:lang w:val="fr-CH"/>
        </w:rPr>
        <w:t>.</w:t>
      </w:r>
      <w:r w:rsidRPr="0071782F">
        <w:rPr>
          <w:lang w:val="fr-CH"/>
        </w:rPr>
        <w:t xml:space="preserve"> </w:t>
      </w:r>
    </w:p>
    <w:p w:rsidR="008A7415" w:rsidRPr="0071782F" w:rsidRDefault="008A7415" w:rsidP="005724E6">
      <w:pPr>
        <w:pStyle w:val="SingleTxtG"/>
        <w:ind w:left="1701"/>
        <w:rPr>
          <w:lang w:val="fr-CH"/>
        </w:rPr>
      </w:pPr>
      <w:r w:rsidRPr="0071782F">
        <w:rPr>
          <w:lang w:val="fr-CH"/>
        </w:rPr>
        <w:t>244.17.</w:t>
      </w:r>
      <w:r w:rsidR="009A327E" w:rsidRPr="0071782F">
        <w:rPr>
          <w:lang w:val="fr-CH"/>
        </w:rPr>
        <w:t xml:space="preserve"> </w:t>
      </w:r>
      <w:r w:rsidR="007D1B67" w:rsidRPr="0071782F">
        <w:rPr>
          <w:lang w:val="fr-CH"/>
        </w:rPr>
        <w:t>Exécution d’au moins cinq projets intersectoriels de grande ampleur dans le secteur de l’alimentation et de la nutrition</w:t>
      </w:r>
      <w:r w:rsidR="009A327E" w:rsidRPr="0071782F">
        <w:rPr>
          <w:lang w:val="fr-CH"/>
        </w:rPr>
        <w:t>.</w:t>
      </w:r>
    </w:p>
    <w:p w:rsidR="008A7415" w:rsidRPr="0071782F" w:rsidRDefault="008A7415" w:rsidP="005724E6">
      <w:pPr>
        <w:pStyle w:val="SingleTxtG"/>
        <w:ind w:left="1701"/>
        <w:rPr>
          <w:lang w:val="fr-CH"/>
        </w:rPr>
      </w:pPr>
      <w:r w:rsidRPr="0071782F">
        <w:rPr>
          <w:lang w:val="fr-CH"/>
        </w:rPr>
        <w:t>244.18.</w:t>
      </w:r>
      <w:r w:rsidR="009A327E" w:rsidRPr="0071782F">
        <w:rPr>
          <w:lang w:val="fr-CH"/>
        </w:rPr>
        <w:t xml:space="preserve"> </w:t>
      </w:r>
      <w:r w:rsidR="007D1B67" w:rsidRPr="0071782F">
        <w:rPr>
          <w:lang w:val="fr-CH"/>
        </w:rPr>
        <w:t xml:space="preserve">Augmentation de la </w:t>
      </w:r>
      <w:r w:rsidRPr="0071782F">
        <w:rPr>
          <w:lang w:val="fr-CH"/>
        </w:rPr>
        <w:t xml:space="preserve">production </w:t>
      </w:r>
      <w:r w:rsidR="007D1B67" w:rsidRPr="0071782F">
        <w:rPr>
          <w:lang w:val="fr-CH"/>
        </w:rPr>
        <w:t>des produits agricoles transformés jusqu’à doubler, au moins, son niveau actuel</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7D1B67" w:rsidRPr="0071782F">
        <w:rPr>
          <w:lang w:val="fr-CH"/>
        </w:rPr>
        <w:t xml:space="preserve">Politiques d’exécution </w:t>
      </w:r>
    </w:p>
    <w:p w:rsidR="008A7415" w:rsidRPr="0071782F" w:rsidRDefault="008A7415" w:rsidP="00204410">
      <w:pPr>
        <w:pStyle w:val="SingleTxtG"/>
        <w:rPr>
          <w:lang w:val="fr-CH"/>
        </w:rPr>
      </w:pPr>
      <w:r w:rsidRPr="0071782F">
        <w:rPr>
          <w:lang w:val="fr-CH"/>
        </w:rPr>
        <w:t>245.</w:t>
      </w:r>
      <w:r w:rsidRPr="0071782F">
        <w:rPr>
          <w:lang w:val="fr-CH"/>
        </w:rPr>
        <w:tab/>
      </w:r>
      <w:r w:rsidR="007D1B67" w:rsidRPr="0071782F">
        <w:rPr>
          <w:lang w:val="fr-CH"/>
        </w:rPr>
        <w:t>Les politiques d’exécution de caractère général sont notamment les suivantes</w:t>
      </w:r>
      <w:r w:rsidR="008F7D33" w:rsidRPr="0071782F">
        <w:rPr>
          <w:lang w:val="fr-CH"/>
        </w:rPr>
        <w:t>:</w:t>
      </w:r>
    </w:p>
    <w:p w:rsidR="008A7415" w:rsidRPr="0071782F" w:rsidRDefault="008A7415" w:rsidP="009A327E">
      <w:pPr>
        <w:pStyle w:val="SingleTxtG"/>
        <w:ind w:left="1701"/>
        <w:rPr>
          <w:lang w:val="fr-CH"/>
        </w:rPr>
      </w:pPr>
      <w:r w:rsidRPr="0071782F">
        <w:rPr>
          <w:lang w:val="fr-CH"/>
        </w:rPr>
        <w:t>245.1.</w:t>
      </w:r>
      <w:r w:rsidRPr="0071782F">
        <w:rPr>
          <w:lang w:val="fr-CH"/>
        </w:rPr>
        <w:tab/>
      </w:r>
      <w:r w:rsidR="004001A0" w:rsidRPr="0071782F">
        <w:rPr>
          <w:lang w:val="fr-CH"/>
        </w:rPr>
        <w:t xml:space="preserve">Sensibilisation des décideurs aux approches, </w:t>
      </w:r>
      <w:r w:rsidRPr="0071782F">
        <w:rPr>
          <w:lang w:val="fr-CH"/>
        </w:rPr>
        <w:t>exp</w:t>
      </w:r>
      <w:r w:rsidR="004001A0" w:rsidRPr="0071782F">
        <w:rPr>
          <w:lang w:val="fr-CH"/>
        </w:rPr>
        <w:t>é</w:t>
      </w:r>
      <w:r w:rsidRPr="0071782F">
        <w:rPr>
          <w:lang w:val="fr-CH"/>
        </w:rPr>
        <w:t xml:space="preserve">riences </w:t>
      </w:r>
      <w:r w:rsidR="004001A0" w:rsidRPr="0071782F">
        <w:rPr>
          <w:lang w:val="fr-CH"/>
        </w:rPr>
        <w:t>et</w:t>
      </w:r>
      <w:r w:rsidRPr="0071782F">
        <w:rPr>
          <w:lang w:val="fr-CH"/>
        </w:rPr>
        <w:t xml:space="preserve"> th</w:t>
      </w:r>
      <w:r w:rsidR="004001A0" w:rsidRPr="0071782F">
        <w:rPr>
          <w:lang w:val="fr-CH"/>
        </w:rPr>
        <w:t>é</w:t>
      </w:r>
      <w:r w:rsidRPr="0071782F">
        <w:rPr>
          <w:lang w:val="fr-CH"/>
        </w:rPr>
        <w:t xml:space="preserve">ories </w:t>
      </w:r>
      <w:r w:rsidR="004001A0" w:rsidRPr="0071782F">
        <w:rPr>
          <w:lang w:val="fr-CH"/>
        </w:rPr>
        <w:t>les plus récentes sur l’économie alimentaire</w:t>
      </w:r>
      <w:r w:rsidRPr="0071782F">
        <w:rPr>
          <w:lang w:val="fr-CH"/>
        </w:rPr>
        <w:t xml:space="preserve">, </w:t>
      </w:r>
      <w:r w:rsidR="004001A0" w:rsidRPr="0071782F">
        <w:rPr>
          <w:lang w:val="fr-CH"/>
        </w:rPr>
        <w:t xml:space="preserve">les politiques alimentaires et la </w:t>
      </w:r>
      <w:r w:rsidRPr="0071782F">
        <w:rPr>
          <w:lang w:val="fr-CH"/>
        </w:rPr>
        <w:t>nutrition</w:t>
      </w:r>
      <w:r w:rsidR="009A327E" w:rsidRPr="0071782F">
        <w:rPr>
          <w:lang w:val="fr-CH"/>
        </w:rPr>
        <w:t>.</w:t>
      </w:r>
      <w:r w:rsidRPr="0071782F">
        <w:rPr>
          <w:lang w:val="fr-CH"/>
        </w:rPr>
        <w:t xml:space="preserve"> </w:t>
      </w:r>
    </w:p>
    <w:p w:rsidR="008A7415" w:rsidRPr="0071782F" w:rsidRDefault="008A7415" w:rsidP="009A327E">
      <w:pPr>
        <w:pStyle w:val="SingleTxtG"/>
        <w:ind w:left="1701"/>
        <w:rPr>
          <w:lang w:val="fr-CH"/>
        </w:rPr>
      </w:pPr>
      <w:r w:rsidRPr="0071782F">
        <w:rPr>
          <w:lang w:val="fr-CH"/>
        </w:rPr>
        <w:t>245.2.</w:t>
      </w:r>
      <w:r w:rsidRPr="0071782F">
        <w:rPr>
          <w:lang w:val="fr-CH"/>
        </w:rPr>
        <w:tab/>
        <w:t>D</w:t>
      </w:r>
      <w:r w:rsidR="004001A0" w:rsidRPr="0071782F">
        <w:rPr>
          <w:lang w:val="fr-CH"/>
        </w:rPr>
        <w:t>é</w:t>
      </w:r>
      <w:r w:rsidRPr="0071782F">
        <w:rPr>
          <w:lang w:val="fr-CH"/>
        </w:rPr>
        <w:t xml:space="preserve">termination </w:t>
      </w:r>
      <w:r w:rsidR="004001A0" w:rsidRPr="0071782F">
        <w:rPr>
          <w:lang w:val="fr-CH"/>
        </w:rPr>
        <w:t>du seuil de pauvreté alimentaire chaque année</w:t>
      </w:r>
      <w:r w:rsidR="009A327E" w:rsidRPr="0071782F">
        <w:rPr>
          <w:lang w:val="fr-CH"/>
        </w:rPr>
        <w:t>.</w:t>
      </w:r>
    </w:p>
    <w:p w:rsidR="008A7415" w:rsidRPr="0071782F" w:rsidRDefault="008A7415" w:rsidP="009A327E">
      <w:pPr>
        <w:pStyle w:val="SingleTxtG"/>
        <w:ind w:left="1701"/>
        <w:rPr>
          <w:lang w:val="fr-CH"/>
        </w:rPr>
      </w:pPr>
      <w:r w:rsidRPr="0071782F">
        <w:rPr>
          <w:lang w:val="fr-CH"/>
        </w:rPr>
        <w:t>245.3.</w:t>
      </w:r>
      <w:r w:rsidRPr="0071782F">
        <w:rPr>
          <w:lang w:val="fr-CH"/>
        </w:rPr>
        <w:tab/>
      </w:r>
      <w:r w:rsidR="004001A0" w:rsidRPr="0071782F">
        <w:rPr>
          <w:lang w:val="fr-CH"/>
        </w:rPr>
        <w:t xml:space="preserve">Dénombrement </w:t>
      </w:r>
      <w:r w:rsidR="007F37CE" w:rsidRPr="0071782F">
        <w:rPr>
          <w:lang w:val="fr-CH"/>
        </w:rPr>
        <w:t>des personnes</w:t>
      </w:r>
      <w:r w:rsidR="004001A0" w:rsidRPr="0071782F">
        <w:rPr>
          <w:lang w:val="fr-CH"/>
        </w:rPr>
        <w:t xml:space="preserve"> vivant au-dessous du seuil de pauvreté absolue</w:t>
      </w:r>
      <w:r w:rsidR="009A327E" w:rsidRPr="0071782F">
        <w:rPr>
          <w:lang w:val="fr-CH"/>
        </w:rPr>
        <w:t>.</w:t>
      </w:r>
      <w:r w:rsidRPr="0071782F">
        <w:rPr>
          <w:lang w:val="fr-CH"/>
        </w:rPr>
        <w:t xml:space="preserve"> </w:t>
      </w:r>
    </w:p>
    <w:p w:rsidR="008A7415" w:rsidRPr="0071782F" w:rsidRDefault="008A7415" w:rsidP="009A327E">
      <w:pPr>
        <w:pStyle w:val="SingleTxtG"/>
        <w:ind w:left="1701"/>
        <w:rPr>
          <w:lang w:val="fr-CH"/>
        </w:rPr>
      </w:pPr>
      <w:r w:rsidRPr="0071782F">
        <w:rPr>
          <w:lang w:val="fr-CH"/>
        </w:rPr>
        <w:t>245.4.</w:t>
      </w:r>
      <w:r w:rsidRPr="0071782F">
        <w:rPr>
          <w:lang w:val="fr-CH"/>
        </w:rPr>
        <w:tab/>
        <w:t>D</w:t>
      </w:r>
      <w:r w:rsidR="00FB3194" w:rsidRPr="0071782F">
        <w:rPr>
          <w:lang w:val="fr-CH"/>
        </w:rPr>
        <w:t>é</w:t>
      </w:r>
      <w:r w:rsidRPr="0071782F">
        <w:rPr>
          <w:lang w:val="fr-CH"/>
        </w:rPr>
        <w:t xml:space="preserve">finition </w:t>
      </w:r>
      <w:r w:rsidR="00FB3194" w:rsidRPr="0071782F">
        <w:rPr>
          <w:lang w:val="fr-CH"/>
        </w:rPr>
        <w:t xml:space="preserve">et élaboration des différents </w:t>
      </w:r>
      <w:r w:rsidRPr="0071782F">
        <w:rPr>
          <w:lang w:val="fr-CH"/>
        </w:rPr>
        <w:t>m</w:t>
      </w:r>
      <w:r w:rsidR="00FB3194" w:rsidRPr="0071782F">
        <w:rPr>
          <w:lang w:val="fr-CH"/>
        </w:rPr>
        <w:t>é</w:t>
      </w:r>
      <w:r w:rsidRPr="0071782F">
        <w:rPr>
          <w:lang w:val="fr-CH"/>
        </w:rPr>
        <w:t>canism</w:t>
      </w:r>
      <w:r w:rsidR="00FB3194" w:rsidRPr="0071782F">
        <w:rPr>
          <w:lang w:val="fr-CH"/>
        </w:rPr>
        <w:t>es</w:t>
      </w:r>
      <w:r w:rsidRPr="0071782F">
        <w:rPr>
          <w:lang w:val="fr-CH"/>
        </w:rPr>
        <w:t xml:space="preserve"> </w:t>
      </w:r>
      <w:r w:rsidR="00FB3194" w:rsidRPr="0071782F">
        <w:rPr>
          <w:lang w:val="fr-CH"/>
        </w:rPr>
        <w:t xml:space="preserve">d’appui à la </w:t>
      </w:r>
      <w:r w:rsidRPr="0071782F">
        <w:rPr>
          <w:lang w:val="fr-CH"/>
        </w:rPr>
        <w:t xml:space="preserve">population </w:t>
      </w:r>
      <w:r w:rsidR="00FB3194" w:rsidRPr="0071782F">
        <w:rPr>
          <w:lang w:val="fr-CH"/>
        </w:rPr>
        <w:t>vivant au-dessous du seuil de pauvreté</w:t>
      </w:r>
      <w:r w:rsidR="009A327E" w:rsidRPr="0071782F">
        <w:rPr>
          <w:lang w:val="fr-CH"/>
        </w:rPr>
        <w:t>.</w:t>
      </w:r>
    </w:p>
    <w:p w:rsidR="008A7415" w:rsidRPr="0071782F" w:rsidRDefault="008A7415" w:rsidP="009A327E">
      <w:pPr>
        <w:pStyle w:val="SingleTxtG"/>
        <w:ind w:left="1701"/>
        <w:rPr>
          <w:lang w:val="fr-CH"/>
        </w:rPr>
      </w:pPr>
      <w:r w:rsidRPr="0071782F">
        <w:rPr>
          <w:lang w:val="fr-CH"/>
        </w:rPr>
        <w:t>245.5.</w:t>
      </w:r>
      <w:r w:rsidRPr="0071782F">
        <w:rPr>
          <w:lang w:val="fr-CH"/>
        </w:rPr>
        <w:tab/>
        <w:t>R</w:t>
      </w:r>
      <w:r w:rsidR="00FB3194" w:rsidRPr="0071782F">
        <w:rPr>
          <w:lang w:val="fr-CH"/>
        </w:rPr>
        <w:t>éorientation des subventions</w:t>
      </w:r>
      <w:r w:rsidR="009A327E" w:rsidRPr="0071782F">
        <w:rPr>
          <w:lang w:val="fr-CH"/>
        </w:rPr>
        <w:t>.</w:t>
      </w:r>
      <w:r w:rsidRPr="0071782F">
        <w:rPr>
          <w:lang w:val="fr-CH"/>
        </w:rPr>
        <w:t xml:space="preserve"> </w:t>
      </w:r>
    </w:p>
    <w:p w:rsidR="008A7415" w:rsidRPr="0071782F" w:rsidRDefault="008A7415" w:rsidP="009A327E">
      <w:pPr>
        <w:pStyle w:val="SingleTxtG"/>
        <w:ind w:left="1701"/>
        <w:rPr>
          <w:lang w:val="fr-CH"/>
        </w:rPr>
      </w:pPr>
      <w:r w:rsidRPr="0071782F">
        <w:rPr>
          <w:lang w:val="fr-CH"/>
        </w:rPr>
        <w:t>245.6.</w:t>
      </w:r>
      <w:r w:rsidRPr="0071782F">
        <w:rPr>
          <w:lang w:val="fr-CH"/>
        </w:rPr>
        <w:tab/>
      </w:r>
      <w:r w:rsidR="00C50086" w:rsidRPr="0071782F">
        <w:rPr>
          <w:lang w:val="fr-CH"/>
        </w:rPr>
        <w:t xml:space="preserve">Amélioration des politiques fiscales afin d’équilibrer la </w:t>
      </w:r>
      <w:r w:rsidRPr="0071782F">
        <w:rPr>
          <w:lang w:val="fr-CH"/>
        </w:rPr>
        <w:t>distribution</w:t>
      </w:r>
      <w:r w:rsidR="00C50086" w:rsidRPr="0071782F">
        <w:rPr>
          <w:lang w:val="fr-CH"/>
        </w:rPr>
        <w:t xml:space="preserve"> des revenus</w:t>
      </w:r>
      <w:r w:rsidR="009A327E" w:rsidRPr="0071782F">
        <w:rPr>
          <w:lang w:val="fr-CH"/>
        </w:rPr>
        <w:t>.</w:t>
      </w:r>
    </w:p>
    <w:p w:rsidR="008A7415" w:rsidRPr="0071782F" w:rsidRDefault="008A7415" w:rsidP="009A327E">
      <w:pPr>
        <w:pStyle w:val="SingleTxtG"/>
        <w:ind w:left="1701"/>
        <w:rPr>
          <w:lang w:val="fr-CH"/>
        </w:rPr>
      </w:pPr>
      <w:r w:rsidRPr="0071782F">
        <w:rPr>
          <w:lang w:val="fr-CH"/>
        </w:rPr>
        <w:t>245.7.</w:t>
      </w:r>
      <w:r w:rsidRPr="0071782F">
        <w:rPr>
          <w:lang w:val="fr-CH"/>
        </w:rPr>
        <w:tab/>
      </w:r>
      <w:r w:rsidR="00C50086" w:rsidRPr="0071782F">
        <w:rPr>
          <w:lang w:val="fr-CH"/>
        </w:rPr>
        <w:t>Appui au développement des industries de transformation, des industries complémentaires et des industries de stockage des produits agricoles</w:t>
      </w:r>
      <w:r w:rsidR="009A327E" w:rsidRPr="0071782F">
        <w:rPr>
          <w:lang w:val="fr-CH"/>
        </w:rPr>
        <w:t>.</w:t>
      </w:r>
    </w:p>
    <w:p w:rsidR="008A7415" w:rsidRPr="0071782F" w:rsidRDefault="008A7415" w:rsidP="009A327E">
      <w:pPr>
        <w:pStyle w:val="SingleTxtG"/>
        <w:ind w:left="1701"/>
        <w:rPr>
          <w:lang w:val="fr-CH"/>
        </w:rPr>
      </w:pPr>
      <w:r w:rsidRPr="0071782F">
        <w:rPr>
          <w:lang w:val="fr-CH"/>
        </w:rPr>
        <w:t>245.8.</w:t>
      </w:r>
      <w:r w:rsidRPr="0071782F">
        <w:rPr>
          <w:lang w:val="fr-CH"/>
        </w:rPr>
        <w:tab/>
      </w:r>
      <w:r w:rsidR="00C50086" w:rsidRPr="0071782F">
        <w:rPr>
          <w:lang w:val="fr-CH"/>
        </w:rPr>
        <w:t>Recensement des obstacles qui se présentent depuis la plantation jusqu’à la consommation des produits agricoles et alimentaires ainsi que les types et quantités de déchets produits par ce processus.</w:t>
      </w:r>
    </w:p>
    <w:p w:rsidR="008A7415" w:rsidRPr="0071782F" w:rsidRDefault="008A7415" w:rsidP="009A327E">
      <w:pPr>
        <w:pStyle w:val="SingleTxtG"/>
        <w:ind w:left="1701"/>
        <w:rPr>
          <w:lang w:val="fr-CH"/>
        </w:rPr>
      </w:pPr>
      <w:r w:rsidRPr="0071782F">
        <w:rPr>
          <w:lang w:val="fr-CH"/>
        </w:rPr>
        <w:t>245.9.</w:t>
      </w:r>
      <w:r w:rsidR="00C50086" w:rsidRPr="0071782F">
        <w:rPr>
          <w:lang w:val="fr-CH"/>
        </w:rPr>
        <w:t xml:space="preserve"> Établissement des bases permettant de réduire les déchets créés entre la production et la consommation</w:t>
      </w:r>
      <w:r w:rsidR="009A327E" w:rsidRPr="0071782F">
        <w:rPr>
          <w:lang w:val="fr-CH"/>
        </w:rPr>
        <w:t>.</w:t>
      </w:r>
      <w:r w:rsidRPr="0071782F">
        <w:rPr>
          <w:lang w:val="fr-CH"/>
        </w:rPr>
        <w:t xml:space="preserve"> </w:t>
      </w:r>
    </w:p>
    <w:p w:rsidR="008A7415" w:rsidRPr="0071782F" w:rsidRDefault="009A327E" w:rsidP="009A327E">
      <w:pPr>
        <w:pStyle w:val="SingleTxtG"/>
        <w:tabs>
          <w:tab w:val="left" w:pos="-1701"/>
          <w:tab w:val="left" w:pos="2552"/>
        </w:tabs>
        <w:ind w:left="1701"/>
        <w:rPr>
          <w:lang w:val="fr-CH"/>
        </w:rPr>
      </w:pPr>
      <w:r w:rsidRPr="0071782F">
        <w:rPr>
          <w:lang w:val="fr-CH"/>
        </w:rPr>
        <w:t xml:space="preserve">245.10. </w:t>
      </w:r>
      <w:r w:rsidR="00C50086" w:rsidRPr="0071782F">
        <w:rPr>
          <w:lang w:val="fr-CH"/>
        </w:rPr>
        <w:t xml:space="preserve">Appui aux petites industries et aux </w:t>
      </w:r>
      <w:r w:rsidR="008A7415" w:rsidRPr="0071782F">
        <w:rPr>
          <w:lang w:val="fr-CH"/>
        </w:rPr>
        <w:t>micro</w:t>
      </w:r>
      <w:r w:rsidR="00C50086" w:rsidRPr="0071782F">
        <w:rPr>
          <w:lang w:val="fr-CH"/>
        </w:rPr>
        <w:t>-</w:t>
      </w:r>
      <w:r w:rsidR="008A7415" w:rsidRPr="0071782F">
        <w:rPr>
          <w:lang w:val="fr-CH"/>
        </w:rPr>
        <w:t>industries</w:t>
      </w:r>
      <w:r w:rsidR="00C50086" w:rsidRPr="0071782F">
        <w:rPr>
          <w:lang w:val="fr-CH"/>
        </w:rPr>
        <w:t>, en particulier dans les secteurs de l’</w:t>
      </w:r>
      <w:r w:rsidR="008A7415" w:rsidRPr="0071782F">
        <w:rPr>
          <w:lang w:val="fr-CH"/>
        </w:rPr>
        <w:t>agricultur</w:t>
      </w:r>
      <w:r w:rsidR="00C50086" w:rsidRPr="0071782F">
        <w:rPr>
          <w:lang w:val="fr-CH"/>
        </w:rPr>
        <w:t>e et de l’alimentation</w:t>
      </w:r>
      <w:r w:rsidRPr="0071782F">
        <w:rPr>
          <w:lang w:val="fr-CH"/>
        </w:rPr>
        <w:t>.</w:t>
      </w:r>
    </w:p>
    <w:p w:rsidR="008A7415" w:rsidRPr="0071782F" w:rsidRDefault="008A7415" w:rsidP="009A327E">
      <w:pPr>
        <w:pStyle w:val="SingleTxtG"/>
        <w:tabs>
          <w:tab w:val="left" w:pos="-1701"/>
          <w:tab w:val="left" w:pos="2552"/>
        </w:tabs>
        <w:ind w:left="1701"/>
        <w:rPr>
          <w:lang w:val="fr-CH"/>
        </w:rPr>
      </w:pPr>
      <w:r w:rsidRPr="0071782F">
        <w:rPr>
          <w:lang w:val="fr-CH"/>
        </w:rPr>
        <w:t>245.11.</w:t>
      </w:r>
      <w:r w:rsidR="009A327E" w:rsidRPr="0071782F">
        <w:rPr>
          <w:lang w:val="fr-CH"/>
        </w:rPr>
        <w:t xml:space="preserve"> </w:t>
      </w:r>
      <w:r w:rsidR="00C50086" w:rsidRPr="0071782F">
        <w:rPr>
          <w:lang w:val="fr-CH"/>
        </w:rPr>
        <w:t xml:space="preserve">Appui à la réduction des taux d’accroissement de la </w:t>
      </w:r>
      <w:r w:rsidRPr="0071782F">
        <w:rPr>
          <w:lang w:val="fr-CH"/>
        </w:rPr>
        <w:t xml:space="preserve">population </w:t>
      </w:r>
      <w:r w:rsidR="00C50086" w:rsidRPr="0071782F">
        <w:rPr>
          <w:lang w:val="fr-CH"/>
        </w:rPr>
        <w:t>et de l’</w:t>
      </w:r>
      <w:r w:rsidRPr="0071782F">
        <w:rPr>
          <w:lang w:val="fr-CH"/>
        </w:rPr>
        <w:t>immigration</w:t>
      </w:r>
      <w:r w:rsidR="009A327E" w:rsidRPr="0071782F">
        <w:rPr>
          <w:lang w:val="fr-CH"/>
        </w:rPr>
        <w:t>.</w:t>
      </w:r>
      <w:r w:rsidRPr="0071782F">
        <w:rPr>
          <w:lang w:val="fr-CH"/>
        </w:rPr>
        <w:t xml:space="preserve"> </w:t>
      </w:r>
    </w:p>
    <w:p w:rsidR="008A7415" w:rsidRPr="0071782F" w:rsidRDefault="008A7415" w:rsidP="009A327E">
      <w:pPr>
        <w:pStyle w:val="SingleTxtG"/>
        <w:tabs>
          <w:tab w:val="left" w:pos="-1701"/>
          <w:tab w:val="left" w:pos="2552"/>
        </w:tabs>
        <w:ind w:left="1701"/>
        <w:rPr>
          <w:lang w:val="fr-CH"/>
        </w:rPr>
      </w:pPr>
      <w:r w:rsidRPr="0071782F">
        <w:rPr>
          <w:lang w:val="fr-CH"/>
        </w:rPr>
        <w:t>245.12.</w:t>
      </w:r>
      <w:r w:rsidR="009A327E" w:rsidRPr="0071782F">
        <w:rPr>
          <w:lang w:val="fr-CH"/>
        </w:rPr>
        <w:t xml:space="preserve"> </w:t>
      </w:r>
      <w:r w:rsidR="00C50086" w:rsidRPr="0071782F">
        <w:rPr>
          <w:lang w:val="fr-CH"/>
        </w:rPr>
        <w:t>Définition des normes minimales nécessaires pour garantir la sécurité alimentaire des déciles de revenus les plus bas de la société</w:t>
      </w:r>
      <w:r w:rsidR="009A327E" w:rsidRPr="0071782F">
        <w:rPr>
          <w:lang w:val="fr-CH"/>
        </w:rPr>
        <w:t>.</w:t>
      </w:r>
    </w:p>
    <w:p w:rsidR="008A7415" w:rsidRPr="0071782F" w:rsidRDefault="008A7415" w:rsidP="009A327E">
      <w:pPr>
        <w:pStyle w:val="SingleTxtG"/>
        <w:tabs>
          <w:tab w:val="left" w:pos="-1701"/>
          <w:tab w:val="left" w:pos="2552"/>
        </w:tabs>
        <w:ind w:left="1701"/>
        <w:rPr>
          <w:lang w:val="fr-CH"/>
        </w:rPr>
      </w:pPr>
      <w:r w:rsidRPr="0071782F">
        <w:rPr>
          <w:lang w:val="fr-CH"/>
        </w:rPr>
        <w:t>245.13.</w:t>
      </w:r>
      <w:r w:rsidR="009A327E" w:rsidRPr="0071782F">
        <w:rPr>
          <w:lang w:val="fr-CH"/>
        </w:rPr>
        <w:t xml:space="preserve"> </w:t>
      </w:r>
      <w:r w:rsidRPr="0071782F">
        <w:rPr>
          <w:lang w:val="fr-CH"/>
        </w:rPr>
        <w:t>R</w:t>
      </w:r>
      <w:r w:rsidR="00C50086" w:rsidRPr="0071782F">
        <w:rPr>
          <w:lang w:val="fr-CH"/>
        </w:rPr>
        <w:t>églementation des marchés de produits alimentaires et agricoles</w:t>
      </w:r>
      <w:r w:rsidR="009A327E" w:rsidRPr="0071782F">
        <w:rPr>
          <w:lang w:val="fr-CH"/>
        </w:rPr>
        <w:t>.</w:t>
      </w:r>
    </w:p>
    <w:p w:rsidR="008A7415" w:rsidRPr="0071782F" w:rsidRDefault="008A7415" w:rsidP="009A327E">
      <w:pPr>
        <w:pStyle w:val="SingleTxtG"/>
        <w:tabs>
          <w:tab w:val="left" w:pos="-1701"/>
          <w:tab w:val="left" w:pos="2552"/>
        </w:tabs>
        <w:ind w:left="1701"/>
        <w:rPr>
          <w:lang w:val="fr-CH"/>
        </w:rPr>
      </w:pPr>
      <w:r w:rsidRPr="0071782F">
        <w:rPr>
          <w:lang w:val="fr-CH"/>
        </w:rPr>
        <w:t>245.14.</w:t>
      </w:r>
      <w:r w:rsidR="009A327E" w:rsidRPr="0071782F">
        <w:rPr>
          <w:lang w:val="fr-CH"/>
        </w:rPr>
        <w:t xml:space="preserve"> </w:t>
      </w:r>
      <w:r w:rsidRPr="0071782F">
        <w:rPr>
          <w:lang w:val="fr-CH"/>
        </w:rPr>
        <w:t xml:space="preserve">Formulation </w:t>
      </w:r>
      <w:r w:rsidR="00C50086" w:rsidRPr="0071782F">
        <w:rPr>
          <w:lang w:val="fr-CH"/>
        </w:rPr>
        <w:t xml:space="preserve">des fonctions, </w:t>
      </w:r>
      <w:r w:rsidRPr="0071782F">
        <w:rPr>
          <w:lang w:val="fr-CH"/>
        </w:rPr>
        <w:t>objecti</w:t>
      </w:r>
      <w:r w:rsidR="00C50086" w:rsidRPr="0071782F">
        <w:rPr>
          <w:lang w:val="fr-CH"/>
        </w:rPr>
        <w:t>f</w:t>
      </w:r>
      <w:r w:rsidRPr="0071782F">
        <w:rPr>
          <w:lang w:val="fr-CH"/>
        </w:rPr>
        <w:t xml:space="preserve">s </w:t>
      </w:r>
      <w:r w:rsidR="00C50086" w:rsidRPr="0071782F">
        <w:rPr>
          <w:lang w:val="fr-CH"/>
        </w:rPr>
        <w:t>et</w:t>
      </w:r>
      <w:r w:rsidRPr="0071782F">
        <w:rPr>
          <w:lang w:val="fr-CH"/>
        </w:rPr>
        <w:t xml:space="preserve"> strat</w:t>
      </w:r>
      <w:r w:rsidR="00C50086" w:rsidRPr="0071782F">
        <w:rPr>
          <w:lang w:val="fr-CH"/>
        </w:rPr>
        <w:t>é</w:t>
      </w:r>
      <w:r w:rsidRPr="0071782F">
        <w:rPr>
          <w:lang w:val="fr-CH"/>
        </w:rPr>
        <w:t xml:space="preserve">gies </w:t>
      </w:r>
      <w:r w:rsidR="00C50086" w:rsidRPr="0071782F">
        <w:rPr>
          <w:lang w:val="fr-CH"/>
        </w:rPr>
        <w:t>du Haut Conseil de la sécurité alimentaire et de la santé dans le secteur de l’alimentation et de la nutrition</w:t>
      </w:r>
      <w:r w:rsidR="009A327E" w:rsidRPr="0071782F">
        <w:rPr>
          <w:lang w:val="fr-CH"/>
        </w:rPr>
        <w:t>.</w:t>
      </w:r>
    </w:p>
    <w:p w:rsidR="008A7415" w:rsidRPr="0071782F" w:rsidRDefault="008A7415" w:rsidP="009A327E">
      <w:pPr>
        <w:pStyle w:val="SingleTxtG"/>
        <w:tabs>
          <w:tab w:val="left" w:pos="-1701"/>
          <w:tab w:val="left" w:pos="2552"/>
        </w:tabs>
        <w:ind w:left="1701"/>
        <w:rPr>
          <w:lang w:val="fr-CH"/>
        </w:rPr>
      </w:pPr>
      <w:r w:rsidRPr="0071782F">
        <w:rPr>
          <w:lang w:val="fr-CH"/>
        </w:rPr>
        <w:t>245.15.</w:t>
      </w:r>
      <w:r w:rsidR="009A327E" w:rsidRPr="0071782F">
        <w:rPr>
          <w:lang w:val="fr-CH"/>
        </w:rPr>
        <w:t xml:space="preserve"> </w:t>
      </w:r>
      <w:r w:rsidRPr="0071782F">
        <w:rPr>
          <w:lang w:val="fr-CH"/>
        </w:rPr>
        <w:t>D</w:t>
      </w:r>
      <w:r w:rsidR="00FC536A" w:rsidRPr="0071782F">
        <w:rPr>
          <w:lang w:val="fr-CH"/>
        </w:rPr>
        <w:t>éfinition de l’organisation, du champ d’activité et de l’autorité nationale du Haut Conseil de la sécurité alimentaire et de la santé dans l’exercice de sa fonction d’orientation et de contrôle dans les secteurs de l’alimentation et de la nutrition</w:t>
      </w:r>
      <w:r w:rsidR="009A327E" w:rsidRPr="0071782F">
        <w:rPr>
          <w:lang w:val="fr-CH"/>
        </w:rPr>
        <w:t>.</w:t>
      </w:r>
    </w:p>
    <w:p w:rsidR="008A7415" w:rsidRPr="0071782F" w:rsidRDefault="008A7415" w:rsidP="009A327E">
      <w:pPr>
        <w:pStyle w:val="SingleTxtG"/>
        <w:tabs>
          <w:tab w:val="left" w:pos="-1701"/>
          <w:tab w:val="left" w:pos="2552"/>
        </w:tabs>
        <w:ind w:left="1701"/>
        <w:rPr>
          <w:lang w:val="fr-CH"/>
        </w:rPr>
      </w:pPr>
      <w:r w:rsidRPr="0071782F">
        <w:rPr>
          <w:lang w:val="fr-CH"/>
        </w:rPr>
        <w:t>245.16.</w:t>
      </w:r>
      <w:r w:rsidR="009A327E" w:rsidRPr="0071782F">
        <w:rPr>
          <w:lang w:val="fr-CH"/>
        </w:rPr>
        <w:t xml:space="preserve"> </w:t>
      </w:r>
      <w:r w:rsidR="0040117B" w:rsidRPr="0071782F">
        <w:rPr>
          <w:lang w:val="fr-CH"/>
        </w:rPr>
        <w:t>Formulation des politiques, planification, suivi, application, supervision et contrôle des résultats de tous les secteurs associés à la sécurité alimentaire et à la santé par la section spécialisée du Haut Conseil de la sécurité alimentaire et de la santé</w:t>
      </w:r>
      <w:r w:rsidR="009A327E" w:rsidRPr="0071782F">
        <w:rPr>
          <w:lang w:val="fr-CH"/>
        </w:rPr>
        <w:t>.</w:t>
      </w:r>
      <w:r w:rsidRPr="0071782F">
        <w:rPr>
          <w:lang w:val="fr-CH"/>
        </w:rPr>
        <w:t xml:space="preserve"> </w:t>
      </w:r>
    </w:p>
    <w:p w:rsidR="008A7415" w:rsidRPr="0071782F" w:rsidRDefault="008A7415" w:rsidP="009A327E">
      <w:pPr>
        <w:pStyle w:val="SingleTxtG"/>
        <w:tabs>
          <w:tab w:val="left" w:pos="-1701"/>
          <w:tab w:val="left" w:pos="2552"/>
        </w:tabs>
        <w:ind w:left="1701"/>
        <w:rPr>
          <w:lang w:val="fr-CH"/>
        </w:rPr>
      </w:pPr>
      <w:r w:rsidRPr="0071782F">
        <w:rPr>
          <w:lang w:val="fr-CH"/>
        </w:rPr>
        <w:t>245.17.</w:t>
      </w:r>
      <w:r w:rsidR="009A327E" w:rsidRPr="0071782F">
        <w:rPr>
          <w:lang w:val="fr-CH"/>
        </w:rPr>
        <w:t xml:space="preserve"> </w:t>
      </w:r>
      <w:r w:rsidR="0040117B" w:rsidRPr="0071782F">
        <w:rPr>
          <w:lang w:val="fr-CH"/>
        </w:rPr>
        <w:t xml:space="preserve">Appui au renforcement des capacités </w:t>
      </w:r>
      <w:r w:rsidRPr="0071782F">
        <w:rPr>
          <w:lang w:val="fr-CH"/>
        </w:rPr>
        <w:t>institution</w:t>
      </w:r>
      <w:r w:rsidR="0040117B" w:rsidRPr="0071782F">
        <w:rPr>
          <w:lang w:val="fr-CH"/>
        </w:rPr>
        <w:t>nelles aux niveaux national, régional et local</w:t>
      </w:r>
      <w:r w:rsidR="009A327E" w:rsidRPr="0071782F">
        <w:rPr>
          <w:lang w:val="fr-CH"/>
        </w:rPr>
        <w:t>.</w:t>
      </w:r>
      <w:r w:rsidRPr="0071782F">
        <w:rPr>
          <w:lang w:val="fr-CH"/>
        </w:rPr>
        <w:t xml:space="preserve"> </w:t>
      </w:r>
    </w:p>
    <w:p w:rsidR="008A7415" w:rsidRPr="0071782F" w:rsidRDefault="008A7415" w:rsidP="009A327E">
      <w:pPr>
        <w:pStyle w:val="SingleTxtG"/>
        <w:tabs>
          <w:tab w:val="left" w:pos="-1701"/>
          <w:tab w:val="left" w:pos="2552"/>
        </w:tabs>
        <w:ind w:left="1701"/>
        <w:rPr>
          <w:lang w:val="fr-CH"/>
        </w:rPr>
      </w:pPr>
      <w:r w:rsidRPr="0071782F">
        <w:rPr>
          <w:lang w:val="fr-CH"/>
        </w:rPr>
        <w:t>245.18.</w:t>
      </w:r>
      <w:r w:rsidR="009A327E" w:rsidRPr="0071782F">
        <w:rPr>
          <w:lang w:val="fr-CH"/>
        </w:rPr>
        <w:t xml:space="preserve"> </w:t>
      </w:r>
      <w:r w:rsidR="0040117B" w:rsidRPr="0071782F">
        <w:rPr>
          <w:lang w:val="fr-CH"/>
        </w:rPr>
        <w:t xml:space="preserve">Amélioration de la capacité organisationnelle du réseau de soins de santé primaires et remaniement de la </w:t>
      </w:r>
      <w:r w:rsidRPr="0071782F">
        <w:rPr>
          <w:lang w:val="fr-CH"/>
        </w:rPr>
        <w:t xml:space="preserve">structure </w:t>
      </w:r>
      <w:r w:rsidR="0040117B" w:rsidRPr="0071782F">
        <w:rPr>
          <w:lang w:val="fr-CH"/>
        </w:rPr>
        <w:t xml:space="preserve">de ce réseau afin d’y promouvoir l’importance de la </w:t>
      </w:r>
      <w:r w:rsidRPr="0071782F">
        <w:rPr>
          <w:lang w:val="fr-CH"/>
        </w:rPr>
        <w:t>nutrition</w:t>
      </w:r>
      <w:r w:rsidR="0040117B" w:rsidRPr="0071782F">
        <w:rPr>
          <w:lang w:val="fr-CH"/>
        </w:rPr>
        <w:t>, de la sécurité alimentaire et de la santé</w:t>
      </w:r>
      <w:r w:rsidR="009A327E" w:rsidRPr="0071782F">
        <w:rPr>
          <w:lang w:val="fr-CH"/>
        </w:rPr>
        <w:t>.</w:t>
      </w:r>
    </w:p>
    <w:p w:rsidR="008A7415" w:rsidRPr="0071782F" w:rsidRDefault="008A7415" w:rsidP="009A327E">
      <w:pPr>
        <w:pStyle w:val="SingleTxtG"/>
        <w:tabs>
          <w:tab w:val="left" w:pos="-1701"/>
          <w:tab w:val="left" w:pos="2552"/>
        </w:tabs>
        <w:ind w:left="1701"/>
        <w:rPr>
          <w:lang w:val="fr-CH"/>
        </w:rPr>
      </w:pPr>
      <w:r w:rsidRPr="0071782F">
        <w:rPr>
          <w:lang w:val="fr-CH"/>
        </w:rPr>
        <w:t>245.19.</w:t>
      </w:r>
      <w:r w:rsidR="009A327E" w:rsidRPr="0071782F">
        <w:rPr>
          <w:lang w:val="fr-CH"/>
        </w:rPr>
        <w:t xml:space="preserve"> </w:t>
      </w:r>
      <w:r w:rsidR="0040117B" w:rsidRPr="0071782F">
        <w:rPr>
          <w:lang w:val="fr-CH"/>
        </w:rPr>
        <w:t>Amélioration du niveau des ressources humaines afin de répondre à des besoins organisationnels spécifiques</w:t>
      </w:r>
      <w:r w:rsidR="009A327E" w:rsidRPr="0071782F">
        <w:rPr>
          <w:lang w:val="fr-CH"/>
        </w:rPr>
        <w:t>.</w:t>
      </w:r>
    </w:p>
    <w:p w:rsidR="008A7415" w:rsidRPr="0071782F" w:rsidRDefault="008A7415" w:rsidP="009A327E">
      <w:pPr>
        <w:pStyle w:val="SingleTxtG"/>
        <w:tabs>
          <w:tab w:val="left" w:pos="-1701"/>
          <w:tab w:val="left" w:pos="2552"/>
        </w:tabs>
        <w:ind w:left="1701"/>
        <w:rPr>
          <w:lang w:val="fr-CH"/>
        </w:rPr>
      </w:pPr>
      <w:r w:rsidRPr="0071782F">
        <w:rPr>
          <w:lang w:val="fr-CH"/>
        </w:rPr>
        <w:t>245.20.</w:t>
      </w:r>
      <w:r w:rsidR="009A327E" w:rsidRPr="0071782F">
        <w:rPr>
          <w:lang w:val="fr-CH"/>
        </w:rPr>
        <w:t xml:space="preserve"> </w:t>
      </w:r>
      <w:r w:rsidRPr="0071782F">
        <w:rPr>
          <w:lang w:val="fr-CH"/>
        </w:rPr>
        <w:t>R</w:t>
      </w:r>
      <w:r w:rsidR="0040117B" w:rsidRPr="0071782F">
        <w:rPr>
          <w:lang w:val="fr-CH"/>
        </w:rPr>
        <w:t>évision et modification des règles et règlements régissant le secteur de la sécurité alimentaire</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t xml:space="preserve">Production, </w:t>
      </w:r>
      <w:r w:rsidR="0040117B" w:rsidRPr="0071782F">
        <w:rPr>
          <w:lang w:val="fr-CH"/>
        </w:rPr>
        <w:t xml:space="preserve">fourniture et </w:t>
      </w:r>
      <w:r w:rsidRPr="0071782F">
        <w:rPr>
          <w:lang w:val="fr-CH"/>
        </w:rPr>
        <w:t xml:space="preserve">distribution </w:t>
      </w:r>
      <w:r w:rsidR="0040117B" w:rsidRPr="0071782F">
        <w:rPr>
          <w:lang w:val="fr-CH"/>
        </w:rPr>
        <w:t xml:space="preserve">de produits alimentaires </w:t>
      </w:r>
    </w:p>
    <w:p w:rsidR="008A7415" w:rsidRPr="0071782F" w:rsidRDefault="008A7415" w:rsidP="00204410">
      <w:pPr>
        <w:pStyle w:val="SingleTxtG"/>
        <w:rPr>
          <w:lang w:val="fr-CH"/>
        </w:rPr>
      </w:pPr>
      <w:r w:rsidRPr="0071782F">
        <w:rPr>
          <w:lang w:val="fr-CH"/>
        </w:rPr>
        <w:t>246.</w:t>
      </w:r>
      <w:r w:rsidRPr="0071782F">
        <w:rPr>
          <w:lang w:val="fr-CH"/>
        </w:rPr>
        <w:tab/>
      </w:r>
      <w:r w:rsidR="009A7517" w:rsidRPr="0071782F">
        <w:rPr>
          <w:lang w:val="fr-CH"/>
        </w:rPr>
        <w:t>À ce sujet, il convient de noter ce qui suit</w:t>
      </w:r>
      <w:r w:rsidR="008F7D33" w:rsidRPr="0071782F">
        <w:rPr>
          <w:lang w:val="fr-CH"/>
        </w:rPr>
        <w:t>:</w:t>
      </w:r>
    </w:p>
    <w:p w:rsidR="008A7415" w:rsidRPr="0071782F" w:rsidRDefault="008A7415" w:rsidP="001A53EE">
      <w:pPr>
        <w:pStyle w:val="SingleTxtG"/>
        <w:ind w:left="1701"/>
        <w:rPr>
          <w:lang w:val="fr-CH"/>
        </w:rPr>
      </w:pPr>
      <w:r w:rsidRPr="0071782F">
        <w:rPr>
          <w:lang w:val="fr-CH"/>
        </w:rPr>
        <w:t>246.1.</w:t>
      </w:r>
      <w:r w:rsidRPr="0071782F">
        <w:rPr>
          <w:lang w:val="fr-CH"/>
        </w:rPr>
        <w:tab/>
      </w:r>
      <w:r w:rsidR="008B1CFD" w:rsidRPr="0071782F">
        <w:rPr>
          <w:lang w:val="fr-CH"/>
        </w:rPr>
        <w:t>Appui au développement de groupes agroindustriels et, en particulier, des métiers locaux et traditionnels</w:t>
      </w:r>
      <w:r w:rsidR="00AF7059" w:rsidRPr="0071782F">
        <w:rPr>
          <w:lang w:val="fr-CH"/>
        </w:rPr>
        <w:t>.</w:t>
      </w:r>
    </w:p>
    <w:p w:rsidR="008A7415" w:rsidRPr="0071782F" w:rsidRDefault="008A7415" w:rsidP="001A53EE">
      <w:pPr>
        <w:pStyle w:val="SingleTxtG"/>
        <w:ind w:left="1701"/>
        <w:rPr>
          <w:lang w:val="fr-CH"/>
        </w:rPr>
      </w:pPr>
      <w:r w:rsidRPr="0071782F">
        <w:rPr>
          <w:lang w:val="fr-CH"/>
        </w:rPr>
        <w:t>246.2.</w:t>
      </w:r>
      <w:r w:rsidRPr="0071782F">
        <w:rPr>
          <w:lang w:val="fr-CH"/>
        </w:rPr>
        <w:tab/>
      </w:r>
      <w:r w:rsidR="008B1CFD" w:rsidRPr="0071782F">
        <w:rPr>
          <w:lang w:val="fr-CH"/>
        </w:rPr>
        <w:t xml:space="preserve">Appui au développement de centres de </w:t>
      </w:r>
      <w:r w:rsidRPr="0071782F">
        <w:rPr>
          <w:lang w:val="fr-CH"/>
        </w:rPr>
        <w:t>service</w:t>
      </w:r>
      <w:r w:rsidR="008B1CFD" w:rsidRPr="0071782F">
        <w:rPr>
          <w:lang w:val="fr-CH"/>
        </w:rPr>
        <w:t>s</w:t>
      </w:r>
      <w:r w:rsidRPr="0071782F">
        <w:rPr>
          <w:lang w:val="fr-CH"/>
        </w:rPr>
        <w:t xml:space="preserve"> </w:t>
      </w:r>
      <w:r w:rsidR="008B1CFD" w:rsidRPr="0071782F">
        <w:rPr>
          <w:lang w:val="fr-CH"/>
        </w:rPr>
        <w:t>dans l’industrie alimentaire et le secteur de l’</w:t>
      </w:r>
      <w:r w:rsidRPr="0071782F">
        <w:rPr>
          <w:lang w:val="fr-CH"/>
        </w:rPr>
        <w:t>agriculture</w:t>
      </w:r>
      <w:r w:rsidR="008B1CFD" w:rsidRPr="0071782F">
        <w:rPr>
          <w:lang w:val="fr-CH"/>
        </w:rPr>
        <w:t>, s’agissant en particulier du développement</w:t>
      </w:r>
      <w:r w:rsidRPr="0071782F">
        <w:rPr>
          <w:lang w:val="fr-CH"/>
        </w:rPr>
        <w:t xml:space="preserve"> </w:t>
      </w:r>
      <w:r w:rsidR="008B1CFD" w:rsidRPr="0071782F">
        <w:rPr>
          <w:lang w:val="fr-CH"/>
        </w:rPr>
        <w:t>technologique et des marchés</w:t>
      </w:r>
      <w:r w:rsidR="00AF7059" w:rsidRPr="0071782F">
        <w:rPr>
          <w:lang w:val="fr-CH"/>
        </w:rPr>
        <w:t>.</w:t>
      </w:r>
      <w:r w:rsidRPr="0071782F">
        <w:rPr>
          <w:lang w:val="fr-CH"/>
        </w:rPr>
        <w:t xml:space="preserve"> </w:t>
      </w:r>
    </w:p>
    <w:p w:rsidR="008A7415" w:rsidRPr="0071782F" w:rsidRDefault="008B1CFD" w:rsidP="001A53EE">
      <w:pPr>
        <w:pStyle w:val="SingleTxtG"/>
        <w:ind w:left="1701"/>
        <w:rPr>
          <w:lang w:val="fr-CH"/>
        </w:rPr>
      </w:pPr>
      <w:r w:rsidRPr="0071782F">
        <w:rPr>
          <w:lang w:val="fr-CH"/>
        </w:rPr>
        <w:t>246.3.</w:t>
      </w:r>
      <w:r w:rsidRPr="0071782F">
        <w:rPr>
          <w:lang w:val="fr-CH"/>
        </w:rPr>
        <w:tab/>
        <w:t xml:space="preserve">Modification des modes de production, l’accent étant mis sur les produits d’origine animale, les </w:t>
      </w:r>
      <w:r w:rsidR="008A7415" w:rsidRPr="0071782F">
        <w:rPr>
          <w:lang w:val="fr-CH"/>
        </w:rPr>
        <w:t>fruit</w:t>
      </w:r>
      <w:r w:rsidRPr="0071782F">
        <w:rPr>
          <w:lang w:val="fr-CH"/>
        </w:rPr>
        <w:t>s et les légumes</w:t>
      </w:r>
      <w:r w:rsidR="00AF7059" w:rsidRPr="0071782F">
        <w:rPr>
          <w:lang w:val="fr-CH"/>
        </w:rPr>
        <w:t>.</w:t>
      </w:r>
    </w:p>
    <w:p w:rsidR="008A7415" w:rsidRPr="0071782F" w:rsidRDefault="008A7415" w:rsidP="001A53EE">
      <w:pPr>
        <w:pStyle w:val="SingleTxtG"/>
        <w:ind w:left="1701"/>
        <w:rPr>
          <w:lang w:val="fr-CH"/>
        </w:rPr>
      </w:pPr>
      <w:r w:rsidRPr="0071782F">
        <w:rPr>
          <w:lang w:val="fr-CH"/>
        </w:rPr>
        <w:t>246.4.</w:t>
      </w:r>
      <w:r w:rsidRPr="0071782F">
        <w:rPr>
          <w:lang w:val="fr-CH"/>
        </w:rPr>
        <w:tab/>
      </w:r>
      <w:r w:rsidR="008B1CFD" w:rsidRPr="0071782F">
        <w:rPr>
          <w:lang w:val="fr-CH"/>
        </w:rPr>
        <w:t xml:space="preserve">Augmentation de la valeur </w:t>
      </w:r>
      <w:r w:rsidRPr="0071782F">
        <w:rPr>
          <w:lang w:val="fr-CH"/>
        </w:rPr>
        <w:t>nutriti</w:t>
      </w:r>
      <w:r w:rsidR="008B1CFD" w:rsidRPr="0071782F">
        <w:rPr>
          <w:lang w:val="fr-CH"/>
        </w:rPr>
        <w:t>ve des produits alimentaires et agricoles</w:t>
      </w:r>
      <w:r w:rsidR="00AF7059" w:rsidRPr="0071782F">
        <w:rPr>
          <w:lang w:val="fr-CH"/>
        </w:rPr>
        <w:t>.</w:t>
      </w:r>
      <w:r w:rsidRPr="0071782F">
        <w:rPr>
          <w:lang w:val="fr-CH"/>
        </w:rPr>
        <w:t xml:space="preserve"> </w:t>
      </w:r>
    </w:p>
    <w:p w:rsidR="008A7415" w:rsidRPr="0071782F" w:rsidRDefault="008A7415" w:rsidP="001A53EE">
      <w:pPr>
        <w:pStyle w:val="SingleTxtG"/>
        <w:ind w:left="1701"/>
        <w:rPr>
          <w:lang w:val="fr-CH"/>
        </w:rPr>
      </w:pPr>
      <w:r w:rsidRPr="0071782F">
        <w:rPr>
          <w:lang w:val="fr-CH"/>
        </w:rPr>
        <w:t>246.5.</w:t>
      </w:r>
      <w:r w:rsidRPr="0071782F">
        <w:rPr>
          <w:lang w:val="fr-CH"/>
        </w:rPr>
        <w:tab/>
      </w:r>
      <w:r w:rsidR="008B1CFD" w:rsidRPr="0071782F">
        <w:rPr>
          <w:lang w:val="fr-CH"/>
        </w:rPr>
        <w:t>Développement de la culture et de la consommation des légumes dans les zones rurales.</w:t>
      </w:r>
      <w:r w:rsidRPr="0071782F">
        <w:rPr>
          <w:lang w:val="fr-CH"/>
        </w:rPr>
        <w:t xml:space="preserve"> </w:t>
      </w:r>
    </w:p>
    <w:p w:rsidR="008A7415" w:rsidRPr="0071782F" w:rsidRDefault="008A7415" w:rsidP="001A53EE">
      <w:pPr>
        <w:pStyle w:val="SingleTxtG"/>
        <w:ind w:left="1701"/>
        <w:rPr>
          <w:lang w:val="fr-CH"/>
        </w:rPr>
      </w:pPr>
      <w:r w:rsidRPr="0071782F">
        <w:rPr>
          <w:lang w:val="fr-CH"/>
        </w:rPr>
        <w:t>246.6.</w:t>
      </w:r>
      <w:r w:rsidRPr="0071782F">
        <w:rPr>
          <w:lang w:val="fr-CH"/>
        </w:rPr>
        <w:tab/>
        <w:t>D</w:t>
      </w:r>
      <w:r w:rsidR="00535A90" w:rsidRPr="0071782F">
        <w:rPr>
          <w:lang w:val="fr-CH"/>
        </w:rPr>
        <w:t xml:space="preserve">éveloppement du rôle du secteur privé s’agissant de faciliter l’accès physique aux </w:t>
      </w:r>
      <w:r w:rsidRPr="0071782F">
        <w:rPr>
          <w:lang w:val="fr-CH"/>
        </w:rPr>
        <w:t xml:space="preserve">fruits </w:t>
      </w:r>
      <w:r w:rsidR="00535A90" w:rsidRPr="0071782F">
        <w:rPr>
          <w:lang w:val="fr-CH"/>
        </w:rPr>
        <w:t>et aux légumes dans les grandes villes</w:t>
      </w:r>
      <w:r w:rsidR="00AF7059" w:rsidRPr="0071782F">
        <w:rPr>
          <w:lang w:val="fr-CH"/>
        </w:rPr>
        <w:t>.</w:t>
      </w:r>
    </w:p>
    <w:p w:rsidR="008A7415" w:rsidRPr="0071782F" w:rsidRDefault="008A7415" w:rsidP="001A53EE">
      <w:pPr>
        <w:pStyle w:val="SingleTxtG"/>
        <w:ind w:left="1701"/>
        <w:rPr>
          <w:lang w:val="fr-CH"/>
        </w:rPr>
      </w:pPr>
      <w:r w:rsidRPr="0071782F">
        <w:rPr>
          <w:lang w:val="fr-CH"/>
        </w:rPr>
        <w:t>246.7.</w:t>
      </w:r>
      <w:r w:rsidRPr="0071782F">
        <w:rPr>
          <w:lang w:val="fr-CH"/>
        </w:rPr>
        <w:tab/>
        <w:t>R</w:t>
      </w:r>
      <w:r w:rsidR="00535A90" w:rsidRPr="0071782F">
        <w:rPr>
          <w:lang w:val="fr-CH"/>
        </w:rPr>
        <w:t>é</w:t>
      </w:r>
      <w:r w:rsidRPr="0071782F">
        <w:rPr>
          <w:lang w:val="fr-CH"/>
        </w:rPr>
        <w:t xml:space="preserve">duction </w:t>
      </w:r>
      <w:r w:rsidR="00535A90" w:rsidRPr="0071782F">
        <w:rPr>
          <w:lang w:val="fr-CH"/>
        </w:rPr>
        <w:t xml:space="preserve">de la consommation effrénée de </w:t>
      </w:r>
      <w:r w:rsidRPr="0071782F">
        <w:rPr>
          <w:lang w:val="fr-CH"/>
        </w:rPr>
        <w:t>toxin</w:t>
      </w:r>
      <w:r w:rsidR="00535A90" w:rsidRPr="0071782F">
        <w:rPr>
          <w:lang w:val="fr-CH"/>
        </w:rPr>
        <w:t>e</w:t>
      </w:r>
      <w:r w:rsidRPr="0071782F">
        <w:rPr>
          <w:lang w:val="fr-CH"/>
        </w:rPr>
        <w:t xml:space="preserve">s </w:t>
      </w:r>
      <w:r w:rsidR="00535A90" w:rsidRPr="0071782F">
        <w:rPr>
          <w:lang w:val="fr-CH"/>
        </w:rPr>
        <w:t>chimiques et appui à la lutte antiparasitaire biologique</w:t>
      </w:r>
      <w:r w:rsidR="00AF7059" w:rsidRPr="0071782F">
        <w:rPr>
          <w:lang w:val="fr-CH"/>
        </w:rPr>
        <w:t>.</w:t>
      </w:r>
    </w:p>
    <w:p w:rsidR="008A7415" w:rsidRPr="003E75EC" w:rsidRDefault="008A7415" w:rsidP="001A53EE">
      <w:pPr>
        <w:pStyle w:val="SingleTxtG"/>
        <w:ind w:left="1701"/>
        <w:rPr>
          <w:spacing w:val="-2"/>
          <w:lang w:val="fr-CH"/>
        </w:rPr>
      </w:pPr>
      <w:r w:rsidRPr="003E75EC">
        <w:rPr>
          <w:spacing w:val="-2"/>
          <w:lang w:val="fr-CH"/>
        </w:rPr>
        <w:t>246.8.</w:t>
      </w:r>
      <w:r w:rsidRPr="003E75EC">
        <w:rPr>
          <w:spacing w:val="-2"/>
          <w:lang w:val="fr-CH"/>
        </w:rPr>
        <w:tab/>
      </w:r>
      <w:r w:rsidR="00535A90" w:rsidRPr="003E75EC">
        <w:rPr>
          <w:spacing w:val="-2"/>
          <w:lang w:val="fr-CH"/>
        </w:rPr>
        <w:t>Appui à la mise au point de systèmes permettant de contrôler la contamination des produits par des toxines et des médicaments administrés aux animaux</w:t>
      </w:r>
      <w:r w:rsidR="00AF7059" w:rsidRPr="003E75EC">
        <w:rPr>
          <w:spacing w:val="-2"/>
          <w:lang w:val="fr-CH"/>
        </w:rPr>
        <w:t>.</w:t>
      </w:r>
    </w:p>
    <w:p w:rsidR="008A7415" w:rsidRPr="0071782F" w:rsidRDefault="008A7415" w:rsidP="001A53EE">
      <w:pPr>
        <w:pStyle w:val="SingleTxtG"/>
        <w:ind w:left="1701"/>
        <w:rPr>
          <w:lang w:val="fr-CH"/>
        </w:rPr>
      </w:pPr>
      <w:r w:rsidRPr="0071782F">
        <w:rPr>
          <w:lang w:val="fr-CH"/>
        </w:rPr>
        <w:t>246.9.</w:t>
      </w:r>
      <w:r w:rsidRPr="0071782F">
        <w:rPr>
          <w:lang w:val="fr-CH"/>
        </w:rPr>
        <w:tab/>
      </w:r>
      <w:r w:rsidR="00535A90" w:rsidRPr="0071782F">
        <w:rPr>
          <w:lang w:val="fr-CH"/>
        </w:rPr>
        <w:t>Modification de la composition de l’offre visant à réduire l’utilisation des céréales, des huiles et du sucre</w:t>
      </w:r>
      <w:r w:rsidR="00AF7059" w:rsidRPr="0071782F">
        <w:rPr>
          <w:lang w:val="fr-CH"/>
        </w:rPr>
        <w:t>.</w:t>
      </w:r>
    </w:p>
    <w:p w:rsidR="008A7415" w:rsidRPr="0071782F" w:rsidRDefault="008A7415" w:rsidP="001A53EE">
      <w:pPr>
        <w:pStyle w:val="SingleTxtG"/>
        <w:ind w:left="1701"/>
        <w:rPr>
          <w:lang w:val="fr-CH"/>
        </w:rPr>
      </w:pPr>
      <w:r w:rsidRPr="0071782F">
        <w:rPr>
          <w:lang w:val="fr-CH"/>
        </w:rPr>
        <w:t>246.10.</w:t>
      </w:r>
      <w:r w:rsidR="001A53EE" w:rsidRPr="0071782F">
        <w:rPr>
          <w:lang w:val="fr-CH"/>
        </w:rPr>
        <w:t xml:space="preserve"> </w:t>
      </w:r>
      <w:r w:rsidRPr="0071782F">
        <w:rPr>
          <w:lang w:val="fr-CH"/>
        </w:rPr>
        <w:t>R</w:t>
      </w:r>
      <w:r w:rsidR="00535A90" w:rsidRPr="0071782F">
        <w:rPr>
          <w:lang w:val="fr-CH"/>
        </w:rPr>
        <w:t>é</w:t>
      </w:r>
      <w:r w:rsidRPr="0071782F">
        <w:rPr>
          <w:lang w:val="fr-CH"/>
        </w:rPr>
        <w:t xml:space="preserve">gulation </w:t>
      </w:r>
      <w:r w:rsidR="00535A90" w:rsidRPr="0071782F">
        <w:rPr>
          <w:lang w:val="fr-CH"/>
        </w:rPr>
        <w:t>et gestion des ressources en eau et en sol</w:t>
      </w:r>
      <w:r w:rsidR="009A7517" w:rsidRPr="0071782F">
        <w:rPr>
          <w:lang w:val="fr-CH"/>
        </w:rPr>
        <w:t>s</w:t>
      </w:r>
      <w:r w:rsidR="00AF7059" w:rsidRPr="0071782F">
        <w:rPr>
          <w:lang w:val="fr-CH"/>
        </w:rPr>
        <w:t>.</w:t>
      </w:r>
    </w:p>
    <w:p w:rsidR="008A7415" w:rsidRPr="0071782F" w:rsidRDefault="008A7415" w:rsidP="001A53EE">
      <w:pPr>
        <w:pStyle w:val="SingleTxtG"/>
        <w:ind w:left="1701"/>
        <w:rPr>
          <w:lang w:val="fr-CH"/>
        </w:rPr>
      </w:pPr>
      <w:r w:rsidRPr="0071782F">
        <w:rPr>
          <w:lang w:val="fr-CH"/>
        </w:rPr>
        <w:t>246.11.</w:t>
      </w:r>
      <w:r w:rsidR="001A53EE" w:rsidRPr="0071782F">
        <w:rPr>
          <w:lang w:val="fr-CH"/>
        </w:rPr>
        <w:t xml:space="preserve"> </w:t>
      </w:r>
      <w:r w:rsidR="00535A90" w:rsidRPr="0071782F">
        <w:rPr>
          <w:lang w:val="fr-CH"/>
        </w:rPr>
        <w:t>Appui à l’</w:t>
      </w:r>
      <w:r w:rsidRPr="0071782F">
        <w:rPr>
          <w:lang w:val="fr-CH"/>
        </w:rPr>
        <w:t>ex</w:t>
      </w:r>
      <w:r w:rsidR="00535A90" w:rsidRPr="0071782F">
        <w:rPr>
          <w:lang w:val="fr-CH"/>
        </w:rPr>
        <w:t>é</w:t>
      </w:r>
      <w:r w:rsidRPr="0071782F">
        <w:rPr>
          <w:lang w:val="fr-CH"/>
        </w:rPr>
        <w:t xml:space="preserve">cution </w:t>
      </w:r>
      <w:r w:rsidR="00535A90" w:rsidRPr="0071782F">
        <w:rPr>
          <w:lang w:val="fr-CH"/>
        </w:rPr>
        <w:t>de projets de gestion de bassin</w:t>
      </w:r>
      <w:r w:rsidR="009A7517" w:rsidRPr="0071782F">
        <w:rPr>
          <w:lang w:val="fr-CH"/>
        </w:rPr>
        <w:t>s</w:t>
      </w:r>
      <w:r w:rsidR="00535A90" w:rsidRPr="0071782F">
        <w:rPr>
          <w:lang w:val="fr-CH"/>
        </w:rPr>
        <w:t xml:space="preserve"> hydrographique</w:t>
      </w:r>
      <w:r w:rsidR="009A7517" w:rsidRPr="0071782F">
        <w:rPr>
          <w:lang w:val="fr-CH"/>
        </w:rPr>
        <w:t>s</w:t>
      </w:r>
      <w:r w:rsidR="00AF7059" w:rsidRPr="0071782F">
        <w:rPr>
          <w:lang w:val="fr-CH"/>
        </w:rPr>
        <w:t>.</w:t>
      </w:r>
    </w:p>
    <w:p w:rsidR="008A7415" w:rsidRPr="0071782F" w:rsidRDefault="008A7415" w:rsidP="001A53EE">
      <w:pPr>
        <w:pStyle w:val="SingleTxtG"/>
        <w:ind w:left="1701"/>
        <w:rPr>
          <w:lang w:val="fr-CH"/>
        </w:rPr>
      </w:pPr>
      <w:r w:rsidRPr="0071782F">
        <w:rPr>
          <w:lang w:val="fr-CH"/>
        </w:rPr>
        <w:t>246.12.</w:t>
      </w:r>
      <w:r w:rsidR="001A53EE" w:rsidRPr="0071782F">
        <w:rPr>
          <w:lang w:val="fr-CH"/>
        </w:rPr>
        <w:t xml:space="preserve"> </w:t>
      </w:r>
      <w:r w:rsidR="00535A90" w:rsidRPr="0071782F">
        <w:rPr>
          <w:lang w:val="fr-CH"/>
        </w:rPr>
        <w:t>Mise au point de systèmes d’</w:t>
      </w:r>
      <w:r w:rsidRPr="0071782F">
        <w:rPr>
          <w:lang w:val="fr-CH"/>
        </w:rPr>
        <w:t xml:space="preserve">irrigation </w:t>
      </w:r>
      <w:r w:rsidR="00535A90" w:rsidRPr="0071782F">
        <w:rPr>
          <w:lang w:val="fr-CH"/>
        </w:rPr>
        <w:t>complémentaires et de méthodes de préservation de l’humidité du sol dans les exploitations et plantations sous pluie.</w:t>
      </w:r>
    </w:p>
    <w:p w:rsidR="008A7415" w:rsidRPr="0071782F" w:rsidRDefault="008A7415" w:rsidP="003D43D2">
      <w:pPr>
        <w:pStyle w:val="SingleTxtG"/>
        <w:ind w:left="1701"/>
        <w:rPr>
          <w:lang w:val="fr-CH"/>
        </w:rPr>
      </w:pPr>
      <w:r w:rsidRPr="0071782F">
        <w:rPr>
          <w:lang w:val="fr-CH"/>
        </w:rPr>
        <w:t>246.13.</w:t>
      </w:r>
      <w:r w:rsidR="001A53EE" w:rsidRPr="0071782F">
        <w:rPr>
          <w:lang w:val="fr-CH"/>
        </w:rPr>
        <w:t xml:space="preserve"> </w:t>
      </w:r>
      <w:r w:rsidR="00535A90" w:rsidRPr="0071782F">
        <w:rPr>
          <w:lang w:val="fr-CH"/>
        </w:rPr>
        <w:t>Appui au développement de la culture concentrée de végétaux sous serre</w:t>
      </w:r>
      <w:r w:rsidR="00AF7059" w:rsidRPr="0071782F">
        <w:rPr>
          <w:lang w:val="fr-CH"/>
        </w:rPr>
        <w:t>.</w:t>
      </w:r>
      <w:r w:rsidRPr="0071782F">
        <w:rPr>
          <w:lang w:val="fr-CH"/>
        </w:rPr>
        <w:t xml:space="preserve"> </w:t>
      </w:r>
    </w:p>
    <w:p w:rsidR="008A7415" w:rsidRPr="0071782F" w:rsidRDefault="008A7415" w:rsidP="003D43D2">
      <w:pPr>
        <w:pStyle w:val="SingleTxtG"/>
        <w:ind w:left="1701"/>
        <w:rPr>
          <w:lang w:val="fr-CH"/>
        </w:rPr>
      </w:pPr>
      <w:r w:rsidRPr="0071782F">
        <w:rPr>
          <w:lang w:val="fr-CH"/>
        </w:rPr>
        <w:t>246.14.</w:t>
      </w:r>
      <w:r w:rsidR="001A53EE" w:rsidRPr="0071782F">
        <w:rPr>
          <w:lang w:val="fr-CH"/>
        </w:rPr>
        <w:t xml:space="preserve"> </w:t>
      </w:r>
      <w:r w:rsidR="00497BEB" w:rsidRPr="0071782F">
        <w:rPr>
          <w:lang w:val="fr-CH"/>
        </w:rPr>
        <w:t>Appui à la fourniture suffisante et opportune d’intrants agricoles</w:t>
      </w:r>
      <w:r w:rsidR="00AF7059" w:rsidRPr="0071782F">
        <w:rPr>
          <w:lang w:val="fr-CH"/>
        </w:rPr>
        <w:t>.</w:t>
      </w:r>
    </w:p>
    <w:p w:rsidR="008A7415" w:rsidRPr="0071782F" w:rsidRDefault="008A7415" w:rsidP="003D43D2">
      <w:pPr>
        <w:pStyle w:val="SingleTxtG"/>
        <w:ind w:left="1701"/>
        <w:rPr>
          <w:lang w:val="fr-CH"/>
        </w:rPr>
      </w:pPr>
      <w:r w:rsidRPr="0071782F">
        <w:rPr>
          <w:lang w:val="fr-CH"/>
        </w:rPr>
        <w:t>246.15.</w:t>
      </w:r>
      <w:r w:rsidR="001A53EE" w:rsidRPr="0071782F">
        <w:rPr>
          <w:lang w:val="fr-CH"/>
        </w:rPr>
        <w:t xml:space="preserve"> </w:t>
      </w:r>
      <w:r w:rsidRPr="0071782F">
        <w:rPr>
          <w:lang w:val="fr-CH"/>
        </w:rPr>
        <w:t>Ex</w:t>
      </w:r>
      <w:r w:rsidR="00497BEB" w:rsidRPr="0071782F">
        <w:rPr>
          <w:lang w:val="fr-CH"/>
        </w:rPr>
        <w:t>tension et amélioration des systèmes d’irrigation sous pression</w:t>
      </w:r>
      <w:r w:rsidR="00AF7059" w:rsidRPr="0071782F">
        <w:rPr>
          <w:lang w:val="fr-CH"/>
        </w:rPr>
        <w:t>.</w:t>
      </w:r>
    </w:p>
    <w:p w:rsidR="008A7415" w:rsidRPr="0071782F" w:rsidRDefault="008A7415" w:rsidP="003D43D2">
      <w:pPr>
        <w:pStyle w:val="SingleTxtG"/>
        <w:ind w:left="1701"/>
        <w:rPr>
          <w:lang w:val="fr-CH"/>
        </w:rPr>
      </w:pPr>
      <w:r w:rsidRPr="0071782F">
        <w:rPr>
          <w:lang w:val="fr-CH"/>
        </w:rPr>
        <w:t>246.16.</w:t>
      </w:r>
      <w:r w:rsidR="001A53EE" w:rsidRPr="0071782F">
        <w:rPr>
          <w:lang w:val="fr-CH"/>
        </w:rPr>
        <w:t xml:space="preserve"> </w:t>
      </w:r>
      <w:r w:rsidR="00497BEB" w:rsidRPr="0071782F">
        <w:rPr>
          <w:lang w:val="fr-CH"/>
        </w:rPr>
        <w:t xml:space="preserve">Réorientation des subventions à la </w:t>
      </w:r>
      <w:r w:rsidRPr="0071782F">
        <w:rPr>
          <w:lang w:val="fr-CH"/>
        </w:rPr>
        <w:t xml:space="preserve">production </w:t>
      </w:r>
      <w:r w:rsidR="00497BEB" w:rsidRPr="0071782F">
        <w:rPr>
          <w:lang w:val="fr-CH"/>
        </w:rPr>
        <w:t>et de l’utilisation d’instruments coûteux.</w:t>
      </w:r>
      <w:r w:rsidRPr="0071782F">
        <w:rPr>
          <w:lang w:val="fr-CH"/>
        </w:rPr>
        <w:t xml:space="preserve"> </w:t>
      </w:r>
    </w:p>
    <w:p w:rsidR="008A7415" w:rsidRPr="0071782F" w:rsidRDefault="008A7415" w:rsidP="003D43D2">
      <w:pPr>
        <w:pStyle w:val="SingleTxtG"/>
        <w:ind w:left="1701"/>
        <w:rPr>
          <w:lang w:val="fr-CH"/>
        </w:rPr>
      </w:pPr>
      <w:r w:rsidRPr="0071782F">
        <w:rPr>
          <w:lang w:val="fr-CH"/>
        </w:rPr>
        <w:t>246.17.</w:t>
      </w:r>
      <w:r w:rsidR="001A53EE" w:rsidRPr="0071782F">
        <w:rPr>
          <w:lang w:val="fr-CH"/>
        </w:rPr>
        <w:t xml:space="preserve"> </w:t>
      </w:r>
      <w:r w:rsidR="00497BEB" w:rsidRPr="0071782F">
        <w:rPr>
          <w:lang w:val="fr-CH"/>
        </w:rPr>
        <w:t>Sensibilisation des agriculteurs et des éleveurs à la situation du marché</w:t>
      </w:r>
      <w:r w:rsidR="00AF7059" w:rsidRPr="0071782F">
        <w:rPr>
          <w:lang w:val="fr-CH"/>
        </w:rPr>
        <w:t>.</w:t>
      </w:r>
      <w:r w:rsidRPr="0071782F">
        <w:rPr>
          <w:lang w:val="fr-CH"/>
        </w:rPr>
        <w:t xml:space="preserve"> </w:t>
      </w:r>
    </w:p>
    <w:p w:rsidR="008A7415" w:rsidRPr="0071782F" w:rsidRDefault="008A7415" w:rsidP="003D43D2">
      <w:pPr>
        <w:pStyle w:val="SingleTxtG"/>
        <w:ind w:left="1701"/>
        <w:rPr>
          <w:lang w:val="fr-CH"/>
        </w:rPr>
      </w:pPr>
      <w:r w:rsidRPr="0071782F">
        <w:rPr>
          <w:lang w:val="fr-CH"/>
        </w:rPr>
        <w:t>246.18.</w:t>
      </w:r>
      <w:r w:rsidR="001A53EE" w:rsidRPr="0071782F">
        <w:rPr>
          <w:lang w:val="fr-CH"/>
        </w:rPr>
        <w:t xml:space="preserve"> </w:t>
      </w:r>
      <w:r w:rsidR="00497BEB" w:rsidRPr="0071782F">
        <w:rPr>
          <w:lang w:val="fr-CH"/>
        </w:rPr>
        <w:t xml:space="preserve">Construction d’installations de stockage de produits agricoles et alimentaires aux niveaux local, </w:t>
      </w:r>
      <w:r w:rsidRPr="0071782F">
        <w:rPr>
          <w:lang w:val="fr-CH"/>
        </w:rPr>
        <w:t>r</w:t>
      </w:r>
      <w:r w:rsidR="00497BEB" w:rsidRPr="0071782F">
        <w:rPr>
          <w:lang w:val="fr-CH"/>
        </w:rPr>
        <w:t>é</w:t>
      </w:r>
      <w:r w:rsidRPr="0071782F">
        <w:rPr>
          <w:lang w:val="fr-CH"/>
        </w:rPr>
        <w:t xml:space="preserve">gional </w:t>
      </w:r>
      <w:r w:rsidR="00497BEB" w:rsidRPr="0071782F">
        <w:rPr>
          <w:lang w:val="fr-CH"/>
        </w:rPr>
        <w:t>et</w:t>
      </w:r>
      <w:r w:rsidRPr="0071782F">
        <w:rPr>
          <w:lang w:val="fr-CH"/>
        </w:rPr>
        <w:t xml:space="preserve"> national</w:t>
      </w:r>
      <w:r w:rsidR="00AF7059" w:rsidRPr="0071782F">
        <w:rPr>
          <w:lang w:val="fr-CH"/>
        </w:rPr>
        <w:t>.</w:t>
      </w:r>
    </w:p>
    <w:p w:rsidR="008A7415" w:rsidRPr="0071782F" w:rsidRDefault="008A7415" w:rsidP="001A53EE">
      <w:pPr>
        <w:pStyle w:val="SingleTxtG"/>
        <w:ind w:left="1701"/>
        <w:rPr>
          <w:lang w:val="fr-CH"/>
        </w:rPr>
      </w:pPr>
      <w:r w:rsidRPr="0071782F">
        <w:rPr>
          <w:lang w:val="fr-CH"/>
        </w:rPr>
        <w:t>246.19.</w:t>
      </w:r>
      <w:r w:rsidR="001A53EE" w:rsidRPr="0071782F">
        <w:rPr>
          <w:lang w:val="fr-CH"/>
        </w:rPr>
        <w:t xml:space="preserve"> </w:t>
      </w:r>
      <w:r w:rsidR="00497BEB" w:rsidRPr="0071782F">
        <w:rPr>
          <w:lang w:val="fr-CH"/>
        </w:rPr>
        <w:t xml:space="preserve">Appui aux projets de développement </w:t>
      </w:r>
      <w:r w:rsidRPr="0071782F">
        <w:rPr>
          <w:lang w:val="fr-CH"/>
        </w:rPr>
        <w:t>rural</w:t>
      </w:r>
      <w:r w:rsidR="00AF7059" w:rsidRPr="0071782F">
        <w:rPr>
          <w:lang w:val="fr-CH"/>
        </w:rPr>
        <w:t>.</w:t>
      </w:r>
    </w:p>
    <w:p w:rsidR="008A7415" w:rsidRPr="0071782F" w:rsidRDefault="008A7415" w:rsidP="001A53EE">
      <w:pPr>
        <w:pStyle w:val="SingleTxtG"/>
        <w:ind w:left="1701"/>
        <w:rPr>
          <w:lang w:val="fr-CH"/>
        </w:rPr>
      </w:pPr>
      <w:r w:rsidRPr="0071782F">
        <w:rPr>
          <w:lang w:val="fr-CH"/>
        </w:rPr>
        <w:t>246.20.</w:t>
      </w:r>
      <w:r w:rsidR="001A53EE" w:rsidRPr="0071782F">
        <w:rPr>
          <w:lang w:val="fr-CH"/>
        </w:rPr>
        <w:t xml:space="preserve"> </w:t>
      </w:r>
      <w:r w:rsidRPr="0071782F">
        <w:rPr>
          <w:lang w:val="fr-CH"/>
        </w:rPr>
        <w:t>R</w:t>
      </w:r>
      <w:r w:rsidR="00497BEB" w:rsidRPr="0071782F">
        <w:rPr>
          <w:lang w:val="fr-CH"/>
        </w:rPr>
        <w:t>é</w:t>
      </w:r>
      <w:r w:rsidRPr="0071782F">
        <w:rPr>
          <w:lang w:val="fr-CH"/>
        </w:rPr>
        <w:t xml:space="preserve">duction </w:t>
      </w:r>
      <w:r w:rsidR="00497BEB" w:rsidRPr="0071782F">
        <w:rPr>
          <w:lang w:val="fr-CH"/>
        </w:rPr>
        <w:t xml:space="preserve">des coûts de </w:t>
      </w:r>
      <w:r w:rsidRPr="0071782F">
        <w:rPr>
          <w:lang w:val="fr-CH"/>
        </w:rPr>
        <w:t xml:space="preserve">production </w:t>
      </w:r>
      <w:r w:rsidR="00497BEB" w:rsidRPr="0071782F">
        <w:rPr>
          <w:lang w:val="fr-CH"/>
        </w:rPr>
        <w:t>et des prix des produits alimentaires</w:t>
      </w:r>
      <w:r w:rsidR="00AF7059" w:rsidRPr="0071782F">
        <w:rPr>
          <w:lang w:val="fr-CH"/>
        </w:rPr>
        <w:t>.</w:t>
      </w:r>
    </w:p>
    <w:p w:rsidR="008A7415" w:rsidRPr="0071782F" w:rsidRDefault="008A7415" w:rsidP="001A53EE">
      <w:pPr>
        <w:pStyle w:val="SingleTxtG"/>
        <w:ind w:left="1701"/>
        <w:rPr>
          <w:lang w:val="fr-CH"/>
        </w:rPr>
      </w:pPr>
      <w:r w:rsidRPr="0071782F">
        <w:rPr>
          <w:lang w:val="fr-CH"/>
        </w:rPr>
        <w:t>246.21.</w:t>
      </w:r>
      <w:r w:rsidR="001A53EE" w:rsidRPr="0071782F">
        <w:rPr>
          <w:lang w:val="fr-CH"/>
        </w:rPr>
        <w:t xml:space="preserve"> </w:t>
      </w:r>
      <w:r w:rsidR="005342C5" w:rsidRPr="0071782F">
        <w:rPr>
          <w:lang w:val="fr-CH"/>
        </w:rPr>
        <w:t>Préparatifs à effectuer dans le secteur de la production alimentaire en vue de l’adhésion à l’Organisation mondiale du commerce</w:t>
      </w:r>
      <w:r w:rsidR="00AF7059" w:rsidRPr="0071782F">
        <w:rPr>
          <w:lang w:val="fr-CH"/>
        </w:rPr>
        <w:t>.</w:t>
      </w:r>
    </w:p>
    <w:p w:rsidR="008A7415" w:rsidRPr="0071782F" w:rsidRDefault="008A7415" w:rsidP="001A53EE">
      <w:pPr>
        <w:pStyle w:val="SingleTxtG"/>
        <w:ind w:left="1701"/>
        <w:rPr>
          <w:lang w:val="fr-CH"/>
        </w:rPr>
      </w:pPr>
      <w:r w:rsidRPr="0071782F">
        <w:rPr>
          <w:lang w:val="fr-CH"/>
        </w:rPr>
        <w:t>246.22.</w:t>
      </w:r>
      <w:r w:rsidR="001A53EE" w:rsidRPr="0071782F">
        <w:rPr>
          <w:lang w:val="fr-CH"/>
        </w:rPr>
        <w:t xml:space="preserve"> </w:t>
      </w:r>
      <w:r w:rsidRPr="0071782F">
        <w:rPr>
          <w:lang w:val="fr-CH"/>
        </w:rPr>
        <w:t>R</w:t>
      </w:r>
      <w:r w:rsidR="009E2AD4" w:rsidRPr="0071782F">
        <w:rPr>
          <w:lang w:val="fr-CH"/>
        </w:rPr>
        <w:t>éforme du système d’</w:t>
      </w:r>
      <w:r w:rsidRPr="0071782F">
        <w:rPr>
          <w:lang w:val="fr-CH"/>
        </w:rPr>
        <w:t xml:space="preserve">exploitation </w:t>
      </w:r>
      <w:r w:rsidR="009E2AD4" w:rsidRPr="0071782F">
        <w:rPr>
          <w:lang w:val="fr-CH"/>
        </w:rPr>
        <w:t>compte tenu des besoins du pays</w:t>
      </w:r>
      <w:r w:rsidR="00AF7059" w:rsidRPr="0071782F">
        <w:rPr>
          <w:lang w:val="fr-CH"/>
        </w:rPr>
        <w:t>.</w:t>
      </w:r>
      <w:r w:rsidRPr="0071782F">
        <w:rPr>
          <w:lang w:val="fr-CH"/>
        </w:rPr>
        <w:t xml:space="preserve"> </w:t>
      </w:r>
    </w:p>
    <w:p w:rsidR="008A7415" w:rsidRPr="0071782F" w:rsidRDefault="008A7415" w:rsidP="001A53EE">
      <w:pPr>
        <w:pStyle w:val="SingleTxtG"/>
        <w:ind w:left="1701"/>
        <w:rPr>
          <w:lang w:val="fr-CH"/>
        </w:rPr>
      </w:pPr>
      <w:r w:rsidRPr="0071782F">
        <w:rPr>
          <w:lang w:val="fr-CH"/>
        </w:rPr>
        <w:t>246.23.</w:t>
      </w:r>
      <w:r w:rsidR="001A53EE" w:rsidRPr="0071782F">
        <w:rPr>
          <w:lang w:val="fr-CH"/>
        </w:rPr>
        <w:t xml:space="preserve"> </w:t>
      </w:r>
      <w:r w:rsidR="009E2AD4" w:rsidRPr="0071782F">
        <w:rPr>
          <w:lang w:val="fr-CH"/>
        </w:rPr>
        <w:t>Recherche de l’</w:t>
      </w:r>
      <w:r w:rsidRPr="0071782F">
        <w:rPr>
          <w:lang w:val="fr-CH"/>
        </w:rPr>
        <w:t xml:space="preserve">assistance </w:t>
      </w:r>
      <w:r w:rsidR="009E2AD4" w:rsidRPr="0071782F">
        <w:rPr>
          <w:lang w:val="fr-CH"/>
        </w:rPr>
        <w:t>des réseaux de coopé</w:t>
      </w:r>
      <w:r w:rsidRPr="0071782F">
        <w:rPr>
          <w:lang w:val="fr-CH"/>
        </w:rPr>
        <w:t>rative</w:t>
      </w:r>
      <w:r w:rsidR="009E2AD4" w:rsidRPr="0071782F">
        <w:rPr>
          <w:lang w:val="fr-CH"/>
        </w:rPr>
        <w:t xml:space="preserve">s rurales en matière de formation à la nutrition et d’amélioration de la qualité et de la </w:t>
      </w:r>
      <w:r w:rsidRPr="0071782F">
        <w:rPr>
          <w:lang w:val="fr-CH"/>
        </w:rPr>
        <w:t xml:space="preserve">distribution </w:t>
      </w:r>
      <w:r w:rsidR="009E2AD4" w:rsidRPr="0071782F">
        <w:rPr>
          <w:lang w:val="fr-CH"/>
        </w:rPr>
        <w:t>des produits alimentaires</w:t>
      </w:r>
      <w:r w:rsidR="00AF7059" w:rsidRPr="0071782F">
        <w:rPr>
          <w:lang w:val="fr-CH"/>
        </w:rPr>
        <w:t>.</w:t>
      </w:r>
      <w:r w:rsidRPr="0071782F">
        <w:rPr>
          <w:lang w:val="fr-CH"/>
        </w:rPr>
        <w:t xml:space="preserve"> </w:t>
      </w:r>
    </w:p>
    <w:p w:rsidR="008A7415" w:rsidRPr="0071782F" w:rsidRDefault="008A7415" w:rsidP="001A53EE">
      <w:pPr>
        <w:pStyle w:val="SingleTxtG"/>
        <w:ind w:left="1701"/>
        <w:rPr>
          <w:lang w:val="fr-CH"/>
        </w:rPr>
      </w:pPr>
      <w:r w:rsidRPr="0071782F">
        <w:rPr>
          <w:lang w:val="fr-CH"/>
        </w:rPr>
        <w:t>246.24.</w:t>
      </w:r>
      <w:r w:rsidR="001A53EE" w:rsidRPr="0071782F">
        <w:rPr>
          <w:lang w:val="fr-CH"/>
        </w:rPr>
        <w:t xml:space="preserve"> </w:t>
      </w:r>
      <w:r w:rsidR="009E2AD4" w:rsidRPr="0071782F">
        <w:rPr>
          <w:lang w:val="fr-CH"/>
        </w:rPr>
        <w:t>Augmentation de l’offre d’aliments traditionnels adéquats</w:t>
      </w:r>
      <w:r w:rsidR="00AF7059" w:rsidRPr="0071782F">
        <w:rPr>
          <w:lang w:val="fr-CH"/>
        </w:rPr>
        <w:t>.</w:t>
      </w:r>
      <w:r w:rsidRPr="0071782F">
        <w:rPr>
          <w:lang w:val="fr-CH"/>
        </w:rPr>
        <w:t xml:space="preserve"> </w:t>
      </w:r>
    </w:p>
    <w:p w:rsidR="008A7415" w:rsidRPr="0071782F" w:rsidRDefault="008A7415" w:rsidP="001A53EE">
      <w:pPr>
        <w:pStyle w:val="SingleTxtG"/>
        <w:ind w:left="1701"/>
        <w:rPr>
          <w:lang w:val="fr-CH"/>
        </w:rPr>
      </w:pPr>
      <w:r w:rsidRPr="0071782F">
        <w:rPr>
          <w:lang w:val="fr-CH"/>
        </w:rPr>
        <w:t>246.25.</w:t>
      </w:r>
      <w:r w:rsidR="001A53EE" w:rsidRPr="0071782F">
        <w:rPr>
          <w:lang w:val="fr-CH"/>
        </w:rPr>
        <w:t xml:space="preserve"> </w:t>
      </w:r>
      <w:r w:rsidR="009E2AD4" w:rsidRPr="0071782F">
        <w:rPr>
          <w:lang w:val="fr-CH"/>
        </w:rPr>
        <w:t>Mise en place d’une réglementation sur la salubrité du transport des produits alimentaires depuis leur production jusqu’à leur consommation</w:t>
      </w:r>
      <w:r w:rsidR="00AF7059" w:rsidRPr="0071782F">
        <w:rPr>
          <w:lang w:val="fr-CH"/>
        </w:rPr>
        <w:t>.</w:t>
      </w:r>
    </w:p>
    <w:p w:rsidR="008A7415" w:rsidRPr="0071782F" w:rsidRDefault="008A7415" w:rsidP="001A53EE">
      <w:pPr>
        <w:pStyle w:val="SingleTxtG"/>
        <w:ind w:left="1701"/>
        <w:rPr>
          <w:lang w:val="fr-CH"/>
        </w:rPr>
      </w:pPr>
      <w:r w:rsidRPr="0071782F">
        <w:rPr>
          <w:lang w:val="fr-CH"/>
        </w:rPr>
        <w:t>246.26.</w:t>
      </w:r>
      <w:r w:rsidR="001A53EE" w:rsidRPr="0071782F">
        <w:rPr>
          <w:lang w:val="fr-CH"/>
        </w:rPr>
        <w:t xml:space="preserve"> </w:t>
      </w:r>
      <w:r w:rsidR="009E2AD4" w:rsidRPr="0071782F">
        <w:rPr>
          <w:lang w:val="fr-CH"/>
        </w:rPr>
        <w:t>Appui à l’investissement dans le développement des industries de transformation et du stockage des produits agricoles</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656310" w:rsidRPr="0071782F">
        <w:rPr>
          <w:lang w:val="fr-CH"/>
        </w:rPr>
        <w:t xml:space="preserve">Sécurité alimentaire </w:t>
      </w:r>
    </w:p>
    <w:p w:rsidR="008A7415" w:rsidRPr="0071782F" w:rsidRDefault="008A7415" w:rsidP="00204410">
      <w:pPr>
        <w:pStyle w:val="SingleTxtG"/>
        <w:rPr>
          <w:lang w:val="fr-CH"/>
        </w:rPr>
      </w:pPr>
      <w:r w:rsidRPr="0071782F">
        <w:rPr>
          <w:lang w:val="fr-CH"/>
        </w:rPr>
        <w:t>247.</w:t>
      </w:r>
      <w:r w:rsidRPr="0071782F">
        <w:rPr>
          <w:lang w:val="fr-CH"/>
        </w:rPr>
        <w:tab/>
      </w:r>
      <w:r w:rsidR="00656310" w:rsidRPr="0071782F">
        <w:rPr>
          <w:lang w:val="fr-CH"/>
        </w:rPr>
        <w:t>Les stratégies relatives à ce domaine sont notamment les suivantes</w:t>
      </w:r>
      <w:r w:rsidR="008F7D33" w:rsidRPr="0071782F">
        <w:rPr>
          <w:lang w:val="fr-CH"/>
        </w:rPr>
        <w:t>:</w:t>
      </w:r>
    </w:p>
    <w:p w:rsidR="008A7415" w:rsidRPr="0071782F" w:rsidRDefault="008A7415" w:rsidP="00AF7059">
      <w:pPr>
        <w:pStyle w:val="SingleTxtG"/>
        <w:ind w:left="1701"/>
        <w:rPr>
          <w:lang w:val="fr-CH"/>
        </w:rPr>
      </w:pPr>
      <w:r w:rsidRPr="0071782F">
        <w:rPr>
          <w:lang w:val="fr-CH"/>
        </w:rPr>
        <w:t>247.1.</w:t>
      </w:r>
      <w:r w:rsidRPr="0071782F">
        <w:rPr>
          <w:lang w:val="fr-CH"/>
        </w:rPr>
        <w:tab/>
      </w:r>
      <w:r w:rsidR="00656310" w:rsidRPr="0071782F">
        <w:rPr>
          <w:lang w:val="fr-CH"/>
        </w:rPr>
        <w:t>Appui aux projets destinés à développer et élever le niveau des technologies utilisées dans l’industrie alimentaire</w:t>
      </w:r>
      <w:r w:rsidR="00AF7059" w:rsidRPr="0071782F">
        <w:rPr>
          <w:lang w:val="fr-CH"/>
        </w:rPr>
        <w:t>.</w:t>
      </w:r>
    </w:p>
    <w:p w:rsidR="008A7415" w:rsidRPr="0071782F" w:rsidRDefault="008A7415" w:rsidP="00AF7059">
      <w:pPr>
        <w:pStyle w:val="SingleTxtG"/>
        <w:ind w:left="1701"/>
        <w:rPr>
          <w:lang w:val="fr-CH"/>
        </w:rPr>
      </w:pPr>
      <w:r w:rsidRPr="0071782F">
        <w:rPr>
          <w:lang w:val="fr-CH"/>
        </w:rPr>
        <w:t>247.2.</w:t>
      </w:r>
      <w:r w:rsidRPr="0071782F">
        <w:rPr>
          <w:lang w:val="fr-CH"/>
        </w:rPr>
        <w:tab/>
      </w:r>
      <w:r w:rsidR="00656310" w:rsidRPr="0071782F">
        <w:rPr>
          <w:lang w:val="fr-CH"/>
        </w:rPr>
        <w:t>Appui aux projets de création d’entreprises dans la petite industrie alimentaire</w:t>
      </w:r>
      <w:r w:rsidR="00AF7059" w:rsidRPr="0071782F">
        <w:rPr>
          <w:lang w:val="fr-CH"/>
        </w:rPr>
        <w:t>.</w:t>
      </w:r>
      <w:r w:rsidRPr="0071782F">
        <w:rPr>
          <w:lang w:val="fr-CH"/>
        </w:rPr>
        <w:t xml:space="preserve"> </w:t>
      </w:r>
    </w:p>
    <w:p w:rsidR="008A7415" w:rsidRPr="0071782F" w:rsidRDefault="008A7415" w:rsidP="00AF7059">
      <w:pPr>
        <w:pStyle w:val="SingleTxtG"/>
        <w:ind w:left="1701"/>
        <w:rPr>
          <w:lang w:val="fr-CH"/>
        </w:rPr>
      </w:pPr>
      <w:r w:rsidRPr="0071782F">
        <w:rPr>
          <w:lang w:val="fr-CH"/>
        </w:rPr>
        <w:t>247.3.</w:t>
      </w:r>
      <w:r w:rsidRPr="0071782F">
        <w:rPr>
          <w:lang w:val="fr-CH"/>
        </w:rPr>
        <w:tab/>
      </w:r>
      <w:r w:rsidR="00656310" w:rsidRPr="0071782F">
        <w:rPr>
          <w:lang w:val="fr-CH"/>
        </w:rPr>
        <w:t>M</w:t>
      </w:r>
      <w:r w:rsidR="00E9273F" w:rsidRPr="0071782F">
        <w:rPr>
          <w:lang w:val="fr-CH"/>
        </w:rPr>
        <w:t xml:space="preserve">ise </w:t>
      </w:r>
      <w:r w:rsidR="00656310" w:rsidRPr="0071782F">
        <w:rPr>
          <w:lang w:val="fr-CH"/>
        </w:rPr>
        <w:t xml:space="preserve">en place </w:t>
      </w:r>
      <w:r w:rsidR="00445CD1" w:rsidRPr="0071782F">
        <w:rPr>
          <w:lang w:val="fr-CH"/>
        </w:rPr>
        <w:t>d’</w:t>
      </w:r>
      <w:r w:rsidR="00656310" w:rsidRPr="0071782F">
        <w:rPr>
          <w:lang w:val="fr-CH"/>
        </w:rPr>
        <w:t xml:space="preserve">un système </w:t>
      </w:r>
      <w:r w:rsidRPr="0071782F">
        <w:rPr>
          <w:lang w:val="fr-CH"/>
        </w:rPr>
        <w:t>dynami</w:t>
      </w:r>
      <w:r w:rsidR="00656310" w:rsidRPr="0071782F">
        <w:rPr>
          <w:lang w:val="fr-CH"/>
        </w:rPr>
        <w:t>que permettant de définir et de modifier en temps utile les normes applicables aux produits alimentaires, aux matières premières et au conditionnement</w:t>
      </w:r>
      <w:r w:rsidR="00AF7059" w:rsidRPr="0071782F">
        <w:rPr>
          <w:lang w:val="fr-CH"/>
        </w:rPr>
        <w:t>.</w:t>
      </w:r>
      <w:r w:rsidRPr="0071782F">
        <w:rPr>
          <w:lang w:val="fr-CH"/>
        </w:rPr>
        <w:t xml:space="preserve"> </w:t>
      </w:r>
    </w:p>
    <w:p w:rsidR="008A7415" w:rsidRPr="0071782F" w:rsidRDefault="008A7415" w:rsidP="00AF7059">
      <w:pPr>
        <w:pStyle w:val="SingleTxtG"/>
        <w:ind w:left="1701"/>
        <w:rPr>
          <w:lang w:val="fr-CH"/>
        </w:rPr>
      </w:pPr>
      <w:r w:rsidRPr="0071782F">
        <w:rPr>
          <w:lang w:val="fr-CH"/>
        </w:rPr>
        <w:t>247.4.</w:t>
      </w:r>
      <w:r w:rsidRPr="0071782F">
        <w:rPr>
          <w:lang w:val="fr-CH"/>
        </w:rPr>
        <w:tab/>
      </w:r>
      <w:r w:rsidR="00E9273F" w:rsidRPr="0071782F">
        <w:rPr>
          <w:lang w:val="fr-CH"/>
        </w:rPr>
        <w:t xml:space="preserve">Appui aux projets destinés à promouvoir l’utilisation des systèmes de garantie de la qualité </w:t>
      </w:r>
      <w:r w:rsidRPr="0071782F">
        <w:rPr>
          <w:lang w:val="fr-CH"/>
        </w:rPr>
        <w:t xml:space="preserve">HACCP </w:t>
      </w:r>
      <w:r w:rsidR="00E9273F" w:rsidRPr="0071782F">
        <w:rPr>
          <w:lang w:val="fr-CH"/>
        </w:rPr>
        <w:t>(système de points critiques de contrôle) et</w:t>
      </w:r>
      <w:r w:rsidRPr="0071782F">
        <w:rPr>
          <w:lang w:val="fr-CH"/>
        </w:rPr>
        <w:t xml:space="preserve"> </w:t>
      </w:r>
      <w:r w:rsidR="00E9273F" w:rsidRPr="0071782F">
        <w:rPr>
          <w:lang w:val="fr-CH"/>
        </w:rPr>
        <w:t xml:space="preserve">GRC (gestion du risque climatique) dans </w:t>
      </w:r>
      <w:r w:rsidR="00A83442">
        <w:rPr>
          <w:lang w:val="fr-CH"/>
        </w:rPr>
        <w:t>les unités</w:t>
      </w:r>
      <w:r w:rsidR="00E9273F" w:rsidRPr="0071782F">
        <w:rPr>
          <w:lang w:val="fr-CH"/>
        </w:rPr>
        <w:t xml:space="preserve"> de </w:t>
      </w:r>
      <w:r w:rsidRPr="0071782F">
        <w:rPr>
          <w:lang w:val="fr-CH"/>
        </w:rPr>
        <w:t xml:space="preserve">production, </w:t>
      </w:r>
      <w:r w:rsidR="00E9273F" w:rsidRPr="0071782F">
        <w:rPr>
          <w:lang w:val="fr-CH"/>
        </w:rPr>
        <w:t xml:space="preserve">d’approvisionnement et de </w:t>
      </w:r>
      <w:r w:rsidRPr="0071782F">
        <w:rPr>
          <w:lang w:val="fr-CH"/>
        </w:rPr>
        <w:t xml:space="preserve">distribution </w:t>
      </w:r>
      <w:r w:rsidR="00E9273F" w:rsidRPr="0071782F">
        <w:rPr>
          <w:lang w:val="fr-CH"/>
        </w:rPr>
        <w:t xml:space="preserve">et leur introduction progressive en tant que systèmes obligatoires à mettre en </w:t>
      </w:r>
      <w:r w:rsidR="00D5366B" w:rsidRPr="0071782F">
        <w:rPr>
          <w:lang w:val="fr-CH"/>
        </w:rPr>
        <w:t>œuvre</w:t>
      </w:r>
      <w:r w:rsidR="00E9273F" w:rsidRPr="0071782F">
        <w:rPr>
          <w:lang w:val="fr-CH"/>
        </w:rPr>
        <w:t xml:space="preserve"> dans la </w:t>
      </w:r>
      <w:r w:rsidRPr="0071782F">
        <w:rPr>
          <w:lang w:val="fr-CH"/>
        </w:rPr>
        <w:t xml:space="preserve">production </w:t>
      </w:r>
      <w:r w:rsidR="00E9273F" w:rsidRPr="0071782F">
        <w:rPr>
          <w:lang w:val="fr-CH"/>
        </w:rPr>
        <w:t>et la transformation des produits carnés, laitiers, de la mer et avicoles</w:t>
      </w:r>
      <w:r w:rsidR="00AF7059" w:rsidRPr="0071782F">
        <w:rPr>
          <w:lang w:val="fr-CH"/>
        </w:rPr>
        <w:t>.</w:t>
      </w:r>
    </w:p>
    <w:p w:rsidR="008A7415" w:rsidRPr="0071782F" w:rsidRDefault="008A7415" w:rsidP="00AF7059">
      <w:pPr>
        <w:pStyle w:val="SingleTxtG"/>
        <w:ind w:left="1701"/>
        <w:rPr>
          <w:lang w:val="fr-CH"/>
        </w:rPr>
      </w:pPr>
      <w:r w:rsidRPr="0071782F">
        <w:rPr>
          <w:lang w:val="fr-CH"/>
        </w:rPr>
        <w:t>247.5.</w:t>
      </w:r>
      <w:r w:rsidRPr="0071782F">
        <w:rPr>
          <w:lang w:val="fr-CH"/>
        </w:rPr>
        <w:tab/>
      </w:r>
      <w:r w:rsidR="00E9273F" w:rsidRPr="0071782F">
        <w:rPr>
          <w:lang w:val="fr-CH"/>
        </w:rPr>
        <w:t xml:space="preserve">Élaboration d’un SIG et d’un système de codification pour </w:t>
      </w:r>
      <w:r w:rsidR="00A83442">
        <w:rPr>
          <w:lang w:val="fr-CH"/>
        </w:rPr>
        <w:t>les unités</w:t>
      </w:r>
      <w:r w:rsidR="00E9273F" w:rsidRPr="0071782F">
        <w:rPr>
          <w:lang w:val="fr-CH"/>
        </w:rPr>
        <w:t xml:space="preserve"> de production et de transformation de produits alimentaires</w:t>
      </w:r>
      <w:r w:rsidR="00AF7059" w:rsidRPr="0071782F">
        <w:rPr>
          <w:lang w:val="fr-CH"/>
        </w:rPr>
        <w:t>.</w:t>
      </w:r>
    </w:p>
    <w:p w:rsidR="008A7415" w:rsidRPr="003E75EC" w:rsidRDefault="008A7415" w:rsidP="00AF7059">
      <w:pPr>
        <w:pStyle w:val="SingleTxtG"/>
        <w:ind w:left="1701"/>
        <w:rPr>
          <w:spacing w:val="-2"/>
          <w:lang w:val="fr-CH"/>
        </w:rPr>
      </w:pPr>
      <w:r w:rsidRPr="003E75EC">
        <w:rPr>
          <w:spacing w:val="-2"/>
          <w:lang w:val="fr-CH"/>
        </w:rPr>
        <w:t>247.6.</w:t>
      </w:r>
      <w:r w:rsidRPr="003E75EC">
        <w:rPr>
          <w:spacing w:val="-2"/>
          <w:lang w:val="fr-CH"/>
        </w:rPr>
        <w:tab/>
      </w:r>
      <w:r w:rsidR="00E9273F" w:rsidRPr="003E75EC">
        <w:rPr>
          <w:spacing w:val="-2"/>
          <w:lang w:val="fr-CH"/>
        </w:rPr>
        <w:t>Mise en place d’un système efficace de suivi et de contrôle des importations de produits alimentaires et de matières premières utilisées par l’industrie alimentaire</w:t>
      </w:r>
      <w:r w:rsidR="00AF7059" w:rsidRPr="003E75EC">
        <w:rPr>
          <w:spacing w:val="-2"/>
          <w:lang w:val="fr-CH"/>
        </w:rPr>
        <w:t>.</w:t>
      </w:r>
    </w:p>
    <w:p w:rsidR="008A7415" w:rsidRPr="0071782F" w:rsidRDefault="008A7415" w:rsidP="00AF7059">
      <w:pPr>
        <w:pStyle w:val="SingleTxtG"/>
        <w:ind w:left="1701"/>
        <w:rPr>
          <w:lang w:val="fr-CH"/>
        </w:rPr>
      </w:pPr>
      <w:r w:rsidRPr="0071782F">
        <w:rPr>
          <w:lang w:val="fr-CH"/>
        </w:rPr>
        <w:t>247.7.</w:t>
      </w:r>
      <w:r w:rsidRPr="0071782F">
        <w:rPr>
          <w:lang w:val="fr-CH"/>
        </w:rPr>
        <w:tab/>
      </w:r>
      <w:r w:rsidR="00ED2BFF" w:rsidRPr="0071782F">
        <w:rPr>
          <w:lang w:val="fr-CH"/>
        </w:rPr>
        <w:t>Appui à la création par le secteur privé de laboratoires spécialisés agréés et de centres d’inspection et de contrôle techniques appliquant les normes, règles et règlements nationaux</w:t>
      </w:r>
      <w:r w:rsidRPr="0071782F">
        <w:rPr>
          <w:lang w:val="fr-CH"/>
        </w:rPr>
        <w:t xml:space="preserve"> </w:t>
      </w:r>
      <w:r w:rsidR="00ED2BFF" w:rsidRPr="0071782F">
        <w:rPr>
          <w:lang w:val="fr-CH"/>
        </w:rPr>
        <w:t>et internationaux</w:t>
      </w:r>
      <w:r w:rsidR="00AF7059" w:rsidRPr="0071782F">
        <w:rPr>
          <w:lang w:val="fr-CH"/>
        </w:rPr>
        <w:t>.</w:t>
      </w:r>
    </w:p>
    <w:p w:rsidR="008A7415" w:rsidRPr="0071782F" w:rsidRDefault="008A7415" w:rsidP="00AF7059">
      <w:pPr>
        <w:pStyle w:val="SingleTxtG"/>
        <w:ind w:left="1701"/>
        <w:rPr>
          <w:lang w:val="fr-CH"/>
        </w:rPr>
      </w:pPr>
      <w:r w:rsidRPr="0071782F">
        <w:rPr>
          <w:lang w:val="fr-CH"/>
        </w:rPr>
        <w:t>247.8.</w:t>
      </w:r>
      <w:r w:rsidRPr="0071782F">
        <w:rPr>
          <w:lang w:val="fr-CH"/>
        </w:rPr>
        <w:tab/>
      </w:r>
      <w:r w:rsidR="00DE3E42" w:rsidRPr="0071782F">
        <w:rPr>
          <w:lang w:val="fr-CH"/>
        </w:rPr>
        <w:t>Appui aux projets destinés à promouvoir la sécurité sanitaire des aliments dans les petites</w:t>
      </w:r>
      <w:r w:rsidR="003E75EC">
        <w:rPr>
          <w:lang w:val="fr-CH"/>
        </w:rPr>
        <w:t xml:space="preserve"> </w:t>
      </w:r>
      <w:r w:rsidR="00E83264" w:rsidRPr="0071782F">
        <w:rPr>
          <w:lang w:val="fr-CH"/>
        </w:rPr>
        <w:t>unités</w:t>
      </w:r>
      <w:r w:rsidR="00DE3E42" w:rsidRPr="0071782F">
        <w:rPr>
          <w:lang w:val="fr-CH"/>
        </w:rPr>
        <w:t xml:space="preserve"> industrielles</w:t>
      </w:r>
      <w:r w:rsidR="00AF7059" w:rsidRPr="0071782F">
        <w:rPr>
          <w:lang w:val="fr-CH"/>
        </w:rPr>
        <w:t>.</w:t>
      </w:r>
    </w:p>
    <w:p w:rsidR="008A7415" w:rsidRPr="0071782F" w:rsidRDefault="008A7415" w:rsidP="00AF7059">
      <w:pPr>
        <w:pStyle w:val="SingleTxtG"/>
        <w:ind w:left="1701"/>
        <w:rPr>
          <w:lang w:val="fr-CH"/>
        </w:rPr>
      </w:pPr>
      <w:r w:rsidRPr="0071782F">
        <w:rPr>
          <w:lang w:val="fr-CH"/>
        </w:rPr>
        <w:t>247.9.</w:t>
      </w:r>
      <w:r w:rsidRPr="0071782F">
        <w:rPr>
          <w:lang w:val="fr-CH"/>
        </w:rPr>
        <w:tab/>
      </w:r>
      <w:r w:rsidR="00DE3E42" w:rsidRPr="0071782F">
        <w:rPr>
          <w:lang w:val="fr-CH"/>
        </w:rPr>
        <w:t xml:space="preserve">Promotion </w:t>
      </w:r>
      <w:r w:rsidR="00A83442">
        <w:rPr>
          <w:lang w:val="fr-CH"/>
        </w:rPr>
        <w:t>des unités</w:t>
      </w:r>
      <w:r w:rsidR="00DE3E42" w:rsidRPr="0071782F">
        <w:rPr>
          <w:lang w:val="fr-CH"/>
        </w:rPr>
        <w:t xml:space="preserve"> qui contribuent à améliorer la qualité de la production et de la transformation des aliments</w:t>
      </w:r>
      <w:r w:rsidR="00AF7059" w:rsidRPr="0071782F">
        <w:rPr>
          <w:lang w:val="fr-CH"/>
        </w:rPr>
        <w:t>.</w:t>
      </w:r>
    </w:p>
    <w:p w:rsidR="008A7415" w:rsidRPr="0071782F" w:rsidRDefault="008A7415" w:rsidP="00AF7059">
      <w:pPr>
        <w:pStyle w:val="SingleTxtG"/>
        <w:ind w:left="1701"/>
        <w:rPr>
          <w:lang w:val="fr-CH"/>
        </w:rPr>
      </w:pPr>
      <w:r w:rsidRPr="0071782F">
        <w:rPr>
          <w:lang w:val="fr-CH"/>
        </w:rPr>
        <w:t>247.10.</w:t>
      </w:r>
      <w:r w:rsidR="00AF7059" w:rsidRPr="0071782F">
        <w:rPr>
          <w:lang w:val="fr-CH"/>
        </w:rPr>
        <w:t xml:space="preserve"> </w:t>
      </w:r>
      <w:r w:rsidRPr="0071782F">
        <w:rPr>
          <w:lang w:val="fr-CH"/>
        </w:rPr>
        <w:t>Promoti</w:t>
      </w:r>
      <w:r w:rsidR="00DE3E42" w:rsidRPr="0071782F">
        <w:rPr>
          <w:lang w:val="fr-CH"/>
        </w:rPr>
        <w:t xml:space="preserve">on d’une </w:t>
      </w:r>
      <w:r w:rsidRPr="0071782F">
        <w:rPr>
          <w:lang w:val="fr-CH"/>
        </w:rPr>
        <w:t xml:space="preserve">nutrition </w:t>
      </w:r>
      <w:r w:rsidR="00DE3E42" w:rsidRPr="0071782F">
        <w:rPr>
          <w:lang w:val="fr-CH"/>
        </w:rPr>
        <w:t>saine et sûre dans les établissements d’enseignement</w:t>
      </w:r>
      <w:r w:rsidR="00AF7059" w:rsidRPr="0071782F">
        <w:rPr>
          <w:lang w:val="fr-CH"/>
        </w:rPr>
        <w:t>.</w:t>
      </w:r>
    </w:p>
    <w:p w:rsidR="008A7415" w:rsidRPr="0071782F" w:rsidRDefault="008A7415" w:rsidP="00AF7059">
      <w:pPr>
        <w:pStyle w:val="SingleTxtG"/>
        <w:ind w:left="1701"/>
        <w:rPr>
          <w:lang w:val="fr-CH"/>
        </w:rPr>
      </w:pPr>
      <w:r w:rsidRPr="0071782F">
        <w:rPr>
          <w:lang w:val="fr-CH"/>
        </w:rPr>
        <w:t>247.11.</w:t>
      </w:r>
      <w:r w:rsidR="00AF7059" w:rsidRPr="0071782F">
        <w:rPr>
          <w:lang w:val="fr-CH"/>
        </w:rPr>
        <w:t xml:space="preserve"> </w:t>
      </w:r>
      <w:r w:rsidR="00DE3E42" w:rsidRPr="0071782F">
        <w:rPr>
          <w:lang w:val="fr-CH"/>
        </w:rPr>
        <w:t xml:space="preserve">Mise en place du </w:t>
      </w:r>
      <w:r w:rsidRPr="0071782F">
        <w:rPr>
          <w:lang w:val="fr-CH"/>
        </w:rPr>
        <w:t>syst</w:t>
      </w:r>
      <w:r w:rsidR="00DE3E42" w:rsidRPr="0071782F">
        <w:rPr>
          <w:lang w:val="fr-CH"/>
        </w:rPr>
        <w:t>ème</w:t>
      </w:r>
      <w:r w:rsidRPr="0071782F">
        <w:rPr>
          <w:lang w:val="fr-CH"/>
        </w:rPr>
        <w:t xml:space="preserve"> </w:t>
      </w:r>
      <w:r w:rsidR="00DE3E42" w:rsidRPr="0071782F">
        <w:rPr>
          <w:lang w:val="fr-CH"/>
        </w:rPr>
        <w:t>de surveillance des maladies transmises par les aliments</w:t>
      </w:r>
      <w:r w:rsidR="00AF7059" w:rsidRPr="0071782F">
        <w:rPr>
          <w:lang w:val="fr-CH"/>
        </w:rPr>
        <w:t>.</w:t>
      </w:r>
    </w:p>
    <w:p w:rsidR="008A7415" w:rsidRPr="0071782F" w:rsidRDefault="00AF7059" w:rsidP="00AF7059">
      <w:pPr>
        <w:pStyle w:val="SingleTxtG"/>
        <w:ind w:left="1701"/>
        <w:rPr>
          <w:lang w:val="fr-CH"/>
        </w:rPr>
      </w:pPr>
      <w:r w:rsidRPr="0071782F">
        <w:rPr>
          <w:lang w:val="fr-CH"/>
        </w:rPr>
        <w:t xml:space="preserve">247.12. </w:t>
      </w:r>
      <w:r w:rsidR="00DE3E42" w:rsidRPr="0071782F">
        <w:rPr>
          <w:lang w:val="fr-CH"/>
        </w:rPr>
        <w:t>Collaboration de l’</w:t>
      </w:r>
      <w:r w:rsidR="00445CD1" w:rsidRPr="0071782F">
        <w:rPr>
          <w:lang w:val="fr-CH"/>
        </w:rPr>
        <w:t>O</w:t>
      </w:r>
      <w:r w:rsidR="00DE3E42" w:rsidRPr="0071782F">
        <w:rPr>
          <w:lang w:val="fr-CH"/>
        </w:rPr>
        <w:t>rganisme de radiodiffusion de la République islamique d’Iran à la réalisation de programmes d’information sur la sécurité alimentaire</w:t>
      </w:r>
      <w:r w:rsidRPr="0071782F">
        <w:rPr>
          <w:lang w:val="fr-CH"/>
        </w:rPr>
        <w:t>.</w:t>
      </w:r>
    </w:p>
    <w:p w:rsidR="008A7415" w:rsidRPr="0071782F" w:rsidRDefault="008A7415" w:rsidP="00AF7059">
      <w:pPr>
        <w:pStyle w:val="SingleTxtG"/>
        <w:ind w:left="1701"/>
        <w:rPr>
          <w:lang w:val="fr-CH"/>
        </w:rPr>
      </w:pPr>
      <w:r w:rsidRPr="0071782F">
        <w:rPr>
          <w:lang w:val="fr-CH"/>
        </w:rPr>
        <w:t>247.13.</w:t>
      </w:r>
      <w:r w:rsidR="00AF7059" w:rsidRPr="0071782F">
        <w:rPr>
          <w:lang w:val="fr-CH"/>
        </w:rPr>
        <w:t xml:space="preserve"> </w:t>
      </w:r>
      <w:r w:rsidRPr="0071782F">
        <w:rPr>
          <w:lang w:val="fr-CH"/>
        </w:rPr>
        <w:t>R</w:t>
      </w:r>
      <w:r w:rsidR="00DE3E42" w:rsidRPr="0071782F">
        <w:rPr>
          <w:lang w:val="fr-CH"/>
        </w:rPr>
        <w:t>é</w:t>
      </w:r>
      <w:r w:rsidRPr="0071782F">
        <w:rPr>
          <w:lang w:val="fr-CH"/>
        </w:rPr>
        <w:t xml:space="preserve">duction </w:t>
      </w:r>
      <w:r w:rsidR="00DE3E42" w:rsidRPr="0071782F">
        <w:rPr>
          <w:lang w:val="fr-CH"/>
        </w:rPr>
        <w:t>des maladies transmises par les aliments au sein du foyer</w:t>
      </w:r>
      <w:r w:rsidR="00AF7059" w:rsidRPr="0071782F">
        <w:rPr>
          <w:lang w:val="fr-CH"/>
        </w:rPr>
        <w:t>.</w:t>
      </w:r>
    </w:p>
    <w:p w:rsidR="008A7415" w:rsidRPr="0071782F" w:rsidRDefault="008A7415" w:rsidP="00AF7059">
      <w:pPr>
        <w:pStyle w:val="SingleTxtG"/>
        <w:ind w:left="1701"/>
        <w:rPr>
          <w:lang w:val="fr-CH"/>
        </w:rPr>
      </w:pPr>
      <w:r w:rsidRPr="0071782F">
        <w:rPr>
          <w:lang w:val="fr-CH"/>
        </w:rPr>
        <w:t>247.14.</w:t>
      </w:r>
      <w:r w:rsidR="00AF7059" w:rsidRPr="0071782F">
        <w:rPr>
          <w:lang w:val="fr-CH"/>
        </w:rPr>
        <w:t xml:space="preserve"> </w:t>
      </w:r>
      <w:r w:rsidRPr="0071782F">
        <w:rPr>
          <w:lang w:val="fr-CH"/>
        </w:rPr>
        <w:t>Red</w:t>
      </w:r>
      <w:r w:rsidR="00D93011" w:rsidRPr="0071782F">
        <w:rPr>
          <w:lang w:val="fr-CH"/>
        </w:rPr>
        <w:t>éfinition et organisation de la répartition des activités et des tâches entre les organismes responsables de la sécurité alimentaire au niveau national</w:t>
      </w:r>
      <w:r w:rsidR="00AF7059" w:rsidRPr="0071782F">
        <w:rPr>
          <w:lang w:val="fr-CH"/>
        </w:rPr>
        <w:t>.</w:t>
      </w:r>
      <w:r w:rsidRPr="0071782F">
        <w:rPr>
          <w:lang w:val="fr-CH"/>
        </w:rPr>
        <w:t xml:space="preserve"> </w:t>
      </w:r>
    </w:p>
    <w:p w:rsidR="008A7415" w:rsidRPr="0071782F" w:rsidRDefault="008A7415" w:rsidP="00AF7059">
      <w:pPr>
        <w:pStyle w:val="SingleTxtG"/>
        <w:ind w:left="1701"/>
        <w:rPr>
          <w:lang w:val="fr-CH"/>
        </w:rPr>
      </w:pPr>
      <w:r w:rsidRPr="0071782F">
        <w:rPr>
          <w:lang w:val="fr-CH"/>
        </w:rPr>
        <w:t>247.15.</w:t>
      </w:r>
      <w:r w:rsidR="00AF7059" w:rsidRPr="0071782F">
        <w:rPr>
          <w:lang w:val="fr-CH"/>
        </w:rPr>
        <w:t xml:space="preserve"> </w:t>
      </w:r>
      <w:r w:rsidRPr="0071782F">
        <w:rPr>
          <w:lang w:val="fr-CH"/>
        </w:rPr>
        <w:t>R</w:t>
      </w:r>
      <w:r w:rsidR="00D93011" w:rsidRPr="0071782F">
        <w:rPr>
          <w:lang w:val="fr-CH"/>
        </w:rPr>
        <w:t>évision et modification de la fonction du système de surveillance et de contrôle de la sécurité des produits alimentaires de manière à passer d’un contrôle des produits à un contrôle des processus</w:t>
      </w:r>
      <w:r w:rsidRPr="0071782F">
        <w:rPr>
          <w:lang w:val="fr-CH"/>
        </w:rPr>
        <w:t xml:space="preserve">. </w:t>
      </w:r>
    </w:p>
    <w:p w:rsidR="008A7415" w:rsidRPr="0071782F" w:rsidRDefault="008A7415" w:rsidP="00204410">
      <w:pPr>
        <w:pStyle w:val="H1G"/>
        <w:rPr>
          <w:lang w:val="fr-CH"/>
        </w:rPr>
      </w:pPr>
      <w:r w:rsidRPr="0071782F">
        <w:rPr>
          <w:lang w:val="fr-CH"/>
        </w:rPr>
        <w:tab/>
      </w:r>
      <w:r w:rsidRPr="0071782F">
        <w:rPr>
          <w:lang w:val="fr-CH"/>
        </w:rPr>
        <w:tab/>
        <w:t xml:space="preserve">Nutrition </w:t>
      </w:r>
      <w:r w:rsidR="00D93011" w:rsidRPr="0071782F">
        <w:rPr>
          <w:lang w:val="fr-CH"/>
        </w:rPr>
        <w:t xml:space="preserve">et santé </w:t>
      </w:r>
    </w:p>
    <w:p w:rsidR="008A7415" w:rsidRPr="0071782F" w:rsidRDefault="008A7415" w:rsidP="00204410">
      <w:pPr>
        <w:pStyle w:val="SingleTxtG"/>
        <w:rPr>
          <w:lang w:val="fr-CH"/>
        </w:rPr>
      </w:pPr>
      <w:r w:rsidRPr="0071782F">
        <w:rPr>
          <w:lang w:val="fr-CH"/>
        </w:rPr>
        <w:t>248.</w:t>
      </w:r>
      <w:r w:rsidRPr="0071782F">
        <w:rPr>
          <w:lang w:val="fr-CH"/>
        </w:rPr>
        <w:tab/>
      </w:r>
      <w:r w:rsidR="00D93011" w:rsidRPr="0071782F">
        <w:rPr>
          <w:lang w:val="fr-CH"/>
        </w:rPr>
        <w:t>Les stratégies relatives à ce domaine sont notamment les suivantes</w:t>
      </w:r>
      <w:r w:rsidR="008F7D33" w:rsidRPr="0071782F">
        <w:rPr>
          <w:lang w:val="fr-CH"/>
        </w:rPr>
        <w:t>:</w:t>
      </w:r>
    </w:p>
    <w:p w:rsidR="008A7415" w:rsidRPr="0071782F" w:rsidRDefault="008A7415" w:rsidP="009257E3">
      <w:pPr>
        <w:pStyle w:val="SingleTxtG"/>
        <w:ind w:left="1701"/>
        <w:rPr>
          <w:lang w:val="fr-CH"/>
        </w:rPr>
      </w:pPr>
      <w:r w:rsidRPr="0071782F">
        <w:rPr>
          <w:lang w:val="fr-CH"/>
        </w:rPr>
        <w:t>248.1.</w:t>
      </w:r>
      <w:r w:rsidRPr="0071782F">
        <w:rPr>
          <w:lang w:val="fr-CH"/>
        </w:rPr>
        <w:tab/>
        <w:t>Limit</w:t>
      </w:r>
      <w:r w:rsidR="00A75A5C" w:rsidRPr="0071782F">
        <w:rPr>
          <w:lang w:val="fr-CH"/>
        </w:rPr>
        <w:t xml:space="preserve">ation de la </w:t>
      </w:r>
      <w:r w:rsidRPr="0071782F">
        <w:rPr>
          <w:lang w:val="fr-CH"/>
        </w:rPr>
        <w:t xml:space="preserve">production </w:t>
      </w:r>
      <w:r w:rsidR="00A75A5C" w:rsidRPr="0071782F">
        <w:rPr>
          <w:lang w:val="fr-CH"/>
        </w:rPr>
        <w:t>et de la consommation de produits alimentaires nocifs ou de peu de valeur</w:t>
      </w:r>
      <w:r w:rsidR="009257E3" w:rsidRPr="0071782F">
        <w:rPr>
          <w:lang w:val="fr-CH"/>
        </w:rPr>
        <w:t>.</w:t>
      </w:r>
    </w:p>
    <w:p w:rsidR="008A7415" w:rsidRPr="0071782F" w:rsidRDefault="008A7415" w:rsidP="009257E3">
      <w:pPr>
        <w:pStyle w:val="SingleTxtG"/>
        <w:ind w:left="1701"/>
        <w:rPr>
          <w:lang w:val="fr-CH"/>
        </w:rPr>
      </w:pPr>
      <w:r w:rsidRPr="0071782F">
        <w:rPr>
          <w:lang w:val="fr-CH"/>
        </w:rPr>
        <w:t>248.2.</w:t>
      </w:r>
      <w:r w:rsidRPr="0071782F">
        <w:rPr>
          <w:lang w:val="fr-CH"/>
        </w:rPr>
        <w:tab/>
        <w:t>Ex</w:t>
      </w:r>
      <w:r w:rsidR="00A75A5C" w:rsidRPr="0071782F">
        <w:rPr>
          <w:lang w:val="fr-CH"/>
        </w:rPr>
        <w:t>é</w:t>
      </w:r>
      <w:r w:rsidRPr="0071782F">
        <w:rPr>
          <w:lang w:val="fr-CH"/>
        </w:rPr>
        <w:t xml:space="preserve">cution </w:t>
      </w:r>
      <w:r w:rsidR="00A75A5C" w:rsidRPr="0071782F">
        <w:rPr>
          <w:lang w:val="fr-CH"/>
        </w:rPr>
        <w:t>aux niveaux local et régional de projets limités de renforcement de l’autonomie en vue de développer le potentiel existant et de créer de nouveaux modèle</w:t>
      </w:r>
      <w:r w:rsidR="00445CD1" w:rsidRPr="0071782F">
        <w:rPr>
          <w:lang w:val="fr-CH"/>
        </w:rPr>
        <w:t>s</w:t>
      </w:r>
      <w:r w:rsidR="00A75A5C" w:rsidRPr="0071782F">
        <w:rPr>
          <w:lang w:val="fr-CH"/>
        </w:rPr>
        <w:t xml:space="preserve"> de sécurité et de développement alimentaires</w:t>
      </w:r>
      <w:r w:rsidR="009257E3" w:rsidRPr="0071782F">
        <w:rPr>
          <w:lang w:val="fr-CH"/>
        </w:rPr>
        <w:t>.</w:t>
      </w:r>
    </w:p>
    <w:p w:rsidR="008A7415" w:rsidRPr="0071782F" w:rsidRDefault="008A7415" w:rsidP="009257E3">
      <w:pPr>
        <w:pStyle w:val="SingleTxtG"/>
        <w:ind w:left="1701"/>
        <w:rPr>
          <w:lang w:val="fr-CH"/>
        </w:rPr>
      </w:pPr>
      <w:r w:rsidRPr="0071782F">
        <w:rPr>
          <w:lang w:val="fr-CH"/>
        </w:rPr>
        <w:t>248.3.</w:t>
      </w:r>
      <w:r w:rsidRPr="0071782F">
        <w:rPr>
          <w:lang w:val="fr-CH"/>
        </w:rPr>
        <w:tab/>
        <w:t>Ad</w:t>
      </w:r>
      <w:r w:rsidR="00A75A5C" w:rsidRPr="0071782F">
        <w:rPr>
          <w:lang w:val="fr-CH"/>
        </w:rPr>
        <w:t>aptation du réseau de SSP aux besoins de la société en matière d’alimentation, de nutrition et de produits alimentaires sains et aptes à la consommation</w:t>
      </w:r>
      <w:r w:rsidR="009257E3" w:rsidRPr="0071782F">
        <w:rPr>
          <w:lang w:val="fr-CH"/>
        </w:rPr>
        <w:t>.</w:t>
      </w:r>
    </w:p>
    <w:p w:rsidR="008A7415" w:rsidRPr="0071782F" w:rsidRDefault="008A7415" w:rsidP="009257E3">
      <w:pPr>
        <w:pStyle w:val="SingleTxtG"/>
        <w:ind w:left="1701"/>
        <w:rPr>
          <w:lang w:val="fr-CH"/>
        </w:rPr>
      </w:pPr>
      <w:r w:rsidRPr="0071782F">
        <w:rPr>
          <w:lang w:val="fr-CH"/>
        </w:rPr>
        <w:t>248.4.</w:t>
      </w:r>
      <w:r w:rsidRPr="0071782F">
        <w:rPr>
          <w:lang w:val="fr-CH"/>
        </w:rPr>
        <w:tab/>
      </w:r>
      <w:r w:rsidR="00A75A5C" w:rsidRPr="0071782F">
        <w:rPr>
          <w:lang w:val="fr-CH"/>
        </w:rPr>
        <w:t>Fourniture de compléments alimentaires aux groupes vulné</w:t>
      </w:r>
      <w:r w:rsidRPr="0071782F">
        <w:rPr>
          <w:lang w:val="fr-CH"/>
        </w:rPr>
        <w:t>rable</w:t>
      </w:r>
      <w:r w:rsidR="00445CD1" w:rsidRPr="0071782F">
        <w:rPr>
          <w:lang w:val="fr-CH"/>
        </w:rPr>
        <w:t>s</w:t>
      </w:r>
      <w:r w:rsidR="009257E3" w:rsidRPr="0071782F">
        <w:rPr>
          <w:lang w:val="fr-CH"/>
        </w:rPr>
        <w:t>.</w:t>
      </w:r>
    </w:p>
    <w:p w:rsidR="008A7415" w:rsidRPr="0071782F" w:rsidRDefault="008A7415" w:rsidP="009257E3">
      <w:pPr>
        <w:pStyle w:val="SingleTxtG"/>
        <w:ind w:left="1701"/>
        <w:rPr>
          <w:lang w:val="fr-CH"/>
        </w:rPr>
      </w:pPr>
      <w:r w:rsidRPr="0071782F">
        <w:rPr>
          <w:lang w:val="fr-CH"/>
        </w:rPr>
        <w:t>248.5.</w:t>
      </w:r>
      <w:r w:rsidRPr="0071782F">
        <w:rPr>
          <w:lang w:val="fr-CH"/>
        </w:rPr>
        <w:tab/>
        <w:t>Enrich</w:t>
      </w:r>
      <w:r w:rsidR="00A75A5C" w:rsidRPr="0071782F">
        <w:rPr>
          <w:lang w:val="fr-CH"/>
        </w:rPr>
        <w:t xml:space="preserve">issement des produits alimentaires essentiels en </w:t>
      </w:r>
      <w:r w:rsidRPr="0071782F">
        <w:rPr>
          <w:lang w:val="fr-CH"/>
        </w:rPr>
        <w:t>micronutri</w:t>
      </w:r>
      <w:r w:rsidR="00A75A5C" w:rsidRPr="0071782F">
        <w:rPr>
          <w:lang w:val="fr-CH"/>
        </w:rPr>
        <w:t>m</w:t>
      </w:r>
      <w:r w:rsidRPr="0071782F">
        <w:rPr>
          <w:lang w:val="fr-CH"/>
        </w:rPr>
        <w:t>ents</w:t>
      </w:r>
      <w:r w:rsidR="009257E3" w:rsidRPr="0071782F">
        <w:rPr>
          <w:lang w:val="fr-CH"/>
        </w:rPr>
        <w:t>.</w:t>
      </w:r>
    </w:p>
    <w:p w:rsidR="008A7415" w:rsidRPr="0071782F" w:rsidRDefault="008A7415" w:rsidP="009257E3">
      <w:pPr>
        <w:pStyle w:val="SingleTxtG"/>
        <w:ind w:left="1701"/>
        <w:rPr>
          <w:lang w:val="fr-CH"/>
        </w:rPr>
      </w:pPr>
      <w:r w:rsidRPr="0071782F">
        <w:rPr>
          <w:lang w:val="fr-CH"/>
        </w:rPr>
        <w:t>248.6.</w:t>
      </w:r>
      <w:r w:rsidRPr="0071782F">
        <w:rPr>
          <w:lang w:val="fr-CH"/>
        </w:rPr>
        <w:tab/>
      </w:r>
      <w:r w:rsidR="00A75A5C" w:rsidRPr="0071782F">
        <w:rPr>
          <w:lang w:val="fr-CH"/>
        </w:rPr>
        <w:t>Poursuite et élargissement des programmes de vaccination</w:t>
      </w:r>
      <w:r w:rsidR="009257E3" w:rsidRPr="0071782F">
        <w:rPr>
          <w:lang w:val="fr-CH"/>
        </w:rPr>
        <w:t>.</w:t>
      </w:r>
    </w:p>
    <w:p w:rsidR="008A7415" w:rsidRPr="0071782F" w:rsidRDefault="008A7415" w:rsidP="009257E3">
      <w:pPr>
        <w:pStyle w:val="SingleTxtG"/>
        <w:ind w:left="1701"/>
        <w:rPr>
          <w:lang w:val="fr-CH"/>
        </w:rPr>
      </w:pPr>
      <w:r w:rsidRPr="0071782F">
        <w:rPr>
          <w:lang w:val="fr-CH"/>
        </w:rPr>
        <w:t>248.7.</w:t>
      </w:r>
      <w:r w:rsidRPr="0071782F">
        <w:rPr>
          <w:lang w:val="fr-CH"/>
        </w:rPr>
        <w:tab/>
      </w:r>
      <w:r w:rsidR="00A75A5C" w:rsidRPr="0071782F">
        <w:rPr>
          <w:lang w:val="fr-CH"/>
        </w:rPr>
        <w:t>Diagnostic et traitement précoces des maladies parasitaires intestinales</w:t>
      </w:r>
      <w:r w:rsidR="009257E3" w:rsidRPr="0071782F">
        <w:rPr>
          <w:lang w:val="fr-CH"/>
        </w:rPr>
        <w:t>.</w:t>
      </w:r>
    </w:p>
    <w:p w:rsidR="008A7415" w:rsidRPr="0071782F" w:rsidRDefault="008A7415" w:rsidP="009257E3">
      <w:pPr>
        <w:pStyle w:val="SingleTxtG"/>
        <w:ind w:left="1701"/>
        <w:rPr>
          <w:lang w:val="fr-CH"/>
        </w:rPr>
      </w:pPr>
      <w:r w:rsidRPr="0071782F">
        <w:rPr>
          <w:lang w:val="fr-CH"/>
        </w:rPr>
        <w:t>248.8.</w:t>
      </w:r>
      <w:r w:rsidRPr="0071782F">
        <w:rPr>
          <w:lang w:val="fr-CH"/>
        </w:rPr>
        <w:tab/>
      </w:r>
      <w:r w:rsidR="00A75A5C" w:rsidRPr="0071782F">
        <w:rPr>
          <w:lang w:val="fr-CH"/>
        </w:rPr>
        <w:t>Renforcement des programmes de planification familiale et respect de l’intervalle intergénésique approprié</w:t>
      </w:r>
      <w:r w:rsidR="009257E3" w:rsidRPr="0071782F">
        <w:rPr>
          <w:lang w:val="fr-CH"/>
        </w:rPr>
        <w:t>.</w:t>
      </w:r>
    </w:p>
    <w:p w:rsidR="008A7415" w:rsidRPr="0071782F" w:rsidRDefault="008A7415" w:rsidP="009257E3">
      <w:pPr>
        <w:pStyle w:val="SingleTxtG"/>
        <w:ind w:left="1701"/>
        <w:rPr>
          <w:lang w:val="fr-CH"/>
        </w:rPr>
      </w:pPr>
      <w:r w:rsidRPr="0071782F">
        <w:rPr>
          <w:lang w:val="fr-CH"/>
        </w:rPr>
        <w:t>248.9.</w:t>
      </w:r>
      <w:r w:rsidRPr="0071782F">
        <w:rPr>
          <w:lang w:val="fr-CH"/>
        </w:rPr>
        <w:tab/>
      </w:r>
      <w:r w:rsidR="00A75A5C" w:rsidRPr="0071782F">
        <w:rPr>
          <w:lang w:val="fr-CH"/>
        </w:rPr>
        <w:t xml:space="preserve">Appui à la diffusion de l’allaitement maternel et d’une alimentation complémentaire appropriée, </w:t>
      </w:r>
      <w:r w:rsidRPr="0071782F">
        <w:rPr>
          <w:lang w:val="fr-CH"/>
        </w:rPr>
        <w:t xml:space="preserve">adoption </w:t>
      </w:r>
      <w:r w:rsidR="00A75A5C" w:rsidRPr="0071782F">
        <w:rPr>
          <w:lang w:val="fr-CH"/>
        </w:rPr>
        <w:t>des mesures de santé publique nécessaires à la prévention des infections parasitaires et promotion du programme de surveillance de la croissance des enfants</w:t>
      </w:r>
      <w:r w:rsidR="009257E3" w:rsidRPr="0071782F">
        <w:rPr>
          <w:lang w:val="fr-CH"/>
        </w:rPr>
        <w:t>.</w:t>
      </w:r>
    </w:p>
    <w:p w:rsidR="008A7415" w:rsidRPr="0071782F" w:rsidRDefault="009257E3" w:rsidP="009257E3">
      <w:pPr>
        <w:pStyle w:val="SingleTxtG"/>
        <w:ind w:left="1701"/>
        <w:rPr>
          <w:lang w:val="fr-CH"/>
        </w:rPr>
      </w:pPr>
      <w:r w:rsidRPr="0071782F">
        <w:rPr>
          <w:lang w:val="fr-CH"/>
        </w:rPr>
        <w:t xml:space="preserve">248.10. </w:t>
      </w:r>
      <w:r w:rsidR="00A75A5C" w:rsidRPr="0071782F">
        <w:rPr>
          <w:lang w:val="fr-CH"/>
        </w:rPr>
        <w:t xml:space="preserve">Étude et mise en place d’un système de soins nutritionnels. </w:t>
      </w:r>
    </w:p>
    <w:p w:rsidR="008A7415" w:rsidRPr="0071782F" w:rsidRDefault="008A7415" w:rsidP="009257E3">
      <w:pPr>
        <w:pStyle w:val="SingleTxtG"/>
        <w:ind w:left="1701"/>
        <w:rPr>
          <w:lang w:val="fr-CH"/>
        </w:rPr>
      </w:pPr>
      <w:r w:rsidRPr="0071782F">
        <w:rPr>
          <w:lang w:val="fr-CH"/>
        </w:rPr>
        <w:t>248.11.</w:t>
      </w:r>
      <w:r w:rsidR="009257E3" w:rsidRPr="0071782F">
        <w:rPr>
          <w:lang w:val="fr-CH"/>
        </w:rPr>
        <w:t xml:space="preserve"> </w:t>
      </w:r>
      <w:r w:rsidRPr="0071782F">
        <w:rPr>
          <w:lang w:val="fr-CH"/>
        </w:rPr>
        <w:t>R</w:t>
      </w:r>
      <w:r w:rsidR="00A75A5C" w:rsidRPr="0071782F">
        <w:rPr>
          <w:lang w:val="fr-CH"/>
        </w:rPr>
        <w:t>évision des lois et règlements relatifs à l’activité professionnelle des diététiciens et facilitation de leur recrutement par les services cliniques des hôpitaux</w:t>
      </w:r>
      <w:r w:rsidR="009257E3" w:rsidRPr="0071782F">
        <w:rPr>
          <w:lang w:val="fr-CH"/>
        </w:rPr>
        <w:t>.</w:t>
      </w:r>
    </w:p>
    <w:p w:rsidR="008A7415" w:rsidRPr="0071782F" w:rsidRDefault="008A7415" w:rsidP="009257E3">
      <w:pPr>
        <w:pStyle w:val="SingleTxtG"/>
        <w:ind w:left="1701"/>
        <w:rPr>
          <w:lang w:val="fr-CH"/>
        </w:rPr>
      </w:pPr>
      <w:r w:rsidRPr="0071782F">
        <w:rPr>
          <w:lang w:val="fr-CH"/>
        </w:rPr>
        <w:t>248.12.</w:t>
      </w:r>
      <w:r w:rsidR="009257E3" w:rsidRPr="0071782F">
        <w:rPr>
          <w:lang w:val="fr-CH"/>
        </w:rPr>
        <w:t xml:space="preserve"> </w:t>
      </w:r>
      <w:r w:rsidRPr="0071782F">
        <w:rPr>
          <w:lang w:val="fr-CH"/>
        </w:rPr>
        <w:t>Organi</w:t>
      </w:r>
      <w:r w:rsidR="00565959" w:rsidRPr="0071782F">
        <w:rPr>
          <w:lang w:val="fr-CH"/>
        </w:rPr>
        <w:t>sation de programmes complémentaires de formation clinique à la nutrition et aux thérapies nutritionnelles</w:t>
      </w:r>
      <w:r w:rsidR="009257E3" w:rsidRPr="0071782F">
        <w:rPr>
          <w:lang w:val="fr-CH"/>
        </w:rPr>
        <w:t>.</w:t>
      </w:r>
    </w:p>
    <w:p w:rsidR="008A7415" w:rsidRPr="0071782F" w:rsidRDefault="008A7415" w:rsidP="009257E3">
      <w:pPr>
        <w:pStyle w:val="SingleTxtG"/>
        <w:ind w:left="1701"/>
        <w:rPr>
          <w:lang w:val="fr-CH"/>
        </w:rPr>
      </w:pPr>
      <w:r w:rsidRPr="0071782F">
        <w:rPr>
          <w:lang w:val="fr-CH"/>
        </w:rPr>
        <w:t>248.13.</w:t>
      </w:r>
      <w:r w:rsidR="009257E3" w:rsidRPr="0071782F">
        <w:rPr>
          <w:lang w:val="fr-CH"/>
        </w:rPr>
        <w:t xml:space="preserve"> </w:t>
      </w:r>
      <w:r w:rsidR="00565959" w:rsidRPr="0071782F">
        <w:rPr>
          <w:lang w:val="fr-CH"/>
        </w:rPr>
        <w:t>Lancement de services de consultations nutritionnelles dans les centres de santé</w:t>
      </w:r>
      <w:r w:rsidR="009257E3" w:rsidRPr="0071782F">
        <w:rPr>
          <w:lang w:val="fr-CH"/>
        </w:rPr>
        <w:t>.</w:t>
      </w:r>
    </w:p>
    <w:p w:rsidR="008A7415" w:rsidRPr="0071782F" w:rsidRDefault="008A7415" w:rsidP="009257E3">
      <w:pPr>
        <w:pStyle w:val="SingleTxtG"/>
        <w:ind w:left="1701"/>
        <w:rPr>
          <w:lang w:val="fr-CH"/>
        </w:rPr>
      </w:pPr>
      <w:r w:rsidRPr="0071782F">
        <w:rPr>
          <w:lang w:val="fr-CH"/>
        </w:rPr>
        <w:t>248.14.</w:t>
      </w:r>
      <w:r w:rsidR="009257E3" w:rsidRPr="0071782F">
        <w:rPr>
          <w:lang w:val="fr-CH"/>
        </w:rPr>
        <w:t xml:space="preserve"> </w:t>
      </w:r>
      <w:r w:rsidR="00565959" w:rsidRPr="0071782F">
        <w:rPr>
          <w:lang w:val="fr-CH"/>
        </w:rPr>
        <w:t>Création dans les hôpitaux d’unités de soins spécialisé</w:t>
      </w:r>
      <w:r w:rsidR="00445CD1" w:rsidRPr="0071782F">
        <w:rPr>
          <w:lang w:val="fr-CH"/>
        </w:rPr>
        <w:t>e</w:t>
      </w:r>
      <w:r w:rsidR="00565959" w:rsidRPr="0071782F">
        <w:rPr>
          <w:lang w:val="fr-CH"/>
        </w:rPr>
        <w:t>s dans le traitement des enfants souffrant de malnutrition grave</w:t>
      </w:r>
      <w:r w:rsidR="009257E3" w:rsidRPr="0071782F">
        <w:rPr>
          <w:lang w:val="fr-CH"/>
        </w:rPr>
        <w:t>.</w:t>
      </w:r>
      <w:r w:rsidRPr="0071782F">
        <w:rPr>
          <w:lang w:val="fr-CH"/>
        </w:rPr>
        <w:t xml:space="preserve"> </w:t>
      </w:r>
    </w:p>
    <w:p w:rsidR="008A7415" w:rsidRPr="0071782F" w:rsidRDefault="008A7415" w:rsidP="009257E3">
      <w:pPr>
        <w:pStyle w:val="SingleTxtG"/>
        <w:ind w:left="1701"/>
        <w:rPr>
          <w:lang w:val="fr-CH"/>
        </w:rPr>
      </w:pPr>
      <w:r w:rsidRPr="0071782F">
        <w:rPr>
          <w:lang w:val="fr-CH"/>
        </w:rPr>
        <w:t>248.15.</w:t>
      </w:r>
      <w:r w:rsidR="009257E3" w:rsidRPr="0071782F">
        <w:rPr>
          <w:lang w:val="fr-CH"/>
        </w:rPr>
        <w:t xml:space="preserve"> </w:t>
      </w:r>
      <w:r w:rsidR="00565959" w:rsidRPr="0071782F">
        <w:rPr>
          <w:lang w:val="fr-CH"/>
        </w:rPr>
        <w:t xml:space="preserve">Amélioration des niveaux de </w:t>
      </w:r>
      <w:r w:rsidRPr="0071782F">
        <w:rPr>
          <w:lang w:val="fr-CH"/>
        </w:rPr>
        <w:t xml:space="preserve">nutrition </w:t>
      </w:r>
      <w:r w:rsidR="00565959" w:rsidRPr="0071782F">
        <w:rPr>
          <w:lang w:val="fr-CH"/>
        </w:rPr>
        <w:t>dans les crèches, les écoles et les autres établissements d’enseignement</w:t>
      </w:r>
      <w:r w:rsidR="009257E3" w:rsidRPr="0071782F">
        <w:rPr>
          <w:lang w:val="fr-CH"/>
        </w:rPr>
        <w:t>.</w:t>
      </w:r>
      <w:r w:rsidRPr="0071782F">
        <w:rPr>
          <w:lang w:val="fr-CH"/>
        </w:rPr>
        <w:t xml:space="preserve"> </w:t>
      </w:r>
    </w:p>
    <w:p w:rsidR="008A7415" w:rsidRPr="0071782F" w:rsidRDefault="008A7415" w:rsidP="009257E3">
      <w:pPr>
        <w:pStyle w:val="SingleTxtG"/>
        <w:ind w:left="1701"/>
        <w:rPr>
          <w:lang w:val="fr-CH"/>
        </w:rPr>
      </w:pPr>
      <w:r w:rsidRPr="0071782F">
        <w:rPr>
          <w:lang w:val="fr-CH"/>
        </w:rPr>
        <w:t>248.16.</w:t>
      </w:r>
      <w:r w:rsidR="009257E3" w:rsidRPr="0071782F">
        <w:rPr>
          <w:lang w:val="fr-CH"/>
        </w:rPr>
        <w:t xml:space="preserve"> </w:t>
      </w:r>
      <w:r w:rsidR="00565959" w:rsidRPr="0071782F">
        <w:rPr>
          <w:lang w:val="fr-CH"/>
        </w:rPr>
        <w:t xml:space="preserve">Fourniture de colis alimentaires aux groupes </w:t>
      </w:r>
      <w:r w:rsidR="00D82C96" w:rsidRPr="0071782F">
        <w:rPr>
          <w:lang w:val="fr-CH"/>
        </w:rPr>
        <w:t>de personnes</w:t>
      </w:r>
      <w:r w:rsidR="00565959" w:rsidRPr="0071782F">
        <w:rPr>
          <w:lang w:val="fr-CH"/>
        </w:rPr>
        <w:t xml:space="preserve"> défavorisées en situation de risque de malnutrition</w:t>
      </w:r>
      <w:r w:rsidR="009257E3" w:rsidRPr="0071782F">
        <w:rPr>
          <w:lang w:val="fr-CH"/>
        </w:rPr>
        <w:t>.</w:t>
      </w:r>
    </w:p>
    <w:p w:rsidR="008A7415" w:rsidRPr="0071782F" w:rsidRDefault="008A7415" w:rsidP="009257E3">
      <w:pPr>
        <w:pStyle w:val="SingleTxtG"/>
        <w:ind w:left="1701"/>
        <w:rPr>
          <w:lang w:val="fr-CH"/>
        </w:rPr>
      </w:pPr>
      <w:r w:rsidRPr="0071782F">
        <w:rPr>
          <w:lang w:val="fr-CH"/>
        </w:rPr>
        <w:t>248.17.</w:t>
      </w:r>
      <w:r w:rsidR="009257E3" w:rsidRPr="0071782F">
        <w:rPr>
          <w:lang w:val="fr-CH"/>
        </w:rPr>
        <w:t xml:space="preserve"> </w:t>
      </w:r>
      <w:r w:rsidR="00457342" w:rsidRPr="0071782F">
        <w:rPr>
          <w:lang w:val="fr-CH"/>
        </w:rPr>
        <w:t xml:space="preserve">Fourniture d’une assistance, d’orientations et d’une supervision </w:t>
      </w:r>
      <w:r w:rsidR="00445CD1" w:rsidRPr="0071782F">
        <w:rPr>
          <w:lang w:val="fr-CH"/>
        </w:rPr>
        <w:t xml:space="preserve">concernant </w:t>
      </w:r>
      <w:r w:rsidR="00457342" w:rsidRPr="0071782F">
        <w:rPr>
          <w:lang w:val="fr-CH"/>
        </w:rPr>
        <w:t>les activités des centres publics de distribution d’aliments</w:t>
      </w:r>
      <w:r w:rsidR="009257E3" w:rsidRPr="0071782F">
        <w:rPr>
          <w:lang w:val="fr-CH"/>
        </w:rPr>
        <w:t>.</w:t>
      </w:r>
    </w:p>
    <w:p w:rsidR="008A7415" w:rsidRPr="0071782F" w:rsidRDefault="008A7415" w:rsidP="009257E3">
      <w:pPr>
        <w:pStyle w:val="SingleTxtG"/>
        <w:ind w:left="1701"/>
        <w:rPr>
          <w:lang w:val="fr-CH"/>
        </w:rPr>
      </w:pPr>
      <w:r w:rsidRPr="0071782F">
        <w:rPr>
          <w:lang w:val="fr-CH"/>
        </w:rPr>
        <w:t>248.18.</w:t>
      </w:r>
      <w:r w:rsidR="009257E3" w:rsidRPr="0071782F">
        <w:rPr>
          <w:lang w:val="fr-CH"/>
        </w:rPr>
        <w:t xml:space="preserve"> </w:t>
      </w:r>
      <w:r w:rsidR="00457342" w:rsidRPr="0071782F">
        <w:rPr>
          <w:lang w:val="fr-CH"/>
        </w:rPr>
        <w:t xml:space="preserve">Promotion de la </w:t>
      </w:r>
      <w:r w:rsidRPr="0071782F">
        <w:rPr>
          <w:lang w:val="fr-CH"/>
        </w:rPr>
        <w:t xml:space="preserve">production </w:t>
      </w:r>
      <w:r w:rsidR="00457342" w:rsidRPr="0071782F">
        <w:rPr>
          <w:lang w:val="fr-CH"/>
        </w:rPr>
        <w:t>et de la consommation de compléments alimentaires, et fourniture d’un appui en ce sens</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t>D</w:t>
      </w:r>
      <w:r w:rsidR="00457342" w:rsidRPr="0071782F">
        <w:rPr>
          <w:lang w:val="fr-CH"/>
        </w:rPr>
        <w:t xml:space="preserve">éveloppement d’une culture de la </w:t>
      </w:r>
      <w:r w:rsidRPr="0071782F">
        <w:rPr>
          <w:lang w:val="fr-CH"/>
        </w:rPr>
        <w:t xml:space="preserve">nutrition </w:t>
      </w:r>
      <w:r w:rsidR="00457342" w:rsidRPr="0071782F">
        <w:rPr>
          <w:lang w:val="fr-CH"/>
        </w:rPr>
        <w:t xml:space="preserve">et de l’alimentation </w:t>
      </w:r>
    </w:p>
    <w:p w:rsidR="008A7415" w:rsidRPr="0071782F" w:rsidRDefault="008A7415" w:rsidP="00204410">
      <w:pPr>
        <w:pStyle w:val="SingleTxtG"/>
        <w:rPr>
          <w:lang w:val="fr-CH"/>
        </w:rPr>
      </w:pPr>
      <w:r w:rsidRPr="0071782F">
        <w:rPr>
          <w:lang w:val="fr-CH"/>
        </w:rPr>
        <w:t>249.</w:t>
      </w:r>
      <w:r w:rsidRPr="0071782F">
        <w:rPr>
          <w:lang w:val="fr-CH"/>
        </w:rPr>
        <w:tab/>
      </w:r>
      <w:r w:rsidR="00457342" w:rsidRPr="0071782F">
        <w:rPr>
          <w:lang w:val="fr-CH"/>
        </w:rPr>
        <w:t>Les stratégies relatives à ce domaine sont notamment les suivantes</w:t>
      </w:r>
      <w:r w:rsidR="008F7D33" w:rsidRPr="0071782F">
        <w:rPr>
          <w:lang w:val="fr-CH"/>
        </w:rPr>
        <w:t>:</w:t>
      </w:r>
    </w:p>
    <w:p w:rsidR="008A7415" w:rsidRPr="0071782F" w:rsidRDefault="008A7415" w:rsidP="0031499D">
      <w:pPr>
        <w:pStyle w:val="SingleTxtG"/>
        <w:ind w:left="1701"/>
        <w:rPr>
          <w:lang w:val="fr-CH"/>
        </w:rPr>
      </w:pPr>
      <w:r w:rsidRPr="0071782F">
        <w:rPr>
          <w:lang w:val="fr-CH"/>
        </w:rPr>
        <w:t>249.1.</w:t>
      </w:r>
      <w:r w:rsidRPr="0071782F">
        <w:rPr>
          <w:lang w:val="fr-CH"/>
        </w:rPr>
        <w:tab/>
        <w:t>R</w:t>
      </w:r>
      <w:r w:rsidR="00FA2719" w:rsidRPr="0071782F">
        <w:rPr>
          <w:lang w:val="fr-CH"/>
        </w:rPr>
        <w:t>égulation et réorientation des activités d’information sur l’alimentation</w:t>
      </w:r>
      <w:r w:rsidR="0040593F" w:rsidRPr="0071782F">
        <w:rPr>
          <w:lang w:val="fr-CH"/>
        </w:rPr>
        <w:t>,</w:t>
      </w:r>
      <w:r w:rsidR="00FA2719" w:rsidRPr="0071782F">
        <w:rPr>
          <w:lang w:val="fr-CH"/>
        </w:rPr>
        <w:t xml:space="preserve"> et promotion d’une éducation à une alimentation saine et équilibrée sous la </w:t>
      </w:r>
      <w:r w:rsidRPr="0071782F">
        <w:rPr>
          <w:lang w:val="fr-CH"/>
        </w:rPr>
        <w:t xml:space="preserve">supervision </w:t>
      </w:r>
      <w:r w:rsidR="00FA2719" w:rsidRPr="0071782F">
        <w:rPr>
          <w:lang w:val="fr-CH"/>
        </w:rPr>
        <w:t>du Haut Conseil de la santé et de la sécurité alimentaires</w:t>
      </w:r>
      <w:r w:rsidR="009257E3" w:rsidRPr="0071782F">
        <w:rPr>
          <w:lang w:val="fr-CH"/>
        </w:rPr>
        <w:t>.</w:t>
      </w:r>
    </w:p>
    <w:p w:rsidR="008A7415" w:rsidRPr="0071782F" w:rsidRDefault="008A7415" w:rsidP="0031499D">
      <w:pPr>
        <w:pStyle w:val="SingleTxtG"/>
        <w:ind w:left="1701"/>
        <w:rPr>
          <w:lang w:val="fr-CH"/>
        </w:rPr>
      </w:pPr>
      <w:r w:rsidRPr="0071782F">
        <w:rPr>
          <w:lang w:val="fr-CH"/>
        </w:rPr>
        <w:t>249.2.</w:t>
      </w:r>
      <w:r w:rsidRPr="0071782F">
        <w:rPr>
          <w:lang w:val="fr-CH"/>
        </w:rPr>
        <w:tab/>
      </w:r>
      <w:r w:rsidR="003A13AF" w:rsidRPr="0071782F">
        <w:rPr>
          <w:lang w:val="fr-CH"/>
        </w:rPr>
        <w:t>Collaboration des institut</w:t>
      </w:r>
      <w:r w:rsidR="0040593F" w:rsidRPr="0071782F">
        <w:rPr>
          <w:lang w:val="fr-CH"/>
        </w:rPr>
        <w:t>ion</w:t>
      </w:r>
      <w:r w:rsidR="003A13AF" w:rsidRPr="0071782F">
        <w:rPr>
          <w:lang w:val="fr-CH"/>
        </w:rPr>
        <w:t xml:space="preserve">s et mécanismes d’information sur l’alimentation à la </w:t>
      </w:r>
      <w:r w:rsidRPr="0071782F">
        <w:rPr>
          <w:lang w:val="fr-CH"/>
        </w:rPr>
        <w:t xml:space="preserve">promotion </w:t>
      </w:r>
      <w:r w:rsidR="003A13AF" w:rsidRPr="0071782F">
        <w:rPr>
          <w:lang w:val="fr-CH"/>
        </w:rPr>
        <w:t xml:space="preserve">d’une éducation à une alimentation saine aux niveaux </w:t>
      </w:r>
      <w:r w:rsidRPr="0071782F">
        <w:rPr>
          <w:lang w:val="fr-CH"/>
        </w:rPr>
        <w:t>local, r</w:t>
      </w:r>
      <w:r w:rsidR="003A13AF" w:rsidRPr="0071782F">
        <w:rPr>
          <w:lang w:val="fr-CH"/>
        </w:rPr>
        <w:t>é</w:t>
      </w:r>
      <w:r w:rsidRPr="0071782F">
        <w:rPr>
          <w:lang w:val="fr-CH"/>
        </w:rPr>
        <w:t xml:space="preserve">gional </w:t>
      </w:r>
      <w:r w:rsidR="003A13AF" w:rsidRPr="0071782F">
        <w:rPr>
          <w:lang w:val="fr-CH"/>
        </w:rPr>
        <w:t xml:space="preserve">et </w:t>
      </w:r>
      <w:r w:rsidRPr="0071782F">
        <w:rPr>
          <w:lang w:val="fr-CH"/>
        </w:rPr>
        <w:t>national</w:t>
      </w:r>
      <w:r w:rsidR="009257E3" w:rsidRPr="0071782F">
        <w:rPr>
          <w:lang w:val="fr-CH"/>
        </w:rPr>
        <w:t>.</w:t>
      </w:r>
    </w:p>
    <w:p w:rsidR="008A7415" w:rsidRPr="0071782F" w:rsidRDefault="008A7415" w:rsidP="0031499D">
      <w:pPr>
        <w:pStyle w:val="SingleTxtG"/>
        <w:ind w:left="1701"/>
        <w:rPr>
          <w:lang w:val="fr-CH"/>
        </w:rPr>
      </w:pPr>
      <w:r w:rsidRPr="0071782F">
        <w:rPr>
          <w:lang w:val="fr-CH"/>
        </w:rPr>
        <w:t>249.3.</w:t>
      </w:r>
      <w:r w:rsidRPr="0071782F">
        <w:rPr>
          <w:lang w:val="fr-CH"/>
        </w:rPr>
        <w:tab/>
      </w:r>
      <w:r w:rsidR="003A13AF" w:rsidRPr="0071782F">
        <w:rPr>
          <w:lang w:val="fr-CH"/>
        </w:rPr>
        <w:t>Utilisation du réseau de SSP aux fins de l’éducation à la valeur nutritionnelle et à l’hygiène des produits alimentaires et de la lutte contre les maladies transmises par les aliments</w:t>
      </w:r>
      <w:r w:rsidR="009257E3" w:rsidRPr="0071782F">
        <w:rPr>
          <w:lang w:val="fr-CH"/>
        </w:rPr>
        <w:t>.</w:t>
      </w:r>
    </w:p>
    <w:p w:rsidR="008A7415" w:rsidRPr="0071782F" w:rsidRDefault="008A7415" w:rsidP="0031499D">
      <w:pPr>
        <w:pStyle w:val="SingleTxtG"/>
        <w:ind w:left="1701"/>
        <w:rPr>
          <w:lang w:val="fr-CH"/>
        </w:rPr>
      </w:pPr>
      <w:r w:rsidRPr="0071782F">
        <w:rPr>
          <w:lang w:val="fr-CH"/>
        </w:rPr>
        <w:t>249.4.</w:t>
      </w:r>
      <w:r w:rsidRPr="0071782F">
        <w:rPr>
          <w:lang w:val="fr-CH"/>
        </w:rPr>
        <w:tab/>
      </w:r>
      <w:r w:rsidR="0099526A" w:rsidRPr="0071782F">
        <w:rPr>
          <w:lang w:val="fr-CH"/>
        </w:rPr>
        <w:t>Production et diffusion de messages éducatifs télévisuels et fourniture de matériels didactiques se prêtant à l’éducation pour tous</w:t>
      </w:r>
      <w:r w:rsidR="009257E3" w:rsidRPr="0071782F">
        <w:rPr>
          <w:lang w:val="fr-CH"/>
        </w:rPr>
        <w:t>.</w:t>
      </w:r>
    </w:p>
    <w:p w:rsidR="008A7415" w:rsidRPr="0071782F" w:rsidRDefault="008A7415" w:rsidP="0031499D">
      <w:pPr>
        <w:pStyle w:val="SingleTxtG"/>
        <w:ind w:left="1701"/>
        <w:rPr>
          <w:lang w:val="fr-CH"/>
        </w:rPr>
      </w:pPr>
      <w:r w:rsidRPr="0071782F">
        <w:rPr>
          <w:lang w:val="fr-CH"/>
        </w:rPr>
        <w:t>249.5.</w:t>
      </w:r>
      <w:r w:rsidRPr="0071782F">
        <w:rPr>
          <w:lang w:val="fr-CH"/>
        </w:rPr>
        <w:tab/>
      </w:r>
      <w:r w:rsidR="0099526A" w:rsidRPr="0071782F">
        <w:rPr>
          <w:lang w:val="fr-CH"/>
        </w:rPr>
        <w:t>Recensement d</w:t>
      </w:r>
      <w:r w:rsidR="0040593F" w:rsidRPr="0071782F">
        <w:rPr>
          <w:lang w:val="fr-CH"/>
        </w:rPr>
        <w:t xml:space="preserve">es </w:t>
      </w:r>
      <w:r w:rsidR="0099526A" w:rsidRPr="0071782F">
        <w:rPr>
          <w:lang w:val="fr-CH"/>
        </w:rPr>
        <w:t>aliments nutritifs autochtones appropriés pour l’alimentation des enfants</w:t>
      </w:r>
      <w:r w:rsidR="009257E3" w:rsidRPr="0071782F">
        <w:rPr>
          <w:lang w:val="fr-CH"/>
        </w:rPr>
        <w:t>.</w:t>
      </w:r>
      <w:r w:rsidRPr="0071782F">
        <w:rPr>
          <w:lang w:val="fr-CH"/>
        </w:rPr>
        <w:t xml:space="preserve"> </w:t>
      </w:r>
    </w:p>
    <w:p w:rsidR="008A7415" w:rsidRPr="0071782F" w:rsidRDefault="008A7415" w:rsidP="0031499D">
      <w:pPr>
        <w:pStyle w:val="SingleTxtG"/>
        <w:ind w:left="1701"/>
        <w:rPr>
          <w:lang w:val="fr-CH"/>
        </w:rPr>
      </w:pPr>
      <w:r w:rsidRPr="0071782F">
        <w:rPr>
          <w:lang w:val="fr-CH"/>
        </w:rPr>
        <w:t>249.6.</w:t>
      </w:r>
      <w:r w:rsidRPr="0071782F">
        <w:rPr>
          <w:lang w:val="fr-CH"/>
        </w:rPr>
        <w:tab/>
      </w:r>
      <w:r w:rsidR="0099526A" w:rsidRPr="0071782F">
        <w:rPr>
          <w:lang w:val="fr-CH"/>
        </w:rPr>
        <w:t>Formation des techniciens et directeurs d’usine, du personnel médical et d’autres groupes connexes</w:t>
      </w:r>
      <w:r w:rsidR="0031499D" w:rsidRPr="0071782F">
        <w:rPr>
          <w:lang w:val="fr-CH"/>
        </w:rPr>
        <w:t>.</w:t>
      </w:r>
    </w:p>
    <w:p w:rsidR="008A7415" w:rsidRPr="003E75EC" w:rsidRDefault="008A7415" w:rsidP="0031499D">
      <w:pPr>
        <w:pStyle w:val="SingleTxtG"/>
        <w:ind w:left="1701"/>
        <w:rPr>
          <w:spacing w:val="-2"/>
          <w:lang w:val="fr-CH"/>
        </w:rPr>
      </w:pPr>
      <w:r w:rsidRPr="003E75EC">
        <w:rPr>
          <w:spacing w:val="-2"/>
          <w:lang w:val="fr-CH"/>
        </w:rPr>
        <w:t>249.7.</w:t>
      </w:r>
      <w:r w:rsidRPr="003E75EC">
        <w:rPr>
          <w:spacing w:val="-2"/>
          <w:lang w:val="fr-CH"/>
        </w:rPr>
        <w:tab/>
        <w:t>Adapt</w:t>
      </w:r>
      <w:r w:rsidR="0099526A" w:rsidRPr="003E75EC">
        <w:rPr>
          <w:spacing w:val="-2"/>
          <w:lang w:val="fr-CH"/>
        </w:rPr>
        <w:t>ation des programmes éducatifs et publicitaires aux normes scientifiques</w:t>
      </w:r>
      <w:r w:rsidR="0031499D" w:rsidRPr="003E75EC">
        <w:rPr>
          <w:spacing w:val="-2"/>
          <w:lang w:val="fr-CH"/>
        </w:rPr>
        <w:t>.</w:t>
      </w:r>
    </w:p>
    <w:p w:rsidR="008A7415" w:rsidRPr="0071782F" w:rsidRDefault="008A7415" w:rsidP="0031499D">
      <w:pPr>
        <w:pStyle w:val="SingleTxtG"/>
        <w:ind w:left="1701"/>
        <w:rPr>
          <w:lang w:val="fr-CH"/>
        </w:rPr>
      </w:pPr>
      <w:r w:rsidRPr="0071782F">
        <w:rPr>
          <w:lang w:val="fr-CH"/>
        </w:rPr>
        <w:t>249.8.</w:t>
      </w:r>
      <w:r w:rsidRPr="0071782F">
        <w:rPr>
          <w:lang w:val="fr-CH"/>
        </w:rPr>
        <w:tab/>
      </w:r>
      <w:r w:rsidR="00FB5C70" w:rsidRPr="0071782F">
        <w:rPr>
          <w:lang w:val="fr-CH"/>
        </w:rPr>
        <w:t xml:space="preserve">Focalisation des politiques et activités éducatives sur l’alimentation et la </w:t>
      </w:r>
      <w:r w:rsidRPr="0071782F">
        <w:rPr>
          <w:lang w:val="fr-CH"/>
        </w:rPr>
        <w:t xml:space="preserve">nutrition </w:t>
      </w:r>
      <w:r w:rsidR="00FB5C70" w:rsidRPr="0071782F">
        <w:rPr>
          <w:lang w:val="fr-CH"/>
        </w:rPr>
        <w:t>par l’insertion d’objectifs spécifiques</w:t>
      </w:r>
      <w:r w:rsidR="0031499D" w:rsidRPr="0071782F">
        <w:rPr>
          <w:lang w:val="fr-CH"/>
        </w:rPr>
        <w:t>.</w:t>
      </w:r>
    </w:p>
    <w:p w:rsidR="008A7415" w:rsidRPr="0071782F" w:rsidRDefault="008A7415" w:rsidP="0031499D">
      <w:pPr>
        <w:pStyle w:val="SingleTxtG"/>
        <w:ind w:left="1701"/>
        <w:rPr>
          <w:lang w:val="fr-CH"/>
        </w:rPr>
      </w:pPr>
      <w:r w:rsidRPr="0071782F">
        <w:rPr>
          <w:lang w:val="fr-CH"/>
        </w:rPr>
        <w:t>249.9.</w:t>
      </w:r>
      <w:r w:rsidRPr="0071782F">
        <w:rPr>
          <w:lang w:val="fr-CH"/>
        </w:rPr>
        <w:tab/>
      </w:r>
      <w:r w:rsidR="00FB5C70" w:rsidRPr="0071782F">
        <w:rPr>
          <w:lang w:val="fr-CH"/>
        </w:rPr>
        <w:t xml:space="preserve">Supervision spécifique des programmes éducatifs et publicitaires relatifs à l’alimentation et à la </w:t>
      </w:r>
      <w:r w:rsidRPr="0071782F">
        <w:rPr>
          <w:lang w:val="fr-CH"/>
        </w:rPr>
        <w:t xml:space="preserve">nutrition, </w:t>
      </w:r>
      <w:r w:rsidR="00FB5C70" w:rsidRPr="0071782F">
        <w:rPr>
          <w:lang w:val="fr-CH"/>
        </w:rPr>
        <w:t>en particulier dans les médias</w:t>
      </w:r>
      <w:r w:rsidR="0031499D" w:rsidRPr="0071782F">
        <w:rPr>
          <w:lang w:val="fr-CH"/>
        </w:rPr>
        <w:t>.</w:t>
      </w:r>
      <w:r w:rsidRPr="0071782F">
        <w:rPr>
          <w:lang w:val="fr-CH"/>
        </w:rPr>
        <w:t xml:space="preserve"> </w:t>
      </w:r>
    </w:p>
    <w:p w:rsidR="008A7415" w:rsidRPr="0071782F" w:rsidRDefault="0031499D" w:rsidP="0031499D">
      <w:pPr>
        <w:pStyle w:val="SingleTxtG"/>
        <w:ind w:left="1701"/>
        <w:rPr>
          <w:lang w:val="fr-CH"/>
        </w:rPr>
      </w:pPr>
      <w:r w:rsidRPr="0071782F">
        <w:rPr>
          <w:lang w:val="fr-CH"/>
        </w:rPr>
        <w:t xml:space="preserve">249.10. </w:t>
      </w:r>
      <w:r w:rsidR="00FB5C70" w:rsidRPr="0071782F">
        <w:rPr>
          <w:lang w:val="fr-CH"/>
        </w:rPr>
        <w:t>Mise à contribution des ressources culturelles traditionnelles de la société aux fins de l’acquisition de connaissances en matière de nutrition et de l’éducation nutritionnelle</w:t>
      </w:r>
      <w:r w:rsidRPr="0071782F">
        <w:rPr>
          <w:lang w:val="fr-CH"/>
        </w:rPr>
        <w:t>.</w:t>
      </w:r>
    </w:p>
    <w:p w:rsidR="008A7415" w:rsidRPr="0071782F" w:rsidRDefault="008A7415" w:rsidP="0031499D">
      <w:pPr>
        <w:pStyle w:val="SingleTxtG"/>
        <w:ind w:left="1701"/>
        <w:rPr>
          <w:lang w:val="fr-CH"/>
        </w:rPr>
      </w:pPr>
      <w:r w:rsidRPr="0071782F">
        <w:rPr>
          <w:lang w:val="fr-CH"/>
        </w:rPr>
        <w:t>249.11.</w:t>
      </w:r>
      <w:r w:rsidR="0031499D" w:rsidRPr="0071782F">
        <w:rPr>
          <w:lang w:val="fr-CH"/>
        </w:rPr>
        <w:t xml:space="preserve"> </w:t>
      </w:r>
      <w:r w:rsidR="00FB5C70" w:rsidRPr="0071782F">
        <w:rPr>
          <w:lang w:val="fr-CH"/>
        </w:rPr>
        <w:t>Développer une culture de l’offre et de la consommation de produits alimentaires locaux et traditionnels</w:t>
      </w:r>
      <w:r w:rsidR="0031499D" w:rsidRPr="0071782F">
        <w:rPr>
          <w:lang w:val="fr-CH"/>
        </w:rPr>
        <w:t>.</w:t>
      </w:r>
      <w:r w:rsidRPr="0071782F">
        <w:rPr>
          <w:lang w:val="fr-CH"/>
        </w:rPr>
        <w:t xml:space="preserve"> </w:t>
      </w:r>
    </w:p>
    <w:p w:rsidR="008A7415" w:rsidRPr="0071782F" w:rsidRDefault="008A7415" w:rsidP="0031499D">
      <w:pPr>
        <w:pStyle w:val="SingleTxtG"/>
        <w:ind w:left="1701"/>
        <w:rPr>
          <w:lang w:val="fr-CH"/>
        </w:rPr>
      </w:pPr>
      <w:r w:rsidRPr="0071782F">
        <w:rPr>
          <w:lang w:val="fr-CH"/>
        </w:rPr>
        <w:t>249.12.</w:t>
      </w:r>
      <w:r w:rsidR="0031499D" w:rsidRPr="0071782F">
        <w:rPr>
          <w:lang w:val="fr-CH"/>
        </w:rPr>
        <w:t xml:space="preserve"> </w:t>
      </w:r>
      <w:r w:rsidR="00AA780F" w:rsidRPr="0071782F">
        <w:rPr>
          <w:lang w:val="fr-CH"/>
        </w:rPr>
        <w:t>Recensement des obstacles à une formulation et à une orientation adéquates des politiques et mise en place de mécanismes culturels et éducatifs d’appui à cette formulation et à cette orientation</w:t>
      </w:r>
      <w:r w:rsidRPr="0071782F">
        <w:rPr>
          <w:lang w:val="fr-CH"/>
        </w:rPr>
        <w:t xml:space="preserve">. </w:t>
      </w:r>
    </w:p>
    <w:p w:rsidR="008A7415" w:rsidRPr="0071782F" w:rsidRDefault="008A7415" w:rsidP="00204410">
      <w:pPr>
        <w:pStyle w:val="H1G"/>
        <w:rPr>
          <w:lang w:val="fr-CH"/>
        </w:rPr>
      </w:pPr>
      <w:r w:rsidRPr="0071782F">
        <w:rPr>
          <w:lang w:val="fr-CH"/>
        </w:rPr>
        <w:tab/>
      </w:r>
      <w:r w:rsidRPr="0071782F">
        <w:rPr>
          <w:lang w:val="fr-CH"/>
        </w:rPr>
        <w:tab/>
      </w:r>
      <w:r w:rsidR="00AA780F" w:rsidRPr="0071782F">
        <w:rPr>
          <w:lang w:val="fr-CH"/>
        </w:rPr>
        <w:t>É</w:t>
      </w:r>
      <w:r w:rsidRPr="0071782F">
        <w:rPr>
          <w:lang w:val="fr-CH"/>
        </w:rPr>
        <w:t xml:space="preserve">ducation </w:t>
      </w:r>
      <w:r w:rsidR="00AA780F" w:rsidRPr="0071782F">
        <w:rPr>
          <w:lang w:val="fr-CH"/>
        </w:rPr>
        <w:t xml:space="preserve">et recherche </w:t>
      </w:r>
    </w:p>
    <w:p w:rsidR="008A7415" w:rsidRPr="0071782F" w:rsidRDefault="008A7415" w:rsidP="00204410">
      <w:pPr>
        <w:pStyle w:val="SingleTxtG"/>
        <w:rPr>
          <w:lang w:val="fr-CH"/>
        </w:rPr>
      </w:pPr>
      <w:r w:rsidRPr="0071782F">
        <w:rPr>
          <w:lang w:val="fr-CH"/>
        </w:rPr>
        <w:t>250.</w:t>
      </w:r>
      <w:r w:rsidRPr="0071782F">
        <w:rPr>
          <w:lang w:val="fr-CH"/>
        </w:rPr>
        <w:tab/>
      </w:r>
      <w:r w:rsidR="00AA780F" w:rsidRPr="0071782F">
        <w:rPr>
          <w:lang w:val="fr-CH"/>
        </w:rPr>
        <w:t>Les stratégies relatives à ce domaine sont notamment les suivantes</w:t>
      </w:r>
      <w:r w:rsidR="008F7D33" w:rsidRPr="0071782F">
        <w:rPr>
          <w:lang w:val="fr-CH"/>
        </w:rPr>
        <w:t>:</w:t>
      </w:r>
    </w:p>
    <w:p w:rsidR="008A7415" w:rsidRPr="0071782F" w:rsidRDefault="008A7415" w:rsidP="00EC2263">
      <w:pPr>
        <w:pStyle w:val="SingleTxtG"/>
        <w:ind w:left="1701"/>
        <w:rPr>
          <w:lang w:val="fr-CH"/>
        </w:rPr>
      </w:pPr>
      <w:r w:rsidRPr="0071782F">
        <w:rPr>
          <w:lang w:val="fr-CH"/>
        </w:rPr>
        <w:t>250.1.</w:t>
      </w:r>
      <w:r w:rsidRPr="0071782F">
        <w:rPr>
          <w:lang w:val="fr-CH"/>
        </w:rPr>
        <w:tab/>
      </w:r>
      <w:r w:rsidR="00CB1A9C" w:rsidRPr="0071782F">
        <w:rPr>
          <w:lang w:val="fr-CH"/>
        </w:rPr>
        <w:t xml:space="preserve">Promotion de la </w:t>
      </w:r>
      <w:r w:rsidRPr="0071782F">
        <w:rPr>
          <w:lang w:val="fr-CH"/>
        </w:rPr>
        <w:t xml:space="preserve">participation </w:t>
      </w:r>
      <w:r w:rsidR="00CB1A9C" w:rsidRPr="0071782F">
        <w:rPr>
          <w:lang w:val="fr-CH"/>
        </w:rPr>
        <w:t xml:space="preserve">fructueuse de la communauté scientifique à l’élaboration de politiques et à l’exécution de </w:t>
      </w:r>
      <w:r w:rsidRPr="0071782F">
        <w:rPr>
          <w:lang w:val="fr-CH"/>
        </w:rPr>
        <w:t>program</w:t>
      </w:r>
      <w:r w:rsidR="00CB1A9C" w:rsidRPr="0071782F">
        <w:rPr>
          <w:lang w:val="fr-CH"/>
        </w:rPr>
        <w:t>me</w:t>
      </w:r>
      <w:r w:rsidRPr="0071782F">
        <w:rPr>
          <w:lang w:val="fr-CH"/>
        </w:rPr>
        <w:t xml:space="preserve">s </w:t>
      </w:r>
      <w:r w:rsidR="00CB1A9C" w:rsidRPr="0071782F">
        <w:rPr>
          <w:lang w:val="fr-CH"/>
        </w:rPr>
        <w:t xml:space="preserve">relatifs à la sécurité alimentaire et à la </w:t>
      </w:r>
      <w:r w:rsidRPr="0071782F">
        <w:rPr>
          <w:lang w:val="fr-CH"/>
        </w:rPr>
        <w:t>nutrition</w:t>
      </w:r>
      <w:r w:rsidR="00EC2263" w:rsidRPr="0071782F">
        <w:rPr>
          <w:lang w:val="fr-CH"/>
        </w:rPr>
        <w:t>.</w:t>
      </w:r>
    </w:p>
    <w:p w:rsidR="008A7415" w:rsidRPr="0071782F" w:rsidRDefault="008A7415" w:rsidP="00EC2263">
      <w:pPr>
        <w:pStyle w:val="SingleTxtG"/>
        <w:ind w:left="1701"/>
        <w:rPr>
          <w:lang w:val="fr-CH"/>
        </w:rPr>
      </w:pPr>
      <w:r w:rsidRPr="0071782F">
        <w:rPr>
          <w:lang w:val="fr-CH"/>
        </w:rPr>
        <w:t>250.2.</w:t>
      </w:r>
      <w:r w:rsidRPr="0071782F">
        <w:rPr>
          <w:lang w:val="fr-CH"/>
        </w:rPr>
        <w:tab/>
      </w:r>
      <w:r w:rsidR="001E7782" w:rsidRPr="0071782F">
        <w:rPr>
          <w:lang w:val="fr-CH"/>
        </w:rPr>
        <w:t xml:space="preserve">Appui à la recherche appliquée sur les politiques alimentaires et </w:t>
      </w:r>
      <w:r w:rsidRPr="0071782F">
        <w:rPr>
          <w:lang w:val="fr-CH"/>
        </w:rPr>
        <w:t>nutrition</w:t>
      </w:r>
      <w:r w:rsidR="001E7782" w:rsidRPr="0071782F">
        <w:rPr>
          <w:lang w:val="fr-CH"/>
        </w:rPr>
        <w:t>nelles</w:t>
      </w:r>
      <w:r w:rsidR="002231E8" w:rsidRPr="0071782F">
        <w:rPr>
          <w:lang w:val="fr-CH"/>
        </w:rPr>
        <w:t>.</w:t>
      </w:r>
      <w:r w:rsidRPr="0071782F">
        <w:rPr>
          <w:lang w:val="fr-CH"/>
        </w:rPr>
        <w:t xml:space="preserve"> </w:t>
      </w:r>
    </w:p>
    <w:p w:rsidR="008A7415" w:rsidRPr="0071782F" w:rsidRDefault="008A7415" w:rsidP="00EC2263">
      <w:pPr>
        <w:pStyle w:val="SingleTxtG"/>
        <w:ind w:left="1701"/>
        <w:rPr>
          <w:lang w:val="fr-CH"/>
        </w:rPr>
      </w:pPr>
      <w:r w:rsidRPr="0071782F">
        <w:rPr>
          <w:lang w:val="fr-CH"/>
        </w:rPr>
        <w:t>250.3.</w:t>
      </w:r>
      <w:r w:rsidRPr="0071782F">
        <w:rPr>
          <w:lang w:val="fr-CH"/>
        </w:rPr>
        <w:tab/>
      </w:r>
      <w:r w:rsidR="001E7782" w:rsidRPr="0071782F">
        <w:rPr>
          <w:lang w:val="fr-CH"/>
        </w:rPr>
        <w:t xml:space="preserve">Appui à la formation d’experts </w:t>
      </w:r>
      <w:r w:rsidRPr="0071782F">
        <w:rPr>
          <w:lang w:val="fr-CH"/>
        </w:rPr>
        <w:t>interdisciplina</w:t>
      </w:r>
      <w:r w:rsidR="001E7782" w:rsidRPr="0071782F">
        <w:rPr>
          <w:lang w:val="fr-CH"/>
        </w:rPr>
        <w:t xml:space="preserve">ires se consacrant à la recherche </w:t>
      </w:r>
      <w:r w:rsidRPr="0071782F">
        <w:rPr>
          <w:lang w:val="fr-CH"/>
        </w:rPr>
        <w:t>scientifi</w:t>
      </w:r>
      <w:r w:rsidR="001E7782" w:rsidRPr="0071782F">
        <w:rPr>
          <w:lang w:val="fr-CH"/>
        </w:rPr>
        <w:t xml:space="preserve">que sur l’alimentation et la </w:t>
      </w:r>
      <w:r w:rsidRPr="0071782F">
        <w:rPr>
          <w:lang w:val="fr-CH"/>
        </w:rPr>
        <w:t xml:space="preserve">nutrition </w:t>
      </w:r>
      <w:r w:rsidR="001E7782" w:rsidRPr="0071782F">
        <w:rPr>
          <w:lang w:val="fr-CH"/>
        </w:rPr>
        <w:t>et sur les politiques y relatives</w:t>
      </w:r>
      <w:r w:rsidR="00EC2263" w:rsidRPr="0071782F">
        <w:rPr>
          <w:lang w:val="fr-CH"/>
        </w:rPr>
        <w:t>.</w:t>
      </w:r>
    </w:p>
    <w:p w:rsidR="008A7415" w:rsidRPr="0071782F" w:rsidRDefault="008A7415" w:rsidP="00EC2263">
      <w:pPr>
        <w:pStyle w:val="SingleTxtG"/>
        <w:ind w:left="1701"/>
        <w:rPr>
          <w:lang w:val="fr-CH"/>
        </w:rPr>
      </w:pPr>
      <w:r w:rsidRPr="0071782F">
        <w:rPr>
          <w:lang w:val="fr-CH"/>
        </w:rPr>
        <w:t>250.4.</w:t>
      </w:r>
      <w:r w:rsidRPr="0071782F">
        <w:rPr>
          <w:lang w:val="fr-CH"/>
        </w:rPr>
        <w:tab/>
        <w:t>R</w:t>
      </w:r>
      <w:r w:rsidR="001E7782" w:rsidRPr="0071782F">
        <w:rPr>
          <w:lang w:val="fr-CH"/>
        </w:rPr>
        <w:t>é</w:t>
      </w:r>
      <w:r w:rsidRPr="0071782F">
        <w:rPr>
          <w:lang w:val="fr-CH"/>
        </w:rPr>
        <w:t>orient</w:t>
      </w:r>
      <w:r w:rsidR="001E7782" w:rsidRPr="0071782F">
        <w:rPr>
          <w:lang w:val="fr-CH"/>
        </w:rPr>
        <w:t xml:space="preserve">ation de la formation universitaire à l’alimentation et à la </w:t>
      </w:r>
      <w:r w:rsidRPr="0071782F">
        <w:rPr>
          <w:lang w:val="fr-CH"/>
        </w:rPr>
        <w:t xml:space="preserve">nutrition </w:t>
      </w:r>
      <w:r w:rsidR="001E7782" w:rsidRPr="0071782F">
        <w:rPr>
          <w:lang w:val="fr-CH"/>
        </w:rPr>
        <w:t xml:space="preserve">en fonction des besoins et </w:t>
      </w:r>
      <w:r w:rsidRPr="0071782F">
        <w:rPr>
          <w:lang w:val="fr-CH"/>
        </w:rPr>
        <w:t>r</w:t>
      </w:r>
      <w:r w:rsidR="001E7782" w:rsidRPr="0071782F">
        <w:rPr>
          <w:lang w:val="fr-CH"/>
        </w:rPr>
        <w:t>é</w:t>
      </w:r>
      <w:r w:rsidRPr="0071782F">
        <w:rPr>
          <w:lang w:val="fr-CH"/>
        </w:rPr>
        <w:t>alit</w:t>
      </w:r>
      <w:r w:rsidR="001E7782" w:rsidRPr="0071782F">
        <w:rPr>
          <w:lang w:val="fr-CH"/>
        </w:rPr>
        <w:t>é</w:t>
      </w:r>
      <w:r w:rsidRPr="0071782F">
        <w:rPr>
          <w:lang w:val="fr-CH"/>
        </w:rPr>
        <w:t xml:space="preserve">s </w:t>
      </w:r>
      <w:r w:rsidR="001E7782" w:rsidRPr="0071782F">
        <w:rPr>
          <w:lang w:val="fr-CH"/>
        </w:rPr>
        <w:t xml:space="preserve">de la </w:t>
      </w:r>
      <w:r w:rsidRPr="0071782F">
        <w:rPr>
          <w:lang w:val="fr-CH"/>
        </w:rPr>
        <w:t>soci</w:t>
      </w:r>
      <w:r w:rsidR="001E7782" w:rsidRPr="0071782F">
        <w:rPr>
          <w:lang w:val="fr-CH"/>
        </w:rPr>
        <w:t>été</w:t>
      </w:r>
      <w:r w:rsidR="00EC2263" w:rsidRPr="0071782F">
        <w:rPr>
          <w:lang w:val="fr-CH"/>
        </w:rPr>
        <w:t>.</w:t>
      </w:r>
    </w:p>
    <w:p w:rsidR="008A7415" w:rsidRPr="0071782F" w:rsidRDefault="008A7415" w:rsidP="00C55676">
      <w:pPr>
        <w:pStyle w:val="SingleTxtG"/>
        <w:spacing w:after="0"/>
        <w:ind w:left="1701"/>
        <w:rPr>
          <w:lang w:val="fr-CH"/>
        </w:rPr>
      </w:pPr>
      <w:r w:rsidRPr="0071782F">
        <w:rPr>
          <w:lang w:val="fr-CH"/>
        </w:rPr>
        <w:t>250.5.</w:t>
      </w:r>
      <w:r w:rsidRPr="0071782F">
        <w:rPr>
          <w:lang w:val="fr-CH"/>
        </w:rPr>
        <w:tab/>
      </w:r>
      <w:r w:rsidR="00D22E81" w:rsidRPr="0071782F">
        <w:rPr>
          <w:lang w:val="fr-CH"/>
        </w:rPr>
        <w:t>Formation et recyclage du personnel dans le domaine des traitements médicaux et des autres aspects liés à une alimentation appropriée</w:t>
      </w:r>
      <w:r w:rsidRPr="0071782F">
        <w:rPr>
          <w:lang w:val="fr-CH"/>
        </w:rPr>
        <w:t>.</w:t>
      </w:r>
    </w:p>
    <w:p w:rsidR="008A7415" w:rsidRPr="0071782F" w:rsidRDefault="008A7415" w:rsidP="00204410">
      <w:pPr>
        <w:pStyle w:val="H23G"/>
        <w:rPr>
          <w:lang w:val="fr-CH"/>
        </w:rPr>
      </w:pPr>
      <w:r w:rsidRPr="0071782F">
        <w:rPr>
          <w:lang w:val="fr-CH"/>
        </w:rPr>
        <w:tab/>
      </w:r>
      <w:r w:rsidRPr="0071782F">
        <w:rPr>
          <w:lang w:val="fr-CH"/>
        </w:rPr>
        <w:tab/>
      </w:r>
      <w:r w:rsidR="00D22E81" w:rsidRPr="0071782F">
        <w:rPr>
          <w:lang w:val="fr-CH"/>
        </w:rPr>
        <w:t xml:space="preserve">Consommation recommandée d’aliments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659"/>
        <w:gridCol w:w="3711"/>
      </w:tblGrid>
      <w:tr w:rsidR="008A7415" w:rsidRPr="0071782F">
        <w:trPr>
          <w:tblHeader/>
        </w:trPr>
        <w:tc>
          <w:tcPr>
            <w:tcW w:w="4055" w:type="dxa"/>
            <w:tcBorders>
              <w:top w:val="single" w:sz="4" w:space="0" w:color="auto"/>
              <w:bottom w:val="single" w:sz="12" w:space="0" w:color="auto"/>
            </w:tcBorders>
            <w:shd w:val="clear" w:color="auto" w:fill="auto"/>
            <w:vAlign w:val="bottom"/>
          </w:tcPr>
          <w:p w:rsidR="008A7415" w:rsidRPr="0071782F" w:rsidRDefault="00D22E81" w:rsidP="00A233C2">
            <w:pPr>
              <w:suppressAutoHyphens w:val="0"/>
              <w:spacing w:before="80" w:after="80" w:line="200" w:lineRule="exact"/>
              <w:rPr>
                <w:i/>
                <w:sz w:val="16"/>
                <w:lang w:val="fr-CH"/>
              </w:rPr>
            </w:pPr>
            <w:r w:rsidRPr="0071782F">
              <w:rPr>
                <w:i/>
                <w:sz w:val="16"/>
                <w:lang w:val="fr-CH"/>
              </w:rPr>
              <w:t xml:space="preserve">Aliments du panier recommandé </w:t>
            </w:r>
          </w:p>
        </w:tc>
        <w:tc>
          <w:tcPr>
            <w:tcW w:w="4113" w:type="dxa"/>
            <w:tcBorders>
              <w:top w:val="single" w:sz="4" w:space="0" w:color="auto"/>
              <w:bottom w:val="single" w:sz="12" w:space="0" w:color="auto"/>
            </w:tcBorders>
            <w:shd w:val="clear" w:color="auto" w:fill="auto"/>
            <w:vAlign w:val="bottom"/>
          </w:tcPr>
          <w:p w:rsidR="008A7415" w:rsidRPr="0071782F" w:rsidRDefault="00D22E81" w:rsidP="00A233C2">
            <w:pPr>
              <w:suppressAutoHyphens w:val="0"/>
              <w:spacing w:before="80" w:after="80" w:line="200" w:lineRule="exact"/>
              <w:jc w:val="right"/>
              <w:rPr>
                <w:i/>
                <w:sz w:val="16"/>
                <w:lang w:val="fr-CH"/>
              </w:rPr>
            </w:pPr>
            <w:r w:rsidRPr="0071782F">
              <w:rPr>
                <w:i/>
                <w:sz w:val="16"/>
                <w:lang w:val="fr-CH"/>
              </w:rPr>
              <w:t>Consommation recommandée</w:t>
            </w:r>
            <w:r w:rsidR="008A7415" w:rsidRPr="0071782F">
              <w:rPr>
                <w:i/>
                <w:sz w:val="16"/>
                <w:lang w:val="fr-CH"/>
              </w:rPr>
              <w:t xml:space="preserve"> (</w:t>
            </w:r>
            <w:r w:rsidRPr="0071782F">
              <w:rPr>
                <w:i/>
                <w:sz w:val="16"/>
                <w:lang w:val="fr-CH"/>
              </w:rPr>
              <w:t xml:space="preserve">en </w:t>
            </w:r>
            <w:r w:rsidR="008A7415" w:rsidRPr="0071782F">
              <w:rPr>
                <w:i/>
                <w:sz w:val="16"/>
                <w:lang w:val="fr-CH"/>
              </w:rPr>
              <w:t>gram</w:t>
            </w:r>
            <w:r w:rsidRPr="0071782F">
              <w:rPr>
                <w:i/>
                <w:sz w:val="16"/>
                <w:lang w:val="fr-CH"/>
              </w:rPr>
              <w:t>me</w:t>
            </w:r>
            <w:r w:rsidR="008A7415" w:rsidRPr="0071782F">
              <w:rPr>
                <w:i/>
                <w:sz w:val="16"/>
                <w:lang w:val="fr-CH"/>
              </w:rPr>
              <w:t>s p</w:t>
            </w:r>
            <w:r w:rsidRPr="0071782F">
              <w:rPr>
                <w:i/>
                <w:sz w:val="16"/>
                <w:lang w:val="fr-CH"/>
              </w:rPr>
              <w:t>a</w:t>
            </w:r>
            <w:r w:rsidR="008A7415" w:rsidRPr="0071782F">
              <w:rPr>
                <w:i/>
                <w:sz w:val="16"/>
                <w:lang w:val="fr-CH"/>
              </w:rPr>
              <w:t xml:space="preserve">r </w:t>
            </w:r>
            <w:r w:rsidRPr="0071782F">
              <w:rPr>
                <w:i/>
                <w:sz w:val="16"/>
                <w:lang w:val="fr-CH"/>
              </w:rPr>
              <w:t>jour</w:t>
            </w:r>
            <w:r w:rsidR="008A7415" w:rsidRPr="0071782F">
              <w:rPr>
                <w:i/>
                <w:sz w:val="16"/>
                <w:lang w:val="fr-CH"/>
              </w:rPr>
              <w:t>)</w:t>
            </w:r>
          </w:p>
        </w:tc>
      </w:tr>
      <w:tr w:rsidR="008A7415" w:rsidRPr="0071782F">
        <w:tc>
          <w:tcPr>
            <w:tcW w:w="4055" w:type="dxa"/>
            <w:tcBorders>
              <w:top w:val="single" w:sz="12" w:space="0" w:color="auto"/>
            </w:tcBorders>
            <w:shd w:val="clear" w:color="auto" w:fill="auto"/>
          </w:tcPr>
          <w:p w:rsidR="008A7415" w:rsidRPr="0071782F" w:rsidRDefault="00D22E81" w:rsidP="00A233C2">
            <w:pPr>
              <w:suppressAutoHyphens w:val="0"/>
              <w:spacing w:before="40" w:after="40" w:line="220" w:lineRule="exact"/>
              <w:rPr>
                <w:sz w:val="18"/>
                <w:lang w:val="fr-CH"/>
              </w:rPr>
            </w:pPr>
            <w:r w:rsidRPr="0071782F">
              <w:rPr>
                <w:sz w:val="18"/>
                <w:lang w:val="fr-CH"/>
              </w:rPr>
              <w:t>Pain</w:t>
            </w:r>
          </w:p>
        </w:tc>
        <w:tc>
          <w:tcPr>
            <w:tcW w:w="4113" w:type="dxa"/>
            <w:tcBorders>
              <w:top w:val="single" w:sz="12" w:space="0" w:color="auto"/>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320</w:t>
            </w:r>
          </w:p>
        </w:tc>
      </w:tr>
      <w:tr w:rsidR="008A7415" w:rsidRPr="0071782F">
        <w:tc>
          <w:tcPr>
            <w:tcW w:w="4055" w:type="dxa"/>
            <w:shd w:val="clear" w:color="auto" w:fill="auto"/>
          </w:tcPr>
          <w:p w:rsidR="008A7415" w:rsidRPr="0071782F" w:rsidRDefault="00D22E81" w:rsidP="00A233C2">
            <w:pPr>
              <w:suppressAutoHyphens w:val="0"/>
              <w:spacing w:before="40" w:after="40" w:line="220" w:lineRule="exact"/>
              <w:rPr>
                <w:sz w:val="18"/>
                <w:lang w:val="fr-CH"/>
              </w:rPr>
            </w:pPr>
            <w:r w:rsidRPr="0071782F">
              <w:rPr>
                <w:sz w:val="18"/>
                <w:lang w:val="fr-CH"/>
              </w:rPr>
              <w:t>Riz</w:t>
            </w:r>
          </w:p>
        </w:tc>
        <w:tc>
          <w:tcPr>
            <w:tcW w:w="4113"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100</w:t>
            </w:r>
          </w:p>
        </w:tc>
      </w:tr>
      <w:tr w:rsidR="008A7415" w:rsidRPr="0071782F">
        <w:tc>
          <w:tcPr>
            <w:tcW w:w="4055" w:type="dxa"/>
            <w:shd w:val="clear" w:color="auto" w:fill="auto"/>
          </w:tcPr>
          <w:p w:rsidR="008A7415" w:rsidRPr="0071782F" w:rsidRDefault="008A7415" w:rsidP="00A233C2">
            <w:pPr>
              <w:suppressAutoHyphens w:val="0"/>
              <w:spacing w:before="40" w:after="40" w:line="220" w:lineRule="exact"/>
              <w:rPr>
                <w:sz w:val="18"/>
                <w:lang w:val="fr-CH"/>
              </w:rPr>
            </w:pPr>
            <w:r w:rsidRPr="0071782F">
              <w:rPr>
                <w:sz w:val="18"/>
                <w:lang w:val="fr-CH"/>
              </w:rPr>
              <w:t>P</w:t>
            </w:r>
            <w:r w:rsidR="00D22E81" w:rsidRPr="0071782F">
              <w:rPr>
                <w:sz w:val="18"/>
                <w:lang w:val="fr-CH"/>
              </w:rPr>
              <w:t>âtes</w:t>
            </w:r>
          </w:p>
        </w:tc>
        <w:tc>
          <w:tcPr>
            <w:tcW w:w="4113"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20</w:t>
            </w:r>
          </w:p>
        </w:tc>
      </w:tr>
      <w:tr w:rsidR="008A7415" w:rsidRPr="0071782F">
        <w:tc>
          <w:tcPr>
            <w:tcW w:w="4055" w:type="dxa"/>
            <w:shd w:val="clear" w:color="auto" w:fill="auto"/>
          </w:tcPr>
          <w:p w:rsidR="008A7415" w:rsidRPr="0071782F" w:rsidRDefault="00D22E81" w:rsidP="00A233C2">
            <w:pPr>
              <w:suppressAutoHyphens w:val="0"/>
              <w:spacing w:before="40" w:after="40" w:line="220" w:lineRule="exact"/>
              <w:rPr>
                <w:sz w:val="18"/>
                <w:lang w:val="fr-CH"/>
              </w:rPr>
            </w:pPr>
            <w:r w:rsidRPr="0071782F">
              <w:rPr>
                <w:sz w:val="18"/>
                <w:lang w:val="fr-CH"/>
              </w:rPr>
              <w:t>Cé</w:t>
            </w:r>
            <w:r w:rsidR="008A7415" w:rsidRPr="0071782F">
              <w:rPr>
                <w:sz w:val="18"/>
                <w:lang w:val="fr-CH"/>
              </w:rPr>
              <w:t>r</w:t>
            </w:r>
            <w:r w:rsidRPr="0071782F">
              <w:rPr>
                <w:sz w:val="18"/>
                <w:lang w:val="fr-CH"/>
              </w:rPr>
              <w:t>é</w:t>
            </w:r>
            <w:r w:rsidR="008A7415" w:rsidRPr="0071782F">
              <w:rPr>
                <w:sz w:val="18"/>
                <w:lang w:val="fr-CH"/>
              </w:rPr>
              <w:t>al</w:t>
            </w:r>
            <w:r w:rsidRPr="0071782F">
              <w:rPr>
                <w:sz w:val="18"/>
                <w:lang w:val="fr-CH"/>
              </w:rPr>
              <w:t>e</w:t>
            </w:r>
            <w:r w:rsidR="008A7415" w:rsidRPr="0071782F">
              <w:rPr>
                <w:sz w:val="18"/>
                <w:lang w:val="fr-CH"/>
              </w:rPr>
              <w:t>s</w:t>
            </w:r>
          </w:p>
        </w:tc>
        <w:tc>
          <w:tcPr>
            <w:tcW w:w="4113"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26</w:t>
            </w:r>
          </w:p>
        </w:tc>
      </w:tr>
      <w:tr w:rsidR="008A7415" w:rsidRPr="0071782F">
        <w:tc>
          <w:tcPr>
            <w:tcW w:w="4055" w:type="dxa"/>
            <w:shd w:val="clear" w:color="auto" w:fill="auto"/>
          </w:tcPr>
          <w:p w:rsidR="008A7415" w:rsidRPr="0071782F" w:rsidRDefault="00D22E81" w:rsidP="00A233C2">
            <w:pPr>
              <w:suppressAutoHyphens w:val="0"/>
              <w:spacing w:before="40" w:after="40" w:line="220" w:lineRule="exact"/>
              <w:rPr>
                <w:sz w:val="18"/>
                <w:lang w:val="fr-CH"/>
              </w:rPr>
            </w:pPr>
            <w:r w:rsidRPr="0071782F">
              <w:rPr>
                <w:sz w:val="18"/>
                <w:lang w:val="fr-CH"/>
              </w:rPr>
              <w:t>Pommes de terre</w:t>
            </w:r>
          </w:p>
        </w:tc>
        <w:tc>
          <w:tcPr>
            <w:tcW w:w="4113"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70</w:t>
            </w:r>
          </w:p>
        </w:tc>
      </w:tr>
      <w:tr w:rsidR="008A7415" w:rsidRPr="0071782F">
        <w:tc>
          <w:tcPr>
            <w:tcW w:w="4055" w:type="dxa"/>
            <w:shd w:val="clear" w:color="auto" w:fill="auto"/>
          </w:tcPr>
          <w:p w:rsidR="008A7415" w:rsidRPr="0071782F" w:rsidRDefault="00D22E81" w:rsidP="00A233C2">
            <w:pPr>
              <w:suppressAutoHyphens w:val="0"/>
              <w:spacing w:before="40" w:after="40" w:line="220" w:lineRule="exact"/>
              <w:rPr>
                <w:sz w:val="18"/>
                <w:lang w:val="fr-CH"/>
              </w:rPr>
            </w:pPr>
            <w:r w:rsidRPr="0071782F">
              <w:rPr>
                <w:sz w:val="18"/>
                <w:lang w:val="fr-CH"/>
              </w:rPr>
              <w:t>Légumes verts</w:t>
            </w:r>
          </w:p>
        </w:tc>
        <w:tc>
          <w:tcPr>
            <w:tcW w:w="4113"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280</w:t>
            </w:r>
          </w:p>
        </w:tc>
      </w:tr>
      <w:tr w:rsidR="008A7415" w:rsidRPr="0071782F">
        <w:tc>
          <w:tcPr>
            <w:tcW w:w="4055" w:type="dxa"/>
            <w:shd w:val="clear" w:color="auto" w:fill="auto"/>
          </w:tcPr>
          <w:p w:rsidR="008A7415" w:rsidRPr="0071782F" w:rsidRDefault="008A7415" w:rsidP="00A233C2">
            <w:pPr>
              <w:suppressAutoHyphens w:val="0"/>
              <w:spacing w:before="40" w:after="40" w:line="220" w:lineRule="exact"/>
              <w:rPr>
                <w:sz w:val="18"/>
                <w:lang w:val="fr-CH"/>
              </w:rPr>
            </w:pPr>
            <w:r w:rsidRPr="0071782F">
              <w:rPr>
                <w:sz w:val="18"/>
                <w:lang w:val="fr-CH"/>
              </w:rPr>
              <w:t>Fruits</w:t>
            </w:r>
          </w:p>
        </w:tc>
        <w:tc>
          <w:tcPr>
            <w:tcW w:w="4113"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260</w:t>
            </w:r>
          </w:p>
        </w:tc>
      </w:tr>
      <w:tr w:rsidR="008A7415" w:rsidRPr="0071782F">
        <w:tc>
          <w:tcPr>
            <w:tcW w:w="4055" w:type="dxa"/>
            <w:shd w:val="clear" w:color="auto" w:fill="auto"/>
          </w:tcPr>
          <w:p w:rsidR="008A7415" w:rsidRPr="0071782F" w:rsidRDefault="00D22E81" w:rsidP="00A233C2">
            <w:pPr>
              <w:suppressAutoHyphens w:val="0"/>
              <w:spacing w:before="40" w:after="40" w:line="220" w:lineRule="exact"/>
              <w:rPr>
                <w:sz w:val="18"/>
                <w:lang w:val="fr-CH"/>
              </w:rPr>
            </w:pPr>
            <w:r w:rsidRPr="0071782F">
              <w:rPr>
                <w:sz w:val="18"/>
                <w:lang w:val="fr-CH"/>
              </w:rPr>
              <w:t xml:space="preserve">Viande rouge </w:t>
            </w:r>
          </w:p>
        </w:tc>
        <w:tc>
          <w:tcPr>
            <w:tcW w:w="4113"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48</w:t>
            </w:r>
          </w:p>
        </w:tc>
      </w:tr>
      <w:tr w:rsidR="008A7415" w:rsidRPr="0071782F">
        <w:tc>
          <w:tcPr>
            <w:tcW w:w="4055" w:type="dxa"/>
            <w:shd w:val="clear" w:color="auto" w:fill="auto"/>
          </w:tcPr>
          <w:p w:rsidR="008A7415" w:rsidRPr="0071782F" w:rsidRDefault="00D22E81" w:rsidP="00A233C2">
            <w:pPr>
              <w:suppressAutoHyphens w:val="0"/>
              <w:spacing w:before="40" w:after="40" w:line="220" w:lineRule="exact"/>
              <w:rPr>
                <w:sz w:val="18"/>
                <w:lang w:val="fr-CH"/>
              </w:rPr>
            </w:pPr>
            <w:r w:rsidRPr="0071782F">
              <w:rPr>
                <w:sz w:val="18"/>
                <w:lang w:val="fr-CH"/>
              </w:rPr>
              <w:t>Viande blanche</w:t>
            </w:r>
          </w:p>
        </w:tc>
        <w:tc>
          <w:tcPr>
            <w:tcW w:w="4113"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50</w:t>
            </w:r>
          </w:p>
        </w:tc>
      </w:tr>
      <w:tr w:rsidR="008A7415" w:rsidRPr="0071782F">
        <w:tc>
          <w:tcPr>
            <w:tcW w:w="4055" w:type="dxa"/>
            <w:shd w:val="clear" w:color="auto" w:fill="auto"/>
          </w:tcPr>
          <w:p w:rsidR="008A7415" w:rsidRPr="0071782F" w:rsidRDefault="0071782F" w:rsidP="00A233C2">
            <w:pPr>
              <w:suppressAutoHyphens w:val="0"/>
              <w:spacing w:before="40" w:after="40" w:line="220" w:lineRule="exact"/>
              <w:rPr>
                <w:sz w:val="18"/>
                <w:lang w:val="fr-CH"/>
              </w:rPr>
            </w:pPr>
            <w:r w:rsidRPr="0071782F">
              <w:rPr>
                <w:sz w:val="18"/>
                <w:lang w:val="fr-CH"/>
              </w:rPr>
              <w:t>Œufs</w:t>
            </w:r>
          </w:p>
        </w:tc>
        <w:tc>
          <w:tcPr>
            <w:tcW w:w="4113"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24</w:t>
            </w:r>
          </w:p>
        </w:tc>
      </w:tr>
      <w:tr w:rsidR="008A7415" w:rsidRPr="0071782F">
        <w:tc>
          <w:tcPr>
            <w:tcW w:w="4055" w:type="dxa"/>
            <w:shd w:val="clear" w:color="auto" w:fill="auto"/>
          </w:tcPr>
          <w:p w:rsidR="008A7415" w:rsidRPr="0071782F" w:rsidRDefault="00D22E81" w:rsidP="00A233C2">
            <w:pPr>
              <w:suppressAutoHyphens w:val="0"/>
              <w:spacing w:before="40" w:after="40" w:line="220" w:lineRule="exact"/>
              <w:rPr>
                <w:sz w:val="18"/>
                <w:lang w:val="fr-CH"/>
              </w:rPr>
            </w:pPr>
            <w:r w:rsidRPr="0071782F">
              <w:rPr>
                <w:sz w:val="18"/>
                <w:lang w:val="fr-CH"/>
              </w:rPr>
              <w:t xml:space="preserve">Lait et produits laitiers </w:t>
            </w:r>
          </w:p>
        </w:tc>
        <w:tc>
          <w:tcPr>
            <w:tcW w:w="4113"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225</w:t>
            </w:r>
            <w:r w:rsidR="00A233C2" w:rsidRPr="0071782F">
              <w:rPr>
                <w:sz w:val="18"/>
                <w:lang w:val="fr-CH"/>
              </w:rPr>
              <w:t>-</w:t>
            </w:r>
            <w:r w:rsidRPr="0071782F">
              <w:rPr>
                <w:sz w:val="18"/>
                <w:lang w:val="fr-CH"/>
              </w:rPr>
              <w:t>240</w:t>
            </w:r>
          </w:p>
        </w:tc>
      </w:tr>
      <w:tr w:rsidR="008A7415" w:rsidRPr="0071782F">
        <w:tc>
          <w:tcPr>
            <w:tcW w:w="4055" w:type="dxa"/>
            <w:shd w:val="clear" w:color="auto" w:fill="auto"/>
          </w:tcPr>
          <w:p w:rsidR="008A7415" w:rsidRPr="0071782F" w:rsidRDefault="00836D3A" w:rsidP="00A233C2">
            <w:pPr>
              <w:suppressAutoHyphens w:val="0"/>
              <w:spacing w:before="40" w:after="40" w:line="220" w:lineRule="exact"/>
              <w:rPr>
                <w:sz w:val="18"/>
                <w:lang w:val="fr-CH"/>
              </w:rPr>
            </w:pPr>
            <w:r w:rsidRPr="0071782F">
              <w:rPr>
                <w:sz w:val="18"/>
                <w:lang w:val="fr-CH"/>
              </w:rPr>
              <w:t>Huiles s</w:t>
            </w:r>
            <w:r w:rsidR="008A7415" w:rsidRPr="0071782F">
              <w:rPr>
                <w:sz w:val="18"/>
                <w:lang w:val="fr-CH"/>
              </w:rPr>
              <w:t>olid</w:t>
            </w:r>
            <w:r w:rsidRPr="0071782F">
              <w:rPr>
                <w:sz w:val="18"/>
                <w:lang w:val="fr-CH"/>
              </w:rPr>
              <w:t xml:space="preserve">es et </w:t>
            </w:r>
            <w:r w:rsidR="008A7415" w:rsidRPr="0071782F">
              <w:rPr>
                <w:sz w:val="18"/>
                <w:lang w:val="fr-CH"/>
              </w:rPr>
              <w:t>liquid</w:t>
            </w:r>
            <w:r w:rsidRPr="0071782F">
              <w:rPr>
                <w:sz w:val="18"/>
                <w:lang w:val="fr-CH"/>
              </w:rPr>
              <w:t>es</w:t>
            </w:r>
          </w:p>
        </w:tc>
        <w:tc>
          <w:tcPr>
            <w:tcW w:w="4113"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35</w:t>
            </w:r>
            <w:r w:rsidR="00A233C2" w:rsidRPr="0071782F">
              <w:rPr>
                <w:sz w:val="18"/>
                <w:lang w:val="fr-CH"/>
              </w:rPr>
              <w:t>-</w:t>
            </w:r>
            <w:r w:rsidRPr="0071782F">
              <w:rPr>
                <w:sz w:val="18"/>
                <w:lang w:val="fr-CH"/>
              </w:rPr>
              <w:t>40</w:t>
            </w:r>
          </w:p>
        </w:tc>
      </w:tr>
      <w:tr w:rsidR="008A7415" w:rsidRPr="0071782F">
        <w:tc>
          <w:tcPr>
            <w:tcW w:w="4055" w:type="dxa"/>
            <w:shd w:val="clear" w:color="auto" w:fill="auto"/>
          </w:tcPr>
          <w:p w:rsidR="008A7415" w:rsidRPr="0071782F" w:rsidRDefault="008A7415" w:rsidP="00A233C2">
            <w:pPr>
              <w:suppressAutoHyphens w:val="0"/>
              <w:spacing w:before="40" w:after="40" w:line="220" w:lineRule="exact"/>
              <w:rPr>
                <w:sz w:val="18"/>
                <w:lang w:val="fr-CH"/>
              </w:rPr>
            </w:pPr>
            <w:r w:rsidRPr="0071782F">
              <w:rPr>
                <w:sz w:val="18"/>
                <w:lang w:val="fr-CH"/>
              </w:rPr>
              <w:t>Su</w:t>
            </w:r>
            <w:r w:rsidR="00836D3A" w:rsidRPr="0071782F">
              <w:rPr>
                <w:sz w:val="18"/>
                <w:lang w:val="fr-CH"/>
              </w:rPr>
              <w:t>cre</w:t>
            </w:r>
            <w:r w:rsidRPr="0071782F">
              <w:rPr>
                <w:sz w:val="18"/>
                <w:lang w:val="fr-CH"/>
              </w:rPr>
              <w:t>/</w:t>
            </w:r>
            <w:r w:rsidR="00836D3A" w:rsidRPr="0071782F">
              <w:rPr>
                <w:sz w:val="18"/>
                <w:lang w:val="fr-CH"/>
              </w:rPr>
              <w:t xml:space="preserve">morceaux de sucre </w:t>
            </w:r>
          </w:p>
        </w:tc>
        <w:tc>
          <w:tcPr>
            <w:tcW w:w="4113"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40</w:t>
            </w:r>
            <w:r w:rsidR="00A233C2" w:rsidRPr="0071782F">
              <w:rPr>
                <w:sz w:val="18"/>
                <w:lang w:val="fr-CH"/>
              </w:rPr>
              <w:t>-</w:t>
            </w:r>
            <w:r w:rsidRPr="0071782F">
              <w:rPr>
                <w:sz w:val="18"/>
                <w:lang w:val="fr-CH"/>
              </w:rPr>
              <w:t>50</w:t>
            </w:r>
          </w:p>
        </w:tc>
      </w:tr>
    </w:tbl>
    <w:p w:rsidR="008A7415" w:rsidRPr="0071782F" w:rsidRDefault="008A7415" w:rsidP="00204410">
      <w:pPr>
        <w:pStyle w:val="H23G"/>
        <w:rPr>
          <w:lang w:val="fr-CH"/>
        </w:rPr>
      </w:pPr>
      <w:r w:rsidRPr="0071782F">
        <w:rPr>
          <w:lang w:val="fr-CH"/>
        </w:rPr>
        <w:tab/>
      </w:r>
      <w:r w:rsidRPr="0071782F">
        <w:rPr>
          <w:lang w:val="fr-CH"/>
        </w:rPr>
        <w:tab/>
        <w:t>Pr</w:t>
      </w:r>
      <w:r w:rsidR="00836D3A" w:rsidRPr="0071782F">
        <w:rPr>
          <w:lang w:val="fr-CH"/>
        </w:rPr>
        <w:t xml:space="preserve">évisions concernant la fourniture de produits alimentaires pendant le </w:t>
      </w:r>
      <w:r w:rsidR="00A90208" w:rsidRPr="0071782F">
        <w:rPr>
          <w:lang w:val="fr-CH"/>
        </w:rPr>
        <w:t>quatrième</w:t>
      </w:r>
      <w:r w:rsidR="00836D3A" w:rsidRPr="0071782F">
        <w:rPr>
          <w:lang w:val="fr-CH"/>
        </w:rPr>
        <w:t xml:space="preserve"> plan de développement </w:t>
      </w:r>
      <w:r w:rsidRPr="0071782F">
        <w:rPr>
          <w:lang w:val="fr-CH"/>
        </w:rPr>
        <w:t>(</w:t>
      </w:r>
      <w:r w:rsidR="00836D3A" w:rsidRPr="0071782F">
        <w:rPr>
          <w:lang w:val="fr-CH"/>
        </w:rPr>
        <w:t>en kilogrammes</w:t>
      </w:r>
      <w:r w:rsidRPr="0071782F">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466"/>
        <w:gridCol w:w="984"/>
        <w:gridCol w:w="984"/>
        <w:gridCol w:w="984"/>
        <w:gridCol w:w="984"/>
        <w:gridCol w:w="984"/>
        <w:gridCol w:w="984"/>
      </w:tblGrid>
      <w:tr w:rsidR="008A7415" w:rsidRPr="0071782F">
        <w:trPr>
          <w:tblHeader/>
        </w:trPr>
        <w:tc>
          <w:tcPr>
            <w:tcW w:w="1466" w:type="dxa"/>
            <w:tcBorders>
              <w:top w:val="single" w:sz="4" w:space="0" w:color="auto"/>
              <w:bottom w:val="single" w:sz="12" w:space="0" w:color="auto"/>
            </w:tcBorders>
            <w:shd w:val="clear" w:color="auto" w:fill="auto"/>
            <w:vAlign w:val="bottom"/>
          </w:tcPr>
          <w:p w:rsidR="008A7415" w:rsidRPr="0071782F" w:rsidRDefault="008A7415" w:rsidP="003D43D2">
            <w:pPr>
              <w:keepNext/>
              <w:suppressAutoHyphens w:val="0"/>
              <w:spacing w:before="80" w:after="80" w:line="200" w:lineRule="exact"/>
              <w:rPr>
                <w:i/>
                <w:sz w:val="16"/>
                <w:lang w:val="fr-CH"/>
              </w:rPr>
            </w:pPr>
            <w:r w:rsidRPr="0071782F">
              <w:rPr>
                <w:i/>
                <w:sz w:val="16"/>
                <w:lang w:val="fr-CH"/>
              </w:rPr>
              <w:t>Produ</w:t>
            </w:r>
            <w:r w:rsidR="00836D3A" w:rsidRPr="0071782F">
              <w:rPr>
                <w:i/>
                <w:sz w:val="16"/>
                <w:lang w:val="fr-CH"/>
              </w:rPr>
              <w:t>i</w:t>
            </w:r>
            <w:r w:rsidRPr="0071782F">
              <w:rPr>
                <w:i/>
                <w:sz w:val="16"/>
                <w:lang w:val="fr-CH"/>
              </w:rPr>
              <w:t>t</w:t>
            </w:r>
          </w:p>
        </w:tc>
        <w:tc>
          <w:tcPr>
            <w:tcW w:w="984" w:type="dxa"/>
            <w:tcBorders>
              <w:top w:val="single" w:sz="4" w:space="0" w:color="auto"/>
              <w:bottom w:val="single" w:sz="12" w:space="0" w:color="auto"/>
            </w:tcBorders>
            <w:shd w:val="clear" w:color="auto" w:fill="auto"/>
            <w:vAlign w:val="bottom"/>
          </w:tcPr>
          <w:p w:rsidR="008A7415" w:rsidRPr="0071782F" w:rsidRDefault="008A7415" w:rsidP="003D43D2">
            <w:pPr>
              <w:keepNext/>
              <w:suppressAutoHyphens w:val="0"/>
              <w:spacing w:before="80" w:after="80" w:line="200" w:lineRule="exact"/>
              <w:jc w:val="right"/>
              <w:rPr>
                <w:i/>
                <w:sz w:val="16"/>
                <w:lang w:val="fr-CH"/>
              </w:rPr>
            </w:pPr>
            <w:r w:rsidRPr="0071782F">
              <w:rPr>
                <w:i/>
                <w:sz w:val="16"/>
                <w:lang w:val="fr-CH"/>
              </w:rPr>
              <w:t>2004</w:t>
            </w:r>
          </w:p>
        </w:tc>
        <w:tc>
          <w:tcPr>
            <w:tcW w:w="984" w:type="dxa"/>
            <w:tcBorders>
              <w:top w:val="single" w:sz="4" w:space="0" w:color="auto"/>
              <w:bottom w:val="single" w:sz="12" w:space="0" w:color="auto"/>
            </w:tcBorders>
            <w:shd w:val="clear" w:color="auto" w:fill="auto"/>
            <w:vAlign w:val="bottom"/>
          </w:tcPr>
          <w:p w:rsidR="008A7415" w:rsidRPr="0071782F" w:rsidRDefault="008A7415" w:rsidP="003D43D2">
            <w:pPr>
              <w:keepNext/>
              <w:suppressAutoHyphens w:val="0"/>
              <w:spacing w:before="80" w:after="80" w:line="200" w:lineRule="exact"/>
              <w:jc w:val="right"/>
              <w:rPr>
                <w:i/>
                <w:sz w:val="16"/>
                <w:lang w:val="fr-CH"/>
              </w:rPr>
            </w:pPr>
            <w:r w:rsidRPr="0071782F">
              <w:rPr>
                <w:i/>
                <w:sz w:val="16"/>
                <w:lang w:val="fr-CH"/>
              </w:rPr>
              <w:t>2005</w:t>
            </w:r>
          </w:p>
        </w:tc>
        <w:tc>
          <w:tcPr>
            <w:tcW w:w="984" w:type="dxa"/>
            <w:tcBorders>
              <w:top w:val="single" w:sz="4" w:space="0" w:color="auto"/>
              <w:bottom w:val="single" w:sz="12" w:space="0" w:color="auto"/>
            </w:tcBorders>
            <w:shd w:val="clear" w:color="auto" w:fill="auto"/>
            <w:vAlign w:val="bottom"/>
          </w:tcPr>
          <w:p w:rsidR="008A7415" w:rsidRPr="0071782F" w:rsidRDefault="008A7415" w:rsidP="003D43D2">
            <w:pPr>
              <w:keepNext/>
              <w:suppressAutoHyphens w:val="0"/>
              <w:spacing w:before="80" w:after="80" w:line="200" w:lineRule="exact"/>
              <w:jc w:val="right"/>
              <w:rPr>
                <w:i/>
                <w:sz w:val="16"/>
                <w:lang w:val="fr-CH"/>
              </w:rPr>
            </w:pPr>
            <w:r w:rsidRPr="0071782F">
              <w:rPr>
                <w:i/>
                <w:sz w:val="16"/>
                <w:lang w:val="fr-CH"/>
              </w:rPr>
              <w:t>2006</w:t>
            </w:r>
          </w:p>
        </w:tc>
        <w:tc>
          <w:tcPr>
            <w:tcW w:w="984" w:type="dxa"/>
            <w:tcBorders>
              <w:top w:val="single" w:sz="4" w:space="0" w:color="auto"/>
              <w:bottom w:val="single" w:sz="12" w:space="0" w:color="auto"/>
            </w:tcBorders>
            <w:shd w:val="clear" w:color="auto" w:fill="auto"/>
            <w:vAlign w:val="bottom"/>
          </w:tcPr>
          <w:p w:rsidR="008A7415" w:rsidRPr="0071782F" w:rsidRDefault="008A7415" w:rsidP="003D43D2">
            <w:pPr>
              <w:keepNext/>
              <w:suppressAutoHyphens w:val="0"/>
              <w:spacing w:before="80" w:after="80" w:line="200" w:lineRule="exact"/>
              <w:jc w:val="right"/>
              <w:rPr>
                <w:i/>
                <w:sz w:val="16"/>
                <w:lang w:val="fr-CH"/>
              </w:rPr>
            </w:pPr>
            <w:r w:rsidRPr="0071782F">
              <w:rPr>
                <w:i/>
                <w:sz w:val="16"/>
                <w:lang w:val="fr-CH"/>
              </w:rPr>
              <w:t>2007</w:t>
            </w:r>
          </w:p>
        </w:tc>
        <w:tc>
          <w:tcPr>
            <w:tcW w:w="984" w:type="dxa"/>
            <w:tcBorders>
              <w:top w:val="single" w:sz="4" w:space="0" w:color="auto"/>
              <w:bottom w:val="single" w:sz="12" w:space="0" w:color="auto"/>
            </w:tcBorders>
            <w:shd w:val="clear" w:color="auto" w:fill="auto"/>
            <w:vAlign w:val="bottom"/>
          </w:tcPr>
          <w:p w:rsidR="008A7415" w:rsidRPr="0071782F" w:rsidRDefault="008A7415" w:rsidP="003D43D2">
            <w:pPr>
              <w:keepNext/>
              <w:suppressAutoHyphens w:val="0"/>
              <w:spacing w:before="80" w:after="80" w:line="200" w:lineRule="exact"/>
              <w:jc w:val="right"/>
              <w:rPr>
                <w:i/>
                <w:sz w:val="16"/>
                <w:lang w:val="fr-CH"/>
              </w:rPr>
            </w:pPr>
            <w:r w:rsidRPr="0071782F">
              <w:rPr>
                <w:i/>
                <w:sz w:val="16"/>
                <w:lang w:val="fr-CH"/>
              </w:rPr>
              <w:t>2008</w:t>
            </w:r>
          </w:p>
        </w:tc>
        <w:tc>
          <w:tcPr>
            <w:tcW w:w="984" w:type="dxa"/>
            <w:tcBorders>
              <w:top w:val="single" w:sz="4" w:space="0" w:color="auto"/>
              <w:bottom w:val="single" w:sz="12" w:space="0" w:color="auto"/>
            </w:tcBorders>
            <w:shd w:val="clear" w:color="auto" w:fill="auto"/>
            <w:vAlign w:val="bottom"/>
          </w:tcPr>
          <w:p w:rsidR="008A7415" w:rsidRPr="0071782F" w:rsidRDefault="008A7415" w:rsidP="003D43D2">
            <w:pPr>
              <w:keepNext/>
              <w:suppressAutoHyphens w:val="0"/>
              <w:spacing w:before="80" w:after="80" w:line="200" w:lineRule="exact"/>
              <w:jc w:val="right"/>
              <w:rPr>
                <w:i/>
                <w:sz w:val="16"/>
                <w:lang w:val="fr-CH"/>
              </w:rPr>
            </w:pPr>
            <w:r w:rsidRPr="0071782F">
              <w:rPr>
                <w:i/>
                <w:sz w:val="16"/>
                <w:lang w:val="fr-CH"/>
              </w:rPr>
              <w:t>2009</w:t>
            </w:r>
          </w:p>
        </w:tc>
      </w:tr>
      <w:tr w:rsidR="008A7415" w:rsidRPr="0071782F">
        <w:tc>
          <w:tcPr>
            <w:tcW w:w="1466" w:type="dxa"/>
            <w:tcBorders>
              <w:top w:val="single" w:sz="12" w:space="0" w:color="auto"/>
            </w:tcBorders>
            <w:shd w:val="clear" w:color="auto" w:fill="auto"/>
          </w:tcPr>
          <w:p w:rsidR="008A7415" w:rsidRPr="0071782F" w:rsidRDefault="00836D3A" w:rsidP="003D43D2">
            <w:pPr>
              <w:keepNext/>
              <w:suppressAutoHyphens w:val="0"/>
              <w:spacing w:before="40" w:after="40" w:line="220" w:lineRule="exact"/>
              <w:rPr>
                <w:sz w:val="18"/>
                <w:lang w:val="fr-CH"/>
              </w:rPr>
            </w:pPr>
            <w:r w:rsidRPr="0071782F">
              <w:rPr>
                <w:sz w:val="18"/>
                <w:lang w:val="fr-CH"/>
              </w:rPr>
              <w:t xml:space="preserve">Blé </w:t>
            </w:r>
            <w:r w:rsidR="008A7415" w:rsidRPr="0071782F">
              <w:rPr>
                <w:sz w:val="18"/>
                <w:lang w:val="fr-CH"/>
              </w:rPr>
              <w:t>(f</w:t>
            </w:r>
            <w:r w:rsidRPr="0071782F">
              <w:rPr>
                <w:sz w:val="18"/>
                <w:lang w:val="fr-CH"/>
              </w:rPr>
              <w:t>arine</w:t>
            </w:r>
            <w:r w:rsidR="008A7415" w:rsidRPr="0071782F">
              <w:rPr>
                <w:sz w:val="18"/>
                <w:lang w:val="fr-CH"/>
              </w:rPr>
              <w:t>)</w:t>
            </w:r>
          </w:p>
        </w:tc>
        <w:tc>
          <w:tcPr>
            <w:tcW w:w="984" w:type="dxa"/>
            <w:tcBorders>
              <w:top w:val="single" w:sz="12" w:space="0" w:color="auto"/>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160/2</w:t>
            </w:r>
          </w:p>
        </w:tc>
        <w:tc>
          <w:tcPr>
            <w:tcW w:w="984" w:type="dxa"/>
            <w:tcBorders>
              <w:top w:val="single" w:sz="12" w:space="0" w:color="auto"/>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158/5</w:t>
            </w:r>
          </w:p>
        </w:tc>
        <w:tc>
          <w:tcPr>
            <w:tcW w:w="984" w:type="dxa"/>
            <w:tcBorders>
              <w:top w:val="single" w:sz="12" w:space="0" w:color="auto"/>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156/8</w:t>
            </w:r>
          </w:p>
        </w:tc>
        <w:tc>
          <w:tcPr>
            <w:tcW w:w="984" w:type="dxa"/>
            <w:tcBorders>
              <w:top w:val="single" w:sz="12" w:space="0" w:color="auto"/>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155/2</w:t>
            </w:r>
          </w:p>
        </w:tc>
        <w:tc>
          <w:tcPr>
            <w:tcW w:w="984" w:type="dxa"/>
            <w:tcBorders>
              <w:top w:val="single" w:sz="12" w:space="0" w:color="auto"/>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153/5</w:t>
            </w:r>
          </w:p>
        </w:tc>
        <w:tc>
          <w:tcPr>
            <w:tcW w:w="984" w:type="dxa"/>
            <w:tcBorders>
              <w:top w:val="single" w:sz="12" w:space="0" w:color="auto"/>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151/9</w:t>
            </w:r>
          </w:p>
        </w:tc>
      </w:tr>
      <w:tr w:rsidR="008A7415" w:rsidRPr="0071782F">
        <w:tc>
          <w:tcPr>
            <w:tcW w:w="1466" w:type="dxa"/>
            <w:shd w:val="clear" w:color="auto" w:fill="auto"/>
          </w:tcPr>
          <w:p w:rsidR="008A7415" w:rsidRPr="0071782F" w:rsidRDefault="00836D3A" w:rsidP="003D43D2">
            <w:pPr>
              <w:keepNext/>
              <w:suppressAutoHyphens w:val="0"/>
              <w:spacing w:before="40" w:after="40" w:line="220" w:lineRule="exact"/>
              <w:rPr>
                <w:sz w:val="18"/>
                <w:lang w:val="fr-CH"/>
              </w:rPr>
            </w:pPr>
            <w:r w:rsidRPr="0071782F">
              <w:rPr>
                <w:sz w:val="18"/>
                <w:lang w:val="fr-CH"/>
              </w:rPr>
              <w:t>Riz</w:t>
            </w:r>
          </w:p>
        </w:tc>
        <w:tc>
          <w:tcPr>
            <w:tcW w:w="984" w:type="dxa"/>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37/0</w:t>
            </w:r>
          </w:p>
        </w:tc>
        <w:tc>
          <w:tcPr>
            <w:tcW w:w="984" w:type="dxa"/>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36/9</w:t>
            </w:r>
          </w:p>
        </w:tc>
        <w:tc>
          <w:tcPr>
            <w:tcW w:w="984" w:type="dxa"/>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36/7</w:t>
            </w:r>
          </w:p>
        </w:tc>
        <w:tc>
          <w:tcPr>
            <w:tcW w:w="984" w:type="dxa"/>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36/6</w:t>
            </w:r>
          </w:p>
        </w:tc>
        <w:tc>
          <w:tcPr>
            <w:tcW w:w="984" w:type="dxa"/>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36/5</w:t>
            </w:r>
          </w:p>
        </w:tc>
        <w:tc>
          <w:tcPr>
            <w:tcW w:w="984" w:type="dxa"/>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36/4</w:t>
            </w:r>
          </w:p>
        </w:tc>
      </w:tr>
      <w:tr w:rsidR="008A7415" w:rsidRPr="0071782F">
        <w:tc>
          <w:tcPr>
            <w:tcW w:w="1466" w:type="dxa"/>
            <w:tcBorders>
              <w:bottom w:val="nil"/>
            </w:tcBorders>
            <w:shd w:val="clear" w:color="auto" w:fill="auto"/>
          </w:tcPr>
          <w:p w:rsidR="008A7415" w:rsidRPr="0071782F" w:rsidRDefault="008A7415" w:rsidP="003D43D2">
            <w:pPr>
              <w:keepNext/>
              <w:suppressAutoHyphens w:val="0"/>
              <w:spacing w:before="40" w:after="40" w:line="220" w:lineRule="exact"/>
              <w:rPr>
                <w:sz w:val="18"/>
                <w:lang w:val="fr-CH"/>
              </w:rPr>
            </w:pPr>
            <w:r w:rsidRPr="0071782F">
              <w:rPr>
                <w:sz w:val="18"/>
                <w:lang w:val="fr-CH"/>
              </w:rPr>
              <w:t>Po</w:t>
            </w:r>
            <w:r w:rsidR="00836D3A" w:rsidRPr="0071782F">
              <w:rPr>
                <w:sz w:val="18"/>
                <w:lang w:val="fr-CH"/>
              </w:rPr>
              <w:t>mmes de terre</w:t>
            </w:r>
          </w:p>
        </w:tc>
        <w:tc>
          <w:tcPr>
            <w:tcW w:w="984" w:type="dxa"/>
            <w:tcBorders>
              <w:bottom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40</w:t>
            </w:r>
          </w:p>
        </w:tc>
        <w:tc>
          <w:tcPr>
            <w:tcW w:w="984" w:type="dxa"/>
            <w:tcBorders>
              <w:bottom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40/3</w:t>
            </w:r>
          </w:p>
        </w:tc>
        <w:tc>
          <w:tcPr>
            <w:tcW w:w="984" w:type="dxa"/>
            <w:tcBorders>
              <w:bottom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40/6</w:t>
            </w:r>
          </w:p>
        </w:tc>
        <w:tc>
          <w:tcPr>
            <w:tcW w:w="984" w:type="dxa"/>
            <w:tcBorders>
              <w:bottom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40/8</w:t>
            </w:r>
          </w:p>
        </w:tc>
        <w:tc>
          <w:tcPr>
            <w:tcW w:w="984" w:type="dxa"/>
            <w:tcBorders>
              <w:bottom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41/1</w:t>
            </w:r>
          </w:p>
        </w:tc>
        <w:tc>
          <w:tcPr>
            <w:tcW w:w="984" w:type="dxa"/>
            <w:tcBorders>
              <w:bottom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41/4</w:t>
            </w:r>
          </w:p>
        </w:tc>
      </w:tr>
      <w:tr w:rsidR="008A7415" w:rsidRPr="0071782F">
        <w:tc>
          <w:tcPr>
            <w:tcW w:w="1466" w:type="dxa"/>
            <w:tcBorders>
              <w:top w:val="nil"/>
              <w:bottom w:val="nil"/>
            </w:tcBorders>
            <w:shd w:val="clear" w:color="auto" w:fill="auto"/>
          </w:tcPr>
          <w:p w:rsidR="008A7415" w:rsidRPr="0071782F" w:rsidRDefault="008A7415" w:rsidP="003D43D2">
            <w:pPr>
              <w:keepNext/>
              <w:suppressAutoHyphens w:val="0"/>
              <w:spacing w:before="40" w:after="40" w:line="220" w:lineRule="exact"/>
              <w:rPr>
                <w:sz w:val="18"/>
                <w:lang w:val="fr-CH"/>
              </w:rPr>
            </w:pPr>
            <w:r w:rsidRPr="0071782F">
              <w:rPr>
                <w:sz w:val="18"/>
                <w:lang w:val="fr-CH"/>
              </w:rPr>
              <w:t>C</w:t>
            </w:r>
            <w:r w:rsidR="00836D3A" w:rsidRPr="0071782F">
              <w:rPr>
                <w:sz w:val="18"/>
                <w:lang w:val="fr-CH"/>
              </w:rPr>
              <w:t>é</w:t>
            </w:r>
            <w:r w:rsidRPr="0071782F">
              <w:rPr>
                <w:sz w:val="18"/>
                <w:lang w:val="fr-CH"/>
              </w:rPr>
              <w:t>r</w:t>
            </w:r>
            <w:r w:rsidR="00836D3A" w:rsidRPr="0071782F">
              <w:rPr>
                <w:sz w:val="18"/>
                <w:lang w:val="fr-CH"/>
              </w:rPr>
              <w:t>é</w:t>
            </w:r>
            <w:r w:rsidRPr="0071782F">
              <w:rPr>
                <w:sz w:val="18"/>
                <w:lang w:val="fr-CH"/>
              </w:rPr>
              <w:t>al</w:t>
            </w:r>
            <w:r w:rsidR="00A97A11" w:rsidRPr="0071782F">
              <w:rPr>
                <w:sz w:val="18"/>
                <w:lang w:val="fr-CH"/>
              </w:rPr>
              <w:t>e</w:t>
            </w:r>
            <w:r w:rsidRPr="0071782F">
              <w:rPr>
                <w:sz w:val="18"/>
                <w:lang w:val="fr-CH"/>
              </w:rPr>
              <w:t>s</w:t>
            </w:r>
          </w:p>
        </w:tc>
        <w:tc>
          <w:tcPr>
            <w:tcW w:w="984" w:type="dxa"/>
            <w:tcBorders>
              <w:top w:val="nil"/>
              <w:bottom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7</w:t>
            </w:r>
          </w:p>
        </w:tc>
        <w:tc>
          <w:tcPr>
            <w:tcW w:w="984" w:type="dxa"/>
            <w:tcBorders>
              <w:top w:val="nil"/>
              <w:bottom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7/1</w:t>
            </w:r>
          </w:p>
        </w:tc>
        <w:tc>
          <w:tcPr>
            <w:tcW w:w="984" w:type="dxa"/>
            <w:tcBorders>
              <w:top w:val="nil"/>
              <w:bottom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7/3</w:t>
            </w:r>
          </w:p>
        </w:tc>
        <w:tc>
          <w:tcPr>
            <w:tcW w:w="984" w:type="dxa"/>
            <w:tcBorders>
              <w:top w:val="nil"/>
              <w:bottom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7/5</w:t>
            </w:r>
          </w:p>
        </w:tc>
        <w:tc>
          <w:tcPr>
            <w:tcW w:w="984" w:type="dxa"/>
            <w:tcBorders>
              <w:top w:val="nil"/>
              <w:bottom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7/6</w:t>
            </w:r>
          </w:p>
        </w:tc>
        <w:tc>
          <w:tcPr>
            <w:tcW w:w="984" w:type="dxa"/>
            <w:tcBorders>
              <w:top w:val="nil"/>
              <w:bottom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7/8</w:t>
            </w:r>
          </w:p>
        </w:tc>
      </w:tr>
      <w:tr w:rsidR="008A7415" w:rsidRPr="0071782F">
        <w:tc>
          <w:tcPr>
            <w:tcW w:w="1466" w:type="dxa"/>
            <w:tcBorders>
              <w:top w:val="nil"/>
            </w:tcBorders>
            <w:shd w:val="clear" w:color="auto" w:fill="auto"/>
          </w:tcPr>
          <w:p w:rsidR="008A7415" w:rsidRPr="0071782F" w:rsidRDefault="008A7415" w:rsidP="003D43D2">
            <w:pPr>
              <w:keepNext/>
              <w:suppressAutoHyphens w:val="0"/>
              <w:spacing w:before="40" w:after="40" w:line="220" w:lineRule="exact"/>
              <w:rPr>
                <w:sz w:val="18"/>
                <w:lang w:val="fr-CH"/>
              </w:rPr>
            </w:pPr>
            <w:r w:rsidRPr="0071782F">
              <w:rPr>
                <w:sz w:val="18"/>
                <w:lang w:val="fr-CH"/>
              </w:rPr>
              <w:t>Su</w:t>
            </w:r>
            <w:r w:rsidR="00A97A11" w:rsidRPr="0071782F">
              <w:rPr>
                <w:sz w:val="18"/>
                <w:lang w:val="fr-CH"/>
              </w:rPr>
              <w:t>cre</w:t>
            </w:r>
          </w:p>
        </w:tc>
        <w:tc>
          <w:tcPr>
            <w:tcW w:w="984" w:type="dxa"/>
            <w:tcBorders>
              <w:top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26</w:t>
            </w:r>
          </w:p>
        </w:tc>
        <w:tc>
          <w:tcPr>
            <w:tcW w:w="984" w:type="dxa"/>
            <w:tcBorders>
              <w:top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25/8</w:t>
            </w:r>
          </w:p>
        </w:tc>
        <w:tc>
          <w:tcPr>
            <w:tcW w:w="984" w:type="dxa"/>
            <w:tcBorders>
              <w:top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25/6</w:t>
            </w:r>
          </w:p>
        </w:tc>
        <w:tc>
          <w:tcPr>
            <w:tcW w:w="984" w:type="dxa"/>
            <w:tcBorders>
              <w:top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25/4</w:t>
            </w:r>
          </w:p>
        </w:tc>
        <w:tc>
          <w:tcPr>
            <w:tcW w:w="984" w:type="dxa"/>
            <w:tcBorders>
              <w:top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25/3</w:t>
            </w:r>
          </w:p>
        </w:tc>
        <w:tc>
          <w:tcPr>
            <w:tcW w:w="984" w:type="dxa"/>
            <w:tcBorders>
              <w:top w:val="nil"/>
            </w:tcBorders>
            <w:shd w:val="clear" w:color="auto" w:fill="auto"/>
            <w:vAlign w:val="bottom"/>
          </w:tcPr>
          <w:p w:rsidR="008A7415" w:rsidRPr="0071782F" w:rsidRDefault="008A7415" w:rsidP="003D43D2">
            <w:pPr>
              <w:keepNext/>
              <w:suppressAutoHyphens w:val="0"/>
              <w:spacing w:before="40" w:after="40" w:line="220" w:lineRule="exact"/>
              <w:jc w:val="right"/>
              <w:rPr>
                <w:sz w:val="18"/>
                <w:lang w:val="fr-CH"/>
              </w:rPr>
            </w:pPr>
            <w:r w:rsidRPr="0071782F">
              <w:rPr>
                <w:sz w:val="18"/>
                <w:lang w:val="fr-CH"/>
              </w:rPr>
              <w:t>25/1</w:t>
            </w:r>
          </w:p>
        </w:tc>
      </w:tr>
      <w:tr w:rsidR="008A7415" w:rsidRPr="0071782F">
        <w:tc>
          <w:tcPr>
            <w:tcW w:w="1466" w:type="dxa"/>
            <w:shd w:val="clear" w:color="auto" w:fill="auto"/>
          </w:tcPr>
          <w:p w:rsidR="008A7415" w:rsidRPr="0071782F" w:rsidRDefault="008A7415" w:rsidP="00A233C2">
            <w:pPr>
              <w:suppressAutoHyphens w:val="0"/>
              <w:spacing w:before="40" w:after="40" w:line="220" w:lineRule="exact"/>
              <w:rPr>
                <w:sz w:val="18"/>
                <w:lang w:val="fr-CH"/>
              </w:rPr>
            </w:pPr>
            <w:r w:rsidRPr="0071782F">
              <w:rPr>
                <w:sz w:val="18"/>
                <w:lang w:val="fr-CH"/>
              </w:rPr>
              <w:t>O</w:t>
            </w:r>
            <w:r w:rsidR="00A97A11" w:rsidRPr="0071782F">
              <w:rPr>
                <w:sz w:val="18"/>
                <w:lang w:val="fr-CH"/>
              </w:rPr>
              <w:t xml:space="preserve">ignons </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17</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17/1</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17/1</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17/2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17/2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17/3</w:t>
            </w:r>
          </w:p>
        </w:tc>
      </w:tr>
      <w:tr w:rsidR="008A7415" w:rsidRPr="0071782F">
        <w:tc>
          <w:tcPr>
            <w:tcW w:w="1466" w:type="dxa"/>
            <w:shd w:val="clear" w:color="auto" w:fill="auto"/>
          </w:tcPr>
          <w:p w:rsidR="008A7415" w:rsidRPr="0071782F" w:rsidRDefault="00A97A11" w:rsidP="00A233C2">
            <w:pPr>
              <w:suppressAutoHyphens w:val="0"/>
              <w:spacing w:before="40" w:after="40" w:line="220" w:lineRule="exact"/>
              <w:rPr>
                <w:sz w:val="18"/>
                <w:lang w:val="fr-CH"/>
              </w:rPr>
            </w:pPr>
            <w:r w:rsidRPr="0071782F">
              <w:rPr>
                <w:sz w:val="18"/>
                <w:lang w:val="fr-CH"/>
              </w:rPr>
              <w:t xml:space="preserve">Cultures d’été </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90</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90/3</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90/6</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90/9</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91/2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91/4</w:t>
            </w:r>
          </w:p>
        </w:tc>
      </w:tr>
      <w:tr w:rsidR="008A7415" w:rsidRPr="0071782F">
        <w:tc>
          <w:tcPr>
            <w:tcW w:w="1466" w:type="dxa"/>
            <w:shd w:val="clear" w:color="auto" w:fill="auto"/>
          </w:tcPr>
          <w:p w:rsidR="008A7415" w:rsidRPr="0071782F" w:rsidRDefault="00A97A11" w:rsidP="00A233C2">
            <w:pPr>
              <w:suppressAutoHyphens w:val="0"/>
              <w:spacing w:before="40" w:after="40" w:line="220" w:lineRule="exact"/>
              <w:rPr>
                <w:sz w:val="18"/>
                <w:lang w:val="fr-CH"/>
              </w:rPr>
            </w:pPr>
            <w:r w:rsidRPr="0071782F">
              <w:rPr>
                <w:sz w:val="18"/>
                <w:lang w:val="fr-CH"/>
              </w:rPr>
              <w:t xml:space="preserve">Légumes frais </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40</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40/3</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40/6</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40/8</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41/1</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41/4</w:t>
            </w:r>
          </w:p>
        </w:tc>
      </w:tr>
      <w:tr w:rsidR="008A7415" w:rsidRPr="0071782F">
        <w:tc>
          <w:tcPr>
            <w:tcW w:w="1466" w:type="dxa"/>
            <w:shd w:val="clear" w:color="auto" w:fill="auto"/>
          </w:tcPr>
          <w:p w:rsidR="008A7415" w:rsidRPr="0071782F" w:rsidRDefault="00A97A11" w:rsidP="00A233C2">
            <w:pPr>
              <w:suppressAutoHyphens w:val="0"/>
              <w:spacing w:before="40" w:after="40" w:line="220" w:lineRule="exact"/>
              <w:rPr>
                <w:sz w:val="18"/>
                <w:lang w:val="fr-CH"/>
              </w:rPr>
            </w:pPr>
            <w:r w:rsidRPr="0071782F">
              <w:rPr>
                <w:sz w:val="18"/>
                <w:lang w:val="fr-CH"/>
              </w:rPr>
              <w:t>Pommes</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25</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25/2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25/3</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25/5</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25/7</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25/8</w:t>
            </w:r>
          </w:p>
        </w:tc>
      </w:tr>
      <w:tr w:rsidR="008A7415" w:rsidRPr="0071782F">
        <w:tc>
          <w:tcPr>
            <w:tcW w:w="1466" w:type="dxa"/>
            <w:shd w:val="clear" w:color="auto" w:fill="auto"/>
          </w:tcPr>
          <w:p w:rsidR="008A7415" w:rsidRPr="0071782F" w:rsidRDefault="00A97A11" w:rsidP="00A233C2">
            <w:pPr>
              <w:suppressAutoHyphens w:val="0"/>
              <w:spacing w:before="40" w:after="40" w:line="220" w:lineRule="exact"/>
              <w:rPr>
                <w:sz w:val="18"/>
                <w:lang w:val="fr-CH"/>
              </w:rPr>
            </w:pPr>
            <w:r w:rsidRPr="0071782F">
              <w:rPr>
                <w:sz w:val="18"/>
                <w:lang w:val="fr-CH"/>
              </w:rPr>
              <w:t>Agrumes</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42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42/1</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42/1</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42/2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42/2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42/3</w:t>
            </w:r>
          </w:p>
        </w:tc>
      </w:tr>
      <w:tr w:rsidR="008A7415" w:rsidRPr="0071782F">
        <w:tc>
          <w:tcPr>
            <w:tcW w:w="1466" w:type="dxa"/>
            <w:shd w:val="clear" w:color="auto" w:fill="auto"/>
          </w:tcPr>
          <w:p w:rsidR="008A7415" w:rsidRPr="0071782F" w:rsidRDefault="00A97A11" w:rsidP="00A233C2">
            <w:pPr>
              <w:suppressAutoHyphens w:val="0"/>
              <w:spacing w:before="40" w:after="40" w:line="220" w:lineRule="exact"/>
              <w:rPr>
                <w:sz w:val="18"/>
                <w:lang w:val="fr-CH"/>
              </w:rPr>
            </w:pPr>
            <w:r w:rsidRPr="0071782F">
              <w:rPr>
                <w:sz w:val="18"/>
                <w:lang w:val="fr-CH"/>
              </w:rPr>
              <w:t>Raisin</w:t>
            </w:r>
          </w:p>
        </w:tc>
        <w:tc>
          <w:tcPr>
            <w:tcW w:w="984" w:type="dxa"/>
            <w:shd w:val="clear" w:color="auto" w:fill="auto"/>
          </w:tcPr>
          <w:p w:rsidR="008A7415" w:rsidRPr="0071782F" w:rsidRDefault="008A7415" w:rsidP="00A233C2">
            <w:pPr>
              <w:suppressAutoHyphens w:val="0"/>
              <w:spacing w:before="40" w:after="40" w:line="220" w:lineRule="exact"/>
              <w:jc w:val="right"/>
              <w:rPr>
                <w:sz w:val="18"/>
                <w:lang w:val="fr-CH"/>
              </w:rPr>
            </w:pPr>
            <w:r w:rsidRPr="0071782F">
              <w:rPr>
                <w:sz w:val="18"/>
                <w:lang w:val="fr-CH"/>
              </w:rPr>
              <w:t>21</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21/1</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21/1</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21/2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21/2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21/3</w:t>
            </w:r>
          </w:p>
        </w:tc>
      </w:tr>
      <w:tr w:rsidR="008A7415" w:rsidRPr="0071782F">
        <w:tc>
          <w:tcPr>
            <w:tcW w:w="1466" w:type="dxa"/>
            <w:shd w:val="clear" w:color="auto" w:fill="auto"/>
          </w:tcPr>
          <w:p w:rsidR="008A7415" w:rsidRPr="0071782F" w:rsidRDefault="008A7415" w:rsidP="00A233C2">
            <w:pPr>
              <w:suppressAutoHyphens w:val="0"/>
              <w:spacing w:before="40" w:after="40" w:line="220" w:lineRule="exact"/>
              <w:rPr>
                <w:sz w:val="18"/>
                <w:lang w:val="fr-CH"/>
              </w:rPr>
            </w:pPr>
            <w:r w:rsidRPr="0071782F">
              <w:rPr>
                <w:sz w:val="18"/>
                <w:lang w:val="fr-CH"/>
              </w:rPr>
              <w:t>Dat</w:t>
            </w:r>
            <w:r w:rsidR="0040593F" w:rsidRPr="0071782F">
              <w:rPr>
                <w:sz w:val="18"/>
                <w:lang w:val="fr-CH"/>
              </w:rPr>
              <w:t>t</w:t>
            </w:r>
            <w:r w:rsidRPr="0071782F">
              <w:rPr>
                <w:sz w:val="18"/>
                <w:lang w:val="fr-CH"/>
              </w:rPr>
              <w:t>e</w:t>
            </w:r>
            <w:r w:rsidR="00A97A11" w:rsidRPr="0071782F">
              <w:rPr>
                <w:sz w:val="18"/>
                <w:lang w:val="fr-CH"/>
              </w:rPr>
              <w:t>s</w:t>
            </w:r>
          </w:p>
        </w:tc>
        <w:tc>
          <w:tcPr>
            <w:tcW w:w="984" w:type="dxa"/>
            <w:shd w:val="clear" w:color="auto" w:fill="auto"/>
          </w:tcPr>
          <w:p w:rsidR="008A7415" w:rsidRPr="0071782F" w:rsidRDefault="008A7415" w:rsidP="00A233C2">
            <w:pPr>
              <w:suppressAutoHyphens w:val="0"/>
              <w:spacing w:before="40" w:after="40" w:line="220" w:lineRule="exact"/>
              <w:jc w:val="right"/>
              <w:rPr>
                <w:sz w:val="18"/>
                <w:lang w:val="fr-CH"/>
              </w:rPr>
            </w:pPr>
            <w:r w:rsidRPr="0071782F">
              <w:rPr>
                <w:sz w:val="18"/>
                <w:lang w:val="fr-CH"/>
              </w:rPr>
              <w:t>10</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10/0</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10/0</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10/0</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10/0</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10/0</w:t>
            </w:r>
          </w:p>
        </w:tc>
      </w:tr>
      <w:tr w:rsidR="008A7415" w:rsidRPr="0071782F">
        <w:tc>
          <w:tcPr>
            <w:tcW w:w="1466" w:type="dxa"/>
            <w:shd w:val="clear" w:color="auto" w:fill="auto"/>
          </w:tcPr>
          <w:p w:rsidR="008A7415" w:rsidRPr="0071782F" w:rsidRDefault="00A97A11" w:rsidP="00A233C2">
            <w:pPr>
              <w:suppressAutoHyphens w:val="0"/>
              <w:spacing w:before="40" w:after="40" w:line="220" w:lineRule="exact"/>
              <w:rPr>
                <w:sz w:val="18"/>
                <w:lang w:val="fr-CH"/>
              </w:rPr>
            </w:pPr>
            <w:r w:rsidRPr="0071782F">
              <w:rPr>
                <w:sz w:val="18"/>
                <w:lang w:val="fr-CH"/>
              </w:rPr>
              <w:t>Grenad</w:t>
            </w:r>
            <w:r w:rsidR="008A7415" w:rsidRPr="0071782F">
              <w:rPr>
                <w:sz w:val="18"/>
                <w:lang w:val="fr-CH"/>
              </w:rPr>
              <w:t>e</w:t>
            </w:r>
            <w:r w:rsidRPr="0071782F">
              <w:rPr>
                <w:sz w:val="18"/>
                <w:lang w:val="fr-CH"/>
              </w:rPr>
              <w:t>s</w:t>
            </w:r>
          </w:p>
        </w:tc>
        <w:tc>
          <w:tcPr>
            <w:tcW w:w="984" w:type="dxa"/>
            <w:shd w:val="clear" w:color="auto" w:fill="auto"/>
          </w:tcPr>
          <w:p w:rsidR="008A7415" w:rsidRPr="0071782F" w:rsidRDefault="008A7415" w:rsidP="00A233C2">
            <w:pPr>
              <w:suppressAutoHyphens w:val="0"/>
              <w:spacing w:before="40" w:after="40" w:line="220" w:lineRule="exact"/>
              <w:jc w:val="right"/>
              <w:rPr>
                <w:sz w:val="18"/>
                <w:lang w:val="fr-CH"/>
              </w:rPr>
            </w:pPr>
            <w:bookmarkStart w:id="14" w:name="OLE_LINK15"/>
            <w:bookmarkStart w:id="15" w:name="OLE_LINK16"/>
            <w:r w:rsidRPr="0071782F">
              <w:rPr>
                <w:sz w:val="18"/>
                <w:lang w:val="fr-CH"/>
              </w:rPr>
              <w:t>7/2</w:t>
            </w:r>
            <w:bookmarkEnd w:id="14"/>
            <w:bookmarkEnd w:id="15"/>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7/2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7/2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7/2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7/2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7/2</w:t>
            </w:r>
          </w:p>
        </w:tc>
      </w:tr>
      <w:tr w:rsidR="008A7415" w:rsidRPr="0071782F">
        <w:tc>
          <w:tcPr>
            <w:tcW w:w="1466" w:type="dxa"/>
            <w:tcBorders>
              <w:bottom w:val="nil"/>
            </w:tcBorders>
            <w:shd w:val="clear" w:color="auto" w:fill="auto"/>
          </w:tcPr>
          <w:p w:rsidR="008A7415" w:rsidRPr="0071782F" w:rsidRDefault="00A97A11" w:rsidP="00A233C2">
            <w:pPr>
              <w:suppressAutoHyphens w:val="0"/>
              <w:spacing w:before="40" w:after="40" w:line="220" w:lineRule="exact"/>
              <w:rPr>
                <w:sz w:val="18"/>
                <w:lang w:val="fr-CH"/>
              </w:rPr>
            </w:pPr>
            <w:r w:rsidRPr="0071782F">
              <w:rPr>
                <w:sz w:val="18"/>
                <w:lang w:val="fr-CH"/>
              </w:rPr>
              <w:t xml:space="preserve">Autres </w:t>
            </w:r>
            <w:r w:rsidR="008A7415" w:rsidRPr="0071782F">
              <w:rPr>
                <w:sz w:val="18"/>
                <w:lang w:val="fr-CH"/>
              </w:rPr>
              <w:t>fruits</w:t>
            </w:r>
          </w:p>
        </w:tc>
        <w:tc>
          <w:tcPr>
            <w:tcW w:w="984" w:type="dxa"/>
            <w:tcBorders>
              <w:bottom w:val="nil"/>
            </w:tcBorders>
            <w:shd w:val="clear" w:color="auto" w:fill="auto"/>
          </w:tcPr>
          <w:p w:rsidR="008A7415" w:rsidRPr="0071782F" w:rsidRDefault="008A7415" w:rsidP="00A233C2">
            <w:pPr>
              <w:suppressAutoHyphens w:val="0"/>
              <w:spacing w:before="40" w:after="40" w:line="220" w:lineRule="exact"/>
              <w:jc w:val="right"/>
              <w:rPr>
                <w:sz w:val="18"/>
                <w:lang w:val="fr-CH"/>
              </w:rPr>
            </w:pPr>
            <w:r w:rsidRPr="0071782F">
              <w:rPr>
                <w:sz w:val="18"/>
                <w:lang w:val="fr-CH"/>
              </w:rPr>
              <w:t>18</w:t>
            </w:r>
          </w:p>
        </w:tc>
        <w:tc>
          <w:tcPr>
            <w:tcW w:w="984" w:type="dxa"/>
            <w:tcBorders>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bookmarkStart w:id="16" w:name="OLE_LINK17"/>
            <w:bookmarkStart w:id="17" w:name="OLE_LINK18"/>
            <w:r w:rsidRPr="0071782F">
              <w:rPr>
                <w:sz w:val="18"/>
                <w:lang w:val="fr-CH"/>
              </w:rPr>
              <w:t>18/0</w:t>
            </w:r>
            <w:bookmarkEnd w:id="16"/>
            <w:bookmarkEnd w:id="17"/>
          </w:p>
        </w:tc>
        <w:tc>
          <w:tcPr>
            <w:tcW w:w="984" w:type="dxa"/>
            <w:tcBorders>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18/0</w:t>
            </w:r>
          </w:p>
        </w:tc>
        <w:tc>
          <w:tcPr>
            <w:tcW w:w="984" w:type="dxa"/>
            <w:tcBorders>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18/0</w:t>
            </w:r>
          </w:p>
        </w:tc>
        <w:tc>
          <w:tcPr>
            <w:tcW w:w="984" w:type="dxa"/>
            <w:tcBorders>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18/0</w:t>
            </w:r>
          </w:p>
        </w:tc>
        <w:tc>
          <w:tcPr>
            <w:tcW w:w="984" w:type="dxa"/>
            <w:tcBorders>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18/0</w:t>
            </w:r>
          </w:p>
        </w:tc>
      </w:tr>
      <w:tr w:rsidR="008A7415" w:rsidRPr="0071782F">
        <w:tc>
          <w:tcPr>
            <w:tcW w:w="1466" w:type="dxa"/>
            <w:tcBorders>
              <w:top w:val="nil"/>
              <w:bottom w:val="nil"/>
            </w:tcBorders>
            <w:shd w:val="clear" w:color="auto" w:fill="auto"/>
          </w:tcPr>
          <w:p w:rsidR="008A7415" w:rsidRPr="0071782F" w:rsidRDefault="008A7415" w:rsidP="00A233C2">
            <w:pPr>
              <w:suppressAutoHyphens w:val="0"/>
              <w:spacing w:before="40" w:after="40" w:line="220" w:lineRule="exact"/>
              <w:rPr>
                <w:sz w:val="18"/>
                <w:lang w:val="fr-CH"/>
              </w:rPr>
            </w:pPr>
            <w:r w:rsidRPr="0071782F">
              <w:rPr>
                <w:sz w:val="18"/>
                <w:lang w:val="fr-CH"/>
              </w:rPr>
              <w:t>Pistach</w:t>
            </w:r>
            <w:r w:rsidR="00A97A11" w:rsidRPr="0071782F">
              <w:rPr>
                <w:sz w:val="18"/>
                <w:lang w:val="fr-CH"/>
              </w:rPr>
              <w:t>es</w:t>
            </w:r>
          </w:p>
        </w:tc>
        <w:tc>
          <w:tcPr>
            <w:tcW w:w="984" w:type="dxa"/>
            <w:tcBorders>
              <w:top w:val="nil"/>
              <w:bottom w:val="nil"/>
            </w:tcBorders>
            <w:shd w:val="clear" w:color="auto" w:fill="auto"/>
          </w:tcPr>
          <w:p w:rsidR="008A7415" w:rsidRPr="0071782F" w:rsidRDefault="008A7415" w:rsidP="00A233C2">
            <w:pPr>
              <w:suppressAutoHyphens w:val="0"/>
              <w:spacing w:before="40" w:after="40" w:line="220" w:lineRule="exact"/>
              <w:jc w:val="right"/>
              <w:rPr>
                <w:sz w:val="18"/>
                <w:lang w:val="fr-CH"/>
              </w:rPr>
            </w:pPr>
            <w:bookmarkStart w:id="18" w:name="OLE_LINK19"/>
            <w:bookmarkStart w:id="19" w:name="OLE_LINK20"/>
            <w:r w:rsidRPr="0071782F">
              <w:rPr>
                <w:sz w:val="18"/>
                <w:lang w:val="fr-CH"/>
              </w:rPr>
              <w:t>1/8</w:t>
            </w:r>
            <w:bookmarkEnd w:id="18"/>
            <w:bookmarkEnd w:id="19"/>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1/8</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1/8</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1/8</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1/8</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1/9</w:t>
            </w:r>
          </w:p>
        </w:tc>
      </w:tr>
      <w:tr w:rsidR="008A7415" w:rsidRPr="0071782F">
        <w:tc>
          <w:tcPr>
            <w:tcW w:w="1466" w:type="dxa"/>
            <w:tcBorders>
              <w:top w:val="nil"/>
            </w:tcBorders>
            <w:shd w:val="clear" w:color="auto" w:fill="auto"/>
          </w:tcPr>
          <w:p w:rsidR="008A7415" w:rsidRPr="0071782F" w:rsidRDefault="008A7415" w:rsidP="00A233C2">
            <w:pPr>
              <w:suppressAutoHyphens w:val="0"/>
              <w:spacing w:before="40" w:after="40" w:line="220" w:lineRule="exact"/>
              <w:rPr>
                <w:sz w:val="18"/>
                <w:lang w:val="fr-CH"/>
              </w:rPr>
            </w:pPr>
            <w:r w:rsidRPr="0071782F">
              <w:rPr>
                <w:sz w:val="18"/>
                <w:lang w:val="fr-CH"/>
              </w:rPr>
              <w:t>A</w:t>
            </w:r>
            <w:r w:rsidR="00A97A11" w:rsidRPr="0071782F">
              <w:rPr>
                <w:sz w:val="18"/>
                <w:lang w:val="fr-CH"/>
              </w:rPr>
              <w:t xml:space="preserve">mandes </w:t>
            </w:r>
          </w:p>
        </w:tc>
        <w:tc>
          <w:tcPr>
            <w:tcW w:w="984" w:type="dxa"/>
            <w:tcBorders>
              <w:top w:val="nil"/>
            </w:tcBorders>
            <w:shd w:val="clear" w:color="auto" w:fill="auto"/>
          </w:tcPr>
          <w:p w:rsidR="008A7415" w:rsidRPr="0071782F" w:rsidRDefault="008A7415" w:rsidP="00A233C2">
            <w:pPr>
              <w:suppressAutoHyphens w:val="0"/>
              <w:spacing w:before="40" w:after="40" w:line="220" w:lineRule="exact"/>
              <w:jc w:val="right"/>
              <w:rPr>
                <w:sz w:val="18"/>
                <w:lang w:val="fr-CH"/>
              </w:rPr>
            </w:pPr>
            <w:r w:rsidRPr="0071782F">
              <w:rPr>
                <w:sz w:val="18"/>
                <w:lang w:val="fr-CH"/>
              </w:rPr>
              <w:t>1/2</w:t>
            </w:r>
          </w:p>
        </w:tc>
        <w:tc>
          <w:tcPr>
            <w:tcW w:w="984" w:type="dxa"/>
            <w:tcBorders>
              <w:top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1/2</w:t>
            </w:r>
          </w:p>
        </w:tc>
        <w:tc>
          <w:tcPr>
            <w:tcW w:w="984" w:type="dxa"/>
            <w:tcBorders>
              <w:top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1/2</w:t>
            </w:r>
          </w:p>
        </w:tc>
        <w:tc>
          <w:tcPr>
            <w:tcW w:w="984" w:type="dxa"/>
            <w:tcBorders>
              <w:top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1/2</w:t>
            </w:r>
          </w:p>
        </w:tc>
        <w:tc>
          <w:tcPr>
            <w:tcW w:w="984" w:type="dxa"/>
            <w:tcBorders>
              <w:top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1/3</w:t>
            </w:r>
          </w:p>
        </w:tc>
        <w:tc>
          <w:tcPr>
            <w:tcW w:w="984" w:type="dxa"/>
            <w:tcBorders>
              <w:top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1/3</w:t>
            </w:r>
          </w:p>
        </w:tc>
      </w:tr>
      <w:tr w:rsidR="008A7415" w:rsidRPr="0071782F">
        <w:tc>
          <w:tcPr>
            <w:tcW w:w="1466" w:type="dxa"/>
            <w:shd w:val="clear" w:color="auto" w:fill="auto"/>
          </w:tcPr>
          <w:p w:rsidR="008A7415" w:rsidRPr="0071782F" w:rsidRDefault="00A97A11" w:rsidP="00A233C2">
            <w:pPr>
              <w:suppressAutoHyphens w:val="0"/>
              <w:spacing w:before="40" w:after="40" w:line="220" w:lineRule="exact"/>
              <w:rPr>
                <w:sz w:val="18"/>
                <w:lang w:val="fr-CH"/>
              </w:rPr>
            </w:pPr>
            <w:r w:rsidRPr="0071782F">
              <w:rPr>
                <w:sz w:val="18"/>
                <w:lang w:val="fr-CH"/>
              </w:rPr>
              <w:t>Noix</w:t>
            </w:r>
          </w:p>
        </w:tc>
        <w:tc>
          <w:tcPr>
            <w:tcW w:w="984" w:type="dxa"/>
            <w:shd w:val="clear" w:color="auto" w:fill="auto"/>
          </w:tcPr>
          <w:p w:rsidR="008A7415" w:rsidRPr="0071782F" w:rsidRDefault="008A7415" w:rsidP="00A233C2">
            <w:pPr>
              <w:suppressAutoHyphens w:val="0"/>
              <w:spacing w:before="40" w:after="40" w:line="220" w:lineRule="exact"/>
              <w:jc w:val="right"/>
              <w:rPr>
                <w:sz w:val="18"/>
                <w:lang w:val="fr-CH"/>
              </w:rPr>
            </w:pPr>
            <w:r w:rsidRPr="0071782F">
              <w:rPr>
                <w:sz w:val="18"/>
                <w:lang w:val="fr-CH"/>
              </w:rPr>
              <w:t>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bookmarkStart w:id="20" w:name="OLE_LINK21"/>
            <w:bookmarkStart w:id="21" w:name="OLE_LINK22"/>
            <w:r w:rsidRPr="0071782F">
              <w:rPr>
                <w:sz w:val="18"/>
                <w:lang w:val="fr-CH"/>
              </w:rPr>
              <w:t>2/0</w:t>
            </w:r>
            <w:bookmarkEnd w:id="20"/>
            <w:bookmarkEnd w:id="21"/>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2/0</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2/0</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2/0</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2/0</w:t>
            </w:r>
          </w:p>
        </w:tc>
      </w:tr>
      <w:tr w:rsidR="008A7415" w:rsidRPr="0071782F">
        <w:tc>
          <w:tcPr>
            <w:tcW w:w="1466" w:type="dxa"/>
            <w:shd w:val="clear" w:color="auto" w:fill="auto"/>
          </w:tcPr>
          <w:p w:rsidR="008A7415" w:rsidRPr="0071782F" w:rsidRDefault="00A97A11" w:rsidP="00A233C2">
            <w:pPr>
              <w:suppressAutoHyphens w:val="0"/>
              <w:spacing w:before="40" w:after="40" w:line="220" w:lineRule="exact"/>
              <w:rPr>
                <w:sz w:val="18"/>
                <w:lang w:val="fr-CH"/>
              </w:rPr>
            </w:pPr>
            <w:r w:rsidRPr="0071782F">
              <w:rPr>
                <w:sz w:val="18"/>
                <w:lang w:val="fr-CH"/>
              </w:rPr>
              <w:t>Fruits secs</w:t>
            </w:r>
          </w:p>
        </w:tc>
        <w:tc>
          <w:tcPr>
            <w:tcW w:w="984" w:type="dxa"/>
            <w:shd w:val="clear" w:color="auto" w:fill="auto"/>
          </w:tcPr>
          <w:p w:rsidR="008A7415" w:rsidRPr="0071782F" w:rsidRDefault="008A7415" w:rsidP="00A233C2">
            <w:pPr>
              <w:suppressAutoHyphens w:val="0"/>
              <w:spacing w:before="40" w:after="40" w:line="220" w:lineRule="exact"/>
              <w:jc w:val="right"/>
              <w:rPr>
                <w:sz w:val="18"/>
                <w:lang w:val="fr-CH"/>
              </w:rPr>
            </w:pPr>
            <w:r w:rsidRPr="0071782F">
              <w:rPr>
                <w:sz w:val="18"/>
                <w:lang w:val="fr-CH"/>
              </w:rPr>
              <w:t>0/2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2/0</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2/0</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0/2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0/2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0/2</w:t>
            </w:r>
          </w:p>
        </w:tc>
      </w:tr>
      <w:tr w:rsidR="008A7415" w:rsidRPr="0071782F">
        <w:tc>
          <w:tcPr>
            <w:tcW w:w="1466" w:type="dxa"/>
            <w:tcBorders>
              <w:bottom w:val="nil"/>
            </w:tcBorders>
            <w:shd w:val="clear" w:color="auto" w:fill="auto"/>
          </w:tcPr>
          <w:p w:rsidR="008A7415" w:rsidRPr="0071782F" w:rsidRDefault="008A7415" w:rsidP="00A233C2">
            <w:pPr>
              <w:suppressAutoHyphens w:val="0"/>
              <w:spacing w:before="40" w:after="40" w:line="220" w:lineRule="exact"/>
              <w:rPr>
                <w:sz w:val="18"/>
                <w:lang w:val="fr-CH"/>
              </w:rPr>
            </w:pPr>
            <w:r w:rsidRPr="0071782F">
              <w:rPr>
                <w:sz w:val="18"/>
                <w:lang w:val="fr-CH"/>
              </w:rPr>
              <w:t>Olive</w:t>
            </w:r>
            <w:r w:rsidR="00A97A11" w:rsidRPr="0071782F">
              <w:rPr>
                <w:sz w:val="18"/>
                <w:lang w:val="fr-CH"/>
              </w:rPr>
              <w:t>s</w:t>
            </w:r>
          </w:p>
        </w:tc>
        <w:tc>
          <w:tcPr>
            <w:tcW w:w="984" w:type="dxa"/>
            <w:tcBorders>
              <w:bottom w:val="nil"/>
            </w:tcBorders>
            <w:shd w:val="clear" w:color="auto" w:fill="auto"/>
          </w:tcPr>
          <w:p w:rsidR="008A7415" w:rsidRPr="0071782F" w:rsidRDefault="008A7415" w:rsidP="00A233C2">
            <w:pPr>
              <w:suppressAutoHyphens w:val="0"/>
              <w:spacing w:before="40" w:after="40" w:line="220" w:lineRule="exact"/>
              <w:jc w:val="right"/>
              <w:rPr>
                <w:sz w:val="18"/>
                <w:lang w:val="fr-CH"/>
              </w:rPr>
            </w:pPr>
            <w:bookmarkStart w:id="22" w:name="OLE_LINK23"/>
            <w:bookmarkStart w:id="23" w:name="OLE_LINK24"/>
            <w:r w:rsidRPr="0071782F">
              <w:rPr>
                <w:sz w:val="18"/>
                <w:lang w:val="fr-CH"/>
              </w:rPr>
              <w:t>0/6</w:t>
            </w:r>
            <w:bookmarkEnd w:id="22"/>
            <w:bookmarkEnd w:id="23"/>
          </w:p>
        </w:tc>
        <w:tc>
          <w:tcPr>
            <w:tcW w:w="984" w:type="dxa"/>
            <w:tcBorders>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0/6</w:t>
            </w:r>
          </w:p>
        </w:tc>
        <w:tc>
          <w:tcPr>
            <w:tcW w:w="984" w:type="dxa"/>
            <w:tcBorders>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0/6</w:t>
            </w:r>
          </w:p>
        </w:tc>
        <w:tc>
          <w:tcPr>
            <w:tcW w:w="984" w:type="dxa"/>
            <w:tcBorders>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bookmarkStart w:id="24" w:name="OLE_LINK25"/>
            <w:bookmarkStart w:id="25" w:name="OLE_LINK26"/>
            <w:r w:rsidRPr="0071782F">
              <w:rPr>
                <w:sz w:val="18"/>
                <w:lang w:val="fr-CH"/>
              </w:rPr>
              <w:t>0/7</w:t>
            </w:r>
            <w:bookmarkEnd w:id="24"/>
            <w:bookmarkEnd w:id="25"/>
          </w:p>
        </w:tc>
        <w:tc>
          <w:tcPr>
            <w:tcW w:w="984" w:type="dxa"/>
            <w:tcBorders>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0/7</w:t>
            </w:r>
          </w:p>
        </w:tc>
        <w:tc>
          <w:tcPr>
            <w:tcW w:w="984" w:type="dxa"/>
            <w:tcBorders>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0/7</w:t>
            </w:r>
          </w:p>
        </w:tc>
      </w:tr>
      <w:tr w:rsidR="008A7415" w:rsidRPr="0071782F">
        <w:tc>
          <w:tcPr>
            <w:tcW w:w="1466" w:type="dxa"/>
            <w:tcBorders>
              <w:top w:val="nil"/>
              <w:bottom w:val="nil"/>
            </w:tcBorders>
            <w:shd w:val="clear" w:color="auto" w:fill="auto"/>
          </w:tcPr>
          <w:p w:rsidR="008A7415" w:rsidRPr="0071782F" w:rsidRDefault="00A97A11" w:rsidP="00A233C2">
            <w:pPr>
              <w:suppressAutoHyphens w:val="0"/>
              <w:spacing w:before="40" w:after="40" w:line="220" w:lineRule="exact"/>
              <w:rPr>
                <w:sz w:val="18"/>
                <w:lang w:val="fr-CH"/>
              </w:rPr>
            </w:pPr>
            <w:r w:rsidRPr="0071782F">
              <w:rPr>
                <w:sz w:val="18"/>
                <w:lang w:val="fr-CH"/>
              </w:rPr>
              <w:t xml:space="preserve">Thé sec </w:t>
            </w:r>
          </w:p>
        </w:tc>
        <w:tc>
          <w:tcPr>
            <w:tcW w:w="984" w:type="dxa"/>
            <w:tcBorders>
              <w:top w:val="nil"/>
              <w:bottom w:val="nil"/>
            </w:tcBorders>
            <w:shd w:val="clear" w:color="auto" w:fill="auto"/>
          </w:tcPr>
          <w:p w:rsidR="008A7415" w:rsidRPr="0071782F" w:rsidRDefault="008A7415" w:rsidP="00A233C2">
            <w:pPr>
              <w:suppressAutoHyphens w:val="0"/>
              <w:spacing w:before="40" w:after="40" w:line="220" w:lineRule="exact"/>
              <w:jc w:val="right"/>
              <w:rPr>
                <w:sz w:val="18"/>
                <w:lang w:val="fr-CH"/>
              </w:rPr>
            </w:pPr>
            <w:r w:rsidRPr="0071782F">
              <w:rPr>
                <w:sz w:val="18"/>
                <w:lang w:val="fr-CH"/>
              </w:rPr>
              <w:t>1/4</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1/4</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1/5</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1/5</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1/5</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1/6</w:t>
            </w:r>
          </w:p>
        </w:tc>
      </w:tr>
      <w:tr w:rsidR="008A7415" w:rsidRPr="0071782F">
        <w:tc>
          <w:tcPr>
            <w:tcW w:w="1466" w:type="dxa"/>
            <w:tcBorders>
              <w:top w:val="nil"/>
              <w:bottom w:val="nil"/>
            </w:tcBorders>
            <w:shd w:val="clear" w:color="auto" w:fill="auto"/>
          </w:tcPr>
          <w:p w:rsidR="008A7415" w:rsidRPr="0071782F" w:rsidRDefault="00A97A11" w:rsidP="00A233C2">
            <w:pPr>
              <w:suppressAutoHyphens w:val="0"/>
              <w:spacing w:before="40" w:after="40" w:line="220" w:lineRule="exact"/>
              <w:rPr>
                <w:sz w:val="18"/>
                <w:lang w:val="fr-CH"/>
              </w:rPr>
            </w:pPr>
            <w:r w:rsidRPr="0071782F">
              <w:rPr>
                <w:sz w:val="18"/>
                <w:lang w:val="fr-CH"/>
              </w:rPr>
              <w:t>Huile végétale</w:t>
            </w:r>
          </w:p>
        </w:tc>
        <w:tc>
          <w:tcPr>
            <w:tcW w:w="984" w:type="dxa"/>
            <w:tcBorders>
              <w:top w:val="nil"/>
              <w:bottom w:val="nil"/>
            </w:tcBorders>
            <w:shd w:val="clear" w:color="auto" w:fill="auto"/>
          </w:tcPr>
          <w:p w:rsidR="008A7415" w:rsidRPr="0071782F" w:rsidRDefault="008A7415" w:rsidP="00A233C2">
            <w:pPr>
              <w:suppressAutoHyphens w:val="0"/>
              <w:spacing w:before="40" w:after="40" w:line="220" w:lineRule="exact"/>
              <w:jc w:val="right"/>
              <w:rPr>
                <w:sz w:val="18"/>
                <w:lang w:val="fr-CH"/>
              </w:rPr>
            </w:pPr>
            <w:r w:rsidRPr="0071782F">
              <w:rPr>
                <w:sz w:val="18"/>
                <w:lang w:val="fr-CH"/>
              </w:rPr>
              <w:t>15</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14/9</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14/7</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14/6</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14/5</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14/4</w:t>
            </w:r>
          </w:p>
        </w:tc>
      </w:tr>
      <w:tr w:rsidR="008A7415" w:rsidRPr="0071782F">
        <w:tc>
          <w:tcPr>
            <w:tcW w:w="1466" w:type="dxa"/>
            <w:tcBorders>
              <w:top w:val="nil"/>
              <w:bottom w:val="nil"/>
            </w:tcBorders>
            <w:shd w:val="clear" w:color="auto" w:fill="auto"/>
          </w:tcPr>
          <w:p w:rsidR="008A7415" w:rsidRPr="0071782F" w:rsidRDefault="00A97A11" w:rsidP="00A233C2">
            <w:pPr>
              <w:suppressAutoHyphens w:val="0"/>
              <w:spacing w:before="40" w:after="40" w:line="220" w:lineRule="exact"/>
              <w:rPr>
                <w:sz w:val="18"/>
                <w:lang w:val="fr-CH"/>
              </w:rPr>
            </w:pPr>
            <w:r w:rsidRPr="0071782F">
              <w:rPr>
                <w:sz w:val="18"/>
                <w:lang w:val="fr-CH"/>
              </w:rPr>
              <w:t>Viande rouge</w:t>
            </w:r>
          </w:p>
        </w:tc>
        <w:tc>
          <w:tcPr>
            <w:tcW w:w="984" w:type="dxa"/>
            <w:tcBorders>
              <w:top w:val="nil"/>
              <w:bottom w:val="nil"/>
            </w:tcBorders>
            <w:shd w:val="clear" w:color="auto" w:fill="auto"/>
          </w:tcPr>
          <w:p w:rsidR="008A7415" w:rsidRPr="0071782F" w:rsidRDefault="008A7415" w:rsidP="00A233C2">
            <w:pPr>
              <w:suppressAutoHyphens w:val="0"/>
              <w:spacing w:before="40" w:after="40" w:line="220" w:lineRule="exact"/>
              <w:jc w:val="right"/>
              <w:rPr>
                <w:sz w:val="18"/>
                <w:lang w:val="fr-CH"/>
              </w:rPr>
            </w:pPr>
            <w:r w:rsidRPr="0071782F">
              <w:rPr>
                <w:sz w:val="18"/>
                <w:lang w:val="fr-CH"/>
              </w:rPr>
              <w:t>11/8</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12/0</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12/2</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12/3</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12/5</w:t>
            </w:r>
          </w:p>
        </w:tc>
        <w:tc>
          <w:tcPr>
            <w:tcW w:w="984" w:type="dxa"/>
            <w:tcBorders>
              <w:top w:val="nil"/>
              <w:bottom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12/7</w:t>
            </w:r>
          </w:p>
        </w:tc>
      </w:tr>
      <w:tr w:rsidR="008A7415" w:rsidRPr="0071782F">
        <w:tc>
          <w:tcPr>
            <w:tcW w:w="1466" w:type="dxa"/>
            <w:tcBorders>
              <w:top w:val="nil"/>
            </w:tcBorders>
            <w:shd w:val="clear" w:color="auto" w:fill="auto"/>
          </w:tcPr>
          <w:p w:rsidR="008A7415" w:rsidRPr="0071782F" w:rsidRDefault="00A97A11" w:rsidP="00A233C2">
            <w:pPr>
              <w:suppressAutoHyphens w:val="0"/>
              <w:spacing w:before="40" w:after="40" w:line="220" w:lineRule="exact"/>
              <w:rPr>
                <w:sz w:val="18"/>
                <w:lang w:val="fr-CH"/>
              </w:rPr>
            </w:pPr>
            <w:r w:rsidRPr="0071782F">
              <w:rPr>
                <w:sz w:val="18"/>
                <w:lang w:val="fr-CH"/>
              </w:rPr>
              <w:t>Poulet</w:t>
            </w:r>
          </w:p>
        </w:tc>
        <w:tc>
          <w:tcPr>
            <w:tcW w:w="984" w:type="dxa"/>
            <w:tcBorders>
              <w:top w:val="nil"/>
            </w:tcBorders>
            <w:shd w:val="clear" w:color="auto" w:fill="auto"/>
          </w:tcPr>
          <w:p w:rsidR="008A7415" w:rsidRPr="0071782F" w:rsidRDefault="008A7415" w:rsidP="00A233C2">
            <w:pPr>
              <w:suppressAutoHyphens w:val="0"/>
              <w:spacing w:before="40" w:after="40" w:line="220" w:lineRule="exact"/>
              <w:jc w:val="right"/>
              <w:rPr>
                <w:sz w:val="18"/>
                <w:lang w:val="fr-CH"/>
              </w:rPr>
            </w:pPr>
            <w:r w:rsidRPr="0071782F">
              <w:rPr>
                <w:sz w:val="18"/>
                <w:lang w:val="fr-CH"/>
              </w:rPr>
              <w:t>16/5</w:t>
            </w:r>
          </w:p>
        </w:tc>
        <w:tc>
          <w:tcPr>
            <w:tcW w:w="984" w:type="dxa"/>
            <w:tcBorders>
              <w:top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17/5</w:t>
            </w:r>
          </w:p>
        </w:tc>
        <w:tc>
          <w:tcPr>
            <w:tcW w:w="984" w:type="dxa"/>
            <w:tcBorders>
              <w:top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18/6</w:t>
            </w:r>
          </w:p>
        </w:tc>
        <w:tc>
          <w:tcPr>
            <w:tcW w:w="984" w:type="dxa"/>
            <w:tcBorders>
              <w:top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19/7</w:t>
            </w:r>
          </w:p>
        </w:tc>
        <w:tc>
          <w:tcPr>
            <w:tcW w:w="984" w:type="dxa"/>
            <w:tcBorders>
              <w:top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20/9</w:t>
            </w:r>
          </w:p>
        </w:tc>
        <w:tc>
          <w:tcPr>
            <w:tcW w:w="984" w:type="dxa"/>
            <w:tcBorders>
              <w:top w:val="nil"/>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22/2</w:t>
            </w:r>
          </w:p>
        </w:tc>
      </w:tr>
      <w:tr w:rsidR="008A7415" w:rsidRPr="0071782F">
        <w:tc>
          <w:tcPr>
            <w:tcW w:w="1466" w:type="dxa"/>
            <w:shd w:val="clear" w:color="auto" w:fill="auto"/>
          </w:tcPr>
          <w:p w:rsidR="008A7415" w:rsidRPr="0071782F" w:rsidRDefault="0071782F" w:rsidP="00A233C2">
            <w:pPr>
              <w:suppressAutoHyphens w:val="0"/>
              <w:spacing w:before="40" w:after="40" w:line="220" w:lineRule="exact"/>
              <w:rPr>
                <w:sz w:val="18"/>
                <w:lang w:val="fr-CH"/>
              </w:rPr>
            </w:pPr>
            <w:r w:rsidRPr="0071782F">
              <w:rPr>
                <w:sz w:val="18"/>
                <w:lang w:val="fr-CH"/>
              </w:rPr>
              <w:t>Œufs</w:t>
            </w:r>
          </w:p>
        </w:tc>
        <w:tc>
          <w:tcPr>
            <w:tcW w:w="984" w:type="dxa"/>
            <w:shd w:val="clear" w:color="auto" w:fill="auto"/>
          </w:tcPr>
          <w:p w:rsidR="008A7415" w:rsidRPr="0071782F" w:rsidRDefault="008A7415" w:rsidP="00A233C2">
            <w:pPr>
              <w:suppressAutoHyphens w:val="0"/>
              <w:spacing w:before="40" w:after="40" w:line="220" w:lineRule="exact"/>
              <w:jc w:val="right"/>
              <w:rPr>
                <w:sz w:val="18"/>
                <w:lang w:val="fr-CH"/>
              </w:rPr>
            </w:pPr>
            <w:r w:rsidRPr="0071782F">
              <w:rPr>
                <w:sz w:val="18"/>
                <w:lang w:val="fr-CH"/>
              </w:rPr>
              <w:t>9/2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9/4</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9/7</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10/0</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10/2</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10/5</w:t>
            </w:r>
          </w:p>
        </w:tc>
      </w:tr>
      <w:tr w:rsidR="008A7415" w:rsidRPr="0071782F">
        <w:tc>
          <w:tcPr>
            <w:tcW w:w="1466" w:type="dxa"/>
            <w:shd w:val="clear" w:color="auto" w:fill="auto"/>
          </w:tcPr>
          <w:p w:rsidR="008A7415" w:rsidRPr="0071782F" w:rsidRDefault="00A97A11" w:rsidP="00A233C2">
            <w:pPr>
              <w:suppressAutoHyphens w:val="0"/>
              <w:spacing w:before="40" w:after="40" w:line="220" w:lineRule="exact"/>
              <w:rPr>
                <w:sz w:val="18"/>
                <w:lang w:val="fr-CH"/>
              </w:rPr>
            </w:pPr>
            <w:r w:rsidRPr="0071782F">
              <w:rPr>
                <w:sz w:val="18"/>
                <w:lang w:val="fr-CH"/>
              </w:rPr>
              <w:t>Poisson</w:t>
            </w:r>
          </w:p>
        </w:tc>
        <w:tc>
          <w:tcPr>
            <w:tcW w:w="984" w:type="dxa"/>
            <w:shd w:val="clear" w:color="auto" w:fill="auto"/>
          </w:tcPr>
          <w:p w:rsidR="008A7415" w:rsidRPr="0071782F" w:rsidRDefault="008A7415" w:rsidP="00A233C2">
            <w:pPr>
              <w:suppressAutoHyphens w:val="0"/>
              <w:spacing w:before="40" w:after="40" w:line="220" w:lineRule="exact"/>
              <w:jc w:val="right"/>
              <w:rPr>
                <w:sz w:val="18"/>
                <w:lang w:val="fr-CH"/>
              </w:rPr>
            </w:pPr>
            <w:r w:rsidRPr="0071782F">
              <w:rPr>
                <w:sz w:val="18"/>
                <w:lang w:val="fr-CH"/>
              </w:rPr>
              <w:t>7</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7/8</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8/6</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9/5</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10/6</w:t>
            </w:r>
          </w:p>
        </w:tc>
        <w:tc>
          <w:tcPr>
            <w:tcW w:w="984" w:type="dxa"/>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11/7</w:t>
            </w:r>
          </w:p>
        </w:tc>
      </w:tr>
      <w:tr w:rsidR="008A7415" w:rsidRPr="0071782F">
        <w:tc>
          <w:tcPr>
            <w:tcW w:w="1466" w:type="dxa"/>
            <w:tcBorders>
              <w:bottom w:val="single" w:sz="4" w:space="0" w:color="auto"/>
            </w:tcBorders>
            <w:shd w:val="clear" w:color="auto" w:fill="auto"/>
          </w:tcPr>
          <w:p w:rsidR="008A7415" w:rsidRPr="0071782F" w:rsidRDefault="00A97A11" w:rsidP="00A233C2">
            <w:pPr>
              <w:suppressAutoHyphens w:val="0"/>
              <w:spacing w:before="40" w:after="40" w:line="220" w:lineRule="exact"/>
              <w:rPr>
                <w:sz w:val="18"/>
                <w:lang w:val="fr-CH"/>
              </w:rPr>
            </w:pPr>
            <w:r w:rsidRPr="0071782F">
              <w:rPr>
                <w:sz w:val="18"/>
                <w:lang w:val="fr-CH"/>
              </w:rPr>
              <w:t>Lait</w:t>
            </w:r>
          </w:p>
        </w:tc>
        <w:tc>
          <w:tcPr>
            <w:tcW w:w="984" w:type="dxa"/>
            <w:tcBorders>
              <w:bottom w:val="single" w:sz="4" w:space="0" w:color="auto"/>
            </w:tcBorders>
            <w:shd w:val="clear" w:color="auto" w:fill="auto"/>
          </w:tcPr>
          <w:p w:rsidR="008A7415" w:rsidRPr="0071782F" w:rsidRDefault="008A7415" w:rsidP="00A233C2">
            <w:pPr>
              <w:suppressAutoHyphens w:val="0"/>
              <w:spacing w:before="40" w:after="40" w:line="220" w:lineRule="exact"/>
              <w:jc w:val="right"/>
              <w:rPr>
                <w:sz w:val="18"/>
                <w:lang w:val="fr-CH"/>
              </w:rPr>
            </w:pPr>
            <w:r w:rsidRPr="0071782F">
              <w:rPr>
                <w:sz w:val="18"/>
                <w:lang w:val="fr-CH"/>
              </w:rPr>
              <w:t>90</w:t>
            </w:r>
          </w:p>
        </w:tc>
        <w:tc>
          <w:tcPr>
            <w:tcW w:w="984" w:type="dxa"/>
            <w:tcBorders>
              <w:bottom w:val="single" w:sz="4" w:space="0" w:color="auto"/>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95/3</w:t>
            </w:r>
          </w:p>
        </w:tc>
        <w:tc>
          <w:tcPr>
            <w:tcW w:w="984" w:type="dxa"/>
            <w:tcBorders>
              <w:bottom w:val="single" w:sz="4" w:space="0" w:color="auto"/>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100/9</w:t>
            </w:r>
          </w:p>
        </w:tc>
        <w:tc>
          <w:tcPr>
            <w:tcW w:w="984" w:type="dxa"/>
            <w:tcBorders>
              <w:bottom w:val="single" w:sz="4" w:space="0" w:color="auto"/>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106/8</w:t>
            </w:r>
          </w:p>
        </w:tc>
        <w:tc>
          <w:tcPr>
            <w:tcW w:w="984" w:type="dxa"/>
            <w:tcBorders>
              <w:bottom w:val="single" w:sz="4" w:space="0" w:color="auto"/>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113/1</w:t>
            </w:r>
          </w:p>
        </w:tc>
        <w:tc>
          <w:tcPr>
            <w:tcW w:w="984" w:type="dxa"/>
            <w:tcBorders>
              <w:bottom w:val="single" w:sz="4" w:space="0" w:color="auto"/>
            </w:tcBorders>
            <w:shd w:val="clear" w:color="auto" w:fill="auto"/>
            <w:vAlign w:val="bottom"/>
          </w:tcPr>
          <w:p w:rsidR="008A7415" w:rsidRPr="0071782F" w:rsidRDefault="008A7415" w:rsidP="00A233C2">
            <w:pPr>
              <w:suppressAutoHyphens w:val="0"/>
              <w:spacing w:before="40" w:after="40" w:line="220" w:lineRule="exact"/>
              <w:jc w:val="right"/>
              <w:rPr>
                <w:sz w:val="18"/>
                <w:lang w:val="fr-CH"/>
              </w:rPr>
            </w:pPr>
            <w:r w:rsidRPr="0071782F">
              <w:rPr>
                <w:sz w:val="18"/>
                <w:lang w:val="fr-CH"/>
              </w:rPr>
              <w:t>126/6</w:t>
            </w:r>
          </w:p>
        </w:tc>
      </w:tr>
      <w:tr w:rsidR="008A7415" w:rsidRPr="0071782F">
        <w:tc>
          <w:tcPr>
            <w:tcW w:w="1466" w:type="dxa"/>
            <w:tcBorders>
              <w:top w:val="single" w:sz="4" w:space="0" w:color="auto"/>
              <w:bottom w:val="single" w:sz="12" w:space="0" w:color="auto"/>
            </w:tcBorders>
            <w:shd w:val="clear" w:color="auto" w:fill="auto"/>
          </w:tcPr>
          <w:p w:rsidR="008A7415" w:rsidRPr="0071782F" w:rsidRDefault="008A7415" w:rsidP="00155C57">
            <w:pPr>
              <w:suppressAutoHyphens w:val="0"/>
              <w:spacing w:before="80" w:after="80" w:line="220" w:lineRule="exact"/>
              <w:ind w:left="284"/>
              <w:rPr>
                <w:b/>
                <w:sz w:val="18"/>
                <w:lang w:val="fr-CH"/>
              </w:rPr>
            </w:pPr>
            <w:r w:rsidRPr="0071782F">
              <w:rPr>
                <w:b/>
                <w:sz w:val="18"/>
                <w:lang w:val="fr-CH"/>
              </w:rPr>
              <w:t>Total</w:t>
            </w:r>
          </w:p>
        </w:tc>
        <w:tc>
          <w:tcPr>
            <w:tcW w:w="984" w:type="dxa"/>
            <w:tcBorders>
              <w:top w:val="single" w:sz="4" w:space="0" w:color="auto"/>
              <w:bottom w:val="single" w:sz="12" w:space="0" w:color="auto"/>
            </w:tcBorders>
            <w:shd w:val="clear" w:color="auto" w:fill="auto"/>
          </w:tcPr>
          <w:p w:rsidR="008A7415" w:rsidRPr="0071782F" w:rsidRDefault="008A7415" w:rsidP="00A233C2">
            <w:pPr>
              <w:suppressAutoHyphens w:val="0"/>
              <w:spacing w:before="80" w:after="80" w:line="220" w:lineRule="exact"/>
              <w:jc w:val="right"/>
              <w:rPr>
                <w:b/>
                <w:sz w:val="18"/>
                <w:lang w:val="fr-CH"/>
              </w:rPr>
            </w:pPr>
            <w:r w:rsidRPr="0071782F">
              <w:rPr>
                <w:b/>
                <w:sz w:val="18"/>
                <w:lang w:val="fr-CH"/>
              </w:rPr>
              <w:t>697</w:t>
            </w:r>
          </w:p>
        </w:tc>
        <w:tc>
          <w:tcPr>
            <w:tcW w:w="984" w:type="dxa"/>
            <w:tcBorders>
              <w:top w:val="single" w:sz="4" w:space="0" w:color="auto"/>
              <w:bottom w:val="single" w:sz="12" w:space="0" w:color="auto"/>
            </w:tcBorders>
            <w:shd w:val="clear" w:color="auto" w:fill="auto"/>
            <w:vAlign w:val="bottom"/>
          </w:tcPr>
          <w:p w:rsidR="008A7415" w:rsidRPr="0071782F" w:rsidRDefault="008A7415" w:rsidP="00A233C2">
            <w:pPr>
              <w:suppressAutoHyphens w:val="0"/>
              <w:spacing w:before="80" w:after="80" w:line="220" w:lineRule="exact"/>
              <w:jc w:val="right"/>
              <w:rPr>
                <w:b/>
                <w:sz w:val="18"/>
                <w:lang w:val="fr-CH"/>
              </w:rPr>
            </w:pPr>
            <w:r w:rsidRPr="0071782F">
              <w:rPr>
                <w:b/>
                <w:sz w:val="18"/>
                <w:lang w:val="fr-CH"/>
              </w:rPr>
              <w:t>703/8</w:t>
            </w:r>
          </w:p>
        </w:tc>
        <w:tc>
          <w:tcPr>
            <w:tcW w:w="984" w:type="dxa"/>
            <w:tcBorders>
              <w:top w:val="single" w:sz="4" w:space="0" w:color="auto"/>
              <w:bottom w:val="single" w:sz="12" w:space="0" w:color="auto"/>
            </w:tcBorders>
            <w:shd w:val="clear" w:color="auto" w:fill="auto"/>
            <w:vAlign w:val="bottom"/>
          </w:tcPr>
          <w:p w:rsidR="008A7415" w:rsidRPr="0071782F" w:rsidRDefault="008A7415" w:rsidP="00A233C2">
            <w:pPr>
              <w:suppressAutoHyphens w:val="0"/>
              <w:spacing w:before="80" w:after="80" w:line="220" w:lineRule="exact"/>
              <w:jc w:val="right"/>
              <w:rPr>
                <w:b/>
                <w:sz w:val="18"/>
                <w:lang w:val="fr-CH"/>
              </w:rPr>
            </w:pPr>
            <w:r w:rsidRPr="0071782F">
              <w:rPr>
                <w:b/>
                <w:sz w:val="18"/>
                <w:lang w:val="fr-CH"/>
              </w:rPr>
              <w:t>711/1</w:t>
            </w:r>
          </w:p>
        </w:tc>
        <w:tc>
          <w:tcPr>
            <w:tcW w:w="984" w:type="dxa"/>
            <w:tcBorders>
              <w:top w:val="single" w:sz="4" w:space="0" w:color="auto"/>
              <w:bottom w:val="single" w:sz="12" w:space="0" w:color="auto"/>
            </w:tcBorders>
            <w:shd w:val="clear" w:color="auto" w:fill="auto"/>
            <w:vAlign w:val="bottom"/>
          </w:tcPr>
          <w:p w:rsidR="008A7415" w:rsidRPr="0071782F" w:rsidRDefault="008A7415" w:rsidP="00A233C2">
            <w:pPr>
              <w:suppressAutoHyphens w:val="0"/>
              <w:spacing w:before="80" w:after="80" w:line="220" w:lineRule="exact"/>
              <w:jc w:val="right"/>
              <w:rPr>
                <w:b/>
                <w:sz w:val="18"/>
                <w:lang w:val="fr-CH"/>
              </w:rPr>
            </w:pPr>
            <w:r w:rsidRPr="0071782F">
              <w:rPr>
                <w:b/>
                <w:sz w:val="18"/>
                <w:lang w:val="fr-CH"/>
              </w:rPr>
              <w:t>718/8</w:t>
            </w:r>
          </w:p>
        </w:tc>
        <w:tc>
          <w:tcPr>
            <w:tcW w:w="984" w:type="dxa"/>
            <w:tcBorders>
              <w:top w:val="single" w:sz="4" w:space="0" w:color="auto"/>
              <w:bottom w:val="single" w:sz="12" w:space="0" w:color="auto"/>
            </w:tcBorders>
            <w:shd w:val="clear" w:color="auto" w:fill="auto"/>
            <w:vAlign w:val="bottom"/>
          </w:tcPr>
          <w:p w:rsidR="008A7415" w:rsidRPr="0071782F" w:rsidRDefault="008A7415" w:rsidP="00A233C2">
            <w:pPr>
              <w:suppressAutoHyphens w:val="0"/>
              <w:spacing w:before="80" w:after="80" w:line="220" w:lineRule="exact"/>
              <w:jc w:val="right"/>
              <w:rPr>
                <w:b/>
                <w:sz w:val="18"/>
                <w:lang w:val="fr-CH"/>
              </w:rPr>
            </w:pPr>
            <w:r w:rsidRPr="0071782F">
              <w:rPr>
                <w:b/>
                <w:sz w:val="18"/>
                <w:lang w:val="fr-CH"/>
              </w:rPr>
              <w:t>727/2</w:t>
            </w:r>
          </w:p>
        </w:tc>
        <w:tc>
          <w:tcPr>
            <w:tcW w:w="984" w:type="dxa"/>
            <w:tcBorders>
              <w:top w:val="single" w:sz="4" w:space="0" w:color="auto"/>
              <w:bottom w:val="single" w:sz="12" w:space="0" w:color="auto"/>
            </w:tcBorders>
            <w:shd w:val="clear" w:color="auto" w:fill="auto"/>
            <w:vAlign w:val="bottom"/>
          </w:tcPr>
          <w:p w:rsidR="008A7415" w:rsidRPr="0071782F" w:rsidRDefault="008A7415" w:rsidP="00A233C2">
            <w:pPr>
              <w:suppressAutoHyphens w:val="0"/>
              <w:spacing w:before="80" w:after="80" w:line="220" w:lineRule="exact"/>
              <w:jc w:val="right"/>
              <w:rPr>
                <w:b/>
                <w:sz w:val="18"/>
                <w:lang w:val="fr-CH"/>
              </w:rPr>
            </w:pPr>
            <w:r w:rsidRPr="0071782F">
              <w:rPr>
                <w:b/>
                <w:sz w:val="18"/>
                <w:lang w:val="fr-CH"/>
              </w:rPr>
              <w:t>743</w:t>
            </w:r>
          </w:p>
        </w:tc>
      </w:tr>
    </w:tbl>
    <w:p w:rsidR="008A7415" w:rsidRPr="0071782F" w:rsidRDefault="008A7415" w:rsidP="00A233C2">
      <w:pPr>
        <w:pStyle w:val="HChG"/>
        <w:keepLines w:val="0"/>
        <w:rPr>
          <w:lang w:val="fr-CH"/>
        </w:rPr>
      </w:pPr>
      <w:r w:rsidRPr="0071782F">
        <w:rPr>
          <w:lang w:val="fr-CH"/>
        </w:rPr>
        <w:tab/>
      </w:r>
      <w:r w:rsidRPr="0071782F">
        <w:rPr>
          <w:lang w:val="fr-CH"/>
        </w:rPr>
        <w:tab/>
      </w:r>
      <w:r w:rsidR="00943A69" w:rsidRPr="0071782F">
        <w:rPr>
          <w:lang w:val="fr-CH"/>
        </w:rPr>
        <w:t>Article </w:t>
      </w:r>
      <w:r w:rsidRPr="0071782F">
        <w:rPr>
          <w:lang w:val="fr-CH"/>
        </w:rPr>
        <w:t>12</w:t>
      </w:r>
      <w:r w:rsidR="003E75EC">
        <w:rPr>
          <w:lang w:val="fr-CH"/>
        </w:rPr>
        <w:br/>
      </w:r>
      <w:r w:rsidR="00A97A11" w:rsidRPr="0071782F">
        <w:rPr>
          <w:lang w:val="fr-CH"/>
        </w:rPr>
        <w:t>Santé physique et mentale</w:t>
      </w:r>
    </w:p>
    <w:p w:rsidR="008A7415" w:rsidRPr="0071782F" w:rsidRDefault="008A7415" w:rsidP="00204410">
      <w:pPr>
        <w:pStyle w:val="H1G"/>
        <w:rPr>
          <w:lang w:val="fr-CH"/>
        </w:rPr>
      </w:pPr>
      <w:r w:rsidRPr="0071782F">
        <w:rPr>
          <w:lang w:val="fr-CH"/>
        </w:rPr>
        <w:tab/>
      </w:r>
      <w:r w:rsidRPr="0071782F">
        <w:rPr>
          <w:lang w:val="fr-CH"/>
        </w:rPr>
        <w:tab/>
      </w:r>
      <w:r w:rsidR="00A97A11" w:rsidRPr="0071782F">
        <w:rPr>
          <w:lang w:val="fr-CH"/>
        </w:rPr>
        <w:t xml:space="preserve">Soins et traitements </w:t>
      </w:r>
      <w:r w:rsidR="000B34B7" w:rsidRPr="0071782F">
        <w:rPr>
          <w:lang w:val="fr-CH"/>
        </w:rPr>
        <w:t>médicaux</w:t>
      </w:r>
    </w:p>
    <w:p w:rsidR="008A7415" w:rsidRPr="0071782F" w:rsidRDefault="008A7415" w:rsidP="00204410">
      <w:pPr>
        <w:pStyle w:val="H1G"/>
        <w:rPr>
          <w:lang w:val="fr-CH"/>
        </w:rPr>
      </w:pPr>
      <w:r w:rsidRPr="0071782F">
        <w:rPr>
          <w:lang w:val="fr-CH"/>
        </w:rPr>
        <w:tab/>
      </w:r>
      <w:r w:rsidRPr="0071782F">
        <w:rPr>
          <w:lang w:val="fr-CH"/>
        </w:rPr>
        <w:tab/>
        <w:t xml:space="preserve">Introduction </w:t>
      </w:r>
    </w:p>
    <w:p w:rsidR="008A7415" w:rsidRPr="0071782F" w:rsidRDefault="008A7415" w:rsidP="00204410">
      <w:pPr>
        <w:pStyle w:val="SingleTxtG"/>
        <w:rPr>
          <w:lang w:val="fr-CH"/>
        </w:rPr>
      </w:pPr>
      <w:r w:rsidRPr="0071782F">
        <w:rPr>
          <w:lang w:val="fr-CH"/>
        </w:rPr>
        <w:t>251.</w:t>
      </w:r>
      <w:r w:rsidRPr="0071782F">
        <w:rPr>
          <w:lang w:val="fr-CH"/>
        </w:rPr>
        <w:tab/>
      </w:r>
      <w:r w:rsidR="00A97A11" w:rsidRPr="0071782F">
        <w:rPr>
          <w:lang w:val="fr-CH"/>
        </w:rPr>
        <w:t xml:space="preserve">La présente </w:t>
      </w:r>
      <w:r w:rsidRPr="0071782F">
        <w:rPr>
          <w:lang w:val="fr-CH"/>
        </w:rPr>
        <w:t xml:space="preserve">section </w:t>
      </w:r>
      <w:r w:rsidR="00A97A11" w:rsidRPr="0071782F">
        <w:rPr>
          <w:lang w:val="fr-CH"/>
        </w:rPr>
        <w:t xml:space="preserve">comprend deux parties. La première examine les activités menées par le </w:t>
      </w:r>
      <w:r w:rsidR="00BD5FF1" w:rsidRPr="0071782F">
        <w:rPr>
          <w:lang w:val="fr-CH"/>
        </w:rPr>
        <w:t>Ministère de la santé et de la formation médicale</w:t>
      </w:r>
      <w:r w:rsidR="00A97A11" w:rsidRPr="0071782F">
        <w:rPr>
          <w:lang w:val="fr-CH"/>
        </w:rPr>
        <w:t xml:space="preserve"> pour améli</w:t>
      </w:r>
      <w:r w:rsidR="00D269E7" w:rsidRPr="0071782F">
        <w:rPr>
          <w:lang w:val="fr-CH"/>
        </w:rPr>
        <w:t>or</w:t>
      </w:r>
      <w:r w:rsidR="00A97A11" w:rsidRPr="0071782F">
        <w:rPr>
          <w:lang w:val="fr-CH"/>
        </w:rPr>
        <w:t xml:space="preserve">er la santé physique et mentale de la population, le pourcentage </w:t>
      </w:r>
      <w:r w:rsidR="00D82C96" w:rsidRPr="0071782F">
        <w:rPr>
          <w:lang w:val="fr-CH"/>
        </w:rPr>
        <w:t>de personnes</w:t>
      </w:r>
      <w:r w:rsidR="00A97A11" w:rsidRPr="0071782F">
        <w:rPr>
          <w:lang w:val="fr-CH"/>
        </w:rPr>
        <w:t xml:space="preserve"> ayant accès à l’eau salubre et aux services d’enlèvement des ordures</w:t>
      </w:r>
      <w:r w:rsidRPr="0071782F">
        <w:rPr>
          <w:lang w:val="fr-CH"/>
        </w:rPr>
        <w:t xml:space="preserve">, </w:t>
      </w:r>
      <w:r w:rsidR="00A97A11" w:rsidRPr="0071782F">
        <w:rPr>
          <w:lang w:val="fr-CH"/>
        </w:rPr>
        <w:t xml:space="preserve">la </w:t>
      </w:r>
      <w:r w:rsidRPr="0071782F">
        <w:rPr>
          <w:lang w:val="fr-CH"/>
        </w:rPr>
        <w:t>vaccination</w:t>
      </w:r>
      <w:r w:rsidR="00A97A11" w:rsidRPr="0071782F">
        <w:rPr>
          <w:lang w:val="fr-CH"/>
        </w:rPr>
        <w:t xml:space="preserve"> des enfants</w:t>
      </w:r>
      <w:r w:rsidRPr="0071782F">
        <w:rPr>
          <w:lang w:val="fr-CH"/>
        </w:rPr>
        <w:t xml:space="preserve">, </w:t>
      </w:r>
      <w:r w:rsidR="00A97A11" w:rsidRPr="0071782F">
        <w:rPr>
          <w:lang w:val="fr-CH"/>
        </w:rPr>
        <w:t>l’accès à un personnel médical qualifié</w:t>
      </w:r>
      <w:r w:rsidRPr="0071782F">
        <w:rPr>
          <w:lang w:val="fr-CH"/>
        </w:rPr>
        <w:t xml:space="preserve">, </w:t>
      </w:r>
      <w:r w:rsidR="00A97A11" w:rsidRPr="0071782F">
        <w:rPr>
          <w:lang w:val="fr-CH"/>
        </w:rPr>
        <w:t>l’</w:t>
      </w:r>
      <w:r w:rsidRPr="0071782F">
        <w:rPr>
          <w:lang w:val="fr-CH"/>
        </w:rPr>
        <w:t xml:space="preserve">impact </w:t>
      </w:r>
      <w:r w:rsidR="00A97A11" w:rsidRPr="0071782F">
        <w:rPr>
          <w:lang w:val="fr-CH"/>
        </w:rPr>
        <w:t xml:space="preserve">des mesures prises par le gouvernement pour améliorer la situation des groupes défavorisés et </w:t>
      </w:r>
      <w:r w:rsidRPr="0071782F">
        <w:rPr>
          <w:lang w:val="fr-CH"/>
        </w:rPr>
        <w:t>vuln</w:t>
      </w:r>
      <w:r w:rsidR="00A97A11" w:rsidRPr="0071782F">
        <w:rPr>
          <w:lang w:val="fr-CH"/>
        </w:rPr>
        <w:t>é</w:t>
      </w:r>
      <w:r w:rsidRPr="0071782F">
        <w:rPr>
          <w:lang w:val="fr-CH"/>
        </w:rPr>
        <w:t>rable</w:t>
      </w:r>
      <w:r w:rsidR="00A97A11" w:rsidRPr="0071782F">
        <w:rPr>
          <w:lang w:val="fr-CH"/>
        </w:rPr>
        <w:t xml:space="preserve">s, et la formation aux modes d’action préventive et de lutte contre la propagation des maladies courantes. La seconde partie traite des mesures adoptées par l’Organisme public de protection sociale pour aider </w:t>
      </w:r>
      <w:r w:rsidR="00A233C2" w:rsidRPr="0071782F">
        <w:rPr>
          <w:lang w:val="fr-CH"/>
        </w:rPr>
        <w:t>les personnes</w:t>
      </w:r>
      <w:r w:rsidR="00A97A11" w:rsidRPr="0071782F">
        <w:rPr>
          <w:lang w:val="fr-CH"/>
        </w:rPr>
        <w:t xml:space="preserve"> handicapées et </w:t>
      </w:r>
      <w:r w:rsidR="00A233C2" w:rsidRPr="0071782F">
        <w:rPr>
          <w:lang w:val="fr-CH"/>
        </w:rPr>
        <w:t>les personnes</w:t>
      </w:r>
      <w:r w:rsidR="00A97A11" w:rsidRPr="0071782F">
        <w:rPr>
          <w:lang w:val="fr-CH"/>
        </w:rPr>
        <w:t xml:space="preserve"> âgées</w:t>
      </w:r>
      <w:r w:rsidRPr="0071782F">
        <w:rPr>
          <w:lang w:val="fr-CH"/>
        </w:rPr>
        <w:t>.</w:t>
      </w:r>
    </w:p>
    <w:p w:rsidR="008A7415" w:rsidRPr="0071782F" w:rsidRDefault="008A7415" w:rsidP="00204410">
      <w:pPr>
        <w:pStyle w:val="H23G"/>
        <w:rPr>
          <w:lang w:val="fr-CH"/>
        </w:rPr>
      </w:pPr>
      <w:r w:rsidRPr="0071782F">
        <w:rPr>
          <w:lang w:val="fr-CH"/>
        </w:rPr>
        <w:tab/>
      </w:r>
      <w:r w:rsidRPr="0071782F">
        <w:rPr>
          <w:lang w:val="fr-CH"/>
        </w:rPr>
        <w:tab/>
      </w:r>
      <w:r w:rsidR="00A97A11" w:rsidRPr="0071782F">
        <w:rPr>
          <w:lang w:val="fr-CH"/>
        </w:rPr>
        <w:t xml:space="preserve">Stratégies de santé publique </w:t>
      </w:r>
    </w:p>
    <w:p w:rsidR="008A7415" w:rsidRPr="0071782F" w:rsidRDefault="008A7415" w:rsidP="00204410">
      <w:pPr>
        <w:pStyle w:val="SingleTxtG"/>
        <w:rPr>
          <w:lang w:val="fr-CH"/>
        </w:rPr>
      </w:pPr>
      <w:r w:rsidRPr="0071782F">
        <w:rPr>
          <w:lang w:val="fr-CH"/>
        </w:rPr>
        <w:t>252.</w:t>
      </w:r>
      <w:r w:rsidRPr="0071782F">
        <w:rPr>
          <w:lang w:val="fr-CH"/>
        </w:rPr>
        <w:tab/>
      </w:r>
      <w:r w:rsidR="000B34B7" w:rsidRPr="0071782F">
        <w:rPr>
          <w:lang w:val="fr-CH"/>
        </w:rPr>
        <w:t xml:space="preserve">Le pays applique les stratégies de santé publique prévues dans la </w:t>
      </w:r>
      <w:r w:rsidRPr="0071782F">
        <w:rPr>
          <w:lang w:val="fr-CH"/>
        </w:rPr>
        <w:t>Constitution</w:t>
      </w:r>
      <w:r w:rsidR="000B34B7" w:rsidRPr="0071782F">
        <w:rPr>
          <w:lang w:val="fr-CH"/>
        </w:rPr>
        <w:t xml:space="preserve">, la loi portant création du </w:t>
      </w:r>
      <w:r w:rsidR="00BD5FF1" w:rsidRPr="0071782F">
        <w:rPr>
          <w:lang w:val="fr-CH"/>
        </w:rPr>
        <w:t>Ministère de la santé et de la formation médicale</w:t>
      </w:r>
      <w:r w:rsidR="000B34B7" w:rsidRPr="0071782F">
        <w:rPr>
          <w:lang w:val="fr-CH"/>
        </w:rPr>
        <w:t xml:space="preserve"> et les lois relatives aux plans quinquennaux de développement. On expose ci-après les </w:t>
      </w:r>
      <w:r w:rsidRPr="0071782F">
        <w:rPr>
          <w:lang w:val="fr-CH"/>
        </w:rPr>
        <w:t>strat</w:t>
      </w:r>
      <w:r w:rsidR="000B34B7" w:rsidRPr="0071782F">
        <w:rPr>
          <w:lang w:val="fr-CH"/>
        </w:rPr>
        <w:t>é</w:t>
      </w:r>
      <w:r w:rsidRPr="0071782F">
        <w:rPr>
          <w:lang w:val="fr-CH"/>
        </w:rPr>
        <w:t xml:space="preserve">gies </w:t>
      </w:r>
      <w:r w:rsidR="000B34B7" w:rsidRPr="0071782F">
        <w:rPr>
          <w:lang w:val="fr-CH"/>
        </w:rPr>
        <w:t xml:space="preserve">et politiques générales du pays en matière de soins et de traitements médicaux. </w:t>
      </w:r>
    </w:p>
    <w:p w:rsidR="008A7415" w:rsidRPr="0071782F" w:rsidRDefault="008A7415" w:rsidP="00204410">
      <w:pPr>
        <w:pStyle w:val="H1G"/>
        <w:rPr>
          <w:lang w:val="fr-CH"/>
        </w:rPr>
      </w:pPr>
      <w:r w:rsidRPr="0071782F">
        <w:rPr>
          <w:lang w:val="fr-CH"/>
        </w:rPr>
        <w:tab/>
      </w:r>
      <w:r w:rsidRPr="0071782F">
        <w:rPr>
          <w:lang w:val="fr-CH"/>
        </w:rPr>
        <w:tab/>
        <w:t xml:space="preserve">Constitution </w:t>
      </w:r>
    </w:p>
    <w:p w:rsidR="008A7415" w:rsidRPr="0071782F" w:rsidRDefault="008A7415" w:rsidP="00204410">
      <w:pPr>
        <w:pStyle w:val="SingleTxtG"/>
        <w:rPr>
          <w:lang w:val="fr-CH"/>
        </w:rPr>
      </w:pPr>
      <w:r w:rsidRPr="0071782F">
        <w:rPr>
          <w:lang w:val="fr-CH"/>
        </w:rPr>
        <w:t>253.</w:t>
      </w:r>
      <w:r w:rsidRPr="0071782F">
        <w:rPr>
          <w:lang w:val="fr-CH"/>
        </w:rPr>
        <w:tab/>
      </w:r>
      <w:r w:rsidR="00723F2B" w:rsidRPr="0071782F">
        <w:rPr>
          <w:lang w:val="fr-CH"/>
        </w:rPr>
        <w:t>L’</w:t>
      </w:r>
      <w:r w:rsidR="00943A69" w:rsidRPr="0071782F">
        <w:rPr>
          <w:lang w:val="fr-CH"/>
        </w:rPr>
        <w:t>article </w:t>
      </w:r>
      <w:r w:rsidRPr="0071782F">
        <w:rPr>
          <w:lang w:val="fr-CH"/>
        </w:rPr>
        <w:t xml:space="preserve">29 </w:t>
      </w:r>
      <w:r w:rsidR="000B34B7" w:rsidRPr="0071782F">
        <w:rPr>
          <w:lang w:val="fr-CH"/>
        </w:rPr>
        <w:t>dispose notamment ce qui suit</w:t>
      </w:r>
      <w:r w:rsidR="008F7D33" w:rsidRPr="0071782F">
        <w:rPr>
          <w:lang w:val="fr-CH"/>
        </w:rPr>
        <w:t>:</w:t>
      </w:r>
      <w:r w:rsidRPr="0071782F">
        <w:rPr>
          <w:lang w:val="fr-CH"/>
        </w:rPr>
        <w:t xml:space="preserve"> </w:t>
      </w:r>
    </w:p>
    <w:p w:rsidR="008A7415" w:rsidRPr="0071782F" w:rsidRDefault="008A7415" w:rsidP="007A0D36">
      <w:pPr>
        <w:pStyle w:val="SingleTxtG"/>
        <w:ind w:left="1701"/>
        <w:rPr>
          <w:spacing w:val="-2"/>
          <w:lang w:val="fr-CH"/>
        </w:rPr>
      </w:pPr>
      <w:r w:rsidRPr="0071782F">
        <w:rPr>
          <w:spacing w:val="-2"/>
          <w:lang w:val="fr-CH"/>
        </w:rPr>
        <w:t>253.1.</w:t>
      </w:r>
      <w:r w:rsidRPr="0071782F">
        <w:rPr>
          <w:spacing w:val="-2"/>
          <w:lang w:val="fr-CH"/>
        </w:rPr>
        <w:tab/>
      </w:r>
      <w:r w:rsidR="00A62149" w:rsidRPr="0071782F">
        <w:rPr>
          <w:spacing w:val="-2"/>
          <w:lang w:val="fr-CH"/>
        </w:rPr>
        <w:t>"</w:t>
      </w:r>
      <w:r w:rsidRPr="0071782F">
        <w:rPr>
          <w:spacing w:val="-2"/>
          <w:lang w:val="fr-CH"/>
        </w:rPr>
        <w:t xml:space="preserve">… </w:t>
      </w:r>
      <w:r w:rsidR="000B34B7" w:rsidRPr="0071782F">
        <w:rPr>
          <w:spacing w:val="-2"/>
          <w:lang w:val="fr-CH"/>
        </w:rPr>
        <w:t xml:space="preserve">L’accès aux services médicaux et aux soins de santé par le biais d’une assurance, </w:t>
      </w:r>
      <w:r w:rsidRPr="0071782F">
        <w:rPr>
          <w:spacing w:val="-2"/>
          <w:lang w:val="fr-CH"/>
        </w:rPr>
        <w:t xml:space="preserve">etc. </w:t>
      </w:r>
      <w:r w:rsidR="000B34B7" w:rsidRPr="0071782F">
        <w:rPr>
          <w:spacing w:val="-2"/>
          <w:lang w:val="fr-CH"/>
        </w:rPr>
        <w:t>est un droit universel</w:t>
      </w:r>
      <w:r w:rsidRPr="0071782F">
        <w:rPr>
          <w:spacing w:val="-2"/>
          <w:lang w:val="fr-CH"/>
        </w:rPr>
        <w:t xml:space="preserve">. </w:t>
      </w:r>
      <w:r w:rsidR="000B34B7" w:rsidRPr="0071782F">
        <w:rPr>
          <w:spacing w:val="-2"/>
          <w:lang w:val="fr-CH"/>
        </w:rPr>
        <w:t>Conformément à la loi</w:t>
      </w:r>
      <w:r w:rsidRPr="0071782F">
        <w:rPr>
          <w:spacing w:val="-2"/>
          <w:lang w:val="fr-CH"/>
        </w:rPr>
        <w:t xml:space="preserve">, </w:t>
      </w:r>
      <w:r w:rsidR="000B34B7" w:rsidRPr="0071782F">
        <w:rPr>
          <w:spacing w:val="-2"/>
          <w:lang w:val="fr-CH"/>
        </w:rPr>
        <w:t xml:space="preserve">l’État est tenu de fournir ce soutien financier et ces services à tous les citoyens en les finançant </w:t>
      </w:r>
      <w:r w:rsidR="00D269E7" w:rsidRPr="0071782F">
        <w:rPr>
          <w:spacing w:val="-2"/>
          <w:lang w:val="fr-CH"/>
        </w:rPr>
        <w:t xml:space="preserve">par prélèvement </w:t>
      </w:r>
      <w:r w:rsidR="000B34B7" w:rsidRPr="0071782F">
        <w:rPr>
          <w:spacing w:val="-2"/>
          <w:lang w:val="fr-CH"/>
        </w:rPr>
        <w:t>sur les recettes publiques et les recettes tirées de la participation du public.</w:t>
      </w:r>
      <w:r w:rsidR="00A62149" w:rsidRPr="0071782F">
        <w:rPr>
          <w:spacing w:val="-2"/>
          <w:lang w:val="fr-CH"/>
        </w:rPr>
        <w:t>"</w:t>
      </w:r>
    </w:p>
    <w:p w:rsidR="008A7415" w:rsidRPr="0071782F" w:rsidRDefault="008A7415" w:rsidP="007A0D36">
      <w:pPr>
        <w:pStyle w:val="SingleTxtG"/>
        <w:ind w:left="1701"/>
        <w:rPr>
          <w:lang w:val="fr-CH"/>
        </w:rPr>
      </w:pPr>
      <w:r w:rsidRPr="0071782F">
        <w:rPr>
          <w:lang w:val="fr-CH"/>
        </w:rPr>
        <w:t>253.2.</w:t>
      </w:r>
      <w:r w:rsidRPr="0071782F">
        <w:rPr>
          <w:lang w:val="fr-CH"/>
        </w:rPr>
        <w:tab/>
      </w:r>
      <w:r w:rsidR="00723F2B" w:rsidRPr="0071782F">
        <w:rPr>
          <w:lang w:val="fr-CH"/>
        </w:rPr>
        <w:t>L’</w:t>
      </w:r>
      <w:r w:rsidR="00943A69" w:rsidRPr="0071782F">
        <w:rPr>
          <w:lang w:val="fr-CH"/>
        </w:rPr>
        <w:t>article </w:t>
      </w:r>
      <w:r w:rsidRPr="0071782F">
        <w:rPr>
          <w:lang w:val="fr-CH"/>
        </w:rPr>
        <w:t xml:space="preserve">43 </w:t>
      </w:r>
      <w:r w:rsidR="000B34B7" w:rsidRPr="0071782F">
        <w:rPr>
          <w:lang w:val="fr-CH"/>
        </w:rPr>
        <w:t xml:space="preserve">prévoit la prise en charge des besoins essentiels, tels que le logement, la nourriture, l’habillement, les soins de santé, l’éducation et les moyens nécessaires pour fonder </w:t>
      </w:r>
      <w:r w:rsidR="001F3F05" w:rsidRPr="0071782F">
        <w:rPr>
          <w:lang w:val="fr-CH"/>
        </w:rPr>
        <w:t>une famille</w:t>
      </w:r>
      <w:r w:rsidR="000B34B7" w:rsidRPr="0071782F">
        <w:rPr>
          <w:lang w:val="fr-CH"/>
        </w:rPr>
        <w:t xml:space="preserve">, ainsi que l’élimination, en vertu du </w:t>
      </w:r>
      <w:r w:rsidR="00723F2B" w:rsidRPr="0071782F">
        <w:rPr>
          <w:lang w:val="fr-CH"/>
        </w:rPr>
        <w:t>paragraphe </w:t>
      </w:r>
      <w:r w:rsidRPr="0071782F">
        <w:rPr>
          <w:lang w:val="fr-CH"/>
        </w:rPr>
        <w:t xml:space="preserve">12 </w:t>
      </w:r>
      <w:r w:rsidR="000B34B7"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3, </w:t>
      </w:r>
      <w:r w:rsidR="000B34B7" w:rsidRPr="0071782F">
        <w:rPr>
          <w:lang w:val="fr-CH"/>
        </w:rPr>
        <w:t>de toute carence dans les domaines de la</w:t>
      </w:r>
      <w:r w:rsidRPr="0071782F">
        <w:rPr>
          <w:lang w:val="fr-CH"/>
        </w:rPr>
        <w:t xml:space="preserve"> nutrition, </w:t>
      </w:r>
      <w:r w:rsidR="000B34B7" w:rsidRPr="0071782F">
        <w:rPr>
          <w:lang w:val="fr-CH"/>
        </w:rPr>
        <w:t>du logement, de l’emploi</w:t>
      </w:r>
      <w:r w:rsidR="00D269E7" w:rsidRPr="0071782F">
        <w:rPr>
          <w:lang w:val="fr-CH"/>
        </w:rPr>
        <w:t>,</w:t>
      </w:r>
      <w:r w:rsidR="000B34B7" w:rsidRPr="0071782F">
        <w:rPr>
          <w:lang w:val="fr-CH"/>
        </w:rPr>
        <w:t xml:space="preserve"> des soins médicaux et de la couverture assurantielle</w:t>
      </w:r>
      <w:r w:rsidRPr="0071782F">
        <w:rPr>
          <w:lang w:val="fr-CH"/>
        </w:rPr>
        <w:t>.</w:t>
      </w:r>
    </w:p>
    <w:p w:rsidR="008A7415" w:rsidRPr="0071782F" w:rsidRDefault="008A7415" w:rsidP="007A0D36">
      <w:pPr>
        <w:pStyle w:val="SingleTxtG"/>
        <w:ind w:left="1701"/>
        <w:rPr>
          <w:spacing w:val="-2"/>
          <w:lang w:val="fr-CH"/>
        </w:rPr>
      </w:pPr>
      <w:r w:rsidRPr="0071782F">
        <w:rPr>
          <w:spacing w:val="-2"/>
          <w:lang w:val="fr-CH"/>
        </w:rPr>
        <w:t>253.3.</w:t>
      </w:r>
      <w:r w:rsidRPr="0071782F">
        <w:rPr>
          <w:spacing w:val="-2"/>
          <w:lang w:val="fr-CH"/>
        </w:rPr>
        <w:tab/>
      </w:r>
      <w:r w:rsidR="00723F2B" w:rsidRPr="0071782F">
        <w:rPr>
          <w:spacing w:val="-2"/>
          <w:lang w:val="fr-CH"/>
        </w:rPr>
        <w:t>L’</w:t>
      </w:r>
      <w:r w:rsidR="00943A69" w:rsidRPr="0071782F">
        <w:rPr>
          <w:spacing w:val="-2"/>
          <w:lang w:val="fr-CH"/>
        </w:rPr>
        <w:t>article </w:t>
      </w:r>
      <w:r w:rsidRPr="0071782F">
        <w:rPr>
          <w:spacing w:val="-2"/>
          <w:lang w:val="fr-CH"/>
        </w:rPr>
        <w:t xml:space="preserve">21 </w:t>
      </w:r>
      <w:r w:rsidR="000B34B7" w:rsidRPr="0071782F">
        <w:rPr>
          <w:spacing w:val="-2"/>
          <w:lang w:val="fr-CH"/>
        </w:rPr>
        <w:t>souligne la nécessité de fournir un appui aux mères, en particulier pendant la grossesse, et une protection et un soutien aux enfants sans tuteur</w:t>
      </w:r>
      <w:r w:rsidRPr="0071782F">
        <w:rPr>
          <w:spacing w:val="-2"/>
          <w:lang w:val="fr-CH"/>
        </w:rPr>
        <w:t>.</w:t>
      </w:r>
    </w:p>
    <w:p w:rsidR="008A7415" w:rsidRPr="0071782F" w:rsidRDefault="008A7415" w:rsidP="00204410">
      <w:pPr>
        <w:pStyle w:val="H1G"/>
        <w:rPr>
          <w:lang w:val="fr-CH"/>
        </w:rPr>
      </w:pPr>
      <w:r w:rsidRPr="0071782F">
        <w:rPr>
          <w:lang w:val="fr-CH"/>
        </w:rPr>
        <w:tab/>
      </w:r>
      <w:r w:rsidRPr="0071782F">
        <w:rPr>
          <w:lang w:val="fr-CH"/>
        </w:rPr>
        <w:tab/>
      </w:r>
      <w:r w:rsidR="000B34B7" w:rsidRPr="0071782F">
        <w:rPr>
          <w:lang w:val="fr-CH"/>
        </w:rPr>
        <w:t xml:space="preserve">Les soins médicaux dans le </w:t>
      </w:r>
      <w:r w:rsidR="00A90208" w:rsidRPr="0071782F">
        <w:rPr>
          <w:lang w:val="fr-CH"/>
        </w:rPr>
        <w:t>quatrième</w:t>
      </w:r>
      <w:r w:rsidR="000B34B7" w:rsidRPr="0071782F">
        <w:rPr>
          <w:lang w:val="fr-CH"/>
        </w:rPr>
        <w:t xml:space="preserve"> plan de développement </w:t>
      </w:r>
    </w:p>
    <w:p w:rsidR="008A7415" w:rsidRPr="0071782F" w:rsidRDefault="008A7415" w:rsidP="00204410">
      <w:pPr>
        <w:pStyle w:val="SingleTxtG"/>
        <w:rPr>
          <w:lang w:val="fr-CH"/>
        </w:rPr>
      </w:pPr>
      <w:r w:rsidRPr="0071782F">
        <w:rPr>
          <w:lang w:val="fr-CH"/>
        </w:rPr>
        <w:t>254.</w:t>
      </w:r>
      <w:r w:rsidRPr="0071782F">
        <w:rPr>
          <w:lang w:val="fr-CH"/>
        </w:rPr>
        <w:tab/>
      </w:r>
      <w:r w:rsidR="00C12C5D" w:rsidRPr="0071782F">
        <w:rPr>
          <w:lang w:val="fr-CH"/>
        </w:rPr>
        <w:t>Afin d’</w:t>
      </w:r>
      <w:r w:rsidRPr="0071782F">
        <w:rPr>
          <w:lang w:val="fr-CH"/>
        </w:rPr>
        <w:t>institution</w:t>
      </w:r>
      <w:r w:rsidR="00C12C5D" w:rsidRPr="0071782F">
        <w:rPr>
          <w:lang w:val="fr-CH"/>
        </w:rPr>
        <w:t>naliser la gestion, la formulation des politiques, l’é</w:t>
      </w:r>
      <w:r w:rsidRPr="0071782F">
        <w:rPr>
          <w:lang w:val="fr-CH"/>
        </w:rPr>
        <w:t xml:space="preserve">valuation </w:t>
      </w:r>
      <w:r w:rsidR="00C12C5D" w:rsidRPr="0071782F">
        <w:rPr>
          <w:lang w:val="fr-CH"/>
        </w:rPr>
        <w:t xml:space="preserve">et la </w:t>
      </w:r>
      <w:r w:rsidRPr="0071782F">
        <w:rPr>
          <w:lang w:val="fr-CH"/>
        </w:rPr>
        <w:t xml:space="preserve">coordination </w:t>
      </w:r>
      <w:r w:rsidR="00C12C5D" w:rsidRPr="0071782F">
        <w:rPr>
          <w:lang w:val="fr-CH"/>
        </w:rPr>
        <w:t>dans le secteur de la santé</w:t>
      </w:r>
      <w:r w:rsidRPr="0071782F">
        <w:rPr>
          <w:lang w:val="fr-CH"/>
        </w:rPr>
        <w:t xml:space="preserve">, </w:t>
      </w:r>
      <w:r w:rsidR="00C12C5D" w:rsidRPr="0071782F">
        <w:rPr>
          <w:lang w:val="fr-CH"/>
        </w:rPr>
        <w:t xml:space="preserve">l’État est tenu de prendre les mesures énumérées ci-après pour garantir, entre autres, la sécurité alimentaire, une alimentation saine, la fourniture du panier alimentaire recommandé, le recul des maladies causées par la </w:t>
      </w:r>
      <w:r w:rsidRPr="0071782F">
        <w:rPr>
          <w:lang w:val="fr-CH"/>
        </w:rPr>
        <w:t>malnutrition</w:t>
      </w:r>
      <w:r w:rsidR="00C12C5D" w:rsidRPr="0071782F">
        <w:rPr>
          <w:lang w:val="fr-CH"/>
        </w:rPr>
        <w:t xml:space="preserve"> et le développement de la santé publique.</w:t>
      </w:r>
    </w:p>
    <w:p w:rsidR="008A7415" w:rsidRPr="0071782F" w:rsidRDefault="008A7415" w:rsidP="000E4F15">
      <w:pPr>
        <w:pStyle w:val="SingleTxtG"/>
        <w:ind w:left="1701"/>
        <w:rPr>
          <w:lang w:val="fr-CH"/>
        </w:rPr>
      </w:pPr>
      <w:r w:rsidRPr="0071782F">
        <w:rPr>
          <w:lang w:val="fr-CH"/>
        </w:rPr>
        <w:t>254.1.</w:t>
      </w:r>
      <w:r w:rsidRPr="0071782F">
        <w:rPr>
          <w:lang w:val="fr-CH"/>
        </w:rPr>
        <w:tab/>
      </w:r>
      <w:r w:rsidR="008E766A" w:rsidRPr="0071782F">
        <w:rPr>
          <w:lang w:val="fr-CH"/>
        </w:rPr>
        <w:t>Création du Haut Conseil de la sécurité alimentaire et de la santé et du Haut Conseil de la santé conformément aux procédures juridiques y relatives</w:t>
      </w:r>
      <w:r w:rsidR="000E4F15" w:rsidRPr="0071782F">
        <w:rPr>
          <w:lang w:val="fr-CH"/>
        </w:rPr>
        <w:t>.</w:t>
      </w:r>
    </w:p>
    <w:p w:rsidR="008A7415" w:rsidRPr="0071782F" w:rsidRDefault="008A7415" w:rsidP="000E4F15">
      <w:pPr>
        <w:pStyle w:val="SingleTxtG"/>
        <w:ind w:left="1701"/>
        <w:rPr>
          <w:lang w:val="fr-CH"/>
        </w:rPr>
      </w:pPr>
      <w:r w:rsidRPr="0071782F">
        <w:rPr>
          <w:lang w:val="fr-CH"/>
        </w:rPr>
        <w:t>254.2.</w:t>
      </w:r>
      <w:r w:rsidRPr="0071782F">
        <w:rPr>
          <w:lang w:val="fr-CH"/>
        </w:rPr>
        <w:tab/>
        <w:t xml:space="preserve">Formulation </w:t>
      </w:r>
      <w:r w:rsidR="008E766A" w:rsidRPr="0071782F">
        <w:rPr>
          <w:lang w:val="fr-CH"/>
        </w:rPr>
        <w:t>et exé</w:t>
      </w:r>
      <w:r w:rsidRPr="0071782F">
        <w:rPr>
          <w:lang w:val="fr-CH"/>
        </w:rPr>
        <w:t xml:space="preserve">cution </w:t>
      </w:r>
      <w:r w:rsidR="008E766A" w:rsidRPr="0071782F">
        <w:rPr>
          <w:lang w:val="fr-CH"/>
        </w:rPr>
        <w:t xml:space="preserve">des programmes éducatifs nécessaires au développement d’une culture et de connaissances en matière de </w:t>
      </w:r>
      <w:r w:rsidRPr="0071782F">
        <w:rPr>
          <w:lang w:val="fr-CH"/>
        </w:rPr>
        <w:t>nutrition</w:t>
      </w:r>
      <w:r w:rsidR="000E4F15" w:rsidRPr="0071782F">
        <w:rPr>
          <w:lang w:val="fr-CH"/>
        </w:rPr>
        <w:t>.</w:t>
      </w:r>
    </w:p>
    <w:p w:rsidR="008A7415" w:rsidRPr="0071782F" w:rsidRDefault="008A7415" w:rsidP="000E4F15">
      <w:pPr>
        <w:pStyle w:val="SingleTxtG"/>
        <w:ind w:left="1701"/>
        <w:rPr>
          <w:lang w:val="fr-CH"/>
        </w:rPr>
      </w:pPr>
      <w:r w:rsidRPr="0071782F">
        <w:rPr>
          <w:lang w:val="fr-CH"/>
        </w:rPr>
        <w:t>254.3.</w:t>
      </w:r>
      <w:r w:rsidRPr="0071782F">
        <w:rPr>
          <w:lang w:val="fr-CH"/>
        </w:rPr>
        <w:tab/>
      </w:r>
      <w:r w:rsidR="008E766A" w:rsidRPr="0071782F">
        <w:rPr>
          <w:lang w:val="fr-CH"/>
        </w:rPr>
        <w:t xml:space="preserve">Collaboration des organismes de radiodiffusion et des organes exécutifs de la République islamique d’Iran avec le </w:t>
      </w:r>
      <w:r w:rsidR="00BD5FF1" w:rsidRPr="0071782F">
        <w:rPr>
          <w:lang w:val="fr-CH"/>
        </w:rPr>
        <w:t>Ministère de la santé et de la formation médicale</w:t>
      </w:r>
      <w:r w:rsidR="008E766A" w:rsidRPr="0071782F">
        <w:rPr>
          <w:lang w:val="fr-CH"/>
        </w:rPr>
        <w:t xml:space="preserve"> à la </w:t>
      </w:r>
      <w:r w:rsidRPr="0071782F">
        <w:rPr>
          <w:lang w:val="fr-CH"/>
        </w:rPr>
        <w:t xml:space="preserve">formulation </w:t>
      </w:r>
      <w:r w:rsidR="008E766A" w:rsidRPr="0071782F">
        <w:rPr>
          <w:lang w:val="fr-CH"/>
        </w:rPr>
        <w:t>et à l’exé</w:t>
      </w:r>
      <w:r w:rsidRPr="0071782F">
        <w:rPr>
          <w:lang w:val="fr-CH"/>
        </w:rPr>
        <w:t xml:space="preserve">cution </w:t>
      </w:r>
      <w:r w:rsidR="008E766A" w:rsidRPr="0071782F">
        <w:rPr>
          <w:lang w:val="fr-CH"/>
        </w:rPr>
        <w:t>d’un plan intégré à ce</w:t>
      </w:r>
      <w:r w:rsidR="003D58D0" w:rsidRPr="0071782F">
        <w:rPr>
          <w:lang w:val="fr-CH"/>
        </w:rPr>
        <w:t>t effet</w:t>
      </w:r>
      <w:r w:rsidR="008E766A" w:rsidRPr="0071782F">
        <w:rPr>
          <w:lang w:val="fr-CH"/>
        </w:rPr>
        <w:t>; ces organ</w:t>
      </w:r>
      <w:r w:rsidR="003D58D0" w:rsidRPr="0071782F">
        <w:rPr>
          <w:lang w:val="fr-CH"/>
        </w:rPr>
        <w:t>is</w:t>
      </w:r>
      <w:r w:rsidR="008E766A" w:rsidRPr="0071782F">
        <w:rPr>
          <w:lang w:val="fr-CH"/>
        </w:rPr>
        <w:t xml:space="preserve">mes et organes sont invités à ne pas faire de la publicité pour des </w:t>
      </w:r>
      <w:r w:rsidR="00723F2B" w:rsidRPr="0071782F">
        <w:rPr>
          <w:lang w:val="fr-CH"/>
        </w:rPr>
        <w:t>articles </w:t>
      </w:r>
      <w:r w:rsidR="008E766A" w:rsidRPr="0071782F">
        <w:rPr>
          <w:lang w:val="fr-CH"/>
        </w:rPr>
        <w:t>et produits qui sont nocifs pour la santé</w:t>
      </w:r>
      <w:r w:rsidR="000E4F15" w:rsidRPr="0071782F">
        <w:rPr>
          <w:lang w:val="fr-CH"/>
        </w:rPr>
        <w:t>.</w:t>
      </w:r>
    </w:p>
    <w:p w:rsidR="008A7415" w:rsidRPr="0071782F" w:rsidRDefault="008A7415" w:rsidP="000E4F15">
      <w:pPr>
        <w:pStyle w:val="SingleTxtG"/>
        <w:ind w:left="1701"/>
        <w:rPr>
          <w:lang w:val="fr-CH"/>
        </w:rPr>
      </w:pPr>
      <w:r w:rsidRPr="0071782F">
        <w:rPr>
          <w:lang w:val="fr-CH"/>
        </w:rPr>
        <w:t>254.4.</w:t>
      </w:r>
      <w:r w:rsidRPr="0071782F">
        <w:rPr>
          <w:lang w:val="fr-CH"/>
        </w:rPr>
        <w:tab/>
        <w:t xml:space="preserve">Allocation </w:t>
      </w:r>
      <w:r w:rsidR="001F6314" w:rsidRPr="0071782F">
        <w:rPr>
          <w:lang w:val="fr-CH"/>
        </w:rPr>
        <w:t>de cré</w:t>
      </w:r>
      <w:r w:rsidRPr="0071782F">
        <w:rPr>
          <w:lang w:val="fr-CH"/>
        </w:rPr>
        <w:t>dits</w:t>
      </w:r>
      <w:r w:rsidR="001F6314" w:rsidRPr="0071782F">
        <w:rPr>
          <w:lang w:val="fr-CH"/>
        </w:rPr>
        <w:t xml:space="preserve"> budgétaires</w:t>
      </w:r>
      <w:r w:rsidRPr="0071782F">
        <w:rPr>
          <w:lang w:val="fr-CH"/>
        </w:rPr>
        <w:t xml:space="preserve">, </w:t>
      </w:r>
      <w:r w:rsidR="001F6314" w:rsidRPr="0071782F">
        <w:rPr>
          <w:lang w:val="fr-CH"/>
        </w:rPr>
        <w:t xml:space="preserve">de crédits bancaires et de subventions à la </w:t>
      </w:r>
      <w:r w:rsidRPr="0071782F">
        <w:rPr>
          <w:lang w:val="fr-CH"/>
        </w:rPr>
        <w:t xml:space="preserve">production, </w:t>
      </w:r>
      <w:r w:rsidR="001F6314" w:rsidRPr="0071782F">
        <w:rPr>
          <w:lang w:val="fr-CH"/>
        </w:rPr>
        <w:t xml:space="preserve">à la fourniture, à la </w:t>
      </w:r>
      <w:r w:rsidRPr="0071782F">
        <w:rPr>
          <w:lang w:val="fr-CH"/>
        </w:rPr>
        <w:t xml:space="preserve">distribution </w:t>
      </w:r>
      <w:r w:rsidR="001F6314" w:rsidRPr="0071782F">
        <w:rPr>
          <w:lang w:val="fr-CH"/>
        </w:rPr>
        <w:t xml:space="preserve">et à la consommation de produits alimentaires afin de garantir le panier alimentaire recommandé, et allocation des ressources nécessaires à la diffusion d’une alimentation saine sous la forme d’une distribution d’en-cas aux écoliers et d’une assistance alimentaire </w:t>
      </w:r>
      <w:r w:rsidR="00175962" w:rsidRPr="0071782F">
        <w:rPr>
          <w:lang w:val="fr-CH"/>
        </w:rPr>
        <w:t>aux personnes</w:t>
      </w:r>
      <w:r w:rsidR="001F6314" w:rsidRPr="0071782F">
        <w:rPr>
          <w:lang w:val="fr-CH"/>
        </w:rPr>
        <w:t xml:space="preserve"> défavorisées</w:t>
      </w:r>
      <w:r w:rsidR="000E4F15" w:rsidRPr="0071782F">
        <w:rPr>
          <w:lang w:val="fr-CH"/>
        </w:rPr>
        <w:t>.</w:t>
      </w:r>
    </w:p>
    <w:p w:rsidR="008A7415" w:rsidRPr="0071782F" w:rsidRDefault="008A7415" w:rsidP="000E4F15">
      <w:pPr>
        <w:pStyle w:val="SingleTxtG"/>
        <w:ind w:left="1701"/>
        <w:rPr>
          <w:lang w:val="fr-CH"/>
        </w:rPr>
      </w:pPr>
      <w:r w:rsidRPr="0071782F">
        <w:rPr>
          <w:lang w:val="fr-CH"/>
        </w:rPr>
        <w:t>254.5.</w:t>
      </w:r>
      <w:r w:rsidRPr="0071782F">
        <w:rPr>
          <w:lang w:val="fr-CH"/>
        </w:rPr>
        <w:tab/>
        <w:t xml:space="preserve">Formulation </w:t>
      </w:r>
      <w:r w:rsidR="001F6314" w:rsidRPr="0071782F">
        <w:rPr>
          <w:lang w:val="fr-CH"/>
        </w:rPr>
        <w:t>et exé</w:t>
      </w:r>
      <w:r w:rsidRPr="0071782F">
        <w:rPr>
          <w:lang w:val="fr-CH"/>
        </w:rPr>
        <w:t xml:space="preserve">cution </w:t>
      </w:r>
      <w:r w:rsidR="001F6314" w:rsidRPr="0071782F">
        <w:rPr>
          <w:lang w:val="fr-CH"/>
        </w:rPr>
        <w:t xml:space="preserve">de </w:t>
      </w:r>
      <w:r w:rsidRPr="0071782F">
        <w:rPr>
          <w:lang w:val="fr-CH"/>
        </w:rPr>
        <w:t>program</w:t>
      </w:r>
      <w:r w:rsidR="001F6314" w:rsidRPr="0071782F">
        <w:rPr>
          <w:lang w:val="fr-CH"/>
        </w:rPr>
        <w:t>me</w:t>
      </w:r>
      <w:r w:rsidRPr="0071782F">
        <w:rPr>
          <w:lang w:val="fr-CH"/>
        </w:rPr>
        <w:t xml:space="preserve">s </w:t>
      </w:r>
      <w:r w:rsidR="001F6314" w:rsidRPr="0071782F">
        <w:rPr>
          <w:lang w:val="fr-CH"/>
        </w:rPr>
        <w:t>de sécurité alimentaire, et réduction des déchets alimentaires générés depuis la production jusqu’à la consommation</w:t>
      </w:r>
      <w:r w:rsidRPr="0071782F">
        <w:rPr>
          <w:lang w:val="fr-CH"/>
        </w:rPr>
        <w:t>.</w:t>
      </w:r>
    </w:p>
    <w:p w:rsidR="008A7415" w:rsidRPr="0071782F" w:rsidRDefault="008A7415" w:rsidP="000E4F15">
      <w:pPr>
        <w:pStyle w:val="SingleTxtG"/>
        <w:ind w:left="1701"/>
        <w:rPr>
          <w:spacing w:val="-2"/>
          <w:lang w:val="fr-CH"/>
        </w:rPr>
      </w:pPr>
      <w:r w:rsidRPr="0071782F">
        <w:rPr>
          <w:spacing w:val="-2"/>
          <w:lang w:val="fr-CH"/>
        </w:rPr>
        <w:t>254.6.</w:t>
      </w:r>
      <w:r w:rsidRPr="0071782F">
        <w:rPr>
          <w:spacing w:val="-2"/>
          <w:lang w:val="fr-CH"/>
        </w:rPr>
        <w:tab/>
      </w:r>
      <w:r w:rsidR="000F2555" w:rsidRPr="0071782F">
        <w:rPr>
          <w:spacing w:val="-2"/>
          <w:lang w:val="fr-CH"/>
        </w:rPr>
        <w:t xml:space="preserve">En vertu des dispositions de </w:t>
      </w:r>
      <w:r w:rsidR="00723F2B" w:rsidRPr="0071782F">
        <w:rPr>
          <w:spacing w:val="-2"/>
          <w:lang w:val="fr-CH"/>
        </w:rPr>
        <w:t>l’</w:t>
      </w:r>
      <w:r w:rsidR="00943A69" w:rsidRPr="0071782F">
        <w:rPr>
          <w:spacing w:val="-2"/>
          <w:lang w:val="fr-CH"/>
        </w:rPr>
        <w:t>article </w:t>
      </w:r>
      <w:r w:rsidRPr="0071782F">
        <w:rPr>
          <w:spacing w:val="-2"/>
          <w:lang w:val="fr-CH"/>
        </w:rPr>
        <w:t xml:space="preserve">85 </w:t>
      </w:r>
      <w:r w:rsidR="000F2555" w:rsidRPr="0071782F">
        <w:rPr>
          <w:spacing w:val="-2"/>
          <w:lang w:val="fr-CH"/>
        </w:rPr>
        <w:t xml:space="preserve">de la loi relative au </w:t>
      </w:r>
      <w:r w:rsidR="00A90208" w:rsidRPr="0071782F">
        <w:rPr>
          <w:spacing w:val="-2"/>
          <w:lang w:val="fr-CH"/>
        </w:rPr>
        <w:t>quatrième</w:t>
      </w:r>
      <w:r w:rsidR="000F2555" w:rsidRPr="0071782F">
        <w:rPr>
          <w:spacing w:val="-2"/>
          <w:lang w:val="fr-CH"/>
        </w:rPr>
        <w:t xml:space="preserve"> plan de développement, le gouvernement est tenu d’élaborer, six</w:t>
      </w:r>
      <w:r w:rsidR="001F3F05" w:rsidRPr="0071782F">
        <w:rPr>
          <w:spacing w:val="-2"/>
          <w:lang w:val="fr-CH"/>
        </w:rPr>
        <w:t> mois</w:t>
      </w:r>
      <w:r w:rsidR="000F2555" w:rsidRPr="0071782F">
        <w:rPr>
          <w:spacing w:val="-2"/>
          <w:lang w:val="fr-CH"/>
        </w:rPr>
        <w:t xml:space="preserve"> après l’adoption de ladite loi, un projet de loi sur la </w:t>
      </w:r>
      <w:r w:rsidRPr="0071782F">
        <w:rPr>
          <w:spacing w:val="-2"/>
          <w:lang w:val="fr-CH"/>
        </w:rPr>
        <w:t>pr</w:t>
      </w:r>
      <w:r w:rsidR="000F2555" w:rsidRPr="0071782F">
        <w:rPr>
          <w:spacing w:val="-2"/>
          <w:lang w:val="fr-CH"/>
        </w:rPr>
        <w:t>é</w:t>
      </w:r>
      <w:r w:rsidRPr="0071782F">
        <w:rPr>
          <w:spacing w:val="-2"/>
          <w:lang w:val="fr-CH"/>
        </w:rPr>
        <w:t xml:space="preserve">servation </w:t>
      </w:r>
      <w:r w:rsidR="000F2555" w:rsidRPr="0071782F">
        <w:rPr>
          <w:spacing w:val="-2"/>
          <w:lang w:val="fr-CH"/>
        </w:rPr>
        <w:t>et l’amélioration de la santé publique et la réduction des risques sanitaires et de le soumettre à l’Assemblée c</w:t>
      </w:r>
      <w:r w:rsidRPr="0071782F">
        <w:rPr>
          <w:spacing w:val="-2"/>
          <w:lang w:val="fr-CH"/>
        </w:rPr>
        <w:t xml:space="preserve">onsultative </w:t>
      </w:r>
      <w:r w:rsidR="000F2555" w:rsidRPr="0071782F">
        <w:rPr>
          <w:spacing w:val="-2"/>
          <w:lang w:val="fr-CH"/>
        </w:rPr>
        <w:t>islamique pour adoption</w:t>
      </w:r>
      <w:r w:rsidRPr="0071782F">
        <w:rPr>
          <w:spacing w:val="-2"/>
          <w:lang w:val="fr-CH"/>
        </w:rPr>
        <w:t xml:space="preserve">. </w:t>
      </w:r>
      <w:r w:rsidR="000F2555" w:rsidRPr="0071782F">
        <w:rPr>
          <w:spacing w:val="-2"/>
          <w:lang w:val="fr-CH"/>
        </w:rPr>
        <w:t>Ce projet de loi doit inclure les axes d’intervention suivants</w:t>
      </w:r>
      <w:r w:rsidR="008F7D33" w:rsidRPr="0071782F">
        <w:rPr>
          <w:spacing w:val="-2"/>
          <w:lang w:val="fr-CH"/>
        </w:rPr>
        <w:t>:</w:t>
      </w:r>
      <w:r w:rsidR="00D36718">
        <w:rPr>
          <w:spacing w:val="-2"/>
          <w:lang w:val="fr-CH"/>
        </w:rPr>
        <w:t xml:space="preserve"> </w:t>
      </w:r>
    </w:p>
    <w:p w:rsidR="008A7415" w:rsidRPr="0071782F" w:rsidRDefault="008A7415" w:rsidP="000E4F15">
      <w:pPr>
        <w:pStyle w:val="SingleTxtG"/>
        <w:ind w:left="1701"/>
        <w:rPr>
          <w:lang w:val="fr-CH"/>
        </w:rPr>
      </w:pPr>
      <w:r w:rsidRPr="0071782F">
        <w:rPr>
          <w:lang w:val="fr-CH"/>
        </w:rPr>
        <w:t>254.7.</w:t>
      </w:r>
      <w:r w:rsidRPr="0071782F">
        <w:rPr>
          <w:lang w:val="fr-CH"/>
        </w:rPr>
        <w:tab/>
        <w:t>R</w:t>
      </w:r>
      <w:r w:rsidR="00E359B1" w:rsidRPr="0071782F">
        <w:rPr>
          <w:lang w:val="fr-CH"/>
        </w:rPr>
        <w:t>é</w:t>
      </w:r>
      <w:r w:rsidRPr="0071782F">
        <w:rPr>
          <w:lang w:val="fr-CH"/>
        </w:rPr>
        <w:t xml:space="preserve">duction </w:t>
      </w:r>
      <w:r w:rsidR="00E359B1" w:rsidRPr="0071782F">
        <w:rPr>
          <w:lang w:val="fr-CH"/>
        </w:rPr>
        <w:t xml:space="preserve">des </w:t>
      </w:r>
      <w:r w:rsidRPr="0071782F">
        <w:rPr>
          <w:lang w:val="fr-CH"/>
        </w:rPr>
        <w:t xml:space="preserve">accidents </w:t>
      </w:r>
      <w:r w:rsidR="00E359B1" w:rsidRPr="0071782F">
        <w:rPr>
          <w:lang w:val="fr-CH"/>
        </w:rPr>
        <w:t xml:space="preserve">de la route de </w:t>
      </w:r>
      <w:r w:rsidRPr="0071782F">
        <w:rPr>
          <w:lang w:val="fr-CH"/>
        </w:rPr>
        <w:t>50</w:t>
      </w:r>
      <w:r w:rsidR="007E5125" w:rsidRPr="0071782F">
        <w:rPr>
          <w:lang w:val="fr-CH"/>
        </w:rPr>
        <w:t>%</w:t>
      </w:r>
      <w:r w:rsidRPr="0071782F">
        <w:rPr>
          <w:lang w:val="fr-CH"/>
        </w:rPr>
        <w:t xml:space="preserve"> </w:t>
      </w:r>
      <w:r w:rsidR="00E359B1" w:rsidRPr="0071782F">
        <w:rPr>
          <w:lang w:val="fr-CH"/>
        </w:rPr>
        <w:t xml:space="preserve">d’ici à la fin du </w:t>
      </w:r>
      <w:r w:rsidR="00A90208" w:rsidRPr="0071782F">
        <w:rPr>
          <w:lang w:val="fr-CH"/>
        </w:rPr>
        <w:t>quatrième</w:t>
      </w:r>
      <w:r w:rsidR="00E359B1" w:rsidRPr="0071782F">
        <w:rPr>
          <w:lang w:val="fr-CH"/>
        </w:rPr>
        <w:t xml:space="preserve"> plan de développement grâce à l’</w:t>
      </w:r>
      <w:r w:rsidRPr="0071782F">
        <w:rPr>
          <w:lang w:val="fr-CH"/>
        </w:rPr>
        <w:t xml:space="preserve">identification </w:t>
      </w:r>
      <w:r w:rsidR="00E359B1" w:rsidRPr="0071782F">
        <w:rPr>
          <w:lang w:val="fr-CH"/>
        </w:rPr>
        <w:t>des tronçons de routes et d’autoroutes ayant tendance à provoquer des accidents</w:t>
      </w:r>
      <w:r w:rsidR="000E4F15" w:rsidRPr="0071782F">
        <w:rPr>
          <w:lang w:val="fr-CH"/>
        </w:rPr>
        <w:t>.</w:t>
      </w:r>
    </w:p>
    <w:p w:rsidR="008A7415" w:rsidRPr="0071782F" w:rsidRDefault="008A7415" w:rsidP="000E4F15">
      <w:pPr>
        <w:pStyle w:val="SingleTxtG"/>
        <w:ind w:left="1701"/>
        <w:rPr>
          <w:lang w:val="fr-CH"/>
        </w:rPr>
      </w:pPr>
      <w:r w:rsidRPr="0071782F">
        <w:rPr>
          <w:lang w:val="fr-CH"/>
        </w:rPr>
        <w:t>254.8.</w:t>
      </w:r>
      <w:r w:rsidRPr="0071782F">
        <w:rPr>
          <w:lang w:val="fr-CH"/>
        </w:rPr>
        <w:tab/>
      </w:r>
      <w:r w:rsidR="00E359B1" w:rsidRPr="0071782F">
        <w:rPr>
          <w:lang w:val="fr-CH"/>
        </w:rPr>
        <w:t>Nécessité de faire respecter les règles et règlements relatifs à la sécurité et à la circulation</w:t>
      </w:r>
      <w:r w:rsidR="000E4F15" w:rsidRPr="0071782F">
        <w:rPr>
          <w:lang w:val="fr-CH"/>
        </w:rPr>
        <w:t>.</w:t>
      </w:r>
      <w:r w:rsidRPr="0071782F">
        <w:rPr>
          <w:lang w:val="fr-CH"/>
        </w:rPr>
        <w:t xml:space="preserve"> </w:t>
      </w:r>
    </w:p>
    <w:p w:rsidR="008A7415" w:rsidRPr="0071782F" w:rsidRDefault="008A7415" w:rsidP="000E4F15">
      <w:pPr>
        <w:pStyle w:val="SingleTxtG"/>
        <w:ind w:left="1701"/>
        <w:rPr>
          <w:lang w:val="fr-CH"/>
        </w:rPr>
      </w:pPr>
      <w:r w:rsidRPr="0071782F">
        <w:rPr>
          <w:lang w:val="fr-CH"/>
        </w:rPr>
        <w:t>254.9.</w:t>
      </w:r>
      <w:r w:rsidRPr="0071782F">
        <w:rPr>
          <w:lang w:val="fr-CH"/>
        </w:rPr>
        <w:tab/>
      </w:r>
      <w:r w:rsidR="00E359B1" w:rsidRPr="0071782F">
        <w:rPr>
          <w:lang w:val="fr-CH"/>
        </w:rPr>
        <w:t xml:space="preserve">Mise en place et organisation de réseaux de services préhospitaliers et hospitaliers d’urgences médicales et </w:t>
      </w:r>
      <w:r w:rsidRPr="0071782F">
        <w:rPr>
          <w:lang w:val="fr-CH"/>
        </w:rPr>
        <w:t>r</w:t>
      </w:r>
      <w:r w:rsidR="00E359B1" w:rsidRPr="0071782F">
        <w:rPr>
          <w:lang w:val="fr-CH"/>
        </w:rPr>
        <w:t>é</w:t>
      </w:r>
      <w:r w:rsidRPr="0071782F">
        <w:rPr>
          <w:lang w:val="fr-CH"/>
        </w:rPr>
        <w:t xml:space="preserve">duction </w:t>
      </w:r>
      <w:r w:rsidR="00E359B1" w:rsidRPr="0071782F">
        <w:rPr>
          <w:lang w:val="fr-CH"/>
        </w:rPr>
        <w:t>du n</w:t>
      </w:r>
      <w:r w:rsidR="00AE1F0A">
        <w:rPr>
          <w:lang w:val="fr-CH"/>
        </w:rPr>
        <w:t>ombre de tués sur les routes de </w:t>
      </w:r>
      <w:r w:rsidRPr="0071782F">
        <w:rPr>
          <w:lang w:val="fr-CH"/>
        </w:rPr>
        <w:t>50</w:t>
      </w:r>
      <w:r w:rsidR="007E5125" w:rsidRPr="0071782F">
        <w:rPr>
          <w:lang w:val="fr-CH"/>
        </w:rPr>
        <w:t>%</w:t>
      </w:r>
      <w:r w:rsidRPr="0071782F">
        <w:rPr>
          <w:lang w:val="fr-CH"/>
        </w:rPr>
        <w:t xml:space="preserve"> </w:t>
      </w:r>
      <w:r w:rsidR="00E359B1" w:rsidRPr="0071782F">
        <w:rPr>
          <w:lang w:val="fr-CH"/>
        </w:rPr>
        <w:t xml:space="preserve">d’ici à la fin du </w:t>
      </w:r>
      <w:r w:rsidR="00A90208" w:rsidRPr="0071782F">
        <w:rPr>
          <w:lang w:val="fr-CH"/>
        </w:rPr>
        <w:t>quatrième</w:t>
      </w:r>
      <w:r w:rsidR="00A233C2" w:rsidRPr="0071782F">
        <w:rPr>
          <w:lang w:val="fr-CH"/>
        </w:rPr>
        <w:t> </w:t>
      </w:r>
      <w:r w:rsidR="00E359B1" w:rsidRPr="0071782F">
        <w:rPr>
          <w:lang w:val="fr-CH"/>
        </w:rPr>
        <w:t>plan de développement</w:t>
      </w:r>
      <w:r w:rsidR="000E4F15" w:rsidRPr="0071782F">
        <w:rPr>
          <w:lang w:val="fr-CH"/>
        </w:rPr>
        <w:t>.</w:t>
      </w:r>
    </w:p>
    <w:p w:rsidR="008A7415" w:rsidRPr="0071782F" w:rsidRDefault="000E4F15" w:rsidP="000E4F15">
      <w:pPr>
        <w:pStyle w:val="SingleTxtG"/>
        <w:ind w:left="1701"/>
        <w:rPr>
          <w:lang w:val="fr-CH"/>
        </w:rPr>
      </w:pPr>
      <w:r w:rsidRPr="0071782F">
        <w:rPr>
          <w:lang w:val="fr-CH"/>
        </w:rPr>
        <w:t xml:space="preserve">254.10. </w:t>
      </w:r>
      <w:r w:rsidR="008A7415" w:rsidRPr="0071782F">
        <w:rPr>
          <w:lang w:val="fr-CH"/>
        </w:rPr>
        <w:t xml:space="preserve">Promotion </w:t>
      </w:r>
      <w:r w:rsidR="00627CBB" w:rsidRPr="0071782F">
        <w:rPr>
          <w:lang w:val="fr-CH"/>
        </w:rPr>
        <w:t>du plan de sécurité des véhicules à moteur et application des normes nécessaires de sécurité et d’ergonomie</w:t>
      </w:r>
      <w:r w:rsidRPr="0071782F">
        <w:rPr>
          <w:lang w:val="fr-CH"/>
        </w:rPr>
        <w:t>.</w:t>
      </w:r>
    </w:p>
    <w:p w:rsidR="008A7415" w:rsidRPr="0071782F" w:rsidRDefault="008A7415" w:rsidP="000E4F15">
      <w:pPr>
        <w:pStyle w:val="SingleTxtG"/>
        <w:ind w:left="1701"/>
        <w:rPr>
          <w:lang w:val="fr-CH"/>
        </w:rPr>
      </w:pPr>
      <w:r w:rsidRPr="0071782F">
        <w:rPr>
          <w:lang w:val="fr-CH"/>
        </w:rPr>
        <w:t>254.11.</w:t>
      </w:r>
      <w:r w:rsidR="000E4F15" w:rsidRPr="0071782F">
        <w:rPr>
          <w:lang w:val="fr-CH"/>
        </w:rPr>
        <w:t xml:space="preserve"> </w:t>
      </w:r>
      <w:r w:rsidRPr="0071782F">
        <w:rPr>
          <w:lang w:val="fr-CH"/>
        </w:rPr>
        <w:t>R</w:t>
      </w:r>
      <w:r w:rsidR="00627CBB" w:rsidRPr="0071782F">
        <w:rPr>
          <w:lang w:val="fr-CH"/>
        </w:rPr>
        <w:t>é</w:t>
      </w:r>
      <w:r w:rsidRPr="0071782F">
        <w:rPr>
          <w:lang w:val="fr-CH"/>
        </w:rPr>
        <w:t xml:space="preserve">duction </w:t>
      </w:r>
      <w:r w:rsidR="00627CBB" w:rsidRPr="0071782F">
        <w:rPr>
          <w:lang w:val="fr-CH"/>
        </w:rPr>
        <w:t xml:space="preserve">des facteurs de risque pour la santé sur le lieu de travail et des polluants de l’air, du sol et des produits d’origine agricole et animale, </w:t>
      </w:r>
      <w:r w:rsidRPr="0071782F">
        <w:rPr>
          <w:lang w:val="fr-CH"/>
        </w:rPr>
        <w:t>d</w:t>
      </w:r>
      <w:r w:rsidR="00627CBB" w:rsidRPr="0071782F">
        <w:rPr>
          <w:lang w:val="fr-CH"/>
        </w:rPr>
        <w:t>é</w:t>
      </w:r>
      <w:r w:rsidRPr="0071782F">
        <w:rPr>
          <w:lang w:val="fr-CH"/>
        </w:rPr>
        <w:t>fini</w:t>
      </w:r>
      <w:r w:rsidR="003D58D0" w:rsidRPr="0071782F">
        <w:rPr>
          <w:lang w:val="fr-CH"/>
        </w:rPr>
        <w:t>tion</w:t>
      </w:r>
      <w:r w:rsidR="00627CBB" w:rsidRPr="0071782F">
        <w:rPr>
          <w:lang w:val="fr-CH"/>
        </w:rPr>
        <w:t xml:space="preserve"> </w:t>
      </w:r>
      <w:r w:rsidR="003D58D0" w:rsidRPr="0071782F">
        <w:rPr>
          <w:lang w:val="fr-CH"/>
        </w:rPr>
        <w:t>d</w:t>
      </w:r>
      <w:r w:rsidR="00627CBB" w:rsidRPr="0071782F">
        <w:rPr>
          <w:lang w:val="fr-CH"/>
        </w:rPr>
        <w:t xml:space="preserve">es exemples et </w:t>
      </w:r>
      <w:r w:rsidR="003D58D0" w:rsidRPr="0071782F">
        <w:rPr>
          <w:lang w:val="fr-CH"/>
        </w:rPr>
        <w:t xml:space="preserve">des valeurs de référence et fixation du </w:t>
      </w:r>
      <w:r w:rsidR="00627CBB" w:rsidRPr="0071782F">
        <w:rPr>
          <w:lang w:val="fr-CH"/>
        </w:rPr>
        <w:t>montant des amendes et des droits compensatoires destinés à prévenir les abus de ce type.</w:t>
      </w:r>
    </w:p>
    <w:p w:rsidR="008A7415" w:rsidRPr="0071782F" w:rsidRDefault="008A7415" w:rsidP="000E4F15">
      <w:pPr>
        <w:pStyle w:val="SingleTxtG"/>
        <w:ind w:left="1701"/>
        <w:rPr>
          <w:lang w:val="fr-CH"/>
        </w:rPr>
      </w:pPr>
      <w:r w:rsidRPr="0071782F">
        <w:rPr>
          <w:lang w:val="fr-CH"/>
        </w:rPr>
        <w:t>254.12.</w:t>
      </w:r>
      <w:r w:rsidR="000E4F15" w:rsidRPr="0071782F">
        <w:rPr>
          <w:lang w:val="fr-CH"/>
        </w:rPr>
        <w:t xml:space="preserve"> </w:t>
      </w:r>
      <w:r w:rsidR="00627CBB" w:rsidRPr="0071782F">
        <w:rPr>
          <w:lang w:val="fr-CH"/>
        </w:rPr>
        <w:t xml:space="preserve">En vertu de </w:t>
      </w:r>
      <w:r w:rsidR="00723F2B" w:rsidRPr="0071782F">
        <w:rPr>
          <w:lang w:val="fr-CH"/>
        </w:rPr>
        <w:t>l’</w:t>
      </w:r>
      <w:r w:rsidR="00943A69" w:rsidRPr="0071782F">
        <w:rPr>
          <w:lang w:val="fr-CH"/>
        </w:rPr>
        <w:t>article </w:t>
      </w:r>
      <w:r w:rsidR="00627CBB" w:rsidRPr="0071782F">
        <w:rPr>
          <w:lang w:val="fr-CH"/>
        </w:rPr>
        <w:t xml:space="preserve">86, le </w:t>
      </w:r>
      <w:r w:rsidR="00BD5FF1" w:rsidRPr="0071782F">
        <w:rPr>
          <w:lang w:val="fr-CH"/>
        </w:rPr>
        <w:t>Ministère de la santé et de la formation médicale</w:t>
      </w:r>
      <w:r w:rsidR="00627CBB" w:rsidRPr="0071782F">
        <w:rPr>
          <w:lang w:val="fr-CH"/>
        </w:rPr>
        <w:t xml:space="preserve"> et les autres organisations compétentes sont tenus d’adopter d’ici à la fin de la première année du </w:t>
      </w:r>
      <w:r w:rsidR="00A90208" w:rsidRPr="0071782F">
        <w:rPr>
          <w:lang w:val="fr-CH"/>
        </w:rPr>
        <w:t>quatrième</w:t>
      </w:r>
      <w:r w:rsidR="00627CBB" w:rsidRPr="0071782F">
        <w:rPr>
          <w:lang w:val="fr-CH"/>
        </w:rPr>
        <w:t xml:space="preserve"> plan de développement les mesures nécessaires pour réduire les dangers et les risques collectifs et individuels associés à la toxicomanie, prévenir et traiter le sida et atténuer les effets des maladies mentales</w:t>
      </w:r>
      <w:r w:rsidRPr="0071782F">
        <w:rPr>
          <w:lang w:val="fr-CH"/>
        </w:rPr>
        <w:t>.</w:t>
      </w:r>
    </w:p>
    <w:p w:rsidR="008A7415" w:rsidRPr="0071782F" w:rsidRDefault="008A7415" w:rsidP="000E4F15">
      <w:pPr>
        <w:pStyle w:val="SingleTxtG"/>
        <w:ind w:left="1701"/>
        <w:rPr>
          <w:lang w:val="fr-CH"/>
        </w:rPr>
      </w:pPr>
      <w:r w:rsidRPr="0071782F">
        <w:rPr>
          <w:lang w:val="fr-CH"/>
        </w:rPr>
        <w:t>254.13.</w:t>
      </w:r>
      <w:r w:rsidR="000E4F15" w:rsidRPr="0071782F">
        <w:rPr>
          <w:lang w:val="fr-CH"/>
        </w:rPr>
        <w:t xml:space="preserve"> </w:t>
      </w:r>
      <w:r w:rsidR="00723F2B" w:rsidRPr="0071782F">
        <w:rPr>
          <w:lang w:val="fr-CH"/>
        </w:rPr>
        <w:t>L’</w:t>
      </w:r>
      <w:r w:rsidR="00943A69" w:rsidRPr="0071782F">
        <w:rPr>
          <w:lang w:val="fr-CH"/>
        </w:rPr>
        <w:t>article </w:t>
      </w:r>
      <w:r w:rsidRPr="0071782F">
        <w:rPr>
          <w:lang w:val="fr-CH"/>
        </w:rPr>
        <w:t xml:space="preserve">87 </w:t>
      </w:r>
      <w:r w:rsidR="00682096" w:rsidRPr="0071782F">
        <w:rPr>
          <w:lang w:val="fr-CH"/>
        </w:rPr>
        <w:t xml:space="preserve">fait obligation au </w:t>
      </w:r>
      <w:r w:rsidR="00BD5FF1" w:rsidRPr="0071782F">
        <w:rPr>
          <w:lang w:val="fr-CH"/>
        </w:rPr>
        <w:t>Ministère de la santé et de la formation médicale</w:t>
      </w:r>
      <w:r w:rsidR="00682096" w:rsidRPr="0071782F">
        <w:rPr>
          <w:lang w:val="fr-CH"/>
        </w:rPr>
        <w:t xml:space="preserve"> de fournir les moyens nécessaires pour mettre en place, promouvoir et commercialiser les services médicaux et les connaissances, équipements et produits spécialisés en médecine et en pharmacie du pays afin de répondre aux besoins sanitaires et médicaux de la </w:t>
      </w:r>
      <w:r w:rsidRPr="0071782F">
        <w:rPr>
          <w:lang w:val="fr-CH"/>
        </w:rPr>
        <w:t>r</w:t>
      </w:r>
      <w:r w:rsidR="00682096" w:rsidRPr="0071782F">
        <w:rPr>
          <w:lang w:val="fr-CH"/>
        </w:rPr>
        <w:t>é</w:t>
      </w:r>
      <w:r w:rsidRPr="0071782F">
        <w:rPr>
          <w:lang w:val="fr-CH"/>
        </w:rPr>
        <w:t xml:space="preserve">gion </w:t>
      </w:r>
      <w:r w:rsidR="00682096" w:rsidRPr="0071782F">
        <w:rPr>
          <w:lang w:val="fr-CH"/>
        </w:rPr>
        <w:t xml:space="preserve">et de faire en sorte que d’ici à la fin du </w:t>
      </w:r>
      <w:r w:rsidR="00A90208" w:rsidRPr="0071782F">
        <w:rPr>
          <w:lang w:val="fr-CH"/>
        </w:rPr>
        <w:t>quatrième</w:t>
      </w:r>
      <w:r w:rsidR="00A233C2" w:rsidRPr="0071782F">
        <w:rPr>
          <w:lang w:val="fr-CH"/>
        </w:rPr>
        <w:t> </w:t>
      </w:r>
      <w:r w:rsidR="00682096" w:rsidRPr="0071782F">
        <w:rPr>
          <w:lang w:val="fr-CH"/>
        </w:rPr>
        <w:t>plan de développement, les recettes en devises tirées de l’</w:t>
      </w:r>
      <w:r w:rsidRPr="0071782F">
        <w:rPr>
          <w:lang w:val="fr-CH"/>
        </w:rPr>
        <w:t>export</w:t>
      </w:r>
      <w:r w:rsidR="00682096" w:rsidRPr="0071782F">
        <w:rPr>
          <w:lang w:val="fr-CH"/>
        </w:rPr>
        <w:t xml:space="preserve">ation de ces </w:t>
      </w:r>
      <w:r w:rsidRPr="0071782F">
        <w:rPr>
          <w:lang w:val="fr-CH"/>
        </w:rPr>
        <w:t xml:space="preserve">services </w:t>
      </w:r>
      <w:r w:rsidR="00682096" w:rsidRPr="0071782F">
        <w:rPr>
          <w:lang w:val="fr-CH"/>
        </w:rPr>
        <w:t>et produits représentent l’équivalent de 30</w:t>
      </w:r>
      <w:r w:rsidR="007E5125" w:rsidRPr="0071782F">
        <w:rPr>
          <w:lang w:val="fr-CH"/>
        </w:rPr>
        <w:t>%</w:t>
      </w:r>
      <w:r w:rsidR="00682096" w:rsidRPr="0071782F">
        <w:rPr>
          <w:lang w:val="fr-CH"/>
        </w:rPr>
        <w:t xml:space="preserve"> des dépenses en devises du secteur national des soins et traitements médicaux</w:t>
      </w:r>
      <w:r w:rsidRPr="0071782F">
        <w:rPr>
          <w:lang w:val="fr-CH"/>
        </w:rPr>
        <w:t>.</w:t>
      </w:r>
    </w:p>
    <w:p w:rsidR="008A7415" w:rsidRPr="0071782F" w:rsidRDefault="008A7415" w:rsidP="000E4F15">
      <w:pPr>
        <w:pStyle w:val="SingleTxtG"/>
        <w:ind w:left="1701"/>
        <w:rPr>
          <w:lang w:val="fr-CH"/>
        </w:rPr>
      </w:pPr>
      <w:r w:rsidRPr="0071782F">
        <w:rPr>
          <w:lang w:val="fr-CH"/>
        </w:rPr>
        <w:t>254.14.</w:t>
      </w:r>
      <w:r w:rsidR="000E4F15" w:rsidRPr="0071782F">
        <w:rPr>
          <w:lang w:val="fr-CH"/>
        </w:rPr>
        <w:t xml:space="preserve"> </w:t>
      </w:r>
      <w:r w:rsidR="00682096" w:rsidRPr="0071782F">
        <w:rPr>
          <w:lang w:val="fr-CH"/>
        </w:rPr>
        <w:t xml:space="preserve">En vertu de </w:t>
      </w:r>
      <w:r w:rsidR="00723F2B" w:rsidRPr="0071782F">
        <w:rPr>
          <w:lang w:val="fr-CH"/>
        </w:rPr>
        <w:t>l’</w:t>
      </w:r>
      <w:r w:rsidR="00943A69" w:rsidRPr="0071782F">
        <w:rPr>
          <w:lang w:val="fr-CH"/>
        </w:rPr>
        <w:t>article </w:t>
      </w:r>
      <w:r w:rsidRPr="0071782F">
        <w:rPr>
          <w:lang w:val="fr-CH"/>
        </w:rPr>
        <w:t>88</w:t>
      </w:r>
      <w:r w:rsidR="00682096" w:rsidRPr="0071782F">
        <w:rPr>
          <w:lang w:val="fr-CH"/>
        </w:rPr>
        <w:t>, le Ministère est tenu de prendre les mesures énumérées ci-après afin de promouvoir de façon permanente la qualité et le taux de productivité</w:t>
      </w:r>
      <w:r w:rsidRPr="0071782F">
        <w:rPr>
          <w:lang w:val="fr-CH"/>
        </w:rPr>
        <w:t xml:space="preserve"> </w:t>
      </w:r>
      <w:r w:rsidR="00682096" w:rsidRPr="0071782F">
        <w:rPr>
          <w:lang w:val="fr-CH"/>
        </w:rPr>
        <w:t>des services médicaux et cliniques et de garantir l’utilisation optimale des installations et capacités en matière de soins et de traitements médicaux du pays.</w:t>
      </w:r>
    </w:p>
    <w:p w:rsidR="008A7415" w:rsidRPr="0071782F" w:rsidRDefault="008A7415" w:rsidP="008C5856">
      <w:pPr>
        <w:pStyle w:val="SingleTxtG"/>
        <w:ind w:left="2268"/>
        <w:rPr>
          <w:lang w:val="fr-CH"/>
        </w:rPr>
      </w:pPr>
      <w:r w:rsidRPr="0071782F">
        <w:rPr>
          <w:lang w:val="fr-CH"/>
        </w:rPr>
        <w:t>254.14.1</w:t>
      </w:r>
      <w:r w:rsidR="000E4F15" w:rsidRPr="0071782F">
        <w:rPr>
          <w:lang w:val="fr-CH"/>
        </w:rPr>
        <w:t xml:space="preserve">. </w:t>
      </w:r>
      <w:r w:rsidRPr="0071782F">
        <w:rPr>
          <w:lang w:val="fr-CH"/>
        </w:rPr>
        <w:t xml:space="preserve">Formulation, </w:t>
      </w:r>
      <w:r w:rsidR="00682096" w:rsidRPr="0071782F">
        <w:rPr>
          <w:lang w:val="fr-CH"/>
        </w:rPr>
        <w:t>contrôle et é</w:t>
      </w:r>
      <w:r w:rsidRPr="0071782F">
        <w:rPr>
          <w:lang w:val="fr-CH"/>
        </w:rPr>
        <w:t xml:space="preserve">valuation </w:t>
      </w:r>
      <w:r w:rsidR="00682096" w:rsidRPr="0071782F">
        <w:rPr>
          <w:lang w:val="fr-CH"/>
        </w:rPr>
        <w:t xml:space="preserve">des normes et </w:t>
      </w:r>
      <w:r w:rsidRPr="0071782F">
        <w:rPr>
          <w:lang w:val="fr-CH"/>
        </w:rPr>
        <w:t>indicat</w:t>
      </w:r>
      <w:r w:rsidR="00682096" w:rsidRPr="0071782F">
        <w:rPr>
          <w:lang w:val="fr-CH"/>
        </w:rPr>
        <w:t>eu</w:t>
      </w:r>
      <w:r w:rsidRPr="0071782F">
        <w:rPr>
          <w:lang w:val="fr-CH"/>
        </w:rPr>
        <w:t xml:space="preserve">rs </w:t>
      </w:r>
      <w:r w:rsidR="00682096" w:rsidRPr="0071782F">
        <w:rPr>
          <w:lang w:val="fr-CH"/>
        </w:rPr>
        <w:t xml:space="preserve">pour l’amélioration des </w:t>
      </w:r>
      <w:r w:rsidRPr="0071782F">
        <w:rPr>
          <w:lang w:val="fr-CH"/>
        </w:rPr>
        <w:t xml:space="preserve">services </w:t>
      </w:r>
      <w:r w:rsidR="00682096" w:rsidRPr="0071782F">
        <w:rPr>
          <w:lang w:val="fr-CH"/>
        </w:rPr>
        <w:t>et l’évaluation des hôpitaux sur la base de l’évolution des résultats cliniques</w:t>
      </w:r>
      <w:r w:rsidR="000E4F15" w:rsidRPr="0071782F">
        <w:rPr>
          <w:lang w:val="fr-CH"/>
        </w:rPr>
        <w:t>.</w:t>
      </w:r>
    </w:p>
    <w:p w:rsidR="008A7415" w:rsidRPr="0071782F" w:rsidRDefault="008A7415" w:rsidP="008C5856">
      <w:pPr>
        <w:pStyle w:val="SingleTxtG"/>
        <w:ind w:left="2268"/>
        <w:rPr>
          <w:lang w:val="fr-CH"/>
        </w:rPr>
      </w:pPr>
      <w:r w:rsidRPr="0071782F">
        <w:rPr>
          <w:lang w:val="fr-CH"/>
        </w:rPr>
        <w:t>254.14.2.</w:t>
      </w:r>
      <w:r w:rsidR="000E4F15" w:rsidRPr="0071782F">
        <w:rPr>
          <w:lang w:val="fr-CH"/>
        </w:rPr>
        <w:t xml:space="preserve"> </w:t>
      </w:r>
      <w:r w:rsidRPr="0071782F">
        <w:rPr>
          <w:lang w:val="fr-CH"/>
        </w:rPr>
        <w:t>R</w:t>
      </w:r>
      <w:r w:rsidR="006C0006" w:rsidRPr="0071782F">
        <w:rPr>
          <w:lang w:val="fr-CH"/>
        </w:rPr>
        <w:t xml:space="preserve">éorientation de l’administration </w:t>
      </w:r>
      <w:r w:rsidR="00A83442">
        <w:rPr>
          <w:lang w:val="fr-CH"/>
        </w:rPr>
        <w:t>des unités</w:t>
      </w:r>
      <w:r w:rsidR="006C0006" w:rsidRPr="0071782F">
        <w:rPr>
          <w:lang w:val="fr-CH"/>
        </w:rPr>
        <w:t xml:space="preserve"> de soins et de traitements médicaux vers une prise en charge de la clientèle moyennant la réforme des structures et processus de gestion économique </w:t>
      </w:r>
      <w:r w:rsidRPr="0071782F">
        <w:rPr>
          <w:lang w:val="fr-CH"/>
        </w:rPr>
        <w:t>(</w:t>
      </w:r>
      <w:r w:rsidR="006C0006" w:rsidRPr="0071782F">
        <w:rPr>
          <w:lang w:val="fr-CH"/>
        </w:rPr>
        <w:t xml:space="preserve">notamment la modification du système comptable, le financement basé sur les résultats </w:t>
      </w:r>
      <w:r w:rsidRPr="0071782F">
        <w:rPr>
          <w:lang w:val="fr-CH"/>
        </w:rPr>
        <w:t>(</w:t>
      </w:r>
      <w:r w:rsidR="006C0006" w:rsidRPr="0071782F">
        <w:rPr>
          <w:lang w:val="fr-CH"/>
        </w:rPr>
        <w:t xml:space="preserve">le </w:t>
      </w:r>
      <w:r w:rsidRPr="0071782F">
        <w:rPr>
          <w:lang w:val="fr-CH"/>
        </w:rPr>
        <w:t xml:space="preserve">service) </w:t>
      </w:r>
      <w:r w:rsidR="006C0006" w:rsidRPr="0071782F">
        <w:rPr>
          <w:lang w:val="fr-CH"/>
        </w:rPr>
        <w:t>et la budgé</w:t>
      </w:r>
      <w:r w:rsidRPr="0071782F">
        <w:rPr>
          <w:lang w:val="fr-CH"/>
        </w:rPr>
        <w:t>ti</w:t>
      </w:r>
      <w:r w:rsidR="006C0006" w:rsidRPr="0071782F">
        <w:rPr>
          <w:lang w:val="fr-CH"/>
        </w:rPr>
        <w:t>sation des opérations</w:t>
      </w:r>
      <w:r w:rsidRPr="0071782F">
        <w:rPr>
          <w:lang w:val="fr-CH"/>
        </w:rPr>
        <w:t>)</w:t>
      </w:r>
      <w:r w:rsidR="000E4F15" w:rsidRPr="0071782F">
        <w:rPr>
          <w:lang w:val="fr-CH"/>
        </w:rPr>
        <w:t>.</w:t>
      </w:r>
      <w:r w:rsidRPr="0071782F">
        <w:rPr>
          <w:lang w:val="fr-CH"/>
        </w:rPr>
        <w:t xml:space="preserve"> </w:t>
      </w:r>
    </w:p>
    <w:p w:rsidR="008A7415" w:rsidRPr="0071782F" w:rsidRDefault="008A7415" w:rsidP="008C5856">
      <w:pPr>
        <w:pStyle w:val="SingleTxtG"/>
        <w:ind w:left="2268"/>
        <w:rPr>
          <w:lang w:val="fr-CH"/>
        </w:rPr>
      </w:pPr>
      <w:r w:rsidRPr="0071782F">
        <w:rPr>
          <w:lang w:val="fr-CH"/>
        </w:rPr>
        <w:t>254.14.3.</w:t>
      </w:r>
      <w:r w:rsidR="000E4F15" w:rsidRPr="0071782F">
        <w:rPr>
          <w:lang w:val="fr-CH"/>
        </w:rPr>
        <w:t xml:space="preserve"> </w:t>
      </w:r>
      <w:r w:rsidR="006C0006" w:rsidRPr="0071782F">
        <w:rPr>
          <w:lang w:val="fr-CH"/>
        </w:rPr>
        <w:t>Gestion des hôpitaux associés aux écoles de médecine du pays confiée à un conseil d’administration ou à une société moyennant une délégation de pouvoirs en matière de gestion et la sélection et le recrutement</w:t>
      </w:r>
      <w:r w:rsidR="00D36718">
        <w:rPr>
          <w:lang w:val="fr-CH"/>
        </w:rPr>
        <w:t xml:space="preserve"> </w:t>
      </w:r>
      <w:r w:rsidR="006C0006" w:rsidRPr="0071782F">
        <w:rPr>
          <w:lang w:val="fr-CH"/>
        </w:rPr>
        <w:t>du personnel administratif et</w:t>
      </w:r>
      <w:r w:rsidRPr="0071782F">
        <w:rPr>
          <w:lang w:val="fr-CH"/>
        </w:rPr>
        <w:t xml:space="preserve"> financi</w:t>
      </w:r>
      <w:r w:rsidR="006C0006" w:rsidRPr="0071782F">
        <w:rPr>
          <w:lang w:val="fr-CH"/>
        </w:rPr>
        <w:t>er dans le cadre du barème des salaires convenu.</w:t>
      </w:r>
      <w:r w:rsidRPr="0071782F">
        <w:rPr>
          <w:lang w:val="fr-CH"/>
        </w:rPr>
        <w:t xml:space="preserve"> </w:t>
      </w:r>
    </w:p>
    <w:p w:rsidR="008A7415" w:rsidRPr="0071782F" w:rsidRDefault="008A7415" w:rsidP="008C5856">
      <w:pPr>
        <w:pStyle w:val="SingleTxtG"/>
        <w:ind w:left="2268"/>
        <w:rPr>
          <w:lang w:val="fr-CH"/>
        </w:rPr>
      </w:pPr>
      <w:r w:rsidRPr="0071782F">
        <w:rPr>
          <w:lang w:val="fr-CH"/>
        </w:rPr>
        <w:t>254.14.4.</w:t>
      </w:r>
      <w:r w:rsidR="000E4F15" w:rsidRPr="0071782F">
        <w:rPr>
          <w:lang w:val="fr-CH"/>
        </w:rPr>
        <w:t xml:space="preserve"> </w:t>
      </w:r>
      <w:r w:rsidR="006C0006" w:rsidRPr="0071782F">
        <w:rPr>
          <w:lang w:val="fr-CH"/>
        </w:rPr>
        <w:t>Classification des hôpitaux en fonction du nombre de lits consacrés à l’enseignement et application d’indicateurs financiers et relatifs aux ressources humaines</w:t>
      </w:r>
      <w:r w:rsidR="000E4F15" w:rsidRPr="0071782F">
        <w:rPr>
          <w:lang w:val="fr-CH"/>
        </w:rPr>
        <w:t>.</w:t>
      </w:r>
    </w:p>
    <w:p w:rsidR="008A7415" w:rsidRPr="0071782F" w:rsidRDefault="008A7415" w:rsidP="008C5856">
      <w:pPr>
        <w:pStyle w:val="SingleTxtG"/>
        <w:ind w:left="2268"/>
        <w:rPr>
          <w:lang w:val="fr-CH"/>
        </w:rPr>
      </w:pPr>
      <w:r w:rsidRPr="0071782F">
        <w:rPr>
          <w:lang w:val="fr-CH"/>
        </w:rPr>
        <w:t>254.14.5.</w:t>
      </w:r>
      <w:r w:rsidR="000E4F15" w:rsidRPr="0071782F">
        <w:rPr>
          <w:lang w:val="fr-CH"/>
        </w:rPr>
        <w:t xml:space="preserve"> </w:t>
      </w:r>
      <w:r w:rsidR="006C0006" w:rsidRPr="0071782F">
        <w:rPr>
          <w:lang w:val="fr-CH"/>
        </w:rPr>
        <w:t>Mise en place d’un système intégré d’informations sur la santé à l’intention des Iraniens.</w:t>
      </w:r>
      <w:r w:rsidRPr="0071782F">
        <w:rPr>
          <w:lang w:val="fr-CH"/>
        </w:rPr>
        <w:t xml:space="preserve"> </w:t>
      </w:r>
    </w:p>
    <w:p w:rsidR="008A7415" w:rsidRPr="0071782F" w:rsidRDefault="008A7415" w:rsidP="000E4F15">
      <w:pPr>
        <w:pStyle w:val="SingleTxtG"/>
        <w:ind w:left="1701"/>
        <w:rPr>
          <w:spacing w:val="-2"/>
          <w:lang w:val="fr-CH"/>
        </w:rPr>
      </w:pPr>
      <w:r w:rsidRPr="0071782F">
        <w:rPr>
          <w:spacing w:val="-2"/>
          <w:lang w:val="fr-CH"/>
        </w:rPr>
        <w:t>254.15.</w:t>
      </w:r>
      <w:r w:rsidR="000E4F15" w:rsidRPr="0071782F">
        <w:rPr>
          <w:spacing w:val="-2"/>
          <w:lang w:val="fr-CH"/>
        </w:rPr>
        <w:t xml:space="preserve"> </w:t>
      </w:r>
      <w:r w:rsidR="00F9584C" w:rsidRPr="0071782F">
        <w:rPr>
          <w:spacing w:val="-2"/>
          <w:lang w:val="fr-CH"/>
        </w:rPr>
        <w:t xml:space="preserve">Afin de garantir à la population des différentes régions du pays un accès équitable aux services de soins et traitements médicaux en fonction de ses besoins, le </w:t>
      </w:r>
      <w:r w:rsidR="00BD5FF1" w:rsidRPr="0071782F">
        <w:rPr>
          <w:spacing w:val="-2"/>
          <w:lang w:val="fr-CH"/>
        </w:rPr>
        <w:t>Ministère de la santé et de la formation médicale</w:t>
      </w:r>
      <w:r w:rsidR="00F9584C" w:rsidRPr="0071782F">
        <w:rPr>
          <w:spacing w:val="-2"/>
          <w:lang w:val="fr-CH"/>
        </w:rPr>
        <w:t xml:space="preserve"> est tenu, en vertu de </w:t>
      </w:r>
      <w:r w:rsidR="00723F2B" w:rsidRPr="0071782F">
        <w:rPr>
          <w:spacing w:val="-2"/>
          <w:lang w:val="fr-CH"/>
        </w:rPr>
        <w:t>l’</w:t>
      </w:r>
      <w:r w:rsidR="00943A69" w:rsidRPr="0071782F">
        <w:rPr>
          <w:spacing w:val="-2"/>
          <w:lang w:val="fr-CH"/>
        </w:rPr>
        <w:t>article </w:t>
      </w:r>
      <w:r w:rsidRPr="0071782F">
        <w:rPr>
          <w:spacing w:val="-2"/>
          <w:lang w:val="fr-CH"/>
        </w:rPr>
        <w:t xml:space="preserve">89 </w:t>
      </w:r>
      <w:r w:rsidR="0052545D" w:rsidRPr="0071782F">
        <w:rPr>
          <w:spacing w:val="-2"/>
          <w:lang w:val="fr-CH"/>
        </w:rPr>
        <w:t>de la loi relative au</w:t>
      </w:r>
      <w:r w:rsidR="00F9584C" w:rsidRPr="0071782F">
        <w:rPr>
          <w:spacing w:val="-2"/>
          <w:lang w:val="fr-CH"/>
        </w:rPr>
        <w:t xml:space="preserve"> </w:t>
      </w:r>
      <w:r w:rsidR="00A90208" w:rsidRPr="0071782F">
        <w:rPr>
          <w:spacing w:val="-2"/>
          <w:lang w:val="fr-CH"/>
        </w:rPr>
        <w:t>quatrième</w:t>
      </w:r>
      <w:r w:rsidR="00F9584C" w:rsidRPr="0071782F">
        <w:rPr>
          <w:spacing w:val="-2"/>
          <w:lang w:val="fr-CH"/>
        </w:rPr>
        <w:t xml:space="preserve"> plan</w:t>
      </w:r>
      <w:r w:rsidRPr="0071782F">
        <w:rPr>
          <w:spacing w:val="-2"/>
          <w:lang w:val="fr-CH"/>
        </w:rPr>
        <w:t xml:space="preserve">, </w:t>
      </w:r>
      <w:r w:rsidR="00F9584C" w:rsidRPr="0071782F">
        <w:rPr>
          <w:spacing w:val="-2"/>
          <w:lang w:val="fr-CH"/>
        </w:rPr>
        <w:t>de concevoir un système de services de soins et de traitements médicaux minimaux reposant sur une formule d’évaluation des services fournis.</w:t>
      </w:r>
    </w:p>
    <w:p w:rsidR="008A7415" w:rsidRPr="0071782F" w:rsidRDefault="000E4F15" w:rsidP="000E4F15">
      <w:pPr>
        <w:pStyle w:val="SingleTxtG"/>
        <w:ind w:left="1701"/>
        <w:rPr>
          <w:lang w:val="fr-CH"/>
        </w:rPr>
      </w:pPr>
      <w:r w:rsidRPr="0071782F">
        <w:rPr>
          <w:lang w:val="fr-CH"/>
        </w:rPr>
        <w:t xml:space="preserve">254.16. </w:t>
      </w:r>
      <w:r w:rsidR="00F9584C" w:rsidRPr="0071782F">
        <w:rPr>
          <w:lang w:val="fr-CH"/>
        </w:rPr>
        <w:t xml:space="preserve">Toute extension </w:t>
      </w:r>
      <w:r w:rsidR="00155727" w:rsidRPr="0071782F">
        <w:rPr>
          <w:lang w:val="fr-CH"/>
        </w:rPr>
        <w:t xml:space="preserve">des centres de soins </w:t>
      </w:r>
      <w:r w:rsidR="00F9584C" w:rsidRPr="0071782F">
        <w:rPr>
          <w:lang w:val="fr-CH"/>
        </w:rPr>
        <w:t xml:space="preserve">ou fourniture </w:t>
      </w:r>
      <w:r w:rsidR="00155727" w:rsidRPr="0071782F">
        <w:rPr>
          <w:lang w:val="fr-CH"/>
        </w:rPr>
        <w:t xml:space="preserve">à ces centres d’équipement nouveaux qui appelle </w:t>
      </w:r>
      <w:r w:rsidR="00F9584C" w:rsidRPr="0071782F">
        <w:rPr>
          <w:lang w:val="fr-CH"/>
        </w:rPr>
        <w:t xml:space="preserve">une modification des capacités de traitement du pays et l’affectation de ressources humaines à la fourniture de services doit être conforme aux règles imposées par la formule d’évaluation des services susvisée. </w:t>
      </w:r>
    </w:p>
    <w:p w:rsidR="008A7415" w:rsidRPr="0071782F" w:rsidRDefault="008A7415" w:rsidP="000E4F15">
      <w:pPr>
        <w:pStyle w:val="SingleTxtG"/>
        <w:ind w:left="1701"/>
        <w:rPr>
          <w:lang w:val="fr-CH"/>
        </w:rPr>
      </w:pPr>
      <w:r w:rsidRPr="0071782F">
        <w:rPr>
          <w:lang w:val="fr-CH"/>
        </w:rPr>
        <w:t>254.17.</w:t>
      </w:r>
      <w:r w:rsidR="000E4F15" w:rsidRPr="0071782F">
        <w:rPr>
          <w:lang w:val="fr-CH"/>
        </w:rPr>
        <w:t xml:space="preserve"> </w:t>
      </w:r>
      <w:r w:rsidR="0052545D" w:rsidRPr="0071782F">
        <w:rPr>
          <w:lang w:val="fr-CH"/>
        </w:rPr>
        <w:t xml:space="preserve">La création et le développement d’unités de soins et traitements médicaux par les institutions dont il est question à </w:t>
      </w:r>
      <w:r w:rsidR="00723F2B" w:rsidRPr="0071782F">
        <w:rPr>
          <w:lang w:val="fr-CH"/>
        </w:rPr>
        <w:t>l’</w:t>
      </w:r>
      <w:r w:rsidR="00943A69" w:rsidRPr="0071782F">
        <w:rPr>
          <w:lang w:val="fr-CH"/>
        </w:rPr>
        <w:t>article </w:t>
      </w:r>
      <w:r w:rsidRPr="0071782F">
        <w:rPr>
          <w:lang w:val="fr-CH"/>
        </w:rPr>
        <w:t xml:space="preserve">60 </w:t>
      </w:r>
      <w:r w:rsidR="0052545D" w:rsidRPr="0071782F">
        <w:rPr>
          <w:lang w:val="fr-CH"/>
        </w:rPr>
        <w:t xml:space="preserve">de la loi susvisée ainsi que par les forces armées doivent être autorisés par le </w:t>
      </w:r>
      <w:r w:rsidR="00BD5FF1" w:rsidRPr="0071782F">
        <w:rPr>
          <w:lang w:val="fr-CH"/>
        </w:rPr>
        <w:t>Ministère de la santé et de la formation médicale</w:t>
      </w:r>
      <w:r w:rsidR="0052545D" w:rsidRPr="0071782F">
        <w:rPr>
          <w:lang w:val="fr-CH"/>
        </w:rPr>
        <w:t xml:space="preserve"> et approuvés par le Conseil des ministres</w:t>
      </w:r>
      <w:r w:rsidRPr="0071782F">
        <w:rPr>
          <w:lang w:val="fr-CH"/>
        </w:rPr>
        <w:t>.</w:t>
      </w:r>
    </w:p>
    <w:p w:rsidR="008A7415" w:rsidRPr="0071782F" w:rsidRDefault="008A7415" w:rsidP="000E4F15">
      <w:pPr>
        <w:pStyle w:val="SingleTxtG"/>
        <w:ind w:left="1701"/>
        <w:rPr>
          <w:lang w:val="fr-CH"/>
        </w:rPr>
      </w:pPr>
      <w:r w:rsidRPr="0071782F">
        <w:rPr>
          <w:lang w:val="fr-CH"/>
        </w:rPr>
        <w:t>254.18.</w:t>
      </w:r>
      <w:r w:rsidR="000E4F15" w:rsidRPr="0071782F">
        <w:rPr>
          <w:lang w:val="fr-CH"/>
        </w:rPr>
        <w:t xml:space="preserve"> </w:t>
      </w:r>
      <w:r w:rsidR="0052545D" w:rsidRPr="0071782F">
        <w:rPr>
          <w:lang w:val="fr-CH"/>
        </w:rPr>
        <w:t xml:space="preserve">Les règles et règlements régissant </w:t>
      </w:r>
      <w:r w:rsidR="00A83442">
        <w:rPr>
          <w:lang w:val="fr-CH"/>
        </w:rPr>
        <w:t>les unités</w:t>
      </w:r>
      <w:r w:rsidR="0052545D" w:rsidRPr="0071782F">
        <w:rPr>
          <w:lang w:val="fr-CH"/>
        </w:rPr>
        <w:t xml:space="preserve"> de sécurité et de santé sur le lieu de travail sont strictement appliqués.</w:t>
      </w:r>
    </w:p>
    <w:p w:rsidR="008A7415" w:rsidRPr="0071782F" w:rsidRDefault="008A7415" w:rsidP="000E4F15">
      <w:pPr>
        <w:pStyle w:val="SingleTxtG"/>
        <w:ind w:left="1701"/>
        <w:rPr>
          <w:lang w:val="fr-CH"/>
        </w:rPr>
      </w:pPr>
      <w:r w:rsidRPr="0071782F">
        <w:rPr>
          <w:lang w:val="fr-CH"/>
        </w:rPr>
        <w:t>254.19.</w:t>
      </w:r>
      <w:r w:rsidR="000E4F15" w:rsidRPr="0071782F">
        <w:rPr>
          <w:lang w:val="fr-CH"/>
        </w:rPr>
        <w:t xml:space="preserve"> </w:t>
      </w:r>
      <w:r w:rsidR="0052545D" w:rsidRPr="0071782F">
        <w:rPr>
          <w:lang w:val="fr-CH"/>
        </w:rPr>
        <w:t xml:space="preserve">En vertu des dispositions de </w:t>
      </w:r>
      <w:r w:rsidR="00723F2B" w:rsidRPr="0071782F">
        <w:rPr>
          <w:lang w:val="fr-CH"/>
        </w:rPr>
        <w:t>l’</w:t>
      </w:r>
      <w:r w:rsidR="00943A69" w:rsidRPr="0071782F">
        <w:rPr>
          <w:lang w:val="fr-CH"/>
        </w:rPr>
        <w:t>article </w:t>
      </w:r>
      <w:r w:rsidRPr="0071782F">
        <w:rPr>
          <w:lang w:val="fr-CH"/>
        </w:rPr>
        <w:t xml:space="preserve">90, </w:t>
      </w:r>
      <w:r w:rsidR="006E329D" w:rsidRPr="0071782F">
        <w:rPr>
          <w:lang w:val="fr-CH"/>
        </w:rPr>
        <w:t xml:space="preserve">afin de garantir la justice distributive en matière d’accès de toute la population aux services de soins et de traitements médicaux et de réduire les dépenses que leur consacrent </w:t>
      </w:r>
      <w:r w:rsidR="00DA097D" w:rsidRPr="0071782F">
        <w:rPr>
          <w:lang w:val="fr-CH"/>
        </w:rPr>
        <w:t>les familles</w:t>
      </w:r>
      <w:r w:rsidR="006E329D" w:rsidRPr="0071782F">
        <w:rPr>
          <w:lang w:val="fr-CH"/>
        </w:rPr>
        <w:t xml:space="preserve"> </w:t>
      </w:r>
      <w:r w:rsidRPr="0071782F">
        <w:rPr>
          <w:lang w:val="fr-CH"/>
        </w:rPr>
        <w:t>vuln</w:t>
      </w:r>
      <w:r w:rsidR="006E329D" w:rsidRPr="0071782F">
        <w:rPr>
          <w:lang w:val="fr-CH"/>
        </w:rPr>
        <w:t>é</w:t>
      </w:r>
      <w:r w:rsidRPr="0071782F">
        <w:rPr>
          <w:lang w:val="fr-CH"/>
        </w:rPr>
        <w:t>rable</w:t>
      </w:r>
      <w:r w:rsidR="006E329D" w:rsidRPr="0071782F">
        <w:rPr>
          <w:lang w:val="fr-CH"/>
        </w:rPr>
        <w:t>s à faible revenu</w:t>
      </w:r>
      <w:r w:rsidRPr="0071782F">
        <w:rPr>
          <w:lang w:val="fr-CH"/>
        </w:rPr>
        <w:t xml:space="preserve">, </w:t>
      </w:r>
      <w:r w:rsidR="006E329D" w:rsidRPr="0071782F">
        <w:rPr>
          <w:lang w:val="fr-CH"/>
        </w:rPr>
        <w:t xml:space="preserve">la répartition des capacités et installations de soins et de traitements médicaux doit être réalisée de </w:t>
      </w:r>
      <w:r w:rsidR="006052DF" w:rsidRPr="0071782F">
        <w:rPr>
          <w:lang w:val="fr-CH"/>
        </w:rPr>
        <w:t>façon</w:t>
      </w:r>
      <w:r w:rsidR="006E329D" w:rsidRPr="0071782F">
        <w:rPr>
          <w:lang w:val="fr-CH"/>
        </w:rPr>
        <w:t xml:space="preserve"> que le pourcentage de la juste contribution financière de la population passe à 90</w:t>
      </w:r>
      <w:r w:rsidR="007E5125" w:rsidRPr="0071782F">
        <w:rPr>
          <w:lang w:val="fr-CH"/>
        </w:rPr>
        <w:t>%</w:t>
      </w:r>
      <w:r w:rsidR="006E329D" w:rsidRPr="0071782F">
        <w:rPr>
          <w:lang w:val="fr-CH"/>
        </w:rPr>
        <w:t xml:space="preserve">, que la participation de la population aux dépenses de santé ne dépasse pas </w:t>
      </w:r>
      <w:r w:rsidRPr="0071782F">
        <w:rPr>
          <w:lang w:val="fr-CH"/>
        </w:rPr>
        <w:t>30</w:t>
      </w:r>
      <w:r w:rsidR="007E5125" w:rsidRPr="0071782F">
        <w:rPr>
          <w:lang w:val="fr-CH"/>
        </w:rPr>
        <w:t>%</w:t>
      </w:r>
      <w:r w:rsidRPr="0071782F">
        <w:rPr>
          <w:lang w:val="fr-CH"/>
        </w:rPr>
        <w:t xml:space="preserve"> </w:t>
      </w:r>
      <w:r w:rsidR="006E329D" w:rsidRPr="0071782F">
        <w:rPr>
          <w:lang w:val="fr-CH"/>
        </w:rPr>
        <w:t xml:space="preserve">et que la contribution </w:t>
      </w:r>
      <w:r w:rsidR="004E45FB" w:rsidRPr="0071782F">
        <w:rPr>
          <w:lang w:val="fr-CH"/>
        </w:rPr>
        <w:t>des familles</w:t>
      </w:r>
      <w:r w:rsidR="006E329D" w:rsidRPr="0071782F">
        <w:rPr>
          <w:lang w:val="fr-CH"/>
        </w:rPr>
        <w:t xml:space="preserve"> vulné</w:t>
      </w:r>
      <w:r w:rsidRPr="0071782F">
        <w:rPr>
          <w:lang w:val="fr-CH"/>
        </w:rPr>
        <w:t>rable</w:t>
      </w:r>
      <w:r w:rsidR="006E329D" w:rsidRPr="0071782F">
        <w:rPr>
          <w:lang w:val="fr-CH"/>
        </w:rPr>
        <w:t>s</w:t>
      </w:r>
      <w:r w:rsidRPr="0071782F">
        <w:rPr>
          <w:lang w:val="fr-CH"/>
        </w:rPr>
        <w:t xml:space="preserve"> </w:t>
      </w:r>
      <w:r w:rsidR="006E329D" w:rsidRPr="0071782F">
        <w:rPr>
          <w:lang w:val="fr-CH"/>
        </w:rPr>
        <w:t xml:space="preserve">aux dépenses de santé soit ramenée à </w:t>
      </w:r>
      <w:r w:rsidRPr="0071782F">
        <w:rPr>
          <w:lang w:val="fr-CH"/>
        </w:rPr>
        <w:t>1</w:t>
      </w:r>
      <w:r w:rsidR="007E5125" w:rsidRPr="0071782F">
        <w:rPr>
          <w:lang w:val="fr-CH"/>
        </w:rPr>
        <w:t>%</w:t>
      </w:r>
      <w:r w:rsidRPr="0071782F">
        <w:rPr>
          <w:lang w:val="fr-CH"/>
        </w:rPr>
        <w:t>.</w:t>
      </w:r>
    </w:p>
    <w:p w:rsidR="008A7415" w:rsidRPr="0071782F" w:rsidRDefault="008A7415" w:rsidP="000E4F15">
      <w:pPr>
        <w:pStyle w:val="SingleTxtG"/>
        <w:ind w:left="1701"/>
        <w:rPr>
          <w:lang w:val="fr-CH"/>
        </w:rPr>
      </w:pPr>
      <w:r w:rsidRPr="0071782F">
        <w:rPr>
          <w:lang w:val="fr-CH"/>
        </w:rPr>
        <w:t>254.20.</w:t>
      </w:r>
      <w:r w:rsidR="000E4F15" w:rsidRPr="0071782F">
        <w:rPr>
          <w:lang w:val="fr-CH"/>
        </w:rPr>
        <w:t xml:space="preserve"> </w:t>
      </w:r>
      <w:r w:rsidR="006E329D" w:rsidRPr="0071782F">
        <w:rPr>
          <w:lang w:val="fr-CH"/>
        </w:rPr>
        <w:t xml:space="preserve">Le </w:t>
      </w:r>
      <w:r w:rsidR="00BD5FF1" w:rsidRPr="0071782F">
        <w:rPr>
          <w:lang w:val="fr-CH"/>
        </w:rPr>
        <w:t>Ministère de la santé et de la formation médicale</w:t>
      </w:r>
      <w:r w:rsidR="006E329D" w:rsidRPr="0071782F">
        <w:rPr>
          <w:lang w:val="fr-CH"/>
        </w:rPr>
        <w:t xml:space="preserve"> est tenu, agissant en collaboration avec l’Organisme public de gestion et de planification, d’établir le règlement nécessaire pour équilibrer la participation de la population aux fonds et dépenses engagés au titre des soins et traitements médicaux en vue d’atteindre les objectifs susvisés dans un délai de six</w:t>
      </w:r>
      <w:r w:rsidR="001F3F05" w:rsidRPr="0071782F">
        <w:rPr>
          <w:lang w:val="fr-CH"/>
        </w:rPr>
        <w:t> mois</w:t>
      </w:r>
      <w:r w:rsidR="006E329D" w:rsidRPr="0071782F">
        <w:rPr>
          <w:lang w:val="fr-CH"/>
        </w:rPr>
        <w:t xml:space="preserve"> à compter de la date d’adoption de la loi en question</w:t>
      </w:r>
      <w:r w:rsidR="006052DF" w:rsidRPr="0071782F">
        <w:rPr>
          <w:lang w:val="fr-CH"/>
        </w:rPr>
        <w:t>,</w:t>
      </w:r>
      <w:r w:rsidR="006E329D" w:rsidRPr="0071782F">
        <w:rPr>
          <w:lang w:val="fr-CH"/>
        </w:rPr>
        <w:t xml:space="preserve"> et de le soumettre au Conseil des ministres pour adoption. En vertu de </w:t>
      </w:r>
      <w:r w:rsidR="00723F2B" w:rsidRPr="0071782F">
        <w:rPr>
          <w:lang w:val="fr-CH"/>
        </w:rPr>
        <w:t>l’</w:t>
      </w:r>
      <w:r w:rsidR="00943A69" w:rsidRPr="0071782F">
        <w:rPr>
          <w:lang w:val="fr-CH"/>
        </w:rPr>
        <w:t>article </w:t>
      </w:r>
      <w:r w:rsidRPr="0071782F">
        <w:rPr>
          <w:lang w:val="fr-CH"/>
        </w:rPr>
        <w:t xml:space="preserve">91, </w:t>
      </w:r>
      <w:r w:rsidR="006E329D" w:rsidRPr="0071782F">
        <w:rPr>
          <w:lang w:val="fr-CH"/>
        </w:rPr>
        <w:t>les mesures ci-après doivent être adoptées pour améliorer l’efficacité des services de santé et promouvoir et développer le système d’assurance médicale.</w:t>
      </w:r>
    </w:p>
    <w:p w:rsidR="008A7415" w:rsidRPr="0071782F" w:rsidRDefault="008A7415" w:rsidP="00CC79A4">
      <w:pPr>
        <w:pStyle w:val="SingleTxtG"/>
        <w:ind w:left="2268"/>
        <w:rPr>
          <w:lang w:val="fr-CH"/>
        </w:rPr>
      </w:pPr>
      <w:r w:rsidRPr="0071782F">
        <w:rPr>
          <w:lang w:val="fr-CH"/>
        </w:rPr>
        <w:t>254.20.1.</w:t>
      </w:r>
      <w:r w:rsidR="000E4F15" w:rsidRPr="0071782F">
        <w:rPr>
          <w:lang w:val="fr-CH"/>
        </w:rPr>
        <w:t xml:space="preserve"> </w:t>
      </w:r>
      <w:r w:rsidR="00B9587C" w:rsidRPr="0071782F">
        <w:rPr>
          <w:lang w:val="fr-CH"/>
        </w:rPr>
        <w:t xml:space="preserve">Les sociétés d’assurances commerciales et non commerciales qui se conforment aux règles et règlements du Haut Conseil de </w:t>
      </w:r>
      <w:r w:rsidR="006052DF" w:rsidRPr="0071782F">
        <w:rPr>
          <w:lang w:val="fr-CH"/>
        </w:rPr>
        <w:t>l’assurance</w:t>
      </w:r>
      <w:r w:rsidR="00B9587C" w:rsidRPr="0071782F">
        <w:rPr>
          <w:lang w:val="fr-CH"/>
        </w:rPr>
        <w:t xml:space="preserve"> médicale sont autorisées à fournir des services d’assurance médicale de base et complémentaire. </w:t>
      </w:r>
    </w:p>
    <w:p w:rsidR="008A7415" w:rsidRPr="0071782F" w:rsidRDefault="008A7415" w:rsidP="00CC79A4">
      <w:pPr>
        <w:pStyle w:val="SingleTxtG"/>
        <w:ind w:left="2268"/>
        <w:rPr>
          <w:lang w:val="fr-CH"/>
        </w:rPr>
      </w:pPr>
      <w:r w:rsidRPr="0071782F">
        <w:rPr>
          <w:lang w:val="fr-CH"/>
        </w:rPr>
        <w:t>254.20.2.</w:t>
      </w:r>
      <w:r w:rsidR="000E4F15" w:rsidRPr="0071782F">
        <w:rPr>
          <w:lang w:val="fr-CH"/>
        </w:rPr>
        <w:t xml:space="preserve"> </w:t>
      </w:r>
      <w:r w:rsidR="00B9587C" w:rsidRPr="0071782F">
        <w:rPr>
          <w:lang w:val="fr-CH"/>
        </w:rPr>
        <w:t xml:space="preserve">Le Haut Conseil de </w:t>
      </w:r>
      <w:r w:rsidR="006052DF" w:rsidRPr="0071782F">
        <w:rPr>
          <w:lang w:val="fr-CH"/>
        </w:rPr>
        <w:t>l’assurance</w:t>
      </w:r>
      <w:r w:rsidR="00B9587C" w:rsidRPr="0071782F">
        <w:rPr>
          <w:lang w:val="fr-CH"/>
        </w:rPr>
        <w:t xml:space="preserve"> médicale doit procéder aux préparatifs nécessaires à la création, d’ici à la fin du </w:t>
      </w:r>
      <w:r w:rsidR="00A90208" w:rsidRPr="0071782F">
        <w:rPr>
          <w:lang w:val="fr-CH"/>
        </w:rPr>
        <w:t>quatrième</w:t>
      </w:r>
      <w:r w:rsidR="00A233C2" w:rsidRPr="0071782F">
        <w:rPr>
          <w:lang w:val="fr-CH"/>
        </w:rPr>
        <w:t> </w:t>
      </w:r>
      <w:r w:rsidR="00B9587C" w:rsidRPr="0071782F">
        <w:rPr>
          <w:lang w:val="fr-CH"/>
        </w:rPr>
        <w:t xml:space="preserve">plan de développement, d’un régime d’assurance médicale reposant sur le </w:t>
      </w:r>
      <w:r w:rsidR="007D20FF" w:rsidRPr="0071782F">
        <w:rPr>
          <w:lang w:val="fr-CH"/>
        </w:rPr>
        <w:t>médecin traitant</w:t>
      </w:r>
      <w:r w:rsidR="00B9587C" w:rsidRPr="0071782F">
        <w:rPr>
          <w:lang w:val="fr-CH"/>
        </w:rPr>
        <w:t xml:space="preserve"> et un système d’aiguillage des patients.</w:t>
      </w:r>
      <w:r w:rsidR="00D36718">
        <w:rPr>
          <w:lang w:val="fr-CH"/>
        </w:rPr>
        <w:t xml:space="preserve"> </w:t>
      </w:r>
    </w:p>
    <w:p w:rsidR="008A7415" w:rsidRPr="0071782F" w:rsidRDefault="008A7415" w:rsidP="00CC79A4">
      <w:pPr>
        <w:pStyle w:val="SingleTxtG"/>
        <w:ind w:left="2268"/>
        <w:rPr>
          <w:lang w:val="fr-CH"/>
        </w:rPr>
      </w:pPr>
      <w:r w:rsidRPr="0071782F">
        <w:rPr>
          <w:lang w:val="fr-CH"/>
        </w:rPr>
        <w:t>254.20.3.</w:t>
      </w:r>
      <w:r w:rsidR="000E4F15" w:rsidRPr="0071782F">
        <w:rPr>
          <w:lang w:val="fr-CH"/>
        </w:rPr>
        <w:t xml:space="preserve"> </w:t>
      </w:r>
      <w:r w:rsidR="002518B0" w:rsidRPr="0071782F">
        <w:rPr>
          <w:lang w:val="fr-CH"/>
        </w:rPr>
        <w:t xml:space="preserve">Les montants de la couverture médicale de base de la sécurité sociale pour les communautés rurales et nomades doivent être équivalents à ceux des communautés urbaines, ce afin de promouvoir la </w:t>
      </w:r>
      <w:r w:rsidRPr="0071782F">
        <w:rPr>
          <w:lang w:val="fr-CH"/>
        </w:rPr>
        <w:t xml:space="preserve">justice </w:t>
      </w:r>
      <w:r w:rsidR="002518B0" w:rsidRPr="0071782F">
        <w:rPr>
          <w:lang w:val="fr-CH"/>
        </w:rPr>
        <w:t>en matière d’accès aux services de soins et de traitements médicaux.</w:t>
      </w:r>
      <w:r w:rsidR="00D36718">
        <w:rPr>
          <w:lang w:val="fr-CH"/>
        </w:rPr>
        <w:t xml:space="preserve"> </w:t>
      </w:r>
    </w:p>
    <w:p w:rsidR="008A7415" w:rsidRPr="0071782F" w:rsidRDefault="008A7415" w:rsidP="00CC79A4">
      <w:pPr>
        <w:pStyle w:val="SingleTxtG"/>
        <w:ind w:left="2268"/>
        <w:rPr>
          <w:lang w:val="fr-CH"/>
        </w:rPr>
      </w:pPr>
      <w:r w:rsidRPr="0071782F">
        <w:rPr>
          <w:lang w:val="fr-CH"/>
        </w:rPr>
        <w:t>254.20.4.</w:t>
      </w:r>
      <w:r w:rsidR="000E4F15" w:rsidRPr="0071782F">
        <w:rPr>
          <w:lang w:val="fr-CH"/>
        </w:rPr>
        <w:t xml:space="preserve"> </w:t>
      </w:r>
      <w:r w:rsidR="002518B0" w:rsidRPr="0071782F">
        <w:rPr>
          <w:lang w:val="fr-CH"/>
        </w:rPr>
        <w:t>Tous les ressortissants étrangers résidant dans le pays sont tenus de souscrire une police d’assurance qui les couvre en cas d’accident ou de maladie pendant leur séjour dans le pays.</w:t>
      </w:r>
      <w:r w:rsidRPr="0071782F">
        <w:rPr>
          <w:lang w:val="fr-CH"/>
        </w:rPr>
        <w:t xml:space="preserve"> </w:t>
      </w:r>
    </w:p>
    <w:p w:rsidR="008A7415" w:rsidRPr="0071782F" w:rsidRDefault="008A7415" w:rsidP="00CC79A4">
      <w:pPr>
        <w:pStyle w:val="SingleTxtG"/>
        <w:ind w:left="2268"/>
        <w:rPr>
          <w:lang w:val="fr-CH"/>
        </w:rPr>
      </w:pPr>
      <w:r w:rsidRPr="0071782F">
        <w:rPr>
          <w:lang w:val="fr-CH"/>
        </w:rPr>
        <w:t>254.20.5.</w:t>
      </w:r>
      <w:r w:rsidR="000E4F15" w:rsidRPr="0071782F">
        <w:rPr>
          <w:lang w:val="fr-CH"/>
        </w:rPr>
        <w:t xml:space="preserve"> </w:t>
      </w:r>
      <w:r w:rsidR="00636CFE" w:rsidRPr="0071782F">
        <w:rPr>
          <w:lang w:val="fr-CH"/>
        </w:rPr>
        <w:t xml:space="preserve">Dans les budgets annuels, l’allocation de crédits au titre des services d’assurance médicale </w:t>
      </w:r>
      <w:r w:rsidR="00FD11EE" w:rsidRPr="0071782F">
        <w:rPr>
          <w:lang w:val="fr-CH"/>
        </w:rPr>
        <w:t xml:space="preserve">sera </w:t>
      </w:r>
      <w:r w:rsidR="00636CFE" w:rsidRPr="0071782F">
        <w:rPr>
          <w:lang w:val="fr-CH"/>
        </w:rPr>
        <w:t>déterminée en fonction des taux effectifs par habitant approuvés chaque année par le Conseil des ministres.</w:t>
      </w:r>
      <w:r w:rsidRPr="0071782F">
        <w:rPr>
          <w:lang w:val="fr-CH"/>
        </w:rPr>
        <w:t xml:space="preserve"> </w:t>
      </w:r>
    </w:p>
    <w:p w:rsidR="008A7415" w:rsidRPr="0071782F" w:rsidRDefault="008A7415" w:rsidP="00CC79A4">
      <w:pPr>
        <w:pStyle w:val="SingleTxtG"/>
        <w:ind w:left="2268"/>
        <w:rPr>
          <w:lang w:val="fr-CH"/>
        </w:rPr>
      </w:pPr>
      <w:r w:rsidRPr="0071782F">
        <w:rPr>
          <w:lang w:val="fr-CH"/>
        </w:rPr>
        <w:t>254.20.6.</w:t>
      </w:r>
      <w:r w:rsidR="000E4F15" w:rsidRPr="0071782F">
        <w:rPr>
          <w:lang w:val="fr-CH"/>
        </w:rPr>
        <w:t xml:space="preserve"> </w:t>
      </w:r>
      <w:r w:rsidR="00FD11EE" w:rsidRPr="0071782F">
        <w:rPr>
          <w:lang w:val="fr-CH"/>
        </w:rPr>
        <w:t xml:space="preserve">Le règlement relatif au présent </w:t>
      </w:r>
      <w:r w:rsidR="00943A69" w:rsidRPr="0071782F">
        <w:rPr>
          <w:lang w:val="fr-CH"/>
        </w:rPr>
        <w:t>article</w:t>
      </w:r>
      <w:r w:rsidR="00A233C2" w:rsidRPr="0071782F">
        <w:rPr>
          <w:lang w:val="fr-CH"/>
        </w:rPr>
        <w:t xml:space="preserve"> </w:t>
      </w:r>
      <w:r w:rsidR="00FD11EE" w:rsidRPr="0071782F">
        <w:rPr>
          <w:lang w:val="fr-CH"/>
        </w:rPr>
        <w:t xml:space="preserve">sera établi par le </w:t>
      </w:r>
      <w:r w:rsidR="00BD5FF1" w:rsidRPr="0071782F">
        <w:rPr>
          <w:lang w:val="fr-CH"/>
        </w:rPr>
        <w:t>Ministère de la santé et de la formation médicale</w:t>
      </w:r>
      <w:r w:rsidR="00FD11EE" w:rsidRPr="0071782F">
        <w:rPr>
          <w:lang w:val="fr-CH"/>
        </w:rPr>
        <w:t xml:space="preserve"> dans les trois</w:t>
      </w:r>
      <w:r w:rsidR="001F3F05" w:rsidRPr="0071782F">
        <w:rPr>
          <w:lang w:val="fr-CH"/>
        </w:rPr>
        <w:t> mois</w:t>
      </w:r>
      <w:r w:rsidR="00FD11EE" w:rsidRPr="0071782F">
        <w:rPr>
          <w:lang w:val="fr-CH"/>
        </w:rPr>
        <w:t xml:space="preserve"> qui suivront la date d’adoption de la présente loi et présenté au Conseil des ministres pour examen et adoption.</w:t>
      </w:r>
    </w:p>
    <w:p w:rsidR="008A7415" w:rsidRPr="0071782F" w:rsidRDefault="008A7415" w:rsidP="000E4F15">
      <w:pPr>
        <w:pStyle w:val="SingleTxtG"/>
        <w:ind w:left="1701"/>
        <w:rPr>
          <w:lang w:val="fr-CH"/>
        </w:rPr>
      </w:pPr>
      <w:r w:rsidRPr="0071782F">
        <w:rPr>
          <w:lang w:val="fr-CH"/>
        </w:rPr>
        <w:t>254.21.</w:t>
      </w:r>
      <w:r w:rsidR="000E4F15" w:rsidRPr="0071782F">
        <w:rPr>
          <w:lang w:val="fr-CH"/>
        </w:rPr>
        <w:t xml:space="preserve"> </w:t>
      </w:r>
      <w:r w:rsidR="00FD11EE" w:rsidRPr="0071782F">
        <w:rPr>
          <w:lang w:val="fr-CH"/>
        </w:rPr>
        <w:t xml:space="preserve">En vertu de </w:t>
      </w:r>
      <w:r w:rsidR="00723F2B" w:rsidRPr="0071782F">
        <w:rPr>
          <w:lang w:val="fr-CH"/>
        </w:rPr>
        <w:t>l’</w:t>
      </w:r>
      <w:r w:rsidR="00943A69" w:rsidRPr="0071782F">
        <w:rPr>
          <w:lang w:val="fr-CH"/>
        </w:rPr>
        <w:t>article </w:t>
      </w:r>
      <w:r w:rsidRPr="0071782F">
        <w:rPr>
          <w:lang w:val="fr-CH"/>
        </w:rPr>
        <w:t xml:space="preserve">92, </w:t>
      </w:r>
      <w:r w:rsidR="00FD11EE" w:rsidRPr="0071782F">
        <w:rPr>
          <w:lang w:val="fr-CH"/>
        </w:rPr>
        <w:t xml:space="preserve">le </w:t>
      </w:r>
      <w:r w:rsidR="00BD5FF1" w:rsidRPr="0071782F">
        <w:rPr>
          <w:lang w:val="fr-CH"/>
        </w:rPr>
        <w:t>Ministère de la santé et de la formation médicale</w:t>
      </w:r>
      <w:r w:rsidR="00FD11EE" w:rsidRPr="0071782F">
        <w:rPr>
          <w:lang w:val="fr-CH"/>
        </w:rPr>
        <w:t xml:space="preserve"> est tenu de fournir sans conditions un traitement d’urgence aux victimes des accidents de la circulation dans ses centres de soins et de traitements médicaux</w:t>
      </w:r>
      <w:r w:rsidRPr="0071782F">
        <w:rPr>
          <w:lang w:val="fr-CH"/>
        </w:rPr>
        <w:t>.</w:t>
      </w:r>
    </w:p>
    <w:p w:rsidR="008A7415" w:rsidRPr="0071782F" w:rsidRDefault="008A7415" w:rsidP="000E4F15">
      <w:pPr>
        <w:pStyle w:val="SingleTxtG"/>
        <w:ind w:left="1701"/>
        <w:rPr>
          <w:lang w:val="fr-CH"/>
        </w:rPr>
      </w:pPr>
      <w:r w:rsidRPr="0071782F">
        <w:rPr>
          <w:lang w:val="fr-CH"/>
        </w:rPr>
        <w:t>254.22.</w:t>
      </w:r>
      <w:r w:rsidR="000E4F15" w:rsidRPr="0071782F">
        <w:rPr>
          <w:lang w:val="fr-CH"/>
        </w:rPr>
        <w:t xml:space="preserve"> </w:t>
      </w:r>
      <w:r w:rsidR="00F3340E" w:rsidRPr="0071782F">
        <w:rPr>
          <w:lang w:val="fr-CH"/>
        </w:rPr>
        <w:t>Pour garantir les fonds nécessaires à la prestation des services susvisés, les sociétés d’assurances commerciales déduiront 10</w:t>
      </w:r>
      <w:r w:rsidR="007E5125" w:rsidRPr="0071782F">
        <w:rPr>
          <w:lang w:val="fr-CH"/>
        </w:rPr>
        <w:t>%</w:t>
      </w:r>
      <w:r w:rsidR="00F3340E" w:rsidRPr="0071782F">
        <w:rPr>
          <w:lang w:val="fr-CH"/>
        </w:rPr>
        <w:t xml:space="preserve"> du montant de la prime d’assurance au tiers pour virement au compte de recettes spéciales du </w:t>
      </w:r>
      <w:r w:rsidR="00BD5FF1" w:rsidRPr="0071782F">
        <w:rPr>
          <w:lang w:val="fr-CH"/>
        </w:rPr>
        <w:t>Ministère de la santé et de la formation médicale</w:t>
      </w:r>
      <w:r w:rsidRPr="0071782F">
        <w:rPr>
          <w:lang w:val="fr-CH"/>
        </w:rPr>
        <w:t xml:space="preserve">. </w:t>
      </w:r>
      <w:r w:rsidR="00F3340E" w:rsidRPr="0071782F">
        <w:rPr>
          <w:lang w:val="fr-CH"/>
        </w:rPr>
        <w:t>Les dépenses associées au traitement de tous les accidentés de la route seront imputées sur le même compte et prélevées également sur d’autres sources.</w:t>
      </w:r>
    </w:p>
    <w:p w:rsidR="008A7415" w:rsidRPr="0071782F" w:rsidRDefault="008A7415" w:rsidP="000E4F15">
      <w:pPr>
        <w:pStyle w:val="SingleTxtG"/>
        <w:ind w:left="1701"/>
        <w:rPr>
          <w:lang w:val="fr-CH"/>
        </w:rPr>
      </w:pPr>
      <w:r w:rsidRPr="0071782F">
        <w:rPr>
          <w:lang w:val="fr-CH"/>
        </w:rPr>
        <w:t>254.23.</w:t>
      </w:r>
      <w:r w:rsidR="000E4F15" w:rsidRPr="0071782F">
        <w:rPr>
          <w:lang w:val="fr-CH"/>
        </w:rPr>
        <w:t xml:space="preserve"> </w:t>
      </w:r>
      <w:r w:rsidR="004032A5" w:rsidRPr="0071782F">
        <w:rPr>
          <w:lang w:val="fr-CH"/>
        </w:rPr>
        <w:t>Le Ministère distribuera tous les six</w:t>
      </w:r>
      <w:r w:rsidR="001F3F05" w:rsidRPr="0071782F">
        <w:rPr>
          <w:lang w:val="fr-CH"/>
        </w:rPr>
        <w:t> mois</w:t>
      </w:r>
      <w:r w:rsidR="004032A5" w:rsidRPr="0071782F">
        <w:rPr>
          <w:lang w:val="fr-CH"/>
        </w:rPr>
        <w:t xml:space="preserve"> ces fonds sur la base des résultats obtenus par chaque société d’assurance fournissant des services de base. </w:t>
      </w:r>
    </w:p>
    <w:p w:rsidR="008A7415" w:rsidRPr="0071782F" w:rsidRDefault="008A7415" w:rsidP="00204410">
      <w:pPr>
        <w:pStyle w:val="H1G"/>
        <w:rPr>
          <w:lang w:val="fr-CH"/>
        </w:rPr>
      </w:pPr>
      <w:r w:rsidRPr="0071782F">
        <w:rPr>
          <w:lang w:val="fr-CH"/>
        </w:rPr>
        <w:tab/>
      </w:r>
      <w:r w:rsidRPr="0071782F">
        <w:rPr>
          <w:lang w:val="fr-CH"/>
        </w:rPr>
        <w:tab/>
      </w:r>
      <w:r w:rsidR="00943A69" w:rsidRPr="0071782F">
        <w:rPr>
          <w:lang w:val="fr-CH"/>
        </w:rPr>
        <w:t>Article </w:t>
      </w:r>
      <w:r w:rsidRPr="0071782F">
        <w:rPr>
          <w:lang w:val="fr-CH"/>
        </w:rPr>
        <w:t xml:space="preserve">93 </w:t>
      </w:r>
    </w:p>
    <w:p w:rsidR="008A7415" w:rsidRPr="0071782F" w:rsidRDefault="008A7415" w:rsidP="00204410">
      <w:pPr>
        <w:pStyle w:val="SingleTxtG"/>
        <w:rPr>
          <w:lang w:val="fr-CH"/>
        </w:rPr>
      </w:pPr>
      <w:r w:rsidRPr="0071782F">
        <w:rPr>
          <w:lang w:val="fr-CH"/>
        </w:rPr>
        <w:t>255.</w:t>
      </w:r>
      <w:r w:rsidRPr="0071782F">
        <w:rPr>
          <w:lang w:val="fr-CH"/>
        </w:rPr>
        <w:tab/>
      </w:r>
      <w:r w:rsidR="00D20C85" w:rsidRPr="0071782F">
        <w:rPr>
          <w:lang w:val="fr-CH"/>
        </w:rPr>
        <w:t>À ce sujet, il convient de noter ce qui suit</w:t>
      </w:r>
      <w:r w:rsidR="008F7D33" w:rsidRPr="0071782F">
        <w:rPr>
          <w:lang w:val="fr-CH"/>
        </w:rPr>
        <w:t>:</w:t>
      </w:r>
    </w:p>
    <w:p w:rsidR="008A7415" w:rsidRPr="0071782F" w:rsidRDefault="008A7415" w:rsidP="008C7A0E">
      <w:pPr>
        <w:pStyle w:val="SingleTxtG"/>
        <w:ind w:left="1701"/>
        <w:rPr>
          <w:spacing w:val="-2"/>
          <w:lang w:val="fr-CH"/>
        </w:rPr>
      </w:pPr>
      <w:r w:rsidRPr="0071782F">
        <w:rPr>
          <w:spacing w:val="-2"/>
          <w:lang w:val="fr-CH"/>
        </w:rPr>
        <w:t>255.1.</w:t>
      </w:r>
      <w:r w:rsidRPr="0071782F">
        <w:rPr>
          <w:spacing w:val="-2"/>
          <w:lang w:val="fr-CH"/>
        </w:rPr>
        <w:tab/>
      </w:r>
      <w:r w:rsidR="004032A5" w:rsidRPr="0071782F">
        <w:rPr>
          <w:spacing w:val="-2"/>
          <w:lang w:val="fr-CH"/>
        </w:rPr>
        <w:t xml:space="preserve">Afin de réglementer le marché des médicaments, le </w:t>
      </w:r>
      <w:r w:rsidR="00BD5FF1" w:rsidRPr="0071782F">
        <w:rPr>
          <w:spacing w:val="-2"/>
          <w:lang w:val="fr-CH"/>
        </w:rPr>
        <w:t>Ministère de la santé et de la formation médicale</w:t>
      </w:r>
      <w:r w:rsidR="004032A5" w:rsidRPr="0071782F">
        <w:rPr>
          <w:spacing w:val="-2"/>
          <w:lang w:val="fr-CH"/>
        </w:rPr>
        <w:t xml:space="preserve"> publie chaque année une liste des médicaments autorisés</w:t>
      </w:r>
      <w:r w:rsidRPr="0071782F">
        <w:rPr>
          <w:spacing w:val="-2"/>
          <w:lang w:val="fr-CH"/>
        </w:rPr>
        <w:t xml:space="preserve">. </w:t>
      </w:r>
      <w:r w:rsidR="004032A5" w:rsidRPr="0071782F">
        <w:rPr>
          <w:spacing w:val="-2"/>
          <w:lang w:val="fr-CH"/>
        </w:rPr>
        <w:t>Il est interdit de fournir et de prescrire tout médicament ne se trouvant pas sur cette liste.</w:t>
      </w:r>
    </w:p>
    <w:p w:rsidR="008A7415" w:rsidRPr="0071782F" w:rsidRDefault="008A7415" w:rsidP="008C7A0E">
      <w:pPr>
        <w:pStyle w:val="SingleTxtG"/>
        <w:ind w:left="1701"/>
        <w:rPr>
          <w:lang w:val="fr-CH"/>
        </w:rPr>
      </w:pPr>
      <w:r w:rsidRPr="0071782F">
        <w:rPr>
          <w:lang w:val="fr-CH"/>
        </w:rPr>
        <w:t>255.2.</w:t>
      </w:r>
      <w:r w:rsidRPr="0071782F">
        <w:rPr>
          <w:lang w:val="fr-CH"/>
        </w:rPr>
        <w:tab/>
      </w:r>
      <w:r w:rsidR="00F3085D" w:rsidRPr="0071782F">
        <w:rPr>
          <w:lang w:val="fr-CH"/>
        </w:rPr>
        <w:t xml:space="preserve">La vente de médicaments aux utilisateurs finals dans des établissements non pharmaceutiques est interdite </w:t>
      </w:r>
      <w:r w:rsidRPr="0071782F">
        <w:rPr>
          <w:lang w:val="fr-CH"/>
        </w:rPr>
        <w:t>(</w:t>
      </w:r>
      <w:r w:rsidR="00F3085D" w:rsidRPr="0071782F">
        <w:rPr>
          <w:lang w:val="fr-CH"/>
        </w:rPr>
        <w:t>exception faite des médicaments sans ordonnance qui figurent sur la liste publiée par le Ministère)</w:t>
      </w:r>
      <w:r w:rsidRPr="0071782F">
        <w:rPr>
          <w:lang w:val="fr-CH"/>
        </w:rPr>
        <w:t>.</w:t>
      </w:r>
    </w:p>
    <w:p w:rsidR="008A7415" w:rsidRPr="003D43D2" w:rsidRDefault="008A7415" w:rsidP="008C7A0E">
      <w:pPr>
        <w:pStyle w:val="SingleTxtG"/>
        <w:ind w:left="1701"/>
        <w:rPr>
          <w:spacing w:val="-2"/>
          <w:lang w:val="fr-CH"/>
        </w:rPr>
      </w:pPr>
      <w:r w:rsidRPr="003D43D2">
        <w:rPr>
          <w:spacing w:val="-2"/>
          <w:lang w:val="fr-CH"/>
        </w:rPr>
        <w:t>255.3.</w:t>
      </w:r>
      <w:r w:rsidRPr="003D43D2">
        <w:rPr>
          <w:spacing w:val="-2"/>
          <w:lang w:val="fr-CH"/>
        </w:rPr>
        <w:tab/>
      </w:r>
      <w:r w:rsidR="00F3085D" w:rsidRPr="003D43D2">
        <w:rPr>
          <w:spacing w:val="-2"/>
          <w:lang w:val="fr-CH"/>
        </w:rPr>
        <w:t>Pour garantir la qualité des médicaments, toutes les entreprises pharmaceutiques sont tenues d’utiliser des mécanismes de contrôle de la qualité et de recourir à des spécialistes pour contrôler la qualité de leurs produits. À cette fin, elles sont autorisées à utiliser, en collaboration avec le Ministère, 5</w:t>
      </w:r>
      <w:r w:rsidRPr="003D43D2">
        <w:rPr>
          <w:spacing w:val="-2"/>
          <w:lang w:val="fr-CH"/>
        </w:rPr>
        <w:t>0</w:t>
      </w:r>
      <w:r w:rsidR="007E5125" w:rsidRPr="003D43D2">
        <w:rPr>
          <w:spacing w:val="-2"/>
          <w:lang w:val="fr-CH"/>
        </w:rPr>
        <w:t>%</w:t>
      </w:r>
      <w:r w:rsidRPr="003D43D2">
        <w:rPr>
          <w:spacing w:val="-2"/>
          <w:lang w:val="fr-CH"/>
        </w:rPr>
        <w:t xml:space="preserve"> </w:t>
      </w:r>
      <w:r w:rsidR="00F3085D" w:rsidRPr="003D43D2">
        <w:rPr>
          <w:spacing w:val="-2"/>
          <w:lang w:val="fr-CH"/>
        </w:rPr>
        <w:t xml:space="preserve">des fonds prévus par la loi modifiant le </w:t>
      </w:r>
      <w:r w:rsidR="00723F2B" w:rsidRPr="003D43D2">
        <w:rPr>
          <w:spacing w:val="-2"/>
          <w:lang w:val="fr-CH"/>
        </w:rPr>
        <w:t>paragraphe </w:t>
      </w:r>
      <w:r w:rsidRPr="003D43D2">
        <w:rPr>
          <w:spacing w:val="-2"/>
          <w:lang w:val="fr-CH"/>
        </w:rPr>
        <w:t xml:space="preserve">2 </w:t>
      </w:r>
      <w:r w:rsidR="00F3085D" w:rsidRPr="003D43D2">
        <w:rPr>
          <w:spacing w:val="-2"/>
          <w:lang w:val="fr-CH"/>
        </w:rPr>
        <w:t xml:space="preserve">de la </w:t>
      </w:r>
      <w:r w:rsidR="00B71907" w:rsidRPr="003D43D2">
        <w:rPr>
          <w:spacing w:val="-2"/>
          <w:lang w:val="fr-CH"/>
        </w:rPr>
        <w:t>note </w:t>
      </w:r>
      <w:r w:rsidRPr="003D43D2">
        <w:rPr>
          <w:spacing w:val="-2"/>
          <w:lang w:val="fr-CH"/>
        </w:rPr>
        <w:t xml:space="preserve">2 </w:t>
      </w:r>
      <w:r w:rsidR="00F3085D" w:rsidRPr="003D43D2">
        <w:rPr>
          <w:spacing w:val="-2"/>
          <w:lang w:val="fr-CH"/>
        </w:rPr>
        <w:t xml:space="preserve">de </w:t>
      </w:r>
      <w:r w:rsidR="00723F2B" w:rsidRPr="003D43D2">
        <w:rPr>
          <w:spacing w:val="-2"/>
          <w:lang w:val="fr-CH"/>
        </w:rPr>
        <w:t>l’</w:t>
      </w:r>
      <w:r w:rsidR="00943A69" w:rsidRPr="003D43D2">
        <w:rPr>
          <w:spacing w:val="-2"/>
          <w:lang w:val="fr-CH"/>
        </w:rPr>
        <w:t>article </w:t>
      </w:r>
      <w:r w:rsidRPr="003D43D2">
        <w:rPr>
          <w:spacing w:val="-2"/>
          <w:lang w:val="fr-CH"/>
        </w:rPr>
        <w:t xml:space="preserve">5 </w:t>
      </w:r>
      <w:r w:rsidR="00F3085D" w:rsidRPr="003D43D2">
        <w:rPr>
          <w:spacing w:val="-2"/>
          <w:lang w:val="fr-CH"/>
        </w:rPr>
        <w:t xml:space="preserve">de la loi sur le recyclage professionnel de la communauté médicale </w:t>
      </w:r>
      <w:r w:rsidRPr="003D43D2">
        <w:rPr>
          <w:spacing w:val="-2"/>
          <w:lang w:val="fr-CH"/>
        </w:rPr>
        <w:t xml:space="preserve">(1992) </w:t>
      </w:r>
      <w:r w:rsidR="00F3085D" w:rsidRPr="003D43D2">
        <w:rPr>
          <w:spacing w:val="-2"/>
          <w:lang w:val="fr-CH"/>
        </w:rPr>
        <w:t>dans le cadre des budgets annuels</w:t>
      </w:r>
      <w:r w:rsidRPr="003D43D2">
        <w:rPr>
          <w:spacing w:val="-2"/>
          <w:lang w:val="fr-CH"/>
        </w:rPr>
        <w:t>.</w:t>
      </w:r>
    </w:p>
    <w:p w:rsidR="008A7415" w:rsidRPr="0071782F" w:rsidRDefault="008A7415" w:rsidP="008C7A0E">
      <w:pPr>
        <w:pStyle w:val="SingleTxtG"/>
        <w:ind w:left="1701"/>
        <w:rPr>
          <w:lang w:val="fr-CH"/>
        </w:rPr>
      </w:pPr>
      <w:r w:rsidRPr="0071782F">
        <w:rPr>
          <w:lang w:val="fr-CH"/>
        </w:rPr>
        <w:t>255.4.</w:t>
      </w:r>
      <w:r w:rsidRPr="0071782F">
        <w:rPr>
          <w:lang w:val="fr-CH"/>
        </w:rPr>
        <w:tab/>
      </w:r>
      <w:r w:rsidR="00723F2B" w:rsidRPr="0071782F">
        <w:rPr>
          <w:lang w:val="fr-CH"/>
        </w:rPr>
        <w:t>L’</w:t>
      </w:r>
      <w:r w:rsidR="00943A69" w:rsidRPr="0071782F">
        <w:rPr>
          <w:lang w:val="fr-CH"/>
        </w:rPr>
        <w:t>article </w:t>
      </w:r>
      <w:r w:rsidRPr="0071782F">
        <w:rPr>
          <w:lang w:val="fr-CH"/>
        </w:rPr>
        <w:t xml:space="preserve">94 </w:t>
      </w:r>
      <w:r w:rsidR="00F3085D" w:rsidRPr="0071782F">
        <w:rPr>
          <w:lang w:val="fr-CH"/>
        </w:rPr>
        <w:t xml:space="preserve">de la loi relative au </w:t>
      </w:r>
      <w:r w:rsidR="00A90208" w:rsidRPr="0071782F">
        <w:rPr>
          <w:lang w:val="fr-CH"/>
        </w:rPr>
        <w:t>quatrième</w:t>
      </w:r>
      <w:r w:rsidR="003D43D2">
        <w:rPr>
          <w:lang w:val="fr-CH"/>
        </w:rPr>
        <w:t xml:space="preserve"> </w:t>
      </w:r>
      <w:r w:rsidR="00F3085D" w:rsidRPr="0071782F">
        <w:rPr>
          <w:lang w:val="fr-CH"/>
        </w:rPr>
        <w:t xml:space="preserve">plan de développement reprend </w:t>
      </w:r>
      <w:r w:rsidR="00723F2B" w:rsidRPr="0071782F">
        <w:rPr>
          <w:lang w:val="fr-CH"/>
        </w:rPr>
        <w:t>l’</w:t>
      </w:r>
      <w:r w:rsidR="00943A69" w:rsidRPr="0071782F">
        <w:rPr>
          <w:lang w:val="fr-CH"/>
        </w:rPr>
        <w:t>article </w:t>
      </w:r>
      <w:r w:rsidRPr="0071782F">
        <w:rPr>
          <w:lang w:val="fr-CH"/>
        </w:rPr>
        <w:t xml:space="preserve">194 </w:t>
      </w:r>
      <w:r w:rsidR="00F3085D" w:rsidRPr="0071782F">
        <w:rPr>
          <w:lang w:val="fr-CH"/>
        </w:rPr>
        <w:t xml:space="preserve">de la loi relative au </w:t>
      </w:r>
      <w:r w:rsidR="009E6189">
        <w:rPr>
          <w:lang w:val="fr-CH"/>
        </w:rPr>
        <w:t xml:space="preserve">troisième </w:t>
      </w:r>
      <w:r w:rsidR="00F3085D" w:rsidRPr="0071782F">
        <w:rPr>
          <w:lang w:val="fr-CH"/>
        </w:rPr>
        <w:t>plan et ses modifications</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F3085D" w:rsidRPr="0071782F">
        <w:rPr>
          <w:lang w:val="fr-CH"/>
        </w:rPr>
        <w:t>S</w:t>
      </w:r>
      <w:r w:rsidRPr="0071782F">
        <w:rPr>
          <w:lang w:val="fr-CH"/>
        </w:rPr>
        <w:t xml:space="preserve">ources </w:t>
      </w:r>
      <w:r w:rsidR="00F3085D" w:rsidRPr="0071782F">
        <w:rPr>
          <w:lang w:val="fr-CH"/>
        </w:rPr>
        <w:t xml:space="preserve">de financement du secteur de la santé </w:t>
      </w:r>
    </w:p>
    <w:p w:rsidR="008A7415" w:rsidRPr="0071782F" w:rsidRDefault="008A7415" w:rsidP="00204410">
      <w:pPr>
        <w:pStyle w:val="SingleTxtG"/>
        <w:rPr>
          <w:lang w:val="fr-CH"/>
        </w:rPr>
      </w:pPr>
      <w:r w:rsidRPr="0071782F">
        <w:rPr>
          <w:lang w:val="fr-CH"/>
        </w:rPr>
        <w:t>256.</w:t>
      </w:r>
      <w:r w:rsidRPr="0071782F">
        <w:rPr>
          <w:lang w:val="fr-CH"/>
        </w:rPr>
        <w:tab/>
      </w:r>
      <w:r w:rsidR="00E07338" w:rsidRPr="0071782F">
        <w:rPr>
          <w:lang w:val="fr-CH"/>
        </w:rPr>
        <w:t xml:space="preserve">Conformément à la législation pertinente, l’investissement dans le secteur de la santé répond à une stratégie générale de développement et de réduction de la pauvreté </w:t>
      </w:r>
      <w:r w:rsidR="00013151" w:rsidRPr="0071782F">
        <w:rPr>
          <w:lang w:val="fr-CH"/>
        </w:rPr>
        <w:t>et prévoit la fourniture de sources de financement du secteur des soins et traitements médicaux afin de garantir à la population l’accès aux services publics et individuels de santé de manière que tous ses membres puissent faire face aux dépenses de santé sans être soumis à une pression économique</w:t>
      </w:r>
      <w:r w:rsidRPr="0071782F">
        <w:rPr>
          <w:lang w:val="fr-CH"/>
        </w:rPr>
        <w:t>.</w:t>
      </w:r>
    </w:p>
    <w:p w:rsidR="008A7415" w:rsidRPr="0071782F" w:rsidRDefault="008A7415" w:rsidP="00720788">
      <w:pPr>
        <w:pStyle w:val="SingleTxtG"/>
        <w:ind w:left="1701"/>
        <w:rPr>
          <w:lang w:val="fr-CH"/>
        </w:rPr>
      </w:pPr>
      <w:r w:rsidRPr="0071782F">
        <w:rPr>
          <w:lang w:val="fr-CH"/>
        </w:rPr>
        <w:t>256.1.</w:t>
      </w:r>
      <w:r w:rsidRPr="0071782F">
        <w:rPr>
          <w:lang w:val="fr-CH"/>
        </w:rPr>
        <w:tab/>
      </w:r>
      <w:r w:rsidR="001002B0" w:rsidRPr="0071782F">
        <w:rPr>
          <w:lang w:val="fr-CH"/>
        </w:rPr>
        <w:t xml:space="preserve">Pendant la décennie 1997-2006, les </w:t>
      </w:r>
      <w:r w:rsidRPr="0071782F">
        <w:rPr>
          <w:lang w:val="fr-CH"/>
        </w:rPr>
        <w:t>cr</w:t>
      </w:r>
      <w:r w:rsidR="001002B0" w:rsidRPr="0071782F">
        <w:rPr>
          <w:lang w:val="fr-CH"/>
        </w:rPr>
        <w:t>é</w:t>
      </w:r>
      <w:r w:rsidRPr="0071782F">
        <w:rPr>
          <w:lang w:val="fr-CH"/>
        </w:rPr>
        <w:t>dits allo</w:t>
      </w:r>
      <w:r w:rsidR="001002B0" w:rsidRPr="0071782F">
        <w:rPr>
          <w:lang w:val="fr-CH"/>
        </w:rPr>
        <w:t>ués au secteur des soins et traitements médicaux ont enr</w:t>
      </w:r>
      <w:r w:rsidR="00A93852" w:rsidRPr="0071782F">
        <w:rPr>
          <w:lang w:val="fr-CH"/>
        </w:rPr>
        <w:t>e</w:t>
      </w:r>
      <w:r w:rsidR="001002B0" w:rsidRPr="0071782F">
        <w:rPr>
          <w:lang w:val="fr-CH"/>
        </w:rPr>
        <w:t xml:space="preserve">gistré un taux de croissance moyen annuel de </w:t>
      </w:r>
      <w:r w:rsidRPr="0071782F">
        <w:rPr>
          <w:lang w:val="fr-CH"/>
        </w:rPr>
        <w:t>22</w:t>
      </w:r>
      <w:r w:rsidR="001002B0" w:rsidRPr="0071782F">
        <w:rPr>
          <w:lang w:val="fr-CH"/>
        </w:rPr>
        <w:t>,</w:t>
      </w:r>
      <w:r w:rsidRPr="0071782F">
        <w:rPr>
          <w:lang w:val="fr-CH"/>
        </w:rPr>
        <w:t>8</w:t>
      </w:r>
      <w:r w:rsidR="007E5125" w:rsidRPr="0071782F">
        <w:rPr>
          <w:lang w:val="fr-CH"/>
        </w:rPr>
        <w:t>%</w:t>
      </w:r>
      <w:r w:rsidRPr="0071782F">
        <w:rPr>
          <w:lang w:val="fr-CH"/>
        </w:rPr>
        <w:t xml:space="preserve">; </w:t>
      </w:r>
      <w:r w:rsidR="001002B0" w:rsidRPr="0071782F">
        <w:rPr>
          <w:lang w:val="fr-CH"/>
        </w:rPr>
        <w:t xml:space="preserve">les taux les plus élevés, soit </w:t>
      </w:r>
      <w:r w:rsidRPr="0071782F">
        <w:rPr>
          <w:lang w:val="fr-CH"/>
        </w:rPr>
        <w:t>39</w:t>
      </w:r>
      <w:r w:rsidR="007E5125" w:rsidRPr="0071782F">
        <w:rPr>
          <w:lang w:val="fr-CH"/>
        </w:rPr>
        <w:t>%</w:t>
      </w:r>
      <w:r w:rsidRPr="0071782F">
        <w:rPr>
          <w:lang w:val="fr-CH"/>
        </w:rPr>
        <w:t xml:space="preserve"> </w:t>
      </w:r>
      <w:r w:rsidR="001002B0" w:rsidRPr="0071782F">
        <w:rPr>
          <w:lang w:val="fr-CH"/>
        </w:rPr>
        <w:t>et</w:t>
      </w:r>
      <w:r w:rsidRPr="0071782F">
        <w:rPr>
          <w:lang w:val="fr-CH"/>
        </w:rPr>
        <w:t xml:space="preserve"> 51</w:t>
      </w:r>
      <w:r w:rsidR="007E5125" w:rsidRPr="0071782F">
        <w:rPr>
          <w:lang w:val="fr-CH"/>
        </w:rPr>
        <w:t>%</w:t>
      </w:r>
      <w:r w:rsidRPr="0071782F">
        <w:rPr>
          <w:lang w:val="fr-CH"/>
        </w:rPr>
        <w:t xml:space="preserve">, </w:t>
      </w:r>
      <w:r w:rsidR="001002B0" w:rsidRPr="0071782F">
        <w:rPr>
          <w:lang w:val="fr-CH"/>
        </w:rPr>
        <w:t xml:space="preserve">ont été observés </w:t>
      </w:r>
      <w:r w:rsidR="00A93852" w:rsidRPr="0071782F">
        <w:rPr>
          <w:lang w:val="fr-CH"/>
        </w:rPr>
        <w:t xml:space="preserve">en </w:t>
      </w:r>
      <w:r w:rsidRPr="0071782F">
        <w:rPr>
          <w:lang w:val="fr-CH"/>
        </w:rPr>
        <w:t xml:space="preserve">2004 </w:t>
      </w:r>
      <w:r w:rsidR="00A93852" w:rsidRPr="0071782F">
        <w:rPr>
          <w:lang w:val="fr-CH"/>
        </w:rPr>
        <w:t>et</w:t>
      </w:r>
      <w:r w:rsidRPr="0071782F">
        <w:rPr>
          <w:lang w:val="fr-CH"/>
        </w:rPr>
        <w:t xml:space="preserve"> 2005</w:t>
      </w:r>
      <w:r w:rsidR="00A93852" w:rsidRPr="0071782F">
        <w:rPr>
          <w:lang w:val="fr-CH"/>
        </w:rPr>
        <w:t>,</w:t>
      </w:r>
      <w:r w:rsidRPr="0071782F">
        <w:rPr>
          <w:lang w:val="fr-CH"/>
        </w:rPr>
        <w:t xml:space="preserve"> respective</w:t>
      </w:r>
      <w:r w:rsidR="00A93852" w:rsidRPr="0071782F">
        <w:rPr>
          <w:lang w:val="fr-CH"/>
        </w:rPr>
        <w:t>ment</w:t>
      </w:r>
      <w:r w:rsidRPr="0071782F">
        <w:rPr>
          <w:lang w:val="fr-CH"/>
        </w:rPr>
        <w:t>.</w:t>
      </w:r>
    </w:p>
    <w:p w:rsidR="008A7415" w:rsidRPr="0071782F" w:rsidRDefault="008A7415" w:rsidP="00720788">
      <w:pPr>
        <w:pStyle w:val="SingleTxtG"/>
        <w:ind w:left="1701"/>
        <w:rPr>
          <w:lang w:val="fr-CH"/>
        </w:rPr>
      </w:pPr>
      <w:r w:rsidRPr="0071782F">
        <w:rPr>
          <w:lang w:val="fr-CH"/>
        </w:rPr>
        <w:t>256.2.</w:t>
      </w:r>
      <w:r w:rsidRPr="0071782F">
        <w:rPr>
          <w:lang w:val="fr-CH"/>
        </w:rPr>
        <w:tab/>
      </w:r>
      <w:r w:rsidR="00A93852" w:rsidRPr="0071782F">
        <w:rPr>
          <w:lang w:val="fr-CH"/>
        </w:rPr>
        <w:t xml:space="preserve">Les </w:t>
      </w:r>
      <w:r w:rsidRPr="0071782F">
        <w:rPr>
          <w:lang w:val="fr-CH"/>
        </w:rPr>
        <w:t>cr</w:t>
      </w:r>
      <w:r w:rsidR="00A93852" w:rsidRPr="0071782F">
        <w:rPr>
          <w:lang w:val="fr-CH"/>
        </w:rPr>
        <w:t>é</w:t>
      </w:r>
      <w:r w:rsidRPr="0071782F">
        <w:rPr>
          <w:lang w:val="fr-CH"/>
        </w:rPr>
        <w:t>dits allo</w:t>
      </w:r>
      <w:r w:rsidR="00A93852" w:rsidRPr="0071782F">
        <w:rPr>
          <w:lang w:val="fr-CH"/>
        </w:rPr>
        <w:t xml:space="preserve">ués exclusivement au secteur de la santé ont dépassé en moyenne de </w:t>
      </w:r>
      <w:r w:rsidRPr="0071782F">
        <w:rPr>
          <w:lang w:val="fr-CH"/>
        </w:rPr>
        <w:t>11</w:t>
      </w:r>
      <w:r w:rsidR="00A93852" w:rsidRPr="0071782F">
        <w:rPr>
          <w:lang w:val="fr-CH"/>
        </w:rPr>
        <w:t>,</w:t>
      </w:r>
      <w:r w:rsidRPr="0071782F">
        <w:rPr>
          <w:lang w:val="fr-CH"/>
        </w:rPr>
        <w:t>6</w:t>
      </w:r>
      <w:r w:rsidR="007E5125" w:rsidRPr="0071782F">
        <w:rPr>
          <w:lang w:val="fr-CH"/>
        </w:rPr>
        <w:t>%</w:t>
      </w:r>
      <w:r w:rsidRPr="0071782F">
        <w:rPr>
          <w:lang w:val="fr-CH"/>
        </w:rPr>
        <w:t xml:space="preserve"> </w:t>
      </w:r>
      <w:r w:rsidR="00A93852" w:rsidRPr="0071782F">
        <w:rPr>
          <w:lang w:val="fr-CH"/>
        </w:rPr>
        <w:t xml:space="preserve">la croissance des recettes générales de ce secteur et de </w:t>
      </w:r>
      <w:r w:rsidRPr="0071782F">
        <w:rPr>
          <w:lang w:val="fr-CH"/>
        </w:rPr>
        <w:t>5</w:t>
      </w:r>
      <w:r w:rsidR="00A93852" w:rsidRPr="0071782F">
        <w:rPr>
          <w:lang w:val="fr-CH"/>
        </w:rPr>
        <w:t>,</w:t>
      </w:r>
      <w:r w:rsidRPr="0071782F">
        <w:rPr>
          <w:lang w:val="fr-CH"/>
        </w:rPr>
        <w:t>4</w:t>
      </w:r>
      <w:r w:rsidR="007E5125" w:rsidRPr="0071782F">
        <w:rPr>
          <w:lang w:val="fr-CH"/>
        </w:rPr>
        <w:t>%</w:t>
      </w:r>
      <w:r w:rsidRPr="0071782F">
        <w:rPr>
          <w:lang w:val="fr-CH"/>
        </w:rPr>
        <w:t xml:space="preserve"> </w:t>
      </w:r>
      <w:r w:rsidR="00A93852" w:rsidRPr="0071782F">
        <w:rPr>
          <w:lang w:val="fr-CH"/>
        </w:rPr>
        <w:t>les crédits alloués au secteur de l’assurance médicale</w:t>
      </w:r>
      <w:r w:rsidRPr="0071782F">
        <w:rPr>
          <w:lang w:val="fr-CH"/>
        </w:rPr>
        <w:t xml:space="preserve">. </w:t>
      </w:r>
      <w:r w:rsidR="00A93852" w:rsidRPr="0071782F">
        <w:rPr>
          <w:lang w:val="fr-CH"/>
        </w:rPr>
        <w:t xml:space="preserve">Par ailleurs, l’accroissement des </w:t>
      </w:r>
      <w:r w:rsidRPr="0071782F">
        <w:rPr>
          <w:lang w:val="fr-CH"/>
        </w:rPr>
        <w:t>cr</w:t>
      </w:r>
      <w:r w:rsidR="00A93852" w:rsidRPr="0071782F">
        <w:rPr>
          <w:lang w:val="fr-CH"/>
        </w:rPr>
        <w:t>é</w:t>
      </w:r>
      <w:r w:rsidRPr="0071782F">
        <w:rPr>
          <w:lang w:val="fr-CH"/>
        </w:rPr>
        <w:t>dits allo</w:t>
      </w:r>
      <w:r w:rsidR="00A93852" w:rsidRPr="0071782F">
        <w:rPr>
          <w:lang w:val="fr-CH"/>
        </w:rPr>
        <w:t xml:space="preserve">ués à ce dernier secteur a été inférieur à celui de ses recettes, ce qui a entraîné une augmentation progressive de la part des dépenses de santé </w:t>
      </w:r>
      <w:r w:rsidR="00146D08" w:rsidRPr="0071782F">
        <w:rPr>
          <w:lang w:val="fr-CH"/>
        </w:rPr>
        <w:t>assumée</w:t>
      </w:r>
      <w:r w:rsidR="00A93852" w:rsidRPr="0071782F">
        <w:rPr>
          <w:lang w:val="fr-CH"/>
        </w:rPr>
        <w:t xml:space="preserve"> par la population. </w:t>
      </w:r>
    </w:p>
    <w:p w:rsidR="008A7415" w:rsidRPr="0071782F" w:rsidRDefault="008A7415" w:rsidP="008077B0">
      <w:pPr>
        <w:pStyle w:val="SingleTxtG"/>
        <w:ind w:left="1701"/>
        <w:rPr>
          <w:lang w:val="fr-CH"/>
        </w:rPr>
      </w:pPr>
      <w:r w:rsidRPr="0071782F">
        <w:rPr>
          <w:lang w:val="fr-CH"/>
        </w:rPr>
        <w:t>256.3.</w:t>
      </w:r>
      <w:r w:rsidRPr="0071782F">
        <w:rPr>
          <w:lang w:val="fr-CH"/>
        </w:rPr>
        <w:tab/>
      </w:r>
      <w:r w:rsidR="00A93852" w:rsidRPr="0071782F">
        <w:rPr>
          <w:lang w:val="fr-CH"/>
        </w:rPr>
        <w:t xml:space="preserve">À l’heure actuelle, les dépenses de santé par habitant s’élèvent à environ </w:t>
      </w:r>
      <w:r w:rsidRPr="0071782F">
        <w:rPr>
          <w:lang w:val="fr-CH"/>
        </w:rPr>
        <w:t>110</w:t>
      </w:r>
      <w:r w:rsidR="008077B0" w:rsidRPr="0071782F">
        <w:rPr>
          <w:lang w:val="fr-CH"/>
        </w:rPr>
        <w:t> </w:t>
      </w:r>
      <w:r w:rsidRPr="0071782F">
        <w:rPr>
          <w:lang w:val="fr-CH"/>
        </w:rPr>
        <w:t>dollars.</w:t>
      </w:r>
    </w:p>
    <w:p w:rsidR="008A7415" w:rsidRPr="0071782F" w:rsidRDefault="008A7415" w:rsidP="00720788">
      <w:pPr>
        <w:pStyle w:val="SingleTxtG"/>
        <w:ind w:left="1701"/>
        <w:rPr>
          <w:lang w:val="fr-CH"/>
        </w:rPr>
      </w:pPr>
      <w:r w:rsidRPr="0071782F">
        <w:rPr>
          <w:lang w:val="fr-CH"/>
        </w:rPr>
        <w:t>256.4.</w:t>
      </w:r>
      <w:r w:rsidRPr="0071782F">
        <w:rPr>
          <w:lang w:val="fr-CH"/>
        </w:rPr>
        <w:tab/>
      </w:r>
      <w:r w:rsidR="00A93852" w:rsidRPr="0071782F">
        <w:rPr>
          <w:lang w:val="fr-CH"/>
        </w:rPr>
        <w:t>La part des dépenses de soins et de traitements médicaux dans le PIB a été de 6,5</w:t>
      </w:r>
      <w:r w:rsidR="007E5125" w:rsidRPr="0071782F">
        <w:rPr>
          <w:lang w:val="fr-CH"/>
        </w:rPr>
        <w:t>%</w:t>
      </w:r>
      <w:r w:rsidR="00A93852" w:rsidRPr="0071782F">
        <w:rPr>
          <w:lang w:val="fr-CH"/>
        </w:rPr>
        <w:t xml:space="preserve"> en </w:t>
      </w:r>
      <w:r w:rsidRPr="0071782F">
        <w:rPr>
          <w:lang w:val="fr-CH"/>
        </w:rPr>
        <w:t xml:space="preserve">2005, </w:t>
      </w:r>
      <w:r w:rsidR="00A93852" w:rsidRPr="0071782F">
        <w:rPr>
          <w:lang w:val="fr-CH"/>
        </w:rPr>
        <w:t>de 6,7</w:t>
      </w:r>
      <w:r w:rsidR="007E5125" w:rsidRPr="0071782F">
        <w:rPr>
          <w:lang w:val="fr-CH"/>
        </w:rPr>
        <w:t>%</w:t>
      </w:r>
      <w:r w:rsidR="00A93852" w:rsidRPr="0071782F">
        <w:rPr>
          <w:lang w:val="fr-CH"/>
        </w:rPr>
        <w:t xml:space="preserve"> en </w:t>
      </w:r>
      <w:r w:rsidRPr="0071782F">
        <w:rPr>
          <w:lang w:val="fr-CH"/>
        </w:rPr>
        <w:t xml:space="preserve">2006 </w:t>
      </w:r>
      <w:r w:rsidR="00A93852" w:rsidRPr="0071782F">
        <w:rPr>
          <w:lang w:val="fr-CH"/>
        </w:rPr>
        <w:t>et de 7</w:t>
      </w:r>
      <w:r w:rsidR="007E5125" w:rsidRPr="0071782F">
        <w:rPr>
          <w:lang w:val="fr-CH"/>
        </w:rPr>
        <w:t>%</w:t>
      </w:r>
      <w:r w:rsidR="00A93852" w:rsidRPr="0071782F">
        <w:rPr>
          <w:lang w:val="fr-CH"/>
        </w:rPr>
        <w:t xml:space="preserve"> en </w:t>
      </w:r>
      <w:r w:rsidRPr="0071782F">
        <w:rPr>
          <w:lang w:val="fr-CH"/>
        </w:rPr>
        <w:t>2007.</w:t>
      </w:r>
    </w:p>
    <w:p w:rsidR="008A7415" w:rsidRPr="0071782F" w:rsidRDefault="008A7415" w:rsidP="00204410">
      <w:pPr>
        <w:pStyle w:val="H1G"/>
        <w:rPr>
          <w:lang w:val="fr-CH"/>
        </w:rPr>
      </w:pPr>
      <w:r w:rsidRPr="0071782F">
        <w:rPr>
          <w:lang w:val="fr-CH"/>
        </w:rPr>
        <w:tab/>
      </w:r>
      <w:r w:rsidRPr="0071782F">
        <w:rPr>
          <w:lang w:val="fr-CH"/>
        </w:rPr>
        <w:tab/>
      </w:r>
      <w:r w:rsidR="00697B05" w:rsidRPr="0071782F">
        <w:rPr>
          <w:lang w:val="fr-CH"/>
        </w:rPr>
        <w:t xml:space="preserve">Situation de la femme dans le secteur de la santé et de la formation médicale </w:t>
      </w:r>
    </w:p>
    <w:p w:rsidR="008A7415" w:rsidRPr="0071782F" w:rsidRDefault="008A7415" w:rsidP="00204410">
      <w:pPr>
        <w:pStyle w:val="SingleTxtG"/>
        <w:rPr>
          <w:lang w:val="fr-CH"/>
        </w:rPr>
      </w:pPr>
      <w:r w:rsidRPr="0071782F">
        <w:rPr>
          <w:lang w:val="fr-CH"/>
        </w:rPr>
        <w:t>257.</w:t>
      </w:r>
      <w:r w:rsidRPr="0071782F">
        <w:rPr>
          <w:lang w:val="fr-CH"/>
        </w:rPr>
        <w:tab/>
      </w:r>
      <w:r w:rsidR="00CF4B2E" w:rsidRPr="0071782F">
        <w:rPr>
          <w:lang w:val="fr-CH"/>
        </w:rPr>
        <w:t>À ce sujet, il convient de noter ce qui suit</w:t>
      </w:r>
      <w:r w:rsidR="008F7D33" w:rsidRPr="0071782F">
        <w:rPr>
          <w:lang w:val="fr-CH"/>
        </w:rPr>
        <w:t>:</w:t>
      </w:r>
    </w:p>
    <w:p w:rsidR="008A7415" w:rsidRPr="0071782F" w:rsidRDefault="008A7415" w:rsidP="00D61515">
      <w:pPr>
        <w:pStyle w:val="SingleTxtG"/>
        <w:ind w:left="1701"/>
        <w:rPr>
          <w:lang w:val="fr-CH"/>
        </w:rPr>
      </w:pPr>
      <w:r w:rsidRPr="0071782F">
        <w:rPr>
          <w:lang w:val="fr-CH"/>
        </w:rPr>
        <w:t>257.1.</w:t>
      </w:r>
      <w:r w:rsidRPr="0071782F">
        <w:rPr>
          <w:lang w:val="fr-CH"/>
        </w:rPr>
        <w:tab/>
      </w:r>
      <w:r w:rsidR="00BD5FF1" w:rsidRPr="0071782F">
        <w:rPr>
          <w:lang w:val="fr-CH"/>
        </w:rPr>
        <w:t xml:space="preserve">Le Ministère de la santé et de la formation médicale a adopté un grand nombre de mesures pour garantir la santé des femmes et promouvoir leur contribution à la santé de </w:t>
      </w:r>
      <w:r w:rsidR="00B71907" w:rsidRPr="0071782F">
        <w:rPr>
          <w:lang w:val="fr-CH"/>
        </w:rPr>
        <w:t>la famille</w:t>
      </w:r>
      <w:r w:rsidR="00BD5FF1" w:rsidRPr="0071782F">
        <w:rPr>
          <w:lang w:val="fr-CH"/>
        </w:rPr>
        <w:t xml:space="preserve"> et de la société</w:t>
      </w:r>
      <w:r w:rsidRPr="0071782F">
        <w:rPr>
          <w:lang w:val="fr-CH"/>
        </w:rPr>
        <w:t>.</w:t>
      </w:r>
    </w:p>
    <w:p w:rsidR="008A7415" w:rsidRPr="0071782F" w:rsidRDefault="008A7415" w:rsidP="00546D34">
      <w:pPr>
        <w:pStyle w:val="SingleTxtG"/>
        <w:keepNext/>
        <w:keepLines/>
        <w:ind w:left="1701"/>
        <w:rPr>
          <w:lang w:val="fr-CH"/>
        </w:rPr>
      </w:pPr>
      <w:r w:rsidRPr="0071782F">
        <w:rPr>
          <w:lang w:val="fr-CH"/>
        </w:rPr>
        <w:t>257.2.</w:t>
      </w:r>
      <w:r w:rsidRPr="0071782F">
        <w:rPr>
          <w:lang w:val="fr-CH"/>
        </w:rPr>
        <w:tab/>
      </w:r>
      <w:r w:rsidR="00BD5FF1" w:rsidRPr="0071782F">
        <w:rPr>
          <w:lang w:val="fr-CH"/>
        </w:rPr>
        <w:t>Selon les statistique</w:t>
      </w:r>
      <w:r w:rsidRPr="0071782F">
        <w:rPr>
          <w:lang w:val="fr-CH"/>
        </w:rPr>
        <w:t xml:space="preserve">s </w:t>
      </w:r>
      <w:r w:rsidR="00BD5FF1" w:rsidRPr="0071782F">
        <w:rPr>
          <w:lang w:val="fr-CH"/>
        </w:rPr>
        <w:t>de</w:t>
      </w:r>
      <w:r w:rsidRPr="0071782F">
        <w:rPr>
          <w:lang w:val="fr-CH"/>
        </w:rPr>
        <w:t xml:space="preserve"> 2007, </w:t>
      </w:r>
      <w:r w:rsidR="00CF4B2E" w:rsidRPr="0071782F">
        <w:rPr>
          <w:lang w:val="fr-CH"/>
        </w:rPr>
        <w:t>sur un total de</w:t>
      </w:r>
      <w:r w:rsidR="00BD5FF1" w:rsidRPr="0071782F">
        <w:rPr>
          <w:lang w:val="fr-CH"/>
        </w:rPr>
        <w:t xml:space="preserve"> plus de </w:t>
      </w:r>
      <w:r w:rsidRPr="0071782F">
        <w:rPr>
          <w:lang w:val="fr-CH"/>
        </w:rPr>
        <w:t>95</w:t>
      </w:r>
      <w:r w:rsidR="00A233C2" w:rsidRPr="0071782F">
        <w:rPr>
          <w:lang w:val="fr-CH"/>
        </w:rPr>
        <w:t> </w:t>
      </w:r>
      <w:r w:rsidRPr="0071782F">
        <w:rPr>
          <w:lang w:val="fr-CH"/>
        </w:rPr>
        <w:t xml:space="preserve">000 </w:t>
      </w:r>
      <w:r w:rsidR="00BD5FF1" w:rsidRPr="0071782F">
        <w:rPr>
          <w:lang w:val="fr-CH"/>
        </w:rPr>
        <w:t xml:space="preserve">employés, les femmes représentent </w:t>
      </w:r>
      <w:r w:rsidRPr="0071782F">
        <w:rPr>
          <w:lang w:val="fr-CH"/>
        </w:rPr>
        <w:t>55</w:t>
      </w:r>
      <w:r w:rsidR="007E5125" w:rsidRPr="0071782F">
        <w:rPr>
          <w:lang w:val="fr-CH"/>
        </w:rPr>
        <w:t>%</w:t>
      </w:r>
      <w:r w:rsidRPr="0071782F">
        <w:rPr>
          <w:lang w:val="fr-CH"/>
        </w:rPr>
        <w:t xml:space="preserve"> </w:t>
      </w:r>
      <w:r w:rsidR="00BD5FF1" w:rsidRPr="0071782F">
        <w:rPr>
          <w:lang w:val="fr-CH"/>
        </w:rPr>
        <w:t xml:space="preserve">de l’ensemble du personnel du Ministère de la santé et de la formation médicale et des organisations qui lui sont affiliées et </w:t>
      </w:r>
      <w:r w:rsidRPr="0071782F">
        <w:rPr>
          <w:lang w:val="fr-CH"/>
        </w:rPr>
        <w:t>71</w:t>
      </w:r>
      <w:r w:rsidR="007E5125" w:rsidRPr="0071782F">
        <w:rPr>
          <w:lang w:val="fr-CH"/>
        </w:rPr>
        <w:t>%</w:t>
      </w:r>
      <w:r w:rsidRPr="0071782F">
        <w:rPr>
          <w:lang w:val="fr-CH"/>
        </w:rPr>
        <w:t xml:space="preserve"> </w:t>
      </w:r>
      <w:r w:rsidR="00BD5FF1" w:rsidRPr="0071782F">
        <w:rPr>
          <w:lang w:val="fr-CH"/>
        </w:rPr>
        <w:t>du personnel infirmier et obstétricien.</w:t>
      </w:r>
      <w:r w:rsidRPr="0071782F">
        <w:rPr>
          <w:lang w:val="fr-CH"/>
        </w:rPr>
        <w:t xml:space="preserve"> </w:t>
      </w:r>
      <w:r w:rsidR="00BD5FF1" w:rsidRPr="0071782F">
        <w:rPr>
          <w:lang w:val="fr-CH"/>
        </w:rPr>
        <w:t xml:space="preserve">Le </w:t>
      </w:r>
      <w:r w:rsidR="003B48A4" w:rsidRPr="0071782F">
        <w:rPr>
          <w:lang w:val="fr-CH"/>
        </w:rPr>
        <w:t>nombre</w:t>
      </w:r>
      <w:r w:rsidRPr="0071782F">
        <w:rPr>
          <w:lang w:val="fr-CH"/>
        </w:rPr>
        <w:t xml:space="preserve"> </w:t>
      </w:r>
      <w:r w:rsidR="00BD5FF1" w:rsidRPr="0071782F">
        <w:rPr>
          <w:lang w:val="fr-CH"/>
        </w:rPr>
        <w:t xml:space="preserve">de femmes spécialisées en médecine, dentisterie et gynécologie employées par le Ministère étaient respectivement de </w:t>
      </w:r>
      <w:r w:rsidRPr="0071782F">
        <w:rPr>
          <w:lang w:val="fr-CH"/>
        </w:rPr>
        <w:t>197, 3</w:t>
      </w:r>
      <w:r w:rsidR="00A233C2" w:rsidRPr="0071782F">
        <w:rPr>
          <w:lang w:val="fr-CH"/>
        </w:rPr>
        <w:t> </w:t>
      </w:r>
      <w:r w:rsidRPr="0071782F">
        <w:rPr>
          <w:lang w:val="fr-CH"/>
        </w:rPr>
        <w:t xml:space="preserve">675 </w:t>
      </w:r>
      <w:r w:rsidR="00BD5FF1" w:rsidRPr="0071782F">
        <w:rPr>
          <w:lang w:val="fr-CH"/>
        </w:rPr>
        <w:t>et</w:t>
      </w:r>
      <w:r w:rsidRPr="0071782F">
        <w:rPr>
          <w:lang w:val="fr-CH"/>
        </w:rPr>
        <w:t xml:space="preserve"> 1</w:t>
      </w:r>
      <w:r w:rsidR="00A233C2" w:rsidRPr="0071782F">
        <w:rPr>
          <w:lang w:val="fr-CH"/>
        </w:rPr>
        <w:t> </w:t>
      </w:r>
      <w:r w:rsidRPr="0071782F">
        <w:rPr>
          <w:lang w:val="fr-CH"/>
        </w:rPr>
        <w:t xml:space="preserve">089. </w:t>
      </w:r>
      <w:r w:rsidR="00BD5FF1" w:rsidRPr="0071782F">
        <w:rPr>
          <w:lang w:val="fr-CH"/>
        </w:rPr>
        <w:t xml:space="preserve">Par ailleurs, le </w:t>
      </w:r>
      <w:r w:rsidR="003B48A4" w:rsidRPr="0071782F">
        <w:rPr>
          <w:lang w:val="fr-CH"/>
        </w:rPr>
        <w:t>nombre</w:t>
      </w:r>
      <w:r w:rsidRPr="0071782F">
        <w:rPr>
          <w:lang w:val="fr-CH"/>
        </w:rPr>
        <w:t xml:space="preserve"> </w:t>
      </w:r>
      <w:r w:rsidR="00BD5FF1" w:rsidRPr="0071782F">
        <w:rPr>
          <w:lang w:val="fr-CH"/>
        </w:rPr>
        <w:t>de femmes ayant achevé une formation postuniversitaire et de femmes titulaires d’un doctorat professionnel employées par ce Ministère était de 5</w:t>
      </w:r>
      <w:r w:rsidR="00A233C2" w:rsidRPr="0071782F">
        <w:rPr>
          <w:lang w:val="fr-CH"/>
        </w:rPr>
        <w:t> </w:t>
      </w:r>
      <w:r w:rsidRPr="0071782F">
        <w:rPr>
          <w:lang w:val="fr-CH"/>
        </w:rPr>
        <w:t xml:space="preserve">545 </w:t>
      </w:r>
      <w:r w:rsidR="00BD5FF1" w:rsidRPr="0071782F">
        <w:rPr>
          <w:lang w:val="fr-CH"/>
        </w:rPr>
        <w:t xml:space="preserve">et de </w:t>
      </w:r>
      <w:r w:rsidRPr="0071782F">
        <w:rPr>
          <w:lang w:val="fr-CH"/>
        </w:rPr>
        <w:t>347</w:t>
      </w:r>
      <w:r w:rsidR="00BD5FF1" w:rsidRPr="0071782F">
        <w:rPr>
          <w:lang w:val="fr-CH"/>
        </w:rPr>
        <w:t>, respectivement</w:t>
      </w:r>
      <w:r w:rsidRPr="0071782F">
        <w:rPr>
          <w:lang w:val="fr-CH"/>
        </w:rPr>
        <w:t xml:space="preserve">. </w:t>
      </w:r>
      <w:r w:rsidR="00BD5FF1" w:rsidRPr="0071782F">
        <w:rPr>
          <w:lang w:val="fr-CH"/>
        </w:rPr>
        <w:t>Enfin, 3</w:t>
      </w:r>
      <w:r w:rsidR="00A233C2" w:rsidRPr="0071782F">
        <w:rPr>
          <w:lang w:val="fr-CH"/>
        </w:rPr>
        <w:t> </w:t>
      </w:r>
      <w:r w:rsidRPr="0071782F">
        <w:rPr>
          <w:lang w:val="fr-CH"/>
        </w:rPr>
        <w:t xml:space="preserve">779 </w:t>
      </w:r>
      <w:r w:rsidR="00BD5FF1" w:rsidRPr="0071782F">
        <w:rPr>
          <w:lang w:val="fr-CH"/>
        </w:rPr>
        <w:t>femmes étaient membres des conseils des facultés de médecine et des universités du pays</w:t>
      </w:r>
      <w:r w:rsidRPr="0071782F">
        <w:rPr>
          <w:lang w:val="fr-CH"/>
        </w:rPr>
        <w:t>.</w:t>
      </w:r>
    </w:p>
    <w:p w:rsidR="008A7415" w:rsidRPr="0071782F" w:rsidRDefault="008A7415" w:rsidP="00D61515">
      <w:pPr>
        <w:pStyle w:val="SingleTxtG"/>
        <w:ind w:left="1701"/>
        <w:rPr>
          <w:lang w:val="fr-CH"/>
        </w:rPr>
      </w:pPr>
      <w:r w:rsidRPr="0071782F">
        <w:rPr>
          <w:lang w:val="fr-CH"/>
        </w:rPr>
        <w:t>257.3.</w:t>
      </w:r>
      <w:r w:rsidRPr="0071782F">
        <w:rPr>
          <w:lang w:val="fr-CH"/>
        </w:rPr>
        <w:tab/>
      </w:r>
      <w:r w:rsidR="00C81363" w:rsidRPr="0071782F">
        <w:rPr>
          <w:lang w:val="fr-CH"/>
        </w:rPr>
        <w:t>Les Ira</w:t>
      </w:r>
      <w:r w:rsidR="00C81363" w:rsidRPr="0071782F">
        <w:rPr>
          <w:lang w:val="fr-CH"/>
        </w:rPr>
        <w:tab/>
        <w:t>niens et les Iraniennes jouissent des mêmes conditions d’accès à la formation dans le domaine de la médecine aussi bien que dans les autres domaines.</w:t>
      </w:r>
      <w:r w:rsidRPr="0071782F">
        <w:rPr>
          <w:lang w:val="fr-CH"/>
        </w:rPr>
        <w:t xml:space="preserve"> </w:t>
      </w:r>
      <w:r w:rsidR="00C81363" w:rsidRPr="0071782F">
        <w:rPr>
          <w:lang w:val="fr-CH"/>
        </w:rPr>
        <w:t>Le taux d’alphabétisation des femmes âgés d’au moins six</w:t>
      </w:r>
      <w:r w:rsidR="00D82C96" w:rsidRPr="0071782F">
        <w:rPr>
          <w:lang w:val="fr-CH"/>
        </w:rPr>
        <w:t> ans</w:t>
      </w:r>
      <w:r w:rsidR="00C81363" w:rsidRPr="0071782F">
        <w:rPr>
          <w:lang w:val="fr-CH"/>
        </w:rPr>
        <w:t xml:space="preserve"> est supérieur à 80</w:t>
      </w:r>
      <w:r w:rsidR="007E5125" w:rsidRPr="0071782F">
        <w:rPr>
          <w:lang w:val="fr-CH"/>
        </w:rPr>
        <w:t>%</w:t>
      </w:r>
      <w:r w:rsidR="00C81363" w:rsidRPr="0071782F">
        <w:rPr>
          <w:lang w:val="fr-CH"/>
        </w:rPr>
        <w:t xml:space="preserve">. Les femmes représentent </w:t>
      </w:r>
      <w:r w:rsidRPr="0071782F">
        <w:rPr>
          <w:lang w:val="fr-CH"/>
        </w:rPr>
        <w:t>53</w:t>
      </w:r>
      <w:r w:rsidR="00C81363" w:rsidRPr="0071782F">
        <w:rPr>
          <w:lang w:val="fr-CH"/>
        </w:rPr>
        <w:t>,</w:t>
      </w:r>
      <w:r w:rsidRPr="0071782F">
        <w:rPr>
          <w:lang w:val="fr-CH"/>
        </w:rPr>
        <w:t>4</w:t>
      </w:r>
      <w:r w:rsidR="007E5125" w:rsidRPr="0071782F">
        <w:rPr>
          <w:lang w:val="fr-CH"/>
        </w:rPr>
        <w:t>%</w:t>
      </w:r>
      <w:r w:rsidRPr="0071782F">
        <w:rPr>
          <w:lang w:val="fr-CH"/>
        </w:rPr>
        <w:t xml:space="preserve"> </w:t>
      </w:r>
      <w:r w:rsidR="00C81363" w:rsidRPr="0071782F">
        <w:rPr>
          <w:lang w:val="fr-CH"/>
        </w:rPr>
        <w:t>des étudiants du pays</w:t>
      </w:r>
      <w:r w:rsidRPr="0071782F">
        <w:rPr>
          <w:lang w:val="fr-CH"/>
        </w:rPr>
        <w:t xml:space="preserve">. </w:t>
      </w:r>
      <w:r w:rsidR="00C81363" w:rsidRPr="0071782F">
        <w:rPr>
          <w:lang w:val="fr-CH"/>
        </w:rPr>
        <w:t xml:space="preserve">Cette proportion atteint </w:t>
      </w:r>
      <w:r w:rsidRPr="0071782F">
        <w:rPr>
          <w:lang w:val="fr-CH"/>
        </w:rPr>
        <w:t>78</w:t>
      </w:r>
      <w:r w:rsidR="007E5125" w:rsidRPr="0071782F">
        <w:rPr>
          <w:lang w:val="fr-CH"/>
        </w:rPr>
        <w:t>%</w:t>
      </w:r>
      <w:r w:rsidRPr="0071782F">
        <w:rPr>
          <w:lang w:val="fr-CH"/>
        </w:rPr>
        <w:t xml:space="preserve"> </w:t>
      </w:r>
      <w:r w:rsidR="00C81363" w:rsidRPr="0071782F">
        <w:rPr>
          <w:lang w:val="fr-CH"/>
        </w:rPr>
        <w:t>en mé</w:t>
      </w:r>
      <w:r w:rsidRPr="0071782F">
        <w:rPr>
          <w:lang w:val="fr-CH"/>
        </w:rPr>
        <w:t xml:space="preserve">dicine </w:t>
      </w:r>
      <w:r w:rsidR="00C81363" w:rsidRPr="0071782F">
        <w:rPr>
          <w:lang w:val="fr-CH"/>
        </w:rPr>
        <w:t>et d’autres disciplines connexes</w:t>
      </w:r>
      <w:r w:rsidRPr="0071782F">
        <w:rPr>
          <w:lang w:val="fr-CH"/>
        </w:rPr>
        <w:t>.</w:t>
      </w:r>
    </w:p>
    <w:p w:rsidR="008A7415" w:rsidRPr="0071782F" w:rsidRDefault="008A7415" w:rsidP="00D61515">
      <w:pPr>
        <w:pStyle w:val="SingleTxtG"/>
        <w:ind w:left="1701"/>
        <w:rPr>
          <w:lang w:val="fr-CH"/>
        </w:rPr>
      </w:pPr>
      <w:r w:rsidRPr="0071782F">
        <w:rPr>
          <w:lang w:val="fr-CH"/>
        </w:rPr>
        <w:t>257.4.</w:t>
      </w:r>
      <w:r w:rsidRPr="0071782F">
        <w:rPr>
          <w:lang w:val="fr-CH"/>
        </w:rPr>
        <w:tab/>
      </w:r>
      <w:r w:rsidR="00C81363" w:rsidRPr="0071782F">
        <w:rPr>
          <w:lang w:val="fr-CH"/>
        </w:rPr>
        <w:t>Les femmes titulaires d’un diplôme de médecin ou d’un diplôme sanctionnant des études dans d’autres disciplines connexes sont de plus en plus nombreuses</w:t>
      </w:r>
      <w:r w:rsidRPr="0071782F">
        <w:rPr>
          <w:lang w:val="fr-CH"/>
        </w:rPr>
        <w:t xml:space="preserve">. </w:t>
      </w:r>
      <w:r w:rsidR="00C81363" w:rsidRPr="0071782F">
        <w:rPr>
          <w:lang w:val="fr-CH"/>
        </w:rPr>
        <w:t xml:space="preserve">En 2007, la proportion des femmes se trouvant dans ce cas a atteint </w:t>
      </w:r>
      <w:r w:rsidRPr="0071782F">
        <w:rPr>
          <w:lang w:val="fr-CH"/>
        </w:rPr>
        <w:t>90</w:t>
      </w:r>
      <w:r w:rsidR="007E5125" w:rsidRPr="0071782F">
        <w:rPr>
          <w:lang w:val="fr-CH"/>
        </w:rPr>
        <w:t>%</w:t>
      </w:r>
      <w:r w:rsidRPr="0071782F">
        <w:rPr>
          <w:lang w:val="fr-CH"/>
        </w:rPr>
        <w:t xml:space="preserve"> </w:t>
      </w:r>
      <w:r w:rsidR="00C81363" w:rsidRPr="0071782F">
        <w:rPr>
          <w:lang w:val="fr-CH"/>
        </w:rPr>
        <w:t xml:space="preserve">des diplômés dans ces </w:t>
      </w:r>
      <w:r w:rsidRPr="0071782F">
        <w:rPr>
          <w:lang w:val="fr-CH"/>
        </w:rPr>
        <w:t>disciplines.</w:t>
      </w:r>
    </w:p>
    <w:p w:rsidR="008A7415" w:rsidRPr="0071782F" w:rsidRDefault="008A7415" w:rsidP="00D61515">
      <w:pPr>
        <w:pStyle w:val="SingleTxtG"/>
        <w:ind w:left="1701"/>
        <w:rPr>
          <w:lang w:val="fr-CH"/>
        </w:rPr>
      </w:pPr>
      <w:r w:rsidRPr="0071782F">
        <w:rPr>
          <w:lang w:val="fr-CH"/>
        </w:rPr>
        <w:t>257.5.</w:t>
      </w:r>
      <w:r w:rsidRPr="0071782F">
        <w:rPr>
          <w:lang w:val="fr-CH"/>
        </w:rPr>
        <w:tab/>
      </w:r>
      <w:r w:rsidR="00C81363" w:rsidRPr="0071782F">
        <w:rPr>
          <w:lang w:val="fr-CH"/>
        </w:rPr>
        <w:t>Selon les statistiques les plus récentes, l’Iran compte à présent 20</w:t>
      </w:r>
      <w:r w:rsidR="00A233C2" w:rsidRPr="0071782F">
        <w:rPr>
          <w:lang w:val="fr-CH"/>
        </w:rPr>
        <w:t> </w:t>
      </w:r>
      <w:r w:rsidRPr="0071782F">
        <w:rPr>
          <w:lang w:val="fr-CH"/>
        </w:rPr>
        <w:t>892</w:t>
      </w:r>
      <w:r w:rsidR="00A233C2" w:rsidRPr="0071782F">
        <w:rPr>
          <w:lang w:val="fr-CH"/>
        </w:rPr>
        <w:t> </w:t>
      </w:r>
      <w:r w:rsidR="00C81363" w:rsidRPr="0071782F">
        <w:rPr>
          <w:lang w:val="fr-CH"/>
        </w:rPr>
        <w:t>femmes médecins généralistes</w:t>
      </w:r>
      <w:r w:rsidRPr="0071782F">
        <w:rPr>
          <w:lang w:val="fr-CH"/>
        </w:rPr>
        <w:t>, 6</w:t>
      </w:r>
      <w:r w:rsidR="00A233C2" w:rsidRPr="0071782F">
        <w:rPr>
          <w:lang w:val="fr-CH"/>
        </w:rPr>
        <w:t> </w:t>
      </w:r>
      <w:r w:rsidRPr="0071782F">
        <w:rPr>
          <w:lang w:val="fr-CH"/>
        </w:rPr>
        <w:t>392</w:t>
      </w:r>
      <w:r w:rsidR="00A233C2" w:rsidRPr="0071782F">
        <w:rPr>
          <w:lang w:val="fr-CH"/>
        </w:rPr>
        <w:t> </w:t>
      </w:r>
      <w:r w:rsidR="00C81363" w:rsidRPr="0071782F">
        <w:rPr>
          <w:lang w:val="fr-CH"/>
        </w:rPr>
        <w:t>femmes médecins spécialistes</w:t>
      </w:r>
      <w:r w:rsidRPr="0071782F">
        <w:rPr>
          <w:lang w:val="fr-CH"/>
        </w:rPr>
        <w:t>, 6</w:t>
      </w:r>
      <w:r w:rsidR="00A233C2" w:rsidRPr="0071782F">
        <w:rPr>
          <w:lang w:val="fr-CH"/>
        </w:rPr>
        <w:t> </w:t>
      </w:r>
      <w:r w:rsidRPr="0071782F">
        <w:rPr>
          <w:lang w:val="fr-CH"/>
        </w:rPr>
        <w:t>271</w:t>
      </w:r>
      <w:r w:rsidR="00A233C2" w:rsidRPr="0071782F">
        <w:rPr>
          <w:lang w:val="fr-CH"/>
        </w:rPr>
        <w:t> </w:t>
      </w:r>
      <w:r w:rsidR="00C81363" w:rsidRPr="0071782F">
        <w:rPr>
          <w:lang w:val="fr-CH"/>
        </w:rPr>
        <w:t xml:space="preserve">femmes dentistes et </w:t>
      </w:r>
      <w:r w:rsidRPr="0071782F">
        <w:rPr>
          <w:lang w:val="fr-CH"/>
        </w:rPr>
        <w:t>5</w:t>
      </w:r>
      <w:r w:rsidR="00A233C2" w:rsidRPr="0071782F">
        <w:rPr>
          <w:lang w:val="fr-CH"/>
        </w:rPr>
        <w:t> </w:t>
      </w:r>
      <w:r w:rsidRPr="0071782F">
        <w:rPr>
          <w:lang w:val="fr-CH"/>
        </w:rPr>
        <w:t>135</w:t>
      </w:r>
      <w:r w:rsidR="00A233C2" w:rsidRPr="0071782F">
        <w:rPr>
          <w:lang w:val="fr-CH"/>
        </w:rPr>
        <w:t> </w:t>
      </w:r>
      <w:r w:rsidR="00C81363" w:rsidRPr="0071782F">
        <w:rPr>
          <w:lang w:val="fr-CH"/>
        </w:rPr>
        <w:t xml:space="preserve">femmes </w:t>
      </w:r>
      <w:r w:rsidRPr="0071782F">
        <w:rPr>
          <w:lang w:val="fr-CH"/>
        </w:rPr>
        <w:t>pharmacolog</w:t>
      </w:r>
      <w:r w:rsidR="00C81363" w:rsidRPr="0071782F">
        <w:rPr>
          <w:lang w:val="fr-CH"/>
        </w:rPr>
        <w:t>ues</w:t>
      </w:r>
      <w:r w:rsidRPr="0071782F">
        <w:rPr>
          <w:lang w:val="fr-CH"/>
        </w:rPr>
        <w:t xml:space="preserve">. </w:t>
      </w:r>
      <w:r w:rsidR="00C81363" w:rsidRPr="0071782F">
        <w:rPr>
          <w:lang w:val="fr-CH"/>
        </w:rPr>
        <w:t xml:space="preserve">Le pourcentage de femmes ayant une spécialisation médicale est passé de </w:t>
      </w:r>
      <w:r w:rsidRPr="0071782F">
        <w:rPr>
          <w:lang w:val="fr-CH"/>
        </w:rPr>
        <w:t>9</w:t>
      </w:r>
      <w:r w:rsidR="007E5125" w:rsidRPr="0071782F">
        <w:rPr>
          <w:lang w:val="fr-CH"/>
        </w:rPr>
        <w:t>%</w:t>
      </w:r>
      <w:r w:rsidRPr="0071782F">
        <w:rPr>
          <w:lang w:val="fr-CH"/>
        </w:rPr>
        <w:t xml:space="preserve"> </w:t>
      </w:r>
      <w:r w:rsidR="00C81363" w:rsidRPr="0071782F">
        <w:rPr>
          <w:lang w:val="fr-CH"/>
        </w:rPr>
        <w:t xml:space="preserve">dans les années ayant suivi la </w:t>
      </w:r>
      <w:r w:rsidRPr="0071782F">
        <w:rPr>
          <w:lang w:val="fr-CH"/>
        </w:rPr>
        <w:t>R</w:t>
      </w:r>
      <w:r w:rsidR="00C81363" w:rsidRPr="0071782F">
        <w:rPr>
          <w:lang w:val="fr-CH"/>
        </w:rPr>
        <w:t>é</w:t>
      </w:r>
      <w:r w:rsidRPr="0071782F">
        <w:rPr>
          <w:lang w:val="fr-CH"/>
        </w:rPr>
        <w:t xml:space="preserve">volution </w:t>
      </w:r>
      <w:r w:rsidR="00C81363" w:rsidRPr="0071782F">
        <w:rPr>
          <w:lang w:val="fr-CH"/>
        </w:rPr>
        <w:t xml:space="preserve">islamique à plus de </w:t>
      </w:r>
      <w:r w:rsidRPr="0071782F">
        <w:rPr>
          <w:lang w:val="fr-CH"/>
        </w:rPr>
        <w:t>30</w:t>
      </w:r>
      <w:r w:rsidR="007E5125" w:rsidRPr="0071782F">
        <w:rPr>
          <w:lang w:val="fr-CH"/>
        </w:rPr>
        <w:t>%</w:t>
      </w:r>
      <w:r w:rsidRPr="0071782F">
        <w:rPr>
          <w:lang w:val="fr-CH"/>
        </w:rPr>
        <w:t xml:space="preserve"> </w:t>
      </w:r>
      <w:r w:rsidR="00C81363" w:rsidRPr="0071782F">
        <w:rPr>
          <w:lang w:val="fr-CH"/>
        </w:rPr>
        <w:t xml:space="preserve">ces </w:t>
      </w:r>
      <w:r w:rsidR="0071782F" w:rsidRPr="0071782F">
        <w:rPr>
          <w:lang w:val="fr-CH"/>
        </w:rPr>
        <w:t>derniers</w:t>
      </w:r>
      <w:r w:rsidR="00C81363" w:rsidRPr="0071782F">
        <w:rPr>
          <w:lang w:val="fr-CH"/>
        </w:rPr>
        <w:t xml:space="preserve"> années. </w:t>
      </w:r>
    </w:p>
    <w:p w:rsidR="008A7415" w:rsidRPr="0071782F" w:rsidRDefault="008A7415" w:rsidP="00D61515">
      <w:pPr>
        <w:pStyle w:val="SingleTxtG"/>
        <w:ind w:left="1701"/>
        <w:rPr>
          <w:lang w:val="fr-CH"/>
        </w:rPr>
      </w:pPr>
      <w:r w:rsidRPr="0071782F">
        <w:rPr>
          <w:lang w:val="fr-CH"/>
        </w:rPr>
        <w:t>257.6.</w:t>
      </w:r>
      <w:r w:rsidRPr="0071782F">
        <w:rPr>
          <w:lang w:val="fr-CH"/>
        </w:rPr>
        <w:tab/>
      </w:r>
      <w:r w:rsidR="00C81363" w:rsidRPr="0071782F">
        <w:rPr>
          <w:lang w:val="fr-CH"/>
        </w:rPr>
        <w:t>En ce qui concerne les postes de direction, il convient de noter que le pourcentage de femmes occupant un poste de ce type au Ministère de la santé et de la formation médicale était supérieur à celui de tous les autres ministères et de tous les autres organismes publics (</w:t>
      </w:r>
      <w:r w:rsidRPr="0071782F">
        <w:rPr>
          <w:lang w:val="fr-CH"/>
        </w:rPr>
        <w:t>32</w:t>
      </w:r>
      <w:r w:rsidR="00C81363" w:rsidRPr="0071782F">
        <w:rPr>
          <w:lang w:val="fr-CH"/>
        </w:rPr>
        <w:t>,</w:t>
      </w:r>
      <w:r w:rsidRPr="0071782F">
        <w:rPr>
          <w:lang w:val="fr-CH"/>
        </w:rPr>
        <w:t>5</w:t>
      </w:r>
      <w:r w:rsidR="007E5125" w:rsidRPr="0071782F">
        <w:rPr>
          <w:lang w:val="fr-CH"/>
        </w:rPr>
        <w:t>%</w:t>
      </w:r>
      <w:r w:rsidRPr="0071782F">
        <w:rPr>
          <w:lang w:val="fr-CH"/>
        </w:rPr>
        <w:t xml:space="preserve"> </w:t>
      </w:r>
      <w:r w:rsidR="00C81363" w:rsidRPr="0071782F">
        <w:rPr>
          <w:lang w:val="fr-CH"/>
        </w:rPr>
        <w:t>en 1996 et</w:t>
      </w:r>
      <w:r w:rsidRPr="0071782F">
        <w:rPr>
          <w:lang w:val="fr-CH"/>
        </w:rPr>
        <w:t xml:space="preserve"> 25</w:t>
      </w:r>
      <w:r w:rsidR="00C81363" w:rsidRPr="0071782F">
        <w:rPr>
          <w:lang w:val="fr-CH"/>
        </w:rPr>
        <w:t>,</w:t>
      </w:r>
      <w:r w:rsidRPr="0071782F">
        <w:rPr>
          <w:lang w:val="fr-CH"/>
        </w:rPr>
        <w:t>6</w:t>
      </w:r>
      <w:r w:rsidR="007E5125" w:rsidRPr="0071782F">
        <w:rPr>
          <w:lang w:val="fr-CH"/>
        </w:rPr>
        <w:t>%</w:t>
      </w:r>
      <w:r w:rsidR="00C81363" w:rsidRPr="0071782F">
        <w:rPr>
          <w:lang w:val="fr-CH"/>
        </w:rPr>
        <w:t xml:space="preserve"> en 2001)</w:t>
      </w:r>
      <w:r w:rsidRPr="0071782F">
        <w:rPr>
          <w:lang w:val="fr-CH"/>
        </w:rPr>
        <w:t xml:space="preserve">. </w:t>
      </w:r>
    </w:p>
    <w:p w:rsidR="008A7415" w:rsidRPr="0071782F" w:rsidRDefault="008A7415" w:rsidP="00D61515">
      <w:pPr>
        <w:pStyle w:val="SingleTxtG"/>
        <w:ind w:left="1701"/>
        <w:rPr>
          <w:lang w:val="fr-CH"/>
        </w:rPr>
      </w:pPr>
      <w:r w:rsidRPr="0071782F">
        <w:rPr>
          <w:lang w:val="fr-CH"/>
        </w:rPr>
        <w:t>257.7.</w:t>
      </w:r>
      <w:r w:rsidRPr="0071782F">
        <w:rPr>
          <w:lang w:val="fr-CH"/>
        </w:rPr>
        <w:tab/>
      </w:r>
      <w:r w:rsidR="00C81363" w:rsidRPr="0071782F">
        <w:rPr>
          <w:lang w:val="fr-CH"/>
        </w:rPr>
        <w:t xml:space="preserve">Le Bureau des affaires féminines a été créé en </w:t>
      </w:r>
      <w:r w:rsidRPr="0071782F">
        <w:rPr>
          <w:lang w:val="fr-CH"/>
        </w:rPr>
        <w:t xml:space="preserve">1993 </w:t>
      </w:r>
      <w:r w:rsidR="00C81363" w:rsidRPr="0071782F">
        <w:rPr>
          <w:lang w:val="fr-CH"/>
        </w:rPr>
        <w:t xml:space="preserve">pour assurer l’intégration d’une perspective antisexiste dans les plans nationaux et garantir l’égalité des chances pour les femmes. </w:t>
      </w:r>
      <w:r w:rsidR="002A7D0F" w:rsidRPr="0071782F">
        <w:rPr>
          <w:lang w:val="fr-CH"/>
        </w:rPr>
        <w:t>Depuis sa création, il mène d’i</w:t>
      </w:r>
      <w:r w:rsidRPr="0071782F">
        <w:rPr>
          <w:lang w:val="fr-CH"/>
        </w:rPr>
        <w:t>mportant</w:t>
      </w:r>
      <w:r w:rsidR="002A7D0F" w:rsidRPr="0071782F">
        <w:rPr>
          <w:lang w:val="fr-CH"/>
        </w:rPr>
        <w:t>es activité</w:t>
      </w:r>
      <w:r w:rsidRPr="0071782F">
        <w:rPr>
          <w:lang w:val="fr-CH"/>
        </w:rPr>
        <w:t>s</w:t>
      </w:r>
      <w:r w:rsidR="002A7D0F" w:rsidRPr="0071782F">
        <w:rPr>
          <w:lang w:val="fr-CH"/>
        </w:rPr>
        <w:t xml:space="preserve">, notamment l’exécution de </w:t>
      </w:r>
      <w:r w:rsidRPr="0071782F">
        <w:rPr>
          <w:lang w:val="fr-CH"/>
        </w:rPr>
        <w:t>diff</w:t>
      </w:r>
      <w:r w:rsidR="002A7D0F" w:rsidRPr="0071782F">
        <w:rPr>
          <w:lang w:val="fr-CH"/>
        </w:rPr>
        <w:t>é</w:t>
      </w:r>
      <w:r w:rsidRPr="0071782F">
        <w:rPr>
          <w:lang w:val="fr-CH"/>
        </w:rPr>
        <w:t>rent</w:t>
      </w:r>
      <w:r w:rsidR="002A7D0F" w:rsidRPr="0071782F">
        <w:rPr>
          <w:lang w:val="fr-CH"/>
        </w:rPr>
        <w:t>s</w:t>
      </w:r>
      <w:r w:rsidRPr="0071782F">
        <w:rPr>
          <w:lang w:val="fr-CH"/>
        </w:rPr>
        <w:t xml:space="preserve"> program</w:t>
      </w:r>
      <w:r w:rsidR="002A7D0F" w:rsidRPr="0071782F">
        <w:rPr>
          <w:lang w:val="fr-CH"/>
        </w:rPr>
        <w:t>me</w:t>
      </w:r>
      <w:r w:rsidRPr="0071782F">
        <w:rPr>
          <w:lang w:val="fr-CH"/>
        </w:rPr>
        <w:t xml:space="preserve">s </w:t>
      </w:r>
      <w:r w:rsidR="002A7D0F" w:rsidRPr="0071782F">
        <w:rPr>
          <w:lang w:val="fr-CH"/>
        </w:rPr>
        <w:t>et</w:t>
      </w:r>
      <w:r w:rsidRPr="0071782F">
        <w:rPr>
          <w:lang w:val="fr-CH"/>
        </w:rPr>
        <w:t xml:space="preserve"> projets </w:t>
      </w:r>
      <w:r w:rsidR="002A7D0F" w:rsidRPr="0071782F">
        <w:rPr>
          <w:lang w:val="fr-CH"/>
        </w:rPr>
        <w:t>d’amélioration de la santé des femmes, l’organisation de divers programmes de formation à l’intention des femmes</w:t>
      </w:r>
      <w:r w:rsidRPr="0071782F">
        <w:rPr>
          <w:lang w:val="fr-CH"/>
        </w:rPr>
        <w:t xml:space="preserve">, </w:t>
      </w:r>
      <w:r w:rsidR="002A7D0F" w:rsidRPr="0071782F">
        <w:rPr>
          <w:lang w:val="fr-CH"/>
        </w:rPr>
        <w:t>la promotion des ONG actives dans le domaine de la santé des femmes</w:t>
      </w:r>
      <w:r w:rsidRPr="0071782F">
        <w:rPr>
          <w:lang w:val="fr-CH"/>
        </w:rPr>
        <w:t xml:space="preserve">, </w:t>
      </w:r>
      <w:r w:rsidR="002A7D0F" w:rsidRPr="0071782F">
        <w:rPr>
          <w:lang w:val="fr-CH"/>
        </w:rPr>
        <w:t>l’amélioration de l’alimentation des filles et des femmes, et l’acquisition par les jeunes couples de compétences en matière de relations interpersonnelles</w:t>
      </w:r>
      <w:r w:rsidRPr="0071782F">
        <w:rPr>
          <w:lang w:val="fr-CH"/>
        </w:rPr>
        <w:t>.</w:t>
      </w:r>
    </w:p>
    <w:p w:rsidR="008A7415" w:rsidRPr="0071782F" w:rsidRDefault="008A7415" w:rsidP="00D61515">
      <w:pPr>
        <w:pStyle w:val="SingleTxtG"/>
        <w:ind w:left="1701"/>
        <w:rPr>
          <w:lang w:val="fr-CH"/>
        </w:rPr>
      </w:pPr>
      <w:r w:rsidRPr="0071782F">
        <w:rPr>
          <w:lang w:val="fr-CH"/>
        </w:rPr>
        <w:t>257.8.</w:t>
      </w:r>
      <w:r w:rsidRPr="0071782F">
        <w:rPr>
          <w:lang w:val="fr-CH"/>
        </w:rPr>
        <w:tab/>
      </w:r>
      <w:r w:rsidR="00694D69" w:rsidRPr="0071782F">
        <w:rPr>
          <w:lang w:val="fr-CH"/>
        </w:rPr>
        <w:t>De son côté, le Bureau de la santé maternelle a lancé des initiatives visant à améliorer les indicateurs de la santé des femmes</w:t>
      </w:r>
      <w:r w:rsidRPr="0071782F">
        <w:rPr>
          <w:lang w:val="fr-CH"/>
        </w:rPr>
        <w:t xml:space="preserve">. </w:t>
      </w:r>
      <w:r w:rsidR="00694D69" w:rsidRPr="0071782F">
        <w:rPr>
          <w:lang w:val="fr-CH"/>
        </w:rPr>
        <w:t xml:space="preserve">Selon les </w:t>
      </w:r>
      <w:r w:rsidRPr="0071782F">
        <w:rPr>
          <w:lang w:val="fr-CH"/>
        </w:rPr>
        <w:t>sta</w:t>
      </w:r>
      <w:r w:rsidR="00694D69" w:rsidRPr="0071782F">
        <w:rPr>
          <w:lang w:val="fr-CH"/>
        </w:rPr>
        <w:t>tistique</w:t>
      </w:r>
      <w:r w:rsidRPr="0071782F">
        <w:rPr>
          <w:lang w:val="fr-CH"/>
        </w:rPr>
        <w:t xml:space="preserve">s </w:t>
      </w:r>
      <w:r w:rsidR="00694D69" w:rsidRPr="0071782F">
        <w:rPr>
          <w:lang w:val="fr-CH"/>
        </w:rPr>
        <w:t>de</w:t>
      </w:r>
      <w:r w:rsidRPr="0071782F">
        <w:rPr>
          <w:lang w:val="fr-CH"/>
        </w:rPr>
        <w:t xml:space="preserve"> 2005, </w:t>
      </w:r>
      <w:r w:rsidR="00694D69" w:rsidRPr="0071782F">
        <w:rPr>
          <w:lang w:val="fr-CH"/>
        </w:rPr>
        <w:t xml:space="preserve">le taux de couverture des services de soins pendant la grossesse </w:t>
      </w:r>
      <w:r w:rsidRPr="0071782F">
        <w:rPr>
          <w:lang w:val="fr-CH"/>
        </w:rPr>
        <w:t>(</w:t>
      </w:r>
      <w:r w:rsidR="00694D69" w:rsidRPr="0071782F">
        <w:rPr>
          <w:lang w:val="fr-CH"/>
        </w:rPr>
        <w:t>six consultations au moins</w:t>
      </w:r>
      <w:r w:rsidRPr="0071782F">
        <w:rPr>
          <w:lang w:val="fr-CH"/>
        </w:rPr>
        <w:t xml:space="preserve">) </w:t>
      </w:r>
      <w:r w:rsidR="00694D69" w:rsidRPr="0071782F">
        <w:rPr>
          <w:lang w:val="fr-CH"/>
        </w:rPr>
        <w:t xml:space="preserve">est passé de </w:t>
      </w:r>
      <w:r w:rsidRPr="0071782F">
        <w:rPr>
          <w:lang w:val="fr-CH"/>
        </w:rPr>
        <w:t>60</w:t>
      </w:r>
      <w:r w:rsidR="007E5125" w:rsidRPr="0071782F">
        <w:rPr>
          <w:lang w:val="fr-CH"/>
        </w:rPr>
        <w:t>%</w:t>
      </w:r>
      <w:r w:rsidRPr="0071782F">
        <w:rPr>
          <w:lang w:val="fr-CH"/>
        </w:rPr>
        <w:t xml:space="preserve"> </w:t>
      </w:r>
      <w:r w:rsidR="00694D69" w:rsidRPr="0071782F">
        <w:rPr>
          <w:lang w:val="fr-CH"/>
        </w:rPr>
        <w:t>e</w:t>
      </w:r>
      <w:r w:rsidRPr="0071782F">
        <w:rPr>
          <w:lang w:val="fr-CH"/>
        </w:rPr>
        <w:t xml:space="preserve">n 1997 </w:t>
      </w:r>
      <w:r w:rsidR="00694D69" w:rsidRPr="0071782F">
        <w:rPr>
          <w:lang w:val="fr-CH"/>
        </w:rPr>
        <w:t>à</w:t>
      </w:r>
      <w:r w:rsidRPr="0071782F">
        <w:rPr>
          <w:lang w:val="fr-CH"/>
        </w:rPr>
        <w:t xml:space="preserve"> 94</w:t>
      </w:r>
      <w:r w:rsidR="00694D69" w:rsidRPr="0071782F">
        <w:rPr>
          <w:lang w:val="fr-CH"/>
        </w:rPr>
        <w:t>,</w:t>
      </w:r>
      <w:r w:rsidRPr="0071782F">
        <w:rPr>
          <w:lang w:val="fr-CH"/>
        </w:rPr>
        <w:t>5</w:t>
      </w:r>
      <w:r w:rsidR="007E5125" w:rsidRPr="0071782F">
        <w:rPr>
          <w:lang w:val="fr-CH"/>
        </w:rPr>
        <w:t>%</w:t>
      </w:r>
      <w:r w:rsidRPr="0071782F">
        <w:rPr>
          <w:lang w:val="fr-CH"/>
        </w:rPr>
        <w:t xml:space="preserve"> </w:t>
      </w:r>
      <w:r w:rsidR="00694D69" w:rsidRPr="0071782F">
        <w:rPr>
          <w:lang w:val="fr-CH"/>
        </w:rPr>
        <w:t>ces dernières années</w:t>
      </w:r>
      <w:r w:rsidRPr="0071782F">
        <w:rPr>
          <w:lang w:val="fr-CH"/>
        </w:rPr>
        <w:t xml:space="preserve">. </w:t>
      </w:r>
      <w:r w:rsidR="00694D69" w:rsidRPr="0071782F">
        <w:rPr>
          <w:lang w:val="fr-CH"/>
        </w:rPr>
        <w:t>Cela a contribué à ramener à 1,7</w:t>
      </w:r>
      <w:r w:rsidR="007E5125" w:rsidRPr="0071782F">
        <w:rPr>
          <w:lang w:val="fr-CH"/>
        </w:rPr>
        <w:t>%</w:t>
      </w:r>
      <w:r w:rsidR="00694D69" w:rsidRPr="0071782F">
        <w:rPr>
          <w:lang w:val="fr-CH"/>
        </w:rPr>
        <w:t xml:space="preserve"> la proportion des accouchements non médicalisés. Par ailleurs,</w:t>
      </w:r>
      <w:r w:rsidR="00D36718">
        <w:rPr>
          <w:lang w:val="fr-CH"/>
        </w:rPr>
        <w:t xml:space="preserve"> </w:t>
      </w:r>
      <w:r w:rsidR="00694D69" w:rsidRPr="0071782F">
        <w:rPr>
          <w:lang w:val="fr-CH"/>
        </w:rPr>
        <w:t>grâce à ces initiatives, le pourcentage des accouchements réalisés dans les maternités a fait un bond et se situe actuellement à 92,</w:t>
      </w:r>
      <w:r w:rsidRPr="0071782F">
        <w:rPr>
          <w:lang w:val="fr-CH"/>
        </w:rPr>
        <w:t>8</w:t>
      </w:r>
      <w:r w:rsidR="007E5125" w:rsidRPr="0071782F">
        <w:rPr>
          <w:lang w:val="fr-CH"/>
        </w:rPr>
        <w:t>%</w:t>
      </w:r>
      <w:r w:rsidRPr="0071782F">
        <w:rPr>
          <w:lang w:val="fr-CH"/>
        </w:rPr>
        <w:t>.</w:t>
      </w:r>
    </w:p>
    <w:p w:rsidR="008A7415" w:rsidRPr="0071782F" w:rsidRDefault="00694D69" w:rsidP="00D61515">
      <w:pPr>
        <w:pStyle w:val="SingleTxtG"/>
        <w:ind w:left="1701"/>
        <w:rPr>
          <w:lang w:val="fr-CH"/>
        </w:rPr>
      </w:pPr>
      <w:r w:rsidRPr="0071782F">
        <w:rPr>
          <w:lang w:val="fr-CH"/>
        </w:rPr>
        <w:t>257.9.</w:t>
      </w:r>
      <w:r w:rsidRPr="0071782F">
        <w:rPr>
          <w:lang w:val="fr-CH"/>
        </w:rPr>
        <w:tab/>
        <w:t>À l’heure actuelle</w:t>
      </w:r>
      <w:r w:rsidR="008A7415" w:rsidRPr="0071782F">
        <w:rPr>
          <w:lang w:val="fr-CH"/>
        </w:rPr>
        <w:t xml:space="preserve">, </w:t>
      </w:r>
      <w:r w:rsidRPr="0071782F">
        <w:rPr>
          <w:lang w:val="fr-CH"/>
        </w:rPr>
        <w:t xml:space="preserve">la mortalité maternelle associée à la grossesse et à l’accouchement affiche un taux de </w:t>
      </w:r>
      <w:r w:rsidR="008A7415" w:rsidRPr="0071782F">
        <w:rPr>
          <w:lang w:val="fr-CH"/>
        </w:rPr>
        <w:t>24</w:t>
      </w:r>
      <w:r w:rsidRPr="0071782F">
        <w:rPr>
          <w:lang w:val="fr-CH"/>
        </w:rPr>
        <w:t>,6 pour</w:t>
      </w:r>
      <w:r w:rsidR="008A7415" w:rsidRPr="0071782F">
        <w:rPr>
          <w:lang w:val="fr-CH"/>
        </w:rPr>
        <w:t xml:space="preserve"> 100</w:t>
      </w:r>
      <w:r w:rsidR="00A233C2" w:rsidRPr="0071782F">
        <w:rPr>
          <w:lang w:val="fr-CH"/>
        </w:rPr>
        <w:t> </w:t>
      </w:r>
      <w:r w:rsidR="008A7415" w:rsidRPr="0071782F">
        <w:rPr>
          <w:lang w:val="fr-CH"/>
        </w:rPr>
        <w:t>000</w:t>
      </w:r>
      <w:r w:rsidR="00A233C2" w:rsidRPr="0071782F">
        <w:rPr>
          <w:lang w:val="fr-CH"/>
        </w:rPr>
        <w:t> </w:t>
      </w:r>
      <w:r w:rsidRPr="0071782F">
        <w:rPr>
          <w:lang w:val="fr-CH"/>
        </w:rPr>
        <w:t>naissances vivantes</w:t>
      </w:r>
      <w:r w:rsidR="008A7415" w:rsidRPr="0071782F">
        <w:rPr>
          <w:lang w:val="fr-CH"/>
        </w:rPr>
        <w:t xml:space="preserve">. </w:t>
      </w:r>
      <w:r w:rsidRPr="0071782F">
        <w:rPr>
          <w:lang w:val="fr-CH"/>
        </w:rPr>
        <w:t xml:space="preserve">Par ailleurs, le pourcentage d’accouchements par césarienne est passé de </w:t>
      </w:r>
      <w:r w:rsidR="008A7415" w:rsidRPr="0071782F">
        <w:rPr>
          <w:lang w:val="fr-CH"/>
        </w:rPr>
        <w:t>35</w:t>
      </w:r>
      <w:r w:rsidR="007E5125" w:rsidRPr="0071782F">
        <w:rPr>
          <w:lang w:val="fr-CH"/>
        </w:rPr>
        <w:t>%</w:t>
      </w:r>
      <w:r w:rsidR="008A7415" w:rsidRPr="0071782F">
        <w:rPr>
          <w:lang w:val="fr-CH"/>
        </w:rPr>
        <w:t xml:space="preserve"> </w:t>
      </w:r>
      <w:r w:rsidRPr="0071782F">
        <w:rPr>
          <w:lang w:val="fr-CH"/>
        </w:rPr>
        <w:t xml:space="preserve">pendant la période </w:t>
      </w:r>
      <w:r w:rsidR="008A7415" w:rsidRPr="0071782F">
        <w:rPr>
          <w:lang w:val="fr-CH"/>
        </w:rPr>
        <w:t>2000</w:t>
      </w:r>
      <w:r w:rsidRPr="0071782F">
        <w:rPr>
          <w:lang w:val="fr-CH"/>
        </w:rPr>
        <w:t>-</w:t>
      </w:r>
      <w:r w:rsidR="008A7415" w:rsidRPr="0071782F">
        <w:rPr>
          <w:lang w:val="fr-CH"/>
        </w:rPr>
        <w:t xml:space="preserve">2005 </w:t>
      </w:r>
      <w:r w:rsidRPr="0071782F">
        <w:rPr>
          <w:lang w:val="fr-CH"/>
        </w:rPr>
        <w:t>à</w:t>
      </w:r>
      <w:r w:rsidR="008A7415" w:rsidRPr="0071782F">
        <w:rPr>
          <w:lang w:val="fr-CH"/>
        </w:rPr>
        <w:t xml:space="preserve"> 42</w:t>
      </w:r>
      <w:r w:rsidR="007E5125" w:rsidRPr="0071782F">
        <w:rPr>
          <w:lang w:val="fr-CH"/>
        </w:rPr>
        <w:t>%</w:t>
      </w:r>
      <w:r w:rsidR="008A7415" w:rsidRPr="0071782F">
        <w:rPr>
          <w:lang w:val="fr-CH"/>
        </w:rPr>
        <w:t xml:space="preserve"> </w:t>
      </w:r>
      <w:r w:rsidRPr="0071782F">
        <w:rPr>
          <w:lang w:val="fr-CH"/>
        </w:rPr>
        <w:t>ces dernières années</w:t>
      </w:r>
      <w:r w:rsidR="008A7415" w:rsidRPr="0071782F">
        <w:rPr>
          <w:lang w:val="fr-CH"/>
        </w:rPr>
        <w:t>.</w:t>
      </w:r>
    </w:p>
    <w:p w:rsidR="008A7415" w:rsidRPr="0071782F" w:rsidRDefault="008A7415" w:rsidP="00614657">
      <w:pPr>
        <w:pStyle w:val="H1G"/>
        <w:rPr>
          <w:lang w:val="fr-CH"/>
        </w:rPr>
      </w:pPr>
      <w:r w:rsidRPr="0071782F">
        <w:rPr>
          <w:lang w:val="fr-CH"/>
        </w:rPr>
        <w:tab/>
      </w:r>
      <w:r w:rsidRPr="0071782F">
        <w:rPr>
          <w:lang w:val="fr-CH"/>
        </w:rPr>
        <w:tab/>
      </w:r>
      <w:r w:rsidR="00694D69" w:rsidRPr="0071782F">
        <w:rPr>
          <w:lang w:val="fr-CH"/>
        </w:rPr>
        <w:t xml:space="preserve">Politiques générales du pays pour la mise en </w:t>
      </w:r>
      <w:r w:rsidR="00D5366B" w:rsidRPr="0071782F">
        <w:rPr>
          <w:lang w:val="fr-CH"/>
        </w:rPr>
        <w:t>œuvre</w:t>
      </w:r>
      <w:r w:rsidR="00694D69" w:rsidRPr="0071782F">
        <w:rPr>
          <w:lang w:val="fr-CH"/>
        </w:rPr>
        <w:t xml:space="preserve"> des stratégies nationales de soins et de traitements médicaux </w:t>
      </w:r>
    </w:p>
    <w:p w:rsidR="008A7415" w:rsidRPr="0071782F" w:rsidRDefault="008A7415" w:rsidP="00614657">
      <w:pPr>
        <w:pStyle w:val="SingleTxtG"/>
        <w:keepNext/>
        <w:keepLines/>
        <w:rPr>
          <w:lang w:val="fr-CH"/>
        </w:rPr>
      </w:pPr>
      <w:r w:rsidRPr="0071782F">
        <w:rPr>
          <w:lang w:val="fr-CH"/>
        </w:rPr>
        <w:t>258.</w:t>
      </w:r>
      <w:r w:rsidRPr="0071782F">
        <w:rPr>
          <w:lang w:val="fr-CH"/>
        </w:rPr>
        <w:tab/>
      </w:r>
      <w:r w:rsidR="00694D69" w:rsidRPr="0071782F">
        <w:rPr>
          <w:lang w:val="fr-CH"/>
        </w:rPr>
        <w:t>Il s’agit notamment des politiques suivantes</w:t>
      </w:r>
      <w:r w:rsidR="008F7D33" w:rsidRPr="0071782F">
        <w:rPr>
          <w:lang w:val="fr-CH"/>
        </w:rPr>
        <w:t>:</w:t>
      </w:r>
    </w:p>
    <w:p w:rsidR="008A7415" w:rsidRPr="0071782F" w:rsidRDefault="008A7415" w:rsidP="006445DC">
      <w:pPr>
        <w:pStyle w:val="SingleTxtG"/>
        <w:ind w:left="1701"/>
        <w:rPr>
          <w:lang w:val="fr-CH"/>
        </w:rPr>
      </w:pPr>
      <w:r w:rsidRPr="0071782F">
        <w:rPr>
          <w:lang w:val="fr-CH"/>
        </w:rPr>
        <w:t>258.1.</w:t>
      </w:r>
      <w:r w:rsidRPr="0071782F">
        <w:rPr>
          <w:lang w:val="fr-CH"/>
        </w:rPr>
        <w:tab/>
        <w:t>R</w:t>
      </w:r>
      <w:r w:rsidR="00E05C06" w:rsidRPr="0071782F">
        <w:rPr>
          <w:lang w:val="fr-CH"/>
        </w:rPr>
        <w:t>é</w:t>
      </w:r>
      <w:r w:rsidRPr="0071782F">
        <w:rPr>
          <w:lang w:val="fr-CH"/>
        </w:rPr>
        <w:t xml:space="preserve">duction </w:t>
      </w:r>
      <w:r w:rsidR="00E05C06" w:rsidRPr="0071782F">
        <w:rPr>
          <w:lang w:val="fr-CH"/>
        </w:rPr>
        <w:t>des disparités et des inégalités en matière d’accès aux services de soins et de traitements médicaux</w:t>
      </w:r>
      <w:r w:rsidR="006445DC" w:rsidRPr="0071782F">
        <w:rPr>
          <w:lang w:val="fr-CH"/>
        </w:rPr>
        <w:t>.</w:t>
      </w:r>
    </w:p>
    <w:p w:rsidR="008A7415" w:rsidRPr="0071782F" w:rsidRDefault="008A7415" w:rsidP="006445DC">
      <w:pPr>
        <w:pStyle w:val="SingleTxtG"/>
        <w:ind w:left="1701"/>
        <w:rPr>
          <w:lang w:val="fr-CH"/>
        </w:rPr>
      </w:pPr>
      <w:r w:rsidRPr="0071782F">
        <w:rPr>
          <w:lang w:val="fr-CH"/>
        </w:rPr>
        <w:t>258.2.</w:t>
      </w:r>
      <w:r w:rsidRPr="0071782F">
        <w:rPr>
          <w:lang w:val="fr-CH"/>
        </w:rPr>
        <w:tab/>
      </w:r>
      <w:r w:rsidR="00E05C06" w:rsidRPr="0071782F">
        <w:rPr>
          <w:lang w:val="fr-CH"/>
        </w:rPr>
        <w:t>Exécution de programmes visant à garantir l’accès de la population aux services de soins et de traitements médicaux</w:t>
      </w:r>
      <w:r w:rsidR="006445DC" w:rsidRPr="0071782F">
        <w:rPr>
          <w:lang w:val="fr-CH"/>
        </w:rPr>
        <w:t>.</w:t>
      </w:r>
      <w:r w:rsidRPr="0071782F">
        <w:rPr>
          <w:lang w:val="fr-CH"/>
        </w:rPr>
        <w:t xml:space="preserve"> </w:t>
      </w:r>
    </w:p>
    <w:p w:rsidR="008A7415" w:rsidRPr="0071782F" w:rsidRDefault="008A7415" w:rsidP="006445DC">
      <w:pPr>
        <w:pStyle w:val="SingleTxtG"/>
        <w:ind w:left="1701"/>
        <w:rPr>
          <w:lang w:val="fr-CH"/>
        </w:rPr>
      </w:pPr>
      <w:r w:rsidRPr="0071782F">
        <w:rPr>
          <w:lang w:val="fr-CH"/>
        </w:rPr>
        <w:t>258.3.</w:t>
      </w:r>
      <w:r w:rsidRPr="0071782F">
        <w:rPr>
          <w:lang w:val="fr-CH"/>
        </w:rPr>
        <w:tab/>
      </w:r>
      <w:r w:rsidR="00E05C06" w:rsidRPr="0071782F">
        <w:rPr>
          <w:lang w:val="fr-CH"/>
        </w:rPr>
        <w:t xml:space="preserve">Élaboration de </w:t>
      </w:r>
      <w:r w:rsidRPr="0071782F">
        <w:rPr>
          <w:lang w:val="fr-CH"/>
        </w:rPr>
        <w:t xml:space="preserve">plans </w:t>
      </w:r>
      <w:r w:rsidR="00E05C06" w:rsidRPr="0071782F">
        <w:rPr>
          <w:lang w:val="fr-CH"/>
        </w:rPr>
        <w:t>destinés à améliorer l’efficacité et la qualité des services de santé</w:t>
      </w:r>
      <w:r w:rsidR="006445DC" w:rsidRPr="0071782F">
        <w:rPr>
          <w:lang w:val="fr-CH"/>
        </w:rPr>
        <w:t>.</w:t>
      </w:r>
      <w:r w:rsidRPr="0071782F">
        <w:rPr>
          <w:lang w:val="fr-CH"/>
        </w:rPr>
        <w:t xml:space="preserve"> </w:t>
      </w:r>
    </w:p>
    <w:p w:rsidR="008A7415" w:rsidRPr="0071782F" w:rsidRDefault="008A7415" w:rsidP="006445DC">
      <w:pPr>
        <w:pStyle w:val="SingleTxtG"/>
        <w:ind w:left="1701"/>
        <w:rPr>
          <w:lang w:val="fr-CH"/>
        </w:rPr>
      </w:pPr>
      <w:r w:rsidRPr="0071782F">
        <w:rPr>
          <w:lang w:val="fr-CH"/>
        </w:rPr>
        <w:t>258.4.</w:t>
      </w:r>
      <w:r w:rsidRPr="0071782F">
        <w:rPr>
          <w:lang w:val="fr-CH"/>
        </w:rPr>
        <w:tab/>
        <w:t xml:space="preserve">Promotion </w:t>
      </w:r>
      <w:r w:rsidR="00E05C06" w:rsidRPr="0071782F">
        <w:rPr>
          <w:lang w:val="fr-CH"/>
        </w:rPr>
        <w:t xml:space="preserve">de la </w:t>
      </w:r>
      <w:r w:rsidRPr="0071782F">
        <w:rPr>
          <w:lang w:val="fr-CH"/>
        </w:rPr>
        <w:t xml:space="preserve">participation </w:t>
      </w:r>
      <w:r w:rsidR="00E05C06" w:rsidRPr="0071782F">
        <w:rPr>
          <w:lang w:val="fr-CH"/>
        </w:rPr>
        <w:t>publique à la prestation de services de soins et de traitements médicaux</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E05C06" w:rsidRPr="0071782F">
        <w:rPr>
          <w:lang w:val="fr-CH"/>
        </w:rPr>
        <w:t xml:space="preserve">Résultats et réalisations </w:t>
      </w:r>
      <w:r w:rsidR="00533832" w:rsidRPr="0071782F">
        <w:rPr>
          <w:lang w:val="fr-CH"/>
        </w:rPr>
        <w:t xml:space="preserve">du </w:t>
      </w:r>
      <w:r w:rsidR="00E05C06" w:rsidRPr="0071782F">
        <w:rPr>
          <w:lang w:val="fr-CH"/>
        </w:rPr>
        <w:t xml:space="preserve">Ministère de la santé et de la formation médicale </w:t>
      </w:r>
      <w:r w:rsidR="00533832" w:rsidRPr="0071782F">
        <w:rPr>
          <w:lang w:val="fr-CH"/>
        </w:rPr>
        <w:t xml:space="preserve">et mesures adoptées par lui </w:t>
      </w:r>
      <w:r w:rsidR="00E05C06" w:rsidRPr="0071782F">
        <w:rPr>
          <w:lang w:val="fr-CH"/>
        </w:rPr>
        <w:t xml:space="preserve">entre </w:t>
      </w:r>
      <w:r w:rsidRPr="0071782F">
        <w:rPr>
          <w:lang w:val="fr-CH"/>
        </w:rPr>
        <w:t>2005</w:t>
      </w:r>
      <w:r w:rsidR="00E05C06" w:rsidRPr="0071782F">
        <w:rPr>
          <w:lang w:val="fr-CH"/>
        </w:rPr>
        <w:t xml:space="preserve"> et </w:t>
      </w:r>
      <w:r w:rsidRPr="0071782F">
        <w:rPr>
          <w:lang w:val="fr-CH"/>
        </w:rPr>
        <w:t>2009</w:t>
      </w:r>
    </w:p>
    <w:p w:rsidR="008A7415" w:rsidRPr="0071782F" w:rsidRDefault="008A7415" w:rsidP="00204410">
      <w:pPr>
        <w:pStyle w:val="SingleTxtG"/>
        <w:rPr>
          <w:lang w:val="fr-CH"/>
        </w:rPr>
      </w:pPr>
      <w:r w:rsidRPr="0071782F">
        <w:rPr>
          <w:lang w:val="fr-CH"/>
        </w:rPr>
        <w:t>259.</w:t>
      </w:r>
      <w:r w:rsidRPr="0071782F">
        <w:rPr>
          <w:lang w:val="fr-CH"/>
        </w:rPr>
        <w:tab/>
      </w:r>
      <w:r w:rsidR="00E05C06" w:rsidRPr="0071782F">
        <w:rPr>
          <w:lang w:val="fr-CH"/>
        </w:rPr>
        <w:t>Il s’agit notamment des résultats, réalisations et mesures ci-après</w:t>
      </w:r>
      <w:r w:rsidR="008F7D33" w:rsidRPr="0071782F">
        <w:rPr>
          <w:lang w:val="fr-CH"/>
        </w:rPr>
        <w:t>:</w:t>
      </w:r>
    </w:p>
    <w:p w:rsidR="008A7415" w:rsidRPr="0071782F" w:rsidRDefault="008A7415" w:rsidP="006445DC">
      <w:pPr>
        <w:pStyle w:val="SingleTxtG"/>
        <w:ind w:left="1701"/>
        <w:rPr>
          <w:lang w:val="fr-CH"/>
        </w:rPr>
      </w:pPr>
      <w:r w:rsidRPr="0071782F">
        <w:rPr>
          <w:lang w:val="fr-CH"/>
        </w:rPr>
        <w:t>259.1.</w:t>
      </w:r>
      <w:r w:rsidRPr="0071782F">
        <w:rPr>
          <w:lang w:val="fr-CH"/>
        </w:rPr>
        <w:tab/>
      </w:r>
      <w:r w:rsidR="00E05C06" w:rsidRPr="0071782F">
        <w:rPr>
          <w:lang w:val="fr-CH"/>
        </w:rPr>
        <w:t>Ces dernières années, le gouvernement a lancé des initiatives importantes visant à améliorer la santé publique et à garantir aux différents groupes sociaux un accès é</w:t>
      </w:r>
      <w:r w:rsidRPr="0071782F">
        <w:rPr>
          <w:lang w:val="fr-CH"/>
        </w:rPr>
        <w:t xml:space="preserve">quitable </w:t>
      </w:r>
      <w:r w:rsidR="00E05C06" w:rsidRPr="0071782F">
        <w:rPr>
          <w:lang w:val="fr-CH"/>
        </w:rPr>
        <w:t>et élargi aux services de santé appropriés</w:t>
      </w:r>
      <w:r w:rsidRPr="0071782F">
        <w:rPr>
          <w:lang w:val="fr-CH"/>
        </w:rPr>
        <w:t xml:space="preserve">. </w:t>
      </w:r>
    </w:p>
    <w:p w:rsidR="008A7415" w:rsidRPr="0071782F" w:rsidRDefault="008A7415" w:rsidP="006445DC">
      <w:pPr>
        <w:pStyle w:val="SingleTxtG"/>
        <w:ind w:left="1701"/>
        <w:rPr>
          <w:lang w:val="fr-CH"/>
        </w:rPr>
      </w:pPr>
      <w:r w:rsidRPr="0071782F">
        <w:rPr>
          <w:lang w:val="fr-CH"/>
        </w:rPr>
        <w:t>259.2.</w:t>
      </w:r>
      <w:r w:rsidRPr="0071782F">
        <w:rPr>
          <w:lang w:val="fr-CH"/>
        </w:rPr>
        <w:tab/>
      </w:r>
      <w:r w:rsidR="00CD1674" w:rsidRPr="0071782F">
        <w:rPr>
          <w:lang w:val="fr-CH"/>
        </w:rPr>
        <w:t xml:space="preserve">Avec la nomination du neuvième gouvernement de la République islamique d’Iran, on a accordé une attention particulière au </w:t>
      </w:r>
      <w:r w:rsidR="00A62149" w:rsidRPr="0071782F">
        <w:rPr>
          <w:lang w:val="fr-CH"/>
        </w:rPr>
        <w:t>"</w:t>
      </w:r>
      <w:r w:rsidR="00CD1674" w:rsidRPr="0071782F">
        <w:rPr>
          <w:lang w:val="fr-CH"/>
        </w:rPr>
        <w:t xml:space="preserve">plan des </w:t>
      </w:r>
      <w:r w:rsidR="007D20FF" w:rsidRPr="0071782F">
        <w:rPr>
          <w:lang w:val="fr-CH"/>
        </w:rPr>
        <w:t>médecins traitants</w:t>
      </w:r>
      <w:r w:rsidR="00A62149" w:rsidRPr="0071782F">
        <w:rPr>
          <w:lang w:val="fr-CH"/>
        </w:rPr>
        <w:t>"</w:t>
      </w:r>
      <w:r w:rsidR="00CD1674" w:rsidRPr="0071782F">
        <w:rPr>
          <w:lang w:val="fr-CH"/>
        </w:rPr>
        <w:t xml:space="preserve">, dont on a favorisé la réalisation. Le </w:t>
      </w:r>
      <w:r w:rsidR="003B48A4" w:rsidRPr="0071782F">
        <w:rPr>
          <w:lang w:val="fr-CH"/>
        </w:rPr>
        <w:t>nombre</w:t>
      </w:r>
      <w:r w:rsidR="00CD1674" w:rsidRPr="0071782F">
        <w:rPr>
          <w:lang w:val="fr-CH"/>
        </w:rPr>
        <w:t xml:space="preserve"> de médecins et de sages-femmes participant à ce plan a été multiplié par </w:t>
      </w:r>
      <w:r w:rsidRPr="0071782F">
        <w:rPr>
          <w:lang w:val="fr-CH"/>
        </w:rPr>
        <w:t>4</w:t>
      </w:r>
      <w:r w:rsidR="00CD1674" w:rsidRPr="0071782F">
        <w:rPr>
          <w:lang w:val="fr-CH"/>
        </w:rPr>
        <w:t>,</w:t>
      </w:r>
      <w:r w:rsidRPr="0071782F">
        <w:rPr>
          <w:lang w:val="fr-CH"/>
        </w:rPr>
        <w:t xml:space="preserve">4 </w:t>
      </w:r>
      <w:r w:rsidR="00CD1674" w:rsidRPr="0071782F">
        <w:rPr>
          <w:lang w:val="fr-CH"/>
        </w:rPr>
        <w:t xml:space="preserve">et </w:t>
      </w:r>
      <w:r w:rsidRPr="0071782F">
        <w:rPr>
          <w:lang w:val="fr-CH"/>
        </w:rPr>
        <w:t>24</w:t>
      </w:r>
      <w:r w:rsidR="00CD1674" w:rsidRPr="0071782F">
        <w:rPr>
          <w:lang w:val="fr-CH"/>
        </w:rPr>
        <w:t xml:space="preserve">, respectivement, par rapport à l’année de son lancement, c’est-à-dire </w:t>
      </w:r>
      <w:r w:rsidRPr="0071782F">
        <w:rPr>
          <w:lang w:val="fr-CH"/>
        </w:rPr>
        <w:t>2005.</w:t>
      </w:r>
    </w:p>
    <w:p w:rsidR="008A7415" w:rsidRPr="0071782F" w:rsidRDefault="008A7415" w:rsidP="006445DC">
      <w:pPr>
        <w:pStyle w:val="SingleTxtG"/>
        <w:ind w:left="1701"/>
        <w:rPr>
          <w:lang w:val="fr-CH"/>
        </w:rPr>
      </w:pPr>
      <w:r w:rsidRPr="0071782F">
        <w:rPr>
          <w:lang w:val="fr-CH"/>
        </w:rPr>
        <w:t>259.3.</w:t>
      </w:r>
      <w:r w:rsidRPr="0071782F">
        <w:rPr>
          <w:lang w:val="fr-CH"/>
        </w:rPr>
        <w:tab/>
      </w:r>
      <w:r w:rsidR="00CD1674" w:rsidRPr="0071782F">
        <w:rPr>
          <w:lang w:val="fr-CH"/>
        </w:rPr>
        <w:t xml:space="preserve">L’une des réalisations du plan des </w:t>
      </w:r>
      <w:r w:rsidR="007D20FF" w:rsidRPr="0071782F">
        <w:rPr>
          <w:lang w:val="fr-CH"/>
        </w:rPr>
        <w:t>médecins traitants</w:t>
      </w:r>
      <w:r w:rsidR="00CD1674" w:rsidRPr="0071782F">
        <w:rPr>
          <w:lang w:val="fr-CH"/>
        </w:rPr>
        <w:t xml:space="preserve"> est l’amélioration considérable des indicateurs de la santé</w:t>
      </w:r>
      <w:r w:rsidRPr="0071782F">
        <w:rPr>
          <w:lang w:val="fr-CH"/>
        </w:rPr>
        <w:t>.</w:t>
      </w:r>
    </w:p>
    <w:p w:rsidR="008A7415" w:rsidRPr="0071782F" w:rsidRDefault="008A7415" w:rsidP="006445DC">
      <w:pPr>
        <w:pStyle w:val="SingleTxtG"/>
        <w:ind w:left="1701"/>
        <w:rPr>
          <w:lang w:val="fr-CH"/>
        </w:rPr>
      </w:pPr>
      <w:r w:rsidRPr="0071782F">
        <w:rPr>
          <w:lang w:val="fr-CH"/>
        </w:rPr>
        <w:t>259.4.</w:t>
      </w:r>
      <w:r w:rsidRPr="0071782F">
        <w:rPr>
          <w:lang w:val="fr-CH"/>
        </w:rPr>
        <w:tab/>
      </w:r>
      <w:r w:rsidR="00CD1674" w:rsidRPr="0071782F">
        <w:rPr>
          <w:lang w:val="fr-CH"/>
        </w:rPr>
        <w:t>Dans le secteur de la santé, des mesures efficaces ont été prises pour combattre et éradiquer les maladies contagieuses et non contagieuses, ce qui a débouché sur des réalisations importantes, comme la certification OMS de l’élimination du trachome</w:t>
      </w:r>
      <w:r w:rsidRPr="0071782F">
        <w:rPr>
          <w:lang w:val="fr-CH"/>
        </w:rPr>
        <w:t xml:space="preserve">. </w:t>
      </w:r>
      <w:r w:rsidR="00CD1674" w:rsidRPr="0071782F">
        <w:rPr>
          <w:lang w:val="fr-CH"/>
        </w:rPr>
        <w:t>Par ailleurs, au cours de cette période, des centaines de maisons de santé et centres et laboratoires médicaux ont été mis en service.</w:t>
      </w:r>
    </w:p>
    <w:p w:rsidR="008A7415" w:rsidRPr="0071782F" w:rsidRDefault="008A7415" w:rsidP="006445DC">
      <w:pPr>
        <w:pStyle w:val="SingleTxtG"/>
        <w:ind w:left="1701"/>
        <w:rPr>
          <w:lang w:val="fr-CH"/>
        </w:rPr>
      </w:pPr>
      <w:r w:rsidRPr="0071782F">
        <w:rPr>
          <w:lang w:val="fr-CH"/>
        </w:rPr>
        <w:t>259.5.</w:t>
      </w:r>
      <w:r w:rsidRPr="0071782F">
        <w:rPr>
          <w:lang w:val="fr-CH"/>
        </w:rPr>
        <w:tab/>
      </w:r>
      <w:r w:rsidR="00CD1674" w:rsidRPr="0071782F">
        <w:rPr>
          <w:lang w:val="fr-CH"/>
        </w:rPr>
        <w:t>En matière de traitements, les quatre années écoulées ont enregistré des succès considérables, comme l’amélioration du traitement des lésions médullaires et la production de cellules souches</w:t>
      </w:r>
      <w:r w:rsidRPr="0071782F">
        <w:rPr>
          <w:lang w:val="fr-CH"/>
        </w:rPr>
        <w:t>.</w:t>
      </w:r>
    </w:p>
    <w:p w:rsidR="008A7415" w:rsidRPr="0071782F" w:rsidRDefault="008A7415" w:rsidP="006445DC">
      <w:pPr>
        <w:pStyle w:val="SingleTxtG"/>
        <w:ind w:left="1701"/>
        <w:rPr>
          <w:lang w:val="fr-CH"/>
        </w:rPr>
      </w:pPr>
      <w:r w:rsidRPr="0071782F">
        <w:rPr>
          <w:lang w:val="fr-CH"/>
        </w:rPr>
        <w:t>259.6.</w:t>
      </w:r>
      <w:r w:rsidRPr="0071782F">
        <w:rPr>
          <w:lang w:val="fr-CH"/>
        </w:rPr>
        <w:tab/>
      </w:r>
      <w:r w:rsidR="00CD1674" w:rsidRPr="0071782F">
        <w:rPr>
          <w:lang w:val="fr-CH"/>
        </w:rPr>
        <w:t>L’organisation du réseau de services d’urgence du pays a permis d’augmenter considérablement le nombre des centres d’urgence situés dans les zones urbaines et des services d’urgence sur route</w:t>
      </w:r>
      <w:r w:rsidRPr="0071782F">
        <w:rPr>
          <w:lang w:val="fr-CH"/>
        </w:rPr>
        <w:t>.</w:t>
      </w:r>
    </w:p>
    <w:p w:rsidR="008A7415" w:rsidRPr="000331DB" w:rsidRDefault="008A7415" w:rsidP="006445DC">
      <w:pPr>
        <w:pStyle w:val="SingleTxtG"/>
        <w:ind w:left="1701"/>
        <w:rPr>
          <w:spacing w:val="-2"/>
          <w:lang w:val="fr-CH"/>
        </w:rPr>
      </w:pPr>
      <w:r w:rsidRPr="000331DB">
        <w:rPr>
          <w:spacing w:val="-2"/>
          <w:lang w:val="fr-CH"/>
        </w:rPr>
        <w:t>259.7.</w:t>
      </w:r>
      <w:r w:rsidRPr="000331DB">
        <w:rPr>
          <w:spacing w:val="-2"/>
          <w:lang w:val="fr-CH"/>
        </w:rPr>
        <w:tab/>
      </w:r>
      <w:r w:rsidR="00CD1674" w:rsidRPr="000331DB">
        <w:rPr>
          <w:spacing w:val="-2"/>
          <w:lang w:val="fr-CH"/>
        </w:rPr>
        <w:t xml:space="preserve">De surcroît, le temps nécessaire à l’arrivée des </w:t>
      </w:r>
      <w:r w:rsidRPr="000331DB">
        <w:rPr>
          <w:spacing w:val="-2"/>
          <w:lang w:val="fr-CH"/>
        </w:rPr>
        <w:t xml:space="preserve">ambulances </w:t>
      </w:r>
      <w:r w:rsidR="00CD1674" w:rsidRPr="000331DB">
        <w:rPr>
          <w:spacing w:val="-2"/>
          <w:lang w:val="fr-CH"/>
        </w:rPr>
        <w:t>sur le lieu d’un accident et à la prise en charge de la victime a été diminué</w:t>
      </w:r>
      <w:r w:rsidRPr="000331DB">
        <w:rPr>
          <w:spacing w:val="-2"/>
          <w:lang w:val="fr-CH"/>
        </w:rPr>
        <w:t xml:space="preserve">. </w:t>
      </w:r>
      <w:r w:rsidR="00CD1674" w:rsidRPr="000331DB">
        <w:rPr>
          <w:spacing w:val="-2"/>
          <w:lang w:val="fr-CH"/>
        </w:rPr>
        <w:t>Par ailleurs, les traitements spécialisés</w:t>
      </w:r>
      <w:r w:rsidRPr="000331DB">
        <w:rPr>
          <w:spacing w:val="-2"/>
          <w:lang w:val="fr-CH"/>
        </w:rPr>
        <w:t xml:space="preserve">, </w:t>
      </w:r>
      <w:r w:rsidR="00CD1674" w:rsidRPr="000331DB">
        <w:rPr>
          <w:spacing w:val="-2"/>
          <w:lang w:val="fr-CH"/>
        </w:rPr>
        <w:t xml:space="preserve">les </w:t>
      </w:r>
      <w:r w:rsidRPr="000331DB">
        <w:rPr>
          <w:spacing w:val="-2"/>
          <w:lang w:val="fr-CH"/>
        </w:rPr>
        <w:t>transplantation</w:t>
      </w:r>
      <w:r w:rsidR="00CD1674" w:rsidRPr="000331DB">
        <w:rPr>
          <w:spacing w:val="-2"/>
          <w:lang w:val="fr-CH"/>
        </w:rPr>
        <w:t xml:space="preserve">s d’organes et la médecine nucléaire ont également enregistré un développement et des avancées </w:t>
      </w:r>
      <w:r w:rsidRPr="000331DB">
        <w:rPr>
          <w:spacing w:val="-2"/>
          <w:lang w:val="fr-CH"/>
        </w:rPr>
        <w:t>consid</w:t>
      </w:r>
      <w:r w:rsidR="00CD1674" w:rsidRPr="000331DB">
        <w:rPr>
          <w:spacing w:val="-2"/>
          <w:lang w:val="fr-CH"/>
        </w:rPr>
        <w:t>é</w:t>
      </w:r>
      <w:r w:rsidRPr="000331DB">
        <w:rPr>
          <w:spacing w:val="-2"/>
          <w:lang w:val="fr-CH"/>
        </w:rPr>
        <w:t>rable</w:t>
      </w:r>
      <w:r w:rsidR="00CD1674" w:rsidRPr="000331DB">
        <w:rPr>
          <w:spacing w:val="-2"/>
          <w:lang w:val="fr-CH"/>
        </w:rPr>
        <w:t>s ces dernières années</w:t>
      </w:r>
      <w:r w:rsidRPr="000331DB">
        <w:rPr>
          <w:spacing w:val="-2"/>
          <w:lang w:val="fr-CH"/>
        </w:rPr>
        <w:t>.</w:t>
      </w:r>
    </w:p>
    <w:p w:rsidR="008A7415" w:rsidRPr="0071782F" w:rsidRDefault="008A7415" w:rsidP="006445DC">
      <w:pPr>
        <w:pStyle w:val="SingleTxtG"/>
        <w:ind w:left="1701"/>
        <w:rPr>
          <w:lang w:val="fr-CH"/>
        </w:rPr>
      </w:pPr>
      <w:r w:rsidRPr="0071782F">
        <w:rPr>
          <w:lang w:val="fr-CH"/>
        </w:rPr>
        <w:t>259.8.</w:t>
      </w:r>
      <w:r w:rsidRPr="0071782F">
        <w:rPr>
          <w:lang w:val="fr-CH"/>
        </w:rPr>
        <w:tab/>
      </w:r>
      <w:r w:rsidR="00EE683B" w:rsidRPr="0071782F">
        <w:rPr>
          <w:lang w:val="fr-CH"/>
        </w:rPr>
        <w:t xml:space="preserve">Des mesures efficaces ont été adoptées pour réaliser les objectifs prévus dans les </w:t>
      </w:r>
      <w:r w:rsidR="00723F2B" w:rsidRPr="0071782F">
        <w:rPr>
          <w:lang w:val="fr-CH"/>
        </w:rPr>
        <w:t>articles </w:t>
      </w:r>
      <w:r w:rsidRPr="0071782F">
        <w:rPr>
          <w:lang w:val="fr-CH"/>
        </w:rPr>
        <w:t xml:space="preserve">90 </w:t>
      </w:r>
      <w:r w:rsidR="00EE683B" w:rsidRPr="0071782F">
        <w:rPr>
          <w:lang w:val="fr-CH"/>
        </w:rPr>
        <w:t>et</w:t>
      </w:r>
      <w:r w:rsidRPr="0071782F">
        <w:rPr>
          <w:lang w:val="fr-CH"/>
        </w:rPr>
        <w:t xml:space="preserve"> 91 </w:t>
      </w:r>
      <w:r w:rsidR="00EE683B" w:rsidRPr="0071782F">
        <w:rPr>
          <w:lang w:val="fr-CH"/>
        </w:rPr>
        <w:t xml:space="preserve">de la loi relative au </w:t>
      </w:r>
      <w:r w:rsidR="00A90208" w:rsidRPr="0071782F">
        <w:rPr>
          <w:lang w:val="fr-CH"/>
        </w:rPr>
        <w:t>quatrième</w:t>
      </w:r>
      <w:r w:rsidR="00EE683B" w:rsidRPr="0071782F">
        <w:rPr>
          <w:lang w:val="fr-CH"/>
        </w:rPr>
        <w:t xml:space="preserve"> plan de développement, qui visent à réduire la part des coûts de traitement acquittée par les patients et à promouvoir un accès équitable des communautés rurales et nomades aux services de santé. </w:t>
      </w:r>
    </w:p>
    <w:p w:rsidR="008A7415" w:rsidRPr="0071782F" w:rsidRDefault="008A7415" w:rsidP="006445DC">
      <w:pPr>
        <w:pStyle w:val="SingleTxtG"/>
        <w:ind w:left="1701"/>
        <w:rPr>
          <w:lang w:val="fr-CH"/>
        </w:rPr>
      </w:pPr>
      <w:r w:rsidRPr="0071782F">
        <w:rPr>
          <w:lang w:val="fr-CH"/>
        </w:rPr>
        <w:t>259.9.</w:t>
      </w:r>
      <w:r w:rsidRPr="0071782F">
        <w:rPr>
          <w:lang w:val="fr-CH"/>
        </w:rPr>
        <w:tab/>
      </w:r>
      <w:r w:rsidR="00EE683B" w:rsidRPr="0071782F">
        <w:rPr>
          <w:lang w:val="fr-CH"/>
        </w:rPr>
        <w:t>L’industrie pharmaceutique du pays a également des réalisations importantes à son actif, comme la mise au point d’un médicament anti-sida appelé</w:t>
      </w:r>
      <w:r w:rsidRPr="0071782F">
        <w:rPr>
          <w:lang w:val="fr-CH"/>
        </w:rPr>
        <w:t xml:space="preserve"> </w:t>
      </w:r>
      <w:r w:rsidR="00EE683B" w:rsidRPr="0071782F">
        <w:rPr>
          <w:lang w:val="fr-CH"/>
        </w:rPr>
        <w:t xml:space="preserve">IMOD et d’un médicament contre les ulcères au pied des diabétiques appelé </w:t>
      </w:r>
      <w:r w:rsidRPr="0071782F">
        <w:rPr>
          <w:lang w:val="fr-CH"/>
        </w:rPr>
        <w:t xml:space="preserve">Angipars </w:t>
      </w:r>
      <w:r w:rsidR="00EE683B" w:rsidRPr="0071782F">
        <w:rPr>
          <w:lang w:val="fr-CH"/>
        </w:rPr>
        <w:t xml:space="preserve">et, pour la première fois au monde, la </w:t>
      </w:r>
      <w:r w:rsidRPr="0071782F">
        <w:rPr>
          <w:lang w:val="fr-CH"/>
        </w:rPr>
        <w:t xml:space="preserve">production </w:t>
      </w:r>
      <w:r w:rsidR="00EE683B" w:rsidRPr="0071782F">
        <w:rPr>
          <w:lang w:val="fr-CH"/>
        </w:rPr>
        <w:t>du</w:t>
      </w:r>
      <w:r w:rsidRPr="0071782F">
        <w:rPr>
          <w:lang w:val="fr-CH"/>
        </w:rPr>
        <w:t xml:space="preserve"> Deferasirox </w:t>
      </w:r>
      <w:r w:rsidR="00EE683B" w:rsidRPr="0071782F">
        <w:rPr>
          <w:lang w:val="fr-CH"/>
        </w:rPr>
        <w:t xml:space="preserve">pour le traitement de l’anémie chez </w:t>
      </w:r>
      <w:r w:rsidR="00A233C2" w:rsidRPr="0071782F">
        <w:rPr>
          <w:lang w:val="fr-CH"/>
        </w:rPr>
        <w:t>les personnes</w:t>
      </w:r>
      <w:r w:rsidR="00EE683B" w:rsidRPr="0071782F">
        <w:rPr>
          <w:lang w:val="fr-CH"/>
        </w:rPr>
        <w:t xml:space="preserve"> atteintes de thalassémie</w:t>
      </w:r>
      <w:r w:rsidRPr="0071782F">
        <w:rPr>
          <w:lang w:val="fr-CH"/>
        </w:rPr>
        <w:t>.</w:t>
      </w:r>
    </w:p>
    <w:p w:rsidR="008A7415" w:rsidRPr="0071782F" w:rsidRDefault="008A7415" w:rsidP="006445DC">
      <w:pPr>
        <w:pStyle w:val="SingleTxtG"/>
        <w:ind w:left="1701"/>
        <w:rPr>
          <w:lang w:val="fr-CH"/>
        </w:rPr>
      </w:pPr>
      <w:r w:rsidRPr="0071782F">
        <w:rPr>
          <w:lang w:val="fr-CH"/>
        </w:rPr>
        <w:t>259.10.</w:t>
      </w:r>
      <w:r w:rsidR="006445DC" w:rsidRPr="0071782F">
        <w:rPr>
          <w:lang w:val="fr-CH"/>
        </w:rPr>
        <w:t xml:space="preserve"> </w:t>
      </w:r>
      <w:r w:rsidR="00EE683B" w:rsidRPr="0071782F">
        <w:rPr>
          <w:lang w:val="fr-CH"/>
        </w:rPr>
        <w:t xml:space="preserve">Par ailleurs, on a mis sur le marché pour la première fois des médicaments sophistiqués pour le traitement de la sclérose en plaques </w:t>
      </w:r>
      <w:r w:rsidRPr="0071782F">
        <w:rPr>
          <w:lang w:val="fr-CH"/>
        </w:rPr>
        <w:t>(</w:t>
      </w:r>
      <w:r w:rsidR="00EE683B" w:rsidRPr="0071782F">
        <w:rPr>
          <w:lang w:val="fr-CH"/>
        </w:rPr>
        <w:t>i</w:t>
      </w:r>
      <w:r w:rsidRPr="0071782F">
        <w:rPr>
          <w:lang w:val="fr-CH"/>
        </w:rPr>
        <w:t>nterf</w:t>
      </w:r>
      <w:r w:rsidR="00EE683B" w:rsidRPr="0071782F">
        <w:rPr>
          <w:lang w:val="fr-CH"/>
        </w:rPr>
        <w:t>é</w:t>
      </w:r>
      <w:r w:rsidRPr="0071782F">
        <w:rPr>
          <w:lang w:val="fr-CH"/>
        </w:rPr>
        <w:t xml:space="preserve">ron </w:t>
      </w:r>
      <w:r w:rsidR="00EE683B" w:rsidRPr="0071782F">
        <w:rPr>
          <w:lang w:val="fr-CH"/>
        </w:rPr>
        <w:t>bê</w:t>
      </w:r>
      <w:r w:rsidRPr="0071782F">
        <w:rPr>
          <w:lang w:val="fr-CH"/>
        </w:rPr>
        <w:t>ta)</w:t>
      </w:r>
      <w:r w:rsidR="00EE683B" w:rsidRPr="0071782F">
        <w:rPr>
          <w:lang w:val="fr-CH"/>
        </w:rPr>
        <w:t>, de la</w:t>
      </w:r>
      <w:r w:rsidRPr="0071782F">
        <w:rPr>
          <w:lang w:val="fr-CH"/>
        </w:rPr>
        <w:t xml:space="preserve"> thalass</w:t>
      </w:r>
      <w:r w:rsidR="00EE683B" w:rsidRPr="0071782F">
        <w:rPr>
          <w:lang w:val="fr-CH"/>
        </w:rPr>
        <w:t>é</w:t>
      </w:r>
      <w:r w:rsidRPr="0071782F">
        <w:rPr>
          <w:lang w:val="fr-CH"/>
        </w:rPr>
        <w:t>mi</w:t>
      </w:r>
      <w:r w:rsidR="00EE683B" w:rsidRPr="0071782F">
        <w:rPr>
          <w:lang w:val="fr-CH"/>
        </w:rPr>
        <w:t>e</w:t>
      </w:r>
      <w:r w:rsidRPr="0071782F">
        <w:rPr>
          <w:lang w:val="fr-CH"/>
        </w:rPr>
        <w:t xml:space="preserve">, </w:t>
      </w:r>
      <w:r w:rsidR="00EE683B" w:rsidRPr="0071782F">
        <w:rPr>
          <w:lang w:val="fr-CH"/>
        </w:rPr>
        <w:t xml:space="preserve">du </w:t>
      </w:r>
      <w:r w:rsidRPr="0071782F">
        <w:rPr>
          <w:lang w:val="fr-CH"/>
        </w:rPr>
        <w:t xml:space="preserve">cancer </w:t>
      </w:r>
      <w:r w:rsidR="00EE683B" w:rsidRPr="0071782F">
        <w:rPr>
          <w:lang w:val="fr-CH"/>
        </w:rPr>
        <w:t>et de l’</w:t>
      </w:r>
      <w:r w:rsidRPr="0071782F">
        <w:rPr>
          <w:lang w:val="fr-CH"/>
        </w:rPr>
        <w:t>h</w:t>
      </w:r>
      <w:r w:rsidR="00EE683B" w:rsidRPr="0071782F">
        <w:rPr>
          <w:lang w:val="fr-CH"/>
        </w:rPr>
        <w:t>é</w:t>
      </w:r>
      <w:r w:rsidRPr="0071782F">
        <w:rPr>
          <w:lang w:val="fr-CH"/>
        </w:rPr>
        <w:t>patit</w:t>
      </w:r>
      <w:r w:rsidR="00EE683B" w:rsidRPr="0071782F">
        <w:rPr>
          <w:lang w:val="fr-CH"/>
        </w:rPr>
        <w:t>e</w:t>
      </w:r>
      <w:r w:rsidRPr="0071782F">
        <w:rPr>
          <w:lang w:val="fr-CH"/>
        </w:rPr>
        <w:t xml:space="preserve"> C (interf</w:t>
      </w:r>
      <w:r w:rsidR="00EE683B" w:rsidRPr="0071782F">
        <w:rPr>
          <w:lang w:val="fr-CH"/>
        </w:rPr>
        <w:t>é</w:t>
      </w:r>
      <w:r w:rsidRPr="0071782F">
        <w:rPr>
          <w:lang w:val="fr-CH"/>
        </w:rPr>
        <w:t>ron</w:t>
      </w:r>
      <w:r w:rsidR="00EE683B" w:rsidRPr="0071782F">
        <w:rPr>
          <w:lang w:val="fr-CH"/>
        </w:rPr>
        <w:t xml:space="preserve"> pégylé</w:t>
      </w:r>
      <w:r w:rsidRPr="0071782F">
        <w:rPr>
          <w:lang w:val="fr-CH"/>
        </w:rPr>
        <w:t xml:space="preserve">, </w:t>
      </w:r>
      <w:r w:rsidR="00EE683B" w:rsidRPr="0071782F">
        <w:rPr>
          <w:lang w:val="fr-CH"/>
        </w:rPr>
        <w:t>i</w:t>
      </w:r>
      <w:r w:rsidRPr="0071782F">
        <w:rPr>
          <w:lang w:val="fr-CH"/>
        </w:rPr>
        <w:t>nterf</w:t>
      </w:r>
      <w:r w:rsidR="00EE683B" w:rsidRPr="0071782F">
        <w:rPr>
          <w:lang w:val="fr-CH"/>
        </w:rPr>
        <w:t>é</w:t>
      </w:r>
      <w:r w:rsidRPr="0071782F">
        <w:rPr>
          <w:lang w:val="fr-CH"/>
        </w:rPr>
        <w:t xml:space="preserve">ron gamma, </w:t>
      </w:r>
      <w:r w:rsidR="00EE683B" w:rsidRPr="0071782F">
        <w:rPr>
          <w:lang w:val="fr-CH"/>
        </w:rPr>
        <w:t>é</w:t>
      </w:r>
      <w:r w:rsidRPr="0071782F">
        <w:rPr>
          <w:lang w:val="fr-CH"/>
        </w:rPr>
        <w:t>rythropo</w:t>
      </w:r>
      <w:r w:rsidR="00EE683B" w:rsidRPr="0071782F">
        <w:rPr>
          <w:lang w:val="fr-CH"/>
        </w:rPr>
        <w:t>ïétine bêta</w:t>
      </w:r>
      <w:r w:rsidRPr="0071782F">
        <w:rPr>
          <w:lang w:val="fr-CH"/>
        </w:rPr>
        <w:t>).</w:t>
      </w:r>
    </w:p>
    <w:p w:rsidR="008A7415" w:rsidRPr="0071782F" w:rsidRDefault="008A7415" w:rsidP="006445DC">
      <w:pPr>
        <w:pStyle w:val="SingleTxtG"/>
        <w:ind w:left="1701"/>
        <w:rPr>
          <w:lang w:val="fr-CH"/>
        </w:rPr>
      </w:pPr>
      <w:r w:rsidRPr="0071782F">
        <w:rPr>
          <w:lang w:val="fr-CH"/>
        </w:rPr>
        <w:t>259.11.</w:t>
      </w:r>
      <w:r w:rsidR="006445DC" w:rsidRPr="0071782F">
        <w:rPr>
          <w:lang w:val="fr-CH"/>
        </w:rPr>
        <w:t xml:space="preserve"> </w:t>
      </w:r>
      <w:r w:rsidR="00EE683B" w:rsidRPr="0071782F">
        <w:rPr>
          <w:lang w:val="fr-CH"/>
        </w:rPr>
        <w:t>À l’heure actuelle, les médicaments fabriqué</w:t>
      </w:r>
      <w:r w:rsidR="00F11CE3">
        <w:rPr>
          <w:lang w:val="fr-CH"/>
        </w:rPr>
        <w:t>s dans le pays couvrent plus de </w:t>
      </w:r>
      <w:r w:rsidRPr="0071782F">
        <w:rPr>
          <w:lang w:val="fr-CH"/>
        </w:rPr>
        <w:t>95</w:t>
      </w:r>
      <w:r w:rsidR="007E5125" w:rsidRPr="0071782F">
        <w:rPr>
          <w:lang w:val="fr-CH"/>
        </w:rPr>
        <w:t>%</w:t>
      </w:r>
      <w:r w:rsidRPr="0071782F">
        <w:rPr>
          <w:lang w:val="fr-CH"/>
        </w:rPr>
        <w:t xml:space="preserve"> </w:t>
      </w:r>
      <w:r w:rsidR="00EE683B" w:rsidRPr="0071782F">
        <w:rPr>
          <w:lang w:val="fr-CH"/>
        </w:rPr>
        <w:t>des besoins nationaux, tandis que l’approvisionnement en médicaments et matières premières d’origine étrangère pour la fabrication de médicaments se heurte à de graves problèmes intérieurs et internationaux</w:t>
      </w:r>
      <w:r w:rsidRPr="0071782F">
        <w:rPr>
          <w:lang w:val="fr-CH"/>
        </w:rPr>
        <w:t>.</w:t>
      </w:r>
    </w:p>
    <w:p w:rsidR="008A7415" w:rsidRPr="0071782F" w:rsidRDefault="008A7415" w:rsidP="006445DC">
      <w:pPr>
        <w:pStyle w:val="SingleTxtG"/>
        <w:ind w:left="1701"/>
        <w:rPr>
          <w:lang w:val="fr-CH"/>
        </w:rPr>
      </w:pPr>
      <w:r w:rsidRPr="0071782F">
        <w:rPr>
          <w:lang w:val="fr-CH"/>
        </w:rPr>
        <w:t>259.12.</w:t>
      </w:r>
      <w:r w:rsidR="006445DC" w:rsidRPr="0071782F">
        <w:rPr>
          <w:lang w:val="fr-CH"/>
        </w:rPr>
        <w:t xml:space="preserve"> </w:t>
      </w:r>
      <w:r w:rsidR="00EE683B" w:rsidRPr="0071782F">
        <w:rPr>
          <w:lang w:val="fr-CH"/>
        </w:rPr>
        <w:t>En ce qui concerne la pénurie de médicaments dans le pays, la situation s’est très sensiblement améliorée pendant l’année écoulée</w:t>
      </w:r>
      <w:r w:rsidRPr="0071782F">
        <w:rPr>
          <w:lang w:val="fr-CH"/>
        </w:rPr>
        <w:t>.</w:t>
      </w:r>
    </w:p>
    <w:p w:rsidR="008A7415" w:rsidRPr="0071782F" w:rsidRDefault="008A7415" w:rsidP="006445DC">
      <w:pPr>
        <w:pStyle w:val="SingleTxtG"/>
        <w:ind w:left="1701"/>
        <w:rPr>
          <w:lang w:val="fr-CH"/>
        </w:rPr>
      </w:pPr>
      <w:r w:rsidRPr="0071782F">
        <w:rPr>
          <w:lang w:val="fr-CH"/>
        </w:rPr>
        <w:t>259.13.</w:t>
      </w:r>
      <w:r w:rsidR="006445DC" w:rsidRPr="0071782F">
        <w:rPr>
          <w:lang w:val="fr-CH"/>
        </w:rPr>
        <w:t xml:space="preserve"> </w:t>
      </w:r>
      <w:r w:rsidR="00072DB2" w:rsidRPr="0071782F">
        <w:rPr>
          <w:lang w:val="fr-CH"/>
        </w:rPr>
        <w:t xml:space="preserve">Par ailleurs, pendant la même période, les politiques et initiatives du gouvernement ont permis d’exporter des produits pharmaceutiques d’une valeur supérieure à </w:t>
      </w:r>
      <w:r w:rsidRPr="0071782F">
        <w:rPr>
          <w:lang w:val="fr-CH"/>
        </w:rPr>
        <w:t>250</w:t>
      </w:r>
      <w:r w:rsidR="00097CDB" w:rsidRPr="0071782F">
        <w:rPr>
          <w:lang w:val="fr-CH"/>
        </w:rPr>
        <w:t> millions</w:t>
      </w:r>
      <w:r w:rsidRPr="0071782F">
        <w:rPr>
          <w:lang w:val="fr-CH"/>
        </w:rPr>
        <w:t xml:space="preserve"> </w:t>
      </w:r>
      <w:r w:rsidR="00072DB2" w:rsidRPr="0071782F">
        <w:rPr>
          <w:lang w:val="fr-CH"/>
        </w:rPr>
        <w:t xml:space="preserve">de </w:t>
      </w:r>
      <w:r w:rsidRPr="0071782F">
        <w:rPr>
          <w:lang w:val="fr-CH"/>
        </w:rPr>
        <w:t>dollars.</w:t>
      </w:r>
    </w:p>
    <w:p w:rsidR="008A7415" w:rsidRPr="0071782F" w:rsidRDefault="008A7415" w:rsidP="006445DC">
      <w:pPr>
        <w:pStyle w:val="SingleTxtG"/>
        <w:ind w:left="1701"/>
        <w:rPr>
          <w:lang w:val="fr-CH"/>
        </w:rPr>
      </w:pPr>
      <w:r w:rsidRPr="0071782F">
        <w:rPr>
          <w:lang w:val="fr-CH"/>
        </w:rPr>
        <w:t>259.14.</w:t>
      </w:r>
      <w:r w:rsidR="006445DC" w:rsidRPr="0071782F">
        <w:rPr>
          <w:lang w:val="fr-CH"/>
        </w:rPr>
        <w:t xml:space="preserve"> </w:t>
      </w:r>
      <w:r w:rsidR="00B02D31" w:rsidRPr="0071782F">
        <w:rPr>
          <w:lang w:val="fr-CH"/>
        </w:rPr>
        <w:t xml:space="preserve">Au cours de la période considérée, on a ouvert </w:t>
      </w:r>
      <w:r w:rsidRPr="0071782F">
        <w:rPr>
          <w:lang w:val="fr-CH"/>
        </w:rPr>
        <w:t>1</w:t>
      </w:r>
      <w:r w:rsidR="00B00574">
        <w:rPr>
          <w:lang w:val="fr-CH"/>
        </w:rPr>
        <w:t> </w:t>
      </w:r>
      <w:r w:rsidRPr="0071782F">
        <w:rPr>
          <w:lang w:val="fr-CH"/>
        </w:rPr>
        <w:t xml:space="preserve">554 </w:t>
      </w:r>
      <w:r w:rsidR="00B02D31" w:rsidRPr="0071782F">
        <w:rPr>
          <w:lang w:val="fr-CH"/>
        </w:rPr>
        <w:t xml:space="preserve">nouvelles </w:t>
      </w:r>
      <w:r w:rsidRPr="0071782F">
        <w:rPr>
          <w:lang w:val="fr-CH"/>
        </w:rPr>
        <w:t xml:space="preserve">pharmacies </w:t>
      </w:r>
      <w:r w:rsidR="00B02D31" w:rsidRPr="0071782F">
        <w:rPr>
          <w:lang w:val="fr-CH"/>
        </w:rPr>
        <w:t xml:space="preserve">pour faciliter l’accès de la population aux médicaments, ce qui a permis de réaliser l’objectif du </w:t>
      </w:r>
      <w:r w:rsidR="00A90208" w:rsidRPr="0071782F">
        <w:rPr>
          <w:lang w:val="fr-CH"/>
        </w:rPr>
        <w:t>quatrième</w:t>
      </w:r>
      <w:r w:rsidR="00B02D31" w:rsidRPr="0071782F">
        <w:rPr>
          <w:lang w:val="fr-CH"/>
        </w:rPr>
        <w:t xml:space="preserve"> plan dans ce domaine</w:t>
      </w:r>
      <w:r w:rsidRPr="0071782F">
        <w:rPr>
          <w:lang w:val="fr-CH"/>
        </w:rPr>
        <w:t xml:space="preserve">. </w:t>
      </w:r>
      <w:r w:rsidR="00B02D31" w:rsidRPr="0071782F">
        <w:rPr>
          <w:lang w:val="fr-CH"/>
        </w:rPr>
        <w:t>La fabrication d’équipements médicaux a également enregistré des progrès remarquables et les méthodes de contrôle de la qualité ont été redéfinies compte tenu des normes internationales les plus récentes.</w:t>
      </w:r>
    </w:p>
    <w:p w:rsidR="008A7415" w:rsidRPr="0071782F" w:rsidRDefault="008A7415" w:rsidP="006445DC">
      <w:pPr>
        <w:pStyle w:val="SingleTxtG"/>
        <w:ind w:left="1701"/>
        <w:rPr>
          <w:lang w:val="fr-CH"/>
        </w:rPr>
      </w:pPr>
      <w:r w:rsidRPr="0071782F">
        <w:rPr>
          <w:lang w:val="fr-CH"/>
        </w:rPr>
        <w:t>259.15.</w:t>
      </w:r>
      <w:r w:rsidR="006445DC" w:rsidRPr="0071782F">
        <w:rPr>
          <w:lang w:val="fr-CH"/>
        </w:rPr>
        <w:t xml:space="preserve"> </w:t>
      </w:r>
      <w:r w:rsidR="00B02D31" w:rsidRPr="0071782F">
        <w:rPr>
          <w:lang w:val="fr-CH"/>
        </w:rPr>
        <w:t>En ce qui concerne la formation médicale, on notera que son développement quantitatif et</w:t>
      </w:r>
      <w:r w:rsidRPr="0071782F">
        <w:rPr>
          <w:lang w:val="fr-CH"/>
        </w:rPr>
        <w:t xml:space="preserve"> qu</w:t>
      </w:r>
      <w:r w:rsidR="00B02D31" w:rsidRPr="0071782F">
        <w:rPr>
          <w:lang w:val="fr-CH"/>
        </w:rPr>
        <w:t>alitatif a constitué l’une des préoccupations majeures du gouvernement.</w:t>
      </w:r>
      <w:r w:rsidRPr="0071782F">
        <w:rPr>
          <w:lang w:val="fr-CH"/>
        </w:rPr>
        <w:t xml:space="preserve"> </w:t>
      </w:r>
      <w:r w:rsidR="00B02D31" w:rsidRPr="0071782F">
        <w:rPr>
          <w:lang w:val="fr-CH"/>
        </w:rPr>
        <w:t xml:space="preserve">Entre </w:t>
      </w:r>
      <w:r w:rsidRPr="0071782F">
        <w:rPr>
          <w:lang w:val="fr-CH"/>
        </w:rPr>
        <w:t>2005</w:t>
      </w:r>
      <w:r w:rsidR="00B02D31" w:rsidRPr="0071782F">
        <w:rPr>
          <w:lang w:val="fr-CH"/>
        </w:rPr>
        <w:t xml:space="preserve"> et </w:t>
      </w:r>
      <w:r w:rsidRPr="0071782F">
        <w:rPr>
          <w:lang w:val="fr-CH"/>
        </w:rPr>
        <w:t xml:space="preserve">2009, </w:t>
      </w:r>
      <w:r w:rsidR="00B02D31" w:rsidRPr="0071782F">
        <w:rPr>
          <w:lang w:val="fr-CH"/>
        </w:rPr>
        <w:t>on a délivré des autorisations de création pour un certain nombre d’écoles et de facultés de médecine</w:t>
      </w:r>
      <w:r w:rsidRPr="0071782F">
        <w:rPr>
          <w:lang w:val="fr-CH"/>
        </w:rPr>
        <w:t>.</w:t>
      </w:r>
    </w:p>
    <w:p w:rsidR="008A7415" w:rsidRPr="0071782F" w:rsidRDefault="008A7415" w:rsidP="006445DC">
      <w:pPr>
        <w:pStyle w:val="SingleTxtG"/>
        <w:ind w:left="1701"/>
        <w:rPr>
          <w:lang w:val="fr-CH"/>
        </w:rPr>
      </w:pPr>
      <w:r w:rsidRPr="0071782F">
        <w:rPr>
          <w:lang w:val="fr-CH"/>
        </w:rPr>
        <w:t>259.16.</w:t>
      </w:r>
      <w:r w:rsidR="006445DC" w:rsidRPr="0071782F">
        <w:rPr>
          <w:lang w:val="fr-CH"/>
        </w:rPr>
        <w:t xml:space="preserve"> </w:t>
      </w:r>
      <w:r w:rsidR="00B02D31" w:rsidRPr="0071782F">
        <w:rPr>
          <w:lang w:val="fr-CH"/>
        </w:rPr>
        <w:t>De même, on a créé certains programmes de doctorat et de mastère en sciences pour différentes spécialisations médicales et l’on a augmenté le nombre de places disponibles pour certains programmes de médecine spécialisés.</w:t>
      </w:r>
      <w:r w:rsidRPr="0071782F">
        <w:rPr>
          <w:lang w:val="fr-CH"/>
        </w:rPr>
        <w:t xml:space="preserve"> </w:t>
      </w:r>
      <w:r w:rsidR="00B02D31" w:rsidRPr="0071782F">
        <w:rPr>
          <w:lang w:val="fr-CH"/>
        </w:rPr>
        <w:t>Parallèlement à ces progrès quantitatifs, on s’est attaché tout particulièrement à promouvoir la qualité de la formation médicale.</w:t>
      </w:r>
      <w:r w:rsidRPr="0071782F">
        <w:rPr>
          <w:lang w:val="fr-CH"/>
        </w:rPr>
        <w:t xml:space="preserve"> </w:t>
      </w:r>
      <w:r w:rsidR="00B02D31" w:rsidRPr="0071782F">
        <w:rPr>
          <w:lang w:val="fr-CH"/>
        </w:rPr>
        <w:t xml:space="preserve">Au cours de la période considérée, on a commencé de mettre en </w:t>
      </w:r>
      <w:r w:rsidR="00D5366B" w:rsidRPr="0071782F">
        <w:rPr>
          <w:lang w:val="fr-CH"/>
        </w:rPr>
        <w:t>œuvre</w:t>
      </w:r>
      <w:r w:rsidR="00B02D31" w:rsidRPr="0071782F">
        <w:rPr>
          <w:lang w:val="fr-CH"/>
        </w:rPr>
        <w:t xml:space="preserve"> le </w:t>
      </w:r>
      <w:r w:rsidRPr="0071782F">
        <w:rPr>
          <w:lang w:val="fr-CH"/>
        </w:rPr>
        <w:t xml:space="preserve">plan </w:t>
      </w:r>
      <w:r w:rsidR="00B02D31" w:rsidRPr="0071782F">
        <w:rPr>
          <w:lang w:val="fr-CH"/>
        </w:rPr>
        <w:t xml:space="preserve">consistant à admettre des étudiants locaux dans certaines </w:t>
      </w:r>
      <w:r w:rsidRPr="0071782F">
        <w:rPr>
          <w:lang w:val="fr-CH"/>
        </w:rPr>
        <w:t xml:space="preserve">disciplines, </w:t>
      </w:r>
      <w:r w:rsidR="00B02D31" w:rsidRPr="0071782F">
        <w:rPr>
          <w:lang w:val="fr-CH"/>
        </w:rPr>
        <w:t>à permettre à des diplômés hautement qualifiés de suivre des cours de niveau supérieur sans examen d’entrée, à organiser des programmes de té</w:t>
      </w:r>
      <w:r w:rsidRPr="0071782F">
        <w:rPr>
          <w:lang w:val="fr-CH"/>
        </w:rPr>
        <w:t>l</w:t>
      </w:r>
      <w:r w:rsidR="00B02D31" w:rsidRPr="0071782F">
        <w:rPr>
          <w:lang w:val="fr-CH"/>
        </w:rPr>
        <w:t>é</w:t>
      </w:r>
      <w:r w:rsidRPr="0071782F">
        <w:rPr>
          <w:lang w:val="fr-CH"/>
        </w:rPr>
        <w:t>conf</w:t>
      </w:r>
      <w:r w:rsidR="00B02D31" w:rsidRPr="0071782F">
        <w:rPr>
          <w:lang w:val="fr-CH"/>
        </w:rPr>
        <w:t>é</w:t>
      </w:r>
      <w:r w:rsidRPr="0071782F">
        <w:rPr>
          <w:lang w:val="fr-CH"/>
        </w:rPr>
        <w:t>rence</w:t>
      </w:r>
      <w:r w:rsidR="00B02D31" w:rsidRPr="0071782F">
        <w:rPr>
          <w:lang w:val="fr-CH"/>
        </w:rPr>
        <w:t>s</w:t>
      </w:r>
      <w:r w:rsidRPr="0071782F">
        <w:rPr>
          <w:lang w:val="fr-CH"/>
        </w:rPr>
        <w:t xml:space="preserve"> </w:t>
      </w:r>
      <w:r w:rsidR="00B02D31" w:rsidRPr="0071782F">
        <w:rPr>
          <w:lang w:val="fr-CH"/>
        </w:rPr>
        <w:t xml:space="preserve">et de </w:t>
      </w:r>
      <w:r w:rsidRPr="0071782F">
        <w:rPr>
          <w:lang w:val="fr-CH"/>
        </w:rPr>
        <w:t>t</w:t>
      </w:r>
      <w:r w:rsidR="00B02D31" w:rsidRPr="0071782F">
        <w:rPr>
          <w:lang w:val="fr-CH"/>
        </w:rPr>
        <w:t>é</w:t>
      </w:r>
      <w:r w:rsidRPr="0071782F">
        <w:rPr>
          <w:lang w:val="fr-CH"/>
        </w:rPr>
        <w:t>l</w:t>
      </w:r>
      <w:r w:rsidR="00B02D31" w:rsidRPr="0071782F">
        <w:rPr>
          <w:lang w:val="fr-CH"/>
        </w:rPr>
        <w:t>é</w:t>
      </w:r>
      <w:r w:rsidRPr="0071782F">
        <w:rPr>
          <w:lang w:val="fr-CH"/>
        </w:rPr>
        <w:t>m</w:t>
      </w:r>
      <w:r w:rsidR="00B02D31" w:rsidRPr="0071782F">
        <w:rPr>
          <w:lang w:val="fr-CH"/>
        </w:rPr>
        <w:t>é</w:t>
      </w:r>
      <w:r w:rsidRPr="0071782F">
        <w:rPr>
          <w:lang w:val="fr-CH"/>
        </w:rPr>
        <w:t>d</w:t>
      </w:r>
      <w:r w:rsidR="00B02D31" w:rsidRPr="0071782F">
        <w:rPr>
          <w:lang w:val="fr-CH"/>
        </w:rPr>
        <w:t>e</w:t>
      </w:r>
      <w:r w:rsidRPr="0071782F">
        <w:rPr>
          <w:lang w:val="fr-CH"/>
        </w:rPr>
        <w:t xml:space="preserve">cine </w:t>
      </w:r>
      <w:r w:rsidR="00B02D31" w:rsidRPr="0071782F">
        <w:rPr>
          <w:lang w:val="fr-CH"/>
        </w:rPr>
        <w:t>dans certaines écoles de médecine et à exécuter des plans d’enseignement virtuel à distance</w:t>
      </w:r>
      <w:r w:rsidRPr="0071782F">
        <w:rPr>
          <w:lang w:val="fr-CH"/>
        </w:rPr>
        <w:t xml:space="preserve">. </w:t>
      </w:r>
      <w:r w:rsidR="00B02D31" w:rsidRPr="0071782F">
        <w:rPr>
          <w:lang w:val="fr-CH"/>
        </w:rPr>
        <w:t xml:space="preserve">Par ailleurs, on a créé dans certaines universités </w:t>
      </w:r>
      <w:r w:rsidR="00A83442">
        <w:rPr>
          <w:lang w:val="fr-CH"/>
        </w:rPr>
        <w:t>des unités</w:t>
      </w:r>
      <w:r w:rsidR="00B02D31" w:rsidRPr="0071782F">
        <w:rPr>
          <w:lang w:val="fr-CH"/>
        </w:rPr>
        <w:t xml:space="preserve"> de gestion de la qualité de l’enseignement</w:t>
      </w:r>
      <w:r w:rsidRPr="0071782F">
        <w:rPr>
          <w:lang w:val="fr-CH"/>
        </w:rPr>
        <w:t>.</w:t>
      </w:r>
    </w:p>
    <w:p w:rsidR="008A7415" w:rsidRPr="0071782F" w:rsidRDefault="008A7415" w:rsidP="006445DC">
      <w:pPr>
        <w:pStyle w:val="SingleTxtG"/>
        <w:ind w:left="1701"/>
        <w:rPr>
          <w:lang w:val="fr-CH"/>
        </w:rPr>
      </w:pPr>
      <w:r w:rsidRPr="0071782F">
        <w:rPr>
          <w:lang w:val="fr-CH"/>
        </w:rPr>
        <w:t>259.17.</w:t>
      </w:r>
      <w:r w:rsidR="006445DC" w:rsidRPr="0071782F">
        <w:rPr>
          <w:lang w:val="fr-CH"/>
        </w:rPr>
        <w:t xml:space="preserve"> </w:t>
      </w:r>
      <w:r w:rsidR="00220811" w:rsidRPr="0071782F">
        <w:rPr>
          <w:lang w:val="fr-CH"/>
        </w:rPr>
        <w:t>Pour freiner la tendance à l’</w:t>
      </w:r>
      <w:r w:rsidRPr="0071782F">
        <w:rPr>
          <w:lang w:val="fr-CH"/>
        </w:rPr>
        <w:t xml:space="preserve">immigration </w:t>
      </w:r>
      <w:r w:rsidR="00220811" w:rsidRPr="0071782F">
        <w:rPr>
          <w:lang w:val="fr-CH"/>
        </w:rPr>
        <w:t xml:space="preserve">des étudiants de médecine, on a créé </w:t>
      </w:r>
      <w:r w:rsidRPr="0071782F">
        <w:rPr>
          <w:lang w:val="fr-CH"/>
        </w:rPr>
        <w:t>12</w:t>
      </w:r>
      <w:r w:rsidR="00B00574">
        <w:rPr>
          <w:lang w:val="fr-CH"/>
        </w:rPr>
        <w:t> </w:t>
      </w:r>
      <w:r w:rsidR="00220811" w:rsidRPr="0071782F">
        <w:rPr>
          <w:lang w:val="fr-CH"/>
        </w:rPr>
        <w:t xml:space="preserve">filiales </w:t>
      </w:r>
      <w:r w:rsidRPr="0071782F">
        <w:rPr>
          <w:lang w:val="fr-CH"/>
        </w:rPr>
        <w:t>international</w:t>
      </w:r>
      <w:r w:rsidR="00220811" w:rsidRPr="0071782F">
        <w:rPr>
          <w:lang w:val="fr-CH"/>
        </w:rPr>
        <w:t>es d’écoles de médecine du pays et l’on a commencé à inscrire des étudiants dans les disciplines correspondantes.</w:t>
      </w:r>
      <w:r w:rsidRPr="0071782F">
        <w:rPr>
          <w:lang w:val="fr-CH"/>
        </w:rPr>
        <w:t xml:space="preserve"> </w:t>
      </w:r>
      <w:r w:rsidR="00220811" w:rsidRPr="0071782F">
        <w:rPr>
          <w:lang w:val="fr-CH"/>
        </w:rPr>
        <w:t>Parallèlement à la promotion de la qualité de la formation médicale, la technologie et la recherche médicales ont bénéficié d’une attention particulière pendant la période considérée</w:t>
      </w:r>
      <w:r w:rsidRPr="0071782F">
        <w:rPr>
          <w:lang w:val="fr-CH"/>
        </w:rPr>
        <w:t>.</w:t>
      </w:r>
    </w:p>
    <w:p w:rsidR="008A7415" w:rsidRPr="0071782F" w:rsidRDefault="008A7415" w:rsidP="006445DC">
      <w:pPr>
        <w:pStyle w:val="SingleTxtG"/>
        <w:ind w:left="1701"/>
        <w:rPr>
          <w:lang w:val="fr-CH"/>
        </w:rPr>
      </w:pPr>
      <w:r w:rsidRPr="0071782F">
        <w:rPr>
          <w:lang w:val="fr-CH"/>
        </w:rPr>
        <w:t>259.18.</w:t>
      </w:r>
      <w:r w:rsidR="006445DC" w:rsidRPr="0071782F">
        <w:rPr>
          <w:lang w:val="fr-CH"/>
        </w:rPr>
        <w:t xml:space="preserve"> </w:t>
      </w:r>
      <w:r w:rsidR="00220811" w:rsidRPr="0071782F">
        <w:rPr>
          <w:lang w:val="fr-CH"/>
        </w:rPr>
        <w:t>En ce qui concerne la gestion et le développement des ressources, des mesures efficaces ont été prises pour mettre en valeur les ressources humaines dans le domaine des soins et traitements médicaux, du développement et de la réforme, de la modernisation et de l’assouplissement du système. Par ailleurs, dans le but de garantir l’efficacité des programmes du Ministère de la santé et de la formation médicale, on a entrepris d’exécuter un projet de réforme du système de santé afin d’y apporter une série de changements ciblés</w:t>
      </w:r>
      <w:r w:rsidR="008F7D33" w:rsidRPr="0071782F">
        <w:rPr>
          <w:lang w:val="fr-CH"/>
        </w:rPr>
        <w:t>:</w:t>
      </w:r>
      <w:r w:rsidR="00220811" w:rsidRPr="0071782F">
        <w:rPr>
          <w:lang w:val="fr-CH"/>
        </w:rPr>
        <w:t xml:space="preserve"> amélioration de l’efficacité des </w:t>
      </w:r>
      <w:r w:rsidRPr="0071782F">
        <w:rPr>
          <w:lang w:val="fr-CH"/>
        </w:rPr>
        <w:t xml:space="preserve">services </w:t>
      </w:r>
      <w:r w:rsidR="00220811" w:rsidRPr="0071782F">
        <w:rPr>
          <w:lang w:val="fr-CH"/>
        </w:rPr>
        <w:t>et</w:t>
      </w:r>
      <w:r w:rsidRPr="0071782F">
        <w:rPr>
          <w:lang w:val="fr-CH"/>
        </w:rPr>
        <w:t xml:space="preserve"> promotion </w:t>
      </w:r>
      <w:r w:rsidR="00220811" w:rsidRPr="0071782F">
        <w:rPr>
          <w:lang w:val="fr-CH"/>
        </w:rPr>
        <w:t xml:space="preserve">de la </w:t>
      </w:r>
      <w:r w:rsidRPr="0071782F">
        <w:rPr>
          <w:lang w:val="fr-CH"/>
        </w:rPr>
        <w:t xml:space="preserve">justice </w:t>
      </w:r>
      <w:r w:rsidR="00220811" w:rsidRPr="0071782F">
        <w:rPr>
          <w:lang w:val="fr-CH"/>
        </w:rPr>
        <w:t xml:space="preserve">en matière d’accès aux services de soins et de traitement, </w:t>
      </w:r>
      <w:r w:rsidRPr="0071782F">
        <w:rPr>
          <w:lang w:val="fr-CH"/>
        </w:rPr>
        <w:t xml:space="preserve">protection </w:t>
      </w:r>
      <w:r w:rsidR="00220811" w:rsidRPr="0071782F">
        <w:rPr>
          <w:lang w:val="fr-CH"/>
        </w:rPr>
        <w:t>de la population contre les facteurs de risque des maladies</w:t>
      </w:r>
      <w:r w:rsidRPr="0071782F">
        <w:rPr>
          <w:lang w:val="fr-CH"/>
        </w:rPr>
        <w:t>, r</w:t>
      </w:r>
      <w:r w:rsidR="00220811" w:rsidRPr="0071782F">
        <w:rPr>
          <w:lang w:val="fr-CH"/>
        </w:rPr>
        <w:t xml:space="preserve">éforme du système de paiement, </w:t>
      </w:r>
      <w:r w:rsidRPr="0071782F">
        <w:rPr>
          <w:lang w:val="fr-CH"/>
        </w:rPr>
        <w:t>etc.</w:t>
      </w:r>
    </w:p>
    <w:p w:rsidR="008A7415" w:rsidRPr="0071782F" w:rsidRDefault="008A7415" w:rsidP="00204410">
      <w:pPr>
        <w:pStyle w:val="H1G"/>
        <w:rPr>
          <w:lang w:val="fr-CH"/>
        </w:rPr>
      </w:pPr>
      <w:r w:rsidRPr="0071782F">
        <w:rPr>
          <w:lang w:val="fr-CH"/>
        </w:rPr>
        <w:tab/>
      </w:r>
      <w:r w:rsidRPr="0071782F">
        <w:rPr>
          <w:lang w:val="fr-CH"/>
        </w:rPr>
        <w:tab/>
      </w:r>
      <w:r w:rsidR="00220811" w:rsidRPr="0071782F">
        <w:rPr>
          <w:lang w:val="fr-CH"/>
        </w:rPr>
        <w:t>Les soins de santé et la pré</w:t>
      </w:r>
      <w:r w:rsidRPr="0071782F">
        <w:rPr>
          <w:lang w:val="fr-CH"/>
        </w:rPr>
        <w:t>vention</w:t>
      </w:r>
    </w:p>
    <w:p w:rsidR="008A7415" w:rsidRPr="0071782F" w:rsidRDefault="008A7415" w:rsidP="00204410">
      <w:pPr>
        <w:pStyle w:val="SingleTxtG"/>
        <w:rPr>
          <w:lang w:val="fr-CH"/>
        </w:rPr>
      </w:pPr>
      <w:r w:rsidRPr="0071782F">
        <w:rPr>
          <w:lang w:val="fr-CH"/>
        </w:rPr>
        <w:t>260.</w:t>
      </w:r>
      <w:r w:rsidRPr="0071782F">
        <w:rPr>
          <w:lang w:val="fr-CH"/>
        </w:rPr>
        <w:tab/>
      </w:r>
      <w:r w:rsidR="00ED548E" w:rsidRPr="0071782F">
        <w:rPr>
          <w:lang w:val="fr-CH"/>
        </w:rPr>
        <w:t>À ce sujet, il convient de noter ce qui suit</w:t>
      </w:r>
      <w:r w:rsidR="008F7D33" w:rsidRPr="0071782F">
        <w:rPr>
          <w:lang w:val="fr-CH"/>
        </w:rPr>
        <w:t>:</w:t>
      </w:r>
    </w:p>
    <w:p w:rsidR="008A7415" w:rsidRPr="0071782F" w:rsidRDefault="008A7415" w:rsidP="00831D34">
      <w:pPr>
        <w:pStyle w:val="SingleTxtG"/>
        <w:ind w:left="1701"/>
        <w:rPr>
          <w:lang w:val="fr-CH"/>
        </w:rPr>
      </w:pPr>
      <w:r w:rsidRPr="0071782F">
        <w:rPr>
          <w:lang w:val="fr-CH"/>
        </w:rPr>
        <w:t>260.1.</w:t>
      </w:r>
      <w:r w:rsidRPr="0071782F">
        <w:rPr>
          <w:lang w:val="fr-CH"/>
        </w:rPr>
        <w:tab/>
      </w:r>
      <w:r w:rsidR="00D102FD" w:rsidRPr="0071782F">
        <w:rPr>
          <w:lang w:val="fr-CH"/>
        </w:rPr>
        <w:t>Au cours de la période considérée, 430</w:t>
      </w:r>
      <w:r w:rsidR="00B00574">
        <w:rPr>
          <w:lang w:val="fr-CH"/>
        </w:rPr>
        <w:t> </w:t>
      </w:r>
      <w:r w:rsidR="00D102FD" w:rsidRPr="0071782F">
        <w:rPr>
          <w:lang w:val="fr-CH"/>
        </w:rPr>
        <w:t>maisons de santé, 540</w:t>
      </w:r>
      <w:r w:rsidR="00B00574">
        <w:rPr>
          <w:lang w:val="fr-CH"/>
        </w:rPr>
        <w:t> </w:t>
      </w:r>
      <w:r w:rsidR="00D102FD" w:rsidRPr="0071782F">
        <w:rPr>
          <w:lang w:val="fr-CH"/>
        </w:rPr>
        <w:t>centres de soins et de traitement urbains et ruraux et 444</w:t>
      </w:r>
      <w:r w:rsidR="00B00574">
        <w:rPr>
          <w:lang w:val="fr-CH"/>
        </w:rPr>
        <w:t> </w:t>
      </w:r>
      <w:r w:rsidR="00D102FD" w:rsidRPr="0071782F">
        <w:rPr>
          <w:lang w:val="fr-CH"/>
        </w:rPr>
        <w:t>laboratoires médicaux ont été mis en service</w:t>
      </w:r>
      <w:r w:rsidRPr="0071782F">
        <w:rPr>
          <w:lang w:val="fr-CH"/>
        </w:rPr>
        <w:t>.</w:t>
      </w:r>
    </w:p>
    <w:p w:rsidR="008A7415" w:rsidRPr="0071782F" w:rsidRDefault="008A7415" w:rsidP="00831D34">
      <w:pPr>
        <w:pStyle w:val="SingleTxtG"/>
        <w:ind w:left="1701"/>
        <w:rPr>
          <w:lang w:val="fr-CH"/>
        </w:rPr>
      </w:pPr>
      <w:r w:rsidRPr="0071782F">
        <w:rPr>
          <w:lang w:val="fr-CH"/>
        </w:rPr>
        <w:t>260.2.</w:t>
      </w:r>
      <w:r w:rsidRPr="0071782F">
        <w:rPr>
          <w:lang w:val="fr-CH"/>
        </w:rPr>
        <w:tab/>
      </w:r>
      <w:r w:rsidR="009D390E" w:rsidRPr="0071782F">
        <w:rPr>
          <w:lang w:val="fr-CH"/>
        </w:rPr>
        <w:t xml:space="preserve">Le </w:t>
      </w:r>
      <w:r w:rsidR="00A62149" w:rsidRPr="0071782F">
        <w:rPr>
          <w:lang w:val="fr-CH"/>
        </w:rPr>
        <w:t>"</w:t>
      </w:r>
      <w:r w:rsidR="009D390E" w:rsidRPr="0071782F">
        <w:rPr>
          <w:lang w:val="fr-CH"/>
        </w:rPr>
        <w:t xml:space="preserve">plan des </w:t>
      </w:r>
      <w:r w:rsidR="007D20FF" w:rsidRPr="0071782F">
        <w:rPr>
          <w:lang w:val="fr-CH"/>
        </w:rPr>
        <w:t>médecins traitants</w:t>
      </w:r>
      <w:r w:rsidR="00A62149" w:rsidRPr="0071782F">
        <w:rPr>
          <w:lang w:val="fr-CH"/>
        </w:rPr>
        <w:t>"</w:t>
      </w:r>
      <w:r w:rsidR="009D390E" w:rsidRPr="0071782F">
        <w:rPr>
          <w:lang w:val="fr-CH"/>
        </w:rPr>
        <w:t>, lancé quelques</w:t>
      </w:r>
      <w:r w:rsidR="00BF435F" w:rsidRPr="0071782F">
        <w:rPr>
          <w:lang w:val="fr-CH"/>
        </w:rPr>
        <w:t xml:space="preserve"> </w:t>
      </w:r>
      <w:r w:rsidR="001F3F05" w:rsidRPr="0071782F">
        <w:rPr>
          <w:lang w:val="fr-CH"/>
        </w:rPr>
        <w:t>mois</w:t>
      </w:r>
      <w:r w:rsidR="009D390E" w:rsidRPr="0071782F">
        <w:rPr>
          <w:lang w:val="fr-CH"/>
        </w:rPr>
        <w:t xml:space="preserve"> seulement avant la prise de fonctions du neuvième gouvernement, couvre actuellement plus de </w:t>
      </w:r>
      <w:r w:rsidRPr="0071782F">
        <w:rPr>
          <w:lang w:val="fr-CH"/>
        </w:rPr>
        <w:t>25</w:t>
      </w:r>
      <w:r w:rsidR="00097CDB" w:rsidRPr="0071782F">
        <w:rPr>
          <w:lang w:val="fr-CH"/>
        </w:rPr>
        <w:t> millions</w:t>
      </w:r>
      <w:r w:rsidRPr="0071782F">
        <w:rPr>
          <w:lang w:val="fr-CH"/>
        </w:rPr>
        <w:t xml:space="preserve"> </w:t>
      </w:r>
      <w:r w:rsidR="00D82C96" w:rsidRPr="0071782F">
        <w:rPr>
          <w:lang w:val="fr-CH"/>
        </w:rPr>
        <w:t>de personnes</w:t>
      </w:r>
      <w:r w:rsidR="009D390E" w:rsidRPr="0071782F">
        <w:rPr>
          <w:lang w:val="fr-CH"/>
        </w:rPr>
        <w:t xml:space="preserve"> vivant dans des localités de moins de 20 000</w:t>
      </w:r>
      <w:r w:rsidR="00BF435F" w:rsidRPr="0071782F">
        <w:rPr>
          <w:lang w:val="fr-CH"/>
        </w:rPr>
        <w:t> habitants</w:t>
      </w:r>
      <w:r w:rsidR="009D390E" w:rsidRPr="0071782F">
        <w:rPr>
          <w:lang w:val="fr-CH"/>
        </w:rPr>
        <w:t xml:space="preserve"> des zones </w:t>
      </w:r>
      <w:r w:rsidRPr="0071782F">
        <w:rPr>
          <w:lang w:val="fr-CH"/>
        </w:rPr>
        <w:t>rural</w:t>
      </w:r>
      <w:r w:rsidR="009D390E" w:rsidRPr="0071782F">
        <w:rPr>
          <w:lang w:val="fr-CH"/>
        </w:rPr>
        <w:t>es</w:t>
      </w:r>
      <w:r w:rsidRPr="0071782F">
        <w:rPr>
          <w:lang w:val="fr-CH"/>
        </w:rPr>
        <w:t xml:space="preserve"> </w:t>
      </w:r>
      <w:r w:rsidR="009D390E" w:rsidRPr="0071782F">
        <w:rPr>
          <w:lang w:val="fr-CH"/>
        </w:rPr>
        <w:t>et</w:t>
      </w:r>
      <w:r w:rsidRPr="0071782F">
        <w:rPr>
          <w:lang w:val="fr-CH"/>
        </w:rPr>
        <w:t xml:space="preserve"> urba</w:t>
      </w:r>
      <w:r w:rsidR="009D390E" w:rsidRPr="0071782F">
        <w:rPr>
          <w:lang w:val="fr-CH"/>
        </w:rPr>
        <w:t>ines</w:t>
      </w:r>
      <w:r w:rsidRPr="0071782F">
        <w:rPr>
          <w:lang w:val="fr-CH"/>
        </w:rPr>
        <w:t xml:space="preserve">. </w:t>
      </w:r>
      <w:r w:rsidR="009D390E" w:rsidRPr="0071782F">
        <w:rPr>
          <w:lang w:val="fr-CH"/>
        </w:rPr>
        <w:t>De surcroît, on s’apprête à étendre ce plan aux villes de plus de 20 000</w:t>
      </w:r>
      <w:r w:rsidR="00BF435F" w:rsidRPr="0071782F">
        <w:rPr>
          <w:lang w:val="fr-CH"/>
        </w:rPr>
        <w:t> habitants</w:t>
      </w:r>
      <w:r w:rsidR="009D390E" w:rsidRPr="0071782F">
        <w:rPr>
          <w:lang w:val="fr-CH"/>
        </w:rPr>
        <w:t>.</w:t>
      </w:r>
    </w:p>
    <w:p w:rsidR="008A7415" w:rsidRPr="0071782F" w:rsidRDefault="008A7415" w:rsidP="00831D34">
      <w:pPr>
        <w:pStyle w:val="SingleTxtG"/>
        <w:ind w:left="1701"/>
        <w:rPr>
          <w:lang w:val="fr-CH"/>
        </w:rPr>
      </w:pPr>
      <w:r w:rsidRPr="0071782F">
        <w:rPr>
          <w:lang w:val="fr-CH"/>
        </w:rPr>
        <w:t>260.3.</w:t>
      </w:r>
      <w:r w:rsidRPr="0071782F">
        <w:rPr>
          <w:lang w:val="fr-CH"/>
        </w:rPr>
        <w:tab/>
      </w:r>
      <w:r w:rsidR="00F00AB1" w:rsidRPr="0071782F">
        <w:rPr>
          <w:lang w:val="fr-CH"/>
        </w:rPr>
        <w:t xml:space="preserve">Le nombre de médecins et de sages-femmes participant à ce plan a été multiplié par 4,4 et 24, respectivement, par rapport à 2005; dans les dernières années du plan, on a ainsi compté </w:t>
      </w:r>
      <w:r w:rsidRPr="0071782F">
        <w:rPr>
          <w:lang w:val="fr-CH"/>
        </w:rPr>
        <w:t>5</w:t>
      </w:r>
      <w:r w:rsidR="00BF435F" w:rsidRPr="0071782F">
        <w:rPr>
          <w:lang w:val="fr-CH"/>
        </w:rPr>
        <w:t> </w:t>
      </w:r>
      <w:r w:rsidRPr="0071782F">
        <w:rPr>
          <w:lang w:val="fr-CH"/>
        </w:rPr>
        <w:t>922</w:t>
      </w:r>
      <w:r w:rsidR="00B00574">
        <w:rPr>
          <w:lang w:val="fr-CH"/>
        </w:rPr>
        <w:t> </w:t>
      </w:r>
      <w:r w:rsidR="00F00AB1" w:rsidRPr="0071782F">
        <w:rPr>
          <w:lang w:val="fr-CH"/>
        </w:rPr>
        <w:t xml:space="preserve">médecins et </w:t>
      </w:r>
      <w:r w:rsidRPr="0071782F">
        <w:rPr>
          <w:lang w:val="fr-CH"/>
        </w:rPr>
        <w:t>4</w:t>
      </w:r>
      <w:r w:rsidR="00BF435F" w:rsidRPr="0071782F">
        <w:rPr>
          <w:lang w:val="fr-CH"/>
        </w:rPr>
        <w:t> </w:t>
      </w:r>
      <w:r w:rsidRPr="0071782F">
        <w:rPr>
          <w:lang w:val="fr-CH"/>
        </w:rPr>
        <w:t>823</w:t>
      </w:r>
      <w:r w:rsidR="00BF435F" w:rsidRPr="0071782F">
        <w:rPr>
          <w:lang w:val="fr-CH"/>
        </w:rPr>
        <w:t> </w:t>
      </w:r>
      <w:r w:rsidR="00F00AB1" w:rsidRPr="0071782F">
        <w:rPr>
          <w:lang w:val="fr-CH"/>
        </w:rPr>
        <w:t>sages-femmes participants</w:t>
      </w:r>
      <w:r w:rsidRPr="0071782F">
        <w:rPr>
          <w:lang w:val="fr-CH"/>
        </w:rPr>
        <w:t xml:space="preserve">. </w:t>
      </w:r>
      <w:r w:rsidR="00F00AB1" w:rsidRPr="0071782F">
        <w:rPr>
          <w:lang w:val="fr-CH"/>
        </w:rPr>
        <w:t xml:space="preserve">Par ailleurs, le </w:t>
      </w:r>
      <w:r w:rsidR="003B48A4" w:rsidRPr="0071782F">
        <w:rPr>
          <w:lang w:val="fr-CH"/>
        </w:rPr>
        <w:t>nombre</w:t>
      </w:r>
      <w:r w:rsidRPr="0071782F">
        <w:rPr>
          <w:lang w:val="fr-CH"/>
        </w:rPr>
        <w:t xml:space="preserve"> </w:t>
      </w:r>
      <w:r w:rsidR="00F00AB1" w:rsidRPr="0071782F">
        <w:rPr>
          <w:lang w:val="fr-CH"/>
        </w:rPr>
        <w:t xml:space="preserve">de produits pharmaceutiques utilisés dans les centres de soins a été multiplié par </w:t>
      </w:r>
      <w:r w:rsidRPr="0071782F">
        <w:rPr>
          <w:lang w:val="fr-CH"/>
        </w:rPr>
        <w:t>4</w:t>
      </w:r>
      <w:r w:rsidR="00F00AB1" w:rsidRPr="0071782F">
        <w:rPr>
          <w:lang w:val="fr-CH"/>
        </w:rPr>
        <w:t>,</w:t>
      </w:r>
      <w:r w:rsidRPr="0071782F">
        <w:rPr>
          <w:lang w:val="fr-CH"/>
        </w:rPr>
        <w:t>5</w:t>
      </w:r>
      <w:r w:rsidR="00F00AB1" w:rsidRPr="0071782F">
        <w:rPr>
          <w:lang w:val="fr-CH"/>
        </w:rPr>
        <w:t>,</w:t>
      </w:r>
      <w:r w:rsidRPr="0071782F">
        <w:rPr>
          <w:lang w:val="fr-CH"/>
        </w:rPr>
        <w:t xml:space="preserve"> </w:t>
      </w:r>
      <w:r w:rsidR="00F00AB1" w:rsidRPr="0071782F">
        <w:rPr>
          <w:lang w:val="fr-CH"/>
        </w:rPr>
        <w:t xml:space="preserve">pour atteindre le chiffre de </w:t>
      </w:r>
      <w:r w:rsidRPr="0071782F">
        <w:rPr>
          <w:lang w:val="fr-CH"/>
        </w:rPr>
        <w:t>270.</w:t>
      </w:r>
    </w:p>
    <w:p w:rsidR="008A7415" w:rsidRPr="0071782F" w:rsidRDefault="008A7415" w:rsidP="00831D34">
      <w:pPr>
        <w:pStyle w:val="SingleTxtG"/>
        <w:ind w:left="1701"/>
        <w:rPr>
          <w:lang w:val="fr-CH"/>
        </w:rPr>
      </w:pPr>
      <w:r w:rsidRPr="0071782F">
        <w:rPr>
          <w:lang w:val="fr-CH"/>
        </w:rPr>
        <w:t>260.4.</w:t>
      </w:r>
      <w:r w:rsidRPr="0071782F">
        <w:rPr>
          <w:lang w:val="fr-CH"/>
        </w:rPr>
        <w:tab/>
      </w:r>
      <w:r w:rsidR="00595617" w:rsidRPr="0071782F">
        <w:rPr>
          <w:lang w:val="fr-CH"/>
        </w:rPr>
        <w:t>Les indicateurs de santé se sont considérablement améliorés</w:t>
      </w:r>
      <w:r w:rsidR="008F7D33" w:rsidRPr="0071782F">
        <w:rPr>
          <w:lang w:val="fr-CH"/>
        </w:rPr>
        <w:t>:</w:t>
      </w:r>
      <w:r w:rsidR="00595617" w:rsidRPr="0071782F">
        <w:rPr>
          <w:lang w:val="fr-CH"/>
        </w:rPr>
        <w:t xml:space="preserve"> le taux de mortalité infantile a été ramené de </w:t>
      </w:r>
      <w:r w:rsidRPr="0071782F">
        <w:rPr>
          <w:lang w:val="fr-CH"/>
        </w:rPr>
        <w:t>14</w:t>
      </w:r>
      <w:r w:rsidR="00595617" w:rsidRPr="0071782F">
        <w:rPr>
          <w:lang w:val="fr-CH"/>
        </w:rPr>
        <w:t>,</w:t>
      </w:r>
      <w:r w:rsidRPr="0071782F">
        <w:rPr>
          <w:lang w:val="fr-CH"/>
        </w:rPr>
        <w:t>46 p</w:t>
      </w:r>
      <w:r w:rsidR="00595617" w:rsidRPr="0071782F">
        <w:rPr>
          <w:lang w:val="fr-CH"/>
        </w:rPr>
        <w:t>our</w:t>
      </w:r>
      <w:r w:rsidRPr="0071782F">
        <w:rPr>
          <w:lang w:val="fr-CH"/>
        </w:rPr>
        <w:t xml:space="preserve"> 100</w:t>
      </w:r>
      <w:r w:rsidR="00BF435F" w:rsidRPr="0071782F">
        <w:rPr>
          <w:lang w:val="fr-CH"/>
        </w:rPr>
        <w:t> </w:t>
      </w:r>
      <w:r w:rsidRPr="0071782F">
        <w:rPr>
          <w:lang w:val="fr-CH"/>
        </w:rPr>
        <w:t>000</w:t>
      </w:r>
      <w:r w:rsidR="00BF435F" w:rsidRPr="0071782F">
        <w:rPr>
          <w:lang w:val="fr-CH"/>
        </w:rPr>
        <w:t> </w:t>
      </w:r>
      <w:r w:rsidR="00595617" w:rsidRPr="0071782F">
        <w:rPr>
          <w:lang w:val="fr-CH"/>
        </w:rPr>
        <w:t xml:space="preserve">naissances vivantes en </w:t>
      </w:r>
      <w:r w:rsidRPr="0071782F">
        <w:rPr>
          <w:lang w:val="fr-CH"/>
        </w:rPr>
        <w:t xml:space="preserve">2005 </w:t>
      </w:r>
      <w:r w:rsidR="00595617" w:rsidRPr="0071782F">
        <w:rPr>
          <w:lang w:val="fr-CH"/>
        </w:rPr>
        <w:t xml:space="preserve">à moins de </w:t>
      </w:r>
      <w:r w:rsidRPr="0071782F">
        <w:rPr>
          <w:lang w:val="fr-CH"/>
        </w:rPr>
        <w:t>12 p</w:t>
      </w:r>
      <w:r w:rsidR="00595617" w:rsidRPr="0071782F">
        <w:rPr>
          <w:lang w:val="fr-CH"/>
        </w:rPr>
        <w:t>ou</w:t>
      </w:r>
      <w:r w:rsidRPr="0071782F">
        <w:rPr>
          <w:lang w:val="fr-CH"/>
        </w:rPr>
        <w:t>r 100</w:t>
      </w:r>
      <w:r w:rsidR="00BF435F" w:rsidRPr="0071782F">
        <w:rPr>
          <w:lang w:val="fr-CH"/>
        </w:rPr>
        <w:t> </w:t>
      </w:r>
      <w:r w:rsidRPr="0071782F">
        <w:rPr>
          <w:lang w:val="fr-CH"/>
        </w:rPr>
        <w:t>000</w:t>
      </w:r>
      <w:r w:rsidR="00BF435F" w:rsidRPr="0071782F">
        <w:rPr>
          <w:lang w:val="fr-CH"/>
        </w:rPr>
        <w:t> </w:t>
      </w:r>
      <w:r w:rsidR="00595617" w:rsidRPr="0071782F">
        <w:rPr>
          <w:lang w:val="fr-CH"/>
        </w:rPr>
        <w:t xml:space="preserve">naissances vivantes en </w:t>
      </w:r>
      <w:r w:rsidRPr="0071782F">
        <w:rPr>
          <w:lang w:val="fr-CH"/>
        </w:rPr>
        <w:t>2009.</w:t>
      </w:r>
    </w:p>
    <w:p w:rsidR="008A7415" w:rsidRPr="0071782F" w:rsidRDefault="008A7415" w:rsidP="00831D34">
      <w:pPr>
        <w:pStyle w:val="SingleTxtG"/>
        <w:ind w:left="1701"/>
        <w:rPr>
          <w:lang w:val="fr-CH"/>
        </w:rPr>
      </w:pPr>
      <w:r w:rsidRPr="0071782F">
        <w:rPr>
          <w:lang w:val="fr-CH"/>
        </w:rPr>
        <w:t>260.5.</w:t>
      </w:r>
      <w:r w:rsidRPr="0071782F">
        <w:rPr>
          <w:lang w:val="fr-CH"/>
        </w:rPr>
        <w:tab/>
      </w:r>
      <w:r w:rsidR="00595617" w:rsidRPr="0071782F">
        <w:rPr>
          <w:lang w:val="fr-CH"/>
        </w:rPr>
        <w:t>L’</w:t>
      </w:r>
      <w:r w:rsidRPr="0071782F">
        <w:rPr>
          <w:lang w:val="fr-CH"/>
        </w:rPr>
        <w:t>acc</w:t>
      </w:r>
      <w:r w:rsidR="00595617" w:rsidRPr="0071782F">
        <w:rPr>
          <w:lang w:val="fr-CH"/>
        </w:rPr>
        <w:t>è</w:t>
      </w:r>
      <w:r w:rsidRPr="0071782F">
        <w:rPr>
          <w:lang w:val="fr-CH"/>
        </w:rPr>
        <w:t xml:space="preserve">s </w:t>
      </w:r>
      <w:r w:rsidR="00595617" w:rsidRPr="0071782F">
        <w:rPr>
          <w:lang w:val="fr-CH"/>
        </w:rPr>
        <w:t xml:space="preserve">de la population </w:t>
      </w:r>
      <w:r w:rsidRPr="0071782F">
        <w:rPr>
          <w:lang w:val="fr-CH"/>
        </w:rPr>
        <w:t>urba</w:t>
      </w:r>
      <w:r w:rsidR="00595617" w:rsidRPr="0071782F">
        <w:rPr>
          <w:lang w:val="fr-CH"/>
        </w:rPr>
        <w:t>i</w:t>
      </w:r>
      <w:r w:rsidRPr="0071782F">
        <w:rPr>
          <w:lang w:val="fr-CH"/>
        </w:rPr>
        <w:t>n</w:t>
      </w:r>
      <w:r w:rsidR="00595617" w:rsidRPr="0071782F">
        <w:rPr>
          <w:lang w:val="fr-CH"/>
        </w:rPr>
        <w:t>e</w:t>
      </w:r>
      <w:r w:rsidRPr="0071782F">
        <w:rPr>
          <w:lang w:val="fr-CH"/>
        </w:rPr>
        <w:t xml:space="preserve"> </w:t>
      </w:r>
      <w:r w:rsidR="00595617" w:rsidRPr="0071782F">
        <w:rPr>
          <w:lang w:val="fr-CH"/>
        </w:rPr>
        <w:t>et</w:t>
      </w:r>
      <w:r w:rsidRPr="0071782F">
        <w:rPr>
          <w:lang w:val="fr-CH"/>
        </w:rPr>
        <w:t xml:space="preserve"> rural</w:t>
      </w:r>
      <w:r w:rsidR="00595617" w:rsidRPr="0071782F">
        <w:rPr>
          <w:lang w:val="fr-CH"/>
        </w:rPr>
        <w:t>e aux services de soins de santé de base est passé de</w:t>
      </w:r>
      <w:r w:rsidR="00D36718">
        <w:rPr>
          <w:lang w:val="fr-CH"/>
        </w:rPr>
        <w:t xml:space="preserve"> </w:t>
      </w:r>
      <w:r w:rsidRPr="0071782F">
        <w:rPr>
          <w:lang w:val="fr-CH"/>
        </w:rPr>
        <w:t>92</w:t>
      </w:r>
      <w:r w:rsidR="007E5125" w:rsidRPr="0071782F">
        <w:rPr>
          <w:lang w:val="fr-CH"/>
        </w:rPr>
        <w:t>%</w:t>
      </w:r>
      <w:r w:rsidRPr="0071782F">
        <w:rPr>
          <w:lang w:val="fr-CH"/>
        </w:rPr>
        <w:t xml:space="preserve"> </w:t>
      </w:r>
      <w:r w:rsidR="00595617" w:rsidRPr="0071782F">
        <w:rPr>
          <w:lang w:val="fr-CH"/>
        </w:rPr>
        <w:t>e</w:t>
      </w:r>
      <w:r w:rsidRPr="0071782F">
        <w:rPr>
          <w:lang w:val="fr-CH"/>
        </w:rPr>
        <w:t xml:space="preserve">n 2005 </w:t>
      </w:r>
      <w:r w:rsidR="00595617" w:rsidRPr="0071782F">
        <w:rPr>
          <w:lang w:val="fr-CH"/>
        </w:rPr>
        <w:t xml:space="preserve">à plus de </w:t>
      </w:r>
      <w:r w:rsidRPr="0071782F">
        <w:rPr>
          <w:lang w:val="fr-CH"/>
        </w:rPr>
        <w:t>95</w:t>
      </w:r>
      <w:r w:rsidR="007E5125" w:rsidRPr="0071782F">
        <w:rPr>
          <w:lang w:val="fr-CH"/>
        </w:rPr>
        <w:t>%</w:t>
      </w:r>
      <w:r w:rsidRPr="0071782F">
        <w:rPr>
          <w:lang w:val="fr-CH"/>
        </w:rPr>
        <w:t xml:space="preserve"> </w:t>
      </w:r>
      <w:r w:rsidR="00595617" w:rsidRPr="0071782F">
        <w:rPr>
          <w:lang w:val="fr-CH"/>
        </w:rPr>
        <w:t>e</w:t>
      </w:r>
      <w:r w:rsidRPr="0071782F">
        <w:rPr>
          <w:lang w:val="fr-CH"/>
        </w:rPr>
        <w:t>n 2009.</w:t>
      </w:r>
    </w:p>
    <w:p w:rsidR="008A7415" w:rsidRPr="0071782F" w:rsidRDefault="008A7415" w:rsidP="00831D34">
      <w:pPr>
        <w:pStyle w:val="SingleTxtG"/>
        <w:ind w:left="1701"/>
        <w:rPr>
          <w:lang w:val="fr-CH"/>
        </w:rPr>
      </w:pPr>
      <w:r w:rsidRPr="0071782F">
        <w:rPr>
          <w:lang w:val="fr-CH"/>
        </w:rPr>
        <w:t>260.6.</w:t>
      </w:r>
      <w:r w:rsidRPr="0071782F">
        <w:rPr>
          <w:lang w:val="fr-CH"/>
        </w:rPr>
        <w:tab/>
      </w:r>
      <w:r w:rsidR="00595617" w:rsidRPr="0071782F">
        <w:rPr>
          <w:lang w:val="fr-CH"/>
        </w:rPr>
        <w:t xml:space="preserve">Pour contribuer à régler les problèmes de santé de la population vivant à la périphérie des villes, le </w:t>
      </w:r>
      <w:r w:rsidRPr="0071782F">
        <w:rPr>
          <w:lang w:val="fr-CH"/>
        </w:rPr>
        <w:t>Minist</w:t>
      </w:r>
      <w:r w:rsidR="00595617" w:rsidRPr="0071782F">
        <w:rPr>
          <w:lang w:val="fr-CH"/>
        </w:rPr>
        <w:t xml:space="preserve">ère de la santé et de la formation médicale a décidé d’étendre le plan des volontaires de la santé à toutes les zones urbaines. À l’heure actuelle, ce plan est appliqué dans </w:t>
      </w:r>
      <w:r w:rsidRPr="0071782F">
        <w:rPr>
          <w:lang w:val="fr-CH"/>
        </w:rPr>
        <w:t>42</w:t>
      </w:r>
      <w:r w:rsidR="00BF435F" w:rsidRPr="0071782F">
        <w:rPr>
          <w:lang w:val="fr-CH"/>
        </w:rPr>
        <w:t> </w:t>
      </w:r>
      <w:r w:rsidRPr="0071782F">
        <w:rPr>
          <w:lang w:val="fr-CH"/>
        </w:rPr>
        <w:t>universit</w:t>
      </w:r>
      <w:r w:rsidR="00595617" w:rsidRPr="0071782F">
        <w:rPr>
          <w:lang w:val="fr-CH"/>
        </w:rPr>
        <w:t>és et centres d’enseignement secondaire supérieur</w:t>
      </w:r>
      <w:r w:rsidRPr="0071782F">
        <w:rPr>
          <w:lang w:val="fr-CH"/>
        </w:rPr>
        <w:t>, 385</w:t>
      </w:r>
      <w:r w:rsidR="00BF435F" w:rsidRPr="0071782F">
        <w:rPr>
          <w:lang w:val="fr-CH"/>
        </w:rPr>
        <w:t> </w:t>
      </w:r>
      <w:r w:rsidR="00595617" w:rsidRPr="0071782F">
        <w:rPr>
          <w:lang w:val="fr-CH"/>
        </w:rPr>
        <w:t>villes</w:t>
      </w:r>
      <w:r w:rsidRPr="0071782F">
        <w:rPr>
          <w:lang w:val="fr-CH"/>
        </w:rPr>
        <w:t>, 2</w:t>
      </w:r>
      <w:r w:rsidR="00BF435F" w:rsidRPr="0071782F">
        <w:rPr>
          <w:lang w:val="fr-CH"/>
        </w:rPr>
        <w:t> </w:t>
      </w:r>
      <w:r w:rsidRPr="0071782F">
        <w:rPr>
          <w:lang w:val="fr-CH"/>
        </w:rPr>
        <w:t>830</w:t>
      </w:r>
      <w:r w:rsidR="00BF435F" w:rsidRPr="0071782F">
        <w:rPr>
          <w:lang w:val="fr-CH"/>
        </w:rPr>
        <w:t> </w:t>
      </w:r>
      <w:r w:rsidR="00595617" w:rsidRPr="0071782F">
        <w:rPr>
          <w:lang w:val="fr-CH"/>
        </w:rPr>
        <w:t>centres de santé urbains et 3</w:t>
      </w:r>
      <w:r w:rsidR="00B00574">
        <w:rPr>
          <w:lang w:val="fr-CH"/>
        </w:rPr>
        <w:t> </w:t>
      </w:r>
      <w:r w:rsidRPr="0071782F">
        <w:rPr>
          <w:lang w:val="fr-CH"/>
        </w:rPr>
        <w:t xml:space="preserve">705 villages. </w:t>
      </w:r>
      <w:r w:rsidR="00595617" w:rsidRPr="0071782F">
        <w:rPr>
          <w:lang w:val="fr-CH"/>
        </w:rPr>
        <w:t>Plus de 126</w:t>
      </w:r>
      <w:r w:rsidR="00BF435F" w:rsidRPr="0071782F">
        <w:rPr>
          <w:lang w:val="fr-CH"/>
        </w:rPr>
        <w:t> </w:t>
      </w:r>
      <w:r w:rsidRPr="0071782F">
        <w:rPr>
          <w:lang w:val="fr-CH"/>
        </w:rPr>
        <w:t xml:space="preserve">000 </w:t>
      </w:r>
      <w:r w:rsidR="00A62149" w:rsidRPr="0071782F">
        <w:rPr>
          <w:lang w:val="fr-CH"/>
        </w:rPr>
        <w:t>"</w:t>
      </w:r>
      <w:r w:rsidR="00595617" w:rsidRPr="0071782F">
        <w:rPr>
          <w:lang w:val="fr-CH"/>
        </w:rPr>
        <w:t>volontaires de la santé</w:t>
      </w:r>
      <w:r w:rsidR="00A62149" w:rsidRPr="0071782F">
        <w:rPr>
          <w:lang w:val="fr-CH"/>
        </w:rPr>
        <w:t>"</w:t>
      </w:r>
      <w:r w:rsidRPr="0071782F">
        <w:rPr>
          <w:lang w:val="fr-CH"/>
        </w:rPr>
        <w:t xml:space="preserve"> </w:t>
      </w:r>
      <w:r w:rsidR="00595617" w:rsidRPr="0071782F">
        <w:rPr>
          <w:lang w:val="fr-CH"/>
        </w:rPr>
        <w:t>participent à ce plan, qui couvre quelque quatre</w:t>
      </w:r>
      <w:r w:rsidR="00B00574">
        <w:rPr>
          <w:lang w:val="fr-CH"/>
        </w:rPr>
        <w:t xml:space="preserve"> </w:t>
      </w:r>
      <w:r w:rsidR="00097CDB" w:rsidRPr="0071782F">
        <w:rPr>
          <w:lang w:val="fr-CH"/>
        </w:rPr>
        <w:t>millions</w:t>
      </w:r>
      <w:r w:rsidRPr="0071782F">
        <w:rPr>
          <w:lang w:val="fr-CH"/>
        </w:rPr>
        <w:t xml:space="preserve"> </w:t>
      </w:r>
      <w:r w:rsidR="0092511D" w:rsidRPr="0071782F">
        <w:rPr>
          <w:lang w:val="fr-CH"/>
        </w:rPr>
        <w:t>de famille</w:t>
      </w:r>
      <w:r w:rsidR="00595617" w:rsidRPr="0071782F">
        <w:rPr>
          <w:lang w:val="fr-CH"/>
        </w:rPr>
        <w:t>s</w:t>
      </w:r>
      <w:r w:rsidRPr="0071782F">
        <w:rPr>
          <w:lang w:val="fr-CH"/>
        </w:rPr>
        <w:t xml:space="preserve">. </w:t>
      </w:r>
      <w:r w:rsidR="00595617" w:rsidRPr="0071782F">
        <w:rPr>
          <w:lang w:val="fr-CH"/>
        </w:rPr>
        <w:t xml:space="preserve">Par ailleurs, quelque </w:t>
      </w:r>
      <w:r w:rsidRPr="0071782F">
        <w:rPr>
          <w:lang w:val="fr-CH"/>
        </w:rPr>
        <w:t>550</w:t>
      </w:r>
      <w:r w:rsidR="00BF435F" w:rsidRPr="0071782F">
        <w:rPr>
          <w:lang w:val="fr-CH"/>
        </w:rPr>
        <w:t> </w:t>
      </w:r>
      <w:r w:rsidR="00595617" w:rsidRPr="0071782F">
        <w:rPr>
          <w:lang w:val="fr-CH"/>
        </w:rPr>
        <w:t xml:space="preserve">représentants des communautés nomades et </w:t>
      </w:r>
      <w:r w:rsidRPr="0071782F">
        <w:rPr>
          <w:lang w:val="fr-CH"/>
        </w:rPr>
        <w:t>20</w:t>
      </w:r>
      <w:r w:rsidR="00BF435F" w:rsidRPr="0071782F">
        <w:rPr>
          <w:lang w:val="fr-CH"/>
        </w:rPr>
        <w:t> </w:t>
      </w:r>
      <w:r w:rsidRPr="0071782F">
        <w:rPr>
          <w:lang w:val="fr-CH"/>
        </w:rPr>
        <w:t>000</w:t>
      </w:r>
      <w:r w:rsidR="00BF435F" w:rsidRPr="0071782F">
        <w:rPr>
          <w:lang w:val="fr-CH"/>
        </w:rPr>
        <w:t> </w:t>
      </w:r>
      <w:r w:rsidR="00595617" w:rsidRPr="0071782F">
        <w:rPr>
          <w:lang w:val="fr-CH"/>
        </w:rPr>
        <w:t>représentants des communautés rurales y remplissent des fonctions de liaison</w:t>
      </w:r>
      <w:r w:rsidRPr="0071782F">
        <w:rPr>
          <w:lang w:val="fr-CH"/>
        </w:rPr>
        <w:t>.</w:t>
      </w:r>
    </w:p>
    <w:p w:rsidR="008A7415" w:rsidRPr="0071782F" w:rsidRDefault="008A7415" w:rsidP="00204410">
      <w:pPr>
        <w:pStyle w:val="H1G"/>
        <w:rPr>
          <w:lang w:val="fr-CH"/>
        </w:rPr>
      </w:pPr>
      <w:r w:rsidRPr="0071782F">
        <w:rPr>
          <w:lang w:val="fr-CH"/>
        </w:rPr>
        <w:tab/>
      </w:r>
      <w:r w:rsidRPr="0071782F">
        <w:rPr>
          <w:lang w:val="fr-CH"/>
        </w:rPr>
        <w:tab/>
      </w:r>
      <w:r w:rsidR="00595617" w:rsidRPr="0071782F">
        <w:rPr>
          <w:lang w:val="fr-CH"/>
        </w:rPr>
        <w:t xml:space="preserve">Action de prévention et de lutte contre les maladies contagieuses </w:t>
      </w:r>
    </w:p>
    <w:p w:rsidR="008A7415" w:rsidRPr="0071782F" w:rsidRDefault="008A7415" w:rsidP="00204410">
      <w:pPr>
        <w:pStyle w:val="SingleTxtG"/>
        <w:rPr>
          <w:lang w:val="fr-CH"/>
        </w:rPr>
      </w:pPr>
      <w:r w:rsidRPr="0071782F">
        <w:rPr>
          <w:lang w:val="fr-CH"/>
        </w:rPr>
        <w:t>261.</w:t>
      </w:r>
      <w:r w:rsidRPr="0071782F">
        <w:rPr>
          <w:lang w:val="fr-CH"/>
        </w:rPr>
        <w:tab/>
      </w:r>
      <w:r w:rsidR="00595617" w:rsidRPr="0071782F">
        <w:rPr>
          <w:lang w:val="fr-CH"/>
        </w:rPr>
        <w:t>Cette action prend notamment les formes suivantes</w:t>
      </w:r>
      <w:r w:rsidR="008F7D33" w:rsidRPr="0071782F">
        <w:rPr>
          <w:lang w:val="fr-CH"/>
        </w:rPr>
        <w:t>:</w:t>
      </w:r>
    </w:p>
    <w:p w:rsidR="008A7415" w:rsidRPr="0071782F" w:rsidRDefault="008A7415" w:rsidP="00CD0516">
      <w:pPr>
        <w:pStyle w:val="SingleTxtG"/>
        <w:ind w:left="1701"/>
        <w:rPr>
          <w:spacing w:val="-2"/>
          <w:lang w:val="fr-CH"/>
        </w:rPr>
      </w:pPr>
      <w:r w:rsidRPr="0071782F">
        <w:rPr>
          <w:spacing w:val="-2"/>
          <w:lang w:val="fr-CH"/>
        </w:rPr>
        <w:t>261.1.</w:t>
      </w:r>
      <w:r w:rsidRPr="0071782F">
        <w:rPr>
          <w:spacing w:val="-2"/>
          <w:lang w:val="fr-CH"/>
        </w:rPr>
        <w:tab/>
      </w:r>
      <w:r w:rsidR="00964611" w:rsidRPr="0071782F">
        <w:rPr>
          <w:spacing w:val="-2"/>
          <w:lang w:val="fr-CH"/>
        </w:rPr>
        <w:t>Dans le secteur de la santé, des mesures efficaces ont été prises pour combattre et éradiquer les maladies contagieuses et non contagieuses, ce qui a débouché sur des réalisations importantes, comme la certification OMS de l’élimination du trachome</w:t>
      </w:r>
      <w:r w:rsidRPr="0071782F">
        <w:rPr>
          <w:spacing w:val="-2"/>
          <w:lang w:val="fr-CH"/>
        </w:rPr>
        <w:t xml:space="preserve">. </w:t>
      </w:r>
      <w:r w:rsidR="00964611" w:rsidRPr="0071782F">
        <w:rPr>
          <w:spacing w:val="-2"/>
          <w:lang w:val="fr-CH"/>
        </w:rPr>
        <w:t>Ces progrès ont permis de célébrer à l’échelon national, pour la première fois, le contrôle et l’éradication des maladies contagieuses en février 2008.</w:t>
      </w:r>
      <w:r w:rsidR="00D36718">
        <w:rPr>
          <w:spacing w:val="-2"/>
          <w:lang w:val="fr-CH"/>
        </w:rPr>
        <w:t xml:space="preserve"> </w:t>
      </w:r>
    </w:p>
    <w:p w:rsidR="008A7415" w:rsidRPr="0071782F" w:rsidRDefault="008A7415" w:rsidP="00CD0516">
      <w:pPr>
        <w:pStyle w:val="SingleTxtG"/>
        <w:ind w:left="1701"/>
        <w:rPr>
          <w:lang w:val="fr-CH"/>
        </w:rPr>
      </w:pPr>
      <w:r w:rsidRPr="0071782F">
        <w:rPr>
          <w:lang w:val="fr-CH"/>
        </w:rPr>
        <w:t>261.2.</w:t>
      </w:r>
      <w:r w:rsidRPr="0071782F">
        <w:rPr>
          <w:lang w:val="fr-CH"/>
        </w:rPr>
        <w:tab/>
      </w:r>
      <w:r w:rsidR="00964611" w:rsidRPr="0071782F">
        <w:rPr>
          <w:lang w:val="fr-CH"/>
        </w:rPr>
        <w:t>E</w:t>
      </w:r>
      <w:r w:rsidRPr="0071782F">
        <w:rPr>
          <w:lang w:val="fr-CH"/>
        </w:rPr>
        <w:t xml:space="preserve">n 2005, </w:t>
      </w:r>
      <w:r w:rsidR="00964611" w:rsidRPr="0071782F">
        <w:rPr>
          <w:lang w:val="fr-CH"/>
        </w:rPr>
        <w:t xml:space="preserve">on dépistait </w:t>
      </w:r>
      <w:r w:rsidRPr="0071782F">
        <w:rPr>
          <w:lang w:val="fr-CH"/>
        </w:rPr>
        <w:t>70</w:t>
      </w:r>
      <w:r w:rsidR="007E5125" w:rsidRPr="0071782F">
        <w:rPr>
          <w:lang w:val="fr-CH"/>
        </w:rPr>
        <w:t>%</w:t>
      </w:r>
      <w:r w:rsidRPr="0071782F">
        <w:rPr>
          <w:lang w:val="fr-CH"/>
        </w:rPr>
        <w:t xml:space="preserve"> </w:t>
      </w:r>
      <w:r w:rsidR="00964611" w:rsidRPr="0071782F">
        <w:rPr>
          <w:lang w:val="fr-CH"/>
        </w:rPr>
        <w:t>des cas de paludisme dans les 48</w:t>
      </w:r>
      <w:r w:rsidR="00BF435F" w:rsidRPr="0071782F">
        <w:rPr>
          <w:lang w:val="fr-CH"/>
        </w:rPr>
        <w:t> heures</w:t>
      </w:r>
      <w:r w:rsidR="00964611" w:rsidRPr="0071782F">
        <w:rPr>
          <w:lang w:val="fr-CH"/>
        </w:rPr>
        <w:t xml:space="preserve"> qui suivaient l’apparition des signes cliniques de la maladie. Ce taux est actuellement de 80</w:t>
      </w:r>
      <w:r w:rsidR="007E5125" w:rsidRPr="0071782F">
        <w:rPr>
          <w:lang w:val="fr-CH"/>
        </w:rPr>
        <w:t>%</w:t>
      </w:r>
      <w:r w:rsidR="00964611" w:rsidRPr="0071782F">
        <w:rPr>
          <w:lang w:val="fr-CH"/>
        </w:rPr>
        <w:t xml:space="preserve">. De surcroît, le traitement de </w:t>
      </w:r>
      <w:r w:rsidRPr="0071782F">
        <w:rPr>
          <w:lang w:val="fr-CH"/>
        </w:rPr>
        <w:t>90</w:t>
      </w:r>
      <w:r w:rsidR="007E5125" w:rsidRPr="0071782F">
        <w:rPr>
          <w:lang w:val="fr-CH"/>
        </w:rPr>
        <w:t>%</w:t>
      </w:r>
      <w:r w:rsidRPr="0071782F">
        <w:rPr>
          <w:lang w:val="fr-CH"/>
        </w:rPr>
        <w:t xml:space="preserve"> </w:t>
      </w:r>
      <w:r w:rsidR="00964611" w:rsidRPr="0071782F">
        <w:rPr>
          <w:lang w:val="fr-CH"/>
        </w:rPr>
        <w:t>des patients a commencé moins de 24</w:t>
      </w:r>
      <w:r w:rsidR="00BF435F" w:rsidRPr="0071782F">
        <w:rPr>
          <w:lang w:val="fr-CH"/>
        </w:rPr>
        <w:t> heures</w:t>
      </w:r>
      <w:r w:rsidR="00964611" w:rsidRPr="0071782F">
        <w:rPr>
          <w:lang w:val="fr-CH"/>
        </w:rPr>
        <w:t xml:space="preserve"> après le dépistage de la maladie.</w:t>
      </w:r>
    </w:p>
    <w:p w:rsidR="00E5019F" w:rsidRPr="0071782F" w:rsidRDefault="00E5019F" w:rsidP="00E5019F">
      <w:pPr>
        <w:pStyle w:val="SingleTxtG"/>
        <w:ind w:left="1701"/>
        <w:rPr>
          <w:lang w:val="fr-CH"/>
        </w:rPr>
      </w:pPr>
      <w:r w:rsidRPr="0071782F">
        <w:rPr>
          <w:lang w:val="fr-CH"/>
        </w:rPr>
        <w:t>261.3.</w:t>
      </w:r>
      <w:r w:rsidRPr="0071782F">
        <w:rPr>
          <w:lang w:val="fr-CH"/>
        </w:rPr>
        <w:tab/>
      </w:r>
      <w:r w:rsidR="00964611" w:rsidRPr="0071782F">
        <w:rPr>
          <w:lang w:val="fr-CH"/>
        </w:rPr>
        <w:t>Pour prévenir le sida et lutter contre cette maladie, des efforts considérables ont été déployés, tels que l’élaboration du deuxième programme national d’action préventive et de lutte contre le VIH et le sida, la création d’organes de surveillance du sida</w:t>
      </w:r>
      <w:r w:rsidRPr="0071782F">
        <w:rPr>
          <w:lang w:val="fr-CH"/>
        </w:rPr>
        <w:t xml:space="preserve">, </w:t>
      </w:r>
      <w:r w:rsidR="00964611" w:rsidRPr="0071782F">
        <w:rPr>
          <w:lang w:val="fr-CH"/>
        </w:rPr>
        <w:t>la multiplication des centres fournissant des services de prévention, de soins et de traitement contre le VIH et le sida, et le lancement de campagnes de sensibilisation de la population.</w:t>
      </w:r>
    </w:p>
    <w:p w:rsidR="00E5019F" w:rsidRPr="0071782F" w:rsidRDefault="00E5019F" w:rsidP="00E5019F">
      <w:pPr>
        <w:pStyle w:val="SingleTxtG"/>
        <w:ind w:left="1701"/>
        <w:rPr>
          <w:lang w:val="fr-CH"/>
        </w:rPr>
      </w:pPr>
      <w:r w:rsidRPr="0071782F">
        <w:rPr>
          <w:lang w:val="fr-CH"/>
        </w:rPr>
        <w:t>261.4.</w:t>
      </w:r>
      <w:r w:rsidRPr="0071782F">
        <w:rPr>
          <w:lang w:val="fr-CH"/>
        </w:rPr>
        <w:tab/>
      </w:r>
      <w:r w:rsidR="0025306C" w:rsidRPr="0071782F">
        <w:rPr>
          <w:lang w:val="fr-CH"/>
        </w:rPr>
        <w:t>Le renforcement des mesures de vaccination a permis d’atteindre l’objectif prévu d’un taux de couverture vaccinale (tous vaccins confondus) de 98</w:t>
      </w:r>
      <w:r w:rsidR="007E5125" w:rsidRPr="0071782F">
        <w:rPr>
          <w:lang w:val="fr-CH"/>
        </w:rPr>
        <w:t>%</w:t>
      </w:r>
      <w:r w:rsidR="0025306C" w:rsidRPr="0071782F">
        <w:rPr>
          <w:lang w:val="fr-CH"/>
        </w:rPr>
        <w:t xml:space="preserve"> de la population.</w:t>
      </w:r>
      <w:r w:rsidRPr="0071782F">
        <w:rPr>
          <w:lang w:val="fr-CH"/>
        </w:rPr>
        <w:t xml:space="preserve"> </w:t>
      </w:r>
      <w:r w:rsidR="0025306C" w:rsidRPr="0071782F">
        <w:rPr>
          <w:lang w:val="fr-CH"/>
        </w:rPr>
        <w:t xml:space="preserve">En </w:t>
      </w:r>
      <w:r w:rsidRPr="0071782F">
        <w:rPr>
          <w:lang w:val="fr-CH"/>
        </w:rPr>
        <w:t xml:space="preserve">2006, </w:t>
      </w:r>
      <w:r w:rsidR="0025306C" w:rsidRPr="0071782F">
        <w:rPr>
          <w:lang w:val="fr-CH"/>
        </w:rPr>
        <w:t xml:space="preserve">on a lancé une campagne de </w:t>
      </w:r>
      <w:r w:rsidRPr="0071782F">
        <w:rPr>
          <w:lang w:val="fr-CH"/>
        </w:rPr>
        <w:t>mobili</w:t>
      </w:r>
      <w:r w:rsidR="0025306C" w:rsidRPr="0071782F">
        <w:rPr>
          <w:lang w:val="fr-CH"/>
        </w:rPr>
        <w:t>s</w:t>
      </w:r>
      <w:r w:rsidRPr="0071782F">
        <w:rPr>
          <w:lang w:val="fr-CH"/>
        </w:rPr>
        <w:t xml:space="preserve">ation </w:t>
      </w:r>
      <w:r w:rsidR="0025306C" w:rsidRPr="0071782F">
        <w:rPr>
          <w:lang w:val="fr-CH"/>
        </w:rPr>
        <w:t xml:space="preserve">en vue de la vaccination </w:t>
      </w:r>
      <w:r w:rsidR="007F37CE" w:rsidRPr="0071782F">
        <w:rPr>
          <w:lang w:val="fr-CH"/>
        </w:rPr>
        <w:t>des personnes</w:t>
      </w:r>
      <w:r w:rsidR="0025306C" w:rsidRPr="0071782F">
        <w:rPr>
          <w:lang w:val="fr-CH"/>
        </w:rPr>
        <w:t xml:space="preserve"> âgées de 18</w:t>
      </w:r>
      <w:r w:rsidR="00D82C96" w:rsidRPr="0071782F">
        <w:rPr>
          <w:lang w:val="fr-CH"/>
        </w:rPr>
        <w:t> ans</w:t>
      </w:r>
      <w:r w:rsidR="0025306C" w:rsidRPr="0071782F">
        <w:rPr>
          <w:lang w:val="fr-CH"/>
        </w:rPr>
        <w:t xml:space="preserve"> contre l’</w:t>
      </w:r>
      <w:r w:rsidRPr="0071782F">
        <w:rPr>
          <w:lang w:val="fr-CH"/>
        </w:rPr>
        <w:t>h</w:t>
      </w:r>
      <w:r w:rsidR="0025306C" w:rsidRPr="0071782F">
        <w:rPr>
          <w:lang w:val="fr-CH"/>
        </w:rPr>
        <w:t>é</w:t>
      </w:r>
      <w:r w:rsidRPr="0071782F">
        <w:rPr>
          <w:lang w:val="fr-CH"/>
        </w:rPr>
        <w:t>patit</w:t>
      </w:r>
      <w:r w:rsidR="0025306C" w:rsidRPr="0071782F">
        <w:rPr>
          <w:lang w:val="fr-CH"/>
        </w:rPr>
        <w:t xml:space="preserve">e </w:t>
      </w:r>
      <w:r w:rsidRPr="0071782F">
        <w:rPr>
          <w:lang w:val="fr-CH"/>
        </w:rPr>
        <w:t>B</w:t>
      </w:r>
      <w:r w:rsidR="0025306C" w:rsidRPr="0071782F">
        <w:rPr>
          <w:lang w:val="fr-CH"/>
        </w:rPr>
        <w:t>; l’exécution de ce programme de vaccination a d’ores et déjà commencé</w:t>
      </w:r>
      <w:r w:rsidRPr="0071782F">
        <w:rPr>
          <w:lang w:val="fr-CH"/>
        </w:rPr>
        <w:t>.</w:t>
      </w:r>
    </w:p>
    <w:p w:rsidR="00E5019F" w:rsidRPr="0071782F" w:rsidRDefault="00E5019F" w:rsidP="000A419F">
      <w:pPr>
        <w:pStyle w:val="SingleTxtG"/>
        <w:ind w:left="1701"/>
        <w:rPr>
          <w:spacing w:val="-2"/>
          <w:lang w:val="fr-CH"/>
        </w:rPr>
      </w:pPr>
      <w:r w:rsidRPr="0071782F">
        <w:rPr>
          <w:spacing w:val="-2"/>
          <w:lang w:val="fr-CH"/>
        </w:rPr>
        <w:t>261.5.</w:t>
      </w:r>
      <w:r w:rsidRPr="0071782F">
        <w:rPr>
          <w:spacing w:val="-2"/>
          <w:lang w:val="fr-CH"/>
        </w:rPr>
        <w:tab/>
      </w:r>
      <w:r w:rsidR="00676ED4" w:rsidRPr="0071782F">
        <w:rPr>
          <w:spacing w:val="-2"/>
          <w:lang w:val="fr-CH"/>
        </w:rPr>
        <w:t>L’</w:t>
      </w:r>
      <w:r w:rsidRPr="0071782F">
        <w:rPr>
          <w:spacing w:val="-2"/>
          <w:lang w:val="fr-CH"/>
        </w:rPr>
        <w:t xml:space="preserve">incidence </w:t>
      </w:r>
      <w:r w:rsidR="00676ED4" w:rsidRPr="0071782F">
        <w:rPr>
          <w:spacing w:val="-2"/>
          <w:lang w:val="fr-CH"/>
        </w:rPr>
        <w:t>des maladies communes à l’homme et aux animaux a enregistré une diminution spectaculaire</w:t>
      </w:r>
      <w:r w:rsidR="008F7D33" w:rsidRPr="0071782F">
        <w:rPr>
          <w:spacing w:val="-2"/>
          <w:lang w:val="fr-CH"/>
        </w:rPr>
        <w:t>:</w:t>
      </w:r>
      <w:r w:rsidR="00471BCD" w:rsidRPr="0071782F">
        <w:rPr>
          <w:spacing w:val="-2"/>
          <w:lang w:val="fr-CH"/>
        </w:rPr>
        <w:t xml:space="preserve"> le </w:t>
      </w:r>
      <w:r w:rsidR="003B48A4" w:rsidRPr="0071782F">
        <w:rPr>
          <w:spacing w:val="-2"/>
          <w:lang w:val="fr-CH"/>
        </w:rPr>
        <w:t>nombre</w:t>
      </w:r>
      <w:r w:rsidRPr="0071782F">
        <w:rPr>
          <w:spacing w:val="-2"/>
          <w:lang w:val="fr-CH"/>
        </w:rPr>
        <w:t xml:space="preserve"> </w:t>
      </w:r>
      <w:r w:rsidR="00471BCD" w:rsidRPr="0071782F">
        <w:rPr>
          <w:spacing w:val="-2"/>
          <w:lang w:val="fr-CH"/>
        </w:rPr>
        <w:t>de</w:t>
      </w:r>
      <w:r w:rsidRPr="0071782F">
        <w:rPr>
          <w:spacing w:val="-2"/>
          <w:lang w:val="fr-CH"/>
        </w:rPr>
        <w:t xml:space="preserve"> cas</w:t>
      </w:r>
      <w:r w:rsidR="00471BCD" w:rsidRPr="0071782F">
        <w:rPr>
          <w:spacing w:val="-2"/>
          <w:lang w:val="fr-CH"/>
        </w:rPr>
        <w:t xml:space="preserve"> est tombé à </w:t>
      </w:r>
      <w:r w:rsidRPr="0071782F">
        <w:rPr>
          <w:spacing w:val="-2"/>
          <w:lang w:val="fr-CH"/>
        </w:rPr>
        <w:t>30 p</w:t>
      </w:r>
      <w:r w:rsidR="00471BCD" w:rsidRPr="0071782F">
        <w:rPr>
          <w:spacing w:val="-2"/>
          <w:lang w:val="fr-CH"/>
        </w:rPr>
        <w:t>ou</w:t>
      </w:r>
      <w:r w:rsidRPr="0071782F">
        <w:rPr>
          <w:spacing w:val="-2"/>
          <w:lang w:val="fr-CH"/>
        </w:rPr>
        <w:t>r 100</w:t>
      </w:r>
      <w:r w:rsidR="000A419F" w:rsidRPr="0071782F">
        <w:rPr>
          <w:spacing w:val="-2"/>
          <w:lang w:val="fr-CH"/>
        </w:rPr>
        <w:t> </w:t>
      </w:r>
      <w:r w:rsidRPr="0071782F">
        <w:rPr>
          <w:spacing w:val="-2"/>
          <w:lang w:val="fr-CH"/>
        </w:rPr>
        <w:t>000</w:t>
      </w:r>
      <w:r w:rsidR="00BF435F" w:rsidRPr="0071782F">
        <w:rPr>
          <w:spacing w:val="-2"/>
          <w:lang w:val="fr-CH"/>
        </w:rPr>
        <w:t> habitants</w:t>
      </w:r>
      <w:r w:rsidR="00471BCD" w:rsidRPr="0071782F">
        <w:rPr>
          <w:spacing w:val="-2"/>
          <w:lang w:val="fr-CH"/>
        </w:rPr>
        <w:t xml:space="preserve"> pour la fièvre de Malte</w:t>
      </w:r>
      <w:r w:rsidRPr="0071782F">
        <w:rPr>
          <w:spacing w:val="-2"/>
          <w:lang w:val="fr-CH"/>
        </w:rPr>
        <w:t xml:space="preserve">, </w:t>
      </w:r>
      <w:r w:rsidR="00471BCD" w:rsidRPr="0071782F">
        <w:rPr>
          <w:spacing w:val="-2"/>
          <w:lang w:val="fr-CH"/>
        </w:rPr>
        <w:t xml:space="preserve">à </w:t>
      </w:r>
      <w:r w:rsidRPr="0071782F">
        <w:rPr>
          <w:spacing w:val="-2"/>
          <w:lang w:val="fr-CH"/>
        </w:rPr>
        <w:t>35 p</w:t>
      </w:r>
      <w:r w:rsidR="00471BCD" w:rsidRPr="0071782F">
        <w:rPr>
          <w:spacing w:val="-2"/>
          <w:lang w:val="fr-CH"/>
        </w:rPr>
        <w:t>ou</w:t>
      </w:r>
      <w:r w:rsidRPr="0071782F">
        <w:rPr>
          <w:spacing w:val="-2"/>
          <w:lang w:val="fr-CH"/>
        </w:rPr>
        <w:t>r 100</w:t>
      </w:r>
      <w:r w:rsidR="00B00574">
        <w:rPr>
          <w:spacing w:val="-2"/>
          <w:lang w:val="fr-CH"/>
        </w:rPr>
        <w:t> </w:t>
      </w:r>
      <w:r w:rsidRPr="0071782F">
        <w:rPr>
          <w:spacing w:val="-2"/>
          <w:lang w:val="fr-CH"/>
        </w:rPr>
        <w:t>000</w:t>
      </w:r>
      <w:r w:rsidR="00471BCD" w:rsidRPr="0071782F">
        <w:rPr>
          <w:spacing w:val="-2"/>
          <w:lang w:val="fr-CH"/>
        </w:rPr>
        <w:t xml:space="preserve"> pour la leishmaniose</w:t>
      </w:r>
      <w:r w:rsidRPr="0071782F">
        <w:rPr>
          <w:spacing w:val="-2"/>
          <w:lang w:val="fr-CH"/>
        </w:rPr>
        <w:t xml:space="preserve">, </w:t>
      </w:r>
      <w:r w:rsidR="00471BCD" w:rsidRPr="0071782F">
        <w:rPr>
          <w:spacing w:val="-2"/>
          <w:lang w:val="fr-CH"/>
        </w:rPr>
        <w:t xml:space="preserve">à </w:t>
      </w:r>
      <w:r w:rsidRPr="0071782F">
        <w:rPr>
          <w:spacing w:val="-2"/>
          <w:lang w:val="fr-CH"/>
        </w:rPr>
        <w:t>2 p</w:t>
      </w:r>
      <w:r w:rsidR="00471BCD" w:rsidRPr="0071782F">
        <w:rPr>
          <w:spacing w:val="-2"/>
          <w:lang w:val="fr-CH"/>
        </w:rPr>
        <w:t>ou</w:t>
      </w:r>
      <w:r w:rsidRPr="0071782F">
        <w:rPr>
          <w:spacing w:val="-2"/>
          <w:lang w:val="fr-CH"/>
        </w:rPr>
        <w:t>r 100</w:t>
      </w:r>
      <w:r w:rsidR="00B00574">
        <w:rPr>
          <w:spacing w:val="-2"/>
          <w:lang w:val="fr-CH"/>
        </w:rPr>
        <w:t> </w:t>
      </w:r>
      <w:r w:rsidRPr="0071782F">
        <w:rPr>
          <w:spacing w:val="-2"/>
          <w:lang w:val="fr-CH"/>
        </w:rPr>
        <w:t>000</w:t>
      </w:r>
      <w:r w:rsidR="00471BCD" w:rsidRPr="0071782F">
        <w:rPr>
          <w:spacing w:val="-2"/>
          <w:lang w:val="fr-CH"/>
        </w:rPr>
        <w:t xml:space="preserve"> pour l’anthrax et</w:t>
      </w:r>
      <w:r w:rsidRPr="0071782F">
        <w:rPr>
          <w:spacing w:val="-2"/>
          <w:lang w:val="fr-CH"/>
        </w:rPr>
        <w:t xml:space="preserve"> </w:t>
      </w:r>
      <w:r w:rsidR="00471BCD" w:rsidRPr="0071782F">
        <w:rPr>
          <w:spacing w:val="-2"/>
          <w:lang w:val="fr-CH"/>
        </w:rPr>
        <w:t>à 0,51</w:t>
      </w:r>
      <w:r w:rsidRPr="0071782F">
        <w:rPr>
          <w:spacing w:val="-2"/>
          <w:lang w:val="fr-CH"/>
        </w:rPr>
        <w:t xml:space="preserve"> p</w:t>
      </w:r>
      <w:r w:rsidR="00471BCD" w:rsidRPr="0071782F">
        <w:rPr>
          <w:spacing w:val="-2"/>
          <w:lang w:val="fr-CH"/>
        </w:rPr>
        <w:t>ou</w:t>
      </w:r>
      <w:r w:rsidRPr="0071782F">
        <w:rPr>
          <w:spacing w:val="-2"/>
          <w:lang w:val="fr-CH"/>
        </w:rPr>
        <w:t>r 100</w:t>
      </w:r>
      <w:r w:rsidR="00B00574">
        <w:rPr>
          <w:spacing w:val="-2"/>
          <w:lang w:val="fr-CH"/>
        </w:rPr>
        <w:t> </w:t>
      </w:r>
      <w:r w:rsidRPr="0071782F">
        <w:rPr>
          <w:spacing w:val="-2"/>
          <w:lang w:val="fr-CH"/>
        </w:rPr>
        <w:t xml:space="preserve">000 </w:t>
      </w:r>
      <w:r w:rsidR="00471BCD" w:rsidRPr="0071782F">
        <w:rPr>
          <w:spacing w:val="-2"/>
          <w:lang w:val="fr-CH"/>
        </w:rPr>
        <w:t>pour l’hydatidose, et le nombre de décès liés à la rage est tombé à 10 pour 100 000</w:t>
      </w:r>
      <w:r w:rsidRPr="0071782F">
        <w:rPr>
          <w:spacing w:val="-2"/>
          <w:lang w:val="fr-CH"/>
        </w:rPr>
        <w:t>.</w:t>
      </w:r>
    </w:p>
    <w:p w:rsidR="00E5019F" w:rsidRPr="0071782F" w:rsidRDefault="00E5019F" w:rsidP="00E5019F">
      <w:pPr>
        <w:pStyle w:val="SingleTxtG"/>
        <w:ind w:left="1701"/>
        <w:rPr>
          <w:lang w:val="fr-CH"/>
        </w:rPr>
      </w:pPr>
      <w:r w:rsidRPr="0071782F">
        <w:rPr>
          <w:lang w:val="fr-CH"/>
        </w:rPr>
        <w:t>261.6.</w:t>
      </w:r>
      <w:r w:rsidRPr="0071782F">
        <w:rPr>
          <w:lang w:val="fr-CH"/>
        </w:rPr>
        <w:tab/>
      </w:r>
      <w:r w:rsidR="00AD76C4" w:rsidRPr="0071782F">
        <w:rPr>
          <w:lang w:val="fr-CH"/>
        </w:rPr>
        <w:t xml:space="preserve">Pendant la période 2005-2008, le taux de </w:t>
      </w:r>
      <w:r w:rsidRPr="0071782F">
        <w:rPr>
          <w:lang w:val="fr-CH"/>
        </w:rPr>
        <w:t>pr</w:t>
      </w:r>
      <w:r w:rsidR="00AD76C4" w:rsidRPr="0071782F">
        <w:rPr>
          <w:lang w:val="fr-CH"/>
        </w:rPr>
        <w:t>é</w:t>
      </w:r>
      <w:r w:rsidRPr="0071782F">
        <w:rPr>
          <w:lang w:val="fr-CH"/>
        </w:rPr>
        <w:t xml:space="preserve">valence </w:t>
      </w:r>
      <w:r w:rsidR="00AD76C4" w:rsidRPr="0071782F">
        <w:rPr>
          <w:lang w:val="fr-CH"/>
        </w:rPr>
        <w:t xml:space="preserve">de la lèpre a été inférieur à </w:t>
      </w:r>
      <w:r w:rsidRPr="0071782F">
        <w:rPr>
          <w:lang w:val="fr-CH"/>
        </w:rPr>
        <w:t>0</w:t>
      </w:r>
      <w:r w:rsidR="00AD76C4" w:rsidRPr="0071782F">
        <w:rPr>
          <w:lang w:val="fr-CH"/>
        </w:rPr>
        <w:t>,</w:t>
      </w:r>
      <w:r w:rsidRPr="0071782F">
        <w:rPr>
          <w:lang w:val="fr-CH"/>
        </w:rPr>
        <w:t>02 p</w:t>
      </w:r>
      <w:r w:rsidR="00AD76C4" w:rsidRPr="0071782F">
        <w:rPr>
          <w:lang w:val="fr-CH"/>
        </w:rPr>
        <w:t>ou</w:t>
      </w:r>
      <w:r w:rsidRPr="0071782F">
        <w:rPr>
          <w:lang w:val="fr-CH"/>
        </w:rPr>
        <w:t>r 10</w:t>
      </w:r>
      <w:r w:rsidR="00AD76C4" w:rsidRPr="0071782F">
        <w:rPr>
          <w:lang w:val="fr-CH"/>
        </w:rPr>
        <w:t> </w:t>
      </w:r>
      <w:r w:rsidRPr="0071782F">
        <w:rPr>
          <w:lang w:val="fr-CH"/>
        </w:rPr>
        <w:t>000</w:t>
      </w:r>
      <w:r w:rsidR="00BF435F" w:rsidRPr="0071782F">
        <w:rPr>
          <w:lang w:val="fr-CH"/>
        </w:rPr>
        <w:t> habitants</w:t>
      </w:r>
      <w:r w:rsidRPr="0071782F">
        <w:rPr>
          <w:lang w:val="fr-CH"/>
        </w:rPr>
        <w:t xml:space="preserve">. </w:t>
      </w:r>
      <w:r w:rsidR="00AD76C4" w:rsidRPr="0071782F">
        <w:rPr>
          <w:lang w:val="fr-CH"/>
        </w:rPr>
        <w:t>Le pays est donc sur le point d’éradiquer cette maladie (étant donné que le taux est inférieur à 10 cas pour 10 000</w:t>
      </w:r>
      <w:r w:rsidR="00BF435F" w:rsidRPr="0071782F">
        <w:rPr>
          <w:lang w:val="fr-CH"/>
        </w:rPr>
        <w:t> habitants</w:t>
      </w:r>
      <w:r w:rsidR="00AD76C4" w:rsidRPr="0071782F">
        <w:rPr>
          <w:lang w:val="fr-CH"/>
        </w:rPr>
        <w:t>), même dans les petites villes</w:t>
      </w:r>
      <w:r w:rsidRPr="0071782F">
        <w:rPr>
          <w:lang w:val="fr-CH"/>
        </w:rPr>
        <w:t>.</w:t>
      </w:r>
    </w:p>
    <w:p w:rsidR="00E5019F" w:rsidRPr="0071782F" w:rsidRDefault="00E5019F" w:rsidP="00E5019F">
      <w:pPr>
        <w:pStyle w:val="SingleTxtG"/>
        <w:ind w:left="1701"/>
        <w:rPr>
          <w:lang w:val="fr-CH"/>
        </w:rPr>
      </w:pPr>
      <w:r w:rsidRPr="0071782F">
        <w:rPr>
          <w:lang w:val="fr-CH"/>
        </w:rPr>
        <w:t>261.7.</w:t>
      </w:r>
      <w:r w:rsidRPr="0071782F">
        <w:rPr>
          <w:lang w:val="fr-CH"/>
        </w:rPr>
        <w:tab/>
      </w:r>
      <w:r w:rsidR="00AD76C4" w:rsidRPr="0071782F">
        <w:rPr>
          <w:lang w:val="fr-CH"/>
        </w:rPr>
        <w:t xml:space="preserve">Le taux de dépistage de la tuberculose est passé de </w:t>
      </w:r>
      <w:r w:rsidRPr="0071782F">
        <w:rPr>
          <w:lang w:val="fr-CH"/>
        </w:rPr>
        <w:t>57</w:t>
      </w:r>
      <w:r w:rsidR="007E5125" w:rsidRPr="0071782F">
        <w:rPr>
          <w:lang w:val="fr-CH"/>
        </w:rPr>
        <w:t>%</w:t>
      </w:r>
      <w:r w:rsidRPr="0071782F">
        <w:rPr>
          <w:lang w:val="fr-CH"/>
        </w:rPr>
        <w:t xml:space="preserve"> </w:t>
      </w:r>
      <w:r w:rsidR="00AD76C4" w:rsidRPr="0071782F">
        <w:rPr>
          <w:lang w:val="fr-CH"/>
        </w:rPr>
        <w:t>e</w:t>
      </w:r>
      <w:r w:rsidRPr="0071782F">
        <w:rPr>
          <w:lang w:val="fr-CH"/>
        </w:rPr>
        <w:t xml:space="preserve">n 2005 </w:t>
      </w:r>
      <w:r w:rsidR="00AD76C4" w:rsidRPr="0071782F">
        <w:rPr>
          <w:lang w:val="fr-CH"/>
        </w:rPr>
        <w:t>à</w:t>
      </w:r>
      <w:r w:rsidRPr="0071782F">
        <w:rPr>
          <w:lang w:val="fr-CH"/>
        </w:rPr>
        <w:t xml:space="preserve"> 67</w:t>
      </w:r>
      <w:r w:rsidR="007E5125" w:rsidRPr="0071782F">
        <w:rPr>
          <w:lang w:val="fr-CH"/>
        </w:rPr>
        <w:t>%</w:t>
      </w:r>
      <w:r w:rsidRPr="0071782F">
        <w:rPr>
          <w:lang w:val="fr-CH"/>
        </w:rPr>
        <w:t xml:space="preserve"> </w:t>
      </w:r>
      <w:r w:rsidR="00AD76C4" w:rsidRPr="0071782F">
        <w:rPr>
          <w:lang w:val="fr-CH"/>
        </w:rPr>
        <w:t>e</w:t>
      </w:r>
      <w:r w:rsidR="00B00574">
        <w:rPr>
          <w:lang w:val="fr-CH"/>
        </w:rPr>
        <w:t>n </w:t>
      </w:r>
      <w:r w:rsidRPr="0071782F">
        <w:rPr>
          <w:lang w:val="fr-CH"/>
        </w:rPr>
        <w:t xml:space="preserve">2008. </w:t>
      </w:r>
      <w:r w:rsidR="00AD76C4" w:rsidRPr="0071782F">
        <w:rPr>
          <w:lang w:val="fr-CH"/>
        </w:rPr>
        <w:t xml:space="preserve">Par ailleurs, le taux de traitement de cette maladie a atteint </w:t>
      </w:r>
      <w:r w:rsidRPr="0071782F">
        <w:rPr>
          <w:lang w:val="fr-CH"/>
        </w:rPr>
        <w:t>83</w:t>
      </w:r>
      <w:r w:rsidR="007E5125" w:rsidRPr="0071782F">
        <w:rPr>
          <w:lang w:val="fr-CH"/>
        </w:rPr>
        <w:t>%</w:t>
      </w:r>
      <w:r w:rsidRPr="0071782F">
        <w:rPr>
          <w:lang w:val="fr-CH"/>
        </w:rPr>
        <w:t xml:space="preserve"> </w:t>
      </w:r>
      <w:r w:rsidR="00AD76C4" w:rsidRPr="0071782F">
        <w:rPr>
          <w:lang w:val="fr-CH"/>
        </w:rPr>
        <w:t>e</w:t>
      </w:r>
      <w:r w:rsidRPr="0071782F">
        <w:rPr>
          <w:lang w:val="fr-CH"/>
        </w:rPr>
        <w:t xml:space="preserve">n 2007; </w:t>
      </w:r>
      <w:r w:rsidR="00ED548E" w:rsidRPr="0071782F">
        <w:rPr>
          <w:lang w:val="fr-CH"/>
        </w:rPr>
        <w:t>c</w:t>
      </w:r>
      <w:r w:rsidR="00AD76C4" w:rsidRPr="0071782F">
        <w:rPr>
          <w:lang w:val="fr-CH"/>
        </w:rPr>
        <w:t xml:space="preserve">e traitement demandant beaucoup de temps, ce taux </w:t>
      </w:r>
      <w:r w:rsidR="00B00574">
        <w:rPr>
          <w:lang w:val="fr-CH"/>
        </w:rPr>
        <w:t>n’a pas encore été calculé pour </w:t>
      </w:r>
      <w:r w:rsidR="00AD76C4" w:rsidRPr="0071782F">
        <w:rPr>
          <w:lang w:val="fr-CH"/>
        </w:rPr>
        <w:t xml:space="preserve">2008. </w:t>
      </w:r>
    </w:p>
    <w:p w:rsidR="00E5019F" w:rsidRPr="0071782F" w:rsidRDefault="00E5019F" w:rsidP="00E5019F">
      <w:pPr>
        <w:pStyle w:val="SingleTxtG"/>
        <w:ind w:left="1701"/>
        <w:rPr>
          <w:lang w:val="fr-CH"/>
        </w:rPr>
      </w:pPr>
      <w:r w:rsidRPr="0071782F">
        <w:rPr>
          <w:lang w:val="fr-CH"/>
        </w:rPr>
        <w:t>261.8.</w:t>
      </w:r>
      <w:r w:rsidRPr="0071782F">
        <w:rPr>
          <w:lang w:val="fr-CH"/>
        </w:rPr>
        <w:tab/>
      </w:r>
      <w:r w:rsidR="00AD76C4" w:rsidRPr="0071782F">
        <w:rPr>
          <w:lang w:val="fr-CH"/>
        </w:rPr>
        <w:t>À l’heure actuelle, l’</w:t>
      </w:r>
      <w:r w:rsidRPr="0071782F">
        <w:rPr>
          <w:lang w:val="fr-CH"/>
        </w:rPr>
        <w:t xml:space="preserve">incidence </w:t>
      </w:r>
      <w:r w:rsidR="00AD76C4" w:rsidRPr="0071782F">
        <w:rPr>
          <w:lang w:val="fr-CH"/>
        </w:rPr>
        <w:t xml:space="preserve">de la tuberculose est tombée à </w:t>
      </w:r>
      <w:r w:rsidRPr="0071782F">
        <w:rPr>
          <w:lang w:val="fr-CH"/>
        </w:rPr>
        <w:t>13</w:t>
      </w:r>
      <w:r w:rsidR="00AD76C4" w:rsidRPr="0071782F">
        <w:rPr>
          <w:lang w:val="fr-CH"/>
        </w:rPr>
        <w:t>,</w:t>
      </w:r>
      <w:r w:rsidRPr="0071782F">
        <w:rPr>
          <w:lang w:val="fr-CH"/>
        </w:rPr>
        <w:t>9</w:t>
      </w:r>
      <w:r w:rsidR="00AE105F" w:rsidRPr="0071782F">
        <w:rPr>
          <w:lang w:val="fr-CH"/>
        </w:rPr>
        <w:t> </w:t>
      </w:r>
      <w:r w:rsidRPr="0071782F">
        <w:rPr>
          <w:lang w:val="fr-CH"/>
        </w:rPr>
        <w:t>cas p</w:t>
      </w:r>
      <w:r w:rsidR="00AD76C4" w:rsidRPr="0071782F">
        <w:rPr>
          <w:lang w:val="fr-CH"/>
        </w:rPr>
        <w:t>our 100</w:t>
      </w:r>
      <w:r w:rsidR="00AE105F" w:rsidRPr="0071782F">
        <w:rPr>
          <w:lang w:val="fr-CH"/>
        </w:rPr>
        <w:t> </w:t>
      </w:r>
      <w:r w:rsidRPr="0071782F">
        <w:rPr>
          <w:lang w:val="fr-CH"/>
        </w:rPr>
        <w:t>000</w:t>
      </w:r>
      <w:r w:rsidR="00BF435F" w:rsidRPr="0071782F">
        <w:rPr>
          <w:lang w:val="fr-CH"/>
        </w:rPr>
        <w:t> habitants</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AD76C4" w:rsidRPr="0071782F">
        <w:rPr>
          <w:lang w:val="fr-CH"/>
        </w:rPr>
        <w:t>Action de pré</w:t>
      </w:r>
      <w:r w:rsidRPr="0071782F">
        <w:rPr>
          <w:lang w:val="fr-CH"/>
        </w:rPr>
        <w:t xml:space="preserve">vention </w:t>
      </w:r>
      <w:r w:rsidR="00AD76C4" w:rsidRPr="0071782F">
        <w:rPr>
          <w:lang w:val="fr-CH"/>
        </w:rPr>
        <w:t>et de lutte contre les maladies non contagieuses et les maladies spéciales</w:t>
      </w:r>
      <w:r w:rsidRPr="0071782F">
        <w:rPr>
          <w:lang w:val="fr-CH"/>
        </w:rPr>
        <w:t xml:space="preserve"> </w:t>
      </w:r>
    </w:p>
    <w:p w:rsidR="00E5019F" w:rsidRPr="0071782F" w:rsidRDefault="00E5019F" w:rsidP="00E5019F">
      <w:pPr>
        <w:pStyle w:val="SingleTxtG"/>
        <w:rPr>
          <w:lang w:val="fr-CH"/>
        </w:rPr>
      </w:pPr>
      <w:r w:rsidRPr="0071782F">
        <w:rPr>
          <w:lang w:val="fr-CH"/>
        </w:rPr>
        <w:t>262.</w:t>
      </w:r>
      <w:r w:rsidRPr="0071782F">
        <w:rPr>
          <w:lang w:val="fr-CH"/>
        </w:rPr>
        <w:tab/>
      </w:r>
      <w:r w:rsidR="00AD76C4" w:rsidRPr="0071782F">
        <w:rPr>
          <w:lang w:val="fr-CH"/>
        </w:rPr>
        <w:t>Cette action prend notamment les formes suivantes</w:t>
      </w:r>
      <w:r w:rsidR="008F7D33" w:rsidRPr="0071782F">
        <w:rPr>
          <w:lang w:val="fr-CH"/>
        </w:rPr>
        <w:t>:</w:t>
      </w:r>
    </w:p>
    <w:p w:rsidR="00E5019F" w:rsidRPr="0071782F" w:rsidRDefault="00E5019F" w:rsidP="00E5019F">
      <w:pPr>
        <w:pStyle w:val="SingleTxtG"/>
        <w:ind w:left="1701"/>
        <w:rPr>
          <w:lang w:val="fr-CH"/>
        </w:rPr>
      </w:pPr>
      <w:r w:rsidRPr="0071782F">
        <w:rPr>
          <w:lang w:val="fr-CH"/>
        </w:rPr>
        <w:t>262.1.</w:t>
      </w:r>
      <w:r w:rsidRPr="0071782F">
        <w:rPr>
          <w:lang w:val="fr-CH"/>
        </w:rPr>
        <w:tab/>
      </w:r>
      <w:r w:rsidR="008E56C6" w:rsidRPr="0071782F">
        <w:rPr>
          <w:lang w:val="fr-CH"/>
        </w:rPr>
        <w:t xml:space="preserve">Extension à l’ensemble du pays du système de </w:t>
      </w:r>
      <w:r w:rsidR="00A62149" w:rsidRPr="0071782F">
        <w:rPr>
          <w:lang w:val="fr-CH"/>
        </w:rPr>
        <w:t>"</w:t>
      </w:r>
      <w:r w:rsidR="008E56C6" w:rsidRPr="0071782F">
        <w:rPr>
          <w:lang w:val="fr-CH"/>
        </w:rPr>
        <w:t>surveillance des facteurs de risque des MNC</w:t>
      </w:r>
      <w:r w:rsidR="00A62149" w:rsidRPr="0071782F">
        <w:rPr>
          <w:lang w:val="fr-CH"/>
        </w:rPr>
        <w:t>"</w:t>
      </w:r>
      <w:r w:rsidR="008E56C6" w:rsidRPr="0071782F">
        <w:rPr>
          <w:lang w:val="fr-CH"/>
        </w:rPr>
        <w:t xml:space="preserve">, créé au sein du centre de gestion des maladies en </w:t>
      </w:r>
      <w:r w:rsidRPr="0071782F">
        <w:rPr>
          <w:lang w:val="fr-CH"/>
        </w:rPr>
        <w:t>2004.</w:t>
      </w:r>
    </w:p>
    <w:p w:rsidR="00E5019F" w:rsidRPr="0071782F" w:rsidRDefault="008E56C6" w:rsidP="00E5019F">
      <w:pPr>
        <w:pStyle w:val="SingleTxtG"/>
        <w:ind w:left="1701"/>
        <w:rPr>
          <w:lang w:val="fr-CH"/>
        </w:rPr>
      </w:pPr>
      <w:r w:rsidRPr="0071782F">
        <w:rPr>
          <w:lang w:val="fr-CH"/>
        </w:rPr>
        <w:t>262.2.</w:t>
      </w:r>
      <w:r w:rsidRPr="0071782F">
        <w:rPr>
          <w:lang w:val="fr-CH"/>
        </w:rPr>
        <w:tab/>
        <w:t>E</w:t>
      </w:r>
      <w:r w:rsidR="00E5019F" w:rsidRPr="0071782F">
        <w:rPr>
          <w:lang w:val="fr-CH"/>
        </w:rPr>
        <w:t xml:space="preserve">n 2008, </w:t>
      </w:r>
      <w:r w:rsidRPr="0071782F">
        <w:rPr>
          <w:lang w:val="fr-CH"/>
        </w:rPr>
        <w:t xml:space="preserve">on a procédé, dans le cadre de ce système, à la cinquième ronde de vigilance qui portait sur </w:t>
      </w:r>
      <w:r w:rsidR="00E5019F" w:rsidRPr="0071782F">
        <w:rPr>
          <w:lang w:val="fr-CH"/>
        </w:rPr>
        <w:t>30</w:t>
      </w:r>
      <w:r w:rsidR="00AE105F" w:rsidRPr="0071782F">
        <w:rPr>
          <w:lang w:val="fr-CH"/>
        </w:rPr>
        <w:t> </w:t>
      </w:r>
      <w:r w:rsidR="00E5019F" w:rsidRPr="0071782F">
        <w:rPr>
          <w:lang w:val="fr-CH"/>
        </w:rPr>
        <w:t>000</w:t>
      </w:r>
      <w:r w:rsidR="00AE105F" w:rsidRPr="0071782F">
        <w:rPr>
          <w:lang w:val="fr-CH"/>
        </w:rPr>
        <w:t> </w:t>
      </w:r>
      <w:r w:rsidRPr="0071782F">
        <w:rPr>
          <w:lang w:val="fr-CH"/>
        </w:rPr>
        <w:t>échantillons collectés dans tout le pays, ce qui a permis d’identifier les profils des facteurs de risque selon les régions.</w:t>
      </w:r>
    </w:p>
    <w:p w:rsidR="00E5019F" w:rsidRPr="0071782F" w:rsidRDefault="00E5019F" w:rsidP="00E5019F">
      <w:pPr>
        <w:pStyle w:val="SingleTxtG"/>
        <w:ind w:left="1701"/>
        <w:rPr>
          <w:lang w:val="fr-CH"/>
        </w:rPr>
      </w:pPr>
      <w:r w:rsidRPr="0071782F">
        <w:rPr>
          <w:lang w:val="fr-CH"/>
        </w:rPr>
        <w:t>262.3.</w:t>
      </w:r>
      <w:r w:rsidRPr="0071782F">
        <w:rPr>
          <w:lang w:val="fr-CH"/>
        </w:rPr>
        <w:tab/>
        <w:t>Ex</w:t>
      </w:r>
      <w:r w:rsidR="00A452CE" w:rsidRPr="0071782F">
        <w:rPr>
          <w:lang w:val="fr-CH"/>
        </w:rPr>
        <w:t>é</w:t>
      </w:r>
      <w:r w:rsidRPr="0071782F">
        <w:rPr>
          <w:lang w:val="fr-CH"/>
        </w:rPr>
        <w:t xml:space="preserve">cution </w:t>
      </w:r>
      <w:r w:rsidR="00A452CE" w:rsidRPr="0071782F">
        <w:rPr>
          <w:lang w:val="fr-CH"/>
        </w:rPr>
        <w:t xml:space="preserve">du </w:t>
      </w:r>
      <w:r w:rsidRPr="0071782F">
        <w:rPr>
          <w:lang w:val="fr-CH"/>
        </w:rPr>
        <w:t>program</w:t>
      </w:r>
      <w:r w:rsidR="00A452CE" w:rsidRPr="0071782F">
        <w:rPr>
          <w:lang w:val="fr-CH"/>
        </w:rPr>
        <w:t>me de santé buccodentaire à l’intention des élèves des écoles primaires, des enfants âgés de moins de trois</w:t>
      </w:r>
      <w:r w:rsidR="00D82C96" w:rsidRPr="0071782F">
        <w:rPr>
          <w:lang w:val="fr-CH"/>
        </w:rPr>
        <w:t> ans</w:t>
      </w:r>
      <w:r w:rsidR="00A452CE" w:rsidRPr="0071782F">
        <w:rPr>
          <w:lang w:val="fr-CH"/>
        </w:rPr>
        <w:t xml:space="preserve"> et </w:t>
      </w:r>
      <w:r w:rsidR="007F37CE" w:rsidRPr="0071782F">
        <w:rPr>
          <w:lang w:val="fr-CH"/>
        </w:rPr>
        <w:t>des personnes</w:t>
      </w:r>
      <w:r w:rsidR="00A452CE" w:rsidRPr="0071782F">
        <w:rPr>
          <w:lang w:val="fr-CH"/>
        </w:rPr>
        <w:t xml:space="preserve"> âgées en faisant appel à des dentistes dans les régions défavorisées, en réglementant le statut du pers</w:t>
      </w:r>
      <w:r w:rsidR="00720B7D" w:rsidRPr="0071782F">
        <w:rPr>
          <w:lang w:val="fr-CH"/>
        </w:rPr>
        <w:t>onnel spécialisé en santé bucco</w:t>
      </w:r>
      <w:r w:rsidR="00A452CE" w:rsidRPr="0071782F">
        <w:rPr>
          <w:lang w:val="fr-CH"/>
        </w:rPr>
        <w:t>dentaire et en services infirmiers en odontologie</w:t>
      </w:r>
      <w:r w:rsidRPr="0071782F">
        <w:rPr>
          <w:lang w:val="fr-CH"/>
        </w:rPr>
        <w:t xml:space="preserve">, </w:t>
      </w:r>
      <w:r w:rsidR="00A452CE" w:rsidRPr="0071782F">
        <w:rPr>
          <w:lang w:val="fr-CH"/>
        </w:rPr>
        <w:t xml:space="preserve">en faisant </w:t>
      </w:r>
      <w:r w:rsidR="00D5366B" w:rsidRPr="0071782F">
        <w:rPr>
          <w:lang w:val="fr-CH"/>
        </w:rPr>
        <w:t>œuvre</w:t>
      </w:r>
      <w:r w:rsidR="00A452CE" w:rsidRPr="0071782F">
        <w:rPr>
          <w:lang w:val="fr-CH"/>
        </w:rPr>
        <w:t xml:space="preserve"> de sensibilisation à l’hygiène buccodentaire à la faveur de différents programmes d’information, en</w:t>
      </w:r>
      <w:r w:rsidRPr="0071782F">
        <w:rPr>
          <w:lang w:val="fr-CH"/>
        </w:rPr>
        <w:t xml:space="preserve"> </w:t>
      </w:r>
      <w:r w:rsidR="00A452CE" w:rsidRPr="0071782F">
        <w:rPr>
          <w:lang w:val="fr-CH"/>
        </w:rPr>
        <w:t>lançant des programmes spéciaux de lutte contre l’infection et en améliorant les normes des sections d’odontologie des centres de soins et de traitements médicaux, en fournissant des traitements de la pulpe vivante</w:t>
      </w:r>
      <w:r w:rsidRPr="0071782F">
        <w:rPr>
          <w:lang w:val="fr-CH"/>
        </w:rPr>
        <w:t xml:space="preserve">, </w:t>
      </w:r>
      <w:r w:rsidR="00A452CE" w:rsidRPr="0071782F">
        <w:rPr>
          <w:lang w:val="fr-CH"/>
        </w:rPr>
        <w:t>en mettant en place un système de paiement basé sur les résultats, en achetant des services d’odontologie, en privatisant les centres de soins et de traitements médicaux</w:t>
      </w:r>
      <w:r w:rsidRPr="0071782F">
        <w:rPr>
          <w:lang w:val="fr-CH"/>
        </w:rPr>
        <w:t>, etc.</w:t>
      </w:r>
    </w:p>
    <w:p w:rsidR="00E5019F" w:rsidRPr="0071782F" w:rsidRDefault="00E5019F" w:rsidP="00E5019F">
      <w:pPr>
        <w:pStyle w:val="SingleTxtG"/>
        <w:ind w:left="1701"/>
        <w:rPr>
          <w:lang w:val="fr-CH"/>
        </w:rPr>
      </w:pPr>
      <w:r w:rsidRPr="0071782F">
        <w:rPr>
          <w:lang w:val="fr-CH"/>
        </w:rPr>
        <w:t>262.4.</w:t>
      </w:r>
      <w:r w:rsidRPr="0071782F">
        <w:rPr>
          <w:lang w:val="fr-CH"/>
        </w:rPr>
        <w:tab/>
      </w:r>
      <w:r w:rsidR="00AA4A8F" w:rsidRPr="0071782F">
        <w:rPr>
          <w:lang w:val="fr-CH"/>
        </w:rPr>
        <w:t xml:space="preserve">Achat et </w:t>
      </w:r>
      <w:r w:rsidRPr="0071782F">
        <w:rPr>
          <w:lang w:val="fr-CH"/>
        </w:rPr>
        <w:t xml:space="preserve">distribution </w:t>
      </w:r>
      <w:r w:rsidR="00AA4A8F" w:rsidRPr="0071782F">
        <w:rPr>
          <w:lang w:val="fr-CH"/>
        </w:rPr>
        <w:t xml:space="preserve">de </w:t>
      </w:r>
      <w:r w:rsidRPr="0071782F">
        <w:rPr>
          <w:lang w:val="fr-CH"/>
        </w:rPr>
        <w:t>600</w:t>
      </w:r>
      <w:r w:rsidR="00E83264" w:rsidRPr="0071782F">
        <w:rPr>
          <w:lang w:val="fr-CH"/>
        </w:rPr>
        <w:t> unités</w:t>
      </w:r>
      <w:r w:rsidR="00AA4A8F" w:rsidRPr="0071782F">
        <w:rPr>
          <w:lang w:val="fr-CH"/>
        </w:rPr>
        <w:t xml:space="preserve"> </w:t>
      </w:r>
      <w:r w:rsidRPr="0071782F">
        <w:rPr>
          <w:lang w:val="fr-CH"/>
        </w:rPr>
        <w:t xml:space="preserve">DABI, distribution </w:t>
      </w:r>
      <w:r w:rsidR="00AA4A8F" w:rsidRPr="0071782F">
        <w:rPr>
          <w:lang w:val="fr-CH"/>
        </w:rPr>
        <w:t>de sept</w:t>
      </w:r>
      <w:r w:rsidR="00097CDB" w:rsidRPr="0071782F">
        <w:rPr>
          <w:lang w:val="fr-CH"/>
        </w:rPr>
        <w:t> millions</w:t>
      </w:r>
      <w:r w:rsidRPr="0071782F">
        <w:rPr>
          <w:lang w:val="fr-CH"/>
        </w:rPr>
        <w:t xml:space="preserve"> </w:t>
      </w:r>
      <w:r w:rsidR="00AA4A8F" w:rsidRPr="0071782F">
        <w:rPr>
          <w:lang w:val="fr-CH"/>
        </w:rPr>
        <w:t>de bouteilles de bain de bouche</w:t>
      </w:r>
      <w:r w:rsidRPr="0071782F">
        <w:rPr>
          <w:lang w:val="fr-CH"/>
        </w:rPr>
        <w:t xml:space="preserve">, </w:t>
      </w:r>
      <w:r w:rsidR="00AA4A8F" w:rsidRPr="0071782F">
        <w:rPr>
          <w:lang w:val="fr-CH"/>
        </w:rPr>
        <w:t xml:space="preserve">utilisation de la fluorothérapie pour les dents de lait </w:t>
      </w:r>
      <w:r w:rsidRPr="0071782F">
        <w:rPr>
          <w:lang w:val="fr-CH"/>
        </w:rPr>
        <w:t>(96</w:t>
      </w:r>
      <w:r w:rsidR="00AE105F" w:rsidRPr="0071782F">
        <w:rPr>
          <w:lang w:val="fr-CH"/>
        </w:rPr>
        <w:t> </w:t>
      </w:r>
      <w:r w:rsidR="00AA4A8F" w:rsidRPr="0071782F">
        <w:rPr>
          <w:lang w:val="fr-CH"/>
        </w:rPr>
        <w:t>518</w:t>
      </w:r>
      <w:r w:rsidR="00AE105F" w:rsidRPr="0071782F">
        <w:rPr>
          <w:lang w:val="fr-CH"/>
        </w:rPr>
        <w:t> </w:t>
      </w:r>
      <w:r w:rsidR="00AA4A8F" w:rsidRPr="0071782F">
        <w:rPr>
          <w:lang w:val="fr-CH"/>
        </w:rPr>
        <w:t>cas</w:t>
      </w:r>
      <w:r w:rsidRPr="0071782F">
        <w:rPr>
          <w:lang w:val="fr-CH"/>
        </w:rPr>
        <w:t xml:space="preserve">), </w:t>
      </w:r>
      <w:r w:rsidR="00AA4A8F" w:rsidRPr="0071782F">
        <w:rPr>
          <w:lang w:val="fr-CH"/>
        </w:rPr>
        <w:t>fourniture de résine pour scellement des fissures (95</w:t>
      </w:r>
      <w:r w:rsidR="00AE105F" w:rsidRPr="0071782F">
        <w:rPr>
          <w:lang w:val="fr-CH"/>
        </w:rPr>
        <w:t> </w:t>
      </w:r>
      <w:r w:rsidRPr="0071782F">
        <w:rPr>
          <w:lang w:val="fr-CH"/>
        </w:rPr>
        <w:t>654</w:t>
      </w:r>
      <w:r w:rsidR="00AE105F" w:rsidRPr="0071782F">
        <w:rPr>
          <w:lang w:val="fr-CH"/>
        </w:rPr>
        <w:t> </w:t>
      </w:r>
      <w:r w:rsidRPr="0071782F">
        <w:rPr>
          <w:lang w:val="fr-CH"/>
        </w:rPr>
        <w:t>cas), tr</w:t>
      </w:r>
      <w:r w:rsidR="00AA4A8F" w:rsidRPr="0071782F">
        <w:rPr>
          <w:lang w:val="fr-CH"/>
        </w:rPr>
        <w:t>aitement dentaire des enfants âgés de moins de six</w:t>
      </w:r>
      <w:r w:rsidR="00D82C96" w:rsidRPr="0071782F">
        <w:rPr>
          <w:lang w:val="fr-CH"/>
        </w:rPr>
        <w:t> ans</w:t>
      </w:r>
      <w:r w:rsidR="00AA4A8F" w:rsidRPr="0071782F">
        <w:rPr>
          <w:lang w:val="fr-CH"/>
        </w:rPr>
        <w:t xml:space="preserve"> (159</w:t>
      </w:r>
      <w:r w:rsidR="00AE105F" w:rsidRPr="0071782F">
        <w:rPr>
          <w:lang w:val="fr-CH"/>
        </w:rPr>
        <w:t> </w:t>
      </w:r>
      <w:r w:rsidR="00AA4A8F" w:rsidRPr="0071782F">
        <w:rPr>
          <w:lang w:val="fr-CH"/>
        </w:rPr>
        <w:t>261</w:t>
      </w:r>
      <w:r w:rsidR="00AE105F" w:rsidRPr="0071782F">
        <w:rPr>
          <w:lang w:val="fr-CH"/>
        </w:rPr>
        <w:t> </w:t>
      </w:r>
      <w:r w:rsidR="00AA4A8F" w:rsidRPr="0071782F">
        <w:rPr>
          <w:lang w:val="fr-CH"/>
        </w:rPr>
        <w:t>cas</w:t>
      </w:r>
      <w:r w:rsidRPr="0071782F">
        <w:rPr>
          <w:lang w:val="fr-CH"/>
        </w:rPr>
        <w:t xml:space="preserve">), </w:t>
      </w:r>
      <w:r w:rsidR="00AA4A8F" w:rsidRPr="0071782F">
        <w:rPr>
          <w:lang w:val="fr-CH"/>
        </w:rPr>
        <w:t xml:space="preserve">achat et </w:t>
      </w:r>
      <w:r w:rsidRPr="0071782F">
        <w:rPr>
          <w:lang w:val="fr-CH"/>
        </w:rPr>
        <w:t xml:space="preserve">distribution </w:t>
      </w:r>
      <w:r w:rsidR="00AA4A8F" w:rsidRPr="0071782F">
        <w:rPr>
          <w:lang w:val="fr-CH"/>
        </w:rPr>
        <w:t>d’équipements dentaires</w:t>
      </w:r>
      <w:r w:rsidRPr="0071782F">
        <w:rPr>
          <w:lang w:val="fr-CH"/>
        </w:rPr>
        <w:t xml:space="preserve">, </w:t>
      </w:r>
      <w:r w:rsidR="00AA4A8F" w:rsidRPr="0071782F">
        <w:rPr>
          <w:lang w:val="fr-CH"/>
        </w:rPr>
        <w:t xml:space="preserve">impression et </w:t>
      </w:r>
      <w:r w:rsidRPr="0071782F">
        <w:rPr>
          <w:lang w:val="fr-CH"/>
        </w:rPr>
        <w:t xml:space="preserve">distribution </w:t>
      </w:r>
      <w:r w:rsidR="00AA4A8F" w:rsidRPr="0071782F">
        <w:rPr>
          <w:lang w:val="fr-CH"/>
        </w:rPr>
        <w:t xml:space="preserve">de </w:t>
      </w:r>
      <w:r w:rsidRPr="0071782F">
        <w:rPr>
          <w:lang w:val="fr-CH"/>
        </w:rPr>
        <w:t>15</w:t>
      </w:r>
      <w:r w:rsidR="00AE105F" w:rsidRPr="0071782F">
        <w:rPr>
          <w:lang w:val="fr-CH"/>
        </w:rPr>
        <w:t> </w:t>
      </w:r>
      <w:r w:rsidRPr="0071782F">
        <w:rPr>
          <w:lang w:val="fr-CH"/>
        </w:rPr>
        <w:t>500</w:t>
      </w:r>
      <w:r w:rsidR="00AE105F" w:rsidRPr="0071782F">
        <w:rPr>
          <w:lang w:val="fr-CH"/>
        </w:rPr>
        <w:t> </w:t>
      </w:r>
      <w:r w:rsidR="00AA4A8F" w:rsidRPr="0071782F">
        <w:rPr>
          <w:lang w:val="fr-CH"/>
        </w:rPr>
        <w:t xml:space="preserve">livres éducatifs et de </w:t>
      </w:r>
      <w:r w:rsidRPr="0071782F">
        <w:rPr>
          <w:lang w:val="fr-CH"/>
        </w:rPr>
        <w:t>400</w:t>
      </w:r>
      <w:r w:rsidR="00AA4A8F" w:rsidRPr="0071782F">
        <w:rPr>
          <w:lang w:val="fr-CH"/>
        </w:rPr>
        <w:t xml:space="preserve"> </w:t>
      </w:r>
      <w:r w:rsidRPr="0071782F">
        <w:rPr>
          <w:lang w:val="fr-CH"/>
        </w:rPr>
        <w:t xml:space="preserve">000 </w:t>
      </w:r>
      <w:r w:rsidR="00AA4A8F" w:rsidRPr="0071782F">
        <w:rPr>
          <w:lang w:val="fr-CH"/>
        </w:rPr>
        <w:t>affiches, brochures et tracts éducatifs</w:t>
      </w:r>
      <w:r w:rsidRPr="0071782F">
        <w:rPr>
          <w:lang w:val="fr-CH"/>
        </w:rPr>
        <w:t>.</w:t>
      </w:r>
    </w:p>
    <w:p w:rsidR="00E5019F" w:rsidRPr="0071782F" w:rsidRDefault="00E5019F" w:rsidP="00E5019F">
      <w:pPr>
        <w:pStyle w:val="SingleTxtG"/>
        <w:ind w:left="1701"/>
        <w:rPr>
          <w:lang w:val="fr-CH"/>
        </w:rPr>
      </w:pPr>
      <w:r w:rsidRPr="0071782F">
        <w:rPr>
          <w:lang w:val="fr-CH"/>
        </w:rPr>
        <w:t>262.5.</w:t>
      </w:r>
      <w:r w:rsidRPr="0071782F">
        <w:rPr>
          <w:lang w:val="fr-CH"/>
        </w:rPr>
        <w:tab/>
      </w:r>
      <w:r w:rsidR="00AA4A8F" w:rsidRPr="0071782F">
        <w:rPr>
          <w:lang w:val="fr-CH"/>
        </w:rPr>
        <w:t xml:space="preserve">Augmentation du </w:t>
      </w:r>
      <w:r w:rsidR="003B48A4" w:rsidRPr="0071782F">
        <w:rPr>
          <w:lang w:val="fr-CH"/>
        </w:rPr>
        <w:t>nombre</w:t>
      </w:r>
      <w:r w:rsidRPr="0071782F">
        <w:rPr>
          <w:lang w:val="fr-CH"/>
        </w:rPr>
        <w:t xml:space="preserve"> </w:t>
      </w:r>
      <w:r w:rsidR="00AA4A8F" w:rsidRPr="0071782F">
        <w:rPr>
          <w:lang w:val="fr-CH"/>
        </w:rPr>
        <w:t>des centres d’hémo</w:t>
      </w:r>
      <w:r w:rsidRPr="0071782F">
        <w:rPr>
          <w:lang w:val="fr-CH"/>
        </w:rPr>
        <w:t>dialys</w:t>
      </w:r>
      <w:r w:rsidR="00AA4A8F" w:rsidRPr="0071782F">
        <w:rPr>
          <w:lang w:val="fr-CH"/>
        </w:rPr>
        <w:t xml:space="preserve">e, qui est passé de </w:t>
      </w:r>
      <w:r w:rsidRPr="0071782F">
        <w:rPr>
          <w:lang w:val="fr-CH"/>
        </w:rPr>
        <w:t xml:space="preserve">304 </w:t>
      </w:r>
      <w:r w:rsidR="00AA4A8F" w:rsidRPr="0071782F">
        <w:rPr>
          <w:lang w:val="fr-CH"/>
        </w:rPr>
        <w:t>à</w:t>
      </w:r>
      <w:r w:rsidRPr="0071782F">
        <w:rPr>
          <w:lang w:val="fr-CH"/>
        </w:rPr>
        <w:t xml:space="preserve"> 377, </w:t>
      </w:r>
      <w:r w:rsidR="00AA4A8F" w:rsidRPr="0071782F">
        <w:rPr>
          <w:lang w:val="fr-CH"/>
        </w:rPr>
        <w:t xml:space="preserve">augmentation du nombre des centres de dialyse </w:t>
      </w:r>
      <w:r w:rsidRPr="0071782F">
        <w:rPr>
          <w:lang w:val="fr-CH"/>
        </w:rPr>
        <w:t>p</w:t>
      </w:r>
      <w:r w:rsidR="00AA4A8F" w:rsidRPr="0071782F">
        <w:rPr>
          <w:lang w:val="fr-CH"/>
        </w:rPr>
        <w:t>é</w:t>
      </w:r>
      <w:r w:rsidRPr="0071782F">
        <w:rPr>
          <w:lang w:val="fr-CH"/>
        </w:rPr>
        <w:t>riton</w:t>
      </w:r>
      <w:r w:rsidR="00AA4A8F" w:rsidRPr="0071782F">
        <w:rPr>
          <w:lang w:val="fr-CH"/>
        </w:rPr>
        <w:t>é</w:t>
      </w:r>
      <w:r w:rsidRPr="0071782F">
        <w:rPr>
          <w:lang w:val="fr-CH"/>
        </w:rPr>
        <w:t>al</w:t>
      </w:r>
      <w:r w:rsidR="00AA4A8F" w:rsidRPr="0071782F">
        <w:rPr>
          <w:lang w:val="fr-CH"/>
        </w:rPr>
        <w:t xml:space="preserve">e, passé de </w:t>
      </w:r>
      <w:r w:rsidRPr="0071782F">
        <w:rPr>
          <w:lang w:val="fr-CH"/>
        </w:rPr>
        <w:t xml:space="preserve">32 </w:t>
      </w:r>
      <w:r w:rsidR="00AA4A8F" w:rsidRPr="0071782F">
        <w:rPr>
          <w:lang w:val="fr-CH"/>
        </w:rPr>
        <w:t>à</w:t>
      </w:r>
      <w:r w:rsidRPr="0071782F">
        <w:rPr>
          <w:lang w:val="fr-CH"/>
        </w:rPr>
        <w:t xml:space="preserve"> 42, </w:t>
      </w:r>
      <w:r w:rsidR="00AA4A8F" w:rsidRPr="0071782F">
        <w:rPr>
          <w:lang w:val="fr-CH"/>
        </w:rPr>
        <w:t>et amélioration de la qualité</w:t>
      </w:r>
      <w:r w:rsidRPr="0071782F">
        <w:rPr>
          <w:lang w:val="fr-CH"/>
        </w:rPr>
        <w:t xml:space="preserve"> </w:t>
      </w:r>
      <w:r w:rsidR="00AA4A8F" w:rsidRPr="0071782F">
        <w:rPr>
          <w:lang w:val="fr-CH"/>
        </w:rPr>
        <w:t xml:space="preserve">de l’hémodialyse à l’aide d’un tampon </w:t>
      </w:r>
      <w:r w:rsidRPr="0071782F">
        <w:rPr>
          <w:lang w:val="fr-CH"/>
        </w:rPr>
        <w:t>bicarbonate</w:t>
      </w:r>
      <w:r w:rsidR="00AA4A8F" w:rsidRPr="0071782F">
        <w:rPr>
          <w:lang w:val="fr-CH"/>
        </w:rPr>
        <w:t xml:space="preserve">, passée de </w:t>
      </w:r>
      <w:r w:rsidRPr="0071782F">
        <w:rPr>
          <w:lang w:val="fr-CH"/>
        </w:rPr>
        <w:t>20</w:t>
      </w:r>
      <w:r w:rsidR="007E5125" w:rsidRPr="0071782F">
        <w:rPr>
          <w:lang w:val="fr-CH"/>
        </w:rPr>
        <w:t>%</w:t>
      </w:r>
      <w:r w:rsidRPr="0071782F">
        <w:rPr>
          <w:lang w:val="fr-CH"/>
        </w:rPr>
        <w:t xml:space="preserve"> </w:t>
      </w:r>
      <w:r w:rsidR="00AA4A8F" w:rsidRPr="0071782F">
        <w:rPr>
          <w:lang w:val="fr-CH"/>
        </w:rPr>
        <w:t>à</w:t>
      </w:r>
      <w:r w:rsidRPr="0071782F">
        <w:rPr>
          <w:lang w:val="fr-CH"/>
        </w:rPr>
        <w:t xml:space="preserve"> 85</w:t>
      </w:r>
      <w:r w:rsidR="007E5125" w:rsidRPr="0071782F">
        <w:rPr>
          <w:lang w:val="fr-CH"/>
        </w:rPr>
        <w:t>%</w:t>
      </w:r>
      <w:r w:rsidRPr="0071782F">
        <w:rPr>
          <w:lang w:val="fr-CH"/>
        </w:rPr>
        <w:t xml:space="preserve">, </w:t>
      </w:r>
      <w:r w:rsidR="00AA4A8F" w:rsidRPr="0071782F">
        <w:rPr>
          <w:lang w:val="fr-CH"/>
        </w:rPr>
        <w:t>augmentation du nombre des donneurs d’organes</w:t>
      </w:r>
      <w:r w:rsidRPr="0071782F">
        <w:rPr>
          <w:lang w:val="fr-CH"/>
        </w:rPr>
        <w:t xml:space="preserve"> (</w:t>
      </w:r>
      <w:r w:rsidR="00AA4A8F" w:rsidRPr="0071782F">
        <w:rPr>
          <w:lang w:val="fr-CH"/>
        </w:rPr>
        <w:t>personnes dans un coma dépassé</w:t>
      </w:r>
      <w:r w:rsidRPr="0071782F">
        <w:rPr>
          <w:lang w:val="fr-CH"/>
        </w:rPr>
        <w:t>)</w:t>
      </w:r>
      <w:r w:rsidR="00AA4A8F" w:rsidRPr="0071782F">
        <w:rPr>
          <w:lang w:val="fr-CH"/>
        </w:rPr>
        <w:t xml:space="preserve">, passé de </w:t>
      </w:r>
      <w:r w:rsidRPr="0071782F">
        <w:rPr>
          <w:lang w:val="fr-CH"/>
        </w:rPr>
        <w:t xml:space="preserve">118 </w:t>
      </w:r>
      <w:r w:rsidR="00AA4A8F" w:rsidRPr="0071782F">
        <w:rPr>
          <w:lang w:val="fr-CH"/>
        </w:rPr>
        <w:t>cas à 203</w:t>
      </w:r>
      <w:r w:rsidRPr="0071782F">
        <w:rPr>
          <w:lang w:val="fr-CH"/>
        </w:rPr>
        <w:t xml:space="preserve">, </w:t>
      </w:r>
      <w:r w:rsidR="00AA4A8F" w:rsidRPr="0071782F">
        <w:rPr>
          <w:lang w:val="fr-CH"/>
        </w:rPr>
        <w:t xml:space="preserve">et augmentation du </w:t>
      </w:r>
      <w:r w:rsidR="003B48A4" w:rsidRPr="0071782F">
        <w:rPr>
          <w:lang w:val="fr-CH"/>
        </w:rPr>
        <w:t>nombre</w:t>
      </w:r>
      <w:r w:rsidR="00AA4A8F" w:rsidRPr="0071782F">
        <w:rPr>
          <w:lang w:val="fr-CH"/>
        </w:rPr>
        <w:t xml:space="preserve"> de </w:t>
      </w:r>
      <w:r w:rsidR="004E79AE" w:rsidRPr="0071782F">
        <w:rPr>
          <w:lang w:val="fr-CH"/>
        </w:rPr>
        <w:t>greffes</w:t>
      </w:r>
      <w:r w:rsidR="00AA4A8F" w:rsidRPr="0071782F">
        <w:rPr>
          <w:lang w:val="fr-CH"/>
        </w:rPr>
        <w:t xml:space="preserve"> de rein, passé de </w:t>
      </w:r>
      <w:r w:rsidRPr="0071782F">
        <w:rPr>
          <w:lang w:val="fr-CH"/>
        </w:rPr>
        <w:t xml:space="preserve">61 </w:t>
      </w:r>
      <w:r w:rsidR="00AA4A8F" w:rsidRPr="0071782F">
        <w:rPr>
          <w:lang w:val="fr-CH"/>
        </w:rPr>
        <w:t xml:space="preserve">cas à </w:t>
      </w:r>
      <w:r w:rsidRPr="0071782F">
        <w:rPr>
          <w:lang w:val="fr-CH"/>
        </w:rPr>
        <w:t xml:space="preserve">197, </w:t>
      </w:r>
      <w:r w:rsidR="00AA4A8F" w:rsidRPr="0071782F">
        <w:rPr>
          <w:lang w:val="fr-CH"/>
        </w:rPr>
        <w:t>de</w:t>
      </w:r>
      <w:r w:rsidR="004E79AE" w:rsidRPr="0071782F">
        <w:rPr>
          <w:lang w:val="fr-CH"/>
        </w:rPr>
        <w:t xml:space="preserve"> greffes de </w:t>
      </w:r>
      <w:r w:rsidR="0071782F" w:rsidRPr="0071782F">
        <w:rPr>
          <w:lang w:val="fr-CH"/>
        </w:rPr>
        <w:t>cœur</w:t>
      </w:r>
      <w:r w:rsidR="00AA4A8F" w:rsidRPr="0071782F">
        <w:rPr>
          <w:lang w:val="fr-CH"/>
        </w:rPr>
        <w:t xml:space="preserve">, passé de </w:t>
      </w:r>
      <w:r w:rsidRPr="0071782F">
        <w:rPr>
          <w:lang w:val="fr-CH"/>
        </w:rPr>
        <w:t xml:space="preserve">16 </w:t>
      </w:r>
      <w:r w:rsidR="00AA4A8F" w:rsidRPr="0071782F">
        <w:rPr>
          <w:lang w:val="fr-CH"/>
        </w:rPr>
        <w:t>cas à</w:t>
      </w:r>
      <w:r w:rsidRPr="0071782F">
        <w:rPr>
          <w:lang w:val="fr-CH"/>
        </w:rPr>
        <w:t xml:space="preserve"> 52 </w:t>
      </w:r>
      <w:r w:rsidR="00AA4A8F" w:rsidRPr="0071782F">
        <w:rPr>
          <w:lang w:val="fr-CH"/>
        </w:rPr>
        <w:t xml:space="preserve">et </w:t>
      </w:r>
      <w:r w:rsidR="004E79AE" w:rsidRPr="0071782F">
        <w:rPr>
          <w:lang w:val="fr-CH"/>
        </w:rPr>
        <w:t xml:space="preserve">de greffes </w:t>
      </w:r>
      <w:r w:rsidR="00AA4A8F" w:rsidRPr="0071782F">
        <w:rPr>
          <w:lang w:val="fr-CH"/>
        </w:rPr>
        <w:t>de</w:t>
      </w:r>
      <w:r w:rsidR="004E79AE" w:rsidRPr="0071782F">
        <w:rPr>
          <w:lang w:val="fr-CH"/>
        </w:rPr>
        <w:t xml:space="preserve"> poumon</w:t>
      </w:r>
      <w:r w:rsidR="00AA4A8F" w:rsidRPr="0071782F">
        <w:rPr>
          <w:lang w:val="fr-CH"/>
        </w:rPr>
        <w:t xml:space="preserve">, passé de quatre cas à 11. Ces chiffres correspondent aux années </w:t>
      </w:r>
      <w:r w:rsidRPr="0071782F">
        <w:rPr>
          <w:lang w:val="fr-CH"/>
        </w:rPr>
        <w:t xml:space="preserve">2005 </w:t>
      </w:r>
      <w:r w:rsidR="00AA4A8F" w:rsidRPr="0071782F">
        <w:rPr>
          <w:lang w:val="fr-CH"/>
        </w:rPr>
        <w:t>et</w:t>
      </w:r>
      <w:r w:rsidR="00CD16EC">
        <w:rPr>
          <w:lang w:val="fr-CH"/>
        </w:rPr>
        <w:t> </w:t>
      </w:r>
      <w:r w:rsidRPr="0071782F">
        <w:rPr>
          <w:lang w:val="fr-CH"/>
        </w:rPr>
        <w:t>2008.</w:t>
      </w:r>
    </w:p>
    <w:p w:rsidR="00E5019F" w:rsidRPr="0071782F" w:rsidRDefault="00E5019F" w:rsidP="00E5019F">
      <w:pPr>
        <w:pStyle w:val="SingleTxtG"/>
        <w:ind w:left="1701"/>
        <w:rPr>
          <w:spacing w:val="-2"/>
          <w:lang w:val="fr-CH"/>
        </w:rPr>
      </w:pPr>
      <w:r w:rsidRPr="0071782F">
        <w:rPr>
          <w:spacing w:val="-2"/>
          <w:lang w:val="fr-CH"/>
        </w:rPr>
        <w:t>262.6.</w:t>
      </w:r>
      <w:r w:rsidRPr="0071782F">
        <w:rPr>
          <w:spacing w:val="-2"/>
          <w:lang w:val="fr-CH"/>
        </w:rPr>
        <w:tab/>
      </w:r>
      <w:r w:rsidR="002E6FE6" w:rsidRPr="0071782F">
        <w:rPr>
          <w:spacing w:val="-2"/>
          <w:lang w:val="fr-CH"/>
        </w:rPr>
        <w:t xml:space="preserve">Réalisation de </w:t>
      </w:r>
      <w:r w:rsidRPr="0071782F">
        <w:rPr>
          <w:spacing w:val="-2"/>
          <w:lang w:val="fr-CH"/>
        </w:rPr>
        <w:t>7</w:t>
      </w:r>
      <w:r w:rsidR="00AE105F" w:rsidRPr="0071782F">
        <w:rPr>
          <w:spacing w:val="-2"/>
          <w:lang w:val="fr-CH"/>
        </w:rPr>
        <w:t> </w:t>
      </w:r>
      <w:r w:rsidRPr="0071782F">
        <w:rPr>
          <w:spacing w:val="-2"/>
          <w:lang w:val="fr-CH"/>
        </w:rPr>
        <w:t>625</w:t>
      </w:r>
      <w:r w:rsidR="00AE105F" w:rsidRPr="0071782F">
        <w:rPr>
          <w:spacing w:val="-2"/>
          <w:lang w:val="fr-CH"/>
        </w:rPr>
        <w:t> </w:t>
      </w:r>
      <w:r w:rsidR="002E6FE6" w:rsidRPr="0071782F">
        <w:rPr>
          <w:spacing w:val="-2"/>
          <w:lang w:val="fr-CH"/>
        </w:rPr>
        <w:t xml:space="preserve">greffes de rein, achat de </w:t>
      </w:r>
      <w:r w:rsidRPr="0071782F">
        <w:rPr>
          <w:spacing w:val="-2"/>
          <w:lang w:val="fr-CH"/>
        </w:rPr>
        <w:t>1</w:t>
      </w:r>
      <w:r w:rsidR="00AE105F" w:rsidRPr="0071782F">
        <w:rPr>
          <w:spacing w:val="-2"/>
          <w:lang w:val="fr-CH"/>
        </w:rPr>
        <w:t> </w:t>
      </w:r>
      <w:r w:rsidRPr="0071782F">
        <w:rPr>
          <w:spacing w:val="-2"/>
          <w:lang w:val="fr-CH"/>
        </w:rPr>
        <w:t>100 machines</w:t>
      </w:r>
      <w:r w:rsidR="002E6FE6" w:rsidRPr="0071782F">
        <w:rPr>
          <w:spacing w:val="-2"/>
          <w:lang w:val="fr-CH"/>
        </w:rPr>
        <w:t xml:space="preserve"> de dialyse rénale</w:t>
      </w:r>
      <w:r w:rsidRPr="0071782F">
        <w:rPr>
          <w:spacing w:val="-2"/>
          <w:lang w:val="fr-CH"/>
        </w:rPr>
        <w:t>, tr</w:t>
      </w:r>
      <w:r w:rsidR="002E6FE6" w:rsidRPr="0071782F">
        <w:rPr>
          <w:spacing w:val="-2"/>
          <w:lang w:val="fr-CH"/>
        </w:rPr>
        <w:t xml:space="preserve">aitement gratuit de </w:t>
      </w:r>
      <w:r w:rsidRPr="0071782F">
        <w:rPr>
          <w:spacing w:val="-2"/>
          <w:lang w:val="fr-CH"/>
        </w:rPr>
        <w:t>1</w:t>
      </w:r>
      <w:r w:rsidR="00AE105F" w:rsidRPr="0071782F">
        <w:rPr>
          <w:spacing w:val="-2"/>
          <w:lang w:val="fr-CH"/>
        </w:rPr>
        <w:t> </w:t>
      </w:r>
      <w:r w:rsidRPr="0071782F">
        <w:rPr>
          <w:spacing w:val="-2"/>
          <w:lang w:val="fr-CH"/>
        </w:rPr>
        <w:t>200</w:t>
      </w:r>
      <w:r w:rsidR="00097CDB" w:rsidRPr="0071782F">
        <w:rPr>
          <w:spacing w:val="-2"/>
          <w:lang w:val="fr-CH"/>
        </w:rPr>
        <w:t> personnes</w:t>
      </w:r>
      <w:r w:rsidR="002E6FE6" w:rsidRPr="0071782F">
        <w:rPr>
          <w:spacing w:val="-2"/>
          <w:lang w:val="fr-CH"/>
        </w:rPr>
        <w:t xml:space="preserve"> souffrant d’</w:t>
      </w:r>
      <w:r w:rsidRPr="0071782F">
        <w:rPr>
          <w:spacing w:val="-2"/>
          <w:lang w:val="fr-CH"/>
        </w:rPr>
        <w:t>h</w:t>
      </w:r>
      <w:r w:rsidR="002E6FE6" w:rsidRPr="0071782F">
        <w:rPr>
          <w:spacing w:val="-2"/>
          <w:lang w:val="fr-CH"/>
        </w:rPr>
        <w:t>é</w:t>
      </w:r>
      <w:r w:rsidRPr="0071782F">
        <w:rPr>
          <w:spacing w:val="-2"/>
          <w:lang w:val="fr-CH"/>
        </w:rPr>
        <w:t>patit</w:t>
      </w:r>
      <w:r w:rsidR="002E6FE6" w:rsidRPr="0071782F">
        <w:rPr>
          <w:spacing w:val="-2"/>
          <w:lang w:val="fr-CH"/>
        </w:rPr>
        <w:t xml:space="preserve">e </w:t>
      </w:r>
      <w:r w:rsidRPr="0071782F">
        <w:rPr>
          <w:spacing w:val="-2"/>
          <w:lang w:val="fr-CH"/>
        </w:rPr>
        <w:t xml:space="preserve">C, </w:t>
      </w:r>
      <w:r w:rsidR="002E6FE6" w:rsidRPr="0071782F">
        <w:rPr>
          <w:spacing w:val="-2"/>
          <w:lang w:val="fr-CH"/>
        </w:rPr>
        <w:t xml:space="preserve">de </w:t>
      </w:r>
      <w:r w:rsidRPr="0071782F">
        <w:rPr>
          <w:spacing w:val="-2"/>
          <w:lang w:val="fr-CH"/>
        </w:rPr>
        <w:t>thalass</w:t>
      </w:r>
      <w:r w:rsidR="002E6FE6" w:rsidRPr="0071782F">
        <w:rPr>
          <w:spacing w:val="-2"/>
          <w:lang w:val="fr-CH"/>
        </w:rPr>
        <w:t>é</w:t>
      </w:r>
      <w:r w:rsidRPr="0071782F">
        <w:rPr>
          <w:spacing w:val="-2"/>
          <w:lang w:val="fr-CH"/>
        </w:rPr>
        <w:t>mi</w:t>
      </w:r>
      <w:r w:rsidR="002E6FE6" w:rsidRPr="0071782F">
        <w:rPr>
          <w:spacing w:val="-2"/>
          <w:lang w:val="fr-CH"/>
        </w:rPr>
        <w:t>e</w:t>
      </w:r>
      <w:r w:rsidRPr="0071782F">
        <w:rPr>
          <w:spacing w:val="-2"/>
          <w:lang w:val="fr-CH"/>
        </w:rPr>
        <w:t xml:space="preserve"> </w:t>
      </w:r>
      <w:r w:rsidR="002E6FE6" w:rsidRPr="0071782F">
        <w:rPr>
          <w:spacing w:val="-2"/>
          <w:lang w:val="fr-CH"/>
        </w:rPr>
        <w:t>et d’</w:t>
      </w:r>
      <w:r w:rsidRPr="0071782F">
        <w:rPr>
          <w:spacing w:val="-2"/>
          <w:lang w:val="fr-CH"/>
        </w:rPr>
        <w:t>h</w:t>
      </w:r>
      <w:r w:rsidR="002E6FE6" w:rsidRPr="0071782F">
        <w:rPr>
          <w:spacing w:val="-2"/>
          <w:lang w:val="fr-CH"/>
        </w:rPr>
        <w:t>é</w:t>
      </w:r>
      <w:r w:rsidRPr="0071782F">
        <w:rPr>
          <w:spacing w:val="-2"/>
          <w:lang w:val="fr-CH"/>
        </w:rPr>
        <w:t>mophili</w:t>
      </w:r>
      <w:r w:rsidR="002E6FE6" w:rsidRPr="0071782F">
        <w:rPr>
          <w:spacing w:val="-2"/>
          <w:lang w:val="fr-CH"/>
        </w:rPr>
        <w:t xml:space="preserve">e, et fourniture gratuite de </w:t>
      </w:r>
      <w:r w:rsidRPr="0071782F">
        <w:rPr>
          <w:spacing w:val="-2"/>
          <w:lang w:val="fr-CH"/>
        </w:rPr>
        <w:t xml:space="preserve">services </w:t>
      </w:r>
      <w:r w:rsidR="002E6FE6" w:rsidRPr="0071782F">
        <w:rPr>
          <w:spacing w:val="-2"/>
          <w:lang w:val="fr-CH"/>
        </w:rPr>
        <w:t xml:space="preserve">à des patients atteints de </w:t>
      </w:r>
      <w:r w:rsidRPr="0071782F">
        <w:rPr>
          <w:spacing w:val="-2"/>
          <w:lang w:val="fr-CH"/>
        </w:rPr>
        <w:t>thalass</w:t>
      </w:r>
      <w:r w:rsidR="002E6FE6" w:rsidRPr="0071782F">
        <w:rPr>
          <w:spacing w:val="-2"/>
          <w:lang w:val="fr-CH"/>
        </w:rPr>
        <w:t>é</w:t>
      </w:r>
      <w:r w:rsidRPr="0071782F">
        <w:rPr>
          <w:spacing w:val="-2"/>
          <w:lang w:val="fr-CH"/>
        </w:rPr>
        <w:t>mi</w:t>
      </w:r>
      <w:r w:rsidR="002E6FE6" w:rsidRPr="0071782F">
        <w:rPr>
          <w:spacing w:val="-2"/>
          <w:lang w:val="fr-CH"/>
        </w:rPr>
        <w:t>e</w:t>
      </w:r>
      <w:r w:rsidRPr="0071782F">
        <w:rPr>
          <w:spacing w:val="-2"/>
          <w:lang w:val="fr-CH"/>
        </w:rPr>
        <w:t xml:space="preserve">, </w:t>
      </w:r>
      <w:r w:rsidR="002E6FE6" w:rsidRPr="0071782F">
        <w:rPr>
          <w:spacing w:val="-2"/>
          <w:lang w:val="fr-CH"/>
        </w:rPr>
        <w:t>d’</w:t>
      </w:r>
      <w:r w:rsidRPr="0071782F">
        <w:rPr>
          <w:spacing w:val="-2"/>
          <w:lang w:val="fr-CH"/>
        </w:rPr>
        <w:t>h</w:t>
      </w:r>
      <w:r w:rsidR="002E6FE6" w:rsidRPr="0071782F">
        <w:rPr>
          <w:spacing w:val="-2"/>
          <w:lang w:val="fr-CH"/>
        </w:rPr>
        <w:t>é</w:t>
      </w:r>
      <w:r w:rsidRPr="0071782F">
        <w:rPr>
          <w:spacing w:val="-2"/>
          <w:lang w:val="fr-CH"/>
        </w:rPr>
        <w:t>mophili</w:t>
      </w:r>
      <w:r w:rsidR="002E6FE6" w:rsidRPr="0071782F">
        <w:rPr>
          <w:spacing w:val="-2"/>
          <w:lang w:val="fr-CH"/>
        </w:rPr>
        <w:t>e</w:t>
      </w:r>
      <w:r w:rsidRPr="0071782F">
        <w:rPr>
          <w:spacing w:val="-2"/>
          <w:lang w:val="fr-CH"/>
        </w:rPr>
        <w:t xml:space="preserve"> </w:t>
      </w:r>
      <w:r w:rsidR="002E6FE6" w:rsidRPr="0071782F">
        <w:rPr>
          <w:spacing w:val="-2"/>
          <w:lang w:val="fr-CH"/>
        </w:rPr>
        <w:t>et de sclérose en plaques dans les centres médicaux universitaires</w:t>
      </w:r>
      <w:r w:rsidRPr="0071782F">
        <w:rPr>
          <w:spacing w:val="-2"/>
          <w:lang w:val="fr-CH"/>
        </w:rPr>
        <w:t>.</w:t>
      </w:r>
    </w:p>
    <w:p w:rsidR="00E5019F" w:rsidRPr="0071782F" w:rsidRDefault="00E5019F" w:rsidP="00E5019F">
      <w:pPr>
        <w:pStyle w:val="SingleTxtG"/>
        <w:ind w:left="1701"/>
        <w:rPr>
          <w:spacing w:val="-2"/>
          <w:lang w:val="fr-CH"/>
        </w:rPr>
      </w:pPr>
      <w:r w:rsidRPr="0071782F">
        <w:rPr>
          <w:spacing w:val="-2"/>
          <w:lang w:val="fr-CH"/>
        </w:rPr>
        <w:t>262.7.</w:t>
      </w:r>
      <w:r w:rsidRPr="0071782F">
        <w:rPr>
          <w:spacing w:val="-2"/>
          <w:lang w:val="fr-CH"/>
        </w:rPr>
        <w:tab/>
      </w:r>
      <w:r w:rsidR="00D75111" w:rsidRPr="0071782F">
        <w:rPr>
          <w:spacing w:val="-2"/>
          <w:lang w:val="fr-CH"/>
        </w:rPr>
        <w:t>Passage de 98</w:t>
      </w:r>
      <w:r w:rsidR="007E5125" w:rsidRPr="0071782F">
        <w:rPr>
          <w:spacing w:val="-2"/>
          <w:lang w:val="fr-CH"/>
        </w:rPr>
        <w:t>%</w:t>
      </w:r>
      <w:r w:rsidR="00D75111" w:rsidRPr="0071782F">
        <w:rPr>
          <w:spacing w:val="-2"/>
          <w:lang w:val="fr-CH"/>
        </w:rPr>
        <w:t xml:space="preserve"> à 100</w:t>
      </w:r>
      <w:r w:rsidR="007E5125" w:rsidRPr="0071782F">
        <w:rPr>
          <w:spacing w:val="-2"/>
          <w:lang w:val="fr-CH"/>
        </w:rPr>
        <w:t>%</w:t>
      </w:r>
      <w:r w:rsidR="00D75111" w:rsidRPr="0071782F">
        <w:rPr>
          <w:spacing w:val="-2"/>
          <w:lang w:val="fr-CH"/>
        </w:rPr>
        <w:t xml:space="preserve"> des cas de </w:t>
      </w:r>
      <w:r w:rsidRPr="0071782F">
        <w:rPr>
          <w:spacing w:val="-2"/>
          <w:lang w:val="fr-CH"/>
        </w:rPr>
        <w:t>b</w:t>
      </w:r>
      <w:r w:rsidR="00D75111" w:rsidRPr="0071782F">
        <w:rPr>
          <w:spacing w:val="-2"/>
          <w:lang w:val="fr-CH"/>
        </w:rPr>
        <w:t>ê</w:t>
      </w:r>
      <w:r w:rsidRPr="0071782F">
        <w:rPr>
          <w:spacing w:val="-2"/>
          <w:lang w:val="fr-CH"/>
        </w:rPr>
        <w:t>ta-thalass</w:t>
      </w:r>
      <w:r w:rsidR="00D75111" w:rsidRPr="0071782F">
        <w:rPr>
          <w:spacing w:val="-2"/>
          <w:lang w:val="fr-CH"/>
        </w:rPr>
        <w:t>émie</w:t>
      </w:r>
      <w:r w:rsidRPr="0071782F">
        <w:rPr>
          <w:spacing w:val="-2"/>
          <w:lang w:val="fr-CH"/>
        </w:rPr>
        <w:t xml:space="preserve"> maj</w:t>
      </w:r>
      <w:r w:rsidR="00D75111" w:rsidRPr="0071782F">
        <w:rPr>
          <w:spacing w:val="-2"/>
          <w:lang w:val="fr-CH"/>
        </w:rPr>
        <w:t xml:space="preserve">eure traités, augmentation du </w:t>
      </w:r>
      <w:r w:rsidR="003B48A4" w:rsidRPr="0071782F">
        <w:rPr>
          <w:spacing w:val="-2"/>
          <w:lang w:val="fr-CH"/>
        </w:rPr>
        <w:t>nombre</w:t>
      </w:r>
      <w:r w:rsidRPr="0071782F">
        <w:rPr>
          <w:spacing w:val="-2"/>
          <w:lang w:val="fr-CH"/>
        </w:rPr>
        <w:t xml:space="preserve"> </w:t>
      </w:r>
      <w:r w:rsidR="00D75111" w:rsidRPr="0071782F">
        <w:rPr>
          <w:spacing w:val="-2"/>
          <w:lang w:val="fr-CH"/>
        </w:rPr>
        <w:t xml:space="preserve">de couples se soumettant volontairement aux tests de dépistage, passé de </w:t>
      </w:r>
      <w:r w:rsidRPr="0071782F">
        <w:rPr>
          <w:spacing w:val="-2"/>
          <w:lang w:val="fr-CH"/>
        </w:rPr>
        <w:t>804</w:t>
      </w:r>
      <w:r w:rsidR="0025727E" w:rsidRPr="0071782F">
        <w:rPr>
          <w:spacing w:val="-2"/>
          <w:lang w:val="fr-CH"/>
        </w:rPr>
        <w:t> </w:t>
      </w:r>
      <w:r w:rsidRPr="0071782F">
        <w:rPr>
          <w:spacing w:val="-2"/>
          <w:lang w:val="fr-CH"/>
        </w:rPr>
        <w:t xml:space="preserve">764 </w:t>
      </w:r>
      <w:r w:rsidR="00D75111" w:rsidRPr="0071782F">
        <w:rPr>
          <w:spacing w:val="-2"/>
          <w:lang w:val="fr-CH"/>
        </w:rPr>
        <w:t>à 983</w:t>
      </w:r>
      <w:r w:rsidR="0025727E" w:rsidRPr="0071782F">
        <w:rPr>
          <w:spacing w:val="-2"/>
          <w:lang w:val="fr-CH"/>
        </w:rPr>
        <w:t> </w:t>
      </w:r>
      <w:r w:rsidRPr="0071782F">
        <w:rPr>
          <w:spacing w:val="-2"/>
          <w:lang w:val="fr-CH"/>
        </w:rPr>
        <w:t xml:space="preserve">440, </w:t>
      </w:r>
      <w:r w:rsidR="00D75111" w:rsidRPr="0071782F">
        <w:rPr>
          <w:spacing w:val="-2"/>
          <w:lang w:val="fr-CH"/>
        </w:rPr>
        <w:t>augmentation du nombre</w:t>
      </w:r>
      <w:r w:rsidRPr="0071782F">
        <w:rPr>
          <w:spacing w:val="-2"/>
          <w:lang w:val="fr-CH"/>
        </w:rPr>
        <w:t xml:space="preserve"> </w:t>
      </w:r>
      <w:r w:rsidR="00D75111" w:rsidRPr="0071782F">
        <w:rPr>
          <w:spacing w:val="-2"/>
          <w:lang w:val="fr-CH"/>
        </w:rPr>
        <w:t>de couples identifiés comme porteurs, passé de 2</w:t>
      </w:r>
      <w:r w:rsidR="0025727E" w:rsidRPr="0071782F">
        <w:rPr>
          <w:spacing w:val="-2"/>
          <w:lang w:val="fr-CH"/>
        </w:rPr>
        <w:t> </w:t>
      </w:r>
      <w:r w:rsidR="00D75111" w:rsidRPr="0071782F">
        <w:rPr>
          <w:spacing w:val="-2"/>
          <w:lang w:val="fr-CH"/>
        </w:rPr>
        <w:t>850 à 5</w:t>
      </w:r>
      <w:r w:rsidR="0025727E" w:rsidRPr="0071782F">
        <w:rPr>
          <w:spacing w:val="-2"/>
          <w:lang w:val="fr-CH"/>
        </w:rPr>
        <w:t> </w:t>
      </w:r>
      <w:r w:rsidR="00D75111" w:rsidRPr="0071782F">
        <w:rPr>
          <w:spacing w:val="-2"/>
          <w:lang w:val="fr-CH"/>
        </w:rPr>
        <w:t>144 (</w:t>
      </w:r>
      <w:r w:rsidRPr="0071782F">
        <w:rPr>
          <w:spacing w:val="-2"/>
          <w:lang w:val="fr-CH"/>
        </w:rPr>
        <w:t>77</w:t>
      </w:r>
      <w:r w:rsidR="007E5125" w:rsidRPr="0071782F">
        <w:rPr>
          <w:spacing w:val="-2"/>
          <w:lang w:val="fr-CH"/>
        </w:rPr>
        <w:t>%</w:t>
      </w:r>
      <w:r w:rsidRPr="0071782F">
        <w:rPr>
          <w:spacing w:val="-2"/>
          <w:lang w:val="fr-CH"/>
        </w:rPr>
        <w:t xml:space="preserve"> </w:t>
      </w:r>
      <w:r w:rsidR="00D75111" w:rsidRPr="0071782F">
        <w:rPr>
          <w:spacing w:val="-2"/>
          <w:lang w:val="fr-CH"/>
        </w:rPr>
        <w:t>à</w:t>
      </w:r>
      <w:r w:rsidRPr="0071782F">
        <w:rPr>
          <w:spacing w:val="-2"/>
          <w:lang w:val="fr-CH"/>
        </w:rPr>
        <w:t xml:space="preserve"> 86</w:t>
      </w:r>
      <w:r w:rsidR="007E5125" w:rsidRPr="0071782F">
        <w:rPr>
          <w:spacing w:val="-2"/>
          <w:lang w:val="fr-CH"/>
        </w:rPr>
        <w:t>%</w:t>
      </w:r>
      <w:r w:rsidRPr="0071782F">
        <w:rPr>
          <w:spacing w:val="-2"/>
          <w:lang w:val="fr-CH"/>
        </w:rPr>
        <w:t xml:space="preserve">), </w:t>
      </w:r>
      <w:r w:rsidR="00D75111" w:rsidRPr="0071782F">
        <w:rPr>
          <w:spacing w:val="-2"/>
          <w:lang w:val="fr-CH"/>
        </w:rPr>
        <w:t xml:space="preserve">augmentation du pourcentage des consultations dans les centres de diagnostic prénatal, passé de </w:t>
      </w:r>
      <w:r w:rsidRPr="0071782F">
        <w:rPr>
          <w:spacing w:val="-2"/>
          <w:lang w:val="fr-CH"/>
        </w:rPr>
        <w:t>400</w:t>
      </w:r>
      <w:r w:rsidR="007E5125" w:rsidRPr="0071782F">
        <w:rPr>
          <w:spacing w:val="-2"/>
          <w:lang w:val="fr-CH"/>
        </w:rPr>
        <w:t>%</w:t>
      </w:r>
      <w:r w:rsidRPr="0071782F">
        <w:rPr>
          <w:spacing w:val="-2"/>
          <w:lang w:val="fr-CH"/>
        </w:rPr>
        <w:t xml:space="preserve"> </w:t>
      </w:r>
      <w:r w:rsidR="00D75111" w:rsidRPr="0071782F">
        <w:rPr>
          <w:spacing w:val="-2"/>
          <w:lang w:val="fr-CH"/>
        </w:rPr>
        <w:t>à</w:t>
      </w:r>
      <w:r w:rsidRPr="0071782F">
        <w:rPr>
          <w:spacing w:val="-2"/>
          <w:lang w:val="fr-CH"/>
        </w:rPr>
        <w:t xml:space="preserve"> 800</w:t>
      </w:r>
      <w:r w:rsidR="007E5125" w:rsidRPr="0071782F">
        <w:rPr>
          <w:spacing w:val="-2"/>
          <w:lang w:val="fr-CH"/>
        </w:rPr>
        <w:t>%</w:t>
      </w:r>
      <w:r w:rsidR="00D75111" w:rsidRPr="0071782F">
        <w:rPr>
          <w:spacing w:val="-2"/>
          <w:lang w:val="fr-CH"/>
        </w:rPr>
        <w:t xml:space="preserve"> et diminution du nombre de cas de bêta-thalassémie majeure, passé de 352 à 97 (</w:t>
      </w:r>
      <w:r w:rsidRPr="0071782F">
        <w:rPr>
          <w:spacing w:val="-2"/>
          <w:lang w:val="fr-CH"/>
        </w:rPr>
        <w:t>75</w:t>
      </w:r>
      <w:r w:rsidR="007E5125" w:rsidRPr="0071782F">
        <w:rPr>
          <w:spacing w:val="-2"/>
          <w:lang w:val="fr-CH"/>
        </w:rPr>
        <w:t>%</w:t>
      </w:r>
      <w:r w:rsidRPr="0071782F">
        <w:rPr>
          <w:spacing w:val="-2"/>
          <w:lang w:val="fr-CH"/>
        </w:rPr>
        <w:t xml:space="preserve"> </w:t>
      </w:r>
      <w:r w:rsidR="00D75111" w:rsidRPr="0071782F">
        <w:rPr>
          <w:spacing w:val="-2"/>
          <w:lang w:val="fr-CH"/>
        </w:rPr>
        <w:t>à</w:t>
      </w:r>
      <w:r w:rsidR="00AE105F" w:rsidRPr="0071782F">
        <w:rPr>
          <w:spacing w:val="-2"/>
          <w:lang w:val="fr-CH"/>
        </w:rPr>
        <w:t> </w:t>
      </w:r>
      <w:r w:rsidRPr="0071782F">
        <w:rPr>
          <w:spacing w:val="-2"/>
          <w:lang w:val="fr-CH"/>
        </w:rPr>
        <w:t>40</w:t>
      </w:r>
      <w:r w:rsidR="007E5125" w:rsidRPr="0071782F">
        <w:rPr>
          <w:spacing w:val="-2"/>
          <w:lang w:val="fr-CH"/>
        </w:rPr>
        <w:t>%</w:t>
      </w:r>
      <w:r w:rsidRPr="0071782F">
        <w:rPr>
          <w:spacing w:val="-2"/>
          <w:lang w:val="fr-CH"/>
        </w:rPr>
        <w:t>).</w:t>
      </w:r>
    </w:p>
    <w:p w:rsidR="00E5019F" w:rsidRPr="0071782F" w:rsidRDefault="00E5019F" w:rsidP="00E5019F">
      <w:pPr>
        <w:pStyle w:val="SingleTxtG"/>
        <w:ind w:left="1701"/>
        <w:rPr>
          <w:lang w:val="fr-CH"/>
        </w:rPr>
      </w:pPr>
      <w:r w:rsidRPr="0071782F">
        <w:rPr>
          <w:lang w:val="fr-CH"/>
        </w:rPr>
        <w:t>262.8.</w:t>
      </w:r>
      <w:r w:rsidRPr="0071782F">
        <w:rPr>
          <w:lang w:val="fr-CH"/>
        </w:rPr>
        <w:tab/>
      </w:r>
      <w:r w:rsidR="00D75111" w:rsidRPr="0071782F">
        <w:rPr>
          <w:lang w:val="fr-CH"/>
        </w:rPr>
        <w:t xml:space="preserve">Extension de la couverture du plan de dépistage de l’hypothyroïdie, passée de </w:t>
      </w:r>
      <w:r w:rsidRPr="0071782F">
        <w:rPr>
          <w:lang w:val="fr-CH"/>
        </w:rPr>
        <w:t>11</w:t>
      </w:r>
      <w:r w:rsidR="007E5125" w:rsidRPr="0071782F">
        <w:rPr>
          <w:lang w:val="fr-CH"/>
        </w:rPr>
        <w:t>%</w:t>
      </w:r>
      <w:r w:rsidRPr="0071782F">
        <w:rPr>
          <w:lang w:val="fr-CH"/>
        </w:rPr>
        <w:t xml:space="preserve"> </w:t>
      </w:r>
      <w:r w:rsidR="00D75111" w:rsidRPr="0071782F">
        <w:rPr>
          <w:lang w:val="fr-CH"/>
        </w:rPr>
        <w:t>e</w:t>
      </w:r>
      <w:r w:rsidRPr="0071782F">
        <w:rPr>
          <w:lang w:val="fr-CH"/>
        </w:rPr>
        <w:t>n 2004</w:t>
      </w:r>
      <w:r w:rsidR="00D75111" w:rsidRPr="0071782F">
        <w:rPr>
          <w:lang w:val="fr-CH"/>
        </w:rPr>
        <w:t xml:space="preserve"> (année où ce plan a été mis en place) à </w:t>
      </w:r>
      <w:r w:rsidRPr="0071782F">
        <w:rPr>
          <w:lang w:val="fr-CH"/>
        </w:rPr>
        <w:t>92</w:t>
      </w:r>
      <w:r w:rsidR="007E5125" w:rsidRPr="0071782F">
        <w:rPr>
          <w:lang w:val="fr-CH"/>
        </w:rPr>
        <w:t>%</w:t>
      </w:r>
      <w:r w:rsidRPr="0071782F">
        <w:rPr>
          <w:lang w:val="fr-CH"/>
        </w:rPr>
        <w:t xml:space="preserve"> </w:t>
      </w:r>
      <w:r w:rsidR="00D75111" w:rsidRPr="0071782F">
        <w:rPr>
          <w:lang w:val="fr-CH"/>
        </w:rPr>
        <w:t>e</w:t>
      </w:r>
      <w:r w:rsidRPr="0071782F">
        <w:rPr>
          <w:lang w:val="fr-CH"/>
        </w:rPr>
        <w:t>n 2008</w:t>
      </w:r>
      <w:r w:rsidR="00D75111" w:rsidRPr="0071782F">
        <w:rPr>
          <w:lang w:val="fr-CH"/>
        </w:rPr>
        <w:t>, grâce à son intégration dans le système de santé</w:t>
      </w:r>
      <w:r w:rsidRPr="0071782F">
        <w:rPr>
          <w:lang w:val="fr-CH"/>
        </w:rPr>
        <w:t xml:space="preserve">. </w:t>
      </w:r>
      <w:r w:rsidR="00D75111" w:rsidRPr="0071782F">
        <w:rPr>
          <w:lang w:val="fr-CH"/>
        </w:rPr>
        <w:t xml:space="preserve">Ce plan a permis jusqu’ici d’examiner quelque </w:t>
      </w:r>
      <w:r w:rsidRPr="0071782F">
        <w:rPr>
          <w:lang w:val="fr-CH"/>
        </w:rPr>
        <w:t>2</w:t>
      </w:r>
      <w:r w:rsidR="00D75111" w:rsidRPr="0071782F">
        <w:rPr>
          <w:lang w:val="fr-CH"/>
        </w:rPr>
        <w:t>,</w:t>
      </w:r>
      <w:r w:rsidRPr="0071782F">
        <w:rPr>
          <w:lang w:val="fr-CH"/>
        </w:rPr>
        <w:t>9</w:t>
      </w:r>
      <w:r w:rsidR="00097CDB" w:rsidRPr="0071782F">
        <w:rPr>
          <w:lang w:val="fr-CH"/>
        </w:rPr>
        <w:t> millions</w:t>
      </w:r>
      <w:r w:rsidR="00D75111" w:rsidRPr="0071782F">
        <w:rPr>
          <w:lang w:val="fr-CH"/>
        </w:rPr>
        <w:t xml:space="preserve"> de nourrissons et de dépister et traiter </w:t>
      </w:r>
      <w:r w:rsidRPr="0071782F">
        <w:rPr>
          <w:lang w:val="fr-CH"/>
        </w:rPr>
        <w:t>6</w:t>
      </w:r>
      <w:r w:rsidR="0025727E" w:rsidRPr="0071782F">
        <w:rPr>
          <w:lang w:val="fr-CH"/>
        </w:rPr>
        <w:t> </w:t>
      </w:r>
      <w:r w:rsidRPr="0071782F">
        <w:rPr>
          <w:lang w:val="fr-CH"/>
        </w:rPr>
        <w:t>300</w:t>
      </w:r>
      <w:r w:rsidR="0025727E" w:rsidRPr="0071782F">
        <w:rPr>
          <w:lang w:val="fr-CH"/>
        </w:rPr>
        <w:t> </w:t>
      </w:r>
      <w:r w:rsidR="00D75111" w:rsidRPr="0071782F">
        <w:rPr>
          <w:lang w:val="fr-CH"/>
        </w:rPr>
        <w:t>cas d’hypothyroïdie, évitant ainsi aux nourrissons concernés de souffrir de troubles mentaux</w:t>
      </w:r>
      <w:r w:rsidRPr="0071782F">
        <w:rPr>
          <w:lang w:val="fr-CH"/>
        </w:rPr>
        <w:t>.</w:t>
      </w:r>
    </w:p>
    <w:p w:rsidR="00E5019F" w:rsidRPr="0071782F" w:rsidRDefault="00013EAB" w:rsidP="00E5019F">
      <w:pPr>
        <w:pStyle w:val="SingleTxtG"/>
        <w:ind w:left="1701"/>
        <w:rPr>
          <w:lang w:val="fr-CH"/>
        </w:rPr>
      </w:pPr>
      <w:r w:rsidRPr="0071782F">
        <w:rPr>
          <w:lang w:val="fr-CH"/>
        </w:rPr>
        <w:t>262.9.</w:t>
      </w:r>
      <w:r w:rsidRPr="0071782F">
        <w:rPr>
          <w:lang w:val="fr-CH"/>
        </w:rPr>
        <w:tab/>
        <w:t xml:space="preserve">Formulation d’un plan intégré d’action préventive et de lutte contre le </w:t>
      </w:r>
      <w:r w:rsidR="00E5019F" w:rsidRPr="0071782F">
        <w:rPr>
          <w:lang w:val="fr-CH"/>
        </w:rPr>
        <w:t xml:space="preserve">cancer </w:t>
      </w:r>
      <w:r w:rsidRPr="0071782F">
        <w:rPr>
          <w:lang w:val="fr-CH"/>
        </w:rPr>
        <w:t xml:space="preserve">et exécution expérimentale de ce plan dans cinq facultés de médecine, ce qui a étendu la couverture du programme de dépistage du cancer de </w:t>
      </w:r>
      <w:r w:rsidR="00E5019F" w:rsidRPr="0071782F">
        <w:rPr>
          <w:lang w:val="fr-CH"/>
        </w:rPr>
        <w:t>70</w:t>
      </w:r>
      <w:r w:rsidR="007E5125" w:rsidRPr="0071782F">
        <w:rPr>
          <w:lang w:val="fr-CH"/>
        </w:rPr>
        <w:t>%</w:t>
      </w:r>
      <w:r w:rsidR="00E5019F" w:rsidRPr="0071782F">
        <w:rPr>
          <w:lang w:val="fr-CH"/>
        </w:rPr>
        <w:t xml:space="preserve"> </w:t>
      </w:r>
      <w:r w:rsidRPr="0071782F">
        <w:rPr>
          <w:lang w:val="fr-CH"/>
        </w:rPr>
        <w:t>e</w:t>
      </w:r>
      <w:r w:rsidR="00E5019F" w:rsidRPr="0071782F">
        <w:rPr>
          <w:lang w:val="fr-CH"/>
        </w:rPr>
        <w:t xml:space="preserve">n 2004 </w:t>
      </w:r>
      <w:r w:rsidRPr="0071782F">
        <w:rPr>
          <w:lang w:val="fr-CH"/>
        </w:rPr>
        <w:t>à</w:t>
      </w:r>
      <w:r w:rsidR="00E5019F" w:rsidRPr="0071782F">
        <w:rPr>
          <w:lang w:val="fr-CH"/>
        </w:rPr>
        <w:t xml:space="preserve"> 90</w:t>
      </w:r>
      <w:r w:rsidR="007E5125" w:rsidRPr="0071782F">
        <w:rPr>
          <w:lang w:val="fr-CH"/>
        </w:rPr>
        <w:t>%</w:t>
      </w:r>
      <w:r w:rsidR="00E5019F" w:rsidRPr="0071782F">
        <w:rPr>
          <w:lang w:val="fr-CH"/>
        </w:rPr>
        <w:t xml:space="preserve"> </w:t>
      </w:r>
      <w:r w:rsidRPr="0071782F">
        <w:rPr>
          <w:lang w:val="fr-CH"/>
        </w:rPr>
        <w:t>e</w:t>
      </w:r>
      <w:r w:rsidR="00E5019F" w:rsidRPr="0071782F">
        <w:rPr>
          <w:lang w:val="fr-CH"/>
        </w:rPr>
        <w:t>n 2005</w:t>
      </w:r>
      <w:r w:rsidRPr="0071782F">
        <w:rPr>
          <w:lang w:val="fr-CH"/>
        </w:rPr>
        <w:t>;</w:t>
      </w:r>
      <w:r w:rsidR="00E5019F" w:rsidRPr="0071782F">
        <w:rPr>
          <w:lang w:val="fr-CH"/>
        </w:rPr>
        <w:t xml:space="preserve"> s</w:t>
      </w:r>
      <w:r w:rsidRPr="0071782F">
        <w:rPr>
          <w:lang w:val="fr-CH"/>
        </w:rPr>
        <w:t>é</w:t>
      </w:r>
      <w:r w:rsidR="00E5019F" w:rsidRPr="0071782F">
        <w:rPr>
          <w:lang w:val="fr-CH"/>
        </w:rPr>
        <w:t xml:space="preserve">lection </w:t>
      </w:r>
      <w:r w:rsidRPr="0071782F">
        <w:rPr>
          <w:lang w:val="fr-CH"/>
        </w:rPr>
        <w:t>de</w:t>
      </w:r>
      <w:r w:rsidR="00E5019F" w:rsidRPr="0071782F">
        <w:rPr>
          <w:lang w:val="fr-CH"/>
        </w:rPr>
        <w:t xml:space="preserve"> 30 </w:t>
      </w:r>
      <w:r w:rsidRPr="0071782F">
        <w:rPr>
          <w:lang w:val="fr-CH"/>
        </w:rPr>
        <w:t>centres de référence pour le traitement des cancers les plus courants;</w:t>
      </w:r>
      <w:r w:rsidR="00E5019F" w:rsidRPr="0071782F">
        <w:rPr>
          <w:lang w:val="fr-CH"/>
        </w:rPr>
        <w:t xml:space="preserve"> </w:t>
      </w:r>
      <w:r w:rsidRPr="0071782F">
        <w:rPr>
          <w:lang w:val="fr-CH"/>
        </w:rPr>
        <w:t>fourniture d’un appui financier pour le traitement de 76</w:t>
      </w:r>
      <w:r w:rsidR="0025727E" w:rsidRPr="0071782F">
        <w:rPr>
          <w:lang w:val="fr-CH"/>
        </w:rPr>
        <w:t> </w:t>
      </w:r>
      <w:r w:rsidR="00E5019F" w:rsidRPr="0071782F">
        <w:rPr>
          <w:lang w:val="fr-CH"/>
        </w:rPr>
        <w:t>000</w:t>
      </w:r>
      <w:r w:rsidR="0025727E" w:rsidRPr="0071782F">
        <w:rPr>
          <w:lang w:val="fr-CH"/>
        </w:rPr>
        <w:t> </w:t>
      </w:r>
      <w:r w:rsidR="00E5019F" w:rsidRPr="0071782F">
        <w:rPr>
          <w:lang w:val="fr-CH"/>
        </w:rPr>
        <w:t>canc</w:t>
      </w:r>
      <w:r w:rsidRPr="0071782F">
        <w:rPr>
          <w:lang w:val="fr-CH"/>
        </w:rPr>
        <w:t xml:space="preserve">éreux à l’aide des </w:t>
      </w:r>
      <w:r w:rsidR="00E5019F" w:rsidRPr="0071782F">
        <w:rPr>
          <w:lang w:val="fr-CH"/>
        </w:rPr>
        <w:t>cr</w:t>
      </w:r>
      <w:r w:rsidRPr="0071782F">
        <w:rPr>
          <w:lang w:val="fr-CH"/>
        </w:rPr>
        <w:t>é</w:t>
      </w:r>
      <w:r w:rsidR="00E5019F" w:rsidRPr="0071782F">
        <w:rPr>
          <w:lang w:val="fr-CH"/>
        </w:rPr>
        <w:t xml:space="preserve">dits </w:t>
      </w:r>
      <w:r w:rsidRPr="0071782F">
        <w:rPr>
          <w:lang w:val="fr-CH"/>
        </w:rPr>
        <w:t xml:space="preserve">prévus au </w:t>
      </w:r>
      <w:r w:rsidR="00723F2B" w:rsidRPr="0071782F">
        <w:rPr>
          <w:lang w:val="fr-CH"/>
        </w:rPr>
        <w:t>paragraphe </w:t>
      </w:r>
      <w:r w:rsidR="00E5019F" w:rsidRPr="0071782F">
        <w:rPr>
          <w:lang w:val="fr-CH"/>
        </w:rPr>
        <w:t xml:space="preserve">B </w:t>
      </w:r>
      <w:r w:rsidRPr="0071782F">
        <w:rPr>
          <w:lang w:val="fr-CH"/>
        </w:rPr>
        <w:t xml:space="preserve">de la </w:t>
      </w:r>
      <w:r w:rsidR="00B71907" w:rsidRPr="0071782F">
        <w:rPr>
          <w:lang w:val="fr-CH"/>
        </w:rPr>
        <w:t>note </w:t>
      </w:r>
      <w:r w:rsidR="00E5019F" w:rsidRPr="0071782F">
        <w:rPr>
          <w:lang w:val="fr-CH"/>
        </w:rPr>
        <w:t xml:space="preserve">15 </w:t>
      </w:r>
      <w:r w:rsidRPr="0071782F">
        <w:rPr>
          <w:lang w:val="fr-CH"/>
        </w:rPr>
        <w:t>au cours des deux années écoulées;</w:t>
      </w:r>
      <w:r w:rsidR="00E5019F" w:rsidRPr="0071782F">
        <w:rPr>
          <w:lang w:val="fr-CH"/>
        </w:rPr>
        <w:t xml:space="preserve"> </w:t>
      </w:r>
      <w:r w:rsidRPr="0071782F">
        <w:rPr>
          <w:lang w:val="fr-CH"/>
        </w:rPr>
        <w:t xml:space="preserve">élaboration d’un </w:t>
      </w:r>
      <w:r w:rsidR="00E5019F" w:rsidRPr="0071782F">
        <w:rPr>
          <w:lang w:val="fr-CH"/>
        </w:rPr>
        <w:t>protocol</w:t>
      </w:r>
      <w:r w:rsidRPr="0071782F">
        <w:rPr>
          <w:lang w:val="fr-CH"/>
        </w:rPr>
        <w:t>e</w:t>
      </w:r>
      <w:r w:rsidR="00E5019F" w:rsidRPr="0071782F">
        <w:rPr>
          <w:lang w:val="fr-CH"/>
        </w:rPr>
        <w:t xml:space="preserve"> </w:t>
      </w:r>
      <w:r w:rsidRPr="0071782F">
        <w:rPr>
          <w:lang w:val="fr-CH"/>
        </w:rPr>
        <w:t xml:space="preserve">de médecine palliative pour les </w:t>
      </w:r>
      <w:r w:rsidR="00E5019F" w:rsidRPr="0071782F">
        <w:rPr>
          <w:lang w:val="fr-CH"/>
        </w:rPr>
        <w:t xml:space="preserve">patients </w:t>
      </w:r>
      <w:r w:rsidRPr="0071782F">
        <w:rPr>
          <w:lang w:val="fr-CH"/>
        </w:rPr>
        <w:t>souffrant d’un cancer à un stade avancé; et sélection de cinq centres de traitement médical palliatif dans cinq facultés de médecine</w:t>
      </w:r>
      <w:r w:rsidR="00E5019F" w:rsidRPr="0071782F">
        <w:rPr>
          <w:lang w:val="fr-CH"/>
        </w:rPr>
        <w:t>.</w:t>
      </w:r>
    </w:p>
    <w:p w:rsidR="00E5019F" w:rsidRPr="0071782F" w:rsidRDefault="00E5019F" w:rsidP="00E5019F">
      <w:pPr>
        <w:pStyle w:val="SingleTxtG"/>
        <w:ind w:left="1701"/>
        <w:rPr>
          <w:lang w:val="fr-CH"/>
        </w:rPr>
      </w:pPr>
      <w:r w:rsidRPr="0071782F">
        <w:rPr>
          <w:lang w:val="fr-CH"/>
        </w:rPr>
        <w:t xml:space="preserve">262.10. </w:t>
      </w:r>
      <w:r w:rsidR="00987C7F" w:rsidRPr="0071782F">
        <w:rPr>
          <w:lang w:val="fr-CH"/>
        </w:rPr>
        <w:t>Depuis 2005, année de l’</w:t>
      </w:r>
      <w:r w:rsidRPr="0071782F">
        <w:rPr>
          <w:lang w:val="fr-CH"/>
        </w:rPr>
        <w:t>int</w:t>
      </w:r>
      <w:r w:rsidR="00987C7F" w:rsidRPr="0071782F">
        <w:rPr>
          <w:lang w:val="fr-CH"/>
        </w:rPr>
        <w:t>é</w:t>
      </w:r>
      <w:r w:rsidRPr="0071782F">
        <w:rPr>
          <w:lang w:val="fr-CH"/>
        </w:rPr>
        <w:t xml:space="preserve">gration </w:t>
      </w:r>
      <w:r w:rsidR="00987C7F" w:rsidRPr="0071782F">
        <w:rPr>
          <w:lang w:val="fr-CH"/>
        </w:rPr>
        <w:t xml:space="preserve">des programmes d’action préventive et de lutte contre le </w:t>
      </w:r>
      <w:r w:rsidRPr="0071782F">
        <w:rPr>
          <w:lang w:val="fr-CH"/>
        </w:rPr>
        <w:t>diab</w:t>
      </w:r>
      <w:r w:rsidR="00987C7F" w:rsidRPr="0071782F">
        <w:rPr>
          <w:lang w:val="fr-CH"/>
        </w:rPr>
        <w:t>ète dans le système de santé, deux séries de tests de dépistage du diabète ont été réalisées dans les zones rurales</w:t>
      </w:r>
      <w:r w:rsidRPr="0071782F">
        <w:rPr>
          <w:lang w:val="fr-CH"/>
        </w:rPr>
        <w:t xml:space="preserve">. </w:t>
      </w:r>
      <w:r w:rsidR="00987C7F" w:rsidRPr="0071782F">
        <w:rPr>
          <w:lang w:val="fr-CH"/>
        </w:rPr>
        <w:t xml:space="preserve">Au cours de la période considérée, plus de </w:t>
      </w:r>
      <w:r w:rsidRPr="0071782F">
        <w:rPr>
          <w:lang w:val="fr-CH"/>
        </w:rPr>
        <w:t>n</w:t>
      </w:r>
      <w:r w:rsidR="00987C7F" w:rsidRPr="0071782F">
        <w:rPr>
          <w:lang w:val="fr-CH"/>
        </w:rPr>
        <w:t>euf</w:t>
      </w:r>
      <w:r w:rsidR="00097CDB" w:rsidRPr="0071782F">
        <w:rPr>
          <w:lang w:val="fr-CH"/>
        </w:rPr>
        <w:t> millions</w:t>
      </w:r>
      <w:r w:rsidR="00987C7F" w:rsidRPr="0071782F">
        <w:rPr>
          <w:lang w:val="fr-CH"/>
        </w:rPr>
        <w:t xml:space="preserve"> </w:t>
      </w:r>
      <w:r w:rsidR="00D82C96" w:rsidRPr="0071782F">
        <w:rPr>
          <w:lang w:val="fr-CH"/>
        </w:rPr>
        <w:t>de personnes</w:t>
      </w:r>
      <w:r w:rsidR="00987C7F" w:rsidRPr="0071782F">
        <w:rPr>
          <w:lang w:val="fr-CH"/>
        </w:rPr>
        <w:t xml:space="preserve"> ont participé à ces tests, qui ont permis de dépister </w:t>
      </w:r>
      <w:r w:rsidRPr="0071782F">
        <w:rPr>
          <w:lang w:val="fr-CH"/>
        </w:rPr>
        <w:t>300</w:t>
      </w:r>
      <w:r w:rsidR="0025727E" w:rsidRPr="0071782F">
        <w:rPr>
          <w:lang w:val="fr-CH"/>
        </w:rPr>
        <w:t> </w:t>
      </w:r>
      <w:r w:rsidRPr="0071782F">
        <w:rPr>
          <w:lang w:val="fr-CH"/>
        </w:rPr>
        <w:t>000</w:t>
      </w:r>
      <w:r w:rsidR="0025727E" w:rsidRPr="0071782F">
        <w:rPr>
          <w:lang w:val="fr-CH"/>
        </w:rPr>
        <w:t> </w:t>
      </w:r>
      <w:r w:rsidR="00987C7F" w:rsidRPr="0071782F">
        <w:rPr>
          <w:lang w:val="fr-CH"/>
        </w:rPr>
        <w:t xml:space="preserve">cas de </w:t>
      </w:r>
      <w:r w:rsidRPr="0071782F">
        <w:rPr>
          <w:lang w:val="fr-CH"/>
        </w:rPr>
        <w:t>diab</w:t>
      </w:r>
      <w:r w:rsidR="00987C7F" w:rsidRPr="0071782F">
        <w:rPr>
          <w:lang w:val="fr-CH"/>
        </w:rPr>
        <w:t xml:space="preserve">ète et </w:t>
      </w:r>
      <w:r w:rsidRPr="0071782F">
        <w:rPr>
          <w:lang w:val="fr-CH"/>
        </w:rPr>
        <w:t>97</w:t>
      </w:r>
      <w:r w:rsidR="0025727E" w:rsidRPr="0071782F">
        <w:rPr>
          <w:lang w:val="fr-CH"/>
        </w:rPr>
        <w:t> </w:t>
      </w:r>
      <w:r w:rsidRPr="0071782F">
        <w:rPr>
          <w:lang w:val="fr-CH"/>
        </w:rPr>
        <w:t>000</w:t>
      </w:r>
      <w:r w:rsidR="0025727E" w:rsidRPr="0071782F">
        <w:rPr>
          <w:lang w:val="fr-CH"/>
        </w:rPr>
        <w:t> </w:t>
      </w:r>
      <w:r w:rsidR="00987C7F" w:rsidRPr="0071782F">
        <w:rPr>
          <w:lang w:val="fr-CH"/>
        </w:rPr>
        <w:t xml:space="preserve">cas de </w:t>
      </w:r>
      <w:r w:rsidRPr="0071782F">
        <w:rPr>
          <w:lang w:val="fr-CH"/>
        </w:rPr>
        <w:t>pr</w:t>
      </w:r>
      <w:r w:rsidR="00987C7F" w:rsidRPr="0071782F">
        <w:rPr>
          <w:lang w:val="fr-CH"/>
        </w:rPr>
        <w:t>é</w:t>
      </w:r>
      <w:r w:rsidRPr="0071782F">
        <w:rPr>
          <w:lang w:val="fr-CH"/>
        </w:rPr>
        <w:t>diab</w:t>
      </w:r>
      <w:r w:rsidR="00987C7F" w:rsidRPr="0071782F">
        <w:rPr>
          <w:lang w:val="fr-CH"/>
        </w:rPr>
        <w:t xml:space="preserve">ète; </w:t>
      </w:r>
      <w:r w:rsidR="00A233C2" w:rsidRPr="0071782F">
        <w:rPr>
          <w:lang w:val="fr-CH"/>
        </w:rPr>
        <w:t>les personnes</w:t>
      </w:r>
      <w:r w:rsidR="00987C7F" w:rsidRPr="0071782F">
        <w:rPr>
          <w:lang w:val="fr-CH"/>
        </w:rPr>
        <w:t xml:space="preserve"> concernées suivent à présent un traitement</w:t>
      </w:r>
      <w:r w:rsidRPr="0071782F">
        <w:rPr>
          <w:lang w:val="fr-CH"/>
        </w:rPr>
        <w:t>.</w:t>
      </w:r>
    </w:p>
    <w:p w:rsidR="00E5019F" w:rsidRPr="0071782F" w:rsidRDefault="00E5019F" w:rsidP="00E5019F">
      <w:pPr>
        <w:pStyle w:val="SingleTxtG"/>
        <w:ind w:left="1701"/>
        <w:rPr>
          <w:lang w:val="fr-CH"/>
        </w:rPr>
      </w:pPr>
      <w:r w:rsidRPr="0071782F">
        <w:rPr>
          <w:lang w:val="fr-CH"/>
        </w:rPr>
        <w:t xml:space="preserve">262.11. </w:t>
      </w:r>
      <w:r w:rsidR="00987C7F" w:rsidRPr="0071782F">
        <w:rPr>
          <w:lang w:val="fr-CH"/>
        </w:rPr>
        <w:t>Au cours de la même période, une association caritative pour diabétiques a reçu un avertissement avant de se voir interdire de poursuivre ses activités illégales</w:t>
      </w:r>
      <w:r w:rsidRPr="0071782F">
        <w:rPr>
          <w:lang w:val="fr-CH"/>
        </w:rPr>
        <w:t xml:space="preserve">. </w:t>
      </w:r>
      <w:r w:rsidR="00987C7F" w:rsidRPr="0071782F">
        <w:rPr>
          <w:lang w:val="fr-CH"/>
        </w:rPr>
        <w:t>Son cas a été soumis à l’organe du Ministère de l’intérieur chargé de surveiller les activités des ONG, qui a fini par suspendre les activités de l’association en question et a saisi la justice</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F159A3" w:rsidRPr="0071782F">
        <w:rPr>
          <w:lang w:val="fr-CH"/>
        </w:rPr>
        <w:t xml:space="preserve">Santé familiale et </w:t>
      </w:r>
      <w:r w:rsidRPr="0071782F">
        <w:rPr>
          <w:lang w:val="fr-CH"/>
        </w:rPr>
        <w:t>population</w:t>
      </w:r>
    </w:p>
    <w:p w:rsidR="00E5019F" w:rsidRPr="0071782F" w:rsidRDefault="00E5019F" w:rsidP="00E5019F">
      <w:pPr>
        <w:pStyle w:val="SingleTxtG"/>
        <w:rPr>
          <w:lang w:val="fr-CH"/>
        </w:rPr>
      </w:pPr>
      <w:r w:rsidRPr="0071782F">
        <w:rPr>
          <w:lang w:val="fr-CH"/>
        </w:rPr>
        <w:t>263.</w:t>
      </w:r>
      <w:r w:rsidRPr="0071782F">
        <w:rPr>
          <w:lang w:val="fr-CH"/>
        </w:rPr>
        <w:tab/>
      </w:r>
      <w:r w:rsidR="00393E3D"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263.1.</w:t>
      </w:r>
      <w:r w:rsidRPr="0071782F">
        <w:rPr>
          <w:lang w:val="fr-CH"/>
        </w:rPr>
        <w:tab/>
      </w:r>
      <w:r w:rsidR="00F159A3" w:rsidRPr="0071782F">
        <w:rPr>
          <w:lang w:val="fr-CH"/>
        </w:rPr>
        <w:t>Mise en place à l’échelon n</w:t>
      </w:r>
      <w:r w:rsidRPr="0071782F">
        <w:rPr>
          <w:lang w:val="fr-CH"/>
        </w:rPr>
        <w:t>ation</w:t>
      </w:r>
      <w:r w:rsidR="00F159A3" w:rsidRPr="0071782F">
        <w:rPr>
          <w:lang w:val="fr-CH"/>
        </w:rPr>
        <w:t xml:space="preserve">al en 2005 du système intégré de suivi et d’évaluation (SISE) des </w:t>
      </w:r>
      <w:r w:rsidRPr="0071782F">
        <w:rPr>
          <w:lang w:val="fr-CH"/>
        </w:rPr>
        <w:t xml:space="preserve">services </w:t>
      </w:r>
      <w:r w:rsidR="00F159A3" w:rsidRPr="0071782F">
        <w:rPr>
          <w:lang w:val="fr-CH"/>
        </w:rPr>
        <w:t xml:space="preserve">de santé familiale et création d’une très grande banque de données renseignant sur les </w:t>
      </w:r>
      <w:r w:rsidRPr="0071782F">
        <w:rPr>
          <w:lang w:val="fr-CH"/>
        </w:rPr>
        <w:t>indicat</w:t>
      </w:r>
      <w:r w:rsidR="00F159A3" w:rsidRPr="0071782F">
        <w:rPr>
          <w:lang w:val="fr-CH"/>
        </w:rPr>
        <w:t>eu</w:t>
      </w:r>
      <w:r w:rsidRPr="0071782F">
        <w:rPr>
          <w:lang w:val="fr-CH"/>
        </w:rPr>
        <w:t xml:space="preserve">rs </w:t>
      </w:r>
      <w:r w:rsidR="00F159A3" w:rsidRPr="0071782F">
        <w:rPr>
          <w:lang w:val="fr-CH"/>
        </w:rPr>
        <w:t xml:space="preserve">de la santé en matière de procréation et sur la qualité des </w:t>
      </w:r>
      <w:r w:rsidRPr="0071782F">
        <w:rPr>
          <w:lang w:val="fr-CH"/>
        </w:rPr>
        <w:t xml:space="preserve">services </w:t>
      </w:r>
      <w:r w:rsidR="00F159A3" w:rsidRPr="0071782F">
        <w:rPr>
          <w:lang w:val="fr-CH"/>
        </w:rPr>
        <w:t>et de l’appui fournis à la population</w:t>
      </w:r>
      <w:r w:rsidRPr="0071782F">
        <w:rPr>
          <w:lang w:val="fr-CH"/>
        </w:rPr>
        <w:t>.</w:t>
      </w:r>
    </w:p>
    <w:p w:rsidR="00E5019F" w:rsidRPr="0071782F" w:rsidRDefault="00E5019F" w:rsidP="00E5019F">
      <w:pPr>
        <w:pStyle w:val="SingleTxtG"/>
        <w:ind w:left="1701"/>
        <w:rPr>
          <w:lang w:val="fr-CH"/>
        </w:rPr>
      </w:pPr>
      <w:r w:rsidRPr="0071782F">
        <w:rPr>
          <w:lang w:val="fr-CH"/>
        </w:rPr>
        <w:t>263.2.</w:t>
      </w:r>
      <w:r w:rsidRPr="0071782F">
        <w:rPr>
          <w:lang w:val="fr-CH"/>
        </w:rPr>
        <w:tab/>
        <w:t>Analys</w:t>
      </w:r>
      <w:r w:rsidR="00F159A3" w:rsidRPr="0071782F">
        <w:rPr>
          <w:lang w:val="fr-CH"/>
        </w:rPr>
        <w:t>e des données du SISE</w:t>
      </w:r>
      <w:r w:rsidRPr="0071782F">
        <w:rPr>
          <w:lang w:val="fr-CH"/>
        </w:rPr>
        <w:t xml:space="preserve">, </w:t>
      </w:r>
      <w:r w:rsidR="00F159A3" w:rsidRPr="0071782F">
        <w:rPr>
          <w:lang w:val="fr-CH"/>
        </w:rPr>
        <w:t xml:space="preserve">établissement et </w:t>
      </w:r>
      <w:r w:rsidRPr="0071782F">
        <w:rPr>
          <w:lang w:val="fr-CH"/>
        </w:rPr>
        <w:t xml:space="preserve">publication </w:t>
      </w:r>
      <w:r w:rsidR="00F159A3" w:rsidRPr="0071782F">
        <w:rPr>
          <w:lang w:val="fr-CH"/>
        </w:rPr>
        <w:t>d’un rapport descriptif et analytique à leur sujet</w:t>
      </w:r>
      <w:r w:rsidRPr="0071782F">
        <w:rPr>
          <w:lang w:val="fr-CH"/>
        </w:rPr>
        <w:t>, red</w:t>
      </w:r>
      <w:r w:rsidR="00F159A3" w:rsidRPr="0071782F">
        <w:rPr>
          <w:lang w:val="fr-CH"/>
        </w:rPr>
        <w:t>é</w:t>
      </w:r>
      <w:r w:rsidRPr="0071782F">
        <w:rPr>
          <w:lang w:val="fr-CH"/>
        </w:rPr>
        <w:t>fini</w:t>
      </w:r>
      <w:r w:rsidR="00F159A3" w:rsidRPr="0071782F">
        <w:rPr>
          <w:lang w:val="fr-CH"/>
        </w:rPr>
        <w:t xml:space="preserve">tion du </w:t>
      </w:r>
      <w:r w:rsidRPr="0071782F">
        <w:rPr>
          <w:lang w:val="fr-CH"/>
        </w:rPr>
        <w:t xml:space="preserve">plan </w:t>
      </w:r>
      <w:r w:rsidR="00F159A3" w:rsidRPr="0071782F">
        <w:rPr>
          <w:lang w:val="fr-CH"/>
        </w:rPr>
        <w:t xml:space="preserve">de surveillance des services d’appui du SISE fournis au niveau des villes et </w:t>
      </w:r>
      <w:r w:rsidRPr="0071782F">
        <w:rPr>
          <w:lang w:val="fr-CH"/>
        </w:rPr>
        <w:t>r</w:t>
      </w:r>
      <w:r w:rsidR="00F159A3" w:rsidRPr="0071782F">
        <w:rPr>
          <w:lang w:val="fr-CH"/>
        </w:rPr>
        <w:t>é</w:t>
      </w:r>
      <w:r w:rsidRPr="0071782F">
        <w:rPr>
          <w:lang w:val="fr-CH"/>
        </w:rPr>
        <w:t xml:space="preserve">vision </w:t>
      </w:r>
      <w:r w:rsidR="00F159A3" w:rsidRPr="0071782F">
        <w:rPr>
          <w:lang w:val="fr-CH"/>
        </w:rPr>
        <w:t>des normes applicables aux services de santé en matière de procréation et actualisation de ces normes compte tenu des programmes exécutés par le Bureau de la santé familiale</w:t>
      </w:r>
      <w:r w:rsidRPr="0071782F">
        <w:rPr>
          <w:lang w:val="fr-CH"/>
        </w:rPr>
        <w:t>.</w:t>
      </w:r>
    </w:p>
    <w:p w:rsidR="00E5019F" w:rsidRPr="0071782F" w:rsidRDefault="00E5019F" w:rsidP="00E5019F">
      <w:pPr>
        <w:pStyle w:val="SingleTxtG"/>
        <w:ind w:left="1701"/>
        <w:rPr>
          <w:lang w:val="fr-CH"/>
        </w:rPr>
      </w:pPr>
      <w:r w:rsidRPr="0071782F">
        <w:rPr>
          <w:lang w:val="fr-CH"/>
        </w:rPr>
        <w:t>263.3.</w:t>
      </w:r>
      <w:r w:rsidRPr="0071782F">
        <w:rPr>
          <w:lang w:val="fr-CH"/>
        </w:rPr>
        <w:tab/>
      </w:r>
      <w:r w:rsidR="004340B2" w:rsidRPr="0071782F">
        <w:rPr>
          <w:lang w:val="fr-CH"/>
        </w:rPr>
        <w:t xml:space="preserve">Exécution depuis 2007 du Programme de </w:t>
      </w:r>
      <w:r w:rsidRPr="0071782F">
        <w:rPr>
          <w:lang w:val="fr-CH"/>
        </w:rPr>
        <w:t xml:space="preserve">promotion </w:t>
      </w:r>
      <w:r w:rsidR="004340B2" w:rsidRPr="0071782F">
        <w:rPr>
          <w:lang w:val="fr-CH"/>
        </w:rPr>
        <w:t xml:space="preserve">d’une vie saine pour </w:t>
      </w:r>
      <w:r w:rsidR="00A233C2" w:rsidRPr="0071782F">
        <w:rPr>
          <w:lang w:val="fr-CH"/>
        </w:rPr>
        <w:t>les personnes</w:t>
      </w:r>
      <w:r w:rsidR="004340B2" w:rsidRPr="0071782F">
        <w:rPr>
          <w:lang w:val="fr-CH"/>
        </w:rPr>
        <w:t xml:space="preserve"> âgées destiné à 37</w:t>
      </w:r>
      <w:r w:rsidR="0025727E" w:rsidRPr="0071782F">
        <w:rPr>
          <w:lang w:val="fr-CH"/>
        </w:rPr>
        <w:t> </w:t>
      </w:r>
      <w:r w:rsidRPr="0071782F">
        <w:rPr>
          <w:lang w:val="fr-CH"/>
        </w:rPr>
        <w:t>000</w:t>
      </w:r>
      <w:r w:rsidR="00097CDB" w:rsidRPr="0071782F">
        <w:rPr>
          <w:lang w:val="fr-CH"/>
        </w:rPr>
        <w:t> personnes</w:t>
      </w:r>
      <w:r w:rsidR="004340B2" w:rsidRPr="0071782F">
        <w:rPr>
          <w:lang w:val="fr-CH"/>
        </w:rPr>
        <w:t xml:space="preserve"> âgées vivant dans </w:t>
      </w:r>
      <w:r w:rsidRPr="0071782F">
        <w:rPr>
          <w:lang w:val="fr-CH"/>
        </w:rPr>
        <w:t>72</w:t>
      </w:r>
      <w:r w:rsidR="0025727E" w:rsidRPr="0071782F">
        <w:rPr>
          <w:lang w:val="fr-CH"/>
        </w:rPr>
        <w:t> </w:t>
      </w:r>
      <w:r w:rsidR="004340B2" w:rsidRPr="0071782F">
        <w:rPr>
          <w:lang w:val="fr-CH"/>
        </w:rPr>
        <w:t>villes, auxquelles il se propose d’inculquer des critères fondés sur les besoins.</w:t>
      </w:r>
      <w:r w:rsidRPr="0071782F">
        <w:rPr>
          <w:lang w:val="fr-CH"/>
        </w:rPr>
        <w:t xml:space="preserve"> </w:t>
      </w:r>
    </w:p>
    <w:p w:rsidR="00E5019F" w:rsidRPr="0071782F" w:rsidRDefault="00E5019F" w:rsidP="00E5019F">
      <w:pPr>
        <w:pStyle w:val="SingleTxtG"/>
        <w:ind w:left="1701"/>
        <w:rPr>
          <w:lang w:val="fr-CH"/>
        </w:rPr>
      </w:pPr>
      <w:r w:rsidRPr="0071782F">
        <w:rPr>
          <w:lang w:val="fr-CH"/>
        </w:rPr>
        <w:t>263.4.</w:t>
      </w:r>
      <w:r w:rsidRPr="0071782F">
        <w:rPr>
          <w:lang w:val="fr-CH"/>
        </w:rPr>
        <w:tab/>
        <w:t>Ex</w:t>
      </w:r>
      <w:r w:rsidR="004340B2" w:rsidRPr="0071782F">
        <w:rPr>
          <w:lang w:val="fr-CH"/>
        </w:rPr>
        <w:t>é</w:t>
      </w:r>
      <w:r w:rsidRPr="0071782F">
        <w:rPr>
          <w:lang w:val="fr-CH"/>
        </w:rPr>
        <w:t xml:space="preserve">cution </w:t>
      </w:r>
      <w:r w:rsidR="004340B2" w:rsidRPr="0071782F">
        <w:rPr>
          <w:lang w:val="fr-CH"/>
        </w:rPr>
        <w:t xml:space="preserve">du Programme de services intégrés de soins </w:t>
      </w:r>
      <w:r w:rsidR="00175962" w:rsidRPr="0071782F">
        <w:rPr>
          <w:lang w:val="fr-CH"/>
        </w:rPr>
        <w:t>aux personnes</w:t>
      </w:r>
      <w:r w:rsidR="004340B2" w:rsidRPr="0071782F">
        <w:rPr>
          <w:lang w:val="fr-CH"/>
        </w:rPr>
        <w:t xml:space="preserve"> âgées dans </w:t>
      </w:r>
      <w:r w:rsidRPr="0071782F">
        <w:rPr>
          <w:lang w:val="fr-CH"/>
        </w:rPr>
        <w:t xml:space="preserve">17 </w:t>
      </w:r>
      <w:r w:rsidR="004340B2" w:rsidRPr="0071782F">
        <w:rPr>
          <w:lang w:val="fr-CH"/>
        </w:rPr>
        <w:t xml:space="preserve">villes. Dans le cadre de ce programme, il est demandé </w:t>
      </w:r>
      <w:r w:rsidR="00175962" w:rsidRPr="0071782F">
        <w:rPr>
          <w:lang w:val="fr-CH"/>
        </w:rPr>
        <w:t>aux personnes</w:t>
      </w:r>
      <w:r w:rsidR="004340B2" w:rsidRPr="0071782F">
        <w:rPr>
          <w:lang w:val="fr-CH"/>
        </w:rPr>
        <w:t xml:space="preserve"> âgées concernées de se rendre dans les centres de soins et de traitement et les maisons de santé pour y recevoir des soins concernant des problèmes liés à leur âge.</w:t>
      </w:r>
    </w:p>
    <w:p w:rsidR="00E5019F" w:rsidRPr="0071782F" w:rsidRDefault="00E5019F" w:rsidP="00E5019F">
      <w:pPr>
        <w:pStyle w:val="SingleTxtG"/>
        <w:ind w:left="1701"/>
        <w:rPr>
          <w:lang w:val="fr-CH"/>
        </w:rPr>
      </w:pPr>
      <w:r w:rsidRPr="0071782F">
        <w:rPr>
          <w:lang w:val="fr-CH"/>
        </w:rPr>
        <w:t>263.5.</w:t>
      </w:r>
      <w:r w:rsidRPr="0071782F">
        <w:rPr>
          <w:lang w:val="fr-CH"/>
        </w:rPr>
        <w:tab/>
      </w:r>
      <w:r w:rsidR="004340B2" w:rsidRPr="0071782F">
        <w:rPr>
          <w:lang w:val="fr-CH"/>
        </w:rPr>
        <w:t xml:space="preserve">À l’été de </w:t>
      </w:r>
      <w:r w:rsidRPr="0071782F">
        <w:rPr>
          <w:lang w:val="fr-CH"/>
        </w:rPr>
        <w:t xml:space="preserve">2008, </w:t>
      </w:r>
      <w:r w:rsidR="004340B2" w:rsidRPr="0071782F">
        <w:rPr>
          <w:lang w:val="fr-CH"/>
        </w:rPr>
        <w:t xml:space="preserve">quelque </w:t>
      </w:r>
      <w:r w:rsidRPr="0071782F">
        <w:rPr>
          <w:lang w:val="fr-CH"/>
        </w:rPr>
        <w:t>88</w:t>
      </w:r>
      <w:r w:rsidR="0025727E" w:rsidRPr="0071782F">
        <w:rPr>
          <w:lang w:val="fr-CH"/>
        </w:rPr>
        <w:t> </w:t>
      </w:r>
      <w:r w:rsidRPr="0071782F">
        <w:rPr>
          <w:lang w:val="fr-CH"/>
        </w:rPr>
        <w:t>000</w:t>
      </w:r>
      <w:r w:rsidR="00097CDB" w:rsidRPr="0071782F">
        <w:rPr>
          <w:lang w:val="fr-CH"/>
        </w:rPr>
        <w:t> personnes</w:t>
      </w:r>
      <w:r w:rsidR="004340B2" w:rsidRPr="0071782F">
        <w:rPr>
          <w:lang w:val="fr-CH"/>
        </w:rPr>
        <w:t xml:space="preserve"> âgées avaient reçu des soins dans le cadre de ce programme</w:t>
      </w:r>
      <w:r w:rsidRPr="0071782F">
        <w:rPr>
          <w:lang w:val="fr-CH"/>
        </w:rPr>
        <w:t>.</w:t>
      </w:r>
    </w:p>
    <w:p w:rsidR="00E5019F" w:rsidRPr="0071782F" w:rsidRDefault="00E5019F" w:rsidP="00E5019F">
      <w:pPr>
        <w:pStyle w:val="SingleTxtG"/>
        <w:ind w:left="1701"/>
        <w:rPr>
          <w:lang w:val="fr-CH"/>
        </w:rPr>
      </w:pPr>
      <w:r w:rsidRPr="0071782F">
        <w:rPr>
          <w:lang w:val="fr-CH"/>
        </w:rPr>
        <w:t>263.6.</w:t>
      </w:r>
      <w:r w:rsidRPr="0071782F">
        <w:rPr>
          <w:lang w:val="fr-CH"/>
        </w:rPr>
        <w:tab/>
        <w:t xml:space="preserve">Extension </w:t>
      </w:r>
      <w:r w:rsidR="004340B2" w:rsidRPr="0071782F">
        <w:rPr>
          <w:lang w:val="fr-CH"/>
        </w:rPr>
        <w:t xml:space="preserve">de la couverture des examens médicaux généraux à </w:t>
      </w:r>
      <w:r w:rsidRPr="0071782F">
        <w:rPr>
          <w:lang w:val="fr-CH"/>
        </w:rPr>
        <w:t>100</w:t>
      </w:r>
      <w:r w:rsidR="007E5125" w:rsidRPr="0071782F">
        <w:rPr>
          <w:lang w:val="fr-CH"/>
        </w:rPr>
        <w:t>%</w:t>
      </w:r>
      <w:r w:rsidRPr="0071782F">
        <w:rPr>
          <w:lang w:val="fr-CH"/>
        </w:rPr>
        <w:t xml:space="preserve"> </w:t>
      </w:r>
      <w:r w:rsidR="004340B2" w:rsidRPr="0071782F">
        <w:rPr>
          <w:lang w:val="fr-CH"/>
        </w:rPr>
        <w:t xml:space="preserve">des élèves de première année de l’enseignement primaire et de première année de l’enseignement secondaire du premier et du second cycle, et mise en place d’un système de </w:t>
      </w:r>
      <w:r w:rsidRPr="0071782F">
        <w:rPr>
          <w:lang w:val="fr-CH"/>
        </w:rPr>
        <w:t>pr</w:t>
      </w:r>
      <w:r w:rsidR="004340B2" w:rsidRPr="0071782F">
        <w:rPr>
          <w:lang w:val="fr-CH"/>
        </w:rPr>
        <w:t>é</w:t>
      </w:r>
      <w:r w:rsidRPr="0071782F">
        <w:rPr>
          <w:lang w:val="fr-CH"/>
        </w:rPr>
        <w:t xml:space="preserve">vention </w:t>
      </w:r>
      <w:r w:rsidR="004340B2" w:rsidRPr="0071782F">
        <w:rPr>
          <w:lang w:val="fr-CH"/>
        </w:rPr>
        <w:t>et de soins concernant les comportements à haut risque des enfants âgés de six à 18</w:t>
      </w:r>
      <w:r w:rsidR="00D82C96" w:rsidRPr="0071782F">
        <w:rPr>
          <w:lang w:val="fr-CH"/>
        </w:rPr>
        <w:t> ans</w:t>
      </w:r>
      <w:r w:rsidR="004340B2" w:rsidRPr="0071782F">
        <w:rPr>
          <w:lang w:val="fr-CH"/>
        </w:rPr>
        <w:t>.</w:t>
      </w:r>
    </w:p>
    <w:p w:rsidR="00E5019F" w:rsidRPr="0071782F" w:rsidRDefault="00E5019F" w:rsidP="00E5019F">
      <w:pPr>
        <w:pStyle w:val="SingleTxtG"/>
        <w:ind w:left="1701"/>
        <w:rPr>
          <w:lang w:val="fr-CH"/>
        </w:rPr>
      </w:pPr>
      <w:r w:rsidRPr="0071782F">
        <w:rPr>
          <w:lang w:val="fr-CH"/>
        </w:rPr>
        <w:t>263.7.</w:t>
      </w:r>
      <w:r w:rsidRPr="0071782F">
        <w:rPr>
          <w:lang w:val="fr-CH"/>
        </w:rPr>
        <w:tab/>
        <w:t>Red</w:t>
      </w:r>
      <w:r w:rsidR="00AE4F61" w:rsidRPr="0071782F">
        <w:rPr>
          <w:lang w:val="fr-CH"/>
        </w:rPr>
        <w:t>é</w:t>
      </w:r>
      <w:r w:rsidRPr="0071782F">
        <w:rPr>
          <w:lang w:val="fr-CH"/>
        </w:rPr>
        <w:t>fini</w:t>
      </w:r>
      <w:r w:rsidR="00AE4F61" w:rsidRPr="0071782F">
        <w:rPr>
          <w:lang w:val="fr-CH"/>
        </w:rPr>
        <w:t>tion</w:t>
      </w:r>
      <w:r w:rsidRPr="0071782F">
        <w:rPr>
          <w:lang w:val="fr-CH"/>
        </w:rPr>
        <w:t xml:space="preserve"> </w:t>
      </w:r>
      <w:r w:rsidR="00AE4F61" w:rsidRPr="0071782F">
        <w:rPr>
          <w:lang w:val="fr-CH"/>
        </w:rPr>
        <w:t xml:space="preserve">de la carte d’identité sanitaire scolaire, </w:t>
      </w:r>
      <w:r w:rsidRPr="0071782F">
        <w:rPr>
          <w:lang w:val="fr-CH"/>
        </w:rPr>
        <w:t xml:space="preserve">introduction </w:t>
      </w:r>
      <w:r w:rsidR="00AE4F61" w:rsidRPr="0071782F">
        <w:rPr>
          <w:lang w:val="fr-CH"/>
        </w:rPr>
        <w:t>d’une carte d’identité sanitaire pour les étudiants et les soldats</w:t>
      </w:r>
      <w:r w:rsidRPr="0071782F">
        <w:rPr>
          <w:lang w:val="fr-CH"/>
        </w:rPr>
        <w:t>,</w:t>
      </w:r>
      <w:r w:rsidR="00AE4F61" w:rsidRPr="0071782F">
        <w:rPr>
          <w:lang w:val="fr-CH"/>
        </w:rPr>
        <w:t xml:space="preserve"> élaboration d’un plan de santé</w:t>
      </w:r>
      <w:r w:rsidR="00D36718">
        <w:rPr>
          <w:lang w:val="fr-CH"/>
        </w:rPr>
        <w:t xml:space="preserve"> </w:t>
      </w:r>
      <w:r w:rsidR="00AE4F61" w:rsidRPr="0071782F">
        <w:rPr>
          <w:lang w:val="fr-CH"/>
        </w:rPr>
        <w:t>juvénile, certificat de santé juvénile en matière de procréation et programme stratégique de santé juvénile</w:t>
      </w:r>
      <w:r w:rsidRPr="0071782F">
        <w:rPr>
          <w:lang w:val="fr-CH"/>
        </w:rPr>
        <w:t>.</w:t>
      </w:r>
    </w:p>
    <w:p w:rsidR="00E5019F" w:rsidRPr="0071782F" w:rsidRDefault="00E5019F" w:rsidP="00E5019F">
      <w:pPr>
        <w:pStyle w:val="SingleTxtG"/>
        <w:ind w:left="1701"/>
        <w:rPr>
          <w:lang w:val="fr-CH"/>
        </w:rPr>
      </w:pPr>
      <w:r w:rsidRPr="0071782F">
        <w:rPr>
          <w:lang w:val="fr-CH"/>
        </w:rPr>
        <w:t>263.8</w:t>
      </w:r>
      <w:r w:rsidRPr="0071782F">
        <w:rPr>
          <w:lang w:val="fr-CH"/>
        </w:rPr>
        <w:tab/>
        <w:t xml:space="preserve">Introduction </w:t>
      </w:r>
      <w:r w:rsidR="00AE4F61" w:rsidRPr="0071782F">
        <w:rPr>
          <w:lang w:val="fr-CH"/>
        </w:rPr>
        <w:t>de l’accouchement sans douleur avec ou sans administration de médicaments</w:t>
      </w:r>
      <w:r w:rsidRPr="0071782F">
        <w:rPr>
          <w:lang w:val="fr-CH"/>
        </w:rPr>
        <w:t xml:space="preserve">, </w:t>
      </w:r>
      <w:r w:rsidR="00AE4F61" w:rsidRPr="0071782F">
        <w:rPr>
          <w:lang w:val="fr-CH"/>
        </w:rPr>
        <w:t xml:space="preserve">formation de quelque </w:t>
      </w:r>
      <w:r w:rsidRPr="0071782F">
        <w:rPr>
          <w:lang w:val="fr-CH"/>
        </w:rPr>
        <w:t xml:space="preserve">300 </w:t>
      </w:r>
      <w:r w:rsidR="00AE4F61" w:rsidRPr="0071782F">
        <w:rPr>
          <w:lang w:val="fr-CH"/>
        </w:rPr>
        <w:t>aides-accoucheurs pour travailler dans les zones reculées et défavorisées, et organisation de cours de préparation à l’accouchement.</w:t>
      </w:r>
    </w:p>
    <w:p w:rsidR="00E5019F" w:rsidRPr="0071782F" w:rsidRDefault="00E5019F" w:rsidP="00E5019F">
      <w:pPr>
        <w:pStyle w:val="SingleTxtG"/>
        <w:ind w:left="1701"/>
        <w:rPr>
          <w:lang w:val="fr-CH"/>
        </w:rPr>
      </w:pPr>
      <w:r w:rsidRPr="0071782F">
        <w:rPr>
          <w:lang w:val="fr-CH"/>
        </w:rPr>
        <w:t>263.9.</w:t>
      </w:r>
      <w:r w:rsidRPr="0071782F">
        <w:rPr>
          <w:lang w:val="fr-CH"/>
        </w:rPr>
        <w:tab/>
      </w:r>
      <w:r w:rsidR="007E3820" w:rsidRPr="0071782F">
        <w:rPr>
          <w:lang w:val="fr-CH"/>
        </w:rPr>
        <w:t xml:space="preserve">Mise en place d’un système de soins de santé maternelle, transfert de ces compétences de la section des soins à la section des traitements des facultés de médecine, et </w:t>
      </w:r>
      <w:r w:rsidRPr="0071782F">
        <w:rPr>
          <w:lang w:val="fr-CH"/>
        </w:rPr>
        <w:t xml:space="preserve">extension </w:t>
      </w:r>
      <w:r w:rsidR="007E3820" w:rsidRPr="0071782F">
        <w:rPr>
          <w:lang w:val="fr-CH"/>
        </w:rPr>
        <w:t>des services de soins ambulatoires</w:t>
      </w:r>
      <w:r w:rsidRPr="0071782F">
        <w:rPr>
          <w:lang w:val="fr-CH"/>
        </w:rPr>
        <w:t>.</w:t>
      </w:r>
    </w:p>
    <w:p w:rsidR="00E5019F" w:rsidRPr="0071782F" w:rsidRDefault="00E5019F" w:rsidP="00E5019F">
      <w:pPr>
        <w:pStyle w:val="SingleTxtG"/>
        <w:ind w:left="1701"/>
        <w:rPr>
          <w:lang w:val="fr-CH"/>
        </w:rPr>
      </w:pPr>
      <w:r w:rsidRPr="0071782F">
        <w:rPr>
          <w:lang w:val="fr-CH"/>
        </w:rPr>
        <w:t xml:space="preserve">263.10. </w:t>
      </w:r>
      <w:r w:rsidR="001D6CE9" w:rsidRPr="0071782F">
        <w:rPr>
          <w:lang w:val="fr-CH"/>
        </w:rPr>
        <w:t xml:space="preserve">Élaboration et </w:t>
      </w:r>
      <w:r w:rsidRPr="0071782F">
        <w:rPr>
          <w:lang w:val="fr-CH"/>
        </w:rPr>
        <w:t xml:space="preserve">introduction </w:t>
      </w:r>
      <w:r w:rsidR="001D6CE9" w:rsidRPr="0071782F">
        <w:rPr>
          <w:lang w:val="fr-CH"/>
        </w:rPr>
        <w:t>d’</w:t>
      </w:r>
      <w:r w:rsidRPr="0071782F">
        <w:rPr>
          <w:lang w:val="fr-CH"/>
        </w:rPr>
        <w:t xml:space="preserve">instructions </w:t>
      </w:r>
      <w:r w:rsidR="001D6CE9" w:rsidRPr="0071782F">
        <w:rPr>
          <w:lang w:val="fr-CH"/>
        </w:rPr>
        <w:t>concernant l’allaitement maternel du nourrisson dès la première heure de sa vie, allongement de quatre à six</w:t>
      </w:r>
      <w:r w:rsidR="001F3F05" w:rsidRPr="0071782F">
        <w:rPr>
          <w:lang w:val="fr-CH"/>
        </w:rPr>
        <w:t> mois</w:t>
      </w:r>
      <w:r w:rsidR="001D6CE9" w:rsidRPr="0071782F">
        <w:rPr>
          <w:lang w:val="fr-CH"/>
        </w:rPr>
        <w:t xml:space="preserve"> de la durée du congé de maternité et augmentation du nombre des hôpitaux amis des bébés qui mettent en </w:t>
      </w:r>
      <w:r w:rsidR="00D5366B" w:rsidRPr="0071782F">
        <w:rPr>
          <w:lang w:val="fr-CH"/>
        </w:rPr>
        <w:t>œuvre</w:t>
      </w:r>
      <w:r w:rsidR="001D6CE9" w:rsidRPr="0071782F">
        <w:rPr>
          <w:lang w:val="fr-CH"/>
        </w:rPr>
        <w:t xml:space="preserve"> les 10</w:t>
      </w:r>
      <w:r w:rsidR="0025727E" w:rsidRPr="0071782F">
        <w:rPr>
          <w:lang w:val="fr-CH"/>
        </w:rPr>
        <w:t> </w:t>
      </w:r>
      <w:r w:rsidR="001D6CE9" w:rsidRPr="0071782F">
        <w:rPr>
          <w:lang w:val="fr-CH"/>
        </w:rPr>
        <w:t>étapes d’un allaitement réussi</w:t>
      </w:r>
      <w:r w:rsidR="008F7D33" w:rsidRPr="0071782F">
        <w:rPr>
          <w:lang w:val="fr-CH"/>
        </w:rPr>
        <w:t>:</w:t>
      </w:r>
      <w:r w:rsidR="001D6CE9" w:rsidRPr="0071782F">
        <w:rPr>
          <w:lang w:val="fr-CH"/>
        </w:rPr>
        <w:t xml:space="preserve"> ils sont à présent </w:t>
      </w:r>
      <w:r w:rsidRPr="0071782F">
        <w:rPr>
          <w:lang w:val="fr-CH"/>
        </w:rPr>
        <w:t xml:space="preserve">516 </w:t>
      </w:r>
      <w:r w:rsidR="001D6CE9" w:rsidRPr="0071782F">
        <w:rPr>
          <w:lang w:val="fr-CH"/>
        </w:rPr>
        <w:t xml:space="preserve">sur </w:t>
      </w:r>
      <w:r w:rsidRPr="0071782F">
        <w:rPr>
          <w:lang w:val="fr-CH"/>
        </w:rPr>
        <w:t>627</w:t>
      </w:r>
      <w:r w:rsidR="0025727E" w:rsidRPr="0071782F">
        <w:rPr>
          <w:lang w:val="fr-CH"/>
        </w:rPr>
        <w:t> </w:t>
      </w:r>
      <w:r w:rsidR="001D6CE9" w:rsidRPr="0071782F">
        <w:rPr>
          <w:lang w:val="fr-CH"/>
        </w:rPr>
        <w:t>hôpitaux généraux et maternités remplissant les conditions exigées</w:t>
      </w:r>
      <w:r w:rsidRPr="0071782F">
        <w:rPr>
          <w:lang w:val="fr-CH"/>
        </w:rPr>
        <w:t>.</w:t>
      </w:r>
    </w:p>
    <w:p w:rsidR="00E5019F" w:rsidRPr="0071782F" w:rsidRDefault="00E5019F" w:rsidP="00E5019F">
      <w:pPr>
        <w:pStyle w:val="SingleTxtG"/>
        <w:ind w:left="1701"/>
        <w:rPr>
          <w:lang w:val="fr-CH"/>
        </w:rPr>
      </w:pPr>
      <w:r w:rsidRPr="0071782F">
        <w:rPr>
          <w:lang w:val="fr-CH"/>
        </w:rPr>
        <w:t xml:space="preserve">263.11. </w:t>
      </w:r>
      <w:r w:rsidR="00E80B85" w:rsidRPr="0071782F">
        <w:rPr>
          <w:lang w:val="fr-CH"/>
        </w:rPr>
        <w:t xml:space="preserve">Prise des dispositions voulues pour créer le Bureau de la santé </w:t>
      </w:r>
      <w:r w:rsidR="007F37CE" w:rsidRPr="0071782F">
        <w:rPr>
          <w:lang w:val="fr-CH"/>
        </w:rPr>
        <w:t>des personnes</w:t>
      </w:r>
      <w:r w:rsidR="00E80B85" w:rsidRPr="0071782F">
        <w:rPr>
          <w:lang w:val="fr-CH"/>
        </w:rPr>
        <w:t xml:space="preserve"> d’âge moyen, afin de fournir à </w:t>
      </w:r>
      <w:r w:rsidR="00C36750" w:rsidRPr="0071782F">
        <w:rPr>
          <w:lang w:val="fr-CH"/>
        </w:rPr>
        <w:t>ces personnes</w:t>
      </w:r>
      <w:r w:rsidR="00E80B85" w:rsidRPr="0071782F">
        <w:rPr>
          <w:lang w:val="fr-CH"/>
        </w:rPr>
        <w:t xml:space="preserve"> des services de santé appropriés</w:t>
      </w:r>
      <w:r w:rsidRPr="0071782F">
        <w:rPr>
          <w:lang w:val="fr-CH"/>
        </w:rPr>
        <w:t xml:space="preserve">. </w:t>
      </w:r>
      <w:r w:rsidR="00E80B85" w:rsidRPr="0071782F">
        <w:rPr>
          <w:lang w:val="fr-CH"/>
        </w:rPr>
        <w:t>Au nombre des activités réalisées à cette fin, on peut mentionner l’</w:t>
      </w:r>
      <w:r w:rsidRPr="0071782F">
        <w:rPr>
          <w:lang w:val="fr-CH"/>
        </w:rPr>
        <w:t xml:space="preserve">introduction </w:t>
      </w:r>
      <w:r w:rsidR="00E80B85" w:rsidRPr="0071782F">
        <w:rPr>
          <w:lang w:val="fr-CH"/>
        </w:rPr>
        <w:t>du programme intégré de santé des adultes, la conception et l’</w:t>
      </w:r>
      <w:r w:rsidRPr="0071782F">
        <w:rPr>
          <w:lang w:val="fr-CH"/>
        </w:rPr>
        <w:t>ex</w:t>
      </w:r>
      <w:r w:rsidR="00E80B85" w:rsidRPr="0071782F">
        <w:rPr>
          <w:lang w:val="fr-CH"/>
        </w:rPr>
        <w:t>é</w:t>
      </w:r>
      <w:r w:rsidRPr="0071782F">
        <w:rPr>
          <w:lang w:val="fr-CH"/>
        </w:rPr>
        <w:t xml:space="preserve">cution </w:t>
      </w:r>
      <w:r w:rsidR="00E80B85" w:rsidRPr="0071782F">
        <w:rPr>
          <w:lang w:val="fr-CH"/>
        </w:rPr>
        <w:t xml:space="preserve">de la première </w:t>
      </w:r>
      <w:r w:rsidRPr="0071782F">
        <w:rPr>
          <w:lang w:val="fr-CH"/>
        </w:rPr>
        <w:t xml:space="preserve">phase </w:t>
      </w:r>
      <w:r w:rsidR="00E80B85" w:rsidRPr="0071782F">
        <w:rPr>
          <w:lang w:val="fr-CH"/>
        </w:rPr>
        <w:t xml:space="preserve">du programme pilote de fourniture de </w:t>
      </w:r>
      <w:r w:rsidRPr="0071782F">
        <w:rPr>
          <w:lang w:val="fr-CH"/>
        </w:rPr>
        <w:t xml:space="preserve">services </w:t>
      </w:r>
      <w:r w:rsidR="00E80B85" w:rsidRPr="0071782F">
        <w:rPr>
          <w:lang w:val="fr-CH"/>
        </w:rPr>
        <w:t>aux femmes d’âge moyen, et la conception et l’</w:t>
      </w:r>
      <w:r w:rsidRPr="0071782F">
        <w:rPr>
          <w:lang w:val="fr-CH"/>
        </w:rPr>
        <w:t xml:space="preserve">introduction </w:t>
      </w:r>
      <w:r w:rsidR="00E80B85" w:rsidRPr="0071782F">
        <w:rPr>
          <w:lang w:val="fr-CH"/>
        </w:rPr>
        <w:t>de journées nationales de la santé des hommes et des femmes.</w:t>
      </w:r>
    </w:p>
    <w:p w:rsidR="00E5019F" w:rsidRPr="0071782F" w:rsidRDefault="00E5019F" w:rsidP="00E5019F">
      <w:pPr>
        <w:pStyle w:val="SingleTxtG"/>
        <w:ind w:left="1701"/>
        <w:rPr>
          <w:lang w:val="fr-CH"/>
        </w:rPr>
      </w:pPr>
      <w:r w:rsidRPr="0071782F">
        <w:rPr>
          <w:lang w:val="fr-CH"/>
        </w:rPr>
        <w:t>263.12. Red</w:t>
      </w:r>
      <w:r w:rsidR="00E80B85" w:rsidRPr="0071782F">
        <w:rPr>
          <w:lang w:val="fr-CH"/>
        </w:rPr>
        <w:t>é</w:t>
      </w:r>
      <w:r w:rsidRPr="0071782F">
        <w:rPr>
          <w:lang w:val="fr-CH"/>
        </w:rPr>
        <w:t>fini</w:t>
      </w:r>
      <w:r w:rsidR="00E80B85" w:rsidRPr="0071782F">
        <w:rPr>
          <w:lang w:val="fr-CH"/>
        </w:rPr>
        <w:t>tion</w:t>
      </w:r>
      <w:r w:rsidRPr="0071782F">
        <w:rPr>
          <w:lang w:val="fr-CH"/>
        </w:rPr>
        <w:t xml:space="preserve"> </w:t>
      </w:r>
      <w:r w:rsidR="00E80B85" w:rsidRPr="0071782F">
        <w:rPr>
          <w:lang w:val="fr-CH"/>
        </w:rPr>
        <w:t xml:space="preserve">des </w:t>
      </w:r>
      <w:r w:rsidRPr="0071782F">
        <w:rPr>
          <w:lang w:val="fr-CH"/>
        </w:rPr>
        <w:t xml:space="preserve">instructions </w:t>
      </w:r>
      <w:r w:rsidR="00E80B85" w:rsidRPr="0071782F">
        <w:rPr>
          <w:lang w:val="fr-CH"/>
        </w:rPr>
        <w:t xml:space="preserve">concernant les anticonceptionnels et </w:t>
      </w:r>
      <w:r w:rsidRPr="0071782F">
        <w:rPr>
          <w:lang w:val="fr-CH"/>
        </w:rPr>
        <w:t xml:space="preserve">introduction </w:t>
      </w:r>
      <w:r w:rsidR="00E80B85" w:rsidRPr="0071782F">
        <w:rPr>
          <w:lang w:val="fr-CH"/>
        </w:rPr>
        <w:t>de nouveaux moyens contraceptifs, tels que l’utilisation du l</w:t>
      </w:r>
      <w:r w:rsidRPr="0071782F">
        <w:rPr>
          <w:lang w:val="fr-CH"/>
        </w:rPr>
        <w:t xml:space="preserve">evonorgestrel </w:t>
      </w:r>
      <w:r w:rsidR="00E80B85" w:rsidRPr="0071782F">
        <w:rPr>
          <w:lang w:val="fr-CH"/>
        </w:rPr>
        <w:t>et des anticonceptionnels combinés injectables</w:t>
      </w:r>
      <w:r w:rsidRPr="0071782F">
        <w:rPr>
          <w:lang w:val="fr-CH"/>
        </w:rPr>
        <w:t>.</w:t>
      </w:r>
    </w:p>
    <w:p w:rsidR="00E5019F" w:rsidRPr="0071782F" w:rsidRDefault="00E5019F" w:rsidP="00E5019F">
      <w:pPr>
        <w:pStyle w:val="SingleTxtG"/>
        <w:ind w:left="1701"/>
        <w:rPr>
          <w:lang w:val="fr-CH"/>
        </w:rPr>
      </w:pPr>
      <w:r w:rsidRPr="0071782F">
        <w:rPr>
          <w:lang w:val="fr-CH"/>
        </w:rPr>
        <w:t xml:space="preserve">263.13. </w:t>
      </w:r>
      <w:r w:rsidR="00E80B85" w:rsidRPr="0071782F">
        <w:rPr>
          <w:lang w:val="fr-CH"/>
        </w:rPr>
        <w:t xml:space="preserve">Généralisation de la formation et des services en matière de vasectomie non chirurgicale et </w:t>
      </w:r>
      <w:r w:rsidRPr="0071782F">
        <w:rPr>
          <w:lang w:val="fr-CH"/>
        </w:rPr>
        <w:t>ex</w:t>
      </w:r>
      <w:r w:rsidR="00E80B85" w:rsidRPr="0071782F">
        <w:rPr>
          <w:lang w:val="fr-CH"/>
        </w:rPr>
        <w:t>é</w:t>
      </w:r>
      <w:r w:rsidRPr="0071782F">
        <w:rPr>
          <w:lang w:val="fr-CH"/>
        </w:rPr>
        <w:t xml:space="preserve">cution </w:t>
      </w:r>
      <w:r w:rsidR="00E80B85" w:rsidRPr="0071782F">
        <w:rPr>
          <w:lang w:val="fr-CH"/>
        </w:rPr>
        <w:t xml:space="preserve">du </w:t>
      </w:r>
      <w:r w:rsidRPr="0071782F">
        <w:rPr>
          <w:lang w:val="fr-CH"/>
        </w:rPr>
        <w:t>program</w:t>
      </w:r>
      <w:r w:rsidR="00927233" w:rsidRPr="0071782F">
        <w:rPr>
          <w:lang w:val="fr-CH"/>
        </w:rPr>
        <w:t>me</w:t>
      </w:r>
      <w:r w:rsidRPr="0071782F">
        <w:rPr>
          <w:lang w:val="fr-CH"/>
        </w:rPr>
        <w:t xml:space="preserve"> </w:t>
      </w:r>
      <w:r w:rsidR="00E80B85" w:rsidRPr="0071782F">
        <w:rPr>
          <w:lang w:val="fr-CH"/>
        </w:rPr>
        <w:t xml:space="preserve">de contrôle de la qualité des services de vasectomie fournis par des médecins, et ouverture à Urumyeh du Centre </w:t>
      </w:r>
      <w:r w:rsidRPr="0071782F">
        <w:rPr>
          <w:lang w:val="fr-CH"/>
        </w:rPr>
        <w:t xml:space="preserve">international </w:t>
      </w:r>
      <w:r w:rsidR="00E80B85" w:rsidRPr="0071782F">
        <w:rPr>
          <w:lang w:val="fr-CH"/>
        </w:rPr>
        <w:t>de formation à la vasectomie non chirurgicale</w:t>
      </w:r>
      <w:r w:rsidRPr="0071782F">
        <w:rPr>
          <w:lang w:val="fr-CH"/>
        </w:rPr>
        <w:t>.</w:t>
      </w:r>
    </w:p>
    <w:p w:rsidR="00E5019F" w:rsidRPr="0071782F" w:rsidRDefault="00E80B85" w:rsidP="00E5019F">
      <w:pPr>
        <w:pStyle w:val="SingleTxtG"/>
        <w:ind w:left="1701"/>
        <w:rPr>
          <w:lang w:val="fr-CH"/>
        </w:rPr>
      </w:pPr>
      <w:r w:rsidRPr="0071782F">
        <w:rPr>
          <w:lang w:val="fr-CH"/>
        </w:rPr>
        <w:t>263.14. Exé</w:t>
      </w:r>
      <w:r w:rsidR="00E5019F" w:rsidRPr="0071782F">
        <w:rPr>
          <w:lang w:val="fr-CH"/>
        </w:rPr>
        <w:t xml:space="preserve">cution </w:t>
      </w:r>
      <w:r w:rsidRPr="0071782F">
        <w:rPr>
          <w:lang w:val="fr-CH"/>
        </w:rPr>
        <w:t xml:space="preserve">du </w:t>
      </w:r>
      <w:r w:rsidR="00E5019F" w:rsidRPr="0071782F">
        <w:rPr>
          <w:lang w:val="fr-CH"/>
        </w:rPr>
        <w:t>program</w:t>
      </w:r>
      <w:r w:rsidRPr="0071782F">
        <w:rPr>
          <w:lang w:val="fr-CH"/>
        </w:rPr>
        <w:t>me de contrôle des services de DIU fournis par les sages-femmes et élaboration et application satisfaisante d’un ensemble de services de planification familiale à deux niveaux</w:t>
      </w:r>
      <w:r w:rsidR="00E5019F" w:rsidRPr="0071782F">
        <w:rPr>
          <w:lang w:val="fr-CH"/>
        </w:rPr>
        <w:t>.</w:t>
      </w:r>
    </w:p>
    <w:p w:rsidR="00E5019F" w:rsidRPr="0071782F" w:rsidRDefault="00E5019F" w:rsidP="006B0302">
      <w:pPr>
        <w:pStyle w:val="H1G"/>
        <w:rPr>
          <w:lang w:val="fr-CH"/>
        </w:rPr>
      </w:pPr>
      <w:r w:rsidRPr="0071782F">
        <w:rPr>
          <w:lang w:val="fr-CH"/>
        </w:rPr>
        <w:tab/>
      </w:r>
      <w:r w:rsidRPr="0071782F">
        <w:rPr>
          <w:lang w:val="fr-CH"/>
        </w:rPr>
        <w:tab/>
      </w:r>
      <w:r w:rsidR="00E80B85" w:rsidRPr="0071782F">
        <w:rPr>
          <w:lang w:val="fr-CH"/>
        </w:rPr>
        <w:t xml:space="preserve">Santé de l’enfant </w:t>
      </w:r>
    </w:p>
    <w:p w:rsidR="00E5019F" w:rsidRPr="0071782F" w:rsidRDefault="00E5019F" w:rsidP="006B0302">
      <w:pPr>
        <w:pStyle w:val="SingleTxtG"/>
        <w:keepNext/>
        <w:keepLines/>
        <w:rPr>
          <w:lang w:val="fr-CH"/>
        </w:rPr>
      </w:pPr>
      <w:r w:rsidRPr="0071782F">
        <w:rPr>
          <w:lang w:val="fr-CH"/>
        </w:rPr>
        <w:t>264.</w:t>
      </w:r>
      <w:r w:rsidRPr="0071782F">
        <w:rPr>
          <w:lang w:val="fr-CH"/>
        </w:rPr>
        <w:tab/>
      </w:r>
      <w:r w:rsidR="00927233"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264.1.</w:t>
      </w:r>
      <w:r w:rsidRPr="0071782F">
        <w:rPr>
          <w:lang w:val="fr-CH"/>
        </w:rPr>
        <w:tab/>
      </w:r>
      <w:r w:rsidR="00E663E5" w:rsidRPr="0071782F">
        <w:rPr>
          <w:lang w:val="fr-CH"/>
        </w:rPr>
        <w:t xml:space="preserve">Formation aux </w:t>
      </w:r>
      <w:r w:rsidR="00A62149" w:rsidRPr="0071782F">
        <w:rPr>
          <w:lang w:val="fr-CH"/>
        </w:rPr>
        <w:t>"</w:t>
      </w:r>
      <w:r w:rsidR="00E663E5" w:rsidRPr="0071782F">
        <w:rPr>
          <w:lang w:val="fr-CH"/>
        </w:rPr>
        <w:t>soins intégrés aux enfants malades</w:t>
      </w:r>
      <w:r w:rsidR="00A62149" w:rsidRPr="0071782F">
        <w:rPr>
          <w:lang w:val="fr-CH"/>
        </w:rPr>
        <w:t>"</w:t>
      </w:r>
      <w:r w:rsidRPr="0071782F">
        <w:rPr>
          <w:lang w:val="fr-CH"/>
        </w:rPr>
        <w:t xml:space="preserve"> </w:t>
      </w:r>
      <w:r w:rsidR="00E663E5" w:rsidRPr="0071782F">
        <w:rPr>
          <w:lang w:val="fr-CH"/>
        </w:rPr>
        <w:t xml:space="preserve">dispensée à plus de </w:t>
      </w:r>
      <w:r w:rsidRPr="0071782F">
        <w:rPr>
          <w:lang w:val="fr-CH"/>
        </w:rPr>
        <w:t>48</w:t>
      </w:r>
      <w:r w:rsidR="0025727E" w:rsidRPr="0071782F">
        <w:rPr>
          <w:lang w:val="fr-CH"/>
        </w:rPr>
        <w:t> </w:t>
      </w:r>
      <w:r w:rsidRPr="0071782F">
        <w:rPr>
          <w:lang w:val="fr-CH"/>
        </w:rPr>
        <w:t>000</w:t>
      </w:r>
      <w:r w:rsidR="0025727E" w:rsidRPr="0071782F">
        <w:rPr>
          <w:lang w:val="fr-CH"/>
        </w:rPr>
        <w:t> </w:t>
      </w:r>
      <w:r w:rsidR="00E663E5" w:rsidRPr="0071782F">
        <w:rPr>
          <w:lang w:val="fr-CH"/>
        </w:rPr>
        <w:t xml:space="preserve">professionnels de la santé dans le cadre de </w:t>
      </w:r>
      <w:r w:rsidRPr="0071782F">
        <w:rPr>
          <w:lang w:val="fr-CH"/>
        </w:rPr>
        <w:t>2</w:t>
      </w:r>
      <w:r w:rsidR="0025727E" w:rsidRPr="0071782F">
        <w:rPr>
          <w:lang w:val="fr-CH"/>
        </w:rPr>
        <w:t> </w:t>
      </w:r>
      <w:r w:rsidRPr="0071782F">
        <w:rPr>
          <w:lang w:val="fr-CH"/>
        </w:rPr>
        <w:t xml:space="preserve">200 </w:t>
      </w:r>
      <w:r w:rsidR="00E663E5" w:rsidRPr="0071782F">
        <w:rPr>
          <w:lang w:val="fr-CH"/>
        </w:rPr>
        <w:t xml:space="preserve">ateliers de formation organisés dans quelque </w:t>
      </w:r>
      <w:r w:rsidRPr="0071782F">
        <w:rPr>
          <w:lang w:val="fr-CH"/>
        </w:rPr>
        <w:t>20</w:t>
      </w:r>
      <w:r w:rsidR="0025727E" w:rsidRPr="0071782F">
        <w:rPr>
          <w:lang w:val="fr-CH"/>
        </w:rPr>
        <w:t> </w:t>
      </w:r>
      <w:r w:rsidRPr="0071782F">
        <w:rPr>
          <w:lang w:val="fr-CH"/>
        </w:rPr>
        <w:t xml:space="preserve">000 </w:t>
      </w:r>
      <w:r w:rsidR="00E663E5" w:rsidRPr="0071782F">
        <w:rPr>
          <w:lang w:val="fr-CH"/>
        </w:rPr>
        <w:t>maisons de santé et centres de soins et de traitements médicaux de</w:t>
      </w:r>
      <w:r w:rsidRPr="0071782F">
        <w:rPr>
          <w:lang w:val="fr-CH"/>
        </w:rPr>
        <w:t xml:space="preserve"> 329</w:t>
      </w:r>
      <w:r w:rsidR="0025727E" w:rsidRPr="0071782F">
        <w:rPr>
          <w:lang w:val="fr-CH"/>
        </w:rPr>
        <w:t> </w:t>
      </w:r>
      <w:r w:rsidR="00E663E5" w:rsidRPr="0071782F">
        <w:rPr>
          <w:lang w:val="fr-CH"/>
        </w:rPr>
        <w:t>villes</w:t>
      </w:r>
      <w:r w:rsidRPr="0071782F">
        <w:rPr>
          <w:lang w:val="fr-CH"/>
        </w:rPr>
        <w:t>.</w:t>
      </w:r>
    </w:p>
    <w:p w:rsidR="00E5019F" w:rsidRPr="0071782F" w:rsidRDefault="00E5019F" w:rsidP="00E5019F">
      <w:pPr>
        <w:pStyle w:val="SingleTxtG"/>
        <w:ind w:left="1701"/>
        <w:rPr>
          <w:spacing w:val="-2"/>
          <w:lang w:val="fr-CH"/>
        </w:rPr>
      </w:pPr>
      <w:r w:rsidRPr="0071782F">
        <w:rPr>
          <w:spacing w:val="-2"/>
          <w:lang w:val="fr-CH"/>
        </w:rPr>
        <w:t>264.2.</w:t>
      </w:r>
      <w:r w:rsidRPr="0071782F">
        <w:rPr>
          <w:spacing w:val="-2"/>
          <w:lang w:val="fr-CH"/>
        </w:rPr>
        <w:tab/>
      </w:r>
      <w:r w:rsidR="00E663E5" w:rsidRPr="0071782F">
        <w:rPr>
          <w:spacing w:val="-2"/>
          <w:lang w:val="fr-CH"/>
        </w:rPr>
        <w:t>Formation à la</w:t>
      </w:r>
      <w:r w:rsidRPr="0071782F">
        <w:rPr>
          <w:spacing w:val="-2"/>
          <w:lang w:val="fr-CH"/>
        </w:rPr>
        <w:t xml:space="preserve"> </w:t>
      </w:r>
      <w:r w:rsidR="00A62149" w:rsidRPr="0071782F">
        <w:rPr>
          <w:spacing w:val="-2"/>
          <w:lang w:val="fr-CH"/>
        </w:rPr>
        <w:t>"</w:t>
      </w:r>
      <w:r w:rsidR="00E663E5" w:rsidRPr="0071782F">
        <w:rPr>
          <w:spacing w:val="-2"/>
          <w:lang w:val="fr-CH"/>
        </w:rPr>
        <w:t>santé de l’enfant</w:t>
      </w:r>
      <w:r w:rsidR="00A62149" w:rsidRPr="0071782F">
        <w:rPr>
          <w:spacing w:val="-2"/>
          <w:lang w:val="fr-CH"/>
        </w:rPr>
        <w:t>"</w:t>
      </w:r>
      <w:r w:rsidRPr="0071782F">
        <w:rPr>
          <w:spacing w:val="-2"/>
          <w:lang w:val="fr-CH"/>
        </w:rPr>
        <w:t xml:space="preserve"> </w:t>
      </w:r>
      <w:r w:rsidR="00E663E5" w:rsidRPr="0071782F">
        <w:rPr>
          <w:spacing w:val="-2"/>
          <w:lang w:val="fr-CH"/>
        </w:rPr>
        <w:t>dispensée à plus de 48</w:t>
      </w:r>
      <w:r w:rsidR="0025727E" w:rsidRPr="0071782F">
        <w:rPr>
          <w:spacing w:val="-2"/>
          <w:lang w:val="fr-CH"/>
        </w:rPr>
        <w:t> </w:t>
      </w:r>
      <w:r w:rsidR="00E663E5" w:rsidRPr="0071782F">
        <w:rPr>
          <w:spacing w:val="-2"/>
          <w:lang w:val="fr-CH"/>
        </w:rPr>
        <w:t>000 professionnels de la santé dans le cadre de quelque 200 </w:t>
      </w:r>
      <w:r w:rsidRPr="0071782F">
        <w:rPr>
          <w:spacing w:val="-2"/>
          <w:lang w:val="fr-CH"/>
        </w:rPr>
        <w:t xml:space="preserve">000 </w:t>
      </w:r>
      <w:r w:rsidR="00E663E5" w:rsidRPr="0071782F">
        <w:rPr>
          <w:spacing w:val="-2"/>
          <w:lang w:val="fr-CH"/>
        </w:rPr>
        <w:t xml:space="preserve">ateliers de formation organisés dans </w:t>
      </w:r>
      <w:r w:rsidRPr="0071782F">
        <w:rPr>
          <w:spacing w:val="-2"/>
          <w:lang w:val="fr-CH"/>
        </w:rPr>
        <w:t>20</w:t>
      </w:r>
      <w:r w:rsidR="00E663E5" w:rsidRPr="0071782F">
        <w:rPr>
          <w:spacing w:val="-2"/>
          <w:lang w:val="fr-CH"/>
        </w:rPr>
        <w:t> </w:t>
      </w:r>
      <w:r w:rsidR="00751ED4">
        <w:rPr>
          <w:spacing w:val="-2"/>
          <w:lang w:val="fr-CH"/>
        </w:rPr>
        <w:t>000 </w:t>
      </w:r>
      <w:r w:rsidR="00E663E5" w:rsidRPr="0071782F">
        <w:rPr>
          <w:spacing w:val="-2"/>
          <w:lang w:val="fr-CH"/>
        </w:rPr>
        <w:t xml:space="preserve">centres de soins et de traitements médicaux et maisons de santé de </w:t>
      </w:r>
      <w:r w:rsidRPr="0071782F">
        <w:rPr>
          <w:spacing w:val="-2"/>
          <w:lang w:val="fr-CH"/>
        </w:rPr>
        <w:t xml:space="preserve">305 </w:t>
      </w:r>
      <w:r w:rsidR="00E663E5" w:rsidRPr="0071782F">
        <w:rPr>
          <w:spacing w:val="-2"/>
          <w:lang w:val="fr-CH"/>
        </w:rPr>
        <w:t>villes</w:t>
      </w:r>
      <w:r w:rsidRPr="0071782F">
        <w:rPr>
          <w:spacing w:val="-2"/>
          <w:lang w:val="fr-CH"/>
        </w:rPr>
        <w:t xml:space="preserve">; </w:t>
      </w:r>
      <w:r w:rsidR="00E663E5" w:rsidRPr="0071782F">
        <w:rPr>
          <w:spacing w:val="-2"/>
          <w:lang w:val="fr-CH"/>
        </w:rPr>
        <w:t xml:space="preserve">en 2005, la couverture du programme de soins intégrés de santé de l’enfant a atteint </w:t>
      </w:r>
      <w:r w:rsidRPr="0071782F">
        <w:rPr>
          <w:spacing w:val="-2"/>
          <w:lang w:val="fr-CH"/>
        </w:rPr>
        <w:t>95</w:t>
      </w:r>
      <w:r w:rsidR="00E663E5" w:rsidRPr="0071782F">
        <w:rPr>
          <w:spacing w:val="-2"/>
          <w:lang w:val="fr-CH"/>
        </w:rPr>
        <w:t>,</w:t>
      </w:r>
      <w:r w:rsidRPr="0071782F">
        <w:rPr>
          <w:spacing w:val="-2"/>
          <w:lang w:val="fr-CH"/>
        </w:rPr>
        <w:t>8</w:t>
      </w:r>
      <w:r w:rsidR="007E5125" w:rsidRPr="0071782F">
        <w:rPr>
          <w:spacing w:val="-2"/>
          <w:lang w:val="fr-CH"/>
        </w:rPr>
        <w:t>%</w:t>
      </w:r>
      <w:r w:rsidRPr="0071782F">
        <w:rPr>
          <w:spacing w:val="-2"/>
          <w:lang w:val="fr-CH"/>
        </w:rPr>
        <w:t>.</w:t>
      </w:r>
    </w:p>
    <w:p w:rsidR="00E5019F" w:rsidRPr="0071782F" w:rsidRDefault="00E5019F" w:rsidP="00E5019F">
      <w:pPr>
        <w:pStyle w:val="SingleTxtG"/>
        <w:ind w:left="1701"/>
        <w:rPr>
          <w:lang w:val="fr-CH"/>
        </w:rPr>
      </w:pPr>
      <w:r w:rsidRPr="0071782F">
        <w:rPr>
          <w:lang w:val="fr-CH"/>
        </w:rPr>
        <w:t>264.3.</w:t>
      </w:r>
      <w:r w:rsidRPr="0071782F">
        <w:rPr>
          <w:lang w:val="fr-CH"/>
        </w:rPr>
        <w:tab/>
      </w:r>
      <w:r w:rsidR="00825D2D" w:rsidRPr="0071782F">
        <w:rPr>
          <w:lang w:val="fr-CH"/>
        </w:rPr>
        <w:t>La conception du programme de soins aux enfants âgés de un à 59</w:t>
      </w:r>
      <w:r w:rsidR="001F3F05" w:rsidRPr="0071782F">
        <w:rPr>
          <w:lang w:val="fr-CH"/>
        </w:rPr>
        <w:t> mois</w:t>
      </w:r>
      <w:r w:rsidR="00825D2D" w:rsidRPr="0071782F">
        <w:rPr>
          <w:lang w:val="fr-CH"/>
        </w:rPr>
        <w:t xml:space="preserve"> a commencé en </w:t>
      </w:r>
      <w:r w:rsidRPr="0071782F">
        <w:rPr>
          <w:lang w:val="fr-CH"/>
        </w:rPr>
        <w:t xml:space="preserve">2006 </w:t>
      </w:r>
      <w:r w:rsidR="00825D2D" w:rsidRPr="0071782F">
        <w:rPr>
          <w:lang w:val="fr-CH"/>
        </w:rPr>
        <w:t xml:space="preserve">et a été introduit dans les facultés de médecine au début de </w:t>
      </w:r>
      <w:r w:rsidRPr="0071782F">
        <w:rPr>
          <w:lang w:val="fr-CH"/>
        </w:rPr>
        <w:t xml:space="preserve">2007. </w:t>
      </w:r>
      <w:r w:rsidR="00825D2D" w:rsidRPr="0071782F">
        <w:rPr>
          <w:lang w:val="fr-CH"/>
        </w:rPr>
        <w:t xml:space="preserve">Il avait pour but de déterminer et de prévenir les causes des décès d’enfants de ce groupe d’âge de manière à pouvoir étudier ces causes dans le cadre d’un système de soins intégrés. </w:t>
      </w:r>
    </w:p>
    <w:p w:rsidR="00E5019F" w:rsidRPr="0071782F" w:rsidRDefault="00E5019F" w:rsidP="00E5019F">
      <w:pPr>
        <w:pStyle w:val="SingleTxtG"/>
        <w:ind w:left="1701"/>
        <w:rPr>
          <w:lang w:val="fr-CH"/>
        </w:rPr>
      </w:pPr>
      <w:r w:rsidRPr="0071782F">
        <w:rPr>
          <w:lang w:val="fr-CH"/>
        </w:rPr>
        <w:t>264.4.</w:t>
      </w:r>
      <w:r w:rsidRPr="0071782F">
        <w:rPr>
          <w:lang w:val="fr-CH"/>
        </w:rPr>
        <w:tab/>
      </w:r>
      <w:r w:rsidR="00825D2D" w:rsidRPr="0071782F">
        <w:rPr>
          <w:lang w:val="fr-CH"/>
        </w:rPr>
        <w:t xml:space="preserve">Conception et impression d’une fiche de surveillance de la croissance de l’enfant basée sur les nouvelles courbes fournies par l’OMS; élaboration du projet de document d’information sur les services liés à la santé de l’enfant et </w:t>
      </w:r>
      <w:r w:rsidRPr="0071782F">
        <w:rPr>
          <w:lang w:val="fr-CH"/>
        </w:rPr>
        <w:t xml:space="preserve">coordination </w:t>
      </w:r>
      <w:r w:rsidR="00825D2D" w:rsidRPr="0071782F">
        <w:rPr>
          <w:lang w:val="fr-CH"/>
        </w:rPr>
        <w:t>de l’action des organes d’exécution compétents en vue de son application;</w:t>
      </w:r>
      <w:r w:rsidRPr="0071782F">
        <w:rPr>
          <w:lang w:val="fr-CH"/>
        </w:rPr>
        <w:t xml:space="preserve"> </w:t>
      </w:r>
      <w:r w:rsidR="00825D2D" w:rsidRPr="0071782F">
        <w:rPr>
          <w:lang w:val="fr-CH"/>
        </w:rPr>
        <w:t xml:space="preserve">élaboration d’un projet de </w:t>
      </w:r>
      <w:r w:rsidRPr="0071782F">
        <w:rPr>
          <w:lang w:val="fr-CH"/>
        </w:rPr>
        <w:t xml:space="preserve">document </w:t>
      </w:r>
      <w:r w:rsidR="00825D2D" w:rsidRPr="0071782F">
        <w:rPr>
          <w:lang w:val="fr-CH"/>
        </w:rPr>
        <w:t>sur la santé de l’enfant et d’un autre sur la croissance et le développement de l’enfant</w:t>
      </w:r>
      <w:r w:rsidRPr="0071782F">
        <w:rPr>
          <w:lang w:val="fr-CH"/>
        </w:rPr>
        <w:t>; program</w:t>
      </w:r>
      <w:r w:rsidR="00825D2D" w:rsidRPr="0071782F">
        <w:rPr>
          <w:lang w:val="fr-CH"/>
        </w:rPr>
        <w:t>me intégré de</w:t>
      </w:r>
      <w:r w:rsidRPr="0071782F">
        <w:rPr>
          <w:lang w:val="fr-CH"/>
        </w:rPr>
        <w:t xml:space="preserve"> promotion </w:t>
      </w:r>
      <w:r w:rsidR="00825D2D" w:rsidRPr="0071782F">
        <w:rPr>
          <w:lang w:val="fr-CH"/>
        </w:rPr>
        <w:t xml:space="preserve">de la santé de l’enfant </w:t>
      </w:r>
      <w:r w:rsidRPr="0071782F">
        <w:rPr>
          <w:lang w:val="fr-CH"/>
        </w:rPr>
        <w:t xml:space="preserve">(2008) </w:t>
      </w:r>
      <w:r w:rsidR="00825D2D" w:rsidRPr="0071782F">
        <w:rPr>
          <w:lang w:val="fr-CH"/>
        </w:rPr>
        <w:t>et organisation de divers ateliers de formation à la santé de l’enfant</w:t>
      </w:r>
      <w:r w:rsidRPr="0071782F">
        <w:rPr>
          <w:lang w:val="fr-CH"/>
        </w:rPr>
        <w:t>.</w:t>
      </w:r>
    </w:p>
    <w:p w:rsidR="00E5019F" w:rsidRPr="0071782F" w:rsidRDefault="00E5019F" w:rsidP="008077B0">
      <w:pPr>
        <w:pStyle w:val="H1G"/>
        <w:rPr>
          <w:lang w:val="fr-CH"/>
        </w:rPr>
      </w:pPr>
      <w:r w:rsidRPr="0071782F">
        <w:rPr>
          <w:lang w:val="fr-CH"/>
        </w:rPr>
        <w:tab/>
      </w:r>
      <w:r w:rsidRPr="0071782F">
        <w:rPr>
          <w:lang w:val="fr-CH"/>
        </w:rPr>
        <w:tab/>
      </w:r>
      <w:r w:rsidR="00825D2D" w:rsidRPr="0071782F">
        <w:rPr>
          <w:lang w:val="fr-CH"/>
        </w:rPr>
        <w:t xml:space="preserve">Amélioration des profils nutritionnels </w:t>
      </w:r>
    </w:p>
    <w:p w:rsidR="00E5019F" w:rsidRPr="0071782F" w:rsidRDefault="00E5019F" w:rsidP="008077B0">
      <w:pPr>
        <w:pStyle w:val="SingleTxtG"/>
        <w:keepNext/>
        <w:rPr>
          <w:lang w:val="fr-CH"/>
        </w:rPr>
      </w:pPr>
      <w:r w:rsidRPr="0071782F">
        <w:rPr>
          <w:lang w:val="fr-CH"/>
        </w:rPr>
        <w:t>265.</w:t>
      </w:r>
      <w:r w:rsidRPr="0071782F">
        <w:rPr>
          <w:lang w:val="fr-CH"/>
        </w:rPr>
        <w:tab/>
      </w:r>
      <w:r w:rsidR="00927233" w:rsidRPr="0071782F">
        <w:rPr>
          <w:lang w:val="fr-CH"/>
        </w:rPr>
        <w:t>À ce sujet, il convient de noter ce qui suit</w:t>
      </w:r>
      <w:r w:rsidR="008F7D33" w:rsidRPr="0071782F">
        <w:rPr>
          <w:lang w:val="fr-CH"/>
        </w:rPr>
        <w:t>:</w:t>
      </w:r>
    </w:p>
    <w:p w:rsidR="00E5019F" w:rsidRPr="0071782F" w:rsidRDefault="00E5019F" w:rsidP="00F11CE3">
      <w:pPr>
        <w:pStyle w:val="SingleTxtG"/>
        <w:ind w:left="1701"/>
        <w:rPr>
          <w:spacing w:val="-2"/>
          <w:lang w:val="fr-CH"/>
        </w:rPr>
      </w:pPr>
      <w:r w:rsidRPr="0071782F">
        <w:rPr>
          <w:spacing w:val="-2"/>
          <w:lang w:val="fr-CH"/>
        </w:rPr>
        <w:t>265.1.</w:t>
      </w:r>
      <w:r w:rsidRPr="0071782F">
        <w:rPr>
          <w:spacing w:val="-2"/>
          <w:lang w:val="fr-CH"/>
        </w:rPr>
        <w:tab/>
      </w:r>
      <w:r w:rsidR="006A73BD" w:rsidRPr="0071782F">
        <w:rPr>
          <w:spacing w:val="-2"/>
          <w:lang w:val="fr-CH"/>
        </w:rPr>
        <w:t>Adoption de mesures destinées à améliorer le profil de consommation d’huile en augmentant la proportion d’huile liquide distribuée dans le cadre du système de distribution subventionnée (basé sur des tickets de rationnement), à réduire la production d’huile solide et à diminuer le pourcentage d’acides gras saturés et d’acides gras trans dans l’huile solide;</w:t>
      </w:r>
      <w:r w:rsidRPr="0071782F">
        <w:rPr>
          <w:spacing w:val="-2"/>
          <w:lang w:val="fr-CH"/>
        </w:rPr>
        <w:t xml:space="preserve"> </w:t>
      </w:r>
      <w:r w:rsidR="006A73BD" w:rsidRPr="0071782F">
        <w:rPr>
          <w:spacing w:val="-2"/>
          <w:lang w:val="fr-CH"/>
        </w:rPr>
        <w:t>mise en application du règlement concernant le profil de consommation d’huile dans les centres publics; création du comité technique pour l’amélioration de la qualité de la production d’huile; et communication d’informations générales et spécialisées sur cette question par les médias</w:t>
      </w:r>
      <w:r w:rsidRPr="0071782F">
        <w:rPr>
          <w:spacing w:val="-2"/>
          <w:lang w:val="fr-CH"/>
        </w:rPr>
        <w:t>.</w:t>
      </w:r>
    </w:p>
    <w:p w:rsidR="00E5019F" w:rsidRPr="0071782F" w:rsidRDefault="00E5019F" w:rsidP="00E5019F">
      <w:pPr>
        <w:pStyle w:val="SingleTxtG"/>
        <w:ind w:left="1701"/>
        <w:rPr>
          <w:lang w:val="fr-CH"/>
        </w:rPr>
      </w:pPr>
      <w:r w:rsidRPr="0071782F">
        <w:rPr>
          <w:lang w:val="fr-CH"/>
        </w:rPr>
        <w:t>265.2.</w:t>
      </w:r>
      <w:r w:rsidRPr="0071782F">
        <w:rPr>
          <w:lang w:val="fr-CH"/>
        </w:rPr>
        <w:tab/>
        <w:t xml:space="preserve">Extension </w:t>
      </w:r>
      <w:r w:rsidR="00844AE1" w:rsidRPr="0071782F">
        <w:rPr>
          <w:lang w:val="fr-CH"/>
        </w:rPr>
        <w:t xml:space="preserve">du programme de supplémentation en fer à </w:t>
      </w:r>
      <w:r w:rsidRPr="0071782F">
        <w:rPr>
          <w:lang w:val="fr-CH"/>
        </w:rPr>
        <w:t>100</w:t>
      </w:r>
      <w:r w:rsidR="007E5125" w:rsidRPr="0071782F">
        <w:rPr>
          <w:lang w:val="fr-CH"/>
        </w:rPr>
        <w:t>%</w:t>
      </w:r>
      <w:r w:rsidRPr="0071782F">
        <w:rPr>
          <w:lang w:val="fr-CH"/>
        </w:rPr>
        <w:t xml:space="preserve"> </w:t>
      </w:r>
      <w:r w:rsidR="00844AE1" w:rsidRPr="0071782F">
        <w:rPr>
          <w:lang w:val="fr-CH"/>
        </w:rPr>
        <w:t>des filles fréquentant les établissements d’enseignement secondaire du second cycle et à 20</w:t>
      </w:r>
      <w:r w:rsidR="007E5125" w:rsidRPr="0071782F">
        <w:rPr>
          <w:lang w:val="fr-CH"/>
        </w:rPr>
        <w:t>%</w:t>
      </w:r>
      <w:r w:rsidR="00844AE1" w:rsidRPr="0071782F">
        <w:rPr>
          <w:lang w:val="fr-CH"/>
        </w:rPr>
        <w:t xml:space="preserve"> de celles qui fréquentent les établissements d’enseignement secondaire du premier cycle; définition et </w:t>
      </w:r>
      <w:r w:rsidRPr="0071782F">
        <w:rPr>
          <w:lang w:val="fr-CH"/>
        </w:rPr>
        <w:t xml:space="preserve">introduction </w:t>
      </w:r>
      <w:r w:rsidR="00844AE1" w:rsidRPr="0071782F">
        <w:rPr>
          <w:lang w:val="fr-CH"/>
        </w:rPr>
        <w:t>de normes concernant les en-cas</w:t>
      </w:r>
      <w:r w:rsidRPr="0071782F">
        <w:rPr>
          <w:lang w:val="fr-CH"/>
        </w:rPr>
        <w:t xml:space="preserve">, </w:t>
      </w:r>
      <w:r w:rsidR="00844AE1" w:rsidRPr="0071782F">
        <w:rPr>
          <w:lang w:val="fr-CH"/>
        </w:rPr>
        <w:t>le panier alimentaire à l’école et la fourniture de repas gratuits aux internes;</w:t>
      </w:r>
      <w:r w:rsidRPr="0071782F">
        <w:rPr>
          <w:lang w:val="fr-CH"/>
        </w:rPr>
        <w:t xml:space="preserve"> </w:t>
      </w:r>
      <w:r w:rsidR="00844AE1" w:rsidRPr="0071782F">
        <w:rPr>
          <w:lang w:val="fr-CH"/>
        </w:rPr>
        <w:t>et normalisation du programme d’éducation nutritionnelle enseigné dans les garderies rurales</w:t>
      </w:r>
      <w:r w:rsidRPr="0071782F">
        <w:rPr>
          <w:lang w:val="fr-CH"/>
        </w:rPr>
        <w:t>.</w:t>
      </w:r>
    </w:p>
    <w:p w:rsidR="00E5019F" w:rsidRPr="0071782F" w:rsidRDefault="00E5019F" w:rsidP="00E5019F">
      <w:pPr>
        <w:pStyle w:val="SingleTxtG"/>
        <w:ind w:left="1701"/>
        <w:rPr>
          <w:lang w:val="fr-CH"/>
        </w:rPr>
      </w:pPr>
      <w:r w:rsidRPr="0071782F">
        <w:rPr>
          <w:lang w:val="fr-CH"/>
        </w:rPr>
        <w:t>265.3.</w:t>
      </w:r>
      <w:r w:rsidRPr="0071782F">
        <w:rPr>
          <w:lang w:val="fr-CH"/>
        </w:rPr>
        <w:tab/>
      </w:r>
      <w:r w:rsidR="001758FE" w:rsidRPr="0071782F">
        <w:rPr>
          <w:lang w:val="fr-CH"/>
        </w:rPr>
        <w:t xml:space="preserve">Ouverture de </w:t>
      </w:r>
      <w:r w:rsidRPr="0071782F">
        <w:rPr>
          <w:lang w:val="fr-CH"/>
        </w:rPr>
        <w:t xml:space="preserve">17 </w:t>
      </w:r>
      <w:r w:rsidR="001758FE" w:rsidRPr="0071782F">
        <w:rPr>
          <w:lang w:val="fr-CH"/>
        </w:rPr>
        <w:t xml:space="preserve">usines de production de sel raffiné et iodé, grâce auxquelles environ </w:t>
      </w:r>
      <w:r w:rsidRPr="0071782F">
        <w:rPr>
          <w:lang w:val="fr-CH"/>
        </w:rPr>
        <w:t>96</w:t>
      </w:r>
      <w:r w:rsidR="001758FE" w:rsidRPr="0071782F">
        <w:rPr>
          <w:lang w:val="fr-CH"/>
        </w:rPr>
        <w:t>,</w:t>
      </w:r>
      <w:r w:rsidRPr="0071782F">
        <w:rPr>
          <w:lang w:val="fr-CH"/>
        </w:rPr>
        <w:t>6</w:t>
      </w:r>
      <w:r w:rsidR="007E5125" w:rsidRPr="0071782F">
        <w:rPr>
          <w:lang w:val="fr-CH"/>
        </w:rPr>
        <w:t>%</w:t>
      </w:r>
      <w:r w:rsidRPr="0071782F">
        <w:rPr>
          <w:lang w:val="fr-CH"/>
        </w:rPr>
        <w:t xml:space="preserve"> </w:t>
      </w:r>
      <w:r w:rsidR="001758FE" w:rsidRPr="0071782F">
        <w:rPr>
          <w:lang w:val="fr-CH"/>
        </w:rPr>
        <w:t>des sels destinés à l’alimentation sont à l’heure actuelle raffinés à l’aide d’une quantité d’iode appropriée et</w:t>
      </w:r>
      <w:r w:rsidRPr="0071782F">
        <w:rPr>
          <w:lang w:val="fr-CH"/>
        </w:rPr>
        <w:t xml:space="preserve"> 98</w:t>
      </w:r>
      <w:r w:rsidR="001758FE" w:rsidRPr="0071782F">
        <w:rPr>
          <w:lang w:val="fr-CH"/>
        </w:rPr>
        <w:t>,</w:t>
      </w:r>
      <w:r w:rsidRPr="0071782F">
        <w:rPr>
          <w:lang w:val="fr-CH"/>
        </w:rPr>
        <w:t>7</w:t>
      </w:r>
      <w:r w:rsidR="007E5125" w:rsidRPr="0071782F">
        <w:rPr>
          <w:lang w:val="fr-CH"/>
        </w:rPr>
        <w:t>%</w:t>
      </w:r>
      <w:r w:rsidRPr="0071782F">
        <w:rPr>
          <w:lang w:val="fr-CH"/>
        </w:rPr>
        <w:t xml:space="preserve"> </w:t>
      </w:r>
      <w:r w:rsidR="004E45FB" w:rsidRPr="0071782F">
        <w:rPr>
          <w:lang w:val="fr-CH"/>
        </w:rPr>
        <w:t>des familles</w:t>
      </w:r>
      <w:r w:rsidR="001758FE" w:rsidRPr="0071782F">
        <w:rPr>
          <w:lang w:val="fr-CH"/>
        </w:rPr>
        <w:t xml:space="preserve"> consomment du sel iodé.</w:t>
      </w:r>
      <w:r w:rsidRPr="0071782F">
        <w:rPr>
          <w:lang w:val="fr-CH"/>
        </w:rPr>
        <w:t xml:space="preserve"> </w:t>
      </w:r>
      <w:r w:rsidR="001758FE" w:rsidRPr="0071782F">
        <w:rPr>
          <w:lang w:val="fr-CH"/>
        </w:rPr>
        <w:t>En outre</w:t>
      </w:r>
      <w:r w:rsidRPr="0071782F">
        <w:rPr>
          <w:lang w:val="fr-CH"/>
        </w:rPr>
        <w:t xml:space="preserve">, </w:t>
      </w:r>
      <w:r w:rsidR="001758FE" w:rsidRPr="0071782F">
        <w:rPr>
          <w:lang w:val="fr-CH"/>
        </w:rPr>
        <w:t>grâce à l’exé</w:t>
      </w:r>
      <w:r w:rsidRPr="0071782F">
        <w:rPr>
          <w:lang w:val="fr-CH"/>
        </w:rPr>
        <w:t xml:space="preserve">cution </w:t>
      </w:r>
      <w:r w:rsidR="001758FE" w:rsidRPr="0071782F">
        <w:rPr>
          <w:lang w:val="fr-CH"/>
        </w:rPr>
        <w:t xml:space="preserve">du </w:t>
      </w:r>
      <w:r w:rsidRPr="0071782F">
        <w:rPr>
          <w:lang w:val="fr-CH"/>
        </w:rPr>
        <w:t xml:space="preserve">plan </w:t>
      </w:r>
      <w:r w:rsidR="001758FE" w:rsidRPr="0071782F">
        <w:rPr>
          <w:lang w:val="fr-CH"/>
        </w:rPr>
        <w:t xml:space="preserve">d’action de </w:t>
      </w:r>
      <w:r w:rsidRPr="0071782F">
        <w:rPr>
          <w:lang w:val="fr-CH"/>
        </w:rPr>
        <w:t>pr</w:t>
      </w:r>
      <w:r w:rsidR="001758FE" w:rsidRPr="0071782F">
        <w:rPr>
          <w:lang w:val="fr-CH"/>
        </w:rPr>
        <w:t>é</w:t>
      </w:r>
      <w:r w:rsidRPr="0071782F">
        <w:rPr>
          <w:lang w:val="fr-CH"/>
        </w:rPr>
        <w:t xml:space="preserve">vention </w:t>
      </w:r>
      <w:r w:rsidR="001758FE" w:rsidRPr="0071782F">
        <w:rPr>
          <w:lang w:val="fr-CH"/>
        </w:rPr>
        <w:t xml:space="preserve">et de lutte contre les troubles dus à une carence en iode, la consommation d’iode de </w:t>
      </w:r>
      <w:r w:rsidRPr="0071782F">
        <w:rPr>
          <w:lang w:val="fr-CH"/>
        </w:rPr>
        <w:t>56</w:t>
      </w:r>
      <w:r w:rsidR="001758FE" w:rsidRPr="0071782F">
        <w:rPr>
          <w:lang w:val="fr-CH"/>
        </w:rPr>
        <w:t>,</w:t>
      </w:r>
      <w:r w:rsidRPr="0071782F">
        <w:rPr>
          <w:lang w:val="fr-CH"/>
        </w:rPr>
        <w:t>5</w:t>
      </w:r>
      <w:r w:rsidR="007E5125" w:rsidRPr="0071782F">
        <w:rPr>
          <w:lang w:val="fr-CH"/>
        </w:rPr>
        <w:t>%</w:t>
      </w:r>
      <w:r w:rsidRPr="0071782F">
        <w:rPr>
          <w:lang w:val="fr-CH"/>
        </w:rPr>
        <w:t xml:space="preserve"> </w:t>
      </w:r>
      <w:r w:rsidR="001758FE" w:rsidRPr="0071782F">
        <w:rPr>
          <w:lang w:val="fr-CH"/>
        </w:rPr>
        <w:t>environ des écoliers se trouve dans la fourchette d’absorption recommandée, ce qui a permis de diminuer de 6,5</w:t>
      </w:r>
      <w:r w:rsidR="007E5125" w:rsidRPr="0071782F">
        <w:rPr>
          <w:lang w:val="fr-CH"/>
        </w:rPr>
        <w:t>%</w:t>
      </w:r>
      <w:r w:rsidR="001758FE" w:rsidRPr="0071782F">
        <w:rPr>
          <w:lang w:val="fr-CH"/>
        </w:rPr>
        <w:t xml:space="preserve"> les cas de goitre.</w:t>
      </w:r>
    </w:p>
    <w:p w:rsidR="00E5019F" w:rsidRPr="0071782F" w:rsidRDefault="00E5019F" w:rsidP="00E5019F">
      <w:pPr>
        <w:pStyle w:val="SingleTxtG"/>
        <w:ind w:left="1701"/>
        <w:rPr>
          <w:lang w:val="fr-CH"/>
        </w:rPr>
      </w:pPr>
      <w:r w:rsidRPr="0071782F">
        <w:rPr>
          <w:lang w:val="fr-CH"/>
        </w:rPr>
        <w:t>265.4.</w:t>
      </w:r>
      <w:r w:rsidRPr="0071782F">
        <w:rPr>
          <w:lang w:val="fr-CH"/>
        </w:rPr>
        <w:tab/>
        <w:t xml:space="preserve">Extension </w:t>
      </w:r>
      <w:r w:rsidR="00EA3C78" w:rsidRPr="0071782F">
        <w:rPr>
          <w:lang w:val="fr-CH"/>
        </w:rPr>
        <w:t xml:space="preserve">à un million d’enfants de la couverture du </w:t>
      </w:r>
      <w:r w:rsidRPr="0071782F">
        <w:rPr>
          <w:lang w:val="fr-CH"/>
        </w:rPr>
        <w:t>program</w:t>
      </w:r>
      <w:r w:rsidR="00EA3C78" w:rsidRPr="0071782F">
        <w:rPr>
          <w:lang w:val="fr-CH"/>
        </w:rPr>
        <w:t>me</w:t>
      </w:r>
      <w:r w:rsidRPr="0071782F">
        <w:rPr>
          <w:lang w:val="fr-CH"/>
        </w:rPr>
        <w:t xml:space="preserve"> </w:t>
      </w:r>
      <w:r w:rsidR="00EA3C78" w:rsidRPr="0071782F">
        <w:rPr>
          <w:lang w:val="fr-CH"/>
        </w:rPr>
        <w:t>d’amélioration de l’alimentation des enfants</w:t>
      </w:r>
      <w:r w:rsidRPr="0071782F">
        <w:rPr>
          <w:lang w:val="fr-CH"/>
        </w:rPr>
        <w:t xml:space="preserve">, </w:t>
      </w:r>
      <w:r w:rsidR="00EA3C78" w:rsidRPr="0071782F">
        <w:rPr>
          <w:lang w:val="fr-CH"/>
        </w:rPr>
        <w:t xml:space="preserve">fourniture d’un panier alimentaire approprié à </w:t>
      </w:r>
      <w:r w:rsidRPr="0071782F">
        <w:rPr>
          <w:lang w:val="fr-CH"/>
        </w:rPr>
        <w:t>40</w:t>
      </w:r>
      <w:r w:rsidR="0025727E" w:rsidRPr="0071782F">
        <w:rPr>
          <w:lang w:val="fr-CH"/>
        </w:rPr>
        <w:t> </w:t>
      </w:r>
      <w:r w:rsidRPr="0071782F">
        <w:rPr>
          <w:lang w:val="fr-CH"/>
        </w:rPr>
        <w:t xml:space="preserve">000 </w:t>
      </w:r>
      <w:r w:rsidR="00EA3C78" w:rsidRPr="0071782F">
        <w:rPr>
          <w:lang w:val="fr-CH"/>
        </w:rPr>
        <w:t xml:space="preserve">enfants souffrant de </w:t>
      </w:r>
      <w:r w:rsidRPr="0071782F">
        <w:rPr>
          <w:lang w:val="fr-CH"/>
        </w:rPr>
        <w:t xml:space="preserve">malnutrition </w:t>
      </w:r>
      <w:r w:rsidR="00EA3C78" w:rsidRPr="0071782F">
        <w:rPr>
          <w:lang w:val="fr-CH"/>
        </w:rPr>
        <w:t>dans le cadre du programme d’appui nutritionnel</w:t>
      </w:r>
      <w:r w:rsidRPr="0071782F">
        <w:rPr>
          <w:lang w:val="fr-CH"/>
        </w:rPr>
        <w:t>, r</w:t>
      </w:r>
      <w:r w:rsidR="00EA3C78" w:rsidRPr="0071782F">
        <w:rPr>
          <w:lang w:val="fr-CH"/>
        </w:rPr>
        <w:t>é</w:t>
      </w:r>
      <w:r w:rsidRPr="0071782F">
        <w:rPr>
          <w:lang w:val="fr-CH"/>
        </w:rPr>
        <w:t xml:space="preserve">duction </w:t>
      </w:r>
      <w:r w:rsidR="00EA3C78" w:rsidRPr="0071782F">
        <w:rPr>
          <w:lang w:val="fr-CH"/>
        </w:rPr>
        <w:t>de</w:t>
      </w:r>
      <w:r w:rsidRPr="0071782F">
        <w:rPr>
          <w:lang w:val="fr-CH"/>
        </w:rPr>
        <w:t xml:space="preserve"> 40</w:t>
      </w:r>
      <w:r w:rsidR="007E5125" w:rsidRPr="0071782F">
        <w:rPr>
          <w:lang w:val="fr-CH"/>
        </w:rPr>
        <w:t>%</w:t>
      </w:r>
      <w:r w:rsidRPr="0071782F">
        <w:rPr>
          <w:lang w:val="fr-CH"/>
        </w:rPr>
        <w:t xml:space="preserve"> </w:t>
      </w:r>
      <w:r w:rsidR="00EA3C78" w:rsidRPr="0071782F">
        <w:rPr>
          <w:lang w:val="fr-CH"/>
        </w:rPr>
        <w:t xml:space="preserve">de la </w:t>
      </w:r>
      <w:r w:rsidRPr="0071782F">
        <w:rPr>
          <w:lang w:val="fr-CH"/>
        </w:rPr>
        <w:t>pr</w:t>
      </w:r>
      <w:r w:rsidR="00EA3C78" w:rsidRPr="0071782F">
        <w:rPr>
          <w:lang w:val="fr-CH"/>
        </w:rPr>
        <w:t>é</w:t>
      </w:r>
      <w:r w:rsidRPr="0071782F">
        <w:rPr>
          <w:lang w:val="fr-CH"/>
        </w:rPr>
        <w:t xml:space="preserve">valence </w:t>
      </w:r>
      <w:r w:rsidR="00EA3C78" w:rsidRPr="0071782F">
        <w:rPr>
          <w:lang w:val="fr-CH"/>
        </w:rPr>
        <w:t xml:space="preserve">de la </w:t>
      </w:r>
      <w:r w:rsidRPr="0071782F">
        <w:rPr>
          <w:lang w:val="fr-CH"/>
        </w:rPr>
        <w:t xml:space="preserve">malnutrition </w:t>
      </w:r>
      <w:r w:rsidR="00EA3C78" w:rsidRPr="0071782F">
        <w:rPr>
          <w:lang w:val="fr-CH"/>
        </w:rPr>
        <w:t xml:space="preserve">parmi les enfants </w:t>
      </w:r>
      <w:r w:rsidR="00927233" w:rsidRPr="0071782F">
        <w:rPr>
          <w:lang w:val="fr-CH"/>
        </w:rPr>
        <w:t>bénéficiaires du</w:t>
      </w:r>
      <w:r w:rsidR="00EA3C78" w:rsidRPr="0071782F">
        <w:rPr>
          <w:lang w:val="fr-CH"/>
        </w:rPr>
        <w:t xml:space="preserve"> </w:t>
      </w:r>
      <w:r w:rsidRPr="0071782F">
        <w:rPr>
          <w:lang w:val="fr-CH"/>
        </w:rPr>
        <w:t>program</w:t>
      </w:r>
      <w:r w:rsidR="00EA3C78" w:rsidRPr="0071782F">
        <w:rPr>
          <w:lang w:val="fr-CH"/>
        </w:rPr>
        <w:t>me</w:t>
      </w:r>
      <w:r w:rsidRPr="0071782F">
        <w:rPr>
          <w:lang w:val="fr-CH"/>
        </w:rPr>
        <w:t>, r</w:t>
      </w:r>
      <w:r w:rsidR="00EA3C78" w:rsidRPr="0071782F">
        <w:rPr>
          <w:lang w:val="fr-CH"/>
        </w:rPr>
        <w:t>é</w:t>
      </w:r>
      <w:r w:rsidRPr="0071782F">
        <w:rPr>
          <w:lang w:val="fr-CH"/>
        </w:rPr>
        <w:t xml:space="preserve">duction </w:t>
      </w:r>
      <w:r w:rsidR="00EA3C78" w:rsidRPr="0071782F">
        <w:rPr>
          <w:lang w:val="fr-CH"/>
        </w:rPr>
        <w:t>de 40</w:t>
      </w:r>
      <w:r w:rsidR="007E5125" w:rsidRPr="0071782F">
        <w:rPr>
          <w:lang w:val="fr-CH"/>
        </w:rPr>
        <w:t>%</w:t>
      </w:r>
      <w:r w:rsidR="00EA3C78" w:rsidRPr="0071782F">
        <w:rPr>
          <w:lang w:val="fr-CH"/>
        </w:rPr>
        <w:t xml:space="preserve"> depuis 2007 du taux de </w:t>
      </w:r>
      <w:r w:rsidRPr="0071782F">
        <w:rPr>
          <w:lang w:val="fr-CH"/>
        </w:rPr>
        <w:t xml:space="preserve">malnutrition </w:t>
      </w:r>
      <w:r w:rsidR="00EA3C78" w:rsidRPr="0071782F">
        <w:rPr>
          <w:lang w:val="fr-CH"/>
        </w:rPr>
        <w:t xml:space="preserve">parmi les enfants </w:t>
      </w:r>
      <w:r w:rsidR="0092511D" w:rsidRPr="0071782F">
        <w:rPr>
          <w:lang w:val="fr-CH"/>
        </w:rPr>
        <w:t>de famille</w:t>
      </w:r>
      <w:r w:rsidR="00EA3C78" w:rsidRPr="0071782F">
        <w:rPr>
          <w:lang w:val="fr-CH"/>
        </w:rPr>
        <w:t>s pauvres âgés de trois à six</w:t>
      </w:r>
      <w:r w:rsidR="00D82C96" w:rsidRPr="0071782F">
        <w:rPr>
          <w:lang w:val="fr-CH"/>
        </w:rPr>
        <w:t> ans</w:t>
      </w:r>
      <w:r w:rsidR="00EA3C78" w:rsidRPr="0071782F">
        <w:rPr>
          <w:lang w:val="fr-CH"/>
        </w:rPr>
        <w:t xml:space="preserve"> dans plus de </w:t>
      </w:r>
      <w:r w:rsidRPr="0071782F">
        <w:rPr>
          <w:lang w:val="fr-CH"/>
        </w:rPr>
        <w:t>5</w:t>
      </w:r>
      <w:r w:rsidR="0025727E" w:rsidRPr="0071782F">
        <w:rPr>
          <w:lang w:val="fr-CH"/>
        </w:rPr>
        <w:t> </w:t>
      </w:r>
      <w:r w:rsidRPr="0071782F">
        <w:rPr>
          <w:lang w:val="fr-CH"/>
        </w:rPr>
        <w:t xml:space="preserve">000 </w:t>
      </w:r>
      <w:r w:rsidR="00EA3C78" w:rsidRPr="0071782F">
        <w:rPr>
          <w:lang w:val="fr-CH"/>
        </w:rPr>
        <w:t xml:space="preserve">garderies rurales de zones rurales défavorisées, et </w:t>
      </w:r>
      <w:r w:rsidR="00972E67" w:rsidRPr="0071782F">
        <w:rPr>
          <w:lang w:val="fr-CH"/>
        </w:rPr>
        <w:t xml:space="preserve">établissement d’une carte de la </w:t>
      </w:r>
      <w:r w:rsidRPr="0071782F">
        <w:rPr>
          <w:lang w:val="fr-CH"/>
        </w:rPr>
        <w:t xml:space="preserve">malnutrition </w:t>
      </w:r>
      <w:r w:rsidR="00972E67" w:rsidRPr="0071782F">
        <w:rPr>
          <w:lang w:val="fr-CH"/>
        </w:rPr>
        <w:t>concernant les enfants âgés de moins de six</w:t>
      </w:r>
      <w:r w:rsidR="00D82C96" w:rsidRPr="0071782F">
        <w:rPr>
          <w:lang w:val="fr-CH"/>
        </w:rPr>
        <w:t> ans</w:t>
      </w:r>
      <w:r w:rsidR="00972E67" w:rsidRPr="0071782F">
        <w:rPr>
          <w:lang w:val="fr-CH"/>
        </w:rPr>
        <w:t xml:space="preserve"> pour améliorer leur alimentation</w:t>
      </w:r>
      <w:r w:rsidRPr="0071782F">
        <w:rPr>
          <w:lang w:val="fr-CH"/>
        </w:rPr>
        <w:t>.</w:t>
      </w:r>
    </w:p>
    <w:p w:rsidR="00E5019F" w:rsidRPr="0071782F" w:rsidRDefault="00E5019F" w:rsidP="00E5019F">
      <w:pPr>
        <w:pStyle w:val="SingleTxtG"/>
        <w:ind w:left="1701"/>
        <w:rPr>
          <w:spacing w:val="-2"/>
          <w:lang w:val="fr-CH"/>
        </w:rPr>
      </w:pPr>
      <w:r w:rsidRPr="0071782F">
        <w:rPr>
          <w:spacing w:val="-2"/>
          <w:lang w:val="fr-CH"/>
        </w:rPr>
        <w:t>265.5.</w:t>
      </w:r>
      <w:r w:rsidRPr="0071782F">
        <w:rPr>
          <w:spacing w:val="-2"/>
          <w:lang w:val="fr-CH"/>
        </w:rPr>
        <w:tab/>
      </w:r>
      <w:r w:rsidR="00972E67" w:rsidRPr="0071782F">
        <w:rPr>
          <w:spacing w:val="-2"/>
          <w:lang w:val="fr-CH"/>
        </w:rPr>
        <w:t>Augmentation de 15</w:t>
      </w:r>
      <w:r w:rsidR="007E5125" w:rsidRPr="0071782F">
        <w:rPr>
          <w:spacing w:val="-2"/>
          <w:lang w:val="fr-CH"/>
        </w:rPr>
        <w:t>%</w:t>
      </w:r>
      <w:r w:rsidR="00972E67" w:rsidRPr="0071782F">
        <w:rPr>
          <w:spacing w:val="-2"/>
          <w:lang w:val="fr-CH"/>
        </w:rPr>
        <w:t xml:space="preserve"> du </w:t>
      </w:r>
      <w:r w:rsidR="003B48A4" w:rsidRPr="0071782F">
        <w:rPr>
          <w:spacing w:val="-2"/>
          <w:lang w:val="fr-CH"/>
        </w:rPr>
        <w:t>nombre</w:t>
      </w:r>
      <w:r w:rsidRPr="0071782F">
        <w:rPr>
          <w:spacing w:val="-2"/>
          <w:lang w:val="fr-CH"/>
        </w:rPr>
        <w:t xml:space="preserve"> </w:t>
      </w:r>
      <w:r w:rsidR="00972E67" w:rsidRPr="0071782F">
        <w:rPr>
          <w:spacing w:val="-2"/>
          <w:lang w:val="fr-CH"/>
        </w:rPr>
        <w:t xml:space="preserve">des centres de consultation </w:t>
      </w:r>
      <w:r w:rsidRPr="0071782F">
        <w:rPr>
          <w:spacing w:val="-2"/>
          <w:lang w:val="fr-CH"/>
        </w:rPr>
        <w:t>nutrition</w:t>
      </w:r>
      <w:r w:rsidR="00972E67" w:rsidRPr="0071782F">
        <w:rPr>
          <w:spacing w:val="-2"/>
          <w:lang w:val="fr-CH"/>
        </w:rPr>
        <w:t>nelle;</w:t>
      </w:r>
      <w:r w:rsidRPr="0071782F">
        <w:rPr>
          <w:spacing w:val="-2"/>
          <w:lang w:val="fr-CH"/>
        </w:rPr>
        <w:t xml:space="preserve"> </w:t>
      </w:r>
      <w:r w:rsidR="00972E67" w:rsidRPr="0071782F">
        <w:rPr>
          <w:spacing w:val="-2"/>
          <w:lang w:val="fr-CH"/>
        </w:rPr>
        <w:t>augmentation de 50</w:t>
      </w:r>
      <w:r w:rsidR="007E5125" w:rsidRPr="0071782F">
        <w:rPr>
          <w:spacing w:val="-2"/>
          <w:lang w:val="fr-CH"/>
        </w:rPr>
        <w:t>%</w:t>
      </w:r>
      <w:r w:rsidR="00972E67" w:rsidRPr="0071782F">
        <w:rPr>
          <w:spacing w:val="-2"/>
          <w:lang w:val="fr-CH"/>
        </w:rPr>
        <w:t xml:space="preserve"> entre 1985 et aujourd’hui du </w:t>
      </w:r>
      <w:r w:rsidR="003B48A4" w:rsidRPr="0071782F">
        <w:rPr>
          <w:spacing w:val="-2"/>
          <w:lang w:val="fr-CH"/>
        </w:rPr>
        <w:t>nombre</w:t>
      </w:r>
      <w:r w:rsidRPr="0071782F">
        <w:rPr>
          <w:spacing w:val="-2"/>
          <w:lang w:val="fr-CH"/>
        </w:rPr>
        <w:t xml:space="preserve"> </w:t>
      </w:r>
      <w:r w:rsidR="00972E67" w:rsidRPr="0071782F">
        <w:rPr>
          <w:spacing w:val="-2"/>
          <w:lang w:val="fr-CH"/>
        </w:rPr>
        <w:t xml:space="preserve">de programmes d’éducation </w:t>
      </w:r>
      <w:r w:rsidRPr="0071782F">
        <w:rPr>
          <w:spacing w:val="-2"/>
          <w:lang w:val="fr-CH"/>
        </w:rPr>
        <w:t>nutrition</w:t>
      </w:r>
      <w:r w:rsidR="00972E67" w:rsidRPr="0071782F">
        <w:rPr>
          <w:spacing w:val="-2"/>
          <w:lang w:val="fr-CH"/>
        </w:rPr>
        <w:t>nelle à l’intention des mères d’enfants âgés de moins de six</w:t>
      </w:r>
      <w:r w:rsidR="00D82C96" w:rsidRPr="0071782F">
        <w:rPr>
          <w:spacing w:val="-2"/>
          <w:lang w:val="fr-CH"/>
        </w:rPr>
        <w:t> ans</w:t>
      </w:r>
      <w:r w:rsidR="00972E67" w:rsidRPr="0071782F">
        <w:rPr>
          <w:spacing w:val="-2"/>
          <w:lang w:val="fr-CH"/>
        </w:rPr>
        <w:t>;</w:t>
      </w:r>
      <w:r w:rsidRPr="0071782F">
        <w:rPr>
          <w:spacing w:val="-2"/>
          <w:lang w:val="fr-CH"/>
        </w:rPr>
        <w:t xml:space="preserve"> </w:t>
      </w:r>
      <w:r w:rsidR="00972E67" w:rsidRPr="0071782F">
        <w:rPr>
          <w:spacing w:val="-2"/>
          <w:lang w:val="fr-CH"/>
        </w:rPr>
        <w:t xml:space="preserve">exécution du plan d’enrichissement en fer et en acide folique de la farine de blé au niveau </w:t>
      </w:r>
      <w:r w:rsidRPr="0071782F">
        <w:rPr>
          <w:spacing w:val="-2"/>
          <w:lang w:val="fr-CH"/>
        </w:rPr>
        <w:t xml:space="preserve">national </w:t>
      </w:r>
      <w:r w:rsidR="00972E67" w:rsidRPr="0071782F">
        <w:rPr>
          <w:spacing w:val="-2"/>
          <w:lang w:val="fr-CH"/>
        </w:rPr>
        <w:t>entre o</w:t>
      </w:r>
      <w:r w:rsidRPr="0071782F">
        <w:rPr>
          <w:spacing w:val="-2"/>
          <w:lang w:val="fr-CH"/>
        </w:rPr>
        <w:t>ctob</w:t>
      </w:r>
      <w:r w:rsidR="00972E67" w:rsidRPr="0071782F">
        <w:rPr>
          <w:spacing w:val="-2"/>
          <w:lang w:val="fr-CH"/>
        </w:rPr>
        <w:t>re</w:t>
      </w:r>
      <w:r w:rsidRPr="0071782F">
        <w:rPr>
          <w:spacing w:val="-2"/>
          <w:lang w:val="fr-CH"/>
        </w:rPr>
        <w:t xml:space="preserve"> 2006 </w:t>
      </w:r>
      <w:r w:rsidR="00972E67" w:rsidRPr="0071782F">
        <w:rPr>
          <w:spacing w:val="-2"/>
          <w:lang w:val="fr-CH"/>
        </w:rPr>
        <w:t>et aujourd’hui;</w:t>
      </w:r>
      <w:r w:rsidRPr="0071782F">
        <w:rPr>
          <w:spacing w:val="-2"/>
          <w:lang w:val="fr-CH"/>
        </w:rPr>
        <w:t xml:space="preserve"> </w:t>
      </w:r>
      <w:r w:rsidR="00972E67" w:rsidRPr="0071782F">
        <w:rPr>
          <w:spacing w:val="-2"/>
          <w:lang w:val="fr-CH"/>
        </w:rPr>
        <w:t>introduction pour la première fois de la courbe de poids des femmes enceintes dans le programme intégré des soins liés à la grossesse;</w:t>
      </w:r>
      <w:r w:rsidRPr="0071782F">
        <w:rPr>
          <w:spacing w:val="-2"/>
          <w:lang w:val="fr-CH"/>
        </w:rPr>
        <w:t xml:space="preserve"> </w:t>
      </w:r>
      <w:r w:rsidR="00972E67" w:rsidRPr="0071782F">
        <w:rPr>
          <w:spacing w:val="-2"/>
          <w:lang w:val="fr-CH"/>
        </w:rPr>
        <w:t>et</w:t>
      </w:r>
      <w:r w:rsidRPr="0071782F">
        <w:rPr>
          <w:spacing w:val="-2"/>
          <w:lang w:val="fr-CH"/>
        </w:rPr>
        <w:t xml:space="preserve"> </w:t>
      </w:r>
      <w:r w:rsidR="00972E67" w:rsidRPr="0071782F">
        <w:rPr>
          <w:spacing w:val="-2"/>
          <w:lang w:val="fr-CH"/>
        </w:rPr>
        <w:t>conception du panier alimentaire d’urgence recommandé</w:t>
      </w:r>
      <w:r w:rsidRPr="0071782F">
        <w:rPr>
          <w:spacing w:val="-2"/>
          <w:lang w:val="fr-CH"/>
        </w:rPr>
        <w:t>.</w:t>
      </w:r>
    </w:p>
    <w:p w:rsidR="00E5019F" w:rsidRPr="0071782F" w:rsidRDefault="00E5019F" w:rsidP="00E5019F">
      <w:pPr>
        <w:pStyle w:val="H1G"/>
        <w:rPr>
          <w:lang w:val="fr-CH"/>
        </w:rPr>
      </w:pPr>
      <w:r w:rsidRPr="0071782F">
        <w:rPr>
          <w:lang w:val="fr-CH"/>
        </w:rPr>
        <w:tab/>
      </w:r>
      <w:r w:rsidRPr="0071782F">
        <w:rPr>
          <w:lang w:val="fr-CH"/>
        </w:rPr>
        <w:tab/>
      </w:r>
      <w:r w:rsidR="00972E67" w:rsidRPr="0071782F">
        <w:rPr>
          <w:lang w:val="fr-CH"/>
        </w:rPr>
        <w:t xml:space="preserve">Hygiène de l’environnement </w:t>
      </w:r>
    </w:p>
    <w:p w:rsidR="00E5019F" w:rsidRPr="0071782F" w:rsidRDefault="00E5019F" w:rsidP="00E5019F">
      <w:pPr>
        <w:pStyle w:val="SingleTxtG"/>
        <w:rPr>
          <w:lang w:val="fr-CH"/>
        </w:rPr>
      </w:pPr>
      <w:r w:rsidRPr="0071782F">
        <w:rPr>
          <w:lang w:val="fr-CH"/>
        </w:rPr>
        <w:t>266.</w:t>
      </w:r>
      <w:r w:rsidRPr="0071782F">
        <w:rPr>
          <w:lang w:val="fr-CH"/>
        </w:rPr>
        <w:tab/>
      </w:r>
      <w:r w:rsidR="00927233"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266.1.</w:t>
      </w:r>
      <w:r w:rsidRPr="0071782F">
        <w:rPr>
          <w:lang w:val="fr-CH"/>
        </w:rPr>
        <w:tab/>
      </w:r>
      <w:r w:rsidR="00CD21A5" w:rsidRPr="0071782F">
        <w:rPr>
          <w:lang w:val="fr-CH"/>
        </w:rPr>
        <w:t xml:space="preserve">L’amélioration et la </w:t>
      </w:r>
      <w:r w:rsidRPr="0071782F">
        <w:rPr>
          <w:lang w:val="fr-CH"/>
        </w:rPr>
        <w:t xml:space="preserve">promotion </w:t>
      </w:r>
      <w:r w:rsidR="00CD21A5" w:rsidRPr="0071782F">
        <w:rPr>
          <w:lang w:val="fr-CH"/>
        </w:rPr>
        <w:t xml:space="preserve">des programmes relatifs à l’hygiène du travail et à l’hygiène de l’environnement permettent à présent à plus de </w:t>
      </w:r>
      <w:r w:rsidRPr="0071782F">
        <w:rPr>
          <w:lang w:val="fr-CH"/>
        </w:rPr>
        <w:t>89</w:t>
      </w:r>
      <w:r w:rsidR="00CD21A5" w:rsidRPr="0071782F">
        <w:rPr>
          <w:lang w:val="fr-CH"/>
        </w:rPr>
        <w:t>,</w:t>
      </w:r>
      <w:r w:rsidRPr="0071782F">
        <w:rPr>
          <w:lang w:val="fr-CH"/>
        </w:rPr>
        <w:t>3</w:t>
      </w:r>
      <w:r w:rsidR="007E5125" w:rsidRPr="0071782F">
        <w:rPr>
          <w:lang w:val="fr-CH"/>
        </w:rPr>
        <w:t>%</w:t>
      </w:r>
      <w:r w:rsidRPr="0071782F">
        <w:rPr>
          <w:lang w:val="fr-CH"/>
        </w:rPr>
        <w:t xml:space="preserve"> </w:t>
      </w:r>
      <w:r w:rsidR="004E45FB" w:rsidRPr="0071782F">
        <w:rPr>
          <w:lang w:val="fr-CH"/>
        </w:rPr>
        <w:t>des familles</w:t>
      </w:r>
      <w:r w:rsidR="00CD21A5" w:rsidRPr="0071782F">
        <w:rPr>
          <w:lang w:val="fr-CH"/>
        </w:rPr>
        <w:t xml:space="preserve"> </w:t>
      </w:r>
      <w:r w:rsidRPr="0071782F">
        <w:rPr>
          <w:lang w:val="fr-CH"/>
        </w:rPr>
        <w:t>rural</w:t>
      </w:r>
      <w:r w:rsidR="00CD21A5" w:rsidRPr="0071782F">
        <w:rPr>
          <w:lang w:val="fr-CH"/>
        </w:rPr>
        <w:t>es</w:t>
      </w:r>
      <w:r w:rsidRPr="0071782F">
        <w:rPr>
          <w:lang w:val="fr-CH"/>
        </w:rPr>
        <w:t xml:space="preserve"> </w:t>
      </w:r>
      <w:r w:rsidR="00CD21A5" w:rsidRPr="0071782F">
        <w:rPr>
          <w:lang w:val="fr-CH"/>
        </w:rPr>
        <w:t xml:space="preserve">d’avoir accès à l’eau </w:t>
      </w:r>
      <w:r w:rsidRPr="0071782F">
        <w:rPr>
          <w:lang w:val="fr-CH"/>
        </w:rPr>
        <w:t xml:space="preserve">potable </w:t>
      </w:r>
      <w:r w:rsidR="00CD21A5" w:rsidRPr="0071782F">
        <w:rPr>
          <w:lang w:val="fr-CH"/>
        </w:rPr>
        <w:t xml:space="preserve">et à près de </w:t>
      </w:r>
      <w:r w:rsidRPr="0071782F">
        <w:rPr>
          <w:lang w:val="fr-CH"/>
        </w:rPr>
        <w:t>66</w:t>
      </w:r>
      <w:r w:rsidR="00CD21A5" w:rsidRPr="0071782F">
        <w:rPr>
          <w:lang w:val="fr-CH"/>
        </w:rPr>
        <w:t>,</w:t>
      </w:r>
      <w:r w:rsidRPr="0071782F">
        <w:rPr>
          <w:lang w:val="fr-CH"/>
        </w:rPr>
        <w:t>7</w:t>
      </w:r>
      <w:r w:rsidR="007E5125" w:rsidRPr="0071782F">
        <w:rPr>
          <w:lang w:val="fr-CH"/>
        </w:rPr>
        <w:t>%</w:t>
      </w:r>
      <w:r w:rsidRPr="0071782F">
        <w:rPr>
          <w:lang w:val="fr-CH"/>
        </w:rPr>
        <w:t xml:space="preserve"> </w:t>
      </w:r>
      <w:r w:rsidR="00CD21A5" w:rsidRPr="0071782F">
        <w:rPr>
          <w:lang w:val="fr-CH"/>
        </w:rPr>
        <w:t>d’entre e</w:t>
      </w:r>
      <w:r w:rsidR="00927233" w:rsidRPr="0071782F">
        <w:rPr>
          <w:lang w:val="fr-CH"/>
        </w:rPr>
        <w:t>lles</w:t>
      </w:r>
      <w:r w:rsidR="00CD21A5" w:rsidRPr="0071782F">
        <w:rPr>
          <w:lang w:val="fr-CH"/>
        </w:rPr>
        <w:t xml:space="preserve"> à un système hygiénique d’enlèvement des ordures, pourcentage qui s’est amélioré de 45</w:t>
      </w:r>
      <w:r w:rsidR="007E5125" w:rsidRPr="0071782F">
        <w:rPr>
          <w:lang w:val="fr-CH"/>
        </w:rPr>
        <w:t>%</w:t>
      </w:r>
      <w:r w:rsidR="00CD21A5" w:rsidRPr="0071782F">
        <w:rPr>
          <w:lang w:val="fr-CH"/>
        </w:rPr>
        <w:t xml:space="preserve"> par rapport à il y a quatre</w:t>
      </w:r>
      <w:r w:rsidR="00D82C96" w:rsidRPr="0071782F">
        <w:rPr>
          <w:lang w:val="fr-CH"/>
        </w:rPr>
        <w:t> ans</w:t>
      </w:r>
      <w:r w:rsidR="00CD21A5" w:rsidRPr="0071782F">
        <w:rPr>
          <w:lang w:val="fr-CH"/>
        </w:rPr>
        <w:t>.</w:t>
      </w:r>
    </w:p>
    <w:p w:rsidR="00E5019F" w:rsidRPr="0071782F" w:rsidRDefault="00E5019F" w:rsidP="00E5019F">
      <w:pPr>
        <w:pStyle w:val="SingleTxtG"/>
        <w:ind w:left="1701"/>
        <w:rPr>
          <w:lang w:val="fr-CH"/>
        </w:rPr>
      </w:pPr>
      <w:r w:rsidRPr="0071782F">
        <w:rPr>
          <w:lang w:val="fr-CH"/>
        </w:rPr>
        <w:t>266.2.</w:t>
      </w:r>
      <w:r w:rsidRPr="0071782F">
        <w:rPr>
          <w:lang w:val="fr-CH"/>
        </w:rPr>
        <w:tab/>
      </w:r>
      <w:r w:rsidR="00CD21A5" w:rsidRPr="0071782F">
        <w:rPr>
          <w:lang w:val="fr-CH"/>
        </w:rPr>
        <w:t>L’exécution des programmes de santé publique a porté à 89,6</w:t>
      </w:r>
      <w:r w:rsidR="007E5125" w:rsidRPr="0071782F">
        <w:rPr>
          <w:lang w:val="fr-CH"/>
        </w:rPr>
        <w:t>%</w:t>
      </w:r>
      <w:r w:rsidR="00CD21A5" w:rsidRPr="0071782F">
        <w:rPr>
          <w:lang w:val="fr-CH"/>
        </w:rPr>
        <w:t xml:space="preserve"> le pourcentage des lieux publics qui sont conformes aux normes sanitaires et à 81,1</w:t>
      </w:r>
      <w:r w:rsidR="007E5125" w:rsidRPr="0071782F">
        <w:rPr>
          <w:lang w:val="fr-CH"/>
        </w:rPr>
        <w:t>%</w:t>
      </w:r>
      <w:r w:rsidR="00CD21A5" w:rsidRPr="0071782F">
        <w:rPr>
          <w:lang w:val="fr-CH"/>
        </w:rPr>
        <w:t xml:space="preserve"> le taux d’amélioration de la santé publique dans les zones rurales et urbaines. Par ailleurs, le taux d’élimination des déchets hospitaliers est passé de </w:t>
      </w:r>
      <w:r w:rsidRPr="0071782F">
        <w:rPr>
          <w:lang w:val="fr-CH"/>
        </w:rPr>
        <w:t>60</w:t>
      </w:r>
      <w:r w:rsidR="00CD21A5" w:rsidRPr="0071782F">
        <w:rPr>
          <w:lang w:val="fr-CH"/>
        </w:rPr>
        <w:t>,</w:t>
      </w:r>
      <w:r w:rsidRPr="0071782F">
        <w:rPr>
          <w:lang w:val="fr-CH"/>
        </w:rPr>
        <w:t>7</w:t>
      </w:r>
      <w:r w:rsidR="007E5125" w:rsidRPr="0071782F">
        <w:rPr>
          <w:lang w:val="fr-CH"/>
        </w:rPr>
        <w:t>%</w:t>
      </w:r>
      <w:r w:rsidRPr="0071782F">
        <w:rPr>
          <w:lang w:val="fr-CH"/>
        </w:rPr>
        <w:t xml:space="preserve"> </w:t>
      </w:r>
      <w:r w:rsidR="00CD21A5" w:rsidRPr="0071782F">
        <w:rPr>
          <w:lang w:val="fr-CH"/>
        </w:rPr>
        <w:t>à</w:t>
      </w:r>
      <w:r w:rsidRPr="0071782F">
        <w:rPr>
          <w:lang w:val="fr-CH"/>
        </w:rPr>
        <w:t xml:space="preserve"> 77</w:t>
      </w:r>
      <w:r w:rsidR="007E5125" w:rsidRPr="0071782F">
        <w:rPr>
          <w:lang w:val="fr-CH"/>
        </w:rPr>
        <w:t>%</w:t>
      </w:r>
      <w:r w:rsidRPr="0071782F">
        <w:rPr>
          <w:lang w:val="fr-CH"/>
        </w:rPr>
        <w:t>.</w:t>
      </w:r>
    </w:p>
    <w:p w:rsidR="00E5019F" w:rsidRPr="0071782F" w:rsidRDefault="00E5019F" w:rsidP="00E5019F">
      <w:pPr>
        <w:pStyle w:val="SingleTxtG"/>
        <w:ind w:left="1701"/>
        <w:rPr>
          <w:spacing w:val="-2"/>
          <w:lang w:val="fr-CH"/>
        </w:rPr>
      </w:pPr>
      <w:r w:rsidRPr="0071782F">
        <w:rPr>
          <w:spacing w:val="-2"/>
          <w:lang w:val="fr-CH"/>
        </w:rPr>
        <w:t>266.3.</w:t>
      </w:r>
      <w:r w:rsidRPr="0071782F">
        <w:rPr>
          <w:spacing w:val="-2"/>
          <w:lang w:val="fr-CH"/>
        </w:rPr>
        <w:tab/>
      </w:r>
      <w:r w:rsidR="008545C3" w:rsidRPr="0071782F">
        <w:rPr>
          <w:spacing w:val="-2"/>
          <w:lang w:val="fr-CH"/>
        </w:rPr>
        <w:t xml:space="preserve">Des accords ont été passés avec les </w:t>
      </w:r>
      <w:r w:rsidRPr="0071782F">
        <w:rPr>
          <w:spacing w:val="-2"/>
          <w:lang w:val="fr-CH"/>
        </w:rPr>
        <w:t>minist</w:t>
      </w:r>
      <w:r w:rsidR="008545C3" w:rsidRPr="0071782F">
        <w:rPr>
          <w:spacing w:val="-2"/>
          <w:lang w:val="fr-CH"/>
        </w:rPr>
        <w:t>ères du commerce, de l’</w:t>
      </w:r>
      <w:r w:rsidRPr="0071782F">
        <w:rPr>
          <w:spacing w:val="-2"/>
          <w:lang w:val="fr-CH"/>
        </w:rPr>
        <w:t>industr</w:t>
      </w:r>
      <w:r w:rsidR="008545C3" w:rsidRPr="0071782F">
        <w:rPr>
          <w:spacing w:val="-2"/>
          <w:lang w:val="fr-CH"/>
        </w:rPr>
        <w:t xml:space="preserve">ie et des </w:t>
      </w:r>
      <w:r w:rsidRPr="0071782F">
        <w:rPr>
          <w:spacing w:val="-2"/>
          <w:lang w:val="fr-CH"/>
        </w:rPr>
        <w:t xml:space="preserve">mines </w:t>
      </w:r>
      <w:r w:rsidR="008545C3" w:rsidRPr="0071782F">
        <w:rPr>
          <w:spacing w:val="-2"/>
          <w:lang w:val="fr-CH"/>
        </w:rPr>
        <w:t xml:space="preserve">sur l’application du règlement modifiant </w:t>
      </w:r>
      <w:r w:rsidR="00723F2B" w:rsidRPr="0071782F">
        <w:rPr>
          <w:spacing w:val="-2"/>
          <w:lang w:val="fr-CH"/>
        </w:rPr>
        <w:t>l’</w:t>
      </w:r>
      <w:r w:rsidR="00943A69" w:rsidRPr="0071782F">
        <w:rPr>
          <w:spacing w:val="-2"/>
          <w:lang w:val="fr-CH"/>
        </w:rPr>
        <w:t>article </w:t>
      </w:r>
      <w:r w:rsidRPr="0071782F">
        <w:rPr>
          <w:spacing w:val="-2"/>
          <w:lang w:val="fr-CH"/>
        </w:rPr>
        <w:t xml:space="preserve">13 </w:t>
      </w:r>
      <w:r w:rsidR="008545C3" w:rsidRPr="0071782F">
        <w:rPr>
          <w:spacing w:val="-2"/>
          <w:lang w:val="fr-CH"/>
        </w:rPr>
        <w:t xml:space="preserve">concernant l’interdiction de fumer dans les lieux publics et dans les centres de production et de </w:t>
      </w:r>
      <w:r w:rsidRPr="0071782F">
        <w:rPr>
          <w:spacing w:val="-2"/>
          <w:lang w:val="fr-CH"/>
        </w:rPr>
        <w:t xml:space="preserve">distribution </w:t>
      </w:r>
      <w:r w:rsidR="008545C3" w:rsidRPr="0071782F">
        <w:rPr>
          <w:spacing w:val="-2"/>
          <w:lang w:val="fr-CH"/>
        </w:rPr>
        <w:t xml:space="preserve">de produits alimentaires. Par ailleurs, le </w:t>
      </w:r>
      <w:r w:rsidR="003B48A4" w:rsidRPr="0071782F">
        <w:rPr>
          <w:spacing w:val="-2"/>
          <w:lang w:val="fr-CH"/>
        </w:rPr>
        <w:t>nombre</w:t>
      </w:r>
      <w:r w:rsidRPr="0071782F">
        <w:rPr>
          <w:spacing w:val="-2"/>
          <w:lang w:val="fr-CH"/>
        </w:rPr>
        <w:t xml:space="preserve"> </w:t>
      </w:r>
      <w:r w:rsidR="008545C3" w:rsidRPr="0071782F">
        <w:rPr>
          <w:spacing w:val="-2"/>
          <w:lang w:val="fr-CH"/>
        </w:rPr>
        <w:t>de centres de consultation et de traitement antitabagique est passé de sept à</w:t>
      </w:r>
      <w:r w:rsidRPr="0071782F">
        <w:rPr>
          <w:spacing w:val="-2"/>
          <w:lang w:val="fr-CH"/>
        </w:rPr>
        <w:t xml:space="preserve"> 140 </w:t>
      </w:r>
      <w:r w:rsidR="008545C3" w:rsidRPr="0071782F">
        <w:rPr>
          <w:spacing w:val="-2"/>
          <w:lang w:val="fr-CH"/>
        </w:rPr>
        <w:t>pendant la période considérée</w:t>
      </w:r>
      <w:r w:rsidRPr="0071782F">
        <w:rPr>
          <w:spacing w:val="-2"/>
          <w:lang w:val="fr-CH"/>
        </w:rPr>
        <w:t>.</w:t>
      </w:r>
    </w:p>
    <w:p w:rsidR="00E5019F" w:rsidRPr="0071782F" w:rsidRDefault="00E5019F" w:rsidP="00E5019F">
      <w:pPr>
        <w:pStyle w:val="SingleTxtG"/>
        <w:ind w:left="1701"/>
        <w:rPr>
          <w:spacing w:val="-2"/>
          <w:lang w:val="fr-CH"/>
        </w:rPr>
      </w:pPr>
      <w:r w:rsidRPr="0071782F">
        <w:rPr>
          <w:spacing w:val="-2"/>
          <w:lang w:val="fr-CH"/>
        </w:rPr>
        <w:t>266.4.</w:t>
      </w:r>
      <w:r w:rsidRPr="0071782F">
        <w:rPr>
          <w:spacing w:val="-2"/>
          <w:lang w:val="fr-CH"/>
        </w:rPr>
        <w:tab/>
      </w:r>
      <w:r w:rsidR="00A97890" w:rsidRPr="0071782F">
        <w:rPr>
          <w:spacing w:val="-2"/>
          <w:lang w:val="fr-CH"/>
        </w:rPr>
        <w:t xml:space="preserve">Élaboration des règles relatives à </w:t>
      </w:r>
      <w:r w:rsidR="00723F2B" w:rsidRPr="0071782F">
        <w:rPr>
          <w:spacing w:val="-2"/>
          <w:lang w:val="fr-CH"/>
        </w:rPr>
        <w:t>l’</w:t>
      </w:r>
      <w:r w:rsidR="00943A69" w:rsidRPr="0071782F">
        <w:rPr>
          <w:spacing w:val="-2"/>
          <w:lang w:val="fr-CH"/>
        </w:rPr>
        <w:t>article </w:t>
      </w:r>
      <w:r w:rsidRPr="0071782F">
        <w:rPr>
          <w:spacing w:val="-2"/>
          <w:lang w:val="fr-CH"/>
        </w:rPr>
        <w:t xml:space="preserve">5 </w:t>
      </w:r>
      <w:r w:rsidR="00A97890" w:rsidRPr="0071782F">
        <w:rPr>
          <w:spacing w:val="-2"/>
          <w:lang w:val="fr-CH"/>
        </w:rPr>
        <w:t xml:space="preserve">de la loi sur la gestion des ordures, </w:t>
      </w:r>
      <w:r w:rsidRPr="0071782F">
        <w:rPr>
          <w:spacing w:val="-2"/>
          <w:lang w:val="fr-CH"/>
        </w:rPr>
        <w:t xml:space="preserve">adoption </w:t>
      </w:r>
      <w:r w:rsidR="00A97890" w:rsidRPr="0071782F">
        <w:rPr>
          <w:spacing w:val="-2"/>
          <w:lang w:val="fr-CH"/>
        </w:rPr>
        <w:t xml:space="preserve">d’une politique qui garantisse l’innocuité des déchets hospitaliers à la source par la mise en </w:t>
      </w:r>
      <w:r w:rsidR="00D5366B" w:rsidRPr="0071782F">
        <w:rPr>
          <w:spacing w:val="-2"/>
          <w:lang w:val="fr-CH"/>
        </w:rPr>
        <w:t>œuvre</w:t>
      </w:r>
      <w:r w:rsidR="00A97890" w:rsidRPr="0071782F">
        <w:rPr>
          <w:spacing w:val="-2"/>
          <w:lang w:val="fr-CH"/>
        </w:rPr>
        <w:t xml:space="preserve"> de méthodes autres que l’inciné</w:t>
      </w:r>
      <w:r w:rsidRPr="0071782F">
        <w:rPr>
          <w:spacing w:val="-2"/>
          <w:lang w:val="fr-CH"/>
        </w:rPr>
        <w:t>ration</w:t>
      </w:r>
      <w:r w:rsidR="00A97890" w:rsidRPr="0071782F">
        <w:rPr>
          <w:spacing w:val="-2"/>
          <w:lang w:val="fr-CH"/>
        </w:rPr>
        <w:t>, et affectation d’un poste budgétaire spécial à la réglementation des déchets hospitaliers</w:t>
      </w:r>
      <w:r w:rsidRPr="0071782F">
        <w:rPr>
          <w:spacing w:val="-2"/>
          <w:lang w:val="fr-CH"/>
        </w:rPr>
        <w:t>.</w:t>
      </w:r>
    </w:p>
    <w:p w:rsidR="00E5019F" w:rsidRPr="0071782F" w:rsidRDefault="00E5019F" w:rsidP="00E5019F">
      <w:pPr>
        <w:pStyle w:val="SingleTxtG"/>
        <w:ind w:left="1701"/>
        <w:rPr>
          <w:lang w:val="fr-CH"/>
        </w:rPr>
      </w:pPr>
      <w:r w:rsidRPr="0071782F">
        <w:rPr>
          <w:lang w:val="fr-CH"/>
        </w:rPr>
        <w:t>266.5.</w:t>
      </w:r>
      <w:r w:rsidRPr="0071782F">
        <w:rPr>
          <w:lang w:val="fr-CH"/>
        </w:rPr>
        <w:tab/>
      </w:r>
      <w:r w:rsidR="00A97890" w:rsidRPr="0071782F">
        <w:rPr>
          <w:lang w:val="fr-CH"/>
        </w:rPr>
        <w:t xml:space="preserve">Création pour la première fois, en mars 2007, du Comité des urgences environnementales au sein du ministère compétent et dans </w:t>
      </w:r>
      <w:r w:rsidRPr="0071782F">
        <w:rPr>
          <w:lang w:val="fr-CH"/>
        </w:rPr>
        <w:t xml:space="preserve">40 </w:t>
      </w:r>
      <w:r w:rsidR="00A97890" w:rsidRPr="0071782F">
        <w:rPr>
          <w:lang w:val="fr-CH"/>
        </w:rPr>
        <w:t xml:space="preserve">facultés de médecine et </w:t>
      </w:r>
      <w:r w:rsidRPr="0071782F">
        <w:rPr>
          <w:lang w:val="fr-CH"/>
        </w:rPr>
        <w:t xml:space="preserve">311 </w:t>
      </w:r>
      <w:r w:rsidR="00A97890" w:rsidRPr="0071782F">
        <w:rPr>
          <w:lang w:val="fr-CH"/>
        </w:rPr>
        <w:t>villes petites ou grandes; il a pour mission d’étudier l’</w:t>
      </w:r>
      <w:r w:rsidRPr="0071782F">
        <w:rPr>
          <w:lang w:val="fr-CH"/>
        </w:rPr>
        <w:t xml:space="preserve">impact </w:t>
      </w:r>
      <w:r w:rsidR="00A97890" w:rsidRPr="0071782F">
        <w:rPr>
          <w:lang w:val="fr-CH"/>
        </w:rPr>
        <w:t>de la pollution atmosphérique sur la santé dans les facultés de médecine en s’appuyant sur les dispositions du Plan opérationnel intégré de réduction de la pollution atmosphérique</w:t>
      </w:r>
      <w:r w:rsidRPr="0071782F">
        <w:rPr>
          <w:lang w:val="fr-CH"/>
        </w:rPr>
        <w:t>.</w:t>
      </w:r>
    </w:p>
    <w:p w:rsidR="00E5019F" w:rsidRPr="0071782F" w:rsidRDefault="00E5019F" w:rsidP="00E5019F">
      <w:pPr>
        <w:pStyle w:val="SingleTxtG"/>
        <w:ind w:left="1701"/>
        <w:rPr>
          <w:lang w:val="fr-CH"/>
        </w:rPr>
      </w:pPr>
      <w:r w:rsidRPr="0071782F">
        <w:rPr>
          <w:lang w:val="fr-CH"/>
        </w:rPr>
        <w:t>266.6.</w:t>
      </w:r>
      <w:r w:rsidRPr="0071782F">
        <w:rPr>
          <w:lang w:val="fr-CH"/>
        </w:rPr>
        <w:tab/>
      </w:r>
      <w:r w:rsidR="00A97890" w:rsidRPr="0071782F">
        <w:rPr>
          <w:lang w:val="fr-CH"/>
        </w:rPr>
        <w:t xml:space="preserve">Mise en place de la </w:t>
      </w:r>
      <w:r w:rsidRPr="0071782F">
        <w:rPr>
          <w:lang w:val="fr-CH"/>
        </w:rPr>
        <w:t xml:space="preserve">commission </w:t>
      </w:r>
      <w:r w:rsidR="00A97890" w:rsidRPr="0071782F">
        <w:rPr>
          <w:lang w:val="fr-CH"/>
        </w:rPr>
        <w:t xml:space="preserve">prévue à </w:t>
      </w:r>
      <w:r w:rsidR="00723F2B" w:rsidRPr="0071782F">
        <w:rPr>
          <w:lang w:val="fr-CH"/>
        </w:rPr>
        <w:t>l’</w:t>
      </w:r>
      <w:r w:rsidR="00943A69" w:rsidRPr="0071782F">
        <w:rPr>
          <w:lang w:val="fr-CH"/>
        </w:rPr>
        <w:t>article </w:t>
      </w:r>
      <w:r w:rsidRPr="0071782F">
        <w:rPr>
          <w:lang w:val="fr-CH"/>
        </w:rPr>
        <w:t xml:space="preserve">4 </w:t>
      </w:r>
      <w:r w:rsidR="00A97890" w:rsidRPr="0071782F">
        <w:rPr>
          <w:lang w:val="fr-CH"/>
        </w:rPr>
        <w:t xml:space="preserve">de la loi sur la </w:t>
      </w:r>
      <w:r w:rsidRPr="0071782F">
        <w:rPr>
          <w:lang w:val="fr-CH"/>
        </w:rPr>
        <w:t xml:space="preserve">protection </w:t>
      </w:r>
      <w:r w:rsidR="00A97890" w:rsidRPr="0071782F">
        <w:rPr>
          <w:lang w:val="fr-CH"/>
        </w:rPr>
        <w:t xml:space="preserve">contre les rayonnements et renvoi à cette commission de </w:t>
      </w:r>
      <w:r w:rsidRPr="0071782F">
        <w:rPr>
          <w:lang w:val="fr-CH"/>
        </w:rPr>
        <w:t>1</w:t>
      </w:r>
      <w:r w:rsidR="0025727E" w:rsidRPr="0071782F">
        <w:rPr>
          <w:lang w:val="fr-CH"/>
        </w:rPr>
        <w:t> </w:t>
      </w:r>
      <w:r w:rsidR="00A97890" w:rsidRPr="0071782F">
        <w:rPr>
          <w:lang w:val="fr-CH"/>
        </w:rPr>
        <w:t>765</w:t>
      </w:r>
      <w:r w:rsidR="0025727E" w:rsidRPr="0071782F">
        <w:rPr>
          <w:lang w:val="fr-CH"/>
        </w:rPr>
        <w:t> </w:t>
      </w:r>
      <w:r w:rsidR="00A97890" w:rsidRPr="0071782F">
        <w:rPr>
          <w:lang w:val="fr-CH"/>
        </w:rPr>
        <w:t xml:space="preserve">cas de centres qui manipulent des sources de rayonnements, et organisation de neuf séances de travail conjointes entre cette </w:t>
      </w:r>
      <w:r w:rsidRPr="0071782F">
        <w:rPr>
          <w:lang w:val="fr-CH"/>
        </w:rPr>
        <w:t xml:space="preserve">commission </w:t>
      </w:r>
      <w:r w:rsidR="00A97890" w:rsidRPr="0071782F">
        <w:rPr>
          <w:lang w:val="fr-CH"/>
        </w:rPr>
        <w:t xml:space="preserve">et l’Organisation de l’énergie atomique en vue de </w:t>
      </w:r>
      <w:r w:rsidRPr="0071782F">
        <w:rPr>
          <w:lang w:val="fr-CH"/>
        </w:rPr>
        <w:t>red</w:t>
      </w:r>
      <w:r w:rsidR="00A97890" w:rsidRPr="0071782F">
        <w:rPr>
          <w:lang w:val="fr-CH"/>
        </w:rPr>
        <w:t>é</w:t>
      </w:r>
      <w:r w:rsidRPr="0071782F">
        <w:rPr>
          <w:lang w:val="fr-CH"/>
        </w:rPr>
        <w:t>fin</w:t>
      </w:r>
      <w:r w:rsidR="00A97890" w:rsidRPr="0071782F">
        <w:rPr>
          <w:lang w:val="fr-CH"/>
        </w:rPr>
        <w:t xml:space="preserve">ir les </w:t>
      </w:r>
      <w:r w:rsidRPr="0071782F">
        <w:rPr>
          <w:lang w:val="fr-CH"/>
        </w:rPr>
        <w:t>proc</w:t>
      </w:r>
      <w:r w:rsidR="00A97890" w:rsidRPr="0071782F">
        <w:rPr>
          <w:lang w:val="fr-CH"/>
        </w:rPr>
        <w:t>é</w:t>
      </w:r>
      <w:r w:rsidRPr="0071782F">
        <w:rPr>
          <w:lang w:val="fr-CH"/>
        </w:rPr>
        <w:t xml:space="preserve">dures </w:t>
      </w:r>
      <w:r w:rsidR="00A97890" w:rsidRPr="0071782F">
        <w:rPr>
          <w:lang w:val="fr-CH"/>
        </w:rPr>
        <w:t>de délivrance d’autorisations pour les travaux exposant à des rayonnements</w:t>
      </w:r>
      <w:r w:rsidRPr="0071782F">
        <w:rPr>
          <w:lang w:val="fr-CH"/>
        </w:rPr>
        <w:t>.</w:t>
      </w:r>
    </w:p>
    <w:p w:rsidR="00E5019F" w:rsidRPr="0071782F" w:rsidRDefault="00E5019F" w:rsidP="00E5019F">
      <w:pPr>
        <w:pStyle w:val="SingleTxtG"/>
        <w:ind w:left="1701"/>
        <w:rPr>
          <w:lang w:val="fr-CH"/>
        </w:rPr>
      </w:pPr>
      <w:r w:rsidRPr="0071782F">
        <w:rPr>
          <w:lang w:val="fr-CH"/>
        </w:rPr>
        <w:t>266.7.</w:t>
      </w:r>
      <w:r w:rsidRPr="0071782F">
        <w:rPr>
          <w:lang w:val="fr-CH"/>
        </w:rPr>
        <w:tab/>
      </w:r>
      <w:r w:rsidR="0089146B" w:rsidRPr="0071782F">
        <w:rPr>
          <w:lang w:val="fr-CH"/>
        </w:rPr>
        <w:t>Amélioration de 15</w:t>
      </w:r>
      <w:r w:rsidR="007E5125" w:rsidRPr="0071782F">
        <w:rPr>
          <w:lang w:val="fr-CH"/>
        </w:rPr>
        <w:t>%</w:t>
      </w:r>
      <w:r w:rsidR="0089146B" w:rsidRPr="0071782F">
        <w:rPr>
          <w:lang w:val="fr-CH"/>
        </w:rPr>
        <w:t xml:space="preserve"> de l’environnement et des conditions de travail dans les restaurants et autres lieux publics urbains, amélioration de l’</w:t>
      </w:r>
      <w:r w:rsidRPr="0071782F">
        <w:rPr>
          <w:lang w:val="fr-CH"/>
        </w:rPr>
        <w:t>indicat</w:t>
      </w:r>
      <w:r w:rsidR="0089146B" w:rsidRPr="0071782F">
        <w:rPr>
          <w:lang w:val="fr-CH"/>
        </w:rPr>
        <w:t>eu</w:t>
      </w:r>
      <w:r w:rsidRPr="0071782F">
        <w:rPr>
          <w:lang w:val="fr-CH"/>
        </w:rPr>
        <w:t xml:space="preserve">r </w:t>
      </w:r>
      <w:r w:rsidR="0089146B" w:rsidRPr="0071782F">
        <w:rPr>
          <w:lang w:val="fr-CH"/>
        </w:rPr>
        <w:t>consistant à ne plus utiliser la levure chimique comme ingrédient de la fabrication traditionnelle du pain</w:t>
      </w:r>
      <w:r w:rsidRPr="0071782F">
        <w:rPr>
          <w:lang w:val="fr-CH"/>
        </w:rPr>
        <w:t xml:space="preserve">, </w:t>
      </w:r>
      <w:r w:rsidR="0089146B" w:rsidRPr="0071782F">
        <w:rPr>
          <w:lang w:val="fr-CH"/>
        </w:rPr>
        <w:t>actualisation de la liste des toxines autorisées dans la fabrication d’</w:t>
      </w:r>
      <w:r w:rsidRPr="0071782F">
        <w:rPr>
          <w:lang w:val="fr-CH"/>
        </w:rPr>
        <w:t xml:space="preserve">insecticides </w:t>
      </w:r>
      <w:r w:rsidR="0089146B" w:rsidRPr="0071782F">
        <w:rPr>
          <w:lang w:val="fr-CH"/>
        </w:rPr>
        <w:t xml:space="preserve">et de </w:t>
      </w:r>
      <w:r w:rsidRPr="0071782F">
        <w:rPr>
          <w:lang w:val="fr-CH"/>
        </w:rPr>
        <w:t xml:space="preserve">pesticides, </w:t>
      </w:r>
      <w:r w:rsidR="0089146B" w:rsidRPr="0071782F">
        <w:rPr>
          <w:lang w:val="fr-CH"/>
        </w:rPr>
        <w:t>et élaboration de quatre guides pour contrôler la salubrité de l’eau potable et de l’eau des piscines</w:t>
      </w:r>
      <w:r w:rsidRPr="0071782F">
        <w:rPr>
          <w:lang w:val="fr-CH"/>
        </w:rPr>
        <w:t>.</w:t>
      </w:r>
    </w:p>
    <w:p w:rsidR="00E5019F" w:rsidRPr="0071782F" w:rsidRDefault="00E5019F" w:rsidP="00E5019F">
      <w:pPr>
        <w:pStyle w:val="SingleTxtG"/>
        <w:ind w:left="1701"/>
        <w:rPr>
          <w:lang w:val="fr-CH"/>
        </w:rPr>
      </w:pPr>
      <w:r w:rsidRPr="0071782F">
        <w:rPr>
          <w:lang w:val="fr-CH"/>
        </w:rPr>
        <w:t>266.8.</w:t>
      </w:r>
      <w:r w:rsidRPr="0071782F">
        <w:rPr>
          <w:lang w:val="fr-CH"/>
        </w:rPr>
        <w:tab/>
        <w:t>Form</w:t>
      </w:r>
      <w:r w:rsidR="0089146B" w:rsidRPr="0071782F">
        <w:rPr>
          <w:lang w:val="fr-CH"/>
        </w:rPr>
        <w:t>ul</w:t>
      </w:r>
      <w:r w:rsidRPr="0071782F">
        <w:rPr>
          <w:lang w:val="fr-CH"/>
        </w:rPr>
        <w:t xml:space="preserve">ation </w:t>
      </w:r>
      <w:r w:rsidR="0089146B" w:rsidRPr="0071782F">
        <w:rPr>
          <w:lang w:val="fr-CH"/>
        </w:rPr>
        <w:t xml:space="preserve">de certaines </w:t>
      </w:r>
      <w:r w:rsidRPr="0071782F">
        <w:rPr>
          <w:lang w:val="fr-CH"/>
        </w:rPr>
        <w:t xml:space="preserve">directives </w:t>
      </w:r>
      <w:r w:rsidR="0089146B" w:rsidRPr="0071782F">
        <w:rPr>
          <w:lang w:val="fr-CH"/>
        </w:rPr>
        <w:t>et</w:t>
      </w:r>
      <w:r w:rsidRPr="0071782F">
        <w:rPr>
          <w:lang w:val="fr-CH"/>
        </w:rPr>
        <w:t xml:space="preserve"> instructions </w:t>
      </w:r>
      <w:r w:rsidR="0089146B" w:rsidRPr="0071782F">
        <w:rPr>
          <w:lang w:val="fr-CH"/>
        </w:rPr>
        <w:t xml:space="preserve">sur la </w:t>
      </w:r>
      <w:r w:rsidRPr="0071782F">
        <w:rPr>
          <w:lang w:val="fr-CH"/>
        </w:rPr>
        <w:t>pr</w:t>
      </w:r>
      <w:r w:rsidR="0089146B" w:rsidRPr="0071782F">
        <w:rPr>
          <w:lang w:val="fr-CH"/>
        </w:rPr>
        <w:t>é</w:t>
      </w:r>
      <w:r w:rsidRPr="0071782F">
        <w:rPr>
          <w:lang w:val="fr-CH"/>
        </w:rPr>
        <w:t xml:space="preserve">servation </w:t>
      </w:r>
      <w:r w:rsidR="0089146B" w:rsidRPr="0071782F">
        <w:rPr>
          <w:lang w:val="fr-CH"/>
        </w:rPr>
        <w:t xml:space="preserve">de l’hygiène de l’environnement, parmi lesquelles les règlements concernant la </w:t>
      </w:r>
      <w:r w:rsidRPr="0071782F">
        <w:rPr>
          <w:lang w:val="fr-CH"/>
        </w:rPr>
        <w:t>pr</w:t>
      </w:r>
      <w:r w:rsidR="0089146B" w:rsidRPr="0071782F">
        <w:rPr>
          <w:lang w:val="fr-CH"/>
        </w:rPr>
        <w:t>é</w:t>
      </w:r>
      <w:r w:rsidRPr="0071782F">
        <w:rPr>
          <w:lang w:val="fr-CH"/>
        </w:rPr>
        <w:t xml:space="preserve">servation </w:t>
      </w:r>
      <w:r w:rsidR="0089146B" w:rsidRPr="0071782F">
        <w:rPr>
          <w:lang w:val="fr-CH"/>
        </w:rPr>
        <w:t xml:space="preserve">de la santé dans l’environnement scolaire et le fonctionnement des centres de radiologie, la directive concernant </w:t>
      </w:r>
      <w:r w:rsidR="007B4A2E" w:rsidRPr="0071782F">
        <w:rPr>
          <w:lang w:val="fr-CH"/>
        </w:rPr>
        <w:t>le respect de la chaîne du froid</w:t>
      </w:r>
      <w:r w:rsidR="0089146B" w:rsidRPr="0071782F">
        <w:rPr>
          <w:lang w:val="fr-CH"/>
        </w:rPr>
        <w:t xml:space="preserve"> dans le transport, le stockage et la fourniture de produits laitiers</w:t>
      </w:r>
      <w:r w:rsidRPr="0071782F">
        <w:rPr>
          <w:lang w:val="fr-CH"/>
        </w:rPr>
        <w:t xml:space="preserve">, </w:t>
      </w:r>
      <w:r w:rsidR="0089146B" w:rsidRPr="0071782F">
        <w:rPr>
          <w:lang w:val="fr-CH"/>
        </w:rPr>
        <w:t xml:space="preserve">les directives concernant le contrôle de l’hygiène de l’environnement et le contrôle des déchets hospitaliers, les </w:t>
      </w:r>
      <w:r w:rsidRPr="0071782F">
        <w:rPr>
          <w:lang w:val="fr-CH"/>
        </w:rPr>
        <w:t xml:space="preserve">instructions </w:t>
      </w:r>
      <w:r w:rsidR="0089146B" w:rsidRPr="0071782F">
        <w:rPr>
          <w:lang w:val="fr-CH"/>
        </w:rPr>
        <w:t>concernant le prélèvement d’échantillons de glace devant servir pour des tests biologiques</w:t>
      </w:r>
      <w:r w:rsidRPr="0071782F">
        <w:rPr>
          <w:lang w:val="fr-CH"/>
        </w:rPr>
        <w:t xml:space="preserve">, </w:t>
      </w:r>
      <w:r w:rsidR="0089146B" w:rsidRPr="0071782F">
        <w:rPr>
          <w:lang w:val="fr-CH"/>
        </w:rPr>
        <w:t xml:space="preserve">les </w:t>
      </w:r>
      <w:r w:rsidRPr="0071782F">
        <w:rPr>
          <w:lang w:val="fr-CH"/>
        </w:rPr>
        <w:t xml:space="preserve">instructions </w:t>
      </w:r>
      <w:r w:rsidR="0089146B" w:rsidRPr="0071782F">
        <w:rPr>
          <w:lang w:val="fr-CH"/>
        </w:rPr>
        <w:t>concernant la surveillance de la présence du HAP (hydrocarbure aromatique polycyclique) et de l’ETBM (éther tert-butylique méthylique) dans l’eau de boisson</w:t>
      </w:r>
      <w:r w:rsidRPr="0071782F">
        <w:rPr>
          <w:lang w:val="fr-CH"/>
        </w:rPr>
        <w:t>, etc.</w:t>
      </w:r>
    </w:p>
    <w:p w:rsidR="00E5019F" w:rsidRPr="0071782F" w:rsidRDefault="00E5019F" w:rsidP="00E5019F">
      <w:pPr>
        <w:pStyle w:val="SingleTxtG"/>
        <w:ind w:left="1701"/>
        <w:rPr>
          <w:lang w:val="fr-CH"/>
        </w:rPr>
      </w:pPr>
      <w:r w:rsidRPr="0071782F">
        <w:rPr>
          <w:lang w:val="fr-CH"/>
        </w:rPr>
        <w:t>266.9.</w:t>
      </w:r>
      <w:r w:rsidRPr="0071782F">
        <w:rPr>
          <w:lang w:val="fr-CH"/>
        </w:rPr>
        <w:tab/>
      </w:r>
      <w:r w:rsidR="0089146B" w:rsidRPr="0071782F">
        <w:rPr>
          <w:lang w:val="fr-CH"/>
        </w:rPr>
        <w:t>Analyse des indicateurs de l’eau et des eaux usées, approbation du plan de condensation</w:t>
      </w:r>
      <w:r w:rsidRPr="0071782F">
        <w:rPr>
          <w:lang w:val="fr-CH"/>
        </w:rPr>
        <w:t xml:space="preserve">, promotion </w:t>
      </w:r>
      <w:r w:rsidR="0089146B" w:rsidRPr="0071782F">
        <w:rPr>
          <w:lang w:val="fr-CH"/>
        </w:rPr>
        <w:t>de la consommation de sel raffiné et iodé</w:t>
      </w:r>
      <w:r w:rsidRPr="0071782F">
        <w:rPr>
          <w:lang w:val="fr-CH"/>
        </w:rPr>
        <w:t xml:space="preserve">, participation </w:t>
      </w:r>
      <w:r w:rsidR="0089146B" w:rsidRPr="0071782F">
        <w:rPr>
          <w:lang w:val="fr-CH"/>
        </w:rPr>
        <w:t xml:space="preserve">au plan complémentaire de contrôle de la population de rats à </w:t>
      </w:r>
      <w:r w:rsidRPr="0071782F">
        <w:rPr>
          <w:lang w:val="fr-CH"/>
        </w:rPr>
        <w:t>T</w:t>
      </w:r>
      <w:r w:rsidR="0089146B" w:rsidRPr="0071782F">
        <w:rPr>
          <w:lang w:val="fr-CH"/>
        </w:rPr>
        <w:t>é</w:t>
      </w:r>
      <w:r w:rsidRPr="0071782F">
        <w:rPr>
          <w:lang w:val="fr-CH"/>
        </w:rPr>
        <w:t>h</w:t>
      </w:r>
      <w:r w:rsidR="0089146B" w:rsidRPr="0071782F">
        <w:rPr>
          <w:lang w:val="fr-CH"/>
        </w:rPr>
        <w:t>é</w:t>
      </w:r>
      <w:r w:rsidRPr="0071782F">
        <w:rPr>
          <w:lang w:val="fr-CH"/>
        </w:rPr>
        <w:t xml:space="preserve">ran, participation </w:t>
      </w:r>
      <w:r w:rsidR="0089146B" w:rsidRPr="0071782F">
        <w:rPr>
          <w:lang w:val="fr-CH"/>
        </w:rPr>
        <w:t>aux travaux du Comité exécutif du Protocole de</w:t>
      </w:r>
      <w:r w:rsidRPr="0071782F">
        <w:rPr>
          <w:lang w:val="fr-CH"/>
        </w:rPr>
        <w:t xml:space="preserve"> Kyoto; </w:t>
      </w:r>
      <w:r w:rsidR="0089146B" w:rsidRPr="0071782F">
        <w:rPr>
          <w:lang w:val="fr-CH"/>
        </w:rPr>
        <w:t>plan de réduction des émissions de gaz à effet de serre</w:t>
      </w:r>
      <w:r w:rsidRPr="0071782F">
        <w:rPr>
          <w:lang w:val="fr-CH"/>
        </w:rPr>
        <w:t xml:space="preserve">; </w:t>
      </w:r>
      <w:r w:rsidR="0089146B" w:rsidRPr="0071782F">
        <w:rPr>
          <w:lang w:val="fr-CH"/>
        </w:rPr>
        <w:t>et plans d’adaptation aux conséquences des phénomènes liés aux changements climatiques</w:t>
      </w:r>
      <w:r w:rsidRPr="0071782F">
        <w:rPr>
          <w:lang w:val="fr-CH"/>
        </w:rPr>
        <w:t>, etc.</w:t>
      </w:r>
    </w:p>
    <w:p w:rsidR="00E5019F" w:rsidRPr="0071782F" w:rsidRDefault="00E5019F" w:rsidP="00E5019F">
      <w:pPr>
        <w:pStyle w:val="H1G"/>
        <w:rPr>
          <w:lang w:val="fr-CH"/>
        </w:rPr>
      </w:pPr>
      <w:r w:rsidRPr="0071782F">
        <w:rPr>
          <w:lang w:val="fr-CH"/>
        </w:rPr>
        <w:tab/>
      </w:r>
      <w:r w:rsidRPr="0071782F">
        <w:rPr>
          <w:lang w:val="fr-CH"/>
        </w:rPr>
        <w:tab/>
        <w:t xml:space="preserve">Promotion </w:t>
      </w:r>
      <w:r w:rsidR="0089146B" w:rsidRPr="0071782F">
        <w:rPr>
          <w:lang w:val="fr-CH"/>
        </w:rPr>
        <w:t xml:space="preserve">de la santé au travail </w:t>
      </w:r>
    </w:p>
    <w:p w:rsidR="00E5019F" w:rsidRPr="0071782F" w:rsidRDefault="00E5019F" w:rsidP="00E5019F">
      <w:pPr>
        <w:pStyle w:val="SingleTxtG"/>
        <w:rPr>
          <w:lang w:val="fr-CH"/>
        </w:rPr>
      </w:pPr>
      <w:r w:rsidRPr="0071782F">
        <w:rPr>
          <w:lang w:val="fr-CH"/>
        </w:rPr>
        <w:t>267.</w:t>
      </w:r>
      <w:r w:rsidRPr="0071782F">
        <w:rPr>
          <w:lang w:val="fr-CH"/>
        </w:rPr>
        <w:tab/>
      </w:r>
      <w:r w:rsidR="007B4A2E"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267.1.</w:t>
      </w:r>
      <w:r w:rsidRPr="0071782F">
        <w:rPr>
          <w:lang w:val="fr-CH"/>
        </w:rPr>
        <w:tab/>
      </w:r>
      <w:r w:rsidR="007527F4" w:rsidRPr="0071782F">
        <w:rPr>
          <w:lang w:val="fr-CH"/>
        </w:rPr>
        <w:t xml:space="preserve">Pendant la période </w:t>
      </w:r>
      <w:r w:rsidRPr="0071782F">
        <w:rPr>
          <w:lang w:val="fr-CH"/>
        </w:rPr>
        <w:t>2004</w:t>
      </w:r>
      <w:r w:rsidR="007527F4" w:rsidRPr="0071782F">
        <w:rPr>
          <w:lang w:val="fr-CH"/>
        </w:rPr>
        <w:t>-</w:t>
      </w:r>
      <w:r w:rsidRPr="0071782F">
        <w:rPr>
          <w:lang w:val="fr-CH"/>
        </w:rPr>
        <w:t xml:space="preserve">2008, </w:t>
      </w:r>
      <w:r w:rsidR="007527F4" w:rsidRPr="0071782F">
        <w:rPr>
          <w:lang w:val="fr-CH"/>
        </w:rPr>
        <w:t xml:space="preserve">une attention spéciale a été accordée à la médecine du travail et au traitement des maladies professionnelles, dont un beaucoup plus </w:t>
      </w:r>
      <w:r w:rsidR="004904E4" w:rsidRPr="0071782F">
        <w:rPr>
          <w:lang w:val="fr-CH"/>
        </w:rPr>
        <w:t xml:space="preserve">grand </w:t>
      </w:r>
      <w:r w:rsidR="007527F4" w:rsidRPr="0071782F">
        <w:rPr>
          <w:lang w:val="fr-CH"/>
        </w:rPr>
        <w:t>nombre ont été prises en considération. À cette fin, des travailleurs sanitaires ont été recrutés en grand nombre et de nombreux centres de services de santé d’hygiène du travail ont été ouverts. Par ailleurs,</w:t>
      </w:r>
      <w:r w:rsidRPr="0071782F">
        <w:rPr>
          <w:lang w:val="fr-CH"/>
        </w:rPr>
        <w:t xml:space="preserve"> </w:t>
      </w:r>
      <w:r w:rsidR="007527F4" w:rsidRPr="0071782F">
        <w:rPr>
          <w:lang w:val="fr-CH"/>
        </w:rPr>
        <w:t>le pourcentage de travailleurs ayant accès à des équipements méd</w:t>
      </w:r>
      <w:r w:rsidR="004904E4" w:rsidRPr="0071782F">
        <w:rPr>
          <w:lang w:val="fr-CH"/>
        </w:rPr>
        <w:t>ic</w:t>
      </w:r>
      <w:r w:rsidR="007527F4" w:rsidRPr="0071782F">
        <w:rPr>
          <w:lang w:val="fr-CH"/>
        </w:rPr>
        <w:t xml:space="preserve">aux professionnels sur le lieu de travail est passé de </w:t>
      </w:r>
      <w:r w:rsidRPr="0071782F">
        <w:rPr>
          <w:lang w:val="fr-CH"/>
        </w:rPr>
        <w:t>38</w:t>
      </w:r>
      <w:r w:rsidR="007E5125" w:rsidRPr="0071782F">
        <w:rPr>
          <w:lang w:val="fr-CH"/>
        </w:rPr>
        <w:t>%</w:t>
      </w:r>
      <w:r w:rsidRPr="0071782F">
        <w:rPr>
          <w:lang w:val="fr-CH"/>
        </w:rPr>
        <w:t xml:space="preserve"> </w:t>
      </w:r>
      <w:r w:rsidR="007527F4" w:rsidRPr="0071782F">
        <w:rPr>
          <w:lang w:val="fr-CH"/>
        </w:rPr>
        <w:t>à</w:t>
      </w:r>
      <w:r w:rsidRPr="0071782F">
        <w:rPr>
          <w:lang w:val="fr-CH"/>
        </w:rPr>
        <w:t xml:space="preserve"> 41</w:t>
      </w:r>
      <w:r w:rsidR="007E5125" w:rsidRPr="0071782F">
        <w:rPr>
          <w:lang w:val="fr-CH"/>
        </w:rPr>
        <w:t>%</w:t>
      </w:r>
      <w:r w:rsidRPr="0071782F">
        <w:rPr>
          <w:lang w:val="fr-CH"/>
        </w:rPr>
        <w:t xml:space="preserve"> </w:t>
      </w:r>
      <w:r w:rsidR="007527F4" w:rsidRPr="0071782F">
        <w:rPr>
          <w:lang w:val="fr-CH"/>
        </w:rPr>
        <w:t xml:space="preserve">et celui </w:t>
      </w:r>
      <w:r w:rsidR="007F37CE" w:rsidRPr="0071782F">
        <w:rPr>
          <w:lang w:val="fr-CH"/>
        </w:rPr>
        <w:t>des personnes</w:t>
      </w:r>
      <w:r w:rsidR="007527F4" w:rsidRPr="0071782F">
        <w:rPr>
          <w:lang w:val="fr-CH"/>
        </w:rPr>
        <w:t xml:space="preserve"> bénéficiant de ces services de </w:t>
      </w:r>
      <w:r w:rsidRPr="0071782F">
        <w:rPr>
          <w:lang w:val="fr-CH"/>
        </w:rPr>
        <w:t>25</w:t>
      </w:r>
      <w:r w:rsidR="007E5125" w:rsidRPr="0071782F">
        <w:rPr>
          <w:lang w:val="fr-CH"/>
        </w:rPr>
        <w:t>%</w:t>
      </w:r>
      <w:r w:rsidRPr="0071782F">
        <w:rPr>
          <w:lang w:val="fr-CH"/>
        </w:rPr>
        <w:t xml:space="preserve"> </w:t>
      </w:r>
      <w:r w:rsidR="007527F4" w:rsidRPr="0071782F">
        <w:rPr>
          <w:lang w:val="fr-CH"/>
        </w:rPr>
        <w:t>à</w:t>
      </w:r>
      <w:r w:rsidRPr="0071782F">
        <w:rPr>
          <w:lang w:val="fr-CH"/>
        </w:rPr>
        <w:t xml:space="preserve"> 31</w:t>
      </w:r>
      <w:r w:rsidR="007E5125" w:rsidRPr="0071782F">
        <w:rPr>
          <w:lang w:val="fr-CH"/>
        </w:rPr>
        <w:t>%</w:t>
      </w:r>
      <w:r w:rsidRPr="0071782F">
        <w:rPr>
          <w:lang w:val="fr-CH"/>
        </w:rPr>
        <w:t>.</w:t>
      </w:r>
    </w:p>
    <w:p w:rsidR="00E5019F" w:rsidRPr="0071782F" w:rsidRDefault="00E5019F" w:rsidP="00E5019F">
      <w:pPr>
        <w:pStyle w:val="SingleTxtG"/>
        <w:ind w:left="1701"/>
        <w:rPr>
          <w:lang w:val="fr-CH"/>
        </w:rPr>
      </w:pPr>
      <w:r w:rsidRPr="0071782F">
        <w:rPr>
          <w:lang w:val="fr-CH"/>
        </w:rPr>
        <w:t>267.2.</w:t>
      </w:r>
      <w:r w:rsidRPr="0071782F">
        <w:rPr>
          <w:lang w:val="fr-CH"/>
        </w:rPr>
        <w:tab/>
      </w:r>
      <w:r w:rsidR="00FB3248" w:rsidRPr="0071782F">
        <w:rPr>
          <w:lang w:val="fr-CH"/>
        </w:rPr>
        <w:t xml:space="preserve">Augmentation du </w:t>
      </w:r>
      <w:r w:rsidR="003B48A4" w:rsidRPr="0071782F">
        <w:rPr>
          <w:lang w:val="fr-CH"/>
        </w:rPr>
        <w:t>nombre</w:t>
      </w:r>
      <w:r w:rsidRPr="0071782F">
        <w:rPr>
          <w:lang w:val="fr-CH"/>
        </w:rPr>
        <w:t xml:space="preserve"> </w:t>
      </w:r>
      <w:r w:rsidR="00FB3248" w:rsidRPr="0071782F">
        <w:rPr>
          <w:lang w:val="fr-CH"/>
        </w:rPr>
        <w:t xml:space="preserve">d’usines et d’ateliers </w:t>
      </w:r>
      <w:r w:rsidR="00093EB8" w:rsidRPr="0071782F">
        <w:rPr>
          <w:lang w:val="fr-CH"/>
        </w:rPr>
        <w:t xml:space="preserve">faisant l’objet de visites, passé à </w:t>
      </w:r>
      <w:r w:rsidRPr="0071782F">
        <w:rPr>
          <w:lang w:val="fr-CH"/>
        </w:rPr>
        <w:t>6</w:t>
      </w:r>
      <w:r w:rsidR="0025727E" w:rsidRPr="0071782F">
        <w:rPr>
          <w:lang w:val="fr-CH"/>
        </w:rPr>
        <w:t> </w:t>
      </w:r>
      <w:r w:rsidRPr="0071782F">
        <w:rPr>
          <w:lang w:val="fr-CH"/>
        </w:rPr>
        <w:t xml:space="preserve">000, </w:t>
      </w:r>
      <w:r w:rsidR="00093EB8" w:rsidRPr="0071782F">
        <w:rPr>
          <w:lang w:val="fr-CH"/>
        </w:rPr>
        <w:t xml:space="preserve">et du </w:t>
      </w:r>
      <w:r w:rsidR="003B48A4" w:rsidRPr="0071782F">
        <w:rPr>
          <w:lang w:val="fr-CH"/>
        </w:rPr>
        <w:t>nombre</w:t>
      </w:r>
      <w:r w:rsidRPr="0071782F">
        <w:rPr>
          <w:lang w:val="fr-CH"/>
        </w:rPr>
        <w:t xml:space="preserve"> </w:t>
      </w:r>
      <w:r w:rsidR="00093EB8" w:rsidRPr="0071782F">
        <w:rPr>
          <w:lang w:val="fr-CH"/>
        </w:rPr>
        <w:t xml:space="preserve">de travailleurs devant subir des examens médicaux, passé à </w:t>
      </w:r>
      <w:r w:rsidRPr="0071782F">
        <w:rPr>
          <w:lang w:val="fr-CH"/>
        </w:rPr>
        <w:t>120</w:t>
      </w:r>
      <w:r w:rsidR="0025727E" w:rsidRPr="0071782F">
        <w:rPr>
          <w:lang w:val="fr-CH"/>
        </w:rPr>
        <w:t> </w:t>
      </w:r>
      <w:r w:rsidRPr="0071782F">
        <w:rPr>
          <w:lang w:val="fr-CH"/>
        </w:rPr>
        <w:t xml:space="preserve">000. </w:t>
      </w:r>
      <w:r w:rsidR="00093EB8" w:rsidRPr="0071782F">
        <w:rPr>
          <w:lang w:val="fr-CH"/>
        </w:rPr>
        <w:t>De surcroît, afin d’améliorer de 20</w:t>
      </w:r>
      <w:r w:rsidR="007E5125" w:rsidRPr="0071782F">
        <w:rPr>
          <w:lang w:val="fr-CH"/>
        </w:rPr>
        <w:t>%</w:t>
      </w:r>
      <w:r w:rsidR="00093EB8" w:rsidRPr="0071782F">
        <w:rPr>
          <w:lang w:val="fr-CH"/>
        </w:rPr>
        <w:t xml:space="preserve"> la santé dans les ateliers de tissage de tapis, des mesures efficaces ont été prises pour intégrer cette question dans le projet </w:t>
      </w:r>
      <w:r w:rsidRPr="0071782F">
        <w:rPr>
          <w:lang w:val="fr-CH"/>
        </w:rPr>
        <w:t xml:space="preserve">BDN </w:t>
      </w:r>
      <w:r w:rsidR="00093EB8" w:rsidRPr="0071782F">
        <w:rPr>
          <w:lang w:val="fr-CH"/>
        </w:rPr>
        <w:t>dans deux villes et pour faire passer des examens médicaux aux tisserands et enregistrer les maladies professionnelles dont ils souffrent</w:t>
      </w:r>
      <w:r w:rsidRPr="0071782F">
        <w:rPr>
          <w:lang w:val="fr-CH"/>
        </w:rPr>
        <w:t>.</w:t>
      </w:r>
    </w:p>
    <w:p w:rsidR="00E5019F" w:rsidRPr="0071782F" w:rsidRDefault="00E5019F" w:rsidP="00E5019F">
      <w:pPr>
        <w:pStyle w:val="SingleTxtG"/>
        <w:ind w:left="1701"/>
        <w:rPr>
          <w:lang w:val="fr-CH"/>
        </w:rPr>
      </w:pPr>
      <w:r w:rsidRPr="0071782F">
        <w:rPr>
          <w:lang w:val="fr-CH"/>
        </w:rPr>
        <w:t>267.3.</w:t>
      </w:r>
      <w:r w:rsidRPr="0071782F">
        <w:rPr>
          <w:lang w:val="fr-CH"/>
        </w:rPr>
        <w:tab/>
        <w:t>R</w:t>
      </w:r>
      <w:r w:rsidR="00093EB8" w:rsidRPr="0071782F">
        <w:rPr>
          <w:lang w:val="fr-CH"/>
        </w:rPr>
        <w:t>é</w:t>
      </w:r>
      <w:r w:rsidRPr="0071782F">
        <w:rPr>
          <w:lang w:val="fr-CH"/>
        </w:rPr>
        <w:t xml:space="preserve">duction </w:t>
      </w:r>
      <w:r w:rsidR="00093EB8" w:rsidRPr="0071782F">
        <w:rPr>
          <w:lang w:val="fr-CH"/>
        </w:rPr>
        <w:t>de 10</w:t>
      </w:r>
      <w:r w:rsidR="007E5125" w:rsidRPr="0071782F">
        <w:rPr>
          <w:lang w:val="fr-CH"/>
        </w:rPr>
        <w:t>%</w:t>
      </w:r>
      <w:r w:rsidR="00093EB8" w:rsidRPr="0071782F">
        <w:rPr>
          <w:lang w:val="fr-CH"/>
        </w:rPr>
        <w:t xml:space="preserve"> du </w:t>
      </w:r>
      <w:r w:rsidR="003B48A4" w:rsidRPr="0071782F">
        <w:rPr>
          <w:lang w:val="fr-CH"/>
        </w:rPr>
        <w:t>nombre</w:t>
      </w:r>
      <w:r w:rsidRPr="0071782F">
        <w:rPr>
          <w:lang w:val="fr-CH"/>
        </w:rPr>
        <w:t xml:space="preserve"> </w:t>
      </w:r>
      <w:r w:rsidR="00093EB8" w:rsidRPr="0071782F">
        <w:rPr>
          <w:lang w:val="fr-CH"/>
        </w:rPr>
        <w:t>d’ateliers où les travailleurs ont une position de travail inadéquate</w:t>
      </w:r>
      <w:r w:rsidRPr="0071782F">
        <w:rPr>
          <w:lang w:val="fr-CH"/>
        </w:rPr>
        <w:t xml:space="preserve">, </w:t>
      </w:r>
      <w:r w:rsidR="00093EB8" w:rsidRPr="0071782F">
        <w:rPr>
          <w:lang w:val="fr-CH"/>
        </w:rPr>
        <w:t>réduction de 2</w:t>
      </w:r>
      <w:r w:rsidR="007E5125" w:rsidRPr="0071782F">
        <w:rPr>
          <w:lang w:val="fr-CH"/>
        </w:rPr>
        <w:t>%</w:t>
      </w:r>
      <w:r w:rsidR="00093EB8" w:rsidRPr="0071782F">
        <w:rPr>
          <w:lang w:val="fr-CH"/>
        </w:rPr>
        <w:t xml:space="preserve"> du nombre de travailleurs ayant une position de travail inadéquate et </w:t>
      </w:r>
      <w:r w:rsidRPr="0071782F">
        <w:rPr>
          <w:lang w:val="fr-CH"/>
        </w:rPr>
        <w:t>r</w:t>
      </w:r>
      <w:r w:rsidR="00093EB8" w:rsidRPr="0071782F">
        <w:rPr>
          <w:lang w:val="fr-CH"/>
        </w:rPr>
        <w:t>é</w:t>
      </w:r>
      <w:r w:rsidRPr="0071782F">
        <w:rPr>
          <w:lang w:val="fr-CH"/>
        </w:rPr>
        <w:t xml:space="preserve">duction </w:t>
      </w:r>
      <w:r w:rsidR="00093EB8" w:rsidRPr="0071782F">
        <w:rPr>
          <w:lang w:val="fr-CH"/>
        </w:rPr>
        <w:t>de 3% du nombre d’ateliers où les outils professionnels sont inadéquats</w:t>
      </w:r>
      <w:r w:rsidRPr="0071782F">
        <w:rPr>
          <w:lang w:val="fr-CH"/>
        </w:rPr>
        <w:t>.</w:t>
      </w:r>
    </w:p>
    <w:p w:rsidR="00E5019F" w:rsidRPr="0071782F" w:rsidRDefault="00E5019F" w:rsidP="00E5019F">
      <w:pPr>
        <w:pStyle w:val="SingleTxtG"/>
        <w:ind w:left="1701"/>
        <w:rPr>
          <w:lang w:val="fr-CH"/>
        </w:rPr>
      </w:pPr>
      <w:r w:rsidRPr="0071782F">
        <w:rPr>
          <w:lang w:val="fr-CH"/>
        </w:rPr>
        <w:t>267.4.</w:t>
      </w:r>
      <w:r w:rsidRPr="0071782F">
        <w:rPr>
          <w:lang w:val="fr-CH"/>
        </w:rPr>
        <w:tab/>
        <w:t xml:space="preserve">Formulation </w:t>
      </w:r>
      <w:r w:rsidR="000A06BA" w:rsidRPr="0071782F">
        <w:rPr>
          <w:lang w:val="fr-CH"/>
        </w:rPr>
        <w:t xml:space="preserve">de certaines </w:t>
      </w:r>
      <w:r w:rsidRPr="0071782F">
        <w:rPr>
          <w:lang w:val="fr-CH"/>
        </w:rPr>
        <w:t xml:space="preserve">directives </w:t>
      </w:r>
      <w:r w:rsidR="000A06BA" w:rsidRPr="0071782F">
        <w:rPr>
          <w:lang w:val="fr-CH"/>
        </w:rPr>
        <w:t xml:space="preserve">et </w:t>
      </w:r>
      <w:r w:rsidRPr="0071782F">
        <w:rPr>
          <w:lang w:val="fr-CH"/>
        </w:rPr>
        <w:t xml:space="preserve">instructions </w:t>
      </w:r>
      <w:r w:rsidR="000A06BA" w:rsidRPr="0071782F">
        <w:rPr>
          <w:lang w:val="fr-CH"/>
        </w:rPr>
        <w:t xml:space="preserve">sur la santé au travail, </w:t>
      </w:r>
      <w:r w:rsidR="003A029B" w:rsidRPr="0071782F">
        <w:rPr>
          <w:lang w:val="fr-CH"/>
        </w:rPr>
        <w:t xml:space="preserve">notamment le règlement applicable aux activités des cliniques privées de médecine du travail, l’étiquetage des </w:t>
      </w:r>
      <w:r w:rsidR="00A75EC4" w:rsidRPr="0071782F">
        <w:rPr>
          <w:lang w:val="fr-CH"/>
        </w:rPr>
        <w:t>produit</w:t>
      </w:r>
      <w:r w:rsidR="003A029B" w:rsidRPr="0071782F">
        <w:rPr>
          <w:lang w:val="fr-CH"/>
        </w:rPr>
        <w:t xml:space="preserve">s chimiques, les </w:t>
      </w:r>
      <w:r w:rsidRPr="0071782F">
        <w:rPr>
          <w:lang w:val="fr-CH"/>
        </w:rPr>
        <w:t xml:space="preserve">instructions </w:t>
      </w:r>
      <w:r w:rsidR="003A029B" w:rsidRPr="0071782F">
        <w:rPr>
          <w:lang w:val="fr-CH"/>
        </w:rPr>
        <w:t xml:space="preserve">concernant le </w:t>
      </w:r>
      <w:r w:rsidRPr="0071782F">
        <w:rPr>
          <w:lang w:val="fr-CH"/>
        </w:rPr>
        <w:t xml:space="preserve">transport, </w:t>
      </w:r>
      <w:r w:rsidR="003A029B" w:rsidRPr="0071782F">
        <w:rPr>
          <w:lang w:val="fr-CH"/>
        </w:rPr>
        <w:t xml:space="preserve">le </w:t>
      </w:r>
      <w:r w:rsidRPr="0071782F">
        <w:rPr>
          <w:lang w:val="fr-CH"/>
        </w:rPr>
        <w:t>sto</w:t>
      </w:r>
      <w:r w:rsidR="003A029B" w:rsidRPr="0071782F">
        <w:rPr>
          <w:lang w:val="fr-CH"/>
        </w:rPr>
        <w:t>ck</w:t>
      </w:r>
      <w:r w:rsidRPr="0071782F">
        <w:rPr>
          <w:lang w:val="fr-CH"/>
        </w:rPr>
        <w:t xml:space="preserve">age, </w:t>
      </w:r>
      <w:r w:rsidR="003A029B" w:rsidRPr="0071782F">
        <w:rPr>
          <w:lang w:val="fr-CH"/>
        </w:rPr>
        <w:t xml:space="preserve">la fourniture et la vente des </w:t>
      </w:r>
      <w:r w:rsidR="00A75EC4" w:rsidRPr="0071782F">
        <w:rPr>
          <w:lang w:val="fr-CH"/>
        </w:rPr>
        <w:t xml:space="preserve">produits </w:t>
      </w:r>
      <w:r w:rsidR="003A029B" w:rsidRPr="0071782F">
        <w:rPr>
          <w:lang w:val="fr-CH"/>
        </w:rPr>
        <w:t xml:space="preserve">chimiques, le </w:t>
      </w:r>
      <w:r w:rsidRPr="0071782F">
        <w:rPr>
          <w:lang w:val="fr-CH"/>
        </w:rPr>
        <w:t>protocol</w:t>
      </w:r>
      <w:r w:rsidR="003A029B" w:rsidRPr="0071782F">
        <w:rPr>
          <w:lang w:val="fr-CH"/>
        </w:rPr>
        <w:t>e de dépistage des maladies professionnelles et les règles et règlements concernant la santé dans les bureaux</w:t>
      </w:r>
      <w:r w:rsidRPr="0071782F">
        <w:rPr>
          <w:lang w:val="fr-CH"/>
        </w:rPr>
        <w:t>.</w:t>
      </w:r>
    </w:p>
    <w:p w:rsidR="00E5019F" w:rsidRPr="0071782F" w:rsidRDefault="00E5019F" w:rsidP="00E5019F">
      <w:pPr>
        <w:pStyle w:val="SingleTxtG"/>
        <w:ind w:left="1701"/>
        <w:rPr>
          <w:lang w:val="fr-CH"/>
        </w:rPr>
      </w:pPr>
      <w:r w:rsidRPr="0071782F">
        <w:rPr>
          <w:lang w:val="fr-CH"/>
        </w:rPr>
        <w:t>267.5.</w:t>
      </w:r>
      <w:r w:rsidRPr="0071782F">
        <w:rPr>
          <w:lang w:val="fr-CH"/>
        </w:rPr>
        <w:tab/>
      </w:r>
      <w:r w:rsidR="00A75EC4" w:rsidRPr="0071782F">
        <w:rPr>
          <w:lang w:val="fr-CH"/>
        </w:rPr>
        <w:t>Élaboration du Programme intégré de services de médecine du travail</w:t>
      </w:r>
      <w:r w:rsidRPr="0071782F">
        <w:rPr>
          <w:lang w:val="fr-CH"/>
        </w:rPr>
        <w:t xml:space="preserve">; </w:t>
      </w:r>
      <w:r w:rsidR="00A75EC4" w:rsidRPr="0071782F">
        <w:rPr>
          <w:lang w:val="fr-CH"/>
        </w:rPr>
        <w:t>du P</w:t>
      </w:r>
      <w:r w:rsidRPr="0071782F">
        <w:rPr>
          <w:lang w:val="fr-CH"/>
        </w:rPr>
        <w:t xml:space="preserve">lan </w:t>
      </w:r>
      <w:r w:rsidR="00A75EC4" w:rsidRPr="0071782F">
        <w:rPr>
          <w:lang w:val="fr-CH"/>
        </w:rPr>
        <w:t>de réduction et de limitation des polluants</w:t>
      </w:r>
      <w:r w:rsidRPr="0071782F">
        <w:rPr>
          <w:lang w:val="fr-CH"/>
        </w:rPr>
        <w:t xml:space="preserve">; </w:t>
      </w:r>
      <w:r w:rsidR="00A75EC4" w:rsidRPr="0071782F">
        <w:rPr>
          <w:lang w:val="fr-CH"/>
        </w:rPr>
        <w:t>du P</w:t>
      </w:r>
      <w:r w:rsidRPr="0071782F">
        <w:rPr>
          <w:lang w:val="fr-CH"/>
        </w:rPr>
        <w:t xml:space="preserve">lan </w:t>
      </w:r>
      <w:r w:rsidR="00A75EC4" w:rsidRPr="0071782F">
        <w:rPr>
          <w:lang w:val="fr-CH"/>
        </w:rPr>
        <w:t>de classification et d’étiquetage des produits chimiques basé sur les normes internationales du Système général harmonisé de classification et d’étiquetage des produits chimiques</w:t>
      </w:r>
      <w:r w:rsidRPr="0071782F">
        <w:rPr>
          <w:lang w:val="fr-CH"/>
        </w:rPr>
        <w:t xml:space="preserve">; </w:t>
      </w:r>
      <w:r w:rsidR="00A75EC4" w:rsidRPr="0071782F">
        <w:rPr>
          <w:lang w:val="fr-CH"/>
        </w:rPr>
        <w:t>du P</w:t>
      </w:r>
      <w:r w:rsidRPr="0071782F">
        <w:rPr>
          <w:lang w:val="fr-CH"/>
        </w:rPr>
        <w:t>rogram</w:t>
      </w:r>
      <w:r w:rsidR="00A75EC4" w:rsidRPr="0071782F">
        <w:rPr>
          <w:lang w:val="fr-CH"/>
        </w:rPr>
        <w:t xml:space="preserve">me de lutte contre la </w:t>
      </w:r>
      <w:r w:rsidRPr="0071782F">
        <w:rPr>
          <w:lang w:val="fr-CH"/>
        </w:rPr>
        <w:t>pollution</w:t>
      </w:r>
      <w:r w:rsidR="00A75EC4" w:rsidRPr="0071782F">
        <w:rPr>
          <w:lang w:val="fr-CH"/>
        </w:rPr>
        <w:t xml:space="preserve"> sonore</w:t>
      </w:r>
      <w:r w:rsidRPr="0071782F">
        <w:rPr>
          <w:lang w:val="fr-CH"/>
        </w:rPr>
        <w:t xml:space="preserve">; </w:t>
      </w:r>
      <w:r w:rsidR="00A75EC4" w:rsidRPr="0071782F">
        <w:rPr>
          <w:lang w:val="fr-CH"/>
        </w:rPr>
        <w:t>des règles et règlements concernant la santé dans les bureaux administratifs; du Plan relatif au contrôle des facteurs atmosphériques et à l’éclairage</w:t>
      </w:r>
      <w:r w:rsidRPr="0071782F">
        <w:rPr>
          <w:lang w:val="fr-CH"/>
        </w:rPr>
        <w:t xml:space="preserve">; </w:t>
      </w:r>
      <w:r w:rsidR="00A75EC4" w:rsidRPr="0071782F">
        <w:rPr>
          <w:lang w:val="fr-CH"/>
        </w:rPr>
        <w:t>et du P</w:t>
      </w:r>
      <w:r w:rsidRPr="0071782F">
        <w:rPr>
          <w:lang w:val="fr-CH"/>
        </w:rPr>
        <w:t>rogram</w:t>
      </w:r>
      <w:r w:rsidR="00A75EC4" w:rsidRPr="0071782F">
        <w:rPr>
          <w:lang w:val="fr-CH"/>
        </w:rPr>
        <w:t>me d’examens médicaux des conducteurs de véhicules lourds, en collaboration avec le Ministère des route</w:t>
      </w:r>
      <w:r w:rsidRPr="0071782F">
        <w:rPr>
          <w:lang w:val="fr-CH"/>
        </w:rPr>
        <w:t xml:space="preserve">s; </w:t>
      </w:r>
      <w:r w:rsidR="00A75EC4" w:rsidRPr="0071782F">
        <w:rPr>
          <w:lang w:val="fr-CH"/>
        </w:rPr>
        <w:t xml:space="preserve">et mise en place d’un système moderne de gestion de la santé dans les écoles. </w:t>
      </w:r>
    </w:p>
    <w:p w:rsidR="00E5019F" w:rsidRPr="0071782F" w:rsidRDefault="00E5019F" w:rsidP="00E5019F">
      <w:pPr>
        <w:pStyle w:val="SingleTxtG"/>
        <w:ind w:left="1701"/>
        <w:rPr>
          <w:lang w:val="fr-CH"/>
        </w:rPr>
      </w:pPr>
      <w:r w:rsidRPr="0071782F">
        <w:rPr>
          <w:lang w:val="fr-CH"/>
        </w:rPr>
        <w:t>267.6.</w:t>
      </w:r>
      <w:r w:rsidRPr="0071782F">
        <w:rPr>
          <w:lang w:val="fr-CH"/>
        </w:rPr>
        <w:tab/>
      </w:r>
      <w:r w:rsidR="002C666C" w:rsidRPr="0071782F">
        <w:rPr>
          <w:lang w:val="fr-CH"/>
        </w:rPr>
        <w:t xml:space="preserve">En ce qui concerne l’amélioration de l’agronomie, plusieurs mesures ont été adoptées, parmi lesquelles le </w:t>
      </w:r>
      <w:r w:rsidRPr="0071782F">
        <w:rPr>
          <w:lang w:val="fr-CH"/>
        </w:rPr>
        <w:t>contr</w:t>
      </w:r>
      <w:r w:rsidR="002C666C" w:rsidRPr="0071782F">
        <w:rPr>
          <w:lang w:val="fr-CH"/>
        </w:rPr>
        <w:t>ôle ou l’é</w:t>
      </w:r>
      <w:r w:rsidRPr="0071782F">
        <w:rPr>
          <w:lang w:val="fr-CH"/>
        </w:rPr>
        <w:t xml:space="preserve">limination </w:t>
      </w:r>
      <w:r w:rsidR="002C666C" w:rsidRPr="0071782F">
        <w:rPr>
          <w:lang w:val="fr-CH"/>
        </w:rPr>
        <w:t>de 10</w:t>
      </w:r>
      <w:r w:rsidR="007E5125" w:rsidRPr="0071782F">
        <w:rPr>
          <w:lang w:val="fr-CH"/>
        </w:rPr>
        <w:t>%</w:t>
      </w:r>
      <w:r w:rsidR="002C666C" w:rsidRPr="0071782F">
        <w:rPr>
          <w:lang w:val="fr-CH"/>
        </w:rPr>
        <w:t xml:space="preserve"> des éléments agronomiques nocifs</w:t>
      </w:r>
      <w:r w:rsidRPr="0071782F">
        <w:rPr>
          <w:lang w:val="fr-CH"/>
        </w:rPr>
        <w:t xml:space="preserve">; </w:t>
      </w:r>
      <w:r w:rsidR="002C666C" w:rsidRPr="0071782F">
        <w:rPr>
          <w:lang w:val="fr-CH"/>
        </w:rPr>
        <w:t>la mise au point de programmes informatiques liés à l’agronomie</w:t>
      </w:r>
      <w:r w:rsidRPr="0071782F">
        <w:rPr>
          <w:lang w:val="fr-CH"/>
        </w:rPr>
        <w:t xml:space="preserve">; </w:t>
      </w:r>
      <w:r w:rsidR="002C666C" w:rsidRPr="0071782F">
        <w:rPr>
          <w:lang w:val="fr-CH"/>
        </w:rPr>
        <w:t>la mise en place de l’obligation pour les employeurs de respecter les principes de l’agronomie; la fourniture aux laboratoires médicaux universitaires d’appareils agronomiques</w:t>
      </w:r>
      <w:r w:rsidRPr="0071782F">
        <w:rPr>
          <w:lang w:val="fr-CH"/>
        </w:rPr>
        <w:t>, etc.</w:t>
      </w:r>
    </w:p>
    <w:p w:rsidR="00E5019F" w:rsidRPr="0071782F" w:rsidRDefault="00E5019F" w:rsidP="00E5019F">
      <w:pPr>
        <w:pStyle w:val="SingleTxtG"/>
        <w:ind w:left="1701"/>
        <w:rPr>
          <w:lang w:val="fr-CH"/>
        </w:rPr>
      </w:pPr>
      <w:r w:rsidRPr="0071782F">
        <w:rPr>
          <w:lang w:val="fr-CH"/>
        </w:rPr>
        <w:t>267.7.</w:t>
      </w:r>
      <w:r w:rsidRPr="0071782F">
        <w:rPr>
          <w:lang w:val="fr-CH"/>
        </w:rPr>
        <w:tab/>
      </w:r>
      <w:r w:rsidR="00690905" w:rsidRPr="0071782F">
        <w:rPr>
          <w:lang w:val="fr-CH"/>
        </w:rPr>
        <w:t xml:space="preserve">Extension du système moderne de gestion de l’hygiène et de la sécurité du travail </w:t>
      </w:r>
      <w:r w:rsidRPr="0071782F">
        <w:rPr>
          <w:lang w:val="fr-CH"/>
        </w:rPr>
        <w:t>(</w:t>
      </w:r>
      <w:r w:rsidR="00690905" w:rsidRPr="0071782F">
        <w:rPr>
          <w:lang w:val="fr-CH"/>
        </w:rPr>
        <w:t xml:space="preserve">norme </w:t>
      </w:r>
      <w:r w:rsidRPr="0071782F">
        <w:rPr>
          <w:lang w:val="fr-CH"/>
        </w:rPr>
        <w:t>OHSAS 18001</w:t>
      </w:r>
      <w:r w:rsidR="00690905" w:rsidRPr="0071782F">
        <w:rPr>
          <w:lang w:val="fr-CH"/>
        </w:rPr>
        <w:t xml:space="preserve"> et </w:t>
      </w:r>
      <w:r w:rsidRPr="0071782F">
        <w:rPr>
          <w:lang w:val="fr-CH"/>
        </w:rPr>
        <w:t xml:space="preserve">H.S.E) </w:t>
      </w:r>
      <w:r w:rsidR="00690905" w:rsidRPr="0071782F">
        <w:rPr>
          <w:lang w:val="fr-CH"/>
        </w:rPr>
        <w:t xml:space="preserve">dans les usines et amélioration des connaissances des experts sur ce système, et adoption de mesures pour encourager les employeurs à implanter ce système dans leurs usines. </w:t>
      </w:r>
    </w:p>
    <w:p w:rsidR="00E5019F" w:rsidRPr="0071782F" w:rsidRDefault="00E5019F" w:rsidP="00E5019F">
      <w:pPr>
        <w:pStyle w:val="SingleTxtG"/>
        <w:ind w:left="1701"/>
        <w:rPr>
          <w:lang w:val="fr-CH"/>
        </w:rPr>
      </w:pPr>
      <w:r w:rsidRPr="0071782F">
        <w:rPr>
          <w:lang w:val="fr-CH"/>
        </w:rPr>
        <w:t>267.8.</w:t>
      </w:r>
      <w:r w:rsidRPr="0071782F">
        <w:rPr>
          <w:lang w:val="fr-CH"/>
        </w:rPr>
        <w:tab/>
      </w:r>
      <w:r w:rsidR="00BD5DC6" w:rsidRPr="0071782F">
        <w:rPr>
          <w:lang w:val="fr-CH"/>
        </w:rPr>
        <w:t xml:space="preserve">Création d’une banque de données sur les dimensions anthropométriques des travailleurs âgés de </w:t>
      </w:r>
      <w:r w:rsidRPr="0071782F">
        <w:rPr>
          <w:lang w:val="fr-CH"/>
        </w:rPr>
        <w:t xml:space="preserve">20 </w:t>
      </w:r>
      <w:r w:rsidR="00BD5DC6" w:rsidRPr="0071782F">
        <w:rPr>
          <w:lang w:val="fr-CH"/>
        </w:rPr>
        <w:t>à</w:t>
      </w:r>
      <w:r w:rsidRPr="0071782F">
        <w:rPr>
          <w:lang w:val="fr-CH"/>
        </w:rPr>
        <w:t xml:space="preserve"> 60</w:t>
      </w:r>
      <w:r w:rsidR="00D82C96" w:rsidRPr="0071782F">
        <w:rPr>
          <w:lang w:val="fr-CH"/>
        </w:rPr>
        <w:t> ans</w:t>
      </w:r>
      <w:r w:rsidR="00BD5DC6" w:rsidRPr="0071782F">
        <w:rPr>
          <w:lang w:val="fr-CH"/>
        </w:rPr>
        <w:t xml:space="preserve"> et leurs dimensions corporelles générales; établissement d’indices anthropométriques pour les </w:t>
      </w:r>
      <w:r w:rsidRPr="0071782F">
        <w:rPr>
          <w:lang w:val="fr-CH"/>
        </w:rPr>
        <w:t>diff</w:t>
      </w:r>
      <w:r w:rsidR="00BD5DC6" w:rsidRPr="0071782F">
        <w:rPr>
          <w:lang w:val="fr-CH"/>
        </w:rPr>
        <w:t>érents groupes ethniques iraniens par sexe;</w:t>
      </w:r>
      <w:r w:rsidRPr="0071782F">
        <w:rPr>
          <w:lang w:val="fr-CH"/>
        </w:rPr>
        <w:t xml:space="preserve"> </w:t>
      </w:r>
      <w:r w:rsidR="00BD5DC6" w:rsidRPr="0071782F">
        <w:rPr>
          <w:lang w:val="fr-CH"/>
        </w:rPr>
        <w:t xml:space="preserve">augmentation du nombre des travailleurs devant subir des examens médicaux sur le lieu de travail; définition de normes d’éclairage en milieu de travail; </w:t>
      </w:r>
      <w:r w:rsidR="006817E2" w:rsidRPr="0071782F">
        <w:rPr>
          <w:lang w:val="fr-CH"/>
        </w:rPr>
        <w:t>mise au point de méthodes d’échantillonnage aux fins de l’</w:t>
      </w:r>
      <w:r w:rsidRPr="0071782F">
        <w:rPr>
          <w:lang w:val="fr-CH"/>
        </w:rPr>
        <w:t xml:space="preserve">identification </w:t>
      </w:r>
      <w:r w:rsidR="006817E2" w:rsidRPr="0071782F">
        <w:rPr>
          <w:lang w:val="fr-CH"/>
        </w:rPr>
        <w:t xml:space="preserve">et de l’analyse des poussières, </w:t>
      </w:r>
      <w:r w:rsidR="001B24DF" w:rsidRPr="0071782F">
        <w:rPr>
          <w:lang w:val="fr-CH"/>
        </w:rPr>
        <w:t>solva</w:t>
      </w:r>
      <w:r w:rsidRPr="0071782F">
        <w:rPr>
          <w:lang w:val="fr-CH"/>
        </w:rPr>
        <w:t>nts, etc.</w:t>
      </w:r>
    </w:p>
    <w:p w:rsidR="00E5019F" w:rsidRPr="0071782F" w:rsidRDefault="00E5019F" w:rsidP="00E5019F">
      <w:pPr>
        <w:pStyle w:val="SingleTxtG"/>
        <w:ind w:left="1701"/>
        <w:rPr>
          <w:lang w:val="fr-CH"/>
        </w:rPr>
      </w:pPr>
      <w:r w:rsidRPr="0071782F">
        <w:rPr>
          <w:lang w:val="fr-CH"/>
        </w:rPr>
        <w:t>267.9.</w:t>
      </w:r>
      <w:r w:rsidRPr="0071782F">
        <w:rPr>
          <w:lang w:val="fr-CH"/>
        </w:rPr>
        <w:tab/>
      </w:r>
      <w:r w:rsidR="00DF1058" w:rsidRPr="0071782F">
        <w:rPr>
          <w:lang w:val="fr-CH"/>
        </w:rPr>
        <w:t xml:space="preserve">Élaboration d’un indice </w:t>
      </w:r>
      <w:r w:rsidRPr="0071782F">
        <w:rPr>
          <w:lang w:val="fr-CH"/>
        </w:rPr>
        <w:t xml:space="preserve">national </w:t>
      </w:r>
      <w:r w:rsidR="00DF1058" w:rsidRPr="0071782F">
        <w:rPr>
          <w:lang w:val="fr-CH"/>
        </w:rPr>
        <w:t xml:space="preserve">de sécurité chimique; mise en </w:t>
      </w:r>
      <w:r w:rsidR="00D5366B" w:rsidRPr="0071782F">
        <w:rPr>
          <w:lang w:val="fr-CH"/>
        </w:rPr>
        <w:t>œuvre</w:t>
      </w:r>
      <w:r w:rsidR="00DF1058" w:rsidRPr="0071782F">
        <w:rPr>
          <w:lang w:val="fr-CH"/>
        </w:rPr>
        <w:t xml:space="preserve"> de la S</w:t>
      </w:r>
      <w:r w:rsidR="00252F7F" w:rsidRPr="0071782F">
        <w:rPr>
          <w:lang w:val="fr-CH"/>
        </w:rPr>
        <w:t>tratégie</w:t>
      </w:r>
      <w:r w:rsidRPr="0071782F">
        <w:rPr>
          <w:lang w:val="fr-CH"/>
        </w:rPr>
        <w:t xml:space="preserve"> </w:t>
      </w:r>
      <w:r w:rsidR="00DF1058" w:rsidRPr="0071782F">
        <w:rPr>
          <w:lang w:val="fr-CH"/>
        </w:rPr>
        <w:t xml:space="preserve">de gestion intégrée des produits et toxines chimiques; </w:t>
      </w:r>
      <w:r w:rsidRPr="0071782F">
        <w:rPr>
          <w:lang w:val="fr-CH"/>
        </w:rPr>
        <w:t xml:space="preserve">participation </w:t>
      </w:r>
      <w:r w:rsidR="00DF1058" w:rsidRPr="0071782F">
        <w:rPr>
          <w:lang w:val="fr-CH"/>
        </w:rPr>
        <w:t xml:space="preserve">à la </w:t>
      </w:r>
      <w:r w:rsidRPr="0071782F">
        <w:rPr>
          <w:lang w:val="fr-CH"/>
        </w:rPr>
        <w:t xml:space="preserve">formulation </w:t>
      </w:r>
      <w:r w:rsidR="00DF1058" w:rsidRPr="0071782F">
        <w:rPr>
          <w:lang w:val="fr-CH"/>
        </w:rPr>
        <w:t xml:space="preserve">des </w:t>
      </w:r>
      <w:r w:rsidRPr="0071782F">
        <w:rPr>
          <w:lang w:val="fr-CH"/>
        </w:rPr>
        <w:t xml:space="preserve">directives </w:t>
      </w:r>
      <w:r w:rsidR="00DF1058" w:rsidRPr="0071782F">
        <w:rPr>
          <w:lang w:val="fr-CH"/>
        </w:rPr>
        <w:t xml:space="preserve">d’application de la </w:t>
      </w:r>
      <w:r w:rsidR="00DF1058" w:rsidRPr="0071782F">
        <w:rPr>
          <w:rStyle w:val="apple-style-span"/>
          <w:color w:val="000000"/>
          <w:shd w:val="clear" w:color="auto" w:fill="FFFFFF"/>
          <w:lang w:val="fr-CH"/>
        </w:rPr>
        <w:t>Convention de Rotterdam sur la procédure de consentement préalable en connaissance de cause applicable à certains produits chimiques et pesticides dangereux qui font l’objet d’un commerce international</w:t>
      </w:r>
      <w:r w:rsidRPr="0071782F">
        <w:rPr>
          <w:lang w:val="fr-CH"/>
        </w:rPr>
        <w:t xml:space="preserve">; </w:t>
      </w:r>
      <w:r w:rsidR="00252F7F" w:rsidRPr="0071782F">
        <w:rPr>
          <w:lang w:val="fr-CH"/>
        </w:rPr>
        <w:t>P</w:t>
      </w:r>
      <w:r w:rsidRPr="0071782F">
        <w:rPr>
          <w:lang w:val="fr-CH"/>
        </w:rPr>
        <w:t>rogram</w:t>
      </w:r>
      <w:r w:rsidR="00252F7F" w:rsidRPr="0071782F">
        <w:rPr>
          <w:lang w:val="fr-CH"/>
        </w:rPr>
        <w:t>me de</w:t>
      </w:r>
      <w:r w:rsidRPr="0071782F">
        <w:rPr>
          <w:lang w:val="fr-CH"/>
        </w:rPr>
        <w:t xml:space="preserve"> pr</w:t>
      </w:r>
      <w:r w:rsidR="00252F7F" w:rsidRPr="0071782F">
        <w:rPr>
          <w:lang w:val="fr-CH"/>
        </w:rPr>
        <w:t>é</w:t>
      </w:r>
      <w:r w:rsidRPr="0071782F">
        <w:rPr>
          <w:lang w:val="fr-CH"/>
        </w:rPr>
        <w:t xml:space="preserve">vention </w:t>
      </w:r>
      <w:r w:rsidR="00252F7F" w:rsidRPr="0071782F">
        <w:rPr>
          <w:lang w:val="fr-CH"/>
        </w:rPr>
        <w:t>des accidents chimiques</w:t>
      </w:r>
      <w:r w:rsidRPr="0071782F">
        <w:rPr>
          <w:lang w:val="fr-CH"/>
        </w:rPr>
        <w:t xml:space="preserve">; </w:t>
      </w:r>
      <w:r w:rsidR="00252F7F" w:rsidRPr="0071782F">
        <w:rPr>
          <w:lang w:val="fr-CH"/>
        </w:rPr>
        <w:t xml:space="preserve">projet de </w:t>
      </w:r>
      <w:r w:rsidRPr="0071782F">
        <w:rPr>
          <w:lang w:val="fr-CH"/>
        </w:rPr>
        <w:t>program</w:t>
      </w:r>
      <w:r w:rsidR="00252F7F" w:rsidRPr="0071782F">
        <w:rPr>
          <w:lang w:val="fr-CH"/>
        </w:rPr>
        <w:t xml:space="preserve">me de gestion </w:t>
      </w:r>
      <w:r w:rsidRPr="0071782F">
        <w:rPr>
          <w:lang w:val="fr-CH"/>
        </w:rPr>
        <w:t>int</w:t>
      </w:r>
      <w:r w:rsidR="00252F7F" w:rsidRPr="0071782F">
        <w:rPr>
          <w:lang w:val="fr-CH"/>
        </w:rPr>
        <w:t>é</w:t>
      </w:r>
      <w:r w:rsidRPr="0071782F">
        <w:rPr>
          <w:lang w:val="fr-CH"/>
        </w:rPr>
        <w:t>gr</w:t>
      </w:r>
      <w:r w:rsidR="00252F7F" w:rsidRPr="0071782F">
        <w:rPr>
          <w:lang w:val="fr-CH"/>
        </w:rPr>
        <w:t xml:space="preserve">ée de la sécurité chimique basé sur les accords internationaux </w:t>
      </w:r>
      <w:r w:rsidRPr="0071782F">
        <w:rPr>
          <w:lang w:val="fr-CH"/>
        </w:rPr>
        <w:t>(</w:t>
      </w:r>
      <w:r w:rsidR="00252F7F" w:rsidRPr="0071782F">
        <w:rPr>
          <w:lang w:val="fr-CH"/>
        </w:rPr>
        <w:t>Approche stratégique de la gestion internationale des produits chimiques</w:t>
      </w:r>
      <w:r w:rsidRPr="0071782F">
        <w:rPr>
          <w:lang w:val="fr-CH"/>
        </w:rPr>
        <w:t xml:space="preserve">) </w:t>
      </w:r>
      <w:r w:rsidR="00252F7F" w:rsidRPr="0071782F">
        <w:rPr>
          <w:lang w:val="fr-CH"/>
        </w:rPr>
        <w:t xml:space="preserve">en vigueur jusqu’en </w:t>
      </w:r>
      <w:r w:rsidRPr="0071782F">
        <w:rPr>
          <w:lang w:val="fr-CH"/>
        </w:rPr>
        <w:t>2020</w:t>
      </w:r>
      <w:r w:rsidR="00252F7F" w:rsidRPr="0071782F">
        <w:rPr>
          <w:lang w:val="fr-CH"/>
        </w:rPr>
        <w:t>,</w:t>
      </w:r>
      <w:r w:rsidRPr="0071782F">
        <w:rPr>
          <w:lang w:val="fr-CH"/>
        </w:rPr>
        <w:t xml:space="preserve"> </w:t>
      </w:r>
      <w:r w:rsidR="00252F7F" w:rsidRPr="0071782F">
        <w:rPr>
          <w:lang w:val="fr-CH"/>
        </w:rPr>
        <w:t>l’accent étant mis en particulier sur le Programme de sécurité chimique et sur la sécurité dans le cadre de ce Programme</w:t>
      </w:r>
      <w:r w:rsidRPr="0071782F">
        <w:rPr>
          <w:lang w:val="fr-CH"/>
        </w:rPr>
        <w:t>.</w:t>
      </w:r>
    </w:p>
    <w:p w:rsidR="00E5019F" w:rsidRPr="0071782F" w:rsidRDefault="00E5019F" w:rsidP="00E5019F">
      <w:pPr>
        <w:pStyle w:val="SingleTxtG"/>
        <w:ind w:left="1701"/>
        <w:rPr>
          <w:spacing w:val="-2"/>
          <w:lang w:val="fr-CH"/>
        </w:rPr>
      </w:pPr>
      <w:r w:rsidRPr="0071782F">
        <w:rPr>
          <w:spacing w:val="-2"/>
          <w:lang w:val="fr-CH"/>
        </w:rPr>
        <w:t xml:space="preserve">267.10. </w:t>
      </w:r>
      <w:r w:rsidR="00252F7F" w:rsidRPr="0071782F">
        <w:rPr>
          <w:spacing w:val="-2"/>
          <w:lang w:val="fr-CH"/>
        </w:rPr>
        <w:t>En ce qui concerne la santé dans l’agriculture et l’élevage, les mesures ci-après ont été adoptées</w:t>
      </w:r>
      <w:r w:rsidR="008F7D33" w:rsidRPr="0071782F">
        <w:rPr>
          <w:spacing w:val="-2"/>
          <w:lang w:val="fr-CH"/>
        </w:rPr>
        <w:t>:</w:t>
      </w:r>
      <w:r w:rsidR="00252F7F" w:rsidRPr="0071782F">
        <w:rPr>
          <w:spacing w:val="-2"/>
          <w:lang w:val="fr-CH"/>
        </w:rPr>
        <w:t xml:space="preserve"> élaboration d’un programme de santé dans l’agriculture et l’élevage;</w:t>
      </w:r>
      <w:r w:rsidRPr="0071782F">
        <w:rPr>
          <w:spacing w:val="-2"/>
          <w:lang w:val="fr-CH"/>
        </w:rPr>
        <w:t xml:space="preserve"> </w:t>
      </w:r>
      <w:r w:rsidR="00252F7F" w:rsidRPr="0071782F">
        <w:rPr>
          <w:spacing w:val="-2"/>
          <w:lang w:val="fr-CH"/>
        </w:rPr>
        <w:t>définition d’indicateurs de santé dans l’agriculture et l’élevage;</w:t>
      </w:r>
      <w:r w:rsidRPr="0071782F">
        <w:rPr>
          <w:spacing w:val="-2"/>
          <w:lang w:val="fr-CH"/>
        </w:rPr>
        <w:t xml:space="preserve"> </w:t>
      </w:r>
      <w:r w:rsidR="00252F7F" w:rsidRPr="0071782F">
        <w:rPr>
          <w:spacing w:val="-2"/>
          <w:lang w:val="fr-CH"/>
        </w:rPr>
        <w:t xml:space="preserve">organisation de divers ateliers sur la santé dans l’agriculture et l’élevage; </w:t>
      </w:r>
      <w:r w:rsidRPr="0071782F">
        <w:rPr>
          <w:spacing w:val="-2"/>
          <w:lang w:val="fr-CH"/>
        </w:rPr>
        <w:t>r</w:t>
      </w:r>
      <w:r w:rsidR="00252F7F" w:rsidRPr="0071782F">
        <w:rPr>
          <w:spacing w:val="-2"/>
          <w:lang w:val="fr-CH"/>
        </w:rPr>
        <w:t>é</w:t>
      </w:r>
      <w:r w:rsidRPr="0071782F">
        <w:rPr>
          <w:spacing w:val="-2"/>
          <w:lang w:val="fr-CH"/>
        </w:rPr>
        <w:t xml:space="preserve">duction </w:t>
      </w:r>
      <w:r w:rsidR="00252F7F" w:rsidRPr="0071782F">
        <w:rPr>
          <w:spacing w:val="-2"/>
          <w:lang w:val="fr-CH"/>
        </w:rPr>
        <w:t>de l’exposition aux facteurs nocifs dans le secteur de l’agriculture et de l’élevage;</w:t>
      </w:r>
      <w:r w:rsidRPr="0071782F">
        <w:rPr>
          <w:spacing w:val="-2"/>
          <w:lang w:val="fr-CH"/>
        </w:rPr>
        <w:t xml:space="preserve"> </w:t>
      </w:r>
      <w:r w:rsidR="00252F7F" w:rsidRPr="0071782F">
        <w:rPr>
          <w:spacing w:val="-2"/>
          <w:lang w:val="fr-CH"/>
        </w:rPr>
        <w:t>amélioration des méthodes de travail du point de vue de l’ergonomie; et</w:t>
      </w:r>
      <w:r w:rsidRPr="0071782F">
        <w:rPr>
          <w:spacing w:val="-2"/>
          <w:lang w:val="fr-CH"/>
        </w:rPr>
        <w:t xml:space="preserve"> </w:t>
      </w:r>
      <w:r w:rsidR="00252F7F" w:rsidRPr="0071782F">
        <w:rPr>
          <w:spacing w:val="-2"/>
          <w:lang w:val="fr-CH"/>
        </w:rPr>
        <w:t>élaboration d’</w:t>
      </w:r>
      <w:r w:rsidRPr="0071782F">
        <w:rPr>
          <w:spacing w:val="-2"/>
          <w:lang w:val="fr-CH"/>
        </w:rPr>
        <w:t xml:space="preserve">instructions </w:t>
      </w:r>
      <w:r w:rsidR="00252F7F" w:rsidRPr="0071782F">
        <w:rPr>
          <w:spacing w:val="-2"/>
          <w:lang w:val="fr-CH"/>
        </w:rPr>
        <w:t>sur l’enregistrement des informations relatives à la santé des agriculteurs</w:t>
      </w:r>
      <w:r w:rsidRPr="0071782F">
        <w:rPr>
          <w:spacing w:val="-2"/>
          <w:lang w:val="fr-CH"/>
        </w:rPr>
        <w:t>, etc.</w:t>
      </w:r>
    </w:p>
    <w:p w:rsidR="00E5019F" w:rsidRPr="0071782F" w:rsidRDefault="00E5019F" w:rsidP="00E5019F">
      <w:pPr>
        <w:pStyle w:val="H1G"/>
        <w:rPr>
          <w:lang w:val="fr-CH"/>
        </w:rPr>
      </w:pPr>
      <w:r w:rsidRPr="0071782F">
        <w:rPr>
          <w:lang w:val="fr-CH"/>
        </w:rPr>
        <w:tab/>
      </w:r>
      <w:r w:rsidRPr="0071782F">
        <w:rPr>
          <w:lang w:val="fr-CH"/>
        </w:rPr>
        <w:tab/>
      </w:r>
      <w:r w:rsidR="00252F7F" w:rsidRPr="0071782F">
        <w:rPr>
          <w:lang w:val="fr-CH"/>
        </w:rPr>
        <w:t xml:space="preserve">Soins et traitements médicaux </w:t>
      </w:r>
    </w:p>
    <w:p w:rsidR="00E5019F" w:rsidRPr="0071782F" w:rsidRDefault="00E5019F" w:rsidP="00E5019F">
      <w:pPr>
        <w:pStyle w:val="H23G"/>
        <w:rPr>
          <w:lang w:val="fr-CH"/>
        </w:rPr>
      </w:pPr>
      <w:r w:rsidRPr="0071782F">
        <w:rPr>
          <w:lang w:val="fr-CH"/>
        </w:rPr>
        <w:tab/>
      </w:r>
      <w:r w:rsidRPr="0071782F">
        <w:rPr>
          <w:lang w:val="fr-CH"/>
        </w:rPr>
        <w:tab/>
        <w:t>Ex</w:t>
      </w:r>
      <w:r w:rsidR="00252F7F" w:rsidRPr="0071782F">
        <w:rPr>
          <w:lang w:val="fr-CH"/>
        </w:rPr>
        <w:t xml:space="preserve">tension des services de </w:t>
      </w:r>
      <w:r w:rsidRPr="0071782F">
        <w:rPr>
          <w:lang w:val="fr-CH"/>
        </w:rPr>
        <w:t>diagnos</w:t>
      </w:r>
      <w:r w:rsidR="00252F7F" w:rsidRPr="0071782F">
        <w:rPr>
          <w:lang w:val="fr-CH"/>
        </w:rPr>
        <w:t>tic et de traitement</w:t>
      </w:r>
      <w:r w:rsidRPr="0071782F">
        <w:rPr>
          <w:lang w:val="fr-CH"/>
        </w:rPr>
        <w:t xml:space="preserve"> </w:t>
      </w:r>
    </w:p>
    <w:p w:rsidR="00E5019F" w:rsidRPr="0071782F" w:rsidRDefault="00E5019F" w:rsidP="00E5019F">
      <w:pPr>
        <w:pStyle w:val="SingleTxtG"/>
        <w:rPr>
          <w:lang w:val="fr-CH"/>
        </w:rPr>
      </w:pPr>
      <w:r w:rsidRPr="0071782F">
        <w:rPr>
          <w:lang w:val="fr-CH"/>
        </w:rPr>
        <w:t>268.</w:t>
      </w:r>
      <w:r w:rsidRPr="0071782F">
        <w:rPr>
          <w:lang w:val="fr-CH"/>
        </w:rPr>
        <w:tab/>
      </w:r>
      <w:r w:rsidR="000F09C4"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268.1.</w:t>
      </w:r>
      <w:r w:rsidRPr="0071782F">
        <w:rPr>
          <w:lang w:val="fr-CH"/>
        </w:rPr>
        <w:tab/>
      </w:r>
      <w:r w:rsidR="00252F7F" w:rsidRPr="0071782F">
        <w:rPr>
          <w:lang w:val="fr-CH"/>
        </w:rPr>
        <w:t xml:space="preserve">Pendant la période </w:t>
      </w:r>
      <w:r w:rsidRPr="0071782F">
        <w:rPr>
          <w:lang w:val="fr-CH"/>
        </w:rPr>
        <w:t>2005</w:t>
      </w:r>
      <w:r w:rsidR="00252F7F" w:rsidRPr="0071782F">
        <w:rPr>
          <w:lang w:val="fr-CH"/>
        </w:rPr>
        <w:t>-</w:t>
      </w:r>
      <w:r w:rsidRPr="0071782F">
        <w:rPr>
          <w:lang w:val="fr-CH"/>
        </w:rPr>
        <w:t xml:space="preserve">2009, </w:t>
      </w:r>
      <w:r w:rsidR="00F33032" w:rsidRPr="0071782F">
        <w:rPr>
          <w:lang w:val="fr-CH"/>
        </w:rPr>
        <w:t xml:space="preserve">on a ouvert </w:t>
      </w:r>
      <w:r w:rsidRPr="0071782F">
        <w:rPr>
          <w:lang w:val="fr-CH"/>
        </w:rPr>
        <w:t>47</w:t>
      </w:r>
      <w:r w:rsidR="0025727E" w:rsidRPr="0071782F">
        <w:rPr>
          <w:lang w:val="fr-CH"/>
        </w:rPr>
        <w:t> </w:t>
      </w:r>
      <w:r w:rsidR="00F33032" w:rsidRPr="0071782F">
        <w:rPr>
          <w:lang w:val="fr-CH"/>
        </w:rPr>
        <w:t xml:space="preserve">nouveaux hôpitaux, pour un total de </w:t>
      </w:r>
      <w:r w:rsidRPr="0071782F">
        <w:rPr>
          <w:lang w:val="fr-CH"/>
        </w:rPr>
        <w:t>13</w:t>
      </w:r>
      <w:r w:rsidR="00F33032" w:rsidRPr="0071782F">
        <w:rPr>
          <w:lang w:val="fr-CH"/>
        </w:rPr>
        <w:t xml:space="preserve"> </w:t>
      </w:r>
      <w:r w:rsidRPr="0071782F">
        <w:rPr>
          <w:lang w:val="fr-CH"/>
        </w:rPr>
        <w:t xml:space="preserve">000 </w:t>
      </w:r>
      <w:r w:rsidR="00F33032" w:rsidRPr="0071782F">
        <w:rPr>
          <w:lang w:val="fr-CH"/>
        </w:rPr>
        <w:t xml:space="preserve">lits, ce qui a porté le </w:t>
      </w:r>
      <w:r w:rsidR="003B48A4" w:rsidRPr="0071782F">
        <w:rPr>
          <w:lang w:val="fr-CH"/>
        </w:rPr>
        <w:t>nombre</w:t>
      </w:r>
      <w:r w:rsidRPr="0071782F">
        <w:rPr>
          <w:lang w:val="fr-CH"/>
        </w:rPr>
        <w:t xml:space="preserve"> </w:t>
      </w:r>
      <w:r w:rsidR="00F33032" w:rsidRPr="0071782F">
        <w:rPr>
          <w:lang w:val="fr-CH"/>
        </w:rPr>
        <w:t xml:space="preserve">d’hôpitaux de </w:t>
      </w:r>
      <w:r w:rsidRPr="0071782F">
        <w:rPr>
          <w:lang w:val="fr-CH"/>
        </w:rPr>
        <w:t xml:space="preserve">809 </w:t>
      </w:r>
      <w:r w:rsidR="00F33032" w:rsidRPr="0071782F">
        <w:rPr>
          <w:lang w:val="fr-CH"/>
        </w:rPr>
        <w:t>e</w:t>
      </w:r>
      <w:r w:rsidRPr="0071782F">
        <w:rPr>
          <w:lang w:val="fr-CH"/>
        </w:rPr>
        <w:t xml:space="preserve">n 2005 </w:t>
      </w:r>
      <w:r w:rsidR="00F33032" w:rsidRPr="0071782F">
        <w:rPr>
          <w:lang w:val="fr-CH"/>
        </w:rPr>
        <w:t xml:space="preserve">à </w:t>
      </w:r>
      <w:r w:rsidRPr="0071782F">
        <w:rPr>
          <w:lang w:val="fr-CH"/>
        </w:rPr>
        <w:t xml:space="preserve">856 </w:t>
      </w:r>
      <w:r w:rsidR="00F33032" w:rsidRPr="0071782F">
        <w:rPr>
          <w:lang w:val="fr-CH"/>
        </w:rPr>
        <w:t>e</w:t>
      </w:r>
      <w:r w:rsidR="00F11CE3">
        <w:rPr>
          <w:lang w:val="fr-CH"/>
        </w:rPr>
        <w:t>n </w:t>
      </w:r>
      <w:r w:rsidRPr="0071782F">
        <w:rPr>
          <w:lang w:val="fr-CH"/>
        </w:rPr>
        <w:t xml:space="preserve">2008 </w:t>
      </w:r>
      <w:r w:rsidR="00F33032" w:rsidRPr="0071782F">
        <w:rPr>
          <w:lang w:val="fr-CH"/>
        </w:rPr>
        <w:t xml:space="preserve">et le </w:t>
      </w:r>
      <w:r w:rsidR="003B48A4" w:rsidRPr="0071782F">
        <w:rPr>
          <w:lang w:val="fr-CH"/>
        </w:rPr>
        <w:t>nombre</w:t>
      </w:r>
      <w:r w:rsidRPr="0071782F">
        <w:rPr>
          <w:lang w:val="fr-CH"/>
        </w:rPr>
        <w:t xml:space="preserve"> </w:t>
      </w:r>
      <w:r w:rsidR="00F33032" w:rsidRPr="0071782F">
        <w:rPr>
          <w:lang w:val="fr-CH"/>
        </w:rPr>
        <w:t xml:space="preserve">de lits d’hôpital de </w:t>
      </w:r>
      <w:r w:rsidRPr="0071782F">
        <w:rPr>
          <w:lang w:val="fr-CH"/>
        </w:rPr>
        <w:t>97</w:t>
      </w:r>
      <w:r w:rsidR="0025727E" w:rsidRPr="0071782F">
        <w:rPr>
          <w:lang w:val="fr-CH"/>
        </w:rPr>
        <w:t> </w:t>
      </w:r>
      <w:r w:rsidRPr="0071782F">
        <w:rPr>
          <w:lang w:val="fr-CH"/>
        </w:rPr>
        <w:t xml:space="preserve">600 </w:t>
      </w:r>
      <w:r w:rsidR="00F33032" w:rsidRPr="0071782F">
        <w:rPr>
          <w:lang w:val="fr-CH"/>
        </w:rPr>
        <w:t>e</w:t>
      </w:r>
      <w:r w:rsidRPr="0071782F">
        <w:rPr>
          <w:lang w:val="fr-CH"/>
        </w:rPr>
        <w:t xml:space="preserve">n 2005 </w:t>
      </w:r>
      <w:r w:rsidR="00F33032" w:rsidRPr="0071782F">
        <w:rPr>
          <w:lang w:val="fr-CH"/>
        </w:rPr>
        <w:t>à</w:t>
      </w:r>
      <w:r w:rsidRPr="0071782F">
        <w:rPr>
          <w:lang w:val="fr-CH"/>
        </w:rPr>
        <w:t xml:space="preserve"> 110</w:t>
      </w:r>
      <w:r w:rsidR="0025727E" w:rsidRPr="0071782F">
        <w:rPr>
          <w:lang w:val="fr-CH"/>
        </w:rPr>
        <w:t> </w:t>
      </w:r>
      <w:r w:rsidRPr="0071782F">
        <w:rPr>
          <w:lang w:val="fr-CH"/>
        </w:rPr>
        <w:t xml:space="preserve">600 </w:t>
      </w:r>
      <w:r w:rsidR="00F33032" w:rsidRPr="0071782F">
        <w:rPr>
          <w:lang w:val="fr-CH"/>
        </w:rPr>
        <w:t>e</w:t>
      </w:r>
      <w:r w:rsidRPr="0071782F">
        <w:rPr>
          <w:lang w:val="fr-CH"/>
        </w:rPr>
        <w:t xml:space="preserve">n 2008. </w:t>
      </w:r>
      <w:r w:rsidR="000F09C4" w:rsidRPr="0071782F">
        <w:rPr>
          <w:lang w:val="fr-CH"/>
        </w:rPr>
        <w:t>À quoi viennent s’</w:t>
      </w:r>
      <w:r w:rsidR="00F33032" w:rsidRPr="0071782F">
        <w:rPr>
          <w:lang w:val="fr-CH"/>
        </w:rPr>
        <w:t>ajouter les milliers de lits réservés aux soins spéciaux que les hôpitaux ont commencé d’utiliser pendant cette période</w:t>
      </w:r>
      <w:r w:rsidRPr="0071782F">
        <w:rPr>
          <w:lang w:val="fr-CH"/>
        </w:rPr>
        <w:t>.</w:t>
      </w:r>
    </w:p>
    <w:p w:rsidR="00E5019F" w:rsidRPr="0071782F" w:rsidRDefault="00E5019F" w:rsidP="00E5019F">
      <w:pPr>
        <w:pStyle w:val="SingleTxtG"/>
        <w:ind w:left="1701"/>
        <w:rPr>
          <w:lang w:val="fr-CH"/>
        </w:rPr>
      </w:pPr>
      <w:r w:rsidRPr="0071782F">
        <w:rPr>
          <w:lang w:val="fr-CH"/>
        </w:rPr>
        <w:t>268.2.</w:t>
      </w:r>
      <w:r w:rsidRPr="0071782F">
        <w:rPr>
          <w:lang w:val="fr-CH"/>
        </w:rPr>
        <w:tab/>
      </w:r>
      <w:r w:rsidR="00772025" w:rsidRPr="0071782F">
        <w:rPr>
          <w:lang w:val="fr-CH"/>
        </w:rPr>
        <w:t xml:space="preserve">La création de </w:t>
      </w:r>
      <w:r w:rsidRPr="0071782F">
        <w:rPr>
          <w:lang w:val="fr-CH"/>
        </w:rPr>
        <w:t xml:space="preserve">83 </w:t>
      </w:r>
      <w:r w:rsidR="00772025" w:rsidRPr="0071782F">
        <w:rPr>
          <w:lang w:val="fr-CH"/>
        </w:rPr>
        <w:t xml:space="preserve">nouveaux centres de </w:t>
      </w:r>
      <w:r w:rsidRPr="0071782F">
        <w:rPr>
          <w:lang w:val="fr-CH"/>
        </w:rPr>
        <w:t>dialys</w:t>
      </w:r>
      <w:r w:rsidR="00772025" w:rsidRPr="0071782F">
        <w:rPr>
          <w:lang w:val="fr-CH"/>
        </w:rPr>
        <w:t xml:space="preserve">e a fait passer le nombre de ces centres de </w:t>
      </w:r>
      <w:r w:rsidRPr="0071782F">
        <w:rPr>
          <w:lang w:val="fr-CH"/>
        </w:rPr>
        <w:t xml:space="preserve">336 </w:t>
      </w:r>
      <w:r w:rsidR="00772025" w:rsidRPr="0071782F">
        <w:rPr>
          <w:lang w:val="fr-CH"/>
        </w:rPr>
        <w:t>e</w:t>
      </w:r>
      <w:r w:rsidRPr="0071782F">
        <w:rPr>
          <w:lang w:val="fr-CH"/>
        </w:rPr>
        <w:t xml:space="preserve">n 2005 </w:t>
      </w:r>
      <w:r w:rsidR="00772025" w:rsidRPr="0071782F">
        <w:rPr>
          <w:lang w:val="fr-CH"/>
        </w:rPr>
        <w:t>à</w:t>
      </w:r>
      <w:r w:rsidRPr="0071782F">
        <w:rPr>
          <w:lang w:val="fr-CH"/>
        </w:rPr>
        <w:t xml:space="preserve"> 419 </w:t>
      </w:r>
      <w:r w:rsidR="00772025" w:rsidRPr="0071782F">
        <w:rPr>
          <w:lang w:val="fr-CH"/>
        </w:rPr>
        <w:t>e</w:t>
      </w:r>
      <w:r w:rsidRPr="0071782F">
        <w:rPr>
          <w:lang w:val="fr-CH"/>
        </w:rPr>
        <w:t xml:space="preserve">n 2008. </w:t>
      </w:r>
      <w:r w:rsidR="00772025" w:rsidRPr="0071782F">
        <w:rPr>
          <w:lang w:val="fr-CH"/>
        </w:rPr>
        <w:t xml:space="preserve">Par ailleurs, le </w:t>
      </w:r>
      <w:r w:rsidR="003B48A4" w:rsidRPr="0071782F">
        <w:rPr>
          <w:lang w:val="fr-CH"/>
        </w:rPr>
        <w:t>nombre</w:t>
      </w:r>
      <w:r w:rsidRPr="0071782F">
        <w:rPr>
          <w:lang w:val="fr-CH"/>
        </w:rPr>
        <w:t xml:space="preserve"> </w:t>
      </w:r>
      <w:r w:rsidR="00772025" w:rsidRPr="0071782F">
        <w:rPr>
          <w:lang w:val="fr-CH"/>
        </w:rPr>
        <w:t>des machines de dialyse est passé de 2</w:t>
      </w:r>
      <w:r w:rsidR="0025727E" w:rsidRPr="0071782F">
        <w:rPr>
          <w:lang w:val="fr-CH"/>
        </w:rPr>
        <w:t> </w:t>
      </w:r>
      <w:r w:rsidRPr="0071782F">
        <w:rPr>
          <w:lang w:val="fr-CH"/>
        </w:rPr>
        <w:t xml:space="preserve">450 </w:t>
      </w:r>
      <w:r w:rsidR="00772025" w:rsidRPr="0071782F">
        <w:rPr>
          <w:lang w:val="fr-CH"/>
        </w:rPr>
        <w:t>e</w:t>
      </w:r>
      <w:r w:rsidRPr="0071782F">
        <w:rPr>
          <w:lang w:val="fr-CH"/>
        </w:rPr>
        <w:t xml:space="preserve">n 2005 </w:t>
      </w:r>
      <w:r w:rsidR="00772025" w:rsidRPr="0071782F">
        <w:rPr>
          <w:lang w:val="fr-CH"/>
        </w:rPr>
        <w:t xml:space="preserve">à plus de </w:t>
      </w:r>
      <w:r w:rsidRPr="0071782F">
        <w:rPr>
          <w:lang w:val="fr-CH"/>
        </w:rPr>
        <w:t>3</w:t>
      </w:r>
      <w:r w:rsidR="0025727E" w:rsidRPr="0071782F">
        <w:rPr>
          <w:lang w:val="fr-CH"/>
        </w:rPr>
        <w:t> </w:t>
      </w:r>
      <w:r w:rsidRPr="0071782F">
        <w:rPr>
          <w:lang w:val="fr-CH"/>
        </w:rPr>
        <w:t>000.</w:t>
      </w:r>
      <w:r w:rsidR="00E532CF" w:rsidRPr="0071782F">
        <w:rPr>
          <w:lang w:val="fr-CH"/>
        </w:rPr>
        <w:t xml:space="preserve"> </w:t>
      </w:r>
      <w:r w:rsidR="00772025" w:rsidRPr="0071782F">
        <w:rPr>
          <w:lang w:val="fr-CH"/>
        </w:rPr>
        <w:t>Il existe à présent dans le pays plus de 90 centres de greffe d’organes et de tissus</w:t>
      </w:r>
      <w:r w:rsidRPr="0071782F">
        <w:rPr>
          <w:lang w:val="fr-CH"/>
        </w:rPr>
        <w:t xml:space="preserve">; </w:t>
      </w:r>
      <w:r w:rsidR="00772025" w:rsidRPr="0071782F">
        <w:rPr>
          <w:lang w:val="fr-CH"/>
        </w:rPr>
        <w:t xml:space="preserve">chaque année, ces centres réalisent en moyenne </w:t>
      </w:r>
      <w:r w:rsidRPr="0071782F">
        <w:rPr>
          <w:lang w:val="fr-CH"/>
        </w:rPr>
        <w:t>2</w:t>
      </w:r>
      <w:r w:rsidR="0025727E" w:rsidRPr="0071782F">
        <w:rPr>
          <w:lang w:val="fr-CH"/>
        </w:rPr>
        <w:t> </w:t>
      </w:r>
      <w:r w:rsidRPr="0071782F">
        <w:rPr>
          <w:lang w:val="fr-CH"/>
        </w:rPr>
        <w:t xml:space="preserve">000 </w:t>
      </w:r>
      <w:r w:rsidR="00772025" w:rsidRPr="0071782F">
        <w:rPr>
          <w:lang w:val="fr-CH"/>
        </w:rPr>
        <w:t xml:space="preserve">greffes de rein et </w:t>
      </w:r>
      <w:r w:rsidRPr="0071782F">
        <w:rPr>
          <w:lang w:val="fr-CH"/>
        </w:rPr>
        <w:t>4</w:t>
      </w:r>
      <w:r w:rsidR="0025727E" w:rsidRPr="0071782F">
        <w:rPr>
          <w:lang w:val="fr-CH"/>
        </w:rPr>
        <w:t> </w:t>
      </w:r>
      <w:r w:rsidRPr="0071782F">
        <w:rPr>
          <w:lang w:val="fr-CH"/>
        </w:rPr>
        <w:t xml:space="preserve">500 </w:t>
      </w:r>
      <w:r w:rsidR="00772025" w:rsidRPr="0071782F">
        <w:rPr>
          <w:lang w:val="fr-CH"/>
        </w:rPr>
        <w:t>greffes de cornée</w:t>
      </w:r>
      <w:r w:rsidRPr="0071782F">
        <w:rPr>
          <w:lang w:val="fr-CH"/>
        </w:rPr>
        <w:t>.</w:t>
      </w:r>
    </w:p>
    <w:p w:rsidR="00E5019F" w:rsidRPr="0071782F" w:rsidRDefault="00E5019F" w:rsidP="00E5019F">
      <w:pPr>
        <w:pStyle w:val="SingleTxtG"/>
        <w:ind w:left="1701"/>
        <w:rPr>
          <w:lang w:val="fr-CH"/>
        </w:rPr>
      </w:pPr>
      <w:r w:rsidRPr="0071782F">
        <w:rPr>
          <w:lang w:val="fr-CH"/>
        </w:rPr>
        <w:t>268.3.</w:t>
      </w:r>
      <w:r w:rsidRPr="0071782F">
        <w:rPr>
          <w:lang w:val="fr-CH"/>
        </w:rPr>
        <w:tab/>
      </w:r>
      <w:r w:rsidR="00772025" w:rsidRPr="0071782F">
        <w:rPr>
          <w:lang w:val="fr-CH"/>
        </w:rPr>
        <w:t>En ce qui concerne les traitements, les quatre années écoulées ont enregistré des succès considérables, comme la réparation de lésions médullaires et la production de cellules souches</w:t>
      </w:r>
      <w:r w:rsidRPr="0071782F">
        <w:rPr>
          <w:lang w:val="fr-CH"/>
        </w:rPr>
        <w:t>.</w:t>
      </w:r>
      <w:r w:rsidR="000C490A" w:rsidRPr="0071782F">
        <w:rPr>
          <w:lang w:val="fr-CH"/>
        </w:rPr>
        <w:t xml:space="preserve"> Les traitements spécialisés, les greffes d’organes et la médecine nucléaire ont également enregistré des avancées considérables</w:t>
      </w:r>
      <w:r w:rsidRPr="0071782F">
        <w:rPr>
          <w:lang w:val="fr-CH"/>
        </w:rPr>
        <w:t>.</w:t>
      </w:r>
    </w:p>
    <w:p w:rsidR="00E5019F" w:rsidRPr="0071782F" w:rsidRDefault="00E5019F" w:rsidP="00E5019F">
      <w:pPr>
        <w:pStyle w:val="SingleTxtG"/>
        <w:ind w:left="1701"/>
        <w:rPr>
          <w:lang w:val="fr-CH"/>
        </w:rPr>
      </w:pPr>
      <w:r w:rsidRPr="0071782F">
        <w:rPr>
          <w:lang w:val="fr-CH"/>
        </w:rPr>
        <w:t>268.4.</w:t>
      </w:r>
      <w:r w:rsidRPr="0071782F">
        <w:rPr>
          <w:lang w:val="fr-CH"/>
        </w:rPr>
        <w:tab/>
      </w:r>
      <w:r w:rsidR="000C490A" w:rsidRPr="0071782F">
        <w:rPr>
          <w:lang w:val="fr-CH"/>
        </w:rPr>
        <w:t xml:space="preserve">Pour ce qui est de l’application des dispositions des </w:t>
      </w:r>
      <w:r w:rsidR="00723F2B" w:rsidRPr="0071782F">
        <w:rPr>
          <w:lang w:val="fr-CH"/>
        </w:rPr>
        <w:t>articles </w:t>
      </w:r>
      <w:r w:rsidRPr="0071782F">
        <w:rPr>
          <w:lang w:val="fr-CH"/>
        </w:rPr>
        <w:t xml:space="preserve">90 </w:t>
      </w:r>
      <w:r w:rsidR="000C490A" w:rsidRPr="0071782F">
        <w:rPr>
          <w:lang w:val="fr-CH"/>
        </w:rPr>
        <w:t>et</w:t>
      </w:r>
      <w:r w:rsidRPr="0071782F">
        <w:rPr>
          <w:lang w:val="fr-CH"/>
        </w:rPr>
        <w:t xml:space="preserve"> 91 </w:t>
      </w:r>
      <w:r w:rsidR="000C490A" w:rsidRPr="0071782F">
        <w:rPr>
          <w:lang w:val="fr-CH"/>
        </w:rPr>
        <w:t xml:space="preserve">de la loi relative au </w:t>
      </w:r>
      <w:r w:rsidR="00A90208" w:rsidRPr="0071782F">
        <w:rPr>
          <w:lang w:val="fr-CH"/>
        </w:rPr>
        <w:t>quatrième</w:t>
      </w:r>
      <w:r w:rsidR="000C490A" w:rsidRPr="0071782F">
        <w:rPr>
          <w:lang w:val="fr-CH"/>
        </w:rPr>
        <w:t xml:space="preserve"> plan de développement, qui visent à réduire la part des coûts de traitement acquittée par les patients et à promouvoir un accès équitable des communautés rurales et nomades aux services de traitements, des mesures efficaces ont été prises, telles que la mise en </w:t>
      </w:r>
      <w:r w:rsidR="00D5366B" w:rsidRPr="0071782F">
        <w:rPr>
          <w:lang w:val="fr-CH"/>
        </w:rPr>
        <w:t>œuvre</w:t>
      </w:r>
      <w:r w:rsidR="000C490A" w:rsidRPr="0071782F">
        <w:rPr>
          <w:lang w:val="fr-CH"/>
        </w:rPr>
        <w:t xml:space="preserve"> du plan de remises progressives </w:t>
      </w:r>
      <w:r w:rsidRPr="0071782F">
        <w:rPr>
          <w:lang w:val="fr-CH"/>
        </w:rPr>
        <w:t>(</w:t>
      </w:r>
      <w:r w:rsidR="000C490A" w:rsidRPr="0071782F">
        <w:rPr>
          <w:lang w:val="fr-CH"/>
        </w:rPr>
        <w:t>franchise progressive</w:t>
      </w:r>
      <w:r w:rsidRPr="0071782F">
        <w:rPr>
          <w:lang w:val="fr-CH"/>
        </w:rPr>
        <w:t xml:space="preserve">) </w:t>
      </w:r>
      <w:r w:rsidR="000C490A" w:rsidRPr="0071782F">
        <w:rPr>
          <w:lang w:val="fr-CH"/>
        </w:rPr>
        <w:t xml:space="preserve">pour le paiement des </w:t>
      </w:r>
      <w:r w:rsidRPr="0071782F">
        <w:rPr>
          <w:lang w:val="fr-CH"/>
        </w:rPr>
        <w:t xml:space="preserve">services </w:t>
      </w:r>
      <w:r w:rsidR="000C490A" w:rsidRPr="0071782F">
        <w:rPr>
          <w:lang w:val="fr-CH"/>
        </w:rPr>
        <w:t xml:space="preserve">fournis aux communautés nomades et </w:t>
      </w:r>
      <w:r w:rsidRPr="0071782F">
        <w:rPr>
          <w:lang w:val="fr-CH"/>
        </w:rPr>
        <w:t>rural</w:t>
      </w:r>
      <w:r w:rsidR="000C490A" w:rsidRPr="0071782F">
        <w:rPr>
          <w:lang w:val="fr-CH"/>
        </w:rPr>
        <w:t>es</w:t>
      </w:r>
      <w:r w:rsidRPr="0071782F">
        <w:rPr>
          <w:lang w:val="fr-CH"/>
        </w:rPr>
        <w:t xml:space="preserve">; </w:t>
      </w:r>
      <w:r w:rsidR="000C490A" w:rsidRPr="0071782F">
        <w:rPr>
          <w:lang w:val="fr-CH"/>
        </w:rPr>
        <w:t>ce plan a été soumis pour décision finale à la Présidence</w:t>
      </w:r>
      <w:r w:rsidRPr="0071782F">
        <w:rPr>
          <w:lang w:val="fr-CH"/>
        </w:rPr>
        <w:t xml:space="preserve">, </w:t>
      </w:r>
      <w:r w:rsidR="000C490A" w:rsidRPr="0071782F">
        <w:rPr>
          <w:lang w:val="fr-CH"/>
        </w:rPr>
        <w:t xml:space="preserve">qui l’a approuvé en </w:t>
      </w:r>
      <w:r w:rsidR="0071782F" w:rsidRPr="0071782F">
        <w:rPr>
          <w:lang w:val="fr-CH"/>
        </w:rPr>
        <w:t>définissant</w:t>
      </w:r>
      <w:r w:rsidR="000C490A" w:rsidRPr="0071782F">
        <w:rPr>
          <w:lang w:val="fr-CH"/>
        </w:rPr>
        <w:t xml:space="preserve"> comme prioritaire l’assurance médicale en lieu et place des services de prévention (assurance médicale); le plan a également été approuvé par le Haut Conseil de l’assurance médicale</w:t>
      </w:r>
      <w:r w:rsidRPr="0071782F">
        <w:rPr>
          <w:lang w:val="fr-CH"/>
        </w:rPr>
        <w:t>.</w:t>
      </w:r>
    </w:p>
    <w:p w:rsidR="00E5019F" w:rsidRPr="0071782F" w:rsidRDefault="00E5019F" w:rsidP="00E5019F">
      <w:pPr>
        <w:pStyle w:val="SingleTxtG"/>
        <w:ind w:left="1701"/>
        <w:rPr>
          <w:lang w:val="fr-CH"/>
        </w:rPr>
      </w:pPr>
      <w:r w:rsidRPr="0071782F">
        <w:rPr>
          <w:lang w:val="fr-CH"/>
        </w:rPr>
        <w:t>268.5.</w:t>
      </w:r>
      <w:r w:rsidRPr="0071782F">
        <w:rPr>
          <w:lang w:val="fr-CH"/>
        </w:rPr>
        <w:tab/>
      </w:r>
      <w:r w:rsidR="00111A2E" w:rsidRPr="0071782F">
        <w:rPr>
          <w:lang w:val="fr-CH"/>
        </w:rPr>
        <w:t xml:space="preserve">Afin de </w:t>
      </w:r>
      <w:r w:rsidR="000C490A" w:rsidRPr="0071782F">
        <w:rPr>
          <w:lang w:val="fr-CH"/>
        </w:rPr>
        <w:t>réaliser les objectif</w:t>
      </w:r>
      <w:r w:rsidRPr="0071782F">
        <w:rPr>
          <w:lang w:val="fr-CH"/>
        </w:rPr>
        <w:t xml:space="preserve">s </w:t>
      </w:r>
      <w:r w:rsidR="000C490A" w:rsidRPr="0071782F">
        <w:rPr>
          <w:lang w:val="fr-CH"/>
        </w:rPr>
        <w:t xml:space="preserve">prévus à </w:t>
      </w:r>
      <w:r w:rsidR="00723F2B" w:rsidRPr="0071782F">
        <w:rPr>
          <w:lang w:val="fr-CH"/>
        </w:rPr>
        <w:t>l’</w:t>
      </w:r>
      <w:r w:rsidR="00943A69" w:rsidRPr="0071782F">
        <w:rPr>
          <w:lang w:val="fr-CH"/>
        </w:rPr>
        <w:t>article </w:t>
      </w:r>
      <w:r w:rsidRPr="0071782F">
        <w:rPr>
          <w:lang w:val="fr-CH"/>
        </w:rPr>
        <w:t xml:space="preserve">90 </w:t>
      </w:r>
      <w:r w:rsidR="000C490A" w:rsidRPr="0071782F">
        <w:rPr>
          <w:lang w:val="fr-CH"/>
        </w:rPr>
        <w:t xml:space="preserve">du </w:t>
      </w:r>
      <w:r w:rsidR="00A90208" w:rsidRPr="0071782F">
        <w:rPr>
          <w:lang w:val="fr-CH"/>
        </w:rPr>
        <w:t>quatrième</w:t>
      </w:r>
      <w:r w:rsidR="000C490A" w:rsidRPr="0071782F">
        <w:rPr>
          <w:lang w:val="fr-CH"/>
        </w:rPr>
        <w:t xml:space="preserve"> plan, des mesures efficaces ont été prises pour déterminer les maladies prioritaires et réduire à zéro la part des dépenses à la charge des patients pour le traitement de maladies telles que les formes les plus communes de cancer, les maladies spéciales et les maladies aiguës, et pour </w:t>
      </w:r>
      <w:r w:rsidR="00A83442">
        <w:rPr>
          <w:lang w:val="fr-CH"/>
        </w:rPr>
        <w:t>les unités</w:t>
      </w:r>
      <w:r w:rsidR="000C490A" w:rsidRPr="0071782F">
        <w:rPr>
          <w:lang w:val="fr-CH"/>
        </w:rPr>
        <w:t xml:space="preserve"> de soins intensifs et </w:t>
      </w:r>
      <w:r w:rsidR="00A83442">
        <w:rPr>
          <w:lang w:val="fr-CH"/>
        </w:rPr>
        <w:t>les unités</w:t>
      </w:r>
      <w:r w:rsidR="000C490A" w:rsidRPr="0071782F">
        <w:rPr>
          <w:lang w:val="fr-CH"/>
        </w:rPr>
        <w:t xml:space="preserve"> de soins intensifs néonatals.</w:t>
      </w:r>
      <w:r w:rsidRPr="0071782F">
        <w:rPr>
          <w:lang w:val="fr-CH"/>
        </w:rPr>
        <w:t xml:space="preserve"> </w:t>
      </w:r>
      <w:r w:rsidR="000C490A" w:rsidRPr="0071782F">
        <w:rPr>
          <w:lang w:val="fr-CH"/>
        </w:rPr>
        <w:t xml:space="preserve">Ces </w:t>
      </w:r>
      <w:r w:rsidRPr="0071782F">
        <w:rPr>
          <w:lang w:val="fr-CH"/>
        </w:rPr>
        <w:t xml:space="preserve">patients </w:t>
      </w:r>
      <w:r w:rsidR="000C490A" w:rsidRPr="0071782F">
        <w:rPr>
          <w:lang w:val="fr-CH"/>
        </w:rPr>
        <w:t>seront soignés gratuitement dans les hôpitaux où ce plan est en vigueur et où ils n’acquitteront qu’une franchise minimale</w:t>
      </w:r>
      <w:r w:rsidRPr="0071782F">
        <w:rPr>
          <w:lang w:val="fr-CH"/>
        </w:rPr>
        <w:t>.</w:t>
      </w:r>
    </w:p>
    <w:p w:rsidR="00E5019F" w:rsidRPr="0071782F" w:rsidRDefault="00E5019F" w:rsidP="00E5019F">
      <w:pPr>
        <w:pStyle w:val="SingleTxtG"/>
        <w:ind w:left="1701"/>
        <w:rPr>
          <w:lang w:val="fr-CH"/>
        </w:rPr>
      </w:pPr>
      <w:r w:rsidRPr="0071782F">
        <w:rPr>
          <w:lang w:val="fr-CH"/>
        </w:rPr>
        <w:t>268.6.</w:t>
      </w:r>
      <w:r w:rsidRPr="0071782F">
        <w:rPr>
          <w:lang w:val="fr-CH"/>
        </w:rPr>
        <w:tab/>
      </w:r>
      <w:r w:rsidR="00A1692C" w:rsidRPr="0071782F">
        <w:rPr>
          <w:lang w:val="fr-CH"/>
        </w:rPr>
        <w:t>La communauté médicale iranienne a traité pour la première fois des patients souffrant de lésions médullaires en leur injectant des cellules de Schwann</w:t>
      </w:r>
      <w:r w:rsidRPr="0071782F">
        <w:rPr>
          <w:lang w:val="fr-CH"/>
        </w:rPr>
        <w:t xml:space="preserve">. </w:t>
      </w:r>
      <w:r w:rsidR="00A1692C" w:rsidRPr="0071782F">
        <w:rPr>
          <w:lang w:val="fr-CH"/>
        </w:rPr>
        <w:t>L’équipe spécialisée dans la réparation des lésions médullaires a commencé ses travaux il y a 14</w:t>
      </w:r>
      <w:r w:rsidR="00D82C96" w:rsidRPr="0071782F">
        <w:rPr>
          <w:lang w:val="fr-CH"/>
        </w:rPr>
        <w:t> ans</w:t>
      </w:r>
      <w:r w:rsidR="00A1692C" w:rsidRPr="0071782F">
        <w:rPr>
          <w:lang w:val="fr-CH"/>
        </w:rPr>
        <w:t xml:space="preserve"> à la Faculté de médecine de Téhéran avec un projet de recherches systématiques basé sur des tests et expériences sur souris de laboratoire. Ces tests et expériences ayant donné des résultats concluants, la première opération de réparation d’une lésion médullaire a été réalisée sur un invalide de guerre en</w:t>
      </w:r>
      <w:r w:rsidRPr="0071782F">
        <w:rPr>
          <w:lang w:val="fr-CH"/>
        </w:rPr>
        <w:t xml:space="preserve"> 2005</w:t>
      </w:r>
      <w:r w:rsidR="0025727E" w:rsidRPr="0071782F">
        <w:rPr>
          <w:lang w:val="fr-CH"/>
        </w:rPr>
        <w:t>. À </w:t>
      </w:r>
      <w:r w:rsidR="00A1692C" w:rsidRPr="0071782F">
        <w:rPr>
          <w:lang w:val="fr-CH"/>
        </w:rPr>
        <w:t>l’heure actuelle, une opération de ce type est réalisée toutes les deux semaines en Iran, et le Centre de traitement des lésions médullaires du Comité de secours de l’Imam Khomeini étend actuellement ses activités</w:t>
      </w:r>
      <w:r w:rsidRPr="0071782F">
        <w:rPr>
          <w:lang w:val="fr-CH"/>
        </w:rPr>
        <w:t>.</w:t>
      </w:r>
    </w:p>
    <w:p w:rsidR="00E5019F" w:rsidRPr="0071782F" w:rsidRDefault="00E5019F" w:rsidP="00E5019F">
      <w:pPr>
        <w:pStyle w:val="H23G"/>
        <w:rPr>
          <w:lang w:val="fr-CH"/>
        </w:rPr>
      </w:pPr>
      <w:r w:rsidRPr="0071782F">
        <w:rPr>
          <w:lang w:val="fr-CH"/>
        </w:rPr>
        <w:tab/>
      </w:r>
      <w:r w:rsidRPr="0071782F">
        <w:rPr>
          <w:lang w:val="fr-CH"/>
        </w:rPr>
        <w:tab/>
      </w:r>
      <w:r w:rsidR="00A1692C" w:rsidRPr="0071782F">
        <w:rPr>
          <w:lang w:val="fr-CH"/>
        </w:rPr>
        <w:t xml:space="preserve">Laboratoire de référence et de diagnostic </w:t>
      </w:r>
    </w:p>
    <w:p w:rsidR="00E5019F" w:rsidRPr="000613AA" w:rsidRDefault="00E5019F" w:rsidP="00E5019F">
      <w:pPr>
        <w:pStyle w:val="SingleTxtG"/>
        <w:rPr>
          <w:spacing w:val="-2"/>
          <w:lang w:val="fr-CH"/>
        </w:rPr>
      </w:pPr>
      <w:r w:rsidRPr="000613AA">
        <w:rPr>
          <w:spacing w:val="-2"/>
          <w:lang w:val="fr-CH"/>
        </w:rPr>
        <w:t>269.</w:t>
      </w:r>
      <w:r w:rsidRPr="000613AA">
        <w:rPr>
          <w:spacing w:val="-2"/>
          <w:lang w:val="fr-CH"/>
        </w:rPr>
        <w:tab/>
      </w:r>
      <w:r w:rsidR="00740448" w:rsidRPr="000613AA">
        <w:rPr>
          <w:spacing w:val="-2"/>
          <w:lang w:val="fr-CH"/>
        </w:rPr>
        <w:t xml:space="preserve">Création du laboratoire de santé et d’évaluation de la qualité, qui a évalué la qualité de plus de </w:t>
      </w:r>
      <w:r w:rsidRPr="000613AA">
        <w:rPr>
          <w:spacing w:val="-2"/>
          <w:lang w:val="fr-CH"/>
        </w:rPr>
        <w:t>1</w:t>
      </w:r>
      <w:r w:rsidR="00FF1C6B" w:rsidRPr="000613AA">
        <w:rPr>
          <w:spacing w:val="-2"/>
          <w:lang w:val="fr-CH"/>
        </w:rPr>
        <w:t> </w:t>
      </w:r>
      <w:r w:rsidRPr="000613AA">
        <w:rPr>
          <w:spacing w:val="-2"/>
          <w:lang w:val="fr-CH"/>
        </w:rPr>
        <w:t>200</w:t>
      </w:r>
      <w:r w:rsidR="00FF1C6B" w:rsidRPr="000613AA">
        <w:rPr>
          <w:spacing w:val="-2"/>
          <w:lang w:val="fr-CH"/>
        </w:rPr>
        <w:t> </w:t>
      </w:r>
      <w:r w:rsidR="00740448" w:rsidRPr="000613AA">
        <w:rPr>
          <w:spacing w:val="-2"/>
          <w:lang w:val="fr-CH"/>
        </w:rPr>
        <w:t xml:space="preserve">produits de diagnostic de laboratoire et de plus de </w:t>
      </w:r>
      <w:r w:rsidRPr="000613AA">
        <w:rPr>
          <w:spacing w:val="-2"/>
          <w:lang w:val="fr-CH"/>
        </w:rPr>
        <w:t>40</w:t>
      </w:r>
      <w:r w:rsidR="00586EBA" w:rsidRPr="000613AA">
        <w:rPr>
          <w:spacing w:val="-2"/>
          <w:lang w:val="fr-CH"/>
        </w:rPr>
        <w:t> </w:t>
      </w:r>
      <w:r w:rsidR="00740448" w:rsidRPr="000613AA">
        <w:rPr>
          <w:spacing w:val="-2"/>
          <w:lang w:val="fr-CH"/>
        </w:rPr>
        <w:t>équipements de laboratoire</w:t>
      </w:r>
      <w:r w:rsidRPr="000613AA">
        <w:rPr>
          <w:spacing w:val="-2"/>
          <w:lang w:val="fr-CH"/>
        </w:rPr>
        <w:t xml:space="preserve">, </w:t>
      </w:r>
      <w:r w:rsidR="00740448" w:rsidRPr="000613AA">
        <w:rPr>
          <w:spacing w:val="-2"/>
          <w:lang w:val="fr-CH"/>
        </w:rPr>
        <w:t xml:space="preserve">adressé </w:t>
      </w:r>
      <w:r w:rsidRPr="000613AA">
        <w:rPr>
          <w:spacing w:val="-2"/>
          <w:lang w:val="fr-CH"/>
        </w:rPr>
        <w:t>40</w:t>
      </w:r>
      <w:r w:rsidR="00FF1C6B" w:rsidRPr="000613AA">
        <w:rPr>
          <w:spacing w:val="-2"/>
          <w:lang w:val="fr-CH"/>
        </w:rPr>
        <w:t> </w:t>
      </w:r>
      <w:r w:rsidRPr="000613AA">
        <w:rPr>
          <w:spacing w:val="-2"/>
          <w:lang w:val="fr-CH"/>
        </w:rPr>
        <w:t>000</w:t>
      </w:r>
      <w:r w:rsidR="00FF1C6B" w:rsidRPr="000613AA">
        <w:rPr>
          <w:spacing w:val="-2"/>
          <w:lang w:val="fr-CH"/>
        </w:rPr>
        <w:t> </w:t>
      </w:r>
      <w:r w:rsidR="00740448" w:rsidRPr="000613AA">
        <w:rPr>
          <w:spacing w:val="-2"/>
          <w:lang w:val="fr-CH"/>
        </w:rPr>
        <w:t>échantillons de laboratoire non identifiés à des</w:t>
      </w:r>
      <w:r w:rsidR="00C72F7A" w:rsidRPr="000613AA">
        <w:rPr>
          <w:spacing w:val="-2"/>
          <w:lang w:val="fr-CH"/>
        </w:rPr>
        <w:t xml:space="preserve"> laboratoires agréés, </w:t>
      </w:r>
      <w:r w:rsidR="00740448" w:rsidRPr="000613AA">
        <w:rPr>
          <w:spacing w:val="-2"/>
          <w:lang w:val="fr-CH"/>
        </w:rPr>
        <w:t xml:space="preserve">coopéré à </w:t>
      </w:r>
      <w:r w:rsidRPr="000613AA">
        <w:rPr>
          <w:spacing w:val="-2"/>
          <w:lang w:val="fr-CH"/>
        </w:rPr>
        <w:t>15</w:t>
      </w:r>
      <w:r w:rsidR="00FF1C6B" w:rsidRPr="000613AA">
        <w:rPr>
          <w:spacing w:val="-2"/>
          <w:lang w:val="fr-CH"/>
        </w:rPr>
        <w:t> </w:t>
      </w:r>
      <w:r w:rsidR="00740448" w:rsidRPr="000613AA">
        <w:rPr>
          <w:spacing w:val="-2"/>
          <w:lang w:val="fr-CH"/>
        </w:rPr>
        <w:t xml:space="preserve">projets collectifs </w:t>
      </w:r>
      <w:r w:rsidR="00C72F7A" w:rsidRPr="000613AA">
        <w:rPr>
          <w:spacing w:val="-2"/>
          <w:lang w:val="fr-CH"/>
        </w:rPr>
        <w:t xml:space="preserve">de recherche, </w:t>
      </w:r>
      <w:r w:rsidR="00740448" w:rsidRPr="000613AA">
        <w:rPr>
          <w:spacing w:val="-2"/>
          <w:lang w:val="fr-CH"/>
        </w:rPr>
        <w:t xml:space="preserve">publié </w:t>
      </w:r>
      <w:r w:rsidRPr="000613AA">
        <w:rPr>
          <w:spacing w:val="-2"/>
          <w:lang w:val="fr-CH"/>
        </w:rPr>
        <w:t>75</w:t>
      </w:r>
      <w:r w:rsidR="00FF1C6B" w:rsidRPr="000613AA">
        <w:rPr>
          <w:spacing w:val="-2"/>
          <w:lang w:val="fr-CH"/>
        </w:rPr>
        <w:t> </w:t>
      </w:r>
      <w:r w:rsidR="00723F2B" w:rsidRPr="000613AA">
        <w:rPr>
          <w:spacing w:val="-2"/>
          <w:lang w:val="fr-CH"/>
        </w:rPr>
        <w:t>articles</w:t>
      </w:r>
      <w:r w:rsidR="00FF1C6B" w:rsidRPr="000613AA">
        <w:rPr>
          <w:spacing w:val="-2"/>
          <w:lang w:val="fr-CH"/>
        </w:rPr>
        <w:t xml:space="preserve"> </w:t>
      </w:r>
      <w:r w:rsidR="00740448" w:rsidRPr="000613AA">
        <w:rPr>
          <w:spacing w:val="-2"/>
          <w:lang w:val="fr-CH"/>
        </w:rPr>
        <w:t>et résumés d’</w:t>
      </w:r>
      <w:r w:rsidR="003D43D2" w:rsidRPr="000613AA">
        <w:rPr>
          <w:spacing w:val="-2"/>
          <w:lang w:val="fr-CH"/>
        </w:rPr>
        <w:t xml:space="preserve">articles </w:t>
      </w:r>
      <w:r w:rsidR="00740448" w:rsidRPr="000613AA">
        <w:rPr>
          <w:spacing w:val="-2"/>
          <w:lang w:val="fr-CH"/>
        </w:rPr>
        <w:t>dans des revues nationales et internationales prestigieuses et les a présentés à des congrès, et organisé divers programmes de formation à l’intention de spécialistes et d’ass</w:t>
      </w:r>
      <w:r w:rsidR="00C72F7A" w:rsidRPr="000613AA">
        <w:rPr>
          <w:spacing w:val="-2"/>
          <w:lang w:val="fr-CH"/>
        </w:rPr>
        <w:t>is</w:t>
      </w:r>
      <w:r w:rsidR="00740448" w:rsidRPr="000613AA">
        <w:rPr>
          <w:spacing w:val="-2"/>
          <w:lang w:val="fr-CH"/>
        </w:rPr>
        <w:t>tants dans le domaine de la pathologie</w:t>
      </w:r>
      <w:r w:rsidRPr="000613AA">
        <w:rPr>
          <w:spacing w:val="-2"/>
          <w:lang w:val="fr-CH"/>
        </w:rPr>
        <w:t xml:space="preserve"> </w:t>
      </w:r>
      <w:r w:rsidR="00740448" w:rsidRPr="000613AA">
        <w:rPr>
          <w:spacing w:val="-2"/>
          <w:lang w:val="fr-CH"/>
        </w:rPr>
        <w:t xml:space="preserve">et un certain </w:t>
      </w:r>
      <w:r w:rsidR="003B48A4" w:rsidRPr="000613AA">
        <w:rPr>
          <w:spacing w:val="-2"/>
          <w:lang w:val="fr-CH"/>
        </w:rPr>
        <w:t>nombre</w:t>
      </w:r>
      <w:r w:rsidRPr="000613AA">
        <w:rPr>
          <w:spacing w:val="-2"/>
          <w:lang w:val="fr-CH"/>
        </w:rPr>
        <w:t xml:space="preserve"> </w:t>
      </w:r>
      <w:r w:rsidR="00740448" w:rsidRPr="000613AA">
        <w:rPr>
          <w:spacing w:val="-2"/>
          <w:lang w:val="fr-CH"/>
        </w:rPr>
        <w:t>de programmes internationaux sur la biosécurité</w:t>
      </w:r>
      <w:r w:rsidRPr="000613AA">
        <w:rPr>
          <w:spacing w:val="-2"/>
          <w:lang w:val="fr-CH"/>
        </w:rPr>
        <w:t xml:space="preserve">. </w:t>
      </w:r>
    </w:p>
    <w:p w:rsidR="00E5019F" w:rsidRPr="0071782F" w:rsidRDefault="00E5019F" w:rsidP="00E5019F">
      <w:pPr>
        <w:pStyle w:val="SingleTxtG"/>
        <w:rPr>
          <w:lang w:val="fr-CH"/>
        </w:rPr>
      </w:pPr>
      <w:r w:rsidRPr="0071782F">
        <w:rPr>
          <w:lang w:val="fr-CH"/>
        </w:rPr>
        <w:t>270.</w:t>
      </w:r>
      <w:r w:rsidRPr="0071782F">
        <w:rPr>
          <w:lang w:val="fr-CH"/>
        </w:rPr>
        <w:tab/>
      </w:r>
      <w:r w:rsidR="00C72F7A" w:rsidRPr="0071782F">
        <w:rPr>
          <w:lang w:val="fr-CH"/>
        </w:rPr>
        <w:t>Les autres activités du laboratoire de référence sont notamment les suivantes</w:t>
      </w:r>
      <w:r w:rsidR="008F7D33" w:rsidRPr="0071782F">
        <w:rPr>
          <w:lang w:val="fr-CH"/>
        </w:rPr>
        <w:t>:</w:t>
      </w:r>
    </w:p>
    <w:p w:rsidR="00E5019F" w:rsidRPr="0071782F" w:rsidRDefault="00E5019F" w:rsidP="00E5019F">
      <w:pPr>
        <w:pStyle w:val="SingleTxtG"/>
        <w:ind w:left="1701"/>
        <w:rPr>
          <w:lang w:val="fr-CH"/>
        </w:rPr>
      </w:pPr>
      <w:r w:rsidRPr="0071782F">
        <w:rPr>
          <w:lang w:val="fr-CH"/>
        </w:rPr>
        <w:t>270.1.</w:t>
      </w:r>
      <w:r w:rsidRPr="0071782F">
        <w:rPr>
          <w:lang w:val="fr-CH"/>
        </w:rPr>
        <w:tab/>
        <w:t>4</w:t>
      </w:r>
      <w:r w:rsidR="0064696A" w:rsidRPr="0071782F">
        <w:rPr>
          <w:lang w:val="fr-CH"/>
        </w:rPr>
        <w:t xml:space="preserve"> 250 cas</w:t>
      </w:r>
      <w:r w:rsidRPr="0071782F">
        <w:rPr>
          <w:lang w:val="fr-CH"/>
        </w:rPr>
        <w:t xml:space="preserve"> </w:t>
      </w:r>
      <w:r w:rsidR="0064696A" w:rsidRPr="0071782F">
        <w:rPr>
          <w:lang w:val="fr-CH"/>
        </w:rPr>
        <w:t>d’é</w:t>
      </w:r>
      <w:r w:rsidRPr="0071782F">
        <w:rPr>
          <w:lang w:val="fr-CH"/>
        </w:rPr>
        <w:t xml:space="preserve">valuation </w:t>
      </w:r>
      <w:r w:rsidR="0064696A" w:rsidRPr="0071782F">
        <w:rPr>
          <w:lang w:val="fr-CH"/>
        </w:rPr>
        <w:t>de</w:t>
      </w:r>
      <w:r w:rsidRPr="0071782F">
        <w:rPr>
          <w:lang w:val="fr-CH"/>
        </w:rPr>
        <w:t xml:space="preserve"> documents </w:t>
      </w:r>
      <w:r w:rsidR="0064696A" w:rsidRPr="0071782F">
        <w:rPr>
          <w:lang w:val="fr-CH"/>
        </w:rPr>
        <w:t>et de délivrance d’autorisations à des producteurs et importateurs de produits de laboratoire; 300</w:t>
      </w:r>
      <w:r w:rsidR="00FF1C6B" w:rsidRPr="0071782F">
        <w:rPr>
          <w:lang w:val="fr-CH"/>
        </w:rPr>
        <w:t> </w:t>
      </w:r>
      <w:r w:rsidR="0064696A" w:rsidRPr="0071782F">
        <w:rPr>
          <w:lang w:val="fr-CH"/>
        </w:rPr>
        <w:t>cas</w:t>
      </w:r>
      <w:r w:rsidRPr="0071782F">
        <w:rPr>
          <w:lang w:val="fr-CH"/>
        </w:rPr>
        <w:t xml:space="preserve"> </w:t>
      </w:r>
      <w:r w:rsidR="0064696A" w:rsidRPr="0071782F">
        <w:rPr>
          <w:lang w:val="fr-CH"/>
        </w:rPr>
        <w:t>d’</w:t>
      </w:r>
      <w:r w:rsidRPr="0071782F">
        <w:rPr>
          <w:lang w:val="fr-CH"/>
        </w:rPr>
        <w:t xml:space="preserve">inspection </w:t>
      </w:r>
      <w:r w:rsidR="0064696A" w:rsidRPr="0071782F">
        <w:rPr>
          <w:lang w:val="fr-CH"/>
        </w:rPr>
        <w:t xml:space="preserve">et de contrôle des résultats des entreprises concernées; </w:t>
      </w:r>
      <w:r w:rsidRPr="0071782F">
        <w:rPr>
          <w:lang w:val="fr-CH"/>
        </w:rPr>
        <w:t>514</w:t>
      </w:r>
      <w:r w:rsidR="00FF1C6B" w:rsidRPr="0071782F">
        <w:rPr>
          <w:lang w:val="fr-CH"/>
        </w:rPr>
        <w:t> </w:t>
      </w:r>
      <w:r w:rsidRPr="0071782F">
        <w:rPr>
          <w:lang w:val="fr-CH"/>
        </w:rPr>
        <w:t>cas</w:t>
      </w:r>
      <w:r w:rsidR="0064696A" w:rsidRPr="0071782F">
        <w:rPr>
          <w:lang w:val="fr-CH"/>
        </w:rPr>
        <w:t xml:space="preserve"> d’examen des </w:t>
      </w:r>
      <w:r w:rsidRPr="0071782F">
        <w:rPr>
          <w:lang w:val="fr-CH"/>
        </w:rPr>
        <w:t xml:space="preserve">qualifications </w:t>
      </w:r>
      <w:r w:rsidR="0064696A" w:rsidRPr="0071782F">
        <w:rPr>
          <w:lang w:val="fr-CH"/>
        </w:rPr>
        <w:t xml:space="preserve">techniques des laboratoires de diagnostic médical et de délivrance des autorisations correspondantes; </w:t>
      </w:r>
      <w:r w:rsidRPr="0071782F">
        <w:rPr>
          <w:lang w:val="fr-CH"/>
        </w:rPr>
        <w:t>4</w:t>
      </w:r>
      <w:r w:rsidR="0064696A" w:rsidRPr="0071782F">
        <w:rPr>
          <w:lang w:val="fr-CH"/>
        </w:rPr>
        <w:t>98</w:t>
      </w:r>
      <w:r w:rsidR="00FF1C6B" w:rsidRPr="0071782F">
        <w:rPr>
          <w:lang w:val="fr-CH"/>
        </w:rPr>
        <w:t> </w:t>
      </w:r>
      <w:r w:rsidR="0064696A" w:rsidRPr="0071782F">
        <w:rPr>
          <w:lang w:val="fr-CH"/>
        </w:rPr>
        <w:t>cas</w:t>
      </w:r>
      <w:r w:rsidRPr="0071782F">
        <w:rPr>
          <w:lang w:val="fr-CH"/>
        </w:rPr>
        <w:t xml:space="preserve"> </w:t>
      </w:r>
      <w:r w:rsidR="0064696A" w:rsidRPr="0071782F">
        <w:rPr>
          <w:lang w:val="fr-CH"/>
        </w:rPr>
        <w:t>de signature de l’accord de principe concernant l’équipement de laboratoires de diagnostic médical</w:t>
      </w:r>
      <w:r w:rsidRPr="0071782F">
        <w:rPr>
          <w:lang w:val="fr-CH"/>
        </w:rPr>
        <w:t>; 445</w:t>
      </w:r>
      <w:r w:rsidR="00FF1C6B" w:rsidRPr="0071782F">
        <w:rPr>
          <w:lang w:val="fr-CH"/>
        </w:rPr>
        <w:t> </w:t>
      </w:r>
      <w:r w:rsidRPr="0071782F">
        <w:rPr>
          <w:lang w:val="fr-CH"/>
        </w:rPr>
        <w:t xml:space="preserve">cas </w:t>
      </w:r>
      <w:r w:rsidR="0064696A" w:rsidRPr="0071782F">
        <w:rPr>
          <w:lang w:val="fr-CH"/>
        </w:rPr>
        <w:t>de délivrance d’autorisations de création et de certificats de qualification technique</w:t>
      </w:r>
      <w:r w:rsidRPr="0071782F">
        <w:rPr>
          <w:lang w:val="fr-CH"/>
        </w:rPr>
        <w:t>; 57</w:t>
      </w:r>
      <w:r w:rsidR="00FF1C6B" w:rsidRPr="0071782F">
        <w:rPr>
          <w:lang w:val="fr-CH"/>
        </w:rPr>
        <w:t> </w:t>
      </w:r>
      <w:r w:rsidRPr="0071782F">
        <w:rPr>
          <w:lang w:val="fr-CH"/>
        </w:rPr>
        <w:t xml:space="preserve">cas </w:t>
      </w:r>
      <w:r w:rsidR="0064696A" w:rsidRPr="0071782F">
        <w:rPr>
          <w:lang w:val="fr-CH"/>
        </w:rPr>
        <w:t xml:space="preserve">d’examen et de </w:t>
      </w:r>
      <w:r w:rsidRPr="0071782F">
        <w:rPr>
          <w:lang w:val="fr-CH"/>
        </w:rPr>
        <w:t xml:space="preserve">confirmation </w:t>
      </w:r>
      <w:r w:rsidR="0064696A" w:rsidRPr="0071782F">
        <w:rPr>
          <w:lang w:val="fr-CH"/>
        </w:rPr>
        <w:t xml:space="preserve">des </w:t>
      </w:r>
      <w:r w:rsidRPr="0071782F">
        <w:rPr>
          <w:lang w:val="fr-CH"/>
        </w:rPr>
        <w:t xml:space="preserve">qualifications </w:t>
      </w:r>
      <w:r w:rsidR="0064696A" w:rsidRPr="0071782F">
        <w:rPr>
          <w:lang w:val="fr-CH"/>
        </w:rPr>
        <w:t>techniques et d’é</w:t>
      </w:r>
      <w:r w:rsidRPr="0071782F">
        <w:rPr>
          <w:lang w:val="fr-CH"/>
        </w:rPr>
        <w:t xml:space="preserve">valuation </w:t>
      </w:r>
      <w:r w:rsidR="0064696A" w:rsidRPr="0071782F">
        <w:rPr>
          <w:lang w:val="fr-CH"/>
        </w:rPr>
        <w:t xml:space="preserve">des titres universitaires </w:t>
      </w:r>
      <w:r w:rsidR="007F37CE" w:rsidRPr="0071782F">
        <w:rPr>
          <w:lang w:val="fr-CH"/>
        </w:rPr>
        <w:t>des personnes</w:t>
      </w:r>
      <w:r w:rsidR="0064696A" w:rsidRPr="0071782F">
        <w:rPr>
          <w:lang w:val="fr-CH"/>
        </w:rPr>
        <w:t xml:space="preserve"> sollicitant une carte de laboratoire (commandes). Enfin, </w:t>
      </w:r>
      <w:r w:rsidR="00111A2E" w:rsidRPr="0071782F">
        <w:rPr>
          <w:lang w:val="fr-CH"/>
        </w:rPr>
        <w:t xml:space="preserve">le laboratoire </w:t>
      </w:r>
      <w:r w:rsidR="0064696A" w:rsidRPr="0071782F">
        <w:rPr>
          <w:lang w:val="fr-CH"/>
        </w:rPr>
        <w:t>a délégué aux facultés de médecine le pouvoir de délivrer des autorisations aux laboratoires de diagnostic médical</w:t>
      </w:r>
      <w:r w:rsidRPr="0071782F">
        <w:rPr>
          <w:lang w:val="fr-CH"/>
        </w:rPr>
        <w:t>.</w:t>
      </w:r>
    </w:p>
    <w:p w:rsidR="00E5019F" w:rsidRPr="0071782F" w:rsidRDefault="00E5019F" w:rsidP="00E5019F">
      <w:pPr>
        <w:pStyle w:val="SingleTxtG"/>
        <w:ind w:left="1701"/>
        <w:rPr>
          <w:lang w:val="fr-CH"/>
        </w:rPr>
      </w:pPr>
      <w:r w:rsidRPr="0071782F">
        <w:rPr>
          <w:lang w:val="fr-CH"/>
        </w:rPr>
        <w:t>270.2.</w:t>
      </w:r>
      <w:r w:rsidRPr="0071782F">
        <w:rPr>
          <w:lang w:val="fr-CH"/>
        </w:rPr>
        <w:tab/>
      </w:r>
      <w:r w:rsidR="00E65C3B" w:rsidRPr="0071782F">
        <w:rPr>
          <w:lang w:val="fr-CH"/>
        </w:rPr>
        <w:t>Le laboratoire de référence a lancé un système automatisé de collecte et de traitement des informations fournies par les laboratoires médicaux, créé une banque de données sur les produits de diagnostic de laboratoire</w:t>
      </w:r>
      <w:r w:rsidRPr="0071782F">
        <w:rPr>
          <w:lang w:val="fr-CH"/>
        </w:rPr>
        <w:t xml:space="preserve">, </w:t>
      </w:r>
      <w:r w:rsidR="00E65C3B" w:rsidRPr="0071782F">
        <w:rPr>
          <w:lang w:val="fr-CH"/>
        </w:rPr>
        <w:t>é</w:t>
      </w:r>
      <w:r w:rsidRPr="0071782F">
        <w:rPr>
          <w:lang w:val="fr-CH"/>
        </w:rPr>
        <w:t>valu</w:t>
      </w:r>
      <w:r w:rsidR="00E65C3B" w:rsidRPr="0071782F">
        <w:rPr>
          <w:lang w:val="fr-CH"/>
        </w:rPr>
        <w:t>é et suivi les activités des laboratoires des facultés de médecine</w:t>
      </w:r>
      <w:r w:rsidRPr="0071782F">
        <w:rPr>
          <w:lang w:val="fr-CH"/>
        </w:rPr>
        <w:t xml:space="preserve">, </w:t>
      </w:r>
      <w:r w:rsidR="00E65C3B" w:rsidRPr="0071782F">
        <w:rPr>
          <w:lang w:val="fr-CH"/>
        </w:rPr>
        <w:t xml:space="preserve">élargi et amélioré les banques de données sur le </w:t>
      </w:r>
      <w:r w:rsidRPr="0071782F">
        <w:rPr>
          <w:lang w:val="fr-CH"/>
        </w:rPr>
        <w:t xml:space="preserve">personnel </w:t>
      </w:r>
      <w:r w:rsidR="00E65C3B" w:rsidRPr="0071782F">
        <w:rPr>
          <w:lang w:val="fr-CH"/>
        </w:rPr>
        <w:t>et les équipements des laboratoires</w:t>
      </w:r>
      <w:r w:rsidRPr="0071782F">
        <w:rPr>
          <w:lang w:val="fr-CH"/>
        </w:rPr>
        <w:t xml:space="preserve">, </w:t>
      </w:r>
      <w:r w:rsidR="00E65C3B" w:rsidRPr="0071782F">
        <w:rPr>
          <w:lang w:val="fr-CH"/>
        </w:rPr>
        <w:t xml:space="preserve">mis en place un système d’appui aux produits de diagnostic de laboratoire afin d’évaluer les </w:t>
      </w:r>
      <w:r w:rsidRPr="0071782F">
        <w:rPr>
          <w:lang w:val="fr-CH"/>
        </w:rPr>
        <w:t>performance</w:t>
      </w:r>
      <w:r w:rsidR="00E65C3B" w:rsidRPr="0071782F">
        <w:rPr>
          <w:lang w:val="fr-CH"/>
        </w:rPr>
        <w:t xml:space="preserve">s de ces produits dans les laboratoires, et </w:t>
      </w:r>
      <w:r w:rsidRPr="0071782F">
        <w:rPr>
          <w:lang w:val="fr-CH"/>
        </w:rPr>
        <w:t>r</w:t>
      </w:r>
      <w:r w:rsidR="00E65C3B" w:rsidRPr="0071782F">
        <w:rPr>
          <w:lang w:val="fr-CH"/>
        </w:rPr>
        <w:t>é</w:t>
      </w:r>
      <w:r w:rsidRPr="0071782F">
        <w:rPr>
          <w:lang w:val="fr-CH"/>
        </w:rPr>
        <w:t>vis</w:t>
      </w:r>
      <w:r w:rsidR="00E65C3B" w:rsidRPr="0071782F">
        <w:rPr>
          <w:lang w:val="fr-CH"/>
        </w:rPr>
        <w:t xml:space="preserve">é les dispositions des directives, </w:t>
      </w:r>
      <w:r w:rsidRPr="0071782F">
        <w:rPr>
          <w:lang w:val="fr-CH"/>
        </w:rPr>
        <w:t xml:space="preserve">instructions </w:t>
      </w:r>
      <w:r w:rsidR="00E65C3B" w:rsidRPr="0071782F">
        <w:rPr>
          <w:lang w:val="fr-CH"/>
        </w:rPr>
        <w:t>et règlements correspondants</w:t>
      </w:r>
      <w:r w:rsidRPr="0071782F">
        <w:rPr>
          <w:lang w:val="fr-CH"/>
        </w:rPr>
        <w:t>.</w:t>
      </w:r>
    </w:p>
    <w:p w:rsidR="00E5019F" w:rsidRPr="0071782F" w:rsidRDefault="00E5019F" w:rsidP="00E5019F">
      <w:pPr>
        <w:pStyle w:val="SingleTxtG"/>
        <w:ind w:left="1701"/>
        <w:rPr>
          <w:lang w:val="fr-CH"/>
        </w:rPr>
      </w:pPr>
      <w:r w:rsidRPr="0071782F">
        <w:rPr>
          <w:lang w:val="fr-CH"/>
        </w:rPr>
        <w:t>270.3.</w:t>
      </w:r>
      <w:r w:rsidRPr="0071782F">
        <w:rPr>
          <w:lang w:val="fr-CH"/>
        </w:rPr>
        <w:tab/>
      </w:r>
      <w:r w:rsidR="00B90316" w:rsidRPr="0071782F">
        <w:rPr>
          <w:lang w:val="fr-CH"/>
        </w:rPr>
        <w:t xml:space="preserve">S’agissant de la </w:t>
      </w:r>
      <w:r w:rsidRPr="0071782F">
        <w:rPr>
          <w:lang w:val="fr-CH"/>
        </w:rPr>
        <w:t xml:space="preserve">promotion </w:t>
      </w:r>
      <w:r w:rsidR="00B90316" w:rsidRPr="0071782F">
        <w:rPr>
          <w:lang w:val="fr-CH"/>
        </w:rPr>
        <w:t xml:space="preserve">de la </w:t>
      </w:r>
      <w:r w:rsidR="00A62149" w:rsidRPr="0071782F">
        <w:rPr>
          <w:lang w:val="fr-CH"/>
        </w:rPr>
        <w:t>"</w:t>
      </w:r>
      <w:r w:rsidR="00B90316" w:rsidRPr="0071782F">
        <w:rPr>
          <w:lang w:val="fr-CH"/>
        </w:rPr>
        <w:t>gestion de l’assurance de la qualité</w:t>
      </w:r>
      <w:r w:rsidR="00A62149" w:rsidRPr="0071782F">
        <w:rPr>
          <w:lang w:val="fr-CH"/>
        </w:rPr>
        <w:t>"</w:t>
      </w:r>
      <w:r w:rsidRPr="0071782F">
        <w:rPr>
          <w:lang w:val="fr-CH"/>
        </w:rPr>
        <w:t xml:space="preserve">, </w:t>
      </w:r>
      <w:r w:rsidR="00B90316" w:rsidRPr="0071782F">
        <w:rPr>
          <w:lang w:val="fr-CH"/>
        </w:rPr>
        <w:t xml:space="preserve">le laboratoire de </w:t>
      </w:r>
      <w:r w:rsidRPr="0071782F">
        <w:rPr>
          <w:lang w:val="fr-CH"/>
        </w:rPr>
        <w:t>r</w:t>
      </w:r>
      <w:r w:rsidR="00B90316" w:rsidRPr="0071782F">
        <w:rPr>
          <w:lang w:val="fr-CH"/>
        </w:rPr>
        <w:t>é</w:t>
      </w:r>
      <w:r w:rsidRPr="0071782F">
        <w:rPr>
          <w:lang w:val="fr-CH"/>
        </w:rPr>
        <w:t>f</w:t>
      </w:r>
      <w:r w:rsidR="00B90316" w:rsidRPr="0071782F">
        <w:rPr>
          <w:lang w:val="fr-CH"/>
        </w:rPr>
        <w:t>é</w:t>
      </w:r>
      <w:r w:rsidRPr="0071782F">
        <w:rPr>
          <w:lang w:val="fr-CH"/>
        </w:rPr>
        <w:t xml:space="preserve">rence </w:t>
      </w:r>
      <w:r w:rsidR="00B90316" w:rsidRPr="0071782F">
        <w:rPr>
          <w:lang w:val="fr-CH"/>
        </w:rPr>
        <w:t>a adopté les mesures ci-après</w:t>
      </w:r>
      <w:r w:rsidR="008F7D33" w:rsidRPr="0071782F">
        <w:rPr>
          <w:lang w:val="fr-CH"/>
        </w:rPr>
        <w:t>:</w:t>
      </w:r>
      <w:r w:rsidRPr="0071782F">
        <w:rPr>
          <w:lang w:val="fr-CH"/>
        </w:rPr>
        <w:t xml:space="preserve"> d</w:t>
      </w:r>
      <w:r w:rsidR="00B90316" w:rsidRPr="0071782F">
        <w:rPr>
          <w:lang w:val="fr-CH"/>
        </w:rPr>
        <w:t>é</w:t>
      </w:r>
      <w:r w:rsidRPr="0071782F">
        <w:rPr>
          <w:lang w:val="fr-CH"/>
        </w:rPr>
        <w:t xml:space="preserve">finition </w:t>
      </w:r>
      <w:r w:rsidR="00B90316" w:rsidRPr="0071782F">
        <w:rPr>
          <w:lang w:val="fr-CH"/>
        </w:rPr>
        <w:t>de normes de laboratoire basées sur le modèle des normes internationales reconnue</w:t>
      </w:r>
      <w:r w:rsidRPr="0071782F">
        <w:rPr>
          <w:lang w:val="fr-CH"/>
        </w:rPr>
        <w:t xml:space="preserve">s, </w:t>
      </w:r>
      <w:r w:rsidR="00B90316" w:rsidRPr="0071782F">
        <w:rPr>
          <w:lang w:val="fr-CH"/>
        </w:rPr>
        <w:t>réglementation du contrôle des activités de laboratoire</w:t>
      </w:r>
      <w:r w:rsidRPr="0071782F">
        <w:rPr>
          <w:lang w:val="fr-CH"/>
        </w:rPr>
        <w:t xml:space="preserve">, </w:t>
      </w:r>
      <w:r w:rsidR="00B90316" w:rsidRPr="0071782F">
        <w:rPr>
          <w:lang w:val="fr-CH"/>
        </w:rPr>
        <w:t>agrément de laboratoires volontaires pionniers dans l’application des normes de laboratoire et encouragement de ces laboratoires par le biais de la délivrance de certificats de qualité</w:t>
      </w:r>
      <w:r w:rsidRPr="0071782F">
        <w:rPr>
          <w:lang w:val="fr-CH"/>
        </w:rPr>
        <w:t>, a</w:t>
      </w:r>
      <w:r w:rsidR="00B90316" w:rsidRPr="0071782F">
        <w:rPr>
          <w:lang w:val="fr-CH"/>
        </w:rPr>
        <w:t xml:space="preserve">grément de laboratoires de </w:t>
      </w:r>
      <w:r w:rsidRPr="0071782F">
        <w:rPr>
          <w:lang w:val="fr-CH"/>
        </w:rPr>
        <w:t>r</w:t>
      </w:r>
      <w:r w:rsidR="00B90316" w:rsidRPr="0071782F">
        <w:rPr>
          <w:lang w:val="fr-CH"/>
        </w:rPr>
        <w:t>é</w:t>
      </w:r>
      <w:r w:rsidRPr="0071782F">
        <w:rPr>
          <w:lang w:val="fr-CH"/>
        </w:rPr>
        <w:t>f</w:t>
      </w:r>
      <w:r w:rsidR="00B90316" w:rsidRPr="0071782F">
        <w:rPr>
          <w:lang w:val="fr-CH"/>
        </w:rPr>
        <w:t>é</w:t>
      </w:r>
      <w:r w:rsidRPr="0071782F">
        <w:rPr>
          <w:lang w:val="fr-CH"/>
        </w:rPr>
        <w:t xml:space="preserve">rence </w:t>
      </w:r>
      <w:r w:rsidR="00B90316" w:rsidRPr="0071782F">
        <w:rPr>
          <w:lang w:val="fr-CH"/>
        </w:rPr>
        <w:t>du pays pour les maladies sous traitement en vue de créer un réseau de labor</w:t>
      </w:r>
      <w:r w:rsidR="00847A71" w:rsidRPr="0071782F">
        <w:rPr>
          <w:lang w:val="fr-CH"/>
        </w:rPr>
        <w:t>atoires, délégation des activit</w:t>
      </w:r>
      <w:r w:rsidR="00B90316" w:rsidRPr="0071782F">
        <w:rPr>
          <w:lang w:val="fr-CH"/>
        </w:rPr>
        <w:t xml:space="preserve">és d’exécution du programme d’évaluation de la qualité à une association de laboratoires scientifiques et organisation des programmes de formation nécessaires à cette fin. </w:t>
      </w:r>
    </w:p>
    <w:p w:rsidR="00E5019F" w:rsidRPr="0071782F" w:rsidRDefault="00E5019F" w:rsidP="00A670E0">
      <w:pPr>
        <w:pStyle w:val="SingleTxtG"/>
        <w:keepNext/>
        <w:keepLines/>
        <w:ind w:left="1701"/>
        <w:rPr>
          <w:lang w:val="fr-CH"/>
        </w:rPr>
      </w:pPr>
      <w:r w:rsidRPr="0071782F">
        <w:rPr>
          <w:lang w:val="fr-CH"/>
        </w:rPr>
        <w:t>270.4.</w:t>
      </w:r>
      <w:r w:rsidRPr="0071782F">
        <w:rPr>
          <w:lang w:val="fr-CH"/>
        </w:rPr>
        <w:tab/>
      </w:r>
      <w:r w:rsidR="00B90316" w:rsidRPr="0071782F">
        <w:rPr>
          <w:lang w:val="fr-CH"/>
        </w:rPr>
        <w:t xml:space="preserve">Quant à la </w:t>
      </w:r>
      <w:r w:rsidRPr="0071782F">
        <w:rPr>
          <w:lang w:val="fr-CH"/>
        </w:rPr>
        <w:t xml:space="preserve">promotion </w:t>
      </w:r>
      <w:r w:rsidR="00B90316" w:rsidRPr="0071782F">
        <w:rPr>
          <w:lang w:val="fr-CH"/>
        </w:rPr>
        <w:t xml:space="preserve">de la </w:t>
      </w:r>
      <w:r w:rsidR="00A62149" w:rsidRPr="0071782F">
        <w:rPr>
          <w:lang w:val="fr-CH"/>
        </w:rPr>
        <w:t>"</w:t>
      </w:r>
      <w:r w:rsidR="00B90316" w:rsidRPr="0071782F">
        <w:rPr>
          <w:lang w:val="fr-CH"/>
        </w:rPr>
        <w:t>gestion de l’hygiène dans les laboratoires</w:t>
      </w:r>
      <w:r w:rsidR="00A62149" w:rsidRPr="0071782F">
        <w:rPr>
          <w:lang w:val="fr-CH"/>
        </w:rPr>
        <w:t>"</w:t>
      </w:r>
      <w:r w:rsidRPr="0071782F">
        <w:rPr>
          <w:lang w:val="fr-CH"/>
        </w:rPr>
        <w:t xml:space="preserve">, </w:t>
      </w:r>
      <w:r w:rsidR="00B90316" w:rsidRPr="0071782F">
        <w:rPr>
          <w:lang w:val="fr-CH"/>
        </w:rPr>
        <w:t>les activités réalisées ont notamment été les suivantes</w:t>
      </w:r>
      <w:r w:rsidR="008F7D33" w:rsidRPr="0071782F">
        <w:rPr>
          <w:lang w:val="fr-CH"/>
        </w:rPr>
        <w:t>:</w:t>
      </w:r>
      <w:r w:rsidR="00B90316" w:rsidRPr="0071782F">
        <w:rPr>
          <w:lang w:val="fr-CH"/>
        </w:rPr>
        <w:t xml:space="preserve"> élaboration de la </w:t>
      </w:r>
      <w:r w:rsidRPr="0071782F">
        <w:rPr>
          <w:lang w:val="fr-CH"/>
        </w:rPr>
        <w:t xml:space="preserve">structure </w:t>
      </w:r>
      <w:r w:rsidR="00B90316" w:rsidRPr="0071782F">
        <w:rPr>
          <w:lang w:val="fr-CH"/>
        </w:rPr>
        <w:t>et mise en place du sy</w:t>
      </w:r>
      <w:r w:rsidR="007814BF" w:rsidRPr="0071782F">
        <w:rPr>
          <w:lang w:val="fr-CH"/>
        </w:rPr>
        <w:t>s</w:t>
      </w:r>
      <w:r w:rsidR="00B90316" w:rsidRPr="0071782F">
        <w:rPr>
          <w:lang w:val="fr-CH"/>
        </w:rPr>
        <w:t>tème d’évaluation des services de laboratoire; conception d’un système d’orientation vers</w:t>
      </w:r>
      <w:r w:rsidRPr="0071782F">
        <w:rPr>
          <w:lang w:val="fr-CH"/>
        </w:rPr>
        <w:t xml:space="preserve"> </w:t>
      </w:r>
      <w:r w:rsidR="00B90316" w:rsidRPr="0071782F">
        <w:rPr>
          <w:lang w:val="fr-CH"/>
        </w:rPr>
        <w:t>des services de laboratoire; amélioration des laboratoires de référence;</w:t>
      </w:r>
      <w:r w:rsidRPr="0071782F">
        <w:rPr>
          <w:lang w:val="fr-CH"/>
        </w:rPr>
        <w:t xml:space="preserve"> </w:t>
      </w:r>
      <w:r w:rsidR="00B90316" w:rsidRPr="0071782F">
        <w:rPr>
          <w:lang w:val="fr-CH"/>
        </w:rPr>
        <w:t xml:space="preserve">promotion du plan des </w:t>
      </w:r>
      <w:r w:rsidR="007D20FF" w:rsidRPr="0071782F">
        <w:rPr>
          <w:lang w:val="fr-CH"/>
        </w:rPr>
        <w:t>médecins traitants</w:t>
      </w:r>
      <w:r w:rsidR="00B90316" w:rsidRPr="0071782F">
        <w:rPr>
          <w:lang w:val="fr-CH"/>
        </w:rPr>
        <w:t xml:space="preserve"> </w:t>
      </w:r>
      <w:r w:rsidR="007814BF" w:rsidRPr="0071782F">
        <w:rPr>
          <w:lang w:val="fr-CH"/>
        </w:rPr>
        <w:t>et</w:t>
      </w:r>
      <w:r w:rsidR="00B90316" w:rsidRPr="0071782F">
        <w:rPr>
          <w:lang w:val="fr-CH"/>
        </w:rPr>
        <w:t xml:space="preserve"> de l’assurance rurale, en particulier en ce qui concerne les laboratoires;</w:t>
      </w:r>
      <w:r w:rsidRPr="0071782F">
        <w:rPr>
          <w:lang w:val="fr-CH"/>
        </w:rPr>
        <w:t xml:space="preserve"> </w:t>
      </w:r>
      <w:r w:rsidR="00B90316" w:rsidRPr="0071782F">
        <w:rPr>
          <w:lang w:val="fr-CH"/>
        </w:rPr>
        <w:t>conception et amélioration des fonctions assignées aux laboratoires dans les situations d’urgence;</w:t>
      </w:r>
      <w:r w:rsidRPr="0071782F">
        <w:rPr>
          <w:lang w:val="fr-CH"/>
        </w:rPr>
        <w:t xml:space="preserve"> </w:t>
      </w:r>
      <w:r w:rsidR="00B90316" w:rsidRPr="0071782F">
        <w:rPr>
          <w:lang w:val="fr-CH"/>
        </w:rPr>
        <w:t>appui aux laboratoires qui s’occupent d’hygiène du travail et d’hygiène de l’environnement;</w:t>
      </w:r>
      <w:r w:rsidRPr="0071782F">
        <w:rPr>
          <w:lang w:val="fr-CH"/>
        </w:rPr>
        <w:t xml:space="preserve"> </w:t>
      </w:r>
      <w:r w:rsidR="00B90316" w:rsidRPr="0071782F">
        <w:rPr>
          <w:lang w:val="fr-CH"/>
        </w:rPr>
        <w:t xml:space="preserve">promotion du programme de </w:t>
      </w:r>
      <w:r w:rsidR="00A62149" w:rsidRPr="0071782F">
        <w:rPr>
          <w:lang w:val="fr-CH"/>
        </w:rPr>
        <w:t>"</w:t>
      </w:r>
      <w:r w:rsidR="00B90316" w:rsidRPr="0071782F">
        <w:rPr>
          <w:lang w:val="fr-CH"/>
        </w:rPr>
        <w:t>diagnostic de la toxicomanie dans les laboratoires</w:t>
      </w:r>
      <w:r w:rsidR="00A62149" w:rsidRPr="0071782F">
        <w:rPr>
          <w:lang w:val="fr-CH"/>
        </w:rPr>
        <w:t>"</w:t>
      </w:r>
      <w:r w:rsidRPr="0071782F">
        <w:rPr>
          <w:lang w:val="fr-CH"/>
        </w:rPr>
        <w:t xml:space="preserve"> </w:t>
      </w:r>
      <w:r w:rsidR="00B90316" w:rsidRPr="0071782F">
        <w:rPr>
          <w:lang w:val="fr-CH"/>
        </w:rPr>
        <w:t>et du prog</w:t>
      </w:r>
      <w:r w:rsidR="00847A71" w:rsidRPr="0071782F">
        <w:rPr>
          <w:lang w:val="fr-CH"/>
        </w:rPr>
        <w:t>r</w:t>
      </w:r>
      <w:r w:rsidR="00B90316" w:rsidRPr="0071782F">
        <w:rPr>
          <w:lang w:val="fr-CH"/>
        </w:rPr>
        <w:t>amme de biosécurité</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t xml:space="preserve">Promotion </w:t>
      </w:r>
      <w:r w:rsidR="007814BF" w:rsidRPr="0071782F">
        <w:rPr>
          <w:lang w:val="fr-CH"/>
        </w:rPr>
        <w:t xml:space="preserve">de la santé </w:t>
      </w:r>
      <w:r w:rsidRPr="0071782F">
        <w:rPr>
          <w:lang w:val="fr-CH"/>
        </w:rPr>
        <w:t>mental</w:t>
      </w:r>
      <w:r w:rsidR="007814BF" w:rsidRPr="0071782F">
        <w:rPr>
          <w:lang w:val="fr-CH"/>
        </w:rPr>
        <w:t>e</w:t>
      </w:r>
      <w:r w:rsidRPr="0071782F">
        <w:rPr>
          <w:lang w:val="fr-CH"/>
        </w:rPr>
        <w:t xml:space="preserve"> </w:t>
      </w:r>
      <w:r w:rsidR="007814BF" w:rsidRPr="0071782F">
        <w:rPr>
          <w:lang w:val="fr-CH"/>
        </w:rPr>
        <w:t xml:space="preserve">et </w:t>
      </w:r>
      <w:r w:rsidRPr="0071782F">
        <w:rPr>
          <w:lang w:val="fr-CH"/>
        </w:rPr>
        <w:t>social</w:t>
      </w:r>
      <w:r w:rsidR="007814BF" w:rsidRPr="0071782F">
        <w:rPr>
          <w:lang w:val="fr-CH"/>
        </w:rPr>
        <w:t>e</w:t>
      </w:r>
      <w:r w:rsidRPr="0071782F">
        <w:rPr>
          <w:lang w:val="fr-CH"/>
        </w:rPr>
        <w:t xml:space="preserve"> </w:t>
      </w:r>
    </w:p>
    <w:p w:rsidR="00E5019F" w:rsidRPr="0071782F" w:rsidRDefault="00E5019F" w:rsidP="00E5019F">
      <w:pPr>
        <w:pStyle w:val="SingleTxtG"/>
        <w:rPr>
          <w:lang w:val="fr-CH"/>
        </w:rPr>
      </w:pPr>
      <w:r w:rsidRPr="0071782F">
        <w:rPr>
          <w:lang w:val="fr-CH"/>
        </w:rPr>
        <w:t>271.</w:t>
      </w:r>
      <w:r w:rsidRPr="0071782F">
        <w:rPr>
          <w:lang w:val="fr-CH"/>
        </w:rPr>
        <w:tab/>
      </w:r>
      <w:r w:rsidR="007814BF" w:rsidRPr="0071782F">
        <w:rPr>
          <w:lang w:val="fr-CH"/>
        </w:rPr>
        <w:t>Il convient notamment de signaler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271.1.</w:t>
      </w:r>
      <w:r w:rsidRPr="0071782F">
        <w:rPr>
          <w:lang w:val="fr-CH"/>
        </w:rPr>
        <w:tab/>
      </w:r>
      <w:r w:rsidR="00F72DDB" w:rsidRPr="0071782F">
        <w:rPr>
          <w:lang w:val="fr-CH"/>
        </w:rPr>
        <w:t xml:space="preserve">Mise en service au cours des quatre dernières années de plus de </w:t>
      </w:r>
      <w:r w:rsidRPr="0071782F">
        <w:rPr>
          <w:lang w:val="fr-CH"/>
        </w:rPr>
        <w:t>1</w:t>
      </w:r>
      <w:r w:rsidR="00FF1C6B" w:rsidRPr="0071782F">
        <w:rPr>
          <w:lang w:val="fr-CH"/>
        </w:rPr>
        <w:t> </w:t>
      </w:r>
      <w:r w:rsidRPr="0071782F">
        <w:rPr>
          <w:lang w:val="fr-CH"/>
        </w:rPr>
        <w:t>600</w:t>
      </w:r>
      <w:r w:rsidR="00FF1C6B" w:rsidRPr="0071782F">
        <w:rPr>
          <w:lang w:val="fr-CH"/>
        </w:rPr>
        <w:t> </w:t>
      </w:r>
      <w:r w:rsidR="00F72DDB" w:rsidRPr="0071782F">
        <w:rPr>
          <w:lang w:val="fr-CH"/>
        </w:rPr>
        <w:t xml:space="preserve">nouveaux lits pour la santé mentale, ce qui a porté le nombre de lits de </w:t>
      </w:r>
      <w:r w:rsidRPr="0071782F">
        <w:rPr>
          <w:lang w:val="fr-CH"/>
        </w:rPr>
        <w:t>6</w:t>
      </w:r>
      <w:r w:rsidR="00FF1C6B" w:rsidRPr="0071782F">
        <w:rPr>
          <w:lang w:val="fr-CH"/>
        </w:rPr>
        <w:t> </w:t>
      </w:r>
      <w:r w:rsidRPr="0071782F">
        <w:rPr>
          <w:lang w:val="fr-CH"/>
        </w:rPr>
        <w:t xml:space="preserve">600 </w:t>
      </w:r>
      <w:r w:rsidR="00F72DDB" w:rsidRPr="0071782F">
        <w:rPr>
          <w:lang w:val="fr-CH"/>
        </w:rPr>
        <w:t>à</w:t>
      </w:r>
      <w:r w:rsidRPr="0071782F">
        <w:rPr>
          <w:lang w:val="fr-CH"/>
        </w:rPr>
        <w:t xml:space="preserve"> 8</w:t>
      </w:r>
      <w:r w:rsidR="00FF1C6B" w:rsidRPr="0071782F">
        <w:rPr>
          <w:lang w:val="fr-CH"/>
        </w:rPr>
        <w:t> </w:t>
      </w:r>
      <w:r w:rsidRPr="0071782F">
        <w:rPr>
          <w:lang w:val="fr-CH"/>
        </w:rPr>
        <w:t xml:space="preserve">200 </w:t>
      </w:r>
      <w:r w:rsidR="00F72DDB" w:rsidRPr="0071782F">
        <w:rPr>
          <w:lang w:val="fr-CH"/>
        </w:rPr>
        <w:t>et de 30</w:t>
      </w:r>
      <w:r w:rsidR="00097CDB" w:rsidRPr="0071782F">
        <w:rPr>
          <w:lang w:val="fr-CH"/>
        </w:rPr>
        <w:t> millions</w:t>
      </w:r>
      <w:r w:rsidR="00F72DDB" w:rsidRPr="0071782F">
        <w:rPr>
          <w:lang w:val="fr-CH"/>
        </w:rPr>
        <w:t xml:space="preserve"> (40</w:t>
      </w:r>
      <w:r w:rsidR="007E5125" w:rsidRPr="0071782F">
        <w:rPr>
          <w:lang w:val="fr-CH"/>
        </w:rPr>
        <w:t>%</w:t>
      </w:r>
      <w:r w:rsidR="00F72DDB" w:rsidRPr="0071782F">
        <w:rPr>
          <w:lang w:val="fr-CH"/>
        </w:rPr>
        <w:t>) à plus 40</w:t>
      </w:r>
      <w:r w:rsidR="00097CDB" w:rsidRPr="0071782F">
        <w:rPr>
          <w:lang w:val="fr-CH"/>
        </w:rPr>
        <w:t> millions</w:t>
      </w:r>
      <w:r w:rsidR="00F72DDB" w:rsidRPr="0071782F">
        <w:rPr>
          <w:lang w:val="fr-CH"/>
        </w:rPr>
        <w:t xml:space="preserve"> (plus de 60</w:t>
      </w:r>
      <w:r w:rsidR="007E5125" w:rsidRPr="0071782F">
        <w:rPr>
          <w:lang w:val="fr-CH"/>
        </w:rPr>
        <w:t>%</w:t>
      </w:r>
      <w:r w:rsidR="00F72DDB" w:rsidRPr="0071782F">
        <w:rPr>
          <w:lang w:val="fr-CH"/>
        </w:rPr>
        <w:t xml:space="preserve">) le nombre </w:t>
      </w:r>
      <w:r w:rsidR="00D82C96" w:rsidRPr="0071782F">
        <w:rPr>
          <w:lang w:val="fr-CH"/>
        </w:rPr>
        <w:t>de personnes</w:t>
      </w:r>
      <w:r w:rsidR="00F72DDB" w:rsidRPr="0071782F">
        <w:rPr>
          <w:lang w:val="fr-CH"/>
        </w:rPr>
        <w:t xml:space="preserve"> couvertes par le programme intégré de santé mentale</w:t>
      </w:r>
      <w:r w:rsidRPr="0071782F">
        <w:rPr>
          <w:lang w:val="fr-CH"/>
        </w:rPr>
        <w:t xml:space="preserve">. </w:t>
      </w:r>
      <w:r w:rsidR="00F72DDB" w:rsidRPr="0071782F">
        <w:rPr>
          <w:lang w:val="fr-CH"/>
        </w:rPr>
        <w:t>Les progrès enregistrés dans le domaine de la santé mentale ont notamment été les suivants</w:t>
      </w:r>
      <w:r w:rsidR="008F7D33" w:rsidRPr="0071782F">
        <w:rPr>
          <w:lang w:val="fr-CH"/>
        </w:rPr>
        <w:t>:</w:t>
      </w:r>
    </w:p>
    <w:p w:rsidR="00E5019F" w:rsidRPr="0071782F" w:rsidRDefault="00E5019F" w:rsidP="00E5019F">
      <w:pPr>
        <w:pStyle w:val="SingleTxtG"/>
        <w:ind w:left="1701"/>
        <w:rPr>
          <w:lang w:val="fr-CH"/>
        </w:rPr>
      </w:pPr>
      <w:r w:rsidRPr="0071782F">
        <w:rPr>
          <w:lang w:val="fr-CH"/>
        </w:rPr>
        <w:t>271.2.</w:t>
      </w:r>
      <w:r w:rsidRPr="0071782F">
        <w:rPr>
          <w:lang w:val="fr-CH"/>
        </w:rPr>
        <w:tab/>
      </w:r>
      <w:r w:rsidR="009A3270" w:rsidRPr="0071782F">
        <w:rPr>
          <w:lang w:val="fr-CH"/>
        </w:rPr>
        <w:t>É</w:t>
      </w:r>
      <w:r w:rsidRPr="0071782F">
        <w:rPr>
          <w:lang w:val="fr-CH"/>
        </w:rPr>
        <w:t xml:space="preserve">limination </w:t>
      </w:r>
      <w:r w:rsidR="009A3270" w:rsidRPr="0071782F">
        <w:rPr>
          <w:lang w:val="fr-CH"/>
        </w:rPr>
        <w:t xml:space="preserve">de la dévalorisation des malades mentaux grâce à l’examen de sa gravité et des facteurs qui y contribuent, renforcement du rôle des médias dans la sensibilisation du public à ces questions et </w:t>
      </w:r>
      <w:r w:rsidRPr="0071782F">
        <w:rPr>
          <w:lang w:val="fr-CH"/>
        </w:rPr>
        <w:t xml:space="preserve">adoption </w:t>
      </w:r>
      <w:r w:rsidR="009A3270" w:rsidRPr="0071782F">
        <w:rPr>
          <w:lang w:val="fr-CH"/>
        </w:rPr>
        <w:t>de méthodes éducatives appropriées</w:t>
      </w:r>
      <w:r w:rsidRPr="0071782F">
        <w:rPr>
          <w:lang w:val="fr-CH"/>
        </w:rPr>
        <w:t>, pr</w:t>
      </w:r>
      <w:r w:rsidR="009A3270" w:rsidRPr="0071782F">
        <w:rPr>
          <w:lang w:val="fr-CH"/>
        </w:rPr>
        <w:t>é</w:t>
      </w:r>
      <w:r w:rsidRPr="0071782F">
        <w:rPr>
          <w:lang w:val="fr-CH"/>
        </w:rPr>
        <w:t xml:space="preserve">vention </w:t>
      </w:r>
      <w:r w:rsidR="009A3270" w:rsidRPr="0071782F">
        <w:rPr>
          <w:lang w:val="fr-CH"/>
        </w:rPr>
        <w:t>de l’extension de centres spécialisés uniquement dans la santé mentale</w:t>
      </w:r>
      <w:r w:rsidRPr="0071782F">
        <w:rPr>
          <w:lang w:val="fr-CH"/>
        </w:rPr>
        <w:t xml:space="preserve">, </w:t>
      </w:r>
      <w:r w:rsidR="009A3270" w:rsidRPr="0071782F">
        <w:rPr>
          <w:lang w:val="fr-CH"/>
        </w:rPr>
        <w:t>attribution de</w:t>
      </w:r>
      <w:r w:rsidRPr="0071782F">
        <w:rPr>
          <w:lang w:val="fr-CH"/>
        </w:rPr>
        <w:t xml:space="preserve"> 10</w:t>
      </w:r>
      <w:r w:rsidR="007E5125" w:rsidRPr="0071782F">
        <w:rPr>
          <w:lang w:val="fr-CH"/>
        </w:rPr>
        <w:t>%</w:t>
      </w:r>
      <w:r w:rsidRPr="0071782F">
        <w:rPr>
          <w:lang w:val="fr-CH"/>
        </w:rPr>
        <w:t xml:space="preserve"> </w:t>
      </w:r>
      <w:r w:rsidR="009A3270" w:rsidRPr="0071782F">
        <w:rPr>
          <w:lang w:val="fr-CH"/>
        </w:rPr>
        <w:t xml:space="preserve">des lits des hôpitaux généraux aux départements de psychiatrie et organisation de la première </w:t>
      </w:r>
      <w:r w:rsidRPr="0071782F">
        <w:rPr>
          <w:lang w:val="fr-CH"/>
        </w:rPr>
        <w:t>conf</w:t>
      </w:r>
      <w:r w:rsidR="009A3270" w:rsidRPr="0071782F">
        <w:rPr>
          <w:lang w:val="fr-CH"/>
        </w:rPr>
        <w:t>é</w:t>
      </w:r>
      <w:r w:rsidRPr="0071782F">
        <w:rPr>
          <w:lang w:val="fr-CH"/>
        </w:rPr>
        <w:t xml:space="preserve">rence </w:t>
      </w:r>
      <w:r w:rsidR="009A3270" w:rsidRPr="0071782F">
        <w:rPr>
          <w:lang w:val="fr-CH"/>
        </w:rPr>
        <w:t xml:space="preserve">sur la santé </w:t>
      </w:r>
      <w:r w:rsidRPr="0071782F">
        <w:rPr>
          <w:lang w:val="fr-CH"/>
        </w:rPr>
        <w:t>mental</w:t>
      </w:r>
      <w:r w:rsidR="009A3270" w:rsidRPr="0071782F">
        <w:rPr>
          <w:lang w:val="fr-CH"/>
        </w:rPr>
        <w:t>e</w:t>
      </w:r>
      <w:r w:rsidRPr="0071782F">
        <w:rPr>
          <w:lang w:val="fr-CH"/>
        </w:rPr>
        <w:t>.</w:t>
      </w:r>
    </w:p>
    <w:p w:rsidR="00E5019F" w:rsidRPr="0071782F" w:rsidRDefault="00E5019F" w:rsidP="00E5019F">
      <w:pPr>
        <w:pStyle w:val="SingleTxtG"/>
        <w:ind w:left="1701"/>
        <w:rPr>
          <w:lang w:val="fr-CH"/>
        </w:rPr>
      </w:pPr>
      <w:r w:rsidRPr="0071782F">
        <w:rPr>
          <w:lang w:val="fr-CH"/>
        </w:rPr>
        <w:t>271.3.</w:t>
      </w:r>
      <w:r w:rsidRPr="0071782F">
        <w:rPr>
          <w:lang w:val="fr-CH"/>
        </w:rPr>
        <w:tab/>
        <w:t xml:space="preserve">Inauguration </w:t>
      </w:r>
      <w:r w:rsidR="001737AF" w:rsidRPr="0071782F">
        <w:rPr>
          <w:lang w:val="fr-CH"/>
        </w:rPr>
        <w:t>d’un service de psychiatrie psychosomatique à l’Hôpital de l’</w:t>
      </w:r>
      <w:r w:rsidRPr="0071782F">
        <w:rPr>
          <w:lang w:val="fr-CH"/>
        </w:rPr>
        <w:t xml:space="preserve">Imam Khomeini </w:t>
      </w:r>
      <w:r w:rsidR="001737AF" w:rsidRPr="0071782F">
        <w:rPr>
          <w:lang w:val="fr-CH"/>
        </w:rPr>
        <w:t>à l’</w:t>
      </w:r>
      <w:r w:rsidRPr="0071782F">
        <w:rPr>
          <w:lang w:val="fr-CH"/>
        </w:rPr>
        <w:t xml:space="preserve">occasion </w:t>
      </w:r>
      <w:r w:rsidR="001737AF" w:rsidRPr="0071782F">
        <w:rPr>
          <w:lang w:val="fr-CH"/>
        </w:rPr>
        <w:t xml:space="preserve">de la semaine de la santé en </w:t>
      </w:r>
      <w:r w:rsidRPr="0071782F">
        <w:rPr>
          <w:lang w:val="fr-CH"/>
        </w:rPr>
        <w:t xml:space="preserve">2009. </w:t>
      </w:r>
      <w:r w:rsidR="001737AF" w:rsidRPr="0071782F">
        <w:rPr>
          <w:lang w:val="fr-CH"/>
        </w:rPr>
        <w:t>L’ouverture de ce service a été le premier pas vers l’</w:t>
      </w:r>
      <w:r w:rsidRPr="0071782F">
        <w:rPr>
          <w:lang w:val="fr-CH"/>
        </w:rPr>
        <w:t>int</w:t>
      </w:r>
      <w:r w:rsidR="001737AF" w:rsidRPr="0071782F">
        <w:rPr>
          <w:lang w:val="fr-CH"/>
        </w:rPr>
        <w:t>é</w:t>
      </w:r>
      <w:r w:rsidRPr="0071782F">
        <w:rPr>
          <w:lang w:val="fr-CH"/>
        </w:rPr>
        <w:t xml:space="preserve">gration </w:t>
      </w:r>
      <w:r w:rsidR="001737AF" w:rsidRPr="0071782F">
        <w:rPr>
          <w:lang w:val="fr-CH"/>
        </w:rPr>
        <w:t>des salles de psychiatrie dans le système des hôpitaux généraux.</w:t>
      </w:r>
      <w:r w:rsidRPr="0071782F">
        <w:rPr>
          <w:lang w:val="fr-CH"/>
        </w:rPr>
        <w:t xml:space="preserve"> </w:t>
      </w:r>
    </w:p>
    <w:p w:rsidR="00E5019F" w:rsidRPr="0071782F" w:rsidRDefault="00E5019F" w:rsidP="00E5019F">
      <w:pPr>
        <w:pStyle w:val="SingleTxtG"/>
        <w:ind w:left="1701"/>
        <w:rPr>
          <w:lang w:val="fr-CH"/>
        </w:rPr>
      </w:pPr>
      <w:r w:rsidRPr="0071782F">
        <w:rPr>
          <w:lang w:val="fr-CH"/>
        </w:rPr>
        <w:t>271.4.</w:t>
      </w:r>
      <w:r w:rsidRPr="0071782F">
        <w:rPr>
          <w:lang w:val="fr-CH"/>
        </w:rPr>
        <w:tab/>
        <w:t xml:space="preserve">Formulation </w:t>
      </w:r>
      <w:r w:rsidR="004810DD" w:rsidRPr="0071782F">
        <w:rPr>
          <w:lang w:val="fr-CH"/>
        </w:rPr>
        <w:t xml:space="preserve">du </w:t>
      </w:r>
      <w:r w:rsidRPr="0071782F">
        <w:rPr>
          <w:lang w:val="fr-CH"/>
        </w:rPr>
        <w:t>program</w:t>
      </w:r>
      <w:r w:rsidR="004810DD" w:rsidRPr="0071782F">
        <w:rPr>
          <w:lang w:val="fr-CH"/>
        </w:rPr>
        <w:t>me national de</w:t>
      </w:r>
      <w:r w:rsidRPr="0071782F">
        <w:rPr>
          <w:lang w:val="fr-CH"/>
        </w:rPr>
        <w:t xml:space="preserve"> promotion </w:t>
      </w:r>
      <w:r w:rsidR="004810DD" w:rsidRPr="0071782F">
        <w:rPr>
          <w:lang w:val="fr-CH"/>
        </w:rPr>
        <w:t>des normes applicables aux cliniques et hôpitaux psychiatriques et adoption d’un certain nombre de mesures à cette fin, notamment l’</w:t>
      </w:r>
      <w:r w:rsidRPr="0071782F">
        <w:rPr>
          <w:lang w:val="fr-CH"/>
        </w:rPr>
        <w:t>ex</w:t>
      </w:r>
      <w:r w:rsidR="004810DD" w:rsidRPr="0071782F">
        <w:rPr>
          <w:lang w:val="fr-CH"/>
        </w:rPr>
        <w:t>é</w:t>
      </w:r>
      <w:r w:rsidRPr="0071782F">
        <w:rPr>
          <w:lang w:val="fr-CH"/>
        </w:rPr>
        <w:t xml:space="preserve">cution </w:t>
      </w:r>
      <w:r w:rsidR="004810DD" w:rsidRPr="0071782F">
        <w:rPr>
          <w:lang w:val="fr-CH"/>
        </w:rPr>
        <w:t xml:space="preserve">d’un projet de recherche initial sur l’évaluation des normes nécessaires, rédaction des normes initiales sur la base des normes </w:t>
      </w:r>
      <w:r w:rsidRPr="0071782F">
        <w:rPr>
          <w:lang w:val="fr-CH"/>
        </w:rPr>
        <w:t>international</w:t>
      </w:r>
      <w:r w:rsidR="004810DD" w:rsidRPr="0071782F">
        <w:rPr>
          <w:lang w:val="fr-CH"/>
        </w:rPr>
        <w:t xml:space="preserve">es et des </w:t>
      </w:r>
      <w:r w:rsidRPr="0071782F">
        <w:rPr>
          <w:lang w:val="fr-CH"/>
        </w:rPr>
        <w:t>limitations</w:t>
      </w:r>
      <w:r w:rsidR="004810DD" w:rsidRPr="0071782F">
        <w:rPr>
          <w:lang w:val="fr-CH"/>
        </w:rPr>
        <w:t xml:space="preserve"> nationales</w:t>
      </w:r>
      <w:r w:rsidRPr="0071782F">
        <w:rPr>
          <w:lang w:val="fr-CH"/>
        </w:rPr>
        <w:t xml:space="preserve">, </w:t>
      </w:r>
      <w:r w:rsidR="004810DD" w:rsidRPr="0071782F">
        <w:rPr>
          <w:lang w:val="fr-CH"/>
        </w:rPr>
        <w:t xml:space="preserve">organisation d’un atelier sur la </w:t>
      </w:r>
      <w:r w:rsidRPr="0071782F">
        <w:rPr>
          <w:lang w:val="fr-CH"/>
        </w:rPr>
        <w:t xml:space="preserve">promotion </w:t>
      </w:r>
      <w:r w:rsidR="004810DD" w:rsidRPr="0071782F">
        <w:rPr>
          <w:lang w:val="fr-CH"/>
        </w:rPr>
        <w:t>des services hospitaliers</w:t>
      </w:r>
      <w:r w:rsidRPr="0071782F">
        <w:rPr>
          <w:lang w:val="fr-CH"/>
        </w:rPr>
        <w:t xml:space="preserve">, </w:t>
      </w:r>
      <w:r w:rsidR="004810DD" w:rsidRPr="0071782F">
        <w:rPr>
          <w:lang w:val="fr-CH"/>
        </w:rPr>
        <w:t>établissement de listes de points à vérifier et application expérimentale de ces listes dans huit cliniques psychiatriques</w:t>
      </w:r>
      <w:r w:rsidRPr="0071782F">
        <w:rPr>
          <w:lang w:val="fr-CH"/>
        </w:rPr>
        <w:t>.</w:t>
      </w:r>
    </w:p>
    <w:p w:rsidR="00E5019F" w:rsidRPr="0071782F" w:rsidRDefault="00E5019F" w:rsidP="00E5019F">
      <w:pPr>
        <w:pStyle w:val="SingleTxtG"/>
        <w:ind w:left="1701"/>
        <w:rPr>
          <w:lang w:val="fr-CH"/>
        </w:rPr>
      </w:pPr>
      <w:r w:rsidRPr="0071782F">
        <w:rPr>
          <w:lang w:val="fr-CH"/>
        </w:rPr>
        <w:t>271.5.</w:t>
      </w:r>
      <w:r w:rsidRPr="0071782F">
        <w:rPr>
          <w:lang w:val="fr-CH"/>
        </w:rPr>
        <w:tab/>
        <w:t xml:space="preserve">Extension </w:t>
      </w:r>
      <w:r w:rsidR="00444153" w:rsidRPr="0071782F">
        <w:rPr>
          <w:lang w:val="fr-CH"/>
        </w:rPr>
        <w:t>du programme d’</w:t>
      </w:r>
      <w:r w:rsidR="00A62149" w:rsidRPr="0071782F">
        <w:rPr>
          <w:lang w:val="fr-CH"/>
        </w:rPr>
        <w:t>"</w:t>
      </w:r>
      <w:r w:rsidRPr="0071782F">
        <w:rPr>
          <w:lang w:val="fr-CH"/>
        </w:rPr>
        <w:t>int</w:t>
      </w:r>
      <w:r w:rsidR="00444153" w:rsidRPr="0071782F">
        <w:rPr>
          <w:lang w:val="fr-CH"/>
        </w:rPr>
        <w:t>é</w:t>
      </w:r>
      <w:r w:rsidRPr="0071782F">
        <w:rPr>
          <w:lang w:val="fr-CH"/>
        </w:rPr>
        <w:t xml:space="preserve">gration </w:t>
      </w:r>
      <w:r w:rsidR="00444153" w:rsidRPr="0071782F">
        <w:rPr>
          <w:lang w:val="fr-CH"/>
        </w:rPr>
        <w:t xml:space="preserve">de la santé </w:t>
      </w:r>
      <w:r w:rsidRPr="0071782F">
        <w:rPr>
          <w:lang w:val="fr-CH"/>
        </w:rPr>
        <w:t>mental</w:t>
      </w:r>
      <w:r w:rsidR="00444153" w:rsidRPr="0071782F">
        <w:rPr>
          <w:lang w:val="fr-CH"/>
        </w:rPr>
        <w:t>e</w:t>
      </w:r>
      <w:r w:rsidRPr="0071782F">
        <w:rPr>
          <w:lang w:val="fr-CH"/>
        </w:rPr>
        <w:t xml:space="preserve"> </w:t>
      </w:r>
      <w:r w:rsidR="00444153" w:rsidRPr="0071782F">
        <w:rPr>
          <w:lang w:val="fr-CH"/>
        </w:rPr>
        <w:t>dans le système de soins de santé primaires</w:t>
      </w:r>
      <w:r w:rsidR="00A62149" w:rsidRPr="0071782F">
        <w:rPr>
          <w:lang w:val="fr-CH"/>
        </w:rPr>
        <w:t>"</w:t>
      </w:r>
      <w:r w:rsidRPr="0071782F">
        <w:rPr>
          <w:lang w:val="fr-CH"/>
        </w:rPr>
        <w:t xml:space="preserve"> </w:t>
      </w:r>
      <w:r w:rsidR="00444153" w:rsidRPr="0071782F">
        <w:rPr>
          <w:lang w:val="fr-CH"/>
        </w:rPr>
        <w:t xml:space="preserve">dans la plupart des zones </w:t>
      </w:r>
      <w:r w:rsidRPr="0071782F">
        <w:rPr>
          <w:lang w:val="fr-CH"/>
        </w:rPr>
        <w:t>rural</w:t>
      </w:r>
      <w:r w:rsidR="00444153" w:rsidRPr="0071782F">
        <w:rPr>
          <w:lang w:val="fr-CH"/>
        </w:rPr>
        <w:t>es</w:t>
      </w:r>
      <w:r w:rsidRPr="0071782F">
        <w:rPr>
          <w:lang w:val="fr-CH"/>
        </w:rPr>
        <w:t xml:space="preserve"> </w:t>
      </w:r>
      <w:r w:rsidR="00444153" w:rsidRPr="0071782F">
        <w:rPr>
          <w:lang w:val="fr-CH"/>
        </w:rPr>
        <w:t xml:space="preserve">et dans certaines zones urbaines dans le cadre d’activités visant notamment à recenser, traiter, suivre et prendre en charge </w:t>
      </w:r>
      <w:r w:rsidR="00A233C2" w:rsidRPr="0071782F">
        <w:rPr>
          <w:lang w:val="fr-CH"/>
        </w:rPr>
        <w:t>les personnes</w:t>
      </w:r>
      <w:r w:rsidR="00444153" w:rsidRPr="0071782F">
        <w:rPr>
          <w:lang w:val="fr-CH"/>
        </w:rPr>
        <w:t xml:space="preserve"> atteintes de troubles mentaux et couvertes par le programme;</w:t>
      </w:r>
      <w:r w:rsidRPr="0071782F">
        <w:rPr>
          <w:lang w:val="fr-CH"/>
        </w:rPr>
        <w:t xml:space="preserve"> </w:t>
      </w:r>
      <w:r w:rsidR="00444153" w:rsidRPr="0071782F">
        <w:rPr>
          <w:lang w:val="fr-CH"/>
        </w:rPr>
        <w:t>é</w:t>
      </w:r>
      <w:r w:rsidRPr="0071782F">
        <w:rPr>
          <w:lang w:val="fr-CH"/>
        </w:rPr>
        <w:t xml:space="preserve">valuation </w:t>
      </w:r>
      <w:r w:rsidR="00444153" w:rsidRPr="0071782F">
        <w:rPr>
          <w:lang w:val="fr-CH"/>
        </w:rPr>
        <w:t>de l’</w:t>
      </w:r>
      <w:r w:rsidR="00A62149" w:rsidRPr="0071782F">
        <w:rPr>
          <w:lang w:val="fr-CH"/>
        </w:rPr>
        <w:t>"</w:t>
      </w:r>
      <w:r w:rsidRPr="0071782F">
        <w:rPr>
          <w:lang w:val="fr-CH"/>
        </w:rPr>
        <w:t>int</w:t>
      </w:r>
      <w:r w:rsidR="00444153" w:rsidRPr="0071782F">
        <w:rPr>
          <w:lang w:val="fr-CH"/>
        </w:rPr>
        <w:t>é</w:t>
      </w:r>
      <w:r w:rsidRPr="0071782F">
        <w:rPr>
          <w:lang w:val="fr-CH"/>
        </w:rPr>
        <w:t xml:space="preserve">gration </w:t>
      </w:r>
      <w:r w:rsidR="00444153" w:rsidRPr="0071782F">
        <w:rPr>
          <w:lang w:val="fr-CH"/>
        </w:rPr>
        <w:t xml:space="preserve">de la santé </w:t>
      </w:r>
      <w:r w:rsidRPr="0071782F">
        <w:rPr>
          <w:lang w:val="fr-CH"/>
        </w:rPr>
        <w:t>mental</w:t>
      </w:r>
      <w:r w:rsidR="00444153" w:rsidRPr="0071782F">
        <w:rPr>
          <w:lang w:val="fr-CH"/>
        </w:rPr>
        <w:t>e</w:t>
      </w:r>
      <w:r w:rsidR="00A62149" w:rsidRPr="0071782F">
        <w:rPr>
          <w:lang w:val="fr-CH"/>
        </w:rPr>
        <w:t>"</w:t>
      </w:r>
      <w:r w:rsidR="00444153" w:rsidRPr="0071782F">
        <w:rPr>
          <w:lang w:val="fr-CH"/>
        </w:rPr>
        <w:t>;</w:t>
      </w:r>
      <w:r w:rsidRPr="0071782F">
        <w:rPr>
          <w:lang w:val="fr-CH"/>
        </w:rPr>
        <w:t xml:space="preserve"> </w:t>
      </w:r>
      <w:r w:rsidR="00444153" w:rsidRPr="0071782F">
        <w:rPr>
          <w:lang w:val="fr-CH"/>
        </w:rPr>
        <w:t>élaboration d’un plan d’études sur les troubles mentaux à l’intention de médecins généralistes et du plan d’études correspondant au mastère de santé publique avec spécialisation en santé mentale; organisation d’ateliers sur la santé mentale à travers le pays,</w:t>
      </w:r>
      <w:r w:rsidRPr="0071782F">
        <w:rPr>
          <w:lang w:val="fr-CH"/>
        </w:rPr>
        <w:t xml:space="preserve"> etc. </w:t>
      </w:r>
    </w:p>
    <w:p w:rsidR="00E5019F" w:rsidRPr="0071782F" w:rsidRDefault="00E5019F" w:rsidP="00E5019F">
      <w:pPr>
        <w:pStyle w:val="SingleTxtG"/>
        <w:ind w:left="1701"/>
        <w:rPr>
          <w:lang w:val="fr-CH"/>
        </w:rPr>
      </w:pPr>
      <w:r w:rsidRPr="0071782F">
        <w:rPr>
          <w:lang w:val="fr-CH"/>
        </w:rPr>
        <w:t>271.6.</w:t>
      </w:r>
      <w:r w:rsidRPr="0071782F">
        <w:rPr>
          <w:lang w:val="fr-CH"/>
        </w:rPr>
        <w:tab/>
      </w:r>
      <w:r w:rsidR="00B45417" w:rsidRPr="0071782F">
        <w:rPr>
          <w:lang w:val="fr-CH"/>
        </w:rPr>
        <w:t xml:space="preserve">Élaboration et diffusion des programmes de </w:t>
      </w:r>
      <w:r w:rsidR="00A62149" w:rsidRPr="0071782F">
        <w:rPr>
          <w:lang w:val="fr-CH"/>
        </w:rPr>
        <w:t>"</w:t>
      </w:r>
      <w:r w:rsidR="00B45417" w:rsidRPr="0071782F">
        <w:rPr>
          <w:lang w:val="fr-CH"/>
        </w:rPr>
        <w:t>formation à la vie pratique</w:t>
      </w:r>
      <w:r w:rsidR="00A62149" w:rsidRPr="0071782F">
        <w:rPr>
          <w:lang w:val="fr-CH"/>
        </w:rPr>
        <w:t>"</w:t>
      </w:r>
      <w:r w:rsidRPr="0071782F">
        <w:rPr>
          <w:lang w:val="fr-CH"/>
        </w:rPr>
        <w:t xml:space="preserve"> </w:t>
      </w:r>
      <w:r w:rsidR="00B45417" w:rsidRPr="0071782F">
        <w:rPr>
          <w:lang w:val="fr-CH"/>
        </w:rPr>
        <w:t>et d’</w:t>
      </w:r>
      <w:r w:rsidR="00A62149" w:rsidRPr="0071782F">
        <w:rPr>
          <w:lang w:val="fr-CH"/>
        </w:rPr>
        <w:t>"</w:t>
      </w:r>
      <w:r w:rsidR="00B45417" w:rsidRPr="0071782F">
        <w:rPr>
          <w:lang w:val="fr-CH"/>
        </w:rPr>
        <w:t>acquisition des compétences nécessaires pour élever un enfant</w:t>
      </w:r>
      <w:r w:rsidR="00A62149" w:rsidRPr="0071782F">
        <w:rPr>
          <w:lang w:val="fr-CH"/>
        </w:rPr>
        <w:t>"</w:t>
      </w:r>
      <w:r w:rsidR="00B45417" w:rsidRPr="0071782F">
        <w:rPr>
          <w:lang w:val="fr-CH"/>
        </w:rPr>
        <w:t>, dont l’exécution a commencé en 2003 et 2004, respectivement</w:t>
      </w:r>
      <w:r w:rsidRPr="0071782F">
        <w:rPr>
          <w:lang w:val="fr-CH"/>
        </w:rPr>
        <w:t xml:space="preserve">; </w:t>
      </w:r>
      <w:r w:rsidR="00B45417" w:rsidRPr="0071782F">
        <w:rPr>
          <w:lang w:val="fr-CH"/>
        </w:rPr>
        <w:t>en une seule année (</w:t>
      </w:r>
      <w:r w:rsidRPr="0071782F">
        <w:rPr>
          <w:lang w:val="fr-CH"/>
        </w:rPr>
        <w:t>2007</w:t>
      </w:r>
      <w:r w:rsidR="00B45417" w:rsidRPr="0071782F">
        <w:rPr>
          <w:lang w:val="fr-CH"/>
        </w:rPr>
        <w:t>)</w:t>
      </w:r>
      <w:r w:rsidRPr="0071782F">
        <w:rPr>
          <w:lang w:val="fr-CH"/>
        </w:rPr>
        <w:t xml:space="preserve">, </w:t>
      </w:r>
      <w:r w:rsidR="00B45417" w:rsidRPr="0071782F">
        <w:rPr>
          <w:lang w:val="fr-CH"/>
        </w:rPr>
        <w:t xml:space="preserve">une formation a été dispensée dans le cadre de ces deux programmes à quelque </w:t>
      </w:r>
      <w:r w:rsidRPr="0071782F">
        <w:rPr>
          <w:lang w:val="fr-CH"/>
        </w:rPr>
        <w:t>10</w:t>
      </w:r>
      <w:r w:rsidR="00B45417" w:rsidRPr="0071782F">
        <w:rPr>
          <w:lang w:val="fr-CH"/>
        </w:rPr>
        <w:t> </w:t>
      </w:r>
      <w:r w:rsidRPr="0071782F">
        <w:rPr>
          <w:lang w:val="fr-CH"/>
        </w:rPr>
        <w:t>000</w:t>
      </w:r>
      <w:r w:rsidR="00FF1C6B" w:rsidRPr="0071782F">
        <w:rPr>
          <w:lang w:val="fr-CH"/>
        </w:rPr>
        <w:t> </w:t>
      </w:r>
      <w:r w:rsidR="00B45417" w:rsidRPr="0071782F">
        <w:rPr>
          <w:lang w:val="fr-CH"/>
        </w:rPr>
        <w:t>instructeurs</w:t>
      </w:r>
      <w:r w:rsidRPr="0071782F">
        <w:rPr>
          <w:lang w:val="fr-CH"/>
        </w:rPr>
        <w:t xml:space="preserve">, </w:t>
      </w:r>
      <w:r w:rsidR="00B45417" w:rsidRPr="0071782F">
        <w:rPr>
          <w:lang w:val="fr-CH"/>
        </w:rPr>
        <w:t xml:space="preserve">à </w:t>
      </w:r>
      <w:r w:rsidRPr="0071782F">
        <w:rPr>
          <w:lang w:val="fr-CH"/>
        </w:rPr>
        <w:t>110</w:t>
      </w:r>
      <w:r w:rsidR="00FF1C6B" w:rsidRPr="0071782F">
        <w:rPr>
          <w:lang w:val="fr-CH"/>
        </w:rPr>
        <w:t> </w:t>
      </w:r>
      <w:r w:rsidRPr="0071782F">
        <w:rPr>
          <w:lang w:val="fr-CH"/>
        </w:rPr>
        <w:t xml:space="preserve">000 </w:t>
      </w:r>
      <w:r w:rsidR="00B45417" w:rsidRPr="0071782F">
        <w:rPr>
          <w:lang w:val="fr-CH"/>
        </w:rPr>
        <w:t>stagiaires</w:t>
      </w:r>
      <w:r w:rsidRPr="0071782F">
        <w:rPr>
          <w:lang w:val="fr-CH"/>
        </w:rPr>
        <w:t xml:space="preserve">, </w:t>
      </w:r>
      <w:r w:rsidR="00B45417" w:rsidRPr="0071782F">
        <w:rPr>
          <w:lang w:val="fr-CH"/>
        </w:rPr>
        <w:t xml:space="preserve">à </w:t>
      </w:r>
      <w:r w:rsidRPr="0071782F">
        <w:rPr>
          <w:lang w:val="fr-CH"/>
        </w:rPr>
        <w:t>105</w:t>
      </w:r>
      <w:r w:rsidR="00FF1C6B" w:rsidRPr="0071782F">
        <w:rPr>
          <w:lang w:val="fr-CH"/>
        </w:rPr>
        <w:t> </w:t>
      </w:r>
      <w:r w:rsidRPr="0071782F">
        <w:rPr>
          <w:lang w:val="fr-CH"/>
        </w:rPr>
        <w:t xml:space="preserve">000 parents </w:t>
      </w:r>
      <w:r w:rsidR="00B45417" w:rsidRPr="0071782F">
        <w:rPr>
          <w:lang w:val="fr-CH"/>
        </w:rPr>
        <w:t xml:space="preserve">et à un grande </w:t>
      </w:r>
      <w:r w:rsidR="003B48A4" w:rsidRPr="0071782F">
        <w:rPr>
          <w:lang w:val="fr-CH"/>
        </w:rPr>
        <w:t>nombre</w:t>
      </w:r>
      <w:r w:rsidRPr="0071782F">
        <w:rPr>
          <w:lang w:val="fr-CH"/>
        </w:rPr>
        <w:t xml:space="preserve"> </w:t>
      </w:r>
      <w:r w:rsidR="00D82C96" w:rsidRPr="0071782F">
        <w:rPr>
          <w:lang w:val="fr-CH"/>
        </w:rPr>
        <w:t>de personnes</w:t>
      </w:r>
      <w:r w:rsidR="00B45417" w:rsidRPr="0071782F">
        <w:rPr>
          <w:lang w:val="fr-CH"/>
        </w:rPr>
        <w:t xml:space="preserve"> appartenant à d’autres segments de la population</w:t>
      </w:r>
      <w:r w:rsidRPr="0071782F">
        <w:rPr>
          <w:lang w:val="fr-CH"/>
        </w:rPr>
        <w:t>.</w:t>
      </w:r>
    </w:p>
    <w:p w:rsidR="00E5019F" w:rsidRPr="0071782F" w:rsidRDefault="00E5019F" w:rsidP="00E5019F">
      <w:pPr>
        <w:pStyle w:val="SingleTxtG"/>
        <w:ind w:left="1701"/>
        <w:rPr>
          <w:lang w:val="fr-CH"/>
        </w:rPr>
      </w:pPr>
      <w:r w:rsidRPr="0071782F">
        <w:rPr>
          <w:lang w:val="fr-CH"/>
        </w:rPr>
        <w:t>271.7.</w:t>
      </w:r>
      <w:r w:rsidRPr="0071782F">
        <w:rPr>
          <w:lang w:val="fr-CH"/>
        </w:rPr>
        <w:tab/>
        <w:t xml:space="preserve">Extension </w:t>
      </w:r>
      <w:r w:rsidR="00B45417" w:rsidRPr="0071782F">
        <w:rPr>
          <w:lang w:val="fr-CH"/>
        </w:rPr>
        <w:t xml:space="preserve">à huit </w:t>
      </w:r>
      <w:r w:rsidRPr="0071782F">
        <w:rPr>
          <w:lang w:val="fr-CH"/>
        </w:rPr>
        <w:t xml:space="preserve">provinces </w:t>
      </w:r>
      <w:r w:rsidR="00B45417" w:rsidRPr="0071782F">
        <w:rPr>
          <w:lang w:val="fr-CH"/>
        </w:rPr>
        <w:t xml:space="preserve">du </w:t>
      </w:r>
      <w:r w:rsidRPr="0071782F">
        <w:rPr>
          <w:lang w:val="fr-CH"/>
        </w:rPr>
        <w:t>program</w:t>
      </w:r>
      <w:r w:rsidR="00B45417" w:rsidRPr="0071782F">
        <w:rPr>
          <w:lang w:val="fr-CH"/>
        </w:rPr>
        <w:t xml:space="preserve">me de </w:t>
      </w:r>
      <w:r w:rsidRPr="0071782F">
        <w:rPr>
          <w:lang w:val="fr-CH"/>
        </w:rPr>
        <w:t>pr</w:t>
      </w:r>
      <w:r w:rsidR="00B45417" w:rsidRPr="0071782F">
        <w:rPr>
          <w:lang w:val="fr-CH"/>
        </w:rPr>
        <w:t>é</w:t>
      </w:r>
      <w:r w:rsidRPr="0071782F">
        <w:rPr>
          <w:lang w:val="fr-CH"/>
        </w:rPr>
        <w:t xml:space="preserve">vention </w:t>
      </w:r>
      <w:r w:rsidR="00B45417" w:rsidRPr="0071782F">
        <w:rPr>
          <w:lang w:val="fr-CH"/>
        </w:rPr>
        <w:t>du</w:t>
      </w:r>
      <w:r w:rsidRPr="0071782F">
        <w:rPr>
          <w:lang w:val="fr-CH"/>
        </w:rPr>
        <w:t xml:space="preserve"> suicide</w:t>
      </w:r>
      <w:r w:rsidR="00B45417" w:rsidRPr="0071782F">
        <w:rPr>
          <w:lang w:val="fr-CH"/>
        </w:rPr>
        <w:t xml:space="preserve">, qui avait été mis en route en 2001. Parmi les mesures adoptées à cette fin, on peut mentionner la révision des </w:t>
      </w:r>
      <w:r w:rsidRPr="0071782F">
        <w:rPr>
          <w:lang w:val="fr-CH"/>
        </w:rPr>
        <w:t>text</w:t>
      </w:r>
      <w:r w:rsidR="00B45417" w:rsidRPr="0071782F">
        <w:rPr>
          <w:lang w:val="fr-CH"/>
        </w:rPr>
        <w:t>e</w:t>
      </w:r>
      <w:r w:rsidRPr="0071782F">
        <w:rPr>
          <w:lang w:val="fr-CH"/>
        </w:rPr>
        <w:t>s u</w:t>
      </w:r>
      <w:r w:rsidR="00B45417" w:rsidRPr="0071782F">
        <w:rPr>
          <w:lang w:val="fr-CH"/>
        </w:rPr>
        <w:t>tilisés pour le diagnostic</w:t>
      </w:r>
      <w:r w:rsidRPr="0071782F">
        <w:rPr>
          <w:lang w:val="fr-CH"/>
        </w:rPr>
        <w:t xml:space="preserve"> </w:t>
      </w:r>
      <w:r w:rsidR="00B45417" w:rsidRPr="0071782F">
        <w:rPr>
          <w:lang w:val="fr-CH"/>
        </w:rPr>
        <w:t xml:space="preserve">et le traitement de la </w:t>
      </w:r>
      <w:r w:rsidRPr="0071782F">
        <w:rPr>
          <w:lang w:val="fr-CH"/>
        </w:rPr>
        <w:t>d</w:t>
      </w:r>
      <w:r w:rsidR="00B45417" w:rsidRPr="0071782F">
        <w:rPr>
          <w:lang w:val="fr-CH"/>
        </w:rPr>
        <w:t>é</w:t>
      </w:r>
      <w:r w:rsidRPr="0071782F">
        <w:rPr>
          <w:lang w:val="fr-CH"/>
        </w:rPr>
        <w:t xml:space="preserve">pression, </w:t>
      </w:r>
      <w:r w:rsidR="00B45417" w:rsidRPr="0071782F">
        <w:rPr>
          <w:lang w:val="fr-CH"/>
        </w:rPr>
        <w:t>l’</w:t>
      </w:r>
      <w:r w:rsidRPr="0071782F">
        <w:rPr>
          <w:lang w:val="fr-CH"/>
        </w:rPr>
        <w:t>int</w:t>
      </w:r>
      <w:r w:rsidR="00B45417" w:rsidRPr="0071782F">
        <w:rPr>
          <w:lang w:val="fr-CH"/>
        </w:rPr>
        <w:t>é</w:t>
      </w:r>
      <w:r w:rsidRPr="0071782F">
        <w:rPr>
          <w:lang w:val="fr-CH"/>
        </w:rPr>
        <w:t xml:space="preserve">gration </w:t>
      </w:r>
      <w:r w:rsidR="00B45417" w:rsidRPr="0071782F">
        <w:rPr>
          <w:lang w:val="fr-CH"/>
        </w:rPr>
        <w:t xml:space="preserve">du programme de prévention du </w:t>
      </w:r>
      <w:r w:rsidRPr="0071782F">
        <w:rPr>
          <w:lang w:val="fr-CH"/>
        </w:rPr>
        <w:t xml:space="preserve">suicide </w:t>
      </w:r>
      <w:r w:rsidR="00B45417" w:rsidRPr="0071782F">
        <w:rPr>
          <w:lang w:val="fr-CH"/>
        </w:rPr>
        <w:t>dans le plan relatif aux médecins traitants</w:t>
      </w:r>
      <w:r w:rsidRPr="0071782F">
        <w:rPr>
          <w:lang w:val="fr-CH"/>
        </w:rPr>
        <w:t>,</w:t>
      </w:r>
      <w:r w:rsidR="00B45417" w:rsidRPr="0071782F">
        <w:rPr>
          <w:lang w:val="fr-CH"/>
        </w:rPr>
        <w:t xml:space="preserve"> la</w:t>
      </w:r>
      <w:r w:rsidRPr="0071782F">
        <w:rPr>
          <w:lang w:val="fr-CH"/>
        </w:rPr>
        <w:t xml:space="preserve"> formulation </w:t>
      </w:r>
      <w:r w:rsidR="00B45417" w:rsidRPr="0071782F">
        <w:rPr>
          <w:lang w:val="fr-CH"/>
        </w:rPr>
        <w:t>du programme intégré de prévention du suicide pour les régions à haut risque</w:t>
      </w:r>
      <w:r w:rsidRPr="0071782F">
        <w:rPr>
          <w:lang w:val="fr-CH"/>
        </w:rPr>
        <w:t xml:space="preserve">, </w:t>
      </w:r>
      <w:r w:rsidR="00B45417" w:rsidRPr="0071782F">
        <w:rPr>
          <w:lang w:val="fr-CH"/>
        </w:rPr>
        <w:t xml:space="preserve">la collecte et l’enregistrement de données sur les décès par </w:t>
      </w:r>
      <w:r w:rsidRPr="0071782F">
        <w:rPr>
          <w:lang w:val="fr-CH"/>
        </w:rPr>
        <w:t xml:space="preserve">suicide, </w:t>
      </w:r>
      <w:r w:rsidR="00B45417" w:rsidRPr="0071782F">
        <w:rPr>
          <w:lang w:val="fr-CH"/>
        </w:rPr>
        <w:t xml:space="preserve">la mise en place du système d’enregistrement coordonné des données sur le suicide depuis </w:t>
      </w:r>
      <w:r w:rsidRPr="0071782F">
        <w:rPr>
          <w:lang w:val="fr-CH"/>
        </w:rPr>
        <w:t xml:space="preserve">2008, </w:t>
      </w:r>
      <w:r w:rsidR="00B45417" w:rsidRPr="0071782F">
        <w:rPr>
          <w:lang w:val="fr-CH"/>
        </w:rPr>
        <w:t xml:space="preserve">l’exécution expérimentale du programme de </w:t>
      </w:r>
      <w:r w:rsidR="00A62149" w:rsidRPr="0071782F">
        <w:rPr>
          <w:lang w:val="fr-CH"/>
        </w:rPr>
        <w:t>"</w:t>
      </w:r>
      <w:r w:rsidR="00B45417" w:rsidRPr="0071782F">
        <w:rPr>
          <w:lang w:val="fr-CH"/>
        </w:rPr>
        <w:t xml:space="preserve">prévention intégrée du </w:t>
      </w:r>
      <w:r w:rsidRPr="0071782F">
        <w:rPr>
          <w:lang w:val="fr-CH"/>
        </w:rPr>
        <w:t xml:space="preserve">suicide </w:t>
      </w:r>
      <w:r w:rsidR="00B45417" w:rsidRPr="0071782F">
        <w:rPr>
          <w:lang w:val="fr-CH"/>
        </w:rPr>
        <w:t>dans les SSP</w:t>
      </w:r>
      <w:r w:rsidR="00A62149" w:rsidRPr="0071782F">
        <w:rPr>
          <w:lang w:val="fr-CH"/>
        </w:rPr>
        <w:t>"</w:t>
      </w:r>
      <w:r w:rsidRPr="0071782F">
        <w:rPr>
          <w:lang w:val="fr-CH"/>
        </w:rPr>
        <w:t xml:space="preserve"> </w:t>
      </w:r>
      <w:r w:rsidR="00B45417" w:rsidRPr="0071782F">
        <w:rPr>
          <w:lang w:val="fr-CH"/>
        </w:rPr>
        <w:t>et l’exé</w:t>
      </w:r>
      <w:r w:rsidRPr="0071782F">
        <w:rPr>
          <w:lang w:val="fr-CH"/>
        </w:rPr>
        <w:t xml:space="preserve">cution </w:t>
      </w:r>
      <w:r w:rsidR="00B45417" w:rsidRPr="0071782F">
        <w:rPr>
          <w:lang w:val="fr-CH"/>
        </w:rPr>
        <w:t xml:space="preserve">du plan général de prévention du </w:t>
      </w:r>
      <w:r w:rsidRPr="0071782F">
        <w:rPr>
          <w:lang w:val="fr-CH"/>
        </w:rPr>
        <w:t xml:space="preserve">suicide </w:t>
      </w:r>
      <w:r w:rsidR="00B45417" w:rsidRPr="0071782F">
        <w:rPr>
          <w:lang w:val="fr-CH"/>
        </w:rPr>
        <w:t>dans les résidences d’étudiants</w:t>
      </w:r>
      <w:r w:rsidRPr="0071782F">
        <w:rPr>
          <w:lang w:val="fr-CH"/>
        </w:rPr>
        <w:t>, etc.</w:t>
      </w:r>
    </w:p>
    <w:p w:rsidR="00E5019F" w:rsidRPr="0071782F" w:rsidRDefault="00E5019F" w:rsidP="00E5019F">
      <w:pPr>
        <w:pStyle w:val="SingleTxtG"/>
        <w:ind w:left="1701"/>
        <w:rPr>
          <w:lang w:val="fr-CH"/>
        </w:rPr>
      </w:pPr>
      <w:r w:rsidRPr="0071782F">
        <w:rPr>
          <w:lang w:val="fr-CH"/>
        </w:rPr>
        <w:t>271.8.</w:t>
      </w:r>
      <w:r w:rsidRPr="0071782F">
        <w:rPr>
          <w:lang w:val="fr-CH"/>
        </w:rPr>
        <w:tab/>
      </w:r>
      <w:r w:rsidR="00B45417" w:rsidRPr="0071782F">
        <w:rPr>
          <w:lang w:val="fr-CH"/>
        </w:rPr>
        <w:t xml:space="preserve">Élaboration d’un projet de loi sur la santé </w:t>
      </w:r>
      <w:r w:rsidRPr="0071782F">
        <w:rPr>
          <w:lang w:val="fr-CH"/>
        </w:rPr>
        <w:t>mental</w:t>
      </w:r>
      <w:r w:rsidR="00B45417" w:rsidRPr="0071782F">
        <w:rPr>
          <w:lang w:val="fr-CH"/>
        </w:rPr>
        <w:t>e</w:t>
      </w:r>
      <w:r w:rsidRPr="0071782F">
        <w:rPr>
          <w:lang w:val="fr-CH"/>
        </w:rPr>
        <w:t xml:space="preserve">, </w:t>
      </w:r>
      <w:r w:rsidR="00B45417" w:rsidRPr="0071782F">
        <w:rPr>
          <w:lang w:val="fr-CH"/>
        </w:rPr>
        <w:t>rédaction et application expérimentale d’un protocole de services de santé mentale de postcure pour les malades mentaux, mise en service d’un centre communautaire de santé mentale et fourniture permanente d’une assistance dans les domaines de la santé mentale et sociale dans les situations d’urgence.</w:t>
      </w:r>
    </w:p>
    <w:p w:rsidR="00E5019F" w:rsidRPr="0071782F" w:rsidRDefault="00E5019F" w:rsidP="00E5019F">
      <w:pPr>
        <w:pStyle w:val="H1G"/>
        <w:rPr>
          <w:lang w:val="fr-CH"/>
        </w:rPr>
      </w:pPr>
      <w:r w:rsidRPr="0071782F">
        <w:rPr>
          <w:lang w:val="fr-CH"/>
        </w:rPr>
        <w:tab/>
      </w:r>
      <w:r w:rsidRPr="0071782F">
        <w:rPr>
          <w:lang w:val="fr-CH"/>
        </w:rPr>
        <w:tab/>
        <w:t>Pr</w:t>
      </w:r>
      <w:r w:rsidR="00B45417" w:rsidRPr="0071782F">
        <w:rPr>
          <w:lang w:val="fr-CH"/>
        </w:rPr>
        <w:t>é</w:t>
      </w:r>
      <w:r w:rsidRPr="0071782F">
        <w:rPr>
          <w:lang w:val="fr-CH"/>
        </w:rPr>
        <w:t xml:space="preserve">vention </w:t>
      </w:r>
      <w:r w:rsidR="00B45417" w:rsidRPr="0071782F">
        <w:rPr>
          <w:lang w:val="fr-CH"/>
        </w:rPr>
        <w:t xml:space="preserve">et traitement de la toxicomanie </w:t>
      </w:r>
    </w:p>
    <w:p w:rsidR="00E5019F" w:rsidRPr="0071782F" w:rsidRDefault="00E5019F" w:rsidP="00E5019F">
      <w:pPr>
        <w:pStyle w:val="SingleTxtG"/>
        <w:rPr>
          <w:lang w:val="fr-CH"/>
        </w:rPr>
      </w:pPr>
      <w:r w:rsidRPr="0071782F">
        <w:rPr>
          <w:lang w:val="fr-CH"/>
        </w:rPr>
        <w:t>272.</w:t>
      </w:r>
      <w:r w:rsidRPr="0071782F">
        <w:rPr>
          <w:lang w:val="fr-CH"/>
        </w:rPr>
        <w:tab/>
      </w:r>
      <w:r w:rsidR="00B247E6"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272.1.</w:t>
      </w:r>
      <w:r w:rsidRPr="0071782F">
        <w:rPr>
          <w:lang w:val="fr-CH"/>
        </w:rPr>
        <w:tab/>
      </w:r>
      <w:r w:rsidR="00B45417" w:rsidRPr="0071782F">
        <w:rPr>
          <w:lang w:val="fr-CH"/>
        </w:rPr>
        <w:t xml:space="preserve">Pour traiter la toxicomanie, on a créé dans les facultés de médecine </w:t>
      </w:r>
      <w:r w:rsidRPr="0071782F">
        <w:rPr>
          <w:lang w:val="fr-CH"/>
        </w:rPr>
        <w:t>133</w:t>
      </w:r>
      <w:r w:rsidR="00E83264" w:rsidRPr="0071782F">
        <w:rPr>
          <w:lang w:val="fr-CH"/>
        </w:rPr>
        <w:t> unités</w:t>
      </w:r>
      <w:r w:rsidR="00B45417" w:rsidRPr="0071782F">
        <w:rPr>
          <w:lang w:val="fr-CH"/>
        </w:rPr>
        <w:t xml:space="preserve"> publiques de traitement </w:t>
      </w:r>
      <w:r w:rsidR="002C27BF" w:rsidRPr="0071782F">
        <w:rPr>
          <w:lang w:val="fr-CH"/>
        </w:rPr>
        <w:t>d’entretien</w:t>
      </w:r>
      <w:r w:rsidR="00B45417" w:rsidRPr="0071782F">
        <w:rPr>
          <w:lang w:val="fr-CH"/>
        </w:rPr>
        <w:t xml:space="preserve"> à la méthadone qui</w:t>
      </w:r>
      <w:r w:rsidRPr="0071782F">
        <w:rPr>
          <w:lang w:val="fr-CH"/>
        </w:rPr>
        <w:t xml:space="preserve"> </w:t>
      </w:r>
      <w:r w:rsidR="00B45417" w:rsidRPr="0071782F">
        <w:rPr>
          <w:lang w:val="fr-CH"/>
        </w:rPr>
        <w:t xml:space="preserve">accueillent </w:t>
      </w:r>
      <w:r w:rsidRPr="0071782F">
        <w:rPr>
          <w:lang w:val="fr-CH"/>
        </w:rPr>
        <w:t>92</w:t>
      </w:r>
      <w:r w:rsidR="00586EBA">
        <w:rPr>
          <w:lang w:val="fr-CH"/>
        </w:rPr>
        <w:t> 000 </w:t>
      </w:r>
      <w:r w:rsidR="00B45417" w:rsidRPr="0071782F">
        <w:rPr>
          <w:lang w:val="fr-CH"/>
        </w:rPr>
        <w:t>patients. En outre, on a fourni les moyens nécessaires à la création de centres privés de traitement de la toxicomanie.</w:t>
      </w:r>
      <w:r w:rsidRPr="0071782F">
        <w:rPr>
          <w:lang w:val="fr-CH"/>
        </w:rPr>
        <w:t xml:space="preserve"> </w:t>
      </w:r>
      <w:r w:rsidR="00B45417" w:rsidRPr="0071782F">
        <w:rPr>
          <w:lang w:val="fr-CH"/>
        </w:rPr>
        <w:t xml:space="preserve">Sept facultés de médecine ont ouvert des centres de formation au traitement </w:t>
      </w:r>
      <w:r w:rsidR="002C27BF" w:rsidRPr="0071782F">
        <w:rPr>
          <w:lang w:val="fr-CH"/>
        </w:rPr>
        <w:t>d’entretien</w:t>
      </w:r>
      <w:r w:rsidR="00B45417" w:rsidRPr="0071782F">
        <w:rPr>
          <w:lang w:val="fr-CH"/>
        </w:rPr>
        <w:t xml:space="preserve"> à la méthadone</w:t>
      </w:r>
      <w:r w:rsidRPr="0071782F">
        <w:rPr>
          <w:lang w:val="fr-CH"/>
        </w:rPr>
        <w:t xml:space="preserve">. </w:t>
      </w:r>
      <w:r w:rsidR="00B45417" w:rsidRPr="0071782F">
        <w:rPr>
          <w:lang w:val="fr-CH"/>
        </w:rPr>
        <w:t>Par ailleurs, l’ouverture de 80 nouvelles cliniques de consultations pour le traitement du tabagisme a porté le nombre de ces cliniques à 140.</w:t>
      </w:r>
    </w:p>
    <w:p w:rsidR="00E5019F" w:rsidRPr="0071782F" w:rsidRDefault="00E5019F" w:rsidP="00E5019F">
      <w:pPr>
        <w:pStyle w:val="SingleTxtG"/>
        <w:ind w:left="1701"/>
        <w:rPr>
          <w:lang w:val="fr-CH"/>
        </w:rPr>
      </w:pPr>
      <w:r w:rsidRPr="0071782F">
        <w:rPr>
          <w:lang w:val="fr-CH"/>
        </w:rPr>
        <w:t>272.2.</w:t>
      </w:r>
      <w:r w:rsidRPr="0071782F">
        <w:rPr>
          <w:lang w:val="fr-CH"/>
        </w:rPr>
        <w:tab/>
      </w:r>
      <w:r w:rsidR="00B45417" w:rsidRPr="0071782F">
        <w:rPr>
          <w:lang w:val="fr-CH"/>
        </w:rPr>
        <w:t xml:space="preserve">Pour traiter l’abus de substances psychotropes, on a ouvert cinq centres de traitement de l’abus de </w:t>
      </w:r>
      <w:r w:rsidR="00B247E6" w:rsidRPr="0071782F">
        <w:rPr>
          <w:lang w:val="fr-CH"/>
        </w:rPr>
        <w:t xml:space="preserve">ces </w:t>
      </w:r>
      <w:r w:rsidR="00B45417" w:rsidRPr="0071782F">
        <w:rPr>
          <w:lang w:val="fr-CH"/>
        </w:rPr>
        <w:t xml:space="preserve">substances dans cinq grandes villes du pays en 2008 et l’on a pris les mesures nécessaires à la formation de leur personnel. De plus, on a organisé à l’intention des médecins un certain nombre de programmes de formation au traitement de la toxicomanie et l’on a élaboré des </w:t>
      </w:r>
      <w:r w:rsidRPr="0071782F">
        <w:rPr>
          <w:lang w:val="fr-CH"/>
        </w:rPr>
        <w:t xml:space="preserve">instructions </w:t>
      </w:r>
      <w:r w:rsidR="00B45417" w:rsidRPr="0071782F">
        <w:rPr>
          <w:lang w:val="fr-CH"/>
        </w:rPr>
        <w:t>relatives à la prestation de services dans ce domaine</w:t>
      </w:r>
      <w:r w:rsidRPr="0071782F">
        <w:rPr>
          <w:lang w:val="fr-CH"/>
        </w:rPr>
        <w:t>.</w:t>
      </w:r>
    </w:p>
    <w:p w:rsidR="00E5019F" w:rsidRPr="0071782F" w:rsidRDefault="00E5019F" w:rsidP="00E5019F">
      <w:pPr>
        <w:pStyle w:val="SingleTxtG"/>
        <w:ind w:left="1701"/>
        <w:rPr>
          <w:lang w:val="fr-CH"/>
        </w:rPr>
      </w:pPr>
      <w:r w:rsidRPr="0071782F">
        <w:rPr>
          <w:lang w:val="fr-CH"/>
        </w:rPr>
        <w:t>272.3.</w:t>
      </w:r>
      <w:r w:rsidRPr="0071782F">
        <w:rPr>
          <w:lang w:val="fr-CH"/>
        </w:rPr>
        <w:tab/>
        <w:t xml:space="preserve">Extension </w:t>
      </w:r>
      <w:r w:rsidR="002C27BF" w:rsidRPr="0071782F">
        <w:rPr>
          <w:lang w:val="fr-CH"/>
        </w:rPr>
        <w:t>de trois à 10 villes du programme d’</w:t>
      </w:r>
      <w:r w:rsidRPr="0071782F">
        <w:rPr>
          <w:lang w:val="fr-CH"/>
        </w:rPr>
        <w:t>int</w:t>
      </w:r>
      <w:r w:rsidR="002C27BF" w:rsidRPr="0071782F">
        <w:rPr>
          <w:lang w:val="fr-CH"/>
        </w:rPr>
        <w:t>é</w:t>
      </w:r>
      <w:r w:rsidRPr="0071782F">
        <w:rPr>
          <w:lang w:val="fr-CH"/>
        </w:rPr>
        <w:t xml:space="preserve">gration </w:t>
      </w:r>
      <w:r w:rsidR="002C27BF" w:rsidRPr="0071782F">
        <w:rPr>
          <w:lang w:val="fr-CH"/>
        </w:rPr>
        <w:t>de la prévention et du traitement de la toxicomanie dans le système de soins de</w:t>
      </w:r>
      <w:r w:rsidR="000613AA">
        <w:rPr>
          <w:lang w:val="fr-CH"/>
        </w:rPr>
        <w:t xml:space="preserve"> santé primaires entre </w:t>
      </w:r>
      <w:r w:rsidRPr="0071782F">
        <w:rPr>
          <w:lang w:val="fr-CH"/>
        </w:rPr>
        <w:t xml:space="preserve">2005 </w:t>
      </w:r>
      <w:r w:rsidR="002C27BF" w:rsidRPr="0071782F">
        <w:rPr>
          <w:lang w:val="fr-CH"/>
        </w:rPr>
        <w:t xml:space="preserve">et </w:t>
      </w:r>
      <w:r w:rsidRPr="0071782F">
        <w:rPr>
          <w:lang w:val="fr-CH"/>
        </w:rPr>
        <w:t>2008, pr</w:t>
      </w:r>
      <w:r w:rsidR="002C27BF" w:rsidRPr="0071782F">
        <w:rPr>
          <w:lang w:val="fr-CH"/>
        </w:rPr>
        <w:t>estation de services de consultation</w:t>
      </w:r>
      <w:r w:rsidR="00B247E6" w:rsidRPr="0071782F">
        <w:rPr>
          <w:lang w:val="fr-CH"/>
        </w:rPr>
        <w:t>s</w:t>
      </w:r>
      <w:r w:rsidR="002C27BF" w:rsidRPr="0071782F">
        <w:rPr>
          <w:lang w:val="fr-CH"/>
        </w:rPr>
        <w:t xml:space="preserve"> individuelle</w:t>
      </w:r>
      <w:r w:rsidR="00B247E6" w:rsidRPr="0071782F">
        <w:rPr>
          <w:lang w:val="fr-CH"/>
        </w:rPr>
        <w:t>s</w:t>
      </w:r>
      <w:r w:rsidR="002C27BF" w:rsidRPr="0071782F">
        <w:rPr>
          <w:lang w:val="fr-CH"/>
        </w:rPr>
        <w:t xml:space="preserve"> et d’éducation collective à 220</w:t>
      </w:r>
      <w:r w:rsidR="00FF1C6B" w:rsidRPr="0071782F">
        <w:rPr>
          <w:lang w:val="fr-CH"/>
        </w:rPr>
        <w:t> </w:t>
      </w:r>
      <w:r w:rsidRPr="0071782F">
        <w:rPr>
          <w:lang w:val="fr-CH"/>
        </w:rPr>
        <w:t>000</w:t>
      </w:r>
      <w:r w:rsidR="00097CDB" w:rsidRPr="0071782F">
        <w:rPr>
          <w:lang w:val="fr-CH"/>
        </w:rPr>
        <w:t> personnes</w:t>
      </w:r>
      <w:r w:rsidR="002C27BF" w:rsidRPr="0071782F">
        <w:rPr>
          <w:lang w:val="fr-CH"/>
        </w:rPr>
        <w:t xml:space="preserve"> dans le cadre du Programme de formation à la vie pratique et de sensibilisation </w:t>
      </w:r>
      <w:r w:rsidRPr="0071782F">
        <w:rPr>
          <w:lang w:val="fr-CH"/>
        </w:rPr>
        <w:t>(</w:t>
      </w:r>
      <w:r w:rsidR="002C27BF" w:rsidRPr="0071782F">
        <w:rPr>
          <w:lang w:val="fr-CH"/>
        </w:rPr>
        <w:t xml:space="preserve">qui couvre </w:t>
      </w:r>
      <w:r w:rsidRPr="0071782F">
        <w:rPr>
          <w:lang w:val="fr-CH"/>
        </w:rPr>
        <w:t>19</w:t>
      </w:r>
      <w:r w:rsidR="002C27BF" w:rsidRPr="0071782F">
        <w:rPr>
          <w:lang w:val="fr-CH"/>
        </w:rPr>
        <w:t>,</w:t>
      </w:r>
      <w:r w:rsidRPr="0071782F">
        <w:rPr>
          <w:lang w:val="fr-CH"/>
        </w:rPr>
        <w:t>2</w:t>
      </w:r>
      <w:r w:rsidR="007E5125" w:rsidRPr="0071782F">
        <w:rPr>
          <w:lang w:val="fr-CH"/>
        </w:rPr>
        <w:t>%</w:t>
      </w:r>
      <w:r w:rsidR="002C27BF" w:rsidRPr="0071782F">
        <w:rPr>
          <w:lang w:val="fr-CH"/>
        </w:rPr>
        <w:t xml:space="preserve"> de la </w:t>
      </w:r>
      <w:r w:rsidRPr="0071782F">
        <w:rPr>
          <w:lang w:val="fr-CH"/>
        </w:rPr>
        <w:t xml:space="preserve">population), </w:t>
      </w:r>
      <w:r w:rsidR="002C27BF" w:rsidRPr="0071782F">
        <w:rPr>
          <w:lang w:val="fr-CH"/>
        </w:rPr>
        <w:t xml:space="preserve">utilisation de services de désintoxication par </w:t>
      </w:r>
      <w:r w:rsidRPr="0071782F">
        <w:rPr>
          <w:lang w:val="fr-CH"/>
        </w:rPr>
        <w:t>7</w:t>
      </w:r>
      <w:r w:rsidR="00FF1C6B" w:rsidRPr="0071782F">
        <w:rPr>
          <w:lang w:val="fr-CH"/>
        </w:rPr>
        <w:t> </w:t>
      </w:r>
      <w:r w:rsidRPr="0071782F">
        <w:rPr>
          <w:lang w:val="fr-CH"/>
        </w:rPr>
        <w:t>100 patients</w:t>
      </w:r>
      <w:r w:rsidR="002C27BF" w:rsidRPr="0071782F">
        <w:rPr>
          <w:lang w:val="fr-CH"/>
        </w:rPr>
        <w:t xml:space="preserve"> et incorporation de ce programme dans le système de SSP et le Plan relatif aux médecins traitants</w:t>
      </w:r>
      <w:r w:rsidRPr="0071782F">
        <w:rPr>
          <w:lang w:val="fr-CH"/>
        </w:rPr>
        <w:t>.</w:t>
      </w:r>
    </w:p>
    <w:p w:rsidR="00E5019F" w:rsidRPr="0071782F" w:rsidRDefault="00E5019F" w:rsidP="00E5019F">
      <w:pPr>
        <w:pStyle w:val="SingleTxtG"/>
        <w:ind w:left="1701"/>
        <w:rPr>
          <w:lang w:val="fr-CH"/>
        </w:rPr>
      </w:pPr>
      <w:r w:rsidRPr="0071782F">
        <w:rPr>
          <w:lang w:val="fr-CH"/>
        </w:rPr>
        <w:t>272.4.</w:t>
      </w:r>
      <w:r w:rsidRPr="0071782F">
        <w:rPr>
          <w:lang w:val="fr-CH"/>
        </w:rPr>
        <w:tab/>
      </w:r>
      <w:r w:rsidR="002C27BF" w:rsidRPr="0071782F">
        <w:rPr>
          <w:lang w:val="fr-CH"/>
        </w:rPr>
        <w:t xml:space="preserve">Augmentation du </w:t>
      </w:r>
      <w:r w:rsidR="003B48A4" w:rsidRPr="0071782F">
        <w:rPr>
          <w:lang w:val="fr-CH"/>
        </w:rPr>
        <w:t>nombre</w:t>
      </w:r>
      <w:r w:rsidRPr="0071782F">
        <w:rPr>
          <w:lang w:val="fr-CH"/>
        </w:rPr>
        <w:t xml:space="preserve"> </w:t>
      </w:r>
      <w:r w:rsidR="002C27BF" w:rsidRPr="0071782F">
        <w:rPr>
          <w:lang w:val="fr-CH"/>
        </w:rPr>
        <w:t xml:space="preserve">des centres de traitement de la toxicomanie, passé de </w:t>
      </w:r>
      <w:r w:rsidRPr="0071782F">
        <w:rPr>
          <w:lang w:val="fr-CH"/>
        </w:rPr>
        <w:t xml:space="preserve">294 </w:t>
      </w:r>
      <w:r w:rsidR="002C27BF" w:rsidRPr="0071782F">
        <w:rPr>
          <w:lang w:val="fr-CH"/>
        </w:rPr>
        <w:t xml:space="preserve">à </w:t>
      </w:r>
      <w:r w:rsidRPr="0071782F">
        <w:rPr>
          <w:lang w:val="fr-CH"/>
        </w:rPr>
        <w:t>1</w:t>
      </w:r>
      <w:r w:rsidR="00FF1C6B" w:rsidRPr="0071782F">
        <w:rPr>
          <w:lang w:val="fr-CH"/>
        </w:rPr>
        <w:t> </w:t>
      </w:r>
      <w:r w:rsidRPr="0071782F">
        <w:rPr>
          <w:lang w:val="fr-CH"/>
        </w:rPr>
        <w:t xml:space="preserve">100, </w:t>
      </w:r>
      <w:r w:rsidR="002C27BF" w:rsidRPr="0071782F">
        <w:rPr>
          <w:lang w:val="fr-CH"/>
        </w:rPr>
        <w:t xml:space="preserve">de celui des centres d’accueil, passé de </w:t>
      </w:r>
      <w:r w:rsidRPr="0071782F">
        <w:rPr>
          <w:lang w:val="fr-CH"/>
        </w:rPr>
        <w:t xml:space="preserve">12 </w:t>
      </w:r>
      <w:r w:rsidR="002C27BF" w:rsidRPr="0071782F">
        <w:rPr>
          <w:lang w:val="fr-CH"/>
        </w:rPr>
        <w:t>à</w:t>
      </w:r>
      <w:r w:rsidRPr="0071782F">
        <w:rPr>
          <w:lang w:val="fr-CH"/>
        </w:rPr>
        <w:t xml:space="preserve"> 71, </w:t>
      </w:r>
      <w:r w:rsidR="002C27BF" w:rsidRPr="0071782F">
        <w:rPr>
          <w:lang w:val="fr-CH"/>
        </w:rPr>
        <w:t xml:space="preserve">de celui des équipes mobiles d’assistance, passé de </w:t>
      </w:r>
      <w:r w:rsidRPr="0071782F">
        <w:rPr>
          <w:lang w:val="fr-CH"/>
        </w:rPr>
        <w:t xml:space="preserve">20 </w:t>
      </w:r>
      <w:r w:rsidR="002C27BF" w:rsidRPr="0071782F">
        <w:rPr>
          <w:lang w:val="fr-CH"/>
        </w:rPr>
        <w:t>à</w:t>
      </w:r>
      <w:r w:rsidRPr="0071782F">
        <w:rPr>
          <w:lang w:val="fr-CH"/>
        </w:rPr>
        <w:t xml:space="preserve"> 118, </w:t>
      </w:r>
      <w:r w:rsidR="002C27BF" w:rsidRPr="0071782F">
        <w:rPr>
          <w:lang w:val="fr-CH"/>
        </w:rPr>
        <w:t xml:space="preserve">de celui </w:t>
      </w:r>
      <w:r w:rsidR="00A83442">
        <w:rPr>
          <w:lang w:val="fr-CH"/>
        </w:rPr>
        <w:t>des unités</w:t>
      </w:r>
      <w:r w:rsidR="002C27BF" w:rsidRPr="0071782F">
        <w:rPr>
          <w:lang w:val="fr-CH"/>
        </w:rPr>
        <w:t xml:space="preserve"> de traitement par agonistes, passé de </w:t>
      </w:r>
      <w:r w:rsidRPr="0071782F">
        <w:rPr>
          <w:lang w:val="fr-CH"/>
        </w:rPr>
        <w:t xml:space="preserve">110 </w:t>
      </w:r>
      <w:r w:rsidR="002C27BF" w:rsidRPr="0071782F">
        <w:rPr>
          <w:lang w:val="fr-CH"/>
        </w:rPr>
        <w:t>à 1</w:t>
      </w:r>
      <w:r w:rsidR="00FF1C6B" w:rsidRPr="0071782F">
        <w:rPr>
          <w:lang w:val="fr-CH"/>
        </w:rPr>
        <w:t> </w:t>
      </w:r>
      <w:r w:rsidRPr="0071782F">
        <w:rPr>
          <w:lang w:val="fr-CH"/>
        </w:rPr>
        <w:t xml:space="preserve">000, </w:t>
      </w:r>
      <w:r w:rsidR="002C27BF" w:rsidRPr="0071782F">
        <w:rPr>
          <w:lang w:val="fr-CH"/>
        </w:rPr>
        <w:t xml:space="preserve">et de celui </w:t>
      </w:r>
      <w:r w:rsidR="007F37CE" w:rsidRPr="0071782F">
        <w:rPr>
          <w:lang w:val="fr-CH"/>
        </w:rPr>
        <w:t>des personnes</w:t>
      </w:r>
      <w:r w:rsidR="002C27BF" w:rsidRPr="0071782F">
        <w:rPr>
          <w:lang w:val="fr-CH"/>
        </w:rPr>
        <w:t xml:space="preserve"> ayant bénéficié d’un traitement d’entretien à la </w:t>
      </w:r>
      <w:r w:rsidRPr="0071782F">
        <w:rPr>
          <w:lang w:val="fr-CH"/>
        </w:rPr>
        <w:t>m</w:t>
      </w:r>
      <w:r w:rsidR="002C27BF" w:rsidRPr="0071782F">
        <w:rPr>
          <w:lang w:val="fr-CH"/>
        </w:rPr>
        <w:t>é</w:t>
      </w:r>
      <w:r w:rsidRPr="0071782F">
        <w:rPr>
          <w:lang w:val="fr-CH"/>
        </w:rPr>
        <w:t>thadone</w:t>
      </w:r>
      <w:r w:rsidR="002C27BF" w:rsidRPr="0071782F">
        <w:rPr>
          <w:lang w:val="fr-CH"/>
        </w:rPr>
        <w:t xml:space="preserve">, passé de </w:t>
      </w:r>
      <w:r w:rsidRPr="0071782F">
        <w:rPr>
          <w:lang w:val="fr-CH"/>
        </w:rPr>
        <w:t>78</w:t>
      </w:r>
      <w:r w:rsidR="00FF1C6B" w:rsidRPr="0071782F">
        <w:rPr>
          <w:lang w:val="fr-CH"/>
        </w:rPr>
        <w:t> </w:t>
      </w:r>
      <w:r w:rsidRPr="0071782F">
        <w:rPr>
          <w:lang w:val="fr-CH"/>
        </w:rPr>
        <w:t xml:space="preserve">000 </w:t>
      </w:r>
      <w:r w:rsidR="002C27BF" w:rsidRPr="0071782F">
        <w:rPr>
          <w:lang w:val="fr-CH"/>
        </w:rPr>
        <w:t xml:space="preserve">en </w:t>
      </w:r>
      <w:r w:rsidRPr="0071782F">
        <w:rPr>
          <w:lang w:val="fr-CH"/>
        </w:rPr>
        <w:t xml:space="preserve">2005 </w:t>
      </w:r>
      <w:r w:rsidR="002C27BF" w:rsidRPr="0071782F">
        <w:rPr>
          <w:lang w:val="fr-CH"/>
        </w:rPr>
        <w:t>à</w:t>
      </w:r>
      <w:r w:rsidRPr="0071782F">
        <w:rPr>
          <w:lang w:val="fr-CH"/>
        </w:rPr>
        <w:t xml:space="preserve"> 92</w:t>
      </w:r>
      <w:r w:rsidR="00FF1C6B" w:rsidRPr="0071782F">
        <w:rPr>
          <w:lang w:val="fr-CH"/>
        </w:rPr>
        <w:t> </w:t>
      </w:r>
      <w:r w:rsidRPr="0071782F">
        <w:rPr>
          <w:lang w:val="fr-CH"/>
        </w:rPr>
        <w:t xml:space="preserve">000 </w:t>
      </w:r>
      <w:r w:rsidR="002C27BF" w:rsidRPr="0071782F">
        <w:rPr>
          <w:lang w:val="fr-CH"/>
        </w:rPr>
        <w:t>e</w:t>
      </w:r>
      <w:r w:rsidRPr="0071782F">
        <w:rPr>
          <w:lang w:val="fr-CH"/>
        </w:rPr>
        <w:t xml:space="preserve">n 2008; distribution </w:t>
      </w:r>
      <w:r w:rsidR="002C27BF" w:rsidRPr="0071782F">
        <w:rPr>
          <w:lang w:val="fr-CH"/>
        </w:rPr>
        <w:t>gratuite de seringues, de préservatifs et de matériel d’injection</w:t>
      </w:r>
      <w:r w:rsidRPr="0071782F">
        <w:rPr>
          <w:lang w:val="fr-CH"/>
        </w:rPr>
        <w:t>.</w:t>
      </w:r>
    </w:p>
    <w:p w:rsidR="00E5019F" w:rsidRPr="0071782F" w:rsidRDefault="00E5019F" w:rsidP="00E5019F">
      <w:pPr>
        <w:pStyle w:val="SingleTxtG"/>
        <w:ind w:left="1701"/>
        <w:rPr>
          <w:lang w:val="fr-CH"/>
        </w:rPr>
      </w:pPr>
      <w:r w:rsidRPr="0071782F">
        <w:rPr>
          <w:lang w:val="fr-CH"/>
        </w:rPr>
        <w:t>272.5.</w:t>
      </w:r>
      <w:r w:rsidRPr="0071782F">
        <w:rPr>
          <w:lang w:val="fr-CH"/>
        </w:rPr>
        <w:tab/>
        <w:t>Ex</w:t>
      </w:r>
      <w:r w:rsidR="000C7ECF" w:rsidRPr="0071782F">
        <w:rPr>
          <w:lang w:val="fr-CH"/>
        </w:rPr>
        <w:t>é</w:t>
      </w:r>
      <w:r w:rsidRPr="0071782F">
        <w:rPr>
          <w:lang w:val="fr-CH"/>
        </w:rPr>
        <w:t xml:space="preserve">cution </w:t>
      </w:r>
      <w:r w:rsidR="000C7ECF" w:rsidRPr="0071782F">
        <w:rPr>
          <w:lang w:val="fr-CH"/>
        </w:rPr>
        <w:t>en 2007 du P</w:t>
      </w:r>
      <w:r w:rsidRPr="0071782F">
        <w:rPr>
          <w:lang w:val="fr-CH"/>
        </w:rPr>
        <w:t xml:space="preserve">lan </w:t>
      </w:r>
      <w:r w:rsidR="000C7ECF" w:rsidRPr="0071782F">
        <w:rPr>
          <w:lang w:val="fr-CH"/>
        </w:rPr>
        <w:t xml:space="preserve">de </w:t>
      </w:r>
      <w:r w:rsidRPr="0071782F">
        <w:rPr>
          <w:lang w:val="fr-CH"/>
        </w:rPr>
        <w:t>r</w:t>
      </w:r>
      <w:r w:rsidR="000C7ECF" w:rsidRPr="0071782F">
        <w:rPr>
          <w:lang w:val="fr-CH"/>
        </w:rPr>
        <w:t>é</w:t>
      </w:r>
      <w:r w:rsidRPr="0071782F">
        <w:rPr>
          <w:lang w:val="fr-CH"/>
        </w:rPr>
        <w:t xml:space="preserve">gulation </w:t>
      </w:r>
      <w:r w:rsidR="000C7ECF" w:rsidRPr="0071782F">
        <w:rPr>
          <w:lang w:val="fr-CH"/>
        </w:rPr>
        <w:t>des sans-abri consommateurs de drogues injectables e</w:t>
      </w:r>
      <w:r w:rsidRPr="0071782F">
        <w:rPr>
          <w:lang w:val="fr-CH"/>
        </w:rPr>
        <w:t xml:space="preserve">n coordination </w:t>
      </w:r>
      <w:r w:rsidR="000C7ECF" w:rsidRPr="0071782F">
        <w:rPr>
          <w:lang w:val="fr-CH"/>
        </w:rPr>
        <w:t xml:space="preserve">avec la brigade centrale des stupéfiants et avec la </w:t>
      </w:r>
      <w:r w:rsidRPr="0071782F">
        <w:rPr>
          <w:lang w:val="fr-CH"/>
        </w:rPr>
        <w:t xml:space="preserve">participation </w:t>
      </w:r>
      <w:r w:rsidR="000C7ECF" w:rsidRPr="0071782F">
        <w:rPr>
          <w:lang w:val="fr-CH"/>
        </w:rPr>
        <w:t xml:space="preserve">des services de </w:t>
      </w:r>
      <w:r w:rsidRPr="0071782F">
        <w:rPr>
          <w:lang w:val="fr-CH"/>
        </w:rPr>
        <w:t xml:space="preserve">police </w:t>
      </w:r>
      <w:r w:rsidR="000C7ECF" w:rsidRPr="0071782F">
        <w:rPr>
          <w:lang w:val="fr-CH"/>
        </w:rPr>
        <w:t xml:space="preserve">dans sept </w:t>
      </w:r>
      <w:r w:rsidRPr="0071782F">
        <w:rPr>
          <w:lang w:val="fr-CH"/>
        </w:rPr>
        <w:t xml:space="preserve">provinces. </w:t>
      </w:r>
      <w:r w:rsidR="000C7ECF" w:rsidRPr="0071782F">
        <w:rPr>
          <w:lang w:val="fr-CH"/>
        </w:rPr>
        <w:t xml:space="preserve">En outre, dans le cadre de ce Plan, les facultés de médecine ont fourni des services de dépistage et de traitement hospitalier à des toxicomanes sans abri dans sept centres de province. Les centres de traitement obligatoire ont fourni des services de dépistage à </w:t>
      </w:r>
      <w:r w:rsidRPr="0071782F">
        <w:rPr>
          <w:lang w:val="fr-CH"/>
        </w:rPr>
        <w:t>13</w:t>
      </w:r>
      <w:r w:rsidR="00FF1C6B" w:rsidRPr="0071782F">
        <w:rPr>
          <w:lang w:val="fr-CH"/>
        </w:rPr>
        <w:t> </w:t>
      </w:r>
      <w:r w:rsidR="00F1768C">
        <w:rPr>
          <w:lang w:val="fr-CH"/>
        </w:rPr>
        <w:t>221 </w:t>
      </w:r>
      <w:r w:rsidR="000C7ECF" w:rsidRPr="0071782F">
        <w:rPr>
          <w:lang w:val="fr-CH"/>
        </w:rPr>
        <w:t xml:space="preserve">patients et des services de traitement à </w:t>
      </w:r>
      <w:r w:rsidRPr="0071782F">
        <w:rPr>
          <w:lang w:val="fr-CH"/>
        </w:rPr>
        <w:t>2</w:t>
      </w:r>
      <w:r w:rsidR="00FF1C6B" w:rsidRPr="0071782F">
        <w:rPr>
          <w:lang w:val="fr-CH"/>
        </w:rPr>
        <w:t> </w:t>
      </w:r>
      <w:r w:rsidRPr="0071782F">
        <w:rPr>
          <w:lang w:val="fr-CH"/>
        </w:rPr>
        <w:t xml:space="preserve">145 </w:t>
      </w:r>
      <w:r w:rsidR="000C7ECF" w:rsidRPr="0071782F">
        <w:rPr>
          <w:lang w:val="fr-CH"/>
        </w:rPr>
        <w:t>d’entre eux</w:t>
      </w:r>
      <w:r w:rsidRPr="0071782F">
        <w:rPr>
          <w:lang w:val="fr-CH"/>
        </w:rPr>
        <w:t xml:space="preserve">. </w:t>
      </w:r>
    </w:p>
    <w:p w:rsidR="00E5019F" w:rsidRPr="0071782F" w:rsidRDefault="00E5019F" w:rsidP="00E5019F">
      <w:pPr>
        <w:pStyle w:val="SingleTxtG"/>
        <w:ind w:left="1701"/>
        <w:rPr>
          <w:lang w:val="fr-CH"/>
        </w:rPr>
      </w:pPr>
      <w:r w:rsidRPr="0071782F">
        <w:rPr>
          <w:lang w:val="fr-CH"/>
        </w:rPr>
        <w:t>272.6.</w:t>
      </w:r>
      <w:r w:rsidRPr="0071782F">
        <w:rPr>
          <w:lang w:val="fr-CH"/>
        </w:rPr>
        <w:tab/>
      </w:r>
      <w:r w:rsidR="000C7ECF" w:rsidRPr="0071782F">
        <w:rPr>
          <w:lang w:val="fr-CH"/>
        </w:rPr>
        <w:t xml:space="preserve">Adoption de mesures importantes de prévention de la toxicomanie, à savoir notamment la </w:t>
      </w:r>
      <w:r w:rsidRPr="0071782F">
        <w:rPr>
          <w:lang w:val="fr-CH"/>
        </w:rPr>
        <w:t xml:space="preserve">production </w:t>
      </w:r>
      <w:r w:rsidR="000C7ECF" w:rsidRPr="0071782F">
        <w:rPr>
          <w:lang w:val="fr-CH"/>
        </w:rPr>
        <w:t xml:space="preserve">et la </w:t>
      </w:r>
      <w:r w:rsidRPr="0071782F">
        <w:rPr>
          <w:lang w:val="fr-CH"/>
        </w:rPr>
        <w:t xml:space="preserve">distribution </w:t>
      </w:r>
      <w:r w:rsidR="000C7ECF" w:rsidRPr="0071782F">
        <w:rPr>
          <w:lang w:val="fr-CH"/>
        </w:rPr>
        <w:t xml:space="preserve">de matériels éducatifs, par exemple des brochures, des </w:t>
      </w:r>
      <w:r w:rsidR="0071782F" w:rsidRPr="0071782F">
        <w:rPr>
          <w:lang w:val="fr-CH"/>
        </w:rPr>
        <w:t>cédéroms</w:t>
      </w:r>
      <w:r w:rsidR="000C7ECF" w:rsidRPr="0071782F">
        <w:rPr>
          <w:lang w:val="fr-CH"/>
        </w:rPr>
        <w:t xml:space="preserve">, des affiches, etc., le lancement d’une large campagne de sensibilisation aux graves </w:t>
      </w:r>
      <w:r w:rsidRPr="0071782F">
        <w:rPr>
          <w:lang w:val="fr-CH"/>
        </w:rPr>
        <w:t>cons</w:t>
      </w:r>
      <w:r w:rsidR="000C7ECF" w:rsidRPr="0071782F">
        <w:rPr>
          <w:lang w:val="fr-CH"/>
        </w:rPr>
        <w:t>é</w:t>
      </w:r>
      <w:r w:rsidRPr="0071782F">
        <w:rPr>
          <w:lang w:val="fr-CH"/>
        </w:rPr>
        <w:t xml:space="preserve">quences </w:t>
      </w:r>
      <w:r w:rsidR="000C7ECF" w:rsidRPr="0071782F">
        <w:rPr>
          <w:lang w:val="fr-CH"/>
        </w:rPr>
        <w:t>de la toxicomanie</w:t>
      </w:r>
      <w:r w:rsidRPr="0071782F">
        <w:rPr>
          <w:lang w:val="fr-CH"/>
        </w:rPr>
        <w:t xml:space="preserve">, </w:t>
      </w:r>
      <w:r w:rsidR="000C7ECF" w:rsidRPr="0071782F">
        <w:rPr>
          <w:lang w:val="fr-CH"/>
        </w:rPr>
        <w:t>l’</w:t>
      </w:r>
      <w:r w:rsidRPr="0071782F">
        <w:rPr>
          <w:lang w:val="fr-CH"/>
        </w:rPr>
        <w:t>ex</w:t>
      </w:r>
      <w:r w:rsidR="000C7ECF" w:rsidRPr="0071782F">
        <w:rPr>
          <w:lang w:val="fr-CH"/>
        </w:rPr>
        <w:t>é</w:t>
      </w:r>
      <w:r w:rsidRPr="0071782F">
        <w:rPr>
          <w:lang w:val="fr-CH"/>
        </w:rPr>
        <w:t xml:space="preserve">cution </w:t>
      </w:r>
      <w:r w:rsidR="000C7ECF" w:rsidRPr="0071782F">
        <w:rPr>
          <w:lang w:val="fr-CH"/>
        </w:rPr>
        <w:t xml:space="preserve">depuis 2005 de programmes de prévention de la toxicomanie dans les résidences d’étudiants des facultés de médecine, dont ont bénéficié jusqu’ici </w:t>
      </w:r>
      <w:r w:rsidRPr="0071782F">
        <w:rPr>
          <w:lang w:val="fr-CH"/>
        </w:rPr>
        <w:t>11</w:t>
      </w:r>
      <w:r w:rsidR="00FF1C6B" w:rsidRPr="0071782F">
        <w:rPr>
          <w:lang w:val="fr-CH"/>
        </w:rPr>
        <w:t> </w:t>
      </w:r>
      <w:r w:rsidRPr="0071782F">
        <w:rPr>
          <w:lang w:val="fr-CH"/>
        </w:rPr>
        <w:t xml:space="preserve">000 </w:t>
      </w:r>
      <w:r w:rsidR="000C7ECF" w:rsidRPr="0071782F">
        <w:rPr>
          <w:lang w:val="fr-CH"/>
        </w:rPr>
        <w:t>étudiants</w:t>
      </w:r>
      <w:r w:rsidRPr="0071782F">
        <w:rPr>
          <w:lang w:val="fr-CH"/>
        </w:rPr>
        <w:t xml:space="preserve">, </w:t>
      </w:r>
      <w:r w:rsidR="000C7ECF" w:rsidRPr="0071782F">
        <w:rPr>
          <w:lang w:val="fr-CH"/>
        </w:rPr>
        <w:t xml:space="preserve">la </w:t>
      </w:r>
      <w:r w:rsidRPr="0071782F">
        <w:rPr>
          <w:lang w:val="fr-CH"/>
        </w:rPr>
        <w:t xml:space="preserve">formulation </w:t>
      </w:r>
      <w:r w:rsidR="000C7ECF" w:rsidRPr="0071782F">
        <w:rPr>
          <w:lang w:val="fr-CH"/>
        </w:rPr>
        <w:t xml:space="preserve">du Plan stratégique de prévention de la toxicomanie, l’élaboration d’un programme opérationnel en même temps que de matériels éducatifs pour la </w:t>
      </w:r>
      <w:r w:rsidRPr="0071782F">
        <w:rPr>
          <w:lang w:val="fr-CH"/>
        </w:rPr>
        <w:t>pr</w:t>
      </w:r>
      <w:r w:rsidR="000C7ECF" w:rsidRPr="0071782F">
        <w:rPr>
          <w:lang w:val="fr-CH"/>
        </w:rPr>
        <w:t>é</w:t>
      </w:r>
      <w:r w:rsidRPr="0071782F">
        <w:rPr>
          <w:lang w:val="fr-CH"/>
        </w:rPr>
        <w:t xml:space="preserve">vention </w:t>
      </w:r>
      <w:r w:rsidR="000C7ECF" w:rsidRPr="0071782F">
        <w:rPr>
          <w:lang w:val="fr-CH"/>
        </w:rPr>
        <w:t>de la toxicomanie destinés à certai</w:t>
      </w:r>
      <w:r w:rsidR="00B247E6" w:rsidRPr="0071782F">
        <w:rPr>
          <w:lang w:val="fr-CH"/>
        </w:rPr>
        <w:t>n</w:t>
      </w:r>
      <w:r w:rsidR="000C7ECF" w:rsidRPr="0071782F">
        <w:rPr>
          <w:lang w:val="fr-CH"/>
        </w:rPr>
        <w:t>s groupes cibles</w:t>
      </w:r>
      <w:r w:rsidR="008F7D33" w:rsidRPr="0071782F">
        <w:rPr>
          <w:lang w:val="fr-CH"/>
        </w:rPr>
        <w:t>:</w:t>
      </w:r>
      <w:r w:rsidR="000C7ECF" w:rsidRPr="0071782F">
        <w:rPr>
          <w:lang w:val="fr-CH"/>
        </w:rPr>
        <w:t xml:space="preserve"> écoliers et étudiants, travailleurs, invalides de guerre et soldats.</w:t>
      </w:r>
    </w:p>
    <w:p w:rsidR="00E5019F" w:rsidRPr="0071782F" w:rsidRDefault="00E5019F" w:rsidP="00E5019F">
      <w:pPr>
        <w:pStyle w:val="H1G"/>
        <w:rPr>
          <w:lang w:val="fr-CH"/>
        </w:rPr>
      </w:pPr>
      <w:r w:rsidRPr="0071782F">
        <w:rPr>
          <w:lang w:val="fr-CH"/>
        </w:rPr>
        <w:tab/>
      </w:r>
      <w:r w:rsidRPr="0071782F">
        <w:rPr>
          <w:lang w:val="fr-CH"/>
        </w:rPr>
        <w:tab/>
      </w:r>
      <w:r w:rsidR="000C7ECF" w:rsidRPr="0071782F">
        <w:rPr>
          <w:lang w:val="fr-CH"/>
        </w:rPr>
        <w:t xml:space="preserve">Amélioration de la gestion des catastrophes et des situations d’urgence médicale </w:t>
      </w:r>
    </w:p>
    <w:p w:rsidR="00E5019F" w:rsidRPr="0071782F" w:rsidRDefault="00E5019F" w:rsidP="00E5019F">
      <w:pPr>
        <w:pStyle w:val="SingleTxtG"/>
        <w:rPr>
          <w:lang w:val="fr-CH"/>
        </w:rPr>
      </w:pPr>
      <w:r w:rsidRPr="0071782F">
        <w:rPr>
          <w:lang w:val="fr-CH"/>
        </w:rPr>
        <w:t>273.</w:t>
      </w:r>
      <w:r w:rsidRPr="0071782F">
        <w:rPr>
          <w:lang w:val="fr-CH"/>
        </w:rPr>
        <w:tab/>
      </w:r>
      <w:r w:rsidR="00B247E6"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273.1.</w:t>
      </w:r>
      <w:r w:rsidRPr="0071782F">
        <w:rPr>
          <w:lang w:val="fr-CH"/>
        </w:rPr>
        <w:tab/>
      </w:r>
      <w:r w:rsidR="00586C48" w:rsidRPr="0071782F">
        <w:rPr>
          <w:lang w:val="fr-CH"/>
        </w:rPr>
        <w:t xml:space="preserve">Le développement du réseau des urgences du pays a permis de créer </w:t>
      </w:r>
      <w:r w:rsidRPr="0071782F">
        <w:rPr>
          <w:lang w:val="fr-CH"/>
        </w:rPr>
        <w:t>931</w:t>
      </w:r>
      <w:r w:rsidR="00E83264" w:rsidRPr="0071782F">
        <w:rPr>
          <w:lang w:val="fr-CH"/>
        </w:rPr>
        <w:t> unités</w:t>
      </w:r>
      <w:r w:rsidR="00586C48" w:rsidRPr="0071782F">
        <w:rPr>
          <w:lang w:val="fr-CH"/>
        </w:rPr>
        <w:t xml:space="preserve"> d’urgences urbaines et routières, ce qui a porté le </w:t>
      </w:r>
      <w:r w:rsidR="003B48A4" w:rsidRPr="0071782F">
        <w:rPr>
          <w:lang w:val="fr-CH"/>
        </w:rPr>
        <w:t>nombre</w:t>
      </w:r>
      <w:r w:rsidRPr="0071782F">
        <w:rPr>
          <w:lang w:val="fr-CH"/>
        </w:rPr>
        <w:t xml:space="preserve"> </w:t>
      </w:r>
      <w:r w:rsidR="00586C48" w:rsidRPr="0071782F">
        <w:rPr>
          <w:lang w:val="fr-CH"/>
        </w:rPr>
        <w:t>de ces</w:t>
      </w:r>
      <w:r w:rsidR="00FF1C6B" w:rsidRPr="0071782F">
        <w:rPr>
          <w:lang w:val="fr-CH"/>
        </w:rPr>
        <w:t xml:space="preserve"> </w:t>
      </w:r>
      <w:r w:rsidR="00E83264" w:rsidRPr="0071782F">
        <w:rPr>
          <w:lang w:val="fr-CH"/>
        </w:rPr>
        <w:t>unités</w:t>
      </w:r>
      <w:r w:rsidR="00586C48" w:rsidRPr="0071782F">
        <w:rPr>
          <w:lang w:val="fr-CH"/>
        </w:rPr>
        <w:t xml:space="preserve"> de </w:t>
      </w:r>
      <w:r w:rsidRPr="0071782F">
        <w:rPr>
          <w:lang w:val="fr-CH"/>
        </w:rPr>
        <w:t xml:space="preserve">683 </w:t>
      </w:r>
      <w:r w:rsidR="00586C48" w:rsidRPr="0071782F">
        <w:rPr>
          <w:lang w:val="fr-CH"/>
        </w:rPr>
        <w:t>e</w:t>
      </w:r>
      <w:r w:rsidRPr="0071782F">
        <w:rPr>
          <w:lang w:val="fr-CH"/>
        </w:rPr>
        <w:t xml:space="preserve">n 2005 </w:t>
      </w:r>
      <w:r w:rsidR="00586C48" w:rsidRPr="0071782F">
        <w:rPr>
          <w:lang w:val="fr-CH"/>
        </w:rPr>
        <w:t>à</w:t>
      </w:r>
      <w:r w:rsidRPr="0071782F">
        <w:rPr>
          <w:lang w:val="fr-CH"/>
        </w:rPr>
        <w:t xml:space="preserve"> 1</w:t>
      </w:r>
      <w:r w:rsidR="00FF1C6B" w:rsidRPr="0071782F">
        <w:rPr>
          <w:lang w:val="fr-CH"/>
        </w:rPr>
        <w:t> </w:t>
      </w:r>
      <w:r w:rsidRPr="0071782F">
        <w:rPr>
          <w:lang w:val="fr-CH"/>
        </w:rPr>
        <w:t xml:space="preserve">630 </w:t>
      </w:r>
      <w:r w:rsidR="00586C48" w:rsidRPr="0071782F">
        <w:rPr>
          <w:lang w:val="fr-CH"/>
        </w:rPr>
        <w:t>e</w:t>
      </w:r>
      <w:r w:rsidRPr="0071782F">
        <w:rPr>
          <w:lang w:val="fr-CH"/>
        </w:rPr>
        <w:t>n 2008</w:t>
      </w:r>
      <w:r w:rsidR="00586C48" w:rsidRPr="0071782F">
        <w:rPr>
          <w:lang w:val="fr-CH"/>
        </w:rPr>
        <w:t xml:space="preserve">, en augmentation de </w:t>
      </w:r>
      <w:r w:rsidRPr="0071782F">
        <w:rPr>
          <w:lang w:val="fr-CH"/>
        </w:rPr>
        <w:t>240</w:t>
      </w:r>
      <w:r w:rsidR="007E5125" w:rsidRPr="0071782F">
        <w:rPr>
          <w:lang w:val="fr-CH"/>
        </w:rPr>
        <w:t>%</w:t>
      </w:r>
      <w:r w:rsidRPr="0071782F">
        <w:rPr>
          <w:lang w:val="fr-CH"/>
        </w:rPr>
        <w:t xml:space="preserve">. </w:t>
      </w:r>
      <w:r w:rsidR="00586C48" w:rsidRPr="0071782F">
        <w:rPr>
          <w:lang w:val="fr-CH"/>
        </w:rPr>
        <w:t xml:space="preserve">De surcroît, le temps nécessaire à l’arrivée des </w:t>
      </w:r>
      <w:r w:rsidRPr="0071782F">
        <w:rPr>
          <w:lang w:val="fr-CH"/>
        </w:rPr>
        <w:t xml:space="preserve">ambulances </w:t>
      </w:r>
      <w:r w:rsidR="00586C48" w:rsidRPr="0071782F">
        <w:rPr>
          <w:lang w:val="fr-CH"/>
        </w:rPr>
        <w:t xml:space="preserve">sur le lieu d’un </w:t>
      </w:r>
      <w:r w:rsidRPr="0071782F">
        <w:rPr>
          <w:lang w:val="fr-CH"/>
        </w:rPr>
        <w:t xml:space="preserve">accident </w:t>
      </w:r>
      <w:r w:rsidR="00586C48" w:rsidRPr="0071782F">
        <w:rPr>
          <w:lang w:val="fr-CH"/>
        </w:rPr>
        <w:t>a diminué de sept</w:t>
      </w:r>
      <w:r w:rsidR="00B247E6" w:rsidRPr="0071782F">
        <w:rPr>
          <w:lang w:val="fr-CH"/>
        </w:rPr>
        <w:t xml:space="preserve"> minutes dans les petites villes</w:t>
      </w:r>
      <w:r w:rsidR="00586C48" w:rsidRPr="0071782F">
        <w:rPr>
          <w:lang w:val="fr-CH"/>
        </w:rPr>
        <w:t xml:space="preserve">, </w:t>
      </w:r>
      <w:r w:rsidR="00B247E6" w:rsidRPr="0071782F">
        <w:rPr>
          <w:lang w:val="fr-CH"/>
        </w:rPr>
        <w:t xml:space="preserve">de 10 minutes dans les grandes villes </w:t>
      </w:r>
      <w:r w:rsidR="00586C48" w:rsidRPr="0071782F">
        <w:rPr>
          <w:lang w:val="fr-CH"/>
        </w:rPr>
        <w:t xml:space="preserve">et </w:t>
      </w:r>
      <w:r w:rsidR="00B247E6" w:rsidRPr="0071782F">
        <w:rPr>
          <w:lang w:val="fr-CH"/>
        </w:rPr>
        <w:t>de 13</w:t>
      </w:r>
      <w:r w:rsidR="00FF1C6B" w:rsidRPr="0071782F">
        <w:rPr>
          <w:lang w:val="fr-CH"/>
        </w:rPr>
        <w:t> </w:t>
      </w:r>
      <w:r w:rsidR="00B247E6" w:rsidRPr="0071782F">
        <w:rPr>
          <w:lang w:val="fr-CH"/>
        </w:rPr>
        <w:t xml:space="preserve">minutes sur </w:t>
      </w:r>
      <w:r w:rsidR="00586C48" w:rsidRPr="0071782F">
        <w:rPr>
          <w:lang w:val="fr-CH"/>
        </w:rPr>
        <w:t>les routes</w:t>
      </w:r>
      <w:r w:rsidRPr="0071782F">
        <w:rPr>
          <w:lang w:val="fr-CH"/>
        </w:rPr>
        <w:t>.</w:t>
      </w:r>
    </w:p>
    <w:p w:rsidR="00E5019F" w:rsidRPr="0071782F" w:rsidRDefault="00E5019F" w:rsidP="00E5019F">
      <w:pPr>
        <w:pStyle w:val="SingleTxtG"/>
        <w:ind w:left="1701"/>
        <w:rPr>
          <w:lang w:val="fr-CH"/>
        </w:rPr>
      </w:pPr>
      <w:r w:rsidRPr="0071782F">
        <w:rPr>
          <w:lang w:val="fr-CH"/>
        </w:rPr>
        <w:t>273.2.</w:t>
      </w:r>
      <w:r w:rsidRPr="0071782F">
        <w:rPr>
          <w:lang w:val="fr-CH"/>
        </w:rPr>
        <w:tab/>
      </w:r>
      <w:r w:rsidR="00586C48" w:rsidRPr="0071782F">
        <w:rPr>
          <w:lang w:val="fr-CH"/>
        </w:rPr>
        <w:t xml:space="preserve">Depuis </w:t>
      </w:r>
      <w:r w:rsidRPr="0071782F">
        <w:rPr>
          <w:lang w:val="fr-CH"/>
        </w:rPr>
        <w:t>2005, 1</w:t>
      </w:r>
      <w:r w:rsidR="00586C48" w:rsidRPr="0071782F">
        <w:rPr>
          <w:lang w:val="fr-CH"/>
        </w:rPr>
        <w:t xml:space="preserve"> </w:t>
      </w:r>
      <w:r w:rsidRPr="0071782F">
        <w:rPr>
          <w:lang w:val="fr-CH"/>
        </w:rPr>
        <w:t xml:space="preserve">835 </w:t>
      </w:r>
      <w:r w:rsidR="00586C48" w:rsidRPr="0071782F">
        <w:rPr>
          <w:lang w:val="fr-CH"/>
        </w:rPr>
        <w:t xml:space="preserve">nouvelles </w:t>
      </w:r>
      <w:r w:rsidRPr="0071782F">
        <w:rPr>
          <w:lang w:val="fr-CH"/>
        </w:rPr>
        <w:t xml:space="preserve">ambulances </w:t>
      </w:r>
      <w:r w:rsidR="00586C48" w:rsidRPr="0071782F">
        <w:rPr>
          <w:lang w:val="fr-CH"/>
        </w:rPr>
        <w:t xml:space="preserve">ont été incorporées dans le système de services d’urgences; </w:t>
      </w:r>
      <w:r w:rsidRPr="0071782F">
        <w:rPr>
          <w:lang w:val="fr-CH"/>
        </w:rPr>
        <w:t xml:space="preserve">750 </w:t>
      </w:r>
      <w:r w:rsidR="00586C48" w:rsidRPr="0071782F">
        <w:rPr>
          <w:lang w:val="fr-CH"/>
        </w:rPr>
        <w:t xml:space="preserve">d’entre elles ont été achetées dans une seule année (2008), ce qui a porté le </w:t>
      </w:r>
      <w:r w:rsidR="003B48A4" w:rsidRPr="0071782F">
        <w:rPr>
          <w:lang w:val="fr-CH"/>
        </w:rPr>
        <w:t>nombre</w:t>
      </w:r>
      <w:r w:rsidRPr="0071782F">
        <w:rPr>
          <w:lang w:val="fr-CH"/>
        </w:rPr>
        <w:t xml:space="preserve"> </w:t>
      </w:r>
      <w:r w:rsidR="00586C48" w:rsidRPr="0071782F">
        <w:rPr>
          <w:lang w:val="fr-CH"/>
        </w:rPr>
        <w:t>d’</w:t>
      </w:r>
      <w:r w:rsidRPr="0071782F">
        <w:rPr>
          <w:lang w:val="fr-CH"/>
        </w:rPr>
        <w:t xml:space="preserve">ambulances </w:t>
      </w:r>
      <w:r w:rsidR="00586C48" w:rsidRPr="0071782F">
        <w:rPr>
          <w:lang w:val="fr-CH"/>
        </w:rPr>
        <w:t xml:space="preserve">en service dans </w:t>
      </w:r>
      <w:r w:rsidRPr="0071782F">
        <w:rPr>
          <w:lang w:val="fr-CH"/>
        </w:rPr>
        <w:t xml:space="preserve">115 </w:t>
      </w:r>
      <w:r w:rsidR="00586C48" w:rsidRPr="0071782F">
        <w:rPr>
          <w:lang w:val="fr-CH"/>
        </w:rPr>
        <w:t xml:space="preserve">services d’urgence à </w:t>
      </w:r>
      <w:r w:rsidRPr="0071782F">
        <w:rPr>
          <w:lang w:val="fr-CH"/>
        </w:rPr>
        <w:t>2</w:t>
      </w:r>
      <w:r w:rsidR="00586C48" w:rsidRPr="0071782F">
        <w:rPr>
          <w:lang w:val="fr-CH"/>
        </w:rPr>
        <w:t xml:space="preserve"> </w:t>
      </w:r>
      <w:r w:rsidRPr="0071782F">
        <w:rPr>
          <w:lang w:val="fr-CH"/>
        </w:rPr>
        <w:t xml:space="preserve">880, </w:t>
      </w:r>
      <w:r w:rsidR="00586C48" w:rsidRPr="0071782F">
        <w:rPr>
          <w:lang w:val="fr-CH"/>
        </w:rPr>
        <w:t xml:space="preserve">soit une augmentation de </w:t>
      </w:r>
      <w:r w:rsidRPr="0071782F">
        <w:rPr>
          <w:lang w:val="fr-CH"/>
        </w:rPr>
        <w:t>270</w:t>
      </w:r>
      <w:r w:rsidR="007E5125" w:rsidRPr="0071782F">
        <w:rPr>
          <w:lang w:val="fr-CH"/>
        </w:rPr>
        <w:t>%</w:t>
      </w:r>
      <w:r w:rsidRPr="0071782F">
        <w:rPr>
          <w:lang w:val="fr-CH"/>
        </w:rPr>
        <w:t>.</w:t>
      </w:r>
    </w:p>
    <w:p w:rsidR="00E5019F" w:rsidRPr="0071782F" w:rsidRDefault="00E5019F" w:rsidP="00E5019F">
      <w:pPr>
        <w:pStyle w:val="SingleTxtG"/>
        <w:ind w:left="1701"/>
        <w:rPr>
          <w:lang w:val="fr-CH"/>
        </w:rPr>
      </w:pPr>
      <w:r w:rsidRPr="0071782F">
        <w:rPr>
          <w:lang w:val="fr-CH"/>
        </w:rPr>
        <w:t>273.3.</w:t>
      </w:r>
      <w:r w:rsidRPr="0071782F">
        <w:rPr>
          <w:lang w:val="fr-CH"/>
        </w:rPr>
        <w:tab/>
      </w:r>
      <w:r w:rsidR="00586C48" w:rsidRPr="0071782F">
        <w:rPr>
          <w:lang w:val="fr-CH"/>
        </w:rPr>
        <w:t xml:space="preserve">Le </w:t>
      </w:r>
      <w:r w:rsidR="003B48A4" w:rsidRPr="0071782F">
        <w:rPr>
          <w:lang w:val="fr-CH"/>
        </w:rPr>
        <w:t>nombre</w:t>
      </w:r>
      <w:r w:rsidRPr="0071782F">
        <w:rPr>
          <w:lang w:val="fr-CH"/>
        </w:rPr>
        <w:t xml:space="preserve"> </w:t>
      </w:r>
      <w:r w:rsidR="00586C48" w:rsidRPr="0071782F">
        <w:rPr>
          <w:lang w:val="fr-CH"/>
        </w:rPr>
        <w:t>de ville</w:t>
      </w:r>
      <w:r w:rsidR="00FF1C6B" w:rsidRPr="0071782F">
        <w:rPr>
          <w:lang w:val="fr-CH"/>
        </w:rPr>
        <w:t>s</w:t>
      </w:r>
      <w:r w:rsidR="00586C48" w:rsidRPr="0071782F">
        <w:rPr>
          <w:lang w:val="fr-CH"/>
        </w:rPr>
        <w:t xml:space="preserve"> couvertes par les services d’</w:t>
      </w:r>
      <w:r w:rsidR="00A62149" w:rsidRPr="0071782F">
        <w:rPr>
          <w:lang w:val="fr-CH"/>
        </w:rPr>
        <w:t>"</w:t>
      </w:r>
      <w:r w:rsidRPr="0071782F">
        <w:rPr>
          <w:lang w:val="fr-CH"/>
        </w:rPr>
        <w:t>a</w:t>
      </w:r>
      <w:r w:rsidR="00586C48" w:rsidRPr="0071782F">
        <w:rPr>
          <w:lang w:val="fr-CH"/>
        </w:rPr>
        <w:t>ssistance aérienne</w:t>
      </w:r>
      <w:r w:rsidR="00A62149" w:rsidRPr="0071782F">
        <w:rPr>
          <w:lang w:val="fr-CH"/>
        </w:rPr>
        <w:t>"</w:t>
      </w:r>
      <w:r w:rsidRPr="0071782F">
        <w:rPr>
          <w:lang w:val="fr-CH"/>
        </w:rPr>
        <w:t xml:space="preserve"> </w:t>
      </w:r>
      <w:r w:rsidR="00586C48" w:rsidRPr="0071782F">
        <w:rPr>
          <w:lang w:val="fr-CH"/>
        </w:rPr>
        <w:t xml:space="preserve">est passé à </w:t>
      </w:r>
      <w:r w:rsidRPr="0071782F">
        <w:rPr>
          <w:lang w:val="fr-CH"/>
        </w:rPr>
        <w:t xml:space="preserve">11 </w:t>
      </w:r>
      <w:r w:rsidR="00586C48" w:rsidRPr="0071782F">
        <w:rPr>
          <w:lang w:val="fr-CH"/>
        </w:rPr>
        <w:t>et celui des villes bénéficiant des services d’</w:t>
      </w:r>
      <w:r w:rsidR="00A62149" w:rsidRPr="0071782F">
        <w:rPr>
          <w:lang w:val="fr-CH"/>
        </w:rPr>
        <w:t>"</w:t>
      </w:r>
      <w:r w:rsidR="00586C48" w:rsidRPr="0071782F">
        <w:rPr>
          <w:lang w:val="fr-CH"/>
        </w:rPr>
        <w:t>assistance maritime</w:t>
      </w:r>
      <w:r w:rsidR="00A62149" w:rsidRPr="0071782F">
        <w:rPr>
          <w:lang w:val="fr-CH"/>
        </w:rPr>
        <w:t>"</w:t>
      </w:r>
      <w:r w:rsidRPr="0071782F">
        <w:rPr>
          <w:lang w:val="fr-CH"/>
        </w:rPr>
        <w:t xml:space="preserve"> </w:t>
      </w:r>
      <w:r w:rsidR="00586C48" w:rsidRPr="0071782F">
        <w:rPr>
          <w:lang w:val="fr-CH"/>
        </w:rPr>
        <w:t>et</w:t>
      </w:r>
      <w:r w:rsidRPr="0071782F">
        <w:rPr>
          <w:lang w:val="fr-CH"/>
        </w:rPr>
        <w:t xml:space="preserve"> </w:t>
      </w:r>
      <w:r w:rsidR="00586C48" w:rsidRPr="0071782F">
        <w:rPr>
          <w:lang w:val="fr-CH"/>
        </w:rPr>
        <w:t>d’</w:t>
      </w:r>
      <w:r w:rsidR="00A62149" w:rsidRPr="0071782F">
        <w:rPr>
          <w:lang w:val="fr-CH"/>
        </w:rPr>
        <w:t>"</w:t>
      </w:r>
      <w:r w:rsidR="00586C48" w:rsidRPr="0071782F">
        <w:rPr>
          <w:lang w:val="fr-CH"/>
        </w:rPr>
        <w:t>assistance côtière</w:t>
      </w:r>
      <w:r w:rsidR="00A62149" w:rsidRPr="0071782F">
        <w:rPr>
          <w:lang w:val="fr-CH"/>
        </w:rPr>
        <w:t>"</w:t>
      </w:r>
      <w:r w:rsidRPr="0071782F">
        <w:rPr>
          <w:lang w:val="fr-CH"/>
        </w:rPr>
        <w:t xml:space="preserve"> </w:t>
      </w:r>
      <w:r w:rsidR="00586C48" w:rsidRPr="0071782F">
        <w:rPr>
          <w:lang w:val="fr-CH"/>
        </w:rPr>
        <w:t>à</w:t>
      </w:r>
      <w:r w:rsidR="000613AA">
        <w:rPr>
          <w:lang w:val="fr-CH"/>
        </w:rPr>
        <w:t> </w:t>
      </w:r>
      <w:r w:rsidRPr="0071782F">
        <w:rPr>
          <w:lang w:val="fr-CH"/>
        </w:rPr>
        <w:t>42.</w:t>
      </w:r>
    </w:p>
    <w:p w:rsidR="00E5019F" w:rsidRPr="0071782F" w:rsidRDefault="00E5019F" w:rsidP="00E5019F">
      <w:pPr>
        <w:pStyle w:val="SingleTxtG"/>
        <w:ind w:left="1701"/>
        <w:rPr>
          <w:lang w:val="fr-CH"/>
        </w:rPr>
      </w:pPr>
      <w:r w:rsidRPr="0071782F">
        <w:rPr>
          <w:lang w:val="fr-CH"/>
        </w:rPr>
        <w:t>273.4.</w:t>
      </w:r>
      <w:r w:rsidRPr="0071782F">
        <w:rPr>
          <w:lang w:val="fr-CH"/>
        </w:rPr>
        <w:tab/>
      </w:r>
      <w:r w:rsidR="00414AC8" w:rsidRPr="0071782F">
        <w:rPr>
          <w:lang w:val="fr-CH"/>
        </w:rPr>
        <w:t>Dans le cadre de l’éducation intégrée aux services d’urgence, les mesures ci-après ont été adoptées</w:t>
      </w:r>
      <w:r w:rsidR="008F7D33" w:rsidRPr="0071782F">
        <w:rPr>
          <w:lang w:val="fr-CH"/>
        </w:rPr>
        <w:t>:</w:t>
      </w:r>
      <w:r w:rsidR="00414AC8" w:rsidRPr="0071782F">
        <w:rPr>
          <w:lang w:val="fr-CH"/>
        </w:rPr>
        <w:t xml:space="preserve"> </w:t>
      </w:r>
      <w:r w:rsidR="004648A6" w:rsidRPr="0071782F">
        <w:rPr>
          <w:lang w:val="fr-CH"/>
        </w:rPr>
        <w:t xml:space="preserve">formation aux premiers secours dispensée à </w:t>
      </w:r>
      <w:r w:rsidRPr="0071782F">
        <w:rPr>
          <w:lang w:val="fr-CH"/>
        </w:rPr>
        <w:t>15</w:t>
      </w:r>
      <w:r w:rsidR="00FF1C6B" w:rsidRPr="0071782F">
        <w:rPr>
          <w:lang w:val="fr-CH"/>
        </w:rPr>
        <w:t> </w:t>
      </w:r>
      <w:r w:rsidRPr="0071782F">
        <w:rPr>
          <w:lang w:val="fr-CH"/>
        </w:rPr>
        <w:t>000</w:t>
      </w:r>
      <w:r w:rsidR="00097CDB" w:rsidRPr="0071782F">
        <w:rPr>
          <w:lang w:val="fr-CH"/>
        </w:rPr>
        <w:t> personnes</w:t>
      </w:r>
      <w:r w:rsidR="004648A6" w:rsidRPr="0071782F">
        <w:rPr>
          <w:lang w:val="fr-CH"/>
        </w:rPr>
        <w:t xml:space="preserve"> appartenant à </w:t>
      </w:r>
      <w:r w:rsidRPr="0071782F">
        <w:rPr>
          <w:lang w:val="fr-CH"/>
        </w:rPr>
        <w:t>diff</w:t>
      </w:r>
      <w:r w:rsidR="004648A6" w:rsidRPr="0071782F">
        <w:rPr>
          <w:lang w:val="fr-CH"/>
        </w:rPr>
        <w:t>é</w:t>
      </w:r>
      <w:r w:rsidRPr="0071782F">
        <w:rPr>
          <w:lang w:val="fr-CH"/>
        </w:rPr>
        <w:t>rent</w:t>
      </w:r>
      <w:r w:rsidR="004648A6" w:rsidRPr="0071782F">
        <w:rPr>
          <w:lang w:val="fr-CH"/>
        </w:rPr>
        <w:t>s</w:t>
      </w:r>
      <w:r w:rsidRPr="0071782F">
        <w:rPr>
          <w:lang w:val="fr-CH"/>
        </w:rPr>
        <w:t xml:space="preserve"> </w:t>
      </w:r>
      <w:r w:rsidR="004648A6" w:rsidRPr="0071782F">
        <w:rPr>
          <w:lang w:val="fr-CH"/>
        </w:rPr>
        <w:t>segments de la société;</w:t>
      </w:r>
      <w:r w:rsidRPr="0071782F">
        <w:rPr>
          <w:lang w:val="fr-CH"/>
        </w:rPr>
        <w:t xml:space="preserve"> </w:t>
      </w:r>
      <w:r w:rsidR="004648A6" w:rsidRPr="0071782F">
        <w:rPr>
          <w:lang w:val="fr-CH"/>
        </w:rPr>
        <w:t>instructions sur l’emploi de la trousse de premiers secours et l’application des techniques de réanimation données à 10 </w:t>
      </w:r>
      <w:r w:rsidRPr="0071782F">
        <w:rPr>
          <w:lang w:val="fr-CH"/>
        </w:rPr>
        <w:t>000</w:t>
      </w:r>
      <w:r w:rsidR="00097CDB" w:rsidRPr="0071782F">
        <w:rPr>
          <w:lang w:val="fr-CH"/>
        </w:rPr>
        <w:t> personnes</w:t>
      </w:r>
      <w:r w:rsidR="004648A6" w:rsidRPr="0071782F">
        <w:rPr>
          <w:lang w:val="fr-CH"/>
        </w:rPr>
        <w:t>, parmi lesquelles les chauffeurs de taxi et les conducteurs d’autobus urbains;</w:t>
      </w:r>
      <w:r w:rsidRPr="0071782F">
        <w:rPr>
          <w:lang w:val="fr-CH"/>
        </w:rPr>
        <w:t xml:space="preserve"> </w:t>
      </w:r>
      <w:r w:rsidR="004648A6" w:rsidRPr="0071782F">
        <w:rPr>
          <w:lang w:val="fr-CH"/>
        </w:rPr>
        <w:t>organisation à l’intention des examinateurs de la police de 12 ateliers de formation sur la santé physique et mentale des candidats à l’examen du permis de conduire;</w:t>
      </w:r>
      <w:r w:rsidRPr="0071782F">
        <w:rPr>
          <w:lang w:val="fr-CH"/>
        </w:rPr>
        <w:t xml:space="preserve"> </w:t>
      </w:r>
      <w:r w:rsidR="00BE4D4F" w:rsidRPr="0071782F">
        <w:rPr>
          <w:lang w:val="fr-CH"/>
        </w:rPr>
        <w:t>organisation de programmes de formation préalable et permanente à l’intention du personnel des centres de gestion des catastrophes et des situations d’urgence médicale;</w:t>
      </w:r>
      <w:r w:rsidRPr="0071782F">
        <w:rPr>
          <w:lang w:val="fr-CH"/>
        </w:rPr>
        <w:t xml:space="preserve"> </w:t>
      </w:r>
      <w:r w:rsidR="00BE4D4F" w:rsidRPr="0071782F">
        <w:rPr>
          <w:lang w:val="fr-CH"/>
        </w:rPr>
        <w:t>formation des agents de la police secours;</w:t>
      </w:r>
      <w:r w:rsidRPr="0071782F">
        <w:rPr>
          <w:lang w:val="fr-CH"/>
        </w:rPr>
        <w:t xml:space="preserve"> </w:t>
      </w:r>
      <w:r w:rsidR="00BE4D4F" w:rsidRPr="0071782F">
        <w:rPr>
          <w:lang w:val="fr-CH"/>
        </w:rPr>
        <w:t>organisation de programmes de mastère en santé publique portant plus particulièrement sur les catastrophes et les accidents;</w:t>
      </w:r>
      <w:r w:rsidRPr="0071782F">
        <w:rPr>
          <w:lang w:val="fr-CH"/>
        </w:rPr>
        <w:t xml:space="preserve"> </w:t>
      </w:r>
      <w:r w:rsidR="00BE4D4F" w:rsidRPr="0071782F">
        <w:rPr>
          <w:lang w:val="fr-CH"/>
        </w:rPr>
        <w:t>tenue des premières Olympiades nationales des techniciens des services d’urgence médicale</w:t>
      </w:r>
      <w:r w:rsidRPr="0071782F">
        <w:rPr>
          <w:lang w:val="fr-CH"/>
        </w:rPr>
        <w:t>, etc.</w:t>
      </w:r>
    </w:p>
    <w:p w:rsidR="00E5019F" w:rsidRPr="0071782F" w:rsidRDefault="00E5019F" w:rsidP="00E5019F">
      <w:pPr>
        <w:pStyle w:val="SingleTxtG"/>
        <w:ind w:left="1701"/>
        <w:rPr>
          <w:lang w:val="fr-CH"/>
        </w:rPr>
      </w:pPr>
      <w:r w:rsidRPr="0071782F">
        <w:rPr>
          <w:lang w:val="fr-CH"/>
        </w:rPr>
        <w:t>273.5.</w:t>
      </w:r>
      <w:r w:rsidRPr="0071782F">
        <w:rPr>
          <w:lang w:val="fr-CH"/>
        </w:rPr>
        <w:tab/>
        <w:t>La</w:t>
      </w:r>
      <w:r w:rsidR="00B97D66" w:rsidRPr="0071782F">
        <w:rPr>
          <w:lang w:val="fr-CH"/>
        </w:rPr>
        <w:t>ncement en 2005 du Centre d’opérations d’urgence en tant qu’organe central chargé de diriger et de coordonner toutes les activités liées aux soins et traitements médicaux à fournir dans les situations d’urgence;</w:t>
      </w:r>
      <w:r w:rsidRPr="0071782F">
        <w:rPr>
          <w:lang w:val="fr-CH"/>
        </w:rPr>
        <w:t xml:space="preserve"> </w:t>
      </w:r>
      <w:r w:rsidR="00B97D66" w:rsidRPr="0071782F">
        <w:rPr>
          <w:lang w:val="fr-CH"/>
        </w:rPr>
        <w:t xml:space="preserve">gestion de l’emploi des ressources humaines et de l’équipement opérationnel du secteur de la santé aux niveaux </w:t>
      </w:r>
      <w:r w:rsidRPr="0071782F">
        <w:rPr>
          <w:lang w:val="fr-CH"/>
        </w:rPr>
        <w:t>sector</w:t>
      </w:r>
      <w:r w:rsidR="00974C6B" w:rsidRPr="0071782F">
        <w:rPr>
          <w:lang w:val="fr-CH"/>
        </w:rPr>
        <w:t>iel</w:t>
      </w:r>
      <w:r w:rsidR="00B97D66" w:rsidRPr="0071782F">
        <w:rPr>
          <w:lang w:val="fr-CH"/>
        </w:rPr>
        <w:t xml:space="preserve"> et intersectoriel dans les situations difficiles et graves; et gestion intégrée des opérations d’alerte et d’intervention rapides pendant des crises telles que le tremblement de terre du</w:t>
      </w:r>
      <w:r w:rsidRPr="0071782F">
        <w:rPr>
          <w:lang w:val="fr-CH"/>
        </w:rPr>
        <w:t xml:space="preserve"> Lorestan, </w:t>
      </w:r>
      <w:r w:rsidR="00B97D66" w:rsidRPr="0071782F">
        <w:rPr>
          <w:lang w:val="fr-CH"/>
        </w:rPr>
        <w:t xml:space="preserve">l’ouragan </w:t>
      </w:r>
      <w:r w:rsidRPr="0071782F">
        <w:rPr>
          <w:lang w:val="fr-CH"/>
        </w:rPr>
        <w:t>G</w:t>
      </w:r>
      <w:r w:rsidR="00B97D66" w:rsidRPr="0071782F">
        <w:rPr>
          <w:lang w:val="fr-CH"/>
        </w:rPr>
        <w:t>o</w:t>
      </w:r>
      <w:r w:rsidRPr="0071782F">
        <w:rPr>
          <w:lang w:val="fr-CH"/>
        </w:rPr>
        <w:t xml:space="preserve">nu </w:t>
      </w:r>
      <w:r w:rsidR="00B97D66" w:rsidRPr="0071782F">
        <w:rPr>
          <w:lang w:val="fr-CH"/>
        </w:rPr>
        <w:t>et les inondations dans la partie sud-est du pays</w:t>
      </w:r>
      <w:r w:rsidRPr="0071782F">
        <w:rPr>
          <w:lang w:val="fr-CH"/>
        </w:rPr>
        <w:t xml:space="preserve">, </w:t>
      </w:r>
      <w:r w:rsidR="00B97D66" w:rsidRPr="0071782F">
        <w:rPr>
          <w:lang w:val="fr-CH"/>
        </w:rPr>
        <w:t xml:space="preserve">les inondations de </w:t>
      </w:r>
      <w:r w:rsidRPr="0071782F">
        <w:rPr>
          <w:lang w:val="fr-CH"/>
        </w:rPr>
        <w:t xml:space="preserve">Kashan </w:t>
      </w:r>
      <w:r w:rsidR="00B97D66" w:rsidRPr="0071782F">
        <w:rPr>
          <w:lang w:val="fr-CH"/>
        </w:rPr>
        <w:t xml:space="preserve">et l’épidémie de la province du </w:t>
      </w:r>
      <w:r w:rsidRPr="0071782F">
        <w:rPr>
          <w:lang w:val="fr-CH"/>
        </w:rPr>
        <w:t>Sistan</w:t>
      </w:r>
      <w:r w:rsidR="00B97D66" w:rsidRPr="0071782F">
        <w:rPr>
          <w:lang w:val="fr-CH"/>
        </w:rPr>
        <w:t>-</w:t>
      </w:r>
      <w:r w:rsidRPr="0071782F">
        <w:rPr>
          <w:lang w:val="fr-CH"/>
        </w:rPr>
        <w:t>Bal</w:t>
      </w:r>
      <w:r w:rsidR="00B97D66" w:rsidRPr="0071782F">
        <w:rPr>
          <w:lang w:val="fr-CH"/>
        </w:rPr>
        <w:t>o</w:t>
      </w:r>
      <w:r w:rsidRPr="0071782F">
        <w:rPr>
          <w:lang w:val="fr-CH"/>
        </w:rPr>
        <w:t>u</w:t>
      </w:r>
      <w:r w:rsidR="00B97D66" w:rsidRPr="0071782F">
        <w:rPr>
          <w:lang w:val="fr-CH"/>
        </w:rPr>
        <w:t>tchistan</w:t>
      </w:r>
      <w:r w:rsidRPr="0071782F">
        <w:rPr>
          <w:lang w:val="fr-CH"/>
        </w:rPr>
        <w:t>.</w:t>
      </w:r>
    </w:p>
    <w:p w:rsidR="00E5019F" w:rsidRPr="0071782F" w:rsidRDefault="00E5019F" w:rsidP="00E5019F">
      <w:pPr>
        <w:pStyle w:val="SingleTxtG"/>
        <w:ind w:left="1701"/>
        <w:rPr>
          <w:lang w:val="fr-CH"/>
        </w:rPr>
      </w:pPr>
      <w:r w:rsidRPr="0071782F">
        <w:rPr>
          <w:lang w:val="fr-CH"/>
        </w:rPr>
        <w:t>273.6.</w:t>
      </w:r>
      <w:r w:rsidRPr="0071782F">
        <w:rPr>
          <w:lang w:val="fr-CH"/>
        </w:rPr>
        <w:tab/>
      </w:r>
      <w:r w:rsidR="00D325E9" w:rsidRPr="0071782F">
        <w:rPr>
          <w:lang w:val="fr-CH"/>
        </w:rPr>
        <w:t>Élargissement de 25</w:t>
      </w:r>
      <w:r w:rsidR="007E5125" w:rsidRPr="0071782F">
        <w:rPr>
          <w:lang w:val="fr-CH"/>
        </w:rPr>
        <w:t>%</w:t>
      </w:r>
      <w:r w:rsidR="00D325E9" w:rsidRPr="0071782F">
        <w:rPr>
          <w:lang w:val="fr-CH"/>
        </w:rPr>
        <w:t xml:space="preserve"> du système de </w:t>
      </w:r>
      <w:r w:rsidRPr="0071782F">
        <w:rPr>
          <w:lang w:val="fr-CH"/>
        </w:rPr>
        <w:t xml:space="preserve">triage </w:t>
      </w:r>
      <w:r w:rsidR="00D325E9" w:rsidRPr="0071782F">
        <w:rPr>
          <w:lang w:val="fr-CH"/>
        </w:rPr>
        <w:t>dans les services d’urgences des hôpitaux</w:t>
      </w:r>
      <w:r w:rsidRPr="0071782F">
        <w:rPr>
          <w:lang w:val="fr-CH"/>
        </w:rPr>
        <w:t xml:space="preserve">, </w:t>
      </w:r>
      <w:r w:rsidR="00D325E9" w:rsidRPr="0071782F">
        <w:rPr>
          <w:lang w:val="fr-CH"/>
        </w:rPr>
        <w:t>création à raison de 70</w:t>
      </w:r>
      <w:r w:rsidR="007E5125" w:rsidRPr="0071782F">
        <w:rPr>
          <w:lang w:val="fr-CH"/>
        </w:rPr>
        <w:t>%</w:t>
      </w:r>
      <w:r w:rsidR="00D325E9" w:rsidRPr="0071782F">
        <w:rPr>
          <w:lang w:val="fr-CH"/>
        </w:rPr>
        <w:t xml:space="preserve"> d’une banque de données sur les patients orientés vers les services d’urgences des hôpitaux et réforme à hauteur de 25</w:t>
      </w:r>
      <w:r w:rsidR="007E5125" w:rsidRPr="0071782F">
        <w:rPr>
          <w:lang w:val="fr-CH"/>
        </w:rPr>
        <w:t>%</w:t>
      </w:r>
      <w:r w:rsidR="00D325E9" w:rsidRPr="0071782F">
        <w:rPr>
          <w:lang w:val="fr-CH"/>
        </w:rPr>
        <w:t xml:space="preserve"> du système de requêtes du service d’urgence des hôpitaux</w:t>
      </w:r>
      <w:r w:rsidRPr="0071782F">
        <w:rPr>
          <w:lang w:val="fr-CH"/>
        </w:rPr>
        <w:t>.</w:t>
      </w:r>
    </w:p>
    <w:p w:rsidR="00E5019F" w:rsidRPr="0071782F" w:rsidRDefault="00E5019F" w:rsidP="00E5019F">
      <w:pPr>
        <w:pStyle w:val="SingleTxtG"/>
        <w:ind w:left="1701"/>
        <w:rPr>
          <w:lang w:val="fr-CH"/>
        </w:rPr>
      </w:pPr>
      <w:r w:rsidRPr="0071782F">
        <w:rPr>
          <w:lang w:val="fr-CH"/>
        </w:rPr>
        <w:t>273.7.</w:t>
      </w:r>
      <w:r w:rsidRPr="0071782F">
        <w:rPr>
          <w:lang w:val="fr-CH"/>
        </w:rPr>
        <w:tab/>
      </w:r>
      <w:r w:rsidR="00BD5F61" w:rsidRPr="0071782F">
        <w:rPr>
          <w:lang w:val="fr-CH"/>
        </w:rPr>
        <w:t>Élaboration du P</w:t>
      </w:r>
      <w:r w:rsidRPr="0071782F">
        <w:rPr>
          <w:lang w:val="fr-CH"/>
        </w:rPr>
        <w:t>rogram</w:t>
      </w:r>
      <w:r w:rsidR="00BD5F61" w:rsidRPr="0071782F">
        <w:rPr>
          <w:lang w:val="fr-CH"/>
        </w:rPr>
        <w:t xml:space="preserve">me de </w:t>
      </w:r>
      <w:r w:rsidRPr="0071782F">
        <w:rPr>
          <w:lang w:val="fr-CH"/>
        </w:rPr>
        <w:t>pr</w:t>
      </w:r>
      <w:r w:rsidR="00BD5F61" w:rsidRPr="0071782F">
        <w:rPr>
          <w:lang w:val="fr-CH"/>
        </w:rPr>
        <w:t>é</w:t>
      </w:r>
      <w:r w:rsidRPr="0071782F">
        <w:rPr>
          <w:lang w:val="fr-CH"/>
        </w:rPr>
        <w:t xml:space="preserve">vention </w:t>
      </w:r>
      <w:r w:rsidR="00BD5F61" w:rsidRPr="0071782F">
        <w:rPr>
          <w:lang w:val="fr-CH"/>
        </w:rPr>
        <w:t xml:space="preserve">des catastrophes et des </w:t>
      </w:r>
      <w:r w:rsidRPr="0071782F">
        <w:rPr>
          <w:lang w:val="fr-CH"/>
        </w:rPr>
        <w:t xml:space="preserve">accidents </w:t>
      </w:r>
      <w:r w:rsidR="00BD5F61" w:rsidRPr="0071782F">
        <w:rPr>
          <w:lang w:val="fr-CH"/>
        </w:rPr>
        <w:t xml:space="preserve">et d’amélioration de la sécurité, basé sur le modèle d’une société sûre dans les soins de santé primaires (SSP); amélioration du système de soins en cas d’accident; développement et </w:t>
      </w:r>
      <w:r w:rsidRPr="0071782F">
        <w:rPr>
          <w:lang w:val="fr-CH"/>
        </w:rPr>
        <w:t xml:space="preserve">promotion </w:t>
      </w:r>
      <w:r w:rsidR="00BD5F61" w:rsidRPr="0071782F">
        <w:rPr>
          <w:lang w:val="fr-CH"/>
        </w:rPr>
        <w:t>de la recherche é</w:t>
      </w:r>
      <w:r w:rsidRPr="0071782F">
        <w:rPr>
          <w:lang w:val="fr-CH"/>
        </w:rPr>
        <w:t>pid</w:t>
      </w:r>
      <w:r w:rsidR="00BD5F61" w:rsidRPr="0071782F">
        <w:rPr>
          <w:lang w:val="fr-CH"/>
        </w:rPr>
        <w:t>é</w:t>
      </w:r>
      <w:r w:rsidRPr="0071782F">
        <w:rPr>
          <w:lang w:val="fr-CH"/>
        </w:rPr>
        <w:t>miologi</w:t>
      </w:r>
      <w:r w:rsidR="00BD5F61" w:rsidRPr="0071782F">
        <w:rPr>
          <w:lang w:val="fr-CH"/>
        </w:rPr>
        <w:t xml:space="preserve">que sur les </w:t>
      </w:r>
      <w:r w:rsidRPr="0071782F">
        <w:rPr>
          <w:lang w:val="fr-CH"/>
        </w:rPr>
        <w:t>priorit</w:t>
      </w:r>
      <w:r w:rsidR="00BD5F61" w:rsidRPr="0071782F">
        <w:rPr>
          <w:lang w:val="fr-CH"/>
        </w:rPr>
        <w:t xml:space="preserve">és et les </w:t>
      </w:r>
      <w:r w:rsidRPr="0071782F">
        <w:rPr>
          <w:lang w:val="fr-CH"/>
        </w:rPr>
        <w:t xml:space="preserve">causes </w:t>
      </w:r>
      <w:r w:rsidR="00BD5F61" w:rsidRPr="0071782F">
        <w:rPr>
          <w:lang w:val="fr-CH"/>
        </w:rPr>
        <w:t xml:space="preserve">des </w:t>
      </w:r>
      <w:r w:rsidRPr="0071782F">
        <w:rPr>
          <w:lang w:val="fr-CH"/>
        </w:rPr>
        <w:t>accidents</w:t>
      </w:r>
      <w:r w:rsidR="00BD5F61" w:rsidRPr="0071782F">
        <w:rPr>
          <w:lang w:val="fr-CH"/>
        </w:rPr>
        <w:t>;</w:t>
      </w:r>
      <w:r w:rsidRPr="0071782F">
        <w:rPr>
          <w:lang w:val="fr-CH"/>
        </w:rPr>
        <w:t xml:space="preserve"> </w:t>
      </w:r>
      <w:r w:rsidR="00BD5F61" w:rsidRPr="0071782F">
        <w:rPr>
          <w:lang w:val="fr-CH"/>
        </w:rPr>
        <w:t xml:space="preserve">sensibilisation et </w:t>
      </w:r>
      <w:r w:rsidRPr="0071782F">
        <w:rPr>
          <w:lang w:val="fr-CH"/>
        </w:rPr>
        <w:t xml:space="preserve">participation </w:t>
      </w:r>
      <w:r w:rsidR="00BD5F61" w:rsidRPr="0071782F">
        <w:rPr>
          <w:lang w:val="fr-CH"/>
        </w:rPr>
        <w:t xml:space="preserve">des autorités politiques et sociales à la gestion des accidents; renforcement de la sensibilisation et de la préparation du </w:t>
      </w:r>
      <w:r w:rsidRPr="0071782F">
        <w:rPr>
          <w:lang w:val="fr-CH"/>
        </w:rPr>
        <w:t xml:space="preserve">personnel </w:t>
      </w:r>
      <w:r w:rsidR="00BD5F61" w:rsidRPr="0071782F">
        <w:rPr>
          <w:lang w:val="fr-CH"/>
        </w:rPr>
        <w:t xml:space="preserve">du système de soins de santé à l’action de lutte et de prévention contre les </w:t>
      </w:r>
      <w:r w:rsidRPr="0071782F">
        <w:rPr>
          <w:lang w:val="fr-CH"/>
        </w:rPr>
        <w:t>accidents</w:t>
      </w:r>
      <w:r w:rsidR="00BD5F61" w:rsidRPr="0071782F">
        <w:rPr>
          <w:lang w:val="fr-CH"/>
        </w:rPr>
        <w:t xml:space="preserve">; </w:t>
      </w:r>
      <w:r w:rsidRPr="0071782F">
        <w:rPr>
          <w:lang w:val="fr-CH"/>
        </w:rPr>
        <w:t xml:space="preserve">promotion </w:t>
      </w:r>
      <w:r w:rsidR="00BD5F61" w:rsidRPr="0071782F">
        <w:rPr>
          <w:lang w:val="fr-CH"/>
        </w:rPr>
        <w:t xml:space="preserve">de la coopération </w:t>
      </w:r>
      <w:r w:rsidRPr="0071782F">
        <w:rPr>
          <w:lang w:val="fr-CH"/>
        </w:rPr>
        <w:t>intra</w:t>
      </w:r>
      <w:r w:rsidR="00BD5F61" w:rsidRPr="0071782F">
        <w:rPr>
          <w:lang w:val="fr-CH"/>
        </w:rPr>
        <w:t xml:space="preserve">sectorielle et </w:t>
      </w:r>
      <w:r w:rsidRPr="0071782F">
        <w:rPr>
          <w:lang w:val="fr-CH"/>
        </w:rPr>
        <w:t>intersector</w:t>
      </w:r>
      <w:r w:rsidR="00BD5F61" w:rsidRPr="0071782F">
        <w:rPr>
          <w:lang w:val="fr-CH"/>
        </w:rPr>
        <w:t xml:space="preserve">ielle à la </w:t>
      </w:r>
      <w:r w:rsidRPr="0071782F">
        <w:rPr>
          <w:lang w:val="fr-CH"/>
        </w:rPr>
        <w:t>pr</w:t>
      </w:r>
      <w:r w:rsidR="00BD5F61" w:rsidRPr="0071782F">
        <w:rPr>
          <w:lang w:val="fr-CH"/>
        </w:rPr>
        <w:t>é</w:t>
      </w:r>
      <w:r w:rsidRPr="0071782F">
        <w:rPr>
          <w:lang w:val="fr-CH"/>
        </w:rPr>
        <w:t xml:space="preserve">vention </w:t>
      </w:r>
      <w:r w:rsidR="00BD5F61" w:rsidRPr="0071782F">
        <w:rPr>
          <w:lang w:val="fr-CH"/>
        </w:rPr>
        <w:t xml:space="preserve">des catastrophes, </w:t>
      </w:r>
      <w:r w:rsidRPr="0071782F">
        <w:rPr>
          <w:lang w:val="fr-CH"/>
        </w:rPr>
        <w:t>etc.</w:t>
      </w:r>
    </w:p>
    <w:p w:rsidR="00E5019F" w:rsidRPr="0071782F" w:rsidRDefault="00E5019F" w:rsidP="00E5019F">
      <w:pPr>
        <w:pStyle w:val="H1G"/>
        <w:rPr>
          <w:rtl/>
          <w:lang w:val="fr-CH"/>
        </w:rPr>
      </w:pPr>
      <w:r w:rsidRPr="0071782F">
        <w:rPr>
          <w:lang w:val="fr-CH"/>
        </w:rPr>
        <w:tab/>
      </w:r>
      <w:r w:rsidRPr="0071782F">
        <w:rPr>
          <w:lang w:val="fr-CH"/>
        </w:rPr>
        <w:tab/>
        <w:t xml:space="preserve">Production </w:t>
      </w:r>
      <w:r w:rsidR="00BD5F61" w:rsidRPr="0071782F">
        <w:rPr>
          <w:lang w:val="fr-CH"/>
        </w:rPr>
        <w:t xml:space="preserve">d’équipements médicaux </w:t>
      </w:r>
    </w:p>
    <w:p w:rsidR="00E5019F" w:rsidRPr="0071782F" w:rsidRDefault="00E5019F" w:rsidP="00E5019F">
      <w:pPr>
        <w:pStyle w:val="SingleTxtG"/>
        <w:rPr>
          <w:lang w:val="fr-CH"/>
        </w:rPr>
      </w:pPr>
      <w:r w:rsidRPr="0071782F">
        <w:rPr>
          <w:lang w:val="fr-CH"/>
        </w:rPr>
        <w:t>274.</w:t>
      </w:r>
      <w:r w:rsidRPr="0071782F">
        <w:rPr>
          <w:lang w:val="fr-CH"/>
        </w:rPr>
        <w:tab/>
      </w:r>
      <w:r w:rsidR="00952628"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274.1.</w:t>
      </w:r>
      <w:r w:rsidRPr="0071782F">
        <w:rPr>
          <w:lang w:val="fr-CH"/>
        </w:rPr>
        <w:tab/>
      </w:r>
      <w:r w:rsidR="00BD5F61" w:rsidRPr="0071782F">
        <w:rPr>
          <w:lang w:val="fr-CH"/>
        </w:rPr>
        <w:t xml:space="preserve">Pendant la période </w:t>
      </w:r>
      <w:r w:rsidRPr="0071782F">
        <w:rPr>
          <w:lang w:val="fr-CH"/>
        </w:rPr>
        <w:t>2005</w:t>
      </w:r>
      <w:r w:rsidR="00BD5F61" w:rsidRPr="0071782F">
        <w:rPr>
          <w:lang w:val="fr-CH"/>
        </w:rPr>
        <w:t>-</w:t>
      </w:r>
      <w:r w:rsidRPr="0071782F">
        <w:rPr>
          <w:lang w:val="fr-CH"/>
        </w:rPr>
        <w:t xml:space="preserve">2009, </w:t>
      </w:r>
      <w:r w:rsidR="0036523D" w:rsidRPr="0071782F">
        <w:rPr>
          <w:lang w:val="fr-CH"/>
        </w:rPr>
        <w:t xml:space="preserve">la </w:t>
      </w:r>
      <w:r w:rsidRPr="0071782F">
        <w:rPr>
          <w:lang w:val="fr-CH"/>
        </w:rPr>
        <w:t xml:space="preserve">production </w:t>
      </w:r>
      <w:r w:rsidR="0036523D" w:rsidRPr="0071782F">
        <w:rPr>
          <w:lang w:val="fr-CH"/>
        </w:rPr>
        <w:t>d’équipements médicaux a enregistré une croissance remarquable.</w:t>
      </w:r>
      <w:r w:rsidRPr="0071782F">
        <w:rPr>
          <w:lang w:val="fr-CH"/>
        </w:rPr>
        <w:t xml:space="preserve"> </w:t>
      </w:r>
      <w:r w:rsidR="0036523D" w:rsidRPr="0071782F">
        <w:rPr>
          <w:lang w:val="fr-CH"/>
        </w:rPr>
        <w:t xml:space="preserve">Le </w:t>
      </w:r>
      <w:r w:rsidR="003B48A4" w:rsidRPr="0071782F">
        <w:rPr>
          <w:lang w:val="fr-CH"/>
        </w:rPr>
        <w:t>nombre</w:t>
      </w:r>
      <w:r w:rsidRPr="0071782F">
        <w:rPr>
          <w:lang w:val="fr-CH"/>
        </w:rPr>
        <w:t xml:space="preserve"> </w:t>
      </w:r>
      <w:r w:rsidR="0036523D" w:rsidRPr="0071782F">
        <w:rPr>
          <w:lang w:val="fr-CH"/>
        </w:rPr>
        <w:t xml:space="preserve">d’usines de fabrication d’équipements médicaux est passé de </w:t>
      </w:r>
      <w:r w:rsidRPr="0071782F">
        <w:rPr>
          <w:lang w:val="fr-CH"/>
        </w:rPr>
        <w:t xml:space="preserve">350 </w:t>
      </w:r>
      <w:r w:rsidR="0036523D" w:rsidRPr="0071782F">
        <w:rPr>
          <w:lang w:val="fr-CH"/>
        </w:rPr>
        <w:t>à</w:t>
      </w:r>
      <w:r w:rsidRPr="0071782F">
        <w:rPr>
          <w:lang w:val="fr-CH"/>
        </w:rPr>
        <w:t xml:space="preserve"> 450</w:t>
      </w:r>
      <w:r w:rsidR="0036523D" w:rsidRPr="0071782F">
        <w:rPr>
          <w:lang w:val="fr-CH"/>
        </w:rPr>
        <w:t xml:space="preserve">, ce qui représente un taux de croissance de </w:t>
      </w:r>
      <w:r w:rsidRPr="0071782F">
        <w:rPr>
          <w:lang w:val="fr-CH"/>
        </w:rPr>
        <w:t>28</w:t>
      </w:r>
      <w:r w:rsidR="007E5125" w:rsidRPr="0071782F">
        <w:rPr>
          <w:lang w:val="fr-CH"/>
        </w:rPr>
        <w:t>%</w:t>
      </w:r>
      <w:r w:rsidRPr="0071782F">
        <w:rPr>
          <w:lang w:val="fr-CH"/>
        </w:rPr>
        <w:t xml:space="preserve">. </w:t>
      </w:r>
      <w:r w:rsidR="0036523D" w:rsidRPr="0071782F">
        <w:rPr>
          <w:lang w:val="fr-CH"/>
        </w:rPr>
        <w:t xml:space="preserve">Le </w:t>
      </w:r>
      <w:r w:rsidR="003B48A4" w:rsidRPr="0071782F">
        <w:rPr>
          <w:lang w:val="fr-CH"/>
        </w:rPr>
        <w:t>nombre</w:t>
      </w:r>
      <w:r w:rsidRPr="0071782F">
        <w:rPr>
          <w:lang w:val="fr-CH"/>
        </w:rPr>
        <w:t xml:space="preserve"> </w:t>
      </w:r>
      <w:r w:rsidR="0036523D" w:rsidRPr="0071782F">
        <w:rPr>
          <w:lang w:val="fr-CH"/>
        </w:rPr>
        <w:t>d’</w:t>
      </w:r>
      <w:r w:rsidR="00887956">
        <w:rPr>
          <w:lang w:val="fr-CH"/>
        </w:rPr>
        <w:t xml:space="preserve">articles </w:t>
      </w:r>
      <w:r w:rsidR="0036523D" w:rsidRPr="0071782F">
        <w:rPr>
          <w:lang w:val="fr-CH"/>
        </w:rPr>
        <w:t xml:space="preserve">fabriqués est passé de </w:t>
      </w:r>
      <w:r w:rsidRPr="0071782F">
        <w:rPr>
          <w:lang w:val="fr-CH"/>
        </w:rPr>
        <w:t xml:space="preserve">450 </w:t>
      </w:r>
      <w:r w:rsidR="0036523D" w:rsidRPr="0071782F">
        <w:rPr>
          <w:lang w:val="fr-CH"/>
        </w:rPr>
        <w:t>à</w:t>
      </w:r>
      <w:r w:rsidRPr="0071782F">
        <w:rPr>
          <w:lang w:val="fr-CH"/>
        </w:rPr>
        <w:t xml:space="preserve"> 550.</w:t>
      </w:r>
      <w:r w:rsidR="0036523D" w:rsidRPr="0071782F">
        <w:rPr>
          <w:lang w:val="fr-CH"/>
        </w:rPr>
        <w:t xml:space="preserve"> En outre, plus de </w:t>
      </w:r>
      <w:r w:rsidRPr="0071782F">
        <w:rPr>
          <w:lang w:val="fr-CH"/>
        </w:rPr>
        <w:t>85</w:t>
      </w:r>
      <w:r w:rsidR="007E5125" w:rsidRPr="0071782F">
        <w:rPr>
          <w:lang w:val="fr-CH"/>
        </w:rPr>
        <w:t>%</w:t>
      </w:r>
      <w:r w:rsidRPr="0071782F">
        <w:rPr>
          <w:lang w:val="fr-CH"/>
        </w:rPr>
        <w:t xml:space="preserve"> </w:t>
      </w:r>
      <w:r w:rsidR="0036523D" w:rsidRPr="0071782F">
        <w:rPr>
          <w:lang w:val="fr-CH"/>
        </w:rPr>
        <w:t>des accessoires médicaux à usage unique inclus dans les équipements de laboratoire, des instruments dentaires et d’un large éventail d’équipements médicaux de très grande qualité sont fabriqués dans le pays</w:t>
      </w:r>
      <w:r w:rsidRPr="0071782F">
        <w:rPr>
          <w:lang w:val="fr-CH"/>
        </w:rPr>
        <w:t xml:space="preserve">. </w:t>
      </w:r>
    </w:p>
    <w:p w:rsidR="00E5019F" w:rsidRPr="0071782F" w:rsidRDefault="00E5019F" w:rsidP="00E5019F">
      <w:pPr>
        <w:pStyle w:val="SingleTxtG"/>
        <w:ind w:left="1701"/>
        <w:rPr>
          <w:lang w:val="fr-CH"/>
        </w:rPr>
      </w:pPr>
      <w:r w:rsidRPr="0071782F">
        <w:rPr>
          <w:lang w:val="fr-CH"/>
        </w:rPr>
        <w:t>274.2.</w:t>
      </w:r>
      <w:r w:rsidRPr="0071782F">
        <w:rPr>
          <w:lang w:val="fr-CH"/>
        </w:rPr>
        <w:tab/>
      </w:r>
      <w:r w:rsidR="00A76830" w:rsidRPr="0071782F">
        <w:rPr>
          <w:lang w:val="fr-CH"/>
        </w:rPr>
        <w:t>Les exportations d’équipements médicaux ont doublé en volume et en valeur, celle-ci passant de 4,</w:t>
      </w:r>
      <w:r w:rsidRPr="0071782F">
        <w:rPr>
          <w:lang w:val="fr-CH"/>
        </w:rPr>
        <w:t>27</w:t>
      </w:r>
      <w:r w:rsidR="00097CDB" w:rsidRPr="0071782F">
        <w:rPr>
          <w:lang w:val="fr-CH"/>
        </w:rPr>
        <w:t> millions</w:t>
      </w:r>
      <w:r w:rsidR="00A76830" w:rsidRPr="0071782F">
        <w:rPr>
          <w:lang w:val="fr-CH"/>
        </w:rPr>
        <w:t xml:space="preserve"> de</w:t>
      </w:r>
      <w:r w:rsidRPr="0071782F">
        <w:rPr>
          <w:lang w:val="fr-CH"/>
        </w:rPr>
        <w:t xml:space="preserve"> dollars </w:t>
      </w:r>
      <w:r w:rsidR="00A76830" w:rsidRPr="0071782F">
        <w:rPr>
          <w:lang w:val="fr-CH"/>
        </w:rPr>
        <w:t>à</w:t>
      </w:r>
      <w:r w:rsidRPr="0071782F">
        <w:rPr>
          <w:lang w:val="fr-CH"/>
        </w:rPr>
        <w:t xml:space="preserve"> 8</w:t>
      </w:r>
      <w:r w:rsidR="00A76830" w:rsidRPr="0071782F">
        <w:rPr>
          <w:lang w:val="fr-CH"/>
        </w:rPr>
        <w:t>,</w:t>
      </w:r>
      <w:r w:rsidRPr="0071782F">
        <w:rPr>
          <w:lang w:val="fr-CH"/>
        </w:rPr>
        <w:t>53</w:t>
      </w:r>
      <w:r w:rsidR="00097CDB" w:rsidRPr="0071782F">
        <w:rPr>
          <w:lang w:val="fr-CH"/>
        </w:rPr>
        <w:t> millions</w:t>
      </w:r>
      <w:r w:rsidRPr="0071782F">
        <w:rPr>
          <w:lang w:val="fr-CH"/>
        </w:rPr>
        <w:t xml:space="preserve">. </w:t>
      </w:r>
      <w:r w:rsidR="00A76830" w:rsidRPr="0071782F">
        <w:rPr>
          <w:lang w:val="fr-CH"/>
        </w:rPr>
        <w:t xml:space="preserve">La fabrication nationale de </w:t>
      </w:r>
      <w:r w:rsidRPr="0071782F">
        <w:rPr>
          <w:lang w:val="fr-CH"/>
        </w:rPr>
        <w:t>diff</w:t>
      </w:r>
      <w:r w:rsidR="00A76830" w:rsidRPr="0071782F">
        <w:rPr>
          <w:lang w:val="fr-CH"/>
        </w:rPr>
        <w:t>é</w:t>
      </w:r>
      <w:r w:rsidRPr="0071782F">
        <w:rPr>
          <w:lang w:val="fr-CH"/>
        </w:rPr>
        <w:t>rent</w:t>
      </w:r>
      <w:r w:rsidR="00A76830" w:rsidRPr="0071782F">
        <w:rPr>
          <w:lang w:val="fr-CH"/>
        </w:rPr>
        <w:t xml:space="preserve">s produits de diagnostic a elle aussi doublé, atteignant </w:t>
      </w:r>
      <w:r w:rsidRPr="0071782F">
        <w:rPr>
          <w:lang w:val="fr-CH"/>
        </w:rPr>
        <w:t>600</w:t>
      </w:r>
      <w:r w:rsidR="000613AA">
        <w:rPr>
          <w:lang w:val="fr-CH"/>
        </w:rPr>
        <w:t> </w:t>
      </w:r>
      <w:r w:rsidR="00A76830" w:rsidRPr="0071782F">
        <w:rPr>
          <w:lang w:val="fr-CH"/>
        </w:rPr>
        <w:t>articles</w:t>
      </w:r>
      <w:r w:rsidRPr="0071782F">
        <w:rPr>
          <w:lang w:val="fr-CH"/>
        </w:rPr>
        <w:t>,</w:t>
      </w:r>
      <w:r w:rsidR="00A76830" w:rsidRPr="0071782F">
        <w:rPr>
          <w:lang w:val="fr-CH"/>
        </w:rPr>
        <w:t xml:space="preserve"> ce qui a permis de porter la valeur de leurs exportations à six</w:t>
      </w:r>
      <w:r w:rsidR="00097CDB" w:rsidRPr="0071782F">
        <w:rPr>
          <w:lang w:val="fr-CH"/>
        </w:rPr>
        <w:t> millions</w:t>
      </w:r>
      <w:r w:rsidR="00A76830" w:rsidRPr="0071782F">
        <w:rPr>
          <w:lang w:val="fr-CH"/>
        </w:rPr>
        <w:t xml:space="preserve"> de dollars, soit un taux de croissance de </w:t>
      </w:r>
      <w:r w:rsidRPr="0071782F">
        <w:rPr>
          <w:lang w:val="fr-CH"/>
        </w:rPr>
        <w:t>62</w:t>
      </w:r>
      <w:r w:rsidR="007E5125" w:rsidRPr="0071782F">
        <w:rPr>
          <w:lang w:val="fr-CH"/>
        </w:rPr>
        <w:t>%</w:t>
      </w:r>
      <w:r w:rsidRPr="0071782F">
        <w:rPr>
          <w:lang w:val="fr-CH"/>
        </w:rPr>
        <w:t>.</w:t>
      </w:r>
    </w:p>
    <w:p w:rsidR="00E5019F" w:rsidRPr="0071782F" w:rsidRDefault="00E5019F" w:rsidP="00E5019F">
      <w:pPr>
        <w:pStyle w:val="SingleTxtG"/>
        <w:ind w:left="1701"/>
        <w:rPr>
          <w:spacing w:val="-2"/>
          <w:lang w:val="fr-CH"/>
        </w:rPr>
      </w:pPr>
      <w:r w:rsidRPr="0071782F">
        <w:rPr>
          <w:spacing w:val="-2"/>
          <w:lang w:val="fr-CH"/>
        </w:rPr>
        <w:t>274.3.</w:t>
      </w:r>
      <w:r w:rsidRPr="0071782F">
        <w:rPr>
          <w:spacing w:val="-2"/>
          <w:lang w:val="fr-CH"/>
        </w:rPr>
        <w:tab/>
      </w:r>
      <w:r w:rsidR="00A76830" w:rsidRPr="0071782F">
        <w:rPr>
          <w:spacing w:val="-2"/>
          <w:lang w:val="fr-CH"/>
        </w:rPr>
        <w:t>Délivrance de certificats d’identité professionnelle pour les entreprises de fabrication d’équipements médicaux et enregistrement</w:t>
      </w:r>
      <w:r w:rsidR="00887956">
        <w:rPr>
          <w:spacing w:val="-2"/>
          <w:lang w:val="fr-CH"/>
        </w:rPr>
        <w:t xml:space="preserve"> de sociétés internationales. À </w:t>
      </w:r>
      <w:r w:rsidR="00A76830" w:rsidRPr="0071782F">
        <w:rPr>
          <w:spacing w:val="-2"/>
          <w:lang w:val="fr-CH"/>
        </w:rPr>
        <w:t>l</w:t>
      </w:r>
      <w:r w:rsidR="00887956">
        <w:rPr>
          <w:spacing w:val="-2"/>
          <w:lang w:val="fr-CH"/>
        </w:rPr>
        <w:t>'</w:t>
      </w:r>
      <w:r w:rsidR="00A76830" w:rsidRPr="0071782F">
        <w:rPr>
          <w:spacing w:val="-2"/>
          <w:lang w:val="fr-CH"/>
        </w:rPr>
        <w:t xml:space="preserve">heure actuelle, il existe dans le pays </w:t>
      </w:r>
      <w:r w:rsidRPr="0071782F">
        <w:rPr>
          <w:spacing w:val="-2"/>
          <w:lang w:val="fr-CH"/>
        </w:rPr>
        <w:t>2</w:t>
      </w:r>
      <w:r w:rsidR="00FF1C6B" w:rsidRPr="0071782F">
        <w:rPr>
          <w:spacing w:val="-2"/>
          <w:lang w:val="fr-CH"/>
        </w:rPr>
        <w:t> </w:t>
      </w:r>
      <w:r w:rsidRPr="0071782F">
        <w:rPr>
          <w:spacing w:val="-2"/>
          <w:lang w:val="fr-CH"/>
        </w:rPr>
        <w:t>216</w:t>
      </w:r>
      <w:r w:rsidR="00FF1C6B" w:rsidRPr="0071782F">
        <w:rPr>
          <w:spacing w:val="-2"/>
          <w:lang w:val="fr-CH"/>
        </w:rPr>
        <w:t> </w:t>
      </w:r>
      <w:r w:rsidR="00A76830" w:rsidRPr="0071782F">
        <w:rPr>
          <w:spacing w:val="-2"/>
          <w:lang w:val="fr-CH"/>
        </w:rPr>
        <w:t>entreprises de fabrication d’équipements médicaux, qui représentent plus de 5 500</w:t>
      </w:r>
      <w:r w:rsidR="00FF1C6B" w:rsidRPr="0071782F">
        <w:rPr>
          <w:spacing w:val="-2"/>
          <w:lang w:val="fr-CH"/>
        </w:rPr>
        <w:t> </w:t>
      </w:r>
      <w:r w:rsidR="00A76830" w:rsidRPr="0071782F">
        <w:rPr>
          <w:spacing w:val="-2"/>
          <w:lang w:val="fr-CH"/>
        </w:rPr>
        <w:t>sociétés internationales conformément aux règles édictées par le Ministère de la santé et de la formation médicale.</w:t>
      </w:r>
      <w:r w:rsidRPr="0071782F">
        <w:rPr>
          <w:spacing w:val="-2"/>
          <w:lang w:val="fr-CH"/>
        </w:rPr>
        <w:t xml:space="preserve"> </w:t>
      </w:r>
    </w:p>
    <w:p w:rsidR="00E5019F" w:rsidRPr="0071782F" w:rsidRDefault="00E5019F" w:rsidP="00E5019F">
      <w:pPr>
        <w:pStyle w:val="SingleTxtG"/>
        <w:ind w:left="1701"/>
        <w:rPr>
          <w:lang w:val="fr-CH"/>
        </w:rPr>
      </w:pPr>
      <w:r w:rsidRPr="0071782F">
        <w:rPr>
          <w:lang w:val="fr-CH"/>
        </w:rPr>
        <w:t>274.4.</w:t>
      </w:r>
      <w:r w:rsidRPr="0071782F">
        <w:rPr>
          <w:lang w:val="fr-CH"/>
        </w:rPr>
        <w:tab/>
      </w:r>
      <w:r w:rsidR="00A76830" w:rsidRPr="0071782F">
        <w:rPr>
          <w:lang w:val="fr-CH"/>
        </w:rPr>
        <w:t xml:space="preserve">Au cours de la période considérée, les </w:t>
      </w:r>
      <w:r w:rsidR="00041CA2" w:rsidRPr="0071782F">
        <w:rPr>
          <w:lang w:val="fr-CH"/>
        </w:rPr>
        <w:t>méthodes de contrôle de la qual</w:t>
      </w:r>
      <w:r w:rsidR="00A76830" w:rsidRPr="0071782F">
        <w:rPr>
          <w:lang w:val="fr-CH"/>
        </w:rPr>
        <w:t>i</w:t>
      </w:r>
      <w:r w:rsidR="00041CA2" w:rsidRPr="0071782F">
        <w:rPr>
          <w:lang w:val="fr-CH"/>
        </w:rPr>
        <w:t>t</w:t>
      </w:r>
      <w:r w:rsidR="00A76830" w:rsidRPr="0071782F">
        <w:rPr>
          <w:lang w:val="fr-CH"/>
        </w:rPr>
        <w:t>é se sont adaptées aux normes internationales les plus récentes et une attention particulière a été accordée aux normes de</w:t>
      </w:r>
      <w:r w:rsidRPr="0071782F">
        <w:rPr>
          <w:lang w:val="fr-CH"/>
        </w:rPr>
        <w:t xml:space="preserve"> production</w:t>
      </w:r>
      <w:r w:rsidR="00A76830" w:rsidRPr="0071782F">
        <w:rPr>
          <w:lang w:val="fr-CH"/>
        </w:rPr>
        <w:t xml:space="preserve"> et à la </w:t>
      </w:r>
      <w:r w:rsidRPr="0071782F">
        <w:rPr>
          <w:lang w:val="fr-CH"/>
        </w:rPr>
        <w:t xml:space="preserve">promotion </w:t>
      </w:r>
      <w:r w:rsidR="00A76830" w:rsidRPr="0071782F">
        <w:rPr>
          <w:lang w:val="fr-CH"/>
        </w:rPr>
        <w:t xml:space="preserve">de la </w:t>
      </w:r>
      <w:r w:rsidRPr="0071782F">
        <w:rPr>
          <w:lang w:val="fr-CH"/>
        </w:rPr>
        <w:t>qualit</w:t>
      </w:r>
      <w:r w:rsidR="00A76830" w:rsidRPr="0071782F">
        <w:rPr>
          <w:lang w:val="fr-CH"/>
        </w:rPr>
        <w:t xml:space="preserve">é et du contrôle des équipements médicaux, au point qu’en une seule année (l’année écoulée), </w:t>
      </w:r>
      <w:r w:rsidRPr="0071782F">
        <w:rPr>
          <w:lang w:val="fr-CH"/>
        </w:rPr>
        <w:t xml:space="preserve">120 </w:t>
      </w:r>
      <w:r w:rsidR="00887956">
        <w:rPr>
          <w:lang w:val="fr-CH"/>
        </w:rPr>
        <w:t xml:space="preserve">articles </w:t>
      </w:r>
      <w:r w:rsidR="00A76830" w:rsidRPr="0071782F">
        <w:rPr>
          <w:lang w:val="fr-CH"/>
        </w:rPr>
        <w:t xml:space="preserve">fabriqués sur </w:t>
      </w:r>
      <w:r w:rsidRPr="0071782F">
        <w:rPr>
          <w:lang w:val="fr-CH"/>
        </w:rPr>
        <w:t xml:space="preserve">550 </w:t>
      </w:r>
      <w:r w:rsidR="00A76830" w:rsidRPr="0071782F">
        <w:rPr>
          <w:lang w:val="fr-CH"/>
        </w:rPr>
        <w:t>ont été déclarés conformes aux critères de l’Union européenne</w:t>
      </w:r>
      <w:r w:rsidRPr="0071782F">
        <w:rPr>
          <w:lang w:val="fr-CH"/>
        </w:rPr>
        <w:t>.</w:t>
      </w:r>
    </w:p>
    <w:p w:rsidR="00E5019F" w:rsidRPr="0071782F" w:rsidRDefault="00E5019F" w:rsidP="00E5019F">
      <w:pPr>
        <w:pStyle w:val="SingleTxtG"/>
        <w:ind w:left="1701"/>
        <w:rPr>
          <w:lang w:val="fr-CH"/>
        </w:rPr>
      </w:pPr>
      <w:r w:rsidRPr="0071782F">
        <w:rPr>
          <w:lang w:val="fr-CH"/>
        </w:rPr>
        <w:t>274.5.</w:t>
      </w:r>
      <w:r w:rsidRPr="0071782F">
        <w:rPr>
          <w:lang w:val="fr-CH"/>
        </w:rPr>
        <w:tab/>
        <w:t>R</w:t>
      </w:r>
      <w:r w:rsidR="004E6305" w:rsidRPr="0071782F">
        <w:rPr>
          <w:lang w:val="fr-CH"/>
        </w:rPr>
        <w:t xml:space="preserve">égulation de l’exposition d’équipements médicaux, l’accent étant mis sur la fourniture de services après-vente, </w:t>
      </w:r>
      <w:r w:rsidRPr="0071782F">
        <w:rPr>
          <w:lang w:val="fr-CH"/>
        </w:rPr>
        <w:t>syst</w:t>
      </w:r>
      <w:r w:rsidR="004E6305" w:rsidRPr="0071782F">
        <w:rPr>
          <w:lang w:val="fr-CH"/>
        </w:rPr>
        <w:t>é</w:t>
      </w:r>
      <w:r w:rsidRPr="0071782F">
        <w:rPr>
          <w:lang w:val="fr-CH"/>
        </w:rPr>
        <w:t>mati</w:t>
      </w:r>
      <w:r w:rsidR="004E6305" w:rsidRPr="0071782F">
        <w:rPr>
          <w:lang w:val="fr-CH"/>
        </w:rPr>
        <w:t xml:space="preserve">sation des </w:t>
      </w:r>
      <w:r w:rsidRPr="0071782F">
        <w:rPr>
          <w:lang w:val="fr-CH"/>
        </w:rPr>
        <w:t xml:space="preserve">services </w:t>
      </w:r>
      <w:r w:rsidR="004E6305" w:rsidRPr="0071782F">
        <w:rPr>
          <w:lang w:val="fr-CH"/>
        </w:rPr>
        <w:t>et évaluation des fabricants d’équipements médicaux, suivi et é</w:t>
      </w:r>
      <w:r w:rsidRPr="0071782F">
        <w:rPr>
          <w:lang w:val="fr-CH"/>
        </w:rPr>
        <w:t xml:space="preserve">valuation </w:t>
      </w:r>
      <w:r w:rsidR="004E6305" w:rsidRPr="0071782F">
        <w:rPr>
          <w:lang w:val="fr-CH"/>
        </w:rPr>
        <w:t xml:space="preserve">du processus de production d’équipements médicaux, instruction de </w:t>
      </w:r>
      <w:r w:rsidRPr="0071782F">
        <w:rPr>
          <w:lang w:val="fr-CH"/>
        </w:rPr>
        <w:t>4</w:t>
      </w:r>
      <w:r w:rsidR="00FF1C6B" w:rsidRPr="0071782F">
        <w:rPr>
          <w:lang w:val="fr-CH"/>
        </w:rPr>
        <w:t> </w:t>
      </w:r>
      <w:r w:rsidRPr="0071782F">
        <w:rPr>
          <w:lang w:val="fr-CH"/>
        </w:rPr>
        <w:t>000</w:t>
      </w:r>
      <w:r w:rsidR="00FF1C6B" w:rsidRPr="0071782F">
        <w:rPr>
          <w:lang w:val="fr-CH"/>
        </w:rPr>
        <w:t> </w:t>
      </w:r>
      <w:r w:rsidR="004E6305" w:rsidRPr="0071782F">
        <w:rPr>
          <w:lang w:val="fr-CH"/>
        </w:rPr>
        <w:t>réclamations et</w:t>
      </w:r>
      <w:r w:rsidRPr="0071782F">
        <w:rPr>
          <w:lang w:val="fr-CH"/>
        </w:rPr>
        <w:t xml:space="preserve"> inspection </w:t>
      </w:r>
      <w:r w:rsidR="004E6305" w:rsidRPr="0071782F">
        <w:rPr>
          <w:lang w:val="fr-CH"/>
        </w:rPr>
        <w:t xml:space="preserve">et régulation de l’importation, de la fourniture et de la </w:t>
      </w:r>
      <w:r w:rsidRPr="0071782F">
        <w:rPr>
          <w:lang w:val="fr-CH"/>
        </w:rPr>
        <w:t xml:space="preserve">distribution </w:t>
      </w:r>
      <w:r w:rsidR="004E6305" w:rsidRPr="0071782F">
        <w:rPr>
          <w:lang w:val="fr-CH"/>
        </w:rPr>
        <w:t xml:space="preserve">d’équipements médicaux par le biais de la </w:t>
      </w:r>
      <w:r w:rsidRPr="0071782F">
        <w:rPr>
          <w:lang w:val="fr-CH"/>
        </w:rPr>
        <w:t xml:space="preserve">formulation </w:t>
      </w:r>
      <w:r w:rsidR="004E6305" w:rsidRPr="0071782F">
        <w:rPr>
          <w:lang w:val="fr-CH"/>
        </w:rPr>
        <w:t>des règles correspondantes</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4E6305" w:rsidRPr="0071782F">
        <w:rPr>
          <w:lang w:val="fr-CH"/>
        </w:rPr>
        <w:t xml:space="preserve">Fourniture de médicaments et </w:t>
      </w:r>
      <w:r w:rsidRPr="0071782F">
        <w:rPr>
          <w:lang w:val="fr-CH"/>
        </w:rPr>
        <w:t xml:space="preserve">promotion </w:t>
      </w:r>
      <w:r w:rsidR="004E6305" w:rsidRPr="0071782F">
        <w:rPr>
          <w:lang w:val="fr-CH"/>
        </w:rPr>
        <w:t xml:space="preserve">de la sécurité alimentaire </w:t>
      </w:r>
    </w:p>
    <w:p w:rsidR="00E5019F" w:rsidRPr="0071782F" w:rsidRDefault="00E5019F" w:rsidP="00E5019F">
      <w:pPr>
        <w:pStyle w:val="H23G"/>
        <w:rPr>
          <w:lang w:val="fr-CH"/>
        </w:rPr>
      </w:pPr>
      <w:r w:rsidRPr="0071782F">
        <w:rPr>
          <w:lang w:val="fr-CH"/>
        </w:rPr>
        <w:tab/>
      </w:r>
      <w:r w:rsidRPr="0071782F">
        <w:rPr>
          <w:lang w:val="fr-CH"/>
        </w:rPr>
        <w:tab/>
      </w:r>
      <w:r w:rsidR="004E6305" w:rsidRPr="0071782F">
        <w:rPr>
          <w:lang w:val="fr-CH"/>
        </w:rPr>
        <w:t>Fourniture de médicaments</w:t>
      </w:r>
    </w:p>
    <w:p w:rsidR="00E5019F" w:rsidRPr="0071782F" w:rsidRDefault="00E5019F" w:rsidP="00E5019F">
      <w:pPr>
        <w:pStyle w:val="SingleTxtG"/>
        <w:rPr>
          <w:lang w:val="fr-CH"/>
        </w:rPr>
      </w:pPr>
      <w:r w:rsidRPr="0071782F">
        <w:rPr>
          <w:lang w:val="fr-CH"/>
        </w:rPr>
        <w:t>275.</w:t>
      </w:r>
      <w:r w:rsidRPr="0071782F">
        <w:rPr>
          <w:lang w:val="fr-CH"/>
        </w:rPr>
        <w:tab/>
      </w:r>
      <w:r w:rsidR="00041CA2" w:rsidRPr="0071782F">
        <w:rPr>
          <w:lang w:val="fr-CH"/>
        </w:rPr>
        <w:t>À ce sujet, il convient de noter ce qui suit</w:t>
      </w:r>
      <w:r w:rsidR="008F7D33" w:rsidRPr="0071782F">
        <w:rPr>
          <w:lang w:val="fr-CH"/>
        </w:rPr>
        <w:t>:</w:t>
      </w:r>
    </w:p>
    <w:p w:rsidR="00E5019F" w:rsidRPr="000613AA" w:rsidRDefault="00E5019F" w:rsidP="00E5019F">
      <w:pPr>
        <w:pStyle w:val="SingleTxtG"/>
        <w:ind w:left="1701"/>
        <w:rPr>
          <w:spacing w:val="-2"/>
          <w:lang w:val="fr-CH"/>
        </w:rPr>
      </w:pPr>
      <w:r w:rsidRPr="000613AA">
        <w:rPr>
          <w:spacing w:val="-2"/>
          <w:lang w:val="fr-CH"/>
        </w:rPr>
        <w:t>275.1.</w:t>
      </w:r>
      <w:r w:rsidRPr="000613AA">
        <w:rPr>
          <w:spacing w:val="-2"/>
          <w:lang w:val="fr-CH"/>
        </w:rPr>
        <w:tab/>
      </w:r>
      <w:r w:rsidR="00A30B84" w:rsidRPr="000613AA">
        <w:rPr>
          <w:spacing w:val="-2"/>
          <w:lang w:val="fr-CH"/>
        </w:rPr>
        <w:t xml:space="preserve">La production nationale couvre la plus grande partie des besoins du pays en médicaments. Au nombre des succès remportés dans ce domaine, on peut citer la production d’un médicament anti-sida (IMOD), d’un médicament contre les ulcères au pied des diabétiques (Angipars) et du Deferasirox, qui permet pour la première fois au monde de traiter l’anémie chez </w:t>
      </w:r>
      <w:r w:rsidR="00A233C2" w:rsidRPr="000613AA">
        <w:rPr>
          <w:spacing w:val="-2"/>
          <w:lang w:val="fr-CH"/>
        </w:rPr>
        <w:t>les personnes</w:t>
      </w:r>
      <w:r w:rsidR="00A30B84" w:rsidRPr="000613AA">
        <w:rPr>
          <w:spacing w:val="-2"/>
          <w:lang w:val="fr-CH"/>
        </w:rPr>
        <w:t xml:space="preserve"> atteintes de thalassémie</w:t>
      </w:r>
      <w:r w:rsidRPr="000613AA">
        <w:rPr>
          <w:spacing w:val="-2"/>
          <w:lang w:val="fr-CH"/>
        </w:rPr>
        <w:t xml:space="preserve">. </w:t>
      </w:r>
      <w:r w:rsidR="00A30B84" w:rsidRPr="000613AA">
        <w:rPr>
          <w:spacing w:val="-2"/>
          <w:lang w:val="fr-CH"/>
        </w:rPr>
        <w:t>Par ailleurs, le pays a fabriqué et commercialisé des médicaments sophistiqués pour le traitement de la sclérose en plaques (interféron bêta), de la thalassémie (Deferasirox), du cancer et de l’hépatite C (interféron pégylé, interféron gamma, érythropoïétine bêta). De plus, des trousses de dépistage du VIH</w:t>
      </w:r>
      <w:r w:rsidRPr="000613AA">
        <w:rPr>
          <w:spacing w:val="-2"/>
          <w:lang w:val="fr-CH"/>
        </w:rPr>
        <w:t xml:space="preserve">, </w:t>
      </w:r>
      <w:r w:rsidR="00A30B84" w:rsidRPr="000613AA">
        <w:rPr>
          <w:spacing w:val="-2"/>
          <w:lang w:val="fr-CH"/>
        </w:rPr>
        <w:t>du virus de l’hépatite C</w:t>
      </w:r>
      <w:r w:rsidRPr="000613AA">
        <w:rPr>
          <w:spacing w:val="-2"/>
          <w:lang w:val="fr-CH"/>
        </w:rPr>
        <w:t xml:space="preserve">, </w:t>
      </w:r>
      <w:r w:rsidR="00A30B84" w:rsidRPr="000613AA">
        <w:rPr>
          <w:spacing w:val="-2"/>
          <w:lang w:val="fr-CH"/>
        </w:rPr>
        <w:t xml:space="preserve">de l’antigène </w:t>
      </w:r>
      <w:r w:rsidRPr="000613AA">
        <w:rPr>
          <w:spacing w:val="-2"/>
          <w:lang w:val="fr-CH"/>
        </w:rPr>
        <w:t>HB</w:t>
      </w:r>
      <w:r w:rsidR="00A30B84" w:rsidRPr="000613AA">
        <w:rPr>
          <w:spacing w:val="-2"/>
          <w:lang w:val="fr-CH"/>
        </w:rPr>
        <w:t xml:space="preserve">s et des </w:t>
      </w:r>
      <w:r w:rsidRPr="000613AA">
        <w:rPr>
          <w:spacing w:val="-2"/>
          <w:lang w:val="fr-CH"/>
        </w:rPr>
        <w:t>HTLV-I</w:t>
      </w:r>
      <w:r w:rsidR="00A30B84" w:rsidRPr="000613AA">
        <w:rPr>
          <w:spacing w:val="-2"/>
          <w:lang w:val="fr-CH"/>
        </w:rPr>
        <w:t xml:space="preserve"> et</w:t>
      </w:r>
      <w:r w:rsidRPr="000613AA">
        <w:rPr>
          <w:spacing w:val="-2"/>
          <w:lang w:val="fr-CH"/>
        </w:rPr>
        <w:t xml:space="preserve"> II </w:t>
      </w:r>
      <w:r w:rsidR="00A30B84" w:rsidRPr="000613AA">
        <w:rPr>
          <w:spacing w:val="-2"/>
          <w:lang w:val="fr-CH"/>
        </w:rPr>
        <w:t>ont été fabriqué</w:t>
      </w:r>
      <w:r w:rsidR="00601135" w:rsidRPr="000613AA">
        <w:rPr>
          <w:spacing w:val="-2"/>
          <w:lang w:val="fr-CH"/>
        </w:rPr>
        <w:t>e</w:t>
      </w:r>
      <w:r w:rsidR="00A30B84" w:rsidRPr="000613AA">
        <w:rPr>
          <w:spacing w:val="-2"/>
          <w:lang w:val="fr-CH"/>
        </w:rPr>
        <w:t>s pour la première fois dans le pays</w:t>
      </w:r>
      <w:r w:rsidRPr="000613AA">
        <w:rPr>
          <w:spacing w:val="-2"/>
          <w:lang w:val="fr-CH"/>
        </w:rPr>
        <w:t>.</w:t>
      </w:r>
    </w:p>
    <w:p w:rsidR="00E5019F" w:rsidRPr="000613AA" w:rsidRDefault="00E5019F" w:rsidP="00E5019F">
      <w:pPr>
        <w:pStyle w:val="SingleTxtG"/>
        <w:ind w:left="1701"/>
        <w:rPr>
          <w:spacing w:val="-2"/>
          <w:lang w:val="fr-CH"/>
        </w:rPr>
      </w:pPr>
      <w:r w:rsidRPr="000613AA">
        <w:rPr>
          <w:spacing w:val="-2"/>
          <w:lang w:val="fr-CH"/>
        </w:rPr>
        <w:t>275.2.</w:t>
      </w:r>
      <w:r w:rsidRPr="000613AA">
        <w:rPr>
          <w:spacing w:val="-2"/>
          <w:lang w:val="fr-CH"/>
        </w:rPr>
        <w:tab/>
      </w:r>
      <w:r w:rsidR="00A30B84" w:rsidRPr="000613AA">
        <w:rPr>
          <w:spacing w:val="-2"/>
          <w:lang w:val="fr-CH"/>
        </w:rPr>
        <w:t>Au cours des quatre années écoulées, sept usines de production des matières premières entrant dans la fabrication de médicaments ont été mises en service, ce qui a permis d’augmenter de 70</w:t>
      </w:r>
      <w:r w:rsidR="007E5125" w:rsidRPr="000613AA">
        <w:rPr>
          <w:spacing w:val="-2"/>
          <w:lang w:val="fr-CH"/>
        </w:rPr>
        <w:t>%</w:t>
      </w:r>
      <w:r w:rsidR="00A30B84" w:rsidRPr="000613AA">
        <w:rPr>
          <w:spacing w:val="-2"/>
          <w:lang w:val="fr-CH"/>
        </w:rPr>
        <w:t xml:space="preserve"> la production nationale de ces matières premières et de porter à 2 416 le </w:t>
      </w:r>
      <w:r w:rsidR="003B48A4" w:rsidRPr="000613AA">
        <w:rPr>
          <w:spacing w:val="-2"/>
          <w:lang w:val="fr-CH"/>
        </w:rPr>
        <w:t>nombre</w:t>
      </w:r>
      <w:r w:rsidRPr="000613AA">
        <w:rPr>
          <w:spacing w:val="-2"/>
          <w:lang w:val="fr-CH"/>
        </w:rPr>
        <w:t xml:space="preserve"> </w:t>
      </w:r>
      <w:r w:rsidR="00A30B84" w:rsidRPr="000613AA">
        <w:rPr>
          <w:spacing w:val="-2"/>
          <w:lang w:val="fr-CH"/>
        </w:rPr>
        <w:t>des produits pharmaceutiques</w:t>
      </w:r>
      <w:r w:rsidRPr="000613AA">
        <w:rPr>
          <w:spacing w:val="-2"/>
          <w:lang w:val="fr-CH"/>
        </w:rPr>
        <w:t xml:space="preserve">, </w:t>
      </w:r>
      <w:r w:rsidR="00A30B84" w:rsidRPr="000613AA">
        <w:rPr>
          <w:spacing w:val="-2"/>
          <w:lang w:val="fr-CH"/>
        </w:rPr>
        <w:t xml:space="preserve">lesquels ont enregistré une croissance de </w:t>
      </w:r>
      <w:r w:rsidRPr="000613AA">
        <w:rPr>
          <w:spacing w:val="-2"/>
          <w:lang w:val="fr-CH"/>
        </w:rPr>
        <w:t>260</w:t>
      </w:r>
      <w:r w:rsidR="007E5125" w:rsidRPr="000613AA">
        <w:rPr>
          <w:spacing w:val="-2"/>
          <w:lang w:val="fr-CH"/>
        </w:rPr>
        <w:t>%</w:t>
      </w:r>
      <w:r w:rsidRPr="000613AA">
        <w:rPr>
          <w:spacing w:val="-2"/>
          <w:lang w:val="fr-CH"/>
        </w:rPr>
        <w:t xml:space="preserve"> </w:t>
      </w:r>
      <w:r w:rsidR="00A30B84" w:rsidRPr="000613AA">
        <w:rPr>
          <w:spacing w:val="-2"/>
          <w:lang w:val="fr-CH"/>
        </w:rPr>
        <w:t xml:space="preserve">par rapport à </w:t>
      </w:r>
      <w:r w:rsidRPr="000613AA">
        <w:rPr>
          <w:spacing w:val="-2"/>
          <w:lang w:val="fr-CH"/>
        </w:rPr>
        <w:t xml:space="preserve">2005. </w:t>
      </w:r>
      <w:r w:rsidR="00A30B84" w:rsidRPr="000613AA">
        <w:rPr>
          <w:spacing w:val="-2"/>
          <w:lang w:val="fr-CH"/>
        </w:rPr>
        <w:t>E</w:t>
      </w:r>
      <w:r w:rsidRPr="000613AA">
        <w:rPr>
          <w:spacing w:val="-2"/>
          <w:lang w:val="fr-CH"/>
        </w:rPr>
        <w:t xml:space="preserve">n </w:t>
      </w:r>
      <w:r w:rsidR="00A30B84" w:rsidRPr="000613AA">
        <w:rPr>
          <w:spacing w:val="-2"/>
          <w:lang w:val="fr-CH"/>
        </w:rPr>
        <w:t xml:space="preserve">outre, le </w:t>
      </w:r>
      <w:r w:rsidR="003B48A4" w:rsidRPr="000613AA">
        <w:rPr>
          <w:spacing w:val="-2"/>
          <w:lang w:val="fr-CH"/>
        </w:rPr>
        <w:t>nombre</w:t>
      </w:r>
      <w:r w:rsidRPr="000613AA">
        <w:rPr>
          <w:spacing w:val="-2"/>
          <w:lang w:val="fr-CH"/>
        </w:rPr>
        <w:t xml:space="preserve"> </w:t>
      </w:r>
      <w:r w:rsidR="00A30B84" w:rsidRPr="000613AA">
        <w:rPr>
          <w:spacing w:val="-2"/>
          <w:lang w:val="fr-CH"/>
        </w:rPr>
        <w:t xml:space="preserve">des médicaments naturels produits dans le pays est passé à </w:t>
      </w:r>
      <w:r w:rsidRPr="000613AA">
        <w:rPr>
          <w:spacing w:val="-2"/>
          <w:lang w:val="fr-CH"/>
        </w:rPr>
        <w:t xml:space="preserve">386, </w:t>
      </w:r>
      <w:r w:rsidR="00A30B84" w:rsidRPr="000613AA">
        <w:rPr>
          <w:spacing w:val="-2"/>
          <w:lang w:val="fr-CH"/>
        </w:rPr>
        <w:t xml:space="preserve">ce qui représente une croissance de </w:t>
      </w:r>
      <w:r w:rsidRPr="000613AA">
        <w:rPr>
          <w:spacing w:val="-2"/>
          <w:lang w:val="fr-CH"/>
        </w:rPr>
        <w:t>280</w:t>
      </w:r>
      <w:r w:rsidR="007E5125" w:rsidRPr="000613AA">
        <w:rPr>
          <w:spacing w:val="-2"/>
          <w:lang w:val="fr-CH"/>
        </w:rPr>
        <w:t>%</w:t>
      </w:r>
      <w:r w:rsidRPr="000613AA">
        <w:rPr>
          <w:spacing w:val="-2"/>
          <w:lang w:val="fr-CH"/>
        </w:rPr>
        <w:t xml:space="preserve"> </w:t>
      </w:r>
      <w:r w:rsidR="00A30B84" w:rsidRPr="000613AA">
        <w:rPr>
          <w:spacing w:val="-2"/>
          <w:lang w:val="fr-CH"/>
        </w:rPr>
        <w:t xml:space="preserve">par rapport à </w:t>
      </w:r>
      <w:r w:rsidRPr="000613AA">
        <w:rPr>
          <w:spacing w:val="-2"/>
          <w:lang w:val="fr-CH"/>
        </w:rPr>
        <w:t xml:space="preserve">2005. </w:t>
      </w:r>
      <w:r w:rsidR="00A30B84" w:rsidRPr="000613AA">
        <w:rPr>
          <w:spacing w:val="-2"/>
          <w:lang w:val="fr-CH"/>
        </w:rPr>
        <w:t>Le pays compte actuellement plus de 46</w:t>
      </w:r>
      <w:r w:rsidR="00FF1C6B" w:rsidRPr="000613AA">
        <w:rPr>
          <w:spacing w:val="-2"/>
          <w:lang w:val="fr-CH"/>
        </w:rPr>
        <w:t> </w:t>
      </w:r>
      <w:r w:rsidR="00A30B84" w:rsidRPr="000613AA">
        <w:rPr>
          <w:spacing w:val="-2"/>
          <w:lang w:val="fr-CH"/>
        </w:rPr>
        <w:t>usines pharmaceutiques</w:t>
      </w:r>
      <w:r w:rsidRPr="000613AA">
        <w:rPr>
          <w:spacing w:val="-2"/>
          <w:lang w:val="fr-CH"/>
        </w:rPr>
        <w:t>.</w:t>
      </w:r>
    </w:p>
    <w:p w:rsidR="00E5019F" w:rsidRPr="0071782F" w:rsidRDefault="00E5019F" w:rsidP="00E5019F">
      <w:pPr>
        <w:pStyle w:val="SingleTxtG"/>
        <w:ind w:left="1701"/>
        <w:rPr>
          <w:lang w:val="fr-CH"/>
        </w:rPr>
      </w:pPr>
      <w:r w:rsidRPr="0071782F">
        <w:rPr>
          <w:lang w:val="fr-CH"/>
        </w:rPr>
        <w:t>275.3.</w:t>
      </w:r>
      <w:r w:rsidRPr="0071782F">
        <w:rPr>
          <w:lang w:val="fr-CH"/>
        </w:rPr>
        <w:tab/>
      </w:r>
      <w:r w:rsidR="00A30B84" w:rsidRPr="0071782F">
        <w:rPr>
          <w:lang w:val="fr-CH"/>
        </w:rPr>
        <w:t xml:space="preserve">À l’heure actuelle, </w:t>
      </w:r>
      <w:r w:rsidR="00E052D9" w:rsidRPr="0071782F">
        <w:rPr>
          <w:lang w:val="fr-CH"/>
        </w:rPr>
        <w:t>la pr</w:t>
      </w:r>
      <w:r w:rsidR="00A30B84" w:rsidRPr="0071782F">
        <w:rPr>
          <w:lang w:val="fr-CH"/>
        </w:rPr>
        <w:t xml:space="preserve">oduction nationale couvre plus de </w:t>
      </w:r>
      <w:r w:rsidRPr="0071782F">
        <w:rPr>
          <w:lang w:val="fr-CH"/>
        </w:rPr>
        <w:t>95</w:t>
      </w:r>
      <w:r w:rsidR="007E5125" w:rsidRPr="0071782F">
        <w:rPr>
          <w:lang w:val="fr-CH"/>
        </w:rPr>
        <w:t>%</w:t>
      </w:r>
      <w:r w:rsidRPr="0071782F">
        <w:rPr>
          <w:lang w:val="fr-CH"/>
        </w:rPr>
        <w:t xml:space="preserve"> </w:t>
      </w:r>
      <w:r w:rsidR="00A30B84" w:rsidRPr="0071782F">
        <w:rPr>
          <w:lang w:val="fr-CH"/>
        </w:rPr>
        <w:t>des besoins du pays en médicaments</w:t>
      </w:r>
      <w:r w:rsidR="00E052D9" w:rsidRPr="0071782F">
        <w:rPr>
          <w:lang w:val="fr-CH"/>
        </w:rPr>
        <w:t xml:space="preserve">, ce qui revêt une </w:t>
      </w:r>
      <w:r w:rsidR="0071782F" w:rsidRPr="0071782F">
        <w:rPr>
          <w:lang w:val="fr-CH"/>
        </w:rPr>
        <w:t>importance</w:t>
      </w:r>
      <w:r w:rsidR="00E052D9" w:rsidRPr="0071782F">
        <w:rPr>
          <w:lang w:val="fr-CH"/>
        </w:rPr>
        <w:t xml:space="preserve"> d’autant plus grande qu’il se heurte à de nombreux problèmes en ce qui concerne la fourniture de médicaments et de matières premières en provenance de l’étranger.</w:t>
      </w:r>
      <w:r w:rsidRPr="0071782F">
        <w:rPr>
          <w:lang w:val="fr-CH"/>
        </w:rPr>
        <w:t xml:space="preserve"> </w:t>
      </w:r>
      <w:r w:rsidR="00E052D9" w:rsidRPr="0071782F">
        <w:rPr>
          <w:lang w:val="fr-CH"/>
        </w:rPr>
        <w:t>L’année dernière, la pénurie de produits pharmaceutiques a considérablement diminué par rapport à l’année antérieure. Par ailleurs, l’</w:t>
      </w:r>
      <w:r w:rsidRPr="0071782F">
        <w:rPr>
          <w:lang w:val="fr-CH"/>
        </w:rPr>
        <w:t>export</w:t>
      </w:r>
      <w:r w:rsidR="00E052D9" w:rsidRPr="0071782F">
        <w:rPr>
          <w:lang w:val="fr-CH"/>
        </w:rPr>
        <w:t xml:space="preserve">ation de produits pharmaceutiques au cours de la période considérée a dépassé </w:t>
      </w:r>
      <w:r w:rsidRPr="0071782F">
        <w:rPr>
          <w:lang w:val="fr-CH"/>
        </w:rPr>
        <w:t>250</w:t>
      </w:r>
      <w:r w:rsidR="00097CDB" w:rsidRPr="0071782F">
        <w:rPr>
          <w:lang w:val="fr-CH"/>
        </w:rPr>
        <w:t> millions</w:t>
      </w:r>
      <w:r w:rsidRPr="0071782F">
        <w:rPr>
          <w:lang w:val="fr-CH"/>
        </w:rPr>
        <w:t xml:space="preserve"> </w:t>
      </w:r>
      <w:r w:rsidR="00E052D9" w:rsidRPr="0071782F">
        <w:rPr>
          <w:lang w:val="fr-CH"/>
        </w:rPr>
        <w:t xml:space="preserve">de </w:t>
      </w:r>
      <w:r w:rsidRPr="0071782F">
        <w:rPr>
          <w:lang w:val="fr-CH"/>
        </w:rPr>
        <w:t xml:space="preserve">dollars. </w:t>
      </w:r>
      <w:r w:rsidR="00E052D9" w:rsidRPr="0071782F">
        <w:rPr>
          <w:lang w:val="fr-CH"/>
        </w:rPr>
        <w:t>De plus, l</w:t>
      </w:r>
      <w:r w:rsidR="00601135" w:rsidRPr="0071782F">
        <w:rPr>
          <w:lang w:val="fr-CH"/>
        </w:rPr>
        <w:t>e</w:t>
      </w:r>
      <w:r w:rsidR="00E052D9" w:rsidRPr="0071782F">
        <w:rPr>
          <w:lang w:val="fr-CH"/>
        </w:rPr>
        <w:t xml:space="preserve"> ratio matières premières de produits pharmaceutiques fabriquées dans le pays/matières premières importées est passé de </w:t>
      </w:r>
      <w:r w:rsidRPr="0071782F">
        <w:rPr>
          <w:lang w:val="fr-CH"/>
        </w:rPr>
        <w:t>17</w:t>
      </w:r>
      <w:r w:rsidR="007E5125" w:rsidRPr="0071782F">
        <w:rPr>
          <w:lang w:val="fr-CH"/>
        </w:rPr>
        <w:t>%</w:t>
      </w:r>
      <w:r w:rsidRPr="0071782F">
        <w:rPr>
          <w:lang w:val="fr-CH"/>
        </w:rPr>
        <w:t xml:space="preserve"> </w:t>
      </w:r>
      <w:r w:rsidR="00E052D9" w:rsidRPr="0071782F">
        <w:rPr>
          <w:lang w:val="fr-CH"/>
        </w:rPr>
        <w:t>e</w:t>
      </w:r>
      <w:r w:rsidRPr="0071782F">
        <w:rPr>
          <w:lang w:val="fr-CH"/>
        </w:rPr>
        <w:t xml:space="preserve">n 2005 </w:t>
      </w:r>
      <w:r w:rsidR="00E052D9" w:rsidRPr="0071782F">
        <w:rPr>
          <w:lang w:val="fr-CH"/>
        </w:rPr>
        <w:t>à</w:t>
      </w:r>
      <w:r w:rsidRPr="0071782F">
        <w:rPr>
          <w:lang w:val="fr-CH"/>
        </w:rPr>
        <w:t xml:space="preserve"> 21</w:t>
      </w:r>
      <w:r w:rsidR="007E5125" w:rsidRPr="0071782F">
        <w:rPr>
          <w:lang w:val="fr-CH"/>
        </w:rPr>
        <w:t>%</w:t>
      </w:r>
      <w:r w:rsidRPr="0071782F">
        <w:rPr>
          <w:lang w:val="fr-CH"/>
        </w:rPr>
        <w:t xml:space="preserve"> </w:t>
      </w:r>
      <w:r w:rsidR="00E052D9" w:rsidRPr="0071782F">
        <w:rPr>
          <w:lang w:val="fr-CH"/>
        </w:rPr>
        <w:t>e</w:t>
      </w:r>
      <w:r w:rsidRPr="0071782F">
        <w:rPr>
          <w:lang w:val="fr-CH"/>
        </w:rPr>
        <w:t>n 2008.</w:t>
      </w:r>
    </w:p>
    <w:p w:rsidR="00E5019F" w:rsidRPr="0071782F" w:rsidRDefault="00E5019F" w:rsidP="00E5019F">
      <w:pPr>
        <w:pStyle w:val="SingleTxtG"/>
        <w:ind w:left="1701"/>
        <w:rPr>
          <w:lang w:val="fr-CH"/>
        </w:rPr>
      </w:pPr>
      <w:r w:rsidRPr="0071782F">
        <w:rPr>
          <w:lang w:val="fr-CH"/>
        </w:rPr>
        <w:t>275.4.</w:t>
      </w:r>
      <w:r w:rsidRPr="0071782F">
        <w:rPr>
          <w:lang w:val="fr-CH"/>
        </w:rPr>
        <w:tab/>
      </w:r>
      <w:r w:rsidR="000831B2" w:rsidRPr="0071782F">
        <w:rPr>
          <w:lang w:val="fr-CH"/>
        </w:rPr>
        <w:t>Il existe à présent 15</w:t>
      </w:r>
      <w:r w:rsidR="00E83264" w:rsidRPr="0071782F">
        <w:rPr>
          <w:lang w:val="fr-CH"/>
        </w:rPr>
        <w:t> unités</w:t>
      </w:r>
      <w:r w:rsidR="000831B2" w:rsidRPr="0071782F">
        <w:rPr>
          <w:lang w:val="fr-CH"/>
        </w:rPr>
        <w:t xml:space="preserve"> de production de médicaments qui utilisent les biotechnologies et le </w:t>
      </w:r>
      <w:r w:rsidR="003B48A4" w:rsidRPr="0071782F">
        <w:rPr>
          <w:lang w:val="fr-CH"/>
        </w:rPr>
        <w:t>nombre</w:t>
      </w:r>
      <w:r w:rsidRPr="0071782F">
        <w:rPr>
          <w:lang w:val="fr-CH"/>
        </w:rPr>
        <w:t xml:space="preserve"> </w:t>
      </w:r>
      <w:r w:rsidR="000831B2" w:rsidRPr="0071782F">
        <w:rPr>
          <w:lang w:val="fr-CH"/>
        </w:rPr>
        <w:t xml:space="preserve">de médicaments </w:t>
      </w:r>
      <w:r w:rsidRPr="0071782F">
        <w:rPr>
          <w:lang w:val="fr-CH"/>
        </w:rPr>
        <w:t>biotechnologi</w:t>
      </w:r>
      <w:r w:rsidR="000831B2" w:rsidRPr="0071782F">
        <w:rPr>
          <w:lang w:val="fr-CH"/>
        </w:rPr>
        <w:t xml:space="preserve">ques d’origine nationale est passé de deux en 2005 à neuf. </w:t>
      </w:r>
    </w:p>
    <w:p w:rsidR="00E5019F" w:rsidRPr="0071782F" w:rsidRDefault="00E5019F" w:rsidP="00E5019F">
      <w:pPr>
        <w:pStyle w:val="SingleTxtG"/>
        <w:ind w:left="1701"/>
        <w:rPr>
          <w:lang w:val="fr-CH"/>
        </w:rPr>
      </w:pPr>
      <w:r w:rsidRPr="0071782F">
        <w:rPr>
          <w:lang w:val="fr-CH"/>
        </w:rPr>
        <w:t>275.5.</w:t>
      </w:r>
      <w:r w:rsidRPr="0071782F">
        <w:rPr>
          <w:lang w:val="fr-CH"/>
        </w:rPr>
        <w:tab/>
      </w:r>
      <w:r w:rsidR="000831B2" w:rsidRPr="0071782F">
        <w:rPr>
          <w:lang w:val="fr-CH"/>
        </w:rPr>
        <w:t xml:space="preserve">En ce qui concerne l’accès de la population aux </w:t>
      </w:r>
      <w:r w:rsidRPr="0071782F">
        <w:rPr>
          <w:lang w:val="fr-CH"/>
        </w:rPr>
        <w:t>pharmacies, 1</w:t>
      </w:r>
      <w:r w:rsidR="00FF1C6B" w:rsidRPr="0071782F">
        <w:rPr>
          <w:lang w:val="fr-CH"/>
        </w:rPr>
        <w:t> </w:t>
      </w:r>
      <w:r w:rsidRPr="0071782F">
        <w:rPr>
          <w:lang w:val="fr-CH"/>
        </w:rPr>
        <w:t xml:space="preserve">554 </w:t>
      </w:r>
      <w:r w:rsidR="000831B2" w:rsidRPr="0071782F">
        <w:rPr>
          <w:lang w:val="fr-CH"/>
        </w:rPr>
        <w:t xml:space="preserve">nouvelles </w:t>
      </w:r>
      <w:r w:rsidRPr="0071782F">
        <w:rPr>
          <w:lang w:val="fr-CH"/>
        </w:rPr>
        <w:t xml:space="preserve">pharmacies </w:t>
      </w:r>
      <w:r w:rsidR="000831B2" w:rsidRPr="0071782F">
        <w:rPr>
          <w:lang w:val="fr-CH"/>
        </w:rPr>
        <w:t>ont été ouvertes à travers le pays pendant la période considérée, ce qui a porté leur nombre à 8 884 en 2008 et permis d’atteindre l’objectif prévu par le gouvernement.</w:t>
      </w:r>
      <w:r w:rsidR="00D36718">
        <w:rPr>
          <w:lang w:val="fr-CH"/>
        </w:rPr>
        <w:t xml:space="preserve"> </w:t>
      </w:r>
    </w:p>
    <w:p w:rsidR="00E5019F" w:rsidRPr="0071782F" w:rsidRDefault="00E5019F" w:rsidP="00E5019F">
      <w:pPr>
        <w:pStyle w:val="SingleTxtG"/>
        <w:ind w:left="1701"/>
        <w:rPr>
          <w:lang w:val="fr-CH"/>
        </w:rPr>
      </w:pPr>
      <w:r w:rsidRPr="0071782F">
        <w:rPr>
          <w:lang w:val="fr-CH"/>
        </w:rPr>
        <w:t>275.6.</w:t>
      </w:r>
      <w:r w:rsidRPr="0071782F">
        <w:rPr>
          <w:lang w:val="fr-CH"/>
        </w:rPr>
        <w:tab/>
      </w:r>
      <w:r w:rsidR="00EF5378" w:rsidRPr="0071782F">
        <w:rPr>
          <w:lang w:val="fr-CH"/>
        </w:rPr>
        <w:t xml:space="preserve">Les centres d’information sur les médicaments et les </w:t>
      </w:r>
      <w:r w:rsidRPr="0071782F">
        <w:rPr>
          <w:lang w:val="fr-CH"/>
        </w:rPr>
        <w:t>toxin</w:t>
      </w:r>
      <w:r w:rsidR="00EF5378" w:rsidRPr="0071782F">
        <w:rPr>
          <w:lang w:val="fr-CH"/>
        </w:rPr>
        <w:t xml:space="preserve">es fournissent l’information dont ont besoin les </w:t>
      </w:r>
      <w:r w:rsidRPr="0071782F">
        <w:rPr>
          <w:lang w:val="fr-CH"/>
        </w:rPr>
        <w:t xml:space="preserve">patients, </w:t>
      </w:r>
      <w:r w:rsidR="00EF5378" w:rsidRPr="0071782F">
        <w:rPr>
          <w:lang w:val="fr-CH"/>
        </w:rPr>
        <w:t xml:space="preserve">les médecins et les pharmaciens par le biais du réseau de distribution de médicaments. Ces </w:t>
      </w:r>
      <w:r w:rsidRPr="0071782F">
        <w:rPr>
          <w:lang w:val="fr-CH"/>
        </w:rPr>
        <w:t>information</w:t>
      </w:r>
      <w:r w:rsidR="00EF5378" w:rsidRPr="0071782F">
        <w:rPr>
          <w:lang w:val="fr-CH"/>
        </w:rPr>
        <w:t>s portent notamment sur les effets secondaires des médicaments et la manière d’éviter les intoxications médicamenteuses</w:t>
      </w:r>
      <w:r w:rsidRPr="0071782F">
        <w:rPr>
          <w:lang w:val="fr-CH"/>
        </w:rPr>
        <w:t xml:space="preserve">. </w:t>
      </w:r>
      <w:r w:rsidR="00EF5378" w:rsidRPr="0071782F">
        <w:rPr>
          <w:lang w:val="fr-CH"/>
        </w:rPr>
        <w:t xml:space="preserve">Au cours de la période considérée, </w:t>
      </w:r>
      <w:r w:rsidRPr="0071782F">
        <w:rPr>
          <w:lang w:val="fr-CH"/>
        </w:rPr>
        <w:t xml:space="preserve">15 </w:t>
      </w:r>
      <w:r w:rsidR="00EF5378" w:rsidRPr="0071782F">
        <w:rPr>
          <w:lang w:val="fr-CH"/>
        </w:rPr>
        <w:t>nouveaux centres ont été ouverts, ce qui a porté leur nombre à</w:t>
      </w:r>
      <w:r w:rsidR="000613AA">
        <w:rPr>
          <w:lang w:val="fr-CH"/>
        </w:rPr>
        <w:t> </w:t>
      </w:r>
      <w:r w:rsidR="00EF5378" w:rsidRPr="0071782F">
        <w:rPr>
          <w:lang w:val="fr-CH"/>
        </w:rPr>
        <w:t xml:space="preserve">35. </w:t>
      </w:r>
    </w:p>
    <w:p w:rsidR="00E5019F" w:rsidRPr="0071782F" w:rsidRDefault="00E5019F" w:rsidP="00E5019F">
      <w:pPr>
        <w:pStyle w:val="H1G"/>
        <w:rPr>
          <w:lang w:val="fr-CH"/>
        </w:rPr>
      </w:pPr>
      <w:r w:rsidRPr="0071782F">
        <w:rPr>
          <w:lang w:val="fr-CH"/>
        </w:rPr>
        <w:tab/>
      </w:r>
      <w:r w:rsidRPr="0071782F">
        <w:rPr>
          <w:lang w:val="fr-CH"/>
        </w:rPr>
        <w:tab/>
        <w:t xml:space="preserve">Promotion </w:t>
      </w:r>
      <w:r w:rsidR="00EF5378" w:rsidRPr="0071782F">
        <w:rPr>
          <w:lang w:val="fr-CH"/>
        </w:rPr>
        <w:t xml:space="preserve">de la sécurité alimentaire </w:t>
      </w:r>
    </w:p>
    <w:p w:rsidR="00E5019F" w:rsidRPr="0071782F" w:rsidRDefault="00E5019F" w:rsidP="00E5019F">
      <w:pPr>
        <w:pStyle w:val="SingleTxtG"/>
        <w:rPr>
          <w:lang w:val="fr-CH"/>
        </w:rPr>
      </w:pPr>
      <w:r w:rsidRPr="0071782F">
        <w:rPr>
          <w:lang w:val="fr-CH"/>
        </w:rPr>
        <w:t>276.</w:t>
      </w:r>
      <w:r w:rsidRPr="0071782F">
        <w:rPr>
          <w:lang w:val="fr-CH"/>
        </w:rPr>
        <w:tab/>
      </w:r>
      <w:r w:rsidR="00EF5378" w:rsidRPr="0071782F">
        <w:rPr>
          <w:lang w:val="fr-CH"/>
        </w:rPr>
        <w:t>Au cours de la période considérée</w:t>
      </w:r>
      <w:r w:rsidRPr="0071782F">
        <w:rPr>
          <w:lang w:val="fr-CH"/>
        </w:rPr>
        <w:t xml:space="preserve">, </w:t>
      </w:r>
      <w:r w:rsidR="000B5D58" w:rsidRPr="0071782F">
        <w:rPr>
          <w:lang w:val="fr-CH"/>
        </w:rPr>
        <w:t xml:space="preserve">des mesures ont été prises pour ramener la part des huiles solides dans le volume total d’huiles végétales produit dans le pays de </w:t>
      </w:r>
      <w:r w:rsidRPr="0071782F">
        <w:rPr>
          <w:lang w:val="fr-CH"/>
        </w:rPr>
        <w:t>85</w:t>
      </w:r>
      <w:r w:rsidR="007E5125" w:rsidRPr="0071782F">
        <w:rPr>
          <w:lang w:val="fr-CH"/>
        </w:rPr>
        <w:t>%</w:t>
      </w:r>
      <w:r w:rsidRPr="0071782F">
        <w:rPr>
          <w:lang w:val="fr-CH"/>
        </w:rPr>
        <w:t xml:space="preserve"> </w:t>
      </w:r>
      <w:r w:rsidR="000B5D58" w:rsidRPr="0071782F">
        <w:rPr>
          <w:lang w:val="fr-CH"/>
        </w:rPr>
        <w:t>e</w:t>
      </w:r>
      <w:r w:rsidRPr="0071782F">
        <w:rPr>
          <w:lang w:val="fr-CH"/>
        </w:rPr>
        <w:t xml:space="preserve">n 2005 </w:t>
      </w:r>
      <w:r w:rsidR="000B5D58" w:rsidRPr="0071782F">
        <w:rPr>
          <w:lang w:val="fr-CH"/>
        </w:rPr>
        <w:t xml:space="preserve">à moins de </w:t>
      </w:r>
      <w:r w:rsidRPr="0071782F">
        <w:rPr>
          <w:lang w:val="fr-CH"/>
        </w:rPr>
        <w:t>50</w:t>
      </w:r>
      <w:r w:rsidR="007E5125" w:rsidRPr="0071782F">
        <w:rPr>
          <w:lang w:val="fr-CH"/>
        </w:rPr>
        <w:t>%</w:t>
      </w:r>
      <w:r w:rsidRPr="0071782F">
        <w:rPr>
          <w:lang w:val="fr-CH"/>
        </w:rPr>
        <w:t xml:space="preserve"> </w:t>
      </w:r>
      <w:r w:rsidR="000B5D58" w:rsidRPr="0071782F">
        <w:rPr>
          <w:lang w:val="fr-CH"/>
        </w:rPr>
        <w:t>e</w:t>
      </w:r>
      <w:r w:rsidRPr="0071782F">
        <w:rPr>
          <w:lang w:val="fr-CH"/>
        </w:rPr>
        <w:t>n 200</w:t>
      </w:r>
      <w:r w:rsidR="000B5D58" w:rsidRPr="0071782F">
        <w:rPr>
          <w:lang w:val="fr-CH"/>
        </w:rPr>
        <w:t>8</w:t>
      </w:r>
      <w:r w:rsidRPr="0071782F">
        <w:rPr>
          <w:lang w:val="fr-CH"/>
        </w:rPr>
        <w:t xml:space="preserve">, </w:t>
      </w:r>
      <w:r w:rsidR="000B5D58" w:rsidRPr="0071782F">
        <w:rPr>
          <w:lang w:val="fr-CH"/>
        </w:rPr>
        <w:t xml:space="preserve">ce qui a permis de ramener la teneur de l’huile solide en isomères trans d’environ </w:t>
      </w:r>
      <w:r w:rsidRPr="0071782F">
        <w:rPr>
          <w:lang w:val="fr-CH"/>
        </w:rPr>
        <w:t>30</w:t>
      </w:r>
      <w:r w:rsidR="007E5125" w:rsidRPr="0071782F">
        <w:rPr>
          <w:lang w:val="fr-CH"/>
        </w:rPr>
        <w:t>%</w:t>
      </w:r>
      <w:r w:rsidRPr="0071782F">
        <w:rPr>
          <w:lang w:val="fr-CH"/>
        </w:rPr>
        <w:t xml:space="preserve"> </w:t>
      </w:r>
      <w:r w:rsidR="000B5D58" w:rsidRPr="0071782F">
        <w:rPr>
          <w:lang w:val="fr-CH"/>
        </w:rPr>
        <w:t>e</w:t>
      </w:r>
      <w:r w:rsidRPr="0071782F">
        <w:rPr>
          <w:lang w:val="fr-CH"/>
        </w:rPr>
        <w:t xml:space="preserve">n 2005 </w:t>
      </w:r>
      <w:r w:rsidR="000B5D58" w:rsidRPr="0071782F">
        <w:rPr>
          <w:lang w:val="fr-CH"/>
        </w:rPr>
        <w:t xml:space="preserve">à moins de </w:t>
      </w:r>
      <w:r w:rsidRPr="0071782F">
        <w:rPr>
          <w:lang w:val="fr-CH"/>
        </w:rPr>
        <w:t>8</w:t>
      </w:r>
      <w:r w:rsidR="007E5125" w:rsidRPr="0071782F">
        <w:rPr>
          <w:lang w:val="fr-CH"/>
        </w:rPr>
        <w:t>%</w:t>
      </w:r>
      <w:r w:rsidRPr="0071782F">
        <w:rPr>
          <w:lang w:val="fr-CH"/>
        </w:rPr>
        <w:t xml:space="preserve"> </w:t>
      </w:r>
      <w:r w:rsidR="000B5D58" w:rsidRPr="0071782F">
        <w:rPr>
          <w:lang w:val="fr-CH"/>
        </w:rPr>
        <w:t>e</w:t>
      </w:r>
      <w:r w:rsidRPr="0071782F">
        <w:rPr>
          <w:lang w:val="fr-CH"/>
        </w:rPr>
        <w:t>n</w:t>
      </w:r>
      <w:r w:rsidR="000613AA">
        <w:rPr>
          <w:lang w:val="fr-CH"/>
        </w:rPr>
        <w:t> </w:t>
      </w:r>
      <w:r w:rsidRPr="0071782F">
        <w:rPr>
          <w:lang w:val="fr-CH"/>
        </w:rPr>
        <w:t>2008.</w:t>
      </w:r>
    </w:p>
    <w:p w:rsidR="00E5019F" w:rsidRPr="0071782F" w:rsidRDefault="00E5019F" w:rsidP="00E5019F">
      <w:pPr>
        <w:pStyle w:val="H1G"/>
        <w:rPr>
          <w:lang w:val="fr-CH"/>
        </w:rPr>
      </w:pPr>
      <w:r w:rsidRPr="0071782F">
        <w:rPr>
          <w:lang w:val="fr-CH"/>
        </w:rPr>
        <w:tab/>
      </w:r>
      <w:r w:rsidRPr="0071782F">
        <w:rPr>
          <w:lang w:val="fr-CH"/>
        </w:rPr>
        <w:tab/>
      </w:r>
      <w:r w:rsidR="000B5D58" w:rsidRPr="0071782F">
        <w:rPr>
          <w:lang w:val="fr-CH"/>
        </w:rPr>
        <w:t xml:space="preserve">Formation médicale </w:t>
      </w:r>
    </w:p>
    <w:p w:rsidR="00E5019F" w:rsidRPr="0071782F" w:rsidRDefault="00E5019F" w:rsidP="00E5019F">
      <w:pPr>
        <w:pStyle w:val="H23G"/>
        <w:rPr>
          <w:lang w:val="fr-CH"/>
        </w:rPr>
      </w:pPr>
      <w:r w:rsidRPr="0071782F">
        <w:rPr>
          <w:lang w:val="fr-CH"/>
        </w:rPr>
        <w:tab/>
      </w:r>
      <w:r w:rsidRPr="0071782F">
        <w:rPr>
          <w:lang w:val="fr-CH"/>
        </w:rPr>
        <w:tab/>
      </w:r>
      <w:r w:rsidR="000B5D58" w:rsidRPr="0071782F">
        <w:rPr>
          <w:lang w:val="fr-CH"/>
        </w:rPr>
        <w:t xml:space="preserve">Développement quantitatif de la formation médicale </w:t>
      </w:r>
    </w:p>
    <w:p w:rsidR="00E5019F" w:rsidRPr="0071782F" w:rsidRDefault="00E5019F" w:rsidP="00E5019F">
      <w:pPr>
        <w:pStyle w:val="SingleTxtG"/>
        <w:rPr>
          <w:lang w:val="fr-CH"/>
        </w:rPr>
      </w:pPr>
      <w:r w:rsidRPr="0071782F">
        <w:rPr>
          <w:lang w:val="fr-CH"/>
        </w:rPr>
        <w:t>277.</w:t>
      </w:r>
      <w:r w:rsidRPr="0071782F">
        <w:rPr>
          <w:lang w:val="fr-CH"/>
        </w:rPr>
        <w:tab/>
      </w:r>
      <w:r w:rsidR="00C0403B"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277.1.</w:t>
      </w:r>
      <w:r w:rsidRPr="0071782F">
        <w:rPr>
          <w:lang w:val="fr-CH"/>
        </w:rPr>
        <w:tab/>
      </w:r>
      <w:r w:rsidR="000B5D58" w:rsidRPr="0071782F">
        <w:rPr>
          <w:lang w:val="fr-CH"/>
        </w:rPr>
        <w:t>Une attention particulière a été accordée au développement quantitatif et</w:t>
      </w:r>
      <w:r w:rsidRPr="0071782F">
        <w:rPr>
          <w:lang w:val="fr-CH"/>
        </w:rPr>
        <w:t xml:space="preserve"> </w:t>
      </w:r>
      <w:r w:rsidR="000B5D58" w:rsidRPr="0071782F">
        <w:rPr>
          <w:lang w:val="fr-CH"/>
        </w:rPr>
        <w:t>qualitatif de la formation médicale</w:t>
      </w:r>
      <w:r w:rsidRPr="0071782F">
        <w:rPr>
          <w:lang w:val="fr-CH"/>
        </w:rPr>
        <w:t xml:space="preserve">. </w:t>
      </w:r>
      <w:r w:rsidR="000B5D58" w:rsidRPr="0071782F">
        <w:rPr>
          <w:lang w:val="fr-CH"/>
        </w:rPr>
        <w:t xml:space="preserve">Au cours des quatre années écoulées, la création d’un certain nombre de facultés et d’écoles de médecine a été autorisée. On a parallèlement introduit 23 nouvelles disciplines dans les programmes spécialisés de doctorat et de mastère, dont </w:t>
      </w:r>
      <w:r w:rsidRPr="0071782F">
        <w:rPr>
          <w:lang w:val="fr-CH"/>
        </w:rPr>
        <w:t xml:space="preserve">17 </w:t>
      </w:r>
      <w:r w:rsidR="000B5D58" w:rsidRPr="0071782F">
        <w:rPr>
          <w:lang w:val="fr-CH"/>
        </w:rPr>
        <w:t xml:space="preserve">dans les programmes spécialisés de doctorat et six dans les programmes spécialisés de mastère, ce qui a porté le nombre des </w:t>
      </w:r>
      <w:r w:rsidRPr="0071782F">
        <w:rPr>
          <w:lang w:val="fr-CH"/>
        </w:rPr>
        <w:t xml:space="preserve">disciplines </w:t>
      </w:r>
      <w:r w:rsidR="000B5D58" w:rsidRPr="0071782F">
        <w:rPr>
          <w:lang w:val="fr-CH"/>
        </w:rPr>
        <w:t xml:space="preserve">offertes à ces deux niveaux de </w:t>
      </w:r>
      <w:r w:rsidRPr="0071782F">
        <w:rPr>
          <w:lang w:val="fr-CH"/>
        </w:rPr>
        <w:t xml:space="preserve">205 </w:t>
      </w:r>
      <w:r w:rsidR="000B5D58" w:rsidRPr="0071782F">
        <w:rPr>
          <w:lang w:val="fr-CH"/>
        </w:rPr>
        <w:t>e</w:t>
      </w:r>
      <w:r w:rsidRPr="0071782F">
        <w:rPr>
          <w:lang w:val="fr-CH"/>
        </w:rPr>
        <w:t xml:space="preserve">n 2005 </w:t>
      </w:r>
      <w:r w:rsidR="000B5D58" w:rsidRPr="0071782F">
        <w:rPr>
          <w:lang w:val="fr-CH"/>
        </w:rPr>
        <w:t>à</w:t>
      </w:r>
      <w:r w:rsidRPr="0071782F">
        <w:rPr>
          <w:lang w:val="fr-CH"/>
        </w:rPr>
        <w:t xml:space="preserve"> 525 </w:t>
      </w:r>
      <w:r w:rsidR="000B5D58" w:rsidRPr="0071782F">
        <w:rPr>
          <w:lang w:val="fr-CH"/>
        </w:rPr>
        <w:t>e</w:t>
      </w:r>
      <w:r w:rsidRPr="0071782F">
        <w:rPr>
          <w:lang w:val="fr-CH"/>
        </w:rPr>
        <w:t xml:space="preserve">n 2008, </w:t>
      </w:r>
      <w:r w:rsidR="000B5D58" w:rsidRPr="0071782F">
        <w:rPr>
          <w:lang w:val="fr-CH"/>
        </w:rPr>
        <w:t xml:space="preserve">en augmentation de </w:t>
      </w:r>
      <w:r w:rsidRPr="0071782F">
        <w:rPr>
          <w:lang w:val="fr-CH"/>
        </w:rPr>
        <w:t>260</w:t>
      </w:r>
      <w:r w:rsidR="007E5125" w:rsidRPr="0071782F">
        <w:rPr>
          <w:lang w:val="fr-CH"/>
        </w:rPr>
        <w:t>%</w:t>
      </w:r>
      <w:r w:rsidRPr="0071782F">
        <w:rPr>
          <w:lang w:val="fr-CH"/>
        </w:rPr>
        <w:t xml:space="preserve">. </w:t>
      </w:r>
      <w:r w:rsidR="000B5D58" w:rsidRPr="0071782F">
        <w:rPr>
          <w:lang w:val="fr-CH"/>
        </w:rPr>
        <w:t xml:space="preserve">Par ailleurs, le </w:t>
      </w:r>
      <w:r w:rsidR="003B48A4" w:rsidRPr="0071782F">
        <w:rPr>
          <w:lang w:val="fr-CH"/>
        </w:rPr>
        <w:t>nombre</w:t>
      </w:r>
      <w:r w:rsidRPr="0071782F">
        <w:rPr>
          <w:lang w:val="fr-CH"/>
        </w:rPr>
        <w:t xml:space="preserve"> </w:t>
      </w:r>
      <w:r w:rsidR="000B5D58" w:rsidRPr="0071782F">
        <w:rPr>
          <w:lang w:val="fr-CH"/>
        </w:rPr>
        <w:t xml:space="preserve">d’étudiants admis dans ces programmes a enregistré une croissance de </w:t>
      </w:r>
      <w:r w:rsidRPr="0071782F">
        <w:rPr>
          <w:lang w:val="fr-CH"/>
        </w:rPr>
        <w:t>220</w:t>
      </w:r>
      <w:r w:rsidR="007E5125" w:rsidRPr="0071782F">
        <w:rPr>
          <w:lang w:val="fr-CH"/>
        </w:rPr>
        <w:t>%</w:t>
      </w:r>
      <w:r w:rsidRPr="0071782F">
        <w:rPr>
          <w:lang w:val="fr-CH"/>
        </w:rPr>
        <w:t xml:space="preserve"> </w:t>
      </w:r>
      <w:r w:rsidR="000B5D58" w:rsidRPr="0071782F">
        <w:rPr>
          <w:lang w:val="fr-CH"/>
        </w:rPr>
        <w:t xml:space="preserve">et de </w:t>
      </w:r>
      <w:r w:rsidRPr="0071782F">
        <w:rPr>
          <w:lang w:val="fr-CH"/>
        </w:rPr>
        <w:t>60</w:t>
      </w:r>
      <w:r w:rsidR="007E5125" w:rsidRPr="0071782F">
        <w:rPr>
          <w:lang w:val="fr-CH"/>
        </w:rPr>
        <w:t>%</w:t>
      </w:r>
      <w:r w:rsidR="000B5D58" w:rsidRPr="0071782F">
        <w:rPr>
          <w:lang w:val="fr-CH"/>
        </w:rPr>
        <w:t>, respectivement</w:t>
      </w:r>
      <w:r w:rsidRPr="0071782F">
        <w:rPr>
          <w:lang w:val="fr-CH"/>
        </w:rPr>
        <w:t xml:space="preserve">. </w:t>
      </w:r>
    </w:p>
    <w:p w:rsidR="00E5019F" w:rsidRPr="0071782F" w:rsidRDefault="00E5019F" w:rsidP="002E7F55">
      <w:pPr>
        <w:pStyle w:val="SingleTxtG"/>
        <w:keepNext/>
        <w:keepLines/>
        <w:ind w:left="1701"/>
        <w:rPr>
          <w:lang w:val="fr-CH"/>
        </w:rPr>
      </w:pPr>
      <w:r w:rsidRPr="0071782F">
        <w:rPr>
          <w:lang w:val="fr-CH"/>
        </w:rPr>
        <w:t>277.2.</w:t>
      </w:r>
      <w:r w:rsidRPr="0071782F">
        <w:rPr>
          <w:lang w:val="fr-CH"/>
        </w:rPr>
        <w:tab/>
      </w:r>
      <w:r w:rsidR="00EE5107" w:rsidRPr="0071782F">
        <w:rPr>
          <w:lang w:val="fr-CH"/>
        </w:rPr>
        <w:t>Pour répondre aux besoins en médecins dans certaines spécialités et sous-spécialités, on a augmenté de 45</w:t>
      </w:r>
      <w:r w:rsidR="007E5125" w:rsidRPr="0071782F">
        <w:rPr>
          <w:lang w:val="fr-CH"/>
        </w:rPr>
        <w:t>%</w:t>
      </w:r>
      <w:r w:rsidR="00EE5107" w:rsidRPr="0071782F">
        <w:rPr>
          <w:lang w:val="fr-CH"/>
        </w:rPr>
        <w:t xml:space="preserve"> et de 50%, respectivement, le nombre de places d’assistant à ces deux niveaux. De son côté, l’admission aux programmes de spécialisation a augmenté de </w:t>
      </w:r>
      <w:r w:rsidRPr="0071782F">
        <w:rPr>
          <w:lang w:val="fr-CH"/>
        </w:rPr>
        <w:t>62</w:t>
      </w:r>
      <w:r w:rsidR="007E5125" w:rsidRPr="0071782F">
        <w:rPr>
          <w:lang w:val="fr-CH"/>
        </w:rPr>
        <w:t>%</w:t>
      </w:r>
      <w:r w:rsidRPr="0071782F">
        <w:rPr>
          <w:lang w:val="fr-CH"/>
        </w:rPr>
        <w:t xml:space="preserve"> </w:t>
      </w:r>
      <w:r w:rsidR="00EE5107" w:rsidRPr="0071782F">
        <w:rPr>
          <w:lang w:val="fr-CH"/>
        </w:rPr>
        <w:t>au cours de la période considérée, ce qui a porté de 25</w:t>
      </w:r>
      <w:r w:rsidR="007E5125" w:rsidRPr="0071782F">
        <w:rPr>
          <w:lang w:val="fr-CH"/>
        </w:rPr>
        <w:t>%</w:t>
      </w:r>
      <w:r w:rsidR="00EE5107" w:rsidRPr="0071782F">
        <w:rPr>
          <w:lang w:val="fr-CH"/>
        </w:rPr>
        <w:t xml:space="preserve"> à 47</w:t>
      </w:r>
      <w:r w:rsidR="007E5125" w:rsidRPr="0071782F">
        <w:rPr>
          <w:lang w:val="fr-CH"/>
        </w:rPr>
        <w:t>%</w:t>
      </w:r>
      <w:r w:rsidR="00EE5107" w:rsidRPr="0071782F">
        <w:rPr>
          <w:lang w:val="fr-CH"/>
        </w:rPr>
        <w:t xml:space="preserve"> le taux d’</w:t>
      </w:r>
      <w:r w:rsidRPr="0071782F">
        <w:rPr>
          <w:lang w:val="fr-CH"/>
        </w:rPr>
        <w:t xml:space="preserve">admission </w:t>
      </w:r>
      <w:r w:rsidR="00EE5107" w:rsidRPr="0071782F">
        <w:rPr>
          <w:lang w:val="fr-CH"/>
        </w:rPr>
        <w:t>dans les programmes de formation d’assistants au niveau des sous-spécialités. Entre 2005 et 2008, le nombre de places disponibles dans les programmes de doctorat professionnel est passé de 2 700 à 3 600 et celui des places de pharmacologie spécialisée est passé de 72 à 193.</w:t>
      </w:r>
    </w:p>
    <w:p w:rsidR="00E5019F" w:rsidRPr="0071782F" w:rsidRDefault="00E5019F" w:rsidP="00E5019F">
      <w:pPr>
        <w:pStyle w:val="SingleTxtG"/>
        <w:ind w:left="1701"/>
        <w:rPr>
          <w:lang w:val="fr-CH"/>
        </w:rPr>
      </w:pPr>
      <w:r w:rsidRPr="0071782F">
        <w:rPr>
          <w:lang w:val="fr-CH"/>
        </w:rPr>
        <w:t>277.3.</w:t>
      </w:r>
      <w:r w:rsidRPr="0071782F">
        <w:rPr>
          <w:lang w:val="fr-CH"/>
        </w:rPr>
        <w:tab/>
      </w:r>
      <w:r w:rsidR="0079509B" w:rsidRPr="0071782F">
        <w:rPr>
          <w:lang w:val="fr-CH"/>
        </w:rPr>
        <w:t xml:space="preserve">La </w:t>
      </w:r>
      <w:r w:rsidRPr="0071782F">
        <w:rPr>
          <w:lang w:val="fr-CH"/>
        </w:rPr>
        <w:t>d</w:t>
      </w:r>
      <w:r w:rsidR="0079509B" w:rsidRPr="0071782F">
        <w:rPr>
          <w:lang w:val="fr-CH"/>
        </w:rPr>
        <w:t>é</w:t>
      </w:r>
      <w:r w:rsidRPr="0071782F">
        <w:rPr>
          <w:lang w:val="fr-CH"/>
        </w:rPr>
        <w:t>l</w:t>
      </w:r>
      <w:r w:rsidR="0079509B" w:rsidRPr="0071782F">
        <w:rPr>
          <w:lang w:val="fr-CH"/>
        </w:rPr>
        <w:t>é</w:t>
      </w:r>
      <w:r w:rsidRPr="0071782F">
        <w:rPr>
          <w:lang w:val="fr-CH"/>
        </w:rPr>
        <w:t xml:space="preserve">gation </w:t>
      </w:r>
      <w:r w:rsidR="0079509B" w:rsidRPr="0071782F">
        <w:rPr>
          <w:lang w:val="fr-CH"/>
        </w:rPr>
        <w:t>de pouvoir aux facultés de médecine en matière de délivrance d’autorisations pour les programmes de formation médicale continue a entraîné une croissance remarquable de ces programmes, dont le nombre a doublé entre 2005 (2 740) et 2008 (</w:t>
      </w:r>
      <w:r w:rsidRPr="0071782F">
        <w:rPr>
          <w:lang w:val="fr-CH"/>
        </w:rPr>
        <w:t>5</w:t>
      </w:r>
      <w:r w:rsidR="0079509B" w:rsidRPr="0071782F">
        <w:rPr>
          <w:lang w:val="fr-CH"/>
        </w:rPr>
        <w:t> </w:t>
      </w:r>
      <w:r w:rsidRPr="0071782F">
        <w:rPr>
          <w:lang w:val="fr-CH"/>
        </w:rPr>
        <w:t>500</w:t>
      </w:r>
      <w:r w:rsidR="0079509B" w:rsidRPr="0071782F">
        <w:rPr>
          <w:lang w:val="fr-CH"/>
        </w:rPr>
        <w:t>)</w:t>
      </w:r>
      <w:r w:rsidRPr="0071782F">
        <w:rPr>
          <w:lang w:val="fr-CH"/>
        </w:rPr>
        <w:t>.</w:t>
      </w:r>
    </w:p>
    <w:p w:rsidR="00E5019F" w:rsidRPr="0071782F" w:rsidRDefault="00E5019F" w:rsidP="00E5019F">
      <w:pPr>
        <w:pStyle w:val="SingleTxtG"/>
        <w:ind w:left="1701"/>
        <w:rPr>
          <w:lang w:val="fr-CH"/>
        </w:rPr>
      </w:pPr>
      <w:r w:rsidRPr="0071782F">
        <w:rPr>
          <w:lang w:val="fr-CH"/>
        </w:rPr>
        <w:t>277.4.</w:t>
      </w:r>
      <w:r w:rsidRPr="0071782F">
        <w:rPr>
          <w:lang w:val="fr-CH"/>
        </w:rPr>
        <w:tab/>
      </w:r>
      <w:r w:rsidR="002F3288" w:rsidRPr="0071782F">
        <w:rPr>
          <w:lang w:val="fr-CH"/>
        </w:rPr>
        <w:t xml:space="preserve">Pour freiner la tendance des étudiants iraniens à émigrer et développer les échanges et la coopération avec d’autres pays dans le domaine de la formation médicale, </w:t>
      </w:r>
      <w:r w:rsidRPr="0071782F">
        <w:rPr>
          <w:lang w:val="fr-CH"/>
        </w:rPr>
        <w:t xml:space="preserve">12 </w:t>
      </w:r>
      <w:r w:rsidR="002F3288" w:rsidRPr="0071782F">
        <w:rPr>
          <w:lang w:val="fr-CH"/>
        </w:rPr>
        <w:t xml:space="preserve">facultés de médecine ont créé des filiales </w:t>
      </w:r>
      <w:r w:rsidRPr="0071782F">
        <w:rPr>
          <w:lang w:val="fr-CH"/>
        </w:rPr>
        <w:t>international</w:t>
      </w:r>
      <w:r w:rsidR="002F3288" w:rsidRPr="0071782F">
        <w:rPr>
          <w:lang w:val="fr-CH"/>
        </w:rPr>
        <w:t>es</w:t>
      </w:r>
      <w:r w:rsidRPr="0071782F">
        <w:rPr>
          <w:lang w:val="fr-CH"/>
        </w:rPr>
        <w:t xml:space="preserve">; </w:t>
      </w:r>
      <w:r w:rsidR="002F3288" w:rsidRPr="0071782F">
        <w:rPr>
          <w:lang w:val="fr-CH"/>
        </w:rPr>
        <w:t xml:space="preserve">à l’heure actuelle, </w:t>
      </w:r>
      <w:r w:rsidRPr="0071782F">
        <w:rPr>
          <w:lang w:val="fr-CH"/>
        </w:rPr>
        <w:t>1</w:t>
      </w:r>
      <w:r w:rsidR="000613AA">
        <w:rPr>
          <w:lang w:val="fr-CH"/>
        </w:rPr>
        <w:t> </w:t>
      </w:r>
      <w:r w:rsidRPr="0071782F">
        <w:rPr>
          <w:lang w:val="fr-CH"/>
        </w:rPr>
        <w:t>592</w:t>
      </w:r>
      <w:r w:rsidR="00097CDB" w:rsidRPr="0071782F">
        <w:rPr>
          <w:lang w:val="fr-CH"/>
        </w:rPr>
        <w:t> personnes</w:t>
      </w:r>
      <w:r w:rsidR="002F3288" w:rsidRPr="0071782F">
        <w:rPr>
          <w:lang w:val="fr-CH"/>
        </w:rPr>
        <w:t xml:space="preserve"> y font leurs études</w:t>
      </w:r>
      <w:r w:rsidRPr="0071782F">
        <w:rPr>
          <w:lang w:val="fr-CH"/>
        </w:rPr>
        <w:t>.</w:t>
      </w:r>
    </w:p>
    <w:p w:rsidR="00E5019F" w:rsidRPr="0071782F" w:rsidRDefault="00E5019F" w:rsidP="00E5019F">
      <w:pPr>
        <w:pStyle w:val="SingleTxtG"/>
        <w:ind w:left="1701"/>
        <w:rPr>
          <w:lang w:val="fr-CH"/>
        </w:rPr>
      </w:pPr>
      <w:r w:rsidRPr="0071782F">
        <w:rPr>
          <w:lang w:val="fr-CH"/>
        </w:rPr>
        <w:t>277.5.</w:t>
      </w:r>
      <w:r w:rsidRPr="0071782F">
        <w:rPr>
          <w:lang w:val="fr-CH"/>
        </w:rPr>
        <w:tab/>
      </w:r>
      <w:r w:rsidR="002F3288" w:rsidRPr="0071782F">
        <w:rPr>
          <w:lang w:val="fr-CH"/>
        </w:rPr>
        <w:t xml:space="preserve">En 2007, pour répondre aux besoins spéciaux des étudiants surdoués, un Conseil d’orientation des étudiants surdoués a été créé au siège et dans les antennes de ce bureau </w:t>
      </w:r>
      <w:r w:rsidR="00402662" w:rsidRPr="0071782F">
        <w:rPr>
          <w:lang w:val="fr-CH"/>
        </w:rPr>
        <w:t xml:space="preserve">implantées </w:t>
      </w:r>
      <w:r w:rsidR="002F3288" w:rsidRPr="0071782F">
        <w:rPr>
          <w:lang w:val="fr-CH"/>
        </w:rPr>
        <w:t xml:space="preserve">dans </w:t>
      </w:r>
      <w:r w:rsidRPr="0071782F">
        <w:rPr>
          <w:lang w:val="fr-CH"/>
        </w:rPr>
        <w:t>42 universit</w:t>
      </w:r>
      <w:r w:rsidR="002F3288" w:rsidRPr="0071782F">
        <w:rPr>
          <w:lang w:val="fr-CH"/>
        </w:rPr>
        <w:t xml:space="preserve">és; ces conseils ont commencé à fournir des </w:t>
      </w:r>
      <w:r w:rsidRPr="0071782F">
        <w:rPr>
          <w:lang w:val="fr-CH"/>
        </w:rPr>
        <w:t xml:space="preserve">services </w:t>
      </w:r>
      <w:r w:rsidR="002F3288" w:rsidRPr="0071782F">
        <w:rPr>
          <w:lang w:val="fr-CH"/>
        </w:rPr>
        <w:t xml:space="preserve">aux étudiants intéressés, dont le nombre atteint à présent </w:t>
      </w:r>
      <w:r w:rsidRPr="0071782F">
        <w:rPr>
          <w:lang w:val="fr-CH"/>
        </w:rPr>
        <w:t>7</w:t>
      </w:r>
      <w:r w:rsidR="00FF1C6B" w:rsidRPr="0071782F">
        <w:rPr>
          <w:lang w:val="fr-CH"/>
        </w:rPr>
        <w:t> </w:t>
      </w:r>
      <w:r w:rsidRPr="0071782F">
        <w:rPr>
          <w:lang w:val="fr-CH"/>
        </w:rPr>
        <w:t>750.</w:t>
      </w:r>
    </w:p>
    <w:p w:rsidR="00E5019F" w:rsidRPr="0071782F" w:rsidRDefault="00E5019F" w:rsidP="00E5019F">
      <w:pPr>
        <w:pStyle w:val="H23G"/>
        <w:rPr>
          <w:lang w:val="fr-CH"/>
        </w:rPr>
      </w:pPr>
      <w:r w:rsidRPr="0071782F">
        <w:rPr>
          <w:lang w:val="fr-CH"/>
        </w:rPr>
        <w:tab/>
      </w:r>
      <w:r w:rsidRPr="0071782F">
        <w:rPr>
          <w:lang w:val="fr-CH"/>
        </w:rPr>
        <w:tab/>
      </w:r>
      <w:r w:rsidR="002F3288" w:rsidRPr="0071782F">
        <w:rPr>
          <w:lang w:val="fr-CH"/>
        </w:rPr>
        <w:t>Développement q</w:t>
      </w:r>
      <w:r w:rsidRPr="0071782F">
        <w:rPr>
          <w:lang w:val="fr-CH"/>
        </w:rPr>
        <w:t>ualitati</w:t>
      </w:r>
      <w:r w:rsidR="002F3288" w:rsidRPr="0071782F">
        <w:rPr>
          <w:lang w:val="fr-CH"/>
        </w:rPr>
        <w:t xml:space="preserve">f de la formation médicale </w:t>
      </w:r>
    </w:p>
    <w:p w:rsidR="00E5019F" w:rsidRPr="0071782F" w:rsidRDefault="00E5019F" w:rsidP="00E5019F">
      <w:pPr>
        <w:pStyle w:val="SingleTxtG"/>
        <w:rPr>
          <w:lang w:val="fr-CH"/>
        </w:rPr>
      </w:pPr>
      <w:r w:rsidRPr="0071782F">
        <w:rPr>
          <w:lang w:val="fr-CH"/>
        </w:rPr>
        <w:t>278.</w:t>
      </w:r>
      <w:r w:rsidRPr="0071782F">
        <w:rPr>
          <w:lang w:val="fr-CH"/>
        </w:rPr>
        <w:tab/>
      </w:r>
      <w:r w:rsidR="00402662"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278.1.</w:t>
      </w:r>
      <w:r w:rsidRPr="0071782F">
        <w:rPr>
          <w:lang w:val="fr-CH"/>
        </w:rPr>
        <w:tab/>
      </w:r>
      <w:r w:rsidR="002F3288" w:rsidRPr="0071782F">
        <w:rPr>
          <w:lang w:val="fr-CH"/>
        </w:rPr>
        <w:t>Le développement quantitatif de la formation médicale s’est accompagné d’une volonté mieux affirmée de promouvoir la qualité de cette formation</w:t>
      </w:r>
      <w:r w:rsidRPr="0071782F">
        <w:rPr>
          <w:lang w:val="fr-CH"/>
        </w:rPr>
        <w:t>.</w:t>
      </w:r>
    </w:p>
    <w:p w:rsidR="00E5019F" w:rsidRPr="0071782F" w:rsidRDefault="00E5019F" w:rsidP="00E5019F">
      <w:pPr>
        <w:pStyle w:val="SingleTxtG"/>
        <w:ind w:left="1701"/>
        <w:rPr>
          <w:lang w:val="fr-CH"/>
        </w:rPr>
      </w:pPr>
      <w:r w:rsidRPr="0071782F">
        <w:rPr>
          <w:lang w:val="fr-CH"/>
        </w:rPr>
        <w:t>278.2.</w:t>
      </w:r>
      <w:r w:rsidRPr="0071782F">
        <w:rPr>
          <w:lang w:val="fr-CH"/>
        </w:rPr>
        <w:tab/>
      </w:r>
      <w:r w:rsidR="002F3288" w:rsidRPr="0071782F">
        <w:rPr>
          <w:lang w:val="fr-CH"/>
        </w:rPr>
        <w:t xml:space="preserve">Au cours de la période considérée, on a exécuté le plan consistant à admettre des étudiants locaux dans certaines disciplines, à permettre à des diplômés hautement qualifiés de suivre des cours de niveau supérieur sans examen d’entrée, à organiser des programmes de téléconférences et de télémédecine dans certaines écoles de médecine et à exécuter des plans d’enseignement virtuel à distance. Par ailleurs, on a créé dans certaines facultés de médecine </w:t>
      </w:r>
      <w:r w:rsidR="00A83442">
        <w:rPr>
          <w:lang w:val="fr-CH"/>
        </w:rPr>
        <w:t>des unités</w:t>
      </w:r>
      <w:r w:rsidR="002F3288" w:rsidRPr="0071782F">
        <w:rPr>
          <w:lang w:val="fr-CH"/>
        </w:rPr>
        <w:t xml:space="preserve"> de gestion de la qualité de l’enseignement</w:t>
      </w:r>
      <w:r w:rsidRPr="0071782F">
        <w:rPr>
          <w:lang w:val="fr-CH"/>
        </w:rPr>
        <w:t>.</w:t>
      </w:r>
    </w:p>
    <w:p w:rsidR="00E5019F" w:rsidRPr="0071782F" w:rsidRDefault="00E5019F" w:rsidP="00E5019F">
      <w:pPr>
        <w:pStyle w:val="SingleTxtG"/>
        <w:ind w:left="1701"/>
        <w:rPr>
          <w:lang w:val="fr-CH"/>
        </w:rPr>
      </w:pPr>
      <w:r w:rsidRPr="0071782F">
        <w:rPr>
          <w:lang w:val="fr-CH"/>
        </w:rPr>
        <w:t>278.3.</w:t>
      </w:r>
      <w:r w:rsidRPr="0071782F">
        <w:rPr>
          <w:lang w:val="fr-CH"/>
        </w:rPr>
        <w:tab/>
      </w:r>
      <w:r w:rsidR="002F3288" w:rsidRPr="0071782F">
        <w:rPr>
          <w:lang w:val="fr-CH"/>
        </w:rPr>
        <w:t xml:space="preserve">En 2007, afin de promouvoir la qualité de la formation médicale et les activités de recherche médicale, on a créé la </w:t>
      </w:r>
      <w:r w:rsidR="00A62149" w:rsidRPr="0071782F">
        <w:rPr>
          <w:lang w:val="fr-CH"/>
        </w:rPr>
        <w:t>"</w:t>
      </w:r>
      <w:r w:rsidR="002F3288" w:rsidRPr="0071782F">
        <w:rPr>
          <w:lang w:val="fr-CH"/>
        </w:rPr>
        <w:t>bibliothèque numérique des sciences médicales</w:t>
      </w:r>
      <w:r w:rsidR="00A62149" w:rsidRPr="0071782F">
        <w:rPr>
          <w:lang w:val="fr-CH"/>
        </w:rPr>
        <w:t>"</w:t>
      </w:r>
      <w:r w:rsidRPr="0071782F">
        <w:rPr>
          <w:lang w:val="fr-CH"/>
        </w:rPr>
        <w:t xml:space="preserve"> </w:t>
      </w:r>
      <w:r w:rsidR="002F3288" w:rsidRPr="0071782F">
        <w:rPr>
          <w:lang w:val="fr-CH"/>
        </w:rPr>
        <w:t>dotée de fonctions et d’applications avancées</w:t>
      </w:r>
      <w:r w:rsidRPr="0071782F">
        <w:rPr>
          <w:lang w:val="fr-CH"/>
        </w:rPr>
        <w:t xml:space="preserve">. </w:t>
      </w:r>
      <w:r w:rsidR="002F3288" w:rsidRPr="0071782F">
        <w:rPr>
          <w:lang w:val="fr-CH"/>
        </w:rPr>
        <w:t xml:space="preserve">Cette bibliothèque permet à tous d’accéder à plus de </w:t>
      </w:r>
      <w:r w:rsidRPr="0071782F">
        <w:rPr>
          <w:lang w:val="fr-CH"/>
        </w:rPr>
        <w:t>5</w:t>
      </w:r>
      <w:r w:rsidR="00FF1C6B" w:rsidRPr="0071782F">
        <w:rPr>
          <w:lang w:val="fr-CH"/>
        </w:rPr>
        <w:t> </w:t>
      </w:r>
      <w:r w:rsidRPr="0071782F">
        <w:rPr>
          <w:lang w:val="fr-CH"/>
        </w:rPr>
        <w:t xml:space="preserve">000 </w:t>
      </w:r>
      <w:r w:rsidR="00F269F8" w:rsidRPr="0071782F">
        <w:rPr>
          <w:lang w:val="fr-CH"/>
        </w:rPr>
        <w:t>revues médicales acc</w:t>
      </w:r>
      <w:r w:rsidR="002F3288" w:rsidRPr="0071782F">
        <w:rPr>
          <w:lang w:val="fr-CH"/>
        </w:rPr>
        <w:t>ré</w:t>
      </w:r>
      <w:r w:rsidR="00F269F8" w:rsidRPr="0071782F">
        <w:rPr>
          <w:lang w:val="fr-CH"/>
        </w:rPr>
        <w:t>dit</w:t>
      </w:r>
      <w:r w:rsidR="002F3288" w:rsidRPr="0071782F">
        <w:rPr>
          <w:lang w:val="fr-CH"/>
        </w:rPr>
        <w:t>ées et à des</w:t>
      </w:r>
      <w:r w:rsidR="00946A73">
        <w:rPr>
          <w:lang w:val="fr-CH"/>
        </w:rPr>
        <w:t xml:space="preserve"> </w:t>
      </w:r>
      <w:r w:rsidR="00097CDB" w:rsidRPr="0071782F">
        <w:rPr>
          <w:lang w:val="fr-CH"/>
        </w:rPr>
        <w:t>millions</w:t>
      </w:r>
      <w:r w:rsidRPr="0071782F">
        <w:rPr>
          <w:lang w:val="fr-CH"/>
        </w:rPr>
        <w:t xml:space="preserve"> </w:t>
      </w:r>
      <w:r w:rsidR="002F3288" w:rsidRPr="0071782F">
        <w:rPr>
          <w:lang w:val="fr-CH"/>
        </w:rPr>
        <w:t>d’</w:t>
      </w:r>
      <w:r w:rsidR="00723F2B" w:rsidRPr="0071782F">
        <w:rPr>
          <w:lang w:val="fr-CH"/>
        </w:rPr>
        <w:t>articles </w:t>
      </w:r>
      <w:r w:rsidR="002F3288" w:rsidRPr="0071782F">
        <w:rPr>
          <w:lang w:val="fr-CH"/>
        </w:rPr>
        <w:t>et de traités médicaux</w:t>
      </w:r>
      <w:r w:rsidRPr="0071782F">
        <w:rPr>
          <w:lang w:val="fr-CH"/>
        </w:rPr>
        <w:t>.</w:t>
      </w:r>
    </w:p>
    <w:p w:rsidR="00E5019F" w:rsidRPr="0071782F" w:rsidRDefault="00E5019F" w:rsidP="00E5019F">
      <w:pPr>
        <w:pStyle w:val="SingleTxtG"/>
        <w:ind w:left="1701"/>
        <w:rPr>
          <w:lang w:val="fr-CH"/>
        </w:rPr>
      </w:pPr>
      <w:r w:rsidRPr="0071782F">
        <w:rPr>
          <w:lang w:val="fr-CH"/>
        </w:rPr>
        <w:t>278.4.</w:t>
      </w:r>
      <w:r w:rsidRPr="0071782F">
        <w:rPr>
          <w:lang w:val="fr-CH"/>
        </w:rPr>
        <w:tab/>
      </w:r>
      <w:r w:rsidR="000528EC" w:rsidRPr="0071782F">
        <w:rPr>
          <w:lang w:val="fr-CH"/>
        </w:rPr>
        <w:t xml:space="preserve">Au nombre des mesures prises au cours des quatre dernières années pour améliorer la qualité de la formation médicale, on peut citer la création du Centre d’évaluation de la formation médicale et du Centre pour les affaires des conseils d’administration des facultés, la fondation et la mise en service du Secrétariat permanent du Festival </w:t>
      </w:r>
      <w:r w:rsidRPr="0071782F">
        <w:rPr>
          <w:lang w:val="fr-CH"/>
        </w:rPr>
        <w:t xml:space="preserve">Shahid Motahhari, </w:t>
      </w:r>
      <w:r w:rsidR="000528EC" w:rsidRPr="0071782F">
        <w:rPr>
          <w:lang w:val="fr-CH"/>
        </w:rPr>
        <w:t>la réforme des programmes de formation médicale générale</w:t>
      </w:r>
      <w:r w:rsidRPr="0071782F">
        <w:rPr>
          <w:lang w:val="fr-CH"/>
        </w:rPr>
        <w:t xml:space="preserve"> </w:t>
      </w:r>
      <w:r w:rsidR="000528EC" w:rsidRPr="0071782F">
        <w:rPr>
          <w:lang w:val="fr-CH"/>
        </w:rPr>
        <w:t xml:space="preserve">et le lancement du Plan des professeurs conseillers pédagogiques pour les étudiants appartenant </w:t>
      </w:r>
      <w:r w:rsidR="00A234E8" w:rsidRPr="0071782F">
        <w:rPr>
          <w:lang w:val="fr-CH"/>
        </w:rPr>
        <w:t>aux familles</w:t>
      </w:r>
      <w:r w:rsidR="000528EC" w:rsidRPr="0071782F">
        <w:rPr>
          <w:lang w:val="fr-CH"/>
        </w:rPr>
        <w:t xml:space="preserve"> des martyrs de guerre et des anciens combattants et du Plan d’</w:t>
      </w:r>
      <w:r w:rsidRPr="0071782F">
        <w:rPr>
          <w:lang w:val="fr-CH"/>
        </w:rPr>
        <w:t xml:space="preserve">admission </w:t>
      </w:r>
      <w:r w:rsidR="000528EC" w:rsidRPr="0071782F">
        <w:rPr>
          <w:lang w:val="fr-CH"/>
        </w:rPr>
        <w:t xml:space="preserve">d’étudiants locaux dans </w:t>
      </w:r>
      <w:r w:rsidRPr="0071782F">
        <w:rPr>
          <w:lang w:val="fr-CH"/>
        </w:rPr>
        <w:t>certain</w:t>
      </w:r>
      <w:r w:rsidR="000528EC" w:rsidRPr="0071782F">
        <w:rPr>
          <w:lang w:val="fr-CH"/>
        </w:rPr>
        <w:t>es</w:t>
      </w:r>
      <w:r w:rsidRPr="0071782F">
        <w:rPr>
          <w:lang w:val="fr-CH"/>
        </w:rPr>
        <w:t xml:space="preserve"> disciplines</w:t>
      </w:r>
      <w:r w:rsidR="000528EC" w:rsidRPr="0071782F">
        <w:rPr>
          <w:lang w:val="fr-CH"/>
        </w:rPr>
        <w:t>.</w:t>
      </w:r>
    </w:p>
    <w:p w:rsidR="00E5019F" w:rsidRPr="0071782F" w:rsidRDefault="00E5019F" w:rsidP="00E5019F">
      <w:pPr>
        <w:pStyle w:val="SingleTxtG"/>
        <w:ind w:left="1701"/>
        <w:rPr>
          <w:lang w:val="fr-CH"/>
        </w:rPr>
      </w:pPr>
      <w:r w:rsidRPr="0071782F">
        <w:rPr>
          <w:lang w:val="fr-CH"/>
        </w:rPr>
        <w:t>278.5.</w:t>
      </w:r>
      <w:r w:rsidRPr="0071782F">
        <w:rPr>
          <w:lang w:val="fr-CH"/>
        </w:rPr>
        <w:tab/>
      </w:r>
      <w:r w:rsidR="00CF4601" w:rsidRPr="0071782F">
        <w:rPr>
          <w:lang w:val="fr-CH"/>
        </w:rPr>
        <w:t xml:space="preserve">Élaboration du règlement d’admission de doctorants spécialisés, adoption des </w:t>
      </w:r>
      <w:r w:rsidRPr="0071782F">
        <w:rPr>
          <w:lang w:val="fr-CH"/>
        </w:rPr>
        <w:t xml:space="preserve">directives </w:t>
      </w:r>
      <w:r w:rsidR="00CF4601" w:rsidRPr="0071782F">
        <w:rPr>
          <w:lang w:val="fr-CH"/>
        </w:rPr>
        <w:t xml:space="preserve">sur l’enseignement à distance de la médecine au niveau du mastère et </w:t>
      </w:r>
      <w:r w:rsidRPr="0071782F">
        <w:rPr>
          <w:lang w:val="fr-CH"/>
        </w:rPr>
        <w:t xml:space="preserve">admission </w:t>
      </w:r>
      <w:r w:rsidR="00CF4601" w:rsidRPr="0071782F">
        <w:rPr>
          <w:lang w:val="fr-CH"/>
        </w:rPr>
        <w:t>d’étudiants en médecine titulaires d’une licence de sciences dans les programmes de doctorat de médecine générale.</w:t>
      </w:r>
    </w:p>
    <w:p w:rsidR="00E5019F" w:rsidRPr="0071782F" w:rsidRDefault="00E5019F" w:rsidP="00E5019F">
      <w:pPr>
        <w:pStyle w:val="SingleTxtG"/>
        <w:ind w:left="1701"/>
        <w:rPr>
          <w:spacing w:val="-2"/>
          <w:lang w:val="fr-CH"/>
        </w:rPr>
      </w:pPr>
      <w:r w:rsidRPr="0071782F">
        <w:rPr>
          <w:spacing w:val="-2"/>
          <w:lang w:val="fr-CH"/>
        </w:rPr>
        <w:t>278.6.</w:t>
      </w:r>
      <w:r w:rsidRPr="0071782F">
        <w:rPr>
          <w:spacing w:val="-2"/>
          <w:lang w:val="fr-CH"/>
        </w:rPr>
        <w:tab/>
      </w:r>
      <w:r w:rsidR="00F360FB" w:rsidRPr="0071782F">
        <w:rPr>
          <w:spacing w:val="-2"/>
          <w:lang w:val="fr-CH"/>
        </w:rPr>
        <w:t>Élaboration des règlements concernant la</w:t>
      </w:r>
      <w:r w:rsidRPr="0071782F">
        <w:rPr>
          <w:spacing w:val="-2"/>
          <w:lang w:val="fr-CH"/>
        </w:rPr>
        <w:t xml:space="preserve"> promotion </w:t>
      </w:r>
      <w:r w:rsidR="00F360FB" w:rsidRPr="0071782F">
        <w:rPr>
          <w:spacing w:val="-2"/>
          <w:lang w:val="fr-CH"/>
        </w:rPr>
        <w:t xml:space="preserve">des membres du corps enseignant; le recrutement et l’emploi de ces derniers; la prise en compte aux fins de leur promotion des points qui leur ont été attribués pour leurs découvertes scientifiques et inventions; l’octroi de bourses pour étudier dans les universités étrangères; l’octroi d’aides pour l’éducation des membres </w:t>
      </w:r>
      <w:r w:rsidR="004E45FB" w:rsidRPr="0071782F">
        <w:rPr>
          <w:spacing w:val="-2"/>
          <w:lang w:val="fr-CH"/>
        </w:rPr>
        <w:t>des familles</w:t>
      </w:r>
      <w:r w:rsidR="00F360FB" w:rsidRPr="0071782F">
        <w:rPr>
          <w:spacing w:val="-2"/>
          <w:lang w:val="fr-CH"/>
        </w:rPr>
        <w:t xml:space="preserve"> des </w:t>
      </w:r>
      <w:r w:rsidR="0071782F" w:rsidRPr="0071782F">
        <w:rPr>
          <w:spacing w:val="-2"/>
          <w:lang w:val="fr-CH"/>
        </w:rPr>
        <w:t>martyrs</w:t>
      </w:r>
      <w:r w:rsidR="00F360FB" w:rsidRPr="0071782F">
        <w:rPr>
          <w:spacing w:val="-2"/>
          <w:lang w:val="fr-CH"/>
        </w:rPr>
        <w:t xml:space="preserve"> de guerre, des invalides de guerre et des anciens combattants; et les étudiants surdoués; ainsi que des </w:t>
      </w:r>
      <w:r w:rsidRPr="0071782F">
        <w:rPr>
          <w:spacing w:val="-2"/>
          <w:lang w:val="fr-CH"/>
        </w:rPr>
        <w:t xml:space="preserve">directives </w:t>
      </w:r>
      <w:r w:rsidR="00276067" w:rsidRPr="0071782F">
        <w:rPr>
          <w:spacing w:val="-2"/>
          <w:lang w:val="fr-CH"/>
        </w:rPr>
        <w:t>d’application du</w:t>
      </w:r>
      <w:r w:rsidR="00F360FB" w:rsidRPr="0071782F">
        <w:rPr>
          <w:spacing w:val="-2"/>
          <w:lang w:val="fr-CH"/>
        </w:rPr>
        <w:t xml:space="preserve"> règlement concernant l’</w:t>
      </w:r>
      <w:r w:rsidRPr="0071782F">
        <w:rPr>
          <w:spacing w:val="-2"/>
          <w:lang w:val="fr-CH"/>
        </w:rPr>
        <w:t xml:space="preserve">admission </w:t>
      </w:r>
      <w:r w:rsidR="00F360FB" w:rsidRPr="0071782F">
        <w:rPr>
          <w:spacing w:val="-2"/>
          <w:lang w:val="fr-CH"/>
        </w:rPr>
        <w:t>sans examen d’entrée d’étudiants hautement qualifiés dans des programmes de niveau supérieur</w:t>
      </w:r>
      <w:r w:rsidRPr="0071782F">
        <w:rPr>
          <w:spacing w:val="-2"/>
          <w:lang w:val="fr-CH"/>
        </w:rPr>
        <w:t>.</w:t>
      </w:r>
    </w:p>
    <w:p w:rsidR="00E5019F" w:rsidRPr="0071782F" w:rsidRDefault="00E5019F" w:rsidP="00E5019F">
      <w:pPr>
        <w:pStyle w:val="SingleTxtG"/>
        <w:ind w:left="1701"/>
        <w:rPr>
          <w:lang w:val="fr-CH"/>
        </w:rPr>
      </w:pPr>
      <w:r w:rsidRPr="0071782F">
        <w:rPr>
          <w:lang w:val="fr-CH"/>
        </w:rPr>
        <w:t>278.7.</w:t>
      </w:r>
      <w:r w:rsidRPr="0071782F">
        <w:rPr>
          <w:lang w:val="fr-CH"/>
        </w:rPr>
        <w:tab/>
      </w:r>
      <w:r w:rsidR="00FD73AD" w:rsidRPr="0071782F">
        <w:rPr>
          <w:lang w:val="fr-CH"/>
        </w:rPr>
        <w:t xml:space="preserve">Création du Comité d’enregistrement des </w:t>
      </w:r>
      <w:r w:rsidRPr="0071782F">
        <w:rPr>
          <w:lang w:val="fr-CH"/>
        </w:rPr>
        <w:t xml:space="preserve">initiatives </w:t>
      </w:r>
      <w:r w:rsidR="00FD73AD" w:rsidRPr="0071782F">
        <w:rPr>
          <w:lang w:val="fr-CH"/>
        </w:rPr>
        <w:t xml:space="preserve">et </w:t>
      </w:r>
      <w:r w:rsidRPr="0071782F">
        <w:rPr>
          <w:lang w:val="fr-CH"/>
        </w:rPr>
        <w:t>innovations</w:t>
      </w:r>
      <w:r w:rsidR="00FD73AD" w:rsidRPr="0071782F">
        <w:rPr>
          <w:lang w:val="fr-CH"/>
        </w:rPr>
        <w:t xml:space="preserve"> en matière d’éducatio</w:t>
      </w:r>
      <w:r w:rsidR="001217E2" w:rsidRPr="0071782F">
        <w:rPr>
          <w:lang w:val="fr-CH"/>
        </w:rPr>
        <w:t>n</w:t>
      </w:r>
      <w:r w:rsidR="00FD73AD" w:rsidRPr="0071782F">
        <w:rPr>
          <w:lang w:val="fr-CH"/>
        </w:rPr>
        <w:t xml:space="preserve"> et du Conseil d’appui aux médecins généralistes dans l’exercice de leurs fonctions; élaboration du règlement concernant l’application des normes éducatives de base dans les programmes de formation des médecins généralistes; et </w:t>
      </w:r>
      <w:r w:rsidRPr="0071782F">
        <w:rPr>
          <w:lang w:val="fr-CH"/>
        </w:rPr>
        <w:t>d</w:t>
      </w:r>
      <w:r w:rsidR="00FD73AD" w:rsidRPr="0071782F">
        <w:rPr>
          <w:lang w:val="fr-CH"/>
        </w:rPr>
        <w:t>é</w:t>
      </w:r>
      <w:r w:rsidRPr="0071782F">
        <w:rPr>
          <w:lang w:val="fr-CH"/>
        </w:rPr>
        <w:t>l</w:t>
      </w:r>
      <w:r w:rsidR="00FD73AD" w:rsidRPr="0071782F">
        <w:rPr>
          <w:lang w:val="fr-CH"/>
        </w:rPr>
        <w:t>é</w:t>
      </w:r>
      <w:r w:rsidRPr="0071782F">
        <w:rPr>
          <w:lang w:val="fr-CH"/>
        </w:rPr>
        <w:t xml:space="preserve">gation </w:t>
      </w:r>
      <w:r w:rsidR="00FD73AD" w:rsidRPr="0071782F">
        <w:rPr>
          <w:lang w:val="fr-CH"/>
        </w:rPr>
        <w:t>de pouvoir aux facultés de médecine concernant la délivrance de diplômes universitaire spécialisés</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t>Re</w:t>
      </w:r>
      <w:r w:rsidR="00FD73AD" w:rsidRPr="0071782F">
        <w:rPr>
          <w:lang w:val="fr-CH"/>
        </w:rPr>
        <w:t xml:space="preserve">cherche et </w:t>
      </w:r>
      <w:r w:rsidRPr="0071782F">
        <w:rPr>
          <w:lang w:val="fr-CH"/>
        </w:rPr>
        <w:t>te</w:t>
      </w:r>
      <w:r w:rsidR="00FD73AD" w:rsidRPr="0071782F">
        <w:rPr>
          <w:lang w:val="fr-CH"/>
        </w:rPr>
        <w:t>chnologie</w:t>
      </w:r>
    </w:p>
    <w:p w:rsidR="00E5019F" w:rsidRPr="0071782F" w:rsidRDefault="00E5019F" w:rsidP="00E5019F">
      <w:pPr>
        <w:pStyle w:val="H23G"/>
        <w:rPr>
          <w:lang w:val="fr-CH"/>
        </w:rPr>
      </w:pPr>
      <w:r w:rsidRPr="0071782F">
        <w:rPr>
          <w:lang w:val="fr-CH"/>
        </w:rPr>
        <w:tab/>
      </w:r>
      <w:r w:rsidRPr="0071782F">
        <w:rPr>
          <w:lang w:val="fr-CH"/>
        </w:rPr>
        <w:tab/>
        <w:t>D</w:t>
      </w:r>
      <w:r w:rsidR="00FD73AD" w:rsidRPr="0071782F">
        <w:rPr>
          <w:lang w:val="fr-CH"/>
        </w:rPr>
        <w:t xml:space="preserve">éveloppement de la recherche médicale </w:t>
      </w:r>
    </w:p>
    <w:p w:rsidR="00E5019F" w:rsidRPr="0071782F" w:rsidRDefault="00E5019F" w:rsidP="00E5019F">
      <w:pPr>
        <w:pStyle w:val="SingleTxtG"/>
        <w:rPr>
          <w:lang w:val="fr-CH"/>
        </w:rPr>
      </w:pPr>
      <w:r w:rsidRPr="0071782F">
        <w:rPr>
          <w:lang w:val="fr-CH"/>
        </w:rPr>
        <w:t>279.</w:t>
      </w:r>
      <w:r w:rsidRPr="0071782F">
        <w:rPr>
          <w:lang w:val="fr-CH"/>
        </w:rPr>
        <w:tab/>
      </w:r>
      <w:r w:rsidR="001217E2"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279.1.</w:t>
      </w:r>
      <w:r w:rsidRPr="0071782F">
        <w:rPr>
          <w:lang w:val="fr-CH"/>
        </w:rPr>
        <w:tab/>
        <w:t>Parall</w:t>
      </w:r>
      <w:r w:rsidR="002F4836" w:rsidRPr="0071782F">
        <w:rPr>
          <w:lang w:val="fr-CH"/>
        </w:rPr>
        <w:t xml:space="preserve">èlement à la </w:t>
      </w:r>
      <w:r w:rsidRPr="0071782F">
        <w:rPr>
          <w:lang w:val="fr-CH"/>
        </w:rPr>
        <w:t xml:space="preserve">promotion </w:t>
      </w:r>
      <w:r w:rsidR="002F4836" w:rsidRPr="0071782F">
        <w:rPr>
          <w:lang w:val="fr-CH"/>
        </w:rPr>
        <w:t>de la qualité de la formation médicale, certaines activités ont été menées dans le domaine de la recherche et de la technologie médicales.</w:t>
      </w:r>
      <w:r w:rsidRPr="0071782F">
        <w:rPr>
          <w:lang w:val="fr-CH"/>
        </w:rPr>
        <w:t xml:space="preserve"> </w:t>
      </w:r>
      <w:r w:rsidR="002F4836" w:rsidRPr="0071782F">
        <w:rPr>
          <w:lang w:val="fr-CH"/>
        </w:rPr>
        <w:t xml:space="preserve">Au cours de la période considérée, le </w:t>
      </w:r>
      <w:r w:rsidR="003B48A4" w:rsidRPr="0071782F">
        <w:rPr>
          <w:lang w:val="fr-CH"/>
        </w:rPr>
        <w:t>nombre</w:t>
      </w:r>
      <w:r w:rsidRPr="0071782F">
        <w:rPr>
          <w:lang w:val="fr-CH"/>
        </w:rPr>
        <w:t xml:space="preserve"> </w:t>
      </w:r>
      <w:r w:rsidR="002F4836" w:rsidRPr="0071782F">
        <w:rPr>
          <w:lang w:val="fr-CH"/>
        </w:rPr>
        <w:t>de centres de recherche médicale a doublé</w:t>
      </w:r>
      <w:r w:rsidR="008F7D33" w:rsidRPr="0071782F">
        <w:rPr>
          <w:lang w:val="fr-CH"/>
        </w:rPr>
        <w:t>:</w:t>
      </w:r>
      <w:r w:rsidR="002F4836" w:rsidRPr="0071782F">
        <w:rPr>
          <w:lang w:val="fr-CH"/>
        </w:rPr>
        <w:t xml:space="preserve"> il y en a à présent </w:t>
      </w:r>
      <w:r w:rsidRPr="0071782F">
        <w:rPr>
          <w:lang w:val="fr-CH"/>
        </w:rPr>
        <w:t xml:space="preserve">220. </w:t>
      </w:r>
      <w:r w:rsidR="002F4836" w:rsidRPr="0071782F">
        <w:rPr>
          <w:lang w:val="fr-CH"/>
        </w:rPr>
        <w:t xml:space="preserve">De même, le </w:t>
      </w:r>
      <w:r w:rsidR="003B48A4" w:rsidRPr="0071782F">
        <w:rPr>
          <w:lang w:val="fr-CH"/>
        </w:rPr>
        <w:t>nombre</w:t>
      </w:r>
      <w:r w:rsidRPr="0071782F">
        <w:rPr>
          <w:lang w:val="fr-CH"/>
        </w:rPr>
        <w:t xml:space="preserve"> </w:t>
      </w:r>
      <w:r w:rsidR="002F4836" w:rsidRPr="0071782F">
        <w:rPr>
          <w:lang w:val="fr-CH"/>
        </w:rPr>
        <w:t>des réseaux de recherche médicale a été porté à</w:t>
      </w:r>
      <w:r w:rsidRPr="0071782F">
        <w:rPr>
          <w:lang w:val="fr-CH"/>
        </w:rPr>
        <w:t xml:space="preserve"> 40, </w:t>
      </w:r>
      <w:r w:rsidR="002F4836" w:rsidRPr="0071782F">
        <w:rPr>
          <w:lang w:val="fr-CH"/>
        </w:rPr>
        <w:t xml:space="preserve">soit un taux de croissance de </w:t>
      </w:r>
      <w:r w:rsidRPr="0071782F">
        <w:rPr>
          <w:lang w:val="fr-CH"/>
        </w:rPr>
        <w:t>40</w:t>
      </w:r>
      <w:r w:rsidR="007E5125" w:rsidRPr="0071782F">
        <w:rPr>
          <w:lang w:val="fr-CH"/>
        </w:rPr>
        <w:t>%</w:t>
      </w:r>
      <w:r w:rsidRPr="0071782F">
        <w:rPr>
          <w:lang w:val="fr-CH"/>
        </w:rPr>
        <w:t xml:space="preserve">. </w:t>
      </w:r>
      <w:r w:rsidR="002F4836" w:rsidRPr="0071782F">
        <w:rPr>
          <w:lang w:val="fr-CH"/>
        </w:rPr>
        <w:t xml:space="preserve">De son côté, le nombre de banques de données est passé de 30 en 2005 à 42 en </w:t>
      </w:r>
      <w:r w:rsidRPr="0071782F">
        <w:rPr>
          <w:lang w:val="fr-CH"/>
        </w:rPr>
        <w:t>2008.</w:t>
      </w:r>
    </w:p>
    <w:p w:rsidR="00E5019F" w:rsidRPr="000613AA" w:rsidRDefault="00E5019F" w:rsidP="00E5019F">
      <w:pPr>
        <w:pStyle w:val="SingleTxtG"/>
        <w:ind w:left="1701"/>
        <w:rPr>
          <w:spacing w:val="-2"/>
          <w:lang w:val="fr-CH"/>
        </w:rPr>
      </w:pPr>
      <w:r w:rsidRPr="000613AA">
        <w:rPr>
          <w:spacing w:val="-2"/>
          <w:lang w:val="fr-CH"/>
        </w:rPr>
        <w:t>279.2.</w:t>
      </w:r>
      <w:r w:rsidRPr="000613AA">
        <w:rPr>
          <w:spacing w:val="-2"/>
          <w:lang w:val="fr-CH"/>
        </w:rPr>
        <w:tab/>
      </w:r>
      <w:r w:rsidR="002F4836" w:rsidRPr="000613AA">
        <w:rPr>
          <w:spacing w:val="-2"/>
          <w:lang w:val="fr-CH"/>
        </w:rPr>
        <w:t xml:space="preserve">Les revues médicales ont enregistré une croissance de </w:t>
      </w:r>
      <w:r w:rsidRPr="000613AA">
        <w:rPr>
          <w:spacing w:val="-2"/>
          <w:lang w:val="fr-CH"/>
        </w:rPr>
        <w:t>74</w:t>
      </w:r>
      <w:r w:rsidR="007E5125" w:rsidRPr="000613AA">
        <w:rPr>
          <w:spacing w:val="-2"/>
          <w:lang w:val="fr-CH"/>
        </w:rPr>
        <w:t>%</w:t>
      </w:r>
      <w:r w:rsidR="002F4836" w:rsidRPr="000613AA">
        <w:rPr>
          <w:spacing w:val="-2"/>
          <w:lang w:val="fr-CH"/>
        </w:rPr>
        <w:t xml:space="preserve">, passant de </w:t>
      </w:r>
      <w:r w:rsidRPr="000613AA">
        <w:rPr>
          <w:spacing w:val="-2"/>
          <w:lang w:val="fr-CH"/>
        </w:rPr>
        <w:t>4</w:t>
      </w:r>
      <w:r w:rsidR="00FF1C6B" w:rsidRPr="000613AA">
        <w:rPr>
          <w:spacing w:val="-2"/>
          <w:lang w:val="fr-CH"/>
        </w:rPr>
        <w:t> </w:t>
      </w:r>
      <w:r w:rsidRPr="000613AA">
        <w:rPr>
          <w:spacing w:val="-2"/>
          <w:lang w:val="fr-CH"/>
        </w:rPr>
        <w:t>672</w:t>
      </w:r>
      <w:r w:rsidR="00FF1C6B" w:rsidRPr="000613AA">
        <w:rPr>
          <w:spacing w:val="-2"/>
          <w:lang w:val="fr-CH"/>
        </w:rPr>
        <w:t xml:space="preserve"> articles </w:t>
      </w:r>
      <w:r w:rsidR="002F4836" w:rsidRPr="000613AA">
        <w:rPr>
          <w:spacing w:val="-2"/>
          <w:lang w:val="fr-CH"/>
        </w:rPr>
        <w:t>e</w:t>
      </w:r>
      <w:r w:rsidRPr="000613AA">
        <w:rPr>
          <w:spacing w:val="-2"/>
          <w:lang w:val="fr-CH"/>
        </w:rPr>
        <w:t xml:space="preserve">n 2005 </w:t>
      </w:r>
      <w:r w:rsidR="002F4836" w:rsidRPr="000613AA">
        <w:rPr>
          <w:spacing w:val="-2"/>
          <w:lang w:val="fr-CH"/>
        </w:rPr>
        <w:t>à 8</w:t>
      </w:r>
      <w:r w:rsidR="00946A73" w:rsidRPr="000613AA">
        <w:rPr>
          <w:spacing w:val="-2"/>
          <w:lang w:val="fr-CH"/>
        </w:rPr>
        <w:t> </w:t>
      </w:r>
      <w:r w:rsidRPr="000613AA">
        <w:rPr>
          <w:spacing w:val="-2"/>
          <w:lang w:val="fr-CH"/>
        </w:rPr>
        <w:t xml:space="preserve">110 </w:t>
      </w:r>
      <w:r w:rsidR="002F4836" w:rsidRPr="000613AA">
        <w:rPr>
          <w:spacing w:val="-2"/>
          <w:lang w:val="fr-CH"/>
        </w:rPr>
        <w:t>e</w:t>
      </w:r>
      <w:r w:rsidRPr="000613AA">
        <w:rPr>
          <w:spacing w:val="-2"/>
          <w:lang w:val="fr-CH"/>
        </w:rPr>
        <w:t xml:space="preserve">n 2008. </w:t>
      </w:r>
      <w:r w:rsidR="002F4836" w:rsidRPr="000613AA">
        <w:rPr>
          <w:spacing w:val="-2"/>
          <w:lang w:val="fr-CH"/>
        </w:rPr>
        <w:t xml:space="preserve">Par ailleurs, le </w:t>
      </w:r>
      <w:r w:rsidR="003B48A4" w:rsidRPr="000613AA">
        <w:rPr>
          <w:spacing w:val="-2"/>
          <w:lang w:val="fr-CH"/>
        </w:rPr>
        <w:t>nombre</w:t>
      </w:r>
      <w:r w:rsidRPr="000613AA">
        <w:rPr>
          <w:spacing w:val="-2"/>
          <w:lang w:val="fr-CH"/>
        </w:rPr>
        <w:t xml:space="preserve"> </w:t>
      </w:r>
      <w:r w:rsidR="002F4836" w:rsidRPr="000613AA">
        <w:rPr>
          <w:spacing w:val="-2"/>
          <w:lang w:val="fr-CH"/>
        </w:rPr>
        <w:t xml:space="preserve">de projets de recherche médicale approuvés au cours de la période considérée a été de </w:t>
      </w:r>
      <w:r w:rsidRPr="000613AA">
        <w:rPr>
          <w:spacing w:val="-2"/>
          <w:lang w:val="fr-CH"/>
        </w:rPr>
        <w:t>6</w:t>
      </w:r>
      <w:r w:rsidR="00946A73" w:rsidRPr="000613AA">
        <w:rPr>
          <w:spacing w:val="-2"/>
          <w:lang w:val="fr-CH"/>
        </w:rPr>
        <w:t> </w:t>
      </w:r>
      <w:r w:rsidRPr="000613AA">
        <w:rPr>
          <w:spacing w:val="-2"/>
          <w:lang w:val="fr-CH"/>
        </w:rPr>
        <w:t xml:space="preserve">816, </w:t>
      </w:r>
      <w:r w:rsidR="002F4836" w:rsidRPr="000613AA">
        <w:rPr>
          <w:spacing w:val="-2"/>
          <w:lang w:val="fr-CH"/>
        </w:rPr>
        <w:t xml:space="preserve">en augmentation de </w:t>
      </w:r>
      <w:r w:rsidRPr="000613AA">
        <w:rPr>
          <w:spacing w:val="-2"/>
          <w:lang w:val="fr-CH"/>
        </w:rPr>
        <w:t>22</w:t>
      </w:r>
      <w:r w:rsidR="002F4836" w:rsidRPr="000613AA">
        <w:rPr>
          <w:spacing w:val="-2"/>
          <w:lang w:val="fr-CH"/>
        </w:rPr>
        <w:t>,</w:t>
      </w:r>
      <w:r w:rsidRPr="000613AA">
        <w:rPr>
          <w:spacing w:val="-2"/>
          <w:lang w:val="fr-CH"/>
        </w:rPr>
        <w:t>5</w:t>
      </w:r>
      <w:r w:rsidR="007E5125" w:rsidRPr="000613AA">
        <w:rPr>
          <w:spacing w:val="-2"/>
          <w:lang w:val="fr-CH"/>
        </w:rPr>
        <w:t>%</w:t>
      </w:r>
      <w:r w:rsidRPr="000613AA">
        <w:rPr>
          <w:spacing w:val="-2"/>
          <w:lang w:val="fr-CH"/>
        </w:rPr>
        <w:t xml:space="preserve">. </w:t>
      </w:r>
      <w:r w:rsidR="002F4836" w:rsidRPr="000613AA">
        <w:rPr>
          <w:spacing w:val="-2"/>
          <w:lang w:val="fr-CH"/>
        </w:rPr>
        <w:t xml:space="preserve">Le </w:t>
      </w:r>
      <w:r w:rsidR="003B48A4" w:rsidRPr="000613AA">
        <w:rPr>
          <w:spacing w:val="-2"/>
          <w:lang w:val="fr-CH"/>
        </w:rPr>
        <w:t>nombre</w:t>
      </w:r>
      <w:r w:rsidRPr="000613AA">
        <w:rPr>
          <w:spacing w:val="-2"/>
          <w:lang w:val="fr-CH"/>
        </w:rPr>
        <w:t xml:space="preserve"> </w:t>
      </w:r>
      <w:r w:rsidR="002F4836" w:rsidRPr="000613AA">
        <w:rPr>
          <w:spacing w:val="-2"/>
          <w:lang w:val="fr-CH"/>
        </w:rPr>
        <w:t xml:space="preserve">de centres de recherches cliniques est passé de </w:t>
      </w:r>
      <w:r w:rsidRPr="000613AA">
        <w:rPr>
          <w:spacing w:val="-2"/>
          <w:lang w:val="fr-CH"/>
        </w:rPr>
        <w:t xml:space="preserve">19 </w:t>
      </w:r>
      <w:r w:rsidR="002F4836" w:rsidRPr="000613AA">
        <w:rPr>
          <w:spacing w:val="-2"/>
          <w:lang w:val="fr-CH"/>
        </w:rPr>
        <w:t>à</w:t>
      </w:r>
      <w:r w:rsidRPr="000613AA">
        <w:rPr>
          <w:spacing w:val="-2"/>
          <w:lang w:val="fr-CH"/>
        </w:rPr>
        <w:t xml:space="preserve"> 23.</w:t>
      </w:r>
    </w:p>
    <w:p w:rsidR="00E5019F" w:rsidRPr="0071782F" w:rsidRDefault="00E5019F" w:rsidP="00E5019F">
      <w:pPr>
        <w:pStyle w:val="SingleTxtG"/>
        <w:ind w:left="1701"/>
        <w:rPr>
          <w:lang w:val="fr-CH"/>
        </w:rPr>
      </w:pPr>
      <w:r w:rsidRPr="0071782F">
        <w:rPr>
          <w:lang w:val="fr-CH"/>
        </w:rPr>
        <w:t>279.3.</w:t>
      </w:r>
      <w:r w:rsidRPr="0071782F">
        <w:rPr>
          <w:lang w:val="fr-CH"/>
        </w:rPr>
        <w:tab/>
      </w:r>
      <w:r w:rsidR="00A565CC" w:rsidRPr="0071782F">
        <w:rPr>
          <w:lang w:val="fr-CH"/>
        </w:rPr>
        <w:t xml:space="preserve">Le recrutement de </w:t>
      </w:r>
      <w:r w:rsidRPr="0071782F">
        <w:rPr>
          <w:lang w:val="fr-CH"/>
        </w:rPr>
        <w:t>1</w:t>
      </w:r>
      <w:r w:rsidR="00FF1C6B" w:rsidRPr="0071782F">
        <w:rPr>
          <w:lang w:val="fr-CH"/>
        </w:rPr>
        <w:t> </w:t>
      </w:r>
      <w:r w:rsidRPr="0071782F">
        <w:rPr>
          <w:lang w:val="fr-CH"/>
        </w:rPr>
        <w:t xml:space="preserve">020 </w:t>
      </w:r>
      <w:r w:rsidR="00A565CC" w:rsidRPr="0071782F">
        <w:rPr>
          <w:lang w:val="fr-CH"/>
        </w:rPr>
        <w:t xml:space="preserve">nouveaux membres des conseils d’administration des facultés de médecine et de </w:t>
      </w:r>
      <w:r w:rsidRPr="0071782F">
        <w:rPr>
          <w:lang w:val="fr-CH"/>
        </w:rPr>
        <w:t>1</w:t>
      </w:r>
      <w:r w:rsidR="00FF1C6B" w:rsidRPr="0071782F">
        <w:rPr>
          <w:lang w:val="fr-CH"/>
        </w:rPr>
        <w:t> </w:t>
      </w:r>
      <w:r w:rsidRPr="0071782F">
        <w:rPr>
          <w:lang w:val="fr-CH"/>
        </w:rPr>
        <w:t xml:space="preserve">800 </w:t>
      </w:r>
      <w:r w:rsidR="00A565CC" w:rsidRPr="0071782F">
        <w:rPr>
          <w:lang w:val="fr-CH"/>
        </w:rPr>
        <w:t>nouveaux chercheurs a fait passer</w:t>
      </w:r>
      <w:r w:rsidRPr="0071782F">
        <w:rPr>
          <w:lang w:val="fr-CH"/>
        </w:rPr>
        <w:t xml:space="preserve"> </w:t>
      </w:r>
      <w:r w:rsidR="00A565CC" w:rsidRPr="0071782F">
        <w:rPr>
          <w:lang w:val="fr-CH"/>
        </w:rPr>
        <w:t xml:space="preserve">les </w:t>
      </w:r>
      <w:r w:rsidR="003B48A4" w:rsidRPr="0071782F">
        <w:rPr>
          <w:lang w:val="fr-CH"/>
        </w:rPr>
        <w:t>nombre</w:t>
      </w:r>
      <w:r w:rsidRPr="0071782F">
        <w:rPr>
          <w:lang w:val="fr-CH"/>
        </w:rPr>
        <w:t xml:space="preserve">s </w:t>
      </w:r>
      <w:r w:rsidR="00A565CC" w:rsidRPr="0071782F">
        <w:rPr>
          <w:lang w:val="fr-CH"/>
        </w:rPr>
        <w:t xml:space="preserve">de ces membres et de ces chercheurs à </w:t>
      </w:r>
      <w:r w:rsidRPr="0071782F">
        <w:rPr>
          <w:lang w:val="fr-CH"/>
        </w:rPr>
        <w:t>11</w:t>
      </w:r>
      <w:r w:rsidR="00FF1C6B" w:rsidRPr="0071782F">
        <w:rPr>
          <w:lang w:val="fr-CH"/>
        </w:rPr>
        <w:t> </w:t>
      </w:r>
      <w:r w:rsidRPr="0071782F">
        <w:rPr>
          <w:lang w:val="fr-CH"/>
        </w:rPr>
        <w:t xml:space="preserve">325 </w:t>
      </w:r>
      <w:r w:rsidR="00A565CC" w:rsidRPr="0071782F">
        <w:rPr>
          <w:lang w:val="fr-CH"/>
        </w:rPr>
        <w:t>et</w:t>
      </w:r>
      <w:r w:rsidRPr="0071782F">
        <w:rPr>
          <w:lang w:val="fr-CH"/>
        </w:rPr>
        <w:t xml:space="preserve"> 11</w:t>
      </w:r>
      <w:r w:rsidR="00A565CC" w:rsidRPr="0071782F">
        <w:rPr>
          <w:lang w:val="fr-CH"/>
        </w:rPr>
        <w:t> </w:t>
      </w:r>
      <w:r w:rsidRPr="0071782F">
        <w:rPr>
          <w:lang w:val="fr-CH"/>
        </w:rPr>
        <w:t>000</w:t>
      </w:r>
      <w:r w:rsidR="00A565CC" w:rsidRPr="0071782F">
        <w:rPr>
          <w:lang w:val="fr-CH"/>
        </w:rPr>
        <w:t>, respectivement</w:t>
      </w:r>
      <w:r w:rsidRPr="0071782F">
        <w:rPr>
          <w:lang w:val="fr-CH"/>
        </w:rPr>
        <w:t xml:space="preserve">. </w:t>
      </w:r>
      <w:r w:rsidR="00A565CC" w:rsidRPr="0071782F">
        <w:rPr>
          <w:lang w:val="fr-CH"/>
        </w:rPr>
        <w:t xml:space="preserve">Le </w:t>
      </w:r>
      <w:r w:rsidR="003B48A4" w:rsidRPr="0071782F">
        <w:rPr>
          <w:lang w:val="fr-CH"/>
        </w:rPr>
        <w:t>nombre</w:t>
      </w:r>
      <w:r w:rsidRPr="0071782F">
        <w:rPr>
          <w:lang w:val="fr-CH"/>
        </w:rPr>
        <w:t xml:space="preserve"> </w:t>
      </w:r>
      <w:r w:rsidR="00A565CC" w:rsidRPr="0071782F">
        <w:rPr>
          <w:lang w:val="fr-CH"/>
        </w:rPr>
        <w:t xml:space="preserve">de revues de recherche scientifique médicale a de son côté enregistré une croissance de </w:t>
      </w:r>
      <w:r w:rsidRPr="0071782F">
        <w:rPr>
          <w:lang w:val="fr-CH"/>
        </w:rPr>
        <w:t>38</w:t>
      </w:r>
      <w:r w:rsidR="007E5125" w:rsidRPr="0071782F">
        <w:rPr>
          <w:lang w:val="fr-CH"/>
        </w:rPr>
        <w:t>%</w:t>
      </w:r>
      <w:r w:rsidRPr="0071782F">
        <w:rPr>
          <w:lang w:val="fr-CH"/>
        </w:rPr>
        <w:t xml:space="preserve">, </w:t>
      </w:r>
      <w:r w:rsidR="00A565CC" w:rsidRPr="0071782F">
        <w:rPr>
          <w:lang w:val="fr-CH"/>
        </w:rPr>
        <w:t xml:space="preserve">pour passer de </w:t>
      </w:r>
      <w:r w:rsidRPr="0071782F">
        <w:rPr>
          <w:lang w:val="fr-CH"/>
        </w:rPr>
        <w:t xml:space="preserve">103 </w:t>
      </w:r>
      <w:r w:rsidR="00A565CC" w:rsidRPr="0071782F">
        <w:rPr>
          <w:lang w:val="fr-CH"/>
        </w:rPr>
        <w:t>e</w:t>
      </w:r>
      <w:r w:rsidRPr="0071782F">
        <w:rPr>
          <w:lang w:val="fr-CH"/>
        </w:rPr>
        <w:t xml:space="preserve">n 2005 </w:t>
      </w:r>
      <w:r w:rsidR="00A565CC" w:rsidRPr="0071782F">
        <w:rPr>
          <w:lang w:val="fr-CH"/>
        </w:rPr>
        <w:t>à</w:t>
      </w:r>
      <w:r w:rsidRPr="0071782F">
        <w:rPr>
          <w:lang w:val="fr-CH"/>
        </w:rPr>
        <w:t xml:space="preserve"> 142 </w:t>
      </w:r>
      <w:r w:rsidR="00A565CC" w:rsidRPr="0071782F">
        <w:rPr>
          <w:lang w:val="fr-CH"/>
        </w:rPr>
        <w:t>e</w:t>
      </w:r>
      <w:r w:rsidRPr="0071782F">
        <w:rPr>
          <w:lang w:val="fr-CH"/>
        </w:rPr>
        <w:t>n 2008.</w:t>
      </w:r>
    </w:p>
    <w:p w:rsidR="00E5019F" w:rsidRPr="0071782F" w:rsidRDefault="00E5019F" w:rsidP="00E5019F">
      <w:pPr>
        <w:pStyle w:val="SingleTxtG"/>
        <w:ind w:left="1701"/>
        <w:rPr>
          <w:lang w:val="fr-CH"/>
        </w:rPr>
      </w:pPr>
      <w:r w:rsidRPr="0071782F">
        <w:rPr>
          <w:lang w:val="fr-CH"/>
        </w:rPr>
        <w:t>279.4.</w:t>
      </w:r>
      <w:r w:rsidRPr="0071782F">
        <w:rPr>
          <w:lang w:val="fr-CH"/>
        </w:rPr>
        <w:tab/>
      </w:r>
      <w:r w:rsidR="00A565CC" w:rsidRPr="0071782F">
        <w:rPr>
          <w:lang w:val="fr-CH"/>
        </w:rPr>
        <w:t xml:space="preserve">Les activités de recherche médicale ont débouché sur la publication de huit </w:t>
      </w:r>
      <w:r w:rsidR="00723F2B" w:rsidRPr="0071782F">
        <w:rPr>
          <w:lang w:val="fr-CH"/>
        </w:rPr>
        <w:t>articles</w:t>
      </w:r>
      <w:r w:rsidR="00FF1C6B" w:rsidRPr="0071782F">
        <w:rPr>
          <w:lang w:val="fr-CH"/>
        </w:rPr>
        <w:t xml:space="preserve"> </w:t>
      </w:r>
      <w:r w:rsidR="00A565CC" w:rsidRPr="0071782F">
        <w:rPr>
          <w:lang w:val="fr-CH"/>
        </w:rPr>
        <w:t>de recherche et ont permis d’améliorer le classement du pays (passé de la 31</w:t>
      </w:r>
      <w:r w:rsidR="00A565CC" w:rsidRPr="009E6189">
        <w:rPr>
          <w:vertAlign w:val="superscript"/>
          <w:lang w:val="fr-CH"/>
        </w:rPr>
        <w:t>e</w:t>
      </w:r>
      <w:r w:rsidR="000613AA">
        <w:rPr>
          <w:lang w:val="fr-CH"/>
        </w:rPr>
        <w:t> </w:t>
      </w:r>
      <w:r w:rsidR="00A565CC" w:rsidRPr="0071782F">
        <w:rPr>
          <w:lang w:val="fr-CH"/>
        </w:rPr>
        <w:t>place à la 23</w:t>
      </w:r>
      <w:r w:rsidR="00A565CC" w:rsidRPr="009E6189">
        <w:rPr>
          <w:vertAlign w:val="superscript"/>
          <w:lang w:val="fr-CH"/>
        </w:rPr>
        <w:t>e</w:t>
      </w:r>
      <w:r w:rsidR="000613AA">
        <w:rPr>
          <w:lang w:val="fr-CH"/>
        </w:rPr>
        <w:t> </w:t>
      </w:r>
      <w:r w:rsidR="00A565CC" w:rsidRPr="0071782F">
        <w:rPr>
          <w:lang w:val="fr-CH"/>
        </w:rPr>
        <w:t>place) dans ce domaine. En outre, les résultats de l’évaluation des activités de recherche des facultés de médecine montrent que le</w:t>
      </w:r>
      <w:r w:rsidRPr="0071782F">
        <w:rPr>
          <w:lang w:val="fr-CH"/>
        </w:rPr>
        <w:t xml:space="preserve"> </w:t>
      </w:r>
      <w:r w:rsidR="003B48A4" w:rsidRPr="0071782F">
        <w:rPr>
          <w:lang w:val="fr-CH"/>
        </w:rPr>
        <w:t>nombre</w:t>
      </w:r>
      <w:r w:rsidRPr="0071782F">
        <w:rPr>
          <w:lang w:val="fr-CH"/>
        </w:rPr>
        <w:t xml:space="preserve"> </w:t>
      </w:r>
      <w:r w:rsidR="00A565CC" w:rsidRPr="0071782F">
        <w:rPr>
          <w:lang w:val="fr-CH"/>
        </w:rPr>
        <w:t>d’</w:t>
      </w:r>
      <w:r w:rsidR="009E6189">
        <w:rPr>
          <w:lang w:val="fr-CH"/>
        </w:rPr>
        <w:t xml:space="preserve">articles </w:t>
      </w:r>
      <w:r w:rsidR="00A565CC" w:rsidRPr="0071782F">
        <w:rPr>
          <w:lang w:val="fr-CH"/>
        </w:rPr>
        <w:t>signés par des chercheurs iraniens indexés dans des revues internationales a</w:t>
      </w:r>
      <w:r w:rsidR="001217E2" w:rsidRPr="0071782F">
        <w:rPr>
          <w:lang w:val="fr-CH"/>
        </w:rPr>
        <w:t>ccr</w:t>
      </w:r>
      <w:r w:rsidR="00A565CC" w:rsidRPr="0071782F">
        <w:rPr>
          <w:lang w:val="fr-CH"/>
        </w:rPr>
        <w:t>é</w:t>
      </w:r>
      <w:r w:rsidR="001217E2" w:rsidRPr="0071782F">
        <w:rPr>
          <w:lang w:val="fr-CH"/>
        </w:rPr>
        <w:t>dit</w:t>
      </w:r>
      <w:r w:rsidR="00A565CC" w:rsidRPr="0071782F">
        <w:rPr>
          <w:lang w:val="fr-CH"/>
        </w:rPr>
        <w:t>ées a doublé, pour atteindre 7</w:t>
      </w:r>
      <w:r w:rsidR="00FF1C6B" w:rsidRPr="0071782F">
        <w:rPr>
          <w:lang w:val="fr-CH"/>
        </w:rPr>
        <w:t> </w:t>
      </w:r>
      <w:r w:rsidRPr="0071782F">
        <w:rPr>
          <w:lang w:val="fr-CH"/>
        </w:rPr>
        <w:t xml:space="preserve">157 </w:t>
      </w:r>
      <w:r w:rsidR="00A565CC" w:rsidRPr="0071782F">
        <w:rPr>
          <w:lang w:val="fr-CH"/>
        </w:rPr>
        <w:t>e</w:t>
      </w:r>
      <w:r w:rsidRPr="0071782F">
        <w:rPr>
          <w:lang w:val="fr-CH"/>
        </w:rPr>
        <w:t>n 2008.</w:t>
      </w:r>
    </w:p>
    <w:p w:rsidR="00E5019F" w:rsidRPr="0071782F" w:rsidRDefault="00E5019F" w:rsidP="00E5019F">
      <w:pPr>
        <w:pStyle w:val="SingleTxtG"/>
        <w:ind w:left="1701"/>
        <w:rPr>
          <w:lang w:val="fr-CH"/>
        </w:rPr>
      </w:pPr>
      <w:r w:rsidRPr="0071782F">
        <w:rPr>
          <w:lang w:val="fr-CH"/>
        </w:rPr>
        <w:t>279.5.</w:t>
      </w:r>
      <w:r w:rsidRPr="0071782F">
        <w:rPr>
          <w:lang w:val="fr-CH"/>
        </w:rPr>
        <w:tab/>
        <w:t>Ex</w:t>
      </w:r>
      <w:r w:rsidR="00A565CC" w:rsidRPr="0071782F">
        <w:rPr>
          <w:lang w:val="fr-CH"/>
        </w:rPr>
        <w:t>é</w:t>
      </w:r>
      <w:r w:rsidRPr="0071782F">
        <w:rPr>
          <w:lang w:val="fr-CH"/>
        </w:rPr>
        <w:t xml:space="preserve">cution </w:t>
      </w:r>
      <w:r w:rsidR="00A565CC" w:rsidRPr="0071782F">
        <w:rPr>
          <w:lang w:val="fr-CH"/>
        </w:rPr>
        <w:t xml:space="preserve">du </w:t>
      </w:r>
      <w:r w:rsidRPr="0071782F">
        <w:rPr>
          <w:lang w:val="fr-CH"/>
        </w:rPr>
        <w:t>program</w:t>
      </w:r>
      <w:r w:rsidR="00A565CC" w:rsidRPr="0071782F">
        <w:rPr>
          <w:lang w:val="fr-CH"/>
        </w:rPr>
        <w:t>me</w:t>
      </w:r>
      <w:r w:rsidRPr="0071782F">
        <w:rPr>
          <w:lang w:val="fr-CH"/>
        </w:rPr>
        <w:t xml:space="preserve"> </w:t>
      </w:r>
      <w:r w:rsidR="00A565CC" w:rsidRPr="0071782F">
        <w:rPr>
          <w:lang w:val="fr-CH"/>
        </w:rPr>
        <w:t>de mise en place du système national de recherche, mise en place d’un réseau d’informations</w:t>
      </w:r>
      <w:r w:rsidRPr="0071782F">
        <w:rPr>
          <w:lang w:val="fr-CH"/>
        </w:rPr>
        <w:t>, ex</w:t>
      </w:r>
      <w:r w:rsidR="00A565CC" w:rsidRPr="0071782F">
        <w:rPr>
          <w:lang w:val="fr-CH"/>
        </w:rPr>
        <w:t>é</w:t>
      </w:r>
      <w:r w:rsidRPr="0071782F">
        <w:rPr>
          <w:lang w:val="fr-CH"/>
        </w:rPr>
        <w:t xml:space="preserve">cution </w:t>
      </w:r>
      <w:r w:rsidR="00A565CC" w:rsidRPr="0071782F">
        <w:rPr>
          <w:lang w:val="fr-CH"/>
        </w:rPr>
        <w:t>du P</w:t>
      </w:r>
      <w:r w:rsidRPr="0071782F">
        <w:rPr>
          <w:lang w:val="fr-CH"/>
        </w:rPr>
        <w:t xml:space="preserve">lan </w:t>
      </w:r>
      <w:r w:rsidR="00A565CC" w:rsidRPr="0071782F">
        <w:rPr>
          <w:lang w:val="fr-CH"/>
        </w:rPr>
        <w:t>d’é</w:t>
      </w:r>
      <w:r w:rsidRPr="0071782F">
        <w:rPr>
          <w:lang w:val="fr-CH"/>
        </w:rPr>
        <w:t>valuation</w:t>
      </w:r>
      <w:r w:rsidR="00A565CC" w:rsidRPr="0071782F">
        <w:rPr>
          <w:lang w:val="fr-CH"/>
        </w:rPr>
        <w:t xml:space="preserve"> des revues médicales du pays</w:t>
      </w:r>
      <w:r w:rsidRPr="0071782F">
        <w:rPr>
          <w:lang w:val="fr-CH"/>
        </w:rPr>
        <w:t xml:space="preserve">, </w:t>
      </w:r>
      <w:r w:rsidR="00A565CC" w:rsidRPr="0071782F">
        <w:rPr>
          <w:lang w:val="fr-CH"/>
        </w:rPr>
        <w:t xml:space="preserve">conception et mise au point de programmes informatiques pour la mise en commun des ressources bibliothéconomiques et lancement du système national de </w:t>
      </w:r>
      <w:r w:rsidRPr="0071782F">
        <w:rPr>
          <w:lang w:val="fr-CH"/>
        </w:rPr>
        <w:t>biom</w:t>
      </w:r>
      <w:r w:rsidR="00A565CC" w:rsidRPr="0071782F">
        <w:rPr>
          <w:lang w:val="fr-CH"/>
        </w:rPr>
        <w:t>é</w:t>
      </w:r>
      <w:r w:rsidRPr="0071782F">
        <w:rPr>
          <w:lang w:val="fr-CH"/>
        </w:rPr>
        <w:t>d</w:t>
      </w:r>
      <w:r w:rsidR="00A565CC" w:rsidRPr="0071782F">
        <w:rPr>
          <w:lang w:val="fr-CH"/>
        </w:rPr>
        <w:t>e</w:t>
      </w:r>
      <w:r w:rsidRPr="0071782F">
        <w:rPr>
          <w:lang w:val="fr-CH"/>
        </w:rPr>
        <w:t xml:space="preserve">cine </w:t>
      </w:r>
      <w:r w:rsidR="00A565CC" w:rsidRPr="0071782F">
        <w:rPr>
          <w:lang w:val="fr-CH"/>
        </w:rPr>
        <w:t>et de santé</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A565CC" w:rsidRPr="0071782F">
        <w:rPr>
          <w:lang w:val="fr-CH"/>
        </w:rPr>
        <w:t>T</w:t>
      </w:r>
      <w:r w:rsidRPr="0071782F">
        <w:rPr>
          <w:lang w:val="fr-CH"/>
        </w:rPr>
        <w:t>e</w:t>
      </w:r>
      <w:r w:rsidR="00A565CC" w:rsidRPr="0071782F">
        <w:rPr>
          <w:lang w:val="fr-CH"/>
        </w:rPr>
        <w:t xml:space="preserve">chnologies de l’information et statistiques médicales </w:t>
      </w:r>
    </w:p>
    <w:p w:rsidR="00E5019F" w:rsidRPr="0071782F" w:rsidRDefault="00E5019F" w:rsidP="00E5019F">
      <w:pPr>
        <w:pStyle w:val="SingleTxtG"/>
        <w:rPr>
          <w:lang w:val="fr-CH"/>
        </w:rPr>
      </w:pPr>
      <w:r w:rsidRPr="0071782F">
        <w:rPr>
          <w:lang w:val="fr-CH"/>
        </w:rPr>
        <w:t>280.</w:t>
      </w:r>
      <w:r w:rsidRPr="0071782F">
        <w:rPr>
          <w:lang w:val="fr-CH"/>
        </w:rPr>
        <w:tab/>
      </w:r>
      <w:r w:rsidR="00A565CC" w:rsidRPr="0071782F">
        <w:rPr>
          <w:lang w:val="fr-CH"/>
        </w:rPr>
        <w:t>Il convient notamment de signaler ce qui suit</w:t>
      </w:r>
      <w:r w:rsidR="008F7D33" w:rsidRPr="0071782F">
        <w:rPr>
          <w:lang w:val="fr-CH"/>
        </w:rPr>
        <w:t>:</w:t>
      </w:r>
    </w:p>
    <w:p w:rsidR="00E5019F" w:rsidRPr="0071782F" w:rsidRDefault="00E5019F" w:rsidP="002E7F55">
      <w:pPr>
        <w:pStyle w:val="SingleTxtG"/>
        <w:keepNext/>
        <w:keepLines/>
        <w:ind w:left="1701"/>
        <w:rPr>
          <w:lang w:val="fr-CH"/>
        </w:rPr>
      </w:pPr>
      <w:r w:rsidRPr="0071782F">
        <w:rPr>
          <w:lang w:val="fr-CH"/>
        </w:rPr>
        <w:t>280.1.</w:t>
      </w:r>
      <w:r w:rsidRPr="0071782F">
        <w:rPr>
          <w:lang w:val="fr-CH"/>
        </w:rPr>
        <w:tab/>
      </w:r>
      <w:r w:rsidR="00FB7E1F" w:rsidRPr="0071782F">
        <w:rPr>
          <w:lang w:val="fr-CH"/>
        </w:rPr>
        <w:t>La nouvelle stratégie d’exécution adaptée aux besoins du pays adoptée en</w:t>
      </w:r>
      <w:r w:rsidR="00FF1C6B" w:rsidRPr="0071782F">
        <w:rPr>
          <w:lang w:val="fr-CH"/>
        </w:rPr>
        <w:t> </w:t>
      </w:r>
      <w:r w:rsidR="00FB7E1F" w:rsidRPr="0071782F">
        <w:rPr>
          <w:lang w:val="fr-CH"/>
        </w:rPr>
        <w:t>2006 a abouti à la création, en 2007, du Centre de gestion des technologies de l’information et des statistiques et à la mis</w:t>
      </w:r>
      <w:r w:rsidR="00E0707C" w:rsidRPr="0071782F">
        <w:rPr>
          <w:lang w:val="fr-CH"/>
        </w:rPr>
        <w:t>e</w:t>
      </w:r>
      <w:r w:rsidR="00FB7E1F" w:rsidRPr="0071782F">
        <w:rPr>
          <w:lang w:val="fr-CH"/>
        </w:rPr>
        <w:t xml:space="preserve"> en place à titre expérimental, la même année, du dossier médical électronique</w:t>
      </w:r>
      <w:r w:rsidRPr="0071782F">
        <w:rPr>
          <w:lang w:val="fr-CH"/>
        </w:rPr>
        <w:t xml:space="preserve">. </w:t>
      </w:r>
      <w:r w:rsidR="00FB7E1F" w:rsidRPr="0071782F">
        <w:rPr>
          <w:lang w:val="fr-CH"/>
        </w:rPr>
        <w:t xml:space="preserve">Ce programme a permis de créer par des moyens électroniques plus de </w:t>
      </w:r>
      <w:r w:rsidRPr="0071782F">
        <w:rPr>
          <w:lang w:val="fr-CH"/>
        </w:rPr>
        <w:t>200</w:t>
      </w:r>
      <w:r w:rsidR="00FF1C6B" w:rsidRPr="0071782F">
        <w:rPr>
          <w:lang w:val="fr-CH"/>
        </w:rPr>
        <w:t> </w:t>
      </w:r>
      <w:r w:rsidRPr="0071782F">
        <w:rPr>
          <w:lang w:val="fr-CH"/>
        </w:rPr>
        <w:t xml:space="preserve">000 </w:t>
      </w:r>
      <w:r w:rsidR="00FB7E1F" w:rsidRPr="0071782F">
        <w:rPr>
          <w:lang w:val="fr-CH"/>
        </w:rPr>
        <w:t xml:space="preserve">nouveaux dossiers médicaux. </w:t>
      </w:r>
    </w:p>
    <w:p w:rsidR="00E5019F" w:rsidRPr="0071782F" w:rsidRDefault="00E5019F" w:rsidP="00E5019F">
      <w:pPr>
        <w:pStyle w:val="SingleTxtG"/>
        <w:ind w:left="1701"/>
        <w:rPr>
          <w:lang w:val="fr-CH"/>
        </w:rPr>
      </w:pPr>
      <w:r w:rsidRPr="0071782F">
        <w:rPr>
          <w:lang w:val="fr-CH"/>
        </w:rPr>
        <w:t>280.2.</w:t>
      </w:r>
      <w:r w:rsidRPr="0071782F">
        <w:rPr>
          <w:lang w:val="fr-CH"/>
        </w:rPr>
        <w:tab/>
      </w:r>
      <w:r w:rsidR="00FB7E1F" w:rsidRPr="0071782F">
        <w:rPr>
          <w:lang w:val="fr-CH"/>
        </w:rPr>
        <w:t>Création, et approbation par le Conseil des ministres, du Système de santé électronique</w:t>
      </w:r>
      <w:r w:rsidRPr="0071782F">
        <w:rPr>
          <w:lang w:val="fr-CH"/>
        </w:rPr>
        <w:t xml:space="preserve">, </w:t>
      </w:r>
      <w:r w:rsidR="00FB7E1F" w:rsidRPr="0071782F">
        <w:rPr>
          <w:lang w:val="fr-CH"/>
        </w:rPr>
        <w:t xml:space="preserve">mise sur pied du comité technique chargé de superviser le Système informatique de santé iranien selon la norme </w:t>
      </w:r>
      <w:r w:rsidRPr="0071782F">
        <w:rPr>
          <w:lang w:val="fr-CH"/>
        </w:rPr>
        <w:t>ISO 215, d</w:t>
      </w:r>
      <w:r w:rsidR="00FB7E1F" w:rsidRPr="0071782F">
        <w:rPr>
          <w:lang w:val="fr-CH"/>
        </w:rPr>
        <w:t>é</w:t>
      </w:r>
      <w:r w:rsidRPr="0071782F">
        <w:rPr>
          <w:lang w:val="fr-CH"/>
        </w:rPr>
        <w:t xml:space="preserve">finition </w:t>
      </w:r>
      <w:r w:rsidR="00FB7E1F" w:rsidRPr="0071782F">
        <w:rPr>
          <w:lang w:val="fr-CH"/>
        </w:rPr>
        <w:t>des normes pour les systèmes d’</w:t>
      </w:r>
      <w:r w:rsidRPr="0071782F">
        <w:rPr>
          <w:lang w:val="fr-CH"/>
        </w:rPr>
        <w:t xml:space="preserve">information </w:t>
      </w:r>
      <w:r w:rsidR="00FB7E1F" w:rsidRPr="0071782F">
        <w:rPr>
          <w:lang w:val="fr-CH"/>
        </w:rPr>
        <w:t xml:space="preserve">des centres de soins et de traitements médicaux, adoption des mesures nécessaires pour mettre au point le programme informatique </w:t>
      </w:r>
      <w:r w:rsidRPr="0071782F">
        <w:rPr>
          <w:lang w:val="fr-CH"/>
        </w:rPr>
        <w:t xml:space="preserve">standard </w:t>
      </w:r>
      <w:r w:rsidR="00FB7E1F" w:rsidRPr="0071782F">
        <w:rPr>
          <w:lang w:val="fr-CH"/>
        </w:rPr>
        <w:t>pour le Système de santé électronique</w:t>
      </w:r>
      <w:r w:rsidRPr="0071782F">
        <w:rPr>
          <w:lang w:val="fr-CH"/>
        </w:rPr>
        <w:t xml:space="preserve">, </w:t>
      </w:r>
      <w:r w:rsidR="00FB7E1F" w:rsidRPr="0071782F">
        <w:rPr>
          <w:lang w:val="fr-CH"/>
        </w:rPr>
        <w:t xml:space="preserve">et raccordement de </w:t>
      </w:r>
      <w:r w:rsidRPr="0071782F">
        <w:rPr>
          <w:lang w:val="fr-CH"/>
        </w:rPr>
        <w:t>50</w:t>
      </w:r>
      <w:r w:rsidR="000613AA">
        <w:rPr>
          <w:lang w:val="fr-CH"/>
        </w:rPr>
        <w:t> </w:t>
      </w:r>
      <w:r w:rsidRPr="0071782F">
        <w:rPr>
          <w:lang w:val="fr-CH"/>
        </w:rPr>
        <w:t>h</w:t>
      </w:r>
      <w:r w:rsidR="00FB7E1F" w:rsidRPr="0071782F">
        <w:rPr>
          <w:lang w:val="fr-CH"/>
        </w:rPr>
        <w:t xml:space="preserve">ôpitaux au Système de santé électronique et au système de cartes de santé </w:t>
      </w:r>
      <w:r w:rsidRPr="0071782F">
        <w:rPr>
          <w:lang w:val="fr-CH"/>
        </w:rPr>
        <w:t>intelligent</w:t>
      </w:r>
      <w:r w:rsidR="00FB7E1F" w:rsidRPr="0071782F">
        <w:rPr>
          <w:lang w:val="fr-CH"/>
        </w:rPr>
        <w:t>es</w:t>
      </w:r>
      <w:r w:rsidRPr="0071782F">
        <w:rPr>
          <w:lang w:val="fr-CH"/>
        </w:rPr>
        <w:t>.</w:t>
      </w:r>
    </w:p>
    <w:p w:rsidR="00E5019F" w:rsidRPr="0071782F" w:rsidRDefault="00E5019F" w:rsidP="00E5019F">
      <w:pPr>
        <w:pStyle w:val="SingleTxtG"/>
        <w:ind w:left="1701"/>
        <w:rPr>
          <w:lang w:val="fr-CH"/>
        </w:rPr>
      </w:pPr>
      <w:r w:rsidRPr="0071782F">
        <w:rPr>
          <w:lang w:val="fr-CH"/>
        </w:rPr>
        <w:t>280.3.</w:t>
      </w:r>
      <w:r w:rsidRPr="0071782F">
        <w:rPr>
          <w:lang w:val="fr-CH"/>
        </w:rPr>
        <w:tab/>
      </w:r>
      <w:r w:rsidR="00EE7C73" w:rsidRPr="0071782F">
        <w:rPr>
          <w:lang w:val="fr-CH"/>
        </w:rPr>
        <w:t>Préparatifs préalables à la mise en place de centres électroniques de recherche médicale, incorporation du système des technologies d’information médicale dans la carte scientifique intégrée du pays</w:t>
      </w:r>
      <w:r w:rsidRPr="0071782F">
        <w:rPr>
          <w:lang w:val="fr-CH"/>
        </w:rPr>
        <w:t xml:space="preserve">, introduction </w:t>
      </w:r>
      <w:r w:rsidR="00EE7C73" w:rsidRPr="0071782F">
        <w:rPr>
          <w:lang w:val="fr-CH"/>
        </w:rPr>
        <w:t xml:space="preserve">de la </w:t>
      </w:r>
      <w:r w:rsidRPr="0071782F">
        <w:rPr>
          <w:lang w:val="fr-CH"/>
        </w:rPr>
        <w:t xml:space="preserve">discipline </w:t>
      </w:r>
      <w:r w:rsidR="00EE7C73" w:rsidRPr="0071782F">
        <w:rPr>
          <w:lang w:val="fr-CH"/>
        </w:rPr>
        <w:t>de l’informatique médicale dans les programmes universitaires et développement des activités de recherche fondamentale et appliquée dans le domaine de la santé électronique</w:t>
      </w:r>
      <w:r w:rsidRPr="0071782F">
        <w:rPr>
          <w:lang w:val="fr-CH"/>
        </w:rPr>
        <w:t>.</w:t>
      </w:r>
    </w:p>
    <w:p w:rsidR="00E5019F" w:rsidRPr="0071782F" w:rsidRDefault="00E5019F" w:rsidP="00E5019F">
      <w:pPr>
        <w:pStyle w:val="SingleTxtG"/>
        <w:ind w:left="1701"/>
        <w:rPr>
          <w:lang w:val="fr-CH"/>
        </w:rPr>
      </w:pPr>
      <w:r w:rsidRPr="0071782F">
        <w:rPr>
          <w:lang w:val="fr-CH"/>
        </w:rPr>
        <w:t>280.4.</w:t>
      </w:r>
      <w:r w:rsidRPr="0071782F">
        <w:rPr>
          <w:lang w:val="fr-CH"/>
        </w:rPr>
        <w:tab/>
      </w:r>
      <w:r w:rsidR="00EE7C73" w:rsidRPr="0071782F">
        <w:rPr>
          <w:lang w:val="fr-CH"/>
        </w:rPr>
        <w:t>Demande de propositions concernant l’étude des processus et la régulation du système intégré d’informations et de statistiques médicales</w:t>
      </w:r>
      <w:r w:rsidRPr="0071782F">
        <w:rPr>
          <w:lang w:val="fr-CH"/>
        </w:rPr>
        <w:t xml:space="preserve">, </w:t>
      </w:r>
      <w:r w:rsidR="00EE7C73" w:rsidRPr="0071782F">
        <w:rPr>
          <w:lang w:val="fr-CH"/>
        </w:rPr>
        <w:t xml:space="preserve">adoption des mesures tendant à la mise en place d’un SIG au </w:t>
      </w:r>
      <w:r w:rsidRPr="0071782F">
        <w:rPr>
          <w:lang w:val="fr-CH"/>
        </w:rPr>
        <w:t>Minist</w:t>
      </w:r>
      <w:r w:rsidR="00EE7C73" w:rsidRPr="0071782F">
        <w:rPr>
          <w:lang w:val="fr-CH"/>
        </w:rPr>
        <w:t>ère de la santé et de la formation médicale</w:t>
      </w:r>
      <w:r w:rsidRPr="0071782F">
        <w:rPr>
          <w:lang w:val="fr-CH"/>
        </w:rPr>
        <w:t xml:space="preserve">, </w:t>
      </w:r>
      <w:r w:rsidR="00EE7C73" w:rsidRPr="0071782F">
        <w:rPr>
          <w:lang w:val="fr-CH"/>
        </w:rPr>
        <w:t>élaboration périodique des statistiques émanant des centres de soins et de traitements médicaux</w:t>
      </w:r>
      <w:r w:rsidRPr="0071782F">
        <w:rPr>
          <w:lang w:val="fr-CH"/>
        </w:rPr>
        <w:t xml:space="preserve">, </w:t>
      </w:r>
      <w:r w:rsidR="00EE7C73" w:rsidRPr="0071782F">
        <w:rPr>
          <w:lang w:val="fr-CH"/>
        </w:rPr>
        <w:t>collecte d’</w:t>
      </w:r>
      <w:r w:rsidRPr="0071782F">
        <w:rPr>
          <w:lang w:val="fr-CH"/>
        </w:rPr>
        <w:t>information</w:t>
      </w:r>
      <w:r w:rsidR="00EE7C73" w:rsidRPr="0071782F">
        <w:rPr>
          <w:lang w:val="fr-CH"/>
        </w:rPr>
        <w:t>s</w:t>
      </w:r>
      <w:r w:rsidRPr="0071782F">
        <w:rPr>
          <w:lang w:val="fr-CH"/>
        </w:rPr>
        <w:t xml:space="preserve"> </w:t>
      </w:r>
      <w:r w:rsidR="00EE7C73" w:rsidRPr="0071782F">
        <w:rPr>
          <w:lang w:val="fr-CH"/>
        </w:rPr>
        <w:t xml:space="preserve">concernant </w:t>
      </w:r>
      <w:r w:rsidRPr="0071782F">
        <w:rPr>
          <w:lang w:val="fr-CH"/>
        </w:rPr>
        <w:t>diff</w:t>
      </w:r>
      <w:r w:rsidR="00EE7C73" w:rsidRPr="0071782F">
        <w:rPr>
          <w:lang w:val="fr-CH"/>
        </w:rPr>
        <w:t>é</w:t>
      </w:r>
      <w:r w:rsidRPr="0071782F">
        <w:rPr>
          <w:lang w:val="fr-CH"/>
        </w:rPr>
        <w:t>rent</w:t>
      </w:r>
      <w:r w:rsidR="00EE7C73" w:rsidRPr="0071782F">
        <w:rPr>
          <w:lang w:val="fr-CH"/>
        </w:rPr>
        <w:t>es</w:t>
      </w:r>
      <w:r w:rsidRPr="0071782F">
        <w:rPr>
          <w:lang w:val="fr-CH"/>
        </w:rPr>
        <w:t xml:space="preserve"> </w:t>
      </w:r>
      <w:r w:rsidR="00EE7C73" w:rsidRPr="0071782F">
        <w:rPr>
          <w:lang w:val="fr-CH"/>
        </w:rPr>
        <w:t>maladies</w:t>
      </w:r>
      <w:r w:rsidRPr="0071782F">
        <w:rPr>
          <w:lang w:val="fr-CH"/>
        </w:rPr>
        <w:t>,</w:t>
      </w:r>
      <w:r w:rsidR="00EE7C73" w:rsidRPr="0071782F">
        <w:rPr>
          <w:lang w:val="fr-CH"/>
        </w:rPr>
        <w:t xml:space="preserve"> établissement d’un projet de portail de statistiques médicales et </w:t>
      </w:r>
      <w:r w:rsidRPr="0071782F">
        <w:rPr>
          <w:lang w:val="fr-CH"/>
        </w:rPr>
        <w:t xml:space="preserve">publication </w:t>
      </w:r>
      <w:r w:rsidR="00EE7C73" w:rsidRPr="0071782F">
        <w:rPr>
          <w:lang w:val="fr-CH"/>
        </w:rPr>
        <w:t xml:space="preserve">de </w:t>
      </w:r>
      <w:r w:rsidRPr="0071782F">
        <w:rPr>
          <w:lang w:val="fr-CH"/>
        </w:rPr>
        <w:t>15</w:t>
      </w:r>
      <w:r w:rsidR="00FF1C6B" w:rsidRPr="0071782F">
        <w:rPr>
          <w:lang w:val="fr-CH"/>
        </w:rPr>
        <w:t> </w:t>
      </w:r>
      <w:r w:rsidR="00EE7C73" w:rsidRPr="0071782F">
        <w:rPr>
          <w:lang w:val="fr-CH"/>
        </w:rPr>
        <w:t>revues statistiques</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EE7C73" w:rsidRPr="0071782F">
        <w:rPr>
          <w:lang w:val="fr-CH"/>
        </w:rPr>
        <w:t xml:space="preserve">Services culturels et services aux étudiants </w:t>
      </w:r>
    </w:p>
    <w:p w:rsidR="00E5019F" w:rsidRPr="0071782F" w:rsidRDefault="00E5019F" w:rsidP="00E5019F">
      <w:pPr>
        <w:pStyle w:val="H23G"/>
        <w:rPr>
          <w:lang w:val="fr-CH"/>
        </w:rPr>
      </w:pPr>
      <w:r w:rsidRPr="0071782F">
        <w:rPr>
          <w:lang w:val="fr-CH"/>
        </w:rPr>
        <w:tab/>
      </w:r>
      <w:r w:rsidRPr="0071782F">
        <w:rPr>
          <w:lang w:val="fr-CH"/>
        </w:rPr>
        <w:tab/>
        <w:t>D</w:t>
      </w:r>
      <w:r w:rsidR="00EE7C73" w:rsidRPr="0071782F">
        <w:rPr>
          <w:lang w:val="fr-CH"/>
        </w:rPr>
        <w:t xml:space="preserve">éveloppement des services </w:t>
      </w:r>
      <w:r w:rsidRPr="0071782F">
        <w:rPr>
          <w:lang w:val="fr-CH"/>
        </w:rPr>
        <w:t>cultur</w:t>
      </w:r>
      <w:r w:rsidR="00EE7C73" w:rsidRPr="0071782F">
        <w:rPr>
          <w:lang w:val="fr-CH"/>
        </w:rPr>
        <w:t xml:space="preserve">els et des services aux étudiants </w:t>
      </w:r>
    </w:p>
    <w:p w:rsidR="00E5019F" w:rsidRPr="0071782F" w:rsidRDefault="00E5019F" w:rsidP="00E5019F">
      <w:pPr>
        <w:pStyle w:val="SingleTxtG"/>
        <w:rPr>
          <w:lang w:val="fr-CH"/>
        </w:rPr>
      </w:pPr>
      <w:r w:rsidRPr="0071782F">
        <w:rPr>
          <w:lang w:val="fr-CH"/>
        </w:rPr>
        <w:t>281.</w:t>
      </w:r>
      <w:r w:rsidRPr="0071782F">
        <w:rPr>
          <w:lang w:val="fr-CH"/>
        </w:rPr>
        <w:tab/>
      </w:r>
      <w:r w:rsidR="00A466F9"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spacing w:val="-2"/>
          <w:lang w:val="fr-CH"/>
        </w:rPr>
      </w:pPr>
      <w:r w:rsidRPr="0071782F">
        <w:rPr>
          <w:spacing w:val="-2"/>
          <w:lang w:val="fr-CH"/>
        </w:rPr>
        <w:t>281.1.</w:t>
      </w:r>
      <w:r w:rsidRPr="0071782F">
        <w:rPr>
          <w:spacing w:val="-2"/>
          <w:lang w:val="fr-CH"/>
        </w:rPr>
        <w:tab/>
      </w:r>
      <w:r w:rsidR="00EE7C73" w:rsidRPr="0071782F">
        <w:rPr>
          <w:spacing w:val="-2"/>
          <w:lang w:val="fr-CH"/>
        </w:rPr>
        <w:t xml:space="preserve">Au cours de la période </w:t>
      </w:r>
      <w:r w:rsidRPr="0071782F">
        <w:rPr>
          <w:spacing w:val="-2"/>
          <w:lang w:val="fr-CH"/>
        </w:rPr>
        <w:t>2005</w:t>
      </w:r>
      <w:r w:rsidR="00EE7C73" w:rsidRPr="0071782F">
        <w:rPr>
          <w:spacing w:val="-2"/>
          <w:lang w:val="fr-CH"/>
        </w:rPr>
        <w:t>-</w:t>
      </w:r>
      <w:r w:rsidRPr="0071782F">
        <w:rPr>
          <w:spacing w:val="-2"/>
          <w:lang w:val="fr-CH"/>
        </w:rPr>
        <w:t>2008, 30</w:t>
      </w:r>
      <w:r w:rsidR="00FF1C6B" w:rsidRPr="0071782F">
        <w:rPr>
          <w:spacing w:val="-2"/>
          <w:lang w:val="fr-CH"/>
        </w:rPr>
        <w:t> </w:t>
      </w:r>
      <w:r w:rsidRPr="0071782F">
        <w:rPr>
          <w:spacing w:val="-2"/>
          <w:lang w:val="fr-CH"/>
        </w:rPr>
        <w:t>000</w:t>
      </w:r>
      <w:r w:rsidR="00AF44B8" w:rsidRPr="0071782F">
        <w:rPr>
          <w:spacing w:val="-2"/>
          <w:lang w:val="fr-CH"/>
        </w:rPr>
        <w:t> m</w:t>
      </w:r>
      <w:r w:rsidR="003F25A2" w:rsidRPr="003F25A2">
        <w:rPr>
          <w:spacing w:val="-2"/>
          <w:vertAlign w:val="superscript"/>
          <w:lang w:val="fr-CH"/>
        </w:rPr>
        <w:t>2</w:t>
      </w:r>
      <w:r w:rsidR="002B76C0" w:rsidRPr="0071782F">
        <w:rPr>
          <w:spacing w:val="-2"/>
          <w:lang w:val="fr-CH"/>
        </w:rPr>
        <w:t xml:space="preserve"> de résidences pour étudiants en médecine ont été construits, celles-ci pouvant accueillir 8 000</w:t>
      </w:r>
      <w:r w:rsidR="00097CDB" w:rsidRPr="0071782F">
        <w:rPr>
          <w:spacing w:val="-2"/>
          <w:lang w:val="fr-CH"/>
        </w:rPr>
        <w:t> personnes</w:t>
      </w:r>
      <w:r w:rsidRPr="0071782F">
        <w:rPr>
          <w:spacing w:val="-2"/>
          <w:lang w:val="fr-CH"/>
        </w:rPr>
        <w:t>,</w:t>
      </w:r>
      <w:r w:rsidR="002B76C0" w:rsidRPr="0071782F">
        <w:rPr>
          <w:spacing w:val="-2"/>
          <w:lang w:val="fr-CH"/>
        </w:rPr>
        <w:t xml:space="preserve"> ce qui porte à 328 le </w:t>
      </w:r>
      <w:r w:rsidR="003B48A4" w:rsidRPr="0071782F">
        <w:rPr>
          <w:spacing w:val="-2"/>
          <w:lang w:val="fr-CH"/>
        </w:rPr>
        <w:t>nombre</w:t>
      </w:r>
      <w:r w:rsidRPr="0071782F">
        <w:rPr>
          <w:spacing w:val="-2"/>
          <w:lang w:val="fr-CH"/>
        </w:rPr>
        <w:t xml:space="preserve"> </w:t>
      </w:r>
      <w:r w:rsidR="002B76C0" w:rsidRPr="0071782F">
        <w:rPr>
          <w:spacing w:val="-2"/>
          <w:lang w:val="fr-CH"/>
        </w:rPr>
        <w:t xml:space="preserve">des résidences des facultés de médecine; celles-ci permettent d’accueillir </w:t>
      </w:r>
      <w:r w:rsidRPr="0071782F">
        <w:rPr>
          <w:spacing w:val="-2"/>
          <w:lang w:val="fr-CH"/>
        </w:rPr>
        <w:t>48</w:t>
      </w:r>
      <w:r w:rsidR="00FF1C6B" w:rsidRPr="0071782F">
        <w:rPr>
          <w:spacing w:val="-2"/>
          <w:lang w:val="fr-CH"/>
        </w:rPr>
        <w:t> </w:t>
      </w:r>
      <w:r w:rsidRPr="0071782F">
        <w:rPr>
          <w:spacing w:val="-2"/>
          <w:lang w:val="fr-CH"/>
        </w:rPr>
        <w:t>000</w:t>
      </w:r>
      <w:r w:rsidR="00FF1C6B" w:rsidRPr="0071782F">
        <w:rPr>
          <w:spacing w:val="-2"/>
          <w:lang w:val="fr-CH"/>
        </w:rPr>
        <w:t> </w:t>
      </w:r>
      <w:r w:rsidR="002B76C0" w:rsidRPr="0071782F">
        <w:rPr>
          <w:spacing w:val="-2"/>
          <w:lang w:val="fr-CH"/>
        </w:rPr>
        <w:t xml:space="preserve">étudiants, soit </w:t>
      </w:r>
      <w:r w:rsidRPr="0071782F">
        <w:rPr>
          <w:spacing w:val="-2"/>
          <w:lang w:val="fr-CH"/>
        </w:rPr>
        <w:t>30</w:t>
      </w:r>
      <w:r w:rsidR="007E5125" w:rsidRPr="0071782F">
        <w:rPr>
          <w:spacing w:val="-2"/>
          <w:lang w:val="fr-CH"/>
        </w:rPr>
        <w:t>%</w:t>
      </w:r>
      <w:r w:rsidRPr="0071782F">
        <w:rPr>
          <w:spacing w:val="-2"/>
          <w:lang w:val="fr-CH"/>
        </w:rPr>
        <w:t xml:space="preserve"> </w:t>
      </w:r>
      <w:r w:rsidR="002B76C0" w:rsidRPr="0071782F">
        <w:rPr>
          <w:spacing w:val="-2"/>
          <w:lang w:val="fr-CH"/>
        </w:rPr>
        <w:t>de plus qu’en</w:t>
      </w:r>
      <w:r w:rsidR="00FF1C6B" w:rsidRPr="0071782F">
        <w:rPr>
          <w:spacing w:val="-2"/>
          <w:lang w:val="fr-CH"/>
        </w:rPr>
        <w:t> </w:t>
      </w:r>
      <w:r w:rsidRPr="0071782F">
        <w:rPr>
          <w:spacing w:val="-2"/>
          <w:lang w:val="fr-CH"/>
        </w:rPr>
        <w:t>2005.</w:t>
      </w:r>
    </w:p>
    <w:p w:rsidR="00E5019F" w:rsidRPr="0071782F" w:rsidRDefault="00E5019F" w:rsidP="00E5019F">
      <w:pPr>
        <w:pStyle w:val="SingleTxtG"/>
        <w:ind w:left="1701"/>
        <w:rPr>
          <w:lang w:val="fr-CH"/>
        </w:rPr>
      </w:pPr>
      <w:r w:rsidRPr="0071782F">
        <w:rPr>
          <w:lang w:val="fr-CH"/>
        </w:rPr>
        <w:t>281.2.</w:t>
      </w:r>
      <w:r w:rsidRPr="0071782F">
        <w:rPr>
          <w:lang w:val="fr-CH"/>
        </w:rPr>
        <w:tab/>
        <w:t xml:space="preserve">Construction </w:t>
      </w:r>
      <w:r w:rsidR="002B76C0" w:rsidRPr="0071782F">
        <w:rPr>
          <w:lang w:val="fr-CH"/>
        </w:rPr>
        <w:t xml:space="preserve">de </w:t>
      </w:r>
      <w:r w:rsidRPr="0071782F">
        <w:rPr>
          <w:lang w:val="fr-CH"/>
        </w:rPr>
        <w:t xml:space="preserve">34 </w:t>
      </w:r>
      <w:r w:rsidR="002B76C0" w:rsidRPr="0071782F">
        <w:rPr>
          <w:lang w:val="fr-CH"/>
        </w:rPr>
        <w:t xml:space="preserve">installations sportives, </w:t>
      </w:r>
      <w:r w:rsidR="00774C70" w:rsidRPr="0071782F">
        <w:rPr>
          <w:lang w:val="fr-CH"/>
        </w:rPr>
        <w:t xml:space="preserve">de </w:t>
      </w:r>
      <w:r w:rsidR="002B76C0" w:rsidRPr="0071782F">
        <w:rPr>
          <w:lang w:val="fr-CH"/>
        </w:rPr>
        <w:t xml:space="preserve">cinq piscines et </w:t>
      </w:r>
      <w:r w:rsidR="00774C70" w:rsidRPr="0071782F">
        <w:rPr>
          <w:lang w:val="fr-CH"/>
        </w:rPr>
        <w:t xml:space="preserve">de </w:t>
      </w:r>
      <w:r w:rsidR="002B76C0" w:rsidRPr="0071782F">
        <w:rPr>
          <w:lang w:val="fr-CH"/>
        </w:rPr>
        <w:t xml:space="preserve">17 terrains de </w:t>
      </w:r>
      <w:r w:rsidRPr="0071782F">
        <w:rPr>
          <w:lang w:val="fr-CH"/>
        </w:rPr>
        <w:t xml:space="preserve">football, </w:t>
      </w:r>
      <w:r w:rsidR="00774C70" w:rsidRPr="0071782F">
        <w:rPr>
          <w:lang w:val="fr-CH"/>
        </w:rPr>
        <w:t>ce qui représente une extension de 150</w:t>
      </w:r>
      <w:r w:rsidR="007E5125" w:rsidRPr="0071782F">
        <w:rPr>
          <w:lang w:val="fr-CH"/>
        </w:rPr>
        <w:t>%</w:t>
      </w:r>
      <w:r w:rsidR="00774C70" w:rsidRPr="0071782F">
        <w:rPr>
          <w:lang w:val="fr-CH"/>
        </w:rPr>
        <w:t xml:space="preserve"> des espaces sportifs à la disposition des étudiants; construction et équipement de centres omnisports dans les facultés de médecine visant à promouvoir et développer diverses disciplines sportives</w:t>
      </w:r>
      <w:r w:rsidRPr="0071782F">
        <w:rPr>
          <w:lang w:val="fr-CH"/>
        </w:rPr>
        <w:t xml:space="preserve">; </w:t>
      </w:r>
      <w:r w:rsidR="00774C70" w:rsidRPr="0071782F">
        <w:rPr>
          <w:lang w:val="fr-CH"/>
        </w:rPr>
        <w:t>à ce jour, trois o</w:t>
      </w:r>
      <w:r w:rsidRPr="0071782F">
        <w:rPr>
          <w:lang w:val="fr-CH"/>
        </w:rPr>
        <w:t>lympiad</w:t>
      </w:r>
      <w:r w:rsidR="00774C70" w:rsidRPr="0071782F">
        <w:rPr>
          <w:lang w:val="fr-CH"/>
        </w:rPr>
        <w:t>e</w:t>
      </w:r>
      <w:r w:rsidRPr="0071782F">
        <w:rPr>
          <w:lang w:val="fr-CH"/>
        </w:rPr>
        <w:t xml:space="preserve">s </w:t>
      </w:r>
      <w:r w:rsidR="00774C70" w:rsidRPr="0071782F">
        <w:rPr>
          <w:lang w:val="fr-CH"/>
        </w:rPr>
        <w:t xml:space="preserve">d’étudiants ont été </w:t>
      </w:r>
      <w:r w:rsidR="0071782F" w:rsidRPr="0071782F">
        <w:rPr>
          <w:lang w:val="fr-CH"/>
        </w:rPr>
        <w:t>organisées</w:t>
      </w:r>
      <w:r w:rsidR="00774C70" w:rsidRPr="0071782F">
        <w:rPr>
          <w:lang w:val="fr-CH"/>
        </w:rPr>
        <w:t xml:space="preserve"> dans le pays</w:t>
      </w:r>
      <w:r w:rsidRPr="0071782F">
        <w:rPr>
          <w:lang w:val="fr-CH"/>
        </w:rPr>
        <w:t>.</w:t>
      </w:r>
    </w:p>
    <w:p w:rsidR="00E5019F" w:rsidRPr="0071782F" w:rsidRDefault="00E5019F" w:rsidP="00E5019F">
      <w:pPr>
        <w:pStyle w:val="SingleTxtG"/>
        <w:ind w:left="1701"/>
        <w:rPr>
          <w:lang w:val="fr-CH"/>
        </w:rPr>
      </w:pPr>
      <w:r w:rsidRPr="0071782F">
        <w:rPr>
          <w:lang w:val="fr-CH"/>
        </w:rPr>
        <w:t>281.3.</w:t>
      </w:r>
      <w:r w:rsidRPr="0071782F">
        <w:rPr>
          <w:lang w:val="fr-CH"/>
        </w:rPr>
        <w:tab/>
      </w:r>
      <w:r w:rsidR="001F0E73" w:rsidRPr="0071782F">
        <w:rPr>
          <w:lang w:val="fr-CH"/>
        </w:rPr>
        <w:t xml:space="preserve">Pour améliorer la situation sociale et psychologique des étudiants, les facultés de médecine ont ouvert </w:t>
      </w:r>
      <w:r w:rsidRPr="0071782F">
        <w:rPr>
          <w:lang w:val="fr-CH"/>
        </w:rPr>
        <w:t>85</w:t>
      </w:r>
      <w:r w:rsidR="00FF1C6B" w:rsidRPr="0071782F">
        <w:rPr>
          <w:lang w:val="fr-CH"/>
        </w:rPr>
        <w:t> </w:t>
      </w:r>
      <w:r w:rsidR="001F0E73" w:rsidRPr="0071782F">
        <w:rPr>
          <w:lang w:val="fr-CH"/>
        </w:rPr>
        <w:t>centres de consultations psychologiques, 45</w:t>
      </w:r>
      <w:r w:rsidR="00FF1C6B" w:rsidRPr="0071782F">
        <w:rPr>
          <w:lang w:val="fr-CH"/>
        </w:rPr>
        <w:t> </w:t>
      </w:r>
      <w:r w:rsidR="001F0E73" w:rsidRPr="0071782F">
        <w:rPr>
          <w:lang w:val="fr-CH"/>
        </w:rPr>
        <w:t xml:space="preserve">centres d’orientation des étudiants et huit permanences téléphoniques. En outre, pendant la période considérée, </w:t>
      </w:r>
      <w:r w:rsidRPr="0071782F">
        <w:rPr>
          <w:lang w:val="fr-CH"/>
        </w:rPr>
        <w:t>280</w:t>
      </w:r>
      <w:r w:rsidR="000613AA">
        <w:rPr>
          <w:lang w:val="fr-CH"/>
        </w:rPr>
        <w:t> </w:t>
      </w:r>
      <w:r w:rsidR="001F0E73" w:rsidRPr="0071782F">
        <w:rPr>
          <w:lang w:val="fr-CH"/>
        </w:rPr>
        <w:t>ateliers et séminaires sur l’orientation des étudiants ont été organisés</w:t>
      </w:r>
      <w:r w:rsidRPr="0071782F">
        <w:rPr>
          <w:lang w:val="fr-CH"/>
        </w:rPr>
        <w:t xml:space="preserve">. </w:t>
      </w:r>
      <w:r w:rsidR="001F0E73" w:rsidRPr="0071782F">
        <w:rPr>
          <w:lang w:val="fr-CH"/>
        </w:rPr>
        <w:t xml:space="preserve">Par ailleurs, le recrutement de </w:t>
      </w:r>
      <w:r w:rsidRPr="0071782F">
        <w:rPr>
          <w:lang w:val="fr-CH"/>
        </w:rPr>
        <w:t>67</w:t>
      </w:r>
      <w:r w:rsidR="000613AA">
        <w:rPr>
          <w:lang w:val="fr-CH"/>
        </w:rPr>
        <w:t> </w:t>
      </w:r>
      <w:r w:rsidR="001F0E73" w:rsidRPr="0071782F">
        <w:rPr>
          <w:lang w:val="fr-CH"/>
        </w:rPr>
        <w:t xml:space="preserve">spécialistes de l’orientation a permis d’améliorer la qualité des </w:t>
      </w:r>
      <w:r w:rsidRPr="0071782F">
        <w:rPr>
          <w:lang w:val="fr-CH"/>
        </w:rPr>
        <w:t xml:space="preserve">services </w:t>
      </w:r>
      <w:r w:rsidR="001F0E73" w:rsidRPr="0071782F">
        <w:rPr>
          <w:lang w:val="fr-CH"/>
        </w:rPr>
        <w:t>fournis par les centres de consultations psychologiques pour étudiants.</w:t>
      </w:r>
    </w:p>
    <w:p w:rsidR="00E5019F" w:rsidRPr="0071782F" w:rsidRDefault="00E5019F" w:rsidP="00E5019F">
      <w:pPr>
        <w:pStyle w:val="SingleTxtG"/>
        <w:ind w:left="1701"/>
        <w:rPr>
          <w:lang w:val="fr-CH"/>
        </w:rPr>
      </w:pPr>
      <w:r w:rsidRPr="0071782F">
        <w:rPr>
          <w:lang w:val="fr-CH"/>
        </w:rPr>
        <w:t>281.4.</w:t>
      </w:r>
      <w:r w:rsidRPr="0071782F">
        <w:rPr>
          <w:lang w:val="fr-CH"/>
        </w:rPr>
        <w:tab/>
      </w:r>
      <w:r w:rsidR="009C0C56" w:rsidRPr="0071782F">
        <w:rPr>
          <w:lang w:val="fr-CH"/>
        </w:rPr>
        <w:t>Pour développer les activités culturelles dans les facultés de médecine, on a exécuté différents programmes, consistant notamment à organiser des festivals culturels, à élire des étudiants modèles (de quatrième année), à adopter un code vestimentaire pour les étudiants, à organiser des concours littéraires, à réformer et réviser les activités des centres culturels étudiants</w:t>
      </w:r>
      <w:r w:rsidRPr="0071782F">
        <w:rPr>
          <w:lang w:val="fr-CH"/>
        </w:rPr>
        <w:t>, etc.</w:t>
      </w:r>
    </w:p>
    <w:p w:rsidR="00E5019F" w:rsidRPr="0071782F" w:rsidRDefault="00E5019F" w:rsidP="00E5019F">
      <w:pPr>
        <w:pStyle w:val="SingleTxtG"/>
        <w:ind w:left="1701"/>
        <w:rPr>
          <w:lang w:val="fr-CH"/>
        </w:rPr>
      </w:pPr>
      <w:r w:rsidRPr="0071782F">
        <w:rPr>
          <w:lang w:val="fr-CH"/>
        </w:rPr>
        <w:t>281.5.</w:t>
      </w:r>
      <w:r w:rsidRPr="0071782F">
        <w:rPr>
          <w:lang w:val="fr-CH"/>
        </w:rPr>
        <w:tab/>
      </w:r>
      <w:r w:rsidR="002D5AE4" w:rsidRPr="0071782F">
        <w:rPr>
          <w:lang w:val="fr-CH"/>
        </w:rPr>
        <w:t xml:space="preserve">Appui aux organisations étudiantes et aux publications dans les facultés de médecine, qui a permis de porter le </w:t>
      </w:r>
      <w:r w:rsidR="003B48A4" w:rsidRPr="0071782F">
        <w:rPr>
          <w:lang w:val="fr-CH"/>
        </w:rPr>
        <w:t>nombre</w:t>
      </w:r>
      <w:r w:rsidRPr="0071782F">
        <w:rPr>
          <w:lang w:val="fr-CH"/>
        </w:rPr>
        <w:t xml:space="preserve"> </w:t>
      </w:r>
      <w:r w:rsidR="002D5AE4" w:rsidRPr="0071782F">
        <w:rPr>
          <w:lang w:val="fr-CH"/>
        </w:rPr>
        <w:t>des revues de ces facultés et celui des organisations d’étudiants en médecine à 125 et 471, respectivement</w:t>
      </w:r>
      <w:r w:rsidRPr="0071782F">
        <w:rPr>
          <w:lang w:val="fr-CH"/>
        </w:rPr>
        <w:t>.</w:t>
      </w:r>
    </w:p>
    <w:p w:rsidR="00E5019F" w:rsidRPr="0071782F" w:rsidRDefault="00E5019F" w:rsidP="00E5019F">
      <w:pPr>
        <w:pStyle w:val="SingleTxtG"/>
        <w:ind w:left="1701"/>
        <w:rPr>
          <w:lang w:val="fr-CH"/>
        </w:rPr>
      </w:pPr>
      <w:r w:rsidRPr="0071782F">
        <w:rPr>
          <w:lang w:val="fr-CH"/>
        </w:rPr>
        <w:t>281.6.</w:t>
      </w:r>
      <w:r w:rsidRPr="0071782F">
        <w:rPr>
          <w:lang w:val="fr-CH"/>
        </w:rPr>
        <w:tab/>
      </w:r>
      <w:r w:rsidR="002D5AE4" w:rsidRPr="0071782F">
        <w:rPr>
          <w:lang w:val="fr-CH"/>
        </w:rPr>
        <w:t>Pour développer et promouvoir la culture coranique dans les facultés de médecine, on a mené à bien des activités telles que la création du Centre de recherches coraniques, le festival de compétitions coraniques et le programme de formation aux aptitudes coraniques;</w:t>
      </w:r>
      <w:r w:rsidRPr="0071782F">
        <w:rPr>
          <w:lang w:val="fr-CH"/>
        </w:rPr>
        <w:t xml:space="preserve"> 58 mosqu</w:t>
      </w:r>
      <w:r w:rsidR="002D5AE4" w:rsidRPr="0071782F">
        <w:rPr>
          <w:lang w:val="fr-CH"/>
        </w:rPr>
        <w:t>é</w:t>
      </w:r>
      <w:r w:rsidRPr="0071782F">
        <w:rPr>
          <w:lang w:val="fr-CH"/>
        </w:rPr>
        <w:t xml:space="preserve">es </w:t>
      </w:r>
      <w:r w:rsidR="002D5AE4" w:rsidRPr="0071782F">
        <w:rPr>
          <w:lang w:val="fr-CH"/>
        </w:rPr>
        <w:t xml:space="preserve">et salles de prières pour les étudiants ont été construites et le nombre des étudiants participant au pèlerinage à La Mecque est passé à 3 000, en augmentation </w:t>
      </w:r>
      <w:r w:rsidRPr="0071782F">
        <w:rPr>
          <w:lang w:val="fr-CH"/>
        </w:rPr>
        <w:t>200</w:t>
      </w:r>
      <w:r w:rsidR="007E5125" w:rsidRPr="0071782F">
        <w:rPr>
          <w:lang w:val="fr-CH"/>
        </w:rPr>
        <w:t>%</w:t>
      </w:r>
      <w:r w:rsidRPr="0071782F">
        <w:rPr>
          <w:lang w:val="fr-CH"/>
        </w:rPr>
        <w:t>.</w:t>
      </w:r>
    </w:p>
    <w:p w:rsidR="00E5019F" w:rsidRPr="0071782F" w:rsidRDefault="00E5019F" w:rsidP="00A670E0">
      <w:pPr>
        <w:pStyle w:val="H23G"/>
        <w:rPr>
          <w:lang w:val="fr-CH"/>
        </w:rPr>
      </w:pPr>
      <w:r w:rsidRPr="0071782F">
        <w:rPr>
          <w:lang w:val="fr-CH"/>
        </w:rPr>
        <w:tab/>
      </w:r>
      <w:r w:rsidRPr="0071782F">
        <w:rPr>
          <w:lang w:val="fr-CH"/>
        </w:rPr>
        <w:tab/>
      </w:r>
      <w:r w:rsidR="002D5AE4" w:rsidRPr="0071782F">
        <w:rPr>
          <w:lang w:val="fr-CH"/>
        </w:rPr>
        <w:t xml:space="preserve">Protection sociale des étudiants </w:t>
      </w:r>
    </w:p>
    <w:p w:rsidR="00E5019F" w:rsidRPr="0071782F" w:rsidRDefault="00E5019F" w:rsidP="00A670E0">
      <w:pPr>
        <w:pStyle w:val="SingleTxtG"/>
        <w:keepNext/>
        <w:keepLines/>
        <w:rPr>
          <w:lang w:val="fr-CH"/>
        </w:rPr>
      </w:pPr>
      <w:r w:rsidRPr="0071782F">
        <w:rPr>
          <w:lang w:val="fr-CH"/>
        </w:rPr>
        <w:t>282.</w:t>
      </w:r>
      <w:r w:rsidRPr="0071782F">
        <w:rPr>
          <w:lang w:val="fr-CH"/>
        </w:rPr>
        <w:tab/>
      </w:r>
      <w:r w:rsidR="0057603B" w:rsidRPr="0071782F">
        <w:rPr>
          <w:lang w:val="fr-CH"/>
        </w:rPr>
        <w:t>À ce sujet, il convient de noter ce qui suit</w:t>
      </w:r>
      <w:r w:rsidR="008F7D33" w:rsidRPr="0071782F">
        <w:rPr>
          <w:lang w:val="fr-CH"/>
        </w:rPr>
        <w:t>:</w:t>
      </w:r>
    </w:p>
    <w:p w:rsidR="00E5019F" w:rsidRPr="0071782F" w:rsidRDefault="00E5019F" w:rsidP="000613AA">
      <w:pPr>
        <w:pStyle w:val="SingleTxtG"/>
        <w:ind w:left="1701"/>
        <w:rPr>
          <w:spacing w:val="-2"/>
          <w:lang w:val="fr-CH"/>
        </w:rPr>
      </w:pPr>
      <w:r w:rsidRPr="0071782F">
        <w:rPr>
          <w:spacing w:val="-2"/>
          <w:lang w:val="fr-CH"/>
        </w:rPr>
        <w:t>282.1.</w:t>
      </w:r>
      <w:r w:rsidRPr="0071782F">
        <w:rPr>
          <w:spacing w:val="-2"/>
          <w:lang w:val="fr-CH"/>
        </w:rPr>
        <w:tab/>
      </w:r>
      <w:r w:rsidR="00B26001" w:rsidRPr="0071782F">
        <w:rPr>
          <w:spacing w:val="-2"/>
          <w:lang w:val="fr-CH"/>
        </w:rPr>
        <w:t>Au cours de la période 2005-</w:t>
      </w:r>
      <w:r w:rsidRPr="0071782F">
        <w:rPr>
          <w:spacing w:val="-2"/>
          <w:lang w:val="fr-CH"/>
        </w:rPr>
        <w:t xml:space="preserve">2008, </w:t>
      </w:r>
      <w:r w:rsidR="00B26001" w:rsidRPr="0071782F">
        <w:rPr>
          <w:spacing w:val="-2"/>
          <w:lang w:val="fr-CH"/>
        </w:rPr>
        <w:t xml:space="preserve">des prêts d’une valeur </w:t>
      </w:r>
      <w:r w:rsidRPr="0071782F">
        <w:rPr>
          <w:spacing w:val="-2"/>
          <w:lang w:val="fr-CH"/>
        </w:rPr>
        <w:t>total</w:t>
      </w:r>
      <w:r w:rsidR="00B26001" w:rsidRPr="0071782F">
        <w:rPr>
          <w:spacing w:val="-2"/>
          <w:lang w:val="fr-CH"/>
        </w:rPr>
        <w:t>e</w:t>
      </w:r>
      <w:r w:rsidRPr="0071782F">
        <w:rPr>
          <w:spacing w:val="-2"/>
          <w:lang w:val="fr-CH"/>
        </w:rPr>
        <w:t xml:space="preserve"> </w:t>
      </w:r>
      <w:r w:rsidR="00B26001" w:rsidRPr="0071782F">
        <w:rPr>
          <w:spacing w:val="-2"/>
          <w:lang w:val="fr-CH"/>
        </w:rPr>
        <w:t>de</w:t>
      </w:r>
      <w:r w:rsidRPr="0071782F">
        <w:rPr>
          <w:spacing w:val="-2"/>
          <w:lang w:val="fr-CH"/>
        </w:rPr>
        <w:t xml:space="preserve"> 682</w:t>
      </w:r>
      <w:r w:rsidR="008553D9" w:rsidRPr="0071782F">
        <w:rPr>
          <w:spacing w:val="-2"/>
          <w:lang w:val="fr-CH"/>
        </w:rPr>
        <w:t> milliard</w:t>
      </w:r>
      <w:r w:rsidR="00097CDB" w:rsidRPr="0071782F">
        <w:rPr>
          <w:spacing w:val="-2"/>
          <w:lang w:val="fr-CH"/>
        </w:rPr>
        <w:t>s</w:t>
      </w:r>
      <w:r w:rsidR="00B26001" w:rsidRPr="0071782F">
        <w:rPr>
          <w:spacing w:val="-2"/>
          <w:lang w:val="fr-CH"/>
        </w:rPr>
        <w:t xml:space="preserve"> </w:t>
      </w:r>
      <w:r w:rsidR="003B1403" w:rsidRPr="0071782F">
        <w:rPr>
          <w:spacing w:val="-2"/>
          <w:lang w:val="fr-CH"/>
        </w:rPr>
        <w:t>de rials</w:t>
      </w:r>
      <w:r w:rsidRPr="0071782F">
        <w:rPr>
          <w:spacing w:val="-2"/>
          <w:lang w:val="fr-CH"/>
        </w:rPr>
        <w:t xml:space="preserve"> </w:t>
      </w:r>
      <w:r w:rsidR="00B26001" w:rsidRPr="0071782F">
        <w:rPr>
          <w:spacing w:val="-2"/>
          <w:lang w:val="fr-CH"/>
        </w:rPr>
        <w:t xml:space="preserve">ont été octroyés à des étudiants en médecine, soit une moyenne de </w:t>
      </w:r>
      <w:r w:rsidRPr="0071782F">
        <w:rPr>
          <w:spacing w:val="-2"/>
          <w:lang w:val="fr-CH"/>
        </w:rPr>
        <w:t>170</w:t>
      </w:r>
      <w:r w:rsidR="008553D9" w:rsidRPr="0071782F">
        <w:rPr>
          <w:spacing w:val="-2"/>
          <w:lang w:val="fr-CH"/>
        </w:rPr>
        <w:t> milliard</w:t>
      </w:r>
      <w:r w:rsidR="00097CDB" w:rsidRPr="0071782F">
        <w:rPr>
          <w:spacing w:val="-2"/>
          <w:lang w:val="fr-CH"/>
        </w:rPr>
        <w:t>s</w:t>
      </w:r>
      <w:r w:rsidR="00B26001" w:rsidRPr="0071782F">
        <w:rPr>
          <w:spacing w:val="-2"/>
          <w:lang w:val="fr-CH"/>
        </w:rPr>
        <w:t xml:space="preserve"> par année. Le montant annuel des prêts est passé de </w:t>
      </w:r>
      <w:r w:rsidRPr="0071782F">
        <w:rPr>
          <w:spacing w:val="-2"/>
          <w:lang w:val="fr-CH"/>
        </w:rPr>
        <w:t>121</w:t>
      </w:r>
      <w:r w:rsidR="008553D9" w:rsidRPr="0071782F">
        <w:rPr>
          <w:spacing w:val="-2"/>
          <w:lang w:val="fr-CH"/>
        </w:rPr>
        <w:t> milliard</w:t>
      </w:r>
      <w:r w:rsidR="00097CDB" w:rsidRPr="0071782F">
        <w:rPr>
          <w:spacing w:val="-2"/>
          <w:lang w:val="fr-CH"/>
        </w:rPr>
        <w:t>s</w:t>
      </w:r>
      <w:r w:rsidR="00B26001" w:rsidRPr="0071782F">
        <w:rPr>
          <w:spacing w:val="-2"/>
          <w:lang w:val="fr-CH"/>
        </w:rPr>
        <w:t xml:space="preserve"> </w:t>
      </w:r>
      <w:r w:rsidR="003B1403" w:rsidRPr="0071782F">
        <w:rPr>
          <w:spacing w:val="-2"/>
          <w:lang w:val="fr-CH"/>
        </w:rPr>
        <w:t>de rials</w:t>
      </w:r>
      <w:r w:rsidRPr="0071782F">
        <w:rPr>
          <w:spacing w:val="-2"/>
          <w:lang w:val="fr-CH"/>
        </w:rPr>
        <w:t xml:space="preserve"> </w:t>
      </w:r>
      <w:r w:rsidR="00B26001" w:rsidRPr="0071782F">
        <w:rPr>
          <w:spacing w:val="-2"/>
          <w:lang w:val="fr-CH"/>
        </w:rPr>
        <w:t>e</w:t>
      </w:r>
      <w:r w:rsidRPr="0071782F">
        <w:rPr>
          <w:spacing w:val="-2"/>
          <w:lang w:val="fr-CH"/>
        </w:rPr>
        <w:t xml:space="preserve">n 2005 </w:t>
      </w:r>
      <w:r w:rsidR="00B26001" w:rsidRPr="0071782F">
        <w:rPr>
          <w:spacing w:val="-2"/>
          <w:lang w:val="fr-CH"/>
        </w:rPr>
        <w:t>à</w:t>
      </w:r>
      <w:r w:rsidRPr="0071782F">
        <w:rPr>
          <w:spacing w:val="-2"/>
          <w:lang w:val="fr-CH"/>
        </w:rPr>
        <w:t xml:space="preserve"> 203</w:t>
      </w:r>
      <w:r w:rsidR="008553D9" w:rsidRPr="0071782F">
        <w:rPr>
          <w:spacing w:val="-2"/>
          <w:lang w:val="fr-CH"/>
        </w:rPr>
        <w:t> milliard</w:t>
      </w:r>
      <w:r w:rsidR="00097CDB" w:rsidRPr="0071782F">
        <w:rPr>
          <w:spacing w:val="-2"/>
          <w:lang w:val="fr-CH"/>
        </w:rPr>
        <w:t>s</w:t>
      </w:r>
      <w:r w:rsidR="00B26001" w:rsidRPr="0071782F">
        <w:rPr>
          <w:spacing w:val="-2"/>
          <w:lang w:val="fr-CH"/>
        </w:rPr>
        <w:t xml:space="preserve"> en </w:t>
      </w:r>
      <w:r w:rsidRPr="0071782F">
        <w:rPr>
          <w:spacing w:val="-2"/>
          <w:lang w:val="fr-CH"/>
        </w:rPr>
        <w:t>2008</w:t>
      </w:r>
      <w:r w:rsidR="00B26001" w:rsidRPr="0071782F">
        <w:rPr>
          <w:spacing w:val="-2"/>
          <w:lang w:val="fr-CH"/>
        </w:rPr>
        <w:t>, soit une augmentation de 68</w:t>
      </w:r>
      <w:r w:rsidR="007E5125" w:rsidRPr="0071782F">
        <w:rPr>
          <w:spacing w:val="-2"/>
          <w:lang w:val="fr-CH"/>
        </w:rPr>
        <w:t>%</w:t>
      </w:r>
      <w:r w:rsidRPr="0071782F">
        <w:rPr>
          <w:spacing w:val="-2"/>
          <w:lang w:val="fr-CH"/>
        </w:rPr>
        <w:t>.</w:t>
      </w:r>
    </w:p>
    <w:p w:rsidR="00E5019F" w:rsidRPr="0071782F" w:rsidRDefault="00E5019F" w:rsidP="00E5019F">
      <w:pPr>
        <w:pStyle w:val="SingleTxtG"/>
        <w:ind w:left="1701"/>
        <w:rPr>
          <w:lang w:val="fr-CH"/>
        </w:rPr>
      </w:pPr>
      <w:r w:rsidRPr="0071782F">
        <w:rPr>
          <w:lang w:val="fr-CH"/>
        </w:rPr>
        <w:t>282.2.</w:t>
      </w:r>
      <w:r w:rsidRPr="0071782F">
        <w:rPr>
          <w:lang w:val="fr-CH"/>
        </w:rPr>
        <w:tab/>
      </w:r>
      <w:r w:rsidR="00FD5BAD" w:rsidRPr="0071782F">
        <w:rPr>
          <w:lang w:val="fr-CH"/>
        </w:rPr>
        <w:t xml:space="preserve">On a accordé des prêts aux étudiants qui doivent payer des frais de scolarité </w:t>
      </w:r>
      <w:r w:rsidRPr="0071782F">
        <w:rPr>
          <w:lang w:val="fr-CH"/>
        </w:rPr>
        <w:t>(</w:t>
      </w:r>
      <w:r w:rsidR="00FD5BAD" w:rsidRPr="0071782F">
        <w:rPr>
          <w:lang w:val="fr-CH"/>
        </w:rPr>
        <w:t xml:space="preserve">depuis </w:t>
      </w:r>
      <w:r w:rsidRPr="0071782F">
        <w:rPr>
          <w:lang w:val="fr-CH"/>
        </w:rPr>
        <w:t xml:space="preserve">2005), </w:t>
      </w:r>
      <w:r w:rsidR="00FD5BAD" w:rsidRPr="0071782F">
        <w:rPr>
          <w:lang w:val="fr-CH"/>
        </w:rPr>
        <w:t xml:space="preserve">des prêts au titre de l’achat de biens </w:t>
      </w:r>
      <w:r w:rsidRPr="0071782F">
        <w:rPr>
          <w:lang w:val="fr-CH"/>
        </w:rPr>
        <w:t>(</w:t>
      </w:r>
      <w:r w:rsidR="00FD5BAD" w:rsidRPr="0071782F">
        <w:rPr>
          <w:lang w:val="fr-CH"/>
        </w:rPr>
        <w:t xml:space="preserve">depuis </w:t>
      </w:r>
      <w:r w:rsidRPr="0071782F">
        <w:rPr>
          <w:lang w:val="fr-CH"/>
        </w:rPr>
        <w:t xml:space="preserve">2006), </w:t>
      </w:r>
      <w:r w:rsidR="00FD5BAD" w:rsidRPr="0071782F">
        <w:rPr>
          <w:lang w:val="fr-CH"/>
        </w:rPr>
        <w:t xml:space="preserve">des prêts aux étudiants surdoués </w:t>
      </w:r>
      <w:r w:rsidRPr="0071782F">
        <w:rPr>
          <w:lang w:val="fr-CH"/>
        </w:rPr>
        <w:t>(</w:t>
      </w:r>
      <w:r w:rsidR="00FD5BAD" w:rsidRPr="0071782F">
        <w:rPr>
          <w:lang w:val="fr-CH"/>
        </w:rPr>
        <w:t xml:space="preserve">depuis </w:t>
      </w:r>
      <w:r w:rsidRPr="0071782F">
        <w:rPr>
          <w:lang w:val="fr-CH"/>
        </w:rPr>
        <w:t xml:space="preserve">2005) </w:t>
      </w:r>
      <w:r w:rsidR="00FD5BAD" w:rsidRPr="0071782F">
        <w:rPr>
          <w:lang w:val="fr-CH"/>
        </w:rPr>
        <w:t>et des aides au titre de la réparation et de l’entretien des résidences d’étudiants</w:t>
      </w:r>
      <w:r w:rsidRPr="0071782F">
        <w:rPr>
          <w:lang w:val="fr-CH"/>
        </w:rPr>
        <w:t>.</w:t>
      </w:r>
    </w:p>
    <w:p w:rsidR="00E5019F" w:rsidRPr="0071782F" w:rsidRDefault="00E5019F" w:rsidP="00E5019F">
      <w:pPr>
        <w:pStyle w:val="SingleTxtG"/>
        <w:ind w:left="1701"/>
        <w:rPr>
          <w:lang w:val="fr-CH"/>
        </w:rPr>
      </w:pPr>
      <w:r w:rsidRPr="0071782F">
        <w:rPr>
          <w:lang w:val="fr-CH"/>
        </w:rPr>
        <w:t>282.3.</w:t>
      </w:r>
      <w:r w:rsidRPr="0071782F">
        <w:rPr>
          <w:lang w:val="fr-CH"/>
        </w:rPr>
        <w:tab/>
      </w:r>
      <w:r w:rsidR="0076330B" w:rsidRPr="0071782F">
        <w:rPr>
          <w:lang w:val="fr-CH"/>
        </w:rPr>
        <w:t>Automatisation du système de paiement, de la gestion des résidences et du remboursement des dettes en ligne, et fourniture des informations correspondantes par le réseau électronique, des brochures</w:t>
      </w:r>
      <w:r w:rsidRPr="0071782F">
        <w:rPr>
          <w:lang w:val="fr-CH"/>
        </w:rPr>
        <w:t>, etc.</w:t>
      </w:r>
    </w:p>
    <w:p w:rsidR="00E5019F" w:rsidRPr="0071782F" w:rsidRDefault="00E5019F" w:rsidP="00E5019F">
      <w:pPr>
        <w:pStyle w:val="SingleTxtG"/>
        <w:ind w:left="1701"/>
        <w:rPr>
          <w:lang w:val="fr-CH"/>
        </w:rPr>
      </w:pPr>
      <w:r w:rsidRPr="0071782F">
        <w:rPr>
          <w:lang w:val="fr-CH"/>
        </w:rPr>
        <w:t>282.4.</w:t>
      </w:r>
      <w:r w:rsidRPr="0071782F">
        <w:rPr>
          <w:lang w:val="fr-CH"/>
        </w:rPr>
        <w:tab/>
      </w:r>
      <w:r w:rsidR="0076330B" w:rsidRPr="0071782F">
        <w:rPr>
          <w:lang w:val="fr-CH"/>
        </w:rPr>
        <w:t>Réception de l’intégralité des crédits alloués aux installations étudiantes et à la détention d’immobilisations, et</w:t>
      </w:r>
      <w:r w:rsidRPr="0071782F">
        <w:rPr>
          <w:lang w:val="fr-CH"/>
        </w:rPr>
        <w:t xml:space="preserve"> </w:t>
      </w:r>
      <w:r w:rsidR="0076330B" w:rsidRPr="0071782F">
        <w:rPr>
          <w:lang w:val="fr-CH"/>
        </w:rPr>
        <w:t xml:space="preserve">des crédits spéciaux prévus chaque année, et adoption des </w:t>
      </w:r>
      <w:r w:rsidRPr="0071782F">
        <w:rPr>
          <w:lang w:val="fr-CH"/>
        </w:rPr>
        <w:t xml:space="preserve">directives </w:t>
      </w:r>
      <w:r w:rsidR="0076330B" w:rsidRPr="0071782F">
        <w:rPr>
          <w:lang w:val="fr-CH"/>
        </w:rPr>
        <w:t xml:space="preserve">concernant la bonne exécution de ces crédits. </w:t>
      </w:r>
    </w:p>
    <w:p w:rsidR="00E5019F" w:rsidRPr="0071782F" w:rsidRDefault="00E5019F" w:rsidP="00E5019F">
      <w:pPr>
        <w:pStyle w:val="H1G"/>
        <w:rPr>
          <w:lang w:val="fr-CH"/>
        </w:rPr>
      </w:pPr>
      <w:r w:rsidRPr="0071782F">
        <w:rPr>
          <w:lang w:val="fr-CH"/>
        </w:rPr>
        <w:tab/>
      </w:r>
      <w:r w:rsidRPr="0071782F">
        <w:rPr>
          <w:lang w:val="fr-CH"/>
        </w:rPr>
        <w:tab/>
      </w:r>
      <w:r w:rsidR="0076330B" w:rsidRPr="0071782F">
        <w:rPr>
          <w:lang w:val="fr-CH"/>
        </w:rPr>
        <w:t xml:space="preserve">Formulation de politiques et gestion des ressources </w:t>
      </w:r>
    </w:p>
    <w:p w:rsidR="00E5019F" w:rsidRPr="0071782F" w:rsidRDefault="00E5019F" w:rsidP="00E5019F">
      <w:pPr>
        <w:pStyle w:val="H23G"/>
        <w:rPr>
          <w:lang w:val="fr-CH"/>
        </w:rPr>
      </w:pPr>
      <w:r w:rsidRPr="0071782F">
        <w:rPr>
          <w:lang w:val="fr-CH"/>
        </w:rPr>
        <w:tab/>
      </w:r>
      <w:r w:rsidRPr="0071782F">
        <w:rPr>
          <w:lang w:val="fr-CH"/>
        </w:rPr>
        <w:tab/>
      </w:r>
      <w:r w:rsidR="0076330B" w:rsidRPr="0071782F">
        <w:rPr>
          <w:lang w:val="fr-CH"/>
        </w:rPr>
        <w:t>Formulation de politiques et coopération intersectorielle</w:t>
      </w:r>
      <w:r w:rsidRPr="0071782F">
        <w:rPr>
          <w:lang w:val="fr-CH"/>
        </w:rPr>
        <w:t xml:space="preserve"> </w:t>
      </w:r>
    </w:p>
    <w:p w:rsidR="00E5019F" w:rsidRPr="0071782F" w:rsidRDefault="00E5019F" w:rsidP="00E5019F">
      <w:pPr>
        <w:pStyle w:val="SingleTxtG"/>
        <w:rPr>
          <w:lang w:val="fr-CH"/>
        </w:rPr>
      </w:pPr>
      <w:r w:rsidRPr="0071782F">
        <w:rPr>
          <w:lang w:val="fr-CH"/>
        </w:rPr>
        <w:t>283.</w:t>
      </w:r>
      <w:r w:rsidRPr="0071782F">
        <w:rPr>
          <w:lang w:val="fr-CH"/>
        </w:rPr>
        <w:tab/>
      </w:r>
      <w:r w:rsidR="0057603B"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283.1.</w:t>
      </w:r>
      <w:r w:rsidRPr="0071782F">
        <w:rPr>
          <w:lang w:val="fr-CH"/>
        </w:rPr>
        <w:tab/>
      </w:r>
      <w:r w:rsidR="00E5081B" w:rsidRPr="0071782F">
        <w:rPr>
          <w:lang w:val="fr-CH"/>
        </w:rPr>
        <w:t>Création et mise en service du secrétariat du Conseil pour la formulation de politiques et la réforme du système de santé, chargé de coordonner et d’épauler la</w:t>
      </w:r>
      <w:r w:rsidR="00D36718">
        <w:rPr>
          <w:lang w:val="fr-CH"/>
        </w:rPr>
        <w:t xml:space="preserve"> </w:t>
      </w:r>
      <w:r w:rsidRPr="0071782F">
        <w:rPr>
          <w:lang w:val="fr-CH"/>
        </w:rPr>
        <w:t xml:space="preserve">formulation, </w:t>
      </w:r>
      <w:r w:rsidR="00E5081B" w:rsidRPr="0071782F">
        <w:rPr>
          <w:lang w:val="fr-CH"/>
        </w:rPr>
        <w:t>l’</w:t>
      </w:r>
      <w:r w:rsidRPr="0071782F">
        <w:rPr>
          <w:lang w:val="fr-CH"/>
        </w:rPr>
        <w:t>ex</w:t>
      </w:r>
      <w:r w:rsidR="00E5081B" w:rsidRPr="0071782F">
        <w:rPr>
          <w:lang w:val="fr-CH"/>
        </w:rPr>
        <w:t>é</w:t>
      </w:r>
      <w:r w:rsidRPr="0071782F">
        <w:rPr>
          <w:lang w:val="fr-CH"/>
        </w:rPr>
        <w:t xml:space="preserve">cution, </w:t>
      </w:r>
      <w:r w:rsidR="00E5081B" w:rsidRPr="0071782F">
        <w:rPr>
          <w:lang w:val="fr-CH"/>
        </w:rPr>
        <w:t>le suivi et l’é</w:t>
      </w:r>
      <w:r w:rsidRPr="0071782F">
        <w:rPr>
          <w:lang w:val="fr-CH"/>
        </w:rPr>
        <w:t xml:space="preserve">valuation </w:t>
      </w:r>
      <w:r w:rsidR="00E5081B" w:rsidRPr="0071782F">
        <w:rPr>
          <w:lang w:val="fr-CH"/>
        </w:rPr>
        <w:t>des politiques et programmes généraux de développement du système de santé</w:t>
      </w:r>
      <w:r w:rsidRPr="0071782F">
        <w:rPr>
          <w:lang w:val="fr-CH"/>
        </w:rPr>
        <w:t>.</w:t>
      </w:r>
    </w:p>
    <w:p w:rsidR="00E5019F" w:rsidRPr="0071782F" w:rsidRDefault="00E5019F" w:rsidP="00E5019F">
      <w:pPr>
        <w:pStyle w:val="SingleTxtG"/>
        <w:ind w:left="1701"/>
        <w:rPr>
          <w:lang w:val="fr-CH"/>
        </w:rPr>
      </w:pPr>
      <w:r w:rsidRPr="0071782F">
        <w:rPr>
          <w:lang w:val="fr-CH"/>
        </w:rPr>
        <w:t>283.2.</w:t>
      </w:r>
      <w:r w:rsidRPr="0071782F">
        <w:rPr>
          <w:lang w:val="fr-CH"/>
        </w:rPr>
        <w:tab/>
      </w:r>
      <w:r w:rsidR="00336FAB" w:rsidRPr="0071782F">
        <w:rPr>
          <w:lang w:val="fr-CH"/>
        </w:rPr>
        <w:t>Exécution du projet de réforme du système de santé, visant à apporter certains changements spécifiques pour améliorer l’efficacité de ce système, promouvoir la justice en matière d’accès de la population aux services de soins et de traitements médicaux, protéger celle-ci contre les risques financiers associés à la maladie</w:t>
      </w:r>
      <w:r w:rsidRPr="0071782F">
        <w:rPr>
          <w:lang w:val="fr-CH"/>
        </w:rPr>
        <w:t xml:space="preserve">, </w:t>
      </w:r>
      <w:r w:rsidR="00336FAB" w:rsidRPr="0071782F">
        <w:rPr>
          <w:lang w:val="fr-CH"/>
        </w:rPr>
        <w:t>fournir un appui financier stable et réformer le système de paiement</w:t>
      </w:r>
      <w:r w:rsidRPr="0071782F">
        <w:rPr>
          <w:lang w:val="fr-CH"/>
        </w:rPr>
        <w:t>.</w:t>
      </w:r>
    </w:p>
    <w:p w:rsidR="00E5019F" w:rsidRPr="0071782F" w:rsidRDefault="00E5019F" w:rsidP="00E5019F">
      <w:pPr>
        <w:pStyle w:val="SingleTxtG"/>
        <w:ind w:left="1701"/>
        <w:rPr>
          <w:lang w:val="fr-CH"/>
        </w:rPr>
      </w:pPr>
      <w:r w:rsidRPr="0071782F">
        <w:rPr>
          <w:lang w:val="fr-CH"/>
        </w:rPr>
        <w:t>283.3.</w:t>
      </w:r>
      <w:r w:rsidRPr="0071782F">
        <w:rPr>
          <w:lang w:val="fr-CH"/>
        </w:rPr>
        <w:tab/>
      </w:r>
      <w:r w:rsidR="00FE1A86" w:rsidRPr="0071782F">
        <w:rPr>
          <w:lang w:val="fr-CH"/>
        </w:rPr>
        <w:t>Exécution du projet de recherche et d’évaluation concernant le système de santé, qui se propose d’étudier les difficultés du système de santé et les possibilités qu’il offre, et de procéder à une évaluation analytique des politiques et programmes pour en dégager un certain nombre d’options et élaborer des programmes d’exécution à court et à moyen termes permettant de réaliser les objectifs du secteur de la santé dans la perspective du Plan de développement sur 20</w:t>
      </w:r>
      <w:r w:rsidR="00D82C96" w:rsidRPr="0071782F">
        <w:rPr>
          <w:lang w:val="fr-CH"/>
        </w:rPr>
        <w:t> ans</w:t>
      </w:r>
      <w:r w:rsidR="00FE1A86" w:rsidRPr="0071782F">
        <w:rPr>
          <w:lang w:val="fr-CH"/>
        </w:rPr>
        <w:t>. Les résultats de ce projet serviront à élaborer le cadre des futures activités de recherche et de renforcement des capacités.</w:t>
      </w:r>
      <w:r w:rsidR="00D36718">
        <w:rPr>
          <w:lang w:val="fr-CH"/>
        </w:rPr>
        <w:t xml:space="preserve"> </w:t>
      </w:r>
    </w:p>
    <w:p w:rsidR="00E5019F" w:rsidRPr="0071782F" w:rsidRDefault="00E5019F" w:rsidP="00E5019F">
      <w:pPr>
        <w:pStyle w:val="SingleTxtG"/>
        <w:ind w:left="1701"/>
        <w:rPr>
          <w:lang w:val="fr-CH"/>
        </w:rPr>
      </w:pPr>
      <w:r w:rsidRPr="0071782F">
        <w:rPr>
          <w:lang w:val="fr-CH"/>
        </w:rPr>
        <w:t>283.4.</w:t>
      </w:r>
      <w:r w:rsidRPr="0071782F">
        <w:rPr>
          <w:lang w:val="fr-CH"/>
        </w:rPr>
        <w:tab/>
      </w:r>
      <w:r w:rsidR="00830F80" w:rsidRPr="0071782F">
        <w:rPr>
          <w:lang w:val="fr-CH"/>
        </w:rPr>
        <w:t>Élaboration et exécution en 2008 et 2009 par la République islamique d’Iran et l’OMS de programmes biennaux conjoints portant sur des activités de caractère technique</w:t>
      </w:r>
      <w:r w:rsidRPr="0071782F">
        <w:rPr>
          <w:lang w:val="fr-CH"/>
        </w:rPr>
        <w:t>.</w:t>
      </w:r>
    </w:p>
    <w:p w:rsidR="00E5019F" w:rsidRPr="0071782F" w:rsidRDefault="00E5019F" w:rsidP="00E5019F">
      <w:pPr>
        <w:pStyle w:val="SingleTxtG"/>
        <w:ind w:left="1701"/>
        <w:rPr>
          <w:lang w:val="fr-CH"/>
        </w:rPr>
      </w:pPr>
      <w:r w:rsidRPr="0071782F">
        <w:rPr>
          <w:lang w:val="fr-CH"/>
        </w:rPr>
        <w:t>283.5.</w:t>
      </w:r>
      <w:r w:rsidRPr="0071782F">
        <w:rPr>
          <w:lang w:val="fr-CH"/>
        </w:rPr>
        <w:tab/>
      </w:r>
      <w:r w:rsidR="00830F80" w:rsidRPr="0071782F">
        <w:rPr>
          <w:lang w:val="fr-CH"/>
        </w:rPr>
        <w:t xml:space="preserve">Ouverture du Centre de </w:t>
      </w:r>
      <w:r w:rsidRPr="0071782F">
        <w:rPr>
          <w:lang w:val="fr-CH"/>
        </w:rPr>
        <w:t xml:space="preserve">documentation </w:t>
      </w:r>
      <w:r w:rsidR="00830F80" w:rsidRPr="0071782F">
        <w:rPr>
          <w:lang w:val="fr-CH"/>
        </w:rPr>
        <w:t>et d’</w:t>
      </w:r>
      <w:r w:rsidRPr="0071782F">
        <w:rPr>
          <w:lang w:val="fr-CH"/>
        </w:rPr>
        <w:t xml:space="preserve">information </w:t>
      </w:r>
      <w:r w:rsidR="00830F80" w:rsidRPr="0071782F">
        <w:rPr>
          <w:lang w:val="fr-CH"/>
        </w:rPr>
        <w:t xml:space="preserve">stratégique du système de santé, qui est chargé de rassembler, de classer, de protéger et de publier des </w:t>
      </w:r>
      <w:r w:rsidRPr="0071782F">
        <w:rPr>
          <w:lang w:val="fr-CH"/>
        </w:rPr>
        <w:t xml:space="preserve">documents </w:t>
      </w:r>
      <w:r w:rsidR="00830F80" w:rsidRPr="0071782F">
        <w:rPr>
          <w:lang w:val="fr-CH"/>
        </w:rPr>
        <w:t xml:space="preserve">et des </w:t>
      </w:r>
      <w:r w:rsidRPr="0071782F">
        <w:rPr>
          <w:lang w:val="fr-CH"/>
        </w:rPr>
        <w:t>information</w:t>
      </w:r>
      <w:r w:rsidR="00830F80" w:rsidRPr="0071782F">
        <w:rPr>
          <w:lang w:val="fr-CH"/>
        </w:rPr>
        <w:t>s</w:t>
      </w:r>
      <w:r w:rsidRPr="0071782F">
        <w:rPr>
          <w:lang w:val="fr-CH"/>
        </w:rPr>
        <w:t>.</w:t>
      </w:r>
    </w:p>
    <w:p w:rsidR="00E5019F" w:rsidRPr="0071782F" w:rsidRDefault="00E5019F" w:rsidP="00A670E0">
      <w:pPr>
        <w:pStyle w:val="SingleTxtG"/>
        <w:spacing w:after="0"/>
        <w:ind w:left="1701"/>
        <w:rPr>
          <w:lang w:val="fr-CH"/>
        </w:rPr>
      </w:pPr>
      <w:r w:rsidRPr="0071782F">
        <w:rPr>
          <w:lang w:val="fr-CH"/>
        </w:rPr>
        <w:t>283.6.</w:t>
      </w:r>
      <w:r w:rsidRPr="0071782F">
        <w:rPr>
          <w:lang w:val="fr-CH"/>
        </w:rPr>
        <w:tab/>
      </w:r>
      <w:r w:rsidR="00830F80" w:rsidRPr="0071782F">
        <w:rPr>
          <w:lang w:val="fr-CH"/>
        </w:rPr>
        <w:t>Organisation et gestion de réunions périodiques des directeurs des facultés de médecine et des institutions qui leur sont affiliées pour définir les politiques et plans nationaux et favoriser la</w:t>
      </w:r>
      <w:r w:rsidRPr="0071782F">
        <w:rPr>
          <w:lang w:val="fr-CH"/>
        </w:rPr>
        <w:t xml:space="preserve"> coordination </w:t>
      </w:r>
      <w:r w:rsidR="00830F80" w:rsidRPr="0071782F">
        <w:rPr>
          <w:lang w:val="fr-CH"/>
        </w:rPr>
        <w:t xml:space="preserve">et la </w:t>
      </w:r>
      <w:r w:rsidRPr="0071782F">
        <w:rPr>
          <w:lang w:val="fr-CH"/>
        </w:rPr>
        <w:t>coop</w:t>
      </w:r>
      <w:r w:rsidR="00830F80" w:rsidRPr="0071782F">
        <w:rPr>
          <w:lang w:val="fr-CH"/>
        </w:rPr>
        <w:t>é</w:t>
      </w:r>
      <w:r w:rsidRPr="0071782F">
        <w:rPr>
          <w:lang w:val="fr-CH"/>
        </w:rPr>
        <w:t xml:space="preserve">ration </w:t>
      </w:r>
      <w:r w:rsidR="00830F80" w:rsidRPr="0071782F">
        <w:rPr>
          <w:lang w:val="fr-CH"/>
        </w:rPr>
        <w:t xml:space="preserve">intersectorielles et transectorielles aux niveaux </w:t>
      </w:r>
      <w:r w:rsidRPr="0071782F">
        <w:rPr>
          <w:lang w:val="fr-CH"/>
        </w:rPr>
        <w:t xml:space="preserve">central </w:t>
      </w:r>
      <w:r w:rsidR="00830F80" w:rsidRPr="0071782F">
        <w:rPr>
          <w:lang w:val="fr-CH"/>
        </w:rPr>
        <w:t xml:space="preserve">et </w:t>
      </w:r>
      <w:r w:rsidRPr="0071782F">
        <w:rPr>
          <w:lang w:val="fr-CH"/>
        </w:rPr>
        <w:t>provincial.</w:t>
      </w:r>
    </w:p>
    <w:p w:rsidR="00E5019F" w:rsidRPr="0071782F" w:rsidRDefault="00E5019F" w:rsidP="00FF1C6B">
      <w:pPr>
        <w:pStyle w:val="H23G"/>
        <w:ind w:right="0"/>
        <w:rPr>
          <w:lang w:val="fr-CH"/>
        </w:rPr>
      </w:pPr>
      <w:r w:rsidRPr="0071782F">
        <w:rPr>
          <w:lang w:val="fr-CH"/>
        </w:rPr>
        <w:tab/>
      </w:r>
      <w:r w:rsidRPr="0071782F">
        <w:rPr>
          <w:lang w:val="fr-CH"/>
        </w:rPr>
        <w:tab/>
        <w:t>Table</w:t>
      </w:r>
      <w:r w:rsidR="00830F80" w:rsidRPr="0071782F">
        <w:rPr>
          <w:lang w:val="fr-CH"/>
        </w:rPr>
        <w:t>au</w:t>
      </w:r>
      <w:r w:rsidRPr="0071782F">
        <w:rPr>
          <w:lang w:val="fr-CH"/>
        </w:rPr>
        <w:t xml:space="preserve"> compar</w:t>
      </w:r>
      <w:r w:rsidR="00830F80" w:rsidRPr="0071782F">
        <w:rPr>
          <w:lang w:val="fr-CH"/>
        </w:rPr>
        <w:t xml:space="preserve">atif des résultats enregistrés dans le secteur de la santé en </w:t>
      </w:r>
      <w:r w:rsidRPr="0071782F">
        <w:rPr>
          <w:lang w:val="fr-CH"/>
        </w:rPr>
        <w:t xml:space="preserve">2005 </w:t>
      </w:r>
      <w:r w:rsidR="00830F80" w:rsidRPr="0071782F">
        <w:rPr>
          <w:lang w:val="fr-CH"/>
        </w:rPr>
        <w:t xml:space="preserve">et en </w:t>
      </w:r>
      <w:r w:rsidRPr="0071782F">
        <w:rPr>
          <w:lang w:val="fr-CH"/>
        </w:rPr>
        <w:t>2009</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993"/>
        <w:gridCol w:w="3273"/>
        <w:gridCol w:w="1571"/>
        <w:gridCol w:w="729"/>
        <w:gridCol w:w="800"/>
        <w:gridCol w:w="1139"/>
      </w:tblGrid>
      <w:tr w:rsidR="005C41F4" w:rsidRPr="0071782F">
        <w:trPr>
          <w:tblHeader/>
        </w:trPr>
        <w:tc>
          <w:tcPr>
            <w:tcW w:w="993" w:type="dxa"/>
            <w:tcBorders>
              <w:top w:val="single" w:sz="4" w:space="0" w:color="auto"/>
              <w:bottom w:val="single" w:sz="12" w:space="0" w:color="auto"/>
            </w:tcBorders>
            <w:shd w:val="clear" w:color="auto" w:fill="auto"/>
          </w:tcPr>
          <w:p w:rsidR="00E5019F" w:rsidRPr="0071782F" w:rsidRDefault="00830F80" w:rsidP="00FF1C6B">
            <w:pPr>
              <w:suppressAutoHyphens w:val="0"/>
              <w:spacing w:before="80" w:after="80" w:line="200" w:lineRule="exact"/>
              <w:rPr>
                <w:i/>
                <w:sz w:val="16"/>
                <w:lang w:val="fr-CH"/>
              </w:rPr>
            </w:pPr>
            <w:r w:rsidRPr="0071782F">
              <w:rPr>
                <w:i/>
                <w:sz w:val="16"/>
                <w:lang w:val="fr-CH"/>
              </w:rPr>
              <w:t>Domaine</w:t>
            </w:r>
          </w:p>
        </w:tc>
        <w:tc>
          <w:tcPr>
            <w:tcW w:w="3273" w:type="dxa"/>
            <w:tcBorders>
              <w:top w:val="single" w:sz="4" w:space="0" w:color="auto"/>
              <w:bottom w:val="single" w:sz="12" w:space="0" w:color="auto"/>
            </w:tcBorders>
            <w:shd w:val="clear" w:color="auto" w:fill="auto"/>
          </w:tcPr>
          <w:p w:rsidR="00E5019F" w:rsidRPr="0071782F" w:rsidRDefault="00E5019F" w:rsidP="00FF1C6B">
            <w:pPr>
              <w:suppressAutoHyphens w:val="0"/>
              <w:spacing w:before="80" w:after="80" w:line="200" w:lineRule="exact"/>
              <w:rPr>
                <w:i/>
                <w:sz w:val="16"/>
                <w:lang w:val="fr-CH"/>
              </w:rPr>
            </w:pPr>
            <w:r w:rsidRPr="0071782F">
              <w:rPr>
                <w:i/>
                <w:sz w:val="16"/>
                <w:lang w:val="fr-CH"/>
              </w:rPr>
              <w:t>Indicat</w:t>
            </w:r>
            <w:r w:rsidR="00830F80" w:rsidRPr="0071782F">
              <w:rPr>
                <w:i/>
                <w:sz w:val="16"/>
                <w:lang w:val="fr-CH"/>
              </w:rPr>
              <w:t>eu</w:t>
            </w:r>
            <w:r w:rsidRPr="0071782F">
              <w:rPr>
                <w:i/>
                <w:sz w:val="16"/>
                <w:lang w:val="fr-CH"/>
              </w:rPr>
              <w:t>r</w:t>
            </w:r>
          </w:p>
        </w:tc>
        <w:tc>
          <w:tcPr>
            <w:tcW w:w="1571" w:type="dxa"/>
            <w:tcBorders>
              <w:top w:val="single" w:sz="4" w:space="0" w:color="auto"/>
              <w:bottom w:val="single" w:sz="12" w:space="0" w:color="auto"/>
            </w:tcBorders>
            <w:shd w:val="clear" w:color="auto" w:fill="auto"/>
          </w:tcPr>
          <w:p w:rsidR="00E5019F" w:rsidRPr="0071782F" w:rsidRDefault="00830F80" w:rsidP="00E024A3">
            <w:pPr>
              <w:suppressAutoHyphens w:val="0"/>
              <w:spacing w:before="80" w:after="80" w:line="200" w:lineRule="exact"/>
              <w:ind w:left="113"/>
              <w:rPr>
                <w:i/>
                <w:sz w:val="16"/>
                <w:lang w:val="fr-CH"/>
              </w:rPr>
            </w:pPr>
            <w:r w:rsidRPr="0071782F">
              <w:rPr>
                <w:i/>
                <w:sz w:val="16"/>
                <w:lang w:val="fr-CH"/>
              </w:rPr>
              <w:t>Unité</w:t>
            </w:r>
          </w:p>
        </w:tc>
        <w:tc>
          <w:tcPr>
            <w:tcW w:w="729" w:type="dxa"/>
            <w:tcBorders>
              <w:top w:val="single" w:sz="4" w:space="0" w:color="auto"/>
              <w:bottom w:val="single" w:sz="12" w:space="0" w:color="auto"/>
            </w:tcBorders>
            <w:shd w:val="clear" w:color="auto" w:fill="auto"/>
          </w:tcPr>
          <w:p w:rsidR="00E5019F" w:rsidRPr="0071782F" w:rsidRDefault="00E5019F" w:rsidP="00FF1C6B">
            <w:pPr>
              <w:suppressAutoHyphens w:val="0"/>
              <w:spacing w:before="80" w:after="80" w:line="200" w:lineRule="exact"/>
              <w:jc w:val="right"/>
              <w:rPr>
                <w:i/>
                <w:sz w:val="16"/>
                <w:lang w:val="fr-CH"/>
              </w:rPr>
            </w:pPr>
            <w:r w:rsidRPr="0071782F">
              <w:rPr>
                <w:i/>
                <w:sz w:val="16"/>
                <w:lang w:val="fr-CH"/>
              </w:rPr>
              <w:t>Sept</w:t>
            </w:r>
            <w:r w:rsidR="00FF1C6B" w:rsidRPr="0071782F">
              <w:rPr>
                <w:i/>
                <w:sz w:val="16"/>
                <w:lang w:val="fr-CH"/>
              </w:rPr>
              <w:t>,</w:t>
            </w:r>
            <w:r w:rsidRPr="0071782F">
              <w:rPr>
                <w:i/>
                <w:sz w:val="16"/>
                <w:lang w:val="fr-CH"/>
              </w:rPr>
              <w:t xml:space="preserve"> 2005</w:t>
            </w:r>
          </w:p>
        </w:tc>
        <w:tc>
          <w:tcPr>
            <w:tcW w:w="800" w:type="dxa"/>
            <w:tcBorders>
              <w:top w:val="single" w:sz="4" w:space="0" w:color="auto"/>
              <w:bottom w:val="single" w:sz="12" w:space="0" w:color="auto"/>
            </w:tcBorders>
            <w:shd w:val="clear" w:color="auto" w:fill="auto"/>
          </w:tcPr>
          <w:p w:rsidR="00E5019F" w:rsidRPr="0071782F" w:rsidRDefault="00E5019F" w:rsidP="00FF1C6B">
            <w:pPr>
              <w:suppressAutoHyphens w:val="0"/>
              <w:spacing w:before="80" w:after="80" w:line="200" w:lineRule="exact"/>
              <w:jc w:val="right"/>
              <w:rPr>
                <w:i/>
                <w:sz w:val="16"/>
                <w:lang w:val="fr-CH"/>
              </w:rPr>
            </w:pPr>
            <w:r w:rsidRPr="0071782F">
              <w:rPr>
                <w:i/>
                <w:sz w:val="16"/>
                <w:lang w:val="fr-CH"/>
              </w:rPr>
              <w:t>Ju</w:t>
            </w:r>
            <w:r w:rsidR="00830F80" w:rsidRPr="0071782F">
              <w:rPr>
                <w:i/>
                <w:sz w:val="16"/>
                <w:lang w:val="fr-CH"/>
              </w:rPr>
              <w:t>illet</w:t>
            </w:r>
            <w:r w:rsidRPr="0071782F">
              <w:rPr>
                <w:i/>
                <w:sz w:val="16"/>
                <w:lang w:val="fr-CH"/>
              </w:rPr>
              <w:t xml:space="preserve"> 2009</w:t>
            </w:r>
          </w:p>
        </w:tc>
        <w:tc>
          <w:tcPr>
            <w:tcW w:w="1139" w:type="dxa"/>
            <w:tcBorders>
              <w:top w:val="single" w:sz="4" w:space="0" w:color="auto"/>
              <w:bottom w:val="single" w:sz="12" w:space="0" w:color="auto"/>
            </w:tcBorders>
            <w:shd w:val="clear" w:color="auto" w:fill="auto"/>
          </w:tcPr>
          <w:p w:rsidR="00E5019F" w:rsidRPr="0071782F" w:rsidRDefault="00830F80" w:rsidP="00FF1C6B">
            <w:pPr>
              <w:suppressAutoHyphens w:val="0"/>
              <w:spacing w:before="80" w:after="80" w:line="200" w:lineRule="exact"/>
              <w:jc w:val="right"/>
              <w:rPr>
                <w:i/>
                <w:sz w:val="16"/>
                <w:lang w:val="fr-CH"/>
              </w:rPr>
            </w:pPr>
            <w:r w:rsidRPr="0071782F">
              <w:rPr>
                <w:i/>
                <w:sz w:val="16"/>
                <w:lang w:val="fr-CH"/>
              </w:rPr>
              <w:t>Taux de croissance</w:t>
            </w:r>
          </w:p>
        </w:tc>
      </w:tr>
      <w:tr w:rsidR="005C41F4" w:rsidRPr="0071782F">
        <w:tc>
          <w:tcPr>
            <w:tcW w:w="993" w:type="dxa"/>
            <w:tcBorders>
              <w:top w:val="single" w:sz="12" w:space="0" w:color="auto"/>
            </w:tcBorders>
            <w:shd w:val="clear" w:color="auto" w:fill="auto"/>
          </w:tcPr>
          <w:p w:rsidR="00E5019F" w:rsidRPr="0071782F" w:rsidRDefault="007D20FF" w:rsidP="00B92D7E">
            <w:pPr>
              <w:suppressAutoHyphens w:val="0"/>
              <w:spacing w:before="30" w:after="30" w:line="220" w:lineRule="exact"/>
              <w:rPr>
                <w:sz w:val="18"/>
                <w:lang w:val="fr-CH"/>
              </w:rPr>
            </w:pPr>
            <w:r w:rsidRPr="0071782F">
              <w:rPr>
                <w:sz w:val="18"/>
                <w:lang w:val="fr-CH"/>
              </w:rPr>
              <w:t xml:space="preserve">Santé </w:t>
            </w:r>
          </w:p>
        </w:tc>
        <w:tc>
          <w:tcPr>
            <w:tcW w:w="3273" w:type="dxa"/>
            <w:tcBorders>
              <w:top w:val="single" w:sz="12" w:space="0" w:color="auto"/>
            </w:tcBorders>
            <w:shd w:val="clear" w:color="auto" w:fill="auto"/>
          </w:tcPr>
          <w:p w:rsidR="00E5019F" w:rsidRPr="0071782F" w:rsidRDefault="007D20FF" w:rsidP="00B92D7E">
            <w:pPr>
              <w:suppressAutoHyphens w:val="0"/>
              <w:spacing w:before="30" w:after="30" w:line="220" w:lineRule="exact"/>
              <w:rPr>
                <w:sz w:val="18"/>
                <w:lang w:val="fr-CH"/>
              </w:rPr>
            </w:pPr>
            <w:r w:rsidRPr="0071782F">
              <w:rPr>
                <w:sz w:val="18"/>
                <w:lang w:val="fr-CH"/>
              </w:rPr>
              <w:t>Maison de santé</w:t>
            </w:r>
          </w:p>
        </w:tc>
        <w:tc>
          <w:tcPr>
            <w:tcW w:w="1571" w:type="dxa"/>
            <w:tcBorders>
              <w:top w:val="single" w:sz="12" w:space="0" w:color="auto"/>
            </w:tcBorders>
            <w:shd w:val="clear" w:color="auto" w:fill="auto"/>
          </w:tcPr>
          <w:p w:rsidR="00E5019F" w:rsidRPr="0071782F" w:rsidRDefault="003B48A4" w:rsidP="00B92D7E">
            <w:pPr>
              <w:suppressAutoHyphens w:val="0"/>
              <w:spacing w:before="30" w:after="30" w:line="220" w:lineRule="exact"/>
              <w:ind w:left="113"/>
              <w:rPr>
                <w:sz w:val="18"/>
                <w:lang w:val="fr-CH"/>
              </w:rPr>
            </w:pPr>
            <w:r w:rsidRPr="0071782F">
              <w:rPr>
                <w:sz w:val="18"/>
                <w:lang w:val="fr-CH"/>
              </w:rPr>
              <w:t>Nombre</w:t>
            </w:r>
          </w:p>
        </w:tc>
        <w:tc>
          <w:tcPr>
            <w:tcW w:w="729" w:type="dxa"/>
            <w:tcBorders>
              <w:top w:val="single" w:sz="12" w:space="0" w:color="auto"/>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16 940</w:t>
            </w:r>
          </w:p>
        </w:tc>
        <w:tc>
          <w:tcPr>
            <w:tcW w:w="800" w:type="dxa"/>
            <w:tcBorders>
              <w:top w:val="single" w:sz="12" w:space="0" w:color="auto"/>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17 370</w:t>
            </w:r>
          </w:p>
        </w:tc>
        <w:tc>
          <w:tcPr>
            <w:tcW w:w="1139" w:type="dxa"/>
            <w:tcBorders>
              <w:top w:val="single" w:sz="12" w:space="0" w:color="auto"/>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430</w:t>
            </w:r>
          </w:p>
        </w:tc>
      </w:tr>
      <w:tr w:rsidR="005C41F4" w:rsidRPr="0071782F">
        <w:tc>
          <w:tcPr>
            <w:tcW w:w="993" w:type="dxa"/>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shd w:val="clear" w:color="auto" w:fill="auto"/>
          </w:tcPr>
          <w:p w:rsidR="00E5019F" w:rsidRPr="0071782F" w:rsidRDefault="007D20FF" w:rsidP="00B92D7E">
            <w:pPr>
              <w:suppressAutoHyphens w:val="0"/>
              <w:spacing w:before="30" w:after="30" w:line="220" w:lineRule="exact"/>
              <w:rPr>
                <w:sz w:val="18"/>
                <w:lang w:val="fr-CH"/>
              </w:rPr>
            </w:pPr>
            <w:r w:rsidRPr="0071782F">
              <w:rPr>
                <w:sz w:val="18"/>
                <w:lang w:val="fr-CH"/>
              </w:rPr>
              <w:t>Centre de santé urbain et rural</w:t>
            </w:r>
          </w:p>
        </w:tc>
        <w:tc>
          <w:tcPr>
            <w:tcW w:w="1571" w:type="dxa"/>
            <w:shd w:val="clear" w:color="auto" w:fill="auto"/>
          </w:tcPr>
          <w:p w:rsidR="00E5019F" w:rsidRPr="0071782F" w:rsidRDefault="003B48A4" w:rsidP="00B92D7E">
            <w:pPr>
              <w:suppressAutoHyphens w:val="0"/>
              <w:spacing w:before="30" w:after="30" w:line="220" w:lineRule="exact"/>
              <w:ind w:left="113"/>
              <w:rPr>
                <w:sz w:val="18"/>
                <w:lang w:val="fr-CH"/>
              </w:rPr>
            </w:pPr>
            <w:r w:rsidRPr="0071782F">
              <w:rPr>
                <w:sz w:val="18"/>
                <w:lang w:val="fr-CH"/>
              </w:rPr>
              <w:t>Nombre</w:t>
            </w:r>
          </w:p>
        </w:tc>
        <w:tc>
          <w:tcPr>
            <w:tcW w:w="72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4 560</w:t>
            </w:r>
          </w:p>
        </w:tc>
        <w:tc>
          <w:tcPr>
            <w:tcW w:w="800"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5 100</w:t>
            </w:r>
          </w:p>
        </w:tc>
        <w:tc>
          <w:tcPr>
            <w:tcW w:w="113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540</w:t>
            </w:r>
          </w:p>
        </w:tc>
      </w:tr>
      <w:tr w:rsidR="005C41F4" w:rsidRPr="0071782F">
        <w:tc>
          <w:tcPr>
            <w:tcW w:w="993" w:type="dxa"/>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shd w:val="clear" w:color="auto" w:fill="auto"/>
          </w:tcPr>
          <w:p w:rsidR="00E5019F" w:rsidRPr="0071782F" w:rsidRDefault="007D20FF" w:rsidP="00B92D7E">
            <w:pPr>
              <w:suppressAutoHyphens w:val="0"/>
              <w:spacing w:before="30" w:after="30" w:line="220" w:lineRule="exact"/>
              <w:rPr>
                <w:sz w:val="18"/>
                <w:lang w:val="fr-CH"/>
              </w:rPr>
            </w:pPr>
            <w:r w:rsidRPr="0071782F">
              <w:rPr>
                <w:sz w:val="18"/>
                <w:lang w:val="fr-CH"/>
              </w:rPr>
              <w:t>Médecin du Plan relatif aux médecins traitants</w:t>
            </w:r>
          </w:p>
        </w:tc>
        <w:tc>
          <w:tcPr>
            <w:tcW w:w="1571" w:type="dxa"/>
            <w:shd w:val="clear" w:color="auto" w:fill="auto"/>
          </w:tcPr>
          <w:p w:rsidR="00E5019F" w:rsidRPr="0071782F" w:rsidRDefault="00E5019F" w:rsidP="00B92D7E">
            <w:pPr>
              <w:suppressAutoHyphens w:val="0"/>
              <w:spacing w:before="30" w:after="30" w:line="220" w:lineRule="exact"/>
              <w:ind w:left="113"/>
              <w:rPr>
                <w:sz w:val="18"/>
                <w:lang w:val="fr-CH"/>
              </w:rPr>
            </w:pPr>
            <w:r w:rsidRPr="0071782F">
              <w:rPr>
                <w:sz w:val="18"/>
                <w:lang w:val="fr-CH"/>
              </w:rPr>
              <w:t>Person</w:t>
            </w:r>
            <w:r w:rsidR="007D20FF" w:rsidRPr="0071782F">
              <w:rPr>
                <w:sz w:val="18"/>
                <w:lang w:val="fr-CH"/>
              </w:rPr>
              <w:t>ne</w:t>
            </w:r>
          </w:p>
        </w:tc>
        <w:tc>
          <w:tcPr>
            <w:tcW w:w="72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1 350</w:t>
            </w:r>
          </w:p>
        </w:tc>
        <w:tc>
          <w:tcPr>
            <w:tcW w:w="800"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5 922</w:t>
            </w:r>
          </w:p>
        </w:tc>
        <w:tc>
          <w:tcPr>
            <w:tcW w:w="113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4</w:t>
            </w:r>
            <w:r w:rsidR="00FF1C6B" w:rsidRPr="0071782F">
              <w:rPr>
                <w:sz w:val="18"/>
                <w:lang w:val="fr-CH"/>
              </w:rPr>
              <w:t>,</w:t>
            </w:r>
            <w:r w:rsidRPr="0071782F">
              <w:rPr>
                <w:sz w:val="18"/>
                <w:lang w:val="fr-CH"/>
              </w:rPr>
              <w:t>4</w:t>
            </w:r>
          </w:p>
        </w:tc>
      </w:tr>
      <w:tr w:rsidR="005C41F4" w:rsidRPr="0071782F">
        <w:tc>
          <w:tcPr>
            <w:tcW w:w="993" w:type="dxa"/>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shd w:val="clear" w:color="auto" w:fill="auto"/>
          </w:tcPr>
          <w:p w:rsidR="00E5019F" w:rsidRPr="0071782F" w:rsidRDefault="007D20FF" w:rsidP="00B92D7E">
            <w:pPr>
              <w:suppressAutoHyphens w:val="0"/>
              <w:spacing w:before="30" w:after="30" w:line="220" w:lineRule="exact"/>
              <w:rPr>
                <w:sz w:val="18"/>
                <w:lang w:val="fr-CH"/>
              </w:rPr>
            </w:pPr>
            <w:r w:rsidRPr="0071782F">
              <w:rPr>
                <w:sz w:val="18"/>
                <w:lang w:val="fr-CH"/>
              </w:rPr>
              <w:t>Sages-femmes du Plan relatif aux médecins traitants</w:t>
            </w:r>
          </w:p>
        </w:tc>
        <w:tc>
          <w:tcPr>
            <w:tcW w:w="1571" w:type="dxa"/>
            <w:shd w:val="clear" w:color="auto" w:fill="auto"/>
          </w:tcPr>
          <w:p w:rsidR="00E5019F" w:rsidRPr="0071782F" w:rsidRDefault="00E5019F" w:rsidP="00B92D7E">
            <w:pPr>
              <w:suppressAutoHyphens w:val="0"/>
              <w:spacing w:before="30" w:after="30" w:line="220" w:lineRule="exact"/>
              <w:ind w:left="113"/>
              <w:rPr>
                <w:sz w:val="18"/>
                <w:lang w:val="fr-CH"/>
              </w:rPr>
            </w:pPr>
            <w:r w:rsidRPr="0071782F">
              <w:rPr>
                <w:sz w:val="18"/>
                <w:lang w:val="fr-CH"/>
              </w:rPr>
              <w:t>Person</w:t>
            </w:r>
            <w:r w:rsidR="007D20FF" w:rsidRPr="0071782F">
              <w:rPr>
                <w:sz w:val="18"/>
                <w:lang w:val="fr-CH"/>
              </w:rPr>
              <w:t>ne</w:t>
            </w:r>
          </w:p>
        </w:tc>
        <w:tc>
          <w:tcPr>
            <w:tcW w:w="72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200</w:t>
            </w:r>
          </w:p>
        </w:tc>
        <w:tc>
          <w:tcPr>
            <w:tcW w:w="800"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4 823</w:t>
            </w:r>
          </w:p>
        </w:tc>
        <w:tc>
          <w:tcPr>
            <w:tcW w:w="113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24</w:t>
            </w:r>
          </w:p>
        </w:tc>
      </w:tr>
      <w:tr w:rsidR="005C41F4" w:rsidRPr="0071782F">
        <w:tc>
          <w:tcPr>
            <w:tcW w:w="993" w:type="dxa"/>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shd w:val="clear" w:color="auto" w:fill="auto"/>
          </w:tcPr>
          <w:p w:rsidR="00E5019F" w:rsidRPr="0071782F" w:rsidRDefault="00E5019F" w:rsidP="00B92D7E">
            <w:pPr>
              <w:suppressAutoHyphens w:val="0"/>
              <w:spacing w:before="30" w:after="30" w:line="220" w:lineRule="exact"/>
              <w:rPr>
                <w:sz w:val="18"/>
                <w:lang w:val="fr-CH"/>
              </w:rPr>
            </w:pPr>
            <w:r w:rsidRPr="0071782F">
              <w:rPr>
                <w:sz w:val="18"/>
                <w:lang w:val="fr-CH"/>
              </w:rPr>
              <w:t>Patients visit</w:t>
            </w:r>
            <w:r w:rsidR="007D20FF" w:rsidRPr="0071782F">
              <w:rPr>
                <w:sz w:val="18"/>
                <w:lang w:val="fr-CH"/>
              </w:rPr>
              <w:t>és dans le cadre du Plan relatif aux médecins traitants</w:t>
            </w:r>
          </w:p>
        </w:tc>
        <w:tc>
          <w:tcPr>
            <w:tcW w:w="1571" w:type="dxa"/>
            <w:shd w:val="clear" w:color="auto" w:fill="auto"/>
          </w:tcPr>
          <w:p w:rsidR="00E5019F" w:rsidRPr="0071782F" w:rsidRDefault="00E5019F" w:rsidP="00B92D7E">
            <w:pPr>
              <w:suppressAutoHyphens w:val="0"/>
              <w:spacing w:before="30" w:after="30" w:line="220" w:lineRule="exact"/>
              <w:ind w:left="113"/>
              <w:rPr>
                <w:sz w:val="18"/>
                <w:lang w:val="fr-CH"/>
              </w:rPr>
            </w:pPr>
            <w:r w:rsidRPr="0071782F">
              <w:rPr>
                <w:sz w:val="18"/>
                <w:lang w:val="fr-CH"/>
              </w:rPr>
              <w:t>Million</w:t>
            </w:r>
            <w:r w:rsidR="00AA6792" w:rsidRPr="0071782F">
              <w:rPr>
                <w:sz w:val="18"/>
                <w:lang w:val="fr-CH"/>
              </w:rPr>
              <w:t xml:space="preserve"> </w:t>
            </w:r>
            <w:r w:rsidR="00D82C96" w:rsidRPr="0071782F">
              <w:rPr>
                <w:sz w:val="18"/>
                <w:lang w:val="fr-CH"/>
              </w:rPr>
              <w:t>de personnes</w:t>
            </w:r>
            <w:r w:rsidR="00D36718">
              <w:rPr>
                <w:sz w:val="18"/>
                <w:lang w:val="fr-CH"/>
              </w:rPr>
              <w:t xml:space="preserve"> </w:t>
            </w:r>
          </w:p>
        </w:tc>
        <w:tc>
          <w:tcPr>
            <w:tcW w:w="72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6</w:t>
            </w:r>
          </w:p>
        </w:tc>
        <w:tc>
          <w:tcPr>
            <w:tcW w:w="800"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22</w:t>
            </w:r>
          </w:p>
        </w:tc>
        <w:tc>
          <w:tcPr>
            <w:tcW w:w="113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3</w:t>
            </w:r>
            <w:r w:rsidR="00FF1C6B" w:rsidRPr="0071782F">
              <w:rPr>
                <w:sz w:val="18"/>
                <w:lang w:val="fr-CH"/>
              </w:rPr>
              <w:t>,</w:t>
            </w:r>
            <w:r w:rsidRPr="0071782F">
              <w:rPr>
                <w:sz w:val="18"/>
                <w:lang w:val="fr-CH"/>
              </w:rPr>
              <w:t>6</w:t>
            </w:r>
          </w:p>
        </w:tc>
      </w:tr>
      <w:tr w:rsidR="005C41F4" w:rsidRPr="0071782F">
        <w:tc>
          <w:tcPr>
            <w:tcW w:w="993" w:type="dxa"/>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shd w:val="clear" w:color="auto" w:fill="auto"/>
          </w:tcPr>
          <w:p w:rsidR="00E5019F" w:rsidRPr="0071782F" w:rsidRDefault="00AA6792" w:rsidP="00B92D7E">
            <w:pPr>
              <w:suppressAutoHyphens w:val="0"/>
              <w:spacing w:before="30" w:after="30" w:line="220" w:lineRule="exact"/>
              <w:rPr>
                <w:sz w:val="18"/>
                <w:lang w:val="fr-CH"/>
              </w:rPr>
            </w:pPr>
            <w:r w:rsidRPr="0071782F">
              <w:rPr>
                <w:sz w:val="18"/>
                <w:lang w:val="fr-CH"/>
              </w:rPr>
              <w:t>Taux de mortalité maternelle lié</w:t>
            </w:r>
            <w:r w:rsidR="0057603B" w:rsidRPr="0071782F">
              <w:rPr>
                <w:sz w:val="18"/>
                <w:lang w:val="fr-CH"/>
              </w:rPr>
              <w:t xml:space="preserve">e </w:t>
            </w:r>
            <w:r w:rsidRPr="0071782F">
              <w:rPr>
                <w:sz w:val="18"/>
                <w:lang w:val="fr-CH"/>
              </w:rPr>
              <w:t xml:space="preserve">aux complications survenues pendant la grossesse et l’accouchement </w:t>
            </w:r>
          </w:p>
        </w:tc>
        <w:tc>
          <w:tcPr>
            <w:tcW w:w="1571" w:type="dxa"/>
            <w:shd w:val="clear" w:color="auto" w:fill="auto"/>
          </w:tcPr>
          <w:p w:rsidR="00E5019F" w:rsidRPr="0071782F" w:rsidRDefault="00AA6792" w:rsidP="00B92D7E">
            <w:pPr>
              <w:suppressAutoHyphens w:val="0"/>
              <w:spacing w:before="30" w:after="30" w:line="220" w:lineRule="exact"/>
              <w:ind w:left="113"/>
              <w:rPr>
                <w:sz w:val="18"/>
                <w:lang w:val="fr-CH"/>
              </w:rPr>
            </w:pPr>
            <w:r w:rsidRPr="0071782F">
              <w:rPr>
                <w:sz w:val="18"/>
                <w:lang w:val="fr-CH"/>
              </w:rPr>
              <w:t>Pou</w:t>
            </w:r>
            <w:r w:rsidR="00E5019F" w:rsidRPr="0071782F">
              <w:rPr>
                <w:sz w:val="18"/>
                <w:lang w:val="fr-CH"/>
              </w:rPr>
              <w:t>r 100</w:t>
            </w:r>
            <w:r w:rsidR="00FF1C6B" w:rsidRPr="0071782F">
              <w:rPr>
                <w:sz w:val="18"/>
                <w:lang w:val="fr-CH"/>
              </w:rPr>
              <w:t> </w:t>
            </w:r>
            <w:r w:rsidR="00E5019F" w:rsidRPr="0071782F">
              <w:rPr>
                <w:sz w:val="18"/>
                <w:lang w:val="fr-CH"/>
              </w:rPr>
              <w:t>000</w:t>
            </w:r>
            <w:r w:rsidR="00FF1C6B" w:rsidRPr="0071782F">
              <w:rPr>
                <w:sz w:val="18"/>
                <w:lang w:val="fr-CH"/>
              </w:rPr>
              <w:t> </w:t>
            </w:r>
            <w:r w:rsidRPr="0071782F">
              <w:rPr>
                <w:sz w:val="18"/>
                <w:lang w:val="fr-CH"/>
              </w:rPr>
              <w:t xml:space="preserve">naissances vivantes </w:t>
            </w:r>
          </w:p>
        </w:tc>
        <w:tc>
          <w:tcPr>
            <w:tcW w:w="72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27</w:t>
            </w:r>
          </w:p>
        </w:tc>
        <w:tc>
          <w:tcPr>
            <w:tcW w:w="800"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22</w:t>
            </w:r>
          </w:p>
        </w:tc>
        <w:tc>
          <w:tcPr>
            <w:tcW w:w="113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w:t>
            </w:r>
          </w:p>
        </w:tc>
      </w:tr>
      <w:tr w:rsidR="005C41F4" w:rsidRPr="0071782F">
        <w:tc>
          <w:tcPr>
            <w:tcW w:w="993" w:type="dxa"/>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shd w:val="clear" w:color="auto" w:fill="auto"/>
          </w:tcPr>
          <w:p w:rsidR="00E5019F" w:rsidRPr="0071782F" w:rsidRDefault="00F7432F" w:rsidP="00B92D7E">
            <w:pPr>
              <w:suppressAutoHyphens w:val="0"/>
              <w:spacing w:before="30" w:after="30" w:line="220" w:lineRule="exact"/>
              <w:rPr>
                <w:sz w:val="18"/>
                <w:rtl/>
                <w:lang w:val="fr-CH"/>
              </w:rPr>
            </w:pPr>
            <w:r w:rsidRPr="0071782F">
              <w:rPr>
                <w:sz w:val="18"/>
                <w:lang w:val="fr-CH"/>
              </w:rPr>
              <w:t>Taux de mortalité infantile</w:t>
            </w:r>
          </w:p>
        </w:tc>
        <w:tc>
          <w:tcPr>
            <w:tcW w:w="1571" w:type="dxa"/>
            <w:shd w:val="clear" w:color="auto" w:fill="auto"/>
          </w:tcPr>
          <w:p w:rsidR="00E5019F" w:rsidRPr="0071782F" w:rsidRDefault="00F7432F" w:rsidP="00B92D7E">
            <w:pPr>
              <w:suppressAutoHyphens w:val="0"/>
              <w:spacing w:before="30" w:after="30" w:line="220" w:lineRule="exact"/>
              <w:ind w:left="113"/>
              <w:rPr>
                <w:sz w:val="18"/>
                <w:lang w:val="fr-CH"/>
              </w:rPr>
            </w:pPr>
            <w:r w:rsidRPr="0071782F">
              <w:rPr>
                <w:sz w:val="18"/>
                <w:lang w:val="fr-CH"/>
              </w:rPr>
              <w:t>Pour 1</w:t>
            </w:r>
            <w:r w:rsidR="00FF1C6B" w:rsidRPr="0071782F">
              <w:rPr>
                <w:sz w:val="18"/>
                <w:lang w:val="fr-CH"/>
              </w:rPr>
              <w:t> </w:t>
            </w:r>
            <w:r w:rsidRPr="0071782F">
              <w:rPr>
                <w:sz w:val="18"/>
                <w:lang w:val="fr-CH"/>
              </w:rPr>
              <w:t>000</w:t>
            </w:r>
            <w:r w:rsidR="00FF1C6B" w:rsidRPr="0071782F">
              <w:rPr>
                <w:sz w:val="18"/>
                <w:lang w:val="fr-CH"/>
              </w:rPr>
              <w:t> </w:t>
            </w:r>
            <w:r w:rsidRPr="0071782F">
              <w:rPr>
                <w:sz w:val="18"/>
                <w:lang w:val="fr-CH"/>
              </w:rPr>
              <w:t>naissances vivantes</w:t>
            </w:r>
          </w:p>
        </w:tc>
        <w:tc>
          <w:tcPr>
            <w:tcW w:w="72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14</w:t>
            </w:r>
            <w:r w:rsidR="00FF1C6B" w:rsidRPr="0071782F">
              <w:rPr>
                <w:sz w:val="18"/>
                <w:lang w:val="fr-CH"/>
              </w:rPr>
              <w:t>,</w:t>
            </w:r>
            <w:r w:rsidRPr="0071782F">
              <w:rPr>
                <w:sz w:val="18"/>
                <w:lang w:val="fr-CH"/>
              </w:rPr>
              <w:t>46</w:t>
            </w:r>
          </w:p>
        </w:tc>
        <w:tc>
          <w:tcPr>
            <w:tcW w:w="800" w:type="dxa"/>
            <w:shd w:val="clear" w:color="auto" w:fill="auto"/>
          </w:tcPr>
          <w:p w:rsidR="00E5019F" w:rsidRPr="0071782F" w:rsidRDefault="00E5019F" w:rsidP="00B92D7E">
            <w:pPr>
              <w:suppressAutoHyphens w:val="0"/>
              <w:spacing w:before="30" w:after="30" w:line="220" w:lineRule="exact"/>
              <w:jc w:val="right"/>
              <w:rPr>
                <w:sz w:val="18"/>
                <w:lang w:val="fr-CH"/>
              </w:rPr>
            </w:pPr>
          </w:p>
        </w:tc>
        <w:tc>
          <w:tcPr>
            <w:tcW w:w="113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w:t>
            </w:r>
          </w:p>
        </w:tc>
      </w:tr>
      <w:tr w:rsidR="005C41F4" w:rsidRPr="0071782F">
        <w:tc>
          <w:tcPr>
            <w:tcW w:w="993" w:type="dxa"/>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shd w:val="clear" w:color="auto" w:fill="auto"/>
          </w:tcPr>
          <w:p w:rsidR="00E5019F" w:rsidRPr="0071782F" w:rsidRDefault="00F7432F" w:rsidP="00B92D7E">
            <w:pPr>
              <w:suppressAutoHyphens w:val="0"/>
              <w:spacing w:before="30" w:after="30" w:line="220" w:lineRule="exact"/>
              <w:rPr>
                <w:sz w:val="18"/>
                <w:lang w:val="fr-CH"/>
              </w:rPr>
            </w:pPr>
            <w:r w:rsidRPr="0071782F">
              <w:rPr>
                <w:sz w:val="18"/>
                <w:lang w:val="fr-CH"/>
              </w:rPr>
              <w:t xml:space="preserve">Taux de mortalité des enfants de moins </w:t>
            </w:r>
            <w:r w:rsidR="0049682B">
              <w:rPr>
                <w:sz w:val="18"/>
                <w:lang w:val="fr-CH"/>
              </w:rPr>
              <w:br/>
            </w:r>
            <w:r w:rsidRPr="0071782F">
              <w:rPr>
                <w:sz w:val="18"/>
                <w:lang w:val="fr-CH"/>
              </w:rPr>
              <w:t>d’un an</w:t>
            </w:r>
          </w:p>
        </w:tc>
        <w:tc>
          <w:tcPr>
            <w:tcW w:w="1571" w:type="dxa"/>
            <w:shd w:val="clear" w:color="auto" w:fill="auto"/>
          </w:tcPr>
          <w:p w:rsidR="00E5019F" w:rsidRPr="0071782F" w:rsidRDefault="00F7432F" w:rsidP="00B92D7E">
            <w:pPr>
              <w:suppressAutoHyphens w:val="0"/>
              <w:spacing w:before="30" w:after="30" w:line="220" w:lineRule="exact"/>
              <w:ind w:left="113"/>
              <w:rPr>
                <w:sz w:val="18"/>
                <w:lang w:val="fr-CH"/>
              </w:rPr>
            </w:pPr>
            <w:r w:rsidRPr="0071782F">
              <w:rPr>
                <w:sz w:val="18"/>
                <w:lang w:val="fr-CH"/>
              </w:rPr>
              <w:t>Pour 1</w:t>
            </w:r>
            <w:r w:rsidR="00FF1C6B" w:rsidRPr="0071782F">
              <w:rPr>
                <w:sz w:val="18"/>
                <w:lang w:val="fr-CH"/>
              </w:rPr>
              <w:t> </w:t>
            </w:r>
            <w:r w:rsidRPr="0071782F">
              <w:rPr>
                <w:sz w:val="18"/>
                <w:lang w:val="fr-CH"/>
              </w:rPr>
              <w:t>000</w:t>
            </w:r>
            <w:r w:rsidR="00FF1C6B" w:rsidRPr="0071782F">
              <w:rPr>
                <w:sz w:val="18"/>
                <w:lang w:val="fr-CH"/>
              </w:rPr>
              <w:t> </w:t>
            </w:r>
            <w:r w:rsidRPr="0071782F">
              <w:rPr>
                <w:sz w:val="18"/>
                <w:lang w:val="fr-CH"/>
              </w:rPr>
              <w:t>naissances vivantes</w:t>
            </w:r>
          </w:p>
        </w:tc>
        <w:tc>
          <w:tcPr>
            <w:tcW w:w="72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20</w:t>
            </w:r>
            <w:r w:rsidR="00FF1C6B" w:rsidRPr="0071782F">
              <w:rPr>
                <w:sz w:val="18"/>
                <w:lang w:val="fr-CH"/>
              </w:rPr>
              <w:t>,</w:t>
            </w:r>
            <w:r w:rsidRPr="0071782F">
              <w:rPr>
                <w:sz w:val="18"/>
                <w:lang w:val="fr-CH"/>
              </w:rPr>
              <w:t>84</w:t>
            </w:r>
          </w:p>
        </w:tc>
        <w:tc>
          <w:tcPr>
            <w:tcW w:w="800" w:type="dxa"/>
            <w:shd w:val="clear" w:color="auto" w:fill="auto"/>
          </w:tcPr>
          <w:p w:rsidR="00E5019F" w:rsidRPr="0071782F" w:rsidRDefault="00E5019F" w:rsidP="00B92D7E">
            <w:pPr>
              <w:suppressAutoHyphens w:val="0"/>
              <w:spacing w:before="30" w:after="30" w:line="220" w:lineRule="exact"/>
              <w:jc w:val="right"/>
              <w:rPr>
                <w:sz w:val="18"/>
                <w:lang w:val="fr-CH"/>
              </w:rPr>
            </w:pPr>
          </w:p>
        </w:tc>
        <w:tc>
          <w:tcPr>
            <w:tcW w:w="113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w:t>
            </w:r>
          </w:p>
        </w:tc>
      </w:tr>
      <w:tr w:rsidR="005C41F4" w:rsidRPr="0071782F">
        <w:tc>
          <w:tcPr>
            <w:tcW w:w="993" w:type="dxa"/>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shd w:val="clear" w:color="auto" w:fill="auto"/>
          </w:tcPr>
          <w:p w:rsidR="00E5019F" w:rsidRPr="0071782F" w:rsidRDefault="00F7432F" w:rsidP="00B92D7E">
            <w:pPr>
              <w:suppressAutoHyphens w:val="0"/>
              <w:spacing w:before="30" w:after="30" w:line="220" w:lineRule="exact"/>
              <w:rPr>
                <w:sz w:val="18"/>
                <w:lang w:val="fr-CH"/>
              </w:rPr>
            </w:pPr>
            <w:r w:rsidRPr="0071782F">
              <w:rPr>
                <w:sz w:val="18"/>
                <w:lang w:val="fr-CH"/>
              </w:rPr>
              <w:t>Taux de mortalité des enfants de moins de cinq</w:t>
            </w:r>
            <w:r w:rsidR="00D82C96" w:rsidRPr="0071782F">
              <w:rPr>
                <w:sz w:val="18"/>
                <w:lang w:val="fr-CH"/>
              </w:rPr>
              <w:t> ans</w:t>
            </w:r>
          </w:p>
        </w:tc>
        <w:tc>
          <w:tcPr>
            <w:tcW w:w="1571" w:type="dxa"/>
            <w:shd w:val="clear" w:color="auto" w:fill="auto"/>
          </w:tcPr>
          <w:p w:rsidR="00E5019F" w:rsidRPr="0071782F" w:rsidRDefault="00F7432F" w:rsidP="00B92D7E">
            <w:pPr>
              <w:suppressAutoHyphens w:val="0"/>
              <w:spacing w:before="30" w:after="30" w:line="220" w:lineRule="exact"/>
              <w:ind w:left="113"/>
              <w:rPr>
                <w:sz w:val="18"/>
                <w:lang w:val="fr-CH"/>
              </w:rPr>
            </w:pPr>
            <w:r w:rsidRPr="0071782F">
              <w:rPr>
                <w:sz w:val="18"/>
                <w:lang w:val="fr-CH"/>
              </w:rPr>
              <w:t>Pour 1</w:t>
            </w:r>
            <w:r w:rsidR="00FF1C6B" w:rsidRPr="0071782F">
              <w:rPr>
                <w:sz w:val="18"/>
                <w:lang w:val="fr-CH"/>
              </w:rPr>
              <w:t> </w:t>
            </w:r>
            <w:r w:rsidRPr="0071782F">
              <w:rPr>
                <w:sz w:val="18"/>
                <w:lang w:val="fr-CH"/>
              </w:rPr>
              <w:t>000</w:t>
            </w:r>
            <w:r w:rsidR="00FF1C6B" w:rsidRPr="0071782F">
              <w:rPr>
                <w:sz w:val="18"/>
                <w:lang w:val="fr-CH"/>
              </w:rPr>
              <w:t> </w:t>
            </w:r>
            <w:r w:rsidRPr="0071782F">
              <w:rPr>
                <w:sz w:val="18"/>
                <w:lang w:val="fr-CH"/>
              </w:rPr>
              <w:t>naissances vivantes</w:t>
            </w:r>
          </w:p>
        </w:tc>
        <w:tc>
          <w:tcPr>
            <w:tcW w:w="72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26</w:t>
            </w:r>
          </w:p>
        </w:tc>
        <w:tc>
          <w:tcPr>
            <w:tcW w:w="800" w:type="dxa"/>
            <w:shd w:val="clear" w:color="auto" w:fill="auto"/>
          </w:tcPr>
          <w:p w:rsidR="00E5019F" w:rsidRPr="0071782F" w:rsidRDefault="00E5019F" w:rsidP="00B92D7E">
            <w:pPr>
              <w:suppressAutoHyphens w:val="0"/>
              <w:spacing w:before="30" w:after="30" w:line="220" w:lineRule="exact"/>
              <w:jc w:val="right"/>
              <w:rPr>
                <w:sz w:val="18"/>
                <w:lang w:val="fr-CH"/>
              </w:rPr>
            </w:pPr>
          </w:p>
        </w:tc>
        <w:tc>
          <w:tcPr>
            <w:tcW w:w="113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w:t>
            </w:r>
          </w:p>
        </w:tc>
      </w:tr>
      <w:tr w:rsidR="005C41F4" w:rsidRPr="0071782F">
        <w:tc>
          <w:tcPr>
            <w:tcW w:w="993" w:type="dxa"/>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shd w:val="clear" w:color="auto" w:fill="auto"/>
          </w:tcPr>
          <w:p w:rsidR="00E5019F" w:rsidRPr="0071782F" w:rsidRDefault="00E5019F" w:rsidP="00B92D7E">
            <w:pPr>
              <w:suppressAutoHyphens w:val="0"/>
              <w:spacing w:before="30" w:after="30" w:line="220" w:lineRule="exact"/>
              <w:rPr>
                <w:sz w:val="18"/>
                <w:lang w:val="fr-CH"/>
              </w:rPr>
            </w:pPr>
            <w:r w:rsidRPr="0071782F">
              <w:rPr>
                <w:sz w:val="18"/>
                <w:lang w:val="fr-CH"/>
              </w:rPr>
              <w:t xml:space="preserve">Population </w:t>
            </w:r>
            <w:r w:rsidR="00F7432F" w:rsidRPr="0071782F">
              <w:rPr>
                <w:sz w:val="18"/>
                <w:lang w:val="fr-CH"/>
              </w:rPr>
              <w:t>couverte par le programme de santé mentale</w:t>
            </w:r>
          </w:p>
        </w:tc>
        <w:tc>
          <w:tcPr>
            <w:tcW w:w="1571" w:type="dxa"/>
            <w:shd w:val="clear" w:color="auto" w:fill="auto"/>
          </w:tcPr>
          <w:p w:rsidR="00E5019F" w:rsidRPr="0071782F" w:rsidRDefault="00E5019F" w:rsidP="00B92D7E">
            <w:pPr>
              <w:suppressAutoHyphens w:val="0"/>
              <w:spacing w:before="30" w:after="30" w:line="220" w:lineRule="exact"/>
              <w:ind w:left="113"/>
              <w:rPr>
                <w:sz w:val="18"/>
                <w:lang w:val="fr-CH"/>
              </w:rPr>
            </w:pPr>
            <w:r w:rsidRPr="0071782F">
              <w:rPr>
                <w:sz w:val="18"/>
                <w:lang w:val="fr-CH"/>
              </w:rPr>
              <w:t>%</w:t>
            </w:r>
          </w:p>
        </w:tc>
        <w:tc>
          <w:tcPr>
            <w:tcW w:w="72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40</w:t>
            </w:r>
          </w:p>
        </w:tc>
        <w:tc>
          <w:tcPr>
            <w:tcW w:w="800"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60</w:t>
            </w:r>
          </w:p>
        </w:tc>
        <w:tc>
          <w:tcPr>
            <w:tcW w:w="113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20</w:t>
            </w:r>
          </w:p>
        </w:tc>
      </w:tr>
      <w:tr w:rsidR="005C41F4" w:rsidRPr="0071782F">
        <w:tc>
          <w:tcPr>
            <w:tcW w:w="993" w:type="dxa"/>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shd w:val="clear" w:color="auto" w:fill="auto"/>
          </w:tcPr>
          <w:p w:rsidR="00E5019F" w:rsidRPr="0071782F" w:rsidRDefault="00E5019F" w:rsidP="00B92D7E">
            <w:pPr>
              <w:suppressAutoHyphens w:val="0"/>
              <w:spacing w:before="30" w:after="30" w:line="220" w:lineRule="exact"/>
              <w:rPr>
                <w:sz w:val="18"/>
                <w:lang w:val="fr-CH"/>
              </w:rPr>
            </w:pPr>
            <w:r w:rsidRPr="0071782F">
              <w:rPr>
                <w:sz w:val="18"/>
                <w:lang w:val="fr-CH"/>
              </w:rPr>
              <w:t>Acc</w:t>
            </w:r>
            <w:r w:rsidR="00F7432F" w:rsidRPr="0071782F">
              <w:rPr>
                <w:sz w:val="18"/>
                <w:lang w:val="fr-CH"/>
              </w:rPr>
              <w:t>è</w:t>
            </w:r>
            <w:r w:rsidRPr="0071782F">
              <w:rPr>
                <w:sz w:val="18"/>
                <w:lang w:val="fr-CH"/>
              </w:rPr>
              <w:t xml:space="preserve">s </w:t>
            </w:r>
            <w:r w:rsidR="00F7432F" w:rsidRPr="0071782F">
              <w:rPr>
                <w:sz w:val="18"/>
                <w:lang w:val="fr-CH"/>
              </w:rPr>
              <w:t xml:space="preserve">de la population </w:t>
            </w:r>
            <w:r w:rsidRPr="0071782F">
              <w:rPr>
                <w:sz w:val="18"/>
                <w:lang w:val="fr-CH"/>
              </w:rPr>
              <w:t>urba</w:t>
            </w:r>
            <w:r w:rsidR="00F7432F" w:rsidRPr="0071782F">
              <w:rPr>
                <w:sz w:val="18"/>
                <w:lang w:val="fr-CH"/>
              </w:rPr>
              <w:t>i</w:t>
            </w:r>
            <w:r w:rsidRPr="0071782F">
              <w:rPr>
                <w:sz w:val="18"/>
                <w:lang w:val="fr-CH"/>
              </w:rPr>
              <w:t>n</w:t>
            </w:r>
            <w:r w:rsidR="00F7432F" w:rsidRPr="0071782F">
              <w:rPr>
                <w:sz w:val="18"/>
                <w:lang w:val="fr-CH"/>
              </w:rPr>
              <w:t>e</w:t>
            </w:r>
            <w:r w:rsidRPr="0071782F">
              <w:rPr>
                <w:sz w:val="18"/>
                <w:lang w:val="fr-CH"/>
              </w:rPr>
              <w:t xml:space="preserve"> </w:t>
            </w:r>
            <w:r w:rsidR="00F7432F" w:rsidRPr="0071782F">
              <w:rPr>
                <w:sz w:val="18"/>
                <w:lang w:val="fr-CH"/>
              </w:rPr>
              <w:t>et</w:t>
            </w:r>
            <w:r w:rsidRPr="0071782F">
              <w:rPr>
                <w:sz w:val="18"/>
                <w:lang w:val="fr-CH"/>
              </w:rPr>
              <w:t xml:space="preserve"> rural</w:t>
            </w:r>
            <w:r w:rsidR="00F7432F" w:rsidRPr="0071782F">
              <w:rPr>
                <w:sz w:val="18"/>
                <w:lang w:val="fr-CH"/>
              </w:rPr>
              <w:t>e</w:t>
            </w:r>
            <w:r w:rsidRPr="0071782F">
              <w:rPr>
                <w:sz w:val="18"/>
                <w:lang w:val="fr-CH"/>
              </w:rPr>
              <w:t xml:space="preserve"> </w:t>
            </w:r>
            <w:r w:rsidR="00F7432F" w:rsidRPr="0071782F">
              <w:rPr>
                <w:sz w:val="18"/>
                <w:lang w:val="fr-CH"/>
              </w:rPr>
              <w:t xml:space="preserve">aux soins de santé primaires </w:t>
            </w:r>
          </w:p>
        </w:tc>
        <w:tc>
          <w:tcPr>
            <w:tcW w:w="1571" w:type="dxa"/>
            <w:shd w:val="clear" w:color="auto" w:fill="auto"/>
          </w:tcPr>
          <w:p w:rsidR="00E5019F" w:rsidRPr="0071782F" w:rsidRDefault="00E5019F" w:rsidP="00B92D7E">
            <w:pPr>
              <w:suppressAutoHyphens w:val="0"/>
              <w:spacing w:before="30" w:after="30" w:line="220" w:lineRule="exact"/>
              <w:ind w:left="113" w:right="113"/>
              <w:rPr>
                <w:sz w:val="18"/>
                <w:lang w:val="fr-CH"/>
              </w:rPr>
            </w:pPr>
            <w:r w:rsidRPr="0071782F">
              <w:rPr>
                <w:sz w:val="18"/>
                <w:lang w:val="fr-CH"/>
              </w:rPr>
              <w:t>%</w:t>
            </w:r>
          </w:p>
        </w:tc>
        <w:tc>
          <w:tcPr>
            <w:tcW w:w="72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92</w:t>
            </w:r>
          </w:p>
        </w:tc>
        <w:tc>
          <w:tcPr>
            <w:tcW w:w="800"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94</w:t>
            </w:r>
          </w:p>
        </w:tc>
        <w:tc>
          <w:tcPr>
            <w:tcW w:w="113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2</w:t>
            </w:r>
          </w:p>
        </w:tc>
      </w:tr>
      <w:tr w:rsidR="005C41F4" w:rsidRPr="0071782F">
        <w:tc>
          <w:tcPr>
            <w:tcW w:w="993" w:type="dxa"/>
            <w:tcBorders>
              <w:bottom w:val="nil"/>
            </w:tcBorders>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tcBorders>
              <w:bottom w:val="nil"/>
            </w:tcBorders>
            <w:shd w:val="clear" w:color="auto" w:fill="auto"/>
          </w:tcPr>
          <w:p w:rsidR="00E5019F" w:rsidRPr="0071782F" w:rsidRDefault="00F7432F" w:rsidP="00B92D7E">
            <w:pPr>
              <w:suppressAutoHyphens w:val="0"/>
              <w:spacing w:before="30" w:after="30" w:line="220" w:lineRule="exact"/>
              <w:rPr>
                <w:sz w:val="18"/>
                <w:lang w:val="fr-CH"/>
              </w:rPr>
            </w:pPr>
            <w:r w:rsidRPr="0071782F">
              <w:rPr>
                <w:sz w:val="18"/>
                <w:lang w:val="fr-CH"/>
              </w:rPr>
              <w:t xml:space="preserve">Enlèvement hygiénique des ordures dans </w:t>
            </w:r>
            <w:r w:rsidR="00DA097D" w:rsidRPr="0071782F">
              <w:rPr>
                <w:sz w:val="18"/>
                <w:lang w:val="fr-CH"/>
              </w:rPr>
              <w:t>les familles</w:t>
            </w:r>
            <w:r w:rsidRPr="0071782F">
              <w:rPr>
                <w:sz w:val="18"/>
                <w:lang w:val="fr-CH"/>
              </w:rPr>
              <w:t xml:space="preserve"> </w:t>
            </w:r>
            <w:r w:rsidR="00E5019F" w:rsidRPr="0071782F">
              <w:rPr>
                <w:sz w:val="18"/>
                <w:lang w:val="fr-CH"/>
              </w:rPr>
              <w:t>rural</w:t>
            </w:r>
            <w:r w:rsidRPr="0071782F">
              <w:rPr>
                <w:sz w:val="18"/>
                <w:lang w:val="fr-CH"/>
              </w:rPr>
              <w:t>es</w:t>
            </w:r>
            <w:r w:rsidR="00E5019F" w:rsidRPr="0071782F">
              <w:rPr>
                <w:sz w:val="18"/>
                <w:lang w:val="fr-CH"/>
              </w:rPr>
              <w:t xml:space="preserve"> </w:t>
            </w:r>
          </w:p>
        </w:tc>
        <w:tc>
          <w:tcPr>
            <w:tcW w:w="1571" w:type="dxa"/>
            <w:tcBorders>
              <w:bottom w:val="nil"/>
            </w:tcBorders>
            <w:shd w:val="clear" w:color="auto" w:fill="auto"/>
          </w:tcPr>
          <w:p w:rsidR="00E5019F" w:rsidRPr="0071782F" w:rsidRDefault="00E5019F" w:rsidP="00B92D7E">
            <w:pPr>
              <w:suppressAutoHyphens w:val="0"/>
              <w:spacing w:before="30" w:after="30" w:line="220" w:lineRule="exact"/>
              <w:ind w:left="113" w:right="113"/>
              <w:rPr>
                <w:sz w:val="18"/>
                <w:lang w:val="fr-CH"/>
              </w:rPr>
            </w:pPr>
            <w:r w:rsidRPr="0071782F">
              <w:rPr>
                <w:sz w:val="18"/>
                <w:lang w:val="fr-CH"/>
              </w:rPr>
              <w:t>%</w:t>
            </w:r>
          </w:p>
        </w:tc>
        <w:tc>
          <w:tcPr>
            <w:tcW w:w="729" w:type="dxa"/>
            <w:tcBorders>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44</w:t>
            </w:r>
            <w:r w:rsidR="00FF1C6B" w:rsidRPr="0071782F">
              <w:rPr>
                <w:sz w:val="18"/>
                <w:lang w:val="fr-CH"/>
              </w:rPr>
              <w:t>,</w:t>
            </w:r>
            <w:r w:rsidRPr="0071782F">
              <w:rPr>
                <w:sz w:val="18"/>
                <w:lang w:val="fr-CH"/>
              </w:rPr>
              <w:t>9</w:t>
            </w:r>
          </w:p>
        </w:tc>
        <w:tc>
          <w:tcPr>
            <w:tcW w:w="800" w:type="dxa"/>
            <w:tcBorders>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66/7</w:t>
            </w:r>
          </w:p>
        </w:tc>
        <w:tc>
          <w:tcPr>
            <w:tcW w:w="1139" w:type="dxa"/>
            <w:tcBorders>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16</w:t>
            </w:r>
            <w:r w:rsidR="00FF1C6B" w:rsidRPr="0071782F">
              <w:rPr>
                <w:sz w:val="18"/>
                <w:lang w:val="fr-CH"/>
              </w:rPr>
              <w:t>,</w:t>
            </w:r>
            <w:r w:rsidRPr="0071782F">
              <w:rPr>
                <w:sz w:val="18"/>
                <w:lang w:val="fr-CH"/>
              </w:rPr>
              <w:t>6</w:t>
            </w:r>
          </w:p>
        </w:tc>
      </w:tr>
      <w:tr w:rsidR="005C41F4" w:rsidRPr="0071782F">
        <w:tc>
          <w:tcPr>
            <w:tcW w:w="993" w:type="dxa"/>
            <w:tcBorders>
              <w:top w:val="nil"/>
              <w:bottom w:val="nil"/>
            </w:tcBorders>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tcBorders>
              <w:top w:val="nil"/>
              <w:bottom w:val="nil"/>
            </w:tcBorders>
            <w:shd w:val="clear" w:color="auto" w:fill="auto"/>
          </w:tcPr>
          <w:p w:rsidR="00E5019F" w:rsidRPr="0071782F" w:rsidRDefault="00F7432F" w:rsidP="00B92D7E">
            <w:pPr>
              <w:suppressAutoHyphens w:val="0"/>
              <w:spacing w:before="30" w:after="30" w:line="220" w:lineRule="exact"/>
              <w:rPr>
                <w:sz w:val="18"/>
                <w:lang w:val="fr-CH"/>
              </w:rPr>
            </w:pPr>
            <w:r w:rsidRPr="0071782F">
              <w:rPr>
                <w:sz w:val="18"/>
                <w:lang w:val="fr-CH"/>
              </w:rPr>
              <w:t>Enlèvement</w:t>
            </w:r>
            <w:r w:rsidR="00D36718">
              <w:rPr>
                <w:sz w:val="18"/>
                <w:lang w:val="fr-CH"/>
              </w:rPr>
              <w:t xml:space="preserve"> </w:t>
            </w:r>
            <w:r w:rsidRPr="0071782F">
              <w:rPr>
                <w:sz w:val="18"/>
                <w:lang w:val="fr-CH"/>
              </w:rPr>
              <w:t xml:space="preserve">sûr des déchets hospitaliers </w:t>
            </w:r>
          </w:p>
        </w:tc>
        <w:tc>
          <w:tcPr>
            <w:tcW w:w="1571" w:type="dxa"/>
            <w:tcBorders>
              <w:top w:val="nil"/>
              <w:bottom w:val="nil"/>
            </w:tcBorders>
            <w:shd w:val="clear" w:color="auto" w:fill="auto"/>
          </w:tcPr>
          <w:p w:rsidR="00E5019F" w:rsidRPr="0071782F" w:rsidRDefault="00E5019F" w:rsidP="00B92D7E">
            <w:pPr>
              <w:suppressAutoHyphens w:val="0"/>
              <w:spacing w:before="30" w:after="30" w:line="220" w:lineRule="exact"/>
              <w:ind w:left="113" w:right="113"/>
              <w:rPr>
                <w:sz w:val="18"/>
                <w:lang w:val="fr-CH"/>
              </w:rPr>
            </w:pPr>
            <w:r w:rsidRPr="0071782F">
              <w:rPr>
                <w:sz w:val="18"/>
                <w:lang w:val="fr-CH"/>
              </w:rPr>
              <w:t>%</w:t>
            </w:r>
          </w:p>
        </w:tc>
        <w:tc>
          <w:tcPr>
            <w:tcW w:w="729" w:type="dxa"/>
            <w:tcBorders>
              <w:top w:val="nil"/>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60</w:t>
            </w:r>
            <w:r w:rsidR="00FF1C6B" w:rsidRPr="0071782F">
              <w:rPr>
                <w:sz w:val="18"/>
                <w:lang w:val="fr-CH"/>
              </w:rPr>
              <w:t>,</w:t>
            </w:r>
            <w:r w:rsidRPr="0071782F">
              <w:rPr>
                <w:sz w:val="18"/>
                <w:lang w:val="fr-CH"/>
              </w:rPr>
              <w:t>7</w:t>
            </w:r>
          </w:p>
        </w:tc>
        <w:tc>
          <w:tcPr>
            <w:tcW w:w="800" w:type="dxa"/>
            <w:tcBorders>
              <w:top w:val="nil"/>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77</w:t>
            </w:r>
          </w:p>
        </w:tc>
        <w:tc>
          <w:tcPr>
            <w:tcW w:w="1139" w:type="dxa"/>
            <w:tcBorders>
              <w:top w:val="nil"/>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16</w:t>
            </w:r>
            <w:r w:rsidR="00FF1C6B" w:rsidRPr="0071782F">
              <w:rPr>
                <w:sz w:val="18"/>
                <w:lang w:val="fr-CH"/>
              </w:rPr>
              <w:t>,</w:t>
            </w:r>
            <w:r w:rsidRPr="0071782F">
              <w:rPr>
                <w:sz w:val="18"/>
                <w:lang w:val="fr-CH"/>
              </w:rPr>
              <w:t>3</w:t>
            </w:r>
          </w:p>
        </w:tc>
      </w:tr>
      <w:tr w:rsidR="005C41F4" w:rsidRPr="0071782F">
        <w:tc>
          <w:tcPr>
            <w:tcW w:w="993" w:type="dxa"/>
            <w:tcBorders>
              <w:top w:val="nil"/>
              <w:bottom w:val="nil"/>
            </w:tcBorders>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tcBorders>
              <w:top w:val="nil"/>
              <w:bottom w:val="nil"/>
            </w:tcBorders>
            <w:shd w:val="clear" w:color="auto" w:fill="auto"/>
          </w:tcPr>
          <w:p w:rsidR="00E5019F" w:rsidRPr="0071782F" w:rsidRDefault="00F7432F" w:rsidP="00B92D7E">
            <w:pPr>
              <w:suppressAutoHyphens w:val="0"/>
              <w:spacing w:before="30" w:after="30" w:line="220" w:lineRule="exact"/>
              <w:rPr>
                <w:sz w:val="18"/>
                <w:lang w:val="fr-CH"/>
              </w:rPr>
            </w:pPr>
            <w:r w:rsidRPr="0071782F">
              <w:rPr>
                <w:sz w:val="18"/>
                <w:lang w:val="fr-CH"/>
              </w:rPr>
              <w:t>Dépistage de l’hypo</w:t>
            </w:r>
            <w:r w:rsidR="00E5019F" w:rsidRPr="0071782F">
              <w:rPr>
                <w:sz w:val="18"/>
                <w:lang w:val="fr-CH"/>
              </w:rPr>
              <w:t>thyro</w:t>
            </w:r>
            <w:r w:rsidRPr="0071782F">
              <w:rPr>
                <w:sz w:val="18"/>
                <w:lang w:val="fr-CH"/>
              </w:rPr>
              <w:t xml:space="preserve">ïdie congénitale </w:t>
            </w:r>
          </w:p>
        </w:tc>
        <w:tc>
          <w:tcPr>
            <w:tcW w:w="1571" w:type="dxa"/>
            <w:tcBorders>
              <w:top w:val="nil"/>
              <w:bottom w:val="nil"/>
            </w:tcBorders>
            <w:shd w:val="clear" w:color="auto" w:fill="auto"/>
          </w:tcPr>
          <w:p w:rsidR="00E5019F" w:rsidRPr="0071782F" w:rsidRDefault="00E5019F" w:rsidP="00B92D7E">
            <w:pPr>
              <w:suppressAutoHyphens w:val="0"/>
              <w:spacing w:before="30" w:after="30" w:line="220" w:lineRule="exact"/>
              <w:ind w:left="113" w:right="113"/>
              <w:rPr>
                <w:sz w:val="18"/>
                <w:lang w:val="fr-CH"/>
              </w:rPr>
            </w:pPr>
            <w:r w:rsidRPr="0071782F">
              <w:rPr>
                <w:sz w:val="18"/>
                <w:lang w:val="fr-CH"/>
              </w:rPr>
              <w:t>%</w:t>
            </w:r>
          </w:p>
        </w:tc>
        <w:tc>
          <w:tcPr>
            <w:tcW w:w="729" w:type="dxa"/>
            <w:tcBorders>
              <w:top w:val="nil"/>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11</w:t>
            </w:r>
          </w:p>
        </w:tc>
        <w:tc>
          <w:tcPr>
            <w:tcW w:w="800" w:type="dxa"/>
            <w:tcBorders>
              <w:top w:val="nil"/>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92</w:t>
            </w:r>
          </w:p>
        </w:tc>
        <w:tc>
          <w:tcPr>
            <w:tcW w:w="1139" w:type="dxa"/>
            <w:tcBorders>
              <w:top w:val="nil"/>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8</w:t>
            </w:r>
            <w:r w:rsidR="00FF1C6B" w:rsidRPr="0071782F">
              <w:rPr>
                <w:sz w:val="18"/>
                <w:lang w:val="fr-CH"/>
              </w:rPr>
              <w:t>,</w:t>
            </w:r>
            <w:r w:rsidRPr="0071782F">
              <w:rPr>
                <w:sz w:val="18"/>
                <w:lang w:val="fr-CH"/>
              </w:rPr>
              <w:t>3</w:t>
            </w:r>
          </w:p>
        </w:tc>
      </w:tr>
      <w:tr w:rsidR="005C41F4" w:rsidRPr="0071782F">
        <w:tc>
          <w:tcPr>
            <w:tcW w:w="993" w:type="dxa"/>
            <w:tcBorders>
              <w:top w:val="nil"/>
            </w:tcBorders>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tcBorders>
              <w:top w:val="nil"/>
            </w:tcBorders>
            <w:shd w:val="clear" w:color="auto" w:fill="auto"/>
          </w:tcPr>
          <w:p w:rsidR="00E5019F" w:rsidRPr="0071782F" w:rsidRDefault="00F7432F" w:rsidP="00B92D7E">
            <w:pPr>
              <w:suppressAutoHyphens w:val="0"/>
              <w:spacing w:before="30" w:after="30" w:line="220" w:lineRule="exact"/>
              <w:rPr>
                <w:sz w:val="18"/>
                <w:lang w:val="fr-CH"/>
              </w:rPr>
            </w:pPr>
            <w:r w:rsidRPr="0071782F">
              <w:rPr>
                <w:sz w:val="18"/>
                <w:lang w:val="fr-CH"/>
              </w:rPr>
              <w:t>Centre d’accueil</w:t>
            </w:r>
          </w:p>
        </w:tc>
        <w:tc>
          <w:tcPr>
            <w:tcW w:w="1571" w:type="dxa"/>
            <w:tcBorders>
              <w:top w:val="nil"/>
            </w:tcBorders>
            <w:shd w:val="clear" w:color="auto" w:fill="auto"/>
          </w:tcPr>
          <w:p w:rsidR="00E5019F"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12</w:t>
            </w:r>
          </w:p>
        </w:tc>
        <w:tc>
          <w:tcPr>
            <w:tcW w:w="800" w:type="dxa"/>
            <w:tcBorders>
              <w:top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74</w:t>
            </w:r>
          </w:p>
        </w:tc>
        <w:tc>
          <w:tcPr>
            <w:tcW w:w="1139" w:type="dxa"/>
            <w:tcBorders>
              <w:top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6</w:t>
            </w:r>
            <w:r w:rsidR="00FF1C6B" w:rsidRPr="0071782F">
              <w:rPr>
                <w:sz w:val="18"/>
                <w:lang w:val="fr-CH"/>
              </w:rPr>
              <w:t>,</w:t>
            </w:r>
            <w:r w:rsidRPr="0071782F">
              <w:rPr>
                <w:sz w:val="18"/>
                <w:lang w:val="fr-CH"/>
              </w:rPr>
              <w:t>2</w:t>
            </w:r>
          </w:p>
        </w:tc>
      </w:tr>
      <w:tr w:rsidR="005C41F4" w:rsidRPr="0071782F">
        <w:tc>
          <w:tcPr>
            <w:tcW w:w="993" w:type="dxa"/>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shd w:val="clear" w:color="auto" w:fill="auto"/>
          </w:tcPr>
          <w:p w:rsidR="00E5019F" w:rsidRPr="0071782F" w:rsidRDefault="00F7432F" w:rsidP="00B92D7E">
            <w:pPr>
              <w:suppressAutoHyphens w:val="0"/>
              <w:spacing w:before="30" w:after="30" w:line="220" w:lineRule="exact"/>
              <w:rPr>
                <w:sz w:val="18"/>
                <w:lang w:val="fr-CH"/>
              </w:rPr>
            </w:pPr>
            <w:r w:rsidRPr="0071782F">
              <w:rPr>
                <w:sz w:val="18"/>
                <w:lang w:val="fr-CH"/>
              </w:rPr>
              <w:t xml:space="preserve">Équipe mobile d’assistance </w:t>
            </w:r>
          </w:p>
        </w:tc>
        <w:tc>
          <w:tcPr>
            <w:tcW w:w="1571" w:type="dxa"/>
            <w:shd w:val="clear" w:color="auto" w:fill="auto"/>
          </w:tcPr>
          <w:p w:rsidR="00E5019F"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20</w:t>
            </w:r>
          </w:p>
        </w:tc>
        <w:tc>
          <w:tcPr>
            <w:tcW w:w="800"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125</w:t>
            </w:r>
          </w:p>
        </w:tc>
        <w:tc>
          <w:tcPr>
            <w:tcW w:w="113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6</w:t>
            </w:r>
            <w:r w:rsidR="00FF1C6B" w:rsidRPr="0071782F">
              <w:rPr>
                <w:sz w:val="18"/>
                <w:lang w:val="fr-CH"/>
              </w:rPr>
              <w:t>,</w:t>
            </w:r>
            <w:r w:rsidRPr="0071782F">
              <w:rPr>
                <w:sz w:val="18"/>
                <w:lang w:val="fr-CH"/>
              </w:rPr>
              <w:t>2</w:t>
            </w:r>
          </w:p>
        </w:tc>
      </w:tr>
      <w:tr w:rsidR="005C41F4" w:rsidRPr="0071782F">
        <w:tc>
          <w:tcPr>
            <w:tcW w:w="993" w:type="dxa"/>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shd w:val="clear" w:color="auto" w:fill="auto"/>
          </w:tcPr>
          <w:p w:rsidR="00E5019F" w:rsidRPr="0071782F" w:rsidRDefault="00F7432F" w:rsidP="00B92D7E">
            <w:pPr>
              <w:suppressAutoHyphens w:val="0"/>
              <w:spacing w:before="30" w:after="30" w:line="220" w:lineRule="exact"/>
              <w:rPr>
                <w:sz w:val="18"/>
                <w:lang w:val="fr-CH"/>
              </w:rPr>
            </w:pPr>
            <w:r w:rsidRPr="0071782F">
              <w:rPr>
                <w:sz w:val="18"/>
                <w:lang w:val="fr-CH"/>
              </w:rPr>
              <w:t>Centre de traitement de la toxicomanie</w:t>
            </w:r>
          </w:p>
        </w:tc>
        <w:tc>
          <w:tcPr>
            <w:tcW w:w="1571" w:type="dxa"/>
            <w:shd w:val="clear" w:color="auto" w:fill="auto"/>
          </w:tcPr>
          <w:p w:rsidR="00E5019F"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294</w:t>
            </w:r>
          </w:p>
        </w:tc>
        <w:tc>
          <w:tcPr>
            <w:tcW w:w="800"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1 100</w:t>
            </w:r>
          </w:p>
        </w:tc>
        <w:tc>
          <w:tcPr>
            <w:tcW w:w="113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3</w:t>
            </w:r>
            <w:r w:rsidR="00FF1C6B" w:rsidRPr="0071782F">
              <w:rPr>
                <w:sz w:val="18"/>
                <w:lang w:val="fr-CH"/>
              </w:rPr>
              <w:t>,</w:t>
            </w:r>
            <w:r w:rsidRPr="0071782F">
              <w:rPr>
                <w:sz w:val="18"/>
                <w:lang w:val="fr-CH"/>
              </w:rPr>
              <w:t>7</w:t>
            </w:r>
          </w:p>
        </w:tc>
      </w:tr>
      <w:tr w:rsidR="005C41F4" w:rsidRPr="0071782F">
        <w:tc>
          <w:tcPr>
            <w:tcW w:w="993" w:type="dxa"/>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shd w:val="clear" w:color="auto" w:fill="auto"/>
          </w:tcPr>
          <w:p w:rsidR="00E5019F" w:rsidRPr="0071782F" w:rsidRDefault="00F7432F" w:rsidP="00B92D7E">
            <w:pPr>
              <w:suppressAutoHyphens w:val="0"/>
              <w:spacing w:before="30" w:after="30" w:line="220" w:lineRule="exact"/>
              <w:rPr>
                <w:sz w:val="18"/>
                <w:lang w:val="fr-CH"/>
              </w:rPr>
            </w:pPr>
            <w:r w:rsidRPr="0071782F">
              <w:rPr>
                <w:sz w:val="18"/>
                <w:lang w:val="fr-CH"/>
              </w:rPr>
              <w:t>Traitement d’entretien à la mé</w:t>
            </w:r>
            <w:r w:rsidR="00E5019F" w:rsidRPr="0071782F">
              <w:rPr>
                <w:sz w:val="18"/>
                <w:lang w:val="fr-CH"/>
              </w:rPr>
              <w:t xml:space="preserve">thadone </w:t>
            </w:r>
          </w:p>
        </w:tc>
        <w:tc>
          <w:tcPr>
            <w:tcW w:w="1571" w:type="dxa"/>
            <w:shd w:val="clear" w:color="auto" w:fill="auto"/>
          </w:tcPr>
          <w:p w:rsidR="00E5019F" w:rsidRPr="0071782F" w:rsidRDefault="00E5019F" w:rsidP="00B92D7E">
            <w:pPr>
              <w:suppressAutoHyphens w:val="0"/>
              <w:spacing w:before="30" w:after="30" w:line="220" w:lineRule="exact"/>
              <w:ind w:left="113" w:right="113"/>
              <w:rPr>
                <w:sz w:val="18"/>
                <w:lang w:val="fr-CH"/>
              </w:rPr>
            </w:pPr>
            <w:r w:rsidRPr="0071782F">
              <w:rPr>
                <w:sz w:val="18"/>
                <w:lang w:val="fr-CH"/>
              </w:rPr>
              <w:t>Person</w:t>
            </w:r>
            <w:r w:rsidR="00F7432F" w:rsidRPr="0071782F">
              <w:rPr>
                <w:sz w:val="18"/>
                <w:lang w:val="fr-CH"/>
              </w:rPr>
              <w:t>ne</w:t>
            </w:r>
          </w:p>
        </w:tc>
        <w:tc>
          <w:tcPr>
            <w:tcW w:w="72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4 100</w:t>
            </w:r>
          </w:p>
        </w:tc>
        <w:tc>
          <w:tcPr>
            <w:tcW w:w="800"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16 500</w:t>
            </w:r>
          </w:p>
        </w:tc>
        <w:tc>
          <w:tcPr>
            <w:tcW w:w="113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4</w:t>
            </w:r>
          </w:p>
        </w:tc>
      </w:tr>
      <w:tr w:rsidR="005C41F4" w:rsidRPr="0071782F">
        <w:tc>
          <w:tcPr>
            <w:tcW w:w="993" w:type="dxa"/>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shd w:val="clear" w:color="auto" w:fill="auto"/>
          </w:tcPr>
          <w:p w:rsidR="00E5019F" w:rsidRPr="0071782F" w:rsidRDefault="00F7432F" w:rsidP="00B92D7E">
            <w:pPr>
              <w:suppressAutoHyphens w:val="0"/>
              <w:spacing w:before="30" w:after="30" w:line="220" w:lineRule="exact"/>
              <w:rPr>
                <w:sz w:val="18"/>
                <w:lang w:val="fr-CH"/>
              </w:rPr>
            </w:pPr>
            <w:r w:rsidRPr="0071782F">
              <w:rPr>
                <w:sz w:val="18"/>
                <w:lang w:val="fr-CH"/>
              </w:rPr>
              <w:t>Unités de traitement par a</w:t>
            </w:r>
            <w:r w:rsidR="00E5019F" w:rsidRPr="0071782F">
              <w:rPr>
                <w:sz w:val="18"/>
                <w:lang w:val="fr-CH"/>
              </w:rPr>
              <w:t>gonist</w:t>
            </w:r>
            <w:r w:rsidRPr="0071782F">
              <w:rPr>
                <w:sz w:val="18"/>
                <w:lang w:val="fr-CH"/>
              </w:rPr>
              <w:t>es</w:t>
            </w:r>
          </w:p>
        </w:tc>
        <w:tc>
          <w:tcPr>
            <w:tcW w:w="1571" w:type="dxa"/>
            <w:shd w:val="clear" w:color="auto" w:fill="auto"/>
          </w:tcPr>
          <w:p w:rsidR="00E5019F"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110</w:t>
            </w:r>
          </w:p>
        </w:tc>
        <w:tc>
          <w:tcPr>
            <w:tcW w:w="800"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1 000</w:t>
            </w:r>
          </w:p>
        </w:tc>
        <w:tc>
          <w:tcPr>
            <w:tcW w:w="1139" w:type="dxa"/>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9</w:t>
            </w:r>
          </w:p>
        </w:tc>
      </w:tr>
      <w:tr w:rsidR="005C41F4" w:rsidRPr="0071782F">
        <w:tc>
          <w:tcPr>
            <w:tcW w:w="993" w:type="dxa"/>
            <w:tcBorders>
              <w:bottom w:val="nil"/>
            </w:tcBorders>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tcBorders>
              <w:bottom w:val="nil"/>
            </w:tcBorders>
            <w:shd w:val="clear" w:color="auto" w:fill="auto"/>
          </w:tcPr>
          <w:p w:rsidR="00E5019F" w:rsidRPr="0071782F" w:rsidRDefault="00E5019F" w:rsidP="00B92D7E">
            <w:pPr>
              <w:suppressAutoHyphens w:val="0"/>
              <w:spacing w:before="30" w:after="30" w:line="220" w:lineRule="exact"/>
              <w:rPr>
                <w:sz w:val="18"/>
                <w:lang w:val="fr-CH"/>
              </w:rPr>
            </w:pPr>
            <w:r w:rsidRPr="0071782F">
              <w:rPr>
                <w:sz w:val="18"/>
                <w:lang w:val="fr-CH"/>
              </w:rPr>
              <w:t>Pe</w:t>
            </w:r>
            <w:r w:rsidR="00F7432F" w:rsidRPr="0071782F">
              <w:rPr>
                <w:sz w:val="18"/>
                <w:lang w:val="fr-CH"/>
              </w:rPr>
              <w:t xml:space="preserve">rsonnes traitées aux antirétroviraux </w:t>
            </w:r>
          </w:p>
        </w:tc>
        <w:tc>
          <w:tcPr>
            <w:tcW w:w="1571" w:type="dxa"/>
            <w:tcBorders>
              <w:bottom w:val="nil"/>
            </w:tcBorders>
            <w:shd w:val="clear" w:color="auto" w:fill="auto"/>
          </w:tcPr>
          <w:p w:rsidR="00E5019F" w:rsidRPr="0071782F" w:rsidRDefault="00E5019F" w:rsidP="00B92D7E">
            <w:pPr>
              <w:suppressAutoHyphens w:val="0"/>
              <w:spacing w:before="30" w:after="30" w:line="220" w:lineRule="exact"/>
              <w:ind w:left="113" w:right="113"/>
              <w:rPr>
                <w:sz w:val="18"/>
                <w:lang w:val="fr-CH"/>
              </w:rPr>
            </w:pPr>
            <w:r w:rsidRPr="0071782F">
              <w:rPr>
                <w:sz w:val="18"/>
                <w:lang w:val="fr-CH"/>
              </w:rPr>
              <w:t>%</w:t>
            </w:r>
          </w:p>
        </w:tc>
        <w:tc>
          <w:tcPr>
            <w:tcW w:w="729" w:type="dxa"/>
            <w:tcBorders>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77</w:t>
            </w:r>
            <w:r w:rsidR="00FF1C6B" w:rsidRPr="0071782F">
              <w:rPr>
                <w:sz w:val="18"/>
                <w:lang w:val="fr-CH"/>
              </w:rPr>
              <w:t>,</w:t>
            </w:r>
            <w:r w:rsidRPr="0071782F">
              <w:rPr>
                <w:sz w:val="18"/>
                <w:lang w:val="fr-CH"/>
              </w:rPr>
              <w:t>8</w:t>
            </w:r>
          </w:p>
        </w:tc>
        <w:tc>
          <w:tcPr>
            <w:tcW w:w="800" w:type="dxa"/>
            <w:tcBorders>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87</w:t>
            </w:r>
          </w:p>
        </w:tc>
        <w:tc>
          <w:tcPr>
            <w:tcW w:w="1139" w:type="dxa"/>
            <w:tcBorders>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9</w:t>
            </w:r>
            <w:r w:rsidR="00FF1C6B" w:rsidRPr="0071782F">
              <w:rPr>
                <w:sz w:val="18"/>
                <w:lang w:val="fr-CH"/>
              </w:rPr>
              <w:t>,</w:t>
            </w:r>
            <w:r w:rsidRPr="0071782F">
              <w:rPr>
                <w:sz w:val="18"/>
                <w:lang w:val="fr-CH"/>
              </w:rPr>
              <w:t>2</w:t>
            </w:r>
          </w:p>
        </w:tc>
      </w:tr>
      <w:tr w:rsidR="005C41F4" w:rsidRPr="0071782F">
        <w:tc>
          <w:tcPr>
            <w:tcW w:w="993" w:type="dxa"/>
            <w:tcBorders>
              <w:top w:val="nil"/>
              <w:bottom w:val="nil"/>
            </w:tcBorders>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tcBorders>
              <w:top w:val="nil"/>
              <w:bottom w:val="nil"/>
            </w:tcBorders>
            <w:shd w:val="clear" w:color="auto" w:fill="auto"/>
          </w:tcPr>
          <w:p w:rsidR="00E5019F" w:rsidRPr="0071782F" w:rsidRDefault="00F7432F" w:rsidP="00B92D7E">
            <w:pPr>
              <w:suppressAutoHyphens w:val="0"/>
              <w:spacing w:before="30" w:after="30" w:line="220" w:lineRule="exact"/>
              <w:rPr>
                <w:sz w:val="18"/>
                <w:lang w:val="fr-CH"/>
              </w:rPr>
            </w:pPr>
            <w:r w:rsidRPr="0071782F">
              <w:rPr>
                <w:sz w:val="18"/>
                <w:lang w:val="fr-CH"/>
              </w:rPr>
              <w:t>Taux de</w:t>
            </w:r>
            <w:r w:rsidR="00E5019F" w:rsidRPr="0071782F">
              <w:rPr>
                <w:sz w:val="18"/>
                <w:lang w:val="fr-CH"/>
              </w:rPr>
              <w:t xml:space="preserve"> pr</w:t>
            </w:r>
            <w:r w:rsidRPr="0071782F">
              <w:rPr>
                <w:sz w:val="18"/>
                <w:lang w:val="fr-CH"/>
              </w:rPr>
              <w:t>é</w:t>
            </w:r>
            <w:r w:rsidR="00E5019F" w:rsidRPr="0071782F">
              <w:rPr>
                <w:sz w:val="18"/>
                <w:lang w:val="fr-CH"/>
              </w:rPr>
              <w:t xml:space="preserve">valence </w:t>
            </w:r>
            <w:r w:rsidRPr="0071782F">
              <w:rPr>
                <w:sz w:val="18"/>
                <w:lang w:val="fr-CH"/>
              </w:rPr>
              <w:t xml:space="preserve">du VIH parmi les détenus consommateurs de drogues injectables </w:t>
            </w:r>
          </w:p>
        </w:tc>
        <w:tc>
          <w:tcPr>
            <w:tcW w:w="1571" w:type="dxa"/>
            <w:tcBorders>
              <w:top w:val="nil"/>
              <w:bottom w:val="nil"/>
            </w:tcBorders>
            <w:shd w:val="clear" w:color="auto" w:fill="auto"/>
          </w:tcPr>
          <w:p w:rsidR="00E5019F" w:rsidRPr="0071782F" w:rsidRDefault="00E5019F" w:rsidP="00B92D7E">
            <w:pPr>
              <w:suppressAutoHyphens w:val="0"/>
              <w:spacing w:before="30" w:after="30" w:line="220" w:lineRule="exact"/>
              <w:ind w:left="113" w:right="113"/>
              <w:rPr>
                <w:sz w:val="18"/>
                <w:lang w:val="fr-CH"/>
              </w:rPr>
            </w:pPr>
            <w:r w:rsidRPr="0071782F">
              <w:rPr>
                <w:sz w:val="18"/>
                <w:lang w:val="fr-CH"/>
              </w:rPr>
              <w:t>%</w:t>
            </w:r>
          </w:p>
        </w:tc>
        <w:tc>
          <w:tcPr>
            <w:tcW w:w="729" w:type="dxa"/>
            <w:tcBorders>
              <w:top w:val="nil"/>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3</w:t>
            </w:r>
            <w:r w:rsidR="00FF1C6B" w:rsidRPr="0071782F">
              <w:rPr>
                <w:sz w:val="18"/>
                <w:lang w:val="fr-CH"/>
              </w:rPr>
              <w:t>,</w:t>
            </w:r>
            <w:r w:rsidRPr="0071782F">
              <w:rPr>
                <w:sz w:val="18"/>
                <w:lang w:val="fr-CH"/>
              </w:rPr>
              <w:t>24</w:t>
            </w:r>
          </w:p>
        </w:tc>
        <w:tc>
          <w:tcPr>
            <w:tcW w:w="800" w:type="dxa"/>
            <w:tcBorders>
              <w:top w:val="nil"/>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1</w:t>
            </w:r>
            <w:r w:rsidR="00FF1C6B" w:rsidRPr="0071782F">
              <w:rPr>
                <w:sz w:val="18"/>
                <w:lang w:val="fr-CH"/>
              </w:rPr>
              <w:t>,</w:t>
            </w:r>
            <w:r w:rsidRPr="0071782F">
              <w:rPr>
                <w:sz w:val="18"/>
                <w:lang w:val="fr-CH"/>
              </w:rPr>
              <w:t>75</w:t>
            </w:r>
          </w:p>
        </w:tc>
        <w:tc>
          <w:tcPr>
            <w:tcW w:w="1139" w:type="dxa"/>
            <w:tcBorders>
              <w:top w:val="nil"/>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p>
        </w:tc>
      </w:tr>
      <w:tr w:rsidR="005C41F4" w:rsidRPr="0071782F">
        <w:tc>
          <w:tcPr>
            <w:tcW w:w="993" w:type="dxa"/>
            <w:tcBorders>
              <w:top w:val="nil"/>
              <w:bottom w:val="nil"/>
            </w:tcBorders>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tcBorders>
              <w:top w:val="nil"/>
              <w:bottom w:val="nil"/>
            </w:tcBorders>
            <w:shd w:val="clear" w:color="auto" w:fill="auto"/>
          </w:tcPr>
          <w:p w:rsidR="00E5019F" w:rsidRPr="0071782F" w:rsidRDefault="00F7432F" w:rsidP="00B92D7E">
            <w:pPr>
              <w:suppressAutoHyphens w:val="0"/>
              <w:spacing w:before="30" w:after="30" w:line="220" w:lineRule="exact"/>
              <w:rPr>
                <w:sz w:val="18"/>
                <w:lang w:val="fr-CH"/>
              </w:rPr>
            </w:pPr>
            <w:r w:rsidRPr="0071782F">
              <w:rPr>
                <w:sz w:val="18"/>
                <w:lang w:val="fr-CH"/>
              </w:rPr>
              <w:t>Personnes suivant un traitement contre le VIH</w:t>
            </w:r>
          </w:p>
        </w:tc>
        <w:tc>
          <w:tcPr>
            <w:tcW w:w="1571" w:type="dxa"/>
            <w:tcBorders>
              <w:top w:val="nil"/>
              <w:bottom w:val="nil"/>
            </w:tcBorders>
            <w:shd w:val="clear" w:color="auto" w:fill="auto"/>
          </w:tcPr>
          <w:p w:rsidR="00E5019F" w:rsidRPr="0071782F" w:rsidRDefault="00E5019F" w:rsidP="00B92D7E">
            <w:pPr>
              <w:suppressAutoHyphens w:val="0"/>
              <w:spacing w:before="30" w:after="30" w:line="220" w:lineRule="exact"/>
              <w:ind w:left="113" w:right="113"/>
              <w:rPr>
                <w:sz w:val="18"/>
                <w:lang w:val="fr-CH"/>
              </w:rPr>
            </w:pPr>
            <w:r w:rsidRPr="0071782F">
              <w:rPr>
                <w:sz w:val="18"/>
                <w:lang w:val="fr-CH"/>
              </w:rPr>
              <w:t>Person</w:t>
            </w:r>
            <w:r w:rsidR="00F7432F" w:rsidRPr="0071782F">
              <w:rPr>
                <w:sz w:val="18"/>
                <w:lang w:val="fr-CH"/>
              </w:rPr>
              <w:t>ne</w:t>
            </w:r>
          </w:p>
        </w:tc>
        <w:tc>
          <w:tcPr>
            <w:tcW w:w="729" w:type="dxa"/>
            <w:tcBorders>
              <w:top w:val="nil"/>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156</w:t>
            </w:r>
          </w:p>
        </w:tc>
        <w:tc>
          <w:tcPr>
            <w:tcW w:w="800" w:type="dxa"/>
            <w:tcBorders>
              <w:top w:val="nil"/>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302</w:t>
            </w:r>
          </w:p>
        </w:tc>
        <w:tc>
          <w:tcPr>
            <w:tcW w:w="1139" w:type="dxa"/>
            <w:tcBorders>
              <w:top w:val="nil"/>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94</w:t>
            </w:r>
          </w:p>
        </w:tc>
      </w:tr>
      <w:tr w:rsidR="005C41F4" w:rsidRPr="0071782F">
        <w:tc>
          <w:tcPr>
            <w:tcW w:w="993" w:type="dxa"/>
            <w:tcBorders>
              <w:top w:val="nil"/>
              <w:bottom w:val="nil"/>
            </w:tcBorders>
            <w:shd w:val="clear" w:color="auto" w:fill="auto"/>
          </w:tcPr>
          <w:p w:rsidR="00E5019F" w:rsidRPr="0071782F" w:rsidRDefault="00A62149" w:rsidP="00B92D7E">
            <w:pPr>
              <w:suppressAutoHyphens w:val="0"/>
              <w:spacing w:before="30" w:after="30" w:line="220" w:lineRule="exact"/>
              <w:rPr>
                <w:sz w:val="18"/>
                <w:lang w:val="fr-CH"/>
              </w:rPr>
            </w:pPr>
            <w:r w:rsidRPr="0071782F">
              <w:rPr>
                <w:sz w:val="18"/>
                <w:lang w:val="fr-CH"/>
              </w:rPr>
              <w:t>"</w:t>
            </w:r>
          </w:p>
        </w:tc>
        <w:tc>
          <w:tcPr>
            <w:tcW w:w="3273" w:type="dxa"/>
            <w:tcBorders>
              <w:top w:val="nil"/>
              <w:bottom w:val="nil"/>
            </w:tcBorders>
            <w:shd w:val="clear" w:color="auto" w:fill="auto"/>
          </w:tcPr>
          <w:p w:rsidR="00E5019F" w:rsidRPr="0071782F" w:rsidRDefault="00F7432F" w:rsidP="00B92D7E">
            <w:pPr>
              <w:suppressAutoHyphens w:val="0"/>
              <w:spacing w:before="30" w:after="30" w:line="220" w:lineRule="exact"/>
              <w:rPr>
                <w:sz w:val="18"/>
                <w:lang w:val="fr-CH"/>
              </w:rPr>
            </w:pPr>
            <w:r w:rsidRPr="0071782F">
              <w:rPr>
                <w:sz w:val="18"/>
                <w:lang w:val="fr-CH"/>
              </w:rPr>
              <w:t>Taux d’incidence de la lèpre</w:t>
            </w:r>
          </w:p>
        </w:tc>
        <w:tc>
          <w:tcPr>
            <w:tcW w:w="1571" w:type="dxa"/>
            <w:tcBorders>
              <w:top w:val="nil"/>
              <w:bottom w:val="nil"/>
            </w:tcBorders>
            <w:shd w:val="clear" w:color="auto" w:fill="auto"/>
          </w:tcPr>
          <w:p w:rsidR="00E5019F" w:rsidRPr="0071782F" w:rsidRDefault="00F7432F" w:rsidP="00B92D7E">
            <w:pPr>
              <w:suppressAutoHyphens w:val="0"/>
              <w:spacing w:before="30" w:after="30" w:line="220" w:lineRule="exact"/>
              <w:ind w:left="113" w:right="113"/>
              <w:rPr>
                <w:sz w:val="18"/>
                <w:lang w:val="fr-CH"/>
              </w:rPr>
            </w:pPr>
            <w:r w:rsidRPr="0071782F">
              <w:rPr>
                <w:sz w:val="18"/>
                <w:lang w:val="fr-CH"/>
              </w:rPr>
              <w:t>Pour 100 000</w:t>
            </w:r>
            <w:r w:rsidR="00BF435F" w:rsidRPr="0071782F">
              <w:rPr>
                <w:sz w:val="18"/>
                <w:lang w:val="fr-CH"/>
              </w:rPr>
              <w:t> habitants</w:t>
            </w:r>
          </w:p>
        </w:tc>
        <w:tc>
          <w:tcPr>
            <w:tcW w:w="729" w:type="dxa"/>
            <w:tcBorders>
              <w:top w:val="nil"/>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0</w:t>
            </w:r>
            <w:r w:rsidR="00FF1C6B" w:rsidRPr="0071782F">
              <w:rPr>
                <w:sz w:val="18"/>
                <w:lang w:val="fr-CH"/>
              </w:rPr>
              <w:t>,</w:t>
            </w:r>
            <w:r w:rsidRPr="0071782F">
              <w:rPr>
                <w:sz w:val="18"/>
                <w:lang w:val="fr-CH"/>
              </w:rPr>
              <w:t>11</w:t>
            </w:r>
          </w:p>
        </w:tc>
        <w:tc>
          <w:tcPr>
            <w:tcW w:w="800" w:type="dxa"/>
            <w:tcBorders>
              <w:top w:val="nil"/>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0</w:t>
            </w:r>
            <w:r w:rsidR="00FF1C6B" w:rsidRPr="0071782F">
              <w:rPr>
                <w:sz w:val="18"/>
                <w:lang w:val="fr-CH"/>
              </w:rPr>
              <w:t>,</w:t>
            </w:r>
            <w:r w:rsidRPr="0071782F">
              <w:rPr>
                <w:sz w:val="18"/>
                <w:lang w:val="fr-CH"/>
              </w:rPr>
              <w:t>05</w:t>
            </w:r>
          </w:p>
        </w:tc>
        <w:tc>
          <w:tcPr>
            <w:tcW w:w="1139" w:type="dxa"/>
            <w:tcBorders>
              <w:top w:val="nil"/>
              <w:bottom w:val="nil"/>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w:t>
            </w:r>
          </w:p>
        </w:tc>
      </w:tr>
      <w:tr w:rsidR="005C41F4" w:rsidRPr="0071782F">
        <w:tc>
          <w:tcPr>
            <w:tcW w:w="993" w:type="dxa"/>
            <w:tcBorders>
              <w:top w:val="nil"/>
              <w:bottom w:val="nil"/>
            </w:tcBorders>
            <w:shd w:val="clear" w:color="auto" w:fill="auto"/>
          </w:tcPr>
          <w:p w:rsidR="00E5019F" w:rsidRPr="0071782F" w:rsidRDefault="00A62149" w:rsidP="00B92D7E">
            <w:pPr>
              <w:keepNext/>
              <w:suppressAutoHyphens w:val="0"/>
              <w:spacing w:before="30" w:after="30" w:line="220" w:lineRule="exact"/>
              <w:rPr>
                <w:sz w:val="18"/>
                <w:lang w:val="fr-CH"/>
              </w:rPr>
            </w:pPr>
            <w:r w:rsidRPr="0071782F">
              <w:rPr>
                <w:sz w:val="18"/>
                <w:lang w:val="fr-CH"/>
              </w:rPr>
              <w:t>"</w:t>
            </w:r>
          </w:p>
        </w:tc>
        <w:tc>
          <w:tcPr>
            <w:tcW w:w="3273" w:type="dxa"/>
            <w:tcBorders>
              <w:top w:val="nil"/>
              <w:bottom w:val="nil"/>
            </w:tcBorders>
            <w:shd w:val="clear" w:color="auto" w:fill="auto"/>
          </w:tcPr>
          <w:p w:rsidR="00E5019F" w:rsidRPr="0071782F" w:rsidRDefault="00F7432F" w:rsidP="00B92D7E">
            <w:pPr>
              <w:keepNext/>
              <w:suppressAutoHyphens w:val="0"/>
              <w:spacing w:before="30" w:after="30" w:line="220" w:lineRule="exact"/>
              <w:rPr>
                <w:sz w:val="18"/>
                <w:lang w:val="fr-CH"/>
              </w:rPr>
            </w:pPr>
            <w:r w:rsidRPr="0071782F">
              <w:rPr>
                <w:sz w:val="18"/>
                <w:lang w:val="fr-CH"/>
              </w:rPr>
              <w:t xml:space="preserve">Taux de </w:t>
            </w:r>
            <w:r w:rsidR="00E5019F" w:rsidRPr="0071782F">
              <w:rPr>
                <w:sz w:val="18"/>
                <w:lang w:val="fr-CH"/>
              </w:rPr>
              <w:t>pr</w:t>
            </w:r>
            <w:r w:rsidRPr="0071782F">
              <w:rPr>
                <w:sz w:val="18"/>
                <w:lang w:val="fr-CH"/>
              </w:rPr>
              <w:t>é</w:t>
            </w:r>
            <w:r w:rsidR="00E5019F" w:rsidRPr="0071782F">
              <w:rPr>
                <w:sz w:val="18"/>
                <w:lang w:val="fr-CH"/>
              </w:rPr>
              <w:t xml:space="preserve">valence </w:t>
            </w:r>
            <w:r w:rsidRPr="0071782F">
              <w:rPr>
                <w:sz w:val="18"/>
                <w:lang w:val="fr-CH"/>
              </w:rPr>
              <w:t xml:space="preserve">de la lèpre </w:t>
            </w:r>
          </w:p>
        </w:tc>
        <w:tc>
          <w:tcPr>
            <w:tcW w:w="1571" w:type="dxa"/>
            <w:tcBorders>
              <w:top w:val="nil"/>
              <w:bottom w:val="nil"/>
            </w:tcBorders>
            <w:shd w:val="clear" w:color="auto" w:fill="auto"/>
          </w:tcPr>
          <w:p w:rsidR="00E5019F" w:rsidRPr="0071782F" w:rsidRDefault="00E5019F" w:rsidP="00B92D7E">
            <w:pPr>
              <w:keepNext/>
              <w:suppressAutoHyphens w:val="0"/>
              <w:spacing w:before="30" w:after="30" w:line="220" w:lineRule="exact"/>
              <w:ind w:left="113" w:right="113"/>
              <w:rPr>
                <w:sz w:val="18"/>
                <w:lang w:val="fr-CH"/>
              </w:rPr>
            </w:pPr>
            <w:r w:rsidRPr="0071782F">
              <w:rPr>
                <w:sz w:val="18"/>
                <w:lang w:val="fr-CH"/>
              </w:rPr>
              <w:t>P</w:t>
            </w:r>
            <w:r w:rsidR="00F7432F" w:rsidRPr="0071782F">
              <w:rPr>
                <w:sz w:val="18"/>
                <w:lang w:val="fr-CH"/>
              </w:rPr>
              <w:t>ou</w:t>
            </w:r>
            <w:r w:rsidRPr="0071782F">
              <w:rPr>
                <w:sz w:val="18"/>
                <w:lang w:val="fr-CH"/>
              </w:rPr>
              <w:t>r 10</w:t>
            </w:r>
            <w:r w:rsidR="008077B0" w:rsidRPr="0071782F">
              <w:rPr>
                <w:sz w:val="18"/>
                <w:lang w:val="fr-CH"/>
              </w:rPr>
              <w:t> </w:t>
            </w:r>
            <w:r w:rsidRPr="0071782F">
              <w:rPr>
                <w:sz w:val="18"/>
                <w:lang w:val="fr-CH"/>
              </w:rPr>
              <w:t>0</w:t>
            </w:r>
            <w:r w:rsidR="00F7432F" w:rsidRPr="0071782F">
              <w:rPr>
                <w:sz w:val="18"/>
                <w:lang w:val="fr-CH"/>
              </w:rPr>
              <w:t>00</w:t>
            </w:r>
            <w:r w:rsidR="00BF435F" w:rsidRPr="0071782F">
              <w:rPr>
                <w:sz w:val="18"/>
                <w:lang w:val="fr-CH"/>
              </w:rPr>
              <w:t> habitants</w:t>
            </w:r>
          </w:p>
        </w:tc>
        <w:tc>
          <w:tcPr>
            <w:tcW w:w="729" w:type="dxa"/>
            <w:tcBorders>
              <w:top w:val="nil"/>
              <w:bottom w:val="nil"/>
            </w:tcBorders>
            <w:shd w:val="clear" w:color="auto" w:fill="auto"/>
          </w:tcPr>
          <w:p w:rsidR="00E5019F" w:rsidRPr="0071782F" w:rsidRDefault="00E5019F" w:rsidP="00B92D7E">
            <w:pPr>
              <w:keepNext/>
              <w:suppressAutoHyphens w:val="0"/>
              <w:spacing w:before="30" w:after="30" w:line="220" w:lineRule="exact"/>
              <w:jc w:val="right"/>
              <w:rPr>
                <w:sz w:val="18"/>
                <w:lang w:val="fr-CH"/>
              </w:rPr>
            </w:pPr>
            <w:r w:rsidRPr="0071782F">
              <w:rPr>
                <w:sz w:val="18"/>
                <w:lang w:val="fr-CH"/>
              </w:rPr>
              <w:t>0</w:t>
            </w:r>
            <w:r w:rsidR="00FF1C6B" w:rsidRPr="0071782F">
              <w:rPr>
                <w:sz w:val="18"/>
                <w:lang w:val="fr-CH"/>
              </w:rPr>
              <w:t>,</w:t>
            </w:r>
            <w:r w:rsidRPr="0071782F">
              <w:rPr>
                <w:sz w:val="18"/>
                <w:lang w:val="fr-CH"/>
              </w:rPr>
              <w:t>02</w:t>
            </w:r>
          </w:p>
        </w:tc>
        <w:tc>
          <w:tcPr>
            <w:tcW w:w="800" w:type="dxa"/>
            <w:tcBorders>
              <w:top w:val="nil"/>
              <w:bottom w:val="nil"/>
            </w:tcBorders>
            <w:shd w:val="clear" w:color="auto" w:fill="auto"/>
          </w:tcPr>
          <w:p w:rsidR="00E5019F" w:rsidRPr="0071782F" w:rsidRDefault="00E5019F" w:rsidP="00B92D7E">
            <w:pPr>
              <w:keepNext/>
              <w:suppressAutoHyphens w:val="0"/>
              <w:spacing w:before="30" w:after="30" w:line="220" w:lineRule="exact"/>
              <w:jc w:val="right"/>
              <w:rPr>
                <w:sz w:val="18"/>
                <w:lang w:val="fr-CH"/>
              </w:rPr>
            </w:pPr>
            <w:r w:rsidRPr="0071782F">
              <w:rPr>
                <w:sz w:val="18"/>
                <w:lang w:val="fr-CH"/>
              </w:rPr>
              <w:t>0</w:t>
            </w:r>
            <w:r w:rsidR="00FF1C6B" w:rsidRPr="0071782F">
              <w:rPr>
                <w:sz w:val="18"/>
                <w:lang w:val="fr-CH"/>
              </w:rPr>
              <w:t>,</w:t>
            </w:r>
            <w:r w:rsidRPr="0071782F">
              <w:rPr>
                <w:sz w:val="18"/>
                <w:lang w:val="fr-CH"/>
              </w:rPr>
              <w:t>008</w:t>
            </w:r>
          </w:p>
        </w:tc>
        <w:tc>
          <w:tcPr>
            <w:tcW w:w="1139" w:type="dxa"/>
            <w:tcBorders>
              <w:top w:val="nil"/>
              <w:bottom w:val="nil"/>
            </w:tcBorders>
            <w:shd w:val="clear" w:color="auto" w:fill="auto"/>
          </w:tcPr>
          <w:p w:rsidR="00E5019F" w:rsidRPr="0071782F" w:rsidRDefault="00E5019F" w:rsidP="00B92D7E">
            <w:pPr>
              <w:keepNext/>
              <w:suppressAutoHyphens w:val="0"/>
              <w:spacing w:before="30" w:after="30" w:line="220" w:lineRule="exact"/>
              <w:jc w:val="right"/>
              <w:rPr>
                <w:sz w:val="18"/>
                <w:lang w:val="fr-CH"/>
              </w:rPr>
            </w:pPr>
            <w:r w:rsidRPr="0071782F">
              <w:rPr>
                <w:sz w:val="18"/>
                <w:lang w:val="fr-CH"/>
              </w:rPr>
              <w:t>-</w:t>
            </w:r>
          </w:p>
        </w:tc>
      </w:tr>
      <w:tr w:rsidR="005C41F4" w:rsidRPr="0071782F" w:rsidTr="006931C9">
        <w:tc>
          <w:tcPr>
            <w:tcW w:w="993" w:type="dxa"/>
            <w:tcBorders>
              <w:top w:val="nil"/>
              <w:bottom w:val="nil"/>
            </w:tcBorders>
            <w:shd w:val="clear" w:color="auto" w:fill="auto"/>
          </w:tcPr>
          <w:p w:rsidR="00E5019F" w:rsidRPr="0071782F" w:rsidRDefault="00E5019F" w:rsidP="00B92D7E">
            <w:pPr>
              <w:suppressAutoHyphens w:val="0"/>
              <w:spacing w:before="30" w:after="30" w:line="220" w:lineRule="exact"/>
              <w:rPr>
                <w:sz w:val="18"/>
                <w:lang w:val="fr-CH"/>
              </w:rPr>
            </w:pPr>
            <w:r w:rsidRPr="0071782F">
              <w:rPr>
                <w:sz w:val="18"/>
                <w:lang w:val="fr-CH"/>
              </w:rPr>
              <w:t>Tr</w:t>
            </w:r>
            <w:r w:rsidR="00F7432F" w:rsidRPr="0071782F">
              <w:rPr>
                <w:sz w:val="18"/>
                <w:lang w:val="fr-CH"/>
              </w:rPr>
              <w:t>aitement</w:t>
            </w:r>
          </w:p>
        </w:tc>
        <w:tc>
          <w:tcPr>
            <w:tcW w:w="3273" w:type="dxa"/>
            <w:tcBorders>
              <w:top w:val="nil"/>
              <w:bottom w:val="single" w:sz="4" w:space="0" w:color="auto"/>
            </w:tcBorders>
            <w:shd w:val="clear" w:color="auto" w:fill="auto"/>
          </w:tcPr>
          <w:p w:rsidR="00E5019F" w:rsidRPr="0071782F" w:rsidRDefault="00F7432F" w:rsidP="00B92D7E">
            <w:pPr>
              <w:suppressAutoHyphens w:val="0"/>
              <w:spacing w:before="30" w:after="30" w:line="220" w:lineRule="exact"/>
              <w:rPr>
                <w:sz w:val="18"/>
                <w:lang w:val="fr-CH"/>
              </w:rPr>
            </w:pPr>
            <w:r w:rsidRPr="0071782F">
              <w:rPr>
                <w:sz w:val="18"/>
                <w:lang w:val="fr-CH"/>
              </w:rPr>
              <w:t>Hôpitaux</w:t>
            </w:r>
          </w:p>
        </w:tc>
        <w:tc>
          <w:tcPr>
            <w:tcW w:w="1571" w:type="dxa"/>
            <w:tcBorders>
              <w:top w:val="nil"/>
              <w:bottom w:val="single" w:sz="4" w:space="0" w:color="auto"/>
            </w:tcBorders>
            <w:shd w:val="clear" w:color="auto" w:fill="auto"/>
          </w:tcPr>
          <w:p w:rsidR="00E5019F"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single" w:sz="4" w:space="0" w:color="auto"/>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809</w:t>
            </w:r>
          </w:p>
        </w:tc>
        <w:tc>
          <w:tcPr>
            <w:tcW w:w="800" w:type="dxa"/>
            <w:tcBorders>
              <w:top w:val="nil"/>
              <w:bottom w:val="single" w:sz="4" w:space="0" w:color="auto"/>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856</w:t>
            </w:r>
          </w:p>
        </w:tc>
        <w:tc>
          <w:tcPr>
            <w:tcW w:w="1139" w:type="dxa"/>
            <w:tcBorders>
              <w:top w:val="nil"/>
              <w:bottom w:val="single" w:sz="4" w:space="0" w:color="auto"/>
            </w:tcBorders>
            <w:shd w:val="clear" w:color="auto" w:fill="auto"/>
          </w:tcPr>
          <w:p w:rsidR="00E5019F" w:rsidRPr="0071782F" w:rsidRDefault="00E5019F" w:rsidP="00B92D7E">
            <w:pPr>
              <w:suppressAutoHyphens w:val="0"/>
              <w:spacing w:before="30" w:after="30" w:line="220" w:lineRule="exact"/>
              <w:jc w:val="right"/>
              <w:rPr>
                <w:sz w:val="18"/>
                <w:lang w:val="fr-CH"/>
              </w:rPr>
            </w:pPr>
            <w:r w:rsidRPr="0071782F">
              <w:rPr>
                <w:sz w:val="18"/>
                <w:lang w:val="fr-CH"/>
              </w:rPr>
              <w:t>47</w:t>
            </w:r>
          </w:p>
        </w:tc>
      </w:tr>
      <w:tr w:rsidR="005C41F4" w:rsidRPr="0071782F" w:rsidTr="006931C9">
        <w:tc>
          <w:tcPr>
            <w:tcW w:w="993" w:type="dxa"/>
            <w:tcBorders>
              <w:top w:val="nil"/>
              <w:bottom w:val="nil"/>
            </w:tcBorders>
            <w:shd w:val="clear" w:color="auto" w:fill="auto"/>
          </w:tcPr>
          <w:p w:rsidR="00E5019F" w:rsidRPr="0071782F" w:rsidRDefault="00A62149" w:rsidP="006931C9">
            <w:pPr>
              <w:suppressAutoHyphens w:val="0"/>
              <w:spacing w:before="80" w:after="80" w:line="220" w:lineRule="exact"/>
              <w:rPr>
                <w:sz w:val="18"/>
                <w:lang w:val="fr-CH"/>
              </w:rPr>
            </w:pPr>
            <w:r w:rsidRPr="0071782F">
              <w:rPr>
                <w:sz w:val="18"/>
                <w:lang w:val="fr-CH"/>
              </w:rPr>
              <w:t>"</w:t>
            </w:r>
          </w:p>
        </w:tc>
        <w:tc>
          <w:tcPr>
            <w:tcW w:w="3273" w:type="dxa"/>
            <w:tcBorders>
              <w:top w:val="single" w:sz="4" w:space="0" w:color="auto"/>
              <w:bottom w:val="single" w:sz="4" w:space="0" w:color="auto"/>
            </w:tcBorders>
            <w:shd w:val="clear" w:color="auto" w:fill="auto"/>
          </w:tcPr>
          <w:p w:rsidR="00E5019F" w:rsidRPr="0071782F" w:rsidRDefault="00F7432F" w:rsidP="006931C9">
            <w:pPr>
              <w:suppressAutoHyphens w:val="0"/>
              <w:spacing w:before="80" w:after="80" w:line="220" w:lineRule="exact"/>
              <w:ind w:left="284"/>
              <w:rPr>
                <w:b/>
                <w:sz w:val="18"/>
                <w:lang w:val="fr-CH"/>
              </w:rPr>
            </w:pPr>
            <w:r w:rsidRPr="0071782F">
              <w:rPr>
                <w:b/>
                <w:sz w:val="18"/>
                <w:lang w:val="fr-CH"/>
              </w:rPr>
              <w:t>N</w:t>
            </w:r>
            <w:r w:rsidR="003B48A4" w:rsidRPr="0071782F">
              <w:rPr>
                <w:b/>
                <w:sz w:val="18"/>
                <w:lang w:val="fr-CH"/>
              </w:rPr>
              <w:t>ombre</w:t>
            </w:r>
            <w:r w:rsidR="00E5019F" w:rsidRPr="0071782F">
              <w:rPr>
                <w:b/>
                <w:sz w:val="18"/>
                <w:lang w:val="fr-CH"/>
              </w:rPr>
              <w:t xml:space="preserve"> </w:t>
            </w:r>
            <w:r w:rsidRPr="0071782F">
              <w:rPr>
                <w:b/>
                <w:sz w:val="18"/>
                <w:lang w:val="fr-CH"/>
              </w:rPr>
              <w:t>total de lits</w:t>
            </w:r>
          </w:p>
        </w:tc>
        <w:tc>
          <w:tcPr>
            <w:tcW w:w="1571" w:type="dxa"/>
            <w:tcBorders>
              <w:top w:val="single" w:sz="4" w:space="0" w:color="auto"/>
              <w:bottom w:val="single" w:sz="4" w:space="0" w:color="auto"/>
            </w:tcBorders>
            <w:shd w:val="clear" w:color="auto" w:fill="auto"/>
          </w:tcPr>
          <w:p w:rsidR="00E5019F" w:rsidRPr="0071782F" w:rsidRDefault="00E5019F" w:rsidP="006931C9">
            <w:pPr>
              <w:suppressAutoHyphens w:val="0"/>
              <w:spacing w:before="80" w:after="80" w:line="220" w:lineRule="exact"/>
              <w:ind w:left="113" w:right="113"/>
              <w:rPr>
                <w:b/>
                <w:sz w:val="18"/>
                <w:lang w:val="fr-CH"/>
              </w:rPr>
            </w:pPr>
            <w:r w:rsidRPr="0071782F">
              <w:rPr>
                <w:b/>
                <w:sz w:val="18"/>
                <w:lang w:val="fr-CH"/>
              </w:rPr>
              <w:t>1 000</w:t>
            </w:r>
          </w:p>
        </w:tc>
        <w:tc>
          <w:tcPr>
            <w:tcW w:w="729" w:type="dxa"/>
            <w:tcBorders>
              <w:top w:val="single" w:sz="4" w:space="0" w:color="auto"/>
              <w:bottom w:val="single" w:sz="4" w:space="0" w:color="auto"/>
            </w:tcBorders>
            <w:shd w:val="clear" w:color="auto" w:fill="auto"/>
          </w:tcPr>
          <w:p w:rsidR="00E5019F" w:rsidRPr="0071782F" w:rsidRDefault="00E5019F" w:rsidP="006931C9">
            <w:pPr>
              <w:suppressAutoHyphens w:val="0"/>
              <w:spacing w:before="80" w:after="80" w:line="220" w:lineRule="exact"/>
              <w:jc w:val="right"/>
              <w:rPr>
                <w:b/>
                <w:sz w:val="18"/>
                <w:lang w:val="fr-CH"/>
              </w:rPr>
            </w:pPr>
            <w:r w:rsidRPr="0071782F">
              <w:rPr>
                <w:b/>
                <w:sz w:val="18"/>
                <w:lang w:val="fr-CH"/>
              </w:rPr>
              <w:t>97</w:t>
            </w:r>
            <w:r w:rsidR="00FF1C6B" w:rsidRPr="0071782F">
              <w:rPr>
                <w:b/>
                <w:sz w:val="18"/>
                <w:lang w:val="fr-CH"/>
              </w:rPr>
              <w:t>,</w:t>
            </w:r>
            <w:r w:rsidRPr="0071782F">
              <w:rPr>
                <w:b/>
                <w:sz w:val="18"/>
                <w:lang w:val="fr-CH"/>
              </w:rPr>
              <w:t>6</w:t>
            </w:r>
          </w:p>
        </w:tc>
        <w:tc>
          <w:tcPr>
            <w:tcW w:w="800" w:type="dxa"/>
            <w:tcBorders>
              <w:top w:val="single" w:sz="4" w:space="0" w:color="auto"/>
              <w:bottom w:val="single" w:sz="4" w:space="0" w:color="auto"/>
            </w:tcBorders>
            <w:shd w:val="clear" w:color="auto" w:fill="auto"/>
          </w:tcPr>
          <w:p w:rsidR="00E5019F" w:rsidRPr="0071782F" w:rsidRDefault="00E5019F" w:rsidP="006931C9">
            <w:pPr>
              <w:suppressAutoHyphens w:val="0"/>
              <w:spacing w:before="80" w:after="80" w:line="220" w:lineRule="exact"/>
              <w:jc w:val="right"/>
              <w:rPr>
                <w:b/>
                <w:sz w:val="18"/>
                <w:lang w:val="fr-CH"/>
              </w:rPr>
            </w:pPr>
            <w:r w:rsidRPr="0071782F">
              <w:rPr>
                <w:b/>
                <w:sz w:val="18"/>
                <w:lang w:val="fr-CH"/>
              </w:rPr>
              <w:t>110</w:t>
            </w:r>
            <w:r w:rsidR="00FF1C6B" w:rsidRPr="0071782F">
              <w:rPr>
                <w:b/>
                <w:sz w:val="18"/>
                <w:lang w:val="fr-CH"/>
              </w:rPr>
              <w:t>,</w:t>
            </w:r>
            <w:r w:rsidRPr="0071782F">
              <w:rPr>
                <w:b/>
                <w:sz w:val="18"/>
                <w:lang w:val="fr-CH"/>
              </w:rPr>
              <w:t>6</w:t>
            </w:r>
          </w:p>
        </w:tc>
        <w:tc>
          <w:tcPr>
            <w:tcW w:w="1139" w:type="dxa"/>
            <w:tcBorders>
              <w:top w:val="single" w:sz="4" w:space="0" w:color="auto"/>
              <w:bottom w:val="single" w:sz="4" w:space="0" w:color="auto"/>
            </w:tcBorders>
            <w:shd w:val="clear" w:color="auto" w:fill="auto"/>
          </w:tcPr>
          <w:p w:rsidR="00E5019F" w:rsidRPr="0071782F" w:rsidRDefault="00E5019F" w:rsidP="006931C9">
            <w:pPr>
              <w:suppressAutoHyphens w:val="0"/>
              <w:spacing w:before="80" w:after="80" w:line="220" w:lineRule="exact"/>
              <w:jc w:val="right"/>
              <w:rPr>
                <w:b/>
                <w:sz w:val="18"/>
                <w:lang w:val="fr-CH"/>
              </w:rPr>
            </w:pPr>
            <w:r w:rsidRPr="0071782F">
              <w:rPr>
                <w:b/>
                <w:sz w:val="18"/>
                <w:lang w:val="fr-CH"/>
              </w:rPr>
              <w:t>13</w:t>
            </w:r>
          </w:p>
        </w:tc>
      </w:tr>
      <w:tr w:rsidR="005C41F4" w:rsidRPr="0071782F" w:rsidTr="006931C9">
        <w:tc>
          <w:tcPr>
            <w:tcW w:w="993" w:type="dxa"/>
            <w:tcBorders>
              <w:top w:val="nil"/>
              <w:bottom w:val="nil"/>
            </w:tcBorders>
            <w:shd w:val="clear" w:color="auto" w:fill="auto"/>
          </w:tcPr>
          <w:p w:rsidR="001242E8" w:rsidRPr="0071782F" w:rsidRDefault="001242E8" w:rsidP="00B92D7E">
            <w:pPr>
              <w:suppressAutoHyphens w:val="0"/>
              <w:spacing w:before="30" w:after="30" w:line="220" w:lineRule="exact"/>
              <w:rPr>
                <w:sz w:val="18"/>
                <w:lang w:val="fr-CH"/>
              </w:rPr>
            </w:pPr>
          </w:p>
        </w:tc>
        <w:tc>
          <w:tcPr>
            <w:tcW w:w="3273" w:type="dxa"/>
            <w:tcBorders>
              <w:top w:val="single" w:sz="4" w:space="0" w:color="auto"/>
              <w:bottom w:val="nil"/>
            </w:tcBorders>
            <w:shd w:val="clear" w:color="auto" w:fill="auto"/>
          </w:tcPr>
          <w:p w:rsidR="001242E8" w:rsidRPr="0071782F" w:rsidRDefault="00F7432F" w:rsidP="00B92D7E">
            <w:pPr>
              <w:suppressAutoHyphens w:val="0"/>
              <w:spacing w:before="30" w:after="30" w:line="220" w:lineRule="exact"/>
              <w:rPr>
                <w:b/>
                <w:sz w:val="18"/>
                <w:lang w:val="fr-CH"/>
              </w:rPr>
            </w:pPr>
            <w:r w:rsidRPr="0071782F">
              <w:rPr>
                <w:sz w:val="18"/>
                <w:lang w:val="fr-CH"/>
              </w:rPr>
              <w:t>Bases d’ambulances urbaines et routières</w:t>
            </w:r>
          </w:p>
        </w:tc>
        <w:tc>
          <w:tcPr>
            <w:tcW w:w="1571" w:type="dxa"/>
            <w:tcBorders>
              <w:top w:val="single" w:sz="4" w:space="0" w:color="auto"/>
              <w:bottom w:val="nil"/>
            </w:tcBorders>
            <w:shd w:val="clear" w:color="auto" w:fill="auto"/>
          </w:tcPr>
          <w:p w:rsidR="001242E8" w:rsidRPr="0071782F" w:rsidRDefault="003B48A4" w:rsidP="00B92D7E">
            <w:pPr>
              <w:suppressAutoHyphens w:val="0"/>
              <w:spacing w:before="30" w:after="30" w:line="220" w:lineRule="exact"/>
              <w:ind w:left="113" w:right="113"/>
              <w:rPr>
                <w:b/>
                <w:sz w:val="18"/>
                <w:lang w:val="fr-CH"/>
              </w:rPr>
            </w:pPr>
            <w:r w:rsidRPr="0071782F">
              <w:rPr>
                <w:sz w:val="18"/>
                <w:lang w:val="fr-CH"/>
              </w:rPr>
              <w:t>Nombre</w:t>
            </w:r>
          </w:p>
        </w:tc>
        <w:tc>
          <w:tcPr>
            <w:tcW w:w="729" w:type="dxa"/>
            <w:tcBorders>
              <w:top w:val="single" w:sz="4" w:space="0" w:color="auto"/>
              <w:bottom w:val="nil"/>
            </w:tcBorders>
            <w:shd w:val="clear" w:color="auto" w:fill="auto"/>
          </w:tcPr>
          <w:p w:rsidR="001242E8" w:rsidRPr="0071782F" w:rsidRDefault="001242E8" w:rsidP="00B92D7E">
            <w:pPr>
              <w:suppressAutoHyphens w:val="0"/>
              <w:spacing w:before="30" w:after="30" w:line="220" w:lineRule="exact"/>
              <w:jc w:val="right"/>
              <w:rPr>
                <w:b/>
                <w:sz w:val="18"/>
                <w:lang w:val="fr-CH"/>
              </w:rPr>
            </w:pPr>
            <w:r w:rsidRPr="0071782F">
              <w:rPr>
                <w:sz w:val="18"/>
                <w:lang w:val="fr-CH"/>
              </w:rPr>
              <w:t>683</w:t>
            </w:r>
          </w:p>
        </w:tc>
        <w:tc>
          <w:tcPr>
            <w:tcW w:w="800" w:type="dxa"/>
            <w:tcBorders>
              <w:top w:val="single" w:sz="4" w:space="0" w:color="auto"/>
              <w:bottom w:val="nil"/>
            </w:tcBorders>
            <w:shd w:val="clear" w:color="auto" w:fill="auto"/>
          </w:tcPr>
          <w:p w:rsidR="001242E8" w:rsidRPr="0071782F" w:rsidRDefault="001242E8" w:rsidP="00B92D7E">
            <w:pPr>
              <w:suppressAutoHyphens w:val="0"/>
              <w:spacing w:before="30" w:after="30" w:line="220" w:lineRule="exact"/>
              <w:jc w:val="right"/>
              <w:rPr>
                <w:sz w:val="18"/>
                <w:lang w:val="fr-CH"/>
              </w:rPr>
            </w:pPr>
            <w:r w:rsidRPr="0071782F">
              <w:rPr>
                <w:sz w:val="18"/>
                <w:lang w:val="fr-CH"/>
              </w:rPr>
              <w:t>1 630</w:t>
            </w:r>
          </w:p>
        </w:tc>
        <w:tc>
          <w:tcPr>
            <w:tcW w:w="1139" w:type="dxa"/>
            <w:tcBorders>
              <w:top w:val="single" w:sz="4" w:space="0" w:color="auto"/>
              <w:bottom w:val="nil"/>
            </w:tcBorders>
            <w:shd w:val="clear" w:color="auto" w:fill="auto"/>
          </w:tcPr>
          <w:p w:rsidR="001242E8" w:rsidRPr="0071782F" w:rsidRDefault="001242E8" w:rsidP="00B92D7E">
            <w:pPr>
              <w:suppressAutoHyphens w:val="0"/>
              <w:spacing w:before="30" w:after="30" w:line="220" w:lineRule="exact"/>
              <w:jc w:val="right"/>
              <w:rPr>
                <w:b/>
                <w:sz w:val="18"/>
                <w:lang w:val="fr-CH"/>
              </w:rPr>
            </w:pPr>
            <w:r w:rsidRPr="0071782F">
              <w:rPr>
                <w:sz w:val="18"/>
                <w:lang w:val="fr-CH"/>
              </w:rPr>
              <w:t>240%</w:t>
            </w:r>
          </w:p>
        </w:tc>
      </w:tr>
      <w:tr w:rsidR="005C41F4" w:rsidRPr="0071782F">
        <w:tc>
          <w:tcPr>
            <w:tcW w:w="993" w:type="dxa"/>
            <w:tcBorders>
              <w:top w:val="nil"/>
              <w:bottom w:val="nil"/>
            </w:tcBorders>
            <w:shd w:val="clear" w:color="auto" w:fill="auto"/>
          </w:tcPr>
          <w:p w:rsidR="001242E8" w:rsidRPr="0071782F" w:rsidRDefault="001242E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1242E8" w:rsidRPr="0071782F" w:rsidRDefault="00F7432F" w:rsidP="00B92D7E">
            <w:pPr>
              <w:suppressAutoHyphens w:val="0"/>
              <w:spacing w:before="30" w:after="30" w:line="220" w:lineRule="exact"/>
              <w:rPr>
                <w:b/>
                <w:sz w:val="18"/>
                <w:lang w:val="fr-CH"/>
              </w:rPr>
            </w:pPr>
            <w:r w:rsidRPr="0071782F">
              <w:rPr>
                <w:sz w:val="18"/>
                <w:lang w:val="fr-CH"/>
              </w:rPr>
              <w:t xml:space="preserve">Temps écoulé avant l’arrivée d’une </w:t>
            </w:r>
            <w:r w:rsidR="008840C8" w:rsidRPr="0071782F">
              <w:rPr>
                <w:sz w:val="18"/>
                <w:lang w:val="fr-CH"/>
              </w:rPr>
              <w:t xml:space="preserve">ambulance </w:t>
            </w:r>
            <w:r w:rsidRPr="0071782F">
              <w:rPr>
                <w:sz w:val="18"/>
                <w:lang w:val="fr-CH"/>
              </w:rPr>
              <w:t xml:space="preserve">sur les lieux (en ville) </w:t>
            </w:r>
          </w:p>
        </w:tc>
        <w:tc>
          <w:tcPr>
            <w:tcW w:w="1571" w:type="dxa"/>
            <w:tcBorders>
              <w:top w:val="nil"/>
              <w:bottom w:val="nil"/>
            </w:tcBorders>
            <w:shd w:val="clear" w:color="auto" w:fill="auto"/>
          </w:tcPr>
          <w:p w:rsidR="001242E8" w:rsidRPr="0071782F" w:rsidRDefault="008840C8" w:rsidP="00B92D7E">
            <w:pPr>
              <w:suppressAutoHyphens w:val="0"/>
              <w:spacing w:before="30" w:after="30" w:line="220" w:lineRule="exact"/>
              <w:ind w:left="113" w:right="113"/>
              <w:rPr>
                <w:b/>
                <w:sz w:val="18"/>
                <w:lang w:val="fr-CH"/>
              </w:rPr>
            </w:pPr>
            <w:r w:rsidRPr="0071782F">
              <w:rPr>
                <w:sz w:val="18"/>
                <w:lang w:val="fr-CH"/>
              </w:rPr>
              <w:t>Minute</w:t>
            </w:r>
          </w:p>
        </w:tc>
        <w:tc>
          <w:tcPr>
            <w:tcW w:w="729" w:type="dxa"/>
            <w:tcBorders>
              <w:top w:val="nil"/>
              <w:bottom w:val="nil"/>
            </w:tcBorders>
            <w:shd w:val="clear" w:color="auto" w:fill="auto"/>
          </w:tcPr>
          <w:p w:rsidR="001242E8" w:rsidRPr="0071782F" w:rsidRDefault="008840C8" w:rsidP="00B92D7E">
            <w:pPr>
              <w:suppressAutoHyphens w:val="0"/>
              <w:spacing w:before="30" w:after="30" w:line="220" w:lineRule="exact"/>
              <w:jc w:val="right"/>
              <w:rPr>
                <w:b/>
                <w:sz w:val="18"/>
                <w:lang w:val="fr-CH"/>
              </w:rPr>
            </w:pPr>
            <w:r w:rsidRPr="0071782F">
              <w:rPr>
                <w:sz w:val="18"/>
                <w:lang w:val="fr-CH"/>
              </w:rPr>
              <w:t>10</w:t>
            </w:r>
          </w:p>
        </w:tc>
        <w:tc>
          <w:tcPr>
            <w:tcW w:w="800" w:type="dxa"/>
            <w:tcBorders>
              <w:top w:val="nil"/>
              <w:bottom w:val="nil"/>
            </w:tcBorders>
            <w:shd w:val="clear" w:color="auto" w:fill="auto"/>
          </w:tcPr>
          <w:p w:rsidR="001242E8" w:rsidRPr="0071782F" w:rsidRDefault="008840C8" w:rsidP="00B92D7E">
            <w:pPr>
              <w:suppressAutoHyphens w:val="0"/>
              <w:spacing w:before="30" w:after="30" w:line="220" w:lineRule="exact"/>
              <w:jc w:val="right"/>
              <w:rPr>
                <w:b/>
                <w:sz w:val="18"/>
                <w:lang w:val="fr-CH"/>
              </w:rPr>
            </w:pPr>
            <w:r w:rsidRPr="0071782F">
              <w:rPr>
                <w:sz w:val="18"/>
                <w:lang w:val="fr-CH"/>
              </w:rPr>
              <w:t>8</w:t>
            </w:r>
          </w:p>
        </w:tc>
        <w:tc>
          <w:tcPr>
            <w:tcW w:w="1139" w:type="dxa"/>
            <w:tcBorders>
              <w:top w:val="nil"/>
              <w:bottom w:val="nil"/>
            </w:tcBorders>
            <w:shd w:val="clear" w:color="auto" w:fill="auto"/>
          </w:tcPr>
          <w:p w:rsidR="001242E8" w:rsidRPr="0071782F" w:rsidRDefault="00F7432F" w:rsidP="00B92D7E">
            <w:pPr>
              <w:suppressAutoHyphens w:val="0"/>
              <w:spacing w:before="30" w:after="30" w:line="220" w:lineRule="exact"/>
              <w:jc w:val="right"/>
              <w:rPr>
                <w:b/>
                <w:sz w:val="18"/>
                <w:lang w:val="fr-CH"/>
              </w:rPr>
            </w:pPr>
            <w:r w:rsidRPr="0071782F">
              <w:rPr>
                <w:sz w:val="18"/>
                <w:lang w:val="fr-CH"/>
              </w:rPr>
              <w:t xml:space="preserve">Deux </w:t>
            </w:r>
            <w:r w:rsidR="008840C8" w:rsidRPr="0071782F">
              <w:rPr>
                <w:sz w:val="18"/>
                <w:lang w:val="fr-CH"/>
              </w:rPr>
              <w:t xml:space="preserve">minutes </w:t>
            </w:r>
            <w:r w:rsidRPr="0071782F">
              <w:rPr>
                <w:sz w:val="18"/>
                <w:lang w:val="fr-CH"/>
              </w:rPr>
              <w:t xml:space="preserve">de moins </w:t>
            </w:r>
          </w:p>
        </w:tc>
      </w:tr>
      <w:tr w:rsidR="005C41F4" w:rsidRPr="0071782F">
        <w:tc>
          <w:tcPr>
            <w:tcW w:w="993" w:type="dxa"/>
            <w:tcBorders>
              <w:top w:val="nil"/>
              <w:bottom w:val="nil"/>
            </w:tcBorders>
            <w:shd w:val="clear" w:color="auto" w:fill="auto"/>
          </w:tcPr>
          <w:p w:rsidR="001242E8" w:rsidRPr="0071782F" w:rsidRDefault="001242E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1242E8" w:rsidRPr="0071782F" w:rsidRDefault="00F7432F" w:rsidP="00B92D7E">
            <w:pPr>
              <w:suppressAutoHyphens w:val="0"/>
              <w:spacing w:before="30" w:after="30" w:line="220" w:lineRule="exact"/>
              <w:rPr>
                <w:b/>
                <w:sz w:val="18"/>
                <w:lang w:val="fr-CH"/>
              </w:rPr>
            </w:pPr>
            <w:r w:rsidRPr="0071782F">
              <w:rPr>
                <w:sz w:val="18"/>
                <w:lang w:val="fr-CH"/>
              </w:rPr>
              <w:t xml:space="preserve">Temps écoulé avant l’arrivée d’une ambulance sur les lieux </w:t>
            </w:r>
            <w:r w:rsidR="008840C8" w:rsidRPr="0071782F">
              <w:rPr>
                <w:sz w:val="18"/>
                <w:lang w:val="fr-CH"/>
              </w:rPr>
              <w:t>(</w:t>
            </w:r>
            <w:r w:rsidRPr="0071782F">
              <w:rPr>
                <w:sz w:val="18"/>
                <w:lang w:val="fr-CH"/>
              </w:rPr>
              <w:t>sur la route)</w:t>
            </w:r>
          </w:p>
        </w:tc>
        <w:tc>
          <w:tcPr>
            <w:tcW w:w="1571" w:type="dxa"/>
            <w:tcBorders>
              <w:top w:val="nil"/>
              <w:bottom w:val="nil"/>
            </w:tcBorders>
            <w:shd w:val="clear" w:color="auto" w:fill="auto"/>
          </w:tcPr>
          <w:p w:rsidR="001242E8" w:rsidRPr="0071782F" w:rsidRDefault="008840C8" w:rsidP="00B92D7E">
            <w:pPr>
              <w:suppressAutoHyphens w:val="0"/>
              <w:spacing w:before="30" w:after="30" w:line="220" w:lineRule="exact"/>
              <w:ind w:left="113" w:right="113"/>
              <w:rPr>
                <w:b/>
                <w:sz w:val="18"/>
                <w:lang w:val="fr-CH"/>
              </w:rPr>
            </w:pPr>
            <w:r w:rsidRPr="0071782F">
              <w:rPr>
                <w:sz w:val="18"/>
                <w:lang w:val="fr-CH"/>
              </w:rPr>
              <w:t>Minute</w:t>
            </w:r>
          </w:p>
        </w:tc>
        <w:tc>
          <w:tcPr>
            <w:tcW w:w="729" w:type="dxa"/>
            <w:tcBorders>
              <w:top w:val="nil"/>
              <w:bottom w:val="nil"/>
            </w:tcBorders>
            <w:shd w:val="clear" w:color="auto" w:fill="auto"/>
          </w:tcPr>
          <w:p w:rsidR="001242E8" w:rsidRPr="0071782F" w:rsidRDefault="008840C8" w:rsidP="00B92D7E">
            <w:pPr>
              <w:suppressAutoHyphens w:val="0"/>
              <w:spacing w:before="30" w:after="30" w:line="220" w:lineRule="exact"/>
              <w:jc w:val="right"/>
              <w:rPr>
                <w:b/>
                <w:sz w:val="18"/>
                <w:lang w:val="fr-CH"/>
              </w:rPr>
            </w:pPr>
            <w:r w:rsidRPr="0071782F">
              <w:rPr>
                <w:sz w:val="18"/>
                <w:lang w:val="fr-CH"/>
              </w:rPr>
              <w:t>25</w:t>
            </w:r>
          </w:p>
        </w:tc>
        <w:tc>
          <w:tcPr>
            <w:tcW w:w="800" w:type="dxa"/>
            <w:tcBorders>
              <w:top w:val="nil"/>
              <w:bottom w:val="nil"/>
            </w:tcBorders>
            <w:shd w:val="clear" w:color="auto" w:fill="auto"/>
          </w:tcPr>
          <w:p w:rsidR="001242E8" w:rsidRPr="0071782F" w:rsidRDefault="008840C8" w:rsidP="00B92D7E">
            <w:pPr>
              <w:suppressAutoHyphens w:val="0"/>
              <w:spacing w:before="30" w:after="30" w:line="220" w:lineRule="exact"/>
              <w:jc w:val="right"/>
              <w:rPr>
                <w:b/>
                <w:sz w:val="18"/>
                <w:lang w:val="fr-CH"/>
              </w:rPr>
            </w:pPr>
            <w:r w:rsidRPr="0071782F">
              <w:rPr>
                <w:sz w:val="18"/>
                <w:lang w:val="fr-CH"/>
              </w:rPr>
              <w:t>13</w:t>
            </w:r>
          </w:p>
        </w:tc>
        <w:tc>
          <w:tcPr>
            <w:tcW w:w="1139" w:type="dxa"/>
            <w:tcBorders>
              <w:top w:val="nil"/>
              <w:bottom w:val="nil"/>
            </w:tcBorders>
            <w:shd w:val="clear" w:color="auto" w:fill="auto"/>
          </w:tcPr>
          <w:p w:rsidR="001242E8" w:rsidRPr="0071782F" w:rsidRDefault="008840C8" w:rsidP="00B92D7E">
            <w:pPr>
              <w:suppressAutoHyphens w:val="0"/>
              <w:spacing w:before="30" w:after="30" w:line="220" w:lineRule="exact"/>
              <w:jc w:val="right"/>
              <w:rPr>
                <w:b/>
                <w:sz w:val="18"/>
                <w:lang w:val="fr-CH"/>
              </w:rPr>
            </w:pPr>
            <w:r w:rsidRPr="0071782F">
              <w:rPr>
                <w:sz w:val="18"/>
                <w:lang w:val="fr-CH"/>
              </w:rPr>
              <w:t xml:space="preserve">12 minutes </w:t>
            </w:r>
            <w:r w:rsidR="00F7432F" w:rsidRPr="0071782F">
              <w:rPr>
                <w:sz w:val="18"/>
                <w:lang w:val="fr-CH"/>
              </w:rPr>
              <w:t>de moins</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8840C8" w:rsidRPr="0071782F" w:rsidRDefault="00F7432F" w:rsidP="00B92D7E">
            <w:pPr>
              <w:suppressAutoHyphens w:val="0"/>
              <w:spacing w:before="30" w:after="30" w:line="220" w:lineRule="exact"/>
              <w:rPr>
                <w:sz w:val="18"/>
                <w:lang w:val="fr-CH"/>
              </w:rPr>
            </w:pPr>
            <w:r w:rsidRPr="0071782F">
              <w:rPr>
                <w:sz w:val="18"/>
                <w:lang w:val="fr-CH"/>
              </w:rPr>
              <w:t>Service d’urgences préhospitalières pour les accidents de la circulation</w:t>
            </w:r>
            <w:r w:rsidR="00D36718">
              <w:rPr>
                <w:sz w:val="18"/>
                <w:lang w:val="fr-CH"/>
              </w:rPr>
              <w:t xml:space="preserve"> </w:t>
            </w:r>
          </w:p>
        </w:tc>
        <w:tc>
          <w:tcPr>
            <w:tcW w:w="1571" w:type="dxa"/>
            <w:tcBorders>
              <w:top w:val="nil"/>
              <w:bottom w:val="nil"/>
            </w:tcBorders>
            <w:shd w:val="clear" w:color="auto" w:fill="auto"/>
          </w:tcPr>
          <w:p w:rsidR="008840C8" w:rsidRPr="0071782F" w:rsidRDefault="008840C8" w:rsidP="00B92D7E">
            <w:pPr>
              <w:suppressAutoHyphens w:val="0"/>
              <w:spacing w:before="30" w:after="30" w:line="220" w:lineRule="exact"/>
              <w:ind w:left="113" w:right="113"/>
              <w:rPr>
                <w:sz w:val="18"/>
                <w:lang w:val="fr-CH"/>
              </w:rPr>
            </w:pPr>
            <w:r w:rsidRPr="0071782F">
              <w:rPr>
                <w:sz w:val="18"/>
                <w:lang w:val="fr-CH"/>
              </w:rPr>
              <w:t>%</w:t>
            </w:r>
          </w:p>
        </w:tc>
        <w:tc>
          <w:tcPr>
            <w:tcW w:w="72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14</w:t>
            </w:r>
            <w:r w:rsidR="00FF1C6B" w:rsidRPr="0071782F">
              <w:rPr>
                <w:sz w:val="18"/>
                <w:lang w:val="fr-CH"/>
              </w:rPr>
              <w:t>,</w:t>
            </w:r>
            <w:r w:rsidRPr="0071782F">
              <w:rPr>
                <w:sz w:val="18"/>
                <w:lang w:val="fr-CH"/>
              </w:rPr>
              <w:t>8%</w:t>
            </w:r>
          </w:p>
        </w:tc>
        <w:tc>
          <w:tcPr>
            <w:tcW w:w="800"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52</w:t>
            </w:r>
            <w:r w:rsidR="00FF1C6B" w:rsidRPr="0071782F">
              <w:rPr>
                <w:sz w:val="18"/>
                <w:lang w:val="fr-CH"/>
              </w:rPr>
              <w:t>,</w:t>
            </w:r>
            <w:r w:rsidRPr="0071782F">
              <w:rPr>
                <w:sz w:val="18"/>
                <w:lang w:val="fr-CH"/>
              </w:rPr>
              <w:t>2%</w:t>
            </w:r>
          </w:p>
        </w:tc>
        <w:tc>
          <w:tcPr>
            <w:tcW w:w="113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37</w:t>
            </w:r>
            <w:r w:rsidR="00FF1C6B" w:rsidRPr="0071782F">
              <w:rPr>
                <w:sz w:val="18"/>
                <w:lang w:val="fr-CH"/>
              </w:rPr>
              <w:t>,</w:t>
            </w:r>
            <w:r w:rsidRPr="0071782F">
              <w:rPr>
                <w:sz w:val="18"/>
                <w:lang w:val="fr-CH"/>
              </w:rPr>
              <w:t>4%</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r w:rsidRPr="0071782F">
              <w:rPr>
                <w:sz w:val="18"/>
                <w:lang w:val="fr-CH"/>
              </w:rPr>
              <w:t>Ambulances</w:t>
            </w:r>
          </w:p>
        </w:tc>
        <w:tc>
          <w:tcPr>
            <w:tcW w:w="1571" w:type="dxa"/>
            <w:tcBorders>
              <w:top w:val="nil"/>
              <w:bottom w:val="nil"/>
            </w:tcBorders>
            <w:shd w:val="clear" w:color="auto" w:fill="auto"/>
          </w:tcPr>
          <w:p w:rsidR="008840C8"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1 045</w:t>
            </w:r>
          </w:p>
        </w:tc>
        <w:tc>
          <w:tcPr>
            <w:tcW w:w="800"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2 880</w:t>
            </w:r>
          </w:p>
        </w:tc>
        <w:tc>
          <w:tcPr>
            <w:tcW w:w="113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270%</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8840C8" w:rsidRPr="0071782F" w:rsidRDefault="00F7432F" w:rsidP="00B92D7E">
            <w:pPr>
              <w:suppressAutoHyphens w:val="0"/>
              <w:spacing w:before="30" w:after="30" w:line="220" w:lineRule="exact"/>
              <w:rPr>
                <w:sz w:val="18"/>
                <w:lang w:val="fr-CH"/>
              </w:rPr>
            </w:pPr>
            <w:r w:rsidRPr="0071782F">
              <w:rPr>
                <w:sz w:val="18"/>
                <w:lang w:val="fr-CH"/>
              </w:rPr>
              <w:t>Fabricants d’équipements médicaux</w:t>
            </w:r>
          </w:p>
        </w:tc>
        <w:tc>
          <w:tcPr>
            <w:tcW w:w="1571" w:type="dxa"/>
            <w:tcBorders>
              <w:top w:val="nil"/>
              <w:bottom w:val="nil"/>
            </w:tcBorders>
            <w:shd w:val="clear" w:color="auto" w:fill="auto"/>
          </w:tcPr>
          <w:p w:rsidR="008840C8" w:rsidRPr="0071782F" w:rsidRDefault="00F7432F" w:rsidP="00B92D7E">
            <w:pPr>
              <w:suppressAutoHyphens w:val="0"/>
              <w:spacing w:before="30" w:after="30" w:line="220" w:lineRule="exact"/>
              <w:ind w:left="113" w:right="113"/>
              <w:rPr>
                <w:sz w:val="18"/>
                <w:lang w:val="fr-CH"/>
              </w:rPr>
            </w:pPr>
            <w:r w:rsidRPr="0071782F">
              <w:rPr>
                <w:sz w:val="18"/>
                <w:lang w:val="fr-CH"/>
              </w:rPr>
              <w:t>Entreprise</w:t>
            </w:r>
          </w:p>
        </w:tc>
        <w:tc>
          <w:tcPr>
            <w:tcW w:w="72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350</w:t>
            </w:r>
          </w:p>
        </w:tc>
        <w:tc>
          <w:tcPr>
            <w:tcW w:w="800"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450</w:t>
            </w:r>
          </w:p>
        </w:tc>
        <w:tc>
          <w:tcPr>
            <w:tcW w:w="113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100</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8840C8" w:rsidRPr="0071782F" w:rsidRDefault="00F7432F" w:rsidP="00B92D7E">
            <w:pPr>
              <w:suppressAutoHyphens w:val="0"/>
              <w:spacing w:before="30" w:after="30" w:line="220" w:lineRule="exact"/>
              <w:rPr>
                <w:sz w:val="18"/>
                <w:lang w:val="fr-CH"/>
              </w:rPr>
            </w:pPr>
            <w:r w:rsidRPr="0071782F">
              <w:rPr>
                <w:sz w:val="18"/>
                <w:lang w:val="fr-CH"/>
              </w:rPr>
              <w:t>Fabricants d’équipements médicaux</w:t>
            </w:r>
          </w:p>
        </w:tc>
        <w:tc>
          <w:tcPr>
            <w:tcW w:w="1571" w:type="dxa"/>
            <w:tcBorders>
              <w:top w:val="nil"/>
              <w:bottom w:val="nil"/>
            </w:tcBorders>
            <w:shd w:val="clear" w:color="auto" w:fill="auto"/>
          </w:tcPr>
          <w:p w:rsidR="008840C8" w:rsidRPr="0071782F" w:rsidRDefault="00943A69" w:rsidP="00B92D7E">
            <w:pPr>
              <w:suppressAutoHyphens w:val="0"/>
              <w:spacing w:before="30" w:after="30" w:line="220" w:lineRule="exact"/>
              <w:ind w:left="113" w:right="113"/>
              <w:rPr>
                <w:sz w:val="18"/>
                <w:lang w:val="fr-CH"/>
              </w:rPr>
            </w:pPr>
            <w:r w:rsidRPr="0071782F">
              <w:rPr>
                <w:sz w:val="18"/>
                <w:lang w:val="fr-CH"/>
              </w:rPr>
              <w:t>Article </w:t>
            </w:r>
          </w:p>
        </w:tc>
        <w:tc>
          <w:tcPr>
            <w:tcW w:w="72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450</w:t>
            </w:r>
          </w:p>
        </w:tc>
        <w:tc>
          <w:tcPr>
            <w:tcW w:w="800"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550</w:t>
            </w:r>
          </w:p>
        </w:tc>
        <w:tc>
          <w:tcPr>
            <w:tcW w:w="113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100</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r w:rsidRPr="0071782F">
              <w:rPr>
                <w:sz w:val="18"/>
                <w:lang w:val="fr-CH"/>
              </w:rPr>
              <w:t>Export</w:t>
            </w:r>
            <w:r w:rsidR="00F7432F" w:rsidRPr="0071782F">
              <w:rPr>
                <w:sz w:val="18"/>
                <w:lang w:val="fr-CH"/>
              </w:rPr>
              <w:t>ation d’équipements médicaux</w:t>
            </w:r>
            <w:r w:rsidRPr="0071782F">
              <w:rPr>
                <w:sz w:val="18"/>
                <w:lang w:val="fr-CH"/>
              </w:rPr>
              <w:t xml:space="preserve"> </w:t>
            </w:r>
          </w:p>
        </w:tc>
        <w:tc>
          <w:tcPr>
            <w:tcW w:w="1571" w:type="dxa"/>
            <w:tcBorders>
              <w:top w:val="nil"/>
              <w:bottom w:val="nil"/>
            </w:tcBorders>
            <w:shd w:val="clear" w:color="auto" w:fill="auto"/>
          </w:tcPr>
          <w:p w:rsidR="008840C8" w:rsidRPr="0071782F" w:rsidRDefault="008840C8" w:rsidP="00B92D7E">
            <w:pPr>
              <w:suppressAutoHyphens w:val="0"/>
              <w:spacing w:before="30" w:after="30" w:line="220" w:lineRule="exact"/>
              <w:ind w:left="113" w:right="113"/>
              <w:rPr>
                <w:sz w:val="18"/>
                <w:lang w:val="fr-CH"/>
              </w:rPr>
            </w:pPr>
            <w:r w:rsidRPr="0071782F">
              <w:rPr>
                <w:sz w:val="18"/>
                <w:lang w:val="fr-CH"/>
              </w:rPr>
              <w:t>Million</w:t>
            </w:r>
            <w:r w:rsidR="00F7432F" w:rsidRPr="0071782F">
              <w:rPr>
                <w:sz w:val="18"/>
                <w:lang w:val="fr-CH"/>
              </w:rPr>
              <w:t>s</w:t>
            </w:r>
            <w:r w:rsidRPr="0071782F">
              <w:rPr>
                <w:sz w:val="18"/>
                <w:lang w:val="fr-CH"/>
              </w:rPr>
              <w:t xml:space="preserve"> </w:t>
            </w:r>
            <w:r w:rsidR="00F7432F" w:rsidRPr="0071782F">
              <w:rPr>
                <w:sz w:val="18"/>
                <w:lang w:val="fr-CH"/>
              </w:rPr>
              <w:t xml:space="preserve">de </w:t>
            </w:r>
            <w:r w:rsidRPr="0071782F">
              <w:rPr>
                <w:sz w:val="18"/>
                <w:lang w:val="fr-CH"/>
              </w:rPr>
              <w:t>dollars</w:t>
            </w:r>
          </w:p>
        </w:tc>
        <w:tc>
          <w:tcPr>
            <w:tcW w:w="72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4</w:t>
            </w:r>
            <w:r w:rsidR="00FF1C6B" w:rsidRPr="0071782F">
              <w:rPr>
                <w:sz w:val="18"/>
                <w:lang w:val="fr-CH"/>
              </w:rPr>
              <w:t>,</w:t>
            </w:r>
            <w:r w:rsidRPr="0071782F">
              <w:rPr>
                <w:sz w:val="18"/>
                <w:lang w:val="fr-CH"/>
              </w:rPr>
              <w:t>27</w:t>
            </w:r>
          </w:p>
        </w:tc>
        <w:tc>
          <w:tcPr>
            <w:tcW w:w="800"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8</w:t>
            </w:r>
            <w:r w:rsidR="00FF1C6B" w:rsidRPr="0071782F">
              <w:rPr>
                <w:sz w:val="18"/>
                <w:lang w:val="fr-CH"/>
              </w:rPr>
              <w:t>,</w:t>
            </w:r>
            <w:r w:rsidRPr="0071782F">
              <w:rPr>
                <w:sz w:val="18"/>
                <w:lang w:val="fr-CH"/>
              </w:rPr>
              <w:t>53</w:t>
            </w:r>
          </w:p>
        </w:tc>
        <w:tc>
          <w:tcPr>
            <w:tcW w:w="113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200%</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8840C8" w:rsidRPr="0071782F" w:rsidRDefault="00F7432F" w:rsidP="00B92D7E">
            <w:pPr>
              <w:suppressAutoHyphens w:val="0"/>
              <w:spacing w:before="30" w:after="30" w:line="220" w:lineRule="exact"/>
              <w:rPr>
                <w:sz w:val="18"/>
                <w:lang w:val="fr-CH"/>
              </w:rPr>
            </w:pPr>
            <w:r w:rsidRPr="0071782F">
              <w:rPr>
                <w:sz w:val="18"/>
                <w:lang w:val="fr-CH"/>
              </w:rPr>
              <w:t>Laboratoire mé</w:t>
            </w:r>
            <w:r w:rsidR="008840C8" w:rsidRPr="0071782F">
              <w:rPr>
                <w:sz w:val="18"/>
                <w:lang w:val="fr-CH"/>
              </w:rPr>
              <w:t xml:space="preserve">dical </w:t>
            </w:r>
          </w:p>
        </w:tc>
        <w:tc>
          <w:tcPr>
            <w:tcW w:w="1571" w:type="dxa"/>
            <w:tcBorders>
              <w:top w:val="nil"/>
              <w:bottom w:val="nil"/>
            </w:tcBorders>
            <w:shd w:val="clear" w:color="auto" w:fill="auto"/>
          </w:tcPr>
          <w:p w:rsidR="008840C8"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4 233</w:t>
            </w:r>
          </w:p>
        </w:tc>
        <w:tc>
          <w:tcPr>
            <w:tcW w:w="800"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4 677</w:t>
            </w:r>
          </w:p>
        </w:tc>
        <w:tc>
          <w:tcPr>
            <w:tcW w:w="113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444</w:t>
            </w:r>
          </w:p>
        </w:tc>
      </w:tr>
      <w:tr w:rsidR="008840C8" w:rsidRPr="0071782F">
        <w:tc>
          <w:tcPr>
            <w:tcW w:w="993" w:type="dxa"/>
            <w:tcBorders>
              <w:top w:val="nil"/>
              <w:bottom w:val="nil"/>
            </w:tcBorders>
            <w:shd w:val="clear" w:color="auto" w:fill="auto"/>
          </w:tcPr>
          <w:p w:rsidR="008840C8" w:rsidRPr="00B92D7E" w:rsidRDefault="00F7432F" w:rsidP="00B92D7E">
            <w:pPr>
              <w:suppressAutoHyphens w:val="0"/>
              <w:spacing w:before="30" w:after="30" w:line="220" w:lineRule="exact"/>
              <w:rPr>
                <w:spacing w:val="-4"/>
                <w:sz w:val="18"/>
                <w:lang w:val="fr-CH"/>
              </w:rPr>
            </w:pPr>
            <w:r w:rsidRPr="00B92D7E">
              <w:rPr>
                <w:spacing w:val="-4"/>
                <w:sz w:val="18"/>
                <w:lang w:val="fr-CH"/>
              </w:rPr>
              <w:t>Médicaments</w:t>
            </w:r>
          </w:p>
        </w:tc>
        <w:tc>
          <w:tcPr>
            <w:tcW w:w="3273" w:type="dxa"/>
            <w:tcBorders>
              <w:top w:val="nil"/>
              <w:bottom w:val="nil"/>
            </w:tcBorders>
            <w:shd w:val="clear" w:color="auto" w:fill="auto"/>
          </w:tcPr>
          <w:p w:rsidR="008840C8" w:rsidRPr="0071782F" w:rsidRDefault="00F7432F" w:rsidP="00B92D7E">
            <w:pPr>
              <w:suppressAutoHyphens w:val="0"/>
              <w:spacing w:before="30" w:after="30" w:line="220" w:lineRule="exact"/>
              <w:ind w:left="57"/>
              <w:rPr>
                <w:sz w:val="18"/>
                <w:lang w:val="fr-CH"/>
              </w:rPr>
            </w:pPr>
            <w:r w:rsidRPr="0071782F">
              <w:rPr>
                <w:sz w:val="18"/>
                <w:lang w:val="fr-CH"/>
              </w:rPr>
              <w:t xml:space="preserve">Fabrication de produits </w:t>
            </w:r>
            <w:r w:rsidR="008840C8" w:rsidRPr="0071782F">
              <w:rPr>
                <w:sz w:val="18"/>
                <w:lang w:val="fr-CH"/>
              </w:rPr>
              <w:t>pharmaceuti</w:t>
            </w:r>
            <w:r w:rsidRPr="0071782F">
              <w:rPr>
                <w:sz w:val="18"/>
                <w:lang w:val="fr-CH"/>
              </w:rPr>
              <w:t>ques</w:t>
            </w:r>
          </w:p>
        </w:tc>
        <w:tc>
          <w:tcPr>
            <w:tcW w:w="1571" w:type="dxa"/>
            <w:tcBorders>
              <w:top w:val="nil"/>
              <w:bottom w:val="nil"/>
            </w:tcBorders>
            <w:shd w:val="clear" w:color="auto" w:fill="auto"/>
          </w:tcPr>
          <w:p w:rsidR="008840C8" w:rsidRPr="0071782F" w:rsidRDefault="00943A69" w:rsidP="00B92D7E">
            <w:pPr>
              <w:suppressAutoHyphens w:val="0"/>
              <w:spacing w:before="30" w:after="30" w:line="220" w:lineRule="exact"/>
              <w:ind w:left="113" w:right="113"/>
              <w:rPr>
                <w:sz w:val="18"/>
                <w:lang w:val="fr-CH"/>
              </w:rPr>
            </w:pPr>
            <w:r w:rsidRPr="0071782F">
              <w:rPr>
                <w:sz w:val="18"/>
                <w:lang w:val="fr-CH"/>
              </w:rPr>
              <w:t>Article </w:t>
            </w:r>
          </w:p>
        </w:tc>
        <w:tc>
          <w:tcPr>
            <w:tcW w:w="72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906</w:t>
            </w:r>
          </w:p>
        </w:tc>
        <w:tc>
          <w:tcPr>
            <w:tcW w:w="800"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2 416</w:t>
            </w:r>
          </w:p>
        </w:tc>
        <w:tc>
          <w:tcPr>
            <w:tcW w:w="113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260%</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8840C8" w:rsidRPr="0071782F" w:rsidRDefault="003B48A4" w:rsidP="00B92D7E">
            <w:pPr>
              <w:suppressAutoHyphens w:val="0"/>
              <w:spacing w:before="30" w:after="30" w:line="220" w:lineRule="exact"/>
              <w:rPr>
                <w:sz w:val="18"/>
                <w:lang w:val="fr-CH"/>
              </w:rPr>
            </w:pPr>
            <w:r w:rsidRPr="0071782F">
              <w:rPr>
                <w:sz w:val="18"/>
                <w:lang w:val="fr-CH"/>
              </w:rPr>
              <w:t>Nombre</w:t>
            </w:r>
            <w:r w:rsidR="008840C8" w:rsidRPr="0071782F">
              <w:rPr>
                <w:sz w:val="18"/>
                <w:lang w:val="fr-CH"/>
              </w:rPr>
              <w:t xml:space="preserve"> </w:t>
            </w:r>
            <w:r w:rsidR="00F7432F" w:rsidRPr="0071782F">
              <w:rPr>
                <w:sz w:val="18"/>
                <w:lang w:val="fr-CH"/>
              </w:rPr>
              <w:t>de</w:t>
            </w:r>
            <w:r w:rsidR="008840C8" w:rsidRPr="0071782F">
              <w:rPr>
                <w:sz w:val="18"/>
                <w:lang w:val="fr-CH"/>
              </w:rPr>
              <w:t xml:space="preserve"> pharmacies</w:t>
            </w:r>
          </w:p>
        </w:tc>
        <w:tc>
          <w:tcPr>
            <w:tcW w:w="1571" w:type="dxa"/>
            <w:tcBorders>
              <w:top w:val="nil"/>
              <w:bottom w:val="nil"/>
            </w:tcBorders>
            <w:shd w:val="clear" w:color="auto" w:fill="auto"/>
          </w:tcPr>
          <w:p w:rsidR="008840C8"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7 330</w:t>
            </w:r>
          </w:p>
        </w:tc>
        <w:tc>
          <w:tcPr>
            <w:tcW w:w="800"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8 884</w:t>
            </w:r>
          </w:p>
        </w:tc>
        <w:tc>
          <w:tcPr>
            <w:tcW w:w="113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1 554</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8840C8" w:rsidRPr="0071782F" w:rsidRDefault="00F7432F" w:rsidP="00B92D7E">
            <w:pPr>
              <w:suppressAutoHyphens w:val="0"/>
              <w:spacing w:before="30" w:after="30" w:line="220" w:lineRule="exact"/>
              <w:rPr>
                <w:sz w:val="18"/>
                <w:lang w:val="fr-CH"/>
              </w:rPr>
            </w:pPr>
            <w:r w:rsidRPr="0071782F">
              <w:rPr>
                <w:sz w:val="18"/>
                <w:lang w:val="fr-CH"/>
              </w:rPr>
              <w:t>Fabrication de médicaments naturels</w:t>
            </w:r>
            <w:r w:rsidR="008840C8" w:rsidRPr="0071782F">
              <w:rPr>
                <w:sz w:val="18"/>
                <w:lang w:val="fr-CH"/>
              </w:rPr>
              <w:t xml:space="preserve"> </w:t>
            </w:r>
          </w:p>
        </w:tc>
        <w:tc>
          <w:tcPr>
            <w:tcW w:w="1571" w:type="dxa"/>
            <w:tcBorders>
              <w:top w:val="nil"/>
              <w:bottom w:val="nil"/>
            </w:tcBorders>
            <w:shd w:val="clear" w:color="auto" w:fill="auto"/>
          </w:tcPr>
          <w:p w:rsidR="008840C8" w:rsidRPr="0071782F" w:rsidRDefault="00F7432F" w:rsidP="00B92D7E">
            <w:pPr>
              <w:suppressAutoHyphens w:val="0"/>
              <w:spacing w:before="30" w:after="30" w:line="220" w:lineRule="exact"/>
              <w:ind w:left="113" w:right="113"/>
              <w:rPr>
                <w:sz w:val="18"/>
                <w:lang w:val="fr-CH"/>
              </w:rPr>
            </w:pPr>
            <w:r w:rsidRPr="0071782F">
              <w:rPr>
                <w:sz w:val="18"/>
                <w:lang w:val="fr-CH"/>
              </w:rPr>
              <w:t>Article</w:t>
            </w:r>
          </w:p>
        </w:tc>
        <w:tc>
          <w:tcPr>
            <w:tcW w:w="72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134</w:t>
            </w:r>
          </w:p>
        </w:tc>
        <w:tc>
          <w:tcPr>
            <w:tcW w:w="800"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386</w:t>
            </w:r>
          </w:p>
        </w:tc>
        <w:tc>
          <w:tcPr>
            <w:tcW w:w="113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280%</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8840C8" w:rsidRPr="0071782F" w:rsidRDefault="00F7432F" w:rsidP="00B92D7E">
            <w:pPr>
              <w:suppressAutoHyphens w:val="0"/>
              <w:spacing w:before="30" w:after="30" w:line="220" w:lineRule="exact"/>
              <w:rPr>
                <w:sz w:val="18"/>
                <w:lang w:val="fr-CH"/>
              </w:rPr>
            </w:pPr>
            <w:r w:rsidRPr="0071782F">
              <w:rPr>
                <w:sz w:val="18"/>
                <w:lang w:val="fr-CH"/>
              </w:rPr>
              <w:t xml:space="preserve">Fabrication de médicaments </w:t>
            </w:r>
            <w:r w:rsidR="008840C8" w:rsidRPr="0071782F">
              <w:rPr>
                <w:sz w:val="18"/>
                <w:lang w:val="fr-CH"/>
              </w:rPr>
              <w:t>biotechnologi</w:t>
            </w:r>
            <w:r w:rsidRPr="0071782F">
              <w:rPr>
                <w:sz w:val="18"/>
                <w:lang w:val="fr-CH"/>
              </w:rPr>
              <w:t>ques</w:t>
            </w:r>
          </w:p>
        </w:tc>
        <w:tc>
          <w:tcPr>
            <w:tcW w:w="1571" w:type="dxa"/>
            <w:tcBorders>
              <w:top w:val="nil"/>
              <w:bottom w:val="nil"/>
            </w:tcBorders>
            <w:shd w:val="clear" w:color="auto" w:fill="auto"/>
          </w:tcPr>
          <w:p w:rsidR="008840C8" w:rsidRPr="0071782F" w:rsidRDefault="00F7432F" w:rsidP="00B92D7E">
            <w:pPr>
              <w:suppressAutoHyphens w:val="0"/>
              <w:spacing w:before="30" w:after="30" w:line="220" w:lineRule="exact"/>
              <w:ind w:left="113" w:right="113"/>
              <w:rPr>
                <w:sz w:val="18"/>
                <w:lang w:val="fr-CH"/>
              </w:rPr>
            </w:pPr>
            <w:r w:rsidRPr="0071782F">
              <w:rPr>
                <w:sz w:val="18"/>
                <w:lang w:val="fr-CH"/>
              </w:rPr>
              <w:t>Article</w:t>
            </w:r>
          </w:p>
        </w:tc>
        <w:tc>
          <w:tcPr>
            <w:tcW w:w="72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2</w:t>
            </w:r>
          </w:p>
        </w:tc>
        <w:tc>
          <w:tcPr>
            <w:tcW w:w="800"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9</w:t>
            </w:r>
          </w:p>
        </w:tc>
        <w:tc>
          <w:tcPr>
            <w:tcW w:w="113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450%</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8840C8" w:rsidRPr="0071782F" w:rsidRDefault="00F7432F" w:rsidP="00B92D7E">
            <w:pPr>
              <w:suppressAutoHyphens w:val="0"/>
              <w:spacing w:before="30" w:after="30" w:line="220" w:lineRule="exact"/>
              <w:rPr>
                <w:sz w:val="18"/>
                <w:lang w:val="fr-CH"/>
              </w:rPr>
            </w:pPr>
            <w:r w:rsidRPr="0071782F">
              <w:rPr>
                <w:sz w:val="18"/>
                <w:lang w:val="fr-CH"/>
              </w:rPr>
              <w:t xml:space="preserve">Fabrication de matières premières pour médicaments </w:t>
            </w:r>
          </w:p>
        </w:tc>
        <w:tc>
          <w:tcPr>
            <w:tcW w:w="1571" w:type="dxa"/>
            <w:tcBorders>
              <w:top w:val="nil"/>
              <w:bottom w:val="nil"/>
            </w:tcBorders>
            <w:shd w:val="clear" w:color="auto" w:fill="auto"/>
          </w:tcPr>
          <w:p w:rsidR="008840C8" w:rsidRPr="0071782F" w:rsidRDefault="00F7432F" w:rsidP="00B92D7E">
            <w:pPr>
              <w:suppressAutoHyphens w:val="0"/>
              <w:spacing w:before="30" w:after="30" w:line="220" w:lineRule="exact"/>
              <w:ind w:left="113" w:right="113"/>
              <w:rPr>
                <w:sz w:val="18"/>
                <w:lang w:val="fr-CH"/>
              </w:rPr>
            </w:pPr>
            <w:r w:rsidRPr="0071782F">
              <w:rPr>
                <w:sz w:val="18"/>
                <w:lang w:val="fr-CH"/>
              </w:rPr>
              <w:t>Article</w:t>
            </w:r>
          </w:p>
        </w:tc>
        <w:tc>
          <w:tcPr>
            <w:tcW w:w="72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88</w:t>
            </w:r>
          </w:p>
        </w:tc>
        <w:tc>
          <w:tcPr>
            <w:tcW w:w="800"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133</w:t>
            </w:r>
          </w:p>
        </w:tc>
        <w:tc>
          <w:tcPr>
            <w:tcW w:w="113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150%</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8840C8" w:rsidRPr="0071782F" w:rsidRDefault="00F7432F" w:rsidP="00B92D7E">
            <w:pPr>
              <w:suppressAutoHyphens w:val="0"/>
              <w:spacing w:before="30" w:after="30" w:line="220" w:lineRule="exact"/>
              <w:rPr>
                <w:sz w:val="18"/>
                <w:lang w:val="fr-CH"/>
              </w:rPr>
            </w:pPr>
            <w:r w:rsidRPr="0071782F">
              <w:rPr>
                <w:sz w:val="18"/>
                <w:lang w:val="fr-CH"/>
              </w:rPr>
              <w:t>Usines de fabrication de matières premières pour médicaments</w:t>
            </w:r>
          </w:p>
        </w:tc>
        <w:tc>
          <w:tcPr>
            <w:tcW w:w="1571" w:type="dxa"/>
            <w:tcBorders>
              <w:top w:val="nil"/>
              <w:bottom w:val="nil"/>
            </w:tcBorders>
            <w:shd w:val="clear" w:color="auto" w:fill="auto"/>
          </w:tcPr>
          <w:p w:rsidR="008840C8"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37</w:t>
            </w:r>
          </w:p>
        </w:tc>
        <w:tc>
          <w:tcPr>
            <w:tcW w:w="800"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44</w:t>
            </w:r>
          </w:p>
        </w:tc>
        <w:tc>
          <w:tcPr>
            <w:tcW w:w="113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7</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8840C8" w:rsidRPr="0071782F" w:rsidRDefault="00F7432F" w:rsidP="00B92D7E">
            <w:pPr>
              <w:suppressAutoHyphens w:val="0"/>
              <w:spacing w:before="30" w:after="30" w:line="220" w:lineRule="exact"/>
              <w:rPr>
                <w:sz w:val="18"/>
                <w:lang w:val="fr-CH"/>
              </w:rPr>
            </w:pPr>
            <w:r w:rsidRPr="0071782F">
              <w:rPr>
                <w:sz w:val="18"/>
                <w:lang w:val="fr-CH"/>
              </w:rPr>
              <w:t xml:space="preserve">Centres d’information sur les médicaments et les </w:t>
            </w:r>
            <w:r w:rsidR="008840C8" w:rsidRPr="0071782F">
              <w:rPr>
                <w:sz w:val="18"/>
                <w:lang w:val="fr-CH"/>
              </w:rPr>
              <w:t>toxin</w:t>
            </w:r>
            <w:r w:rsidRPr="0071782F">
              <w:rPr>
                <w:sz w:val="18"/>
                <w:lang w:val="fr-CH"/>
              </w:rPr>
              <w:t>e</w:t>
            </w:r>
            <w:r w:rsidR="008840C8" w:rsidRPr="0071782F">
              <w:rPr>
                <w:sz w:val="18"/>
                <w:lang w:val="fr-CH"/>
              </w:rPr>
              <w:t xml:space="preserve">s </w:t>
            </w:r>
          </w:p>
        </w:tc>
        <w:tc>
          <w:tcPr>
            <w:tcW w:w="1571" w:type="dxa"/>
            <w:tcBorders>
              <w:top w:val="nil"/>
              <w:bottom w:val="nil"/>
            </w:tcBorders>
            <w:shd w:val="clear" w:color="auto" w:fill="auto"/>
          </w:tcPr>
          <w:p w:rsidR="008840C8"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17</w:t>
            </w:r>
          </w:p>
        </w:tc>
        <w:tc>
          <w:tcPr>
            <w:tcW w:w="800"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35</w:t>
            </w:r>
          </w:p>
        </w:tc>
        <w:tc>
          <w:tcPr>
            <w:tcW w:w="113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200%</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8840C8" w:rsidRPr="0071782F" w:rsidRDefault="00F7432F" w:rsidP="00B92D7E">
            <w:pPr>
              <w:suppressAutoHyphens w:val="0"/>
              <w:spacing w:before="30" w:after="30" w:line="220" w:lineRule="exact"/>
              <w:rPr>
                <w:sz w:val="18"/>
                <w:lang w:val="fr-CH"/>
              </w:rPr>
            </w:pPr>
            <w:r w:rsidRPr="0071782F">
              <w:rPr>
                <w:sz w:val="18"/>
                <w:lang w:val="fr-CH"/>
              </w:rPr>
              <w:t xml:space="preserve">Vente de médicaments d’origine nationale </w:t>
            </w:r>
          </w:p>
        </w:tc>
        <w:tc>
          <w:tcPr>
            <w:tcW w:w="1571" w:type="dxa"/>
            <w:tcBorders>
              <w:top w:val="nil"/>
              <w:bottom w:val="nil"/>
            </w:tcBorders>
            <w:shd w:val="clear" w:color="auto" w:fill="auto"/>
          </w:tcPr>
          <w:p w:rsidR="008840C8" w:rsidRPr="0071782F" w:rsidRDefault="00F7432F" w:rsidP="00B92D7E">
            <w:pPr>
              <w:suppressAutoHyphens w:val="0"/>
              <w:spacing w:before="30" w:after="30" w:line="220" w:lineRule="exact"/>
              <w:ind w:left="113" w:right="113"/>
              <w:rPr>
                <w:sz w:val="18"/>
                <w:lang w:val="fr-CH"/>
              </w:rPr>
            </w:pPr>
            <w:r w:rsidRPr="0071782F">
              <w:rPr>
                <w:sz w:val="18"/>
                <w:lang w:val="fr-CH"/>
              </w:rPr>
              <w:t xml:space="preserve">Milliards </w:t>
            </w:r>
            <w:r w:rsidR="003B1403" w:rsidRPr="0071782F">
              <w:rPr>
                <w:sz w:val="18"/>
                <w:lang w:val="fr-CH"/>
              </w:rPr>
              <w:t>de rials</w:t>
            </w:r>
          </w:p>
        </w:tc>
        <w:tc>
          <w:tcPr>
            <w:tcW w:w="72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8 337</w:t>
            </w:r>
          </w:p>
        </w:tc>
        <w:tc>
          <w:tcPr>
            <w:tcW w:w="800"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14 744</w:t>
            </w:r>
          </w:p>
        </w:tc>
        <w:tc>
          <w:tcPr>
            <w:tcW w:w="1139" w:type="dxa"/>
            <w:tcBorders>
              <w:top w:val="nil"/>
              <w:bottom w:val="nil"/>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4%</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nil"/>
              <w:bottom w:val="single" w:sz="4" w:space="0" w:color="auto"/>
            </w:tcBorders>
            <w:shd w:val="clear" w:color="auto" w:fill="auto"/>
          </w:tcPr>
          <w:p w:rsidR="008840C8" w:rsidRPr="0071782F" w:rsidRDefault="008840C8" w:rsidP="00B92D7E">
            <w:pPr>
              <w:suppressAutoHyphens w:val="0"/>
              <w:spacing w:before="30" w:after="30" w:line="220" w:lineRule="exact"/>
              <w:rPr>
                <w:sz w:val="18"/>
                <w:lang w:val="fr-CH"/>
              </w:rPr>
            </w:pPr>
            <w:r w:rsidRPr="0071782F">
              <w:rPr>
                <w:sz w:val="18"/>
                <w:lang w:val="fr-CH"/>
              </w:rPr>
              <w:t>Export</w:t>
            </w:r>
            <w:r w:rsidR="00F7432F" w:rsidRPr="0071782F">
              <w:rPr>
                <w:sz w:val="18"/>
                <w:lang w:val="fr-CH"/>
              </w:rPr>
              <w:t>ation de médicaments</w:t>
            </w:r>
            <w:r w:rsidR="00D36718">
              <w:rPr>
                <w:sz w:val="18"/>
                <w:lang w:val="fr-CH"/>
              </w:rPr>
              <w:t xml:space="preserve"> </w:t>
            </w:r>
          </w:p>
        </w:tc>
        <w:tc>
          <w:tcPr>
            <w:tcW w:w="1571" w:type="dxa"/>
            <w:tcBorders>
              <w:top w:val="nil"/>
              <w:bottom w:val="single" w:sz="4" w:space="0" w:color="auto"/>
            </w:tcBorders>
            <w:shd w:val="clear" w:color="auto" w:fill="auto"/>
          </w:tcPr>
          <w:p w:rsidR="008840C8" w:rsidRPr="0071782F" w:rsidRDefault="008840C8" w:rsidP="00B92D7E">
            <w:pPr>
              <w:suppressAutoHyphens w:val="0"/>
              <w:spacing w:before="30" w:after="30" w:line="220" w:lineRule="exact"/>
              <w:ind w:left="113" w:right="113"/>
              <w:rPr>
                <w:sz w:val="18"/>
                <w:lang w:val="fr-CH"/>
              </w:rPr>
            </w:pPr>
            <w:r w:rsidRPr="0071782F">
              <w:rPr>
                <w:sz w:val="18"/>
                <w:lang w:val="fr-CH"/>
              </w:rPr>
              <w:t>Million</w:t>
            </w:r>
            <w:r w:rsidR="00F7432F" w:rsidRPr="0071782F">
              <w:rPr>
                <w:sz w:val="18"/>
                <w:lang w:val="fr-CH"/>
              </w:rPr>
              <w:t>s de</w:t>
            </w:r>
            <w:r w:rsidRPr="0071782F">
              <w:rPr>
                <w:sz w:val="18"/>
                <w:lang w:val="fr-CH"/>
              </w:rPr>
              <w:t xml:space="preserve"> dollars</w:t>
            </w:r>
          </w:p>
        </w:tc>
        <w:tc>
          <w:tcPr>
            <w:tcW w:w="729" w:type="dxa"/>
            <w:tcBorders>
              <w:top w:val="nil"/>
              <w:bottom w:val="single" w:sz="4" w:space="0" w:color="auto"/>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47</w:t>
            </w:r>
            <w:r w:rsidR="00FF1C6B" w:rsidRPr="0071782F">
              <w:rPr>
                <w:sz w:val="18"/>
                <w:lang w:val="fr-CH"/>
              </w:rPr>
              <w:t>,</w:t>
            </w:r>
            <w:r w:rsidRPr="0071782F">
              <w:rPr>
                <w:sz w:val="18"/>
                <w:lang w:val="fr-CH"/>
              </w:rPr>
              <w:t>6</w:t>
            </w:r>
          </w:p>
        </w:tc>
        <w:tc>
          <w:tcPr>
            <w:tcW w:w="800" w:type="dxa"/>
            <w:tcBorders>
              <w:top w:val="nil"/>
              <w:bottom w:val="single" w:sz="4" w:space="0" w:color="auto"/>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61</w:t>
            </w:r>
            <w:r w:rsidR="00FF1C6B" w:rsidRPr="0071782F">
              <w:rPr>
                <w:sz w:val="18"/>
                <w:lang w:val="fr-CH"/>
              </w:rPr>
              <w:t>,</w:t>
            </w:r>
            <w:r w:rsidRPr="0071782F">
              <w:rPr>
                <w:sz w:val="18"/>
                <w:lang w:val="fr-CH"/>
              </w:rPr>
              <w:t>3</w:t>
            </w:r>
          </w:p>
        </w:tc>
        <w:tc>
          <w:tcPr>
            <w:tcW w:w="1139" w:type="dxa"/>
            <w:tcBorders>
              <w:top w:val="nil"/>
              <w:bottom w:val="single" w:sz="4" w:space="0" w:color="auto"/>
            </w:tcBorders>
            <w:shd w:val="clear" w:color="auto" w:fill="auto"/>
          </w:tcPr>
          <w:p w:rsidR="008840C8" w:rsidRPr="0071782F" w:rsidRDefault="008840C8" w:rsidP="00B92D7E">
            <w:pPr>
              <w:suppressAutoHyphens w:val="0"/>
              <w:spacing w:before="30" w:after="30" w:line="220" w:lineRule="exact"/>
              <w:jc w:val="right"/>
              <w:rPr>
                <w:sz w:val="18"/>
                <w:lang w:val="fr-CH"/>
              </w:rPr>
            </w:pPr>
            <w:r w:rsidRPr="0071782F">
              <w:rPr>
                <w:sz w:val="18"/>
                <w:lang w:val="fr-CH"/>
              </w:rPr>
              <w:t>29%</w:t>
            </w:r>
          </w:p>
        </w:tc>
      </w:tr>
      <w:tr w:rsidR="008840C8" w:rsidRPr="0071782F">
        <w:tc>
          <w:tcPr>
            <w:tcW w:w="993" w:type="dxa"/>
            <w:tcBorders>
              <w:top w:val="nil"/>
              <w:bottom w:val="nil"/>
            </w:tcBorders>
            <w:shd w:val="clear" w:color="auto" w:fill="auto"/>
          </w:tcPr>
          <w:p w:rsidR="008840C8" w:rsidRPr="0071782F" w:rsidRDefault="00F7432F" w:rsidP="006931C9">
            <w:pPr>
              <w:suppressAutoHyphens w:val="0"/>
              <w:spacing w:before="80" w:after="80" w:line="220" w:lineRule="exact"/>
              <w:rPr>
                <w:sz w:val="18"/>
                <w:lang w:val="fr-CH"/>
              </w:rPr>
            </w:pPr>
            <w:r w:rsidRPr="0071782F">
              <w:rPr>
                <w:sz w:val="18"/>
                <w:lang w:val="fr-CH"/>
              </w:rPr>
              <w:t>Formatio</w:t>
            </w:r>
            <w:r w:rsidR="008840C8" w:rsidRPr="0071782F">
              <w:rPr>
                <w:sz w:val="18"/>
                <w:lang w:val="fr-CH"/>
              </w:rPr>
              <w:t>n</w:t>
            </w:r>
          </w:p>
        </w:tc>
        <w:tc>
          <w:tcPr>
            <w:tcW w:w="3273" w:type="dxa"/>
            <w:tcBorders>
              <w:top w:val="single" w:sz="4" w:space="0" w:color="auto"/>
              <w:bottom w:val="single" w:sz="4" w:space="0" w:color="auto"/>
            </w:tcBorders>
            <w:shd w:val="clear" w:color="auto" w:fill="auto"/>
          </w:tcPr>
          <w:p w:rsidR="008840C8" w:rsidRPr="0071782F" w:rsidRDefault="00F7432F" w:rsidP="006931C9">
            <w:pPr>
              <w:suppressAutoHyphens w:val="0"/>
              <w:spacing w:before="80" w:after="80" w:line="220" w:lineRule="exact"/>
              <w:ind w:left="284"/>
              <w:rPr>
                <w:sz w:val="18"/>
                <w:lang w:val="fr-CH"/>
              </w:rPr>
            </w:pPr>
            <w:r w:rsidRPr="0071782F">
              <w:rPr>
                <w:b/>
                <w:sz w:val="18"/>
                <w:lang w:val="fr-CH"/>
              </w:rPr>
              <w:t>N</w:t>
            </w:r>
            <w:r w:rsidR="003B48A4" w:rsidRPr="0071782F">
              <w:rPr>
                <w:b/>
                <w:sz w:val="18"/>
                <w:lang w:val="fr-CH"/>
              </w:rPr>
              <w:t>ombre</w:t>
            </w:r>
            <w:r w:rsidR="008840C8" w:rsidRPr="0071782F">
              <w:rPr>
                <w:b/>
                <w:sz w:val="18"/>
                <w:lang w:val="fr-CH"/>
              </w:rPr>
              <w:t xml:space="preserve"> </w:t>
            </w:r>
            <w:r w:rsidRPr="0071782F">
              <w:rPr>
                <w:b/>
                <w:sz w:val="18"/>
                <w:lang w:val="fr-CH"/>
              </w:rPr>
              <w:t xml:space="preserve">total d’étudiants, </w:t>
            </w:r>
            <w:r w:rsidR="00E024A3">
              <w:rPr>
                <w:b/>
                <w:sz w:val="18"/>
                <w:lang w:val="fr-CH"/>
              </w:rPr>
              <w:br/>
            </w:r>
            <w:r w:rsidRPr="0071782F">
              <w:rPr>
                <w:b/>
                <w:sz w:val="18"/>
                <w:lang w:val="fr-CH"/>
              </w:rPr>
              <w:t xml:space="preserve">selon le niveau de formation </w:t>
            </w:r>
          </w:p>
        </w:tc>
        <w:tc>
          <w:tcPr>
            <w:tcW w:w="1571" w:type="dxa"/>
            <w:tcBorders>
              <w:top w:val="single" w:sz="4" w:space="0" w:color="auto"/>
              <w:bottom w:val="single" w:sz="4" w:space="0" w:color="auto"/>
            </w:tcBorders>
            <w:shd w:val="clear" w:color="auto" w:fill="auto"/>
          </w:tcPr>
          <w:p w:rsidR="008840C8" w:rsidRPr="0071782F" w:rsidRDefault="0057603B" w:rsidP="006931C9">
            <w:pPr>
              <w:suppressAutoHyphens w:val="0"/>
              <w:spacing w:before="80" w:after="80" w:line="220" w:lineRule="exact"/>
              <w:ind w:left="113" w:right="113"/>
              <w:rPr>
                <w:sz w:val="18"/>
                <w:lang w:val="fr-CH"/>
              </w:rPr>
            </w:pPr>
            <w:r w:rsidRPr="0071782F">
              <w:rPr>
                <w:b/>
                <w:sz w:val="18"/>
                <w:lang w:val="fr-CH"/>
              </w:rPr>
              <w:t xml:space="preserve">1 </w:t>
            </w:r>
            <w:r w:rsidR="008840C8" w:rsidRPr="0071782F">
              <w:rPr>
                <w:b/>
                <w:sz w:val="18"/>
                <w:lang w:val="fr-CH"/>
              </w:rPr>
              <w:t>000</w:t>
            </w:r>
            <w:r w:rsidR="00097CDB" w:rsidRPr="0071782F">
              <w:rPr>
                <w:b/>
                <w:sz w:val="18"/>
                <w:lang w:val="fr-CH"/>
              </w:rPr>
              <w:t> personnes</w:t>
            </w:r>
            <w:r w:rsidRPr="0071782F">
              <w:rPr>
                <w:b/>
                <w:sz w:val="18"/>
                <w:lang w:val="fr-CH"/>
              </w:rPr>
              <w:t xml:space="preserve"> </w:t>
            </w:r>
          </w:p>
        </w:tc>
        <w:tc>
          <w:tcPr>
            <w:tcW w:w="729" w:type="dxa"/>
            <w:tcBorders>
              <w:top w:val="single" w:sz="4" w:space="0" w:color="auto"/>
              <w:bottom w:val="single" w:sz="4" w:space="0" w:color="auto"/>
            </w:tcBorders>
            <w:shd w:val="clear" w:color="auto" w:fill="auto"/>
          </w:tcPr>
          <w:p w:rsidR="008840C8" w:rsidRPr="0071782F" w:rsidRDefault="008840C8" w:rsidP="006931C9">
            <w:pPr>
              <w:suppressAutoHyphens w:val="0"/>
              <w:spacing w:before="80" w:after="80" w:line="220" w:lineRule="exact"/>
              <w:jc w:val="right"/>
              <w:rPr>
                <w:sz w:val="18"/>
                <w:lang w:val="fr-CH"/>
              </w:rPr>
            </w:pPr>
            <w:r w:rsidRPr="0071782F">
              <w:rPr>
                <w:b/>
                <w:sz w:val="18"/>
                <w:lang w:val="fr-CH"/>
              </w:rPr>
              <w:t>21</w:t>
            </w:r>
          </w:p>
        </w:tc>
        <w:tc>
          <w:tcPr>
            <w:tcW w:w="800" w:type="dxa"/>
            <w:tcBorders>
              <w:top w:val="single" w:sz="4" w:space="0" w:color="auto"/>
              <w:bottom w:val="single" w:sz="4" w:space="0" w:color="auto"/>
            </w:tcBorders>
            <w:shd w:val="clear" w:color="auto" w:fill="auto"/>
          </w:tcPr>
          <w:p w:rsidR="008840C8" w:rsidRPr="0071782F" w:rsidRDefault="008840C8" w:rsidP="006931C9">
            <w:pPr>
              <w:suppressAutoHyphens w:val="0"/>
              <w:spacing w:before="80" w:after="80" w:line="220" w:lineRule="exact"/>
              <w:jc w:val="right"/>
              <w:rPr>
                <w:sz w:val="18"/>
                <w:lang w:val="fr-CH"/>
              </w:rPr>
            </w:pPr>
            <w:r w:rsidRPr="0071782F">
              <w:rPr>
                <w:b/>
                <w:sz w:val="18"/>
                <w:lang w:val="fr-CH"/>
              </w:rPr>
              <w:t>26</w:t>
            </w:r>
            <w:r w:rsidR="00FF1C6B" w:rsidRPr="0071782F">
              <w:rPr>
                <w:b/>
                <w:sz w:val="18"/>
                <w:lang w:val="fr-CH"/>
              </w:rPr>
              <w:t>,</w:t>
            </w:r>
            <w:r w:rsidRPr="0071782F">
              <w:rPr>
                <w:b/>
                <w:sz w:val="18"/>
                <w:lang w:val="fr-CH"/>
              </w:rPr>
              <w:t>2</w:t>
            </w:r>
          </w:p>
        </w:tc>
        <w:tc>
          <w:tcPr>
            <w:tcW w:w="1139" w:type="dxa"/>
            <w:tcBorders>
              <w:top w:val="single" w:sz="4" w:space="0" w:color="auto"/>
              <w:bottom w:val="single" w:sz="4" w:space="0" w:color="auto"/>
            </w:tcBorders>
            <w:shd w:val="clear" w:color="auto" w:fill="auto"/>
          </w:tcPr>
          <w:p w:rsidR="008840C8" w:rsidRPr="0071782F" w:rsidRDefault="0006576E" w:rsidP="006931C9">
            <w:pPr>
              <w:suppressAutoHyphens w:val="0"/>
              <w:spacing w:before="80" w:after="80" w:line="220" w:lineRule="exact"/>
              <w:jc w:val="right"/>
              <w:rPr>
                <w:sz w:val="18"/>
                <w:lang w:val="fr-CH"/>
              </w:rPr>
            </w:pPr>
            <w:r w:rsidRPr="0071782F">
              <w:rPr>
                <w:b/>
                <w:sz w:val="18"/>
                <w:lang w:val="fr-CH"/>
              </w:rPr>
              <w:t>24%</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single" w:sz="4" w:space="0" w:color="auto"/>
              <w:bottom w:val="nil"/>
            </w:tcBorders>
            <w:shd w:val="clear" w:color="auto" w:fill="auto"/>
          </w:tcPr>
          <w:p w:rsidR="008840C8" w:rsidRPr="0071782F" w:rsidRDefault="0006576E" w:rsidP="00B92D7E">
            <w:pPr>
              <w:suppressAutoHyphens w:val="0"/>
              <w:spacing w:before="30" w:after="30" w:line="220" w:lineRule="exact"/>
              <w:rPr>
                <w:sz w:val="18"/>
                <w:lang w:val="fr-CH"/>
              </w:rPr>
            </w:pPr>
            <w:r w:rsidRPr="0071782F">
              <w:rPr>
                <w:sz w:val="18"/>
                <w:lang w:val="fr-CH"/>
              </w:rPr>
              <w:t>Capacit</w:t>
            </w:r>
            <w:r w:rsidR="00F7432F" w:rsidRPr="0071782F">
              <w:rPr>
                <w:sz w:val="18"/>
                <w:lang w:val="fr-CH"/>
              </w:rPr>
              <w:t xml:space="preserve">é d’accueil d’étudiants des filières professionnelles </w:t>
            </w:r>
          </w:p>
        </w:tc>
        <w:tc>
          <w:tcPr>
            <w:tcW w:w="1571" w:type="dxa"/>
            <w:tcBorders>
              <w:top w:val="single" w:sz="4" w:space="0" w:color="auto"/>
              <w:bottom w:val="nil"/>
            </w:tcBorders>
            <w:shd w:val="clear" w:color="auto" w:fill="auto"/>
          </w:tcPr>
          <w:p w:rsidR="008840C8" w:rsidRPr="0071782F" w:rsidRDefault="0006576E" w:rsidP="00B92D7E">
            <w:pPr>
              <w:suppressAutoHyphens w:val="0"/>
              <w:spacing w:before="30" w:after="30" w:line="220" w:lineRule="exact"/>
              <w:ind w:left="113" w:right="113"/>
              <w:rPr>
                <w:sz w:val="18"/>
                <w:lang w:val="fr-CH"/>
              </w:rPr>
            </w:pPr>
            <w:r w:rsidRPr="0071782F">
              <w:rPr>
                <w:sz w:val="18"/>
                <w:lang w:val="fr-CH"/>
              </w:rPr>
              <w:t>Person</w:t>
            </w:r>
            <w:r w:rsidR="00F7432F" w:rsidRPr="0071782F">
              <w:rPr>
                <w:sz w:val="18"/>
                <w:lang w:val="fr-CH"/>
              </w:rPr>
              <w:t>ne</w:t>
            </w:r>
          </w:p>
        </w:tc>
        <w:tc>
          <w:tcPr>
            <w:tcW w:w="729" w:type="dxa"/>
            <w:tcBorders>
              <w:top w:val="single" w:sz="4" w:space="0" w:color="auto"/>
              <w:bottom w:val="nil"/>
            </w:tcBorders>
            <w:shd w:val="clear" w:color="auto" w:fill="auto"/>
          </w:tcPr>
          <w:p w:rsidR="008840C8" w:rsidRPr="0071782F" w:rsidRDefault="0006576E" w:rsidP="00B92D7E">
            <w:pPr>
              <w:suppressAutoHyphens w:val="0"/>
              <w:spacing w:before="30" w:after="30" w:line="220" w:lineRule="exact"/>
              <w:jc w:val="right"/>
              <w:rPr>
                <w:sz w:val="18"/>
                <w:lang w:val="fr-CH"/>
              </w:rPr>
            </w:pPr>
            <w:r w:rsidRPr="0071782F">
              <w:rPr>
                <w:sz w:val="18"/>
                <w:lang w:val="fr-CH"/>
              </w:rPr>
              <w:t>2 725</w:t>
            </w:r>
          </w:p>
        </w:tc>
        <w:tc>
          <w:tcPr>
            <w:tcW w:w="800" w:type="dxa"/>
            <w:tcBorders>
              <w:top w:val="single" w:sz="4" w:space="0" w:color="auto"/>
              <w:bottom w:val="nil"/>
            </w:tcBorders>
            <w:shd w:val="clear" w:color="auto" w:fill="auto"/>
          </w:tcPr>
          <w:p w:rsidR="008840C8" w:rsidRPr="0071782F" w:rsidRDefault="0006576E" w:rsidP="00B92D7E">
            <w:pPr>
              <w:suppressAutoHyphens w:val="0"/>
              <w:spacing w:before="30" w:after="30" w:line="220" w:lineRule="exact"/>
              <w:jc w:val="right"/>
              <w:rPr>
                <w:sz w:val="18"/>
                <w:lang w:val="fr-CH"/>
              </w:rPr>
            </w:pPr>
            <w:r w:rsidRPr="0071782F">
              <w:rPr>
                <w:sz w:val="18"/>
                <w:lang w:val="fr-CH"/>
              </w:rPr>
              <w:t>4 661</w:t>
            </w:r>
          </w:p>
        </w:tc>
        <w:tc>
          <w:tcPr>
            <w:tcW w:w="1139" w:type="dxa"/>
            <w:tcBorders>
              <w:top w:val="single" w:sz="4" w:space="0" w:color="auto"/>
              <w:bottom w:val="nil"/>
            </w:tcBorders>
            <w:shd w:val="clear" w:color="auto" w:fill="auto"/>
          </w:tcPr>
          <w:p w:rsidR="008840C8" w:rsidRPr="0071782F" w:rsidRDefault="0006576E" w:rsidP="00B92D7E">
            <w:pPr>
              <w:suppressAutoHyphens w:val="0"/>
              <w:spacing w:before="30" w:after="30" w:line="220" w:lineRule="exact"/>
              <w:jc w:val="right"/>
              <w:rPr>
                <w:sz w:val="18"/>
                <w:lang w:val="fr-CH"/>
              </w:rPr>
            </w:pPr>
            <w:r w:rsidRPr="0071782F">
              <w:rPr>
                <w:sz w:val="18"/>
                <w:lang w:val="fr-CH"/>
              </w:rPr>
              <w:t>71%</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8840C8" w:rsidRPr="0071782F" w:rsidRDefault="00F7432F" w:rsidP="00B92D7E">
            <w:pPr>
              <w:suppressAutoHyphens w:val="0"/>
              <w:spacing w:before="30" w:after="30" w:line="220" w:lineRule="exact"/>
              <w:rPr>
                <w:sz w:val="18"/>
                <w:lang w:val="fr-CH"/>
              </w:rPr>
            </w:pPr>
            <w:r w:rsidRPr="0071782F">
              <w:rPr>
                <w:sz w:val="18"/>
                <w:lang w:val="fr-CH"/>
              </w:rPr>
              <w:t>Accueil de doctorants (spécialisés)</w:t>
            </w:r>
          </w:p>
        </w:tc>
        <w:tc>
          <w:tcPr>
            <w:tcW w:w="1571" w:type="dxa"/>
            <w:tcBorders>
              <w:top w:val="nil"/>
              <w:bottom w:val="nil"/>
            </w:tcBorders>
            <w:shd w:val="clear" w:color="auto" w:fill="auto"/>
          </w:tcPr>
          <w:p w:rsidR="008840C8" w:rsidRPr="0071782F" w:rsidRDefault="00F7432F" w:rsidP="00B92D7E">
            <w:pPr>
              <w:suppressAutoHyphens w:val="0"/>
              <w:spacing w:before="30" w:after="30" w:line="220" w:lineRule="exact"/>
              <w:ind w:left="113" w:right="113"/>
              <w:rPr>
                <w:sz w:val="18"/>
                <w:lang w:val="fr-CH"/>
              </w:rPr>
            </w:pPr>
            <w:r w:rsidRPr="0071782F">
              <w:rPr>
                <w:sz w:val="18"/>
                <w:lang w:val="fr-CH"/>
              </w:rPr>
              <w:t>Personne</w:t>
            </w:r>
          </w:p>
        </w:tc>
        <w:tc>
          <w:tcPr>
            <w:tcW w:w="729" w:type="dxa"/>
            <w:tcBorders>
              <w:top w:val="nil"/>
              <w:bottom w:val="nil"/>
            </w:tcBorders>
            <w:shd w:val="clear" w:color="auto" w:fill="auto"/>
          </w:tcPr>
          <w:p w:rsidR="008840C8" w:rsidRPr="0071782F" w:rsidRDefault="0006576E" w:rsidP="00B92D7E">
            <w:pPr>
              <w:suppressAutoHyphens w:val="0"/>
              <w:spacing w:before="30" w:after="30" w:line="220" w:lineRule="exact"/>
              <w:jc w:val="right"/>
              <w:rPr>
                <w:sz w:val="18"/>
                <w:lang w:val="fr-CH"/>
              </w:rPr>
            </w:pPr>
            <w:r w:rsidRPr="0071782F">
              <w:rPr>
                <w:sz w:val="18"/>
                <w:lang w:val="fr-CH"/>
              </w:rPr>
              <w:t>192</w:t>
            </w:r>
          </w:p>
        </w:tc>
        <w:tc>
          <w:tcPr>
            <w:tcW w:w="800" w:type="dxa"/>
            <w:tcBorders>
              <w:top w:val="nil"/>
              <w:bottom w:val="nil"/>
            </w:tcBorders>
            <w:shd w:val="clear" w:color="auto" w:fill="auto"/>
          </w:tcPr>
          <w:p w:rsidR="008840C8" w:rsidRPr="0071782F" w:rsidRDefault="0006576E" w:rsidP="00B92D7E">
            <w:pPr>
              <w:suppressAutoHyphens w:val="0"/>
              <w:spacing w:before="30" w:after="30" w:line="220" w:lineRule="exact"/>
              <w:jc w:val="right"/>
              <w:rPr>
                <w:sz w:val="18"/>
                <w:lang w:val="fr-CH"/>
              </w:rPr>
            </w:pPr>
            <w:r w:rsidRPr="0071782F">
              <w:rPr>
                <w:sz w:val="18"/>
                <w:lang w:val="fr-CH"/>
              </w:rPr>
              <w:t>427</w:t>
            </w:r>
          </w:p>
        </w:tc>
        <w:tc>
          <w:tcPr>
            <w:tcW w:w="1139" w:type="dxa"/>
            <w:tcBorders>
              <w:top w:val="nil"/>
              <w:bottom w:val="nil"/>
            </w:tcBorders>
            <w:shd w:val="clear" w:color="auto" w:fill="auto"/>
          </w:tcPr>
          <w:p w:rsidR="008840C8" w:rsidRPr="0071782F" w:rsidRDefault="0006576E" w:rsidP="00B92D7E">
            <w:pPr>
              <w:suppressAutoHyphens w:val="0"/>
              <w:spacing w:before="30" w:after="30" w:line="220" w:lineRule="exact"/>
              <w:jc w:val="right"/>
              <w:rPr>
                <w:sz w:val="18"/>
                <w:lang w:val="fr-CH"/>
              </w:rPr>
            </w:pPr>
            <w:r w:rsidRPr="0071782F">
              <w:rPr>
                <w:sz w:val="18"/>
                <w:lang w:val="fr-CH"/>
              </w:rPr>
              <w:t>220%</w:t>
            </w:r>
          </w:p>
        </w:tc>
      </w:tr>
      <w:tr w:rsidR="008840C8" w:rsidRPr="0071782F">
        <w:tc>
          <w:tcPr>
            <w:tcW w:w="993" w:type="dxa"/>
            <w:tcBorders>
              <w:top w:val="nil"/>
              <w:bottom w:val="nil"/>
            </w:tcBorders>
            <w:shd w:val="clear" w:color="auto" w:fill="auto"/>
          </w:tcPr>
          <w:p w:rsidR="008840C8" w:rsidRPr="0071782F" w:rsidRDefault="008840C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8840C8" w:rsidRPr="0071782F" w:rsidRDefault="0006576E" w:rsidP="00B92D7E">
            <w:pPr>
              <w:suppressAutoHyphens w:val="0"/>
              <w:spacing w:before="30" w:after="30" w:line="220" w:lineRule="exact"/>
              <w:rPr>
                <w:sz w:val="18"/>
                <w:lang w:val="fr-CH"/>
              </w:rPr>
            </w:pPr>
            <w:r w:rsidRPr="0071782F">
              <w:rPr>
                <w:sz w:val="18"/>
                <w:lang w:val="fr-CH"/>
              </w:rPr>
              <w:t>A</w:t>
            </w:r>
            <w:r w:rsidR="00F7432F" w:rsidRPr="0071782F">
              <w:rPr>
                <w:sz w:val="18"/>
                <w:lang w:val="fr-CH"/>
              </w:rPr>
              <w:t>ccueil d’</w:t>
            </w:r>
            <w:r w:rsidRPr="0071782F">
              <w:rPr>
                <w:sz w:val="18"/>
                <w:lang w:val="fr-CH"/>
              </w:rPr>
              <w:t>assistants</w:t>
            </w:r>
            <w:r w:rsidR="00F7432F" w:rsidRPr="0071782F">
              <w:rPr>
                <w:sz w:val="18"/>
                <w:lang w:val="fr-CH"/>
              </w:rPr>
              <w:t xml:space="preserve"> spécialisés</w:t>
            </w:r>
          </w:p>
        </w:tc>
        <w:tc>
          <w:tcPr>
            <w:tcW w:w="1571" w:type="dxa"/>
            <w:tcBorders>
              <w:top w:val="nil"/>
              <w:bottom w:val="nil"/>
            </w:tcBorders>
            <w:shd w:val="clear" w:color="auto" w:fill="auto"/>
          </w:tcPr>
          <w:p w:rsidR="008840C8" w:rsidRPr="0071782F" w:rsidRDefault="00F7432F" w:rsidP="00B92D7E">
            <w:pPr>
              <w:suppressAutoHyphens w:val="0"/>
              <w:spacing w:before="30" w:after="30" w:line="220" w:lineRule="exact"/>
              <w:ind w:left="113" w:right="113"/>
              <w:rPr>
                <w:sz w:val="18"/>
                <w:lang w:val="fr-CH"/>
              </w:rPr>
            </w:pPr>
            <w:r w:rsidRPr="0071782F">
              <w:rPr>
                <w:sz w:val="18"/>
                <w:lang w:val="fr-CH"/>
              </w:rPr>
              <w:t>Personne</w:t>
            </w:r>
          </w:p>
        </w:tc>
        <w:tc>
          <w:tcPr>
            <w:tcW w:w="729" w:type="dxa"/>
            <w:tcBorders>
              <w:top w:val="nil"/>
              <w:bottom w:val="nil"/>
            </w:tcBorders>
            <w:shd w:val="clear" w:color="auto" w:fill="auto"/>
          </w:tcPr>
          <w:p w:rsidR="008840C8" w:rsidRPr="0071782F" w:rsidRDefault="0006576E" w:rsidP="00B92D7E">
            <w:pPr>
              <w:suppressAutoHyphens w:val="0"/>
              <w:spacing w:before="30" w:after="30" w:line="220" w:lineRule="exact"/>
              <w:jc w:val="right"/>
              <w:rPr>
                <w:sz w:val="18"/>
                <w:lang w:val="fr-CH"/>
              </w:rPr>
            </w:pPr>
            <w:r w:rsidRPr="0071782F">
              <w:rPr>
                <w:sz w:val="18"/>
                <w:lang w:val="fr-CH"/>
              </w:rPr>
              <w:t>1 453</w:t>
            </w:r>
          </w:p>
        </w:tc>
        <w:tc>
          <w:tcPr>
            <w:tcW w:w="800" w:type="dxa"/>
            <w:tcBorders>
              <w:top w:val="nil"/>
              <w:bottom w:val="nil"/>
            </w:tcBorders>
            <w:shd w:val="clear" w:color="auto" w:fill="auto"/>
          </w:tcPr>
          <w:p w:rsidR="008840C8" w:rsidRPr="0071782F" w:rsidRDefault="0006576E" w:rsidP="00B92D7E">
            <w:pPr>
              <w:suppressAutoHyphens w:val="0"/>
              <w:spacing w:before="30" w:after="30" w:line="220" w:lineRule="exact"/>
              <w:jc w:val="right"/>
              <w:rPr>
                <w:sz w:val="18"/>
                <w:lang w:val="fr-CH"/>
              </w:rPr>
            </w:pPr>
            <w:r w:rsidRPr="0071782F">
              <w:rPr>
                <w:sz w:val="18"/>
                <w:lang w:val="fr-CH"/>
              </w:rPr>
              <w:t>1 803</w:t>
            </w:r>
          </w:p>
        </w:tc>
        <w:tc>
          <w:tcPr>
            <w:tcW w:w="1139" w:type="dxa"/>
            <w:tcBorders>
              <w:top w:val="nil"/>
              <w:bottom w:val="nil"/>
            </w:tcBorders>
            <w:shd w:val="clear" w:color="auto" w:fill="auto"/>
          </w:tcPr>
          <w:p w:rsidR="008840C8" w:rsidRPr="0071782F" w:rsidRDefault="0006576E" w:rsidP="00B92D7E">
            <w:pPr>
              <w:suppressAutoHyphens w:val="0"/>
              <w:spacing w:before="30" w:after="30" w:line="220" w:lineRule="exact"/>
              <w:jc w:val="right"/>
              <w:rPr>
                <w:sz w:val="18"/>
                <w:lang w:val="fr-CH"/>
              </w:rPr>
            </w:pPr>
            <w:r w:rsidRPr="0071782F">
              <w:rPr>
                <w:sz w:val="18"/>
                <w:lang w:val="fr-CH"/>
              </w:rPr>
              <w:t>24%</w:t>
            </w:r>
          </w:p>
        </w:tc>
      </w:tr>
      <w:tr w:rsidR="0006576E" w:rsidRPr="0071782F">
        <w:tc>
          <w:tcPr>
            <w:tcW w:w="993" w:type="dxa"/>
            <w:tcBorders>
              <w:top w:val="nil"/>
              <w:bottom w:val="nil"/>
            </w:tcBorders>
            <w:shd w:val="clear" w:color="auto" w:fill="auto"/>
          </w:tcPr>
          <w:p w:rsidR="0006576E" w:rsidRPr="0071782F" w:rsidRDefault="0006576E"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06576E" w:rsidRPr="0071782F" w:rsidRDefault="0006576E" w:rsidP="00B92D7E">
            <w:pPr>
              <w:suppressAutoHyphens w:val="0"/>
              <w:spacing w:before="30" w:after="30" w:line="220" w:lineRule="exact"/>
              <w:rPr>
                <w:sz w:val="18"/>
                <w:lang w:val="fr-CH"/>
              </w:rPr>
            </w:pPr>
            <w:r w:rsidRPr="0071782F">
              <w:rPr>
                <w:sz w:val="18"/>
                <w:lang w:val="fr-CH"/>
              </w:rPr>
              <w:t>A</w:t>
            </w:r>
            <w:r w:rsidR="00F7432F" w:rsidRPr="0071782F">
              <w:rPr>
                <w:sz w:val="18"/>
                <w:lang w:val="fr-CH"/>
              </w:rPr>
              <w:t xml:space="preserve">ccueil d’étudiants boursiers </w:t>
            </w:r>
          </w:p>
        </w:tc>
        <w:tc>
          <w:tcPr>
            <w:tcW w:w="1571" w:type="dxa"/>
            <w:tcBorders>
              <w:top w:val="nil"/>
              <w:bottom w:val="nil"/>
            </w:tcBorders>
            <w:shd w:val="clear" w:color="auto" w:fill="auto"/>
          </w:tcPr>
          <w:p w:rsidR="0006576E" w:rsidRPr="0071782F" w:rsidRDefault="00F7432F" w:rsidP="00B92D7E">
            <w:pPr>
              <w:suppressAutoHyphens w:val="0"/>
              <w:spacing w:before="30" w:after="30" w:line="220" w:lineRule="exact"/>
              <w:ind w:left="113" w:right="113"/>
              <w:rPr>
                <w:sz w:val="18"/>
                <w:lang w:val="fr-CH"/>
              </w:rPr>
            </w:pPr>
            <w:r w:rsidRPr="0071782F">
              <w:rPr>
                <w:sz w:val="18"/>
                <w:lang w:val="fr-CH"/>
              </w:rPr>
              <w:t>Personne</w:t>
            </w:r>
          </w:p>
        </w:tc>
        <w:tc>
          <w:tcPr>
            <w:tcW w:w="729" w:type="dxa"/>
            <w:tcBorders>
              <w:top w:val="nil"/>
              <w:bottom w:val="nil"/>
            </w:tcBorders>
            <w:shd w:val="clear" w:color="auto" w:fill="auto"/>
          </w:tcPr>
          <w:p w:rsidR="0006576E" w:rsidRPr="0071782F" w:rsidRDefault="0006576E" w:rsidP="00B92D7E">
            <w:pPr>
              <w:suppressAutoHyphens w:val="0"/>
              <w:spacing w:before="30" w:after="30" w:line="220" w:lineRule="exact"/>
              <w:jc w:val="right"/>
              <w:rPr>
                <w:sz w:val="18"/>
                <w:lang w:val="fr-CH"/>
              </w:rPr>
            </w:pPr>
            <w:r w:rsidRPr="0071782F">
              <w:rPr>
                <w:sz w:val="18"/>
                <w:lang w:val="fr-CH"/>
              </w:rPr>
              <w:t>115</w:t>
            </w:r>
          </w:p>
        </w:tc>
        <w:tc>
          <w:tcPr>
            <w:tcW w:w="800" w:type="dxa"/>
            <w:tcBorders>
              <w:top w:val="nil"/>
              <w:bottom w:val="nil"/>
            </w:tcBorders>
            <w:shd w:val="clear" w:color="auto" w:fill="auto"/>
          </w:tcPr>
          <w:p w:rsidR="0006576E" w:rsidRPr="0071782F" w:rsidRDefault="0006576E" w:rsidP="00B92D7E">
            <w:pPr>
              <w:suppressAutoHyphens w:val="0"/>
              <w:spacing w:before="30" w:after="30" w:line="220" w:lineRule="exact"/>
              <w:jc w:val="right"/>
              <w:rPr>
                <w:sz w:val="18"/>
                <w:lang w:val="fr-CH"/>
              </w:rPr>
            </w:pPr>
            <w:r w:rsidRPr="0071782F">
              <w:rPr>
                <w:sz w:val="18"/>
                <w:lang w:val="fr-CH"/>
              </w:rPr>
              <w:t>187</w:t>
            </w:r>
          </w:p>
        </w:tc>
        <w:tc>
          <w:tcPr>
            <w:tcW w:w="1139" w:type="dxa"/>
            <w:tcBorders>
              <w:top w:val="nil"/>
              <w:bottom w:val="nil"/>
            </w:tcBorders>
            <w:shd w:val="clear" w:color="auto" w:fill="auto"/>
          </w:tcPr>
          <w:p w:rsidR="0006576E" w:rsidRPr="0071782F" w:rsidRDefault="0006576E" w:rsidP="00B92D7E">
            <w:pPr>
              <w:suppressAutoHyphens w:val="0"/>
              <w:spacing w:before="30" w:after="30" w:line="220" w:lineRule="exact"/>
              <w:jc w:val="right"/>
              <w:rPr>
                <w:sz w:val="18"/>
                <w:lang w:val="fr-CH"/>
              </w:rPr>
            </w:pPr>
            <w:r w:rsidRPr="0071782F">
              <w:rPr>
                <w:sz w:val="18"/>
                <w:lang w:val="fr-CH"/>
              </w:rPr>
              <w:t>62%</w:t>
            </w:r>
          </w:p>
        </w:tc>
      </w:tr>
      <w:tr w:rsidR="0006576E" w:rsidRPr="0071782F">
        <w:tc>
          <w:tcPr>
            <w:tcW w:w="993" w:type="dxa"/>
            <w:tcBorders>
              <w:top w:val="nil"/>
              <w:bottom w:val="nil"/>
            </w:tcBorders>
            <w:shd w:val="clear" w:color="auto" w:fill="auto"/>
          </w:tcPr>
          <w:p w:rsidR="0006576E" w:rsidRPr="0071782F" w:rsidRDefault="0006576E"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06576E" w:rsidRPr="0071782F" w:rsidRDefault="00F7432F" w:rsidP="00B92D7E">
            <w:pPr>
              <w:suppressAutoHyphens w:val="0"/>
              <w:spacing w:before="30" w:after="30" w:line="220" w:lineRule="exact"/>
              <w:rPr>
                <w:sz w:val="18"/>
                <w:lang w:val="fr-CH"/>
              </w:rPr>
            </w:pPr>
            <w:r w:rsidRPr="0071782F">
              <w:rPr>
                <w:sz w:val="18"/>
                <w:lang w:val="fr-CH"/>
              </w:rPr>
              <w:t>Accueil d’étudiants en mastère</w:t>
            </w:r>
            <w:r w:rsidR="0006576E" w:rsidRPr="0071782F">
              <w:rPr>
                <w:sz w:val="18"/>
                <w:lang w:val="fr-CH"/>
              </w:rPr>
              <w:t xml:space="preserve"> </w:t>
            </w:r>
          </w:p>
        </w:tc>
        <w:tc>
          <w:tcPr>
            <w:tcW w:w="1571" w:type="dxa"/>
            <w:tcBorders>
              <w:top w:val="nil"/>
              <w:bottom w:val="nil"/>
            </w:tcBorders>
            <w:shd w:val="clear" w:color="auto" w:fill="auto"/>
          </w:tcPr>
          <w:p w:rsidR="0006576E" w:rsidRPr="0071782F" w:rsidRDefault="00F7432F" w:rsidP="00B92D7E">
            <w:pPr>
              <w:suppressAutoHyphens w:val="0"/>
              <w:spacing w:before="30" w:after="30" w:line="220" w:lineRule="exact"/>
              <w:ind w:left="113" w:right="113"/>
              <w:rPr>
                <w:sz w:val="18"/>
                <w:lang w:val="fr-CH"/>
              </w:rPr>
            </w:pPr>
            <w:r w:rsidRPr="0071782F">
              <w:rPr>
                <w:sz w:val="18"/>
                <w:lang w:val="fr-CH"/>
              </w:rPr>
              <w:t>Personne</w:t>
            </w:r>
          </w:p>
        </w:tc>
        <w:tc>
          <w:tcPr>
            <w:tcW w:w="729" w:type="dxa"/>
            <w:tcBorders>
              <w:top w:val="nil"/>
              <w:bottom w:val="nil"/>
            </w:tcBorders>
            <w:shd w:val="clear" w:color="auto" w:fill="auto"/>
          </w:tcPr>
          <w:p w:rsidR="0006576E" w:rsidRPr="0071782F" w:rsidRDefault="0006576E" w:rsidP="00B92D7E">
            <w:pPr>
              <w:suppressAutoHyphens w:val="0"/>
              <w:spacing w:before="30" w:after="30" w:line="220" w:lineRule="exact"/>
              <w:jc w:val="right"/>
              <w:rPr>
                <w:sz w:val="18"/>
                <w:lang w:val="fr-CH"/>
              </w:rPr>
            </w:pPr>
            <w:r w:rsidRPr="0071782F">
              <w:rPr>
                <w:sz w:val="18"/>
                <w:lang w:val="fr-CH"/>
              </w:rPr>
              <w:t>817</w:t>
            </w:r>
          </w:p>
        </w:tc>
        <w:tc>
          <w:tcPr>
            <w:tcW w:w="800" w:type="dxa"/>
            <w:tcBorders>
              <w:top w:val="nil"/>
              <w:bottom w:val="nil"/>
            </w:tcBorders>
            <w:shd w:val="clear" w:color="auto" w:fill="auto"/>
          </w:tcPr>
          <w:p w:rsidR="0006576E" w:rsidRPr="0071782F" w:rsidRDefault="0006576E" w:rsidP="00B92D7E">
            <w:pPr>
              <w:suppressAutoHyphens w:val="0"/>
              <w:spacing w:before="30" w:after="30" w:line="220" w:lineRule="exact"/>
              <w:jc w:val="right"/>
              <w:rPr>
                <w:sz w:val="18"/>
                <w:lang w:val="fr-CH"/>
              </w:rPr>
            </w:pPr>
            <w:r w:rsidRPr="0071782F">
              <w:rPr>
                <w:sz w:val="18"/>
                <w:lang w:val="fr-CH"/>
              </w:rPr>
              <w:t>1 309</w:t>
            </w:r>
          </w:p>
        </w:tc>
        <w:tc>
          <w:tcPr>
            <w:tcW w:w="1139" w:type="dxa"/>
            <w:tcBorders>
              <w:top w:val="nil"/>
              <w:bottom w:val="nil"/>
            </w:tcBorders>
            <w:shd w:val="clear" w:color="auto" w:fill="auto"/>
          </w:tcPr>
          <w:p w:rsidR="0006576E" w:rsidRPr="0071782F" w:rsidRDefault="0006576E" w:rsidP="00B92D7E">
            <w:pPr>
              <w:suppressAutoHyphens w:val="0"/>
              <w:spacing w:before="30" w:after="30" w:line="220" w:lineRule="exact"/>
              <w:jc w:val="right"/>
              <w:rPr>
                <w:sz w:val="18"/>
                <w:lang w:val="fr-CH"/>
              </w:rPr>
            </w:pPr>
            <w:r w:rsidRPr="0071782F">
              <w:rPr>
                <w:sz w:val="18"/>
                <w:lang w:val="fr-CH"/>
              </w:rPr>
              <w:t>60%</w:t>
            </w:r>
          </w:p>
        </w:tc>
      </w:tr>
      <w:tr w:rsidR="0006576E" w:rsidRPr="0071782F">
        <w:tc>
          <w:tcPr>
            <w:tcW w:w="993" w:type="dxa"/>
            <w:tcBorders>
              <w:top w:val="nil"/>
              <w:bottom w:val="nil"/>
            </w:tcBorders>
            <w:shd w:val="clear" w:color="auto" w:fill="auto"/>
          </w:tcPr>
          <w:p w:rsidR="0006576E" w:rsidRPr="0071782F" w:rsidRDefault="0006576E"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06576E" w:rsidRPr="0071782F" w:rsidRDefault="003B48A4" w:rsidP="00B92D7E">
            <w:pPr>
              <w:suppressAutoHyphens w:val="0"/>
              <w:spacing w:before="30" w:after="30" w:line="220" w:lineRule="exact"/>
              <w:rPr>
                <w:sz w:val="18"/>
                <w:lang w:val="fr-CH"/>
              </w:rPr>
            </w:pPr>
            <w:r w:rsidRPr="0071782F">
              <w:rPr>
                <w:sz w:val="18"/>
                <w:lang w:val="fr-CH"/>
              </w:rPr>
              <w:t>Nombre</w:t>
            </w:r>
            <w:r w:rsidR="0006576E" w:rsidRPr="0071782F">
              <w:rPr>
                <w:sz w:val="18"/>
                <w:lang w:val="fr-CH"/>
              </w:rPr>
              <w:t xml:space="preserve"> </w:t>
            </w:r>
            <w:r w:rsidR="00F7432F" w:rsidRPr="0071782F">
              <w:rPr>
                <w:sz w:val="18"/>
                <w:lang w:val="fr-CH"/>
              </w:rPr>
              <w:t xml:space="preserve">de programmes de formation continue </w:t>
            </w:r>
          </w:p>
        </w:tc>
        <w:tc>
          <w:tcPr>
            <w:tcW w:w="1571" w:type="dxa"/>
            <w:tcBorders>
              <w:top w:val="nil"/>
              <w:bottom w:val="nil"/>
            </w:tcBorders>
            <w:shd w:val="clear" w:color="auto" w:fill="auto"/>
          </w:tcPr>
          <w:p w:rsidR="0006576E"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06576E" w:rsidRPr="0071782F" w:rsidRDefault="0006576E" w:rsidP="00B92D7E">
            <w:pPr>
              <w:suppressAutoHyphens w:val="0"/>
              <w:spacing w:before="30" w:after="30" w:line="220" w:lineRule="exact"/>
              <w:jc w:val="right"/>
              <w:rPr>
                <w:sz w:val="18"/>
                <w:lang w:val="fr-CH"/>
              </w:rPr>
            </w:pPr>
            <w:r w:rsidRPr="0071782F">
              <w:rPr>
                <w:sz w:val="18"/>
                <w:lang w:val="fr-CH"/>
              </w:rPr>
              <w:t>4 217</w:t>
            </w:r>
          </w:p>
        </w:tc>
        <w:tc>
          <w:tcPr>
            <w:tcW w:w="800" w:type="dxa"/>
            <w:tcBorders>
              <w:top w:val="nil"/>
              <w:bottom w:val="nil"/>
            </w:tcBorders>
            <w:shd w:val="clear" w:color="auto" w:fill="auto"/>
          </w:tcPr>
          <w:p w:rsidR="0006576E" w:rsidRPr="0071782F" w:rsidRDefault="0006576E" w:rsidP="00B92D7E">
            <w:pPr>
              <w:suppressAutoHyphens w:val="0"/>
              <w:spacing w:before="30" w:after="30" w:line="220" w:lineRule="exact"/>
              <w:jc w:val="right"/>
              <w:rPr>
                <w:sz w:val="18"/>
                <w:lang w:val="fr-CH"/>
              </w:rPr>
            </w:pPr>
            <w:r w:rsidRPr="0071782F">
              <w:rPr>
                <w:sz w:val="18"/>
                <w:lang w:val="fr-CH"/>
              </w:rPr>
              <w:t>5 503</w:t>
            </w:r>
          </w:p>
        </w:tc>
        <w:tc>
          <w:tcPr>
            <w:tcW w:w="1139" w:type="dxa"/>
            <w:tcBorders>
              <w:top w:val="nil"/>
              <w:bottom w:val="nil"/>
            </w:tcBorders>
            <w:shd w:val="clear" w:color="auto" w:fill="auto"/>
          </w:tcPr>
          <w:p w:rsidR="0006576E" w:rsidRPr="0071782F" w:rsidRDefault="0006576E" w:rsidP="00B92D7E">
            <w:pPr>
              <w:suppressAutoHyphens w:val="0"/>
              <w:spacing w:before="30" w:after="30" w:line="220" w:lineRule="exact"/>
              <w:jc w:val="right"/>
              <w:rPr>
                <w:sz w:val="18"/>
                <w:lang w:val="fr-CH"/>
              </w:rPr>
            </w:pPr>
            <w:r w:rsidRPr="0071782F">
              <w:rPr>
                <w:sz w:val="18"/>
                <w:lang w:val="fr-CH"/>
              </w:rPr>
              <w:t>1 286</w:t>
            </w:r>
          </w:p>
        </w:tc>
      </w:tr>
      <w:tr w:rsidR="0006576E" w:rsidRPr="0071782F">
        <w:tc>
          <w:tcPr>
            <w:tcW w:w="993" w:type="dxa"/>
            <w:tcBorders>
              <w:top w:val="nil"/>
              <w:bottom w:val="nil"/>
            </w:tcBorders>
            <w:shd w:val="clear" w:color="auto" w:fill="auto"/>
          </w:tcPr>
          <w:p w:rsidR="0006576E" w:rsidRPr="0071782F" w:rsidRDefault="0006576E" w:rsidP="00B92D7E">
            <w:pPr>
              <w:keepNext/>
              <w:suppressAutoHyphens w:val="0"/>
              <w:spacing w:before="30" w:after="30" w:line="220" w:lineRule="exact"/>
              <w:rPr>
                <w:sz w:val="18"/>
                <w:lang w:val="fr-CH"/>
              </w:rPr>
            </w:pPr>
          </w:p>
        </w:tc>
        <w:tc>
          <w:tcPr>
            <w:tcW w:w="3273" w:type="dxa"/>
            <w:tcBorders>
              <w:top w:val="nil"/>
              <w:bottom w:val="nil"/>
            </w:tcBorders>
            <w:shd w:val="clear" w:color="auto" w:fill="auto"/>
          </w:tcPr>
          <w:p w:rsidR="0006576E" w:rsidRPr="0071782F" w:rsidRDefault="003B48A4" w:rsidP="00B92D7E">
            <w:pPr>
              <w:keepNext/>
              <w:suppressAutoHyphens w:val="0"/>
              <w:spacing w:before="30" w:after="30" w:line="220" w:lineRule="exact"/>
              <w:rPr>
                <w:sz w:val="18"/>
                <w:lang w:val="fr-CH"/>
              </w:rPr>
            </w:pPr>
            <w:r w:rsidRPr="0071782F">
              <w:rPr>
                <w:sz w:val="18"/>
                <w:lang w:val="fr-CH"/>
              </w:rPr>
              <w:t>Nombre</w:t>
            </w:r>
            <w:r w:rsidR="0006576E" w:rsidRPr="0071782F">
              <w:rPr>
                <w:sz w:val="18"/>
                <w:lang w:val="fr-CH"/>
              </w:rPr>
              <w:t xml:space="preserve"> </w:t>
            </w:r>
            <w:r w:rsidR="00F7432F" w:rsidRPr="0071782F">
              <w:rPr>
                <w:sz w:val="18"/>
                <w:lang w:val="fr-CH"/>
              </w:rPr>
              <w:t xml:space="preserve">de programmes de formation nouveaux et révisés </w:t>
            </w:r>
          </w:p>
        </w:tc>
        <w:tc>
          <w:tcPr>
            <w:tcW w:w="1571" w:type="dxa"/>
            <w:tcBorders>
              <w:top w:val="nil"/>
              <w:bottom w:val="nil"/>
            </w:tcBorders>
            <w:shd w:val="clear" w:color="auto" w:fill="auto"/>
          </w:tcPr>
          <w:p w:rsidR="0006576E" w:rsidRPr="0071782F" w:rsidRDefault="003B48A4" w:rsidP="00B92D7E">
            <w:pPr>
              <w:keepNext/>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06576E" w:rsidRPr="0071782F" w:rsidRDefault="0006576E" w:rsidP="00B92D7E">
            <w:pPr>
              <w:keepNext/>
              <w:suppressAutoHyphens w:val="0"/>
              <w:spacing w:before="30" w:after="30" w:line="220" w:lineRule="exact"/>
              <w:jc w:val="right"/>
              <w:rPr>
                <w:sz w:val="18"/>
                <w:lang w:val="fr-CH"/>
              </w:rPr>
            </w:pPr>
            <w:r w:rsidRPr="0071782F">
              <w:rPr>
                <w:sz w:val="18"/>
                <w:lang w:val="fr-CH"/>
              </w:rPr>
              <w:t>13</w:t>
            </w:r>
          </w:p>
        </w:tc>
        <w:tc>
          <w:tcPr>
            <w:tcW w:w="800" w:type="dxa"/>
            <w:tcBorders>
              <w:top w:val="nil"/>
              <w:bottom w:val="nil"/>
            </w:tcBorders>
            <w:shd w:val="clear" w:color="auto" w:fill="auto"/>
          </w:tcPr>
          <w:p w:rsidR="0006576E" w:rsidRPr="0071782F" w:rsidRDefault="0006576E" w:rsidP="00B92D7E">
            <w:pPr>
              <w:keepNext/>
              <w:suppressAutoHyphens w:val="0"/>
              <w:spacing w:before="30" w:after="30" w:line="220" w:lineRule="exact"/>
              <w:jc w:val="right"/>
              <w:rPr>
                <w:sz w:val="18"/>
                <w:lang w:val="fr-CH"/>
              </w:rPr>
            </w:pPr>
            <w:r w:rsidRPr="0071782F">
              <w:rPr>
                <w:sz w:val="18"/>
                <w:lang w:val="fr-CH"/>
              </w:rPr>
              <w:t>67</w:t>
            </w:r>
          </w:p>
        </w:tc>
        <w:tc>
          <w:tcPr>
            <w:tcW w:w="1139" w:type="dxa"/>
            <w:tcBorders>
              <w:top w:val="nil"/>
              <w:bottom w:val="nil"/>
            </w:tcBorders>
            <w:shd w:val="clear" w:color="auto" w:fill="auto"/>
          </w:tcPr>
          <w:p w:rsidR="0006576E" w:rsidRPr="0071782F" w:rsidRDefault="0006576E" w:rsidP="00B92D7E">
            <w:pPr>
              <w:keepNext/>
              <w:suppressAutoHyphens w:val="0"/>
              <w:spacing w:before="30" w:after="30" w:line="220" w:lineRule="exact"/>
              <w:jc w:val="right"/>
              <w:rPr>
                <w:sz w:val="18"/>
                <w:lang w:val="fr-CH"/>
              </w:rPr>
            </w:pPr>
            <w:r w:rsidRPr="0071782F">
              <w:rPr>
                <w:sz w:val="18"/>
                <w:lang w:val="fr-CH"/>
              </w:rPr>
              <w:t>510%</w:t>
            </w:r>
          </w:p>
        </w:tc>
      </w:tr>
      <w:tr w:rsidR="0006576E" w:rsidRPr="0071782F">
        <w:tc>
          <w:tcPr>
            <w:tcW w:w="993" w:type="dxa"/>
            <w:tcBorders>
              <w:top w:val="nil"/>
              <w:bottom w:val="nil"/>
            </w:tcBorders>
            <w:shd w:val="clear" w:color="auto" w:fill="auto"/>
          </w:tcPr>
          <w:p w:rsidR="0006576E" w:rsidRPr="0071782F" w:rsidRDefault="0006576E"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06576E" w:rsidRPr="0071782F" w:rsidRDefault="0006576E" w:rsidP="00B92D7E">
            <w:pPr>
              <w:suppressAutoHyphens w:val="0"/>
              <w:spacing w:before="30" w:after="30" w:line="220" w:lineRule="exact"/>
              <w:rPr>
                <w:sz w:val="18"/>
                <w:lang w:val="fr-CH"/>
              </w:rPr>
            </w:pPr>
            <w:r w:rsidRPr="0071782F">
              <w:rPr>
                <w:sz w:val="18"/>
                <w:lang w:val="fr-CH"/>
              </w:rPr>
              <w:t xml:space="preserve">Cas </w:t>
            </w:r>
            <w:r w:rsidR="00F7432F" w:rsidRPr="0071782F">
              <w:rPr>
                <w:sz w:val="18"/>
                <w:lang w:val="fr-CH"/>
              </w:rPr>
              <w:t>de</w:t>
            </w:r>
            <w:r w:rsidRPr="0071782F">
              <w:rPr>
                <w:sz w:val="18"/>
                <w:lang w:val="fr-CH"/>
              </w:rPr>
              <w:t xml:space="preserve"> transfer</w:t>
            </w:r>
            <w:r w:rsidR="00F7432F" w:rsidRPr="0071782F">
              <w:rPr>
                <w:sz w:val="18"/>
                <w:lang w:val="fr-CH"/>
              </w:rPr>
              <w:t>t d’étudiants ira</w:t>
            </w:r>
            <w:r w:rsidR="0057603B" w:rsidRPr="0071782F">
              <w:rPr>
                <w:sz w:val="18"/>
                <w:lang w:val="fr-CH"/>
              </w:rPr>
              <w:t>niens d’universités étrangères dans</w:t>
            </w:r>
            <w:r w:rsidR="00F7432F" w:rsidRPr="0071782F">
              <w:rPr>
                <w:sz w:val="18"/>
                <w:lang w:val="fr-CH"/>
              </w:rPr>
              <w:t xml:space="preserve"> des universités nationales</w:t>
            </w:r>
            <w:r w:rsidR="00D36718">
              <w:rPr>
                <w:sz w:val="18"/>
                <w:lang w:val="fr-CH"/>
              </w:rPr>
              <w:t xml:space="preserve"> </w:t>
            </w:r>
          </w:p>
        </w:tc>
        <w:tc>
          <w:tcPr>
            <w:tcW w:w="1571" w:type="dxa"/>
            <w:tcBorders>
              <w:top w:val="nil"/>
              <w:bottom w:val="nil"/>
            </w:tcBorders>
            <w:shd w:val="clear" w:color="auto" w:fill="auto"/>
          </w:tcPr>
          <w:p w:rsidR="0006576E"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06576E" w:rsidRPr="0071782F" w:rsidRDefault="0006576E" w:rsidP="00B92D7E">
            <w:pPr>
              <w:suppressAutoHyphens w:val="0"/>
              <w:spacing w:before="30" w:after="30" w:line="220" w:lineRule="exact"/>
              <w:jc w:val="right"/>
              <w:rPr>
                <w:sz w:val="18"/>
                <w:lang w:val="fr-CH"/>
              </w:rPr>
            </w:pPr>
            <w:r w:rsidRPr="0071782F">
              <w:rPr>
                <w:sz w:val="18"/>
                <w:lang w:val="fr-CH"/>
              </w:rPr>
              <w:t>94</w:t>
            </w:r>
          </w:p>
        </w:tc>
        <w:tc>
          <w:tcPr>
            <w:tcW w:w="800" w:type="dxa"/>
            <w:tcBorders>
              <w:top w:val="nil"/>
              <w:bottom w:val="nil"/>
            </w:tcBorders>
            <w:shd w:val="clear" w:color="auto" w:fill="auto"/>
          </w:tcPr>
          <w:p w:rsidR="0006576E" w:rsidRPr="0071782F" w:rsidRDefault="0006576E" w:rsidP="00B92D7E">
            <w:pPr>
              <w:suppressAutoHyphens w:val="0"/>
              <w:spacing w:before="30" w:after="30" w:line="220" w:lineRule="exact"/>
              <w:jc w:val="right"/>
              <w:rPr>
                <w:sz w:val="18"/>
                <w:lang w:val="fr-CH"/>
              </w:rPr>
            </w:pPr>
            <w:r w:rsidRPr="0071782F">
              <w:rPr>
                <w:sz w:val="18"/>
                <w:lang w:val="fr-CH"/>
              </w:rPr>
              <w:t>163</w:t>
            </w:r>
          </w:p>
        </w:tc>
        <w:tc>
          <w:tcPr>
            <w:tcW w:w="1139" w:type="dxa"/>
            <w:tcBorders>
              <w:top w:val="nil"/>
              <w:bottom w:val="nil"/>
            </w:tcBorders>
            <w:shd w:val="clear" w:color="auto" w:fill="auto"/>
          </w:tcPr>
          <w:p w:rsidR="0006576E" w:rsidRPr="0071782F" w:rsidRDefault="0006576E" w:rsidP="00B92D7E">
            <w:pPr>
              <w:suppressAutoHyphens w:val="0"/>
              <w:spacing w:before="30" w:after="30" w:line="220" w:lineRule="exact"/>
              <w:jc w:val="right"/>
              <w:rPr>
                <w:sz w:val="18"/>
                <w:lang w:val="fr-CH"/>
              </w:rPr>
            </w:pPr>
            <w:r w:rsidRPr="0071782F">
              <w:rPr>
                <w:sz w:val="18"/>
                <w:lang w:val="fr-CH"/>
              </w:rPr>
              <w:t>170%</w:t>
            </w:r>
          </w:p>
        </w:tc>
      </w:tr>
      <w:tr w:rsidR="0006576E" w:rsidRPr="0071782F">
        <w:tc>
          <w:tcPr>
            <w:tcW w:w="993" w:type="dxa"/>
            <w:tcBorders>
              <w:top w:val="nil"/>
              <w:bottom w:val="nil"/>
            </w:tcBorders>
            <w:shd w:val="clear" w:color="auto" w:fill="auto"/>
          </w:tcPr>
          <w:p w:rsidR="0006576E" w:rsidRPr="0071782F" w:rsidRDefault="0006576E" w:rsidP="00B92D7E">
            <w:pPr>
              <w:keepNext/>
              <w:suppressAutoHyphens w:val="0"/>
              <w:spacing w:before="30" w:after="30" w:line="220" w:lineRule="exact"/>
              <w:rPr>
                <w:sz w:val="18"/>
                <w:lang w:val="fr-CH"/>
              </w:rPr>
            </w:pPr>
          </w:p>
        </w:tc>
        <w:tc>
          <w:tcPr>
            <w:tcW w:w="3273" w:type="dxa"/>
            <w:tcBorders>
              <w:top w:val="nil"/>
              <w:bottom w:val="nil"/>
            </w:tcBorders>
            <w:shd w:val="clear" w:color="auto" w:fill="auto"/>
          </w:tcPr>
          <w:p w:rsidR="0006576E" w:rsidRPr="0071782F" w:rsidRDefault="003B48A4" w:rsidP="00B92D7E">
            <w:pPr>
              <w:keepNext/>
              <w:suppressAutoHyphens w:val="0"/>
              <w:spacing w:before="30" w:after="30" w:line="220" w:lineRule="exact"/>
              <w:rPr>
                <w:sz w:val="18"/>
                <w:lang w:val="fr-CH"/>
              </w:rPr>
            </w:pPr>
            <w:r w:rsidRPr="0071782F">
              <w:rPr>
                <w:sz w:val="18"/>
                <w:lang w:val="fr-CH"/>
              </w:rPr>
              <w:t>Nombre</w:t>
            </w:r>
            <w:r w:rsidR="0006576E" w:rsidRPr="0071782F">
              <w:rPr>
                <w:sz w:val="18"/>
                <w:lang w:val="fr-CH"/>
              </w:rPr>
              <w:t xml:space="preserve"> </w:t>
            </w:r>
            <w:r w:rsidR="00F7432F" w:rsidRPr="0071782F">
              <w:rPr>
                <w:sz w:val="18"/>
                <w:lang w:val="fr-CH"/>
              </w:rPr>
              <w:t xml:space="preserve">de programmes de doctorat spécialisés </w:t>
            </w:r>
          </w:p>
        </w:tc>
        <w:tc>
          <w:tcPr>
            <w:tcW w:w="1571" w:type="dxa"/>
            <w:tcBorders>
              <w:top w:val="nil"/>
              <w:bottom w:val="nil"/>
            </w:tcBorders>
            <w:shd w:val="clear" w:color="auto" w:fill="auto"/>
          </w:tcPr>
          <w:p w:rsidR="0006576E" w:rsidRPr="0071782F" w:rsidRDefault="003B48A4" w:rsidP="00B92D7E">
            <w:pPr>
              <w:keepNext/>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06576E" w:rsidRPr="0071782F" w:rsidRDefault="0006576E" w:rsidP="00B92D7E">
            <w:pPr>
              <w:keepNext/>
              <w:suppressAutoHyphens w:val="0"/>
              <w:spacing w:before="30" w:after="30" w:line="220" w:lineRule="exact"/>
              <w:jc w:val="right"/>
              <w:rPr>
                <w:sz w:val="18"/>
                <w:lang w:val="fr-CH"/>
              </w:rPr>
            </w:pPr>
            <w:r w:rsidRPr="0071782F">
              <w:rPr>
                <w:sz w:val="18"/>
                <w:lang w:val="fr-CH"/>
              </w:rPr>
              <w:t>24</w:t>
            </w:r>
          </w:p>
        </w:tc>
        <w:tc>
          <w:tcPr>
            <w:tcW w:w="800" w:type="dxa"/>
            <w:tcBorders>
              <w:top w:val="nil"/>
              <w:bottom w:val="nil"/>
            </w:tcBorders>
            <w:shd w:val="clear" w:color="auto" w:fill="auto"/>
          </w:tcPr>
          <w:p w:rsidR="0006576E" w:rsidRPr="0071782F" w:rsidRDefault="0006576E" w:rsidP="00B92D7E">
            <w:pPr>
              <w:keepNext/>
              <w:suppressAutoHyphens w:val="0"/>
              <w:spacing w:before="30" w:after="30" w:line="220" w:lineRule="exact"/>
              <w:jc w:val="right"/>
              <w:rPr>
                <w:sz w:val="18"/>
                <w:lang w:val="fr-CH"/>
              </w:rPr>
            </w:pPr>
            <w:r w:rsidRPr="0071782F">
              <w:rPr>
                <w:sz w:val="18"/>
                <w:lang w:val="fr-CH"/>
              </w:rPr>
              <w:t>39</w:t>
            </w:r>
          </w:p>
        </w:tc>
        <w:tc>
          <w:tcPr>
            <w:tcW w:w="1139" w:type="dxa"/>
            <w:tcBorders>
              <w:top w:val="nil"/>
              <w:bottom w:val="nil"/>
            </w:tcBorders>
            <w:shd w:val="clear" w:color="auto" w:fill="auto"/>
          </w:tcPr>
          <w:p w:rsidR="0006576E" w:rsidRPr="0071782F" w:rsidRDefault="0006576E" w:rsidP="00B92D7E">
            <w:pPr>
              <w:keepNext/>
              <w:suppressAutoHyphens w:val="0"/>
              <w:spacing w:before="30" w:after="30" w:line="220" w:lineRule="exact"/>
              <w:jc w:val="right"/>
              <w:rPr>
                <w:sz w:val="18"/>
                <w:lang w:val="fr-CH"/>
              </w:rPr>
            </w:pPr>
            <w:r w:rsidRPr="0071782F">
              <w:rPr>
                <w:sz w:val="18"/>
                <w:lang w:val="fr-CH"/>
              </w:rPr>
              <w:t>62</w:t>
            </w:r>
            <w:r w:rsidR="00FF1C6B" w:rsidRPr="0071782F">
              <w:rPr>
                <w:sz w:val="18"/>
                <w:lang w:val="fr-CH"/>
              </w:rPr>
              <w:t>,</w:t>
            </w:r>
            <w:r w:rsidRPr="0071782F">
              <w:rPr>
                <w:sz w:val="18"/>
                <w:lang w:val="fr-CH"/>
              </w:rPr>
              <w:t>5%</w:t>
            </w:r>
          </w:p>
        </w:tc>
      </w:tr>
      <w:tr w:rsidR="004F5038" w:rsidRPr="0071782F">
        <w:tc>
          <w:tcPr>
            <w:tcW w:w="993" w:type="dxa"/>
            <w:vMerge w:val="restart"/>
            <w:tcBorders>
              <w:top w:val="nil"/>
            </w:tcBorders>
            <w:shd w:val="clear" w:color="auto" w:fill="auto"/>
          </w:tcPr>
          <w:p w:rsidR="004F5038" w:rsidRPr="0071782F" w:rsidRDefault="00F7432F" w:rsidP="00B92D7E">
            <w:pPr>
              <w:suppressAutoHyphens w:val="0"/>
              <w:spacing w:before="30" w:after="30" w:line="220" w:lineRule="exact"/>
              <w:rPr>
                <w:sz w:val="18"/>
                <w:lang w:val="fr-CH"/>
              </w:rPr>
            </w:pPr>
            <w:r w:rsidRPr="0071782F">
              <w:rPr>
                <w:sz w:val="18"/>
                <w:lang w:val="fr-CH"/>
              </w:rPr>
              <w:t>Recherche médicale</w:t>
            </w:r>
          </w:p>
        </w:tc>
        <w:tc>
          <w:tcPr>
            <w:tcW w:w="3273" w:type="dxa"/>
            <w:tcBorders>
              <w:top w:val="nil"/>
              <w:bottom w:val="nil"/>
            </w:tcBorders>
            <w:shd w:val="clear" w:color="auto" w:fill="auto"/>
          </w:tcPr>
          <w:p w:rsidR="004F5038" w:rsidRPr="0071782F" w:rsidRDefault="00F7432F" w:rsidP="00B92D7E">
            <w:pPr>
              <w:suppressAutoHyphens w:val="0"/>
              <w:spacing w:before="30" w:after="30" w:line="220" w:lineRule="exact"/>
              <w:rPr>
                <w:sz w:val="18"/>
                <w:lang w:val="fr-CH"/>
              </w:rPr>
            </w:pPr>
            <w:r w:rsidRPr="0071782F">
              <w:rPr>
                <w:sz w:val="18"/>
                <w:lang w:val="fr-CH"/>
              </w:rPr>
              <w:t>Programmes de formation médicale continue</w:t>
            </w:r>
          </w:p>
        </w:tc>
        <w:tc>
          <w:tcPr>
            <w:tcW w:w="1571" w:type="dxa"/>
            <w:tcBorders>
              <w:top w:val="nil"/>
              <w:bottom w:val="nil"/>
            </w:tcBorders>
            <w:shd w:val="clear" w:color="auto" w:fill="auto"/>
          </w:tcPr>
          <w:p w:rsidR="004F5038"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4F5038" w:rsidRPr="0071782F" w:rsidRDefault="004F5038" w:rsidP="00B92D7E">
            <w:pPr>
              <w:suppressAutoHyphens w:val="0"/>
              <w:spacing w:before="30" w:after="30" w:line="220" w:lineRule="exact"/>
              <w:jc w:val="right"/>
              <w:rPr>
                <w:sz w:val="18"/>
                <w:lang w:val="fr-CH"/>
              </w:rPr>
            </w:pPr>
            <w:r w:rsidRPr="0071782F">
              <w:rPr>
                <w:sz w:val="18"/>
                <w:lang w:val="fr-CH"/>
              </w:rPr>
              <w:t>2 737</w:t>
            </w:r>
          </w:p>
        </w:tc>
        <w:tc>
          <w:tcPr>
            <w:tcW w:w="800" w:type="dxa"/>
            <w:tcBorders>
              <w:top w:val="nil"/>
              <w:bottom w:val="nil"/>
            </w:tcBorders>
            <w:shd w:val="clear" w:color="auto" w:fill="auto"/>
          </w:tcPr>
          <w:p w:rsidR="004F5038" w:rsidRPr="0071782F" w:rsidRDefault="004F5038" w:rsidP="00B92D7E">
            <w:pPr>
              <w:suppressAutoHyphens w:val="0"/>
              <w:spacing w:before="30" w:after="30" w:line="220" w:lineRule="exact"/>
              <w:jc w:val="right"/>
              <w:rPr>
                <w:sz w:val="18"/>
                <w:lang w:val="fr-CH"/>
              </w:rPr>
            </w:pPr>
            <w:r w:rsidRPr="0071782F">
              <w:rPr>
                <w:sz w:val="18"/>
                <w:lang w:val="fr-CH"/>
              </w:rPr>
              <w:t>5 502</w:t>
            </w:r>
          </w:p>
        </w:tc>
        <w:tc>
          <w:tcPr>
            <w:tcW w:w="1139" w:type="dxa"/>
            <w:tcBorders>
              <w:top w:val="nil"/>
              <w:bottom w:val="nil"/>
            </w:tcBorders>
            <w:shd w:val="clear" w:color="auto" w:fill="auto"/>
          </w:tcPr>
          <w:p w:rsidR="004F5038" w:rsidRPr="0071782F" w:rsidRDefault="004F5038" w:rsidP="00B92D7E">
            <w:pPr>
              <w:suppressAutoHyphens w:val="0"/>
              <w:spacing w:before="30" w:after="30" w:line="220" w:lineRule="exact"/>
              <w:jc w:val="right"/>
              <w:rPr>
                <w:sz w:val="18"/>
                <w:lang w:val="fr-CH"/>
              </w:rPr>
            </w:pPr>
            <w:r w:rsidRPr="0071782F">
              <w:rPr>
                <w:sz w:val="18"/>
                <w:lang w:val="fr-CH"/>
              </w:rPr>
              <w:t>200%</w:t>
            </w:r>
          </w:p>
        </w:tc>
      </w:tr>
      <w:tr w:rsidR="004F5038" w:rsidRPr="0071782F">
        <w:tc>
          <w:tcPr>
            <w:tcW w:w="993" w:type="dxa"/>
            <w:vMerge/>
            <w:tcBorders>
              <w:bottom w:val="nil"/>
            </w:tcBorders>
            <w:shd w:val="clear" w:color="auto" w:fill="auto"/>
          </w:tcPr>
          <w:p w:rsidR="004F5038" w:rsidRPr="0071782F" w:rsidRDefault="004F5038"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4F5038" w:rsidRPr="0071782F" w:rsidRDefault="00F7432F" w:rsidP="00B92D7E">
            <w:pPr>
              <w:suppressAutoHyphens w:val="0"/>
              <w:spacing w:before="30" w:after="30" w:line="220" w:lineRule="exact"/>
              <w:rPr>
                <w:sz w:val="18"/>
                <w:lang w:val="fr-CH"/>
              </w:rPr>
            </w:pPr>
            <w:r w:rsidRPr="0071782F">
              <w:rPr>
                <w:sz w:val="18"/>
                <w:lang w:val="fr-CH"/>
              </w:rPr>
              <w:t>Bibliothèques électroniques des facultés de médecine</w:t>
            </w:r>
          </w:p>
        </w:tc>
        <w:tc>
          <w:tcPr>
            <w:tcW w:w="1571" w:type="dxa"/>
            <w:tcBorders>
              <w:top w:val="nil"/>
              <w:bottom w:val="nil"/>
            </w:tcBorders>
            <w:shd w:val="clear" w:color="auto" w:fill="auto"/>
          </w:tcPr>
          <w:p w:rsidR="004F5038"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4F5038" w:rsidRPr="0071782F" w:rsidRDefault="004F5038" w:rsidP="00B92D7E">
            <w:pPr>
              <w:suppressAutoHyphens w:val="0"/>
              <w:spacing w:before="30" w:after="30" w:line="220" w:lineRule="exact"/>
              <w:jc w:val="right"/>
              <w:rPr>
                <w:sz w:val="18"/>
                <w:lang w:val="fr-CH"/>
              </w:rPr>
            </w:pPr>
            <w:r w:rsidRPr="0071782F">
              <w:rPr>
                <w:sz w:val="18"/>
                <w:lang w:val="fr-CH"/>
              </w:rPr>
              <w:t>23</w:t>
            </w:r>
          </w:p>
        </w:tc>
        <w:tc>
          <w:tcPr>
            <w:tcW w:w="800" w:type="dxa"/>
            <w:tcBorders>
              <w:top w:val="nil"/>
              <w:bottom w:val="nil"/>
            </w:tcBorders>
            <w:shd w:val="clear" w:color="auto" w:fill="auto"/>
          </w:tcPr>
          <w:p w:rsidR="004F5038" w:rsidRPr="0071782F" w:rsidRDefault="004F5038" w:rsidP="00B92D7E">
            <w:pPr>
              <w:suppressAutoHyphens w:val="0"/>
              <w:spacing w:before="30" w:after="30" w:line="220" w:lineRule="exact"/>
              <w:jc w:val="right"/>
              <w:rPr>
                <w:sz w:val="18"/>
                <w:lang w:val="fr-CH"/>
              </w:rPr>
            </w:pPr>
            <w:r w:rsidRPr="0071782F">
              <w:rPr>
                <w:sz w:val="18"/>
                <w:lang w:val="fr-CH"/>
              </w:rPr>
              <w:t>42</w:t>
            </w:r>
          </w:p>
        </w:tc>
        <w:tc>
          <w:tcPr>
            <w:tcW w:w="1139" w:type="dxa"/>
            <w:tcBorders>
              <w:top w:val="nil"/>
              <w:bottom w:val="nil"/>
            </w:tcBorders>
            <w:shd w:val="clear" w:color="auto" w:fill="auto"/>
          </w:tcPr>
          <w:p w:rsidR="004F5038" w:rsidRPr="0071782F" w:rsidRDefault="004F5038" w:rsidP="00B92D7E">
            <w:pPr>
              <w:suppressAutoHyphens w:val="0"/>
              <w:spacing w:before="30" w:after="30" w:line="220" w:lineRule="exact"/>
              <w:jc w:val="right"/>
              <w:rPr>
                <w:sz w:val="18"/>
                <w:lang w:val="fr-CH"/>
              </w:rPr>
            </w:pPr>
            <w:r w:rsidRPr="0071782F">
              <w:rPr>
                <w:sz w:val="18"/>
                <w:lang w:val="fr-CH"/>
              </w:rPr>
              <w:t>180%</w:t>
            </w:r>
          </w:p>
        </w:tc>
      </w:tr>
      <w:tr w:rsidR="00265797" w:rsidRPr="0071782F">
        <w:tc>
          <w:tcPr>
            <w:tcW w:w="993" w:type="dxa"/>
            <w:tcBorders>
              <w:top w:val="nil"/>
              <w:bottom w:val="nil"/>
            </w:tcBorders>
            <w:shd w:val="clear" w:color="auto" w:fill="auto"/>
          </w:tcPr>
          <w:p w:rsidR="00265797" w:rsidRPr="0071782F" w:rsidRDefault="00265797"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265797" w:rsidRPr="0071782F" w:rsidRDefault="00F7432F" w:rsidP="00B92D7E">
            <w:pPr>
              <w:suppressAutoHyphens w:val="0"/>
              <w:spacing w:before="30" w:after="30" w:line="220" w:lineRule="exact"/>
              <w:rPr>
                <w:sz w:val="18"/>
                <w:lang w:val="fr-CH"/>
              </w:rPr>
            </w:pPr>
            <w:r w:rsidRPr="0071782F">
              <w:rPr>
                <w:sz w:val="18"/>
                <w:lang w:val="fr-CH"/>
              </w:rPr>
              <w:t>Centres de recherche médicale</w:t>
            </w:r>
          </w:p>
        </w:tc>
        <w:tc>
          <w:tcPr>
            <w:tcW w:w="1571" w:type="dxa"/>
            <w:tcBorders>
              <w:top w:val="nil"/>
              <w:bottom w:val="nil"/>
            </w:tcBorders>
            <w:shd w:val="clear" w:color="auto" w:fill="auto"/>
          </w:tcPr>
          <w:p w:rsidR="00265797"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115</w:t>
            </w:r>
          </w:p>
        </w:tc>
        <w:tc>
          <w:tcPr>
            <w:tcW w:w="800"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220</w:t>
            </w:r>
          </w:p>
        </w:tc>
        <w:tc>
          <w:tcPr>
            <w:tcW w:w="113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190%</w:t>
            </w:r>
          </w:p>
        </w:tc>
      </w:tr>
      <w:tr w:rsidR="00265797" w:rsidRPr="0071782F">
        <w:tc>
          <w:tcPr>
            <w:tcW w:w="993" w:type="dxa"/>
            <w:tcBorders>
              <w:top w:val="nil"/>
              <w:bottom w:val="nil"/>
            </w:tcBorders>
            <w:shd w:val="clear" w:color="auto" w:fill="auto"/>
          </w:tcPr>
          <w:p w:rsidR="00265797" w:rsidRPr="0071782F" w:rsidRDefault="00265797"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265797" w:rsidRPr="0071782F" w:rsidRDefault="00723F2B" w:rsidP="00B92D7E">
            <w:pPr>
              <w:suppressAutoHyphens w:val="0"/>
              <w:spacing w:before="30" w:after="30" w:line="220" w:lineRule="exact"/>
              <w:rPr>
                <w:sz w:val="18"/>
                <w:lang w:val="fr-CH"/>
              </w:rPr>
            </w:pPr>
            <w:r w:rsidRPr="0071782F">
              <w:rPr>
                <w:sz w:val="18"/>
                <w:lang w:val="fr-CH"/>
              </w:rPr>
              <w:t>Articles </w:t>
            </w:r>
            <w:r w:rsidR="00F7432F" w:rsidRPr="0071782F">
              <w:rPr>
                <w:sz w:val="18"/>
                <w:lang w:val="fr-CH"/>
              </w:rPr>
              <w:t xml:space="preserve">médicaux </w:t>
            </w:r>
            <w:r w:rsidR="00265797" w:rsidRPr="0071782F">
              <w:rPr>
                <w:sz w:val="18"/>
                <w:lang w:val="fr-CH"/>
              </w:rPr>
              <w:t>(</w:t>
            </w:r>
            <w:r w:rsidR="00F7432F" w:rsidRPr="0071782F">
              <w:rPr>
                <w:sz w:val="18"/>
                <w:lang w:val="fr-CH"/>
              </w:rPr>
              <w:t>dans des revues médicales</w:t>
            </w:r>
            <w:r w:rsidR="00265797" w:rsidRPr="0071782F">
              <w:rPr>
                <w:sz w:val="18"/>
                <w:lang w:val="fr-CH"/>
              </w:rPr>
              <w:t>)</w:t>
            </w:r>
          </w:p>
        </w:tc>
        <w:tc>
          <w:tcPr>
            <w:tcW w:w="1571" w:type="dxa"/>
            <w:tcBorders>
              <w:top w:val="nil"/>
              <w:bottom w:val="nil"/>
            </w:tcBorders>
            <w:shd w:val="clear" w:color="auto" w:fill="auto"/>
          </w:tcPr>
          <w:p w:rsidR="00265797"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4 672</w:t>
            </w:r>
          </w:p>
        </w:tc>
        <w:tc>
          <w:tcPr>
            <w:tcW w:w="800"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8 110</w:t>
            </w:r>
          </w:p>
        </w:tc>
        <w:tc>
          <w:tcPr>
            <w:tcW w:w="113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170%</w:t>
            </w:r>
          </w:p>
        </w:tc>
      </w:tr>
      <w:tr w:rsidR="00265797" w:rsidRPr="0071782F">
        <w:tc>
          <w:tcPr>
            <w:tcW w:w="993" w:type="dxa"/>
            <w:tcBorders>
              <w:top w:val="nil"/>
              <w:bottom w:val="nil"/>
            </w:tcBorders>
            <w:shd w:val="clear" w:color="auto" w:fill="auto"/>
          </w:tcPr>
          <w:p w:rsidR="00265797" w:rsidRPr="0071782F" w:rsidRDefault="00265797"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265797" w:rsidRPr="0071782F" w:rsidRDefault="00F7432F" w:rsidP="00B92D7E">
            <w:pPr>
              <w:suppressAutoHyphens w:val="0"/>
              <w:spacing w:before="30" w:after="30" w:line="220" w:lineRule="exact"/>
              <w:rPr>
                <w:sz w:val="18"/>
                <w:lang w:val="fr-CH"/>
              </w:rPr>
            </w:pPr>
            <w:r w:rsidRPr="0071782F">
              <w:rPr>
                <w:sz w:val="18"/>
                <w:lang w:val="fr-CH"/>
              </w:rPr>
              <w:t>Projets de recherche</w:t>
            </w:r>
          </w:p>
        </w:tc>
        <w:tc>
          <w:tcPr>
            <w:tcW w:w="1571" w:type="dxa"/>
            <w:tcBorders>
              <w:top w:val="nil"/>
              <w:bottom w:val="nil"/>
            </w:tcBorders>
            <w:shd w:val="clear" w:color="auto" w:fill="auto"/>
          </w:tcPr>
          <w:p w:rsidR="00265797"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5 564</w:t>
            </w:r>
          </w:p>
        </w:tc>
        <w:tc>
          <w:tcPr>
            <w:tcW w:w="800"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6 816</w:t>
            </w:r>
          </w:p>
        </w:tc>
        <w:tc>
          <w:tcPr>
            <w:tcW w:w="113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225%</w:t>
            </w:r>
          </w:p>
        </w:tc>
      </w:tr>
      <w:tr w:rsidR="00265797" w:rsidRPr="0071782F">
        <w:tc>
          <w:tcPr>
            <w:tcW w:w="993" w:type="dxa"/>
            <w:tcBorders>
              <w:top w:val="nil"/>
              <w:bottom w:val="nil"/>
            </w:tcBorders>
            <w:shd w:val="clear" w:color="auto" w:fill="auto"/>
          </w:tcPr>
          <w:p w:rsidR="00265797" w:rsidRPr="0071782F" w:rsidRDefault="00265797"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265797" w:rsidRPr="0071782F" w:rsidRDefault="00265797" w:rsidP="00B92D7E">
            <w:pPr>
              <w:suppressAutoHyphens w:val="0"/>
              <w:spacing w:before="30" w:after="30" w:line="220" w:lineRule="exact"/>
              <w:rPr>
                <w:sz w:val="18"/>
                <w:lang w:val="fr-CH"/>
              </w:rPr>
            </w:pPr>
            <w:r w:rsidRPr="0071782F">
              <w:rPr>
                <w:sz w:val="18"/>
                <w:lang w:val="fr-CH"/>
              </w:rPr>
              <w:t>Memb</w:t>
            </w:r>
            <w:r w:rsidR="00F7432F" w:rsidRPr="0071782F">
              <w:rPr>
                <w:sz w:val="18"/>
                <w:lang w:val="fr-CH"/>
              </w:rPr>
              <w:t xml:space="preserve">res des conseils d’administration des facultés de médecine </w:t>
            </w:r>
          </w:p>
        </w:tc>
        <w:tc>
          <w:tcPr>
            <w:tcW w:w="1571" w:type="dxa"/>
            <w:tcBorders>
              <w:top w:val="nil"/>
              <w:bottom w:val="nil"/>
            </w:tcBorders>
            <w:shd w:val="clear" w:color="auto" w:fill="auto"/>
          </w:tcPr>
          <w:p w:rsidR="00265797"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10 305</w:t>
            </w:r>
          </w:p>
        </w:tc>
        <w:tc>
          <w:tcPr>
            <w:tcW w:w="800"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11 325</w:t>
            </w:r>
          </w:p>
        </w:tc>
        <w:tc>
          <w:tcPr>
            <w:tcW w:w="113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1 020</w:t>
            </w:r>
          </w:p>
        </w:tc>
      </w:tr>
      <w:tr w:rsidR="00265797" w:rsidRPr="0071782F">
        <w:tc>
          <w:tcPr>
            <w:tcW w:w="993" w:type="dxa"/>
            <w:tcBorders>
              <w:top w:val="nil"/>
              <w:bottom w:val="nil"/>
            </w:tcBorders>
            <w:shd w:val="clear" w:color="auto" w:fill="auto"/>
          </w:tcPr>
          <w:p w:rsidR="00265797" w:rsidRPr="0071782F" w:rsidRDefault="00265797"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265797" w:rsidRPr="0071782F" w:rsidRDefault="00F7432F" w:rsidP="00B92D7E">
            <w:pPr>
              <w:suppressAutoHyphens w:val="0"/>
              <w:spacing w:before="30" w:after="30" w:line="220" w:lineRule="exact"/>
              <w:rPr>
                <w:sz w:val="18"/>
                <w:lang w:val="fr-CH"/>
              </w:rPr>
            </w:pPr>
            <w:r w:rsidRPr="0071782F">
              <w:rPr>
                <w:sz w:val="18"/>
                <w:lang w:val="fr-CH"/>
              </w:rPr>
              <w:t>Chercheurs des facultés de médecine</w:t>
            </w:r>
          </w:p>
        </w:tc>
        <w:tc>
          <w:tcPr>
            <w:tcW w:w="1571" w:type="dxa"/>
            <w:tcBorders>
              <w:top w:val="nil"/>
              <w:bottom w:val="nil"/>
            </w:tcBorders>
            <w:shd w:val="clear" w:color="auto" w:fill="auto"/>
          </w:tcPr>
          <w:p w:rsidR="00265797"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9 209</w:t>
            </w:r>
          </w:p>
        </w:tc>
        <w:tc>
          <w:tcPr>
            <w:tcW w:w="800"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11 000</w:t>
            </w:r>
          </w:p>
        </w:tc>
        <w:tc>
          <w:tcPr>
            <w:tcW w:w="113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1 791</w:t>
            </w:r>
          </w:p>
        </w:tc>
      </w:tr>
      <w:tr w:rsidR="00265797" w:rsidRPr="0071782F">
        <w:tc>
          <w:tcPr>
            <w:tcW w:w="993" w:type="dxa"/>
            <w:tcBorders>
              <w:top w:val="nil"/>
              <w:bottom w:val="nil"/>
            </w:tcBorders>
            <w:shd w:val="clear" w:color="auto" w:fill="auto"/>
          </w:tcPr>
          <w:p w:rsidR="00265797" w:rsidRPr="0071782F" w:rsidRDefault="00265797"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265797" w:rsidRPr="0071782F" w:rsidRDefault="00943A69" w:rsidP="00B92D7E">
            <w:pPr>
              <w:suppressAutoHyphens w:val="0"/>
              <w:spacing w:before="30" w:after="30" w:line="220" w:lineRule="exact"/>
              <w:rPr>
                <w:sz w:val="18"/>
                <w:lang w:val="fr-CH"/>
              </w:rPr>
            </w:pPr>
            <w:r w:rsidRPr="0071782F">
              <w:rPr>
                <w:sz w:val="18"/>
                <w:lang w:val="fr-CH"/>
              </w:rPr>
              <w:t>Article </w:t>
            </w:r>
            <w:r w:rsidR="00F7432F" w:rsidRPr="0071782F">
              <w:rPr>
                <w:sz w:val="18"/>
                <w:lang w:val="fr-CH"/>
              </w:rPr>
              <w:t xml:space="preserve">médicaux dans </w:t>
            </w:r>
            <w:r w:rsidR="00265797" w:rsidRPr="0071782F">
              <w:rPr>
                <w:sz w:val="18"/>
                <w:lang w:val="fr-CH"/>
              </w:rPr>
              <w:t xml:space="preserve">Medline </w:t>
            </w:r>
            <w:r w:rsidR="00F7432F" w:rsidRPr="0071782F">
              <w:rPr>
                <w:sz w:val="18"/>
                <w:lang w:val="fr-CH"/>
              </w:rPr>
              <w:t>et</w:t>
            </w:r>
            <w:r w:rsidR="00265797" w:rsidRPr="0071782F">
              <w:rPr>
                <w:sz w:val="18"/>
                <w:lang w:val="fr-CH"/>
              </w:rPr>
              <w:t xml:space="preserve"> Scopus</w:t>
            </w:r>
          </w:p>
        </w:tc>
        <w:tc>
          <w:tcPr>
            <w:tcW w:w="1571" w:type="dxa"/>
            <w:tcBorders>
              <w:top w:val="nil"/>
              <w:bottom w:val="nil"/>
            </w:tcBorders>
            <w:shd w:val="clear" w:color="auto" w:fill="auto"/>
          </w:tcPr>
          <w:p w:rsidR="00265797"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5 883</w:t>
            </w:r>
          </w:p>
        </w:tc>
        <w:tc>
          <w:tcPr>
            <w:tcW w:w="800"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6 841</w:t>
            </w:r>
          </w:p>
        </w:tc>
        <w:tc>
          <w:tcPr>
            <w:tcW w:w="113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16%</w:t>
            </w:r>
          </w:p>
        </w:tc>
      </w:tr>
      <w:tr w:rsidR="00265797" w:rsidRPr="0071782F">
        <w:tc>
          <w:tcPr>
            <w:tcW w:w="993" w:type="dxa"/>
            <w:tcBorders>
              <w:top w:val="nil"/>
              <w:bottom w:val="nil"/>
            </w:tcBorders>
            <w:shd w:val="clear" w:color="auto" w:fill="auto"/>
          </w:tcPr>
          <w:p w:rsidR="00265797" w:rsidRPr="0071782F" w:rsidRDefault="00265797"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265797" w:rsidRPr="0071782F" w:rsidRDefault="00F7432F" w:rsidP="00B92D7E">
            <w:pPr>
              <w:suppressAutoHyphens w:val="0"/>
              <w:spacing w:before="30" w:after="30" w:line="220" w:lineRule="exact"/>
              <w:rPr>
                <w:sz w:val="18"/>
                <w:lang w:val="fr-CH"/>
              </w:rPr>
            </w:pPr>
            <w:r w:rsidRPr="0071782F">
              <w:rPr>
                <w:sz w:val="18"/>
                <w:lang w:val="fr-CH"/>
              </w:rPr>
              <w:t>Réseau de recherche médicale</w:t>
            </w:r>
          </w:p>
        </w:tc>
        <w:tc>
          <w:tcPr>
            <w:tcW w:w="1571" w:type="dxa"/>
            <w:tcBorders>
              <w:top w:val="nil"/>
              <w:bottom w:val="nil"/>
            </w:tcBorders>
            <w:shd w:val="clear" w:color="auto" w:fill="auto"/>
          </w:tcPr>
          <w:p w:rsidR="00265797"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8</w:t>
            </w:r>
          </w:p>
        </w:tc>
        <w:tc>
          <w:tcPr>
            <w:tcW w:w="800"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11</w:t>
            </w:r>
          </w:p>
        </w:tc>
        <w:tc>
          <w:tcPr>
            <w:tcW w:w="113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3</w:t>
            </w:r>
          </w:p>
        </w:tc>
      </w:tr>
      <w:tr w:rsidR="00265797" w:rsidRPr="0071782F">
        <w:tc>
          <w:tcPr>
            <w:tcW w:w="993" w:type="dxa"/>
            <w:tcBorders>
              <w:top w:val="nil"/>
              <w:bottom w:val="nil"/>
            </w:tcBorders>
            <w:shd w:val="clear" w:color="auto" w:fill="auto"/>
          </w:tcPr>
          <w:p w:rsidR="00265797" w:rsidRPr="0071782F" w:rsidRDefault="00265797"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265797" w:rsidRPr="0071782F" w:rsidRDefault="00F7432F" w:rsidP="00B92D7E">
            <w:pPr>
              <w:suppressAutoHyphens w:val="0"/>
              <w:spacing w:before="30" w:after="30" w:line="220" w:lineRule="exact"/>
              <w:rPr>
                <w:sz w:val="18"/>
                <w:lang w:val="fr-CH"/>
              </w:rPr>
            </w:pPr>
            <w:r w:rsidRPr="0071782F">
              <w:rPr>
                <w:sz w:val="18"/>
                <w:lang w:val="fr-CH"/>
              </w:rPr>
              <w:t xml:space="preserve">Part de la recherche dans le PIB </w:t>
            </w:r>
          </w:p>
        </w:tc>
        <w:tc>
          <w:tcPr>
            <w:tcW w:w="1571" w:type="dxa"/>
            <w:tcBorders>
              <w:top w:val="nil"/>
              <w:bottom w:val="nil"/>
            </w:tcBorders>
            <w:shd w:val="clear" w:color="auto" w:fill="auto"/>
          </w:tcPr>
          <w:p w:rsidR="00265797" w:rsidRPr="0071782F" w:rsidRDefault="00265797" w:rsidP="00B92D7E">
            <w:pPr>
              <w:suppressAutoHyphens w:val="0"/>
              <w:spacing w:before="30" w:after="30" w:line="220" w:lineRule="exact"/>
              <w:ind w:left="113" w:right="113"/>
              <w:rPr>
                <w:sz w:val="18"/>
                <w:lang w:val="fr-CH"/>
              </w:rPr>
            </w:pPr>
            <w:r w:rsidRPr="0071782F">
              <w:rPr>
                <w:sz w:val="18"/>
                <w:lang w:val="fr-CH"/>
              </w:rPr>
              <w:t>%</w:t>
            </w:r>
          </w:p>
        </w:tc>
        <w:tc>
          <w:tcPr>
            <w:tcW w:w="72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0</w:t>
            </w:r>
            <w:r w:rsidR="00FF1C6B" w:rsidRPr="0071782F">
              <w:rPr>
                <w:sz w:val="18"/>
                <w:lang w:val="fr-CH"/>
              </w:rPr>
              <w:t>,</w:t>
            </w:r>
            <w:r w:rsidRPr="0071782F">
              <w:rPr>
                <w:sz w:val="18"/>
                <w:lang w:val="fr-CH"/>
              </w:rPr>
              <w:t>1</w:t>
            </w:r>
          </w:p>
        </w:tc>
        <w:tc>
          <w:tcPr>
            <w:tcW w:w="800"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0</w:t>
            </w:r>
            <w:r w:rsidR="00FF1C6B" w:rsidRPr="0071782F">
              <w:rPr>
                <w:sz w:val="18"/>
                <w:lang w:val="fr-CH"/>
              </w:rPr>
              <w:t>,</w:t>
            </w:r>
            <w:r w:rsidRPr="0071782F">
              <w:rPr>
                <w:sz w:val="18"/>
                <w:lang w:val="fr-CH"/>
              </w:rPr>
              <w:t>9</w:t>
            </w:r>
          </w:p>
        </w:tc>
        <w:tc>
          <w:tcPr>
            <w:tcW w:w="113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900%</w:t>
            </w:r>
          </w:p>
        </w:tc>
      </w:tr>
      <w:tr w:rsidR="00265797" w:rsidRPr="0071782F">
        <w:tc>
          <w:tcPr>
            <w:tcW w:w="993" w:type="dxa"/>
            <w:tcBorders>
              <w:top w:val="nil"/>
              <w:bottom w:val="nil"/>
            </w:tcBorders>
            <w:shd w:val="clear" w:color="auto" w:fill="auto"/>
          </w:tcPr>
          <w:p w:rsidR="00265797" w:rsidRPr="0071782F" w:rsidRDefault="00265797"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265797" w:rsidRPr="0071782F" w:rsidRDefault="003B48A4" w:rsidP="00B92D7E">
            <w:pPr>
              <w:suppressAutoHyphens w:val="0"/>
              <w:spacing w:before="30" w:after="30" w:line="220" w:lineRule="exact"/>
              <w:rPr>
                <w:sz w:val="18"/>
                <w:lang w:val="fr-CH"/>
              </w:rPr>
            </w:pPr>
            <w:r w:rsidRPr="0071782F">
              <w:rPr>
                <w:sz w:val="18"/>
                <w:lang w:val="fr-CH"/>
              </w:rPr>
              <w:t>Nombre</w:t>
            </w:r>
            <w:r w:rsidR="00265797" w:rsidRPr="0071782F">
              <w:rPr>
                <w:sz w:val="18"/>
                <w:lang w:val="fr-CH"/>
              </w:rPr>
              <w:t xml:space="preserve"> </w:t>
            </w:r>
            <w:r w:rsidR="0063391D" w:rsidRPr="0071782F">
              <w:rPr>
                <w:sz w:val="18"/>
                <w:lang w:val="fr-CH"/>
              </w:rPr>
              <w:t xml:space="preserve">d’étudiants en médecine inscrits en mastère ou à un niveau supérieur </w:t>
            </w:r>
          </w:p>
        </w:tc>
        <w:tc>
          <w:tcPr>
            <w:tcW w:w="1571" w:type="dxa"/>
            <w:tcBorders>
              <w:top w:val="nil"/>
              <w:bottom w:val="nil"/>
            </w:tcBorders>
            <w:shd w:val="clear" w:color="auto" w:fill="auto"/>
          </w:tcPr>
          <w:p w:rsidR="00265797" w:rsidRPr="0071782F" w:rsidRDefault="00265797" w:rsidP="00B92D7E">
            <w:pPr>
              <w:suppressAutoHyphens w:val="0"/>
              <w:spacing w:before="30" w:after="30" w:line="220" w:lineRule="exact"/>
              <w:ind w:left="113" w:right="113"/>
              <w:rPr>
                <w:sz w:val="18"/>
                <w:lang w:val="fr-CH"/>
              </w:rPr>
            </w:pPr>
            <w:r w:rsidRPr="0071782F">
              <w:rPr>
                <w:sz w:val="18"/>
                <w:lang w:val="fr-CH"/>
              </w:rPr>
              <w:t>Person</w:t>
            </w:r>
            <w:r w:rsidR="0063391D" w:rsidRPr="0071782F">
              <w:rPr>
                <w:sz w:val="18"/>
                <w:lang w:val="fr-CH"/>
              </w:rPr>
              <w:t>ne</w:t>
            </w:r>
          </w:p>
        </w:tc>
        <w:tc>
          <w:tcPr>
            <w:tcW w:w="72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36 430</w:t>
            </w:r>
          </w:p>
        </w:tc>
        <w:tc>
          <w:tcPr>
            <w:tcW w:w="800"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40 139</w:t>
            </w:r>
          </w:p>
        </w:tc>
        <w:tc>
          <w:tcPr>
            <w:tcW w:w="113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3 709</w:t>
            </w:r>
          </w:p>
        </w:tc>
      </w:tr>
      <w:tr w:rsidR="00265797" w:rsidRPr="0071782F">
        <w:tc>
          <w:tcPr>
            <w:tcW w:w="993" w:type="dxa"/>
            <w:tcBorders>
              <w:top w:val="nil"/>
              <w:bottom w:val="nil"/>
            </w:tcBorders>
            <w:shd w:val="clear" w:color="auto" w:fill="auto"/>
          </w:tcPr>
          <w:p w:rsidR="00265797" w:rsidRPr="0071782F" w:rsidRDefault="00265797"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265797" w:rsidRPr="0071782F" w:rsidRDefault="0063391D" w:rsidP="00B92D7E">
            <w:pPr>
              <w:suppressAutoHyphens w:val="0"/>
              <w:spacing w:before="30" w:after="30" w:line="220" w:lineRule="exact"/>
              <w:rPr>
                <w:sz w:val="18"/>
                <w:lang w:val="fr-CH"/>
              </w:rPr>
            </w:pPr>
            <w:r w:rsidRPr="0071782F">
              <w:rPr>
                <w:sz w:val="18"/>
                <w:lang w:val="fr-CH"/>
              </w:rPr>
              <w:t>Revues scientifiques et de recherche a</w:t>
            </w:r>
            <w:r w:rsidR="0057603B" w:rsidRPr="0071782F">
              <w:rPr>
                <w:sz w:val="18"/>
                <w:lang w:val="fr-CH"/>
              </w:rPr>
              <w:t>ccréditées</w:t>
            </w:r>
            <w:r w:rsidR="00265797" w:rsidRPr="0071782F">
              <w:rPr>
                <w:sz w:val="18"/>
                <w:lang w:val="fr-CH"/>
              </w:rPr>
              <w:t xml:space="preserve"> </w:t>
            </w:r>
          </w:p>
        </w:tc>
        <w:tc>
          <w:tcPr>
            <w:tcW w:w="1571" w:type="dxa"/>
            <w:tcBorders>
              <w:top w:val="nil"/>
              <w:bottom w:val="nil"/>
            </w:tcBorders>
            <w:shd w:val="clear" w:color="auto" w:fill="auto"/>
          </w:tcPr>
          <w:p w:rsidR="00265797" w:rsidRPr="0071782F" w:rsidRDefault="0063391D" w:rsidP="00B92D7E">
            <w:pPr>
              <w:suppressAutoHyphens w:val="0"/>
              <w:spacing w:before="30" w:after="30" w:line="220" w:lineRule="exact"/>
              <w:ind w:left="113" w:right="113"/>
              <w:rPr>
                <w:sz w:val="18"/>
                <w:lang w:val="fr-CH"/>
              </w:rPr>
            </w:pPr>
            <w:r w:rsidRPr="0071782F">
              <w:rPr>
                <w:sz w:val="18"/>
                <w:lang w:val="fr-CH"/>
              </w:rPr>
              <w:t>Exemplaire</w:t>
            </w:r>
          </w:p>
        </w:tc>
        <w:tc>
          <w:tcPr>
            <w:tcW w:w="72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103</w:t>
            </w:r>
          </w:p>
        </w:tc>
        <w:tc>
          <w:tcPr>
            <w:tcW w:w="800"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142</w:t>
            </w:r>
          </w:p>
        </w:tc>
        <w:tc>
          <w:tcPr>
            <w:tcW w:w="113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38%</w:t>
            </w:r>
          </w:p>
        </w:tc>
      </w:tr>
      <w:tr w:rsidR="00265797" w:rsidRPr="0071782F">
        <w:tc>
          <w:tcPr>
            <w:tcW w:w="993" w:type="dxa"/>
            <w:tcBorders>
              <w:top w:val="nil"/>
              <w:bottom w:val="nil"/>
            </w:tcBorders>
            <w:shd w:val="clear" w:color="auto" w:fill="auto"/>
          </w:tcPr>
          <w:p w:rsidR="00265797" w:rsidRPr="0071782F" w:rsidRDefault="00265797"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265797" w:rsidRPr="0071782F" w:rsidRDefault="0063391D" w:rsidP="00B92D7E">
            <w:pPr>
              <w:suppressAutoHyphens w:val="0"/>
              <w:spacing w:before="30" w:after="30" w:line="220" w:lineRule="exact"/>
              <w:rPr>
                <w:sz w:val="18"/>
                <w:lang w:val="fr-CH"/>
              </w:rPr>
            </w:pPr>
            <w:r w:rsidRPr="0071782F">
              <w:rPr>
                <w:sz w:val="18"/>
                <w:lang w:val="fr-CH"/>
              </w:rPr>
              <w:t xml:space="preserve">Enregistrement de </w:t>
            </w:r>
            <w:r w:rsidR="00265797" w:rsidRPr="0071782F">
              <w:rPr>
                <w:sz w:val="18"/>
                <w:lang w:val="fr-CH"/>
              </w:rPr>
              <w:t xml:space="preserve">patients </w:t>
            </w:r>
            <w:r w:rsidRPr="0071782F">
              <w:rPr>
                <w:sz w:val="18"/>
                <w:lang w:val="fr-CH"/>
              </w:rPr>
              <w:t xml:space="preserve">dans des spécialités médicales </w:t>
            </w:r>
          </w:p>
        </w:tc>
        <w:tc>
          <w:tcPr>
            <w:tcW w:w="1571" w:type="dxa"/>
            <w:tcBorders>
              <w:top w:val="nil"/>
              <w:bottom w:val="nil"/>
            </w:tcBorders>
            <w:shd w:val="clear" w:color="auto" w:fill="auto"/>
          </w:tcPr>
          <w:p w:rsidR="00265797" w:rsidRPr="0071782F" w:rsidRDefault="00265797" w:rsidP="00B92D7E">
            <w:pPr>
              <w:suppressAutoHyphens w:val="0"/>
              <w:spacing w:before="30" w:after="30" w:line="220" w:lineRule="exact"/>
              <w:ind w:left="113" w:right="113"/>
              <w:rPr>
                <w:sz w:val="18"/>
                <w:lang w:val="fr-CH"/>
              </w:rPr>
            </w:pPr>
            <w:r w:rsidRPr="0071782F">
              <w:rPr>
                <w:sz w:val="18"/>
                <w:lang w:val="fr-CH"/>
              </w:rPr>
              <w:t>Cas</w:t>
            </w:r>
          </w:p>
        </w:tc>
        <w:tc>
          <w:tcPr>
            <w:tcW w:w="72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4</w:t>
            </w:r>
          </w:p>
        </w:tc>
        <w:tc>
          <w:tcPr>
            <w:tcW w:w="800"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209</w:t>
            </w:r>
          </w:p>
        </w:tc>
        <w:tc>
          <w:tcPr>
            <w:tcW w:w="113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5 200%</w:t>
            </w:r>
          </w:p>
        </w:tc>
      </w:tr>
      <w:tr w:rsidR="00265797" w:rsidRPr="0071782F">
        <w:tc>
          <w:tcPr>
            <w:tcW w:w="993" w:type="dxa"/>
            <w:tcBorders>
              <w:top w:val="nil"/>
              <w:bottom w:val="nil"/>
            </w:tcBorders>
            <w:shd w:val="clear" w:color="auto" w:fill="auto"/>
          </w:tcPr>
          <w:p w:rsidR="00265797" w:rsidRPr="0071782F" w:rsidRDefault="00265797"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265797" w:rsidRPr="0071782F" w:rsidRDefault="0063391D" w:rsidP="00B92D7E">
            <w:pPr>
              <w:suppressAutoHyphens w:val="0"/>
              <w:spacing w:before="30" w:after="30" w:line="220" w:lineRule="exact"/>
              <w:rPr>
                <w:sz w:val="18"/>
                <w:lang w:val="fr-CH"/>
              </w:rPr>
            </w:pPr>
            <w:r w:rsidRPr="0071782F">
              <w:rPr>
                <w:sz w:val="18"/>
                <w:lang w:val="fr-CH"/>
              </w:rPr>
              <w:t>Classement de l’</w:t>
            </w:r>
            <w:r w:rsidR="00265797" w:rsidRPr="0071782F">
              <w:rPr>
                <w:sz w:val="18"/>
                <w:lang w:val="fr-CH"/>
              </w:rPr>
              <w:t>Iran</w:t>
            </w:r>
            <w:r w:rsidRPr="0071782F">
              <w:rPr>
                <w:sz w:val="18"/>
                <w:lang w:val="fr-CH"/>
              </w:rPr>
              <w:t xml:space="preserve"> pour la production d’</w:t>
            </w:r>
            <w:r w:rsidR="00723F2B" w:rsidRPr="0071782F">
              <w:rPr>
                <w:sz w:val="18"/>
                <w:lang w:val="fr-CH"/>
              </w:rPr>
              <w:t>articles </w:t>
            </w:r>
          </w:p>
        </w:tc>
        <w:tc>
          <w:tcPr>
            <w:tcW w:w="1571" w:type="dxa"/>
            <w:tcBorders>
              <w:top w:val="nil"/>
              <w:bottom w:val="nil"/>
            </w:tcBorders>
            <w:shd w:val="clear" w:color="auto" w:fill="auto"/>
          </w:tcPr>
          <w:p w:rsidR="00265797" w:rsidRPr="0071782F" w:rsidRDefault="00036423" w:rsidP="00B92D7E">
            <w:pPr>
              <w:suppressAutoHyphens w:val="0"/>
              <w:spacing w:before="30" w:after="30" w:line="220" w:lineRule="exact"/>
              <w:ind w:left="113" w:right="113"/>
              <w:rPr>
                <w:sz w:val="18"/>
                <w:lang w:val="fr-CH"/>
              </w:rPr>
            </w:pPr>
            <w:r w:rsidRPr="0071782F">
              <w:rPr>
                <w:sz w:val="18"/>
                <w:lang w:val="fr-CH"/>
              </w:rPr>
              <w:t>–</w:t>
            </w:r>
          </w:p>
        </w:tc>
        <w:tc>
          <w:tcPr>
            <w:tcW w:w="72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31</w:t>
            </w:r>
          </w:p>
        </w:tc>
        <w:tc>
          <w:tcPr>
            <w:tcW w:w="800"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23</w:t>
            </w:r>
          </w:p>
        </w:tc>
        <w:tc>
          <w:tcPr>
            <w:tcW w:w="1139" w:type="dxa"/>
            <w:tcBorders>
              <w:top w:val="nil"/>
              <w:bottom w:val="nil"/>
            </w:tcBorders>
            <w:shd w:val="clear" w:color="auto" w:fill="auto"/>
          </w:tcPr>
          <w:p w:rsidR="00265797" w:rsidRPr="0071782F" w:rsidRDefault="0063391D" w:rsidP="00B92D7E">
            <w:pPr>
              <w:suppressAutoHyphens w:val="0"/>
              <w:spacing w:before="30" w:after="30" w:line="220" w:lineRule="exact"/>
              <w:jc w:val="right"/>
              <w:rPr>
                <w:sz w:val="18"/>
                <w:lang w:val="fr-CH"/>
              </w:rPr>
            </w:pPr>
            <w:r w:rsidRPr="0071782F">
              <w:rPr>
                <w:sz w:val="18"/>
                <w:lang w:val="fr-CH"/>
              </w:rPr>
              <w:t xml:space="preserve">Gain de huit places </w:t>
            </w:r>
          </w:p>
        </w:tc>
      </w:tr>
      <w:tr w:rsidR="00265797" w:rsidRPr="0071782F">
        <w:tc>
          <w:tcPr>
            <w:tcW w:w="993" w:type="dxa"/>
            <w:tcBorders>
              <w:top w:val="nil"/>
              <w:bottom w:val="nil"/>
            </w:tcBorders>
            <w:shd w:val="clear" w:color="auto" w:fill="auto"/>
          </w:tcPr>
          <w:p w:rsidR="00265797" w:rsidRPr="0071782F" w:rsidRDefault="00265797"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265797" w:rsidRPr="0071782F" w:rsidRDefault="0063391D" w:rsidP="00B92D7E">
            <w:pPr>
              <w:suppressAutoHyphens w:val="0"/>
              <w:spacing w:before="30" w:after="30" w:line="220" w:lineRule="exact"/>
              <w:rPr>
                <w:sz w:val="18"/>
                <w:lang w:val="fr-CH"/>
              </w:rPr>
            </w:pPr>
            <w:r w:rsidRPr="0071782F">
              <w:rPr>
                <w:sz w:val="18"/>
                <w:lang w:val="fr-CH"/>
              </w:rPr>
              <w:t xml:space="preserve">Prêts aux étudiants </w:t>
            </w:r>
          </w:p>
        </w:tc>
        <w:tc>
          <w:tcPr>
            <w:tcW w:w="1571" w:type="dxa"/>
            <w:tcBorders>
              <w:top w:val="nil"/>
              <w:bottom w:val="nil"/>
            </w:tcBorders>
            <w:shd w:val="clear" w:color="auto" w:fill="auto"/>
          </w:tcPr>
          <w:p w:rsidR="00265797" w:rsidRPr="0071782F" w:rsidRDefault="0063391D" w:rsidP="00B92D7E">
            <w:pPr>
              <w:suppressAutoHyphens w:val="0"/>
              <w:spacing w:before="30" w:after="30" w:line="220" w:lineRule="exact"/>
              <w:ind w:left="113" w:right="113"/>
              <w:rPr>
                <w:sz w:val="18"/>
                <w:lang w:val="fr-CH"/>
              </w:rPr>
            </w:pPr>
            <w:r w:rsidRPr="0071782F">
              <w:rPr>
                <w:sz w:val="18"/>
                <w:lang w:val="fr-CH"/>
              </w:rPr>
              <w:t xml:space="preserve">Milliards </w:t>
            </w:r>
            <w:r w:rsidR="003B1403" w:rsidRPr="0071782F">
              <w:rPr>
                <w:sz w:val="18"/>
                <w:lang w:val="fr-CH"/>
              </w:rPr>
              <w:t>de rials</w:t>
            </w:r>
          </w:p>
        </w:tc>
        <w:tc>
          <w:tcPr>
            <w:tcW w:w="72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121</w:t>
            </w:r>
          </w:p>
        </w:tc>
        <w:tc>
          <w:tcPr>
            <w:tcW w:w="800"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203</w:t>
            </w:r>
          </w:p>
        </w:tc>
        <w:tc>
          <w:tcPr>
            <w:tcW w:w="1139" w:type="dxa"/>
            <w:tcBorders>
              <w:top w:val="nil"/>
              <w:bottom w:val="nil"/>
            </w:tcBorders>
            <w:shd w:val="clear" w:color="auto" w:fill="auto"/>
          </w:tcPr>
          <w:p w:rsidR="00265797" w:rsidRPr="0071782F" w:rsidRDefault="00265797" w:rsidP="00B92D7E">
            <w:pPr>
              <w:suppressAutoHyphens w:val="0"/>
              <w:spacing w:before="30" w:after="30" w:line="220" w:lineRule="exact"/>
              <w:jc w:val="right"/>
              <w:rPr>
                <w:sz w:val="18"/>
                <w:lang w:val="fr-CH"/>
              </w:rPr>
            </w:pPr>
            <w:r w:rsidRPr="0071782F">
              <w:rPr>
                <w:sz w:val="18"/>
                <w:lang w:val="fr-CH"/>
              </w:rPr>
              <w:t>68%</w:t>
            </w:r>
          </w:p>
        </w:tc>
      </w:tr>
      <w:tr w:rsidR="00BC107A" w:rsidRPr="0071782F">
        <w:tc>
          <w:tcPr>
            <w:tcW w:w="993" w:type="dxa"/>
            <w:vMerge w:val="restart"/>
            <w:tcBorders>
              <w:top w:val="nil"/>
            </w:tcBorders>
            <w:shd w:val="clear" w:color="auto" w:fill="auto"/>
          </w:tcPr>
          <w:p w:rsidR="00BC107A" w:rsidRPr="0071782F" w:rsidRDefault="00BC107A" w:rsidP="00B92D7E">
            <w:pPr>
              <w:suppressAutoHyphens w:val="0"/>
              <w:spacing w:before="30" w:after="30" w:line="220" w:lineRule="exact"/>
              <w:rPr>
                <w:sz w:val="18"/>
                <w:lang w:val="fr-CH"/>
              </w:rPr>
            </w:pPr>
            <w:r w:rsidRPr="0071782F">
              <w:rPr>
                <w:sz w:val="18"/>
                <w:lang w:val="fr-CH"/>
              </w:rPr>
              <w:t>S</w:t>
            </w:r>
            <w:r w:rsidR="0063391D" w:rsidRPr="0071782F">
              <w:rPr>
                <w:sz w:val="18"/>
                <w:lang w:val="fr-CH"/>
              </w:rPr>
              <w:t>ervices aux étudiants et affaires culturelles</w:t>
            </w:r>
          </w:p>
        </w:tc>
        <w:tc>
          <w:tcPr>
            <w:tcW w:w="3273" w:type="dxa"/>
            <w:tcBorders>
              <w:top w:val="nil"/>
              <w:bottom w:val="nil"/>
            </w:tcBorders>
            <w:shd w:val="clear" w:color="auto" w:fill="auto"/>
          </w:tcPr>
          <w:p w:rsidR="00BC107A" w:rsidRPr="0071782F" w:rsidRDefault="0063391D" w:rsidP="00B92D7E">
            <w:pPr>
              <w:suppressAutoHyphens w:val="0"/>
              <w:spacing w:before="30" w:after="30" w:line="220" w:lineRule="exact"/>
              <w:rPr>
                <w:sz w:val="18"/>
                <w:lang w:val="fr-CH"/>
              </w:rPr>
            </w:pPr>
            <w:r w:rsidRPr="0071782F">
              <w:rPr>
                <w:sz w:val="18"/>
                <w:lang w:val="fr-CH"/>
              </w:rPr>
              <w:t>Capacité d’accueil des résidences d’étudiants</w:t>
            </w:r>
          </w:p>
        </w:tc>
        <w:tc>
          <w:tcPr>
            <w:tcW w:w="1571" w:type="dxa"/>
            <w:tcBorders>
              <w:top w:val="nil"/>
              <w:bottom w:val="nil"/>
            </w:tcBorders>
            <w:shd w:val="clear" w:color="auto" w:fill="auto"/>
          </w:tcPr>
          <w:p w:rsidR="00BC107A" w:rsidRPr="0071782F" w:rsidRDefault="0063391D" w:rsidP="00B92D7E">
            <w:pPr>
              <w:suppressAutoHyphens w:val="0"/>
              <w:spacing w:before="30" w:after="30" w:line="220" w:lineRule="exact"/>
              <w:ind w:left="113" w:right="113"/>
              <w:rPr>
                <w:sz w:val="18"/>
                <w:lang w:val="fr-CH"/>
              </w:rPr>
            </w:pPr>
            <w:r w:rsidRPr="0071782F">
              <w:rPr>
                <w:sz w:val="18"/>
                <w:lang w:val="fr-CH"/>
              </w:rPr>
              <w:t xml:space="preserve">1 </w:t>
            </w:r>
            <w:r w:rsidR="00BC107A" w:rsidRPr="0071782F">
              <w:rPr>
                <w:sz w:val="18"/>
                <w:lang w:val="fr-CH"/>
              </w:rPr>
              <w:t>000</w:t>
            </w:r>
            <w:r w:rsidR="00097CDB" w:rsidRPr="0071782F">
              <w:rPr>
                <w:sz w:val="18"/>
                <w:lang w:val="fr-CH"/>
              </w:rPr>
              <w:t> personnes</w:t>
            </w:r>
          </w:p>
        </w:tc>
        <w:tc>
          <w:tcPr>
            <w:tcW w:w="729" w:type="dxa"/>
            <w:tcBorders>
              <w:top w:val="nil"/>
              <w:bottom w:val="nil"/>
            </w:tcBorders>
            <w:shd w:val="clear" w:color="auto" w:fill="auto"/>
          </w:tcPr>
          <w:p w:rsidR="00BC107A" w:rsidRPr="0071782F" w:rsidRDefault="00BC107A" w:rsidP="00B92D7E">
            <w:pPr>
              <w:suppressAutoHyphens w:val="0"/>
              <w:spacing w:before="30" w:after="30" w:line="220" w:lineRule="exact"/>
              <w:jc w:val="right"/>
              <w:rPr>
                <w:sz w:val="18"/>
                <w:lang w:val="fr-CH"/>
              </w:rPr>
            </w:pPr>
            <w:r w:rsidRPr="0071782F">
              <w:rPr>
                <w:sz w:val="18"/>
                <w:lang w:val="fr-CH"/>
              </w:rPr>
              <w:t>40</w:t>
            </w:r>
          </w:p>
        </w:tc>
        <w:tc>
          <w:tcPr>
            <w:tcW w:w="800" w:type="dxa"/>
            <w:tcBorders>
              <w:top w:val="nil"/>
              <w:bottom w:val="nil"/>
            </w:tcBorders>
            <w:shd w:val="clear" w:color="auto" w:fill="auto"/>
          </w:tcPr>
          <w:p w:rsidR="00BC107A" w:rsidRPr="0071782F" w:rsidRDefault="00BC107A" w:rsidP="00B92D7E">
            <w:pPr>
              <w:suppressAutoHyphens w:val="0"/>
              <w:spacing w:before="30" w:after="30" w:line="220" w:lineRule="exact"/>
              <w:jc w:val="right"/>
              <w:rPr>
                <w:sz w:val="18"/>
                <w:lang w:val="fr-CH"/>
              </w:rPr>
            </w:pPr>
            <w:r w:rsidRPr="0071782F">
              <w:rPr>
                <w:sz w:val="18"/>
                <w:lang w:val="fr-CH"/>
              </w:rPr>
              <w:t>48</w:t>
            </w:r>
          </w:p>
        </w:tc>
        <w:tc>
          <w:tcPr>
            <w:tcW w:w="1139" w:type="dxa"/>
            <w:tcBorders>
              <w:top w:val="nil"/>
              <w:bottom w:val="nil"/>
            </w:tcBorders>
            <w:shd w:val="clear" w:color="auto" w:fill="auto"/>
          </w:tcPr>
          <w:p w:rsidR="00BC107A" w:rsidRPr="0071782F" w:rsidRDefault="00BC107A" w:rsidP="00B92D7E">
            <w:pPr>
              <w:suppressAutoHyphens w:val="0"/>
              <w:spacing w:before="30" w:after="30" w:line="220" w:lineRule="exact"/>
              <w:jc w:val="right"/>
              <w:rPr>
                <w:sz w:val="18"/>
                <w:lang w:val="fr-CH"/>
              </w:rPr>
            </w:pPr>
            <w:r w:rsidRPr="0071782F">
              <w:rPr>
                <w:sz w:val="18"/>
                <w:lang w:val="fr-CH"/>
              </w:rPr>
              <w:t>8 000</w:t>
            </w:r>
          </w:p>
        </w:tc>
      </w:tr>
      <w:tr w:rsidR="00BC107A" w:rsidRPr="0071782F">
        <w:tc>
          <w:tcPr>
            <w:tcW w:w="993" w:type="dxa"/>
            <w:vMerge/>
            <w:shd w:val="clear" w:color="auto" w:fill="auto"/>
          </w:tcPr>
          <w:p w:rsidR="00BC107A" w:rsidRPr="0071782F" w:rsidRDefault="00BC107A"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BC107A" w:rsidRPr="0071782F" w:rsidRDefault="0063391D" w:rsidP="00B92D7E">
            <w:pPr>
              <w:suppressAutoHyphens w:val="0"/>
              <w:spacing w:before="30" w:after="30" w:line="220" w:lineRule="exact"/>
              <w:rPr>
                <w:sz w:val="18"/>
                <w:lang w:val="fr-CH"/>
              </w:rPr>
            </w:pPr>
            <w:r w:rsidRPr="0071782F">
              <w:rPr>
                <w:sz w:val="18"/>
                <w:lang w:val="fr-CH"/>
              </w:rPr>
              <w:t>Étudia</w:t>
            </w:r>
            <w:r w:rsidR="00BC107A" w:rsidRPr="0071782F">
              <w:rPr>
                <w:sz w:val="18"/>
                <w:lang w:val="fr-CH"/>
              </w:rPr>
              <w:t>nt</w:t>
            </w:r>
          </w:p>
        </w:tc>
        <w:tc>
          <w:tcPr>
            <w:tcW w:w="1571" w:type="dxa"/>
            <w:tcBorders>
              <w:top w:val="nil"/>
              <w:bottom w:val="nil"/>
            </w:tcBorders>
            <w:shd w:val="clear" w:color="auto" w:fill="auto"/>
          </w:tcPr>
          <w:p w:rsidR="00BC107A"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BC107A" w:rsidRPr="0071782F" w:rsidRDefault="00BC107A" w:rsidP="00B92D7E">
            <w:pPr>
              <w:suppressAutoHyphens w:val="0"/>
              <w:spacing w:before="30" w:after="30" w:line="220" w:lineRule="exact"/>
              <w:jc w:val="right"/>
              <w:rPr>
                <w:sz w:val="18"/>
                <w:lang w:val="fr-CH"/>
              </w:rPr>
            </w:pPr>
            <w:r w:rsidRPr="0071782F">
              <w:rPr>
                <w:sz w:val="18"/>
                <w:lang w:val="fr-CH"/>
              </w:rPr>
              <w:t>595</w:t>
            </w:r>
          </w:p>
        </w:tc>
        <w:tc>
          <w:tcPr>
            <w:tcW w:w="800" w:type="dxa"/>
            <w:tcBorders>
              <w:top w:val="nil"/>
              <w:bottom w:val="nil"/>
            </w:tcBorders>
            <w:shd w:val="clear" w:color="auto" w:fill="auto"/>
          </w:tcPr>
          <w:p w:rsidR="00BC107A" w:rsidRPr="0071782F" w:rsidRDefault="00BC107A" w:rsidP="00B92D7E">
            <w:pPr>
              <w:suppressAutoHyphens w:val="0"/>
              <w:spacing w:before="30" w:after="30" w:line="220" w:lineRule="exact"/>
              <w:jc w:val="right"/>
              <w:rPr>
                <w:sz w:val="18"/>
                <w:lang w:val="fr-CH"/>
              </w:rPr>
            </w:pPr>
            <w:r w:rsidRPr="0071782F">
              <w:rPr>
                <w:sz w:val="18"/>
                <w:lang w:val="fr-CH"/>
              </w:rPr>
              <w:t>653</w:t>
            </w:r>
          </w:p>
        </w:tc>
        <w:tc>
          <w:tcPr>
            <w:tcW w:w="1139" w:type="dxa"/>
            <w:tcBorders>
              <w:top w:val="nil"/>
              <w:bottom w:val="nil"/>
            </w:tcBorders>
            <w:shd w:val="clear" w:color="auto" w:fill="auto"/>
          </w:tcPr>
          <w:p w:rsidR="00BC107A" w:rsidRPr="0071782F" w:rsidRDefault="00BC107A" w:rsidP="00B92D7E">
            <w:pPr>
              <w:suppressAutoHyphens w:val="0"/>
              <w:spacing w:before="30" w:after="30" w:line="220" w:lineRule="exact"/>
              <w:jc w:val="right"/>
              <w:rPr>
                <w:sz w:val="18"/>
                <w:lang w:val="fr-CH"/>
              </w:rPr>
            </w:pPr>
            <w:r w:rsidRPr="0071782F">
              <w:rPr>
                <w:sz w:val="18"/>
                <w:lang w:val="fr-CH"/>
              </w:rPr>
              <w:t>58</w:t>
            </w:r>
          </w:p>
        </w:tc>
      </w:tr>
      <w:tr w:rsidR="00BC107A" w:rsidRPr="0071782F">
        <w:tc>
          <w:tcPr>
            <w:tcW w:w="993" w:type="dxa"/>
            <w:vMerge/>
            <w:tcBorders>
              <w:bottom w:val="nil"/>
            </w:tcBorders>
            <w:shd w:val="clear" w:color="auto" w:fill="auto"/>
          </w:tcPr>
          <w:p w:rsidR="00BC107A" w:rsidRPr="0071782F" w:rsidRDefault="00BC107A"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BC107A" w:rsidRPr="0071782F" w:rsidRDefault="0063391D" w:rsidP="00B92D7E">
            <w:pPr>
              <w:suppressAutoHyphens w:val="0"/>
              <w:spacing w:before="30" w:after="30" w:line="220" w:lineRule="exact"/>
              <w:rPr>
                <w:sz w:val="18"/>
                <w:lang w:val="fr-CH"/>
              </w:rPr>
            </w:pPr>
            <w:r w:rsidRPr="0071782F">
              <w:rPr>
                <w:sz w:val="18"/>
                <w:lang w:val="fr-CH"/>
              </w:rPr>
              <w:t xml:space="preserve">Espaces sportifs en plein air par habitant </w:t>
            </w:r>
          </w:p>
        </w:tc>
        <w:tc>
          <w:tcPr>
            <w:tcW w:w="1571" w:type="dxa"/>
            <w:tcBorders>
              <w:top w:val="nil"/>
              <w:bottom w:val="nil"/>
            </w:tcBorders>
            <w:shd w:val="clear" w:color="auto" w:fill="auto"/>
          </w:tcPr>
          <w:p w:rsidR="00BC107A" w:rsidRPr="0071782F" w:rsidRDefault="003F25A2" w:rsidP="00B92D7E">
            <w:pPr>
              <w:suppressAutoHyphens w:val="0"/>
              <w:spacing w:before="30" w:after="30" w:line="220" w:lineRule="exact"/>
              <w:ind w:left="113" w:right="113"/>
              <w:rPr>
                <w:sz w:val="18"/>
                <w:lang w:val="fr-CH"/>
              </w:rPr>
            </w:pPr>
            <w:r>
              <w:rPr>
                <w:sz w:val="18"/>
                <w:lang w:val="fr-CH"/>
              </w:rPr>
              <w:t>m</w:t>
            </w:r>
            <w:r w:rsidRPr="003F25A2">
              <w:rPr>
                <w:sz w:val="18"/>
                <w:vertAlign w:val="superscript"/>
                <w:lang w:val="fr-CH"/>
              </w:rPr>
              <w:t>2</w:t>
            </w:r>
          </w:p>
        </w:tc>
        <w:tc>
          <w:tcPr>
            <w:tcW w:w="729" w:type="dxa"/>
            <w:tcBorders>
              <w:top w:val="nil"/>
              <w:bottom w:val="nil"/>
            </w:tcBorders>
            <w:shd w:val="clear" w:color="auto" w:fill="auto"/>
          </w:tcPr>
          <w:p w:rsidR="00BC107A" w:rsidRPr="0071782F" w:rsidRDefault="00BC107A" w:rsidP="00B92D7E">
            <w:pPr>
              <w:suppressAutoHyphens w:val="0"/>
              <w:spacing w:before="30" w:after="30" w:line="220" w:lineRule="exact"/>
              <w:jc w:val="right"/>
              <w:rPr>
                <w:sz w:val="18"/>
                <w:lang w:val="fr-CH"/>
              </w:rPr>
            </w:pPr>
            <w:r w:rsidRPr="0071782F">
              <w:rPr>
                <w:sz w:val="18"/>
                <w:lang w:val="fr-CH"/>
              </w:rPr>
              <w:t>0</w:t>
            </w:r>
            <w:r w:rsidR="00FF1C6B" w:rsidRPr="0071782F">
              <w:rPr>
                <w:sz w:val="18"/>
                <w:lang w:val="fr-CH"/>
              </w:rPr>
              <w:t>,</w:t>
            </w:r>
            <w:r w:rsidRPr="0071782F">
              <w:rPr>
                <w:sz w:val="18"/>
                <w:lang w:val="fr-CH"/>
              </w:rPr>
              <w:t>8</w:t>
            </w:r>
          </w:p>
        </w:tc>
        <w:tc>
          <w:tcPr>
            <w:tcW w:w="800" w:type="dxa"/>
            <w:tcBorders>
              <w:top w:val="nil"/>
              <w:bottom w:val="nil"/>
            </w:tcBorders>
            <w:shd w:val="clear" w:color="auto" w:fill="auto"/>
          </w:tcPr>
          <w:p w:rsidR="00BC107A" w:rsidRPr="0071782F" w:rsidRDefault="00BC107A" w:rsidP="00B92D7E">
            <w:pPr>
              <w:suppressAutoHyphens w:val="0"/>
              <w:spacing w:before="30" w:after="30" w:line="220" w:lineRule="exact"/>
              <w:jc w:val="right"/>
              <w:rPr>
                <w:sz w:val="18"/>
                <w:lang w:val="fr-CH"/>
              </w:rPr>
            </w:pPr>
            <w:r w:rsidRPr="0071782F">
              <w:rPr>
                <w:sz w:val="18"/>
                <w:lang w:val="fr-CH"/>
              </w:rPr>
              <w:t>1</w:t>
            </w:r>
            <w:r w:rsidR="00FF1C6B" w:rsidRPr="0071782F">
              <w:rPr>
                <w:sz w:val="18"/>
                <w:lang w:val="fr-CH"/>
              </w:rPr>
              <w:t>,</w:t>
            </w:r>
            <w:r w:rsidRPr="0071782F">
              <w:rPr>
                <w:sz w:val="18"/>
                <w:lang w:val="fr-CH"/>
              </w:rPr>
              <w:t>2</w:t>
            </w:r>
          </w:p>
        </w:tc>
        <w:tc>
          <w:tcPr>
            <w:tcW w:w="1139" w:type="dxa"/>
            <w:tcBorders>
              <w:top w:val="nil"/>
              <w:bottom w:val="nil"/>
            </w:tcBorders>
            <w:shd w:val="clear" w:color="auto" w:fill="auto"/>
          </w:tcPr>
          <w:p w:rsidR="00BC107A" w:rsidRPr="0071782F" w:rsidRDefault="00BC107A" w:rsidP="00B92D7E">
            <w:pPr>
              <w:suppressAutoHyphens w:val="0"/>
              <w:spacing w:before="30" w:after="30" w:line="220" w:lineRule="exact"/>
              <w:jc w:val="right"/>
              <w:rPr>
                <w:sz w:val="18"/>
                <w:lang w:val="fr-CH"/>
              </w:rPr>
            </w:pPr>
            <w:r w:rsidRPr="0071782F">
              <w:rPr>
                <w:sz w:val="18"/>
                <w:lang w:val="fr-CH"/>
              </w:rPr>
              <w:t>150%</w:t>
            </w:r>
          </w:p>
        </w:tc>
      </w:tr>
      <w:tr w:rsidR="00F04B76" w:rsidRPr="0071782F">
        <w:tc>
          <w:tcPr>
            <w:tcW w:w="993" w:type="dxa"/>
            <w:tcBorders>
              <w:top w:val="nil"/>
              <w:bottom w:val="nil"/>
            </w:tcBorders>
            <w:shd w:val="clear" w:color="auto" w:fill="auto"/>
          </w:tcPr>
          <w:p w:rsidR="00F04B76" w:rsidRPr="0071782F" w:rsidRDefault="00F04B76"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F04B76" w:rsidRPr="0071782F" w:rsidRDefault="0063391D" w:rsidP="00B92D7E">
            <w:pPr>
              <w:suppressAutoHyphens w:val="0"/>
              <w:spacing w:before="30" w:after="30" w:line="220" w:lineRule="exact"/>
              <w:rPr>
                <w:sz w:val="18"/>
                <w:lang w:val="fr-CH"/>
              </w:rPr>
            </w:pPr>
            <w:r w:rsidRPr="0071782F">
              <w:rPr>
                <w:sz w:val="18"/>
                <w:lang w:val="fr-CH"/>
              </w:rPr>
              <w:t xml:space="preserve">Espaces sportifs couverts par habitant </w:t>
            </w:r>
          </w:p>
        </w:tc>
        <w:tc>
          <w:tcPr>
            <w:tcW w:w="1571" w:type="dxa"/>
            <w:tcBorders>
              <w:top w:val="nil"/>
              <w:bottom w:val="nil"/>
            </w:tcBorders>
            <w:shd w:val="clear" w:color="auto" w:fill="auto"/>
          </w:tcPr>
          <w:p w:rsidR="00F04B76" w:rsidRPr="0071782F" w:rsidRDefault="003F25A2" w:rsidP="00B92D7E">
            <w:pPr>
              <w:suppressAutoHyphens w:val="0"/>
              <w:spacing w:before="30" w:after="30" w:line="220" w:lineRule="exact"/>
              <w:ind w:left="113" w:right="113"/>
              <w:rPr>
                <w:sz w:val="18"/>
                <w:lang w:val="fr-CH"/>
              </w:rPr>
            </w:pPr>
            <w:r w:rsidRPr="003F25A2">
              <w:rPr>
                <w:sz w:val="18"/>
                <w:lang w:val="fr-CH"/>
              </w:rPr>
              <w:t>m</w:t>
            </w:r>
            <w:r w:rsidRPr="003F25A2">
              <w:rPr>
                <w:sz w:val="18"/>
                <w:vertAlign w:val="superscript"/>
                <w:lang w:val="fr-CH"/>
              </w:rPr>
              <w:t>2</w:t>
            </w:r>
          </w:p>
        </w:tc>
        <w:tc>
          <w:tcPr>
            <w:tcW w:w="729" w:type="dxa"/>
            <w:tcBorders>
              <w:top w:val="nil"/>
              <w:bottom w:val="nil"/>
            </w:tcBorders>
            <w:shd w:val="clear" w:color="auto" w:fill="auto"/>
          </w:tcPr>
          <w:p w:rsidR="00F04B76" w:rsidRPr="0071782F" w:rsidRDefault="007F41F4" w:rsidP="00B92D7E">
            <w:pPr>
              <w:suppressAutoHyphens w:val="0"/>
              <w:spacing w:before="30" w:after="30" w:line="220" w:lineRule="exact"/>
              <w:jc w:val="right"/>
              <w:rPr>
                <w:sz w:val="18"/>
                <w:lang w:val="fr-CH"/>
              </w:rPr>
            </w:pPr>
            <w:r w:rsidRPr="0071782F">
              <w:rPr>
                <w:sz w:val="18"/>
                <w:lang w:val="fr-CH"/>
              </w:rPr>
              <w:t>0</w:t>
            </w:r>
            <w:r w:rsidR="00FF1C6B" w:rsidRPr="0071782F">
              <w:rPr>
                <w:sz w:val="18"/>
                <w:lang w:val="fr-CH"/>
              </w:rPr>
              <w:t>,</w:t>
            </w:r>
            <w:r w:rsidRPr="0071782F">
              <w:rPr>
                <w:sz w:val="18"/>
                <w:lang w:val="fr-CH"/>
              </w:rPr>
              <w:t>57</w:t>
            </w:r>
          </w:p>
        </w:tc>
        <w:tc>
          <w:tcPr>
            <w:tcW w:w="800" w:type="dxa"/>
            <w:tcBorders>
              <w:top w:val="nil"/>
              <w:bottom w:val="nil"/>
            </w:tcBorders>
            <w:shd w:val="clear" w:color="auto" w:fill="auto"/>
          </w:tcPr>
          <w:p w:rsidR="00F04B76" w:rsidRPr="0071782F" w:rsidRDefault="007F41F4" w:rsidP="00B92D7E">
            <w:pPr>
              <w:suppressAutoHyphens w:val="0"/>
              <w:spacing w:before="30" w:after="30" w:line="220" w:lineRule="exact"/>
              <w:jc w:val="right"/>
              <w:rPr>
                <w:sz w:val="18"/>
                <w:lang w:val="fr-CH"/>
              </w:rPr>
            </w:pPr>
            <w:r w:rsidRPr="0071782F">
              <w:rPr>
                <w:sz w:val="18"/>
                <w:lang w:val="fr-CH"/>
              </w:rPr>
              <w:t>0</w:t>
            </w:r>
            <w:r w:rsidR="00FF1C6B" w:rsidRPr="0071782F">
              <w:rPr>
                <w:sz w:val="18"/>
                <w:lang w:val="fr-CH"/>
              </w:rPr>
              <w:t>,</w:t>
            </w:r>
            <w:r w:rsidRPr="0071782F">
              <w:rPr>
                <w:sz w:val="18"/>
                <w:lang w:val="fr-CH"/>
              </w:rPr>
              <w:t>7</w:t>
            </w:r>
          </w:p>
        </w:tc>
        <w:tc>
          <w:tcPr>
            <w:tcW w:w="1139" w:type="dxa"/>
            <w:tcBorders>
              <w:top w:val="nil"/>
              <w:bottom w:val="nil"/>
            </w:tcBorders>
            <w:shd w:val="clear" w:color="auto" w:fill="auto"/>
          </w:tcPr>
          <w:p w:rsidR="00F04B76" w:rsidRPr="0071782F" w:rsidRDefault="007F41F4" w:rsidP="00B92D7E">
            <w:pPr>
              <w:suppressAutoHyphens w:val="0"/>
              <w:spacing w:before="30" w:after="30" w:line="220" w:lineRule="exact"/>
              <w:jc w:val="right"/>
              <w:rPr>
                <w:sz w:val="18"/>
                <w:lang w:val="fr-CH"/>
              </w:rPr>
            </w:pPr>
            <w:r w:rsidRPr="0071782F">
              <w:rPr>
                <w:sz w:val="18"/>
                <w:lang w:val="fr-CH"/>
              </w:rPr>
              <w:t>120%</w:t>
            </w:r>
          </w:p>
        </w:tc>
      </w:tr>
      <w:tr w:rsidR="007F41F4" w:rsidRPr="0071782F">
        <w:tc>
          <w:tcPr>
            <w:tcW w:w="993" w:type="dxa"/>
            <w:tcBorders>
              <w:top w:val="nil"/>
              <w:bottom w:val="nil"/>
            </w:tcBorders>
            <w:shd w:val="clear" w:color="auto" w:fill="auto"/>
          </w:tcPr>
          <w:p w:rsidR="007F41F4" w:rsidRPr="0071782F" w:rsidRDefault="007F41F4"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7F41F4" w:rsidRPr="0071782F" w:rsidRDefault="0063391D" w:rsidP="00B92D7E">
            <w:pPr>
              <w:suppressAutoHyphens w:val="0"/>
              <w:spacing w:before="30" w:after="30" w:line="220" w:lineRule="exact"/>
              <w:rPr>
                <w:sz w:val="18"/>
                <w:lang w:val="fr-CH"/>
              </w:rPr>
            </w:pPr>
            <w:r w:rsidRPr="0071782F">
              <w:rPr>
                <w:sz w:val="18"/>
                <w:lang w:val="fr-CH"/>
              </w:rPr>
              <w:t xml:space="preserve">Participation des étudiants en médecine au pèlerinage à La Mecque </w:t>
            </w:r>
          </w:p>
        </w:tc>
        <w:tc>
          <w:tcPr>
            <w:tcW w:w="1571" w:type="dxa"/>
            <w:tcBorders>
              <w:top w:val="nil"/>
              <w:bottom w:val="nil"/>
            </w:tcBorders>
            <w:shd w:val="clear" w:color="auto" w:fill="auto"/>
          </w:tcPr>
          <w:p w:rsidR="007F41F4" w:rsidRPr="0071782F" w:rsidRDefault="007F41F4" w:rsidP="00B92D7E">
            <w:pPr>
              <w:suppressAutoHyphens w:val="0"/>
              <w:spacing w:before="30" w:after="30" w:line="220" w:lineRule="exact"/>
              <w:ind w:left="113" w:right="113"/>
              <w:rPr>
                <w:sz w:val="18"/>
                <w:lang w:val="fr-CH"/>
              </w:rPr>
            </w:pPr>
            <w:r w:rsidRPr="0071782F">
              <w:rPr>
                <w:sz w:val="18"/>
                <w:lang w:val="fr-CH"/>
              </w:rPr>
              <w:t>Person</w:t>
            </w:r>
            <w:r w:rsidR="0063391D" w:rsidRPr="0071782F">
              <w:rPr>
                <w:sz w:val="18"/>
                <w:lang w:val="fr-CH"/>
              </w:rPr>
              <w:t>ne</w:t>
            </w:r>
          </w:p>
        </w:tc>
        <w:tc>
          <w:tcPr>
            <w:tcW w:w="729" w:type="dxa"/>
            <w:tcBorders>
              <w:top w:val="nil"/>
              <w:bottom w:val="nil"/>
            </w:tcBorders>
            <w:shd w:val="clear" w:color="auto" w:fill="auto"/>
          </w:tcPr>
          <w:p w:rsidR="007F41F4" w:rsidRPr="0071782F" w:rsidRDefault="007F41F4" w:rsidP="00B92D7E">
            <w:pPr>
              <w:suppressAutoHyphens w:val="0"/>
              <w:spacing w:before="30" w:after="30" w:line="220" w:lineRule="exact"/>
              <w:jc w:val="right"/>
              <w:rPr>
                <w:sz w:val="18"/>
                <w:lang w:val="fr-CH"/>
              </w:rPr>
            </w:pPr>
            <w:r w:rsidRPr="0071782F">
              <w:rPr>
                <w:sz w:val="18"/>
                <w:lang w:val="fr-CH"/>
              </w:rPr>
              <w:t>1 400</w:t>
            </w:r>
          </w:p>
        </w:tc>
        <w:tc>
          <w:tcPr>
            <w:tcW w:w="800" w:type="dxa"/>
            <w:tcBorders>
              <w:top w:val="nil"/>
              <w:bottom w:val="nil"/>
            </w:tcBorders>
            <w:shd w:val="clear" w:color="auto" w:fill="auto"/>
          </w:tcPr>
          <w:p w:rsidR="007F41F4" w:rsidRPr="0071782F" w:rsidRDefault="007F41F4" w:rsidP="00B92D7E">
            <w:pPr>
              <w:suppressAutoHyphens w:val="0"/>
              <w:spacing w:before="30" w:after="30" w:line="220" w:lineRule="exact"/>
              <w:jc w:val="right"/>
              <w:rPr>
                <w:sz w:val="18"/>
                <w:lang w:val="fr-CH"/>
              </w:rPr>
            </w:pPr>
            <w:r w:rsidRPr="0071782F">
              <w:rPr>
                <w:sz w:val="18"/>
                <w:lang w:val="fr-CH"/>
              </w:rPr>
              <w:t>3 000</w:t>
            </w:r>
          </w:p>
        </w:tc>
        <w:tc>
          <w:tcPr>
            <w:tcW w:w="1139" w:type="dxa"/>
            <w:tcBorders>
              <w:top w:val="nil"/>
              <w:bottom w:val="nil"/>
            </w:tcBorders>
            <w:shd w:val="clear" w:color="auto" w:fill="auto"/>
          </w:tcPr>
          <w:p w:rsidR="007F41F4" w:rsidRPr="0071782F" w:rsidRDefault="007F41F4" w:rsidP="00B92D7E">
            <w:pPr>
              <w:suppressAutoHyphens w:val="0"/>
              <w:spacing w:before="30" w:after="30" w:line="220" w:lineRule="exact"/>
              <w:jc w:val="right"/>
              <w:rPr>
                <w:sz w:val="18"/>
                <w:lang w:val="fr-CH"/>
              </w:rPr>
            </w:pPr>
            <w:r w:rsidRPr="0071782F">
              <w:rPr>
                <w:sz w:val="18"/>
                <w:lang w:val="fr-CH"/>
              </w:rPr>
              <w:t>210%</w:t>
            </w:r>
          </w:p>
        </w:tc>
      </w:tr>
      <w:tr w:rsidR="007F41F4" w:rsidRPr="0071782F">
        <w:tc>
          <w:tcPr>
            <w:tcW w:w="993" w:type="dxa"/>
            <w:tcBorders>
              <w:top w:val="nil"/>
              <w:bottom w:val="nil"/>
            </w:tcBorders>
            <w:shd w:val="clear" w:color="auto" w:fill="auto"/>
          </w:tcPr>
          <w:p w:rsidR="007F41F4" w:rsidRPr="0071782F" w:rsidRDefault="007F41F4"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7F41F4" w:rsidRPr="0071782F" w:rsidRDefault="0063391D" w:rsidP="00B92D7E">
            <w:pPr>
              <w:suppressAutoHyphens w:val="0"/>
              <w:spacing w:before="30" w:after="30" w:line="220" w:lineRule="exact"/>
              <w:rPr>
                <w:sz w:val="18"/>
                <w:lang w:val="fr-CH"/>
              </w:rPr>
            </w:pPr>
            <w:r w:rsidRPr="0071782F">
              <w:rPr>
                <w:sz w:val="18"/>
                <w:lang w:val="fr-CH"/>
              </w:rPr>
              <w:t xml:space="preserve">Spécialistes des centres d’orientation pour étudiants </w:t>
            </w:r>
          </w:p>
        </w:tc>
        <w:tc>
          <w:tcPr>
            <w:tcW w:w="1571" w:type="dxa"/>
            <w:tcBorders>
              <w:top w:val="nil"/>
              <w:bottom w:val="nil"/>
            </w:tcBorders>
            <w:shd w:val="clear" w:color="auto" w:fill="auto"/>
          </w:tcPr>
          <w:p w:rsidR="007F41F4" w:rsidRPr="0071782F" w:rsidRDefault="007F41F4" w:rsidP="00B92D7E">
            <w:pPr>
              <w:suppressAutoHyphens w:val="0"/>
              <w:spacing w:before="30" w:after="30" w:line="220" w:lineRule="exact"/>
              <w:ind w:left="113" w:right="113"/>
              <w:rPr>
                <w:sz w:val="18"/>
                <w:lang w:val="fr-CH"/>
              </w:rPr>
            </w:pPr>
            <w:r w:rsidRPr="0071782F">
              <w:rPr>
                <w:sz w:val="18"/>
                <w:lang w:val="fr-CH"/>
              </w:rPr>
              <w:t>Person</w:t>
            </w:r>
            <w:r w:rsidR="0063391D" w:rsidRPr="0071782F">
              <w:rPr>
                <w:sz w:val="18"/>
                <w:lang w:val="fr-CH"/>
              </w:rPr>
              <w:t>ne</w:t>
            </w:r>
          </w:p>
        </w:tc>
        <w:tc>
          <w:tcPr>
            <w:tcW w:w="729" w:type="dxa"/>
            <w:tcBorders>
              <w:top w:val="nil"/>
              <w:bottom w:val="nil"/>
            </w:tcBorders>
            <w:shd w:val="clear" w:color="auto" w:fill="auto"/>
          </w:tcPr>
          <w:p w:rsidR="007F41F4" w:rsidRPr="0071782F" w:rsidRDefault="007F41F4" w:rsidP="00B92D7E">
            <w:pPr>
              <w:suppressAutoHyphens w:val="0"/>
              <w:spacing w:before="30" w:after="30" w:line="220" w:lineRule="exact"/>
              <w:jc w:val="right"/>
              <w:rPr>
                <w:sz w:val="18"/>
                <w:lang w:val="fr-CH"/>
              </w:rPr>
            </w:pPr>
            <w:r w:rsidRPr="0071782F">
              <w:rPr>
                <w:sz w:val="18"/>
                <w:lang w:val="fr-CH"/>
              </w:rPr>
              <w:t>149</w:t>
            </w:r>
          </w:p>
        </w:tc>
        <w:tc>
          <w:tcPr>
            <w:tcW w:w="800" w:type="dxa"/>
            <w:tcBorders>
              <w:top w:val="nil"/>
              <w:bottom w:val="nil"/>
            </w:tcBorders>
            <w:shd w:val="clear" w:color="auto" w:fill="auto"/>
          </w:tcPr>
          <w:p w:rsidR="007F41F4" w:rsidRPr="0071782F" w:rsidRDefault="007F41F4" w:rsidP="00B92D7E">
            <w:pPr>
              <w:suppressAutoHyphens w:val="0"/>
              <w:spacing w:before="30" w:after="30" w:line="220" w:lineRule="exact"/>
              <w:jc w:val="right"/>
              <w:rPr>
                <w:sz w:val="18"/>
                <w:lang w:val="fr-CH"/>
              </w:rPr>
            </w:pPr>
            <w:r w:rsidRPr="0071782F">
              <w:rPr>
                <w:sz w:val="18"/>
                <w:lang w:val="fr-CH"/>
              </w:rPr>
              <w:t>216</w:t>
            </w:r>
          </w:p>
        </w:tc>
        <w:tc>
          <w:tcPr>
            <w:tcW w:w="1139" w:type="dxa"/>
            <w:tcBorders>
              <w:top w:val="nil"/>
              <w:bottom w:val="nil"/>
            </w:tcBorders>
            <w:shd w:val="clear" w:color="auto" w:fill="auto"/>
          </w:tcPr>
          <w:p w:rsidR="007F41F4" w:rsidRPr="0071782F" w:rsidRDefault="007F41F4" w:rsidP="00B92D7E">
            <w:pPr>
              <w:suppressAutoHyphens w:val="0"/>
              <w:spacing w:before="30" w:after="30" w:line="220" w:lineRule="exact"/>
              <w:jc w:val="right"/>
              <w:rPr>
                <w:sz w:val="18"/>
                <w:lang w:val="fr-CH"/>
              </w:rPr>
            </w:pPr>
            <w:r w:rsidRPr="0071782F">
              <w:rPr>
                <w:sz w:val="18"/>
                <w:lang w:val="fr-CH"/>
              </w:rPr>
              <w:t>140%</w:t>
            </w:r>
          </w:p>
        </w:tc>
      </w:tr>
      <w:tr w:rsidR="007F41F4" w:rsidRPr="0071782F">
        <w:tc>
          <w:tcPr>
            <w:tcW w:w="993" w:type="dxa"/>
            <w:tcBorders>
              <w:top w:val="nil"/>
              <w:bottom w:val="nil"/>
            </w:tcBorders>
            <w:shd w:val="clear" w:color="auto" w:fill="auto"/>
          </w:tcPr>
          <w:p w:rsidR="007F41F4" w:rsidRPr="0071782F" w:rsidRDefault="007F41F4"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7F41F4" w:rsidRPr="0071782F" w:rsidRDefault="0063391D" w:rsidP="00B92D7E">
            <w:pPr>
              <w:suppressAutoHyphens w:val="0"/>
              <w:spacing w:before="30" w:after="30" w:line="220" w:lineRule="exact"/>
              <w:rPr>
                <w:sz w:val="18"/>
                <w:lang w:val="fr-CH"/>
              </w:rPr>
            </w:pPr>
            <w:r w:rsidRPr="0071782F">
              <w:rPr>
                <w:sz w:val="18"/>
                <w:lang w:val="fr-CH"/>
              </w:rPr>
              <w:t xml:space="preserve">Atelier ou séminaire sur l’orientation des étudiants </w:t>
            </w:r>
          </w:p>
        </w:tc>
        <w:tc>
          <w:tcPr>
            <w:tcW w:w="1571" w:type="dxa"/>
            <w:tcBorders>
              <w:top w:val="nil"/>
              <w:bottom w:val="nil"/>
            </w:tcBorders>
            <w:shd w:val="clear" w:color="auto" w:fill="auto"/>
          </w:tcPr>
          <w:p w:rsidR="007F41F4"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nil"/>
            </w:tcBorders>
            <w:shd w:val="clear" w:color="auto" w:fill="auto"/>
          </w:tcPr>
          <w:p w:rsidR="007F41F4" w:rsidRPr="0071782F" w:rsidRDefault="007F41F4" w:rsidP="00B92D7E">
            <w:pPr>
              <w:suppressAutoHyphens w:val="0"/>
              <w:spacing w:before="30" w:after="30" w:line="220" w:lineRule="exact"/>
              <w:jc w:val="right"/>
              <w:rPr>
                <w:sz w:val="18"/>
                <w:lang w:val="fr-CH"/>
              </w:rPr>
            </w:pPr>
            <w:r w:rsidRPr="0071782F">
              <w:rPr>
                <w:sz w:val="18"/>
                <w:lang w:val="fr-CH"/>
              </w:rPr>
              <w:t>502</w:t>
            </w:r>
          </w:p>
        </w:tc>
        <w:tc>
          <w:tcPr>
            <w:tcW w:w="800" w:type="dxa"/>
            <w:tcBorders>
              <w:top w:val="nil"/>
              <w:bottom w:val="nil"/>
            </w:tcBorders>
            <w:shd w:val="clear" w:color="auto" w:fill="auto"/>
          </w:tcPr>
          <w:p w:rsidR="007F41F4" w:rsidRPr="0071782F" w:rsidRDefault="007F41F4" w:rsidP="00B92D7E">
            <w:pPr>
              <w:suppressAutoHyphens w:val="0"/>
              <w:spacing w:before="30" w:after="30" w:line="220" w:lineRule="exact"/>
              <w:jc w:val="right"/>
              <w:rPr>
                <w:sz w:val="18"/>
                <w:lang w:val="fr-CH"/>
              </w:rPr>
            </w:pPr>
            <w:r w:rsidRPr="0071782F">
              <w:rPr>
                <w:sz w:val="18"/>
                <w:lang w:val="fr-CH"/>
              </w:rPr>
              <w:t>780</w:t>
            </w:r>
          </w:p>
        </w:tc>
        <w:tc>
          <w:tcPr>
            <w:tcW w:w="1139" w:type="dxa"/>
            <w:tcBorders>
              <w:top w:val="nil"/>
              <w:bottom w:val="nil"/>
            </w:tcBorders>
            <w:shd w:val="clear" w:color="auto" w:fill="auto"/>
          </w:tcPr>
          <w:p w:rsidR="007F41F4" w:rsidRPr="0071782F" w:rsidRDefault="007F41F4" w:rsidP="00B92D7E">
            <w:pPr>
              <w:suppressAutoHyphens w:val="0"/>
              <w:spacing w:before="30" w:after="30" w:line="220" w:lineRule="exact"/>
              <w:jc w:val="right"/>
              <w:rPr>
                <w:sz w:val="18"/>
                <w:lang w:val="fr-CH"/>
              </w:rPr>
            </w:pPr>
            <w:r w:rsidRPr="0071782F">
              <w:rPr>
                <w:sz w:val="18"/>
                <w:lang w:val="fr-CH"/>
              </w:rPr>
              <w:t>56%</w:t>
            </w:r>
          </w:p>
        </w:tc>
      </w:tr>
      <w:tr w:rsidR="007F41F4" w:rsidRPr="0071782F">
        <w:tc>
          <w:tcPr>
            <w:tcW w:w="993" w:type="dxa"/>
            <w:tcBorders>
              <w:top w:val="nil"/>
              <w:bottom w:val="nil"/>
            </w:tcBorders>
            <w:shd w:val="clear" w:color="auto" w:fill="auto"/>
          </w:tcPr>
          <w:p w:rsidR="007F41F4" w:rsidRPr="0071782F" w:rsidRDefault="007F41F4"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7F41F4" w:rsidRPr="0071782F" w:rsidRDefault="0063391D" w:rsidP="00B92D7E">
            <w:pPr>
              <w:suppressAutoHyphens w:val="0"/>
              <w:spacing w:before="30" w:after="30" w:line="220" w:lineRule="exact"/>
              <w:rPr>
                <w:sz w:val="18"/>
                <w:lang w:val="fr-CH"/>
              </w:rPr>
            </w:pPr>
            <w:r w:rsidRPr="0071782F">
              <w:rPr>
                <w:sz w:val="18"/>
                <w:lang w:val="fr-CH"/>
              </w:rPr>
              <w:t xml:space="preserve">Pourcentage du PIB destiné aux soins de santé et aux traitements médicaux </w:t>
            </w:r>
          </w:p>
        </w:tc>
        <w:tc>
          <w:tcPr>
            <w:tcW w:w="1571" w:type="dxa"/>
            <w:tcBorders>
              <w:top w:val="nil"/>
              <w:bottom w:val="nil"/>
            </w:tcBorders>
            <w:shd w:val="clear" w:color="auto" w:fill="auto"/>
          </w:tcPr>
          <w:p w:rsidR="007F41F4" w:rsidRPr="0071782F" w:rsidRDefault="007F41F4" w:rsidP="00B92D7E">
            <w:pPr>
              <w:suppressAutoHyphens w:val="0"/>
              <w:spacing w:before="30" w:after="30" w:line="220" w:lineRule="exact"/>
              <w:ind w:left="113" w:right="113"/>
              <w:rPr>
                <w:sz w:val="18"/>
                <w:lang w:val="fr-CH"/>
              </w:rPr>
            </w:pPr>
            <w:r w:rsidRPr="0071782F">
              <w:rPr>
                <w:sz w:val="18"/>
                <w:lang w:val="fr-CH"/>
              </w:rPr>
              <w:t>%</w:t>
            </w:r>
          </w:p>
        </w:tc>
        <w:tc>
          <w:tcPr>
            <w:tcW w:w="729" w:type="dxa"/>
            <w:tcBorders>
              <w:top w:val="nil"/>
              <w:bottom w:val="nil"/>
            </w:tcBorders>
            <w:shd w:val="clear" w:color="auto" w:fill="auto"/>
          </w:tcPr>
          <w:p w:rsidR="007F41F4" w:rsidRPr="0071782F" w:rsidRDefault="007F41F4" w:rsidP="00B92D7E">
            <w:pPr>
              <w:suppressAutoHyphens w:val="0"/>
              <w:spacing w:before="30" w:after="30" w:line="220" w:lineRule="exact"/>
              <w:jc w:val="right"/>
              <w:rPr>
                <w:sz w:val="18"/>
                <w:lang w:val="fr-CH"/>
              </w:rPr>
            </w:pPr>
            <w:r w:rsidRPr="0071782F">
              <w:rPr>
                <w:sz w:val="18"/>
                <w:lang w:val="fr-CH"/>
              </w:rPr>
              <w:t>6</w:t>
            </w:r>
            <w:r w:rsidR="00FF1C6B" w:rsidRPr="0071782F">
              <w:rPr>
                <w:sz w:val="18"/>
                <w:lang w:val="fr-CH"/>
              </w:rPr>
              <w:t>,</w:t>
            </w:r>
            <w:r w:rsidRPr="0071782F">
              <w:rPr>
                <w:sz w:val="18"/>
                <w:lang w:val="fr-CH"/>
              </w:rPr>
              <w:t>5</w:t>
            </w:r>
          </w:p>
        </w:tc>
        <w:tc>
          <w:tcPr>
            <w:tcW w:w="800" w:type="dxa"/>
            <w:tcBorders>
              <w:top w:val="nil"/>
              <w:bottom w:val="nil"/>
            </w:tcBorders>
            <w:shd w:val="clear" w:color="auto" w:fill="auto"/>
          </w:tcPr>
          <w:p w:rsidR="007F41F4" w:rsidRPr="0071782F" w:rsidRDefault="007F41F4" w:rsidP="00B92D7E">
            <w:pPr>
              <w:suppressAutoHyphens w:val="0"/>
              <w:spacing w:before="30" w:after="30" w:line="220" w:lineRule="exact"/>
              <w:jc w:val="right"/>
              <w:rPr>
                <w:sz w:val="18"/>
                <w:lang w:val="fr-CH"/>
              </w:rPr>
            </w:pPr>
            <w:r w:rsidRPr="0071782F">
              <w:rPr>
                <w:sz w:val="18"/>
                <w:lang w:val="fr-CH"/>
              </w:rPr>
              <w:t>7</w:t>
            </w:r>
          </w:p>
        </w:tc>
        <w:tc>
          <w:tcPr>
            <w:tcW w:w="1139" w:type="dxa"/>
            <w:tcBorders>
              <w:top w:val="nil"/>
              <w:bottom w:val="nil"/>
            </w:tcBorders>
            <w:shd w:val="clear" w:color="auto" w:fill="auto"/>
          </w:tcPr>
          <w:p w:rsidR="007F41F4" w:rsidRPr="0071782F" w:rsidRDefault="007F41F4" w:rsidP="00B92D7E">
            <w:pPr>
              <w:suppressAutoHyphens w:val="0"/>
              <w:spacing w:before="30" w:after="30" w:line="220" w:lineRule="exact"/>
              <w:jc w:val="right"/>
              <w:rPr>
                <w:sz w:val="18"/>
                <w:lang w:val="fr-CH"/>
              </w:rPr>
            </w:pPr>
            <w:r w:rsidRPr="0071782F">
              <w:rPr>
                <w:sz w:val="18"/>
                <w:lang w:val="fr-CH"/>
              </w:rPr>
              <w:t>0</w:t>
            </w:r>
            <w:r w:rsidR="00FF1C6B" w:rsidRPr="0071782F">
              <w:rPr>
                <w:sz w:val="18"/>
                <w:lang w:val="fr-CH"/>
              </w:rPr>
              <w:t>,</w:t>
            </w:r>
            <w:r w:rsidRPr="0071782F">
              <w:rPr>
                <w:sz w:val="18"/>
                <w:lang w:val="fr-CH"/>
              </w:rPr>
              <w:t>5%</w:t>
            </w:r>
          </w:p>
        </w:tc>
      </w:tr>
      <w:tr w:rsidR="00BC107A" w:rsidRPr="0071782F">
        <w:tc>
          <w:tcPr>
            <w:tcW w:w="993" w:type="dxa"/>
            <w:vMerge w:val="restart"/>
            <w:tcBorders>
              <w:top w:val="nil"/>
            </w:tcBorders>
            <w:shd w:val="clear" w:color="auto" w:fill="auto"/>
          </w:tcPr>
          <w:p w:rsidR="00BC107A" w:rsidRPr="0071782F" w:rsidRDefault="003206F9" w:rsidP="00B92D7E">
            <w:pPr>
              <w:suppressAutoHyphens w:val="0"/>
              <w:spacing w:before="30" w:after="30" w:line="220" w:lineRule="exact"/>
              <w:rPr>
                <w:sz w:val="18"/>
                <w:lang w:val="fr-CH"/>
              </w:rPr>
            </w:pPr>
            <w:r w:rsidRPr="0071782F">
              <w:rPr>
                <w:sz w:val="18"/>
                <w:lang w:val="fr-CH"/>
              </w:rPr>
              <w:t>Améliora</w:t>
            </w:r>
            <w:r w:rsidR="00E024A3">
              <w:rPr>
                <w:sz w:val="18"/>
                <w:lang w:val="fr-CH"/>
              </w:rPr>
              <w:t>-</w:t>
            </w:r>
            <w:r w:rsidRPr="0071782F">
              <w:rPr>
                <w:sz w:val="18"/>
                <w:lang w:val="fr-CH"/>
              </w:rPr>
              <w:t>tion des ressources et de la gestion</w:t>
            </w:r>
          </w:p>
        </w:tc>
        <w:tc>
          <w:tcPr>
            <w:tcW w:w="3273" w:type="dxa"/>
            <w:tcBorders>
              <w:top w:val="nil"/>
              <w:bottom w:val="nil"/>
            </w:tcBorders>
            <w:shd w:val="clear" w:color="auto" w:fill="auto"/>
          </w:tcPr>
          <w:p w:rsidR="00BC107A" w:rsidRPr="0071782F" w:rsidRDefault="003206F9" w:rsidP="00B92D7E">
            <w:pPr>
              <w:suppressAutoHyphens w:val="0"/>
              <w:spacing w:before="30" w:after="30" w:line="220" w:lineRule="exact"/>
              <w:rPr>
                <w:sz w:val="18"/>
                <w:lang w:val="fr-CH"/>
              </w:rPr>
            </w:pPr>
            <w:r w:rsidRPr="0071782F">
              <w:rPr>
                <w:sz w:val="18"/>
                <w:lang w:val="fr-CH"/>
              </w:rPr>
              <w:t xml:space="preserve">Automatisation de l’administration du centre </w:t>
            </w:r>
          </w:p>
        </w:tc>
        <w:tc>
          <w:tcPr>
            <w:tcW w:w="1571" w:type="dxa"/>
            <w:tcBorders>
              <w:top w:val="nil"/>
              <w:bottom w:val="nil"/>
            </w:tcBorders>
            <w:shd w:val="clear" w:color="auto" w:fill="auto"/>
          </w:tcPr>
          <w:p w:rsidR="00BC107A" w:rsidRPr="0071782F" w:rsidRDefault="00BC107A" w:rsidP="00B92D7E">
            <w:pPr>
              <w:suppressAutoHyphens w:val="0"/>
              <w:spacing w:before="30" w:after="30" w:line="220" w:lineRule="exact"/>
              <w:ind w:left="113" w:right="113"/>
              <w:rPr>
                <w:sz w:val="18"/>
                <w:lang w:val="fr-CH"/>
              </w:rPr>
            </w:pPr>
            <w:r w:rsidRPr="0071782F">
              <w:rPr>
                <w:sz w:val="18"/>
                <w:lang w:val="fr-CH"/>
              </w:rPr>
              <w:t>%</w:t>
            </w:r>
          </w:p>
        </w:tc>
        <w:tc>
          <w:tcPr>
            <w:tcW w:w="729" w:type="dxa"/>
            <w:tcBorders>
              <w:top w:val="nil"/>
              <w:bottom w:val="nil"/>
            </w:tcBorders>
            <w:shd w:val="clear" w:color="auto" w:fill="auto"/>
          </w:tcPr>
          <w:p w:rsidR="00BC107A" w:rsidRPr="0071782F" w:rsidRDefault="00BC107A" w:rsidP="00B92D7E">
            <w:pPr>
              <w:suppressAutoHyphens w:val="0"/>
              <w:spacing w:before="30" w:after="30" w:line="220" w:lineRule="exact"/>
              <w:jc w:val="right"/>
              <w:rPr>
                <w:sz w:val="18"/>
                <w:lang w:val="fr-CH"/>
              </w:rPr>
            </w:pPr>
            <w:r w:rsidRPr="0071782F">
              <w:rPr>
                <w:sz w:val="18"/>
                <w:lang w:val="fr-CH"/>
              </w:rPr>
              <w:t>50</w:t>
            </w:r>
          </w:p>
        </w:tc>
        <w:tc>
          <w:tcPr>
            <w:tcW w:w="800" w:type="dxa"/>
            <w:tcBorders>
              <w:top w:val="nil"/>
              <w:bottom w:val="nil"/>
            </w:tcBorders>
            <w:shd w:val="clear" w:color="auto" w:fill="auto"/>
          </w:tcPr>
          <w:p w:rsidR="00BC107A" w:rsidRPr="0071782F" w:rsidRDefault="00BC107A" w:rsidP="00B92D7E">
            <w:pPr>
              <w:suppressAutoHyphens w:val="0"/>
              <w:spacing w:before="30" w:after="30" w:line="220" w:lineRule="exact"/>
              <w:jc w:val="right"/>
              <w:rPr>
                <w:sz w:val="18"/>
                <w:lang w:val="fr-CH"/>
              </w:rPr>
            </w:pPr>
            <w:r w:rsidRPr="0071782F">
              <w:rPr>
                <w:sz w:val="18"/>
                <w:lang w:val="fr-CH"/>
              </w:rPr>
              <w:t>90</w:t>
            </w:r>
          </w:p>
        </w:tc>
        <w:tc>
          <w:tcPr>
            <w:tcW w:w="1139" w:type="dxa"/>
            <w:tcBorders>
              <w:top w:val="nil"/>
              <w:bottom w:val="nil"/>
            </w:tcBorders>
            <w:shd w:val="clear" w:color="auto" w:fill="auto"/>
          </w:tcPr>
          <w:p w:rsidR="00BC107A" w:rsidRPr="0071782F" w:rsidRDefault="00BC107A" w:rsidP="00B92D7E">
            <w:pPr>
              <w:suppressAutoHyphens w:val="0"/>
              <w:spacing w:before="30" w:after="30" w:line="220" w:lineRule="exact"/>
              <w:jc w:val="right"/>
              <w:rPr>
                <w:sz w:val="18"/>
                <w:lang w:val="fr-CH"/>
              </w:rPr>
            </w:pPr>
            <w:r w:rsidRPr="0071782F">
              <w:rPr>
                <w:sz w:val="18"/>
                <w:lang w:val="fr-CH"/>
              </w:rPr>
              <w:t>180%</w:t>
            </w:r>
          </w:p>
        </w:tc>
      </w:tr>
      <w:tr w:rsidR="00BC107A" w:rsidRPr="0071782F">
        <w:tc>
          <w:tcPr>
            <w:tcW w:w="993" w:type="dxa"/>
            <w:vMerge/>
            <w:shd w:val="clear" w:color="auto" w:fill="auto"/>
          </w:tcPr>
          <w:p w:rsidR="00BC107A" w:rsidRPr="0071782F" w:rsidRDefault="00BC107A"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BC107A" w:rsidRPr="0071782F" w:rsidRDefault="003206F9" w:rsidP="00B92D7E">
            <w:pPr>
              <w:suppressAutoHyphens w:val="0"/>
              <w:spacing w:before="30" w:after="30" w:line="220" w:lineRule="exact"/>
              <w:rPr>
                <w:sz w:val="18"/>
                <w:lang w:val="fr-CH"/>
              </w:rPr>
            </w:pPr>
            <w:r w:rsidRPr="0071782F">
              <w:rPr>
                <w:sz w:val="18"/>
                <w:lang w:val="fr-CH"/>
              </w:rPr>
              <w:t xml:space="preserve">Formation continue des administrateurs </w:t>
            </w:r>
          </w:p>
        </w:tc>
        <w:tc>
          <w:tcPr>
            <w:tcW w:w="1571" w:type="dxa"/>
            <w:tcBorders>
              <w:top w:val="nil"/>
              <w:bottom w:val="nil"/>
            </w:tcBorders>
            <w:shd w:val="clear" w:color="auto" w:fill="auto"/>
          </w:tcPr>
          <w:p w:rsidR="00BC107A" w:rsidRPr="0071782F" w:rsidRDefault="003206F9" w:rsidP="00B92D7E">
            <w:pPr>
              <w:suppressAutoHyphens w:val="0"/>
              <w:spacing w:before="30" w:after="30" w:line="220" w:lineRule="exact"/>
              <w:ind w:left="113" w:right="113"/>
              <w:rPr>
                <w:sz w:val="18"/>
                <w:lang w:val="fr-CH"/>
              </w:rPr>
            </w:pPr>
            <w:r w:rsidRPr="0071782F">
              <w:rPr>
                <w:sz w:val="18"/>
                <w:lang w:val="fr-CH"/>
              </w:rPr>
              <w:t xml:space="preserve">Heure-personne </w:t>
            </w:r>
          </w:p>
        </w:tc>
        <w:tc>
          <w:tcPr>
            <w:tcW w:w="729" w:type="dxa"/>
            <w:tcBorders>
              <w:top w:val="nil"/>
              <w:bottom w:val="nil"/>
            </w:tcBorders>
            <w:shd w:val="clear" w:color="auto" w:fill="auto"/>
          </w:tcPr>
          <w:p w:rsidR="00BC107A" w:rsidRPr="0071782F" w:rsidRDefault="00BC107A" w:rsidP="00B92D7E">
            <w:pPr>
              <w:suppressAutoHyphens w:val="0"/>
              <w:spacing w:before="30" w:after="30" w:line="220" w:lineRule="exact"/>
              <w:jc w:val="right"/>
              <w:rPr>
                <w:sz w:val="18"/>
                <w:lang w:val="fr-CH"/>
              </w:rPr>
            </w:pPr>
            <w:r w:rsidRPr="0071782F">
              <w:rPr>
                <w:sz w:val="18"/>
                <w:lang w:val="fr-CH"/>
              </w:rPr>
              <w:t>50</w:t>
            </w:r>
          </w:p>
        </w:tc>
        <w:tc>
          <w:tcPr>
            <w:tcW w:w="800" w:type="dxa"/>
            <w:tcBorders>
              <w:top w:val="nil"/>
              <w:bottom w:val="nil"/>
            </w:tcBorders>
            <w:shd w:val="clear" w:color="auto" w:fill="auto"/>
          </w:tcPr>
          <w:p w:rsidR="00BC107A" w:rsidRPr="0071782F" w:rsidRDefault="00BC107A" w:rsidP="00B92D7E">
            <w:pPr>
              <w:suppressAutoHyphens w:val="0"/>
              <w:spacing w:before="30" w:after="30" w:line="220" w:lineRule="exact"/>
              <w:jc w:val="right"/>
              <w:rPr>
                <w:sz w:val="18"/>
                <w:lang w:val="fr-CH"/>
              </w:rPr>
            </w:pPr>
            <w:r w:rsidRPr="0071782F">
              <w:rPr>
                <w:sz w:val="18"/>
                <w:lang w:val="fr-CH"/>
              </w:rPr>
              <w:t>170</w:t>
            </w:r>
          </w:p>
        </w:tc>
        <w:tc>
          <w:tcPr>
            <w:tcW w:w="1139" w:type="dxa"/>
            <w:tcBorders>
              <w:top w:val="nil"/>
              <w:bottom w:val="nil"/>
            </w:tcBorders>
            <w:shd w:val="clear" w:color="auto" w:fill="auto"/>
          </w:tcPr>
          <w:p w:rsidR="00BC107A" w:rsidRPr="0071782F" w:rsidRDefault="00BC107A" w:rsidP="00B92D7E">
            <w:pPr>
              <w:suppressAutoHyphens w:val="0"/>
              <w:spacing w:before="30" w:after="30" w:line="220" w:lineRule="exact"/>
              <w:jc w:val="right"/>
              <w:rPr>
                <w:sz w:val="18"/>
                <w:lang w:val="fr-CH"/>
              </w:rPr>
            </w:pPr>
            <w:r w:rsidRPr="0071782F">
              <w:rPr>
                <w:sz w:val="18"/>
                <w:lang w:val="fr-CH"/>
              </w:rPr>
              <w:t>340%</w:t>
            </w:r>
          </w:p>
        </w:tc>
      </w:tr>
      <w:tr w:rsidR="00BC107A" w:rsidRPr="0071782F">
        <w:tc>
          <w:tcPr>
            <w:tcW w:w="993" w:type="dxa"/>
            <w:vMerge/>
            <w:tcBorders>
              <w:bottom w:val="nil"/>
            </w:tcBorders>
            <w:shd w:val="clear" w:color="auto" w:fill="auto"/>
          </w:tcPr>
          <w:p w:rsidR="00BC107A" w:rsidRPr="0071782F" w:rsidRDefault="00BC107A" w:rsidP="00B92D7E">
            <w:pPr>
              <w:suppressAutoHyphens w:val="0"/>
              <w:spacing w:before="30" w:after="30" w:line="220" w:lineRule="exact"/>
              <w:rPr>
                <w:sz w:val="18"/>
                <w:lang w:val="fr-CH"/>
              </w:rPr>
            </w:pPr>
          </w:p>
        </w:tc>
        <w:tc>
          <w:tcPr>
            <w:tcW w:w="3273" w:type="dxa"/>
            <w:tcBorders>
              <w:top w:val="nil"/>
              <w:bottom w:val="nil"/>
            </w:tcBorders>
            <w:shd w:val="clear" w:color="auto" w:fill="auto"/>
          </w:tcPr>
          <w:p w:rsidR="00BC107A" w:rsidRPr="0071782F" w:rsidRDefault="003206F9" w:rsidP="00B92D7E">
            <w:pPr>
              <w:suppressAutoHyphens w:val="0"/>
              <w:spacing w:before="30" w:after="30" w:line="220" w:lineRule="exact"/>
              <w:rPr>
                <w:sz w:val="18"/>
                <w:lang w:val="fr-CH"/>
              </w:rPr>
            </w:pPr>
            <w:r w:rsidRPr="0071782F">
              <w:rPr>
                <w:sz w:val="18"/>
                <w:lang w:val="fr-CH"/>
              </w:rPr>
              <w:t>Taux de productivité</w:t>
            </w:r>
          </w:p>
        </w:tc>
        <w:tc>
          <w:tcPr>
            <w:tcW w:w="1571" w:type="dxa"/>
            <w:tcBorders>
              <w:top w:val="nil"/>
              <w:bottom w:val="nil"/>
            </w:tcBorders>
            <w:shd w:val="clear" w:color="auto" w:fill="auto"/>
          </w:tcPr>
          <w:p w:rsidR="00BC107A" w:rsidRPr="0071782F" w:rsidRDefault="00BC107A" w:rsidP="00B92D7E">
            <w:pPr>
              <w:suppressAutoHyphens w:val="0"/>
              <w:spacing w:before="30" w:after="30" w:line="220" w:lineRule="exact"/>
              <w:ind w:left="113" w:right="113"/>
              <w:rPr>
                <w:sz w:val="18"/>
                <w:lang w:val="fr-CH"/>
              </w:rPr>
            </w:pPr>
            <w:r w:rsidRPr="0071782F">
              <w:rPr>
                <w:sz w:val="18"/>
                <w:lang w:val="fr-CH"/>
              </w:rPr>
              <w:t>%</w:t>
            </w:r>
          </w:p>
        </w:tc>
        <w:tc>
          <w:tcPr>
            <w:tcW w:w="729" w:type="dxa"/>
            <w:tcBorders>
              <w:top w:val="nil"/>
              <w:bottom w:val="nil"/>
            </w:tcBorders>
            <w:shd w:val="clear" w:color="auto" w:fill="auto"/>
          </w:tcPr>
          <w:p w:rsidR="00BC107A" w:rsidRPr="0071782F" w:rsidRDefault="00036423" w:rsidP="00B92D7E">
            <w:pPr>
              <w:suppressAutoHyphens w:val="0"/>
              <w:spacing w:before="30" w:after="30" w:line="220" w:lineRule="exact"/>
              <w:jc w:val="right"/>
              <w:rPr>
                <w:sz w:val="18"/>
                <w:lang w:val="fr-CH"/>
              </w:rPr>
            </w:pPr>
            <w:r w:rsidRPr="0071782F">
              <w:rPr>
                <w:sz w:val="18"/>
                <w:lang w:val="fr-CH"/>
              </w:rPr>
              <w:t>–</w:t>
            </w:r>
          </w:p>
        </w:tc>
        <w:tc>
          <w:tcPr>
            <w:tcW w:w="800" w:type="dxa"/>
            <w:tcBorders>
              <w:top w:val="nil"/>
              <w:bottom w:val="nil"/>
            </w:tcBorders>
            <w:shd w:val="clear" w:color="auto" w:fill="auto"/>
          </w:tcPr>
          <w:p w:rsidR="00BC107A" w:rsidRPr="0071782F" w:rsidRDefault="00BC107A" w:rsidP="00B92D7E">
            <w:pPr>
              <w:suppressAutoHyphens w:val="0"/>
              <w:spacing w:before="30" w:after="30" w:line="220" w:lineRule="exact"/>
              <w:jc w:val="right"/>
              <w:rPr>
                <w:sz w:val="18"/>
                <w:lang w:val="fr-CH"/>
              </w:rPr>
            </w:pPr>
            <w:r w:rsidRPr="0071782F">
              <w:rPr>
                <w:sz w:val="18"/>
                <w:lang w:val="fr-CH"/>
              </w:rPr>
              <w:t>50</w:t>
            </w:r>
          </w:p>
        </w:tc>
        <w:tc>
          <w:tcPr>
            <w:tcW w:w="1139" w:type="dxa"/>
            <w:tcBorders>
              <w:top w:val="nil"/>
              <w:bottom w:val="nil"/>
            </w:tcBorders>
            <w:shd w:val="clear" w:color="auto" w:fill="auto"/>
          </w:tcPr>
          <w:p w:rsidR="00BC107A" w:rsidRPr="0071782F" w:rsidRDefault="00036423" w:rsidP="00B92D7E">
            <w:pPr>
              <w:suppressAutoHyphens w:val="0"/>
              <w:spacing w:before="30" w:after="30" w:line="220" w:lineRule="exact"/>
              <w:jc w:val="right"/>
              <w:rPr>
                <w:sz w:val="18"/>
                <w:lang w:val="fr-CH"/>
              </w:rPr>
            </w:pPr>
            <w:r w:rsidRPr="0071782F">
              <w:rPr>
                <w:sz w:val="18"/>
                <w:lang w:val="fr-CH"/>
              </w:rPr>
              <w:t>–</w:t>
            </w:r>
          </w:p>
        </w:tc>
      </w:tr>
      <w:tr w:rsidR="007F41F4" w:rsidRPr="0071782F">
        <w:tc>
          <w:tcPr>
            <w:tcW w:w="993" w:type="dxa"/>
            <w:tcBorders>
              <w:top w:val="nil"/>
              <w:bottom w:val="single" w:sz="12" w:space="0" w:color="auto"/>
            </w:tcBorders>
            <w:shd w:val="clear" w:color="auto" w:fill="auto"/>
          </w:tcPr>
          <w:p w:rsidR="007F41F4" w:rsidRPr="0071782F" w:rsidRDefault="007F41F4" w:rsidP="00B92D7E">
            <w:pPr>
              <w:suppressAutoHyphens w:val="0"/>
              <w:spacing w:before="30" w:after="30" w:line="220" w:lineRule="exact"/>
              <w:rPr>
                <w:sz w:val="18"/>
                <w:lang w:val="fr-CH"/>
              </w:rPr>
            </w:pPr>
          </w:p>
        </w:tc>
        <w:tc>
          <w:tcPr>
            <w:tcW w:w="3273" w:type="dxa"/>
            <w:tcBorders>
              <w:top w:val="nil"/>
              <w:bottom w:val="single" w:sz="12" w:space="0" w:color="auto"/>
            </w:tcBorders>
            <w:shd w:val="clear" w:color="auto" w:fill="auto"/>
          </w:tcPr>
          <w:p w:rsidR="007F41F4" w:rsidRPr="0071782F" w:rsidRDefault="007F41F4" w:rsidP="00B92D7E">
            <w:pPr>
              <w:suppressAutoHyphens w:val="0"/>
              <w:spacing w:before="30" w:after="30" w:line="220" w:lineRule="exact"/>
              <w:rPr>
                <w:sz w:val="18"/>
                <w:lang w:val="fr-CH"/>
              </w:rPr>
            </w:pPr>
            <w:r w:rsidRPr="0071782F">
              <w:rPr>
                <w:sz w:val="18"/>
                <w:lang w:val="fr-CH"/>
              </w:rPr>
              <w:t xml:space="preserve">Ambulances </w:t>
            </w:r>
            <w:r w:rsidR="003206F9" w:rsidRPr="0071782F">
              <w:rPr>
                <w:sz w:val="18"/>
                <w:lang w:val="fr-CH"/>
              </w:rPr>
              <w:t xml:space="preserve">achetées chaque année </w:t>
            </w:r>
          </w:p>
        </w:tc>
        <w:tc>
          <w:tcPr>
            <w:tcW w:w="1571" w:type="dxa"/>
            <w:tcBorders>
              <w:top w:val="nil"/>
              <w:bottom w:val="single" w:sz="12" w:space="0" w:color="auto"/>
            </w:tcBorders>
            <w:shd w:val="clear" w:color="auto" w:fill="auto"/>
          </w:tcPr>
          <w:p w:rsidR="007F41F4" w:rsidRPr="0071782F" w:rsidRDefault="003B48A4" w:rsidP="00B92D7E">
            <w:pPr>
              <w:suppressAutoHyphens w:val="0"/>
              <w:spacing w:before="30" w:after="30" w:line="220" w:lineRule="exact"/>
              <w:ind w:left="113" w:right="113"/>
              <w:rPr>
                <w:sz w:val="18"/>
                <w:lang w:val="fr-CH"/>
              </w:rPr>
            </w:pPr>
            <w:r w:rsidRPr="0071782F">
              <w:rPr>
                <w:sz w:val="18"/>
                <w:lang w:val="fr-CH"/>
              </w:rPr>
              <w:t>Nombre</w:t>
            </w:r>
          </w:p>
        </w:tc>
        <w:tc>
          <w:tcPr>
            <w:tcW w:w="729" w:type="dxa"/>
            <w:tcBorders>
              <w:top w:val="nil"/>
              <w:bottom w:val="single" w:sz="12" w:space="0" w:color="auto"/>
            </w:tcBorders>
            <w:shd w:val="clear" w:color="auto" w:fill="auto"/>
          </w:tcPr>
          <w:p w:rsidR="007F41F4" w:rsidRPr="0071782F" w:rsidRDefault="007F41F4" w:rsidP="00B92D7E">
            <w:pPr>
              <w:suppressAutoHyphens w:val="0"/>
              <w:spacing w:before="30" w:after="30" w:line="220" w:lineRule="exact"/>
              <w:jc w:val="right"/>
              <w:rPr>
                <w:sz w:val="18"/>
                <w:lang w:val="fr-CH"/>
              </w:rPr>
            </w:pPr>
            <w:r w:rsidRPr="0071782F">
              <w:rPr>
                <w:sz w:val="18"/>
                <w:lang w:val="fr-CH"/>
              </w:rPr>
              <w:t>450</w:t>
            </w:r>
          </w:p>
        </w:tc>
        <w:tc>
          <w:tcPr>
            <w:tcW w:w="800" w:type="dxa"/>
            <w:tcBorders>
              <w:top w:val="nil"/>
              <w:bottom w:val="single" w:sz="12" w:space="0" w:color="auto"/>
            </w:tcBorders>
            <w:shd w:val="clear" w:color="auto" w:fill="auto"/>
          </w:tcPr>
          <w:p w:rsidR="007F41F4" w:rsidRPr="0071782F" w:rsidRDefault="007F41F4" w:rsidP="00B92D7E">
            <w:pPr>
              <w:suppressAutoHyphens w:val="0"/>
              <w:spacing w:before="30" w:after="30" w:line="220" w:lineRule="exact"/>
              <w:jc w:val="right"/>
              <w:rPr>
                <w:sz w:val="18"/>
                <w:lang w:val="fr-CH"/>
              </w:rPr>
            </w:pPr>
            <w:r w:rsidRPr="0071782F">
              <w:rPr>
                <w:sz w:val="18"/>
                <w:lang w:val="fr-CH"/>
              </w:rPr>
              <w:t>750</w:t>
            </w:r>
          </w:p>
        </w:tc>
        <w:tc>
          <w:tcPr>
            <w:tcW w:w="1139" w:type="dxa"/>
            <w:tcBorders>
              <w:top w:val="nil"/>
              <w:bottom w:val="single" w:sz="12" w:space="0" w:color="auto"/>
            </w:tcBorders>
            <w:shd w:val="clear" w:color="auto" w:fill="auto"/>
          </w:tcPr>
          <w:p w:rsidR="007F41F4" w:rsidRPr="0071782F" w:rsidRDefault="007F41F4" w:rsidP="00B92D7E">
            <w:pPr>
              <w:suppressAutoHyphens w:val="0"/>
              <w:spacing w:before="30" w:after="30" w:line="220" w:lineRule="exact"/>
              <w:jc w:val="right"/>
              <w:rPr>
                <w:sz w:val="18"/>
                <w:lang w:val="fr-CH"/>
              </w:rPr>
            </w:pPr>
            <w:r w:rsidRPr="0071782F">
              <w:rPr>
                <w:sz w:val="18"/>
                <w:lang w:val="fr-CH"/>
              </w:rPr>
              <w:t>60%</w:t>
            </w:r>
          </w:p>
        </w:tc>
      </w:tr>
    </w:tbl>
    <w:p w:rsidR="00E5019F" w:rsidRPr="0071782F" w:rsidRDefault="00E5019F" w:rsidP="00B92D7E">
      <w:pPr>
        <w:pStyle w:val="H23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DE5D42" w:rsidRPr="0071782F">
        <w:rPr>
          <w:lang w:val="fr-CH"/>
        </w:rPr>
        <w:t xml:space="preserve">de centres de traitement, selon le statut juridique et le nombre de lits </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766"/>
        <w:gridCol w:w="850"/>
        <w:gridCol w:w="850"/>
        <w:gridCol w:w="1109"/>
        <w:gridCol w:w="1110"/>
        <w:gridCol w:w="955"/>
        <w:gridCol w:w="955"/>
        <w:gridCol w:w="955"/>
        <w:gridCol w:w="955"/>
      </w:tblGrid>
      <w:tr w:rsidR="00E5019F" w:rsidRPr="0071782F">
        <w:trPr>
          <w:tblHeader/>
        </w:trPr>
        <w:tc>
          <w:tcPr>
            <w:tcW w:w="766" w:type="dxa"/>
            <w:vMerge w:val="restart"/>
            <w:tcBorders>
              <w:top w:val="single" w:sz="4" w:space="0" w:color="auto"/>
              <w:bottom w:val="single" w:sz="12" w:space="0" w:color="auto"/>
            </w:tcBorders>
            <w:shd w:val="clear" w:color="000000" w:fill="auto"/>
            <w:vAlign w:val="bottom"/>
          </w:tcPr>
          <w:p w:rsidR="00E5019F" w:rsidRPr="0071782F" w:rsidRDefault="00DE5D42" w:rsidP="00B92D7E">
            <w:pPr>
              <w:keepNext/>
              <w:keepLines/>
              <w:suppressAutoHyphens w:val="0"/>
              <w:spacing w:before="80" w:after="80" w:line="200" w:lineRule="exact"/>
              <w:rPr>
                <w:i/>
                <w:sz w:val="16"/>
                <w:lang w:val="fr-CH"/>
              </w:rPr>
            </w:pPr>
            <w:r w:rsidRPr="0071782F">
              <w:rPr>
                <w:i/>
                <w:sz w:val="16"/>
                <w:lang w:val="fr-CH"/>
              </w:rPr>
              <w:t>Année</w:t>
            </w:r>
            <w:r w:rsidR="00E5019F" w:rsidRPr="0071782F">
              <w:rPr>
                <w:i/>
                <w:sz w:val="16"/>
                <w:lang w:val="fr-CH"/>
              </w:rPr>
              <w:t xml:space="preserve"> province</w:t>
            </w:r>
          </w:p>
        </w:tc>
        <w:tc>
          <w:tcPr>
            <w:tcW w:w="1700" w:type="dxa"/>
            <w:gridSpan w:val="2"/>
            <w:tcBorders>
              <w:top w:val="single" w:sz="4" w:space="0" w:color="auto"/>
              <w:bottom w:val="single" w:sz="4" w:space="0" w:color="auto"/>
              <w:right w:val="single" w:sz="24" w:space="0" w:color="FFFFFF"/>
            </w:tcBorders>
            <w:shd w:val="clear" w:color="000000" w:fill="auto"/>
            <w:vAlign w:val="bottom"/>
          </w:tcPr>
          <w:p w:rsidR="00E5019F" w:rsidRPr="0071782F" w:rsidRDefault="00E5019F" w:rsidP="00B92D7E">
            <w:pPr>
              <w:keepNext/>
              <w:keepLines/>
              <w:suppressAutoHyphens w:val="0"/>
              <w:spacing w:before="80" w:after="80" w:line="200" w:lineRule="exact"/>
              <w:jc w:val="center"/>
              <w:rPr>
                <w:b/>
                <w:i/>
                <w:sz w:val="16"/>
                <w:lang w:val="fr-CH"/>
              </w:rPr>
            </w:pPr>
            <w:r w:rsidRPr="0071782F">
              <w:rPr>
                <w:b/>
                <w:i/>
                <w:sz w:val="16"/>
                <w:lang w:val="fr-CH"/>
              </w:rPr>
              <w:t>Total</w:t>
            </w:r>
          </w:p>
        </w:tc>
        <w:tc>
          <w:tcPr>
            <w:tcW w:w="2219"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E5019F" w:rsidRPr="0071782F" w:rsidRDefault="00DE5D42" w:rsidP="00B92D7E">
            <w:pPr>
              <w:keepNext/>
              <w:keepLines/>
              <w:suppressAutoHyphens w:val="0"/>
              <w:spacing w:before="80" w:after="80" w:line="200" w:lineRule="exact"/>
              <w:jc w:val="center"/>
              <w:rPr>
                <w:i/>
                <w:sz w:val="16"/>
                <w:lang w:val="fr-CH"/>
              </w:rPr>
            </w:pPr>
            <w:r w:rsidRPr="0071782F">
              <w:rPr>
                <w:i/>
                <w:sz w:val="16"/>
                <w:lang w:val="fr-CH"/>
              </w:rPr>
              <w:t>Relevant du Ministère de la santé</w:t>
            </w:r>
          </w:p>
        </w:tc>
        <w:tc>
          <w:tcPr>
            <w:tcW w:w="191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E5019F" w:rsidRPr="0071782F" w:rsidRDefault="00E5019F" w:rsidP="00B92D7E">
            <w:pPr>
              <w:keepNext/>
              <w:keepLines/>
              <w:suppressAutoHyphens w:val="0"/>
              <w:spacing w:before="80" w:after="80" w:line="200" w:lineRule="exact"/>
              <w:jc w:val="center"/>
              <w:rPr>
                <w:i/>
                <w:sz w:val="16"/>
                <w:lang w:val="fr-CH"/>
              </w:rPr>
            </w:pPr>
            <w:r w:rsidRPr="0071782F">
              <w:rPr>
                <w:i/>
                <w:sz w:val="16"/>
                <w:lang w:val="fr-CH"/>
              </w:rPr>
              <w:t>Priv</w:t>
            </w:r>
            <w:r w:rsidR="00DE5D42" w:rsidRPr="0071782F">
              <w:rPr>
                <w:i/>
                <w:sz w:val="16"/>
                <w:lang w:val="fr-CH"/>
              </w:rPr>
              <w:t>és</w:t>
            </w:r>
          </w:p>
        </w:tc>
        <w:tc>
          <w:tcPr>
            <w:tcW w:w="1910" w:type="dxa"/>
            <w:gridSpan w:val="2"/>
            <w:tcBorders>
              <w:top w:val="single" w:sz="4" w:space="0" w:color="auto"/>
              <w:left w:val="single" w:sz="24" w:space="0" w:color="FFFFFF"/>
              <w:bottom w:val="single" w:sz="4" w:space="0" w:color="auto"/>
            </w:tcBorders>
            <w:shd w:val="clear" w:color="000000" w:fill="auto"/>
            <w:vAlign w:val="bottom"/>
          </w:tcPr>
          <w:p w:rsidR="00E5019F" w:rsidRPr="0071782F" w:rsidRDefault="00DE5D42" w:rsidP="00B92D7E">
            <w:pPr>
              <w:keepNext/>
              <w:keepLines/>
              <w:suppressAutoHyphens w:val="0"/>
              <w:spacing w:before="80" w:after="80" w:line="200" w:lineRule="exact"/>
              <w:jc w:val="center"/>
              <w:rPr>
                <w:i/>
                <w:sz w:val="16"/>
                <w:lang w:val="fr-CH"/>
              </w:rPr>
            </w:pPr>
            <w:r w:rsidRPr="0071782F">
              <w:rPr>
                <w:i/>
                <w:sz w:val="16"/>
                <w:lang w:val="fr-CH"/>
              </w:rPr>
              <w:t>Autres</w:t>
            </w:r>
          </w:p>
        </w:tc>
      </w:tr>
      <w:tr w:rsidR="00E5019F" w:rsidRPr="0071782F">
        <w:trPr>
          <w:tblHeader/>
        </w:trPr>
        <w:tc>
          <w:tcPr>
            <w:tcW w:w="766" w:type="dxa"/>
            <w:vMerge/>
            <w:tcBorders>
              <w:top w:val="single" w:sz="12" w:space="0" w:color="auto"/>
              <w:bottom w:val="single" w:sz="12" w:space="0" w:color="auto"/>
            </w:tcBorders>
            <w:shd w:val="clear" w:color="000000" w:fill="auto"/>
            <w:vAlign w:val="bottom"/>
          </w:tcPr>
          <w:p w:rsidR="00E5019F" w:rsidRPr="0071782F" w:rsidRDefault="00E5019F" w:rsidP="00B92D7E">
            <w:pPr>
              <w:keepNext/>
              <w:suppressAutoHyphens w:val="0"/>
              <w:spacing w:before="40" w:after="40" w:line="220" w:lineRule="exact"/>
              <w:rPr>
                <w:sz w:val="18"/>
                <w:lang w:val="fr-CH"/>
              </w:rPr>
            </w:pPr>
          </w:p>
        </w:tc>
        <w:tc>
          <w:tcPr>
            <w:tcW w:w="850" w:type="dxa"/>
            <w:tcBorders>
              <w:top w:val="single" w:sz="4" w:space="0" w:color="auto"/>
              <w:bottom w:val="single" w:sz="12" w:space="0" w:color="auto"/>
            </w:tcBorders>
            <w:shd w:val="clear" w:color="000000" w:fill="auto"/>
            <w:vAlign w:val="bottom"/>
          </w:tcPr>
          <w:p w:rsidR="00E5019F" w:rsidRPr="0071782F" w:rsidRDefault="00DE5D42" w:rsidP="00B92D7E">
            <w:pPr>
              <w:keepNext/>
              <w:suppressAutoHyphens w:val="0"/>
              <w:spacing w:before="80" w:after="80" w:line="200" w:lineRule="exact"/>
              <w:jc w:val="right"/>
              <w:rPr>
                <w:b/>
                <w:i/>
                <w:sz w:val="16"/>
                <w:szCs w:val="16"/>
                <w:lang w:val="fr-CH"/>
              </w:rPr>
            </w:pPr>
            <w:r w:rsidRPr="0071782F">
              <w:rPr>
                <w:b/>
                <w:i/>
                <w:sz w:val="16"/>
                <w:szCs w:val="16"/>
                <w:lang w:val="fr-CH"/>
              </w:rPr>
              <w:t>Centr</w:t>
            </w:r>
            <w:r w:rsidR="00E5019F" w:rsidRPr="0071782F">
              <w:rPr>
                <w:b/>
                <w:i/>
                <w:sz w:val="16"/>
                <w:szCs w:val="16"/>
                <w:lang w:val="fr-CH"/>
              </w:rPr>
              <w:t>e</w:t>
            </w:r>
          </w:p>
        </w:tc>
        <w:tc>
          <w:tcPr>
            <w:tcW w:w="850" w:type="dxa"/>
            <w:tcBorders>
              <w:top w:val="single" w:sz="4" w:space="0" w:color="auto"/>
              <w:bottom w:val="single" w:sz="12" w:space="0" w:color="auto"/>
              <w:right w:val="single" w:sz="24" w:space="0" w:color="FFFFFF"/>
            </w:tcBorders>
            <w:shd w:val="clear" w:color="000000" w:fill="auto"/>
            <w:vAlign w:val="bottom"/>
          </w:tcPr>
          <w:p w:rsidR="00E5019F" w:rsidRPr="0071782F" w:rsidRDefault="00DE5D42" w:rsidP="00B92D7E">
            <w:pPr>
              <w:keepNext/>
              <w:suppressAutoHyphens w:val="0"/>
              <w:spacing w:before="80" w:after="80" w:line="200" w:lineRule="exact"/>
              <w:jc w:val="right"/>
              <w:rPr>
                <w:b/>
                <w:i/>
                <w:sz w:val="16"/>
                <w:szCs w:val="16"/>
                <w:lang w:val="fr-CH"/>
              </w:rPr>
            </w:pPr>
            <w:r w:rsidRPr="0071782F">
              <w:rPr>
                <w:b/>
                <w:i/>
                <w:sz w:val="16"/>
                <w:szCs w:val="16"/>
                <w:lang w:val="fr-CH"/>
              </w:rPr>
              <w:t>Lit</w:t>
            </w:r>
            <w:r w:rsidR="00E5019F" w:rsidRPr="0071782F">
              <w:rPr>
                <w:b/>
                <w:i/>
                <w:sz w:val="16"/>
                <w:szCs w:val="16"/>
                <w:lang w:val="fr-CH"/>
              </w:rPr>
              <w:t>s</w:t>
            </w:r>
          </w:p>
        </w:tc>
        <w:tc>
          <w:tcPr>
            <w:tcW w:w="1109" w:type="dxa"/>
            <w:tcBorders>
              <w:top w:val="single" w:sz="4" w:space="0" w:color="auto"/>
              <w:left w:val="single" w:sz="24" w:space="0" w:color="FFFFFF"/>
              <w:bottom w:val="single" w:sz="12" w:space="0" w:color="auto"/>
            </w:tcBorders>
            <w:shd w:val="clear" w:color="000000" w:fill="auto"/>
            <w:vAlign w:val="bottom"/>
          </w:tcPr>
          <w:p w:rsidR="00E5019F" w:rsidRPr="0071782F" w:rsidRDefault="00DE5D42" w:rsidP="00B92D7E">
            <w:pPr>
              <w:keepNext/>
              <w:suppressAutoHyphens w:val="0"/>
              <w:spacing w:before="80" w:after="80" w:line="200" w:lineRule="exact"/>
              <w:jc w:val="right"/>
              <w:rPr>
                <w:i/>
                <w:sz w:val="16"/>
                <w:szCs w:val="16"/>
                <w:lang w:val="fr-CH"/>
              </w:rPr>
            </w:pPr>
            <w:r w:rsidRPr="0071782F">
              <w:rPr>
                <w:i/>
                <w:sz w:val="16"/>
                <w:szCs w:val="16"/>
                <w:lang w:val="fr-CH"/>
              </w:rPr>
              <w:t>Centre</w:t>
            </w:r>
          </w:p>
        </w:tc>
        <w:tc>
          <w:tcPr>
            <w:tcW w:w="1110" w:type="dxa"/>
            <w:tcBorders>
              <w:top w:val="single" w:sz="4" w:space="0" w:color="auto"/>
              <w:bottom w:val="single" w:sz="12" w:space="0" w:color="auto"/>
              <w:right w:val="single" w:sz="24" w:space="0" w:color="FFFFFF"/>
            </w:tcBorders>
            <w:shd w:val="clear" w:color="000000" w:fill="auto"/>
            <w:vAlign w:val="bottom"/>
          </w:tcPr>
          <w:p w:rsidR="00E5019F" w:rsidRPr="0071782F" w:rsidRDefault="00DE5D42" w:rsidP="00B92D7E">
            <w:pPr>
              <w:keepNext/>
              <w:suppressAutoHyphens w:val="0"/>
              <w:spacing w:before="80" w:after="80" w:line="200" w:lineRule="exact"/>
              <w:jc w:val="right"/>
              <w:rPr>
                <w:i/>
                <w:sz w:val="16"/>
                <w:szCs w:val="16"/>
                <w:lang w:val="fr-CH"/>
              </w:rPr>
            </w:pPr>
            <w:r w:rsidRPr="0071782F">
              <w:rPr>
                <w:i/>
                <w:sz w:val="16"/>
                <w:szCs w:val="16"/>
                <w:lang w:val="fr-CH"/>
              </w:rPr>
              <w:t>Lits</w:t>
            </w:r>
          </w:p>
        </w:tc>
        <w:tc>
          <w:tcPr>
            <w:tcW w:w="955" w:type="dxa"/>
            <w:tcBorders>
              <w:top w:val="single" w:sz="4" w:space="0" w:color="auto"/>
              <w:left w:val="single" w:sz="24" w:space="0" w:color="FFFFFF"/>
              <w:bottom w:val="single" w:sz="12" w:space="0" w:color="auto"/>
            </w:tcBorders>
            <w:shd w:val="clear" w:color="000000" w:fill="auto"/>
            <w:vAlign w:val="bottom"/>
          </w:tcPr>
          <w:p w:rsidR="00E5019F" w:rsidRPr="0071782F" w:rsidRDefault="00DE5D42" w:rsidP="00B92D7E">
            <w:pPr>
              <w:keepNext/>
              <w:suppressAutoHyphens w:val="0"/>
              <w:spacing w:before="80" w:after="80" w:line="200" w:lineRule="exact"/>
              <w:jc w:val="right"/>
              <w:rPr>
                <w:i/>
                <w:sz w:val="16"/>
                <w:szCs w:val="16"/>
                <w:lang w:val="fr-CH"/>
              </w:rPr>
            </w:pPr>
            <w:r w:rsidRPr="0071782F">
              <w:rPr>
                <w:i/>
                <w:sz w:val="16"/>
                <w:szCs w:val="16"/>
                <w:lang w:val="fr-CH"/>
              </w:rPr>
              <w:t>Centre</w:t>
            </w:r>
          </w:p>
        </w:tc>
        <w:tc>
          <w:tcPr>
            <w:tcW w:w="955" w:type="dxa"/>
            <w:tcBorders>
              <w:top w:val="single" w:sz="4" w:space="0" w:color="auto"/>
              <w:bottom w:val="single" w:sz="12" w:space="0" w:color="auto"/>
              <w:right w:val="single" w:sz="24" w:space="0" w:color="FFFFFF"/>
            </w:tcBorders>
            <w:shd w:val="clear" w:color="000000" w:fill="auto"/>
            <w:vAlign w:val="bottom"/>
          </w:tcPr>
          <w:p w:rsidR="00E5019F" w:rsidRPr="0071782F" w:rsidRDefault="00DE5D42" w:rsidP="00B92D7E">
            <w:pPr>
              <w:keepNext/>
              <w:suppressAutoHyphens w:val="0"/>
              <w:spacing w:before="80" w:after="80" w:line="200" w:lineRule="exact"/>
              <w:jc w:val="right"/>
              <w:rPr>
                <w:i/>
                <w:sz w:val="16"/>
                <w:szCs w:val="16"/>
                <w:lang w:val="fr-CH"/>
              </w:rPr>
            </w:pPr>
            <w:r w:rsidRPr="0071782F">
              <w:rPr>
                <w:i/>
                <w:sz w:val="16"/>
                <w:szCs w:val="16"/>
                <w:lang w:val="fr-CH"/>
              </w:rPr>
              <w:t>Lits</w:t>
            </w:r>
          </w:p>
        </w:tc>
        <w:tc>
          <w:tcPr>
            <w:tcW w:w="955" w:type="dxa"/>
            <w:tcBorders>
              <w:top w:val="single" w:sz="4" w:space="0" w:color="auto"/>
              <w:left w:val="single" w:sz="24" w:space="0" w:color="FFFFFF"/>
              <w:bottom w:val="single" w:sz="12" w:space="0" w:color="auto"/>
            </w:tcBorders>
            <w:shd w:val="clear" w:color="000000" w:fill="auto"/>
            <w:vAlign w:val="bottom"/>
          </w:tcPr>
          <w:p w:rsidR="00E5019F" w:rsidRPr="0071782F" w:rsidRDefault="00DE5D42" w:rsidP="00B92D7E">
            <w:pPr>
              <w:keepNext/>
              <w:suppressAutoHyphens w:val="0"/>
              <w:spacing w:before="80" w:after="80" w:line="200" w:lineRule="exact"/>
              <w:jc w:val="right"/>
              <w:rPr>
                <w:i/>
                <w:sz w:val="16"/>
                <w:szCs w:val="16"/>
                <w:lang w:val="fr-CH"/>
              </w:rPr>
            </w:pPr>
            <w:r w:rsidRPr="0071782F">
              <w:rPr>
                <w:i/>
                <w:sz w:val="16"/>
                <w:szCs w:val="16"/>
                <w:lang w:val="fr-CH"/>
              </w:rPr>
              <w:t>Centre</w:t>
            </w:r>
          </w:p>
        </w:tc>
        <w:tc>
          <w:tcPr>
            <w:tcW w:w="955" w:type="dxa"/>
            <w:tcBorders>
              <w:top w:val="single" w:sz="4" w:space="0" w:color="auto"/>
              <w:bottom w:val="single" w:sz="12" w:space="0" w:color="auto"/>
            </w:tcBorders>
            <w:shd w:val="clear" w:color="000000" w:fill="auto"/>
            <w:vAlign w:val="bottom"/>
          </w:tcPr>
          <w:p w:rsidR="00E5019F" w:rsidRPr="0071782F" w:rsidRDefault="00DE5D42" w:rsidP="00B92D7E">
            <w:pPr>
              <w:keepNext/>
              <w:suppressAutoHyphens w:val="0"/>
              <w:spacing w:before="80" w:after="80" w:line="200" w:lineRule="exact"/>
              <w:jc w:val="right"/>
              <w:rPr>
                <w:i/>
                <w:sz w:val="16"/>
                <w:szCs w:val="16"/>
                <w:lang w:val="fr-CH"/>
              </w:rPr>
            </w:pPr>
            <w:r w:rsidRPr="0071782F">
              <w:rPr>
                <w:i/>
                <w:sz w:val="16"/>
                <w:szCs w:val="16"/>
                <w:lang w:val="fr-CH"/>
              </w:rPr>
              <w:t>Lits</w:t>
            </w:r>
          </w:p>
        </w:tc>
      </w:tr>
      <w:tr w:rsidR="00E5019F" w:rsidRPr="0071782F">
        <w:tc>
          <w:tcPr>
            <w:tcW w:w="766" w:type="dxa"/>
            <w:tcBorders>
              <w:top w:val="single" w:sz="12" w:space="0" w:color="auto"/>
              <w:bottom w:val="nil"/>
            </w:tcBorders>
            <w:shd w:val="clear" w:color="000000" w:fill="auto"/>
          </w:tcPr>
          <w:p w:rsidR="00E5019F" w:rsidRPr="0071782F" w:rsidRDefault="00E5019F" w:rsidP="00B92D7E">
            <w:pPr>
              <w:keepNext/>
              <w:suppressAutoHyphens w:val="0"/>
              <w:spacing w:before="40" w:after="40" w:line="220" w:lineRule="exact"/>
              <w:rPr>
                <w:sz w:val="18"/>
                <w:lang w:val="fr-CH"/>
              </w:rPr>
            </w:pPr>
            <w:r w:rsidRPr="0071782F">
              <w:rPr>
                <w:sz w:val="18"/>
                <w:lang w:val="fr-CH"/>
              </w:rPr>
              <w:t>1991</w:t>
            </w:r>
          </w:p>
        </w:tc>
        <w:tc>
          <w:tcPr>
            <w:tcW w:w="850" w:type="dxa"/>
            <w:tcBorders>
              <w:top w:val="single" w:sz="12" w:space="0" w:color="auto"/>
              <w:bottom w:val="nil"/>
            </w:tcBorders>
            <w:shd w:val="clear" w:color="000000" w:fill="auto"/>
            <w:vAlign w:val="bottom"/>
          </w:tcPr>
          <w:p w:rsidR="00E5019F" w:rsidRPr="0071782F" w:rsidRDefault="00E5019F" w:rsidP="00B92D7E">
            <w:pPr>
              <w:keepNext/>
              <w:suppressAutoHyphens w:val="0"/>
              <w:spacing w:before="40" w:after="40" w:line="220" w:lineRule="exact"/>
              <w:jc w:val="right"/>
              <w:rPr>
                <w:b/>
                <w:sz w:val="18"/>
                <w:lang w:val="fr-CH"/>
              </w:rPr>
            </w:pPr>
            <w:r w:rsidRPr="0071782F">
              <w:rPr>
                <w:b/>
                <w:sz w:val="18"/>
                <w:lang w:val="fr-CH"/>
              </w:rPr>
              <w:t>639</w:t>
            </w:r>
          </w:p>
        </w:tc>
        <w:tc>
          <w:tcPr>
            <w:tcW w:w="850" w:type="dxa"/>
            <w:tcBorders>
              <w:top w:val="single" w:sz="12" w:space="0" w:color="auto"/>
              <w:bottom w:val="nil"/>
            </w:tcBorders>
            <w:shd w:val="clear" w:color="000000" w:fill="auto"/>
            <w:vAlign w:val="bottom"/>
          </w:tcPr>
          <w:p w:rsidR="00E5019F" w:rsidRPr="0071782F" w:rsidRDefault="00E5019F" w:rsidP="00B92D7E">
            <w:pPr>
              <w:keepNext/>
              <w:suppressAutoHyphens w:val="0"/>
              <w:spacing w:before="40" w:after="40" w:line="220" w:lineRule="exact"/>
              <w:jc w:val="right"/>
              <w:rPr>
                <w:b/>
                <w:sz w:val="18"/>
                <w:lang w:val="fr-CH"/>
              </w:rPr>
            </w:pPr>
            <w:r w:rsidRPr="0071782F">
              <w:rPr>
                <w:b/>
                <w:sz w:val="18"/>
                <w:lang w:val="fr-CH"/>
              </w:rPr>
              <w:t>85 810</w:t>
            </w:r>
          </w:p>
        </w:tc>
        <w:tc>
          <w:tcPr>
            <w:tcW w:w="1109" w:type="dxa"/>
            <w:tcBorders>
              <w:top w:val="single" w:sz="12" w:space="0" w:color="auto"/>
              <w:bottom w:val="nil"/>
            </w:tcBorders>
            <w:shd w:val="clear" w:color="000000" w:fill="auto"/>
            <w:vAlign w:val="bottom"/>
          </w:tcPr>
          <w:p w:rsidR="00E5019F" w:rsidRPr="0071782F" w:rsidRDefault="00E5019F" w:rsidP="00B92D7E">
            <w:pPr>
              <w:keepNext/>
              <w:suppressAutoHyphens w:val="0"/>
              <w:spacing w:before="40" w:after="40" w:line="220" w:lineRule="exact"/>
              <w:jc w:val="right"/>
              <w:rPr>
                <w:sz w:val="18"/>
                <w:lang w:val="fr-CH"/>
              </w:rPr>
            </w:pPr>
            <w:r w:rsidRPr="0071782F">
              <w:rPr>
                <w:sz w:val="18"/>
                <w:lang w:val="fr-CH"/>
              </w:rPr>
              <w:t>454</w:t>
            </w:r>
          </w:p>
        </w:tc>
        <w:tc>
          <w:tcPr>
            <w:tcW w:w="1110" w:type="dxa"/>
            <w:tcBorders>
              <w:top w:val="single" w:sz="12" w:space="0" w:color="auto"/>
              <w:bottom w:val="nil"/>
            </w:tcBorders>
            <w:shd w:val="clear" w:color="000000" w:fill="auto"/>
            <w:vAlign w:val="bottom"/>
          </w:tcPr>
          <w:p w:rsidR="00E5019F" w:rsidRPr="0071782F" w:rsidRDefault="00E5019F" w:rsidP="00B92D7E">
            <w:pPr>
              <w:keepNext/>
              <w:suppressAutoHyphens w:val="0"/>
              <w:spacing w:before="40" w:after="40" w:line="220" w:lineRule="exact"/>
              <w:jc w:val="right"/>
              <w:rPr>
                <w:sz w:val="18"/>
                <w:lang w:val="fr-CH"/>
              </w:rPr>
            </w:pPr>
            <w:r w:rsidRPr="0071782F">
              <w:rPr>
                <w:sz w:val="18"/>
                <w:lang w:val="fr-CH"/>
              </w:rPr>
              <w:t>64 024</w:t>
            </w:r>
          </w:p>
        </w:tc>
        <w:tc>
          <w:tcPr>
            <w:tcW w:w="955" w:type="dxa"/>
            <w:tcBorders>
              <w:top w:val="single" w:sz="12" w:space="0" w:color="auto"/>
              <w:bottom w:val="nil"/>
            </w:tcBorders>
            <w:shd w:val="clear" w:color="000000" w:fill="auto"/>
            <w:vAlign w:val="bottom"/>
          </w:tcPr>
          <w:p w:rsidR="00E5019F" w:rsidRPr="0071782F" w:rsidRDefault="00E5019F" w:rsidP="00B92D7E">
            <w:pPr>
              <w:keepNext/>
              <w:suppressAutoHyphens w:val="0"/>
              <w:spacing w:before="40" w:after="40" w:line="220" w:lineRule="exact"/>
              <w:jc w:val="right"/>
              <w:rPr>
                <w:sz w:val="18"/>
                <w:lang w:val="fr-CH"/>
              </w:rPr>
            </w:pPr>
            <w:r w:rsidRPr="0071782F">
              <w:rPr>
                <w:sz w:val="18"/>
                <w:lang w:val="fr-CH"/>
              </w:rPr>
              <w:t>118</w:t>
            </w:r>
          </w:p>
        </w:tc>
        <w:tc>
          <w:tcPr>
            <w:tcW w:w="955" w:type="dxa"/>
            <w:tcBorders>
              <w:top w:val="single" w:sz="12" w:space="0" w:color="auto"/>
              <w:bottom w:val="nil"/>
            </w:tcBorders>
            <w:shd w:val="clear" w:color="000000" w:fill="auto"/>
            <w:vAlign w:val="bottom"/>
          </w:tcPr>
          <w:p w:rsidR="00E5019F" w:rsidRPr="0071782F" w:rsidRDefault="00E5019F" w:rsidP="00B92D7E">
            <w:pPr>
              <w:keepNext/>
              <w:suppressAutoHyphens w:val="0"/>
              <w:spacing w:before="40" w:after="40" w:line="220" w:lineRule="exact"/>
              <w:jc w:val="right"/>
              <w:rPr>
                <w:sz w:val="18"/>
                <w:lang w:val="fr-CH"/>
              </w:rPr>
            </w:pPr>
            <w:r w:rsidRPr="0071782F">
              <w:rPr>
                <w:sz w:val="18"/>
                <w:lang w:val="fr-CH"/>
              </w:rPr>
              <w:t>9 038</w:t>
            </w:r>
          </w:p>
        </w:tc>
        <w:tc>
          <w:tcPr>
            <w:tcW w:w="955" w:type="dxa"/>
            <w:tcBorders>
              <w:top w:val="single" w:sz="12" w:space="0" w:color="auto"/>
              <w:bottom w:val="nil"/>
            </w:tcBorders>
            <w:shd w:val="clear" w:color="000000" w:fill="auto"/>
            <w:vAlign w:val="bottom"/>
          </w:tcPr>
          <w:p w:rsidR="00E5019F" w:rsidRPr="0071782F" w:rsidRDefault="00E5019F" w:rsidP="00B92D7E">
            <w:pPr>
              <w:keepNext/>
              <w:suppressAutoHyphens w:val="0"/>
              <w:spacing w:before="40" w:after="40" w:line="220" w:lineRule="exact"/>
              <w:jc w:val="right"/>
              <w:rPr>
                <w:sz w:val="18"/>
                <w:lang w:val="fr-CH"/>
              </w:rPr>
            </w:pPr>
            <w:r w:rsidRPr="0071782F">
              <w:rPr>
                <w:sz w:val="18"/>
                <w:lang w:val="fr-CH"/>
              </w:rPr>
              <w:t>67</w:t>
            </w:r>
          </w:p>
        </w:tc>
        <w:tc>
          <w:tcPr>
            <w:tcW w:w="955" w:type="dxa"/>
            <w:tcBorders>
              <w:top w:val="single" w:sz="12" w:space="0" w:color="auto"/>
              <w:bottom w:val="nil"/>
            </w:tcBorders>
            <w:shd w:val="clear" w:color="000000" w:fill="auto"/>
            <w:vAlign w:val="bottom"/>
          </w:tcPr>
          <w:p w:rsidR="00E5019F" w:rsidRPr="0071782F" w:rsidRDefault="00E5019F" w:rsidP="00B92D7E">
            <w:pPr>
              <w:keepNext/>
              <w:suppressAutoHyphens w:val="0"/>
              <w:spacing w:before="40" w:after="40" w:line="220" w:lineRule="exact"/>
              <w:jc w:val="right"/>
              <w:rPr>
                <w:sz w:val="18"/>
                <w:lang w:val="fr-CH"/>
              </w:rPr>
            </w:pPr>
            <w:r w:rsidRPr="0071782F">
              <w:rPr>
                <w:sz w:val="18"/>
                <w:lang w:val="fr-CH"/>
              </w:rPr>
              <w:t>12 748</w:t>
            </w:r>
          </w:p>
        </w:tc>
      </w:tr>
      <w:tr w:rsidR="00E5019F" w:rsidRPr="0071782F">
        <w:tc>
          <w:tcPr>
            <w:tcW w:w="766" w:type="dxa"/>
            <w:tcBorders>
              <w:top w:val="nil"/>
              <w:bottom w:val="nil"/>
            </w:tcBorders>
            <w:shd w:val="clear" w:color="000000" w:fill="auto"/>
          </w:tcPr>
          <w:p w:rsidR="00E5019F" w:rsidRPr="0071782F" w:rsidRDefault="00E5019F" w:rsidP="00B92D7E">
            <w:pPr>
              <w:keepNext/>
              <w:suppressAutoHyphens w:val="0"/>
              <w:spacing w:before="40" w:after="40" w:line="220" w:lineRule="exact"/>
              <w:rPr>
                <w:sz w:val="18"/>
                <w:lang w:val="fr-CH"/>
              </w:rPr>
            </w:pPr>
            <w:r w:rsidRPr="0071782F">
              <w:rPr>
                <w:sz w:val="18"/>
                <w:lang w:val="fr-CH"/>
              </w:rPr>
              <w:t>1996</w:t>
            </w:r>
          </w:p>
        </w:tc>
        <w:tc>
          <w:tcPr>
            <w:tcW w:w="850" w:type="dxa"/>
            <w:tcBorders>
              <w:top w:val="nil"/>
              <w:bottom w:val="nil"/>
            </w:tcBorders>
            <w:shd w:val="clear" w:color="000000" w:fill="auto"/>
            <w:vAlign w:val="bottom"/>
          </w:tcPr>
          <w:p w:rsidR="00E5019F" w:rsidRPr="0071782F" w:rsidRDefault="00E5019F" w:rsidP="00B92D7E">
            <w:pPr>
              <w:keepNext/>
              <w:suppressAutoHyphens w:val="0"/>
              <w:spacing w:before="40" w:after="40" w:line="220" w:lineRule="exact"/>
              <w:jc w:val="right"/>
              <w:rPr>
                <w:b/>
                <w:sz w:val="18"/>
                <w:lang w:val="fr-CH"/>
              </w:rPr>
            </w:pPr>
            <w:r w:rsidRPr="0071782F">
              <w:rPr>
                <w:b/>
                <w:sz w:val="18"/>
                <w:lang w:val="fr-CH"/>
              </w:rPr>
              <w:t>685</w:t>
            </w:r>
          </w:p>
        </w:tc>
        <w:tc>
          <w:tcPr>
            <w:tcW w:w="850" w:type="dxa"/>
            <w:tcBorders>
              <w:top w:val="nil"/>
              <w:bottom w:val="nil"/>
            </w:tcBorders>
            <w:shd w:val="clear" w:color="000000" w:fill="auto"/>
            <w:vAlign w:val="bottom"/>
          </w:tcPr>
          <w:p w:rsidR="00E5019F" w:rsidRPr="0071782F" w:rsidRDefault="00E5019F" w:rsidP="00B92D7E">
            <w:pPr>
              <w:keepNext/>
              <w:suppressAutoHyphens w:val="0"/>
              <w:spacing w:before="40" w:after="40" w:line="220" w:lineRule="exact"/>
              <w:jc w:val="right"/>
              <w:rPr>
                <w:b/>
                <w:sz w:val="18"/>
                <w:lang w:val="fr-CH"/>
              </w:rPr>
            </w:pPr>
            <w:r w:rsidRPr="0071782F">
              <w:rPr>
                <w:b/>
                <w:sz w:val="18"/>
                <w:lang w:val="fr-CH"/>
              </w:rPr>
              <w:t>98 549</w:t>
            </w:r>
          </w:p>
        </w:tc>
        <w:tc>
          <w:tcPr>
            <w:tcW w:w="1109" w:type="dxa"/>
            <w:tcBorders>
              <w:top w:val="nil"/>
              <w:bottom w:val="nil"/>
            </w:tcBorders>
            <w:shd w:val="clear" w:color="000000" w:fill="auto"/>
            <w:vAlign w:val="bottom"/>
          </w:tcPr>
          <w:p w:rsidR="00E5019F" w:rsidRPr="0071782F" w:rsidRDefault="00E5019F" w:rsidP="00B92D7E">
            <w:pPr>
              <w:keepNext/>
              <w:suppressAutoHyphens w:val="0"/>
              <w:spacing w:before="40" w:after="40" w:line="220" w:lineRule="exact"/>
              <w:jc w:val="right"/>
              <w:rPr>
                <w:sz w:val="18"/>
                <w:lang w:val="fr-CH"/>
              </w:rPr>
            </w:pPr>
            <w:r w:rsidRPr="0071782F">
              <w:rPr>
                <w:sz w:val="18"/>
                <w:lang w:val="fr-CH"/>
              </w:rPr>
              <w:t>479</w:t>
            </w:r>
          </w:p>
        </w:tc>
        <w:tc>
          <w:tcPr>
            <w:tcW w:w="1110" w:type="dxa"/>
            <w:tcBorders>
              <w:top w:val="nil"/>
              <w:bottom w:val="nil"/>
            </w:tcBorders>
            <w:shd w:val="clear" w:color="000000" w:fill="auto"/>
            <w:vAlign w:val="bottom"/>
          </w:tcPr>
          <w:p w:rsidR="00E5019F" w:rsidRPr="0071782F" w:rsidRDefault="00E5019F" w:rsidP="00B92D7E">
            <w:pPr>
              <w:keepNext/>
              <w:suppressAutoHyphens w:val="0"/>
              <w:spacing w:before="40" w:after="40" w:line="220" w:lineRule="exact"/>
              <w:jc w:val="right"/>
              <w:rPr>
                <w:sz w:val="18"/>
                <w:lang w:val="fr-CH"/>
              </w:rPr>
            </w:pPr>
            <w:r w:rsidRPr="0071782F">
              <w:rPr>
                <w:sz w:val="18"/>
                <w:lang w:val="fr-CH"/>
              </w:rPr>
              <w:t>72 089</w:t>
            </w:r>
          </w:p>
        </w:tc>
        <w:tc>
          <w:tcPr>
            <w:tcW w:w="955" w:type="dxa"/>
            <w:tcBorders>
              <w:top w:val="nil"/>
              <w:bottom w:val="nil"/>
            </w:tcBorders>
            <w:shd w:val="clear" w:color="000000" w:fill="auto"/>
            <w:vAlign w:val="bottom"/>
          </w:tcPr>
          <w:p w:rsidR="00E5019F" w:rsidRPr="0071782F" w:rsidRDefault="00E5019F" w:rsidP="00B92D7E">
            <w:pPr>
              <w:keepNext/>
              <w:suppressAutoHyphens w:val="0"/>
              <w:spacing w:before="40" w:after="40" w:line="220" w:lineRule="exact"/>
              <w:jc w:val="right"/>
              <w:rPr>
                <w:sz w:val="18"/>
                <w:lang w:val="fr-CH"/>
              </w:rPr>
            </w:pPr>
            <w:r w:rsidRPr="0071782F">
              <w:rPr>
                <w:sz w:val="18"/>
                <w:lang w:val="fr-CH"/>
              </w:rPr>
              <w:t>113</w:t>
            </w:r>
          </w:p>
        </w:tc>
        <w:tc>
          <w:tcPr>
            <w:tcW w:w="955" w:type="dxa"/>
            <w:tcBorders>
              <w:top w:val="nil"/>
              <w:bottom w:val="nil"/>
            </w:tcBorders>
            <w:shd w:val="clear" w:color="000000" w:fill="auto"/>
            <w:vAlign w:val="bottom"/>
          </w:tcPr>
          <w:p w:rsidR="00E5019F" w:rsidRPr="0071782F" w:rsidRDefault="00E5019F" w:rsidP="00B92D7E">
            <w:pPr>
              <w:keepNext/>
              <w:suppressAutoHyphens w:val="0"/>
              <w:spacing w:before="40" w:after="40" w:line="220" w:lineRule="exact"/>
              <w:jc w:val="right"/>
              <w:rPr>
                <w:sz w:val="18"/>
                <w:lang w:val="fr-CH"/>
              </w:rPr>
            </w:pPr>
            <w:r w:rsidRPr="0071782F">
              <w:rPr>
                <w:sz w:val="18"/>
                <w:lang w:val="fr-CH"/>
              </w:rPr>
              <w:t>9 550</w:t>
            </w:r>
          </w:p>
        </w:tc>
        <w:tc>
          <w:tcPr>
            <w:tcW w:w="955" w:type="dxa"/>
            <w:tcBorders>
              <w:top w:val="nil"/>
              <w:bottom w:val="nil"/>
            </w:tcBorders>
            <w:shd w:val="clear" w:color="000000" w:fill="auto"/>
            <w:vAlign w:val="bottom"/>
          </w:tcPr>
          <w:p w:rsidR="00E5019F" w:rsidRPr="0071782F" w:rsidRDefault="00E5019F" w:rsidP="00B92D7E">
            <w:pPr>
              <w:keepNext/>
              <w:suppressAutoHyphens w:val="0"/>
              <w:spacing w:before="40" w:after="40" w:line="220" w:lineRule="exact"/>
              <w:jc w:val="right"/>
              <w:rPr>
                <w:sz w:val="18"/>
                <w:lang w:val="fr-CH"/>
              </w:rPr>
            </w:pPr>
            <w:r w:rsidRPr="0071782F">
              <w:rPr>
                <w:sz w:val="18"/>
                <w:lang w:val="fr-CH"/>
              </w:rPr>
              <w:t>93</w:t>
            </w:r>
          </w:p>
        </w:tc>
        <w:tc>
          <w:tcPr>
            <w:tcW w:w="955" w:type="dxa"/>
            <w:tcBorders>
              <w:top w:val="nil"/>
              <w:bottom w:val="nil"/>
            </w:tcBorders>
            <w:shd w:val="clear" w:color="000000" w:fill="auto"/>
            <w:vAlign w:val="bottom"/>
          </w:tcPr>
          <w:p w:rsidR="00E5019F" w:rsidRPr="0071782F" w:rsidRDefault="00E5019F" w:rsidP="00B92D7E">
            <w:pPr>
              <w:keepNext/>
              <w:suppressAutoHyphens w:val="0"/>
              <w:spacing w:before="40" w:after="40" w:line="220" w:lineRule="exact"/>
              <w:jc w:val="right"/>
              <w:rPr>
                <w:sz w:val="18"/>
                <w:lang w:val="fr-CH"/>
              </w:rPr>
            </w:pPr>
            <w:r w:rsidRPr="0071782F">
              <w:rPr>
                <w:sz w:val="18"/>
                <w:lang w:val="fr-CH"/>
              </w:rPr>
              <w:t>16 910</w:t>
            </w:r>
          </w:p>
        </w:tc>
      </w:tr>
      <w:tr w:rsidR="00E5019F" w:rsidRPr="0071782F">
        <w:tc>
          <w:tcPr>
            <w:tcW w:w="766" w:type="dxa"/>
            <w:tcBorders>
              <w:top w:val="nil"/>
            </w:tcBorders>
            <w:shd w:val="clear" w:color="000000" w:fill="auto"/>
          </w:tcPr>
          <w:p w:rsidR="00E5019F" w:rsidRPr="0071782F" w:rsidRDefault="00E5019F" w:rsidP="00FF1C6B">
            <w:pPr>
              <w:suppressAutoHyphens w:val="0"/>
              <w:spacing w:before="40" w:after="40" w:line="220" w:lineRule="exact"/>
              <w:rPr>
                <w:sz w:val="18"/>
                <w:lang w:val="fr-CH"/>
              </w:rPr>
            </w:pPr>
            <w:r w:rsidRPr="0071782F">
              <w:rPr>
                <w:sz w:val="18"/>
                <w:lang w:val="fr-CH"/>
              </w:rPr>
              <w:t>2001</w:t>
            </w:r>
          </w:p>
        </w:tc>
        <w:tc>
          <w:tcPr>
            <w:tcW w:w="850" w:type="dxa"/>
            <w:tcBorders>
              <w:top w:val="nil"/>
            </w:tcBorders>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717</w:t>
            </w:r>
          </w:p>
        </w:tc>
        <w:tc>
          <w:tcPr>
            <w:tcW w:w="850" w:type="dxa"/>
            <w:tcBorders>
              <w:top w:val="nil"/>
            </w:tcBorders>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109 152</w:t>
            </w:r>
          </w:p>
        </w:tc>
        <w:tc>
          <w:tcPr>
            <w:tcW w:w="1109" w:type="dxa"/>
            <w:tcBorders>
              <w:top w:val="nil"/>
            </w:tcBorders>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479</w:t>
            </w:r>
          </w:p>
        </w:tc>
        <w:tc>
          <w:tcPr>
            <w:tcW w:w="1110" w:type="dxa"/>
            <w:tcBorders>
              <w:top w:val="nil"/>
            </w:tcBorders>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76 167</w:t>
            </w:r>
          </w:p>
        </w:tc>
        <w:tc>
          <w:tcPr>
            <w:tcW w:w="955" w:type="dxa"/>
            <w:tcBorders>
              <w:top w:val="nil"/>
            </w:tcBorders>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119</w:t>
            </w:r>
          </w:p>
        </w:tc>
        <w:tc>
          <w:tcPr>
            <w:tcW w:w="955" w:type="dxa"/>
            <w:tcBorders>
              <w:top w:val="nil"/>
            </w:tcBorders>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11 191</w:t>
            </w:r>
          </w:p>
        </w:tc>
        <w:tc>
          <w:tcPr>
            <w:tcW w:w="955" w:type="dxa"/>
            <w:tcBorders>
              <w:top w:val="nil"/>
            </w:tcBorders>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119</w:t>
            </w:r>
          </w:p>
        </w:tc>
        <w:tc>
          <w:tcPr>
            <w:tcW w:w="955" w:type="dxa"/>
            <w:tcBorders>
              <w:top w:val="nil"/>
            </w:tcBorders>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21 794</w:t>
            </w:r>
          </w:p>
        </w:tc>
      </w:tr>
      <w:tr w:rsidR="00E5019F" w:rsidRPr="0071782F">
        <w:tc>
          <w:tcPr>
            <w:tcW w:w="766" w:type="dxa"/>
            <w:shd w:val="clear" w:color="000000" w:fill="auto"/>
          </w:tcPr>
          <w:p w:rsidR="00E5019F" w:rsidRPr="0071782F" w:rsidRDefault="00E5019F" w:rsidP="00FF1C6B">
            <w:pPr>
              <w:suppressAutoHyphens w:val="0"/>
              <w:spacing w:before="40" w:after="40" w:line="220" w:lineRule="exact"/>
              <w:rPr>
                <w:sz w:val="18"/>
                <w:lang w:val="fr-CH"/>
              </w:rPr>
            </w:pPr>
            <w:r w:rsidRPr="0071782F">
              <w:rPr>
                <w:sz w:val="18"/>
                <w:lang w:val="fr-CH"/>
              </w:rPr>
              <w:t>2003</w:t>
            </w:r>
          </w:p>
        </w:tc>
        <w:tc>
          <w:tcPr>
            <w:tcW w:w="850"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733</w:t>
            </w:r>
          </w:p>
        </w:tc>
        <w:tc>
          <w:tcPr>
            <w:tcW w:w="850"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111 552</w:t>
            </w:r>
          </w:p>
        </w:tc>
        <w:tc>
          <w:tcPr>
            <w:tcW w:w="1109"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490</w:t>
            </w:r>
          </w:p>
        </w:tc>
        <w:tc>
          <w:tcPr>
            <w:tcW w:w="1110"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77 116</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120</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11 305</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123</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22 471</w:t>
            </w:r>
          </w:p>
        </w:tc>
      </w:tr>
      <w:tr w:rsidR="00E5019F" w:rsidRPr="0071782F">
        <w:tc>
          <w:tcPr>
            <w:tcW w:w="766" w:type="dxa"/>
            <w:shd w:val="clear" w:color="000000" w:fill="auto"/>
          </w:tcPr>
          <w:p w:rsidR="00E5019F" w:rsidRPr="0071782F" w:rsidRDefault="00E5019F" w:rsidP="00FF1C6B">
            <w:pPr>
              <w:suppressAutoHyphens w:val="0"/>
              <w:spacing w:before="40" w:after="40" w:line="220" w:lineRule="exact"/>
              <w:rPr>
                <w:sz w:val="18"/>
                <w:lang w:val="fr-CH"/>
              </w:rPr>
            </w:pPr>
            <w:r w:rsidRPr="0071782F">
              <w:rPr>
                <w:sz w:val="18"/>
                <w:lang w:val="fr-CH"/>
              </w:rPr>
              <w:t>2004</w:t>
            </w:r>
          </w:p>
        </w:tc>
        <w:tc>
          <w:tcPr>
            <w:tcW w:w="850"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738</w:t>
            </w:r>
          </w:p>
        </w:tc>
        <w:tc>
          <w:tcPr>
            <w:tcW w:w="850"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112 590</w:t>
            </w:r>
          </w:p>
        </w:tc>
        <w:tc>
          <w:tcPr>
            <w:tcW w:w="1109"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493</w:t>
            </w:r>
          </w:p>
        </w:tc>
        <w:tc>
          <w:tcPr>
            <w:tcW w:w="1110"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18 591</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123</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12 051</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122</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21 948</w:t>
            </w:r>
          </w:p>
        </w:tc>
      </w:tr>
      <w:tr w:rsidR="00E5019F" w:rsidRPr="0071782F">
        <w:tc>
          <w:tcPr>
            <w:tcW w:w="766" w:type="dxa"/>
            <w:shd w:val="clear" w:color="000000" w:fill="auto"/>
          </w:tcPr>
          <w:p w:rsidR="00E5019F" w:rsidRPr="0071782F" w:rsidRDefault="00E5019F" w:rsidP="00FF1C6B">
            <w:pPr>
              <w:suppressAutoHyphens w:val="0"/>
              <w:spacing w:before="40" w:after="40" w:line="220" w:lineRule="exact"/>
              <w:rPr>
                <w:sz w:val="18"/>
                <w:lang w:val="fr-CH"/>
              </w:rPr>
            </w:pPr>
            <w:r w:rsidRPr="0071782F">
              <w:rPr>
                <w:sz w:val="18"/>
                <w:lang w:val="fr-CH"/>
              </w:rPr>
              <w:t>2005</w:t>
            </w:r>
          </w:p>
        </w:tc>
        <w:tc>
          <w:tcPr>
            <w:tcW w:w="850"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750</w:t>
            </w:r>
          </w:p>
        </w:tc>
        <w:tc>
          <w:tcPr>
            <w:tcW w:w="850"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113 244</w:t>
            </w:r>
          </w:p>
        </w:tc>
        <w:tc>
          <w:tcPr>
            <w:tcW w:w="1109"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495</w:t>
            </w:r>
          </w:p>
        </w:tc>
        <w:tc>
          <w:tcPr>
            <w:tcW w:w="1110"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18 133</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128</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12 242</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127</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22 269</w:t>
            </w:r>
          </w:p>
        </w:tc>
      </w:tr>
      <w:tr w:rsidR="00E5019F" w:rsidRPr="0071782F">
        <w:tc>
          <w:tcPr>
            <w:tcW w:w="766" w:type="dxa"/>
            <w:shd w:val="clear" w:color="000000" w:fill="auto"/>
          </w:tcPr>
          <w:p w:rsidR="00E5019F" w:rsidRPr="0071782F" w:rsidRDefault="00E5019F" w:rsidP="00FF1C6B">
            <w:pPr>
              <w:suppressAutoHyphens w:val="0"/>
              <w:spacing w:before="40" w:after="40" w:line="220" w:lineRule="exact"/>
              <w:rPr>
                <w:sz w:val="18"/>
                <w:lang w:val="fr-CH"/>
              </w:rPr>
            </w:pPr>
            <w:r w:rsidRPr="0071782F">
              <w:rPr>
                <w:sz w:val="18"/>
                <w:lang w:val="fr-CH"/>
              </w:rPr>
              <w:t>2006</w:t>
            </w:r>
          </w:p>
        </w:tc>
        <w:tc>
          <w:tcPr>
            <w:tcW w:w="850"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773</w:t>
            </w:r>
          </w:p>
        </w:tc>
        <w:tc>
          <w:tcPr>
            <w:tcW w:w="850"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116 474</w:t>
            </w:r>
          </w:p>
        </w:tc>
        <w:tc>
          <w:tcPr>
            <w:tcW w:w="1109"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505</w:t>
            </w:r>
          </w:p>
        </w:tc>
        <w:tc>
          <w:tcPr>
            <w:tcW w:w="1110"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19 772</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128</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12 594</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140</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24 108</w:t>
            </w:r>
          </w:p>
        </w:tc>
      </w:tr>
      <w:tr w:rsidR="00E5019F" w:rsidRPr="0071782F">
        <w:tc>
          <w:tcPr>
            <w:tcW w:w="766" w:type="dxa"/>
            <w:shd w:val="clear" w:color="000000" w:fill="auto"/>
          </w:tcPr>
          <w:p w:rsidR="00E5019F" w:rsidRPr="0071782F" w:rsidRDefault="00E5019F" w:rsidP="00FF1C6B">
            <w:pPr>
              <w:suppressAutoHyphens w:val="0"/>
              <w:spacing w:before="40" w:after="40" w:line="220" w:lineRule="exact"/>
              <w:rPr>
                <w:sz w:val="18"/>
                <w:lang w:val="fr-CH"/>
              </w:rPr>
            </w:pPr>
            <w:r w:rsidRPr="0071782F">
              <w:rPr>
                <w:sz w:val="18"/>
                <w:lang w:val="fr-CH"/>
              </w:rPr>
              <w:t>2007</w:t>
            </w:r>
          </w:p>
        </w:tc>
        <w:tc>
          <w:tcPr>
            <w:tcW w:w="850"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799</w:t>
            </w:r>
          </w:p>
        </w:tc>
        <w:tc>
          <w:tcPr>
            <w:tcW w:w="850"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119 902</w:t>
            </w:r>
          </w:p>
        </w:tc>
        <w:tc>
          <w:tcPr>
            <w:tcW w:w="1109"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528</w:t>
            </w:r>
          </w:p>
        </w:tc>
        <w:tc>
          <w:tcPr>
            <w:tcW w:w="1110"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81 814</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130</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12 794</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141</w:t>
            </w:r>
          </w:p>
        </w:tc>
        <w:tc>
          <w:tcPr>
            <w:tcW w:w="95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25 294</w:t>
            </w:r>
          </w:p>
        </w:tc>
      </w:tr>
    </w:tbl>
    <w:p w:rsidR="00E5019F" w:rsidRPr="0071782F" w:rsidRDefault="00E5019F" w:rsidP="00391E55">
      <w:pPr>
        <w:pStyle w:val="H23G"/>
        <w:rPr>
          <w:lang w:val="fr-CH"/>
        </w:rPr>
      </w:pPr>
      <w:r w:rsidRPr="0071782F">
        <w:rPr>
          <w:lang w:val="fr-CH"/>
        </w:rPr>
        <w:tab/>
      </w:r>
      <w:r w:rsidRPr="0071782F">
        <w:rPr>
          <w:lang w:val="fr-CH"/>
        </w:rPr>
        <w:tab/>
      </w:r>
      <w:r w:rsidR="00DE5D42" w:rsidRPr="0071782F">
        <w:rPr>
          <w:lang w:val="fr-CH"/>
        </w:rPr>
        <w:t>Médecins employés par le Ministère de la santé</w:t>
      </w:r>
      <w:r w:rsidR="00D36718">
        <w:rPr>
          <w:lang w:val="fr-CH"/>
        </w:rPr>
        <w:t xml:space="preserve"> </w:t>
      </w:r>
      <w:r w:rsidRPr="0071782F">
        <w:rPr>
          <w:lang w:val="fr-CH"/>
        </w:rPr>
        <w:t>(</w:t>
      </w:r>
      <w:r w:rsidR="00DE5D42" w:rsidRPr="0071782F">
        <w:rPr>
          <w:lang w:val="fr-CH"/>
        </w:rPr>
        <w:t xml:space="preserve">par </w:t>
      </w:r>
      <w:r w:rsidRPr="0071782F">
        <w:rPr>
          <w:lang w:val="fr-CH"/>
        </w:rPr>
        <w:t>sp</w:t>
      </w:r>
      <w:r w:rsidR="00DE5D42" w:rsidRPr="0071782F">
        <w:rPr>
          <w:lang w:val="fr-CH"/>
        </w:rPr>
        <w:t>é</w:t>
      </w:r>
      <w:r w:rsidRPr="0071782F">
        <w:rPr>
          <w:lang w:val="fr-CH"/>
        </w:rPr>
        <w:t>cial</w:t>
      </w:r>
      <w:r w:rsidR="00DE5D42" w:rsidRPr="0071782F">
        <w:rPr>
          <w:lang w:val="fr-CH"/>
        </w:rPr>
        <w:t>ité</w:t>
      </w:r>
      <w:r w:rsidRPr="0071782F">
        <w:rPr>
          <w:lang w:val="fr-CH"/>
        </w:rPr>
        <w:t>)</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945"/>
        <w:gridCol w:w="945"/>
        <w:gridCol w:w="945"/>
        <w:gridCol w:w="992"/>
        <w:gridCol w:w="992"/>
        <w:gridCol w:w="993"/>
        <w:gridCol w:w="754"/>
        <w:gridCol w:w="700"/>
        <w:gridCol w:w="1239"/>
      </w:tblGrid>
      <w:tr w:rsidR="00E5019F" w:rsidRPr="0071782F">
        <w:trPr>
          <w:tblHeader/>
        </w:trPr>
        <w:tc>
          <w:tcPr>
            <w:tcW w:w="945" w:type="dxa"/>
            <w:vMerge w:val="restart"/>
            <w:tcBorders>
              <w:top w:val="single" w:sz="4" w:space="0" w:color="auto"/>
              <w:bottom w:val="single" w:sz="12" w:space="0" w:color="auto"/>
            </w:tcBorders>
            <w:shd w:val="clear" w:color="000000" w:fill="auto"/>
            <w:vAlign w:val="bottom"/>
          </w:tcPr>
          <w:p w:rsidR="00E5019F" w:rsidRPr="0071782F" w:rsidRDefault="00DE5D42" w:rsidP="00FF1C6B">
            <w:pPr>
              <w:keepNext/>
              <w:keepLines/>
              <w:suppressAutoHyphens w:val="0"/>
              <w:spacing w:before="80" w:after="80" w:line="200" w:lineRule="exact"/>
              <w:rPr>
                <w:i/>
                <w:sz w:val="16"/>
                <w:lang w:val="fr-CH"/>
              </w:rPr>
            </w:pPr>
            <w:r w:rsidRPr="0071782F">
              <w:rPr>
                <w:i/>
                <w:sz w:val="16"/>
                <w:lang w:val="fr-CH"/>
              </w:rPr>
              <w:t>Année</w:t>
            </w:r>
            <w:r w:rsidR="00E5019F" w:rsidRPr="0071782F">
              <w:rPr>
                <w:i/>
                <w:sz w:val="16"/>
                <w:lang w:val="fr-CH"/>
              </w:rPr>
              <w:t xml:space="preserve"> province</w:t>
            </w:r>
          </w:p>
        </w:tc>
        <w:tc>
          <w:tcPr>
            <w:tcW w:w="945" w:type="dxa"/>
            <w:vMerge w:val="restart"/>
            <w:tcBorders>
              <w:top w:val="single" w:sz="4" w:space="0" w:color="auto"/>
              <w:bottom w:val="single" w:sz="12" w:space="0" w:color="auto"/>
            </w:tcBorders>
            <w:shd w:val="clear" w:color="000000" w:fill="auto"/>
            <w:vAlign w:val="bottom"/>
          </w:tcPr>
          <w:p w:rsidR="00E5019F" w:rsidRPr="0071782F" w:rsidRDefault="00E5019F" w:rsidP="00FF1C6B">
            <w:pPr>
              <w:keepNext/>
              <w:keepLines/>
              <w:suppressAutoHyphens w:val="0"/>
              <w:spacing w:before="80" w:after="80" w:line="200" w:lineRule="exact"/>
              <w:jc w:val="right"/>
              <w:rPr>
                <w:b/>
                <w:i/>
                <w:sz w:val="16"/>
                <w:lang w:val="fr-CH"/>
              </w:rPr>
            </w:pPr>
            <w:r w:rsidRPr="0071782F">
              <w:rPr>
                <w:b/>
                <w:i/>
                <w:sz w:val="16"/>
                <w:lang w:val="fr-CH"/>
              </w:rPr>
              <w:t>Total</w:t>
            </w:r>
          </w:p>
        </w:tc>
        <w:tc>
          <w:tcPr>
            <w:tcW w:w="945" w:type="dxa"/>
            <w:vMerge w:val="restart"/>
            <w:tcBorders>
              <w:top w:val="single" w:sz="4" w:space="0" w:color="auto"/>
              <w:bottom w:val="single" w:sz="12" w:space="0" w:color="auto"/>
            </w:tcBorders>
            <w:shd w:val="clear" w:color="000000" w:fill="auto"/>
            <w:vAlign w:val="bottom"/>
          </w:tcPr>
          <w:p w:rsidR="00E5019F" w:rsidRPr="0071782F" w:rsidRDefault="00DE5D42" w:rsidP="00FF1C6B">
            <w:pPr>
              <w:keepNext/>
              <w:keepLines/>
              <w:suppressAutoHyphens w:val="0"/>
              <w:spacing w:before="80" w:after="80" w:line="200" w:lineRule="exact"/>
              <w:jc w:val="right"/>
              <w:rPr>
                <w:i/>
                <w:sz w:val="16"/>
                <w:lang w:val="fr-CH"/>
              </w:rPr>
            </w:pPr>
            <w:r w:rsidRPr="0071782F">
              <w:rPr>
                <w:i/>
                <w:sz w:val="16"/>
                <w:lang w:val="fr-CH"/>
              </w:rPr>
              <w:t>Médecins généralistes</w:t>
            </w:r>
          </w:p>
        </w:tc>
        <w:tc>
          <w:tcPr>
            <w:tcW w:w="992" w:type="dxa"/>
            <w:vMerge w:val="restart"/>
            <w:tcBorders>
              <w:top w:val="single" w:sz="4" w:space="0" w:color="auto"/>
              <w:bottom w:val="single" w:sz="12" w:space="0" w:color="auto"/>
            </w:tcBorders>
            <w:shd w:val="clear" w:color="000000" w:fill="auto"/>
            <w:vAlign w:val="bottom"/>
          </w:tcPr>
          <w:p w:rsidR="00E5019F" w:rsidRPr="0071782F" w:rsidRDefault="00E5019F" w:rsidP="00FF1C6B">
            <w:pPr>
              <w:keepNext/>
              <w:keepLines/>
              <w:suppressAutoHyphens w:val="0"/>
              <w:spacing w:before="80" w:after="80" w:line="200" w:lineRule="exact"/>
              <w:jc w:val="right"/>
              <w:rPr>
                <w:i/>
                <w:sz w:val="16"/>
                <w:lang w:val="fr-CH"/>
              </w:rPr>
            </w:pPr>
            <w:r w:rsidRPr="0071782F">
              <w:rPr>
                <w:i/>
                <w:sz w:val="16"/>
                <w:lang w:val="fr-CH"/>
              </w:rPr>
              <w:t>Dentist</w:t>
            </w:r>
            <w:r w:rsidR="00DE5D42" w:rsidRPr="0071782F">
              <w:rPr>
                <w:i/>
                <w:sz w:val="16"/>
                <w:lang w:val="fr-CH"/>
              </w:rPr>
              <w:t>es</w:t>
            </w:r>
          </w:p>
        </w:tc>
        <w:tc>
          <w:tcPr>
            <w:tcW w:w="992" w:type="dxa"/>
            <w:vMerge w:val="restart"/>
            <w:tcBorders>
              <w:top w:val="single" w:sz="4" w:space="0" w:color="auto"/>
              <w:bottom w:val="single" w:sz="12" w:space="0" w:color="auto"/>
            </w:tcBorders>
            <w:shd w:val="clear" w:color="000000" w:fill="auto"/>
            <w:vAlign w:val="bottom"/>
          </w:tcPr>
          <w:p w:rsidR="00E5019F" w:rsidRPr="0071782F" w:rsidRDefault="00E5019F" w:rsidP="00FF1C6B">
            <w:pPr>
              <w:keepNext/>
              <w:keepLines/>
              <w:suppressAutoHyphens w:val="0"/>
              <w:spacing w:before="80" w:after="80" w:line="200" w:lineRule="exact"/>
              <w:jc w:val="right"/>
              <w:rPr>
                <w:i/>
                <w:sz w:val="16"/>
                <w:lang w:val="fr-CH"/>
              </w:rPr>
            </w:pPr>
            <w:r w:rsidRPr="0071782F">
              <w:rPr>
                <w:i/>
                <w:sz w:val="16"/>
                <w:lang w:val="fr-CH"/>
              </w:rPr>
              <w:t>V</w:t>
            </w:r>
            <w:r w:rsidR="00DE5D42" w:rsidRPr="0071782F">
              <w:rPr>
                <w:i/>
                <w:sz w:val="16"/>
                <w:lang w:val="fr-CH"/>
              </w:rPr>
              <w:t>é</w:t>
            </w:r>
            <w:r w:rsidRPr="0071782F">
              <w:rPr>
                <w:i/>
                <w:sz w:val="16"/>
                <w:lang w:val="fr-CH"/>
              </w:rPr>
              <w:t>t</w:t>
            </w:r>
            <w:r w:rsidR="00DE5D42" w:rsidRPr="0071782F">
              <w:rPr>
                <w:i/>
                <w:sz w:val="16"/>
                <w:lang w:val="fr-CH"/>
              </w:rPr>
              <w:t>é</w:t>
            </w:r>
            <w:r w:rsidRPr="0071782F">
              <w:rPr>
                <w:i/>
                <w:sz w:val="16"/>
                <w:lang w:val="fr-CH"/>
              </w:rPr>
              <w:t>rina</w:t>
            </w:r>
            <w:r w:rsidR="00DE5D42" w:rsidRPr="0071782F">
              <w:rPr>
                <w:i/>
                <w:sz w:val="16"/>
                <w:lang w:val="fr-CH"/>
              </w:rPr>
              <w:t>ires</w:t>
            </w:r>
          </w:p>
        </w:tc>
        <w:tc>
          <w:tcPr>
            <w:tcW w:w="993" w:type="dxa"/>
            <w:vMerge w:val="restart"/>
            <w:tcBorders>
              <w:top w:val="single" w:sz="4" w:space="0" w:color="auto"/>
              <w:bottom w:val="single" w:sz="12" w:space="0" w:color="auto"/>
            </w:tcBorders>
            <w:shd w:val="clear" w:color="000000" w:fill="auto"/>
            <w:vAlign w:val="bottom"/>
          </w:tcPr>
          <w:p w:rsidR="00E5019F" w:rsidRPr="0071782F" w:rsidRDefault="00E5019F" w:rsidP="00FF1C6B">
            <w:pPr>
              <w:keepNext/>
              <w:keepLines/>
              <w:suppressAutoHyphens w:val="0"/>
              <w:spacing w:before="80" w:after="80" w:line="200" w:lineRule="exact"/>
              <w:jc w:val="right"/>
              <w:rPr>
                <w:i/>
                <w:sz w:val="16"/>
                <w:lang w:val="fr-CH"/>
              </w:rPr>
            </w:pPr>
            <w:r w:rsidRPr="0071782F">
              <w:rPr>
                <w:i/>
                <w:sz w:val="16"/>
                <w:lang w:val="fr-CH"/>
              </w:rPr>
              <w:t>Pharmaci</w:t>
            </w:r>
            <w:r w:rsidR="00DE5D42" w:rsidRPr="0071782F">
              <w:rPr>
                <w:i/>
                <w:sz w:val="16"/>
                <w:lang w:val="fr-CH"/>
              </w:rPr>
              <w:t>en</w:t>
            </w:r>
            <w:r w:rsidRPr="0071782F">
              <w:rPr>
                <w:i/>
                <w:sz w:val="16"/>
                <w:lang w:val="fr-CH"/>
              </w:rPr>
              <w:t>s</w:t>
            </w:r>
          </w:p>
        </w:tc>
        <w:tc>
          <w:tcPr>
            <w:tcW w:w="2693" w:type="dxa"/>
            <w:gridSpan w:val="3"/>
            <w:tcBorders>
              <w:top w:val="single" w:sz="4" w:space="0" w:color="auto"/>
              <w:bottom w:val="single" w:sz="4" w:space="0" w:color="auto"/>
            </w:tcBorders>
            <w:shd w:val="clear" w:color="000000" w:fill="auto"/>
            <w:vAlign w:val="bottom"/>
          </w:tcPr>
          <w:p w:rsidR="00E5019F" w:rsidRPr="0071782F" w:rsidRDefault="00DE5D42" w:rsidP="00FF1C6B">
            <w:pPr>
              <w:keepNext/>
              <w:keepLines/>
              <w:suppressAutoHyphens w:val="0"/>
              <w:spacing w:before="80" w:after="80" w:line="200" w:lineRule="exact"/>
              <w:jc w:val="center"/>
              <w:rPr>
                <w:i/>
                <w:sz w:val="16"/>
                <w:lang w:val="fr-CH"/>
              </w:rPr>
            </w:pPr>
            <w:r w:rsidRPr="0071782F">
              <w:rPr>
                <w:i/>
                <w:sz w:val="16"/>
                <w:lang w:val="fr-CH"/>
              </w:rPr>
              <w:t>Spécialistes</w:t>
            </w:r>
          </w:p>
        </w:tc>
      </w:tr>
      <w:tr w:rsidR="00E5019F" w:rsidRPr="0071782F">
        <w:trPr>
          <w:tblHeader/>
        </w:trPr>
        <w:tc>
          <w:tcPr>
            <w:tcW w:w="945" w:type="dxa"/>
            <w:vMerge/>
            <w:tcBorders>
              <w:top w:val="nil"/>
              <w:bottom w:val="single" w:sz="12" w:space="0" w:color="auto"/>
            </w:tcBorders>
            <w:shd w:val="clear" w:color="000000" w:fill="auto"/>
            <w:vAlign w:val="bottom"/>
          </w:tcPr>
          <w:p w:rsidR="00E5019F" w:rsidRPr="0071782F" w:rsidRDefault="00E5019F" w:rsidP="00FF1C6B">
            <w:pPr>
              <w:suppressAutoHyphens w:val="0"/>
              <w:spacing w:before="40" w:after="40" w:line="220" w:lineRule="exact"/>
              <w:rPr>
                <w:sz w:val="18"/>
                <w:lang w:val="fr-CH"/>
              </w:rPr>
            </w:pPr>
          </w:p>
        </w:tc>
        <w:tc>
          <w:tcPr>
            <w:tcW w:w="945" w:type="dxa"/>
            <w:vMerge/>
            <w:tcBorders>
              <w:top w:val="nil"/>
              <w:bottom w:val="single" w:sz="12" w:space="0" w:color="auto"/>
            </w:tcBorders>
            <w:shd w:val="clear" w:color="000000" w:fill="auto"/>
            <w:vAlign w:val="bottom"/>
          </w:tcPr>
          <w:p w:rsidR="00E5019F" w:rsidRPr="0071782F" w:rsidRDefault="00E5019F" w:rsidP="00FF1C6B">
            <w:pPr>
              <w:suppressAutoHyphens w:val="0"/>
              <w:spacing w:before="40" w:after="40" w:line="220" w:lineRule="exact"/>
              <w:jc w:val="right"/>
              <w:rPr>
                <w:b/>
                <w:sz w:val="18"/>
                <w:lang w:val="fr-CH"/>
              </w:rPr>
            </w:pPr>
          </w:p>
        </w:tc>
        <w:tc>
          <w:tcPr>
            <w:tcW w:w="945" w:type="dxa"/>
            <w:vMerge/>
            <w:tcBorders>
              <w:top w:val="nil"/>
              <w:bottom w:val="single" w:sz="12" w:space="0" w:color="auto"/>
            </w:tcBorders>
            <w:shd w:val="clear" w:color="000000" w:fill="auto"/>
            <w:vAlign w:val="bottom"/>
          </w:tcPr>
          <w:p w:rsidR="00E5019F" w:rsidRPr="0071782F" w:rsidRDefault="00E5019F" w:rsidP="00FF1C6B">
            <w:pPr>
              <w:suppressAutoHyphens w:val="0"/>
              <w:spacing w:before="40" w:after="40" w:line="220" w:lineRule="exact"/>
              <w:jc w:val="right"/>
              <w:rPr>
                <w:sz w:val="18"/>
                <w:lang w:val="fr-CH"/>
              </w:rPr>
            </w:pPr>
          </w:p>
        </w:tc>
        <w:tc>
          <w:tcPr>
            <w:tcW w:w="992" w:type="dxa"/>
            <w:vMerge/>
            <w:tcBorders>
              <w:top w:val="nil"/>
              <w:bottom w:val="single" w:sz="12" w:space="0" w:color="auto"/>
            </w:tcBorders>
            <w:shd w:val="clear" w:color="000000" w:fill="auto"/>
            <w:vAlign w:val="bottom"/>
          </w:tcPr>
          <w:p w:rsidR="00E5019F" w:rsidRPr="0071782F" w:rsidRDefault="00E5019F" w:rsidP="00FF1C6B">
            <w:pPr>
              <w:suppressAutoHyphens w:val="0"/>
              <w:spacing w:before="40" w:after="40" w:line="220" w:lineRule="exact"/>
              <w:jc w:val="right"/>
              <w:rPr>
                <w:sz w:val="18"/>
                <w:lang w:val="fr-CH"/>
              </w:rPr>
            </w:pPr>
          </w:p>
        </w:tc>
        <w:tc>
          <w:tcPr>
            <w:tcW w:w="992" w:type="dxa"/>
            <w:vMerge/>
            <w:tcBorders>
              <w:top w:val="nil"/>
              <w:bottom w:val="single" w:sz="12" w:space="0" w:color="auto"/>
            </w:tcBorders>
            <w:shd w:val="clear" w:color="000000" w:fill="auto"/>
            <w:vAlign w:val="bottom"/>
          </w:tcPr>
          <w:p w:rsidR="00E5019F" w:rsidRPr="0071782F" w:rsidRDefault="00E5019F" w:rsidP="00FF1C6B">
            <w:pPr>
              <w:suppressAutoHyphens w:val="0"/>
              <w:spacing w:before="40" w:after="40" w:line="220" w:lineRule="exact"/>
              <w:jc w:val="right"/>
              <w:rPr>
                <w:sz w:val="18"/>
                <w:lang w:val="fr-CH"/>
              </w:rPr>
            </w:pPr>
          </w:p>
        </w:tc>
        <w:tc>
          <w:tcPr>
            <w:tcW w:w="993" w:type="dxa"/>
            <w:vMerge/>
            <w:tcBorders>
              <w:top w:val="nil"/>
              <w:bottom w:val="single" w:sz="12" w:space="0" w:color="auto"/>
            </w:tcBorders>
            <w:shd w:val="clear" w:color="000000" w:fill="auto"/>
            <w:vAlign w:val="bottom"/>
          </w:tcPr>
          <w:p w:rsidR="00E5019F" w:rsidRPr="0071782F" w:rsidRDefault="00E5019F" w:rsidP="00FF1C6B">
            <w:pPr>
              <w:suppressAutoHyphens w:val="0"/>
              <w:spacing w:before="40" w:after="40" w:line="220" w:lineRule="exact"/>
              <w:jc w:val="right"/>
              <w:rPr>
                <w:sz w:val="18"/>
                <w:lang w:val="fr-CH"/>
              </w:rPr>
            </w:pPr>
          </w:p>
        </w:tc>
        <w:tc>
          <w:tcPr>
            <w:tcW w:w="754" w:type="dxa"/>
            <w:tcBorders>
              <w:top w:val="single" w:sz="4" w:space="0" w:color="auto"/>
              <w:bottom w:val="single" w:sz="12" w:space="0" w:color="auto"/>
            </w:tcBorders>
            <w:shd w:val="clear" w:color="000000" w:fill="auto"/>
            <w:vAlign w:val="bottom"/>
          </w:tcPr>
          <w:p w:rsidR="00E5019F" w:rsidRPr="0071782F" w:rsidRDefault="00E5019F" w:rsidP="00FF1C6B">
            <w:pPr>
              <w:suppressAutoHyphens w:val="0"/>
              <w:spacing w:before="80" w:after="80" w:line="200" w:lineRule="exact"/>
              <w:jc w:val="right"/>
              <w:rPr>
                <w:b/>
                <w:i/>
                <w:sz w:val="16"/>
                <w:szCs w:val="16"/>
                <w:lang w:val="fr-CH"/>
              </w:rPr>
            </w:pPr>
            <w:r w:rsidRPr="0071782F">
              <w:rPr>
                <w:b/>
                <w:i/>
                <w:sz w:val="16"/>
                <w:szCs w:val="16"/>
                <w:lang w:val="fr-CH"/>
              </w:rPr>
              <w:t>Total</w:t>
            </w:r>
          </w:p>
        </w:tc>
        <w:tc>
          <w:tcPr>
            <w:tcW w:w="700" w:type="dxa"/>
            <w:tcBorders>
              <w:top w:val="single" w:sz="4" w:space="0" w:color="auto"/>
              <w:bottom w:val="single" w:sz="12" w:space="0" w:color="auto"/>
            </w:tcBorders>
            <w:shd w:val="clear" w:color="000000" w:fill="auto"/>
            <w:vAlign w:val="bottom"/>
          </w:tcPr>
          <w:p w:rsidR="00E5019F" w:rsidRPr="0071782F" w:rsidRDefault="0057603B" w:rsidP="00FF1C6B">
            <w:pPr>
              <w:suppressAutoHyphens w:val="0"/>
              <w:spacing w:before="80" w:after="80" w:line="200" w:lineRule="exact"/>
              <w:jc w:val="right"/>
              <w:rPr>
                <w:i/>
                <w:sz w:val="16"/>
                <w:szCs w:val="16"/>
                <w:lang w:val="fr-CH"/>
              </w:rPr>
            </w:pPr>
            <w:r w:rsidRPr="0071782F">
              <w:rPr>
                <w:i/>
                <w:sz w:val="16"/>
                <w:szCs w:val="16"/>
                <w:lang w:val="fr-CH"/>
              </w:rPr>
              <w:t>Médecine interne</w:t>
            </w:r>
          </w:p>
        </w:tc>
        <w:tc>
          <w:tcPr>
            <w:tcW w:w="1239" w:type="dxa"/>
            <w:tcBorders>
              <w:top w:val="single" w:sz="4" w:space="0" w:color="auto"/>
              <w:bottom w:val="single" w:sz="12" w:space="0" w:color="auto"/>
            </w:tcBorders>
            <w:shd w:val="clear" w:color="000000" w:fill="auto"/>
            <w:vAlign w:val="bottom"/>
          </w:tcPr>
          <w:p w:rsidR="00E5019F" w:rsidRPr="0071782F" w:rsidRDefault="00DE5D42" w:rsidP="00FF1C6B">
            <w:pPr>
              <w:suppressAutoHyphens w:val="0"/>
              <w:spacing w:before="80" w:after="80" w:line="200" w:lineRule="exact"/>
              <w:jc w:val="right"/>
              <w:rPr>
                <w:i/>
                <w:sz w:val="16"/>
                <w:szCs w:val="16"/>
                <w:lang w:val="fr-CH"/>
              </w:rPr>
            </w:pPr>
            <w:r w:rsidRPr="0071782F">
              <w:rPr>
                <w:i/>
                <w:sz w:val="16"/>
                <w:szCs w:val="16"/>
                <w:lang w:val="fr-CH"/>
              </w:rPr>
              <w:t>Cardiopathies coronariennes</w:t>
            </w:r>
          </w:p>
        </w:tc>
      </w:tr>
      <w:tr w:rsidR="00E5019F" w:rsidRPr="0071782F">
        <w:tc>
          <w:tcPr>
            <w:tcW w:w="945" w:type="dxa"/>
            <w:tcBorders>
              <w:top w:val="single" w:sz="12" w:space="0" w:color="auto"/>
            </w:tcBorders>
            <w:shd w:val="clear" w:color="000000" w:fill="auto"/>
          </w:tcPr>
          <w:p w:rsidR="00E5019F" w:rsidRPr="0071782F" w:rsidRDefault="00E5019F" w:rsidP="00FF1C6B">
            <w:pPr>
              <w:suppressAutoHyphens w:val="0"/>
              <w:spacing w:before="40" w:after="40" w:line="220" w:lineRule="exact"/>
              <w:rPr>
                <w:sz w:val="18"/>
                <w:lang w:val="fr-CH"/>
              </w:rPr>
            </w:pPr>
            <w:r w:rsidRPr="0071782F">
              <w:rPr>
                <w:sz w:val="18"/>
                <w:lang w:val="fr-CH"/>
              </w:rPr>
              <w:t>1991</w:t>
            </w:r>
          </w:p>
        </w:tc>
        <w:tc>
          <w:tcPr>
            <w:tcW w:w="945" w:type="dxa"/>
            <w:tcBorders>
              <w:top w:val="single" w:sz="12" w:space="0" w:color="auto"/>
            </w:tcBorders>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17 453</w:t>
            </w:r>
          </w:p>
        </w:tc>
        <w:tc>
          <w:tcPr>
            <w:tcW w:w="945" w:type="dxa"/>
            <w:tcBorders>
              <w:top w:val="single" w:sz="12" w:space="0" w:color="auto"/>
            </w:tcBorders>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8 754</w:t>
            </w:r>
          </w:p>
        </w:tc>
        <w:tc>
          <w:tcPr>
            <w:tcW w:w="992" w:type="dxa"/>
            <w:tcBorders>
              <w:top w:val="single" w:sz="12" w:space="0" w:color="auto"/>
            </w:tcBorders>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1 541</w:t>
            </w:r>
          </w:p>
        </w:tc>
        <w:tc>
          <w:tcPr>
            <w:tcW w:w="992" w:type="dxa"/>
            <w:tcBorders>
              <w:top w:val="single" w:sz="12" w:space="0" w:color="auto"/>
            </w:tcBorders>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99</w:t>
            </w:r>
          </w:p>
        </w:tc>
        <w:tc>
          <w:tcPr>
            <w:tcW w:w="993" w:type="dxa"/>
            <w:tcBorders>
              <w:top w:val="single" w:sz="12" w:space="0" w:color="auto"/>
            </w:tcBorders>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1 064</w:t>
            </w:r>
          </w:p>
        </w:tc>
        <w:tc>
          <w:tcPr>
            <w:tcW w:w="754" w:type="dxa"/>
            <w:tcBorders>
              <w:top w:val="single" w:sz="12" w:space="0" w:color="auto"/>
            </w:tcBorders>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5 995</w:t>
            </w:r>
          </w:p>
        </w:tc>
        <w:tc>
          <w:tcPr>
            <w:tcW w:w="700" w:type="dxa"/>
            <w:tcBorders>
              <w:top w:val="single" w:sz="12" w:space="0" w:color="auto"/>
            </w:tcBorders>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528</w:t>
            </w:r>
          </w:p>
        </w:tc>
        <w:tc>
          <w:tcPr>
            <w:tcW w:w="1239" w:type="dxa"/>
            <w:tcBorders>
              <w:top w:val="single" w:sz="12" w:space="0" w:color="auto"/>
            </w:tcBorders>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170</w:t>
            </w:r>
          </w:p>
        </w:tc>
      </w:tr>
      <w:tr w:rsidR="00E5019F" w:rsidRPr="0071782F">
        <w:tc>
          <w:tcPr>
            <w:tcW w:w="945" w:type="dxa"/>
            <w:shd w:val="clear" w:color="000000" w:fill="auto"/>
          </w:tcPr>
          <w:p w:rsidR="00E5019F" w:rsidRPr="0071782F" w:rsidRDefault="00E5019F" w:rsidP="00FF1C6B">
            <w:pPr>
              <w:suppressAutoHyphens w:val="0"/>
              <w:spacing w:before="40" w:after="40" w:line="220" w:lineRule="exact"/>
              <w:rPr>
                <w:sz w:val="18"/>
                <w:lang w:val="fr-CH"/>
              </w:rPr>
            </w:pPr>
            <w:r w:rsidRPr="0071782F">
              <w:rPr>
                <w:sz w:val="18"/>
                <w:lang w:val="fr-CH"/>
              </w:rPr>
              <w:t>1996</w:t>
            </w:r>
          </w:p>
        </w:tc>
        <w:tc>
          <w:tcPr>
            <w:tcW w:w="945"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(4)19 585</w:t>
            </w:r>
          </w:p>
        </w:tc>
        <w:tc>
          <w:tcPr>
            <w:tcW w:w="94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9 057</w:t>
            </w:r>
          </w:p>
        </w:tc>
        <w:tc>
          <w:tcPr>
            <w:tcW w:w="992"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1 748</w:t>
            </w:r>
          </w:p>
        </w:tc>
        <w:tc>
          <w:tcPr>
            <w:tcW w:w="992"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22</w:t>
            </w:r>
          </w:p>
        </w:tc>
        <w:tc>
          <w:tcPr>
            <w:tcW w:w="993"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1 179</w:t>
            </w:r>
          </w:p>
        </w:tc>
        <w:tc>
          <w:tcPr>
            <w:tcW w:w="754"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1 179</w:t>
            </w:r>
          </w:p>
        </w:tc>
        <w:tc>
          <w:tcPr>
            <w:tcW w:w="700"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801</w:t>
            </w:r>
          </w:p>
        </w:tc>
        <w:tc>
          <w:tcPr>
            <w:tcW w:w="1239"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188</w:t>
            </w:r>
          </w:p>
        </w:tc>
      </w:tr>
      <w:tr w:rsidR="00E5019F" w:rsidRPr="0071782F">
        <w:tc>
          <w:tcPr>
            <w:tcW w:w="945" w:type="dxa"/>
            <w:shd w:val="clear" w:color="000000" w:fill="auto"/>
          </w:tcPr>
          <w:p w:rsidR="00E5019F" w:rsidRPr="0071782F" w:rsidRDefault="00E5019F" w:rsidP="00FF1C6B">
            <w:pPr>
              <w:suppressAutoHyphens w:val="0"/>
              <w:spacing w:before="40" w:after="40" w:line="220" w:lineRule="exact"/>
              <w:rPr>
                <w:sz w:val="18"/>
                <w:lang w:val="fr-CH"/>
              </w:rPr>
            </w:pPr>
            <w:r w:rsidRPr="0071782F">
              <w:rPr>
                <w:sz w:val="18"/>
                <w:lang w:val="fr-CH"/>
              </w:rPr>
              <w:t>2001</w:t>
            </w:r>
          </w:p>
        </w:tc>
        <w:tc>
          <w:tcPr>
            <w:tcW w:w="945"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21 175</w:t>
            </w:r>
          </w:p>
        </w:tc>
        <w:tc>
          <w:tcPr>
            <w:tcW w:w="94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8 568</w:t>
            </w:r>
          </w:p>
        </w:tc>
        <w:tc>
          <w:tcPr>
            <w:tcW w:w="992"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1 945</w:t>
            </w:r>
          </w:p>
        </w:tc>
        <w:tc>
          <w:tcPr>
            <w:tcW w:w="992"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527</w:t>
            </w:r>
          </w:p>
        </w:tc>
        <w:tc>
          <w:tcPr>
            <w:tcW w:w="993"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1 069</w:t>
            </w:r>
          </w:p>
        </w:tc>
        <w:tc>
          <w:tcPr>
            <w:tcW w:w="754"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1 069</w:t>
            </w:r>
          </w:p>
        </w:tc>
        <w:tc>
          <w:tcPr>
            <w:tcW w:w="700"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1 029</w:t>
            </w:r>
          </w:p>
        </w:tc>
        <w:tc>
          <w:tcPr>
            <w:tcW w:w="1239"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372</w:t>
            </w:r>
          </w:p>
        </w:tc>
      </w:tr>
      <w:tr w:rsidR="00E5019F" w:rsidRPr="0071782F">
        <w:tc>
          <w:tcPr>
            <w:tcW w:w="945" w:type="dxa"/>
            <w:shd w:val="clear" w:color="000000" w:fill="auto"/>
          </w:tcPr>
          <w:p w:rsidR="00E5019F" w:rsidRPr="0071782F" w:rsidRDefault="00E5019F" w:rsidP="00FF1C6B">
            <w:pPr>
              <w:suppressAutoHyphens w:val="0"/>
              <w:spacing w:before="40" w:after="40" w:line="220" w:lineRule="exact"/>
              <w:rPr>
                <w:sz w:val="18"/>
                <w:lang w:val="fr-CH"/>
              </w:rPr>
            </w:pPr>
            <w:r w:rsidRPr="0071782F">
              <w:rPr>
                <w:sz w:val="18"/>
                <w:lang w:val="fr-CH"/>
              </w:rPr>
              <w:t>2002</w:t>
            </w:r>
          </w:p>
        </w:tc>
        <w:tc>
          <w:tcPr>
            <w:tcW w:w="945"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212 496</w:t>
            </w:r>
          </w:p>
        </w:tc>
        <w:tc>
          <w:tcPr>
            <w:tcW w:w="94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8 693</w:t>
            </w:r>
          </w:p>
        </w:tc>
        <w:tc>
          <w:tcPr>
            <w:tcW w:w="992"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1 911</w:t>
            </w:r>
          </w:p>
        </w:tc>
        <w:tc>
          <w:tcPr>
            <w:tcW w:w="992"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527</w:t>
            </w:r>
          </w:p>
        </w:tc>
        <w:tc>
          <w:tcPr>
            <w:tcW w:w="993"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1 083</w:t>
            </w:r>
          </w:p>
        </w:tc>
        <w:tc>
          <w:tcPr>
            <w:tcW w:w="754"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1 083</w:t>
            </w:r>
          </w:p>
        </w:tc>
        <w:tc>
          <w:tcPr>
            <w:tcW w:w="700"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933</w:t>
            </w:r>
          </w:p>
        </w:tc>
        <w:tc>
          <w:tcPr>
            <w:tcW w:w="1239"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390</w:t>
            </w:r>
          </w:p>
        </w:tc>
      </w:tr>
      <w:tr w:rsidR="00E5019F" w:rsidRPr="0071782F">
        <w:tc>
          <w:tcPr>
            <w:tcW w:w="945" w:type="dxa"/>
            <w:shd w:val="clear" w:color="000000" w:fill="auto"/>
          </w:tcPr>
          <w:p w:rsidR="00E5019F" w:rsidRPr="0071782F" w:rsidRDefault="00E5019F" w:rsidP="00FF1C6B">
            <w:pPr>
              <w:suppressAutoHyphens w:val="0"/>
              <w:spacing w:before="40" w:after="40" w:line="220" w:lineRule="exact"/>
              <w:rPr>
                <w:sz w:val="18"/>
                <w:lang w:val="fr-CH"/>
              </w:rPr>
            </w:pPr>
            <w:r w:rsidRPr="0071782F">
              <w:rPr>
                <w:sz w:val="18"/>
                <w:lang w:val="fr-CH"/>
              </w:rPr>
              <w:t>2003</w:t>
            </w:r>
          </w:p>
        </w:tc>
        <w:tc>
          <w:tcPr>
            <w:tcW w:w="945"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22 753</w:t>
            </w:r>
          </w:p>
        </w:tc>
        <w:tc>
          <w:tcPr>
            <w:tcW w:w="94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9 814</w:t>
            </w:r>
          </w:p>
        </w:tc>
        <w:tc>
          <w:tcPr>
            <w:tcW w:w="992"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2 122</w:t>
            </w:r>
          </w:p>
        </w:tc>
        <w:tc>
          <w:tcPr>
            <w:tcW w:w="992"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70</w:t>
            </w:r>
          </w:p>
        </w:tc>
        <w:tc>
          <w:tcPr>
            <w:tcW w:w="993"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1 084</w:t>
            </w:r>
          </w:p>
        </w:tc>
        <w:tc>
          <w:tcPr>
            <w:tcW w:w="754"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1 084</w:t>
            </w:r>
          </w:p>
        </w:tc>
        <w:tc>
          <w:tcPr>
            <w:tcW w:w="700"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840</w:t>
            </w:r>
          </w:p>
        </w:tc>
        <w:tc>
          <w:tcPr>
            <w:tcW w:w="1239"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433</w:t>
            </w:r>
          </w:p>
        </w:tc>
      </w:tr>
      <w:tr w:rsidR="00E5019F" w:rsidRPr="0071782F">
        <w:tc>
          <w:tcPr>
            <w:tcW w:w="945" w:type="dxa"/>
            <w:shd w:val="clear" w:color="000000" w:fill="auto"/>
          </w:tcPr>
          <w:p w:rsidR="00E5019F" w:rsidRPr="0071782F" w:rsidRDefault="00E5019F" w:rsidP="00FF1C6B">
            <w:pPr>
              <w:suppressAutoHyphens w:val="0"/>
              <w:spacing w:before="40" w:after="40" w:line="220" w:lineRule="exact"/>
              <w:rPr>
                <w:sz w:val="18"/>
                <w:lang w:val="fr-CH"/>
              </w:rPr>
            </w:pPr>
            <w:r w:rsidRPr="0071782F">
              <w:rPr>
                <w:sz w:val="18"/>
                <w:lang w:val="fr-CH"/>
              </w:rPr>
              <w:t>2004</w:t>
            </w:r>
          </w:p>
        </w:tc>
        <w:tc>
          <w:tcPr>
            <w:tcW w:w="945"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24 661</w:t>
            </w:r>
          </w:p>
        </w:tc>
        <w:tc>
          <w:tcPr>
            <w:tcW w:w="94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10 705</w:t>
            </w:r>
          </w:p>
        </w:tc>
        <w:tc>
          <w:tcPr>
            <w:tcW w:w="992"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2 279</w:t>
            </w:r>
          </w:p>
        </w:tc>
        <w:tc>
          <w:tcPr>
            <w:tcW w:w="992"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65</w:t>
            </w:r>
          </w:p>
        </w:tc>
        <w:tc>
          <w:tcPr>
            <w:tcW w:w="993"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1 107</w:t>
            </w:r>
          </w:p>
        </w:tc>
        <w:tc>
          <w:tcPr>
            <w:tcW w:w="754"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1 107</w:t>
            </w:r>
          </w:p>
        </w:tc>
        <w:tc>
          <w:tcPr>
            <w:tcW w:w="700"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852</w:t>
            </w:r>
          </w:p>
        </w:tc>
        <w:tc>
          <w:tcPr>
            <w:tcW w:w="1239"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475</w:t>
            </w:r>
          </w:p>
        </w:tc>
      </w:tr>
      <w:tr w:rsidR="00E5019F" w:rsidRPr="0071782F">
        <w:tc>
          <w:tcPr>
            <w:tcW w:w="945" w:type="dxa"/>
            <w:shd w:val="clear" w:color="000000" w:fill="auto"/>
          </w:tcPr>
          <w:p w:rsidR="00E5019F" w:rsidRPr="0071782F" w:rsidRDefault="00E5019F" w:rsidP="00FF1C6B">
            <w:pPr>
              <w:suppressAutoHyphens w:val="0"/>
              <w:spacing w:before="40" w:after="40" w:line="220" w:lineRule="exact"/>
              <w:rPr>
                <w:sz w:val="18"/>
                <w:lang w:val="fr-CH"/>
              </w:rPr>
            </w:pPr>
            <w:r w:rsidRPr="0071782F">
              <w:rPr>
                <w:sz w:val="18"/>
                <w:lang w:val="fr-CH"/>
              </w:rPr>
              <w:t>2005</w:t>
            </w:r>
          </w:p>
        </w:tc>
        <w:tc>
          <w:tcPr>
            <w:tcW w:w="945"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26 564</w:t>
            </w:r>
          </w:p>
        </w:tc>
        <w:tc>
          <w:tcPr>
            <w:tcW w:w="94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11 361</w:t>
            </w:r>
          </w:p>
        </w:tc>
        <w:tc>
          <w:tcPr>
            <w:tcW w:w="992"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2 517</w:t>
            </w:r>
          </w:p>
        </w:tc>
        <w:tc>
          <w:tcPr>
            <w:tcW w:w="992"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74</w:t>
            </w:r>
          </w:p>
        </w:tc>
        <w:tc>
          <w:tcPr>
            <w:tcW w:w="993"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1 246</w:t>
            </w:r>
          </w:p>
        </w:tc>
        <w:tc>
          <w:tcPr>
            <w:tcW w:w="754"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1 249</w:t>
            </w:r>
          </w:p>
        </w:tc>
        <w:tc>
          <w:tcPr>
            <w:tcW w:w="700"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941</w:t>
            </w:r>
          </w:p>
        </w:tc>
        <w:tc>
          <w:tcPr>
            <w:tcW w:w="1239"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512</w:t>
            </w:r>
          </w:p>
        </w:tc>
      </w:tr>
      <w:tr w:rsidR="00E5019F" w:rsidRPr="0071782F">
        <w:tc>
          <w:tcPr>
            <w:tcW w:w="945" w:type="dxa"/>
            <w:shd w:val="clear" w:color="000000" w:fill="auto"/>
          </w:tcPr>
          <w:p w:rsidR="00E5019F" w:rsidRPr="0071782F" w:rsidRDefault="00E5019F" w:rsidP="00FF1C6B">
            <w:pPr>
              <w:suppressAutoHyphens w:val="0"/>
              <w:spacing w:before="40" w:after="40" w:line="220" w:lineRule="exact"/>
              <w:rPr>
                <w:sz w:val="18"/>
                <w:lang w:val="fr-CH"/>
              </w:rPr>
            </w:pPr>
            <w:r w:rsidRPr="0071782F">
              <w:rPr>
                <w:sz w:val="18"/>
                <w:lang w:val="fr-CH"/>
              </w:rPr>
              <w:t>2006</w:t>
            </w:r>
          </w:p>
        </w:tc>
        <w:tc>
          <w:tcPr>
            <w:tcW w:w="94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29 937</w:t>
            </w:r>
          </w:p>
        </w:tc>
        <w:tc>
          <w:tcPr>
            <w:tcW w:w="945"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13 485</w:t>
            </w:r>
          </w:p>
        </w:tc>
        <w:tc>
          <w:tcPr>
            <w:tcW w:w="992"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2 786</w:t>
            </w:r>
          </w:p>
        </w:tc>
        <w:tc>
          <w:tcPr>
            <w:tcW w:w="992"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81</w:t>
            </w:r>
          </w:p>
        </w:tc>
        <w:tc>
          <w:tcPr>
            <w:tcW w:w="993"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1 327</w:t>
            </w:r>
          </w:p>
        </w:tc>
        <w:tc>
          <w:tcPr>
            <w:tcW w:w="754" w:type="dxa"/>
            <w:shd w:val="clear" w:color="000000" w:fill="auto"/>
            <w:vAlign w:val="bottom"/>
          </w:tcPr>
          <w:p w:rsidR="00E5019F" w:rsidRPr="0071782F" w:rsidRDefault="00E5019F" w:rsidP="00FF1C6B">
            <w:pPr>
              <w:suppressAutoHyphens w:val="0"/>
              <w:spacing w:before="40" w:after="40" w:line="220" w:lineRule="exact"/>
              <w:jc w:val="right"/>
              <w:rPr>
                <w:b/>
                <w:sz w:val="18"/>
                <w:lang w:val="fr-CH"/>
              </w:rPr>
            </w:pPr>
            <w:r w:rsidRPr="0071782F">
              <w:rPr>
                <w:b/>
                <w:sz w:val="18"/>
                <w:lang w:val="fr-CH"/>
              </w:rPr>
              <w:t>1 327</w:t>
            </w:r>
          </w:p>
        </w:tc>
        <w:tc>
          <w:tcPr>
            <w:tcW w:w="700"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1 102</w:t>
            </w:r>
          </w:p>
        </w:tc>
        <w:tc>
          <w:tcPr>
            <w:tcW w:w="1239" w:type="dxa"/>
            <w:shd w:val="clear" w:color="000000"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604</w:t>
            </w:r>
          </w:p>
        </w:tc>
      </w:tr>
    </w:tbl>
    <w:p w:rsidR="00E5019F" w:rsidRPr="0071782F" w:rsidRDefault="00E5019F" w:rsidP="00E5019F">
      <w:pPr>
        <w:pStyle w:val="H23G"/>
        <w:spacing w:after="240"/>
        <w:rPr>
          <w:lang w:val="fr-CH"/>
        </w:rPr>
      </w:pPr>
      <w:r w:rsidRPr="0071782F">
        <w:rPr>
          <w:lang w:val="fr-CH"/>
        </w:rPr>
        <w:tab/>
      </w:r>
      <w:r w:rsidRPr="0071782F">
        <w:rPr>
          <w:lang w:val="fr-CH"/>
        </w:rPr>
        <w:tab/>
      </w:r>
      <w:r w:rsidR="00DE5D42" w:rsidRPr="0071782F">
        <w:rPr>
          <w:lang w:val="fr-CH"/>
        </w:rPr>
        <w:t xml:space="preserve">Indicateurs des soins de santé et des traitements médicaux </w:t>
      </w:r>
      <w:r w:rsidR="00A053D6" w:rsidRPr="0071782F">
        <w:rPr>
          <w:lang w:val="fr-CH"/>
        </w:rPr>
        <w:t xml:space="preserve">pour </w:t>
      </w:r>
      <w:r w:rsidRPr="0071782F">
        <w:rPr>
          <w:lang w:val="fr-CH"/>
        </w:rPr>
        <w:t>2005</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30"/>
        <w:gridCol w:w="1335"/>
        <w:gridCol w:w="1335"/>
        <w:gridCol w:w="1335"/>
        <w:gridCol w:w="1335"/>
      </w:tblGrid>
      <w:tr w:rsidR="00E5019F" w:rsidRPr="0071782F">
        <w:trPr>
          <w:tblHeader/>
        </w:trPr>
        <w:tc>
          <w:tcPr>
            <w:tcW w:w="2482" w:type="dxa"/>
            <w:tcBorders>
              <w:top w:val="single" w:sz="4" w:space="0" w:color="auto"/>
              <w:bottom w:val="single" w:sz="12" w:space="0" w:color="auto"/>
            </w:tcBorders>
            <w:shd w:val="clear" w:color="auto" w:fill="auto"/>
            <w:vAlign w:val="bottom"/>
          </w:tcPr>
          <w:p w:rsidR="00E5019F" w:rsidRPr="0071782F" w:rsidRDefault="00E5019F" w:rsidP="00FF1C6B">
            <w:pPr>
              <w:suppressAutoHyphens w:val="0"/>
              <w:spacing w:before="80" w:after="80" w:line="200" w:lineRule="exact"/>
              <w:rPr>
                <w:i/>
                <w:sz w:val="16"/>
                <w:lang w:val="fr-CH"/>
              </w:rPr>
            </w:pPr>
            <w:r w:rsidRPr="0071782F">
              <w:rPr>
                <w:i/>
                <w:sz w:val="16"/>
                <w:lang w:val="fr-CH"/>
              </w:rPr>
              <w:t>Indicat</w:t>
            </w:r>
            <w:r w:rsidR="00A053D6" w:rsidRPr="0071782F">
              <w:rPr>
                <w:i/>
                <w:sz w:val="16"/>
                <w:lang w:val="fr-CH"/>
              </w:rPr>
              <w:t>eu</w:t>
            </w:r>
            <w:r w:rsidRPr="0071782F">
              <w:rPr>
                <w:i/>
                <w:sz w:val="16"/>
                <w:lang w:val="fr-CH"/>
              </w:rPr>
              <w:t>r</w:t>
            </w:r>
          </w:p>
        </w:tc>
        <w:tc>
          <w:tcPr>
            <w:tcW w:w="1630" w:type="dxa"/>
            <w:tcBorders>
              <w:top w:val="single" w:sz="4" w:space="0" w:color="auto"/>
              <w:bottom w:val="single" w:sz="12" w:space="0" w:color="auto"/>
            </w:tcBorders>
            <w:shd w:val="clear" w:color="auto" w:fill="auto"/>
            <w:vAlign w:val="bottom"/>
          </w:tcPr>
          <w:p w:rsidR="00E5019F" w:rsidRPr="0071782F" w:rsidRDefault="00A053D6" w:rsidP="00FF1C6B">
            <w:pPr>
              <w:suppressAutoHyphens w:val="0"/>
              <w:spacing w:before="80" w:after="80" w:line="200" w:lineRule="exact"/>
              <w:jc w:val="right"/>
              <w:rPr>
                <w:i/>
                <w:sz w:val="16"/>
                <w:lang w:val="fr-CH"/>
              </w:rPr>
            </w:pPr>
            <w:r w:rsidRPr="0071782F">
              <w:rPr>
                <w:i/>
                <w:sz w:val="16"/>
                <w:lang w:val="fr-CH"/>
              </w:rPr>
              <w:t>Année</w:t>
            </w:r>
          </w:p>
        </w:tc>
        <w:tc>
          <w:tcPr>
            <w:tcW w:w="1630" w:type="dxa"/>
            <w:tcBorders>
              <w:top w:val="single" w:sz="4" w:space="0" w:color="auto"/>
              <w:bottom w:val="single" w:sz="12" w:space="0" w:color="auto"/>
            </w:tcBorders>
            <w:shd w:val="clear" w:color="auto" w:fill="auto"/>
            <w:vAlign w:val="bottom"/>
          </w:tcPr>
          <w:p w:rsidR="00E5019F" w:rsidRPr="0071782F" w:rsidRDefault="00E5019F" w:rsidP="008077B0">
            <w:pPr>
              <w:suppressAutoHyphens w:val="0"/>
              <w:spacing w:before="80" w:after="80" w:line="200" w:lineRule="exact"/>
              <w:ind w:left="113"/>
              <w:rPr>
                <w:i/>
                <w:sz w:val="16"/>
                <w:lang w:val="fr-CH"/>
              </w:rPr>
            </w:pPr>
            <w:r w:rsidRPr="0071782F">
              <w:rPr>
                <w:i/>
                <w:sz w:val="16"/>
                <w:lang w:val="fr-CH"/>
              </w:rPr>
              <w:t>Unit</w:t>
            </w:r>
            <w:r w:rsidR="00A053D6" w:rsidRPr="0071782F">
              <w:rPr>
                <w:i/>
                <w:sz w:val="16"/>
                <w:lang w:val="fr-CH"/>
              </w:rPr>
              <w:t>é</w:t>
            </w:r>
          </w:p>
        </w:tc>
        <w:tc>
          <w:tcPr>
            <w:tcW w:w="1631" w:type="dxa"/>
            <w:tcBorders>
              <w:top w:val="single" w:sz="4" w:space="0" w:color="auto"/>
              <w:bottom w:val="single" w:sz="12" w:space="0" w:color="auto"/>
            </w:tcBorders>
            <w:shd w:val="clear" w:color="auto" w:fill="auto"/>
            <w:vAlign w:val="bottom"/>
          </w:tcPr>
          <w:p w:rsidR="00E5019F" w:rsidRPr="0071782F" w:rsidRDefault="003B48A4" w:rsidP="00FF1C6B">
            <w:pPr>
              <w:suppressAutoHyphens w:val="0"/>
              <w:spacing w:before="80" w:after="80" w:line="200" w:lineRule="exact"/>
              <w:jc w:val="right"/>
              <w:rPr>
                <w:i/>
                <w:sz w:val="16"/>
                <w:lang w:val="fr-CH"/>
              </w:rPr>
            </w:pPr>
            <w:r w:rsidRPr="0071782F">
              <w:rPr>
                <w:i/>
                <w:sz w:val="16"/>
                <w:lang w:val="fr-CH"/>
              </w:rPr>
              <w:t>Nombre</w:t>
            </w:r>
          </w:p>
        </w:tc>
        <w:tc>
          <w:tcPr>
            <w:tcW w:w="1631" w:type="dxa"/>
            <w:tcBorders>
              <w:top w:val="single" w:sz="4" w:space="0" w:color="auto"/>
              <w:bottom w:val="single" w:sz="12" w:space="0" w:color="auto"/>
            </w:tcBorders>
            <w:shd w:val="clear" w:color="auto" w:fill="auto"/>
            <w:vAlign w:val="bottom"/>
          </w:tcPr>
          <w:p w:rsidR="00E5019F" w:rsidRPr="0071782F" w:rsidRDefault="00A053D6" w:rsidP="00FF1C6B">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00E5019F" w:rsidRPr="0071782F">
              <w:rPr>
                <w:i/>
                <w:sz w:val="16"/>
                <w:lang w:val="fr-CH"/>
              </w:rPr>
              <w:t xml:space="preserve"> </w:t>
            </w:r>
          </w:p>
        </w:tc>
      </w:tr>
      <w:tr w:rsidR="00E5019F" w:rsidRPr="0071782F">
        <w:tc>
          <w:tcPr>
            <w:tcW w:w="2482" w:type="dxa"/>
            <w:tcBorders>
              <w:top w:val="single" w:sz="12" w:space="0" w:color="auto"/>
            </w:tcBorders>
            <w:shd w:val="clear" w:color="auto" w:fill="auto"/>
          </w:tcPr>
          <w:p w:rsidR="00E5019F" w:rsidRPr="0071782F" w:rsidRDefault="00E5019F" w:rsidP="00FF1C6B">
            <w:pPr>
              <w:suppressAutoHyphens w:val="0"/>
              <w:spacing w:before="40" w:after="40" w:line="220" w:lineRule="exact"/>
              <w:rPr>
                <w:sz w:val="18"/>
                <w:lang w:val="fr-CH"/>
              </w:rPr>
            </w:pPr>
            <w:r w:rsidRPr="0071782F">
              <w:rPr>
                <w:sz w:val="18"/>
                <w:lang w:val="fr-CH"/>
              </w:rPr>
              <w:t>Pharmac</w:t>
            </w:r>
            <w:r w:rsidR="00A053D6" w:rsidRPr="0071782F">
              <w:rPr>
                <w:sz w:val="18"/>
                <w:lang w:val="fr-CH"/>
              </w:rPr>
              <w:t>ies</w:t>
            </w:r>
          </w:p>
        </w:tc>
        <w:tc>
          <w:tcPr>
            <w:tcW w:w="1630" w:type="dxa"/>
            <w:tcBorders>
              <w:top w:val="single" w:sz="12" w:space="0" w:color="auto"/>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2005</w:t>
            </w:r>
          </w:p>
        </w:tc>
        <w:tc>
          <w:tcPr>
            <w:tcW w:w="1630" w:type="dxa"/>
            <w:tcBorders>
              <w:top w:val="single" w:sz="12" w:space="0" w:color="auto"/>
            </w:tcBorders>
            <w:shd w:val="clear" w:color="auto" w:fill="auto"/>
            <w:vAlign w:val="bottom"/>
          </w:tcPr>
          <w:p w:rsidR="00E5019F" w:rsidRPr="0071782F" w:rsidRDefault="003B48A4" w:rsidP="008077B0">
            <w:pPr>
              <w:suppressAutoHyphens w:val="0"/>
              <w:spacing w:before="40" w:after="40" w:line="220" w:lineRule="exact"/>
              <w:ind w:left="113"/>
              <w:rPr>
                <w:sz w:val="18"/>
                <w:lang w:val="fr-CH"/>
              </w:rPr>
            </w:pPr>
            <w:r w:rsidRPr="0071782F">
              <w:rPr>
                <w:sz w:val="18"/>
                <w:lang w:val="fr-CH"/>
              </w:rPr>
              <w:t>Nombre</w:t>
            </w:r>
          </w:p>
        </w:tc>
        <w:tc>
          <w:tcPr>
            <w:tcW w:w="1631" w:type="dxa"/>
            <w:tcBorders>
              <w:top w:val="single" w:sz="12" w:space="0" w:color="auto"/>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6 679</w:t>
            </w:r>
          </w:p>
        </w:tc>
        <w:tc>
          <w:tcPr>
            <w:tcW w:w="1631" w:type="dxa"/>
            <w:tcBorders>
              <w:top w:val="single" w:sz="12" w:space="0" w:color="auto"/>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4/7</w:t>
            </w:r>
          </w:p>
        </w:tc>
      </w:tr>
      <w:tr w:rsidR="00E5019F" w:rsidRPr="0071782F">
        <w:tc>
          <w:tcPr>
            <w:tcW w:w="2482" w:type="dxa"/>
            <w:shd w:val="clear" w:color="auto" w:fill="auto"/>
          </w:tcPr>
          <w:p w:rsidR="00E5019F" w:rsidRPr="0071782F" w:rsidRDefault="00A053D6" w:rsidP="00FF1C6B">
            <w:pPr>
              <w:suppressAutoHyphens w:val="0"/>
              <w:spacing w:before="40" w:after="40" w:line="220" w:lineRule="exact"/>
              <w:rPr>
                <w:sz w:val="18"/>
                <w:lang w:val="fr-CH"/>
              </w:rPr>
            </w:pPr>
            <w:r w:rsidRPr="0071782F">
              <w:rPr>
                <w:sz w:val="18"/>
                <w:lang w:val="fr-CH"/>
              </w:rPr>
              <w:t xml:space="preserve">Laboratoires médicaux </w:t>
            </w:r>
          </w:p>
        </w:tc>
        <w:tc>
          <w:tcPr>
            <w:tcW w:w="1630"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2005</w:t>
            </w:r>
          </w:p>
        </w:tc>
        <w:tc>
          <w:tcPr>
            <w:tcW w:w="1630" w:type="dxa"/>
            <w:shd w:val="clear" w:color="auto" w:fill="auto"/>
            <w:vAlign w:val="bottom"/>
          </w:tcPr>
          <w:p w:rsidR="00E5019F" w:rsidRPr="0071782F" w:rsidRDefault="003B48A4" w:rsidP="008077B0">
            <w:pPr>
              <w:suppressAutoHyphens w:val="0"/>
              <w:spacing w:before="40" w:after="40" w:line="220" w:lineRule="exact"/>
              <w:ind w:left="113"/>
              <w:rPr>
                <w:sz w:val="18"/>
                <w:lang w:val="fr-CH"/>
              </w:rPr>
            </w:pPr>
            <w:r w:rsidRPr="0071782F">
              <w:rPr>
                <w:sz w:val="18"/>
                <w:lang w:val="fr-CH"/>
              </w:rPr>
              <w:t>Nombre</w:t>
            </w:r>
          </w:p>
        </w:tc>
        <w:tc>
          <w:tcPr>
            <w:tcW w:w="1631"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4 212</w:t>
            </w:r>
          </w:p>
        </w:tc>
        <w:tc>
          <w:tcPr>
            <w:tcW w:w="1631"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2/1</w:t>
            </w:r>
          </w:p>
        </w:tc>
      </w:tr>
      <w:tr w:rsidR="00E5019F" w:rsidRPr="0071782F">
        <w:tc>
          <w:tcPr>
            <w:tcW w:w="2482" w:type="dxa"/>
            <w:shd w:val="clear" w:color="auto" w:fill="auto"/>
          </w:tcPr>
          <w:p w:rsidR="00E5019F" w:rsidRPr="0071782F" w:rsidRDefault="00A053D6" w:rsidP="00FF1C6B">
            <w:pPr>
              <w:suppressAutoHyphens w:val="0"/>
              <w:spacing w:before="40" w:after="40" w:line="220" w:lineRule="exact"/>
              <w:rPr>
                <w:sz w:val="18"/>
                <w:lang w:val="fr-CH"/>
              </w:rPr>
            </w:pPr>
            <w:r w:rsidRPr="0071782F">
              <w:rPr>
                <w:sz w:val="18"/>
                <w:lang w:val="fr-CH"/>
              </w:rPr>
              <w:t>Cliniques radiologiques</w:t>
            </w:r>
          </w:p>
        </w:tc>
        <w:tc>
          <w:tcPr>
            <w:tcW w:w="1630"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2005</w:t>
            </w:r>
          </w:p>
        </w:tc>
        <w:tc>
          <w:tcPr>
            <w:tcW w:w="1630" w:type="dxa"/>
            <w:shd w:val="clear" w:color="auto" w:fill="auto"/>
            <w:vAlign w:val="bottom"/>
          </w:tcPr>
          <w:p w:rsidR="00E5019F" w:rsidRPr="0071782F" w:rsidRDefault="003B48A4" w:rsidP="008077B0">
            <w:pPr>
              <w:suppressAutoHyphens w:val="0"/>
              <w:spacing w:before="40" w:after="40" w:line="220" w:lineRule="exact"/>
              <w:ind w:left="113"/>
              <w:rPr>
                <w:sz w:val="18"/>
                <w:lang w:val="fr-CH"/>
              </w:rPr>
            </w:pPr>
            <w:r w:rsidRPr="0071782F">
              <w:rPr>
                <w:sz w:val="18"/>
                <w:lang w:val="fr-CH"/>
              </w:rPr>
              <w:t>Nombre</w:t>
            </w:r>
          </w:p>
        </w:tc>
        <w:tc>
          <w:tcPr>
            <w:tcW w:w="1631"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2 119</w:t>
            </w:r>
          </w:p>
        </w:tc>
        <w:tc>
          <w:tcPr>
            <w:tcW w:w="1631"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3/6</w:t>
            </w:r>
          </w:p>
        </w:tc>
      </w:tr>
    </w:tbl>
    <w:p w:rsidR="00E5019F" w:rsidRPr="0071782F" w:rsidRDefault="00E5019F" w:rsidP="00FB1343">
      <w:pPr>
        <w:pStyle w:val="SingleTxtG"/>
        <w:spacing w:before="120"/>
        <w:rPr>
          <w:lang w:val="fr-CH"/>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69"/>
        <w:gridCol w:w="597"/>
        <w:gridCol w:w="1495"/>
        <w:gridCol w:w="605"/>
        <w:gridCol w:w="704"/>
      </w:tblGrid>
      <w:tr w:rsidR="00E5019F" w:rsidRPr="0071782F">
        <w:tc>
          <w:tcPr>
            <w:tcW w:w="3969" w:type="dxa"/>
            <w:tcBorders>
              <w:top w:val="single" w:sz="12" w:space="0" w:color="auto"/>
              <w:bottom w:val="nil"/>
            </w:tcBorders>
            <w:shd w:val="clear" w:color="auto" w:fill="auto"/>
          </w:tcPr>
          <w:p w:rsidR="00E5019F" w:rsidRPr="0071782F" w:rsidRDefault="003B48A4" w:rsidP="00FF1C6B">
            <w:pPr>
              <w:suppressAutoHyphens w:val="0"/>
              <w:spacing w:before="40" w:after="40" w:line="220" w:lineRule="exact"/>
              <w:rPr>
                <w:sz w:val="18"/>
                <w:szCs w:val="18"/>
                <w:lang w:val="fr-CH"/>
              </w:rPr>
            </w:pPr>
            <w:r w:rsidRPr="0071782F">
              <w:rPr>
                <w:sz w:val="18"/>
                <w:szCs w:val="18"/>
                <w:lang w:val="fr-CH"/>
              </w:rPr>
              <w:t>Nombre</w:t>
            </w:r>
            <w:r w:rsidR="00E5019F" w:rsidRPr="0071782F">
              <w:rPr>
                <w:sz w:val="18"/>
                <w:szCs w:val="18"/>
                <w:lang w:val="fr-CH"/>
              </w:rPr>
              <w:t xml:space="preserve"> </w:t>
            </w:r>
            <w:r w:rsidR="00A053D6" w:rsidRPr="0071782F">
              <w:rPr>
                <w:sz w:val="18"/>
                <w:szCs w:val="18"/>
                <w:lang w:val="fr-CH"/>
              </w:rPr>
              <w:t>de centres de traitements</w:t>
            </w:r>
            <w:r w:rsidR="00E5019F" w:rsidRPr="0071782F">
              <w:rPr>
                <w:i/>
                <w:sz w:val="18"/>
                <w:szCs w:val="18"/>
                <w:vertAlign w:val="superscript"/>
                <w:lang w:val="fr-CH"/>
              </w:rPr>
              <w:t>(1)</w:t>
            </w:r>
            <w:r w:rsidR="00E5019F" w:rsidRPr="0071782F">
              <w:rPr>
                <w:sz w:val="18"/>
                <w:szCs w:val="18"/>
                <w:lang w:val="fr-CH"/>
              </w:rPr>
              <w:br/>
              <w:t>(</w:t>
            </w:r>
            <w:r w:rsidR="00A053D6" w:rsidRPr="0071782F">
              <w:rPr>
                <w:sz w:val="18"/>
                <w:szCs w:val="18"/>
                <w:lang w:val="fr-CH"/>
              </w:rPr>
              <w:t>hôpital</w:t>
            </w:r>
            <w:r w:rsidR="00E5019F" w:rsidRPr="0071782F">
              <w:rPr>
                <w:sz w:val="18"/>
                <w:szCs w:val="18"/>
                <w:lang w:val="fr-CH"/>
              </w:rPr>
              <w:t>, h</w:t>
            </w:r>
            <w:r w:rsidR="00A053D6" w:rsidRPr="0071782F">
              <w:rPr>
                <w:sz w:val="18"/>
                <w:szCs w:val="18"/>
                <w:lang w:val="fr-CH"/>
              </w:rPr>
              <w:t>ô</w:t>
            </w:r>
            <w:r w:rsidR="00E5019F" w:rsidRPr="0071782F">
              <w:rPr>
                <w:sz w:val="18"/>
                <w:szCs w:val="18"/>
                <w:lang w:val="fr-CH"/>
              </w:rPr>
              <w:t>pital-maternit</w:t>
            </w:r>
            <w:r w:rsidR="00A053D6" w:rsidRPr="0071782F">
              <w:rPr>
                <w:sz w:val="18"/>
                <w:szCs w:val="18"/>
                <w:lang w:val="fr-CH"/>
              </w:rPr>
              <w:t>é</w:t>
            </w:r>
            <w:r w:rsidR="00E5019F" w:rsidRPr="0071782F">
              <w:rPr>
                <w:sz w:val="18"/>
                <w:szCs w:val="18"/>
                <w:lang w:val="fr-CH"/>
              </w:rPr>
              <w:t xml:space="preserve">, </w:t>
            </w:r>
            <w:r w:rsidR="00A053D6" w:rsidRPr="0071782F">
              <w:rPr>
                <w:sz w:val="18"/>
                <w:szCs w:val="18"/>
                <w:lang w:val="fr-CH"/>
              </w:rPr>
              <w:t>clinique de maternité</w:t>
            </w:r>
            <w:r w:rsidR="00E5019F" w:rsidRPr="0071782F">
              <w:rPr>
                <w:sz w:val="18"/>
                <w:szCs w:val="18"/>
                <w:lang w:val="fr-CH"/>
              </w:rPr>
              <w:t>)</w:t>
            </w:r>
          </w:p>
        </w:tc>
        <w:tc>
          <w:tcPr>
            <w:tcW w:w="597" w:type="dxa"/>
            <w:tcBorders>
              <w:top w:val="single" w:sz="12" w:space="0" w:color="auto"/>
              <w:bottom w:val="nil"/>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2005</w:t>
            </w:r>
          </w:p>
        </w:tc>
        <w:tc>
          <w:tcPr>
            <w:tcW w:w="1495" w:type="dxa"/>
            <w:tcBorders>
              <w:top w:val="single" w:sz="12" w:space="0" w:color="auto"/>
              <w:bottom w:val="nil"/>
            </w:tcBorders>
            <w:shd w:val="clear" w:color="auto" w:fill="auto"/>
            <w:vAlign w:val="bottom"/>
          </w:tcPr>
          <w:p w:rsidR="00E5019F" w:rsidRPr="0071782F" w:rsidRDefault="003B48A4" w:rsidP="008077B0">
            <w:pPr>
              <w:suppressAutoHyphens w:val="0"/>
              <w:spacing w:before="40" w:after="40" w:line="220" w:lineRule="exact"/>
              <w:ind w:left="113"/>
              <w:rPr>
                <w:sz w:val="18"/>
                <w:lang w:val="fr-CH"/>
              </w:rPr>
            </w:pPr>
            <w:r w:rsidRPr="0071782F">
              <w:rPr>
                <w:sz w:val="18"/>
                <w:lang w:val="fr-CH"/>
              </w:rPr>
              <w:t>Nombre</w:t>
            </w:r>
          </w:p>
        </w:tc>
        <w:tc>
          <w:tcPr>
            <w:tcW w:w="605" w:type="dxa"/>
            <w:tcBorders>
              <w:top w:val="single" w:sz="12" w:space="0" w:color="auto"/>
              <w:bottom w:val="nil"/>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750</w:t>
            </w:r>
          </w:p>
        </w:tc>
        <w:tc>
          <w:tcPr>
            <w:tcW w:w="704" w:type="dxa"/>
            <w:tcBorders>
              <w:top w:val="single" w:sz="12" w:space="0" w:color="auto"/>
              <w:bottom w:val="nil"/>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w:t>
            </w:r>
            <w:r w:rsidR="00FF1C6B" w:rsidRPr="0071782F">
              <w:rPr>
                <w:sz w:val="18"/>
                <w:lang w:val="fr-CH"/>
              </w:rPr>
              <w:t>,</w:t>
            </w:r>
            <w:r w:rsidRPr="0071782F">
              <w:rPr>
                <w:sz w:val="18"/>
                <w:lang w:val="fr-CH"/>
              </w:rPr>
              <w:t>6</w:t>
            </w:r>
          </w:p>
        </w:tc>
      </w:tr>
      <w:tr w:rsidR="00E5019F" w:rsidRPr="0071782F">
        <w:tc>
          <w:tcPr>
            <w:tcW w:w="3969" w:type="dxa"/>
            <w:tcBorders>
              <w:top w:val="nil"/>
            </w:tcBorders>
            <w:shd w:val="clear" w:color="auto" w:fill="auto"/>
          </w:tcPr>
          <w:p w:rsidR="00E5019F" w:rsidRPr="0071782F" w:rsidRDefault="003B48A4" w:rsidP="00FF1C6B">
            <w:pPr>
              <w:suppressAutoHyphens w:val="0"/>
              <w:spacing w:before="40" w:after="40" w:line="220" w:lineRule="exact"/>
              <w:rPr>
                <w:sz w:val="18"/>
                <w:lang w:val="fr-CH"/>
              </w:rPr>
            </w:pPr>
            <w:r w:rsidRPr="0071782F">
              <w:rPr>
                <w:sz w:val="18"/>
                <w:lang w:val="fr-CH"/>
              </w:rPr>
              <w:t>Nombre</w:t>
            </w:r>
            <w:r w:rsidR="00E5019F" w:rsidRPr="0071782F">
              <w:rPr>
                <w:sz w:val="18"/>
                <w:lang w:val="fr-CH"/>
              </w:rPr>
              <w:t xml:space="preserve"> </w:t>
            </w:r>
            <w:r w:rsidR="00A053D6" w:rsidRPr="0071782F">
              <w:rPr>
                <w:sz w:val="18"/>
                <w:lang w:val="fr-CH"/>
              </w:rPr>
              <w:t xml:space="preserve">de lits actifs d’hôpital </w:t>
            </w:r>
            <w:r w:rsidR="00E5019F" w:rsidRPr="0071782F">
              <w:rPr>
                <w:i/>
                <w:sz w:val="18"/>
                <w:vertAlign w:val="superscript"/>
                <w:lang w:val="fr-CH"/>
              </w:rPr>
              <w:t>(1)</w:t>
            </w:r>
          </w:p>
        </w:tc>
        <w:tc>
          <w:tcPr>
            <w:tcW w:w="597" w:type="dxa"/>
            <w:tcBorders>
              <w:top w:val="nil"/>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2005</w:t>
            </w:r>
          </w:p>
        </w:tc>
        <w:tc>
          <w:tcPr>
            <w:tcW w:w="1495" w:type="dxa"/>
            <w:tcBorders>
              <w:top w:val="nil"/>
            </w:tcBorders>
            <w:shd w:val="clear" w:color="auto" w:fill="auto"/>
            <w:vAlign w:val="bottom"/>
          </w:tcPr>
          <w:p w:rsidR="00E5019F" w:rsidRPr="0071782F" w:rsidRDefault="003B48A4" w:rsidP="008077B0">
            <w:pPr>
              <w:suppressAutoHyphens w:val="0"/>
              <w:spacing w:before="40" w:after="40" w:line="220" w:lineRule="exact"/>
              <w:ind w:left="113"/>
              <w:rPr>
                <w:sz w:val="18"/>
                <w:lang w:val="fr-CH"/>
              </w:rPr>
            </w:pPr>
            <w:r w:rsidRPr="0071782F">
              <w:rPr>
                <w:sz w:val="18"/>
                <w:lang w:val="fr-CH"/>
              </w:rPr>
              <w:t>Nombre</w:t>
            </w:r>
          </w:p>
        </w:tc>
        <w:tc>
          <w:tcPr>
            <w:tcW w:w="605" w:type="dxa"/>
            <w:tcBorders>
              <w:top w:val="nil"/>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93 002</w:t>
            </w:r>
          </w:p>
        </w:tc>
        <w:tc>
          <w:tcPr>
            <w:tcW w:w="704" w:type="dxa"/>
            <w:tcBorders>
              <w:top w:val="nil"/>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w:t>
            </w:r>
            <w:r w:rsidR="00FF1C6B" w:rsidRPr="0071782F">
              <w:rPr>
                <w:sz w:val="18"/>
                <w:lang w:val="fr-CH"/>
              </w:rPr>
              <w:t>,</w:t>
            </w:r>
            <w:r w:rsidRPr="0071782F">
              <w:rPr>
                <w:sz w:val="18"/>
                <w:lang w:val="fr-CH"/>
              </w:rPr>
              <w:t>1</w:t>
            </w:r>
          </w:p>
        </w:tc>
      </w:tr>
      <w:tr w:rsidR="00E5019F" w:rsidRPr="0071782F">
        <w:tc>
          <w:tcPr>
            <w:tcW w:w="3969" w:type="dxa"/>
            <w:shd w:val="clear" w:color="auto" w:fill="auto"/>
          </w:tcPr>
          <w:p w:rsidR="00E5019F" w:rsidRPr="0071782F" w:rsidRDefault="003B48A4" w:rsidP="00FF1C6B">
            <w:pPr>
              <w:suppressAutoHyphens w:val="0"/>
              <w:spacing w:before="40" w:after="40" w:line="220" w:lineRule="exact"/>
              <w:rPr>
                <w:sz w:val="18"/>
                <w:lang w:val="fr-CH"/>
              </w:rPr>
            </w:pPr>
            <w:r w:rsidRPr="0071782F">
              <w:rPr>
                <w:sz w:val="18"/>
                <w:lang w:val="fr-CH"/>
              </w:rPr>
              <w:t>Nombre</w:t>
            </w:r>
            <w:r w:rsidR="00E5019F" w:rsidRPr="0071782F">
              <w:rPr>
                <w:sz w:val="18"/>
                <w:lang w:val="fr-CH"/>
              </w:rPr>
              <w:t xml:space="preserve"> </w:t>
            </w:r>
            <w:r w:rsidR="00A053D6" w:rsidRPr="0071782F">
              <w:rPr>
                <w:sz w:val="18"/>
                <w:lang w:val="fr-CH"/>
              </w:rPr>
              <w:t>de lits fixes</w:t>
            </w:r>
            <w:r w:rsidR="00E5019F" w:rsidRPr="0071782F">
              <w:rPr>
                <w:sz w:val="18"/>
                <w:lang w:val="fr-CH"/>
              </w:rPr>
              <w:t xml:space="preserve"> </w:t>
            </w:r>
            <w:r w:rsidR="00A053D6" w:rsidRPr="0071782F">
              <w:rPr>
                <w:sz w:val="18"/>
                <w:lang w:val="fr-CH"/>
              </w:rPr>
              <w:t>d’</w:t>
            </w:r>
            <w:r w:rsidR="00E5019F" w:rsidRPr="0071782F">
              <w:rPr>
                <w:sz w:val="18"/>
                <w:lang w:val="fr-CH"/>
              </w:rPr>
              <w:t>h</w:t>
            </w:r>
            <w:r w:rsidR="00A053D6" w:rsidRPr="0071782F">
              <w:rPr>
                <w:sz w:val="18"/>
                <w:lang w:val="fr-CH"/>
              </w:rPr>
              <w:t>ô</w:t>
            </w:r>
            <w:r w:rsidR="00E5019F" w:rsidRPr="0071782F">
              <w:rPr>
                <w:sz w:val="18"/>
                <w:lang w:val="fr-CH"/>
              </w:rPr>
              <w:t xml:space="preserve">pital </w:t>
            </w:r>
            <w:r w:rsidR="00E5019F" w:rsidRPr="0071782F">
              <w:rPr>
                <w:i/>
                <w:sz w:val="18"/>
                <w:vertAlign w:val="superscript"/>
                <w:lang w:val="fr-CH"/>
              </w:rPr>
              <w:t>(1)</w:t>
            </w:r>
          </w:p>
        </w:tc>
        <w:tc>
          <w:tcPr>
            <w:tcW w:w="597"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2005</w:t>
            </w:r>
          </w:p>
        </w:tc>
        <w:tc>
          <w:tcPr>
            <w:tcW w:w="1495" w:type="dxa"/>
            <w:shd w:val="clear" w:color="auto" w:fill="auto"/>
            <w:vAlign w:val="bottom"/>
          </w:tcPr>
          <w:p w:rsidR="00E5019F" w:rsidRPr="0071782F" w:rsidRDefault="003B48A4" w:rsidP="008077B0">
            <w:pPr>
              <w:suppressAutoHyphens w:val="0"/>
              <w:spacing w:before="40" w:after="40" w:line="220" w:lineRule="exact"/>
              <w:ind w:left="113"/>
              <w:rPr>
                <w:sz w:val="18"/>
                <w:lang w:val="fr-CH"/>
              </w:rPr>
            </w:pPr>
            <w:r w:rsidRPr="0071782F">
              <w:rPr>
                <w:sz w:val="18"/>
                <w:lang w:val="fr-CH"/>
              </w:rPr>
              <w:t>Nombre</w:t>
            </w:r>
          </w:p>
        </w:tc>
        <w:tc>
          <w:tcPr>
            <w:tcW w:w="605"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113 244</w:t>
            </w:r>
          </w:p>
        </w:tc>
        <w:tc>
          <w:tcPr>
            <w:tcW w:w="704"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0</w:t>
            </w:r>
            <w:r w:rsidR="00FF1C6B" w:rsidRPr="0071782F">
              <w:rPr>
                <w:sz w:val="18"/>
                <w:lang w:val="fr-CH"/>
              </w:rPr>
              <w:t>,</w:t>
            </w:r>
            <w:r w:rsidRPr="0071782F">
              <w:rPr>
                <w:sz w:val="18"/>
                <w:lang w:val="fr-CH"/>
              </w:rPr>
              <w:t>6</w:t>
            </w:r>
          </w:p>
        </w:tc>
      </w:tr>
      <w:tr w:rsidR="00E5019F" w:rsidRPr="0071782F">
        <w:tc>
          <w:tcPr>
            <w:tcW w:w="3969" w:type="dxa"/>
            <w:shd w:val="clear" w:color="auto" w:fill="auto"/>
          </w:tcPr>
          <w:p w:rsidR="00E5019F" w:rsidRPr="0071782F" w:rsidRDefault="00A053D6" w:rsidP="00FF1C6B">
            <w:pPr>
              <w:suppressAutoHyphens w:val="0"/>
              <w:spacing w:before="40" w:after="40" w:line="220" w:lineRule="exact"/>
              <w:rPr>
                <w:sz w:val="18"/>
                <w:lang w:val="fr-CH"/>
              </w:rPr>
            </w:pPr>
            <w:r w:rsidRPr="0071782F">
              <w:rPr>
                <w:sz w:val="18"/>
                <w:lang w:val="fr-CH"/>
              </w:rPr>
              <w:t>Taux d’</w:t>
            </w:r>
            <w:r w:rsidR="00E5019F" w:rsidRPr="0071782F">
              <w:rPr>
                <w:sz w:val="18"/>
                <w:lang w:val="fr-CH"/>
              </w:rPr>
              <w:t xml:space="preserve">occupation </w:t>
            </w:r>
            <w:r w:rsidRPr="0071782F">
              <w:rPr>
                <w:sz w:val="18"/>
                <w:lang w:val="fr-CH"/>
              </w:rPr>
              <w:t>des lits actifs</w:t>
            </w:r>
            <w:r w:rsidR="00E5019F" w:rsidRPr="0071782F">
              <w:rPr>
                <w:i/>
                <w:sz w:val="18"/>
                <w:vertAlign w:val="superscript"/>
                <w:lang w:val="fr-CH"/>
              </w:rPr>
              <w:t>(2)</w:t>
            </w:r>
          </w:p>
        </w:tc>
        <w:tc>
          <w:tcPr>
            <w:tcW w:w="597"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2004</w:t>
            </w:r>
          </w:p>
        </w:tc>
        <w:tc>
          <w:tcPr>
            <w:tcW w:w="1495" w:type="dxa"/>
            <w:shd w:val="clear" w:color="auto" w:fill="auto"/>
            <w:vAlign w:val="bottom"/>
          </w:tcPr>
          <w:p w:rsidR="00E5019F" w:rsidRPr="0071782F" w:rsidRDefault="00E5019F" w:rsidP="008077B0">
            <w:pPr>
              <w:suppressAutoHyphens w:val="0"/>
              <w:spacing w:before="40" w:after="40" w:line="220" w:lineRule="exact"/>
              <w:ind w:left="113"/>
              <w:rPr>
                <w:sz w:val="18"/>
                <w:lang w:val="fr-CH"/>
              </w:rPr>
            </w:pPr>
            <w:r w:rsidRPr="0071782F">
              <w:rPr>
                <w:sz w:val="18"/>
                <w:lang w:val="fr-CH"/>
              </w:rPr>
              <w:t>%</w:t>
            </w:r>
          </w:p>
        </w:tc>
        <w:tc>
          <w:tcPr>
            <w:tcW w:w="605"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64</w:t>
            </w:r>
            <w:r w:rsidR="00FF1C6B" w:rsidRPr="0071782F">
              <w:rPr>
                <w:sz w:val="18"/>
                <w:lang w:val="fr-CH"/>
              </w:rPr>
              <w:t>,</w:t>
            </w:r>
            <w:r w:rsidRPr="0071782F">
              <w:rPr>
                <w:sz w:val="18"/>
                <w:lang w:val="fr-CH"/>
              </w:rPr>
              <w:t>4</w:t>
            </w:r>
          </w:p>
        </w:tc>
        <w:tc>
          <w:tcPr>
            <w:tcW w:w="704"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0</w:t>
            </w:r>
            <w:r w:rsidR="00FF1C6B" w:rsidRPr="0071782F">
              <w:rPr>
                <w:sz w:val="18"/>
                <w:lang w:val="fr-CH"/>
              </w:rPr>
              <w:t>,</w:t>
            </w:r>
            <w:r w:rsidRPr="0071782F">
              <w:rPr>
                <w:sz w:val="18"/>
                <w:lang w:val="fr-CH"/>
              </w:rPr>
              <w:t>3</w:t>
            </w:r>
          </w:p>
        </w:tc>
      </w:tr>
      <w:tr w:rsidR="00E5019F" w:rsidRPr="0071782F">
        <w:tc>
          <w:tcPr>
            <w:tcW w:w="3969" w:type="dxa"/>
            <w:shd w:val="clear" w:color="auto" w:fill="auto"/>
          </w:tcPr>
          <w:p w:rsidR="00E5019F" w:rsidRPr="0071782F" w:rsidRDefault="00A053D6" w:rsidP="00FF1C6B">
            <w:pPr>
              <w:suppressAutoHyphens w:val="0"/>
              <w:spacing w:before="40" w:after="40" w:line="220" w:lineRule="exact"/>
              <w:rPr>
                <w:sz w:val="18"/>
                <w:lang w:val="fr-CH"/>
              </w:rPr>
            </w:pPr>
            <w:r w:rsidRPr="0071782F">
              <w:rPr>
                <w:sz w:val="18"/>
                <w:lang w:val="fr-CH"/>
              </w:rPr>
              <w:t>Taux d’</w:t>
            </w:r>
            <w:r w:rsidR="00E5019F" w:rsidRPr="0071782F">
              <w:rPr>
                <w:sz w:val="18"/>
                <w:lang w:val="fr-CH"/>
              </w:rPr>
              <w:t xml:space="preserve">occupation </w:t>
            </w:r>
            <w:r w:rsidRPr="0071782F">
              <w:rPr>
                <w:sz w:val="18"/>
                <w:lang w:val="fr-CH"/>
              </w:rPr>
              <w:t>des lits fixes</w:t>
            </w:r>
            <w:r w:rsidR="00E5019F" w:rsidRPr="0071782F">
              <w:rPr>
                <w:i/>
                <w:sz w:val="18"/>
                <w:vertAlign w:val="superscript"/>
                <w:lang w:val="fr-CH"/>
              </w:rPr>
              <w:t>(2)</w:t>
            </w:r>
          </w:p>
        </w:tc>
        <w:tc>
          <w:tcPr>
            <w:tcW w:w="597"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2004</w:t>
            </w:r>
          </w:p>
        </w:tc>
        <w:tc>
          <w:tcPr>
            <w:tcW w:w="1495" w:type="dxa"/>
            <w:shd w:val="clear" w:color="auto" w:fill="auto"/>
            <w:vAlign w:val="bottom"/>
          </w:tcPr>
          <w:p w:rsidR="00E5019F" w:rsidRPr="0071782F" w:rsidRDefault="00E5019F" w:rsidP="008077B0">
            <w:pPr>
              <w:suppressAutoHyphens w:val="0"/>
              <w:spacing w:before="40" w:after="40" w:line="220" w:lineRule="exact"/>
              <w:ind w:left="113"/>
              <w:rPr>
                <w:sz w:val="18"/>
                <w:lang w:val="fr-CH"/>
              </w:rPr>
            </w:pPr>
            <w:r w:rsidRPr="0071782F">
              <w:rPr>
                <w:sz w:val="18"/>
                <w:lang w:val="fr-CH"/>
              </w:rPr>
              <w:t>%</w:t>
            </w:r>
          </w:p>
        </w:tc>
        <w:tc>
          <w:tcPr>
            <w:tcW w:w="605"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49</w:t>
            </w:r>
            <w:r w:rsidR="00FF1C6B" w:rsidRPr="0071782F">
              <w:rPr>
                <w:sz w:val="18"/>
                <w:lang w:val="fr-CH"/>
              </w:rPr>
              <w:t>,</w:t>
            </w:r>
            <w:r w:rsidRPr="0071782F">
              <w:rPr>
                <w:sz w:val="18"/>
                <w:lang w:val="fr-CH"/>
              </w:rPr>
              <w:t>6</w:t>
            </w:r>
          </w:p>
        </w:tc>
        <w:tc>
          <w:tcPr>
            <w:tcW w:w="704"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0</w:t>
            </w:r>
            <w:r w:rsidR="00FF1C6B" w:rsidRPr="0071782F">
              <w:rPr>
                <w:sz w:val="18"/>
                <w:lang w:val="fr-CH"/>
              </w:rPr>
              <w:t>,</w:t>
            </w:r>
            <w:r w:rsidRPr="0071782F">
              <w:rPr>
                <w:sz w:val="18"/>
                <w:lang w:val="fr-CH"/>
              </w:rPr>
              <w:t>2</w:t>
            </w:r>
          </w:p>
        </w:tc>
      </w:tr>
      <w:tr w:rsidR="00E5019F" w:rsidRPr="0071782F">
        <w:tc>
          <w:tcPr>
            <w:tcW w:w="3969" w:type="dxa"/>
            <w:tcBorders>
              <w:bottom w:val="nil"/>
            </w:tcBorders>
            <w:shd w:val="clear" w:color="auto" w:fill="auto"/>
          </w:tcPr>
          <w:p w:rsidR="00E5019F" w:rsidRPr="0071782F" w:rsidRDefault="00E5019F" w:rsidP="00FF1C6B">
            <w:pPr>
              <w:suppressAutoHyphens w:val="0"/>
              <w:spacing w:before="40" w:after="40" w:line="220" w:lineRule="exact"/>
              <w:rPr>
                <w:sz w:val="18"/>
                <w:lang w:val="fr-CH"/>
              </w:rPr>
            </w:pPr>
            <w:r w:rsidRPr="0071782F">
              <w:rPr>
                <w:sz w:val="18"/>
                <w:lang w:val="fr-CH"/>
              </w:rPr>
              <w:t xml:space="preserve">Ratio </w:t>
            </w:r>
            <w:r w:rsidR="00A053D6" w:rsidRPr="0071782F">
              <w:rPr>
                <w:sz w:val="18"/>
                <w:lang w:val="fr-CH"/>
              </w:rPr>
              <w:t>lits actifs/</w:t>
            </w:r>
            <w:r w:rsidRPr="0071782F">
              <w:rPr>
                <w:sz w:val="18"/>
                <w:lang w:val="fr-CH"/>
              </w:rPr>
              <w:t>population</w:t>
            </w:r>
            <w:r w:rsidRPr="0071782F">
              <w:rPr>
                <w:i/>
                <w:sz w:val="18"/>
                <w:vertAlign w:val="superscript"/>
                <w:lang w:val="fr-CH"/>
              </w:rPr>
              <w:t>(1)</w:t>
            </w:r>
          </w:p>
        </w:tc>
        <w:tc>
          <w:tcPr>
            <w:tcW w:w="597" w:type="dxa"/>
            <w:tcBorders>
              <w:bottom w:val="nil"/>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2005</w:t>
            </w:r>
          </w:p>
        </w:tc>
        <w:tc>
          <w:tcPr>
            <w:tcW w:w="1495" w:type="dxa"/>
            <w:tcBorders>
              <w:bottom w:val="nil"/>
            </w:tcBorders>
            <w:shd w:val="clear" w:color="auto" w:fill="auto"/>
            <w:vAlign w:val="bottom"/>
          </w:tcPr>
          <w:p w:rsidR="00E5019F" w:rsidRPr="0071782F" w:rsidRDefault="00A053D6" w:rsidP="008077B0">
            <w:pPr>
              <w:suppressAutoHyphens w:val="0"/>
              <w:spacing w:before="40" w:after="40" w:line="220" w:lineRule="exact"/>
              <w:ind w:left="113"/>
              <w:rPr>
                <w:sz w:val="18"/>
                <w:lang w:val="fr-CH"/>
              </w:rPr>
            </w:pPr>
            <w:r w:rsidRPr="0071782F">
              <w:rPr>
                <w:sz w:val="18"/>
                <w:lang w:val="fr-CH"/>
              </w:rPr>
              <w:t xml:space="preserve">1 </w:t>
            </w:r>
            <w:r w:rsidR="00E5019F" w:rsidRPr="0071782F">
              <w:rPr>
                <w:sz w:val="18"/>
                <w:lang w:val="fr-CH"/>
              </w:rPr>
              <w:t>000</w:t>
            </w:r>
            <w:r w:rsidR="00097CDB" w:rsidRPr="0071782F">
              <w:rPr>
                <w:sz w:val="18"/>
                <w:lang w:val="fr-CH"/>
              </w:rPr>
              <w:t> personnes</w:t>
            </w:r>
          </w:p>
        </w:tc>
        <w:tc>
          <w:tcPr>
            <w:tcW w:w="605" w:type="dxa"/>
            <w:tcBorders>
              <w:bottom w:val="nil"/>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w:t>
            </w:r>
            <w:r w:rsidR="00FF1C6B" w:rsidRPr="0071782F">
              <w:rPr>
                <w:sz w:val="18"/>
                <w:lang w:val="fr-CH"/>
              </w:rPr>
              <w:t>,</w:t>
            </w:r>
            <w:r w:rsidRPr="0071782F">
              <w:rPr>
                <w:sz w:val="18"/>
                <w:lang w:val="fr-CH"/>
              </w:rPr>
              <w:t>36</w:t>
            </w:r>
          </w:p>
        </w:tc>
        <w:tc>
          <w:tcPr>
            <w:tcW w:w="704" w:type="dxa"/>
            <w:tcBorders>
              <w:bottom w:val="nil"/>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0</w:t>
            </w:r>
            <w:r w:rsidR="00FF1C6B" w:rsidRPr="0071782F">
              <w:rPr>
                <w:sz w:val="18"/>
                <w:lang w:val="fr-CH"/>
              </w:rPr>
              <w:t>,</w:t>
            </w:r>
            <w:r w:rsidRPr="0071782F">
              <w:rPr>
                <w:sz w:val="18"/>
                <w:lang w:val="fr-CH"/>
              </w:rPr>
              <w:t>7</w:t>
            </w:r>
          </w:p>
        </w:tc>
      </w:tr>
      <w:tr w:rsidR="00E5019F" w:rsidRPr="0071782F">
        <w:tc>
          <w:tcPr>
            <w:tcW w:w="3969" w:type="dxa"/>
            <w:tcBorders>
              <w:top w:val="nil"/>
              <w:bottom w:val="nil"/>
            </w:tcBorders>
            <w:shd w:val="clear" w:color="auto" w:fill="auto"/>
          </w:tcPr>
          <w:p w:rsidR="00E5019F" w:rsidRPr="0071782F" w:rsidRDefault="00E5019F" w:rsidP="00FF1C6B">
            <w:pPr>
              <w:suppressAutoHyphens w:val="0"/>
              <w:spacing w:before="40" w:after="40" w:line="220" w:lineRule="exact"/>
              <w:rPr>
                <w:sz w:val="18"/>
                <w:lang w:val="fr-CH"/>
              </w:rPr>
            </w:pPr>
            <w:r w:rsidRPr="0071782F">
              <w:rPr>
                <w:sz w:val="18"/>
                <w:lang w:val="fr-CH"/>
              </w:rPr>
              <w:t xml:space="preserve">Ratio </w:t>
            </w:r>
            <w:r w:rsidR="00A053D6" w:rsidRPr="0071782F">
              <w:rPr>
                <w:sz w:val="18"/>
                <w:lang w:val="fr-CH"/>
              </w:rPr>
              <w:t>lits fixes/</w:t>
            </w:r>
            <w:r w:rsidRPr="0071782F">
              <w:rPr>
                <w:sz w:val="18"/>
                <w:lang w:val="fr-CH"/>
              </w:rPr>
              <w:t>population</w:t>
            </w:r>
            <w:r w:rsidRPr="0071782F">
              <w:rPr>
                <w:i/>
                <w:sz w:val="18"/>
                <w:vertAlign w:val="superscript"/>
                <w:lang w:val="fr-CH"/>
              </w:rPr>
              <w:t>(1)</w:t>
            </w:r>
          </w:p>
        </w:tc>
        <w:tc>
          <w:tcPr>
            <w:tcW w:w="597" w:type="dxa"/>
            <w:tcBorders>
              <w:top w:val="nil"/>
              <w:bottom w:val="nil"/>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2005</w:t>
            </w:r>
          </w:p>
        </w:tc>
        <w:tc>
          <w:tcPr>
            <w:tcW w:w="1495" w:type="dxa"/>
            <w:tcBorders>
              <w:top w:val="nil"/>
              <w:bottom w:val="nil"/>
            </w:tcBorders>
            <w:shd w:val="clear" w:color="auto" w:fill="auto"/>
            <w:vAlign w:val="bottom"/>
          </w:tcPr>
          <w:p w:rsidR="00E5019F" w:rsidRPr="0071782F" w:rsidRDefault="00A053D6" w:rsidP="008077B0">
            <w:pPr>
              <w:suppressAutoHyphens w:val="0"/>
              <w:spacing w:before="40" w:after="40" w:line="220" w:lineRule="exact"/>
              <w:ind w:left="113"/>
              <w:rPr>
                <w:sz w:val="18"/>
                <w:lang w:val="fr-CH"/>
              </w:rPr>
            </w:pPr>
            <w:r w:rsidRPr="0071782F">
              <w:rPr>
                <w:sz w:val="18"/>
                <w:lang w:val="fr-CH"/>
              </w:rPr>
              <w:t xml:space="preserve">1 </w:t>
            </w:r>
            <w:r w:rsidR="00E5019F" w:rsidRPr="0071782F">
              <w:rPr>
                <w:sz w:val="18"/>
                <w:lang w:val="fr-CH"/>
              </w:rPr>
              <w:t>000</w:t>
            </w:r>
            <w:r w:rsidR="00097CDB" w:rsidRPr="0071782F">
              <w:rPr>
                <w:sz w:val="18"/>
                <w:lang w:val="fr-CH"/>
              </w:rPr>
              <w:t> personnes</w:t>
            </w:r>
          </w:p>
        </w:tc>
        <w:tc>
          <w:tcPr>
            <w:tcW w:w="605" w:type="dxa"/>
            <w:tcBorders>
              <w:top w:val="nil"/>
              <w:bottom w:val="nil"/>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w:t>
            </w:r>
            <w:r w:rsidR="00FF1C6B" w:rsidRPr="0071782F">
              <w:rPr>
                <w:sz w:val="18"/>
                <w:lang w:val="fr-CH"/>
              </w:rPr>
              <w:t>,</w:t>
            </w:r>
            <w:r w:rsidRPr="0071782F">
              <w:rPr>
                <w:sz w:val="18"/>
                <w:lang w:val="fr-CH"/>
              </w:rPr>
              <w:t>65</w:t>
            </w:r>
          </w:p>
        </w:tc>
        <w:tc>
          <w:tcPr>
            <w:tcW w:w="704" w:type="dxa"/>
            <w:tcBorders>
              <w:top w:val="nil"/>
              <w:bottom w:val="nil"/>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w:t>
            </w:r>
            <w:r w:rsidR="00FF1C6B" w:rsidRPr="0071782F">
              <w:rPr>
                <w:sz w:val="18"/>
                <w:lang w:val="fr-CH"/>
              </w:rPr>
              <w:t>,</w:t>
            </w:r>
            <w:r w:rsidRPr="0071782F">
              <w:rPr>
                <w:sz w:val="18"/>
                <w:lang w:val="fr-CH"/>
              </w:rPr>
              <w:t>2</w:t>
            </w:r>
          </w:p>
        </w:tc>
      </w:tr>
      <w:tr w:rsidR="00E5019F" w:rsidRPr="0071782F">
        <w:tc>
          <w:tcPr>
            <w:tcW w:w="3969" w:type="dxa"/>
            <w:tcBorders>
              <w:top w:val="nil"/>
              <w:bottom w:val="nil"/>
            </w:tcBorders>
            <w:shd w:val="clear" w:color="auto" w:fill="auto"/>
          </w:tcPr>
          <w:p w:rsidR="00E5019F" w:rsidRPr="0071782F" w:rsidRDefault="00E5019F" w:rsidP="008077B0">
            <w:pPr>
              <w:keepNext/>
              <w:suppressAutoHyphens w:val="0"/>
              <w:spacing w:before="40" w:after="40" w:line="220" w:lineRule="exact"/>
              <w:rPr>
                <w:sz w:val="18"/>
                <w:lang w:val="fr-CH"/>
              </w:rPr>
            </w:pPr>
            <w:r w:rsidRPr="0071782F">
              <w:rPr>
                <w:sz w:val="18"/>
                <w:lang w:val="fr-CH"/>
              </w:rPr>
              <w:t>Ratio population</w:t>
            </w:r>
            <w:r w:rsidR="00A053D6" w:rsidRPr="0071782F">
              <w:rPr>
                <w:sz w:val="18"/>
                <w:lang w:val="fr-CH"/>
              </w:rPr>
              <w:t xml:space="preserve">/médecins </w:t>
            </w:r>
            <w:r w:rsidRPr="0071782F">
              <w:rPr>
                <w:sz w:val="18"/>
                <w:lang w:val="fr-CH"/>
              </w:rPr>
              <w:t>employ</w:t>
            </w:r>
            <w:r w:rsidR="00A053D6" w:rsidRPr="0071782F">
              <w:rPr>
                <w:sz w:val="18"/>
                <w:lang w:val="fr-CH"/>
              </w:rPr>
              <w:t xml:space="preserve">és par le </w:t>
            </w:r>
            <w:r w:rsidRPr="0071782F">
              <w:rPr>
                <w:sz w:val="18"/>
                <w:lang w:val="fr-CH"/>
              </w:rPr>
              <w:t>Minist</w:t>
            </w:r>
            <w:r w:rsidR="00A053D6" w:rsidRPr="0071782F">
              <w:rPr>
                <w:sz w:val="18"/>
                <w:lang w:val="fr-CH"/>
              </w:rPr>
              <w:t xml:space="preserve">ère de la santé </w:t>
            </w:r>
          </w:p>
        </w:tc>
        <w:tc>
          <w:tcPr>
            <w:tcW w:w="597" w:type="dxa"/>
            <w:tcBorders>
              <w:top w:val="nil"/>
              <w:bottom w:val="nil"/>
            </w:tcBorders>
            <w:shd w:val="clear" w:color="auto" w:fill="auto"/>
            <w:vAlign w:val="bottom"/>
          </w:tcPr>
          <w:p w:rsidR="00E5019F" w:rsidRPr="0071782F" w:rsidRDefault="00E5019F" w:rsidP="008077B0">
            <w:pPr>
              <w:keepNext/>
              <w:suppressAutoHyphens w:val="0"/>
              <w:spacing w:before="40" w:after="40" w:line="220" w:lineRule="exact"/>
              <w:jc w:val="right"/>
              <w:rPr>
                <w:sz w:val="18"/>
                <w:lang w:val="fr-CH"/>
              </w:rPr>
            </w:pPr>
            <w:r w:rsidRPr="0071782F">
              <w:rPr>
                <w:sz w:val="18"/>
                <w:lang w:val="fr-CH"/>
              </w:rPr>
              <w:t>2005</w:t>
            </w:r>
          </w:p>
        </w:tc>
        <w:tc>
          <w:tcPr>
            <w:tcW w:w="1495" w:type="dxa"/>
            <w:tcBorders>
              <w:top w:val="nil"/>
              <w:bottom w:val="nil"/>
            </w:tcBorders>
            <w:shd w:val="clear" w:color="auto" w:fill="auto"/>
            <w:vAlign w:val="bottom"/>
          </w:tcPr>
          <w:p w:rsidR="00E5019F" w:rsidRPr="0071782F" w:rsidRDefault="000011B3" w:rsidP="008077B0">
            <w:pPr>
              <w:keepNext/>
              <w:suppressAutoHyphens w:val="0"/>
              <w:spacing w:before="40" w:after="40" w:line="220" w:lineRule="exact"/>
              <w:ind w:left="113"/>
              <w:rPr>
                <w:sz w:val="18"/>
                <w:lang w:val="fr-CH"/>
              </w:rPr>
            </w:pPr>
            <w:r w:rsidRPr="0071782F">
              <w:rPr>
                <w:sz w:val="18"/>
                <w:lang w:val="fr-CH"/>
              </w:rPr>
              <w:t>Personnes</w:t>
            </w:r>
          </w:p>
        </w:tc>
        <w:tc>
          <w:tcPr>
            <w:tcW w:w="605" w:type="dxa"/>
            <w:tcBorders>
              <w:top w:val="nil"/>
              <w:bottom w:val="nil"/>
            </w:tcBorders>
            <w:shd w:val="clear" w:color="auto" w:fill="auto"/>
            <w:vAlign w:val="bottom"/>
          </w:tcPr>
          <w:p w:rsidR="00E5019F" w:rsidRPr="0071782F" w:rsidRDefault="00E5019F" w:rsidP="008077B0">
            <w:pPr>
              <w:keepNext/>
              <w:suppressAutoHyphens w:val="0"/>
              <w:spacing w:before="40" w:after="40" w:line="220" w:lineRule="exact"/>
              <w:jc w:val="right"/>
              <w:rPr>
                <w:sz w:val="18"/>
                <w:lang w:val="fr-CH"/>
              </w:rPr>
            </w:pPr>
            <w:r w:rsidRPr="0071782F">
              <w:rPr>
                <w:sz w:val="18"/>
                <w:lang w:val="fr-CH"/>
              </w:rPr>
              <w:t>3 214</w:t>
            </w:r>
          </w:p>
        </w:tc>
        <w:tc>
          <w:tcPr>
            <w:tcW w:w="704" w:type="dxa"/>
            <w:tcBorders>
              <w:top w:val="nil"/>
              <w:bottom w:val="nil"/>
            </w:tcBorders>
            <w:shd w:val="clear" w:color="auto" w:fill="auto"/>
            <w:vAlign w:val="bottom"/>
          </w:tcPr>
          <w:p w:rsidR="00E5019F" w:rsidRPr="0071782F" w:rsidRDefault="00E5019F" w:rsidP="008077B0">
            <w:pPr>
              <w:keepNext/>
              <w:suppressAutoHyphens w:val="0"/>
              <w:spacing w:before="40" w:after="40" w:line="220" w:lineRule="exact"/>
              <w:jc w:val="right"/>
              <w:rPr>
                <w:sz w:val="18"/>
                <w:lang w:val="fr-CH"/>
              </w:rPr>
            </w:pPr>
            <w:r w:rsidRPr="0071782F">
              <w:rPr>
                <w:sz w:val="18"/>
                <w:lang w:val="fr-CH"/>
              </w:rPr>
              <w:t>-2</w:t>
            </w:r>
            <w:r w:rsidR="00FF1C6B" w:rsidRPr="0071782F">
              <w:rPr>
                <w:sz w:val="18"/>
                <w:lang w:val="fr-CH"/>
              </w:rPr>
              <w:t>,</w:t>
            </w:r>
            <w:r w:rsidRPr="0071782F">
              <w:rPr>
                <w:sz w:val="18"/>
                <w:lang w:val="fr-CH"/>
              </w:rPr>
              <w:t>1</w:t>
            </w:r>
          </w:p>
        </w:tc>
      </w:tr>
      <w:tr w:rsidR="00E5019F" w:rsidRPr="0071782F">
        <w:tc>
          <w:tcPr>
            <w:tcW w:w="3969" w:type="dxa"/>
            <w:tcBorders>
              <w:top w:val="nil"/>
            </w:tcBorders>
            <w:shd w:val="clear" w:color="auto" w:fill="auto"/>
          </w:tcPr>
          <w:p w:rsidR="00E5019F" w:rsidRPr="0071782F" w:rsidRDefault="003B48A4" w:rsidP="00FF1C6B">
            <w:pPr>
              <w:suppressAutoHyphens w:val="0"/>
              <w:spacing w:before="40" w:after="40" w:line="220" w:lineRule="exact"/>
              <w:rPr>
                <w:sz w:val="18"/>
                <w:lang w:val="fr-CH"/>
              </w:rPr>
            </w:pPr>
            <w:r w:rsidRPr="0071782F">
              <w:rPr>
                <w:sz w:val="18"/>
                <w:lang w:val="fr-CH"/>
              </w:rPr>
              <w:t>Nombre</w:t>
            </w:r>
            <w:r w:rsidR="00E5019F" w:rsidRPr="0071782F">
              <w:rPr>
                <w:sz w:val="18"/>
                <w:lang w:val="fr-CH"/>
              </w:rPr>
              <w:t xml:space="preserve"> </w:t>
            </w:r>
            <w:r w:rsidR="00A053D6" w:rsidRPr="0071782F">
              <w:rPr>
                <w:sz w:val="18"/>
                <w:lang w:val="fr-CH"/>
              </w:rPr>
              <w:t>de cas de VIH</w:t>
            </w:r>
            <w:r w:rsidR="00E5019F" w:rsidRPr="0071782F">
              <w:rPr>
                <w:sz w:val="18"/>
                <w:lang w:val="fr-CH"/>
              </w:rPr>
              <w:t xml:space="preserve">+ </w:t>
            </w:r>
            <w:r w:rsidR="00A053D6" w:rsidRPr="0071782F">
              <w:rPr>
                <w:sz w:val="18"/>
                <w:lang w:val="fr-CH"/>
              </w:rPr>
              <w:t>et de sida identifiés</w:t>
            </w:r>
            <w:r w:rsidR="00E5019F" w:rsidRPr="0071782F">
              <w:rPr>
                <w:i/>
                <w:sz w:val="18"/>
                <w:vertAlign w:val="superscript"/>
                <w:lang w:val="fr-CH"/>
              </w:rPr>
              <w:t>(3)</w:t>
            </w:r>
          </w:p>
        </w:tc>
        <w:tc>
          <w:tcPr>
            <w:tcW w:w="597" w:type="dxa"/>
            <w:tcBorders>
              <w:top w:val="nil"/>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2005</w:t>
            </w:r>
          </w:p>
        </w:tc>
        <w:tc>
          <w:tcPr>
            <w:tcW w:w="1495" w:type="dxa"/>
            <w:tcBorders>
              <w:top w:val="nil"/>
            </w:tcBorders>
            <w:shd w:val="clear" w:color="auto" w:fill="auto"/>
            <w:vAlign w:val="bottom"/>
          </w:tcPr>
          <w:p w:rsidR="00E5019F" w:rsidRPr="0071782F" w:rsidRDefault="000011B3" w:rsidP="008077B0">
            <w:pPr>
              <w:suppressAutoHyphens w:val="0"/>
              <w:spacing w:before="40" w:after="40" w:line="220" w:lineRule="exact"/>
              <w:ind w:left="113"/>
              <w:rPr>
                <w:sz w:val="18"/>
                <w:lang w:val="fr-CH"/>
              </w:rPr>
            </w:pPr>
            <w:r w:rsidRPr="0071782F">
              <w:rPr>
                <w:sz w:val="18"/>
                <w:lang w:val="fr-CH"/>
              </w:rPr>
              <w:t>Personnes</w:t>
            </w:r>
          </w:p>
        </w:tc>
        <w:tc>
          <w:tcPr>
            <w:tcW w:w="605" w:type="dxa"/>
            <w:tcBorders>
              <w:top w:val="nil"/>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13 040</w:t>
            </w:r>
          </w:p>
        </w:tc>
        <w:tc>
          <w:tcPr>
            <w:tcW w:w="704" w:type="dxa"/>
            <w:tcBorders>
              <w:top w:val="nil"/>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 xml:space="preserve">… </w:t>
            </w:r>
            <w:r w:rsidRPr="0071782F">
              <w:rPr>
                <w:i/>
                <w:sz w:val="18"/>
                <w:vertAlign w:val="superscript"/>
                <w:lang w:val="fr-CH"/>
              </w:rPr>
              <w:t>(4)</w:t>
            </w:r>
          </w:p>
        </w:tc>
      </w:tr>
      <w:tr w:rsidR="00E5019F" w:rsidRPr="0071782F">
        <w:tc>
          <w:tcPr>
            <w:tcW w:w="3969" w:type="dxa"/>
            <w:shd w:val="clear" w:color="auto" w:fill="auto"/>
          </w:tcPr>
          <w:p w:rsidR="00E5019F" w:rsidRPr="0071782F" w:rsidRDefault="00A053D6" w:rsidP="00FF1C6B">
            <w:pPr>
              <w:keepNext/>
              <w:suppressAutoHyphens w:val="0"/>
              <w:spacing w:before="40" w:after="40" w:line="220" w:lineRule="exact"/>
              <w:rPr>
                <w:sz w:val="18"/>
                <w:lang w:val="fr-CH"/>
              </w:rPr>
            </w:pPr>
            <w:r w:rsidRPr="0071782F">
              <w:rPr>
                <w:sz w:val="18"/>
                <w:lang w:val="fr-CH"/>
              </w:rPr>
              <w:t>Taux de vaccination antirougeoleuse des enfants de moins d’un an</w:t>
            </w:r>
            <w:r w:rsidR="00E5019F" w:rsidRPr="0071782F">
              <w:rPr>
                <w:i/>
                <w:sz w:val="18"/>
                <w:vertAlign w:val="superscript"/>
                <w:lang w:val="fr-CH"/>
              </w:rPr>
              <w:t>(3)</w:t>
            </w:r>
          </w:p>
        </w:tc>
        <w:tc>
          <w:tcPr>
            <w:tcW w:w="597" w:type="dxa"/>
            <w:shd w:val="clear" w:color="auto" w:fill="auto"/>
            <w:vAlign w:val="bottom"/>
          </w:tcPr>
          <w:p w:rsidR="00E5019F" w:rsidRPr="0071782F" w:rsidRDefault="00E5019F" w:rsidP="00FF1C6B">
            <w:pPr>
              <w:keepNext/>
              <w:suppressAutoHyphens w:val="0"/>
              <w:spacing w:before="40" w:after="40" w:line="220" w:lineRule="exact"/>
              <w:jc w:val="right"/>
              <w:rPr>
                <w:sz w:val="18"/>
                <w:lang w:val="fr-CH"/>
              </w:rPr>
            </w:pPr>
            <w:r w:rsidRPr="0071782F">
              <w:rPr>
                <w:sz w:val="18"/>
                <w:lang w:val="fr-CH"/>
              </w:rPr>
              <w:t>2005</w:t>
            </w:r>
          </w:p>
        </w:tc>
        <w:tc>
          <w:tcPr>
            <w:tcW w:w="1495" w:type="dxa"/>
            <w:shd w:val="clear" w:color="auto" w:fill="auto"/>
            <w:vAlign w:val="bottom"/>
          </w:tcPr>
          <w:p w:rsidR="00E5019F" w:rsidRPr="0071782F" w:rsidRDefault="00E5019F" w:rsidP="008077B0">
            <w:pPr>
              <w:keepNext/>
              <w:suppressAutoHyphens w:val="0"/>
              <w:spacing w:before="40" w:after="40" w:line="220" w:lineRule="exact"/>
              <w:ind w:left="113"/>
              <w:rPr>
                <w:sz w:val="18"/>
                <w:lang w:val="fr-CH"/>
              </w:rPr>
            </w:pPr>
            <w:r w:rsidRPr="0071782F">
              <w:rPr>
                <w:sz w:val="18"/>
                <w:lang w:val="fr-CH"/>
              </w:rPr>
              <w:t>%</w:t>
            </w:r>
          </w:p>
        </w:tc>
        <w:tc>
          <w:tcPr>
            <w:tcW w:w="605" w:type="dxa"/>
            <w:shd w:val="clear" w:color="auto" w:fill="auto"/>
            <w:vAlign w:val="bottom"/>
          </w:tcPr>
          <w:p w:rsidR="00E5019F" w:rsidRPr="0071782F" w:rsidRDefault="00E5019F" w:rsidP="00FF1C6B">
            <w:pPr>
              <w:keepNext/>
              <w:suppressAutoHyphens w:val="0"/>
              <w:spacing w:before="40" w:after="40" w:line="220" w:lineRule="exact"/>
              <w:jc w:val="right"/>
              <w:rPr>
                <w:sz w:val="18"/>
                <w:lang w:val="fr-CH"/>
              </w:rPr>
            </w:pPr>
            <w:r w:rsidRPr="0071782F">
              <w:rPr>
                <w:sz w:val="18"/>
                <w:lang w:val="fr-CH"/>
              </w:rPr>
              <w:t>94</w:t>
            </w:r>
          </w:p>
        </w:tc>
        <w:tc>
          <w:tcPr>
            <w:tcW w:w="704" w:type="dxa"/>
            <w:shd w:val="clear" w:color="auto" w:fill="auto"/>
            <w:vAlign w:val="bottom"/>
          </w:tcPr>
          <w:p w:rsidR="00E5019F" w:rsidRPr="0071782F" w:rsidRDefault="00E5019F" w:rsidP="00FF1C6B">
            <w:pPr>
              <w:keepNext/>
              <w:suppressAutoHyphens w:val="0"/>
              <w:spacing w:before="40" w:after="40" w:line="220" w:lineRule="exact"/>
              <w:jc w:val="right"/>
              <w:rPr>
                <w:sz w:val="18"/>
                <w:lang w:val="fr-CH"/>
              </w:rPr>
            </w:pPr>
            <w:r w:rsidRPr="0071782F">
              <w:rPr>
                <w:sz w:val="18"/>
                <w:lang w:val="fr-CH"/>
              </w:rPr>
              <w:t>-2</w:t>
            </w:r>
            <w:r w:rsidR="00FF1C6B" w:rsidRPr="0071782F">
              <w:rPr>
                <w:sz w:val="18"/>
                <w:lang w:val="fr-CH"/>
              </w:rPr>
              <w:t>,</w:t>
            </w:r>
            <w:r w:rsidRPr="0071782F">
              <w:rPr>
                <w:sz w:val="18"/>
                <w:lang w:val="fr-CH"/>
              </w:rPr>
              <w:t>1</w:t>
            </w:r>
          </w:p>
        </w:tc>
      </w:tr>
      <w:tr w:rsidR="00E5019F" w:rsidRPr="0071782F">
        <w:tc>
          <w:tcPr>
            <w:tcW w:w="3969" w:type="dxa"/>
            <w:shd w:val="clear" w:color="auto" w:fill="auto"/>
          </w:tcPr>
          <w:p w:rsidR="00E5019F" w:rsidRPr="0071782F" w:rsidRDefault="00A053D6" w:rsidP="00FF1C6B">
            <w:pPr>
              <w:suppressAutoHyphens w:val="0"/>
              <w:spacing w:before="40" w:after="40" w:line="220" w:lineRule="exact"/>
              <w:rPr>
                <w:sz w:val="18"/>
                <w:lang w:val="fr-CH"/>
              </w:rPr>
            </w:pPr>
            <w:r w:rsidRPr="0071782F">
              <w:rPr>
                <w:sz w:val="18"/>
                <w:lang w:val="fr-CH"/>
              </w:rPr>
              <w:t>Cas de sida et de VIH</w:t>
            </w:r>
            <w:r w:rsidR="00E5019F" w:rsidRPr="0071782F">
              <w:rPr>
                <w:sz w:val="18"/>
                <w:lang w:val="fr-CH"/>
              </w:rPr>
              <w:t>+</w:t>
            </w:r>
            <w:r w:rsidR="00E5019F" w:rsidRPr="0071782F">
              <w:rPr>
                <w:i/>
                <w:sz w:val="18"/>
                <w:vertAlign w:val="superscript"/>
                <w:lang w:val="fr-CH"/>
              </w:rPr>
              <w:t>(5)</w:t>
            </w:r>
          </w:p>
        </w:tc>
        <w:tc>
          <w:tcPr>
            <w:tcW w:w="597" w:type="dxa"/>
            <w:shd w:val="clear" w:color="auto" w:fill="auto"/>
            <w:vAlign w:val="bottom"/>
          </w:tcPr>
          <w:p w:rsidR="00E5019F" w:rsidRPr="0071782F" w:rsidRDefault="008B25ED" w:rsidP="00FF1C6B">
            <w:pPr>
              <w:suppressAutoHyphens w:val="0"/>
              <w:spacing w:before="40" w:after="40" w:line="220" w:lineRule="exact"/>
              <w:jc w:val="right"/>
              <w:rPr>
                <w:sz w:val="18"/>
                <w:lang w:val="fr-CH"/>
              </w:rPr>
            </w:pPr>
            <w:r w:rsidRPr="0071782F">
              <w:rPr>
                <w:sz w:val="18"/>
                <w:lang w:val="fr-CH"/>
              </w:rPr>
              <w:t>–</w:t>
            </w:r>
          </w:p>
        </w:tc>
        <w:tc>
          <w:tcPr>
            <w:tcW w:w="1495" w:type="dxa"/>
            <w:shd w:val="clear" w:color="auto" w:fill="auto"/>
            <w:vAlign w:val="bottom"/>
          </w:tcPr>
          <w:p w:rsidR="00E5019F" w:rsidRPr="0071782F" w:rsidRDefault="008B25ED" w:rsidP="008077B0">
            <w:pPr>
              <w:suppressAutoHyphens w:val="0"/>
              <w:spacing w:before="40" w:after="40" w:line="220" w:lineRule="exact"/>
              <w:ind w:left="113"/>
              <w:rPr>
                <w:sz w:val="18"/>
                <w:lang w:val="fr-CH"/>
              </w:rPr>
            </w:pPr>
            <w:r w:rsidRPr="0071782F">
              <w:rPr>
                <w:sz w:val="18"/>
                <w:lang w:val="fr-CH"/>
              </w:rPr>
              <w:t>–</w:t>
            </w:r>
          </w:p>
        </w:tc>
        <w:tc>
          <w:tcPr>
            <w:tcW w:w="605" w:type="dxa"/>
            <w:shd w:val="clear" w:color="auto" w:fill="auto"/>
            <w:vAlign w:val="bottom"/>
          </w:tcPr>
          <w:p w:rsidR="00E5019F" w:rsidRPr="0071782F" w:rsidRDefault="008B25ED" w:rsidP="00FF1C6B">
            <w:pPr>
              <w:suppressAutoHyphens w:val="0"/>
              <w:spacing w:before="40" w:after="40" w:line="220" w:lineRule="exact"/>
              <w:jc w:val="right"/>
              <w:rPr>
                <w:sz w:val="18"/>
                <w:lang w:val="fr-CH"/>
              </w:rPr>
            </w:pPr>
            <w:r w:rsidRPr="0071782F">
              <w:rPr>
                <w:sz w:val="18"/>
                <w:lang w:val="fr-CH"/>
              </w:rPr>
              <w:t>–</w:t>
            </w:r>
          </w:p>
        </w:tc>
        <w:tc>
          <w:tcPr>
            <w:tcW w:w="704" w:type="dxa"/>
            <w:shd w:val="clear" w:color="auto" w:fill="auto"/>
            <w:vAlign w:val="bottom"/>
          </w:tcPr>
          <w:p w:rsidR="00E5019F" w:rsidRPr="0071782F" w:rsidRDefault="008B25ED" w:rsidP="00FF1C6B">
            <w:pPr>
              <w:suppressAutoHyphens w:val="0"/>
              <w:spacing w:before="40" w:after="40" w:line="220" w:lineRule="exact"/>
              <w:jc w:val="right"/>
              <w:rPr>
                <w:sz w:val="18"/>
                <w:lang w:val="fr-CH"/>
              </w:rPr>
            </w:pPr>
            <w:r w:rsidRPr="0071782F">
              <w:rPr>
                <w:sz w:val="18"/>
                <w:lang w:val="fr-CH"/>
              </w:rPr>
              <w:t>–</w:t>
            </w:r>
          </w:p>
        </w:tc>
      </w:tr>
      <w:tr w:rsidR="00E5019F" w:rsidRPr="0071782F">
        <w:tc>
          <w:tcPr>
            <w:tcW w:w="3969" w:type="dxa"/>
            <w:shd w:val="clear" w:color="auto" w:fill="auto"/>
          </w:tcPr>
          <w:p w:rsidR="00E5019F" w:rsidRPr="0071782F" w:rsidRDefault="00A053D6" w:rsidP="00FF1C6B">
            <w:pPr>
              <w:suppressAutoHyphens w:val="0"/>
              <w:spacing w:before="40" w:after="40" w:line="220" w:lineRule="exact"/>
              <w:rPr>
                <w:sz w:val="18"/>
                <w:lang w:val="fr-CH"/>
              </w:rPr>
            </w:pPr>
            <w:r w:rsidRPr="0071782F">
              <w:rPr>
                <w:sz w:val="18"/>
                <w:lang w:val="fr-CH"/>
              </w:rPr>
              <w:t>Cas de t</w:t>
            </w:r>
            <w:r w:rsidR="00E5019F" w:rsidRPr="0071782F">
              <w:rPr>
                <w:sz w:val="18"/>
                <w:lang w:val="fr-CH"/>
              </w:rPr>
              <w:t>uberculos</w:t>
            </w:r>
            <w:r w:rsidRPr="0071782F">
              <w:rPr>
                <w:sz w:val="18"/>
                <w:lang w:val="fr-CH"/>
              </w:rPr>
              <w:t xml:space="preserve">e </w:t>
            </w:r>
          </w:p>
        </w:tc>
        <w:tc>
          <w:tcPr>
            <w:tcW w:w="597"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2005</w:t>
            </w:r>
          </w:p>
        </w:tc>
        <w:tc>
          <w:tcPr>
            <w:tcW w:w="1495" w:type="dxa"/>
            <w:shd w:val="clear" w:color="auto" w:fill="auto"/>
            <w:vAlign w:val="bottom"/>
          </w:tcPr>
          <w:p w:rsidR="00E5019F" w:rsidRPr="0071782F" w:rsidRDefault="00A053D6" w:rsidP="008077B0">
            <w:pPr>
              <w:suppressAutoHyphens w:val="0"/>
              <w:spacing w:before="40" w:after="40" w:line="220" w:lineRule="exact"/>
              <w:ind w:left="113"/>
              <w:rPr>
                <w:sz w:val="18"/>
                <w:lang w:val="fr-CH"/>
              </w:rPr>
            </w:pPr>
            <w:r w:rsidRPr="0071782F">
              <w:rPr>
                <w:sz w:val="18"/>
                <w:lang w:val="fr-CH"/>
              </w:rPr>
              <w:t>100</w:t>
            </w:r>
            <w:r w:rsidR="004F2D7C" w:rsidRPr="0071782F">
              <w:rPr>
                <w:sz w:val="18"/>
                <w:lang w:val="fr-CH"/>
              </w:rPr>
              <w:t> </w:t>
            </w:r>
            <w:r w:rsidR="00E5019F" w:rsidRPr="0071782F">
              <w:rPr>
                <w:sz w:val="18"/>
                <w:lang w:val="fr-CH"/>
              </w:rPr>
              <w:t>000</w:t>
            </w:r>
            <w:r w:rsidR="004F2D7C" w:rsidRPr="0071782F">
              <w:rPr>
                <w:sz w:val="18"/>
                <w:lang w:val="fr-CH"/>
              </w:rPr>
              <w:t xml:space="preserve"> </w:t>
            </w:r>
            <w:r w:rsidR="00097CDB" w:rsidRPr="0071782F">
              <w:rPr>
                <w:sz w:val="18"/>
                <w:lang w:val="fr-CH"/>
              </w:rPr>
              <w:t>personnes</w:t>
            </w:r>
          </w:p>
        </w:tc>
        <w:tc>
          <w:tcPr>
            <w:tcW w:w="605"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14</w:t>
            </w:r>
            <w:r w:rsidR="00FF1C6B" w:rsidRPr="0071782F">
              <w:rPr>
                <w:sz w:val="18"/>
                <w:lang w:val="fr-CH"/>
              </w:rPr>
              <w:t>,</w:t>
            </w:r>
            <w:r w:rsidRPr="0071782F">
              <w:rPr>
                <w:sz w:val="18"/>
                <w:lang w:val="fr-CH"/>
              </w:rPr>
              <w:t>4</w:t>
            </w:r>
          </w:p>
        </w:tc>
        <w:tc>
          <w:tcPr>
            <w:tcW w:w="704"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-11</w:t>
            </w:r>
            <w:r w:rsidR="00FF1C6B" w:rsidRPr="0071782F">
              <w:rPr>
                <w:sz w:val="18"/>
                <w:lang w:val="fr-CH"/>
              </w:rPr>
              <w:t>,</w:t>
            </w:r>
            <w:r w:rsidRPr="0071782F">
              <w:rPr>
                <w:sz w:val="18"/>
                <w:lang w:val="fr-CH"/>
              </w:rPr>
              <w:t>2</w:t>
            </w:r>
            <w:r w:rsidRPr="0071782F">
              <w:rPr>
                <w:i/>
                <w:sz w:val="18"/>
                <w:vertAlign w:val="superscript"/>
                <w:lang w:val="fr-CH"/>
              </w:rPr>
              <w:t>(6)</w:t>
            </w:r>
          </w:p>
        </w:tc>
      </w:tr>
    </w:tbl>
    <w:p w:rsidR="00E5019F" w:rsidRPr="0071782F" w:rsidRDefault="00E5019F" w:rsidP="001E0FFC">
      <w:pPr>
        <w:spacing w:before="120"/>
        <w:ind w:left="1134" w:right="1134" w:firstLine="170"/>
        <w:rPr>
          <w:sz w:val="18"/>
          <w:lang w:val="fr-CH"/>
        </w:rPr>
      </w:pPr>
      <w:r w:rsidRPr="0071782F">
        <w:rPr>
          <w:i/>
          <w:sz w:val="18"/>
          <w:vertAlign w:val="superscript"/>
          <w:lang w:val="fr-CH"/>
        </w:rPr>
        <w:t>(1)</w:t>
      </w:r>
      <w:r w:rsidR="001E0FFC" w:rsidRPr="0071782F">
        <w:rPr>
          <w:sz w:val="18"/>
          <w:lang w:val="fr-CH"/>
        </w:rPr>
        <w:t xml:space="preserve">  </w:t>
      </w:r>
      <w:r w:rsidR="00A053D6" w:rsidRPr="0071782F">
        <w:rPr>
          <w:sz w:val="18"/>
          <w:lang w:val="fr-CH"/>
        </w:rPr>
        <w:t xml:space="preserve">À l’exclusion </w:t>
      </w:r>
      <w:r w:rsidR="00A83442">
        <w:rPr>
          <w:sz w:val="18"/>
          <w:lang w:val="fr-CH"/>
        </w:rPr>
        <w:t>des unités</w:t>
      </w:r>
      <w:r w:rsidR="00A053D6" w:rsidRPr="0071782F">
        <w:rPr>
          <w:sz w:val="18"/>
          <w:lang w:val="fr-CH"/>
        </w:rPr>
        <w:t xml:space="preserve"> de l’armée et de la Garde révolutionnaire</w:t>
      </w:r>
      <w:r w:rsidRPr="0071782F">
        <w:rPr>
          <w:sz w:val="18"/>
          <w:lang w:val="fr-CH"/>
        </w:rPr>
        <w:t>.</w:t>
      </w:r>
    </w:p>
    <w:p w:rsidR="00E5019F" w:rsidRPr="0071782F" w:rsidRDefault="00E5019F" w:rsidP="00B2191A">
      <w:pPr>
        <w:ind w:left="1134" w:right="1134" w:firstLine="170"/>
        <w:rPr>
          <w:sz w:val="18"/>
          <w:lang w:val="fr-CH"/>
        </w:rPr>
      </w:pPr>
      <w:r w:rsidRPr="0071782F">
        <w:rPr>
          <w:i/>
          <w:sz w:val="18"/>
          <w:vertAlign w:val="superscript"/>
          <w:lang w:val="fr-CH"/>
        </w:rPr>
        <w:t>(2)</w:t>
      </w:r>
      <w:r w:rsidR="001E0FFC" w:rsidRPr="00B2191A">
        <w:rPr>
          <w:sz w:val="18"/>
          <w:lang w:val="fr-CH"/>
        </w:rPr>
        <w:t xml:space="preserve"> </w:t>
      </w:r>
      <w:r w:rsidR="00B2191A">
        <w:rPr>
          <w:sz w:val="18"/>
          <w:lang w:val="fr-CH"/>
        </w:rPr>
        <w:t xml:space="preserve"> </w:t>
      </w:r>
      <w:r w:rsidR="00A053D6" w:rsidRPr="0071782F">
        <w:rPr>
          <w:sz w:val="18"/>
          <w:lang w:val="fr-CH"/>
        </w:rPr>
        <w:t>Dans les hôpitaux relevant du Ministère de la santé</w:t>
      </w:r>
      <w:r w:rsidRPr="0071782F">
        <w:rPr>
          <w:sz w:val="18"/>
          <w:lang w:val="fr-CH"/>
        </w:rPr>
        <w:t>.</w:t>
      </w:r>
    </w:p>
    <w:p w:rsidR="00E5019F" w:rsidRPr="0071782F" w:rsidRDefault="00E5019F" w:rsidP="00E5019F">
      <w:pPr>
        <w:ind w:left="1134" w:right="1134" w:firstLine="170"/>
        <w:rPr>
          <w:sz w:val="18"/>
          <w:lang w:val="fr-CH"/>
        </w:rPr>
      </w:pPr>
      <w:r w:rsidRPr="0071782F">
        <w:rPr>
          <w:i/>
          <w:sz w:val="18"/>
          <w:vertAlign w:val="superscript"/>
          <w:lang w:val="fr-CH"/>
        </w:rPr>
        <w:t>(3</w:t>
      </w:r>
      <w:r w:rsidR="001E0FFC" w:rsidRPr="0071782F">
        <w:rPr>
          <w:i/>
          <w:sz w:val="18"/>
          <w:vertAlign w:val="superscript"/>
          <w:lang w:val="fr-CH"/>
        </w:rPr>
        <w:t>)</w:t>
      </w:r>
      <w:r w:rsidR="00A053D6" w:rsidRPr="0071782F">
        <w:rPr>
          <w:sz w:val="18"/>
          <w:lang w:val="fr-CH"/>
        </w:rPr>
        <w:t xml:space="preserve"> </w:t>
      </w:r>
      <w:r w:rsidR="00D36718">
        <w:rPr>
          <w:sz w:val="18"/>
          <w:lang w:val="fr-CH"/>
        </w:rPr>
        <w:t xml:space="preserve"> </w:t>
      </w:r>
      <w:r w:rsidR="00A053D6" w:rsidRPr="0071782F">
        <w:rPr>
          <w:sz w:val="18"/>
          <w:lang w:val="fr-CH"/>
        </w:rPr>
        <w:t>Chiffres de fin d’année</w:t>
      </w:r>
      <w:r w:rsidRPr="0071782F">
        <w:rPr>
          <w:sz w:val="18"/>
          <w:lang w:val="fr-CH"/>
        </w:rPr>
        <w:t>.</w:t>
      </w:r>
    </w:p>
    <w:p w:rsidR="00E5019F" w:rsidRPr="0071782F" w:rsidRDefault="00E5019F" w:rsidP="00E5019F">
      <w:pPr>
        <w:ind w:left="1134" w:right="1134" w:firstLine="170"/>
        <w:rPr>
          <w:sz w:val="18"/>
          <w:lang w:val="fr-CH"/>
        </w:rPr>
      </w:pPr>
      <w:r w:rsidRPr="0071782F">
        <w:rPr>
          <w:i/>
          <w:sz w:val="18"/>
          <w:vertAlign w:val="superscript"/>
          <w:lang w:val="fr-CH"/>
        </w:rPr>
        <w:t>(4)</w:t>
      </w:r>
      <w:r w:rsidR="001E0FFC" w:rsidRPr="0071782F">
        <w:rPr>
          <w:sz w:val="18"/>
          <w:lang w:val="fr-CH"/>
        </w:rPr>
        <w:t xml:space="preserve">  </w:t>
      </w:r>
      <w:r w:rsidR="00A053D6" w:rsidRPr="0071782F">
        <w:rPr>
          <w:sz w:val="18"/>
          <w:lang w:val="fr-CH"/>
        </w:rPr>
        <w:t xml:space="preserve">Le taux de variation n’a pas été calculé par l’autorité compétente. </w:t>
      </w:r>
    </w:p>
    <w:p w:rsidR="00E5019F" w:rsidRPr="0071782F" w:rsidRDefault="00E5019F" w:rsidP="00E5019F">
      <w:pPr>
        <w:ind w:left="1134" w:right="1134" w:firstLine="170"/>
        <w:rPr>
          <w:sz w:val="18"/>
          <w:lang w:val="fr-CH"/>
        </w:rPr>
      </w:pPr>
      <w:r w:rsidRPr="0071782F">
        <w:rPr>
          <w:i/>
          <w:sz w:val="18"/>
          <w:vertAlign w:val="superscript"/>
          <w:lang w:val="fr-CH"/>
        </w:rPr>
        <w:t>(5)</w:t>
      </w:r>
      <w:r w:rsidR="001E0FFC" w:rsidRPr="0071782F">
        <w:rPr>
          <w:sz w:val="18"/>
          <w:lang w:val="fr-CH"/>
        </w:rPr>
        <w:t xml:space="preserve">  </w:t>
      </w:r>
      <w:r w:rsidR="00A053D6" w:rsidRPr="0071782F">
        <w:rPr>
          <w:sz w:val="18"/>
          <w:lang w:val="fr-CH"/>
        </w:rPr>
        <w:t xml:space="preserve">Information non encore reçue au moment de la </w:t>
      </w:r>
      <w:r w:rsidRPr="0071782F">
        <w:rPr>
          <w:sz w:val="18"/>
          <w:lang w:val="fr-CH"/>
        </w:rPr>
        <w:t xml:space="preserve">publication </w:t>
      </w:r>
      <w:r w:rsidR="00A053D6" w:rsidRPr="0071782F">
        <w:rPr>
          <w:sz w:val="18"/>
          <w:lang w:val="fr-CH"/>
        </w:rPr>
        <w:t xml:space="preserve">du présent </w:t>
      </w:r>
      <w:r w:rsidRPr="0071782F">
        <w:rPr>
          <w:sz w:val="18"/>
          <w:lang w:val="fr-CH"/>
        </w:rPr>
        <w:t>r</w:t>
      </w:r>
      <w:r w:rsidR="00A053D6" w:rsidRPr="0071782F">
        <w:rPr>
          <w:sz w:val="18"/>
          <w:lang w:val="fr-CH"/>
        </w:rPr>
        <w:t>apport</w:t>
      </w:r>
      <w:r w:rsidRPr="0071782F">
        <w:rPr>
          <w:sz w:val="18"/>
          <w:lang w:val="fr-CH"/>
        </w:rPr>
        <w:t>.</w:t>
      </w:r>
    </w:p>
    <w:p w:rsidR="00E5019F" w:rsidRPr="0071782F" w:rsidRDefault="00E5019F" w:rsidP="008520EF">
      <w:pPr>
        <w:spacing w:after="240"/>
        <w:ind w:left="1134" w:right="1134" w:firstLine="170"/>
        <w:rPr>
          <w:sz w:val="18"/>
          <w:lang w:val="fr-CH"/>
        </w:rPr>
      </w:pPr>
      <w:r w:rsidRPr="0071782F">
        <w:rPr>
          <w:i/>
          <w:sz w:val="18"/>
          <w:vertAlign w:val="superscript"/>
          <w:lang w:val="fr-CH"/>
        </w:rPr>
        <w:t>(6)</w:t>
      </w:r>
      <w:r w:rsidR="001E0FFC" w:rsidRPr="0071782F">
        <w:rPr>
          <w:sz w:val="18"/>
          <w:lang w:val="fr-CH"/>
        </w:rPr>
        <w:t xml:space="preserve">  </w:t>
      </w:r>
      <w:r w:rsidR="00A053D6" w:rsidRPr="0071782F">
        <w:rPr>
          <w:sz w:val="18"/>
          <w:lang w:val="fr-CH"/>
        </w:rPr>
        <w:t xml:space="preserve">Taux de variation calculé sur la base des </w:t>
      </w:r>
      <w:r w:rsidRPr="0071782F">
        <w:rPr>
          <w:sz w:val="18"/>
          <w:lang w:val="fr-CH"/>
        </w:rPr>
        <w:t>information</w:t>
      </w:r>
      <w:r w:rsidR="00A053D6" w:rsidRPr="0071782F">
        <w:rPr>
          <w:sz w:val="18"/>
          <w:lang w:val="fr-CH"/>
        </w:rPr>
        <w:t>s</w:t>
      </w:r>
      <w:r w:rsidRPr="0071782F">
        <w:rPr>
          <w:sz w:val="18"/>
          <w:lang w:val="fr-CH"/>
        </w:rPr>
        <w:t xml:space="preserve"> </w:t>
      </w:r>
      <w:r w:rsidR="00A053D6" w:rsidRPr="0071782F">
        <w:rPr>
          <w:sz w:val="18"/>
          <w:lang w:val="fr-CH"/>
        </w:rPr>
        <w:t xml:space="preserve">recueillies en </w:t>
      </w:r>
      <w:r w:rsidRPr="0071782F">
        <w:rPr>
          <w:sz w:val="18"/>
          <w:lang w:val="fr-CH"/>
        </w:rPr>
        <w:t>2003</w:t>
      </w:r>
      <w:r w:rsidR="001E0FFC" w:rsidRPr="0071782F">
        <w:rPr>
          <w:sz w:val="18"/>
          <w:lang w:val="fr-CH"/>
        </w:rPr>
        <w:t>.</w:t>
      </w:r>
    </w:p>
    <w:p w:rsidR="00E5019F" w:rsidRPr="0071782F" w:rsidRDefault="00E5019F" w:rsidP="00722B47">
      <w:pPr>
        <w:pStyle w:val="H23G"/>
        <w:rPr>
          <w:lang w:val="fr-CH"/>
        </w:rPr>
      </w:pPr>
      <w:r w:rsidRPr="0071782F">
        <w:rPr>
          <w:lang w:val="fr-CH"/>
        </w:rPr>
        <w:tab/>
      </w:r>
      <w:r w:rsidRPr="0071782F">
        <w:rPr>
          <w:lang w:val="fr-CH"/>
        </w:rPr>
        <w:tab/>
      </w:r>
      <w:r w:rsidR="00A053D6" w:rsidRPr="0071782F">
        <w:rPr>
          <w:lang w:val="fr-CH"/>
        </w:rPr>
        <w:t xml:space="preserve">Indicateurs des soins de santé et des traitements médicaux pour </w:t>
      </w:r>
      <w:r w:rsidRPr="0071782F">
        <w:rPr>
          <w:lang w:val="fr-CH"/>
        </w:rPr>
        <w:t>2007</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977"/>
        <w:gridCol w:w="992"/>
        <w:gridCol w:w="441"/>
        <w:gridCol w:w="657"/>
        <w:gridCol w:w="603"/>
        <w:gridCol w:w="196"/>
        <w:gridCol w:w="655"/>
        <w:gridCol w:w="45"/>
        <w:gridCol w:w="804"/>
      </w:tblGrid>
      <w:tr w:rsidR="00E5019F" w:rsidRPr="0071782F">
        <w:trPr>
          <w:tblHeader/>
        </w:trPr>
        <w:tc>
          <w:tcPr>
            <w:tcW w:w="4410" w:type="dxa"/>
            <w:gridSpan w:val="3"/>
            <w:tcBorders>
              <w:top w:val="single" w:sz="4" w:space="0" w:color="auto"/>
              <w:bottom w:val="single" w:sz="12" w:space="0" w:color="auto"/>
            </w:tcBorders>
            <w:shd w:val="clear" w:color="auto" w:fill="auto"/>
            <w:vAlign w:val="bottom"/>
          </w:tcPr>
          <w:p w:rsidR="00E5019F" w:rsidRPr="0071782F" w:rsidRDefault="00E5019F" w:rsidP="00FF1C6B">
            <w:pPr>
              <w:suppressAutoHyphens w:val="0"/>
              <w:spacing w:before="80" w:after="80" w:line="200" w:lineRule="exact"/>
              <w:rPr>
                <w:i/>
                <w:sz w:val="16"/>
                <w:lang w:val="fr-CH"/>
              </w:rPr>
            </w:pPr>
            <w:r w:rsidRPr="0071782F">
              <w:rPr>
                <w:i/>
                <w:sz w:val="16"/>
                <w:lang w:val="fr-CH"/>
              </w:rPr>
              <w:t>Indicat</w:t>
            </w:r>
            <w:r w:rsidR="00A053D6" w:rsidRPr="0071782F">
              <w:rPr>
                <w:i/>
                <w:sz w:val="16"/>
                <w:lang w:val="fr-CH"/>
              </w:rPr>
              <w:t>eu</w:t>
            </w:r>
            <w:r w:rsidRPr="0071782F">
              <w:rPr>
                <w:i/>
                <w:sz w:val="16"/>
                <w:lang w:val="fr-CH"/>
              </w:rPr>
              <w:t>r</w:t>
            </w:r>
          </w:p>
        </w:tc>
        <w:tc>
          <w:tcPr>
            <w:tcW w:w="657" w:type="dxa"/>
            <w:tcBorders>
              <w:top w:val="single" w:sz="4" w:space="0" w:color="auto"/>
              <w:bottom w:val="single" w:sz="12" w:space="0" w:color="auto"/>
            </w:tcBorders>
            <w:shd w:val="clear" w:color="auto" w:fill="auto"/>
            <w:vAlign w:val="bottom"/>
          </w:tcPr>
          <w:p w:rsidR="00E5019F" w:rsidRPr="0071782F" w:rsidRDefault="00A053D6" w:rsidP="00FF1C6B">
            <w:pPr>
              <w:suppressAutoHyphens w:val="0"/>
              <w:spacing w:before="80" w:after="80" w:line="200" w:lineRule="exact"/>
              <w:jc w:val="right"/>
              <w:rPr>
                <w:i/>
                <w:sz w:val="16"/>
                <w:lang w:val="fr-CH"/>
              </w:rPr>
            </w:pPr>
            <w:r w:rsidRPr="0071782F">
              <w:rPr>
                <w:i/>
                <w:sz w:val="16"/>
                <w:lang w:val="fr-CH"/>
              </w:rPr>
              <w:t>Année</w:t>
            </w:r>
          </w:p>
        </w:tc>
        <w:tc>
          <w:tcPr>
            <w:tcW w:w="799" w:type="dxa"/>
            <w:gridSpan w:val="2"/>
            <w:tcBorders>
              <w:top w:val="single" w:sz="4" w:space="0" w:color="auto"/>
              <w:bottom w:val="single" w:sz="12" w:space="0" w:color="auto"/>
            </w:tcBorders>
            <w:shd w:val="clear" w:color="auto" w:fill="auto"/>
            <w:vAlign w:val="bottom"/>
          </w:tcPr>
          <w:p w:rsidR="00E5019F" w:rsidRPr="0071782F" w:rsidRDefault="00E5019F" w:rsidP="004F2D7C">
            <w:pPr>
              <w:suppressAutoHyphens w:val="0"/>
              <w:spacing w:before="80" w:after="80" w:line="200" w:lineRule="exact"/>
              <w:ind w:left="113"/>
              <w:rPr>
                <w:i/>
                <w:sz w:val="16"/>
                <w:lang w:val="fr-CH"/>
              </w:rPr>
            </w:pPr>
            <w:r w:rsidRPr="0071782F">
              <w:rPr>
                <w:i/>
                <w:sz w:val="16"/>
                <w:lang w:val="fr-CH"/>
              </w:rPr>
              <w:t>Unit</w:t>
            </w:r>
            <w:r w:rsidR="00A053D6" w:rsidRPr="0071782F">
              <w:rPr>
                <w:i/>
                <w:sz w:val="16"/>
                <w:lang w:val="fr-CH"/>
              </w:rPr>
              <w:t>é</w:t>
            </w:r>
          </w:p>
        </w:tc>
        <w:tc>
          <w:tcPr>
            <w:tcW w:w="700" w:type="dxa"/>
            <w:gridSpan w:val="2"/>
            <w:tcBorders>
              <w:top w:val="single" w:sz="4" w:space="0" w:color="auto"/>
              <w:bottom w:val="single" w:sz="12" w:space="0" w:color="auto"/>
            </w:tcBorders>
            <w:shd w:val="clear" w:color="auto" w:fill="auto"/>
            <w:vAlign w:val="bottom"/>
          </w:tcPr>
          <w:p w:rsidR="00E5019F" w:rsidRPr="0071782F" w:rsidRDefault="003B48A4" w:rsidP="00FF1C6B">
            <w:pPr>
              <w:suppressAutoHyphens w:val="0"/>
              <w:spacing w:before="80" w:after="80" w:line="200" w:lineRule="exact"/>
              <w:jc w:val="right"/>
              <w:rPr>
                <w:i/>
                <w:sz w:val="16"/>
                <w:lang w:val="fr-CH"/>
              </w:rPr>
            </w:pPr>
            <w:r w:rsidRPr="0071782F">
              <w:rPr>
                <w:i/>
                <w:sz w:val="16"/>
                <w:lang w:val="fr-CH"/>
              </w:rPr>
              <w:t>Nombre</w:t>
            </w:r>
          </w:p>
        </w:tc>
        <w:tc>
          <w:tcPr>
            <w:tcW w:w="804" w:type="dxa"/>
            <w:tcBorders>
              <w:top w:val="single" w:sz="4" w:space="0" w:color="auto"/>
              <w:bottom w:val="single" w:sz="12" w:space="0" w:color="auto"/>
            </w:tcBorders>
            <w:shd w:val="clear" w:color="auto" w:fill="auto"/>
            <w:vAlign w:val="bottom"/>
          </w:tcPr>
          <w:p w:rsidR="00E5019F" w:rsidRPr="0071782F" w:rsidRDefault="00A053D6" w:rsidP="00FF1C6B">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00E5019F" w:rsidRPr="0071782F">
              <w:rPr>
                <w:i/>
                <w:sz w:val="16"/>
                <w:lang w:val="fr-CH"/>
              </w:rPr>
              <w:t xml:space="preserve"> </w:t>
            </w:r>
          </w:p>
        </w:tc>
      </w:tr>
      <w:tr w:rsidR="00E5019F" w:rsidRPr="0071782F">
        <w:tc>
          <w:tcPr>
            <w:tcW w:w="4410" w:type="dxa"/>
            <w:gridSpan w:val="3"/>
            <w:tcBorders>
              <w:top w:val="single" w:sz="12" w:space="0" w:color="auto"/>
            </w:tcBorders>
            <w:shd w:val="clear" w:color="auto" w:fill="auto"/>
          </w:tcPr>
          <w:p w:rsidR="00E5019F" w:rsidRPr="0071782F" w:rsidRDefault="00A053D6" w:rsidP="00FF1C6B">
            <w:pPr>
              <w:suppressAutoHyphens w:val="0"/>
              <w:spacing w:before="40" w:after="40" w:line="220" w:lineRule="exact"/>
              <w:rPr>
                <w:sz w:val="18"/>
                <w:lang w:val="fr-CH"/>
              </w:rPr>
            </w:pPr>
            <w:r w:rsidRPr="0071782F">
              <w:rPr>
                <w:sz w:val="18"/>
                <w:lang w:val="fr-CH"/>
              </w:rPr>
              <w:t>Ratio population/médecins employés par le Ministère de la santé</w:t>
            </w:r>
          </w:p>
        </w:tc>
        <w:tc>
          <w:tcPr>
            <w:tcW w:w="657" w:type="dxa"/>
            <w:tcBorders>
              <w:top w:val="single" w:sz="12" w:space="0" w:color="auto"/>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2006</w:t>
            </w:r>
          </w:p>
        </w:tc>
        <w:tc>
          <w:tcPr>
            <w:tcW w:w="799" w:type="dxa"/>
            <w:gridSpan w:val="2"/>
            <w:tcBorders>
              <w:top w:val="single" w:sz="12" w:space="0" w:color="auto"/>
            </w:tcBorders>
            <w:shd w:val="clear" w:color="auto" w:fill="auto"/>
            <w:vAlign w:val="bottom"/>
          </w:tcPr>
          <w:p w:rsidR="00E5019F" w:rsidRPr="0071782F" w:rsidRDefault="00E5019F" w:rsidP="004F2D7C">
            <w:pPr>
              <w:suppressAutoHyphens w:val="0"/>
              <w:spacing w:before="40" w:after="40" w:line="220" w:lineRule="exact"/>
              <w:ind w:left="113"/>
              <w:rPr>
                <w:sz w:val="18"/>
                <w:lang w:val="fr-CH"/>
              </w:rPr>
            </w:pPr>
            <w:r w:rsidRPr="0071782F">
              <w:rPr>
                <w:sz w:val="18"/>
                <w:lang w:val="fr-CH"/>
              </w:rPr>
              <w:t>Person</w:t>
            </w:r>
            <w:r w:rsidR="00A053D6" w:rsidRPr="0071782F">
              <w:rPr>
                <w:sz w:val="18"/>
                <w:lang w:val="fr-CH"/>
              </w:rPr>
              <w:t>ne</w:t>
            </w:r>
          </w:p>
        </w:tc>
        <w:tc>
          <w:tcPr>
            <w:tcW w:w="700" w:type="dxa"/>
            <w:gridSpan w:val="2"/>
            <w:tcBorders>
              <w:top w:val="single" w:sz="12" w:space="0" w:color="auto"/>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2 829</w:t>
            </w:r>
          </w:p>
        </w:tc>
        <w:tc>
          <w:tcPr>
            <w:tcW w:w="804" w:type="dxa"/>
            <w:tcBorders>
              <w:top w:val="single" w:sz="12" w:space="0" w:color="auto"/>
            </w:tcBorders>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-12</w:t>
            </w:r>
            <w:r w:rsidR="00FF1C6B" w:rsidRPr="0071782F">
              <w:rPr>
                <w:sz w:val="18"/>
                <w:lang w:val="fr-CH"/>
              </w:rPr>
              <w:t>,</w:t>
            </w:r>
            <w:r w:rsidRPr="0071782F">
              <w:rPr>
                <w:sz w:val="18"/>
                <w:lang w:val="fr-CH"/>
              </w:rPr>
              <w:t>0</w:t>
            </w:r>
          </w:p>
        </w:tc>
      </w:tr>
      <w:tr w:rsidR="00E5019F" w:rsidRPr="0071782F">
        <w:tc>
          <w:tcPr>
            <w:tcW w:w="4410" w:type="dxa"/>
            <w:gridSpan w:val="3"/>
            <w:shd w:val="clear" w:color="auto" w:fill="auto"/>
          </w:tcPr>
          <w:p w:rsidR="00E5019F" w:rsidRPr="0071782F" w:rsidRDefault="00A053D6" w:rsidP="00FF1C6B">
            <w:pPr>
              <w:suppressAutoHyphens w:val="0"/>
              <w:spacing w:before="40" w:after="40" w:line="220" w:lineRule="exact"/>
              <w:rPr>
                <w:sz w:val="18"/>
                <w:lang w:val="fr-CH"/>
              </w:rPr>
            </w:pPr>
            <w:r w:rsidRPr="0071782F">
              <w:rPr>
                <w:sz w:val="18"/>
                <w:lang w:val="fr-CH"/>
              </w:rPr>
              <w:t xml:space="preserve">Centres de traitement actif </w:t>
            </w:r>
            <w:r w:rsidR="00E5019F" w:rsidRPr="0071782F">
              <w:rPr>
                <w:sz w:val="18"/>
                <w:lang w:val="fr-CH"/>
              </w:rPr>
              <w:t>(h</w:t>
            </w:r>
            <w:r w:rsidRPr="0071782F">
              <w:rPr>
                <w:sz w:val="18"/>
                <w:lang w:val="fr-CH"/>
              </w:rPr>
              <w:t>ô</w:t>
            </w:r>
            <w:r w:rsidR="00E5019F" w:rsidRPr="0071782F">
              <w:rPr>
                <w:sz w:val="18"/>
                <w:lang w:val="fr-CH"/>
              </w:rPr>
              <w:t>pital,</w:t>
            </w:r>
            <w:r w:rsidR="0057603B" w:rsidRPr="0071782F">
              <w:rPr>
                <w:sz w:val="18"/>
                <w:lang w:val="fr-CH"/>
              </w:rPr>
              <w:t xml:space="preserve"> </w:t>
            </w:r>
            <w:r w:rsidRPr="0071782F">
              <w:rPr>
                <w:sz w:val="18"/>
                <w:lang w:val="fr-CH"/>
              </w:rPr>
              <w:t>clinique de</w:t>
            </w:r>
            <w:r w:rsidR="00E5019F" w:rsidRPr="0071782F">
              <w:rPr>
                <w:sz w:val="18"/>
                <w:lang w:val="fr-CH"/>
              </w:rPr>
              <w:t xml:space="preserve"> maternit</w:t>
            </w:r>
            <w:r w:rsidRPr="0071782F">
              <w:rPr>
                <w:sz w:val="18"/>
                <w:lang w:val="fr-CH"/>
              </w:rPr>
              <w:t>é</w:t>
            </w:r>
            <w:r w:rsidR="00E5019F" w:rsidRPr="0071782F">
              <w:rPr>
                <w:sz w:val="18"/>
                <w:lang w:val="fr-CH"/>
              </w:rPr>
              <w:t>)</w:t>
            </w:r>
            <w:r w:rsidR="00E5019F" w:rsidRPr="0071782F">
              <w:rPr>
                <w:i/>
                <w:sz w:val="18"/>
                <w:vertAlign w:val="superscript"/>
                <w:lang w:val="fr-CH"/>
              </w:rPr>
              <w:t>(1)</w:t>
            </w:r>
          </w:p>
        </w:tc>
        <w:tc>
          <w:tcPr>
            <w:tcW w:w="657"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2007</w:t>
            </w:r>
          </w:p>
        </w:tc>
        <w:tc>
          <w:tcPr>
            <w:tcW w:w="799" w:type="dxa"/>
            <w:gridSpan w:val="2"/>
            <w:shd w:val="clear" w:color="auto" w:fill="auto"/>
            <w:vAlign w:val="bottom"/>
          </w:tcPr>
          <w:p w:rsidR="00E5019F" w:rsidRPr="0071782F" w:rsidRDefault="003B48A4" w:rsidP="004F2D7C">
            <w:pPr>
              <w:suppressAutoHyphens w:val="0"/>
              <w:spacing w:before="40" w:after="40" w:line="220" w:lineRule="exact"/>
              <w:ind w:left="113"/>
              <w:rPr>
                <w:sz w:val="18"/>
                <w:lang w:val="fr-CH"/>
              </w:rPr>
            </w:pPr>
            <w:r w:rsidRPr="0071782F">
              <w:rPr>
                <w:sz w:val="18"/>
                <w:lang w:val="fr-CH"/>
              </w:rPr>
              <w:t>Nombre</w:t>
            </w:r>
          </w:p>
        </w:tc>
        <w:tc>
          <w:tcPr>
            <w:tcW w:w="700" w:type="dxa"/>
            <w:gridSpan w:val="2"/>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799</w:t>
            </w:r>
          </w:p>
        </w:tc>
        <w:tc>
          <w:tcPr>
            <w:tcW w:w="804"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3</w:t>
            </w:r>
            <w:r w:rsidR="00FF1C6B" w:rsidRPr="0071782F">
              <w:rPr>
                <w:sz w:val="18"/>
                <w:lang w:val="fr-CH"/>
              </w:rPr>
              <w:t>,</w:t>
            </w:r>
            <w:r w:rsidRPr="0071782F">
              <w:rPr>
                <w:sz w:val="18"/>
                <w:lang w:val="fr-CH"/>
              </w:rPr>
              <w:t>6</w:t>
            </w:r>
          </w:p>
        </w:tc>
      </w:tr>
      <w:tr w:rsidR="00E5019F" w:rsidRPr="0071782F">
        <w:tc>
          <w:tcPr>
            <w:tcW w:w="4410" w:type="dxa"/>
            <w:gridSpan w:val="3"/>
            <w:shd w:val="clear" w:color="auto" w:fill="auto"/>
          </w:tcPr>
          <w:p w:rsidR="00E5019F" w:rsidRPr="0071782F" w:rsidRDefault="00A053D6" w:rsidP="00FF1C6B">
            <w:pPr>
              <w:suppressAutoHyphens w:val="0"/>
              <w:spacing w:before="40" w:after="40" w:line="220" w:lineRule="exact"/>
              <w:rPr>
                <w:sz w:val="18"/>
                <w:lang w:val="fr-CH"/>
              </w:rPr>
            </w:pPr>
            <w:r w:rsidRPr="0071782F">
              <w:rPr>
                <w:sz w:val="18"/>
                <w:lang w:val="fr-CH"/>
              </w:rPr>
              <w:t xml:space="preserve">Maisons de santé rurales </w:t>
            </w:r>
          </w:p>
        </w:tc>
        <w:tc>
          <w:tcPr>
            <w:tcW w:w="657"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2007</w:t>
            </w:r>
          </w:p>
        </w:tc>
        <w:tc>
          <w:tcPr>
            <w:tcW w:w="799" w:type="dxa"/>
            <w:gridSpan w:val="2"/>
            <w:shd w:val="clear" w:color="auto" w:fill="auto"/>
            <w:vAlign w:val="bottom"/>
          </w:tcPr>
          <w:p w:rsidR="00E5019F" w:rsidRPr="0071782F" w:rsidRDefault="003B48A4" w:rsidP="004F2D7C">
            <w:pPr>
              <w:suppressAutoHyphens w:val="0"/>
              <w:spacing w:before="40" w:after="40" w:line="220" w:lineRule="exact"/>
              <w:ind w:left="113"/>
              <w:rPr>
                <w:sz w:val="18"/>
                <w:lang w:val="fr-CH"/>
              </w:rPr>
            </w:pPr>
            <w:r w:rsidRPr="0071782F">
              <w:rPr>
                <w:sz w:val="18"/>
                <w:lang w:val="fr-CH"/>
              </w:rPr>
              <w:t>Nombre</w:t>
            </w:r>
          </w:p>
        </w:tc>
        <w:tc>
          <w:tcPr>
            <w:tcW w:w="700" w:type="dxa"/>
            <w:gridSpan w:val="2"/>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17 151</w:t>
            </w:r>
          </w:p>
        </w:tc>
        <w:tc>
          <w:tcPr>
            <w:tcW w:w="804"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0</w:t>
            </w:r>
            <w:r w:rsidR="00FF1C6B" w:rsidRPr="0071782F">
              <w:rPr>
                <w:sz w:val="18"/>
                <w:lang w:val="fr-CH"/>
              </w:rPr>
              <w:t>,</w:t>
            </w:r>
            <w:r w:rsidRPr="0071782F">
              <w:rPr>
                <w:sz w:val="18"/>
                <w:lang w:val="fr-CH"/>
              </w:rPr>
              <w:t>1</w:t>
            </w:r>
          </w:p>
        </w:tc>
      </w:tr>
      <w:tr w:rsidR="00E5019F" w:rsidRPr="0071782F">
        <w:tc>
          <w:tcPr>
            <w:tcW w:w="4410" w:type="dxa"/>
            <w:gridSpan w:val="3"/>
            <w:shd w:val="clear" w:color="auto" w:fill="auto"/>
          </w:tcPr>
          <w:p w:rsidR="00E5019F" w:rsidRPr="0071782F" w:rsidRDefault="00E5019F" w:rsidP="00FF1C6B">
            <w:pPr>
              <w:suppressAutoHyphens w:val="0"/>
              <w:spacing w:before="40" w:after="40" w:line="220" w:lineRule="exact"/>
              <w:rPr>
                <w:sz w:val="18"/>
                <w:lang w:val="fr-CH"/>
              </w:rPr>
            </w:pPr>
            <w:r w:rsidRPr="0071782F">
              <w:rPr>
                <w:sz w:val="18"/>
                <w:lang w:val="fr-CH"/>
              </w:rPr>
              <w:t>Pharmacies</w:t>
            </w:r>
          </w:p>
        </w:tc>
        <w:tc>
          <w:tcPr>
            <w:tcW w:w="657"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2007</w:t>
            </w:r>
          </w:p>
        </w:tc>
        <w:tc>
          <w:tcPr>
            <w:tcW w:w="799" w:type="dxa"/>
            <w:gridSpan w:val="2"/>
            <w:shd w:val="clear" w:color="auto" w:fill="auto"/>
            <w:vAlign w:val="bottom"/>
          </w:tcPr>
          <w:p w:rsidR="00E5019F" w:rsidRPr="0071782F" w:rsidRDefault="003B48A4" w:rsidP="004F2D7C">
            <w:pPr>
              <w:suppressAutoHyphens w:val="0"/>
              <w:spacing w:before="40" w:after="40" w:line="220" w:lineRule="exact"/>
              <w:ind w:left="113"/>
              <w:rPr>
                <w:sz w:val="18"/>
                <w:lang w:val="fr-CH"/>
              </w:rPr>
            </w:pPr>
            <w:r w:rsidRPr="0071782F">
              <w:rPr>
                <w:sz w:val="18"/>
                <w:lang w:val="fr-CH"/>
              </w:rPr>
              <w:t>Nombre</w:t>
            </w:r>
          </w:p>
        </w:tc>
        <w:tc>
          <w:tcPr>
            <w:tcW w:w="700" w:type="dxa"/>
            <w:gridSpan w:val="2"/>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7 601</w:t>
            </w:r>
          </w:p>
        </w:tc>
        <w:tc>
          <w:tcPr>
            <w:tcW w:w="804"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3</w:t>
            </w:r>
            <w:r w:rsidR="00FF1C6B" w:rsidRPr="0071782F">
              <w:rPr>
                <w:sz w:val="18"/>
                <w:lang w:val="fr-CH"/>
              </w:rPr>
              <w:t>,</w:t>
            </w:r>
            <w:r w:rsidRPr="0071782F">
              <w:rPr>
                <w:sz w:val="18"/>
                <w:lang w:val="fr-CH"/>
              </w:rPr>
              <w:t>3</w:t>
            </w:r>
          </w:p>
        </w:tc>
      </w:tr>
      <w:tr w:rsidR="00E5019F" w:rsidRPr="0071782F">
        <w:tc>
          <w:tcPr>
            <w:tcW w:w="4410" w:type="dxa"/>
            <w:gridSpan w:val="3"/>
            <w:shd w:val="clear" w:color="auto" w:fill="auto"/>
          </w:tcPr>
          <w:p w:rsidR="00E5019F" w:rsidRPr="0071782F" w:rsidRDefault="00A053D6" w:rsidP="00FF1C6B">
            <w:pPr>
              <w:suppressAutoHyphens w:val="0"/>
              <w:spacing w:before="40" w:after="40" w:line="220" w:lineRule="exact"/>
              <w:rPr>
                <w:sz w:val="18"/>
                <w:lang w:val="fr-CH"/>
              </w:rPr>
            </w:pPr>
            <w:r w:rsidRPr="0071782F">
              <w:rPr>
                <w:sz w:val="18"/>
                <w:lang w:val="fr-CH"/>
              </w:rPr>
              <w:t>Laboratoires mé</w:t>
            </w:r>
            <w:r w:rsidR="00E5019F" w:rsidRPr="0071782F">
              <w:rPr>
                <w:sz w:val="18"/>
                <w:lang w:val="fr-CH"/>
              </w:rPr>
              <w:t>dica</w:t>
            </w:r>
            <w:r w:rsidRPr="0071782F">
              <w:rPr>
                <w:sz w:val="18"/>
                <w:lang w:val="fr-CH"/>
              </w:rPr>
              <w:t>ux</w:t>
            </w:r>
          </w:p>
        </w:tc>
        <w:tc>
          <w:tcPr>
            <w:tcW w:w="657"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2007</w:t>
            </w:r>
          </w:p>
        </w:tc>
        <w:tc>
          <w:tcPr>
            <w:tcW w:w="799" w:type="dxa"/>
            <w:gridSpan w:val="2"/>
            <w:shd w:val="clear" w:color="auto" w:fill="auto"/>
            <w:vAlign w:val="bottom"/>
          </w:tcPr>
          <w:p w:rsidR="00E5019F" w:rsidRPr="0071782F" w:rsidRDefault="003B48A4" w:rsidP="004F2D7C">
            <w:pPr>
              <w:suppressAutoHyphens w:val="0"/>
              <w:spacing w:before="40" w:after="40" w:line="220" w:lineRule="exact"/>
              <w:ind w:left="113"/>
              <w:rPr>
                <w:sz w:val="18"/>
                <w:lang w:val="fr-CH"/>
              </w:rPr>
            </w:pPr>
            <w:r w:rsidRPr="0071782F">
              <w:rPr>
                <w:sz w:val="18"/>
                <w:lang w:val="fr-CH"/>
              </w:rPr>
              <w:t>Nombre</w:t>
            </w:r>
          </w:p>
        </w:tc>
        <w:tc>
          <w:tcPr>
            <w:tcW w:w="700" w:type="dxa"/>
            <w:gridSpan w:val="2"/>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4 551</w:t>
            </w:r>
          </w:p>
        </w:tc>
        <w:tc>
          <w:tcPr>
            <w:tcW w:w="804"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3</w:t>
            </w:r>
            <w:r w:rsidR="00FF1C6B" w:rsidRPr="0071782F">
              <w:rPr>
                <w:sz w:val="18"/>
                <w:lang w:val="fr-CH"/>
              </w:rPr>
              <w:t>,</w:t>
            </w:r>
            <w:r w:rsidRPr="0071782F">
              <w:rPr>
                <w:sz w:val="18"/>
                <w:lang w:val="fr-CH"/>
              </w:rPr>
              <w:t>1</w:t>
            </w:r>
          </w:p>
        </w:tc>
      </w:tr>
      <w:tr w:rsidR="00E5019F" w:rsidRPr="0071782F">
        <w:tc>
          <w:tcPr>
            <w:tcW w:w="4410" w:type="dxa"/>
            <w:gridSpan w:val="3"/>
            <w:shd w:val="clear" w:color="auto" w:fill="auto"/>
          </w:tcPr>
          <w:p w:rsidR="00E5019F" w:rsidRPr="0071782F" w:rsidRDefault="00A053D6" w:rsidP="00FF1C6B">
            <w:pPr>
              <w:suppressAutoHyphens w:val="0"/>
              <w:spacing w:before="40" w:after="40" w:line="220" w:lineRule="exact"/>
              <w:rPr>
                <w:sz w:val="18"/>
                <w:lang w:val="fr-CH"/>
              </w:rPr>
            </w:pPr>
            <w:r w:rsidRPr="0071782F">
              <w:rPr>
                <w:sz w:val="18"/>
                <w:lang w:val="fr-CH"/>
              </w:rPr>
              <w:t>Unités de radiologie</w:t>
            </w:r>
            <w:r w:rsidR="00E5019F" w:rsidRPr="0071782F">
              <w:rPr>
                <w:i/>
                <w:sz w:val="18"/>
                <w:vertAlign w:val="superscript"/>
                <w:lang w:val="fr-CH"/>
              </w:rPr>
              <w:t>(1)</w:t>
            </w:r>
          </w:p>
        </w:tc>
        <w:tc>
          <w:tcPr>
            <w:tcW w:w="657"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2007</w:t>
            </w:r>
          </w:p>
        </w:tc>
        <w:tc>
          <w:tcPr>
            <w:tcW w:w="799" w:type="dxa"/>
            <w:gridSpan w:val="2"/>
            <w:shd w:val="clear" w:color="auto" w:fill="auto"/>
            <w:vAlign w:val="bottom"/>
          </w:tcPr>
          <w:p w:rsidR="00E5019F" w:rsidRPr="0071782F" w:rsidRDefault="003B48A4" w:rsidP="004F2D7C">
            <w:pPr>
              <w:suppressAutoHyphens w:val="0"/>
              <w:spacing w:before="40" w:after="40" w:line="220" w:lineRule="exact"/>
              <w:ind w:left="113"/>
              <w:rPr>
                <w:sz w:val="18"/>
                <w:lang w:val="fr-CH"/>
              </w:rPr>
            </w:pPr>
            <w:r w:rsidRPr="0071782F">
              <w:rPr>
                <w:sz w:val="18"/>
                <w:lang w:val="fr-CH"/>
              </w:rPr>
              <w:t>Nombre</w:t>
            </w:r>
          </w:p>
        </w:tc>
        <w:tc>
          <w:tcPr>
            <w:tcW w:w="700" w:type="dxa"/>
            <w:gridSpan w:val="2"/>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2 292</w:t>
            </w:r>
          </w:p>
        </w:tc>
        <w:tc>
          <w:tcPr>
            <w:tcW w:w="804"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w:t>
            </w:r>
            <w:r w:rsidR="00FF1C6B" w:rsidRPr="0071782F">
              <w:rPr>
                <w:sz w:val="18"/>
                <w:lang w:val="fr-CH"/>
              </w:rPr>
              <w:t>,</w:t>
            </w:r>
            <w:r w:rsidRPr="0071782F">
              <w:rPr>
                <w:sz w:val="18"/>
                <w:lang w:val="fr-CH"/>
              </w:rPr>
              <w:t>9</w:t>
            </w:r>
          </w:p>
        </w:tc>
      </w:tr>
      <w:tr w:rsidR="00E5019F" w:rsidRPr="0071782F">
        <w:tc>
          <w:tcPr>
            <w:tcW w:w="4410" w:type="dxa"/>
            <w:gridSpan w:val="3"/>
            <w:shd w:val="clear" w:color="auto" w:fill="auto"/>
          </w:tcPr>
          <w:p w:rsidR="00E5019F" w:rsidRPr="0071782F" w:rsidRDefault="00A053D6" w:rsidP="00FF1C6B">
            <w:pPr>
              <w:suppressAutoHyphens w:val="0"/>
              <w:spacing w:before="40" w:after="40" w:line="220" w:lineRule="exact"/>
              <w:rPr>
                <w:sz w:val="18"/>
                <w:lang w:val="fr-CH"/>
              </w:rPr>
            </w:pPr>
            <w:r w:rsidRPr="0071782F">
              <w:rPr>
                <w:sz w:val="18"/>
                <w:lang w:val="fr-CH"/>
              </w:rPr>
              <w:t>Lits actifs d’hôpital</w:t>
            </w:r>
            <w:r w:rsidR="00E5019F" w:rsidRPr="0071782F">
              <w:rPr>
                <w:i/>
                <w:sz w:val="18"/>
                <w:vertAlign w:val="superscript"/>
                <w:lang w:val="fr-CH"/>
              </w:rPr>
              <w:t>(2)</w:t>
            </w:r>
          </w:p>
        </w:tc>
        <w:tc>
          <w:tcPr>
            <w:tcW w:w="657" w:type="dxa"/>
            <w:shd w:val="clear" w:color="auto" w:fill="auto"/>
            <w:vAlign w:val="bottom"/>
          </w:tcPr>
          <w:p w:rsidR="00E5019F" w:rsidRPr="0071782F" w:rsidRDefault="003D24E8" w:rsidP="00FF1C6B">
            <w:pPr>
              <w:suppressAutoHyphens w:val="0"/>
              <w:spacing w:before="40" w:after="40" w:line="220" w:lineRule="exact"/>
              <w:jc w:val="right"/>
              <w:rPr>
                <w:sz w:val="18"/>
                <w:lang w:val="fr-CH"/>
              </w:rPr>
            </w:pPr>
            <w:r w:rsidRPr="0071782F">
              <w:rPr>
                <w:sz w:val="18"/>
                <w:lang w:val="fr-CH"/>
              </w:rPr>
              <w:t>–</w:t>
            </w:r>
          </w:p>
        </w:tc>
        <w:tc>
          <w:tcPr>
            <w:tcW w:w="799" w:type="dxa"/>
            <w:gridSpan w:val="2"/>
            <w:shd w:val="clear" w:color="auto" w:fill="auto"/>
            <w:vAlign w:val="bottom"/>
          </w:tcPr>
          <w:p w:rsidR="00E5019F" w:rsidRPr="0071782F" w:rsidRDefault="003D24E8" w:rsidP="004F2D7C">
            <w:pPr>
              <w:suppressAutoHyphens w:val="0"/>
              <w:spacing w:before="40" w:after="40" w:line="220" w:lineRule="exact"/>
              <w:ind w:left="113"/>
              <w:rPr>
                <w:sz w:val="18"/>
                <w:lang w:val="fr-CH"/>
              </w:rPr>
            </w:pPr>
            <w:r w:rsidRPr="0071782F">
              <w:rPr>
                <w:sz w:val="18"/>
                <w:lang w:val="fr-CH"/>
              </w:rPr>
              <w:t>–</w:t>
            </w:r>
          </w:p>
        </w:tc>
        <w:tc>
          <w:tcPr>
            <w:tcW w:w="700" w:type="dxa"/>
            <w:gridSpan w:val="2"/>
            <w:shd w:val="clear" w:color="auto" w:fill="auto"/>
            <w:vAlign w:val="bottom"/>
          </w:tcPr>
          <w:p w:rsidR="00E5019F" w:rsidRPr="0071782F" w:rsidRDefault="003D24E8" w:rsidP="00FF1C6B">
            <w:pPr>
              <w:suppressAutoHyphens w:val="0"/>
              <w:spacing w:before="40" w:after="40" w:line="220" w:lineRule="exact"/>
              <w:jc w:val="right"/>
              <w:rPr>
                <w:sz w:val="18"/>
                <w:lang w:val="fr-CH"/>
              </w:rPr>
            </w:pPr>
            <w:r w:rsidRPr="0071782F">
              <w:rPr>
                <w:sz w:val="18"/>
                <w:lang w:val="fr-CH"/>
              </w:rPr>
              <w:t>–</w:t>
            </w:r>
          </w:p>
        </w:tc>
        <w:tc>
          <w:tcPr>
            <w:tcW w:w="804" w:type="dxa"/>
            <w:shd w:val="clear" w:color="auto" w:fill="auto"/>
            <w:vAlign w:val="bottom"/>
          </w:tcPr>
          <w:p w:rsidR="00E5019F" w:rsidRPr="0071782F" w:rsidRDefault="003D24E8" w:rsidP="00FF1C6B">
            <w:pPr>
              <w:suppressAutoHyphens w:val="0"/>
              <w:spacing w:before="40" w:after="40" w:line="220" w:lineRule="exact"/>
              <w:jc w:val="right"/>
              <w:rPr>
                <w:sz w:val="18"/>
                <w:lang w:val="fr-CH"/>
              </w:rPr>
            </w:pPr>
            <w:r w:rsidRPr="0071782F">
              <w:rPr>
                <w:sz w:val="18"/>
                <w:lang w:val="fr-CH"/>
              </w:rPr>
              <w:t>–</w:t>
            </w:r>
          </w:p>
        </w:tc>
      </w:tr>
      <w:tr w:rsidR="00E5019F" w:rsidRPr="0071782F">
        <w:tc>
          <w:tcPr>
            <w:tcW w:w="4410" w:type="dxa"/>
            <w:gridSpan w:val="3"/>
            <w:shd w:val="clear" w:color="auto" w:fill="auto"/>
          </w:tcPr>
          <w:p w:rsidR="00E5019F" w:rsidRPr="0071782F" w:rsidRDefault="00A053D6" w:rsidP="00FF1C6B">
            <w:pPr>
              <w:suppressAutoHyphens w:val="0"/>
              <w:spacing w:before="40" w:after="40" w:line="220" w:lineRule="exact"/>
              <w:rPr>
                <w:sz w:val="18"/>
                <w:lang w:val="fr-CH"/>
              </w:rPr>
            </w:pPr>
            <w:r w:rsidRPr="0071782F">
              <w:rPr>
                <w:sz w:val="18"/>
                <w:lang w:val="fr-CH"/>
              </w:rPr>
              <w:t>Lits f</w:t>
            </w:r>
            <w:r w:rsidR="00E5019F" w:rsidRPr="0071782F">
              <w:rPr>
                <w:sz w:val="18"/>
                <w:lang w:val="fr-CH"/>
              </w:rPr>
              <w:t>ixe</w:t>
            </w:r>
            <w:r w:rsidRPr="0071782F">
              <w:rPr>
                <w:sz w:val="18"/>
                <w:lang w:val="fr-CH"/>
              </w:rPr>
              <w:t xml:space="preserve">s d’hôpital </w:t>
            </w:r>
            <w:r w:rsidR="00E5019F" w:rsidRPr="0071782F">
              <w:rPr>
                <w:i/>
                <w:sz w:val="18"/>
                <w:vertAlign w:val="superscript"/>
                <w:lang w:val="fr-CH"/>
              </w:rPr>
              <w:t>(1)</w:t>
            </w:r>
          </w:p>
        </w:tc>
        <w:tc>
          <w:tcPr>
            <w:tcW w:w="657"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2007</w:t>
            </w:r>
          </w:p>
        </w:tc>
        <w:tc>
          <w:tcPr>
            <w:tcW w:w="799" w:type="dxa"/>
            <w:gridSpan w:val="2"/>
            <w:shd w:val="clear" w:color="auto" w:fill="auto"/>
            <w:vAlign w:val="bottom"/>
          </w:tcPr>
          <w:p w:rsidR="00E5019F" w:rsidRPr="0071782F" w:rsidRDefault="003B48A4" w:rsidP="004F2D7C">
            <w:pPr>
              <w:suppressAutoHyphens w:val="0"/>
              <w:spacing w:before="40" w:after="40" w:line="220" w:lineRule="exact"/>
              <w:ind w:left="113"/>
              <w:rPr>
                <w:sz w:val="18"/>
                <w:lang w:val="fr-CH"/>
              </w:rPr>
            </w:pPr>
            <w:r w:rsidRPr="0071782F">
              <w:rPr>
                <w:sz w:val="18"/>
                <w:lang w:val="fr-CH"/>
              </w:rPr>
              <w:t>Nombre</w:t>
            </w:r>
          </w:p>
        </w:tc>
        <w:tc>
          <w:tcPr>
            <w:tcW w:w="700" w:type="dxa"/>
            <w:gridSpan w:val="2"/>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119 902</w:t>
            </w:r>
          </w:p>
        </w:tc>
        <w:tc>
          <w:tcPr>
            <w:tcW w:w="804" w:type="dxa"/>
            <w:shd w:val="clear" w:color="auto" w:fill="auto"/>
            <w:vAlign w:val="bottom"/>
          </w:tcPr>
          <w:p w:rsidR="00E5019F" w:rsidRPr="0071782F" w:rsidRDefault="00E5019F" w:rsidP="00FF1C6B">
            <w:pPr>
              <w:suppressAutoHyphens w:val="0"/>
              <w:spacing w:before="40" w:after="40" w:line="220" w:lineRule="exact"/>
              <w:jc w:val="right"/>
              <w:rPr>
                <w:sz w:val="18"/>
                <w:lang w:val="fr-CH"/>
              </w:rPr>
            </w:pPr>
            <w:r w:rsidRPr="0071782F">
              <w:rPr>
                <w:sz w:val="18"/>
                <w:lang w:val="fr-CH"/>
              </w:rPr>
              <w:t>3</w:t>
            </w:r>
            <w:r w:rsidR="00FF1C6B" w:rsidRPr="0071782F">
              <w:rPr>
                <w:sz w:val="18"/>
                <w:lang w:val="fr-CH"/>
              </w:rPr>
              <w:t>,</w:t>
            </w:r>
            <w:r w:rsidRPr="0071782F">
              <w:rPr>
                <w:sz w:val="18"/>
                <w:lang w:val="fr-CH"/>
              </w:rPr>
              <w:t>3</w:t>
            </w:r>
          </w:p>
        </w:tc>
      </w:tr>
      <w:tr w:rsidR="00E5019F" w:rsidRPr="0071782F">
        <w:tblPrEx>
          <w:tblBorders>
            <w:top w:val="none" w:sz="0" w:space="0" w:color="auto"/>
            <w:bottom w:val="none" w:sz="0" w:space="0" w:color="auto"/>
          </w:tblBorders>
        </w:tblPrEx>
        <w:tc>
          <w:tcPr>
            <w:tcW w:w="2977" w:type="dxa"/>
            <w:tcBorders>
              <w:top w:val="single" w:sz="12" w:space="0" w:color="auto"/>
            </w:tcBorders>
            <w:shd w:val="clear" w:color="auto" w:fill="auto"/>
            <w:vAlign w:val="bottom"/>
          </w:tcPr>
          <w:p w:rsidR="00E5019F" w:rsidRPr="0071782F" w:rsidRDefault="00E5019F" w:rsidP="00946A73">
            <w:pPr>
              <w:keepNext/>
              <w:suppressAutoHyphens w:val="0"/>
              <w:spacing w:before="40" w:after="40" w:line="220" w:lineRule="exact"/>
              <w:rPr>
                <w:sz w:val="18"/>
                <w:lang w:val="fr-CH"/>
              </w:rPr>
            </w:pPr>
            <w:r w:rsidRPr="0071782F">
              <w:rPr>
                <w:sz w:val="18"/>
                <w:lang w:val="fr-CH"/>
              </w:rPr>
              <w:t xml:space="preserve">Ratio </w:t>
            </w:r>
            <w:r w:rsidR="00A053D6" w:rsidRPr="0071782F">
              <w:rPr>
                <w:sz w:val="18"/>
                <w:lang w:val="fr-CH"/>
              </w:rPr>
              <w:t>lits actifs/</w:t>
            </w:r>
            <w:r w:rsidRPr="0071782F">
              <w:rPr>
                <w:sz w:val="18"/>
                <w:lang w:val="fr-CH"/>
              </w:rPr>
              <w:t>population</w:t>
            </w:r>
            <w:r w:rsidRPr="0071782F">
              <w:rPr>
                <w:i/>
                <w:sz w:val="18"/>
                <w:vertAlign w:val="superscript"/>
                <w:lang w:val="fr-CH"/>
              </w:rPr>
              <w:t>(1)</w:t>
            </w:r>
          </w:p>
        </w:tc>
        <w:tc>
          <w:tcPr>
            <w:tcW w:w="992" w:type="dxa"/>
            <w:tcBorders>
              <w:top w:val="single" w:sz="12" w:space="0" w:color="auto"/>
            </w:tcBorders>
            <w:shd w:val="clear" w:color="auto" w:fill="auto"/>
            <w:vAlign w:val="bottom"/>
          </w:tcPr>
          <w:p w:rsidR="00E5019F" w:rsidRPr="0071782F" w:rsidRDefault="00E5019F" w:rsidP="00946A73">
            <w:pPr>
              <w:keepNext/>
              <w:suppressAutoHyphens w:val="0"/>
              <w:spacing w:before="40" w:after="40" w:line="220" w:lineRule="exact"/>
              <w:jc w:val="right"/>
              <w:rPr>
                <w:sz w:val="18"/>
                <w:lang w:val="fr-CH"/>
              </w:rPr>
            </w:pPr>
            <w:r w:rsidRPr="0071782F">
              <w:rPr>
                <w:sz w:val="18"/>
                <w:lang w:val="fr-CH"/>
              </w:rPr>
              <w:t>2006</w:t>
            </w:r>
          </w:p>
        </w:tc>
        <w:tc>
          <w:tcPr>
            <w:tcW w:w="1701" w:type="dxa"/>
            <w:gridSpan w:val="3"/>
            <w:tcBorders>
              <w:top w:val="single" w:sz="12" w:space="0" w:color="auto"/>
            </w:tcBorders>
            <w:shd w:val="clear" w:color="auto" w:fill="auto"/>
            <w:vAlign w:val="bottom"/>
          </w:tcPr>
          <w:p w:rsidR="00E5019F" w:rsidRPr="0071782F" w:rsidRDefault="00E5019F" w:rsidP="00946A73">
            <w:pPr>
              <w:keepNext/>
              <w:suppressAutoHyphens w:val="0"/>
              <w:spacing w:before="40" w:after="40" w:line="220" w:lineRule="exact"/>
              <w:ind w:left="113"/>
              <w:rPr>
                <w:sz w:val="18"/>
                <w:lang w:val="fr-CH"/>
              </w:rPr>
            </w:pPr>
            <w:r w:rsidRPr="0071782F">
              <w:rPr>
                <w:sz w:val="18"/>
                <w:lang w:val="fr-CH"/>
              </w:rPr>
              <w:t>P</w:t>
            </w:r>
            <w:r w:rsidR="00A053D6" w:rsidRPr="0071782F">
              <w:rPr>
                <w:sz w:val="18"/>
                <w:lang w:val="fr-CH"/>
              </w:rPr>
              <w:t>ou</w:t>
            </w:r>
            <w:r w:rsidRPr="0071782F">
              <w:rPr>
                <w:sz w:val="18"/>
                <w:lang w:val="fr-CH"/>
              </w:rPr>
              <w:t>r 1</w:t>
            </w:r>
            <w:r w:rsidR="00A053D6" w:rsidRPr="0071782F">
              <w:rPr>
                <w:sz w:val="18"/>
                <w:lang w:val="fr-CH"/>
              </w:rPr>
              <w:t xml:space="preserve"> </w:t>
            </w:r>
            <w:r w:rsidRPr="0071782F">
              <w:rPr>
                <w:sz w:val="18"/>
                <w:lang w:val="fr-CH"/>
              </w:rPr>
              <w:t>000</w:t>
            </w:r>
            <w:r w:rsidR="00BF435F" w:rsidRPr="0071782F">
              <w:rPr>
                <w:sz w:val="18"/>
                <w:lang w:val="fr-CH"/>
              </w:rPr>
              <w:t> habitants</w:t>
            </w:r>
          </w:p>
        </w:tc>
        <w:tc>
          <w:tcPr>
            <w:tcW w:w="851" w:type="dxa"/>
            <w:gridSpan w:val="2"/>
            <w:tcBorders>
              <w:top w:val="single" w:sz="12" w:space="0" w:color="auto"/>
            </w:tcBorders>
            <w:shd w:val="clear" w:color="auto" w:fill="auto"/>
            <w:vAlign w:val="bottom"/>
          </w:tcPr>
          <w:p w:rsidR="00E5019F" w:rsidRPr="0071782F" w:rsidRDefault="00E5019F" w:rsidP="00946A73">
            <w:pPr>
              <w:keepNext/>
              <w:suppressAutoHyphens w:val="0"/>
              <w:spacing w:before="40" w:after="40" w:line="220" w:lineRule="exact"/>
              <w:jc w:val="right"/>
              <w:rPr>
                <w:sz w:val="18"/>
                <w:lang w:val="fr-CH"/>
              </w:rPr>
            </w:pPr>
            <w:r w:rsidRPr="0071782F">
              <w:rPr>
                <w:sz w:val="18"/>
                <w:lang w:val="fr-CH"/>
              </w:rPr>
              <w:t>1/4</w:t>
            </w:r>
          </w:p>
        </w:tc>
        <w:tc>
          <w:tcPr>
            <w:tcW w:w="849" w:type="dxa"/>
            <w:gridSpan w:val="2"/>
            <w:tcBorders>
              <w:top w:val="single" w:sz="12" w:space="0" w:color="auto"/>
            </w:tcBorders>
            <w:shd w:val="clear" w:color="auto" w:fill="auto"/>
            <w:vAlign w:val="bottom"/>
          </w:tcPr>
          <w:p w:rsidR="00E5019F" w:rsidRPr="0071782F" w:rsidRDefault="00E5019F" w:rsidP="00946A73">
            <w:pPr>
              <w:keepNext/>
              <w:suppressAutoHyphens w:val="0"/>
              <w:spacing w:before="40" w:after="40" w:line="220" w:lineRule="exact"/>
              <w:jc w:val="right"/>
              <w:rPr>
                <w:sz w:val="18"/>
                <w:lang w:val="fr-CH"/>
              </w:rPr>
            </w:pPr>
            <w:r w:rsidRPr="0071782F">
              <w:rPr>
                <w:sz w:val="18"/>
                <w:lang w:val="fr-CH"/>
              </w:rPr>
              <w:t>2/6</w:t>
            </w:r>
          </w:p>
        </w:tc>
      </w:tr>
      <w:tr w:rsidR="00E5019F" w:rsidRPr="0071782F">
        <w:tblPrEx>
          <w:tblBorders>
            <w:top w:val="none" w:sz="0" w:space="0" w:color="auto"/>
            <w:bottom w:val="none" w:sz="0" w:space="0" w:color="auto"/>
          </w:tblBorders>
        </w:tblPrEx>
        <w:tc>
          <w:tcPr>
            <w:tcW w:w="2977" w:type="dxa"/>
            <w:shd w:val="clear" w:color="auto" w:fill="auto"/>
            <w:vAlign w:val="bottom"/>
          </w:tcPr>
          <w:p w:rsidR="00E5019F" w:rsidRPr="0071782F" w:rsidRDefault="00A053D6" w:rsidP="00946A73">
            <w:pPr>
              <w:keepNext/>
              <w:suppressAutoHyphens w:val="0"/>
              <w:spacing w:before="40" w:after="40" w:line="220" w:lineRule="exact"/>
              <w:rPr>
                <w:sz w:val="18"/>
                <w:lang w:val="fr-CH"/>
              </w:rPr>
            </w:pPr>
            <w:r w:rsidRPr="0071782F">
              <w:rPr>
                <w:sz w:val="18"/>
                <w:lang w:val="fr-CH"/>
              </w:rPr>
              <w:t>Ratio lits actifs/population</w:t>
            </w:r>
            <w:r w:rsidRPr="0071782F">
              <w:rPr>
                <w:i/>
                <w:sz w:val="18"/>
                <w:vertAlign w:val="superscript"/>
                <w:lang w:val="fr-CH"/>
              </w:rPr>
              <w:t xml:space="preserve"> </w:t>
            </w:r>
            <w:r w:rsidR="00E5019F" w:rsidRPr="0071782F">
              <w:rPr>
                <w:i/>
                <w:sz w:val="18"/>
                <w:vertAlign w:val="superscript"/>
                <w:lang w:val="fr-CH"/>
              </w:rPr>
              <w:t>(1)</w:t>
            </w:r>
          </w:p>
        </w:tc>
        <w:tc>
          <w:tcPr>
            <w:tcW w:w="992" w:type="dxa"/>
            <w:shd w:val="clear" w:color="auto" w:fill="auto"/>
            <w:vAlign w:val="bottom"/>
          </w:tcPr>
          <w:p w:rsidR="00E5019F" w:rsidRPr="0071782F" w:rsidRDefault="00E5019F" w:rsidP="00946A73">
            <w:pPr>
              <w:keepNext/>
              <w:suppressAutoHyphens w:val="0"/>
              <w:spacing w:before="40" w:after="40" w:line="220" w:lineRule="exact"/>
              <w:jc w:val="right"/>
              <w:rPr>
                <w:sz w:val="18"/>
                <w:lang w:val="fr-CH"/>
              </w:rPr>
            </w:pPr>
            <w:r w:rsidRPr="0071782F">
              <w:rPr>
                <w:sz w:val="18"/>
                <w:lang w:val="fr-CH"/>
              </w:rPr>
              <w:t>2007</w:t>
            </w:r>
          </w:p>
        </w:tc>
        <w:tc>
          <w:tcPr>
            <w:tcW w:w="1701" w:type="dxa"/>
            <w:gridSpan w:val="3"/>
            <w:shd w:val="clear" w:color="auto" w:fill="auto"/>
            <w:vAlign w:val="bottom"/>
          </w:tcPr>
          <w:p w:rsidR="00E5019F" w:rsidRPr="0071782F" w:rsidRDefault="00E5019F" w:rsidP="00946A73">
            <w:pPr>
              <w:keepNext/>
              <w:suppressAutoHyphens w:val="0"/>
              <w:spacing w:before="40" w:after="40" w:line="220" w:lineRule="exact"/>
              <w:ind w:left="113"/>
              <w:rPr>
                <w:sz w:val="18"/>
                <w:lang w:val="fr-CH"/>
              </w:rPr>
            </w:pPr>
            <w:r w:rsidRPr="0071782F">
              <w:rPr>
                <w:sz w:val="18"/>
                <w:lang w:val="fr-CH"/>
              </w:rPr>
              <w:t>P</w:t>
            </w:r>
            <w:r w:rsidR="00A053D6" w:rsidRPr="0071782F">
              <w:rPr>
                <w:sz w:val="18"/>
                <w:lang w:val="fr-CH"/>
              </w:rPr>
              <w:t>ou</w:t>
            </w:r>
            <w:r w:rsidRPr="0071782F">
              <w:rPr>
                <w:sz w:val="18"/>
                <w:lang w:val="fr-CH"/>
              </w:rPr>
              <w:t>r 1</w:t>
            </w:r>
            <w:r w:rsidR="00A053D6" w:rsidRPr="0071782F">
              <w:rPr>
                <w:sz w:val="18"/>
                <w:lang w:val="fr-CH"/>
              </w:rPr>
              <w:t> </w:t>
            </w:r>
            <w:r w:rsidRPr="0071782F">
              <w:rPr>
                <w:sz w:val="18"/>
                <w:lang w:val="fr-CH"/>
              </w:rPr>
              <w:t>000</w:t>
            </w:r>
            <w:r w:rsidR="00BF435F" w:rsidRPr="0071782F">
              <w:rPr>
                <w:sz w:val="18"/>
                <w:lang w:val="fr-CH"/>
              </w:rPr>
              <w:t> habitants</w:t>
            </w:r>
            <w:r w:rsidR="00A053D6" w:rsidRPr="0071782F">
              <w:rPr>
                <w:sz w:val="18"/>
                <w:lang w:val="fr-CH"/>
              </w:rPr>
              <w:t xml:space="preserve"> </w:t>
            </w:r>
          </w:p>
        </w:tc>
        <w:tc>
          <w:tcPr>
            <w:tcW w:w="851" w:type="dxa"/>
            <w:gridSpan w:val="2"/>
            <w:shd w:val="clear" w:color="auto" w:fill="auto"/>
            <w:vAlign w:val="bottom"/>
          </w:tcPr>
          <w:p w:rsidR="00E5019F" w:rsidRPr="0071782F" w:rsidRDefault="00E5019F" w:rsidP="00946A73">
            <w:pPr>
              <w:keepNext/>
              <w:suppressAutoHyphens w:val="0"/>
              <w:spacing w:before="40" w:after="40" w:line="220" w:lineRule="exact"/>
              <w:jc w:val="right"/>
              <w:rPr>
                <w:sz w:val="18"/>
                <w:lang w:val="fr-CH"/>
              </w:rPr>
            </w:pPr>
            <w:r w:rsidRPr="0071782F">
              <w:rPr>
                <w:sz w:val="18"/>
                <w:lang w:val="fr-CH"/>
              </w:rPr>
              <w:t>1/7</w:t>
            </w:r>
          </w:p>
        </w:tc>
        <w:tc>
          <w:tcPr>
            <w:tcW w:w="849" w:type="dxa"/>
            <w:gridSpan w:val="2"/>
            <w:shd w:val="clear" w:color="auto" w:fill="auto"/>
            <w:vAlign w:val="bottom"/>
          </w:tcPr>
          <w:p w:rsidR="00E5019F" w:rsidRPr="0071782F" w:rsidRDefault="00E5019F" w:rsidP="00946A73">
            <w:pPr>
              <w:keepNext/>
              <w:suppressAutoHyphens w:val="0"/>
              <w:spacing w:before="40" w:after="40" w:line="220" w:lineRule="exact"/>
              <w:jc w:val="right"/>
              <w:rPr>
                <w:sz w:val="18"/>
                <w:lang w:val="fr-CH"/>
              </w:rPr>
            </w:pPr>
            <w:r w:rsidRPr="0071782F">
              <w:rPr>
                <w:sz w:val="18"/>
                <w:lang w:val="fr-CH"/>
              </w:rPr>
              <w:t>0/0</w:t>
            </w:r>
          </w:p>
        </w:tc>
      </w:tr>
      <w:tr w:rsidR="00E5019F" w:rsidRPr="0071782F">
        <w:tblPrEx>
          <w:tblBorders>
            <w:top w:val="none" w:sz="0" w:space="0" w:color="auto"/>
            <w:bottom w:val="none" w:sz="0" w:space="0" w:color="auto"/>
          </w:tblBorders>
        </w:tblPrEx>
        <w:tc>
          <w:tcPr>
            <w:tcW w:w="2977" w:type="dxa"/>
            <w:shd w:val="clear" w:color="auto" w:fill="auto"/>
            <w:vAlign w:val="bottom"/>
          </w:tcPr>
          <w:p w:rsidR="00E5019F" w:rsidRPr="0071782F" w:rsidRDefault="003B48A4" w:rsidP="00946A73">
            <w:pPr>
              <w:keepNext/>
              <w:suppressAutoHyphens w:val="0"/>
              <w:spacing w:before="40" w:after="40" w:line="220" w:lineRule="exact"/>
              <w:rPr>
                <w:sz w:val="18"/>
                <w:lang w:val="fr-CH"/>
              </w:rPr>
            </w:pPr>
            <w:r w:rsidRPr="0071782F">
              <w:rPr>
                <w:sz w:val="18"/>
                <w:lang w:val="fr-CH"/>
              </w:rPr>
              <w:t>Nombre</w:t>
            </w:r>
            <w:r w:rsidR="00E5019F" w:rsidRPr="0071782F">
              <w:rPr>
                <w:sz w:val="18"/>
                <w:lang w:val="fr-CH"/>
              </w:rPr>
              <w:t xml:space="preserve"> </w:t>
            </w:r>
            <w:r w:rsidR="00A053D6" w:rsidRPr="0071782F">
              <w:rPr>
                <w:sz w:val="18"/>
                <w:lang w:val="fr-CH"/>
              </w:rPr>
              <w:t>de cas de VIH</w:t>
            </w:r>
            <w:r w:rsidR="00E5019F" w:rsidRPr="0071782F">
              <w:rPr>
                <w:sz w:val="18"/>
                <w:lang w:val="fr-CH"/>
              </w:rPr>
              <w:t xml:space="preserve">+ </w:t>
            </w:r>
            <w:r w:rsidR="00A053D6" w:rsidRPr="0071782F">
              <w:rPr>
                <w:sz w:val="18"/>
                <w:lang w:val="fr-CH"/>
              </w:rPr>
              <w:t>et de sida</w:t>
            </w:r>
          </w:p>
        </w:tc>
        <w:tc>
          <w:tcPr>
            <w:tcW w:w="992" w:type="dxa"/>
            <w:shd w:val="clear" w:color="auto" w:fill="auto"/>
            <w:vAlign w:val="bottom"/>
          </w:tcPr>
          <w:p w:rsidR="00E5019F" w:rsidRPr="0071782F" w:rsidRDefault="00E5019F" w:rsidP="00946A73">
            <w:pPr>
              <w:keepNext/>
              <w:suppressAutoHyphens w:val="0"/>
              <w:spacing w:before="40" w:after="40" w:line="220" w:lineRule="exact"/>
              <w:jc w:val="right"/>
              <w:rPr>
                <w:sz w:val="18"/>
                <w:lang w:val="fr-CH"/>
              </w:rPr>
            </w:pPr>
            <w:r w:rsidRPr="0071782F">
              <w:rPr>
                <w:sz w:val="18"/>
                <w:lang w:val="fr-CH"/>
              </w:rPr>
              <w:t>2008</w:t>
            </w:r>
          </w:p>
        </w:tc>
        <w:tc>
          <w:tcPr>
            <w:tcW w:w="1701" w:type="dxa"/>
            <w:gridSpan w:val="3"/>
            <w:shd w:val="clear" w:color="auto" w:fill="auto"/>
            <w:vAlign w:val="bottom"/>
          </w:tcPr>
          <w:p w:rsidR="00E5019F" w:rsidRPr="0071782F" w:rsidRDefault="00E5019F" w:rsidP="00946A73">
            <w:pPr>
              <w:keepNext/>
              <w:suppressAutoHyphens w:val="0"/>
              <w:spacing w:before="40" w:after="40" w:line="220" w:lineRule="exact"/>
              <w:ind w:left="113"/>
              <w:rPr>
                <w:sz w:val="18"/>
                <w:lang w:val="fr-CH"/>
              </w:rPr>
            </w:pPr>
            <w:r w:rsidRPr="0071782F">
              <w:rPr>
                <w:sz w:val="18"/>
                <w:lang w:val="fr-CH"/>
              </w:rPr>
              <w:t>Person</w:t>
            </w:r>
            <w:r w:rsidR="00A053D6" w:rsidRPr="0071782F">
              <w:rPr>
                <w:sz w:val="18"/>
                <w:lang w:val="fr-CH"/>
              </w:rPr>
              <w:t>nes</w:t>
            </w:r>
          </w:p>
        </w:tc>
        <w:tc>
          <w:tcPr>
            <w:tcW w:w="851" w:type="dxa"/>
            <w:gridSpan w:val="2"/>
            <w:shd w:val="clear" w:color="auto" w:fill="auto"/>
            <w:vAlign w:val="bottom"/>
          </w:tcPr>
          <w:p w:rsidR="00E5019F" w:rsidRPr="0071782F" w:rsidRDefault="00E5019F" w:rsidP="00946A73">
            <w:pPr>
              <w:keepNext/>
              <w:suppressAutoHyphens w:val="0"/>
              <w:spacing w:before="40" w:after="40" w:line="220" w:lineRule="exact"/>
              <w:jc w:val="right"/>
              <w:rPr>
                <w:sz w:val="18"/>
                <w:lang w:val="fr-CH"/>
              </w:rPr>
            </w:pPr>
            <w:r w:rsidRPr="0071782F">
              <w:rPr>
                <w:sz w:val="18"/>
                <w:lang w:val="fr-CH"/>
              </w:rPr>
              <w:t>21 310</w:t>
            </w:r>
          </w:p>
        </w:tc>
        <w:tc>
          <w:tcPr>
            <w:tcW w:w="849" w:type="dxa"/>
            <w:gridSpan w:val="2"/>
            <w:shd w:val="clear" w:color="auto" w:fill="auto"/>
            <w:vAlign w:val="bottom"/>
          </w:tcPr>
          <w:p w:rsidR="00E5019F" w:rsidRPr="0071782F" w:rsidRDefault="00E5019F" w:rsidP="00946A73">
            <w:pPr>
              <w:keepNext/>
              <w:suppressAutoHyphens w:val="0"/>
              <w:spacing w:before="40" w:after="40" w:line="220" w:lineRule="exact"/>
              <w:jc w:val="right"/>
              <w:rPr>
                <w:sz w:val="18"/>
                <w:lang w:val="fr-CH"/>
              </w:rPr>
            </w:pPr>
            <w:r w:rsidRPr="0071782F">
              <w:rPr>
                <w:sz w:val="18"/>
                <w:lang w:val="fr-CH"/>
              </w:rPr>
              <w:t>…</w:t>
            </w:r>
          </w:p>
        </w:tc>
      </w:tr>
      <w:tr w:rsidR="00E5019F" w:rsidRPr="0071782F">
        <w:tblPrEx>
          <w:tblBorders>
            <w:top w:val="none" w:sz="0" w:space="0" w:color="auto"/>
            <w:bottom w:val="none" w:sz="0" w:space="0" w:color="auto"/>
          </w:tblBorders>
        </w:tblPrEx>
        <w:tc>
          <w:tcPr>
            <w:tcW w:w="2977" w:type="dxa"/>
            <w:tcBorders>
              <w:bottom w:val="single" w:sz="12" w:space="0" w:color="auto"/>
            </w:tcBorders>
            <w:shd w:val="clear" w:color="auto" w:fill="auto"/>
            <w:vAlign w:val="bottom"/>
          </w:tcPr>
          <w:p w:rsidR="00E5019F" w:rsidRPr="0071782F" w:rsidRDefault="00A053D6" w:rsidP="00946A73">
            <w:pPr>
              <w:keepNext/>
              <w:suppressAutoHyphens w:val="0"/>
              <w:spacing w:before="40" w:after="40" w:line="220" w:lineRule="exact"/>
              <w:rPr>
                <w:sz w:val="18"/>
                <w:lang w:val="fr-CH"/>
              </w:rPr>
            </w:pPr>
            <w:r w:rsidRPr="0071782F">
              <w:rPr>
                <w:sz w:val="18"/>
                <w:lang w:val="fr-CH"/>
              </w:rPr>
              <w:t>Cas de t</w:t>
            </w:r>
            <w:r w:rsidR="00E5019F" w:rsidRPr="0071782F">
              <w:rPr>
                <w:sz w:val="18"/>
                <w:lang w:val="fr-CH"/>
              </w:rPr>
              <w:t>uberculos</w:t>
            </w:r>
            <w:r w:rsidRPr="0071782F">
              <w:rPr>
                <w:sz w:val="18"/>
                <w:lang w:val="fr-CH"/>
              </w:rPr>
              <w:t>e</w:t>
            </w:r>
          </w:p>
        </w:tc>
        <w:tc>
          <w:tcPr>
            <w:tcW w:w="992" w:type="dxa"/>
            <w:tcBorders>
              <w:bottom w:val="single" w:sz="12" w:space="0" w:color="auto"/>
            </w:tcBorders>
            <w:shd w:val="clear" w:color="auto" w:fill="auto"/>
            <w:vAlign w:val="bottom"/>
          </w:tcPr>
          <w:p w:rsidR="00E5019F" w:rsidRPr="0071782F" w:rsidRDefault="00E5019F" w:rsidP="00946A73">
            <w:pPr>
              <w:keepNext/>
              <w:suppressAutoHyphens w:val="0"/>
              <w:spacing w:before="40" w:after="40" w:line="220" w:lineRule="exact"/>
              <w:jc w:val="right"/>
              <w:rPr>
                <w:sz w:val="18"/>
                <w:lang w:val="fr-CH"/>
              </w:rPr>
            </w:pPr>
            <w:r w:rsidRPr="0071782F">
              <w:rPr>
                <w:sz w:val="18"/>
                <w:lang w:val="fr-CH"/>
              </w:rPr>
              <w:t>2009</w:t>
            </w:r>
          </w:p>
        </w:tc>
        <w:tc>
          <w:tcPr>
            <w:tcW w:w="1701" w:type="dxa"/>
            <w:gridSpan w:val="3"/>
            <w:tcBorders>
              <w:bottom w:val="single" w:sz="12" w:space="0" w:color="auto"/>
            </w:tcBorders>
            <w:shd w:val="clear" w:color="auto" w:fill="auto"/>
            <w:vAlign w:val="bottom"/>
          </w:tcPr>
          <w:p w:rsidR="00E5019F" w:rsidRPr="0071782F" w:rsidRDefault="00A053D6" w:rsidP="00946A73">
            <w:pPr>
              <w:keepNext/>
              <w:suppressAutoHyphens w:val="0"/>
              <w:spacing w:before="40" w:after="40" w:line="220" w:lineRule="exact"/>
              <w:ind w:left="113"/>
              <w:rPr>
                <w:sz w:val="18"/>
                <w:lang w:val="fr-CH"/>
              </w:rPr>
            </w:pPr>
            <w:r w:rsidRPr="0071782F">
              <w:rPr>
                <w:sz w:val="18"/>
                <w:lang w:val="fr-CH"/>
              </w:rPr>
              <w:t xml:space="preserve">100 </w:t>
            </w:r>
            <w:r w:rsidR="00E5019F" w:rsidRPr="0071782F">
              <w:rPr>
                <w:sz w:val="18"/>
                <w:lang w:val="fr-CH"/>
              </w:rPr>
              <w:t>000</w:t>
            </w:r>
            <w:r w:rsidR="00097CDB" w:rsidRPr="0071782F">
              <w:rPr>
                <w:sz w:val="18"/>
                <w:lang w:val="fr-CH"/>
              </w:rPr>
              <w:t> personnes</w:t>
            </w:r>
          </w:p>
        </w:tc>
        <w:tc>
          <w:tcPr>
            <w:tcW w:w="851" w:type="dxa"/>
            <w:gridSpan w:val="2"/>
            <w:tcBorders>
              <w:bottom w:val="single" w:sz="12" w:space="0" w:color="auto"/>
            </w:tcBorders>
            <w:shd w:val="clear" w:color="auto" w:fill="auto"/>
            <w:vAlign w:val="bottom"/>
          </w:tcPr>
          <w:p w:rsidR="00E5019F" w:rsidRPr="0071782F" w:rsidRDefault="00E5019F" w:rsidP="00946A73">
            <w:pPr>
              <w:keepNext/>
              <w:suppressAutoHyphens w:val="0"/>
              <w:spacing w:before="40" w:after="40" w:line="220" w:lineRule="exact"/>
              <w:jc w:val="right"/>
              <w:rPr>
                <w:sz w:val="18"/>
                <w:lang w:val="fr-CH"/>
              </w:rPr>
            </w:pPr>
            <w:r w:rsidRPr="0071782F">
              <w:rPr>
                <w:sz w:val="18"/>
                <w:lang w:val="fr-CH"/>
              </w:rPr>
              <w:t>13/6</w:t>
            </w:r>
          </w:p>
        </w:tc>
        <w:tc>
          <w:tcPr>
            <w:tcW w:w="849" w:type="dxa"/>
            <w:gridSpan w:val="2"/>
            <w:tcBorders>
              <w:bottom w:val="single" w:sz="12" w:space="0" w:color="auto"/>
            </w:tcBorders>
            <w:shd w:val="clear" w:color="auto" w:fill="auto"/>
            <w:vAlign w:val="bottom"/>
          </w:tcPr>
          <w:p w:rsidR="00E5019F" w:rsidRPr="0071782F" w:rsidRDefault="00E5019F" w:rsidP="00946A73">
            <w:pPr>
              <w:keepNext/>
              <w:suppressAutoHyphens w:val="0"/>
              <w:spacing w:before="40" w:after="40" w:line="220" w:lineRule="exact"/>
              <w:jc w:val="right"/>
              <w:rPr>
                <w:sz w:val="18"/>
                <w:lang w:val="fr-CH"/>
              </w:rPr>
            </w:pPr>
            <w:r w:rsidRPr="0071782F">
              <w:rPr>
                <w:sz w:val="18"/>
                <w:lang w:val="fr-CH"/>
              </w:rPr>
              <w:t>…</w:t>
            </w:r>
          </w:p>
        </w:tc>
      </w:tr>
    </w:tbl>
    <w:p w:rsidR="00E5019F" w:rsidRPr="0071782F" w:rsidRDefault="00E5019F" w:rsidP="0021095C">
      <w:pPr>
        <w:spacing w:before="120"/>
        <w:ind w:left="1134" w:right="1134" w:firstLine="170"/>
        <w:rPr>
          <w:sz w:val="18"/>
          <w:lang w:val="fr-CH"/>
        </w:rPr>
      </w:pPr>
      <w:r w:rsidRPr="0071782F">
        <w:rPr>
          <w:i/>
          <w:sz w:val="18"/>
          <w:lang w:val="fr-CH"/>
        </w:rPr>
        <w:t>Source</w:t>
      </w:r>
      <w:r w:rsidR="008F7D33" w:rsidRPr="0071782F">
        <w:rPr>
          <w:i/>
          <w:sz w:val="18"/>
          <w:lang w:val="fr-CH"/>
        </w:rPr>
        <w:t>:</w:t>
      </w:r>
      <w:r w:rsidRPr="0071782F">
        <w:rPr>
          <w:sz w:val="18"/>
          <w:lang w:val="fr-CH"/>
        </w:rPr>
        <w:t xml:space="preserve"> Minist</w:t>
      </w:r>
      <w:r w:rsidR="00A053D6" w:rsidRPr="0071782F">
        <w:rPr>
          <w:sz w:val="18"/>
          <w:lang w:val="fr-CH"/>
        </w:rPr>
        <w:t>ère de la santé et de la formation médicale</w:t>
      </w:r>
      <w:r w:rsidRPr="0071782F">
        <w:rPr>
          <w:sz w:val="18"/>
          <w:lang w:val="fr-CH"/>
        </w:rPr>
        <w:t>.</w:t>
      </w:r>
    </w:p>
    <w:p w:rsidR="00E5019F" w:rsidRPr="0071782F" w:rsidRDefault="00E5019F" w:rsidP="00E5019F">
      <w:pPr>
        <w:ind w:left="1134" w:right="1134" w:firstLine="170"/>
        <w:rPr>
          <w:sz w:val="18"/>
          <w:lang w:val="fr-CH"/>
        </w:rPr>
      </w:pPr>
      <w:r w:rsidRPr="0071782F">
        <w:rPr>
          <w:i/>
          <w:sz w:val="18"/>
          <w:vertAlign w:val="superscript"/>
          <w:lang w:val="fr-CH"/>
        </w:rPr>
        <w:t>(1)</w:t>
      </w:r>
      <w:r w:rsidR="0021095C" w:rsidRPr="0071782F">
        <w:rPr>
          <w:sz w:val="18"/>
          <w:lang w:val="fr-CH"/>
        </w:rPr>
        <w:t xml:space="preserve">  </w:t>
      </w:r>
      <w:r w:rsidR="00A053D6" w:rsidRPr="0071782F">
        <w:rPr>
          <w:sz w:val="18"/>
          <w:lang w:val="fr-CH"/>
        </w:rPr>
        <w:t xml:space="preserve">À l’exclusion </w:t>
      </w:r>
      <w:r w:rsidR="00A83442">
        <w:rPr>
          <w:sz w:val="18"/>
          <w:lang w:val="fr-CH"/>
        </w:rPr>
        <w:t>des unités</w:t>
      </w:r>
      <w:r w:rsidR="00A053D6" w:rsidRPr="0071782F">
        <w:rPr>
          <w:sz w:val="18"/>
          <w:lang w:val="fr-CH"/>
        </w:rPr>
        <w:t xml:space="preserve"> de l’armée et de la Garde révolutionnaire</w:t>
      </w:r>
      <w:r w:rsidRPr="0071782F">
        <w:rPr>
          <w:sz w:val="18"/>
          <w:lang w:val="fr-CH"/>
        </w:rPr>
        <w:t>.</w:t>
      </w:r>
    </w:p>
    <w:p w:rsidR="00E5019F" w:rsidRPr="0071782F" w:rsidRDefault="00E5019F" w:rsidP="008520EF">
      <w:pPr>
        <w:spacing w:after="240"/>
        <w:ind w:left="1134" w:right="1134" w:firstLine="170"/>
        <w:rPr>
          <w:sz w:val="18"/>
          <w:lang w:val="fr-CH"/>
        </w:rPr>
      </w:pPr>
      <w:r w:rsidRPr="0071782F">
        <w:rPr>
          <w:i/>
          <w:sz w:val="18"/>
          <w:vertAlign w:val="superscript"/>
          <w:lang w:val="fr-CH"/>
        </w:rPr>
        <w:t>(2)</w:t>
      </w:r>
      <w:r w:rsidR="0021095C" w:rsidRPr="008613E1">
        <w:rPr>
          <w:sz w:val="18"/>
          <w:lang w:val="fr-CH"/>
        </w:rPr>
        <w:t xml:space="preserve">  </w:t>
      </w:r>
      <w:r w:rsidR="00A053D6" w:rsidRPr="0071782F">
        <w:rPr>
          <w:sz w:val="18"/>
          <w:lang w:val="fr-CH"/>
        </w:rPr>
        <w:t>Information non encore reçue au moment de la publication du présent rapport</w:t>
      </w:r>
      <w:r w:rsidRPr="0071782F">
        <w:rPr>
          <w:sz w:val="18"/>
          <w:lang w:val="fr-CH"/>
        </w:rPr>
        <w:t>.</w:t>
      </w:r>
    </w:p>
    <w:p w:rsidR="00E5019F" w:rsidRPr="0071782F" w:rsidRDefault="00E5019F" w:rsidP="00E5019F">
      <w:pPr>
        <w:pStyle w:val="H1G"/>
        <w:rPr>
          <w:lang w:val="fr-CH"/>
        </w:rPr>
      </w:pPr>
      <w:r w:rsidRPr="0071782F">
        <w:rPr>
          <w:lang w:val="fr-CH"/>
        </w:rPr>
        <w:tab/>
      </w:r>
      <w:r w:rsidRPr="0071782F">
        <w:rPr>
          <w:lang w:val="fr-CH"/>
        </w:rPr>
        <w:tab/>
      </w:r>
      <w:r w:rsidR="003126CF" w:rsidRPr="0071782F">
        <w:rPr>
          <w:lang w:val="fr-CH"/>
        </w:rPr>
        <w:t>Santé m</w:t>
      </w:r>
      <w:r w:rsidRPr="0071782F">
        <w:rPr>
          <w:lang w:val="fr-CH"/>
        </w:rPr>
        <w:t>ental</w:t>
      </w:r>
      <w:r w:rsidR="003126CF" w:rsidRPr="0071782F">
        <w:rPr>
          <w:lang w:val="fr-CH"/>
        </w:rPr>
        <w:t>e et fourniture d’un appui à certains groupes sociaux, notamment les handicapés,</w:t>
      </w:r>
      <w:r w:rsidR="00D36718">
        <w:rPr>
          <w:lang w:val="fr-CH"/>
        </w:rPr>
        <w:t xml:space="preserve"> </w:t>
      </w:r>
      <w:r w:rsidR="00A233C2" w:rsidRPr="0071782F">
        <w:rPr>
          <w:lang w:val="fr-CH"/>
        </w:rPr>
        <w:t>les personnes</w:t>
      </w:r>
      <w:r w:rsidR="003126CF" w:rsidRPr="0071782F">
        <w:rPr>
          <w:lang w:val="fr-CH"/>
        </w:rPr>
        <w:t xml:space="preserve"> âgées, les femmes et les enfants </w:t>
      </w:r>
    </w:p>
    <w:p w:rsidR="00E5019F" w:rsidRPr="0071782F" w:rsidRDefault="00E5019F" w:rsidP="00E5019F">
      <w:pPr>
        <w:pStyle w:val="SingleTxtG"/>
        <w:rPr>
          <w:lang w:val="fr-CH"/>
        </w:rPr>
      </w:pPr>
      <w:r w:rsidRPr="0071782F">
        <w:rPr>
          <w:lang w:val="fr-CH"/>
        </w:rPr>
        <w:t>284.</w:t>
      </w:r>
      <w:r w:rsidRPr="0071782F">
        <w:rPr>
          <w:lang w:val="fr-CH"/>
        </w:rPr>
        <w:tab/>
      </w:r>
      <w:r w:rsidR="00B93527"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284.1.</w:t>
      </w:r>
      <w:r w:rsidRPr="0071782F">
        <w:rPr>
          <w:lang w:val="fr-CH"/>
        </w:rPr>
        <w:tab/>
      </w:r>
      <w:r w:rsidR="00373C8E" w:rsidRPr="0071782F">
        <w:rPr>
          <w:lang w:val="fr-CH"/>
        </w:rPr>
        <w:t xml:space="preserve">En mai 1980, l’Organisme public de protection sociale a été créé pour donner effet aux dispositions des </w:t>
      </w:r>
      <w:r w:rsidR="00723F2B" w:rsidRPr="0071782F">
        <w:rPr>
          <w:lang w:val="fr-CH"/>
        </w:rPr>
        <w:t>articles </w:t>
      </w:r>
      <w:r w:rsidRPr="0071782F">
        <w:rPr>
          <w:lang w:val="fr-CH"/>
        </w:rPr>
        <w:t xml:space="preserve">3, 21 </w:t>
      </w:r>
      <w:r w:rsidR="00373C8E" w:rsidRPr="0071782F">
        <w:rPr>
          <w:lang w:val="fr-CH"/>
        </w:rPr>
        <w:t>et</w:t>
      </w:r>
      <w:r w:rsidRPr="0071782F">
        <w:rPr>
          <w:lang w:val="fr-CH"/>
        </w:rPr>
        <w:t xml:space="preserve"> 29 </w:t>
      </w:r>
      <w:r w:rsidR="00373C8E" w:rsidRPr="0071782F">
        <w:rPr>
          <w:lang w:val="fr-CH"/>
        </w:rPr>
        <w:t xml:space="preserve">de la </w:t>
      </w:r>
      <w:r w:rsidRPr="0071782F">
        <w:rPr>
          <w:lang w:val="fr-CH"/>
        </w:rPr>
        <w:t xml:space="preserve">Constitution </w:t>
      </w:r>
      <w:r w:rsidR="00373C8E" w:rsidRPr="0071782F">
        <w:rPr>
          <w:lang w:val="fr-CH"/>
        </w:rPr>
        <w:t>sur l’é</w:t>
      </w:r>
      <w:r w:rsidRPr="0071782F">
        <w:rPr>
          <w:lang w:val="fr-CH"/>
        </w:rPr>
        <w:t xml:space="preserve">limination </w:t>
      </w:r>
      <w:r w:rsidR="00373C8E" w:rsidRPr="0071782F">
        <w:rPr>
          <w:lang w:val="fr-CH"/>
        </w:rPr>
        <w:t>de la discrimination, l’égalité des chances matérielles et intellectuelles et le développement d’une économie vigoureuse et équitable basée sur les critères islamiques et poursuivant les objectifs suivants</w:t>
      </w:r>
      <w:r w:rsidR="008F7D33" w:rsidRPr="0071782F">
        <w:rPr>
          <w:lang w:val="fr-CH"/>
        </w:rPr>
        <w:t>:</w:t>
      </w:r>
      <w:r w:rsidR="00373C8E" w:rsidRPr="0071782F">
        <w:rPr>
          <w:lang w:val="fr-CH"/>
        </w:rPr>
        <w:t xml:space="preserve"> protection sociale, atténuation de la pauvreté et é</w:t>
      </w:r>
      <w:r w:rsidRPr="0071782F">
        <w:rPr>
          <w:lang w:val="fr-CH"/>
        </w:rPr>
        <w:t xml:space="preserve">limination </w:t>
      </w:r>
      <w:r w:rsidR="00373C8E" w:rsidRPr="0071782F">
        <w:rPr>
          <w:lang w:val="fr-CH"/>
        </w:rPr>
        <w:t xml:space="preserve">des causes du dénuement dans les domaines du logement, de l’alimentation, de l’emploi et de la santé; </w:t>
      </w:r>
      <w:r w:rsidRPr="0071782F">
        <w:rPr>
          <w:lang w:val="fr-CH"/>
        </w:rPr>
        <w:t xml:space="preserve">extension </w:t>
      </w:r>
      <w:r w:rsidR="00373C8E" w:rsidRPr="0071782F">
        <w:rPr>
          <w:lang w:val="fr-CH"/>
        </w:rPr>
        <w:t>de l’assurance et des prestations de sécurité sociale au titre de la retraite, de la vieillesse, du chômage, de l’incapacité et de la perte d’un tuteur;</w:t>
      </w:r>
      <w:r w:rsidRPr="0071782F">
        <w:rPr>
          <w:lang w:val="fr-CH"/>
        </w:rPr>
        <w:t xml:space="preserve"> </w:t>
      </w:r>
      <w:r w:rsidR="00373C8E" w:rsidRPr="0071782F">
        <w:rPr>
          <w:lang w:val="fr-CH"/>
        </w:rPr>
        <w:t xml:space="preserve">fourniture d’aides et de services sociaux sur la base du respect de la dignité humaine et des valeurs </w:t>
      </w:r>
      <w:r w:rsidR="00B04A59" w:rsidRPr="0071782F">
        <w:rPr>
          <w:lang w:val="fr-CH"/>
        </w:rPr>
        <w:t xml:space="preserve">fondées sur </w:t>
      </w:r>
      <w:r w:rsidR="00373C8E" w:rsidRPr="0071782F">
        <w:rPr>
          <w:lang w:val="fr-CH"/>
        </w:rPr>
        <w:t xml:space="preserve">la </w:t>
      </w:r>
      <w:r w:rsidRPr="0071782F">
        <w:rPr>
          <w:lang w:val="fr-CH"/>
        </w:rPr>
        <w:t xml:space="preserve">participation </w:t>
      </w:r>
      <w:r w:rsidR="00373C8E" w:rsidRPr="0071782F">
        <w:rPr>
          <w:lang w:val="fr-CH"/>
        </w:rPr>
        <w:t>publique et une étroite collaboration des organismes compétents à la mise en place et au développement des services de réadaptation et de renforcement de l’autonomie; la</w:t>
      </w:r>
      <w:r w:rsidRPr="0071782F">
        <w:rPr>
          <w:lang w:val="fr-CH"/>
        </w:rPr>
        <w:t xml:space="preserve"> pr</w:t>
      </w:r>
      <w:r w:rsidR="00373C8E" w:rsidRPr="0071782F">
        <w:rPr>
          <w:lang w:val="fr-CH"/>
        </w:rPr>
        <w:t>é</w:t>
      </w:r>
      <w:r w:rsidRPr="0071782F">
        <w:rPr>
          <w:lang w:val="fr-CH"/>
        </w:rPr>
        <w:t xml:space="preserve">vention </w:t>
      </w:r>
      <w:r w:rsidR="00373C8E" w:rsidRPr="0071782F">
        <w:rPr>
          <w:lang w:val="fr-CH"/>
        </w:rPr>
        <w:t>des incapacités et des préjudices sociaux; et l’</w:t>
      </w:r>
      <w:r w:rsidRPr="0071782F">
        <w:rPr>
          <w:lang w:val="fr-CH"/>
        </w:rPr>
        <w:t xml:space="preserve">assistance </w:t>
      </w:r>
      <w:r w:rsidR="00373C8E" w:rsidRPr="0071782F">
        <w:rPr>
          <w:lang w:val="fr-CH"/>
        </w:rPr>
        <w:t>à fournir pour répondre aux besoins essentiels minimaux des groupes sociaux à faible revenu</w:t>
      </w:r>
      <w:r w:rsidRPr="0071782F">
        <w:rPr>
          <w:lang w:val="fr-CH"/>
        </w:rPr>
        <w:t>.</w:t>
      </w:r>
    </w:p>
    <w:p w:rsidR="00E5019F" w:rsidRPr="0071782F" w:rsidRDefault="00E5019F" w:rsidP="00E5019F">
      <w:pPr>
        <w:pStyle w:val="SingleTxtG"/>
        <w:ind w:left="1701"/>
        <w:rPr>
          <w:lang w:val="fr-CH"/>
        </w:rPr>
      </w:pPr>
      <w:r w:rsidRPr="0071782F">
        <w:rPr>
          <w:lang w:val="fr-CH"/>
        </w:rPr>
        <w:t>284.2.</w:t>
      </w:r>
      <w:r w:rsidRPr="0071782F">
        <w:rPr>
          <w:lang w:val="fr-CH"/>
        </w:rPr>
        <w:tab/>
      </w:r>
      <w:r w:rsidR="00373C8E" w:rsidRPr="0071782F">
        <w:rPr>
          <w:lang w:val="fr-CH"/>
        </w:rPr>
        <w:t xml:space="preserve">Pour réaliser ces objectifs, l’Organisme public de protection sociale </w:t>
      </w:r>
      <w:r w:rsidR="00FF1C6B" w:rsidRPr="0071782F">
        <w:rPr>
          <w:lang w:val="fr-CH"/>
        </w:rPr>
        <w:t>fournit des services spécialisé</w:t>
      </w:r>
      <w:r w:rsidR="00373C8E" w:rsidRPr="0071782F">
        <w:rPr>
          <w:lang w:val="fr-CH"/>
        </w:rPr>
        <w:t>s dans les domaines suivants</w:t>
      </w:r>
      <w:r w:rsidR="008F7D33" w:rsidRPr="0071782F">
        <w:rPr>
          <w:lang w:val="fr-CH"/>
        </w:rPr>
        <w:t>:</w:t>
      </w:r>
      <w:r w:rsidRPr="0071782F">
        <w:rPr>
          <w:lang w:val="fr-CH"/>
        </w:rPr>
        <w:t xml:space="preserve"> </w:t>
      </w:r>
      <w:r w:rsidR="00373C8E" w:rsidRPr="0071782F">
        <w:rPr>
          <w:lang w:val="fr-CH"/>
        </w:rPr>
        <w:t xml:space="preserve">activités </w:t>
      </w:r>
      <w:r w:rsidRPr="0071782F">
        <w:rPr>
          <w:lang w:val="fr-CH"/>
        </w:rPr>
        <w:t>social</w:t>
      </w:r>
      <w:r w:rsidR="00373C8E" w:rsidRPr="0071782F">
        <w:rPr>
          <w:lang w:val="fr-CH"/>
        </w:rPr>
        <w:t>es</w:t>
      </w:r>
      <w:r w:rsidRPr="0071782F">
        <w:rPr>
          <w:lang w:val="fr-CH"/>
        </w:rPr>
        <w:t xml:space="preserve"> </w:t>
      </w:r>
      <w:r w:rsidR="00373C8E" w:rsidRPr="0071782F">
        <w:rPr>
          <w:lang w:val="fr-CH"/>
        </w:rPr>
        <w:t>et culturelles</w:t>
      </w:r>
      <w:r w:rsidRPr="0071782F">
        <w:rPr>
          <w:lang w:val="fr-CH"/>
        </w:rPr>
        <w:t>, r</w:t>
      </w:r>
      <w:r w:rsidR="00373C8E" w:rsidRPr="0071782F">
        <w:rPr>
          <w:lang w:val="fr-CH"/>
        </w:rPr>
        <w:t>éadaptation</w:t>
      </w:r>
      <w:r w:rsidRPr="0071782F">
        <w:rPr>
          <w:lang w:val="fr-CH"/>
        </w:rPr>
        <w:t>, pr</w:t>
      </w:r>
      <w:r w:rsidR="00373C8E" w:rsidRPr="0071782F">
        <w:rPr>
          <w:lang w:val="fr-CH"/>
        </w:rPr>
        <w:t>é</w:t>
      </w:r>
      <w:r w:rsidRPr="0071782F">
        <w:rPr>
          <w:lang w:val="fr-CH"/>
        </w:rPr>
        <w:t xml:space="preserve">vention </w:t>
      </w:r>
      <w:r w:rsidR="00373C8E" w:rsidRPr="0071782F">
        <w:rPr>
          <w:lang w:val="fr-CH"/>
        </w:rPr>
        <w:t>des préjudices sociaux et de l’incapacité, entrepreneuriat et emploi</w:t>
      </w:r>
      <w:r w:rsidRPr="0071782F">
        <w:rPr>
          <w:lang w:val="fr-CH"/>
        </w:rPr>
        <w:t xml:space="preserve">, </w:t>
      </w:r>
      <w:r w:rsidR="00373C8E" w:rsidRPr="0071782F">
        <w:rPr>
          <w:lang w:val="fr-CH"/>
        </w:rPr>
        <w:t xml:space="preserve">et mise en place d’un réseau </w:t>
      </w:r>
      <w:r w:rsidRPr="0071782F">
        <w:rPr>
          <w:lang w:val="fr-CH"/>
        </w:rPr>
        <w:t xml:space="preserve">rural </w:t>
      </w:r>
      <w:r w:rsidR="00373C8E" w:rsidRPr="0071782F">
        <w:rPr>
          <w:lang w:val="fr-CH"/>
        </w:rPr>
        <w:t>de services de protection sociale</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373C8E" w:rsidRPr="0071782F">
        <w:rPr>
          <w:lang w:val="fr-CH"/>
        </w:rPr>
        <w:t>Secteur s</w:t>
      </w:r>
      <w:r w:rsidRPr="0071782F">
        <w:rPr>
          <w:lang w:val="fr-CH"/>
        </w:rPr>
        <w:t xml:space="preserve">ocial </w:t>
      </w:r>
    </w:p>
    <w:p w:rsidR="00E5019F" w:rsidRPr="0071782F" w:rsidRDefault="00E5019F" w:rsidP="00E5019F">
      <w:pPr>
        <w:pStyle w:val="SingleTxtG"/>
        <w:rPr>
          <w:lang w:val="fr-CH"/>
        </w:rPr>
      </w:pPr>
      <w:r w:rsidRPr="0071782F">
        <w:rPr>
          <w:lang w:val="fr-CH"/>
        </w:rPr>
        <w:t>285.</w:t>
      </w:r>
      <w:r w:rsidRPr="0071782F">
        <w:rPr>
          <w:lang w:val="fr-CH"/>
        </w:rPr>
        <w:tab/>
      </w:r>
      <w:r w:rsidR="00B04A59" w:rsidRPr="0071782F">
        <w:rPr>
          <w:lang w:val="fr-CH"/>
        </w:rPr>
        <w:t xml:space="preserve">Ce secteur a pour objectif principal de promouvoir et de sauvegarder la dignité et les valeurs humaines et de garantir le développement </w:t>
      </w:r>
      <w:r w:rsidRPr="0071782F">
        <w:rPr>
          <w:lang w:val="fr-CH"/>
        </w:rPr>
        <w:t>socio</w:t>
      </w:r>
      <w:r w:rsidR="00B04A59" w:rsidRPr="0071782F">
        <w:rPr>
          <w:lang w:val="fr-CH"/>
        </w:rPr>
        <w:t>économique et culture</w:t>
      </w:r>
      <w:r w:rsidRPr="0071782F">
        <w:rPr>
          <w:lang w:val="fr-CH"/>
        </w:rPr>
        <w:t xml:space="preserve">l </w:t>
      </w:r>
      <w:r w:rsidR="007F37CE" w:rsidRPr="0071782F">
        <w:rPr>
          <w:lang w:val="fr-CH"/>
        </w:rPr>
        <w:t>des personnes</w:t>
      </w:r>
      <w:r w:rsidR="00B04A59" w:rsidRPr="0071782F">
        <w:rPr>
          <w:lang w:val="fr-CH"/>
        </w:rPr>
        <w:t xml:space="preserve"> et </w:t>
      </w:r>
      <w:r w:rsidR="004E45FB" w:rsidRPr="0071782F">
        <w:rPr>
          <w:lang w:val="fr-CH"/>
        </w:rPr>
        <w:t>des familles</w:t>
      </w:r>
      <w:r w:rsidR="00B04A59" w:rsidRPr="0071782F">
        <w:rPr>
          <w:lang w:val="fr-CH"/>
        </w:rPr>
        <w:t xml:space="preserve"> qui n’ont pas eu, pour une raison quelconque, la possibilité de progresser et de se développer et dont la vie personnelle, familiale et sociale a été perturbée d’une façon ou d’une autre</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t xml:space="preserve">Missions </w:t>
      </w:r>
      <w:r w:rsidR="00B04A59" w:rsidRPr="0071782F">
        <w:rPr>
          <w:lang w:val="fr-CH"/>
        </w:rPr>
        <w:t xml:space="preserve">et obligations </w:t>
      </w:r>
    </w:p>
    <w:p w:rsidR="00E5019F" w:rsidRPr="0071782F" w:rsidRDefault="00E5019F" w:rsidP="00E5019F">
      <w:pPr>
        <w:pStyle w:val="SingleTxtG"/>
        <w:rPr>
          <w:lang w:val="fr-CH"/>
        </w:rPr>
      </w:pPr>
      <w:r w:rsidRPr="0071782F">
        <w:rPr>
          <w:lang w:val="fr-CH"/>
        </w:rPr>
        <w:t>286.</w:t>
      </w:r>
      <w:r w:rsidRPr="0071782F">
        <w:rPr>
          <w:lang w:val="fr-CH"/>
        </w:rPr>
        <w:tab/>
      </w:r>
      <w:r w:rsidR="00B04A59" w:rsidRPr="0071782F">
        <w:rPr>
          <w:lang w:val="fr-CH"/>
        </w:rPr>
        <w:t>Ce sont notamment les suivantes</w:t>
      </w:r>
      <w:r w:rsidR="008F7D33" w:rsidRPr="0071782F">
        <w:rPr>
          <w:lang w:val="fr-CH"/>
        </w:rPr>
        <w:t>:</w:t>
      </w:r>
    </w:p>
    <w:p w:rsidR="00E5019F" w:rsidRPr="0071782F" w:rsidRDefault="00E5019F" w:rsidP="00E5019F">
      <w:pPr>
        <w:pStyle w:val="SingleTxtG"/>
        <w:ind w:left="1701"/>
        <w:rPr>
          <w:lang w:val="fr-CH"/>
        </w:rPr>
      </w:pPr>
      <w:r w:rsidRPr="0071782F">
        <w:rPr>
          <w:lang w:val="fr-CH"/>
        </w:rPr>
        <w:t>286.1.</w:t>
      </w:r>
      <w:r w:rsidRPr="0071782F">
        <w:rPr>
          <w:lang w:val="fr-CH"/>
        </w:rPr>
        <w:tab/>
      </w:r>
      <w:r w:rsidR="00D02762" w:rsidRPr="0071782F">
        <w:rPr>
          <w:lang w:val="fr-CH"/>
        </w:rPr>
        <w:t xml:space="preserve">Aider à financer le dépôt de garantie pour le logement locatif des femmes chefs </w:t>
      </w:r>
      <w:r w:rsidR="0092511D" w:rsidRPr="0071782F">
        <w:rPr>
          <w:lang w:val="fr-CH"/>
        </w:rPr>
        <w:t>de famille</w:t>
      </w:r>
      <w:r w:rsidR="00D02762" w:rsidRPr="0071782F">
        <w:rPr>
          <w:lang w:val="fr-CH"/>
        </w:rPr>
        <w:t xml:space="preserve"> et </w:t>
      </w:r>
      <w:r w:rsidR="0045310D" w:rsidRPr="0071782F">
        <w:rPr>
          <w:lang w:val="fr-CH"/>
        </w:rPr>
        <w:t xml:space="preserve">le </w:t>
      </w:r>
      <w:r w:rsidR="00D02762" w:rsidRPr="0071782F">
        <w:rPr>
          <w:lang w:val="fr-CH"/>
        </w:rPr>
        <w:t>paiement de prêts au logement en faveur des demandeurs d’aide et des institutions</w:t>
      </w:r>
      <w:r w:rsidRPr="0071782F">
        <w:rPr>
          <w:lang w:val="fr-CH"/>
        </w:rPr>
        <w:t>.</w:t>
      </w:r>
    </w:p>
    <w:p w:rsidR="00E5019F" w:rsidRPr="0071782F" w:rsidRDefault="00E5019F" w:rsidP="00E5019F">
      <w:pPr>
        <w:pStyle w:val="SingleTxtG"/>
        <w:ind w:left="1701"/>
        <w:rPr>
          <w:lang w:val="fr-CH"/>
        </w:rPr>
      </w:pPr>
      <w:r w:rsidRPr="0071782F">
        <w:rPr>
          <w:lang w:val="fr-CH"/>
        </w:rPr>
        <w:t>286.2.</w:t>
      </w:r>
      <w:r w:rsidRPr="0071782F">
        <w:rPr>
          <w:lang w:val="fr-CH"/>
        </w:rPr>
        <w:tab/>
      </w:r>
      <w:r w:rsidR="00D02762" w:rsidRPr="0071782F">
        <w:rPr>
          <w:lang w:val="fr-CH"/>
        </w:rPr>
        <w:t xml:space="preserve">Créer des cliniques fournissant des services sociaux et réglementer les organisations caritatives. </w:t>
      </w:r>
    </w:p>
    <w:p w:rsidR="00E5019F" w:rsidRPr="0071782F" w:rsidRDefault="00E5019F" w:rsidP="00E5019F">
      <w:pPr>
        <w:pStyle w:val="SingleTxtG"/>
        <w:ind w:left="1701"/>
        <w:rPr>
          <w:lang w:val="fr-CH"/>
        </w:rPr>
      </w:pPr>
      <w:r w:rsidRPr="0071782F">
        <w:rPr>
          <w:lang w:val="fr-CH"/>
        </w:rPr>
        <w:t>286.3.</w:t>
      </w:r>
      <w:r w:rsidRPr="0071782F">
        <w:rPr>
          <w:lang w:val="fr-CH"/>
        </w:rPr>
        <w:tab/>
      </w:r>
      <w:r w:rsidR="00D02762" w:rsidRPr="0071782F">
        <w:rPr>
          <w:lang w:val="fr-CH"/>
        </w:rPr>
        <w:t xml:space="preserve">Contribuer à l’autonomisation des femmes chefs </w:t>
      </w:r>
      <w:r w:rsidR="0092511D" w:rsidRPr="0071782F">
        <w:rPr>
          <w:lang w:val="fr-CH"/>
        </w:rPr>
        <w:t>de famille</w:t>
      </w:r>
      <w:r w:rsidR="00D02762" w:rsidRPr="0071782F">
        <w:rPr>
          <w:lang w:val="fr-CH"/>
        </w:rPr>
        <w:t xml:space="preserve"> par le biais de groupes d’entraide et fournir des services sociaux </w:t>
      </w:r>
      <w:r w:rsidR="00A234E8" w:rsidRPr="0071782F">
        <w:rPr>
          <w:lang w:val="fr-CH"/>
        </w:rPr>
        <w:t>aux familles</w:t>
      </w:r>
      <w:r w:rsidR="00D02762" w:rsidRPr="0071782F">
        <w:rPr>
          <w:lang w:val="fr-CH"/>
        </w:rPr>
        <w:t xml:space="preserve"> couvertes par l’Organisme susvisé</w:t>
      </w:r>
      <w:r w:rsidRPr="0071782F">
        <w:rPr>
          <w:lang w:val="fr-CH"/>
        </w:rPr>
        <w:t>.</w:t>
      </w:r>
    </w:p>
    <w:p w:rsidR="00E5019F" w:rsidRPr="0071782F" w:rsidRDefault="00E5019F" w:rsidP="00E5019F">
      <w:pPr>
        <w:pStyle w:val="SingleTxtG"/>
        <w:ind w:left="1701"/>
        <w:rPr>
          <w:lang w:val="fr-CH"/>
        </w:rPr>
      </w:pPr>
      <w:r w:rsidRPr="0071782F">
        <w:rPr>
          <w:lang w:val="fr-CH"/>
        </w:rPr>
        <w:t>286.4.</w:t>
      </w:r>
      <w:r w:rsidRPr="0071782F">
        <w:rPr>
          <w:lang w:val="fr-CH"/>
        </w:rPr>
        <w:tab/>
      </w:r>
      <w:r w:rsidR="00D02762" w:rsidRPr="0071782F">
        <w:rPr>
          <w:lang w:val="fr-CH"/>
        </w:rPr>
        <w:t xml:space="preserve">Élaborer le Programme de soins aux enfants dans </w:t>
      </w:r>
      <w:r w:rsidR="00B71907" w:rsidRPr="0071782F">
        <w:rPr>
          <w:lang w:val="fr-CH"/>
        </w:rPr>
        <w:t>la famille</w:t>
      </w:r>
      <w:r w:rsidR="00D02762" w:rsidRPr="0071782F">
        <w:rPr>
          <w:lang w:val="fr-CH"/>
        </w:rPr>
        <w:t xml:space="preserve"> en faisant appel aux ONG</w:t>
      </w:r>
      <w:r w:rsidRPr="0071782F">
        <w:rPr>
          <w:lang w:val="fr-CH"/>
        </w:rPr>
        <w:t>.</w:t>
      </w:r>
    </w:p>
    <w:p w:rsidR="00E5019F" w:rsidRPr="0071782F" w:rsidRDefault="00E5019F" w:rsidP="00E5019F">
      <w:pPr>
        <w:pStyle w:val="SingleTxtG"/>
        <w:ind w:left="1701"/>
        <w:rPr>
          <w:lang w:val="fr-CH"/>
        </w:rPr>
      </w:pPr>
      <w:r w:rsidRPr="0071782F">
        <w:rPr>
          <w:lang w:val="fr-CH"/>
        </w:rPr>
        <w:t>286.5.</w:t>
      </w:r>
      <w:r w:rsidRPr="0071782F">
        <w:rPr>
          <w:lang w:val="fr-CH"/>
        </w:rPr>
        <w:tab/>
      </w:r>
      <w:r w:rsidR="00D02762" w:rsidRPr="0071782F">
        <w:rPr>
          <w:lang w:val="fr-CH"/>
        </w:rPr>
        <w:t>Fournir une assurance sociale aux femmes au foyer et financer l</w:t>
      </w:r>
      <w:r w:rsidR="0045310D" w:rsidRPr="0071782F">
        <w:rPr>
          <w:lang w:val="fr-CH"/>
        </w:rPr>
        <w:t>es</w:t>
      </w:r>
      <w:r w:rsidR="00D02762" w:rsidRPr="0071782F">
        <w:rPr>
          <w:lang w:val="fr-CH"/>
        </w:rPr>
        <w:t xml:space="preserve"> cotisation</w:t>
      </w:r>
      <w:r w:rsidR="0045310D" w:rsidRPr="0071782F">
        <w:rPr>
          <w:lang w:val="fr-CH"/>
        </w:rPr>
        <w:t>s</w:t>
      </w:r>
      <w:r w:rsidR="00D02762" w:rsidRPr="0071782F">
        <w:rPr>
          <w:lang w:val="fr-CH"/>
        </w:rPr>
        <w:t xml:space="preserve"> sociale</w:t>
      </w:r>
      <w:r w:rsidR="0045310D" w:rsidRPr="0071782F">
        <w:rPr>
          <w:lang w:val="fr-CH"/>
        </w:rPr>
        <w:t>s</w:t>
      </w:r>
      <w:r w:rsidR="00D02762" w:rsidRPr="0071782F">
        <w:rPr>
          <w:lang w:val="fr-CH"/>
        </w:rPr>
        <w:t xml:space="preserve"> de</w:t>
      </w:r>
      <w:r w:rsidR="0045310D" w:rsidRPr="0071782F">
        <w:rPr>
          <w:lang w:val="fr-CH"/>
        </w:rPr>
        <w:t>s</w:t>
      </w:r>
      <w:r w:rsidR="00D02762" w:rsidRPr="0071782F">
        <w:rPr>
          <w:lang w:val="fr-CH"/>
        </w:rPr>
        <w:t xml:space="preserve"> employeur</w:t>
      </w:r>
      <w:r w:rsidR="0045310D" w:rsidRPr="0071782F">
        <w:rPr>
          <w:lang w:val="fr-CH"/>
        </w:rPr>
        <w:t>s</w:t>
      </w:r>
      <w:r w:rsidR="00D02762" w:rsidRPr="0071782F">
        <w:rPr>
          <w:lang w:val="fr-CH"/>
        </w:rPr>
        <w:t xml:space="preserve"> pour les femmes chefs </w:t>
      </w:r>
      <w:r w:rsidR="0092511D" w:rsidRPr="0071782F">
        <w:rPr>
          <w:lang w:val="fr-CH"/>
        </w:rPr>
        <w:t>de famille</w:t>
      </w:r>
      <w:r w:rsidR="00D02762" w:rsidRPr="0071782F">
        <w:rPr>
          <w:lang w:val="fr-CH"/>
        </w:rPr>
        <w:t xml:space="preserve"> et les femmes qui travaillent pour leur propre compte.</w:t>
      </w:r>
    </w:p>
    <w:p w:rsidR="00E5019F" w:rsidRPr="0071782F" w:rsidRDefault="00E5019F" w:rsidP="00E5019F">
      <w:pPr>
        <w:pStyle w:val="SingleTxtG"/>
        <w:ind w:left="1701"/>
        <w:rPr>
          <w:lang w:val="fr-CH"/>
        </w:rPr>
      </w:pPr>
      <w:r w:rsidRPr="0071782F">
        <w:rPr>
          <w:lang w:val="fr-CH"/>
        </w:rPr>
        <w:t>286.6.</w:t>
      </w:r>
      <w:r w:rsidRPr="0071782F">
        <w:rPr>
          <w:lang w:val="fr-CH"/>
        </w:rPr>
        <w:tab/>
      </w:r>
      <w:r w:rsidR="007F4D23" w:rsidRPr="0071782F">
        <w:rPr>
          <w:lang w:val="fr-CH"/>
        </w:rPr>
        <w:t xml:space="preserve">Créer </w:t>
      </w:r>
      <w:r w:rsidR="003F25A2">
        <w:rPr>
          <w:lang w:val="fr-CH"/>
        </w:rPr>
        <w:t>des logements</w:t>
      </w:r>
      <w:r w:rsidR="007F4D23" w:rsidRPr="0071782F">
        <w:rPr>
          <w:lang w:val="fr-CH"/>
        </w:rPr>
        <w:t xml:space="preserve"> pour les femmes à la recherche d’un abri (centres de logement temporaire)</w:t>
      </w:r>
      <w:r w:rsidRPr="0071782F">
        <w:rPr>
          <w:lang w:val="fr-CH"/>
        </w:rPr>
        <w:t>.</w:t>
      </w:r>
    </w:p>
    <w:p w:rsidR="00E5019F" w:rsidRPr="0071782F" w:rsidRDefault="00E5019F" w:rsidP="00E5019F">
      <w:pPr>
        <w:pStyle w:val="SingleTxtG"/>
        <w:ind w:left="1701"/>
        <w:rPr>
          <w:lang w:val="fr-CH"/>
        </w:rPr>
      </w:pPr>
      <w:r w:rsidRPr="0071782F">
        <w:rPr>
          <w:lang w:val="fr-CH"/>
        </w:rPr>
        <w:t>286.7.</w:t>
      </w:r>
      <w:r w:rsidRPr="0071782F">
        <w:rPr>
          <w:lang w:val="fr-CH"/>
        </w:rPr>
        <w:tab/>
      </w:r>
      <w:r w:rsidR="007F4D23" w:rsidRPr="0071782F">
        <w:rPr>
          <w:lang w:val="fr-CH"/>
        </w:rPr>
        <w:t xml:space="preserve">Contribuer à améliorer la </w:t>
      </w:r>
      <w:r w:rsidRPr="0071782F">
        <w:rPr>
          <w:lang w:val="fr-CH"/>
        </w:rPr>
        <w:t xml:space="preserve">nutrition </w:t>
      </w:r>
      <w:r w:rsidR="007F4D23" w:rsidRPr="0071782F">
        <w:rPr>
          <w:lang w:val="fr-CH"/>
        </w:rPr>
        <w:t xml:space="preserve">des femmes enceintes et des enfants d’âge préscolaire bénéficiant du programme de distribution gratuite de lait en poudre aux nourrissons </w:t>
      </w:r>
      <w:r w:rsidR="004E45FB" w:rsidRPr="0071782F">
        <w:rPr>
          <w:lang w:val="fr-CH"/>
        </w:rPr>
        <w:t>des familles</w:t>
      </w:r>
      <w:r w:rsidR="007F4D23" w:rsidRPr="0071782F">
        <w:rPr>
          <w:lang w:val="fr-CH"/>
        </w:rPr>
        <w:t xml:space="preserve"> pauvres</w:t>
      </w:r>
      <w:r w:rsidRPr="0071782F">
        <w:rPr>
          <w:lang w:val="fr-CH"/>
        </w:rPr>
        <w:t>.</w:t>
      </w:r>
    </w:p>
    <w:p w:rsidR="00E5019F" w:rsidRPr="0071782F" w:rsidRDefault="00E5019F" w:rsidP="00E5019F">
      <w:pPr>
        <w:pStyle w:val="SingleTxtG"/>
        <w:ind w:left="1701"/>
        <w:rPr>
          <w:lang w:val="fr-CH"/>
        </w:rPr>
      </w:pPr>
      <w:r w:rsidRPr="0071782F">
        <w:rPr>
          <w:lang w:val="fr-CH"/>
        </w:rPr>
        <w:t>286.8.</w:t>
      </w:r>
      <w:r w:rsidRPr="0071782F">
        <w:rPr>
          <w:lang w:val="fr-CH"/>
        </w:rPr>
        <w:tab/>
      </w:r>
      <w:r w:rsidR="007F4D23" w:rsidRPr="0071782F">
        <w:rPr>
          <w:lang w:val="fr-CH"/>
        </w:rPr>
        <w:t>Contribuer à améliorer l’é</w:t>
      </w:r>
      <w:r w:rsidRPr="0071782F">
        <w:rPr>
          <w:lang w:val="fr-CH"/>
        </w:rPr>
        <w:t xml:space="preserve">ducation </w:t>
      </w:r>
      <w:r w:rsidR="007F4D23" w:rsidRPr="0071782F">
        <w:rPr>
          <w:lang w:val="fr-CH"/>
        </w:rPr>
        <w:t>et payer les frais d’inscription des écoliers et des étudiants couverts par l’Organisme susvisé, et promouvoir l’éducation préscolaire</w:t>
      </w:r>
      <w:r w:rsidRPr="0071782F">
        <w:rPr>
          <w:lang w:val="fr-CH"/>
        </w:rPr>
        <w:t>.</w:t>
      </w:r>
    </w:p>
    <w:p w:rsidR="00E5019F" w:rsidRPr="0071782F" w:rsidRDefault="00E5019F" w:rsidP="00E5019F">
      <w:pPr>
        <w:pStyle w:val="SingleTxtG"/>
        <w:ind w:left="1701"/>
        <w:rPr>
          <w:lang w:val="fr-CH"/>
        </w:rPr>
      </w:pPr>
      <w:r w:rsidRPr="0071782F">
        <w:rPr>
          <w:lang w:val="fr-CH"/>
        </w:rPr>
        <w:t>286.9.</w:t>
      </w:r>
      <w:r w:rsidRPr="0071782F">
        <w:rPr>
          <w:lang w:val="fr-CH"/>
        </w:rPr>
        <w:tab/>
      </w:r>
      <w:r w:rsidR="00C92B66" w:rsidRPr="0071782F">
        <w:rPr>
          <w:lang w:val="fr-CH"/>
        </w:rPr>
        <w:t xml:space="preserve">Créer des centres de réadaptation et de formation professionnelle pour </w:t>
      </w:r>
      <w:r w:rsidR="00DA097D" w:rsidRPr="0071782F">
        <w:rPr>
          <w:lang w:val="fr-CH"/>
        </w:rPr>
        <w:t>les familles</w:t>
      </w:r>
      <w:r w:rsidR="00C92B66" w:rsidRPr="0071782F">
        <w:rPr>
          <w:lang w:val="fr-CH"/>
        </w:rPr>
        <w:t xml:space="preserve"> pauvres</w:t>
      </w:r>
      <w:r w:rsidRPr="0071782F">
        <w:rPr>
          <w:lang w:val="fr-CH"/>
        </w:rPr>
        <w:t>.</w:t>
      </w:r>
    </w:p>
    <w:p w:rsidR="00E5019F" w:rsidRPr="0071782F" w:rsidRDefault="00E5019F" w:rsidP="00E5019F">
      <w:pPr>
        <w:pStyle w:val="SingleTxtG"/>
        <w:ind w:left="1701"/>
        <w:rPr>
          <w:lang w:val="fr-CH"/>
        </w:rPr>
      </w:pPr>
      <w:r w:rsidRPr="0071782F">
        <w:rPr>
          <w:lang w:val="fr-CH"/>
        </w:rPr>
        <w:t xml:space="preserve">286.10. </w:t>
      </w:r>
      <w:r w:rsidR="00C92B66" w:rsidRPr="0071782F">
        <w:rPr>
          <w:lang w:val="fr-CH"/>
        </w:rPr>
        <w:t xml:space="preserve">Analyser les causes des préjudices sociaux et des aberrations sociales et établir des rapports analytiques sur la </w:t>
      </w:r>
      <w:r w:rsidRPr="0071782F">
        <w:rPr>
          <w:lang w:val="fr-CH"/>
        </w:rPr>
        <w:t>r</w:t>
      </w:r>
      <w:r w:rsidR="00C92B66" w:rsidRPr="0071782F">
        <w:rPr>
          <w:lang w:val="fr-CH"/>
        </w:rPr>
        <w:t>é</w:t>
      </w:r>
      <w:r w:rsidRPr="0071782F">
        <w:rPr>
          <w:lang w:val="fr-CH"/>
        </w:rPr>
        <w:t>duction o</w:t>
      </w:r>
      <w:r w:rsidR="00C92B66" w:rsidRPr="0071782F">
        <w:rPr>
          <w:lang w:val="fr-CH"/>
        </w:rPr>
        <w:t>u l’augmentation de ces dernières</w:t>
      </w:r>
      <w:r w:rsidRPr="0071782F">
        <w:rPr>
          <w:lang w:val="fr-CH"/>
        </w:rPr>
        <w:t>.</w:t>
      </w:r>
    </w:p>
    <w:p w:rsidR="00E5019F" w:rsidRPr="0071782F" w:rsidRDefault="00E5019F" w:rsidP="00E5019F">
      <w:pPr>
        <w:pStyle w:val="SingleTxtG"/>
        <w:ind w:left="1701"/>
        <w:rPr>
          <w:lang w:val="fr-CH"/>
        </w:rPr>
      </w:pPr>
      <w:r w:rsidRPr="0071782F">
        <w:rPr>
          <w:lang w:val="fr-CH"/>
        </w:rPr>
        <w:t xml:space="preserve">286.11. </w:t>
      </w:r>
      <w:r w:rsidR="00C92B66" w:rsidRPr="0071782F">
        <w:rPr>
          <w:lang w:val="fr-CH"/>
        </w:rPr>
        <w:t xml:space="preserve">Créer des centres pour </w:t>
      </w:r>
      <w:r w:rsidRPr="0071782F">
        <w:rPr>
          <w:lang w:val="fr-CH"/>
        </w:rPr>
        <w:t>interven</w:t>
      </w:r>
      <w:r w:rsidR="00C92B66" w:rsidRPr="0071782F">
        <w:rPr>
          <w:lang w:val="fr-CH"/>
        </w:rPr>
        <w:t>ir en cas de crise individuelle, familiale et sociale</w:t>
      </w:r>
      <w:r w:rsidRPr="0071782F">
        <w:rPr>
          <w:lang w:val="fr-CH"/>
        </w:rPr>
        <w:t>.</w:t>
      </w:r>
    </w:p>
    <w:p w:rsidR="00E5019F" w:rsidRPr="0071782F" w:rsidRDefault="00E5019F" w:rsidP="00E5019F">
      <w:pPr>
        <w:pStyle w:val="SingleTxtG"/>
        <w:ind w:left="1701"/>
        <w:rPr>
          <w:lang w:val="fr-CH"/>
        </w:rPr>
      </w:pPr>
      <w:r w:rsidRPr="0071782F">
        <w:rPr>
          <w:lang w:val="fr-CH"/>
        </w:rPr>
        <w:t xml:space="preserve">286.12. </w:t>
      </w:r>
      <w:r w:rsidR="00C92B66" w:rsidRPr="0071782F">
        <w:rPr>
          <w:lang w:val="fr-CH"/>
        </w:rPr>
        <w:t>Créer des centres pour recenser et placer les enfants des rues</w:t>
      </w:r>
      <w:r w:rsidRPr="0071782F">
        <w:rPr>
          <w:lang w:val="fr-CH"/>
        </w:rPr>
        <w:t>.</w:t>
      </w:r>
    </w:p>
    <w:p w:rsidR="00E5019F" w:rsidRPr="0071782F" w:rsidRDefault="00E5019F" w:rsidP="00E5019F">
      <w:pPr>
        <w:pStyle w:val="SingleTxtG"/>
        <w:ind w:left="1701"/>
        <w:rPr>
          <w:lang w:val="fr-CH"/>
        </w:rPr>
      </w:pPr>
      <w:r w:rsidRPr="0071782F">
        <w:rPr>
          <w:lang w:val="fr-CH"/>
        </w:rPr>
        <w:t xml:space="preserve">286.13. </w:t>
      </w:r>
      <w:r w:rsidR="00C92B66" w:rsidRPr="0071782F">
        <w:rPr>
          <w:lang w:val="fr-CH"/>
        </w:rPr>
        <w:t xml:space="preserve">Mettre en place une permanence téléphonique d’urgence sociale </w:t>
      </w:r>
      <w:r w:rsidRPr="0071782F">
        <w:rPr>
          <w:lang w:val="fr-CH"/>
        </w:rPr>
        <w:t xml:space="preserve">(123) </w:t>
      </w:r>
      <w:r w:rsidR="00C92B66" w:rsidRPr="0071782F">
        <w:rPr>
          <w:lang w:val="fr-CH"/>
        </w:rPr>
        <w:t xml:space="preserve">pour venir en aide </w:t>
      </w:r>
      <w:r w:rsidR="00175962" w:rsidRPr="0071782F">
        <w:rPr>
          <w:lang w:val="fr-CH"/>
        </w:rPr>
        <w:t>aux personnes</w:t>
      </w:r>
      <w:r w:rsidR="00C92B66" w:rsidRPr="0071782F">
        <w:rPr>
          <w:lang w:val="fr-CH"/>
        </w:rPr>
        <w:t xml:space="preserve"> en situation de risque ou aux prises avec des préjudices sociaux qui ont besoin d’une aide immédiate, en donnant la priorité aux enfants</w:t>
      </w:r>
      <w:r w:rsidRPr="0071782F">
        <w:rPr>
          <w:lang w:val="fr-CH"/>
        </w:rPr>
        <w:t>.</w:t>
      </w:r>
    </w:p>
    <w:p w:rsidR="00E5019F" w:rsidRPr="0071782F" w:rsidRDefault="00E5019F" w:rsidP="00E5019F">
      <w:pPr>
        <w:pStyle w:val="SingleTxtG"/>
        <w:ind w:left="1701"/>
        <w:rPr>
          <w:lang w:val="fr-CH"/>
        </w:rPr>
      </w:pPr>
      <w:r w:rsidRPr="0071782F">
        <w:rPr>
          <w:lang w:val="fr-CH"/>
        </w:rPr>
        <w:t xml:space="preserve">286.14. </w:t>
      </w:r>
      <w:r w:rsidR="00C92B66" w:rsidRPr="0071782F">
        <w:rPr>
          <w:lang w:val="fr-CH"/>
        </w:rPr>
        <w:t>Protéger les droits des enfants</w:t>
      </w:r>
      <w:r w:rsidRPr="0071782F">
        <w:rPr>
          <w:lang w:val="fr-CH"/>
        </w:rPr>
        <w:t>.</w:t>
      </w:r>
    </w:p>
    <w:p w:rsidR="00E5019F" w:rsidRPr="0071782F" w:rsidRDefault="00E5019F" w:rsidP="00E5019F">
      <w:pPr>
        <w:pStyle w:val="SingleTxtG"/>
        <w:ind w:left="1701"/>
        <w:rPr>
          <w:lang w:val="fr-CH"/>
        </w:rPr>
      </w:pPr>
      <w:r w:rsidRPr="0071782F">
        <w:rPr>
          <w:lang w:val="fr-CH"/>
        </w:rPr>
        <w:t xml:space="preserve">286.15. </w:t>
      </w:r>
      <w:r w:rsidR="00C92B66" w:rsidRPr="0071782F">
        <w:rPr>
          <w:lang w:val="fr-CH"/>
        </w:rPr>
        <w:t>Améliorer la quantité et la qualité</w:t>
      </w:r>
      <w:r w:rsidRPr="0071782F">
        <w:rPr>
          <w:lang w:val="fr-CH"/>
        </w:rPr>
        <w:t xml:space="preserve"> </w:t>
      </w:r>
      <w:r w:rsidR="00C92B66" w:rsidRPr="0071782F">
        <w:rPr>
          <w:lang w:val="fr-CH"/>
        </w:rPr>
        <w:t>des services culturels et é</w:t>
      </w:r>
      <w:r w:rsidRPr="0071782F">
        <w:rPr>
          <w:lang w:val="fr-CH"/>
        </w:rPr>
        <w:t>ducati</w:t>
      </w:r>
      <w:r w:rsidR="00C92B66" w:rsidRPr="0071782F">
        <w:rPr>
          <w:lang w:val="fr-CH"/>
        </w:rPr>
        <w:t xml:space="preserve">fs fournis aux enfants dans toutes les </w:t>
      </w:r>
      <w:r w:rsidRPr="0071782F">
        <w:rPr>
          <w:lang w:val="fr-CH"/>
        </w:rPr>
        <w:t>r</w:t>
      </w:r>
      <w:r w:rsidR="00C92B66" w:rsidRPr="0071782F">
        <w:rPr>
          <w:lang w:val="fr-CH"/>
        </w:rPr>
        <w:t>é</w:t>
      </w:r>
      <w:r w:rsidRPr="0071782F">
        <w:rPr>
          <w:lang w:val="fr-CH"/>
        </w:rPr>
        <w:t>gions</w:t>
      </w:r>
      <w:r w:rsidR="00C92B66" w:rsidRPr="0071782F">
        <w:rPr>
          <w:lang w:val="fr-CH"/>
        </w:rPr>
        <w:t>, en particulier dans les zones défavorisées et dans les zones suburbaines</w:t>
      </w:r>
      <w:r w:rsidRPr="0071782F">
        <w:rPr>
          <w:lang w:val="fr-CH"/>
        </w:rPr>
        <w:t>.</w:t>
      </w:r>
    </w:p>
    <w:p w:rsidR="00E5019F" w:rsidRPr="0071782F" w:rsidRDefault="00E5019F" w:rsidP="00E5019F">
      <w:pPr>
        <w:pStyle w:val="SingleTxtG"/>
        <w:ind w:left="1701"/>
        <w:rPr>
          <w:lang w:val="fr-CH"/>
        </w:rPr>
      </w:pPr>
      <w:r w:rsidRPr="0071782F">
        <w:rPr>
          <w:lang w:val="fr-CH"/>
        </w:rPr>
        <w:t xml:space="preserve">286.16. </w:t>
      </w:r>
      <w:r w:rsidR="00220EE4" w:rsidRPr="0071782F">
        <w:rPr>
          <w:lang w:val="fr-CH"/>
        </w:rPr>
        <w:t xml:space="preserve">Élaborer et appliquer les </w:t>
      </w:r>
      <w:r w:rsidRPr="0071782F">
        <w:rPr>
          <w:lang w:val="fr-CH"/>
        </w:rPr>
        <w:t xml:space="preserve">directives </w:t>
      </w:r>
      <w:r w:rsidR="00220EE4" w:rsidRPr="0071782F">
        <w:rPr>
          <w:lang w:val="fr-CH"/>
        </w:rPr>
        <w:t>éducatives destinées aux directeurs et formateurs des garderies</w:t>
      </w:r>
      <w:r w:rsidRPr="0071782F">
        <w:rPr>
          <w:lang w:val="fr-CH"/>
        </w:rPr>
        <w:t>.</w:t>
      </w:r>
    </w:p>
    <w:p w:rsidR="00E5019F" w:rsidRPr="0071782F" w:rsidRDefault="00E5019F" w:rsidP="00E5019F">
      <w:pPr>
        <w:pStyle w:val="SingleTxtG"/>
        <w:ind w:left="1701"/>
        <w:rPr>
          <w:lang w:val="fr-CH"/>
        </w:rPr>
      </w:pPr>
      <w:r w:rsidRPr="0071782F">
        <w:rPr>
          <w:lang w:val="fr-CH"/>
        </w:rPr>
        <w:t xml:space="preserve">286.17. </w:t>
      </w:r>
      <w:r w:rsidR="00220EE4" w:rsidRPr="0071782F">
        <w:rPr>
          <w:lang w:val="fr-CH"/>
        </w:rPr>
        <w:t xml:space="preserve">Construire les installations nécessaires pour fournir aux enfants et aux </w:t>
      </w:r>
      <w:r w:rsidR="00B13F4B" w:rsidRPr="0071782F">
        <w:rPr>
          <w:lang w:val="fr-CH"/>
        </w:rPr>
        <w:t>adolescents</w:t>
      </w:r>
      <w:r w:rsidR="00220EE4" w:rsidRPr="0071782F">
        <w:rPr>
          <w:lang w:val="fr-CH"/>
        </w:rPr>
        <w:t xml:space="preserve"> un accès aux services d’apprentissage</w:t>
      </w:r>
      <w:r w:rsidR="0071782F">
        <w:rPr>
          <w:lang w:val="fr-CH"/>
        </w:rPr>
        <w:t xml:space="preserve"> </w:t>
      </w:r>
      <w:r w:rsidR="00FF1C6B" w:rsidRPr="0071782F">
        <w:rPr>
          <w:lang w:val="fr-CH"/>
        </w:rPr>
        <w:t>et d’enseignement</w:t>
      </w:r>
      <w:r w:rsidR="00220EE4" w:rsidRPr="0071782F">
        <w:rPr>
          <w:lang w:val="fr-CH"/>
        </w:rPr>
        <w:t xml:space="preserve"> culturels et éducatifs</w:t>
      </w:r>
      <w:r w:rsidRPr="0071782F">
        <w:rPr>
          <w:lang w:val="fr-CH"/>
        </w:rPr>
        <w:t>.</w:t>
      </w:r>
    </w:p>
    <w:p w:rsidR="00E5019F" w:rsidRPr="0071782F" w:rsidRDefault="00E5019F" w:rsidP="00E5019F">
      <w:pPr>
        <w:pStyle w:val="SingleTxtG"/>
        <w:ind w:left="1701"/>
        <w:rPr>
          <w:lang w:val="fr-CH"/>
        </w:rPr>
      </w:pPr>
      <w:r w:rsidRPr="0071782F">
        <w:rPr>
          <w:lang w:val="fr-CH"/>
        </w:rPr>
        <w:t xml:space="preserve">286.18. </w:t>
      </w:r>
      <w:r w:rsidR="00220EE4" w:rsidRPr="0071782F">
        <w:rPr>
          <w:lang w:val="fr-CH"/>
        </w:rPr>
        <w:t xml:space="preserve">Promouvoir les aptitudes et compétences des enfants et des </w:t>
      </w:r>
      <w:r w:rsidR="00B13F4B" w:rsidRPr="0071782F">
        <w:rPr>
          <w:lang w:val="fr-CH"/>
        </w:rPr>
        <w:t>adolescents</w:t>
      </w:r>
      <w:r w:rsidRPr="0071782F">
        <w:rPr>
          <w:lang w:val="fr-CH"/>
        </w:rPr>
        <w:t>.</w:t>
      </w:r>
    </w:p>
    <w:p w:rsidR="00E5019F" w:rsidRPr="0071782F" w:rsidRDefault="00E5019F" w:rsidP="00E5019F">
      <w:pPr>
        <w:pStyle w:val="SingleTxtG"/>
        <w:ind w:left="1701"/>
        <w:rPr>
          <w:lang w:val="fr-CH"/>
        </w:rPr>
      </w:pPr>
      <w:r w:rsidRPr="0071782F">
        <w:rPr>
          <w:lang w:val="fr-CH"/>
        </w:rPr>
        <w:t xml:space="preserve">286.19. </w:t>
      </w:r>
      <w:r w:rsidR="00220EE4" w:rsidRPr="0071782F">
        <w:rPr>
          <w:lang w:val="fr-CH"/>
        </w:rPr>
        <w:t>Fournir 24</w:t>
      </w:r>
      <w:r w:rsidR="00BF435F" w:rsidRPr="0071782F">
        <w:rPr>
          <w:lang w:val="fr-CH"/>
        </w:rPr>
        <w:t> heures</w:t>
      </w:r>
      <w:r w:rsidR="00220EE4" w:rsidRPr="0071782F">
        <w:rPr>
          <w:lang w:val="fr-CH"/>
        </w:rPr>
        <w:t xml:space="preserve"> sur 24 des services de soins aux enfants qui, pour une raison ou pour une autre, sont privés d’une protection efficace ou compétente à titre temporaire ou permanent.</w:t>
      </w:r>
    </w:p>
    <w:p w:rsidR="00E5019F" w:rsidRPr="0071782F" w:rsidRDefault="00E5019F" w:rsidP="00E5019F">
      <w:pPr>
        <w:pStyle w:val="SingleTxtG"/>
        <w:ind w:left="1701"/>
        <w:rPr>
          <w:lang w:val="fr-CH"/>
        </w:rPr>
      </w:pPr>
      <w:r w:rsidRPr="0071782F">
        <w:rPr>
          <w:lang w:val="fr-CH"/>
        </w:rPr>
        <w:t xml:space="preserve">286.20. </w:t>
      </w:r>
      <w:r w:rsidR="00220EE4" w:rsidRPr="0071782F">
        <w:rPr>
          <w:lang w:val="fr-CH"/>
        </w:rPr>
        <w:t xml:space="preserve">Collaborer avec les ONG nationales et </w:t>
      </w:r>
      <w:r w:rsidRPr="0071782F">
        <w:rPr>
          <w:lang w:val="fr-CH"/>
        </w:rPr>
        <w:t>international</w:t>
      </w:r>
      <w:r w:rsidR="00220EE4" w:rsidRPr="0071782F">
        <w:rPr>
          <w:lang w:val="fr-CH"/>
        </w:rPr>
        <w:t>es</w:t>
      </w:r>
      <w:r w:rsidRPr="0071782F">
        <w:rPr>
          <w:lang w:val="fr-CH"/>
        </w:rPr>
        <w:t xml:space="preserve"> </w:t>
      </w:r>
      <w:r w:rsidR="00220EE4" w:rsidRPr="0071782F">
        <w:rPr>
          <w:lang w:val="fr-CH"/>
        </w:rPr>
        <w:t xml:space="preserve">qui mènent des activités en faveur des enfants et des </w:t>
      </w:r>
      <w:r w:rsidR="00B13F4B" w:rsidRPr="0071782F">
        <w:rPr>
          <w:lang w:val="fr-CH"/>
        </w:rPr>
        <w:t>adolescents</w:t>
      </w:r>
      <w:r w:rsidR="00220EE4" w:rsidRPr="0071782F">
        <w:rPr>
          <w:lang w:val="fr-CH"/>
        </w:rPr>
        <w:t xml:space="preserve">, comme la Société pour le développement et la collaboration des garderies. </w:t>
      </w:r>
    </w:p>
    <w:p w:rsidR="00E5019F" w:rsidRPr="0071782F" w:rsidRDefault="00E5019F" w:rsidP="00E5019F">
      <w:pPr>
        <w:pStyle w:val="SingleTxtG"/>
        <w:ind w:left="1701"/>
        <w:rPr>
          <w:lang w:val="fr-CH"/>
        </w:rPr>
      </w:pPr>
      <w:r w:rsidRPr="0071782F">
        <w:rPr>
          <w:lang w:val="fr-CH"/>
        </w:rPr>
        <w:t xml:space="preserve">286.21. </w:t>
      </w:r>
      <w:r w:rsidR="004E52E5" w:rsidRPr="0071782F">
        <w:rPr>
          <w:lang w:val="fr-CH"/>
        </w:rPr>
        <w:t>Mettre en place des programmes d’assurance destinés à garantir l’avenir des enfants couverts par l’Organisme susvisé.</w:t>
      </w:r>
    </w:p>
    <w:p w:rsidR="00E5019F" w:rsidRPr="0071782F" w:rsidRDefault="00E5019F" w:rsidP="00E5019F">
      <w:pPr>
        <w:pStyle w:val="SingleTxtG"/>
        <w:ind w:left="1701"/>
        <w:rPr>
          <w:lang w:val="fr-CH"/>
        </w:rPr>
      </w:pPr>
      <w:r w:rsidRPr="0071782F">
        <w:rPr>
          <w:lang w:val="fr-CH"/>
        </w:rPr>
        <w:t xml:space="preserve">286.22. </w:t>
      </w:r>
      <w:r w:rsidR="005A30CF" w:rsidRPr="0071782F">
        <w:rPr>
          <w:lang w:val="fr-CH"/>
        </w:rPr>
        <w:t>Recenser et appuyer les orphelins au sein d</w:t>
      </w:r>
      <w:r w:rsidR="00777486" w:rsidRPr="0071782F">
        <w:rPr>
          <w:lang w:val="fr-CH"/>
        </w:rPr>
        <w:t>’</w:t>
      </w:r>
      <w:r w:rsidR="001F3F05" w:rsidRPr="0071782F">
        <w:rPr>
          <w:lang w:val="fr-CH"/>
        </w:rPr>
        <w:t>une famille</w:t>
      </w:r>
      <w:r w:rsidR="00777486" w:rsidRPr="0071782F">
        <w:rPr>
          <w:lang w:val="fr-CH"/>
        </w:rPr>
        <w:t xml:space="preserve"> </w:t>
      </w:r>
      <w:r w:rsidR="005A30CF" w:rsidRPr="0071782F">
        <w:rPr>
          <w:lang w:val="fr-CH"/>
        </w:rPr>
        <w:t>afin de leur fournir les moyens devant leur permettre de développer leurs potentialités et leurs talents et de gagner en confiance en soi.</w:t>
      </w:r>
    </w:p>
    <w:p w:rsidR="00E5019F" w:rsidRPr="0071782F" w:rsidRDefault="00E5019F" w:rsidP="00E5019F">
      <w:pPr>
        <w:pStyle w:val="SingleTxtG"/>
        <w:ind w:left="1701"/>
        <w:rPr>
          <w:lang w:val="fr-CH"/>
        </w:rPr>
      </w:pPr>
      <w:r w:rsidRPr="0071782F">
        <w:rPr>
          <w:lang w:val="fr-CH"/>
        </w:rPr>
        <w:t xml:space="preserve">286.23. </w:t>
      </w:r>
      <w:r w:rsidR="005A30CF" w:rsidRPr="0071782F">
        <w:rPr>
          <w:lang w:val="fr-CH"/>
        </w:rPr>
        <w:t xml:space="preserve">Ouvrir des centres éducatifs où règne une atmosphère adéquate et faire appel à des équipes de spécialistes expérimentés pour aider les enfants présentant des problèmes mentaux ou affectifs. </w:t>
      </w:r>
    </w:p>
    <w:p w:rsidR="00E5019F" w:rsidRPr="0071782F" w:rsidRDefault="00E5019F" w:rsidP="00E5019F">
      <w:pPr>
        <w:pStyle w:val="SingleTxtG"/>
        <w:ind w:left="1701"/>
        <w:rPr>
          <w:lang w:val="fr-CH"/>
        </w:rPr>
      </w:pPr>
      <w:r w:rsidRPr="0071782F">
        <w:rPr>
          <w:lang w:val="fr-CH"/>
        </w:rPr>
        <w:t xml:space="preserve">286.24. </w:t>
      </w:r>
      <w:r w:rsidR="00877B0F" w:rsidRPr="0071782F">
        <w:rPr>
          <w:lang w:val="fr-CH"/>
        </w:rPr>
        <w:t xml:space="preserve">Mettre en </w:t>
      </w:r>
      <w:r w:rsidR="00D5366B" w:rsidRPr="0071782F">
        <w:rPr>
          <w:lang w:val="fr-CH"/>
        </w:rPr>
        <w:t>œuvre</w:t>
      </w:r>
      <w:r w:rsidR="00877B0F" w:rsidRPr="0071782F">
        <w:rPr>
          <w:lang w:val="fr-CH"/>
        </w:rPr>
        <w:t xml:space="preserve"> le programme d’adoption d’enfants</w:t>
      </w:r>
      <w:r w:rsidRPr="0071782F">
        <w:rPr>
          <w:lang w:val="fr-CH"/>
        </w:rPr>
        <w:t xml:space="preserve"> (</w:t>
      </w:r>
      <w:r w:rsidR="00877B0F" w:rsidRPr="0071782F">
        <w:rPr>
          <w:lang w:val="fr-CH"/>
        </w:rPr>
        <w:t>Loi sur l’appui aux enfants sans tuteur</w:t>
      </w:r>
      <w:r w:rsidRPr="0071782F">
        <w:rPr>
          <w:lang w:val="fr-CH"/>
        </w:rPr>
        <w:t>).</w:t>
      </w:r>
    </w:p>
    <w:p w:rsidR="00E5019F" w:rsidRPr="0071782F" w:rsidRDefault="00E5019F" w:rsidP="00E5019F">
      <w:pPr>
        <w:pStyle w:val="SingleTxtG"/>
        <w:ind w:left="1701"/>
        <w:rPr>
          <w:lang w:val="fr-CH"/>
        </w:rPr>
      </w:pPr>
      <w:r w:rsidRPr="0071782F">
        <w:rPr>
          <w:lang w:val="fr-CH"/>
        </w:rPr>
        <w:t xml:space="preserve">286.25. </w:t>
      </w:r>
      <w:r w:rsidR="00D61682" w:rsidRPr="0071782F">
        <w:rPr>
          <w:lang w:val="fr-CH"/>
        </w:rPr>
        <w:t xml:space="preserve">Ouvrir des centres d’appui </w:t>
      </w:r>
      <w:r w:rsidR="00175962" w:rsidRPr="0071782F">
        <w:rPr>
          <w:lang w:val="fr-CH"/>
        </w:rPr>
        <w:t>aux personnes</w:t>
      </w:r>
      <w:r w:rsidR="00D61682" w:rsidRPr="0071782F">
        <w:rPr>
          <w:lang w:val="fr-CH"/>
        </w:rPr>
        <w:t xml:space="preserve"> ayant des problèmes d’identité afin de les aider sur les plans affectif, social et psychologique</w:t>
      </w:r>
      <w:r w:rsidRPr="0071782F">
        <w:rPr>
          <w:lang w:val="fr-CH"/>
        </w:rPr>
        <w:t>.</w:t>
      </w:r>
    </w:p>
    <w:p w:rsidR="00E5019F" w:rsidRPr="0071782F" w:rsidRDefault="00E5019F" w:rsidP="00E5019F">
      <w:pPr>
        <w:pStyle w:val="SingleTxtG"/>
        <w:ind w:left="1701"/>
        <w:rPr>
          <w:lang w:val="fr-CH"/>
        </w:rPr>
      </w:pPr>
      <w:r w:rsidRPr="0071782F">
        <w:rPr>
          <w:lang w:val="fr-CH"/>
        </w:rPr>
        <w:t xml:space="preserve">286.26. </w:t>
      </w:r>
      <w:r w:rsidR="00D61682" w:rsidRPr="0071782F">
        <w:rPr>
          <w:lang w:val="fr-CH"/>
        </w:rPr>
        <w:t xml:space="preserve">Construire des centres de santé pour loger les enfants des rues qui travaillent </w:t>
      </w:r>
      <w:r w:rsidRPr="0071782F">
        <w:rPr>
          <w:lang w:val="fr-CH"/>
        </w:rPr>
        <w:t>(</w:t>
      </w:r>
      <w:r w:rsidR="00D61682" w:rsidRPr="0071782F">
        <w:rPr>
          <w:lang w:val="fr-CH"/>
        </w:rPr>
        <w:t>foyers pour enfants</w:t>
      </w:r>
      <w:r w:rsidRPr="0071782F">
        <w:rPr>
          <w:lang w:val="fr-CH"/>
        </w:rPr>
        <w:t>).</w:t>
      </w:r>
    </w:p>
    <w:p w:rsidR="00E5019F" w:rsidRPr="0071782F" w:rsidRDefault="00E5019F" w:rsidP="00E5019F">
      <w:pPr>
        <w:pStyle w:val="SingleTxtG"/>
        <w:ind w:left="1701"/>
        <w:rPr>
          <w:lang w:val="fr-CH"/>
        </w:rPr>
      </w:pPr>
      <w:r w:rsidRPr="0071782F">
        <w:rPr>
          <w:lang w:val="fr-CH"/>
        </w:rPr>
        <w:t xml:space="preserve">286.27. </w:t>
      </w:r>
      <w:r w:rsidR="00D61682" w:rsidRPr="0071782F">
        <w:rPr>
          <w:lang w:val="fr-CH"/>
        </w:rPr>
        <w:t>Réadapter les femmes victimes de préjudices sociaux afin de leur fournir une assistance sur les plans social et mental et de leur permettre de se réinsérer dans la société dans de bonnes conditions de sécurité</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19515F" w:rsidRPr="0071782F">
        <w:rPr>
          <w:lang w:val="fr-CH"/>
        </w:rPr>
        <w:t xml:space="preserve">Organismes chargés de veiller à la bonne exécution des missions et obligations susvisées </w:t>
      </w:r>
    </w:p>
    <w:p w:rsidR="00E5019F" w:rsidRPr="0071782F" w:rsidRDefault="00E5019F" w:rsidP="00E5019F">
      <w:pPr>
        <w:pStyle w:val="H23G"/>
        <w:rPr>
          <w:lang w:val="fr-CH"/>
        </w:rPr>
      </w:pPr>
      <w:r w:rsidRPr="0071782F">
        <w:rPr>
          <w:lang w:val="fr-CH"/>
        </w:rPr>
        <w:tab/>
      </w:r>
      <w:r w:rsidRPr="0071782F">
        <w:rPr>
          <w:lang w:val="fr-CH"/>
        </w:rPr>
        <w:tab/>
      </w:r>
      <w:r w:rsidR="0019515F" w:rsidRPr="0071782F">
        <w:rPr>
          <w:lang w:val="fr-CH"/>
        </w:rPr>
        <w:t xml:space="preserve">Bureau des affaires familiales et féminines </w:t>
      </w:r>
    </w:p>
    <w:p w:rsidR="00E5019F" w:rsidRPr="0071782F" w:rsidRDefault="00E5019F" w:rsidP="00E5019F">
      <w:pPr>
        <w:pStyle w:val="SingleTxtG"/>
        <w:rPr>
          <w:lang w:val="fr-CH"/>
        </w:rPr>
      </w:pPr>
      <w:r w:rsidRPr="0071782F">
        <w:rPr>
          <w:lang w:val="fr-CH"/>
        </w:rPr>
        <w:t>287.</w:t>
      </w:r>
      <w:r w:rsidRPr="0071782F">
        <w:rPr>
          <w:lang w:val="fr-CH"/>
        </w:rPr>
        <w:tab/>
      </w:r>
      <w:r w:rsidR="00556802" w:rsidRPr="0071782F">
        <w:rPr>
          <w:lang w:val="fr-CH"/>
        </w:rPr>
        <w:t xml:space="preserve">Le Bureau des affaires familiales et féminines de l’Organisme public de protection sociale a pour objectif de fournir un appui et des services de base </w:t>
      </w:r>
      <w:r w:rsidR="00175962" w:rsidRPr="0071782F">
        <w:rPr>
          <w:lang w:val="fr-CH"/>
        </w:rPr>
        <w:t>aux personnes</w:t>
      </w:r>
      <w:r w:rsidR="00556802" w:rsidRPr="0071782F">
        <w:rPr>
          <w:lang w:val="fr-CH"/>
        </w:rPr>
        <w:t xml:space="preserve"> et aux groupes privés d’une vie normale pour des raisons économiques</w:t>
      </w:r>
      <w:r w:rsidRPr="0071782F">
        <w:rPr>
          <w:lang w:val="fr-CH"/>
        </w:rPr>
        <w:t>, social</w:t>
      </w:r>
      <w:r w:rsidR="00556802" w:rsidRPr="0071782F">
        <w:rPr>
          <w:lang w:val="fr-CH"/>
        </w:rPr>
        <w:t>es</w:t>
      </w:r>
      <w:r w:rsidRPr="0071782F">
        <w:rPr>
          <w:lang w:val="fr-CH"/>
        </w:rPr>
        <w:t xml:space="preserve">, </w:t>
      </w:r>
      <w:r w:rsidR="00556802" w:rsidRPr="0071782F">
        <w:rPr>
          <w:lang w:val="fr-CH"/>
        </w:rPr>
        <w:t>éducatives ou culturelles et traversant une situation très difficile, ainsi qu’</w:t>
      </w:r>
      <w:r w:rsidR="00A234E8" w:rsidRPr="0071782F">
        <w:rPr>
          <w:lang w:val="fr-CH"/>
        </w:rPr>
        <w:t>aux familles</w:t>
      </w:r>
      <w:r w:rsidR="00556802" w:rsidRPr="0071782F">
        <w:rPr>
          <w:lang w:val="fr-CH"/>
        </w:rPr>
        <w:t xml:space="preserve"> marquées par une crise sociale ou familiale</w:t>
      </w:r>
      <w:r w:rsidRPr="0071782F">
        <w:rPr>
          <w:lang w:val="fr-CH"/>
        </w:rPr>
        <w:t xml:space="preserve">. </w:t>
      </w:r>
      <w:r w:rsidR="00556802" w:rsidRPr="0071782F">
        <w:rPr>
          <w:lang w:val="fr-CH"/>
        </w:rPr>
        <w:t>Le Bureau s’occupe des groupes suivants</w:t>
      </w:r>
      <w:r w:rsidR="008F7D33" w:rsidRPr="0071782F">
        <w:rPr>
          <w:lang w:val="fr-CH"/>
        </w:rPr>
        <w:t>:</w:t>
      </w:r>
      <w:r w:rsidR="00FF1C6B" w:rsidRPr="0071782F">
        <w:rPr>
          <w:lang w:val="fr-CH"/>
        </w:rPr>
        <w:t xml:space="preserve"> </w:t>
      </w:r>
      <w:r w:rsidR="00097CDB" w:rsidRPr="0071782F">
        <w:rPr>
          <w:lang w:val="fr-CH"/>
        </w:rPr>
        <w:t>personnes</w:t>
      </w:r>
      <w:r w:rsidR="00556802" w:rsidRPr="0071782F">
        <w:rPr>
          <w:lang w:val="fr-CH"/>
        </w:rPr>
        <w:t xml:space="preserve"> </w:t>
      </w:r>
      <w:r w:rsidR="00E83264" w:rsidRPr="0071782F">
        <w:rPr>
          <w:lang w:val="fr-CH"/>
        </w:rPr>
        <w:t>et famille</w:t>
      </w:r>
      <w:r w:rsidR="00556802" w:rsidRPr="0071782F">
        <w:rPr>
          <w:lang w:val="fr-CH"/>
        </w:rPr>
        <w:t xml:space="preserve">s pauvres, femmes et filles travaillant pour leur propre compte, femmes chefs </w:t>
      </w:r>
      <w:r w:rsidR="0092511D" w:rsidRPr="0071782F">
        <w:rPr>
          <w:lang w:val="fr-CH"/>
        </w:rPr>
        <w:t>de famille</w:t>
      </w:r>
      <w:r w:rsidR="00556802" w:rsidRPr="0071782F">
        <w:rPr>
          <w:lang w:val="fr-CH"/>
        </w:rPr>
        <w:t xml:space="preserve"> et</w:t>
      </w:r>
      <w:r w:rsidR="00FF1C6B" w:rsidRPr="0071782F">
        <w:rPr>
          <w:lang w:val="fr-CH"/>
        </w:rPr>
        <w:t xml:space="preserve"> </w:t>
      </w:r>
      <w:r w:rsidR="00097CDB" w:rsidRPr="0071782F">
        <w:rPr>
          <w:lang w:val="fr-CH"/>
        </w:rPr>
        <w:t>personnes</w:t>
      </w:r>
      <w:r w:rsidR="00556802" w:rsidRPr="0071782F">
        <w:rPr>
          <w:lang w:val="fr-CH"/>
        </w:rPr>
        <w:t xml:space="preserve"> à leur charge, et toutes </w:t>
      </w:r>
      <w:r w:rsidR="00DA097D" w:rsidRPr="0071782F">
        <w:rPr>
          <w:lang w:val="fr-CH"/>
        </w:rPr>
        <w:t>les familles</w:t>
      </w:r>
      <w:r w:rsidR="00556802" w:rsidRPr="0071782F">
        <w:rPr>
          <w:lang w:val="fr-CH"/>
        </w:rPr>
        <w:t xml:space="preserve"> traversant ou risquant de traverser une crise familiale ou sociale</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556802" w:rsidRPr="0071782F">
        <w:rPr>
          <w:lang w:val="fr-CH"/>
        </w:rPr>
        <w:t xml:space="preserve">Plans et programmes de lutte contre la pauvreté et promotion de </w:t>
      </w:r>
      <w:r w:rsidR="00B71907" w:rsidRPr="0071782F">
        <w:rPr>
          <w:lang w:val="fr-CH"/>
        </w:rPr>
        <w:t>la famille</w:t>
      </w:r>
      <w:r w:rsidR="00556802" w:rsidRPr="0071782F">
        <w:rPr>
          <w:lang w:val="fr-CH"/>
        </w:rPr>
        <w:t xml:space="preserve"> </w:t>
      </w:r>
    </w:p>
    <w:p w:rsidR="00E5019F" w:rsidRPr="0071782F" w:rsidRDefault="00E5019F" w:rsidP="00E5019F">
      <w:pPr>
        <w:pStyle w:val="SingleTxtG"/>
        <w:rPr>
          <w:lang w:val="fr-CH"/>
        </w:rPr>
      </w:pPr>
      <w:r w:rsidRPr="0071782F">
        <w:rPr>
          <w:lang w:val="fr-CH"/>
        </w:rPr>
        <w:t>288.</w:t>
      </w:r>
      <w:r w:rsidRPr="0071782F">
        <w:rPr>
          <w:lang w:val="fr-CH"/>
        </w:rPr>
        <w:tab/>
      </w:r>
      <w:r w:rsidR="00D61041"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288.1.</w:t>
      </w:r>
      <w:r w:rsidRPr="0071782F">
        <w:rPr>
          <w:lang w:val="fr-CH"/>
        </w:rPr>
        <w:tab/>
      </w:r>
      <w:r w:rsidR="00556802" w:rsidRPr="0071782F">
        <w:rPr>
          <w:lang w:val="fr-CH"/>
        </w:rPr>
        <w:t xml:space="preserve">Logements pour femmes </w:t>
      </w:r>
      <w:r w:rsidRPr="0071782F">
        <w:rPr>
          <w:lang w:val="fr-CH"/>
        </w:rPr>
        <w:t>(</w:t>
      </w:r>
      <w:r w:rsidR="00556802" w:rsidRPr="0071782F">
        <w:rPr>
          <w:lang w:val="fr-CH"/>
        </w:rPr>
        <w:t>centres d’accueil temporaire</w:t>
      </w:r>
      <w:r w:rsidRPr="0071782F">
        <w:rPr>
          <w:lang w:val="fr-CH"/>
        </w:rPr>
        <w:t>).</w:t>
      </w:r>
    </w:p>
    <w:p w:rsidR="00E5019F" w:rsidRPr="0071782F" w:rsidRDefault="00E5019F" w:rsidP="00E5019F">
      <w:pPr>
        <w:pStyle w:val="SingleTxtG"/>
        <w:ind w:left="1701"/>
        <w:rPr>
          <w:lang w:val="fr-CH"/>
        </w:rPr>
      </w:pPr>
      <w:r w:rsidRPr="0071782F">
        <w:rPr>
          <w:lang w:val="fr-CH"/>
        </w:rPr>
        <w:t>288.2.</w:t>
      </w:r>
      <w:r w:rsidRPr="0071782F">
        <w:rPr>
          <w:lang w:val="fr-CH"/>
        </w:rPr>
        <w:tab/>
      </w:r>
      <w:r w:rsidR="00556802" w:rsidRPr="0071782F">
        <w:rPr>
          <w:lang w:val="fr-CH"/>
        </w:rPr>
        <w:t>Amélioration de la nutrition des femmes enceintes pauvres</w:t>
      </w:r>
      <w:r w:rsidRPr="0071782F">
        <w:rPr>
          <w:lang w:val="fr-CH"/>
        </w:rPr>
        <w:t>.</w:t>
      </w:r>
    </w:p>
    <w:p w:rsidR="00E5019F" w:rsidRPr="0071782F" w:rsidRDefault="00E5019F" w:rsidP="00E5019F">
      <w:pPr>
        <w:pStyle w:val="SingleTxtG"/>
        <w:ind w:left="1701"/>
        <w:rPr>
          <w:lang w:val="fr-CH"/>
        </w:rPr>
      </w:pPr>
      <w:r w:rsidRPr="0071782F">
        <w:rPr>
          <w:lang w:val="fr-CH"/>
        </w:rPr>
        <w:t>288.3.</w:t>
      </w:r>
      <w:r w:rsidRPr="0071782F">
        <w:rPr>
          <w:lang w:val="fr-CH"/>
        </w:rPr>
        <w:tab/>
      </w:r>
      <w:r w:rsidR="00556802" w:rsidRPr="0071782F">
        <w:rPr>
          <w:lang w:val="fr-CH"/>
        </w:rPr>
        <w:t>Promotion et développement des ONG et autres organisations qui s’occupent des femmes pauvres</w:t>
      </w:r>
      <w:r w:rsidRPr="0071782F">
        <w:rPr>
          <w:lang w:val="fr-CH"/>
        </w:rPr>
        <w:t>.</w:t>
      </w:r>
    </w:p>
    <w:p w:rsidR="00E5019F" w:rsidRPr="0071782F" w:rsidRDefault="00E5019F" w:rsidP="00E5019F">
      <w:pPr>
        <w:pStyle w:val="SingleTxtG"/>
        <w:ind w:left="1701"/>
        <w:rPr>
          <w:lang w:val="fr-CH"/>
        </w:rPr>
      </w:pPr>
      <w:r w:rsidRPr="0071782F">
        <w:rPr>
          <w:lang w:val="fr-CH"/>
        </w:rPr>
        <w:t>288.4.</w:t>
      </w:r>
      <w:r w:rsidRPr="0071782F">
        <w:rPr>
          <w:lang w:val="fr-CH"/>
        </w:rPr>
        <w:tab/>
      </w:r>
      <w:r w:rsidR="00556802" w:rsidRPr="0071782F">
        <w:rPr>
          <w:lang w:val="fr-CH"/>
        </w:rPr>
        <w:t xml:space="preserve">Aides aux étudiants pauvres couverts par l’Organisme susvisé. </w:t>
      </w:r>
    </w:p>
    <w:p w:rsidR="00E5019F" w:rsidRPr="0071782F" w:rsidRDefault="00E5019F" w:rsidP="00E5019F">
      <w:pPr>
        <w:pStyle w:val="SingleTxtG"/>
        <w:ind w:left="1701"/>
        <w:rPr>
          <w:lang w:val="fr-CH"/>
        </w:rPr>
      </w:pPr>
      <w:r w:rsidRPr="0071782F">
        <w:rPr>
          <w:lang w:val="fr-CH"/>
        </w:rPr>
        <w:t>288.5.</w:t>
      </w:r>
      <w:r w:rsidRPr="0071782F">
        <w:rPr>
          <w:lang w:val="fr-CH"/>
        </w:rPr>
        <w:tab/>
      </w:r>
      <w:r w:rsidR="00556802" w:rsidRPr="0071782F">
        <w:rPr>
          <w:lang w:val="fr-CH"/>
        </w:rPr>
        <w:t xml:space="preserve">Alimentation des </w:t>
      </w:r>
      <w:r w:rsidR="0071782F" w:rsidRPr="0071782F">
        <w:rPr>
          <w:lang w:val="fr-CH"/>
        </w:rPr>
        <w:t>nourrissons</w:t>
      </w:r>
      <w:r w:rsidR="00556802" w:rsidRPr="0071782F">
        <w:rPr>
          <w:lang w:val="fr-CH"/>
        </w:rPr>
        <w:t xml:space="preserve"> à l’aide de lait en poudre distribué gratuitement. </w:t>
      </w:r>
    </w:p>
    <w:p w:rsidR="00E5019F" w:rsidRPr="0071782F" w:rsidRDefault="00E5019F" w:rsidP="00E5019F">
      <w:pPr>
        <w:pStyle w:val="SingleTxtG"/>
        <w:ind w:left="1701"/>
        <w:rPr>
          <w:lang w:val="fr-CH"/>
        </w:rPr>
      </w:pPr>
      <w:r w:rsidRPr="0071782F">
        <w:rPr>
          <w:lang w:val="fr-CH"/>
        </w:rPr>
        <w:t>288.6.</w:t>
      </w:r>
      <w:r w:rsidRPr="0071782F">
        <w:rPr>
          <w:lang w:val="fr-CH"/>
        </w:rPr>
        <w:tab/>
      </w:r>
      <w:r w:rsidR="00556802" w:rsidRPr="0071782F">
        <w:rPr>
          <w:lang w:val="fr-CH"/>
        </w:rPr>
        <w:t>Amélioration de la nutrition des enfants</w:t>
      </w:r>
      <w:r w:rsidRPr="0071782F">
        <w:rPr>
          <w:lang w:val="fr-CH"/>
        </w:rPr>
        <w:t>.</w:t>
      </w:r>
    </w:p>
    <w:p w:rsidR="00E5019F" w:rsidRPr="0071782F" w:rsidRDefault="00E5019F" w:rsidP="00E5019F">
      <w:pPr>
        <w:pStyle w:val="SingleTxtG"/>
        <w:ind w:left="1701"/>
        <w:rPr>
          <w:lang w:val="fr-CH"/>
        </w:rPr>
      </w:pPr>
      <w:r w:rsidRPr="0071782F">
        <w:rPr>
          <w:lang w:val="fr-CH"/>
        </w:rPr>
        <w:t>288.7.</w:t>
      </w:r>
      <w:r w:rsidRPr="0071782F">
        <w:rPr>
          <w:lang w:val="fr-CH"/>
        </w:rPr>
        <w:tab/>
        <w:t xml:space="preserve">Distribution </w:t>
      </w:r>
      <w:r w:rsidR="00556802" w:rsidRPr="0071782F">
        <w:rPr>
          <w:lang w:val="fr-CH"/>
        </w:rPr>
        <w:t>de farine subventionnée aux bénéficiaires du service.</w:t>
      </w:r>
    </w:p>
    <w:p w:rsidR="00E5019F" w:rsidRPr="0071782F" w:rsidRDefault="00E5019F" w:rsidP="00E5019F">
      <w:pPr>
        <w:pStyle w:val="SingleTxtG"/>
        <w:ind w:left="1701"/>
        <w:rPr>
          <w:lang w:val="fr-CH"/>
        </w:rPr>
      </w:pPr>
      <w:r w:rsidRPr="0071782F">
        <w:rPr>
          <w:lang w:val="fr-CH"/>
        </w:rPr>
        <w:t>288.8.</w:t>
      </w:r>
      <w:r w:rsidRPr="0071782F">
        <w:rPr>
          <w:lang w:val="fr-CH"/>
        </w:rPr>
        <w:tab/>
      </w:r>
      <w:r w:rsidR="00556802" w:rsidRPr="0071782F">
        <w:rPr>
          <w:lang w:val="fr-CH"/>
        </w:rPr>
        <w:t>Fourniture d’un appui social, notamment sous la forme de pensions, d’allocations et d’aides individualisées</w:t>
      </w:r>
      <w:r w:rsidRPr="0071782F">
        <w:rPr>
          <w:lang w:val="fr-CH"/>
        </w:rPr>
        <w:t>.</w:t>
      </w:r>
    </w:p>
    <w:p w:rsidR="00E5019F" w:rsidRPr="0071782F" w:rsidRDefault="00E5019F" w:rsidP="00E5019F">
      <w:pPr>
        <w:pStyle w:val="SingleTxtG"/>
        <w:ind w:left="1701"/>
        <w:rPr>
          <w:lang w:val="fr-CH"/>
        </w:rPr>
      </w:pPr>
      <w:r w:rsidRPr="0071782F">
        <w:rPr>
          <w:lang w:val="fr-CH"/>
        </w:rPr>
        <w:t>288.9.</w:t>
      </w:r>
      <w:r w:rsidRPr="0071782F">
        <w:rPr>
          <w:lang w:val="fr-CH"/>
        </w:rPr>
        <w:tab/>
      </w:r>
      <w:r w:rsidR="00556802" w:rsidRPr="0071782F">
        <w:rPr>
          <w:lang w:val="fr-CH"/>
        </w:rPr>
        <w:t xml:space="preserve">Assurance sociale pour les femmes chefs </w:t>
      </w:r>
      <w:r w:rsidR="0092511D" w:rsidRPr="0071782F">
        <w:rPr>
          <w:lang w:val="fr-CH"/>
        </w:rPr>
        <w:t>de famille</w:t>
      </w:r>
      <w:r w:rsidRPr="0071782F">
        <w:rPr>
          <w:lang w:val="fr-CH"/>
        </w:rPr>
        <w:t>.</w:t>
      </w:r>
    </w:p>
    <w:p w:rsidR="00E5019F" w:rsidRPr="0071782F" w:rsidRDefault="00E5019F" w:rsidP="00E5019F">
      <w:pPr>
        <w:pStyle w:val="SingleTxtG"/>
        <w:ind w:left="1701"/>
        <w:rPr>
          <w:lang w:val="fr-CH"/>
        </w:rPr>
      </w:pPr>
      <w:r w:rsidRPr="0071782F">
        <w:rPr>
          <w:lang w:val="fr-CH"/>
        </w:rPr>
        <w:t xml:space="preserve">288.10. </w:t>
      </w:r>
      <w:r w:rsidR="00556802" w:rsidRPr="0071782F">
        <w:rPr>
          <w:lang w:val="fr-CH"/>
        </w:rPr>
        <w:t xml:space="preserve">Groupes d’entraide constitués par des femmes chefs </w:t>
      </w:r>
      <w:r w:rsidR="0092511D" w:rsidRPr="0071782F">
        <w:rPr>
          <w:lang w:val="fr-CH"/>
        </w:rPr>
        <w:t>de famille</w:t>
      </w:r>
      <w:r w:rsidRPr="0071782F">
        <w:rPr>
          <w:lang w:val="fr-CH"/>
        </w:rPr>
        <w:t>.</w:t>
      </w:r>
    </w:p>
    <w:p w:rsidR="00E5019F" w:rsidRPr="0071782F" w:rsidRDefault="00E5019F" w:rsidP="00343FC0">
      <w:pPr>
        <w:pStyle w:val="H1G"/>
        <w:rPr>
          <w:lang w:val="fr-CH"/>
        </w:rPr>
      </w:pPr>
      <w:r w:rsidRPr="0071782F">
        <w:rPr>
          <w:lang w:val="fr-CH"/>
        </w:rPr>
        <w:tab/>
      </w:r>
      <w:r w:rsidRPr="0071782F">
        <w:rPr>
          <w:lang w:val="fr-CH"/>
        </w:rPr>
        <w:tab/>
      </w:r>
      <w:r w:rsidR="00556802" w:rsidRPr="0071782F">
        <w:rPr>
          <w:lang w:val="fr-CH"/>
        </w:rPr>
        <w:t xml:space="preserve">Renforcement de l’autonomie des femmes pour promouvoir l’institution familiale </w:t>
      </w:r>
    </w:p>
    <w:p w:rsidR="00E5019F" w:rsidRPr="0071782F" w:rsidRDefault="00E5019F" w:rsidP="00343FC0">
      <w:pPr>
        <w:pStyle w:val="SingleTxtG"/>
        <w:rPr>
          <w:lang w:val="fr-CH"/>
        </w:rPr>
      </w:pPr>
      <w:r w:rsidRPr="0071782F">
        <w:rPr>
          <w:lang w:val="fr-CH"/>
        </w:rPr>
        <w:t>289.</w:t>
      </w:r>
      <w:r w:rsidRPr="0071782F">
        <w:rPr>
          <w:lang w:val="fr-CH"/>
        </w:rPr>
        <w:tab/>
      </w:r>
      <w:r w:rsidR="00D61041"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289.1.</w:t>
      </w:r>
      <w:r w:rsidRPr="0071782F">
        <w:rPr>
          <w:lang w:val="fr-CH"/>
        </w:rPr>
        <w:tab/>
        <w:t>Ex</w:t>
      </w:r>
      <w:r w:rsidR="00BE3E6F" w:rsidRPr="0071782F">
        <w:rPr>
          <w:lang w:val="fr-CH"/>
        </w:rPr>
        <w:t>é</w:t>
      </w:r>
      <w:r w:rsidRPr="0071782F">
        <w:rPr>
          <w:lang w:val="fr-CH"/>
        </w:rPr>
        <w:t xml:space="preserve">cution </w:t>
      </w:r>
      <w:r w:rsidR="00BE3E6F" w:rsidRPr="0071782F">
        <w:rPr>
          <w:lang w:val="fr-CH"/>
        </w:rPr>
        <w:t xml:space="preserve">du </w:t>
      </w:r>
      <w:r w:rsidRPr="0071782F">
        <w:rPr>
          <w:lang w:val="fr-CH"/>
        </w:rPr>
        <w:t xml:space="preserve">plan </w:t>
      </w:r>
      <w:r w:rsidR="00BE3E6F" w:rsidRPr="0071782F">
        <w:rPr>
          <w:lang w:val="fr-CH"/>
        </w:rPr>
        <w:t xml:space="preserve">de renforcement de l’autonomie </w:t>
      </w:r>
      <w:r w:rsidR="004E45FB" w:rsidRPr="0071782F">
        <w:rPr>
          <w:lang w:val="fr-CH"/>
        </w:rPr>
        <w:t>des familles</w:t>
      </w:r>
      <w:r w:rsidR="00BE3E6F" w:rsidRPr="0071782F">
        <w:rPr>
          <w:lang w:val="fr-CH"/>
        </w:rPr>
        <w:t xml:space="preserve"> pauvres et des femmes chefs </w:t>
      </w:r>
      <w:r w:rsidR="0092511D" w:rsidRPr="0071782F">
        <w:rPr>
          <w:lang w:val="fr-CH"/>
        </w:rPr>
        <w:t>de famille</w:t>
      </w:r>
      <w:r w:rsidR="00BE3E6F" w:rsidRPr="0071782F">
        <w:rPr>
          <w:lang w:val="fr-CH"/>
        </w:rPr>
        <w:t xml:space="preserve"> en vue de recenser les potentialités, les talents, les intérêts, les compétences techniques ou professionnelles et les préoccupations et problèmes </w:t>
      </w:r>
      <w:r w:rsidR="004E45FB" w:rsidRPr="0071782F">
        <w:rPr>
          <w:lang w:val="fr-CH"/>
        </w:rPr>
        <w:t>des familles</w:t>
      </w:r>
      <w:r w:rsidR="00BE3E6F" w:rsidRPr="0071782F">
        <w:rPr>
          <w:lang w:val="fr-CH"/>
        </w:rPr>
        <w:t xml:space="preserve"> bénéficiaires de ces services</w:t>
      </w:r>
      <w:r w:rsidRPr="0071782F">
        <w:rPr>
          <w:lang w:val="fr-CH"/>
        </w:rPr>
        <w:t>.</w:t>
      </w:r>
    </w:p>
    <w:p w:rsidR="00E5019F" w:rsidRPr="0071782F" w:rsidRDefault="00E5019F" w:rsidP="00E5019F">
      <w:pPr>
        <w:pStyle w:val="SingleTxtG"/>
        <w:ind w:left="1701"/>
        <w:rPr>
          <w:lang w:val="fr-CH"/>
        </w:rPr>
      </w:pPr>
      <w:r w:rsidRPr="0071782F">
        <w:rPr>
          <w:lang w:val="fr-CH"/>
        </w:rPr>
        <w:t>289.2.</w:t>
      </w:r>
      <w:r w:rsidRPr="0071782F">
        <w:rPr>
          <w:lang w:val="fr-CH"/>
        </w:rPr>
        <w:tab/>
      </w:r>
      <w:r w:rsidR="00D91432" w:rsidRPr="0071782F">
        <w:rPr>
          <w:lang w:val="fr-CH"/>
        </w:rPr>
        <w:t>Plan de création de centres d’accueil temporaire et de fourniture d’un appui social aux femmes sans abri</w:t>
      </w:r>
      <w:r w:rsidRPr="0071782F">
        <w:rPr>
          <w:lang w:val="fr-CH"/>
        </w:rPr>
        <w:t>.</w:t>
      </w:r>
    </w:p>
    <w:p w:rsidR="00E5019F" w:rsidRPr="0071782F" w:rsidRDefault="00E5019F" w:rsidP="00E5019F">
      <w:pPr>
        <w:pStyle w:val="SingleTxtG"/>
        <w:ind w:left="1701"/>
        <w:rPr>
          <w:lang w:val="fr-CH"/>
        </w:rPr>
      </w:pPr>
      <w:r w:rsidRPr="0071782F">
        <w:rPr>
          <w:lang w:val="fr-CH"/>
        </w:rPr>
        <w:t>289.3.</w:t>
      </w:r>
      <w:r w:rsidRPr="0071782F">
        <w:rPr>
          <w:lang w:val="fr-CH"/>
        </w:rPr>
        <w:tab/>
      </w:r>
      <w:r w:rsidR="00D91432" w:rsidRPr="0071782F">
        <w:rPr>
          <w:lang w:val="fr-CH"/>
        </w:rPr>
        <w:t xml:space="preserve">Offre aux femmes chefs </w:t>
      </w:r>
      <w:r w:rsidR="0092511D" w:rsidRPr="0071782F">
        <w:rPr>
          <w:lang w:val="fr-CH"/>
        </w:rPr>
        <w:t>de famille</w:t>
      </w:r>
      <w:r w:rsidR="00D91432" w:rsidRPr="0071782F">
        <w:rPr>
          <w:lang w:val="fr-CH"/>
        </w:rPr>
        <w:t xml:space="preserve"> de possibilités d’accès aux mécanismes de formation technique et professionnelle, à l’acquisition de compétences, à l’emploi et à l’autonomisation.</w:t>
      </w:r>
    </w:p>
    <w:p w:rsidR="00E5019F" w:rsidRPr="0071782F" w:rsidRDefault="000A29B4" w:rsidP="00E5019F">
      <w:pPr>
        <w:pStyle w:val="SingleTxtG"/>
        <w:ind w:left="1701"/>
        <w:rPr>
          <w:lang w:val="fr-CH"/>
        </w:rPr>
      </w:pPr>
      <w:r w:rsidRPr="0071782F">
        <w:rPr>
          <w:lang w:val="fr-CH"/>
        </w:rPr>
        <w:t>289.4.</w:t>
      </w:r>
      <w:r w:rsidRPr="0071782F">
        <w:rPr>
          <w:lang w:val="fr-CH"/>
        </w:rPr>
        <w:tab/>
        <w:t>Exé</w:t>
      </w:r>
      <w:r w:rsidR="00E5019F" w:rsidRPr="0071782F">
        <w:rPr>
          <w:lang w:val="fr-CH"/>
        </w:rPr>
        <w:t xml:space="preserve">cution </w:t>
      </w:r>
      <w:r w:rsidRPr="0071782F">
        <w:rPr>
          <w:lang w:val="fr-CH"/>
        </w:rPr>
        <w:t>du P</w:t>
      </w:r>
      <w:r w:rsidR="00E5019F" w:rsidRPr="0071782F">
        <w:rPr>
          <w:lang w:val="fr-CH"/>
        </w:rPr>
        <w:t>rogram</w:t>
      </w:r>
      <w:r w:rsidRPr="0071782F">
        <w:rPr>
          <w:lang w:val="fr-CH"/>
        </w:rPr>
        <w:t xml:space="preserve">me de création de groupes d’entraide à l’appui des femmes chefs </w:t>
      </w:r>
      <w:r w:rsidR="00B71907" w:rsidRPr="0071782F">
        <w:rPr>
          <w:lang w:val="fr-CH"/>
        </w:rPr>
        <w:t>de famille,</w:t>
      </w:r>
      <w:r w:rsidRPr="0071782F">
        <w:rPr>
          <w:lang w:val="fr-CH"/>
        </w:rPr>
        <w:t xml:space="preserve"> visant à favoriser leur </w:t>
      </w:r>
      <w:r w:rsidR="00E5019F" w:rsidRPr="0071782F">
        <w:rPr>
          <w:lang w:val="fr-CH"/>
        </w:rPr>
        <w:t xml:space="preserve">participation </w:t>
      </w:r>
      <w:r w:rsidRPr="0071782F">
        <w:rPr>
          <w:lang w:val="fr-CH"/>
        </w:rPr>
        <w:t xml:space="preserve">au règlement de leurs problèmes sociaux et économiques au niveau </w:t>
      </w:r>
      <w:r w:rsidR="00E5019F" w:rsidRPr="0071782F">
        <w:rPr>
          <w:lang w:val="fr-CH"/>
        </w:rPr>
        <w:t>national.</w:t>
      </w:r>
    </w:p>
    <w:p w:rsidR="00E5019F" w:rsidRPr="0071782F" w:rsidRDefault="00E5019F" w:rsidP="00E5019F">
      <w:pPr>
        <w:pStyle w:val="SingleTxtG"/>
        <w:ind w:left="1701"/>
        <w:rPr>
          <w:lang w:val="fr-CH"/>
        </w:rPr>
      </w:pPr>
      <w:r w:rsidRPr="0071782F">
        <w:rPr>
          <w:lang w:val="fr-CH"/>
        </w:rPr>
        <w:t>289.5.</w:t>
      </w:r>
      <w:r w:rsidRPr="0071782F">
        <w:rPr>
          <w:lang w:val="fr-CH"/>
        </w:rPr>
        <w:tab/>
      </w:r>
      <w:r w:rsidR="00C70988" w:rsidRPr="0071782F">
        <w:rPr>
          <w:lang w:val="fr-CH"/>
        </w:rPr>
        <w:t xml:space="preserve">Plan de formation à la vie pratique à l’intention des enfants </w:t>
      </w:r>
      <w:r w:rsidR="004E45FB" w:rsidRPr="0071782F">
        <w:rPr>
          <w:lang w:val="fr-CH"/>
        </w:rPr>
        <w:t>des familles</w:t>
      </w:r>
      <w:r w:rsidR="00C70988" w:rsidRPr="0071782F">
        <w:rPr>
          <w:lang w:val="fr-CH"/>
        </w:rPr>
        <w:t xml:space="preserve"> </w:t>
      </w:r>
      <w:r w:rsidR="00D61041" w:rsidRPr="0071782F">
        <w:rPr>
          <w:lang w:val="fr-CH"/>
        </w:rPr>
        <w:t>bénéficiair</w:t>
      </w:r>
      <w:r w:rsidR="00C70988" w:rsidRPr="0071782F">
        <w:rPr>
          <w:lang w:val="fr-CH"/>
        </w:rPr>
        <w:t xml:space="preserve">es qui </w:t>
      </w:r>
      <w:r w:rsidR="00130AEB" w:rsidRPr="0071782F">
        <w:rPr>
          <w:lang w:val="fr-CH"/>
        </w:rPr>
        <w:t>ont des problèmes matrimoniaux</w:t>
      </w:r>
      <w:r w:rsidR="00C70988" w:rsidRPr="0071782F">
        <w:rPr>
          <w:lang w:val="fr-CH"/>
        </w:rPr>
        <w:t>, afin de réduire le taux de divorce, de promouvoir la qualité de la vie et de consolider l’institution familiale</w:t>
      </w:r>
      <w:r w:rsidRPr="0071782F">
        <w:rPr>
          <w:lang w:val="fr-CH"/>
        </w:rPr>
        <w:t>.</w:t>
      </w:r>
    </w:p>
    <w:p w:rsidR="00E5019F" w:rsidRPr="0071782F" w:rsidRDefault="00E5019F" w:rsidP="00E5019F">
      <w:pPr>
        <w:pStyle w:val="SingleTxtG"/>
        <w:ind w:left="1701"/>
        <w:rPr>
          <w:lang w:val="fr-CH"/>
        </w:rPr>
      </w:pPr>
      <w:r w:rsidRPr="0071782F">
        <w:rPr>
          <w:lang w:val="fr-CH"/>
        </w:rPr>
        <w:t>289.6.</w:t>
      </w:r>
      <w:r w:rsidRPr="0071782F">
        <w:rPr>
          <w:lang w:val="fr-CH"/>
        </w:rPr>
        <w:tab/>
      </w:r>
      <w:r w:rsidR="00C70988" w:rsidRPr="0071782F">
        <w:rPr>
          <w:lang w:val="fr-CH"/>
        </w:rPr>
        <w:t xml:space="preserve">Mise en </w:t>
      </w:r>
      <w:r w:rsidR="00D5366B" w:rsidRPr="0071782F">
        <w:rPr>
          <w:lang w:val="fr-CH"/>
        </w:rPr>
        <w:t>œuvre</w:t>
      </w:r>
      <w:r w:rsidR="00C70988" w:rsidRPr="0071782F">
        <w:rPr>
          <w:lang w:val="fr-CH"/>
        </w:rPr>
        <w:t xml:space="preserve"> du P</w:t>
      </w:r>
      <w:r w:rsidRPr="0071782F">
        <w:rPr>
          <w:lang w:val="fr-CH"/>
        </w:rPr>
        <w:t xml:space="preserve">lan </w:t>
      </w:r>
      <w:r w:rsidR="00C70988" w:rsidRPr="0071782F">
        <w:rPr>
          <w:lang w:val="fr-CH"/>
        </w:rPr>
        <w:t xml:space="preserve">d’amélioration des indicateurs du développement humain parmi les femmes chefs </w:t>
      </w:r>
      <w:r w:rsidR="0092511D" w:rsidRPr="0071782F">
        <w:rPr>
          <w:lang w:val="fr-CH"/>
        </w:rPr>
        <w:t>de famille</w:t>
      </w:r>
      <w:r w:rsidR="00C70988" w:rsidRPr="0071782F">
        <w:rPr>
          <w:lang w:val="fr-CH"/>
        </w:rPr>
        <w:t xml:space="preserve"> dans certaines provinces du pays.</w:t>
      </w:r>
    </w:p>
    <w:p w:rsidR="00E5019F" w:rsidRPr="00B350D6" w:rsidRDefault="00E5019F" w:rsidP="00E5019F">
      <w:pPr>
        <w:pStyle w:val="SingleTxtG"/>
        <w:ind w:left="1701"/>
        <w:rPr>
          <w:spacing w:val="-2"/>
          <w:lang w:val="fr-CH"/>
        </w:rPr>
      </w:pPr>
      <w:r w:rsidRPr="00B350D6">
        <w:rPr>
          <w:spacing w:val="-2"/>
          <w:lang w:val="fr-CH"/>
        </w:rPr>
        <w:t>289.7.</w:t>
      </w:r>
      <w:r w:rsidRPr="00B350D6">
        <w:rPr>
          <w:spacing w:val="-2"/>
          <w:lang w:val="fr-CH"/>
        </w:rPr>
        <w:tab/>
        <w:t>R</w:t>
      </w:r>
      <w:r w:rsidR="003F43D3" w:rsidRPr="00B350D6">
        <w:rPr>
          <w:spacing w:val="-2"/>
          <w:lang w:val="fr-CH"/>
        </w:rPr>
        <w:t>églementation des ONG au niveau provincial afin de recenser et de promouvoir les possibilités de participation de ces organisations aux activités sociales</w:t>
      </w:r>
      <w:r w:rsidRPr="00B350D6">
        <w:rPr>
          <w:spacing w:val="-2"/>
          <w:lang w:val="fr-CH"/>
        </w:rPr>
        <w:t>.</w:t>
      </w:r>
    </w:p>
    <w:p w:rsidR="00E5019F" w:rsidRPr="0071782F" w:rsidRDefault="00E5019F" w:rsidP="00E5019F">
      <w:pPr>
        <w:pStyle w:val="SingleTxtG"/>
        <w:ind w:left="1701"/>
        <w:rPr>
          <w:lang w:val="fr-CH"/>
        </w:rPr>
      </w:pPr>
      <w:r w:rsidRPr="0071782F">
        <w:rPr>
          <w:lang w:val="fr-CH"/>
        </w:rPr>
        <w:t>289.8.</w:t>
      </w:r>
      <w:r w:rsidRPr="0071782F">
        <w:rPr>
          <w:lang w:val="fr-CH"/>
        </w:rPr>
        <w:tab/>
      </w:r>
      <w:r w:rsidR="008A7BA2" w:rsidRPr="0071782F">
        <w:rPr>
          <w:lang w:val="fr-CH"/>
        </w:rPr>
        <w:t xml:space="preserve">Programme d’amélioration de la </w:t>
      </w:r>
      <w:r w:rsidRPr="0071782F">
        <w:rPr>
          <w:lang w:val="fr-CH"/>
        </w:rPr>
        <w:t xml:space="preserve">nutrition </w:t>
      </w:r>
      <w:r w:rsidR="004E45FB" w:rsidRPr="0071782F">
        <w:rPr>
          <w:lang w:val="fr-CH"/>
        </w:rPr>
        <w:t>des familles</w:t>
      </w:r>
      <w:r w:rsidR="008A7BA2" w:rsidRPr="0071782F">
        <w:rPr>
          <w:lang w:val="fr-CH"/>
        </w:rPr>
        <w:t xml:space="preserve"> </w:t>
      </w:r>
      <w:r w:rsidR="00D61041" w:rsidRPr="0071782F">
        <w:rPr>
          <w:lang w:val="fr-CH"/>
        </w:rPr>
        <w:t>bénéficiair</w:t>
      </w:r>
      <w:r w:rsidR="008A7BA2" w:rsidRPr="0071782F">
        <w:rPr>
          <w:lang w:val="fr-CH"/>
        </w:rPr>
        <w:t>es pour leur faciliter, en collaboration avec les ONG, l’accès à une alimentation adéquate</w:t>
      </w:r>
      <w:r w:rsidRPr="0071782F">
        <w:rPr>
          <w:lang w:val="fr-CH"/>
        </w:rPr>
        <w:t>.</w:t>
      </w:r>
    </w:p>
    <w:p w:rsidR="00E5019F" w:rsidRPr="0071782F" w:rsidRDefault="00E5019F" w:rsidP="00E5019F">
      <w:pPr>
        <w:pStyle w:val="SingleTxtG"/>
        <w:ind w:left="1701"/>
        <w:rPr>
          <w:lang w:val="fr-CH"/>
        </w:rPr>
      </w:pPr>
      <w:r w:rsidRPr="0071782F">
        <w:rPr>
          <w:lang w:val="fr-CH"/>
        </w:rPr>
        <w:t>289.9.</w:t>
      </w:r>
      <w:r w:rsidRPr="0071782F">
        <w:rPr>
          <w:lang w:val="fr-CH"/>
        </w:rPr>
        <w:tab/>
      </w:r>
      <w:r w:rsidR="00180444" w:rsidRPr="0071782F">
        <w:rPr>
          <w:lang w:val="fr-CH"/>
        </w:rPr>
        <w:t xml:space="preserve">Fourniture d’une assurance </w:t>
      </w:r>
      <w:r w:rsidRPr="0071782F">
        <w:rPr>
          <w:lang w:val="fr-CH"/>
        </w:rPr>
        <w:t>m</w:t>
      </w:r>
      <w:r w:rsidR="00180444" w:rsidRPr="0071782F">
        <w:rPr>
          <w:lang w:val="fr-CH"/>
        </w:rPr>
        <w:t>é</w:t>
      </w:r>
      <w:r w:rsidRPr="0071782F">
        <w:rPr>
          <w:lang w:val="fr-CH"/>
        </w:rPr>
        <w:t>dical</w:t>
      </w:r>
      <w:r w:rsidR="00180444" w:rsidRPr="0071782F">
        <w:rPr>
          <w:lang w:val="fr-CH"/>
        </w:rPr>
        <w:t xml:space="preserve">e aux bénéficiaires des </w:t>
      </w:r>
      <w:r w:rsidRPr="0071782F">
        <w:rPr>
          <w:lang w:val="fr-CH"/>
        </w:rPr>
        <w:t>service</w:t>
      </w:r>
      <w:r w:rsidR="00180444" w:rsidRPr="0071782F">
        <w:rPr>
          <w:lang w:val="fr-CH"/>
        </w:rPr>
        <w:t>s</w:t>
      </w:r>
      <w:r w:rsidRPr="0071782F">
        <w:rPr>
          <w:lang w:val="fr-CH"/>
        </w:rPr>
        <w:t xml:space="preserve"> </w:t>
      </w:r>
      <w:r w:rsidR="00180444" w:rsidRPr="0071782F">
        <w:rPr>
          <w:lang w:val="fr-CH"/>
        </w:rPr>
        <w:t xml:space="preserve">de l’Organisme public de protection sociale et création des conditions devant leur permettre de </w:t>
      </w:r>
      <w:r w:rsidR="00D61041" w:rsidRPr="0071782F">
        <w:rPr>
          <w:lang w:val="fr-CH"/>
        </w:rPr>
        <w:t>profite</w:t>
      </w:r>
      <w:r w:rsidR="00180444" w:rsidRPr="0071782F">
        <w:rPr>
          <w:lang w:val="fr-CH"/>
        </w:rPr>
        <w:t>r des avantages de cette assurance</w:t>
      </w:r>
      <w:r w:rsidRPr="0071782F">
        <w:rPr>
          <w:lang w:val="fr-CH"/>
        </w:rPr>
        <w:t>.</w:t>
      </w:r>
    </w:p>
    <w:p w:rsidR="00E5019F" w:rsidRPr="0071782F" w:rsidRDefault="00E5019F" w:rsidP="00E5019F">
      <w:pPr>
        <w:pStyle w:val="SingleTxtG"/>
        <w:ind w:left="1701"/>
        <w:rPr>
          <w:lang w:val="fr-CH"/>
        </w:rPr>
      </w:pPr>
      <w:r w:rsidRPr="0071782F">
        <w:rPr>
          <w:lang w:val="fr-CH"/>
        </w:rPr>
        <w:t xml:space="preserve">289.10. </w:t>
      </w:r>
      <w:r w:rsidR="009B55DF" w:rsidRPr="0071782F">
        <w:rPr>
          <w:lang w:val="fr-CH"/>
        </w:rPr>
        <w:t>Plan de création et de développement de cliniques de services sociaux, devant permettre d’étendre les services fournis aux couches les plus pauvres de la société et d’en améliorer le niveau</w:t>
      </w:r>
      <w:r w:rsidRPr="0071782F">
        <w:rPr>
          <w:lang w:val="fr-CH"/>
        </w:rPr>
        <w:t>.</w:t>
      </w:r>
    </w:p>
    <w:p w:rsidR="00E5019F" w:rsidRPr="0071782F" w:rsidRDefault="00E5019F" w:rsidP="00E5019F">
      <w:pPr>
        <w:pStyle w:val="SingleTxtG"/>
        <w:ind w:left="1701"/>
        <w:rPr>
          <w:lang w:val="fr-CH"/>
        </w:rPr>
      </w:pPr>
      <w:r w:rsidRPr="0071782F">
        <w:rPr>
          <w:lang w:val="fr-CH"/>
        </w:rPr>
        <w:t xml:space="preserve">289.11. </w:t>
      </w:r>
      <w:r w:rsidR="00332C60" w:rsidRPr="0071782F">
        <w:rPr>
          <w:lang w:val="fr-CH"/>
        </w:rPr>
        <w:t>P</w:t>
      </w:r>
      <w:r w:rsidRPr="0071782F">
        <w:rPr>
          <w:lang w:val="fr-CH"/>
        </w:rPr>
        <w:t>rogram</w:t>
      </w:r>
      <w:r w:rsidR="00332C60" w:rsidRPr="0071782F">
        <w:rPr>
          <w:lang w:val="fr-CH"/>
        </w:rPr>
        <w:t xml:space="preserve">me d’appui à la </w:t>
      </w:r>
      <w:r w:rsidRPr="0071782F">
        <w:rPr>
          <w:lang w:val="fr-CH"/>
        </w:rPr>
        <w:t xml:space="preserve">nutrition </w:t>
      </w:r>
      <w:r w:rsidR="00332C60" w:rsidRPr="0071782F">
        <w:rPr>
          <w:lang w:val="fr-CH"/>
        </w:rPr>
        <w:t>des femmes enceintes pauvres, afin d’améliorer l’état nutritionnel de ces femmes pendant leur grossesse et de prévenir la naissance d’enfants présentant des déficiences</w:t>
      </w:r>
      <w:r w:rsidRPr="0071782F">
        <w:rPr>
          <w:lang w:val="fr-CH"/>
        </w:rPr>
        <w:t>.</w:t>
      </w:r>
    </w:p>
    <w:p w:rsidR="00E5019F" w:rsidRPr="0071782F" w:rsidRDefault="00E5019F" w:rsidP="00E5019F">
      <w:pPr>
        <w:pStyle w:val="SingleTxtG"/>
        <w:ind w:left="1701"/>
        <w:rPr>
          <w:lang w:val="fr-CH"/>
        </w:rPr>
      </w:pPr>
      <w:r w:rsidRPr="0071782F">
        <w:rPr>
          <w:lang w:val="fr-CH"/>
        </w:rPr>
        <w:t xml:space="preserve">289.12. </w:t>
      </w:r>
      <w:r w:rsidR="00332C60" w:rsidRPr="0071782F">
        <w:rPr>
          <w:lang w:val="fr-CH"/>
        </w:rPr>
        <w:t>P</w:t>
      </w:r>
      <w:r w:rsidRPr="0071782F">
        <w:rPr>
          <w:lang w:val="fr-CH"/>
        </w:rPr>
        <w:t>rogram</w:t>
      </w:r>
      <w:r w:rsidR="00332C60" w:rsidRPr="0071782F">
        <w:rPr>
          <w:lang w:val="fr-CH"/>
        </w:rPr>
        <w:t xml:space="preserve">me d’appui </w:t>
      </w:r>
      <w:r w:rsidR="00175962" w:rsidRPr="0071782F">
        <w:rPr>
          <w:lang w:val="fr-CH"/>
        </w:rPr>
        <w:t>aux personnes</w:t>
      </w:r>
      <w:r w:rsidR="00332C60" w:rsidRPr="0071782F">
        <w:rPr>
          <w:lang w:val="fr-CH"/>
        </w:rPr>
        <w:t xml:space="preserve"> présentant des troubles de l’identité sexuelle, destiné à leur fournir des aides sociales, un traitement et des services juridiques et éducatifs.</w:t>
      </w:r>
    </w:p>
    <w:p w:rsidR="00E5019F" w:rsidRPr="0071782F" w:rsidRDefault="00E5019F" w:rsidP="00E5019F">
      <w:pPr>
        <w:pStyle w:val="SingleTxtG"/>
        <w:ind w:left="1701"/>
        <w:rPr>
          <w:lang w:val="fr-CH"/>
        </w:rPr>
      </w:pPr>
      <w:r w:rsidRPr="0071782F">
        <w:rPr>
          <w:lang w:val="fr-CH"/>
        </w:rPr>
        <w:t xml:space="preserve">289.13. </w:t>
      </w:r>
      <w:r w:rsidR="000A7B19" w:rsidRPr="0071782F">
        <w:rPr>
          <w:lang w:val="fr-CH"/>
        </w:rPr>
        <w:t>P</w:t>
      </w:r>
      <w:r w:rsidRPr="0071782F">
        <w:rPr>
          <w:lang w:val="fr-CH"/>
        </w:rPr>
        <w:t xml:space="preserve">lan </w:t>
      </w:r>
      <w:r w:rsidR="000A7B19" w:rsidRPr="0071782F">
        <w:rPr>
          <w:lang w:val="fr-CH"/>
        </w:rPr>
        <w:t>de régulation des affaires des enfants des rues, visant à les recenser, à les loger, à leur fournir des services de base et éducatifs, et à leur garantir la possibilité d’exercer leurs droits</w:t>
      </w:r>
      <w:r w:rsidRPr="0071782F">
        <w:rPr>
          <w:lang w:val="fr-CH"/>
        </w:rPr>
        <w:t>.</w:t>
      </w:r>
    </w:p>
    <w:p w:rsidR="00E5019F" w:rsidRPr="0071782F" w:rsidRDefault="00E5019F" w:rsidP="00E5019F">
      <w:pPr>
        <w:pStyle w:val="SingleTxtG"/>
        <w:ind w:left="1701"/>
        <w:rPr>
          <w:lang w:val="fr-CH"/>
        </w:rPr>
      </w:pPr>
      <w:r w:rsidRPr="0071782F">
        <w:rPr>
          <w:lang w:val="fr-CH"/>
        </w:rPr>
        <w:t xml:space="preserve">289.14. </w:t>
      </w:r>
      <w:r w:rsidR="000929EB" w:rsidRPr="0071782F">
        <w:rPr>
          <w:lang w:val="fr-CH"/>
        </w:rPr>
        <w:t xml:space="preserve">Mise en </w:t>
      </w:r>
      <w:r w:rsidR="00D5366B" w:rsidRPr="0071782F">
        <w:rPr>
          <w:lang w:val="fr-CH"/>
        </w:rPr>
        <w:t>œuvre</w:t>
      </w:r>
      <w:r w:rsidR="000929EB" w:rsidRPr="0071782F">
        <w:rPr>
          <w:lang w:val="fr-CH"/>
        </w:rPr>
        <w:t xml:space="preserve"> du </w:t>
      </w:r>
      <w:r w:rsidRPr="0071782F">
        <w:rPr>
          <w:lang w:val="fr-CH"/>
        </w:rPr>
        <w:t xml:space="preserve">plan </w:t>
      </w:r>
      <w:r w:rsidR="000929EB" w:rsidRPr="0071782F">
        <w:rPr>
          <w:lang w:val="fr-CH"/>
        </w:rPr>
        <w:t xml:space="preserve">de création de la permanence téléphonique d’urgence sociale </w:t>
      </w:r>
      <w:r w:rsidRPr="0071782F">
        <w:rPr>
          <w:lang w:val="fr-CH"/>
        </w:rPr>
        <w:t xml:space="preserve">(123) </w:t>
      </w:r>
      <w:r w:rsidR="000929EB" w:rsidRPr="0071782F">
        <w:rPr>
          <w:lang w:val="fr-CH"/>
        </w:rPr>
        <w:t xml:space="preserve">afin de venir en aide aux enfants </w:t>
      </w:r>
      <w:r w:rsidRPr="0071782F">
        <w:rPr>
          <w:lang w:val="fr-CH"/>
        </w:rPr>
        <w:t>(</w:t>
      </w:r>
      <w:r w:rsidR="000929EB" w:rsidRPr="0071782F">
        <w:rPr>
          <w:lang w:val="fr-CH"/>
        </w:rPr>
        <w:t>aux prises avec des violences physiques et sexuelles</w:t>
      </w:r>
      <w:r w:rsidRPr="0071782F">
        <w:rPr>
          <w:lang w:val="fr-CH"/>
        </w:rPr>
        <w:t xml:space="preserve">, etc.) </w:t>
      </w:r>
      <w:r w:rsidR="000929EB" w:rsidRPr="0071782F">
        <w:rPr>
          <w:lang w:val="fr-CH"/>
        </w:rPr>
        <w:t xml:space="preserve">et de </w:t>
      </w:r>
      <w:r w:rsidRPr="0071782F">
        <w:rPr>
          <w:lang w:val="fr-CH"/>
        </w:rPr>
        <w:t>pr</w:t>
      </w:r>
      <w:r w:rsidR="000929EB" w:rsidRPr="0071782F">
        <w:rPr>
          <w:lang w:val="fr-CH"/>
        </w:rPr>
        <w:t xml:space="preserve">évenir la </w:t>
      </w:r>
      <w:r w:rsidRPr="0071782F">
        <w:rPr>
          <w:lang w:val="fr-CH"/>
        </w:rPr>
        <w:t>violence</w:t>
      </w:r>
      <w:r w:rsidR="000929EB" w:rsidRPr="0071782F">
        <w:rPr>
          <w:lang w:val="fr-CH"/>
        </w:rPr>
        <w:t xml:space="preserve"> familiale</w:t>
      </w:r>
      <w:r w:rsidRPr="0071782F">
        <w:rPr>
          <w:lang w:val="fr-CH"/>
        </w:rPr>
        <w:t>.</w:t>
      </w:r>
    </w:p>
    <w:p w:rsidR="00E5019F" w:rsidRPr="0071782F" w:rsidRDefault="00E5019F" w:rsidP="00E5019F">
      <w:pPr>
        <w:pStyle w:val="SingleTxtG"/>
        <w:ind w:left="1701"/>
        <w:rPr>
          <w:lang w:val="fr-CH"/>
        </w:rPr>
      </w:pPr>
      <w:r w:rsidRPr="0071782F">
        <w:rPr>
          <w:lang w:val="fr-CH"/>
        </w:rPr>
        <w:t xml:space="preserve">289.15. </w:t>
      </w:r>
      <w:r w:rsidR="003C62B9" w:rsidRPr="0071782F">
        <w:rPr>
          <w:lang w:val="fr-CH"/>
        </w:rPr>
        <w:t xml:space="preserve">Exécution dans toutes les provinces du pays du Plan de création du Centre d’intervention </w:t>
      </w:r>
      <w:r w:rsidR="007708CD" w:rsidRPr="0071782F">
        <w:rPr>
          <w:lang w:val="fr-CH"/>
        </w:rPr>
        <w:t>en cas de situation familiale critique</w:t>
      </w:r>
      <w:r w:rsidR="003C62B9" w:rsidRPr="0071782F">
        <w:rPr>
          <w:lang w:val="fr-CH"/>
        </w:rPr>
        <w:t>, afin de réduire le taux de divorce</w:t>
      </w:r>
      <w:r w:rsidRPr="0071782F">
        <w:rPr>
          <w:lang w:val="fr-CH"/>
        </w:rPr>
        <w:t xml:space="preserve">, </w:t>
      </w:r>
      <w:r w:rsidR="003C62B9" w:rsidRPr="0071782F">
        <w:rPr>
          <w:lang w:val="fr-CH"/>
        </w:rPr>
        <w:t xml:space="preserve">de </w:t>
      </w:r>
      <w:r w:rsidRPr="0071782F">
        <w:rPr>
          <w:lang w:val="fr-CH"/>
        </w:rPr>
        <w:t>pr</w:t>
      </w:r>
      <w:r w:rsidR="003C62B9" w:rsidRPr="0071782F">
        <w:rPr>
          <w:lang w:val="fr-CH"/>
        </w:rPr>
        <w:t>é</w:t>
      </w:r>
      <w:r w:rsidRPr="0071782F">
        <w:rPr>
          <w:lang w:val="fr-CH"/>
        </w:rPr>
        <w:t>serve</w:t>
      </w:r>
      <w:r w:rsidR="003C62B9" w:rsidRPr="0071782F">
        <w:rPr>
          <w:lang w:val="fr-CH"/>
        </w:rPr>
        <w:t xml:space="preserve">r et protéger l’institution familiale et de réduire les préjudices sociaux découlant du </w:t>
      </w:r>
      <w:r w:rsidRPr="0071782F">
        <w:rPr>
          <w:lang w:val="fr-CH"/>
        </w:rPr>
        <w:t>divorce.</w:t>
      </w:r>
    </w:p>
    <w:p w:rsidR="00E5019F" w:rsidRPr="0071782F" w:rsidRDefault="00E5019F" w:rsidP="00E5019F">
      <w:pPr>
        <w:pStyle w:val="SingleTxtG"/>
        <w:ind w:left="1701"/>
        <w:rPr>
          <w:lang w:val="fr-CH"/>
        </w:rPr>
      </w:pPr>
      <w:r w:rsidRPr="0071782F">
        <w:rPr>
          <w:lang w:val="fr-CH"/>
        </w:rPr>
        <w:t xml:space="preserve">289.16. </w:t>
      </w:r>
      <w:r w:rsidR="00630107" w:rsidRPr="0071782F">
        <w:rPr>
          <w:lang w:val="fr-CH"/>
        </w:rPr>
        <w:t>P</w:t>
      </w:r>
      <w:r w:rsidRPr="0071782F">
        <w:rPr>
          <w:lang w:val="fr-CH"/>
        </w:rPr>
        <w:t xml:space="preserve">lan </w:t>
      </w:r>
      <w:r w:rsidR="00630107" w:rsidRPr="0071782F">
        <w:rPr>
          <w:lang w:val="fr-CH"/>
        </w:rPr>
        <w:t>de création de maisons de santé (foyers pour enfants des rues), visant à prévenir les préjudices sociaux et la propagation des maladies infectieuses et contagieuses parmi ces enfants, et à leur garantir la possibilité d’exercer leurs droits.</w:t>
      </w:r>
    </w:p>
    <w:p w:rsidR="00E5019F" w:rsidRPr="0071782F" w:rsidRDefault="00E5019F" w:rsidP="00E5019F">
      <w:pPr>
        <w:pStyle w:val="SingleTxtG"/>
        <w:ind w:left="1701"/>
        <w:rPr>
          <w:lang w:val="fr-CH"/>
        </w:rPr>
      </w:pPr>
      <w:r w:rsidRPr="0071782F">
        <w:rPr>
          <w:lang w:val="fr-CH"/>
        </w:rPr>
        <w:t xml:space="preserve">289.17. </w:t>
      </w:r>
      <w:r w:rsidR="00630107" w:rsidRPr="0071782F">
        <w:rPr>
          <w:lang w:val="fr-CH"/>
        </w:rPr>
        <w:t xml:space="preserve">Plan de création de centres de réadaptation des femmes victimes de préjudices sociaux, visant à fournir des mécanismes de réadaptation </w:t>
      </w:r>
      <w:r w:rsidRPr="0071782F">
        <w:rPr>
          <w:lang w:val="fr-CH"/>
        </w:rPr>
        <w:t>mental</w:t>
      </w:r>
      <w:r w:rsidR="00630107" w:rsidRPr="0071782F">
        <w:rPr>
          <w:lang w:val="fr-CH"/>
        </w:rPr>
        <w:t>e et</w:t>
      </w:r>
      <w:r w:rsidRPr="0071782F">
        <w:rPr>
          <w:lang w:val="fr-CH"/>
        </w:rPr>
        <w:t xml:space="preserve"> social</w:t>
      </w:r>
      <w:r w:rsidR="00630107" w:rsidRPr="0071782F">
        <w:rPr>
          <w:lang w:val="fr-CH"/>
        </w:rPr>
        <w:t>e</w:t>
      </w:r>
      <w:r w:rsidRPr="0071782F">
        <w:rPr>
          <w:lang w:val="fr-CH"/>
        </w:rPr>
        <w:t xml:space="preserve"> </w:t>
      </w:r>
      <w:r w:rsidR="00630107" w:rsidRPr="0071782F">
        <w:rPr>
          <w:lang w:val="fr-CH"/>
        </w:rPr>
        <w:t>des femmes et filles en situation de risque ou victimes de tels préjudices et à en prévenir l’extension</w:t>
      </w:r>
      <w:r w:rsidRPr="0071782F">
        <w:rPr>
          <w:lang w:val="fr-CH"/>
        </w:rPr>
        <w:t>.</w:t>
      </w:r>
    </w:p>
    <w:p w:rsidR="00E5019F" w:rsidRPr="0071782F" w:rsidRDefault="00E5019F" w:rsidP="00E5019F">
      <w:pPr>
        <w:pStyle w:val="SingleTxtG"/>
        <w:ind w:left="1701"/>
        <w:rPr>
          <w:lang w:val="fr-CH"/>
        </w:rPr>
      </w:pPr>
      <w:r w:rsidRPr="0071782F">
        <w:rPr>
          <w:lang w:val="fr-CH"/>
        </w:rPr>
        <w:t xml:space="preserve">289.18. </w:t>
      </w:r>
      <w:r w:rsidR="003D0AEA" w:rsidRPr="0071782F">
        <w:rPr>
          <w:lang w:val="fr-CH"/>
        </w:rPr>
        <w:t xml:space="preserve">Création de maisons de santé pour filles dans différentes </w:t>
      </w:r>
      <w:r w:rsidRPr="0071782F">
        <w:rPr>
          <w:lang w:val="fr-CH"/>
        </w:rPr>
        <w:t xml:space="preserve">provinces </w:t>
      </w:r>
      <w:r w:rsidR="003D0AEA" w:rsidRPr="0071782F">
        <w:rPr>
          <w:lang w:val="fr-CH"/>
        </w:rPr>
        <w:t>du pays, afin de loger et d’aider les filles ayant besoin d’un appui social sans avoir de problèmes éthiques et sans avoir besoin de services de réadaptation</w:t>
      </w:r>
      <w:r w:rsidRPr="0071782F">
        <w:rPr>
          <w:lang w:val="fr-CH"/>
        </w:rPr>
        <w:t>.</w:t>
      </w:r>
    </w:p>
    <w:p w:rsidR="00E5019F" w:rsidRPr="0071782F" w:rsidRDefault="00E5019F" w:rsidP="00E5019F">
      <w:pPr>
        <w:pStyle w:val="SingleTxtG"/>
        <w:ind w:left="1701"/>
        <w:rPr>
          <w:lang w:val="fr-CH"/>
        </w:rPr>
      </w:pPr>
      <w:r w:rsidRPr="0071782F">
        <w:rPr>
          <w:lang w:val="fr-CH"/>
        </w:rPr>
        <w:t xml:space="preserve">289.19. </w:t>
      </w:r>
      <w:r w:rsidR="007708CD" w:rsidRPr="0071782F">
        <w:rPr>
          <w:lang w:val="fr-CH"/>
        </w:rPr>
        <w:t xml:space="preserve">Création du Centre d’intervention en cas d’urgence sociale (crise </w:t>
      </w:r>
      <w:r w:rsidRPr="0071782F">
        <w:rPr>
          <w:lang w:val="fr-CH"/>
        </w:rPr>
        <w:t>individu</w:t>
      </w:r>
      <w:r w:rsidR="007708CD" w:rsidRPr="0071782F">
        <w:rPr>
          <w:lang w:val="fr-CH"/>
        </w:rPr>
        <w:t>elle</w:t>
      </w:r>
      <w:r w:rsidRPr="0071782F">
        <w:rPr>
          <w:lang w:val="fr-CH"/>
        </w:rPr>
        <w:t>, famil</w:t>
      </w:r>
      <w:r w:rsidR="007708CD" w:rsidRPr="0071782F">
        <w:rPr>
          <w:lang w:val="fr-CH"/>
        </w:rPr>
        <w:t>iale</w:t>
      </w:r>
      <w:r w:rsidRPr="0071782F">
        <w:rPr>
          <w:lang w:val="fr-CH"/>
        </w:rPr>
        <w:t xml:space="preserve"> </w:t>
      </w:r>
      <w:r w:rsidR="007708CD" w:rsidRPr="0071782F">
        <w:rPr>
          <w:lang w:val="fr-CH"/>
        </w:rPr>
        <w:t>et</w:t>
      </w:r>
      <w:r w:rsidRPr="0071782F">
        <w:rPr>
          <w:lang w:val="fr-CH"/>
        </w:rPr>
        <w:t xml:space="preserve"> social</w:t>
      </w:r>
      <w:r w:rsidR="007708CD" w:rsidRPr="0071782F">
        <w:rPr>
          <w:lang w:val="fr-CH"/>
        </w:rPr>
        <w:t>e</w:t>
      </w:r>
      <w:r w:rsidRPr="0071782F">
        <w:rPr>
          <w:lang w:val="fr-CH"/>
        </w:rPr>
        <w:t>)</w:t>
      </w:r>
      <w:r w:rsidR="007708CD" w:rsidRPr="0071782F">
        <w:rPr>
          <w:lang w:val="fr-CH"/>
        </w:rPr>
        <w:t xml:space="preserve">, visant à fournir d’urgence des services </w:t>
      </w:r>
      <w:r w:rsidRPr="0071782F">
        <w:rPr>
          <w:lang w:val="fr-CH"/>
        </w:rPr>
        <w:t>sp</w:t>
      </w:r>
      <w:r w:rsidR="007708CD" w:rsidRPr="0071782F">
        <w:rPr>
          <w:lang w:val="fr-CH"/>
        </w:rPr>
        <w:t>é</w:t>
      </w:r>
      <w:r w:rsidRPr="0071782F">
        <w:rPr>
          <w:lang w:val="fr-CH"/>
        </w:rPr>
        <w:t>ciali</w:t>
      </w:r>
      <w:r w:rsidR="007708CD" w:rsidRPr="0071782F">
        <w:rPr>
          <w:lang w:val="fr-CH"/>
        </w:rPr>
        <w:t xml:space="preserve">sés </w:t>
      </w:r>
      <w:r w:rsidR="00175962" w:rsidRPr="0071782F">
        <w:rPr>
          <w:lang w:val="fr-CH"/>
        </w:rPr>
        <w:t>aux personnes</w:t>
      </w:r>
      <w:r w:rsidR="007708CD" w:rsidRPr="0071782F">
        <w:rPr>
          <w:lang w:val="fr-CH"/>
        </w:rPr>
        <w:t xml:space="preserve"> victimes ou risquant d’être victimes de préjudices sociaux</w:t>
      </w:r>
      <w:r w:rsidRPr="0071782F">
        <w:rPr>
          <w:lang w:val="fr-CH"/>
        </w:rPr>
        <w:t xml:space="preserve"> </w:t>
      </w:r>
      <w:r w:rsidR="007708CD" w:rsidRPr="0071782F">
        <w:rPr>
          <w:lang w:val="fr-CH"/>
        </w:rPr>
        <w:t xml:space="preserve">pour empêcher que leur situation ne s’aggrave. </w:t>
      </w:r>
    </w:p>
    <w:p w:rsidR="00E5019F" w:rsidRPr="0071782F" w:rsidRDefault="00E5019F" w:rsidP="00E5019F">
      <w:pPr>
        <w:pStyle w:val="H1G"/>
        <w:rPr>
          <w:lang w:val="fr-CH"/>
        </w:rPr>
      </w:pPr>
      <w:r w:rsidRPr="0071782F">
        <w:rPr>
          <w:lang w:val="fr-CH"/>
        </w:rPr>
        <w:tab/>
      </w:r>
      <w:r w:rsidRPr="0071782F">
        <w:rPr>
          <w:lang w:val="fr-CH"/>
        </w:rPr>
        <w:tab/>
      </w:r>
      <w:r w:rsidR="007708CD" w:rsidRPr="0071782F">
        <w:rPr>
          <w:lang w:val="fr-CH"/>
        </w:rPr>
        <w:t xml:space="preserve">Plans d’autonomisation des femmes </w:t>
      </w:r>
    </w:p>
    <w:p w:rsidR="00E5019F" w:rsidRPr="0071782F" w:rsidRDefault="00E5019F" w:rsidP="002C30DA">
      <w:pPr>
        <w:pStyle w:val="SingleTxtG"/>
        <w:rPr>
          <w:lang w:val="fr-CH"/>
        </w:rPr>
      </w:pPr>
      <w:r w:rsidRPr="0071782F">
        <w:rPr>
          <w:lang w:val="fr-CH"/>
        </w:rPr>
        <w:t>290.</w:t>
      </w:r>
      <w:r w:rsidRPr="0071782F">
        <w:rPr>
          <w:lang w:val="fr-CH"/>
        </w:rPr>
        <w:tab/>
      </w:r>
      <w:r w:rsidR="007708CD" w:rsidRPr="0071782F">
        <w:rPr>
          <w:lang w:val="fr-CH"/>
        </w:rPr>
        <w:t>Il s’agit notamment des plans et initiatives suivants</w:t>
      </w:r>
      <w:r w:rsidR="008F7D33" w:rsidRPr="0071782F">
        <w:rPr>
          <w:lang w:val="fr-CH"/>
        </w:rPr>
        <w:t>:</w:t>
      </w:r>
    </w:p>
    <w:p w:rsidR="00E5019F" w:rsidRPr="0071782F" w:rsidRDefault="00E5019F" w:rsidP="00E5019F">
      <w:pPr>
        <w:pStyle w:val="SingleTxtG"/>
        <w:ind w:left="1701"/>
        <w:rPr>
          <w:lang w:val="fr-CH"/>
        </w:rPr>
      </w:pPr>
      <w:r w:rsidRPr="0071782F">
        <w:rPr>
          <w:lang w:val="fr-CH"/>
        </w:rPr>
        <w:t>290.1.</w:t>
      </w:r>
      <w:r w:rsidRPr="0071782F">
        <w:rPr>
          <w:lang w:val="fr-CH"/>
        </w:rPr>
        <w:tab/>
      </w:r>
      <w:r w:rsidR="001C453B" w:rsidRPr="0071782F">
        <w:rPr>
          <w:lang w:val="fr-CH"/>
        </w:rPr>
        <w:t xml:space="preserve">Mise en </w:t>
      </w:r>
      <w:r w:rsidR="00D5366B" w:rsidRPr="0071782F">
        <w:rPr>
          <w:lang w:val="fr-CH"/>
        </w:rPr>
        <w:t>œuvre</w:t>
      </w:r>
      <w:r w:rsidR="001C453B" w:rsidRPr="0071782F">
        <w:rPr>
          <w:lang w:val="fr-CH"/>
        </w:rPr>
        <w:t xml:space="preserve"> du P</w:t>
      </w:r>
      <w:r w:rsidRPr="0071782F">
        <w:rPr>
          <w:lang w:val="fr-CH"/>
        </w:rPr>
        <w:t xml:space="preserve">lan </w:t>
      </w:r>
      <w:r w:rsidR="001C453B" w:rsidRPr="0071782F">
        <w:rPr>
          <w:lang w:val="fr-CH"/>
        </w:rPr>
        <w:t xml:space="preserve">d’amélioration des indicateurs du développement humain parmi les femmes chefs </w:t>
      </w:r>
      <w:r w:rsidR="0092511D" w:rsidRPr="0071782F">
        <w:rPr>
          <w:lang w:val="fr-CH"/>
        </w:rPr>
        <w:t>de famille</w:t>
      </w:r>
      <w:r w:rsidR="001C453B" w:rsidRPr="0071782F">
        <w:rPr>
          <w:lang w:val="fr-CH"/>
        </w:rPr>
        <w:t xml:space="preserve"> </w:t>
      </w:r>
      <w:r w:rsidRPr="0071782F">
        <w:rPr>
          <w:lang w:val="fr-CH"/>
        </w:rPr>
        <w:t>(</w:t>
      </w:r>
      <w:r w:rsidR="001C453B" w:rsidRPr="0071782F">
        <w:rPr>
          <w:lang w:val="fr-CH"/>
        </w:rPr>
        <w:t xml:space="preserve">dans les zones </w:t>
      </w:r>
      <w:r w:rsidRPr="0071782F">
        <w:rPr>
          <w:lang w:val="fr-CH"/>
        </w:rPr>
        <w:t>urba</w:t>
      </w:r>
      <w:r w:rsidR="001C453B" w:rsidRPr="0071782F">
        <w:rPr>
          <w:lang w:val="fr-CH"/>
        </w:rPr>
        <w:t xml:space="preserve">ines et </w:t>
      </w:r>
      <w:r w:rsidRPr="0071782F">
        <w:rPr>
          <w:lang w:val="fr-CH"/>
        </w:rPr>
        <w:t>rural</w:t>
      </w:r>
      <w:r w:rsidR="001C453B" w:rsidRPr="0071782F">
        <w:rPr>
          <w:lang w:val="fr-CH"/>
        </w:rPr>
        <w:t>es</w:t>
      </w:r>
      <w:r w:rsidRPr="0071782F">
        <w:rPr>
          <w:lang w:val="fr-CH"/>
        </w:rPr>
        <w:t>).</w:t>
      </w:r>
    </w:p>
    <w:p w:rsidR="00E5019F" w:rsidRPr="0071782F" w:rsidRDefault="00E5019F" w:rsidP="00E5019F">
      <w:pPr>
        <w:pStyle w:val="SingleTxtG"/>
        <w:ind w:left="1701"/>
        <w:rPr>
          <w:lang w:val="fr-CH"/>
        </w:rPr>
      </w:pPr>
      <w:r w:rsidRPr="0071782F">
        <w:rPr>
          <w:lang w:val="fr-CH"/>
        </w:rPr>
        <w:t>290.2.</w:t>
      </w:r>
      <w:r w:rsidRPr="0071782F">
        <w:rPr>
          <w:lang w:val="fr-CH"/>
        </w:rPr>
        <w:tab/>
      </w:r>
      <w:r w:rsidR="001C453B" w:rsidRPr="0071782F">
        <w:rPr>
          <w:lang w:val="fr-CH"/>
        </w:rPr>
        <w:t>Appui aux groupes à faible revenu et</w:t>
      </w:r>
      <w:r w:rsidRPr="0071782F">
        <w:rPr>
          <w:lang w:val="fr-CH"/>
        </w:rPr>
        <w:t xml:space="preserve"> vuln</w:t>
      </w:r>
      <w:r w:rsidR="001C453B" w:rsidRPr="0071782F">
        <w:rPr>
          <w:lang w:val="fr-CH"/>
        </w:rPr>
        <w:t>é</w:t>
      </w:r>
      <w:r w:rsidRPr="0071782F">
        <w:rPr>
          <w:lang w:val="fr-CH"/>
        </w:rPr>
        <w:t>rable</w:t>
      </w:r>
      <w:r w:rsidR="001C453B" w:rsidRPr="0071782F">
        <w:rPr>
          <w:lang w:val="fr-CH"/>
        </w:rPr>
        <w:t xml:space="preserve">s de la </w:t>
      </w:r>
      <w:r w:rsidRPr="0071782F">
        <w:rPr>
          <w:lang w:val="fr-CH"/>
        </w:rPr>
        <w:t>soci</w:t>
      </w:r>
      <w:r w:rsidR="001C453B" w:rsidRPr="0071782F">
        <w:rPr>
          <w:lang w:val="fr-CH"/>
        </w:rPr>
        <w:t>été</w:t>
      </w:r>
      <w:r w:rsidRPr="0071782F">
        <w:rPr>
          <w:lang w:val="fr-CH"/>
        </w:rPr>
        <w:t xml:space="preserve"> </w:t>
      </w:r>
      <w:r w:rsidR="001C453B" w:rsidRPr="0071782F">
        <w:rPr>
          <w:lang w:val="fr-CH"/>
        </w:rPr>
        <w:t xml:space="preserve">afin de faciliter leur </w:t>
      </w:r>
      <w:r w:rsidRPr="0071782F">
        <w:rPr>
          <w:lang w:val="fr-CH"/>
        </w:rPr>
        <w:t xml:space="preserve">adaptation </w:t>
      </w:r>
      <w:r w:rsidR="001C453B" w:rsidRPr="0071782F">
        <w:rPr>
          <w:lang w:val="fr-CH"/>
        </w:rPr>
        <w:t>aux</w:t>
      </w:r>
      <w:r w:rsidRPr="0071782F">
        <w:rPr>
          <w:lang w:val="fr-CH"/>
        </w:rPr>
        <w:t xml:space="preserve"> conditions </w:t>
      </w:r>
      <w:r w:rsidR="001C453B" w:rsidRPr="0071782F">
        <w:rPr>
          <w:lang w:val="fr-CH"/>
        </w:rPr>
        <w:t xml:space="preserve">sociales pouvant contribuer à réaliser le développement </w:t>
      </w:r>
      <w:r w:rsidRPr="0071782F">
        <w:rPr>
          <w:lang w:val="fr-CH"/>
        </w:rPr>
        <w:t xml:space="preserve">social </w:t>
      </w:r>
      <w:r w:rsidR="001C453B" w:rsidRPr="0071782F">
        <w:rPr>
          <w:lang w:val="fr-CH"/>
        </w:rPr>
        <w:t>du pays</w:t>
      </w:r>
      <w:r w:rsidRPr="0071782F">
        <w:rPr>
          <w:lang w:val="fr-CH"/>
        </w:rPr>
        <w:t>.</w:t>
      </w:r>
    </w:p>
    <w:p w:rsidR="00E5019F" w:rsidRPr="0071782F" w:rsidRDefault="00E5019F" w:rsidP="00E5019F">
      <w:pPr>
        <w:pStyle w:val="SingleTxtG"/>
        <w:ind w:left="1701"/>
        <w:rPr>
          <w:lang w:val="fr-CH"/>
        </w:rPr>
      </w:pPr>
      <w:r w:rsidRPr="0071782F">
        <w:rPr>
          <w:lang w:val="fr-CH"/>
        </w:rPr>
        <w:t>290.3.</w:t>
      </w:r>
      <w:r w:rsidRPr="0071782F">
        <w:rPr>
          <w:lang w:val="fr-CH"/>
        </w:rPr>
        <w:tab/>
      </w:r>
      <w:r w:rsidR="000F24FB" w:rsidRPr="0071782F">
        <w:rPr>
          <w:lang w:val="fr-CH"/>
        </w:rPr>
        <w:t>Le P</w:t>
      </w:r>
      <w:r w:rsidRPr="0071782F">
        <w:rPr>
          <w:lang w:val="fr-CH"/>
        </w:rPr>
        <w:t xml:space="preserve">lan </w:t>
      </w:r>
      <w:r w:rsidR="000F24FB" w:rsidRPr="0071782F">
        <w:rPr>
          <w:lang w:val="fr-CH"/>
        </w:rPr>
        <w:t xml:space="preserve">de </w:t>
      </w:r>
      <w:r w:rsidRPr="0071782F">
        <w:rPr>
          <w:lang w:val="fr-CH"/>
        </w:rPr>
        <w:t xml:space="preserve">promotion </w:t>
      </w:r>
      <w:r w:rsidR="000F24FB" w:rsidRPr="0071782F">
        <w:rPr>
          <w:lang w:val="fr-CH"/>
        </w:rPr>
        <w:t xml:space="preserve">de la qualité de la vie est conforme aux exigences du développement humain durable des femmes chefs </w:t>
      </w:r>
      <w:r w:rsidR="0092511D" w:rsidRPr="0071782F">
        <w:rPr>
          <w:lang w:val="fr-CH"/>
        </w:rPr>
        <w:t>de famille</w:t>
      </w:r>
      <w:r w:rsidR="000F24FB" w:rsidRPr="0071782F">
        <w:rPr>
          <w:lang w:val="fr-CH"/>
        </w:rPr>
        <w:t xml:space="preserve"> et vise à améliorer les </w:t>
      </w:r>
      <w:r w:rsidRPr="0071782F">
        <w:rPr>
          <w:lang w:val="fr-CH"/>
        </w:rPr>
        <w:t>indicat</w:t>
      </w:r>
      <w:r w:rsidR="000F24FB" w:rsidRPr="0071782F">
        <w:rPr>
          <w:lang w:val="fr-CH"/>
        </w:rPr>
        <w:t>eu</w:t>
      </w:r>
      <w:r w:rsidRPr="0071782F">
        <w:rPr>
          <w:lang w:val="fr-CH"/>
        </w:rPr>
        <w:t xml:space="preserve">rs </w:t>
      </w:r>
      <w:r w:rsidR="000F24FB" w:rsidRPr="0071782F">
        <w:rPr>
          <w:lang w:val="fr-CH"/>
        </w:rPr>
        <w:t xml:space="preserve">sociaux de la population cible et à lui faciliter l’accès aux moyens matériels et intellectuels, tant présents que futurs, de nature à favoriser une vie </w:t>
      </w:r>
      <w:r w:rsidRPr="0071782F">
        <w:rPr>
          <w:lang w:val="fr-CH"/>
        </w:rPr>
        <w:t>ind</w:t>
      </w:r>
      <w:r w:rsidR="000F24FB" w:rsidRPr="0071782F">
        <w:rPr>
          <w:lang w:val="fr-CH"/>
        </w:rPr>
        <w:t xml:space="preserve">épendante et une meilleure longévité en bonne santé. Exécuté à titre expérimental dans cinq </w:t>
      </w:r>
      <w:r w:rsidRPr="0071782F">
        <w:rPr>
          <w:lang w:val="fr-CH"/>
        </w:rPr>
        <w:t xml:space="preserve">provinces </w:t>
      </w:r>
      <w:r w:rsidR="000F24FB" w:rsidRPr="0071782F">
        <w:rPr>
          <w:lang w:val="fr-CH"/>
        </w:rPr>
        <w:t>e</w:t>
      </w:r>
      <w:r w:rsidRPr="0071782F">
        <w:rPr>
          <w:lang w:val="fr-CH"/>
        </w:rPr>
        <w:t>n 2001</w:t>
      </w:r>
      <w:r w:rsidR="000F24FB" w:rsidRPr="0071782F">
        <w:rPr>
          <w:lang w:val="fr-CH"/>
        </w:rPr>
        <w:t xml:space="preserve">, ce Plan a été étendu à 13 </w:t>
      </w:r>
      <w:r w:rsidRPr="0071782F">
        <w:rPr>
          <w:lang w:val="fr-CH"/>
        </w:rPr>
        <w:t xml:space="preserve">provinces </w:t>
      </w:r>
      <w:r w:rsidR="000F24FB" w:rsidRPr="0071782F">
        <w:rPr>
          <w:lang w:val="fr-CH"/>
        </w:rPr>
        <w:t>e</w:t>
      </w:r>
      <w:r w:rsidRPr="0071782F">
        <w:rPr>
          <w:lang w:val="fr-CH"/>
        </w:rPr>
        <w:t>n 2006.</w:t>
      </w:r>
    </w:p>
    <w:p w:rsidR="00E5019F" w:rsidRPr="0071782F" w:rsidRDefault="00E5019F" w:rsidP="00E5019F">
      <w:pPr>
        <w:pStyle w:val="SingleTxtG"/>
        <w:ind w:left="1701"/>
        <w:rPr>
          <w:lang w:val="fr-CH"/>
        </w:rPr>
      </w:pPr>
      <w:r w:rsidRPr="0071782F">
        <w:rPr>
          <w:lang w:val="fr-CH"/>
        </w:rPr>
        <w:t>290.4.</w:t>
      </w:r>
      <w:r w:rsidRPr="0071782F">
        <w:rPr>
          <w:lang w:val="fr-CH"/>
        </w:rPr>
        <w:tab/>
      </w:r>
      <w:r w:rsidR="00130AEB" w:rsidRPr="0071782F">
        <w:rPr>
          <w:lang w:val="fr-CH"/>
        </w:rPr>
        <w:t xml:space="preserve">Plan de formation à la vie pratique à l’intention des enfants </w:t>
      </w:r>
      <w:r w:rsidR="004E45FB" w:rsidRPr="0071782F">
        <w:rPr>
          <w:lang w:val="fr-CH"/>
        </w:rPr>
        <w:t>des familles</w:t>
      </w:r>
      <w:r w:rsidR="00130AEB" w:rsidRPr="0071782F">
        <w:rPr>
          <w:lang w:val="fr-CH"/>
        </w:rPr>
        <w:t xml:space="preserve"> (urbaines et rurales) demandeuses d’aide qui ont des problèmes matrim</w:t>
      </w:r>
      <w:r w:rsidR="00C36750" w:rsidRPr="0071782F">
        <w:rPr>
          <w:lang w:val="fr-CH"/>
        </w:rPr>
        <w:t xml:space="preserve">oniaux. Ce </w:t>
      </w:r>
      <w:r w:rsidR="00130AEB" w:rsidRPr="0071782F">
        <w:rPr>
          <w:lang w:val="fr-CH"/>
        </w:rPr>
        <w:t>P</w:t>
      </w:r>
      <w:r w:rsidRPr="0071782F">
        <w:rPr>
          <w:lang w:val="fr-CH"/>
        </w:rPr>
        <w:t xml:space="preserve">lan </w:t>
      </w:r>
      <w:r w:rsidR="00130AEB" w:rsidRPr="0071782F">
        <w:rPr>
          <w:lang w:val="fr-CH"/>
        </w:rPr>
        <w:t xml:space="preserve">se propose de consolider l’institution familiale et de réduire le taux de divorce et, partant, le nombre </w:t>
      </w:r>
      <w:r w:rsidR="0092511D" w:rsidRPr="0071782F">
        <w:rPr>
          <w:lang w:val="fr-CH"/>
        </w:rPr>
        <w:t>de famille</w:t>
      </w:r>
      <w:r w:rsidR="00130AEB" w:rsidRPr="0071782F">
        <w:rPr>
          <w:lang w:val="fr-CH"/>
        </w:rPr>
        <w:t>s victimes de ce préjudice social. La population cible bénéficie d’une formation dans trois domaines (autonomie fonctionnelle</w:t>
      </w:r>
      <w:r w:rsidRPr="0071782F">
        <w:rPr>
          <w:lang w:val="fr-CH"/>
        </w:rPr>
        <w:t xml:space="preserve">, </w:t>
      </w:r>
      <w:r w:rsidR="00130AEB" w:rsidRPr="0071782F">
        <w:rPr>
          <w:lang w:val="fr-CH"/>
        </w:rPr>
        <w:t xml:space="preserve">aptitudes </w:t>
      </w:r>
      <w:r w:rsidRPr="0071782F">
        <w:rPr>
          <w:lang w:val="fr-CH"/>
        </w:rPr>
        <w:t>mental</w:t>
      </w:r>
      <w:r w:rsidR="00130AEB" w:rsidRPr="0071782F">
        <w:rPr>
          <w:lang w:val="fr-CH"/>
        </w:rPr>
        <w:t>es et compétences sociales</w:t>
      </w:r>
      <w:r w:rsidRPr="0071782F">
        <w:rPr>
          <w:lang w:val="fr-CH"/>
        </w:rPr>
        <w:t>)</w:t>
      </w:r>
      <w:r w:rsidR="008F7D33" w:rsidRPr="0071782F">
        <w:rPr>
          <w:lang w:val="fr-CH"/>
        </w:rPr>
        <w:t>:</w:t>
      </w:r>
      <w:r w:rsidR="00130AEB" w:rsidRPr="0071782F">
        <w:rPr>
          <w:lang w:val="fr-CH"/>
        </w:rPr>
        <w:t xml:space="preserve"> elle acquiert des compétences pratiques et apprend à développer des relations sociales adéquates et des pratiques acceptables pour la vie quotidienne; elle apprend aussi comment s’entendre</w:t>
      </w:r>
      <w:r w:rsidRPr="0071782F">
        <w:rPr>
          <w:lang w:val="fr-CH"/>
        </w:rPr>
        <w:t xml:space="preserve"> </w:t>
      </w:r>
      <w:r w:rsidR="00130AEB" w:rsidRPr="0071782F">
        <w:rPr>
          <w:lang w:val="fr-CH"/>
        </w:rPr>
        <w:t xml:space="preserve">sur la manière d’utiliser ces mécanismes pour réduire au minimum les problèmes de la vie quotidienne. Mis en </w:t>
      </w:r>
      <w:r w:rsidR="00D5366B" w:rsidRPr="0071782F">
        <w:rPr>
          <w:lang w:val="fr-CH"/>
        </w:rPr>
        <w:t>œuvre</w:t>
      </w:r>
      <w:r w:rsidR="00130AEB" w:rsidRPr="0071782F">
        <w:rPr>
          <w:lang w:val="fr-CH"/>
        </w:rPr>
        <w:t xml:space="preserve"> dans </w:t>
      </w:r>
      <w:r w:rsidRPr="0071782F">
        <w:rPr>
          <w:lang w:val="fr-CH"/>
        </w:rPr>
        <w:t xml:space="preserve">10 provinces </w:t>
      </w:r>
      <w:r w:rsidR="00130AEB" w:rsidRPr="0071782F">
        <w:rPr>
          <w:lang w:val="fr-CH"/>
        </w:rPr>
        <w:t>e</w:t>
      </w:r>
      <w:r w:rsidRPr="0071782F">
        <w:rPr>
          <w:lang w:val="fr-CH"/>
        </w:rPr>
        <w:t>n 2001</w:t>
      </w:r>
      <w:r w:rsidR="00130AEB" w:rsidRPr="0071782F">
        <w:rPr>
          <w:lang w:val="fr-CH"/>
        </w:rPr>
        <w:t xml:space="preserve">, ce Plan avait été étendu à </w:t>
      </w:r>
      <w:r w:rsidR="00C36750" w:rsidRPr="0071782F">
        <w:rPr>
          <w:lang w:val="fr-CH"/>
        </w:rPr>
        <w:t>20 </w:t>
      </w:r>
      <w:r w:rsidRPr="0071782F">
        <w:rPr>
          <w:lang w:val="fr-CH"/>
        </w:rPr>
        <w:t xml:space="preserve">provinces </w:t>
      </w:r>
      <w:r w:rsidR="00130AEB" w:rsidRPr="0071782F">
        <w:rPr>
          <w:lang w:val="fr-CH"/>
        </w:rPr>
        <w:t xml:space="preserve">à la fin de </w:t>
      </w:r>
      <w:r w:rsidRPr="0071782F">
        <w:rPr>
          <w:lang w:val="fr-CH"/>
        </w:rPr>
        <w:t>2004.</w:t>
      </w:r>
    </w:p>
    <w:p w:rsidR="00E5019F" w:rsidRPr="0071782F" w:rsidRDefault="00E5019F" w:rsidP="00E5019F">
      <w:pPr>
        <w:pStyle w:val="SingleTxtG"/>
        <w:ind w:left="1701"/>
        <w:rPr>
          <w:lang w:val="fr-CH"/>
        </w:rPr>
      </w:pPr>
      <w:r w:rsidRPr="0071782F">
        <w:rPr>
          <w:lang w:val="fr-CH"/>
        </w:rPr>
        <w:t>290.5.</w:t>
      </w:r>
      <w:r w:rsidRPr="0071782F">
        <w:rPr>
          <w:lang w:val="fr-CH"/>
        </w:rPr>
        <w:tab/>
      </w:r>
      <w:r w:rsidR="00085620" w:rsidRPr="0071782F">
        <w:rPr>
          <w:lang w:val="fr-CH"/>
        </w:rPr>
        <w:t xml:space="preserve">Plan de réadaptation </w:t>
      </w:r>
      <w:r w:rsidR="004E45FB" w:rsidRPr="0071782F">
        <w:rPr>
          <w:lang w:val="fr-CH"/>
        </w:rPr>
        <w:t>des familles</w:t>
      </w:r>
      <w:r w:rsidR="00085620" w:rsidRPr="0071782F">
        <w:rPr>
          <w:lang w:val="fr-CH"/>
        </w:rPr>
        <w:t xml:space="preserve"> couvertes par l’Organisme public de protection sociale, qui vise à réduire au minimum les </w:t>
      </w:r>
      <w:r w:rsidRPr="0071782F">
        <w:rPr>
          <w:lang w:val="fr-CH"/>
        </w:rPr>
        <w:t>probl</w:t>
      </w:r>
      <w:r w:rsidR="00085620" w:rsidRPr="0071782F">
        <w:rPr>
          <w:lang w:val="fr-CH"/>
        </w:rPr>
        <w:t xml:space="preserve">èmes des femmes chefs </w:t>
      </w:r>
      <w:r w:rsidR="0092511D" w:rsidRPr="0071782F">
        <w:rPr>
          <w:lang w:val="fr-CH"/>
        </w:rPr>
        <w:t>de famille</w:t>
      </w:r>
      <w:r w:rsidR="00085620" w:rsidRPr="0071782F">
        <w:rPr>
          <w:lang w:val="fr-CH"/>
        </w:rPr>
        <w:t xml:space="preserve">. Pour réaliser le potentiel et réduire les problèmes de la population cible, il importe de mettre en </w:t>
      </w:r>
      <w:r w:rsidR="00D5366B" w:rsidRPr="0071782F">
        <w:rPr>
          <w:lang w:val="fr-CH"/>
        </w:rPr>
        <w:t>œuvre</w:t>
      </w:r>
      <w:r w:rsidR="00085620" w:rsidRPr="0071782F">
        <w:rPr>
          <w:lang w:val="fr-CH"/>
        </w:rPr>
        <w:t xml:space="preserve"> le système d’orientation pour fournir des services de protection, é</w:t>
      </w:r>
      <w:r w:rsidRPr="0071782F">
        <w:rPr>
          <w:lang w:val="fr-CH"/>
        </w:rPr>
        <w:t>ducati</w:t>
      </w:r>
      <w:r w:rsidR="00085620" w:rsidRPr="0071782F">
        <w:rPr>
          <w:lang w:val="fr-CH"/>
        </w:rPr>
        <w:t xml:space="preserve">fs, psychologiques et </w:t>
      </w:r>
      <w:r w:rsidRPr="0071782F">
        <w:rPr>
          <w:lang w:val="fr-CH"/>
        </w:rPr>
        <w:t>profession</w:t>
      </w:r>
      <w:r w:rsidR="00085620" w:rsidRPr="0071782F">
        <w:rPr>
          <w:lang w:val="fr-CH"/>
        </w:rPr>
        <w:t xml:space="preserve">nels aux bénéficiaires des services sociaux. Dans le cadre de ce Plan, </w:t>
      </w:r>
      <w:r w:rsidR="00DA097D" w:rsidRPr="0071782F">
        <w:rPr>
          <w:lang w:val="fr-CH"/>
        </w:rPr>
        <w:t>les familles</w:t>
      </w:r>
      <w:r w:rsidR="00085620" w:rsidRPr="0071782F">
        <w:rPr>
          <w:lang w:val="fr-CH"/>
        </w:rPr>
        <w:t xml:space="preserve"> demandeuses d’aide reçoivent des prestations financières stables et individualisées</w:t>
      </w:r>
      <w:r w:rsidRPr="0071782F">
        <w:rPr>
          <w:lang w:val="fr-CH"/>
        </w:rPr>
        <w:t>.</w:t>
      </w:r>
    </w:p>
    <w:p w:rsidR="00E5019F" w:rsidRPr="0071782F" w:rsidRDefault="00E5019F" w:rsidP="00E5019F">
      <w:pPr>
        <w:pStyle w:val="SingleTxtG"/>
        <w:ind w:left="1701"/>
        <w:rPr>
          <w:lang w:val="fr-CH"/>
        </w:rPr>
      </w:pPr>
      <w:r w:rsidRPr="0071782F">
        <w:rPr>
          <w:lang w:val="fr-CH"/>
        </w:rPr>
        <w:t>290.6.</w:t>
      </w:r>
      <w:r w:rsidRPr="0071782F">
        <w:rPr>
          <w:lang w:val="fr-CH"/>
        </w:rPr>
        <w:tab/>
      </w:r>
      <w:r w:rsidR="00085620" w:rsidRPr="0071782F">
        <w:rPr>
          <w:lang w:val="fr-CH"/>
        </w:rPr>
        <w:t>Le Plan de création de centres d’accueil temporaire pour les femmes sans abri. Ce Plan vise à fournir un logement temporaire et des services sociaux aux femmes</w:t>
      </w:r>
      <w:r w:rsidRPr="0071782F">
        <w:rPr>
          <w:lang w:val="fr-CH"/>
        </w:rPr>
        <w:t xml:space="preserve"> </w:t>
      </w:r>
      <w:r w:rsidR="00085620" w:rsidRPr="0071782F">
        <w:rPr>
          <w:lang w:val="fr-CH"/>
        </w:rPr>
        <w:t xml:space="preserve">sans abri et à prévenir toute aggravation de leur situation, ainsi qu’à prévenir la violence contre les femmes, qu’elle vienne de </w:t>
      </w:r>
      <w:r w:rsidR="00B71907" w:rsidRPr="0071782F">
        <w:rPr>
          <w:lang w:val="fr-CH"/>
        </w:rPr>
        <w:t>la famille</w:t>
      </w:r>
      <w:r w:rsidR="00085620" w:rsidRPr="0071782F">
        <w:rPr>
          <w:lang w:val="fr-CH"/>
        </w:rPr>
        <w:t xml:space="preserve"> ou de la société. Exécuté dans </w:t>
      </w:r>
      <w:r w:rsidRPr="0071782F">
        <w:rPr>
          <w:lang w:val="fr-CH"/>
        </w:rPr>
        <w:t>14</w:t>
      </w:r>
      <w:r w:rsidR="00B350D6">
        <w:rPr>
          <w:lang w:val="fr-CH"/>
        </w:rPr>
        <w:t> </w:t>
      </w:r>
      <w:r w:rsidRPr="0071782F">
        <w:rPr>
          <w:lang w:val="fr-CH"/>
        </w:rPr>
        <w:t xml:space="preserve">provinces </w:t>
      </w:r>
      <w:r w:rsidR="00085620" w:rsidRPr="0071782F">
        <w:rPr>
          <w:lang w:val="fr-CH"/>
        </w:rPr>
        <w:t>e</w:t>
      </w:r>
      <w:r w:rsidRPr="0071782F">
        <w:rPr>
          <w:lang w:val="fr-CH"/>
        </w:rPr>
        <w:t>n</w:t>
      </w:r>
      <w:r w:rsidR="00B350D6">
        <w:rPr>
          <w:lang w:val="fr-CH"/>
        </w:rPr>
        <w:t> </w:t>
      </w:r>
      <w:r w:rsidRPr="0071782F">
        <w:rPr>
          <w:lang w:val="fr-CH"/>
        </w:rPr>
        <w:t>2001</w:t>
      </w:r>
      <w:r w:rsidR="00085620" w:rsidRPr="0071782F">
        <w:rPr>
          <w:lang w:val="fr-CH"/>
        </w:rPr>
        <w:t xml:space="preserve">, il a </w:t>
      </w:r>
      <w:r w:rsidR="00E9739E" w:rsidRPr="0071782F">
        <w:rPr>
          <w:lang w:val="fr-CH"/>
        </w:rPr>
        <w:t xml:space="preserve">été </w:t>
      </w:r>
      <w:r w:rsidR="00085620" w:rsidRPr="0071782F">
        <w:rPr>
          <w:lang w:val="fr-CH"/>
        </w:rPr>
        <w:t xml:space="preserve">étendu à </w:t>
      </w:r>
      <w:r w:rsidRPr="0071782F">
        <w:rPr>
          <w:lang w:val="fr-CH"/>
        </w:rPr>
        <w:t>30</w:t>
      </w:r>
      <w:r w:rsidR="00B350D6">
        <w:rPr>
          <w:lang w:val="fr-CH"/>
        </w:rPr>
        <w:t> </w:t>
      </w:r>
      <w:r w:rsidRPr="0071782F">
        <w:rPr>
          <w:lang w:val="fr-CH"/>
        </w:rPr>
        <w:t xml:space="preserve">provinces; 31 </w:t>
      </w:r>
      <w:r w:rsidR="00085620" w:rsidRPr="0071782F">
        <w:rPr>
          <w:lang w:val="fr-CH"/>
        </w:rPr>
        <w:t xml:space="preserve">de ces centres existent actuellement dans différentes </w:t>
      </w:r>
      <w:r w:rsidRPr="0071782F">
        <w:rPr>
          <w:lang w:val="fr-CH"/>
        </w:rPr>
        <w:t xml:space="preserve">provinces </w:t>
      </w:r>
      <w:r w:rsidR="00085620" w:rsidRPr="0071782F">
        <w:rPr>
          <w:lang w:val="fr-CH"/>
        </w:rPr>
        <w:t>du pays</w:t>
      </w:r>
      <w:r w:rsidRPr="0071782F">
        <w:rPr>
          <w:lang w:val="fr-CH"/>
        </w:rPr>
        <w:t>.</w:t>
      </w:r>
    </w:p>
    <w:p w:rsidR="00E5019F" w:rsidRPr="0071782F" w:rsidRDefault="00E5019F" w:rsidP="00E5019F">
      <w:pPr>
        <w:pStyle w:val="SingleTxtG"/>
        <w:ind w:left="1701"/>
        <w:rPr>
          <w:lang w:val="fr-CH"/>
        </w:rPr>
      </w:pPr>
      <w:r w:rsidRPr="0071782F">
        <w:rPr>
          <w:lang w:val="fr-CH"/>
        </w:rPr>
        <w:t>290.7.</w:t>
      </w:r>
      <w:r w:rsidRPr="0071782F">
        <w:rPr>
          <w:lang w:val="fr-CH"/>
        </w:rPr>
        <w:tab/>
      </w:r>
      <w:r w:rsidR="00F92094" w:rsidRPr="0071782F">
        <w:rPr>
          <w:lang w:val="fr-CH"/>
        </w:rPr>
        <w:t xml:space="preserve">Le Programme des groupes d’entraide à l’appui des femmes chefs </w:t>
      </w:r>
      <w:r w:rsidR="0092511D" w:rsidRPr="0071782F">
        <w:rPr>
          <w:lang w:val="fr-CH"/>
        </w:rPr>
        <w:t>de famille</w:t>
      </w:r>
      <w:r w:rsidR="00F92094" w:rsidRPr="0071782F">
        <w:rPr>
          <w:lang w:val="fr-CH"/>
        </w:rPr>
        <w:t xml:space="preserve"> est exécuté depuis 2000 pour autonomiser les femmes et promouvoir leur </w:t>
      </w:r>
      <w:r w:rsidRPr="0071782F">
        <w:rPr>
          <w:lang w:val="fr-CH"/>
        </w:rPr>
        <w:t xml:space="preserve">participation </w:t>
      </w:r>
      <w:r w:rsidR="00F92094" w:rsidRPr="0071782F">
        <w:rPr>
          <w:lang w:val="fr-CH"/>
        </w:rPr>
        <w:t>sociale</w:t>
      </w:r>
      <w:r w:rsidRPr="0071782F">
        <w:rPr>
          <w:lang w:val="fr-CH"/>
        </w:rPr>
        <w:t xml:space="preserve">. </w:t>
      </w:r>
      <w:r w:rsidR="00F92094" w:rsidRPr="0071782F">
        <w:rPr>
          <w:lang w:val="fr-CH"/>
        </w:rPr>
        <w:t>Les femmes qui sont membres d’un de ces groupes y acquièrent des compétences et y créent des entreprises économiques et des fonds financiers conjoints</w:t>
      </w:r>
      <w:r w:rsidRPr="0071782F">
        <w:rPr>
          <w:lang w:val="fr-CH"/>
        </w:rPr>
        <w:t xml:space="preserve">. </w:t>
      </w:r>
      <w:r w:rsidR="00F92094" w:rsidRPr="0071782F">
        <w:rPr>
          <w:lang w:val="fr-CH"/>
        </w:rPr>
        <w:t xml:space="preserve">Le succès de ce Programme dépend de l’autonomisation </w:t>
      </w:r>
      <w:r w:rsidRPr="0071782F">
        <w:rPr>
          <w:lang w:val="fr-CH"/>
        </w:rPr>
        <w:t>social</w:t>
      </w:r>
      <w:r w:rsidR="00F92094" w:rsidRPr="0071782F">
        <w:rPr>
          <w:lang w:val="fr-CH"/>
        </w:rPr>
        <w:t>e</w:t>
      </w:r>
      <w:r w:rsidRPr="0071782F">
        <w:rPr>
          <w:lang w:val="fr-CH"/>
        </w:rPr>
        <w:t xml:space="preserve">, </w:t>
      </w:r>
      <w:r w:rsidR="00F92094" w:rsidRPr="0071782F">
        <w:rPr>
          <w:lang w:val="fr-CH"/>
        </w:rPr>
        <w:t>économique et culture</w:t>
      </w:r>
      <w:r w:rsidRPr="0071782F">
        <w:rPr>
          <w:lang w:val="fr-CH"/>
        </w:rPr>
        <w:t>l</w:t>
      </w:r>
      <w:r w:rsidR="00F92094" w:rsidRPr="0071782F">
        <w:rPr>
          <w:lang w:val="fr-CH"/>
        </w:rPr>
        <w:t>le</w:t>
      </w:r>
      <w:r w:rsidRPr="0071782F">
        <w:rPr>
          <w:lang w:val="fr-CH"/>
        </w:rPr>
        <w:t xml:space="preserve"> </w:t>
      </w:r>
      <w:r w:rsidR="004E45FB" w:rsidRPr="0071782F">
        <w:rPr>
          <w:lang w:val="fr-CH"/>
        </w:rPr>
        <w:t>des familles</w:t>
      </w:r>
      <w:r w:rsidRPr="0071782F">
        <w:rPr>
          <w:lang w:val="fr-CH"/>
        </w:rPr>
        <w:t xml:space="preserve">. </w:t>
      </w:r>
      <w:r w:rsidR="00F92094" w:rsidRPr="0071782F">
        <w:rPr>
          <w:lang w:val="fr-CH"/>
        </w:rPr>
        <w:t xml:space="preserve">À la fin de </w:t>
      </w:r>
      <w:r w:rsidRPr="0071782F">
        <w:rPr>
          <w:lang w:val="fr-CH"/>
        </w:rPr>
        <w:t xml:space="preserve">2006, </w:t>
      </w:r>
      <w:r w:rsidR="00F92094" w:rsidRPr="0071782F">
        <w:rPr>
          <w:lang w:val="fr-CH"/>
        </w:rPr>
        <w:t xml:space="preserve">plus de </w:t>
      </w:r>
      <w:r w:rsidRPr="0071782F">
        <w:rPr>
          <w:lang w:val="fr-CH"/>
        </w:rPr>
        <w:t>550</w:t>
      </w:r>
      <w:r w:rsidR="00B350D6">
        <w:rPr>
          <w:lang w:val="fr-CH"/>
        </w:rPr>
        <w:t> </w:t>
      </w:r>
      <w:r w:rsidR="00F92094" w:rsidRPr="0071782F">
        <w:rPr>
          <w:lang w:val="fr-CH"/>
        </w:rPr>
        <w:t>groupes d’entraide avaient été créés à travers le pays</w:t>
      </w:r>
      <w:r w:rsidRPr="0071782F">
        <w:rPr>
          <w:lang w:val="fr-CH"/>
        </w:rPr>
        <w:t xml:space="preserve">. </w:t>
      </w:r>
      <w:r w:rsidR="00F92094" w:rsidRPr="0071782F">
        <w:rPr>
          <w:lang w:val="fr-CH"/>
        </w:rPr>
        <w:t xml:space="preserve">À l’heure actuelle, quelque </w:t>
      </w:r>
      <w:r w:rsidRPr="0071782F">
        <w:rPr>
          <w:lang w:val="fr-CH"/>
        </w:rPr>
        <w:t>650</w:t>
      </w:r>
      <w:r w:rsidR="007F37CE" w:rsidRPr="0071782F">
        <w:rPr>
          <w:lang w:val="fr-CH"/>
        </w:rPr>
        <w:t> famille</w:t>
      </w:r>
      <w:r w:rsidRPr="0071782F">
        <w:rPr>
          <w:lang w:val="fr-CH"/>
        </w:rPr>
        <w:t xml:space="preserve">s </w:t>
      </w:r>
      <w:r w:rsidR="00F92094" w:rsidRPr="0071782F">
        <w:rPr>
          <w:lang w:val="fr-CH"/>
        </w:rPr>
        <w:t xml:space="preserve">ont accédé à l’autonomie grâce à ces groupes. </w:t>
      </w:r>
    </w:p>
    <w:p w:rsidR="00E5019F" w:rsidRPr="0071782F" w:rsidRDefault="00E5019F" w:rsidP="00E5019F">
      <w:pPr>
        <w:pStyle w:val="SingleTxtG"/>
        <w:ind w:left="1701"/>
        <w:rPr>
          <w:lang w:val="fr-CH"/>
        </w:rPr>
      </w:pPr>
      <w:r w:rsidRPr="0071782F">
        <w:rPr>
          <w:lang w:val="fr-CH"/>
        </w:rPr>
        <w:t>290.8.</w:t>
      </w:r>
      <w:r w:rsidRPr="0071782F">
        <w:rPr>
          <w:lang w:val="fr-CH"/>
        </w:rPr>
        <w:tab/>
      </w:r>
      <w:r w:rsidR="008D0214" w:rsidRPr="0071782F">
        <w:rPr>
          <w:lang w:val="fr-CH"/>
        </w:rPr>
        <w:t xml:space="preserve">Le Plan de régulation des organisations non gouvernementales, qui visait à faciliter l’exécution du </w:t>
      </w:r>
      <w:r w:rsidR="009E6189">
        <w:rPr>
          <w:lang w:val="fr-CH"/>
        </w:rPr>
        <w:t xml:space="preserve">troisième </w:t>
      </w:r>
      <w:r w:rsidR="008D0214" w:rsidRPr="0071782F">
        <w:rPr>
          <w:lang w:val="fr-CH"/>
        </w:rPr>
        <w:t>plan de développement et à réduire l’in</w:t>
      </w:r>
      <w:r w:rsidR="006A443A" w:rsidRPr="0071782F">
        <w:rPr>
          <w:lang w:val="fr-CH"/>
        </w:rPr>
        <w:t>t</w:t>
      </w:r>
      <w:r w:rsidR="008D0214" w:rsidRPr="0071782F">
        <w:rPr>
          <w:lang w:val="fr-CH"/>
        </w:rPr>
        <w:t xml:space="preserve">ervention de l’État dans les questions d’exécution, a été mené à bien. </w:t>
      </w:r>
    </w:p>
    <w:p w:rsidR="00E5019F" w:rsidRPr="0071782F" w:rsidRDefault="00E5019F" w:rsidP="00E5019F">
      <w:pPr>
        <w:pStyle w:val="SingleTxtG"/>
        <w:ind w:left="1701"/>
        <w:rPr>
          <w:lang w:val="fr-CH"/>
        </w:rPr>
      </w:pPr>
      <w:r w:rsidRPr="0071782F">
        <w:rPr>
          <w:lang w:val="fr-CH"/>
        </w:rPr>
        <w:t>290.9.</w:t>
      </w:r>
      <w:r w:rsidRPr="0071782F">
        <w:rPr>
          <w:lang w:val="fr-CH"/>
        </w:rPr>
        <w:tab/>
      </w:r>
      <w:r w:rsidR="008D0214" w:rsidRPr="0071782F">
        <w:rPr>
          <w:lang w:val="fr-CH"/>
        </w:rPr>
        <w:t>Plan visant à appuyer et réadapter les filles et les femmes victimes de préjudices sociaux. Dans le cadre de ce Plan, un certain nombre de centres ont été créés pour loger les filles et les femmes victimes de ces préjudices et leur fournir des services sociaux et</w:t>
      </w:r>
      <w:r w:rsidRPr="0071782F">
        <w:rPr>
          <w:lang w:val="fr-CH"/>
        </w:rPr>
        <w:t xml:space="preserve"> </w:t>
      </w:r>
      <w:r w:rsidR="008D0214" w:rsidRPr="0071782F">
        <w:rPr>
          <w:lang w:val="fr-CH"/>
        </w:rPr>
        <w:t>psychologiques et une formation technico</w:t>
      </w:r>
      <w:r w:rsidRPr="0071782F">
        <w:rPr>
          <w:lang w:val="fr-CH"/>
        </w:rPr>
        <w:t>-</w:t>
      </w:r>
      <w:r w:rsidR="008D0214" w:rsidRPr="0071782F">
        <w:rPr>
          <w:lang w:val="fr-CH"/>
        </w:rPr>
        <w:t>professionnelle et culturelle afin de</w:t>
      </w:r>
      <w:r w:rsidRPr="0071782F">
        <w:rPr>
          <w:lang w:val="fr-CH"/>
        </w:rPr>
        <w:t xml:space="preserve"> facilit</w:t>
      </w:r>
      <w:r w:rsidR="008D0214" w:rsidRPr="0071782F">
        <w:rPr>
          <w:lang w:val="fr-CH"/>
        </w:rPr>
        <w:t>er leur retour à une vie normale et saine en favorisant leur réintégration familiale</w:t>
      </w:r>
      <w:r w:rsidRPr="0071782F">
        <w:rPr>
          <w:lang w:val="fr-CH"/>
        </w:rPr>
        <w:t xml:space="preserve">, </w:t>
      </w:r>
      <w:r w:rsidR="008D0214" w:rsidRPr="0071782F">
        <w:rPr>
          <w:lang w:val="fr-CH"/>
        </w:rPr>
        <w:t xml:space="preserve">en leur donnant accès à l’éducation et à l’emploi, en leur donnant la possibilité de gagner leur vie de manière légitime, de se marier et de fonder </w:t>
      </w:r>
      <w:r w:rsidR="001F3F05" w:rsidRPr="0071782F">
        <w:rPr>
          <w:lang w:val="fr-CH"/>
        </w:rPr>
        <w:t>une famille</w:t>
      </w:r>
      <w:r w:rsidR="008D0214" w:rsidRPr="0071782F">
        <w:rPr>
          <w:lang w:val="fr-CH"/>
        </w:rPr>
        <w:t>, et en les aidant à satisfaire leurs besoins économiques minimaux et à régler leurs problèmes.</w:t>
      </w:r>
    </w:p>
    <w:p w:rsidR="00E5019F" w:rsidRPr="0071782F" w:rsidRDefault="00E5019F" w:rsidP="00E5019F">
      <w:pPr>
        <w:pStyle w:val="SingleTxtG"/>
        <w:ind w:left="1701"/>
        <w:rPr>
          <w:lang w:val="fr-CH"/>
        </w:rPr>
      </w:pPr>
      <w:r w:rsidRPr="0071782F">
        <w:rPr>
          <w:lang w:val="fr-CH"/>
        </w:rPr>
        <w:t xml:space="preserve">290.10. </w:t>
      </w:r>
      <w:r w:rsidR="000B1EAA" w:rsidRPr="0071782F">
        <w:rPr>
          <w:lang w:val="fr-CH"/>
        </w:rPr>
        <w:t xml:space="preserve">Plan de création de maisons ou centres de santé qui prennent en charge les filles qui risquent d’être victimes de préjudices sociaux et sont dépourvues de tout appui </w:t>
      </w:r>
      <w:r w:rsidRPr="0071782F">
        <w:rPr>
          <w:lang w:val="fr-CH"/>
        </w:rPr>
        <w:t xml:space="preserve">social </w:t>
      </w:r>
      <w:r w:rsidR="000B1EAA" w:rsidRPr="0071782F">
        <w:rPr>
          <w:lang w:val="fr-CH"/>
        </w:rPr>
        <w:t xml:space="preserve">et familial. Ce plan prévoit des </w:t>
      </w:r>
      <w:r w:rsidRPr="0071782F">
        <w:rPr>
          <w:lang w:val="fr-CH"/>
        </w:rPr>
        <w:t xml:space="preserve">services </w:t>
      </w:r>
      <w:r w:rsidR="000B1EAA" w:rsidRPr="0071782F">
        <w:rPr>
          <w:lang w:val="fr-CH"/>
        </w:rPr>
        <w:t xml:space="preserve">spéciaux devant les aider à acquérir leur autonomie </w:t>
      </w:r>
      <w:r w:rsidRPr="0071782F">
        <w:rPr>
          <w:lang w:val="fr-CH"/>
        </w:rPr>
        <w:t>social</w:t>
      </w:r>
      <w:r w:rsidR="000B1EAA" w:rsidRPr="0071782F">
        <w:rPr>
          <w:lang w:val="fr-CH"/>
        </w:rPr>
        <w:t>e</w:t>
      </w:r>
      <w:r w:rsidRPr="0071782F">
        <w:rPr>
          <w:lang w:val="fr-CH"/>
        </w:rPr>
        <w:t xml:space="preserve"> </w:t>
      </w:r>
      <w:r w:rsidR="000B1EAA" w:rsidRPr="0071782F">
        <w:rPr>
          <w:lang w:val="fr-CH"/>
        </w:rPr>
        <w:t>et</w:t>
      </w:r>
      <w:r w:rsidRPr="0071782F">
        <w:rPr>
          <w:lang w:val="fr-CH"/>
        </w:rPr>
        <w:t xml:space="preserve"> </w:t>
      </w:r>
      <w:r w:rsidR="000B1EAA" w:rsidRPr="0071782F">
        <w:rPr>
          <w:lang w:val="fr-CH"/>
        </w:rPr>
        <w:t>économique, à satisfaire leurs besoins économique</w:t>
      </w:r>
      <w:r w:rsidR="00C36750" w:rsidRPr="0071782F">
        <w:rPr>
          <w:lang w:val="fr-CH"/>
        </w:rPr>
        <w:t>s</w:t>
      </w:r>
      <w:r w:rsidR="000B1EAA" w:rsidRPr="0071782F">
        <w:rPr>
          <w:lang w:val="fr-CH"/>
        </w:rPr>
        <w:t xml:space="preserve"> minimaux et à prévenir les préjudices sociaux. </w:t>
      </w:r>
    </w:p>
    <w:p w:rsidR="00E5019F" w:rsidRPr="0071782F" w:rsidRDefault="00E5019F" w:rsidP="00E5019F">
      <w:pPr>
        <w:pStyle w:val="SingleTxtG"/>
        <w:ind w:left="1701"/>
        <w:rPr>
          <w:lang w:val="fr-CH"/>
        </w:rPr>
      </w:pPr>
      <w:r w:rsidRPr="0071782F">
        <w:rPr>
          <w:lang w:val="fr-CH"/>
        </w:rPr>
        <w:t xml:space="preserve">290.11. </w:t>
      </w:r>
      <w:r w:rsidR="000B1EAA" w:rsidRPr="0071782F">
        <w:rPr>
          <w:lang w:val="fr-CH"/>
        </w:rPr>
        <w:t>Plan de création des centres d’intervention en cas d’urgence sociale (crise individuelle, familiale et sociale). Ces centres fournissent 24</w:t>
      </w:r>
      <w:r w:rsidR="00BF435F" w:rsidRPr="0071782F">
        <w:rPr>
          <w:lang w:val="fr-CH"/>
        </w:rPr>
        <w:t> heures</w:t>
      </w:r>
      <w:r w:rsidR="000B1EAA" w:rsidRPr="0071782F">
        <w:rPr>
          <w:lang w:val="fr-CH"/>
        </w:rPr>
        <w:t xml:space="preserve"> sur 24 des services spécialisés de caractère social, psychologique, juridique et autres </w:t>
      </w:r>
      <w:r w:rsidR="00175962" w:rsidRPr="0071782F">
        <w:rPr>
          <w:lang w:val="fr-CH"/>
        </w:rPr>
        <w:t>aux personnes</w:t>
      </w:r>
      <w:r w:rsidR="000B1EAA" w:rsidRPr="0071782F">
        <w:rPr>
          <w:lang w:val="fr-CH"/>
        </w:rPr>
        <w:t xml:space="preserve"> victimes ou risquant d’être victimes de préjudices sociaux et assurent en cas de besoin le suivi de ces services</w:t>
      </w:r>
      <w:r w:rsidRPr="0071782F">
        <w:rPr>
          <w:lang w:val="fr-CH"/>
        </w:rPr>
        <w:t>.</w:t>
      </w:r>
    </w:p>
    <w:p w:rsidR="00E5019F" w:rsidRPr="0071782F" w:rsidRDefault="00E5019F" w:rsidP="00E5019F">
      <w:pPr>
        <w:pStyle w:val="SingleTxtG"/>
        <w:ind w:left="1701"/>
        <w:rPr>
          <w:spacing w:val="-2"/>
          <w:lang w:val="fr-CH"/>
        </w:rPr>
      </w:pPr>
      <w:r w:rsidRPr="0071782F">
        <w:rPr>
          <w:spacing w:val="-2"/>
          <w:lang w:val="fr-CH"/>
        </w:rPr>
        <w:t xml:space="preserve">290.12. </w:t>
      </w:r>
      <w:r w:rsidR="000F23AA" w:rsidRPr="0071782F">
        <w:rPr>
          <w:spacing w:val="-2"/>
          <w:lang w:val="fr-CH"/>
        </w:rPr>
        <w:t xml:space="preserve">Programme pour l’emploi des femmes, lancé par le Bureau des affaires familiales et féminines de l’Organisme public de protection sociale. Ciblant les femmes chefs </w:t>
      </w:r>
      <w:r w:rsidR="0092511D" w:rsidRPr="0071782F">
        <w:rPr>
          <w:spacing w:val="-2"/>
          <w:lang w:val="fr-CH"/>
        </w:rPr>
        <w:t>de famille</w:t>
      </w:r>
      <w:r w:rsidR="000F23AA" w:rsidRPr="0071782F">
        <w:rPr>
          <w:spacing w:val="-2"/>
          <w:lang w:val="fr-CH"/>
        </w:rPr>
        <w:t xml:space="preserve"> et les membres de </w:t>
      </w:r>
      <w:r w:rsidR="001F3F05" w:rsidRPr="0071782F">
        <w:rPr>
          <w:spacing w:val="-2"/>
          <w:lang w:val="fr-CH"/>
        </w:rPr>
        <w:t>leur famille</w:t>
      </w:r>
      <w:r w:rsidR="000F23AA" w:rsidRPr="0071782F">
        <w:rPr>
          <w:spacing w:val="-2"/>
          <w:lang w:val="fr-CH"/>
        </w:rPr>
        <w:t xml:space="preserve">, ce Programme vise essentiellement à faciliter l’emploi et les activités productives et durables </w:t>
      </w:r>
      <w:r w:rsidR="004E45FB" w:rsidRPr="0071782F">
        <w:rPr>
          <w:spacing w:val="-2"/>
          <w:lang w:val="fr-CH"/>
        </w:rPr>
        <w:t>des familles</w:t>
      </w:r>
      <w:r w:rsidR="000F23AA" w:rsidRPr="0071782F">
        <w:rPr>
          <w:spacing w:val="-2"/>
          <w:lang w:val="fr-CH"/>
        </w:rPr>
        <w:t xml:space="preserve"> bénéficiaires afin de </w:t>
      </w:r>
      <w:r w:rsidRPr="0071782F">
        <w:rPr>
          <w:spacing w:val="-2"/>
          <w:lang w:val="fr-CH"/>
        </w:rPr>
        <w:t>pr</w:t>
      </w:r>
      <w:r w:rsidR="000F23AA" w:rsidRPr="0071782F">
        <w:rPr>
          <w:spacing w:val="-2"/>
          <w:lang w:val="fr-CH"/>
        </w:rPr>
        <w:t>é</w:t>
      </w:r>
      <w:r w:rsidRPr="0071782F">
        <w:rPr>
          <w:spacing w:val="-2"/>
          <w:lang w:val="fr-CH"/>
        </w:rPr>
        <w:t>serve</w:t>
      </w:r>
      <w:r w:rsidR="000F23AA" w:rsidRPr="0071782F">
        <w:rPr>
          <w:spacing w:val="-2"/>
          <w:lang w:val="fr-CH"/>
        </w:rPr>
        <w:t>r leur dignité humaine, de leur assurer une sécurité économique et sociale et de les aider à parvenir à une relative autosuffisance.</w:t>
      </w:r>
      <w:r w:rsidR="00D36718">
        <w:rPr>
          <w:spacing w:val="-2"/>
          <w:lang w:val="fr-CH"/>
        </w:rPr>
        <w:t xml:space="preserve"> </w:t>
      </w:r>
    </w:p>
    <w:p w:rsidR="00E5019F" w:rsidRPr="0071782F" w:rsidRDefault="00E5019F" w:rsidP="00E5019F">
      <w:pPr>
        <w:pStyle w:val="SingleTxtG"/>
        <w:ind w:left="1701"/>
        <w:rPr>
          <w:lang w:val="fr-CH"/>
        </w:rPr>
      </w:pPr>
      <w:r w:rsidRPr="0071782F">
        <w:rPr>
          <w:lang w:val="fr-CH"/>
        </w:rPr>
        <w:t xml:space="preserve">290.13. </w:t>
      </w:r>
      <w:r w:rsidR="00F34EE5" w:rsidRPr="0071782F">
        <w:rPr>
          <w:lang w:val="fr-CH"/>
        </w:rPr>
        <w:t>Le P</w:t>
      </w:r>
      <w:r w:rsidRPr="0071782F">
        <w:rPr>
          <w:lang w:val="fr-CH"/>
        </w:rPr>
        <w:t xml:space="preserve">lan </w:t>
      </w:r>
      <w:r w:rsidR="00F34EE5" w:rsidRPr="0071782F">
        <w:rPr>
          <w:lang w:val="fr-CH"/>
        </w:rPr>
        <w:t xml:space="preserve">d’assurance sociale des femmes au foyer vise à couvrir toutes les femmes au foyer du pays en accordant la priorité à celle qui sont chefs </w:t>
      </w:r>
      <w:r w:rsidR="0092511D" w:rsidRPr="0071782F">
        <w:rPr>
          <w:lang w:val="fr-CH"/>
        </w:rPr>
        <w:t>de famille</w:t>
      </w:r>
      <w:r w:rsidR="00F34EE5" w:rsidRPr="0071782F">
        <w:rPr>
          <w:lang w:val="fr-CH"/>
        </w:rPr>
        <w:t xml:space="preserve"> couvertes par l’Organisme public de protection sociale</w:t>
      </w:r>
      <w:r w:rsidRPr="0071782F">
        <w:rPr>
          <w:lang w:val="fr-CH"/>
        </w:rPr>
        <w:t xml:space="preserve">. </w:t>
      </w:r>
      <w:r w:rsidR="00F34EE5" w:rsidRPr="0071782F">
        <w:rPr>
          <w:lang w:val="fr-CH"/>
        </w:rPr>
        <w:t>Ce P</w:t>
      </w:r>
      <w:r w:rsidRPr="0071782F">
        <w:rPr>
          <w:lang w:val="fr-CH"/>
        </w:rPr>
        <w:t xml:space="preserve">lan </w:t>
      </w:r>
      <w:r w:rsidR="00F34EE5" w:rsidRPr="0071782F">
        <w:rPr>
          <w:lang w:val="fr-CH"/>
        </w:rPr>
        <w:t xml:space="preserve">a été exécuté à titre expérimental en </w:t>
      </w:r>
      <w:r w:rsidRPr="0071782F">
        <w:rPr>
          <w:lang w:val="fr-CH"/>
        </w:rPr>
        <w:t xml:space="preserve">2002 </w:t>
      </w:r>
      <w:r w:rsidR="00F34EE5" w:rsidRPr="0071782F">
        <w:rPr>
          <w:lang w:val="fr-CH"/>
        </w:rPr>
        <w:t xml:space="preserve">dans des villes comme </w:t>
      </w:r>
      <w:r w:rsidRPr="0071782F">
        <w:rPr>
          <w:lang w:val="fr-CH"/>
        </w:rPr>
        <w:t>Roudbar (</w:t>
      </w:r>
      <w:r w:rsidR="00F34EE5" w:rsidRPr="0071782F">
        <w:rPr>
          <w:lang w:val="fr-CH"/>
        </w:rPr>
        <w:t xml:space="preserve">province de </w:t>
      </w:r>
      <w:r w:rsidRPr="0071782F">
        <w:rPr>
          <w:lang w:val="fr-CH"/>
        </w:rPr>
        <w:t>Gilan), Yasuj (</w:t>
      </w:r>
      <w:r w:rsidR="00F34EE5" w:rsidRPr="0071782F">
        <w:rPr>
          <w:lang w:val="fr-CH"/>
        </w:rPr>
        <w:t xml:space="preserve">province de </w:t>
      </w:r>
      <w:r w:rsidRPr="0071782F">
        <w:rPr>
          <w:lang w:val="fr-CH"/>
        </w:rPr>
        <w:t xml:space="preserve">Kohgiluyeh </w:t>
      </w:r>
      <w:r w:rsidR="00F34EE5" w:rsidRPr="0071782F">
        <w:rPr>
          <w:lang w:val="fr-CH"/>
        </w:rPr>
        <w:t>et</w:t>
      </w:r>
      <w:r w:rsidRPr="0071782F">
        <w:rPr>
          <w:lang w:val="fr-CH"/>
        </w:rPr>
        <w:t xml:space="preserve"> Buyer Ahmad), Kashmar (</w:t>
      </w:r>
      <w:r w:rsidR="00F34EE5" w:rsidRPr="0071782F">
        <w:rPr>
          <w:lang w:val="fr-CH"/>
        </w:rPr>
        <w:t xml:space="preserve">province de </w:t>
      </w:r>
      <w:r w:rsidRPr="0071782F">
        <w:rPr>
          <w:lang w:val="fr-CH"/>
        </w:rPr>
        <w:t>Khorasan), Urumiyeh (</w:t>
      </w:r>
      <w:r w:rsidR="00F34EE5" w:rsidRPr="0071782F">
        <w:rPr>
          <w:lang w:val="fr-CH"/>
        </w:rPr>
        <w:t>province de l’Azerbaïd</w:t>
      </w:r>
      <w:r w:rsidRPr="0071782F">
        <w:rPr>
          <w:lang w:val="fr-CH"/>
        </w:rPr>
        <w:t xml:space="preserve">jan </w:t>
      </w:r>
      <w:r w:rsidR="00F34EE5" w:rsidRPr="0071782F">
        <w:rPr>
          <w:lang w:val="fr-CH"/>
        </w:rPr>
        <w:t>occidental</w:t>
      </w:r>
      <w:r w:rsidRPr="0071782F">
        <w:rPr>
          <w:lang w:val="fr-CH"/>
        </w:rPr>
        <w:t>), Ardestan (</w:t>
      </w:r>
      <w:r w:rsidR="00F34EE5" w:rsidRPr="0071782F">
        <w:rPr>
          <w:lang w:val="fr-CH"/>
        </w:rPr>
        <w:t>province d’</w:t>
      </w:r>
      <w:r w:rsidRPr="0071782F">
        <w:rPr>
          <w:lang w:val="fr-CH"/>
        </w:rPr>
        <w:t>Is</w:t>
      </w:r>
      <w:r w:rsidR="00F34EE5" w:rsidRPr="0071782F">
        <w:rPr>
          <w:lang w:val="fr-CH"/>
        </w:rPr>
        <w:t>p</w:t>
      </w:r>
      <w:r w:rsidRPr="0071782F">
        <w:rPr>
          <w:lang w:val="fr-CH"/>
        </w:rPr>
        <w:t xml:space="preserve">ahan) </w:t>
      </w:r>
      <w:r w:rsidR="00F34EE5" w:rsidRPr="0071782F">
        <w:rPr>
          <w:lang w:val="fr-CH"/>
        </w:rPr>
        <w:t>et</w:t>
      </w:r>
      <w:r w:rsidRPr="0071782F">
        <w:rPr>
          <w:lang w:val="fr-CH"/>
        </w:rPr>
        <w:t xml:space="preserve"> Nowshahr (</w:t>
      </w:r>
      <w:r w:rsidR="00F34EE5" w:rsidRPr="0071782F">
        <w:rPr>
          <w:lang w:val="fr-CH"/>
        </w:rPr>
        <w:t xml:space="preserve">province de </w:t>
      </w:r>
      <w:r w:rsidRPr="0071782F">
        <w:rPr>
          <w:lang w:val="fr-CH"/>
        </w:rPr>
        <w:t xml:space="preserve">Mazandaran) </w:t>
      </w:r>
      <w:r w:rsidR="00F34EE5" w:rsidRPr="0071782F">
        <w:rPr>
          <w:lang w:val="fr-CH"/>
        </w:rPr>
        <w:t xml:space="preserve">à l’intention de 2 </w:t>
      </w:r>
      <w:r w:rsidRPr="0071782F">
        <w:rPr>
          <w:lang w:val="fr-CH"/>
        </w:rPr>
        <w:t>917</w:t>
      </w:r>
      <w:r w:rsidR="00097CDB" w:rsidRPr="0071782F">
        <w:rPr>
          <w:lang w:val="fr-CH"/>
        </w:rPr>
        <w:t> personnes</w:t>
      </w:r>
      <w:r w:rsidRPr="0071782F">
        <w:rPr>
          <w:lang w:val="fr-CH"/>
        </w:rPr>
        <w:t xml:space="preserve">. </w:t>
      </w:r>
      <w:r w:rsidR="00F34EE5" w:rsidRPr="0071782F">
        <w:rPr>
          <w:lang w:val="fr-CH"/>
        </w:rPr>
        <w:t>Dans le cadre de ce Plan, les femmes au foyer peuvent faire appel à l’</w:t>
      </w:r>
      <w:r w:rsidR="000D1A67" w:rsidRPr="0071782F">
        <w:rPr>
          <w:lang w:val="fr-CH"/>
        </w:rPr>
        <w:t xml:space="preserve">Organisme </w:t>
      </w:r>
      <w:r w:rsidR="00F34EE5" w:rsidRPr="0071782F">
        <w:rPr>
          <w:lang w:val="fr-CH"/>
        </w:rPr>
        <w:t xml:space="preserve">pour verser </w:t>
      </w:r>
      <w:r w:rsidRPr="0071782F">
        <w:rPr>
          <w:lang w:val="fr-CH"/>
        </w:rPr>
        <w:t>50</w:t>
      </w:r>
      <w:r w:rsidR="0071782F">
        <w:rPr>
          <w:lang w:val="fr-CH"/>
        </w:rPr>
        <w:t> </w:t>
      </w:r>
      <w:r w:rsidRPr="0071782F">
        <w:rPr>
          <w:lang w:val="fr-CH"/>
        </w:rPr>
        <w:t>000</w:t>
      </w:r>
      <w:r w:rsidR="00860D09" w:rsidRPr="0071782F">
        <w:rPr>
          <w:lang w:val="fr-CH"/>
        </w:rPr>
        <w:t> rials</w:t>
      </w:r>
      <w:r w:rsidRPr="0071782F">
        <w:rPr>
          <w:lang w:val="fr-CH"/>
        </w:rPr>
        <w:t xml:space="preserve"> </w:t>
      </w:r>
      <w:r w:rsidR="00F34EE5" w:rsidRPr="0071782F">
        <w:rPr>
          <w:lang w:val="fr-CH"/>
        </w:rPr>
        <w:t xml:space="preserve">chacune </w:t>
      </w:r>
      <w:r w:rsidRPr="0071782F">
        <w:rPr>
          <w:lang w:val="fr-CH"/>
        </w:rPr>
        <w:t>(</w:t>
      </w:r>
      <w:r w:rsidR="00F34EE5" w:rsidRPr="0071782F">
        <w:rPr>
          <w:lang w:val="fr-CH"/>
        </w:rPr>
        <w:t xml:space="preserve">le gouvernement versera de son côté </w:t>
      </w:r>
      <w:r w:rsidRPr="0071782F">
        <w:rPr>
          <w:lang w:val="fr-CH"/>
        </w:rPr>
        <w:t>50</w:t>
      </w:r>
      <w:r w:rsidR="00F34EE5" w:rsidRPr="0071782F">
        <w:rPr>
          <w:lang w:val="fr-CH"/>
        </w:rPr>
        <w:t xml:space="preserve"> </w:t>
      </w:r>
      <w:r w:rsidRPr="0071782F">
        <w:rPr>
          <w:lang w:val="fr-CH"/>
        </w:rPr>
        <w:t>000</w:t>
      </w:r>
      <w:r w:rsidR="00860D09" w:rsidRPr="0071782F">
        <w:rPr>
          <w:lang w:val="fr-CH"/>
        </w:rPr>
        <w:t> rials</w:t>
      </w:r>
      <w:r w:rsidRPr="0071782F">
        <w:rPr>
          <w:lang w:val="fr-CH"/>
        </w:rPr>
        <w:t xml:space="preserve"> </w:t>
      </w:r>
      <w:r w:rsidR="00F34EE5" w:rsidRPr="0071782F">
        <w:rPr>
          <w:lang w:val="fr-CH"/>
        </w:rPr>
        <w:t>pour chacune d’entre elles) tous les</w:t>
      </w:r>
      <w:r w:rsidR="00C36750" w:rsidRPr="0071782F">
        <w:rPr>
          <w:lang w:val="fr-CH"/>
        </w:rPr>
        <w:t xml:space="preserve"> </w:t>
      </w:r>
      <w:r w:rsidR="001F3F05" w:rsidRPr="0071782F">
        <w:rPr>
          <w:lang w:val="fr-CH"/>
        </w:rPr>
        <w:t>mois</w:t>
      </w:r>
      <w:r w:rsidR="00F34EE5" w:rsidRPr="0071782F">
        <w:rPr>
          <w:lang w:val="fr-CH"/>
        </w:rPr>
        <w:t xml:space="preserve"> pendant cinq, 10 ou 20</w:t>
      </w:r>
      <w:r w:rsidR="00D82C96" w:rsidRPr="0071782F">
        <w:rPr>
          <w:lang w:val="fr-CH"/>
        </w:rPr>
        <w:t> ans</w:t>
      </w:r>
      <w:r w:rsidR="00F34EE5" w:rsidRPr="0071782F">
        <w:rPr>
          <w:lang w:val="fr-CH"/>
        </w:rPr>
        <w:t xml:space="preserve"> afin de profiter des prestations d’assurance fournies par ce Plan sous la forme de pensions</w:t>
      </w:r>
      <w:r w:rsidRPr="0071782F">
        <w:rPr>
          <w:lang w:val="fr-CH"/>
        </w:rPr>
        <w:t xml:space="preserve">. </w:t>
      </w:r>
      <w:r w:rsidR="00F34EE5" w:rsidRPr="0071782F">
        <w:rPr>
          <w:lang w:val="fr-CH"/>
        </w:rPr>
        <w:t xml:space="preserve">Ce Plan a été exécuté dans toutes les </w:t>
      </w:r>
      <w:r w:rsidRPr="0071782F">
        <w:rPr>
          <w:lang w:val="fr-CH"/>
        </w:rPr>
        <w:t xml:space="preserve">provinces </w:t>
      </w:r>
      <w:r w:rsidR="00F34EE5" w:rsidRPr="0071782F">
        <w:rPr>
          <w:lang w:val="fr-CH"/>
        </w:rPr>
        <w:t>du pays dans les an</w:t>
      </w:r>
      <w:r w:rsidR="00E024A3">
        <w:rPr>
          <w:lang w:val="fr-CH"/>
        </w:rPr>
        <w:t>nées qui ont suivi; à la fin de </w:t>
      </w:r>
      <w:r w:rsidR="00F34EE5" w:rsidRPr="0071782F">
        <w:rPr>
          <w:lang w:val="fr-CH"/>
        </w:rPr>
        <w:t xml:space="preserve">2006, il couvrait </w:t>
      </w:r>
      <w:r w:rsidRPr="0071782F">
        <w:rPr>
          <w:lang w:val="fr-CH"/>
        </w:rPr>
        <w:t>300</w:t>
      </w:r>
      <w:r w:rsidR="00C36750" w:rsidRPr="0071782F">
        <w:rPr>
          <w:lang w:val="fr-CH"/>
        </w:rPr>
        <w:t> </w:t>
      </w:r>
      <w:r w:rsidRPr="0071782F">
        <w:rPr>
          <w:lang w:val="fr-CH"/>
        </w:rPr>
        <w:t>000</w:t>
      </w:r>
      <w:r w:rsidR="00C36750" w:rsidRPr="0071782F">
        <w:rPr>
          <w:lang w:val="fr-CH"/>
        </w:rPr>
        <w:t> </w:t>
      </w:r>
      <w:r w:rsidR="00F34EE5" w:rsidRPr="0071782F">
        <w:rPr>
          <w:lang w:val="fr-CH"/>
        </w:rPr>
        <w:t>femmes au foyer.</w:t>
      </w:r>
    </w:p>
    <w:p w:rsidR="00E5019F" w:rsidRPr="0071782F" w:rsidRDefault="00E5019F" w:rsidP="004F2D7C">
      <w:pPr>
        <w:pStyle w:val="H1G"/>
        <w:rPr>
          <w:lang w:val="fr-CH"/>
        </w:rPr>
      </w:pPr>
      <w:r w:rsidRPr="0071782F">
        <w:rPr>
          <w:lang w:val="fr-CH"/>
        </w:rPr>
        <w:tab/>
      </w:r>
      <w:r w:rsidRPr="0071782F">
        <w:rPr>
          <w:lang w:val="fr-CH"/>
        </w:rPr>
        <w:tab/>
      </w:r>
      <w:r w:rsidR="00F34EE5" w:rsidRPr="0071782F">
        <w:rPr>
          <w:lang w:val="fr-CH"/>
        </w:rPr>
        <w:t xml:space="preserve">Enfants et </w:t>
      </w:r>
      <w:r w:rsidR="00B13F4B" w:rsidRPr="0071782F">
        <w:rPr>
          <w:lang w:val="fr-CH"/>
        </w:rPr>
        <w:t>adolescents</w:t>
      </w:r>
      <w:r w:rsidR="00F34EE5" w:rsidRPr="0071782F">
        <w:rPr>
          <w:lang w:val="fr-CH"/>
        </w:rPr>
        <w:t xml:space="preserve"> </w:t>
      </w:r>
    </w:p>
    <w:p w:rsidR="00E5019F" w:rsidRPr="0071782F" w:rsidRDefault="00E5019F" w:rsidP="004F2D7C">
      <w:pPr>
        <w:pStyle w:val="H23G"/>
        <w:rPr>
          <w:rtl/>
          <w:lang w:val="fr-CH"/>
        </w:rPr>
      </w:pPr>
      <w:r w:rsidRPr="0071782F">
        <w:rPr>
          <w:lang w:val="fr-CH"/>
        </w:rPr>
        <w:tab/>
      </w:r>
      <w:r w:rsidRPr="0071782F">
        <w:rPr>
          <w:lang w:val="fr-CH"/>
        </w:rPr>
        <w:tab/>
        <w:t>Poli</w:t>
      </w:r>
      <w:r w:rsidR="00F34EE5" w:rsidRPr="0071782F">
        <w:rPr>
          <w:lang w:val="fr-CH"/>
        </w:rPr>
        <w:t xml:space="preserve">tiques </w:t>
      </w:r>
    </w:p>
    <w:p w:rsidR="00E5019F" w:rsidRPr="0071782F" w:rsidRDefault="00E5019F" w:rsidP="004F2D7C">
      <w:pPr>
        <w:pStyle w:val="SingleTxtG"/>
        <w:keepNext/>
        <w:rPr>
          <w:lang w:val="fr-CH"/>
        </w:rPr>
      </w:pPr>
      <w:r w:rsidRPr="0071782F">
        <w:rPr>
          <w:lang w:val="fr-CH"/>
        </w:rPr>
        <w:t>291.</w:t>
      </w:r>
      <w:r w:rsidRPr="0071782F">
        <w:rPr>
          <w:lang w:val="fr-CH"/>
        </w:rPr>
        <w:tab/>
      </w:r>
      <w:r w:rsidR="00F34EE5" w:rsidRPr="0071782F">
        <w:rPr>
          <w:lang w:val="fr-CH"/>
        </w:rPr>
        <w:t>Il s’agit notamment des politiques suivantes</w:t>
      </w:r>
      <w:r w:rsidR="008F7D33" w:rsidRPr="0071782F">
        <w:rPr>
          <w:lang w:val="fr-CH"/>
        </w:rPr>
        <w:t>:</w:t>
      </w:r>
    </w:p>
    <w:p w:rsidR="00E5019F" w:rsidRPr="0071782F" w:rsidRDefault="00E5019F" w:rsidP="00B350D6">
      <w:pPr>
        <w:pStyle w:val="SingleTxtG"/>
        <w:ind w:left="1701"/>
        <w:rPr>
          <w:lang w:val="fr-CH"/>
        </w:rPr>
      </w:pPr>
      <w:r w:rsidRPr="0071782F">
        <w:rPr>
          <w:lang w:val="fr-CH"/>
        </w:rPr>
        <w:t>291.1.</w:t>
      </w:r>
      <w:r w:rsidRPr="0071782F">
        <w:rPr>
          <w:lang w:val="fr-CH"/>
        </w:rPr>
        <w:tab/>
        <w:t>Ex</w:t>
      </w:r>
      <w:r w:rsidR="006D7D2D" w:rsidRPr="0071782F">
        <w:rPr>
          <w:lang w:val="fr-CH"/>
        </w:rPr>
        <w:t>ten</w:t>
      </w:r>
      <w:r w:rsidRPr="0071782F">
        <w:rPr>
          <w:lang w:val="fr-CH"/>
        </w:rPr>
        <w:t xml:space="preserve">sion </w:t>
      </w:r>
      <w:r w:rsidR="006D7D2D" w:rsidRPr="0071782F">
        <w:rPr>
          <w:lang w:val="fr-CH"/>
        </w:rPr>
        <w:t xml:space="preserve">des </w:t>
      </w:r>
      <w:r w:rsidRPr="0071782F">
        <w:rPr>
          <w:lang w:val="fr-CH"/>
        </w:rPr>
        <w:t>services</w:t>
      </w:r>
      <w:r w:rsidR="006D7D2D" w:rsidRPr="0071782F">
        <w:rPr>
          <w:lang w:val="fr-CH"/>
        </w:rPr>
        <w:t xml:space="preserve"> de garderie</w:t>
      </w:r>
      <w:r w:rsidRPr="0071782F">
        <w:rPr>
          <w:lang w:val="fr-CH"/>
        </w:rPr>
        <w:t xml:space="preserve">, </w:t>
      </w:r>
      <w:r w:rsidR="006D7D2D" w:rsidRPr="0071782F">
        <w:rPr>
          <w:lang w:val="fr-CH"/>
        </w:rPr>
        <w:t>en particulier dans les régions peu développées,</w:t>
      </w:r>
      <w:r w:rsidR="0099391F" w:rsidRPr="0071782F">
        <w:rPr>
          <w:lang w:val="fr-CH"/>
        </w:rPr>
        <w:t xml:space="preserve"> </w:t>
      </w:r>
      <w:r w:rsidR="006D7D2D" w:rsidRPr="0071782F">
        <w:rPr>
          <w:lang w:val="fr-CH"/>
        </w:rPr>
        <w:t>et atténuation de la pauvreté des enfants</w:t>
      </w:r>
      <w:r w:rsidRPr="0071782F">
        <w:rPr>
          <w:lang w:val="fr-CH"/>
        </w:rPr>
        <w:t>.</w:t>
      </w:r>
    </w:p>
    <w:p w:rsidR="00E5019F" w:rsidRPr="0071782F" w:rsidRDefault="00E5019F" w:rsidP="00E5019F">
      <w:pPr>
        <w:pStyle w:val="SingleTxtG"/>
        <w:ind w:left="1701"/>
        <w:rPr>
          <w:lang w:val="fr-CH"/>
        </w:rPr>
      </w:pPr>
      <w:r w:rsidRPr="0071782F">
        <w:rPr>
          <w:lang w:val="fr-CH"/>
        </w:rPr>
        <w:t>291.2.</w:t>
      </w:r>
      <w:r w:rsidRPr="0071782F">
        <w:rPr>
          <w:lang w:val="fr-CH"/>
        </w:rPr>
        <w:tab/>
      </w:r>
      <w:r w:rsidR="006D7D2D" w:rsidRPr="0071782F">
        <w:rPr>
          <w:lang w:val="fr-CH"/>
        </w:rPr>
        <w:t xml:space="preserve">Prise en compte des besoins des </w:t>
      </w:r>
      <w:r w:rsidR="00B13F4B" w:rsidRPr="0071782F">
        <w:rPr>
          <w:lang w:val="fr-CH"/>
        </w:rPr>
        <w:t>adolescents</w:t>
      </w:r>
      <w:r w:rsidR="006D7D2D" w:rsidRPr="0071782F">
        <w:rPr>
          <w:lang w:val="fr-CH"/>
        </w:rPr>
        <w:t xml:space="preserve"> et création des conditions nécessaires à leur participation sociale en s’appuyant sur les capacités des collectivités locales dans les zones défavorisées</w:t>
      </w:r>
      <w:r w:rsidRPr="0071782F">
        <w:rPr>
          <w:lang w:val="fr-CH"/>
        </w:rPr>
        <w:t>.</w:t>
      </w:r>
    </w:p>
    <w:p w:rsidR="00E5019F" w:rsidRPr="0071782F" w:rsidRDefault="00E5019F" w:rsidP="00E5019F">
      <w:pPr>
        <w:pStyle w:val="SingleTxtG"/>
        <w:ind w:left="1701"/>
        <w:rPr>
          <w:lang w:val="fr-CH"/>
        </w:rPr>
      </w:pPr>
      <w:r w:rsidRPr="0071782F">
        <w:rPr>
          <w:lang w:val="fr-CH"/>
        </w:rPr>
        <w:t>291.3.</w:t>
      </w:r>
      <w:r w:rsidRPr="0071782F">
        <w:rPr>
          <w:lang w:val="fr-CH"/>
        </w:rPr>
        <w:tab/>
      </w:r>
      <w:r w:rsidR="006D7D2D" w:rsidRPr="0071782F">
        <w:rPr>
          <w:lang w:val="fr-CH"/>
        </w:rPr>
        <w:t xml:space="preserve">Amélioration de la qualité de vie, de la santé et de la sécurité alimentaire, atténuation de la pauvreté, fourniture d’un appui aux groupes </w:t>
      </w:r>
      <w:r w:rsidRPr="0071782F">
        <w:rPr>
          <w:lang w:val="fr-CH"/>
        </w:rPr>
        <w:t>vuln</w:t>
      </w:r>
      <w:r w:rsidR="006D7D2D" w:rsidRPr="0071782F">
        <w:rPr>
          <w:lang w:val="fr-CH"/>
        </w:rPr>
        <w:t>é</w:t>
      </w:r>
      <w:r w:rsidRPr="0071782F">
        <w:rPr>
          <w:lang w:val="fr-CH"/>
        </w:rPr>
        <w:t>rable</w:t>
      </w:r>
      <w:r w:rsidR="006D7D2D" w:rsidRPr="0071782F">
        <w:rPr>
          <w:lang w:val="fr-CH"/>
        </w:rPr>
        <w:t>s et</w:t>
      </w:r>
      <w:r w:rsidRPr="0071782F">
        <w:rPr>
          <w:lang w:val="fr-CH"/>
        </w:rPr>
        <w:t xml:space="preserve"> promotion </w:t>
      </w:r>
      <w:r w:rsidR="006D7D2D" w:rsidRPr="0071782F">
        <w:rPr>
          <w:lang w:val="fr-CH"/>
        </w:rPr>
        <w:t xml:space="preserve">de la </w:t>
      </w:r>
      <w:r w:rsidRPr="0071782F">
        <w:rPr>
          <w:lang w:val="fr-CH"/>
        </w:rPr>
        <w:t xml:space="preserve">justice </w:t>
      </w:r>
      <w:r w:rsidR="006D7D2D" w:rsidRPr="0071782F">
        <w:rPr>
          <w:lang w:val="fr-CH"/>
        </w:rPr>
        <w:t xml:space="preserve">par le biais de l’extension des </w:t>
      </w:r>
      <w:r w:rsidRPr="0071782F">
        <w:rPr>
          <w:lang w:val="fr-CH"/>
        </w:rPr>
        <w:t xml:space="preserve">services </w:t>
      </w:r>
      <w:r w:rsidR="006D7D2D" w:rsidRPr="0071782F">
        <w:rPr>
          <w:lang w:val="fr-CH"/>
        </w:rPr>
        <w:t>dans les zones défavorisées, s’agissant en particulier des aptitudes à l’éducation des enfants et de la croissa</w:t>
      </w:r>
      <w:r w:rsidR="0099391F" w:rsidRPr="0071782F">
        <w:rPr>
          <w:lang w:val="fr-CH"/>
        </w:rPr>
        <w:t>nce et du développement intégré</w:t>
      </w:r>
      <w:r w:rsidR="006D7D2D" w:rsidRPr="0071782F">
        <w:rPr>
          <w:lang w:val="fr-CH"/>
        </w:rPr>
        <w:t xml:space="preserve"> des enfants</w:t>
      </w:r>
      <w:r w:rsidRPr="0071782F">
        <w:rPr>
          <w:lang w:val="fr-CH"/>
        </w:rPr>
        <w:t>.</w:t>
      </w:r>
    </w:p>
    <w:p w:rsidR="00E5019F" w:rsidRPr="0071782F" w:rsidRDefault="00E5019F" w:rsidP="00E5019F">
      <w:pPr>
        <w:pStyle w:val="SingleTxtG"/>
        <w:ind w:left="1701"/>
        <w:rPr>
          <w:lang w:val="fr-CH"/>
        </w:rPr>
      </w:pPr>
      <w:r w:rsidRPr="0071782F">
        <w:rPr>
          <w:lang w:val="fr-CH"/>
        </w:rPr>
        <w:t>291.4.</w:t>
      </w:r>
      <w:r w:rsidRPr="0071782F">
        <w:rPr>
          <w:lang w:val="fr-CH"/>
        </w:rPr>
        <w:tab/>
      </w:r>
      <w:r w:rsidR="006D7D2D" w:rsidRPr="0071782F">
        <w:rPr>
          <w:lang w:val="fr-CH"/>
        </w:rPr>
        <w:t>Sensibilisation des parents des zones défavorisées et amélioration de leurs connaissances s’agissant des aptitudes à l’éducation des enfants et de la croissance et du développement intégré des enfants</w:t>
      </w:r>
      <w:r w:rsidRPr="0071782F">
        <w:rPr>
          <w:lang w:val="fr-CH"/>
        </w:rPr>
        <w:t>.</w:t>
      </w:r>
    </w:p>
    <w:p w:rsidR="00E5019F" w:rsidRPr="0071782F" w:rsidRDefault="00E5019F" w:rsidP="00E5019F">
      <w:pPr>
        <w:pStyle w:val="H23G"/>
        <w:rPr>
          <w:lang w:val="fr-CH"/>
        </w:rPr>
      </w:pPr>
      <w:r w:rsidRPr="0071782F">
        <w:rPr>
          <w:lang w:val="fr-CH"/>
        </w:rPr>
        <w:tab/>
      </w:r>
      <w:r w:rsidRPr="0071782F">
        <w:rPr>
          <w:lang w:val="fr-CH"/>
        </w:rPr>
        <w:tab/>
        <w:t xml:space="preserve">Plans </w:t>
      </w:r>
      <w:r w:rsidR="006D7D2D" w:rsidRPr="0071782F">
        <w:rPr>
          <w:lang w:val="fr-CH"/>
        </w:rPr>
        <w:t xml:space="preserve">de développement des enfants et des </w:t>
      </w:r>
      <w:r w:rsidR="00B13F4B" w:rsidRPr="0071782F">
        <w:rPr>
          <w:lang w:val="fr-CH"/>
        </w:rPr>
        <w:t>adolescents</w:t>
      </w:r>
      <w:r w:rsidR="006D7D2D" w:rsidRPr="0071782F">
        <w:rPr>
          <w:lang w:val="fr-CH"/>
        </w:rPr>
        <w:t xml:space="preserve"> </w:t>
      </w:r>
    </w:p>
    <w:p w:rsidR="00E5019F" w:rsidRPr="0071782F" w:rsidRDefault="00E5019F" w:rsidP="00E5019F">
      <w:pPr>
        <w:pStyle w:val="SingleTxtG"/>
        <w:rPr>
          <w:lang w:val="fr-CH"/>
        </w:rPr>
      </w:pPr>
      <w:r w:rsidRPr="0071782F">
        <w:rPr>
          <w:lang w:val="fr-CH"/>
        </w:rPr>
        <w:t>292.</w:t>
      </w:r>
      <w:r w:rsidRPr="0071782F">
        <w:rPr>
          <w:lang w:val="fr-CH"/>
        </w:rPr>
        <w:tab/>
      </w:r>
      <w:r w:rsidR="006D7D2D" w:rsidRPr="0071782F">
        <w:rPr>
          <w:lang w:val="fr-CH"/>
        </w:rPr>
        <w:t>Il s’agit notamment des plans suivants</w:t>
      </w:r>
      <w:r w:rsidR="008F7D33" w:rsidRPr="0071782F">
        <w:rPr>
          <w:lang w:val="fr-CH"/>
        </w:rPr>
        <w:t>:</w:t>
      </w:r>
    </w:p>
    <w:p w:rsidR="00E5019F" w:rsidRPr="0071782F" w:rsidRDefault="00E5019F" w:rsidP="00E5019F">
      <w:pPr>
        <w:pStyle w:val="SingleTxtG"/>
        <w:ind w:left="1701"/>
        <w:rPr>
          <w:lang w:val="fr-CH"/>
        </w:rPr>
      </w:pPr>
      <w:r w:rsidRPr="0071782F">
        <w:rPr>
          <w:lang w:val="fr-CH"/>
        </w:rPr>
        <w:t>292.1.</w:t>
      </w:r>
      <w:r w:rsidRPr="0071782F">
        <w:rPr>
          <w:lang w:val="fr-CH"/>
        </w:rPr>
        <w:tab/>
      </w:r>
      <w:r w:rsidR="004D2261" w:rsidRPr="0071782F">
        <w:rPr>
          <w:lang w:val="fr-CH"/>
        </w:rPr>
        <w:t>P</w:t>
      </w:r>
      <w:r w:rsidRPr="0071782F">
        <w:rPr>
          <w:lang w:val="fr-CH"/>
        </w:rPr>
        <w:t xml:space="preserve">lan </w:t>
      </w:r>
      <w:r w:rsidR="004D2261" w:rsidRPr="0071782F">
        <w:rPr>
          <w:lang w:val="fr-CH"/>
        </w:rPr>
        <w:t>de création et d’extension de garderies dans les zones défavorisées, les zones suburbaines et les zones à haut risque.</w:t>
      </w:r>
      <w:r w:rsidRPr="0071782F">
        <w:rPr>
          <w:lang w:val="fr-CH"/>
        </w:rPr>
        <w:t xml:space="preserve"> </w:t>
      </w:r>
      <w:r w:rsidR="004D2261" w:rsidRPr="0071782F">
        <w:rPr>
          <w:lang w:val="fr-CH"/>
        </w:rPr>
        <w:t xml:space="preserve">S’agissant d’atteindre les objectifs du </w:t>
      </w:r>
      <w:r w:rsidR="00A90208" w:rsidRPr="0071782F">
        <w:rPr>
          <w:lang w:val="fr-CH"/>
        </w:rPr>
        <w:t>quatrième</w:t>
      </w:r>
      <w:r w:rsidR="004D2261" w:rsidRPr="0071782F">
        <w:rPr>
          <w:lang w:val="fr-CH"/>
        </w:rPr>
        <w:t xml:space="preserve"> plan de développement, l’Organisme public de protection sociale n’est parvenu à créer les </w:t>
      </w:r>
      <w:r w:rsidRPr="0071782F">
        <w:rPr>
          <w:lang w:val="fr-CH"/>
        </w:rPr>
        <w:t xml:space="preserve">conditions </w:t>
      </w:r>
      <w:r w:rsidR="004D2261" w:rsidRPr="0071782F">
        <w:rPr>
          <w:lang w:val="fr-CH"/>
        </w:rPr>
        <w:t>nécessaires à l’accès aux possibilités d’apprentissage offertes dans les garderies des zones défavorisées que pour 7</w:t>
      </w:r>
      <w:r w:rsidR="007E5125" w:rsidRPr="0071782F">
        <w:rPr>
          <w:lang w:val="fr-CH"/>
        </w:rPr>
        <w:t>%</w:t>
      </w:r>
      <w:r w:rsidR="004D2261" w:rsidRPr="0071782F">
        <w:rPr>
          <w:lang w:val="fr-CH"/>
        </w:rPr>
        <w:t xml:space="preserve"> des enfants, malgré tous les efforts déployés pour susciter la </w:t>
      </w:r>
      <w:r w:rsidRPr="0071782F">
        <w:rPr>
          <w:lang w:val="fr-CH"/>
        </w:rPr>
        <w:t xml:space="preserve">participation </w:t>
      </w:r>
      <w:r w:rsidR="004D2261" w:rsidRPr="0071782F">
        <w:rPr>
          <w:lang w:val="fr-CH"/>
        </w:rPr>
        <w:t xml:space="preserve">du secteur privé à cette fin. Par ailleurs, il convient de noter que </w:t>
      </w:r>
      <w:r w:rsidR="00DA097D" w:rsidRPr="0071782F">
        <w:rPr>
          <w:lang w:val="fr-CH"/>
        </w:rPr>
        <w:t>les familles</w:t>
      </w:r>
      <w:r w:rsidR="004D2261" w:rsidRPr="0071782F">
        <w:rPr>
          <w:lang w:val="fr-CH"/>
        </w:rPr>
        <w:t xml:space="preserve"> vivant dans les zones défavorisées représentent une grande partie de la population qui ne peut pas se prévaloir des </w:t>
      </w:r>
      <w:r w:rsidRPr="0071782F">
        <w:rPr>
          <w:lang w:val="fr-CH"/>
        </w:rPr>
        <w:t xml:space="preserve">services </w:t>
      </w:r>
      <w:r w:rsidR="004D2261" w:rsidRPr="0071782F">
        <w:rPr>
          <w:lang w:val="fr-CH"/>
        </w:rPr>
        <w:t>des garderies, même si leur mère travaille, en raison du coût élevé de ces i</w:t>
      </w:r>
      <w:r w:rsidRPr="0071782F">
        <w:rPr>
          <w:lang w:val="fr-CH"/>
        </w:rPr>
        <w:t>nstitutions</w:t>
      </w:r>
      <w:r w:rsidR="008F7D33" w:rsidRPr="0071782F">
        <w:rPr>
          <w:lang w:val="fr-CH"/>
        </w:rPr>
        <w:t>:</w:t>
      </w:r>
      <w:r w:rsidR="004D2261" w:rsidRPr="0071782F">
        <w:rPr>
          <w:lang w:val="fr-CH"/>
        </w:rPr>
        <w:t xml:space="preserve"> ces enfants sont abandonnés à leur sort dans la rue, où ils sont exposés à de nombreux préjudices sociaux. Il s’impose donc que l’État développe l’éducation des enfants âgés de moins de six</w:t>
      </w:r>
      <w:r w:rsidR="00D82C96" w:rsidRPr="0071782F">
        <w:rPr>
          <w:lang w:val="fr-CH"/>
        </w:rPr>
        <w:t> ans</w:t>
      </w:r>
      <w:r w:rsidR="004D2261" w:rsidRPr="0071782F">
        <w:rPr>
          <w:lang w:val="fr-CH"/>
        </w:rPr>
        <w:t xml:space="preserve"> non seulement pour inciter les organismes privés et non gouvernementaux à remplir leurs obligations, mais aussi pour réaliser certaines économies budgétaires</w:t>
      </w:r>
      <w:r w:rsidRPr="0071782F">
        <w:rPr>
          <w:lang w:val="fr-CH"/>
        </w:rPr>
        <w:t>.</w:t>
      </w:r>
    </w:p>
    <w:p w:rsidR="00E5019F" w:rsidRPr="0071782F" w:rsidRDefault="00E5019F" w:rsidP="00E5019F">
      <w:pPr>
        <w:pStyle w:val="SingleTxtG"/>
        <w:ind w:left="1701"/>
        <w:rPr>
          <w:lang w:val="fr-CH"/>
        </w:rPr>
      </w:pPr>
      <w:r w:rsidRPr="0071782F">
        <w:rPr>
          <w:lang w:val="fr-CH"/>
        </w:rPr>
        <w:t>292.2.</w:t>
      </w:r>
      <w:r w:rsidRPr="0071782F">
        <w:rPr>
          <w:lang w:val="fr-CH"/>
        </w:rPr>
        <w:tab/>
      </w:r>
      <w:r w:rsidR="008E4437" w:rsidRPr="0071782F">
        <w:rPr>
          <w:lang w:val="fr-CH"/>
        </w:rPr>
        <w:t xml:space="preserve">Plan de prestation de services de conseil aux enfants et </w:t>
      </w:r>
      <w:r w:rsidR="00B13F4B" w:rsidRPr="0071782F">
        <w:rPr>
          <w:lang w:val="fr-CH"/>
        </w:rPr>
        <w:t>adolescents</w:t>
      </w:r>
      <w:r w:rsidR="008E4437" w:rsidRPr="0071782F">
        <w:rPr>
          <w:lang w:val="fr-CH"/>
        </w:rPr>
        <w:t xml:space="preserve"> dans les garderies. Vu la </w:t>
      </w:r>
      <w:r w:rsidRPr="0071782F">
        <w:rPr>
          <w:lang w:val="fr-CH"/>
        </w:rPr>
        <w:t>vuln</w:t>
      </w:r>
      <w:r w:rsidR="008E4437" w:rsidRPr="0071782F">
        <w:rPr>
          <w:lang w:val="fr-CH"/>
        </w:rPr>
        <w:t xml:space="preserve">érabilité des enfants et la </w:t>
      </w:r>
      <w:r w:rsidRPr="0071782F">
        <w:rPr>
          <w:lang w:val="fr-CH"/>
        </w:rPr>
        <w:t>n</w:t>
      </w:r>
      <w:r w:rsidR="008E4437" w:rsidRPr="0071782F">
        <w:rPr>
          <w:lang w:val="fr-CH"/>
        </w:rPr>
        <w:t>écessité</w:t>
      </w:r>
      <w:r w:rsidRPr="0071782F">
        <w:rPr>
          <w:lang w:val="fr-CH"/>
        </w:rPr>
        <w:t xml:space="preserve"> </w:t>
      </w:r>
      <w:r w:rsidR="008E4437" w:rsidRPr="0071782F">
        <w:rPr>
          <w:lang w:val="fr-CH"/>
        </w:rPr>
        <w:t>de jeter les bases de la réalisation de leur potentiel, des équipes de psychologues et de travailleurs sociaux viennent compléter le personnel des garderies afin de contribuer à la croissance et au développement des enfants</w:t>
      </w:r>
      <w:r w:rsidRPr="0071782F">
        <w:rPr>
          <w:lang w:val="fr-CH"/>
        </w:rPr>
        <w:t>.</w:t>
      </w:r>
    </w:p>
    <w:p w:rsidR="00E5019F" w:rsidRPr="0071782F" w:rsidRDefault="00E5019F" w:rsidP="00E5019F">
      <w:pPr>
        <w:pStyle w:val="SingleTxtG"/>
        <w:ind w:left="1701"/>
        <w:rPr>
          <w:lang w:val="fr-CH"/>
        </w:rPr>
      </w:pPr>
      <w:r w:rsidRPr="0071782F">
        <w:rPr>
          <w:lang w:val="fr-CH"/>
        </w:rPr>
        <w:t>292.3.</w:t>
      </w:r>
      <w:r w:rsidRPr="0071782F">
        <w:rPr>
          <w:lang w:val="fr-CH"/>
        </w:rPr>
        <w:tab/>
      </w:r>
      <w:r w:rsidR="008E4437" w:rsidRPr="0071782F">
        <w:rPr>
          <w:lang w:val="fr-CH"/>
        </w:rPr>
        <w:t>P</w:t>
      </w:r>
      <w:r w:rsidRPr="0071782F">
        <w:rPr>
          <w:lang w:val="fr-CH"/>
        </w:rPr>
        <w:t xml:space="preserve">lan </w:t>
      </w:r>
      <w:r w:rsidR="00643309" w:rsidRPr="0071782F">
        <w:rPr>
          <w:lang w:val="fr-CH"/>
        </w:rPr>
        <w:t>de régulation des services culturels et é</w:t>
      </w:r>
      <w:r w:rsidRPr="0071782F">
        <w:rPr>
          <w:lang w:val="fr-CH"/>
        </w:rPr>
        <w:t>ducati</w:t>
      </w:r>
      <w:r w:rsidR="00643309" w:rsidRPr="0071782F">
        <w:rPr>
          <w:lang w:val="fr-CH"/>
        </w:rPr>
        <w:t xml:space="preserve">fs aux enfants et aux </w:t>
      </w:r>
      <w:r w:rsidR="00B13F4B" w:rsidRPr="0071782F">
        <w:rPr>
          <w:lang w:val="fr-CH"/>
        </w:rPr>
        <w:t>adolescents</w:t>
      </w:r>
      <w:r w:rsidR="00643309" w:rsidRPr="0071782F">
        <w:rPr>
          <w:lang w:val="fr-CH"/>
        </w:rPr>
        <w:t xml:space="preserve"> des quartiers défavorisés des grandes villes, exécuté en coopé</w:t>
      </w:r>
      <w:r w:rsidRPr="0071782F">
        <w:rPr>
          <w:lang w:val="fr-CH"/>
        </w:rPr>
        <w:t xml:space="preserve">ration </w:t>
      </w:r>
      <w:r w:rsidR="00643309" w:rsidRPr="0071782F">
        <w:rPr>
          <w:lang w:val="fr-CH"/>
        </w:rPr>
        <w:t>avec les ONG. La</w:t>
      </w:r>
      <w:r w:rsidRPr="0071782F">
        <w:rPr>
          <w:lang w:val="fr-CH"/>
        </w:rPr>
        <w:t xml:space="preserve"> cr</w:t>
      </w:r>
      <w:r w:rsidR="00643309" w:rsidRPr="0071782F">
        <w:rPr>
          <w:lang w:val="fr-CH"/>
        </w:rPr>
        <w:t>é</w:t>
      </w:r>
      <w:r w:rsidRPr="0071782F">
        <w:rPr>
          <w:lang w:val="fr-CH"/>
        </w:rPr>
        <w:t xml:space="preserve">ation </w:t>
      </w:r>
      <w:r w:rsidR="00643309" w:rsidRPr="0071782F">
        <w:rPr>
          <w:lang w:val="fr-CH"/>
        </w:rPr>
        <w:t>d’un cadre culture</w:t>
      </w:r>
      <w:r w:rsidRPr="0071782F">
        <w:rPr>
          <w:lang w:val="fr-CH"/>
        </w:rPr>
        <w:t xml:space="preserve">l </w:t>
      </w:r>
      <w:r w:rsidR="00643309" w:rsidRPr="0071782F">
        <w:rPr>
          <w:lang w:val="fr-CH"/>
        </w:rPr>
        <w:t>et é</w:t>
      </w:r>
      <w:r w:rsidRPr="0071782F">
        <w:rPr>
          <w:lang w:val="fr-CH"/>
        </w:rPr>
        <w:t>ducati</w:t>
      </w:r>
      <w:r w:rsidR="00643309" w:rsidRPr="0071782F">
        <w:rPr>
          <w:lang w:val="fr-CH"/>
        </w:rPr>
        <w:t xml:space="preserve">f approprié est une nécessité </w:t>
      </w:r>
      <w:r w:rsidRPr="0071782F">
        <w:rPr>
          <w:lang w:val="fr-CH"/>
        </w:rPr>
        <w:t>social</w:t>
      </w:r>
      <w:r w:rsidR="00643309" w:rsidRPr="0071782F">
        <w:rPr>
          <w:lang w:val="fr-CH"/>
        </w:rPr>
        <w:t>e</w:t>
      </w:r>
      <w:r w:rsidRPr="0071782F">
        <w:rPr>
          <w:lang w:val="fr-CH"/>
        </w:rPr>
        <w:t xml:space="preserve"> </w:t>
      </w:r>
      <w:r w:rsidR="00643309" w:rsidRPr="0071782F">
        <w:rPr>
          <w:lang w:val="fr-CH"/>
        </w:rPr>
        <w:t xml:space="preserve">et un droit </w:t>
      </w:r>
      <w:r w:rsidRPr="0071782F">
        <w:rPr>
          <w:lang w:val="fr-CH"/>
        </w:rPr>
        <w:t>inali</w:t>
      </w:r>
      <w:r w:rsidR="00643309" w:rsidRPr="0071782F">
        <w:rPr>
          <w:lang w:val="fr-CH"/>
        </w:rPr>
        <w:t>é</w:t>
      </w:r>
      <w:r w:rsidRPr="0071782F">
        <w:rPr>
          <w:lang w:val="fr-CH"/>
        </w:rPr>
        <w:t xml:space="preserve">nable </w:t>
      </w:r>
      <w:r w:rsidR="00643309" w:rsidRPr="0071782F">
        <w:rPr>
          <w:lang w:val="fr-CH"/>
        </w:rPr>
        <w:t xml:space="preserve">des enfants et des </w:t>
      </w:r>
      <w:r w:rsidR="00B13F4B" w:rsidRPr="0071782F">
        <w:rPr>
          <w:lang w:val="fr-CH"/>
        </w:rPr>
        <w:t>adolescents</w:t>
      </w:r>
      <w:r w:rsidR="00643309" w:rsidRPr="0071782F">
        <w:rPr>
          <w:lang w:val="fr-CH"/>
        </w:rPr>
        <w:t>, qui constituent le capital humain de la société, et la mise à disposition d’un cadre sain et de toutes les infrastructures nécessaires contribue à leur croissance et à leur développement</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643309" w:rsidRPr="0071782F">
        <w:rPr>
          <w:lang w:val="fr-CH"/>
        </w:rPr>
        <w:t xml:space="preserve">Mesures adoptées par le gouvernement pour réaliser les objectifs susvisés </w:t>
      </w:r>
    </w:p>
    <w:p w:rsidR="00E5019F" w:rsidRPr="0071782F" w:rsidRDefault="00E5019F" w:rsidP="00E5019F">
      <w:pPr>
        <w:pStyle w:val="SingleTxtG"/>
        <w:rPr>
          <w:lang w:val="fr-CH"/>
        </w:rPr>
      </w:pPr>
      <w:r w:rsidRPr="0071782F">
        <w:rPr>
          <w:lang w:val="fr-CH"/>
        </w:rPr>
        <w:t>293.</w:t>
      </w:r>
      <w:r w:rsidRPr="0071782F">
        <w:rPr>
          <w:lang w:val="fr-CH"/>
        </w:rPr>
        <w:tab/>
      </w:r>
      <w:r w:rsidR="00643309" w:rsidRPr="0071782F">
        <w:rPr>
          <w:lang w:val="fr-CH"/>
        </w:rPr>
        <w:t>Il s’agit notamment des mesures suivantes</w:t>
      </w:r>
      <w:r w:rsidR="008F7D33" w:rsidRPr="0071782F">
        <w:rPr>
          <w:lang w:val="fr-CH"/>
        </w:rPr>
        <w:t>:</w:t>
      </w:r>
    </w:p>
    <w:p w:rsidR="00E5019F" w:rsidRPr="0071782F" w:rsidRDefault="00E5019F" w:rsidP="00E5019F">
      <w:pPr>
        <w:pStyle w:val="SingleTxtG"/>
        <w:ind w:left="1701"/>
        <w:rPr>
          <w:lang w:val="fr-CH"/>
        </w:rPr>
      </w:pPr>
      <w:r w:rsidRPr="0071782F">
        <w:rPr>
          <w:lang w:val="fr-CH"/>
        </w:rPr>
        <w:t>293.1.</w:t>
      </w:r>
      <w:r w:rsidRPr="0071782F">
        <w:rPr>
          <w:lang w:val="fr-CH"/>
        </w:rPr>
        <w:tab/>
      </w:r>
      <w:r w:rsidR="00854C0E" w:rsidRPr="0071782F">
        <w:rPr>
          <w:lang w:val="fr-CH"/>
        </w:rPr>
        <w:t>P</w:t>
      </w:r>
      <w:r w:rsidRPr="0071782F">
        <w:rPr>
          <w:lang w:val="fr-CH"/>
        </w:rPr>
        <w:t xml:space="preserve">lan </w:t>
      </w:r>
      <w:r w:rsidR="00854C0E" w:rsidRPr="0071782F">
        <w:rPr>
          <w:lang w:val="fr-CH"/>
        </w:rPr>
        <w:t xml:space="preserve">de développement de l’intelligence émotionnelle des </w:t>
      </w:r>
      <w:r w:rsidR="00B13F4B" w:rsidRPr="0071782F">
        <w:rPr>
          <w:lang w:val="fr-CH"/>
        </w:rPr>
        <w:t>adolescents</w:t>
      </w:r>
      <w:r w:rsidRPr="0071782F">
        <w:rPr>
          <w:lang w:val="fr-CH"/>
        </w:rPr>
        <w:t>.</w:t>
      </w:r>
    </w:p>
    <w:p w:rsidR="00E5019F" w:rsidRPr="0071782F" w:rsidRDefault="00E5019F" w:rsidP="00E5019F">
      <w:pPr>
        <w:pStyle w:val="SingleTxtG"/>
        <w:ind w:left="1701"/>
        <w:rPr>
          <w:lang w:val="fr-CH"/>
        </w:rPr>
      </w:pPr>
      <w:r w:rsidRPr="0071782F">
        <w:rPr>
          <w:lang w:val="fr-CH"/>
        </w:rPr>
        <w:t>293.2.</w:t>
      </w:r>
      <w:r w:rsidRPr="0071782F">
        <w:rPr>
          <w:lang w:val="fr-CH"/>
        </w:rPr>
        <w:tab/>
      </w:r>
      <w:r w:rsidR="00854C0E" w:rsidRPr="0071782F">
        <w:rPr>
          <w:lang w:val="fr-CH"/>
        </w:rPr>
        <w:t>P</w:t>
      </w:r>
      <w:r w:rsidRPr="0071782F">
        <w:rPr>
          <w:lang w:val="fr-CH"/>
        </w:rPr>
        <w:t xml:space="preserve">lan </w:t>
      </w:r>
      <w:r w:rsidR="00854C0E" w:rsidRPr="0071782F">
        <w:rPr>
          <w:lang w:val="fr-CH"/>
        </w:rPr>
        <w:t>d’</w:t>
      </w:r>
      <w:r w:rsidRPr="0071782F">
        <w:rPr>
          <w:lang w:val="fr-CH"/>
        </w:rPr>
        <w:t>harmoni</w:t>
      </w:r>
      <w:r w:rsidR="00854C0E" w:rsidRPr="0071782F">
        <w:rPr>
          <w:lang w:val="fr-CH"/>
        </w:rPr>
        <w:t>s</w:t>
      </w:r>
      <w:r w:rsidRPr="0071782F">
        <w:rPr>
          <w:lang w:val="fr-CH"/>
        </w:rPr>
        <w:t xml:space="preserve">ation </w:t>
      </w:r>
      <w:r w:rsidR="00854C0E" w:rsidRPr="0071782F">
        <w:rPr>
          <w:lang w:val="fr-CH"/>
        </w:rPr>
        <w:t>des programmes d’études</w:t>
      </w:r>
      <w:r w:rsidRPr="0071782F">
        <w:rPr>
          <w:lang w:val="fr-CH"/>
        </w:rPr>
        <w:t>.</w:t>
      </w:r>
    </w:p>
    <w:p w:rsidR="00E5019F" w:rsidRPr="0071782F" w:rsidRDefault="00E5019F" w:rsidP="00E5019F">
      <w:pPr>
        <w:pStyle w:val="SingleTxtG"/>
        <w:ind w:left="1701"/>
        <w:rPr>
          <w:lang w:val="fr-CH"/>
        </w:rPr>
      </w:pPr>
      <w:r w:rsidRPr="0071782F">
        <w:rPr>
          <w:lang w:val="fr-CH"/>
        </w:rPr>
        <w:t>293.3.</w:t>
      </w:r>
      <w:r w:rsidRPr="0071782F">
        <w:rPr>
          <w:lang w:val="fr-CH"/>
        </w:rPr>
        <w:tab/>
      </w:r>
      <w:r w:rsidR="00854C0E" w:rsidRPr="0071782F">
        <w:rPr>
          <w:lang w:val="fr-CH"/>
        </w:rPr>
        <w:t xml:space="preserve">Plan de responsabilisation parentale. Élaboré par le Bureau des affaires des enfants et des </w:t>
      </w:r>
      <w:r w:rsidR="00B13F4B" w:rsidRPr="0071782F">
        <w:rPr>
          <w:lang w:val="fr-CH"/>
        </w:rPr>
        <w:t>adolescents</w:t>
      </w:r>
      <w:r w:rsidR="00854C0E" w:rsidRPr="0071782F">
        <w:rPr>
          <w:lang w:val="fr-CH"/>
        </w:rPr>
        <w:t>, ce P</w:t>
      </w:r>
      <w:r w:rsidRPr="0071782F">
        <w:rPr>
          <w:lang w:val="fr-CH"/>
        </w:rPr>
        <w:t>lan</w:t>
      </w:r>
      <w:r w:rsidR="00854C0E" w:rsidRPr="0071782F">
        <w:rPr>
          <w:lang w:val="fr-CH"/>
        </w:rPr>
        <w:t xml:space="preserve"> vise essentiellement à renforcer l’autonomie des parents en les sensibilisant à tout ce qui touche à la croissance et au développement des enfants.</w:t>
      </w:r>
    </w:p>
    <w:p w:rsidR="00E5019F" w:rsidRPr="0071782F" w:rsidRDefault="00E5019F" w:rsidP="00E5019F">
      <w:pPr>
        <w:pStyle w:val="SingleTxtG"/>
        <w:ind w:left="1701"/>
        <w:rPr>
          <w:lang w:val="fr-CH"/>
        </w:rPr>
      </w:pPr>
      <w:r w:rsidRPr="0071782F">
        <w:rPr>
          <w:lang w:val="fr-CH"/>
        </w:rPr>
        <w:t>293.4.</w:t>
      </w:r>
      <w:r w:rsidRPr="0071782F">
        <w:rPr>
          <w:lang w:val="fr-CH"/>
        </w:rPr>
        <w:tab/>
      </w:r>
    </w:p>
    <w:p w:rsidR="00E5019F" w:rsidRPr="0071782F" w:rsidRDefault="00E5019F" w:rsidP="00E5019F">
      <w:pPr>
        <w:pStyle w:val="SingleTxtG"/>
        <w:ind w:left="1701"/>
        <w:rPr>
          <w:lang w:val="fr-CH"/>
        </w:rPr>
      </w:pPr>
      <w:r w:rsidRPr="0071782F">
        <w:rPr>
          <w:lang w:val="fr-CH"/>
        </w:rPr>
        <w:t>293.5.</w:t>
      </w:r>
      <w:r w:rsidRPr="0071782F">
        <w:rPr>
          <w:lang w:val="fr-CH"/>
        </w:rPr>
        <w:tab/>
      </w:r>
      <w:r w:rsidR="00854C0E" w:rsidRPr="0071782F">
        <w:rPr>
          <w:lang w:val="fr-CH"/>
        </w:rPr>
        <w:t xml:space="preserve">Plan de </w:t>
      </w:r>
      <w:r w:rsidRPr="0071782F">
        <w:rPr>
          <w:lang w:val="fr-CH"/>
        </w:rPr>
        <w:t>r</w:t>
      </w:r>
      <w:r w:rsidR="00854C0E" w:rsidRPr="0071782F">
        <w:rPr>
          <w:lang w:val="fr-CH"/>
        </w:rPr>
        <w:t>é</w:t>
      </w:r>
      <w:r w:rsidRPr="0071782F">
        <w:rPr>
          <w:lang w:val="fr-CH"/>
        </w:rPr>
        <w:t xml:space="preserve">gulation </w:t>
      </w:r>
      <w:r w:rsidR="00854C0E" w:rsidRPr="0071782F">
        <w:rPr>
          <w:lang w:val="fr-CH"/>
        </w:rPr>
        <w:t xml:space="preserve">des affaires des jeunes enfants de femmes détenues. Les </w:t>
      </w:r>
      <w:r w:rsidRPr="0071782F">
        <w:rPr>
          <w:lang w:val="fr-CH"/>
        </w:rPr>
        <w:t>in</w:t>
      </w:r>
      <w:r w:rsidR="00854C0E" w:rsidRPr="0071782F">
        <w:rPr>
          <w:lang w:val="fr-CH"/>
        </w:rPr>
        <w:t>fra</w:t>
      </w:r>
      <w:r w:rsidRPr="0071782F">
        <w:rPr>
          <w:lang w:val="fr-CH"/>
        </w:rPr>
        <w:t xml:space="preserve">structures </w:t>
      </w:r>
      <w:r w:rsidR="00854C0E" w:rsidRPr="0071782F">
        <w:rPr>
          <w:lang w:val="fr-CH"/>
        </w:rPr>
        <w:t>des établissements pénitentiaires provoquent des dommages irréparables chez les jeunes enfants des femmes détenues, d’où la nécessité de créer des garderies pouvant appuyer, prendre en charge et éduquer ces enfants.</w:t>
      </w:r>
    </w:p>
    <w:p w:rsidR="00E5019F" w:rsidRPr="0071782F" w:rsidRDefault="00E5019F" w:rsidP="00E5019F">
      <w:pPr>
        <w:pStyle w:val="SingleTxtG"/>
        <w:ind w:left="1701"/>
        <w:rPr>
          <w:lang w:val="fr-CH"/>
        </w:rPr>
      </w:pPr>
      <w:r w:rsidRPr="0071782F">
        <w:rPr>
          <w:lang w:val="fr-CH"/>
        </w:rPr>
        <w:t>293.6.</w:t>
      </w:r>
      <w:r w:rsidRPr="0071782F">
        <w:rPr>
          <w:lang w:val="fr-CH"/>
        </w:rPr>
        <w:tab/>
      </w:r>
      <w:r w:rsidR="00854C0E" w:rsidRPr="0071782F">
        <w:rPr>
          <w:lang w:val="fr-CH"/>
        </w:rPr>
        <w:t>P</w:t>
      </w:r>
      <w:r w:rsidRPr="0071782F">
        <w:rPr>
          <w:lang w:val="fr-CH"/>
        </w:rPr>
        <w:t xml:space="preserve">lan </w:t>
      </w:r>
      <w:r w:rsidR="00854C0E" w:rsidRPr="0071782F">
        <w:rPr>
          <w:lang w:val="fr-CH"/>
        </w:rPr>
        <w:t>de contrôle et d’é</w:t>
      </w:r>
      <w:r w:rsidRPr="0071782F">
        <w:rPr>
          <w:lang w:val="fr-CH"/>
        </w:rPr>
        <w:t xml:space="preserve">valuation </w:t>
      </w:r>
      <w:r w:rsidR="00854C0E" w:rsidRPr="0071782F">
        <w:rPr>
          <w:lang w:val="fr-CH"/>
        </w:rPr>
        <w:t>des activité</w:t>
      </w:r>
      <w:r w:rsidRPr="0071782F">
        <w:rPr>
          <w:lang w:val="fr-CH"/>
        </w:rPr>
        <w:t xml:space="preserve">s </w:t>
      </w:r>
      <w:r w:rsidR="00854C0E" w:rsidRPr="0071782F">
        <w:rPr>
          <w:lang w:val="fr-CH"/>
        </w:rPr>
        <w:t>des centres d’éducation préscolaire</w:t>
      </w:r>
      <w:r w:rsidRPr="0071782F">
        <w:rPr>
          <w:lang w:val="fr-CH"/>
        </w:rPr>
        <w:t>.</w:t>
      </w:r>
    </w:p>
    <w:p w:rsidR="00E5019F" w:rsidRPr="0071782F" w:rsidRDefault="00E5019F" w:rsidP="00E5019F">
      <w:pPr>
        <w:pStyle w:val="SingleTxtG"/>
        <w:ind w:left="1701"/>
        <w:rPr>
          <w:lang w:val="fr-CH"/>
        </w:rPr>
      </w:pPr>
      <w:r w:rsidRPr="0071782F">
        <w:rPr>
          <w:lang w:val="fr-CH"/>
        </w:rPr>
        <w:t>293.7.</w:t>
      </w:r>
      <w:r w:rsidRPr="0071782F">
        <w:rPr>
          <w:lang w:val="fr-CH"/>
        </w:rPr>
        <w:tab/>
      </w:r>
      <w:r w:rsidR="00854C0E" w:rsidRPr="0071782F">
        <w:rPr>
          <w:lang w:val="fr-CH"/>
        </w:rPr>
        <w:t>P</w:t>
      </w:r>
      <w:r w:rsidRPr="0071782F">
        <w:rPr>
          <w:lang w:val="fr-CH"/>
        </w:rPr>
        <w:t xml:space="preserve">lan </w:t>
      </w:r>
      <w:r w:rsidR="00854C0E" w:rsidRPr="0071782F">
        <w:rPr>
          <w:lang w:val="fr-CH"/>
        </w:rPr>
        <w:t>de formation des directeurs et formateurs de garderie</w:t>
      </w:r>
      <w:r w:rsidRPr="0071782F">
        <w:rPr>
          <w:lang w:val="fr-CH"/>
        </w:rPr>
        <w:t>.</w:t>
      </w:r>
    </w:p>
    <w:p w:rsidR="00E5019F" w:rsidRPr="0071782F" w:rsidRDefault="00E5019F" w:rsidP="00E5019F">
      <w:pPr>
        <w:pStyle w:val="SingleTxtG"/>
        <w:ind w:left="1701"/>
        <w:rPr>
          <w:lang w:val="fr-CH"/>
        </w:rPr>
      </w:pPr>
      <w:r w:rsidRPr="0071782F">
        <w:rPr>
          <w:lang w:val="fr-CH"/>
        </w:rPr>
        <w:t>293.8.</w:t>
      </w:r>
      <w:r w:rsidRPr="0071782F">
        <w:rPr>
          <w:lang w:val="fr-CH"/>
        </w:rPr>
        <w:tab/>
      </w:r>
      <w:r w:rsidR="00854C0E" w:rsidRPr="0071782F">
        <w:rPr>
          <w:lang w:val="fr-CH"/>
        </w:rPr>
        <w:t>P</w:t>
      </w:r>
      <w:r w:rsidRPr="0071782F">
        <w:rPr>
          <w:lang w:val="fr-CH"/>
        </w:rPr>
        <w:t xml:space="preserve">lan </w:t>
      </w:r>
      <w:r w:rsidR="00854C0E" w:rsidRPr="0071782F">
        <w:rPr>
          <w:lang w:val="fr-CH"/>
        </w:rPr>
        <w:t>de développement de matériels éducatifs pour les garderies</w:t>
      </w:r>
      <w:r w:rsidRPr="0071782F">
        <w:rPr>
          <w:lang w:val="fr-CH"/>
        </w:rPr>
        <w:t>.</w:t>
      </w:r>
    </w:p>
    <w:p w:rsidR="00E5019F" w:rsidRPr="0071782F" w:rsidRDefault="00E5019F" w:rsidP="00E5019F">
      <w:pPr>
        <w:pStyle w:val="SingleTxtG"/>
        <w:ind w:left="1701"/>
        <w:rPr>
          <w:lang w:val="fr-CH"/>
        </w:rPr>
      </w:pPr>
      <w:r w:rsidRPr="0071782F">
        <w:rPr>
          <w:lang w:val="fr-CH"/>
        </w:rPr>
        <w:t>293.9.</w:t>
      </w:r>
      <w:r w:rsidRPr="0071782F">
        <w:rPr>
          <w:lang w:val="fr-CH"/>
        </w:rPr>
        <w:tab/>
      </w:r>
      <w:r w:rsidR="00854C0E" w:rsidRPr="0071782F">
        <w:rPr>
          <w:lang w:val="fr-CH"/>
        </w:rPr>
        <w:t>P</w:t>
      </w:r>
      <w:r w:rsidRPr="0071782F">
        <w:rPr>
          <w:lang w:val="fr-CH"/>
        </w:rPr>
        <w:t xml:space="preserve">lan </w:t>
      </w:r>
      <w:r w:rsidR="00854C0E" w:rsidRPr="0071782F">
        <w:rPr>
          <w:lang w:val="fr-CH"/>
        </w:rPr>
        <w:t xml:space="preserve">d’utilisation des services de garderie pour développer les aptitudes </w:t>
      </w:r>
      <w:r w:rsidRPr="0071782F">
        <w:rPr>
          <w:lang w:val="fr-CH"/>
        </w:rPr>
        <w:t>social</w:t>
      </w:r>
      <w:r w:rsidR="00854C0E" w:rsidRPr="0071782F">
        <w:rPr>
          <w:lang w:val="fr-CH"/>
        </w:rPr>
        <w:t>es</w:t>
      </w:r>
      <w:r w:rsidRPr="0071782F">
        <w:rPr>
          <w:lang w:val="fr-CH"/>
        </w:rPr>
        <w:t xml:space="preserve"> </w:t>
      </w:r>
      <w:r w:rsidR="00854C0E" w:rsidRPr="0071782F">
        <w:rPr>
          <w:lang w:val="fr-CH"/>
        </w:rPr>
        <w:t>et cognitives des enfants âgés de moins de six</w:t>
      </w:r>
      <w:r w:rsidR="00D82C96" w:rsidRPr="0071782F">
        <w:rPr>
          <w:lang w:val="fr-CH"/>
        </w:rPr>
        <w:t> ans</w:t>
      </w:r>
      <w:r w:rsidR="00854C0E" w:rsidRPr="0071782F">
        <w:rPr>
          <w:lang w:val="fr-CH"/>
        </w:rPr>
        <w:t xml:space="preserve"> de parents toxicomanes</w:t>
      </w:r>
      <w:r w:rsidRPr="0071782F">
        <w:rPr>
          <w:lang w:val="fr-CH"/>
        </w:rPr>
        <w:t>.</w:t>
      </w:r>
    </w:p>
    <w:p w:rsidR="00E5019F" w:rsidRPr="0071782F" w:rsidRDefault="00E5019F" w:rsidP="002C30DA">
      <w:pPr>
        <w:pStyle w:val="SingleTxtG"/>
        <w:spacing w:after="0"/>
        <w:ind w:left="1701"/>
        <w:rPr>
          <w:lang w:val="fr-CH"/>
        </w:rPr>
      </w:pPr>
      <w:r w:rsidRPr="0071782F">
        <w:rPr>
          <w:lang w:val="fr-CH"/>
        </w:rPr>
        <w:t xml:space="preserve">293.10. </w:t>
      </w:r>
      <w:r w:rsidR="00854C0E" w:rsidRPr="0071782F">
        <w:rPr>
          <w:lang w:val="fr-CH"/>
        </w:rPr>
        <w:t>P</w:t>
      </w:r>
      <w:r w:rsidRPr="0071782F">
        <w:rPr>
          <w:lang w:val="fr-CH"/>
        </w:rPr>
        <w:t xml:space="preserve">lan </w:t>
      </w:r>
      <w:r w:rsidR="00637706" w:rsidRPr="0071782F">
        <w:rPr>
          <w:lang w:val="fr-CH"/>
        </w:rPr>
        <w:t xml:space="preserve">de </w:t>
      </w:r>
      <w:r w:rsidRPr="0071782F">
        <w:rPr>
          <w:lang w:val="fr-CH"/>
        </w:rPr>
        <w:t>r</w:t>
      </w:r>
      <w:r w:rsidR="00637706" w:rsidRPr="0071782F">
        <w:rPr>
          <w:lang w:val="fr-CH"/>
        </w:rPr>
        <w:t>é</w:t>
      </w:r>
      <w:r w:rsidRPr="0071782F">
        <w:rPr>
          <w:lang w:val="fr-CH"/>
        </w:rPr>
        <w:t xml:space="preserve">duction </w:t>
      </w:r>
      <w:r w:rsidR="00637706" w:rsidRPr="0071782F">
        <w:rPr>
          <w:lang w:val="fr-CH"/>
        </w:rPr>
        <w:t>de la taille des centres de services publics et privés ouverts 24</w:t>
      </w:r>
      <w:r w:rsidR="00BF435F" w:rsidRPr="0071782F">
        <w:rPr>
          <w:lang w:val="fr-CH"/>
        </w:rPr>
        <w:t> heures</w:t>
      </w:r>
      <w:r w:rsidR="00637706" w:rsidRPr="0071782F">
        <w:rPr>
          <w:lang w:val="fr-CH"/>
        </w:rPr>
        <w:t xml:space="preserve"> sur 24 et régulation de leurs activités. En</w:t>
      </w:r>
      <w:r w:rsidRPr="0071782F">
        <w:rPr>
          <w:lang w:val="fr-CH"/>
        </w:rPr>
        <w:t xml:space="preserve"> 2006, </w:t>
      </w:r>
      <w:r w:rsidR="00637706" w:rsidRPr="0071782F">
        <w:rPr>
          <w:lang w:val="fr-CH"/>
        </w:rPr>
        <w:t xml:space="preserve">il y avait </w:t>
      </w:r>
      <w:r w:rsidRPr="0071782F">
        <w:rPr>
          <w:lang w:val="fr-CH"/>
        </w:rPr>
        <w:t>150</w:t>
      </w:r>
      <w:r w:rsidR="00B350D6">
        <w:rPr>
          <w:lang w:val="fr-CH"/>
        </w:rPr>
        <w:t> </w:t>
      </w:r>
      <w:r w:rsidR="00637706" w:rsidRPr="0071782F">
        <w:rPr>
          <w:lang w:val="fr-CH"/>
        </w:rPr>
        <w:t>centres publics de ce type et 241</w:t>
      </w:r>
      <w:r w:rsidR="00B350D6">
        <w:rPr>
          <w:lang w:val="fr-CH"/>
        </w:rPr>
        <w:t> </w:t>
      </w:r>
      <w:r w:rsidR="00637706" w:rsidRPr="0071782F">
        <w:rPr>
          <w:lang w:val="fr-CH"/>
        </w:rPr>
        <w:t xml:space="preserve">centres privés. Le </w:t>
      </w:r>
      <w:r w:rsidR="003B48A4" w:rsidRPr="0071782F">
        <w:rPr>
          <w:lang w:val="fr-CH"/>
        </w:rPr>
        <w:t>nombre</w:t>
      </w:r>
      <w:r w:rsidRPr="0071782F">
        <w:rPr>
          <w:lang w:val="fr-CH"/>
        </w:rPr>
        <w:t xml:space="preserve"> </w:t>
      </w:r>
      <w:r w:rsidR="00637706" w:rsidRPr="0071782F">
        <w:rPr>
          <w:lang w:val="fr-CH"/>
        </w:rPr>
        <w:t xml:space="preserve">d’enfants logés dans ces centres était de </w:t>
      </w:r>
      <w:r w:rsidRPr="0071782F">
        <w:rPr>
          <w:lang w:val="fr-CH"/>
        </w:rPr>
        <w:t>41</w:t>
      </w:r>
      <w:r w:rsidR="00637706" w:rsidRPr="0071782F">
        <w:rPr>
          <w:lang w:val="fr-CH"/>
        </w:rPr>
        <w:t> </w:t>
      </w:r>
      <w:r w:rsidRPr="0071782F">
        <w:rPr>
          <w:lang w:val="fr-CH"/>
        </w:rPr>
        <w:t>160</w:t>
      </w:r>
      <w:r w:rsidR="00637706" w:rsidRPr="0071782F">
        <w:rPr>
          <w:lang w:val="fr-CH"/>
        </w:rPr>
        <w:t xml:space="preserve"> pour les premiers et de </w:t>
      </w:r>
      <w:r w:rsidRPr="0071782F">
        <w:rPr>
          <w:lang w:val="fr-CH"/>
        </w:rPr>
        <w:t>5</w:t>
      </w:r>
      <w:r w:rsidR="00C36750" w:rsidRPr="0071782F">
        <w:rPr>
          <w:lang w:val="fr-CH"/>
        </w:rPr>
        <w:t> </w:t>
      </w:r>
      <w:r w:rsidRPr="0071782F">
        <w:rPr>
          <w:lang w:val="fr-CH"/>
        </w:rPr>
        <w:t>124</w:t>
      </w:r>
      <w:r w:rsidR="00B350D6">
        <w:rPr>
          <w:lang w:val="fr-CH"/>
        </w:rPr>
        <w:t xml:space="preserve"> </w:t>
      </w:r>
      <w:r w:rsidR="00637706" w:rsidRPr="0071782F">
        <w:rPr>
          <w:lang w:val="fr-CH"/>
        </w:rPr>
        <w:t>pour les seconds</w:t>
      </w:r>
      <w:r w:rsidRPr="0071782F">
        <w:rPr>
          <w:lang w:val="fr-CH"/>
        </w:rPr>
        <w:t>.</w:t>
      </w:r>
    </w:p>
    <w:p w:rsidR="00E5019F" w:rsidRPr="0071782F" w:rsidRDefault="00E5019F" w:rsidP="001E1976">
      <w:pPr>
        <w:pStyle w:val="H23G"/>
        <w:rPr>
          <w:lang w:val="fr-CH"/>
        </w:rPr>
      </w:pPr>
      <w:r w:rsidRPr="0071782F">
        <w:rPr>
          <w:lang w:val="fr-CH"/>
        </w:rPr>
        <w:tab/>
      </w:r>
      <w:r w:rsidRPr="0071782F">
        <w:rPr>
          <w:lang w:val="fr-CH"/>
        </w:rPr>
        <w:tab/>
      </w:r>
      <w:r w:rsidR="00637706" w:rsidRPr="0071782F">
        <w:rPr>
          <w:lang w:val="fr-CH"/>
        </w:rPr>
        <w:t xml:space="preserve">Résultats des </w:t>
      </w:r>
      <w:r w:rsidRPr="0071782F">
        <w:rPr>
          <w:lang w:val="fr-CH"/>
        </w:rPr>
        <w:t>program</w:t>
      </w:r>
      <w:r w:rsidR="00637706" w:rsidRPr="0071782F">
        <w:rPr>
          <w:lang w:val="fr-CH"/>
        </w:rPr>
        <w:t>me</w:t>
      </w:r>
      <w:r w:rsidRPr="0071782F">
        <w:rPr>
          <w:lang w:val="fr-CH"/>
        </w:rPr>
        <w:t xml:space="preserve">s </w:t>
      </w:r>
      <w:r w:rsidR="00637706" w:rsidRPr="0071782F">
        <w:rPr>
          <w:lang w:val="fr-CH"/>
        </w:rPr>
        <w:t xml:space="preserve">du Bureau des affaires des enfants et des </w:t>
      </w:r>
      <w:r w:rsidR="00B13F4B" w:rsidRPr="0071782F">
        <w:rPr>
          <w:lang w:val="fr-CH"/>
        </w:rPr>
        <w:t>adolescents</w:t>
      </w:r>
      <w:r w:rsidR="00637706" w:rsidRPr="0071782F">
        <w:rPr>
          <w:lang w:val="fr-CH"/>
        </w:rPr>
        <w:t xml:space="preserve"> en </w:t>
      </w:r>
      <w:r w:rsidRPr="0071782F">
        <w:rPr>
          <w:lang w:val="fr-CH"/>
        </w:rPr>
        <w:t>2005</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6379"/>
        <w:gridCol w:w="851"/>
        <w:gridCol w:w="1275"/>
      </w:tblGrid>
      <w:tr w:rsidR="00E5019F" w:rsidRPr="0071782F">
        <w:trPr>
          <w:tblHeader/>
        </w:trPr>
        <w:tc>
          <w:tcPr>
            <w:tcW w:w="6379" w:type="dxa"/>
            <w:tcBorders>
              <w:top w:val="single" w:sz="4" w:space="0" w:color="auto"/>
              <w:bottom w:val="single" w:sz="12" w:space="0" w:color="auto"/>
            </w:tcBorders>
            <w:shd w:val="clear" w:color="auto" w:fill="auto"/>
            <w:vAlign w:val="bottom"/>
          </w:tcPr>
          <w:p w:rsidR="00E5019F" w:rsidRPr="0071782F" w:rsidRDefault="00E5019F" w:rsidP="00C36750">
            <w:pPr>
              <w:keepNext/>
              <w:keepLines/>
              <w:suppressAutoHyphens w:val="0"/>
              <w:spacing w:before="80" w:after="80" w:line="200" w:lineRule="exact"/>
              <w:rPr>
                <w:i/>
                <w:sz w:val="16"/>
                <w:lang w:val="fr-CH"/>
              </w:rPr>
            </w:pPr>
            <w:r w:rsidRPr="0071782F">
              <w:rPr>
                <w:i/>
                <w:sz w:val="16"/>
                <w:lang w:val="fr-CH"/>
              </w:rPr>
              <w:t>Plan</w:t>
            </w:r>
          </w:p>
        </w:tc>
        <w:tc>
          <w:tcPr>
            <w:tcW w:w="851" w:type="dxa"/>
            <w:tcBorders>
              <w:top w:val="single" w:sz="4" w:space="0" w:color="auto"/>
              <w:bottom w:val="single" w:sz="12" w:space="0" w:color="auto"/>
            </w:tcBorders>
            <w:shd w:val="clear" w:color="auto" w:fill="auto"/>
            <w:vAlign w:val="bottom"/>
          </w:tcPr>
          <w:p w:rsidR="00E5019F" w:rsidRPr="0071782F" w:rsidRDefault="00E5019F" w:rsidP="00C36750">
            <w:pPr>
              <w:keepNext/>
              <w:keepLines/>
              <w:suppressAutoHyphens w:val="0"/>
              <w:spacing w:before="80" w:after="80" w:line="200" w:lineRule="exact"/>
              <w:rPr>
                <w:i/>
                <w:sz w:val="16"/>
                <w:lang w:val="fr-CH"/>
              </w:rPr>
            </w:pPr>
            <w:r w:rsidRPr="0071782F">
              <w:rPr>
                <w:i/>
                <w:sz w:val="16"/>
                <w:lang w:val="fr-CH"/>
              </w:rPr>
              <w:t>Unit</w:t>
            </w:r>
            <w:r w:rsidR="00637706" w:rsidRPr="0071782F">
              <w:rPr>
                <w:i/>
                <w:sz w:val="16"/>
                <w:lang w:val="fr-CH"/>
              </w:rPr>
              <w:t>é</w:t>
            </w:r>
          </w:p>
        </w:tc>
        <w:tc>
          <w:tcPr>
            <w:tcW w:w="1275" w:type="dxa"/>
            <w:tcBorders>
              <w:top w:val="single" w:sz="4" w:space="0" w:color="auto"/>
              <w:bottom w:val="single" w:sz="12" w:space="0" w:color="auto"/>
            </w:tcBorders>
            <w:shd w:val="clear" w:color="auto" w:fill="auto"/>
            <w:vAlign w:val="bottom"/>
          </w:tcPr>
          <w:p w:rsidR="00E5019F" w:rsidRPr="0071782F" w:rsidRDefault="00637706" w:rsidP="00C36750">
            <w:pPr>
              <w:keepNext/>
              <w:keepLines/>
              <w:suppressAutoHyphens w:val="0"/>
              <w:spacing w:before="80" w:after="80" w:line="200" w:lineRule="exact"/>
              <w:jc w:val="right"/>
              <w:rPr>
                <w:i/>
                <w:sz w:val="16"/>
                <w:lang w:val="fr-CH"/>
              </w:rPr>
            </w:pPr>
            <w:r w:rsidRPr="0071782F">
              <w:rPr>
                <w:i/>
                <w:sz w:val="16"/>
                <w:lang w:val="fr-CH"/>
              </w:rPr>
              <w:t>Résultats en</w:t>
            </w:r>
            <w:r w:rsidR="00E5019F" w:rsidRPr="0071782F">
              <w:rPr>
                <w:i/>
                <w:sz w:val="16"/>
                <w:lang w:val="fr-CH"/>
              </w:rPr>
              <w:t xml:space="preserve"> 2006</w:t>
            </w:r>
          </w:p>
        </w:tc>
      </w:tr>
      <w:tr w:rsidR="00E5019F" w:rsidRPr="0071782F">
        <w:tc>
          <w:tcPr>
            <w:tcW w:w="6379" w:type="dxa"/>
            <w:tcBorders>
              <w:top w:val="single" w:sz="12" w:space="0" w:color="auto"/>
              <w:bottom w:val="nil"/>
            </w:tcBorders>
            <w:shd w:val="clear" w:color="auto" w:fill="auto"/>
            <w:vAlign w:val="bottom"/>
          </w:tcPr>
          <w:p w:rsidR="00E5019F" w:rsidRPr="0071782F" w:rsidRDefault="00E5019F" w:rsidP="00C36750">
            <w:pPr>
              <w:keepNext/>
              <w:keepLines/>
              <w:suppressAutoHyphens w:val="0"/>
              <w:spacing w:before="40" w:after="40" w:line="220" w:lineRule="exact"/>
              <w:rPr>
                <w:sz w:val="18"/>
                <w:lang w:val="fr-CH"/>
              </w:rPr>
            </w:pPr>
            <w:r w:rsidRPr="0071782F">
              <w:rPr>
                <w:sz w:val="18"/>
                <w:lang w:val="fr-CH"/>
              </w:rPr>
              <w:t>R</w:t>
            </w:r>
            <w:r w:rsidR="00637706" w:rsidRPr="0071782F">
              <w:rPr>
                <w:sz w:val="18"/>
                <w:lang w:val="fr-CH"/>
              </w:rPr>
              <w:t>é</w:t>
            </w:r>
            <w:r w:rsidRPr="0071782F">
              <w:rPr>
                <w:sz w:val="18"/>
                <w:lang w:val="fr-CH"/>
              </w:rPr>
              <w:t xml:space="preserve">gulation </w:t>
            </w:r>
            <w:r w:rsidR="00637706" w:rsidRPr="0071782F">
              <w:rPr>
                <w:sz w:val="18"/>
                <w:lang w:val="fr-CH"/>
              </w:rPr>
              <w:t>des</w:t>
            </w:r>
            <w:r w:rsidRPr="0071782F">
              <w:rPr>
                <w:sz w:val="18"/>
                <w:lang w:val="fr-CH"/>
              </w:rPr>
              <w:t xml:space="preserve"> services </w:t>
            </w:r>
            <w:r w:rsidR="00637706" w:rsidRPr="0071782F">
              <w:rPr>
                <w:sz w:val="18"/>
                <w:lang w:val="fr-CH"/>
              </w:rPr>
              <w:t>culturels et éducatifs</w:t>
            </w:r>
            <w:r w:rsidR="00D36718">
              <w:rPr>
                <w:sz w:val="18"/>
                <w:lang w:val="fr-CH"/>
              </w:rPr>
              <w:t xml:space="preserve"> </w:t>
            </w:r>
            <w:r w:rsidR="00637706" w:rsidRPr="0071782F">
              <w:rPr>
                <w:sz w:val="18"/>
                <w:lang w:val="fr-CH"/>
              </w:rPr>
              <w:t xml:space="preserve">aux enfants et </w:t>
            </w:r>
            <w:r w:rsidR="00B13F4B" w:rsidRPr="0071782F">
              <w:rPr>
                <w:sz w:val="18"/>
                <w:lang w:val="fr-CH"/>
              </w:rPr>
              <w:t>adolescents</w:t>
            </w:r>
            <w:r w:rsidR="00637706" w:rsidRPr="0071782F">
              <w:rPr>
                <w:sz w:val="18"/>
                <w:lang w:val="fr-CH"/>
              </w:rPr>
              <w:t xml:space="preserve"> dans les quartiers défavorisés des grandes villes </w:t>
            </w:r>
          </w:p>
        </w:tc>
        <w:tc>
          <w:tcPr>
            <w:tcW w:w="851" w:type="dxa"/>
            <w:tcBorders>
              <w:top w:val="single" w:sz="12" w:space="0" w:color="auto"/>
              <w:bottom w:val="nil"/>
            </w:tcBorders>
            <w:shd w:val="clear" w:color="auto" w:fill="auto"/>
            <w:vAlign w:val="bottom"/>
          </w:tcPr>
          <w:p w:rsidR="00E5019F" w:rsidRPr="0071782F" w:rsidRDefault="00E5019F" w:rsidP="00C36750">
            <w:pPr>
              <w:keepNext/>
              <w:keepLines/>
              <w:suppressAutoHyphens w:val="0"/>
              <w:spacing w:before="40" w:after="40" w:line="220" w:lineRule="exact"/>
              <w:rPr>
                <w:sz w:val="18"/>
                <w:lang w:val="fr-CH"/>
              </w:rPr>
            </w:pPr>
            <w:r w:rsidRPr="0071782F">
              <w:rPr>
                <w:sz w:val="18"/>
                <w:lang w:val="fr-CH"/>
              </w:rPr>
              <w:t>Person</w:t>
            </w:r>
            <w:r w:rsidR="00637706" w:rsidRPr="0071782F">
              <w:rPr>
                <w:sz w:val="18"/>
                <w:lang w:val="fr-CH"/>
              </w:rPr>
              <w:t>ne</w:t>
            </w:r>
          </w:p>
        </w:tc>
        <w:tc>
          <w:tcPr>
            <w:tcW w:w="1275" w:type="dxa"/>
            <w:tcBorders>
              <w:top w:val="single" w:sz="12" w:space="0" w:color="auto"/>
              <w:bottom w:val="nil"/>
            </w:tcBorders>
            <w:shd w:val="clear" w:color="auto" w:fill="auto"/>
            <w:vAlign w:val="bottom"/>
          </w:tcPr>
          <w:p w:rsidR="00E5019F" w:rsidRPr="0071782F" w:rsidRDefault="00E5019F" w:rsidP="00C36750">
            <w:pPr>
              <w:keepNext/>
              <w:keepLines/>
              <w:suppressAutoHyphens w:val="0"/>
              <w:spacing w:before="40" w:after="40" w:line="220" w:lineRule="exact"/>
              <w:jc w:val="right"/>
              <w:rPr>
                <w:sz w:val="18"/>
                <w:lang w:val="fr-CH"/>
              </w:rPr>
            </w:pPr>
            <w:r w:rsidRPr="0071782F">
              <w:rPr>
                <w:sz w:val="18"/>
                <w:lang w:val="fr-CH"/>
              </w:rPr>
              <w:t>2 800</w:t>
            </w:r>
          </w:p>
        </w:tc>
      </w:tr>
      <w:tr w:rsidR="00E5019F" w:rsidRPr="0071782F">
        <w:tc>
          <w:tcPr>
            <w:tcW w:w="6379" w:type="dxa"/>
            <w:tcBorders>
              <w:top w:val="nil"/>
            </w:tcBorders>
            <w:shd w:val="clear" w:color="auto" w:fill="auto"/>
            <w:vAlign w:val="bottom"/>
          </w:tcPr>
          <w:p w:rsidR="00E5019F" w:rsidRPr="0071782F" w:rsidRDefault="00E5019F" w:rsidP="00C36750">
            <w:pPr>
              <w:suppressAutoHyphens w:val="0"/>
              <w:spacing w:before="40" w:after="40" w:line="220" w:lineRule="exact"/>
              <w:rPr>
                <w:sz w:val="18"/>
                <w:lang w:val="fr-CH"/>
              </w:rPr>
            </w:pPr>
            <w:r w:rsidRPr="0071782F">
              <w:rPr>
                <w:sz w:val="18"/>
                <w:lang w:val="fr-CH"/>
              </w:rPr>
              <w:t>A</w:t>
            </w:r>
            <w:r w:rsidR="00637706" w:rsidRPr="0071782F">
              <w:rPr>
                <w:sz w:val="18"/>
                <w:lang w:val="fr-CH"/>
              </w:rPr>
              <w:t xml:space="preserve">ide à la création et à l’extension de garderies dans les zones défavorisées </w:t>
            </w:r>
          </w:p>
        </w:tc>
        <w:tc>
          <w:tcPr>
            <w:tcW w:w="851" w:type="dxa"/>
            <w:tcBorders>
              <w:top w:val="nil"/>
            </w:tcBorders>
            <w:shd w:val="clear" w:color="auto" w:fill="auto"/>
            <w:vAlign w:val="bottom"/>
          </w:tcPr>
          <w:p w:rsidR="00E5019F" w:rsidRPr="0071782F" w:rsidRDefault="00E5019F" w:rsidP="00C36750">
            <w:pPr>
              <w:suppressAutoHyphens w:val="0"/>
              <w:spacing w:before="40" w:after="40" w:line="220" w:lineRule="exact"/>
              <w:rPr>
                <w:sz w:val="18"/>
                <w:lang w:val="fr-CH"/>
              </w:rPr>
            </w:pPr>
            <w:r w:rsidRPr="0071782F">
              <w:rPr>
                <w:sz w:val="18"/>
                <w:lang w:val="fr-CH"/>
              </w:rPr>
              <w:t>Cent</w:t>
            </w:r>
            <w:r w:rsidR="00637706" w:rsidRPr="0071782F">
              <w:rPr>
                <w:sz w:val="18"/>
                <w:lang w:val="fr-CH"/>
              </w:rPr>
              <w:t>re</w:t>
            </w:r>
          </w:p>
        </w:tc>
        <w:tc>
          <w:tcPr>
            <w:tcW w:w="1275" w:type="dxa"/>
            <w:tcBorders>
              <w:top w:val="nil"/>
            </w:tcBorders>
            <w:shd w:val="clear" w:color="auto" w:fill="auto"/>
            <w:vAlign w:val="bottom"/>
          </w:tcPr>
          <w:p w:rsidR="00E5019F" w:rsidRPr="0071782F" w:rsidRDefault="00E5019F" w:rsidP="00C36750">
            <w:pPr>
              <w:suppressAutoHyphens w:val="0"/>
              <w:spacing w:before="40" w:after="40" w:line="220" w:lineRule="exact"/>
              <w:jc w:val="right"/>
              <w:rPr>
                <w:sz w:val="18"/>
                <w:lang w:val="fr-CH"/>
              </w:rPr>
            </w:pPr>
            <w:r w:rsidRPr="0071782F">
              <w:rPr>
                <w:sz w:val="18"/>
                <w:lang w:val="fr-CH"/>
              </w:rPr>
              <w:t>50</w:t>
            </w:r>
          </w:p>
        </w:tc>
      </w:tr>
      <w:tr w:rsidR="00E5019F" w:rsidRPr="0071782F">
        <w:tc>
          <w:tcPr>
            <w:tcW w:w="6379" w:type="dxa"/>
            <w:shd w:val="clear" w:color="auto" w:fill="auto"/>
            <w:vAlign w:val="bottom"/>
          </w:tcPr>
          <w:p w:rsidR="00E5019F" w:rsidRPr="0071782F" w:rsidRDefault="00E5019F" w:rsidP="00C36750">
            <w:pPr>
              <w:suppressAutoHyphens w:val="0"/>
              <w:spacing w:before="40" w:after="40" w:line="220" w:lineRule="exact"/>
              <w:rPr>
                <w:sz w:val="18"/>
                <w:lang w:val="fr-CH"/>
              </w:rPr>
            </w:pPr>
            <w:r w:rsidRPr="0071782F">
              <w:rPr>
                <w:sz w:val="18"/>
                <w:lang w:val="fr-CH"/>
              </w:rPr>
              <w:t>R</w:t>
            </w:r>
            <w:r w:rsidR="00637706" w:rsidRPr="0071782F">
              <w:rPr>
                <w:sz w:val="18"/>
                <w:lang w:val="fr-CH"/>
              </w:rPr>
              <w:t>é</w:t>
            </w:r>
            <w:r w:rsidRPr="0071782F">
              <w:rPr>
                <w:sz w:val="18"/>
                <w:lang w:val="fr-CH"/>
              </w:rPr>
              <w:t xml:space="preserve">gulation </w:t>
            </w:r>
            <w:r w:rsidR="00637706" w:rsidRPr="0071782F">
              <w:rPr>
                <w:sz w:val="18"/>
                <w:lang w:val="fr-CH"/>
              </w:rPr>
              <w:t xml:space="preserve">des </w:t>
            </w:r>
            <w:r w:rsidRPr="0071782F">
              <w:rPr>
                <w:sz w:val="18"/>
                <w:lang w:val="fr-CH"/>
              </w:rPr>
              <w:t xml:space="preserve">services </w:t>
            </w:r>
            <w:r w:rsidR="00637706" w:rsidRPr="0071782F">
              <w:rPr>
                <w:sz w:val="18"/>
                <w:lang w:val="fr-CH"/>
              </w:rPr>
              <w:t xml:space="preserve">de conseil aux enfants et </w:t>
            </w:r>
            <w:r w:rsidR="00A234E8" w:rsidRPr="0071782F">
              <w:rPr>
                <w:sz w:val="18"/>
                <w:lang w:val="fr-CH"/>
              </w:rPr>
              <w:t>aux familles</w:t>
            </w:r>
            <w:r w:rsidR="00637706" w:rsidRPr="0071782F">
              <w:rPr>
                <w:sz w:val="18"/>
                <w:lang w:val="fr-CH"/>
              </w:rPr>
              <w:t xml:space="preserve"> dans les garderies </w:t>
            </w:r>
          </w:p>
        </w:tc>
        <w:tc>
          <w:tcPr>
            <w:tcW w:w="851" w:type="dxa"/>
            <w:shd w:val="clear" w:color="auto" w:fill="auto"/>
            <w:vAlign w:val="bottom"/>
          </w:tcPr>
          <w:p w:rsidR="00E5019F" w:rsidRPr="0071782F" w:rsidRDefault="00E5019F" w:rsidP="00C36750">
            <w:pPr>
              <w:suppressAutoHyphens w:val="0"/>
              <w:spacing w:before="40" w:after="40" w:line="220" w:lineRule="exact"/>
              <w:rPr>
                <w:sz w:val="18"/>
                <w:lang w:val="fr-CH"/>
              </w:rPr>
            </w:pPr>
            <w:r w:rsidRPr="0071782F">
              <w:rPr>
                <w:sz w:val="18"/>
                <w:lang w:val="fr-CH"/>
              </w:rPr>
              <w:t>Person</w:t>
            </w:r>
            <w:r w:rsidR="00637706" w:rsidRPr="0071782F">
              <w:rPr>
                <w:sz w:val="18"/>
                <w:lang w:val="fr-CH"/>
              </w:rPr>
              <w:t>ne</w:t>
            </w:r>
          </w:p>
        </w:tc>
        <w:tc>
          <w:tcPr>
            <w:tcW w:w="1275" w:type="dxa"/>
            <w:shd w:val="clear" w:color="auto" w:fill="auto"/>
            <w:vAlign w:val="bottom"/>
          </w:tcPr>
          <w:p w:rsidR="00E5019F" w:rsidRPr="0071782F" w:rsidRDefault="00E5019F" w:rsidP="00C36750">
            <w:pPr>
              <w:suppressAutoHyphens w:val="0"/>
              <w:spacing w:before="40" w:after="40" w:line="220" w:lineRule="exact"/>
              <w:jc w:val="right"/>
              <w:rPr>
                <w:sz w:val="18"/>
                <w:lang w:val="fr-CH"/>
              </w:rPr>
            </w:pPr>
            <w:r w:rsidRPr="0071782F">
              <w:rPr>
                <w:sz w:val="18"/>
                <w:lang w:val="fr-CH"/>
              </w:rPr>
              <w:t>9 500</w:t>
            </w:r>
          </w:p>
        </w:tc>
      </w:tr>
      <w:tr w:rsidR="00E5019F" w:rsidRPr="0071782F">
        <w:tc>
          <w:tcPr>
            <w:tcW w:w="6379" w:type="dxa"/>
            <w:shd w:val="clear" w:color="auto" w:fill="auto"/>
            <w:vAlign w:val="bottom"/>
          </w:tcPr>
          <w:p w:rsidR="00E5019F" w:rsidRPr="0071782F" w:rsidRDefault="00E5019F" w:rsidP="00C36750">
            <w:pPr>
              <w:suppressAutoHyphens w:val="0"/>
              <w:spacing w:before="40" w:after="40" w:line="220" w:lineRule="exact"/>
              <w:rPr>
                <w:sz w:val="18"/>
                <w:lang w:val="fr-CH"/>
              </w:rPr>
            </w:pPr>
            <w:r w:rsidRPr="0071782F">
              <w:rPr>
                <w:sz w:val="18"/>
                <w:lang w:val="fr-CH"/>
              </w:rPr>
              <w:t>A</w:t>
            </w:r>
            <w:r w:rsidR="00637706" w:rsidRPr="0071782F">
              <w:rPr>
                <w:sz w:val="18"/>
                <w:lang w:val="fr-CH"/>
              </w:rPr>
              <w:t>ide à la santé buccodentaire des enfants âgés de moins de six</w:t>
            </w:r>
            <w:r w:rsidR="00D82C96" w:rsidRPr="0071782F">
              <w:rPr>
                <w:sz w:val="18"/>
                <w:lang w:val="fr-CH"/>
              </w:rPr>
              <w:t> ans</w:t>
            </w:r>
            <w:r w:rsidR="00637706" w:rsidRPr="0071782F">
              <w:rPr>
                <w:sz w:val="18"/>
                <w:lang w:val="fr-CH"/>
              </w:rPr>
              <w:t xml:space="preserve"> </w:t>
            </w:r>
          </w:p>
        </w:tc>
        <w:tc>
          <w:tcPr>
            <w:tcW w:w="851" w:type="dxa"/>
            <w:shd w:val="clear" w:color="auto" w:fill="auto"/>
            <w:vAlign w:val="bottom"/>
          </w:tcPr>
          <w:p w:rsidR="00E5019F" w:rsidRPr="0071782F" w:rsidRDefault="00E5019F" w:rsidP="00C36750">
            <w:pPr>
              <w:suppressAutoHyphens w:val="0"/>
              <w:spacing w:before="40" w:after="40" w:line="220" w:lineRule="exact"/>
              <w:rPr>
                <w:sz w:val="18"/>
                <w:lang w:val="fr-CH"/>
              </w:rPr>
            </w:pPr>
            <w:r w:rsidRPr="0071782F">
              <w:rPr>
                <w:sz w:val="18"/>
                <w:lang w:val="fr-CH"/>
              </w:rPr>
              <w:t>Person</w:t>
            </w:r>
            <w:r w:rsidR="00637706" w:rsidRPr="0071782F">
              <w:rPr>
                <w:sz w:val="18"/>
                <w:lang w:val="fr-CH"/>
              </w:rPr>
              <w:t>ne</w:t>
            </w:r>
          </w:p>
        </w:tc>
        <w:tc>
          <w:tcPr>
            <w:tcW w:w="1275" w:type="dxa"/>
            <w:shd w:val="clear" w:color="auto" w:fill="auto"/>
            <w:vAlign w:val="bottom"/>
          </w:tcPr>
          <w:p w:rsidR="00E5019F" w:rsidRPr="0071782F" w:rsidRDefault="00E5019F" w:rsidP="00C36750">
            <w:pPr>
              <w:suppressAutoHyphens w:val="0"/>
              <w:spacing w:before="40" w:after="40" w:line="220" w:lineRule="exact"/>
              <w:jc w:val="right"/>
              <w:rPr>
                <w:sz w:val="18"/>
                <w:lang w:val="fr-CH"/>
              </w:rPr>
            </w:pPr>
            <w:r w:rsidRPr="0071782F">
              <w:rPr>
                <w:sz w:val="18"/>
                <w:lang w:val="fr-CH"/>
              </w:rPr>
              <w:t>4 700</w:t>
            </w:r>
          </w:p>
        </w:tc>
      </w:tr>
      <w:tr w:rsidR="00E5019F" w:rsidRPr="0071782F">
        <w:tc>
          <w:tcPr>
            <w:tcW w:w="6379" w:type="dxa"/>
            <w:shd w:val="clear" w:color="auto" w:fill="auto"/>
            <w:vAlign w:val="bottom"/>
          </w:tcPr>
          <w:p w:rsidR="00E5019F" w:rsidRPr="0071782F" w:rsidRDefault="00637706" w:rsidP="00C36750">
            <w:pPr>
              <w:suppressAutoHyphens w:val="0"/>
              <w:spacing w:before="40" w:after="40" w:line="220" w:lineRule="exact"/>
              <w:rPr>
                <w:sz w:val="18"/>
                <w:lang w:val="fr-CH"/>
              </w:rPr>
            </w:pPr>
            <w:r w:rsidRPr="0071782F">
              <w:rPr>
                <w:sz w:val="18"/>
                <w:lang w:val="fr-CH"/>
              </w:rPr>
              <w:t xml:space="preserve">Autonomisation des enfants et </w:t>
            </w:r>
            <w:r w:rsidR="004E45FB" w:rsidRPr="0071782F">
              <w:rPr>
                <w:sz w:val="18"/>
                <w:lang w:val="fr-CH"/>
              </w:rPr>
              <w:t>des familles</w:t>
            </w:r>
            <w:r w:rsidRPr="0071782F">
              <w:rPr>
                <w:sz w:val="18"/>
                <w:lang w:val="fr-CH"/>
              </w:rPr>
              <w:t xml:space="preserve"> </w:t>
            </w:r>
          </w:p>
        </w:tc>
        <w:tc>
          <w:tcPr>
            <w:tcW w:w="851" w:type="dxa"/>
            <w:shd w:val="clear" w:color="auto" w:fill="auto"/>
            <w:vAlign w:val="bottom"/>
          </w:tcPr>
          <w:p w:rsidR="00E5019F" w:rsidRPr="0071782F" w:rsidRDefault="00E5019F" w:rsidP="00C36750">
            <w:pPr>
              <w:suppressAutoHyphens w:val="0"/>
              <w:spacing w:before="40" w:after="40" w:line="220" w:lineRule="exact"/>
              <w:rPr>
                <w:sz w:val="18"/>
                <w:lang w:val="fr-CH"/>
              </w:rPr>
            </w:pPr>
            <w:r w:rsidRPr="0071782F">
              <w:rPr>
                <w:sz w:val="18"/>
                <w:lang w:val="fr-CH"/>
              </w:rPr>
              <w:t>Person</w:t>
            </w:r>
            <w:r w:rsidR="00637706" w:rsidRPr="0071782F">
              <w:rPr>
                <w:sz w:val="18"/>
                <w:lang w:val="fr-CH"/>
              </w:rPr>
              <w:t>ne</w:t>
            </w:r>
          </w:p>
        </w:tc>
        <w:tc>
          <w:tcPr>
            <w:tcW w:w="1275" w:type="dxa"/>
            <w:shd w:val="clear" w:color="auto" w:fill="auto"/>
            <w:vAlign w:val="bottom"/>
          </w:tcPr>
          <w:p w:rsidR="00E5019F" w:rsidRPr="0071782F" w:rsidRDefault="00E5019F" w:rsidP="00C36750">
            <w:pPr>
              <w:suppressAutoHyphens w:val="0"/>
              <w:spacing w:before="40" w:after="40" w:line="220" w:lineRule="exact"/>
              <w:jc w:val="right"/>
              <w:rPr>
                <w:sz w:val="18"/>
                <w:lang w:val="fr-CH"/>
              </w:rPr>
            </w:pPr>
            <w:r w:rsidRPr="0071782F">
              <w:rPr>
                <w:sz w:val="18"/>
                <w:lang w:val="fr-CH"/>
              </w:rPr>
              <w:t>78 000</w:t>
            </w:r>
          </w:p>
        </w:tc>
      </w:tr>
      <w:tr w:rsidR="00E5019F" w:rsidRPr="0071782F">
        <w:tc>
          <w:tcPr>
            <w:tcW w:w="6379" w:type="dxa"/>
            <w:shd w:val="clear" w:color="auto" w:fill="auto"/>
            <w:vAlign w:val="bottom"/>
          </w:tcPr>
          <w:p w:rsidR="00E5019F" w:rsidRPr="00B350D6" w:rsidRDefault="00637706" w:rsidP="00C36750">
            <w:pPr>
              <w:suppressAutoHyphens w:val="0"/>
              <w:spacing w:before="40" w:after="40" w:line="220" w:lineRule="exact"/>
              <w:rPr>
                <w:spacing w:val="-2"/>
                <w:sz w:val="18"/>
                <w:lang w:val="fr-CH"/>
              </w:rPr>
            </w:pPr>
            <w:r w:rsidRPr="00B350D6">
              <w:rPr>
                <w:spacing w:val="-2"/>
                <w:sz w:val="18"/>
                <w:lang w:val="fr-CH"/>
              </w:rPr>
              <w:t xml:space="preserve">Autonomisation des </w:t>
            </w:r>
            <w:r w:rsidR="00B13F4B" w:rsidRPr="00B350D6">
              <w:rPr>
                <w:spacing w:val="-2"/>
                <w:sz w:val="18"/>
                <w:lang w:val="fr-CH"/>
              </w:rPr>
              <w:t>adolescents</w:t>
            </w:r>
            <w:r w:rsidRPr="00B350D6">
              <w:rPr>
                <w:spacing w:val="-2"/>
                <w:sz w:val="18"/>
                <w:lang w:val="fr-CH"/>
              </w:rPr>
              <w:t xml:space="preserve"> à l’échelon de la collectivité dans les zones défavorisées </w:t>
            </w:r>
          </w:p>
        </w:tc>
        <w:tc>
          <w:tcPr>
            <w:tcW w:w="851" w:type="dxa"/>
            <w:shd w:val="clear" w:color="auto" w:fill="auto"/>
            <w:vAlign w:val="bottom"/>
          </w:tcPr>
          <w:p w:rsidR="00E5019F" w:rsidRPr="0071782F" w:rsidRDefault="00E5019F" w:rsidP="00C36750">
            <w:pPr>
              <w:suppressAutoHyphens w:val="0"/>
              <w:spacing w:before="40" w:after="40" w:line="220" w:lineRule="exact"/>
              <w:rPr>
                <w:sz w:val="18"/>
                <w:lang w:val="fr-CH"/>
              </w:rPr>
            </w:pPr>
            <w:r w:rsidRPr="0071782F">
              <w:rPr>
                <w:sz w:val="18"/>
                <w:lang w:val="fr-CH"/>
              </w:rPr>
              <w:t>Person</w:t>
            </w:r>
            <w:r w:rsidR="00637706" w:rsidRPr="0071782F">
              <w:rPr>
                <w:sz w:val="18"/>
                <w:lang w:val="fr-CH"/>
              </w:rPr>
              <w:t>ne</w:t>
            </w:r>
          </w:p>
        </w:tc>
        <w:tc>
          <w:tcPr>
            <w:tcW w:w="1275" w:type="dxa"/>
            <w:shd w:val="clear" w:color="auto" w:fill="auto"/>
            <w:vAlign w:val="bottom"/>
          </w:tcPr>
          <w:p w:rsidR="00E5019F" w:rsidRPr="0071782F" w:rsidRDefault="00E5019F" w:rsidP="00C36750">
            <w:pPr>
              <w:suppressAutoHyphens w:val="0"/>
              <w:spacing w:before="40" w:after="40" w:line="220" w:lineRule="exact"/>
              <w:jc w:val="right"/>
              <w:rPr>
                <w:sz w:val="18"/>
                <w:lang w:val="fr-CH"/>
              </w:rPr>
            </w:pPr>
            <w:r w:rsidRPr="0071782F">
              <w:rPr>
                <w:sz w:val="18"/>
                <w:lang w:val="fr-CH"/>
              </w:rPr>
              <w:t>10 000</w:t>
            </w:r>
          </w:p>
        </w:tc>
      </w:tr>
    </w:tbl>
    <w:p w:rsidR="00E5019F" w:rsidRPr="0071782F" w:rsidRDefault="00E5019F" w:rsidP="004F2D7C">
      <w:pPr>
        <w:pStyle w:val="H23G"/>
        <w:rPr>
          <w:lang w:val="fr-CH"/>
        </w:rPr>
      </w:pPr>
      <w:r w:rsidRPr="0071782F">
        <w:rPr>
          <w:lang w:val="fr-CH"/>
        </w:rPr>
        <w:tab/>
      </w:r>
      <w:r w:rsidRPr="0071782F">
        <w:rPr>
          <w:lang w:val="fr-CH"/>
        </w:rPr>
        <w:tab/>
        <w:t>Table</w:t>
      </w:r>
      <w:r w:rsidR="00637706" w:rsidRPr="0071782F">
        <w:rPr>
          <w:lang w:val="fr-CH"/>
        </w:rPr>
        <w:t>au</w:t>
      </w:r>
      <w:r w:rsidRPr="0071782F">
        <w:rPr>
          <w:lang w:val="fr-CH"/>
        </w:rPr>
        <w:t xml:space="preserve"> compar</w:t>
      </w:r>
      <w:r w:rsidR="005D4C79" w:rsidRPr="0071782F">
        <w:rPr>
          <w:lang w:val="fr-CH"/>
        </w:rPr>
        <w:t>atif</w:t>
      </w:r>
      <w:r w:rsidR="00637706" w:rsidRPr="0071782F">
        <w:rPr>
          <w:lang w:val="fr-CH"/>
        </w:rPr>
        <w:t xml:space="preserve"> des résultats du Bureau des affaires des enfants et des </w:t>
      </w:r>
      <w:r w:rsidR="00B13F4B" w:rsidRPr="0071782F">
        <w:rPr>
          <w:lang w:val="fr-CH"/>
        </w:rPr>
        <w:t>adolescents</w:t>
      </w:r>
      <w:r w:rsidR="00637706" w:rsidRPr="0071782F">
        <w:rPr>
          <w:lang w:val="fr-CH"/>
        </w:rPr>
        <w:t xml:space="preserve"> en </w:t>
      </w:r>
      <w:r w:rsidRPr="0071782F">
        <w:rPr>
          <w:lang w:val="fr-CH"/>
        </w:rPr>
        <w:t>2006</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8"/>
        <w:gridCol w:w="6021"/>
        <w:gridCol w:w="851"/>
        <w:gridCol w:w="1275"/>
      </w:tblGrid>
      <w:tr w:rsidR="00E5019F" w:rsidRPr="0071782F">
        <w:trPr>
          <w:tblHeader/>
        </w:trPr>
        <w:tc>
          <w:tcPr>
            <w:tcW w:w="6379" w:type="dxa"/>
            <w:gridSpan w:val="2"/>
            <w:tcBorders>
              <w:top w:val="single" w:sz="4" w:space="0" w:color="auto"/>
              <w:bottom w:val="single" w:sz="12" w:space="0" w:color="auto"/>
            </w:tcBorders>
            <w:shd w:val="clear" w:color="auto" w:fill="auto"/>
            <w:vAlign w:val="bottom"/>
          </w:tcPr>
          <w:p w:rsidR="00E5019F" w:rsidRPr="0071782F" w:rsidRDefault="00E5019F" w:rsidP="004F2D7C">
            <w:pPr>
              <w:keepNext/>
              <w:suppressAutoHyphens w:val="0"/>
              <w:spacing w:before="80" w:after="80" w:line="200" w:lineRule="exact"/>
              <w:rPr>
                <w:i/>
                <w:sz w:val="16"/>
                <w:lang w:val="fr-CH"/>
              </w:rPr>
            </w:pPr>
            <w:r w:rsidRPr="0071782F">
              <w:rPr>
                <w:i/>
                <w:sz w:val="16"/>
                <w:lang w:val="fr-CH"/>
              </w:rPr>
              <w:t>Plan</w:t>
            </w:r>
          </w:p>
        </w:tc>
        <w:tc>
          <w:tcPr>
            <w:tcW w:w="851" w:type="dxa"/>
            <w:tcBorders>
              <w:top w:val="single" w:sz="4" w:space="0" w:color="auto"/>
              <w:bottom w:val="single" w:sz="12" w:space="0" w:color="auto"/>
            </w:tcBorders>
            <w:shd w:val="clear" w:color="auto" w:fill="auto"/>
            <w:vAlign w:val="bottom"/>
          </w:tcPr>
          <w:p w:rsidR="00E5019F" w:rsidRPr="0071782F" w:rsidRDefault="00E5019F" w:rsidP="004F2D7C">
            <w:pPr>
              <w:keepNext/>
              <w:suppressAutoHyphens w:val="0"/>
              <w:spacing w:before="80" w:after="80" w:line="200" w:lineRule="exact"/>
              <w:rPr>
                <w:i/>
                <w:sz w:val="16"/>
                <w:lang w:val="fr-CH"/>
              </w:rPr>
            </w:pPr>
            <w:r w:rsidRPr="0071782F">
              <w:rPr>
                <w:i/>
                <w:sz w:val="16"/>
                <w:lang w:val="fr-CH"/>
              </w:rPr>
              <w:t>Unit</w:t>
            </w:r>
            <w:r w:rsidR="005D4C79" w:rsidRPr="0071782F">
              <w:rPr>
                <w:i/>
                <w:sz w:val="16"/>
                <w:lang w:val="fr-CH"/>
              </w:rPr>
              <w:t>é</w:t>
            </w:r>
          </w:p>
        </w:tc>
        <w:tc>
          <w:tcPr>
            <w:tcW w:w="1275" w:type="dxa"/>
            <w:tcBorders>
              <w:top w:val="single" w:sz="4" w:space="0" w:color="auto"/>
              <w:bottom w:val="single" w:sz="12" w:space="0" w:color="auto"/>
            </w:tcBorders>
            <w:shd w:val="clear" w:color="auto" w:fill="auto"/>
            <w:vAlign w:val="bottom"/>
          </w:tcPr>
          <w:p w:rsidR="00E5019F" w:rsidRPr="0071782F" w:rsidRDefault="005D4C79" w:rsidP="004F2D7C">
            <w:pPr>
              <w:keepNext/>
              <w:suppressAutoHyphens w:val="0"/>
              <w:spacing w:before="80" w:after="80" w:line="200" w:lineRule="exact"/>
              <w:jc w:val="right"/>
              <w:rPr>
                <w:i/>
                <w:sz w:val="16"/>
                <w:lang w:val="fr-CH"/>
              </w:rPr>
            </w:pPr>
            <w:r w:rsidRPr="0071782F">
              <w:rPr>
                <w:i/>
                <w:sz w:val="16"/>
                <w:lang w:val="fr-CH"/>
              </w:rPr>
              <w:t>Résultats</w:t>
            </w:r>
          </w:p>
        </w:tc>
      </w:tr>
      <w:tr w:rsidR="00E5019F" w:rsidRPr="0071782F">
        <w:tc>
          <w:tcPr>
            <w:tcW w:w="358" w:type="dxa"/>
            <w:tcBorders>
              <w:top w:val="single" w:sz="12" w:space="0" w:color="auto"/>
            </w:tcBorders>
            <w:shd w:val="clear" w:color="auto" w:fill="auto"/>
          </w:tcPr>
          <w:p w:rsidR="00E5019F" w:rsidRPr="0071782F" w:rsidRDefault="00E5019F" w:rsidP="00B350D6">
            <w:pPr>
              <w:suppressAutoHyphens w:val="0"/>
              <w:spacing w:before="40" w:after="40" w:line="220" w:lineRule="exact"/>
              <w:rPr>
                <w:sz w:val="18"/>
                <w:lang w:val="fr-CH"/>
              </w:rPr>
            </w:pPr>
            <w:r w:rsidRPr="0071782F">
              <w:rPr>
                <w:sz w:val="18"/>
                <w:lang w:val="fr-CH"/>
              </w:rPr>
              <w:t>1</w:t>
            </w:r>
          </w:p>
        </w:tc>
        <w:tc>
          <w:tcPr>
            <w:tcW w:w="6021" w:type="dxa"/>
            <w:tcBorders>
              <w:top w:val="single" w:sz="12" w:space="0" w:color="auto"/>
            </w:tcBorders>
            <w:shd w:val="clear" w:color="auto" w:fill="auto"/>
          </w:tcPr>
          <w:p w:rsidR="00E5019F" w:rsidRPr="0071782F" w:rsidRDefault="00637706" w:rsidP="00B350D6">
            <w:pPr>
              <w:suppressAutoHyphens w:val="0"/>
              <w:spacing w:before="40" w:after="40" w:line="220" w:lineRule="exact"/>
              <w:rPr>
                <w:sz w:val="18"/>
                <w:lang w:val="fr-CH"/>
              </w:rPr>
            </w:pPr>
            <w:r w:rsidRPr="0071782F">
              <w:rPr>
                <w:sz w:val="18"/>
                <w:lang w:val="fr-CH"/>
              </w:rPr>
              <w:t>Régulation des services culturels et éducatifs</w:t>
            </w:r>
            <w:r w:rsidR="00D36718">
              <w:rPr>
                <w:sz w:val="18"/>
                <w:lang w:val="fr-CH"/>
              </w:rPr>
              <w:t xml:space="preserve"> </w:t>
            </w:r>
            <w:r w:rsidRPr="0071782F">
              <w:rPr>
                <w:sz w:val="18"/>
                <w:lang w:val="fr-CH"/>
              </w:rPr>
              <w:t xml:space="preserve">aux enfants et </w:t>
            </w:r>
            <w:r w:rsidR="00B13F4B" w:rsidRPr="0071782F">
              <w:rPr>
                <w:sz w:val="18"/>
                <w:lang w:val="fr-CH"/>
              </w:rPr>
              <w:t>adolescents</w:t>
            </w:r>
            <w:r w:rsidRPr="0071782F">
              <w:rPr>
                <w:sz w:val="18"/>
                <w:lang w:val="fr-CH"/>
              </w:rPr>
              <w:t xml:space="preserve"> dans les quartiers défavorisés des grandes villes</w:t>
            </w:r>
          </w:p>
        </w:tc>
        <w:tc>
          <w:tcPr>
            <w:tcW w:w="851" w:type="dxa"/>
            <w:tcBorders>
              <w:top w:val="single" w:sz="12" w:space="0" w:color="auto"/>
            </w:tcBorders>
            <w:shd w:val="clear" w:color="auto" w:fill="auto"/>
            <w:vAlign w:val="bottom"/>
          </w:tcPr>
          <w:p w:rsidR="00E5019F" w:rsidRPr="0071782F" w:rsidRDefault="00E5019F" w:rsidP="00B350D6">
            <w:pPr>
              <w:suppressAutoHyphens w:val="0"/>
              <w:spacing w:before="40" w:after="40" w:line="220" w:lineRule="exact"/>
              <w:rPr>
                <w:sz w:val="18"/>
                <w:lang w:val="fr-CH"/>
              </w:rPr>
            </w:pPr>
            <w:r w:rsidRPr="0071782F">
              <w:rPr>
                <w:sz w:val="18"/>
                <w:lang w:val="fr-CH"/>
              </w:rPr>
              <w:t>Person</w:t>
            </w:r>
            <w:r w:rsidR="00637706" w:rsidRPr="0071782F">
              <w:rPr>
                <w:sz w:val="18"/>
                <w:lang w:val="fr-CH"/>
              </w:rPr>
              <w:t>ne</w:t>
            </w:r>
          </w:p>
        </w:tc>
        <w:tc>
          <w:tcPr>
            <w:tcW w:w="1275" w:type="dxa"/>
            <w:tcBorders>
              <w:top w:val="single" w:sz="12" w:space="0" w:color="auto"/>
            </w:tcBorders>
            <w:shd w:val="clear" w:color="auto" w:fill="auto"/>
            <w:vAlign w:val="bottom"/>
          </w:tcPr>
          <w:p w:rsidR="00E5019F" w:rsidRPr="0071782F" w:rsidRDefault="00E5019F" w:rsidP="00B350D6">
            <w:pPr>
              <w:suppressAutoHyphens w:val="0"/>
              <w:spacing w:before="40" w:after="40" w:line="220" w:lineRule="exact"/>
              <w:jc w:val="right"/>
              <w:rPr>
                <w:sz w:val="18"/>
                <w:lang w:val="fr-CH"/>
              </w:rPr>
            </w:pPr>
            <w:r w:rsidRPr="0071782F">
              <w:rPr>
                <w:sz w:val="18"/>
                <w:lang w:val="fr-CH"/>
              </w:rPr>
              <w:t>15 000</w:t>
            </w:r>
          </w:p>
        </w:tc>
      </w:tr>
      <w:tr w:rsidR="00E5019F" w:rsidRPr="0071782F">
        <w:tc>
          <w:tcPr>
            <w:tcW w:w="358" w:type="dxa"/>
            <w:shd w:val="clear" w:color="auto" w:fill="auto"/>
          </w:tcPr>
          <w:p w:rsidR="00E5019F" w:rsidRPr="0071782F" w:rsidRDefault="00E5019F" w:rsidP="00B350D6">
            <w:pPr>
              <w:suppressAutoHyphens w:val="0"/>
              <w:spacing w:before="40" w:after="40" w:line="220" w:lineRule="exact"/>
              <w:rPr>
                <w:sz w:val="18"/>
                <w:lang w:val="fr-CH"/>
              </w:rPr>
            </w:pPr>
            <w:r w:rsidRPr="0071782F">
              <w:rPr>
                <w:sz w:val="18"/>
                <w:lang w:val="fr-CH"/>
              </w:rPr>
              <w:t>2</w:t>
            </w:r>
          </w:p>
        </w:tc>
        <w:tc>
          <w:tcPr>
            <w:tcW w:w="6021" w:type="dxa"/>
            <w:shd w:val="clear" w:color="auto" w:fill="auto"/>
          </w:tcPr>
          <w:p w:rsidR="00E5019F" w:rsidRPr="0071782F" w:rsidRDefault="00637706" w:rsidP="00B350D6">
            <w:pPr>
              <w:suppressAutoHyphens w:val="0"/>
              <w:spacing w:before="40" w:after="40" w:line="220" w:lineRule="exact"/>
              <w:rPr>
                <w:sz w:val="18"/>
                <w:lang w:val="fr-CH"/>
              </w:rPr>
            </w:pPr>
            <w:r w:rsidRPr="0071782F">
              <w:rPr>
                <w:sz w:val="18"/>
                <w:lang w:val="fr-CH"/>
              </w:rPr>
              <w:t>Aide à la création et à l’extension de garderies dans les zones défavorisées</w:t>
            </w:r>
          </w:p>
        </w:tc>
        <w:tc>
          <w:tcPr>
            <w:tcW w:w="851" w:type="dxa"/>
            <w:shd w:val="clear" w:color="auto" w:fill="auto"/>
            <w:vAlign w:val="bottom"/>
          </w:tcPr>
          <w:p w:rsidR="00E5019F" w:rsidRPr="0071782F" w:rsidRDefault="00E5019F" w:rsidP="00B350D6">
            <w:pPr>
              <w:suppressAutoHyphens w:val="0"/>
              <w:spacing w:before="40" w:after="40" w:line="220" w:lineRule="exact"/>
              <w:rPr>
                <w:sz w:val="18"/>
                <w:lang w:val="fr-CH"/>
              </w:rPr>
            </w:pPr>
            <w:r w:rsidRPr="0071782F">
              <w:rPr>
                <w:sz w:val="18"/>
                <w:lang w:val="fr-CH"/>
              </w:rPr>
              <w:t>Cent</w:t>
            </w:r>
            <w:r w:rsidR="00637706" w:rsidRPr="0071782F">
              <w:rPr>
                <w:sz w:val="18"/>
                <w:lang w:val="fr-CH"/>
              </w:rPr>
              <w:t>re</w:t>
            </w:r>
          </w:p>
        </w:tc>
        <w:tc>
          <w:tcPr>
            <w:tcW w:w="1275" w:type="dxa"/>
            <w:shd w:val="clear" w:color="auto" w:fill="auto"/>
            <w:vAlign w:val="bottom"/>
          </w:tcPr>
          <w:p w:rsidR="00E5019F" w:rsidRPr="0071782F" w:rsidRDefault="00E5019F" w:rsidP="00B350D6">
            <w:pPr>
              <w:suppressAutoHyphens w:val="0"/>
              <w:spacing w:before="40" w:after="40" w:line="220" w:lineRule="exact"/>
              <w:jc w:val="right"/>
              <w:rPr>
                <w:sz w:val="18"/>
                <w:lang w:val="fr-CH"/>
              </w:rPr>
            </w:pPr>
            <w:r w:rsidRPr="0071782F">
              <w:rPr>
                <w:sz w:val="18"/>
                <w:lang w:val="fr-CH"/>
              </w:rPr>
              <w:t>92</w:t>
            </w:r>
          </w:p>
        </w:tc>
      </w:tr>
      <w:tr w:rsidR="00E5019F" w:rsidRPr="0071782F">
        <w:tc>
          <w:tcPr>
            <w:tcW w:w="358" w:type="dxa"/>
            <w:shd w:val="clear" w:color="auto" w:fill="auto"/>
          </w:tcPr>
          <w:p w:rsidR="00E5019F" w:rsidRPr="0071782F" w:rsidRDefault="00E5019F" w:rsidP="00B350D6">
            <w:pPr>
              <w:suppressAutoHyphens w:val="0"/>
              <w:spacing w:before="40" w:after="40" w:line="220" w:lineRule="exact"/>
              <w:rPr>
                <w:sz w:val="18"/>
                <w:lang w:val="fr-CH"/>
              </w:rPr>
            </w:pPr>
            <w:r w:rsidRPr="0071782F">
              <w:rPr>
                <w:sz w:val="18"/>
                <w:lang w:val="fr-CH"/>
              </w:rPr>
              <w:t>3</w:t>
            </w:r>
          </w:p>
        </w:tc>
        <w:tc>
          <w:tcPr>
            <w:tcW w:w="6021" w:type="dxa"/>
            <w:shd w:val="clear" w:color="auto" w:fill="auto"/>
          </w:tcPr>
          <w:p w:rsidR="00E5019F" w:rsidRPr="0071782F" w:rsidRDefault="00637706" w:rsidP="00B350D6">
            <w:pPr>
              <w:suppressAutoHyphens w:val="0"/>
              <w:spacing w:before="40" w:after="40" w:line="220" w:lineRule="exact"/>
              <w:rPr>
                <w:sz w:val="18"/>
                <w:lang w:val="fr-CH"/>
              </w:rPr>
            </w:pPr>
            <w:r w:rsidRPr="0071782F">
              <w:rPr>
                <w:sz w:val="18"/>
                <w:lang w:val="fr-CH"/>
              </w:rPr>
              <w:t xml:space="preserve">Régulation des services de conseil aux enfants et </w:t>
            </w:r>
            <w:r w:rsidR="00A234E8" w:rsidRPr="0071782F">
              <w:rPr>
                <w:sz w:val="18"/>
                <w:lang w:val="fr-CH"/>
              </w:rPr>
              <w:t>aux familles</w:t>
            </w:r>
            <w:r w:rsidRPr="0071782F">
              <w:rPr>
                <w:sz w:val="18"/>
                <w:lang w:val="fr-CH"/>
              </w:rPr>
              <w:t xml:space="preserve"> dans les garderies</w:t>
            </w:r>
          </w:p>
        </w:tc>
        <w:tc>
          <w:tcPr>
            <w:tcW w:w="851" w:type="dxa"/>
            <w:shd w:val="clear" w:color="auto" w:fill="auto"/>
            <w:vAlign w:val="bottom"/>
          </w:tcPr>
          <w:p w:rsidR="00E5019F" w:rsidRPr="0071782F" w:rsidRDefault="00E5019F" w:rsidP="00B350D6">
            <w:pPr>
              <w:suppressAutoHyphens w:val="0"/>
              <w:spacing w:before="40" w:after="40" w:line="220" w:lineRule="exact"/>
              <w:rPr>
                <w:sz w:val="18"/>
                <w:lang w:val="fr-CH"/>
              </w:rPr>
            </w:pPr>
            <w:r w:rsidRPr="0071782F">
              <w:rPr>
                <w:sz w:val="18"/>
                <w:lang w:val="fr-CH"/>
              </w:rPr>
              <w:t>Person</w:t>
            </w:r>
            <w:r w:rsidR="00637706" w:rsidRPr="0071782F">
              <w:rPr>
                <w:sz w:val="18"/>
                <w:lang w:val="fr-CH"/>
              </w:rPr>
              <w:t>ne</w:t>
            </w:r>
          </w:p>
        </w:tc>
        <w:tc>
          <w:tcPr>
            <w:tcW w:w="1275" w:type="dxa"/>
            <w:shd w:val="clear" w:color="auto" w:fill="auto"/>
            <w:vAlign w:val="bottom"/>
          </w:tcPr>
          <w:p w:rsidR="00E5019F" w:rsidRPr="0071782F" w:rsidRDefault="00E5019F" w:rsidP="00B350D6">
            <w:pPr>
              <w:suppressAutoHyphens w:val="0"/>
              <w:spacing w:before="40" w:after="40" w:line="220" w:lineRule="exact"/>
              <w:jc w:val="right"/>
              <w:rPr>
                <w:sz w:val="18"/>
                <w:lang w:val="fr-CH"/>
              </w:rPr>
            </w:pPr>
            <w:r w:rsidRPr="0071782F">
              <w:rPr>
                <w:sz w:val="18"/>
                <w:lang w:val="fr-CH"/>
              </w:rPr>
              <w:t>17 500</w:t>
            </w:r>
          </w:p>
        </w:tc>
      </w:tr>
      <w:tr w:rsidR="00E5019F" w:rsidRPr="0071782F">
        <w:tc>
          <w:tcPr>
            <w:tcW w:w="358" w:type="dxa"/>
            <w:shd w:val="clear" w:color="auto" w:fill="auto"/>
          </w:tcPr>
          <w:p w:rsidR="00E5019F" w:rsidRPr="0071782F" w:rsidRDefault="00E5019F" w:rsidP="00B350D6">
            <w:pPr>
              <w:suppressAutoHyphens w:val="0"/>
              <w:spacing w:before="40" w:after="40" w:line="220" w:lineRule="exact"/>
              <w:rPr>
                <w:sz w:val="18"/>
                <w:lang w:val="fr-CH"/>
              </w:rPr>
            </w:pPr>
            <w:r w:rsidRPr="0071782F">
              <w:rPr>
                <w:sz w:val="18"/>
                <w:lang w:val="fr-CH"/>
              </w:rPr>
              <w:t>4</w:t>
            </w:r>
          </w:p>
        </w:tc>
        <w:tc>
          <w:tcPr>
            <w:tcW w:w="6021" w:type="dxa"/>
            <w:shd w:val="clear" w:color="auto" w:fill="auto"/>
          </w:tcPr>
          <w:p w:rsidR="00E5019F" w:rsidRPr="0071782F" w:rsidRDefault="00637706" w:rsidP="00B350D6">
            <w:pPr>
              <w:suppressAutoHyphens w:val="0"/>
              <w:spacing w:before="40" w:after="40" w:line="220" w:lineRule="exact"/>
              <w:rPr>
                <w:sz w:val="18"/>
                <w:lang w:val="fr-CH"/>
              </w:rPr>
            </w:pPr>
            <w:r w:rsidRPr="0071782F">
              <w:rPr>
                <w:sz w:val="18"/>
                <w:lang w:val="fr-CH"/>
              </w:rPr>
              <w:t>Aide à la santé buccodentaire des enfants âgés de moins de six</w:t>
            </w:r>
            <w:r w:rsidR="00D82C96" w:rsidRPr="0071782F">
              <w:rPr>
                <w:sz w:val="18"/>
                <w:lang w:val="fr-CH"/>
              </w:rPr>
              <w:t> ans</w:t>
            </w:r>
          </w:p>
        </w:tc>
        <w:tc>
          <w:tcPr>
            <w:tcW w:w="851" w:type="dxa"/>
            <w:shd w:val="clear" w:color="auto" w:fill="auto"/>
            <w:vAlign w:val="bottom"/>
          </w:tcPr>
          <w:p w:rsidR="00E5019F" w:rsidRPr="0071782F" w:rsidRDefault="00E5019F" w:rsidP="00B350D6">
            <w:pPr>
              <w:suppressAutoHyphens w:val="0"/>
              <w:spacing w:before="40" w:after="40" w:line="220" w:lineRule="exact"/>
              <w:rPr>
                <w:sz w:val="18"/>
                <w:lang w:val="fr-CH"/>
              </w:rPr>
            </w:pPr>
            <w:r w:rsidRPr="0071782F">
              <w:rPr>
                <w:sz w:val="18"/>
                <w:lang w:val="fr-CH"/>
              </w:rPr>
              <w:t>Person</w:t>
            </w:r>
            <w:r w:rsidR="00637706" w:rsidRPr="0071782F">
              <w:rPr>
                <w:sz w:val="18"/>
                <w:lang w:val="fr-CH"/>
              </w:rPr>
              <w:t>ne</w:t>
            </w:r>
          </w:p>
        </w:tc>
        <w:tc>
          <w:tcPr>
            <w:tcW w:w="1275" w:type="dxa"/>
            <w:shd w:val="clear" w:color="auto" w:fill="auto"/>
            <w:vAlign w:val="bottom"/>
          </w:tcPr>
          <w:p w:rsidR="00E5019F" w:rsidRPr="0071782F" w:rsidRDefault="00E5019F" w:rsidP="00B350D6">
            <w:pPr>
              <w:suppressAutoHyphens w:val="0"/>
              <w:spacing w:before="40" w:after="40" w:line="220" w:lineRule="exact"/>
              <w:jc w:val="right"/>
              <w:rPr>
                <w:sz w:val="18"/>
                <w:lang w:val="fr-CH"/>
              </w:rPr>
            </w:pPr>
            <w:r w:rsidRPr="0071782F">
              <w:rPr>
                <w:sz w:val="18"/>
                <w:lang w:val="fr-CH"/>
              </w:rPr>
              <w:t>172 400</w:t>
            </w:r>
          </w:p>
        </w:tc>
      </w:tr>
      <w:tr w:rsidR="00E5019F" w:rsidRPr="0071782F">
        <w:tc>
          <w:tcPr>
            <w:tcW w:w="358" w:type="dxa"/>
            <w:shd w:val="clear" w:color="auto" w:fill="auto"/>
          </w:tcPr>
          <w:p w:rsidR="00E5019F" w:rsidRPr="0071782F" w:rsidRDefault="00E5019F" w:rsidP="00B350D6">
            <w:pPr>
              <w:suppressAutoHyphens w:val="0"/>
              <w:spacing w:before="40" w:after="40" w:line="220" w:lineRule="exact"/>
              <w:rPr>
                <w:sz w:val="18"/>
                <w:lang w:val="fr-CH"/>
              </w:rPr>
            </w:pPr>
            <w:r w:rsidRPr="0071782F">
              <w:rPr>
                <w:sz w:val="18"/>
                <w:lang w:val="fr-CH"/>
              </w:rPr>
              <w:t>5</w:t>
            </w:r>
          </w:p>
        </w:tc>
        <w:tc>
          <w:tcPr>
            <w:tcW w:w="6021" w:type="dxa"/>
            <w:shd w:val="clear" w:color="auto" w:fill="auto"/>
          </w:tcPr>
          <w:p w:rsidR="00E5019F" w:rsidRPr="0071782F" w:rsidRDefault="00E5019F" w:rsidP="00B350D6">
            <w:pPr>
              <w:suppressAutoHyphens w:val="0"/>
              <w:spacing w:before="40" w:after="40" w:line="220" w:lineRule="exact"/>
              <w:rPr>
                <w:sz w:val="18"/>
                <w:lang w:val="fr-CH"/>
              </w:rPr>
            </w:pPr>
            <w:r w:rsidRPr="0071782F">
              <w:rPr>
                <w:sz w:val="18"/>
                <w:lang w:val="fr-CH"/>
              </w:rPr>
              <w:t xml:space="preserve">Promotion </w:t>
            </w:r>
            <w:r w:rsidR="00637706" w:rsidRPr="0071782F">
              <w:rPr>
                <w:sz w:val="18"/>
                <w:lang w:val="fr-CH"/>
              </w:rPr>
              <w:t>de l’</w:t>
            </w:r>
            <w:r w:rsidRPr="0071782F">
              <w:rPr>
                <w:sz w:val="18"/>
                <w:lang w:val="fr-CH"/>
              </w:rPr>
              <w:t>intelligence</w:t>
            </w:r>
            <w:r w:rsidR="00637706" w:rsidRPr="0071782F">
              <w:rPr>
                <w:sz w:val="18"/>
                <w:lang w:val="fr-CH"/>
              </w:rPr>
              <w:t xml:space="preserve"> émotionnelle</w:t>
            </w:r>
          </w:p>
        </w:tc>
        <w:tc>
          <w:tcPr>
            <w:tcW w:w="851" w:type="dxa"/>
            <w:shd w:val="clear" w:color="auto" w:fill="auto"/>
            <w:vAlign w:val="bottom"/>
          </w:tcPr>
          <w:p w:rsidR="00E5019F" w:rsidRPr="0071782F" w:rsidRDefault="00E5019F" w:rsidP="00B350D6">
            <w:pPr>
              <w:suppressAutoHyphens w:val="0"/>
              <w:spacing w:before="40" w:after="40" w:line="220" w:lineRule="exact"/>
              <w:rPr>
                <w:sz w:val="18"/>
                <w:lang w:val="fr-CH"/>
              </w:rPr>
            </w:pPr>
            <w:r w:rsidRPr="0071782F">
              <w:rPr>
                <w:sz w:val="18"/>
                <w:lang w:val="fr-CH"/>
              </w:rPr>
              <w:t>Person</w:t>
            </w:r>
            <w:r w:rsidR="00637706" w:rsidRPr="0071782F">
              <w:rPr>
                <w:sz w:val="18"/>
                <w:lang w:val="fr-CH"/>
              </w:rPr>
              <w:t>ne</w:t>
            </w:r>
          </w:p>
        </w:tc>
        <w:tc>
          <w:tcPr>
            <w:tcW w:w="1275" w:type="dxa"/>
            <w:shd w:val="clear" w:color="auto" w:fill="auto"/>
            <w:vAlign w:val="bottom"/>
          </w:tcPr>
          <w:p w:rsidR="00E5019F" w:rsidRPr="0071782F" w:rsidRDefault="00E5019F" w:rsidP="00B350D6">
            <w:pPr>
              <w:suppressAutoHyphens w:val="0"/>
              <w:spacing w:before="40" w:after="40" w:line="220" w:lineRule="exact"/>
              <w:jc w:val="right"/>
              <w:rPr>
                <w:sz w:val="18"/>
                <w:lang w:val="fr-CH"/>
              </w:rPr>
            </w:pPr>
            <w:r w:rsidRPr="0071782F">
              <w:rPr>
                <w:sz w:val="18"/>
                <w:lang w:val="fr-CH"/>
              </w:rPr>
              <w:t>4 000</w:t>
            </w:r>
          </w:p>
        </w:tc>
      </w:tr>
      <w:tr w:rsidR="00E5019F" w:rsidRPr="0071782F">
        <w:tc>
          <w:tcPr>
            <w:tcW w:w="358" w:type="dxa"/>
            <w:shd w:val="clear" w:color="auto" w:fill="auto"/>
          </w:tcPr>
          <w:p w:rsidR="00E5019F" w:rsidRPr="0071782F" w:rsidRDefault="00E5019F" w:rsidP="00B350D6">
            <w:pPr>
              <w:suppressAutoHyphens w:val="0"/>
              <w:spacing w:before="40" w:after="40" w:line="220" w:lineRule="exact"/>
              <w:rPr>
                <w:sz w:val="18"/>
                <w:lang w:val="fr-CH"/>
              </w:rPr>
            </w:pPr>
            <w:r w:rsidRPr="0071782F">
              <w:rPr>
                <w:sz w:val="18"/>
                <w:lang w:val="fr-CH"/>
              </w:rPr>
              <w:t>6</w:t>
            </w:r>
          </w:p>
        </w:tc>
        <w:tc>
          <w:tcPr>
            <w:tcW w:w="6021" w:type="dxa"/>
            <w:shd w:val="clear" w:color="auto" w:fill="auto"/>
          </w:tcPr>
          <w:p w:rsidR="00E5019F" w:rsidRPr="0071782F" w:rsidRDefault="00697389" w:rsidP="00B350D6">
            <w:pPr>
              <w:suppressAutoHyphens w:val="0"/>
              <w:spacing w:before="40" w:after="40" w:line="220" w:lineRule="exact"/>
              <w:rPr>
                <w:sz w:val="18"/>
                <w:lang w:val="fr-CH"/>
              </w:rPr>
            </w:pPr>
            <w:r w:rsidRPr="0071782F">
              <w:rPr>
                <w:sz w:val="18"/>
                <w:lang w:val="fr-CH"/>
              </w:rPr>
              <w:t>Harmonis</w:t>
            </w:r>
            <w:r w:rsidR="00E5019F" w:rsidRPr="0071782F">
              <w:rPr>
                <w:sz w:val="18"/>
                <w:lang w:val="fr-CH"/>
              </w:rPr>
              <w:t xml:space="preserve">ation </w:t>
            </w:r>
            <w:r w:rsidR="00637706" w:rsidRPr="0071782F">
              <w:rPr>
                <w:sz w:val="18"/>
                <w:lang w:val="fr-CH"/>
              </w:rPr>
              <w:t xml:space="preserve">des programmes d’études </w:t>
            </w:r>
          </w:p>
        </w:tc>
        <w:tc>
          <w:tcPr>
            <w:tcW w:w="851" w:type="dxa"/>
            <w:shd w:val="clear" w:color="auto" w:fill="auto"/>
            <w:vAlign w:val="bottom"/>
          </w:tcPr>
          <w:p w:rsidR="00E5019F" w:rsidRPr="0071782F" w:rsidRDefault="00E5019F" w:rsidP="00B350D6">
            <w:pPr>
              <w:suppressAutoHyphens w:val="0"/>
              <w:spacing w:before="40" w:after="40" w:line="220" w:lineRule="exact"/>
              <w:rPr>
                <w:sz w:val="18"/>
                <w:lang w:val="fr-CH"/>
              </w:rPr>
            </w:pPr>
            <w:r w:rsidRPr="0071782F">
              <w:rPr>
                <w:sz w:val="18"/>
                <w:lang w:val="fr-CH"/>
              </w:rPr>
              <w:t>Person</w:t>
            </w:r>
            <w:r w:rsidR="00637706" w:rsidRPr="0071782F">
              <w:rPr>
                <w:sz w:val="18"/>
                <w:lang w:val="fr-CH"/>
              </w:rPr>
              <w:t>ne</w:t>
            </w:r>
          </w:p>
        </w:tc>
        <w:tc>
          <w:tcPr>
            <w:tcW w:w="1275" w:type="dxa"/>
            <w:shd w:val="clear" w:color="auto" w:fill="auto"/>
            <w:vAlign w:val="bottom"/>
          </w:tcPr>
          <w:p w:rsidR="00E5019F" w:rsidRPr="0071782F" w:rsidRDefault="00E5019F" w:rsidP="00B350D6">
            <w:pPr>
              <w:suppressAutoHyphens w:val="0"/>
              <w:spacing w:before="40" w:after="40" w:line="220" w:lineRule="exact"/>
              <w:jc w:val="right"/>
              <w:rPr>
                <w:sz w:val="18"/>
                <w:lang w:val="fr-CH"/>
              </w:rPr>
            </w:pPr>
            <w:r w:rsidRPr="0071782F">
              <w:rPr>
                <w:sz w:val="18"/>
                <w:lang w:val="fr-CH"/>
              </w:rPr>
              <w:t>1 710</w:t>
            </w:r>
          </w:p>
        </w:tc>
      </w:tr>
      <w:tr w:rsidR="00E5019F" w:rsidRPr="0071782F">
        <w:tc>
          <w:tcPr>
            <w:tcW w:w="358" w:type="dxa"/>
            <w:shd w:val="clear" w:color="auto" w:fill="auto"/>
          </w:tcPr>
          <w:p w:rsidR="00E5019F" w:rsidRPr="0071782F" w:rsidRDefault="00E5019F" w:rsidP="00B350D6">
            <w:pPr>
              <w:suppressAutoHyphens w:val="0"/>
              <w:spacing w:before="40" w:after="40" w:line="220" w:lineRule="exact"/>
              <w:rPr>
                <w:sz w:val="18"/>
                <w:lang w:val="fr-CH"/>
              </w:rPr>
            </w:pPr>
            <w:r w:rsidRPr="0071782F">
              <w:rPr>
                <w:sz w:val="18"/>
                <w:lang w:val="fr-CH"/>
              </w:rPr>
              <w:t>7</w:t>
            </w:r>
          </w:p>
        </w:tc>
        <w:tc>
          <w:tcPr>
            <w:tcW w:w="6021" w:type="dxa"/>
            <w:shd w:val="clear" w:color="auto" w:fill="auto"/>
          </w:tcPr>
          <w:p w:rsidR="00E5019F" w:rsidRPr="0071782F" w:rsidRDefault="00637706" w:rsidP="00B350D6">
            <w:pPr>
              <w:suppressAutoHyphens w:val="0"/>
              <w:spacing w:before="40" w:after="40" w:line="220" w:lineRule="exact"/>
              <w:rPr>
                <w:sz w:val="18"/>
                <w:lang w:val="fr-CH"/>
              </w:rPr>
            </w:pPr>
            <w:r w:rsidRPr="0071782F">
              <w:rPr>
                <w:sz w:val="18"/>
                <w:lang w:val="fr-CH"/>
              </w:rPr>
              <w:t xml:space="preserve">Autonomisation des </w:t>
            </w:r>
            <w:r w:rsidR="00B13F4B" w:rsidRPr="0071782F">
              <w:rPr>
                <w:sz w:val="18"/>
                <w:lang w:val="fr-CH"/>
              </w:rPr>
              <w:t>adolescents</w:t>
            </w:r>
            <w:r w:rsidRPr="0071782F">
              <w:rPr>
                <w:sz w:val="18"/>
                <w:lang w:val="fr-CH"/>
              </w:rPr>
              <w:t xml:space="preserve"> à l’échelon de la collectivité dans les zones défavorisées</w:t>
            </w:r>
          </w:p>
        </w:tc>
        <w:tc>
          <w:tcPr>
            <w:tcW w:w="851" w:type="dxa"/>
            <w:shd w:val="clear" w:color="auto" w:fill="auto"/>
            <w:vAlign w:val="bottom"/>
          </w:tcPr>
          <w:p w:rsidR="00E5019F" w:rsidRPr="0071782F" w:rsidRDefault="00E5019F" w:rsidP="00B350D6">
            <w:pPr>
              <w:suppressAutoHyphens w:val="0"/>
              <w:spacing w:before="40" w:after="40" w:line="220" w:lineRule="exact"/>
              <w:rPr>
                <w:sz w:val="18"/>
                <w:lang w:val="fr-CH"/>
              </w:rPr>
            </w:pPr>
            <w:r w:rsidRPr="0071782F">
              <w:rPr>
                <w:sz w:val="18"/>
                <w:lang w:val="fr-CH"/>
              </w:rPr>
              <w:t>Person</w:t>
            </w:r>
            <w:r w:rsidR="00637706" w:rsidRPr="0071782F">
              <w:rPr>
                <w:sz w:val="18"/>
                <w:lang w:val="fr-CH"/>
              </w:rPr>
              <w:t>ne</w:t>
            </w:r>
          </w:p>
        </w:tc>
        <w:tc>
          <w:tcPr>
            <w:tcW w:w="1275" w:type="dxa"/>
            <w:shd w:val="clear" w:color="auto" w:fill="auto"/>
            <w:vAlign w:val="bottom"/>
          </w:tcPr>
          <w:p w:rsidR="00E5019F" w:rsidRPr="0071782F" w:rsidRDefault="00E5019F" w:rsidP="00B350D6">
            <w:pPr>
              <w:suppressAutoHyphens w:val="0"/>
              <w:spacing w:before="40" w:after="40" w:line="220" w:lineRule="exact"/>
              <w:jc w:val="right"/>
              <w:rPr>
                <w:sz w:val="18"/>
                <w:lang w:val="fr-CH"/>
              </w:rPr>
            </w:pPr>
            <w:r w:rsidRPr="0071782F">
              <w:rPr>
                <w:sz w:val="18"/>
                <w:lang w:val="fr-CH"/>
              </w:rPr>
              <w:t>3 150</w:t>
            </w:r>
          </w:p>
        </w:tc>
      </w:tr>
      <w:tr w:rsidR="00E5019F" w:rsidRPr="0071782F">
        <w:tc>
          <w:tcPr>
            <w:tcW w:w="358" w:type="dxa"/>
            <w:shd w:val="clear" w:color="auto" w:fill="auto"/>
          </w:tcPr>
          <w:p w:rsidR="00E5019F" w:rsidRPr="0071782F" w:rsidRDefault="00E5019F" w:rsidP="00B350D6">
            <w:pPr>
              <w:suppressAutoHyphens w:val="0"/>
              <w:spacing w:before="40" w:after="40" w:line="220" w:lineRule="exact"/>
              <w:rPr>
                <w:sz w:val="18"/>
                <w:lang w:val="fr-CH"/>
              </w:rPr>
            </w:pPr>
            <w:r w:rsidRPr="0071782F">
              <w:rPr>
                <w:sz w:val="18"/>
                <w:lang w:val="fr-CH"/>
              </w:rPr>
              <w:t>8</w:t>
            </w:r>
          </w:p>
        </w:tc>
        <w:tc>
          <w:tcPr>
            <w:tcW w:w="6021" w:type="dxa"/>
            <w:shd w:val="clear" w:color="auto" w:fill="auto"/>
          </w:tcPr>
          <w:p w:rsidR="00E5019F" w:rsidRPr="0071782F" w:rsidRDefault="00637706" w:rsidP="00B350D6">
            <w:pPr>
              <w:suppressAutoHyphens w:val="0"/>
              <w:spacing w:before="40" w:after="40" w:line="220" w:lineRule="exact"/>
              <w:rPr>
                <w:sz w:val="18"/>
                <w:lang w:val="fr-CH"/>
              </w:rPr>
            </w:pPr>
            <w:r w:rsidRPr="0071782F">
              <w:rPr>
                <w:sz w:val="18"/>
                <w:lang w:val="fr-CH"/>
              </w:rPr>
              <w:t xml:space="preserve">Promotion de l’intérêt supérieur des enfants par l’appui intégré aux garderies </w:t>
            </w:r>
          </w:p>
        </w:tc>
        <w:tc>
          <w:tcPr>
            <w:tcW w:w="851" w:type="dxa"/>
            <w:shd w:val="clear" w:color="auto" w:fill="auto"/>
            <w:vAlign w:val="bottom"/>
          </w:tcPr>
          <w:p w:rsidR="00E5019F" w:rsidRPr="0071782F" w:rsidRDefault="00E5019F" w:rsidP="00B350D6">
            <w:pPr>
              <w:suppressAutoHyphens w:val="0"/>
              <w:spacing w:before="40" w:after="40" w:line="220" w:lineRule="exact"/>
              <w:rPr>
                <w:sz w:val="18"/>
                <w:lang w:val="fr-CH"/>
              </w:rPr>
            </w:pPr>
            <w:r w:rsidRPr="0071782F">
              <w:rPr>
                <w:sz w:val="18"/>
                <w:lang w:val="fr-CH"/>
              </w:rPr>
              <w:t>Person</w:t>
            </w:r>
            <w:r w:rsidR="00637706" w:rsidRPr="0071782F">
              <w:rPr>
                <w:sz w:val="18"/>
                <w:lang w:val="fr-CH"/>
              </w:rPr>
              <w:t>ne</w:t>
            </w:r>
          </w:p>
        </w:tc>
        <w:tc>
          <w:tcPr>
            <w:tcW w:w="1275" w:type="dxa"/>
            <w:shd w:val="clear" w:color="auto" w:fill="auto"/>
            <w:vAlign w:val="bottom"/>
          </w:tcPr>
          <w:p w:rsidR="00E5019F" w:rsidRPr="0071782F" w:rsidRDefault="00E5019F" w:rsidP="00B350D6">
            <w:pPr>
              <w:suppressAutoHyphens w:val="0"/>
              <w:spacing w:before="40" w:after="40" w:line="220" w:lineRule="exact"/>
              <w:jc w:val="right"/>
              <w:rPr>
                <w:sz w:val="18"/>
                <w:lang w:val="fr-CH"/>
              </w:rPr>
            </w:pPr>
            <w:r w:rsidRPr="0071782F">
              <w:rPr>
                <w:sz w:val="18"/>
                <w:lang w:val="fr-CH"/>
              </w:rPr>
              <w:t>20 000</w:t>
            </w:r>
          </w:p>
        </w:tc>
      </w:tr>
      <w:tr w:rsidR="00E5019F" w:rsidRPr="0071782F">
        <w:tc>
          <w:tcPr>
            <w:tcW w:w="358" w:type="dxa"/>
            <w:shd w:val="clear" w:color="auto" w:fill="auto"/>
          </w:tcPr>
          <w:p w:rsidR="00E5019F" w:rsidRPr="0071782F" w:rsidRDefault="00E5019F" w:rsidP="00B350D6">
            <w:pPr>
              <w:suppressAutoHyphens w:val="0"/>
              <w:spacing w:before="40" w:after="40" w:line="220" w:lineRule="exact"/>
              <w:rPr>
                <w:sz w:val="18"/>
                <w:lang w:val="fr-CH"/>
              </w:rPr>
            </w:pPr>
            <w:r w:rsidRPr="0071782F">
              <w:rPr>
                <w:sz w:val="18"/>
                <w:lang w:val="fr-CH"/>
              </w:rPr>
              <w:t>9</w:t>
            </w:r>
          </w:p>
        </w:tc>
        <w:tc>
          <w:tcPr>
            <w:tcW w:w="6021" w:type="dxa"/>
            <w:shd w:val="clear" w:color="auto" w:fill="auto"/>
          </w:tcPr>
          <w:p w:rsidR="00E5019F" w:rsidRPr="0071782F" w:rsidRDefault="00637706" w:rsidP="00B350D6">
            <w:pPr>
              <w:suppressAutoHyphens w:val="0"/>
              <w:spacing w:before="40" w:after="40" w:line="220" w:lineRule="exact"/>
              <w:rPr>
                <w:sz w:val="18"/>
                <w:lang w:val="fr-CH"/>
              </w:rPr>
            </w:pPr>
            <w:r w:rsidRPr="0071782F">
              <w:rPr>
                <w:sz w:val="18"/>
                <w:lang w:val="fr-CH"/>
              </w:rPr>
              <w:t>Amélioration de l’alimentation des enfants âgés de moins de six</w:t>
            </w:r>
            <w:r w:rsidR="00D82C96" w:rsidRPr="0071782F">
              <w:rPr>
                <w:sz w:val="18"/>
                <w:lang w:val="fr-CH"/>
              </w:rPr>
              <w:t> ans</w:t>
            </w:r>
            <w:r w:rsidRPr="0071782F">
              <w:rPr>
                <w:sz w:val="18"/>
                <w:lang w:val="fr-CH"/>
              </w:rPr>
              <w:t xml:space="preserve"> dans les garderies rurales </w:t>
            </w:r>
          </w:p>
        </w:tc>
        <w:tc>
          <w:tcPr>
            <w:tcW w:w="851" w:type="dxa"/>
            <w:shd w:val="clear" w:color="auto" w:fill="auto"/>
            <w:vAlign w:val="bottom"/>
          </w:tcPr>
          <w:p w:rsidR="00E5019F" w:rsidRPr="0071782F" w:rsidRDefault="00E5019F" w:rsidP="00B350D6">
            <w:pPr>
              <w:suppressAutoHyphens w:val="0"/>
              <w:spacing w:before="40" w:after="40" w:line="220" w:lineRule="exact"/>
              <w:rPr>
                <w:sz w:val="18"/>
                <w:lang w:val="fr-CH"/>
              </w:rPr>
            </w:pPr>
            <w:r w:rsidRPr="0071782F">
              <w:rPr>
                <w:sz w:val="18"/>
                <w:lang w:val="fr-CH"/>
              </w:rPr>
              <w:t>Person</w:t>
            </w:r>
            <w:r w:rsidR="00637706" w:rsidRPr="0071782F">
              <w:rPr>
                <w:sz w:val="18"/>
                <w:lang w:val="fr-CH"/>
              </w:rPr>
              <w:t>ne</w:t>
            </w:r>
          </w:p>
        </w:tc>
        <w:tc>
          <w:tcPr>
            <w:tcW w:w="1275" w:type="dxa"/>
            <w:shd w:val="clear" w:color="auto" w:fill="auto"/>
            <w:vAlign w:val="bottom"/>
          </w:tcPr>
          <w:p w:rsidR="00E5019F" w:rsidRPr="0071782F" w:rsidRDefault="00E5019F" w:rsidP="00B350D6">
            <w:pPr>
              <w:suppressAutoHyphens w:val="0"/>
              <w:spacing w:before="40" w:after="40" w:line="220" w:lineRule="exact"/>
              <w:jc w:val="right"/>
              <w:rPr>
                <w:sz w:val="18"/>
                <w:lang w:val="fr-CH"/>
              </w:rPr>
            </w:pPr>
            <w:r w:rsidRPr="0071782F">
              <w:rPr>
                <w:sz w:val="18"/>
                <w:lang w:val="fr-CH"/>
              </w:rPr>
              <w:t>6 855</w:t>
            </w:r>
          </w:p>
        </w:tc>
      </w:tr>
    </w:tbl>
    <w:p w:rsidR="00E5019F" w:rsidRPr="0071782F" w:rsidRDefault="00E5019F" w:rsidP="00187FCF">
      <w:pPr>
        <w:pStyle w:val="H23G"/>
        <w:rPr>
          <w:lang w:val="fr-CH"/>
        </w:rPr>
      </w:pPr>
      <w:r w:rsidRPr="0071782F">
        <w:rPr>
          <w:lang w:val="fr-CH"/>
        </w:rPr>
        <w:tab/>
      </w:r>
      <w:r w:rsidRPr="0071782F">
        <w:rPr>
          <w:lang w:val="fr-CH"/>
        </w:rPr>
        <w:tab/>
        <w:t>Table</w:t>
      </w:r>
      <w:r w:rsidR="00637706" w:rsidRPr="0071782F">
        <w:rPr>
          <w:lang w:val="fr-CH"/>
        </w:rPr>
        <w:t xml:space="preserve">au comparatif des résultats des </w:t>
      </w:r>
      <w:r w:rsidRPr="0071782F">
        <w:rPr>
          <w:lang w:val="fr-CH"/>
        </w:rPr>
        <w:t xml:space="preserve">plans </w:t>
      </w:r>
      <w:r w:rsidR="00637706" w:rsidRPr="0071782F">
        <w:rPr>
          <w:lang w:val="fr-CH"/>
        </w:rPr>
        <w:t xml:space="preserve">s’adressant aux enfants et aux </w:t>
      </w:r>
      <w:r w:rsidR="00B13F4B" w:rsidRPr="0071782F">
        <w:rPr>
          <w:lang w:val="fr-CH"/>
        </w:rPr>
        <w:t>adolescents</w:t>
      </w:r>
      <w:r w:rsidR="00637706" w:rsidRPr="0071782F">
        <w:rPr>
          <w:lang w:val="fr-CH"/>
        </w:rPr>
        <w:t xml:space="preserve"> en </w:t>
      </w:r>
      <w:r w:rsidRPr="0071782F">
        <w:rPr>
          <w:lang w:val="fr-CH"/>
        </w:rPr>
        <w:t xml:space="preserve">2006 </w:t>
      </w:r>
      <w:r w:rsidR="00637706" w:rsidRPr="0071782F">
        <w:rPr>
          <w:lang w:val="fr-CH"/>
        </w:rPr>
        <w:t>(en</w:t>
      </w:r>
      <w:r w:rsidRPr="0071782F">
        <w:rPr>
          <w:lang w:val="fr-CH"/>
        </w:rPr>
        <w:t xml:space="preserve"> p</w:t>
      </w:r>
      <w:r w:rsidR="00637706" w:rsidRPr="0071782F">
        <w:rPr>
          <w:lang w:val="fr-CH"/>
        </w:rPr>
        <w:t>ou</w:t>
      </w:r>
      <w:r w:rsidRPr="0071782F">
        <w:rPr>
          <w:lang w:val="fr-CH"/>
        </w:rPr>
        <w:t>rcentage</w:t>
      </w:r>
      <w:r w:rsidR="00637706" w:rsidRPr="0071782F">
        <w:rPr>
          <w:lang w:val="fr-CH"/>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4"/>
        <w:gridCol w:w="5590"/>
        <w:gridCol w:w="1276"/>
        <w:gridCol w:w="1275"/>
      </w:tblGrid>
      <w:tr w:rsidR="00E5019F" w:rsidRPr="0071782F">
        <w:trPr>
          <w:tblHeader/>
        </w:trPr>
        <w:tc>
          <w:tcPr>
            <w:tcW w:w="5954" w:type="dxa"/>
            <w:gridSpan w:val="2"/>
            <w:tcBorders>
              <w:top w:val="single" w:sz="4" w:space="0" w:color="auto"/>
              <w:bottom w:val="single" w:sz="12" w:space="0" w:color="auto"/>
            </w:tcBorders>
            <w:shd w:val="clear" w:color="auto" w:fill="auto"/>
            <w:vAlign w:val="bottom"/>
          </w:tcPr>
          <w:p w:rsidR="00E5019F" w:rsidRPr="0071782F" w:rsidRDefault="00E5019F" w:rsidP="006F3CE6">
            <w:pPr>
              <w:keepNext/>
              <w:suppressAutoHyphens w:val="0"/>
              <w:spacing w:before="80" w:after="80" w:line="200" w:lineRule="exact"/>
              <w:rPr>
                <w:i/>
                <w:sz w:val="16"/>
                <w:lang w:val="fr-CH"/>
              </w:rPr>
            </w:pPr>
            <w:r w:rsidRPr="0071782F">
              <w:rPr>
                <w:i/>
                <w:sz w:val="16"/>
                <w:lang w:val="fr-CH"/>
              </w:rPr>
              <w:t>Plan</w:t>
            </w:r>
          </w:p>
        </w:tc>
        <w:tc>
          <w:tcPr>
            <w:tcW w:w="1276" w:type="dxa"/>
            <w:tcBorders>
              <w:top w:val="single" w:sz="4" w:space="0" w:color="auto"/>
              <w:bottom w:val="single" w:sz="12" w:space="0" w:color="auto"/>
            </w:tcBorders>
            <w:shd w:val="clear" w:color="auto" w:fill="auto"/>
            <w:vAlign w:val="bottom"/>
          </w:tcPr>
          <w:p w:rsidR="00E5019F" w:rsidRPr="0071782F" w:rsidRDefault="00637706" w:rsidP="006F3CE6">
            <w:pPr>
              <w:keepNext/>
              <w:suppressAutoHyphens w:val="0"/>
              <w:spacing w:before="80" w:after="80" w:line="200" w:lineRule="exact"/>
              <w:jc w:val="right"/>
              <w:rPr>
                <w:i/>
                <w:sz w:val="16"/>
                <w:lang w:val="fr-CH"/>
              </w:rPr>
            </w:pPr>
            <w:r w:rsidRPr="0071782F">
              <w:rPr>
                <w:i/>
                <w:sz w:val="16"/>
                <w:lang w:val="fr-CH"/>
              </w:rPr>
              <w:t>Accroissement quantitatif</w:t>
            </w:r>
          </w:p>
        </w:tc>
        <w:tc>
          <w:tcPr>
            <w:tcW w:w="1275" w:type="dxa"/>
            <w:tcBorders>
              <w:top w:val="single" w:sz="4" w:space="0" w:color="auto"/>
              <w:bottom w:val="single" w:sz="12" w:space="0" w:color="auto"/>
            </w:tcBorders>
            <w:shd w:val="clear" w:color="auto" w:fill="auto"/>
            <w:vAlign w:val="bottom"/>
          </w:tcPr>
          <w:p w:rsidR="00E5019F" w:rsidRPr="0071782F" w:rsidRDefault="00637706" w:rsidP="006F3CE6">
            <w:pPr>
              <w:keepNext/>
              <w:suppressAutoHyphens w:val="0"/>
              <w:spacing w:before="80" w:after="80" w:line="200" w:lineRule="exact"/>
              <w:jc w:val="right"/>
              <w:rPr>
                <w:i/>
                <w:sz w:val="16"/>
                <w:lang w:val="fr-CH"/>
              </w:rPr>
            </w:pPr>
            <w:r w:rsidRPr="0071782F">
              <w:rPr>
                <w:i/>
                <w:sz w:val="16"/>
                <w:lang w:val="fr-CH"/>
              </w:rPr>
              <w:t xml:space="preserve">Croissance du crédit </w:t>
            </w:r>
            <w:r w:rsidR="00946A73">
              <w:rPr>
                <w:i/>
                <w:sz w:val="16"/>
                <w:lang w:val="fr-CH"/>
              </w:rPr>
              <w:t>en %</w:t>
            </w:r>
          </w:p>
        </w:tc>
      </w:tr>
      <w:tr w:rsidR="00E5019F" w:rsidRPr="0071782F">
        <w:tc>
          <w:tcPr>
            <w:tcW w:w="364" w:type="dxa"/>
            <w:tcBorders>
              <w:top w:val="single" w:sz="12" w:space="0" w:color="auto"/>
            </w:tcBorders>
            <w:shd w:val="clear" w:color="auto" w:fill="auto"/>
          </w:tcPr>
          <w:p w:rsidR="00E5019F" w:rsidRPr="0071782F" w:rsidRDefault="00E5019F" w:rsidP="006F3CE6">
            <w:pPr>
              <w:keepNext/>
              <w:suppressAutoHyphens w:val="0"/>
              <w:spacing w:before="40" w:after="40" w:line="220" w:lineRule="exact"/>
              <w:rPr>
                <w:sz w:val="18"/>
                <w:lang w:val="fr-CH"/>
              </w:rPr>
            </w:pPr>
            <w:r w:rsidRPr="0071782F">
              <w:rPr>
                <w:sz w:val="18"/>
                <w:lang w:val="fr-CH"/>
              </w:rPr>
              <w:t>1</w:t>
            </w:r>
          </w:p>
        </w:tc>
        <w:tc>
          <w:tcPr>
            <w:tcW w:w="5590" w:type="dxa"/>
            <w:tcBorders>
              <w:top w:val="single" w:sz="12" w:space="0" w:color="auto"/>
            </w:tcBorders>
            <w:shd w:val="clear" w:color="auto" w:fill="auto"/>
          </w:tcPr>
          <w:p w:rsidR="00E5019F" w:rsidRPr="0071782F" w:rsidRDefault="00637706" w:rsidP="006F3CE6">
            <w:pPr>
              <w:keepNext/>
              <w:suppressAutoHyphens w:val="0"/>
              <w:spacing w:before="40" w:after="40" w:line="220" w:lineRule="exact"/>
              <w:rPr>
                <w:sz w:val="18"/>
                <w:lang w:val="fr-CH"/>
              </w:rPr>
            </w:pPr>
            <w:r w:rsidRPr="0071782F">
              <w:rPr>
                <w:sz w:val="18"/>
                <w:lang w:val="fr-CH"/>
              </w:rPr>
              <w:t xml:space="preserve">Régulation des services culturels aux enfants et </w:t>
            </w:r>
            <w:r w:rsidR="00B13F4B" w:rsidRPr="0071782F">
              <w:rPr>
                <w:sz w:val="18"/>
                <w:lang w:val="fr-CH"/>
              </w:rPr>
              <w:t>adolescents</w:t>
            </w:r>
            <w:r w:rsidRPr="0071782F">
              <w:rPr>
                <w:sz w:val="18"/>
                <w:lang w:val="fr-CH"/>
              </w:rPr>
              <w:t xml:space="preserve"> dans les quartiers défavorisés des grandes villes</w:t>
            </w:r>
          </w:p>
        </w:tc>
        <w:tc>
          <w:tcPr>
            <w:tcW w:w="1276" w:type="dxa"/>
            <w:tcBorders>
              <w:top w:val="single" w:sz="12" w:space="0" w:color="auto"/>
            </w:tcBorders>
            <w:shd w:val="clear" w:color="auto" w:fill="auto"/>
            <w:vAlign w:val="bottom"/>
          </w:tcPr>
          <w:p w:rsidR="00E5019F" w:rsidRPr="0071782F" w:rsidRDefault="00E5019F" w:rsidP="006F3CE6">
            <w:pPr>
              <w:keepNext/>
              <w:suppressAutoHyphens w:val="0"/>
              <w:spacing w:before="40" w:after="40" w:line="220" w:lineRule="exact"/>
              <w:jc w:val="right"/>
              <w:rPr>
                <w:sz w:val="18"/>
                <w:lang w:val="fr-CH"/>
              </w:rPr>
            </w:pPr>
            <w:r w:rsidRPr="0071782F">
              <w:rPr>
                <w:sz w:val="18"/>
                <w:lang w:val="fr-CH"/>
              </w:rPr>
              <w:t>535/71</w:t>
            </w:r>
          </w:p>
        </w:tc>
        <w:tc>
          <w:tcPr>
            <w:tcW w:w="1275" w:type="dxa"/>
            <w:tcBorders>
              <w:top w:val="single" w:sz="12" w:space="0" w:color="auto"/>
            </w:tcBorders>
            <w:shd w:val="clear" w:color="auto" w:fill="auto"/>
            <w:vAlign w:val="bottom"/>
          </w:tcPr>
          <w:p w:rsidR="00E5019F" w:rsidRPr="0071782F" w:rsidRDefault="00E5019F" w:rsidP="006F3CE6">
            <w:pPr>
              <w:keepNext/>
              <w:suppressAutoHyphens w:val="0"/>
              <w:spacing w:before="40" w:after="40" w:line="220" w:lineRule="exact"/>
              <w:jc w:val="right"/>
              <w:rPr>
                <w:sz w:val="18"/>
                <w:lang w:val="fr-CH"/>
              </w:rPr>
            </w:pPr>
            <w:r w:rsidRPr="0071782F">
              <w:rPr>
                <w:sz w:val="18"/>
                <w:lang w:val="fr-CH"/>
              </w:rPr>
              <w:t>214/29</w:t>
            </w:r>
          </w:p>
        </w:tc>
      </w:tr>
      <w:tr w:rsidR="00E5019F" w:rsidRPr="0071782F">
        <w:tc>
          <w:tcPr>
            <w:tcW w:w="364" w:type="dxa"/>
            <w:tcBorders>
              <w:bottom w:val="nil"/>
            </w:tcBorders>
            <w:shd w:val="clear" w:color="auto" w:fill="auto"/>
          </w:tcPr>
          <w:p w:rsidR="00E5019F" w:rsidRPr="0071782F" w:rsidRDefault="00E5019F" w:rsidP="006F3CE6">
            <w:pPr>
              <w:keepNext/>
              <w:suppressAutoHyphens w:val="0"/>
              <w:spacing w:before="40" w:after="40" w:line="220" w:lineRule="exact"/>
              <w:rPr>
                <w:sz w:val="18"/>
                <w:lang w:val="fr-CH"/>
              </w:rPr>
            </w:pPr>
            <w:r w:rsidRPr="0071782F">
              <w:rPr>
                <w:sz w:val="18"/>
                <w:lang w:val="fr-CH"/>
              </w:rPr>
              <w:t>2</w:t>
            </w:r>
          </w:p>
        </w:tc>
        <w:tc>
          <w:tcPr>
            <w:tcW w:w="5590" w:type="dxa"/>
            <w:tcBorders>
              <w:bottom w:val="nil"/>
            </w:tcBorders>
            <w:shd w:val="clear" w:color="auto" w:fill="auto"/>
          </w:tcPr>
          <w:p w:rsidR="00E5019F" w:rsidRPr="0071782F" w:rsidRDefault="00637706" w:rsidP="006F3CE6">
            <w:pPr>
              <w:keepNext/>
              <w:suppressAutoHyphens w:val="0"/>
              <w:spacing w:before="40" w:after="40" w:line="220" w:lineRule="exact"/>
              <w:rPr>
                <w:sz w:val="18"/>
                <w:lang w:val="fr-CH"/>
              </w:rPr>
            </w:pPr>
            <w:r w:rsidRPr="0071782F">
              <w:rPr>
                <w:sz w:val="18"/>
                <w:lang w:val="fr-CH"/>
              </w:rPr>
              <w:t xml:space="preserve">Aide à la création de garderies </w:t>
            </w:r>
            <w:r w:rsidR="00697389" w:rsidRPr="0071782F">
              <w:rPr>
                <w:sz w:val="18"/>
                <w:lang w:val="fr-CH"/>
              </w:rPr>
              <w:t>et à l’augmentation de leur nombre</w:t>
            </w:r>
            <w:r w:rsidR="00D36718">
              <w:rPr>
                <w:sz w:val="18"/>
                <w:lang w:val="fr-CH"/>
              </w:rPr>
              <w:t xml:space="preserve"> </w:t>
            </w:r>
            <w:r w:rsidRPr="0071782F">
              <w:rPr>
                <w:sz w:val="18"/>
                <w:lang w:val="fr-CH"/>
              </w:rPr>
              <w:t>dans les zones défavorisées</w:t>
            </w:r>
          </w:p>
        </w:tc>
        <w:tc>
          <w:tcPr>
            <w:tcW w:w="1276" w:type="dxa"/>
            <w:tcBorders>
              <w:bottom w:val="nil"/>
            </w:tcBorders>
            <w:shd w:val="clear" w:color="auto" w:fill="auto"/>
            <w:vAlign w:val="bottom"/>
          </w:tcPr>
          <w:p w:rsidR="00E5019F" w:rsidRPr="0071782F" w:rsidRDefault="00E5019F" w:rsidP="006F3CE6">
            <w:pPr>
              <w:keepNext/>
              <w:suppressAutoHyphens w:val="0"/>
              <w:spacing w:before="40" w:after="40" w:line="220" w:lineRule="exact"/>
              <w:jc w:val="right"/>
              <w:rPr>
                <w:sz w:val="18"/>
                <w:lang w:val="fr-CH"/>
              </w:rPr>
            </w:pPr>
            <w:r w:rsidRPr="0071782F">
              <w:rPr>
                <w:sz w:val="18"/>
                <w:lang w:val="fr-CH"/>
              </w:rPr>
              <w:t>184</w:t>
            </w:r>
          </w:p>
        </w:tc>
        <w:tc>
          <w:tcPr>
            <w:tcW w:w="1275" w:type="dxa"/>
            <w:tcBorders>
              <w:bottom w:val="nil"/>
            </w:tcBorders>
            <w:shd w:val="clear" w:color="auto" w:fill="auto"/>
            <w:vAlign w:val="bottom"/>
          </w:tcPr>
          <w:p w:rsidR="00E5019F" w:rsidRPr="0071782F" w:rsidRDefault="00E5019F" w:rsidP="006F3CE6">
            <w:pPr>
              <w:keepNext/>
              <w:suppressAutoHyphens w:val="0"/>
              <w:spacing w:before="40" w:after="40" w:line="220" w:lineRule="exact"/>
              <w:jc w:val="right"/>
              <w:rPr>
                <w:sz w:val="18"/>
                <w:lang w:val="fr-CH"/>
              </w:rPr>
            </w:pPr>
            <w:r w:rsidRPr="0071782F">
              <w:rPr>
                <w:sz w:val="18"/>
                <w:lang w:val="fr-CH"/>
              </w:rPr>
              <w:t>230</w:t>
            </w:r>
          </w:p>
        </w:tc>
      </w:tr>
      <w:tr w:rsidR="00E5019F" w:rsidRPr="0071782F">
        <w:tc>
          <w:tcPr>
            <w:tcW w:w="364" w:type="dxa"/>
            <w:tcBorders>
              <w:top w:val="nil"/>
              <w:bottom w:val="nil"/>
            </w:tcBorders>
            <w:shd w:val="clear" w:color="auto" w:fill="auto"/>
          </w:tcPr>
          <w:p w:rsidR="00E5019F" w:rsidRPr="0071782F" w:rsidRDefault="00E5019F" w:rsidP="006F3CE6">
            <w:pPr>
              <w:keepNext/>
              <w:suppressAutoHyphens w:val="0"/>
              <w:spacing w:before="40" w:after="40" w:line="220" w:lineRule="exact"/>
              <w:rPr>
                <w:sz w:val="18"/>
                <w:lang w:val="fr-CH"/>
              </w:rPr>
            </w:pPr>
            <w:r w:rsidRPr="0071782F">
              <w:rPr>
                <w:sz w:val="18"/>
                <w:lang w:val="fr-CH"/>
              </w:rPr>
              <w:t>3</w:t>
            </w:r>
          </w:p>
        </w:tc>
        <w:tc>
          <w:tcPr>
            <w:tcW w:w="5590" w:type="dxa"/>
            <w:tcBorders>
              <w:top w:val="nil"/>
              <w:bottom w:val="nil"/>
            </w:tcBorders>
            <w:shd w:val="clear" w:color="auto" w:fill="auto"/>
          </w:tcPr>
          <w:p w:rsidR="00E5019F" w:rsidRPr="0071782F" w:rsidRDefault="00637706" w:rsidP="006F3CE6">
            <w:pPr>
              <w:keepNext/>
              <w:suppressAutoHyphens w:val="0"/>
              <w:spacing w:before="40" w:after="40" w:line="220" w:lineRule="exact"/>
              <w:rPr>
                <w:sz w:val="18"/>
                <w:lang w:val="fr-CH"/>
              </w:rPr>
            </w:pPr>
            <w:r w:rsidRPr="0071782F">
              <w:rPr>
                <w:sz w:val="18"/>
                <w:lang w:val="fr-CH"/>
              </w:rPr>
              <w:t xml:space="preserve">Régulation des services de conseil aux enfants et </w:t>
            </w:r>
            <w:r w:rsidR="00A234E8" w:rsidRPr="0071782F">
              <w:rPr>
                <w:sz w:val="18"/>
                <w:lang w:val="fr-CH"/>
              </w:rPr>
              <w:t>aux familles</w:t>
            </w:r>
            <w:r w:rsidRPr="0071782F">
              <w:rPr>
                <w:sz w:val="18"/>
                <w:lang w:val="fr-CH"/>
              </w:rPr>
              <w:t xml:space="preserve"> dans les garderies</w:t>
            </w:r>
          </w:p>
        </w:tc>
        <w:tc>
          <w:tcPr>
            <w:tcW w:w="1276" w:type="dxa"/>
            <w:tcBorders>
              <w:top w:val="nil"/>
              <w:bottom w:val="nil"/>
            </w:tcBorders>
            <w:shd w:val="clear" w:color="auto" w:fill="auto"/>
            <w:vAlign w:val="bottom"/>
          </w:tcPr>
          <w:p w:rsidR="00E5019F" w:rsidRPr="0071782F" w:rsidRDefault="00E5019F" w:rsidP="006F3CE6">
            <w:pPr>
              <w:keepNext/>
              <w:suppressAutoHyphens w:val="0"/>
              <w:spacing w:before="40" w:after="40" w:line="220" w:lineRule="exact"/>
              <w:jc w:val="right"/>
              <w:rPr>
                <w:sz w:val="18"/>
                <w:lang w:val="fr-CH"/>
              </w:rPr>
            </w:pPr>
            <w:r w:rsidRPr="0071782F">
              <w:rPr>
                <w:sz w:val="18"/>
                <w:lang w:val="fr-CH"/>
              </w:rPr>
              <w:t>184/2</w:t>
            </w:r>
          </w:p>
        </w:tc>
        <w:tc>
          <w:tcPr>
            <w:tcW w:w="1275" w:type="dxa"/>
            <w:tcBorders>
              <w:top w:val="nil"/>
              <w:bottom w:val="nil"/>
            </w:tcBorders>
            <w:shd w:val="clear" w:color="auto" w:fill="auto"/>
            <w:vAlign w:val="bottom"/>
          </w:tcPr>
          <w:p w:rsidR="00E5019F" w:rsidRPr="0071782F" w:rsidRDefault="00E5019F" w:rsidP="006F3CE6">
            <w:pPr>
              <w:keepNext/>
              <w:suppressAutoHyphens w:val="0"/>
              <w:spacing w:before="40" w:after="40" w:line="220" w:lineRule="exact"/>
              <w:jc w:val="right"/>
              <w:rPr>
                <w:sz w:val="18"/>
                <w:lang w:val="fr-CH"/>
              </w:rPr>
            </w:pPr>
            <w:r w:rsidRPr="0071782F">
              <w:rPr>
                <w:sz w:val="18"/>
                <w:lang w:val="fr-CH"/>
              </w:rPr>
              <w:t>184/2</w:t>
            </w:r>
          </w:p>
        </w:tc>
      </w:tr>
      <w:tr w:rsidR="00E5019F" w:rsidRPr="0071782F">
        <w:tc>
          <w:tcPr>
            <w:tcW w:w="364" w:type="dxa"/>
            <w:tcBorders>
              <w:top w:val="nil"/>
            </w:tcBorders>
            <w:shd w:val="clear" w:color="auto" w:fill="auto"/>
          </w:tcPr>
          <w:p w:rsidR="00E5019F" w:rsidRPr="0071782F" w:rsidRDefault="00E5019F" w:rsidP="00E86031">
            <w:pPr>
              <w:suppressAutoHyphens w:val="0"/>
              <w:spacing w:before="40" w:after="40" w:line="220" w:lineRule="exact"/>
              <w:rPr>
                <w:sz w:val="18"/>
                <w:lang w:val="fr-CH"/>
              </w:rPr>
            </w:pPr>
            <w:r w:rsidRPr="0071782F">
              <w:rPr>
                <w:sz w:val="18"/>
                <w:lang w:val="fr-CH"/>
              </w:rPr>
              <w:t>4</w:t>
            </w:r>
          </w:p>
        </w:tc>
        <w:tc>
          <w:tcPr>
            <w:tcW w:w="5590" w:type="dxa"/>
            <w:tcBorders>
              <w:top w:val="nil"/>
            </w:tcBorders>
            <w:shd w:val="clear" w:color="auto" w:fill="auto"/>
          </w:tcPr>
          <w:p w:rsidR="00E5019F" w:rsidRPr="0071782F" w:rsidRDefault="00637706" w:rsidP="00E86031">
            <w:pPr>
              <w:suppressAutoHyphens w:val="0"/>
              <w:spacing w:before="40" w:after="40" w:line="220" w:lineRule="exact"/>
              <w:rPr>
                <w:sz w:val="18"/>
                <w:lang w:val="fr-CH"/>
              </w:rPr>
            </w:pPr>
            <w:r w:rsidRPr="0071782F">
              <w:rPr>
                <w:sz w:val="18"/>
                <w:lang w:val="fr-CH"/>
              </w:rPr>
              <w:t>Aide à la santé buccodentaire des enfants âgés de moins de six</w:t>
            </w:r>
            <w:r w:rsidR="00D82C96" w:rsidRPr="0071782F">
              <w:rPr>
                <w:sz w:val="18"/>
                <w:lang w:val="fr-CH"/>
              </w:rPr>
              <w:t> ans</w:t>
            </w:r>
            <w:r w:rsidRPr="0071782F">
              <w:rPr>
                <w:sz w:val="18"/>
                <w:lang w:val="fr-CH"/>
              </w:rPr>
              <w:t xml:space="preserve"> </w:t>
            </w:r>
          </w:p>
        </w:tc>
        <w:tc>
          <w:tcPr>
            <w:tcW w:w="1276" w:type="dxa"/>
            <w:tcBorders>
              <w:top w:val="nil"/>
            </w:tcBorders>
            <w:shd w:val="clear" w:color="auto" w:fill="auto"/>
            <w:vAlign w:val="bottom"/>
          </w:tcPr>
          <w:p w:rsidR="00E5019F" w:rsidRPr="0071782F" w:rsidRDefault="00E5019F" w:rsidP="00E86031">
            <w:pPr>
              <w:suppressAutoHyphens w:val="0"/>
              <w:spacing w:before="40" w:after="40" w:line="220" w:lineRule="exact"/>
              <w:jc w:val="right"/>
              <w:rPr>
                <w:sz w:val="18"/>
                <w:lang w:val="fr-CH"/>
              </w:rPr>
            </w:pPr>
            <w:r w:rsidRPr="0071782F">
              <w:rPr>
                <w:sz w:val="18"/>
                <w:lang w:val="fr-CH"/>
              </w:rPr>
              <w:t>366/80</w:t>
            </w:r>
          </w:p>
        </w:tc>
        <w:tc>
          <w:tcPr>
            <w:tcW w:w="1275" w:type="dxa"/>
            <w:tcBorders>
              <w:top w:val="nil"/>
            </w:tcBorders>
            <w:shd w:val="clear" w:color="auto" w:fill="auto"/>
            <w:vAlign w:val="bottom"/>
          </w:tcPr>
          <w:p w:rsidR="00E5019F" w:rsidRPr="0071782F" w:rsidRDefault="00E5019F" w:rsidP="00E86031">
            <w:pPr>
              <w:suppressAutoHyphens w:val="0"/>
              <w:spacing w:before="40" w:after="40" w:line="220" w:lineRule="exact"/>
              <w:jc w:val="right"/>
              <w:rPr>
                <w:sz w:val="18"/>
                <w:lang w:val="fr-CH"/>
              </w:rPr>
            </w:pPr>
            <w:r w:rsidRPr="0071782F">
              <w:rPr>
                <w:sz w:val="18"/>
                <w:lang w:val="fr-CH"/>
              </w:rPr>
              <w:t>183/40</w:t>
            </w:r>
          </w:p>
        </w:tc>
      </w:tr>
    </w:tbl>
    <w:p w:rsidR="00E5019F" w:rsidRPr="0071782F" w:rsidRDefault="00E5019F" w:rsidP="00E86031">
      <w:pPr>
        <w:pStyle w:val="H23G"/>
        <w:rPr>
          <w:lang w:val="fr-CH"/>
        </w:rPr>
      </w:pPr>
      <w:r w:rsidRPr="0071782F">
        <w:rPr>
          <w:lang w:val="fr-CH"/>
        </w:rPr>
        <w:tab/>
      </w:r>
      <w:r w:rsidRPr="0071782F">
        <w:rPr>
          <w:lang w:val="fr-CH"/>
        </w:rPr>
        <w:tab/>
      </w:r>
      <w:r w:rsidR="00637706" w:rsidRPr="0071782F">
        <w:rPr>
          <w:lang w:val="fr-CH"/>
        </w:rPr>
        <w:t xml:space="preserve">Résultats des </w:t>
      </w:r>
      <w:r w:rsidRPr="0071782F">
        <w:rPr>
          <w:lang w:val="fr-CH"/>
        </w:rPr>
        <w:t>program</w:t>
      </w:r>
      <w:r w:rsidR="00637706" w:rsidRPr="0071782F">
        <w:rPr>
          <w:lang w:val="fr-CH"/>
        </w:rPr>
        <w:t>me</w:t>
      </w:r>
      <w:r w:rsidRPr="0071782F">
        <w:rPr>
          <w:lang w:val="fr-CH"/>
        </w:rPr>
        <w:t xml:space="preserve">s </w:t>
      </w:r>
      <w:r w:rsidR="00637706" w:rsidRPr="0071782F">
        <w:rPr>
          <w:lang w:val="fr-CH"/>
        </w:rPr>
        <w:t xml:space="preserve">s’adressant aux enfants et aux </w:t>
      </w:r>
      <w:r w:rsidR="00B13F4B" w:rsidRPr="0071782F">
        <w:rPr>
          <w:lang w:val="fr-CH"/>
        </w:rPr>
        <w:t>adolescents</w:t>
      </w:r>
      <w:r w:rsidR="00637706" w:rsidRPr="0071782F">
        <w:rPr>
          <w:lang w:val="fr-CH"/>
        </w:rPr>
        <w:t xml:space="preserve"> en </w:t>
      </w:r>
      <w:r w:rsidRPr="0071782F">
        <w:rPr>
          <w:lang w:val="fr-CH"/>
        </w:rPr>
        <w:t xml:space="preserve">2005 </w:t>
      </w:r>
      <w:r w:rsidR="00637706" w:rsidRPr="0071782F">
        <w:rPr>
          <w:lang w:val="fr-CH"/>
        </w:rPr>
        <w:t>et</w:t>
      </w:r>
      <w:r w:rsidRPr="0071782F">
        <w:rPr>
          <w:lang w:val="fr-CH"/>
        </w:rPr>
        <w:t xml:space="preserve"> 2006</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1E0" w:firstRow="1" w:lastRow="1" w:firstColumn="1" w:lastColumn="1" w:noHBand="0" w:noVBand="0"/>
      </w:tblPr>
      <w:tblGrid>
        <w:gridCol w:w="263"/>
        <w:gridCol w:w="3603"/>
        <w:gridCol w:w="700"/>
        <w:gridCol w:w="1200"/>
        <w:gridCol w:w="800"/>
        <w:gridCol w:w="804"/>
      </w:tblGrid>
      <w:tr w:rsidR="00E5019F" w:rsidRPr="0071782F">
        <w:trPr>
          <w:tblHeader/>
        </w:trPr>
        <w:tc>
          <w:tcPr>
            <w:tcW w:w="4566" w:type="dxa"/>
            <w:gridSpan w:val="3"/>
            <w:tcBorders>
              <w:top w:val="single" w:sz="4" w:space="0" w:color="auto"/>
              <w:bottom w:val="single" w:sz="12" w:space="0" w:color="auto"/>
            </w:tcBorders>
            <w:shd w:val="clear" w:color="000000" w:fill="auto"/>
            <w:vAlign w:val="bottom"/>
          </w:tcPr>
          <w:p w:rsidR="00E5019F" w:rsidRPr="0071782F" w:rsidRDefault="00E5019F" w:rsidP="00E86031">
            <w:pPr>
              <w:keepNext/>
              <w:suppressAutoHyphens w:val="0"/>
              <w:spacing w:before="80" w:after="80" w:line="200" w:lineRule="exact"/>
              <w:rPr>
                <w:i/>
                <w:sz w:val="16"/>
                <w:lang w:val="fr-CH"/>
              </w:rPr>
            </w:pPr>
            <w:r w:rsidRPr="0071782F">
              <w:rPr>
                <w:i/>
                <w:sz w:val="16"/>
                <w:lang w:val="fr-CH"/>
              </w:rPr>
              <w:t>Indicat</w:t>
            </w:r>
            <w:r w:rsidR="00637706" w:rsidRPr="0071782F">
              <w:rPr>
                <w:i/>
                <w:sz w:val="16"/>
                <w:lang w:val="fr-CH"/>
              </w:rPr>
              <w:t>eu</w:t>
            </w:r>
            <w:r w:rsidRPr="0071782F">
              <w:rPr>
                <w:i/>
                <w:sz w:val="16"/>
                <w:lang w:val="fr-CH"/>
              </w:rPr>
              <w:t>r</w:t>
            </w:r>
          </w:p>
        </w:tc>
        <w:tc>
          <w:tcPr>
            <w:tcW w:w="1200" w:type="dxa"/>
            <w:tcBorders>
              <w:top w:val="single" w:sz="4" w:space="0" w:color="auto"/>
              <w:bottom w:val="single" w:sz="12" w:space="0" w:color="auto"/>
            </w:tcBorders>
            <w:shd w:val="clear" w:color="000000" w:fill="auto"/>
            <w:vAlign w:val="bottom"/>
          </w:tcPr>
          <w:p w:rsidR="00E5019F" w:rsidRPr="0071782F" w:rsidRDefault="00E5019F" w:rsidP="00E024A3">
            <w:pPr>
              <w:keepNext/>
              <w:suppressAutoHyphens w:val="0"/>
              <w:spacing w:before="80" w:after="80" w:line="200" w:lineRule="exact"/>
              <w:ind w:left="113"/>
              <w:rPr>
                <w:i/>
                <w:sz w:val="16"/>
                <w:lang w:val="fr-CH"/>
              </w:rPr>
            </w:pPr>
            <w:r w:rsidRPr="0071782F">
              <w:rPr>
                <w:i/>
                <w:sz w:val="16"/>
                <w:lang w:val="fr-CH"/>
              </w:rPr>
              <w:t>Unit</w:t>
            </w:r>
            <w:r w:rsidR="00637706" w:rsidRPr="0071782F">
              <w:rPr>
                <w:i/>
                <w:sz w:val="16"/>
                <w:lang w:val="fr-CH"/>
              </w:rPr>
              <w:t>é</w:t>
            </w:r>
          </w:p>
        </w:tc>
        <w:tc>
          <w:tcPr>
            <w:tcW w:w="800" w:type="dxa"/>
            <w:tcBorders>
              <w:top w:val="single" w:sz="4" w:space="0" w:color="auto"/>
              <w:bottom w:val="single" w:sz="12" w:space="0" w:color="auto"/>
            </w:tcBorders>
            <w:shd w:val="clear" w:color="000000" w:fill="auto"/>
            <w:vAlign w:val="bottom"/>
          </w:tcPr>
          <w:p w:rsidR="00E5019F" w:rsidRPr="0071782F" w:rsidRDefault="00E5019F" w:rsidP="00E86031">
            <w:pPr>
              <w:keepNext/>
              <w:suppressAutoHyphens w:val="0"/>
              <w:spacing w:before="80" w:after="80" w:line="200" w:lineRule="exact"/>
              <w:jc w:val="right"/>
              <w:rPr>
                <w:i/>
                <w:sz w:val="16"/>
                <w:lang w:val="fr-CH"/>
              </w:rPr>
            </w:pPr>
            <w:r w:rsidRPr="0071782F">
              <w:rPr>
                <w:i/>
                <w:sz w:val="16"/>
                <w:lang w:val="fr-CH"/>
              </w:rPr>
              <w:t>2005</w:t>
            </w:r>
          </w:p>
        </w:tc>
        <w:tc>
          <w:tcPr>
            <w:tcW w:w="804" w:type="dxa"/>
            <w:tcBorders>
              <w:top w:val="single" w:sz="4" w:space="0" w:color="auto"/>
              <w:bottom w:val="single" w:sz="12" w:space="0" w:color="auto"/>
            </w:tcBorders>
            <w:shd w:val="clear" w:color="000000" w:fill="auto"/>
            <w:vAlign w:val="bottom"/>
          </w:tcPr>
          <w:p w:rsidR="00E5019F" w:rsidRPr="0071782F" w:rsidRDefault="00E5019F" w:rsidP="00E86031">
            <w:pPr>
              <w:keepNext/>
              <w:suppressAutoHyphens w:val="0"/>
              <w:spacing w:before="80" w:after="80" w:line="200" w:lineRule="exact"/>
              <w:jc w:val="right"/>
              <w:rPr>
                <w:i/>
                <w:sz w:val="16"/>
                <w:lang w:val="fr-CH"/>
              </w:rPr>
            </w:pPr>
            <w:r w:rsidRPr="0071782F">
              <w:rPr>
                <w:i/>
                <w:sz w:val="16"/>
                <w:lang w:val="fr-CH"/>
              </w:rPr>
              <w:t>2006</w:t>
            </w:r>
          </w:p>
        </w:tc>
      </w:tr>
      <w:tr w:rsidR="00E5019F" w:rsidRPr="0071782F">
        <w:tc>
          <w:tcPr>
            <w:tcW w:w="263" w:type="dxa"/>
            <w:vMerge w:val="restart"/>
            <w:tcBorders>
              <w:top w:val="single" w:sz="12" w:space="0" w:color="auto"/>
            </w:tcBorders>
            <w:shd w:val="clear" w:color="000000" w:fill="auto"/>
          </w:tcPr>
          <w:p w:rsidR="00E5019F" w:rsidRPr="0071782F" w:rsidRDefault="00E5019F" w:rsidP="00E86031">
            <w:pPr>
              <w:keepNext/>
              <w:suppressAutoHyphens w:val="0"/>
              <w:spacing w:before="40" w:after="40" w:line="220" w:lineRule="exact"/>
              <w:rPr>
                <w:sz w:val="18"/>
                <w:lang w:val="fr-CH"/>
              </w:rPr>
            </w:pPr>
            <w:r w:rsidRPr="0071782F">
              <w:rPr>
                <w:sz w:val="18"/>
                <w:lang w:val="fr-CH"/>
              </w:rPr>
              <w:t>1</w:t>
            </w:r>
          </w:p>
        </w:tc>
        <w:tc>
          <w:tcPr>
            <w:tcW w:w="3603" w:type="dxa"/>
            <w:vMerge w:val="restart"/>
            <w:tcBorders>
              <w:top w:val="single" w:sz="12" w:space="0" w:color="auto"/>
            </w:tcBorders>
            <w:shd w:val="clear" w:color="000000" w:fill="auto"/>
          </w:tcPr>
          <w:p w:rsidR="00E5019F" w:rsidRPr="0071782F" w:rsidRDefault="003B48A4" w:rsidP="00E86031">
            <w:pPr>
              <w:keepNext/>
              <w:suppressAutoHyphens w:val="0"/>
              <w:spacing w:before="40" w:after="40" w:line="220" w:lineRule="exact"/>
              <w:rPr>
                <w:sz w:val="18"/>
                <w:lang w:val="fr-CH"/>
              </w:rPr>
            </w:pPr>
            <w:r w:rsidRPr="0071782F">
              <w:rPr>
                <w:sz w:val="18"/>
                <w:lang w:val="fr-CH"/>
              </w:rPr>
              <w:t>Nombre</w:t>
            </w:r>
            <w:r w:rsidR="00E5019F" w:rsidRPr="0071782F">
              <w:rPr>
                <w:sz w:val="18"/>
                <w:lang w:val="fr-CH"/>
              </w:rPr>
              <w:t xml:space="preserve"> </w:t>
            </w:r>
            <w:r w:rsidR="00637706" w:rsidRPr="0071782F">
              <w:rPr>
                <w:sz w:val="18"/>
                <w:lang w:val="fr-CH"/>
              </w:rPr>
              <w:t xml:space="preserve">de garderies privées </w:t>
            </w:r>
          </w:p>
        </w:tc>
        <w:tc>
          <w:tcPr>
            <w:tcW w:w="700" w:type="dxa"/>
            <w:tcBorders>
              <w:top w:val="single" w:sz="12" w:space="0" w:color="auto"/>
            </w:tcBorders>
            <w:shd w:val="clear" w:color="000000" w:fill="auto"/>
            <w:vAlign w:val="bottom"/>
          </w:tcPr>
          <w:p w:rsidR="00E5019F" w:rsidRPr="0071782F" w:rsidRDefault="00E5019F" w:rsidP="00E86031">
            <w:pPr>
              <w:keepNext/>
              <w:suppressAutoHyphens w:val="0"/>
              <w:spacing w:before="40" w:after="40" w:line="220" w:lineRule="exact"/>
              <w:rPr>
                <w:sz w:val="18"/>
                <w:lang w:val="fr-CH"/>
              </w:rPr>
            </w:pPr>
            <w:r w:rsidRPr="0071782F">
              <w:rPr>
                <w:sz w:val="18"/>
                <w:lang w:val="fr-CH"/>
              </w:rPr>
              <w:t>Urba</w:t>
            </w:r>
            <w:r w:rsidR="00637706" w:rsidRPr="0071782F">
              <w:rPr>
                <w:sz w:val="18"/>
                <w:lang w:val="fr-CH"/>
              </w:rPr>
              <w:t>i</w:t>
            </w:r>
            <w:r w:rsidRPr="0071782F">
              <w:rPr>
                <w:sz w:val="18"/>
                <w:lang w:val="fr-CH"/>
              </w:rPr>
              <w:t>n</w:t>
            </w:r>
            <w:r w:rsidR="00637706" w:rsidRPr="0071782F">
              <w:rPr>
                <w:sz w:val="18"/>
                <w:lang w:val="fr-CH"/>
              </w:rPr>
              <w:t>e</w:t>
            </w:r>
          </w:p>
        </w:tc>
        <w:tc>
          <w:tcPr>
            <w:tcW w:w="1200" w:type="dxa"/>
            <w:vMerge w:val="restart"/>
            <w:tcBorders>
              <w:top w:val="single" w:sz="12" w:space="0" w:color="auto"/>
            </w:tcBorders>
            <w:shd w:val="clear" w:color="000000" w:fill="auto"/>
            <w:vAlign w:val="bottom"/>
          </w:tcPr>
          <w:p w:rsidR="00E5019F" w:rsidRPr="0071782F" w:rsidRDefault="00637706" w:rsidP="00E024A3">
            <w:pPr>
              <w:keepNext/>
              <w:suppressAutoHyphens w:val="0"/>
              <w:spacing w:before="40" w:after="40" w:line="220" w:lineRule="exact"/>
              <w:ind w:left="113"/>
              <w:rPr>
                <w:sz w:val="18"/>
                <w:lang w:val="fr-CH"/>
              </w:rPr>
            </w:pPr>
            <w:r w:rsidRPr="0071782F">
              <w:rPr>
                <w:sz w:val="18"/>
                <w:lang w:val="fr-CH"/>
              </w:rPr>
              <w:t>Centre de s</w:t>
            </w:r>
            <w:r w:rsidR="00E5019F" w:rsidRPr="0071782F">
              <w:rPr>
                <w:sz w:val="18"/>
                <w:lang w:val="fr-CH"/>
              </w:rPr>
              <w:t>ervice</w:t>
            </w:r>
            <w:r w:rsidRPr="0071782F">
              <w:rPr>
                <w:sz w:val="18"/>
                <w:lang w:val="fr-CH"/>
              </w:rPr>
              <w:t>s</w:t>
            </w:r>
          </w:p>
        </w:tc>
        <w:tc>
          <w:tcPr>
            <w:tcW w:w="800" w:type="dxa"/>
            <w:tcBorders>
              <w:top w:val="single" w:sz="12" w:space="0" w:color="auto"/>
            </w:tcBorders>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4 866</w:t>
            </w:r>
          </w:p>
        </w:tc>
        <w:tc>
          <w:tcPr>
            <w:tcW w:w="804" w:type="dxa"/>
            <w:tcBorders>
              <w:top w:val="single" w:sz="12" w:space="0" w:color="auto"/>
            </w:tcBorders>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5 336</w:t>
            </w:r>
          </w:p>
        </w:tc>
      </w:tr>
      <w:tr w:rsidR="00E5019F" w:rsidRPr="0071782F">
        <w:tc>
          <w:tcPr>
            <w:tcW w:w="263" w:type="dxa"/>
            <w:vMerge/>
            <w:shd w:val="clear" w:color="000000" w:fill="auto"/>
          </w:tcPr>
          <w:p w:rsidR="00E5019F" w:rsidRPr="0071782F" w:rsidRDefault="00E5019F" w:rsidP="00E86031">
            <w:pPr>
              <w:keepNext/>
              <w:suppressAutoHyphens w:val="0"/>
              <w:spacing w:before="40" w:after="40" w:line="220" w:lineRule="exact"/>
              <w:rPr>
                <w:sz w:val="18"/>
                <w:lang w:val="fr-CH"/>
              </w:rPr>
            </w:pPr>
          </w:p>
        </w:tc>
        <w:tc>
          <w:tcPr>
            <w:tcW w:w="3603" w:type="dxa"/>
            <w:vMerge/>
            <w:shd w:val="clear" w:color="000000" w:fill="auto"/>
          </w:tcPr>
          <w:p w:rsidR="00E5019F" w:rsidRPr="0071782F" w:rsidRDefault="00E5019F" w:rsidP="00E86031">
            <w:pPr>
              <w:keepNext/>
              <w:suppressAutoHyphens w:val="0"/>
              <w:spacing w:before="40" w:after="40" w:line="220" w:lineRule="exact"/>
              <w:rPr>
                <w:sz w:val="18"/>
                <w:lang w:val="fr-CH"/>
              </w:rPr>
            </w:pPr>
          </w:p>
        </w:tc>
        <w:tc>
          <w:tcPr>
            <w:tcW w:w="700" w:type="dxa"/>
            <w:shd w:val="clear" w:color="000000" w:fill="auto"/>
            <w:vAlign w:val="bottom"/>
          </w:tcPr>
          <w:p w:rsidR="00E5019F" w:rsidRPr="0071782F" w:rsidRDefault="00E5019F" w:rsidP="00E86031">
            <w:pPr>
              <w:keepNext/>
              <w:suppressAutoHyphens w:val="0"/>
              <w:spacing w:before="40" w:after="40" w:line="220" w:lineRule="exact"/>
              <w:rPr>
                <w:sz w:val="18"/>
                <w:lang w:val="fr-CH"/>
              </w:rPr>
            </w:pPr>
            <w:r w:rsidRPr="0071782F">
              <w:rPr>
                <w:sz w:val="18"/>
                <w:lang w:val="fr-CH"/>
              </w:rPr>
              <w:t>Rural</w:t>
            </w:r>
            <w:r w:rsidR="00637706" w:rsidRPr="0071782F">
              <w:rPr>
                <w:sz w:val="18"/>
                <w:lang w:val="fr-CH"/>
              </w:rPr>
              <w:t>e</w:t>
            </w:r>
          </w:p>
        </w:tc>
        <w:tc>
          <w:tcPr>
            <w:tcW w:w="1200" w:type="dxa"/>
            <w:vMerge/>
            <w:shd w:val="clear" w:color="000000" w:fill="auto"/>
            <w:vAlign w:val="bottom"/>
          </w:tcPr>
          <w:p w:rsidR="00E5019F" w:rsidRPr="0071782F" w:rsidRDefault="00E5019F" w:rsidP="00E024A3">
            <w:pPr>
              <w:keepNext/>
              <w:suppressAutoHyphens w:val="0"/>
              <w:spacing w:before="40" w:after="40" w:line="220" w:lineRule="exact"/>
              <w:ind w:left="113"/>
              <w:rPr>
                <w:sz w:val="18"/>
                <w:lang w:val="fr-CH"/>
              </w:rPr>
            </w:pPr>
          </w:p>
        </w:tc>
        <w:tc>
          <w:tcPr>
            <w:tcW w:w="800" w:type="dxa"/>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4 017</w:t>
            </w:r>
          </w:p>
        </w:tc>
        <w:tc>
          <w:tcPr>
            <w:tcW w:w="804" w:type="dxa"/>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4 236</w:t>
            </w:r>
          </w:p>
        </w:tc>
      </w:tr>
      <w:tr w:rsidR="00E5019F" w:rsidRPr="0071782F">
        <w:tc>
          <w:tcPr>
            <w:tcW w:w="263" w:type="dxa"/>
            <w:vMerge w:val="restart"/>
            <w:shd w:val="clear" w:color="000000" w:fill="auto"/>
          </w:tcPr>
          <w:p w:rsidR="00E5019F" w:rsidRPr="0071782F" w:rsidRDefault="00E5019F" w:rsidP="00E86031">
            <w:pPr>
              <w:keepNext/>
              <w:suppressAutoHyphens w:val="0"/>
              <w:spacing w:before="40" w:after="40" w:line="220" w:lineRule="exact"/>
              <w:rPr>
                <w:sz w:val="18"/>
                <w:lang w:val="fr-CH"/>
              </w:rPr>
            </w:pPr>
            <w:r w:rsidRPr="0071782F">
              <w:rPr>
                <w:sz w:val="18"/>
                <w:lang w:val="fr-CH"/>
              </w:rPr>
              <w:t>2</w:t>
            </w:r>
          </w:p>
        </w:tc>
        <w:tc>
          <w:tcPr>
            <w:tcW w:w="3603" w:type="dxa"/>
            <w:vMerge w:val="restart"/>
            <w:shd w:val="clear" w:color="000000" w:fill="auto"/>
          </w:tcPr>
          <w:p w:rsidR="00E5019F" w:rsidRPr="0071782F" w:rsidRDefault="003B48A4" w:rsidP="00E86031">
            <w:pPr>
              <w:keepNext/>
              <w:suppressAutoHyphens w:val="0"/>
              <w:spacing w:before="40" w:after="40" w:line="220" w:lineRule="exact"/>
              <w:rPr>
                <w:sz w:val="18"/>
                <w:lang w:val="fr-CH"/>
              </w:rPr>
            </w:pPr>
            <w:r w:rsidRPr="0071782F">
              <w:rPr>
                <w:sz w:val="18"/>
                <w:lang w:val="fr-CH"/>
              </w:rPr>
              <w:t>Nombre</w:t>
            </w:r>
            <w:r w:rsidR="00E5019F" w:rsidRPr="0071782F">
              <w:rPr>
                <w:sz w:val="18"/>
                <w:lang w:val="fr-CH"/>
              </w:rPr>
              <w:t xml:space="preserve"> </w:t>
            </w:r>
            <w:r w:rsidR="00637706" w:rsidRPr="0071782F">
              <w:rPr>
                <w:sz w:val="18"/>
                <w:lang w:val="fr-CH"/>
              </w:rPr>
              <w:t>de garderies publiques</w:t>
            </w:r>
          </w:p>
        </w:tc>
        <w:tc>
          <w:tcPr>
            <w:tcW w:w="700" w:type="dxa"/>
            <w:shd w:val="clear" w:color="000000" w:fill="auto"/>
            <w:vAlign w:val="bottom"/>
          </w:tcPr>
          <w:p w:rsidR="00E5019F" w:rsidRPr="0071782F" w:rsidRDefault="00E5019F" w:rsidP="00E86031">
            <w:pPr>
              <w:keepNext/>
              <w:suppressAutoHyphens w:val="0"/>
              <w:spacing w:before="40" w:after="40" w:line="220" w:lineRule="exact"/>
              <w:rPr>
                <w:sz w:val="18"/>
                <w:lang w:val="fr-CH"/>
              </w:rPr>
            </w:pPr>
            <w:r w:rsidRPr="0071782F">
              <w:rPr>
                <w:sz w:val="18"/>
                <w:lang w:val="fr-CH"/>
              </w:rPr>
              <w:t>Urba</w:t>
            </w:r>
            <w:r w:rsidR="00637706" w:rsidRPr="0071782F">
              <w:rPr>
                <w:sz w:val="18"/>
                <w:lang w:val="fr-CH"/>
              </w:rPr>
              <w:t>i</w:t>
            </w:r>
            <w:r w:rsidRPr="0071782F">
              <w:rPr>
                <w:sz w:val="18"/>
                <w:lang w:val="fr-CH"/>
              </w:rPr>
              <w:t>n</w:t>
            </w:r>
            <w:r w:rsidR="00637706" w:rsidRPr="0071782F">
              <w:rPr>
                <w:sz w:val="18"/>
                <w:lang w:val="fr-CH"/>
              </w:rPr>
              <w:t>e</w:t>
            </w:r>
          </w:p>
        </w:tc>
        <w:tc>
          <w:tcPr>
            <w:tcW w:w="1200" w:type="dxa"/>
            <w:vMerge w:val="restart"/>
            <w:shd w:val="clear" w:color="000000" w:fill="auto"/>
            <w:vAlign w:val="bottom"/>
          </w:tcPr>
          <w:p w:rsidR="00E5019F" w:rsidRPr="0071782F" w:rsidRDefault="00637706" w:rsidP="00E024A3">
            <w:pPr>
              <w:keepNext/>
              <w:suppressAutoHyphens w:val="0"/>
              <w:spacing w:before="40" w:after="40" w:line="220" w:lineRule="exact"/>
              <w:ind w:left="113"/>
              <w:rPr>
                <w:sz w:val="18"/>
                <w:lang w:val="fr-CH"/>
              </w:rPr>
            </w:pPr>
            <w:r w:rsidRPr="0071782F">
              <w:rPr>
                <w:sz w:val="18"/>
                <w:lang w:val="fr-CH"/>
              </w:rPr>
              <w:t>Centre de services</w:t>
            </w:r>
          </w:p>
        </w:tc>
        <w:tc>
          <w:tcPr>
            <w:tcW w:w="800" w:type="dxa"/>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172</w:t>
            </w:r>
          </w:p>
        </w:tc>
        <w:tc>
          <w:tcPr>
            <w:tcW w:w="804" w:type="dxa"/>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170</w:t>
            </w:r>
          </w:p>
        </w:tc>
      </w:tr>
      <w:tr w:rsidR="00E5019F" w:rsidRPr="0071782F">
        <w:tc>
          <w:tcPr>
            <w:tcW w:w="263" w:type="dxa"/>
            <w:vMerge/>
            <w:shd w:val="clear" w:color="000000" w:fill="auto"/>
          </w:tcPr>
          <w:p w:rsidR="00E5019F" w:rsidRPr="0071782F" w:rsidRDefault="00E5019F" w:rsidP="00E86031">
            <w:pPr>
              <w:keepNext/>
              <w:suppressAutoHyphens w:val="0"/>
              <w:spacing w:before="40" w:after="40" w:line="220" w:lineRule="exact"/>
              <w:rPr>
                <w:sz w:val="18"/>
                <w:lang w:val="fr-CH"/>
              </w:rPr>
            </w:pPr>
          </w:p>
        </w:tc>
        <w:tc>
          <w:tcPr>
            <w:tcW w:w="3603" w:type="dxa"/>
            <w:vMerge/>
            <w:shd w:val="clear" w:color="000000" w:fill="auto"/>
            <w:vAlign w:val="bottom"/>
          </w:tcPr>
          <w:p w:rsidR="00E5019F" w:rsidRPr="0071782F" w:rsidRDefault="00E5019F" w:rsidP="00E86031">
            <w:pPr>
              <w:keepNext/>
              <w:suppressAutoHyphens w:val="0"/>
              <w:spacing w:before="40" w:after="40" w:line="220" w:lineRule="exact"/>
              <w:rPr>
                <w:sz w:val="18"/>
                <w:lang w:val="fr-CH"/>
              </w:rPr>
            </w:pPr>
          </w:p>
        </w:tc>
        <w:tc>
          <w:tcPr>
            <w:tcW w:w="700" w:type="dxa"/>
            <w:shd w:val="clear" w:color="000000" w:fill="auto"/>
            <w:vAlign w:val="bottom"/>
          </w:tcPr>
          <w:p w:rsidR="00E5019F" w:rsidRPr="0071782F" w:rsidRDefault="00E5019F" w:rsidP="00E86031">
            <w:pPr>
              <w:keepNext/>
              <w:suppressAutoHyphens w:val="0"/>
              <w:spacing w:before="40" w:after="40" w:line="220" w:lineRule="exact"/>
              <w:rPr>
                <w:sz w:val="18"/>
                <w:lang w:val="fr-CH"/>
              </w:rPr>
            </w:pPr>
            <w:r w:rsidRPr="0071782F">
              <w:rPr>
                <w:sz w:val="18"/>
                <w:lang w:val="fr-CH"/>
              </w:rPr>
              <w:t>Rural</w:t>
            </w:r>
            <w:r w:rsidR="00637706" w:rsidRPr="0071782F">
              <w:rPr>
                <w:sz w:val="18"/>
                <w:lang w:val="fr-CH"/>
              </w:rPr>
              <w:t>e</w:t>
            </w:r>
          </w:p>
        </w:tc>
        <w:tc>
          <w:tcPr>
            <w:tcW w:w="1200" w:type="dxa"/>
            <w:vMerge/>
            <w:shd w:val="clear" w:color="000000" w:fill="auto"/>
            <w:vAlign w:val="bottom"/>
          </w:tcPr>
          <w:p w:rsidR="00E5019F" w:rsidRPr="0071782F" w:rsidRDefault="00E5019F" w:rsidP="00E024A3">
            <w:pPr>
              <w:keepNext/>
              <w:suppressAutoHyphens w:val="0"/>
              <w:spacing w:before="40" w:after="40" w:line="220" w:lineRule="exact"/>
              <w:ind w:left="113"/>
              <w:rPr>
                <w:sz w:val="18"/>
                <w:lang w:val="fr-CH"/>
              </w:rPr>
            </w:pPr>
          </w:p>
        </w:tc>
        <w:tc>
          <w:tcPr>
            <w:tcW w:w="800" w:type="dxa"/>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956</w:t>
            </w:r>
          </w:p>
        </w:tc>
        <w:tc>
          <w:tcPr>
            <w:tcW w:w="804" w:type="dxa"/>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905</w:t>
            </w:r>
          </w:p>
        </w:tc>
      </w:tr>
      <w:tr w:rsidR="00E5019F" w:rsidRPr="0071782F">
        <w:tc>
          <w:tcPr>
            <w:tcW w:w="263" w:type="dxa"/>
            <w:shd w:val="clear" w:color="000000" w:fill="auto"/>
          </w:tcPr>
          <w:p w:rsidR="00E5019F" w:rsidRPr="0071782F" w:rsidRDefault="00E5019F" w:rsidP="00E86031">
            <w:pPr>
              <w:keepNext/>
              <w:suppressAutoHyphens w:val="0"/>
              <w:spacing w:before="40" w:after="40" w:line="220" w:lineRule="exact"/>
              <w:rPr>
                <w:sz w:val="18"/>
                <w:lang w:val="fr-CH"/>
              </w:rPr>
            </w:pPr>
            <w:r w:rsidRPr="0071782F">
              <w:rPr>
                <w:sz w:val="18"/>
                <w:lang w:val="fr-CH"/>
              </w:rPr>
              <w:t>3</w:t>
            </w:r>
          </w:p>
        </w:tc>
        <w:tc>
          <w:tcPr>
            <w:tcW w:w="4303" w:type="dxa"/>
            <w:gridSpan w:val="2"/>
            <w:shd w:val="clear" w:color="000000" w:fill="auto"/>
          </w:tcPr>
          <w:p w:rsidR="00E5019F" w:rsidRPr="0071782F" w:rsidRDefault="003B48A4" w:rsidP="00E86031">
            <w:pPr>
              <w:keepNext/>
              <w:suppressAutoHyphens w:val="0"/>
              <w:spacing w:before="40" w:after="40" w:line="220" w:lineRule="exact"/>
              <w:rPr>
                <w:sz w:val="18"/>
                <w:lang w:val="fr-CH"/>
              </w:rPr>
            </w:pPr>
            <w:r w:rsidRPr="0071782F">
              <w:rPr>
                <w:sz w:val="18"/>
                <w:lang w:val="fr-CH"/>
              </w:rPr>
              <w:t>Nombre</w:t>
            </w:r>
            <w:r w:rsidR="00E5019F" w:rsidRPr="0071782F">
              <w:rPr>
                <w:sz w:val="18"/>
                <w:lang w:val="fr-CH"/>
              </w:rPr>
              <w:t xml:space="preserve"> </w:t>
            </w:r>
            <w:r w:rsidR="00637706" w:rsidRPr="0071782F">
              <w:rPr>
                <w:sz w:val="18"/>
                <w:lang w:val="fr-CH"/>
              </w:rPr>
              <w:t>de garderies autosuffisantes</w:t>
            </w:r>
          </w:p>
        </w:tc>
        <w:tc>
          <w:tcPr>
            <w:tcW w:w="1200" w:type="dxa"/>
            <w:shd w:val="clear" w:color="000000" w:fill="auto"/>
            <w:vAlign w:val="bottom"/>
          </w:tcPr>
          <w:p w:rsidR="00E5019F" w:rsidRPr="0071782F" w:rsidRDefault="00637706" w:rsidP="00E024A3">
            <w:pPr>
              <w:keepNext/>
              <w:suppressAutoHyphens w:val="0"/>
              <w:spacing w:before="40" w:after="40" w:line="220" w:lineRule="exact"/>
              <w:ind w:left="113"/>
              <w:rPr>
                <w:sz w:val="18"/>
                <w:lang w:val="fr-CH"/>
              </w:rPr>
            </w:pPr>
            <w:r w:rsidRPr="0071782F">
              <w:rPr>
                <w:sz w:val="18"/>
                <w:lang w:val="fr-CH"/>
              </w:rPr>
              <w:t>Centre de services</w:t>
            </w:r>
          </w:p>
        </w:tc>
        <w:tc>
          <w:tcPr>
            <w:tcW w:w="800" w:type="dxa"/>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397</w:t>
            </w:r>
          </w:p>
        </w:tc>
        <w:tc>
          <w:tcPr>
            <w:tcW w:w="804" w:type="dxa"/>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391</w:t>
            </w:r>
          </w:p>
        </w:tc>
      </w:tr>
      <w:tr w:rsidR="00E5019F" w:rsidRPr="0071782F">
        <w:tc>
          <w:tcPr>
            <w:tcW w:w="263" w:type="dxa"/>
            <w:vMerge w:val="restart"/>
            <w:shd w:val="clear" w:color="000000" w:fill="auto"/>
          </w:tcPr>
          <w:p w:rsidR="00E5019F" w:rsidRPr="0071782F" w:rsidRDefault="00E5019F" w:rsidP="00E86031">
            <w:pPr>
              <w:keepNext/>
              <w:suppressAutoHyphens w:val="0"/>
              <w:spacing w:before="40" w:after="40" w:line="220" w:lineRule="exact"/>
              <w:rPr>
                <w:sz w:val="18"/>
                <w:lang w:val="fr-CH"/>
              </w:rPr>
            </w:pPr>
            <w:r w:rsidRPr="0071782F">
              <w:rPr>
                <w:sz w:val="18"/>
                <w:lang w:val="fr-CH"/>
              </w:rPr>
              <w:t>4</w:t>
            </w:r>
          </w:p>
        </w:tc>
        <w:tc>
          <w:tcPr>
            <w:tcW w:w="3603" w:type="dxa"/>
            <w:vMerge w:val="restart"/>
            <w:shd w:val="clear" w:color="000000" w:fill="auto"/>
          </w:tcPr>
          <w:p w:rsidR="00E5019F" w:rsidRPr="0071782F" w:rsidRDefault="003B48A4" w:rsidP="00E86031">
            <w:pPr>
              <w:keepNext/>
              <w:suppressAutoHyphens w:val="0"/>
              <w:spacing w:before="40" w:after="40" w:line="220" w:lineRule="exact"/>
              <w:rPr>
                <w:sz w:val="18"/>
                <w:lang w:val="fr-CH"/>
              </w:rPr>
            </w:pPr>
            <w:r w:rsidRPr="0071782F">
              <w:rPr>
                <w:sz w:val="18"/>
                <w:lang w:val="fr-CH"/>
              </w:rPr>
              <w:t>Nombre</w:t>
            </w:r>
            <w:r w:rsidR="00E5019F" w:rsidRPr="0071782F">
              <w:rPr>
                <w:sz w:val="18"/>
                <w:lang w:val="fr-CH"/>
              </w:rPr>
              <w:t xml:space="preserve"> </w:t>
            </w:r>
            <w:r w:rsidR="00637706" w:rsidRPr="0071782F">
              <w:rPr>
                <w:sz w:val="18"/>
                <w:lang w:val="fr-CH"/>
              </w:rPr>
              <w:t xml:space="preserve">d’enfants fréquentant les garderies privées </w:t>
            </w:r>
          </w:p>
        </w:tc>
        <w:tc>
          <w:tcPr>
            <w:tcW w:w="700" w:type="dxa"/>
            <w:shd w:val="clear" w:color="000000" w:fill="auto"/>
            <w:vAlign w:val="bottom"/>
          </w:tcPr>
          <w:p w:rsidR="00E5019F" w:rsidRPr="0071782F" w:rsidRDefault="00E5019F" w:rsidP="00E86031">
            <w:pPr>
              <w:keepNext/>
              <w:suppressAutoHyphens w:val="0"/>
              <w:spacing w:before="40" w:after="40" w:line="220" w:lineRule="exact"/>
              <w:rPr>
                <w:sz w:val="18"/>
                <w:lang w:val="fr-CH"/>
              </w:rPr>
            </w:pPr>
            <w:r w:rsidRPr="0071782F">
              <w:rPr>
                <w:sz w:val="18"/>
                <w:lang w:val="fr-CH"/>
              </w:rPr>
              <w:t>Urba</w:t>
            </w:r>
            <w:r w:rsidR="00637706" w:rsidRPr="0071782F">
              <w:rPr>
                <w:sz w:val="18"/>
                <w:lang w:val="fr-CH"/>
              </w:rPr>
              <w:t>i</w:t>
            </w:r>
            <w:r w:rsidRPr="0071782F">
              <w:rPr>
                <w:sz w:val="18"/>
                <w:lang w:val="fr-CH"/>
              </w:rPr>
              <w:t>n</w:t>
            </w:r>
            <w:r w:rsidR="00637706" w:rsidRPr="0071782F">
              <w:rPr>
                <w:sz w:val="18"/>
                <w:lang w:val="fr-CH"/>
              </w:rPr>
              <w:t>e</w:t>
            </w:r>
          </w:p>
        </w:tc>
        <w:tc>
          <w:tcPr>
            <w:tcW w:w="1200" w:type="dxa"/>
            <w:vMerge w:val="restart"/>
            <w:shd w:val="clear" w:color="000000" w:fill="auto"/>
            <w:vAlign w:val="bottom"/>
          </w:tcPr>
          <w:p w:rsidR="00E5019F" w:rsidRPr="0071782F" w:rsidRDefault="00E5019F" w:rsidP="00E024A3">
            <w:pPr>
              <w:keepNext/>
              <w:suppressAutoHyphens w:val="0"/>
              <w:spacing w:before="40" w:after="40" w:line="220" w:lineRule="exact"/>
              <w:ind w:left="113"/>
              <w:rPr>
                <w:sz w:val="18"/>
                <w:lang w:val="fr-CH"/>
              </w:rPr>
            </w:pPr>
            <w:r w:rsidRPr="0071782F">
              <w:rPr>
                <w:sz w:val="18"/>
                <w:lang w:val="fr-CH"/>
              </w:rPr>
              <w:t>Person</w:t>
            </w:r>
            <w:r w:rsidR="00637706" w:rsidRPr="0071782F">
              <w:rPr>
                <w:sz w:val="18"/>
                <w:lang w:val="fr-CH"/>
              </w:rPr>
              <w:t>ne</w:t>
            </w:r>
          </w:p>
        </w:tc>
        <w:tc>
          <w:tcPr>
            <w:tcW w:w="800" w:type="dxa"/>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312 597</w:t>
            </w:r>
          </w:p>
        </w:tc>
        <w:tc>
          <w:tcPr>
            <w:tcW w:w="804" w:type="dxa"/>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261 574</w:t>
            </w:r>
          </w:p>
        </w:tc>
      </w:tr>
      <w:tr w:rsidR="00E5019F" w:rsidRPr="0071782F">
        <w:tc>
          <w:tcPr>
            <w:tcW w:w="263" w:type="dxa"/>
            <w:vMerge/>
            <w:shd w:val="clear" w:color="000000" w:fill="auto"/>
          </w:tcPr>
          <w:p w:rsidR="00E5019F" w:rsidRPr="0071782F" w:rsidRDefault="00E5019F" w:rsidP="00E86031">
            <w:pPr>
              <w:keepNext/>
              <w:suppressAutoHyphens w:val="0"/>
              <w:spacing w:before="40" w:after="40" w:line="220" w:lineRule="exact"/>
              <w:rPr>
                <w:sz w:val="18"/>
                <w:lang w:val="fr-CH"/>
              </w:rPr>
            </w:pPr>
          </w:p>
        </w:tc>
        <w:tc>
          <w:tcPr>
            <w:tcW w:w="3603" w:type="dxa"/>
            <w:vMerge/>
            <w:shd w:val="clear" w:color="000000" w:fill="auto"/>
          </w:tcPr>
          <w:p w:rsidR="00E5019F" w:rsidRPr="0071782F" w:rsidRDefault="00E5019F" w:rsidP="00E86031">
            <w:pPr>
              <w:keepNext/>
              <w:suppressAutoHyphens w:val="0"/>
              <w:spacing w:before="40" w:after="40" w:line="220" w:lineRule="exact"/>
              <w:rPr>
                <w:sz w:val="18"/>
                <w:lang w:val="fr-CH"/>
              </w:rPr>
            </w:pPr>
          </w:p>
        </w:tc>
        <w:tc>
          <w:tcPr>
            <w:tcW w:w="700" w:type="dxa"/>
            <w:shd w:val="clear" w:color="000000" w:fill="auto"/>
            <w:vAlign w:val="bottom"/>
          </w:tcPr>
          <w:p w:rsidR="00E5019F" w:rsidRPr="0071782F" w:rsidRDefault="00E5019F" w:rsidP="00E86031">
            <w:pPr>
              <w:keepNext/>
              <w:suppressAutoHyphens w:val="0"/>
              <w:spacing w:before="40" w:after="40" w:line="220" w:lineRule="exact"/>
              <w:rPr>
                <w:sz w:val="18"/>
                <w:lang w:val="fr-CH"/>
              </w:rPr>
            </w:pPr>
            <w:r w:rsidRPr="0071782F">
              <w:rPr>
                <w:sz w:val="18"/>
                <w:lang w:val="fr-CH"/>
              </w:rPr>
              <w:t>Rural</w:t>
            </w:r>
            <w:r w:rsidR="00637706" w:rsidRPr="0071782F">
              <w:rPr>
                <w:sz w:val="18"/>
                <w:lang w:val="fr-CH"/>
              </w:rPr>
              <w:t>e</w:t>
            </w:r>
          </w:p>
        </w:tc>
        <w:tc>
          <w:tcPr>
            <w:tcW w:w="1200" w:type="dxa"/>
            <w:vMerge/>
            <w:shd w:val="clear" w:color="000000" w:fill="auto"/>
            <w:vAlign w:val="bottom"/>
          </w:tcPr>
          <w:p w:rsidR="00E5019F" w:rsidRPr="0071782F" w:rsidRDefault="00E5019F" w:rsidP="00E024A3">
            <w:pPr>
              <w:keepNext/>
              <w:suppressAutoHyphens w:val="0"/>
              <w:spacing w:before="40" w:after="40" w:line="220" w:lineRule="exact"/>
              <w:ind w:left="113"/>
              <w:rPr>
                <w:sz w:val="18"/>
                <w:lang w:val="fr-CH"/>
              </w:rPr>
            </w:pPr>
          </w:p>
        </w:tc>
        <w:tc>
          <w:tcPr>
            <w:tcW w:w="800" w:type="dxa"/>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81 943</w:t>
            </w:r>
          </w:p>
        </w:tc>
        <w:tc>
          <w:tcPr>
            <w:tcW w:w="804" w:type="dxa"/>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102 017</w:t>
            </w:r>
          </w:p>
        </w:tc>
      </w:tr>
      <w:tr w:rsidR="00E5019F" w:rsidRPr="0071782F">
        <w:trPr>
          <w:trHeight w:val="315"/>
        </w:trPr>
        <w:tc>
          <w:tcPr>
            <w:tcW w:w="263" w:type="dxa"/>
            <w:vMerge w:val="restart"/>
            <w:shd w:val="clear" w:color="000000" w:fill="auto"/>
          </w:tcPr>
          <w:p w:rsidR="00E5019F" w:rsidRPr="0071782F" w:rsidRDefault="00E5019F" w:rsidP="00E86031">
            <w:pPr>
              <w:keepNext/>
              <w:suppressAutoHyphens w:val="0"/>
              <w:spacing w:before="40" w:after="40" w:line="220" w:lineRule="exact"/>
              <w:rPr>
                <w:sz w:val="18"/>
                <w:lang w:val="fr-CH"/>
              </w:rPr>
            </w:pPr>
            <w:r w:rsidRPr="0071782F">
              <w:rPr>
                <w:sz w:val="18"/>
                <w:lang w:val="fr-CH"/>
              </w:rPr>
              <w:t>5</w:t>
            </w:r>
          </w:p>
        </w:tc>
        <w:tc>
          <w:tcPr>
            <w:tcW w:w="3603" w:type="dxa"/>
            <w:vMerge w:val="restart"/>
            <w:shd w:val="clear" w:color="000000" w:fill="auto"/>
          </w:tcPr>
          <w:p w:rsidR="00E5019F" w:rsidRPr="0071782F" w:rsidRDefault="00637706" w:rsidP="00E86031">
            <w:pPr>
              <w:keepNext/>
              <w:suppressAutoHyphens w:val="0"/>
              <w:spacing w:before="40" w:after="40" w:line="220" w:lineRule="exact"/>
              <w:rPr>
                <w:sz w:val="18"/>
                <w:lang w:val="fr-CH"/>
              </w:rPr>
            </w:pPr>
            <w:r w:rsidRPr="0071782F">
              <w:rPr>
                <w:sz w:val="18"/>
                <w:lang w:val="fr-CH"/>
              </w:rPr>
              <w:t xml:space="preserve">Nombre d’enfants fréquentant les garderies </w:t>
            </w:r>
            <w:r w:rsidR="00E5019F" w:rsidRPr="0071782F">
              <w:rPr>
                <w:sz w:val="18"/>
                <w:lang w:val="fr-CH"/>
              </w:rPr>
              <w:t>publi</w:t>
            </w:r>
            <w:r w:rsidRPr="0071782F">
              <w:rPr>
                <w:sz w:val="18"/>
                <w:lang w:val="fr-CH"/>
              </w:rPr>
              <w:t xml:space="preserve">ques </w:t>
            </w:r>
          </w:p>
        </w:tc>
        <w:tc>
          <w:tcPr>
            <w:tcW w:w="700" w:type="dxa"/>
            <w:shd w:val="clear" w:color="000000" w:fill="auto"/>
            <w:vAlign w:val="bottom"/>
          </w:tcPr>
          <w:p w:rsidR="00E5019F" w:rsidRPr="0071782F" w:rsidRDefault="00E5019F" w:rsidP="00E86031">
            <w:pPr>
              <w:keepNext/>
              <w:suppressAutoHyphens w:val="0"/>
              <w:spacing w:before="40" w:after="40" w:line="220" w:lineRule="exact"/>
              <w:rPr>
                <w:sz w:val="18"/>
                <w:lang w:val="fr-CH"/>
              </w:rPr>
            </w:pPr>
            <w:r w:rsidRPr="0071782F">
              <w:rPr>
                <w:sz w:val="18"/>
                <w:lang w:val="fr-CH"/>
              </w:rPr>
              <w:t>Urba</w:t>
            </w:r>
            <w:r w:rsidR="00637706" w:rsidRPr="0071782F">
              <w:rPr>
                <w:sz w:val="18"/>
                <w:lang w:val="fr-CH"/>
              </w:rPr>
              <w:t>i</w:t>
            </w:r>
            <w:r w:rsidRPr="0071782F">
              <w:rPr>
                <w:sz w:val="18"/>
                <w:lang w:val="fr-CH"/>
              </w:rPr>
              <w:t>n</w:t>
            </w:r>
            <w:r w:rsidR="00637706" w:rsidRPr="0071782F">
              <w:rPr>
                <w:sz w:val="18"/>
                <w:lang w:val="fr-CH"/>
              </w:rPr>
              <w:t>e</w:t>
            </w:r>
          </w:p>
        </w:tc>
        <w:tc>
          <w:tcPr>
            <w:tcW w:w="1200" w:type="dxa"/>
            <w:vMerge w:val="restart"/>
            <w:shd w:val="clear" w:color="000000" w:fill="auto"/>
            <w:vAlign w:val="bottom"/>
          </w:tcPr>
          <w:p w:rsidR="00E5019F" w:rsidRPr="0071782F" w:rsidRDefault="00E5019F" w:rsidP="00E024A3">
            <w:pPr>
              <w:keepNext/>
              <w:suppressAutoHyphens w:val="0"/>
              <w:spacing w:before="40" w:after="40" w:line="220" w:lineRule="exact"/>
              <w:ind w:left="113"/>
              <w:rPr>
                <w:sz w:val="18"/>
                <w:lang w:val="fr-CH"/>
              </w:rPr>
            </w:pPr>
            <w:r w:rsidRPr="0071782F">
              <w:rPr>
                <w:sz w:val="18"/>
                <w:lang w:val="fr-CH"/>
              </w:rPr>
              <w:t>Person</w:t>
            </w:r>
            <w:r w:rsidR="00637706" w:rsidRPr="0071782F">
              <w:rPr>
                <w:sz w:val="18"/>
                <w:lang w:val="fr-CH"/>
              </w:rPr>
              <w:t>ne</w:t>
            </w:r>
          </w:p>
        </w:tc>
        <w:tc>
          <w:tcPr>
            <w:tcW w:w="800" w:type="dxa"/>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12 563</w:t>
            </w:r>
          </w:p>
        </w:tc>
        <w:tc>
          <w:tcPr>
            <w:tcW w:w="804" w:type="dxa"/>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8 562</w:t>
            </w:r>
          </w:p>
        </w:tc>
      </w:tr>
      <w:tr w:rsidR="00E5019F" w:rsidRPr="0071782F">
        <w:trPr>
          <w:trHeight w:val="210"/>
        </w:trPr>
        <w:tc>
          <w:tcPr>
            <w:tcW w:w="263" w:type="dxa"/>
            <w:vMerge/>
            <w:shd w:val="clear" w:color="000000" w:fill="auto"/>
          </w:tcPr>
          <w:p w:rsidR="00E5019F" w:rsidRPr="0071782F" w:rsidRDefault="00E5019F" w:rsidP="00E86031">
            <w:pPr>
              <w:keepNext/>
              <w:suppressAutoHyphens w:val="0"/>
              <w:spacing w:before="40" w:after="40" w:line="220" w:lineRule="exact"/>
              <w:rPr>
                <w:sz w:val="18"/>
                <w:lang w:val="fr-CH"/>
              </w:rPr>
            </w:pPr>
          </w:p>
        </w:tc>
        <w:tc>
          <w:tcPr>
            <w:tcW w:w="3603" w:type="dxa"/>
            <w:vMerge/>
            <w:shd w:val="clear" w:color="000000" w:fill="auto"/>
            <w:vAlign w:val="bottom"/>
          </w:tcPr>
          <w:p w:rsidR="00E5019F" w:rsidRPr="0071782F" w:rsidRDefault="00E5019F" w:rsidP="00E86031">
            <w:pPr>
              <w:keepNext/>
              <w:suppressAutoHyphens w:val="0"/>
              <w:spacing w:before="40" w:after="40" w:line="220" w:lineRule="exact"/>
              <w:rPr>
                <w:sz w:val="18"/>
                <w:lang w:val="fr-CH"/>
              </w:rPr>
            </w:pPr>
          </w:p>
        </w:tc>
        <w:tc>
          <w:tcPr>
            <w:tcW w:w="700" w:type="dxa"/>
            <w:shd w:val="clear" w:color="000000" w:fill="auto"/>
            <w:vAlign w:val="bottom"/>
          </w:tcPr>
          <w:p w:rsidR="00E5019F" w:rsidRPr="0071782F" w:rsidRDefault="00E5019F" w:rsidP="00E86031">
            <w:pPr>
              <w:keepNext/>
              <w:suppressAutoHyphens w:val="0"/>
              <w:spacing w:before="40" w:after="40" w:line="220" w:lineRule="exact"/>
              <w:rPr>
                <w:sz w:val="18"/>
                <w:lang w:val="fr-CH"/>
              </w:rPr>
            </w:pPr>
            <w:r w:rsidRPr="0071782F">
              <w:rPr>
                <w:sz w:val="18"/>
                <w:lang w:val="fr-CH"/>
              </w:rPr>
              <w:t>Rural</w:t>
            </w:r>
            <w:r w:rsidR="00637706" w:rsidRPr="0071782F">
              <w:rPr>
                <w:sz w:val="18"/>
                <w:lang w:val="fr-CH"/>
              </w:rPr>
              <w:t>e</w:t>
            </w:r>
          </w:p>
        </w:tc>
        <w:tc>
          <w:tcPr>
            <w:tcW w:w="1200" w:type="dxa"/>
            <w:vMerge/>
            <w:shd w:val="clear" w:color="000000" w:fill="auto"/>
            <w:vAlign w:val="bottom"/>
          </w:tcPr>
          <w:p w:rsidR="00E5019F" w:rsidRPr="0071782F" w:rsidRDefault="00E5019F" w:rsidP="00E024A3">
            <w:pPr>
              <w:keepNext/>
              <w:suppressAutoHyphens w:val="0"/>
              <w:spacing w:before="40" w:after="40" w:line="220" w:lineRule="exact"/>
              <w:ind w:left="113"/>
              <w:rPr>
                <w:sz w:val="18"/>
                <w:lang w:val="fr-CH"/>
              </w:rPr>
            </w:pPr>
          </w:p>
        </w:tc>
        <w:tc>
          <w:tcPr>
            <w:tcW w:w="800" w:type="dxa"/>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31 914</w:t>
            </w:r>
          </w:p>
        </w:tc>
        <w:tc>
          <w:tcPr>
            <w:tcW w:w="804" w:type="dxa"/>
            <w:shd w:val="clear" w:color="000000" w:fill="auto"/>
            <w:vAlign w:val="bottom"/>
          </w:tcPr>
          <w:p w:rsidR="00E5019F" w:rsidRPr="0071782F" w:rsidRDefault="00E5019F" w:rsidP="00E86031">
            <w:pPr>
              <w:keepNext/>
              <w:suppressAutoHyphens w:val="0"/>
              <w:spacing w:before="40" w:after="40" w:line="220" w:lineRule="exact"/>
              <w:jc w:val="right"/>
              <w:rPr>
                <w:sz w:val="18"/>
                <w:lang w:val="fr-CH"/>
              </w:rPr>
            </w:pPr>
            <w:r w:rsidRPr="0071782F">
              <w:rPr>
                <w:sz w:val="18"/>
                <w:lang w:val="fr-CH"/>
              </w:rPr>
              <w:t>27 148</w:t>
            </w:r>
          </w:p>
        </w:tc>
      </w:tr>
      <w:tr w:rsidR="00E5019F" w:rsidRPr="0071782F">
        <w:trPr>
          <w:trHeight w:val="460"/>
        </w:trPr>
        <w:tc>
          <w:tcPr>
            <w:tcW w:w="263" w:type="dxa"/>
            <w:shd w:val="clear" w:color="000000" w:fill="auto"/>
          </w:tcPr>
          <w:p w:rsidR="00E5019F" w:rsidRPr="0071782F" w:rsidRDefault="00E5019F" w:rsidP="00C36750">
            <w:pPr>
              <w:suppressAutoHyphens w:val="0"/>
              <w:spacing w:before="40" w:after="40" w:line="220" w:lineRule="exact"/>
              <w:rPr>
                <w:sz w:val="18"/>
                <w:lang w:val="fr-CH"/>
              </w:rPr>
            </w:pPr>
            <w:r w:rsidRPr="0071782F">
              <w:rPr>
                <w:sz w:val="18"/>
                <w:lang w:val="fr-CH"/>
              </w:rPr>
              <w:t>6</w:t>
            </w:r>
          </w:p>
        </w:tc>
        <w:tc>
          <w:tcPr>
            <w:tcW w:w="4303" w:type="dxa"/>
            <w:gridSpan w:val="2"/>
            <w:shd w:val="clear" w:color="000000" w:fill="auto"/>
          </w:tcPr>
          <w:p w:rsidR="00E5019F" w:rsidRPr="0071782F" w:rsidRDefault="00637706" w:rsidP="00C36750">
            <w:pPr>
              <w:suppressAutoHyphens w:val="0"/>
              <w:spacing w:before="40" w:after="40" w:line="220" w:lineRule="exact"/>
              <w:rPr>
                <w:sz w:val="18"/>
                <w:lang w:val="fr-CH"/>
              </w:rPr>
            </w:pPr>
            <w:r w:rsidRPr="0071782F">
              <w:rPr>
                <w:sz w:val="18"/>
                <w:lang w:val="fr-CH"/>
              </w:rPr>
              <w:t xml:space="preserve">Nombre d’enfants fréquentant les garderies autosuffisantes </w:t>
            </w:r>
          </w:p>
        </w:tc>
        <w:tc>
          <w:tcPr>
            <w:tcW w:w="1200" w:type="dxa"/>
            <w:shd w:val="clear" w:color="000000" w:fill="auto"/>
            <w:vAlign w:val="bottom"/>
          </w:tcPr>
          <w:p w:rsidR="00E5019F" w:rsidRPr="0071782F" w:rsidRDefault="00E5019F" w:rsidP="00E024A3">
            <w:pPr>
              <w:suppressAutoHyphens w:val="0"/>
              <w:spacing w:before="40" w:after="40" w:line="220" w:lineRule="exact"/>
              <w:ind w:left="113"/>
              <w:rPr>
                <w:sz w:val="18"/>
                <w:lang w:val="fr-CH"/>
              </w:rPr>
            </w:pPr>
            <w:r w:rsidRPr="0071782F">
              <w:rPr>
                <w:sz w:val="18"/>
                <w:lang w:val="fr-CH"/>
              </w:rPr>
              <w:t>Person</w:t>
            </w:r>
            <w:r w:rsidR="00637706" w:rsidRPr="0071782F">
              <w:rPr>
                <w:sz w:val="18"/>
                <w:lang w:val="fr-CH"/>
              </w:rPr>
              <w:t>ne</w:t>
            </w:r>
          </w:p>
        </w:tc>
        <w:tc>
          <w:tcPr>
            <w:tcW w:w="800" w:type="dxa"/>
            <w:shd w:val="clear" w:color="000000" w:fill="auto"/>
            <w:vAlign w:val="bottom"/>
          </w:tcPr>
          <w:p w:rsidR="00E5019F" w:rsidRPr="0071782F" w:rsidRDefault="00E5019F" w:rsidP="00C36750">
            <w:pPr>
              <w:suppressAutoHyphens w:val="0"/>
              <w:spacing w:before="40" w:after="40" w:line="220" w:lineRule="exact"/>
              <w:jc w:val="right"/>
              <w:rPr>
                <w:sz w:val="18"/>
                <w:lang w:val="fr-CH"/>
              </w:rPr>
            </w:pPr>
            <w:r w:rsidRPr="0071782F">
              <w:rPr>
                <w:sz w:val="18"/>
                <w:lang w:val="fr-CH"/>
              </w:rPr>
              <w:t>28 514</w:t>
            </w:r>
          </w:p>
        </w:tc>
        <w:tc>
          <w:tcPr>
            <w:tcW w:w="804" w:type="dxa"/>
            <w:shd w:val="clear" w:color="000000" w:fill="auto"/>
            <w:vAlign w:val="bottom"/>
          </w:tcPr>
          <w:p w:rsidR="00E5019F" w:rsidRPr="0071782F" w:rsidRDefault="00E5019F" w:rsidP="00C36750">
            <w:pPr>
              <w:suppressAutoHyphens w:val="0"/>
              <w:spacing w:before="40" w:after="40" w:line="220" w:lineRule="exact"/>
              <w:jc w:val="right"/>
              <w:rPr>
                <w:sz w:val="18"/>
                <w:lang w:val="fr-CH"/>
              </w:rPr>
            </w:pPr>
            <w:r w:rsidRPr="0071782F">
              <w:rPr>
                <w:sz w:val="18"/>
                <w:lang w:val="fr-CH"/>
              </w:rPr>
              <w:t>23 727</w:t>
            </w:r>
          </w:p>
        </w:tc>
      </w:tr>
    </w:tbl>
    <w:p w:rsidR="00E5019F" w:rsidRPr="0071782F" w:rsidRDefault="00E5019F" w:rsidP="00E5019F">
      <w:pPr>
        <w:pStyle w:val="H1G"/>
        <w:rPr>
          <w:lang w:val="fr-CH"/>
        </w:rPr>
      </w:pPr>
      <w:r w:rsidRPr="0071782F">
        <w:rPr>
          <w:lang w:val="fr-CH"/>
        </w:rPr>
        <w:tab/>
      </w:r>
      <w:r w:rsidRPr="0071782F">
        <w:rPr>
          <w:lang w:val="fr-CH"/>
        </w:rPr>
        <w:tab/>
        <w:t>Qu</w:t>
      </w:r>
      <w:r w:rsidR="00637706" w:rsidRPr="0071782F">
        <w:rPr>
          <w:lang w:val="fr-CH"/>
        </w:rPr>
        <w:t xml:space="preserve">estions parafamiliales </w:t>
      </w:r>
    </w:p>
    <w:p w:rsidR="00E5019F" w:rsidRPr="0071782F" w:rsidRDefault="00E5019F" w:rsidP="00E5019F">
      <w:pPr>
        <w:pStyle w:val="SingleTxtG"/>
        <w:rPr>
          <w:lang w:val="fr-CH"/>
        </w:rPr>
      </w:pPr>
      <w:r w:rsidRPr="0071782F">
        <w:rPr>
          <w:lang w:val="fr-CH"/>
        </w:rPr>
        <w:t>294.</w:t>
      </w:r>
      <w:r w:rsidRPr="0071782F">
        <w:rPr>
          <w:lang w:val="fr-CH"/>
        </w:rPr>
        <w:tab/>
      </w:r>
      <w:r w:rsidR="007A6F35" w:rsidRPr="0071782F">
        <w:rPr>
          <w:lang w:val="fr-CH"/>
        </w:rPr>
        <w:t xml:space="preserve">Le Bureau des affaires parafamiliales a été créé conformément à la législation et aux objectifs des </w:t>
      </w:r>
      <w:r w:rsidR="00723F2B" w:rsidRPr="0071782F">
        <w:rPr>
          <w:lang w:val="fr-CH"/>
        </w:rPr>
        <w:t>articles </w:t>
      </w:r>
      <w:r w:rsidRPr="0071782F">
        <w:rPr>
          <w:lang w:val="fr-CH"/>
        </w:rPr>
        <w:t xml:space="preserve">21 </w:t>
      </w:r>
      <w:r w:rsidR="007A6F35" w:rsidRPr="0071782F">
        <w:rPr>
          <w:lang w:val="fr-CH"/>
        </w:rPr>
        <w:t>et</w:t>
      </w:r>
      <w:r w:rsidRPr="0071782F">
        <w:rPr>
          <w:lang w:val="fr-CH"/>
        </w:rPr>
        <w:t xml:space="preserve"> 29 </w:t>
      </w:r>
      <w:r w:rsidR="007A6F35" w:rsidRPr="0071782F">
        <w:rPr>
          <w:lang w:val="fr-CH"/>
        </w:rPr>
        <w:t xml:space="preserve">de la </w:t>
      </w:r>
      <w:r w:rsidRPr="0071782F">
        <w:rPr>
          <w:lang w:val="fr-CH"/>
        </w:rPr>
        <w:t xml:space="preserve">Constitution </w:t>
      </w:r>
      <w:r w:rsidR="007A6F35" w:rsidRPr="0071782F">
        <w:rPr>
          <w:lang w:val="fr-CH"/>
        </w:rPr>
        <w:t>relatifs à l’</w:t>
      </w:r>
      <w:r w:rsidRPr="0071782F">
        <w:rPr>
          <w:lang w:val="fr-CH"/>
        </w:rPr>
        <w:t>int</w:t>
      </w:r>
      <w:r w:rsidR="007A6F35" w:rsidRPr="0071782F">
        <w:rPr>
          <w:lang w:val="fr-CH"/>
        </w:rPr>
        <w:t>é</w:t>
      </w:r>
      <w:r w:rsidRPr="0071782F">
        <w:rPr>
          <w:lang w:val="fr-CH"/>
        </w:rPr>
        <w:t xml:space="preserve">gration </w:t>
      </w:r>
      <w:r w:rsidR="007A6F35" w:rsidRPr="0071782F">
        <w:rPr>
          <w:lang w:val="fr-CH"/>
        </w:rPr>
        <w:t xml:space="preserve">des politiques de protection sociale pour promouvoir la justice </w:t>
      </w:r>
      <w:r w:rsidRPr="0071782F">
        <w:rPr>
          <w:lang w:val="fr-CH"/>
        </w:rPr>
        <w:t>social</w:t>
      </w:r>
      <w:r w:rsidR="007A6F35" w:rsidRPr="0071782F">
        <w:rPr>
          <w:lang w:val="fr-CH"/>
        </w:rPr>
        <w:t>e</w:t>
      </w:r>
      <w:r w:rsidRPr="0071782F">
        <w:rPr>
          <w:lang w:val="fr-CH"/>
        </w:rPr>
        <w:t xml:space="preserve"> </w:t>
      </w:r>
      <w:r w:rsidR="007A6F35" w:rsidRPr="0071782F">
        <w:rPr>
          <w:lang w:val="fr-CH"/>
        </w:rPr>
        <w:t xml:space="preserve">et protéger tous </w:t>
      </w:r>
      <w:r w:rsidR="00C36750" w:rsidRPr="0071782F">
        <w:rPr>
          <w:lang w:val="fr-CH"/>
        </w:rPr>
        <w:t>les habitants</w:t>
      </w:r>
      <w:r w:rsidR="007A6F35" w:rsidRPr="0071782F">
        <w:rPr>
          <w:lang w:val="fr-CH"/>
        </w:rPr>
        <w:t xml:space="preserve"> du pays contre les catastrophes </w:t>
      </w:r>
      <w:r w:rsidRPr="0071782F">
        <w:rPr>
          <w:lang w:val="fr-CH"/>
        </w:rPr>
        <w:t>social</w:t>
      </w:r>
      <w:r w:rsidR="007A6F35" w:rsidRPr="0071782F">
        <w:rPr>
          <w:lang w:val="fr-CH"/>
        </w:rPr>
        <w:t>es</w:t>
      </w:r>
      <w:r w:rsidRPr="0071782F">
        <w:rPr>
          <w:lang w:val="fr-CH"/>
        </w:rPr>
        <w:t xml:space="preserve">, </w:t>
      </w:r>
      <w:r w:rsidR="007A6F35" w:rsidRPr="0071782F">
        <w:rPr>
          <w:lang w:val="fr-CH"/>
        </w:rPr>
        <w:t>é</w:t>
      </w:r>
      <w:r w:rsidRPr="0071782F">
        <w:rPr>
          <w:lang w:val="fr-CH"/>
        </w:rPr>
        <w:t>conomi</w:t>
      </w:r>
      <w:r w:rsidR="007A6F35" w:rsidRPr="0071782F">
        <w:rPr>
          <w:lang w:val="fr-CH"/>
        </w:rPr>
        <w:t>ques et nature</w:t>
      </w:r>
      <w:r w:rsidRPr="0071782F">
        <w:rPr>
          <w:lang w:val="fr-CH"/>
        </w:rPr>
        <w:t>l</w:t>
      </w:r>
      <w:r w:rsidR="007A6F35" w:rsidRPr="0071782F">
        <w:rPr>
          <w:lang w:val="fr-CH"/>
        </w:rPr>
        <w:t xml:space="preserve">les. Ce Bureau a pour objectif de </w:t>
      </w:r>
      <w:r w:rsidRPr="0071782F">
        <w:rPr>
          <w:lang w:val="fr-CH"/>
        </w:rPr>
        <w:t>plan</w:t>
      </w:r>
      <w:r w:rsidR="007A6F35" w:rsidRPr="0071782F">
        <w:rPr>
          <w:lang w:val="fr-CH"/>
        </w:rPr>
        <w:t xml:space="preserve">ifier, </w:t>
      </w:r>
      <w:r w:rsidRPr="0071782F">
        <w:rPr>
          <w:lang w:val="fr-CH"/>
        </w:rPr>
        <w:t>formul</w:t>
      </w:r>
      <w:r w:rsidR="007A6F35" w:rsidRPr="0071782F">
        <w:rPr>
          <w:lang w:val="fr-CH"/>
        </w:rPr>
        <w:t>er, coordonner</w:t>
      </w:r>
      <w:r w:rsidRPr="0071782F">
        <w:rPr>
          <w:lang w:val="fr-CH"/>
        </w:rPr>
        <w:t xml:space="preserve">, </w:t>
      </w:r>
      <w:r w:rsidR="007A6F35" w:rsidRPr="0071782F">
        <w:rPr>
          <w:lang w:val="fr-CH"/>
        </w:rPr>
        <w:t>suivre et évaluer les normes et critères des services sociaux, et d’étendre la couverture des programmes de protection sociale, en particulier ceux qui visent à sauvegarder et à promouvoir les droits des enfants sans tuteur</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t xml:space="preserve">Mission </w:t>
      </w:r>
      <w:r w:rsidR="007A6F35" w:rsidRPr="0071782F">
        <w:rPr>
          <w:lang w:val="fr-CH"/>
        </w:rPr>
        <w:t>du Bureau des questions parafamiliales</w:t>
      </w:r>
      <w:r w:rsidRPr="0071782F">
        <w:rPr>
          <w:lang w:val="fr-CH"/>
        </w:rPr>
        <w:t xml:space="preserve"> </w:t>
      </w:r>
    </w:p>
    <w:p w:rsidR="00E5019F" w:rsidRPr="0071782F" w:rsidRDefault="00E5019F" w:rsidP="00E5019F">
      <w:pPr>
        <w:pStyle w:val="SingleTxtG"/>
        <w:rPr>
          <w:lang w:val="fr-CH"/>
        </w:rPr>
      </w:pPr>
      <w:r w:rsidRPr="0071782F">
        <w:rPr>
          <w:lang w:val="fr-CH"/>
        </w:rPr>
        <w:t>295.</w:t>
      </w:r>
      <w:r w:rsidRPr="0071782F">
        <w:rPr>
          <w:lang w:val="fr-CH"/>
        </w:rPr>
        <w:tab/>
      </w:r>
      <w:r w:rsidR="00594C9B" w:rsidRPr="0071782F">
        <w:rPr>
          <w:lang w:val="fr-CH"/>
        </w:rPr>
        <w:t>Ce Bureau a pour mission de prendre en charge, 24</w:t>
      </w:r>
      <w:r w:rsidR="00BF435F" w:rsidRPr="0071782F">
        <w:rPr>
          <w:lang w:val="fr-CH"/>
        </w:rPr>
        <w:t> heures</w:t>
      </w:r>
      <w:r w:rsidR="00594C9B" w:rsidRPr="0071782F">
        <w:rPr>
          <w:lang w:val="fr-CH"/>
        </w:rPr>
        <w:t xml:space="preserve"> sur 24 et sept jours sur sept, les enfants qui, pour une raison ou pour une autre, sont privés</w:t>
      </w:r>
      <w:r w:rsidR="00777486" w:rsidRPr="0071782F">
        <w:rPr>
          <w:lang w:val="fr-CH"/>
        </w:rPr>
        <w:t>,</w:t>
      </w:r>
      <w:r w:rsidR="00594C9B" w:rsidRPr="0071782F">
        <w:rPr>
          <w:lang w:val="fr-CH"/>
        </w:rPr>
        <w:t xml:space="preserve"> </w:t>
      </w:r>
      <w:r w:rsidR="00777486" w:rsidRPr="0071782F">
        <w:rPr>
          <w:lang w:val="fr-CH"/>
        </w:rPr>
        <w:t xml:space="preserve">de façon temporaire ou permanente, </w:t>
      </w:r>
      <w:r w:rsidR="00594C9B" w:rsidRPr="0071782F">
        <w:rPr>
          <w:lang w:val="fr-CH"/>
        </w:rPr>
        <w:t>de tuteur compétent et efficace.</w:t>
      </w:r>
    </w:p>
    <w:p w:rsidR="00E5019F" w:rsidRPr="0071782F" w:rsidRDefault="00E5019F" w:rsidP="00E5019F">
      <w:pPr>
        <w:pStyle w:val="H1G"/>
        <w:rPr>
          <w:lang w:val="fr-CH"/>
        </w:rPr>
      </w:pPr>
      <w:r w:rsidRPr="0071782F">
        <w:rPr>
          <w:lang w:val="fr-CH"/>
        </w:rPr>
        <w:tab/>
      </w:r>
      <w:r w:rsidRPr="0071782F">
        <w:rPr>
          <w:lang w:val="fr-CH"/>
        </w:rPr>
        <w:tab/>
      </w:r>
      <w:r w:rsidR="00594C9B" w:rsidRPr="0071782F">
        <w:rPr>
          <w:lang w:val="fr-CH"/>
        </w:rPr>
        <w:t xml:space="preserve">Communauté cible </w:t>
      </w:r>
    </w:p>
    <w:p w:rsidR="00E5019F" w:rsidRPr="0071782F" w:rsidRDefault="00E5019F" w:rsidP="00E5019F">
      <w:pPr>
        <w:pStyle w:val="SingleTxtG"/>
        <w:rPr>
          <w:lang w:val="fr-CH"/>
        </w:rPr>
      </w:pPr>
      <w:r w:rsidRPr="0071782F">
        <w:rPr>
          <w:lang w:val="fr-CH"/>
        </w:rPr>
        <w:t>296.</w:t>
      </w:r>
      <w:r w:rsidRPr="0071782F">
        <w:rPr>
          <w:lang w:val="fr-CH"/>
        </w:rPr>
        <w:tab/>
      </w:r>
      <w:r w:rsidR="00CE3119" w:rsidRPr="0071782F">
        <w:rPr>
          <w:lang w:val="fr-CH"/>
        </w:rPr>
        <w:t>Enfants privés de tuteur et orphelins, y compris les enfants abandonnés de parents inconnus; enfants dont la tutelle a été confiée à l’Organisme public de protection sociale en raison du décès d’un parent; enfants dont les parents ont été déclarés incompétents pour s’occuper d’eux par un tribunal;</w:t>
      </w:r>
      <w:r w:rsidRPr="0071782F">
        <w:rPr>
          <w:lang w:val="fr-CH"/>
        </w:rPr>
        <w:t xml:space="preserve"> </w:t>
      </w:r>
      <w:r w:rsidR="00CE3119" w:rsidRPr="0071782F">
        <w:rPr>
          <w:lang w:val="fr-CH"/>
        </w:rPr>
        <w:t xml:space="preserve">enfants dont la tutelle a été confiée à leur mère qui ne peut pas s’occuper d’eux parce qu’elle s’est remariée; et enfants dont les </w:t>
      </w:r>
      <w:r w:rsidRPr="0071782F">
        <w:rPr>
          <w:lang w:val="fr-CH"/>
        </w:rPr>
        <w:t>parents (</w:t>
      </w:r>
      <w:r w:rsidR="00CE3119" w:rsidRPr="0071782F">
        <w:rPr>
          <w:lang w:val="fr-CH"/>
        </w:rPr>
        <w:t xml:space="preserve">ou tuteurs </w:t>
      </w:r>
      <w:r w:rsidRPr="0071782F">
        <w:rPr>
          <w:lang w:val="fr-CH"/>
        </w:rPr>
        <w:t>l</w:t>
      </w:r>
      <w:r w:rsidR="00CE3119" w:rsidRPr="0071782F">
        <w:rPr>
          <w:lang w:val="fr-CH"/>
        </w:rPr>
        <w:t>égaux</w:t>
      </w:r>
      <w:r w:rsidRPr="0071782F">
        <w:rPr>
          <w:lang w:val="fr-CH"/>
        </w:rPr>
        <w:t xml:space="preserve">) </w:t>
      </w:r>
      <w:r w:rsidR="00CE3119" w:rsidRPr="0071782F">
        <w:rPr>
          <w:lang w:val="fr-CH"/>
        </w:rPr>
        <w:t xml:space="preserve">sont en </w:t>
      </w:r>
      <w:r w:rsidRPr="0071782F">
        <w:rPr>
          <w:lang w:val="fr-CH"/>
        </w:rPr>
        <w:t>prison.</w:t>
      </w:r>
    </w:p>
    <w:p w:rsidR="00E5019F" w:rsidRPr="0071782F" w:rsidRDefault="00E5019F" w:rsidP="00E5019F">
      <w:pPr>
        <w:pStyle w:val="H1G"/>
        <w:rPr>
          <w:lang w:val="fr-CH"/>
        </w:rPr>
      </w:pPr>
      <w:r w:rsidRPr="0071782F">
        <w:rPr>
          <w:lang w:val="fr-CH"/>
        </w:rPr>
        <w:tab/>
      </w:r>
      <w:r w:rsidRPr="0071782F">
        <w:rPr>
          <w:lang w:val="fr-CH"/>
        </w:rPr>
        <w:tab/>
        <w:t xml:space="preserve">Plans </w:t>
      </w:r>
      <w:r w:rsidR="00CE3119" w:rsidRPr="0071782F">
        <w:rPr>
          <w:lang w:val="fr-CH"/>
        </w:rPr>
        <w:t>du Bureau des questions parafamiliales</w:t>
      </w:r>
    </w:p>
    <w:p w:rsidR="00E5019F" w:rsidRPr="0071782F" w:rsidRDefault="00E5019F" w:rsidP="00E5019F">
      <w:pPr>
        <w:pStyle w:val="SingleTxtG"/>
        <w:rPr>
          <w:lang w:val="fr-CH"/>
        </w:rPr>
      </w:pPr>
      <w:r w:rsidRPr="0071782F">
        <w:rPr>
          <w:lang w:val="fr-CH"/>
        </w:rPr>
        <w:t>297.</w:t>
      </w:r>
      <w:r w:rsidRPr="0071782F">
        <w:rPr>
          <w:lang w:val="fr-CH"/>
        </w:rPr>
        <w:tab/>
      </w:r>
      <w:r w:rsidR="00CE3119" w:rsidRPr="0071782F">
        <w:rPr>
          <w:lang w:val="fr-CH"/>
        </w:rPr>
        <w:t>Il s’agit notamment des plans suivants</w:t>
      </w:r>
      <w:r w:rsidR="008F7D33" w:rsidRPr="0071782F">
        <w:rPr>
          <w:lang w:val="fr-CH"/>
        </w:rPr>
        <w:t>:</w:t>
      </w:r>
    </w:p>
    <w:p w:rsidR="00E5019F" w:rsidRPr="0071782F" w:rsidRDefault="00E5019F" w:rsidP="00E5019F">
      <w:pPr>
        <w:pStyle w:val="SingleTxtG"/>
        <w:ind w:left="1701"/>
        <w:rPr>
          <w:lang w:val="fr-CH"/>
        </w:rPr>
      </w:pPr>
      <w:r w:rsidRPr="0071782F">
        <w:rPr>
          <w:lang w:val="fr-CH"/>
        </w:rPr>
        <w:t>297.1.</w:t>
      </w:r>
      <w:r w:rsidRPr="0071782F">
        <w:rPr>
          <w:lang w:val="fr-CH"/>
        </w:rPr>
        <w:tab/>
      </w:r>
      <w:r w:rsidR="00477D04" w:rsidRPr="0071782F">
        <w:rPr>
          <w:lang w:val="fr-CH"/>
        </w:rPr>
        <w:t xml:space="preserve">Plan intégré d’appui et de prise en charge des enfants au sein </w:t>
      </w:r>
      <w:r w:rsidR="00712713" w:rsidRPr="0071782F">
        <w:rPr>
          <w:lang w:val="fr-CH"/>
        </w:rPr>
        <w:t>d’</w:t>
      </w:r>
      <w:r w:rsidR="001F3F05" w:rsidRPr="0071782F">
        <w:rPr>
          <w:lang w:val="fr-CH"/>
        </w:rPr>
        <w:t>une famille</w:t>
      </w:r>
      <w:r w:rsidRPr="0071782F">
        <w:rPr>
          <w:lang w:val="fr-CH"/>
        </w:rPr>
        <w:t>.</w:t>
      </w:r>
    </w:p>
    <w:p w:rsidR="00E5019F" w:rsidRPr="0071782F" w:rsidRDefault="00E5019F" w:rsidP="00E5019F">
      <w:pPr>
        <w:pStyle w:val="SingleTxtG"/>
        <w:ind w:left="1701"/>
        <w:rPr>
          <w:lang w:val="fr-CH"/>
        </w:rPr>
      </w:pPr>
      <w:r w:rsidRPr="0071782F">
        <w:rPr>
          <w:lang w:val="fr-CH"/>
        </w:rPr>
        <w:t>297.2.</w:t>
      </w:r>
      <w:r w:rsidRPr="0071782F">
        <w:rPr>
          <w:lang w:val="fr-CH"/>
        </w:rPr>
        <w:tab/>
      </w:r>
      <w:r w:rsidR="00477D04" w:rsidRPr="0071782F">
        <w:rPr>
          <w:lang w:val="fr-CH"/>
        </w:rPr>
        <w:t>P</w:t>
      </w:r>
      <w:r w:rsidRPr="0071782F">
        <w:rPr>
          <w:lang w:val="fr-CH"/>
        </w:rPr>
        <w:t xml:space="preserve">lan </w:t>
      </w:r>
      <w:r w:rsidR="00477D04" w:rsidRPr="0071782F">
        <w:rPr>
          <w:lang w:val="fr-CH"/>
        </w:rPr>
        <w:t xml:space="preserve">de fourniture d’un appui </w:t>
      </w:r>
      <w:r w:rsidRPr="0071782F">
        <w:rPr>
          <w:lang w:val="fr-CH"/>
        </w:rPr>
        <w:t xml:space="preserve">social </w:t>
      </w:r>
      <w:r w:rsidR="00477D04" w:rsidRPr="0071782F">
        <w:rPr>
          <w:lang w:val="fr-CH"/>
        </w:rPr>
        <w:t>aux enfants</w:t>
      </w:r>
      <w:r w:rsidRPr="0071782F">
        <w:rPr>
          <w:lang w:val="fr-CH"/>
        </w:rPr>
        <w:t>.</w:t>
      </w:r>
    </w:p>
    <w:p w:rsidR="00E5019F" w:rsidRPr="0071782F" w:rsidRDefault="00E5019F" w:rsidP="00E5019F">
      <w:pPr>
        <w:pStyle w:val="SingleTxtG"/>
        <w:ind w:left="1701"/>
        <w:rPr>
          <w:lang w:val="fr-CH"/>
        </w:rPr>
      </w:pPr>
      <w:r w:rsidRPr="0071782F">
        <w:rPr>
          <w:lang w:val="fr-CH"/>
        </w:rPr>
        <w:t>297.3.</w:t>
      </w:r>
      <w:r w:rsidRPr="0071782F">
        <w:rPr>
          <w:lang w:val="fr-CH"/>
        </w:rPr>
        <w:tab/>
      </w:r>
      <w:r w:rsidR="00477D04" w:rsidRPr="0071782F">
        <w:rPr>
          <w:lang w:val="fr-CH"/>
        </w:rPr>
        <w:t xml:space="preserve">Aides </w:t>
      </w:r>
      <w:r w:rsidR="00A234E8" w:rsidRPr="0071782F">
        <w:rPr>
          <w:lang w:val="fr-CH"/>
        </w:rPr>
        <w:t>aux familles</w:t>
      </w:r>
      <w:r w:rsidR="00477D04" w:rsidRPr="0071782F">
        <w:rPr>
          <w:lang w:val="fr-CH"/>
        </w:rPr>
        <w:t xml:space="preserve"> d’accueil pour l’entretien des enfants sans tuteur</w:t>
      </w:r>
      <w:r w:rsidRPr="0071782F">
        <w:rPr>
          <w:lang w:val="fr-CH"/>
        </w:rPr>
        <w:t>.</w:t>
      </w:r>
    </w:p>
    <w:p w:rsidR="00E5019F" w:rsidRPr="0071782F" w:rsidRDefault="00E5019F" w:rsidP="00E5019F">
      <w:pPr>
        <w:pStyle w:val="SingleTxtG"/>
        <w:ind w:left="1701"/>
        <w:rPr>
          <w:lang w:val="fr-CH"/>
        </w:rPr>
      </w:pPr>
      <w:r w:rsidRPr="0071782F">
        <w:rPr>
          <w:lang w:val="fr-CH"/>
        </w:rPr>
        <w:t>297.4.</w:t>
      </w:r>
      <w:r w:rsidRPr="0071782F">
        <w:rPr>
          <w:lang w:val="fr-CH"/>
        </w:rPr>
        <w:tab/>
        <w:t>A</w:t>
      </w:r>
      <w:r w:rsidR="00477D04" w:rsidRPr="0071782F">
        <w:rPr>
          <w:lang w:val="fr-CH"/>
        </w:rPr>
        <w:t>ides aux ONG pour l’entretien des enfants sans tuteur</w:t>
      </w:r>
      <w:r w:rsidRPr="0071782F">
        <w:rPr>
          <w:lang w:val="fr-CH"/>
        </w:rPr>
        <w:t>.</w:t>
      </w:r>
    </w:p>
    <w:p w:rsidR="00E5019F" w:rsidRPr="0071782F" w:rsidRDefault="00E5019F" w:rsidP="00E5019F">
      <w:pPr>
        <w:pStyle w:val="SingleTxtG"/>
        <w:ind w:left="1701"/>
        <w:rPr>
          <w:lang w:val="fr-CH"/>
        </w:rPr>
      </w:pPr>
      <w:r w:rsidRPr="0071782F">
        <w:rPr>
          <w:lang w:val="fr-CH"/>
        </w:rPr>
        <w:t>297.5.</w:t>
      </w:r>
      <w:r w:rsidRPr="0071782F">
        <w:rPr>
          <w:lang w:val="fr-CH"/>
        </w:rPr>
        <w:tab/>
        <w:t>A</w:t>
      </w:r>
      <w:r w:rsidR="00477D04" w:rsidRPr="0071782F">
        <w:rPr>
          <w:lang w:val="fr-CH"/>
        </w:rPr>
        <w:t>ides au développement d’institutions privées</w:t>
      </w:r>
      <w:r w:rsidR="00BA29F8" w:rsidRPr="0071782F">
        <w:rPr>
          <w:lang w:val="fr-CH"/>
        </w:rPr>
        <w:t xml:space="preserve"> et à l’augmentation de leur nombre </w:t>
      </w:r>
      <w:r w:rsidR="00477D04" w:rsidRPr="0071782F">
        <w:rPr>
          <w:lang w:val="fr-CH"/>
        </w:rPr>
        <w:t>dans les zones défavorisées.</w:t>
      </w:r>
    </w:p>
    <w:p w:rsidR="00E5019F" w:rsidRPr="0071782F" w:rsidRDefault="00E5019F" w:rsidP="00E5019F">
      <w:pPr>
        <w:pStyle w:val="SingleTxtG"/>
        <w:ind w:left="1701"/>
        <w:rPr>
          <w:lang w:val="fr-CH"/>
        </w:rPr>
      </w:pPr>
      <w:r w:rsidRPr="0071782F">
        <w:rPr>
          <w:lang w:val="fr-CH"/>
        </w:rPr>
        <w:t>297.6.</w:t>
      </w:r>
      <w:r w:rsidRPr="0071782F">
        <w:rPr>
          <w:lang w:val="fr-CH"/>
        </w:rPr>
        <w:tab/>
      </w:r>
      <w:r w:rsidR="00477D04" w:rsidRPr="0071782F">
        <w:rPr>
          <w:lang w:val="fr-CH"/>
        </w:rPr>
        <w:t xml:space="preserve">Création </w:t>
      </w:r>
      <w:r w:rsidR="003F25A2">
        <w:rPr>
          <w:lang w:val="fr-CH"/>
        </w:rPr>
        <w:t>de logements</w:t>
      </w:r>
      <w:r w:rsidR="00477D04" w:rsidRPr="0071782F">
        <w:rPr>
          <w:lang w:val="fr-CH"/>
        </w:rPr>
        <w:t xml:space="preserve"> pour préparer les enfants appelés à quitter les centres d’accueil</w:t>
      </w:r>
      <w:r w:rsidRPr="0071782F">
        <w:rPr>
          <w:lang w:val="fr-CH"/>
        </w:rPr>
        <w:t>.</w:t>
      </w:r>
    </w:p>
    <w:p w:rsidR="00E5019F" w:rsidRPr="0071782F" w:rsidRDefault="00E5019F" w:rsidP="00E5019F">
      <w:pPr>
        <w:pStyle w:val="SingleTxtG"/>
        <w:ind w:left="1701"/>
        <w:rPr>
          <w:lang w:val="fr-CH"/>
        </w:rPr>
      </w:pPr>
      <w:r w:rsidRPr="0071782F">
        <w:rPr>
          <w:lang w:val="fr-CH"/>
        </w:rPr>
        <w:t>297.7.</w:t>
      </w:r>
      <w:r w:rsidRPr="0071782F">
        <w:rPr>
          <w:lang w:val="fr-CH"/>
        </w:rPr>
        <w:tab/>
      </w:r>
      <w:r w:rsidR="00477D04" w:rsidRPr="0071782F">
        <w:rPr>
          <w:lang w:val="fr-CH"/>
        </w:rPr>
        <w:t xml:space="preserve">Fourniture d’un appui </w:t>
      </w:r>
      <w:r w:rsidRPr="0071782F">
        <w:rPr>
          <w:lang w:val="fr-CH"/>
        </w:rPr>
        <w:t xml:space="preserve">social </w:t>
      </w:r>
      <w:r w:rsidR="00477D04" w:rsidRPr="0071782F">
        <w:rPr>
          <w:lang w:val="fr-CH"/>
        </w:rPr>
        <w:t>aux enfants ayant quitté les centres d’accueil</w:t>
      </w:r>
      <w:r w:rsidRPr="0071782F">
        <w:rPr>
          <w:lang w:val="fr-CH"/>
        </w:rPr>
        <w:t>.</w:t>
      </w:r>
    </w:p>
    <w:p w:rsidR="00E5019F" w:rsidRPr="0071782F" w:rsidRDefault="00E5019F" w:rsidP="00E5019F">
      <w:pPr>
        <w:pStyle w:val="SingleTxtG"/>
        <w:ind w:left="1701"/>
        <w:rPr>
          <w:lang w:val="fr-CH"/>
        </w:rPr>
      </w:pPr>
      <w:r w:rsidRPr="0071782F">
        <w:rPr>
          <w:lang w:val="fr-CH"/>
        </w:rPr>
        <w:t>297.8.</w:t>
      </w:r>
      <w:r w:rsidRPr="0071782F">
        <w:rPr>
          <w:lang w:val="fr-CH"/>
        </w:rPr>
        <w:tab/>
      </w:r>
      <w:r w:rsidR="00477D04" w:rsidRPr="0071782F">
        <w:rPr>
          <w:lang w:val="fr-CH"/>
        </w:rPr>
        <w:t>Fourniture d’un appui social aux enfants pris en charge par l’Organisme public de protection sociale qui vont à l’école</w:t>
      </w:r>
      <w:r w:rsidRPr="0071782F">
        <w:rPr>
          <w:lang w:val="fr-CH"/>
        </w:rPr>
        <w:t>.</w:t>
      </w:r>
    </w:p>
    <w:p w:rsidR="00E5019F" w:rsidRPr="0071782F" w:rsidRDefault="00E5019F" w:rsidP="00E5019F">
      <w:pPr>
        <w:pStyle w:val="SingleTxtG"/>
        <w:ind w:left="1701"/>
        <w:rPr>
          <w:lang w:val="fr-CH"/>
        </w:rPr>
      </w:pPr>
      <w:r w:rsidRPr="0071782F">
        <w:rPr>
          <w:lang w:val="fr-CH"/>
        </w:rPr>
        <w:t>297.9.</w:t>
      </w:r>
      <w:r w:rsidRPr="0071782F">
        <w:rPr>
          <w:lang w:val="fr-CH"/>
        </w:rPr>
        <w:tab/>
      </w:r>
      <w:r w:rsidR="00477D04" w:rsidRPr="0071782F">
        <w:rPr>
          <w:lang w:val="fr-CH"/>
        </w:rPr>
        <w:t xml:space="preserve">Appui au développement des </w:t>
      </w:r>
      <w:r w:rsidRPr="0071782F">
        <w:rPr>
          <w:lang w:val="fr-CH"/>
        </w:rPr>
        <w:t xml:space="preserve">talents </w:t>
      </w:r>
      <w:r w:rsidR="00477D04" w:rsidRPr="0071782F">
        <w:rPr>
          <w:lang w:val="fr-CH"/>
        </w:rPr>
        <w:t>des enfants surdoués sans tuteur</w:t>
      </w:r>
      <w:r w:rsidRPr="0071782F">
        <w:rPr>
          <w:lang w:val="fr-CH"/>
        </w:rPr>
        <w:t>.</w:t>
      </w:r>
    </w:p>
    <w:p w:rsidR="00E5019F" w:rsidRPr="0071782F" w:rsidRDefault="00E5019F" w:rsidP="00E5019F">
      <w:pPr>
        <w:pStyle w:val="SingleTxtG"/>
        <w:ind w:left="1701"/>
        <w:rPr>
          <w:lang w:val="fr-CH"/>
        </w:rPr>
      </w:pPr>
      <w:r w:rsidRPr="0071782F">
        <w:rPr>
          <w:lang w:val="fr-CH"/>
        </w:rPr>
        <w:t xml:space="preserve">297.10. </w:t>
      </w:r>
      <w:r w:rsidR="00477D04" w:rsidRPr="0071782F">
        <w:rPr>
          <w:lang w:val="fr-CH"/>
        </w:rPr>
        <w:t xml:space="preserve">Fourniture de </w:t>
      </w:r>
      <w:r w:rsidRPr="0071782F">
        <w:rPr>
          <w:lang w:val="fr-CH"/>
        </w:rPr>
        <w:t xml:space="preserve">services </w:t>
      </w:r>
      <w:r w:rsidR="00477D04" w:rsidRPr="0071782F">
        <w:rPr>
          <w:lang w:val="fr-CH"/>
        </w:rPr>
        <w:t xml:space="preserve">éducatifs dans des établissements d’enseignement aux enfants et aux </w:t>
      </w:r>
      <w:r w:rsidR="00B13F4B" w:rsidRPr="0071782F">
        <w:rPr>
          <w:lang w:val="fr-CH"/>
        </w:rPr>
        <w:t>adolescents</w:t>
      </w:r>
      <w:r w:rsidR="00477D04" w:rsidRPr="0071782F">
        <w:rPr>
          <w:lang w:val="fr-CH"/>
        </w:rPr>
        <w:t xml:space="preserve"> ayant des problèmes affectifs et comportementaux</w:t>
      </w:r>
      <w:r w:rsidRPr="0071782F">
        <w:rPr>
          <w:lang w:val="fr-CH"/>
        </w:rPr>
        <w:t>.</w:t>
      </w:r>
    </w:p>
    <w:p w:rsidR="00E5019F" w:rsidRPr="0071782F" w:rsidRDefault="00E5019F" w:rsidP="00E5019F">
      <w:pPr>
        <w:pStyle w:val="SingleTxtG"/>
        <w:ind w:left="1701"/>
        <w:rPr>
          <w:lang w:val="fr-CH"/>
        </w:rPr>
      </w:pPr>
      <w:r w:rsidRPr="0071782F">
        <w:rPr>
          <w:lang w:val="fr-CH"/>
        </w:rPr>
        <w:t xml:space="preserve">297.11. </w:t>
      </w:r>
      <w:r w:rsidR="00477D04" w:rsidRPr="0071782F">
        <w:rPr>
          <w:lang w:val="fr-CH"/>
        </w:rPr>
        <w:t>Aide à la réadaptation des enfants qui ont quitté les centres d’accueil et qui vont se marier.</w:t>
      </w:r>
    </w:p>
    <w:p w:rsidR="00E5019F" w:rsidRPr="0071782F" w:rsidRDefault="00E5019F" w:rsidP="00E5019F">
      <w:pPr>
        <w:pStyle w:val="SingleTxtG"/>
        <w:ind w:left="1701"/>
        <w:rPr>
          <w:lang w:val="fr-CH"/>
        </w:rPr>
      </w:pPr>
      <w:r w:rsidRPr="0071782F">
        <w:rPr>
          <w:lang w:val="fr-CH"/>
        </w:rPr>
        <w:t xml:space="preserve">297.12. </w:t>
      </w:r>
      <w:r w:rsidR="00477D04" w:rsidRPr="0071782F">
        <w:rPr>
          <w:lang w:val="fr-CH"/>
        </w:rPr>
        <w:t xml:space="preserve">Amélioration de la sécurité d’emploi pour les employés du secteur privé. </w:t>
      </w:r>
    </w:p>
    <w:p w:rsidR="00E5019F" w:rsidRPr="0071782F" w:rsidRDefault="00E5019F" w:rsidP="00E5019F">
      <w:pPr>
        <w:pStyle w:val="SingleTxtG"/>
        <w:ind w:left="1701"/>
        <w:rPr>
          <w:lang w:val="fr-CH"/>
        </w:rPr>
      </w:pPr>
      <w:r w:rsidRPr="0071782F">
        <w:rPr>
          <w:lang w:val="fr-CH"/>
        </w:rPr>
        <w:t>297.13. A</w:t>
      </w:r>
      <w:r w:rsidR="00477D04" w:rsidRPr="0071782F">
        <w:rPr>
          <w:lang w:val="fr-CH"/>
        </w:rPr>
        <w:t xml:space="preserve">ide à la création de foyers privés pour les enfants et les </w:t>
      </w:r>
      <w:r w:rsidR="00B13F4B" w:rsidRPr="0071782F">
        <w:rPr>
          <w:lang w:val="fr-CH"/>
        </w:rPr>
        <w:t>adolescents</w:t>
      </w:r>
      <w:r w:rsidRPr="0071782F">
        <w:rPr>
          <w:lang w:val="fr-CH"/>
        </w:rPr>
        <w:t>.</w:t>
      </w:r>
    </w:p>
    <w:p w:rsidR="00E5019F" w:rsidRPr="0071782F" w:rsidRDefault="00E5019F" w:rsidP="00E5019F">
      <w:pPr>
        <w:pStyle w:val="SingleTxtG"/>
        <w:ind w:left="1701"/>
        <w:rPr>
          <w:lang w:val="fr-CH"/>
        </w:rPr>
      </w:pPr>
      <w:r w:rsidRPr="0071782F">
        <w:rPr>
          <w:lang w:val="fr-CH"/>
        </w:rPr>
        <w:t>297.14. Ex</w:t>
      </w:r>
      <w:r w:rsidR="00477D04" w:rsidRPr="0071782F">
        <w:rPr>
          <w:lang w:val="fr-CH"/>
        </w:rPr>
        <w:t>te</w:t>
      </w:r>
      <w:r w:rsidRPr="0071782F">
        <w:rPr>
          <w:lang w:val="fr-CH"/>
        </w:rPr>
        <w:t xml:space="preserve">nsion </w:t>
      </w:r>
      <w:r w:rsidR="00477D04" w:rsidRPr="0071782F">
        <w:rPr>
          <w:lang w:val="fr-CH"/>
        </w:rPr>
        <w:t>et</w:t>
      </w:r>
      <w:r w:rsidRPr="0071782F">
        <w:rPr>
          <w:lang w:val="fr-CH"/>
        </w:rPr>
        <w:t xml:space="preserve"> promotion </w:t>
      </w:r>
      <w:r w:rsidR="00477D04" w:rsidRPr="0071782F">
        <w:rPr>
          <w:lang w:val="fr-CH"/>
        </w:rPr>
        <w:t xml:space="preserve">des services </w:t>
      </w:r>
      <w:r w:rsidRPr="0071782F">
        <w:rPr>
          <w:lang w:val="fr-CH"/>
        </w:rPr>
        <w:t>socia</w:t>
      </w:r>
      <w:r w:rsidR="00477D04" w:rsidRPr="0071782F">
        <w:rPr>
          <w:lang w:val="fr-CH"/>
        </w:rPr>
        <w:t>ux fournis par des ONG aux enfants placés en</w:t>
      </w:r>
      <w:r w:rsidR="00C36750" w:rsidRPr="0071782F">
        <w:rPr>
          <w:lang w:val="fr-CH"/>
        </w:rPr>
        <w:t xml:space="preserve"> </w:t>
      </w:r>
      <w:r w:rsidR="007F37CE" w:rsidRPr="0071782F">
        <w:rPr>
          <w:lang w:val="fr-CH"/>
        </w:rPr>
        <w:t>famille</w:t>
      </w:r>
      <w:r w:rsidR="00477D04" w:rsidRPr="0071782F">
        <w:rPr>
          <w:lang w:val="fr-CH"/>
        </w:rPr>
        <w:t xml:space="preserve"> d’accueil</w:t>
      </w:r>
      <w:r w:rsidRPr="0071782F">
        <w:rPr>
          <w:lang w:val="fr-CH"/>
        </w:rPr>
        <w:t>.</w:t>
      </w:r>
    </w:p>
    <w:p w:rsidR="00E5019F" w:rsidRPr="0071782F" w:rsidRDefault="00E5019F" w:rsidP="00E5019F">
      <w:pPr>
        <w:pStyle w:val="SingleTxtG"/>
        <w:ind w:left="1701"/>
        <w:rPr>
          <w:lang w:val="fr-CH"/>
        </w:rPr>
      </w:pPr>
      <w:r w:rsidRPr="0071782F">
        <w:rPr>
          <w:lang w:val="fr-CH"/>
        </w:rPr>
        <w:t>297.15. O</w:t>
      </w:r>
      <w:r w:rsidR="00477D04" w:rsidRPr="0071782F">
        <w:rPr>
          <w:lang w:val="fr-CH"/>
        </w:rPr>
        <w:t>uverture de comptes bancaires futurs pour les enfants sans tuteur qui sont pris en charge par l’Organisme public de protection sociale</w:t>
      </w:r>
      <w:r w:rsidRPr="0071782F">
        <w:rPr>
          <w:lang w:val="fr-CH"/>
        </w:rPr>
        <w:t>.</w:t>
      </w:r>
    </w:p>
    <w:p w:rsidR="00E5019F" w:rsidRPr="0071782F" w:rsidRDefault="00E5019F" w:rsidP="00E5019F">
      <w:pPr>
        <w:pStyle w:val="SingleTxtG"/>
        <w:ind w:left="1701"/>
        <w:rPr>
          <w:lang w:val="fr-CH"/>
        </w:rPr>
      </w:pPr>
      <w:r w:rsidRPr="0071782F">
        <w:rPr>
          <w:lang w:val="fr-CH"/>
        </w:rPr>
        <w:t xml:space="preserve">297.16. </w:t>
      </w:r>
      <w:r w:rsidR="00477D04" w:rsidRPr="0071782F">
        <w:rPr>
          <w:lang w:val="fr-CH"/>
        </w:rPr>
        <w:t>Formation des directeurs et formateurs de foyer privé accueillant des enfants sans tuteur</w:t>
      </w:r>
      <w:r w:rsidRPr="0071782F">
        <w:rPr>
          <w:lang w:val="fr-CH"/>
        </w:rPr>
        <w:t>.</w:t>
      </w:r>
    </w:p>
    <w:p w:rsidR="00E5019F" w:rsidRPr="0071782F" w:rsidRDefault="00E5019F" w:rsidP="00E5019F">
      <w:pPr>
        <w:pStyle w:val="SingleTxtG"/>
        <w:ind w:left="1701"/>
        <w:rPr>
          <w:lang w:val="fr-CH"/>
        </w:rPr>
      </w:pPr>
      <w:r w:rsidRPr="0071782F">
        <w:rPr>
          <w:lang w:val="fr-CH"/>
        </w:rPr>
        <w:t xml:space="preserve">297.17. </w:t>
      </w:r>
      <w:r w:rsidR="00477D04" w:rsidRPr="0071782F">
        <w:rPr>
          <w:lang w:val="fr-CH"/>
        </w:rPr>
        <w:t xml:space="preserve">Formation </w:t>
      </w:r>
      <w:r w:rsidR="004E45FB" w:rsidRPr="0071782F">
        <w:rPr>
          <w:lang w:val="fr-CH"/>
        </w:rPr>
        <w:t>des familles</w:t>
      </w:r>
      <w:r w:rsidR="00477D04" w:rsidRPr="0071782F">
        <w:rPr>
          <w:lang w:val="fr-CH"/>
        </w:rPr>
        <w:t xml:space="preserve"> adoptives</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477D04" w:rsidRPr="0071782F">
        <w:rPr>
          <w:lang w:val="fr-CH"/>
        </w:rPr>
        <w:t>P</w:t>
      </w:r>
      <w:r w:rsidRPr="0071782F">
        <w:rPr>
          <w:lang w:val="fr-CH"/>
        </w:rPr>
        <w:t>rogram</w:t>
      </w:r>
      <w:r w:rsidR="00477D04" w:rsidRPr="0071782F">
        <w:rPr>
          <w:lang w:val="fr-CH"/>
        </w:rPr>
        <w:t>me parafamilial</w:t>
      </w:r>
    </w:p>
    <w:p w:rsidR="00E5019F" w:rsidRPr="0071782F" w:rsidRDefault="00E5019F" w:rsidP="00E5019F">
      <w:pPr>
        <w:pStyle w:val="SingleTxtG"/>
        <w:rPr>
          <w:lang w:val="fr-CH"/>
        </w:rPr>
      </w:pPr>
      <w:r w:rsidRPr="0071782F">
        <w:rPr>
          <w:lang w:val="fr-CH"/>
        </w:rPr>
        <w:t>298.</w:t>
      </w:r>
      <w:r w:rsidRPr="0071782F">
        <w:rPr>
          <w:lang w:val="fr-CH"/>
        </w:rPr>
        <w:tab/>
      </w:r>
      <w:r w:rsidR="00F964CE"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298.1.</w:t>
      </w:r>
      <w:r w:rsidRPr="0071782F">
        <w:rPr>
          <w:lang w:val="fr-CH"/>
        </w:rPr>
        <w:tab/>
      </w:r>
      <w:r w:rsidR="00846B8D" w:rsidRPr="0071782F">
        <w:rPr>
          <w:lang w:val="fr-CH"/>
        </w:rPr>
        <w:t>Ce Programme prévoit la possibilité de faire prendre en charge les enfants d’</w:t>
      </w:r>
      <w:r w:rsidR="001F3F05" w:rsidRPr="0071782F">
        <w:rPr>
          <w:lang w:val="fr-CH"/>
        </w:rPr>
        <w:t>une famille</w:t>
      </w:r>
      <w:r w:rsidR="00846B8D" w:rsidRPr="0071782F">
        <w:rPr>
          <w:lang w:val="fr-CH"/>
        </w:rPr>
        <w:t xml:space="preserve"> (trois enfants au maximum) par </w:t>
      </w:r>
      <w:r w:rsidR="004E45FB" w:rsidRPr="0071782F">
        <w:rPr>
          <w:lang w:val="fr-CH"/>
        </w:rPr>
        <w:t>des familles</w:t>
      </w:r>
      <w:r w:rsidR="00846B8D" w:rsidRPr="0071782F">
        <w:rPr>
          <w:lang w:val="fr-CH"/>
        </w:rPr>
        <w:t xml:space="preserve"> de parents volontaires (autres que celles auxquelles ils sont unis par le sang ou par mariage) compétentes et le contrôle de leurs conditions de vie par l’Organisme public de protection sociale</w:t>
      </w:r>
      <w:r w:rsidRPr="0071782F">
        <w:rPr>
          <w:lang w:val="fr-CH"/>
        </w:rPr>
        <w:t xml:space="preserve">. </w:t>
      </w:r>
      <w:r w:rsidR="00846B8D" w:rsidRPr="0071782F">
        <w:rPr>
          <w:lang w:val="fr-CH"/>
        </w:rPr>
        <w:t>Ce Programme est l’une des principales mesures d’appui aux enfants sans tuteur. Il se propose d’éviter à ces enfants un séjour prolongé dans les centres ouverts 24</w:t>
      </w:r>
      <w:r w:rsidR="00BF435F" w:rsidRPr="0071782F">
        <w:rPr>
          <w:lang w:val="fr-CH"/>
        </w:rPr>
        <w:t> heures</w:t>
      </w:r>
      <w:r w:rsidR="00846B8D" w:rsidRPr="0071782F">
        <w:rPr>
          <w:lang w:val="fr-CH"/>
        </w:rPr>
        <w:t xml:space="preserve"> sur 24</w:t>
      </w:r>
      <w:r w:rsidRPr="0071782F">
        <w:rPr>
          <w:lang w:val="fr-CH"/>
        </w:rPr>
        <w:t xml:space="preserve">, </w:t>
      </w:r>
      <w:r w:rsidR="00846B8D" w:rsidRPr="0071782F">
        <w:rPr>
          <w:lang w:val="fr-CH"/>
        </w:rPr>
        <w:t xml:space="preserve">de développer leur prise en charge au sein </w:t>
      </w:r>
      <w:r w:rsidR="004E45FB" w:rsidRPr="0071782F">
        <w:rPr>
          <w:lang w:val="fr-CH"/>
        </w:rPr>
        <w:t>des familles</w:t>
      </w:r>
      <w:r w:rsidRPr="0071782F">
        <w:rPr>
          <w:lang w:val="fr-CH"/>
        </w:rPr>
        <w:t xml:space="preserve">, </w:t>
      </w:r>
      <w:r w:rsidR="00846B8D" w:rsidRPr="0071782F">
        <w:rPr>
          <w:lang w:val="fr-CH"/>
        </w:rPr>
        <w:t xml:space="preserve">de poursuivre la </w:t>
      </w:r>
      <w:r w:rsidRPr="0071782F">
        <w:rPr>
          <w:lang w:val="fr-CH"/>
        </w:rPr>
        <w:t>d</w:t>
      </w:r>
      <w:r w:rsidR="00846B8D" w:rsidRPr="0071782F">
        <w:rPr>
          <w:lang w:val="fr-CH"/>
        </w:rPr>
        <w:t>ési</w:t>
      </w:r>
      <w:r w:rsidRPr="0071782F">
        <w:rPr>
          <w:lang w:val="fr-CH"/>
        </w:rPr>
        <w:t>nstitution</w:t>
      </w:r>
      <w:r w:rsidR="00846B8D" w:rsidRPr="0071782F">
        <w:rPr>
          <w:lang w:val="fr-CH"/>
        </w:rPr>
        <w:t>nalis</w:t>
      </w:r>
      <w:r w:rsidRPr="0071782F">
        <w:rPr>
          <w:lang w:val="fr-CH"/>
        </w:rPr>
        <w:t xml:space="preserve">ation </w:t>
      </w:r>
      <w:r w:rsidR="00846B8D" w:rsidRPr="0071782F">
        <w:rPr>
          <w:lang w:val="fr-CH"/>
        </w:rPr>
        <w:t>de la fourniture de services 24</w:t>
      </w:r>
      <w:r w:rsidR="00BF435F" w:rsidRPr="0071782F">
        <w:rPr>
          <w:lang w:val="fr-CH"/>
        </w:rPr>
        <w:t> heures</w:t>
      </w:r>
      <w:r w:rsidR="00846B8D" w:rsidRPr="0071782F">
        <w:rPr>
          <w:lang w:val="fr-CH"/>
        </w:rPr>
        <w:t xml:space="preserve"> sur 24 et de contrôler les conditions de vie des enfants au sein </w:t>
      </w:r>
      <w:r w:rsidR="0092511D" w:rsidRPr="0071782F">
        <w:rPr>
          <w:lang w:val="fr-CH"/>
        </w:rPr>
        <w:t>de famille</w:t>
      </w:r>
      <w:r w:rsidR="00846B8D" w:rsidRPr="0071782F">
        <w:rPr>
          <w:lang w:val="fr-CH"/>
        </w:rPr>
        <w:t xml:space="preserve">s compétentes. Il est à présent exécuté dans toutes les </w:t>
      </w:r>
      <w:r w:rsidRPr="0071782F">
        <w:rPr>
          <w:lang w:val="fr-CH"/>
        </w:rPr>
        <w:t xml:space="preserve">provinces </w:t>
      </w:r>
      <w:r w:rsidR="00846B8D" w:rsidRPr="0071782F">
        <w:rPr>
          <w:lang w:val="fr-CH"/>
        </w:rPr>
        <w:t>du pays</w:t>
      </w:r>
      <w:r w:rsidRPr="0071782F">
        <w:rPr>
          <w:lang w:val="fr-CH"/>
        </w:rPr>
        <w:t>.</w:t>
      </w:r>
    </w:p>
    <w:p w:rsidR="00E5019F" w:rsidRPr="0071782F" w:rsidRDefault="00E5019F" w:rsidP="00E5019F">
      <w:pPr>
        <w:pStyle w:val="SingleTxtG"/>
        <w:ind w:left="1701"/>
        <w:rPr>
          <w:spacing w:val="-2"/>
          <w:lang w:val="fr-CH"/>
        </w:rPr>
      </w:pPr>
      <w:r w:rsidRPr="0071782F">
        <w:rPr>
          <w:spacing w:val="-2"/>
          <w:lang w:val="fr-CH"/>
        </w:rPr>
        <w:t>298.2.</w:t>
      </w:r>
      <w:r w:rsidRPr="0071782F">
        <w:rPr>
          <w:spacing w:val="-2"/>
          <w:lang w:val="fr-CH"/>
        </w:rPr>
        <w:tab/>
      </w:r>
      <w:r w:rsidR="003D6850" w:rsidRPr="0071782F">
        <w:rPr>
          <w:spacing w:val="-2"/>
          <w:lang w:val="fr-CH"/>
        </w:rPr>
        <w:t>Le P</w:t>
      </w:r>
      <w:r w:rsidRPr="0071782F">
        <w:rPr>
          <w:spacing w:val="-2"/>
          <w:lang w:val="fr-CH"/>
        </w:rPr>
        <w:t xml:space="preserve">lan </w:t>
      </w:r>
      <w:r w:rsidR="003D6850" w:rsidRPr="0071782F">
        <w:rPr>
          <w:spacing w:val="-2"/>
          <w:lang w:val="fr-CH"/>
        </w:rPr>
        <w:t>d’appui aux enfants handicapés sans tuteur vise à é</w:t>
      </w:r>
      <w:r w:rsidRPr="0071782F">
        <w:rPr>
          <w:spacing w:val="-2"/>
          <w:lang w:val="fr-CH"/>
        </w:rPr>
        <w:t>limin</w:t>
      </w:r>
      <w:r w:rsidR="003D6850" w:rsidRPr="0071782F">
        <w:rPr>
          <w:spacing w:val="-2"/>
          <w:lang w:val="fr-CH"/>
        </w:rPr>
        <w:t xml:space="preserve">er la </w:t>
      </w:r>
      <w:r w:rsidRPr="0071782F">
        <w:rPr>
          <w:spacing w:val="-2"/>
          <w:lang w:val="fr-CH"/>
        </w:rPr>
        <w:t xml:space="preserve">discrimination </w:t>
      </w:r>
      <w:r w:rsidR="003D6850" w:rsidRPr="0071782F">
        <w:rPr>
          <w:spacing w:val="-2"/>
          <w:lang w:val="fr-CH"/>
        </w:rPr>
        <w:t>à l’égard de ces enfants</w:t>
      </w:r>
      <w:r w:rsidRPr="0071782F">
        <w:rPr>
          <w:spacing w:val="-2"/>
          <w:lang w:val="fr-CH"/>
        </w:rPr>
        <w:t xml:space="preserve">. </w:t>
      </w:r>
      <w:r w:rsidR="003D6850" w:rsidRPr="0071782F">
        <w:rPr>
          <w:spacing w:val="-2"/>
          <w:lang w:val="fr-CH"/>
        </w:rPr>
        <w:t xml:space="preserve">Il a pour objectif général de favoriser l’égalité des chances de ces enfants et de faciliter la </w:t>
      </w:r>
      <w:r w:rsidRPr="0071782F">
        <w:rPr>
          <w:spacing w:val="-2"/>
          <w:lang w:val="fr-CH"/>
        </w:rPr>
        <w:t>d</w:t>
      </w:r>
      <w:r w:rsidR="003D6850" w:rsidRPr="0071782F">
        <w:rPr>
          <w:spacing w:val="-2"/>
          <w:lang w:val="fr-CH"/>
        </w:rPr>
        <w:t>és</w:t>
      </w:r>
      <w:r w:rsidRPr="0071782F">
        <w:rPr>
          <w:spacing w:val="-2"/>
          <w:lang w:val="fr-CH"/>
        </w:rPr>
        <w:t>institutio</w:t>
      </w:r>
      <w:r w:rsidR="003D6850" w:rsidRPr="0071782F">
        <w:rPr>
          <w:spacing w:val="-2"/>
          <w:lang w:val="fr-CH"/>
        </w:rPr>
        <w:t>n</w:t>
      </w:r>
      <w:r w:rsidRPr="0071782F">
        <w:rPr>
          <w:spacing w:val="-2"/>
          <w:lang w:val="fr-CH"/>
        </w:rPr>
        <w:t>nali</w:t>
      </w:r>
      <w:r w:rsidR="003D6850" w:rsidRPr="0071782F">
        <w:rPr>
          <w:spacing w:val="-2"/>
          <w:lang w:val="fr-CH"/>
        </w:rPr>
        <w:t>sation de leur prise en charge et l’</w:t>
      </w:r>
      <w:r w:rsidRPr="0071782F">
        <w:rPr>
          <w:spacing w:val="-2"/>
          <w:lang w:val="fr-CH"/>
        </w:rPr>
        <w:t>int</w:t>
      </w:r>
      <w:r w:rsidR="003D6850" w:rsidRPr="0071782F">
        <w:rPr>
          <w:spacing w:val="-2"/>
          <w:lang w:val="fr-CH"/>
        </w:rPr>
        <w:t>é</w:t>
      </w:r>
      <w:r w:rsidRPr="0071782F">
        <w:rPr>
          <w:spacing w:val="-2"/>
          <w:lang w:val="fr-CH"/>
        </w:rPr>
        <w:t xml:space="preserve">gration </w:t>
      </w:r>
      <w:r w:rsidR="003D6850" w:rsidRPr="0071782F">
        <w:rPr>
          <w:spacing w:val="-2"/>
          <w:lang w:val="fr-CH"/>
        </w:rPr>
        <w:t xml:space="preserve">des </w:t>
      </w:r>
      <w:r w:rsidRPr="0071782F">
        <w:rPr>
          <w:spacing w:val="-2"/>
          <w:lang w:val="fr-CH"/>
        </w:rPr>
        <w:t xml:space="preserve">services </w:t>
      </w:r>
      <w:r w:rsidR="003D6850" w:rsidRPr="0071782F">
        <w:rPr>
          <w:spacing w:val="-2"/>
          <w:lang w:val="fr-CH"/>
        </w:rPr>
        <w:t>d’appui qui leur sont fournis</w:t>
      </w:r>
      <w:r w:rsidRPr="0071782F">
        <w:rPr>
          <w:spacing w:val="-2"/>
          <w:lang w:val="fr-CH"/>
        </w:rPr>
        <w:t xml:space="preserve">. </w:t>
      </w:r>
      <w:r w:rsidR="003D6850" w:rsidRPr="0071782F">
        <w:rPr>
          <w:spacing w:val="-2"/>
          <w:lang w:val="fr-CH"/>
        </w:rPr>
        <w:t>Selon les statistique</w:t>
      </w:r>
      <w:r w:rsidRPr="0071782F">
        <w:rPr>
          <w:spacing w:val="-2"/>
          <w:lang w:val="fr-CH"/>
        </w:rPr>
        <w:t>s</w:t>
      </w:r>
      <w:r w:rsidR="003D6850" w:rsidRPr="0071782F">
        <w:rPr>
          <w:spacing w:val="-2"/>
          <w:lang w:val="fr-CH"/>
        </w:rPr>
        <w:t xml:space="preserve"> disponibles</w:t>
      </w:r>
      <w:r w:rsidRPr="0071782F">
        <w:rPr>
          <w:spacing w:val="-2"/>
          <w:lang w:val="fr-CH"/>
        </w:rPr>
        <w:t xml:space="preserve">, </w:t>
      </w:r>
      <w:r w:rsidR="003D6850" w:rsidRPr="0071782F">
        <w:rPr>
          <w:spacing w:val="-2"/>
          <w:lang w:val="fr-CH"/>
        </w:rPr>
        <w:t>les centres ouverts 24</w:t>
      </w:r>
      <w:r w:rsidR="00BF435F" w:rsidRPr="0071782F">
        <w:rPr>
          <w:spacing w:val="-2"/>
          <w:lang w:val="fr-CH"/>
        </w:rPr>
        <w:t> heures</w:t>
      </w:r>
      <w:r w:rsidR="003D6850" w:rsidRPr="0071782F">
        <w:rPr>
          <w:spacing w:val="-2"/>
          <w:lang w:val="fr-CH"/>
        </w:rPr>
        <w:t xml:space="preserve"> sur 24 accueillent actuellement </w:t>
      </w:r>
      <w:r w:rsidRPr="0071782F">
        <w:rPr>
          <w:spacing w:val="-2"/>
          <w:lang w:val="fr-CH"/>
        </w:rPr>
        <w:t>533</w:t>
      </w:r>
      <w:r w:rsidR="00B350D6">
        <w:rPr>
          <w:spacing w:val="-2"/>
          <w:lang w:val="fr-CH"/>
        </w:rPr>
        <w:t> </w:t>
      </w:r>
      <w:r w:rsidR="003D6850" w:rsidRPr="0071782F">
        <w:rPr>
          <w:spacing w:val="-2"/>
          <w:lang w:val="fr-CH"/>
        </w:rPr>
        <w:t xml:space="preserve">enfants handicapés et d’autres enfants sans tuteur dans les </w:t>
      </w:r>
      <w:r w:rsidRPr="0071782F">
        <w:rPr>
          <w:spacing w:val="-2"/>
          <w:lang w:val="fr-CH"/>
        </w:rPr>
        <w:t>30</w:t>
      </w:r>
      <w:r w:rsidR="00B350D6">
        <w:rPr>
          <w:spacing w:val="-2"/>
          <w:lang w:val="fr-CH"/>
        </w:rPr>
        <w:t> </w:t>
      </w:r>
      <w:r w:rsidRPr="0071782F">
        <w:rPr>
          <w:spacing w:val="-2"/>
          <w:lang w:val="fr-CH"/>
        </w:rPr>
        <w:t xml:space="preserve">provinces </w:t>
      </w:r>
      <w:r w:rsidR="003D6850" w:rsidRPr="0071782F">
        <w:rPr>
          <w:spacing w:val="-2"/>
          <w:lang w:val="fr-CH"/>
        </w:rPr>
        <w:t>du pays en se conformant aux normes en vigueur sur la prestation de services de réadaptation</w:t>
      </w:r>
      <w:r w:rsidRPr="0071782F">
        <w:rPr>
          <w:spacing w:val="-2"/>
          <w:lang w:val="fr-CH"/>
        </w:rPr>
        <w:t>.</w:t>
      </w:r>
    </w:p>
    <w:p w:rsidR="00E5019F" w:rsidRPr="0071782F" w:rsidRDefault="00E5019F" w:rsidP="00E5019F">
      <w:pPr>
        <w:pStyle w:val="SingleTxtG"/>
        <w:ind w:left="1701"/>
        <w:rPr>
          <w:lang w:val="fr-CH"/>
        </w:rPr>
      </w:pPr>
      <w:r w:rsidRPr="0071782F">
        <w:rPr>
          <w:lang w:val="fr-CH"/>
        </w:rPr>
        <w:t>298.3.</w:t>
      </w:r>
      <w:r w:rsidRPr="0071782F">
        <w:rPr>
          <w:lang w:val="fr-CH"/>
        </w:rPr>
        <w:tab/>
      </w:r>
      <w:r w:rsidR="004804B7" w:rsidRPr="0071782F">
        <w:rPr>
          <w:lang w:val="fr-CH"/>
        </w:rPr>
        <w:t xml:space="preserve">Mise en </w:t>
      </w:r>
      <w:r w:rsidR="00D5366B" w:rsidRPr="0071782F">
        <w:rPr>
          <w:lang w:val="fr-CH"/>
        </w:rPr>
        <w:t>œuvre</w:t>
      </w:r>
      <w:r w:rsidR="004804B7" w:rsidRPr="0071782F">
        <w:rPr>
          <w:lang w:val="fr-CH"/>
        </w:rPr>
        <w:t xml:space="preserve"> dans les plans nationaux de méthodes ne reposant pas sur les camps, afin de différencier et de rationaliser les différents secteurs</w:t>
      </w:r>
      <w:r w:rsidRPr="0071782F">
        <w:rPr>
          <w:lang w:val="fr-CH"/>
        </w:rPr>
        <w:t>.</w:t>
      </w:r>
    </w:p>
    <w:p w:rsidR="00E5019F" w:rsidRPr="0071782F" w:rsidRDefault="00E5019F" w:rsidP="00E5019F">
      <w:pPr>
        <w:pStyle w:val="SingleTxtG"/>
        <w:ind w:left="1701"/>
        <w:rPr>
          <w:lang w:val="fr-CH"/>
        </w:rPr>
      </w:pPr>
      <w:r w:rsidRPr="0071782F">
        <w:rPr>
          <w:lang w:val="fr-CH"/>
        </w:rPr>
        <w:t>298.4.</w:t>
      </w:r>
      <w:r w:rsidRPr="0071782F">
        <w:rPr>
          <w:lang w:val="fr-CH"/>
        </w:rPr>
        <w:tab/>
      </w:r>
      <w:r w:rsidR="00FE0DEE" w:rsidRPr="0071782F">
        <w:rPr>
          <w:lang w:val="fr-CH"/>
        </w:rPr>
        <w:t>P</w:t>
      </w:r>
      <w:r w:rsidRPr="0071782F">
        <w:rPr>
          <w:lang w:val="fr-CH"/>
        </w:rPr>
        <w:t xml:space="preserve">lan </w:t>
      </w:r>
      <w:r w:rsidR="00FE0DEE" w:rsidRPr="0071782F">
        <w:rPr>
          <w:lang w:val="fr-CH"/>
        </w:rPr>
        <w:t xml:space="preserve">de </w:t>
      </w:r>
      <w:r w:rsidRPr="0071782F">
        <w:rPr>
          <w:lang w:val="fr-CH"/>
        </w:rPr>
        <w:t>r</w:t>
      </w:r>
      <w:r w:rsidR="00FE0DEE" w:rsidRPr="0071782F">
        <w:rPr>
          <w:lang w:val="fr-CH"/>
        </w:rPr>
        <w:t>é</w:t>
      </w:r>
      <w:r w:rsidRPr="0071782F">
        <w:rPr>
          <w:lang w:val="fr-CH"/>
        </w:rPr>
        <w:t xml:space="preserve">gulation </w:t>
      </w:r>
      <w:r w:rsidR="00FE0DEE" w:rsidRPr="0071782F">
        <w:rPr>
          <w:lang w:val="fr-CH"/>
        </w:rPr>
        <w:t>des affaires d’enfants de détenues.</w:t>
      </w:r>
      <w:r w:rsidRPr="0071782F">
        <w:rPr>
          <w:lang w:val="fr-CH"/>
        </w:rPr>
        <w:t xml:space="preserve"> </w:t>
      </w:r>
      <w:r w:rsidR="00FE0DEE" w:rsidRPr="0071782F">
        <w:rPr>
          <w:lang w:val="fr-CH"/>
        </w:rPr>
        <w:t xml:space="preserve">Selon les statistiques officielles, plus de </w:t>
      </w:r>
      <w:r w:rsidRPr="0071782F">
        <w:rPr>
          <w:lang w:val="fr-CH"/>
        </w:rPr>
        <w:t xml:space="preserve">600 </w:t>
      </w:r>
      <w:r w:rsidR="00FE0DEE" w:rsidRPr="0071782F">
        <w:rPr>
          <w:lang w:val="fr-CH"/>
        </w:rPr>
        <w:t>enfants vivent avec leur mère dans des établissements pénitentiaires</w:t>
      </w:r>
      <w:r w:rsidRPr="0071782F">
        <w:rPr>
          <w:lang w:val="fr-CH"/>
        </w:rPr>
        <w:t xml:space="preserve">. </w:t>
      </w:r>
      <w:r w:rsidR="00FE0DEE" w:rsidRPr="0071782F">
        <w:rPr>
          <w:lang w:val="fr-CH"/>
        </w:rPr>
        <w:t>Les filles sont plus nombreuses que les garçons et les enfants âgés de moins de deux</w:t>
      </w:r>
      <w:r w:rsidR="00D82C96" w:rsidRPr="0071782F">
        <w:rPr>
          <w:lang w:val="fr-CH"/>
        </w:rPr>
        <w:t> ans</w:t>
      </w:r>
      <w:r w:rsidR="00FE0DEE" w:rsidRPr="0071782F">
        <w:rPr>
          <w:lang w:val="fr-CH"/>
        </w:rPr>
        <w:t xml:space="preserve"> </w:t>
      </w:r>
      <w:r w:rsidR="00BD18AE" w:rsidRPr="0071782F">
        <w:rPr>
          <w:lang w:val="fr-CH"/>
        </w:rPr>
        <w:t>sont largement majoritaires</w:t>
      </w:r>
      <w:r w:rsidR="00FE0DEE" w:rsidRPr="0071782F">
        <w:rPr>
          <w:lang w:val="fr-CH"/>
        </w:rPr>
        <w:t>.</w:t>
      </w:r>
      <w:r w:rsidRPr="0071782F">
        <w:rPr>
          <w:lang w:val="fr-CH"/>
        </w:rPr>
        <w:t xml:space="preserve"> </w:t>
      </w:r>
      <w:r w:rsidR="00FE0DEE" w:rsidRPr="0071782F">
        <w:rPr>
          <w:lang w:val="fr-CH"/>
        </w:rPr>
        <w:t xml:space="preserve">Au vu de ces problèmes, il apparaît indispensable d’élaborer un programme pour aider ces enfants à quitter le milieu carcéral et organiser leur vie et leurs relations avec leur mère. Ce Plan se propose essentiellement d’élaborer des politiques d’exécution adéquates et des programmes échelonnés faciles à évaluer afin de promouvoir d’une manière intégrée les droits de ces enfants indépendamment de leur </w:t>
      </w:r>
      <w:r w:rsidRPr="0071782F">
        <w:rPr>
          <w:lang w:val="fr-CH"/>
        </w:rPr>
        <w:t xml:space="preserve">race, </w:t>
      </w:r>
      <w:r w:rsidR="00FE0DEE" w:rsidRPr="0071782F">
        <w:rPr>
          <w:lang w:val="fr-CH"/>
        </w:rPr>
        <w:t>de leur nationalité</w:t>
      </w:r>
      <w:r w:rsidRPr="0071782F">
        <w:rPr>
          <w:lang w:val="fr-CH"/>
        </w:rPr>
        <w:t xml:space="preserve">, </w:t>
      </w:r>
      <w:r w:rsidR="00FE0DEE" w:rsidRPr="0071782F">
        <w:rPr>
          <w:lang w:val="fr-CH"/>
        </w:rPr>
        <w:t>de leur appartenance ethnique, etc</w:t>
      </w:r>
      <w:r w:rsidRPr="0071782F">
        <w:rPr>
          <w:lang w:val="fr-CH"/>
        </w:rPr>
        <w:t>.</w:t>
      </w:r>
    </w:p>
    <w:p w:rsidR="00E5019F" w:rsidRPr="0071782F" w:rsidRDefault="00E5019F" w:rsidP="00E5019F">
      <w:pPr>
        <w:pStyle w:val="SingleTxtG"/>
        <w:ind w:left="1701"/>
        <w:rPr>
          <w:lang w:val="fr-CH"/>
        </w:rPr>
      </w:pPr>
      <w:r w:rsidRPr="0071782F">
        <w:rPr>
          <w:lang w:val="fr-CH"/>
        </w:rPr>
        <w:t>298.5.</w:t>
      </w:r>
      <w:r w:rsidRPr="0071782F">
        <w:rPr>
          <w:lang w:val="fr-CH"/>
        </w:rPr>
        <w:tab/>
      </w:r>
      <w:r w:rsidR="00BD18AE" w:rsidRPr="0071782F">
        <w:rPr>
          <w:lang w:val="fr-CH"/>
        </w:rPr>
        <w:t>P</w:t>
      </w:r>
      <w:r w:rsidRPr="0071782F">
        <w:rPr>
          <w:lang w:val="fr-CH"/>
        </w:rPr>
        <w:t xml:space="preserve">lan </w:t>
      </w:r>
      <w:r w:rsidR="00BD18AE" w:rsidRPr="0071782F">
        <w:rPr>
          <w:lang w:val="fr-CH"/>
        </w:rPr>
        <w:t xml:space="preserve">de </w:t>
      </w:r>
      <w:r w:rsidRPr="0071782F">
        <w:rPr>
          <w:lang w:val="fr-CH"/>
        </w:rPr>
        <w:t>r</w:t>
      </w:r>
      <w:r w:rsidR="00BD18AE" w:rsidRPr="0071782F">
        <w:rPr>
          <w:lang w:val="fr-CH"/>
        </w:rPr>
        <w:t>é</w:t>
      </w:r>
      <w:r w:rsidRPr="0071782F">
        <w:rPr>
          <w:lang w:val="fr-CH"/>
        </w:rPr>
        <w:t xml:space="preserve">gulation </w:t>
      </w:r>
      <w:r w:rsidR="00BD18AE" w:rsidRPr="0071782F">
        <w:rPr>
          <w:lang w:val="fr-CH"/>
        </w:rPr>
        <w:t>des affaires des enfants sans tuteur de réfugiés étrangers. L’</w:t>
      </w:r>
      <w:r w:rsidRPr="0071782F">
        <w:rPr>
          <w:lang w:val="fr-CH"/>
        </w:rPr>
        <w:t xml:space="preserve">Iran </w:t>
      </w:r>
      <w:r w:rsidR="00BD18AE" w:rsidRPr="0071782F">
        <w:rPr>
          <w:lang w:val="fr-CH"/>
        </w:rPr>
        <w:t>accueille un nombre considé</w:t>
      </w:r>
      <w:r w:rsidRPr="0071782F">
        <w:rPr>
          <w:lang w:val="fr-CH"/>
        </w:rPr>
        <w:t xml:space="preserve">rable </w:t>
      </w:r>
      <w:r w:rsidR="00BD18AE" w:rsidRPr="0071782F">
        <w:rPr>
          <w:lang w:val="fr-CH"/>
        </w:rPr>
        <w:t>d’enfants de réfugiés étrangers ainsi qu’un grand nombre d’enfants nés de femmes iraniennes qui sont en situation de risque car ils n’ont pas de tuteur compétent</w:t>
      </w:r>
      <w:r w:rsidRPr="0071782F">
        <w:rPr>
          <w:lang w:val="fr-CH"/>
        </w:rPr>
        <w:t xml:space="preserve">. </w:t>
      </w:r>
      <w:r w:rsidR="00BD18AE" w:rsidRPr="0071782F">
        <w:rPr>
          <w:lang w:val="fr-CH"/>
        </w:rPr>
        <w:t xml:space="preserve">Les </w:t>
      </w:r>
      <w:r w:rsidRPr="0071782F">
        <w:rPr>
          <w:lang w:val="fr-CH"/>
        </w:rPr>
        <w:t xml:space="preserve">arrangements </w:t>
      </w:r>
      <w:r w:rsidR="00BD18AE" w:rsidRPr="0071782F">
        <w:rPr>
          <w:lang w:val="fr-CH"/>
        </w:rPr>
        <w:t>préalables à l’</w:t>
      </w:r>
      <w:r w:rsidRPr="0071782F">
        <w:rPr>
          <w:lang w:val="fr-CH"/>
        </w:rPr>
        <w:t>ex</w:t>
      </w:r>
      <w:r w:rsidR="00BD18AE" w:rsidRPr="0071782F">
        <w:rPr>
          <w:lang w:val="fr-CH"/>
        </w:rPr>
        <w:t>é</w:t>
      </w:r>
      <w:r w:rsidRPr="0071782F">
        <w:rPr>
          <w:lang w:val="fr-CH"/>
        </w:rPr>
        <w:t xml:space="preserve">cution </w:t>
      </w:r>
      <w:r w:rsidR="00BD18AE" w:rsidRPr="0071782F">
        <w:rPr>
          <w:lang w:val="fr-CH"/>
        </w:rPr>
        <w:t xml:space="preserve">de ce plan ont été pris pendant les </w:t>
      </w:r>
      <w:r w:rsidRPr="0071782F">
        <w:rPr>
          <w:lang w:val="fr-CH"/>
        </w:rPr>
        <w:t>n</w:t>
      </w:r>
      <w:r w:rsidR="00BD18AE" w:rsidRPr="0071782F">
        <w:rPr>
          <w:lang w:val="fr-CH"/>
        </w:rPr>
        <w:t>égoc</w:t>
      </w:r>
      <w:r w:rsidRPr="0071782F">
        <w:rPr>
          <w:lang w:val="fr-CH"/>
        </w:rPr>
        <w:t xml:space="preserve">iations </w:t>
      </w:r>
      <w:r w:rsidR="00BD18AE" w:rsidRPr="0071782F">
        <w:rPr>
          <w:lang w:val="fr-CH"/>
        </w:rPr>
        <w:t>tenues en 1999 avec les responsables des affaires des ressortissants étrangers</w:t>
      </w:r>
      <w:r w:rsidRPr="0071782F">
        <w:rPr>
          <w:lang w:val="fr-CH"/>
        </w:rPr>
        <w:t>.</w:t>
      </w:r>
    </w:p>
    <w:p w:rsidR="00E5019F" w:rsidRPr="0071782F" w:rsidRDefault="00E5019F" w:rsidP="00E5019F">
      <w:pPr>
        <w:pStyle w:val="SingleTxtG"/>
        <w:ind w:left="1701"/>
        <w:rPr>
          <w:lang w:val="fr-CH"/>
        </w:rPr>
      </w:pPr>
      <w:r w:rsidRPr="0071782F">
        <w:rPr>
          <w:lang w:val="fr-CH"/>
        </w:rPr>
        <w:t>298.6.</w:t>
      </w:r>
      <w:r w:rsidRPr="0071782F">
        <w:rPr>
          <w:lang w:val="fr-CH"/>
        </w:rPr>
        <w:tab/>
      </w:r>
      <w:r w:rsidR="00BD18AE" w:rsidRPr="0071782F">
        <w:rPr>
          <w:lang w:val="fr-CH"/>
        </w:rPr>
        <w:t xml:space="preserve">Le Plan des tuteurs volontaires se propose de promouvoir la </w:t>
      </w:r>
      <w:r w:rsidRPr="0071782F">
        <w:rPr>
          <w:lang w:val="fr-CH"/>
        </w:rPr>
        <w:t xml:space="preserve">participation </w:t>
      </w:r>
      <w:r w:rsidR="00BD18AE" w:rsidRPr="0071782F">
        <w:rPr>
          <w:lang w:val="fr-CH"/>
        </w:rPr>
        <w:t xml:space="preserve">sociale sous </w:t>
      </w:r>
      <w:r w:rsidRPr="0071782F">
        <w:rPr>
          <w:lang w:val="fr-CH"/>
        </w:rPr>
        <w:t>diff</w:t>
      </w:r>
      <w:r w:rsidR="00BD18AE" w:rsidRPr="0071782F">
        <w:rPr>
          <w:lang w:val="fr-CH"/>
        </w:rPr>
        <w:t>é</w:t>
      </w:r>
      <w:r w:rsidRPr="0071782F">
        <w:rPr>
          <w:lang w:val="fr-CH"/>
        </w:rPr>
        <w:t>rent</w:t>
      </w:r>
      <w:r w:rsidR="00BD18AE" w:rsidRPr="0071782F">
        <w:rPr>
          <w:lang w:val="fr-CH"/>
        </w:rPr>
        <w:t>es</w:t>
      </w:r>
      <w:r w:rsidRPr="0071782F">
        <w:rPr>
          <w:lang w:val="fr-CH"/>
        </w:rPr>
        <w:t xml:space="preserve"> form</w:t>
      </w:r>
      <w:r w:rsidR="00BD18AE" w:rsidRPr="0071782F">
        <w:rPr>
          <w:lang w:val="fr-CH"/>
        </w:rPr>
        <w:t>e</w:t>
      </w:r>
      <w:r w:rsidRPr="0071782F">
        <w:rPr>
          <w:lang w:val="fr-CH"/>
        </w:rPr>
        <w:t xml:space="preserve">s </w:t>
      </w:r>
      <w:r w:rsidR="00BD18AE" w:rsidRPr="0071782F">
        <w:rPr>
          <w:lang w:val="fr-CH"/>
        </w:rPr>
        <w:t>(</w:t>
      </w:r>
      <w:r w:rsidRPr="0071782F">
        <w:rPr>
          <w:lang w:val="fr-CH"/>
        </w:rPr>
        <w:t>financi</w:t>
      </w:r>
      <w:r w:rsidR="00BD18AE" w:rsidRPr="0071782F">
        <w:rPr>
          <w:lang w:val="fr-CH"/>
        </w:rPr>
        <w:t>ère</w:t>
      </w:r>
      <w:r w:rsidRPr="0071782F">
        <w:rPr>
          <w:lang w:val="fr-CH"/>
        </w:rPr>
        <w:t>, social</w:t>
      </w:r>
      <w:r w:rsidR="00BD18AE" w:rsidRPr="0071782F">
        <w:rPr>
          <w:lang w:val="fr-CH"/>
        </w:rPr>
        <w:t>e</w:t>
      </w:r>
      <w:r w:rsidRPr="0071782F">
        <w:rPr>
          <w:lang w:val="fr-CH"/>
        </w:rPr>
        <w:t>, etc.</w:t>
      </w:r>
      <w:r w:rsidR="00BD18AE" w:rsidRPr="0071782F">
        <w:rPr>
          <w:lang w:val="fr-CH"/>
        </w:rPr>
        <w:t>)</w:t>
      </w:r>
      <w:r w:rsidRPr="0071782F">
        <w:rPr>
          <w:lang w:val="fr-CH"/>
        </w:rPr>
        <w:t xml:space="preserve"> </w:t>
      </w:r>
      <w:r w:rsidR="00BD18AE" w:rsidRPr="0071782F">
        <w:rPr>
          <w:lang w:val="fr-CH"/>
        </w:rPr>
        <w:t xml:space="preserve">en vue d’améliorer la qualité des services </w:t>
      </w:r>
      <w:r w:rsidR="00F964CE" w:rsidRPr="0071782F">
        <w:rPr>
          <w:lang w:val="fr-CH"/>
        </w:rPr>
        <w:t>assuré</w:t>
      </w:r>
      <w:r w:rsidR="00BD18AE" w:rsidRPr="0071782F">
        <w:rPr>
          <w:lang w:val="fr-CH"/>
        </w:rPr>
        <w:t>s par l’Organisme public de protection sociale par le biais de l’assistance fournie par des bienfaiteurs aux enfants qui sont pris en charge par les centres ouverts 24</w:t>
      </w:r>
      <w:r w:rsidR="00BF435F" w:rsidRPr="0071782F">
        <w:rPr>
          <w:lang w:val="fr-CH"/>
        </w:rPr>
        <w:t> heures</w:t>
      </w:r>
      <w:r w:rsidR="00BD18AE" w:rsidRPr="0071782F">
        <w:rPr>
          <w:lang w:val="fr-CH"/>
        </w:rPr>
        <w:t xml:space="preserve"> sur 24 ou vivent avec </w:t>
      </w:r>
      <w:r w:rsidR="001F3F05" w:rsidRPr="0071782F">
        <w:rPr>
          <w:lang w:val="fr-CH"/>
        </w:rPr>
        <w:t>leur famille</w:t>
      </w:r>
      <w:r w:rsidR="00BD18AE" w:rsidRPr="0071782F">
        <w:rPr>
          <w:lang w:val="fr-CH"/>
        </w:rPr>
        <w:t xml:space="preserve"> ou des parents</w:t>
      </w:r>
      <w:r w:rsidRPr="0071782F">
        <w:rPr>
          <w:lang w:val="fr-CH"/>
        </w:rPr>
        <w:t>.</w:t>
      </w:r>
    </w:p>
    <w:p w:rsidR="00E5019F" w:rsidRPr="0071782F" w:rsidRDefault="00E5019F" w:rsidP="00E5019F">
      <w:pPr>
        <w:pStyle w:val="SingleTxtG"/>
        <w:ind w:left="1701"/>
        <w:rPr>
          <w:lang w:val="fr-CH"/>
        </w:rPr>
      </w:pPr>
      <w:r w:rsidRPr="0071782F">
        <w:rPr>
          <w:lang w:val="fr-CH"/>
        </w:rPr>
        <w:t>298.7.</w:t>
      </w:r>
      <w:r w:rsidRPr="0071782F">
        <w:rPr>
          <w:lang w:val="fr-CH"/>
        </w:rPr>
        <w:tab/>
      </w:r>
      <w:r w:rsidR="00BD18AE" w:rsidRPr="0071782F">
        <w:rPr>
          <w:lang w:val="fr-CH"/>
        </w:rPr>
        <w:t>Plan d’</w:t>
      </w:r>
      <w:r w:rsidRPr="0071782F">
        <w:rPr>
          <w:lang w:val="fr-CH"/>
        </w:rPr>
        <w:t xml:space="preserve">introduction </w:t>
      </w:r>
      <w:r w:rsidR="00BD18AE" w:rsidRPr="0071782F">
        <w:rPr>
          <w:lang w:val="fr-CH"/>
        </w:rPr>
        <w:t>d’un service d’assistance téléphonique (ligne directe). Les enfants sans tuteur accueillis dans les centres ouverts 24</w:t>
      </w:r>
      <w:r w:rsidR="00BF435F" w:rsidRPr="0071782F">
        <w:rPr>
          <w:lang w:val="fr-CH"/>
        </w:rPr>
        <w:t> heures</w:t>
      </w:r>
      <w:r w:rsidR="00BD18AE" w:rsidRPr="0071782F">
        <w:rPr>
          <w:lang w:val="fr-CH"/>
        </w:rPr>
        <w:t xml:space="preserve"> sur 24 courent un risque plus grand en raison de leurs conditions de vie inadéquates et de la possibilité de maltraitance. Par maltraitance, il faut entendre toute </w:t>
      </w:r>
      <w:r w:rsidRPr="0071782F">
        <w:rPr>
          <w:lang w:val="fr-CH"/>
        </w:rPr>
        <w:t xml:space="preserve">violation </w:t>
      </w:r>
      <w:r w:rsidR="00BD18AE" w:rsidRPr="0071782F">
        <w:rPr>
          <w:lang w:val="fr-CH"/>
        </w:rPr>
        <w:t xml:space="preserve">des droits des enfants (mauvais traitements </w:t>
      </w:r>
      <w:r w:rsidRPr="0071782F">
        <w:rPr>
          <w:lang w:val="fr-CH"/>
        </w:rPr>
        <w:t>physi</w:t>
      </w:r>
      <w:r w:rsidR="00BD18AE" w:rsidRPr="0071782F">
        <w:rPr>
          <w:lang w:val="fr-CH"/>
        </w:rPr>
        <w:t>ques</w:t>
      </w:r>
      <w:r w:rsidRPr="0071782F">
        <w:rPr>
          <w:lang w:val="fr-CH"/>
        </w:rPr>
        <w:t xml:space="preserve">, </w:t>
      </w:r>
      <w:r w:rsidR="00BD18AE" w:rsidRPr="0071782F">
        <w:rPr>
          <w:lang w:val="fr-CH"/>
        </w:rPr>
        <w:t>psychologiques</w:t>
      </w:r>
      <w:r w:rsidRPr="0071782F">
        <w:rPr>
          <w:lang w:val="fr-CH"/>
        </w:rPr>
        <w:t xml:space="preserve">, </w:t>
      </w:r>
      <w:r w:rsidR="00BD18AE" w:rsidRPr="0071782F">
        <w:rPr>
          <w:lang w:val="fr-CH"/>
        </w:rPr>
        <w:t>é</w:t>
      </w:r>
      <w:r w:rsidRPr="0071782F">
        <w:rPr>
          <w:lang w:val="fr-CH"/>
        </w:rPr>
        <w:t>motion</w:t>
      </w:r>
      <w:r w:rsidR="00BD18AE" w:rsidRPr="0071782F">
        <w:rPr>
          <w:lang w:val="fr-CH"/>
        </w:rPr>
        <w:t>nels et sociaux) ou la méconnaissance de leurs besoins essentiels</w:t>
      </w:r>
      <w:r w:rsidRPr="0071782F">
        <w:rPr>
          <w:lang w:val="fr-CH"/>
        </w:rPr>
        <w:t xml:space="preserve">. </w:t>
      </w:r>
      <w:r w:rsidR="00BD18AE" w:rsidRPr="0071782F">
        <w:rPr>
          <w:lang w:val="fr-CH"/>
        </w:rPr>
        <w:t xml:space="preserve">Depuis la mise en place de ce service d’assistance téléphonique, on a enregistré plus de 500 appels téléphoniques passés par des enfants vivant dans des foyers pour enfants et </w:t>
      </w:r>
      <w:r w:rsidR="00B13F4B" w:rsidRPr="0071782F">
        <w:rPr>
          <w:lang w:val="fr-CH"/>
        </w:rPr>
        <w:t>adolescents</w:t>
      </w:r>
      <w:r w:rsidR="00BD18AE" w:rsidRPr="0071782F">
        <w:rPr>
          <w:lang w:val="fr-CH"/>
        </w:rPr>
        <w:t xml:space="preserve"> ou des enfants vivant dans </w:t>
      </w:r>
      <w:r w:rsidR="001F3F05" w:rsidRPr="0071782F">
        <w:rPr>
          <w:lang w:val="fr-CH"/>
        </w:rPr>
        <w:t>leur famille</w:t>
      </w:r>
      <w:r w:rsidR="00BD18AE" w:rsidRPr="0071782F">
        <w:rPr>
          <w:lang w:val="fr-CH"/>
        </w:rPr>
        <w:t>, ou par d’autres</w:t>
      </w:r>
      <w:r w:rsidR="006F3CE6">
        <w:rPr>
          <w:lang w:val="fr-CH"/>
        </w:rPr>
        <w:t xml:space="preserve"> </w:t>
      </w:r>
      <w:r w:rsidR="00097CDB" w:rsidRPr="0071782F">
        <w:rPr>
          <w:lang w:val="fr-CH"/>
        </w:rPr>
        <w:t>personnes</w:t>
      </w:r>
      <w:r w:rsidR="00BD18AE" w:rsidRPr="0071782F">
        <w:rPr>
          <w:lang w:val="fr-CH"/>
        </w:rPr>
        <w:t xml:space="preserve"> ayant eu affaire à un titre ou à un autre à des enfants. Ce plan est actuellement exécuté avec la coopé</w:t>
      </w:r>
      <w:r w:rsidRPr="0071782F">
        <w:rPr>
          <w:lang w:val="fr-CH"/>
        </w:rPr>
        <w:t xml:space="preserve">ration </w:t>
      </w:r>
      <w:r w:rsidR="00BD18AE" w:rsidRPr="0071782F">
        <w:rPr>
          <w:lang w:val="fr-CH"/>
        </w:rPr>
        <w:t>de l’</w:t>
      </w:r>
      <w:r w:rsidRPr="0071782F">
        <w:rPr>
          <w:lang w:val="fr-CH"/>
        </w:rPr>
        <w:t>UNICEF.</w:t>
      </w:r>
    </w:p>
    <w:p w:rsidR="00E5019F" w:rsidRPr="0071782F" w:rsidRDefault="00E5019F" w:rsidP="00E5019F">
      <w:pPr>
        <w:pStyle w:val="SingleTxtG"/>
        <w:ind w:left="1701"/>
        <w:rPr>
          <w:lang w:val="fr-CH"/>
        </w:rPr>
      </w:pPr>
      <w:r w:rsidRPr="0071782F">
        <w:rPr>
          <w:lang w:val="fr-CH"/>
        </w:rPr>
        <w:t>298.8.</w:t>
      </w:r>
      <w:r w:rsidRPr="0071782F">
        <w:rPr>
          <w:lang w:val="fr-CH"/>
        </w:rPr>
        <w:tab/>
      </w:r>
      <w:r w:rsidR="00BD18AE" w:rsidRPr="0071782F">
        <w:rPr>
          <w:lang w:val="fr-CH"/>
        </w:rPr>
        <w:t>Le Plan de création de centres d’entraide pour enfants ayant quitté un centre d’accueil vise à créer les conditions devant permettre à ces enfants de participer au règlement de leurs problèmes sociaux et économiques et de parvenir à l’autonomie sur les plans matériel et intellectuel</w:t>
      </w:r>
      <w:r w:rsidRPr="0071782F">
        <w:rPr>
          <w:lang w:val="fr-CH"/>
        </w:rPr>
        <w:t>.</w:t>
      </w:r>
    </w:p>
    <w:p w:rsidR="00E5019F" w:rsidRPr="0071782F" w:rsidRDefault="00E5019F" w:rsidP="00E5019F">
      <w:pPr>
        <w:pStyle w:val="SingleTxtG"/>
        <w:ind w:left="1701"/>
        <w:rPr>
          <w:lang w:val="fr-CH"/>
        </w:rPr>
      </w:pPr>
      <w:r w:rsidRPr="0071782F">
        <w:rPr>
          <w:lang w:val="fr-CH"/>
        </w:rPr>
        <w:t>298.9.</w:t>
      </w:r>
      <w:r w:rsidRPr="0071782F">
        <w:rPr>
          <w:lang w:val="fr-CH"/>
        </w:rPr>
        <w:tab/>
      </w:r>
      <w:r w:rsidR="00BD18AE" w:rsidRPr="0071782F">
        <w:rPr>
          <w:lang w:val="fr-CH"/>
        </w:rPr>
        <w:t xml:space="preserve">Plan d’ouverture d’un centre de services de conseil pour les enfants ayant quitté un centre d’accueil. Les </w:t>
      </w:r>
      <w:r w:rsidR="00B13F4B" w:rsidRPr="0071782F">
        <w:rPr>
          <w:lang w:val="fr-CH"/>
        </w:rPr>
        <w:t>adolescents</w:t>
      </w:r>
      <w:r w:rsidR="00BD18AE" w:rsidRPr="0071782F">
        <w:rPr>
          <w:lang w:val="fr-CH"/>
        </w:rPr>
        <w:t xml:space="preserve"> qui passent leur enfance dans un centre d’accueil sont davantage exposés aux difficultés et aux pressions de la vie quotidienne, ce qui peut mettre leur vie en danger et leur causer des problèmes d’ordre affectif et social</w:t>
      </w:r>
      <w:r w:rsidRPr="0071782F">
        <w:rPr>
          <w:lang w:val="fr-CH"/>
        </w:rPr>
        <w:t xml:space="preserve">. </w:t>
      </w:r>
      <w:r w:rsidR="00BD18AE" w:rsidRPr="0071782F">
        <w:rPr>
          <w:lang w:val="fr-CH"/>
        </w:rPr>
        <w:t xml:space="preserve">Au vu de ces problèmes et afin d’améliorer leur santé mentale et de leur éviter des préjudices tels que la toxicomanie, le </w:t>
      </w:r>
      <w:r w:rsidRPr="0071782F">
        <w:rPr>
          <w:lang w:val="fr-CH"/>
        </w:rPr>
        <w:t xml:space="preserve">suicide </w:t>
      </w:r>
      <w:r w:rsidR="00BD18AE" w:rsidRPr="0071782F">
        <w:rPr>
          <w:lang w:val="fr-CH"/>
        </w:rPr>
        <w:t>et la délinquance, il importe qu’ils acquièrent les aptitudes et compétences nécessaires pour régler leurs problèmes</w:t>
      </w:r>
      <w:r w:rsidRPr="0071782F">
        <w:rPr>
          <w:lang w:val="fr-CH"/>
        </w:rPr>
        <w:t>.</w:t>
      </w:r>
    </w:p>
    <w:p w:rsidR="00E5019F" w:rsidRPr="0071782F" w:rsidRDefault="00E5019F" w:rsidP="00E5019F">
      <w:pPr>
        <w:pStyle w:val="SingleTxtG"/>
        <w:ind w:left="1701"/>
        <w:rPr>
          <w:lang w:val="fr-CH"/>
        </w:rPr>
      </w:pPr>
      <w:r w:rsidRPr="0071782F">
        <w:rPr>
          <w:lang w:val="fr-CH"/>
        </w:rPr>
        <w:t xml:space="preserve">298.10. </w:t>
      </w:r>
      <w:r w:rsidR="00BD18AE" w:rsidRPr="0071782F">
        <w:rPr>
          <w:lang w:val="fr-CH"/>
        </w:rPr>
        <w:t xml:space="preserve">Le Plan de formation à la vie pratique se propose de faire acquérir aux </w:t>
      </w:r>
      <w:r w:rsidR="00B13F4B" w:rsidRPr="0071782F">
        <w:rPr>
          <w:lang w:val="fr-CH"/>
        </w:rPr>
        <w:t>adolescents</w:t>
      </w:r>
      <w:r w:rsidR="00BD18AE" w:rsidRPr="0071782F">
        <w:rPr>
          <w:lang w:val="fr-CH"/>
        </w:rPr>
        <w:t xml:space="preserve"> les aptitudes devant leur permettre de passer dans de bonnes conditions de l’adolescence à l’âge adulte</w:t>
      </w:r>
      <w:r w:rsidRPr="0071782F">
        <w:rPr>
          <w:lang w:val="fr-CH"/>
        </w:rPr>
        <w:t xml:space="preserve">. </w:t>
      </w:r>
      <w:r w:rsidR="00EA64A0" w:rsidRPr="0071782F">
        <w:rPr>
          <w:lang w:val="fr-CH"/>
        </w:rPr>
        <w:t xml:space="preserve">En participant aux programmes de formation de ce type, les enfants apprennent à faire face à leurs problèmes et à réaliser leurs souhaits et leurs buts. De fait, ces programmes créent un lien constructif entre les souhaits et les besoins des </w:t>
      </w:r>
      <w:r w:rsidR="00B13F4B" w:rsidRPr="0071782F">
        <w:rPr>
          <w:lang w:val="fr-CH"/>
        </w:rPr>
        <w:t>adolescents</w:t>
      </w:r>
      <w:r w:rsidR="00EA64A0" w:rsidRPr="0071782F">
        <w:rPr>
          <w:lang w:val="fr-CH"/>
        </w:rPr>
        <w:t xml:space="preserve">, comme par exemple leur éducation et la </w:t>
      </w:r>
      <w:r w:rsidRPr="0071782F">
        <w:rPr>
          <w:lang w:val="fr-CH"/>
        </w:rPr>
        <w:t xml:space="preserve">profession </w:t>
      </w:r>
      <w:r w:rsidR="00EA64A0" w:rsidRPr="0071782F">
        <w:rPr>
          <w:lang w:val="fr-CH"/>
        </w:rPr>
        <w:t>qu’ils choisiront d’exercer à l’avenir</w:t>
      </w:r>
      <w:r w:rsidRPr="0071782F">
        <w:rPr>
          <w:lang w:val="fr-CH"/>
        </w:rPr>
        <w:t>.</w:t>
      </w:r>
    </w:p>
    <w:p w:rsidR="00E5019F" w:rsidRPr="0071782F" w:rsidRDefault="00E5019F" w:rsidP="00E5019F">
      <w:pPr>
        <w:pStyle w:val="SingleTxtG"/>
        <w:ind w:left="1701"/>
        <w:rPr>
          <w:lang w:val="fr-CH"/>
        </w:rPr>
      </w:pPr>
      <w:r w:rsidRPr="0071782F">
        <w:rPr>
          <w:lang w:val="fr-CH"/>
        </w:rPr>
        <w:t xml:space="preserve">298.11. </w:t>
      </w:r>
      <w:r w:rsidR="00712713" w:rsidRPr="0071782F">
        <w:rPr>
          <w:lang w:val="fr-CH"/>
        </w:rPr>
        <w:t>P</w:t>
      </w:r>
      <w:r w:rsidRPr="0071782F">
        <w:rPr>
          <w:lang w:val="fr-CH"/>
        </w:rPr>
        <w:t xml:space="preserve">lan </w:t>
      </w:r>
      <w:r w:rsidR="00712713" w:rsidRPr="0071782F">
        <w:rPr>
          <w:lang w:val="fr-CH"/>
        </w:rPr>
        <w:t xml:space="preserve">de </w:t>
      </w:r>
      <w:r w:rsidRPr="0071782F">
        <w:rPr>
          <w:lang w:val="fr-CH"/>
        </w:rPr>
        <w:t>r</w:t>
      </w:r>
      <w:r w:rsidR="00712713" w:rsidRPr="0071782F">
        <w:rPr>
          <w:lang w:val="fr-CH"/>
        </w:rPr>
        <w:t>é</w:t>
      </w:r>
      <w:r w:rsidRPr="0071782F">
        <w:rPr>
          <w:lang w:val="fr-CH"/>
        </w:rPr>
        <w:t xml:space="preserve">gulation </w:t>
      </w:r>
      <w:r w:rsidR="00712713" w:rsidRPr="0071782F">
        <w:rPr>
          <w:lang w:val="fr-CH"/>
        </w:rPr>
        <w:t>des affaires des enfants des rues, exécuté avec la collaboration de l’</w:t>
      </w:r>
      <w:r w:rsidRPr="0071782F">
        <w:rPr>
          <w:lang w:val="fr-CH"/>
        </w:rPr>
        <w:t>UNICEF</w:t>
      </w:r>
      <w:r w:rsidR="00712713" w:rsidRPr="0071782F">
        <w:rPr>
          <w:lang w:val="fr-CH"/>
        </w:rPr>
        <w:t>.</w:t>
      </w:r>
      <w:r w:rsidRPr="0071782F">
        <w:rPr>
          <w:lang w:val="fr-CH"/>
        </w:rPr>
        <w:t xml:space="preserve"> </w:t>
      </w:r>
      <w:r w:rsidR="00712713" w:rsidRPr="0071782F">
        <w:rPr>
          <w:lang w:val="fr-CH"/>
        </w:rPr>
        <w:t>En août 2000, le Bureau des affaires sociales du Ministère de l’intérieur et l’</w:t>
      </w:r>
      <w:r w:rsidRPr="0071782F">
        <w:rPr>
          <w:lang w:val="fr-CH"/>
        </w:rPr>
        <w:t>UNICEF</w:t>
      </w:r>
      <w:r w:rsidR="00712713" w:rsidRPr="0071782F">
        <w:rPr>
          <w:lang w:val="fr-CH"/>
        </w:rPr>
        <w:t xml:space="preserve"> ont signé le programme d’exécution correspondant à ce Plan</w:t>
      </w:r>
      <w:r w:rsidRPr="0071782F">
        <w:rPr>
          <w:lang w:val="fr-CH"/>
        </w:rPr>
        <w:t xml:space="preserve">. </w:t>
      </w:r>
      <w:r w:rsidR="00712713" w:rsidRPr="0071782F">
        <w:rPr>
          <w:lang w:val="fr-CH"/>
        </w:rPr>
        <w:t>Ce dernier a pour objectif de renforcer les efforts déployés pour appuyer et garantir les droits des enfants des rues.</w:t>
      </w:r>
    </w:p>
    <w:p w:rsidR="00E5019F" w:rsidRPr="0071782F" w:rsidRDefault="00E5019F" w:rsidP="00E5019F">
      <w:pPr>
        <w:pStyle w:val="SingleTxtG"/>
        <w:ind w:left="1701"/>
        <w:rPr>
          <w:lang w:val="fr-CH"/>
        </w:rPr>
      </w:pPr>
      <w:r w:rsidRPr="0071782F">
        <w:rPr>
          <w:lang w:val="fr-CH"/>
        </w:rPr>
        <w:t xml:space="preserve">298.12. </w:t>
      </w:r>
      <w:r w:rsidR="00712713" w:rsidRPr="0071782F">
        <w:rPr>
          <w:lang w:val="fr-CH"/>
        </w:rPr>
        <w:t>Le Plan susvisé a été adopté en juin 2002 par</w:t>
      </w:r>
      <w:r w:rsidRPr="0071782F">
        <w:rPr>
          <w:lang w:val="fr-CH"/>
        </w:rPr>
        <w:t xml:space="preserve"> </w:t>
      </w:r>
      <w:r w:rsidR="00712713" w:rsidRPr="0071782F">
        <w:rPr>
          <w:lang w:val="fr-CH"/>
        </w:rPr>
        <w:t>le Conseil social du Ministère de l’intérieur</w:t>
      </w:r>
      <w:r w:rsidRPr="0071782F">
        <w:rPr>
          <w:lang w:val="fr-CH"/>
        </w:rPr>
        <w:t xml:space="preserve">. </w:t>
      </w:r>
      <w:r w:rsidR="00712713" w:rsidRPr="0071782F">
        <w:rPr>
          <w:lang w:val="fr-CH"/>
        </w:rPr>
        <w:t>Il se propose de garantir les droits des enfants des rues, de renforcer leur autonomie, d’améliorer leurs conditions de vie, leurs connaissances et leurs compétences pratiques, et de révéler leur potentiel et leurs t</w:t>
      </w:r>
      <w:r w:rsidRPr="0071782F">
        <w:rPr>
          <w:lang w:val="fr-CH"/>
        </w:rPr>
        <w:t>alents</w:t>
      </w:r>
      <w:r w:rsidR="00712713" w:rsidRPr="0071782F">
        <w:rPr>
          <w:lang w:val="fr-CH"/>
        </w:rPr>
        <w:t xml:space="preserve">; de les mettre en garde contre les comportements préjudiciables; de leur fournir les services sociaux nécessaires en les incitant à se présenter et à demeurer dans des centres d’accueil temporaire, en les aidant à se faire prendre en charge par </w:t>
      </w:r>
      <w:r w:rsidR="001F3F05" w:rsidRPr="0071782F">
        <w:rPr>
          <w:lang w:val="fr-CH"/>
        </w:rPr>
        <w:t>une famille</w:t>
      </w:r>
      <w:r w:rsidR="00712713" w:rsidRPr="0071782F">
        <w:rPr>
          <w:lang w:val="fr-CH"/>
        </w:rPr>
        <w:t xml:space="preserve"> et en ouvrant 24</w:t>
      </w:r>
      <w:r w:rsidR="00BF435F" w:rsidRPr="0071782F">
        <w:rPr>
          <w:lang w:val="fr-CH"/>
        </w:rPr>
        <w:t> heures</w:t>
      </w:r>
      <w:r w:rsidR="00712713" w:rsidRPr="0071782F">
        <w:rPr>
          <w:lang w:val="fr-CH"/>
        </w:rPr>
        <w:t xml:space="preserve"> sur 24 les centres d’accueil relevant de l’Organisme public de protection sociale et des municipalités </w:t>
      </w:r>
      <w:r w:rsidRPr="0071782F">
        <w:rPr>
          <w:lang w:val="fr-CH"/>
        </w:rPr>
        <w:t>(</w:t>
      </w:r>
      <w:r w:rsidR="00712713" w:rsidRPr="0071782F">
        <w:rPr>
          <w:lang w:val="fr-CH"/>
        </w:rPr>
        <w:t>centres d’accueil temporaire</w:t>
      </w:r>
      <w:r w:rsidRPr="0071782F">
        <w:rPr>
          <w:lang w:val="fr-CH"/>
        </w:rPr>
        <w:t xml:space="preserve">, </w:t>
      </w:r>
      <w:r w:rsidR="00712713" w:rsidRPr="0071782F">
        <w:rPr>
          <w:lang w:val="fr-CH"/>
        </w:rPr>
        <w:t>foyers</w:t>
      </w:r>
      <w:r w:rsidRPr="0071782F">
        <w:rPr>
          <w:lang w:val="fr-CH"/>
        </w:rPr>
        <w:t>, cent</w:t>
      </w:r>
      <w:r w:rsidR="00712713" w:rsidRPr="0071782F">
        <w:rPr>
          <w:lang w:val="fr-CH"/>
        </w:rPr>
        <w:t>res d’</w:t>
      </w:r>
      <w:r w:rsidRPr="0071782F">
        <w:rPr>
          <w:lang w:val="fr-CH"/>
        </w:rPr>
        <w:t xml:space="preserve">intervention </w:t>
      </w:r>
      <w:r w:rsidR="00712713" w:rsidRPr="0071782F">
        <w:rPr>
          <w:lang w:val="fr-CH"/>
        </w:rPr>
        <w:t>en cas de crise et centres de soins permanents</w:t>
      </w:r>
      <w:r w:rsidRPr="0071782F">
        <w:rPr>
          <w:lang w:val="fr-CH"/>
        </w:rPr>
        <w:t xml:space="preserve">). </w:t>
      </w:r>
      <w:r w:rsidR="00712713" w:rsidRPr="0071782F">
        <w:rPr>
          <w:lang w:val="fr-CH"/>
        </w:rPr>
        <w:t xml:space="preserve">À ce jour, un budget de </w:t>
      </w:r>
      <w:r w:rsidRPr="0071782F">
        <w:rPr>
          <w:lang w:val="fr-CH"/>
        </w:rPr>
        <w:t>40</w:t>
      </w:r>
      <w:r w:rsidR="008553D9" w:rsidRPr="0071782F">
        <w:rPr>
          <w:lang w:val="fr-CH"/>
        </w:rPr>
        <w:t> milliard</w:t>
      </w:r>
      <w:r w:rsidR="00097CDB" w:rsidRPr="0071782F">
        <w:rPr>
          <w:lang w:val="fr-CH"/>
        </w:rPr>
        <w:t>s</w:t>
      </w:r>
      <w:r w:rsidR="00712713" w:rsidRPr="0071782F">
        <w:rPr>
          <w:lang w:val="fr-CH"/>
        </w:rPr>
        <w:t xml:space="preserve"> </w:t>
      </w:r>
      <w:r w:rsidR="003B1403" w:rsidRPr="0071782F">
        <w:rPr>
          <w:lang w:val="fr-CH"/>
        </w:rPr>
        <w:t>de rials</w:t>
      </w:r>
      <w:r w:rsidRPr="0071782F">
        <w:rPr>
          <w:lang w:val="fr-CH"/>
        </w:rPr>
        <w:t xml:space="preserve"> </w:t>
      </w:r>
      <w:r w:rsidR="00712713" w:rsidRPr="0071782F">
        <w:rPr>
          <w:lang w:val="fr-CH"/>
        </w:rPr>
        <w:t xml:space="preserve">a été alloué à la </w:t>
      </w:r>
      <w:r w:rsidRPr="0071782F">
        <w:rPr>
          <w:lang w:val="fr-CH"/>
        </w:rPr>
        <w:t>r</w:t>
      </w:r>
      <w:r w:rsidR="00712713" w:rsidRPr="0071782F">
        <w:rPr>
          <w:lang w:val="fr-CH"/>
        </w:rPr>
        <w:t>é</w:t>
      </w:r>
      <w:r w:rsidRPr="0071782F">
        <w:rPr>
          <w:lang w:val="fr-CH"/>
        </w:rPr>
        <w:t xml:space="preserve">gulation </w:t>
      </w:r>
      <w:r w:rsidR="00712713" w:rsidRPr="0071782F">
        <w:rPr>
          <w:lang w:val="fr-CH"/>
        </w:rPr>
        <w:t xml:space="preserve">des </w:t>
      </w:r>
      <w:r w:rsidRPr="0071782F">
        <w:rPr>
          <w:lang w:val="fr-CH"/>
        </w:rPr>
        <w:t>affair</w:t>
      </w:r>
      <w:r w:rsidR="00712713" w:rsidRPr="0071782F">
        <w:rPr>
          <w:lang w:val="fr-CH"/>
        </w:rPr>
        <w:t>e</w:t>
      </w:r>
      <w:r w:rsidRPr="0071782F">
        <w:rPr>
          <w:lang w:val="fr-CH"/>
        </w:rPr>
        <w:t xml:space="preserve">s </w:t>
      </w:r>
      <w:r w:rsidR="00712713" w:rsidRPr="0071782F">
        <w:rPr>
          <w:lang w:val="fr-CH"/>
        </w:rPr>
        <w:t>des enfants des rues</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t>Me</w:t>
      </w:r>
      <w:r w:rsidR="0009296B" w:rsidRPr="0071782F">
        <w:rPr>
          <w:lang w:val="fr-CH"/>
        </w:rPr>
        <w:t xml:space="preserve">sures adoptées par l’Organisme public de protection sociale pour aider </w:t>
      </w:r>
      <w:r w:rsidR="00DA097D" w:rsidRPr="0071782F">
        <w:rPr>
          <w:lang w:val="fr-CH"/>
        </w:rPr>
        <w:t>les familles</w:t>
      </w:r>
      <w:r w:rsidR="0009296B" w:rsidRPr="0071782F">
        <w:rPr>
          <w:lang w:val="fr-CH"/>
        </w:rPr>
        <w:t xml:space="preserve"> auxquelles s’appliquent les dispositions de la loi sur l’appui aux femmes et aux enfants sans tuteur </w:t>
      </w:r>
    </w:p>
    <w:p w:rsidR="00E5019F" w:rsidRPr="0071782F" w:rsidRDefault="00E5019F" w:rsidP="00E5019F">
      <w:pPr>
        <w:pStyle w:val="SingleTxtG"/>
        <w:rPr>
          <w:lang w:val="fr-CH"/>
        </w:rPr>
      </w:pPr>
      <w:r w:rsidRPr="0071782F">
        <w:rPr>
          <w:lang w:val="fr-CH"/>
        </w:rPr>
        <w:t>299.</w:t>
      </w:r>
      <w:r w:rsidRPr="0071782F">
        <w:rPr>
          <w:lang w:val="fr-CH"/>
        </w:rPr>
        <w:tab/>
      </w:r>
      <w:r w:rsidR="00BC0DF2" w:rsidRPr="0071782F">
        <w:rPr>
          <w:lang w:val="fr-CH"/>
        </w:rPr>
        <w:t>Fourniture d’un appui financier sous diverses formes</w:t>
      </w:r>
      <w:r w:rsidR="008F7D33" w:rsidRPr="0071782F">
        <w:rPr>
          <w:lang w:val="fr-CH"/>
        </w:rPr>
        <w:t>:</w:t>
      </w:r>
      <w:r w:rsidR="00BC0DF2" w:rsidRPr="0071782F">
        <w:rPr>
          <w:lang w:val="fr-CH"/>
        </w:rPr>
        <w:t xml:space="preserve"> moyens de promotion de l’autosuffisance, espèces ou autres types d’aides financières (régulières ou individualisées)</w:t>
      </w:r>
      <w:r w:rsidRPr="0071782F">
        <w:rPr>
          <w:lang w:val="fr-CH"/>
        </w:rPr>
        <w:t xml:space="preserve">, </w:t>
      </w:r>
      <w:r w:rsidR="00BC0DF2" w:rsidRPr="0071782F">
        <w:rPr>
          <w:lang w:val="fr-CH"/>
        </w:rPr>
        <w:t xml:space="preserve">et appui socioculturel, notamment par le biais de services éducatifs, de formation, d’emploi et de conseils et de services sociaux pour contribuer à régler les problèmes que rencontrent </w:t>
      </w:r>
      <w:r w:rsidR="00C36750" w:rsidRPr="0071782F">
        <w:rPr>
          <w:lang w:val="fr-CH"/>
        </w:rPr>
        <w:t>ces personnes</w:t>
      </w:r>
      <w:r w:rsidR="00BC0DF2" w:rsidRPr="0071782F">
        <w:rPr>
          <w:lang w:val="fr-CH"/>
        </w:rPr>
        <w:t xml:space="preserve"> et les aider à se marier et à former </w:t>
      </w:r>
      <w:r w:rsidR="001F3F05" w:rsidRPr="0071782F">
        <w:rPr>
          <w:lang w:val="fr-CH"/>
        </w:rPr>
        <w:t>une famille</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t>R</w:t>
      </w:r>
      <w:r w:rsidR="00BC0DF2" w:rsidRPr="0071782F">
        <w:rPr>
          <w:lang w:val="fr-CH"/>
        </w:rPr>
        <w:t>é</w:t>
      </w:r>
      <w:r w:rsidRPr="0071782F">
        <w:rPr>
          <w:lang w:val="fr-CH"/>
        </w:rPr>
        <w:t xml:space="preserve">gulation </w:t>
      </w:r>
      <w:r w:rsidR="00BC0DF2" w:rsidRPr="0071782F">
        <w:rPr>
          <w:lang w:val="fr-CH"/>
        </w:rPr>
        <w:t xml:space="preserve">des affaires des </w:t>
      </w:r>
      <w:r w:rsidRPr="0071782F">
        <w:rPr>
          <w:lang w:val="fr-CH"/>
        </w:rPr>
        <w:t>victim</w:t>
      </w:r>
      <w:r w:rsidR="00BC0DF2" w:rsidRPr="0071782F">
        <w:rPr>
          <w:lang w:val="fr-CH"/>
        </w:rPr>
        <w:t>e</w:t>
      </w:r>
      <w:r w:rsidRPr="0071782F">
        <w:rPr>
          <w:lang w:val="fr-CH"/>
        </w:rPr>
        <w:t xml:space="preserve">s </w:t>
      </w:r>
      <w:r w:rsidR="00BC0DF2" w:rsidRPr="0071782F">
        <w:rPr>
          <w:lang w:val="fr-CH"/>
        </w:rPr>
        <w:t>des préjudices sociaux</w:t>
      </w:r>
    </w:p>
    <w:p w:rsidR="00E5019F" w:rsidRPr="0071782F" w:rsidRDefault="00E5019F" w:rsidP="00E5019F">
      <w:pPr>
        <w:pStyle w:val="H23G"/>
        <w:rPr>
          <w:lang w:val="fr-CH"/>
        </w:rPr>
      </w:pPr>
      <w:r w:rsidRPr="0071782F">
        <w:rPr>
          <w:lang w:val="fr-CH"/>
        </w:rPr>
        <w:tab/>
      </w:r>
      <w:r w:rsidRPr="0071782F">
        <w:rPr>
          <w:lang w:val="fr-CH"/>
        </w:rPr>
        <w:tab/>
      </w:r>
      <w:r w:rsidR="00BC0DF2" w:rsidRPr="0071782F">
        <w:rPr>
          <w:lang w:val="fr-CH"/>
        </w:rPr>
        <w:t>P</w:t>
      </w:r>
      <w:r w:rsidRPr="0071782F">
        <w:rPr>
          <w:lang w:val="fr-CH"/>
        </w:rPr>
        <w:t>rogram</w:t>
      </w:r>
      <w:r w:rsidR="00BC0DF2" w:rsidRPr="0071782F">
        <w:rPr>
          <w:lang w:val="fr-CH"/>
        </w:rPr>
        <w:t>me</w:t>
      </w:r>
      <w:r w:rsidRPr="0071782F">
        <w:rPr>
          <w:lang w:val="fr-CH"/>
        </w:rPr>
        <w:t>s</w:t>
      </w:r>
      <w:r w:rsidR="00BC0DF2" w:rsidRPr="0071782F">
        <w:rPr>
          <w:lang w:val="fr-CH"/>
        </w:rPr>
        <w:t xml:space="preserve"> d’exécution</w:t>
      </w:r>
    </w:p>
    <w:p w:rsidR="00E5019F" w:rsidRPr="0071782F" w:rsidRDefault="00E5019F" w:rsidP="00E5019F">
      <w:pPr>
        <w:pStyle w:val="SingleTxtG"/>
        <w:rPr>
          <w:lang w:val="fr-CH"/>
        </w:rPr>
      </w:pPr>
      <w:r w:rsidRPr="0071782F">
        <w:rPr>
          <w:lang w:val="fr-CH"/>
        </w:rPr>
        <w:t>300.</w:t>
      </w:r>
      <w:r w:rsidRPr="0071782F">
        <w:rPr>
          <w:lang w:val="fr-CH"/>
        </w:rPr>
        <w:tab/>
      </w:r>
      <w:r w:rsidR="00A800F3" w:rsidRPr="0071782F">
        <w:rPr>
          <w:lang w:val="fr-CH"/>
        </w:rPr>
        <w:t xml:space="preserve">Il s’agit d’appuyer et de réadapter les filles et les femmes victimes de préjudices sociaux. Ce programme a pour but de fournir les moyens nécessaires à la réadaptation </w:t>
      </w:r>
      <w:r w:rsidRPr="0071782F">
        <w:rPr>
          <w:lang w:val="fr-CH"/>
        </w:rPr>
        <w:t>mental</w:t>
      </w:r>
      <w:r w:rsidR="00A800F3" w:rsidRPr="0071782F">
        <w:rPr>
          <w:lang w:val="fr-CH"/>
        </w:rPr>
        <w:t>e et</w:t>
      </w:r>
      <w:r w:rsidRPr="0071782F">
        <w:rPr>
          <w:lang w:val="fr-CH"/>
        </w:rPr>
        <w:t xml:space="preserve"> social</w:t>
      </w:r>
      <w:r w:rsidR="00A800F3" w:rsidRPr="0071782F">
        <w:rPr>
          <w:lang w:val="fr-CH"/>
        </w:rPr>
        <w:t>e</w:t>
      </w:r>
      <w:r w:rsidRPr="0071782F">
        <w:rPr>
          <w:lang w:val="fr-CH"/>
        </w:rPr>
        <w:t xml:space="preserve"> </w:t>
      </w:r>
      <w:r w:rsidR="00A800F3" w:rsidRPr="0071782F">
        <w:rPr>
          <w:lang w:val="fr-CH"/>
        </w:rPr>
        <w:t>des filles et des femmes victimes ou risquant d’être victimes de graves préjudices sociaux et d’empêcher que les demandeuses d’aide qui se présentent dans ces centres ne soient exposées à de nouveaux préjudices sociaux ou que leur situation n’empire</w:t>
      </w:r>
      <w:r w:rsidRPr="0071782F">
        <w:rPr>
          <w:lang w:val="fr-CH"/>
        </w:rPr>
        <w:t xml:space="preserve">. </w:t>
      </w:r>
      <w:r w:rsidR="00A800F3" w:rsidRPr="0071782F">
        <w:rPr>
          <w:lang w:val="fr-CH"/>
        </w:rPr>
        <w:t xml:space="preserve">Les groupes bénéficiaires de ce programme sont les filles et les femmes victimes ou risquant d’être victimes de préjudices sociaux, y compris celles qui ont quitté </w:t>
      </w:r>
      <w:r w:rsidR="001F3F05" w:rsidRPr="0071782F">
        <w:rPr>
          <w:lang w:val="fr-CH"/>
        </w:rPr>
        <w:t>leur famille</w:t>
      </w:r>
      <w:r w:rsidR="00A800F3" w:rsidRPr="0071782F">
        <w:rPr>
          <w:lang w:val="fr-CH"/>
        </w:rPr>
        <w:t xml:space="preserve"> (en raison de la tension qui y régnait, d’une situation de harcèlement, etc.) ou en ont été chassées à la suite de différends ou de malentendus et se trouvent privées de protection efficace ou ne disposent pas des aptitudes et compétences sociales et </w:t>
      </w:r>
      <w:r w:rsidRPr="0071782F">
        <w:rPr>
          <w:lang w:val="fr-CH"/>
        </w:rPr>
        <w:t>mental</w:t>
      </w:r>
      <w:r w:rsidR="00A800F3" w:rsidRPr="0071782F">
        <w:rPr>
          <w:lang w:val="fr-CH"/>
        </w:rPr>
        <w:t>es</w:t>
      </w:r>
      <w:r w:rsidRPr="0071782F">
        <w:rPr>
          <w:lang w:val="fr-CH"/>
        </w:rPr>
        <w:t xml:space="preserve"> </w:t>
      </w:r>
      <w:r w:rsidR="00A800F3" w:rsidRPr="0071782F">
        <w:rPr>
          <w:lang w:val="fr-CH"/>
        </w:rPr>
        <w:t>ni des moyens financiers qui leur permettraient de mener une vie indépendante, et courent de ce fait un plus grand risque d’être victimes de préjudices sociaux. Le programme s’adresse également aux filles et aux femmes victimes d’un préjudice social, y compris celles qui gagnent leur vie en se prostituant et celles qui ont des relations sexuelles illicites du fait de la fragilité de leur moralité et de leurs valeurs</w:t>
      </w:r>
      <w:r w:rsidRPr="0071782F">
        <w:rPr>
          <w:lang w:val="fr-CH"/>
        </w:rPr>
        <w:t>.</w:t>
      </w:r>
    </w:p>
    <w:p w:rsidR="00E5019F" w:rsidRPr="0071782F" w:rsidRDefault="00E5019F" w:rsidP="00E5019F">
      <w:pPr>
        <w:pStyle w:val="SingleTxtG"/>
        <w:ind w:left="1701"/>
        <w:rPr>
          <w:lang w:val="fr-CH"/>
        </w:rPr>
      </w:pPr>
      <w:r w:rsidRPr="0071782F">
        <w:rPr>
          <w:lang w:val="fr-CH"/>
        </w:rPr>
        <w:t>300.1.</w:t>
      </w:r>
      <w:r w:rsidRPr="0071782F">
        <w:rPr>
          <w:lang w:val="fr-CH"/>
        </w:rPr>
        <w:tab/>
      </w:r>
      <w:r w:rsidR="001052F4" w:rsidRPr="0071782F">
        <w:rPr>
          <w:lang w:val="fr-CH"/>
        </w:rPr>
        <w:t xml:space="preserve">Les filles et femmes ayant besoin d’un appui et d’une réadaptation sont d’abord examinées par une équipe </w:t>
      </w:r>
      <w:r w:rsidR="004957B9" w:rsidRPr="0071782F">
        <w:rPr>
          <w:lang w:val="fr-CH"/>
        </w:rPr>
        <w:t>d</w:t>
      </w:r>
      <w:r w:rsidR="001052F4" w:rsidRPr="0071782F">
        <w:rPr>
          <w:lang w:val="fr-CH"/>
        </w:rPr>
        <w:t>e spécialistes du centre d’</w:t>
      </w:r>
      <w:r w:rsidRPr="0071782F">
        <w:rPr>
          <w:lang w:val="fr-CH"/>
        </w:rPr>
        <w:t xml:space="preserve">intervention </w:t>
      </w:r>
      <w:r w:rsidR="001052F4" w:rsidRPr="0071782F">
        <w:rPr>
          <w:lang w:val="fr-CH"/>
        </w:rPr>
        <w:t>en cas de crise (individuelle</w:t>
      </w:r>
      <w:r w:rsidRPr="0071782F">
        <w:rPr>
          <w:lang w:val="fr-CH"/>
        </w:rPr>
        <w:t>, famil</w:t>
      </w:r>
      <w:r w:rsidR="001052F4" w:rsidRPr="0071782F">
        <w:rPr>
          <w:lang w:val="fr-CH"/>
        </w:rPr>
        <w:t xml:space="preserve">iale et </w:t>
      </w:r>
      <w:r w:rsidRPr="0071782F">
        <w:rPr>
          <w:lang w:val="fr-CH"/>
        </w:rPr>
        <w:t>social</w:t>
      </w:r>
      <w:r w:rsidR="001052F4" w:rsidRPr="0071782F">
        <w:rPr>
          <w:lang w:val="fr-CH"/>
        </w:rPr>
        <w:t>e</w:t>
      </w:r>
      <w:r w:rsidRPr="0071782F">
        <w:rPr>
          <w:lang w:val="fr-CH"/>
        </w:rPr>
        <w:t>)</w:t>
      </w:r>
      <w:r w:rsidR="001052F4" w:rsidRPr="0071782F">
        <w:rPr>
          <w:lang w:val="fr-CH"/>
        </w:rPr>
        <w:t>. Si elles remplissent les conditions requises,</w:t>
      </w:r>
      <w:r w:rsidR="00D36718">
        <w:rPr>
          <w:lang w:val="fr-CH"/>
        </w:rPr>
        <w:t xml:space="preserve"> </w:t>
      </w:r>
      <w:r w:rsidR="001052F4" w:rsidRPr="0071782F">
        <w:rPr>
          <w:lang w:val="fr-CH"/>
        </w:rPr>
        <w:t>elles sont adressées aux centres d’appui et de réadaptation</w:t>
      </w:r>
      <w:r w:rsidRPr="0071782F">
        <w:rPr>
          <w:lang w:val="fr-CH"/>
        </w:rPr>
        <w:t>,</w:t>
      </w:r>
      <w:r w:rsidR="001052F4" w:rsidRPr="0071782F">
        <w:rPr>
          <w:lang w:val="fr-CH"/>
        </w:rPr>
        <w:t xml:space="preserve"> où elles reçoivent les soins prévus par la loi ou sont incorporées dans les programmes de soins et bénéficient de services sociaux, psychologiques, technico-professionnels et culturels spécialisés devant faciliter leur retour à la vie normale par le</w:t>
      </w:r>
      <w:r w:rsidR="00490ADD" w:rsidRPr="0071782F">
        <w:rPr>
          <w:lang w:val="fr-CH"/>
        </w:rPr>
        <w:t xml:space="preserve"> biais de la réintégration fami</w:t>
      </w:r>
      <w:r w:rsidR="001052F4" w:rsidRPr="0071782F">
        <w:rPr>
          <w:lang w:val="fr-CH"/>
        </w:rPr>
        <w:t xml:space="preserve">liale. Par ailleurs, elles peuvent suivre une formation, bénéficient d’une aide devant leur permettre de mener une vie indépendante, de gagner leur vie par des moyens légitimes, de se marier et de fonder </w:t>
      </w:r>
      <w:r w:rsidR="001F3F05" w:rsidRPr="0071782F">
        <w:rPr>
          <w:lang w:val="fr-CH"/>
        </w:rPr>
        <w:t>une famille</w:t>
      </w:r>
      <w:r w:rsidR="001052F4" w:rsidRPr="0071782F">
        <w:rPr>
          <w:lang w:val="fr-CH"/>
        </w:rPr>
        <w:t>, de satisfaire à leurs besoins de base et de régler leurs problèmes.</w:t>
      </w:r>
    </w:p>
    <w:p w:rsidR="00E5019F" w:rsidRPr="0071782F" w:rsidRDefault="00E5019F" w:rsidP="00E5019F">
      <w:pPr>
        <w:pStyle w:val="H23G"/>
        <w:rPr>
          <w:lang w:val="fr-CH"/>
        </w:rPr>
      </w:pPr>
      <w:r w:rsidRPr="0071782F">
        <w:rPr>
          <w:lang w:val="fr-CH"/>
        </w:rPr>
        <w:tab/>
      </w:r>
      <w:r w:rsidRPr="0071782F">
        <w:rPr>
          <w:lang w:val="fr-CH"/>
        </w:rPr>
        <w:tab/>
      </w:r>
      <w:r w:rsidR="001052F4" w:rsidRPr="0071782F">
        <w:rPr>
          <w:lang w:val="fr-CH"/>
        </w:rPr>
        <w:t>Maisons de santé</w:t>
      </w:r>
    </w:p>
    <w:p w:rsidR="00E5019F" w:rsidRPr="0071782F" w:rsidRDefault="00E5019F" w:rsidP="00E5019F">
      <w:pPr>
        <w:pStyle w:val="SingleTxtG"/>
        <w:rPr>
          <w:lang w:val="fr-CH"/>
        </w:rPr>
      </w:pPr>
      <w:r w:rsidRPr="0071782F">
        <w:rPr>
          <w:lang w:val="fr-CH"/>
        </w:rPr>
        <w:t>301.</w:t>
      </w:r>
      <w:r w:rsidRPr="0071782F">
        <w:rPr>
          <w:lang w:val="fr-CH"/>
        </w:rPr>
        <w:tab/>
      </w:r>
      <w:r w:rsidR="00970042" w:rsidRPr="0071782F">
        <w:rPr>
          <w:lang w:val="fr-CH"/>
        </w:rPr>
        <w:t xml:space="preserve">Les maisons de santé sont des centres qui fournissent un appui aux filles qui risquent d’être victimes de préjudices sociaux et ne disposent pas de l’appui familial et social nécessaire. Ces centres les aident à satisfaire à leurs besoins économiques minimaux, les protègent contre les préjudices sociaux et créent les conditions devant </w:t>
      </w:r>
      <w:r w:rsidR="00490ADD" w:rsidRPr="0071782F">
        <w:rPr>
          <w:lang w:val="fr-CH"/>
        </w:rPr>
        <w:t xml:space="preserve">leur </w:t>
      </w:r>
      <w:r w:rsidR="00970042" w:rsidRPr="0071782F">
        <w:rPr>
          <w:lang w:val="fr-CH"/>
        </w:rPr>
        <w:t xml:space="preserve">permettre d’obtenir leur indépendance sociale et économique en leurs fournissant des services dans différents domaines. Ce Plan a pour objectif d’appuyer et </w:t>
      </w:r>
      <w:r w:rsidR="00490ADD" w:rsidRPr="0071782F">
        <w:rPr>
          <w:lang w:val="fr-CH"/>
        </w:rPr>
        <w:t xml:space="preserve">de </w:t>
      </w:r>
      <w:r w:rsidR="00970042" w:rsidRPr="0071782F">
        <w:rPr>
          <w:lang w:val="fr-CH"/>
        </w:rPr>
        <w:t>prendre en charge les filles qui risquent d’être victimes de préjudices sociaux</w:t>
      </w:r>
      <w:r w:rsidRPr="0071782F">
        <w:rPr>
          <w:lang w:val="fr-CH"/>
        </w:rPr>
        <w:t xml:space="preserve">, </w:t>
      </w:r>
      <w:r w:rsidR="00970042" w:rsidRPr="0071782F">
        <w:rPr>
          <w:lang w:val="fr-CH"/>
        </w:rPr>
        <w:t>de l</w:t>
      </w:r>
      <w:r w:rsidR="005B45A4" w:rsidRPr="0071782F">
        <w:rPr>
          <w:lang w:val="fr-CH"/>
        </w:rPr>
        <w:t>e</w:t>
      </w:r>
      <w:r w:rsidR="00970042" w:rsidRPr="0071782F">
        <w:rPr>
          <w:lang w:val="fr-CH"/>
        </w:rPr>
        <w:t xml:space="preserve">ur donner les moyens de suivre une formation, de trouver un emploi et de parvenir à l’autosuffisance et à l’indépendance; il se propose également de révéler et de développer leur potentiel et leurs </w:t>
      </w:r>
      <w:r w:rsidRPr="0071782F">
        <w:rPr>
          <w:lang w:val="fr-CH"/>
        </w:rPr>
        <w:t xml:space="preserve">talents </w:t>
      </w:r>
      <w:r w:rsidR="00970042" w:rsidRPr="0071782F">
        <w:rPr>
          <w:lang w:val="fr-CH"/>
        </w:rPr>
        <w:t>et de les protéger contre les préjudices sociaux</w:t>
      </w:r>
      <w:r w:rsidRPr="0071782F">
        <w:rPr>
          <w:lang w:val="fr-CH"/>
        </w:rPr>
        <w:t>.</w:t>
      </w:r>
    </w:p>
    <w:p w:rsidR="00E5019F" w:rsidRPr="0071782F" w:rsidRDefault="00E5019F" w:rsidP="00E5019F">
      <w:pPr>
        <w:pStyle w:val="SingleTxtG"/>
        <w:ind w:left="1701"/>
        <w:rPr>
          <w:lang w:val="fr-CH"/>
        </w:rPr>
      </w:pPr>
      <w:r w:rsidRPr="0071782F">
        <w:rPr>
          <w:lang w:val="fr-CH"/>
        </w:rPr>
        <w:t>301.1.</w:t>
      </w:r>
      <w:r w:rsidRPr="0071782F">
        <w:rPr>
          <w:lang w:val="fr-CH"/>
        </w:rPr>
        <w:tab/>
      </w:r>
      <w:r w:rsidR="004957B9" w:rsidRPr="0071782F">
        <w:rPr>
          <w:lang w:val="fr-CH"/>
        </w:rPr>
        <w:t>Les filles ayant besoin d’un appui et d’une prise en charge sont d’abord examinées par une équipe de spécialistes d</w:t>
      </w:r>
      <w:r w:rsidR="00BD5308" w:rsidRPr="0071782F">
        <w:rPr>
          <w:lang w:val="fr-CH"/>
        </w:rPr>
        <w:t>es</w:t>
      </w:r>
      <w:r w:rsidR="004957B9" w:rsidRPr="0071782F">
        <w:rPr>
          <w:lang w:val="fr-CH"/>
        </w:rPr>
        <w:t xml:space="preserve"> centre</w:t>
      </w:r>
      <w:r w:rsidR="00BD5308" w:rsidRPr="0071782F">
        <w:rPr>
          <w:lang w:val="fr-CH"/>
        </w:rPr>
        <w:t>s</w:t>
      </w:r>
      <w:r w:rsidR="004957B9" w:rsidRPr="0071782F">
        <w:rPr>
          <w:lang w:val="fr-CH"/>
        </w:rPr>
        <w:t xml:space="preserve"> d’intervention en cas de crise (individuelle, familiale et sociale). Si elles remplissent les conditions requises,</w:t>
      </w:r>
      <w:r w:rsidR="00D36718">
        <w:rPr>
          <w:lang w:val="fr-CH"/>
        </w:rPr>
        <w:t xml:space="preserve"> </w:t>
      </w:r>
      <w:r w:rsidR="004957B9" w:rsidRPr="0071782F">
        <w:rPr>
          <w:lang w:val="fr-CH"/>
        </w:rPr>
        <w:t>elles sont adressées aux maisons de santé</w:t>
      </w:r>
      <w:r w:rsidRPr="0071782F">
        <w:rPr>
          <w:lang w:val="fr-CH"/>
        </w:rPr>
        <w:t xml:space="preserve">. </w:t>
      </w:r>
      <w:r w:rsidR="004957B9" w:rsidRPr="0071782F">
        <w:rPr>
          <w:lang w:val="fr-CH"/>
        </w:rPr>
        <w:t>Elles sont prises en charge pour une durée maximale de six</w:t>
      </w:r>
      <w:r w:rsidR="001F3F05" w:rsidRPr="0071782F">
        <w:rPr>
          <w:lang w:val="fr-CH"/>
        </w:rPr>
        <w:t> mois</w:t>
      </w:r>
      <w:r w:rsidR="004957B9" w:rsidRPr="0071782F">
        <w:rPr>
          <w:lang w:val="fr-CH"/>
        </w:rPr>
        <w:t>, qui peut être portée à un an avec l’aval de l’équipe de spécialistes</w:t>
      </w:r>
      <w:r w:rsidRPr="0071782F">
        <w:rPr>
          <w:lang w:val="fr-CH"/>
        </w:rPr>
        <w:t xml:space="preserve">. </w:t>
      </w:r>
      <w:r w:rsidR="004957B9" w:rsidRPr="0071782F">
        <w:rPr>
          <w:lang w:val="fr-CH"/>
        </w:rPr>
        <w:t xml:space="preserve">Pendant cette </w:t>
      </w:r>
      <w:r w:rsidRPr="0071782F">
        <w:rPr>
          <w:lang w:val="fr-CH"/>
        </w:rPr>
        <w:t>p</w:t>
      </w:r>
      <w:r w:rsidR="004957B9" w:rsidRPr="0071782F">
        <w:rPr>
          <w:lang w:val="fr-CH"/>
        </w:rPr>
        <w:t>é</w:t>
      </w:r>
      <w:r w:rsidRPr="0071782F">
        <w:rPr>
          <w:lang w:val="fr-CH"/>
        </w:rPr>
        <w:t>riod</w:t>
      </w:r>
      <w:r w:rsidR="004957B9" w:rsidRPr="0071782F">
        <w:rPr>
          <w:lang w:val="fr-CH"/>
        </w:rPr>
        <w:t>e</w:t>
      </w:r>
      <w:r w:rsidRPr="0071782F">
        <w:rPr>
          <w:lang w:val="fr-CH"/>
        </w:rPr>
        <w:t xml:space="preserve">, </w:t>
      </w:r>
      <w:r w:rsidR="004957B9" w:rsidRPr="0071782F">
        <w:rPr>
          <w:lang w:val="fr-CH"/>
        </w:rPr>
        <w:t xml:space="preserve">tout est fait pour que ces filles puissent réintégrer </w:t>
      </w:r>
      <w:r w:rsidR="001F3F05" w:rsidRPr="0071782F">
        <w:rPr>
          <w:lang w:val="fr-CH"/>
        </w:rPr>
        <w:t>leur famille</w:t>
      </w:r>
      <w:r w:rsidR="004957B9" w:rsidRPr="0071782F">
        <w:rPr>
          <w:lang w:val="fr-CH"/>
        </w:rPr>
        <w:t xml:space="preserve">, aillent vivre chez d’autres parents ou quittent la </w:t>
      </w:r>
      <w:r w:rsidR="0071782F" w:rsidRPr="0071782F">
        <w:rPr>
          <w:lang w:val="fr-CH"/>
        </w:rPr>
        <w:t>maison</w:t>
      </w:r>
      <w:r w:rsidR="004957B9" w:rsidRPr="0071782F">
        <w:rPr>
          <w:lang w:val="fr-CH"/>
        </w:rPr>
        <w:t xml:space="preserve"> de santé dans d’autres conditions adéquates, de façon à raccourcir autant que faire se peut la durée de leur séjour dans celle-ci.</w:t>
      </w:r>
    </w:p>
    <w:p w:rsidR="00E5019F" w:rsidRPr="0071782F" w:rsidRDefault="00E5019F" w:rsidP="00E5019F">
      <w:pPr>
        <w:pStyle w:val="H23G"/>
        <w:rPr>
          <w:lang w:val="fr-CH"/>
        </w:rPr>
      </w:pPr>
      <w:r w:rsidRPr="0071782F">
        <w:rPr>
          <w:lang w:val="fr-CH"/>
        </w:rPr>
        <w:tab/>
      </w:r>
      <w:r w:rsidRPr="0071782F">
        <w:rPr>
          <w:lang w:val="fr-CH"/>
        </w:rPr>
        <w:tab/>
      </w:r>
      <w:r w:rsidR="004957B9" w:rsidRPr="0071782F">
        <w:rPr>
          <w:lang w:val="fr-CH"/>
        </w:rPr>
        <w:t xml:space="preserve">Recensement et renforcement de l’autonomie des enfants des rues </w:t>
      </w:r>
    </w:p>
    <w:p w:rsidR="00E5019F" w:rsidRPr="0071782F" w:rsidRDefault="00E5019F" w:rsidP="00E5019F">
      <w:pPr>
        <w:pStyle w:val="SingleTxtG"/>
        <w:rPr>
          <w:lang w:val="fr-CH"/>
        </w:rPr>
      </w:pPr>
      <w:r w:rsidRPr="0071782F">
        <w:rPr>
          <w:lang w:val="fr-CH"/>
        </w:rPr>
        <w:t>302.</w:t>
      </w:r>
      <w:r w:rsidRPr="0071782F">
        <w:rPr>
          <w:lang w:val="fr-CH"/>
        </w:rPr>
        <w:tab/>
      </w:r>
      <w:r w:rsidR="00BD5308" w:rsidRPr="0071782F">
        <w:rPr>
          <w:lang w:val="fr-CH"/>
        </w:rPr>
        <w:t>Le programme couvre les enfants des rues et les enfants qui travaillent jusqu’à l’âge de 18</w:t>
      </w:r>
      <w:r w:rsidR="00D82C96" w:rsidRPr="0071782F">
        <w:rPr>
          <w:lang w:val="fr-CH"/>
        </w:rPr>
        <w:t> ans</w:t>
      </w:r>
      <w:r w:rsidR="00BD5308" w:rsidRPr="0071782F">
        <w:rPr>
          <w:lang w:val="fr-CH"/>
        </w:rPr>
        <w:t>, afin de sauvegarder leurs droits, de réduire au minimum leur exposition aux préjudices sociaux et d’améliorer la qualité de leur vie. Ces enfants sont mis en contact avec les centres d’accueil par les bases fixes et mobiles correspondantes, les autorités judiciaires compétentes ou les instituions publiques ou privées, comme les centres d’intervention en cas de crise</w:t>
      </w:r>
      <w:r w:rsidRPr="0071782F">
        <w:rPr>
          <w:lang w:val="fr-CH"/>
        </w:rPr>
        <w:t xml:space="preserve">, </w:t>
      </w:r>
      <w:r w:rsidR="00BD5308" w:rsidRPr="0071782F">
        <w:rPr>
          <w:lang w:val="fr-CH"/>
        </w:rPr>
        <w:t xml:space="preserve">ou la permanence téléphonique d’urgence sociale </w:t>
      </w:r>
      <w:r w:rsidRPr="0071782F">
        <w:rPr>
          <w:lang w:val="fr-CH"/>
        </w:rPr>
        <w:t>(123)</w:t>
      </w:r>
      <w:r w:rsidR="00BD5308" w:rsidRPr="0071782F">
        <w:rPr>
          <w:lang w:val="fr-CH"/>
        </w:rPr>
        <w:t>, ou s’y rendent par eux-mêmes</w:t>
      </w:r>
      <w:r w:rsidRPr="0071782F">
        <w:rPr>
          <w:lang w:val="fr-CH"/>
        </w:rPr>
        <w:t>.</w:t>
      </w:r>
    </w:p>
    <w:p w:rsidR="00E5019F" w:rsidRPr="0071782F" w:rsidRDefault="00E5019F" w:rsidP="00E5019F">
      <w:pPr>
        <w:pStyle w:val="H23G"/>
        <w:rPr>
          <w:lang w:val="fr-CH"/>
        </w:rPr>
      </w:pPr>
      <w:r w:rsidRPr="0071782F">
        <w:rPr>
          <w:lang w:val="fr-CH"/>
        </w:rPr>
        <w:tab/>
      </w:r>
      <w:r w:rsidRPr="0071782F">
        <w:rPr>
          <w:lang w:val="fr-CH"/>
        </w:rPr>
        <w:tab/>
      </w:r>
      <w:r w:rsidR="00BD5308" w:rsidRPr="0071782F">
        <w:rPr>
          <w:lang w:val="fr-CH"/>
        </w:rPr>
        <w:t>Rôle des institutions caritatives et privées</w:t>
      </w:r>
      <w:r w:rsidRPr="0071782F">
        <w:rPr>
          <w:lang w:val="fr-CH"/>
        </w:rPr>
        <w:t xml:space="preserve"> </w:t>
      </w:r>
    </w:p>
    <w:p w:rsidR="00E5019F" w:rsidRPr="0071782F" w:rsidRDefault="00E5019F" w:rsidP="00E5019F">
      <w:pPr>
        <w:pStyle w:val="SingleTxtG"/>
        <w:rPr>
          <w:lang w:val="fr-CH"/>
        </w:rPr>
      </w:pPr>
      <w:r w:rsidRPr="0071782F">
        <w:rPr>
          <w:lang w:val="fr-CH"/>
        </w:rPr>
        <w:t>303.</w:t>
      </w:r>
      <w:r w:rsidRPr="0071782F">
        <w:rPr>
          <w:lang w:val="fr-CH"/>
        </w:rPr>
        <w:tab/>
      </w:r>
      <w:r w:rsidR="0021463A" w:rsidRPr="0071782F">
        <w:rPr>
          <w:lang w:val="fr-CH"/>
        </w:rPr>
        <w:t>Pour réduire la participation et l’</w:t>
      </w:r>
      <w:r w:rsidRPr="0071782F">
        <w:rPr>
          <w:lang w:val="fr-CH"/>
        </w:rPr>
        <w:t xml:space="preserve">intervention </w:t>
      </w:r>
      <w:r w:rsidR="0021463A" w:rsidRPr="0071782F">
        <w:rPr>
          <w:lang w:val="fr-CH"/>
        </w:rPr>
        <w:t xml:space="preserve">de l’État dans un grand nombre d’affaires de caractère public, des mesures sont prises depuis quelques années pour </w:t>
      </w:r>
      <w:r w:rsidRPr="0071782F">
        <w:rPr>
          <w:lang w:val="fr-CH"/>
        </w:rPr>
        <w:t>promo</w:t>
      </w:r>
      <w:r w:rsidR="0021463A" w:rsidRPr="0071782F">
        <w:rPr>
          <w:lang w:val="fr-CH"/>
        </w:rPr>
        <w:t xml:space="preserve">uvoir la participation de la population et renforcer le rôle des </w:t>
      </w:r>
      <w:r w:rsidRPr="0071782F">
        <w:rPr>
          <w:lang w:val="fr-CH"/>
        </w:rPr>
        <w:t xml:space="preserve">institutions </w:t>
      </w:r>
      <w:r w:rsidR="0021463A" w:rsidRPr="0071782F">
        <w:rPr>
          <w:lang w:val="fr-CH"/>
        </w:rPr>
        <w:t>non gouvernementales dans la prestation de services publics</w:t>
      </w:r>
      <w:r w:rsidRPr="0071782F">
        <w:rPr>
          <w:lang w:val="fr-CH"/>
        </w:rPr>
        <w:t xml:space="preserve">. </w:t>
      </w:r>
      <w:r w:rsidR="0021463A" w:rsidRPr="0071782F">
        <w:rPr>
          <w:lang w:val="fr-CH"/>
        </w:rPr>
        <w:t xml:space="preserve">C’est ainsi qu’à l’heure actuelle, les ONG assurent plus de </w:t>
      </w:r>
      <w:r w:rsidRPr="0071782F">
        <w:rPr>
          <w:lang w:val="fr-CH"/>
        </w:rPr>
        <w:t>60</w:t>
      </w:r>
      <w:r w:rsidR="007E5125" w:rsidRPr="0071782F">
        <w:rPr>
          <w:lang w:val="fr-CH"/>
        </w:rPr>
        <w:t>%</w:t>
      </w:r>
      <w:r w:rsidRPr="0071782F">
        <w:rPr>
          <w:lang w:val="fr-CH"/>
        </w:rPr>
        <w:t xml:space="preserve"> </w:t>
      </w:r>
      <w:r w:rsidR="0021463A" w:rsidRPr="0071782F">
        <w:rPr>
          <w:lang w:val="fr-CH"/>
        </w:rPr>
        <w:t xml:space="preserve">des </w:t>
      </w:r>
      <w:r w:rsidRPr="0071782F">
        <w:rPr>
          <w:lang w:val="fr-CH"/>
        </w:rPr>
        <w:t xml:space="preserve">services </w:t>
      </w:r>
      <w:r w:rsidR="0021463A" w:rsidRPr="0071782F">
        <w:rPr>
          <w:lang w:val="fr-CH"/>
        </w:rPr>
        <w:t>liés à la prise en charge des enfants dans les centres ouverts 24</w:t>
      </w:r>
      <w:r w:rsidR="00BF435F" w:rsidRPr="0071782F">
        <w:rPr>
          <w:lang w:val="fr-CH"/>
        </w:rPr>
        <w:t> heures</w:t>
      </w:r>
      <w:r w:rsidR="0021463A" w:rsidRPr="0071782F">
        <w:rPr>
          <w:lang w:val="fr-CH"/>
        </w:rPr>
        <w:t xml:space="preserve"> sur 24</w:t>
      </w:r>
      <w:r w:rsidRPr="0071782F">
        <w:rPr>
          <w:lang w:val="fr-CH"/>
        </w:rPr>
        <w:t xml:space="preserve">. </w:t>
      </w:r>
      <w:r w:rsidR="0021463A" w:rsidRPr="0071782F">
        <w:rPr>
          <w:lang w:val="fr-CH"/>
        </w:rPr>
        <w:t xml:space="preserve">La délégation de certains programmes aux ONG et l’achat de leurs </w:t>
      </w:r>
      <w:r w:rsidRPr="0071782F">
        <w:rPr>
          <w:lang w:val="fr-CH"/>
        </w:rPr>
        <w:t xml:space="preserve">services </w:t>
      </w:r>
      <w:r w:rsidR="0021463A" w:rsidRPr="0071782F">
        <w:rPr>
          <w:lang w:val="fr-CH"/>
        </w:rPr>
        <w:t>spécialisés en tant que partenaires ont permis d’accélérer le rythme d’exécution de ces programmes et de réalisation de leurs objectifs</w:t>
      </w:r>
      <w:r w:rsidRPr="0071782F">
        <w:rPr>
          <w:lang w:val="fr-CH"/>
        </w:rPr>
        <w:t xml:space="preserve">. </w:t>
      </w:r>
      <w:r w:rsidR="0021463A" w:rsidRPr="0071782F">
        <w:rPr>
          <w:lang w:val="fr-CH"/>
        </w:rPr>
        <w:t xml:space="preserve">Par ailleurs, le bureau chargé des affaires concernant les </w:t>
      </w:r>
      <w:r w:rsidR="0071782F" w:rsidRPr="0071782F">
        <w:rPr>
          <w:lang w:val="fr-CH"/>
        </w:rPr>
        <w:t>personnes</w:t>
      </w:r>
      <w:r w:rsidR="0021463A" w:rsidRPr="0071782F">
        <w:rPr>
          <w:lang w:val="fr-CH"/>
        </w:rPr>
        <w:t xml:space="preserve"> victimes de préjudices sociaux, qui avait toujours été une institution publique, a cédé à partir de 2000 </w:t>
      </w:r>
      <w:r w:rsidRPr="0071782F">
        <w:rPr>
          <w:lang w:val="fr-CH"/>
        </w:rPr>
        <w:t>(</w:t>
      </w:r>
      <w:r w:rsidR="0021463A" w:rsidRPr="0071782F">
        <w:rPr>
          <w:lang w:val="fr-CH"/>
        </w:rPr>
        <w:t xml:space="preserve">et pendant les </w:t>
      </w:r>
      <w:r w:rsidR="009E6189">
        <w:rPr>
          <w:lang w:val="fr-CH"/>
        </w:rPr>
        <w:t xml:space="preserve">troisième </w:t>
      </w:r>
      <w:r w:rsidR="0021463A" w:rsidRPr="0071782F">
        <w:rPr>
          <w:lang w:val="fr-CH"/>
        </w:rPr>
        <w:t xml:space="preserve">et </w:t>
      </w:r>
      <w:r w:rsidR="00A90208" w:rsidRPr="0071782F">
        <w:rPr>
          <w:lang w:val="fr-CH"/>
        </w:rPr>
        <w:t>quatrième</w:t>
      </w:r>
      <w:r w:rsidR="009E6189">
        <w:rPr>
          <w:lang w:val="fr-CH"/>
        </w:rPr>
        <w:t xml:space="preserve"> </w:t>
      </w:r>
      <w:r w:rsidR="0021463A" w:rsidRPr="0071782F">
        <w:rPr>
          <w:lang w:val="fr-CH"/>
        </w:rPr>
        <w:t>plans de développement</w:t>
      </w:r>
      <w:r w:rsidRPr="0071782F">
        <w:rPr>
          <w:lang w:val="fr-CH"/>
        </w:rPr>
        <w:t xml:space="preserve">) </w:t>
      </w:r>
      <w:r w:rsidR="0021463A" w:rsidRPr="0071782F">
        <w:rPr>
          <w:lang w:val="fr-CH"/>
        </w:rPr>
        <w:t xml:space="preserve">certains de ses centres aux ONG, conformément au règlement relatif aux </w:t>
      </w:r>
      <w:r w:rsidR="00723F2B" w:rsidRPr="0071782F">
        <w:rPr>
          <w:lang w:val="fr-CH"/>
        </w:rPr>
        <w:t>articles </w:t>
      </w:r>
      <w:r w:rsidRPr="0071782F">
        <w:rPr>
          <w:lang w:val="fr-CH"/>
        </w:rPr>
        <w:t xml:space="preserve">26, 28 </w:t>
      </w:r>
      <w:r w:rsidR="0021463A" w:rsidRPr="0071782F">
        <w:rPr>
          <w:lang w:val="fr-CH"/>
        </w:rPr>
        <w:t>et</w:t>
      </w:r>
      <w:r w:rsidRPr="0071782F">
        <w:rPr>
          <w:lang w:val="fr-CH"/>
        </w:rPr>
        <w:t xml:space="preserve"> 88 </w:t>
      </w:r>
      <w:r w:rsidR="0021463A" w:rsidRPr="0071782F">
        <w:rPr>
          <w:lang w:val="fr-CH"/>
        </w:rPr>
        <w:t>de la loi sur la gestion de certains règlements financiers de l’État.</w:t>
      </w:r>
    </w:p>
    <w:p w:rsidR="00E5019F" w:rsidRPr="0071782F" w:rsidRDefault="00E5019F" w:rsidP="00E5019F">
      <w:pPr>
        <w:pStyle w:val="H23G"/>
        <w:rPr>
          <w:lang w:val="fr-CH"/>
        </w:rPr>
      </w:pPr>
      <w:r w:rsidRPr="0071782F">
        <w:rPr>
          <w:lang w:val="fr-CH"/>
        </w:rPr>
        <w:tab/>
      </w:r>
      <w:r w:rsidRPr="0071782F">
        <w:rPr>
          <w:lang w:val="fr-CH"/>
        </w:rPr>
        <w:tab/>
        <w:t>Pr</w:t>
      </w:r>
      <w:r w:rsidR="0021463A" w:rsidRPr="0071782F">
        <w:rPr>
          <w:lang w:val="fr-CH"/>
        </w:rPr>
        <w:t xml:space="preserve">estation de </w:t>
      </w:r>
      <w:r w:rsidRPr="0071782F">
        <w:rPr>
          <w:lang w:val="fr-CH"/>
        </w:rPr>
        <w:t xml:space="preserve">services </w:t>
      </w:r>
      <w:r w:rsidR="0021463A" w:rsidRPr="0071782F">
        <w:rPr>
          <w:lang w:val="fr-CH"/>
        </w:rPr>
        <w:t xml:space="preserve">de réadaptation </w:t>
      </w:r>
      <w:r w:rsidR="00175962" w:rsidRPr="0071782F">
        <w:rPr>
          <w:lang w:val="fr-CH"/>
        </w:rPr>
        <w:t>aux personnes</w:t>
      </w:r>
      <w:r w:rsidR="0021463A" w:rsidRPr="0071782F">
        <w:rPr>
          <w:lang w:val="fr-CH"/>
        </w:rPr>
        <w:t xml:space="preserve"> handicapées </w:t>
      </w:r>
    </w:p>
    <w:p w:rsidR="00E5019F" w:rsidRPr="0071782F" w:rsidRDefault="00E5019F" w:rsidP="00E5019F">
      <w:pPr>
        <w:pStyle w:val="SingleTxtG"/>
        <w:rPr>
          <w:lang w:val="fr-CH"/>
        </w:rPr>
      </w:pPr>
      <w:r w:rsidRPr="0071782F">
        <w:rPr>
          <w:lang w:val="fr-CH"/>
        </w:rPr>
        <w:t>304.</w:t>
      </w:r>
      <w:r w:rsidRPr="0071782F">
        <w:rPr>
          <w:lang w:val="fr-CH"/>
        </w:rPr>
        <w:tab/>
      </w:r>
      <w:r w:rsidR="0021463A" w:rsidRPr="0071782F">
        <w:rPr>
          <w:lang w:val="fr-CH"/>
        </w:rPr>
        <w:t xml:space="preserve">Les principaux domaines d’intervention sont </w:t>
      </w:r>
      <w:r w:rsidR="00AD7F91" w:rsidRPr="0071782F">
        <w:rPr>
          <w:lang w:val="fr-CH"/>
        </w:rPr>
        <w:t>le</w:t>
      </w:r>
      <w:r w:rsidR="0021463A" w:rsidRPr="0071782F">
        <w:rPr>
          <w:lang w:val="fr-CH"/>
        </w:rPr>
        <w:t>s suivants</w:t>
      </w:r>
      <w:r w:rsidR="008F7D33" w:rsidRPr="0071782F">
        <w:rPr>
          <w:lang w:val="fr-CH"/>
        </w:rPr>
        <w:t>:</w:t>
      </w:r>
    </w:p>
    <w:p w:rsidR="00E5019F" w:rsidRPr="0071782F" w:rsidRDefault="00E5019F" w:rsidP="00E5019F">
      <w:pPr>
        <w:pStyle w:val="SingleTxtG"/>
        <w:ind w:left="1701"/>
        <w:rPr>
          <w:lang w:val="fr-CH"/>
        </w:rPr>
      </w:pPr>
      <w:r w:rsidRPr="0071782F">
        <w:rPr>
          <w:lang w:val="fr-CH"/>
        </w:rPr>
        <w:t>304.1.</w:t>
      </w:r>
      <w:r w:rsidRPr="0071782F">
        <w:rPr>
          <w:lang w:val="fr-CH"/>
        </w:rPr>
        <w:tab/>
      </w:r>
      <w:r w:rsidR="00AD7F91" w:rsidRPr="0071782F">
        <w:rPr>
          <w:lang w:val="fr-CH"/>
        </w:rPr>
        <w:t xml:space="preserve">Achat d’équipements et prestation de services de réadaptation à l’intention </w:t>
      </w:r>
      <w:r w:rsidR="007F37CE" w:rsidRPr="0071782F">
        <w:rPr>
          <w:lang w:val="fr-CH"/>
        </w:rPr>
        <w:t>des personnes</w:t>
      </w:r>
      <w:r w:rsidR="00AD7F91" w:rsidRPr="0071782F">
        <w:rPr>
          <w:lang w:val="fr-CH"/>
        </w:rPr>
        <w:t xml:space="preserve"> handicapées</w:t>
      </w:r>
      <w:r w:rsidRPr="0071782F">
        <w:rPr>
          <w:lang w:val="fr-CH"/>
        </w:rPr>
        <w:t>.</w:t>
      </w:r>
    </w:p>
    <w:p w:rsidR="00E5019F" w:rsidRPr="0071782F" w:rsidRDefault="00E5019F" w:rsidP="00E5019F">
      <w:pPr>
        <w:pStyle w:val="SingleTxtG"/>
        <w:ind w:left="1701"/>
        <w:rPr>
          <w:lang w:val="fr-CH"/>
        </w:rPr>
      </w:pPr>
      <w:r w:rsidRPr="0071782F">
        <w:rPr>
          <w:lang w:val="fr-CH"/>
        </w:rPr>
        <w:t>304.2.</w:t>
      </w:r>
      <w:r w:rsidRPr="0071782F">
        <w:rPr>
          <w:lang w:val="fr-CH"/>
        </w:rPr>
        <w:tab/>
      </w:r>
      <w:r w:rsidR="00AD7F91" w:rsidRPr="0071782F">
        <w:rPr>
          <w:lang w:val="fr-CH"/>
        </w:rPr>
        <w:t>P</w:t>
      </w:r>
      <w:r w:rsidRPr="0071782F">
        <w:rPr>
          <w:lang w:val="fr-CH"/>
        </w:rPr>
        <w:t xml:space="preserve">lan </w:t>
      </w:r>
      <w:r w:rsidR="00AD7F91" w:rsidRPr="0071782F">
        <w:rPr>
          <w:lang w:val="fr-CH"/>
        </w:rPr>
        <w:t xml:space="preserve">de consultations périodiques effectuées par des équipes mobiles au domicile </w:t>
      </w:r>
      <w:r w:rsidR="00D82C96" w:rsidRPr="0071782F">
        <w:rPr>
          <w:lang w:val="fr-CH"/>
        </w:rPr>
        <w:t>de personnes</w:t>
      </w:r>
      <w:r w:rsidR="00AD7F91" w:rsidRPr="0071782F">
        <w:rPr>
          <w:lang w:val="fr-CH"/>
        </w:rPr>
        <w:t xml:space="preserve"> atteintes de lésions médullaires</w:t>
      </w:r>
      <w:r w:rsidRPr="0071782F">
        <w:rPr>
          <w:lang w:val="fr-CH"/>
        </w:rPr>
        <w:t>.</w:t>
      </w:r>
    </w:p>
    <w:p w:rsidR="00E5019F" w:rsidRPr="0071782F" w:rsidRDefault="00E5019F" w:rsidP="00E5019F">
      <w:pPr>
        <w:pStyle w:val="SingleTxtG"/>
        <w:ind w:left="1701"/>
        <w:rPr>
          <w:lang w:val="fr-CH"/>
        </w:rPr>
      </w:pPr>
      <w:r w:rsidRPr="0071782F">
        <w:rPr>
          <w:lang w:val="fr-CH"/>
        </w:rPr>
        <w:t>304.3.</w:t>
      </w:r>
      <w:r w:rsidRPr="0071782F">
        <w:rPr>
          <w:lang w:val="fr-CH"/>
        </w:rPr>
        <w:tab/>
      </w:r>
      <w:r w:rsidR="00AD7F91" w:rsidRPr="0071782F">
        <w:rPr>
          <w:lang w:val="fr-CH"/>
        </w:rPr>
        <w:t xml:space="preserve">Programme de formation à la vie pratique s’adressant aux enfants handicapés et autistes, d’information de </w:t>
      </w:r>
      <w:r w:rsidR="00B71907" w:rsidRPr="0071782F">
        <w:rPr>
          <w:lang w:val="fr-CH"/>
        </w:rPr>
        <w:t>la famille</w:t>
      </w:r>
      <w:r w:rsidR="00AD7F91" w:rsidRPr="0071782F">
        <w:rPr>
          <w:lang w:val="fr-CH"/>
        </w:rPr>
        <w:t xml:space="preserve"> et de sensibilisation de la société</w:t>
      </w:r>
      <w:r w:rsidRPr="0071782F">
        <w:rPr>
          <w:lang w:val="fr-CH"/>
        </w:rPr>
        <w:t>.</w:t>
      </w:r>
    </w:p>
    <w:p w:rsidR="00E5019F" w:rsidRPr="0071782F" w:rsidRDefault="00E5019F" w:rsidP="00E5019F">
      <w:pPr>
        <w:pStyle w:val="SingleTxtG"/>
        <w:ind w:left="1701"/>
        <w:rPr>
          <w:lang w:val="fr-CH"/>
        </w:rPr>
      </w:pPr>
      <w:r w:rsidRPr="0071782F">
        <w:rPr>
          <w:lang w:val="fr-CH"/>
        </w:rPr>
        <w:t>304.4.</w:t>
      </w:r>
      <w:r w:rsidRPr="0071782F">
        <w:rPr>
          <w:lang w:val="fr-CH"/>
        </w:rPr>
        <w:tab/>
      </w:r>
      <w:r w:rsidR="00AD7F91" w:rsidRPr="0071782F">
        <w:rPr>
          <w:lang w:val="fr-CH"/>
        </w:rPr>
        <w:t>Application des normes et règlements connexes dans les secteurs public et privé</w:t>
      </w:r>
      <w:r w:rsidRPr="0071782F">
        <w:rPr>
          <w:lang w:val="fr-CH"/>
        </w:rPr>
        <w:t>.</w:t>
      </w:r>
    </w:p>
    <w:p w:rsidR="00E5019F" w:rsidRPr="0071782F" w:rsidRDefault="008572D3" w:rsidP="00E5019F">
      <w:pPr>
        <w:pStyle w:val="SingleTxtG"/>
        <w:ind w:left="1701"/>
        <w:rPr>
          <w:lang w:val="fr-CH"/>
        </w:rPr>
      </w:pPr>
      <w:r w:rsidRPr="0071782F">
        <w:rPr>
          <w:lang w:val="fr-CH"/>
        </w:rPr>
        <w:t>304.5.</w:t>
      </w:r>
      <w:r w:rsidRPr="0071782F">
        <w:rPr>
          <w:lang w:val="fr-CH"/>
        </w:rPr>
        <w:tab/>
        <w:t>Harmonis</w:t>
      </w:r>
      <w:r w:rsidR="00E5019F" w:rsidRPr="0071782F">
        <w:rPr>
          <w:lang w:val="fr-CH"/>
        </w:rPr>
        <w:t xml:space="preserve">ation </w:t>
      </w:r>
      <w:r w:rsidR="00AD7F91" w:rsidRPr="0071782F">
        <w:rPr>
          <w:lang w:val="fr-CH"/>
        </w:rPr>
        <w:t>des tests de QI dans tout le pays</w:t>
      </w:r>
      <w:r w:rsidR="00E5019F" w:rsidRPr="0071782F">
        <w:rPr>
          <w:lang w:val="fr-CH"/>
        </w:rPr>
        <w:t>.</w:t>
      </w:r>
    </w:p>
    <w:p w:rsidR="00E5019F" w:rsidRPr="0071782F" w:rsidRDefault="00E5019F" w:rsidP="00E5019F">
      <w:pPr>
        <w:pStyle w:val="SingleTxtG"/>
        <w:ind w:left="1701"/>
        <w:rPr>
          <w:lang w:val="fr-CH"/>
        </w:rPr>
      </w:pPr>
      <w:r w:rsidRPr="0071782F">
        <w:rPr>
          <w:lang w:val="fr-CH"/>
        </w:rPr>
        <w:t>304.6.</w:t>
      </w:r>
      <w:r w:rsidRPr="0071782F">
        <w:rPr>
          <w:lang w:val="fr-CH"/>
        </w:rPr>
        <w:tab/>
      </w:r>
      <w:r w:rsidR="00AD7F91" w:rsidRPr="0071782F">
        <w:rPr>
          <w:lang w:val="fr-CH"/>
        </w:rPr>
        <w:t>Promotion et octroi de subventions pour la prise en charge d’enfants ayant une déficience mentale, s’agissant de fournir des services de réadaptation à ces enfants et de financer les dépenses y relatives</w:t>
      </w:r>
      <w:r w:rsidRPr="0071782F">
        <w:rPr>
          <w:lang w:val="fr-CH"/>
        </w:rPr>
        <w:t>.</w:t>
      </w:r>
    </w:p>
    <w:p w:rsidR="00E5019F" w:rsidRPr="0071782F" w:rsidRDefault="00E5019F" w:rsidP="00E5019F">
      <w:pPr>
        <w:pStyle w:val="SingleTxtG"/>
        <w:ind w:left="1701"/>
        <w:rPr>
          <w:lang w:val="fr-CH"/>
        </w:rPr>
      </w:pPr>
      <w:r w:rsidRPr="0071782F">
        <w:rPr>
          <w:lang w:val="fr-CH"/>
        </w:rPr>
        <w:t>304.7.</w:t>
      </w:r>
      <w:r w:rsidRPr="0071782F">
        <w:rPr>
          <w:lang w:val="fr-CH"/>
        </w:rPr>
        <w:tab/>
      </w:r>
      <w:r w:rsidR="000601AE" w:rsidRPr="0071782F">
        <w:rPr>
          <w:lang w:val="fr-CH"/>
        </w:rPr>
        <w:t xml:space="preserve">Évaluation des besoins des </w:t>
      </w:r>
      <w:r w:rsidRPr="0071782F">
        <w:rPr>
          <w:lang w:val="fr-CH"/>
        </w:rPr>
        <w:t xml:space="preserve">provinces </w:t>
      </w:r>
      <w:r w:rsidR="000601AE" w:rsidRPr="0071782F">
        <w:rPr>
          <w:lang w:val="fr-CH"/>
        </w:rPr>
        <w:t>en institutions de prise en charge non gouvernementales en fonction des facteurs démographiques et de l’offre et de la demande</w:t>
      </w:r>
      <w:r w:rsidRPr="0071782F">
        <w:rPr>
          <w:lang w:val="fr-CH"/>
        </w:rPr>
        <w:t>.</w:t>
      </w:r>
    </w:p>
    <w:p w:rsidR="00E5019F" w:rsidRPr="0071782F" w:rsidRDefault="00E5019F" w:rsidP="00E5019F">
      <w:pPr>
        <w:pStyle w:val="SingleTxtG"/>
        <w:ind w:left="1701"/>
        <w:rPr>
          <w:lang w:val="fr-CH"/>
        </w:rPr>
      </w:pPr>
      <w:r w:rsidRPr="0071782F">
        <w:rPr>
          <w:lang w:val="fr-CH"/>
        </w:rPr>
        <w:t>304.8.</w:t>
      </w:r>
      <w:r w:rsidRPr="0071782F">
        <w:rPr>
          <w:lang w:val="fr-CH"/>
        </w:rPr>
        <w:tab/>
      </w:r>
      <w:r w:rsidR="009E1230" w:rsidRPr="0071782F">
        <w:rPr>
          <w:lang w:val="fr-CH"/>
        </w:rPr>
        <w:t xml:space="preserve">Cession temporaire d’une partie des installations des centres d’accueil </w:t>
      </w:r>
      <w:r w:rsidR="00A234E8" w:rsidRPr="0071782F">
        <w:rPr>
          <w:lang w:val="fr-CH"/>
        </w:rPr>
        <w:t>aux familles</w:t>
      </w:r>
      <w:r w:rsidR="009E1230" w:rsidRPr="0071782F">
        <w:rPr>
          <w:lang w:val="fr-CH"/>
        </w:rPr>
        <w:t xml:space="preserve"> ayant des enfants atteints de déficiences mentales</w:t>
      </w:r>
      <w:r w:rsidRPr="0071782F">
        <w:rPr>
          <w:lang w:val="fr-CH"/>
        </w:rPr>
        <w:t>.</w:t>
      </w:r>
    </w:p>
    <w:p w:rsidR="00E5019F" w:rsidRPr="0071782F" w:rsidRDefault="00E5019F" w:rsidP="00E5019F">
      <w:pPr>
        <w:pStyle w:val="SingleTxtG"/>
        <w:ind w:left="1701"/>
        <w:rPr>
          <w:lang w:val="fr-CH"/>
        </w:rPr>
      </w:pPr>
      <w:r w:rsidRPr="0071782F">
        <w:rPr>
          <w:lang w:val="fr-CH"/>
        </w:rPr>
        <w:t>304.9.</w:t>
      </w:r>
      <w:r w:rsidRPr="0071782F">
        <w:rPr>
          <w:lang w:val="fr-CH"/>
        </w:rPr>
        <w:tab/>
        <w:t>I</w:t>
      </w:r>
      <w:r w:rsidR="009E1230" w:rsidRPr="0071782F">
        <w:rPr>
          <w:lang w:val="fr-CH"/>
        </w:rPr>
        <w:t xml:space="preserve">mplication et utilisation des institutions privées dans la </w:t>
      </w:r>
      <w:r w:rsidRPr="0071782F">
        <w:rPr>
          <w:lang w:val="fr-CH"/>
        </w:rPr>
        <w:t>r</w:t>
      </w:r>
      <w:r w:rsidR="009E1230" w:rsidRPr="0071782F">
        <w:rPr>
          <w:lang w:val="fr-CH"/>
        </w:rPr>
        <w:t>é</w:t>
      </w:r>
      <w:r w:rsidRPr="0071782F">
        <w:rPr>
          <w:lang w:val="fr-CH"/>
        </w:rPr>
        <w:t xml:space="preserve">gulation </w:t>
      </w:r>
      <w:r w:rsidR="009E1230" w:rsidRPr="0071782F">
        <w:rPr>
          <w:lang w:val="fr-CH"/>
        </w:rPr>
        <w:t xml:space="preserve">des affaires </w:t>
      </w:r>
      <w:r w:rsidR="007F37CE" w:rsidRPr="0071782F">
        <w:rPr>
          <w:lang w:val="fr-CH"/>
        </w:rPr>
        <w:t>des personnes</w:t>
      </w:r>
      <w:r w:rsidR="009E1230" w:rsidRPr="0071782F">
        <w:rPr>
          <w:lang w:val="fr-CH"/>
        </w:rPr>
        <w:t xml:space="preserve"> handicapées</w:t>
      </w:r>
      <w:r w:rsidRPr="0071782F">
        <w:rPr>
          <w:lang w:val="fr-CH"/>
        </w:rPr>
        <w:t>.</w:t>
      </w:r>
    </w:p>
    <w:p w:rsidR="00E5019F" w:rsidRPr="0071782F" w:rsidRDefault="00E5019F" w:rsidP="00E5019F">
      <w:pPr>
        <w:pStyle w:val="SingleTxtG"/>
        <w:ind w:left="1701"/>
        <w:rPr>
          <w:lang w:val="fr-CH"/>
        </w:rPr>
      </w:pPr>
      <w:r w:rsidRPr="0071782F">
        <w:rPr>
          <w:lang w:val="fr-CH"/>
        </w:rPr>
        <w:t xml:space="preserve">304.10. </w:t>
      </w:r>
      <w:r w:rsidR="009E1230" w:rsidRPr="0071782F">
        <w:rPr>
          <w:lang w:val="fr-CH"/>
        </w:rPr>
        <w:t xml:space="preserve">Création d’ateliers spécialement conçus pour aider </w:t>
      </w:r>
      <w:r w:rsidR="00A233C2" w:rsidRPr="0071782F">
        <w:rPr>
          <w:lang w:val="fr-CH"/>
        </w:rPr>
        <w:t>les personnes</w:t>
      </w:r>
      <w:r w:rsidR="009E1230" w:rsidRPr="0071782F">
        <w:rPr>
          <w:lang w:val="fr-CH"/>
        </w:rPr>
        <w:t xml:space="preserve"> atteintes de déficiences mentales et appui à ces ateliers</w:t>
      </w:r>
      <w:r w:rsidRPr="0071782F">
        <w:rPr>
          <w:lang w:val="fr-CH"/>
        </w:rPr>
        <w:t>.</w:t>
      </w:r>
    </w:p>
    <w:p w:rsidR="00E5019F" w:rsidRPr="0071782F" w:rsidRDefault="00E5019F" w:rsidP="00E5019F">
      <w:pPr>
        <w:pStyle w:val="SingleTxtG"/>
        <w:ind w:left="1701"/>
        <w:rPr>
          <w:lang w:val="fr-CH"/>
        </w:rPr>
      </w:pPr>
      <w:r w:rsidRPr="0071782F">
        <w:rPr>
          <w:lang w:val="fr-CH"/>
        </w:rPr>
        <w:t xml:space="preserve">304.11. </w:t>
      </w:r>
      <w:r w:rsidR="009E1230" w:rsidRPr="0071782F">
        <w:rPr>
          <w:lang w:val="fr-CH"/>
        </w:rPr>
        <w:t xml:space="preserve">Mise en </w:t>
      </w:r>
      <w:r w:rsidR="00D5366B" w:rsidRPr="0071782F">
        <w:rPr>
          <w:lang w:val="fr-CH"/>
        </w:rPr>
        <w:t>œuvre</w:t>
      </w:r>
      <w:r w:rsidR="009E1230" w:rsidRPr="0071782F">
        <w:rPr>
          <w:lang w:val="fr-CH"/>
        </w:rPr>
        <w:t xml:space="preserve"> de l’a</w:t>
      </w:r>
      <w:r w:rsidRPr="0071782F">
        <w:rPr>
          <w:lang w:val="fr-CH"/>
        </w:rPr>
        <w:t>rt</w:t>
      </w:r>
      <w:r w:rsidR="009E1230" w:rsidRPr="0071782F">
        <w:rPr>
          <w:lang w:val="fr-CH"/>
        </w:rPr>
        <w:t>-</w:t>
      </w:r>
      <w:r w:rsidRPr="0071782F">
        <w:rPr>
          <w:lang w:val="fr-CH"/>
        </w:rPr>
        <w:t>th</w:t>
      </w:r>
      <w:r w:rsidR="009E1230" w:rsidRPr="0071782F">
        <w:rPr>
          <w:lang w:val="fr-CH"/>
        </w:rPr>
        <w:t>é</w:t>
      </w:r>
      <w:r w:rsidRPr="0071782F">
        <w:rPr>
          <w:lang w:val="fr-CH"/>
        </w:rPr>
        <w:t>rap</w:t>
      </w:r>
      <w:r w:rsidR="009E1230" w:rsidRPr="0071782F">
        <w:rPr>
          <w:lang w:val="fr-CH"/>
        </w:rPr>
        <w:t>ie et organisation de festivals artistiques pour</w:t>
      </w:r>
      <w:r w:rsidR="00D36718">
        <w:rPr>
          <w:lang w:val="fr-CH"/>
        </w:rPr>
        <w:t xml:space="preserve"> </w:t>
      </w:r>
      <w:r w:rsidR="00A233C2" w:rsidRPr="0071782F">
        <w:rPr>
          <w:lang w:val="fr-CH"/>
        </w:rPr>
        <w:t>les personnes</w:t>
      </w:r>
      <w:r w:rsidR="009E1230" w:rsidRPr="0071782F">
        <w:rPr>
          <w:lang w:val="fr-CH"/>
        </w:rPr>
        <w:t xml:space="preserve"> atteintes de déficiences mentales</w:t>
      </w:r>
      <w:r w:rsidRPr="0071782F">
        <w:rPr>
          <w:lang w:val="fr-CH"/>
        </w:rPr>
        <w:t>.</w:t>
      </w:r>
    </w:p>
    <w:p w:rsidR="00E5019F" w:rsidRPr="0071782F" w:rsidRDefault="00E5019F" w:rsidP="00E5019F">
      <w:pPr>
        <w:pStyle w:val="SingleTxtG"/>
        <w:ind w:left="1701"/>
        <w:rPr>
          <w:lang w:val="fr-CH"/>
        </w:rPr>
      </w:pPr>
      <w:r w:rsidRPr="0071782F">
        <w:rPr>
          <w:lang w:val="fr-CH"/>
        </w:rPr>
        <w:t>304.12. Pr</w:t>
      </w:r>
      <w:r w:rsidR="009E1230" w:rsidRPr="0071782F">
        <w:rPr>
          <w:lang w:val="fr-CH"/>
        </w:rPr>
        <w:t xml:space="preserve">estation de </w:t>
      </w:r>
      <w:r w:rsidRPr="0071782F">
        <w:rPr>
          <w:lang w:val="fr-CH"/>
        </w:rPr>
        <w:t xml:space="preserve">services </w:t>
      </w:r>
      <w:r w:rsidR="009E1230" w:rsidRPr="0071782F">
        <w:rPr>
          <w:lang w:val="fr-CH"/>
        </w:rPr>
        <w:t xml:space="preserve">aux </w:t>
      </w:r>
      <w:r w:rsidRPr="0071782F">
        <w:rPr>
          <w:lang w:val="fr-CH"/>
        </w:rPr>
        <w:t xml:space="preserve">patients, </w:t>
      </w:r>
      <w:r w:rsidR="00175962" w:rsidRPr="0071782F">
        <w:rPr>
          <w:lang w:val="fr-CH"/>
        </w:rPr>
        <w:t>aux personnes</w:t>
      </w:r>
      <w:r w:rsidR="009E1230" w:rsidRPr="0071782F">
        <w:rPr>
          <w:lang w:val="fr-CH"/>
        </w:rPr>
        <w:t xml:space="preserve"> handicapées et </w:t>
      </w:r>
      <w:r w:rsidR="00175962" w:rsidRPr="0071782F">
        <w:rPr>
          <w:lang w:val="fr-CH"/>
        </w:rPr>
        <w:t>aux personnes</w:t>
      </w:r>
      <w:r w:rsidR="009E1230" w:rsidRPr="0071782F">
        <w:rPr>
          <w:lang w:val="fr-CH"/>
        </w:rPr>
        <w:t xml:space="preserve"> âgées dans les centres de jour, les centres ouverts 24</w:t>
      </w:r>
      <w:r w:rsidR="00BF435F" w:rsidRPr="0071782F">
        <w:rPr>
          <w:lang w:val="fr-CH"/>
        </w:rPr>
        <w:t> heures</w:t>
      </w:r>
      <w:r w:rsidR="009E1230" w:rsidRPr="0071782F">
        <w:rPr>
          <w:lang w:val="fr-CH"/>
        </w:rPr>
        <w:t xml:space="preserve"> sur 24 et à domicile, grâce à la création d’équipes de suivi.</w:t>
      </w:r>
      <w:r w:rsidR="00D36718">
        <w:rPr>
          <w:lang w:val="fr-CH"/>
        </w:rPr>
        <w:t xml:space="preserve"> </w:t>
      </w:r>
    </w:p>
    <w:p w:rsidR="00E5019F" w:rsidRPr="0071782F" w:rsidRDefault="00E5019F" w:rsidP="00E5019F">
      <w:pPr>
        <w:pStyle w:val="SingleTxtG"/>
        <w:ind w:left="1701"/>
        <w:rPr>
          <w:lang w:val="fr-CH"/>
        </w:rPr>
      </w:pPr>
      <w:r w:rsidRPr="0071782F">
        <w:rPr>
          <w:lang w:val="fr-CH"/>
        </w:rPr>
        <w:t xml:space="preserve">304.13. </w:t>
      </w:r>
      <w:r w:rsidR="009E1230" w:rsidRPr="0071782F">
        <w:rPr>
          <w:lang w:val="fr-CH"/>
        </w:rPr>
        <w:t xml:space="preserve">Renforcement de l’autonomie </w:t>
      </w:r>
      <w:r w:rsidR="007F37CE" w:rsidRPr="0071782F">
        <w:rPr>
          <w:lang w:val="fr-CH"/>
        </w:rPr>
        <w:t>des personnes</w:t>
      </w:r>
      <w:r w:rsidR="009E1230" w:rsidRPr="0071782F">
        <w:rPr>
          <w:lang w:val="fr-CH"/>
        </w:rPr>
        <w:t xml:space="preserve"> âgées grâce à l’aide des réseaux urbains et ruraux de protection sociale</w:t>
      </w:r>
      <w:r w:rsidRPr="0071782F">
        <w:rPr>
          <w:lang w:val="fr-CH"/>
        </w:rPr>
        <w:t>.</w:t>
      </w:r>
    </w:p>
    <w:p w:rsidR="00E5019F" w:rsidRPr="0071782F" w:rsidRDefault="00E5019F" w:rsidP="00E5019F">
      <w:pPr>
        <w:pStyle w:val="SingleTxtG"/>
        <w:ind w:left="1701"/>
        <w:rPr>
          <w:lang w:val="fr-CH"/>
        </w:rPr>
      </w:pPr>
      <w:r w:rsidRPr="0071782F">
        <w:rPr>
          <w:lang w:val="fr-CH"/>
        </w:rPr>
        <w:t xml:space="preserve">304.14. </w:t>
      </w:r>
      <w:r w:rsidR="005721FB" w:rsidRPr="0071782F">
        <w:rPr>
          <w:lang w:val="fr-CH"/>
        </w:rPr>
        <w:t xml:space="preserve">Activités du secrétariat du Conseil national pour </w:t>
      </w:r>
      <w:r w:rsidR="00A233C2" w:rsidRPr="0071782F">
        <w:rPr>
          <w:lang w:val="fr-CH"/>
        </w:rPr>
        <w:t>les personnes</w:t>
      </w:r>
      <w:r w:rsidR="005721FB" w:rsidRPr="0071782F">
        <w:rPr>
          <w:lang w:val="fr-CH"/>
        </w:rPr>
        <w:t xml:space="preserve"> âgées et suivi des décisions de ce dernier</w:t>
      </w:r>
      <w:r w:rsidRPr="0071782F">
        <w:rPr>
          <w:lang w:val="fr-CH"/>
        </w:rPr>
        <w:t>.</w:t>
      </w:r>
    </w:p>
    <w:p w:rsidR="00E5019F" w:rsidRPr="0071782F" w:rsidRDefault="00E5019F" w:rsidP="00E5019F">
      <w:pPr>
        <w:pStyle w:val="SingleTxtG"/>
        <w:ind w:left="1701"/>
        <w:rPr>
          <w:lang w:val="fr-CH"/>
        </w:rPr>
      </w:pPr>
      <w:r w:rsidRPr="0071782F">
        <w:rPr>
          <w:lang w:val="fr-CH"/>
        </w:rPr>
        <w:t xml:space="preserve">304.15. </w:t>
      </w:r>
      <w:r w:rsidR="005721FB" w:rsidRPr="0071782F">
        <w:rPr>
          <w:lang w:val="fr-CH"/>
        </w:rPr>
        <w:t>Placement et emploi</w:t>
      </w:r>
      <w:r w:rsidRPr="0071782F">
        <w:rPr>
          <w:lang w:val="fr-CH"/>
        </w:rPr>
        <w:t>.</w:t>
      </w:r>
    </w:p>
    <w:p w:rsidR="00E5019F" w:rsidRPr="0071782F" w:rsidRDefault="00E5019F" w:rsidP="00E5019F">
      <w:pPr>
        <w:pStyle w:val="SingleTxtG"/>
        <w:ind w:left="1701"/>
        <w:rPr>
          <w:lang w:val="fr-CH"/>
        </w:rPr>
      </w:pPr>
      <w:r w:rsidRPr="0071782F">
        <w:rPr>
          <w:lang w:val="fr-CH"/>
        </w:rPr>
        <w:t xml:space="preserve">304.16. </w:t>
      </w:r>
      <w:r w:rsidR="005721FB" w:rsidRPr="0071782F">
        <w:rPr>
          <w:lang w:val="fr-CH"/>
        </w:rPr>
        <w:t>Fourniture d’un appui social</w:t>
      </w:r>
      <w:r w:rsidRPr="0071782F">
        <w:rPr>
          <w:lang w:val="fr-CH"/>
        </w:rPr>
        <w:t>.</w:t>
      </w:r>
    </w:p>
    <w:p w:rsidR="00E5019F" w:rsidRPr="0071782F" w:rsidRDefault="00E5019F" w:rsidP="00E5019F">
      <w:pPr>
        <w:pStyle w:val="SingleTxtG"/>
        <w:ind w:left="1701"/>
        <w:rPr>
          <w:lang w:val="fr-CH"/>
        </w:rPr>
      </w:pPr>
      <w:r w:rsidRPr="0071782F">
        <w:rPr>
          <w:lang w:val="fr-CH"/>
        </w:rPr>
        <w:t xml:space="preserve">304.17. </w:t>
      </w:r>
      <w:r w:rsidR="005721FB" w:rsidRPr="0071782F">
        <w:rPr>
          <w:lang w:val="fr-CH"/>
        </w:rPr>
        <w:t>Étude et f</w:t>
      </w:r>
      <w:r w:rsidRPr="0071782F">
        <w:rPr>
          <w:lang w:val="fr-CH"/>
        </w:rPr>
        <w:t xml:space="preserve">ormulation </w:t>
      </w:r>
      <w:r w:rsidR="005721FB" w:rsidRPr="0071782F">
        <w:rPr>
          <w:lang w:val="fr-CH"/>
        </w:rPr>
        <w:t>des orientations des activité</w:t>
      </w:r>
      <w:r w:rsidRPr="0071782F">
        <w:rPr>
          <w:lang w:val="fr-CH"/>
        </w:rPr>
        <w:t xml:space="preserve">s </w:t>
      </w:r>
      <w:r w:rsidR="005721FB" w:rsidRPr="0071782F">
        <w:rPr>
          <w:lang w:val="fr-CH"/>
        </w:rPr>
        <w:t>des centres de jour et des centres ouverts 24</w:t>
      </w:r>
      <w:r w:rsidR="00BF435F" w:rsidRPr="0071782F">
        <w:rPr>
          <w:lang w:val="fr-CH"/>
        </w:rPr>
        <w:t> heures</w:t>
      </w:r>
      <w:r w:rsidR="005721FB" w:rsidRPr="0071782F">
        <w:rPr>
          <w:lang w:val="fr-CH"/>
        </w:rPr>
        <w:t xml:space="preserve"> sur 24 qui fournissent des </w:t>
      </w:r>
      <w:r w:rsidRPr="0071782F">
        <w:rPr>
          <w:lang w:val="fr-CH"/>
        </w:rPr>
        <w:t xml:space="preserve">services </w:t>
      </w:r>
      <w:r w:rsidR="00175962" w:rsidRPr="0071782F">
        <w:rPr>
          <w:lang w:val="fr-CH"/>
        </w:rPr>
        <w:t>aux personnes</w:t>
      </w:r>
      <w:r w:rsidR="005721FB" w:rsidRPr="0071782F">
        <w:rPr>
          <w:lang w:val="fr-CH"/>
        </w:rPr>
        <w:t xml:space="preserve"> handicapées, </w:t>
      </w:r>
      <w:r w:rsidR="00175962" w:rsidRPr="0071782F">
        <w:rPr>
          <w:lang w:val="fr-CH"/>
        </w:rPr>
        <w:t>aux personnes</w:t>
      </w:r>
      <w:r w:rsidR="005721FB" w:rsidRPr="0071782F">
        <w:rPr>
          <w:lang w:val="fr-CH"/>
        </w:rPr>
        <w:t xml:space="preserve"> âgées et </w:t>
      </w:r>
      <w:r w:rsidR="00175962" w:rsidRPr="0071782F">
        <w:rPr>
          <w:lang w:val="fr-CH"/>
        </w:rPr>
        <w:t>aux personnes</w:t>
      </w:r>
      <w:r w:rsidR="005721FB" w:rsidRPr="0071782F">
        <w:rPr>
          <w:lang w:val="fr-CH"/>
        </w:rPr>
        <w:t xml:space="preserve"> souffrant de maladies mentales chroniques</w:t>
      </w:r>
      <w:r w:rsidRPr="0071782F">
        <w:rPr>
          <w:lang w:val="fr-CH"/>
        </w:rPr>
        <w:t>.</w:t>
      </w:r>
    </w:p>
    <w:p w:rsidR="00E5019F" w:rsidRPr="0071782F" w:rsidRDefault="00E5019F" w:rsidP="00E5019F">
      <w:pPr>
        <w:pStyle w:val="SingleTxtG"/>
        <w:ind w:left="1701"/>
        <w:rPr>
          <w:lang w:val="fr-CH"/>
        </w:rPr>
      </w:pPr>
      <w:r w:rsidRPr="0071782F">
        <w:rPr>
          <w:lang w:val="fr-CH"/>
        </w:rPr>
        <w:t>304.18. Supervisi</w:t>
      </w:r>
      <w:r w:rsidR="001644E2" w:rsidRPr="0071782F">
        <w:rPr>
          <w:lang w:val="fr-CH"/>
        </w:rPr>
        <w:t>on</w:t>
      </w:r>
      <w:r w:rsidRPr="0071782F">
        <w:rPr>
          <w:lang w:val="fr-CH"/>
        </w:rPr>
        <w:t xml:space="preserve"> </w:t>
      </w:r>
      <w:r w:rsidR="001644E2" w:rsidRPr="0071782F">
        <w:rPr>
          <w:lang w:val="fr-CH"/>
        </w:rPr>
        <w:t xml:space="preserve">et suivi de la </w:t>
      </w:r>
      <w:r w:rsidRPr="0071782F">
        <w:rPr>
          <w:lang w:val="fr-CH"/>
        </w:rPr>
        <w:t>r</w:t>
      </w:r>
      <w:r w:rsidR="001644E2" w:rsidRPr="0071782F">
        <w:rPr>
          <w:lang w:val="fr-CH"/>
        </w:rPr>
        <w:t>é</w:t>
      </w:r>
      <w:r w:rsidRPr="0071782F">
        <w:rPr>
          <w:lang w:val="fr-CH"/>
        </w:rPr>
        <w:t xml:space="preserve">gulation </w:t>
      </w:r>
      <w:r w:rsidR="001644E2" w:rsidRPr="0071782F">
        <w:rPr>
          <w:lang w:val="fr-CH"/>
        </w:rPr>
        <w:t xml:space="preserve">des </w:t>
      </w:r>
      <w:r w:rsidRPr="0071782F">
        <w:rPr>
          <w:lang w:val="fr-CH"/>
        </w:rPr>
        <w:t>activit</w:t>
      </w:r>
      <w:r w:rsidR="001644E2" w:rsidRPr="0071782F">
        <w:rPr>
          <w:lang w:val="fr-CH"/>
        </w:rPr>
        <w:t>é</w:t>
      </w:r>
      <w:r w:rsidRPr="0071782F">
        <w:rPr>
          <w:lang w:val="fr-CH"/>
        </w:rPr>
        <w:t xml:space="preserve">s </w:t>
      </w:r>
      <w:r w:rsidR="001644E2" w:rsidRPr="0071782F">
        <w:rPr>
          <w:lang w:val="fr-CH"/>
        </w:rPr>
        <w:t>des</w:t>
      </w:r>
      <w:r w:rsidRPr="0071782F">
        <w:rPr>
          <w:lang w:val="fr-CH"/>
        </w:rPr>
        <w:t xml:space="preserve"> institutions </w:t>
      </w:r>
      <w:r w:rsidR="001644E2" w:rsidRPr="0071782F">
        <w:rPr>
          <w:lang w:val="fr-CH"/>
        </w:rPr>
        <w:t xml:space="preserve">publiques et privées et </w:t>
      </w:r>
      <w:r w:rsidR="004E45FB" w:rsidRPr="0071782F">
        <w:rPr>
          <w:lang w:val="fr-CH"/>
        </w:rPr>
        <w:t>des familles</w:t>
      </w:r>
      <w:r w:rsidR="001644E2" w:rsidRPr="0071782F">
        <w:rPr>
          <w:lang w:val="fr-CH"/>
        </w:rPr>
        <w:t xml:space="preserve"> qui s’occupent </w:t>
      </w:r>
      <w:r w:rsidR="00D82C96" w:rsidRPr="0071782F">
        <w:rPr>
          <w:lang w:val="fr-CH"/>
        </w:rPr>
        <w:t>de personnes</w:t>
      </w:r>
      <w:r w:rsidR="001644E2" w:rsidRPr="0071782F">
        <w:rPr>
          <w:lang w:val="fr-CH"/>
        </w:rPr>
        <w:t xml:space="preserve"> handicapées</w:t>
      </w:r>
      <w:r w:rsidRPr="0071782F">
        <w:rPr>
          <w:lang w:val="fr-CH"/>
        </w:rPr>
        <w:t>.</w:t>
      </w:r>
    </w:p>
    <w:p w:rsidR="00E5019F" w:rsidRPr="0071782F" w:rsidRDefault="00E5019F" w:rsidP="00E5019F">
      <w:pPr>
        <w:pStyle w:val="SingleTxtG"/>
        <w:ind w:left="1701"/>
        <w:rPr>
          <w:lang w:val="fr-CH"/>
        </w:rPr>
      </w:pPr>
      <w:r w:rsidRPr="0071782F">
        <w:rPr>
          <w:lang w:val="fr-CH"/>
        </w:rPr>
        <w:t xml:space="preserve">304.19. </w:t>
      </w:r>
      <w:r w:rsidR="008C102E" w:rsidRPr="0071782F">
        <w:rPr>
          <w:lang w:val="fr-CH"/>
        </w:rPr>
        <w:t xml:space="preserve">Fourniture des six services de réadaptation axée sur la collectivité </w:t>
      </w:r>
      <w:r w:rsidR="008572D3" w:rsidRPr="0071782F">
        <w:rPr>
          <w:lang w:val="fr-CH"/>
        </w:rPr>
        <w:t xml:space="preserve">(RAC) </w:t>
      </w:r>
      <w:r w:rsidR="008C102E" w:rsidRPr="0071782F">
        <w:rPr>
          <w:lang w:val="fr-CH"/>
        </w:rPr>
        <w:t xml:space="preserve">pour permettre </w:t>
      </w:r>
      <w:r w:rsidR="00175962" w:rsidRPr="0071782F">
        <w:rPr>
          <w:lang w:val="fr-CH"/>
        </w:rPr>
        <w:t>aux personnes</w:t>
      </w:r>
      <w:r w:rsidR="008C102E" w:rsidRPr="0071782F">
        <w:rPr>
          <w:lang w:val="fr-CH"/>
        </w:rPr>
        <w:t xml:space="preserve"> handicapées de retrouver leur indépendance individuelle</w:t>
      </w:r>
      <w:r w:rsidRPr="0071782F">
        <w:rPr>
          <w:lang w:val="fr-CH"/>
        </w:rPr>
        <w:t>.</w:t>
      </w:r>
    </w:p>
    <w:p w:rsidR="00E5019F" w:rsidRPr="0071782F" w:rsidRDefault="00E5019F" w:rsidP="00E5019F">
      <w:pPr>
        <w:pStyle w:val="SingleTxtG"/>
        <w:ind w:left="1701"/>
        <w:rPr>
          <w:lang w:val="fr-CH"/>
        </w:rPr>
      </w:pPr>
      <w:r w:rsidRPr="0071782F">
        <w:rPr>
          <w:lang w:val="fr-CH"/>
        </w:rPr>
        <w:t xml:space="preserve">304.20. </w:t>
      </w:r>
      <w:r w:rsidR="008C102E" w:rsidRPr="0071782F">
        <w:rPr>
          <w:lang w:val="fr-CH"/>
        </w:rPr>
        <w:t xml:space="preserve">Garantie de la prestation des </w:t>
      </w:r>
      <w:r w:rsidRPr="0071782F">
        <w:rPr>
          <w:lang w:val="fr-CH"/>
        </w:rPr>
        <w:t xml:space="preserve">services </w:t>
      </w:r>
      <w:r w:rsidR="008C102E" w:rsidRPr="0071782F">
        <w:rPr>
          <w:lang w:val="fr-CH"/>
        </w:rPr>
        <w:t xml:space="preserve">et des soins prévus pour </w:t>
      </w:r>
      <w:r w:rsidR="00A233C2" w:rsidRPr="0071782F">
        <w:rPr>
          <w:lang w:val="fr-CH"/>
        </w:rPr>
        <w:t>les personnes</w:t>
      </w:r>
      <w:r w:rsidR="008C102E" w:rsidRPr="0071782F">
        <w:rPr>
          <w:lang w:val="fr-CH"/>
        </w:rPr>
        <w:t xml:space="preserve"> ayant des problèmes de mobilité physique ou présentant des lésions médullaires dans les centres privés</w:t>
      </w:r>
      <w:r w:rsidRPr="0071782F">
        <w:rPr>
          <w:lang w:val="fr-CH"/>
        </w:rPr>
        <w:t>.</w:t>
      </w:r>
    </w:p>
    <w:p w:rsidR="00E5019F" w:rsidRPr="0071782F" w:rsidRDefault="00E5019F" w:rsidP="00E5019F">
      <w:pPr>
        <w:pStyle w:val="SingleTxtG"/>
        <w:ind w:left="1701"/>
        <w:rPr>
          <w:lang w:val="fr-CH"/>
        </w:rPr>
      </w:pPr>
      <w:r w:rsidRPr="0071782F">
        <w:rPr>
          <w:lang w:val="fr-CH"/>
        </w:rPr>
        <w:t>304.21. Pr</w:t>
      </w:r>
      <w:r w:rsidR="00F34910" w:rsidRPr="0071782F">
        <w:rPr>
          <w:lang w:val="fr-CH"/>
        </w:rPr>
        <w:t xml:space="preserve">estation de services de soins médicaux, infirmiers et de santé </w:t>
      </w:r>
      <w:r w:rsidR="00175962" w:rsidRPr="0071782F">
        <w:rPr>
          <w:lang w:val="fr-CH"/>
        </w:rPr>
        <w:t>aux personnes</w:t>
      </w:r>
      <w:r w:rsidR="00F34910" w:rsidRPr="0071782F">
        <w:rPr>
          <w:lang w:val="fr-CH"/>
        </w:rPr>
        <w:t xml:space="preserve"> handicapées</w:t>
      </w:r>
      <w:r w:rsidRPr="0071782F">
        <w:rPr>
          <w:lang w:val="fr-CH"/>
        </w:rPr>
        <w:t>.</w:t>
      </w:r>
    </w:p>
    <w:p w:rsidR="00E5019F" w:rsidRPr="0071782F" w:rsidRDefault="00E5019F" w:rsidP="00E5019F">
      <w:pPr>
        <w:pStyle w:val="SingleTxtG"/>
        <w:ind w:left="1701"/>
        <w:rPr>
          <w:lang w:val="fr-CH"/>
        </w:rPr>
      </w:pPr>
      <w:r w:rsidRPr="0071782F">
        <w:rPr>
          <w:lang w:val="fr-CH"/>
        </w:rPr>
        <w:t>304.22. Pr</w:t>
      </w:r>
      <w:r w:rsidR="00F34910" w:rsidRPr="0071782F">
        <w:rPr>
          <w:lang w:val="fr-CH"/>
        </w:rPr>
        <w:t xml:space="preserve">estations des </w:t>
      </w:r>
      <w:r w:rsidRPr="0071782F">
        <w:rPr>
          <w:lang w:val="fr-CH"/>
        </w:rPr>
        <w:t xml:space="preserve">services </w:t>
      </w:r>
      <w:r w:rsidR="00F34910" w:rsidRPr="0071782F">
        <w:rPr>
          <w:lang w:val="fr-CH"/>
        </w:rPr>
        <w:t>de réadaptation (physiothé</w:t>
      </w:r>
      <w:r w:rsidRPr="0071782F">
        <w:rPr>
          <w:lang w:val="fr-CH"/>
        </w:rPr>
        <w:t>rap</w:t>
      </w:r>
      <w:r w:rsidR="00F34910" w:rsidRPr="0071782F">
        <w:rPr>
          <w:lang w:val="fr-CH"/>
        </w:rPr>
        <w:t>ie</w:t>
      </w:r>
      <w:r w:rsidRPr="0071782F">
        <w:rPr>
          <w:lang w:val="fr-CH"/>
        </w:rPr>
        <w:t xml:space="preserve">, </w:t>
      </w:r>
      <w:r w:rsidR="00F34910" w:rsidRPr="0071782F">
        <w:rPr>
          <w:lang w:val="fr-CH"/>
        </w:rPr>
        <w:t>ergothérapie</w:t>
      </w:r>
      <w:r w:rsidRPr="0071782F">
        <w:rPr>
          <w:lang w:val="fr-CH"/>
        </w:rPr>
        <w:t>, etc.) n</w:t>
      </w:r>
      <w:r w:rsidR="00F34910" w:rsidRPr="0071782F">
        <w:rPr>
          <w:lang w:val="fr-CH"/>
        </w:rPr>
        <w:t xml:space="preserve">écessaires pour maximiser la capacité de mouvement </w:t>
      </w:r>
      <w:r w:rsidR="007F37CE" w:rsidRPr="0071782F">
        <w:rPr>
          <w:lang w:val="fr-CH"/>
        </w:rPr>
        <w:t>des personnes</w:t>
      </w:r>
      <w:r w:rsidR="00F34910" w:rsidRPr="0071782F">
        <w:rPr>
          <w:lang w:val="fr-CH"/>
        </w:rPr>
        <w:t xml:space="preserve"> handicapées</w:t>
      </w:r>
      <w:r w:rsidRPr="0071782F">
        <w:rPr>
          <w:lang w:val="fr-CH"/>
        </w:rPr>
        <w:t>.</w:t>
      </w:r>
    </w:p>
    <w:p w:rsidR="00E5019F" w:rsidRPr="00B350D6" w:rsidRDefault="00E5019F" w:rsidP="00E5019F">
      <w:pPr>
        <w:pStyle w:val="SingleTxtG"/>
        <w:ind w:left="1701"/>
        <w:rPr>
          <w:spacing w:val="-2"/>
          <w:lang w:val="fr-CH"/>
        </w:rPr>
      </w:pPr>
      <w:r w:rsidRPr="00B350D6">
        <w:rPr>
          <w:spacing w:val="-2"/>
          <w:lang w:val="fr-CH"/>
        </w:rPr>
        <w:t>304.23. Pr</w:t>
      </w:r>
      <w:r w:rsidR="00F34910" w:rsidRPr="00B350D6">
        <w:rPr>
          <w:spacing w:val="-2"/>
          <w:lang w:val="fr-CH"/>
        </w:rPr>
        <w:t xml:space="preserve">estation de services de soutien psychologique aux demandeurs d’aide et à </w:t>
      </w:r>
      <w:r w:rsidR="001F3F05" w:rsidRPr="00B350D6">
        <w:rPr>
          <w:spacing w:val="-2"/>
          <w:lang w:val="fr-CH"/>
        </w:rPr>
        <w:t>leur famille</w:t>
      </w:r>
      <w:r w:rsidR="00F34910" w:rsidRPr="00B350D6">
        <w:rPr>
          <w:spacing w:val="-2"/>
          <w:lang w:val="fr-CH"/>
        </w:rPr>
        <w:t xml:space="preserve"> et examen de leurs problèmes mentaux et psychologiques, et fourniture de l’appui psychologique et </w:t>
      </w:r>
      <w:r w:rsidRPr="00B350D6">
        <w:rPr>
          <w:spacing w:val="-2"/>
          <w:lang w:val="fr-CH"/>
        </w:rPr>
        <w:t xml:space="preserve">social </w:t>
      </w:r>
      <w:r w:rsidR="00F34910" w:rsidRPr="00B350D6">
        <w:rPr>
          <w:spacing w:val="-2"/>
          <w:lang w:val="fr-CH"/>
        </w:rPr>
        <w:t>dont ils ont besoin pour faire face à leurs problèmes</w:t>
      </w:r>
      <w:r w:rsidRPr="00B350D6">
        <w:rPr>
          <w:spacing w:val="-2"/>
          <w:lang w:val="fr-CH"/>
        </w:rPr>
        <w:t>.</w:t>
      </w:r>
    </w:p>
    <w:p w:rsidR="00E5019F" w:rsidRPr="0071782F" w:rsidRDefault="00E5019F" w:rsidP="00E5019F">
      <w:pPr>
        <w:pStyle w:val="SingleTxtG"/>
        <w:ind w:left="1701"/>
        <w:rPr>
          <w:lang w:val="fr-CH"/>
        </w:rPr>
      </w:pPr>
      <w:r w:rsidRPr="0071782F">
        <w:rPr>
          <w:lang w:val="fr-CH"/>
        </w:rPr>
        <w:t xml:space="preserve">304.24. </w:t>
      </w:r>
      <w:r w:rsidR="00867B77" w:rsidRPr="0071782F">
        <w:rPr>
          <w:lang w:val="fr-CH"/>
        </w:rPr>
        <w:t>Prestation de services de conseil individuel, familial et de groupe et de services sociaux</w:t>
      </w:r>
      <w:r w:rsidRPr="0071782F">
        <w:rPr>
          <w:lang w:val="fr-CH"/>
        </w:rPr>
        <w:t>.</w:t>
      </w:r>
    </w:p>
    <w:p w:rsidR="00E5019F" w:rsidRPr="0071782F" w:rsidRDefault="00E5019F" w:rsidP="00E5019F">
      <w:pPr>
        <w:pStyle w:val="SingleTxtG"/>
        <w:ind w:left="1701"/>
        <w:rPr>
          <w:lang w:val="fr-CH"/>
        </w:rPr>
      </w:pPr>
      <w:r w:rsidRPr="0071782F">
        <w:rPr>
          <w:lang w:val="fr-CH"/>
        </w:rPr>
        <w:t>304.25. Pr</w:t>
      </w:r>
      <w:r w:rsidR="00867B77" w:rsidRPr="0071782F">
        <w:rPr>
          <w:lang w:val="fr-CH"/>
        </w:rPr>
        <w:t xml:space="preserve">estation de </w:t>
      </w:r>
      <w:r w:rsidRPr="0071782F">
        <w:rPr>
          <w:lang w:val="fr-CH"/>
        </w:rPr>
        <w:t xml:space="preserve">services </w:t>
      </w:r>
      <w:r w:rsidR="00867B77" w:rsidRPr="0071782F">
        <w:rPr>
          <w:lang w:val="fr-CH"/>
        </w:rPr>
        <w:t>éducatifs (comme, par exemple, l’enseignement des activités et aptitudes nécessaires à la vie quotidienne, les transports urbains et d’autres types de prise en charge personnelle)</w:t>
      </w:r>
      <w:r w:rsidRPr="0071782F">
        <w:rPr>
          <w:lang w:val="fr-CH"/>
        </w:rPr>
        <w:t xml:space="preserve"> </w:t>
      </w:r>
      <w:r w:rsidR="00867B77" w:rsidRPr="0071782F">
        <w:rPr>
          <w:lang w:val="fr-CH"/>
        </w:rPr>
        <w:t xml:space="preserve">et fourniture de conseils en matière de </w:t>
      </w:r>
      <w:r w:rsidRPr="0071782F">
        <w:rPr>
          <w:lang w:val="fr-CH"/>
        </w:rPr>
        <w:t xml:space="preserve">nutrition </w:t>
      </w:r>
      <w:r w:rsidR="00867B77" w:rsidRPr="0071782F">
        <w:rPr>
          <w:lang w:val="fr-CH"/>
        </w:rPr>
        <w:t>pour améliorer l’alimentation des demandeurs d’aide</w:t>
      </w:r>
      <w:r w:rsidRPr="0071782F">
        <w:rPr>
          <w:lang w:val="fr-CH"/>
        </w:rPr>
        <w:t>.</w:t>
      </w:r>
    </w:p>
    <w:p w:rsidR="00E5019F" w:rsidRPr="00B350D6" w:rsidRDefault="00E5019F" w:rsidP="00E5019F">
      <w:pPr>
        <w:pStyle w:val="SingleTxtG"/>
        <w:ind w:left="1701"/>
        <w:rPr>
          <w:spacing w:val="-2"/>
          <w:lang w:val="fr-CH"/>
        </w:rPr>
      </w:pPr>
      <w:r w:rsidRPr="00B350D6">
        <w:rPr>
          <w:spacing w:val="-2"/>
          <w:lang w:val="fr-CH"/>
        </w:rPr>
        <w:t xml:space="preserve">304.26. </w:t>
      </w:r>
      <w:r w:rsidR="00867B77" w:rsidRPr="00B350D6">
        <w:rPr>
          <w:spacing w:val="-2"/>
          <w:lang w:val="fr-CH"/>
        </w:rPr>
        <w:t>Formation à l’utilisation des aides techniques à la réadaptation (fauteuil roulant, canne, déambulateur</w:t>
      </w:r>
      <w:r w:rsidRPr="00B350D6">
        <w:rPr>
          <w:spacing w:val="-2"/>
          <w:lang w:val="fr-CH"/>
        </w:rPr>
        <w:t xml:space="preserve">, etc.) </w:t>
      </w:r>
      <w:r w:rsidR="00867B77" w:rsidRPr="00B350D6">
        <w:rPr>
          <w:spacing w:val="-2"/>
          <w:lang w:val="fr-CH"/>
        </w:rPr>
        <w:t xml:space="preserve">pour </w:t>
      </w:r>
      <w:r w:rsidR="00A233C2" w:rsidRPr="00B350D6">
        <w:rPr>
          <w:spacing w:val="-2"/>
          <w:lang w:val="fr-CH"/>
        </w:rPr>
        <w:t>les personnes</w:t>
      </w:r>
      <w:r w:rsidR="00867B77" w:rsidRPr="00B350D6">
        <w:rPr>
          <w:spacing w:val="-2"/>
          <w:lang w:val="fr-CH"/>
        </w:rPr>
        <w:t xml:space="preserve"> souffrant de lésions médullaires</w:t>
      </w:r>
      <w:r w:rsidRPr="00B350D6">
        <w:rPr>
          <w:spacing w:val="-2"/>
          <w:lang w:val="fr-CH"/>
        </w:rPr>
        <w:t>.</w:t>
      </w:r>
    </w:p>
    <w:p w:rsidR="00E5019F" w:rsidRPr="0071782F" w:rsidRDefault="00E5019F" w:rsidP="00E5019F">
      <w:pPr>
        <w:pStyle w:val="SingleTxtG"/>
        <w:ind w:left="1701"/>
        <w:rPr>
          <w:spacing w:val="-2"/>
          <w:lang w:val="fr-CH"/>
        </w:rPr>
      </w:pPr>
      <w:r w:rsidRPr="0071782F">
        <w:rPr>
          <w:spacing w:val="-2"/>
          <w:lang w:val="fr-CH"/>
        </w:rPr>
        <w:t xml:space="preserve">304.27. </w:t>
      </w:r>
      <w:r w:rsidR="00867B77" w:rsidRPr="0071782F">
        <w:rPr>
          <w:spacing w:val="-2"/>
          <w:lang w:val="fr-CH"/>
        </w:rPr>
        <w:t>Acquisition des aptitudes nécessaires à la prise de décisions, au règlement des problèmes, à la créativité, au maintien de relations saines, à l’adaptation aux lésions et aux dommages, et au contrôle des traumatismes psychologiques et du stress</w:t>
      </w:r>
      <w:r w:rsidRPr="0071782F">
        <w:rPr>
          <w:spacing w:val="-2"/>
          <w:lang w:val="fr-CH"/>
        </w:rPr>
        <w:t>.</w:t>
      </w:r>
    </w:p>
    <w:p w:rsidR="00E5019F" w:rsidRPr="0071782F" w:rsidRDefault="00E5019F" w:rsidP="00E5019F">
      <w:pPr>
        <w:pStyle w:val="SingleTxtG"/>
        <w:ind w:left="1701"/>
        <w:rPr>
          <w:lang w:val="fr-CH"/>
        </w:rPr>
      </w:pPr>
      <w:r w:rsidRPr="0071782F">
        <w:rPr>
          <w:lang w:val="fr-CH"/>
        </w:rPr>
        <w:t xml:space="preserve">304.28. </w:t>
      </w:r>
      <w:r w:rsidR="00450D5E" w:rsidRPr="0071782F">
        <w:rPr>
          <w:lang w:val="fr-CH"/>
        </w:rPr>
        <w:t xml:space="preserve">Organisation de programmes de formation professionnelle en informatique, dans les domaines artistiques, </w:t>
      </w:r>
      <w:r w:rsidRPr="0071782F">
        <w:rPr>
          <w:lang w:val="fr-CH"/>
        </w:rPr>
        <w:t xml:space="preserve">etc. </w:t>
      </w:r>
      <w:r w:rsidR="00450D5E" w:rsidRPr="0071782F">
        <w:rPr>
          <w:lang w:val="fr-CH"/>
        </w:rPr>
        <w:t>adaptés aux besoins des demandeurs d’aide</w:t>
      </w:r>
      <w:r w:rsidRPr="0071782F">
        <w:rPr>
          <w:lang w:val="fr-CH"/>
        </w:rPr>
        <w:t>.</w:t>
      </w:r>
    </w:p>
    <w:p w:rsidR="00E5019F" w:rsidRPr="0071782F" w:rsidRDefault="00E5019F" w:rsidP="00E5019F">
      <w:pPr>
        <w:pStyle w:val="SingleTxtG"/>
        <w:ind w:left="1701"/>
        <w:rPr>
          <w:lang w:val="fr-CH"/>
        </w:rPr>
      </w:pPr>
      <w:r w:rsidRPr="0071782F">
        <w:rPr>
          <w:lang w:val="fr-CH"/>
        </w:rPr>
        <w:t xml:space="preserve">304.29. </w:t>
      </w:r>
      <w:r w:rsidR="00450D5E" w:rsidRPr="0071782F">
        <w:rPr>
          <w:lang w:val="fr-CH"/>
        </w:rPr>
        <w:t xml:space="preserve">Fourniture d’une formation </w:t>
      </w:r>
      <w:r w:rsidR="00A234E8" w:rsidRPr="0071782F">
        <w:rPr>
          <w:lang w:val="fr-CH"/>
        </w:rPr>
        <w:t>aux familles</w:t>
      </w:r>
      <w:r w:rsidR="00450D5E" w:rsidRPr="0071782F">
        <w:rPr>
          <w:lang w:val="fr-CH"/>
        </w:rPr>
        <w:t>, aux amis et aux fournisseurs de services des demandeurs d’aide.</w:t>
      </w:r>
    </w:p>
    <w:p w:rsidR="00E5019F" w:rsidRPr="0071782F" w:rsidRDefault="00E5019F" w:rsidP="00E5019F">
      <w:pPr>
        <w:pStyle w:val="SingleTxtG"/>
        <w:ind w:left="1701"/>
        <w:rPr>
          <w:lang w:val="fr-CH"/>
        </w:rPr>
      </w:pPr>
      <w:r w:rsidRPr="0071782F">
        <w:rPr>
          <w:lang w:val="fr-CH"/>
        </w:rPr>
        <w:t xml:space="preserve">304.30. </w:t>
      </w:r>
      <w:r w:rsidR="00450D5E" w:rsidRPr="0071782F">
        <w:rPr>
          <w:lang w:val="fr-CH"/>
        </w:rPr>
        <w:t xml:space="preserve">Fourniture des </w:t>
      </w:r>
      <w:r w:rsidRPr="0071782F">
        <w:rPr>
          <w:lang w:val="fr-CH"/>
        </w:rPr>
        <w:t xml:space="preserve">services </w:t>
      </w:r>
      <w:r w:rsidR="00450D5E" w:rsidRPr="0071782F">
        <w:rPr>
          <w:lang w:val="fr-CH"/>
        </w:rPr>
        <w:t>et des soins nécessaires dans les centres de jour privés.</w:t>
      </w:r>
    </w:p>
    <w:p w:rsidR="00E5019F" w:rsidRPr="0071782F" w:rsidRDefault="00E5019F" w:rsidP="00E5019F">
      <w:pPr>
        <w:pStyle w:val="SingleTxtG"/>
        <w:ind w:left="1701"/>
        <w:rPr>
          <w:lang w:val="fr-CH"/>
        </w:rPr>
      </w:pPr>
      <w:r w:rsidRPr="0071782F">
        <w:rPr>
          <w:lang w:val="fr-CH"/>
        </w:rPr>
        <w:t>304.31. Organi</w:t>
      </w:r>
      <w:r w:rsidR="00450D5E" w:rsidRPr="0071782F">
        <w:rPr>
          <w:lang w:val="fr-CH"/>
        </w:rPr>
        <w:t>sation d’excursions et de pèlerinages à l’intention de déficients visuels</w:t>
      </w:r>
      <w:r w:rsidRPr="0071782F">
        <w:rPr>
          <w:lang w:val="fr-CH"/>
        </w:rPr>
        <w:t>.</w:t>
      </w:r>
    </w:p>
    <w:p w:rsidR="00E5019F" w:rsidRPr="0071782F" w:rsidRDefault="00E5019F" w:rsidP="00E5019F">
      <w:pPr>
        <w:pStyle w:val="SingleTxtG"/>
        <w:ind w:left="1701"/>
        <w:rPr>
          <w:lang w:val="fr-CH"/>
        </w:rPr>
      </w:pPr>
      <w:r w:rsidRPr="0071782F">
        <w:rPr>
          <w:lang w:val="fr-CH"/>
        </w:rPr>
        <w:t>304.32. Organi</w:t>
      </w:r>
      <w:r w:rsidR="00F06848" w:rsidRPr="0071782F">
        <w:rPr>
          <w:lang w:val="fr-CH"/>
        </w:rPr>
        <w:t xml:space="preserve">sation de programmes de formation aux langues étrangères (anglais, arabe, allemand, français, </w:t>
      </w:r>
      <w:r w:rsidRPr="0071782F">
        <w:rPr>
          <w:lang w:val="fr-CH"/>
        </w:rPr>
        <w:t>etc.</w:t>
      </w:r>
      <w:r w:rsidR="00F06848" w:rsidRPr="0071782F">
        <w:rPr>
          <w:lang w:val="fr-CH"/>
        </w:rPr>
        <w:t>).</w:t>
      </w:r>
    </w:p>
    <w:p w:rsidR="00E5019F" w:rsidRPr="0071782F" w:rsidRDefault="00E5019F" w:rsidP="00E5019F">
      <w:pPr>
        <w:pStyle w:val="SingleTxtG"/>
        <w:ind w:left="1701"/>
        <w:rPr>
          <w:lang w:val="fr-CH"/>
        </w:rPr>
      </w:pPr>
      <w:r w:rsidRPr="0071782F">
        <w:rPr>
          <w:lang w:val="fr-CH"/>
        </w:rPr>
        <w:t xml:space="preserve">304.33. </w:t>
      </w:r>
      <w:r w:rsidR="00F06848" w:rsidRPr="0071782F">
        <w:rPr>
          <w:lang w:val="fr-CH"/>
        </w:rPr>
        <w:t>Prestation de services de conseil aux déficients visuels sur le mariage et les affaires familiales</w:t>
      </w:r>
      <w:r w:rsidRPr="0071782F">
        <w:rPr>
          <w:lang w:val="fr-CH"/>
        </w:rPr>
        <w:t>.</w:t>
      </w:r>
    </w:p>
    <w:p w:rsidR="00E5019F" w:rsidRPr="0071782F" w:rsidRDefault="00E5019F" w:rsidP="00E5019F">
      <w:pPr>
        <w:pStyle w:val="SingleTxtG"/>
        <w:ind w:left="1701"/>
        <w:rPr>
          <w:lang w:val="fr-CH"/>
        </w:rPr>
      </w:pPr>
      <w:r w:rsidRPr="0071782F">
        <w:rPr>
          <w:lang w:val="fr-CH"/>
        </w:rPr>
        <w:t xml:space="preserve">304.34. </w:t>
      </w:r>
      <w:r w:rsidR="00C16972" w:rsidRPr="0071782F">
        <w:rPr>
          <w:lang w:val="fr-CH"/>
        </w:rPr>
        <w:t>Fourniture d’aides monétaires et non monétaires aux demandeurs d’aide dans diverses situations</w:t>
      </w:r>
      <w:r w:rsidRPr="0071782F">
        <w:rPr>
          <w:lang w:val="fr-CH"/>
        </w:rPr>
        <w:t>.</w:t>
      </w:r>
    </w:p>
    <w:p w:rsidR="00E5019F" w:rsidRPr="0071782F" w:rsidRDefault="00E5019F" w:rsidP="00E5019F">
      <w:pPr>
        <w:pStyle w:val="SingleTxtG"/>
        <w:ind w:left="1701"/>
        <w:rPr>
          <w:lang w:val="fr-CH"/>
        </w:rPr>
      </w:pPr>
      <w:r w:rsidRPr="0071782F">
        <w:rPr>
          <w:lang w:val="fr-CH"/>
        </w:rPr>
        <w:t>304.35. Organi</w:t>
      </w:r>
      <w:r w:rsidR="00C16972" w:rsidRPr="0071782F">
        <w:rPr>
          <w:lang w:val="fr-CH"/>
        </w:rPr>
        <w:t xml:space="preserve">sation de programmes culturels, comme la lecture de livres </w:t>
      </w:r>
      <w:r w:rsidRPr="0071782F">
        <w:rPr>
          <w:lang w:val="fr-CH"/>
        </w:rPr>
        <w:t>(</w:t>
      </w:r>
      <w:r w:rsidR="00C16972" w:rsidRPr="0071782F">
        <w:rPr>
          <w:lang w:val="fr-CH"/>
        </w:rPr>
        <w:t xml:space="preserve">lecture des poèmes de grands poètes iraniens tels que </w:t>
      </w:r>
      <w:r w:rsidRPr="0071782F">
        <w:rPr>
          <w:lang w:val="fr-CH"/>
        </w:rPr>
        <w:t>Shahnameh</w:t>
      </w:r>
      <w:r w:rsidR="00C16972" w:rsidRPr="0071782F">
        <w:rPr>
          <w:lang w:val="fr-CH"/>
        </w:rPr>
        <w:t>, par</w:t>
      </w:r>
      <w:r w:rsidRPr="0071782F">
        <w:rPr>
          <w:lang w:val="fr-CH"/>
        </w:rPr>
        <w:t xml:space="preserve"> Ferdowsi, Mathnavi</w:t>
      </w:r>
      <w:r w:rsidR="00C16972" w:rsidRPr="0071782F">
        <w:rPr>
          <w:lang w:val="fr-CH"/>
        </w:rPr>
        <w:t>,</w:t>
      </w:r>
      <w:r w:rsidRPr="0071782F">
        <w:rPr>
          <w:lang w:val="fr-CH"/>
        </w:rPr>
        <w:t xml:space="preserve"> </w:t>
      </w:r>
      <w:r w:rsidR="00C16972" w:rsidRPr="0071782F">
        <w:rPr>
          <w:lang w:val="fr-CH"/>
        </w:rPr>
        <w:t xml:space="preserve">par </w:t>
      </w:r>
      <w:r w:rsidRPr="0071782F">
        <w:rPr>
          <w:lang w:val="fr-CH"/>
        </w:rPr>
        <w:t>Mowlawi, etc.).</w:t>
      </w:r>
    </w:p>
    <w:p w:rsidR="00E5019F" w:rsidRPr="0071782F" w:rsidRDefault="00E5019F" w:rsidP="00E5019F">
      <w:pPr>
        <w:pStyle w:val="SingleTxtG"/>
        <w:ind w:left="1701"/>
        <w:rPr>
          <w:lang w:val="fr-CH"/>
        </w:rPr>
      </w:pPr>
      <w:r w:rsidRPr="0071782F">
        <w:rPr>
          <w:lang w:val="fr-CH"/>
        </w:rPr>
        <w:t xml:space="preserve">304.36. </w:t>
      </w:r>
      <w:r w:rsidR="00C16972" w:rsidRPr="0071782F">
        <w:rPr>
          <w:lang w:val="fr-CH"/>
        </w:rPr>
        <w:t>Création d’ateliers de formation à divers métiers</w:t>
      </w:r>
      <w:r w:rsidRPr="0071782F">
        <w:rPr>
          <w:lang w:val="fr-CH"/>
        </w:rPr>
        <w:t>.</w:t>
      </w:r>
    </w:p>
    <w:p w:rsidR="00E5019F" w:rsidRPr="0071782F" w:rsidRDefault="00E5019F" w:rsidP="00E5019F">
      <w:pPr>
        <w:pStyle w:val="SingleTxtG"/>
        <w:ind w:left="1701"/>
        <w:rPr>
          <w:lang w:val="fr-CH"/>
        </w:rPr>
      </w:pPr>
      <w:r w:rsidRPr="0071782F">
        <w:rPr>
          <w:lang w:val="fr-CH"/>
        </w:rPr>
        <w:t>304.37. Organi</w:t>
      </w:r>
      <w:r w:rsidR="00C16972" w:rsidRPr="0071782F">
        <w:rPr>
          <w:lang w:val="fr-CH"/>
        </w:rPr>
        <w:t>sation de cé</w:t>
      </w:r>
      <w:r w:rsidRPr="0071782F">
        <w:rPr>
          <w:lang w:val="fr-CH"/>
        </w:rPr>
        <w:t>r</w:t>
      </w:r>
      <w:r w:rsidR="00C16972" w:rsidRPr="0071782F">
        <w:rPr>
          <w:lang w:val="fr-CH"/>
        </w:rPr>
        <w:t>é</w:t>
      </w:r>
      <w:r w:rsidRPr="0071782F">
        <w:rPr>
          <w:lang w:val="fr-CH"/>
        </w:rPr>
        <w:t xml:space="preserve">monies </w:t>
      </w:r>
      <w:r w:rsidR="00C16972" w:rsidRPr="0071782F">
        <w:rPr>
          <w:lang w:val="fr-CH"/>
        </w:rPr>
        <w:t>et de rituels à l’occasion de fêtes nationales et religieuses</w:t>
      </w:r>
      <w:r w:rsidRPr="0071782F">
        <w:rPr>
          <w:lang w:val="fr-CH"/>
        </w:rPr>
        <w:t>.</w:t>
      </w:r>
    </w:p>
    <w:p w:rsidR="00E5019F" w:rsidRPr="0071782F" w:rsidRDefault="00E5019F" w:rsidP="00E5019F">
      <w:pPr>
        <w:pStyle w:val="SingleTxtG"/>
        <w:ind w:left="1701"/>
        <w:rPr>
          <w:lang w:val="fr-CH"/>
        </w:rPr>
      </w:pPr>
      <w:r w:rsidRPr="0071782F">
        <w:rPr>
          <w:lang w:val="fr-CH"/>
        </w:rPr>
        <w:t xml:space="preserve">304.38. Publication </w:t>
      </w:r>
      <w:r w:rsidR="00C16972" w:rsidRPr="0071782F">
        <w:rPr>
          <w:lang w:val="fr-CH"/>
        </w:rPr>
        <w:t xml:space="preserve">de périodiques </w:t>
      </w:r>
      <w:r w:rsidRPr="0071782F">
        <w:rPr>
          <w:lang w:val="fr-CH"/>
        </w:rPr>
        <w:t>(</w:t>
      </w:r>
      <w:r w:rsidR="00C16972" w:rsidRPr="0071782F">
        <w:rPr>
          <w:lang w:val="fr-CH"/>
        </w:rPr>
        <w:t xml:space="preserve">journaux et publications hebdomadaires, mensuelles et trimestrielles) en </w:t>
      </w:r>
      <w:r w:rsidR="00791CF5" w:rsidRPr="0071782F">
        <w:rPr>
          <w:lang w:val="fr-CH"/>
        </w:rPr>
        <w:t>b</w:t>
      </w:r>
      <w:r w:rsidRPr="0071782F">
        <w:rPr>
          <w:lang w:val="fr-CH"/>
        </w:rPr>
        <w:t>raille.</w:t>
      </w:r>
    </w:p>
    <w:p w:rsidR="00E5019F" w:rsidRPr="0071782F" w:rsidRDefault="00E5019F" w:rsidP="00E5019F">
      <w:pPr>
        <w:pStyle w:val="SingleTxtG"/>
        <w:ind w:left="1701"/>
        <w:rPr>
          <w:lang w:val="fr-CH"/>
        </w:rPr>
      </w:pPr>
      <w:r w:rsidRPr="0071782F">
        <w:rPr>
          <w:lang w:val="fr-CH"/>
        </w:rPr>
        <w:t>304.39. Organi</w:t>
      </w:r>
      <w:r w:rsidR="00B34B73" w:rsidRPr="0071782F">
        <w:rPr>
          <w:lang w:val="fr-CH"/>
        </w:rPr>
        <w:t xml:space="preserve">sation de </w:t>
      </w:r>
      <w:r w:rsidRPr="0071782F">
        <w:rPr>
          <w:lang w:val="fr-CH"/>
        </w:rPr>
        <w:t>conf</w:t>
      </w:r>
      <w:r w:rsidR="00B34B73" w:rsidRPr="0071782F">
        <w:rPr>
          <w:lang w:val="fr-CH"/>
        </w:rPr>
        <w:t>é</w:t>
      </w:r>
      <w:r w:rsidRPr="0071782F">
        <w:rPr>
          <w:lang w:val="fr-CH"/>
        </w:rPr>
        <w:t xml:space="preserve">rences </w:t>
      </w:r>
      <w:r w:rsidR="00B34B73" w:rsidRPr="0071782F">
        <w:rPr>
          <w:lang w:val="fr-CH"/>
        </w:rPr>
        <w:t xml:space="preserve">et de </w:t>
      </w:r>
      <w:r w:rsidRPr="0071782F">
        <w:rPr>
          <w:lang w:val="fr-CH"/>
        </w:rPr>
        <w:t>s</w:t>
      </w:r>
      <w:r w:rsidR="00B34B73" w:rsidRPr="0071782F">
        <w:rPr>
          <w:lang w:val="fr-CH"/>
        </w:rPr>
        <w:t>é</w:t>
      </w:r>
      <w:r w:rsidRPr="0071782F">
        <w:rPr>
          <w:lang w:val="fr-CH"/>
        </w:rPr>
        <w:t>mina</w:t>
      </w:r>
      <w:r w:rsidR="00B34B73" w:rsidRPr="0071782F">
        <w:rPr>
          <w:lang w:val="fr-CH"/>
        </w:rPr>
        <w:t>i</w:t>
      </w:r>
      <w:r w:rsidRPr="0071782F">
        <w:rPr>
          <w:lang w:val="fr-CH"/>
        </w:rPr>
        <w:t>r</w:t>
      </w:r>
      <w:r w:rsidR="00B34B73" w:rsidRPr="0071782F">
        <w:rPr>
          <w:lang w:val="fr-CH"/>
        </w:rPr>
        <w:t>e</w:t>
      </w:r>
      <w:r w:rsidRPr="0071782F">
        <w:rPr>
          <w:lang w:val="fr-CH"/>
        </w:rPr>
        <w:t xml:space="preserve">s </w:t>
      </w:r>
      <w:r w:rsidR="00B34B73" w:rsidRPr="0071782F">
        <w:rPr>
          <w:lang w:val="fr-CH"/>
        </w:rPr>
        <w:t xml:space="preserve">sur des questions </w:t>
      </w:r>
      <w:r w:rsidR="008F5530" w:rsidRPr="0071782F">
        <w:rPr>
          <w:lang w:val="fr-CH"/>
        </w:rPr>
        <w:t>intéressant les</w:t>
      </w:r>
      <w:r w:rsidR="00B34B73" w:rsidRPr="0071782F">
        <w:rPr>
          <w:lang w:val="fr-CH"/>
        </w:rPr>
        <w:t xml:space="preserve"> non-voyants</w:t>
      </w:r>
      <w:r w:rsidRPr="0071782F">
        <w:rPr>
          <w:lang w:val="fr-CH"/>
        </w:rPr>
        <w:t>.</w:t>
      </w:r>
    </w:p>
    <w:p w:rsidR="00E5019F" w:rsidRPr="0071782F" w:rsidRDefault="00E5019F" w:rsidP="00E5019F">
      <w:pPr>
        <w:pStyle w:val="SingleTxtG"/>
        <w:ind w:left="1701"/>
        <w:rPr>
          <w:lang w:val="fr-CH"/>
        </w:rPr>
      </w:pPr>
      <w:r w:rsidRPr="0071782F">
        <w:rPr>
          <w:lang w:val="fr-CH"/>
        </w:rPr>
        <w:t>304.40. Organ</w:t>
      </w:r>
      <w:r w:rsidR="008F5530" w:rsidRPr="0071782F">
        <w:rPr>
          <w:lang w:val="fr-CH"/>
        </w:rPr>
        <w:t>i</w:t>
      </w:r>
      <w:r w:rsidR="00B34B73" w:rsidRPr="0071782F">
        <w:rPr>
          <w:lang w:val="fr-CH"/>
        </w:rPr>
        <w:t>sation de chorales, d’orchestres</w:t>
      </w:r>
      <w:r w:rsidR="008F5530" w:rsidRPr="0071782F">
        <w:rPr>
          <w:lang w:val="fr-CH"/>
        </w:rPr>
        <w:t xml:space="preserve">, </w:t>
      </w:r>
      <w:r w:rsidR="00B34B73" w:rsidRPr="0071782F">
        <w:rPr>
          <w:lang w:val="fr-CH"/>
        </w:rPr>
        <w:t>d’activités théâtrales</w:t>
      </w:r>
      <w:r w:rsidRPr="0071782F">
        <w:rPr>
          <w:lang w:val="fr-CH"/>
        </w:rPr>
        <w:t>, etc.</w:t>
      </w:r>
    </w:p>
    <w:p w:rsidR="00E5019F" w:rsidRPr="0071782F" w:rsidRDefault="00E5019F" w:rsidP="00E5019F">
      <w:pPr>
        <w:pStyle w:val="SingleTxtG"/>
        <w:ind w:left="1701"/>
        <w:rPr>
          <w:lang w:val="fr-CH"/>
        </w:rPr>
      </w:pPr>
      <w:r w:rsidRPr="0071782F">
        <w:rPr>
          <w:lang w:val="fr-CH"/>
        </w:rPr>
        <w:t xml:space="preserve">304.41. Coordination </w:t>
      </w:r>
      <w:r w:rsidR="008F5530" w:rsidRPr="0071782F">
        <w:rPr>
          <w:lang w:val="fr-CH"/>
        </w:rPr>
        <w:t xml:space="preserve">avec les </w:t>
      </w:r>
      <w:r w:rsidRPr="0071782F">
        <w:rPr>
          <w:lang w:val="fr-CH"/>
        </w:rPr>
        <w:t>municipalit</w:t>
      </w:r>
      <w:r w:rsidR="008F5530" w:rsidRPr="0071782F">
        <w:rPr>
          <w:lang w:val="fr-CH"/>
        </w:rPr>
        <w:t>é</w:t>
      </w:r>
      <w:r w:rsidRPr="0071782F">
        <w:rPr>
          <w:lang w:val="fr-CH"/>
        </w:rPr>
        <w:t xml:space="preserve">s </w:t>
      </w:r>
      <w:r w:rsidR="008F5530" w:rsidRPr="0071782F">
        <w:rPr>
          <w:lang w:val="fr-CH"/>
        </w:rPr>
        <w:t>et les autres autorités publique</w:t>
      </w:r>
      <w:r w:rsidR="002F4FB1" w:rsidRPr="0071782F">
        <w:rPr>
          <w:lang w:val="fr-CH"/>
        </w:rPr>
        <w:t>s</w:t>
      </w:r>
      <w:r w:rsidR="008F5530" w:rsidRPr="0071782F">
        <w:rPr>
          <w:lang w:val="fr-CH"/>
        </w:rPr>
        <w:t xml:space="preserve"> en vue d’améliorer le cadre des déplacements quotidiens des non-voyants, et présentation, par l’intermédiaire des médias, de programmes éducatifs spécifiques visant à faire mieux comprendre par la société la question </w:t>
      </w:r>
      <w:r w:rsidR="007F37CE" w:rsidRPr="0071782F">
        <w:rPr>
          <w:lang w:val="fr-CH"/>
        </w:rPr>
        <w:t>des personnes</w:t>
      </w:r>
      <w:r w:rsidR="008F5530" w:rsidRPr="0071782F">
        <w:rPr>
          <w:lang w:val="fr-CH"/>
        </w:rPr>
        <w:t xml:space="preserve"> handicapées</w:t>
      </w:r>
      <w:r w:rsidRPr="0071782F">
        <w:rPr>
          <w:lang w:val="fr-CH"/>
        </w:rPr>
        <w:t>.</w:t>
      </w:r>
    </w:p>
    <w:p w:rsidR="00E5019F" w:rsidRPr="0071782F" w:rsidRDefault="00E5019F" w:rsidP="00E5019F">
      <w:pPr>
        <w:pStyle w:val="SingleTxtG"/>
        <w:ind w:left="1701"/>
        <w:rPr>
          <w:lang w:val="fr-CH"/>
        </w:rPr>
      </w:pPr>
      <w:r w:rsidRPr="0071782F">
        <w:rPr>
          <w:lang w:val="fr-CH"/>
        </w:rPr>
        <w:t xml:space="preserve">304.42. </w:t>
      </w:r>
      <w:r w:rsidR="008F5530" w:rsidRPr="0071782F">
        <w:rPr>
          <w:lang w:val="fr-CH"/>
        </w:rPr>
        <w:t>Sensibiliser les autorités publiques aux problèmes des non-voyants</w:t>
      </w:r>
      <w:r w:rsidRPr="0071782F">
        <w:rPr>
          <w:lang w:val="fr-CH"/>
        </w:rPr>
        <w:t>.</w:t>
      </w:r>
    </w:p>
    <w:p w:rsidR="00E5019F" w:rsidRPr="0071782F" w:rsidRDefault="00E5019F" w:rsidP="00E5019F">
      <w:pPr>
        <w:pStyle w:val="SingleTxtG"/>
        <w:ind w:left="1701"/>
        <w:rPr>
          <w:lang w:val="fr-CH"/>
        </w:rPr>
      </w:pPr>
      <w:r w:rsidRPr="0071782F">
        <w:rPr>
          <w:lang w:val="fr-CH"/>
        </w:rPr>
        <w:t xml:space="preserve">304.43. </w:t>
      </w:r>
      <w:r w:rsidR="008F5530" w:rsidRPr="0071782F">
        <w:rPr>
          <w:lang w:val="fr-CH"/>
        </w:rPr>
        <w:t xml:space="preserve">Application des dispositions de la loi générale sur les droits </w:t>
      </w:r>
      <w:r w:rsidR="007F37CE" w:rsidRPr="0071782F">
        <w:rPr>
          <w:lang w:val="fr-CH"/>
        </w:rPr>
        <w:t>des personnes</w:t>
      </w:r>
      <w:r w:rsidR="008F5530" w:rsidRPr="0071782F">
        <w:rPr>
          <w:lang w:val="fr-CH"/>
        </w:rPr>
        <w:t xml:space="preserve"> handicapées</w:t>
      </w:r>
      <w:r w:rsidRPr="0071782F">
        <w:rPr>
          <w:lang w:val="fr-CH"/>
        </w:rPr>
        <w:t>.</w:t>
      </w:r>
    </w:p>
    <w:p w:rsidR="00E5019F" w:rsidRPr="0071782F" w:rsidRDefault="00E5019F" w:rsidP="00E5019F">
      <w:pPr>
        <w:pStyle w:val="SingleTxtG"/>
        <w:ind w:left="1701"/>
        <w:rPr>
          <w:lang w:val="fr-CH"/>
        </w:rPr>
      </w:pPr>
      <w:r w:rsidRPr="0071782F">
        <w:rPr>
          <w:lang w:val="fr-CH"/>
        </w:rPr>
        <w:t xml:space="preserve">304.44. </w:t>
      </w:r>
      <w:r w:rsidR="008F5530" w:rsidRPr="0071782F">
        <w:rPr>
          <w:lang w:val="fr-CH"/>
        </w:rPr>
        <w:t xml:space="preserve">Octroi de divers </w:t>
      </w:r>
      <w:r w:rsidRPr="0071782F">
        <w:rPr>
          <w:lang w:val="fr-CH"/>
        </w:rPr>
        <w:t xml:space="preserve">types </w:t>
      </w:r>
      <w:r w:rsidR="008F5530" w:rsidRPr="0071782F">
        <w:rPr>
          <w:lang w:val="fr-CH"/>
        </w:rPr>
        <w:t>de prêts (prêt pour le mariage, prêt pour l’exercice d’une profession pour compte propre</w:t>
      </w:r>
      <w:r w:rsidRPr="0071782F">
        <w:rPr>
          <w:lang w:val="fr-CH"/>
        </w:rPr>
        <w:t>, etc.</w:t>
      </w:r>
      <w:r w:rsidR="008F5530" w:rsidRPr="0071782F">
        <w:rPr>
          <w:lang w:val="fr-CH"/>
        </w:rPr>
        <w:t>).</w:t>
      </w:r>
    </w:p>
    <w:p w:rsidR="00E5019F" w:rsidRPr="0071782F" w:rsidRDefault="00E5019F" w:rsidP="00E5019F">
      <w:pPr>
        <w:pStyle w:val="SingleTxtG"/>
        <w:ind w:left="1701"/>
        <w:rPr>
          <w:lang w:val="fr-CH"/>
        </w:rPr>
      </w:pPr>
      <w:r w:rsidRPr="0071782F">
        <w:rPr>
          <w:lang w:val="fr-CH"/>
        </w:rPr>
        <w:t xml:space="preserve">304.45. </w:t>
      </w:r>
      <w:r w:rsidR="008F5530" w:rsidRPr="0071782F">
        <w:rPr>
          <w:lang w:val="fr-CH"/>
        </w:rPr>
        <w:t xml:space="preserve">Prestation des </w:t>
      </w:r>
      <w:r w:rsidRPr="0071782F">
        <w:rPr>
          <w:lang w:val="fr-CH"/>
        </w:rPr>
        <w:t xml:space="preserve">services </w:t>
      </w:r>
      <w:r w:rsidR="008F5530" w:rsidRPr="0071782F">
        <w:rPr>
          <w:lang w:val="fr-CH"/>
        </w:rPr>
        <w:t xml:space="preserve">nécessaires aux malentendants dans les centres de prise en charge </w:t>
      </w:r>
      <w:r w:rsidR="004E45FB" w:rsidRPr="0071782F">
        <w:rPr>
          <w:lang w:val="fr-CH"/>
        </w:rPr>
        <w:t>des familles</w:t>
      </w:r>
      <w:r w:rsidR="008F5530" w:rsidRPr="0071782F">
        <w:rPr>
          <w:lang w:val="fr-CH"/>
        </w:rPr>
        <w:t xml:space="preserve"> et des enfants</w:t>
      </w:r>
      <w:r w:rsidRPr="0071782F">
        <w:rPr>
          <w:lang w:val="fr-CH"/>
        </w:rPr>
        <w:t>.</w:t>
      </w:r>
    </w:p>
    <w:p w:rsidR="00E5019F" w:rsidRPr="0071782F" w:rsidRDefault="00E5019F" w:rsidP="00E5019F">
      <w:pPr>
        <w:pStyle w:val="SingleTxtG"/>
        <w:ind w:left="1701"/>
        <w:rPr>
          <w:lang w:val="fr-CH"/>
        </w:rPr>
      </w:pPr>
      <w:r w:rsidRPr="0071782F">
        <w:rPr>
          <w:lang w:val="fr-CH"/>
        </w:rPr>
        <w:t xml:space="preserve">304.46. Coordination </w:t>
      </w:r>
      <w:r w:rsidR="008F5530" w:rsidRPr="0071782F">
        <w:rPr>
          <w:lang w:val="fr-CH"/>
        </w:rPr>
        <w:t xml:space="preserve">des programmes éducatifs concernant les malentendants. </w:t>
      </w:r>
    </w:p>
    <w:p w:rsidR="00E5019F" w:rsidRPr="0071782F" w:rsidRDefault="00E5019F" w:rsidP="00E5019F">
      <w:pPr>
        <w:pStyle w:val="SingleTxtG"/>
        <w:ind w:left="1701"/>
        <w:rPr>
          <w:lang w:val="fr-CH"/>
        </w:rPr>
      </w:pPr>
      <w:r w:rsidRPr="0071782F">
        <w:rPr>
          <w:lang w:val="fr-CH"/>
        </w:rPr>
        <w:t xml:space="preserve">304.47. </w:t>
      </w:r>
      <w:r w:rsidR="008F5530" w:rsidRPr="0071782F">
        <w:rPr>
          <w:lang w:val="fr-CH"/>
        </w:rPr>
        <w:t xml:space="preserve">Acquisition des aptitudes nécessaires à la </w:t>
      </w:r>
      <w:r w:rsidRPr="0071782F">
        <w:rPr>
          <w:lang w:val="fr-CH"/>
        </w:rPr>
        <w:t xml:space="preserve">communication </w:t>
      </w:r>
      <w:r w:rsidR="008F5530" w:rsidRPr="0071782F">
        <w:rPr>
          <w:lang w:val="fr-CH"/>
        </w:rPr>
        <w:t>et des concepts en matière d’audition et de langage sous la supervision d’audiométristes et d’orthophonistes, l’accent étant mis en particulier sur les aptitudes d’écoute et la combinaison des aptitudes liées à l’audition, au langage et à la parole</w:t>
      </w:r>
      <w:r w:rsidRPr="0071782F">
        <w:rPr>
          <w:lang w:val="fr-CH"/>
        </w:rPr>
        <w:t>.</w:t>
      </w:r>
    </w:p>
    <w:p w:rsidR="00E5019F" w:rsidRPr="0071782F" w:rsidRDefault="00E5019F" w:rsidP="00E5019F">
      <w:pPr>
        <w:pStyle w:val="SingleTxtG"/>
        <w:ind w:left="1701"/>
        <w:rPr>
          <w:lang w:val="fr-CH"/>
        </w:rPr>
      </w:pPr>
      <w:r w:rsidRPr="0071782F">
        <w:rPr>
          <w:lang w:val="fr-CH"/>
        </w:rPr>
        <w:t xml:space="preserve">304.48. </w:t>
      </w:r>
      <w:r w:rsidR="001754C2" w:rsidRPr="0071782F">
        <w:rPr>
          <w:lang w:val="fr-CH"/>
        </w:rPr>
        <w:t>Mise en place d’assistants-formateurs devant coopérer avec les responsables de la formation des malentendants</w:t>
      </w:r>
      <w:r w:rsidRPr="0071782F">
        <w:rPr>
          <w:lang w:val="fr-CH"/>
        </w:rPr>
        <w:t>.</w:t>
      </w:r>
    </w:p>
    <w:p w:rsidR="00E5019F" w:rsidRPr="0071782F" w:rsidRDefault="00E5019F" w:rsidP="00E5019F">
      <w:pPr>
        <w:pStyle w:val="SingleTxtG"/>
        <w:ind w:left="1701"/>
        <w:rPr>
          <w:lang w:val="fr-CH"/>
        </w:rPr>
      </w:pPr>
      <w:r w:rsidRPr="0071782F">
        <w:rPr>
          <w:lang w:val="fr-CH"/>
        </w:rPr>
        <w:t xml:space="preserve">304.49. </w:t>
      </w:r>
      <w:r w:rsidR="001754C2" w:rsidRPr="0071782F">
        <w:rPr>
          <w:lang w:val="fr-CH"/>
        </w:rPr>
        <w:t xml:space="preserve">Programmes de formation aux arts et métiers artisanaux (peinture, </w:t>
      </w:r>
      <w:r w:rsidRPr="0071782F">
        <w:rPr>
          <w:lang w:val="fr-CH"/>
        </w:rPr>
        <w:t xml:space="preserve">etc.) </w:t>
      </w:r>
      <w:r w:rsidR="001754C2" w:rsidRPr="0071782F">
        <w:rPr>
          <w:lang w:val="fr-CH"/>
        </w:rPr>
        <w:t>assurés par des formateurs expérimentés</w:t>
      </w:r>
      <w:r w:rsidRPr="0071782F">
        <w:rPr>
          <w:lang w:val="fr-CH"/>
        </w:rPr>
        <w:t>.</w:t>
      </w:r>
    </w:p>
    <w:p w:rsidR="00E5019F" w:rsidRPr="0071782F" w:rsidRDefault="00E5019F" w:rsidP="00E5019F">
      <w:pPr>
        <w:pStyle w:val="SingleTxtG"/>
        <w:ind w:left="1701"/>
        <w:rPr>
          <w:lang w:val="fr-CH"/>
        </w:rPr>
      </w:pPr>
      <w:r w:rsidRPr="0071782F">
        <w:rPr>
          <w:lang w:val="fr-CH"/>
        </w:rPr>
        <w:t xml:space="preserve">304.50. </w:t>
      </w:r>
      <w:r w:rsidR="001754C2" w:rsidRPr="0071782F">
        <w:rPr>
          <w:lang w:val="fr-CH"/>
        </w:rPr>
        <w:t>Fourniture de conseils en logique auditive et organisation de programmes de formation auditive qui incorporent des exercices préparés par des audiométristes.</w:t>
      </w:r>
      <w:r w:rsidR="00D36718">
        <w:rPr>
          <w:lang w:val="fr-CH"/>
        </w:rPr>
        <w:t xml:space="preserve"> </w:t>
      </w:r>
    </w:p>
    <w:p w:rsidR="00E5019F" w:rsidRPr="0071782F" w:rsidRDefault="00E5019F" w:rsidP="00E5019F">
      <w:pPr>
        <w:pStyle w:val="SingleTxtG"/>
        <w:ind w:left="1701"/>
        <w:rPr>
          <w:lang w:val="fr-CH"/>
        </w:rPr>
      </w:pPr>
      <w:r w:rsidRPr="0071782F">
        <w:rPr>
          <w:lang w:val="fr-CH"/>
        </w:rPr>
        <w:t xml:space="preserve">304.51. </w:t>
      </w:r>
      <w:r w:rsidR="001754C2" w:rsidRPr="0071782F">
        <w:rPr>
          <w:lang w:val="fr-CH"/>
        </w:rPr>
        <w:t xml:space="preserve">Règlement des problèmes des enfants malentendants et de </w:t>
      </w:r>
      <w:r w:rsidR="001F3F05" w:rsidRPr="0071782F">
        <w:rPr>
          <w:lang w:val="fr-CH"/>
        </w:rPr>
        <w:t>leur famille</w:t>
      </w:r>
      <w:r w:rsidR="001754C2" w:rsidRPr="0071782F">
        <w:rPr>
          <w:lang w:val="fr-CH"/>
        </w:rPr>
        <w:t>, et fourniture par des psychologues de l’appui psychologique et social nécessaire.</w:t>
      </w:r>
    </w:p>
    <w:p w:rsidR="00E5019F" w:rsidRPr="0071782F" w:rsidRDefault="00E5019F" w:rsidP="00E5019F">
      <w:pPr>
        <w:pStyle w:val="SingleTxtG"/>
        <w:ind w:left="1701"/>
        <w:rPr>
          <w:lang w:val="fr-CH"/>
        </w:rPr>
      </w:pPr>
      <w:r w:rsidRPr="0071782F">
        <w:rPr>
          <w:lang w:val="fr-CH"/>
        </w:rPr>
        <w:t xml:space="preserve">304.52. </w:t>
      </w:r>
      <w:r w:rsidR="00791CF5" w:rsidRPr="0071782F">
        <w:rPr>
          <w:lang w:val="fr-CH"/>
        </w:rPr>
        <w:t xml:space="preserve">Examen et traitement des troubles du langage et fourniture par des orthophonistes des connaissances nécessaires aux formateurs qui travaillent avec des enfants présentant des troubles de ce type. </w:t>
      </w:r>
    </w:p>
    <w:p w:rsidR="00E5019F" w:rsidRPr="0071782F" w:rsidRDefault="00E5019F" w:rsidP="00E5019F">
      <w:pPr>
        <w:pStyle w:val="SingleTxtG"/>
        <w:ind w:left="1701"/>
        <w:rPr>
          <w:lang w:val="fr-CH"/>
        </w:rPr>
      </w:pPr>
      <w:r w:rsidRPr="0071782F">
        <w:rPr>
          <w:lang w:val="fr-CH"/>
        </w:rPr>
        <w:t>304.53. Organi</w:t>
      </w:r>
      <w:r w:rsidR="00791CF5" w:rsidRPr="0071782F">
        <w:rPr>
          <w:lang w:val="fr-CH"/>
        </w:rPr>
        <w:t xml:space="preserve">sation de consultations données par des spécialistes aux </w:t>
      </w:r>
      <w:r w:rsidRPr="0071782F">
        <w:rPr>
          <w:lang w:val="fr-CH"/>
        </w:rPr>
        <w:t xml:space="preserve">parents </w:t>
      </w:r>
      <w:r w:rsidR="00791CF5" w:rsidRPr="0071782F">
        <w:rPr>
          <w:lang w:val="fr-CH"/>
        </w:rPr>
        <w:t>d’enfants malentendants</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791CF5" w:rsidRPr="0071782F">
        <w:rPr>
          <w:lang w:val="fr-CH"/>
        </w:rPr>
        <w:t>Services et assistance nécessaires fournis par les centres de soins de jour publics pour non-voyants</w:t>
      </w:r>
    </w:p>
    <w:p w:rsidR="00E5019F" w:rsidRPr="0071782F" w:rsidRDefault="00E5019F" w:rsidP="00E5019F">
      <w:pPr>
        <w:pStyle w:val="SingleTxtG"/>
        <w:rPr>
          <w:lang w:val="fr-CH"/>
        </w:rPr>
      </w:pPr>
      <w:r w:rsidRPr="0071782F">
        <w:rPr>
          <w:lang w:val="fr-CH"/>
        </w:rPr>
        <w:t>305.</w:t>
      </w:r>
      <w:r w:rsidRPr="0071782F">
        <w:rPr>
          <w:lang w:val="fr-CH"/>
        </w:rPr>
        <w:tab/>
      </w:r>
      <w:r w:rsidR="00791CF5" w:rsidRPr="0071782F">
        <w:rPr>
          <w:lang w:val="fr-CH"/>
        </w:rPr>
        <w:t>S</w:t>
      </w:r>
      <w:r w:rsidRPr="0071782F">
        <w:rPr>
          <w:lang w:val="fr-CH"/>
        </w:rPr>
        <w:t>ervices</w:t>
      </w:r>
      <w:r w:rsidR="00791CF5" w:rsidRPr="0071782F">
        <w:rPr>
          <w:lang w:val="fr-CH"/>
        </w:rPr>
        <w:t xml:space="preserve"> culturels</w:t>
      </w:r>
      <w:r w:rsidR="008F7D33" w:rsidRPr="0071782F">
        <w:rPr>
          <w:lang w:val="fr-CH"/>
        </w:rPr>
        <w:t>:</w:t>
      </w:r>
    </w:p>
    <w:p w:rsidR="00E5019F" w:rsidRPr="0071782F" w:rsidRDefault="00E5019F" w:rsidP="00E5019F">
      <w:pPr>
        <w:pStyle w:val="SingleTxtG"/>
        <w:ind w:left="1701"/>
        <w:rPr>
          <w:lang w:val="fr-CH"/>
        </w:rPr>
      </w:pPr>
      <w:r w:rsidRPr="0071782F">
        <w:rPr>
          <w:lang w:val="fr-CH"/>
        </w:rPr>
        <w:t>305.1.</w:t>
      </w:r>
      <w:r w:rsidRPr="0071782F">
        <w:rPr>
          <w:lang w:val="fr-CH"/>
        </w:rPr>
        <w:tab/>
      </w:r>
      <w:r w:rsidR="00791CF5" w:rsidRPr="0071782F">
        <w:rPr>
          <w:lang w:val="fr-CH"/>
        </w:rPr>
        <w:t>Transcription de livres en texte b</w:t>
      </w:r>
      <w:r w:rsidRPr="0071782F">
        <w:rPr>
          <w:lang w:val="fr-CH"/>
        </w:rPr>
        <w:t>raille.</w:t>
      </w:r>
    </w:p>
    <w:p w:rsidR="00E5019F" w:rsidRPr="0071782F" w:rsidRDefault="00E5019F" w:rsidP="00E5019F">
      <w:pPr>
        <w:pStyle w:val="SingleTxtG"/>
        <w:ind w:left="1701"/>
        <w:rPr>
          <w:lang w:val="fr-CH"/>
        </w:rPr>
      </w:pPr>
      <w:r w:rsidRPr="0071782F">
        <w:rPr>
          <w:lang w:val="fr-CH"/>
        </w:rPr>
        <w:t>305.2.</w:t>
      </w:r>
      <w:r w:rsidRPr="0071782F">
        <w:rPr>
          <w:lang w:val="fr-CH"/>
        </w:rPr>
        <w:tab/>
        <w:t xml:space="preserve">Conversion </w:t>
      </w:r>
      <w:r w:rsidR="00791CF5" w:rsidRPr="0071782F">
        <w:rPr>
          <w:lang w:val="fr-CH"/>
        </w:rPr>
        <w:t xml:space="preserve">de livres en </w:t>
      </w:r>
      <w:r w:rsidRPr="0071782F">
        <w:rPr>
          <w:lang w:val="fr-CH"/>
        </w:rPr>
        <w:t>cassettes</w:t>
      </w:r>
      <w:r w:rsidR="00791CF5" w:rsidRPr="0071782F">
        <w:rPr>
          <w:lang w:val="fr-CH"/>
        </w:rPr>
        <w:t xml:space="preserve"> ou en cédéroms</w:t>
      </w:r>
      <w:r w:rsidRPr="0071782F">
        <w:rPr>
          <w:lang w:val="fr-CH"/>
        </w:rPr>
        <w:t>.</w:t>
      </w:r>
    </w:p>
    <w:p w:rsidR="00E5019F" w:rsidRPr="0071782F" w:rsidRDefault="00E5019F" w:rsidP="00E5019F">
      <w:pPr>
        <w:pStyle w:val="SingleTxtG"/>
        <w:ind w:left="1701"/>
        <w:rPr>
          <w:lang w:val="fr-CH"/>
        </w:rPr>
      </w:pPr>
      <w:r w:rsidRPr="0071782F">
        <w:rPr>
          <w:lang w:val="fr-CH"/>
        </w:rPr>
        <w:t>305.3.</w:t>
      </w:r>
      <w:r w:rsidRPr="0071782F">
        <w:rPr>
          <w:lang w:val="fr-CH"/>
        </w:rPr>
        <w:tab/>
      </w:r>
      <w:r w:rsidR="00791CF5" w:rsidRPr="0071782F">
        <w:rPr>
          <w:lang w:val="fr-CH"/>
        </w:rPr>
        <w:t>Numérisation de matériels éducatifs</w:t>
      </w:r>
      <w:r w:rsidRPr="0071782F">
        <w:rPr>
          <w:lang w:val="fr-CH"/>
        </w:rPr>
        <w:t>.</w:t>
      </w:r>
    </w:p>
    <w:p w:rsidR="00E5019F" w:rsidRPr="0071782F" w:rsidRDefault="00E5019F" w:rsidP="00E5019F">
      <w:pPr>
        <w:pStyle w:val="SingleTxtG"/>
        <w:ind w:left="1701"/>
        <w:rPr>
          <w:lang w:val="fr-CH"/>
        </w:rPr>
      </w:pPr>
      <w:r w:rsidRPr="0071782F">
        <w:rPr>
          <w:lang w:val="fr-CH"/>
        </w:rPr>
        <w:t>305.</w:t>
      </w:r>
      <w:r w:rsidR="00791CF5" w:rsidRPr="0071782F">
        <w:rPr>
          <w:lang w:val="fr-CH"/>
        </w:rPr>
        <w:t>4</w:t>
      </w:r>
      <w:r w:rsidRPr="0071782F">
        <w:rPr>
          <w:lang w:val="fr-CH"/>
        </w:rPr>
        <w:t>.</w:t>
      </w:r>
      <w:r w:rsidRPr="0071782F">
        <w:rPr>
          <w:lang w:val="fr-CH"/>
        </w:rPr>
        <w:tab/>
      </w:r>
      <w:r w:rsidR="00791CF5" w:rsidRPr="0071782F">
        <w:rPr>
          <w:lang w:val="fr-CH"/>
        </w:rPr>
        <w:t xml:space="preserve">Fourniture de services de bibliothèque </w:t>
      </w:r>
      <w:r w:rsidRPr="0071782F">
        <w:rPr>
          <w:lang w:val="fr-CH"/>
        </w:rPr>
        <w:t>(distributi</w:t>
      </w:r>
      <w:r w:rsidR="00791CF5" w:rsidRPr="0071782F">
        <w:rPr>
          <w:lang w:val="fr-CH"/>
        </w:rPr>
        <w:t>on ou prêt de livres aux demandeurs d’aide, en personne ou par courrier</w:t>
      </w:r>
      <w:r w:rsidRPr="0071782F">
        <w:rPr>
          <w:lang w:val="fr-CH"/>
        </w:rPr>
        <w:t>).</w:t>
      </w:r>
    </w:p>
    <w:p w:rsidR="00E5019F" w:rsidRPr="0071782F" w:rsidRDefault="00E5019F" w:rsidP="00E5019F">
      <w:pPr>
        <w:pStyle w:val="SingleTxtG"/>
        <w:ind w:left="1701"/>
        <w:rPr>
          <w:lang w:val="fr-CH"/>
        </w:rPr>
      </w:pPr>
      <w:r w:rsidRPr="0071782F">
        <w:rPr>
          <w:lang w:val="fr-CH"/>
        </w:rPr>
        <w:t>305.</w:t>
      </w:r>
      <w:r w:rsidR="00791CF5" w:rsidRPr="0071782F">
        <w:rPr>
          <w:lang w:val="fr-CH"/>
        </w:rPr>
        <w:t>5</w:t>
      </w:r>
      <w:r w:rsidRPr="0071782F">
        <w:rPr>
          <w:lang w:val="fr-CH"/>
        </w:rPr>
        <w:t>.</w:t>
      </w:r>
      <w:r w:rsidRPr="0071782F">
        <w:rPr>
          <w:lang w:val="fr-CH"/>
        </w:rPr>
        <w:tab/>
      </w:r>
      <w:r w:rsidR="00791CF5" w:rsidRPr="0071782F">
        <w:rPr>
          <w:lang w:val="fr-CH"/>
        </w:rPr>
        <w:t>Publication de périodiques (journaux et publications hebdomadaires, mensuelles et trimestrielles, etc. en braille ou en audiotexte)</w:t>
      </w:r>
      <w:r w:rsidRPr="0071782F">
        <w:rPr>
          <w:lang w:val="fr-CH"/>
        </w:rPr>
        <w:t>.</w:t>
      </w:r>
    </w:p>
    <w:p w:rsidR="00E5019F" w:rsidRPr="0071782F" w:rsidRDefault="00E5019F" w:rsidP="00E5019F">
      <w:pPr>
        <w:pStyle w:val="SingleTxtG"/>
        <w:rPr>
          <w:lang w:val="fr-CH"/>
        </w:rPr>
      </w:pPr>
      <w:r w:rsidRPr="0071782F">
        <w:rPr>
          <w:lang w:val="fr-CH"/>
        </w:rPr>
        <w:t>306.</w:t>
      </w:r>
      <w:r w:rsidRPr="0071782F">
        <w:rPr>
          <w:lang w:val="fr-CH"/>
        </w:rPr>
        <w:tab/>
      </w:r>
      <w:r w:rsidR="00791CF5" w:rsidRPr="0071782F">
        <w:rPr>
          <w:lang w:val="fr-CH"/>
        </w:rPr>
        <w:t>S</w:t>
      </w:r>
      <w:r w:rsidRPr="0071782F">
        <w:rPr>
          <w:lang w:val="fr-CH"/>
        </w:rPr>
        <w:t xml:space="preserve">ervices </w:t>
      </w:r>
      <w:r w:rsidR="00791CF5" w:rsidRPr="0071782F">
        <w:rPr>
          <w:lang w:val="fr-CH"/>
        </w:rPr>
        <w:t xml:space="preserve">éducatifs </w:t>
      </w:r>
    </w:p>
    <w:p w:rsidR="00E5019F" w:rsidRPr="0071782F" w:rsidRDefault="00E5019F" w:rsidP="00E5019F">
      <w:pPr>
        <w:pStyle w:val="SingleTxtG"/>
        <w:ind w:left="1701"/>
        <w:rPr>
          <w:lang w:val="fr-CH"/>
        </w:rPr>
      </w:pPr>
      <w:r w:rsidRPr="0071782F">
        <w:rPr>
          <w:lang w:val="fr-CH"/>
        </w:rPr>
        <w:t>306.1.</w:t>
      </w:r>
      <w:r w:rsidRPr="0071782F">
        <w:rPr>
          <w:lang w:val="fr-CH"/>
        </w:rPr>
        <w:tab/>
        <w:t>Organi</w:t>
      </w:r>
      <w:r w:rsidR="002660F7" w:rsidRPr="0071782F">
        <w:rPr>
          <w:lang w:val="fr-CH"/>
        </w:rPr>
        <w:t>sation de cours dispensés à l’aide de logiciels classiques ou de logiciels spéciaux pour non-voyants</w:t>
      </w:r>
      <w:r w:rsidRPr="0071782F">
        <w:rPr>
          <w:lang w:val="fr-CH"/>
        </w:rPr>
        <w:t>.</w:t>
      </w:r>
    </w:p>
    <w:p w:rsidR="00E5019F" w:rsidRPr="0071782F" w:rsidRDefault="00E5019F" w:rsidP="00E5019F">
      <w:pPr>
        <w:pStyle w:val="SingleTxtG"/>
        <w:ind w:left="1701"/>
        <w:rPr>
          <w:lang w:val="fr-CH"/>
        </w:rPr>
      </w:pPr>
      <w:r w:rsidRPr="0071782F">
        <w:rPr>
          <w:lang w:val="fr-CH"/>
        </w:rPr>
        <w:t>306.2.</w:t>
      </w:r>
      <w:r w:rsidRPr="0071782F">
        <w:rPr>
          <w:lang w:val="fr-CH"/>
        </w:rPr>
        <w:tab/>
      </w:r>
      <w:r w:rsidR="002660F7" w:rsidRPr="0071782F">
        <w:rPr>
          <w:lang w:val="fr-CH"/>
        </w:rPr>
        <w:t>Distribution de divers types de logiciels aux demandeurs.</w:t>
      </w:r>
    </w:p>
    <w:p w:rsidR="00E5019F" w:rsidRPr="0071782F" w:rsidRDefault="002660F7" w:rsidP="00E5019F">
      <w:pPr>
        <w:pStyle w:val="SingleTxtG"/>
        <w:ind w:left="1701"/>
        <w:rPr>
          <w:lang w:val="fr-CH"/>
        </w:rPr>
      </w:pPr>
      <w:r w:rsidRPr="0071782F">
        <w:rPr>
          <w:lang w:val="fr-CH"/>
        </w:rPr>
        <w:t>306.3. Création d’un canal de communication bidirectionnelle avec les non-voyants</w:t>
      </w:r>
      <w:r w:rsidR="00E5019F" w:rsidRPr="0071782F">
        <w:rPr>
          <w:lang w:val="fr-CH"/>
        </w:rPr>
        <w:t>.</w:t>
      </w:r>
    </w:p>
    <w:p w:rsidR="00E5019F" w:rsidRPr="0071782F" w:rsidRDefault="00E5019F" w:rsidP="00E5019F">
      <w:pPr>
        <w:pStyle w:val="SingleTxtG"/>
        <w:ind w:left="1701"/>
        <w:rPr>
          <w:lang w:val="fr-CH"/>
        </w:rPr>
      </w:pPr>
      <w:r w:rsidRPr="0071782F">
        <w:rPr>
          <w:lang w:val="fr-CH"/>
        </w:rPr>
        <w:t>306.4.</w:t>
      </w:r>
      <w:r w:rsidRPr="0071782F">
        <w:rPr>
          <w:lang w:val="fr-CH"/>
        </w:rPr>
        <w:tab/>
        <w:t>Organi</w:t>
      </w:r>
      <w:r w:rsidR="002660F7" w:rsidRPr="0071782F">
        <w:rPr>
          <w:lang w:val="fr-CH"/>
        </w:rPr>
        <w:t>sation de cours de couture, de travaux manuels, de céramique, de fabrication de poupées, d’art floral, de tissage de tapis, de cuisine et de dactylographie</w:t>
      </w:r>
      <w:r w:rsidRPr="0071782F">
        <w:rPr>
          <w:lang w:val="fr-CH"/>
        </w:rPr>
        <w:t>.</w:t>
      </w:r>
    </w:p>
    <w:p w:rsidR="00E5019F" w:rsidRPr="0071782F" w:rsidRDefault="00E5019F" w:rsidP="00E5019F">
      <w:pPr>
        <w:pStyle w:val="SingleTxtG"/>
        <w:ind w:left="1701"/>
        <w:rPr>
          <w:lang w:val="fr-CH"/>
        </w:rPr>
      </w:pPr>
      <w:r w:rsidRPr="0071782F">
        <w:rPr>
          <w:lang w:val="fr-CH"/>
        </w:rPr>
        <w:t>306.5.</w:t>
      </w:r>
      <w:r w:rsidRPr="0071782F">
        <w:rPr>
          <w:lang w:val="fr-CH"/>
        </w:rPr>
        <w:tab/>
      </w:r>
      <w:r w:rsidR="00C153CC" w:rsidRPr="0071782F">
        <w:rPr>
          <w:lang w:val="fr-CH"/>
        </w:rPr>
        <w:t>Enseignement d’activités artistiques (</w:t>
      </w:r>
      <w:r w:rsidRPr="0071782F">
        <w:rPr>
          <w:lang w:val="fr-CH"/>
        </w:rPr>
        <w:t>musi</w:t>
      </w:r>
      <w:r w:rsidR="00C153CC" w:rsidRPr="0071782F">
        <w:rPr>
          <w:lang w:val="fr-CH"/>
        </w:rPr>
        <w:t>que</w:t>
      </w:r>
      <w:r w:rsidRPr="0071782F">
        <w:rPr>
          <w:lang w:val="fr-CH"/>
        </w:rPr>
        <w:t xml:space="preserve">, </w:t>
      </w:r>
      <w:r w:rsidR="00C153CC" w:rsidRPr="0071782F">
        <w:rPr>
          <w:lang w:val="fr-CH"/>
        </w:rPr>
        <w:t>chant choral, peinture</w:t>
      </w:r>
      <w:r w:rsidRPr="0071782F">
        <w:rPr>
          <w:lang w:val="fr-CH"/>
        </w:rPr>
        <w:t xml:space="preserve">, </w:t>
      </w:r>
      <w:r w:rsidR="00C153CC" w:rsidRPr="0071782F">
        <w:rPr>
          <w:lang w:val="fr-CH"/>
        </w:rPr>
        <w:t xml:space="preserve">fabrication de </w:t>
      </w:r>
      <w:r w:rsidRPr="0071782F">
        <w:rPr>
          <w:lang w:val="fr-CH"/>
        </w:rPr>
        <w:t>mosa</w:t>
      </w:r>
      <w:r w:rsidR="00C153CC" w:rsidRPr="0071782F">
        <w:rPr>
          <w:lang w:val="fr-CH"/>
        </w:rPr>
        <w:t>ïques</w:t>
      </w:r>
      <w:r w:rsidRPr="0071782F">
        <w:rPr>
          <w:lang w:val="fr-CH"/>
        </w:rPr>
        <w:t>, th</w:t>
      </w:r>
      <w:r w:rsidR="00C153CC" w:rsidRPr="0071782F">
        <w:rPr>
          <w:lang w:val="fr-CH"/>
        </w:rPr>
        <w:t>éâtre</w:t>
      </w:r>
      <w:r w:rsidRPr="0071782F">
        <w:rPr>
          <w:lang w:val="fr-CH"/>
        </w:rPr>
        <w:t>, etc.</w:t>
      </w:r>
      <w:r w:rsidR="00C153CC" w:rsidRPr="0071782F">
        <w:rPr>
          <w:lang w:val="fr-CH"/>
        </w:rPr>
        <w:t>).</w:t>
      </w:r>
    </w:p>
    <w:p w:rsidR="00E5019F" w:rsidRPr="0071782F" w:rsidRDefault="00E5019F" w:rsidP="00E5019F">
      <w:pPr>
        <w:pStyle w:val="SingleTxtG"/>
        <w:ind w:left="1701"/>
        <w:rPr>
          <w:lang w:val="fr-CH"/>
        </w:rPr>
      </w:pPr>
      <w:r w:rsidRPr="0071782F">
        <w:rPr>
          <w:lang w:val="fr-CH"/>
        </w:rPr>
        <w:t>306.6.</w:t>
      </w:r>
      <w:r w:rsidRPr="0071782F">
        <w:rPr>
          <w:lang w:val="fr-CH"/>
        </w:rPr>
        <w:tab/>
      </w:r>
      <w:r w:rsidR="00C153CC" w:rsidRPr="0071782F">
        <w:rPr>
          <w:lang w:val="fr-CH"/>
        </w:rPr>
        <w:t>Enseignement des aptitudes nécessaires au déplacement et des aptitudes directionnelles</w:t>
      </w:r>
      <w:r w:rsidRPr="0071782F">
        <w:rPr>
          <w:lang w:val="fr-CH"/>
        </w:rPr>
        <w:t>.</w:t>
      </w:r>
    </w:p>
    <w:p w:rsidR="00E5019F" w:rsidRPr="0071782F" w:rsidRDefault="00E5019F" w:rsidP="00E5019F">
      <w:pPr>
        <w:pStyle w:val="SingleTxtG"/>
        <w:ind w:left="1701"/>
        <w:rPr>
          <w:lang w:val="fr-CH"/>
        </w:rPr>
      </w:pPr>
      <w:r w:rsidRPr="0071782F">
        <w:rPr>
          <w:lang w:val="fr-CH"/>
        </w:rPr>
        <w:t>306.7.</w:t>
      </w:r>
      <w:r w:rsidRPr="0071782F">
        <w:rPr>
          <w:lang w:val="fr-CH"/>
        </w:rPr>
        <w:tab/>
      </w:r>
      <w:r w:rsidR="00C153CC" w:rsidRPr="0071782F">
        <w:rPr>
          <w:lang w:val="fr-CH"/>
        </w:rPr>
        <w:t>Enseignement du b</w:t>
      </w:r>
      <w:r w:rsidRPr="0071782F">
        <w:rPr>
          <w:lang w:val="fr-CH"/>
        </w:rPr>
        <w:t>raille.</w:t>
      </w:r>
    </w:p>
    <w:p w:rsidR="00E5019F" w:rsidRPr="0071782F" w:rsidRDefault="00E5019F" w:rsidP="00E5019F">
      <w:pPr>
        <w:pStyle w:val="SingleTxtG"/>
        <w:ind w:left="1701"/>
        <w:rPr>
          <w:lang w:val="fr-CH"/>
        </w:rPr>
      </w:pPr>
      <w:r w:rsidRPr="0071782F">
        <w:rPr>
          <w:lang w:val="fr-CH"/>
        </w:rPr>
        <w:t>306.8.</w:t>
      </w:r>
      <w:r w:rsidRPr="0071782F">
        <w:rPr>
          <w:lang w:val="fr-CH"/>
        </w:rPr>
        <w:tab/>
        <w:t>Organi</w:t>
      </w:r>
      <w:r w:rsidR="00C153CC" w:rsidRPr="0071782F">
        <w:rPr>
          <w:lang w:val="fr-CH"/>
        </w:rPr>
        <w:t>sation de programmes d’alphabétisation à l’intention des non-voyants adultes analphabètes</w:t>
      </w:r>
      <w:r w:rsidRPr="0071782F">
        <w:rPr>
          <w:lang w:val="fr-CH"/>
        </w:rPr>
        <w:t>.</w:t>
      </w:r>
    </w:p>
    <w:p w:rsidR="00E5019F" w:rsidRPr="0071782F" w:rsidRDefault="00E5019F" w:rsidP="00E5019F">
      <w:pPr>
        <w:pStyle w:val="SingleTxtG"/>
        <w:rPr>
          <w:lang w:val="fr-CH"/>
        </w:rPr>
      </w:pPr>
      <w:r w:rsidRPr="0071782F">
        <w:rPr>
          <w:lang w:val="fr-CH"/>
        </w:rPr>
        <w:t>307.</w:t>
      </w:r>
      <w:r w:rsidRPr="0071782F">
        <w:rPr>
          <w:lang w:val="fr-CH"/>
        </w:rPr>
        <w:tab/>
      </w:r>
      <w:r w:rsidR="00C153CC" w:rsidRPr="0071782F">
        <w:rPr>
          <w:lang w:val="fr-CH"/>
        </w:rPr>
        <w:t>S</w:t>
      </w:r>
      <w:r w:rsidRPr="0071782F">
        <w:rPr>
          <w:lang w:val="fr-CH"/>
        </w:rPr>
        <w:t>ervices</w:t>
      </w:r>
      <w:r w:rsidR="00C153CC" w:rsidRPr="0071782F">
        <w:rPr>
          <w:lang w:val="fr-CH"/>
        </w:rPr>
        <w:t xml:space="preserve"> de protection sociale</w:t>
      </w:r>
    </w:p>
    <w:p w:rsidR="00E5019F" w:rsidRPr="0071782F" w:rsidRDefault="00E5019F" w:rsidP="00E5019F">
      <w:pPr>
        <w:pStyle w:val="SingleTxtG"/>
        <w:ind w:left="1701"/>
        <w:rPr>
          <w:lang w:val="fr-CH"/>
        </w:rPr>
      </w:pPr>
      <w:r w:rsidRPr="0071782F">
        <w:rPr>
          <w:lang w:val="fr-CH"/>
        </w:rPr>
        <w:t>307.1.</w:t>
      </w:r>
      <w:r w:rsidRPr="0071782F">
        <w:rPr>
          <w:lang w:val="fr-CH"/>
        </w:rPr>
        <w:tab/>
      </w:r>
      <w:r w:rsidR="00DD517B" w:rsidRPr="0071782F">
        <w:rPr>
          <w:lang w:val="fr-CH"/>
        </w:rPr>
        <w:t>Prestation de services de conseil et de services sociaux</w:t>
      </w:r>
      <w:r w:rsidRPr="0071782F">
        <w:rPr>
          <w:lang w:val="fr-CH"/>
        </w:rPr>
        <w:t>.</w:t>
      </w:r>
    </w:p>
    <w:p w:rsidR="00E5019F" w:rsidRPr="0071782F" w:rsidRDefault="00E5019F" w:rsidP="00E5019F">
      <w:pPr>
        <w:pStyle w:val="SingleTxtG"/>
        <w:ind w:left="1701"/>
        <w:rPr>
          <w:lang w:val="fr-CH"/>
        </w:rPr>
      </w:pPr>
      <w:r w:rsidRPr="0071782F">
        <w:rPr>
          <w:lang w:val="fr-CH"/>
        </w:rPr>
        <w:t>307.2.</w:t>
      </w:r>
      <w:r w:rsidRPr="0071782F">
        <w:rPr>
          <w:lang w:val="fr-CH"/>
        </w:rPr>
        <w:tab/>
      </w:r>
      <w:r w:rsidR="00DD517B" w:rsidRPr="0071782F">
        <w:rPr>
          <w:lang w:val="fr-CH"/>
        </w:rPr>
        <w:t>P</w:t>
      </w:r>
      <w:r w:rsidRPr="0071782F">
        <w:rPr>
          <w:lang w:val="fr-CH"/>
        </w:rPr>
        <w:t xml:space="preserve">lacement </w:t>
      </w:r>
      <w:r w:rsidR="00DD517B" w:rsidRPr="0071782F">
        <w:rPr>
          <w:lang w:val="fr-CH"/>
        </w:rPr>
        <w:t>et emploi des non-voyants</w:t>
      </w:r>
      <w:r w:rsidRPr="0071782F">
        <w:rPr>
          <w:lang w:val="fr-CH"/>
        </w:rPr>
        <w:t>.</w:t>
      </w:r>
    </w:p>
    <w:p w:rsidR="00E5019F" w:rsidRPr="0071782F" w:rsidRDefault="00E5019F" w:rsidP="00E5019F">
      <w:pPr>
        <w:pStyle w:val="SingleTxtG"/>
        <w:ind w:left="1701"/>
        <w:rPr>
          <w:lang w:val="fr-CH"/>
        </w:rPr>
      </w:pPr>
      <w:r w:rsidRPr="0071782F">
        <w:rPr>
          <w:lang w:val="fr-CH"/>
        </w:rPr>
        <w:t>307.3.</w:t>
      </w:r>
      <w:r w:rsidRPr="0071782F">
        <w:rPr>
          <w:lang w:val="fr-CH"/>
        </w:rPr>
        <w:tab/>
      </w:r>
      <w:r w:rsidR="00DD517B" w:rsidRPr="0071782F">
        <w:rPr>
          <w:lang w:val="fr-CH"/>
        </w:rPr>
        <w:t>Octroi aux étudiants d’une subvention au titre du paiement de leurs frais de scolarité.</w:t>
      </w:r>
    </w:p>
    <w:p w:rsidR="00E5019F" w:rsidRPr="0071782F" w:rsidRDefault="00E5019F" w:rsidP="00E5019F">
      <w:pPr>
        <w:pStyle w:val="SingleTxtG"/>
        <w:ind w:left="1701"/>
        <w:rPr>
          <w:lang w:val="fr-CH"/>
        </w:rPr>
      </w:pPr>
      <w:r w:rsidRPr="0071782F">
        <w:rPr>
          <w:lang w:val="fr-CH"/>
        </w:rPr>
        <w:t>307.4.</w:t>
      </w:r>
      <w:r w:rsidRPr="0071782F">
        <w:rPr>
          <w:lang w:val="fr-CH"/>
        </w:rPr>
        <w:tab/>
      </w:r>
      <w:r w:rsidR="00DD517B" w:rsidRPr="0071782F">
        <w:rPr>
          <w:lang w:val="fr-CH"/>
        </w:rPr>
        <w:t>Fourniture d’équipements et de services de réadaptation, ainsi que de matériels éducatifs</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DD517B" w:rsidRPr="0071782F">
        <w:rPr>
          <w:lang w:val="fr-CH"/>
        </w:rPr>
        <w:t xml:space="preserve">Services de réadaptation adaptés aux besoins </w:t>
      </w:r>
      <w:r w:rsidR="007F37CE" w:rsidRPr="0071782F">
        <w:rPr>
          <w:lang w:val="fr-CH"/>
        </w:rPr>
        <w:t>des personnes</w:t>
      </w:r>
      <w:r w:rsidR="00DD517B" w:rsidRPr="0071782F">
        <w:rPr>
          <w:lang w:val="fr-CH"/>
        </w:rPr>
        <w:t xml:space="preserve"> handicapées dans divers domaines </w:t>
      </w:r>
    </w:p>
    <w:p w:rsidR="00E5019F" w:rsidRPr="0071782F" w:rsidRDefault="00E5019F" w:rsidP="00E5019F">
      <w:pPr>
        <w:pStyle w:val="SingleTxtG"/>
        <w:rPr>
          <w:lang w:val="fr-CH"/>
        </w:rPr>
      </w:pPr>
      <w:r w:rsidRPr="0071782F">
        <w:rPr>
          <w:lang w:val="fr-CH"/>
        </w:rPr>
        <w:t>308.</w:t>
      </w:r>
      <w:r w:rsidRPr="0071782F">
        <w:rPr>
          <w:lang w:val="fr-CH"/>
        </w:rPr>
        <w:tab/>
      </w:r>
      <w:r w:rsidR="00DD517B" w:rsidRPr="0071782F">
        <w:rPr>
          <w:lang w:val="fr-CH"/>
        </w:rPr>
        <w:t>Services de réadaptation s</w:t>
      </w:r>
      <w:r w:rsidRPr="0071782F">
        <w:rPr>
          <w:lang w:val="fr-CH"/>
        </w:rPr>
        <w:t>ocial</w:t>
      </w:r>
      <w:r w:rsidR="00DD517B" w:rsidRPr="0071782F">
        <w:rPr>
          <w:lang w:val="fr-CH"/>
        </w:rPr>
        <w:t>e</w:t>
      </w:r>
      <w:r w:rsidRPr="0071782F">
        <w:rPr>
          <w:lang w:val="fr-CH"/>
        </w:rPr>
        <w:t xml:space="preserve"> </w:t>
      </w:r>
    </w:p>
    <w:p w:rsidR="00E5019F" w:rsidRPr="0071782F" w:rsidRDefault="00E5019F" w:rsidP="00E5019F">
      <w:pPr>
        <w:pStyle w:val="SingleTxtG"/>
        <w:ind w:left="1701"/>
        <w:rPr>
          <w:lang w:val="fr-CH"/>
        </w:rPr>
      </w:pPr>
      <w:r w:rsidRPr="0071782F">
        <w:rPr>
          <w:lang w:val="fr-CH"/>
        </w:rPr>
        <w:t>308.1.</w:t>
      </w:r>
      <w:r w:rsidRPr="0071782F">
        <w:rPr>
          <w:lang w:val="fr-CH"/>
        </w:rPr>
        <w:tab/>
      </w:r>
      <w:r w:rsidR="00272066" w:rsidRPr="0071782F">
        <w:rPr>
          <w:lang w:val="fr-CH"/>
        </w:rPr>
        <w:t xml:space="preserve">Prestation de </w:t>
      </w:r>
      <w:r w:rsidRPr="0071782F">
        <w:rPr>
          <w:lang w:val="fr-CH"/>
        </w:rPr>
        <w:t xml:space="preserve">services </w:t>
      </w:r>
      <w:r w:rsidR="00272066" w:rsidRPr="0071782F">
        <w:rPr>
          <w:lang w:val="fr-CH"/>
        </w:rPr>
        <w:t xml:space="preserve">sociaux aux demandeurs d’aide et à </w:t>
      </w:r>
      <w:r w:rsidR="001F3F05" w:rsidRPr="0071782F">
        <w:rPr>
          <w:lang w:val="fr-CH"/>
        </w:rPr>
        <w:t>leur famille</w:t>
      </w:r>
      <w:r w:rsidR="00272066" w:rsidRPr="0071782F">
        <w:rPr>
          <w:lang w:val="fr-CH"/>
        </w:rPr>
        <w:t xml:space="preserve"> en fonction de leur situation économique et sociale et des recommandations des conseillers sociaux</w:t>
      </w:r>
      <w:r w:rsidRPr="0071782F">
        <w:rPr>
          <w:lang w:val="fr-CH"/>
        </w:rPr>
        <w:t>.</w:t>
      </w:r>
    </w:p>
    <w:p w:rsidR="00E5019F" w:rsidRPr="0071782F" w:rsidRDefault="00E5019F" w:rsidP="00E5019F">
      <w:pPr>
        <w:pStyle w:val="SingleTxtG"/>
        <w:ind w:left="1701"/>
        <w:rPr>
          <w:lang w:val="fr-CH"/>
        </w:rPr>
      </w:pPr>
      <w:r w:rsidRPr="0071782F">
        <w:rPr>
          <w:lang w:val="fr-CH"/>
        </w:rPr>
        <w:t>308.2.</w:t>
      </w:r>
      <w:r w:rsidRPr="0071782F">
        <w:rPr>
          <w:lang w:val="fr-CH"/>
        </w:rPr>
        <w:tab/>
      </w:r>
      <w:r w:rsidR="00B825C5" w:rsidRPr="0071782F">
        <w:rPr>
          <w:lang w:val="fr-CH"/>
        </w:rPr>
        <w:t>Amélioration de l’environnement urbain et des lieux publics aux fins du développement de leurs activités</w:t>
      </w:r>
      <w:r w:rsidRPr="0071782F">
        <w:rPr>
          <w:lang w:val="fr-CH"/>
        </w:rPr>
        <w:t>.</w:t>
      </w:r>
    </w:p>
    <w:p w:rsidR="00E5019F" w:rsidRPr="0071782F" w:rsidRDefault="00E5019F" w:rsidP="00E5019F">
      <w:pPr>
        <w:pStyle w:val="SingleTxtG"/>
        <w:ind w:left="1701"/>
        <w:rPr>
          <w:lang w:val="fr-CH"/>
        </w:rPr>
      </w:pPr>
      <w:r w:rsidRPr="0071782F">
        <w:rPr>
          <w:lang w:val="fr-CH"/>
        </w:rPr>
        <w:t>308.3.</w:t>
      </w:r>
      <w:r w:rsidRPr="0071782F">
        <w:rPr>
          <w:lang w:val="fr-CH"/>
        </w:rPr>
        <w:tab/>
        <w:t>Pr</w:t>
      </w:r>
      <w:r w:rsidR="0060256E" w:rsidRPr="0071782F">
        <w:rPr>
          <w:lang w:val="fr-CH"/>
        </w:rPr>
        <w:t>estation de services de conseil et d’orientation par le biais d’ateliers psychologiques</w:t>
      </w:r>
      <w:r w:rsidRPr="0071782F">
        <w:rPr>
          <w:lang w:val="fr-CH"/>
        </w:rPr>
        <w:t>.</w:t>
      </w:r>
    </w:p>
    <w:p w:rsidR="00E5019F" w:rsidRPr="0071782F" w:rsidRDefault="00E5019F" w:rsidP="00E5019F">
      <w:pPr>
        <w:pStyle w:val="SingleTxtG"/>
        <w:ind w:left="1701"/>
        <w:rPr>
          <w:lang w:val="fr-CH"/>
        </w:rPr>
      </w:pPr>
      <w:r w:rsidRPr="0071782F">
        <w:rPr>
          <w:lang w:val="fr-CH"/>
        </w:rPr>
        <w:t>308.4.</w:t>
      </w:r>
      <w:r w:rsidRPr="0071782F">
        <w:rPr>
          <w:lang w:val="fr-CH"/>
        </w:rPr>
        <w:tab/>
        <w:t>Pr</w:t>
      </w:r>
      <w:r w:rsidR="0060256E" w:rsidRPr="0071782F">
        <w:rPr>
          <w:lang w:val="fr-CH"/>
        </w:rPr>
        <w:t>estation de services d’éducation préscolaire aux enfants atteints de handicaps graves</w:t>
      </w:r>
      <w:r w:rsidRPr="0071782F">
        <w:rPr>
          <w:lang w:val="fr-CH"/>
        </w:rPr>
        <w:t>.</w:t>
      </w:r>
    </w:p>
    <w:p w:rsidR="00E5019F" w:rsidRPr="0071782F" w:rsidRDefault="00E5019F" w:rsidP="00E5019F">
      <w:pPr>
        <w:pStyle w:val="SingleTxtG"/>
        <w:ind w:left="1701"/>
        <w:rPr>
          <w:lang w:val="fr-CH"/>
        </w:rPr>
      </w:pPr>
      <w:r w:rsidRPr="0071782F">
        <w:rPr>
          <w:lang w:val="fr-CH"/>
        </w:rPr>
        <w:t>308.5.</w:t>
      </w:r>
      <w:r w:rsidRPr="0071782F">
        <w:rPr>
          <w:lang w:val="fr-CH"/>
        </w:rPr>
        <w:tab/>
        <w:t>A</w:t>
      </w:r>
      <w:r w:rsidR="0060256E" w:rsidRPr="0071782F">
        <w:rPr>
          <w:lang w:val="fr-CH"/>
        </w:rPr>
        <w:t>ppui à l’éducation et à l’éducation complémentaire des enfants handicapés</w:t>
      </w:r>
      <w:r w:rsidRPr="0071782F">
        <w:rPr>
          <w:lang w:val="fr-CH"/>
        </w:rPr>
        <w:t>.</w:t>
      </w:r>
    </w:p>
    <w:p w:rsidR="00E5019F" w:rsidRPr="0071782F" w:rsidRDefault="00E5019F" w:rsidP="00E5019F">
      <w:pPr>
        <w:pStyle w:val="SingleTxtG"/>
        <w:ind w:left="1701"/>
        <w:rPr>
          <w:lang w:val="fr-CH"/>
        </w:rPr>
      </w:pPr>
      <w:r w:rsidRPr="0071782F">
        <w:rPr>
          <w:lang w:val="fr-CH"/>
        </w:rPr>
        <w:t>308.6.</w:t>
      </w:r>
      <w:r w:rsidRPr="0071782F">
        <w:rPr>
          <w:lang w:val="fr-CH"/>
        </w:rPr>
        <w:tab/>
      </w:r>
      <w:r w:rsidR="0060256E" w:rsidRPr="0071782F">
        <w:rPr>
          <w:lang w:val="fr-CH"/>
        </w:rPr>
        <w:t xml:space="preserve">Fourniture d’aides et de </w:t>
      </w:r>
      <w:r w:rsidRPr="0071782F">
        <w:rPr>
          <w:lang w:val="fr-CH"/>
        </w:rPr>
        <w:t xml:space="preserve">services </w:t>
      </w:r>
      <w:r w:rsidR="0060256E" w:rsidRPr="0071782F">
        <w:rPr>
          <w:lang w:val="fr-CH"/>
        </w:rPr>
        <w:t xml:space="preserve">financiers </w:t>
      </w:r>
      <w:r w:rsidR="00175962" w:rsidRPr="0071782F">
        <w:rPr>
          <w:lang w:val="fr-CH"/>
        </w:rPr>
        <w:t>aux personnes</w:t>
      </w:r>
      <w:r w:rsidR="0060256E" w:rsidRPr="0071782F">
        <w:rPr>
          <w:lang w:val="fr-CH"/>
        </w:rPr>
        <w:t xml:space="preserve"> handicapées (aides au logement et au mariage, prêts bancaires, aide à l’achat d’appareils électroménagers, </w:t>
      </w:r>
      <w:r w:rsidRPr="0071782F">
        <w:rPr>
          <w:lang w:val="fr-CH"/>
        </w:rPr>
        <w:t>etc.</w:t>
      </w:r>
      <w:r w:rsidR="0060256E" w:rsidRPr="0071782F">
        <w:rPr>
          <w:lang w:val="fr-CH"/>
        </w:rPr>
        <w:t>).</w:t>
      </w:r>
    </w:p>
    <w:p w:rsidR="00E5019F" w:rsidRPr="0071782F" w:rsidRDefault="00E5019F" w:rsidP="00E5019F">
      <w:pPr>
        <w:pStyle w:val="SingleTxtG"/>
        <w:ind w:left="1701"/>
        <w:rPr>
          <w:lang w:val="fr-CH"/>
        </w:rPr>
      </w:pPr>
      <w:r w:rsidRPr="0071782F">
        <w:rPr>
          <w:lang w:val="fr-CH"/>
        </w:rPr>
        <w:t>308.7.</w:t>
      </w:r>
      <w:r w:rsidRPr="0071782F">
        <w:rPr>
          <w:lang w:val="fr-CH"/>
        </w:rPr>
        <w:tab/>
      </w:r>
      <w:r w:rsidR="0060256E" w:rsidRPr="0071782F">
        <w:rPr>
          <w:lang w:val="fr-CH"/>
        </w:rPr>
        <w:t xml:space="preserve">Organisation de programmes d’éducation spéciale pour déficients auditifs, visuels et mentaux </w:t>
      </w:r>
      <w:r w:rsidRPr="0071782F">
        <w:rPr>
          <w:lang w:val="fr-CH"/>
        </w:rPr>
        <w:t>(</w:t>
      </w:r>
      <w:r w:rsidR="0060256E" w:rsidRPr="0071782F">
        <w:rPr>
          <w:lang w:val="fr-CH"/>
        </w:rPr>
        <w:t>dans des centres dispensant des programmes de réadaptation quotidienne</w:t>
      </w:r>
      <w:r w:rsidRPr="0071782F">
        <w:rPr>
          <w:lang w:val="fr-CH"/>
        </w:rPr>
        <w:t>).</w:t>
      </w:r>
    </w:p>
    <w:p w:rsidR="00E5019F" w:rsidRPr="0071782F" w:rsidRDefault="00E5019F" w:rsidP="00E5019F">
      <w:pPr>
        <w:pStyle w:val="SingleTxtG"/>
        <w:ind w:left="1701"/>
        <w:rPr>
          <w:lang w:val="fr-CH"/>
        </w:rPr>
      </w:pPr>
      <w:r w:rsidRPr="0071782F">
        <w:rPr>
          <w:lang w:val="fr-CH"/>
        </w:rPr>
        <w:t>308.8.</w:t>
      </w:r>
      <w:r w:rsidRPr="0071782F">
        <w:rPr>
          <w:lang w:val="fr-CH"/>
        </w:rPr>
        <w:tab/>
      </w:r>
      <w:r w:rsidR="00423086" w:rsidRPr="0071782F">
        <w:rPr>
          <w:lang w:val="fr-CH"/>
        </w:rPr>
        <w:t xml:space="preserve">Prise en charge des besoins </w:t>
      </w:r>
      <w:r w:rsidR="007F37CE" w:rsidRPr="0071782F">
        <w:rPr>
          <w:lang w:val="fr-CH"/>
        </w:rPr>
        <w:t>des personnes</w:t>
      </w:r>
      <w:r w:rsidR="00423086" w:rsidRPr="0071782F">
        <w:rPr>
          <w:lang w:val="fr-CH"/>
        </w:rPr>
        <w:t xml:space="preserve"> ayant des problèmes de mobilité physique et </w:t>
      </w:r>
      <w:r w:rsidR="007F37CE" w:rsidRPr="0071782F">
        <w:rPr>
          <w:lang w:val="fr-CH"/>
        </w:rPr>
        <w:t>des personnes</w:t>
      </w:r>
      <w:r w:rsidR="00423086" w:rsidRPr="0071782F">
        <w:rPr>
          <w:lang w:val="fr-CH"/>
        </w:rPr>
        <w:t xml:space="preserve"> âgées.</w:t>
      </w:r>
    </w:p>
    <w:p w:rsidR="00E5019F" w:rsidRPr="0071782F" w:rsidRDefault="00E5019F" w:rsidP="00E5019F">
      <w:pPr>
        <w:pStyle w:val="SingleTxtG"/>
        <w:ind w:left="1701"/>
        <w:rPr>
          <w:lang w:val="fr-CH"/>
        </w:rPr>
      </w:pPr>
      <w:r w:rsidRPr="0071782F">
        <w:rPr>
          <w:lang w:val="fr-CH"/>
        </w:rPr>
        <w:t>308.9.</w:t>
      </w:r>
      <w:r w:rsidRPr="0071782F">
        <w:rPr>
          <w:lang w:val="fr-CH"/>
        </w:rPr>
        <w:tab/>
        <w:t>Pr</w:t>
      </w:r>
      <w:r w:rsidR="00F07687" w:rsidRPr="0071782F">
        <w:rPr>
          <w:lang w:val="fr-CH"/>
        </w:rPr>
        <w:t>estation de services de soins 24</w:t>
      </w:r>
      <w:r w:rsidR="00BF435F" w:rsidRPr="0071782F">
        <w:rPr>
          <w:lang w:val="fr-CH"/>
        </w:rPr>
        <w:t> heures</w:t>
      </w:r>
      <w:r w:rsidR="00F07687" w:rsidRPr="0071782F">
        <w:rPr>
          <w:lang w:val="fr-CH"/>
        </w:rPr>
        <w:t xml:space="preserve"> sur 24 </w:t>
      </w:r>
      <w:r w:rsidR="00175962" w:rsidRPr="0071782F">
        <w:rPr>
          <w:lang w:val="fr-CH"/>
        </w:rPr>
        <w:t>aux personnes</w:t>
      </w:r>
      <w:r w:rsidR="00F07687" w:rsidRPr="0071782F">
        <w:rPr>
          <w:lang w:val="fr-CH"/>
        </w:rPr>
        <w:t xml:space="preserve"> âgées et </w:t>
      </w:r>
      <w:r w:rsidR="00175962" w:rsidRPr="0071782F">
        <w:rPr>
          <w:lang w:val="fr-CH"/>
        </w:rPr>
        <w:t>aux personnes</w:t>
      </w:r>
      <w:r w:rsidR="00F07687" w:rsidRPr="0071782F">
        <w:rPr>
          <w:lang w:val="fr-CH"/>
        </w:rPr>
        <w:t xml:space="preserve"> handicapées (personnes souffrant de déficiences en matière de mobilité physique ou de déficiences mentales;</w:t>
      </w:r>
      <w:r w:rsidR="009D038B">
        <w:rPr>
          <w:lang w:val="fr-CH"/>
        </w:rPr>
        <w:t xml:space="preserve"> </w:t>
      </w:r>
      <w:r w:rsidR="00097CDB" w:rsidRPr="0071782F">
        <w:rPr>
          <w:lang w:val="fr-CH"/>
        </w:rPr>
        <w:t>personnes</w:t>
      </w:r>
      <w:r w:rsidR="00F07687" w:rsidRPr="0071782F">
        <w:rPr>
          <w:lang w:val="fr-CH"/>
        </w:rPr>
        <w:t xml:space="preserve"> qui ne peuvent pas subvenir à leurs besoins personnels quotidiens ou mener à bien les activités de la vie quotidienne;</w:t>
      </w:r>
      <w:r w:rsidR="009D038B">
        <w:rPr>
          <w:lang w:val="fr-CH"/>
        </w:rPr>
        <w:t xml:space="preserve"> </w:t>
      </w:r>
      <w:r w:rsidR="00097CDB" w:rsidRPr="0071782F">
        <w:rPr>
          <w:lang w:val="fr-CH"/>
        </w:rPr>
        <w:t>personnes</w:t>
      </w:r>
      <w:r w:rsidR="00F07687" w:rsidRPr="0071782F">
        <w:rPr>
          <w:lang w:val="fr-CH"/>
        </w:rPr>
        <w:t xml:space="preserve"> sans tuteur; déficients mentaux susceptibles de mettre en danger la santé mentale de </w:t>
      </w:r>
      <w:r w:rsidR="001F3F05" w:rsidRPr="0071782F">
        <w:rPr>
          <w:lang w:val="fr-CH"/>
        </w:rPr>
        <w:t>leur famille</w:t>
      </w:r>
      <w:r w:rsidR="00F07687" w:rsidRPr="0071782F">
        <w:rPr>
          <w:lang w:val="fr-CH"/>
        </w:rPr>
        <w:t>; et</w:t>
      </w:r>
      <w:r w:rsidR="00E86031">
        <w:rPr>
          <w:lang w:val="fr-CH"/>
        </w:rPr>
        <w:t xml:space="preserve"> </w:t>
      </w:r>
      <w:r w:rsidR="00097CDB" w:rsidRPr="0071782F">
        <w:rPr>
          <w:lang w:val="fr-CH"/>
        </w:rPr>
        <w:t>personnes</w:t>
      </w:r>
      <w:r w:rsidR="00F07687" w:rsidRPr="0071782F">
        <w:rPr>
          <w:lang w:val="fr-CH"/>
        </w:rPr>
        <w:t xml:space="preserve"> incapables de décliner leur identité</w:t>
      </w:r>
      <w:r w:rsidRPr="0071782F">
        <w:rPr>
          <w:lang w:val="fr-CH"/>
        </w:rPr>
        <w:t>).</w:t>
      </w:r>
    </w:p>
    <w:p w:rsidR="00E5019F" w:rsidRPr="0071782F" w:rsidRDefault="00E5019F" w:rsidP="00E5019F">
      <w:pPr>
        <w:pStyle w:val="SingleTxtG"/>
        <w:ind w:left="1701"/>
        <w:rPr>
          <w:lang w:val="fr-CH"/>
        </w:rPr>
      </w:pPr>
      <w:r w:rsidRPr="0071782F">
        <w:rPr>
          <w:lang w:val="fr-CH"/>
        </w:rPr>
        <w:t xml:space="preserve">308.10. </w:t>
      </w:r>
      <w:r w:rsidR="00F07687" w:rsidRPr="0071782F">
        <w:rPr>
          <w:lang w:val="fr-CH"/>
        </w:rPr>
        <w:t>Services de ré</w:t>
      </w:r>
      <w:r w:rsidR="002F4FB1" w:rsidRPr="0071782F">
        <w:rPr>
          <w:lang w:val="fr-CH"/>
        </w:rPr>
        <w:t>a</w:t>
      </w:r>
      <w:r w:rsidR="00F07687" w:rsidRPr="0071782F">
        <w:rPr>
          <w:lang w:val="fr-CH"/>
        </w:rPr>
        <w:t>daptation p</w:t>
      </w:r>
      <w:r w:rsidRPr="0071782F">
        <w:rPr>
          <w:lang w:val="fr-CH"/>
        </w:rPr>
        <w:t>rofe</w:t>
      </w:r>
      <w:r w:rsidR="00F07687" w:rsidRPr="0071782F">
        <w:rPr>
          <w:lang w:val="fr-CH"/>
        </w:rPr>
        <w:t>ssionnelle</w:t>
      </w:r>
      <w:r w:rsidR="00EF139A" w:rsidRPr="0071782F">
        <w:rPr>
          <w:lang w:val="fr-CH"/>
        </w:rPr>
        <w:t xml:space="preserve"> </w:t>
      </w:r>
    </w:p>
    <w:p w:rsidR="00E5019F" w:rsidRPr="0071782F" w:rsidRDefault="00E5019F" w:rsidP="00E5019F">
      <w:pPr>
        <w:pStyle w:val="SingleTxtG"/>
        <w:ind w:left="1701"/>
        <w:rPr>
          <w:lang w:val="fr-CH"/>
        </w:rPr>
      </w:pPr>
      <w:r w:rsidRPr="0071782F">
        <w:rPr>
          <w:lang w:val="fr-CH"/>
        </w:rPr>
        <w:t xml:space="preserve">308.11. </w:t>
      </w:r>
      <w:r w:rsidR="00A111EC" w:rsidRPr="0071782F">
        <w:rPr>
          <w:lang w:val="fr-CH"/>
        </w:rPr>
        <w:t xml:space="preserve">Les services de réadaptation professionnelle </w:t>
      </w:r>
      <w:r w:rsidR="007F37CE" w:rsidRPr="0071782F">
        <w:rPr>
          <w:lang w:val="fr-CH"/>
        </w:rPr>
        <w:t>des personnes</w:t>
      </w:r>
      <w:r w:rsidR="00A111EC" w:rsidRPr="0071782F">
        <w:rPr>
          <w:lang w:val="fr-CH"/>
        </w:rPr>
        <w:t xml:space="preserve"> handicapées</w:t>
      </w:r>
      <w:r w:rsidR="00D36718">
        <w:rPr>
          <w:lang w:val="fr-CH"/>
        </w:rPr>
        <w:t xml:space="preserve"> </w:t>
      </w:r>
      <w:r w:rsidR="00A111EC" w:rsidRPr="0071782F">
        <w:rPr>
          <w:lang w:val="fr-CH"/>
        </w:rPr>
        <w:t xml:space="preserve">sont dispensés d’une manière progressive, intégrée et coordonnée et incluent une formation et une orientation professionnelles ainsi que des conseils à </w:t>
      </w:r>
      <w:r w:rsidR="00C36750" w:rsidRPr="0071782F">
        <w:rPr>
          <w:lang w:val="fr-CH"/>
        </w:rPr>
        <w:t>ces personnes</w:t>
      </w:r>
      <w:r w:rsidR="00A111EC" w:rsidRPr="0071782F">
        <w:rPr>
          <w:lang w:val="fr-CH"/>
        </w:rPr>
        <w:t xml:space="preserve"> pour les aider à choisir une profession et à trouver un emploi et à le conserver.</w:t>
      </w:r>
      <w:r w:rsidRPr="0071782F">
        <w:rPr>
          <w:lang w:val="fr-CH"/>
        </w:rPr>
        <w:t xml:space="preserve"> </w:t>
      </w:r>
      <w:r w:rsidR="00A111EC" w:rsidRPr="0071782F">
        <w:rPr>
          <w:lang w:val="fr-CH"/>
        </w:rPr>
        <w:t xml:space="preserve">La fourniture de ces services vise donc à permettre à </w:t>
      </w:r>
      <w:r w:rsidR="00C36750" w:rsidRPr="0071782F">
        <w:rPr>
          <w:lang w:val="fr-CH"/>
        </w:rPr>
        <w:t>ces personnes</w:t>
      </w:r>
      <w:r w:rsidR="00A111EC" w:rsidRPr="0071782F">
        <w:rPr>
          <w:lang w:val="fr-CH"/>
        </w:rPr>
        <w:t xml:space="preserve"> d’accéder à l’indépendance sociale et économique et </w:t>
      </w:r>
      <w:r w:rsidR="00A02BDF" w:rsidRPr="0071782F">
        <w:rPr>
          <w:lang w:val="fr-CH"/>
        </w:rPr>
        <w:t xml:space="preserve">de sauvegarder </w:t>
      </w:r>
      <w:r w:rsidR="00A111EC" w:rsidRPr="0071782F">
        <w:rPr>
          <w:lang w:val="fr-CH"/>
        </w:rPr>
        <w:t>leur dignité et leur statut dans la société. Elle inclut les activités ci-après</w:t>
      </w:r>
      <w:r w:rsidRPr="0071782F">
        <w:rPr>
          <w:lang w:val="fr-CH"/>
        </w:rPr>
        <w:t>.</w:t>
      </w:r>
    </w:p>
    <w:p w:rsidR="00E5019F" w:rsidRPr="0071782F" w:rsidRDefault="00E5019F" w:rsidP="00E5019F">
      <w:pPr>
        <w:pStyle w:val="SingleTxtG"/>
        <w:ind w:left="1701"/>
        <w:rPr>
          <w:lang w:val="fr-CH"/>
        </w:rPr>
      </w:pPr>
      <w:r w:rsidRPr="0071782F">
        <w:rPr>
          <w:lang w:val="fr-CH"/>
        </w:rPr>
        <w:t xml:space="preserve">308.12. </w:t>
      </w:r>
      <w:r w:rsidR="00A02BDF" w:rsidRPr="0071782F">
        <w:rPr>
          <w:lang w:val="fr-CH"/>
        </w:rPr>
        <w:t>Évaluation p</w:t>
      </w:r>
      <w:r w:rsidRPr="0071782F">
        <w:rPr>
          <w:lang w:val="fr-CH"/>
        </w:rPr>
        <w:t>rofession</w:t>
      </w:r>
      <w:r w:rsidR="00A02BDF" w:rsidRPr="0071782F">
        <w:rPr>
          <w:lang w:val="fr-CH"/>
        </w:rPr>
        <w:t>nelle des demandeurs d’emploi handicapés qui font appel à des services de réadaptation professionnelle</w:t>
      </w:r>
      <w:r w:rsidRPr="0071782F">
        <w:rPr>
          <w:lang w:val="fr-CH"/>
        </w:rPr>
        <w:t>.</w:t>
      </w:r>
    </w:p>
    <w:p w:rsidR="00E5019F" w:rsidRPr="0071782F" w:rsidRDefault="00E5019F" w:rsidP="00E5019F">
      <w:pPr>
        <w:pStyle w:val="SingleTxtG"/>
        <w:ind w:left="1701"/>
        <w:rPr>
          <w:lang w:val="fr-CH"/>
        </w:rPr>
      </w:pPr>
      <w:r w:rsidRPr="0071782F">
        <w:rPr>
          <w:lang w:val="fr-CH"/>
        </w:rPr>
        <w:t xml:space="preserve">308.13. </w:t>
      </w:r>
      <w:r w:rsidR="00A02BDF" w:rsidRPr="0071782F">
        <w:rPr>
          <w:lang w:val="fr-CH"/>
        </w:rPr>
        <w:t xml:space="preserve">Fourniture de services d’orientation professionnelle </w:t>
      </w:r>
      <w:r w:rsidR="00175962" w:rsidRPr="0071782F">
        <w:rPr>
          <w:lang w:val="fr-CH"/>
        </w:rPr>
        <w:t>aux personnes</w:t>
      </w:r>
      <w:r w:rsidR="00A02BDF" w:rsidRPr="0071782F">
        <w:rPr>
          <w:lang w:val="fr-CH"/>
        </w:rPr>
        <w:t xml:space="preserve"> handicapées</w:t>
      </w:r>
      <w:r w:rsidRPr="0071782F">
        <w:rPr>
          <w:lang w:val="fr-CH"/>
        </w:rPr>
        <w:t>.</w:t>
      </w:r>
    </w:p>
    <w:p w:rsidR="00E5019F" w:rsidRPr="0071782F" w:rsidRDefault="00E5019F" w:rsidP="00E5019F">
      <w:pPr>
        <w:pStyle w:val="SingleTxtG"/>
        <w:ind w:left="1701"/>
        <w:rPr>
          <w:lang w:val="fr-CH"/>
        </w:rPr>
      </w:pPr>
      <w:r w:rsidRPr="0071782F">
        <w:rPr>
          <w:lang w:val="fr-CH"/>
        </w:rPr>
        <w:t xml:space="preserve">308.14. </w:t>
      </w:r>
      <w:r w:rsidR="00A02BDF" w:rsidRPr="0071782F">
        <w:rPr>
          <w:lang w:val="fr-CH"/>
        </w:rPr>
        <w:t>Organisation de programmes de formation technique et professionnelle dans le cadre d’ateliers parrainés par l’Organisme public de protection sociale</w:t>
      </w:r>
      <w:r w:rsidRPr="0071782F">
        <w:rPr>
          <w:lang w:val="fr-CH"/>
        </w:rPr>
        <w:t>.</w:t>
      </w:r>
    </w:p>
    <w:p w:rsidR="00E5019F" w:rsidRPr="0071782F" w:rsidRDefault="00E5019F" w:rsidP="00E5019F">
      <w:pPr>
        <w:pStyle w:val="SingleTxtG"/>
        <w:ind w:left="1701"/>
        <w:rPr>
          <w:lang w:val="fr-CH"/>
        </w:rPr>
      </w:pPr>
      <w:r w:rsidRPr="0071782F">
        <w:rPr>
          <w:lang w:val="fr-CH"/>
        </w:rPr>
        <w:t xml:space="preserve">308.15. </w:t>
      </w:r>
      <w:r w:rsidR="00A02BDF" w:rsidRPr="0071782F">
        <w:rPr>
          <w:lang w:val="fr-CH"/>
        </w:rPr>
        <w:t xml:space="preserve">Participation </w:t>
      </w:r>
      <w:r w:rsidR="00D82C96" w:rsidRPr="0071782F">
        <w:rPr>
          <w:lang w:val="fr-CH"/>
        </w:rPr>
        <w:t>de personnes</w:t>
      </w:r>
      <w:r w:rsidR="00A02BDF" w:rsidRPr="0071782F">
        <w:rPr>
          <w:lang w:val="fr-CH"/>
        </w:rPr>
        <w:t xml:space="preserve"> handicapées à des programmes de formation technique et professionnelle non parrainés par l’Organisme public de protection sociale</w:t>
      </w:r>
      <w:r w:rsidRPr="0071782F">
        <w:rPr>
          <w:lang w:val="fr-CH"/>
        </w:rPr>
        <w:t>.</w:t>
      </w:r>
    </w:p>
    <w:p w:rsidR="00E5019F" w:rsidRPr="0071782F" w:rsidRDefault="00A02BDF" w:rsidP="00E5019F">
      <w:pPr>
        <w:pStyle w:val="SingleTxtG"/>
        <w:ind w:left="1701"/>
        <w:rPr>
          <w:lang w:val="fr-CH"/>
        </w:rPr>
      </w:pPr>
      <w:r w:rsidRPr="0071782F">
        <w:rPr>
          <w:lang w:val="fr-CH"/>
        </w:rPr>
        <w:t>308.16. Prestation de services d’évaluation des intérêts et des capacités professionnels.</w:t>
      </w:r>
    </w:p>
    <w:p w:rsidR="00E5019F" w:rsidRPr="0071782F" w:rsidRDefault="00E5019F" w:rsidP="00E5019F">
      <w:pPr>
        <w:pStyle w:val="SingleTxtG"/>
        <w:ind w:left="1701"/>
        <w:rPr>
          <w:lang w:val="fr-CH"/>
        </w:rPr>
      </w:pPr>
      <w:r w:rsidRPr="0071782F">
        <w:rPr>
          <w:lang w:val="fr-CH"/>
        </w:rPr>
        <w:t>308.17. Maint</w:t>
      </w:r>
      <w:r w:rsidR="00A02BDF" w:rsidRPr="0071782F">
        <w:rPr>
          <w:lang w:val="fr-CH"/>
        </w:rPr>
        <w:t xml:space="preserve">ien d’une relation interinstitutionnelle et intra-institutionnelle stable entre les organismes publics afin de faciliter le recrutement </w:t>
      </w:r>
      <w:r w:rsidR="00D82C96" w:rsidRPr="0071782F">
        <w:rPr>
          <w:lang w:val="fr-CH"/>
        </w:rPr>
        <w:t>de personnes</w:t>
      </w:r>
      <w:r w:rsidR="00A02BDF" w:rsidRPr="0071782F">
        <w:rPr>
          <w:lang w:val="fr-CH"/>
        </w:rPr>
        <w:t xml:space="preserve"> handicapées.</w:t>
      </w:r>
    </w:p>
    <w:p w:rsidR="00E5019F" w:rsidRPr="0071782F" w:rsidRDefault="00E5019F" w:rsidP="00E5019F">
      <w:pPr>
        <w:pStyle w:val="SingleTxtG"/>
        <w:ind w:left="1701"/>
        <w:rPr>
          <w:lang w:val="fr-CH"/>
        </w:rPr>
      </w:pPr>
      <w:r w:rsidRPr="0071782F">
        <w:rPr>
          <w:lang w:val="fr-CH"/>
        </w:rPr>
        <w:t xml:space="preserve">308.18. </w:t>
      </w:r>
      <w:r w:rsidR="008E2423" w:rsidRPr="0071782F">
        <w:rPr>
          <w:lang w:val="fr-CH"/>
        </w:rPr>
        <w:t xml:space="preserve">Faire prendre conscience à la </w:t>
      </w:r>
      <w:r w:rsidRPr="0071782F">
        <w:rPr>
          <w:lang w:val="fr-CH"/>
        </w:rPr>
        <w:t>soci</w:t>
      </w:r>
      <w:r w:rsidR="008E2423" w:rsidRPr="0071782F">
        <w:rPr>
          <w:lang w:val="fr-CH"/>
        </w:rPr>
        <w:t xml:space="preserve">été de la capacité professionnelle </w:t>
      </w:r>
      <w:r w:rsidR="007F37CE" w:rsidRPr="0071782F">
        <w:rPr>
          <w:lang w:val="fr-CH"/>
        </w:rPr>
        <w:t>des personnes</w:t>
      </w:r>
      <w:r w:rsidR="008E2423" w:rsidRPr="0071782F">
        <w:rPr>
          <w:lang w:val="fr-CH"/>
        </w:rPr>
        <w:t xml:space="preserve"> handicapées physiques</w:t>
      </w:r>
      <w:r w:rsidRPr="0071782F">
        <w:rPr>
          <w:lang w:val="fr-CH"/>
        </w:rPr>
        <w:t>.</w:t>
      </w:r>
    </w:p>
    <w:p w:rsidR="00E5019F" w:rsidRPr="0071782F" w:rsidRDefault="00E5019F" w:rsidP="00E5019F">
      <w:pPr>
        <w:pStyle w:val="SingleTxtG"/>
        <w:ind w:left="1701"/>
        <w:rPr>
          <w:lang w:val="fr-CH"/>
        </w:rPr>
      </w:pPr>
      <w:r w:rsidRPr="0071782F">
        <w:rPr>
          <w:lang w:val="fr-CH"/>
        </w:rPr>
        <w:t xml:space="preserve">308.19. </w:t>
      </w:r>
      <w:r w:rsidR="008E2423" w:rsidRPr="0071782F">
        <w:rPr>
          <w:lang w:val="fr-CH"/>
        </w:rPr>
        <w:t xml:space="preserve">Évaluation cognitive destinée à </w:t>
      </w:r>
      <w:r w:rsidRPr="0071782F">
        <w:rPr>
          <w:lang w:val="fr-CH"/>
        </w:rPr>
        <w:t>d</w:t>
      </w:r>
      <w:r w:rsidR="008E2423" w:rsidRPr="0071782F">
        <w:rPr>
          <w:lang w:val="fr-CH"/>
        </w:rPr>
        <w:t>é</w:t>
      </w:r>
      <w:r w:rsidRPr="0071782F">
        <w:rPr>
          <w:lang w:val="fr-CH"/>
        </w:rPr>
        <w:t>termine</w:t>
      </w:r>
      <w:r w:rsidR="008E2423" w:rsidRPr="0071782F">
        <w:rPr>
          <w:lang w:val="fr-CH"/>
        </w:rPr>
        <w:t>r</w:t>
      </w:r>
      <w:r w:rsidRPr="0071782F">
        <w:rPr>
          <w:lang w:val="fr-CH"/>
        </w:rPr>
        <w:t xml:space="preserve"> </w:t>
      </w:r>
      <w:r w:rsidR="008E2423" w:rsidRPr="0071782F">
        <w:rPr>
          <w:lang w:val="fr-CH"/>
        </w:rPr>
        <w:t>la formation et la profession les mieux adaptées à chaque personne handicapée physique</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8E2423" w:rsidRPr="0071782F">
        <w:rPr>
          <w:lang w:val="fr-CH"/>
        </w:rPr>
        <w:t>Services de réadaptation médicale</w:t>
      </w:r>
    </w:p>
    <w:p w:rsidR="00E5019F" w:rsidRPr="0071782F" w:rsidRDefault="00E5019F" w:rsidP="00E5019F">
      <w:pPr>
        <w:pStyle w:val="SingleTxtG"/>
        <w:rPr>
          <w:lang w:val="fr-CH"/>
        </w:rPr>
      </w:pPr>
      <w:r w:rsidRPr="0071782F">
        <w:rPr>
          <w:lang w:val="fr-CH"/>
        </w:rPr>
        <w:t>309.</w:t>
      </w:r>
      <w:r w:rsidRPr="0071782F">
        <w:rPr>
          <w:lang w:val="fr-CH"/>
        </w:rPr>
        <w:tab/>
      </w:r>
      <w:r w:rsidR="008E2423" w:rsidRPr="0071782F">
        <w:rPr>
          <w:lang w:val="fr-CH"/>
        </w:rPr>
        <w:t>Il s’agit notamment des services suivants</w:t>
      </w:r>
      <w:r w:rsidR="008F7D33" w:rsidRPr="0071782F">
        <w:rPr>
          <w:lang w:val="fr-CH"/>
        </w:rPr>
        <w:t>:</w:t>
      </w:r>
    </w:p>
    <w:p w:rsidR="00E5019F" w:rsidRPr="009D038B" w:rsidRDefault="00E5019F" w:rsidP="00E5019F">
      <w:pPr>
        <w:pStyle w:val="SingleTxtG"/>
        <w:ind w:left="1701"/>
        <w:rPr>
          <w:spacing w:val="-2"/>
          <w:lang w:val="fr-CH"/>
        </w:rPr>
      </w:pPr>
      <w:r w:rsidRPr="009D038B">
        <w:rPr>
          <w:spacing w:val="-2"/>
          <w:lang w:val="fr-CH"/>
        </w:rPr>
        <w:t>309.1.</w:t>
      </w:r>
      <w:r w:rsidRPr="009D038B">
        <w:rPr>
          <w:spacing w:val="-2"/>
          <w:lang w:val="fr-CH"/>
        </w:rPr>
        <w:tab/>
      </w:r>
      <w:r w:rsidR="00EE22AC" w:rsidRPr="009D038B">
        <w:rPr>
          <w:spacing w:val="-2"/>
          <w:lang w:val="fr-CH"/>
        </w:rPr>
        <w:t xml:space="preserve">Les services de réadaptation médicale visent à garantir l’autosuffisance </w:t>
      </w:r>
      <w:r w:rsidR="007F37CE" w:rsidRPr="009D038B">
        <w:rPr>
          <w:spacing w:val="-2"/>
          <w:lang w:val="fr-CH"/>
        </w:rPr>
        <w:t>des personnes</w:t>
      </w:r>
      <w:r w:rsidR="00EE22AC" w:rsidRPr="009D038B">
        <w:rPr>
          <w:spacing w:val="-2"/>
          <w:lang w:val="fr-CH"/>
        </w:rPr>
        <w:t xml:space="preserve"> handicapées.</w:t>
      </w:r>
      <w:r w:rsidRPr="009D038B">
        <w:rPr>
          <w:spacing w:val="-2"/>
          <w:lang w:val="fr-CH"/>
        </w:rPr>
        <w:t xml:space="preserve"> </w:t>
      </w:r>
      <w:r w:rsidR="00EE22AC" w:rsidRPr="009D038B">
        <w:rPr>
          <w:spacing w:val="-2"/>
          <w:lang w:val="fr-CH"/>
        </w:rPr>
        <w:t>Dans tous les centres de réadaptation, ces services reposent sur un travail d’équipe</w:t>
      </w:r>
      <w:r w:rsidRPr="009D038B">
        <w:rPr>
          <w:spacing w:val="-2"/>
          <w:lang w:val="fr-CH"/>
        </w:rPr>
        <w:t xml:space="preserve">; </w:t>
      </w:r>
      <w:r w:rsidR="00EE22AC" w:rsidRPr="009D038B">
        <w:rPr>
          <w:spacing w:val="-2"/>
          <w:lang w:val="fr-CH"/>
        </w:rPr>
        <w:t>en plus du médecin chargé d’administrer le traitement médical, d’autres spécialistes membres de l’équipe (physiothérapeutes, ergothérapeutes, orthophonistes, audiométristes, orthopédistes, infirmiers et psychologues) peuvent participer au processus de réadaptation en fonction des besoins du demandeur d’aide</w:t>
      </w:r>
      <w:r w:rsidRPr="009D038B">
        <w:rPr>
          <w:spacing w:val="-2"/>
          <w:lang w:val="fr-CH"/>
        </w:rPr>
        <w:t xml:space="preserve">. </w:t>
      </w:r>
      <w:r w:rsidR="00EE22AC" w:rsidRPr="009D038B">
        <w:rPr>
          <w:spacing w:val="-2"/>
          <w:lang w:val="fr-CH"/>
        </w:rPr>
        <w:t xml:space="preserve">Le </w:t>
      </w:r>
      <w:r w:rsidRPr="009D038B">
        <w:rPr>
          <w:spacing w:val="-2"/>
          <w:lang w:val="fr-CH"/>
        </w:rPr>
        <w:t>process</w:t>
      </w:r>
      <w:r w:rsidR="00EE22AC" w:rsidRPr="009D038B">
        <w:rPr>
          <w:spacing w:val="-2"/>
          <w:lang w:val="fr-CH"/>
        </w:rPr>
        <w:t xml:space="preserve">us de réadaptation </w:t>
      </w:r>
      <w:r w:rsidR="007F37CE" w:rsidRPr="009D038B">
        <w:rPr>
          <w:spacing w:val="-2"/>
          <w:lang w:val="fr-CH"/>
        </w:rPr>
        <w:t>des personnes</w:t>
      </w:r>
      <w:r w:rsidR="00EE22AC" w:rsidRPr="009D038B">
        <w:rPr>
          <w:spacing w:val="-2"/>
          <w:lang w:val="fr-CH"/>
        </w:rPr>
        <w:t xml:space="preserve"> handicapées met en </w:t>
      </w:r>
      <w:r w:rsidR="00D5366B" w:rsidRPr="009D038B">
        <w:rPr>
          <w:spacing w:val="-2"/>
          <w:lang w:val="fr-CH"/>
        </w:rPr>
        <w:t>œuvre</w:t>
      </w:r>
      <w:r w:rsidR="00EE22AC" w:rsidRPr="009D038B">
        <w:rPr>
          <w:spacing w:val="-2"/>
          <w:lang w:val="fr-CH"/>
        </w:rPr>
        <w:t xml:space="preserve"> des outils tant </w:t>
      </w:r>
      <w:r w:rsidRPr="009D038B">
        <w:rPr>
          <w:spacing w:val="-2"/>
          <w:lang w:val="fr-CH"/>
        </w:rPr>
        <w:t>simple</w:t>
      </w:r>
      <w:r w:rsidR="00EE22AC" w:rsidRPr="009D038B">
        <w:rPr>
          <w:spacing w:val="-2"/>
          <w:lang w:val="fr-CH"/>
        </w:rPr>
        <w:t>s</w:t>
      </w:r>
      <w:r w:rsidRPr="009D038B">
        <w:rPr>
          <w:spacing w:val="-2"/>
          <w:lang w:val="fr-CH"/>
        </w:rPr>
        <w:t xml:space="preserve"> </w:t>
      </w:r>
      <w:r w:rsidR="00EE22AC" w:rsidRPr="009D038B">
        <w:rPr>
          <w:spacing w:val="-2"/>
          <w:lang w:val="fr-CH"/>
        </w:rPr>
        <w:t xml:space="preserve">que sophistiqués et une série de </w:t>
      </w:r>
      <w:r w:rsidRPr="009D038B">
        <w:rPr>
          <w:spacing w:val="-2"/>
          <w:lang w:val="fr-CH"/>
        </w:rPr>
        <w:t xml:space="preserve">techniques </w:t>
      </w:r>
      <w:r w:rsidR="00EE22AC" w:rsidRPr="009D038B">
        <w:rPr>
          <w:spacing w:val="-2"/>
          <w:lang w:val="fr-CH"/>
        </w:rPr>
        <w:t xml:space="preserve">et de </w:t>
      </w:r>
      <w:r w:rsidRPr="009D038B">
        <w:rPr>
          <w:spacing w:val="-2"/>
          <w:lang w:val="fr-CH"/>
        </w:rPr>
        <w:t>m</w:t>
      </w:r>
      <w:r w:rsidR="00EE22AC" w:rsidRPr="009D038B">
        <w:rPr>
          <w:spacing w:val="-2"/>
          <w:lang w:val="fr-CH"/>
        </w:rPr>
        <w:t>é</w:t>
      </w:r>
      <w:r w:rsidRPr="009D038B">
        <w:rPr>
          <w:spacing w:val="-2"/>
          <w:lang w:val="fr-CH"/>
        </w:rPr>
        <w:t>thod</w:t>
      </w:r>
      <w:r w:rsidR="00EE22AC" w:rsidRPr="009D038B">
        <w:rPr>
          <w:spacing w:val="-2"/>
          <w:lang w:val="fr-CH"/>
        </w:rPr>
        <w:t>e</w:t>
      </w:r>
      <w:r w:rsidRPr="009D038B">
        <w:rPr>
          <w:spacing w:val="-2"/>
          <w:lang w:val="fr-CH"/>
        </w:rPr>
        <w:t xml:space="preserve">s </w:t>
      </w:r>
      <w:r w:rsidR="00EE22AC" w:rsidRPr="009D038B">
        <w:rPr>
          <w:spacing w:val="-2"/>
          <w:lang w:val="fr-CH"/>
        </w:rPr>
        <w:t>de conseil telles que l’ergothérapie, l’orthophonie et l’audiométrie</w:t>
      </w:r>
      <w:r w:rsidRPr="009D038B">
        <w:rPr>
          <w:spacing w:val="-2"/>
          <w:lang w:val="fr-CH"/>
        </w:rPr>
        <w:t>.</w:t>
      </w:r>
    </w:p>
    <w:p w:rsidR="00E5019F" w:rsidRPr="0071782F" w:rsidRDefault="00E5019F" w:rsidP="00E5019F">
      <w:pPr>
        <w:pStyle w:val="SingleTxtG"/>
        <w:ind w:left="1701"/>
        <w:rPr>
          <w:lang w:val="fr-CH"/>
        </w:rPr>
      </w:pPr>
      <w:r w:rsidRPr="0071782F">
        <w:rPr>
          <w:lang w:val="fr-CH"/>
        </w:rPr>
        <w:t>309.2.</w:t>
      </w:r>
      <w:r w:rsidRPr="0071782F">
        <w:rPr>
          <w:lang w:val="fr-CH"/>
        </w:rPr>
        <w:tab/>
      </w:r>
      <w:r w:rsidR="001275ED" w:rsidRPr="0071782F">
        <w:rPr>
          <w:lang w:val="fr-CH"/>
        </w:rPr>
        <w:t>En fonction des besoins des demandeurs d’aide, le processus de réadaptation requiert l’utilisation d’aides techniques telles que les prothèses auditives, les fauteuils roulants, les cannes, les déambulateurs et les coussins ondulés, et, dans certains cas, des moyens plus sophistiqués</w:t>
      </w:r>
      <w:r w:rsidRPr="0071782F">
        <w:rPr>
          <w:lang w:val="fr-CH"/>
        </w:rPr>
        <w:t>.</w:t>
      </w:r>
    </w:p>
    <w:p w:rsidR="00E5019F" w:rsidRPr="0071782F" w:rsidRDefault="00E5019F" w:rsidP="00E5019F">
      <w:pPr>
        <w:pStyle w:val="SingleTxtG"/>
        <w:ind w:left="1701"/>
        <w:rPr>
          <w:lang w:val="fr-CH"/>
        </w:rPr>
      </w:pPr>
      <w:r w:rsidRPr="0071782F">
        <w:rPr>
          <w:lang w:val="fr-CH"/>
        </w:rPr>
        <w:t>309.3.</w:t>
      </w:r>
      <w:r w:rsidRPr="0071782F">
        <w:rPr>
          <w:lang w:val="fr-CH"/>
        </w:rPr>
        <w:tab/>
      </w:r>
      <w:r w:rsidR="001275ED" w:rsidRPr="0071782F">
        <w:rPr>
          <w:lang w:val="fr-CH"/>
        </w:rPr>
        <w:t>Parmi les mesures adoptées jusqu’à présent pour promouvoir les services de réadaptation, on peut mentionner les suivantes.</w:t>
      </w:r>
    </w:p>
    <w:p w:rsidR="00E5019F" w:rsidRPr="0071782F" w:rsidRDefault="00E5019F" w:rsidP="00E5019F">
      <w:pPr>
        <w:pStyle w:val="SingleTxtG"/>
        <w:ind w:left="1701"/>
        <w:rPr>
          <w:lang w:val="fr-CH"/>
        </w:rPr>
      </w:pPr>
      <w:r w:rsidRPr="0071782F">
        <w:rPr>
          <w:lang w:val="fr-CH"/>
        </w:rPr>
        <w:t>309.4.</w:t>
      </w:r>
      <w:r w:rsidRPr="0071782F">
        <w:rPr>
          <w:lang w:val="fr-CH"/>
        </w:rPr>
        <w:tab/>
      </w:r>
      <w:r w:rsidR="001275ED" w:rsidRPr="0071782F">
        <w:rPr>
          <w:lang w:val="fr-CH"/>
        </w:rPr>
        <w:t>Création d’une banque de données sur les équipements de réadaptation</w:t>
      </w:r>
      <w:r w:rsidRPr="0071782F">
        <w:rPr>
          <w:lang w:val="fr-CH"/>
        </w:rPr>
        <w:t>.</w:t>
      </w:r>
    </w:p>
    <w:p w:rsidR="00E5019F" w:rsidRPr="0071782F" w:rsidRDefault="00E5019F" w:rsidP="00E5019F">
      <w:pPr>
        <w:pStyle w:val="SingleTxtG"/>
        <w:ind w:left="1701"/>
        <w:rPr>
          <w:lang w:val="fr-CH"/>
        </w:rPr>
      </w:pPr>
      <w:r w:rsidRPr="0071782F">
        <w:rPr>
          <w:lang w:val="fr-CH"/>
        </w:rPr>
        <w:t>309.5.</w:t>
      </w:r>
      <w:r w:rsidRPr="0071782F">
        <w:rPr>
          <w:lang w:val="fr-CH"/>
        </w:rPr>
        <w:tab/>
      </w:r>
      <w:r w:rsidR="001275ED" w:rsidRPr="0071782F">
        <w:rPr>
          <w:lang w:val="fr-CH"/>
        </w:rPr>
        <w:t>Définition des normes à appliquer au fonctionnement et à la gestion des centres de réadaptation, dont les normes concernant les ressources humaines, le lieu d’implantation et les instruments et espaces de réadaptation</w:t>
      </w:r>
      <w:r w:rsidRPr="0071782F">
        <w:rPr>
          <w:lang w:val="fr-CH"/>
        </w:rPr>
        <w:t>.</w:t>
      </w:r>
    </w:p>
    <w:p w:rsidR="00E5019F" w:rsidRPr="0071782F" w:rsidRDefault="00E5019F" w:rsidP="00E5019F">
      <w:pPr>
        <w:pStyle w:val="SingleTxtG"/>
        <w:ind w:left="1701"/>
        <w:rPr>
          <w:lang w:val="fr-CH"/>
        </w:rPr>
      </w:pPr>
      <w:r w:rsidRPr="0071782F">
        <w:rPr>
          <w:lang w:val="fr-CH"/>
        </w:rPr>
        <w:t>309.6.</w:t>
      </w:r>
      <w:r w:rsidRPr="0071782F">
        <w:rPr>
          <w:lang w:val="fr-CH"/>
        </w:rPr>
        <w:tab/>
      </w:r>
      <w:r w:rsidR="001275ED" w:rsidRPr="0071782F">
        <w:rPr>
          <w:lang w:val="fr-CH"/>
        </w:rPr>
        <w:t>Contrôle et suivi de la qualité des services des centres de réadaptation</w:t>
      </w:r>
      <w:r w:rsidRPr="0071782F">
        <w:rPr>
          <w:lang w:val="fr-CH"/>
        </w:rPr>
        <w:t>.</w:t>
      </w:r>
    </w:p>
    <w:p w:rsidR="00E5019F" w:rsidRPr="0071782F" w:rsidRDefault="00E5019F" w:rsidP="00E5019F">
      <w:pPr>
        <w:pStyle w:val="SingleTxtG"/>
        <w:ind w:left="1701"/>
        <w:rPr>
          <w:lang w:val="fr-CH"/>
        </w:rPr>
      </w:pPr>
      <w:r w:rsidRPr="0071782F">
        <w:rPr>
          <w:lang w:val="fr-CH"/>
        </w:rPr>
        <w:t>309.7.</w:t>
      </w:r>
      <w:r w:rsidRPr="0071782F">
        <w:rPr>
          <w:lang w:val="fr-CH"/>
        </w:rPr>
        <w:tab/>
      </w:r>
      <w:r w:rsidR="001275ED" w:rsidRPr="0071782F">
        <w:rPr>
          <w:lang w:val="fr-CH"/>
        </w:rPr>
        <w:t xml:space="preserve">Contrôle et suivi de la qualité des services fournis par les médecins, les infirmiers et les </w:t>
      </w:r>
      <w:r w:rsidRPr="0071782F">
        <w:rPr>
          <w:lang w:val="fr-CH"/>
        </w:rPr>
        <w:t>sp</w:t>
      </w:r>
      <w:r w:rsidR="001275ED" w:rsidRPr="0071782F">
        <w:rPr>
          <w:lang w:val="fr-CH"/>
        </w:rPr>
        <w:t>é</w:t>
      </w:r>
      <w:r w:rsidRPr="0071782F">
        <w:rPr>
          <w:lang w:val="fr-CH"/>
        </w:rPr>
        <w:t>cialist</w:t>
      </w:r>
      <w:r w:rsidR="001275ED" w:rsidRPr="0071782F">
        <w:rPr>
          <w:lang w:val="fr-CH"/>
        </w:rPr>
        <w:t>e</w:t>
      </w:r>
      <w:r w:rsidRPr="0071782F">
        <w:rPr>
          <w:lang w:val="fr-CH"/>
        </w:rPr>
        <w:t xml:space="preserve">s </w:t>
      </w:r>
      <w:r w:rsidR="001275ED" w:rsidRPr="0071782F">
        <w:rPr>
          <w:lang w:val="fr-CH"/>
        </w:rPr>
        <w:t>de la réadaptation dans les centres de soins</w:t>
      </w:r>
      <w:r w:rsidRPr="0071782F">
        <w:rPr>
          <w:lang w:val="fr-CH"/>
        </w:rPr>
        <w:t>.</w:t>
      </w:r>
    </w:p>
    <w:p w:rsidR="00E5019F" w:rsidRPr="0071782F" w:rsidRDefault="00E5019F" w:rsidP="00E5019F">
      <w:pPr>
        <w:pStyle w:val="SingleTxtG"/>
        <w:ind w:left="1701"/>
        <w:rPr>
          <w:lang w:val="fr-CH"/>
        </w:rPr>
      </w:pPr>
      <w:r w:rsidRPr="0071782F">
        <w:rPr>
          <w:lang w:val="fr-CH"/>
        </w:rPr>
        <w:t>309.8.</w:t>
      </w:r>
      <w:r w:rsidRPr="0071782F">
        <w:rPr>
          <w:lang w:val="fr-CH"/>
        </w:rPr>
        <w:tab/>
      </w:r>
      <w:r w:rsidR="001275ED" w:rsidRPr="0071782F">
        <w:rPr>
          <w:lang w:val="fr-CH"/>
        </w:rPr>
        <w:t>Contrôle du respect des normes sanitaires et des normes concernant la nutrition et l’administration de médicaments dans les centres de soins</w:t>
      </w:r>
      <w:r w:rsidRPr="0071782F">
        <w:rPr>
          <w:lang w:val="fr-CH"/>
        </w:rPr>
        <w:t>.</w:t>
      </w:r>
    </w:p>
    <w:p w:rsidR="00E5019F" w:rsidRPr="0071782F" w:rsidRDefault="00E5019F" w:rsidP="00E5019F">
      <w:pPr>
        <w:pStyle w:val="SingleTxtG"/>
        <w:ind w:left="1701"/>
        <w:rPr>
          <w:lang w:val="fr-CH"/>
        </w:rPr>
      </w:pPr>
      <w:r w:rsidRPr="0071782F">
        <w:rPr>
          <w:lang w:val="fr-CH"/>
        </w:rPr>
        <w:t>309.9.</w:t>
      </w:r>
      <w:r w:rsidRPr="0071782F">
        <w:rPr>
          <w:lang w:val="fr-CH"/>
        </w:rPr>
        <w:tab/>
      </w:r>
      <w:r w:rsidR="001275ED" w:rsidRPr="0071782F">
        <w:rPr>
          <w:lang w:val="fr-CH"/>
        </w:rPr>
        <w:t>Évaluation et achat des équipements et des aides techniques dont les centres de soins ont besoin aux fins de la réadaptation</w:t>
      </w:r>
      <w:r w:rsidRPr="0071782F">
        <w:rPr>
          <w:lang w:val="fr-CH"/>
        </w:rPr>
        <w:t>.</w:t>
      </w:r>
    </w:p>
    <w:p w:rsidR="00E5019F" w:rsidRPr="0071782F" w:rsidRDefault="00E5019F" w:rsidP="00E5019F">
      <w:pPr>
        <w:pStyle w:val="SingleTxtG"/>
        <w:ind w:left="1701"/>
        <w:rPr>
          <w:lang w:val="fr-CH"/>
        </w:rPr>
      </w:pPr>
      <w:r w:rsidRPr="0071782F">
        <w:rPr>
          <w:lang w:val="fr-CH"/>
        </w:rPr>
        <w:t xml:space="preserve">309.10. </w:t>
      </w:r>
      <w:r w:rsidR="001275ED" w:rsidRPr="0071782F">
        <w:rPr>
          <w:lang w:val="fr-CH"/>
        </w:rPr>
        <w:t>Établissement de notes d’information sur les dernières nouveautés et sur l’utilisation des outils de réadaptation.</w:t>
      </w:r>
    </w:p>
    <w:p w:rsidR="00E5019F" w:rsidRPr="0071782F" w:rsidRDefault="00E5019F" w:rsidP="00E5019F">
      <w:pPr>
        <w:pStyle w:val="SingleTxtG"/>
        <w:ind w:left="1701"/>
        <w:rPr>
          <w:lang w:val="fr-CH"/>
        </w:rPr>
      </w:pPr>
      <w:r w:rsidRPr="0071782F">
        <w:rPr>
          <w:lang w:val="fr-CH"/>
        </w:rPr>
        <w:t>309.11. Organi</w:t>
      </w:r>
      <w:r w:rsidR="001275ED" w:rsidRPr="0071782F">
        <w:rPr>
          <w:lang w:val="fr-CH"/>
        </w:rPr>
        <w:t xml:space="preserve">sation de </w:t>
      </w:r>
      <w:r w:rsidRPr="0071782F">
        <w:rPr>
          <w:lang w:val="fr-CH"/>
        </w:rPr>
        <w:t>conf</w:t>
      </w:r>
      <w:r w:rsidR="001275ED" w:rsidRPr="0071782F">
        <w:rPr>
          <w:lang w:val="fr-CH"/>
        </w:rPr>
        <w:t>é</w:t>
      </w:r>
      <w:r w:rsidRPr="0071782F">
        <w:rPr>
          <w:lang w:val="fr-CH"/>
        </w:rPr>
        <w:t xml:space="preserve">rences </w:t>
      </w:r>
      <w:r w:rsidR="001275ED" w:rsidRPr="0071782F">
        <w:rPr>
          <w:lang w:val="fr-CH"/>
        </w:rPr>
        <w:t>sur la réadaptation,</w:t>
      </w:r>
      <w:r w:rsidRPr="0071782F">
        <w:rPr>
          <w:lang w:val="fr-CH"/>
        </w:rPr>
        <w:t xml:space="preserve"> </w:t>
      </w:r>
      <w:r w:rsidR="001275ED" w:rsidRPr="0071782F">
        <w:rPr>
          <w:lang w:val="fr-CH"/>
        </w:rPr>
        <w:t>la formation et les critères d’harmonisation des activités des centres de réadaptation</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1275ED" w:rsidRPr="0071782F">
        <w:rPr>
          <w:lang w:val="fr-CH"/>
        </w:rPr>
        <w:t>Réadaptation axée sur la collectivité</w:t>
      </w:r>
      <w:r w:rsidRPr="0071782F">
        <w:rPr>
          <w:lang w:val="fr-CH"/>
        </w:rPr>
        <w:t xml:space="preserve"> </w:t>
      </w:r>
    </w:p>
    <w:p w:rsidR="00E5019F" w:rsidRPr="0071782F" w:rsidRDefault="00E5019F" w:rsidP="00E5019F">
      <w:pPr>
        <w:pStyle w:val="SingleTxtG"/>
        <w:rPr>
          <w:lang w:val="fr-CH"/>
        </w:rPr>
      </w:pPr>
      <w:r w:rsidRPr="0071782F">
        <w:rPr>
          <w:lang w:val="fr-CH"/>
        </w:rPr>
        <w:t>310.</w:t>
      </w:r>
      <w:r w:rsidRPr="0071782F">
        <w:rPr>
          <w:lang w:val="fr-CH"/>
        </w:rPr>
        <w:tab/>
      </w:r>
      <w:r w:rsidR="001275ED" w:rsidRPr="0071782F">
        <w:rPr>
          <w:lang w:val="fr-CH"/>
        </w:rPr>
        <w:t>Il convient notamment de signaler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310.1.</w:t>
      </w:r>
      <w:r w:rsidRPr="0071782F">
        <w:rPr>
          <w:lang w:val="fr-CH"/>
        </w:rPr>
        <w:tab/>
      </w:r>
      <w:r w:rsidR="007358E4" w:rsidRPr="0071782F">
        <w:rPr>
          <w:lang w:val="fr-CH"/>
        </w:rPr>
        <w:t xml:space="preserve">La réadaptation axée sur la collectivité </w:t>
      </w:r>
      <w:r w:rsidR="00CB0B29" w:rsidRPr="0071782F">
        <w:rPr>
          <w:lang w:val="fr-CH"/>
        </w:rPr>
        <w:t xml:space="preserve">(RAC) </w:t>
      </w:r>
      <w:r w:rsidR="007358E4" w:rsidRPr="0071782F">
        <w:rPr>
          <w:lang w:val="fr-CH"/>
        </w:rPr>
        <w:t>est conçue comme un moyen d’intégrer la réadaptation dans les services de soins et de traitements médicaux et de compléter le processus de réadaptation au sein des collectivités locales</w:t>
      </w:r>
      <w:r w:rsidRPr="0071782F">
        <w:rPr>
          <w:lang w:val="fr-CH"/>
        </w:rPr>
        <w:t>.</w:t>
      </w:r>
    </w:p>
    <w:p w:rsidR="00E5019F" w:rsidRPr="0071782F" w:rsidRDefault="00E5019F" w:rsidP="00E5019F">
      <w:pPr>
        <w:pStyle w:val="SingleTxtG"/>
        <w:ind w:left="1701"/>
        <w:rPr>
          <w:lang w:val="fr-CH"/>
        </w:rPr>
      </w:pPr>
      <w:r w:rsidRPr="0071782F">
        <w:rPr>
          <w:lang w:val="fr-CH"/>
        </w:rPr>
        <w:t>310.2.</w:t>
      </w:r>
      <w:r w:rsidRPr="0071782F">
        <w:rPr>
          <w:lang w:val="fr-CH"/>
        </w:rPr>
        <w:tab/>
      </w:r>
      <w:r w:rsidR="007358E4" w:rsidRPr="0071782F">
        <w:rPr>
          <w:lang w:val="fr-CH"/>
        </w:rPr>
        <w:t xml:space="preserve">La </w:t>
      </w:r>
      <w:r w:rsidR="00CB0B29" w:rsidRPr="0071782F">
        <w:rPr>
          <w:lang w:val="fr-CH"/>
        </w:rPr>
        <w:t>RAC</w:t>
      </w:r>
      <w:r w:rsidR="007358E4" w:rsidRPr="0071782F">
        <w:rPr>
          <w:lang w:val="fr-CH"/>
        </w:rPr>
        <w:t xml:space="preserve"> a fait son apparition en </w:t>
      </w:r>
      <w:r w:rsidRPr="0071782F">
        <w:rPr>
          <w:lang w:val="fr-CH"/>
        </w:rPr>
        <w:t xml:space="preserve">Iran </w:t>
      </w:r>
      <w:r w:rsidR="007358E4" w:rsidRPr="0071782F">
        <w:rPr>
          <w:lang w:val="fr-CH"/>
        </w:rPr>
        <w:t xml:space="preserve">en </w:t>
      </w:r>
      <w:r w:rsidRPr="0071782F">
        <w:rPr>
          <w:lang w:val="fr-CH"/>
        </w:rPr>
        <w:t>1993</w:t>
      </w:r>
      <w:r w:rsidR="007358E4" w:rsidRPr="0071782F">
        <w:rPr>
          <w:lang w:val="fr-CH"/>
        </w:rPr>
        <w:t xml:space="preserve">, à l’occasion de la traduction de </w:t>
      </w:r>
      <w:r w:rsidRPr="0071782F">
        <w:rPr>
          <w:lang w:val="fr-CH"/>
        </w:rPr>
        <w:t xml:space="preserve">30 </w:t>
      </w:r>
      <w:r w:rsidR="007358E4" w:rsidRPr="0071782F">
        <w:rPr>
          <w:lang w:val="fr-CH"/>
        </w:rPr>
        <w:t xml:space="preserve">brochures d’information de l’OMS. Elle a d’abord été introduite dans deux </w:t>
      </w:r>
      <w:r w:rsidRPr="0071782F">
        <w:rPr>
          <w:lang w:val="fr-CH"/>
        </w:rPr>
        <w:t>r</w:t>
      </w:r>
      <w:r w:rsidR="007358E4" w:rsidRPr="0071782F">
        <w:rPr>
          <w:lang w:val="fr-CH"/>
        </w:rPr>
        <w:t>égions (</w:t>
      </w:r>
      <w:r w:rsidRPr="0071782F">
        <w:rPr>
          <w:lang w:val="fr-CH"/>
        </w:rPr>
        <w:t xml:space="preserve">Byarjmand </w:t>
      </w:r>
      <w:r w:rsidR="007358E4" w:rsidRPr="0071782F">
        <w:rPr>
          <w:lang w:val="fr-CH"/>
        </w:rPr>
        <w:t xml:space="preserve">et </w:t>
      </w:r>
      <w:r w:rsidRPr="0071782F">
        <w:rPr>
          <w:lang w:val="fr-CH"/>
        </w:rPr>
        <w:t>Mayamei</w:t>
      </w:r>
      <w:r w:rsidR="007358E4" w:rsidRPr="0071782F">
        <w:rPr>
          <w:lang w:val="fr-CH"/>
        </w:rPr>
        <w:t xml:space="preserve">) et dans la ville de </w:t>
      </w:r>
      <w:r w:rsidRPr="0071782F">
        <w:rPr>
          <w:lang w:val="fr-CH"/>
        </w:rPr>
        <w:t xml:space="preserve">Shahroud </w:t>
      </w:r>
      <w:r w:rsidR="007358E4" w:rsidRPr="0071782F">
        <w:rPr>
          <w:lang w:val="fr-CH"/>
        </w:rPr>
        <w:t xml:space="preserve">et a depuis été étendue à </w:t>
      </w:r>
      <w:r w:rsidRPr="0071782F">
        <w:rPr>
          <w:lang w:val="fr-CH"/>
        </w:rPr>
        <w:t xml:space="preserve">20 </w:t>
      </w:r>
      <w:r w:rsidR="007358E4" w:rsidRPr="0071782F">
        <w:rPr>
          <w:lang w:val="fr-CH"/>
        </w:rPr>
        <w:t xml:space="preserve">villes de </w:t>
      </w:r>
      <w:r w:rsidRPr="0071782F">
        <w:rPr>
          <w:lang w:val="fr-CH"/>
        </w:rPr>
        <w:t xml:space="preserve">14 provinces </w:t>
      </w:r>
      <w:r w:rsidR="007358E4" w:rsidRPr="0071782F">
        <w:rPr>
          <w:lang w:val="fr-CH"/>
        </w:rPr>
        <w:t>du pays</w:t>
      </w:r>
      <w:r w:rsidRPr="0071782F">
        <w:rPr>
          <w:lang w:val="fr-CH"/>
        </w:rPr>
        <w:t>.</w:t>
      </w:r>
    </w:p>
    <w:p w:rsidR="00E5019F" w:rsidRPr="0071782F" w:rsidRDefault="00E5019F" w:rsidP="00E5019F">
      <w:pPr>
        <w:pStyle w:val="SingleTxtG"/>
        <w:ind w:left="1701"/>
        <w:rPr>
          <w:lang w:val="fr-CH"/>
        </w:rPr>
      </w:pPr>
      <w:r w:rsidRPr="0071782F">
        <w:rPr>
          <w:lang w:val="fr-CH"/>
        </w:rPr>
        <w:t>310.3.</w:t>
      </w:r>
      <w:r w:rsidRPr="0071782F">
        <w:rPr>
          <w:lang w:val="fr-CH"/>
        </w:rPr>
        <w:tab/>
      </w:r>
      <w:r w:rsidR="007358E4" w:rsidRPr="0071782F">
        <w:rPr>
          <w:lang w:val="fr-CH"/>
        </w:rPr>
        <w:t xml:space="preserve">Les mesures les plus </w:t>
      </w:r>
      <w:r w:rsidRPr="0071782F">
        <w:rPr>
          <w:lang w:val="fr-CH"/>
        </w:rPr>
        <w:t>important</w:t>
      </w:r>
      <w:r w:rsidR="007358E4" w:rsidRPr="0071782F">
        <w:rPr>
          <w:lang w:val="fr-CH"/>
        </w:rPr>
        <w:t xml:space="preserve">es adoptées dans le cadre du processus de </w:t>
      </w:r>
      <w:r w:rsidR="00CB0B29" w:rsidRPr="0071782F">
        <w:rPr>
          <w:lang w:val="fr-CH"/>
        </w:rPr>
        <w:t>RAC</w:t>
      </w:r>
      <w:r w:rsidR="007358E4" w:rsidRPr="0071782F">
        <w:rPr>
          <w:lang w:val="fr-CH"/>
        </w:rPr>
        <w:t xml:space="preserve"> sont les suivantes</w:t>
      </w:r>
      <w:r w:rsidR="008F7D33" w:rsidRPr="0071782F">
        <w:rPr>
          <w:lang w:val="fr-CH"/>
        </w:rPr>
        <w:t>:</w:t>
      </w:r>
    </w:p>
    <w:p w:rsidR="00E5019F" w:rsidRPr="0071782F" w:rsidRDefault="00E5019F" w:rsidP="00E5019F">
      <w:pPr>
        <w:pStyle w:val="SingleTxtG"/>
        <w:ind w:left="1701"/>
        <w:rPr>
          <w:lang w:val="fr-CH"/>
        </w:rPr>
      </w:pPr>
      <w:r w:rsidRPr="0071782F">
        <w:rPr>
          <w:lang w:val="fr-CH"/>
        </w:rPr>
        <w:t>310.4.</w:t>
      </w:r>
      <w:r w:rsidRPr="0071782F">
        <w:rPr>
          <w:lang w:val="fr-CH"/>
        </w:rPr>
        <w:tab/>
      </w:r>
      <w:r w:rsidR="007358E4" w:rsidRPr="0071782F">
        <w:rPr>
          <w:lang w:val="fr-CH"/>
        </w:rPr>
        <w:t>Formation des agents sanitaires, technicie</w:t>
      </w:r>
      <w:r w:rsidRPr="0071782F">
        <w:rPr>
          <w:lang w:val="fr-CH"/>
        </w:rPr>
        <w:t>ns, sp</w:t>
      </w:r>
      <w:r w:rsidR="007358E4" w:rsidRPr="0071782F">
        <w:rPr>
          <w:lang w:val="fr-CH"/>
        </w:rPr>
        <w:t>é</w:t>
      </w:r>
      <w:r w:rsidRPr="0071782F">
        <w:rPr>
          <w:lang w:val="fr-CH"/>
        </w:rPr>
        <w:t>cialist</w:t>
      </w:r>
      <w:r w:rsidR="007358E4" w:rsidRPr="0071782F">
        <w:rPr>
          <w:lang w:val="fr-CH"/>
        </w:rPr>
        <w:t>e</w:t>
      </w:r>
      <w:r w:rsidRPr="0071782F">
        <w:rPr>
          <w:lang w:val="fr-CH"/>
        </w:rPr>
        <w:t xml:space="preserve">s </w:t>
      </w:r>
      <w:r w:rsidR="007358E4" w:rsidRPr="0071782F">
        <w:rPr>
          <w:lang w:val="fr-CH"/>
        </w:rPr>
        <w:t xml:space="preserve">et médecins qui fournissent des </w:t>
      </w:r>
      <w:r w:rsidRPr="0071782F">
        <w:rPr>
          <w:lang w:val="fr-CH"/>
        </w:rPr>
        <w:t xml:space="preserve">services </w:t>
      </w:r>
      <w:r w:rsidR="007358E4" w:rsidRPr="0071782F">
        <w:rPr>
          <w:lang w:val="fr-CH"/>
        </w:rPr>
        <w:t>dans le cadre du réseau de soins et de traitements médicaux</w:t>
      </w:r>
      <w:r w:rsidRPr="0071782F">
        <w:rPr>
          <w:lang w:val="fr-CH"/>
        </w:rPr>
        <w:t>.</w:t>
      </w:r>
    </w:p>
    <w:p w:rsidR="00E5019F" w:rsidRPr="0071782F" w:rsidRDefault="00E5019F" w:rsidP="00E5019F">
      <w:pPr>
        <w:pStyle w:val="SingleTxtG"/>
        <w:ind w:left="1701"/>
        <w:rPr>
          <w:lang w:val="fr-CH"/>
        </w:rPr>
      </w:pPr>
      <w:r w:rsidRPr="0071782F">
        <w:rPr>
          <w:lang w:val="fr-CH"/>
        </w:rPr>
        <w:t>310.5.</w:t>
      </w:r>
      <w:r w:rsidRPr="0071782F">
        <w:rPr>
          <w:lang w:val="fr-CH"/>
        </w:rPr>
        <w:tab/>
      </w:r>
      <w:r w:rsidR="00BE1B74" w:rsidRPr="0071782F">
        <w:rPr>
          <w:lang w:val="fr-CH"/>
        </w:rPr>
        <w:t xml:space="preserve">Recensement </w:t>
      </w:r>
      <w:r w:rsidR="007F37CE" w:rsidRPr="0071782F">
        <w:rPr>
          <w:lang w:val="fr-CH"/>
        </w:rPr>
        <w:t>des personnes</w:t>
      </w:r>
      <w:r w:rsidR="00BE1B74" w:rsidRPr="0071782F">
        <w:rPr>
          <w:lang w:val="fr-CH"/>
        </w:rPr>
        <w:t xml:space="preserve"> handicapées et prestation des services éducatifs et de réadaptation nécessaires dans les maisons de santé</w:t>
      </w:r>
      <w:r w:rsidRPr="0071782F">
        <w:rPr>
          <w:lang w:val="fr-CH"/>
        </w:rPr>
        <w:t>.</w:t>
      </w:r>
    </w:p>
    <w:p w:rsidR="00E5019F" w:rsidRPr="0071782F" w:rsidRDefault="00E5019F" w:rsidP="00E5019F">
      <w:pPr>
        <w:pStyle w:val="SingleTxtG"/>
        <w:ind w:left="1701"/>
        <w:rPr>
          <w:lang w:val="fr-CH"/>
        </w:rPr>
      </w:pPr>
      <w:r w:rsidRPr="0071782F">
        <w:rPr>
          <w:lang w:val="fr-CH"/>
        </w:rPr>
        <w:t>310.6.</w:t>
      </w:r>
      <w:r w:rsidRPr="0071782F">
        <w:rPr>
          <w:lang w:val="fr-CH"/>
        </w:rPr>
        <w:tab/>
        <w:t>Pr</w:t>
      </w:r>
      <w:r w:rsidR="00DE0CCA" w:rsidRPr="0071782F">
        <w:rPr>
          <w:lang w:val="fr-CH"/>
        </w:rPr>
        <w:t xml:space="preserve">estation de services </w:t>
      </w:r>
      <w:r w:rsidRPr="0071782F">
        <w:rPr>
          <w:lang w:val="fr-CH"/>
        </w:rPr>
        <w:t>sp</w:t>
      </w:r>
      <w:r w:rsidR="00DE0CCA" w:rsidRPr="0071782F">
        <w:rPr>
          <w:lang w:val="fr-CH"/>
        </w:rPr>
        <w:t>é</w:t>
      </w:r>
      <w:r w:rsidRPr="0071782F">
        <w:rPr>
          <w:lang w:val="fr-CH"/>
        </w:rPr>
        <w:t>ciali</w:t>
      </w:r>
      <w:r w:rsidR="00DE0CCA" w:rsidRPr="0071782F">
        <w:rPr>
          <w:lang w:val="fr-CH"/>
        </w:rPr>
        <w:t xml:space="preserve">sés avec la </w:t>
      </w:r>
      <w:r w:rsidRPr="0071782F">
        <w:rPr>
          <w:lang w:val="fr-CH"/>
        </w:rPr>
        <w:t>coop</w:t>
      </w:r>
      <w:r w:rsidR="00DE0CCA" w:rsidRPr="0071782F">
        <w:rPr>
          <w:lang w:val="fr-CH"/>
        </w:rPr>
        <w:t>é</w:t>
      </w:r>
      <w:r w:rsidRPr="0071782F">
        <w:rPr>
          <w:lang w:val="fr-CH"/>
        </w:rPr>
        <w:t xml:space="preserve">ration </w:t>
      </w:r>
      <w:r w:rsidR="00DE0CCA" w:rsidRPr="0071782F">
        <w:rPr>
          <w:lang w:val="fr-CH"/>
        </w:rPr>
        <w:t xml:space="preserve">des </w:t>
      </w:r>
      <w:r w:rsidRPr="0071782F">
        <w:rPr>
          <w:lang w:val="fr-CH"/>
        </w:rPr>
        <w:t>sp</w:t>
      </w:r>
      <w:r w:rsidR="00DE0CCA" w:rsidRPr="0071782F">
        <w:rPr>
          <w:lang w:val="fr-CH"/>
        </w:rPr>
        <w:t>é</w:t>
      </w:r>
      <w:r w:rsidRPr="0071782F">
        <w:rPr>
          <w:lang w:val="fr-CH"/>
        </w:rPr>
        <w:t>cialist</w:t>
      </w:r>
      <w:r w:rsidR="00DE0CCA" w:rsidRPr="0071782F">
        <w:rPr>
          <w:lang w:val="fr-CH"/>
        </w:rPr>
        <w:t>e</w:t>
      </w:r>
      <w:r w:rsidRPr="0071782F">
        <w:rPr>
          <w:lang w:val="fr-CH"/>
        </w:rPr>
        <w:t xml:space="preserve">s </w:t>
      </w:r>
      <w:r w:rsidR="00DE0CCA" w:rsidRPr="0071782F">
        <w:rPr>
          <w:lang w:val="fr-CH"/>
        </w:rPr>
        <w:t>de l’Organisme public de protection sociale</w:t>
      </w:r>
      <w:r w:rsidRPr="0071782F">
        <w:rPr>
          <w:lang w:val="fr-CH"/>
        </w:rPr>
        <w:t>.</w:t>
      </w:r>
    </w:p>
    <w:p w:rsidR="00E5019F" w:rsidRPr="0071782F" w:rsidRDefault="00E5019F" w:rsidP="00E5019F">
      <w:pPr>
        <w:pStyle w:val="SingleTxtG"/>
        <w:ind w:left="1701"/>
        <w:rPr>
          <w:lang w:val="fr-CH"/>
        </w:rPr>
      </w:pPr>
      <w:r w:rsidRPr="0071782F">
        <w:rPr>
          <w:lang w:val="fr-CH"/>
        </w:rPr>
        <w:t>310.7.</w:t>
      </w:r>
      <w:r w:rsidRPr="0071782F">
        <w:rPr>
          <w:lang w:val="fr-CH"/>
        </w:rPr>
        <w:tab/>
      </w:r>
      <w:r w:rsidR="00DE0CCA" w:rsidRPr="0071782F">
        <w:rPr>
          <w:lang w:val="fr-CH"/>
        </w:rPr>
        <w:t>Fourniture des aides techniques à la réadaptation dont ont besoin les demandeurs d’aide</w:t>
      </w:r>
      <w:r w:rsidRPr="0071782F">
        <w:rPr>
          <w:lang w:val="fr-CH"/>
        </w:rPr>
        <w:t>.</w:t>
      </w:r>
    </w:p>
    <w:p w:rsidR="00E5019F" w:rsidRPr="0071782F" w:rsidRDefault="00E5019F" w:rsidP="00E5019F">
      <w:pPr>
        <w:pStyle w:val="SingleTxtG"/>
        <w:ind w:left="1701"/>
        <w:rPr>
          <w:lang w:val="fr-CH"/>
        </w:rPr>
      </w:pPr>
      <w:r w:rsidRPr="0071782F">
        <w:rPr>
          <w:lang w:val="fr-CH"/>
        </w:rPr>
        <w:t>310.8.</w:t>
      </w:r>
      <w:r w:rsidRPr="0071782F">
        <w:rPr>
          <w:lang w:val="fr-CH"/>
        </w:rPr>
        <w:tab/>
      </w:r>
      <w:r w:rsidR="00DE0CCA" w:rsidRPr="0071782F">
        <w:rPr>
          <w:lang w:val="fr-CH"/>
        </w:rPr>
        <w:t>Amélioration des maisons de santé accueillant les demandeurs d’aide handicapés afin d’atténuer leurs problèmes</w:t>
      </w:r>
      <w:r w:rsidRPr="0071782F">
        <w:rPr>
          <w:lang w:val="fr-CH"/>
        </w:rPr>
        <w:t>.</w:t>
      </w:r>
    </w:p>
    <w:p w:rsidR="00E5019F" w:rsidRPr="0071782F" w:rsidRDefault="00DE0CCA" w:rsidP="00E5019F">
      <w:pPr>
        <w:pStyle w:val="SingleTxtG"/>
        <w:ind w:left="1701"/>
        <w:rPr>
          <w:lang w:val="fr-CH"/>
        </w:rPr>
      </w:pPr>
      <w:r w:rsidRPr="0071782F">
        <w:rPr>
          <w:lang w:val="fr-CH"/>
        </w:rPr>
        <w:t>310.9.</w:t>
      </w:r>
      <w:r w:rsidRPr="0071782F">
        <w:rPr>
          <w:lang w:val="fr-CH"/>
        </w:rPr>
        <w:tab/>
        <w:t xml:space="preserve">Aider à régler le problème de l’accès à l’emploi </w:t>
      </w:r>
      <w:r w:rsidR="007F37CE" w:rsidRPr="0071782F">
        <w:rPr>
          <w:lang w:val="fr-CH"/>
        </w:rPr>
        <w:t>des personnes</w:t>
      </w:r>
      <w:r w:rsidRPr="0071782F">
        <w:rPr>
          <w:lang w:val="fr-CH"/>
        </w:rPr>
        <w:t xml:space="preserve"> handicapées recensées en tant que telles</w:t>
      </w:r>
      <w:r w:rsidR="00E5019F" w:rsidRPr="0071782F">
        <w:rPr>
          <w:lang w:val="fr-CH"/>
        </w:rPr>
        <w:t>.</w:t>
      </w:r>
    </w:p>
    <w:p w:rsidR="00E5019F" w:rsidRPr="0071782F" w:rsidRDefault="00E5019F" w:rsidP="00E5019F">
      <w:pPr>
        <w:pStyle w:val="SingleTxtG"/>
        <w:ind w:left="1701"/>
        <w:rPr>
          <w:lang w:val="fr-CH"/>
        </w:rPr>
      </w:pPr>
      <w:r w:rsidRPr="0071782F">
        <w:rPr>
          <w:lang w:val="fr-CH"/>
        </w:rPr>
        <w:t xml:space="preserve">310.10. </w:t>
      </w:r>
      <w:r w:rsidR="00DE0CCA" w:rsidRPr="0071782F">
        <w:rPr>
          <w:lang w:val="fr-CH"/>
        </w:rPr>
        <w:t xml:space="preserve">Fournir un appui financier </w:t>
      </w:r>
      <w:r w:rsidR="00175962" w:rsidRPr="0071782F">
        <w:rPr>
          <w:lang w:val="fr-CH"/>
        </w:rPr>
        <w:t>aux personnes</w:t>
      </w:r>
      <w:r w:rsidR="00DE0CCA" w:rsidRPr="0071782F">
        <w:rPr>
          <w:lang w:val="fr-CH"/>
        </w:rPr>
        <w:t xml:space="preserve"> handicapées recensées en tant que telles</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t>Pr</w:t>
      </w:r>
      <w:r w:rsidR="00DE0CCA" w:rsidRPr="0071782F">
        <w:rPr>
          <w:lang w:val="fr-CH"/>
        </w:rPr>
        <w:t xml:space="preserve">estation de </w:t>
      </w:r>
      <w:r w:rsidRPr="0071782F">
        <w:rPr>
          <w:lang w:val="fr-CH"/>
        </w:rPr>
        <w:t xml:space="preserve">services </w:t>
      </w:r>
      <w:r w:rsidR="00175962" w:rsidRPr="0071782F">
        <w:rPr>
          <w:lang w:val="fr-CH"/>
        </w:rPr>
        <w:t>aux personnes</w:t>
      </w:r>
      <w:r w:rsidR="00DE0CCA" w:rsidRPr="0071782F">
        <w:rPr>
          <w:lang w:val="fr-CH"/>
        </w:rPr>
        <w:t xml:space="preserve"> handicapées </w:t>
      </w:r>
    </w:p>
    <w:p w:rsidR="00E5019F" w:rsidRPr="0071782F" w:rsidRDefault="00E5019F" w:rsidP="00E5019F">
      <w:pPr>
        <w:pStyle w:val="H23G"/>
        <w:rPr>
          <w:lang w:val="fr-CH"/>
        </w:rPr>
      </w:pPr>
      <w:r w:rsidRPr="0071782F">
        <w:rPr>
          <w:lang w:val="fr-CH"/>
        </w:rPr>
        <w:tab/>
      </w:r>
      <w:r w:rsidRPr="0071782F">
        <w:rPr>
          <w:lang w:val="fr-CH"/>
        </w:rPr>
        <w:tab/>
      </w:r>
      <w:r w:rsidR="00DE0CCA" w:rsidRPr="0071782F">
        <w:rPr>
          <w:lang w:val="fr-CH"/>
        </w:rPr>
        <w:t>Quelques statistique</w:t>
      </w:r>
      <w:r w:rsidRPr="0071782F">
        <w:rPr>
          <w:lang w:val="fr-CH"/>
        </w:rPr>
        <w:t xml:space="preserve">s </w:t>
      </w:r>
      <w:r w:rsidR="00DE0CCA" w:rsidRPr="0071782F">
        <w:rPr>
          <w:lang w:val="fr-CH"/>
        </w:rPr>
        <w:t xml:space="preserve">sur les centres de soins et sur les services de jour qu’ils fournissent aux demandeurs d’aide </w:t>
      </w:r>
    </w:p>
    <w:p w:rsidR="00E5019F" w:rsidRPr="0071782F" w:rsidRDefault="00E5019F" w:rsidP="00E5019F">
      <w:pPr>
        <w:pStyle w:val="SingleTxtG"/>
        <w:rPr>
          <w:lang w:val="fr-CH"/>
        </w:rPr>
      </w:pPr>
      <w:r w:rsidRPr="0071782F">
        <w:rPr>
          <w:lang w:val="fr-CH"/>
        </w:rPr>
        <w:t>311.</w:t>
      </w:r>
      <w:r w:rsidRPr="0071782F">
        <w:rPr>
          <w:lang w:val="fr-CH"/>
        </w:rPr>
        <w:tab/>
      </w:r>
      <w:r w:rsidR="007A7380" w:rsidRPr="0071782F">
        <w:rPr>
          <w:lang w:val="fr-CH"/>
        </w:rPr>
        <w:t>Il convient notamment de signaler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311.1.</w:t>
      </w:r>
      <w:r w:rsidRPr="0071782F">
        <w:rPr>
          <w:lang w:val="fr-CH"/>
        </w:rPr>
        <w:tab/>
        <w:t>195</w:t>
      </w:r>
      <w:r w:rsidR="00E83264" w:rsidRPr="0071782F">
        <w:rPr>
          <w:lang w:val="fr-CH"/>
        </w:rPr>
        <w:t> unités</w:t>
      </w:r>
      <w:r w:rsidR="00DE0CCA" w:rsidRPr="0071782F">
        <w:rPr>
          <w:lang w:val="fr-CH"/>
        </w:rPr>
        <w:t xml:space="preserve"> de</w:t>
      </w:r>
      <w:r w:rsidRPr="0071782F">
        <w:rPr>
          <w:lang w:val="fr-CH"/>
        </w:rPr>
        <w:t xml:space="preserve"> physioth</w:t>
      </w:r>
      <w:r w:rsidR="00DE0CCA" w:rsidRPr="0071782F">
        <w:rPr>
          <w:lang w:val="fr-CH"/>
        </w:rPr>
        <w:t>é</w:t>
      </w:r>
      <w:r w:rsidRPr="0071782F">
        <w:rPr>
          <w:lang w:val="fr-CH"/>
        </w:rPr>
        <w:t>rap</w:t>
      </w:r>
      <w:r w:rsidR="00DE0CCA" w:rsidRPr="0071782F">
        <w:rPr>
          <w:lang w:val="fr-CH"/>
        </w:rPr>
        <w:t xml:space="preserve">ie et </w:t>
      </w:r>
      <w:r w:rsidRPr="0071782F">
        <w:rPr>
          <w:lang w:val="fr-CH"/>
        </w:rPr>
        <w:t>52</w:t>
      </w:r>
      <w:r w:rsidR="00DE0CCA" w:rsidRPr="0071782F">
        <w:rPr>
          <w:lang w:val="fr-CH"/>
        </w:rPr>
        <w:t xml:space="preserve"> </w:t>
      </w:r>
      <w:r w:rsidRPr="0071782F">
        <w:rPr>
          <w:lang w:val="fr-CH"/>
        </w:rPr>
        <w:t xml:space="preserve">024 </w:t>
      </w:r>
      <w:r w:rsidR="00DE0CCA" w:rsidRPr="0071782F">
        <w:rPr>
          <w:lang w:val="fr-CH"/>
        </w:rPr>
        <w:t>utilisateurs</w:t>
      </w:r>
      <w:r w:rsidRPr="0071782F">
        <w:rPr>
          <w:lang w:val="fr-CH"/>
        </w:rPr>
        <w:t>.</w:t>
      </w:r>
    </w:p>
    <w:p w:rsidR="00E5019F" w:rsidRPr="0071782F" w:rsidRDefault="00E5019F" w:rsidP="00E5019F">
      <w:pPr>
        <w:pStyle w:val="SingleTxtG"/>
        <w:ind w:left="1701"/>
        <w:rPr>
          <w:lang w:val="fr-CH"/>
        </w:rPr>
      </w:pPr>
      <w:r w:rsidRPr="0071782F">
        <w:rPr>
          <w:lang w:val="fr-CH"/>
        </w:rPr>
        <w:t>311.2.</w:t>
      </w:r>
      <w:r w:rsidRPr="0071782F">
        <w:rPr>
          <w:lang w:val="fr-CH"/>
        </w:rPr>
        <w:tab/>
        <w:t>114</w:t>
      </w:r>
      <w:r w:rsidR="00E83264" w:rsidRPr="0071782F">
        <w:rPr>
          <w:lang w:val="fr-CH"/>
        </w:rPr>
        <w:t> unités</w:t>
      </w:r>
      <w:r w:rsidR="00DE0CCA" w:rsidRPr="0071782F">
        <w:rPr>
          <w:lang w:val="fr-CH"/>
        </w:rPr>
        <w:t xml:space="preserve"> d’orthophonie et </w:t>
      </w:r>
      <w:r w:rsidRPr="0071782F">
        <w:rPr>
          <w:lang w:val="fr-CH"/>
        </w:rPr>
        <w:t>23</w:t>
      </w:r>
      <w:r w:rsidR="00DE0CCA" w:rsidRPr="0071782F">
        <w:rPr>
          <w:lang w:val="fr-CH"/>
        </w:rPr>
        <w:t xml:space="preserve"> </w:t>
      </w:r>
      <w:r w:rsidRPr="0071782F">
        <w:rPr>
          <w:lang w:val="fr-CH"/>
        </w:rPr>
        <w:t xml:space="preserve">376 </w:t>
      </w:r>
      <w:r w:rsidR="00DE0CCA" w:rsidRPr="0071782F">
        <w:rPr>
          <w:lang w:val="fr-CH"/>
        </w:rPr>
        <w:t>utilisateurs</w:t>
      </w:r>
      <w:r w:rsidRPr="0071782F">
        <w:rPr>
          <w:lang w:val="fr-CH"/>
        </w:rPr>
        <w:t>.</w:t>
      </w:r>
    </w:p>
    <w:p w:rsidR="00E5019F" w:rsidRPr="0071782F" w:rsidRDefault="00E5019F" w:rsidP="00E5019F">
      <w:pPr>
        <w:pStyle w:val="SingleTxtG"/>
        <w:ind w:left="1701"/>
        <w:rPr>
          <w:lang w:val="fr-CH"/>
        </w:rPr>
      </w:pPr>
      <w:r w:rsidRPr="0071782F">
        <w:rPr>
          <w:lang w:val="fr-CH"/>
        </w:rPr>
        <w:t>311.3.</w:t>
      </w:r>
      <w:r w:rsidRPr="0071782F">
        <w:rPr>
          <w:lang w:val="fr-CH"/>
        </w:rPr>
        <w:tab/>
        <w:t>100</w:t>
      </w:r>
      <w:r w:rsidR="00E83264" w:rsidRPr="0071782F">
        <w:rPr>
          <w:lang w:val="fr-CH"/>
        </w:rPr>
        <w:t> unités</w:t>
      </w:r>
      <w:r w:rsidRPr="0071782F">
        <w:rPr>
          <w:lang w:val="fr-CH"/>
        </w:rPr>
        <w:t xml:space="preserve"> </w:t>
      </w:r>
      <w:r w:rsidR="00DE0CCA" w:rsidRPr="0071782F">
        <w:rPr>
          <w:lang w:val="fr-CH"/>
        </w:rPr>
        <w:t xml:space="preserve">d’audiométrie et 51 </w:t>
      </w:r>
      <w:r w:rsidRPr="0071782F">
        <w:rPr>
          <w:lang w:val="fr-CH"/>
        </w:rPr>
        <w:t xml:space="preserve">633 </w:t>
      </w:r>
      <w:r w:rsidR="00DE0CCA" w:rsidRPr="0071782F">
        <w:rPr>
          <w:lang w:val="fr-CH"/>
        </w:rPr>
        <w:t>utilisateurs</w:t>
      </w:r>
      <w:r w:rsidRPr="0071782F">
        <w:rPr>
          <w:lang w:val="fr-CH"/>
        </w:rPr>
        <w:t>.</w:t>
      </w:r>
    </w:p>
    <w:p w:rsidR="00E5019F" w:rsidRPr="0071782F" w:rsidRDefault="00E5019F" w:rsidP="00E5019F">
      <w:pPr>
        <w:pStyle w:val="SingleTxtG"/>
        <w:ind w:left="1701"/>
        <w:rPr>
          <w:lang w:val="fr-CH"/>
        </w:rPr>
      </w:pPr>
      <w:r w:rsidRPr="0071782F">
        <w:rPr>
          <w:lang w:val="fr-CH"/>
        </w:rPr>
        <w:t>311.4.</w:t>
      </w:r>
      <w:r w:rsidRPr="0071782F">
        <w:rPr>
          <w:lang w:val="fr-CH"/>
        </w:rPr>
        <w:tab/>
        <w:t>24</w:t>
      </w:r>
      <w:r w:rsidR="00E83264" w:rsidRPr="0071782F">
        <w:rPr>
          <w:lang w:val="fr-CH"/>
        </w:rPr>
        <w:t> unités</w:t>
      </w:r>
      <w:r w:rsidRPr="0071782F">
        <w:rPr>
          <w:lang w:val="fr-CH"/>
        </w:rPr>
        <w:t xml:space="preserve"> </w:t>
      </w:r>
      <w:r w:rsidR="00DE0CCA" w:rsidRPr="0071782F">
        <w:rPr>
          <w:lang w:val="fr-CH"/>
        </w:rPr>
        <w:t xml:space="preserve">familiales et pour enfants sourds et </w:t>
      </w:r>
      <w:r w:rsidRPr="0071782F">
        <w:rPr>
          <w:lang w:val="fr-CH"/>
        </w:rPr>
        <w:t>1</w:t>
      </w:r>
      <w:r w:rsidR="00860D09" w:rsidRPr="0071782F">
        <w:rPr>
          <w:lang w:val="fr-CH"/>
        </w:rPr>
        <w:t> </w:t>
      </w:r>
      <w:r w:rsidRPr="0071782F">
        <w:rPr>
          <w:lang w:val="fr-CH"/>
        </w:rPr>
        <w:t xml:space="preserve">247 </w:t>
      </w:r>
      <w:r w:rsidR="00DE0CCA" w:rsidRPr="0071782F">
        <w:rPr>
          <w:lang w:val="fr-CH"/>
        </w:rPr>
        <w:t>utilisateurs</w:t>
      </w:r>
      <w:r w:rsidRPr="0071782F">
        <w:rPr>
          <w:lang w:val="fr-CH"/>
        </w:rPr>
        <w:t>.</w:t>
      </w:r>
    </w:p>
    <w:p w:rsidR="00E5019F" w:rsidRPr="0071782F" w:rsidRDefault="00E5019F" w:rsidP="00E5019F">
      <w:pPr>
        <w:pStyle w:val="SingleTxtG"/>
        <w:ind w:left="1701"/>
        <w:rPr>
          <w:lang w:val="fr-CH"/>
        </w:rPr>
      </w:pPr>
      <w:r w:rsidRPr="0071782F">
        <w:rPr>
          <w:lang w:val="fr-CH"/>
        </w:rPr>
        <w:t>311.5.</w:t>
      </w:r>
      <w:r w:rsidRPr="0071782F">
        <w:rPr>
          <w:lang w:val="fr-CH"/>
        </w:rPr>
        <w:tab/>
        <w:t>46</w:t>
      </w:r>
      <w:r w:rsidR="00E83264" w:rsidRPr="0071782F">
        <w:rPr>
          <w:lang w:val="fr-CH"/>
        </w:rPr>
        <w:t> unités</w:t>
      </w:r>
      <w:r w:rsidRPr="0071782F">
        <w:rPr>
          <w:lang w:val="fr-CH"/>
        </w:rPr>
        <w:t xml:space="preserve"> </w:t>
      </w:r>
      <w:r w:rsidR="00DE0CCA" w:rsidRPr="0071782F">
        <w:rPr>
          <w:lang w:val="fr-CH"/>
        </w:rPr>
        <w:t xml:space="preserve">d’optométrie et </w:t>
      </w:r>
      <w:r w:rsidRPr="0071782F">
        <w:rPr>
          <w:lang w:val="fr-CH"/>
        </w:rPr>
        <w:t>34</w:t>
      </w:r>
      <w:r w:rsidR="00DE0CCA" w:rsidRPr="0071782F">
        <w:rPr>
          <w:lang w:val="fr-CH"/>
        </w:rPr>
        <w:t xml:space="preserve"> </w:t>
      </w:r>
      <w:r w:rsidRPr="0071782F">
        <w:rPr>
          <w:lang w:val="fr-CH"/>
        </w:rPr>
        <w:t xml:space="preserve">347 </w:t>
      </w:r>
      <w:r w:rsidR="00DE0CCA" w:rsidRPr="0071782F">
        <w:rPr>
          <w:lang w:val="fr-CH"/>
        </w:rPr>
        <w:t>utilisateurs</w:t>
      </w:r>
      <w:r w:rsidRPr="0071782F">
        <w:rPr>
          <w:lang w:val="fr-CH"/>
        </w:rPr>
        <w:t>.</w:t>
      </w:r>
    </w:p>
    <w:p w:rsidR="00E5019F" w:rsidRPr="0071782F" w:rsidRDefault="00E5019F" w:rsidP="00E5019F">
      <w:pPr>
        <w:pStyle w:val="SingleTxtG"/>
        <w:ind w:left="1701"/>
        <w:rPr>
          <w:lang w:val="fr-CH"/>
        </w:rPr>
      </w:pPr>
      <w:r w:rsidRPr="0071782F">
        <w:rPr>
          <w:lang w:val="fr-CH"/>
        </w:rPr>
        <w:t>311.6.</w:t>
      </w:r>
      <w:r w:rsidRPr="0071782F">
        <w:rPr>
          <w:lang w:val="fr-CH"/>
        </w:rPr>
        <w:tab/>
        <w:t>79</w:t>
      </w:r>
      <w:r w:rsidR="00E83264" w:rsidRPr="0071782F">
        <w:rPr>
          <w:lang w:val="fr-CH"/>
        </w:rPr>
        <w:t> unités</w:t>
      </w:r>
      <w:r w:rsidRPr="0071782F">
        <w:rPr>
          <w:lang w:val="fr-CH"/>
        </w:rPr>
        <w:t xml:space="preserve"> </w:t>
      </w:r>
      <w:r w:rsidR="00DE0CCA" w:rsidRPr="0071782F">
        <w:rPr>
          <w:lang w:val="fr-CH"/>
        </w:rPr>
        <w:t>d’alphabétisation et de réadaptation sociale et</w:t>
      </w:r>
      <w:r w:rsidRPr="0071782F">
        <w:rPr>
          <w:lang w:val="fr-CH"/>
        </w:rPr>
        <w:t xml:space="preserve"> 1</w:t>
      </w:r>
      <w:r w:rsidR="00860D09" w:rsidRPr="0071782F">
        <w:rPr>
          <w:lang w:val="fr-CH"/>
        </w:rPr>
        <w:t> </w:t>
      </w:r>
      <w:r w:rsidRPr="0071782F">
        <w:rPr>
          <w:lang w:val="fr-CH"/>
        </w:rPr>
        <w:t xml:space="preserve">561 </w:t>
      </w:r>
      <w:r w:rsidR="00DE0CCA" w:rsidRPr="0071782F">
        <w:rPr>
          <w:lang w:val="fr-CH"/>
        </w:rPr>
        <w:t>utilisateurs</w:t>
      </w:r>
      <w:r w:rsidRPr="0071782F">
        <w:rPr>
          <w:lang w:val="fr-CH"/>
        </w:rPr>
        <w:t>.</w:t>
      </w:r>
    </w:p>
    <w:p w:rsidR="00E5019F" w:rsidRPr="0071782F" w:rsidRDefault="00E5019F" w:rsidP="00E5019F">
      <w:pPr>
        <w:pStyle w:val="SingleTxtG"/>
        <w:ind w:left="1701"/>
        <w:rPr>
          <w:lang w:val="fr-CH"/>
        </w:rPr>
      </w:pPr>
      <w:r w:rsidRPr="0071782F">
        <w:rPr>
          <w:lang w:val="fr-CH"/>
        </w:rPr>
        <w:t>311.7.</w:t>
      </w:r>
      <w:r w:rsidRPr="0071782F">
        <w:rPr>
          <w:lang w:val="fr-CH"/>
        </w:rPr>
        <w:tab/>
        <w:t>17</w:t>
      </w:r>
      <w:r w:rsidR="00E83264" w:rsidRPr="0071782F">
        <w:rPr>
          <w:lang w:val="fr-CH"/>
        </w:rPr>
        <w:t> unités</w:t>
      </w:r>
      <w:r w:rsidR="00DE0CCA" w:rsidRPr="0071782F">
        <w:rPr>
          <w:lang w:val="fr-CH"/>
        </w:rPr>
        <w:t xml:space="preserve"> de pose de membres artificiels et</w:t>
      </w:r>
      <w:r w:rsidRPr="0071782F">
        <w:rPr>
          <w:lang w:val="fr-CH"/>
        </w:rPr>
        <w:t xml:space="preserve"> 7</w:t>
      </w:r>
      <w:r w:rsidR="00860D09" w:rsidRPr="0071782F">
        <w:rPr>
          <w:lang w:val="fr-CH"/>
        </w:rPr>
        <w:t> </w:t>
      </w:r>
      <w:r w:rsidRPr="0071782F">
        <w:rPr>
          <w:lang w:val="fr-CH"/>
        </w:rPr>
        <w:t xml:space="preserve">962 </w:t>
      </w:r>
      <w:r w:rsidR="00DE0CCA" w:rsidRPr="0071782F">
        <w:rPr>
          <w:lang w:val="fr-CH"/>
        </w:rPr>
        <w:t>utilisateurs</w:t>
      </w:r>
      <w:r w:rsidRPr="0071782F">
        <w:rPr>
          <w:lang w:val="fr-CH"/>
        </w:rPr>
        <w:t>.</w:t>
      </w:r>
    </w:p>
    <w:p w:rsidR="00E5019F" w:rsidRPr="0071782F" w:rsidRDefault="00E5019F" w:rsidP="00E5019F">
      <w:pPr>
        <w:pStyle w:val="SingleTxtG"/>
        <w:ind w:left="1701"/>
        <w:rPr>
          <w:lang w:val="fr-CH"/>
        </w:rPr>
      </w:pPr>
      <w:r w:rsidRPr="0071782F">
        <w:rPr>
          <w:lang w:val="fr-CH"/>
        </w:rPr>
        <w:t>311.8.</w:t>
      </w:r>
      <w:r w:rsidRPr="0071782F">
        <w:rPr>
          <w:lang w:val="fr-CH"/>
        </w:rPr>
        <w:tab/>
        <w:t>106</w:t>
      </w:r>
      <w:r w:rsidR="00E83264" w:rsidRPr="0071782F">
        <w:rPr>
          <w:lang w:val="fr-CH"/>
        </w:rPr>
        <w:t> unités</w:t>
      </w:r>
      <w:r w:rsidR="00DE0CCA" w:rsidRPr="0071782F">
        <w:rPr>
          <w:lang w:val="fr-CH"/>
        </w:rPr>
        <w:t xml:space="preserve"> t</w:t>
      </w:r>
      <w:r w:rsidRPr="0071782F">
        <w:rPr>
          <w:lang w:val="fr-CH"/>
        </w:rPr>
        <w:t>echnic</w:t>
      </w:r>
      <w:r w:rsidR="00DE0CCA" w:rsidRPr="0071782F">
        <w:rPr>
          <w:lang w:val="fr-CH"/>
        </w:rPr>
        <w:t>o</w:t>
      </w:r>
      <w:r w:rsidRPr="0071782F">
        <w:rPr>
          <w:lang w:val="fr-CH"/>
        </w:rPr>
        <w:t>-</w:t>
      </w:r>
      <w:r w:rsidR="00DE0CCA" w:rsidRPr="0071782F">
        <w:rPr>
          <w:lang w:val="fr-CH"/>
        </w:rPr>
        <w:t xml:space="preserve">professionnelles et </w:t>
      </w:r>
      <w:r w:rsidRPr="0071782F">
        <w:rPr>
          <w:lang w:val="fr-CH"/>
        </w:rPr>
        <w:t>4</w:t>
      </w:r>
      <w:r w:rsidR="00860D09" w:rsidRPr="0071782F">
        <w:rPr>
          <w:lang w:val="fr-CH"/>
        </w:rPr>
        <w:t> </w:t>
      </w:r>
      <w:r w:rsidRPr="0071782F">
        <w:rPr>
          <w:lang w:val="fr-CH"/>
        </w:rPr>
        <w:t xml:space="preserve">479 </w:t>
      </w:r>
      <w:r w:rsidR="00DE0CCA" w:rsidRPr="0071782F">
        <w:rPr>
          <w:lang w:val="fr-CH"/>
        </w:rPr>
        <w:t>utilisateurs</w:t>
      </w:r>
      <w:r w:rsidRPr="0071782F">
        <w:rPr>
          <w:lang w:val="fr-CH"/>
        </w:rPr>
        <w:t>.</w:t>
      </w:r>
    </w:p>
    <w:p w:rsidR="00E5019F" w:rsidRPr="0071782F" w:rsidRDefault="00E5019F" w:rsidP="00E5019F">
      <w:pPr>
        <w:pStyle w:val="SingleTxtG"/>
        <w:ind w:left="1701"/>
        <w:rPr>
          <w:lang w:val="fr-CH"/>
        </w:rPr>
      </w:pPr>
      <w:r w:rsidRPr="0071782F">
        <w:rPr>
          <w:lang w:val="fr-CH"/>
        </w:rPr>
        <w:t>311.9.</w:t>
      </w:r>
      <w:r w:rsidRPr="0071782F">
        <w:rPr>
          <w:lang w:val="fr-CH"/>
        </w:rPr>
        <w:tab/>
        <w:t>375</w:t>
      </w:r>
      <w:r w:rsidR="00E83264" w:rsidRPr="0071782F">
        <w:rPr>
          <w:lang w:val="fr-CH"/>
        </w:rPr>
        <w:t> unités</w:t>
      </w:r>
      <w:r w:rsidRPr="0071782F">
        <w:rPr>
          <w:lang w:val="fr-CH"/>
        </w:rPr>
        <w:t xml:space="preserve"> </w:t>
      </w:r>
      <w:r w:rsidR="00DE0CCA" w:rsidRPr="0071782F">
        <w:rPr>
          <w:lang w:val="fr-CH"/>
        </w:rPr>
        <w:t xml:space="preserve">privées de réadaptation et </w:t>
      </w:r>
      <w:r w:rsidRPr="0071782F">
        <w:rPr>
          <w:lang w:val="fr-CH"/>
        </w:rPr>
        <w:t>14</w:t>
      </w:r>
      <w:r w:rsidR="00860D09" w:rsidRPr="0071782F">
        <w:rPr>
          <w:lang w:val="fr-CH"/>
        </w:rPr>
        <w:t> </w:t>
      </w:r>
      <w:r w:rsidRPr="0071782F">
        <w:rPr>
          <w:lang w:val="fr-CH"/>
        </w:rPr>
        <w:t xml:space="preserve">000 </w:t>
      </w:r>
      <w:r w:rsidR="00DE0CCA" w:rsidRPr="0071782F">
        <w:rPr>
          <w:lang w:val="fr-CH"/>
        </w:rPr>
        <w:t xml:space="preserve">utilisateurs </w:t>
      </w:r>
      <w:r w:rsidRPr="0071782F">
        <w:rPr>
          <w:lang w:val="fr-CH"/>
        </w:rPr>
        <w:t>(</w:t>
      </w:r>
      <w:r w:rsidR="00DE0CCA" w:rsidRPr="0071782F">
        <w:rPr>
          <w:lang w:val="fr-CH"/>
        </w:rPr>
        <w:t xml:space="preserve">les </w:t>
      </w:r>
      <w:r w:rsidRPr="0071782F">
        <w:rPr>
          <w:lang w:val="fr-CH"/>
        </w:rPr>
        <w:t xml:space="preserve">services </w:t>
      </w:r>
      <w:r w:rsidR="00DE0CCA" w:rsidRPr="0071782F">
        <w:rPr>
          <w:lang w:val="fr-CH"/>
        </w:rPr>
        <w:t xml:space="preserve">fournis par ces centres sont </w:t>
      </w:r>
      <w:r w:rsidRPr="0071782F">
        <w:rPr>
          <w:lang w:val="fr-CH"/>
        </w:rPr>
        <w:t>sub</w:t>
      </w:r>
      <w:r w:rsidR="00DE0CCA" w:rsidRPr="0071782F">
        <w:rPr>
          <w:lang w:val="fr-CH"/>
        </w:rPr>
        <w:t>ventionnés par l’État</w:t>
      </w:r>
      <w:r w:rsidRPr="0071782F">
        <w:rPr>
          <w:lang w:val="fr-CH"/>
        </w:rPr>
        <w:t>).</w:t>
      </w:r>
    </w:p>
    <w:p w:rsidR="00E5019F" w:rsidRPr="0071782F" w:rsidRDefault="00E5019F" w:rsidP="00E5019F">
      <w:pPr>
        <w:pStyle w:val="SingleTxtG"/>
        <w:rPr>
          <w:lang w:val="fr-CH"/>
        </w:rPr>
      </w:pPr>
      <w:r w:rsidRPr="0071782F">
        <w:rPr>
          <w:lang w:val="fr-CH"/>
        </w:rPr>
        <w:t>312.</w:t>
      </w:r>
      <w:r w:rsidRPr="0071782F">
        <w:rPr>
          <w:lang w:val="fr-CH"/>
        </w:rPr>
        <w:tab/>
      </w:r>
      <w:r w:rsidR="00DE0CCA" w:rsidRPr="0071782F">
        <w:rPr>
          <w:lang w:val="fr-CH"/>
        </w:rPr>
        <w:t>Centres de services 24</w:t>
      </w:r>
      <w:r w:rsidR="00BF435F" w:rsidRPr="0071782F">
        <w:rPr>
          <w:lang w:val="fr-CH"/>
        </w:rPr>
        <w:t> heures</w:t>
      </w:r>
      <w:r w:rsidR="00DE0CCA" w:rsidRPr="0071782F">
        <w:rPr>
          <w:lang w:val="fr-CH"/>
        </w:rPr>
        <w:t xml:space="preserve"> sur 24 pour </w:t>
      </w:r>
      <w:r w:rsidR="00A233C2" w:rsidRPr="0071782F">
        <w:rPr>
          <w:lang w:val="fr-CH"/>
        </w:rPr>
        <w:t>les personnes</w:t>
      </w:r>
      <w:r w:rsidR="00DE0CCA" w:rsidRPr="0071782F">
        <w:rPr>
          <w:lang w:val="fr-CH"/>
        </w:rPr>
        <w:t xml:space="preserve"> handicapées et </w:t>
      </w:r>
      <w:r w:rsidR="00A233C2" w:rsidRPr="0071782F">
        <w:rPr>
          <w:lang w:val="fr-CH"/>
        </w:rPr>
        <w:t>les personnes</w:t>
      </w:r>
      <w:r w:rsidR="00DE0CCA" w:rsidRPr="0071782F">
        <w:rPr>
          <w:lang w:val="fr-CH"/>
        </w:rPr>
        <w:t xml:space="preserve"> âgées</w:t>
      </w:r>
      <w:r w:rsidR="008F7D33" w:rsidRPr="0071782F">
        <w:rPr>
          <w:lang w:val="fr-CH"/>
        </w:rPr>
        <w:t>:</w:t>
      </w:r>
    </w:p>
    <w:p w:rsidR="00E5019F" w:rsidRPr="0071782F" w:rsidRDefault="00E5019F" w:rsidP="00E5019F">
      <w:pPr>
        <w:pStyle w:val="SingleTxtG"/>
        <w:ind w:left="1701"/>
        <w:rPr>
          <w:lang w:val="fr-CH"/>
        </w:rPr>
      </w:pPr>
      <w:r w:rsidRPr="0071782F">
        <w:rPr>
          <w:lang w:val="fr-CH"/>
        </w:rPr>
        <w:t>312.1.</w:t>
      </w:r>
      <w:r w:rsidRPr="0071782F">
        <w:rPr>
          <w:lang w:val="fr-CH"/>
        </w:rPr>
        <w:tab/>
        <w:t>74 cent</w:t>
      </w:r>
      <w:r w:rsidR="00DE0CCA" w:rsidRPr="0071782F">
        <w:rPr>
          <w:lang w:val="fr-CH"/>
        </w:rPr>
        <w:t xml:space="preserve">res de prise en charge et de </w:t>
      </w:r>
      <w:r w:rsidRPr="0071782F">
        <w:rPr>
          <w:lang w:val="fr-CH"/>
        </w:rPr>
        <w:t>r</w:t>
      </w:r>
      <w:r w:rsidR="00DE0CCA" w:rsidRPr="0071782F">
        <w:rPr>
          <w:lang w:val="fr-CH"/>
        </w:rPr>
        <w:t xml:space="preserve">éadaptation </w:t>
      </w:r>
      <w:r w:rsidR="007F37CE" w:rsidRPr="0071782F">
        <w:rPr>
          <w:lang w:val="fr-CH"/>
        </w:rPr>
        <w:t>des personnes</w:t>
      </w:r>
      <w:r w:rsidR="00DE0CCA" w:rsidRPr="0071782F">
        <w:rPr>
          <w:lang w:val="fr-CH"/>
        </w:rPr>
        <w:t xml:space="preserve"> handicapées </w:t>
      </w:r>
      <w:r w:rsidRPr="0071782F">
        <w:rPr>
          <w:lang w:val="fr-CH"/>
        </w:rPr>
        <w:t>– 9</w:t>
      </w:r>
      <w:r w:rsidR="00DE0CCA" w:rsidRPr="0071782F">
        <w:rPr>
          <w:lang w:val="fr-CH"/>
        </w:rPr>
        <w:t xml:space="preserve"> </w:t>
      </w:r>
      <w:r w:rsidRPr="0071782F">
        <w:rPr>
          <w:lang w:val="fr-CH"/>
        </w:rPr>
        <w:t xml:space="preserve">125 </w:t>
      </w:r>
      <w:r w:rsidR="00DE0CCA" w:rsidRPr="0071782F">
        <w:rPr>
          <w:lang w:val="fr-CH"/>
        </w:rPr>
        <w:t>utilisateurs</w:t>
      </w:r>
      <w:r w:rsidRPr="0071782F">
        <w:rPr>
          <w:lang w:val="fr-CH"/>
        </w:rPr>
        <w:t>.</w:t>
      </w:r>
    </w:p>
    <w:p w:rsidR="00E5019F" w:rsidRPr="0071782F" w:rsidRDefault="00E5019F" w:rsidP="00E5019F">
      <w:pPr>
        <w:pStyle w:val="SingleTxtG"/>
        <w:ind w:left="1701"/>
        <w:rPr>
          <w:lang w:val="fr-CH"/>
        </w:rPr>
      </w:pPr>
      <w:r w:rsidRPr="0071782F">
        <w:rPr>
          <w:lang w:val="fr-CH"/>
        </w:rPr>
        <w:t>312.2.</w:t>
      </w:r>
      <w:r w:rsidRPr="0071782F">
        <w:rPr>
          <w:lang w:val="fr-CH"/>
        </w:rPr>
        <w:tab/>
        <w:t xml:space="preserve">18 </w:t>
      </w:r>
      <w:r w:rsidR="00DE0CCA" w:rsidRPr="0071782F">
        <w:rPr>
          <w:lang w:val="fr-CH"/>
        </w:rPr>
        <w:t xml:space="preserve">centres de prise en charge et de réadaptation </w:t>
      </w:r>
      <w:r w:rsidR="007F37CE" w:rsidRPr="0071782F">
        <w:rPr>
          <w:lang w:val="fr-CH"/>
        </w:rPr>
        <w:t>des personnes</w:t>
      </w:r>
      <w:r w:rsidR="00DE0CCA" w:rsidRPr="0071782F">
        <w:rPr>
          <w:lang w:val="fr-CH"/>
        </w:rPr>
        <w:t xml:space="preserve"> âgées </w:t>
      </w:r>
      <w:r w:rsidRPr="0071782F">
        <w:rPr>
          <w:lang w:val="fr-CH"/>
        </w:rPr>
        <w:t>– 1</w:t>
      </w:r>
      <w:r w:rsidR="00860D09" w:rsidRPr="0071782F">
        <w:rPr>
          <w:lang w:val="fr-CH"/>
        </w:rPr>
        <w:t> </w:t>
      </w:r>
      <w:r w:rsidRPr="0071782F">
        <w:rPr>
          <w:lang w:val="fr-CH"/>
        </w:rPr>
        <w:t>725</w:t>
      </w:r>
      <w:r w:rsidR="00860D09" w:rsidRPr="0071782F">
        <w:rPr>
          <w:lang w:val="fr-CH"/>
        </w:rPr>
        <w:t> </w:t>
      </w:r>
      <w:r w:rsidR="00DE0CCA" w:rsidRPr="0071782F">
        <w:rPr>
          <w:lang w:val="fr-CH"/>
        </w:rPr>
        <w:t>utilisateurs</w:t>
      </w:r>
      <w:r w:rsidRPr="0071782F">
        <w:rPr>
          <w:lang w:val="fr-CH"/>
        </w:rPr>
        <w:t>.</w:t>
      </w:r>
    </w:p>
    <w:p w:rsidR="00E5019F" w:rsidRPr="0071782F" w:rsidRDefault="00E5019F" w:rsidP="00E5019F">
      <w:pPr>
        <w:pStyle w:val="SingleTxtG"/>
        <w:ind w:left="1701"/>
        <w:rPr>
          <w:lang w:val="fr-CH"/>
        </w:rPr>
      </w:pPr>
      <w:r w:rsidRPr="0071782F">
        <w:rPr>
          <w:lang w:val="fr-CH"/>
        </w:rPr>
        <w:t>312.3.</w:t>
      </w:r>
      <w:r w:rsidRPr="0071782F">
        <w:rPr>
          <w:lang w:val="fr-CH"/>
        </w:rPr>
        <w:tab/>
        <w:t xml:space="preserve">144 </w:t>
      </w:r>
      <w:r w:rsidR="00DE0CCA" w:rsidRPr="0071782F">
        <w:rPr>
          <w:lang w:val="fr-CH"/>
        </w:rPr>
        <w:t xml:space="preserve">centres privés de prise en charge et de réadaptation </w:t>
      </w:r>
      <w:r w:rsidR="007F37CE" w:rsidRPr="0071782F">
        <w:rPr>
          <w:lang w:val="fr-CH"/>
        </w:rPr>
        <w:t>des personnes</w:t>
      </w:r>
      <w:r w:rsidR="00DE0CCA" w:rsidRPr="0071782F">
        <w:rPr>
          <w:lang w:val="fr-CH"/>
        </w:rPr>
        <w:t xml:space="preserve"> handicapées </w:t>
      </w:r>
      <w:r w:rsidRPr="0071782F">
        <w:rPr>
          <w:lang w:val="fr-CH"/>
        </w:rPr>
        <w:t>– 8</w:t>
      </w:r>
      <w:r w:rsidR="00860D09" w:rsidRPr="0071782F">
        <w:rPr>
          <w:lang w:val="fr-CH"/>
        </w:rPr>
        <w:t> </w:t>
      </w:r>
      <w:r w:rsidRPr="0071782F">
        <w:rPr>
          <w:lang w:val="fr-CH"/>
        </w:rPr>
        <w:t>734</w:t>
      </w:r>
      <w:r w:rsidR="00860D09" w:rsidRPr="0071782F">
        <w:rPr>
          <w:lang w:val="fr-CH"/>
        </w:rPr>
        <w:t> </w:t>
      </w:r>
      <w:r w:rsidR="00DE0CCA" w:rsidRPr="0071782F">
        <w:rPr>
          <w:lang w:val="fr-CH"/>
        </w:rPr>
        <w:t xml:space="preserve">utilisateurs </w:t>
      </w:r>
      <w:r w:rsidRPr="0071782F">
        <w:rPr>
          <w:lang w:val="fr-CH"/>
        </w:rPr>
        <w:t>(</w:t>
      </w:r>
      <w:r w:rsidR="00DE0CCA" w:rsidRPr="0071782F">
        <w:rPr>
          <w:lang w:val="fr-CH"/>
        </w:rPr>
        <w:t>les services fournis par ces centres sont subventionnés par l’État</w:t>
      </w:r>
      <w:r w:rsidRPr="0071782F">
        <w:rPr>
          <w:lang w:val="fr-CH"/>
        </w:rPr>
        <w:t>).</w:t>
      </w:r>
    </w:p>
    <w:p w:rsidR="00E5019F" w:rsidRPr="0071782F" w:rsidRDefault="00E5019F" w:rsidP="00E5019F">
      <w:pPr>
        <w:pStyle w:val="SingleTxtG"/>
        <w:rPr>
          <w:lang w:val="fr-CH"/>
        </w:rPr>
      </w:pPr>
      <w:r w:rsidRPr="0071782F">
        <w:rPr>
          <w:lang w:val="fr-CH"/>
        </w:rPr>
        <w:t>313.</w:t>
      </w:r>
      <w:r w:rsidRPr="0071782F">
        <w:rPr>
          <w:lang w:val="fr-CH"/>
        </w:rPr>
        <w:tab/>
      </w:r>
      <w:r w:rsidR="00DE0CCA" w:rsidRPr="0071782F">
        <w:rPr>
          <w:lang w:val="fr-CH"/>
        </w:rPr>
        <w:t xml:space="preserve">Les autres </w:t>
      </w:r>
      <w:r w:rsidRPr="0071782F">
        <w:rPr>
          <w:lang w:val="fr-CH"/>
        </w:rPr>
        <w:t xml:space="preserve">services </w:t>
      </w:r>
      <w:r w:rsidR="00DE0CCA" w:rsidRPr="0071782F">
        <w:rPr>
          <w:lang w:val="fr-CH"/>
        </w:rPr>
        <w:t xml:space="preserve">d’appui à la réadaptation </w:t>
      </w:r>
      <w:r w:rsidR="007F37CE" w:rsidRPr="0071782F">
        <w:rPr>
          <w:lang w:val="fr-CH"/>
        </w:rPr>
        <w:t>des personnes</w:t>
      </w:r>
      <w:r w:rsidR="00DE0CCA" w:rsidRPr="0071782F">
        <w:rPr>
          <w:lang w:val="fr-CH"/>
        </w:rPr>
        <w:t xml:space="preserve"> handicapées et </w:t>
      </w:r>
      <w:r w:rsidR="007F37CE" w:rsidRPr="0071782F">
        <w:rPr>
          <w:lang w:val="fr-CH"/>
        </w:rPr>
        <w:t>des personnes</w:t>
      </w:r>
      <w:r w:rsidR="00DE0CCA" w:rsidRPr="0071782F">
        <w:rPr>
          <w:lang w:val="fr-CH"/>
        </w:rPr>
        <w:t xml:space="preserve"> âgées sont notamment les suivants</w:t>
      </w:r>
      <w:r w:rsidR="008F7D33" w:rsidRPr="0071782F">
        <w:rPr>
          <w:lang w:val="fr-CH"/>
        </w:rPr>
        <w:t>:</w:t>
      </w:r>
      <w:r w:rsidR="00D36718">
        <w:rPr>
          <w:lang w:val="fr-CH"/>
        </w:rPr>
        <w:t xml:space="preserve"> </w:t>
      </w:r>
    </w:p>
    <w:p w:rsidR="00E5019F" w:rsidRPr="0071782F" w:rsidRDefault="00DE0CCA" w:rsidP="00E5019F">
      <w:pPr>
        <w:pStyle w:val="SingleTxtG"/>
        <w:ind w:left="1701"/>
        <w:rPr>
          <w:lang w:val="fr-CH"/>
        </w:rPr>
      </w:pPr>
      <w:r w:rsidRPr="0071782F">
        <w:rPr>
          <w:lang w:val="fr-CH"/>
        </w:rPr>
        <w:t>313.1.</w:t>
      </w:r>
      <w:r w:rsidRPr="0071782F">
        <w:rPr>
          <w:lang w:val="fr-CH"/>
        </w:rPr>
        <w:tab/>
        <w:t>Octroi à 94</w:t>
      </w:r>
      <w:r w:rsidR="00860D09" w:rsidRPr="0071782F">
        <w:rPr>
          <w:lang w:val="fr-CH"/>
        </w:rPr>
        <w:t> </w:t>
      </w:r>
      <w:r w:rsidR="00E5019F" w:rsidRPr="0071782F">
        <w:rPr>
          <w:lang w:val="fr-CH"/>
        </w:rPr>
        <w:t>889</w:t>
      </w:r>
      <w:r w:rsidR="00097CDB" w:rsidRPr="0071782F">
        <w:rPr>
          <w:lang w:val="fr-CH"/>
        </w:rPr>
        <w:t> personnes</w:t>
      </w:r>
      <w:r w:rsidRPr="0071782F">
        <w:rPr>
          <w:lang w:val="fr-CH"/>
        </w:rPr>
        <w:t xml:space="preserve"> d’une allocation au titre des soins à fournir aux demandeurs d’aide à domicile</w:t>
      </w:r>
      <w:r w:rsidR="00E5019F" w:rsidRPr="0071782F">
        <w:rPr>
          <w:lang w:val="fr-CH"/>
        </w:rPr>
        <w:t>.</w:t>
      </w:r>
    </w:p>
    <w:p w:rsidR="00E5019F" w:rsidRPr="0071782F" w:rsidRDefault="00E5019F" w:rsidP="00E5019F">
      <w:pPr>
        <w:pStyle w:val="SingleTxtG"/>
        <w:ind w:left="1701"/>
        <w:rPr>
          <w:lang w:val="fr-CH"/>
        </w:rPr>
      </w:pPr>
      <w:r w:rsidRPr="0071782F">
        <w:rPr>
          <w:lang w:val="fr-CH"/>
        </w:rPr>
        <w:t>313.2.</w:t>
      </w:r>
      <w:r w:rsidRPr="0071782F">
        <w:rPr>
          <w:lang w:val="fr-CH"/>
        </w:rPr>
        <w:tab/>
      </w:r>
      <w:r w:rsidR="00DE0CCA" w:rsidRPr="0071782F">
        <w:rPr>
          <w:lang w:val="fr-CH"/>
        </w:rPr>
        <w:t xml:space="preserve">Octroi à </w:t>
      </w:r>
      <w:r w:rsidRPr="0071782F">
        <w:rPr>
          <w:lang w:val="fr-CH"/>
        </w:rPr>
        <w:t>631</w:t>
      </w:r>
      <w:r w:rsidR="00860D09" w:rsidRPr="0071782F">
        <w:rPr>
          <w:lang w:val="fr-CH"/>
        </w:rPr>
        <w:t> </w:t>
      </w:r>
      <w:r w:rsidRPr="0071782F">
        <w:rPr>
          <w:lang w:val="fr-CH"/>
        </w:rPr>
        <w:t xml:space="preserve">430 </w:t>
      </w:r>
      <w:r w:rsidR="00DE0CCA" w:rsidRPr="0071782F">
        <w:rPr>
          <w:lang w:val="fr-CH"/>
        </w:rPr>
        <w:t>d’aides financières ponctuelles au titre des soins à fournir aux demandeurs d’aide</w:t>
      </w:r>
      <w:r w:rsidRPr="0071782F">
        <w:rPr>
          <w:lang w:val="fr-CH"/>
        </w:rPr>
        <w:t>.</w:t>
      </w:r>
    </w:p>
    <w:p w:rsidR="00E5019F" w:rsidRPr="0071782F" w:rsidRDefault="00E5019F" w:rsidP="00E5019F">
      <w:pPr>
        <w:pStyle w:val="SingleTxtG"/>
        <w:ind w:left="1701"/>
        <w:rPr>
          <w:lang w:val="fr-CH"/>
        </w:rPr>
      </w:pPr>
      <w:r w:rsidRPr="0071782F">
        <w:rPr>
          <w:lang w:val="fr-CH"/>
        </w:rPr>
        <w:t>313.3.</w:t>
      </w:r>
      <w:r w:rsidRPr="0071782F">
        <w:rPr>
          <w:lang w:val="fr-CH"/>
        </w:rPr>
        <w:tab/>
      </w:r>
      <w:r w:rsidR="00DE0CCA" w:rsidRPr="0071782F">
        <w:rPr>
          <w:lang w:val="fr-CH"/>
        </w:rPr>
        <w:t>Octroi d’aides techniques à la réadaptation à 242</w:t>
      </w:r>
      <w:r w:rsidR="00860D09" w:rsidRPr="0071782F">
        <w:rPr>
          <w:lang w:val="fr-CH"/>
        </w:rPr>
        <w:t> </w:t>
      </w:r>
      <w:r w:rsidRPr="0071782F">
        <w:rPr>
          <w:lang w:val="fr-CH"/>
        </w:rPr>
        <w:t>056</w:t>
      </w:r>
      <w:r w:rsidR="00097CDB" w:rsidRPr="0071782F">
        <w:rPr>
          <w:lang w:val="fr-CH"/>
        </w:rPr>
        <w:t> personnes</w:t>
      </w:r>
      <w:r w:rsidRPr="0071782F">
        <w:rPr>
          <w:lang w:val="fr-CH"/>
        </w:rPr>
        <w:t>.</w:t>
      </w:r>
    </w:p>
    <w:p w:rsidR="00E5019F" w:rsidRPr="0071782F" w:rsidRDefault="00E5019F" w:rsidP="00E5019F">
      <w:pPr>
        <w:pStyle w:val="SingleTxtG"/>
        <w:ind w:left="1701"/>
        <w:rPr>
          <w:lang w:val="fr-CH"/>
        </w:rPr>
      </w:pPr>
      <w:r w:rsidRPr="0071782F">
        <w:rPr>
          <w:lang w:val="fr-CH"/>
        </w:rPr>
        <w:t>313.4.</w:t>
      </w:r>
      <w:r w:rsidRPr="0071782F">
        <w:rPr>
          <w:lang w:val="fr-CH"/>
        </w:rPr>
        <w:tab/>
      </w:r>
      <w:r w:rsidR="00DE0CCA" w:rsidRPr="0071782F">
        <w:rPr>
          <w:lang w:val="fr-CH"/>
        </w:rPr>
        <w:t xml:space="preserve">Prestation de services sociaux et de conseil à </w:t>
      </w:r>
      <w:r w:rsidRPr="0071782F">
        <w:rPr>
          <w:lang w:val="fr-CH"/>
        </w:rPr>
        <w:t>1</w:t>
      </w:r>
      <w:r w:rsidR="00DE0CCA" w:rsidRPr="0071782F">
        <w:rPr>
          <w:lang w:val="fr-CH"/>
        </w:rPr>
        <w:t> </w:t>
      </w:r>
      <w:r w:rsidRPr="0071782F">
        <w:rPr>
          <w:lang w:val="fr-CH"/>
        </w:rPr>
        <w:t>052</w:t>
      </w:r>
      <w:r w:rsidR="00860D09" w:rsidRPr="0071782F">
        <w:rPr>
          <w:lang w:val="fr-CH"/>
        </w:rPr>
        <w:t> </w:t>
      </w:r>
      <w:r w:rsidRPr="0071782F">
        <w:rPr>
          <w:lang w:val="fr-CH"/>
        </w:rPr>
        <w:t>159</w:t>
      </w:r>
      <w:r w:rsidR="00097CDB" w:rsidRPr="0071782F">
        <w:rPr>
          <w:lang w:val="fr-CH"/>
        </w:rPr>
        <w:t> personnes</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DE0CCA" w:rsidRPr="0071782F">
        <w:rPr>
          <w:lang w:val="fr-CH"/>
        </w:rPr>
        <w:t xml:space="preserve">Aides destinées </w:t>
      </w:r>
      <w:r w:rsidR="00175962" w:rsidRPr="0071782F">
        <w:rPr>
          <w:lang w:val="fr-CH"/>
        </w:rPr>
        <w:t>aux personnes</w:t>
      </w:r>
      <w:r w:rsidR="00DE0CCA" w:rsidRPr="0071782F">
        <w:rPr>
          <w:lang w:val="fr-CH"/>
        </w:rPr>
        <w:t xml:space="preserve"> âgées </w:t>
      </w:r>
    </w:p>
    <w:p w:rsidR="00E5019F" w:rsidRPr="0071782F" w:rsidRDefault="00E5019F" w:rsidP="00E5019F">
      <w:pPr>
        <w:pStyle w:val="SingleTxtG"/>
        <w:rPr>
          <w:lang w:val="fr-CH"/>
        </w:rPr>
      </w:pPr>
      <w:r w:rsidRPr="0071782F">
        <w:rPr>
          <w:lang w:val="fr-CH"/>
        </w:rPr>
        <w:t>314.</w:t>
      </w:r>
      <w:r w:rsidRPr="0071782F">
        <w:rPr>
          <w:lang w:val="fr-CH"/>
        </w:rPr>
        <w:tab/>
      </w:r>
      <w:r w:rsidR="007A7380" w:rsidRPr="0071782F">
        <w:rPr>
          <w:lang w:val="fr-CH"/>
        </w:rPr>
        <w:t>Les 4,5</w:t>
      </w:r>
      <w:r w:rsidR="00097CDB" w:rsidRPr="0071782F">
        <w:rPr>
          <w:lang w:val="fr-CH"/>
        </w:rPr>
        <w:t> millions</w:t>
      </w:r>
      <w:r w:rsidR="007A7380" w:rsidRPr="0071782F">
        <w:rPr>
          <w:lang w:val="fr-CH"/>
        </w:rPr>
        <w:t xml:space="preserve"> </w:t>
      </w:r>
      <w:r w:rsidR="00D82C96" w:rsidRPr="0071782F">
        <w:rPr>
          <w:lang w:val="fr-CH"/>
        </w:rPr>
        <w:t>de personnes</w:t>
      </w:r>
      <w:r w:rsidR="007A7380" w:rsidRPr="0071782F">
        <w:rPr>
          <w:lang w:val="fr-CH"/>
        </w:rPr>
        <w:t xml:space="preserve"> âgées de plus de 60</w:t>
      </w:r>
      <w:r w:rsidR="00D82C96" w:rsidRPr="0071782F">
        <w:rPr>
          <w:lang w:val="fr-CH"/>
        </w:rPr>
        <w:t> ans</w:t>
      </w:r>
      <w:r w:rsidR="007A7380" w:rsidRPr="0071782F">
        <w:rPr>
          <w:lang w:val="fr-CH"/>
        </w:rPr>
        <w:t xml:space="preserve"> représentent </w:t>
      </w:r>
      <w:r w:rsidRPr="0071782F">
        <w:rPr>
          <w:lang w:val="fr-CH"/>
        </w:rPr>
        <w:t>6</w:t>
      </w:r>
      <w:r w:rsidR="007A7380" w:rsidRPr="0071782F">
        <w:rPr>
          <w:lang w:val="fr-CH"/>
        </w:rPr>
        <w:t>,</w:t>
      </w:r>
      <w:r w:rsidRPr="0071782F">
        <w:rPr>
          <w:lang w:val="fr-CH"/>
        </w:rPr>
        <w:t>6</w:t>
      </w:r>
      <w:r w:rsidR="007E5125" w:rsidRPr="0071782F">
        <w:rPr>
          <w:lang w:val="fr-CH"/>
        </w:rPr>
        <w:t>%</w:t>
      </w:r>
      <w:r w:rsidRPr="0071782F">
        <w:rPr>
          <w:lang w:val="fr-CH"/>
        </w:rPr>
        <w:t xml:space="preserve"> </w:t>
      </w:r>
      <w:r w:rsidR="007A7380" w:rsidRPr="0071782F">
        <w:rPr>
          <w:lang w:val="fr-CH"/>
        </w:rPr>
        <w:t xml:space="preserve">de la </w:t>
      </w:r>
      <w:r w:rsidRPr="0071782F">
        <w:rPr>
          <w:lang w:val="fr-CH"/>
        </w:rPr>
        <w:t xml:space="preserve">population </w:t>
      </w:r>
      <w:r w:rsidR="007A7380" w:rsidRPr="0071782F">
        <w:rPr>
          <w:lang w:val="fr-CH"/>
        </w:rPr>
        <w:t>du pays</w:t>
      </w:r>
      <w:r w:rsidRPr="0071782F">
        <w:rPr>
          <w:lang w:val="fr-CH"/>
        </w:rPr>
        <w:t xml:space="preserve">. </w:t>
      </w:r>
      <w:r w:rsidR="00C36750" w:rsidRPr="0071782F">
        <w:rPr>
          <w:lang w:val="fr-CH"/>
        </w:rPr>
        <w:t>Ces personnes</w:t>
      </w:r>
      <w:r w:rsidR="00D13F4E" w:rsidRPr="0071782F">
        <w:rPr>
          <w:lang w:val="fr-CH"/>
        </w:rPr>
        <w:t xml:space="preserve"> </w:t>
      </w:r>
      <w:r w:rsidR="007A7380" w:rsidRPr="0071782F">
        <w:rPr>
          <w:lang w:val="fr-CH"/>
        </w:rPr>
        <w:t>devraient être neuf</w:t>
      </w:r>
      <w:r w:rsidR="00097CDB" w:rsidRPr="0071782F">
        <w:rPr>
          <w:lang w:val="fr-CH"/>
        </w:rPr>
        <w:t> millions</w:t>
      </w:r>
      <w:r w:rsidR="007A7380" w:rsidRPr="0071782F">
        <w:rPr>
          <w:lang w:val="fr-CH"/>
        </w:rPr>
        <w:t xml:space="preserve"> en </w:t>
      </w:r>
      <w:r w:rsidRPr="0071782F">
        <w:rPr>
          <w:lang w:val="fr-CH"/>
        </w:rPr>
        <w:t>2021.</w:t>
      </w:r>
    </w:p>
    <w:p w:rsidR="00E5019F" w:rsidRPr="0071782F" w:rsidRDefault="00E5019F" w:rsidP="00E5019F">
      <w:pPr>
        <w:pStyle w:val="H23G"/>
        <w:rPr>
          <w:lang w:val="fr-CH"/>
        </w:rPr>
      </w:pPr>
      <w:r w:rsidRPr="0071782F">
        <w:rPr>
          <w:lang w:val="fr-CH"/>
        </w:rPr>
        <w:tab/>
      </w:r>
      <w:r w:rsidRPr="0071782F">
        <w:rPr>
          <w:lang w:val="fr-CH"/>
        </w:rPr>
        <w:tab/>
      </w:r>
      <w:r w:rsidR="007A7380" w:rsidRPr="0071782F">
        <w:rPr>
          <w:lang w:val="fr-CH"/>
        </w:rPr>
        <w:t>N</w:t>
      </w:r>
      <w:r w:rsidR="003B48A4" w:rsidRPr="0071782F">
        <w:rPr>
          <w:lang w:val="fr-CH"/>
        </w:rPr>
        <w:t>ombre</w:t>
      </w:r>
      <w:r w:rsidRPr="0071782F">
        <w:rPr>
          <w:lang w:val="fr-CH"/>
        </w:rPr>
        <w:t xml:space="preserve"> </w:t>
      </w:r>
      <w:r w:rsidR="007A7380" w:rsidRPr="0071782F">
        <w:rPr>
          <w:lang w:val="fr-CH"/>
        </w:rPr>
        <w:t xml:space="preserve">des centres publics et privés de prise en charge </w:t>
      </w:r>
      <w:r w:rsidR="007F37CE" w:rsidRPr="0071782F">
        <w:rPr>
          <w:lang w:val="fr-CH"/>
        </w:rPr>
        <w:t>des personnes</w:t>
      </w:r>
      <w:r w:rsidR="007A7380" w:rsidRPr="0071782F">
        <w:rPr>
          <w:lang w:val="fr-CH"/>
        </w:rPr>
        <w:t xml:space="preserve"> âgées en</w:t>
      </w:r>
      <w:r w:rsidRPr="0071782F">
        <w:rPr>
          <w:lang w:val="fr-CH"/>
        </w:rPr>
        <w:t xml:space="preserve"> Iran</w:t>
      </w:r>
    </w:p>
    <w:p w:rsidR="00E5019F" w:rsidRPr="0071782F" w:rsidRDefault="00E5019F" w:rsidP="00E5019F">
      <w:pPr>
        <w:pStyle w:val="SingleTxtG"/>
        <w:rPr>
          <w:lang w:val="fr-CH"/>
        </w:rPr>
      </w:pPr>
      <w:r w:rsidRPr="0071782F">
        <w:rPr>
          <w:lang w:val="fr-CH"/>
        </w:rPr>
        <w:t>315.</w:t>
      </w:r>
      <w:r w:rsidRPr="0071782F">
        <w:rPr>
          <w:lang w:val="fr-CH"/>
        </w:rPr>
        <w:tab/>
      </w:r>
      <w:r w:rsidR="007A7380" w:rsidRPr="0071782F">
        <w:rPr>
          <w:lang w:val="fr-CH"/>
        </w:rPr>
        <w:t>Il convient notamment de signaler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315.1.</w:t>
      </w:r>
      <w:r w:rsidRPr="0071782F">
        <w:rPr>
          <w:lang w:val="fr-CH"/>
        </w:rPr>
        <w:tab/>
      </w:r>
      <w:r w:rsidR="00E92AA0" w:rsidRPr="0071782F">
        <w:rPr>
          <w:lang w:val="fr-CH"/>
        </w:rPr>
        <w:t xml:space="preserve">Le </w:t>
      </w:r>
      <w:r w:rsidR="003B48A4" w:rsidRPr="0071782F">
        <w:rPr>
          <w:lang w:val="fr-CH"/>
        </w:rPr>
        <w:t>nombre</w:t>
      </w:r>
      <w:r w:rsidR="00E92AA0" w:rsidRPr="0071782F">
        <w:rPr>
          <w:lang w:val="fr-CH"/>
        </w:rPr>
        <w:t xml:space="preserve"> de centre</w:t>
      </w:r>
      <w:r w:rsidRPr="0071782F">
        <w:rPr>
          <w:lang w:val="fr-CH"/>
        </w:rPr>
        <w:t>s priv</w:t>
      </w:r>
      <w:r w:rsidR="00E92AA0" w:rsidRPr="0071782F">
        <w:rPr>
          <w:lang w:val="fr-CH"/>
        </w:rPr>
        <w:t>és et de centres ouverts 24</w:t>
      </w:r>
      <w:r w:rsidR="00BF435F" w:rsidRPr="0071782F">
        <w:rPr>
          <w:lang w:val="fr-CH"/>
        </w:rPr>
        <w:t> heures</w:t>
      </w:r>
      <w:r w:rsidR="00E92AA0" w:rsidRPr="0071782F">
        <w:rPr>
          <w:lang w:val="fr-CH"/>
        </w:rPr>
        <w:t xml:space="preserve"> sur 24 de prise en charge </w:t>
      </w:r>
      <w:r w:rsidR="007F37CE" w:rsidRPr="0071782F">
        <w:rPr>
          <w:lang w:val="fr-CH"/>
        </w:rPr>
        <w:t>des personnes</w:t>
      </w:r>
      <w:r w:rsidR="00E92AA0" w:rsidRPr="0071782F">
        <w:rPr>
          <w:lang w:val="fr-CH"/>
        </w:rPr>
        <w:t xml:space="preserve"> âgées qui sont gérés par un conseil d’administration est de </w:t>
      </w:r>
      <w:r w:rsidRPr="0071782F">
        <w:rPr>
          <w:lang w:val="fr-CH"/>
        </w:rPr>
        <w:t xml:space="preserve">65 </w:t>
      </w:r>
      <w:r w:rsidR="00E92AA0" w:rsidRPr="0071782F">
        <w:rPr>
          <w:lang w:val="fr-CH"/>
        </w:rPr>
        <w:t>et</w:t>
      </w:r>
      <w:r w:rsidRPr="0071782F">
        <w:rPr>
          <w:lang w:val="fr-CH"/>
        </w:rPr>
        <w:t xml:space="preserve"> 38</w:t>
      </w:r>
      <w:r w:rsidR="00E92AA0" w:rsidRPr="0071782F">
        <w:rPr>
          <w:lang w:val="fr-CH"/>
        </w:rPr>
        <w:t>, respectivement</w:t>
      </w:r>
      <w:r w:rsidRPr="0071782F">
        <w:rPr>
          <w:lang w:val="fr-CH"/>
        </w:rPr>
        <w:t>.</w:t>
      </w:r>
    </w:p>
    <w:p w:rsidR="00E5019F" w:rsidRPr="0071782F" w:rsidRDefault="00E5019F" w:rsidP="00E5019F">
      <w:pPr>
        <w:pStyle w:val="SingleTxtG"/>
        <w:ind w:left="1701"/>
        <w:rPr>
          <w:lang w:val="fr-CH"/>
        </w:rPr>
      </w:pPr>
      <w:r w:rsidRPr="0071782F">
        <w:rPr>
          <w:lang w:val="fr-CH"/>
        </w:rPr>
        <w:t>315.2.</w:t>
      </w:r>
      <w:r w:rsidRPr="0071782F">
        <w:rPr>
          <w:lang w:val="fr-CH"/>
        </w:rPr>
        <w:tab/>
      </w:r>
      <w:r w:rsidR="00E92AA0" w:rsidRPr="0071782F">
        <w:rPr>
          <w:lang w:val="fr-CH"/>
        </w:rPr>
        <w:t>Par ailleurs, il existe trois centres privés et trois centres de jour pour</w:t>
      </w:r>
      <w:r w:rsidR="009D038B">
        <w:rPr>
          <w:lang w:val="fr-CH"/>
        </w:rPr>
        <w:t xml:space="preserve"> </w:t>
      </w:r>
      <w:r w:rsidR="00097CDB" w:rsidRPr="0071782F">
        <w:rPr>
          <w:lang w:val="fr-CH"/>
        </w:rPr>
        <w:t>personnes</w:t>
      </w:r>
      <w:r w:rsidR="00E92AA0" w:rsidRPr="0071782F">
        <w:rPr>
          <w:lang w:val="fr-CH"/>
        </w:rPr>
        <w:t xml:space="preserve"> âgées gérés par un conseil d’administration</w:t>
      </w:r>
      <w:r w:rsidRPr="0071782F">
        <w:rPr>
          <w:lang w:val="fr-CH"/>
        </w:rPr>
        <w:t>.</w:t>
      </w:r>
    </w:p>
    <w:p w:rsidR="00E5019F" w:rsidRPr="0071782F" w:rsidRDefault="00E5019F" w:rsidP="00E5019F">
      <w:pPr>
        <w:pStyle w:val="SingleTxtG"/>
        <w:ind w:left="1701"/>
        <w:rPr>
          <w:lang w:val="fr-CH"/>
        </w:rPr>
      </w:pPr>
      <w:r w:rsidRPr="0071782F">
        <w:rPr>
          <w:lang w:val="fr-CH"/>
        </w:rPr>
        <w:t>315.3.</w:t>
      </w:r>
      <w:r w:rsidRPr="0071782F">
        <w:rPr>
          <w:lang w:val="fr-CH"/>
        </w:rPr>
        <w:tab/>
      </w:r>
      <w:r w:rsidR="00E92AA0" w:rsidRPr="0071782F">
        <w:rPr>
          <w:lang w:val="fr-CH"/>
        </w:rPr>
        <w:t xml:space="preserve">Le </w:t>
      </w:r>
      <w:r w:rsidR="003B48A4" w:rsidRPr="0071782F">
        <w:rPr>
          <w:lang w:val="fr-CH"/>
        </w:rPr>
        <w:t>nombre</w:t>
      </w:r>
      <w:r w:rsidRPr="0071782F">
        <w:rPr>
          <w:lang w:val="fr-CH"/>
        </w:rPr>
        <w:t xml:space="preserve"> </w:t>
      </w:r>
      <w:r w:rsidR="00D82C96" w:rsidRPr="0071782F">
        <w:rPr>
          <w:lang w:val="fr-CH"/>
        </w:rPr>
        <w:t>de personnes</w:t>
      </w:r>
      <w:r w:rsidR="00E92AA0" w:rsidRPr="0071782F">
        <w:rPr>
          <w:lang w:val="fr-CH"/>
        </w:rPr>
        <w:t xml:space="preserve"> âgées prises en charge dans des centres privés et des centres ouverts 24</w:t>
      </w:r>
      <w:r w:rsidR="00BF435F" w:rsidRPr="0071782F">
        <w:rPr>
          <w:lang w:val="fr-CH"/>
        </w:rPr>
        <w:t> heures</w:t>
      </w:r>
      <w:r w:rsidR="00E92AA0" w:rsidRPr="0071782F">
        <w:rPr>
          <w:lang w:val="fr-CH"/>
        </w:rPr>
        <w:t xml:space="preserve"> sur 24 est de </w:t>
      </w:r>
      <w:r w:rsidRPr="0071782F">
        <w:rPr>
          <w:lang w:val="fr-CH"/>
        </w:rPr>
        <w:t>3</w:t>
      </w:r>
      <w:r w:rsidR="00860D09" w:rsidRPr="0071782F">
        <w:rPr>
          <w:lang w:val="fr-CH"/>
        </w:rPr>
        <w:t> </w:t>
      </w:r>
      <w:r w:rsidRPr="0071782F">
        <w:rPr>
          <w:lang w:val="fr-CH"/>
        </w:rPr>
        <w:t xml:space="preserve">038 </w:t>
      </w:r>
      <w:r w:rsidR="00E92AA0" w:rsidRPr="0071782F">
        <w:rPr>
          <w:lang w:val="fr-CH"/>
        </w:rPr>
        <w:t>et</w:t>
      </w:r>
      <w:r w:rsidRPr="0071782F">
        <w:rPr>
          <w:lang w:val="fr-CH"/>
        </w:rPr>
        <w:t xml:space="preserve"> 4</w:t>
      </w:r>
      <w:r w:rsidR="00E92AA0" w:rsidRPr="0071782F">
        <w:rPr>
          <w:lang w:val="fr-CH"/>
        </w:rPr>
        <w:t> </w:t>
      </w:r>
      <w:r w:rsidRPr="0071782F">
        <w:rPr>
          <w:lang w:val="fr-CH"/>
        </w:rPr>
        <w:t>445</w:t>
      </w:r>
      <w:r w:rsidR="00E92AA0" w:rsidRPr="0071782F">
        <w:rPr>
          <w:lang w:val="fr-CH"/>
        </w:rPr>
        <w:t>, respectivement</w:t>
      </w:r>
      <w:r w:rsidRPr="0071782F">
        <w:rPr>
          <w:lang w:val="fr-CH"/>
        </w:rPr>
        <w:t xml:space="preserve">, </w:t>
      </w:r>
      <w:r w:rsidR="00E92AA0" w:rsidRPr="0071782F">
        <w:rPr>
          <w:lang w:val="fr-CH"/>
        </w:rPr>
        <w:t xml:space="preserve">soit </w:t>
      </w:r>
      <w:r w:rsidRPr="0071782F">
        <w:rPr>
          <w:lang w:val="fr-CH"/>
        </w:rPr>
        <w:t>7</w:t>
      </w:r>
      <w:r w:rsidR="00860D09" w:rsidRPr="0071782F">
        <w:rPr>
          <w:lang w:val="fr-CH"/>
        </w:rPr>
        <w:t> </w:t>
      </w:r>
      <w:r w:rsidRPr="0071782F">
        <w:rPr>
          <w:lang w:val="fr-CH"/>
        </w:rPr>
        <w:t>500</w:t>
      </w:r>
      <w:r w:rsidR="00097CDB" w:rsidRPr="0071782F">
        <w:rPr>
          <w:lang w:val="fr-CH"/>
        </w:rPr>
        <w:t> personnes</w:t>
      </w:r>
      <w:r w:rsidR="00E92AA0" w:rsidRPr="0071782F">
        <w:rPr>
          <w:lang w:val="fr-CH"/>
        </w:rPr>
        <w:t xml:space="preserve"> au total</w:t>
      </w:r>
      <w:r w:rsidRPr="0071782F">
        <w:rPr>
          <w:lang w:val="fr-CH"/>
        </w:rPr>
        <w:t>.</w:t>
      </w:r>
    </w:p>
    <w:p w:rsidR="00E5019F" w:rsidRPr="0071782F" w:rsidRDefault="00E5019F" w:rsidP="00E5019F">
      <w:pPr>
        <w:pStyle w:val="SingleTxtG"/>
        <w:ind w:left="1701"/>
        <w:rPr>
          <w:lang w:val="fr-CH"/>
        </w:rPr>
      </w:pPr>
      <w:r w:rsidRPr="0071782F">
        <w:rPr>
          <w:lang w:val="fr-CH"/>
        </w:rPr>
        <w:t>315.4.</w:t>
      </w:r>
      <w:r w:rsidRPr="0071782F">
        <w:rPr>
          <w:lang w:val="fr-CH"/>
        </w:rPr>
        <w:tab/>
      </w:r>
      <w:r w:rsidR="00E92AA0" w:rsidRPr="0071782F">
        <w:rPr>
          <w:lang w:val="fr-CH"/>
        </w:rPr>
        <w:t xml:space="preserve">Le </w:t>
      </w:r>
      <w:r w:rsidR="003B48A4" w:rsidRPr="0071782F">
        <w:rPr>
          <w:lang w:val="fr-CH"/>
        </w:rPr>
        <w:t>nombre</w:t>
      </w:r>
      <w:r w:rsidRPr="0071782F">
        <w:rPr>
          <w:lang w:val="fr-CH"/>
        </w:rPr>
        <w:t xml:space="preserve"> </w:t>
      </w:r>
      <w:r w:rsidR="00E92AA0" w:rsidRPr="0071782F">
        <w:rPr>
          <w:lang w:val="fr-CH"/>
        </w:rPr>
        <w:t xml:space="preserve">de centres publics de prise en charge </w:t>
      </w:r>
      <w:r w:rsidR="007F37CE" w:rsidRPr="0071782F">
        <w:rPr>
          <w:lang w:val="fr-CH"/>
        </w:rPr>
        <w:t>des personnes</w:t>
      </w:r>
      <w:r w:rsidR="009D038B">
        <w:rPr>
          <w:lang w:val="fr-CH"/>
        </w:rPr>
        <w:t xml:space="preserve"> âgées est de </w:t>
      </w:r>
      <w:r w:rsidR="00E92AA0" w:rsidRPr="0071782F">
        <w:rPr>
          <w:lang w:val="fr-CH"/>
        </w:rPr>
        <w:t>22; quelque</w:t>
      </w:r>
      <w:r w:rsidRPr="0071782F">
        <w:rPr>
          <w:lang w:val="fr-CH"/>
        </w:rPr>
        <w:t xml:space="preserve"> 2</w:t>
      </w:r>
      <w:r w:rsidR="00860D09" w:rsidRPr="0071782F">
        <w:rPr>
          <w:lang w:val="fr-CH"/>
        </w:rPr>
        <w:t> </w:t>
      </w:r>
      <w:r w:rsidRPr="0071782F">
        <w:rPr>
          <w:lang w:val="fr-CH"/>
        </w:rPr>
        <w:t>200</w:t>
      </w:r>
      <w:r w:rsidR="00097CDB" w:rsidRPr="0071782F">
        <w:rPr>
          <w:lang w:val="fr-CH"/>
        </w:rPr>
        <w:t> personnes</w:t>
      </w:r>
      <w:r w:rsidR="00E92AA0" w:rsidRPr="0071782F">
        <w:rPr>
          <w:lang w:val="fr-CH"/>
        </w:rPr>
        <w:t xml:space="preserve"> y reçoivent des soins</w:t>
      </w:r>
      <w:r w:rsidRPr="0071782F">
        <w:rPr>
          <w:lang w:val="fr-CH"/>
        </w:rPr>
        <w:t>.</w:t>
      </w:r>
    </w:p>
    <w:p w:rsidR="00E5019F" w:rsidRPr="0071782F" w:rsidRDefault="00E5019F" w:rsidP="00E5019F">
      <w:pPr>
        <w:pStyle w:val="H23G"/>
        <w:rPr>
          <w:lang w:val="fr-CH"/>
        </w:rPr>
      </w:pPr>
      <w:r w:rsidRPr="0071782F">
        <w:rPr>
          <w:lang w:val="fr-CH"/>
        </w:rPr>
        <w:tab/>
      </w:r>
      <w:r w:rsidRPr="0071782F">
        <w:rPr>
          <w:lang w:val="fr-CH"/>
        </w:rPr>
        <w:tab/>
        <w:t>Sub</w:t>
      </w:r>
      <w:r w:rsidR="00E92AA0" w:rsidRPr="0071782F">
        <w:rPr>
          <w:lang w:val="fr-CH"/>
        </w:rPr>
        <w:t xml:space="preserve">ventions publiques allouées par l’État au titre des services de prise en charge </w:t>
      </w:r>
      <w:r w:rsidR="007F37CE" w:rsidRPr="0071782F">
        <w:rPr>
          <w:lang w:val="fr-CH"/>
        </w:rPr>
        <w:t>des personnes</w:t>
      </w:r>
      <w:r w:rsidR="00E92AA0" w:rsidRPr="0071782F">
        <w:rPr>
          <w:lang w:val="fr-CH"/>
        </w:rPr>
        <w:t xml:space="preserve"> âgées </w:t>
      </w:r>
    </w:p>
    <w:p w:rsidR="00E5019F" w:rsidRPr="0071782F" w:rsidRDefault="00E5019F" w:rsidP="00E5019F">
      <w:pPr>
        <w:pStyle w:val="SingleTxtG"/>
        <w:rPr>
          <w:lang w:val="fr-CH"/>
        </w:rPr>
      </w:pPr>
      <w:r w:rsidRPr="0071782F">
        <w:rPr>
          <w:lang w:val="fr-CH"/>
        </w:rPr>
        <w:t>316.</w:t>
      </w:r>
      <w:r w:rsidRPr="0071782F">
        <w:rPr>
          <w:lang w:val="fr-CH"/>
        </w:rPr>
        <w:tab/>
      </w:r>
      <w:r w:rsidR="00E92AA0" w:rsidRPr="0071782F">
        <w:rPr>
          <w:lang w:val="fr-CH"/>
        </w:rPr>
        <w:t>Il s’agit des subventions suivantes</w:t>
      </w:r>
      <w:r w:rsidR="008F7D33" w:rsidRPr="0071782F">
        <w:rPr>
          <w:lang w:val="fr-CH"/>
        </w:rPr>
        <w:t>:</w:t>
      </w:r>
    </w:p>
    <w:p w:rsidR="00E5019F" w:rsidRPr="0071782F" w:rsidRDefault="00E5019F" w:rsidP="00E5019F">
      <w:pPr>
        <w:pStyle w:val="SingleTxtG"/>
        <w:ind w:left="1701"/>
        <w:rPr>
          <w:lang w:val="fr-CH"/>
        </w:rPr>
      </w:pPr>
      <w:r w:rsidRPr="0071782F">
        <w:rPr>
          <w:lang w:val="fr-CH"/>
        </w:rPr>
        <w:t>316.1.</w:t>
      </w:r>
      <w:r w:rsidRPr="0071782F">
        <w:rPr>
          <w:lang w:val="fr-CH"/>
        </w:rPr>
        <w:tab/>
      </w:r>
      <w:r w:rsidR="00E92AA0" w:rsidRPr="0071782F">
        <w:rPr>
          <w:lang w:val="fr-CH"/>
        </w:rPr>
        <w:t>Le montant de la subvention allouée pour chaque personne âgée prise en charge dans les centres ouverts 24</w:t>
      </w:r>
      <w:r w:rsidR="00BF435F" w:rsidRPr="0071782F">
        <w:rPr>
          <w:lang w:val="fr-CH"/>
        </w:rPr>
        <w:t> heures</w:t>
      </w:r>
      <w:r w:rsidR="00E92AA0" w:rsidRPr="0071782F">
        <w:rPr>
          <w:lang w:val="fr-CH"/>
        </w:rPr>
        <w:t xml:space="preserve"> sur 24 est de 520</w:t>
      </w:r>
      <w:r w:rsidR="00E86031">
        <w:rPr>
          <w:lang w:val="fr-CH"/>
        </w:rPr>
        <w:t> </w:t>
      </w:r>
      <w:r w:rsidRPr="0071782F">
        <w:rPr>
          <w:lang w:val="fr-CH"/>
        </w:rPr>
        <w:t>000</w:t>
      </w:r>
      <w:r w:rsidR="00860D09" w:rsidRPr="0071782F">
        <w:rPr>
          <w:lang w:val="fr-CH"/>
        </w:rPr>
        <w:t> rials</w:t>
      </w:r>
      <w:r w:rsidRPr="0071782F">
        <w:rPr>
          <w:lang w:val="fr-CH"/>
        </w:rPr>
        <w:t xml:space="preserve"> </w:t>
      </w:r>
      <w:r w:rsidR="00E92AA0" w:rsidRPr="0071782F">
        <w:rPr>
          <w:lang w:val="fr-CH"/>
        </w:rPr>
        <w:t xml:space="preserve">à Téhéran et de </w:t>
      </w:r>
      <w:r w:rsidRPr="0071782F">
        <w:rPr>
          <w:lang w:val="fr-CH"/>
        </w:rPr>
        <w:t>500</w:t>
      </w:r>
      <w:r w:rsidR="00E92AA0" w:rsidRPr="0071782F">
        <w:rPr>
          <w:lang w:val="fr-CH"/>
        </w:rPr>
        <w:t xml:space="preserve"> </w:t>
      </w:r>
      <w:r w:rsidRPr="0071782F">
        <w:rPr>
          <w:lang w:val="fr-CH"/>
        </w:rPr>
        <w:t>000</w:t>
      </w:r>
      <w:r w:rsidR="00860D09" w:rsidRPr="0071782F">
        <w:rPr>
          <w:lang w:val="fr-CH"/>
        </w:rPr>
        <w:t> rials</w:t>
      </w:r>
      <w:r w:rsidRPr="0071782F">
        <w:rPr>
          <w:lang w:val="fr-CH"/>
        </w:rPr>
        <w:t xml:space="preserve"> </w:t>
      </w:r>
      <w:r w:rsidR="00E92AA0" w:rsidRPr="0071782F">
        <w:rPr>
          <w:lang w:val="fr-CH"/>
        </w:rPr>
        <w:t>dans les autres villes</w:t>
      </w:r>
      <w:r w:rsidRPr="0071782F">
        <w:rPr>
          <w:lang w:val="fr-CH"/>
        </w:rPr>
        <w:t xml:space="preserve">. </w:t>
      </w:r>
      <w:r w:rsidR="00E92AA0" w:rsidRPr="0071782F">
        <w:rPr>
          <w:lang w:val="fr-CH"/>
        </w:rPr>
        <w:t xml:space="preserve">Le montant de la subvention allouée pour chaque personne âgée prise en charge dans les centres de jour (privés) s’élève à </w:t>
      </w:r>
      <w:r w:rsidRPr="0071782F">
        <w:rPr>
          <w:lang w:val="fr-CH"/>
        </w:rPr>
        <w:t>280</w:t>
      </w:r>
      <w:r w:rsidR="00860D09" w:rsidRPr="0071782F">
        <w:rPr>
          <w:lang w:val="fr-CH"/>
        </w:rPr>
        <w:t> </w:t>
      </w:r>
      <w:r w:rsidRPr="0071782F">
        <w:rPr>
          <w:lang w:val="fr-CH"/>
        </w:rPr>
        <w:t>000</w:t>
      </w:r>
      <w:r w:rsidR="00860D09" w:rsidRPr="0071782F">
        <w:rPr>
          <w:lang w:val="fr-CH"/>
        </w:rPr>
        <w:t> rials</w:t>
      </w:r>
      <w:r w:rsidRPr="0071782F">
        <w:rPr>
          <w:lang w:val="fr-CH"/>
        </w:rPr>
        <w:t xml:space="preserve"> </w:t>
      </w:r>
      <w:r w:rsidR="00E92AA0" w:rsidRPr="0071782F">
        <w:rPr>
          <w:lang w:val="fr-CH"/>
        </w:rPr>
        <w:t>à</w:t>
      </w:r>
      <w:r w:rsidRPr="0071782F">
        <w:rPr>
          <w:lang w:val="fr-CH"/>
        </w:rPr>
        <w:t xml:space="preserve"> T</w:t>
      </w:r>
      <w:r w:rsidR="00E92AA0" w:rsidRPr="0071782F">
        <w:rPr>
          <w:lang w:val="fr-CH"/>
        </w:rPr>
        <w:t>é</w:t>
      </w:r>
      <w:r w:rsidRPr="0071782F">
        <w:rPr>
          <w:lang w:val="fr-CH"/>
        </w:rPr>
        <w:t>h</w:t>
      </w:r>
      <w:r w:rsidR="00E92AA0" w:rsidRPr="0071782F">
        <w:rPr>
          <w:lang w:val="fr-CH"/>
        </w:rPr>
        <w:t>é</w:t>
      </w:r>
      <w:r w:rsidRPr="0071782F">
        <w:rPr>
          <w:lang w:val="fr-CH"/>
        </w:rPr>
        <w:t xml:space="preserve">ran </w:t>
      </w:r>
      <w:r w:rsidR="00E92AA0" w:rsidRPr="0071782F">
        <w:rPr>
          <w:lang w:val="fr-CH"/>
        </w:rPr>
        <w:t>et à 260</w:t>
      </w:r>
      <w:r w:rsidR="00E86031">
        <w:rPr>
          <w:lang w:val="fr-CH"/>
        </w:rPr>
        <w:t> </w:t>
      </w:r>
      <w:r w:rsidRPr="0071782F">
        <w:rPr>
          <w:lang w:val="fr-CH"/>
        </w:rPr>
        <w:t>000</w:t>
      </w:r>
      <w:r w:rsidR="00860D09" w:rsidRPr="0071782F">
        <w:rPr>
          <w:lang w:val="fr-CH"/>
        </w:rPr>
        <w:t> rials</w:t>
      </w:r>
      <w:r w:rsidRPr="0071782F">
        <w:rPr>
          <w:lang w:val="fr-CH"/>
        </w:rPr>
        <w:t xml:space="preserve"> </w:t>
      </w:r>
      <w:r w:rsidR="00E92AA0" w:rsidRPr="0071782F">
        <w:rPr>
          <w:lang w:val="fr-CH"/>
        </w:rPr>
        <w:t>dans les autres villes</w:t>
      </w:r>
      <w:r w:rsidRPr="0071782F">
        <w:rPr>
          <w:lang w:val="fr-CH"/>
        </w:rPr>
        <w:t>.</w:t>
      </w:r>
    </w:p>
    <w:p w:rsidR="00E5019F" w:rsidRPr="0071782F" w:rsidRDefault="00E5019F" w:rsidP="00E5019F">
      <w:pPr>
        <w:pStyle w:val="SingleTxtG"/>
        <w:ind w:left="1701"/>
        <w:rPr>
          <w:lang w:val="fr-CH"/>
        </w:rPr>
      </w:pPr>
      <w:r w:rsidRPr="0071782F">
        <w:rPr>
          <w:lang w:val="fr-CH"/>
        </w:rPr>
        <w:t>316.2.</w:t>
      </w:r>
      <w:r w:rsidRPr="0071782F">
        <w:rPr>
          <w:lang w:val="fr-CH"/>
        </w:rPr>
        <w:tab/>
      </w:r>
      <w:r w:rsidR="00E92AA0" w:rsidRPr="0071782F">
        <w:rPr>
          <w:lang w:val="fr-CH"/>
        </w:rPr>
        <w:t xml:space="preserve">Le montant de la subvention allouée pour chaque personne âgée prise en charge dans les centres publics oscille entre </w:t>
      </w:r>
      <w:r w:rsidRPr="0071782F">
        <w:rPr>
          <w:lang w:val="fr-CH"/>
        </w:rPr>
        <w:t>1</w:t>
      </w:r>
      <w:r w:rsidR="00E92AA0" w:rsidRPr="0071782F">
        <w:rPr>
          <w:lang w:val="fr-CH"/>
        </w:rPr>
        <w:t>,</w:t>
      </w:r>
      <w:r w:rsidRPr="0071782F">
        <w:rPr>
          <w:lang w:val="fr-CH"/>
        </w:rPr>
        <w:t xml:space="preserve">2 million </w:t>
      </w:r>
      <w:r w:rsidR="003B1403" w:rsidRPr="0071782F">
        <w:rPr>
          <w:lang w:val="fr-CH"/>
        </w:rPr>
        <w:t>de rials</w:t>
      </w:r>
      <w:r w:rsidRPr="0071782F">
        <w:rPr>
          <w:lang w:val="fr-CH"/>
        </w:rPr>
        <w:t xml:space="preserve"> </w:t>
      </w:r>
      <w:r w:rsidR="00E92AA0" w:rsidRPr="0071782F">
        <w:rPr>
          <w:lang w:val="fr-CH"/>
        </w:rPr>
        <w:t>et</w:t>
      </w:r>
      <w:r w:rsidRPr="0071782F">
        <w:rPr>
          <w:lang w:val="fr-CH"/>
        </w:rPr>
        <w:t xml:space="preserve"> 1</w:t>
      </w:r>
      <w:r w:rsidR="00E92AA0" w:rsidRPr="0071782F">
        <w:rPr>
          <w:lang w:val="fr-CH"/>
        </w:rPr>
        <w:t>,</w:t>
      </w:r>
      <w:r w:rsidRPr="0071782F">
        <w:rPr>
          <w:lang w:val="fr-CH"/>
        </w:rPr>
        <w:t xml:space="preserve">5 million. </w:t>
      </w:r>
      <w:r w:rsidR="00E92AA0" w:rsidRPr="0071782F">
        <w:rPr>
          <w:lang w:val="fr-CH"/>
        </w:rPr>
        <w:t xml:space="preserve">Par ailleurs, quelque </w:t>
      </w:r>
      <w:r w:rsidRPr="0071782F">
        <w:rPr>
          <w:lang w:val="fr-CH"/>
        </w:rPr>
        <w:t>6</w:t>
      </w:r>
      <w:r w:rsidR="00860D09" w:rsidRPr="0071782F">
        <w:rPr>
          <w:lang w:val="fr-CH"/>
        </w:rPr>
        <w:t> </w:t>
      </w:r>
      <w:r w:rsidRPr="0071782F">
        <w:rPr>
          <w:lang w:val="fr-CH"/>
        </w:rPr>
        <w:t>000</w:t>
      </w:r>
      <w:r w:rsidR="00097CDB" w:rsidRPr="0071782F">
        <w:rPr>
          <w:lang w:val="fr-CH"/>
        </w:rPr>
        <w:t> personnes</w:t>
      </w:r>
      <w:r w:rsidR="00E92AA0" w:rsidRPr="0071782F">
        <w:rPr>
          <w:lang w:val="fr-CH"/>
        </w:rPr>
        <w:t xml:space="preserve"> âgées recevant des soins à domicile touchent une allocation</w:t>
      </w:r>
      <w:r w:rsidRPr="0071782F">
        <w:rPr>
          <w:lang w:val="fr-CH"/>
        </w:rPr>
        <w:t xml:space="preserve">. </w:t>
      </w:r>
      <w:r w:rsidR="00E92AA0" w:rsidRPr="0071782F">
        <w:rPr>
          <w:lang w:val="fr-CH"/>
        </w:rPr>
        <w:t xml:space="preserve">Les subventions octroyées aux centres publics et privés de prise en charge </w:t>
      </w:r>
      <w:r w:rsidR="007F37CE" w:rsidRPr="0071782F">
        <w:rPr>
          <w:lang w:val="fr-CH"/>
        </w:rPr>
        <w:t>des personnes</w:t>
      </w:r>
      <w:r w:rsidR="00E92AA0" w:rsidRPr="0071782F">
        <w:rPr>
          <w:lang w:val="fr-CH"/>
        </w:rPr>
        <w:t xml:space="preserve"> âgées s’élèvent au total à plus de </w:t>
      </w:r>
      <w:r w:rsidRPr="0071782F">
        <w:rPr>
          <w:lang w:val="fr-CH"/>
        </w:rPr>
        <w:t>120</w:t>
      </w:r>
      <w:r w:rsidR="008553D9" w:rsidRPr="0071782F">
        <w:rPr>
          <w:lang w:val="fr-CH"/>
        </w:rPr>
        <w:t> milliard</w:t>
      </w:r>
      <w:r w:rsidR="00097CDB" w:rsidRPr="0071782F">
        <w:rPr>
          <w:lang w:val="fr-CH"/>
        </w:rPr>
        <w:t>s</w:t>
      </w:r>
      <w:r w:rsidR="00E92AA0" w:rsidRPr="0071782F">
        <w:rPr>
          <w:lang w:val="fr-CH"/>
        </w:rPr>
        <w:t xml:space="preserve"> </w:t>
      </w:r>
      <w:r w:rsidR="003B1403" w:rsidRPr="0071782F">
        <w:rPr>
          <w:lang w:val="fr-CH"/>
        </w:rPr>
        <w:t>de rials</w:t>
      </w:r>
      <w:r w:rsidRPr="0071782F">
        <w:rPr>
          <w:lang w:val="fr-CH"/>
        </w:rPr>
        <w:t xml:space="preserve"> </w:t>
      </w:r>
      <w:r w:rsidR="00E92AA0" w:rsidRPr="0071782F">
        <w:rPr>
          <w:lang w:val="fr-CH"/>
        </w:rPr>
        <w:t>par an</w:t>
      </w:r>
      <w:r w:rsidRPr="0071782F">
        <w:rPr>
          <w:lang w:val="fr-CH"/>
        </w:rPr>
        <w:t>.</w:t>
      </w:r>
    </w:p>
    <w:p w:rsidR="00E5019F" w:rsidRPr="0071782F" w:rsidRDefault="00E5019F" w:rsidP="00E5019F">
      <w:pPr>
        <w:pStyle w:val="H23G"/>
        <w:rPr>
          <w:lang w:val="fr-CH"/>
        </w:rPr>
      </w:pPr>
      <w:r w:rsidRPr="0071782F">
        <w:rPr>
          <w:lang w:val="fr-CH"/>
        </w:rPr>
        <w:tab/>
      </w:r>
      <w:r w:rsidRPr="0071782F">
        <w:rPr>
          <w:lang w:val="fr-CH"/>
        </w:rPr>
        <w:tab/>
        <w:t xml:space="preserve">Mesures </w:t>
      </w:r>
      <w:r w:rsidR="00E92AA0" w:rsidRPr="0071782F">
        <w:rPr>
          <w:lang w:val="fr-CH"/>
        </w:rPr>
        <w:t xml:space="preserve">adoptées pour appuyer </w:t>
      </w:r>
      <w:r w:rsidR="00A233C2" w:rsidRPr="0071782F">
        <w:rPr>
          <w:lang w:val="fr-CH"/>
        </w:rPr>
        <w:t>les personnes</w:t>
      </w:r>
      <w:r w:rsidR="00E92AA0" w:rsidRPr="0071782F">
        <w:rPr>
          <w:lang w:val="fr-CH"/>
        </w:rPr>
        <w:t xml:space="preserve"> âgées </w:t>
      </w:r>
    </w:p>
    <w:p w:rsidR="00E5019F" w:rsidRPr="0071782F" w:rsidRDefault="00E5019F" w:rsidP="00E5019F">
      <w:pPr>
        <w:pStyle w:val="SingleTxtG"/>
        <w:rPr>
          <w:lang w:val="fr-CH"/>
        </w:rPr>
      </w:pPr>
      <w:r w:rsidRPr="0071782F">
        <w:rPr>
          <w:lang w:val="fr-CH"/>
        </w:rPr>
        <w:t>317.</w:t>
      </w:r>
      <w:r w:rsidRPr="0071782F">
        <w:rPr>
          <w:lang w:val="fr-CH"/>
        </w:rPr>
        <w:tab/>
      </w:r>
      <w:r w:rsidR="00E92AA0" w:rsidRPr="0071782F">
        <w:rPr>
          <w:lang w:val="fr-CH"/>
        </w:rPr>
        <w:t>Il s’agit notamment des mesures suivantes</w:t>
      </w:r>
      <w:r w:rsidR="008F7D33" w:rsidRPr="0071782F">
        <w:rPr>
          <w:lang w:val="fr-CH"/>
        </w:rPr>
        <w:t>:</w:t>
      </w:r>
    </w:p>
    <w:p w:rsidR="00E5019F" w:rsidRPr="0071782F" w:rsidRDefault="00E5019F" w:rsidP="00E5019F">
      <w:pPr>
        <w:pStyle w:val="SingleTxtG"/>
        <w:ind w:left="1701"/>
        <w:rPr>
          <w:lang w:val="fr-CH"/>
        </w:rPr>
      </w:pPr>
      <w:r w:rsidRPr="0071782F">
        <w:rPr>
          <w:lang w:val="fr-CH"/>
        </w:rPr>
        <w:t>317.1.</w:t>
      </w:r>
      <w:r w:rsidRPr="0071782F">
        <w:rPr>
          <w:lang w:val="fr-CH"/>
        </w:rPr>
        <w:tab/>
      </w:r>
      <w:r w:rsidR="00902B8F" w:rsidRPr="0071782F">
        <w:rPr>
          <w:lang w:val="fr-CH"/>
        </w:rPr>
        <w:t xml:space="preserve">Création du Bureau de santé pour </w:t>
      </w:r>
      <w:r w:rsidR="00A233C2" w:rsidRPr="0071782F">
        <w:rPr>
          <w:lang w:val="fr-CH"/>
        </w:rPr>
        <w:t>les personnes</w:t>
      </w:r>
      <w:r w:rsidR="00902B8F" w:rsidRPr="0071782F">
        <w:rPr>
          <w:lang w:val="fr-CH"/>
        </w:rPr>
        <w:t xml:space="preserve"> âgées au sein du Ministère de la santé et de la formation médicale</w:t>
      </w:r>
      <w:r w:rsidRPr="0071782F">
        <w:rPr>
          <w:lang w:val="fr-CH"/>
        </w:rPr>
        <w:t>.</w:t>
      </w:r>
    </w:p>
    <w:p w:rsidR="00E5019F" w:rsidRPr="0071782F" w:rsidRDefault="00E5019F" w:rsidP="00E5019F">
      <w:pPr>
        <w:pStyle w:val="SingleTxtG"/>
        <w:ind w:left="1701"/>
        <w:rPr>
          <w:lang w:val="fr-CH"/>
        </w:rPr>
      </w:pPr>
      <w:r w:rsidRPr="0071782F">
        <w:rPr>
          <w:lang w:val="fr-CH"/>
        </w:rPr>
        <w:t>317.2.</w:t>
      </w:r>
      <w:r w:rsidRPr="0071782F">
        <w:rPr>
          <w:lang w:val="fr-CH"/>
        </w:rPr>
        <w:tab/>
      </w:r>
      <w:r w:rsidR="00902B8F" w:rsidRPr="0071782F">
        <w:rPr>
          <w:lang w:val="fr-CH"/>
        </w:rPr>
        <w:t xml:space="preserve">Création du Conseil scientifique pour la santé </w:t>
      </w:r>
      <w:r w:rsidR="007F37CE" w:rsidRPr="0071782F">
        <w:rPr>
          <w:lang w:val="fr-CH"/>
        </w:rPr>
        <w:t>des personnes</w:t>
      </w:r>
      <w:r w:rsidR="00902B8F" w:rsidRPr="0071782F">
        <w:rPr>
          <w:lang w:val="fr-CH"/>
        </w:rPr>
        <w:t xml:space="preserve"> âgées, où siègent des représentants</w:t>
      </w:r>
      <w:r w:rsidRPr="0071782F">
        <w:rPr>
          <w:lang w:val="fr-CH"/>
        </w:rPr>
        <w:t xml:space="preserve"> </w:t>
      </w:r>
      <w:r w:rsidR="00902B8F" w:rsidRPr="0071782F">
        <w:rPr>
          <w:lang w:val="fr-CH"/>
        </w:rPr>
        <w:t>de l’Organisme public de protection sociale, de l’Université des sciences de la protection sociale et de la réadaptation</w:t>
      </w:r>
      <w:r w:rsidRPr="0071782F">
        <w:rPr>
          <w:lang w:val="fr-CH"/>
        </w:rPr>
        <w:t xml:space="preserve">, </w:t>
      </w:r>
      <w:r w:rsidR="00902B8F" w:rsidRPr="0071782F">
        <w:rPr>
          <w:lang w:val="fr-CH"/>
        </w:rPr>
        <w:t xml:space="preserve">et des autorités du secteur des soins et traitements médicaux, ainsi que quelques </w:t>
      </w:r>
      <w:r w:rsidRPr="0071782F">
        <w:rPr>
          <w:lang w:val="fr-CH"/>
        </w:rPr>
        <w:t>sp</w:t>
      </w:r>
      <w:r w:rsidR="00902B8F" w:rsidRPr="0071782F">
        <w:rPr>
          <w:lang w:val="fr-CH"/>
        </w:rPr>
        <w:t>é</w:t>
      </w:r>
      <w:r w:rsidRPr="0071782F">
        <w:rPr>
          <w:lang w:val="fr-CH"/>
        </w:rPr>
        <w:t>cialist</w:t>
      </w:r>
      <w:r w:rsidR="00902B8F" w:rsidRPr="0071782F">
        <w:rPr>
          <w:lang w:val="fr-CH"/>
        </w:rPr>
        <w:t>e</w:t>
      </w:r>
      <w:r w:rsidRPr="0071782F">
        <w:rPr>
          <w:lang w:val="fr-CH"/>
        </w:rPr>
        <w:t>s</w:t>
      </w:r>
      <w:r w:rsidR="00902B8F" w:rsidRPr="0071782F">
        <w:rPr>
          <w:lang w:val="fr-CH"/>
        </w:rPr>
        <w:t>, sous la</w:t>
      </w:r>
      <w:r w:rsidRPr="0071782F">
        <w:rPr>
          <w:lang w:val="fr-CH"/>
        </w:rPr>
        <w:t xml:space="preserve"> supervision </w:t>
      </w:r>
      <w:r w:rsidR="00902B8F" w:rsidRPr="0071782F">
        <w:rPr>
          <w:lang w:val="fr-CH"/>
        </w:rPr>
        <w:t>du Ministère de la santé et de la formation médicale</w:t>
      </w:r>
      <w:r w:rsidRPr="0071782F">
        <w:rPr>
          <w:lang w:val="fr-CH"/>
        </w:rPr>
        <w:t>.</w:t>
      </w:r>
    </w:p>
    <w:p w:rsidR="00E5019F" w:rsidRPr="0071782F" w:rsidRDefault="00E5019F" w:rsidP="00E5019F">
      <w:pPr>
        <w:pStyle w:val="SingleTxtG"/>
        <w:ind w:left="1701"/>
        <w:rPr>
          <w:lang w:val="fr-CH"/>
        </w:rPr>
      </w:pPr>
      <w:r w:rsidRPr="0071782F">
        <w:rPr>
          <w:lang w:val="fr-CH"/>
        </w:rPr>
        <w:t>317.3.</w:t>
      </w:r>
      <w:r w:rsidRPr="0071782F">
        <w:rPr>
          <w:lang w:val="fr-CH"/>
        </w:rPr>
        <w:tab/>
      </w:r>
      <w:r w:rsidR="0040494E" w:rsidRPr="0071782F">
        <w:rPr>
          <w:lang w:val="fr-CH"/>
        </w:rPr>
        <w:t xml:space="preserve">Réalisation en 1998 d’une enquête nationale sur la santé </w:t>
      </w:r>
      <w:r w:rsidR="007F37CE" w:rsidRPr="0071782F">
        <w:rPr>
          <w:lang w:val="fr-CH"/>
        </w:rPr>
        <w:t>des personnes</w:t>
      </w:r>
      <w:r w:rsidR="0040494E" w:rsidRPr="0071782F">
        <w:rPr>
          <w:lang w:val="fr-CH"/>
        </w:rPr>
        <w:t xml:space="preserve"> âgées</w:t>
      </w:r>
      <w:r w:rsidRPr="0071782F">
        <w:rPr>
          <w:lang w:val="fr-CH"/>
        </w:rPr>
        <w:t>.</w:t>
      </w:r>
    </w:p>
    <w:p w:rsidR="00E5019F" w:rsidRPr="0071782F" w:rsidRDefault="00E5019F" w:rsidP="00E5019F">
      <w:pPr>
        <w:pStyle w:val="SingleTxtG"/>
        <w:ind w:left="1701"/>
        <w:rPr>
          <w:lang w:val="fr-CH"/>
        </w:rPr>
      </w:pPr>
      <w:r w:rsidRPr="0071782F">
        <w:rPr>
          <w:lang w:val="fr-CH"/>
        </w:rPr>
        <w:t>317.4.</w:t>
      </w:r>
      <w:r w:rsidRPr="0071782F">
        <w:rPr>
          <w:lang w:val="fr-CH"/>
        </w:rPr>
        <w:tab/>
      </w:r>
      <w:r w:rsidR="0040494E" w:rsidRPr="0071782F">
        <w:rPr>
          <w:lang w:val="fr-CH"/>
        </w:rPr>
        <w:t xml:space="preserve">Sensibilisation de la population et des décideurs aux besoins </w:t>
      </w:r>
      <w:r w:rsidR="007F37CE" w:rsidRPr="0071782F">
        <w:rPr>
          <w:lang w:val="fr-CH"/>
        </w:rPr>
        <w:t>des personnes</w:t>
      </w:r>
      <w:r w:rsidR="0040494E" w:rsidRPr="0071782F">
        <w:rPr>
          <w:lang w:val="fr-CH"/>
        </w:rPr>
        <w:t xml:space="preserve"> âgées, au phénomène du vieillissement de la population dans un proche avenir et à la coopé</w:t>
      </w:r>
      <w:r w:rsidRPr="0071782F">
        <w:rPr>
          <w:lang w:val="fr-CH"/>
        </w:rPr>
        <w:t xml:space="preserve">ration </w:t>
      </w:r>
      <w:r w:rsidR="0040494E" w:rsidRPr="0071782F">
        <w:rPr>
          <w:lang w:val="fr-CH"/>
        </w:rPr>
        <w:t xml:space="preserve">à instaurer entre les organisations publiques et privées qui s’occupent </w:t>
      </w:r>
      <w:r w:rsidR="007F37CE" w:rsidRPr="0071782F">
        <w:rPr>
          <w:lang w:val="fr-CH"/>
        </w:rPr>
        <w:t>des personnes</w:t>
      </w:r>
      <w:r w:rsidR="0040494E" w:rsidRPr="0071782F">
        <w:rPr>
          <w:lang w:val="fr-CH"/>
        </w:rPr>
        <w:t xml:space="preserve"> âgées</w:t>
      </w:r>
      <w:r w:rsidRPr="0071782F">
        <w:rPr>
          <w:lang w:val="fr-CH"/>
        </w:rPr>
        <w:t>.</w:t>
      </w:r>
    </w:p>
    <w:p w:rsidR="00E5019F" w:rsidRPr="0071782F" w:rsidRDefault="00E5019F" w:rsidP="00E5019F">
      <w:pPr>
        <w:pStyle w:val="H23G"/>
        <w:rPr>
          <w:lang w:val="fr-CH"/>
        </w:rPr>
      </w:pPr>
      <w:r w:rsidRPr="0071782F">
        <w:rPr>
          <w:lang w:val="fr-CH"/>
        </w:rPr>
        <w:tab/>
      </w:r>
      <w:r w:rsidRPr="0071782F">
        <w:rPr>
          <w:lang w:val="fr-CH"/>
        </w:rPr>
        <w:tab/>
      </w:r>
      <w:r w:rsidR="0040494E" w:rsidRPr="0071782F">
        <w:rPr>
          <w:lang w:val="fr-CH"/>
        </w:rPr>
        <w:t xml:space="preserve">Élaboration et </w:t>
      </w:r>
      <w:r w:rsidRPr="0071782F">
        <w:rPr>
          <w:lang w:val="fr-CH"/>
        </w:rPr>
        <w:t xml:space="preserve">distribution </w:t>
      </w:r>
      <w:r w:rsidR="0040494E" w:rsidRPr="0071782F">
        <w:rPr>
          <w:lang w:val="fr-CH"/>
        </w:rPr>
        <w:t xml:space="preserve">de matériels éducatifs </w:t>
      </w:r>
    </w:p>
    <w:p w:rsidR="00E5019F" w:rsidRPr="0071782F" w:rsidRDefault="00E5019F" w:rsidP="00E5019F">
      <w:pPr>
        <w:pStyle w:val="SingleTxtG"/>
        <w:rPr>
          <w:lang w:val="fr-CH"/>
        </w:rPr>
      </w:pPr>
      <w:r w:rsidRPr="0071782F">
        <w:rPr>
          <w:lang w:val="fr-CH"/>
        </w:rPr>
        <w:t>318.</w:t>
      </w:r>
      <w:r w:rsidRPr="0071782F">
        <w:rPr>
          <w:lang w:val="fr-CH"/>
        </w:rPr>
        <w:tab/>
      </w:r>
      <w:r w:rsidR="0040494E" w:rsidRPr="0071782F">
        <w:rPr>
          <w:lang w:val="fr-CH"/>
        </w:rPr>
        <w:t>Il s’agit notamment des matériels suivants</w:t>
      </w:r>
      <w:r w:rsidR="008F7D33" w:rsidRPr="0071782F">
        <w:rPr>
          <w:lang w:val="fr-CH"/>
        </w:rPr>
        <w:t>:</w:t>
      </w:r>
    </w:p>
    <w:p w:rsidR="00E5019F" w:rsidRPr="0071782F" w:rsidRDefault="00E5019F" w:rsidP="00E5019F">
      <w:pPr>
        <w:pStyle w:val="SingleTxtG"/>
        <w:ind w:left="1701"/>
        <w:rPr>
          <w:lang w:val="fr-CH"/>
        </w:rPr>
      </w:pPr>
      <w:r w:rsidRPr="0071782F">
        <w:rPr>
          <w:lang w:val="fr-CH"/>
        </w:rPr>
        <w:t>318.1.</w:t>
      </w:r>
      <w:r w:rsidRPr="0071782F">
        <w:rPr>
          <w:lang w:val="fr-CH"/>
        </w:rPr>
        <w:tab/>
        <w:t>Tra</w:t>
      </w:r>
      <w:r w:rsidR="0040494E" w:rsidRPr="0071782F">
        <w:rPr>
          <w:lang w:val="fr-CH"/>
        </w:rPr>
        <w:t>duction</w:t>
      </w:r>
      <w:r w:rsidRPr="0071782F">
        <w:rPr>
          <w:lang w:val="fr-CH"/>
        </w:rPr>
        <w:t xml:space="preserve">, </w:t>
      </w:r>
      <w:r w:rsidR="0040494E" w:rsidRPr="0071782F">
        <w:rPr>
          <w:lang w:val="fr-CH"/>
        </w:rPr>
        <w:t xml:space="preserve">impression et </w:t>
      </w:r>
      <w:r w:rsidRPr="0071782F">
        <w:rPr>
          <w:lang w:val="fr-CH"/>
        </w:rPr>
        <w:t xml:space="preserve">distribution </w:t>
      </w:r>
      <w:r w:rsidR="0040494E" w:rsidRPr="0071782F">
        <w:rPr>
          <w:lang w:val="fr-CH"/>
        </w:rPr>
        <w:t xml:space="preserve">de quelque </w:t>
      </w:r>
      <w:r w:rsidRPr="0071782F">
        <w:rPr>
          <w:lang w:val="fr-CH"/>
        </w:rPr>
        <w:t>15</w:t>
      </w:r>
      <w:r w:rsidR="00860D09" w:rsidRPr="0071782F">
        <w:rPr>
          <w:lang w:val="fr-CH"/>
        </w:rPr>
        <w:t> </w:t>
      </w:r>
      <w:r w:rsidRPr="0071782F">
        <w:rPr>
          <w:lang w:val="fr-CH"/>
        </w:rPr>
        <w:t xml:space="preserve">000 </w:t>
      </w:r>
      <w:r w:rsidR="0040494E" w:rsidRPr="0071782F">
        <w:rPr>
          <w:lang w:val="fr-CH"/>
        </w:rPr>
        <w:t xml:space="preserve">ouvrages sur les soins à fournir </w:t>
      </w:r>
      <w:r w:rsidR="00175962" w:rsidRPr="0071782F">
        <w:rPr>
          <w:lang w:val="fr-CH"/>
        </w:rPr>
        <w:t>aux personnes</w:t>
      </w:r>
      <w:r w:rsidR="0040494E" w:rsidRPr="0071782F">
        <w:rPr>
          <w:lang w:val="fr-CH"/>
        </w:rPr>
        <w:t xml:space="preserve"> âgées </w:t>
      </w:r>
      <w:r w:rsidRPr="0071782F">
        <w:rPr>
          <w:lang w:val="fr-CH"/>
        </w:rPr>
        <w:t>(</w:t>
      </w:r>
      <w:r w:rsidR="0040494E" w:rsidRPr="0071782F">
        <w:rPr>
          <w:lang w:val="fr-CH"/>
        </w:rPr>
        <w:t>à l’intention du personnel médical</w:t>
      </w:r>
      <w:r w:rsidRPr="0071782F">
        <w:rPr>
          <w:lang w:val="fr-CH"/>
        </w:rPr>
        <w:t>).</w:t>
      </w:r>
    </w:p>
    <w:p w:rsidR="00E5019F" w:rsidRPr="007F2F52" w:rsidRDefault="00E5019F" w:rsidP="00E5019F">
      <w:pPr>
        <w:pStyle w:val="SingleTxtG"/>
        <w:ind w:left="1701"/>
        <w:rPr>
          <w:spacing w:val="-2"/>
          <w:lang w:val="fr-CH"/>
        </w:rPr>
      </w:pPr>
      <w:r w:rsidRPr="007F2F52">
        <w:rPr>
          <w:spacing w:val="-2"/>
          <w:lang w:val="fr-CH"/>
        </w:rPr>
        <w:t>318.2.</w:t>
      </w:r>
      <w:r w:rsidRPr="007F2F52">
        <w:rPr>
          <w:spacing w:val="-2"/>
          <w:lang w:val="fr-CH"/>
        </w:rPr>
        <w:tab/>
      </w:r>
      <w:r w:rsidR="0040494E" w:rsidRPr="007F2F52">
        <w:rPr>
          <w:spacing w:val="-2"/>
          <w:lang w:val="fr-CH"/>
        </w:rPr>
        <w:t xml:space="preserve">Élaboration et </w:t>
      </w:r>
      <w:r w:rsidRPr="007F2F52">
        <w:rPr>
          <w:spacing w:val="-2"/>
          <w:lang w:val="fr-CH"/>
        </w:rPr>
        <w:t xml:space="preserve">publication </w:t>
      </w:r>
      <w:r w:rsidR="0040494E" w:rsidRPr="007F2F52">
        <w:rPr>
          <w:spacing w:val="-2"/>
          <w:lang w:val="fr-CH"/>
        </w:rPr>
        <w:t xml:space="preserve">de brochures sur le sport et la nutrition pour </w:t>
      </w:r>
      <w:r w:rsidR="00A233C2" w:rsidRPr="007F2F52">
        <w:rPr>
          <w:spacing w:val="-2"/>
          <w:lang w:val="fr-CH"/>
        </w:rPr>
        <w:t>les personnes</w:t>
      </w:r>
      <w:r w:rsidR="0040494E" w:rsidRPr="007F2F52">
        <w:rPr>
          <w:spacing w:val="-2"/>
          <w:lang w:val="fr-CH"/>
        </w:rPr>
        <w:t xml:space="preserve"> âgées, y compris la stratégie de prise en charge médicale de </w:t>
      </w:r>
      <w:r w:rsidR="00C36750" w:rsidRPr="007F2F52">
        <w:rPr>
          <w:spacing w:val="-2"/>
          <w:lang w:val="fr-CH"/>
        </w:rPr>
        <w:t>ces personnes</w:t>
      </w:r>
      <w:r w:rsidR="0040494E" w:rsidRPr="007F2F52">
        <w:rPr>
          <w:spacing w:val="-2"/>
          <w:lang w:val="fr-CH"/>
        </w:rPr>
        <w:t>.</w:t>
      </w:r>
    </w:p>
    <w:p w:rsidR="00E5019F" w:rsidRPr="0071782F" w:rsidRDefault="00E5019F" w:rsidP="00E5019F">
      <w:pPr>
        <w:pStyle w:val="SingleTxtG"/>
        <w:ind w:left="1701"/>
        <w:rPr>
          <w:lang w:val="fr-CH"/>
        </w:rPr>
      </w:pPr>
      <w:r w:rsidRPr="0071782F">
        <w:rPr>
          <w:lang w:val="fr-CH"/>
        </w:rPr>
        <w:t>318.3.</w:t>
      </w:r>
      <w:r w:rsidRPr="0071782F">
        <w:rPr>
          <w:lang w:val="fr-CH"/>
        </w:rPr>
        <w:tab/>
        <w:t>Tra</w:t>
      </w:r>
      <w:r w:rsidR="0040494E" w:rsidRPr="0071782F">
        <w:rPr>
          <w:lang w:val="fr-CH"/>
        </w:rPr>
        <w:t xml:space="preserve">duction, doublage et </w:t>
      </w:r>
      <w:r w:rsidRPr="0071782F">
        <w:rPr>
          <w:lang w:val="fr-CH"/>
        </w:rPr>
        <w:t xml:space="preserve">distribution </w:t>
      </w:r>
      <w:r w:rsidR="0040494E" w:rsidRPr="0071782F">
        <w:rPr>
          <w:lang w:val="fr-CH"/>
        </w:rPr>
        <w:t>de</w:t>
      </w:r>
      <w:r w:rsidRPr="0071782F">
        <w:rPr>
          <w:lang w:val="fr-CH"/>
        </w:rPr>
        <w:t xml:space="preserve"> </w:t>
      </w:r>
      <w:r w:rsidR="0040494E" w:rsidRPr="0071782F">
        <w:rPr>
          <w:lang w:val="fr-CH"/>
        </w:rPr>
        <w:t xml:space="preserve">vidéos concernant les soins de santé à fournir </w:t>
      </w:r>
      <w:r w:rsidR="00175962" w:rsidRPr="0071782F">
        <w:rPr>
          <w:lang w:val="fr-CH"/>
        </w:rPr>
        <w:t>aux personnes</w:t>
      </w:r>
      <w:r w:rsidR="0040494E" w:rsidRPr="0071782F">
        <w:rPr>
          <w:lang w:val="fr-CH"/>
        </w:rPr>
        <w:t xml:space="preserve"> âgées dans toutes les universités et certaines organisations connexes du pays</w:t>
      </w:r>
      <w:r w:rsidRPr="0071782F">
        <w:rPr>
          <w:lang w:val="fr-CH"/>
        </w:rPr>
        <w:t>.</w:t>
      </w:r>
    </w:p>
    <w:p w:rsidR="00E5019F" w:rsidRPr="0071782F" w:rsidRDefault="00E5019F" w:rsidP="00E5019F">
      <w:pPr>
        <w:pStyle w:val="SingleTxtG"/>
        <w:ind w:left="1701"/>
        <w:rPr>
          <w:lang w:val="fr-CH"/>
        </w:rPr>
      </w:pPr>
      <w:r w:rsidRPr="0071782F">
        <w:rPr>
          <w:lang w:val="fr-CH"/>
        </w:rPr>
        <w:t>318.4.</w:t>
      </w:r>
      <w:r w:rsidRPr="0071782F">
        <w:rPr>
          <w:lang w:val="fr-CH"/>
        </w:rPr>
        <w:tab/>
        <w:t>Produc</w:t>
      </w:r>
      <w:r w:rsidR="0040494E" w:rsidRPr="0071782F">
        <w:rPr>
          <w:lang w:val="fr-CH"/>
        </w:rPr>
        <w:t xml:space="preserve">tion et diffusion d’une série d’émissions de télévision sur les soins de santé à fournir </w:t>
      </w:r>
      <w:r w:rsidR="00175962" w:rsidRPr="0071782F">
        <w:rPr>
          <w:lang w:val="fr-CH"/>
        </w:rPr>
        <w:t>aux personnes</w:t>
      </w:r>
      <w:r w:rsidR="0040494E" w:rsidRPr="0071782F">
        <w:rPr>
          <w:lang w:val="fr-CH"/>
        </w:rPr>
        <w:t xml:space="preserve"> âgées, avec la partic</w:t>
      </w:r>
      <w:r w:rsidR="00137DBD" w:rsidRPr="0071782F">
        <w:rPr>
          <w:lang w:val="fr-CH"/>
        </w:rPr>
        <w:t>i</w:t>
      </w:r>
      <w:r w:rsidR="0040494E" w:rsidRPr="0071782F">
        <w:rPr>
          <w:lang w:val="fr-CH"/>
        </w:rPr>
        <w:t xml:space="preserve">pation des auteurs et de spécialistes des affaires intéressant </w:t>
      </w:r>
      <w:r w:rsidR="00A233C2" w:rsidRPr="0071782F">
        <w:rPr>
          <w:lang w:val="fr-CH"/>
        </w:rPr>
        <w:t>les personnes</w:t>
      </w:r>
      <w:r w:rsidR="0040494E" w:rsidRPr="0071782F">
        <w:rPr>
          <w:lang w:val="fr-CH"/>
        </w:rPr>
        <w:t xml:space="preserve"> âgées. </w:t>
      </w:r>
    </w:p>
    <w:p w:rsidR="00E5019F" w:rsidRPr="0071782F" w:rsidRDefault="00E5019F" w:rsidP="00E5019F">
      <w:pPr>
        <w:pStyle w:val="SingleTxtG"/>
        <w:ind w:left="1701"/>
        <w:rPr>
          <w:lang w:val="fr-CH"/>
        </w:rPr>
      </w:pPr>
      <w:r w:rsidRPr="0071782F">
        <w:rPr>
          <w:lang w:val="fr-CH"/>
        </w:rPr>
        <w:t>318.5.</w:t>
      </w:r>
      <w:r w:rsidRPr="0071782F">
        <w:rPr>
          <w:lang w:val="fr-CH"/>
        </w:rPr>
        <w:tab/>
        <w:t xml:space="preserve">Production </w:t>
      </w:r>
      <w:r w:rsidR="0040494E" w:rsidRPr="0071782F">
        <w:rPr>
          <w:lang w:val="fr-CH"/>
        </w:rPr>
        <w:t xml:space="preserve">en 2002 d’une série télévisée </w:t>
      </w:r>
      <w:r w:rsidRPr="0071782F">
        <w:rPr>
          <w:lang w:val="fr-CH"/>
        </w:rPr>
        <w:t>(se</w:t>
      </w:r>
      <w:r w:rsidR="0040494E" w:rsidRPr="0071782F">
        <w:rPr>
          <w:lang w:val="fr-CH"/>
        </w:rPr>
        <w:t xml:space="preserve">pt épisodes de </w:t>
      </w:r>
      <w:r w:rsidRPr="0071782F">
        <w:rPr>
          <w:lang w:val="fr-CH"/>
        </w:rPr>
        <w:t>10</w:t>
      </w:r>
      <w:r w:rsidR="0040494E" w:rsidRPr="0071782F">
        <w:rPr>
          <w:lang w:val="fr-CH"/>
        </w:rPr>
        <w:t xml:space="preserve"> </w:t>
      </w:r>
      <w:r w:rsidRPr="0071782F">
        <w:rPr>
          <w:lang w:val="fr-CH"/>
        </w:rPr>
        <w:t>minute</w:t>
      </w:r>
      <w:r w:rsidR="0040494E" w:rsidRPr="0071782F">
        <w:rPr>
          <w:lang w:val="fr-CH"/>
        </w:rPr>
        <w:t>s chacun</w:t>
      </w:r>
      <w:r w:rsidRPr="0071782F">
        <w:rPr>
          <w:lang w:val="fr-CH"/>
        </w:rPr>
        <w:t xml:space="preserve">) </w:t>
      </w:r>
      <w:r w:rsidR="0040494E" w:rsidRPr="0071782F">
        <w:rPr>
          <w:lang w:val="fr-CH"/>
        </w:rPr>
        <w:t xml:space="preserve">intitulée </w:t>
      </w:r>
      <w:r w:rsidR="00A62149" w:rsidRPr="0071782F">
        <w:rPr>
          <w:lang w:val="fr-CH"/>
        </w:rPr>
        <w:t>"</w:t>
      </w:r>
      <w:r w:rsidR="0040494E" w:rsidRPr="0071782F">
        <w:rPr>
          <w:lang w:val="fr-CH"/>
        </w:rPr>
        <w:t>Toujours jeunes</w:t>
      </w:r>
      <w:r w:rsidR="00A62149" w:rsidRPr="0071782F">
        <w:rPr>
          <w:lang w:val="fr-CH"/>
        </w:rPr>
        <w:t>"</w:t>
      </w:r>
      <w:r w:rsidRPr="0071782F">
        <w:rPr>
          <w:lang w:val="fr-CH"/>
        </w:rPr>
        <w:t>.</w:t>
      </w:r>
    </w:p>
    <w:p w:rsidR="00E5019F" w:rsidRPr="0071782F" w:rsidRDefault="00E5019F" w:rsidP="00E5019F">
      <w:pPr>
        <w:pStyle w:val="SingleTxtG"/>
        <w:ind w:left="1701"/>
        <w:rPr>
          <w:lang w:val="fr-CH"/>
        </w:rPr>
      </w:pPr>
      <w:r w:rsidRPr="0071782F">
        <w:rPr>
          <w:lang w:val="fr-CH"/>
        </w:rPr>
        <w:t>318.6.</w:t>
      </w:r>
      <w:r w:rsidRPr="0071782F">
        <w:rPr>
          <w:lang w:val="fr-CH"/>
        </w:rPr>
        <w:tab/>
      </w:r>
      <w:r w:rsidR="0040494E" w:rsidRPr="0071782F">
        <w:rPr>
          <w:lang w:val="fr-CH"/>
        </w:rPr>
        <w:t>Rédaction et publication en 2003 d’un ouvrage en quatre volumes sur la</w:t>
      </w:r>
      <w:r w:rsidR="00D36718">
        <w:rPr>
          <w:lang w:val="fr-CH"/>
        </w:rPr>
        <w:t xml:space="preserve"> </w:t>
      </w:r>
      <w:r w:rsidR="00A62149" w:rsidRPr="0071782F">
        <w:rPr>
          <w:lang w:val="fr-CH"/>
        </w:rPr>
        <w:t>"</w:t>
      </w:r>
      <w:r w:rsidR="0040494E" w:rsidRPr="0071782F">
        <w:rPr>
          <w:lang w:val="fr-CH"/>
        </w:rPr>
        <w:t>Vie saine pendant la vieillesse</w:t>
      </w:r>
      <w:r w:rsidR="00A62149" w:rsidRPr="0071782F">
        <w:rPr>
          <w:lang w:val="fr-CH"/>
        </w:rPr>
        <w:t>"</w:t>
      </w:r>
      <w:r w:rsidRPr="0071782F">
        <w:rPr>
          <w:lang w:val="fr-CH"/>
        </w:rPr>
        <w:t>.</w:t>
      </w:r>
    </w:p>
    <w:p w:rsidR="00E5019F" w:rsidRPr="0071782F" w:rsidRDefault="00E5019F" w:rsidP="00E5019F">
      <w:pPr>
        <w:pStyle w:val="H23G"/>
        <w:rPr>
          <w:lang w:val="fr-CH"/>
        </w:rPr>
      </w:pPr>
      <w:r w:rsidRPr="0071782F">
        <w:rPr>
          <w:lang w:val="fr-CH"/>
        </w:rPr>
        <w:tab/>
      </w:r>
      <w:r w:rsidRPr="0071782F">
        <w:rPr>
          <w:lang w:val="fr-CH"/>
        </w:rPr>
        <w:tab/>
        <w:t>S</w:t>
      </w:r>
      <w:r w:rsidR="0040494E" w:rsidRPr="0071782F">
        <w:rPr>
          <w:lang w:val="fr-CH"/>
        </w:rPr>
        <w:t>é</w:t>
      </w:r>
      <w:r w:rsidRPr="0071782F">
        <w:rPr>
          <w:lang w:val="fr-CH"/>
        </w:rPr>
        <w:t>mina</w:t>
      </w:r>
      <w:r w:rsidR="0040494E" w:rsidRPr="0071782F">
        <w:rPr>
          <w:lang w:val="fr-CH"/>
        </w:rPr>
        <w:t>i</w:t>
      </w:r>
      <w:r w:rsidRPr="0071782F">
        <w:rPr>
          <w:lang w:val="fr-CH"/>
        </w:rPr>
        <w:t>r</w:t>
      </w:r>
      <w:r w:rsidR="0040494E" w:rsidRPr="0071782F">
        <w:rPr>
          <w:lang w:val="fr-CH"/>
        </w:rPr>
        <w:t>e</w:t>
      </w:r>
      <w:r w:rsidRPr="0071782F">
        <w:rPr>
          <w:lang w:val="fr-CH"/>
        </w:rPr>
        <w:t xml:space="preserve">s </w:t>
      </w:r>
      <w:r w:rsidR="0040494E" w:rsidRPr="0071782F">
        <w:rPr>
          <w:lang w:val="fr-CH"/>
        </w:rPr>
        <w:t xml:space="preserve">et </w:t>
      </w:r>
      <w:r w:rsidRPr="0071782F">
        <w:rPr>
          <w:lang w:val="fr-CH"/>
        </w:rPr>
        <w:t>conf</w:t>
      </w:r>
      <w:r w:rsidR="0040494E" w:rsidRPr="0071782F">
        <w:rPr>
          <w:lang w:val="fr-CH"/>
        </w:rPr>
        <w:t>é</w:t>
      </w:r>
      <w:r w:rsidRPr="0071782F">
        <w:rPr>
          <w:lang w:val="fr-CH"/>
        </w:rPr>
        <w:t>rences</w:t>
      </w:r>
      <w:r w:rsidR="0040494E" w:rsidRPr="0071782F">
        <w:rPr>
          <w:lang w:val="fr-CH"/>
        </w:rPr>
        <w:t xml:space="preserve"> sur les questions intéressant </w:t>
      </w:r>
      <w:r w:rsidR="00A233C2" w:rsidRPr="0071782F">
        <w:rPr>
          <w:lang w:val="fr-CH"/>
        </w:rPr>
        <w:t>les personnes</w:t>
      </w:r>
      <w:r w:rsidR="0040494E" w:rsidRPr="0071782F">
        <w:rPr>
          <w:lang w:val="fr-CH"/>
        </w:rPr>
        <w:t xml:space="preserve"> âgées</w:t>
      </w:r>
      <w:r w:rsidR="00D36718">
        <w:rPr>
          <w:lang w:val="fr-CH"/>
        </w:rPr>
        <w:t xml:space="preserve"> </w:t>
      </w:r>
    </w:p>
    <w:p w:rsidR="00E5019F" w:rsidRPr="0071782F" w:rsidRDefault="00E5019F" w:rsidP="00E5019F">
      <w:pPr>
        <w:pStyle w:val="SingleTxtG"/>
        <w:rPr>
          <w:lang w:val="fr-CH"/>
        </w:rPr>
      </w:pPr>
      <w:r w:rsidRPr="0071782F">
        <w:rPr>
          <w:lang w:val="fr-CH"/>
        </w:rPr>
        <w:t>319.</w:t>
      </w:r>
      <w:r w:rsidRPr="0071782F">
        <w:rPr>
          <w:lang w:val="fr-CH"/>
        </w:rPr>
        <w:tab/>
      </w:r>
      <w:r w:rsidR="0040494E" w:rsidRPr="0071782F">
        <w:rPr>
          <w:lang w:val="fr-CH"/>
        </w:rPr>
        <w:t>Il s’agit notamment des activités suivantes</w:t>
      </w:r>
      <w:r w:rsidR="008F7D33" w:rsidRPr="0071782F">
        <w:rPr>
          <w:lang w:val="fr-CH"/>
        </w:rPr>
        <w:t>:</w:t>
      </w:r>
    </w:p>
    <w:p w:rsidR="00E5019F" w:rsidRPr="0071782F" w:rsidRDefault="00E5019F" w:rsidP="00E5019F">
      <w:pPr>
        <w:pStyle w:val="SingleTxtG"/>
        <w:ind w:left="1701"/>
        <w:rPr>
          <w:lang w:val="fr-CH"/>
        </w:rPr>
      </w:pPr>
      <w:r w:rsidRPr="0071782F">
        <w:rPr>
          <w:lang w:val="fr-CH"/>
        </w:rPr>
        <w:t>319.1.</w:t>
      </w:r>
      <w:r w:rsidRPr="0071782F">
        <w:rPr>
          <w:lang w:val="fr-CH"/>
        </w:rPr>
        <w:tab/>
      </w:r>
      <w:r w:rsidR="0040494E" w:rsidRPr="0071782F">
        <w:rPr>
          <w:lang w:val="fr-CH"/>
        </w:rPr>
        <w:t xml:space="preserve">Tenue d’un atelier de formation d’une journée à la santé </w:t>
      </w:r>
      <w:r w:rsidR="007F37CE" w:rsidRPr="0071782F">
        <w:rPr>
          <w:lang w:val="fr-CH"/>
        </w:rPr>
        <w:t>des personnes</w:t>
      </w:r>
      <w:r w:rsidR="0040494E" w:rsidRPr="0071782F">
        <w:rPr>
          <w:lang w:val="fr-CH"/>
        </w:rPr>
        <w:t xml:space="preserve"> âgées et élaboration d’un programme d’étude de la santé </w:t>
      </w:r>
      <w:r w:rsidR="007F37CE" w:rsidRPr="0071782F">
        <w:rPr>
          <w:lang w:val="fr-CH"/>
        </w:rPr>
        <w:t>des personnes</w:t>
      </w:r>
      <w:r w:rsidR="0040494E" w:rsidRPr="0071782F">
        <w:rPr>
          <w:lang w:val="fr-CH"/>
        </w:rPr>
        <w:t xml:space="preserve"> âgées à l’intention des directeurs des départements de santé familiale de toutes les universités du pays.</w:t>
      </w:r>
    </w:p>
    <w:p w:rsidR="00E5019F" w:rsidRPr="0071782F" w:rsidRDefault="00E5019F" w:rsidP="00E5019F">
      <w:pPr>
        <w:pStyle w:val="SingleTxtG"/>
        <w:ind w:left="1701"/>
        <w:rPr>
          <w:lang w:val="fr-CH"/>
        </w:rPr>
      </w:pPr>
      <w:r w:rsidRPr="0071782F">
        <w:rPr>
          <w:lang w:val="fr-CH"/>
        </w:rPr>
        <w:t>319.2.</w:t>
      </w:r>
      <w:r w:rsidRPr="0071782F">
        <w:rPr>
          <w:lang w:val="fr-CH"/>
        </w:rPr>
        <w:tab/>
        <w:t>Organi</w:t>
      </w:r>
      <w:r w:rsidR="0040494E" w:rsidRPr="0071782F">
        <w:rPr>
          <w:lang w:val="fr-CH"/>
        </w:rPr>
        <w:t xml:space="preserve">sation d’un séminaire d’une journée sur les objectifs du programme relatif à la santé </w:t>
      </w:r>
      <w:r w:rsidR="007F37CE" w:rsidRPr="0071782F">
        <w:rPr>
          <w:lang w:val="fr-CH"/>
        </w:rPr>
        <w:t>des personnes</w:t>
      </w:r>
      <w:r w:rsidR="0040494E" w:rsidRPr="0071782F">
        <w:rPr>
          <w:lang w:val="fr-CH"/>
        </w:rPr>
        <w:t xml:space="preserve"> âgées à l’intention de tous les fonctionnaires et représentants des organisations gouvernementales et non gouvernementales qui s’occupent des questions intéressant </w:t>
      </w:r>
      <w:r w:rsidR="00A233C2" w:rsidRPr="0071782F">
        <w:rPr>
          <w:lang w:val="fr-CH"/>
        </w:rPr>
        <w:t>les personnes</w:t>
      </w:r>
      <w:r w:rsidR="0040494E" w:rsidRPr="0071782F">
        <w:rPr>
          <w:lang w:val="fr-CH"/>
        </w:rPr>
        <w:t xml:space="preserve"> âgées afin de garantir la coordination nécessaire entre ces organisations</w:t>
      </w:r>
      <w:r w:rsidRPr="0071782F">
        <w:rPr>
          <w:lang w:val="fr-CH"/>
        </w:rPr>
        <w:t>.</w:t>
      </w:r>
    </w:p>
    <w:p w:rsidR="00E5019F" w:rsidRPr="0071782F" w:rsidRDefault="00E5019F" w:rsidP="00E5019F">
      <w:pPr>
        <w:pStyle w:val="SingleTxtG"/>
        <w:ind w:left="1701"/>
        <w:rPr>
          <w:lang w:val="fr-CH"/>
        </w:rPr>
      </w:pPr>
      <w:r w:rsidRPr="0071782F">
        <w:rPr>
          <w:lang w:val="fr-CH"/>
        </w:rPr>
        <w:t>319.3.</w:t>
      </w:r>
      <w:r w:rsidRPr="0071782F">
        <w:rPr>
          <w:lang w:val="fr-CH"/>
        </w:rPr>
        <w:tab/>
        <w:t>C</w:t>
      </w:r>
      <w:r w:rsidR="0040494E" w:rsidRPr="0071782F">
        <w:rPr>
          <w:lang w:val="fr-CH"/>
        </w:rPr>
        <w:t>é</w:t>
      </w:r>
      <w:r w:rsidRPr="0071782F">
        <w:rPr>
          <w:lang w:val="fr-CH"/>
        </w:rPr>
        <w:t>l</w:t>
      </w:r>
      <w:r w:rsidR="0040494E" w:rsidRPr="0071782F">
        <w:rPr>
          <w:lang w:val="fr-CH"/>
        </w:rPr>
        <w:t>é</w:t>
      </w:r>
      <w:r w:rsidRPr="0071782F">
        <w:rPr>
          <w:lang w:val="fr-CH"/>
        </w:rPr>
        <w:t>brati</w:t>
      </w:r>
      <w:r w:rsidR="0040494E" w:rsidRPr="0071782F">
        <w:rPr>
          <w:lang w:val="fr-CH"/>
        </w:rPr>
        <w:t xml:space="preserve">on de la Journée </w:t>
      </w:r>
      <w:r w:rsidRPr="0071782F">
        <w:rPr>
          <w:lang w:val="fr-CH"/>
        </w:rPr>
        <w:t>international</w:t>
      </w:r>
      <w:r w:rsidR="0040494E" w:rsidRPr="0071782F">
        <w:rPr>
          <w:lang w:val="fr-CH"/>
        </w:rPr>
        <w:t xml:space="preserve">e de la santé (santé </w:t>
      </w:r>
      <w:r w:rsidR="007F37CE" w:rsidRPr="0071782F">
        <w:rPr>
          <w:lang w:val="fr-CH"/>
        </w:rPr>
        <w:t>des personnes</w:t>
      </w:r>
      <w:r w:rsidR="0040494E" w:rsidRPr="0071782F">
        <w:rPr>
          <w:lang w:val="fr-CH"/>
        </w:rPr>
        <w:t xml:space="preserve"> âgées). </w:t>
      </w:r>
    </w:p>
    <w:p w:rsidR="00E5019F" w:rsidRPr="0071782F" w:rsidRDefault="00E5019F" w:rsidP="00E5019F">
      <w:pPr>
        <w:pStyle w:val="SingleTxtG"/>
        <w:ind w:left="1701"/>
        <w:rPr>
          <w:lang w:val="fr-CH"/>
        </w:rPr>
      </w:pPr>
      <w:r w:rsidRPr="0071782F">
        <w:rPr>
          <w:lang w:val="fr-CH"/>
        </w:rPr>
        <w:t>319.4.</w:t>
      </w:r>
      <w:r w:rsidRPr="0071782F">
        <w:rPr>
          <w:lang w:val="fr-CH"/>
        </w:rPr>
        <w:tab/>
      </w:r>
      <w:r w:rsidR="0040494E" w:rsidRPr="0071782F">
        <w:rPr>
          <w:lang w:val="fr-CH"/>
        </w:rPr>
        <w:t xml:space="preserve">Organisation, à l’occasion de la Journée internationale </w:t>
      </w:r>
      <w:r w:rsidR="007F37CE" w:rsidRPr="0071782F">
        <w:rPr>
          <w:lang w:val="fr-CH"/>
        </w:rPr>
        <w:t>des personnes</w:t>
      </w:r>
      <w:r w:rsidR="0040494E" w:rsidRPr="0071782F">
        <w:rPr>
          <w:lang w:val="fr-CH"/>
        </w:rPr>
        <w:t xml:space="preserve"> âgées, de concours de peinture pour les écoliers (d’une durée de trois jours) sur la santé </w:t>
      </w:r>
      <w:r w:rsidR="007F37CE" w:rsidRPr="0071782F">
        <w:rPr>
          <w:lang w:val="fr-CH"/>
        </w:rPr>
        <w:t>des personnes</w:t>
      </w:r>
      <w:r w:rsidR="0040494E" w:rsidRPr="0071782F">
        <w:rPr>
          <w:lang w:val="fr-CH"/>
        </w:rPr>
        <w:t xml:space="preserve"> âgées. Ces concours ont été organisés par les bureaux de santé des écoles, en collaboration avec le Département général de la santé familiale, et ont été bien accueillis par les élèves et </w:t>
      </w:r>
      <w:r w:rsidR="001F3F05" w:rsidRPr="0071782F">
        <w:rPr>
          <w:lang w:val="fr-CH"/>
        </w:rPr>
        <w:t>leur famille</w:t>
      </w:r>
      <w:r w:rsidRPr="0071782F">
        <w:rPr>
          <w:lang w:val="fr-CH"/>
        </w:rPr>
        <w:t>.</w:t>
      </w:r>
    </w:p>
    <w:p w:rsidR="00E5019F" w:rsidRPr="0071782F" w:rsidRDefault="00E5019F" w:rsidP="00E5019F">
      <w:pPr>
        <w:pStyle w:val="SingleTxtG"/>
        <w:ind w:left="1701"/>
        <w:rPr>
          <w:lang w:val="fr-CH"/>
        </w:rPr>
      </w:pPr>
      <w:r w:rsidRPr="0071782F">
        <w:rPr>
          <w:lang w:val="fr-CH"/>
        </w:rPr>
        <w:t>319.5.</w:t>
      </w:r>
      <w:r w:rsidRPr="0071782F">
        <w:rPr>
          <w:lang w:val="fr-CH"/>
        </w:rPr>
        <w:tab/>
        <w:t>Arriv</w:t>
      </w:r>
      <w:r w:rsidR="0040494E" w:rsidRPr="0071782F">
        <w:rPr>
          <w:lang w:val="fr-CH"/>
        </w:rPr>
        <w:t>ée en Iran</w:t>
      </w:r>
      <w:r w:rsidR="00166DB6" w:rsidRPr="0071782F">
        <w:rPr>
          <w:lang w:val="fr-CH"/>
        </w:rPr>
        <w:t>,</w:t>
      </w:r>
      <w:r w:rsidR="0040494E" w:rsidRPr="0071782F">
        <w:rPr>
          <w:lang w:val="fr-CH"/>
        </w:rPr>
        <w:t xml:space="preserve"> </w:t>
      </w:r>
      <w:r w:rsidR="00166DB6" w:rsidRPr="0071782F">
        <w:rPr>
          <w:lang w:val="fr-CH"/>
        </w:rPr>
        <w:t>e</w:t>
      </w:r>
      <w:r w:rsidR="0040494E" w:rsidRPr="0071782F">
        <w:rPr>
          <w:lang w:val="fr-CH"/>
        </w:rPr>
        <w:t xml:space="preserve">n août 1999, du conseiller de l’OMS aux affaires </w:t>
      </w:r>
      <w:r w:rsidR="007F37CE" w:rsidRPr="0071782F">
        <w:rPr>
          <w:lang w:val="fr-CH"/>
        </w:rPr>
        <w:t>des personnes</w:t>
      </w:r>
      <w:r w:rsidR="0040494E" w:rsidRPr="0071782F">
        <w:rPr>
          <w:lang w:val="fr-CH"/>
        </w:rPr>
        <w:t xml:space="preserve"> âgées</w:t>
      </w:r>
      <w:r w:rsidR="00166DB6" w:rsidRPr="0071782F">
        <w:rPr>
          <w:lang w:val="fr-CH"/>
        </w:rPr>
        <w:t xml:space="preserve">, qui a reçu pendant 10 jours des informations sur toutes les mesures prises dans le pays pour améliorer et promouvoir la santé </w:t>
      </w:r>
      <w:r w:rsidR="007F37CE" w:rsidRPr="0071782F">
        <w:rPr>
          <w:lang w:val="fr-CH"/>
        </w:rPr>
        <w:t>des personnes</w:t>
      </w:r>
      <w:r w:rsidR="00166DB6" w:rsidRPr="0071782F">
        <w:rPr>
          <w:lang w:val="fr-CH"/>
        </w:rPr>
        <w:t xml:space="preserve"> âgées.</w:t>
      </w:r>
      <w:r w:rsidR="00D36718">
        <w:rPr>
          <w:lang w:val="fr-CH"/>
        </w:rPr>
        <w:t xml:space="preserve"> </w:t>
      </w:r>
      <w:r w:rsidR="00166DB6" w:rsidRPr="0071782F">
        <w:rPr>
          <w:lang w:val="fr-CH"/>
        </w:rPr>
        <w:t>Par ailleurs, on a organisé un atelier de formation de trois jours, auquel ont participé des représentants de toutes les organisations publiques et privées s’occupant de ce groupe de population, afin de contribuer à l’élaboration de politiques nationales dans les ministères compétents.</w:t>
      </w:r>
      <w:r w:rsidR="00D36718">
        <w:rPr>
          <w:lang w:val="fr-CH"/>
        </w:rPr>
        <w:t xml:space="preserve"> </w:t>
      </w:r>
    </w:p>
    <w:p w:rsidR="00E5019F" w:rsidRPr="0071782F" w:rsidRDefault="00E5019F" w:rsidP="00E5019F">
      <w:pPr>
        <w:pStyle w:val="SingleTxtG"/>
        <w:ind w:left="1701"/>
        <w:rPr>
          <w:lang w:val="fr-CH"/>
        </w:rPr>
      </w:pPr>
      <w:r w:rsidRPr="0071782F">
        <w:rPr>
          <w:lang w:val="fr-CH"/>
        </w:rPr>
        <w:t>319.6.</w:t>
      </w:r>
      <w:r w:rsidRPr="0071782F">
        <w:rPr>
          <w:lang w:val="fr-CH"/>
        </w:rPr>
        <w:tab/>
      </w:r>
      <w:r w:rsidR="00137DBD" w:rsidRPr="0071782F">
        <w:rPr>
          <w:lang w:val="fr-CH"/>
        </w:rPr>
        <w:t>Organisation en 2003 d’un ate</w:t>
      </w:r>
      <w:r w:rsidR="00166DB6" w:rsidRPr="0071782F">
        <w:rPr>
          <w:lang w:val="fr-CH"/>
        </w:rPr>
        <w:t>lier national sur les modes de vie sains à l’intention des médecins et spécialistes</w:t>
      </w:r>
      <w:r w:rsidRPr="0071782F">
        <w:rPr>
          <w:lang w:val="fr-CH"/>
        </w:rPr>
        <w:t>.</w:t>
      </w:r>
    </w:p>
    <w:p w:rsidR="00E5019F" w:rsidRPr="0071782F" w:rsidRDefault="00E5019F" w:rsidP="00E5019F">
      <w:pPr>
        <w:pStyle w:val="SingleTxtG"/>
        <w:ind w:left="1701"/>
        <w:rPr>
          <w:lang w:val="fr-CH"/>
        </w:rPr>
      </w:pPr>
      <w:r w:rsidRPr="0071782F">
        <w:rPr>
          <w:lang w:val="fr-CH"/>
        </w:rPr>
        <w:t>319.7.</w:t>
      </w:r>
      <w:r w:rsidRPr="0071782F">
        <w:rPr>
          <w:lang w:val="fr-CH"/>
        </w:rPr>
        <w:tab/>
      </w:r>
      <w:r w:rsidR="00166DB6" w:rsidRPr="0071782F">
        <w:rPr>
          <w:lang w:val="fr-CH"/>
        </w:rPr>
        <w:t xml:space="preserve">Création de 10 </w:t>
      </w:r>
      <w:r w:rsidRPr="0071782F">
        <w:rPr>
          <w:lang w:val="fr-CH"/>
        </w:rPr>
        <w:t xml:space="preserve">associations </w:t>
      </w:r>
      <w:r w:rsidR="00D82C96" w:rsidRPr="0071782F">
        <w:rPr>
          <w:lang w:val="fr-CH"/>
        </w:rPr>
        <w:t>de personnes</w:t>
      </w:r>
      <w:r w:rsidR="00166DB6" w:rsidRPr="0071782F">
        <w:rPr>
          <w:lang w:val="fr-CH"/>
        </w:rPr>
        <w:t xml:space="preserve"> âgées</w:t>
      </w:r>
      <w:r w:rsidRPr="0071782F">
        <w:rPr>
          <w:lang w:val="fr-CH"/>
        </w:rPr>
        <w:t>.</w:t>
      </w:r>
    </w:p>
    <w:p w:rsidR="00E5019F" w:rsidRPr="0071782F" w:rsidRDefault="00E5019F" w:rsidP="004F2D7C">
      <w:pPr>
        <w:pStyle w:val="H1G"/>
        <w:rPr>
          <w:lang w:val="fr-CH"/>
        </w:rPr>
      </w:pPr>
      <w:r w:rsidRPr="0071782F">
        <w:rPr>
          <w:lang w:val="fr-CH"/>
        </w:rPr>
        <w:tab/>
      </w:r>
      <w:r w:rsidRPr="0071782F">
        <w:rPr>
          <w:lang w:val="fr-CH"/>
        </w:rPr>
        <w:tab/>
      </w:r>
      <w:r w:rsidR="00166DB6" w:rsidRPr="0071782F">
        <w:rPr>
          <w:lang w:val="fr-CH"/>
        </w:rPr>
        <w:t xml:space="preserve">Rôle de la coopération et de l’assistance </w:t>
      </w:r>
      <w:r w:rsidRPr="0071782F">
        <w:rPr>
          <w:lang w:val="fr-CH"/>
        </w:rPr>
        <w:t>international</w:t>
      </w:r>
      <w:r w:rsidR="00166DB6" w:rsidRPr="0071782F">
        <w:rPr>
          <w:lang w:val="fr-CH"/>
        </w:rPr>
        <w:t xml:space="preserve">es dans la </w:t>
      </w:r>
      <w:r w:rsidRPr="0071782F">
        <w:rPr>
          <w:lang w:val="fr-CH"/>
        </w:rPr>
        <w:t>r</w:t>
      </w:r>
      <w:r w:rsidR="00166DB6" w:rsidRPr="0071782F">
        <w:rPr>
          <w:lang w:val="fr-CH"/>
        </w:rPr>
        <w:t>é</w:t>
      </w:r>
      <w:r w:rsidRPr="0071782F">
        <w:rPr>
          <w:lang w:val="fr-CH"/>
        </w:rPr>
        <w:t>ali</w:t>
      </w:r>
      <w:r w:rsidR="00166DB6" w:rsidRPr="0071782F">
        <w:rPr>
          <w:lang w:val="fr-CH"/>
        </w:rPr>
        <w:t>s</w:t>
      </w:r>
      <w:r w:rsidRPr="0071782F">
        <w:rPr>
          <w:lang w:val="fr-CH"/>
        </w:rPr>
        <w:t xml:space="preserve">ation </w:t>
      </w:r>
      <w:r w:rsidR="00166DB6" w:rsidRPr="0071782F">
        <w:rPr>
          <w:lang w:val="fr-CH"/>
        </w:rPr>
        <w:t xml:space="preserve">des dispositions de </w:t>
      </w:r>
      <w:r w:rsidR="00723F2B" w:rsidRPr="0071782F">
        <w:rPr>
          <w:lang w:val="fr-CH"/>
        </w:rPr>
        <w:t>l’</w:t>
      </w:r>
      <w:r w:rsidR="00943A69" w:rsidRPr="0071782F">
        <w:rPr>
          <w:lang w:val="fr-CH"/>
        </w:rPr>
        <w:t>article </w:t>
      </w:r>
      <w:r w:rsidRPr="0071782F">
        <w:rPr>
          <w:lang w:val="fr-CH"/>
        </w:rPr>
        <w:t xml:space="preserve">12 </w:t>
      </w:r>
    </w:p>
    <w:p w:rsidR="00E5019F" w:rsidRPr="0071782F" w:rsidRDefault="00E5019F" w:rsidP="004F2D7C">
      <w:pPr>
        <w:pStyle w:val="SingleTxtG"/>
        <w:keepNext/>
        <w:rPr>
          <w:lang w:val="fr-CH"/>
        </w:rPr>
      </w:pPr>
      <w:r w:rsidRPr="0071782F">
        <w:rPr>
          <w:lang w:val="fr-CH"/>
        </w:rPr>
        <w:t>320.</w:t>
      </w:r>
      <w:r w:rsidRPr="0071782F">
        <w:rPr>
          <w:lang w:val="fr-CH"/>
        </w:rPr>
        <w:tab/>
      </w:r>
      <w:r w:rsidR="00137DBD" w:rsidRPr="0071782F">
        <w:rPr>
          <w:lang w:val="fr-CH"/>
        </w:rPr>
        <w:t>À ce sujet, il convient de noter ce qui suit</w:t>
      </w:r>
      <w:r w:rsidR="008F7D33" w:rsidRPr="0071782F">
        <w:rPr>
          <w:lang w:val="fr-CH"/>
        </w:rPr>
        <w:t>:</w:t>
      </w:r>
    </w:p>
    <w:p w:rsidR="00E5019F" w:rsidRPr="0071782F" w:rsidRDefault="00166DB6" w:rsidP="004F2D7C">
      <w:pPr>
        <w:pStyle w:val="SingleTxtG"/>
        <w:keepNext/>
        <w:ind w:left="1701"/>
        <w:rPr>
          <w:lang w:val="fr-CH"/>
        </w:rPr>
      </w:pPr>
      <w:r w:rsidRPr="0071782F">
        <w:rPr>
          <w:lang w:val="fr-CH"/>
        </w:rPr>
        <w:t>320.1.</w:t>
      </w:r>
      <w:r w:rsidRPr="0071782F">
        <w:rPr>
          <w:lang w:val="fr-CH"/>
        </w:rPr>
        <w:tab/>
        <w:t xml:space="preserve">La </w:t>
      </w:r>
      <w:r w:rsidR="00E5019F" w:rsidRPr="0071782F">
        <w:rPr>
          <w:lang w:val="fr-CH"/>
        </w:rPr>
        <w:t>R</w:t>
      </w:r>
      <w:r w:rsidRPr="0071782F">
        <w:rPr>
          <w:lang w:val="fr-CH"/>
        </w:rPr>
        <w:t>épublique islamique d’</w:t>
      </w:r>
      <w:r w:rsidR="00E5019F" w:rsidRPr="0071782F">
        <w:rPr>
          <w:lang w:val="fr-CH"/>
        </w:rPr>
        <w:t xml:space="preserve">Iran </w:t>
      </w:r>
      <w:r w:rsidRPr="0071782F">
        <w:rPr>
          <w:lang w:val="fr-CH"/>
        </w:rPr>
        <w:t>entretient depuis longtemps des liens de coopération avec les organisations internationales compétentes telles que l’OMS, l’</w:t>
      </w:r>
      <w:r w:rsidR="00E5019F" w:rsidRPr="0071782F">
        <w:rPr>
          <w:lang w:val="fr-CH"/>
        </w:rPr>
        <w:t xml:space="preserve">UNICEF, </w:t>
      </w:r>
      <w:r w:rsidRPr="0071782F">
        <w:rPr>
          <w:lang w:val="fr-CH"/>
        </w:rPr>
        <w:t xml:space="preserve">le FNUAP et le </w:t>
      </w:r>
      <w:r w:rsidR="00E5019F" w:rsidRPr="0071782F">
        <w:rPr>
          <w:lang w:val="fr-CH"/>
        </w:rPr>
        <w:t>HCR.</w:t>
      </w:r>
    </w:p>
    <w:p w:rsidR="00E5019F" w:rsidRPr="0071782F" w:rsidRDefault="00E5019F" w:rsidP="00E5019F">
      <w:pPr>
        <w:pStyle w:val="SingleTxtG"/>
        <w:ind w:left="1701"/>
        <w:rPr>
          <w:lang w:val="fr-CH"/>
        </w:rPr>
      </w:pPr>
      <w:r w:rsidRPr="0071782F">
        <w:rPr>
          <w:lang w:val="fr-CH"/>
        </w:rPr>
        <w:t>320.2.</w:t>
      </w:r>
      <w:r w:rsidRPr="0071782F">
        <w:rPr>
          <w:lang w:val="fr-CH"/>
        </w:rPr>
        <w:tab/>
      </w:r>
      <w:r w:rsidR="00166DB6" w:rsidRPr="0071782F">
        <w:rPr>
          <w:lang w:val="fr-CH"/>
        </w:rPr>
        <w:t>La coopé</w:t>
      </w:r>
      <w:r w:rsidRPr="0071782F">
        <w:rPr>
          <w:lang w:val="fr-CH"/>
        </w:rPr>
        <w:t xml:space="preserve">ration </w:t>
      </w:r>
      <w:r w:rsidR="00166DB6" w:rsidRPr="0071782F">
        <w:rPr>
          <w:lang w:val="fr-CH"/>
        </w:rPr>
        <w:t>avec les organisations internationales compétentes a joué un rôle essentiel s’agissant de formuler</w:t>
      </w:r>
      <w:r w:rsidRPr="0071782F">
        <w:rPr>
          <w:lang w:val="fr-CH"/>
        </w:rPr>
        <w:t xml:space="preserve"> </w:t>
      </w:r>
      <w:r w:rsidR="00166DB6" w:rsidRPr="0071782F">
        <w:rPr>
          <w:lang w:val="fr-CH"/>
        </w:rPr>
        <w:t xml:space="preserve">des politiques </w:t>
      </w:r>
      <w:r w:rsidRPr="0071782F">
        <w:rPr>
          <w:lang w:val="fr-CH"/>
        </w:rPr>
        <w:t>strat</w:t>
      </w:r>
      <w:r w:rsidR="00166DB6" w:rsidRPr="0071782F">
        <w:rPr>
          <w:lang w:val="fr-CH"/>
        </w:rPr>
        <w:t>é</w:t>
      </w:r>
      <w:r w:rsidRPr="0071782F">
        <w:rPr>
          <w:lang w:val="fr-CH"/>
        </w:rPr>
        <w:t>gi</w:t>
      </w:r>
      <w:r w:rsidR="00166DB6" w:rsidRPr="0071782F">
        <w:rPr>
          <w:lang w:val="fr-CH"/>
        </w:rPr>
        <w:t xml:space="preserve">ques dans le secteur de la santé, de mettre en </w:t>
      </w:r>
      <w:r w:rsidR="00D5366B" w:rsidRPr="0071782F">
        <w:rPr>
          <w:lang w:val="fr-CH"/>
        </w:rPr>
        <w:t>œuvre</w:t>
      </w:r>
      <w:r w:rsidR="00166DB6" w:rsidRPr="0071782F">
        <w:rPr>
          <w:lang w:val="fr-CH"/>
        </w:rPr>
        <w:t xml:space="preserve"> de nouveaux mécanismes et méthodes en matière de soins de santé et d’exécuter des projets pilotes liés aux </w:t>
      </w:r>
      <w:r w:rsidRPr="0071782F">
        <w:rPr>
          <w:lang w:val="fr-CH"/>
        </w:rPr>
        <w:t xml:space="preserve">innovations </w:t>
      </w:r>
      <w:r w:rsidR="00166DB6" w:rsidRPr="0071782F">
        <w:rPr>
          <w:lang w:val="fr-CH"/>
        </w:rPr>
        <w:t>dans ce secteur</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t>R</w:t>
      </w:r>
      <w:r w:rsidR="00166DB6" w:rsidRPr="0071782F">
        <w:rPr>
          <w:lang w:val="fr-CH"/>
        </w:rPr>
        <w:t>é</w:t>
      </w:r>
      <w:r w:rsidRPr="0071782F">
        <w:rPr>
          <w:lang w:val="fr-CH"/>
        </w:rPr>
        <w:t>gulati</w:t>
      </w:r>
      <w:r w:rsidR="00166DB6" w:rsidRPr="0071782F">
        <w:rPr>
          <w:lang w:val="fr-CH"/>
        </w:rPr>
        <w:t xml:space="preserve">on du traitement et de la réadaptation </w:t>
      </w:r>
      <w:r w:rsidR="007F37CE" w:rsidRPr="0071782F">
        <w:rPr>
          <w:lang w:val="fr-CH"/>
        </w:rPr>
        <w:t>des personnes</w:t>
      </w:r>
      <w:r w:rsidR="00166DB6" w:rsidRPr="0071782F">
        <w:rPr>
          <w:lang w:val="fr-CH"/>
        </w:rPr>
        <w:t xml:space="preserve"> souffrant de maladies mentales chroniques </w:t>
      </w:r>
    </w:p>
    <w:p w:rsidR="00E5019F" w:rsidRPr="0071782F" w:rsidRDefault="00E5019F" w:rsidP="00E5019F">
      <w:pPr>
        <w:pStyle w:val="SingleTxtG"/>
        <w:rPr>
          <w:lang w:val="fr-CH"/>
        </w:rPr>
      </w:pPr>
      <w:r w:rsidRPr="0071782F">
        <w:rPr>
          <w:lang w:val="fr-CH"/>
        </w:rPr>
        <w:t>321.</w:t>
      </w:r>
      <w:r w:rsidRPr="0071782F">
        <w:rPr>
          <w:lang w:val="fr-CH"/>
        </w:rPr>
        <w:tab/>
      </w:r>
      <w:r w:rsidR="00137DBD"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321.1.</w:t>
      </w:r>
      <w:r w:rsidRPr="0071782F">
        <w:rPr>
          <w:lang w:val="fr-CH"/>
        </w:rPr>
        <w:tab/>
      </w:r>
      <w:r w:rsidR="002B693B" w:rsidRPr="0071782F">
        <w:rPr>
          <w:lang w:val="fr-CH"/>
        </w:rPr>
        <w:t xml:space="preserve">Plan national de régulation du traitement et de la réadaptation </w:t>
      </w:r>
      <w:r w:rsidR="007F37CE" w:rsidRPr="0071782F">
        <w:rPr>
          <w:lang w:val="fr-CH"/>
        </w:rPr>
        <w:t>des personnes</w:t>
      </w:r>
      <w:r w:rsidR="002B693B" w:rsidRPr="0071782F">
        <w:rPr>
          <w:lang w:val="fr-CH"/>
        </w:rPr>
        <w:t xml:space="preserve"> souffrant de maladies mentales chroniques, dont l’exécution a commencé en </w:t>
      </w:r>
      <w:r w:rsidRPr="0071782F">
        <w:rPr>
          <w:lang w:val="fr-CH"/>
        </w:rPr>
        <w:t xml:space="preserve">2000 </w:t>
      </w:r>
      <w:r w:rsidR="002B693B" w:rsidRPr="0071782F">
        <w:rPr>
          <w:lang w:val="fr-CH"/>
        </w:rPr>
        <w:t xml:space="preserve">après l’adoption par le Parlement du </w:t>
      </w:r>
      <w:r w:rsidR="00723F2B" w:rsidRPr="0071782F">
        <w:rPr>
          <w:lang w:val="fr-CH"/>
        </w:rPr>
        <w:t>paragraphe </w:t>
      </w:r>
      <w:r w:rsidRPr="0071782F">
        <w:rPr>
          <w:lang w:val="fr-CH"/>
        </w:rPr>
        <w:t xml:space="preserve">5 </w:t>
      </w:r>
      <w:r w:rsidR="002B693B"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192 </w:t>
      </w:r>
      <w:r w:rsidR="002B693B" w:rsidRPr="0071782F">
        <w:rPr>
          <w:lang w:val="fr-CH"/>
        </w:rPr>
        <w:t xml:space="preserve">de la loi relative au </w:t>
      </w:r>
      <w:r w:rsidR="009E6189" w:rsidRPr="009E6189">
        <w:rPr>
          <w:lang w:val="fr-CH"/>
        </w:rPr>
        <w:t>troisième</w:t>
      </w:r>
      <w:r w:rsidR="009E6189">
        <w:rPr>
          <w:lang w:val="fr-CH"/>
        </w:rPr>
        <w:t xml:space="preserve"> </w:t>
      </w:r>
      <w:r w:rsidR="002B693B" w:rsidRPr="0071782F">
        <w:rPr>
          <w:lang w:val="fr-CH"/>
        </w:rPr>
        <w:t>plan de développement</w:t>
      </w:r>
      <w:r w:rsidRPr="0071782F">
        <w:rPr>
          <w:lang w:val="fr-CH"/>
        </w:rPr>
        <w:t>.</w:t>
      </w:r>
    </w:p>
    <w:p w:rsidR="00E5019F" w:rsidRPr="0071782F" w:rsidRDefault="00E5019F" w:rsidP="00E5019F">
      <w:pPr>
        <w:pStyle w:val="SingleTxtG"/>
        <w:ind w:left="1701"/>
        <w:rPr>
          <w:lang w:val="fr-CH"/>
        </w:rPr>
      </w:pPr>
      <w:r w:rsidRPr="0071782F">
        <w:rPr>
          <w:lang w:val="fr-CH"/>
        </w:rPr>
        <w:t>321.2.</w:t>
      </w:r>
      <w:r w:rsidRPr="0071782F">
        <w:rPr>
          <w:lang w:val="fr-CH"/>
        </w:rPr>
        <w:tab/>
      </w:r>
      <w:r w:rsidR="002B693B" w:rsidRPr="0071782F">
        <w:rPr>
          <w:lang w:val="fr-CH"/>
        </w:rPr>
        <w:t xml:space="preserve">L’Organisme public de protection sociale (qui relevait alors du Ministère de la santé et de la formation médicale) a établi, sur proposition du Ministère de la santé et de la formation médicale, le règlement concernant l’exécution du plan susvisé, règlement que le Conseil des ministres a adopté en juillet </w:t>
      </w:r>
      <w:r w:rsidRPr="0071782F">
        <w:rPr>
          <w:lang w:val="fr-CH"/>
        </w:rPr>
        <w:t xml:space="preserve">2001 </w:t>
      </w:r>
      <w:r w:rsidR="002B693B" w:rsidRPr="0071782F">
        <w:rPr>
          <w:lang w:val="fr-CH"/>
        </w:rPr>
        <w:t>et qu’il a chargé l’Organisme public de protection sociale d’appliquer</w:t>
      </w:r>
      <w:r w:rsidRPr="0071782F">
        <w:rPr>
          <w:lang w:val="fr-CH"/>
        </w:rPr>
        <w:t>.</w:t>
      </w:r>
    </w:p>
    <w:p w:rsidR="00E5019F" w:rsidRPr="0071782F" w:rsidRDefault="00E5019F" w:rsidP="00E5019F">
      <w:pPr>
        <w:pStyle w:val="SingleTxtG"/>
        <w:ind w:left="1701"/>
        <w:rPr>
          <w:spacing w:val="-2"/>
          <w:lang w:val="fr-CH"/>
        </w:rPr>
      </w:pPr>
      <w:r w:rsidRPr="0071782F">
        <w:rPr>
          <w:spacing w:val="-2"/>
          <w:lang w:val="fr-CH"/>
        </w:rPr>
        <w:t>321.3.</w:t>
      </w:r>
      <w:r w:rsidRPr="0071782F">
        <w:rPr>
          <w:spacing w:val="-2"/>
          <w:lang w:val="fr-CH"/>
        </w:rPr>
        <w:tab/>
      </w:r>
      <w:r w:rsidR="002B693B" w:rsidRPr="0071782F">
        <w:rPr>
          <w:spacing w:val="-2"/>
          <w:lang w:val="fr-CH"/>
        </w:rPr>
        <w:t xml:space="preserve">L’Organisme public de protection sociale a commencé de s’acquitter de ses obligations à cet égard en créant en 2001 le Comité de régulation du traitement et de la réadaptation </w:t>
      </w:r>
      <w:r w:rsidR="007F37CE" w:rsidRPr="0071782F">
        <w:rPr>
          <w:spacing w:val="-2"/>
          <w:lang w:val="fr-CH"/>
        </w:rPr>
        <w:t>des personnes</w:t>
      </w:r>
      <w:r w:rsidR="002B693B" w:rsidRPr="0071782F">
        <w:rPr>
          <w:spacing w:val="-2"/>
          <w:lang w:val="fr-CH"/>
        </w:rPr>
        <w:t xml:space="preserve"> souffrant de maladies mentales chroniques. L’Organisme a formulé les directives s’y rapportant et délivré aux entités privées souhaitant fournir des services de traitement et de réadaptation </w:t>
      </w:r>
      <w:r w:rsidR="00175962" w:rsidRPr="0071782F">
        <w:rPr>
          <w:spacing w:val="-2"/>
          <w:lang w:val="fr-CH"/>
        </w:rPr>
        <w:t>aux personnes</w:t>
      </w:r>
      <w:r w:rsidR="002B693B" w:rsidRPr="0071782F">
        <w:rPr>
          <w:spacing w:val="-2"/>
          <w:lang w:val="fr-CH"/>
        </w:rPr>
        <w:t xml:space="preserve"> se trouvant dans cette situation les autorisations nécessaires à la conduite de ces activités.</w:t>
      </w:r>
    </w:p>
    <w:p w:rsidR="00E5019F" w:rsidRPr="0071782F" w:rsidRDefault="00E5019F" w:rsidP="00E5019F">
      <w:pPr>
        <w:pStyle w:val="SingleTxtG"/>
        <w:ind w:left="1701"/>
        <w:rPr>
          <w:lang w:val="fr-CH"/>
        </w:rPr>
      </w:pPr>
      <w:r w:rsidRPr="0071782F">
        <w:rPr>
          <w:lang w:val="fr-CH"/>
        </w:rPr>
        <w:t>321.4.</w:t>
      </w:r>
      <w:r w:rsidRPr="0071782F">
        <w:rPr>
          <w:lang w:val="fr-CH"/>
        </w:rPr>
        <w:tab/>
      </w:r>
      <w:r w:rsidR="003C2288" w:rsidRPr="0071782F">
        <w:rPr>
          <w:lang w:val="fr-CH"/>
        </w:rPr>
        <w:t>La création de centres privés ouverts 24</w:t>
      </w:r>
      <w:r w:rsidR="00BF435F" w:rsidRPr="0071782F">
        <w:rPr>
          <w:lang w:val="fr-CH"/>
        </w:rPr>
        <w:t> heures</w:t>
      </w:r>
      <w:r w:rsidR="003C2288" w:rsidRPr="0071782F">
        <w:rPr>
          <w:lang w:val="fr-CH"/>
        </w:rPr>
        <w:t xml:space="preserve"> sur 24 et de centres de jour ainsi que l’organisation de visites à domicile ont permis de promouvoir la prestation et la supervision de</w:t>
      </w:r>
      <w:r w:rsidR="00137DBD" w:rsidRPr="0071782F">
        <w:rPr>
          <w:lang w:val="fr-CH"/>
        </w:rPr>
        <w:t>s</w:t>
      </w:r>
      <w:r w:rsidR="003C2288" w:rsidRPr="0071782F">
        <w:rPr>
          <w:lang w:val="fr-CH"/>
        </w:rPr>
        <w:t xml:space="preserve"> services de traitement et de réadaptation </w:t>
      </w:r>
      <w:r w:rsidR="00137DBD" w:rsidRPr="0071782F">
        <w:rPr>
          <w:lang w:val="fr-CH"/>
        </w:rPr>
        <w:t xml:space="preserve">destinés aux </w:t>
      </w:r>
      <w:r w:rsidR="003C2288" w:rsidRPr="0071782F">
        <w:rPr>
          <w:lang w:val="fr-CH"/>
        </w:rPr>
        <w:t>enfants autistes.</w:t>
      </w:r>
    </w:p>
    <w:p w:rsidR="00E5019F" w:rsidRPr="0071782F" w:rsidRDefault="00E5019F" w:rsidP="00E5019F">
      <w:pPr>
        <w:pStyle w:val="H1G"/>
        <w:rPr>
          <w:lang w:val="fr-CH"/>
        </w:rPr>
      </w:pPr>
      <w:r w:rsidRPr="0071782F">
        <w:rPr>
          <w:lang w:val="fr-CH"/>
        </w:rPr>
        <w:tab/>
      </w:r>
      <w:r w:rsidRPr="0071782F">
        <w:rPr>
          <w:lang w:val="fr-CH"/>
        </w:rPr>
        <w:tab/>
        <w:t>P</w:t>
      </w:r>
      <w:r w:rsidR="003C2288" w:rsidRPr="0071782F">
        <w:rPr>
          <w:lang w:val="fr-CH"/>
        </w:rPr>
        <w:t xml:space="preserve">erspectives générales </w:t>
      </w:r>
    </w:p>
    <w:p w:rsidR="00E5019F" w:rsidRPr="0071782F" w:rsidRDefault="00E5019F" w:rsidP="00E5019F">
      <w:pPr>
        <w:pStyle w:val="SingleTxtG"/>
        <w:rPr>
          <w:lang w:val="fr-CH"/>
        </w:rPr>
      </w:pPr>
      <w:r w:rsidRPr="0071782F">
        <w:rPr>
          <w:lang w:val="fr-CH"/>
        </w:rPr>
        <w:t>322.</w:t>
      </w:r>
      <w:r w:rsidRPr="0071782F">
        <w:rPr>
          <w:lang w:val="fr-CH"/>
        </w:rPr>
        <w:tab/>
      </w:r>
      <w:r w:rsidR="003C2288" w:rsidRPr="0071782F">
        <w:rPr>
          <w:lang w:val="fr-CH"/>
        </w:rPr>
        <w:t xml:space="preserve">Le Comité de régulation du traitement et de la réadaptation </w:t>
      </w:r>
      <w:r w:rsidR="007F37CE" w:rsidRPr="0071782F">
        <w:rPr>
          <w:lang w:val="fr-CH"/>
        </w:rPr>
        <w:t>des personnes</w:t>
      </w:r>
      <w:r w:rsidR="003C2288" w:rsidRPr="0071782F">
        <w:rPr>
          <w:lang w:val="fr-CH"/>
        </w:rPr>
        <w:t xml:space="preserve"> souffrant de maladies mentales chroniques, qui relève de l’Organisme public de protection sociale, a pour objectif de recenser les patients concernés et de leur fournir des services intégrés de réadaptation dans l’ensemble du pays par le biais de l’adoption de mesures intersectorielles et intrasectorielles</w:t>
      </w:r>
      <w:r w:rsidRPr="0071782F">
        <w:rPr>
          <w:lang w:val="fr-CH"/>
        </w:rPr>
        <w:t xml:space="preserve">. </w:t>
      </w:r>
    </w:p>
    <w:p w:rsidR="00E5019F" w:rsidRPr="0071782F" w:rsidRDefault="00E5019F" w:rsidP="00E5019F">
      <w:pPr>
        <w:pStyle w:val="H1G"/>
        <w:rPr>
          <w:lang w:val="fr-CH"/>
        </w:rPr>
      </w:pPr>
      <w:r w:rsidRPr="0071782F">
        <w:rPr>
          <w:lang w:val="fr-CH"/>
        </w:rPr>
        <w:tab/>
      </w:r>
      <w:r w:rsidRPr="0071782F">
        <w:rPr>
          <w:lang w:val="fr-CH"/>
        </w:rPr>
        <w:tab/>
        <w:t>Mission</w:t>
      </w:r>
    </w:p>
    <w:p w:rsidR="00E5019F" w:rsidRPr="0071782F" w:rsidRDefault="00E5019F" w:rsidP="00E5019F">
      <w:pPr>
        <w:pStyle w:val="SingleTxtG"/>
        <w:rPr>
          <w:lang w:val="fr-CH"/>
        </w:rPr>
      </w:pPr>
      <w:r w:rsidRPr="0071782F">
        <w:rPr>
          <w:lang w:val="fr-CH"/>
        </w:rPr>
        <w:t>323.</w:t>
      </w:r>
      <w:r w:rsidRPr="0071782F">
        <w:rPr>
          <w:lang w:val="fr-CH"/>
        </w:rPr>
        <w:tab/>
      </w:r>
      <w:r w:rsidR="003C2288" w:rsidRPr="0071782F">
        <w:rPr>
          <w:lang w:val="fr-CH"/>
        </w:rPr>
        <w:t xml:space="preserve">Le Comité de régulation du traitement et de la réadaptation </w:t>
      </w:r>
      <w:r w:rsidR="007F37CE" w:rsidRPr="0071782F">
        <w:rPr>
          <w:lang w:val="fr-CH"/>
        </w:rPr>
        <w:t>des personnes</w:t>
      </w:r>
      <w:r w:rsidR="003C2288" w:rsidRPr="0071782F">
        <w:rPr>
          <w:lang w:val="fr-CH"/>
        </w:rPr>
        <w:t xml:space="preserve"> souffrant de maladies mentales chroniques fournit </w:t>
      </w:r>
      <w:r w:rsidR="00175962" w:rsidRPr="0071782F">
        <w:rPr>
          <w:lang w:val="fr-CH"/>
        </w:rPr>
        <w:t>aux personnes</w:t>
      </w:r>
      <w:r w:rsidR="003C2288" w:rsidRPr="0071782F">
        <w:rPr>
          <w:lang w:val="fr-CH"/>
        </w:rPr>
        <w:t xml:space="preserve"> se trouvant dans cette situation des services de traitement et de réadaptation fondés sur les méthodes et profils scientifiques et conformes aux dispositions du </w:t>
      </w:r>
      <w:r w:rsidR="00723F2B" w:rsidRPr="0071782F">
        <w:rPr>
          <w:lang w:val="fr-CH"/>
        </w:rPr>
        <w:t>paragraphe </w:t>
      </w:r>
      <w:r w:rsidRPr="0071782F">
        <w:rPr>
          <w:lang w:val="fr-CH"/>
        </w:rPr>
        <w:t xml:space="preserve">5 </w:t>
      </w:r>
      <w:r w:rsidR="003C2288"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92 </w:t>
      </w:r>
      <w:r w:rsidR="003C2288" w:rsidRPr="0071782F">
        <w:rPr>
          <w:lang w:val="fr-CH"/>
        </w:rPr>
        <w:t xml:space="preserve">de la loi relative au </w:t>
      </w:r>
      <w:r w:rsidR="009E6189" w:rsidRPr="009E6189">
        <w:rPr>
          <w:lang w:val="fr-CH"/>
        </w:rPr>
        <w:t>troisième</w:t>
      </w:r>
      <w:r w:rsidR="009E6189">
        <w:rPr>
          <w:lang w:val="fr-CH"/>
        </w:rPr>
        <w:t xml:space="preserve"> </w:t>
      </w:r>
      <w:r w:rsidR="003C2288" w:rsidRPr="0071782F">
        <w:rPr>
          <w:lang w:val="fr-CH"/>
        </w:rPr>
        <w:t xml:space="preserve">plan de développement </w:t>
      </w:r>
      <w:r w:rsidRPr="0071782F">
        <w:rPr>
          <w:lang w:val="fr-CH"/>
        </w:rPr>
        <w:t>(</w:t>
      </w:r>
      <w:r w:rsidR="003C2288" w:rsidRPr="0071782F">
        <w:rPr>
          <w:lang w:val="fr-CH"/>
        </w:rPr>
        <w:t xml:space="preserve">repris dans la loi relative au </w:t>
      </w:r>
      <w:r w:rsidR="00A90208" w:rsidRPr="0071782F">
        <w:rPr>
          <w:lang w:val="fr-CH"/>
        </w:rPr>
        <w:t>quatrième</w:t>
      </w:r>
      <w:r w:rsidR="003C2288" w:rsidRPr="0071782F">
        <w:rPr>
          <w:lang w:val="fr-CH"/>
        </w:rPr>
        <w:t xml:space="preserve"> plan de développement) et du </w:t>
      </w:r>
      <w:r w:rsidR="00723F2B" w:rsidRPr="0071782F">
        <w:rPr>
          <w:lang w:val="fr-CH"/>
        </w:rPr>
        <w:t>paragraphe </w:t>
      </w:r>
      <w:r w:rsidR="00860D09" w:rsidRPr="0071782F">
        <w:rPr>
          <w:lang w:val="fr-CH"/>
        </w:rPr>
        <w:t>F</w:t>
      </w:r>
      <w:r w:rsidRPr="0071782F">
        <w:rPr>
          <w:lang w:val="fr-CH"/>
        </w:rPr>
        <w:t xml:space="preserve"> </w:t>
      </w:r>
      <w:r w:rsidR="003C2288"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97 </w:t>
      </w:r>
      <w:r w:rsidR="003C2288" w:rsidRPr="0071782F">
        <w:rPr>
          <w:lang w:val="fr-CH"/>
        </w:rPr>
        <w:t xml:space="preserve">de la loi relative au </w:t>
      </w:r>
      <w:r w:rsidR="00A90208" w:rsidRPr="0071782F">
        <w:rPr>
          <w:lang w:val="fr-CH"/>
        </w:rPr>
        <w:t>quatrième</w:t>
      </w:r>
      <w:r w:rsidR="00860D09" w:rsidRPr="0071782F">
        <w:rPr>
          <w:lang w:val="fr-CH"/>
        </w:rPr>
        <w:t> </w:t>
      </w:r>
      <w:r w:rsidR="003C2288" w:rsidRPr="0071782F">
        <w:rPr>
          <w:lang w:val="fr-CH"/>
        </w:rPr>
        <w:t xml:space="preserve">plan de développement. Ses fonctions consistent notamment à élaborer des politiques et à planifier et développer les services de réadaptation que fournit le secteur privé aux groupes cibles </w:t>
      </w:r>
      <w:r w:rsidRPr="0071782F">
        <w:rPr>
          <w:lang w:val="fr-CH"/>
        </w:rPr>
        <w:t>(pe</w:t>
      </w:r>
      <w:r w:rsidR="003C2288" w:rsidRPr="0071782F">
        <w:rPr>
          <w:lang w:val="fr-CH"/>
        </w:rPr>
        <w:t xml:space="preserve">rsonnes souffrant de maladies mentales chroniques, </w:t>
      </w:r>
      <w:r w:rsidR="00DA097D" w:rsidRPr="0071782F">
        <w:rPr>
          <w:lang w:val="fr-CH"/>
        </w:rPr>
        <w:t>les familles</w:t>
      </w:r>
      <w:r w:rsidR="003C2288" w:rsidRPr="0071782F">
        <w:rPr>
          <w:lang w:val="fr-CH"/>
        </w:rPr>
        <w:t xml:space="preserve"> et la société) dans le cadre des politiques adoptées par la Direction des services de réadaptation de l’Organisme public de protection sociale</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3C2288" w:rsidRPr="0071782F">
        <w:rPr>
          <w:lang w:val="fr-CH"/>
        </w:rPr>
        <w:t>Objectif f</w:t>
      </w:r>
      <w:r w:rsidRPr="0071782F">
        <w:rPr>
          <w:lang w:val="fr-CH"/>
        </w:rPr>
        <w:t xml:space="preserve">inal </w:t>
      </w:r>
    </w:p>
    <w:p w:rsidR="00E5019F" w:rsidRPr="0071782F" w:rsidRDefault="00E5019F" w:rsidP="00E5019F">
      <w:pPr>
        <w:pStyle w:val="SingleTxtG"/>
        <w:rPr>
          <w:lang w:val="fr-CH"/>
        </w:rPr>
      </w:pPr>
      <w:r w:rsidRPr="0071782F">
        <w:rPr>
          <w:lang w:val="fr-CH"/>
        </w:rPr>
        <w:t>324.</w:t>
      </w:r>
      <w:r w:rsidRPr="0071782F">
        <w:rPr>
          <w:lang w:val="fr-CH"/>
        </w:rPr>
        <w:tab/>
      </w:r>
      <w:r w:rsidR="0051656E" w:rsidRPr="0071782F">
        <w:rPr>
          <w:lang w:val="fr-CH"/>
        </w:rPr>
        <w:t>À ce sujet, il convient de noter ce qui suit</w:t>
      </w:r>
      <w:r w:rsidR="008F7D33" w:rsidRPr="0071782F">
        <w:rPr>
          <w:lang w:val="fr-CH"/>
        </w:rPr>
        <w:t>:</w:t>
      </w:r>
    </w:p>
    <w:p w:rsidR="00E5019F" w:rsidRPr="0071782F" w:rsidRDefault="00E5019F" w:rsidP="00E5019F">
      <w:pPr>
        <w:pStyle w:val="SingleTxtG"/>
        <w:ind w:left="1701"/>
        <w:rPr>
          <w:lang w:val="fr-CH"/>
        </w:rPr>
      </w:pPr>
      <w:r w:rsidRPr="0071782F">
        <w:rPr>
          <w:lang w:val="fr-CH"/>
        </w:rPr>
        <w:t>324.1.</w:t>
      </w:r>
      <w:r w:rsidRPr="0071782F">
        <w:rPr>
          <w:lang w:val="fr-CH"/>
        </w:rPr>
        <w:tab/>
      </w:r>
      <w:r w:rsidR="003C2288" w:rsidRPr="0071782F">
        <w:rPr>
          <w:lang w:val="fr-CH"/>
        </w:rPr>
        <w:t xml:space="preserve">Ce secteur a pour objectif </w:t>
      </w:r>
      <w:r w:rsidRPr="0071782F">
        <w:rPr>
          <w:lang w:val="fr-CH"/>
        </w:rPr>
        <w:t xml:space="preserve">final </w:t>
      </w:r>
      <w:r w:rsidR="003C2288" w:rsidRPr="0071782F">
        <w:rPr>
          <w:lang w:val="fr-CH"/>
        </w:rPr>
        <w:t xml:space="preserve">de promouvoir les aptitudes et la qualité de la vie </w:t>
      </w:r>
      <w:r w:rsidR="007F37CE" w:rsidRPr="0071782F">
        <w:rPr>
          <w:lang w:val="fr-CH"/>
        </w:rPr>
        <w:t>des personnes</w:t>
      </w:r>
      <w:r w:rsidR="003C2288" w:rsidRPr="0071782F">
        <w:rPr>
          <w:lang w:val="fr-CH"/>
        </w:rPr>
        <w:t xml:space="preserve"> souffrant de maladies mentales chroniques</w:t>
      </w:r>
      <w:r w:rsidRPr="0071782F">
        <w:rPr>
          <w:lang w:val="fr-CH"/>
        </w:rPr>
        <w:t>.</w:t>
      </w:r>
    </w:p>
    <w:p w:rsidR="00E5019F" w:rsidRPr="0071782F" w:rsidRDefault="00E5019F" w:rsidP="00E5019F">
      <w:pPr>
        <w:pStyle w:val="SingleTxtG"/>
        <w:ind w:left="1701"/>
        <w:rPr>
          <w:lang w:val="fr-CH"/>
        </w:rPr>
      </w:pPr>
      <w:r w:rsidRPr="0071782F">
        <w:rPr>
          <w:lang w:val="fr-CH"/>
        </w:rPr>
        <w:t>324.2.</w:t>
      </w:r>
      <w:r w:rsidRPr="0071782F">
        <w:rPr>
          <w:lang w:val="fr-CH"/>
        </w:rPr>
        <w:tab/>
      </w:r>
      <w:r w:rsidR="003C2288" w:rsidRPr="0071782F">
        <w:rPr>
          <w:lang w:val="fr-CH"/>
        </w:rPr>
        <w:t xml:space="preserve">Le Comité de régulation du traitement et de la réadaptation </w:t>
      </w:r>
      <w:r w:rsidR="007F37CE" w:rsidRPr="0071782F">
        <w:rPr>
          <w:lang w:val="fr-CH"/>
        </w:rPr>
        <w:t>des personnes</w:t>
      </w:r>
      <w:r w:rsidR="003C2288" w:rsidRPr="0071782F">
        <w:rPr>
          <w:lang w:val="fr-CH"/>
        </w:rPr>
        <w:t xml:space="preserve"> souffrant de maladies mentales chroniques a pris les dispositions nécessaires pour que les services dont </w:t>
      </w:r>
      <w:r w:rsidR="00C36750" w:rsidRPr="0071782F">
        <w:rPr>
          <w:lang w:val="fr-CH"/>
        </w:rPr>
        <w:t>ces personnes</w:t>
      </w:r>
      <w:r w:rsidR="003C2288" w:rsidRPr="0071782F">
        <w:rPr>
          <w:lang w:val="fr-CH"/>
        </w:rPr>
        <w:t xml:space="preserve"> ont besoin leur soient fournis pendant la journée, 24</w:t>
      </w:r>
      <w:r w:rsidR="00BF435F" w:rsidRPr="0071782F">
        <w:rPr>
          <w:lang w:val="fr-CH"/>
        </w:rPr>
        <w:t> heures</w:t>
      </w:r>
      <w:r w:rsidR="003C2288" w:rsidRPr="0071782F">
        <w:rPr>
          <w:lang w:val="fr-CH"/>
        </w:rPr>
        <w:t xml:space="preserve"> sur 24 ou à domicile par le biais de </w:t>
      </w:r>
      <w:r w:rsidRPr="0071782F">
        <w:rPr>
          <w:lang w:val="fr-CH"/>
        </w:rPr>
        <w:t>143</w:t>
      </w:r>
      <w:r w:rsidR="009D038B">
        <w:rPr>
          <w:lang w:val="fr-CH"/>
        </w:rPr>
        <w:t> </w:t>
      </w:r>
      <w:r w:rsidR="003C2288" w:rsidRPr="0071782F">
        <w:rPr>
          <w:lang w:val="fr-CH"/>
        </w:rPr>
        <w:t xml:space="preserve">centres de services de réadaptation, dont </w:t>
      </w:r>
      <w:r w:rsidRPr="0071782F">
        <w:rPr>
          <w:lang w:val="fr-CH"/>
        </w:rPr>
        <w:t xml:space="preserve">14 </w:t>
      </w:r>
      <w:r w:rsidR="003C2288" w:rsidRPr="0071782F">
        <w:rPr>
          <w:lang w:val="fr-CH"/>
        </w:rPr>
        <w:t>centres de jour</w:t>
      </w:r>
      <w:r w:rsidRPr="0071782F">
        <w:rPr>
          <w:lang w:val="fr-CH"/>
        </w:rPr>
        <w:t xml:space="preserve">, 90 </w:t>
      </w:r>
      <w:r w:rsidR="003C2288" w:rsidRPr="0071782F">
        <w:rPr>
          <w:lang w:val="fr-CH"/>
        </w:rPr>
        <w:t>centres ouverts 24</w:t>
      </w:r>
      <w:r w:rsidR="00BF435F" w:rsidRPr="0071782F">
        <w:rPr>
          <w:lang w:val="fr-CH"/>
        </w:rPr>
        <w:t> heures</w:t>
      </w:r>
      <w:r w:rsidR="003C2288" w:rsidRPr="0071782F">
        <w:rPr>
          <w:lang w:val="fr-CH"/>
        </w:rPr>
        <w:t xml:space="preserve"> sur 24</w:t>
      </w:r>
      <w:r w:rsidRPr="0071782F">
        <w:rPr>
          <w:lang w:val="fr-CH"/>
        </w:rPr>
        <w:t>, 16</w:t>
      </w:r>
      <w:r w:rsidR="009D038B">
        <w:rPr>
          <w:lang w:val="fr-CH"/>
        </w:rPr>
        <w:t> </w:t>
      </w:r>
      <w:r w:rsidR="003C2288" w:rsidRPr="0071782F">
        <w:rPr>
          <w:lang w:val="fr-CH"/>
        </w:rPr>
        <w:t>centres de soins intégrés</w:t>
      </w:r>
      <w:r w:rsidRPr="0071782F">
        <w:rPr>
          <w:lang w:val="fr-CH"/>
        </w:rPr>
        <w:t>, 18</w:t>
      </w:r>
      <w:r w:rsidR="009D038B">
        <w:rPr>
          <w:lang w:val="fr-CH"/>
        </w:rPr>
        <w:t> </w:t>
      </w:r>
      <w:r w:rsidR="003C2288" w:rsidRPr="0071782F">
        <w:rPr>
          <w:lang w:val="fr-CH"/>
        </w:rPr>
        <w:t>centres de services à domicile et cinq centres spécialisés dans le traitement de l’autisme</w:t>
      </w:r>
      <w:r w:rsidRPr="0071782F">
        <w:rPr>
          <w:lang w:val="fr-CH"/>
        </w:rPr>
        <w:t>.</w:t>
      </w:r>
    </w:p>
    <w:p w:rsidR="00E5019F" w:rsidRPr="0071782F" w:rsidRDefault="00E5019F" w:rsidP="00E5019F">
      <w:pPr>
        <w:pStyle w:val="SingleTxtG"/>
        <w:ind w:left="1701"/>
        <w:rPr>
          <w:lang w:val="fr-CH"/>
        </w:rPr>
      </w:pPr>
      <w:r w:rsidRPr="0071782F">
        <w:rPr>
          <w:lang w:val="fr-CH"/>
        </w:rPr>
        <w:t>324.3.</w:t>
      </w:r>
      <w:r w:rsidRPr="0071782F">
        <w:rPr>
          <w:lang w:val="fr-CH"/>
        </w:rPr>
        <w:tab/>
      </w:r>
      <w:r w:rsidR="00AC1B84" w:rsidRPr="0071782F">
        <w:rPr>
          <w:lang w:val="fr-CH"/>
        </w:rPr>
        <w:t xml:space="preserve">Le </w:t>
      </w:r>
      <w:r w:rsidR="003B48A4" w:rsidRPr="0071782F">
        <w:rPr>
          <w:lang w:val="fr-CH"/>
        </w:rPr>
        <w:t>nombre</w:t>
      </w:r>
      <w:r w:rsidR="00AC1B84" w:rsidRPr="0071782F">
        <w:rPr>
          <w:lang w:val="fr-CH"/>
        </w:rPr>
        <w:t xml:space="preserve"> d’utilisateurs des centres de jour, des centres ouverts 24</w:t>
      </w:r>
      <w:r w:rsidR="00BF435F" w:rsidRPr="0071782F">
        <w:rPr>
          <w:lang w:val="fr-CH"/>
        </w:rPr>
        <w:t> heures</w:t>
      </w:r>
      <w:r w:rsidR="00AC1B84" w:rsidRPr="0071782F">
        <w:rPr>
          <w:lang w:val="fr-CH"/>
        </w:rPr>
        <w:t xml:space="preserve"> sur 24, des centres de soins intégrés, des centres de services à domicile et des centres spécialisés dans le traitement de l’autisme a été de 1</w:t>
      </w:r>
      <w:r w:rsidR="00860D09" w:rsidRPr="0071782F">
        <w:rPr>
          <w:lang w:val="fr-CH"/>
        </w:rPr>
        <w:t> </w:t>
      </w:r>
      <w:r w:rsidRPr="0071782F">
        <w:rPr>
          <w:lang w:val="fr-CH"/>
        </w:rPr>
        <w:t>737, 6</w:t>
      </w:r>
      <w:r w:rsidR="00860D09" w:rsidRPr="0071782F">
        <w:rPr>
          <w:lang w:val="fr-CH"/>
        </w:rPr>
        <w:t> </w:t>
      </w:r>
      <w:r w:rsidR="00AC1B84" w:rsidRPr="0071782F">
        <w:rPr>
          <w:lang w:val="fr-CH"/>
        </w:rPr>
        <w:t>088, 1</w:t>
      </w:r>
      <w:r w:rsidR="00860D09" w:rsidRPr="0071782F">
        <w:rPr>
          <w:lang w:val="fr-CH"/>
        </w:rPr>
        <w:t> </w:t>
      </w:r>
      <w:r w:rsidRPr="0071782F">
        <w:rPr>
          <w:lang w:val="fr-CH"/>
        </w:rPr>
        <w:t xml:space="preserve">856 </w:t>
      </w:r>
      <w:r w:rsidR="00AC1B84" w:rsidRPr="0071782F">
        <w:rPr>
          <w:lang w:val="fr-CH"/>
        </w:rPr>
        <w:t>et</w:t>
      </w:r>
      <w:r w:rsidRPr="0071782F">
        <w:rPr>
          <w:lang w:val="fr-CH"/>
        </w:rPr>
        <w:t xml:space="preserve"> 198</w:t>
      </w:r>
      <w:r w:rsidR="00AC1B84" w:rsidRPr="0071782F">
        <w:rPr>
          <w:lang w:val="fr-CH"/>
        </w:rPr>
        <w:t>, respectivement</w:t>
      </w:r>
      <w:r w:rsidRPr="0071782F">
        <w:rPr>
          <w:lang w:val="fr-CH"/>
        </w:rPr>
        <w:t>.</w:t>
      </w:r>
    </w:p>
    <w:p w:rsidR="00E5019F" w:rsidRPr="0071782F" w:rsidRDefault="00E5019F" w:rsidP="00E5019F">
      <w:pPr>
        <w:pStyle w:val="SingleTxtG"/>
        <w:ind w:left="1701"/>
        <w:rPr>
          <w:lang w:val="fr-CH"/>
        </w:rPr>
      </w:pPr>
      <w:r w:rsidRPr="0071782F">
        <w:rPr>
          <w:lang w:val="fr-CH"/>
        </w:rPr>
        <w:t>324.4.</w:t>
      </w:r>
      <w:r w:rsidRPr="0071782F">
        <w:rPr>
          <w:lang w:val="fr-CH"/>
        </w:rPr>
        <w:tab/>
      </w:r>
      <w:r w:rsidR="00F30E1C" w:rsidRPr="0071782F">
        <w:rPr>
          <w:lang w:val="fr-CH"/>
        </w:rPr>
        <w:t>Parmi les centres ouverts 24</w:t>
      </w:r>
      <w:r w:rsidR="00BF435F" w:rsidRPr="0071782F">
        <w:rPr>
          <w:lang w:val="fr-CH"/>
        </w:rPr>
        <w:t> heures</w:t>
      </w:r>
      <w:r w:rsidR="00F30E1C" w:rsidRPr="0071782F">
        <w:rPr>
          <w:lang w:val="fr-CH"/>
        </w:rPr>
        <w:t xml:space="preserve"> sur 24</w:t>
      </w:r>
      <w:r w:rsidRPr="0071782F">
        <w:rPr>
          <w:lang w:val="fr-CH"/>
        </w:rPr>
        <w:t>, 30</w:t>
      </w:r>
      <w:r w:rsidR="007E5125" w:rsidRPr="0071782F">
        <w:rPr>
          <w:lang w:val="fr-CH"/>
        </w:rPr>
        <w:t>%</w:t>
      </w:r>
      <w:r w:rsidRPr="0071782F">
        <w:rPr>
          <w:lang w:val="fr-CH"/>
        </w:rPr>
        <w:t xml:space="preserve"> </w:t>
      </w:r>
      <w:r w:rsidR="00F30E1C" w:rsidRPr="0071782F">
        <w:rPr>
          <w:lang w:val="fr-CH"/>
        </w:rPr>
        <w:t>et</w:t>
      </w:r>
      <w:r w:rsidRPr="0071782F">
        <w:rPr>
          <w:lang w:val="fr-CH"/>
        </w:rPr>
        <w:t xml:space="preserve"> 48</w:t>
      </w:r>
      <w:r w:rsidR="007E5125" w:rsidRPr="0071782F">
        <w:rPr>
          <w:lang w:val="fr-CH"/>
        </w:rPr>
        <w:t>%</w:t>
      </w:r>
      <w:r w:rsidRPr="0071782F">
        <w:rPr>
          <w:lang w:val="fr-CH"/>
        </w:rPr>
        <w:t xml:space="preserve"> </w:t>
      </w:r>
      <w:r w:rsidR="00F30E1C" w:rsidRPr="0071782F">
        <w:rPr>
          <w:lang w:val="fr-CH"/>
        </w:rPr>
        <w:t>fournissent des services de premier niveau (niveau supérieur) et de second niveau, respectivement</w:t>
      </w:r>
      <w:r w:rsidRPr="0071782F">
        <w:rPr>
          <w:lang w:val="fr-CH"/>
        </w:rPr>
        <w:t xml:space="preserve">. </w:t>
      </w:r>
      <w:r w:rsidR="00F30E1C" w:rsidRPr="0071782F">
        <w:rPr>
          <w:lang w:val="fr-CH"/>
        </w:rPr>
        <w:t>Par ailleurs, 47</w:t>
      </w:r>
      <w:r w:rsidR="007E5125" w:rsidRPr="0071782F">
        <w:rPr>
          <w:lang w:val="fr-CH"/>
        </w:rPr>
        <w:t>%</w:t>
      </w:r>
      <w:r w:rsidR="00F30E1C" w:rsidRPr="0071782F">
        <w:rPr>
          <w:lang w:val="fr-CH"/>
        </w:rPr>
        <w:t xml:space="preserve"> des centres de jour et des centres spécialisés dans le traitement de l’autisme fournissent des services de premier niveau</w:t>
      </w:r>
      <w:r w:rsidRPr="0071782F">
        <w:rPr>
          <w:lang w:val="fr-CH"/>
        </w:rPr>
        <w:t>.</w:t>
      </w:r>
    </w:p>
    <w:p w:rsidR="00E5019F" w:rsidRPr="0071782F" w:rsidRDefault="00E5019F" w:rsidP="00E5019F">
      <w:pPr>
        <w:pStyle w:val="SingleTxtG"/>
        <w:ind w:left="1701"/>
        <w:rPr>
          <w:lang w:val="fr-CH"/>
        </w:rPr>
      </w:pPr>
      <w:r w:rsidRPr="0071782F">
        <w:rPr>
          <w:lang w:val="fr-CH"/>
        </w:rPr>
        <w:t>324.5.</w:t>
      </w:r>
      <w:r w:rsidRPr="0071782F">
        <w:rPr>
          <w:lang w:val="fr-CH"/>
        </w:rPr>
        <w:tab/>
      </w:r>
      <w:r w:rsidR="005F6DB4" w:rsidRPr="0071782F">
        <w:rPr>
          <w:lang w:val="fr-CH"/>
        </w:rPr>
        <w:t xml:space="preserve">Des aides financières ont été accordées à </w:t>
      </w:r>
      <w:r w:rsidRPr="0071782F">
        <w:rPr>
          <w:lang w:val="fr-CH"/>
        </w:rPr>
        <w:t>16</w:t>
      </w:r>
      <w:r w:rsidR="00860D09" w:rsidRPr="0071782F">
        <w:rPr>
          <w:lang w:val="fr-CH"/>
        </w:rPr>
        <w:t> </w:t>
      </w:r>
      <w:r w:rsidRPr="0071782F">
        <w:rPr>
          <w:lang w:val="fr-CH"/>
        </w:rPr>
        <w:t xml:space="preserve">331 patients </w:t>
      </w:r>
      <w:r w:rsidR="005F6DB4" w:rsidRPr="0071782F">
        <w:rPr>
          <w:lang w:val="fr-CH"/>
        </w:rPr>
        <w:t>au titre des services de traitement et de réadaptation dont ils ont bénéficié à leur domicile</w:t>
      </w:r>
      <w:r w:rsidRPr="0071782F">
        <w:rPr>
          <w:lang w:val="fr-CH"/>
        </w:rPr>
        <w:t>.</w:t>
      </w:r>
    </w:p>
    <w:p w:rsidR="00E5019F" w:rsidRPr="0071782F" w:rsidRDefault="00E5019F" w:rsidP="00E5019F">
      <w:pPr>
        <w:pStyle w:val="SingleTxtG"/>
        <w:ind w:left="1701"/>
        <w:rPr>
          <w:lang w:val="fr-CH"/>
        </w:rPr>
      </w:pPr>
      <w:r w:rsidRPr="0071782F">
        <w:rPr>
          <w:lang w:val="fr-CH"/>
        </w:rPr>
        <w:t>324.6.</w:t>
      </w:r>
      <w:r w:rsidRPr="0071782F">
        <w:rPr>
          <w:lang w:val="fr-CH"/>
        </w:rPr>
        <w:tab/>
      </w:r>
      <w:r w:rsidR="005F6DB4" w:rsidRPr="0071782F">
        <w:rPr>
          <w:lang w:val="fr-CH"/>
        </w:rPr>
        <w:t xml:space="preserve">Par ailleurs, 6 </w:t>
      </w:r>
      <w:r w:rsidRPr="0071782F">
        <w:rPr>
          <w:lang w:val="fr-CH"/>
        </w:rPr>
        <w:t xml:space="preserve">828 patients </w:t>
      </w:r>
      <w:r w:rsidR="005F6DB4" w:rsidRPr="0071782F">
        <w:rPr>
          <w:lang w:val="fr-CH"/>
        </w:rPr>
        <w:t>ont reçu des aides financières personnalisées</w:t>
      </w:r>
      <w:r w:rsidRPr="0071782F">
        <w:rPr>
          <w:lang w:val="fr-CH"/>
        </w:rPr>
        <w:t>.</w:t>
      </w:r>
    </w:p>
    <w:p w:rsidR="00E5019F" w:rsidRPr="0071782F" w:rsidRDefault="00E5019F" w:rsidP="00E5019F">
      <w:pPr>
        <w:pStyle w:val="SingleTxtG"/>
        <w:ind w:left="1701"/>
        <w:rPr>
          <w:lang w:val="fr-CH"/>
        </w:rPr>
      </w:pPr>
      <w:r w:rsidRPr="0071782F">
        <w:rPr>
          <w:lang w:val="fr-CH"/>
        </w:rPr>
        <w:t>324.7.</w:t>
      </w:r>
      <w:r w:rsidRPr="0071782F">
        <w:rPr>
          <w:lang w:val="fr-CH"/>
        </w:rPr>
        <w:tab/>
      </w:r>
      <w:r w:rsidR="005F6DB4" w:rsidRPr="0071782F">
        <w:rPr>
          <w:lang w:val="fr-CH"/>
        </w:rPr>
        <w:t xml:space="preserve">Globalement, </w:t>
      </w:r>
      <w:r w:rsidRPr="0071782F">
        <w:rPr>
          <w:lang w:val="fr-CH"/>
        </w:rPr>
        <w:t>3</w:t>
      </w:r>
      <w:r w:rsidR="00860D09" w:rsidRPr="0071782F">
        <w:rPr>
          <w:lang w:val="fr-CH"/>
        </w:rPr>
        <w:t> </w:t>
      </w:r>
      <w:r w:rsidRPr="0071782F">
        <w:rPr>
          <w:lang w:val="fr-CH"/>
        </w:rPr>
        <w:t xml:space="preserve">791 </w:t>
      </w:r>
      <w:r w:rsidR="005F6DB4" w:rsidRPr="0071782F">
        <w:rPr>
          <w:lang w:val="fr-CH"/>
        </w:rPr>
        <w:t>patients ont suivi un traitement dans un centre de jour et</w:t>
      </w:r>
      <w:r w:rsidRPr="0071782F">
        <w:rPr>
          <w:lang w:val="fr-CH"/>
        </w:rPr>
        <w:t xml:space="preserve"> 6</w:t>
      </w:r>
      <w:r w:rsidR="005F6DB4" w:rsidRPr="0071782F">
        <w:rPr>
          <w:lang w:val="fr-CH"/>
        </w:rPr>
        <w:t xml:space="preserve"> </w:t>
      </w:r>
      <w:r w:rsidRPr="0071782F">
        <w:rPr>
          <w:lang w:val="fr-CH"/>
        </w:rPr>
        <w:t xml:space="preserve">088 </w:t>
      </w:r>
      <w:r w:rsidR="005F6DB4" w:rsidRPr="0071782F">
        <w:rPr>
          <w:lang w:val="fr-CH"/>
        </w:rPr>
        <w:t>autres dans un centre ouvert 24</w:t>
      </w:r>
      <w:r w:rsidR="00BF435F" w:rsidRPr="0071782F">
        <w:rPr>
          <w:lang w:val="fr-CH"/>
        </w:rPr>
        <w:t> heures</w:t>
      </w:r>
      <w:r w:rsidR="005F6DB4" w:rsidRPr="0071782F">
        <w:rPr>
          <w:lang w:val="fr-CH"/>
        </w:rPr>
        <w:t xml:space="preserve"> sur 24, et</w:t>
      </w:r>
      <w:r w:rsidRPr="0071782F">
        <w:rPr>
          <w:lang w:val="fr-CH"/>
        </w:rPr>
        <w:t xml:space="preserve"> 75</w:t>
      </w:r>
      <w:r w:rsidR="007E5125" w:rsidRPr="0071782F">
        <w:rPr>
          <w:lang w:val="fr-CH"/>
        </w:rPr>
        <w:t>%</w:t>
      </w:r>
      <w:r w:rsidRPr="0071782F">
        <w:rPr>
          <w:lang w:val="fr-CH"/>
        </w:rPr>
        <w:t xml:space="preserve"> </w:t>
      </w:r>
      <w:r w:rsidR="005F6DB4" w:rsidRPr="0071782F">
        <w:rPr>
          <w:lang w:val="fr-CH"/>
        </w:rPr>
        <w:t>de ces patients ont bénéficié d’une allocation pour financer ces services</w:t>
      </w:r>
      <w:r w:rsidRPr="0071782F">
        <w:rPr>
          <w:lang w:val="fr-CH"/>
        </w:rPr>
        <w:t>.</w:t>
      </w:r>
    </w:p>
    <w:p w:rsidR="00E5019F" w:rsidRPr="0071782F" w:rsidRDefault="00E5019F" w:rsidP="00E5019F">
      <w:pPr>
        <w:pStyle w:val="SingleTxtG"/>
        <w:ind w:left="1701"/>
        <w:rPr>
          <w:lang w:val="fr-CH"/>
        </w:rPr>
      </w:pPr>
      <w:r w:rsidRPr="0071782F">
        <w:rPr>
          <w:lang w:val="fr-CH"/>
        </w:rPr>
        <w:t>324.8.</w:t>
      </w:r>
      <w:r w:rsidRPr="0071782F">
        <w:rPr>
          <w:lang w:val="fr-CH"/>
        </w:rPr>
        <w:tab/>
      </w:r>
      <w:r w:rsidR="005F6DB4" w:rsidRPr="0071782F">
        <w:rPr>
          <w:lang w:val="fr-CH"/>
        </w:rPr>
        <w:t xml:space="preserve">Au cours de la seule année </w:t>
      </w:r>
      <w:r w:rsidRPr="0071782F">
        <w:rPr>
          <w:lang w:val="fr-CH"/>
        </w:rPr>
        <w:t xml:space="preserve">2007, </w:t>
      </w:r>
      <w:r w:rsidR="005F6DB4" w:rsidRPr="0071782F">
        <w:rPr>
          <w:lang w:val="fr-CH"/>
        </w:rPr>
        <w:t>neuf centres ouverts 24</w:t>
      </w:r>
      <w:r w:rsidR="00BF435F" w:rsidRPr="0071782F">
        <w:rPr>
          <w:lang w:val="fr-CH"/>
        </w:rPr>
        <w:t> heures</w:t>
      </w:r>
      <w:r w:rsidR="005F6DB4" w:rsidRPr="0071782F">
        <w:rPr>
          <w:lang w:val="fr-CH"/>
        </w:rPr>
        <w:t xml:space="preserve"> </w:t>
      </w:r>
      <w:r w:rsidR="0051656E" w:rsidRPr="0071782F">
        <w:rPr>
          <w:lang w:val="fr-CH"/>
        </w:rPr>
        <w:t>s</w:t>
      </w:r>
      <w:r w:rsidR="005F6DB4" w:rsidRPr="0071782F">
        <w:rPr>
          <w:lang w:val="fr-CH"/>
        </w:rPr>
        <w:t xml:space="preserve">ur 24, deux centres de soins intégrés et 12 centres de jour (qui fournissent des services de soins de jour, de soins à domicile et de soins aux autistes) ont été créés. </w:t>
      </w:r>
    </w:p>
    <w:p w:rsidR="00E5019F" w:rsidRPr="0071782F" w:rsidRDefault="00E5019F" w:rsidP="00E5019F">
      <w:pPr>
        <w:pStyle w:val="SingleTxtG"/>
        <w:ind w:left="1701"/>
        <w:rPr>
          <w:lang w:val="fr-CH"/>
        </w:rPr>
      </w:pPr>
      <w:r w:rsidRPr="0071782F">
        <w:rPr>
          <w:lang w:val="fr-CH"/>
        </w:rPr>
        <w:t>324.9.</w:t>
      </w:r>
      <w:r w:rsidRPr="0071782F">
        <w:rPr>
          <w:lang w:val="fr-CH"/>
        </w:rPr>
        <w:tab/>
      </w:r>
      <w:r w:rsidR="005F6DB4" w:rsidRPr="0071782F">
        <w:rPr>
          <w:lang w:val="fr-CH"/>
        </w:rPr>
        <w:t>À ce jour, 33</w:t>
      </w:r>
      <w:r w:rsidR="00860D09" w:rsidRPr="0071782F">
        <w:rPr>
          <w:lang w:val="fr-CH"/>
        </w:rPr>
        <w:t> </w:t>
      </w:r>
      <w:r w:rsidRPr="0071782F">
        <w:rPr>
          <w:lang w:val="fr-CH"/>
        </w:rPr>
        <w:t xml:space="preserve">038 patients </w:t>
      </w:r>
      <w:r w:rsidR="005F6DB4" w:rsidRPr="0071782F">
        <w:rPr>
          <w:lang w:val="fr-CH"/>
        </w:rPr>
        <w:t xml:space="preserve">ont bénéficié des </w:t>
      </w:r>
      <w:r w:rsidRPr="0071782F">
        <w:rPr>
          <w:lang w:val="fr-CH"/>
        </w:rPr>
        <w:t xml:space="preserve">services </w:t>
      </w:r>
      <w:r w:rsidR="0051656E" w:rsidRPr="0071782F">
        <w:rPr>
          <w:lang w:val="fr-CH"/>
        </w:rPr>
        <w:t>du Comité</w:t>
      </w:r>
      <w:r w:rsidR="005F6DB4" w:rsidRPr="0071782F">
        <w:rPr>
          <w:lang w:val="fr-CH"/>
        </w:rPr>
        <w:t xml:space="preserve"> et </w:t>
      </w:r>
      <w:r w:rsidRPr="0071782F">
        <w:rPr>
          <w:lang w:val="fr-CH"/>
        </w:rPr>
        <w:t>57</w:t>
      </w:r>
      <w:r w:rsidR="00860D09" w:rsidRPr="0071782F">
        <w:rPr>
          <w:lang w:val="fr-CH"/>
        </w:rPr>
        <w:t> </w:t>
      </w:r>
      <w:r w:rsidRPr="0071782F">
        <w:rPr>
          <w:lang w:val="fr-CH"/>
        </w:rPr>
        <w:t>688</w:t>
      </w:r>
      <w:r w:rsidR="00860D09" w:rsidRPr="0071782F">
        <w:rPr>
          <w:lang w:val="fr-CH"/>
        </w:rPr>
        <w:t> </w:t>
      </w:r>
      <w:r w:rsidRPr="0071782F">
        <w:rPr>
          <w:lang w:val="fr-CH"/>
        </w:rPr>
        <w:t xml:space="preserve">patients </w:t>
      </w:r>
      <w:r w:rsidR="005F6DB4" w:rsidRPr="0071782F">
        <w:rPr>
          <w:lang w:val="fr-CH"/>
        </w:rPr>
        <w:t>ont été recensés et attendent d’en bénéficier</w:t>
      </w:r>
      <w:r w:rsidRPr="0071782F">
        <w:rPr>
          <w:lang w:val="fr-CH"/>
        </w:rPr>
        <w:t>.</w:t>
      </w:r>
    </w:p>
    <w:p w:rsidR="00E5019F" w:rsidRPr="0071782F" w:rsidRDefault="00E5019F" w:rsidP="00E5019F">
      <w:pPr>
        <w:pStyle w:val="H1G"/>
        <w:rPr>
          <w:lang w:val="fr-CH"/>
        </w:rPr>
      </w:pPr>
      <w:r w:rsidRPr="0071782F">
        <w:rPr>
          <w:lang w:val="fr-CH"/>
        </w:rPr>
        <w:tab/>
      </w:r>
      <w:r w:rsidRPr="0071782F">
        <w:rPr>
          <w:lang w:val="fr-CH"/>
        </w:rPr>
        <w:tab/>
      </w:r>
      <w:r w:rsidR="005F6DB4" w:rsidRPr="0071782F">
        <w:rPr>
          <w:lang w:val="fr-CH"/>
        </w:rPr>
        <w:t xml:space="preserve">Principaux </w:t>
      </w:r>
      <w:r w:rsidRPr="0071782F">
        <w:rPr>
          <w:lang w:val="fr-CH"/>
        </w:rPr>
        <w:t>program</w:t>
      </w:r>
      <w:r w:rsidR="005F6DB4" w:rsidRPr="0071782F">
        <w:rPr>
          <w:lang w:val="fr-CH"/>
        </w:rPr>
        <w:t xml:space="preserve">me du Comité de régulation du traitement et de la réadaptation </w:t>
      </w:r>
      <w:r w:rsidR="007F37CE" w:rsidRPr="0071782F">
        <w:rPr>
          <w:lang w:val="fr-CH"/>
        </w:rPr>
        <w:t>des personnes</w:t>
      </w:r>
      <w:r w:rsidR="005F6DB4" w:rsidRPr="0071782F">
        <w:rPr>
          <w:lang w:val="fr-CH"/>
        </w:rPr>
        <w:t xml:space="preserve"> souffrant de maladies mentales chroniques </w:t>
      </w:r>
    </w:p>
    <w:p w:rsidR="00E5019F" w:rsidRPr="0071782F" w:rsidRDefault="00E5019F" w:rsidP="00E5019F">
      <w:pPr>
        <w:pStyle w:val="SingleTxtG"/>
        <w:rPr>
          <w:lang w:val="fr-CH"/>
        </w:rPr>
      </w:pPr>
      <w:r w:rsidRPr="0071782F">
        <w:rPr>
          <w:lang w:val="fr-CH"/>
        </w:rPr>
        <w:t>325.</w:t>
      </w:r>
      <w:r w:rsidRPr="0071782F">
        <w:rPr>
          <w:lang w:val="fr-CH"/>
        </w:rPr>
        <w:tab/>
      </w:r>
      <w:r w:rsidR="005F6DB4" w:rsidRPr="0071782F">
        <w:rPr>
          <w:lang w:val="fr-CH"/>
        </w:rPr>
        <w:t>Il s’agit des programmes suivants</w:t>
      </w:r>
      <w:r w:rsidR="008F7D33" w:rsidRPr="0071782F">
        <w:rPr>
          <w:lang w:val="fr-CH"/>
        </w:rPr>
        <w:t>:</w:t>
      </w:r>
    </w:p>
    <w:p w:rsidR="00E5019F" w:rsidRPr="0071782F" w:rsidRDefault="00E5019F" w:rsidP="00E5019F">
      <w:pPr>
        <w:pStyle w:val="SingleTxtG"/>
        <w:ind w:left="1701"/>
        <w:rPr>
          <w:lang w:val="fr-CH"/>
        </w:rPr>
      </w:pPr>
      <w:r w:rsidRPr="0071782F">
        <w:rPr>
          <w:lang w:val="fr-CH"/>
        </w:rPr>
        <w:t>325.1.</w:t>
      </w:r>
      <w:r w:rsidRPr="0071782F">
        <w:rPr>
          <w:lang w:val="fr-CH"/>
        </w:rPr>
        <w:tab/>
      </w:r>
      <w:r w:rsidR="00CB5549" w:rsidRPr="0071782F">
        <w:rPr>
          <w:lang w:val="fr-CH"/>
        </w:rPr>
        <w:t>Amélior</w:t>
      </w:r>
      <w:r w:rsidR="002F2F81" w:rsidRPr="0071782F">
        <w:rPr>
          <w:lang w:val="fr-CH"/>
        </w:rPr>
        <w:t xml:space="preserve">ation de </w:t>
      </w:r>
      <w:r w:rsidR="00CB5549" w:rsidRPr="0071782F">
        <w:rPr>
          <w:lang w:val="fr-CH"/>
        </w:rPr>
        <w:t xml:space="preserve">la qualité des </w:t>
      </w:r>
      <w:r w:rsidRPr="0071782F">
        <w:rPr>
          <w:lang w:val="fr-CH"/>
        </w:rPr>
        <w:t xml:space="preserve">services </w:t>
      </w:r>
      <w:r w:rsidR="00CB5549" w:rsidRPr="0071782F">
        <w:rPr>
          <w:lang w:val="fr-CH"/>
        </w:rPr>
        <w:t xml:space="preserve">fournis aux </w:t>
      </w:r>
      <w:r w:rsidRPr="0071782F">
        <w:rPr>
          <w:lang w:val="fr-CH"/>
        </w:rPr>
        <w:t xml:space="preserve">patients </w:t>
      </w:r>
      <w:r w:rsidR="00CB5549" w:rsidRPr="0071782F">
        <w:rPr>
          <w:lang w:val="fr-CH"/>
        </w:rPr>
        <w:t>souffrant de maladies mentales chroniques</w:t>
      </w:r>
      <w:r w:rsidRPr="0071782F">
        <w:rPr>
          <w:lang w:val="fr-CH"/>
        </w:rPr>
        <w:t>.</w:t>
      </w:r>
    </w:p>
    <w:p w:rsidR="00E5019F" w:rsidRPr="0071782F" w:rsidRDefault="00E5019F" w:rsidP="00E5019F">
      <w:pPr>
        <w:pStyle w:val="SingleTxtG"/>
        <w:ind w:left="1701"/>
        <w:rPr>
          <w:lang w:val="fr-CH"/>
        </w:rPr>
      </w:pPr>
      <w:r w:rsidRPr="0071782F">
        <w:rPr>
          <w:lang w:val="fr-CH"/>
        </w:rPr>
        <w:t>325.2.</w:t>
      </w:r>
      <w:r w:rsidRPr="0071782F">
        <w:rPr>
          <w:lang w:val="fr-CH"/>
        </w:rPr>
        <w:tab/>
        <w:t>Ex</w:t>
      </w:r>
      <w:r w:rsidR="00CB5549" w:rsidRPr="0071782F">
        <w:rPr>
          <w:lang w:val="fr-CH"/>
        </w:rPr>
        <w:t>tension des centres de jour, des centres de soins à domicile et des centres spécialisés dans le traitement de l’autisme</w:t>
      </w:r>
      <w:r w:rsidRPr="0071782F">
        <w:rPr>
          <w:lang w:val="fr-CH"/>
        </w:rPr>
        <w:t>.</w:t>
      </w:r>
    </w:p>
    <w:p w:rsidR="00E5019F" w:rsidRPr="0071782F" w:rsidRDefault="00E5019F" w:rsidP="00E5019F">
      <w:pPr>
        <w:pStyle w:val="SingleTxtG"/>
        <w:ind w:left="1701"/>
        <w:rPr>
          <w:lang w:val="fr-CH"/>
        </w:rPr>
      </w:pPr>
      <w:r w:rsidRPr="0071782F">
        <w:rPr>
          <w:lang w:val="fr-CH"/>
        </w:rPr>
        <w:t>325.3.</w:t>
      </w:r>
      <w:r w:rsidRPr="0071782F">
        <w:rPr>
          <w:lang w:val="fr-CH"/>
        </w:rPr>
        <w:tab/>
      </w:r>
      <w:r w:rsidR="009B17FA" w:rsidRPr="0071782F">
        <w:rPr>
          <w:lang w:val="fr-CH"/>
        </w:rPr>
        <w:t xml:space="preserve">Couverture des </w:t>
      </w:r>
      <w:r w:rsidRPr="0071782F">
        <w:rPr>
          <w:lang w:val="fr-CH"/>
        </w:rPr>
        <w:t xml:space="preserve">patients </w:t>
      </w:r>
      <w:r w:rsidR="009B17FA" w:rsidRPr="0071782F">
        <w:rPr>
          <w:lang w:val="fr-CH"/>
        </w:rPr>
        <w:t xml:space="preserve">souffrant de maladies mentales chroniques qui attendent de bénéficier des services fournis par </w:t>
      </w:r>
      <w:r w:rsidR="0051656E" w:rsidRPr="0071782F">
        <w:rPr>
          <w:lang w:val="fr-CH"/>
        </w:rPr>
        <w:t>le Comité</w:t>
      </w:r>
      <w:r w:rsidR="009B17FA" w:rsidRPr="0071782F">
        <w:rPr>
          <w:lang w:val="fr-CH"/>
        </w:rPr>
        <w:t xml:space="preserve"> par le biais de la mise en place d’un système d’appui axé sur la collectivité pour </w:t>
      </w:r>
      <w:r w:rsidR="00DA097D" w:rsidRPr="0071782F">
        <w:rPr>
          <w:lang w:val="fr-CH"/>
        </w:rPr>
        <w:t>les familles</w:t>
      </w:r>
      <w:r w:rsidR="009B17FA" w:rsidRPr="0071782F">
        <w:rPr>
          <w:lang w:val="fr-CH"/>
        </w:rPr>
        <w:t xml:space="preserve"> de ces patients</w:t>
      </w:r>
      <w:r w:rsidRPr="0071782F">
        <w:rPr>
          <w:lang w:val="fr-CH"/>
        </w:rPr>
        <w:t>.</w:t>
      </w:r>
    </w:p>
    <w:p w:rsidR="00E5019F" w:rsidRPr="0071782F" w:rsidRDefault="00E5019F" w:rsidP="00E5019F">
      <w:pPr>
        <w:pStyle w:val="SingleTxtG"/>
        <w:ind w:left="1701"/>
        <w:rPr>
          <w:lang w:val="fr-CH"/>
        </w:rPr>
      </w:pPr>
      <w:r w:rsidRPr="0071782F">
        <w:rPr>
          <w:lang w:val="fr-CH"/>
        </w:rPr>
        <w:t>325.4.</w:t>
      </w:r>
      <w:r w:rsidRPr="0071782F">
        <w:rPr>
          <w:lang w:val="fr-CH"/>
        </w:rPr>
        <w:tab/>
      </w:r>
      <w:r w:rsidR="00E34DA9" w:rsidRPr="0071782F">
        <w:rPr>
          <w:lang w:val="fr-CH"/>
        </w:rPr>
        <w:t>Dépistage des symptômes de l’autisme chez les enfants</w:t>
      </w:r>
      <w:r w:rsidRPr="0071782F">
        <w:rPr>
          <w:lang w:val="fr-CH"/>
        </w:rPr>
        <w:t>.</w:t>
      </w:r>
    </w:p>
    <w:p w:rsidR="00E5019F" w:rsidRPr="0071782F" w:rsidRDefault="00E5019F" w:rsidP="00E5019F">
      <w:pPr>
        <w:pStyle w:val="SingleTxtG"/>
        <w:ind w:left="1701"/>
        <w:rPr>
          <w:lang w:val="fr-CH"/>
        </w:rPr>
      </w:pPr>
      <w:r w:rsidRPr="0071782F">
        <w:rPr>
          <w:lang w:val="fr-CH"/>
        </w:rPr>
        <w:t>325.5.</w:t>
      </w:r>
      <w:r w:rsidRPr="0071782F">
        <w:rPr>
          <w:lang w:val="fr-CH"/>
        </w:rPr>
        <w:tab/>
      </w:r>
      <w:r w:rsidR="00E34DA9" w:rsidRPr="0071782F">
        <w:rPr>
          <w:lang w:val="fr-CH"/>
        </w:rPr>
        <w:t>Création d’unités de</w:t>
      </w:r>
      <w:r w:rsidRPr="0071782F">
        <w:rPr>
          <w:lang w:val="fr-CH"/>
        </w:rPr>
        <w:t xml:space="preserve"> production </w:t>
      </w:r>
      <w:r w:rsidR="00E34DA9" w:rsidRPr="0071782F">
        <w:rPr>
          <w:lang w:val="fr-CH"/>
        </w:rPr>
        <w:t>gérées</w:t>
      </w:r>
      <w:r w:rsidRPr="0071782F">
        <w:rPr>
          <w:lang w:val="fr-CH"/>
        </w:rPr>
        <w:t>.</w:t>
      </w:r>
    </w:p>
    <w:p w:rsidR="00E5019F" w:rsidRPr="0071782F" w:rsidRDefault="00E5019F" w:rsidP="00E5019F">
      <w:pPr>
        <w:pStyle w:val="SingleTxtG"/>
        <w:ind w:left="1701"/>
        <w:rPr>
          <w:lang w:val="fr-CH"/>
        </w:rPr>
      </w:pPr>
      <w:r w:rsidRPr="0071782F">
        <w:rPr>
          <w:lang w:val="fr-CH"/>
        </w:rPr>
        <w:t>325.6.</w:t>
      </w:r>
      <w:r w:rsidRPr="0071782F">
        <w:rPr>
          <w:lang w:val="fr-CH"/>
        </w:rPr>
        <w:tab/>
      </w:r>
      <w:r w:rsidR="002F2F81" w:rsidRPr="0071782F">
        <w:rPr>
          <w:lang w:val="fr-CH"/>
        </w:rPr>
        <w:t>Développement de la coopération intersectorielle, en particulier avec l’appareil judiciaire, afin de régler les problèmes des patients souffrant de maladies mentales chroniques qui</w:t>
      </w:r>
      <w:r w:rsidRPr="0071782F">
        <w:rPr>
          <w:lang w:val="fr-CH"/>
        </w:rPr>
        <w:t xml:space="preserve"> </w:t>
      </w:r>
      <w:r w:rsidR="002F2F81" w:rsidRPr="0071782F">
        <w:rPr>
          <w:lang w:val="fr-CH"/>
        </w:rPr>
        <w:t>ont commis des infractions par le biais de la création de centres judiciaires protégés</w:t>
      </w:r>
      <w:r w:rsidRPr="0071782F">
        <w:rPr>
          <w:lang w:val="fr-CH"/>
        </w:rPr>
        <w:t>.</w:t>
      </w:r>
    </w:p>
    <w:p w:rsidR="00E5019F" w:rsidRPr="0071782F" w:rsidRDefault="00E5019F" w:rsidP="00E5019F">
      <w:pPr>
        <w:pStyle w:val="SingleTxtG"/>
        <w:ind w:left="1701"/>
        <w:rPr>
          <w:lang w:val="fr-CH"/>
        </w:rPr>
      </w:pPr>
      <w:r w:rsidRPr="0071782F">
        <w:rPr>
          <w:lang w:val="fr-CH"/>
        </w:rPr>
        <w:t>325.7.</w:t>
      </w:r>
      <w:r w:rsidRPr="0071782F">
        <w:rPr>
          <w:lang w:val="fr-CH"/>
        </w:rPr>
        <w:tab/>
      </w:r>
      <w:r w:rsidR="002F2F81" w:rsidRPr="0071782F">
        <w:rPr>
          <w:lang w:val="fr-CH"/>
        </w:rPr>
        <w:t xml:space="preserve">Modification des indicateurs d’évaluation des services de réadaptation de manière qu’ils </w:t>
      </w:r>
      <w:r w:rsidR="0071782F" w:rsidRPr="0071782F">
        <w:rPr>
          <w:lang w:val="fr-CH"/>
        </w:rPr>
        <w:t>reflètent</w:t>
      </w:r>
      <w:r w:rsidR="002F2F81" w:rsidRPr="0071782F">
        <w:rPr>
          <w:lang w:val="fr-CH"/>
        </w:rPr>
        <w:t xml:space="preserve"> la qualité de ces services</w:t>
      </w:r>
      <w:r w:rsidRPr="0071782F">
        <w:rPr>
          <w:lang w:val="fr-CH"/>
        </w:rPr>
        <w:t>.</w:t>
      </w:r>
    </w:p>
    <w:p w:rsidR="00E5019F" w:rsidRPr="0071782F" w:rsidRDefault="00E5019F" w:rsidP="00E5019F">
      <w:pPr>
        <w:pStyle w:val="SingleTxtG"/>
        <w:ind w:left="1701"/>
        <w:rPr>
          <w:lang w:val="fr-CH"/>
        </w:rPr>
      </w:pPr>
      <w:r w:rsidRPr="0071782F">
        <w:rPr>
          <w:lang w:val="fr-CH"/>
        </w:rPr>
        <w:t>325.8.</w:t>
      </w:r>
      <w:r w:rsidRPr="0071782F">
        <w:rPr>
          <w:lang w:val="fr-CH"/>
        </w:rPr>
        <w:tab/>
      </w:r>
      <w:r w:rsidR="002F2F81" w:rsidRPr="0071782F">
        <w:rPr>
          <w:lang w:val="fr-CH"/>
        </w:rPr>
        <w:t>Achèvement du cycle d’orientation des patients souffrant de maladies mentales chroniques en étudiant la possibilité de créer à titre expérimental des centres de transition pour ces patients</w:t>
      </w:r>
      <w:r w:rsidRPr="0071782F">
        <w:rPr>
          <w:lang w:val="fr-CH"/>
        </w:rPr>
        <w:t>.</w:t>
      </w:r>
    </w:p>
    <w:p w:rsidR="00E5019F" w:rsidRPr="0071782F" w:rsidRDefault="00E5019F" w:rsidP="00E5019F">
      <w:pPr>
        <w:pStyle w:val="SingleTxtG"/>
        <w:ind w:left="1701"/>
        <w:rPr>
          <w:lang w:val="fr-CH"/>
        </w:rPr>
      </w:pPr>
      <w:r w:rsidRPr="0071782F">
        <w:rPr>
          <w:lang w:val="fr-CH"/>
        </w:rPr>
        <w:t>325.9.</w:t>
      </w:r>
      <w:r w:rsidRPr="0071782F">
        <w:rPr>
          <w:lang w:val="fr-CH"/>
        </w:rPr>
        <w:tab/>
      </w:r>
      <w:r w:rsidR="002F2F81" w:rsidRPr="0071782F">
        <w:rPr>
          <w:lang w:val="fr-CH"/>
        </w:rPr>
        <w:t>M</w:t>
      </w:r>
      <w:r w:rsidR="00DE37E9" w:rsidRPr="0071782F">
        <w:rPr>
          <w:lang w:val="fr-CH"/>
        </w:rPr>
        <w:t xml:space="preserve">ise </w:t>
      </w:r>
      <w:r w:rsidR="002F2F81" w:rsidRPr="0071782F">
        <w:rPr>
          <w:lang w:val="fr-CH"/>
        </w:rPr>
        <w:t xml:space="preserve">sur pied </w:t>
      </w:r>
      <w:r w:rsidR="00DE37E9" w:rsidRPr="0071782F">
        <w:rPr>
          <w:lang w:val="fr-CH"/>
        </w:rPr>
        <w:t>du</w:t>
      </w:r>
      <w:r w:rsidR="002F2F81" w:rsidRPr="0071782F">
        <w:rPr>
          <w:lang w:val="fr-CH"/>
        </w:rPr>
        <w:t xml:space="preserve"> Comité central pour le traitement et la réadaptation des patients souffrant de maladies mentales chroniques</w:t>
      </w:r>
      <w:r w:rsidRPr="0071782F">
        <w:rPr>
          <w:lang w:val="fr-CH"/>
        </w:rPr>
        <w:t>.</w:t>
      </w:r>
    </w:p>
    <w:p w:rsidR="00E5019F" w:rsidRPr="0071782F" w:rsidRDefault="00E5019F" w:rsidP="00E5019F">
      <w:pPr>
        <w:pStyle w:val="SingleTxtG"/>
        <w:ind w:left="1701"/>
        <w:rPr>
          <w:lang w:val="fr-CH"/>
        </w:rPr>
      </w:pPr>
      <w:r w:rsidRPr="0071782F">
        <w:rPr>
          <w:lang w:val="fr-CH"/>
        </w:rPr>
        <w:t xml:space="preserve">325.10. </w:t>
      </w:r>
      <w:r w:rsidR="00DE37E9" w:rsidRPr="0071782F">
        <w:rPr>
          <w:lang w:val="fr-CH"/>
        </w:rPr>
        <w:t>Offre de</w:t>
      </w:r>
      <w:r w:rsidR="002F2F81" w:rsidRPr="0071782F">
        <w:rPr>
          <w:lang w:val="fr-CH"/>
        </w:rPr>
        <w:t xml:space="preserve"> soins aux patients souffrant de maladies mentales chroniques qui attendent de bénéficier des services de réadaptation fournis par l’organisation</w:t>
      </w:r>
      <w:r w:rsidRPr="0071782F">
        <w:rPr>
          <w:lang w:val="fr-CH"/>
        </w:rPr>
        <w:t>.</w:t>
      </w:r>
    </w:p>
    <w:p w:rsidR="00E5019F" w:rsidRPr="0071782F" w:rsidRDefault="00E5019F" w:rsidP="00E5019F">
      <w:pPr>
        <w:pStyle w:val="SingleTxtG"/>
        <w:ind w:left="1701"/>
        <w:rPr>
          <w:lang w:val="fr-CH"/>
        </w:rPr>
      </w:pPr>
      <w:r w:rsidRPr="0071782F">
        <w:rPr>
          <w:lang w:val="fr-CH"/>
        </w:rPr>
        <w:t xml:space="preserve">325.11. </w:t>
      </w:r>
      <w:r w:rsidR="00F54D48" w:rsidRPr="0071782F">
        <w:rPr>
          <w:lang w:val="fr-CH"/>
        </w:rPr>
        <w:t>Fourni</w:t>
      </w:r>
      <w:r w:rsidR="00DE37E9" w:rsidRPr="0071782F">
        <w:rPr>
          <w:lang w:val="fr-CH"/>
        </w:rPr>
        <w:t>tu</w:t>
      </w:r>
      <w:r w:rsidR="00F54D48" w:rsidRPr="0071782F">
        <w:rPr>
          <w:lang w:val="fr-CH"/>
        </w:rPr>
        <w:t>r</w:t>
      </w:r>
      <w:r w:rsidR="00DE37E9" w:rsidRPr="0071782F">
        <w:rPr>
          <w:lang w:val="fr-CH"/>
        </w:rPr>
        <w:t>e</w:t>
      </w:r>
      <w:r w:rsidR="00F54D48" w:rsidRPr="0071782F">
        <w:rPr>
          <w:lang w:val="fr-CH"/>
        </w:rPr>
        <w:t xml:space="preserve"> </w:t>
      </w:r>
      <w:r w:rsidR="00DE37E9" w:rsidRPr="0071782F">
        <w:rPr>
          <w:lang w:val="fr-CH"/>
        </w:rPr>
        <w:t>d</w:t>
      </w:r>
      <w:r w:rsidR="00F54D48" w:rsidRPr="0071782F">
        <w:rPr>
          <w:lang w:val="fr-CH"/>
        </w:rPr>
        <w:t>es fonds nécessaires à l’exécution de programmes destinés à régler les affaires des patients souffrant de maladies mentales chroniques</w:t>
      </w:r>
      <w:r w:rsidRPr="0071782F">
        <w:rPr>
          <w:lang w:val="fr-CH"/>
        </w:rPr>
        <w:t>.</w:t>
      </w:r>
    </w:p>
    <w:p w:rsidR="00E5019F" w:rsidRPr="0071782F" w:rsidRDefault="00E5019F" w:rsidP="00E5019F">
      <w:pPr>
        <w:pStyle w:val="SingleTxtG"/>
        <w:ind w:left="1701"/>
        <w:rPr>
          <w:lang w:val="fr-CH"/>
        </w:rPr>
      </w:pPr>
      <w:r w:rsidRPr="0071782F">
        <w:rPr>
          <w:lang w:val="fr-CH"/>
        </w:rPr>
        <w:t>325.12. Ex</w:t>
      </w:r>
      <w:r w:rsidR="00F54D48" w:rsidRPr="0071782F">
        <w:rPr>
          <w:lang w:val="fr-CH"/>
        </w:rPr>
        <w:t>écut</w:t>
      </w:r>
      <w:r w:rsidR="00DE37E9" w:rsidRPr="0071782F">
        <w:rPr>
          <w:lang w:val="fr-CH"/>
        </w:rPr>
        <w:t xml:space="preserve">ion du </w:t>
      </w:r>
      <w:r w:rsidR="00F54D48" w:rsidRPr="0071782F">
        <w:rPr>
          <w:lang w:val="fr-CH"/>
        </w:rPr>
        <w:t>P</w:t>
      </w:r>
      <w:r w:rsidRPr="0071782F">
        <w:rPr>
          <w:lang w:val="fr-CH"/>
        </w:rPr>
        <w:t xml:space="preserve">lan </w:t>
      </w:r>
      <w:r w:rsidR="00F54D48" w:rsidRPr="0071782F">
        <w:rPr>
          <w:lang w:val="fr-CH"/>
        </w:rPr>
        <w:t>de renforce</w:t>
      </w:r>
      <w:r w:rsidR="00823600" w:rsidRPr="0071782F">
        <w:rPr>
          <w:lang w:val="fr-CH"/>
        </w:rPr>
        <w:t>me</w:t>
      </w:r>
      <w:r w:rsidR="00F54D48" w:rsidRPr="0071782F">
        <w:rPr>
          <w:lang w:val="fr-CH"/>
        </w:rPr>
        <w:t>nt de l’autonomie des patients souffrant de maladies mentales chroniques.</w:t>
      </w:r>
    </w:p>
    <w:p w:rsidR="00E5019F" w:rsidRPr="0071782F" w:rsidRDefault="00E5019F" w:rsidP="00E5019F">
      <w:pPr>
        <w:pStyle w:val="SingleTxtG"/>
        <w:ind w:left="1701"/>
        <w:rPr>
          <w:lang w:val="fr-CH"/>
        </w:rPr>
      </w:pPr>
      <w:r w:rsidRPr="0071782F">
        <w:rPr>
          <w:lang w:val="fr-CH"/>
        </w:rPr>
        <w:t xml:space="preserve">325.13. </w:t>
      </w:r>
      <w:r w:rsidR="00823600" w:rsidRPr="0071782F">
        <w:rPr>
          <w:lang w:val="fr-CH"/>
        </w:rPr>
        <w:t>Exécut</w:t>
      </w:r>
      <w:r w:rsidR="00DE37E9" w:rsidRPr="0071782F">
        <w:rPr>
          <w:lang w:val="fr-CH"/>
        </w:rPr>
        <w:t xml:space="preserve">ion du </w:t>
      </w:r>
      <w:r w:rsidR="00823600" w:rsidRPr="0071782F">
        <w:rPr>
          <w:lang w:val="fr-CH"/>
        </w:rPr>
        <w:t xml:space="preserve">programme communautaire d’appui </w:t>
      </w:r>
      <w:r w:rsidR="00A234E8" w:rsidRPr="0071782F">
        <w:rPr>
          <w:lang w:val="fr-CH"/>
        </w:rPr>
        <w:t>aux familles</w:t>
      </w:r>
      <w:r w:rsidR="00823600" w:rsidRPr="0071782F">
        <w:rPr>
          <w:lang w:val="fr-CH"/>
        </w:rPr>
        <w:t xml:space="preserve"> de ces patients</w:t>
      </w:r>
      <w:r w:rsidRPr="0071782F">
        <w:rPr>
          <w:lang w:val="fr-CH"/>
        </w:rPr>
        <w:t>.</w:t>
      </w:r>
    </w:p>
    <w:p w:rsidR="00E5019F" w:rsidRPr="0071782F" w:rsidRDefault="00823600" w:rsidP="00E5019F">
      <w:pPr>
        <w:pStyle w:val="SingleTxtG"/>
        <w:ind w:left="1701"/>
        <w:rPr>
          <w:lang w:val="fr-CH"/>
        </w:rPr>
      </w:pPr>
      <w:r w:rsidRPr="0071782F">
        <w:rPr>
          <w:lang w:val="fr-CH"/>
        </w:rPr>
        <w:t>325.14. Exé</w:t>
      </w:r>
      <w:r w:rsidR="00E5019F" w:rsidRPr="0071782F">
        <w:rPr>
          <w:lang w:val="fr-CH"/>
        </w:rPr>
        <w:t>cut</w:t>
      </w:r>
      <w:r w:rsidR="00DE37E9" w:rsidRPr="0071782F">
        <w:rPr>
          <w:lang w:val="fr-CH"/>
        </w:rPr>
        <w:t xml:space="preserve">ion du </w:t>
      </w:r>
      <w:r w:rsidRPr="0071782F">
        <w:rPr>
          <w:lang w:val="fr-CH"/>
        </w:rPr>
        <w:t>P</w:t>
      </w:r>
      <w:r w:rsidR="00E5019F" w:rsidRPr="0071782F">
        <w:rPr>
          <w:lang w:val="fr-CH"/>
        </w:rPr>
        <w:t xml:space="preserve">lan </w:t>
      </w:r>
      <w:r w:rsidRPr="0071782F">
        <w:rPr>
          <w:lang w:val="fr-CH"/>
        </w:rPr>
        <w:t>de dépistage de l’autisme chez les enfants</w:t>
      </w:r>
      <w:r w:rsidR="00E5019F" w:rsidRPr="0071782F">
        <w:rPr>
          <w:lang w:val="fr-CH"/>
        </w:rPr>
        <w:t>.</w:t>
      </w:r>
    </w:p>
    <w:p w:rsidR="00E5019F" w:rsidRPr="0071782F" w:rsidRDefault="00E5019F" w:rsidP="00E5019F">
      <w:pPr>
        <w:pStyle w:val="SingleTxtG"/>
        <w:ind w:left="1701"/>
        <w:rPr>
          <w:lang w:val="fr-CH"/>
        </w:rPr>
      </w:pPr>
      <w:r w:rsidRPr="0071782F">
        <w:rPr>
          <w:lang w:val="fr-CH"/>
        </w:rPr>
        <w:t xml:space="preserve">325.15. </w:t>
      </w:r>
      <w:r w:rsidR="00823600" w:rsidRPr="0071782F">
        <w:rPr>
          <w:lang w:val="fr-CH"/>
        </w:rPr>
        <w:t>Élaboration d’un programme de création de centres de transition</w:t>
      </w:r>
      <w:r w:rsidRPr="0071782F">
        <w:rPr>
          <w:lang w:val="fr-CH"/>
        </w:rPr>
        <w:t>.</w:t>
      </w:r>
    </w:p>
    <w:p w:rsidR="00E5019F" w:rsidRPr="0071782F" w:rsidRDefault="00E5019F" w:rsidP="00E5019F">
      <w:pPr>
        <w:pStyle w:val="SingleTxtG"/>
        <w:ind w:left="1701"/>
        <w:rPr>
          <w:lang w:val="fr-CH"/>
        </w:rPr>
      </w:pPr>
      <w:r w:rsidRPr="0071782F">
        <w:rPr>
          <w:lang w:val="fr-CH"/>
        </w:rPr>
        <w:t xml:space="preserve">325.16. </w:t>
      </w:r>
      <w:r w:rsidR="00DE37E9" w:rsidRPr="0071782F">
        <w:rPr>
          <w:lang w:val="fr-CH"/>
        </w:rPr>
        <w:t>S</w:t>
      </w:r>
      <w:r w:rsidR="00823600" w:rsidRPr="0071782F">
        <w:rPr>
          <w:lang w:val="fr-CH"/>
        </w:rPr>
        <w:t xml:space="preserve">uivi des dispositions du </w:t>
      </w:r>
      <w:r w:rsidR="009E6189">
        <w:rPr>
          <w:lang w:val="fr-CH"/>
        </w:rPr>
        <w:t>troisième</w:t>
      </w:r>
      <w:r w:rsidR="00823600" w:rsidRPr="0071782F">
        <w:rPr>
          <w:lang w:val="fr-CH"/>
        </w:rPr>
        <w:t xml:space="preserve"> plan de développement qui concernent la coopération intersectorielle avec le Ministère de la santé en vue du règlement des affaires </w:t>
      </w:r>
      <w:r w:rsidR="007F37CE" w:rsidRPr="0071782F">
        <w:rPr>
          <w:lang w:val="fr-CH"/>
        </w:rPr>
        <w:t>des personnes</w:t>
      </w:r>
      <w:r w:rsidR="00823600" w:rsidRPr="0071782F">
        <w:rPr>
          <w:lang w:val="fr-CH"/>
        </w:rPr>
        <w:t xml:space="preserve"> souffrant de maladies mentales chroniques.</w:t>
      </w:r>
    </w:p>
    <w:p w:rsidR="00E5019F" w:rsidRPr="0071782F" w:rsidRDefault="00E5019F" w:rsidP="00E5019F">
      <w:pPr>
        <w:pStyle w:val="SingleTxtG"/>
        <w:ind w:left="1701"/>
        <w:rPr>
          <w:lang w:val="fr-CH"/>
        </w:rPr>
      </w:pPr>
      <w:r w:rsidRPr="0071782F">
        <w:rPr>
          <w:lang w:val="fr-CH"/>
        </w:rPr>
        <w:t xml:space="preserve">325.17. </w:t>
      </w:r>
      <w:r w:rsidR="00823600" w:rsidRPr="0071782F">
        <w:rPr>
          <w:lang w:val="fr-CH"/>
        </w:rPr>
        <w:t xml:space="preserve">Application des dispositions de la </w:t>
      </w:r>
      <w:r w:rsidR="00B71907" w:rsidRPr="0071782F">
        <w:rPr>
          <w:lang w:val="fr-CH"/>
        </w:rPr>
        <w:t>note </w:t>
      </w:r>
      <w:r w:rsidRPr="0071782F">
        <w:rPr>
          <w:lang w:val="fr-CH"/>
        </w:rPr>
        <w:t xml:space="preserve">3 </w:t>
      </w:r>
      <w:r w:rsidR="00823600"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7 </w:t>
      </w:r>
      <w:r w:rsidR="00823600" w:rsidRPr="0071782F">
        <w:rPr>
          <w:lang w:val="fr-CH"/>
        </w:rPr>
        <w:t xml:space="preserve">du Plan concernant la création au sein de l’Organisme public de protection sociale d’une banque de données sur les patients souffrant de maladies mentales chroniques. </w:t>
      </w:r>
    </w:p>
    <w:p w:rsidR="003A6D8B" w:rsidRPr="0071782F" w:rsidRDefault="003A6D8B" w:rsidP="003A6D8B">
      <w:pPr>
        <w:pStyle w:val="H1G"/>
        <w:rPr>
          <w:lang w:val="fr-CH"/>
        </w:rPr>
      </w:pPr>
      <w:r w:rsidRPr="0071782F">
        <w:rPr>
          <w:lang w:val="fr-CH"/>
        </w:rPr>
        <w:tab/>
      </w:r>
      <w:r w:rsidRPr="0071782F">
        <w:rPr>
          <w:lang w:val="fr-CH"/>
        </w:rPr>
        <w:tab/>
        <w:t>Statisti</w:t>
      </w:r>
      <w:r w:rsidR="00823600" w:rsidRPr="0071782F">
        <w:rPr>
          <w:lang w:val="fr-CH"/>
        </w:rPr>
        <w:t xml:space="preserve">ques du Centre de régulation du traitement et de la réadaptation </w:t>
      </w:r>
      <w:r w:rsidR="007F37CE" w:rsidRPr="0071782F">
        <w:rPr>
          <w:lang w:val="fr-CH"/>
        </w:rPr>
        <w:t>des personnes</w:t>
      </w:r>
      <w:r w:rsidR="00823600" w:rsidRPr="0071782F">
        <w:rPr>
          <w:lang w:val="fr-CH"/>
        </w:rPr>
        <w:t xml:space="preserve"> souffrant de maladies mentales chroniques </w:t>
      </w:r>
    </w:p>
    <w:p w:rsidR="003A6D8B" w:rsidRPr="0071782F" w:rsidRDefault="003A6D8B" w:rsidP="003A6D8B">
      <w:pPr>
        <w:pStyle w:val="H23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823600" w:rsidRPr="0071782F">
        <w:rPr>
          <w:lang w:val="fr-CH"/>
        </w:rPr>
        <w:t xml:space="preserve">de centres de </w:t>
      </w:r>
      <w:r w:rsidRPr="0071782F">
        <w:rPr>
          <w:lang w:val="fr-CH"/>
        </w:rPr>
        <w:t>tr</w:t>
      </w:r>
      <w:r w:rsidR="00823600" w:rsidRPr="0071782F">
        <w:rPr>
          <w:lang w:val="fr-CH"/>
        </w:rPr>
        <w:t>ai</w:t>
      </w:r>
      <w:r w:rsidRPr="0071782F">
        <w:rPr>
          <w:lang w:val="fr-CH"/>
        </w:rPr>
        <w:t>t</w:t>
      </w:r>
      <w:r w:rsidR="00823600" w:rsidRPr="0071782F">
        <w:rPr>
          <w:lang w:val="fr-CH"/>
        </w:rPr>
        <w:t>e</w:t>
      </w:r>
      <w:r w:rsidRPr="0071782F">
        <w:rPr>
          <w:lang w:val="fr-CH"/>
        </w:rPr>
        <w:t xml:space="preserve">ment </w:t>
      </w:r>
      <w:r w:rsidR="00823600" w:rsidRPr="0071782F">
        <w:rPr>
          <w:lang w:val="fr-CH"/>
        </w:rPr>
        <w:t xml:space="preserve">et de </w:t>
      </w:r>
      <w:r w:rsidRPr="0071782F">
        <w:rPr>
          <w:lang w:val="fr-CH"/>
        </w:rPr>
        <w:t>r</w:t>
      </w:r>
      <w:r w:rsidR="00823600" w:rsidRPr="0071782F">
        <w:rPr>
          <w:lang w:val="fr-CH"/>
        </w:rPr>
        <w:t xml:space="preserve">éadaptation pour </w:t>
      </w:r>
      <w:r w:rsidRPr="0071782F">
        <w:rPr>
          <w:lang w:val="fr-CH"/>
        </w:rPr>
        <w:t xml:space="preserve">patients </w:t>
      </w:r>
      <w:r w:rsidR="00823600" w:rsidRPr="0071782F">
        <w:rPr>
          <w:lang w:val="fr-CH"/>
        </w:rPr>
        <w:t xml:space="preserve">souffrant de maladies mentales chroniques </w:t>
      </w:r>
    </w:p>
    <w:p w:rsidR="003A6D8B" w:rsidRPr="0071782F" w:rsidRDefault="000D49E3" w:rsidP="00CB1491">
      <w:pPr>
        <w:pStyle w:val="SingleTxtG"/>
        <w:rPr>
          <w:lang w:val="fr-CH"/>
        </w:rPr>
      </w:pPr>
      <w:r w:rsidRPr="0071782F">
        <w:rPr>
          <w:lang w:val="fr-CH" w:eastAsia="pt-BR"/>
        </w:rPr>
        <w:pict>
          <v:shape id="_x0000_s1122" type="#_x0000_t202" style="position:absolute;left:0;text-align:left;margin-left:87.6pt;margin-top:219pt;width:345pt;height:21.55pt;z-index:5" stroked="f">
            <v:textbox style="mso-next-textbox:#_x0000_s1122" inset="0,0,0,0">
              <w:txbxContent>
                <w:p w:rsidR="002847E7" w:rsidRDefault="002847E7" w:rsidP="000D49E3">
                  <w:pPr>
                    <w:spacing w:line="240" w:lineRule="auto"/>
                    <w:rPr>
                      <w:b/>
                      <w:bCs/>
                      <w:sz w:val="16"/>
                      <w:szCs w:val="16"/>
                      <w:lang w:val="fr-FR"/>
                    </w:rPr>
                  </w:pPr>
                  <w:r w:rsidRPr="000D49E3">
                    <w:rPr>
                      <w:b/>
                      <w:bCs/>
                      <w:sz w:val="16"/>
                      <w:szCs w:val="16"/>
                      <w:lang w:val="fr-FR"/>
                    </w:rPr>
                    <w:t>Centres ouverts        Soins à domicile        Centre</w:t>
                  </w:r>
                  <w:r>
                    <w:rPr>
                      <w:b/>
                      <w:bCs/>
                      <w:sz w:val="16"/>
                      <w:szCs w:val="16"/>
                      <w:lang w:val="fr-FR"/>
                    </w:rPr>
                    <w:t>s</w:t>
                  </w:r>
                  <w:r w:rsidRPr="000D49E3">
                    <w:rPr>
                      <w:b/>
                      <w:bCs/>
                      <w:sz w:val="16"/>
                      <w:szCs w:val="16"/>
                      <w:lang w:val="fr-FR"/>
                    </w:rPr>
                    <w:t xml:space="preserve"> de soins     Centres de jour</w:t>
                  </w:r>
                  <w:r>
                    <w:rPr>
                      <w:b/>
                      <w:bCs/>
                      <w:sz w:val="16"/>
                      <w:szCs w:val="16"/>
                      <w:lang w:val="fr-FR"/>
                    </w:rPr>
                    <w:t xml:space="preserve">           Autisme</w:t>
                  </w:r>
                </w:p>
                <w:p w:rsidR="002847E7" w:rsidRPr="000D49E3" w:rsidRDefault="002847E7" w:rsidP="000D49E3">
                  <w:pPr>
                    <w:spacing w:line="240" w:lineRule="auto"/>
                    <w:rPr>
                      <w:b/>
                      <w:bCs/>
                      <w:sz w:val="16"/>
                      <w:szCs w:val="16"/>
                      <w:lang w:val="fr-FR"/>
                    </w:rPr>
                  </w:pPr>
                  <w:r>
                    <w:rPr>
                      <w:b/>
                      <w:bCs/>
                      <w:sz w:val="16"/>
                      <w:szCs w:val="16"/>
                      <w:lang w:val="fr-FR"/>
                    </w:rPr>
                    <w:t xml:space="preserve">   24 h sur 24                                                       intégrés</w:t>
                  </w:r>
                </w:p>
              </w:txbxContent>
            </v:textbox>
          </v:shape>
        </w:pict>
      </w:r>
      <w:r w:rsidR="00CB1491" w:rsidRPr="0071782F">
        <w:rPr>
          <w:lang w:val="fr-CH"/>
        </w:rPr>
        <w:pict>
          <v:shape id="Object 4" o:spid="_x0000_i1027" type="#_x0000_t75" style="width:377.25pt;height:231pt;visibility:visible">
            <v:imagedata r:id="rId18" o:title=""/>
            <o:lock v:ext="edit" aspectratio="f"/>
          </v:shape>
        </w:pict>
      </w:r>
    </w:p>
    <w:p w:rsidR="003A6D8B" w:rsidRPr="0071782F" w:rsidRDefault="00823600" w:rsidP="00D36718">
      <w:pPr>
        <w:pStyle w:val="H23G"/>
        <w:spacing w:before="480"/>
        <w:rPr>
          <w:lang w:val="fr-CH"/>
        </w:rPr>
      </w:pPr>
      <w:r w:rsidRPr="0071782F">
        <w:rPr>
          <w:lang w:val="fr-CH"/>
        </w:rPr>
        <w:tab/>
      </w:r>
      <w:r w:rsidRPr="0071782F">
        <w:rPr>
          <w:lang w:val="fr-CH"/>
        </w:rPr>
        <w:tab/>
      </w:r>
      <w:r w:rsidR="003B48A4" w:rsidRPr="0071782F">
        <w:rPr>
          <w:lang w:val="fr-CH"/>
        </w:rPr>
        <w:t>Nombre</w:t>
      </w:r>
      <w:r w:rsidR="003A6D8B" w:rsidRPr="0071782F">
        <w:rPr>
          <w:lang w:val="fr-CH"/>
        </w:rPr>
        <w:t xml:space="preserve"> </w:t>
      </w:r>
      <w:r w:rsidRPr="0071782F">
        <w:rPr>
          <w:lang w:val="fr-CH"/>
        </w:rPr>
        <w:t>de centres de soins et de réadaptation de jour pour patients souffrant de maladies mentales chroniques (</w:t>
      </w:r>
      <w:r w:rsidR="003A6D8B" w:rsidRPr="0071782F">
        <w:rPr>
          <w:lang w:val="fr-CH"/>
        </w:rPr>
        <w:t>2001</w:t>
      </w:r>
      <w:r w:rsidRPr="0071782F">
        <w:rPr>
          <w:lang w:val="fr-CH"/>
        </w:rPr>
        <w:t>-</w:t>
      </w:r>
      <w:r w:rsidR="003A6D8B" w:rsidRPr="0071782F">
        <w:rPr>
          <w:lang w:val="fr-CH"/>
        </w:rPr>
        <w:t>2008</w:t>
      </w:r>
      <w:r w:rsidRPr="0071782F">
        <w:rPr>
          <w:lang w:val="fr-CH"/>
        </w:rPr>
        <w:t>)</w:t>
      </w:r>
    </w:p>
    <w:p w:rsidR="003A6D8B" w:rsidRPr="0071782F" w:rsidRDefault="00CB1491" w:rsidP="00CB1491">
      <w:pPr>
        <w:pStyle w:val="SingleTxtG"/>
        <w:rPr>
          <w:lang w:val="fr-CH"/>
        </w:rPr>
      </w:pPr>
      <w:r w:rsidRPr="0071782F">
        <w:rPr>
          <w:lang w:val="fr-CH"/>
        </w:rPr>
        <w:pict>
          <v:shape id="Object 5" o:spid="_x0000_i1028" type="#_x0000_t75" style="width:369pt;height:198.75pt;visibility:visible">
            <v:imagedata r:id="rId19" o:title="" cropbottom="-4724f"/>
            <o:lock v:ext="edit" aspectratio="f"/>
          </v:shape>
        </w:pict>
      </w:r>
    </w:p>
    <w:p w:rsidR="003A6D8B" w:rsidRPr="0071782F" w:rsidRDefault="003A6D8B" w:rsidP="008A4A98">
      <w:pPr>
        <w:pStyle w:val="H23G"/>
        <w:spacing w:after="80"/>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823600" w:rsidRPr="0071782F">
        <w:rPr>
          <w:lang w:val="fr-CH"/>
        </w:rPr>
        <w:t>de centres de soins et de réadaptation ouverts 24</w:t>
      </w:r>
      <w:r w:rsidR="00BF435F" w:rsidRPr="0071782F">
        <w:rPr>
          <w:lang w:val="fr-CH"/>
        </w:rPr>
        <w:t> heures</w:t>
      </w:r>
      <w:r w:rsidR="00823600" w:rsidRPr="0071782F">
        <w:rPr>
          <w:lang w:val="fr-CH"/>
        </w:rPr>
        <w:t xml:space="preserve"> sur 24 pour patients souffrant de maladies mentales chroniques (</w:t>
      </w:r>
      <w:r w:rsidRPr="0071782F">
        <w:rPr>
          <w:lang w:val="fr-CH"/>
        </w:rPr>
        <w:t>2001</w:t>
      </w:r>
      <w:r w:rsidR="00823600" w:rsidRPr="0071782F">
        <w:rPr>
          <w:lang w:val="fr-CH"/>
        </w:rPr>
        <w:t>-</w:t>
      </w:r>
      <w:r w:rsidRPr="0071782F">
        <w:rPr>
          <w:lang w:val="fr-CH"/>
        </w:rPr>
        <w:t>2006</w:t>
      </w:r>
      <w:r w:rsidR="00823600" w:rsidRPr="0071782F">
        <w:rPr>
          <w:lang w:val="fr-CH"/>
        </w:rPr>
        <w:t>)</w:t>
      </w:r>
    </w:p>
    <w:p w:rsidR="005402D7" w:rsidRPr="0071782F" w:rsidRDefault="00DE0A10" w:rsidP="005402D7">
      <w:pPr>
        <w:pStyle w:val="SingleTxtG"/>
        <w:rPr>
          <w:lang w:val="fr-CH"/>
        </w:rPr>
      </w:pPr>
      <w:r w:rsidRPr="0071782F">
        <w:rPr>
          <w:lang w:val="fr-CH"/>
        </w:rPr>
        <w:pict>
          <v:shape id="_x0000_i1029" type="#_x0000_t75" style="width:357.75pt;height:192.75pt" o:allowoverlap="f">
            <v:imagedata r:id="rId20" o:title="" cropleft="3015f"/>
          </v:shape>
        </w:pict>
      </w:r>
    </w:p>
    <w:p w:rsidR="003A6D8B" w:rsidRPr="0071782F" w:rsidRDefault="003A6D8B" w:rsidP="00D865A3">
      <w:pPr>
        <w:pStyle w:val="H23G"/>
        <w:spacing w:before="360" w:after="0"/>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823600" w:rsidRPr="0071782F">
        <w:rPr>
          <w:lang w:val="fr-CH"/>
        </w:rPr>
        <w:t>de</w:t>
      </w:r>
      <w:r w:rsidRPr="0071782F">
        <w:rPr>
          <w:lang w:val="fr-CH"/>
        </w:rPr>
        <w:t xml:space="preserve"> patients </w:t>
      </w:r>
      <w:r w:rsidR="00823600" w:rsidRPr="0071782F">
        <w:rPr>
          <w:lang w:val="fr-CH"/>
        </w:rPr>
        <w:t xml:space="preserve">souffrant de maladies mentales chroniques bénéficiant de services fournis par les différents types de centres </w:t>
      </w:r>
    </w:p>
    <w:p w:rsidR="003A6D8B" w:rsidRPr="0071782F" w:rsidRDefault="0083463D" w:rsidP="009A3877">
      <w:pPr>
        <w:pStyle w:val="SingleTxtG"/>
        <w:rPr>
          <w:lang w:val="fr-CH"/>
        </w:rPr>
      </w:pPr>
      <w:r w:rsidRPr="0071782F">
        <w:rPr>
          <w:lang w:val="fr-CH" w:eastAsia="pt-BR"/>
        </w:rPr>
        <w:pict>
          <v:shape id="_x0000_s1125" type="#_x0000_t202" style="position:absolute;left:0;text-align:left;margin-left:86.3pt;margin-top:157.05pt;width:345pt;height:30.25pt;z-index:6" stroked="f">
            <v:textbox style="mso-next-textbox:#_x0000_s1125" inset="0,0,0,0">
              <w:txbxContent>
                <w:p w:rsidR="002847E7" w:rsidRDefault="002847E7" w:rsidP="0083463D">
                  <w:pPr>
                    <w:spacing w:line="240" w:lineRule="auto"/>
                    <w:rPr>
                      <w:b/>
                      <w:bCs/>
                      <w:sz w:val="16"/>
                      <w:szCs w:val="16"/>
                      <w:lang w:val="fr-FR"/>
                    </w:rPr>
                  </w:pPr>
                  <w:r w:rsidRPr="0083463D">
                    <w:rPr>
                      <w:b/>
                      <w:bCs/>
                      <w:sz w:val="16"/>
                      <w:szCs w:val="16"/>
                      <w:lang w:val="fr-FR"/>
                    </w:rPr>
                    <w:t xml:space="preserve">       Soins            Soins            Soins            Soins            Soins          Autisme </w:t>
                  </w:r>
                </w:p>
                <w:p w:rsidR="002847E7" w:rsidRDefault="002847E7" w:rsidP="0083463D">
                  <w:pPr>
                    <w:spacing w:line="240" w:lineRule="auto"/>
                    <w:rPr>
                      <w:b/>
                      <w:bCs/>
                      <w:sz w:val="16"/>
                      <w:szCs w:val="16"/>
                      <w:lang w:val="fr-FR"/>
                    </w:rPr>
                  </w:pPr>
                  <w:r>
                    <w:rPr>
                      <w:b/>
                      <w:bCs/>
                      <w:sz w:val="16"/>
                      <w:szCs w:val="16"/>
                      <w:lang w:val="fr-FR"/>
                    </w:rPr>
                    <w:t xml:space="preserve">  familiaux   personnalisés    fournis       à domicile     de jour</w:t>
                  </w:r>
                </w:p>
                <w:p w:rsidR="002847E7" w:rsidRPr="0083463D" w:rsidRDefault="002847E7" w:rsidP="0083463D">
                  <w:pPr>
                    <w:spacing w:line="240" w:lineRule="auto"/>
                    <w:rPr>
                      <w:b/>
                      <w:bCs/>
                      <w:sz w:val="16"/>
                      <w:szCs w:val="16"/>
                      <w:lang w:val="fr-FR"/>
                    </w:rPr>
                  </w:pPr>
                  <w:r>
                    <w:rPr>
                      <w:b/>
                      <w:bCs/>
                      <w:sz w:val="16"/>
                      <w:szCs w:val="16"/>
                      <w:lang w:val="fr-FR"/>
                    </w:rPr>
                    <w:t xml:space="preserve">                                             24 h sur 24</w:t>
                  </w:r>
                </w:p>
              </w:txbxContent>
            </v:textbox>
          </v:shape>
        </w:pict>
      </w:r>
      <w:r w:rsidR="00D865A3" w:rsidRPr="0071782F">
        <w:rPr>
          <w:lang w:val="fr-CH"/>
        </w:rPr>
        <w:pict>
          <v:shape id="Object 6" o:spid="_x0000_i1030" type="#_x0000_t75" style="width:391.5pt;height:178.5pt;visibility:visible">
            <v:imagedata r:id="rId21" o:title="" croptop="-5756f" cropbottom="-5756f" cropleft="-2046f" cropright="-2316f"/>
            <o:lock v:ext="edit" aspectratio="f"/>
          </v:shape>
        </w:pict>
      </w:r>
    </w:p>
    <w:p w:rsidR="00823600" w:rsidRPr="0071782F" w:rsidRDefault="003A6D8B" w:rsidP="00823600">
      <w:pPr>
        <w:rPr>
          <w:sz w:val="18"/>
          <w:szCs w:val="18"/>
          <w:lang w:val="fr-CH"/>
        </w:rPr>
      </w:pPr>
      <w:r w:rsidRPr="0071782F">
        <w:rPr>
          <w:lang w:val="fr-CH"/>
        </w:rPr>
        <w:tab/>
      </w:r>
    </w:p>
    <w:p w:rsidR="003A6D8B" w:rsidRPr="0071782F" w:rsidRDefault="00823600" w:rsidP="00DE0A10">
      <w:pPr>
        <w:pStyle w:val="H23G"/>
        <w:rPr>
          <w:lang w:val="fr-CH"/>
        </w:rPr>
      </w:pPr>
      <w:r w:rsidRPr="0071782F">
        <w:rPr>
          <w:lang w:val="fr-CH"/>
        </w:rPr>
        <w:tab/>
      </w:r>
      <w:r w:rsidRPr="0071782F">
        <w:rPr>
          <w:lang w:val="fr-CH"/>
        </w:rPr>
        <w:tab/>
      </w:r>
      <w:r w:rsidR="003B48A4" w:rsidRPr="0071782F">
        <w:rPr>
          <w:lang w:val="fr-CH"/>
        </w:rPr>
        <w:t>Nombre</w:t>
      </w:r>
      <w:r w:rsidR="003A6D8B" w:rsidRPr="0071782F">
        <w:rPr>
          <w:lang w:val="fr-CH"/>
        </w:rPr>
        <w:t xml:space="preserve"> </w:t>
      </w:r>
      <w:r w:rsidRPr="0071782F">
        <w:rPr>
          <w:lang w:val="fr-CH"/>
        </w:rPr>
        <w:t xml:space="preserve">de bénéficiaires des </w:t>
      </w:r>
      <w:r w:rsidR="003A6D8B" w:rsidRPr="0071782F">
        <w:rPr>
          <w:lang w:val="fr-CH"/>
        </w:rPr>
        <w:t>service</w:t>
      </w:r>
      <w:r w:rsidRPr="0071782F">
        <w:rPr>
          <w:lang w:val="fr-CH"/>
        </w:rPr>
        <w:t>s</w:t>
      </w:r>
      <w:r w:rsidR="003A6D8B" w:rsidRPr="0071782F">
        <w:rPr>
          <w:lang w:val="fr-CH"/>
        </w:rPr>
        <w:t xml:space="preserve"> </w:t>
      </w:r>
      <w:r w:rsidRPr="0071782F">
        <w:rPr>
          <w:lang w:val="fr-CH"/>
        </w:rPr>
        <w:t>(</w:t>
      </w:r>
      <w:r w:rsidR="003A6D8B" w:rsidRPr="0071782F">
        <w:rPr>
          <w:lang w:val="fr-CH"/>
        </w:rPr>
        <w:t>2005</w:t>
      </w:r>
      <w:r w:rsidRPr="0071782F">
        <w:rPr>
          <w:lang w:val="fr-CH"/>
        </w:rPr>
        <w:t>-</w:t>
      </w:r>
      <w:r w:rsidR="003A6D8B" w:rsidRPr="0071782F">
        <w:rPr>
          <w:lang w:val="fr-CH"/>
        </w:rPr>
        <w:t>2008</w:t>
      </w:r>
      <w:r w:rsidRPr="0071782F">
        <w:rPr>
          <w:lang w:val="fr-CH"/>
        </w:rPr>
        <w:t>)</w:t>
      </w:r>
    </w:p>
    <w:p w:rsidR="003A6D8B" w:rsidRPr="0071782F" w:rsidRDefault="00DE0A10" w:rsidP="009A3877">
      <w:pPr>
        <w:pStyle w:val="SingleTxtG"/>
        <w:rPr>
          <w:lang w:val="fr-CH"/>
        </w:rPr>
      </w:pPr>
      <w:r w:rsidRPr="0071782F">
        <w:rPr>
          <w:lang w:val="fr-CH"/>
        </w:rPr>
        <w:pict>
          <v:shape id="Object 7" o:spid="_x0000_i1031" type="#_x0000_t75" style="width:327.75pt;height:167.25pt;visibility:visible">
            <v:imagedata r:id="rId22" o:title="" croptop="-2769f" cropbottom="-5019f" cropleft="-1209f" cropright="-1545f"/>
            <o:lock v:ext="edit" aspectratio="f"/>
          </v:shape>
        </w:pict>
      </w:r>
    </w:p>
    <w:p w:rsidR="003A6D8B" w:rsidRPr="0071782F" w:rsidRDefault="003A6D8B" w:rsidP="003A6D8B">
      <w:pPr>
        <w:pStyle w:val="H23G"/>
        <w:spacing w:before="400"/>
        <w:rPr>
          <w:lang w:val="fr-CH"/>
        </w:rPr>
      </w:pPr>
      <w:r w:rsidRPr="0071782F">
        <w:rPr>
          <w:lang w:val="fr-CH"/>
        </w:rPr>
        <w:tab/>
      </w:r>
      <w:r w:rsidRPr="0071782F">
        <w:rPr>
          <w:lang w:val="fr-CH"/>
        </w:rPr>
        <w:tab/>
        <w:t>Cr</w:t>
      </w:r>
      <w:r w:rsidR="00823600" w:rsidRPr="0071782F">
        <w:rPr>
          <w:lang w:val="fr-CH"/>
        </w:rPr>
        <w:t>é</w:t>
      </w:r>
      <w:r w:rsidRPr="0071782F">
        <w:rPr>
          <w:lang w:val="fr-CH"/>
        </w:rPr>
        <w:t>dits allo</w:t>
      </w:r>
      <w:r w:rsidR="00823600" w:rsidRPr="0071782F">
        <w:rPr>
          <w:lang w:val="fr-CH"/>
        </w:rPr>
        <w:t xml:space="preserve">ués au Comité de coordination des </w:t>
      </w:r>
      <w:r w:rsidRPr="0071782F">
        <w:rPr>
          <w:lang w:val="fr-CH"/>
        </w:rPr>
        <w:t>service</w:t>
      </w:r>
      <w:r w:rsidR="00823600" w:rsidRPr="0071782F">
        <w:rPr>
          <w:lang w:val="fr-CH"/>
        </w:rPr>
        <w:t>s</w:t>
      </w:r>
      <w:r w:rsidRPr="0071782F">
        <w:rPr>
          <w:lang w:val="fr-CH"/>
        </w:rPr>
        <w:t xml:space="preserve"> </w:t>
      </w:r>
      <w:r w:rsidR="00823600" w:rsidRPr="0071782F">
        <w:rPr>
          <w:lang w:val="fr-CH"/>
        </w:rPr>
        <w:t>(</w:t>
      </w:r>
      <w:r w:rsidRPr="0071782F">
        <w:rPr>
          <w:lang w:val="fr-CH"/>
        </w:rPr>
        <w:t>2005</w:t>
      </w:r>
      <w:r w:rsidR="00823600" w:rsidRPr="0071782F">
        <w:rPr>
          <w:lang w:val="fr-CH"/>
        </w:rPr>
        <w:t>-</w:t>
      </w:r>
      <w:r w:rsidRPr="0071782F">
        <w:rPr>
          <w:lang w:val="fr-CH"/>
        </w:rPr>
        <w:t>2008</w:t>
      </w:r>
      <w:r w:rsidR="00823600" w:rsidRPr="0071782F">
        <w:rPr>
          <w:lang w:val="fr-CH"/>
        </w:rPr>
        <w:t>)</w:t>
      </w:r>
    </w:p>
    <w:p w:rsidR="003A6D8B" w:rsidRPr="0071782F" w:rsidRDefault="003F0E89" w:rsidP="003F0E89">
      <w:pPr>
        <w:pStyle w:val="SingleTxtG"/>
        <w:rPr>
          <w:lang w:val="fr-CH"/>
        </w:rPr>
      </w:pPr>
      <w:r w:rsidRPr="0071782F">
        <w:rPr>
          <w:lang w:val="fr-CH"/>
        </w:rPr>
      </w:r>
      <w:r w:rsidR="00C47A13" w:rsidRPr="0071782F">
        <w:rPr>
          <w:lang w:val="fr-CH"/>
        </w:rPr>
        <w:pict>
          <v:group id="_x0000_s1075" style="width:409pt;height:177.75pt;mso-position-horizontal-relative:char;mso-position-vertical-relative:line" coordorigin="1621,6472" coordsize="8180,3555">
            <v:shape id="_x0000_s1076" type="#_x0000_t75" style="position:absolute;left:2401;top:6572;width:6260;height:2787">
              <v:imagedata r:id="rId23" o:title=""/>
            </v:shape>
            <v:shape id="_x0000_s1077" type="#_x0000_t75" style="position:absolute;left:2401;top:6572;width:6260;height:2787">
              <v:imagedata r:id="rId24" o:title=""/>
            </v:shape>
            <v:shape id="_x0000_s1078" style="position:absolute;left:2358;top:6704;width:58;height:2647" coordsize="58,2647" path="m58,2647r-58,l,2632r58,l58,2647xm58,2102r-58,l,2087r58,l58,2102xm58,1588r-58,l,1573r58,l58,1588xm58,1059r-58,l,1044r58,l58,1059xm58,530l,530,,514r58,l58,530xm58,16l,16,,,58,r,16xe" fillcolor="black" strokeweight=".05pt">
              <v:path arrowok="t"/>
              <o:lock v:ext="edit" verticies="t"/>
            </v:shape>
            <v:rect id="_x0000_s1079" style="position:absolute;left:2133;top:9240;width:112;height:240;mso-wrap-style:none" filled="f" stroked="f">
              <v:textbox style="mso-next-textbox:#_x0000_s1079;mso-fit-shape-to-text:t" inset="0,0,0,0">
                <w:txbxContent>
                  <w:p w:rsidR="002847E7" w:rsidRDefault="002847E7" w:rsidP="003F0E89">
                    <w:r>
                      <w:rPr>
                        <w:rFonts w:ascii="Arial" w:hAnsi="Arial" w:cs="Arial"/>
                        <w:b/>
                        <w:bCs/>
                        <w:color w:val="000000"/>
                      </w:rPr>
                      <w:t>0</w:t>
                    </w:r>
                  </w:p>
                </w:txbxContent>
              </v:textbox>
            </v:rect>
            <v:rect id="_x0000_s1080" style="position:absolute;left:1718;top:8715;width:557;height:480;mso-wrap-style:none" filled="f" stroked="f">
              <v:textbox style="mso-next-textbox:#_x0000_s1080;mso-fit-shape-to-text:t" inset="0,0,0,0">
                <w:txbxContent>
                  <w:p w:rsidR="002847E7" w:rsidRDefault="002847E7" w:rsidP="003F0E89">
                    <w:r>
                      <w:rPr>
                        <w:rFonts w:ascii="Arial" w:hAnsi="Arial" w:cs="Arial"/>
                        <w:b/>
                        <w:bCs/>
                        <w:color w:val="000000"/>
                      </w:rPr>
                      <w:t>50000</w:t>
                    </w:r>
                  </w:p>
                </w:txbxContent>
              </v:textbox>
            </v:rect>
            <v:rect id="_x0000_s1081" style="position:absolute;left:1621;top:8190;width:668;height:480;mso-wrap-style:none" filled="f" stroked="f">
              <v:textbox style="mso-next-textbox:#_x0000_s1081;mso-fit-shape-to-text:t" inset="0,0,0,0">
                <w:txbxContent>
                  <w:p w:rsidR="002847E7" w:rsidRDefault="002847E7" w:rsidP="003F0E89">
                    <w:r>
                      <w:rPr>
                        <w:rFonts w:ascii="Arial" w:hAnsi="Arial" w:cs="Arial"/>
                        <w:b/>
                        <w:bCs/>
                        <w:color w:val="000000"/>
                      </w:rPr>
                      <w:t>100000</w:t>
                    </w:r>
                  </w:p>
                </w:txbxContent>
              </v:textbox>
            </v:rect>
            <v:rect id="_x0000_s1082" style="position:absolute;left:1621;top:7664;width:668;height:480;mso-wrap-style:none" filled="f" stroked="f">
              <v:textbox style="mso-next-textbox:#_x0000_s1082;mso-fit-shape-to-text:t" inset="0,0,0,0">
                <w:txbxContent>
                  <w:p w:rsidR="002847E7" w:rsidRDefault="002847E7" w:rsidP="003F0E89">
                    <w:r>
                      <w:rPr>
                        <w:rFonts w:ascii="Arial" w:hAnsi="Arial" w:cs="Arial"/>
                        <w:b/>
                        <w:bCs/>
                        <w:color w:val="000000"/>
                      </w:rPr>
                      <w:t>150000</w:t>
                    </w:r>
                  </w:p>
                </w:txbxContent>
              </v:textbox>
            </v:rect>
            <v:rect id="_x0000_s1083" style="position:absolute;left:1621;top:7139;width:668;height:480;mso-wrap-style:none" filled="f" stroked="f">
              <v:textbox style="mso-next-textbox:#_x0000_s1083;mso-fit-shape-to-text:t" inset="0,0,0,0">
                <w:txbxContent>
                  <w:p w:rsidR="002847E7" w:rsidRDefault="002847E7" w:rsidP="003F0E89">
                    <w:r>
                      <w:rPr>
                        <w:rFonts w:ascii="Arial" w:hAnsi="Arial" w:cs="Arial"/>
                        <w:b/>
                        <w:bCs/>
                        <w:color w:val="000000"/>
                      </w:rPr>
                      <w:t>200000</w:t>
                    </w:r>
                  </w:p>
                </w:txbxContent>
              </v:textbox>
            </v:rect>
            <v:rect id="_x0000_s1084" style="position:absolute;left:1621;top:6615;width:668;height:480;mso-wrap-style:none" filled="f" stroked="f">
              <v:textbox style="mso-next-textbox:#_x0000_s1084;mso-fit-shape-to-text:t" inset="0,0,0,0">
                <w:txbxContent>
                  <w:p w:rsidR="002847E7" w:rsidRDefault="002847E7" w:rsidP="003F0E89">
                    <w:r>
                      <w:rPr>
                        <w:rFonts w:ascii="Arial" w:hAnsi="Arial" w:cs="Arial"/>
                        <w:b/>
                        <w:bCs/>
                        <w:color w:val="000000"/>
                      </w:rPr>
                      <w:t>250000</w:t>
                    </w:r>
                  </w:p>
                </w:txbxContent>
              </v:textbox>
            </v:rect>
            <v:shape id="_x0000_s1085" style="position:absolute;left:2408;top:9343;width:6101;height:63" coordsize="6101,63" path="m15,r,63l,63,,,15,xm1529,r,63l1515,63r,-63l1529,xm3044,r,63l3029,63r,-63l3044,xm4572,r,63l4558,63r,-63l4572,xm6101,r,63l6087,63r,-63l6101,xe" fillcolor="black" strokeweight=".05pt">
              <v:path arrowok="t"/>
              <o:lock v:ext="edit" verticies="t"/>
            </v:shape>
            <v:rect id="_x0000_s1086" style="position:absolute;left:2976;top:9547;width:445;height:480;mso-wrap-style:none" filled="f" stroked="f">
              <v:textbox style="mso-next-textbox:#_x0000_s1086;mso-fit-shape-to-text:t" inset="0,0,0,0">
                <w:txbxContent>
                  <w:p w:rsidR="002847E7" w:rsidRDefault="002847E7" w:rsidP="003F0E89">
                    <w:r>
                      <w:rPr>
                        <w:rFonts w:ascii="Arial" w:hAnsi="Arial" w:cs="Arial"/>
                        <w:b/>
                        <w:bCs/>
                        <w:color w:val="000000"/>
                      </w:rPr>
                      <w:t>2005</w:t>
                    </w:r>
                  </w:p>
                </w:txbxContent>
              </v:textbox>
            </v:rect>
            <v:rect id="_x0000_s1087" style="position:absolute;left:4496;top:9547;width:445;height:480;mso-wrap-style:none" filled="f" stroked="f">
              <v:textbox style="mso-next-textbox:#_x0000_s1087;mso-fit-shape-to-text:t" inset="0,0,0,0">
                <w:txbxContent>
                  <w:p w:rsidR="002847E7" w:rsidRDefault="002847E7" w:rsidP="003F0E89">
                    <w:r>
                      <w:rPr>
                        <w:rFonts w:ascii="Arial" w:hAnsi="Arial" w:cs="Arial"/>
                        <w:b/>
                        <w:bCs/>
                        <w:color w:val="000000"/>
                      </w:rPr>
                      <w:t>2006</w:t>
                    </w:r>
                  </w:p>
                </w:txbxContent>
              </v:textbox>
            </v:rect>
            <v:rect id="_x0000_s1088" style="position:absolute;left:6016;top:9547;width:445;height:480;mso-wrap-style:none" filled="f" stroked="f">
              <v:textbox style="mso-next-textbox:#_x0000_s1088;mso-fit-shape-to-text:t" inset="0,0,0,0">
                <w:txbxContent>
                  <w:p w:rsidR="002847E7" w:rsidRDefault="002847E7" w:rsidP="003F0E89">
                    <w:r>
                      <w:rPr>
                        <w:rFonts w:ascii="Arial" w:hAnsi="Arial" w:cs="Arial"/>
                        <w:b/>
                        <w:bCs/>
                        <w:color w:val="000000"/>
                      </w:rPr>
                      <w:t>2007</w:t>
                    </w:r>
                  </w:p>
                </w:txbxContent>
              </v:textbox>
            </v:rect>
            <v:rect id="_x0000_s1089" style="position:absolute;left:7536;top:9547;width:445;height:480;mso-wrap-style:none" filled="f" stroked="f">
              <v:textbox style="mso-next-textbox:#_x0000_s1089;mso-fit-shape-to-text:t" inset="0,0,0,0">
                <w:txbxContent>
                  <w:p w:rsidR="002847E7" w:rsidRDefault="002847E7" w:rsidP="003F0E89">
                    <w:r>
                      <w:rPr>
                        <w:rFonts w:ascii="Arial" w:hAnsi="Arial" w:cs="Arial"/>
                        <w:b/>
                        <w:bCs/>
                        <w:color w:val="000000"/>
                      </w:rPr>
                      <w:t>2008</w:t>
                    </w:r>
                  </w:p>
                </w:txbxContent>
              </v:textbox>
            </v:rect>
            <v:rect id="_x0000_s1090" style="position:absolute;left:2517;top:8082;width:86;height:109" fillcolor="#63aafe" stroked="f"/>
            <v:shape id="_x0000_s1091" style="position:absolute;left:2509;top:8075;width:101;height:124" coordsize="112,128" path="m,8hdc,4,4,,8,hal104,hdc109,,112,4,112,8hal112,120hdc112,125,109,128,104,128hal8,128hdc4,128,,125,,120hal,8hdxm16,120hal8,112r96,l96,120,96,8r8,8l8,16,16,8r,112hdxe" fillcolor="black" strokeweight=".05pt">
              <v:path arrowok="t"/>
              <o:lock v:ext="edit" verticies="t"/>
            </v:shape>
            <v:rect id="_x0000_s1092" style="position:absolute;left:2713;top:8037;width:557;height:480;mso-wrap-style:none" filled="f" stroked="f">
              <v:textbox style="mso-next-textbox:#_x0000_s1092;mso-fit-shape-to-text:t" inset="0,0,0,0">
                <w:txbxContent>
                  <w:p w:rsidR="002847E7" w:rsidRDefault="002847E7" w:rsidP="003F0E89">
                    <w:r>
                      <w:rPr>
                        <w:rFonts w:ascii="Arial" w:hAnsi="Arial" w:cs="Arial"/>
                        <w:b/>
                        <w:bCs/>
                        <w:color w:val="000000"/>
                      </w:rPr>
                      <w:t>94288</w:t>
                    </w:r>
                  </w:p>
                </w:txbxContent>
              </v:textbox>
            </v:rect>
            <v:rect id="_x0000_s1093" style="position:absolute;left:3973;top:7911;width:101;height:109" fillcolor="#63aafe" stroked="f"/>
            <v:shape id="_x0000_s1094" style="position:absolute;left:3966;top:7903;width:116;height:125" coordsize="128,128" path="m,8hdc,4,4,,8,hal120,hdc125,,128,4,128,8hal128,120hdc128,125,125,128,120,128hal8,128hdc4,128,,125,,120hal,8hdxm16,120hal8,112r112,l112,120,112,8r8,8l8,16,16,8r,112hdxe" fillcolor="black" strokeweight=".05pt">
              <v:path arrowok="t"/>
              <o:lock v:ext="edit" verticies="t"/>
            </v:shape>
            <v:rect id="_x0000_s1095" style="position:absolute;left:4175;top:7872;width:668;height:480;mso-wrap-style:none" filled="f" stroked="f">
              <v:textbox style="mso-next-textbox:#_x0000_s1095;mso-fit-shape-to-text:t" inset="0,0,0,0">
                <w:txbxContent>
                  <w:p w:rsidR="002847E7" w:rsidRDefault="002847E7" w:rsidP="003F0E89">
                    <w:r>
                      <w:rPr>
                        <w:rFonts w:ascii="Arial" w:hAnsi="Arial" w:cs="Arial"/>
                        <w:b/>
                        <w:bCs/>
                        <w:color w:val="000000"/>
                      </w:rPr>
                      <w:t>110011</w:t>
                    </w:r>
                  </w:p>
                </w:txbxContent>
              </v:textbox>
            </v:rect>
            <v:rect id="_x0000_s1096" style="position:absolute;left:5502;top:7677;width:87;height:94" fillcolor="#63aafe" stroked="f"/>
            <v:shape id="_x0000_s1097" style="position:absolute;left:5495;top:7670;width:101;height:109" coordsize="112,112" path="m,8hdc,4,4,,8,hal104,hdc109,,112,4,112,8hal112,104hdc112,109,109,112,104,112hal8,112hdc4,112,,109,,104hal,8hdxm16,104hal8,96r96,l96,104,96,8r8,8l8,16,16,8r,96hdxe" fillcolor="black" strokeweight=".05pt">
              <v:path arrowok="t"/>
              <o:lock v:ext="edit" verticies="t"/>
            </v:shape>
            <v:rect id="_x0000_s1098" style="position:absolute;left:5695;top:7625;width:668;height:480;mso-wrap-style:none" filled="f" stroked="f">
              <v:textbox style="mso-next-textbox:#_x0000_s1098;mso-fit-shape-to-text:t" inset="0,0,0,0">
                <w:txbxContent>
                  <w:p w:rsidR="002847E7" w:rsidRDefault="002847E7" w:rsidP="003F0E89">
                    <w:r>
                      <w:rPr>
                        <w:rFonts w:ascii="Arial" w:hAnsi="Arial" w:cs="Arial"/>
                        <w:b/>
                        <w:bCs/>
                        <w:color w:val="000000"/>
                      </w:rPr>
                      <w:t>133516</w:t>
                    </w:r>
                  </w:p>
                </w:txbxContent>
              </v:textbox>
            </v:rect>
            <v:rect id="_x0000_s1099" style="position:absolute;left:7017;top:6525;width:100;height:94" fillcolor="#63aafe" stroked="f"/>
            <v:shape id="_x0000_s1100" style="position:absolute;left:7009;top:6517;width:116;height:109" coordsize="128,112" path="m,8hdc,4,4,,8,hal120,hdc125,,128,4,128,8hal128,104hdc128,109,125,112,120,112hal8,112hdc4,112,,109,,104hal,8hdxm16,104hal8,96r112,l112,104r,-96l120,16,8,16,16,8r,96hdxe" fillcolor="black" strokeweight=".05pt">
              <v:path arrowok="t"/>
              <o:lock v:ext="edit" verticies="t"/>
            </v:shape>
            <v:rect id="_x0000_s1101" style="position:absolute;left:7216;top:6472;width:668;height:480;mso-wrap-style:none" filled="f" stroked="f">
              <v:textbox style="mso-next-textbox:#_x0000_s1101;mso-fit-shape-to-text:t" inset="0,0,0,0">
                <w:txbxContent>
                  <w:p w:rsidR="002847E7" w:rsidRDefault="002847E7" w:rsidP="003F0E89">
                    <w:r>
                      <w:rPr>
                        <w:rFonts w:ascii="Arial" w:hAnsi="Arial" w:cs="Arial"/>
                        <w:b/>
                        <w:bCs/>
                        <w:color w:val="000000"/>
                      </w:rPr>
                      <w:t>243256</w:t>
                    </w:r>
                  </w:p>
                </w:txbxContent>
              </v:textbox>
            </v:rect>
            <v:shape id="_x0000_s1102" type="#_x0000_t202" style="position:absolute;left:8721;top:6664;width:1080;height:2163" filled="f" stroked="f">
              <v:textbox style="mso-next-textbox:#_x0000_s1102" inset="0,0,0,0">
                <w:txbxContent>
                  <w:p w:rsidR="002847E7" w:rsidRPr="0072557F" w:rsidRDefault="002847E7" w:rsidP="0072557F">
                    <w:pPr>
                      <w:spacing w:line="240" w:lineRule="auto"/>
                      <w:rPr>
                        <w:lang w:val="fr-FR"/>
                      </w:rPr>
                    </w:pPr>
                    <w:r w:rsidRPr="0072557F">
                      <w:rPr>
                        <w:b/>
                        <w:bCs/>
                        <w:sz w:val="16"/>
                        <w:szCs w:val="16"/>
                        <w:lang w:val="fr-CH"/>
                      </w:rPr>
                      <w:t>Nombre de patients qui ont bénéficié de services ou attendent d’en bénéficier</w:t>
                    </w:r>
                  </w:p>
                </w:txbxContent>
              </v:textbox>
            </v:shape>
            <w10:anchorlock/>
          </v:group>
        </w:pict>
      </w:r>
    </w:p>
    <w:p w:rsidR="00823600" w:rsidRPr="0071782F" w:rsidRDefault="00823600" w:rsidP="00823600">
      <w:pPr>
        <w:pStyle w:val="SingleTxtG"/>
        <w:ind w:right="1314"/>
        <w:jc w:val="right"/>
        <w:rPr>
          <w:sz w:val="18"/>
          <w:szCs w:val="18"/>
          <w:lang w:val="fr-CH"/>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92"/>
        <w:gridCol w:w="7021"/>
        <w:gridCol w:w="992"/>
      </w:tblGrid>
      <w:tr w:rsidR="003A6D8B" w:rsidRPr="0071782F">
        <w:trPr>
          <w:tblHeader/>
        </w:trPr>
        <w:tc>
          <w:tcPr>
            <w:tcW w:w="492" w:type="dxa"/>
            <w:tcBorders>
              <w:top w:val="single" w:sz="4" w:space="0" w:color="auto"/>
              <w:bottom w:val="single" w:sz="12" w:space="0" w:color="auto"/>
            </w:tcBorders>
            <w:shd w:val="clear" w:color="auto" w:fill="auto"/>
          </w:tcPr>
          <w:p w:rsidR="003A6D8B" w:rsidRPr="0071782F" w:rsidRDefault="003A6D8B" w:rsidP="00C232FA">
            <w:pPr>
              <w:suppressAutoHyphens w:val="0"/>
              <w:spacing w:before="80" w:after="80" w:line="200" w:lineRule="exact"/>
              <w:rPr>
                <w:i/>
                <w:sz w:val="16"/>
                <w:lang w:val="fr-CH"/>
              </w:rPr>
            </w:pPr>
          </w:p>
        </w:tc>
        <w:tc>
          <w:tcPr>
            <w:tcW w:w="7021" w:type="dxa"/>
            <w:tcBorders>
              <w:top w:val="single" w:sz="4" w:space="0" w:color="auto"/>
              <w:bottom w:val="single" w:sz="12" w:space="0" w:color="auto"/>
            </w:tcBorders>
            <w:shd w:val="clear" w:color="auto" w:fill="auto"/>
          </w:tcPr>
          <w:p w:rsidR="003A6D8B" w:rsidRPr="0071782F" w:rsidRDefault="003A6D8B" w:rsidP="00C232FA">
            <w:pPr>
              <w:suppressAutoHyphens w:val="0"/>
              <w:spacing w:before="80" w:after="80" w:line="200" w:lineRule="exact"/>
              <w:rPr>
                <w:i/>
                <w:sz w:val="16"/>
                <w:lang w:val="fr-CH"/>
              </w:rPr>
            </w:pPr>
            <w:r w:rsidRPr="0071782F">
              <w:rPr>
                <w:i/>
                <w:sz w:val="16"/>
                <w:lang w:val="fr-CH"/>
              </w:rPr>
              <w:t>Indicat</w:t>
            </w:r>
            <w:r w:rsidR="00823600" w:rsidRPr="0071782F">
              <w:rPr>
                <w:i/>
                <w:sz w:val="16"/>
                <w:lang w:val="fr-CH"/>
              </w:rPr>
              <w:t>eu</w:t>
            </w:r>
            <w:r w:rsidRPr="0071782F">
              <w:rPr>
                <w:i/>
                <w:sz w:val="16"/>
                <w:lang w:val="fr-CH"/>
              </w:rPr>
              <w:t>r</w:t>
            </w:r>
          </w:p>
        </w:tc>
        <w:tc>
          <w:tcPr>
            <w:tcW w:w="992" w:type="dxa"/>
            <w:tcBorders>
              <w:top w:val="single" w:sz="4" w:space="0" w:color="auto"/>
              <w:bottom w:val="single" w:sz="12" w:space="0" w:color="auto"/>
            </w:tcBorders>
            <w:shd w:val="clear" w:color="auto" w:fill="auto"/>
          </w:tcPr>
          <w:p w:rsidR="003A6D8B" w:rsidRPr="0071782F" w:rsidRDefault="003B48A4" w:rsidP="00C232FA">
            <w:pPr>
              <w:suppressAutoHyphens w:val="0"/>
              <w:spacing w:before="80" w:after="80" w:line="200" w:lineRule="exact"/>
              <w:jc w:val="right"/>
              <w:rPr>
                <w:i/>
                <w:sz w:val="16"/>
                <w:lang w:val="fr-CH"/>
              </w:rPr>
            </w:pPr>
            <w:r w:rsidRPr="0071782F">
              <w:rPr>
                <w:i/>
                <w:sz w:val="16"/>
                <w:lang w:val="fr-CH"/>
              </w:rPr>
              <w:t>Nombre</w:t>
            </w:r>
          </w:p>
        </w:tc>
      </w:tr>
      <w:tr w:rsidR="003A6D8B" w:rsidRPr="0071782F">
        <w:tc>
          <w:tcPr>
            <w:tcW w:w="492" w:type="dxa"/>
            <w:tcBorders>
              <w:top w:val="single" w:sz="12" w:space="0" w:color="auto"/>
            </w:tcBorders>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1</w:t>
            </w:r>
          </w:p>
        </w:tc>
        <w:tc>
          <w:tcPr>
            <w:tcW w:w="7021" w:type="dxa"/>
            <w:tcBorders>
              <w:top w:val="single" w:sz="12" w:space="0" w:color="auto"/>
            </w:tcBorders>
            <w:shd w:val="clear" w:color="auto" w:fill="auto"/>
          </w:tcPr>
          <w:p w:rsidR="003A6D8B" w:rsidRPr="0071782F" w:rsidRDefault="003B48A4" w:rsidP="00C232FA">
            <w:pPr>
              <w:suppressAutoHyphens w:val="0"/>
              <w:spacing w:before="40" w:after="40" w:line="220" w:lineRule="exact"/>
              <w:rPr>
                <w:sz w:val="18"/>
                <w:lang w:val="fr-CH"/>
              </w:rPr>
            </w:pPr>
            <w:r w:rsidRPr="0071782F">
              <w:rPr>
                <w:sz w:val="18"/>
                <w:lang w:val="fr-CH"/>
              </w:rPr>
              <w:t>Nombre</w:t>
            </w:r>
            <w:r w:rsidR="003A6D8B" w:rsidRPr="0071782F">
              <w:rPr>
                <w:sz w:val="18"/>
                <w:lang w:val="fr-CH"/>
              </w:rPr>
              <w:t xml:space="preserve"> </w:t>
            </w:r>
            <w:r w:rsidR="00823600" w:rsidRPr="0071782F">
              <w:rPr>
                <w:sz w:val="18"/>
                <w:lang w:val="fr-CH"/>
              </w:rPr>
              <w:t>de</w:t>
            </w:r>
            <w:r w:rsidR="003A6D8B" w:rsidRPr="0071782F">
              <w:rPr>
                <w:sz w:val="18"/>
                <w:lang w:val="fr-CH"/>
              </w:rPr>
              <w:t xml:space="preserve"> patients</w:t>
            </w:r>
          </w:p>
        </w:tc>
        <w:tc>
          <w:tcPr>
            <w:tcW w:w="992" w:type="dxa"/>
            <w:tcBorders>
              <w:top w:val="single" w:sz="12" w:space="0" w:color="auto"/>
            </w:tcBorders>
            <w:shd w:val="clear" w:color="auto" w:fill="auto"/>
          </w:tcPr>
          <w:p w:rsidR="003A6D8B" w:rsidRPr="0071782F" w:rsidRDefault="003A6D8B" w:rsidP="00C232FA">
            <w:pPr>
              <w:suppressAutoHyphens w:val="0"/>
              <w:spacing w:before="40" w:after="40" w:line="220" w:lineRule="exact"/>
              <w:jc w:val="right"/>
              <w:rPr>
                <w:sz w:val="18"/>
                <w:lang w:val="fr-CH"/>
              </w:rPr>
            </w:pPr>
            <w:r w:rsidRPr="0071782F">
              <w:rPr>
                <w:sz w:val="18"/>
                <w:lang w:val="fr-CH"/>
              </w:rPr>
              <w:t>7 043</w:t>
            </w:r>
          </w:p>
        </w:tc>
      </w:tr>
      <w:tr w:rsidR="003A6D8B" w:rsidRPr="0071782F">
        <w:tc>
          <w:tcPr>
            <w:tcW w:w="492" w:type="dxa"/>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2</w:t>
            </w:r>
          </w:p>
        </w:tc>
        <w:tc>
          <w:tcPr>
            <w:tcW w:w="7021" w:type="dxa"/>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Patients</w:t>
            </w:r>
            <w:r w:rsidR="00823600" w:rsidRPr="0071782F">
              <w:rPr>
                <w:sz w:val="18"/>
                <w:lang w:val="fr-CH"/>
              </w:rPr>
              <w:t xml:space="preserve"> des centres ouverts 24</w:t>
            </w:r>
            <w:r w:rsidR="00BF435F" w:rsidRPr="0071782F">
              <w:rPr>
                <w:sz w:val="18"/>
                <w:lang w:val="fr-CH"/>
              </w:rPr>
              <w:t> heures</w:t>
            </w:r>
            <w:r w:rsidR="00823600" w:rsidRPr="0071782F">
              <w:rPr>
                <w:sz w:val="18"/>
                <w:lang w:val="fr-CH"/>
              </w:rPr>
              <w:t xml:space="preserve"> sur </w:t>
            </w:r>
            <w:r w:rsidRPr="0071782F">
              <w:rPr>
                <w:sz w:val="18"/>
                <w:lang w:val="fr-CH"/>
              </w:rPr>
              <w:t>24</w:t>
            </w:r>
          </w:p>
        </w:tc>
        <w:tc>
          <w:tcPr>
            <w:tcW w:w="992" w:type="dxa"/>
            <w:shd w:val="clear" w:color="auto" w:fill="auto"/>
          </w:tcPr>
          <w:p w:rsidR="003A6D8B" w:rsidRPr="0071782F" w:rsidRDefault="003A6D8B" w:rsidP="00C232FA">
            <w:pPr>
              <w:suppressAutoHyphens w:val="0"/>
              <w:spacing w:before="40" w:after="40" w:line="220" w:lineRule="exact"/>
              <w:jc w:val="right"/>
              <w:rPr>
                <w:sz w:val="18"/>
                <w:lang w:val="fr-CH"/>
              </w:rPr>
            </w:pPr>
            <w:r w:rsidRPr="0071782F">
              <w:rPr>
                <w:sz w:val="18"/>
                <w:lang w:val="fr-CH"/>
              </w:rPr>
              <w:t>6 088</w:t>
            </w:r>
          </w:p>
        </w:tc>
      </w:tr>
      <w:tr w:rsidR="003A6D8B" w:rsidRPr="0071782F">
        <w:tc>
          <w:tcPr>
            <w:tcW w:w="492" w:type="dxa"/>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3</w:t>
            </w:r>
          </w:p>
        </w:tc>
        <w:tc>
          <w:tcPr>
            <w:tcW w:w="7021" w:type="dxa"/>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 xml:space="preserve">Patients </w:t>
            </w:r>
            <w:r w:rsidR="00823600" w:rsidRPr="0071782F">
              <w:rPr>
                <w:sz w:val="18"/>
                <w:lang w:val="fr-CH"/>
              </w:rPr>
              <w:t>des centres de jour</w:t>
            </w:r>
            <w:r w:rsidRPr="0071782F">
              <w:rPr>
                <w:sz w:val="18"/>
                <w:lang w:val="fr-CH"/>
              </w:rPr>
              <w:t xml:space="preserve"> </w:t>
            </w:r>
          </w:p>
        </w:tc>
        <w:tc>
          <w:tcPr>
            <w:tcW w:w="992" w:type="dxa"/>
            <w:shd w:val="clear" w:color="auto" w:fill="auto"/>
          </w:tcPr>
          <w:p w:rsidR="003A6D8B" w:rsidRPr="0071782F" w:rsidRDefault="003A6D8B" w:rsidP="00C232FA">
            <w:pPr>
              <w:suppressAutoHyphens w:val="0"/>
              <w:spacing w:before="40" w:after="40" w:line="220" w:lineRule="exact"/>
              <w:jc w:val="right"/>
              <w:rPr>
                <w:sz w:val="18"/>
                <w:lang w:val="fr-CH"/>
              </w:rPr>
            </w:pPr>
            <w:r w:rsidRPr="0071782F">
              <w:rPr>
                <w:sz w:val="18"/>
                <w:lang w:val="fr-CH"/>
              </w:rPr>
              <w:t>1 737</w:t>
            </w:r>
          </w:p>
        </w:tc>
      </w:tr>
      <w:tr w:rsidR="003A6D8B" w:rsidRPr="0071782F">
        <w:tc>
          <w:tcPr>
            <w:tcW w:w="492" w:type="dxa"/>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4</w:t>
            </w:r>
          </w:p>
        </w:tc>
        <w:tc>
          <w:tcPr>
            <w:tcW w:w="7021" w:type="dxa"/>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 xml:space="preserve">Patients </w:t>
            </w:r>
            <w:r w:rsidR="00823600" w:rsidRPr="0071782F">
              <w:rPr>
                <w:sz w:val="18"/>
                <w:lang w:val="fr-CH"/>
              </w:rPr>
              <w:t xml:space="preserve">recevant des soins à domicile </w:t>
            </w:r>
          </w:p>
        </w:tc>
        <w:tc>
          <w:tcPr>
            <w:tcW w:w="992" w:type="dxa"/>
            <w:shd w:val="clear" w:color="auto" w:fill="auto"/>
          </w:tcPr>
          <w:p w:rsidR="003A6D8B" w:rsidRPr="0071782F" w:rsidRDefault="003A6D8B" w:rsidP="00C232FA">
            <w:pPr>
              <w:suppressAutoHyphens w:val="0"/>
              <w:spacing w:before="40" w:after="40" w:line="220" w:lineRule="exact"/>
              <w:jc w:val="right"/>
              <w:rPr>
                <w:sz w:val="18"/>
                <w:lang w:val="fr-CH"/>
              </w:rPr>
            </w:pPr>
            <w:r w:rsidRPr="0071782F">
              <w:rPr>
                <w:sz w:val="18"/>
                <w:lang w:val="fr-CH"/>
              </w:rPr>
              <w:t>1 856</w:t>
            </w:r>
          </w:p>
        </w:tc>
      </w:tr>
      <w:tr w:rsidR="003A6D8B" w:rsidRPr="0071782F">
        <w:tc>
          <w:tcPr>
            <w:tcW w:w="492" w:type="dxa"/>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5</w:t>
            </w:r>
          </w:p>
        </w:tc>
        <w:tc>
          <w:tcPr>
            <w:tcW w:w="7021" w:type="dxa"/>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 xml:space="preserve">Patients </w:t>
            </w:r>
            <w:r w:rsidR="00823600" w:rsidRPr="0071782F">
              <w:rPr>
                <w:sz w:val="18"/>
                <w:lang w:val="fr-CH"/>
              </w:rPr>
              <w:t xml:space="preserve">soignés dans des </w:t>
            </w:r>
            <w:r w:rsidR="00823600" w:rsidRPr="0071782F">
              <w:rPr>
                <w:sz w:val="18"/>
                <w:szCs w:val="18"/>
                <w:lang w:val="fr-CH"/>
              </w:rPr>
              <w:t xml:space="preserve">centres spécialisés dans le traitement de l’autisme </w:t>
            </w:r>
          </w:p>
        </w:tc>
        <w:tc>
          <w:tcPr>
            <w:tcW w:w="992" w:type="dxa"/>
            <w:shd w:val="clear" w:color="auto" w:fill="auto"/>
          </w:tcPr>
          <w:p w:rsidR="003A6D8B" w:rsidRPr="0071782F" w:rsidRDefault="003A6D8B" w:rsidP="00C232FA">
            <w:pPr>
              <w:suppressAutoHyphens w:val="0"/>
              <w:spacing w:before="40" w:after="40" w:line="220" w:lineRule="exact"/>
              <w:jc w:val="right"/>
              <w:rPr>
                <w:sz w:val="18"/>
                <w:lang w:val="fr-CH"/>
              </w:rPr>
            </w:pPr>
            <w:r w:rsidRPr="0071782F">
              <w:rPr>
                <w:sz w:val="18"/>
                <w:lang w:val="fr-CH"/>
              </w:rPr>
              <w:t>198</w:t>
            </w:r>
          </w:p>
        </w:tc>
      </w:tr>
      <w:tr w:rsidR="003A6D8B" w:rsidRPr="0071782F">
        <w:tc>
          <w:tcPr>
            <w:tcW w:w="492" w:type="dxa"/>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6</w:t>
            </w:r>
          </w:p>
        </w:tc>
        <w:tc>
          <w:tcPr>
            <w:tcW w:w="7021" w:type="dxa"/>
            <w:shd w:val="clear" w:color="auto" w:fill="auto"/>
          </w:tcPr>
          <w:p w:rsidR="003A6D8B" w:rsidRPr="0071782F" w:rsidRDefault="00823600" w:rsidP="00C232FA">
            <w:pPr>
              <w:suppressAutoHyphens w:val="0"/>
              <w:spacing w:before="40" w:after="40" w:line="220" w:lineRule="exact"/>
              <w:rPr>
                <w:sz w:val="18"/>
                <w:lang w:val="fr-CH"/>
              </w:rPr>
            </w:pPr>
            <w:r w:rsidRPr="0071782F">
              <w:rPr>
                <w:sz w:val="18"/>
                <w:lang w:val="fr-CH"/>
              </w:rPr>
              <w:t>Patients recevant des soins subventionnés à domicile</w:t>
            </w:r>
          </w:p>
        </w:tc>
        <w:tc>
          <w:tcPr>
            <w:tcW w:w="992" w:type="dxa"/>
            <w:shd w:val="clear" w:color="auto" w:fill="auto"/>
          </w:tcPr>
          <w:p w:rsidR="003A6D8B" w:rsidRPr="0071782F" w:rsidRDefault="003A6D8B" w:rsidP="00C232FA">
            <w:pPr>
              <w:suppressAutoHyphens w:val="0"/>
              <w:spacing w:before="40" w:after="40" w:line="220" w:lineRule="exact"/>
              <w:jc w:val="right"/>
              <w:rPr>
                <w:sz w:val="18"/>
                <w:lang w:val="fr-CH"/>
              </w:rPr>
            </w:pPr>
            <w:r w:rsidRPr="0071782F">
              <w:rPr>
                <w:sz w:val="18"/>
                <w:lang w:val="fr-CH"/>
              </w:rPr>
              <w:t>16 331</w:t>
            </w:r>
          </w:p>
        </w:tc>
      </w:tr>
      <w:tr w:rsidR="003A6D8B" w:rsidRPr="0071782F">
        <w:tc>
          <w:tcPr>
            <w:tcW w:w="492" w:type="dxa"/>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7</w:t>
            </w:r>
          </w:p>
        </w:tc>
        <w:tc>
          <w:tcPr>
            <w:tcW w:w="7021" w:type="dxa"/>
            <w:shd w:val="clear" w:color="auto" w:fill="auto"/>
          </w:tcPr>
          <w:p w:rsidR="003A6D8B" w:rsidRPr="0071782F" w:rsidRDefault="00823600" w:rsidP="00C232FA">
            <w:pPr>
              <w:suppressAutoHyphens w:val="0"/>
              <w:spacing w:before="40" w:after="40" w:line="220" w:lineRule="exact"/>
              <w:rPr>
                <w:sz w:val="18"/>
                <w:lang w:val="fr-CH"/>
              </w:rPr>
            </w:pPr>
            <w:r w:rsidRPr="0071782F">
              <w:rPr>
                <w:sz w:val="18"/>
                <w:lang w:val="fr-CH"/>
              </w:rPr>
              <w:t>Patients recevant des soins personnalisé</w:t>
            </w:r>
            <w:r w:rsidR="00335EF4" w:rsidRPr="0071782F">
              <w:rPr>
                <w:sz w:val="18"/>
                <w:lang w:val="fr-CH"/>
              </w:rPr>
              <w:t>s</w:t>
            </w:r>
          </w:p>
        </w:tc>
        <w:tc>
          <w:tcPr>
            <w:tcW w:w="992" w:type="dxa"/>
            <w:shd w:val="clear" w:color="auto" w:fill="auto"/>
          </w:tcPr>
          <w:p w:rsidR="003A6D8B" w:rsidRPr="0071782F" w:rsidRDefault="003A6D8B" w:rsidP="00C232FA">
            <w:pPr>
              <w:suppressAutoHyphens w:val="0"/>
              <w:spacing w:before="40" w:after="40" w:line="220" w:lineRule="exact"/>
              <w:jc w:val="right"/>
              <w:rPr>
                <w:sz w:val="18"/>
                <w:lang w:val="fr-CH"/>
              </w:rPr>
            </w:pPr>
            <w:r w:rsidRPr="0071782F">
              <w:rPr>
                <w:sz w:val="18"/>
                <w:lang w:val="fr-CH"/>
              </w:rPr>
              <w:t>6 828</w:t>
            </w:r>
          </w:p>
        </w:tc>
      </w:tr>
      <w:tr w:rsidR="003A6D8B" w:rsidRPr="0071782F">
        <w:tc>
          <w:tcPr>
            <w:tcW w:w="492" w:type="dxa"/>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8</w:t>
            </w:r>
          </w:p>
        </w:tc>
        <w:tc>
          <w:tcPr>
            <w:tcW w:w="7021" w:type="dxa"/>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 xml:space="preserve">Patients </w:t>
            </w:r>
            <w:r w:rsidR="00823600" w:rsidRPr="0071782F">
              <w:rPr>
                <w:sz w:val="18"/>
                <w:lang w:val="fr-CH"/>
              </w:rPr>
              <w:t>attendant de recevoir des soins 24</w:t>
            </w:r>
            <w:r w:rsidR="00BF435F" w:rsidRPr="0071782F">
              <w:rPr>
                <w:sz w:val="18"/>
                <w:lang w:val="fr-CH"/>
              </w:rPr>
              <w:t> heures</w:t>
            </w:r>
            <w:r w:rsidR="00823600" w:rsidRPr="0071782F">
              <w:rPr>
                <w:sz w:val="18"/>
                <w:lang w:val="fr-CH"/>
              </w:rPr>
              <w:t xml:space="preserve"> sur 24</w:t>
            </w:r>
          </w:p>
        </w:tc>
        <w:tc>
          <w:tcPr>
            <w:tcW w:w="992" w:type="dxa"/>
            <w:shd w:val="clear" w:color="auto" w:fill="auto"/>
          </w:tcPr>
          <w:p w:rsidR="003A6D8B" w:rsidRPr="0071782F" w:rsidRDefault="003A6D8B" w:rsidP="00C232FA">
            <w:pPr>
              <w:suppressAutoHyphens w:val="0"/>
              <w:spacing w:before="40" w:after="40" w:line="220" w:lineRule="exact"/>
              <w:jc w:val="right"/>
              <w:rPr>
                <w:sz w:val="18"/>
                <w:lang w:val="fr-CH"/>
              </w:rPr>
            </w:pPr>
            <w:r w:rsidRPr="0071782F">
              <w:rPr>
                <w:sz w:val="18"/>
                <w:lang w:val="fr-CH"/>
              </w:rPr>
              <w:t>3 511</w:t>
            </w:r>
          </w:p>
        </w:tc>
      </w:tr>
      <w:tr w:rsidR="003A6D8B" w:rsidRPr="0071782F">
        <w:tc>
          <w:tcPr>
            <w:tcW w:w="492" w:type="dxa"/>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9</w:t>
            </w:r>
          </w:p>
        </w:tc>
        <w:tc>
          <w:tcPr>
            <w:tcW w:w="7021" w:type="dxa"/>
            <w:shd w:val="clear" w:color="auto" w:fill="auto"/>
          </w:tcPr>
          <w:p w:rsidR="003A6D8B" w:rsidRPr="0071782F" w:rsidRDefault="00823600" w:rsidP="00C232FA">
            <w:pPr>
              <w:suppressAutoHyphens w:val="0"/>
              <w:spacing w:before="40" w:after="40" w:line="220" w:lineRule="exact"/>
              <w:rPr>
                <w:sz w:val="18"/>
                <w:lang w:val="fr-CH"/>
              </w:rPr>
            </w:pPr>
            <w:r w:rsidRPr="0071782F">
              <w:rPr>
                <w:sz w:val="18"/>
                <w:lang w:val="fr-CH"/>
              </w:rPr>
              <w:t>Patients attendant de recevoir des soins de jour</w:t>
            </w:r>
          </w:p>
        </w:tc>
        <w:tc>
          <w:tcPr>
            <w:tcW w:w="992" w:type="dxa"/>
            <w:shd w:val="clear" w:color="auto" w:fill="auto"/>
          </w:tcPr>
          <w:p w:rsidR="003A6D8B" w:rsidRPr="0071782F" w:rsidRDefault="003A6D8B" w:rsidP="00C232FA">
            <w:pPr>
              <w:suppressAutoHyphens w:val="0"/>
              <w:spacing w:before="40" w:after="40" w:line="220" w:lineRule="exact"/>
              <w:jc w:val="right"/>
              <w:rPr>
                <w:sz w:val="18"/>
                <w:lang w:val="fr-CH"/>
              </w:rPr>
            </w:pPr>
            <w:r w:rsidRPr="0071782F">
              <w:rPr>
                <w:sz w:val="18"/>
                <w:lang w:val="fr-CH"/>
              </w:rPr>
              <w:t>2 922</w:t>
            </w:r>
          </w:p>
        </w:tc>
      </w:tr>
      <w:tr w:rsidR="003A6D8B" w:rsidRPr="0071782F">
        <w:tc>
          <w:tcPr>
            <w:tcW w:w="492" w:type="dxa"/>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10</w:t>
            </w:r>
          </w:p>
        </w:tc>
        <w:tc>
          <w:tcPr>
            <w:tcW w:w="7021" w:type="dxa"/>
            <w:shd w:val="clear" w:color="auto" w:fill="auto"/>
          </w:tcPr>
          <w:p w:rsidR="003A6D8B" w:rsidRPr="0071782F" w:rsidRDefault="00823600" w:rsidP="00C232FA">
            <w:pPr>
              <w:suppressAutoHyphens w:val="0"/>
              <w:spacing w:before="40" w:after="40" w:line="220" w:lineRule="exact"/>
              <w:rPr>
                <w:sz w:val="18"/>
                <w:lang w:val="fr-CH"/>
              </w:rPr>
            </w:pPr>
            <w:r w:rsidRPr="0071782F">
              <w:rPr>
                <w:sz w:val="18"/>
                <w:lang w:val="fr-CH"/>
              </w:rPr>
              <w:t>Patients attendant de recevoir des soins à domicile</w:t>
            </w:r>
          </w:p>
        </w:tc>
        <w:tc>
          <w:tcPr>
            <w:tcW w:w="992" w:type="dxa"/>
            <w:shd w:val="clear" w:color="auto" w:fill="auto"/>
          </w:tcPr>
          <w:p w:rsidR="003A6D8B" w:rsidRPr="0071782F" w:rsidRDefault="003A6D8B" w:rsidP="00C232FA">
            <w:pPr>
              <w:suppressAutoHyphens w:val="0"/>
              <w:spacing w:before="40" w:after="40" w:line="220" w:lineRule="exact"/>
              <w:jc w:val="right"/>
              <w:rPr>
                <w:sz w:val="18"/>
                <w:lang w:val="fr-CH"/>
              </w:rPr>
            </w:pPr>
            <w:r w:rsidRPr="0071782F">
              <w:rPr>
                <w:sz w:val="18"/>
                <w:lang w:val="fr-CH"/>
              </w:rPr>
              <w:t>7 533</w:t>
            </w:r>
          </w:p>
        </w:tc>
      </w:tr>
      <w:tr w:rsidR="003A6D8B" w:rsidRPr="0071782F">
        <w:tc>
          <w:tcPr>
            <w:tcW w:w="492" w:type="dxa"/>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11</w:t>
            </w:r>
          </w:p>
        </w:tc>
        <w:tc>
          <w:tcPr>
            <w:tcW w:w="7021" w:type="dxa"/>
            <w:shd w:val="clear" w:color="auto" w:fill="auto"/>
          </w:tcPr>
          <w:p w:rsidR="003A6D8B" w:rsidRPr="00E86031" w:rsidRDefault="00823600" w:rsidP="00C232FA">
            <w:pPr>
              <w:suppressAutoHyphens w:val="0"/>
              <w:spacing w:before="40" w:after="40" w:line="220" w:lineRule="exact"/>
              <w:rPr>
                <w:spacing w:val="-2"/>
                <w:sz w:val="18"/>
                <w:lang w:val="fr-CH"/>
              </w:rPr>
            </w:pPr>
            <w:r w:rsidRPr="00E86031">
              <w:rPr>
                <w:spacing w:val="-2"/>
                <w:sz w:val="18"/>
                <w:lang w:val="fr-CH"/>
              </w:rPr>
              <w:t xml:space="preserve">Patients attendant de recevoir des soins dans des </w:t>
            </w:r>
            <w:r w:rsidRPr="00E86031">
              <w:rPr>
                <w:spacing w:val="-2"/>
                <w:sz w:val="18"/>
                <w:szCs w:val="18"/>
                <w:lang w:val="fr-CH"/>
              </w:rPr>
              <w:t>centres spécialisés dans le traitement de l’autisme</w:t>
            </w:r>
          </w:p>
        </w:tc>
        <w:tc>
          <w:tcPr>
            <w:tcW w:w="992" w:type="dxa"/>
            <w:shd w:val="clear" w:color="auto" w:fill="auto"/>
          </w:tcPr>
          <w:p w:rsidR="003A6D8B" w:rsidRPr="0071782F" w:rsidRDefault="003A6D8B" w:rsidP="00C232FA">
            <w:pPr>
              <w:suppressAutoHyphens w:val="0"/>
              <w:spacing w:before="40" w:after="40" w:line="220" w:lineRule="exact"/>
              <w:jc w:val="right"/>
              <w:rPr>
                <w:sz w:val="18"/>
                <w:lang w:val="fr-CH"/>
              </w:rPr>
            </w:pPr>
            <w:r w:rsidRPr="0071782F">
              <w:rPr>
                <w:sz w:val="18"/>
                <w:lang w:val="fr-CH"/>
              </w:rPr>
              <w:t>555</w:t>
            </w:r>
          </w:p>
        </w:tc>
      </w:tr>
      <w:tr w:rsidR="003A6D8B" w:rsidRPr="0071782F">
        <w:tc>
          <w:tcPr>
            <w:tcW w:w="492" w:type="dxa"/>
            <w:tcBorders>
              <w:bottom w:val="nil"/>
            </w:tcBorders>
            <w:shd w:val="clear" w:color="auto" w:fill="auto"/>
          </w:tcPr>
          <w:p w:rsidR="003A6D8B" w:rsidRPr="0071782F" w:rsidRDefault="003A6D8B" w:rsidP="00C232FA">
            <w:pPr>
              <w:suppressAutoHyphens w:val="0"/>
              <w:spacing w:before="40" w:after="40" w:line="220" w:lineRule="exact"/>
              <w:rPr>
                <w:sz w:val="18"/>
                <w:lang w:val="fr-CH"/>
              </w:rPr>
            </w:pPr>
            <w:r w:rsidRPr="0071782F">
              <w:rPr>
                <w:sz w:val="18"/>
                <w:lang w:val="fr-CH"/>
              </w:rPr>
              <w:t>12</w:t>
            </w:r>
          </w:p>
        </w:tc>
        <w:tc>
          <w:tcPr>
            <w:tcW w:w="7021" w:type="dxa"/>
            <w:tcBorders>
              <w:bottom w:val="nil"/>
            </w:tcBorders>
            <w:shd w:val="clear" w:color="auto" w:fill="auto"/>
          </w:tcPr>
          <w:p w:rsidR="003A6D8B" w:rsidRPr="0071782F" w:rsidRDefault="00823600" w:rsidP="00C232FA">
            <w:pPr>
              <w:suppressAutoHyphens w:val="0"/>
              <w:spacing w:before="40" w:after="40" w:line="220" w:lineRule="exact"/>
              <w:rPr>
                <w:sz w:val="18"/>
                <w:lang w:val="fr-CH"/>
              </w:rPr>
            </w:pPr>
            <w:r w:rsidRPr="0071782F">
              <w:rPr>
                <w:sz w:val="18"/>
                <w:lang w:val="fr-CH"/>
              </w:rPr>
              <w:t>Patients attendant de recevoir des soins subventionnés à domicile</w:t>
            </w:r>
          </w:p>
        </w:tc>
        <w:tc>
          <w:tcPr>
            <w:tcW w:w="992" w:type="dxa"/>
            <w:tcBorders>
              <w:bottom w:val="nil"/>
            </w:tcBorders>
            <w:shd w:val="clear" w:color="auto" w:fill="auto"/>
          </w:tcPr>
          <w:p w:rsidR="003A6D8B" w:rsidRPr="0071782F" w:rsidRDefault="003A6D8B" w:rsidP="00C232FA">
            <w:pPr>
              <w:suppressAutoHyphens w:val="0"/>
              <w:spacing w:before="40" w:after="40" w:line="220" w:lineRule="exact"/>
              <w:jc w:val="right"/>
              <w:rPr>
                <w:sz w:val="18"/>
                <w:lang w:val="fr-CH"/>
              </w:rPr>
            </w:pPr>
            <w:r w:rsidRPr="0071782F">
              <w:rPr>
                <w:sz w:val="18"/>
                <w:lang w:val="fr-CH"/>
              </w:rPr>
              <w:t>24 319</w:t>
            </w:r>
          </w:p>
        </w:tc>
      </w:tr>
      <w:tr w:rsidR="003A6D8B" w:rsidRPr="0071782F">
        <w:tc>
          <w:tcPr>
            <w:tcW w:w="492" w:type="dxa"/>
            <w:tcBorders>
              <w:top w:val="nil"/>
              <w:bottom w:val="single" w:sz="4" w:space="0" w:color="auto"/>
            </w:tcBorders>
            <w:shd w:val="clear" w:color="auto" w:fill="auto"/>
          </w:tcPr>
          <w:p w:rsidR="003A6D8B" w:rsidRPr="0071782F" w:rsidRDefault="003A6D8B" w:rsidP="00C232FA">
            <w:pPr>
              <w:keepNext/>
              <w:suppressAutoHyphens w:val="0"/>
              <w:spacing w:before="40" w:after="40" w:line="220" w:lineRule="exact"/>
              <w:rPr>
                <w:sz w:val="18"/>
                <w:lang w:val="fr-CH"/>
              </w:rPr>
            </w:pPr>
            <w:r w:rsidRPr="0071782F">
              <w:rPr>
                <w:sz w:val="18"/>
                <w:lang w:val="fr-CH"/>
              </w:rPr>
              <w:t>13</w:t>
            </w:r>
          </w:p>
        </w:tc>
        <w:tc>
          <w:tcPr>
            <w:tcW w:w="7021" w:type="dxa"/>
            <w:tcBorders>
              <w:top w:val="nil"/>
              <w:bottom w:val="single" w:sz="4" w:space="0" w:color="auto"/>
            </w:tcBorders>
            <w:shd w:val="clear" w:color="auto" w:fill="auto"/>
          </w:tcPr>
          <w:p w:rsidR="003A6D8B" w:rsidRPr="0071782F" w:rsidRDefault="00823600" w:rsidP="00C232FA">
            <w:pPr>
              <w:keepNext/>
              <w:suppressAutoHyphens w:val="0"/>
              <w:spacing w:before="40" w:after="40" w:line="220" w:lineRule="exact"/>
              <w:rPr>
                <w:sz w:val="18"/>
                <w:lang w:val="fr-CH"/>
              </w:rPr>
            </w:pPr>
            <w:r w:rsidRPr="0071782F">
              <w:rPr>
                <w:sz w:val="18"/>
                <w:lang w:val="fr-CH"/>
              </w:rPr>
              <w:t>Patients attendant de recevoir des soins personnalisés</w:t>
            </w:r>
          </w:p>
        </w:tc>
        <w:tc>
          <w:tcPr>
            <w:tcW w:w="992" w:type="dxa"/>
            <w:tcBorders>
              <w:top w:val="nil"/>
              <w:bottom w:val="single" w:sz="4" w:space="0" w:color="auto"/>
            </w:tcBorders>
            <w:shd w:val="clear" w:color="auto" w:fill="auto"/>
          </w:tcPr>
          <w:p w:rsidR="003A6D8B" w:rsidRPr="0071782F" w:rsidRDefault="003A6D8B" w:rsidP="00C232FA">
            <w:pPr>
              <w:keepNext/>
              <w:suppressAutoHyphens w:val="0"/>
              <w:spacing w:before="40" w:after="40" w:line="220" w:lineRule="exact"/>
              <w:jc w:val="right"/>
              <w:rPr>
                <w:sz w:val="18"/>
                <w:lang w:val="fr-CH"/>
              </w:rPr>
            </w:pPr>
            <w:r w:rsidRPr="0071782F">
              <w:rPr>
                <w:sz w:val="18"/>
                <w:lang w:val="fr-CH"/>
              </w:rPr>
              <w:t>18 848</w:t>
            </w:r>
          </w:p>
        </w:tc>
      </w:tr>
      <w:tr w:rsidR="003A6D8B" w:rsidRPr="0071782F">
        <w:tc>
          <w:tcPr>
            <w:tcW w:w="492" w:type="dxa"/>
            <w:tcBorders>
              <w:top w:val="single" w:sz="4" w:space="0" w:color="auto"/>
              <w:bottom w:val="single" w:sz="4" w:space="0" w:color="auto"/>
            </w:tcBorders>
            <w:shd w:val="clear" w:color="auto" w:fill="auto"/>
          </w:tcPr>
          <w:p w:rsidR="003A6D8B" w:rsidRPr="0071782F" w:rsidRDefault="003A6D8B" w:rsidP="00C232FA">
            <w:pPr>
              <w:suppressAutoHyphens w:val="0"/>
              <w:spacing w:before="80" w:after="80" w:line="220" w:lineRule="exact"/>
              <w:rPr>
                <w:b/>
                <w:sz w:val="18"/>
                <w:lang w:val="fr-CH"/>
              </w:rPr>
            </w:pPr>
            <w:r w:rsidRPr="0071782F">
              <w:rPr>
                <w:b/>
                <w:sz w:val="18"/>
                <w:lang w:val="fr-CH"/>
              </w:rPr>
              <w:t>14</w:t>
            </w:r>
          </w:p>
        </w:tc>
        <w:tc>
          <w:tcPr>
            <w:tcW w:w="7021" w:type="dxa"/>
            <w:tcBorders>
              <w:top w:val="single" w:sz="4" w:space="0" w:color="auto"/>
              <w:bottom w:val="single" w:sz="4" w:space="0" w:color="auto"/>
            </w:tcBorders>
            <w:shd w:val="clear" w:color="auto" w:fill="auto"/>
          </w:tcPr>
          <w:p w:rsidR="003A6D8B" w:rsidRPr="0071782F" w:rsidRDefault="00823600" w:rsidP="007F2F52">
            <w:pPr>
              <w:suppressAutoHyphens w:val="0"/>
              <w:spacing w:before="80" w:after="80" w:line="220" w:lineRule="exact"/>
              <w:ind w:firstLine="284"/>
              <w:rPr>
                <w:b/>
                <w:sz w:val="18"/>
                <w:lang w:val="fr-CH"/>
              </w:rPr>
            </w:pPr>
            <w:r w:rsidRPr="0071782F">
              <w:rPr>
                <w:b/>
                <w:sz w:val="18"/>
                <w:lang w:val="fr-CH"/>
              </w:rPr>
              <w:t>N</w:t>
            </w:r>
            <w:r w:rsidR="003B48A4" w:rsidRPr="0071782F">
              <w:rPr>
                <w:b/>
                <w:sz w:val="18"/>
                <w:lang w:val="fr-CH"/>
              </w:rPr>
              <w:t>ombre</w:t>
            </w:r>
            <w:r w:rsidR="003A6D8B" w:rsidRPr="0071782F">
              <w:rPr>
                <w:b/>
                <w:sz w:val="18"/>
                <w:lang w:val="fr-CH"/>
              </w:rPr>
              <w:t xml:space="preserve"> </w:t>
            </w:r>
            <w:r w:rsidRPr="0071782F">
              <w:rPr>
                <w:b/>
                <w:sz w:val="18"/>
                <w:lang w:val="fr-CH"/>
              </w:rPr>
              <w:t xml:space="preserve">total de bénéficiaires des </w:t>
            </w:r>
            <w:r w:rsidR="003A6D8B" w:rsidRPr="0071782F">
              <w:rPr>
                <w:b/>
                <w:sz w:val="18"/>
                <w:lang w:val="fr-CH"/>
              </w:rPr>
              <w:t>service</w:t>
            </w:r>
            <w:r w:rsidRPr="0071782F">
              <w:rPr>
                <w:b/>
                <w:sz w:val="18"/>
                <w:lang w:val="fr-CH"/>
              </w:rPr>
              <w:t>s de soins</w:t>
            </w:r>
          </w:p>
        </w:tc>
        <w:tc>
          <w:tcPr>
            <w:tcW w:w="992" w:type="dxa"/>
            <w:tcBorders>
              <w:top w:val="single" w:sz="4" w:space="0" w:color="auto"/>
              <w:bottom w:val="single" w:sz="4" w:space="0" w:color="auto"/>
            </w:tcBorders>
            <w:shd w:val="clear" w:color="auto" w:fill="auto"/>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33 038</w:t>
            </w:r>
          </w:p>
        </w:tc>
      </w:tr>
      <w:tr w:rsidR="003A6D8B" w:rsidRPr="0071782F">
        <w:tc>
          <w:tcPr>
            <w:tcW w:w="492" w:type="dxa"/>
            <w:tcBorders>
              <w:top w:val="single" w:sz="4" w:space="0" w:color="auto"/>
              <w:bottom w:val="single" w:sz="12" w:space="0" w:color="auto"/>
            </w:tcBorders>
            <w:shd w:val="clear" w:color="auto" w:fill="auto"/>
          </w:tcPr>
          <w:p w:rsidR="003A6D8B" w:rsidRPr="0071782F" w:rsidRDefault="003A6D8B" w:rsidP="00C232FA">
            <w:pPr>
              <w:suppressAutoHyphens w:val="0"/>
              <w:spacing w:before="80" w:after="80" w:line="220" w:lineRule="exact"/>
              <w:rPr>
                <w:b/>
                <w:sz w:val="18"/>
                <w:lang w:val="fr-CH"/>
              </w:rPr>
            </w:pPr>
            <w:r w:rsidRPr="0071782F">
              <w:rPr>
                <w:b/>
                <w:sz w:val="18"/>
                <w:lang w:val="fr-CH"/>
              </w:rPr>
              <w:t>15</w:t>
            </w:r>
          </w:p>
        </w:tc>
        <w:tc>
          <w:tcPr>
            <w:tcW w:w="7021" w:type="dxa"/>
            <w:tcBorders>
              <w:top w:val="single" w:sz="4" w:space="0" w:color="auto"/>
              <w:bottom w:val="single" w:sz="12" w:space="0" w:color="auto"/>
            </w:tcBorders>
            <w:shd w:val="clear" w:color="auto" w:fill="auto"/>
          </w:tcPr>
          <w:p w:rsidR="003A6D8B" w:rsidRPr="0071782F" w:rsidRDefault="00823600" w:rsidP="00FD76D5">
            <w:pPr>
              <w:suppressAutoHyphens w:val="0"/>
              <w:spacing w:before="80" w:after="80" w:line="220" w:lineRule="exact"/>
              <w:ind w:left="284"/>
              <w:rPr>
                <w:b/>
                <w:sz w:val="18"/>
                <w:lang w:val="fr-CH"/>
              </w:rPr>
            </w:pPr>
            <w:r w:rsidRPr="0071782F">
              <w:rPr>
                <w:b/>
                <w:sz w:val="18"/>
                <w:lang w:val="fr-CH"/>
              </w:rPr>
              <w:t>Nombre t</w:t>
            </w:r>
            <w:r w:rsidR="003A6D8B" w:rsidRPr="0071782F">
              <w:rPr>
                <w:b/>
                <w:sz w:val="18"/>
                <w:lang w:val="fr-CH"/>
              </w:rPr>
              <w:t xml:space="preserve">otal </w:t>
            </w:r>
            <w:r w:rsidRPr="0071782F">
              <w:rPr>
                <w:b/>
                <w:sz w:val="18"/>
                <w:lang w:val="fr-CH"/>
              </w:rPr>
              <w:t xml:space="preserve">de </w:t>
            </w:r>
            <w:r w:rsidR="003A6D8B" w:rsidRPr="0071782F">
              <w:rPr>
                <w:b/>
                <w:sz w:val="18"/>
                <w:lang w:val="fr-CH"/>
              </w:rPr>
              <w:t xml:space="preserve">patients </w:t>
            </w:r>
            <w:r w:rsidRPr="0071782F">
              <w:rPr>
                <w:b/>
                <w:sz w:val="18"/>
                <w:lang w:val="fr-CH"/>
              </w:rPr>
              <w:t xml:space="preserve">attendant de recevoir des soins </w:t>
            </w:r>
          </w:p>
        </w:tc>
        <w:tc>
          <w:tcPr>
            <w:tcW w:w="992" w:type="dxa"/>
            <w:tcBorders>
              <w:top w:val="single" w:sz="4" w:space="0" w:color="auto"/>
              <w:bottom w:val="single" w:sz="12" w:space="0" w:color="auto"/>
            </w:tcBorders>
            <w:shd w:val="clear" w:color="auto" w:fill="auto"/>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57 688</w:t>
            </w:r>
          </w:p>
        </w:tc>
      </w:tr>
    </w:tbl>
    <w:p w:rsidR="003A6D8B" w:rsidRPr="0071782F" w:rsidRDefault="003A6D8B" w:rsidP="003A6D8B">
      <w:pPr>
        <w:pStyle w:val="H1G"/>
        <w:rPr>
          <w:lang w:val="fr-CH"/>
        </w:rPr>
      </w:pPr>
      <w:r w:rsidRPr="0071782F">
        <w:rPr>
          <w:lang w:val="fr-CH"/>
        </w:rPr>
        <w:tab/>
      </w:r>
      <w:r w:rsidRPr="0071782F">
        <w:rPr>
          <w:lang w:val="fr-CH"/>
        </w:rPr>
        <w:tab/>
      </w:r>
      <w:r w:rsidR="00823600" w:rsidRPr="0071782F">
        <w:rPr>
          <w:lang w:val="fr-CH"/>
        </w:rPr>
        <w:t xml:space="preserve">Affaires liées à la culture et à la prévention </w:t>
      </w:r>
    </w:p>
    <w:p w:rsidR="003A6D8B" w:rsidRPr="0071782F" w:rsidRDefault="003A6D8B" w:rsidP="003A6D8B">
      <w:pPr>
        <w:pStyle w:val="SingleTxtG"/>
        <w:rPr>
          <w:lang w:val="fr-CH"/>
        </w:rPr>
      </w:pPr>
      <w:r w:rsidRPr="0071782F">
        <w:rPr>
          <w:lang w:val="fr-CH"/>
        </w:rPr>
        <w:t>326.</w:t>
      </w:r>
      <w:r w:rsidRPr="0071782F">
        <w:rPr>
          <w:lang w:val="fr-CH"/>
        </w:rPr>
        <w:tab/>
      </w:r>
      <w:r w:rsidR="005307C0" w:rsidRPr="0071782F">
        <w:rPr>
          <w:lang w:val="fr-CH"/>
        </w:rPr>
        <w:t xml:space="preserve">Les activités de ce secteur visent essentiellement à faire reculer les situations de handicap et </w:t>
      </w:r>
      <w:r w:rsidR="00EF4949" w:rsidRPr="0071782F">
        <w:rPr>
          <w:lang w:val="fr-CH"/>
        </w:rPr>
        <w:t xml:space="preserve">de </w:t>
      </w:r>
      <w:r w:rsidR="005307C0" w:rsidRPr="0071782F">
        <w:rPr>
          <w:lang w:val="fr-CH"/>
        </w:rPr>
        <w:t>pré</w:t>
      </w:r>
      <w:r w:rsidR="00EF4949" w:rsidRPr="0071782F">
        <w:rPr>
          <w:lang w:val="fr-CH"/>
        </w:rPr>
        <w:t>judice social</w:t>
      </w:r>
      <w:r w:rsidR="005307C0" w:rsidRPr="0071782F">
        <w:rPr>
          <w:lang w:val="fr-CH"/>
        </w:rPr>
        <w:t>.</w:t>
      </w:r>
      <w:r w:rsidRPr="0071782F">
        <w:rPr>
          <w:lang w:val="fr-CH"/>
        </w:rPr>
        <w:t xml:space="preserve"> </w:t>
      </w:r>
      <w:r w:rsidR="005307C0" w:rsidRPr="0071782F">
        <w:rPr>
          <w:lang w:val="fr-CH"/>
        </w:rPr>
        <w:t xml:space="preserve">Les </w:t>
      </w:r>
      <w:r w:rsidRPr="0071782F">
        <w:rPr>
          <w:lang w:val="fr-CH"/>
        </w:rPr>
        <w:t>program</w:t>
      </w:r>
      <w:r w:rsidR="005307C0" w:rsidRPr="0071782F">
        <w:rPr>
          <w:lang w:val="fr-CH"/>
        </w:rPr>
        <w:t>me</w:t>
      </w:r>
      <w:r w:rsidRPr="0071782F">
        <w:rPr>
          <w:lang w:val="fr-CH"/>
        </w:rPr>
        <w:t xml:space="preserve">s </w:t>
      </w:r>
      <w:r w:rsidR="005307C0" w:rsidRPr="0071782F">
        <w:rPr>
          <w:lang w:val="fr-CH"/>
        </w:rPr>
        <w:t>élaborés à cette fin sont menés à bien par les organisations ci-après.</w:t>
      </w:r>
      <w:r w:rsidRPr="0071782F">
        <w:rPr>
          <w:lang w:val="fr-CH"/>
        </w:rPr>
        <w:t xml:space="preserve"> </w:t>
      </w:r>
      <w:r w:rsidR="005307C0" w:rsidRPr="0071782F">
        <w:rPr>
          <w:lang w:val="fr-CH"/>
        </w:rPr>
        <w:t>Le Bureau de la prévention des situations de handicap a pour mission de protéger et de promouvoir la santé physique et mentale et d’alléger le fardeau que les handicaps représentent pour la société</w:t>
      </w:r>
      <w:r w:rsidRPr="0071782F">
        <w:rPr>
          <w:lang w:val="fr-CH"/>
        </w:rPr>
        <w:t xml:space="preserve">. </w:t>
      </w:r>
      <w:r w:rsidR="005307C0" w:rsidRPr="0071782F">
        <w:rPr>
          <w:lang w:val="fr-CH"/>
        </w:rPr>
        <w:t xml:space="preserve">Parmi les </w:t>
      </w:r>
      <w:r w:rsidRPr="0071782F">
        <w:rPr>
          <w:lang w:val="fr-CH"/>
        </w:rPr>
        <w:t xml:space="preserve">plans </w:t>
      </w:r>
      <w:r w:rsidR="005307C0" w:rsidRPr="0071782F">
        <w:rPr>
          <w:lang w:val="fr-CH"/>
        </w:rPr>
        <w:t>et</w:t>
      </w:r>
      <w:r w:rsidRPr="0071782F">
        <w:rPr>
          <w:lang w:val="fr-CH"/>
        </w:rPr>
        <w:t xml:space="preserve"> program</w:t>
      </w:r>
      <w:r w:rsidR="005307C0" w:rsidRPr="0071782F">
        <w:rPr>
          <w:lang w:val="fr-CH"/>
        </w:rPr>
        <w:t>me</w:t>
      </w:r>
      <w:r w:rsidRPr="0071782F">
        <w:rPr>
          <w:lang w:val="fr-CH"/>
        </w:rPr>
        <w:t xml:space="preserve">s </w:t>
      </w:r>
      <w:r w:rsidR="005307C0" w:rsidRPr="0071782F">
        <w:rPr>
          <w:lang w:val="fr-CH"/>
        </w:rPr>
        <w:t>les plus importants du Bureau, qui visent à sensibiliser la population et à renforcer son autonomie</w:t>
      </w:r>
      <w:r w:rsidRPr="0071782F">
        <w:rPr>
          <w:lang w:val="fr-CH"/>
        </w:rPr>
        <w:t>,</w:t>
      </w:r>
      <w:r w:rsidR="005307C0" w:rsidRPr="0071782F">
        <w:rPr>
          <w:lang w:val="fr-CH"/>
        </w:rPr>
        <w:t xml:space="preserve"> à développer la décentralisation et à appuyer davantage les groupes les plus défavorisés, afin d’améliorer les interventions lancées au bon moment pour promouvoir la santé, on peut mentionner les suivants</w:t>
      </w:r>
      <w:r w:rsidR="008F7D33" w:rsidRPr="0071782F">
        <w:rPr>
          <w:lang w:val="fr-CH"/>
        </w:rPr>
        <w:t>:</w:t>
      </w:r>
    </w:p>
    <w:p w:rsidR="003A6D8B" w:rsidRPr="0071782F" w:rsidRDefault="003A6D8B" w:rsidP="003A6D8B">
      <w:pPr>
        <w:pStyle w:val="SingleTxtG"/>
        <w:ind w:left="1701"/>
        <w:rPr>
          <w:lang w:val="fr-CH"/>
        </w:rPr>
      </w:pPr>
      <w:r w:rsidRPr="0071782F">
        <w:rPr>
          <w:lang w:val="fr-CH"/>
        </w:rPr>
        <w:t>326.1.</w:t>
      </w:r>
      <w:r w:rsidRPr="0071782F">
        <w:rPr>
          <w:lang w:val="fr-CH"/>
        </w:rPr>
        <w:tab/>
      </w:r>
      <w:r w:rsidR="005307C0" w:rsidRPr="0071782F">
        <w:rPr>
          <w:lang w:val="fr-CH"/>
        </w:rPr>
        <w:t xml:space="preserve">Le </w:t>
      </w:r>
      <w:r w:rsidR="00336877" w:rsidRPr="0071782F">
        <w:rPr>
          <w:lang w:val="fr-CH"/>
        </w:rPr>
        <w:t>P</w:t>
      </w:r>
      <w:r w:rsidR="005307C0" w:rsidRPr="0071782F">
        <w:rPr>
          <w:lang w:val="fr-CH"/>
        </w:rPr>
        <w:t xml:space="preserve">rogramme de prévention de l’amblyopie et d’autres </w:t>
      </w:r>
      <w:r w:rsidR="00016976" w:rsidRPr="0071782F">
        <w:rPr>
          <w:lang w:val="fr-CH"/>
        </w:rPr>
        <w:t xml:space="preserve">troubles de la vue. Le </w:t>
      </w:r>
      <w:r w:rsidRPr="0071782F">
        <w:rPr>
          <w:lang w:val="fr-CH"/>
        </w:rPr>
        <w:t>program</w:t>
      </w:r>
      <w:r w:rsidR="00016976" w:rsidRPr="0071782F">
        <w:rPr>
          <w:lang w:val="fr-CH"/>
        </w:rPr>
        <w:t>me de dépistage et de diagnostic précoce de l’</w:t>
      </w:r>
      <w:r w:rsidRPr="0071782F">
        <w:rPr>
          <w:lang w:val="fr-CH"/>
        </w:rPr>
        <w:t>amblyopi</w:t>
      </w:r>
      <w:r w:rsidR="00016976" w:rsidRPr="0071782F">
        <w:rPr>
          <w:lang w:val="fr-CH"/>
        </w:rPr>
        <w:t xml:space="preserve">e et d’autres troubles de la vue a démarré en </w:t>
      </w:r>
      <w:r w:rsidRPr="0071782F">
        <w:rPr>
          <w:lang w:val="fr-CH"/>
        </w:rPr>
        <w:t xml:space="preserve">1995. </w:t>
      </w:r>
      <w:r w:rsidR="00016976" w:rsidRPr="0071782F">
        <w:rPr>
          <w:lang w:val="fr-CH"/>
        </w:rPr>
        <w:t>À l’heure actuelle, il couvre les enfants âgés de trois à six</w:t>
      </w:r>
      <w:r w:rsidR="00D82C96" w:rsidRPr="0071782F">
        <w:rPr>
          <w:lang w:val="fr-CH"/>
        </w:rPr>
        <w:t> ans</w:t>
      </w:r>
      <w:r w:rsidR="00016976" w:rsidRPr="0071782F">
        <w:rPr>
          <w:lang w:val="fr-CH"/>
        </w:rPr>
        <w:t xml:space="preserve"> placés en garderie et les enfants âgés de quatre à six</w:t>
      </w:r>
      <w:r w:rsidR="00D82C96" w:rsidRPr="0071782F">
        <w:rPr>
          <w:lang w:val="fr-CH"/>
        </w:rPr>
        <w:t> ans</w:t>
      </w:r>
      <w:r w:rsidR="00016976" w:rsidRPr="0071782F">
        <w:rPr>
          <w:lang w:val="fr-CH"/>
        </w:rPr>
        <w:t xml:space="preserve"> qui ne le sont pas.</w:t>
      </w:r>
      <w:r w:rsidRPr="0071782F">
        <w:rPr>
          <w:lang w:val="fr-CH"/>
        </w:rPr>
        <w:t xml:space="preserve"> </w:t>
      </w:r>
      <w:r w:rsidR="00016976" w:rsidRPr="0071782F">
        <w:rPr>
          <w:lang w:val="fr-CH"/>
        </w:rPr>
        <w:t>Il est exécuté au</w:t>
      </w:r>
      <w:r w:rsidR="001F3F05" w:rsidRPr="0071782F">
        <w:rPr>
          <w:lang w:val="fr-CH"/>
        </w:rPr>
        <w:t> mois</w:t>
      </w:r>
      <w:r w:rsidR="00016976" w:rsidRPr="0071782F">
        <w:rPr>
          <w:lang w:val="fr-CH"/>
        </w:rPr>
        <w:t xml:space="preserve"> d’octobre de chaque année</w:t>
      </w:r>
      <w:r w:rsidRPr="0071782F">
        <w:rPr>
          <w:lang w:val="fr-CH"/>
        </w:rPr>
        <w:t xml:space="preserve">. </w:t>
      </w:r>
      <w:r w:rsidR="00016976" w:rsidRPr="0071782F">
        <w:rPr>
          <w:lang w:val="fr-CH"/>
        </w:rPr>
        <w:t>Il vise à réduire la propagation de troubles de la vue tels que les an</w:t>
      </w:r>
      <w:r w:rsidR="00C232FA" w:rsidRPr="0071782F">
        <w:rPr>
          <w:lang w:val="fr-CH"/>
        </w:rPr>
        <w:t xml:space="preserve">omalies de la réfraction et le </w:t>
      </w:r>
      <w:r w:rsidR="00016976" w:rsidRPr="0071782F">
        <w:rPr>
          <w:lang w:val="fr-CH"/>
        </w:rPr>
        <w:t>strabisme</w:t>
      </w:r>
      <w:r w:rsidRPr="0071782F">
        <w:rPr>
          <w:lang w:val="fr-CH"/>
        </w:rPr>
        <w:t xml:space="preserve"> </w:t>
      </w:r>
      <w:r w:rsidR="00016976" w:rsidRPr="0071782F">
        <w:rPr>
          <w:lang w:val="fr-CH"/>
        </w:rPr>
        <w:t>par le biais d’un diagnostic précoce et d’un traitement appliqué pendant la petite enfance, c’est-à-dire avant l’âge de cinq</w:t>
      </w:r>
      <w:r w:rsidR="00D82C96" w:rsidRPr="0071782F">
        <w:rPr>
          <w:lang w:val="fr-CH"/>
        </w:rPr>
        <w:t> ans</w:t>
      </w:r>
      <w:r w:rsidR="00016976" w:rsidRPr="0071782F">
        <w:rPr>
          <w:lang w:val="fr-CH"/>
        </w:rPr>
        <w:t>.</w:t>
      </w:r>
      <w:r w:rsidRPr="0071782F">
        <w:rPr>
          <w:lang w:val="fr-CH"/>
        </w:rPr>
        <w:t xml:space="preserve"> </w:t>
      </w:r>
      <w:r w:rsidR="00016976" w:rsidRPr="0071782F">
        <w:rPr>
          <w:lang w:val="fr-CH"/>
        </w:rPr>
        <w:t xml:space="preserve">L’une des principales stratégies de ce programme consiste à sensibiliser la population et à encourager les </w:t>
      </w:r>
      <w:r w:rsidRPr="0071782F">
        <w:rPr>
          <w:lang w:val="fr-CH"/>
        </w:rPr>
        <w:t xml:space="preserve">parents </w:t>
      </w:r>
      <w:r w:rsidR="00016976" w:rsidRPr="0071782F">
        <w:rPr>
          <w:lang w:val="fr-CH"/>
        </w:rPr>
        <w:t>à emmener leurs enfants consulter un op</w:t>
      </w:r>
      <w:r w:rsidRPr="0071782F">
        <w:rPr>
          <w:lang w:val="fr-CH"/>
        </w:rPr>
        <w:t>h</w:t>
      </w:r>
      <w:r w:rsidR="00016976" w:rsidRPr="0071782F">
        <w:rPr>
          <w:lang w:val="fr-CH"/>
        </w:rPr>
        <w:t>t</w:t>
      </w:r>
      <w:r w:rsidRPr="0071782F">
        <w:rPr>
          <w:lang w:val="fr-CH"/>
        </w:rPr>
        <w:t>almologist</w:t>
      </w:r>
      <w:r w:rsidR="00016976" w:rsidRPr="0071782F">
        <w:rPr>
          <w:lang w:val="fr-CH"/>
        </w:rPr>
        <w:t>e</w:t>
      </w:r>
      <w:r w:rsidRPr="0071782F">
        <w:rPr>
          <w:lang w:val="fr-CH"/>
        </w:rPr>
        <w:t xml:space="preserve"> </w:t>
      </w:r>
      <w:r w:rsidR="00016976" w:rsidRPr="0071782F">
        <w:rPr>
          <w:lang w:val="fr-CH"/>
        </w:rPr>
        <w:t>et un optomé</w:t>
      </w:r>
      <w:r w:rsidRPr="0071782F">
        <w:rPr>
          <w:lang w:val="fr-CH"/>
        </w:rPr>
        <w:t>trist</w:t>
      </w:r>
      <w:r w:rsidR="00016976" w:rsidRPr="0071782F">
        <w:rPr>
          <w:lang w:val="fr-CH"/>
        </w:rPr>
        <w:t>e dès leur plus jeune âge pour faire contrôler leur vision.</w:t>
      </w:r>
      <w:r w:rsidR="00D36718">
        <w:rPr>
          <w:lang w:val="fr-CH"/>
        </w:rPr>
        <w:t xml:space="preserve"> </w:t>
      </w:r>
    </w:p>
    <w:p w:rsidR="003A6D8B" w:rsidRPr="009D038B" w:rsidRDefault="003A6D8B" w:rsidP="003A6D8B">
      <w:pPr>
        <w:pStyle w:val="SingleTxtG"/>
        <w:ind w:left="1701"/>
        <w:rPr>
          <w:spacing w:val="-2"/>
          <w:lang w:val="fr-CH"/>
        </w:rPr>
      </w:pPr>
      <w:r w:rsidRPr="009D038B">
        <w:rPr>
          <w:spacing w:val="-2"/>
          <w:lang w:val="fr-CH"/>
        </w:rPr>
        <w:t>326.2.</w:t>
      </w:r>
      <w:r w:rsidRPr="009D038B">
        <w:rPr>
          <w:spacing w:val="-2"/>
          <w:lang w:val="fr-CH"/>
        </w:rPr>
        <w:tab/>
      </w:r>
      <w:r w:rsidR="00016976" w:rsidRPr="009D038B">
        <w:rPr>
          <w:spacing w:val="-2"/>
          <w:lang w:val="fr-CH"/>
        </w:rPr>
        <w:t xml:space="preserve">De surcroît, à partir de </w:t>
      </w:r>
      <w:r w:rsidRPr="009D038B">
        <w:rPr>
          <w:spacing w:val="-2"/>
          <w:lang w:val="fr-CH"/>
        </w:rPr>
        <w:t xml:space="preserve">2007, </w:t>
      </w:r>
      <w:r w:rsidR="00016976" w:rsidRPr="009D038B">
        <w:rPr>
          <w:spacing w:val="-2"/>
          <w:lang w:val="fr-CH"/>
        </w:rPr>
        <w:t>eu égard aux objectifs du programme (augmenter le nombre de bénéficiaires et l’étendre aux régions rurales et défavorisées), on s’est employé à utiliser des équipements et des méthodes modernes pour prendre en charge les enfants plus jeunes</w:t>
      </w:r>
      <w:r w:rsidRPr="009D038B">
        <w:rPr>
          <w:spacing w:val="-2"/>
          <w:lang w:val="fr-CH"/>
        </w:rPr>
        <w:t xml:space="preserve">. </w:t>
      </w:r>
      <w:r w:rsidR="00016976" w:rsidRPr="009D038B">
        <w:rPr>
          <w:spacing w:val="-2"/>
          <w:lang w:val="fr-CH"/>
        </w:rPr>
        <w:t>Sur la base des plans élaborés et en application des deux nouvelles stratégies de création de centres permanents d’optométrie et d’utilisation d’équipements de dépistage des troubles de la vision</w:t>
      </w:r>
      <w:r w:rsidRPr="009D038B">
        <w:rPr>
          <w:spacing w:val="-2"/>
          <w:lang w:val="fr-CH"/>
        </w:rPr>
        <w:t xml:space="preserve">, </w:t>
      </w:r>
      <w:r w:rsidR="00016976" w:rsidRPr="009D038B">
        <w:rPr>
          <w:spacing w:val="-2"/>
          <w:lang w:val="fr-CH"/>
        </w:rPr>
        <w:t>des mesure sont prises pour fournir toute l’année ces services à différents groupes de population.</w:t>
      </w:r>
    </w:p>
    <w:p w:rsidR="003A6D8B" w:rsidRPr="0071782F" w:rsidRDefault="003A6D8B" w:rsidP="003A6D8B">
      <w:pPr>
        <w:pStyle w:val="SingleTxtG"/>
        <w:ind w:left="1701"/>
        <w:rPr>
          <w:lang w:val="fr-CH"/>
        </w:rPr>
      </w:pPr>
      <w:r w:rsidRPr="0071782F">
        <w:rPr>
          <w:lang w:val="fr-CH"/>
        </w:rPr>
        <w:t>326.3.</w:t>
      </w:r>
      <w:r w:rsidRPr="0071782F">
        <w:rPr>
          <w:lang w:val="fr-CH"/>
        </w:rPr>
        <w:tab/>
      </w:r>
      <w:r w:rsidR="00016976" w:rsidRPr="0071782F">
        <w:rPr>
          <w:lang w:val="fr-CH"/>
        </w:rPr>
        <w:t>Les centres p</w:t>
      </w:r>
      <w:r w:rsidRPr="0071782F">
        <w:rPr>
          <w:lang w:val="fr-CH"/>
        </w:rPr>
        <w:t>ermanent</w:t>
      </w:r>
      <w:r w:rsidR="00016976" w:rsidRPr="0071782F">
        <w:rPr>
          <w:lang w:val="fr-CH"/>
        </w:rPr>
        <w:t>s</w:t>
      </w:r>
      <w:r w:rsidRPr="0071782F">
        <w:rPr>
          <w:lang w:val="fr-CH"/>
        </w:rPr>
        <w:t xml:space="preserve"> </w:t>
      </w:r>
      <w:r w:rsidR="00016976" w:rsidRPr="0071782F">
        <w:rPr>
          <w:lang w:val="fr-CH"/>
        </w:rPr>
        <w:t>d’optométrie utilisant des tables d’optotypes et des moyens d’exploration ophtalmologique</w:t>
      </w:r>
      <w:r w:rsidRPr="0071782F">
        <w:rPr>
          <w:lang w:val="fr-CH"/>
        </w:rPr>
        <w:t xml:space="preserve">, </w:t>
      </w:r>
      <w:r w:rsidR="00016976" w:rsidRPr="0071782F">
        <w:rPr>
          <w:lang w:val="fr-CH"/>
        </w:rPr>
        <w:t>destinés à promouvoir la santé visuelle des enfants âgés de deux à six</w:t>
      </w:r>
      <w:r w:rsidR="00D82C96" w:rsidRPr="0071782F">
        <w:rPr>
          <w:lang w:val="fr-CH"/>
        </w:rPr>
        <w:t> ans</w:t>
      </w:r>
      <w:r w:rsidR="00016976" w:rsidRPr="0071782F">
        <w:rPr>
          <w:lang w:val="fr-CH"/>
        </w:rPr>
        <w:t xml:space="preserve">, fonctionnent toute l’année. Ces centres visent également à élargir l’accès </w:t>
      </w:r>
      <w:r w:rsidR="004E45FB" w:rsidRPr="0071782F">
        <w:rPr>
          <w:lang w:val="fr-CH"/>
        </w:rPr>
        <w:t>des familles</w:t>
      </w:r>
      <w:r w:rsidR="00016976" w:rsidRPr="0071782F">
        <w:rPr>
          <w:lang w:val="fr-CH"/>
        </w:rPr>
        <w:t xml:space="preserve"> à ces services, à accroître la portée du suivi</w:t>
      </w:r>
      <w:r w:rsidRPr="0071782F">
        <w:rPr>
          <w:lang w:val="fr-CH"/>
        </w:rPr>
        <w:t>,</w:t>
      </w:r>
      <w:r w:rsidR="00016976" w:rsidRPr="0071782F">
        <w:rPr>
          <w:lang w:val="fr-CH"/>
        </w:rPr>
        <w:t xml:space="preserve"> à</w:t>
      </w:r>
      <w:r w:rsidRPr="0071782F">
        <w:rPr>
          <w:lang w:val="fr-CH"/>
        </w:rPr>
        <w:t xml:space="preserve"> institution</w:t>
      </w:r>
      <w:r w:rsidR="00016976" w:rsidRPr="0071782F">
        <w:rPr>
          <w:lang w:val="fr-CH"/>
        </w:rPr>
        <w:t>nal</w:t>
      </w:r>
      <w:r w:rsidR="00051794" w:rsidRPr="0071782F">
        <w:rPr>
          <w:lang w:val="fr-CH"/>
        </w:rPr>
        <w:t>i</w:t>
      </w:r>
      <w:r w:rsidR="00016976" w:rsidRPr="0071782F">
        <w:rPr>
          <w:lang w:val="fr-CH"/>
        </w:rPr>
        <w:t xml:space="preserve">ser le </w:t>
      </w:r>
      <w:r w:rsidRPr="0071782F">
        <w:rPr>
          <w:lang w:val="fr-CH"/>
        </w:rPr>
        <w:t>program</w:t>
      </w:r>
      <w:r w:rsidR="00016976" w:rsidRPr="0071782F">
        <w:rPr>
          <w:lang w:val="fr-CH"/>
        </w:rPr>
        <w:t>me et à en améliorer la qualité</w:t>
      </w:r>
      <w:r w:rsidRPr="0071782F">
        <w:rPr>
          <w:lang w:val="fr-CH"/>
        </w:rPr>
        <w:t xml:space="preserve">. </w:t>
      </w:r>
      <w:r w:rsidR="00016976" w:rsidRPr="0071782F">
        <w:rPr>
          <w:lang w:val="fr-CH"/>
        </w:rPr>
        <w:t>Au titre du renforcement du suivi des enfants malades, l’organisation octroie aux enfants démunis souffrant d’</w:t>
      </w:r>
      <w:r w:rsidRPr="0071782F">
        <w:rPr>
          <w:lang w:val="fr-CH"/>
        </w:rPr>
        <w:t>amblyopi</w:t>
      </w:r>
      <w:r w:rsidR="00016976" w:rsidRPr="0071782F">
        <w:rPr>
          <w:lang w:val="fr-CH"/>
        </w:rPr>
        <w:t>e et d’autres troubles de la vision un appui financier au titre de l’achat de lunettes et de l’accès à la chirurgie</w:t>
      </w:r>
      <w:r w:rsidRPr="0071782F">
        <w:rPr>
          <w:lang w:val="fr-CH"/>
        </w:rPr>
        <w:t xml:space="preserve">. </w:t>
      </w:r>
    </w:p>
    <w:p w:rsidR="003A6D8B" w:rsidRPr="00E86031" w:rsidRDefault="003A6D8B" w:rsidP="00577FC0">
      <w:pPr>
        <w:pStyle w:val="SingleTxtG"/>
        <w:spacing w:after="0"/>
        <w:ind w:left="1701"/>
        <w:rPr>
          <w:spacing w:val="-2"/>
          <w:lang w:val="fr-CH"/>
        </w:rPr>
      </w:pPr>
      <w:r w:rsidRPr="00E86031">
        <w:rPr>
          <w:spacing w:val="-2"/>
          <w:lang w:val="fr-CH"/>
        </w:rPr>
        <w:t>326.4.</w:t>
      </w:r>
      <w:r w:rsidRPr="00E86031">
        <w:rPr>
          <w:spacing w:val="-2"/>
          <w:lang w:val="fr-CH"/>
        </w:rPr>
        <w:tab/>
      </w:r>
      <w:r w:rsidR="00EF4949" w:rsidRPr="00E86031">
        <w:rPr>
          <w:spacing w:val="-2"/>
          <w:lang w:val="fr-CH"/>
        </w:rPr>
        <w:t xml:space="preserve">Lancé en 1996, le Programme de sensibilisation aux situations de préjudice et de handicap social dans les zones urbaines et rurales se propose de sensibiliser </w:t>
      </w:r>
      <w:r w:rsidR="00A233C2" w:rsidRPr="00E86031">
        <w:rPr>
          <w:spacing w:val="-2"/>
          <w:lang w:val="fr-CH"/>
        </w:rPr>
        <w:t>les personnes</w:t>
      </w:r>
      <w:r w:rsidR="00EF4949" w:rsidRPr="00E86031">
        <w:rPr>
          <w:spacing w:val="-2"/>
          <w:lang w:val="fr-CH"/>
        </w:rPr>
        <w:t xml:space="preserve"> peu instruites des zones urbaines et rurales en mettant en </w:t>
      </w:r>
      <w:r w:rsidR="00D5366B" w:rsidRPr="00E86031">
        <w:rPr>
          <w:spacing w:val="-2"/>
          <w:lang w:val="fr-CH"/>
        </w:rPr>
        <w:t>œuvre</w:t>
      </w:r>
      <w:r w:rsidR="00EF4949" w:rsidRPr="00E86031">
        <w:rPr>
          <w:spacing w:val="-2"/>
          <w:lang w:val="fr-CH"/>
        </w:rPr>
        <w:t xml:space="preserve"> des méthodes classiques, tels que les manuels et les vidéos éducatives.</w:t>
      </w:r>
      <w:r w:rsidRPr="00E86031">
        <w:rPr>
          <w:spacing w:val="-2"/>
          <w:lang w:val="fr-CH"/>
        </w:rPr>
        <w:t xml:space="preserve"> </w:t>
      </w:r>
      <w:r w:rsidR="00EF4949" w:rsidRPr="00E86031">
        <w:rPr>
          <w:spacing w:val="-2"/>
          <w:lang w:val="fr-CH"/>
        </w:rPr>
        <w:t xml:space="preserve">Il est mené à bien en </w:t>
      </w:r>
      <w:r w:rsidRPr="00E86031">
        <w:rPr>
          <w:spacing w:val="-2"/>
          <w:lang w:val="fr-CH"/>
        </w:rPr>
        <w:t>coop</w:t>
      </w:r>
      <w:r w:rsidR="00EF4949" w:rsidRPr="00E86031">
        <w:rPr>
          <w:spacing w:val="-2"/>
          <w:lang w:val="fr-CH"/>
        </w:rPr>
        <w:t>é</w:t>
      </w:r>
      <w:r w:rsidRPr="00E86031">
        <w:rPr>
          <w:spacing w:val="-2"/>
          <w:lang w:val="fr-CH"/>
        </w:rPr>
        <w:t xml:space="preserve">ration </w:t>
      </w:r>
      <w:r w:rsidR="00EF4949" w:rsidRPr="00E86031">
        <w:rPr>
          <w:spacing w:val="-2"/>
          <w:lang w:val="fr-CH"/>
        </w:rPr>
        <w:t>avec le Mouvement pour l’alphabétisation, le Ministère de l’agriculture et les réseaux ruraux, entre autres entités.</w:t>
      </w:r>
      <w:r w:rsidRPr="00E86031">
        <w:rPr>
          <w:spacing w:val="-2"/>
          <w:lang w:val="fr-CH"/>
        </w:rPr>
        <w:t xml:space="preserve"> </w:t>
      </w:r>
      <w:r w:rsidR="00EF4949" w:rsidRPr="00E86031">
        <w:rPr>
          <w:spacing w:val="-2"/>
          <w:lang w:val="fr-CH"/>
        </w:rPr>
        <w:t xml:space="preserve">À ce jour, le plan d’études du programme a consisté à utiliser </w:t>
      </w:r>
      <w:r w:rsidRPr="00E86031">
        <w:rPr>
          <w:spacing w:val="-2"/>
          <w:lang w:val="fr-CH"/>
        </w:rPr>
        <w:t xml:space="preserve">11 </w:t>
      </w:r>
      <w:r w:rsidR="00EF4949" w:rsidRPr="00E86031">
        <w:rPr>
          <w:spacing w:val="-2"/>
          <w:lang w:val="fr-CH"/>
        </w:rPr>
        <w:t xml:space="preserve">manuels sur la </w:t>
      </w:r>
      <w:r w:rsidRPr="00E86031">
        <w:rPr>
          <w:spacing w:val="-2"/>
          <w:lang w:val="fr-CH"/>
        </w:rPr>
        <w:t>pr</w:t>
      </w:r>
      <w:r w:rsidR="00EF4949" w:rsidRPr="00E86031">
        <w:rPr>
          <w:spacing w:val="-2"/>
          <w:lang w:val="fr-CH"/>
        </w:rPr>
        <w:t>é</w:t>
      </w:r>
      <w:r w:rsidRPr="00E86031">
        <w:rPr>
          <w:spacing w:val="-2"/>
          <w:lang w:val="fr-CH"/>
        </w:rPr>
        <w:t xml:space="preserve">vention </w:t>
      </w:r>
      <w:r w:rsidR="00EF4949" w:rsidRPr="00E86031">
        <w:rPr>
          <w:spacing w:val="-2"/>
          <w:lang w:val="fr-CH"/>
        </w:rPr>
        <w:t>des situations de préjudice et de handicap social</w:t>
      </w:r>
      <w:r w:rsidRPr="00E86031">
        <w:rPr>
          <w:spacing w:val="-2"/>
          <w:lang w:val="fr-CH"/>
        </w:rPr>
        <w:t xml:space="preserve">. </w:t>
      </w:r>
      <w:r w:rsidR="00EF4949" w:rsidRPr="00E86031">
        <w:rPr>
          <w:spacing w:val="-2"/>
          <w:lang w:val="fr-CH"/>
        </w:rPr>
        <w:t xml:space="preserve">En </w:t>
      </w:r>
      <w:r w:rsidRPr="00E86031">
        <w:rPr>
          <w:spacing w:val="-2"/>
          <w:lang w:val="fr-CH"/>
        </w:rPr>
        <w:t xml:space="preserve">2008, </w:t>
      </w:r>
      <w:r w:rsidR="00EF4949" w:rsidRPr="00E86031">
        <w:rPr>
          <w:spacing w:val="-2"/>
          <w:lang w:val="fr-CH"/>
        </w:rPr>
        <w:t>cinq nouveaux manuels ont été rédigés en vue de compléter le programme; ils sont actuellement en cours de finalisation avant publication</w:t>
      </w:r>
      <w:r w:rsidRPr="00E86031">
        <w:rPr>
          <w:spacing w:val="-2"/>
          <w:lang w:val="fr-CH"/>
        </w:rPr>
        <w:t xml:space="preserve">. </w:t>
      </w:r>
    </w:p>
    <w:p w:rsidR="003A6D8B" w:rsidRPr="0071782F" w:rsidRDefault="003A6D8B" w:rsidP="003A6D8B">
      <w:pPr>
        <w:pStyle w:val="H23G"/>
        <w:rPr>
          <w:lang w:val="fr-CH"/>
        </w:rPr>
      </w:pPr>
      <w:r w:rsidRPr="0071782F">
        <w:rPr>
          <w:lang w:val="fr-CH"/>
        </w:rPr>
        <w:tab/>
      </w:r>
      <w:r w:rsidRPr="0071782F">
        <w:rPr>
          <w:lang w:val="fr-CH"/>
        </w:rPr>
        <w:tab/>
      </w:r>
      <w:r w:rsidR="00B16613" w:rsidRPr="0071782F">
        <w:rPr>
          <w:lang w:val="fr-CH"/>
        </w:rPr>
        <w:t>P</w:t>
      </w:r>
      <w:r w:rsidRPr="0071782F">
        <w:rPr>
          <w:lang w:val="fr-CH"/>
        </w:rPr>
        <w:t>opulation co</w:t>
      </w:r>
      <w:r w:rsidR="00B16613" w:rsidRPr="0071782F">
        <w:rPr>
          <w:lang w:val="fr-CH"/>
        </w:rPr>
        <w:t xml:space="preserve">uverte par le </w:t>
      </w:r>
      <w:r w:rsidRPr="0071782F">
        <w:rPr>
          <w:lang w:val="fr-CH"/>
        </w:rPr>
        <w:t>program</w:t>
      </w:r>
      <w:r w:rsidR="00B16613" w:rsidRPr="0071782F">
        <w:rPr>
          <w:lang w:val="fr-CH"/>
        </w:rPr>
        <w:t xml:space="preserve">me de </w:t>
      </w:r>
      <w:r w:rsidRPr="0071782F">
        <w:rPr>
          <w:lang w:val="fr-CH"/>
        </w:rPr>
        <w:t>pr</w:t>
      </w:r>
      <w:r w:rsidR="00B16613" w:rsidRPr="0071782F">
        <w:rPr>
          <w:lang w:val="fr-CH"/>
        </w:rPr>
        <w:t>é</w:t>
      </w:r>
      <w:r w:rsidRPr="0071782F">
        <w:rPr>
          <w:lang w:val="fr-CH"/>
        </w:rPr>
        <w:t xml:space="preserve">vention </w:t>
      </w:r>
      <w:r w:rsidR="00B16613" w:rsidRPr="0071782F">
        <w:rPr>
          <w:lang w:val="fr-CH"/>
        </w:rPr>
        <w:t>des situations de préjudice et de handicap social (</w:t>
      </w:r>
      <w:r w:rsidRPr="0071782F">
        <w:rPr>
          <w:lang w:val="fr-CH"/>
        </w:rPr>
        <w:t>1997</w:t>
      </w:r>
      <w:r w:rsidR="00B16613" w:rsidRPr="0071782F">
        <w:rPr>
          <w:lang w:val="fr-CH"/>
        </w:rPr>
        <w:t>-</w:t>
      </w:r>
      <w:r w:rsidRPr="0071782F">
        <w:rPr>
          <w:lang w:val="fr-CH"/>
        </w:rPr>
        <w:t>2007</w:t>
      </w:r>
      <w:r w:rsidR="00B16613" w:rsidRPr="0071782F">
        <w:rPr>
          <w:lang w:val="fr-CH"/>
        </w:rPr>
        <w:t>)</w:t>
      </w:r>
    </w:p>
    <w:tbl>
      <w:tblPr>
        <w:tblW w:w="7370" w:type="dxa"/>
        <w:tblInd w:w="1134" w:type="dxa"/>
        <w:tblBorders>
          <w:top w:val="single" w:sz="4" w:space="0" w:color="auto"/>
          <w:bottom w:val="single" w:sz="12" w:space="0" w:color="auto"/>
        </w:tblBorders>
        <w:tblCellMar>
          <w:left w:w="0" w:type="dxa"/>
          <w:right w:w="0" w:type="dxa"/>
        </w:tblCellMar>
        <w:tblLook w:val="00A0" w:firstRow="1" w:lastRow="0" w:firstColumn="1" w:lastColumn="0" w:noHBand="0" w:noVBand="0"/>
      </w:tblPr>
      <w:tblGrid>
        <w:gridCol w:w="1641"/>
        <w:gridCol w:w="5729"/>
      </w:tblGrid>
      <w:tr w:rsidR="003A6D8B" w:rsidRPr="0071782F">
        <w:trPr>
          <w:tblHeader/>
        </w:trPr>
        <w:tc>
          <w:tcPr>
            <w:tcW w:w="0" w:type="auto"/>
            <w:tcBorders>
              <w:top w:val="single" w:sz="4" w:space="0" w:color="auto"/>
              <w:bottom w:val="single" w:sz="12" w:space="0" w:color="auto"/>
            </w:tcBorders>
            <w:shd w:val="clear" w:color="auto" w:fill="auto"/>
            <w:vAlign w:val="bottom"/>
          </w:tcPr>
          <w:p w:rsidR="003A6D8B" w:rsidRPr="0071782F" w:rsidRDefault="00B16613" w:rsidP="0060040F">
            <w:pPr>
              <w:suppressAutoHyphens w:val="0"/>
              <w:spacing w:before="80" w:after="80" w:line="200" w:lineRule="exact"/>
              <w:rPr>
                <w:i/>
                <w:sz w:val="16"/>
                <w:lang w:val="fr-CH"/>
              </w:rPr>
            </w:pPr>
            <w:r w:rsidRPr="0071782F">
              <w:rPr>
                <w:i/>
                <w:sz w:val="16"/>
                <w:lang w:val="fr-CH"/>
              </w:rPr>
              <w:t>Année</w:t>
            </w:r>
          </w:p>
        </w:tc>
        <w:tc>
          <w:tcPr>
            <w:tcW w:w="0" w:type="auto"/>
            <w:tcBorders>
              <w:top w:val="single" w:sz="4" w:space="0" w:color="auto"/>
              <w:bottom w:val="single" w:sz="12" w:space="0" w:color="auto"/>
            </w:tcBorders>
            <w:shd w:val="clear" w:color="auto" w:fill="auto"/>
            <w:vAlign w:val="bottom"/>
          </w:tcPr>
          <w:p w:rsidR="003A6D8B" w:rsidRPr="0071782F" w:rsidRDefault="00B16613" w:rsidP="0060040F">
            <w:pPr>
              <w:suppressAutoHyphens w:val="0"/>
              <w:spacing w:before="80" w:after="80" w:line="200" w:lineRule="exact"/>
              <w:jc w:val="right"/>
              <w:rPr>
                <w:i/>
                <w:sz w:val="16"/>
                <w:lang w:val="fr-CH"/>
              </w:rPr>
            </w:pPr>
            <w:r w:rsidRPr="0071782F">
              <w:rPr>
                <w:i/>
                <w:sz w:val="16"/>
                <w:lang w:val="fr-CH"/>
              </w:rPr>
              <w:t xml:space="preserve">Nombre </w:t>
            </w:r>
            <w:r w:rsidR="00D82C96" w:rsidRPr="0071782F">
              <w:rPr>
                <w:i/>
                <w:sz w:val="16"/>
                <w:lang w:val="fr-CH"/>
              </w:rPr>
              <w:t>de personnes</w:t>
            </w:r>
          </w:p>
        </w:tc>
      </w:tr>
      <w:tr w:rsidR="003A6D8B" w:rsidRPr="0071782F">
        <w:tc>
          <w:tcPr>
            <w:tcW w:w="0" w:type="auto"/>
            <w:tcBorders>
              <w:top w:val="single" w:sz="12" w:space="0" w:color="auto"/>
            </w:tcBorders>
            <w:shd w:val="clear" w:color="auto" w:fill="auto"/>
            <w:vAlign w:val="bottom"/>
          </w:tcPr>
          <w:p w:rsidR="003A6D8B" w:rsidRPr="0071782F" w:rsidRDefault="003A6D8B" w:rsidP="0060040F">
            <w:pPr>
              <w:suppressAutoHyphens w:val="0"/>
              <w:spacing w:before="40" w:after="40" w:line="220" w:lineRule="exact"/>
              <w:rPr>
                <w:sz w:val="18"/>
                <w:lang w:val="fr-CH"/>
              </w:rPr>
            </w:pPr>
            <w:r w:rsidRPr="0071782F">
              <w:rPr>
                <w:sz w:val="18"/>
                <w:lang w:val="fr-CH"/>
              </w:rPr>
              <w:t>1997</w:t>
            </w:r>
          </w:p>
        </w:tc>
        <w:tc>
          <w:tcPr>
            <w:tcW w:w="0" w:type="auto"/>
            <w:tcBorders>
              <w:top w:val="single" w:sz="12" w:space="0" w:color="auto"/>
            </w:tcBorders>
            <w:shd w:val="clear" w:color="auto" w:fill="auto"/>
            <w:vAlign w:val="bottom"/>
          </w:tcPr>
          <w:p w:rsidR="003A6D8B" w:rsidRPr="0071782F" w:rsidRDefault="003A6D8B" w:rsidP="0060040F">
            <w:pPr>
              <w:suppressAutoHyphens w:val="0"/>
              <w:spacing w:before="40" w:after="40" w:line="220" w:lineRule="exact"/>
              <w:jc w:val="right"/>
              <w:rPr>
                <w:sz w:val="18"/>
                <w:lang w:val="fr-CH"/>
              </w:rPr>
            </w:pPr>
            <w:r w:rsidRPr="0071782F">
              <w:rPr>
                <w:sz w:val="18"/>
                <w:lang w:val="fr-CH"/>
              </w:rPr>
              <w:t>6 382</w:t>
            </w:r>
          </w:p>
        </w:tc>
      </w:tr>
      <w:tr w:rsidR="003A6D8B" w:rsidRPr="0071782F">
        <w:tc>
          <w:tcPr>
            <w:tcW w:w="0" w:type="auto"/>
            <w:shd w:val="clear" w:color="auto" w:fill="auto"/>
            <w:vAlign w:val="bottom"/>
          </w:tcPr>
          <w:p w:rsidR="003A6D8B" w:rsidRPr="0071782F" w:rsidRDefault="003A6D8B" w:rsidP="0060040F">
            <w:pPr>
              <w:suppressAutoHyphens w:val="0"/>
              <w:spacing w:before="40" w:after="40" w:line="220" w:lineRule="exact"/>
              <w:rPr>
                <w:sz w:val="18"/>
                <w:lang w:val="fr-CH"/>
              </w:rPr>
            </w:pPr>
            <w:r w:rsidRPr="0071782F">
              <w:rPr>
                <w:sz w:val="18"/>
                <w:lang w:val="fr-CH"/>
              </w:rPr>
              <w:t>1998</w:t>
            </w:r>
          </w:p>
        </w:tc>
        <w:tc>
          <w:tcPr>
            <w:tcW w:w="0" w:type="auto"/>
            <w:shd w:val="clear" w:color="auto" w:fill="auto"/>
            <w:vAlign w:val="bottom"/>
          </w:tcPr>
          <w:p w:rsidR="003A6D8B" w:rsidRPr="0071782F" w:rsidRDefault="003A6D8B" w:rsidP="0060040F">
            <w:pPr>
              <w:suppressAutoHyphens w:val="0"/>
              <w:spacing w:before="40" w:after="40" w:line="220" w:lineRule="exact"/>
              <w:jc w:val="right"/>
              <w:rPr>
                <w:sz w:val="18"/>
                <w:lang w:val="fr-CH"/>
              </w:rPr>
            </w:pPr>
            <w:r w:rsidRPr="0071782F">
              <w:rPr>
                <w:sz w:val="18"/>
                <w:lang w:val="fr-CH"/>
              </w:rPr>
              <w:t>18 452</w:t>
            </w:r>
          </w:p>
        </w:tc>
      </w:tr>
      <w:tr w:rsidR="003A6D8B" w:rsidRPr="0071782F">
        <w:tc>
          <w:tcPr>
            <w:tcW w:w="0" w:type="auto"/>
            <w:shd w:val="clear" w:color="auto" w:fill="auto"/>
            <w:vAlign w:val="bottom"/>
          </w:tcPr>
          <w:p w:rsidR="003A6D8B" w:rsidRPr="0071782F" w:rsidRDefault="003A6D8B" w:rsidP="0060040F">
            <w:pPr>
              <w:suppressAutoHyphens w:val="0"/>
              <w:spacing w:before="40" w:after="40" w:line="220" w:lineRule="exact"/>
              <w:rPr>
                <w:sz w:val="18"/>
                <w:lang w:val="fr-CH"/>
              </w:rPr>
            </w:pPr>
            <w:r w:rsidRPr="0071782F">
              <w:rPr>
                <w:sz w:val="18"/>
                <w:lang w:val="fr-CH"/>
              </w:rPr>
              <w:t>1999</w:t>
            </w:r>
          </w:p>
        </w:tc>
        <w:tc>
          <w:tcPr>
            <w:tcW w:w="0" w:type="auto"/>
            <w:shd w:val="clear" w:color="auto" w:fill="auto"/>
            <w:vAlign w:val="bottom"/>
          </w:tcPr>
          <w:p w:rsidR="003A6D8B" w:rsidRPr="0071782F" w:rsidRDefault="003A6D8B" w:rsidP="0060040F">
            <w:pPr>
              <w:suppressAutoHyphens w:val="0"/>
              <w:spacing w:before="40" w:after="40" w:line="220" w:lineRule="exact"/>
              <w:jc w:val="right"/>
              <w:rPr>
                <w:sz w:val="18"/>
                <w:lang w:val="fr-CH"/>
              </w:rPr>
            </w:pPr>
            <w:r w:rsidRPr="0071782F">
              <w:rPr>
                <w:sz w:val="18"/>
                <w:lang w:val="fr-CH"/>
              </w:rPr>
              <w:t>24 951</w:t>
            </w:r>
          </w:p>
        </w:tc>
      </w:tr>
      <w:tr w:rsidR="003A6D8B" w:rsidRPr="0071782F">
        <w:tc>
          <w:tcPr>
            <w:tcW w:w="0" w:type="auto"/>
            <w:shd w:val="clear" w:color="auto" w:fill="auto"/>
            <w:vAlign w:val="bottom"/>
          </w:tcPr>
          <w:p w:rsidR="003A6D8B" w:rsidRPr="0071782F" w:rsidRDefault="003A6D8B" w:rsidP="0060040F">
            <w:pPr>
              <w:suppressAutoHyphens w:val="0"/>
              <w:spacing w:before="40" w:after="40" w:line="220" w:lineRule="exact"/>
              <w:rPr>
                <w:sz w:val="18"/>
                <w:lang w:val="fr-CH"/>
              </w:rPr>
            </w:pPr>
            <w:r w:rsidRPr="0071782F">
              <w:rPr>
                <w:sz w:val="18"/>
                <w:lang w:val="fr-CH"/>
              </w:rPr>
              <w:t>2000</w:t>
            </w:r>
          </w:p>
        </w:tc>
        <w:tc>
          <w:tcPr>
            <w:tcW w:w="0" w:type="auto"/>
            <w:shd w:val="clear" w:color="auto" w:fill="auto"/>
            <w:vAlign w:val="bottom"/>
          </w:tcPr>
          <w:p w:rsidR="003A6D8B" w:rsidRPr="0071782F" w:rsidRDefault="003A6D8B" w:rsidP="0060040F">
            <w:pPr>
              <w:suppressAutoHyphens w:val="0"/>
              <w:spacing w:before="40" w:after="40" w:line="220" w:lineRule="exact"/>
              <w:jc w:val="right"/>
              <w:rPr>
                <w:sz w:val="18"/>
                <w:lang w:val="fr-CH"/>
              </w:rPr>
            </w:pPr>
            <w:r w:rsidRPr="0071782F">
              <w:rPr>
                <w:sz w:val="18"/>
                <w:lang w:val="fr-CH"/>
              </w:rPr>
              <w:t>39 510</w:t>
            </w:r>
          </w:p>
        </w:tc>
      </w:tr>
      <w:tr w:rsidR="003A6D8B" w:rsidRPr="0071782F">
        <w:tc>
          <w:tcPr>
            <w:tcW w:w="0" w:type="auto"/>
            <w:shd w:val="clear" w:color="auto" w:fill="auto"/>
            <w:vAlign w:val="bottom"/>
          </w:tcPr>
          <w:p w:rsidR="003A6D8B" w:rsidRPr="0071782F" w:rsidRDefault="003A6D8B" w:rsidP="0060040F">
            <w:pPr>
              <w:suppressAutoHyphens w:val="0"/>
              <w:spacing w:before="40" w:after="40" w:line="220" w:lineRule="exact"/>
              <w:rPr>
                <w:sz w:val="18"/>
                <w:lang w:val="fr-CH"/>
              </w:rPr>
            </w:pPr>
            <w:r w:rsidRPr="0071782F">
              <w:rPr>
                <w:sz w:val="18"/>
                <w:lang w:val="fr-CH"/>
              </w:rPr>
              <w:t>2001</w:t>
            </w:r>
          </w:p>
        </w:tc>
        <w:tc>
          <w:tcPr>
            <w:tcW w:w="0" w:type="auto"/>
            <w:shd w:val="clear" w:color="auto" w:fill="auto"/>
            <w:vAlign w:val="bottom"/>
          </w:tcPr>
          <w:p w:rsidR="003A6D8B" w:rsidRPr="0071782F" w:rsidRDefault="003A6D8B" w:rsidP="0060040F">
            <w:pPr>
              <w:suppressAutoHyphens w:val="0"/>
              <w:spacing w:before="40" w:after="40" w:line="220" w:lineRule="exact"/>
              <w:jc w:val="right"/>
              <w:rPr>
                <w:sz w:val="18"/>
                <w:lang w:val="fr-CH"/>
              </w:rPr>
            </w:pPr>
            <w:r w:rsidRPr="0071782F">
              <w:rPr>
                <w:sz w:val="18"/>
                <w:lang w:val="fr-CH"/>
              </w:rPr>
              <w:t>84 486</w:t>
            </w:r>
          </w:p>
        </w:tc>
      </w:tr>
      <w:tr w:rsidR="003A6D8B" w:rsidRPr="0071782F">
        <w:tc>
          <w:tcPr>
            <w:tcW w:w="0" w:type="auto"/>
            <w:shd w:val="clear" w:color="auto" w:fill="auto"/>
            <w:vAlign w:val="bottom"/>
          </w:tcPr>
          <w:p w:rsidR="003A6D8B" w:rsidRPr="0071782F" w:rsidRDefault="003A6D8B" w:rsidP="0060040F">
            <w:pPr>
              <w:suppressAutoHyphens w:val="0"/>
              <w:spacing w:before="40" w:after="40" w:line="220" w:lineRule="exact"/>
              <w:rPr>
                <w:sz w:val="18"/>
                <w:lang w:val="fr-CH"/>
              </w:rPr>
            </w:pPr>
            <w:r w:rsidRPr="0071782F">
              <w:rPr>
                <w:sz w:val="18"/>
                <w:lang w:val="fr-CH"/>
              </w:rPr>
              <w:t>2002</w:t>
            </w:r>
          </w:p>
        </w:tc>
        <w:tc>
          <w:tcPr>
            <w:tcW w:w="0" w:type="auto"/>
            <w:shd w:val="clear" w:color="auto" w:fill="auto"/>
            <w:vAlign w:val="bottom"/>
          </w:tcPr>
          <w:p w:rsidR="003A6D8B" w:rsidRPr="0071782F" w:rsidRDefault="003A6D8B" w:rsidP="0060040F">
            <w:pPr>
              <w:suppressAutoHyphens w:val="0"/>
              <w:spacing w:before="40" w:after="40" w:line="220" w:lineRule="exact"/>
              <w:jc w:val="right"/>
              <w:rPr>
                <w:sz w:val="18"/>
                <w:lang w:val="fr-CH"/>
              </w:rPr>
            </w:pPr>
            <w:r w:rsidRPr="0071782F">
              <w:rPr>
                <w:sz w:val="18"/>
                <w:lang w:val="fr-CH"/>
              </w:rPr>
              <w:t>116 206</w:t>
            </w:r>
          </w:p>
        </w:tc>
      </w:tr>
      <w:tr w:rsidR="003A6D8B" w:rsidRPr="0071782F">
        <w:tc>
          <w:tcPr>
            <w:tcW w:w="0" w:type="auto"/>
            <w:shd w:val="clear" w:color="auto" w:fill="auto"/>
            <w:vAlign w:val="bottom"/>
          </w:tcPr>
          <w:p w:rsidR="003A6D8B" w:rsidRPr="0071782F" w:rsidRDefault="003A6D8B" w:rsidP="0060040F">
            <w:pPr>
              <w:suppressAutoHyphens w:val="0"/>
              <w:spacing w:before="40" w:after="40" w:line="220" w:lineRule="exact"/>
              <w:rPr>
                <w:sz w:val="18"/>
                <w:lang w:val="fr-CH"/>
              </w:rPr>
            </w:pPr>
            <w:r w:rsidRPr="0071782F">
              <w:rPr>
                <w:sz w:val="18"/>
                <w:lang w:val="fr-CH"/>
              </w:rPr>
              <w:t>2003</w:t>
            </w:r>
          </w:p>
        </w:tc>
        <w:tc>
          <w:tcPr>
            <w:tcW w:w="0" w:type="auto"/>
            <w:shd w:val="clear" w:color="auto" w:fill="auto"/>
            <w:vAlign w:val="bottom"/>
          </w:tcPr>
          <w:p w:rsidR="003A6D8B" w:rsidRPr="0071782F" w:rsidRDefault="003A6D8B" w:rsidP="0060040F">
            <w:pPr>
              <w:suppressAutoHyphens w:val="0"/>
              <w:spacing w:before="40" w:after="40" w:line="220" w:lineRule="exact"/>
              <w:jc w:val="right"/>
              <w:rPr>
                <w:sz w:val="18"/>
                <w:lang w:val="fr-CH"/>
              </w:rPr>
            </w:pPr>
            <w:r w:rsidRPr="0071782F">
              <w:rPr>
                <w:sz w:val="18"/>
                <w:lang w:val="fr-CH"/>
              </w:rPr>
              <w:t>109 488</w:t>
            </w:r>
          </w:p>
        </w:tc>
      </w:tr>
      <w:tr w:rsidR="003A6D8B" w:rsidRPr="0071782F">
        <w:tc>
          <w:tcPr>
            <w:tcW w:w="0" w:type="auto"/>
            <w:tcBorders>
              <w:bottom w:val="nil"/>
            </w:tcBorders>
            <w:shd w:val="clear" w:color="auto" w:fill="auto"/>
            <w:vAlign w:val="bottom"/>
          </w:tcPr>
          <w:p w:rsidR="003A6D8B" w:rsidRPr="0071782F" w:rsidRDefault="003A6D8B" w:rsidP="0060040F">
            <w:pPr>
              <w:suppressAutoHyphens w:val="0"/>
              <w:spacing w:before="40" w:after="40" w:line="220" w:lineRule="exact"/>
              <w:rPr>
                <w:sz w:val="18"/>
                <w:lang w:val="fr-CH"/>
              </w:rPr>
            </w:pPr>
            <w:r w:rsidRPr="0071782F">
              <w:rPr>
                <w:sz w:val="18"/>
                <w:lang w:val="fr-CH"/>
              </w:rPr>
              <w:t>2004</w:t>
            </w:r>
          </w:p>
        </w:tc>
        <w:tc>
          <w:tcPr>
            <w:tcW w:w="0" w:type="auto"/>
            <w:tcBorders>
              <w:bottom w:val="nil"/>
            </w:tcBorders>
            <w:shd w:val="clear" w:color="auto" w:fill="auto"/>
            <w:vAlign w:val="bottom"/>
          </w:tcPr>
          <w:p w:rsidR="003A6D8B" w:rsidRPr="0071782F" w:rsidRDefault="003A6D8B" w:rsidP="0060040F">
            <w:pPr>
              <w:suppressAutoHyphens w:val="0"/>
              <w:spacing w:before="40" w:after="40" w:line="220" w:lineRule="exact"/>
              <w:jc w:val="right"/>
              <w:rPr>
                <w:sz w:val="18"/>
                <w:lang w:val="fr-CH"/>
              </w:rPr>
            </w:pPr>
            <w:r w:rsidRPr="0071782F">
              <w:rPr>
                <w:sz w:val="18"/>
                <w:lang w:val="fr-CH"/>
              </w:rPr>
              <w:t>255 290</w:t>
            </w:r>
          </w:p>
        </w:tc>
      </w:tr>
      <w:tr w:rsidR="003A6D8B" w:rsidRPr="0071782F">
        <w:tc>
          <w:tcPr>
            <w:tcW w:w="0" w:type="auto"/>
            <w:tcBorders>
              <w:top w:val="nil"/>
              <w:bottom w:val="nil"/>
            </w:tcBorders>
            <w:shd w:val="clear" w:color="auto" w:fill="auto"/>
            <w:vAlign w:val="bottom"/>
          </w:tcPr>
          <w:p w:rsidR="003A6D8B" w:rsidRPr="0071782F" w:rsidRDefault="003A6D8B" w:rsidP="0060040F">
            <w:pPr>
              <w:keepNext/>
              <w:keepLines/>
              <w:suppressAutoHyphens w:val="0"/>
              <w:spacing w:before="40" w:after="40" w:line="220" w:lineRule="exact"/>
              <w:rPr>
                <w:sz w:val="18"/>
                <w:lang w:val="fr-CH"/>
              </w:rPr>
            </w:pPr>
            <w:r w:rsidRPr="0071782F">
              <w:rPr>
                <w:sz w:val="18"/>
                <w:lang w:val="fr-CH"/>
              </w:rPr>
              <w:t>2005</w:t>
            </w:r>
          </w:p>
        </w:tc>
        <w:tc>
          <w:tcPr>
            <w:tcW w:w="0" w:type="auto"/>
            <w:tcBorders>
              <w:top w:val="nil"/>
              <w:bottom w:val="nil"/>
            </w:tcBorders>
            <w:shd w:val="clear" w:color="auto" w:fill="auto"/>
            <w:vAlign w:val="bottom"/>
          </w:tcPr>
          <w:p w:rsidR="003A6D8B" w:rsidRPr="0071782F" w:rsidRDefault="003A6D8B" w:rsidP="0060040F">
            <w:pPr>
              <w:keepNext/>
              <w:keepLines/>
              <w:suppressAutoHyphens w:val="0"/>
              <w:spacing w:before="40" w:after="40" w:line="220" w:lineRule="exact"/>
              <w:jc w:val="right"/>
              <w:rPr>
                <w:sz w:val="18"/>
                <w:lang w:val="fr-CH"/>
              </w:rPr>
            </w:pPr>
            <w:r w:rsidRPr="0071782F">
              <w:rPr>
                <w:sz w:val="18"/>
                <w:lang w:val="fr-CH"/>
              </w:rPr>
              <w:t>262 891</w:t>
            </w:r>
          </w:p>
        </w:tc>
      </w:tr>
      <w:tr w:rsidR="003A6D8B" w:rsidRPr="0071782F">
        <w:tc>
          <w:tcPr>
            <w:tcW w:w="0" w:type="auto"/>
            <w:tcBorders>
              <w:top w:val="nil"/>
            </w:tcBorders>
            <w:shd w:val="clear" w:color="auto" w:fill="auto"/>
            <w:vAlign w:val="bottom"/>
          </w:tcPr>
          <w:p w:rsidR="003A6D8B" w:rsidRPr="0071782F" w:rsidRDefault="003A6D8B" w:rsidP="0060040F">
            <w:pPr>
              <w:keepNext/>
              <w:keepLines/>
              <w:suppressAutoHyphens w:val="0"/>
              <w:spacing w:before="40" w:after="40" w:line="220" w:lineRule="exact"/>
              <w:rPr>
                <w:sz w:val="18"/>
                <w:lang w:val="fr-CH"/>
              </w:rPr>
            </w:pPr>
            <w:r w:rsidRPr="0071782F">
              <w:rPr>
                <w:sz w:val="18"/>
                <w:lang w:val="fr-CH"/>
              </w:rPr>
              <w:t>2006</w:t>
            </w:r>
          </w:p>
        </w:tc>
        <w:tc>
          <w:tcPr>
            <w:tcW w:w="0" w:type="auto"/>
            <w:tcBorders>
              <w:top w:val="nil"/>
            </w:tcBorders>
            <w:shd w:val="clear" w:color="auto" w:fill="auto"/>
            <w:vAlign w:val="bottom"/>
          </w:tcPr>
          <w:p w:rsidR="003A6D8B" w:rsidRPr="0071782F" w:rsidRDefault="003A6D8B" w:rsidP="0060040F">
            <w:pPr>
              <w:keepNext/>
              <w:keepLines/>
              <w:suppressAutoHyphens w:val="0"/>
              <w:spacing w:before="40" w:after="40" w:line="220" w:lineRule="exact"/>
              <w:jc w:val="right"/>
              <w:rPr>
                <w:sz w:val="18"/>
                <w:lang w:val="fr-CH"/>
              </w:rPr>
            </w:pPr>
            <w:r w:rsidRPr="0071782F">
              <w:rPr>
                <w:sz w:val="18"/>
                <w:lang w:val="fr-CH"/>
              </w:rPr>
              <w:t>429 073</w:t>
            </w:r>
          </w:p>
        </w:tc>
      </w:tr>
      <w:tr w:rsidR="003A6D8B" w:rsidRPr="0071782F">
        <w:tc>
          <w:tcPr>
            <w:tcW w:w="0" w:type="auto"/>
            <w:shd w:val="clear" w:color="auto" w:fill="auto"/>
            <w:vAlign w:val="bottom"/>
          </w:tcPr>
          <w:p w:rsidR="003A6D8B" w:rsidRPr="0071782F" w:rsidRDefault="003A6D8B" w:rsidP="0060040F">
            <w:pPr>
              <w:keepNext/>
              <w:keepLines/>
              <w:suppressAutoHyphens w:val="0"/>
              <w:spacing w:before="40" w:after="40" w:line="220" w:lineRule="exact"/>
              <w:rPr>
                <w:sz w:val="18"/>
                <w:lang w:val="fr-CH"/>
              </w:rPr>
            </w:pPr>
            <w:r w:rsidRPr="0071782F">
              <w:rPr>
                <w:sz w:val="18"/>
                <w:lang w:val="fr-CH"/>
              </w:rPr>
              <w:t>2007</w:t>
            </w:r>
          </w:p>
        </w:tc>
        <w:tc>
          <w:tcPr>
            <w:tcW w:w="0" w:type="auto"/>
            <w:shd w:val="clear" w:color="auto" w:fill="auto"/>
            <w:vAlign w:val="bottom"/>
          </w:tcPr>
          <w:p w:rsidR="003A6D8B" w:rsidRPr="0071782F" w:rsidRDefault="003A6D8B" w:rsidP="0060040F">
            <w:pPr>
              <w:keepNext/>
              <w:keepLines/>
              <w:suppressAutoHyphens w:val="0"/>
              <w:spacing w:before="40" w:after="40" w:line="220" w:lineRule="exact"/>
              <w:jc w:val="right"/>
              <w:rPr>
                <w:sz w:val="18"/>
                <w:lang w:val="fr-CH"/>
              </w:rPr>
            </w:pPr>
            <w:r w:rsidRPr="0071782F">
              <w:rPr>
                <w:sz w:val="18"/>
                <w:lang w:val="fr-CH"/>
              </w:rPr>
              <w:t>520 972</w:t>
            </w:r>
          </w:p>
        </w:tc>
      </w:tr>
    </w:tbl>
    <w:p w:rsidR="003A6D8B" w:rsidRPr="0071782F" w:rsidRDefault="003A6D8B" w:rsidP="003A6D8B">
      <w:pPr>
        <w:pStyle w:val="SingleTxtG"/>
        <w:spacing w:before="240"/>
        <w:ind w:left="1701"/>
        <w:rPr>
          <w:spacing w:val="-2"/>
          <w:lang w:val="fr-CH"/>
        </w:rPr>
      </w:pPr>
      <w:r w:rsidRPr="0071782F">
        <w:rPr>
          <w:spacing w:val="-2"/>
          <w:lang w:val="fr-CH"/>
        </w:rPr>
        <w:t>326.5.</w:t>
      </w:r>
      <w:r w:rsidRPr="0071782F">
        <w:rPr>
          <w:spacing w:val="-2"/>
          <w:lang w:val="fr-CH"/>
        </w:rPr>
        <w:tab/>
      </w:r>
      <w:r w:rsidR="00336877" w:rsidRPr="0071782F">
        <w:rPr>
          <w:spacing w:val="-2"/>
          <w:lang w:val="fr-CH"/>
        </w:rPr>
        <w:t>P</w:t>
      </w:r>
      <w:r w:rsidRPr="0071782F">
        <w:rPr>
          <w:spacing w:val="-2"/>
          <w:lang w:val="fr-CH"/>
        </w:rPr>
        <w:t>rogram</w:t>
      </w:r>
      <w:r w:rsidR="00336877" w:rsidRPr="0071782F">
        <w:rPr>
          <w:spacing w:val="-2"/>
          <w:lang w:val="fr-CH"/>
        </w:rPr>
        <w:t>me de dépistage, de diagnostic et d’intervention précoces dans le cas de troubles auditifs chez le nourrisson. La détection précoce des maladies avant que n’apparaissent leurs premiers signes</w:t>
      </w:r>
      <w:r w:rsidRPr="0071782F">
        <w:rPr>
          <w:spacing w:val="-2"/>
          <w:lang w:val="fr-CH"/>
        </w:rPr>
        <w:t xml:space="preserve"> </w:t>
      </w:r>
      <w:r w:rsidR="00336877" w:rsidRPr="0071782F">
        <w:rPr>
          <w:spacing w:val="-2"/>
          <w:lang w:val="fr-CH"/>
        </w:rPr>
        <w:t xml:space="preserve">et </w:t>
      </w:r>
      <w:r w:rsidRPr="0071782F">
        <w:rPr>
          <w:spacing w:val="-2"/>
          <w:lang w:val="fr-CH"/>
        </w:rPr>
        <w:t>sympt</w:t>
      </w:r>
      <w:r w:rsidR="00336877" w:rsidRPr="0071782F">
        <w:rPr>
          <w:spacing w:val="-2"/>
          <w:lang w:val="fr-CH"/>
        </w:rPr>
        <w:t>ô</w:t>
      </w:r>
      <w:r w:rsidRPr="0071782F">
        <w:rPr>
          <w:spacing w:val="-2"/>
          <w:lang w:val="fr-CH"/>
        </w:rPr>
        <w:t>m</w:t>
      </w:r>
      <w:r w:rsidR="00336877" w:rsidRPr="0071782F">
        <w:rPr>
          <w:spacing w:val="-2"/>
          <w:lang w:val="fr-CH"/>
        </w:rPr>
        <w:t>e</w:t>
      </w:r>
      <w:r w:rsidRPr="0071782F">
        <w:rPr>
          <w:spacing w:val="-2"/>
          <w:lang w:val="fr-CH"/>
        </w:rPr>
        <w:t xml:space="preserve">s, </w:t>
      </w:r>
      <w:r w:rsidR="00336877" w:rsidRPr="0071782F">
        <w:rPr>
          <w:spacing w:val="-2"/>
          <w:lang w:val="fr-CH"/>
        </w:rPr>
        <w:t>appelée aussi dépistage ou prévention secondaire, est une nécessité du système de santé du pays.</w:t>
      </w:r>
      <w:r w:rsidR="00D36718">
        <w:rPr>
          <w:spacing w:val="-2"/>
          <w:lang w:val="fr-CH"/>
        </w:rPr>
        <w:t xml:space="preserve"> </w:t>
      </w:r>
      <w:r w:rsidR="00336877" w:rsidRPr="0071782F">
        <w:rPr>
          <w:spacing w:val="-2"/>
          <w:lang w:val="fr-CH"/>
        </w:rPr>
        <w:t xml:space="preserve">Lancé dans les chefs-lieux de province en 2005, ce Programme vise à diagnostiquer les troubles auditifs et déficiences auditives tels que les troubles de la parole et de la </w:t>
      </w:r>
      <w:r w:rsidRPr="0071782F">
        <w:rPr>
          <w:spacing w:val="-2"/>
          <w:lang w:val="fr-CH"/>
        </w:rPr>
        <w:t xml:space="preserve">communication, </w:t>
      </w:r>
      <w:r w:rsidR="00336877" w:rsidRPr="0071782F">
        <w:rPr>
          <w:spacing w:val="-2"/>
          <w:lang w:val="fr-CH"/>
        </w:rPr>
        <w:t>ainsi que les troubles de type cognitif</w:t>
      </w:r>
      <w:r w:rsidRPr="0071782F">
        <w:rPr>
          <w:spacing w:val="-2"/>
          <w:lang w:val="fr-CH"/>
        </w:rPr>
        <w:t xml:space="preserve">, social, </w:t>
      </w:r>
      <w:r w:rsidR="00336877" w:rsidRPr="0071782F">
        <w:rPr>
          <w:spacing w:val="-2"/>
          <w:lang w:val="fr-CH"/>
        </w:rPr>
        <w:t>professionnel et économique</w:t>
      </w:r>
      <w:r w:rsidRPr="0071782F">
        <w:rPr>
          <w:spacing w:val="-2"/>
          <w:lang w:val="fr-CH"/>
        </w:rPr>
        <w:t xml:space="preserve">. </w:t>
      </w:r>
      <w:r w:rsidR="00336877" w:rsidRPr="0071782F">
        <w:rPr>
          <w:spacing w:val="-2"/>
          <w:lang w:val="fr-CH"/>
        </w:rPr>
        <w:t>Il se compose de trois parties</w:t>
      </w:r>
      <w:r w:rsidR="008F7D33" w:rsidRPr="0071782F">
        <w:rPr>
          <w:spacing w:val="-2"/>
          <w:lang w:val="fr-CH"/>
        </w:rPr>
        <w:t>:</w:t>
      </w:r>
      <w:r w:rsidRPr="0071782F">
        <w:rPr>
          <w:spacing w:val="-2"/>
          <w:lang w:val="fr-CH"/>
        </w:rPr>
        <w:t xml:space="preserve"> </w:t>
      </w:r>
      <w:r w:rsidR="00336877" w:rsidRPr="0071782F">
        <w:rPr>
          <w:spacing w:val="-2"/>
          <w:lang w:val="fr-CH"/>
        </w:rPr>
        <w:t>dépistage</w:t>
      </w:r>
      <w:r w:rsidRPr="0071782F">
        <w:rPr>
          <w:spacing w:val="-2"/>
          <w:lang w:val="fr-CH"/>
        </w:rPr>
        <w:t>, diagnos</w:t>
      </w:r>
      <w:r w:rsidR="00336877" w:rsidRPr="0071782F">
        <w:rPr>
          <w:spacing w:val="-2"/>
          <w:lang w:val="fr-CH"/>
        </w:rPr>
        <w:t xml:space="preserve">tic et </w:t>
      </w:r>
      <w:r w:rsidRPr="0071782F">
        <w:rPr>
          <w:spacing w:val="-2"/>
          <w:lang w:val="fr-CH"/>
        </w:rPr>
        <w:t xml:space="preserve">intervention. </w:t>
      </w:r>
      <w:r w:rsidR="00336877" w:rsidRPr="0071782F">
        <w:rPr>
          <w:spacing w:val="-2"/>
          <w:lang w:val="fr-CH"/>
        </w:rPr>
        <w:t>Chaque partie a son propre calendrier et activités</w:t>
      </w:r>
      <w:r w:rsidRPr="0071782F">
        <w:rPr>
          <w:spacing w:val="-2"/>
          <w:lang w:val="fr-CH"/>
        </w:rPr>
        <w:t xml:space="preserve">. </w:t>
      </w:r>
      <w:r w:rsidR="00336877" w:rsidRPr="0071782F">
        <w:rPr>
          <w:spacing w:val="-2"/>
          <w:lang w:val="fr-CH"/>
        </w:rPr>
        <w:t>Si chacune de ces étapes est menée à bien selon le calendrier fixé, les données recueillies peuvent permettre de recenser, chaque année, au moins 3 à 5 000 nourrissons présentant des troubles auditifs</w:t>
      </w:r>
      <w:r w:rsidRPr="0071782F">
        <w:rPr>
          <w:spacing w:val="-2"/>
          <w:lang w:val="fr-CH"/>
        </w:rPr>
        <w:t xml:space="preserve">. </w:t>
      </w:r>
    </w:p>
    <w:p w:rsidR="003A6D8B" w:rsidRPr="0071782F" w:rsidRDefault="003A6D8B" w:rsidP="00577FC0">
      <w:pPr>
        <w:pStyle w:val="SingleTxtG"/>
        <w:spacing w:after="240"/>
        <w:ind w:left="1701"/>
        <w:rPr>
          <w:lang w:val="fr-CH"/>
        </w:rPr>
      </w:pPr>
      <w:r w:rsidRPr="0071782F">
        <w:rPr>
          <w:lang w:val="fr-CH"/>
        </w:rPr>
        <w:t>326.6.</w:t>
      </w:r>
      <w:r w:rsidRPr="0071782F">
        <w:rPr>
          <w:lang w:val="fr-CH"/>
        </w:rPr>
        <w:tab/>
      </w:r>
      <w:r w:rsidR="00AB45CD" w:rsidRPr="0071782F">
        <w:rPr>
          <w:lang w:val="fr-CH"/>
        </w:rPr>
        <w:t>Selon les données fournies par les différ</w:t>
      </w:r>
      <w:r w:rsidR="00051794" w:rsidRPr="0071782F">
        <w:rPr>
          <w:lang w:val="fr-CH"/>
        </w:rPr>
        <w:t>e</w:t>
      </w:r>
      <w:r w:rsidR="00AB45CD" w:rsidRPr="0071782F">
        <w:rPr>
          <w:lang w:val="fr-CH"/>
        </w:rPr>
        <w:t xml:space="preserve">ntes </w:t>
      </w:r>
      <w:r w:rsidRPr="0071782F">
        <w:rPr>
          <w:lang w:val="fr-CH"/>
        </w:rPr>
        <w:t xml:space="preserve">provinces, </w:t>
      </w:r>
      <w:r w:rsidR="00AB45CD" w:rsidRPr="0071782F">
        <w:rPr>
          <w:lang w:val="fr-CH"/>
        </w:rPr>
        <w:t xml:space="preserve">entre </w:t>
      </w:r>
      <w:r w:rsidRPr="0071782F">
        <w:rPr>
          <w:lang w:val="fr-CH"/>
        </w:rPr>
        <w:t xml:space="preserve">2005 </w:t>
      </w:r>
      <w:r w:rsidR="00AB45CD" w:rsidRPr="0071782F">
        <w:rPr>
          <w:lang w:val="fr-CH"/>
        </w:rPr>
        <w:t>et aujourd’hui</w:t>
      </w:r>
      <w:r w:rsidRPr="0071782F">
        <w:rPr>
          <w:lang w:val="fr-CH"/>
        </w:rPr>
        <w:t>, 233</w:t>
      </w:r>
      <w:r w:rsidR="009D038B">
        <w:rPr>
          <w:lang w:val="fr-CH"/>
        </w:rPr>
        <w:t> </w:t>
      </w:r>
      <w:r w:rsidRPr="0071782F">
        <w:rPr>
          <w:lang w:val="fr-CH"/>
        </w:rPr>
        <w:t>156</w:t>
      </w:r>
      <w:r w:rsidR="009D038B">
        <w:rPr>
          <w:lang w:val="fr-CH"/>
        </w:rPr>
        <w:t> </w:t>
      </w:r>
      <w:r w:rsidR="00AB45CD" w:rsidRPr="0071782F">
        <w:rPr>
          <w:lang w:val="fr-CH"/>
        </w:rPr>
        <w:t>nourrissons ont été couverts par le Programme</w:t>
      </w:r>
      <w:r w:rsidRPr="0071782F">
        <w:rPr>
          <w:lang w:val="fr-CH"/>
        </w:rPr>
        <w:t xml:space="preserve">. </w:t>
      </w:r>
      <w:r w:rsidR="00AB45CD" w:rsidRPr="0071782F">
        <w:rPr>
          <w:lang w:val="fr-CH"/>
        </w:rPr>
        <w:t>En 2005, 2006 et</w:t>
      </w:r>
      <w:r w:rsidRPr="0071782F">
        <w:rPr>
          <w:lang w:val="fr-CH"/>
        </w:rPr>
        <w:t xml:space="preserve"> 2007, </w:t>
      </w:r>
      <w:r w:rsidR="00AB45CD" w:rsidRPr="0071782F">
        <w:rPr>
          <w:lang w:val="fr-CH"/>
        </w:rPr>
        <w:t xml:space="preserve">leur </w:t>
      </w:r>
      <w:r w:rsidR="003B48A4" w:rsidRPr="0071782F">
        <w:rPr>
          <w:lang w:val="fr-CH"/>
        </w:rPr>
        <w:t>nombre</w:t>
      </w:r>
      <w:r w:rsidRPr="0071782F">
        <w:rPr>
          <w:lang w:val="fr-CH"/>
        </w:rPr>
        <w:t xml:space="preserve"> </w:t>
      </w:r>
      <w:r w:rsidR="00AB45CD" w:rsidRPr="0071782F">
        <w:rPr>
          <w:lang w:val="fr-CH"/>
        </w:rPr>
        <w:t>a été de 21</w:t>
      </w:r>
      <w:r w:rsidR="009D038B">
        <w:rPr>
          <w:lang w:val="fr-CH"/>
        </w:rPr>
        <w:t> </w:t>
      </w:r>
      <w:r w:rsidR="00AB45CD" w:rsidRPr="0071782F">
        <w:rPr>
          <w:lang w:val="fr-CH"/>
        </w:rPr>
        <w:t>315, 75 </w:t>
      </w:r>
      <w:r w:rsidRPr="0071782F">
        <w:rPr>
          <w:lang w:val="fr-CH"/>
        </w:rPr>
        <w:t>116</w:t>
      </w:r>
      <w:r w:rsidR="00AB45CD" w:rsidRPr="0071782F">
        <w:rPr>
          <w:lang w:val="fr-CH"/>
        </w:rPr>
        <w:t xml:space="preserve"> et </w:t>
      </w:r>
      <w:r w:rsidRPr="0071782F">
        <w:rPr>
          <w:lang w:val="fr-CH"/>
        </w:rPr>
        <w:t>136</w:t>
      </w:r>
      <w:r w:rsidR="00AB45CD" w:rsidRPr="0071782F">
        <w:rPr>
          <w:lang w:val="fr-CH"/>
        </w:rPr>
        <w:t> </w:t>
      </w:r>
      <w:r w:rsidRPr="0071782F">
        <w:rPr>
          <w:lang w:val="fr-CH"/>
        </w:rPr>
        <w:t>725</w:t>
      </w:r>
      <w:r w:rsidR="00AB45CD" w:rsidRPr="0071782F">
        <w:rPr>
          <w:lang w:val="fr-CH"/>
        </w:rPr>
        <w:t>, respectivement, ce qui montre l’extension du Programme dans le temps.</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836"/>
        <w:gridCol w:w="797"/>
        <w:gridCol w:w="896"/>
        <w:gridCol w:w="1078"/>
        <w:gridCol w:w="854"/>
        <w:gridCol w:w="1044"/>
      </w:tblGrid>
      <w:tr w:rsidR="003A6D8B" w:rsidRPr="0071782F">
        <w:trPr>
          <w:tblHeader/>
        </w:trPr>
        <w:tc>
          <w:tcPr>
            <w:tcW w:w="3836"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rPr>
                <w:i/>
                <w:sz w:val="16"/>
                <w:lang w:val="fr-CH"/>
              </w:rPr>
            </w:pPr>
            <w:r w:rsidRPr="0071782F">
              <w:rPr>
                <w:i/>
                <w:sz w:val="16"/>
                <w:lang w:val="fr-CH"/>
              </w:rPr>
              <w:t>Program</w:t>
            </w:r>
            <w:r w:rsidR="00AB45CD" w:rsidRPr="0071782F">
              <w:rPr>
                <w:i/>
                <w:sz w:val="16"/>
                <w:lang w:val="fr-CH"/>
              </w:rPr>
              <w:t>me</w:t>
            </w:r>
          </w:p>
        </w:tc>
        <w:tc>
          <w:tcPr>
            <w:tcW w:w="797" w:type="dxa"/>
            <w:tcBorders>
              <w:top w:val="single" w:sz="4" w:space="0" w:color="auto"/>
              <w:bottom w:val="single" w:sz="12" w:space="0" w:color="auto"/>
            </w:tcBorders>
            <w:shd w:val="clear" w:color="auto" w:fill="auto"/>
            <w:vAlign w:val="bottom"/>
          </w:tcPr>
          <w:p w:rsidR="003A6D8B" w:rsidRPr="0071782F" w:rsidRDefault="00AB45CD" w:rsidP="00BE6159">
            <w:pPr>
              <w:suppressAutoHyphens w:val="0"/>
              <w:spacing w:before="80" w:after="80" w:line="200" w:lineRule="exact"/>
              <w:jc w:val="right"/>
              <w:rPr>
                <w:i/>
                <w:sz w:val="16"/>
                <w:lang w:val="fr-CH"/>
              </w:rPr>
            </w:pPr>
            <w:r w:rsidRPr="0071782F">
              <w:rPr>
                <w:i/>
                <w:sz w:val="16"/>
                <w:lang w:val="fr-CH"/>
              </w:rPr>
              <w:t xml:space="preserve">Nombre </w:t>
            </w:r>
            <w:r w:rsidR="00D82C96" w:rsidRPr="0071782F">
              <w:rPr>
                <w:i/>
                <w:sz w:val="16"/>
                <w:lang w:val="fr-CH"/>
              </w:rPr>
              <w:t>de personnes</w:t>
            </w:r>
            <w:r w:rsidRPr="0071782F">
              <w:rPr>
                <w:i/>
                <w:sz w:val="16"/>
                <w:lang w:val="fr-CH"/>
              </w:rPr>
              <w:t xml:space="preserve"> couvertes</w:t>
            </w:r>
            <w:r w:rsidR="0060040F" w:rsidRPr="0071782F">
              <w:rPr>
                <w:i/>
                <w:sz w:val="16"/>
                <w:lang w:val="fr-CH"/>
              </w:rPr>
              <w:br/>
            </w:r>
            <w:r w:rsidRPr="0071782F">
              <w:rPr>
                <w:i/>
                <w:sz w:val="16"/>
                <w:lang w:val="fr-CH"/>
              </w:rPr>
              <w:t>en</w:t>
            </w:r>
            <w:r w:rsidR="003A6D8B" w:rsidRPr="0071782F">
              <w:rPr>
                <w:i/>
                <w:sz w:val="16"/>
                <w:lang w:val="fr-CH"/>
              </w:rPr>
              <w:t xml:space="preserve"> 2005</w:t>
            </w:r>
          </w:p>
        </w:tc>
        <w:tc>
          <w:tcPr>
            <w:tcW w:w="896" w:type="dxa"/>
            <w:tcBorders>
              <w:top w:val="single" w:sz="4" w:space="0" w:color="auto"/>
              <w:bottom w:val="single" w:sz="12" w:space="0" w:color="auto"/>
            </w:tcBorders>
            <w:shd w:val="clear" w:color="auto" w:fill="auto"/>
            <w:vAlign w:val="bottom"/>
          </w:tcPr>
          <w:p w:rsidR="003A6D8B" w:rsidRPr="0071782F" w:rsidRDefault="00AB45CD" w:rsidP="00C232FA">
            <w:pPr>
              <w:suppressAutoHyphens w:val="0"/>
              <w:spacing w:before="80" w:after="80" w:line="200" w:lineRule="exact"/>
              <w:jc w:val="right"/>
              <w:rPr>
                <w:i/>
                <w:sz w:val="16"/>
                <w:lang w:val="fr-CH"/>
              </w:rPr>
            </w:pPr>
            <w:r w:rsidRPr="0071782F">
              <w:rPr>
                <w:i/>
                <w:sz w:val="16"/>
                <w:lang w:val="fr-CH"/>
              </w:rPr>
              <w:t xml:space="preserve">Nombre </w:t>
            </w:r>
            <w:r w:rsidR="00D82C96" w:rsidRPr="0071782F">
              <w:rPr>
                <w:i/>
                <w:sz w:val="16"/>
                <w:lang w:val="fr-CH"/>
              </w:rPr>
              <w:t>de personnes</w:t>
            </w:r>
            <w:r w:rsidRPr="0071782F">
              <w:rPr>
                <w:i/>
                <w:sz w:val="16"/>
                <w:lang w:val="fr-CH"/>
              </w:rPr>
              <w:t xml:space="preserve"> couvertes</w:t>
            </w:r>
            <w:r w:rsidR="0060040F" w:rsidRPr="0071782F">
              <w:rPr>
                <w:i/>
                <w:sz w:val="16"/>
                <w:lang w:val="fr-CH"/>
              </w:rPr>
              <w:br/>
            </w:r>
            <w:r w:rsidRPr="0071782F">
              <w:rPr>
                <w:i/>
                <w:sz w:val="16"/>
                <w:lang w:val="fr-CH"/>
              </w:rPr>
              <w:t xml:space="preserve"> en </w:t>
            </w:r>
            <w:r w:rsidR="003A6D8B" w:rsidRPr="0071782F">
              <w:rPr>
                <w:i/>
                <w:sz w:val="16"/>
                <w:lang w:val="fr-CH"/>
              </w:rPr>
              <w:t>2006</w:t>
            </w:r>
          </w:p>
        </w:tc>
        <w:tc>
          <w:tcPr>
            <w:tcW w:w="1078" w:type="dxa"/>
            <w:tcBorders>
              <w:top w:val="single" w:sz="4" w:space="0" w:color="auto"/>
              <w:bottom w:val="single" w:sz="12" w:space="0" w:color="auto"/>
            </w:tcBorders>
            <w:shd w:val="clear" w:color="auto" w:fill="auto"/>
            <w:vAlign w:val="bottom"/>
          </w:tcPr>
          <w:p w:rsidR="003A6D8B" w:rsidRPr="0071782F" w:rsidRDefault="00AB45CD" w:rsidP="00C232FA">
            <w:pPr>
              <w:suppressAutoHyphens w:val="0"/>
              <w:spacing w:before="80" w:after="80" w:line="200" w:lineRule="exact"/>
              <w:jc w:val="right"/>
              <w:rPr>
                <w:i/>
                <w:sz w:val="16"/>
                <w:lang w:val="fr-CH"/>
              </w:rPr>
            </w:pPr>
            <w:r w:rsidRPr="0071782F">
              <w:rPr>
                <w:i/>
                <w:sz w:val="16"/>
                <w:lang w:val="fr-CH"/>
              </w:rPr>
              <w:t xml:space="preserve">Augmentation </w:t>
            </w:r>
            <w:r w:rsidR="00946A73">
              <w:rPr>
                <w:i/>
                <w:sz w:val="16"/>
                <w:lang w:val="fr-CH"/>
              </w:rPr>
              <w:t>en %</w:t>
            </w:r>
          </w:p>
        </w:tc>
        <w:tc>
          <w:tcPr>
            <w:tcW w:w="854" w:type="dxa"/>
            <w:tcBorders>
              <w:top w:val="single" w:sz="4" w:space="0" w:color="auto"/>
              <w:bottom w:val="single" w:sz="12" w:space="0" w:color="auto"/>
            </w:tcBorders>
            <w:shd w:val="clear" w:color="auto" w:fill="auto"/>
            <w:vAlign w:val="bottom"/>
          </w:tcPr>
          <w:p w:rsidR="003A6D8B" w:rsidRPr="0071782F" w:rsidRDefault="00AB45CD" w:rsidP="00C232FA">
            <w:pPr>
              <w:suppressAutoHyphens w:val="0"/>
              <w:spacing w:before="80" w:after="80" w:line="200" w:lineRule="exact"/>
              <w:jc w:val="right"/>
              <w:rPr>
                <w:i/>
                <w:sz w:val="16"/>
                <w:lang w:val="fr-CH"/>
              </w:rPr>
            </w:pPr>
            <w:r w:rsidRPr="0071782F">
              <w:rPr>
                <w:i/>
                <w:sz w:val="16"/>
                <w:lang w:val="fr-CH"/>
              </w:rPr>
              <w:t xml:space="preserve">Nombre </w:t>
            </w:r>
            <w:r w:rsidR="00D82C96" w:rsidRPr="0071782F">
              <w:rPr>
                <w:i/>
                <w:sz w:val="16"/>
                <w:lang w:val="fr-CH"/>
              </w:rPr>
              <w:t>de personnes</w:t>
            </w:r>
            <w:r w:rsidRPr="0071782F">
              <w:rPr>
                <w:i/>
                <w:sz w:val="16"/>
                <w:lang w:val="fr-CH"/>
              </w:rPr>
              <w:t xml:space="preserve"> couvertes</w:t>
            </w:r>
            <w:r w:rsidR="0060040F" w:rsidRPr="0071782F">
              <w:rPr>
                <w:i/>
                <w:sz w:val="16"/>
                <w:lang w:val="fr-CH"/>
              </w:rPr>
              <w:br/>
            </w:r>
            <w:r w:rsidRPr="0071782F">
              <w:rPr>
                <w:i/>
                <w:sz w:val="16"/>
                <w:lang w:val="fr-CH"/>
              </w:rPr>
              <w:t xml:space="preserve"> en </w:t>
            </w:r>
            <w:r w:rsidR="003A6D8B" w:rsidRPr="0071782F">
              <w:rPr>
                <w:i/>
                <w:sz w:val="16"/>
                <w:lang w:val="fr-CH"/>
              </w:rPr>
              <w:t>2007</w:t>
            </w:r>
          </w:p>
        </w:tc>
        <w:tc>
          <w:tcPr>
            <w:tcW w:w="1044" w:type="dxa"/>
            <w:tcBorders>
              <w:top w:val="single" w:sz="4" w:space="0" w:color="auto"/>
              <w:bottom w:val="single" w:sz="12" w:space="0" w:color="auto"/>
            </w:tcBorders>
            <w:shd w:val="clear" w:color="auto" w:fill="auto"/>
            <w:vAlign w:val="bottom"/>
          </w:tcPr>
          <w:p w:rsidR="003A6D8B" w:rsidRPr="0071782F" w:rsidRDefault="00AB45CD" w:rsidP="00C232FA">
            <w:pPr>
              <w:suppressAutoHyphens w:val="0"/>
              <w:spacing w:before="80" w:after="80" w:line="200" w:lineRule="exact"/>
              <w:jc w:val="right"/>
              <w:rPr>
                <w:i/>
                <w:sz w:val="16"/>
                <w:lang w:val="fr-CH"/>
              </w:rPr>
            </w:pPr>
            <w:r w:rsidRPr="0071782F">
              <w:rPr>
                <w:i/>
                <w:sz w:val="16"/>
                <w:lang w:val="fr-CH"/>
              </w:rPr>
              <w:t xml:space="preserve">Augmentation </w:t>
            </w:r>
            <w:r w:rsidR="00946A73">
              <w:rPr>
                <w:i/>
                <w:sz w:val="16"/>
                <w:lang w:val="fr-CH"/>
              </w:rPr>
              <w:t>en %</w:t>
            </w:r>
          </w:p>
        </w:tc>
      </w:tr>
      <w:tr w:rsidR="003A6D8B" w:rsidRPr="0071782F">
        <w:tc>
          <w:tcPr>
            <w:tcW w:w="3836" w:type="dxa"/>
            <w:tcBorders>
              <w:top w:val="single" w:sz="12" w:space="0" w:color="auto"/>
            </w:tcBorders>
            <w:shd w:val="clear" w:color="auto" w:fill="auto"/>
            <w:vAlign w:val="bottom"/>
          </w:tcPr>
          <w:p w:rsidR="003A6D8B" w:rsidRPr="0071782F" w:rsidRDefault="00AB45CD" w:rsidP="00C232FA">
            <w:pPr>
              <w:suppressAutoHyphens w:val="0"/>
              <w:spacing w:before="40" w:after="40" w:line="220" w:lineRule="exact"/>
              <w:rPr>
                <w:sz w:val="18"/>
                <w:lang w:val="fr-CH"/>
              </w:rPr>
            </w:pPr>
            <w:r w:rsidRPr="0071782F">
              <w:rPr>
                <w:sz w:val="18"/>
                <w:lang w:val="fr-CH"/>
              </w:rPr>
              <w:t xml:space="preserve">Dépistage, </w:t>
            </w:r>
            <w:r w:rsidR="003A6D8B" w:rsidRPr="0071782F">
              <w:rPr>
                <w:sz w:val="18"/>
                <w:lang w:val="fr-CH"/>
              </w:rPr>
              <w:t>diagnos</w:t>
            </w:r>
            <w:r w:rsidRPr="0071782F">
              <w:rPr>
                <w:sz w:val="18"/>
                <w:lang w:val="fr-CH"/>
              </w:rPr>
              <w:t xml:space="preserve">tic et </w:t>
            </w:r>
            <w:r w:rsidR="003A6D8B" w:rsidRPr="0071782F">
              <w:rPr>
                <w:sz w:val="18"/>
                <w:lang w:val="fr-CH"/>
              </w:rPr>
              <w:t xml:space="preserve">intervention </w:t>
            </w:r>
            <w:r w:rsidRPr="0071782F">
              <w:rPr>
                <w:sz w:val="18"/>
                <w:lang w:val="fr-CH"/>
              </w:rPr>
              <w:t xml:space="preserve">précoces dans le cas de troubles auditifs chez le nourrisson </w:t>
            </w:r>
          </w:p>
        </w:tc>
        <w:tc>
          <w:tcPr>
            <w:tcW w:w="797"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21 315</w:t>
            </w:r>
          </w:p>
        </w:tc>
        <w:tc>
          <w:tcPr>
            <w:tcW w:w="896"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75 116</w:t>
            </w:r>
          </w:p>
        </w:tc>
        <w:tc>
          <w:tcPr>
            <w:tcW w:w="1078"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253%</w:t>
            </w:r>
          </w:p>
        </w:tc>
        <w:tc>
          <w:tcPr>
            <w:tcW w:w="854"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136 725</w:t>
            </w:r>
          </w:p>
        </w:tc>
        <w:tc>
          <w:tcPr>
            <w:tcW w:w="1044"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83%</w:t>
            </w:r>
          </w:p>
        </w:tc>
      </w:tr>
    </w:tbl>
    <w:p w:rsidR="003A6D8B" w:rsidRPr="0071782F" w:rsidRDefault="003A6D8B" w:rsidP="003A6D8B">
      <w:pPr>
        <w:pStyle w:val="SingleTxtG"/>
        <w:spacing w:before="240"/>
        <w:ind w:left="1701"/>
        <w:rPr>
          <w:lang w:val="fr-CH"/>
        </w:rPr>
      </w:pPr>
      <w:r w:rsidRPr="0071782F">
        <w:rPr>
          <w:lang w:val="fr-CH"/>
        </w:rPr>
        <w:t>326.7.</w:t>
      </w:r>
      <w:r w:rsidRPr="0071782F">
        <w:rPr>
          <w:lang w:val="fr-CH"/>
        </w:rPr>
        <w:tab/>
      </w:r>
      <w:r w:rsidR="00AB45CD" w:rsidRPr="0071782F">
        <w:rPr>
          <w:lang w:val="fr-CH"/>
        </w:rPr>
        <w:t xml:space="preserve">Vers la fin de </w:t>
      </w:r>
      <w:r w:rsidRPr="0071782F">
        <w:rPr>
          <w:lang w:val="fr-CH"/>
        </w:rPr>
        <w:t xml:space="preserve">2007, </w:t>
      </w:r>
      <w:r w:rsidR="008328E7" w:rsidRPr="0071782F">
        <w:rPr>
          <w:lang w:val="fr-CH"/>
        </w:rPr>
        <w:t xml:space="preserve">afin d’augmenter la </w:t>
      </w:r>
      <w:r w:rsidRPr="0071782F">
        <w:rPr>
          <w:lang w:val="fr-CH"/>
        </w:rPr>
        <w:t xml:space="preserve">participation </w:t>
      </w:r>
      <w:r w:rsidR="008328E7" w:rsidRPr="0071782F">
        <w:rPr>
          <w:lang w:val="fr-CH"/>
        </w:rPr>
        <w:t>du secteur privé et d’étendre la portée et d’améliorer la qualité du Programme dans les provinces</w:t>
      </w:r>
      <w:r w:rsidRPr="0071782F">
        <w:rPr>
          <w:lang w:val="fr-CH"/>
        </w:rPr>
        <w:t>, 137</w:t>
      </w:r>
      <w:r w:rsidR="00C232FA" w:rsidRPr="0071782F">
        <w:rPr>
          <w:lang w:val="fr-CH"/>
        </w:rPr>
        <w:t> </w:t>
      </w:r>
      <w:r w:rsidR="008328E7" w:rsidRPr="0071782F">
        <w:rPr>
          <w:lang w:val="fr-CH"/>
        </w:rPr>
        <w:t>appareils d’exploration auditive ont été achetés grâce aux contributions de ce secteur.</w:t>
      </w:r>
      <w:r w:rsidRPr="0071782F">
        <w:rPr>
          <w:lang w:val="fr-CH"/>
        </w:rPr>
        <w:t xml:space="preserve"> </w:t>
      </w:r>
      <w:r w:rsidR="008328E7" w:rsidRPr="0071782F">
        <w:rPr>
          <w:lang w:val="fr-CH"/>
        </w:rPr>
        <w:t xml:space="preserve">On espère que la coopération du secteur privé permettra de faire passer le nombre de bénéficiaires de </w:t>
      </w:r>
      <w:r w:rsidRPr="0071782F">
        <w:rPr>
          <w:lang w:val="fr-CH"/>
        </w:rPr>
        <w:t>11</w:t>
      </w:r>
      <w:r w:rsidR="007E5125" w:rsidRPr="0071782F">
        <w:rPr>
          <w:lang w:val="fr-CH"/>
        </w:rPr>
        <w:t>%</w:t>
      </w:r>
      <w:r w:rsidR="008328E7" w:rsidRPr="0071782F">
        <w:rPr>
          <w:lang w:val="fr-CH"/>
        </w:rPr>
        <w:t xml:space="preserve"> des naissances vivantes en </w:t>
      </w:r>
      <w:r w:rsidRPr="0071782F">
        <w:rPr>
          <w:lang w:val="fr-CH"/>
        </w:rPr>
        <w:t xml:space="preserve">2007 </w:t>
      </w:r>
      <w:r w:rsidR="008328E7" w:rsidRPr="0071782F">
        <w:rPr>
          <w:lang w:val="fr-CH"/>
        </w:rPr>
        <w:t xml:space="preserve">à </w:t>
      </w:r>
      <w:r w:rsidRPr="0071782F">
        <w:rPr>
          <w:lang w:val="fr-CH"/>
        </w:rPr>
        <w:t>30</w:t>
      </w:r>
      <w:r w:rsidR="007E5125" w:rsidRPr="0071782F">
        <w:rPr>
          <w:lang w:val="fr-CH"/>
        </w:rPr>
        <w:t>%</w:t>
      </w:r>
      <w:r w:rsidR="001601C5">
        <w:rPr>
          <w:lang w:val="fr-CH"/>
        </w:rPr>
        <w:t xml:space="preserve"> à la fin de </w:t>
      </w:r>
      <w:r w:rsidRPr="0071782F">
        <w:rPr>
          <w:lang w:val="fr-CH"/>
        </w:rPr>
        <w:t xml:space="preserve">2008. </w:t>
      </w:r>
      <w:r w:rsidR="008328E7" w:rsidRPr="0071782F">
        <w:rPr>
          <w:lang w:val="fr-CH"/>
        </w:rPr>
        <w:t xml:space="preserve">À l’heure actuelle, </w:t>
      </w:r>
      <w:r w:rsidRPr="0071782F">
        <w:rPr>
          <w:lang w:val="fr-CH"/>
        </w:rPr>
        <w:t xml:space="preserve">150 </w:t>
      </w:r>
      <w:r w:rsidR="008328E7" w:rsidRPr="0071782F">
        <w:rPr>
          <w:lang w:val="fr-CH"/>
        </w:rPr>
        <w:t xml:space="preserve">équipes d’exploration auditive présentes dans </w:t>
      </w:r>
      <w:r w:rsidR="001601C5">
        <w:rPr>
          <w:lang w:val="fr-CH"/>
        </w:rPr>
        <w:t>88 </w:t>
      </w:r>
      <w:r w:rsidR="008328E7" w:rsidRPr="0071782F">
        <w:rPr>
          <w:lang w:val="fr-CH"/>
        </w:rPr>
        <w:t>villes du pays fournissent leurs services au groupe cible.</w:t>
      </w:r>
    </w:p>
    <w:p w:rsidR="003A6D8B" w:rsidRPr="0071782F" w:rsidRDefault="003A6D8B" w:rsidP="003A6D8B">
      <w:pPr>
        <w:pStyle w:val="SingleTxtG"/>
        <w:ind w:left="1701"/>
        <w:rPr>
          <w:lang w:val="fr-CH"/>
        </w:rPr>
      </w:pPr>
      <w:r w:rsidRPr="0071782F">
        <w:rPr>
          <w:lang w:val="fr-CH"/>
        </w:rPr>
        <w:t>326.8.</w:t>
      </w:r>
      <w:r w:rsidRPr="0071782F">
        <w:rPr>
          <w:lang w:val="fr-CH"/>
        </w:rPr>
        <w:tab/>
      </w:r>
      <w:r w:rsidR="00A3370B" w:rsidRPr="0071782F">
        <w:rPr>
          <w:lang w:val="fr-CH"/>
        </w:rPr>
        <w:t>P</w:t>
      </w:r>
      <w:r w:rsidRPr="0071782F">
        <w:rPr>
          <w:lang w:val="fr-CH"/>
        </w:rPr>
        <w:t>rogram</w:t>
      </w:r>
      <w:r w:rsidR="00A3370B" w:rsidRPr="0071782F">
        <w:rPr>
          <w:lang w:val="fr-CH"/>
        </w:rPr>
        <w:t xml:space="preserve">me national de </w:t>
      </w:r>
      <w:r w:rsidRPr="0071782F">
        <w:rPr>
          <w:lang w:val="fr-CH"/>
        </w:rPr>
        <w:t>pr</w:t>
      </w:r>
      <w:r w:rsidR="00A3370B" w:rsidRPr="0071782F">
        <w:rPr>
          <w:lang w:val="fr-CH"/>
        </w:rPr>
        <w:t>é</w:t>
      </w:r>
      <w:r w:rsidRPr="0071782F">
        <w:rPr>
          <w:lang w:val="fr-CH"/>
        </w:rPr>
        <w:t xml:space="preserve">vention </w:t>
      </w:r>
      <w:r w:rsidR="00A3370B" w:rsidRPr="0071782F">
        <w:rPr>
          <w:lang w:val="fr-CH"/>
        </w:rPr>
        <w:t>des handicaps découlant de troubles génétiques. La</w:t>
      </w:r>
      <w:r w:rsidRPr="0071782F">
        <w:rPr>
          <w:lang w:val="fr-CH"/>
        </w:rPr>
        <w:t xml:space="preserve"> pr</w:t>
      </w:r>
      <w:r w:rsidR="00A3370B" w:rsidRPr="0071782F">
        <w:rPr>
          <w:lang w:val="fr-CH"/>
        </w:rPr>
        <w:t>é</w:t>
      </w:r>
      <w:r w:rsidRPr="0071782F">
        <w:rPr>
          <w:lang w:val="fr-CH"/>
        </w:rPr>
        <w:t xml:space="preserve">vention </w:t>
      </w:r>
      <w:r w:rsidR="00A3370B" w:rsidRPr="0071782F">
        <w:rPr>
          <w:lang w:val="fr-CH"/>
        </w:rPr>
        <w:t>des handicaps découlant de troubles génétiques et congénitaux a des dimensions multiples</w:t>
      </w:r>
      <w:r w:rsidRPr="0071782F">
        <w:rPr>
          <w:lang w:val="fr-CH"/>
        </w:rPr>
        <w:t xml:space="preserve">. </w:t>
      </w:r>
      <w:r w:rsidR="00A3370B" w:rsidRPr="0071782F">
        <w:rPr>
          <w:lang w:val="fr-CH"/>
        </w:rPr>
        <w:t xml:space="preserve">Les </w:t>
      </w:r>
      <w:r w:rsidRPr="0071782F">
        <w:rPr>
          <w:lang w:val="fr-CH"/>
        </w:rPr>
        <w:t>consultation</w:t>
      </w:r>
      <w:r w:rsidR="00A3370B" w:rsidRPr="0071782F">
        <w:rPr>
          <w:lang w:val="fr-CH"/>
        </w:rPr>
        <w:t xml:space="preserve">s génétiques sont au </w:t>
      </w:r>
      <w:r w:rsidR="0071782F" w:rsidRPr="0071782F">
        <w:rPr>
          <w:lang w:val="fr-CH"/>
        </w:rPr>
        <w:t>cœur</w:t>
      </w:r>
      <w:r w:rsidR="00A3370B" w:rsidRPr="0071782F">
        <w:rPr>
          <w:lang w:val="fr-CH"/>
        </w:rPr>
        <w:t xml:space="preserve"> de ces </w:t>
      </w:r>
      <w:r w:rsidRPr="0071782F">
        <w:rPr>
          <w:lang w:val="fr-CH"/>
        </w:rPr>
        <w:t xml:space="preserve">services. </w:t>
      </w:r>
      <w:r w:rsidR="00A3370B" w:rsidRPr="0071782F">
        <w:rPr>
          <w:lang w:val="fr-CH"/>
        </w:rPr>
        <w:t xml:space="preserve">Le processus de consultation génétique consiste </w:t>
      </w:r>
      <w:r w:rsidR="00140FE0" w:rsidRPr="0071782F">
        <w:rPr>
          <w:lang w:val="fr-CH"/>
        </w:rPr>
        <w:t xml:space="preserve">à diagnostiquer la maladie et à </w:t>
      </w:r>
      <w:r w:rsidR="00A3370B" w:rsidRPr="0071782F">
        <w:rPr>
          <w:lang w:val="fr-CH"/>
        </w:rPr>
        <w:t>évaluer le risque de sa récurrence</w:t>
      </w:r>
      <w:r w:rsidRPr="0071782F">
        <w:rPr>
          <w:lang w:val="fr-CH"/>
        </w:rPr>
        <w:t xml:space="preserve">; </w:t>
      </w:r>
      <w:r w:rsidR="00A3370B" w:rsidRPr="0071782F">
        <w:rPr>
          <w:lang w:val="fr-CH"/>
        </w:rPr>
        <w:t xml:space="preserve">à renseigner sur le pronostic de la maladie et les soins continus qu’elle nécessite, ainsi que son profil héréditaire et les méthodes de diagnostic à mettre en </w:t>
      </w:r>
      <w:r w:rsidR="00D5366B" w:rsidRPr="0071782F">
        <w:rPr>
          <w:lang w:val="fr-CH"/>
        </w:rPr>
        <w:t>œuvre</w:t>
      </w:r>
      <w:r w:rsidR="00A3370B" w:rsidRPr="0071782F">
        <w:rPr>
          <w:lang w:val="fr-CH"/>
        </w:rPr>
        <w:t xml:space="preserve"> avant la naissance</w:t>
      </w:r>
      <w:r w:rsidRPr="0071782F">
        <w:rPr>
          <w:lang w:val="fr-CH"/>
        </w:rPr>
        <w:t xml:space="preserve">; </w:t>
      </w:r>
      <w:r w:rsidR="00A3370B" w:rsidRPr="0071782F">
        <w:rPr>
          <w:lang w:val="fr-CH"/>
        </w:rPr>
        <w:t>et à recommander le traitement le plus efficace ou à conseiller d’adresser l’enfant à d’autres centres</w:t>
      </w:r>
      <w:r w:rsidRPr="0071782F">
        <w:rPr>
          <w:lang w:val="fr-CH"/>
        </w:rPr>
        <w:t>.</w:t>
      </w:r>
    </w:p>
    <w:p w:rsidR="003A6D8B" w:rsidRPr="0071782F" w:rsidRDefault="003A6D8B" w:rsidP="00B04EA8">
      <w:pPr>
        <w:pStyle w:val="SingleTxtG"/>
        <w:keepNext/>
        <w:keepLines/>
        <w:ind w:left="1701"/>
        <w:rPr>
          <w:lang w:val="fr-CH"/>
        </w:rPr>
      </w:pPr>
      <w:r w:rsidRPr="0071782F">
        <w:rPr>
          <w:lang w:val="fr-CH"/>
        </w:rPr>
        <w:t>326.9.</w:t>
      </w:r>
      <w:r w:rsidRPr="0071782F">
        <w:rPr>
          <w:lang w:val="fr-CH"/>
        </w:rPr>
        <w:tab/>
      </w:r>
      <w:r w:rsidR="00A3370B" w:rsidRPr="0071782F">
        <w:rPr>
          <w:lang w:val="fr-CH"/>
        </w:rPr>
        <w:t>En sensibilisant la population, la consultation génétique joue un rôle efficace en matière de services de prévention. Le meilleur moment pour demander une telle consultation est avant le mariage. Toutefois, elle peut être demandée avant et pendant la grossesse ou après la naissance du premier enfant anormal. Le programme national général de prévention des handicaps découlant de troubles génétiques propose des consultations génétiques accessibles, de qualité et peu onéreuses à la population et vise, en dernière analyse, à réduire les handicaps génétiques et congénitaux</w:t>
      </w:r>
      <w:r w:rsidRPr="0071782F">
        <w:rPr>
          <w:lang w:val="fr-CH"/>
        </w:rPr>
        <w:t xml:space="preserve">. </w:t>
      </w:r>
      <w:r w:rsidR="00A3370B" w:rsidRPr="0071782F">
        <w:rPr>
          <w:lang w:val="fr-CH"/>
        </w:rPr>
        <w:t>Il est actuellement mené à bien par des centres de consultations génétiques</w:t>
      </w:r>
      <w:r w:rsidRPr="0071782F">
        <w:rPr>
          <w:lang w:val="fr-CH"/>
        </w:rPr>
        <w:t>.</w:t>
      </w:r>
    </w:p>
    <w:p w:rsidR="003A6D8B" w:rsidRPr="0071782F" w:rsidRDefault="003A6D8B" w:rsidP="007D30CE">
      <w:pPr>
        <w:pStyle w:val="SingleTxtG"/>
        <w:spacing w:after="0"/>
        <w:ind w:left="1701"/>
        <w:rPr>
          <w:lang w:val="fr-CH"/>
        </w:rPr>
      </w:pPr>
      <w:r w:rsidRPr="0071782F">
        <w:rPr>
          <w:lang w:val="fr-CH"/>
        </w:rPr>
        <w:t xml:space="preserve">326.10. </w:t>
      </w:r>
      <w:r w:rsidR="00A3370B" w:rsidRPr="0071782F">
        <w:rPr>
          <w:lang w:val="fr-CH"/>
        </w:rPr>
        <w:t xml:space="preserve">Lancé en </w:t>
      </w:r>
      <w:r w:rsidRPr="0071782F">
        <w:rPr>
          <w:lang w:val="fr-CH"/>
        </w:rPr>
        <w:t xml:space="preserve">2007 </w:t>
      </w:r>
      <w:r w:rsidR="00A3370B" w:rsidRPr="0071782F">
        <w:rPr>
          <w:lang w:val="fr-CH"/>
        </w:rPr>
        <w:t xml:space="preserve">avec la création de centres de consultations génétiques dans l’ensemble du pays, ce programme ne cesse de s’étendre et compte actuellement </w:t>
      </w:r>
      <w:r w:rsidRPr="0071782F">
        <w:rPr>
          <w:lang w:val="fr-CH"/>
        </w:rPr>
        <w:t xml:space="preserve">127 </w:t>
      </w:r>
      <w:r w:rsidR="00A3370B" w:rsidRPr="0071782F">
        <w:rPr>
          <w:lang w:val="fr-CH"/>
        </w:rPr>
        <w:t xml:space="preserve">de ces centres, dont </w:t>
      </w:r>
      <w:r w:rsidRPr="0071782F">
        <w:rPr>
          <w:lang w:val="fr-CH"/>
        </w:rPr>
        <w:t xml:space="preserve">51 </w:t>
      </w:r>
      <w:r w:rsidR="00A3370B" w:rsidRPr="0071782F">
        <w:rPr>
          <w:lang w:val="fr-CH"/>
        </w:rPr>
        <w:t>sont publics et les autres privés</w:t>
      </w:r>
      <w:r w:rsidRPr="0071782F">
        <w:rPr>
          <w:lang w:val="fr-CH"/>
        </w:rPr>
        <w:t xml:space="preserve">. </w:t>
      </w:r>
      <w:r w:rsidR="00A3370B" w:rsidRPr="0071782F">
        <w:rPr>
          <w:lang w:val="fr-CH"/>
        </w:rPr>
        <w:t xml:space="preserve">Afin d’étendre la prestation de </w:t>
      </w:r>
      <w:r w:rsidRPr="0071782F">
        <w:rPr>
          <w:lang w:val="fr-CH"/>
        </w:rPr>
        <w:t xml:space="preserve">services </w:t>
      </w:r>
      <w:r w:rsidR="00155D8B" w:rsidRPr="0071782F">
        <w:rPr>
          <w:lang w:val="fr-CH"/>
        </w:rPr>
        <w:t>à leurs</w:t>
      </w:r>
      <w:r w:rsidR="00A3370B" w:rsidRPr="0071782F">
        <w:rPr>
          <w:lang w:val="fr-CH"/>
        </w:rPr>
        <w:t xml:space="preserve"> </w:t>
      </w:r>
      <w:r w:rsidRPr="0071782F">
        <w:rPr>
          <w:lang w:val="fr-CH"/>
        </w:rPr>
        <w:t xml:space="preserve">clients </w:t>
      </w:r>
      <w:r w:rsidR="00A3370B" w:rsidRPr="0071782F">
        <w:rPr>
          <w:lang w:val="fr-CH"/>
        </w:rPr>
        <w:t xml:space="preserve">et de fournir une </w:t>
      </w:r>
      <w:r w:rsidRPr="0071782F">
        <w:rPr>
          <w:lang w:val="fr-CH"/>
        </w:rPr>
        <w:t xml:space="preserve">assistance </w:t>
      </w:r>
      <w:r w:rsidR="00A3370B" w:rsidRPr="0071782F">
        <w:rPr>
          <w:lang w:val="fr-CH"/>
        </w:rPr>
        <w:t>aux groupes à faible revenu, ces centres sont subventionnés. E</w:t>
      </w:r>
      <w:r w:rsidRPr="0071782F">
        <w:rPr>
          <w:lang w:val="fr-CH"/>
        </w:rPr>
        <w:t>n 2007, 8</w:t>
      </w:r>
      <w:r w:rsidR="00A3370B" w:rsidRPr="0071782F">
        <w:rPr>
          <w:lang w:val="fr-CH"/>
        </w:rPr>
        <w:t xml:space="preserve"> </w:t>
      </w:r>
      <w:r w:rsidRPr="0071782F">
        <w:rPr>
          <w:lang w:val="fr-CH"/>
        </w:rPr>
        <w:t>130</w:t>
      </w:r>
      <w:r w:rsidR="00097CDB" w:rsidRPr="0071782F">
        <w:rPr>
          <w:lang w:val="fr-CH"/>
        </w:rPr>
        <w:t> personnes</w:t>
      </w:r>
      <w:r w:rsidR="00A3370B" w:rsidRPr="0071782F">
        <w:rPr>
          <w:lang w:val="fr-CH"/>
        </w:rPr>
        <w:t xml:space="preserve"> ont touché des allocations, 2</w:t>
      </w:r>
      <w:r w:rsidR="00C232FA" w:rsidRPr="0071782F">
        <w:rPr>
          <w:lang w:val="fr-CH"/>
        </w:rPr>
        <w:t> </w:t>
      </w:r>
      <w:r w:rsidRPr="0071782F">
        <w:rPr>
          <w:lang w:val="fr-CH"/>
        </w:rPr>
        <w:t xml:space="preserve">250 </w:t>
      </w:r>
      <w:r w:rsidR="00A3370B" w:rsidRPr="0071782F">
        <w:rPr>
          <w:lang w:val="fr-CH"/>
        </w:rPr>
        <w:t xml:space="preserve">ont bénéficié d’une aide financière spécifique pour faire réaliser des tests génétiques et </w:t>
      </w:r>
      <w:r w:rsidRPr="0071782F">
        <w:rPr>
          <w:lang w:val="fr-CH"/>
        </w:rPr>
        <w:t>5</w:t>
      </w:r>
      <w:r w:rsidR="00C232FA" w:rsidRPr="0071782F">
        <w:rPr>
          <w:lang w:val="fr-CH"/>
        </w:rPr>
        <w:t> </w:t>
      </w:r>
      <w:r w:rsidRPr="0071782F">
        <w:rPr>
          <w:lang w:val="fr-CH"/>
        </w:rPr>
        <w:t xml:space="preserve">422 </w:t>
      </w:r>
      <w:r w:rsidR="00A3370B" w:rsidRPr="0071782F">
        <w:rPr>
          <w:lang w:val="fr-CH"/>
        </w:rPr>
        <w:t xml:space="preserve">d’une aide partielle aux mêmes fins. À ce jour, plus de </w:t>
      </w:r>
      <w:r w:rsidRPr="0071782F">
        <w:rPr>
          <w:lang w:val="fr-CH"/>
        </w:rPr>
        <w:t>300</w:t>
      </w:r>
      <w:r w:rsidR="00C232FA" w:rsidRPr="0071782F">
        <w:rPr>
          <w:lang w:val="fr-CH"/>
        </w:rPr>
        <w:t> </w:t>
      </w:r>
      <w:r w:rsidRPr="0071782F">
        <w:rPr>
          <w:lang w:val="fr-CH"/>
        </w:rPr>
        <w:t>000</w:t>
      </w:r>
      <w:r w:rsidR="00C232FA" w:rsidRPr="0071782F">
        <w:rPr>
          <w:lang w:val="fr-CH"/>
        </w:rPr>
        <w:t> </w:t>
      </w:r>
      <w:r w:rsidRPr="0071782F">
        <w:rPr>
          <w:lang w:val="fr-CH"/>
        </w:rPr>
        <w:t xml:space="preserve">consultations </w:t>
      </w:r>
      <w:r w:rsidR="00A3370B" w:rsidRPr="0071782F">
        <w:rPr>
          <w:lang w:val="fr-CH"/>
        </w:rPr>
        <w:t>génétiques ont été données et une formation spéciale a été dispensée à plus de 700 spé</w:t>
      </w:r>
      <w:r w:rsidRPr="0071782F">
        <w:rPr>
          <w:lang w:val="fr-CH"/>
        </w:rPr>
        <w:t>cialist</w:t>
      </w:r>
      <w:r w:rsidR="00A3370B" w:rsidRPr="0071782F">
        <w:rPr>
          <w:lang w:val="fr-CH"/>
        </w:rPr>
        <w:t>e</w:t>
      </w:r>
      <w:r w:rsidRPr="0071782F">
        <w:rPr>
          <w:lang w:val="fr-CH"/>
        </w:rPr>
        <w:t>s.</w:t>
      </w:r>
    </w:p>
    <w:p w:rsidR="003A6D8B" w:rsidRPr="0071782F" w:rsidRDefault="003A6D8B" w:rsidP="00B92D7E">
      <w:pPr>
        <w:pStyle w:val="H23G"/>
        <w:rPr>
          <w:lang w:val="fr-CH"/>
        </w:rPr>
      </w:pPr>
      <w:r w:rsidRPr="0071782F">
        <w:rPr>
          <w:lang w:val="fr-CH"/>
        </w:rPr>
        <w:tab/>
      </w:r>
      <w:r w:rsidRPr="0071782F">
        <w:rPr>
          <w:lang w:val="fr-CH"/>
        </w:rPr>
        <w:tab/>
      </w:r>
      <w:r w:rsidR="00A3370B" w:rsidRPr="0071782F">
        <w:rPr>
          <w:lang w:val="fr-CH"/>
        </w:rPr>
        <w:t xml:space="preserve">Tableau comparatif des données sur le </w:t>
      </w:r>
      <w:r w:rsidRPr="0071782F">
        <w:rPr>
          <w:lang w:val="fr-CH"/>
        </w:rPr>
        <w:t>program</w:t>
      </w:r>
      <w:r w:rsidR="00A3370B" w:rsidRPr="0071782F">
        <w:rPr>
          <w:lang w:val="fr-CH"/>
        </w:rPr>
        <w:t>me</w:t>
      </w:r>
      <w:r w:rsidRPr="0071782F">
        <w:rPr>
          <w:lang w:val="fr-CH"/>
        </w:rPr>
        <w:t xml:space="preserve"> </w:t>
      </w:r>
      <w:r w:rsidR="00A3370B" w:rsidRPr="0071782F">
        <w:rPr>
          <w:lang w:val="fr-CH"/>
        </w:rPr>
        <w:t xml:space="preserve">de </w:t>
      </w:r>
      <w:r w:rsidRPr="0071782F">
        <w:rPr>
          <w:lang w:val="fr-CH"/>
        </w:rPr>
        <w:t>pr</w:t>
      </w:r>
      <w:r w:rsidR="00A3370B" w:rsidRPr="0071782F">
        <w:rPr>
          <w:lang w:val="fr-CH"/>
        </w:rPr>
        <w:t>é</w:t>
      </w:r>
      <w:r w:rsidRPr="0071782F">
        <w:rPr>
          <w:lang w:val="fr-CH"/>
        </w:rPr>
        <w:t xml:space="preserve">vention </w:t>
      </w:r>
      <w:r w:rsidR="00A3370B" w:rsidRPr="0071782F">
        <w:rPr>
          <w:lang w:val="fr-CH"/>
        </w:rPr>
        <w:t xml:space="preserve">des handicaps découlant de troubles génétiques </w:t>
      </w:r>
      <w:r w:rsidRPr="0071782F">
        <w:rPr>
          <w:lang w:val="fr-CH"/>
        </w:rPr>
        <w:t>(2008</w:t>
      </w:r>
      <w:r w:rsidR="00A3370B" w:rsidRPr="0071782F">
        <w:rPr>
          <w:lang w:val="fr-CH"/>
        </w:rPr>
        <w:t xml:space="preserve"> et </w:t>
      </w:r>
      <w:r w:rsidRPr="0071782F">
        <w:rPr>
          <w:lang w:val="fr-CH"/>
        </w:rPr>
        <w:t>2009)</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993"/>
        <w:gridCol w:w="1701"/>
        <w:gridCol w:w="850"/>
        <w:gridCol w:w="851"/>
        <w:gridCol w:w="1985"/>
        <w:gridCol w:w="850"/>
        <w:gridCol w:w="1275"/>
        <w:tblGridChange w:id="26">
          <w:tblGrid>
            <w:gridCol w:w="993"/>
            <w:gridCol w:w="1701"/>
            <w:gridCol w:w="850"/>
            <w:gridCol w:w="851"/>
            <w:gridCol w:w="1985"/>
            <w:gridCol w:w="850"/>
            <w:gridCol w:w="1275"/>
          </w:tblGrid>
        </w:tblGridChange>
      </w:tblGrid>
      <w:tr w:rsidR="003A6D8B" w:rsidRPr="0071782F">
        <w:trPr>
          <w:tblHeader/>
        </w:trPr>
        <w:tc>
          <w:tcPr>
            <w:tcW w:w="993" w:type="dxa"/>
            <w:tcBorders>
              <w:top w:val="single" w:sz="4" w:space="0" w:color="auto"/>
              <w:bottom w:val="single" w:sz="12" w:space="0" w:color="auto"/>
            </w:tcBorders>
            <w:shd w:val="clear" w:color="000000" w:fill="auto"/>
            <w:vAlign w:val="bottom"/>
          </w:tcPr>
          <w:p w:rsidR="003A6D8B" w:rsidRPr="0071782F" w:rsidRDefault="00E70E28" w:rsidP="00B92D7E">
            <w:pPr>
              <w:keepNext/>
              <w:suppressAutoHyphens w:val="0"/>
              <w:spacing w:before="80" w:after="80" w:line="200" w:lineRule="exact"/>
              <w:rPr>
                <w:i/>
                <w:sz w:val="16"/>
                <w:lang w:val="fr-CH"/>
              </w:rPr>
            </w:pPr>
            <w:r w:rsidRPr="0071782F">
              <w:rPr>
                <w:i/>
                <w:sz w:val="16"/>
                <w:lang w:val="fr-CH"/>
              </w:rPr>
              <w:t>Année</w:t>
            </w:r>
          </w:p>
        </w:tc>
        <w:tc>
          <w:tcPr>
            <w:tcW w:w="1701" w:type="dxa"/>
            <w:tcBorders>
              <w:top w:val="single" w:sz="4" w:space="0" w:color="auto"/>
              <w:bottom w:val="single" w:sz="12" w:space="0" w:color="auto"/>
            </w:tcBorders>
            <w:shd w:val="clear" w:color="000000" w:fill="auto"/>
            <w:vAlign w:val="bottom"/>
          </w:tcPr>
          <w:p w:rsidR="003A6D8B" w:rsidRPr="0071782F" w:rsidRDefault="003A6D8B" w:rsidP="00B92D7E">
            <w:pPr>
              <w:keepNext/>
              <w:suppressAutoHyphens w:val="0"/>
              <w:spacing w:before="80" w:after="80" w:line="200" w:lineRule="exact"/>
              <w:jc w:val="right"/>
              <w:rPr>
                <w:i/>
                <w:sz w:val="16"/>
                <w:lang w:val="fr-CH"/>
              </w:rPr>
            </w:pPr>
            <w:r w:rsidRPr="0071782F">
              <w:rPr>
                <w:i/>
                <w:sz w:val="16"/>
                <w:lang w:val="fr-CH"/>
              </w:rPr>
              <w:t>No</w:t>
            </w:r>
            <w:r w:rsidR="00E70E28" w:rsidRPr="0071782F">
              <w:rPr>
                <w:i/>
                <w:sz w:val="16"/>
                <w:lang w:val="fr-CH"/>
              </w:rPr>
              <w:t xml:space="preserve">mbre de centres de consultations génétiques </w:t>
            </w:r>
          </w:p>
        </w:tc>
        <w:tc>
          <w:tcPr>
            <w:tcW w:w="850" w:type="dxa"/>
            <w:tcBorders>
              <w:top w:val="single" w:sz="4" w:space="0" w:color="auto"/>
              <w:bottom w:val="single" w:sz="12" w:space="0" w:color="auto"/>
            </w:tcBorders>
            <w:shd w:val="clear" w:color="000000" w:fill="auto"/>
            <w:vAlign w:val="bottom"/>
          </w:tcPr>
          <w:p w:rsidR="003A6D8B" w:rsidRPr="0071782F" w:rsidRDefault="00E70E28" w:rsidP="00B92D7E">
            <w:pPr>
              <w:keepNext/>
              <w:suppressAutoHyphens w:val="0"/>
              <w:spacing w:before="80" w:after="80" w:line="200" w:lineRule="exact"/>
              <w:jc w:val="right"/>
              <w:rPr>
                <w:i/>
                <w:sz w:val="16"/>
                <w:lang w:val="fr-CH"/>
              </w:rPr>
            </w:pPr>
            <w:r w:rsidRPr="0071782F">
              <w:rPr>
                <w:i/>
                <w:sz w:val="16"/>
                <w:lang w:val="fr-CH"/>
              </w:rPr>
              <w:t>Centres publics</w:t>
            </w:r>
          </w:p>
        </w:tc>
        <w:tc>
          <w:tcPr>
            <w:tcW w:w="851" w:type="dxa"/>
            <w:tcBorders>
              <w:top w:val="single" w:sz="4" w:space="0" w:color="auto"/>
              <w:bottom w:val="single" w:sz="12" w:space="0" w:color="auto"/>
            </w:tcBorders>
            <w:shd w:val="clear" w:color="000000" w:fill="auto"/>
            <w:vAlign w:val="bottom"/>
          </w:tcPr>
          <w:p w:rsidR="003A6D8B" w:rsidRPr="0071782F" w:rsidRDefault="00E70E28" w:rsidP="00B92D7E">
            <w:pPr>
              <w:keepNext/>
              <w:suppressAutoHyphens w:val="0"/>
              <w:spacing w:before="80" w:after="80" w:line="200" w:lineRule="exact"/>
              <w:jc w:val="right"/>
              <w:rPr>
                <w:i/>
                <w:sz w:val="16"/>
                <w:lang w:val="fr-CH"/>
              </w:rPr>
            </w:pPr>
            <w:r w:rsidRPr="0071782F">
              <w:rPr>
                <w:i/>
                <w:sz w:val="16"/>
                <w:lang w:val="fr-CH"/>
              </w:rPr>
              <w:t>Centres privés</w:t>
            </w:r>
          </w:p>
        </w:tc>
        <w:tc>
          <w:tcPr>
            <w:tcW w:w="1985" w:type="dxa"/>
            <w:tcBorders>
              <w:top w:val="single" w:sz="4" w:space="0" w:color="auto"/>
              <w:bottom w:val="single" w:sz="12" w:space="0" w:color="auto"/>
            </w:tcBorders>
            <w:shd w:val="clear" w:color="000000" w:fill="auto"/>
            <w:vAlign w:val="bottom"/>
          </w:tcPr>
          <w:p w:rsidR="003A6D8B" w:rsidRPr="0071782F" w:rsidRDefault="003A6D8B" w:rsidP="00B92D7E">
            <w:pPr>
              <w:keepNext/>
              <w:suppressAutoHyphens w:val="0"/>
              <w:spacing w:before="80" w:after="80" w:line="200" w:lineRule="exact"/>
              <w:jc w:val="right"/>
              <w:rPr>
                <w:i/>
                <w:sz w:val="16"/>
                <w:lang w:val="fr-CH"/>
              </w:rPr>
            </w:pPr>
            <w:r w:rsidRPr="0071782F">
              <w:rPr>
                <w:i/>
                <w:sz w:val="16"/>
                <w:lang w:val="fr-CH"/>
              </w:rPr>
              <w:t>No</w:t>
            </w:r>
            <w:r w:rsidR="00E70E28" w:rsidRPr="0071782F">
              <w:rPr>
                <w:i/>
                <w:sz w:val="16"/>
                <w:lang w:val="fr-CH"/>
              </w:rPr>
              <w:t xml:space="preserve">mbre de spécialistes qualifiés </w:t>
            </w:r>
          </w:p>
        </w:tc>
        <w:tc>
          <w:tcPr>
            <w:tcW w:w="2125" w:type="dxa"/>
            <w:gridSpan w:val="2"/>
            <w:tcBorders>
              <w:top w:val="single" w:sz="4" w:space="0" w:color="auto"/>
              <w:bottom w:val="single" w:sz="12" w:space="0" w:color="auto"/>
            </w:tcBorders>
            <w:shd w:val="clear" w:color="000000" w:fill="auto"/>
            <w:vAlign w:val="bottom"/>
          </w:tcPr>
          <w:p w:rsidR="003A6D8B" w:rsidRPr="0071782F" w:rsidRDefault="00E70E28" w:rsidP="00B92D7E">
            <w:pPr>
              <w:keepNext/>
              <w:suppressAutoHyphens w:val="0"/>
              <w:spacing w:before="80" w:after="80" w:line="200" w:lineRule="exact"/>
              <w:jc w:val="right"/>
              <w:rPr>
                <w:i/>
                <w:sz w:val="16"/>
                <w:lang w:val="fr-CH"/>
              </w:rPr>
            </w:pPr>
            <w:r w:rsidRPr="0071782F">
              <w:rPr>
                <w:i/>
                <w:sz w:val="16"/>
                <w:lang w:val="fr-CH"/>
              </w:rPr>
              <w:t>Nombre d’utilisateurs</w:t>
            </w:r>
            <w:r w:rsidR="003A6D8B" w:rsidRPr="0071782F">
              <w:rPr>
                <w:i/>
                <w:sz w:val="16"/>
                <w:lang w:val="fr-CH"/>
              </w:rPr>
              <w:t xml:space="preserve"> </w:t>
            </w:r>
          </w:p>
        </w:tc>
      </w:tr>
      <w:tr w:rsidR="003A6D8B" w:rsidRPr="0071782F">
        <w:tc>
          <w:tcPr>
            <w:tcW w:w="993" w:type="dxa"/>
            <w:tcBorders>
              <w:top w:val="single" w:sz="12" w:space="0" w:color="auto"/>
            </w:tcBorders>
            <w:shd w:val="clear" w:color="000000" w:fill="auto"/>
            <w:vAlign w:val="bottom"/>
          </w:tcPr>
          <w:p w:rsidR="003A6D8B" w:rsidRPr="0071782F" w:rsidRDefault="003A6D8B" w:rsidP="00B92D7E">
            <w:pPr>
              <w:keepNext/>
              <w:suppressAutoHyphens w:val="0"/>
              <w:spacing w:before="40" w:after="40" w:line="220" w:lineRule="exact"/>
              <w:rPr>
                <w:sz w:val="18"/>
                <w:lang w:val="fr-CH"/>
              </w:rPr>
            </w:pPr>
            <w:r w:rsidRPr="0071782F">
              <w:rPr>
                <w:sz w:val="18"/>
                <w:lang w:val="fr-CH"/>
              </w:rPr>
              <w:t>1999</w:t>
            </w:r>
            <w:r w:rsidR="001601C5">
              <w:rPr>
                <w:sz w:val="18"/>
                <w:lang w:val="fr-CH"/>
              </w:rPr>
              <w:t>-</w:t>
            </w:r>
            <w:r w:rsidRPr="0071782F">
              <w:rPr>
                <w:sz w:val="18"/>
                <w:lang w:val="fr-CH"/>
              </w:rPr>
              <w:t>2000</w:t>
            </w:r>
          </w:p>
        </w:tc>
        <w:tc>
          <w:tcPr>
            <w:tcW w:w="1701" w:type="dxa"/>
            <w:tcBorders>
              <w:top w:val="single" w:sz="12" w:space="0" w:color="auto"/>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68</w:t>
            </w:r>
          </w:p>
        </w:tc>
        <w:tc>
          <w:tcPr>
            <w:tcW w:w="850" w:type="dxa"/>
            <w:tcBorders>
              <w:top w:val="single" w:sz="12" w:space="0" w:color="auto"/>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X</w:t>
            </w:r>
          </w:p>
        </w:tc>
        <w:tc>
          <w:tcPr>
            <w:tcW w:w="851" w:type="dxa"/>
            <w:tcBorders>
              <w:top w:val="single" w:sz="12" w:space="0" w:color="auto"/>
            </w:tcBorders>
            <w:shd w:val="clear" w:color="000000" w:fill="auto"/>
            <w:vAlign w:val="bottom"/>
          </w:tcPr>
          <w:p w:rsidR="003A6D8B" w:rsidRPr="0071782F" w:rsidRDefault="001D1475" w:rsidP="00B92D7E">
            <w:pPr>
              <w:keepNext/>
              <w:suppressAutoHyphens w:val="0"/>
              <w:spacing w:before="40" w:after="40" w:line="220" w:lineRule="exact"/>
              <w:jc w:val="right"/>
              <w:rPr>
                <w:sz w:val="18"/>
                <w:lang w:val="fr-CH"/>
              </w:rPr>
            </w:pPr>
            <w:r w:rsidRPr="0071782F">
              <w:rPr>
                <w:sz w:val="18"/>
                <w:lang w:val="fr-CH"/>
              </w:rPr>
              <w:t>–</w:t>
            </w:r>
          </w:p>
        </w:tc>
        <w:tc>
          <w:tcPr>
            <w:tcW w:w="1985" w:type="dxa"/>
            <w:tcBorders>
              <w:top w:val="single" w:sz="12" w:space="0" w:color="auto"/>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65</w:t>
            </w:r>
          </w:p>
        </w:tc>
        <w:tc>
          <w:tcPr>
            <w:tcW w:w="2125" w:type="dxa"/>
            <w:gridSpan w:val="2"/>
            <w:tcBorders>
              <w:top w:val="single" w:sz="12" w:space="0" w:color="auto"/>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p>
        </w:tc>
      </w:tr>
      <w:tr w:rsidR="003A6D8B" w:rsidRPr="0071782F">
        <w:tc>
          <w:tcPr>
            <w:tcW w:w="993" w:type="dxa"/>
            <w:shd w:val="clear" w:color="000000" w:fill="auto"/>
            <w:vAlign w:val="bottom"/>
          </w:tcPr>
          <w:p w:rsidR="003A6D8B" w:rsidRPr="0071782F" w:rsidRDefault="003A6D8B" w:rsidP="00B92D7E">
            <w:pPr>
              <w:keepNext/>
              <w:suppressAutoHyphens w:val="0"/>
              <w:spacing w:before="40" w:after="40" w:line="220" w:lineRule="exact"/>
              <w:rPr>
                <w:sz w:val="18"/>
                <w:lang w:val="fr-CH"/>
              </w:rPr>
            </w:pPr>
            <w:r w:rsidRPr="0071782F">
              <w:rPr>
                <w:sz w:val="18"/>
                <w:lang w:val="fr-CH"/>
              </w:rPr>
              <w:t>2000</w:t>
            </w:r>
            <w:r w:rsidR="001601C5">
              <w:rPr>
                <w:sz w:val="18"/>
                <w:lang w:val="fr-CH"/>
              </w:rPr>
              <w:t>-</w:t>
            </w:r>
            <w:r w:rsidRPr="0071782F">
              <w:rPr>
                <w:sz w:val="18"/>
                <w:lang w:val="fr-CH"/>
              </w:rPr>
              <w:t>2001</w:t>
            </w:r>
          </w:p>
        </w:tc>
        <w:tc>
          <w:tcPr>
            <w:tcW w:w="1701" w:type="dxa"/>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70</w:t>
            </w:r>
          </w:p>
        </w:tc>
        <w:tc>
          <w:tcPr>
            <w:tcW w:w="850" w:type="dxa"/>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X</w:t>
            </w:r>
          </w:p>
        </w:tc>
        <w:tc>
          <w:tcPr>
            <w:tcW w:w="851" w:type="dxa"/>
            <w:shd w:val="clear" w:color="000000" w:fill="auto"/>
            <w:vAlign w:val="bottom"/>
          </w:tcPr>
          <w:p w:rsidR="003A6D8B" w:rsidRPr="0071782F" w:rsidRDefault="001D1475" w:rsidP="00B92D7E">
            <w:pPr>
              <w:keepNext/>
              <w:suppressAutoHyphens w:val="0"/>
              <w:spacing w:before="40" w:after="40" w:line="220" w:lineRule="exact"/>
              <w:jc w:val="right"/>
              <w:rPr>
                <w:sz w:val="18"/>
                <w:lang w:val="fr-CH"/>
              </w:rPr>
            </w:pPr>
            <w:r w:rsidRPr="0071782F">
              <w:rPr>
                <w:sz w:val="18"/>
                <w:lang w:val="fr-CH"/>
              </w:rPr>
              <w:t>–</w:t>
            </w:r>
          </w:p>
        </w:tc>
        <w:tc>
          <w:tcPr>
            <w:tcW w:w="1985" w:type="dxa"/>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50</w:t>
            </w:r>
          </w:p>
        </w:tc>
        <w:tc>
          <w:tcPr>
            <w:tcW w:w="2125" w:type="dxa"/>
            <w:gridSpan w:val="2"/>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44 000 (1998</w:t>
            </w:r>
            <w:r w:rsidR="001601C5">
              <w:rPr>
                <w:sz w:val="18"/>
                <w:lang w:val="fr-CH"/>
              </w:rPr>
              <w:t>-</w:t>
            </w:r>
            <w:r w:rsidRPr="0071782F">
              <w:rPr>
                <w:sz w:val="18"/>
                <w:lang w:val="fr-CH"/>
              </w:rPr>
              <w:t>2001)</w:t>
            </w:r>
          </w:p>
        </w:tc>
      </w:tr>
      <w:tr w:rsidR="003A6D8B" w:rsidRPr="0071782F">
        <w:tc>
          <w:tcPr>
            <w:tcW w:w="993" w:type="dxa"/>
            <w:tcBorders>
              <w:bottom w:val="nil"/>
            </w:tcBorders>
            <w:shd w:val="clear" w:color="000000" w:fill="auto"/>
            <w:vAlign w:val="bottom"/>
          </w:tcPr>
          <w:p w:rsidR="003A6D8B" w:rsidRPr="0071782F" w:rsidRDefault="003A6D8B" w:rsidP="00B92D7E">
            <w:pPr>
              <w:keepNext/>
              <w:suppressAutoHyphens w:val="0"/>
              <w:spacing w:before="40" w:after="40" w:line="220" w:lineRule="exact"/>
              <w:rPr>
                <w:sz w:val="18"/>
                <w:lang w:val="fr-CH"/>
              </w:rPr>
            </w:pPr>
            <w:r w:rsidRPr="0071782F">
              <w:rPr>
                <w:sz w:val="18"/>
                <w:lang w:val="fr-CH"/>
              </w:rPr>
              <w:t>2001</w:t>
            </w:r>
            <w:r w:rsidR="001601C5">
              <w:rPr>
                <w:sz w:val="18"/>
                <w:lang w:val="fr-CH"/>
              </w:rPr>
              <w:t>-</w:t>
            </w:r>
            <w:r w:rsidRPr="0071782F">
              <w:rPr>
                <w:sz w:val="18"/>
                <w:lang w:val="fr-CH"/>
              </w:rPr>
              <w:t>2002</w:t>
            </w:r>
          </w:p>
        </w:tc>
        <w:tc>
          <w:tcPr>
            <w:tcW w:w="1701" w:type="dxa"/>
            <w:tcBorders>
              <w:bottom w:val="nil"/>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p>
        </w:tc>
        <w:tc>
          <w:tcPr>
            <w:tcW w:w="850" w:type="dxa"/>
            <w:tcBorders>
              <w:bottom w:val="nil"/>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p>
        </w:tc>
        <w:tc>
          <w:tcPr>
            <w:tcW w:w="851" w:type="dxa"/>
            <w:tcBorders>
              <w:bottom w:val="nil"/>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p>
        </w:tc>
        <w:tc>
          <w:tcPr>
            <w:tcW w:w="1985" w:type="dxa"/>
            <w:tcBorders>
              <w:bottom w:val="nil"/>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193</w:t>
            </w:r>
          </w:p>
        </w:tc>
        <w:tc>
          <w:tcPr>
            <w:tcW w:w="2125" w:type="dxa"/>
            <w:gridSpan w:val="2"/>
            <w:tcBorders>
              <w:bottom w:val="nil"/>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27 000</w:t>
            </w:r>
          </w:p>
        </w:tc>
      </w:tr>
      <w:tr w:rsidR="003A6D8B" w:rsidRPr="0071782F">
        <w:tc>
          <w:tcPr>
            <w:tcW w:w="993" w:type="dxa"/>
            <w:tcBorders>
              <w:top w:val="nil"/>
              <w:bottom w:val="nil"/>
            </w:tcBorders>
            <w:shd w:val="clear" w:color="000000" w:fill="auto"/>
            <w:vAlign w:val="bottom"/>
          </w:tcPr>
          <w:p w:rsidR="003A6D8B" w:rsidRPr="0071782F" w:rsidRDefault="003A6D8B" w:rsidP="00B92D7E">
            <w:pPr>
              <w:keepNext/>
              <w:suppressAutoHyphens w:val="0"/>
              <w:spacing w:before="40" w:after="40" w:line="220" w:lineRule="exact"/>
              <w:rPr>
                <w:sz w:val="18"/>
                <w:lang w:val="fr-CH"/>
              </w:rPr>
            </w:pPr>
            <w:r w:rsidRPr="0071782F">
              <w:rPr>
                <w:sz w:val="18"/>
                <w:lang w:val="fr-CH"/>
              </w:rPr>
              <w:t>2002</w:t>
            </w:r>
            <w:r w:rsidR="001601C5">
              <w:rPr>
                <w:sz w:val="18"/>
                <w:lang w:val="fr-CH"/>
              </w:rPr>
              <w:t>-</w:t>
            </w:r>
            <w:r w:rsidRPr="0071782F">
              <w:rPr>
                <w:sz w:val="18"/>
                <w:lang w:val="fr-CH"/>
              </w:rPr>
              <w:t>2003</w:t>
            </w:r>
          </w:p>
        </w:tc>
        <w:tc>
          <w:tcPr>
            <w:tcW w:w="1701" w:type="dxa"/>
            <w:tcBorders>
              <w:top w:val="nil"/>
              <w:bottom w:val="nil"/>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70</w:t>
            </w:r>
          </w:p>
        </w:tc>
        <w:tc>
          <w:tcPr>
            <w:tcW w:w="850" w:type="dxa"/>
            <w:tcBorders>
              <w:top w:val="nil"/>
              <w:bottom w:val="nil"/>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p>
        </w:tc>
        <w:tc>
          <w:tcPr>
            <w:tcW w:w="851" w:type="dxa"/>
            <w:tcBorders>
              <w:top w:val="nil"/>
              <w:bottom w:val="nil"/>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p>
        </w:tc>
        <w:tc>
          <w:tcPr>
            <w:tcW w:w="1985" w:type="dxa"/>
            <w:tcBorders>
              <w:top w:val="nil"/>
              <w:bottom w:val="nil"/>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120</w:t>
            </w:r>
          </w:p>
        </w:tc>
        <w:tc>
          <w:tcPr>
            <w:tcW w:w="2125" w:type="dxa"/>
            <w:gridSpan w:val="2"/>
            <w:tcBorders>
              <w:top w:val="nil"/>
              <w:bottom w:val="nil"/>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28 000</w:t>
            </w:r>
          </w:p>
        </w:tc>
      </w:tr>
      <w:tr w:rsidR="003A6D8B" w:rsidRPr="0071782F">
        <w:tc>
          <w:tcPr>
            <w:tcW w:w="993" w:type="dxa"/>
            <w:tcBorders>
              <w:top w:val="nil"/>
            </w:tcBorders>
            <w:shd w:val="clear" w:color="000000" w:fill="auto"/>
            <w:vAlign w:val="bottom"/>
          </w:tcPr>
          <w:p w:rsidR="003A6D8B" w:rsidRPr="0071782F" w:rsidRDefault="003A6D8B" w:rsidP="00B92D7E">
            <w:pPr>
              <w:keepNext/>
              <w:suppressAutoHyphens w:val="0"/>
              <w:spacing w:before="40" w:after="40" w:line="220" w:lineRule="exact"/>
              <w:rPr>
                <w:sz w:val="18"/>
                <w:lang w:val="fr-CH"/>
              </w:rPr>
            </w:pPr>
            <w:r w:rsidRPr="0071782F">
              <w:rPr>
                <w:sz w:val="18"/>
                <w:lang w:val="fr-CH"/>
              </w:rPr>
              <w:t>2003</w:t>
            </w:r>
          </w:p>
        </w:tc>
        <w:tc>
          <w:tcPr>
            <w:tcW w:w="1701" w:type="dxa"/>
            <w:tcBorders>
              <w:top w:val="nil"/>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107</w:t>
            </w:r>
          </w:p>
        </w:tc>
        <w:tc>
          <w:tcPr>
            <w:tcW w:w="850" w:type="dxa"/>
            <w:tcBorders>
              <w:top w:val="nil"/>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57</w:t>
            </w:r>
          </w:p>
        </w:tc>
        <w:tc>
          <w:tcPr>
            <w:tcW w:w="851" w:type="dxa"/>
            <w:tcBorders>
              <w:top w:val="nil"/>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50</w:t>
            </w:r>
          </w:p>
        </w:tc>
        <w:tc>
          <w:tcPr>
            <w:tcW w:w="1985" w:type="dxa"/>
            <w:tcBorders>
              <w:top w:val="nil"/>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90</w:t>
            </w:r>
          </w:p>
        </w:tc>
        <w:tc>
          <w:tcPr>
            <w:tcW w:w="2125" w:type="dxa"/>
            <w:gridSpan w:val="2"/>
            <w:tcBorders>
              <w:top w:val="nil"/>
            </w:tcBorders>
            <w:shd w:val="clear" w:color="000000" w:fill="auto"/>
            <w:vAlign w:val="bottom"/>
          </w:tcPr>
          <w:p w:rsidR="003A6D8B" w:rsidRPr="0071782F" w:rsidRDefault="003A6D8B" w:rsidP="00B92D7E">
            <w:pPr>
              <w:keepNext/>
              <w:suppressAutoHyphens w:val="0"/>
              <w:spacing w:before="40" w:after="40" w:line="220" w:lineRule="exact"/>
              <w:jc w:val="right"/>
              <w:rPr>
                <w:sz w:val="18"/>
                <w:lang w:val="fr-CH"/>
              </w:rPr>
            </w:pPr>
            <w:r w:rsidRPr="0071782F">
              <w:rPr>
                <w:sz w:val="18"/>
                <w:lang w:val="fr-CH"/>
              </w:rPr>
              <w:t>25 000</w:t>
            </w:r>
          </w:p>
        </w:tc>
      </w:tr>
      <w:tr w:rsidR="003A6D8B" w:rsidRPr="0071782F">
        <w:tc>
          <w:tcPr>
            <w:tcW w:w="993" w:type="dxa"/>
            <w:vMerge w:val="restart"/>
            <w:shd w:val="clear" w:color="000000" w:fill="auto"/>
          </w:tcPr>
          <w:p w:rsidR="003A6D8B" w:rsidRPr="0071782F" w:rsidRDefault="003A6D8B" w:rsidP="00C232FA">
            <w:pPr>
              <w:suppressAutoHyphens w:val="0"/>
              <w:spacing w:before="40" w:after="40" w:line="220" w:lineRule="exact"/>
              <w:rPr>
                <w:sz w:val="18"/>
                <w:lang w:val="fr-CH"/>
              </w:rPr>
            </w:pPr>
            <w:r w:rsidRPr="0071782F">
              <w:rPr>
                <w:sz w:val="18"/>
                <w:lang w:val="fr-CH"/>
              </w:rPr>
              <w:t>2004</w:t>
            </w:r>
          </w:p>
        </w:tc>
        <w:tc>
          <w:tcPr>
            <w:tcW w:w="1701" w:type="dxa"/>
            <w:vMerge w:val="restart"/>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103</w:t>
            </w:r>
          </w:p>
        </w:tc>
        <w:tc>
          <w:tcPr>
            <w:tcW w:w="850" w:type="dxa"/>
            <w:vMerge w:val="restart"/>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53</w:t>
            </w:r>
          </w:p>
        </w:tc>
        <w:tc>
          <w:tcPr>
            <w:tcW w:w="851" w:type="dxa"/>
            <w:vMerge w:val="restart"/>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50</w:t>
            </w:r>
          </w:p>
        </w:tc>
        <w:tc>
          <w:tcPr>
            <w:tcW w:w="1985" w:type="dxa"/>
            <w:vMerge w:val="restart"/>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110</w:t>
            </w:r>
          </w:p>
        </w:tc>
        <w:tc>
          <w:tcPr>
            <w:tcW w:w="850" w:type="dxa"/>
            <w:vMerge w:val="restart"/>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36 833</w:t>
            </w:r>
          </w:p>
        </w:tc>
        <w:tc>
          <w:tcPr>
            <w:tcW w:w="1275" w:type="dxa"/>
            <w:shd w:val="clear" w:color="000000" w:fill="auto"/>
            <w:vAlign w:val="bottom"/>
          </w:tcPr>
          <w:p w:rsidR="003A6D8B" w:rsidRPr="0071782F" w:rsidRDefault="00E70E28" w:rsidP="001601C5">
            <w:pPr>
              <w:suppressAutoHyphens w:val="0"/>
              <w:spacing w:before="40" w:after="40" w:line="220" w:lineRule="exact"/>
              <w:jc w:val="right"/>
              <w:rPr>
                <w:sz w:val="18"/>
                <w:lang w:val="fr-CH"/>
              </w:rPr>
            </w:pPr>
            <w:r w:rsidRPr="0071782F">
              <w:rPr>
                <w:sz w:val="18"/>
                <w:lang w:val="fr-CH"/>
              </w:rPr>
              <w:t>Publics</w:t>
            </w:r>
            <w:r w:rsidR="003A6D8B" w:rsidRPr="0071782F">
              <w:rPr>
                <w:sz w:val="18"/>
                <w:lang w:val="fr-CH"/>
              </w:rPr>
              <w:t xml:space="preserve"> 24 838</w:t>
            </w:r>
          </w:p>
        </w:tc>
      </w:tr>
      <w:tr w:rsidR="003A6D8B" w:rsidRPr="0071782F">
        <w:tc>
          <w:tcPr>
            <w:tcW w:w="993" w:type="dxa"/>
            <w:vMerge/>
            <w:tcBorders>
              <w:bottom w:val="nil"/>
            </w:tcBorders>
            <w:shd w:val="clear" w:color="000000" w:fill="auto"/>
          </w:tcPr>
          <w:p w:rsidR="003A6D8B" w:rsidRPr="0071782F" w:rsidRDefault="003A6D8B" w:rsidP="00C232FA">
            <w:pPr>
              <w:suppressAutoHyphens w:val="0"/>
              <w:spacing w:before="40" w:after="40" w:line="220" w:lineRule="exact"/>
              <w:rPr>
                <w:sz w:val="18"/>
                <w:lang w:val="fr-CH"/>
              </w:rPr>
            </w:pPr>
          </w:p>
        </w:tc>
        <w:tc>
          <w:tcPr>
            <w:tcW w:w="1701" w:type="dxa"/>
            <w:vMerge/>
            <w:tcBorders>
              <w:bottom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c>
          <w:tcPr>
            <w:tcW w:w="850" w:type="dxa"/>
            <w:vMerge/>
            <w:tcBorders>
              <w:bottom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c>
          <w:tcPr>
            <w:tcW w:w="851" w:type="dxa"/>
            <w:vMerge/>
            <w:tcBorders>
              <w:bottom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c>
          <w:tcPr>
            <w:tcW w:w="1985" w:type="dxa"/>
            <w:vMerge/>
            <w:tcBorders>
              <w:bottom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c>
          <w:tcPr>
            <w:tcW w:w="850" w:type="dxa"/>
            <w:vMerge/>
            <w:tcBorders>
              <w:bottom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c>
          <w:tcPr>
            <w:tcW w:w="1275" w:type="dxa"/>
            <w:tcBorders>
              <w:bottom w:val="nil"/>
            </w:tcBorders>
            <w:shd w:val="clear" w:color="000000" w:fill="auto"/>
            <w:vAlign w:val="bottom"/>
          </w:tcPr>
          <w:p w:rsidR="003A6D8B" w:rsidRPr="0071782F" w:rsidRDefault="003A6D8B" w:rsidP="001601C5">
            <w:pPr>
              <w:suppressAutoHyphens w:val="0"/>
              <w:spacing w:before="40" w:after="40" w:line="220" w:lineRule="exact"/>
              <w:jc w:val="right"/>
              <w:rPr>
                <w:sz w:val="18"/>
                <w:lang w:val="fr-CH"/>
              </w:rPr>
            </w:pPr>
            <w:r w:rsidRPr="0071782F">
              <w:rPr>
                <w:sz w:val="18"/>
                <w:lang w:val="fr-CH"/>
              </w:rPr>
              <w:t>Priv</w:t>
            </w:r>
            <w:r w:rsidR="00E70E28" w:rsidRPr="0071782F">
              <w:rPr>
                <w:sz w:val="18"/>
                <w:lang w:val="fr-CH"/>
              </w:rPr>
              <w:t>és</w:t>
            </w:r>
            <w:r w:rsidRPr="0071782F">
              <w:rPr>
                <w:sz w:val="18"/>
                <w:lang w:val="fr-CH"/>
              </w:rPr>
              <w:t xml:space="preserve"> 11 995</w:t>
            </w:r>
          </w:p>
        </w:tc>
      </w:tr>
      <w:tr w:rsidR="003A6D8B" w:rsidRPr="0071782F">
        <w:tc>
          <w:tcPr>
            <w:tcW w:w="993" w:type="dxa"/>
            <w:vMerge w:val="restart"/>
            <w:tcBorders>
              <w:top w:val="nil"/>
              <w:bottom w:val="nil"/>
            </w:tcBorders>
            <w:shd w:val="clear" w:color="000000" w:fill="auto"/>
          </w:tcPr>
          <w:p w:rsidR="003A6D8B" w:rsidRPr="0071782F" w:rsidRDefault="003A6D8B" w:rsidP="000A419F">
            <w:pPr>
              <w:keepNext/>
              <w:suppressAutoHyphens w:val="0"/>
              <w:spacing w:before="40" w:after="40" w:line="220" w:lineRule="exact"/>
              <w:rPr>
                <w:sz w:val="18"/>
                <w:lang w:val="fr-CH"/>
              </w:rPr>
            </w:pPr>
            <w:r w:rsidRPr="0071782F">
              <w:rPr>
                <w:sz w:val="18"/>
                <w:lang w:val="fr-CH"/>
              </w:rPr>
              <w:t>2005</w:t>
            </w:r>
          </w:p>
        </w:tc>
        <w:tc>
          <w:tcPr>
            <w:tcW w:w="1701" w:type="dxa"/>
            <w:vMerge w:val="restart"/>
            <w:tcBorders>
              <w:top w:val="nil"/>
              <w:bottom w:val="nil"/>
            </w:tcBorders>
            <w:shd w:val="clear" w:color="000000" w:fill="auto"/>
            <w:vAlign w:val="bottom"/>
          </w:tcPr>
          <w:p w:rsidR="003A6D8B" w:rsidRPr="0071782F" w:rsidRDefault="003A6D8B" w:rsidP="000A419F">
            <w:pPr>
              <w:keepNext/>
              <w:suppressAutoHyphens w:val="0"/>
              <w:spacing w:before="40" w:after="40" w:line="220" w:lineRule="exact"/>
              <w:jc w:val="right"/>
              <w:rPr>
                <w:sz w:val="18"/>
                <w:lang w:val="fr-CH"/>
              </w:rPr>
            </w:pPr>
            <w:r w:rsidRPr="0071782F">
              <w:rPr>
                <w:sz w:val="18"/>
                <w:lang w:val="fr-CH"/>
              </w:rPr>
              <w:t>124</w:t>
            </w:r>
          </w:p>
        </w:tc>
        <w:tc>
          <w:tcPr>
            <w:tcW w:w="850" w:type="dxa"/>
            <w:vMerge w:val="restart"/>
            <w:tcBorders>
              <w:top w:val="nil"/>
              <w:bottom w:val="nil"/>
            </w:tcBorders>
            <w:shd w:val="clear" w:color="000000" w:fill="auto"/>
            <w:vAlign w:val="bottom"/>
          </w:tcPr>
          <w:p w:rsidR="003A6D8B" w:rsidRPr="0071782F" w:rsidRDefault="003A6D8B" w:rsidP="000A419F">
            <w:pPr>
              <w:keepNext/>
              <w:suppressAutoHyphens w:val="0"/>
              <w:spacing w:before="40" w:after="40" w:line="220" w:lineRule="exact"/>
              <w:jc w:val="right"/>
              <w:rPr>
                <w:sz w:val="18"/>
                <w:lang w:val="fr-CH"/>
              </w:rPr>
            </w:pPr>
            <w:r w:rsidRPr="0071782F">
              <w:rPr>
                <w:sz w:val="18"/>
                <w:lang w:val="fr-CH"/>
              </w:rPr>
              <w:t>52</w:t>
            </w:r>
          </w:p>
        </w:tc>
        <w:tc>
          <w:tcPr>
            <w:tcW w:w="851" w:type="dxa"/>
            <w:vMerge w:val="restart"/>
            <w:tcBorders>
              <w:top w:val="nil"/>
              <w:bottom w:val="nil"/>
            </w:tcBorders>
            <w:shd w:val="clear" w:color="000000" w:fill="auto"/>
            <w:vAlign w:val="bottom"/>
          </w:tcPr>
          <w:p w:rsidR="003A6D8B" w:rsidRPr="0071782F" w:rsidRDefault="003A6D8B" w:rsidP="000A419F">
            <w:pPr>
              <w:keepNext/>
              <w:suppressAutoHyphens w:val="0"/>
              <w:spacing w:before="40" w:after="40" w:line="220" w:lineRule="exact"/>
              <w:jc w:val="right"/>
              <w:rPr>
                <w:sz w:val="18"/>
                <w:lang w:val="fr-CH"/>
              </w:rPr>
            </w:pPr>
            <w:r w:rsidRPr="0071782F">
              <w:rPr>
                <w:sz w:val="18"/>
                <w:lang w:val="fr-CH"/>
              </w:rPr>
              <w:t>72</w:t>
            </w:r>
          </w:p>
        </w:tc>
        <w:tc>
          <w:tcPr>
            <w:tcW w:w="1985" w:type="dxa"/>
            <w:vMerge w:val="restart"/>
            <w:tcBorders>
              <w:top w:val="nil"/>
              <w:bottom w:val="nil"/>
            </w:tcBorders>
            <w:shd w:val="clear" w:color="000000" w:fill="auto"/>
            <w:vAlign w:val="bottom"/>
          </w:tcPr>
          <w:p w:rsidR="003A6D8B" w:rsidRPr="0071782F" w:rsidRDefault="003A6D8B" w:rsidP="000A419F">
            <w:pPr>
              <w:keepNext/>
              <w:suppressAutoHyphens w:val="0"/>
              <w:spacing w:before="40" w:after="40" w:line="220" w:lineRule="exact"/>
              <w:jc w:val="right"/>
              <w:rPr>
                <w:sz w:val="18"/>
                <w:lang w:val="fr-CH"/>
              </w:rPr>
            </w:pPr>
          </w:p>
        </w:tc>
        <w:tc>
          <w:tcPr>
            <w:tcW w:w="850" w:type="dxa"/>
            <w:vMerge w:val="restart"/>
            <w:tcBorders>
              <w:top w:val="nil"/>
              <w:bottom w:val="nil"/>
            </w:tcBorders>
            <w:shd w:val="clear" w:color="000000" w:fill="auto"/>
            <w:vAlign w:val="bottom"/>
          </w:tcPr>
          <w:p w:rsidR="003A6D8B" w:rsidRPr="0071782F" w:rsidRDefault="003A6D8B" w:rsidP="000A419F">
            <w:pPr>
              <w:keepNext/>
              <w:suppressAutoHyphens w:val="0"/>
              <w:spacing w:before="40" w:after="40" w:line="220" w:lineRule="exact"/>
              <w:jc w:val="right"/>
              <w:rPr>
                <w:sz w:val="18"/>
                <w:lang w:val="fr-CH"/>
              </w:rPr>
            </w:pPr>
            <w:r w:rsidRPr="0071782F">
              <w:rPr>
                <w:sz w:val="18"/>
                <w:lang w:val="fr-CH"/>
              </w:rPr>
              <w:t>46 974</w:t>
            </w:r>
          </w:p>
        </w:tc>
        <w:tc>
          <w:tcPr>
            <w:tcW w:w="1275" w:type="dxa"/>
            <w:tcBorders>
              <w:top w:val="nil"/>
              <w:bottom w:val="nil"/>
            </w:tcBorders>
            <w:shd w:val="clear" w:color="000000" w:fill="auto"/>
            <w:vAlign w:val="bottom"/>
          </w:tcPr>
          <w:p w:rsidR="003A6D8B" w:rsidRPr="0071782F" w:rsidRDefault="00E70E28" w:rsidP="001601C5">
            <w:pPr>
              <w:keepNext/>
              <w:suppressAutoHyphens w:val="0"/>
              <w:spacing w:before="40" w:after="40" w:line="220" w:lineRule="exact"/>
              <w:jc w:val="right"/>
              <w:rPr>
                <w:sz w:val="18"/>
                <w:lang w:val="fr-CH"/>
              </w:rPr>
            </w:pPr>
            <w:r w:rsidRPr="0071782F">
              <w:rPr>
                <w:sz w:val="18"/>
                <w:lang w:val="fr-CH"/>
              </w:rPr>
              <w:t>Publics</w:t>
            </w:r>
            <w:r w:rsidR="003A6D8B" w:rsidRPr="0071782F">
              <w:rPr>
                <w:sz w:val="18"/>
                <w:lang w:val="fr-CH"/>
              </w:rPr>
              <w:t xml:space="preserve"> 26 972</w:t>
            </w:r>
          </w:p>
        </w:tc>
      </w:tr>
      <w:tr w:rsidR="003A6D8B" w:rsidRPr="0071782F">
        <w:tc>
          <w:tcPr>
            <w:tcW w:w="993" w:type="dxa"/>
            <w:vMerge/>
            <w:tcBorders>
              <w:top w:val="nil"/>
              <w:bottom w:val="nil"/>
            </w:tcBorders>
            <w:shd w:val="clear" w:color="000000" w:fill="auto"/>
            <w:vAlign w:val="center"/>
          </w:tcPr>
          <w:p w:rsidR="003A6D8B" w:rsidRPr="0071782F" w:rsidRDefault="003A6D8B" w:rsidP="00C232FA">
            <w:pPr>
              <w:suppressAutoHyphens w:val="0"/>
              <w:spacing w:before="40" w:after="40" w:line="220" w:lineRule="exact"/>
              <w:rPr>
                <w:sz w:val="18"/>
                <w:lang w:val="fr-CH"/>
              </w:rPr>
            </w:pPr>
          </w:p>
        </w:tc>
        <w:tc>
          <w:tcPr>
            <w:tcW w:w="1701" w:type="dxa"/>
            <w:vMerge/>
            <w:tcBorders>
              <w:top w:val="nil"/>
              <w:bottom w:val="nil"/>
            </w:tcBorders>
            <w:shd w:val="clear" w:color="000000" w:fill="auto"/>
            <w:vAlign w:val="center"/>
          </w:tcPr>
          <w:p w:rsidR="003A6D8B" w:rsidRPr="0071782F" w:rsidRDefault="003A6D8B" w:rsidP="00C232FA">
            <w:pPr>
              <w:suppressAutoHyphens w:val="0"/>
              <w:spacing w:before="40" w:after="40" w:line="220" w:lineRule="exact"/>
              <w:jc w:val="right"/>
              <w:rPr>
                <w:sz w:val="18"/>
                <w:lang w:val="fr-CH"/>
              </w:rPr>
            </w:pPr>
          </w:p>
        </w:tc>
        <w:tc>
          <w:tcPr>
            <w:tcW w:w="850" w:type="dxa"/>
            <w:vMerge/>
            <w:tcBorders>
              <w:top w:val="nil"/>
              <w:bottom w:val="nil"/>
            </w:tcBorders>
            <w:shd w:val="clear" w:color="000000" w:fill="auto"/>
            <w:vAlign w:val="center"/>
          </w:tcPr>
          <w:p w:rsidR="003A6D8B" w:rsidRPr="0071782F" w:rsidRDefault="003A6D8B" w:rsidP="00C232FA">
            <w:pPr>
              <w:suppressAutoHyphens w:val="0"/>
              <w:spacing w:before="40" w:after="40" w:line="220" w:lineRule="exact"/>
              <w:jc w:val="right"/>
              <w:rPr>
                <w:sz w:val="18"/>
                <w:lang w:val="fr-CH"/>
              </w:rPr>
            </w:pPr>
          </w:p>
        </w:tc>
        <w:tc>
          <w:tcPr>
            <w:tcW w:w="851" w:type="dxa"/>
            <w:vMerge/>
            <w:tcBorders>
              <w:top w:val="nil"/>
              <w:bottom w:val="nil"/>
            </w:tcBorders>
            <w:shd w:val="clear" w:color="000000" w:fill="auto"/>
            <w:vAlign w:val="center"/>
          </w:tcPr>
          <w:p w:rsidR="003A6D8B" w:rsidRPr="0071782F" w:rsidRDefault="003A6D8B" w:rsidP="00C232FA">
            <w:pPr>
              <w:suppressAutoHyphens w:val="0"/>
              <w:spacing w:before="40" w:after="40" w:line="220" w:lineRule="exact"/>
              <w:jc w:val="right"/>
              <w:rPr>
                <w:sz w:val="18"/>
                <w:lang w:val="fr-CH"/>
              </w:rPr>
            </w:pPr>
          </w:p>
        </w:tc>
        <w:tc>
          <w:tcPr>
            <w:tcW w:w="1985" w:type="dxa"/>
            <w:vMerge/>
            <w:tcBorders>
              <w:top w:val="nil"/>
              <w:bottom w:val="nil"/>
            </w:tcBorders>
            <w:shd w:val="clear" w:color="000000" w:fill="auto"/>
            <w:vAlign w:val="center"/>
          </w:tcPr>
          <w:p w:rsidR="003A6D8B" w:rsidRPr="0071782F" w:rsidRDefault="003A6D8B" w:rsidP="00C232FA">
            <w:pPr>
              <w:suppressAutoHyphens w:val="0"/>
              <w:spacing w:before="40" w:after="40" w:line="220" w:lineRule="exact"/>
              <w:jc w:val="right"/>
              <w:rPr>
                <w:sz w:val="18"/>
                <w:lang w:val="fr-CH"/>
              </w:rPr>
            </w:pPr>
          </w:p>
        </w:tc>
        <w:tc>
          <w:tcPr>
            <w:tcW w:w="850" w:type="dxa"/>
            <w:vMerge/>
            <w:tcBorders>
              <w:top w:val="nil"/>
              <w:bottom w:val="nil"/>
            </w:tcBorders>
            <w:shd w:val="clear" w:color="000000" w:fill="auto"/>
            <w:vAlign w:val="center"/>
          </w:tcPr>
          <w:p w:rsidR="003A6D8B" w:rsidRPr="0071782F" w:rsidRDefault="003A6D8B" w:rsidP="00C232FA">
            <w:pPr>
              <w:suppressAutoHyphens w:val="0"/>
              <w:spacing w:before="40" w:after="40" w:line="220" w:lineRule="exact"/>
              <w:jc w:val="right"/>
              <w:rPr>
                <w:sz w:val="18"/>
                <w:lang w:val="fr-CH"/>
              </w:rPr>
            </w:pPr>
          </w:p>
        </w:tc>
        <w:tc>
          <w:tcPr>
            <w:tcW w:w="1275" w:type="dxa"/>
            <w:tcBorders>
              <w:top w:val="nil"/>
              <w:bottom w:val="nil"/>
            </w:tcBorders>
            <w:shd w:val="clear" w:color="000000" w:fill="auto"/>
            <w:vAlign w:val="bottom"/>
          </w:tcPr>
          <w:p w:rsidR="003A6D8B" w:rsidRPr="0071782F" w:rsidRDefault="00E70E28" w:rsidP="001601C5">
            <w:pPr>
              <w:suppressAutoHyphens w:val="0"/>
              <w:spacing w:before="40" w:after="40" w:line="220" w:lineRule="exact"/>
              <w:jc w:val="right"/>
              <w:rPr>
                <w:sz w:val="18"/>
                <w:lang w:val="fr-CH"/>
              </w:rPr>
            </w:pPr>
            <w:r w:rsidRPr="0071782F">
              <w:rPr>
                <w:sz w:val="18"/>
                <w:lang w:val="fr-CH"/>
              </w:rPr>
              <w:t>Privés</w:t>
            </w:r>
            <w:r w:rsidR="003A6D8B" w:rsidRPr="0071782F">
              <w:rPr>
                <w:sz w:val="18"/>
                <w:lang w:val="fr-CH"/>
              </w:rPr>
              <w:t xml:space="preserve"> 20 002</w:t>
            </w:r>
          </w:p>
        </w:tc>
      </w:tr>
      <w:tr w:rsidR="003A6D8B" w:rsidRPr="0071782F">
        <w:tc>
          <w:tcPr>
            <w:tcW w:w="993" w:type="dxa"/>
            <w:vMerge w:val="restart"/>
            <w:tcBorders>
              <w:top w:val="nil"/>
              <w:bottom w:val="nil"/>
            </w:tcBorders>
            <w:shd w:val="clear" w:color="000000" w:fill="auto"/>
          </w:tcPr>
          <w:p w:rsidR="003A6D8B" w:rsidRPr="0071782F" w:rsidRDefault="003A6D8B" w:rsidP="00C232FA">
            <w:pPr>
              <w:suppressAutoHyphens w:val="0"/>
              <w:spacing w:before="40" w:after="40" w:line="220" w:lineRule="exact"/>
              <w:rPr>
                <w:sz w:val="18"/>
                <w:lang w:val="fr-CH"/>
              </w:rPr>
            </w:pPr>
            <w:r w:rsidRPr="0071782F">
              <w:rPr>
                <w:sz w:val="18"/>
                <w:lang w:val="fr-CH"/>
              </w:rPr>
              <w:t>2006</w:t>
            </w:r>
          </w:p>
        </w:tc>
        <w:tc>
          <w:tcPr>
            <w:tcW w:w="1701" w:type="dxa"/>
            <w:vMerge w:val="restart"/>
            <w:tcBorders>
              <w:top w:val="nil"/>
              <w:bottom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121</w:t>
            </w:r>
          </w:p>
        </w:tc>
        <w:tc>
          <w:tcPr>
            <w:tcW w:w="850" w:type="dxa"/>
            <w:vMerge w:val="restart"/>
            <w:tcBorders>
              <w:top w:val="nil"/>
              <w:bottom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52</w:t>
            </w:r>
          </w:p>
        </w:tc>
        <w:tc>
          <w:tcPr>
            <w:tcW w:w="851" w:type="dxa"/>
            <w:vMerge w:val="restart"/>
            <w:tcBorders>
              <w:top w:val="nil"/>
              <w:bottom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69</w:t>
            </w:r>
          </w:p>
        </w:tc>
        <w:tc>
          <w:tcPr>
            <w:tcW w:w="1985" w:type="dxa"/>
            <w:vMerge w:val="restart"/>
            <w:tcBorders>
              <w:top w:val="nil"/>
              <w:bottom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40</w:t>
            </w:r>
          </w:p>
        </w:tc>
        <w:tc>
          <w:tcPr>
            <w:tcW w:w="850" w:type="dxa"/>
            <w:vMerge w:val="restart"/>
            <w:tcBorders>
              <w:top w:val="nil"/>
              <w:bottom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41 358</w:t>
            </w:r>
          </w:p>
        </w:tc>
        <w:tc>
          <w:tcPr>
            <w:tcW w:w="1275" w:type="dxa"/>
            <w:tcBorders>
              <w:top w:val="nil"/>
              <w:bottom w:val="nil"/>
            </w:tcBorders>
            <w:shd w:val="clear" w:color="000000" w:fill="auto"/>
            <w:vAlign w:val="bottom"/>
          </w:tcPr>
          <w:p w:rsidR="003A6D8B" w:rsidRPr="0071782F" w:rsidRDefault="00E70E28" w:rsidP="001601C5">
            <w:pPr>
              <w:suppressAutoHyphens w:val="0"/>
              <w:spacing w:before="40" w:after="40" w:line="220" w:lineRule="exact"/>
              <w:jc w:val="right"/>
              <w:rPr>
                <w:sz w:val="18"/>
                <w:lang w:val="fr-CH"/>
              </w:rPr>
            </w:pPr>
            <w:r w:rsidRPr="0071782F">
              <w:rPr>
                <w:sz w:val="18"/>
                <w:lang w:val="fr-CH"/>
              </w:rPr>
              <w:t>Publics</w:t>
            </w:r>
            <w:r w:rsidR="003A6D8B" w:rsidRPr="0071782F">
              <w:rPr>
                <w:sz w:val="18"/>
                <w:lang w:val="fr-CH"/>
              </w:rPr>
              <w:t xml:space="preserve"> 23 484</w:t>
            </w:r>
          </w:p>
        </w:tc>
      </w:tr>
      <w:tr w:rsidR="003A6D8B" w:rsidRPr="0071782F">
        <w:tc>
          <w:tcPr>
            <w:tcW w:w="993" w:type="dxa"/>
            <w:vMerge/>
            <w:tcBorders>
              <w:top w:val="nil"/>
              <w:bottom w:val="nil"/>
            </w:tcBorders>
            <w:shd w:val="clear" w:color="000000" w:fill="auto"/>
          </w:tcPr>
          <w:p w:rsidR="003A6D8B" w:rsidRPr="0071782F" w:rsidRDefault="003A6D8B" w:rsidP="00C232FA">
            <w:pPr>
              <w:suppressAutoHyphens w:val="0"/>
              <w:spacing w:before="40" w:after="40" w:line="220" w:lineRule="exact"/>
              <w:rPr>
                <w:sz w:val="18"/>
                <w:lang w:val="fr-CH"/>
              </w:rPr>
            </w:pPr>
          </w:p>
        </w:tc>
        <w:tc>
          <w:tcPr>
            <w:tcW w:w="1701" w:type="dxa"/>
            <w:vMerge/>
            <w:tcBorders>
              <w:top w:val="nil"/>
              <w:bottom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c>
          <w:tcPr>
            <w:tcW w:w="850" w:type="dxa"/>
            <w:vMerge/>
            <w:tcBorders>
              <w:top w:val="nil"/>
              <w:bottom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c>
          <w:tcPr>
            <w:tcW w:w="851" w:type="dxa"/>
            <w:vMerge/>
            <w:tcBorders>
              <w:top w:val="nil"/>
              <w:bottom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c>
          <w:tcPr>
            <w:tcW w:w="1985" w:type="dxa"/>
            <w:vMerge/>
            <w:tcBorders>
              <w:top w:val="nil"/>
              <w:bottom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c>
          <w:tcPr>
            <w:tcW w:w="850" w:type="dxa"/>
            <w:vMerge/>
            <w:tcBorders>
              <w:top w:val="nil"/>
              <w:bottom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c>
          <w:tcPr>
            <w:tcW w:w="1275" w:type="dxa"/>
            <w:tcBorders>
              <w:top w:val="nil"/>
              <w:bottom w:val="nil"/>
            </w:tcBorders>
            <w:shd w:val="clear" w:color="000000" w:fill="auto"/>
            <w:vAlign w:val="bottom"/>
          </w:tcPr>
          <w:p w:rsidR="003A6D8B" w:rsidRPr="0071782F" w:rsidRDefault="00E70E28" w:rsidP="001601C5">
            <w:pPr>
              <w:suppressAutoHyphens w:val="0"/>
              <w:spacing w:before="40" w:after="40" w:line="220" w:lineRule="exact"/>
              <w:jc w:val="right"/>
              <w:rPr>
                <w:sz w:val="18"/>
                <w:lang w:val="fr-CH"/>
              </w:rPr>
            </w:pPr>
            <w:r w:rsidRPr="0071782F">
              <w:rPr>
                <w:sz w:val="18"/>
                <w:lang w:val="fr-CH"/>
              </w:rPr>
              <w:t>Privés</w:t>
            </w:r>
            <w:r w:rsidR="003A6D8B" w:rsidRPr="0071782F">
              <w:rPr>
                <w:sz w:val="18"/>
                <w:lang w:val="fr-CH"/>
              </w:rPr>
              <w:t xml:space="preserve"> 17 874</w:t>
            </w:r>
          </w:p>
        </w:tc>
      </w:tr>
      <w:tr w:rsidR="003A6D8B" w:rsidRPr="0071782F">
        <w:tc>
          <w:tcPr>
            <w:tcW w:w="993" w:type="dxa"/>
            <w:vMerge w:val="restart"/>
            <w:tcBorders>
              <w:top w:val="nil"/>
            </w:tcBorders>
            <w:shd w:val="clear" w:color="000000" w:fill="auto"/>
          </w:tcPr>
          <w:p w:rsidR="003A6D8B" w:rsidRPr="0071782F" w:rsidRDefault="003A6D8B" w:rsidP="00C232FA">
            <w:pPr>
              <w:suppressAutoHyphens w:val="0"/>
              <w:spacing w:before="40" w:after="40" w:line="220" w:lineRule="exact"/>
              <w:rPr>
                <w:sz w:val="18"/>
                <w:lang w:val="fr-CH"/>
              </w:rPr>
            </w:pPr>
            <w:r w:rsidRPr="0071782F">
              <w:rPr>
                <w:sz w:val="18"/>
                <w:lang w:val="fr-CH"/>
              </w:rPr>
              <w:t>2007</w:t>
            </w:r>
          </w:p>
        </w:tc>
        <w:tc>
          <w:tcPr>
            <w:tcW w:w="1701" w:type="dxa"/>
            <w:vMerge w:val="restart"/>
            <w:tcBorders>
              <w:top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123</w:t>
            </w:r>
          </w:p>
        </w:tc>
        <w:tc>
          <w:tcPr>
            <w:tcW w:w="850" w:type="dxa"/>
            <w:vMerge w:val="restart"/>
            <w:tcBorders>
              <w:top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54</w:t>
            </w:r>
          </w:p>
        </w:tc>
        <w:tc>
          <w:tcPr>
            <w:tcW w:w="851" w:type="dxa"/>
            <w:vMerge w:val="restart"/>
            <w:tcBorders>
              <w:top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69</w:t>
            </w:r>
          </w:p>
        </w:tc>
        <w:tc>
          <w:tcPr>
            <w:tcW w:w="1985" w:type="dxa"/>
            <w:vMerge w:val="restart"/>
            <w:tcBorders>
              <w:top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70 Azerba</w:t>
            </w:r>
            <w:r w:rsidR="00E70E28" w:rsidRPr="0071782F">
              <w:rPr>
                <w:sz w:val="18"/>
                <w:lang w:val="fr-CH"/>
              </w:rPr>
              <w:t>ïd</w:t>
            </w:r>
            <w:r w:rsidRPr="0071782F">
              <w:rPr>
                <w:sz w:val="18"/>
                <w:lang w:val="fr-CH"/>
              </w:rPr>
              <w:t>jan</w:t>
            </w:r>
            <w:r w:rsidR="00E70E28" w:rsidRPr="0071782F">
              <w:rPr>
                <w:sz w:val="18"/>
                <w:lang w:val="fr-CH"/>
              </w:rPr>
              <w:t xml:space="preserve"> oriental</w:t>
            </w:r>
            <w:r w:rsidRPr="0071782F">
              <w:rPr>
                <w:sz w:val="18"/>
                <w:lang w:val="fr-CH"/>
              </w:rPr>
              <w:t xml:space="preserve"> – Khorasan Razavi</w:t>
            </w:r>
          </w:p>
        </w:tc>
        <w:tc>
          <w:tcPr>
            <w:tcW w:w="850" w:type="dxa"/>
            <w:vMerge w:val="restart"/>
            <w:tcBorders>
              <w:top w:val="nil"/>
            </w:tcBorders>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47 681</w:t>
            </w:r>
          </w:p>
        </w:tc>
        <w:tc>
          <w:tcPr>
            <w:tcW w:w="1275" w:type="dxa"/>
            <w:tcBorders>
              <w:top w:val="nil"/>
            </w:tcBorders>
            <w:shd w:val="clear" w:color="000000" w:fill="auto"/>
            <w:vAlign w:val="bottom"/>
          </w:tcPr>
          <w:p w:rsidR="003A6D8B" w:rsidRPr="0071782F" w:rsidRDefault="00E70E28" w:rsidP="001601C5">
            <w:pPr>
              <w:suppressAutoHyphens w:val="0"/>
              <w:spacing w:before="40" w:after="40" w:line="220" w:lineRule="exact"/>
              <w:jc w:val="right"/>
              <w:rPr>
                <w:sz w:val="18"/>
                <w:lang w:val="fr-CH"/>
              </w:rPr>
            </w:pPr>
            <w:r w:rsidRPr="0071782F">
              <w:rPr>
                <w:sz w:val="18"/>
                <w:lang w:val="fr-CH"/>
              </w:rPr>
              <w:t>Publics</w:t>
            </w:r>
            <w:r w:rsidR="003A6D8B" w:rsidRPr="0071782F">
              <w:rPr>
                <w:sz w:val="18"/>
                <w:lang w:val="fr-CH"/>
              </w:rPr>
              <w:t xml:space="preserve"> 23 643</w:t>
            </w:r>
          </w:p>
        </w:tc>
      </w:tr>
      <w:tr w:rsidR="003A6D8B" w:rsidRPr="0071782F">
        <w:tc>
          <w:tcPr>
            <w:tcW w:w="993" w:type="dxa"/>
            <w:vMerge/>
            <w:shd w:val="clear" w:color="000000" w:fill="auto"/>
          </w:tcPr>
          <w:p w:rsidR="003A6D8B" w:rsidRPr="0071782F" w:rsidRDefault="003A6D8B" w:rsidP="00C232FA">
            <w:pPr>
              <w:suppressAutoHyphens w:val="0"/>
              <w:spacing w:before="40" w:after="40" w:line="220" w:lineRule="exact"/>
              <w:rPr>
                <w:sz w:val="18"/>
                <w:lang w:val="fr-CH"/>
              </w:rPr>
            </w:pPr>
          </w:p>
        </w:tc>
        <w:tc>
          <w:tcPr>
            <w:tcW w:w="1701" w:type="dxa"/>
            <w:vMerge/>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c>
          <w:tcPr>
            <w:tcW w:w="850" w:type="dxa"/>
            <w:vMerge/>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c>
          <w:tcPr>
            <w:tcW w:w="851" w:type="dxa"/>
            <w:vMerge/>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c>
          <w:tcPr>
            <w:tcW w:w="1985" w:type="dxa"/>
            <w:vMerge/>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c>
          <w:tcPr>
            <w:tcW w:w="850" w:type="dxa"/>
            <w:vMerge/>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c>
          <w:tcPr>
            <w:tcW w:w="1275" w:type="dxa"/>
            <w:shd w:val="clear" w:color="000000" w:fill="auto"/>
            <w:vAlign w:val="bottom"/>
          </w:tcPr>
          <w:p w:rsidR="003A6D8B" w:rsidRPr="0071782F" w:rsidRDefault="00E70E28" w:rsidP="001601C5">
            <w:pPr>
              <w:suppressAutoHyphens w:val="0"/>
              <w:spacing w:before="40" w:after="40" w:line="220" w:lineRule="exact"/>
              <w:jc w:val="right"/>
              <w:rPr>
                <w:sz w:val="18"/>
                <w:lang w:val="fr-CH"/>
              </w:rPr>
            </w:pPr>
            <w:r w:rsidRPr="0071782F">
              <w:rPr>
                <w:sz w:val="18"/>
                <w:lang w:val="fr-CH"/>
              </w:rPr>
              <w:t>Privés</w:t>
            </w:r>
            <w:r w:rsidR="003A6D8B" w:rsidRPr="0071782F">
              <w:rPr>
                <w:sz w:val="18"/>
                <w:lang w:val="fr-CH"/>
              </w:rPr>
              <w:t xml:space="preserve"> 24 038</w:t>
            </w:r>
          </w:p>
        </w:tc>
      </w:tr>
      <w:tr w:rsidR="003A6D8B" w:rsidRPr="0071782F">
        <w:tc>
          <w:tcPr>
            <w:tcW w:w="993" w:type="dxa"/>
            <w:shd w:val="clear" w:color="000000" w:fill="auto"/>
          </w:tcPr>
          <w:p w:rsidR="003A6D8B" w:rsidRPr="0071782F" w:rsidRDefault="003A6D8B" w:rsidP="00C232FA">
            <w:pPr>
              <w:suppressAutoHyphens w:val="0"/>
              <w:spacing w:before="40" w:after="40" w:line="220" w:lineRule="exact"/>
              <w:rPr>
                <w:sz w:val="18"/>
                <w:lang w:val="fr-CH"/>
              </w:rPr>
            </w:pPr>
            <w:r w:rsidRPr="0071782F">
              <w:rPr>
                <w:sz w:val="18"/>
                <w:lang w:val="fr-CH"/>
              </w:rPr>
              <w:t>2008</w:t>
            </w:r>
          </w:p>
        </w:tc>
        <w:tc>
          <w:tcPr>
            <w:tcW w:w="1701" w:type="dxa"/>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128</w:t>
            </w:r>
          </w:p>
        </w:tc>
        <w:tc>
          <w:tcPr>
            <w:tcW w:w="850" w:type="dxa"/>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51</w:t>
            </w:r>
          </w:p>
        </w:tc>
        <w:tc>
          <w:tcPr>
            <w:tcW w:w="851" w:type="dxa"/>
            <w:shd w:val="clear" w:color="000000"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77</w:t>
            </w:r>
          </w:p>
        </w:tc>
        <w:tc>
          <w:tcPr>
            <w:tcW w:w="1985" w:type="dxa"/>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c>
          <w:tcPr>
            <w:tcW w:w="2125" w:type="dxa"/>
            <w:gridSpan w:val="2"/>
            <w:shd w:val="clear" w:color="000000" w:fill="auto"/>
            <w:vAlign w:val="bottom"/>
          </w:tcPr>
          <w:p w:rsidR="003A6D8B" w:rsidRPr="0071782F" w:rsidRDefault="003A6D8B" w:rsidP="00C232FA">
            <w:pPr>
              <w:suppressAutoHyphens w:val="0"/>
              <w:spacing w:before="40" w:after="40" w:line="220" w:lineRule="exact"/>
              <w:jc w:val="right"/>
              <w:rPr>
                <w:sz w:val="18"/>
                <w:lang w:val="fr-CH"/>
              </w:rPr>
            </w:pPr>
          </w:p>
        </w:tc>
      </w:tr>
    </w:tbl>
    <w:p w:rsidR="003A6D8B" w:rsidRPr="0071782F" w:rsidRDefault="003A6D8B" w:rsidP="003A6D8B">
      <w:pPr>
        <w:pStyle w:val="SingleTxtG"/>
        <w:spacing w:before="240"/>
        <w:ind w:left="1701"/>
        <w:rPr>
          <w:lang w:val="fr-CH"/>
        </w:rPr>
      </w:pPr>
      <w:r w:rsidRPr="0071782F">
        <w:rPr>
          <w:lang w:val="fr-CH"/>
        </w:rPr>
        <w:t xml:space="preserve">326.11. </w:t>
      </w:r>
      <w:r w:rsidR="00B349BB" w:rsidRPr="0071782F">
        <w:rPr>
          <w:lang w:val="fr-CH"/>
        </w:rPr>
        <w:t xml:space="preserve">Programme de </w:t>
      </w:r>
      <w:r w:rsidRPr="0071782F">
        <w:rPr>
          <w:lang w:val="fr-CH"/>
        </w:rPr>
        <w:t>pr</w:t>
      </w:r>
      <w:r w:rsidR="00B349BB" w:rsidRPr="0071782F">
        <w:rPr>
          <w:lang w:val="fr-CH"/>
        </w:rPr>
        <w:t>é</w:t>
      </w:r>
      <w:r w:rsidRPr="0071782F">
        <w:rPr>
          <w:lang w:val="fr-CH"/>
        </w:rPr>
        <w:t xml:space="preserve">vention </w:t>
      </w:r>
      <w:r w:rsidR="00B349BB" w:rsidRPr="0071782F">
        <w:rPr>
          <w:lang w:val="fr-CH"/>
        </w:rPr>
        <w:t xml:space="preserve">des troubles mentaux résultant d’une </w:t>
      </w:r>
      <w:r w:rsidRPr="0071782F">
        <w:rPr>
          <w:lang w:val="fr-CH"/>
        </w:rPr>
        <w:t>hypothyro</w:t>
      </w:r>
      <w:r w:rsidR="00B349BB" w:rsidRPr="0071782F">
        <w:rPr>
          <w:lang w:val="fr-CH"/>
        </w:rPr>
        <w:t xml:space="preserve">ïdie congénitale. L’hypothyroïdie congénitale est l’une des causes d’arriération mentale les plus faciles à prévenir. Elle est due à une sécrétion insuffisante d’hormone thyroïdienne chez le nouveau-né. En Iran, la prévalence de cette maladie (1 pour 950) est plus élevée que la moyenne mondiale </w:t>
      </w:r>
      <w:r w:rsidRPr="0071782F">
        <w:rPr>
          <w:lang w:val="fr-CH"/>
        </w:rPr>
        <w:t>(1 p</w:t>
      </w:r>
      <w:r w:rsidR="00B349BB" w:rsidRPr="0071782F">
        <w:rPr>
          <w:lang w:val="fr-CH"/>
        </w:rPr>
        <w:t>ou</w:t>
      </w:r>
      <w:r w:rsidRPr="0071782F">
        <w:rPr>
          <w:lang w:val="fr-CH"/>
        </w:rPr>
        <w:t>r 4</w:t>
      </w:r>
      <w:r w:rsidR="00C232FA" w:rsidRPr="0071782F">
        <w:rPr>
          <w:lang w:val="fr-CH"/>
        </w:rPr>
        <w:t> </w:t>
      </w:r>
      <w:r w:rsidRPr="0071782F">
        <w:rPr>
          <w:lang w:val="fr-CH"/>
        </w:rPr>
        <w:t xml:space="preserve">000). </w:t>
      </w:r>
      <w:r w:rsidR="00B349BB" w:rsidRPr="0071782F">
        <w:rPr>
          <w:lang w:val="fr-CH"/>
        </w:rPr>
        <w:t xml:space="preserve">Dans la plupart des cas, le diagnostic et le traitement de la maladie pendant la première semaine de la vie suffisent pour que l’enfant ait une croissance physique et mentale normales et évite tout problème mental à l’avenir. </w:t>
      </w:r>
    </w:p>
    <w:p w:rsidR="003A6D8B" w:rsidRPr="00BE6159" w:rsidRDefault="003A6D8B" w:rsidP="003A6D8B">
      <w:pPr>
        <w:pStyle w:val="SingleTxtG"/>
        <w:ind w:left="1701"/>
        <w:rPr>
          <w:spacing w:val="-2"/>
          <w:lang w:val="fr-CH"/>
        </w:rPr>
      </w:pPr>
      <w:r w:rsidRPr="00BE6159">
        <w:rPr>
          <w:spacing w:val="-2"/>
          <w:lang w:val="fr-CH"/>
        </w:rPr>
        <w:t xml:space="preserve">326.12. </w:t>
      </w:r>
      <w:r w:rsidR="00491DBE" w:rsidRPr="00BE6159">
        <w:rPr>
          <w:spacing w:val="-2"/>
          <w:lang w:val="fr-CH"/>
        </w:rPr>
        <w:t xml:space="preserve">Pour réaliser cet objectif, le Département culturel et de prévention de l’Organisme public de protection sociale a exécuté, en </w:t>
      </w:r>
      <w:r w:rsidRPr="00BE6159">
        <w:rPr>
          <w:spacing w:val="-2"/>
          <w:lang w:val="fr-CH"/>
        </w:rPr>
        <w:t xml:space="preserve">2003 </w:t>
      </w:r>
      <w:r w:rsidR="00491DBE" w:rsidRPr="00BE6159">
        <w:rPr>
          <w:spacing w:val="-2"/>
          <w:lang w:val="fr-CH"/>
        </w:rPr>
        <w:t>et</w:t>
      </w:r>
      <w:r w:rsidRPr="00BE6159">
        <w:rPr>
          <w:spacing w:val="-2"/>
          <w:lang w:val="fr-CH"/>
        </w:rPr>
        <w:t xml:space="preserve"> 2004, </w:t>
      </w:r>
      <w:r w:rsidR="00491DBE" w:rsidRPr="00BE6159">
        <w:rPr>
          <w:spacing w:val="-2"/>
          <w:lang w:val="fr-CH"/>
        </w:rPr>
        <w:t>un programme qui visait à déterminer dans quelle mesure l’hypothyroïdie congénitale contribuait à l’arriération mentale dans le pays</w:t>
      </w:r>
      <w:r w:rsidRPr="00BE6159">
        <w:rPr>
          <w:spacing w:val="-2"/>
          <w:lang w:val="fr-CH"/>
        </w:rPr>
        <w:t xml:space="preserve">. </w:t>
      </w:r>
      <w:r w:rsidR="00491DBE" w:rsidRPr="00BE6159">
        <w:rPr>
          <w:spacing w:val="-2"/>
          <w:lang w:val="fr-CH"/>
        </w:rPr>
        <w:t xml:space="preserve">Il a conclu que la </w:t>
      </w:r>
      <w:r w:rsidRPr="00BE6159">
        <w:rPr>
          <w:spacing w:val="-2"/>
          <w:lang w:val="fr-CH"/>
        </w:rPr>
        <w:t>pr</w:t>
      </w:r>
      <w:r w:rsidR="00491DBE" w:rsidRPr="00BE6159">
        <w:rPr>
          <w:spacing w:val="-2"/>
          <w:lang w:val="fr-CH"/>
        </w:rPr>
        <w:t>é</w:t>
      </w:r>
      <w:r w:rsidRPr="00BE6159">
        <w:rPr>
          <w:spacing w:val="-2"/>
          <w:lang w:val="fr-CH"/>
        </w:rPr>
        <w:t xml:space="preserve">valence </w:t>
      </w:r>
      <w:r w:rsidR="00491DBE" w:rsidRPr="00BE6159">
        <w:rPr>
          <w:spacing w:val="-2"/>
          <w:lang w:val="fr-CH"/>
        </w:rPr>
        <w:t xml:space="preserve">de cette maladie parmi la population totale étudiée s’élevait à </w:t>
      </w:r>
      <w:r w:rsidRPr="00BE6159">
        <w:rPr>
          <w:spacing w:val="-2"/>
          <w:lang w:val="fr-CH"/>
        </w:rPr>
        <w:t>0</w:t>
      </w:r>
      <w:r w:rsidR="00491DBE" w:rsidRPr="00BE6159">
        <w:rPr>
          <w:spacing w:val="-2"/>
          <w:lang w:val="fr-CH"/>
        </w:rPr>
        <w:t>,</w:t>
      </w:r>
      <w:r w:rsidRPr="00BE6159">
        <w:rPr>
          <w:spacing w:val="-2"/>
          <w:lang w:val="fr-CH"/>
        </w:rPr>
        <w:t>96</w:t>
      </w:r>
      <w:r w:rsidR="007E5125" w:rsidRPr="00BE6159">
        <w:rPr>
          <w:spacing w:val="-2"/>
          <w:lang w:val="fr-CH"/>
        </w:rPr>
        <w:t>%</w:t>
      </w:r>
      <w:r w:rsidR="00491DBE" w:rsidRPr="00BE6159">
        <w:rPr>
          <w:spacing w:val="-2"/>
          <w:lang w:val="fr-CH"/>
        </w:rPr>
        <w:t xml:space="preserve"> (elle était de </w:t>
      </w:r>
      <w:r w:rsidRPr="00BE6159">
        <w:rPr>
          <w:spacing w:val="-2"/>
          <w:lang w:val="fr-CH"/>
        </w:rPr>
        <w:t>0</w:t>
      </w:r>
      <w:r w:rsidR="00491DBE" w:rsidRPr="00BE6159">
        <w:rPr>
          <w:spacing w:val="-2"/>
          <w:lang w:val="fr-CH"/>
        </w:rPr>
        <w:t>,</w:t>
      </w:r>
      <w:r w:rsidRPr="00BE6159">
        <w:rPr>
          <w:spacing w:val="-2"/>
          <w:lang w:val="fr-CH"/>
        </w:rPr>
        <w:t>6</w:t>
      </w:r>
      <w:r w:rsidR="007E5125" w:rsidRPr="00BE6159">
        <w:rPr>
          <w:spacing w:val="-2"/>
          <w:lang w:val="fr-CH"/>
        </w:rPr>
        <w:t>%</w:t>
      </w:r>
      <w:r w:rsidRPr="00BE6159">
        <w:rPr>
          <w:spacing w:val="-2"/>
          <w:lang w:val="fr-CH"/>
        </w:rPr>
        <w:t xml:space="preserve"> </w:t>
      </w:r>
      <w:r w:rsidR="00491DBE" w:rsidRPr="00BE6159">
        <w:rPr>
          <w:spacing w:val="-2"/>
          <w:lang w:val="fr-CH"/>
        </w:rPr>
        <w:t xml:space="preserve">et de </w:t>
      </w:r>
      <w:r w:rsidRPr="00BE6159">
        <w:rPr>
          <w:spacing w:val="-2"/>
          <w:lang w:val="fr-CH"/>
        </w:rPr>
        <w:t>1</w:t>
      </w:r>
      <w:r w:rsidR="00491DBE" w:rsidRPr="00BE6159">
        <w:rPr>
          <w:spacing w:val="-2"/>
          <w:lang w:val="fr-CH"/>
        </w:rPr>
        <w:t>,</w:t>
      </w:r>
      <w:r w:rsidRPr="00BE6159">
        <w:rPr>
          <w:spacing w:val="-2"/>
          <w:lang w:val="fr-CH"/>
        </w:rPr>
        <w:t>2</w:t>
      </w:r>
      <w:r w:rsidR="007E5125" w:rsidRPr="00BE6159">
        <w:rPr>
          <w:spacing w:val="-2"/>
          <w:lang w:val="fr-CH"/>
        </w:rPr>
        <w:t>%</w:t>
      </w:r>
      <w:r w:rsidR="00491DBE" w:rsidRPr="00BE6159">
        <w:rPr>
          <w:spacing w:val="-2"/>
          <w:lang w:val="fr-CH"/>
        </w:rPr>
        <w:t xml:space="preserve"> dans le groupe de contrôle et le groupe cible, respectivement)</w:t>
      </w:r>
      <w:r w:rsidRPr="00BE6159">
        <w:rPr>
          <w:spacing w:val="-2"/>
          <w:lang w:val="fr-CH"/>
        </w:rPr>
        <w:t xml:space="preserve">. </w:t>
      </w:r>
      <w:r w:rsidR="00491DBE" w:rsidRPr="00BE6159">
        <w:rPr>
          <w:spacing w:val="-2"/>
          <w:lang w:val="fr-CH"/>
        </w:rPr>
        <w:t xml:space="preserve">Dans les deux groupes, la </w:t>
      </w:r>
      <w:r w:rsidRPr="00BE6159">
        <w:rPr>
          <w:spacing w:val="-2"/>
          <w:lang w:val="fr-CH"/>
        </w:rPr>
        <w:t>pr</w:t>
      </w:r>
      <w:r w:rsidR="00491DBE" w:rsidRPr="00BE6159">
        <w:rPr>
          <w:spacing w:val="-2"/>
          <w:lang w:val="fr-CH"/>
        </w:rPr>
        <w:t>é</w:t>
      </w:r>
      <w:r w:rsidRPr="00BE6159">
        <w:rPr>
          <w:spacing w:val="-2"/>
          <w:lang w:val="fr-CH"/>
        </w:rPr>
        <w:t xml:space="preserve">valence </w:t>
      </w:r>
      <w:r w:rsidR="00491DBE" w:rsidRPr="00BE6159">
        <w:rPr>
          <w:spacing w:val="-2"/>
          <w:lang w:val="fr-CH"/>
        </w:rPr>
        <w:t>de la maladie était deux fois plus élevée chez les filles</w:t>
      </w:r>
      <w:r w:rsidRPr="00BE6159">
        <w:rPr>
          <w:spacing w:val="-2"/>
          <w:lang w:val="fr-CH"/>
        </w:rPr>
        <w:t xml:space="preserve">. </w:t>
      </w:r>
      <w:r w:rsidR="00491DBE" w:rsidRPr="00BE6159">
        <w:rPr>
          <w:spacing w:val="-2"/>
          <w:lang w:val="fr-CH"/>
        </w:rPr>
        <w:t xml:space="preserve">Une fois le programme achevé, un programme de dépistage de l’hypothyroïdie congénitale a été mené pendant toute l’année 2005 dans la province du </w:t>
      </w:r>
      <w:r w:rsidRPr="00BE6159">
        <w:rPr>
          <w:spacing w:val="-2"/>
          <w:lang w:val="fr-CH"/>
        </w:rPr>
        <w:t xml:space="preserve">Khuzestan </w:t>
      </w:r>
      <w:r w:rsidR="00491DBE" w:rsidRPr="00BE6159">
        <w:rPr>
          <w:spacing w:val="-2"/>
          <w:lang w:val="fr-CH"/>
        </w:rPr>
        <w:t xml:space="preserve">auprès de </w:t>
      </w:r>
      <w:r w:rsidRPr="00BE6159">
        <w:rPr>
          <w:spacing w:val="-2"/>
          <w:lang w:val="fr-CH"/>
        </w:rPr>
        <w:t>4</w:t>
      </w:r>
      <w:r w:rsidR="001601C5" w:rsidRPr="00BE6159">
        <w:rPr>
          <w:spacing w:val="-2"/>
          <w:lang w:val="fr-CH"/>
        </w:rPr>
        <w:t> </w:t>
      </w:r>
      <w:r w:rsidR="00BE6159">
        <w:rPr>
          <w:spacing w:val="-2"/>
          <w:lang w:val="fr-CH"/>
        </w:rPr>
        <w:t>500 </w:t>
      </w:r>
      <w:r w:rsidR="00491DBE" w:rsidRPr="00BE6159">
        <w:rPr>
          <w:spacing w:val="-2"/>
          <w:lang w:val="fr-CH"/>
        </w:rPr>
        <w:t>nourrissons</w:t>
      </w:r>
      <w:r w:rsidRPr="00BE6159">
        <w:rPr>
          <w:spacing w:val="-2"/>
          <w:lang w:val="fr-CH"/>
        </w:rPr>
        <w:t xml:space="preserve">. </w:t>
      </w:r>
      <w:r w:rsidR="00491DBE" w:rsidRPr="00BE6159">
        <w:rPr>
          <w:spacing w:val="-2"/>
          <w:lang w:val="fr-CH"/>
        </w:rPr>
        <w:t xml:space="preserve">Par la suite, un programme national a été lancé en coopération avec le Département de la protection sociale du Ministère de la santé et de la formation médicale. En </w:t>
      </w:r>
      <w:r w:rsidRPr="00BE6159">
        <w:rPr>
          <w:spacing w:val="-2"/>
          <w:lang w:val="fr-CH"/>
        </w:rPr>
        <w:t xml:space="preserve">2007, </w:t>
      </w:r>
      <w:r w:rsidR="00491DBE" w:rsidRPr="00BE6159">
        <w:rPr>
          <w:spacing w:val="-2"/>
          <w:lang w:val="fr-CH"/>
        </w:rPr>
        <w:t xml:space="preserve">environ </w:t>
      </w:r>
      <w:r w:rsidRPr="00BE6159">
        <w:rPr>
          <w:spacing w:val="-2"/>
          <w:lang w:val="fr-CH"/>
        </w:rPr>
        <w:t>95</w:t>
      </w:r>
      <w:r w:rsidR="007E5125" w:rsidRPr="00BE6159">
        <w:rPr>
          <w:spacing w:val="-2"/>
          <w:lang w:val="fr-CH"/>
        </w:rPr>
        <w:t>%</w:t>
      </w:r>
      <w:r w:rsidR="00491DBE" w:rsidRPr="00BE6159">
        <w:rPr>
          <w:spacing w:val="-2"/>
          <w:lang w:val="fr-CH"/>
        </w:rPr>
        <w:t xml:space="preserve"> des nouveau-nés étaient couverts par le programme</w:t>
      </w:r>
      <w:r w:rsidRPr="00BE6159">
        <w:rPr>
          <w:spacing w:val="-2"/>
          <w:lang w:val="fr-CH"/>
        </w:rPr>
        <w:t xml:space="preserve">. </w:t>
      </w:r>
    </w:p>
    <w:p w:rsidR="003A6D8B" w:rsidRPr="0071782F" w:rsidRDefault="003A6D8B" w:rsidP="003A6D8B">
      <w:pPr>
        <w:pStyle w:val="SingleTxtG"/>
        <w:ind w:left="1701"/>
        <w:rPr>
          <w:lang w:val="fr-CH"/>
        </w:rPr>
      </w:pPr>
      <w:r w:rsidRPr="0071782F">
        <w:rPr>
          <w:lang w:val="fr-CH"/>
        </w:rPr>
        <w:t xml:space="preserve">326.13. </w:t>
      </w:r>
      <w:r w:rsidR="00491DBE" w:rsidRPr="0071782F">
        <w:rPr>
          <w:lang w:val="fr-CH"/>
        </w:rPr>
        <w:t>Programme de sensibilisation en vue de la prévention des handicaps découlant de l’explosion de mines terrestres dans les zones</w:t>
      </w:r>
      <w:r w:rsidRPr="0071782F">
        <w:rPr>
          <w:lang w:val="fr-CH"/>
        </w:rPr>
        <w:t xml:space="preserve"> contamin</w:t>
      </w:r>
      <w:r w:rsidR="00491DBE" w:rsidRPr="0071782F">
        <w:rPr>
          <w:lang w:val="fr-CH"/>
        </w:rPr>
        <w:t>ées. Peu d’armes de guerre sont aussi meurtrières que les mines terrestres</w:t>
      </w:r>
      <w:r w:rsidRPr="0071782F">
        <w:rPr>
          <w:lang w:val="fr-CH"/>
        </w:rPr>
        <w:t xml:space="preserve">. </w:t>
      </w:r>
      <w:r w:rsidR="00491DBE" w:rsidRPr="0071782F">
        <w:rPr>
          <w:lang w:val="fr-CH"/>
        </w:rPr>
        <w:t xml:space="preserve">Elles représentent la cause la plus répandue, meurtrière et durable de </w:t>
      </w:r>
      <w:r w:rsidRPr="0071782F">
        <w:rPr>
          <w:lang w:val="fr-CH"/>
        </w:rPr>
        <w:t xml:space="preserve">contamination </w:t>
      </w:r>
      <w:r w:rsidR="00491DBE" w:rsidRPr="0071782F">
        <w:rPr>
          <w:lang w:val="fr-CH"/>
        </w:rPr>
        <w:t>à laquelle les êtres humains soient confrontés</w:t>
      </w:r>
      <w:r w:rsidRPr="0071782F">
        <w:rPr>
          <w:lang w:val="fr-CH"/>
        </w:rPr>
        <w:t>.</w:t>
      </w:r>
    </w:p>
    <w:p w:rsidR="003A6D8B" w:rsidRPr="0071782F" w:rsidRDefault="003A6D8B" w:rsidP="003A6D8B">
      <w:pPr>
        <w:pStyle w:val="SingleTxtG"/>
        <w:ind w:left="1701"/>
        <w:rPr>
          <w:lang w:val="fr-CH"/>
        </w:rPr>
      </w:pPr>
      <w:r w:rsidRPr="0071782F">
        <w:rPr>
          <w:lang w:val="fr-CH"/>
        </w:rPr>
        <w:t xml:space="preserve">326.14. </w:t>
      </w:r>
      <w:r w:rsidR="00491DBE" w:rsidRPr="0071782F">
        <w:rPr>
          <w:lang w:val="fr-CH"/>
        </w:rPr>
        <w:t xml:space="preserve">Pour ce qui est de la rentabilité des activités de sensibilisation, il suffit d’indiquer que le coût de l’élimination d’une mine permettrait d’éduquer un millier </w:t>
      </w:r>
      <w:r w:rsidR="00D82C96" w:rsidRPr="0071782F">
        <w:rPr>
          <w:lang w:val="fr-CH"/>
        </w:rPr>
        <w:t>de personnes</w:t>
      </w:r>
      <w:r w:rsidRPr="0071782F">
        <w:rPr>
          <w:lang w:val="fr-CH"/>
        </w:rPr>
        <w:t xml:space="preserve">. </w:t>
      </w:r>
      <w:r w:rsidR="00491DBE" w:rsidRPr="0071782F">
        <w:rPr>
          <w:lang w:val="fr-CH"/>
        </w:rPr>
        <w:t>Étant donné le nombre élevé de décès et de dommages physiques et psychologiques causés par l’</w:t>
      </w:r>
      <w:r w:rsidRPr="0071782F">
        <w:rPr>
          <w:lang w:val="fr-CH"/>
        </w:rPr>
        <w:t xml:space="preserve">explosion </w:t>
      </w:r>
      <w:r w:rsidR="00491DBE" w:rsidRPr="0071782F">
        <w:rPr>
          <w:lang w:val="fr-CH"/>
        </w:rPr>
        <w:t xml:space="preserve">de mines dans les </w:t>
      </w:r>
      <w:r w:rsidRPr="0071782F">
        <w:rPr>
          <w:lang w:val="fr-CH"/>
        </w:rPr>
        <w:t xml:space="preserve">provinces </w:t>
      </w:r>
      <w:r w:rsidR="00491DBE" w:rsidRPr="0071782F">
        <w:rPr>
          <w:lang w:val="fr-CH"/>
        </w:rPr>
        <w:t>de l’ouest du pays, et afin de réduire les handicaps physiques et les handicaps réduisant la mobilité, le Bureau de la prévention des handicaps a décidé de concevoir et d’exécuter un programme de prévention des handicaps découlant de l’explosion de mines terrestres</w:t>
      </w:r>
      <w:r w:rsidRPr="0071782F">
        <w:rPr>
          <w:lang w:val="fr-CH"/>
        </w:rPr>
        <w:t xml:space="preserve">. </w:t>
      </w:r>
      <w:r w:rsidR="00491DBE" w:rsidRPr="0071782F">
        <w:rPr>
          <w:lang w:val="fr-CH"/>
        </w:rPr>
        <w:t>Comme le pays n’avait, jusqu’en 2000, aucune expérience d’un tel programme, il s’est inspiré de celle d’autres pays touchés par ce problème en recherchant sur l’Internet un large éventail de matériels qu’il a rassemblés et traduits</w:t>
      </w:r>
      <w:r w:rsidRPr="0071782F">
        <w:rPr>
          <w:lang w:val="fr-CH"/>
        </w:rPr>
        <w:t xml:space="preserve">. </w:t>
      </w:r>
      <w:r w:rsidR="00491DBE" w:rsidRPr="0071782F">
        <w:rPr>
          <w:lang w:val="fr-CH"/>
        </w:rPr>
        <w:t xml:space="preserve">Pour procéder à une évaluation préliminaire des besoins, des visites ont été effectuées sur place dans les villes et villages contaminés de la province du </w:t>
      </w:r>
      <w:r w:rsidRPr="0071782F">
        <w:rPr>
          <w:lang w:val="fr-CH"/>
        </w:rPr>
        <w:t>K</w:t>
      </w:r>
      <w:r w:rsidR="00491DBE" w:rsidRPr="0071782F">
        <w:rPr>
          <w:lang w:val="fr-CH"/>
        </w:rPr>
        <w:t>u</w:t>
      </w:r>
      <w:r w:rsidRPr="0071782F">
        <w:rPr>
          <w:lang w:val="fr-CH"/>
        </w:rPr>
        <w:t>rd</w:t>
      </w:r>
      <w:r w:rsidR="00491DBE" w:rsidRPr="0071782F">
        <w:rPr>
          <w:lang w:val="fr-CH"/>
        </w:rPr>
        <w:t>i</w:t>
      </w:r>
      <w:r w:rsidRPr="0071782F">
        <w:rPr>
          <w:lang w:val="fr-CH"/>
        </w:rPr>
        <w:t xml:space="preserve">stan, </w:t>
      </w:r>
      <w:r w:rsidR="003D63D7" w:rsidRPr="0071782F">
        <w:rPr>
          <w:lang w:val="fr-CH"/>
        </w:rPr>
        <w:t xml:space="preserve">ce qui a permis </w:t>
      </w:r>
      <w:r w:rsidR="00491DBE" w:rsidRPr="0071782F">
        <w:rPr>
          <w:lang w:val="fr-CH"/>
        </w:rPr>
        <w:t xml:space="preserve">de se faire une idée générale de la </w:t>
      </w:r>
      <w:r w:rsidRPr="0071782F">
        <w:rPr>
          <w:lang w:val="fr-CH"/>
        </w:rPr>
        <w:t xml:space="preserve">situation </w:t>
      </w:r>
      <w:r w:rsidR="00491DBE" w:rsidRPr="0071782F">
        <w:rPr>
          <w:lang w:val="fr-CH"/>
        </w:rPr>
        <w:t xml:space="preserve">dans la </w:t>
      </w:r>
      <w:r w:rsidRPr="0071782F">
        <w:rPr>
          <w:lang w:val="fr-CH"/>
        </w:rPr>
        <w:t>r</w:t>
      </w:r>
      <w:r w:rsidR="00491DBE" w:rsidRPr="0071782F">
        <w:rPr>
          <w:lang w:val="fr-CH"/>
        </w:rPr>
        <w:t>é</w:t>
      </w:r>
      <w:r w:rsidRPr="0071782F">
        <w:rPr>
          <w:lang w:val="fr-CH"/>
        </w:rPr>
        <w:t xml:space="preserve">gion. </w:t>
      </w:r>
      <w:r w:rsidR="00491DBE" w:rsidRPr="0071782F">
        <w:rPr>
          <w:lang w:val="fr-CH"/>
        </w:rPr>
        <w:t xml:space="preserve">Il convient de noter que les </w:t>
      </w:r>
      <w:r w:rsidRPr="0071782F">
        <w:rPr>
          <w:lang w:val="fr-CH"/>
        </w:rPr>
        <w:t>statisti</w:t>
      </w:r>
      <w:r w:rsidR="00491DBE" w:rsidRPr="0071782F">
        <w:rPr>
          <w:lang w:val="fr-CH"/>
        </w:rPr>
        <w:t>que</w:t>
      </w:r>
      <w:r w:rsidRPr="0071782F">
        <w:rPr>
          <w:lang w:val="fr-CH"/>
        </w:rPr>
        <w:t xml:space="preserve">s </w:t>
      </w:r>
      <w:r w:rsidR="00491DBE" w:rsidRPr="0071782F">
        <w:rPr>
          <w:lang w:val="fr-CH"/>
        </w:rPr>
        <w:t xml:space="preserve">concernant le nombre </w:t>
      </w:r>
      <w:r w:rsidR="00D82C96" w:rsidRPr="0071782F">
        <w:rPr>
          <w:lang w:val="fr-CH"/>
        </w:rPr>
        <w:t>de personnes</w:t>
      </w:r>
      <w:r w:rsidR="00491DBE" w:rsidRPr="0071782F">
        <w:rPr>
          <w:lang w:val="fr-CH"/>
        </w:rPr>
        <w:t xml:space="preserve"> tuées ou blessées par l’explosion de mines proviennent des dossiers de la</w:t>
      </w:r>
      <w:r w:rsidR="00D36718">
        <w:rPr>
          <w:lang w:val="fr-CH"/>
        </w:rPr>
        <w:t xml:space="preserve"> </w:t>
      </w:r>
      <w:r w:rsidRPr="0071782F">
        <w:rPr>
          <w:lang w:val="fr-CH"/>
        </w:rPr>
        <w:t xml:space="preserve">Commission </w:t>
      </w:r>
      <w:r w:rsidR="00491DBE" w:rsidRPr="0071782F">
        <w:rPr>
          <w:lang w:val="fr-CH"/>
        </w:rPr>
        <w:t>sur</w:t>
      </w:r>
      <w:r w:rsidRPr="0071782F">
        <w:rPr>
          <w:lang w:val="fr-CH"/>
        </w:rPr>
        <w:t xml:space="preserve"> </w:t>
      </w:r>
      <w:r w:rsidR="00723F2B" w:rsidRPr="0071782F">
        <w:rPr>
          <w:lang w:val="fr-CH"/>
        </w:rPr>
        <w:t>l’</w:t>
      </w:r>
      <w:r w:rsidR="00943A69" w:rsidRPr="0071782F">
        <w:rPr>
          <w:lang w:val="fr-CH"/>
        </w:rPr>
        <w:t>article </w:t>
      </w:r>
      <w:r w:rsidRPr="0071782F">
        <w:rPr>
          <w:lang w:val="fr-CH"/>
        </w:rPr>
        <w:t xml:space="preserve">2. </w:t>
      </w:r>
      <w:r w:rsidR="00491DBE" w:rsidRPr="0071782F">
        <w:rPr>
          <w:lang w:val="fr-CH"/>
        </w:rPr>
        <w:t xml:space="preserve">Ensuite, des </w:t>
      </w:r>
      <w:r w:rsidRPr="0071782F">
        <w:rPr>
          <w:lang w:val="fr-CH"/>
        </w:rPr>
        <w:t xml:space="preserve">questionnaires </w:t>
      </w:r>
      <w:r w:rsidR="00491DBE" w:rsidRPr="0071782F">
        <w:rPr>
          <w:lang w:val="fr-CH"/>
        </w:rPr>
        <w:t xml:space="preserve">ont été conçus et remplis, en coopération avec des </w:t>
      </w:r>
      <w:r w:rsidRPr="0071782F">
        <w:rPr>
          <w:lang w:val="fr-CH"/>
        </w:rPr>
        <w:t>sp</w:t>
      </w:r>
      <w:r w:rsidR="00491DBE" w:rsidRPr="0071782F">
        <w:rPr>
          <w:lang w:val="fr-CH"/>
        </w:rPr>
        <w:t>é</w:t>
      </w:r>
      <w:r w:rsidRPr="0071782F">
        <w:rPr>
          <w:lang w:val="fr-CH"/>
        </w:rPr>
        <w:t>cialist</w:t>
      </w:r>
      <w:r w:rsidR="00491DBE" w:rsidRPr="0071782F">
        <w:rPr>
          <w:lang w:val="fr-CH"/>
        </w:rPr>
        <w:t>e</w:t>
      </w:r>
      <w:r w:rsidRPr="0071782F">
        <w:rPr>
          <w:lang w:val="fr-CH"/>
        </w:rPr>
        <w:t xml:space="preserve">s </w:t>
      </w:r>
      <w:r w:rsidR="00491DBE" w:rsidRPr="0071782F">
        <w:rPr>
          <w:lang w:val="fr-CH"/>
        </w:rPr>
        <w:t xml:space="preserve">de la </w:t>
      </w:r>
      <w:r w:rsidRPr="0071782F">
        <w:rPr>
          <w:lang w:val="fr-CH"/>
        </w:rPr>
        <w:t xml:space="preserve">province, </w:t>
      </w:r>
      <w:r w:rsidR="00491DBE" w:rsidRPr="0071782F">
        <w:rPr>
          <w:lang w:val="fr-CH"/>
        </w:rPr>
        <w:t xml:space="preserve">pour recueillir des informations de base sur la population en situation de risque en fonction des priorités, les quartiers dangereux en ce qui concerne la présence de mines, les méthodes les plus fréquentes et traditionnelles de </w:t>
      </w:r>
      <w:r w:rsidRPr="0071782F">
        <w:rPr>
          <w:lang w:val="fr-CH"/>
        </w:rPr>
        <w:t xml:space="preserve">communication </w:t>
      </w:r>
      <w:r w:rsidR="00491DBE" w:rsidRPr="0071782F">
        <w:rPr>
          <w:lang w:val="fr-CH"/>
        </w:rPr>
        <w:t xml:space="preserve">avec la population </w:t>
      </w:r>
      <w:r w:rsidRPr="0071782F">
        <w:rPr>
          <w:lang w:val="fr-CH"/>
        </w:rPr>
        <w:t>local</w:t>
      </w:r>
      <w:r w:rsidR="00491DBE" w:rsidRPr="0071782F">
        <w:rPr>
          <w:lang w:val="fr-CH"/>
        </w:rPr>
        <w:t>e</w:t>
      </w:r>
      <w:r w:rsidRPr="0071782F">
        <w:rPr>
          <w:lang w:val="fr-CH"/>
        </w:rPr>
        <w:t xml:space="preserve">, etc. </w:t>
      </w:r>
      <w:r w:rsidR="00491DBE" w:rsidRPr="0071782F">
        <w:rPr>
          <w:lang w:val="fr-CH"/>
        </w:rPr>
        <w:t>L’analyse des questionnaires remplis a permis de conclure que les groupes les plus exposés étaient, dans cet ordre, les é</w:t>
      </w:r>
      <w:r w:rsidR="009F71EA" w:rsidRPr="0071782F">
        <w:rPr>
          <w:lang w:val="fr-CH"/>
        </w:rPr>
        <w:t>coliers</w:t>
      </w:r>
      <w:r w:rsidR="00491DBE" w:rsidRPr="0071782F">
        <w:rPr>
          <w:lang w:val="fr-CH"/>
        </w:rPr>
        <w:t>, les bergers et les agriculteurs</w:t>
      </w:r>
      <w:r w:rsidRPr="0071782F">
        <w:rPr>
          <w:lang w:val="fr-CH"/>
        </w:rPr>
        <w:t xml:space="preserve">. </w:t>
      </w:r>
    </w:p>
    <w:p w:rsidR="003A6D8B" w:rsidRPr="0071782F" w:rsidRDefault="003A6D8B" w:rsidP="003A6D8B">
      <w:pPr>
        <w:pStyle w:val="SingleTxtG"/>
        <w:ind w:left="1701"/>
        <w:rPr>
          <w:lang w:val="fr-CH"/>
        </w:rPr>
      </w:pPr>
      <w:r w:rsidRPr="0071782F">
        <w:rPr>
          <w:lang w:val="fr-CH"/>
        </w:rPr>
        <w:t xml:space="preserve">326.15. </w:t>
      </w:r>
      <w:r w:rsidR="00491DBE" w:rsidRPr="0071782F">
        <w:rPr>
          <w:lang w:val="fr-CH"/>
        </w:rPr>
        <w:t xml:space="preserve">Par la suite, les </w:t>
      </w:r>
      <w:r w:rsidRPr="0071782F">
        <w:rPr>
          <w:lang w:val="fr-CH"/>
        </w:rPr>
        <w:t>sp</w:t>
      </w:r>
      <w:r w:rsidR="00491DBE" w:rsidRPr="0071782F">
        <w:rPr>
          <w:lang w:val="fr-CH"/>
        </w:rPr>
        <w:t>é</w:t>
      </w:r>
      <w:r w:rsidRPr="0071782F">
        <w:rPr>
          <w:lang w:val="fr-CH"/>
        </w:rPr>
        <w:t>cialist</w:t>
      </w:r>
      <w:r w:rsidR="00491DBE" w:rsidRPr="0071782F">
        <w:rPr>
          <w:lang w:val="fr-CH"/>
        </w:rPr>
        <w:t>e</w:t>
      </w:r>
      <w:r w:rsidRPr="0071782F">
        <w:rPr>
          <w:lang w:val="fr-CH"/>
        </w:rPr>
        <w:t xml:space="preserve">s </w:t>
      </w:r>
      <w:r w:rsidR="00491DBE" w:rsidRPr="0071782F">
        <w:rPr>
          <w:lang w:val="fr-CH"/>
        </w:rPr>
        <w:t xml:space="preserve">du Bureau de la prévention des handicaps ont élaboré les contenus des programmes d’études primaires et secondaires des premier et second cycle, et ont préparé une affiche de promotion et de sensibilisation avec la devise </w:t>
      </w:r>
      <w:r w:rsidR="00A62149" w:rsidRPr="0071782F">
        <w:rPr>
          <w:lang w:val="fr-CH"/>
        </w:rPr>
        <w:t>"</w:t>
      </w:r>
      <w:r w:rsidR="00491DBE" w:rsidRPr="0071782F">
        <w:rPr>
          <w:lang w:val="fr-CH"/>
        </w:rPr>
        <w:t>Une vie sans danger avec les mines</w:t>
      </w:r>
      <w:r w:rsidR="00A62149" w:rsidRPr="0071782F">
        <w:rPr>
          <w:lang w:val="fr-CH"/>
        </w:rPr>
        <w:t>"</w:t>
      </w:r>
      <w:r w:rsidR="00491DBE" w:rsidRPr="0071782F">
        <w:rPr>
          <w:lang w:val="fr-CH"/>
        </w:rPr>
        <w:t xml:space="preserve"> et un jeu éducatif pour les enfants devant permettre d’éduquer d’une manière active les autres membres de </w:t>
      </w:r>
      <w:r w:rsidR="00B71907" w:rsidRPr="0071782F">
        <w:rPr>
          <w:lang w:val="fr-CH"/>
        </w:rPr>
        <w:t>la famille</w:t>
      </w:r>
      <w:r w:rsidR="00491DBE" w:rsidRPr="0071782F">
        <w:rPr>
          <w:lang w:val="fr-CH"/>
        </w:rPr>
        <w:t xml:space="preserve"> en leur communiquant indirectement des informations. Pendant toutes ces années, le Bureau de la prévention des handicaps a participé à des projets d’éducation et de sensibilisation s’adressant aux communautés cibles, en coopé</w:t>
      </w:r>
      <w:r w:rsidRPr="0071782F">
        <w:rPr>
          <w:lang w:val="fr-CH"/>
        </w:rPr>
        <w:t xml:space="preserve">ration </w:t>
      </w:r>
      <w:r w:rsidR="00491DBE" w:rsidRPr="0071782F">
        <w:rPr>
          <w:lang w:val="fr-CH"/>
        </w:rPr>
        <w:t>avec les bureaux de prévention de l’Organisme public de protection sociale dans les provinces frontalières contaminées, le centre de déminage du Ministère de la défense, le</w:t>
      </w:r>
      <w:r w:rsidR="00D36718">
        <w:rPr>
          <w:lang w:val="fr-CH"/>
        </w:rPr>
        <w:t xml:space="preserve"> </w:t>
      </w:r>
      <w:r w:rsidRPr="0071782F">
        <w:rPr>
          <w:lang w:val="fr-CH"/>
        </w:rPr>
        <w:t>Minist</w:t>
      </w:r>
      <w:r w:rsidR="00491DBE" w:rsidRPr="0071782F">
        <w:rPr>
          <w:lang w:val="fr-CH"/>
        </w:rPr>
        <w:t>ère de l’é</w:t>
      </w:r>
      <w:r w:rsidRPr="0071782F">
        <w:rPr>
          <w:lang w:val="fr-CH"/>
        </w:rPr>
        <w:t>ducation</w:t>
      </w:r>
      <w:r w:rsidR="00491DBE" w:rsidRPr="0071782F">
        <w:rPr>
          <w:lang w:val="fr-CH"/>
        </w:rPr>
        <w:t xml:space="preserve"> et d’autres entités compétentes</w:t>
      </w:r>
      <w:r w:rsidRPr="0071782F">
        <w:rPr>
          <w:lang w:val="fr-CH"/>
        </w:rPr>
        <w:t xml:space="preserve">. </w:t>
      </w:r>
    </w:p>
    <w:p w:rsidR="003A6D8B" w:rsidRPr="0071782F" w:rsidRDefault="003A6D8B" w:rsidP="003A6D8B">
      <w:pPr>
        <w:pStyle w:val="SingleTxtG"/>
        <w:ind w:left="1701"/>
        <w:rPr>
          <w:lang w:val="fr-CH"/>
        </w:rPr>
      </w:pPr>
      <w:r w:rsidRPr="0071782F">
        <w:rPr>
          <w:lang w:val="fr-CH"/>
        </w:rPr>
        <w:t xml:space="preserve">326.16. </w:t>
      </w:r>
      <w:r w:rsidR="009F71EA" w:rsidRPr="0071782F">
        <w:rPr>
          <w:lang w:val="fr-CH"/>
        </w:rPr>
        <w:t xml:space="preserve">La première </w:t>
      </w:r>
      <w:r w:rsidRPr="0071782F">
        <w:rPr>
          <w:lang w:val="fr-CH"/>
        </w:rPr>
        <w:t xml:space="preserve">phase </w:t>
      </w:r>
      <w:r w:rsidR="009F71EA" w:rsidRPr="0071782F">
        <w:rPr>
          <w:lang w:val="fr-CH"/>
        </w:rPr>
        <w:t xml:space="preserve">du </w:t>
      </w:r>
      <w:r w:rsidRPr="0071782F">
        <w:rPr>
          <w:lang w:val="fr-CH"/>
        </w:rPr>
        <w:t>program</w:t>
      </w:r>
      <w:r w:rsidR="009F71EA" w:rsidRPr="0071782F">
        <w:rPr>
          <w:lang w:val="fr-CH"/>
        </w:rPr>
        <w:t xml:space="preserve">me a été exécutée en 2003 dans </w:t>
      </w:r>
      <w:r w:rsidRPr="0071782F">
        <w:rPr>
          <w:lang w:val="fr-CH"/>
        </w:rPr>
        <w:t xml:space="preserve">115 </w:t>
      </w:r>
      <w:r w:rsidR="009F71EA" w:rsidRPr="0071782F">
        <w:rPr>
          <w:lang w:val="fr-CH"/>
        </w:rPr>
        <w:t xml:space="preserve">écoles urbaines et </w:t>
      </w:r>
      <w:r w:rsidRPr="0071782F">
        <w:rPr>
          <w:lang w:val="fr-CH"/>
        </w:rPr>
        <w:t xml:space="preserve">523 </w:t>
      </w:r>
      <w:r w:rsidR="009F71EA" w:rsidRPr="0071782F">
        <w:rPr>
          <w:lang w:val="fr-CH"/>
        </w:rPr>
        <w:t xml:space="preserve">écoles </w:t>
      </w:r>
      <w:r w:rsidRPr="0071782F">
        <w:rPr>
          <w:lang w:val="fr-CH"/>
        </w:rPr>
        <w:t>rural</w:t>
      </w:r>
      <w:r w:rsidR="009F71EA" w:rsidRPr="0071782F">
        <w:rPr>
          <w:lang w:val="fr-CH"/>
        </w:rPr>
        <w:t>es</w:t>
      </w:r>
      <w:r w:rsidRPr="0071782F">
        <w:rPr>
          <w:lang w:val="fr-CH"/>
        </w:rPr>
        <w:t xml:space="preserve">, </w:t>
      </w:r>
      <w:r w:rsidR="009F71EA" w:rsidRPr="0071782F">
        <w:rPr>
          <w:lang w:val="fr-CH"/>
        </w:rPr>
        <w:t xml:space="preserve">à tous les niveaux d’enseignement, de la province du Kurdistan et a concerné quelque 34 </w:t>
      </w:r>
      <w:r w:rsidRPr="0071782F">
        <w:rPr>
          <w:lang w:val="fr-CH"/>
        </w:rPr>
        <w:t xml:space="preserve">000 </w:t>
      </w:r>
      <w:r w:rsidR="009F71EA" w:rsidRPr="0071782F">
        <w:rPr>
          <w:lang w:val="fr-CH"/>
        </w:rPr>
        <w:t>écoliers</w:t>
      </w:r>
      <w:r w:rsidRPr="0071782F">
        <w:rPr>
          <w:lang w:val="fr-CH"/>
        </w:rPr>
        <w:t xml:space="preserve">. </w:t>
      </w:r>
      <w:r w:rsidR="009F71EA" w:rsidRPr="0071782F">
        <w:rPr>
          <w:lang w:val="fr-CH"/>
        </w:rPr>
        <w:t>Le processus de réé</w:t>
      </w:r>
      <w:r w:rsidRPr="0071782F">
        <w:rPr>
          <w:lang w:val="fr-CH"/>
        </w:rPr>
        <w:t xml:space="preserve">ducation, </w:t>
      </w:r>
      <w:r w:rsidR="009F71EA" w:rsidRPr="0071782F">
        <w:rPr>
          <w:lang w:val="fr-CH"/>
        </w:rPr>
        <w:t>faisant appel à la lecture et au dessin, notamment, a été engagé à l’intention de 37 833 élèves en février 2004</w:t>
      </w:r>
      <w:r w:rsidRPr="0071782F">
        <w:rPr>
          <w:lang w:val="fr-CH"/>
        </w:rPr>
        <w:t xml:space="preserve">. </w:t>
      </w:r>
      <w:r w:rsidR="009F71EA" w:rsidRPr="0071782F">
        <w:rPr>
          <w:lang w:val="fr-CH"/>
        </w:rPr>
        <w:t xml:space="preserve">À la fin du </w:t>
      </w:r>
      <w:r w:rsidRPr="0071782F">
        <w:rPr>
          <w:lang w:val="fr-CH"/>
        </w:rPr>
        <w:t>program</w:t>
      </w:r>
      <w:r w:rsidR="009F71EA" w:rsidRPr="0071782F">
        <w:rPr>
          <w:lang w:val="fr-CH"/>
        </w:rPr>
        <w:t>me</w:t>
      </w:r>
      <w:r w:rsidRPr="0071782F">
        <w:rPr>
          <w:lang w:val="fr-CH"/>
        </w:rPr>
        <w:t xml:space="preserve">, </w:t>
      </w:r>
      <w:r w:rsidR="009F71EA" w:rsidRPr="0071782F">
        <w:rPr>
          <w:lang w:val="fr-CH"/>
        </w:rPr>
        <w:t>on a calculé que le niveau de sensibilisation avait progressé de 30</w:t>
      </w:r>
      <w:r w:rsidR="007E5125" w:rsidRPr="0071782F">
        <w:rPr>
          <w:lang w:val="fr-CH"/>
        </w:rPr>
        <w:t>%</w:t>
      </w:r>
      <w:r w:rsidR="009F71EA" w:rsidRPr="0071782F">
        <w:rPr>
          <w:lang w:val="fr-CH"/>
        </w:rPr>
        <w:t xml:space="preserve">. </w:t>
      </w:r>
      <w:r w:rsidRPr="0071782F">
        <w:rPr>
          <w:lang w:val="fr-CH"/>
        </w:rPr>
        <w:t>Six</w:t>
      </w:r>
      <w:r w:rsidR="001F3F05" w:rsidRPr="0071782F">
        <w:rPr>
          <w:lang w:val="fr-CH"/>
        </w:rPr>
        <w:t> mois</w:t>
      </w:r>
      <w:r w:rsidR="009F71EA" w:rsidRPr="0071782F">
        <w:rPr>
          <w:lang w:val="fr-CH"/>
        </w:rPr>
        <w:t xml:space="preserve"> après l’achèvement du programme, le</w:t>
      </w:r>
      <w:r w:rsidRPr="0071782F">
        <w:rPr>
          <w:lang w:val="fr-CH"/>
        </w:rPr>
        <w:t xml:space="preserve"> </w:t>
      </w:r>
      <w:r w:rsidR="003B48A4" w:rsidRPr="0071782F">
        <w:rPr>
          <w:lang w:val="fr-CH"/>
        </w:rPr>
        <w:t>nombre</w:t>
      </w:r>
      <w:r w:rsidRPr="0071782F">
        <w:rPr>
          <w:lang w:val="fr-CH"/>
        </w:rPr>
        <w:t xml:space="preserve"> </w:t>
      </w:r>
      <w:r w:rsidR="009F71EA" w:rsidRPr="0071782F">
        <w:rPr>
          <w:lang w:val="fr-CH"/>
        </w:rPr>
        <w:t>de blessés a chuté de 80</w:t>
      </w:r>
      <w:r w:rsidR="007E5125" w:rsidRPr="0071782F">
        <w:rPr>
          <w:lang w:val="fr-CH"/>
        </w:rPr>
        <w:t>%</w:t>
      </w:r>
      <w:r w:rsidR="009F71EA" w:rsidRPr="0071782F">
        <w:rPr>
          <w:lang w:val="fr-CH"/>
        </w:rPr>
        <w:t>, pour l’essentiel parmi les écoliers</w:t>
      </w:r>
      <w:r w:rsidRPr="0071782F">
        <w:rPr>
          <w:lang w:val="fr-CH"/>
        </w:rPr>
        <w:t xml:space="preserve">. </w:t>
      </w:r>
      <w:r w:rsidR="009F71EA" w:rsidRPr="0071782F">
        <w:rPr>
          <w:lang w:val="fr-CH"/>
        </w:rPr>
        <w:t>Naturellement, il faut également tenir compte de l’</w:t>
      </w:r>
      <w:r w:rsidRPr="0071782F">
        <w:rPr>
          <w:lang w:val="fr-CH"/>
        </w:rPr>
        <w:t xml:space="preserve">impact </w:t>
      </w:r>
      <w:r w:rsidR="009F71EA" w:rsidRPr="0071782F">
        <w:rPr>
          <w:lang w:val="fr-CH"/>
        </w:rPr>
        <w:t xml:space="preserve">des activités de déminage réalisées au cours de la même période. </w:t>
      </w:r>
    </w:p>
    <w:p w:rsidR="003A6D8B" w:rsidRPr="0071782F" w:rsidRDefault="003A6D8B" w:rsidP="003A6D8B">
      <w:pPr>
        <w:pStyle w:val="SingleTxtG"/>
        <w:ind w:left="1701"/>
        <w:rPr>
          <w:lang w:val="fr-CH"/>
        </w:rPr>
      </w:pPr>
      <w:r w:rsidRPr="0071782F">
        <w:rPr>
          <w:lang w:val="fr-CH"/>
        </w:rPr>
        <w:t xml:space="preserve">326.17. </w:t>
      </w:r>
      <w:r w:rsidR="009F71EA" w:rsidRPr="0071782F">
        <w:rPr>
          <w:lang w:val="fr-CH"/>
        </w:rPr>
        <w:t xml:space="preserve">En 2007, pendant la deuxième </w:t>
      </w:r>
      <w:r w:rsidRPr="0071782F">
        <w:rPr>
          <w:lang w:val="fr-CH"/>
        </w:rPr>
        <w:t xml:space="preserve">phase </w:t>
      </w:r>
      <w:r w:rsidR="009F71EA" w:rsidRPr="0071782F">
        <w:rPr>
          <w:lang w:val="fr-CH"/>
        </w:rPr>
        <w:t xml:space="preserve">du </w:t>
      </w:r>
      <w:r w:rsidRPr="0071782F">
        <w:rPr>
          <w:lang w:val="fr-CH"/>
        </w:rPr>
        <w:t>program</w:t>
      </w:r>
      <w:r w:rsidR="009F71EA" w:rsidRPr="0071782F">
        <w:rPr>
          <w:lang w:val="fr-CH"/>
        </w:rPr>
        <w:t>me</w:t>
      </w:r>
      <w:r w:rsidRPr="0071782F">
        <w:rPr>
          <w:lang w:val="fr-CH"/>
        </w:rPr>
        <w:t xml:space="preserve">, </w:t>
      </w:r>
      <w:r w:rsidR="009F71EA" w:rsidRPr="0071782F">
        <w:rPr>
          <w:lang w:val="fr-CH"/>
        </w:rPr>
        <w:t>121</w:t>
      </w:r>
      <w:r w:rsidR="000E7A9B">
        <w:rPr>
          <w:lang w:val="fr-CH"/>
        </w:rPr>
        <w:t> </w:t>
      </w:r>
      <w:r w:rsidR="009F71EA" w:rsidRPr="0071782F">
        <w:rPr>
          <w:lang w:val="fr-CH"/>
        </w:rPr>
        <w:t>494</w:t>
      </w:r>
      <w:r w:rsidR="000E7A9B">
        <w:rPr>
          <w:lang w:val="fr-CH"/>
        </w:rPr>
        <w:t> </w:t>
      </w:r>
      <w:r w:rsidR="009F71EA" w:rsidRPr="0071782F">
        <w:rPr>
          <w:lang w:val="fr-CH"/>
        </w:rPr>
        <w:t>écoliers de tous niveaux ont bénéficié d’informations sur ce thème dans cinq provinces frontalières de l’ouest du pays contaminées (Azerbaï</w:t>
      </w:r>
      <w:r w:rsidRPr="0071782F">
        <w:rPr>
          <w:lang w:val="fr-CH"/>
        </w:rPr>
        <w:t>jan</w:t>
      </w:r>
      <w:r w:rsidR="009F71EA" w:rsidRPr="0071782F">
        <w:rPr>
          <w:lang w:val="fr-CH"/>
        </w:rPr>
        <w:t xml:space="preserve"> occidental, Ilam, Ku</w:t>
      </w:r>
      <w:r w:rsidRPr="0071782F">
        <w:rPr>
          <w:lang w:val="fr-CH"/>
        </w:rPr>
        <w:t>rd</w:t>
      </w:r>
      <w:r w:rsidR="009F71EA" w:rsidRPr="0071782F">
        <w:rPr>
          <w:lang w:val="fr-CH"/>
        </w:rPr>
        <w:t>i</w:t>
      </w:r>
      <w:r w:rsidRPr="0071782F">
        <w:rPr>
          <w:lang w:val="fr-CH"/>
        </w:rPr>
        <w:t>stan, Kermanshah</w:t>
      </w:r>
      <w:r w:rsidR="009F71EA" w:rsidRPr="0071782F">
        <w:rPr>
          <w:lang w:val="fr-CH"/>
        </w:rPr>
        <w:t xml:space="preserve"> et </w:t>
      </w:r>
      <w:r w:rsidRPr="0071782F">
        <w:rPr>
          <w:lang w:val="fr-CH"/>
        </w:rPr>
        <w:t>Khuzestan</w:t>
      </w:r>
      <w:r w:rsidR="009F71EA" w:rsidRPr="0071782F">
        <w:rPr>
          <w:lang w:val="fr-CH"/>
        </w:rPr>
        <w:t>)</w:t>
      </w:r>
      <w:r w:rsidRPr="0071782F">
        <w:rPr>
          <w:lang w:val="fr-CH"/>
        </w:rPr>
        <w:t>.</w:t>
      </w:r>
    </w:p>
    <w:p w:rsidR="003A6D8B" w:rsidRPr="0071782F" w:rsidRDefault="003A6D8B" w:rsidP="007F53A5">
      <w:pPr>
        <w:pStyle w:val="SingleTxtG"/>
        <w:spacing w:after="0"/>
        <w:ind w:left="1701"/>
        <w:rPr>
          <w:lang w:val="fr-CH"/>
        </w:rPr>
      </w:pPr>
      <w:r w:rsidRPr="0071782F">
        <w:rPr>
          <w:lang w:val="fr-CH"/>
        </w:rPr>
        <w:t xml:space="preserve">326.18. </w:t>
      </w:r>
      <w:r w:rsidR="009F71EA" w:rsidRPr="0071782F">
        <w:rPr>
          <w:lang w:val="fr-CH"/>
        </w:rPr>
        <w:t xml:space="preserve">Au cours de la troisième </w:t>
      </w:r>
      <w:r w:rsidRPr="0071782F">
        <w:rPr>
          <w:lang w:val="fr-CH"/>
        </w:rPr>
        <w:t xml:space="preserve">phase </w:t>
      </w:r>
      <w:r w:rsidR="009F71EA" w:rsidRPr="0071782F">
        <w:rPr>
          <w:lang w:val="fr-CH"/>
        </w:rPr>
        <w:t xml:space="preserve">du </w:t>
      </w:r>
      <w:r w:rsidRPr="0071782F">
        <w:rPr>
          <w:lang w:val="fr-CH"/>
        </w:rPr>
        <w:t>program</w:t>
      </w:r>
      <w:r w:rsidR="009F71EA" w:rsidRPr="0071782F">
        <w:rPr>
          <w:lang w:val="fr-CH"/>
        </w:rPr>
        <w:t>me</w:t>
      </w:r>
      <w:r w:rsidRPr="0071782F">
        <w:rPr>
          <w:lang w:val="fr-CH"/>
        </w:rPr>
        <w:t xml:space="preserve">, </w:t>
      </w:r>
      <w:r w:rsidR="009F71EA" w:rsidRPr="0071782F">
        <w:rPr>
          <w:lang w:val="fr-CH"/>
        </w:rPr>
        <w:t xml:space="preserve">en 2008, en plus d’augmenter le nombre d’élèves </w:t>
      </w:r>
      <w:r w:rsidR="00371E5A" w:rsidRPr="0071782F">
        <w:rPr>
          <w:lang w:val="fr-CH"/>
        </w:rPr>
        <w:t>bénéficiaire</w:t>
      </w:r>
      <w:r w:rsidR="009F71EA" w:rsidRPr="0071782F">
        <w:rPr>
          <w:lang w:val="fr-CH"/>
        </w:rPr>
        <w:t>s, il a été décidé de donner des informations à 5</w:t>
      </w:r>
      <w:r w:rsidR="000E7A9B">
        <w:rPr>
          <w:lang w:val="fr-CH"/>
        </w:rPr>
        <w:t> </w:t>
      </w:r>
      <w:r w:rsidRPr="0071782F">
        <w:rPr>
          <w:lang w:val="fr-CH"/>
        </w:rPr>
        <w:t xml:space="preserve">000 </w:t>
      </w:r>
      <w:r w:rsidR="009F71EA" w:rsidRPr="0071782F">
        <w:rPr>
          <w:lang w:val="fr-CH"/>
        </w:rPr>
        <w:t xml:space="preserve">bergers et agriculteurs de la province de </w:t>
      </w:r>
      <w:r w:rsidRPr="0071782F">
        <w:rPr>
          <w:lang w:val="fr-CH"/>
        </w:rPr>
        <w:t>Kermanshah.</w:t>
      </w:r>
    </w:p>
    <w:p w:rsidR="003A6D8B" w:rsidRPr="0071782F" w:rsidRDefault="003A6D8B" w:rsidP="003A6D8B">
      <w:pPr>
        <w:pStyle w:val="H23G"/>
        <w:rPr>
          <w:lang w:val="fr-CH"/>
        </w:rPr>
      </w:pPr>
      <w:r w:rsidRPr="0071782F">
        <w:rPr>
          <w:lang w:val="fr-CH"/>
        </w:rPr>
        <w:tab/>
      </w:r>
      <w:r w:rsidRPr="0071782F">
        <w:rPr>
          <w:lang w:val="fr-CH"/>
        </w:rPr>
        <w:tab/>
        <w:t>D</w:t>
      </w:r>
      <w:r w:rsidR="009F71EA" w:rsidRPr="0071782F">
        <w:rPr>
          <w:lang w:val="fr-CH"/>
        </w:rPr>
        <w:t xml:space="preserve">onnées sur le programme de sensibilisation en vue de la prévention des handicaps découlant de l’explosion de mines terrestres dans </w:t>
      </w:r>
      <w:r w:rsidR="0071782F" w:rsidRPr="0071782F">
        <w:rPr>
          <w:lang w:val="fr-CH"/>
        </w:rPr>
        <w:t>les zones contaminées</w:t>
      </w:r>
      <w:r w:rsidR="009F71EA" w:rsidRPr="0071782F">
        <w:rPr>
          <w:lang w:val="fr-CH"/>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857"/>
        <w:gridCol w:w="1687"/>
        <w:gridCol w:w="1985"/>
        <w:gridCol w:w="1841"/>
      </w:tblGrid>
      <w:tr w:rsidR="003A6D8B" w:rsidRPr="0071782F">
        <w:trPr>
          <w:tblHeader/>
        </w:trPr>
        <w:tc>
          <w:tcPr>
            <w:tcW w:w="1857" w:type="dxa"/>
            <w:tcBorders>
              <w:top w:val="single" w:sz="4" w:space="0" w:color="auto"/>
              <w:bottom w:val="single" w:sz="12" w:space="0" w:color="auto"/>
            </w:tcBorders>
            <w:shd w:val="clear" w:color="auto" w:fill="auto"/>
            <w:vAlign w:val="bottom"/>
          </w:tcPr>
          <w:p w:rsidR="003A6D8B" w:rsidRPr="0071782F" w:rsidRDefault="003A6D8B" w:rsidP="00C232FA">
            <w:pPr>
              <w:keepNext/>
              <w:suppressAutoHyphens w:val="0"/>
              <w:spacing w:before="80" w:after="80" w:line="200" w:lineRule="exact"/>
              <w:rPr>
                <w:i/>
                <w:sz w:val="16"/>
                <w:lang w:val="fr-CH"/>
              </w:rPr>
            </w:pPr>
            <w:r w:rsidRPr="0071782F">
              <w:rPr>
                <w:i/>
                <w:sz w:val="16"/>
                <w:lang w:val="fr-CH"/>
              </w:rPr>
              <w:t>Province</w:t>
            </w:r>
          </w:p>
        </w:tc>
        <w:tc>
          <w:tcPr>
            <w:tcW w:w="1687" w:type="dxa"/>
            <w:tcBorders>
              <w:top w:val="single" w:sz="4" w:space="0" w:color="auto"/>
              <w:bottom w:val="single" w:sz="12" w:space="0" w:color="auto"/>
            </w:tcBorders>
            <w:shd w:val="clear" w:color="auto" w:fill="auto"/>
            <w:vAlign w:val="bottom"/>
          </w:tcPr>
          <w:p w:rsidR="003A6D8B" w:rsidRPr="0071782F" w:rsidRDefault="009F71EA" w:rsidP="00C232FA">
            <w:pPr>
              <w:keepNext/>
              <w:suppressAutoHyphens w:val="0"/>
              <w:spacing w:before="80" w:after="80" w:line="200" w:lineRule="exact"/>
              <w:jc w:val="right"/>
              <w:rPr>
                <w:i/>
                <w:sz w:val="16"/>
                <w:lang w:val="fr-CH"/>
              </w:rPr>
            </w:pPr>
            <w:r w:rsidRPr="0071782F">
              <w:rPr>
                <w:i/>
                <w:sz w:val="16"/>
                <w:lang w:val="fr-CH"/>
              </w:rPr>
              <w:t>Nombre d’écoliers dans la</w:t>
            </w:r>
            <w:r w:rsidR="00D36718">
              <w:rPr>
                <w:i/>
                <w:sz w:val="16"/>
                <w:lang w:val="fr-CH"/>
              </w:rPr>
              <w:t xml:space="preserve"> </w:t>
            </w:r>
            <w:r w:rsidR="003A6D8B" w:rsidRPr="0071782F">
              <w:rPr>
                <w:i/>
                <w:sz w:val="16"/>
                <w:lang w:val="fr-CH"/>
              </w:rPr>
              <w:t>province</w:t>
            </w:r>
          </w:p>
        </w:tc>
        <w:tc>
          <w:tcPr>
            <w:tcW w:w="1985" w:type="dxa"/>
            <w:tcBorders>
              <w:top w:val="single" w:sz="4" w:space="0" w:color="auto"/>
              <w:bottom w:val="single" w:sz="12" w:space="0" w:color="auto"/>
            </w:tcBorders>
            <w:shd w:val="clear" w:color="auto" w:fill="auto"/>
            <w:vAlign w:val="bottom"/>
          </w:tcPr>
          <w:p w:rsidR="003A6D8B" w:rsidRPr="0071782F" w:rsidRDefault="009F71EA" w:rsidP="00C232FA">
            <w:pPr>
              <w:keepNext/>
              <w:suppressAutoHyphens w:val="0"/>
              <w:spacing w:before="80" w:after="80" w:line="200" w:lineRule="exact"/>
              <w:jc w:val="right"/>
              <w:rPr>
                <w:i/>
                <w:sz w:val="16"/>
                <w:lang w:val="fr-CH"/>
              </w:rPr>
            </w:pPr>
            <w:r w:rsidRPr="0071782F">
              <w:rPr>
                <w:i/>
                <w:sz w:val="16"/>
                <w:lang w:val="fr-CH"/>
              </w:rPr>
              <w:t>Nombre d’écoliers couverts par le</w:t>
            </w:r>
            <w:r w:rsidR="00D36718">
              <w:rPr>
                <w:i/>
                <w:sz w:val="16"/>
                <w:lang w:val="fr-CH"/>
              </w:rPr>
              <w:t xml:space="preserve"> </w:t>
            </w:r>
            <w:r w:rsidR="003A6D8B" w:rsidRPr="0071782F">
              <w:rPr>
                <w:i/>
                <w:sz w:val="16"/>
                <w:lang w:val="fr-CH"/>
              </w:rPr>
              <w:t>program</w:t>
            </w:r>
            <w:r w:rsidRPr="0071782F">
              <w:rPr>
                <w:i/>
                <w:sz w:val="16"/>
                <w:lang w:val="fr-CH"/>
              </w:rPr>
              <w:t>me</w:t>
            </w:r>
          </w:p>
        </w:tc>
        <w:tc>
          <w:tcPr>
            <w:tcW w:w="1841" w:type="dxa"/>
            <w:tcBorders>
              <w:top w:val="single" w:sz="4" w:space="0" w:color="auto"/>
              <w:bottom w:val="single" w:sz="12" w:space="0" w:color="auto"/>
            </w:tcBorders>
            <w:shd w:val="clear" w:color="auto" w:fill="auto"/>
            <w:vAlign w:val="bottom"/>
          </w:tcPr>
          <w:p w:rsidR="003A6D8B" w:rsidRPr="0071782F" w:rsidRDefault="009F71EA" w:rsidP="00C232FA">
            <w:pPr>
              <w:keepNext/>
              <w:suppressAutoHyphens w:val="0"/>
              <w:spacing w:before="80" w:after="80" w:line="200" w:lineRule="exact"/>
              <w:jc w:val="right"/>
              <w:rPr>
                <w:i/>
                <w:sz w:val="16"/>
                <w:lang w:val="fr-CH"/>
              </w:rPr>
            </w:pPr>
            <w:r w:rsidRPr="0071782F">
              <w:rPr>
                <w:i/>
                <w:sz w:val="16"/>
                <w:lang w:val="fr-CH"/>
              </w:rPr>
              <w:t>Nombre total d’écoliers couverts par le programme (</w:t>
            </w:r>
            <w:r w:rsidR="00946A73">
              <w:rPr>
                <w:i/>
                <w:sz w:val="16"/>
                <w:lang w:val="fr-CH"/>
              </w:rPr>
              <w:t>en %</w:t>
            </w:r>
            <w:r w:rsidRPr="0071782F">
              <w:rPr>
                <w:i/>
                <w:sz w:val="16"/>
                <w:lang w:val="fr-CH"/>
              </w:rPr>
              <w:t>)</w:t>
            </w:r>
          </w:p>
        </w:tc>
      </w:tr>
      <w:tr w:rsidR="003A6D8B" w:rsidRPr="0071782F">
        <w:tc>
          <w:tcPr>
            <w:tcW w:w="1857" w:type="dxa"/>
            <w:tcBorders>
              <w:top w:val="single" w:sz="12" w:space="0" w:color="auto"/>
            </w:tcBorders>
            <w:shd w:val="clear" w:color="auto" w:fill="auto"/>
            <w:vAlign w:val="bottom"/>
          </w:tcPr>
          <w:p w:rsidR="003A6D8B" w:rsidRPr="0071782F" w:rsidRDefault="003A6D8B" w:rsidP="00C232FA">
            <w:pPr>
              <w:keepNext/>
              <w:suppressAutoHyphens w:val="0"/>
              <w:spacing w:before="40" w:after="40" w:line="220" w:lineRule="exact"/>
              <w:rPr>
                <w:sz w:val="18"/>
                <w:lang w:val="fr-CH"/>
              </w:rPr>
            </w:pPr>
            <w:r w:rsidRPr="0071782F">
              <w:rPr>
                <w:sz w:val="18"/>
                <w:lang w:val="fr-CH"/>
              </w:rPr>
              <w:t>K</w:t>
            </w:r>
            <w:r w:rsidR="009F71EA" w:rsidRPr="0071782F">
              <w:rPr>
                <w:sz w:val="18"/>
                <w:lang w:val="fr-CH"/>
              </w:rPr>
              <w:t>urdi</w:t>
            </w:r>
            <w:r w:rsidRPr="0071782F">
              <w:rPr>
                <w:sz w:val="18"/>
                <w:lang w:val="fr-CH"/>
              </w:rPr>
              <w:t>stan</w:t>
            </w:r>
          </w:p>
        </w:tc>
        <w:tc>
          <w:tcPr>
            <w:tcW w:w="1687" w:type="dxa"/>
            <w:tcBorders>
              <w:top w:val="single" w:sz="12" w:space="0" w:color="auto"/>
            </w:tcBorders>
            <w:shd w:val="clear" w:color="auto" w:fill="auto"/>
            <w:vAlign w:val="bottom"/>
          </w:tcPr>
          <w:p w:rsidR="003A6D8B" w:rsidRPr="0071782F" w:rsidRDefault="003A6D8B" w:rsidP="00C232FA">
            <w:pPr>
              <w:keepNext/>
              <w:suppressAutoHyphens w:val="0"/>
              <w:spacing w:before="40" w:after="40" w:line="220" w:lineRule="exact"/>
              <w:jc w:val="right"/>
              <w:rPr>
                <w:sz w:val="18"/>
                <w:lang w:val="fr-CH"/>
              </w:rPr>
            </w:pPr>
            <w:r w:rsidRPr="0071782F">
              <w:rPr>
                <w:sz w:val="18"/>
                <w:lang w:val="fr-CH"/>
              </w:rPr>
              <w:t>237 831</w:t>
            </w:r>
          </w:p>
        </w:tc>
        <w:tc>
          <w:tcPr>
            <w:tcW w:w="1985" w:type="dxa"/>
            <w:tcBorders>
              <w:top w:val="single" w:sz="12" w:space="0" w:color="auto"/>
            </w:tcBorders>
            <w:shd w:val="clear" w:color="auto" w:fill="auto"/>
            <w:vAlign w:val="bottom"/>
          </w:tcPr>
          <w:p w:rsidR="003A6D8B" w:rsidRPr="0071782F" w:rsidRDefault="003A6D8B" w:rsidP="00C232FA">
            <w:pPr>
              <w:keepNext/>
              <w:suppressAutoHyphens w:val="0"/>
              <w:spacing w:before="40" w:after="40" w:line="220" w:lineRule="exact"/>
              <w:jc w:val="right"/>
              <w:rPr>
                <w:sz w:val="18"/>
                <w:lang w:val="fr-CH"/>
              </w:rPr>
            </w:pPr>
            <w:r w:rsidRPr="0071782F">
              <w:rPr>
                <w:sz w:val="18"/>
                <w:lang w:val="fr-CH"/>
              </w:rPr>
              <w:t>35 786</w:t>
            </w:r>
          </w:p>
        </w:tc>
        <w:tc>
          <w:tcPr>
            <w:tcW w:w="1841" w:type="dxa"/>
            <w:tcBorders>
              <w:top w:val="single" w:sz="12" w:space="0" w:color="auto"/>
            </w:tcBorders>
            <w:shd w:val="clear" w:color="auto" w:fill="auto"/>
            <w:vAlign w:val="bottom"/>
          </w:tcPr>
          <w:p w:rsidR="003A6D8B" w:rsidRPr="0071782F" w:rsidRDefault="003A6D8B" w:rsidP="00C232FA">
            <w:pPr>
              <w:keepNext/>
              <w:suppressAutoHyphens w:val="0"/>
              <w:spacing w:before="40" w:after="40" w:line="220" w:lineRule="exact"/>
              <w:jc w:val="right"/>
              <w:rPr>
                <w:sz w:val="18"/>
                <w:lang w:val="fr-CH"/>
              </w:rPr>
            </w:pPr>
            <w:r w:rsidRPr="0071782F">
              <w:rPr>
                <w:sz w:val="18"/>
                <w:lang w:val="fr-CH"/>
              </w:rPr>
              <w:t>15</w:t>
            </w:r>
          </w:p>
        </w:tc>
      </w:tr>
      <w:tr w:rsidR="003A6D8B" w:rsidRPr="0071782F">
        <w:tc>
          <w:tcPr>
            <w:tcW w:w="1857" w:type="dxa"/>
            <w:shd w:val="clear" w:color="auto" w:fill="auto"/>
            <w:vAlign w:val="bottom"/>
          </w:tcPr>
          <w:p w:rsidR="003A6D8B" w:rsidRPr="0071782F" w:rsidRDefault="003A6D8B" w:rsidP="00C232FA">
            <w:pPr>
              <w:keepNext/>
              <w:suppressAutoHyphens w:val="0"/>
              <w:spacing w:before="40" w:after="40" w:line="220" w:lineRule="exact"/>
              <w:rPr>
                <w:sz w:val="18"/>
                <w:lang w:val="fr-CH"/>
              </w:rPr>
            </w:pPr>
            <w:r w:rsidRPr="0071782F">
              <w:rPr>
                <w:sz w:val="18"/>
                <w:lang w:val="fr-CH"/>
              </w:rPr>
              <w:t>Ilam</w:t>
            </w:r>
          </w:p>
        </w:tc>
        <w:tc>
          <w:tcPr>
            <w:tcW w:w="1687" w:type="dxa"/>
            <w:shd w:val="clear" w:color="auto" w:fill="auto"/>
            <w:vAlign w:val="bottom"/>
          </w:tcPr>
          <w:p w:rsidR="003A6D8B" w:rsidRPr="0071782F" w:rsidRDefault="003A6D8B" w:rsidP="00C232FA">
            <w:pPr>
              <w:keepNext/>
              <w:suppressAutoHyphens w:val="0"/>
              <w:spacing w:before="40" w:after="40" w:line="220" w:lineRule="exact"/>
              <w:jc w:val="right"/>
              <w:rPr>
                <w:sz w:val="18"/>
                <w:lang w:val="fr-CH"/>
              </w:rPr>
            </w:pPr>
            <w:r w:rsidRPr="0071782F">
              <w:rPr>
                <w:sz w:val="18"/>
                <w:lang w:val="fr-CH"/>
              </w:rPr>
              <w:t>25 608</w:t>
            </w:r>
          </w:p>
        </w:tc>
        <w:tc>
          <w:tcPr>
            <w:tcW w:w="1985" w:type="dxa"/>
            <w:shd w:val="clear" w:color="auto" w:fill="auto"/>
            <w:vAlign w:val="bottom"/>
          </w:tcPr>
          <w:p w:rsidR="003A6D8B" w:rsidRPr="0071782F" w:rsidRDefault="003A6D8B" w:rsidP="00C232FA">
            <w:pPr>
              <w:keepNext/>
              <w:suppressAutoHyphens w:val="0"/>
              <w:spacing w:before="40" w:after="40" w:line="220" w:lineRule="exact"/>
              <w:jc w:val="right"/>
              <w:rPr>
                <w:sz w:val="18"/>
                <w:lang w:val="fr-CH"/>
              </w:rPr>
            </w:pPr>
            <w:r w:rsidRPr="0071782F">
              <w:rPr>
                <w:sz w:val="18"/>
                <w:lang w:val="fr-CH"/>
              </w:rPr>
              <w:t>3 112</w:t>
            </w:r>
          </w:p>
        </w:tc>
        <w:tc>
          <w:tcPr>
            <w:tcW w:w="1841" w:type="dxa"/>
            <w:shd w:val="clear" w:color="auto" w:fill="auto"/>
            <w:vAlign w:val="bottom"/>
          </w:tcPr>
          <w:p w:rsidR="003A6D8B" w:rsidRPr="0071782F" w:rsidRDefault="003A6D8B" w:rsidP="00C232FA">
            <w:pPr>
              <w:keepNext/>
              <w:suppressAutoHyphens w:val="0"/>
              <w:spacing w:before="40" w:after="40" w:line="220" w:lineRule="exact"/>
              <w:jc w:val="right"/>
              <w:rPr>
                <w:sz w:val="18"/>
                <w:lang w:val="fr-CH"/>
              </w:rPr>
            </w:pPr>
            <w:r w:rsidRPr="0071782F">
              <w:rPr>
                <w:sz w:val="18"/>
                <w:lang w:val="fr-CH"/>
              </w:rPr>
              <w:t>12</w:t>
            </w:r>
          </w:p>
        </w:tc>
      </w:tr>
      <w:tr w:rsidR="003A6D8B" w:rsidRPr="0071782F">
        <w:tc>
          <w:tcPr>
            <w:tcW w:w="1857" w:type="dxa"/>
            <w:shd w:val="clear" w:color="auto" w:fill="auto"/>
            <w:vAlign w:val="bottom"/>
          </w:tcPr>
          <w:p w:rsidR="003A6D8B" w:rsidRPr="0071782F" w:rsidRDefault="003A6D8B" w:rsidP="00C232FA">
            <w:pPr>
              <w:keepNext/>
              <w:suppressAutoHyphens w:val="0"/>
              <w:spacing w:before="40" w:after="40" w:line="220" w:lineRule="exact"/>
              <w:rPr>
                <w:sz w:val="18"/>
                <w:lang w:val="fr-CH"/>
              </w:rPr>
            </w:pPr>
            <w:r w:rsidRPr="0071782F">
              <w:rPr>
                <w:sz w:val="18"/>
                <w:lang w:val="fr-CH"/>
              </w:rPr>
              <w:t>Khuzestan</w:t>
            </w:r>
          </w:p>
        </w:tc>
        <w:tc>
          <w:tcPr>
            <w:tcW w:w="1687" w:type="dxa"/>
            <w:shd w:val="clear" w:color="auto" w:fill="auto"/>
            <w:vAlign w:val="bottom"/>
          </w:tcPr>
          <w:p w:rsidR="003A6D8B" w:rsidRPr="0071782F" w:rsidRDefault="003A6D8B" w:rsidP="00C232FA">
            <w:pPr>
              <w:keepNext/>
              <w:suppressAutoHyphens w:val="0"/>
              <w:spacing w:before="40" w:after="40" w:line="220" w:lineRule="exact"/>
              <w:jc w:val="right"/>
              <w:rPr>
                <w:sz w:val="18"/>
                <w:lang w:val="fr-CH"/>
              </w:rPr>
            </w:pPr>
            <w:r w:rsidRPr="0071782F">
              <w:rPr>
                <w:sz w:val="18"/>
                <w:lang w:val="fr-CH"/>
              </w:rPr>
              <w:t>193 000</w:t>
            </w:r>
          </w:p>
        </w:tc>
        <w:tc>
          <w:tcPr>
            <w:tcW w:w="1985" w:type="dxa"/>
            <w:shd w:val="clear" w:color="auto" w:fill="auto"/>
            <w:vAlign w:val="bottom"/>
          </w:tcPr>
          <w:p w:rsidR="003A6D8B" w:rsidRPr="0071782F" w:rsidRDefault="003A6D8B" w:rsidP="00C232FA">
            <w:pPr>
              <w:keepNext/>
              <w:suppressAutoHyphens w:val="0"/>
              <w:spacing w:before="40" w:after="40" w:line="220" w:lineRule="exact"/>
              <w:jc w:val="right"/>
              <w:rPr>
                <w:sz w:val="18"/>
                <w:lang w:val="fr-CH"/>
              </w:rPr>
            </w:pPr>
            <w:r w:rsidRPr="0071782F">
              <w:rPr>
                <w:sz w:val="18"/>
                <w:lang w:val="fr-CH"/>
              </w:rPr>
              <w:t>29 300</w:t>
            </w:r>
          </w:p>
        </w:tc>
        <w:tc>
          <w:tcPr>
            <w:tcW w:w="1841" w:type="dxa"/>
            <w:shd w:val="clear" w:color="auto" w:fill="auto"/>
            <w:vAlign w:val="bottom"/>
          </w:tcPr>
          <w:p w:rsidR="003A6D8B" w:rsidRPr="0071782F" w:rsidRDefault="003A6D8B" w:rsidP="00C232FA">
            <w:pPr>
              <w:keepNext/>
              <w:suppressAutoHyphens w:val="0"/>
              <w:spacing w:before="40" w:after="40" w:line="220" w:lineRule="exact"/>
              <w:jc w:val="right"/>
              <w:rPr>
                <w:sz w:val="18"/>
                <w:lang w:val="fr-CH"/>
              </w:rPr>
            </w:pPr>
            <w:r w:rsidRPr="0071782F">
              <w:rPr>
                <w:sz w:val="18"/>
                <w:lang w:val="fr-CH"/>
              </w:rPr>
              <w:t>15</w:t>
            </w:r>
          </w:p>
        </w:tc>
      </w:tr>
      <w:tr w:rsidR="003A6D8B" w:rsidRPr="0071782F">
        <w:tc>
          <w:tcPr>
            <w:tcW w:w="1857" w:type="dxa"/>
            <w:shd w:val="clear" w:color="auto" w:fill="auto"/>
            <w:vAlign w:val="bottom"/>
          </w:tcPr>
          <w:p w:rsidR="003A6D8B" w:rsidRPr="0071782F" w:rsidRDefault="003A6D8B" w:rsidP="00C232FA">
            <w:pPr>
              <w:keepNext/>
              <w:suppressAutoHyphens w:val="0"/>
              <w:spacing w:before="40" w:after="40" w:line="220" w:lineRule="exact"/>
              <w:rPr>
                <w:sz w:val="18"/>
                <w:lang w:val="fr-CH"/>
              </w:rPr>
            </w:pPr>
            <w:r w:rsidRPr="0071782F">
              <w:rPr>
                <w:sz w:val="18"/>
                <w:lang w:val="fr-CH"/>
              </w:rPr>
              <w:t>Kermanshah</w:t>
            </w:r>
          </w:p>
        </w:tc>
        <w:tc>
          <w:tcPr>
            <w:tcW w:w="1687" w:type="dxa"/>
            <w:shd w:val="clear" w:color="auto" w:fill="auto"/>
            <w:vAlign w:val="bottom"/>
          </w:tcPr>
          <w:p w:rsidR="003A6D8B" w:rsidRPr="0071782F" w:rsidRDefault="003A6D8B" w:rsidP="00C232FA">
            <w:pPr>
              <w:keepNext/>
              <w:suppressAutoHyphens w:val="0"/>
              <w:spacing w:before="40" w:after="40" w:line="220" w:lineRule="exact"/>
              <w:jc w:val="right"/>
              <w:rPr>
                <w:sz w:val="18"/>
                <w:lang w:val="fr-CH"/>
              </w:rPr>
            </w:pPr>
            <w:r w:rsidRPr="0071782F">
              <w:rPr>
                <w:sz w:val="18"/>
                <w:lang w:val="fr-CH"/>
              </w:rPr>
              <w:t>78 890</w:t>
            </w:r>
          </w:p>
        </w:tc>
        <w:tc>
          <w:tcPr>
            <w:tcW w:w="1985" w:type="dxa"/>
            <w:shd w:val="clear" w:color="auto" w:fill="auto"/>
            <w:vAlign w:val="bottom"/>
          </w:tcPr>
          <w:p w:rsidR="003A6D8B" w:rsidRPr="0071782F" w:rsidRDefault="003A6D8B" w:rsidP="00C232FA">
            <w:pPr>
              <w:keepNext/>
              <w:suppressAutoHyphens w:val="0"/>
              <w:spacing w:before="40" w:after="40" w:line="220" w:lineRule="exact"/>
              <w:jc w:val="right"/>
              <w:rPr>
                <w:sz w:val="18"/>
                <w:lang w:val="fr-CH"/>
              </w:rPr>
            </w:pPr>
            <w:r w:rsidRPr="0071782F">
              <w:rPr>
                <w:sz w:val="18"/>
                <w:lang w:val="fr-CH"/>
              </w:rPr>
              <w:t>30 767</w:t>
            </w:r>
          </w:p>
        </w:tc>
        <w:tc>
          <w:tcPr>
            <w:tcW w:w="1841" w:type="dxa"/>
            <w:shd w:val="clear" w:color="auto" w:fill="auto"/>
            <w:vAlign w:val="bottom"/>
          </w:tcPr>
          <w:p w:rsidR="003A6D8B" w:rsidRPr="0071782F" w:rsidRDefault="003A6D8B" w:rsidP="00C232FA">
            <w:pPr>
              <w:keepNext/>
              <w:suppressAutoHyphens w:val="0"/>
              <w:spacing w:before="40" w:after="40" w:line="220" w:lineRule="exact"/>
              <w:jc w:val="right"/>
              <w:rPr>
                <w:sz w:val="18"/>
                <w:lang w:val="fr-CH"/>
              </w:rPr>
            </w:pPr>
            <w:r w:rsidRPr="0071782F">
              <w:rPr>
                <w:sz w:val="18"/>
                <w:lang w:val="fr-CH"/>
              </w:rPr>
              <w:t>39</w:t>
            </w:r>
          </w:p>
        </w:tc>
      </w:tr>
      <w:tr w:rsidR="003A6D8B" w:rsidRPr="0071782F">
        <w:tc>
          <w:tcPr>
            <w:tcW w:w="1857" w:type="dxa"/>
            <w:tcBorders>
              <w:bottom w:val="single" w:sz="4" w:space="0" w:color="auto"/>
            </w:tcBorders>
            <w:shd w:val="clear" w:color="auto" w:fill="auto"/>
            <w:vAlign w:val="bottom"/>
          </w:tcPr>
          <w:p w:rsidR="003A6D8B" w:rsidRPr="0071782F" w:rsidRDefault="003A6D8B" w:rsidP="00C232FA">
            <w:pPr>
              <w:keepNext/>
              <w:suppressAutoHyphens w:val="0"/>
              <w:spacing w:before="40" w:after="40" w:line="220" w:lineRule="exact"/>
              <w:rPr>
                <w:sz w:val="18"/>
                <w:lang w:val="fr-CH"/>
              </w:rPr>
            </w:pPr>
            <w:r w:rsidRPr="0071782F">
              <w:rPr>
                <w:sz w:val="18"/>
                <w:lang w:val="fr-CH"/>
              </w:rPr>
              <w:t>Azerba</w:t>
            </w:r>
            <w:r w:rsidR="009F71EA" w:rsidRPr="0071782F">
              <w:rPr>
                <w:sz w:val="18"/>
                <w:lang w:val="fr-CH"/>
              </w:rPr>
              <w:t xml:space="preserve">ïdjan occidental </w:t>
            </w:r>
          </w:p>
        </w:tc>
        <w:tc>
          <w:tcPr>
            <w:tcW w:w="1687" w:type="dxa"/>
            <w:tcBorders>
              <w:bottom w:val="single" w:sz="4" w:space="0" w:color="auto"/>
            </w:tcBorders>
            <w:shd w:val="clear" w:color="auto" w:fill="auto"/>
            <w:vAlign w:val="bottom"/>
          </w:tcPr>
          <w:p w:rsidR="003A6D8B" w:rsidRPr="0071782F" w:rsidRDefault="003A6D8B" w:rsidP="00C232FA">
            <w:pPr>
              <w:keepNext/>
              <w:suppressAutoHyphens w:val="0"/>
              <w:spacing w:before="40" w:after="40" w:line="220" w:lineRule="exact"/>
              <w:jc w:val="right"/>
              <w:rPr>
                <w:sz w:val="18"/>
                <w:lang w:val="fr-CH"/>
              </w:rPr>
            </w:pPr>
            <w:r w:rsidRPr="0071782F">
              <w:rPr>
                <w:sz w:val="18"/>
                <w:lang w:val="fr-CH"/>
              </w:rPr>
              <w:t>95 216</w:t>
            </w:r>
          </w:p>
        </w:tc>
        <w:tc>
          <w:tcPr>
            <w:tcW w:w="1985" w:type="dxa"/>
            <w:tcBorders>
              <w:bottom w:val="single" w:sz="4" w:space="0" w:color="auto"/>
            </w:tcBorders>
            <w:shd w:val="clear" w:color="auto" w:fill="auto"/>
            <w:vAlign w:val="bottom"/>
          </w:tcPr>
          <w:p w:rsidR="003A6D8B" w:rsidRPr="0071782F" w:rsidRDefault="003A6D8B" w:rsidP="00C232FA">
            <w:pPr>
              <w:keepNext/>
              <w:suppressAutoHyphens w:val="0"/>
              <w:spacing w:before="40" w:after="40" w:line="220" w:lineRule="exact"/>
              <w:jc w:val="right"/>
              <w:rPr>
                <w:sz w:val="18"/>
                <w:lang w:val="fr-CH"/>
              </w:rPr>
            </w:pPr>
            <w:r w:rsidRPr="0071782F">
              <w:rPr>
                <w:sz w:val="18"/>
                <w:lang w:val="fr-CH"/>
              </w:rPr>
              <w:t>22 529</w:t>
            </w:r>
          </w:p>
        </w:tc>
        <w:tc>
          <w:tcPr>
            <w:tcW w:w="1841" w:type="dxa"/>
            <w:tcBorders>
              <w:bottom w:val="single" w:sz="4" w:space="0" w:color="auto"/>
            </w:tcBorders>
            <w:shd w:val="clear" w:color="auto" w:fill="auto"/>
            <w:vAlign w:val="bottom"/>
          </w:tcPr>
          <w:p w:rsidR="003A6D8B" w:rsidRPr="0071782F" w:rsidRDefault="003A6D8B" w:rsidP="00C232FA">
            <w:pPr>
              <w:keepNext/>
              <w:suppressAutoHyphens w:val="0"/>
              <w:spacing w:before="40" w:after="40" w:line="220" w:lineRule="exact"/>
              <w:jc w:val="right"/>
              <w:rPr>
                <w:sz w:val="18"/>
                <w:lang w:val="fr-CH"/>
              </w:rPr>
            </w:pPr>
            <w:r w:rsidRPr="0071782F">
              <w:rPr>
                <w:sz w:val="18"/>
                <w:lang w:val="fr-CH"/>
              </w:rPr>
              <w:t>24</w:t>
            </w:r>
          </w:p>
        </w:tc>
      </w:tr>
      <w:tr w:rsidR="003A6D8B" w:rsidRPr="0071782F">
        <w:tc>
          <w:tcPr>
            <w:tcW w:w="1857" w:type="dxa"/>
            <w:tcBorders>
              <w:top w:val="single" w:sz="4" w:space="0" w:color="auto"/>
              <w:bottom w:val="single" w:sz="12" w:space="0" w:color="auto"/>
            </w:tcBorders>
            <w:shd w:val="clear" w:color="auto" w:fill="auto"/>
            <w:vAlign w:val="bottom"/>
          </w:tcPr>
          <w:p w:rsidR="003A6D8B" w:rsidRPr="0071782F" w:rsidRDefault="003A6D8B" w:rsidP="006659C7">
            <w:pPr>
              <w:suppressAutoHyphens w:val="0"/>
              <w:spacing w:before="80" w:after="80" w:line="220" w:lineRule="exact"/>
              <w:ind w:left="284"/>
              <w:rPr>
                <w:b/>
                <w:sz w:val="18"/>
                <w:lang w:val="fr-CH"/>
              </w:rPr>
            </w:pPr>
            <w:r w:rsidRPr="0071782F">
              <w:rPr>
                <w:b/>
                <w:sz w:val="18"/>
                <w:lang w:val="fr-CH"/>
              </w:rPr>
              <w:t>Total</w:t>
            </w:r>
          </w:p>
        </w:tc>
        <w:tc>
          <w:tcPr>
            <w:tcW w:w="1687"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360 545</w:t>
            </w:r>
          </w:p>
        </w:tc>
        <w:tc>
          <w:tcPr>
            <w:tcW w:w="1985"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121 494</w:t>
            </w:r>
          </w:p>
        </w:tc>
        <w:tc>
          <w:tcPr>
            <w:tcW w:w="1841"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19</w:t>
            </w:r>
          </w:p>
        </w:tc>
      </w:tr>
    </w:tbl>
    <w:p w:rsidR="003A6D8B" w:rsidRPr="0071782F" w:rsidRDefault="003A6D8B" w:rsidP="003A6D8B">
      <w:pPr>
        <w:pStyle w:val="SingleTxtG"/>
        <w:spacing w:before="240"/>
        <w:ind w:left="1701"/>
        <w:rPr>
          <w:lang w:val="fr-CH"/>
        </w:rPr>
      </w:pPr>
      <w:r w:rsidRPr="0071782F">
        <w:rPr>
          <w:lang w:val="fr-CH"/>
        </w:rPr>
        <w:t xml:space="preserve">326.19. </w:t>
      </w:r>
      <w:r w:rsidR="00F81665" w:rsidRPr="0071782F">
        <w:rPr>
          <w:lang w:val="fr-CH"/>
        </w:rPr>
        <w:t>Le Programme d’augmentation de la capacité mentale des nourrissons vise essentiellement à renforcer la capacité mentale des enfants et à prévenir l’arriération mentale secondaire</w:t>
      </w:r>
      <w:r w:rsidRPr="0071782F">
        <w:rPr>
          <w:lang w:val="fr-CH"/>
        </w:rPr>
        <w:t xml:space="preserve">. </w:t>
      </w:r>
      <w:r w:rsidR="00F81665" w:rsidRPr="0071782F">
        <w:rPr>
          <w:lang w:val="fr-CH"/>
        </w:rPr>
        <w:t>Pour réaliser cet objectif, la formation nécessaire est dispensée sous forme de livres illustrés aux formateurs des garderies et jardins d’enfants et aux mères de nourrissons âgés de 18</w:t>
      </w:r>
      <w:r w:rsidR="001F3F05" w:rsidRPr="0071782F">
        <w:rPr>
          <w:lang w:val="fr-CH"/>
        </w:rPr>
        <w:t> mois</w:t>
      </w:r>
      <w:r w:rsidR="00F81665" w:rsidRPr="0071782F">
        <w:rPr>
          <w:lang w:val="fr-CH"/>
        </w:rPr>
        <w:t xml:space="preserve"> au maximum. Le programme est évalué à l’aide de </w:t>
      </w:r>
      <w:r w:rsidRPr="0071782F">
        <w:rPr>
          <w:lang w:val="fr-CH"/>
        </w:rPr>
        <w:t xml:space="preserve">questionnaires </w:t>
      </w:r>
      <w:r w:rsidR="00F81665" w:rsidRPr="0071782F">
        <w:rPr>
          <w:lang w:val="fr-CH"/>
        </w:rPr>
        <w:t>que les membres du groupe cible doivent remplir avant et après cette formation</w:t>
      </w:r>
      <w:r w:rsidRPr="0071782F">
        <w:rPr>
          <w:lang w:val="fr-CH"/>
        </w:rPr>
        <w:t xml:space="preserve">. </w:t>
      </w:r>
      <w:r w:rsidR="00F81665" w:rsidRPr="0071782F">
        <w:rPr>
          <w:lang w:val="fr-CH"/>
        </w:rPr>
        <w:t>Des études ont montré qu’une éducation appropriée peut augmenter de 10 points le QI dans les années suivantes.</w:t>
      </w:r>
      <w:r w:rsidRPr="0071782F">
        <w:rPr>
          <w:lang w:val="fr-CH"/>
        </w:rPr>
        <w:t xml:space="preserve"> </w:t>
      </w:r>
      <w:r w:rsidR="00F81665" w:rsidRPr="0071782F">
        <w:rPr>
          <w:lang w:val="fr-CH"/>
        </w:rPr>
        <w:t xml:space="preserve">Le </w:t>
      </w:r>
      <w:r w:rsidRPr="0071782F">
        <w:rPr>
          <w:lang w:val="fr-CH"/>
        </w:rPr>
        <w:t>program</w:t>
      </w:r>
      <w:r w:rsidR="00F81665" w:rsidRPr="0071782F">
        <w:rPr>
          <w:lang w:val="fr-CH"/>
        </w:rPr>
        <w:t xml:space="preserve">me comprend trois </w:t>
      </w:r>
      <w:r w:rsidRPr="0071782F">
        <w:rPr>
          <w:lang w:val="fr-CH"/>
        </w:rPr>
        <w:t xml:space="preserve">phases. </w:t>
      </w:r>
      <w:r w:rsidR="00F81665" w:rsidRPr="0071782F">
        <w:rPr>
          <w:lang w:val="fr-CH"/>
        </w:rPr>
        <w:t xml:space="preserve">La première (phase pilote) a été menée à bien dans le district de </w:t>
      </w:r>
      <w:r w:rsidRPr="0071782F">
        <w:rPr>
          <w:lang w:val="fr-CH"/>
        </w:rPr>
        <w:t xml:space="preserve">Shahryar </w:t>
      </w:r>
      <w:r w:rsidR="00F81665" w:rsidRPr="0071782F">
        <w:rPr>
          <w:lang w:val="fr-CH"/>
        </w:rPr>
        <w:t xml:space="preserve">de la province de </w:t>
      </w:r>
      <w:r w:rsidRPr="0071782F">
        <w:rPr>
          <w:lang w:val="fr-CH"/>
        </w:rPr>
        <w:t>T</w:t>
      </w:r>
      <w:r w:rsidR="00F81665" w:rsidRPr="0071782F">
        <w:rPr>
          <w:lang w:val="fr-CH"/>
        </w:rPr>
        <w:t>é</w:t>
      </w:r>
      <w:r w:rsidRPr="0071782F">
        <w:rPr>
          <w:lang w:val="fr-CH"/>
        </w:rPr>
        <w:t>h</w:t>
      </w:r>
      <w:r w:rsidR="00F81665" w:rsidRPr="0071782F">
        <w:rPr>
          <w:lang w:val="fr-CH"/>
        </w:rPr>
        <w:t>é</w:t>
      </w:r>
      <w:r w:rsidRPr="0071782F">
        <w:rPr>
          <w:lang w:val="fr-CH"/>
        </w:rPr>
        <w:t xml:space="preserve">ran. </w:t>
      </w:r>
      <w:r w:rsidR="00F81665" w:rsidRPr="0071782F">
        <w:rPr>
          <w:lang w:val="fr-CH"/>
        </w:rPr>
        <w:t xml:space="preserve">Lors de la deuxième </w:t>
      </w:r>
      <w:r w:rsidRPr="0071782F">
        <w:rPr>
          <w:lang w:val="fr-CH"/>
        </w:rPr>
        <w:t xml:space="preserve">phase, </w:t>
      </w:r>
      <w:r w:rsidR="00F81665" w:rsidRPr="0071782F">
        <w:rPr>
          <w:lang w:val="fr-CH"/>
        </w:rPr>
        <w:t>e</w:t>
      </w:r>
      <w:r w:rsidRPr="0071782F">
        <w:rPr>
          <w:lang w:val="fr-CH"/>
        </w:rPr>
        <w:t xml:space="preserve">n 2007, </w:t>
      </w:r>
      <w:r w:rsidR="00F81665" w:rsidRPr="0071782F">
        <w:rPr>
          <w:lang w:val="fr-CH"/>
        </w:rPr>
        <w:t xml:space="preserve">une formation a été dispensée à toutes les garderies affiliées à l’organisation, à </w:t>
      </w:r>
      <w:r w:rsidRPr="0071782F">
        <w:rPr>
          <w:lang w:val="fr-CH"/>
        </w:rPr>
        <w:t>322</w:t>
      </w:r>
      <w:r w:rsidR="00C232FA" w:rsidRPr="0071782F">
        <w:rPr>
          <w:lang w:val="fr-CH"/>
        </w:rPr>
        <w:t> </w:t>
      </w:r>
      <w:r w:rsidR="00F81665" w:rsidRPr="0071782F">
        <w:rPr>
          <w:lang w:val="fr-CH"/>
        </w:rPr>
        <w:t>formateurs</w:t>
      </w:r>
      <w:r w:rsidRPr="0071782F">
        <w:rPr>
          <w:lang w:val="fr-CH"/>
        </w:rPr>
        <w:t xml:space="preserve">, </w:t>
      </w:r>
      <w:r w:rsidR="00F81665" w:rsidRPr="0071782F">
        <w:rPr>
          <w:lang w:val="fr-CH"/>
        </w:rPr>
        <w:t xml:space="preserve">à </w:t>
      </w:r>
      <w:r w:rsidRPr="0071782F">
        <w:rPr>
          <w:lang w:val="fr-CH"/>
        </w:rPr>
        <w:t xml:space="preserve">157 </w:t>
      </w:r>
      <w:r w:rsidR="00F81665" w:rsidRPr="0071782F">
        <w:rPr>
          <w:lang w:val="fr-CH"/>
        </w:rPr>
        <w:t xml:space="preserve">auxiliaires et à </w:t>
      </w:r>
      <w:r w:rsidRPr="0071782F">
        <w:rPr>
          <w:lang w:val="fr-CH"/>
        </w:rPr>
        <w:t>259</w:t>
      </w:r>
      <w:r w:rsidR="007F37CE" w:rsidRPr="0071782F">
        <w:rPr>
          <w:lang w:val="fr-CH"/>
        </w:rPr>
        <w:t> famille</w:t>
      </w:r>
      <w:r w:rsidR="00F81665" w:rsidRPr="0071782F">
        <w:rPr>
          <w:lang w:val="fr-CH"/>
        </w:rPr>
        <w:t>s d’accueil</w:t>
      </w:r>
      <w:r w:rsidRPr="0071782F">
        <w:rPr>
          <w:lang w:val="fr-CH"/>
        </w:rPr>
        <w:t xml:space="preserve">. </w:t>
      </w:r>
      <w:r w:rsidR="00F81665" w:rsidRPr="0071782F">
        <w:rPr>
          <w:lang w:val="fr-CH"/>
        </w:rPr>
        <w:t>E</w:t>
      </w:r>
      <w:r w:rsidRPr="0071782F">
        <w:rPr>
          <w:lang w:val="fr-CH"/>
        </w:rPr>
        <w:t xml:space="preserve">n 2008, </w:t>
      </w:r>
      <w:r w:rsidR="00F81665" w:rsidRPr="0071782F">
        <w:rPr>
          <w:lang w:val="fr-CH"/>
        </w:rPr>
        <w:t>tous les enfants âgés de moins de deux</w:t>
      </w:r>
      <w:r w:rsidR="00D82C96" w:rsidRPr="0071782F">
        <w:rPr>
          <w:lang w:val="fr-CH"/>
        </w:rPr>
        <w:t> ans</w:t>
      </w:r>
      <w:r w:rsidR="00F81665" w:rsidRPr="0071782F">
        <w:rPr>
          <w:lang w:val="fr-CH"/>
        </w:rPr>
        <w:t xml:space="preserve"> fréquentant les jardins d’enfants de l’ensemble du pays étaient couverts par ce programme</w:t>
      </w:r>
      <w:r w:rsidRPr="0071782F">
        <w:rPr>
          <w:lang w:val="fr-CH"/>
        </w:rPr>
        <w:t xml:space="preserve">. </w:t>
      </w:r>
    </w:p>
    <w:p w:rsidR="003A6D8B" w:rsidRPr="0071782F" w:rsidRDefault="003A6D8B" w:rsidP="003A6D8B">
      <w:pPr>
        <w:pStyle w:val="SingleTxtG"/>
        <w:ind w:left="1701"/>
        <w:rPr>
          <w:lang w:val="fr-CH"/>
        </w:rPr>
      </w:pPr>
      <w:r w:rsidRPr="0071782F">
        <w:rPr>
          <w:lang w:val="fr-CH"/>
        </w:rPr>
        <w:t xml:space="preserve">326.20. </w:t>
      </w:r>
      <w:r w:rsidR="0091074D" w:rsidRPr="0071782F">
        <w:rPr>
          <w:lang w:val="fr-CH"/>
        </w:rPr>
        <w:t>Le Programme de prévention des brûlures.</w:t>
      </w:r>
      <w:r w:rsidRPr="0071782F">
        <w:rPr>
          <w:lang w:val="fr-CH"/>
        </w:rPr>
        <w:t xml:space="preserve"> </w:t>
      </w:r>
      <w:r w:rsidR="0091074D" w:rsidRPr="0071782F">
        <w:rPr>
          <w:lang w:val="fr-CH"/>
        </w:rPr>
        <w:t>Les brûlures sont l’une des principales causes de décès et de blessures parmi les enfants âgés de moins de 10</w:t>
      </w:r>
      <w:r w:rsidR="00D82C96" w:rsidRPr="0071782F">
        <w:rPr>
          <w:lang w:val="fr-CH"/>
        </w:rPr>
        <w:t> ans</w:t>
      </w:r>
      <w:r w:rsidR="0091074D" w:rsidRPr="0071782F">
        <w:rPr>
          <w:lang w:val="fr-CH"/>
        </w:rPr>
        <w:t xml:space="preserve"> dans le monde entier et constituent, après les accidents de la circulation, la principale cause de décès. Des études montrent que </w:t>
      </w:r>
      <w:r w:rsidRPr="0071782F">
        <w:rPr>
          <w:lang w:val="fr-CH"/>
        </w:rPr>
        <w:t>90</w:t>
      </w:r>
      <w:r w:rsidR="007E5125" w:rsidRPr="0071782F">
        <w:rPr>
          <w:lang w:val="fr-CH"/>
        </w:rPr>
        <w:t>%</w:t>
      </w:r>
      <w:r w:rsidR="0091074D" w:rsidRPr="0071782F">
        <w:rPr>
          <w:lang w:val="fr-CH"/>
        </w:rPr>
        <w:t xml:space="preserve"> des brûlures chez les enfants sont le résultat de la négligence ou de l’ignorance. Le Programme de prévention des brûlures a été introduit pour la première fois, à titre expérimental, dans la province de </w:t>
      </w:r>
      <w:r w:rsidRPr="0071782F">
        <w:rPr>
          <w:lang w:val="fr-CH"/>
        </w:rPr>
        <w:t xml:space="preserve">Qazvin, </w:t>
      </w:r>
      <w:r w:rsidR="0091074D" w:rsidRPr="0071782F">
        <w:rPr>
          <w:lang w:val="fr-CH"/>
        </w:rPr>
        <w:t>e</w:t>
      </w:r>
      <w:r w:rsidRPr="0071782F">
        <w:rPr>
          <w:lang w:val="fr-CH"/>
        </w:rPr>
        <w:t xml:space="preserve">n 2007, </w:t>
      </w:r>
      <w:r w:rsidR="0091074D" w:rsidRPr="0071782F">
        <w:rPr>
          <w:lang w:val="fr-CH"/>
        </w:rPr>
        <w:t>dans les jardins d’enfants et les écoles maternelles pour enfant âgés de quatre à six</w:t>
      </w:r>
      <w:r w:rsidR="00D82C96" w:rsidRPr="0071782F">
        <w:rPr>
          <w:lang w:val="fr-CH"/>
        </w:rPr>
        <w:t> ans</w:t>
      </w:r>
      <w:r w:rsidR="0091074D" w:rsidRPr="0071782F">
        <w:rPr>
          <w:lang w:val="fr-CH"/>
        </w:rPr>
        <w:t xml:space="preserve"> sous la forme de livres éducatifs, de dessins, d’affiches et de livres spécialement conçus pour les parents</w:t>
      </w:r>
      <w:r w:rsidRPr="0071782F">
        <w:rPr>
          <w:lang w:val="fr-CH"/>
        </w:rPr>
        <w:t xml:space="preserve">. </w:t>
      </w:r>
      <w:r w:rsidR="0091074D" w:rsidRPr="0071782F">
        <w:rPr>
          <w:lang w:val="fr-CH"/>
        </w:rPr>
        <w:t xml:space="preserve">Il se propose de favoriser l’adoption et le renforcement d’un comportement avisé pour éviter les dangers et de sensibiliser les </w:t>
      </w:r>
      <w:r w:rsidRPr="0071782F">
        <w:rPr>
          <w:lang w:val="fr-CH"/>
        </w:rPr>
        <w:t xml:space="preserve">parents. </w:t>
      </w:r>
      <w:r w:rsidR="0091074D" w:rsidRPr="0071782F">
        <w:rPr>
          <w:lang w:val="fr-CH"/>
        </w:rPr>
        <w:t>E</w:t>
      </w:r>
      <w:r w:rsidRPr="0071782F">
        <w:rPr>
          <w:lang w:val="fr-CH"/>
        </w:rPr>
        <w:t xml:space="preserve">n 2008, </w:t>
      </w:r>
      <w:r w:rsidR="0091074D" w:rsidRPr="0071782F">
        <w:rPr>
          <w:lang w:val="fr-CH"/>
        </w:rPr>
        <w:t xml:space="preserve">il a été exécuté dans les cinq </w:t>
      </w:r>
      <w:r w:rsidRPr="0071782F">
        <w:rPr>
          <w:lang w:val="fr-CH"/>
        </w:rPr>
        <w:t xml:space="preserve">provinces </w:t>
      </w:r>
      <w:r w:rsidR="0091074D" w:rsidRPr="0071782F">
        <w:rPr>
          <w:lang w:val="fr-CH"/>
        </w:rPr>
        <w:t>de Qazvin, Chahar Mahal</w:t>
      </w:r>
      <w:r w:rsidR="005B3CFE" w:rsidRPr="0071782F">
        <w:rPr>
          <w:lang w:val="fr-CH"/>
        </w:rPr>
        <w:t xml:space="preserve"> et</w:t>
      </w:r>
      <w:r w:rsidR="0091074D" w:rsidRPr="0071782F">
        <w:rPr>
          <w:lang w:val="fr-CH"/>
        </w:rPr>
        <w:t xml:space="preserve"> Bakhtiyari, Markazi et</w:t>
      </w:r>
      <w:r w:rsidRPr="0071782F">
        <w:rPr>
          <w:lang w:val="fr-CH"/>
        </w:rPr>
        <w:t xml:space="preserve"> Zanjan. </w:t>
      </w:r>
    </w:p>
    <w:p w:rsidR="003A6D8B" w:rsidRPr="0071782F" w:rsidRDefault="003A6D8B" w:rsidP="003A6D8B">
      <w:pPr>
        <w:pStyle w:val="SingleTxtG"/>
        <w:ind w:left="1701"/>
        <w:rPr>
          <w:lang w:val="fr-CH"/>
        </w:rPr>
      </w:pPr>
      <w:r w:rsidRPr="0071782F">
        <w:rPr>
          <w:lang w:val="fr-CH"/>
        </w:rPr>
        <w:t xml:space="preserve">326.21. </w:t>
      </w:r>
      <w:r w:rsidR="0091074D" w:rsidRPr="0071782F">
        <w:rPr>
          <w:lang w:val="fr-CH"/>
        </w:rPr>
        <w:t xml:space="preserve">Le Programme de </w:t>
      </w:r>
      <w:r w:rsidRPr="0071782F">
        <w:rPr>
          <w:lang w:val="fr-CH"/>
        </w:rPr>
        <w:t>pr</w:t>
      </w:r>
      <w:r w:rsidR="0091074D" w:rsidRPr="0071782F">
        <w:rPr>
          <w:lang w:val="fr-CH"/>
        </w:rPr>
        <w:t>é</w:t>
      </w:r>
      <w:r w:rsidRPr="0071782F">
        <w:rPr>
          <w:lang w:val="fr-CH"/>
        </w:rPr>
        <w:t xml:space="preserve">vention </w:t>
      </w:r>
      <w:r w:rsidR="0091074D" w:rsidRPr="0071782F">
        <w:rPr>
          <w:lang w:val="fr-CH"/>
        </w:rPr>
        <w:t>du tabagisme dans les établissements préscolaires.</w:t>
      </w:r>
      <w:r w:rsidRPr="0071782F">
        <w:rPr>
          <w:lang w:val="fr-CH"/>
        </w:rPr>
        <w:t xml:space="preserve"> </w:t>
      </w:r>
      <w:r w:rsidR="0091074D" w:rsidRPr="0071782F">
        <w:rPr>
          <w:lang w:val="fr-CH"/>
        </w:rPr>
        <w:t xml:space="preserve">Le tabagisme réduit le QI et cause de nombreux dommages au </w:t>
      </w:r>
      <w:r w:rsidR="0071782F" w:rsidRPr="0071782F">
        <w:rPr>
          <w:lang w:val="fr-CH"/>
        </w:rPr>
        <w:t>fœtus</w:t>
      </w:r>
      <w:r w:rsidR="0091074D" w:rsidRPr="0071782F">
        <w:rPr>
          <w:lang w:val="fr-CH"/>
        </w:rPr>
        <w:t xml:space="preserve"> et dommages physiques</w:t>
      </w:r>
      <w:r w:rsidRPr="0071782F">
        <w:rPr>
          <w:lang w:val="fr-CH"/>
        </w:rPr>
        <w:t xml:space="preserve">. </w:t>
      </w:r>
      <w:r w:rsidR="0091074D" w:rsidRPr="0071782F">
        <w:rPr>
          <w:lang w:val="fr-CH"/>
        </w:rPr>
        <w:t xml:space="preserve">Ce </w:t>
      </w:r>
      <w:r w:rsidRPr="0071782F">
        <w:rPr>
          <w:lang w:val="fr-CH"/>
        </w:rPr>
        <w:t>program</w:t>
      </w:r>
      <w:r w:rsidR="0091074D" w:rsidRPr="0071782F">
        <w:rPr>
          <w:lang w:val="fr-CH"/>
        </w:rPr>
        <w:t>me</w:t>
      </w:r>
      <w:r w:rsidRPr="0071782F">
        <w:rPr>
          <w:lang w:val="fr-CH"/>
        </w:rPr>
        <w:t xml:space="preserve"> </w:t>
      </w:r>
      <w:r w:rsidR="0091074D" w:rsidRPr="0071782F">
        <w:rPr>
          <w:lang w:val="fr-CH"/>
        </w:rPr>
        <w:t xml:space="preserve">vise à sensibiliser les enfants d’âge préscolaire à la consommation de </w:t>
      </w:r>
      <w:r w:rsidRPr="0071782F">
        <w:rPr>
          <w:lang w:val="fr-CH"/>
        </w:rPr>
        <w:t xml:space="preserve">cigarettes </w:t>
      </w:r>
      <w:r w:rsidR="0091074D" w:rsidRPr="0071782F">
        <w:rPr>
          <w:lang w:val="fr-CH"/>
        </w:rPr>
        <w:t xml:space="preserve">et à ses </w:t>
      </w:r>
      <w:r w:rsidRPr="0071782F">
        <w:rPr>
          <w:lang w:val="fr-CH"/>
        </w:rPr>
        <w:t>cons</w:t>
      </w:r>
      <w:r w:rsidR="0091074D" w:rsidRPr="0071782F">
        <w:rPr>
          <w:lang w:val="fr-CH"/>
        </w:rPr>
        <w:t>é</w:t>
      </w:r>
      <w:r w:rsidRPr="0071782F">
        <w:rPr>
          <w:lang w:val="fr-CH"/>
        </w:rPr>
        <w:t xml:space="preserve">quences. </w:t>
      </w:r>
      <w:r w:rsidR="0091074D" w:rsidRPr="0071782F">
        <w:rPr>
          <w:lang w:val="fr-CH"/>
        </w:rPr>
        <w:t>Il a été exécuté pour la première fois, à titre expéri</w:t>
      </w:r>
      <w:r w:rsidR="00E10922" w:rsidRPr="0071782F">
        <w:rPr>
          <w:lang w:val="fr-CH"/>
        </w:rPr>
        <w:t>me</w:t>
      </w:r>
      <w:r w:rsidR="0091074D" w:rsidRPr="0071782F">
        <w:rPr>
          <w:lang w:val="fr-CH"/>
        </w:rPr>
        <w:t xml:space="preserve">ntal, en </w:t>
      </w:r>
      <w:r w:rsidRPr="0071782F">
        <w:rPr>
          <w:lang w:val="fr-CH"/>
        </w:rPr>
        <w:t>2007</w:t>
      </w:r>
      <w:r w:rsidR="0091074D" w:rsidRPr="0071782F">
        <w:rPr>
          <w:lang w:val="fr-CH"/>
        </w:rPr>
        <w:t xml:space="preserve"> sous la </w:t>
      </w:r>
      <w:r w:rsidRPr="0071782F">
        <w:rPr>
          <w:lang w:val="fr-CH"/>
        </w:rPr>
        <w:t>form</w:t>
      </w:r>
      <w:r w:rsidR="0091074D" w:rsidRPr="0071782F">
        <w:rPr>
          <w:lang w:val="fr-CH"/>
        </w:rPr>
        <w:t>e de programmes</w:t>
      </w:r>
      <w:r w:rsidRPr="0071782F">
        <w:rPr>
          <w:lang w:val="fr-CH"/>
        </w:rPr>
        <w:t xml:space="preserve"> </w:t>
      </w:r>
      <w:r w:rsidR="0091074D" w:rsidRPr="0071782F">
        <w:rPr>
          <w:lang w:val="fr-CH"/>
        </w:rPr>
        <w:t xml:space="preserve">d’éducation indirecte dans les villes de </w:t>
      </w:r>
      <w:r w:rsidRPr="0071782F">
        <w:rPr>
          <w:lang w:val="fr-CH"/>
        </w:rPr>
        <w:t xml:space="preserve">Shahryar, </w:t>
      </w:r>
      <w:r w:rsidR="0091074D" w:rsidRPr="0071782F">
        <w:rPr>
          <w:lang w:val="fr-CH"/>
        </w:rPr>
        <w:t xml:space="preserve">Robat Karim et </w:t>
      </w:r>
      <w:r w:rsidRPr="0071782F">
        <w:rPr>
          <w:lang w:val="fr-CH"/>
        </w:rPr>
        <w:t xml:space="preserve">Karaj, </w:t>
      </w:r>
      <w:r w:rsidR="0091074D" w:rsidRPr="0071782F">
        <w:rPr>
          <w:lang w:val="fr-CH"/>
        </w:rPr>
        <w:t xml:space="preserve">dans la province de </w:t>
      </w:r>
      <w:r w:rsidRPr="0071782F">
        <w:rPr>
          <w:lang w:val="fr-CH"/>
        </w:rPr>
        <w:t>T</w:t>
      </w:r>
      <w:r w:rsidR="0091074D" w:rsidRPr="0071782F">
        <w:rPr>
          <w:lang w:val="fr-CH"/>
        </w:rPr>
        <w:t>é</w:t>
      </w:r>
      <w:r w:rsidRPr="0071782F">
        <w:rPr>
          <w:lang w:val="fr-CH"/>
        </w:rPr>
        <w:t>h</w:t>
      </w:r>
      <w:r w:rsidR="0091074D" w:rsidRPr="0071782F">
        <w:rPr>
          <w:lang w:val="fr-CH"/>
        </w:rPr>
        <w:t>ér</w:t>
      </w:r>
      <w:r w:rsidRPr="0071782F">
        <w:rPr>
          <w:lang w:val="fr-CH"/>
        </w:rPr>
        <w:t xml:space="preserve">an. </w:t>
      </w:r>
      <w:r w:rsidR="005B3CFE" w:rsidRPr="0071782F">
        <w:rPr>
          <w:lang w:val="fr-CH"/>
        </w:rPr>
        <w:t xml:space="preserve">Les matériels éducatifs comprenaient des livres d’histoires, des livres de dessin, des livres éducatifs pour les parents et des </w:t>
      </w:r>
      <w:r w:rsidRPr="0071782F">
        <w:rPr>
          <w:lang w:val="fr-CH"/>
        </w:rPr>
        <w:t xml:space="preserve">puzzles. </w:t>
      </w:r>
      <w:r w:rsidR="005B3CFE" w:rsidRPr="0071782F">
        <w:rPr>
          <w:lang w:val="fr-CH"/>
        </w:rPr>
        <w:t>Ce programme doit être exécuté en 2008 dans les cinq provinces de Qazvin, Qom, Chahar Mahal et</w:t>
      </w:r>
      <w:r w:rsidRPr="0071782F">
        <w:rPr>
          <w:lang w:val="fr-CH"/>
        </w:rPr>
        <w:t xml:space="preserve"> Bakhtiyari, Markazi</w:t>
      </w:r>
      <w:r w:rsidR="005B3CFE" w:rsidRPr="0071782F">
        <w:rPr>
          <w:lang w:val="fr-CH"/>
        </w:rPr>
        <w:t xml:space="preserve"> et Zanjan</w:t>
      </w:r>
      <w:r w:rsidRPr="0071782F">
        <w:rPr>
          <w:lang w:val="fr-CH"/>
        </w:rPr>
        <w:t>.</w:t>
      </w:r>
    </w:p>
    <w:p w:rsidR="003A6D8B" w:rsidRPr="0071782F" w:rsidRDefault="003A6D8B" w:rsidP="003A6D8B">
      <w:pPr>
        <w:pStyle w:val="SingleTxtG"/>
        <w:ind w:left="1701"/>
        <w:rPr>
          <w:lang w:val="fr-CH"/>
        </w:rPr>
      </w:pPr>
      <w:r w:rsidRPr="0071782F">
        <w:rPr>
          <w:lang w:val="fr-CH"/>
        </w:rPr>
        <w:t xml:space="preserve">326.22. </w:t>
      </w:r>
      <w:r w:rsidR="00425B8C" w:rsidRPr="0071782F">
        <w:rPr>
          <w:lang w:val="fr-CH"/>
        </w:rPr>
        <w:t>Programme de prévention de l’amblyopie et d’autres troubles de la vue destiné aux enfants âgés de trois à six</w:t>
      </w:r>
      <w:r w:rsidR="00D82C96" w:rsidRPr="0071782F">
        <w:rPr>
          <w:lang w:val="fr-CH"/>
        </w:rPr>
        <w:t> ans</w:t>
      </w:r>
      <w:r w:rsidR="00425B8C" w:rsidRPr="0071782F">
        <w:rPr>
          <w:lang w:val="fr-CH"/>
        </w:rPr>
        <w:t xml:space="preserve"> inscrits dans les jardins d’enfants et les établissements préscolaires et aux enfants âgés de quatre à six</w:t>
      </w:r>
      <w:r w:rsidR="00D82C96" w:rsidRPr="0071782F">
        <w:rPr>
          <w:lang w:val="fr-CH"/>
        </w:rPr>
        <w:t> ans</w:t>
      </w:r>
      <w:r w:rsidR="00425B8C" w:rsidRPr="0071782F">
        <w:rPr>
          <w:lang w:val="fr-CH"/>
        </w:rPr>
        <w:t xml:space="preserve"> qui se rendent dans un centre d’optométrie.</w:t>
      </w:r>
    </w:p>
    <w:p w:rsidR="003A6D8B" w:rsidRPr="0071782F" w:rsidRDefault="003A6D8B" w:rsidP="003A6D8B">
      <w:pPr>
        <w:pStyle w:val="SingleTxtG"/>
        <w:ind w:left="1701"/>
        <w:rPr>
          <w:lang w:val="fr-CH"/>
        </w:rPr>
      </w:pPr>
      <w:r w:rsidRPr="0071782F">
        <w:rPr>
          <w:lang w:val="fr-CH"/>
        </w:rPr>
        <w:t xml:space="preserve">326.23. </w:t>
      </w:r>
      <w:r w:rsidR="00425B8C" w:rsidRPr="0071782F">
        <w:rPr>
          <w:lang w:val="fr-CH"/>
        </w:rPr>
        <w:t>Programme national de dépistage, de diagnostic et d’intervention précoces dans le cas de troubles auditifs chez le nourrisson</w:t>
      </w:r>
      <w:r w:rsidRPr="0071782F">
        <w:rPr>
          <w:lang w:val="fr-CH"/>
        </w:rPr>
        <w:t>.</w:t>
      </w:r>
    </w:p>
    <w:p w:rsidR="003A6D8B" w:rsidRPr="0071782F" w:rsidRDefault="003A6D8B" w:rsidP="003A6D8B">
      <w:pPr>
        <w:pStyle w:val="SingleTxtG"/>
        <w:ind w:left="1701"/>
        <w:rPr>
          <w:lang w:val="fr-CH"/>
        </w:rPr>
      </w:pPr>
      <w:r w:rsidRPr="0071782F">
        <w:rPr>
          <w:lang w:val="fr-CH"/>
        </w:rPr>
        <w:t xml:space="preserve">326.24. </w:t>
      </w:r>
      <w:r w:rsidR="00425B8C" w:rsidRPr="0071782F">
        <w:rPr>
          <w:lang w:val="fr-CH"/>
        </w:rPr>
        <w:t>Mise en place d’un réseau national de consultations génétiques et prestation de services de consultations génétiques</w:t>
      </w:r>
      <w:r w:rsidRPr="0071782F">
        <w:rPr>
          <w:lang w:val="fr-CH"/>
        </w:rPr>
        <w:t>.</w:t>
      </w:r>
    </w:p>
    <w:p w:rsidR="003A6D8B" w:rsidRPr="0071782F" w:rsidRDefault="003A6D8B" w:rsidP="003A6D8B">
      <w:pPr>
        <w:pStyle w:val="SingleTxtG"/>
        <w:ind w:left="1701"/>
        <w:rPr>
          <w:lang w:val="fr-CH"/>
        </w:rPr>
      </w:pPr>
      <w:r w:rsidRPr="0071782F">
        <w:rPr>
          <w:lang w:val="fr-CH"/>
        </w:rPr>
        <w:t xml:space="preserve">326.25. </w:t>
      </w:r>
      <w:r w:rsidR="00301D79" w:rsidRPr="0071782F">
        <w:rPr>
          <w:lang w:val="fr-CH"/>
        </w:rPr>
        <w:t>Programme de sensibilisation aux situations de préjudice et de handicap social dans les zones urbaines et rurales</w:t>
      </w:r>
      <w:r w:rsidRPr="0071782F">
        <w:rPr>
          <w:lang w:val="fr-CH"/>
        </w:rPr>
        <w:t>.</w:t>
      </w:r>
    </w:p>
    <w:p w:rsidR="003A6D8B" w:rsidRPr="0071782F" w:rsidRDefault="003A6D8B" w:rsidP="003A6D8B">
      <w:pPr>
        <w:pStyle w:val="SingleTxtG"/>
        <w:ind w:left="1701"/>
        <w:rPr>
          <w:lang w:val="fr-CH"/>
        </w:rPr>
      </w:pPr>
      <w:r w:rsidRPr="0071782F">
        <w:rPr>
          <w:lang w:val="fr-CH"/>
        </w:rPr>
        <w:t>326.26. Program</w:t>
      </w:r>
      <w:r w:rsidR="00301D79" w:rsidRPr="0071782F">
        <w:rPr>
          <w:lang w:val="fr-CH"/>
        </w:rPr>
        <w:t>me</w:t>
      </w:r>
      <w:r w:rsidRPr="0071782F">
        <w:rPr>
          <w:lang w:val="fr-CH"/>
        </w:rPr>
        <w:t xml:space="preserve">s </w:t>
      </w:r>
      <w:r w:rsidR="00301D79" w:rsidRPr="0071782F">
        <w:rPr>
          <w:lang w:val="fr-CH"/>
        </w:rPr>
        <w:t xml:space="preserve">de </w:t>
      </w:r>
      <w:r w:rsidRPr="0071782F">
        <w:rPr>
          <w:lang w:val="fr-CH"/>
        </w:rPr>
        <w:t>pr</w:t>
      </w:r>
      <w:r w:rsidR="00301D79" w:rsidRPr="0071782F">
        <w:rPr>
          <w:lang w:val="fr-CH"/>
        </w:rPr>
        <w:t>é</w:t>
      </w:r>
      <w:r w:rsidRPr="0071782F">
        <w:rPr>
          <w:lang w:val="fr-CH"/>
        </w:rPr>
        <w:t xml:space="preserve">vention </w:t>
      </w:r>
      <w:r w:rsidR="00301D79" w:rsidRPr="0071782F">
        <w:rPr>
          <w:lang w:val="fr-CH"/>
        </w:rPr>
        <w:t>des handicaps physiques et des handicaps réduisant la mobilité</w:t>
      </w:r>
      <w:r w:rsidRPr="0071782F">
        <w:rPr>
          <w:lang w:val="fr-CH"/>
        </w:rPr>
        <w:t xml:space="preserve">, </w:t>
      </w:r>
      <w:r w:rsidR="00301D79" w:rsidRPr="0071782F">
        <w:rPr>
          <w:lang w:val="fr-CH"/>
        </w:rPr>
        <w:t xml:space="preserve">d’augmentation de la capacité </w:t>
      </w:r>
      <w:r w:rsidRPr="0071782F">
        <w:rPr>
          <w:lang w:val="fr-CH"/>
        </w:rPr>
        <w:t>mental</w:t>
      </w:r>
      <w:r w:rsidR="00301D79" w:rsidRPr="0071782F">
        <w:rPr>
          <w:lang w:val="fr-CH"/>
        </w:rPr>
        <w:t>e</w:t>
      </w:r>
      <w:r w:rsidRPr="0071782F">
        <w:rPr>
          <w:lang w:val="fr-CH"/>
        </w:rPr>
        <w:t xml:space="preserve">, </w:t>
      </w:r>
      <w:r w:rsidR="00301D79" w:rsidRPr="0071782F">
        <w:rPr>
          <w:lang w:val="fr-CH"/>
        </w:rPr>
        <w:t xml:space="preserve">de </w:t>
      </w:r>
      <w:r w:rsidRPr="0071782F">
        <w:rPr>
          <w:lang w:val="fr-CH"/>
        </w:rPr>
        <w:t>pr</w:t>
      </w:r>
      <w:r w:rsidR="00301D79" w:rsidRPr="0071782F">
        <w:rPr>
          <w:lang w:val="fr-CH"/>
        </w:rPr>
        <w:t>é</w:t>
      </w:r>
      <w:r w:rsidRPr="0071782F">
        <w:rPr>
          <w:lang w:val="fr-CH"/>
        </w:rPr>
        <w:t xml:space="preserve">vention </w:t>
      </w:r>
      <w:r w:rsidR="00301D79" w:rsidRPr="0071782F">
        <w:rPr>
          <w:lang w:val="fr-CH"/>
        </w:rPr>
        <w:t xml:space="preserve">de l’arriération </w:t>
      </w:r>
      <w:r w:rsidRPr="0071782F">
        <w:rPr>
          <w:lang w:val="fr-CH"/>
        </w:rPr>
        <w:t>mental</w:t>
      </w:r>
      <w:r w:rsidR="00301D79" w:rsidRPr="0071782F">
        <w:rPr>
          <w:lang w:val="fr-CH"/>
        </w:rPr>
        <w:t>e</w:t>
      </w:r>
      <w:r w:rsidRPr="0071782F">
        <w:rPr>
          <w:lang w:val="fr-CH"/>
        </w:rPr>
        <w:t xml:space="preserve">, </w:t>
      </w:r>
      <w:r w:rsidR="00301D79" w:rsidRPr="0071782F">
        <w:rPr>
          <w:lang w:val="fr-CH"/>
        </w:rPr>
        <w:t xml:space="preserve">de </w:t>
      </w:r>
      <w:r w:rsidRPr="0071782F">
        <w:rPr>
          <w:lang w:val="fr-CH"/>
        </w:rPr>
        <w:t>pr</w:t>
      </w:r>
      <w:r w:rsidR="00301D79" w:rsidRPr="0071782F">
        <w:rPr>
          <w:lang w:val="fr-CH"/>
        </w:rPr>
        <w:t>é</w:t>
      </w:r>
      <w:r w:rsidRPr="0071782F">
        <w:rPr>
          <w:lang w:val="fr-CH"/>
        </w:rPr>
        <w:t xml:space="preserve">vention </w:t>
      </w:r>
      <w:r w:rsidR="00301D79" w:rsidRPr="0071782F">
        <w:rPr>
          <w:lang w:val="fr-CH"/>
        </w:rPr>
        <w:t xml:space="preserve">du tabagisme chez les enfants et les </w:t>
      </w:r>
      <w:r w:rsidR="00B13F4B" w:rsidRPr="0071782F">
        <w:rPr>
          <w:lang w:val="fr-CH"/>
        </w:rPr>
        <w:t>adolescents</w:t>
      </w:r>
      <w:r w:rsidRPr="0071782F">
        <w:rPr>
          <w:lang w:val="fr-CH"/>
        </w:rPr>
        <w:t xml:space="preserve">, </w:t>
      </w:r>
      <w:r w:rsidR="00301D79" w:rsidRPr="0071782F">
        <w:rPr>
          <w:lang w:val="fr-CH"/>
        </w:rPr>
        <w:t>d’é</w:t>
      </w:r>
      <w:r w:rsidRPr="0071782F">
        <w:rPr>
          <w:lang w:val="fr-CH"/>
        </w:rPr>
        <w:t xml:space="preserve">ducation </w:t>
      </w:r>
      <w:r w:rsidR="00301D79" w:rsidRPr="0071782F">
        <w:rPr>
          <w:lang w:val="fr-CH"/>
        </w:rPr>
        <w:t xml:space="preserve">à la </w:t>
      </w:r>
      <w:r w:rsidRPr="0071782F">
        <w:rPr>
          <w:lang w:val="fr-CH"/>
        </w:rPr>
        <w:t>pr</w:t>
      </w:r>
      <w:r w:rsidR="00301D79" w:rsidRPr="0071782F">
        <w:rPr>
          <w:lang w:val="fr-CH"/>
        </w:rPr>
        <w:t>é</w:t>
      </w:r>
      <w:r w:rsidRPr="0071782F">
        <w:rPr>
          <w:lang w:val="fr-CH"/>
        </w:rPr>
        <w:t xml:space="preserve">vention </w:t>
      </w:r>
      <w:r w:rsidR="00301D79" w:rsidRPr="0071782F">
        <w:rPr>
          <w:lang w:val="fr-CH"/>
        </w:rPr>
        <w:t>des brûlures chez les enfants et de sensibilisation en vue de la prévention des handicaps découlant de l’explosion de mines terrestres</w:t>
      </w:r>
      <w:r w:rsidRPr="0071782F">
        <w:rPr>
          <w:lang w:val="fr-CH"/>
        </w:rPr>
        <w:t>.</w:t>
      </w:r>
    </w:p>
    <w:p w:rsidR="003A6D8B" w:rsidRPr="0071782F" w:rsidRDefault="003A6D8B" w:rsidP="003A6D8B">
      <w:pPr>
        <w:pStyle w:val="SingleTxtG"/>
        <w:ind w:left="1701"/>
        <w:rPr>
          <w:lang w:val="fr-CH"/>
        </w:rPr>
      </w:pPr>
      <w:r w:rsidRPr="0071782F">
        <w:rPr>
          <w:lang w:val="fr-CH"/>
        </w:rPr>
        <w:t xml:space="preserve">326.27. </w:t>
      </w:r>
      <w:r w:rsidR="00301D79" w:rsidRPr="0071782F">
        <w:rPr>
          <w:lang w:val="fr-CH"/>
        </w:rPr>
        <w:t>Pré</w:t>
      </w:r>
      <w:r w:rsidRPr="0071782F">
        <w:rPr>
          <w:lang w:val="fr-CH"/>
        </w:rPr>
        <w:t xml:space="preserve">vention </w:t>
      </w:r>
      <w:r w:rsidR="00301D79" w:rsidRPr="0071782F">
        <w:rPr>
          <w:lang w:val="fr-CH"/>
        </w:rPr>
        <w:t>axée sur la collectivité de la toxicomanie dans les quartiers urbains et ruraux</w:t>
      </w:r>
      <w:r w:rsidRPr="0071782F">
        <w:rPr>
          <w:lang w:val="fr-CH"/>
        </w:rPr>
        <w:t xml:space="preserve">, </w:t>
      </w:r>
      <w:r w:rsidR="00301D79" w:rsidRPr="0071782F">
        <w:rPr>
          <w:lang w:val="fr-CH"/>
        </w:rPr>
        <w:t xml:space="preserve">et dans les environnements professionnel et éducatif </w:t>
      </w:r>
      <w:r w:rsidRPr="0071782F">
        <w:rPr>
          <w:lang w:val="fr-CH"/>
        </w:rPr>
        <w:t>(</w:t>
      </w:r>
      <w:r w:rsidR="00301D79" w:rsidRPr="0071782F">
        <w:rPr>
          <w:lang w:val="fr-CH"/>
        </w:rPr>
        <w:t>jardins d’enfants, établissements préscolaires, écoles élémentaires, établissements d’enseignement secondaire des premier et second cycles, et universités)</w:t>
      </w:r>
      <w:r w:rsidRPr="0071782F">
        <w:rPr>
          <w:lang w:val="fr-CH"/>
        </w:rPr>
        <w:t>.</w:t>
      </w:r>
    </w:p>
    <w:p w:rsidR="003A6D8B" w:rsidRPr="0071782F" w:rsidRDefault="003A6D8B" w:rsidP="003A6D8B">
      <w:pPr>
        <w:pStyle w:val="SingleTxtG"/>
        <w:ind w:left="1701"/>
        <w:rPr>
          <w:lang w:val="fr-CH"/>
        </w:rPr>
      </w:pPr>
      <w:r w:rsidRPr="0071782F">
        <w:rPr>
          <w:lang w:val="fr-CH"/>
        </w:rPr>
        <w:t>326.28. Tr</w:t>
      </w:r>
      <w:r w:rsidR="00301D79" w:rsidRPr="0071782F">
        <w:rPr>
          <w:lang w:val="fr-CH"/>
        </w:rPr>
        <w:t xml:space="preserve">aitement et réadaptation </w:t>
      </w:r>
      <w:r w:rsidR="00DF0830" w:rsidRPr="0071782F">
        <w:rPr>
          <w:lang w:val="fr-CH"/>
        </w:rPr>
        <w:t>des toxicomanes dans des centres de traitement, des centres de réadaptation ambulatoire ou hospitalière, des centres résidentiels et des centres de traitement communautaire</w:t>
      </w:r>
      <w:r w:rsidRPr="0071782F">
        <w:rPr>
          <w:lang w:val="fr-CH"/>
        </w:rPr>
        <w:t>.</w:t>
      </w:r>
    </w:p>
    <w:p w:rsidR="003A6D8B" w:rsidRPr="00BE6159" w:rsidRDefault="003A6D8B" w:rsidP="003A6D8B">
      <w:pPr>
        <w:pStyle w:val="SingleTxtG"/>
        <w:ind w:left="1701"/>
        <w:rPr>
          <w:spacing w:val="-2"/>
          <w:lang w:val="fr-CH"/>
        </w:rPr>
      </w:pPr>
      <w:r w:rsidRPr="00BE6159">
        <w:rPr>
          <w:spacing w:val="-2"/>
          <w:lang w:val="fr-CH"/>
        </w:rPr>
        <w:t xml:space="preserve">326.29. </w:t>
      </w:r>
      <w:r w:rsidR="00DF0830" w:rsidRPr="00BE6159">
        <w:rPr>
          <w:spacing w:val="-2"/>
          <w:lang w:val="fr-CH"/>
        </w:rPr>
        <w:t xml:space="preserve">Exécution des programmes de réduction des situations de préjudice concernant la réduction des conséquences sanitaires et </w:t>
      </w:r>
      <w:r w:rsidRPr="00BE6159">
        <w:rPr>
          <w:spacing w:val="-2"/>
          <w:lang w:val="fr-CH"/>
        </w:rPr>
        <w:t>social</w:t>
      </w:r>
      <w:r w:rsidR="00DF0830" w:rsidRPr="00BE6159">
        <w:rPr>
          <w:spacing w:val="-2"/>
          <w:lang w:val="fr-CH"/>
        </w:rPr>
        <w:t>es</w:t>
      </w:r>
      <w:r w:rsidRPr="00BE6159">
        <w:rPr>
          <w:spacing w:val="-2"/>
          <w:lang w:val="fr-CH"/>
        </w:rPr>
        <w:t xml:space="preserve"> </w:t>
      </w:r>
      <w:r w:rsidR="00DF0830" w:rsidRPr="00BE6159">
        <w:rPr>
          <w:spacing w:val="-2"/>
          <w:lang w:val="fr-CH"/>
        </w:rPr>
        <w:t xml:space="preserve">de la toxicomanie et la prévention du sida dans le pays à travers l’éducation des toxicomanes à haut risque et de </w:t>
      </w:r>
      <w:r w:rsidR="001F3F05" w:rsidRPr="00BE6159">
        <w:rPr>
          <w:spacing w:val="-2"/>
          <w:lang w:val="fr-CH"/>
        </w:rPr>
        <w:t>leur famille</w:t>
      </w:r>
      <w:r w:rsidRPr="00BE6159">
        <w:rPr>
          <w:spacing w:val="-2"/>
          <w:lang w:val="fr-CH"/>
        </w:rPr>
        <w:t xml:space="preserve">, </w:t>
      </w:r>
      <w:r w:rsidR="00DF0830" w:rsidRPr="00BE6159">
        <w:rPr>
          <w:spacing w:val="-2"/>
          <w:lang w:val="fr-CH"/>
        </w:rPr>
        <w:t xml:space="preserve">l’ouverture de centres d’accueil et la mise en place d’équipes mobiles de prestation de services, et les programmes d’entretien à la </w:t>
      </w:r>
      <w:r w:rsidRPr="00BE6159">
        <w:rPr>
          <w:spacing w:val="-2"/>
          <w:lang w:val="fr-CH"/>
        </w:rPr>
        <w:t>m</w:t>
      </w:r>
      <w:r w:rsidR="00DF0830" w:rsidRPr="00BE6159">
        <w:rPr>
          <w:spacing w:val="-2"/>
          <w:lang w:val="fr-CH"/>
        </w:rPr>
        <w:t>é</w:t>
      </w:r>
      <w:r w:rsidRPr="00BE6159">
        <w:rPr>
          <w:spacing w:val="-2"/>
          <w:lang w:val="fr-CH"/>
        </w:rPr>
        <w:t>thadone.</w:t>
      </w:r>
    </w:p>
    <w:p w:rsidR="003A6D8B" w:rsidRPr="0071782F" w:rsidRDefault="003A6D8B" w:rsidP="003A6D8B">
      <w:pPr>
        <w:pStyle w:val="SingleTxtG"/>
        <w:ind w:left="1701"/>
        <w:rPr>
          <w:lang w:val="fr-CH"/>
        </w:rPr>
      </w:pPr>
      <w:r w:rsidRPr="0071782F">
        <w:rPr>
          <w:lang w:val="fr-CH"/>
        </w:rPr>
        <w:t>326.30. Emplo</w:t>
      </w:r>
      <w:r w:rsidR="00DF0830" w:rsidRPr="0071782F">
        <w:rPr>
          <w:lang w:val="fr-CH"/>
        </w:rPr>
        <w:t>i et autonomisation des toxicomanes suivant un traitement</w:t>
      </w:r>
      <w:r w:rsidRPr="0071782F">
        <w:rPr>
          <w:lang w:val="fr-CH"/>
        </w:rPr>
        <w:t>.</w:t>
      </w:r>
    </w:p>
    <w:p w:rsidR="003A6D8B" w:rsidRPr="0071782F" w:rsidRDefault="003A6D8B" w:rsidP="003A6D8B">
      <w:pPr>
        <w:pStyle w:val="SingleTxtG"/>
        <w:ind w:left="1701"/>
        <w:rPr>
          <w:lang w:val="fr-CH"/>
        </w:rPr>
      </w:pPr>
      <w:r w:rsidRPr="0071782F">
        <w:rPr>
          <w:lang w:val="fr-CH"/>
        </w:rPr>
        <w:t xml:space="preserve">326.31. </w:t>
      </w:r>
      <w:r w:rsidR="00DF0830" w:rsidRPr="0071782F">
        <w:rPr>
          <w:lang w:val="fr-CH"/>
        </w:rPr>
        <w:t xml:space="preserve">Amélioration des services de </w:t>
      </w:r>
      <w:r w:rsidRPr="0071782F">
        <w:rPr>
          <w:lang w:val="fr-CH"/>
        </w:rPr>
        <w:t>consultation (</w:t>
      </w:r>
      <w:r w:rsidR="00DF0830" w:rsidRPr="0071782F">
        <w:rPr>
          <w:lang w:val="fr-CH"/>
        </w:rPr>
        <w:t>en</w:t>
      </w:r>
      <w:r w:rsidRPr="0071782F">
        <w:rPr>
          <w:lang w:val="fr-CH"/>
        </w:rPr>
        <w:t xml:space="preserve"> person</w:t>
      </w:r>
      <w:r w:rsidR="00DF0830" w:rsidRPr="0071782F">
        <w:rPr>
          <w:lang w:val="fr-CH"/>
        </w:rPr>
        <w:t xml:space="preserve">ne et par </w:t>
      </w:r>
      <w:r w:rsidRPr="0071782F">
        <w:rPr>
          <w:lang w:val="fr-CH"/>
        </w:rPr>
        <w:t>t</w:t>
      </w:r>
      <w:r w:rsidR="00DF0830" w:rsidRPr="0071782F">
        <w:rPr>
          <w:lang w:val="fr-CH"/>
        </w:rPr>
        <w:t>élé</w:t>
      </w:r>
      <w:r w:rsidRPr="0071782F">
        <w:rPr>
          <w:lang w:val="fr-CH"/>
        </w:rPr>
        <w:t xml:space="preserve">phone), </w:t>
      </w:r>
      <w:r w:rsidR="00DF0830" w:rsidRPr="0071782F">
        <w:rPr>
          <w:lang w:val="fr-CH"/>
        </w:rPr>
        <w:t xml:space="preserve">compte tenu des besoins des utilisateurs à l’échelon régional et des besoins scientifiques et éducatifs des conseillers des centres de </w:t>
      </w:r>
      <w:r w:rsidRPr="0071782F">
        <w:rPr>
          <w:lang w:val="fr-CH"/>
        </w:rPr>
        <w:t>consultation.</w:t>
      </w:r>
    </w:p>
    <w:p w:rsidR="003A6D8B" w:rsidRPr="00BE6159" w:rsidRDefault="003A6D8B" w:rsidP="003A6D8B">
      <w:pPr>
        <w:pStyle w:val="SingleTxtG"/>
        <w:ind w:left="1701"/>
        <w:rPr>
          <w:spacing w:val="-2"/>
          <w:lang w:val="fr-CH"/>
        </w:rPr>
      </w:pPr>
      <w:r w:rsidRPr="00BE6159">
        <w:rPr>
          <w:spacing w:val="-2"/>
          <w:lang w:val="fr-CH"/>
        </w:rPr>
        <w:t xml:space="preserve">326.32. </w:t>
      </w:r>
      <w:r w:rsidR="00B37B6E" w:rsidRPr="00BE6159">
        <w:rPr>
          <w:spacing w:val="-2"/>
          <w:lang w:val="fr-CH"/>
        </w:rPr>
        <w:t xml:space="preserve">Programme </w:t>
      </w:r>
      <w:r w:rsidRPr="00BE6159">
        <w:rPr>
          <w:spacing w:val="-2"/>
          <w:lang w:val="fr-CH"/>
        </w:rPr>
        <w:t xml:space="preserve">national </w:t>
      </w:r>
      <w:r w:rsidR="00B37B6E" w:rsidRPr="00BE6159">
        <w:rPr>
          <w:spacing w:val="-2"/>
          <w:lang w:val="fr-CH"/>
        </w:rPr>
        <w:t>de formation à la vie pratique destiné aux établissements préscolaires, aux écoles élémentaires, aux établissements d’enseignement secondaire des premier et second cycles, aux universités, aux adultes et aux environnements professionnels</w:t>
      </w:r>
      <w:r w:rsidRPr="00BE6159">
        <w:rPr>
          <w:spacing w:val="-2"/>
          <w:lang w:val="fr-CH"/>
        </w:rPr>
        <w:t xml:space="preserve">; </w:t>
      </w:r>
      <w:r w:rsidR="00B37B6E" w:rsidRPr="00BE6159">
        <w:rPr>
          <w:spacing w:val="-2"/>
          <w:lang w:val="fr-CH"/>
        </w:rPr>
        <w:t>éducation prémaritale</w:t>
      </w:r>
      <w:r w:rsidRPr="00BE6159">
        <w:rPr>
          <w:spacing w:val="-2"/>
          <w:lang w:val="fr-CH"/>
        </w:rPr>
        <w:t xml:space="preserve">; </w:t>
      </w:r>
      <w:r w:rsidR="00B37B6E" w:rsidRPr="00BE6159">
        <w:rPr>
          <w:spacing w:val="-2"/>
          <w:lang w:val="fr-CH"/>
        </w:rPr>
        <w:t>préparation à la vie familiale</w:t>
      </w:r>
      <w:r w:rsidRPr="00BE6159">
        <w:rPr>
          <w:spacing w:val="-2"/>
          <w:lang w:val="fr-CH"/>
        </w:rPr>
        <w:t xml:space="preserve">; </w:t>
      </w:r>
      <w:r w:rsidR="00B37B6E" w:rsidRPr="00BE6159">
        <w:rPr>
          <w:spacing w:val="-2"/>
          <w:lang w:val="fr-CH"/>
        </w:rPr>
        <w:t>fournisseurs d’</w:t>
      </w:r>
      <w:r w:rsidRPr="00BE6159">
        <w:rPr>
          <w:spacing w:val="-2"/>
          <w:lang w:val="fr-CH"/>
        </w:rPr>
        <w:t xml:space="preserve">assistance </w:t>
      </w:r>
      <w:r w:rsidR="00B37B6E" w:rsidRPr="00BE6159">
        <w:rPr>
          <w:spacing w:val="-2"/>
          <w:lang w:val="fr-CH"/>
        </w:rPr>
        <w:t xml:space="preserve">en santé </w:t>
      </w:r>
      <w:r w:rsidRPr="00BE6159">
        <w:rPr>
          <w:spacing w:val="-2"/>
          <w:lang w:val="fr-CH"/>
        </w:rPr>
        <w:t>mental</w:t>
      </w:r>
      <w:r w:rsidR="00B37B6E" w:rsidRPr="00BE6159">
        <w:rPr>
          <w:spacing w:val="-2"/>
          <w:lang w:val="fr-CH"/>
        </w:rPr>
        <w:t>e</w:t>
      </w:r>
      <w:r w:rsidRPr="00BE6159">
        <w:rPr>
          <w:spacing w:val="-2"/>
          <w:lang w:val="fr-CH"/>
        </w:rPr>
        <w:t xml:space="preserve">, </w:t>
      </w:r>
      <w:r w:rsidR="00B37B6E" w:rsidRPr="00BE6159">
        <w:rPr>
          <w:spacing w:val="-2"/>
          <w:lang w:val="fr-CH"/>
        </w:rPr>
        <w:t>et centres de santé sociale et de formation à la vie pratique</w:t>
      </w:r>
      <w:r w:rsidRPr="00BE6159">
        <w:rPr>
          <w:spacing w:val="-2"/>
          <w:lang w:val="fr-CH"/>
        </w:rPr>
        <w:t xml:space="preserve">. </w:t>
      </w:r>
      <w:r w:rsidR="00B37B6E" w:rsidRPr="00BE6159">
        <w:rPr>
          <w:spacing w:val="-2"/>
          <w:lang w:val="fr-CH"/>
        </w:rPr>
        <w:t xml:space="preserve">Tous ces </w:t>
      </w:r>
      <w:r w:rsidRPr="00BE6159">
        <w:rPr>
          <w:spacing w:val="-2"/>
          <w:lang w:val="fr-CH"/>
        </w:rPr>
        <w:t>program</w:t>
      </w:r>
      <w:r w:rsidR="00B37B6E" w:rsidRPr="00BE6159">
        <w:rPr>
          <w:spacing w:val="-2"/>
          <w:lang w:val="fr-CH"/>
        </w:rPr>
        <w:t>me</w:t>
      </w:r>
      <w:r w:rsidRPr="00BE6159">
        <w:rPr>
          <w:spacing w:val="-2"/>
          <w:lang w:val="fr-CH"/>
        </w:rPr>
        <w:t xml:space="preserve">s </w:t>
      </w:r>
      <w:r w:rsidR="00B37B6E" w:rsidRPr="00BE6159">
        <w:rPr>
          <w:spacing w:val="-2"/>
          <w:lang w:val="fr-CH"/>
        </w:rPr>
        <w:t>reposent sur des approches fondée</w:t>
      </w:r>
      <w:r w:rsidR="00341955" w:rsidRPr="00BE6159">
        <w:rPr>
          <w:spacing w:val="-2"/>
          <w:lang w:val="fr-CH"/>
        </w:rPr>
        <w:t>s</w:t>
      </w:r>
      <w:r w:rsidR="00B37B6E" w:rsidRPr="00BE6159">
        <w:rPr>
          <w:spacing w:val="-2"/>
          <w:lang w:val="fr-CH"/>
        </w:rPr>
        <w:t xml:space="preserve"> sur la participation de la population, la</w:t>
      </w:r>
      <w:r w:rsidRPr="00BE6159">
        <w:rPr>
          <w:spacing w:val="-2"/>
          <w:lang w:val="fr-CH"/>
        </w:rPr>
        <w:t xml:space="preserve"> coop</w:t>
      </w:r>
      <w:r w:rsidR="00B37B6E" w:rsidRPr="00BE6159">
        <w:rPr>
          <w:spacing w:val="-2"/>
          <w:lang w:val="fr-CH"/>
        </w:rPr>
        <w:t>é</w:t>
      </w:r>
      <w:r w:rsidRPr="00BE6159">
        <w:rPr>
          <w:spacing w:val="-2"/>
          <w:lang w:val="fr-CH"/>
        </w:rPr>
        <w:t xml:space="preserve">ration </w:t>
      </w:r>
      <w:r w:rsidR="00B37B6E" w:rsidRPr="00BE6159">
        <w:rPr>
          <w:spacing w:val="-2"/>
          <w:lang w:val="fr-CH"/>
        </w:rPr>
        <w:t>avec les ONG et le renforcement des moyens dont disposent les organisations communautaires, et l’éducation active.</w:t>
      </w:r>
    </w:p>
    <w:p w:rsidR="003A6D8B" w:rsidRPr="0071782F" w:rsidRDefault="003A6D8B" w:rsidP="0010532A">
      <w:pPr>
        <w:pStyle w:val="SingleTxtG"/>
        <w:spacing w:after="0"/>
        <w:ind w:left="1701"/>
        <w:rPr>
          <w:lang w:val="fr-CH"/>
        </w:rPr>
      </w:pPr>
      <w:r w:rsidRPr="0071782F">
        <w:rPr>
          <w:lang w:val="fr-CH"/>
        </w:rPr>
        <w:t xml:space="preserve">327.33. </w:t>
      </w:r>
      <w:r w:rsidR="00B37B6E" w:rsidRPr="0071782F">
        <w:rPr>
          <w:lang w:val="fr-CH"/>
        </w:rPr>
        <w:t xml:space="preserve">Travaux de recherche, d’élaboration et de formation concernant les critères et méthodes employés dans les programmes de prévention, et application de procédures de planification </w:t>
      </w:r>
      <w:r w:rsidRPr="0071782F">
        <w:rPr>
          <w:lang w:val="fr-CH"/>
        </w:rPr>
        <w:t xml:space="preserve">participative </w:t>
      </w:r>
      <w:r w:rsidR="00B37B6E" w:rsidRPr="0071782F">
        <w:rPr>
          <w:lang w:val="fr-CH"/>
        </w:rPr>
        <w:t xml:space="preserve">pour lesdits </w:t>
      </w:r>
      <w:r w:rsidRPr="0071782F">
        <w:rPr>
          <w:lang w:val="fr-CH"/>
        </w:rPr>
        <w:t>program</w:t>
      </w:r>
      <w:r w:rsidR="00B37B6E" w:rsidRPr="0071782F">
        <w:rPr>
          <w:lang w:val="fr-CH"/>
        </w:rPr>
        <w:t>me</w:t>
      </w:r>
      <w:r w:rsidRPr="0071782F">
        <w:rPr>
          <w:lang w:val="fr-CH"/>
        </w:rPr>
        <w:t>s.</w:t>
      </w:r>
    </w:p>
    <w:p w:rsidR="003A6D8B" w:rsidRPr="0071782F" w:rsidRDefault="003A6D8B" w:rsidP="003A6D8B">
      <w:pPr>
        <w:pStyle w:val="H23G"/>
        <w:rPr>
          <w:lang w:val="fr-CH"/>
        </w:rPr>
      </w:pPr>
      <w:r w:rsidRPr="0071782F">
        <w:rPr>
          <w:lang w:val="fr-CH"/>
        </w:rPr>
        <w:tab/>
      </w:r>
      <w:r w:rsidRPr="0071782F">
        <w:rPr>
          <w:lang w:val="fr-CH"/>
        </w:rPr>
        <w:tab/>
        <w:t>R</w:t>
      </w:r>
      <w:r w:rsidR="00B37B6E" w:rsidRPr="0071782F">
        <w:rPr>
          <w:lang w:val="fr-CH"/>
        </w:rPr>
        <w:t xml:space="preserve">apport sur les résultats du traitement et la réduction des situations de préjudice entre </w:t>
      </w:r>
      <w:r w:rsidRPr="0071782F">
        <w:rPr>
          <w:lang w:val="fr-CH"/>
        </w:rPr>
        <w:t xml:space="preserve">2003 </w:t>
      </w:r>
      <w:r w:rsidR="00CF7144" w:rsidRPr="0071782F">
        <w:rPr>
          <w:lang w:val="fr-CH"/>
        </w:rPr>
        <w:t>et le premier semestre</w:t>
      </w:r>
      <w:r w:rsidR="00B37B6E" w:rsidRPr="0071782F">
        <w:rPr>
          <w:lang w:val="fr-CH"/>
        </w:rPr>
        <w:t xml:space="preserve"> de </w:t>
      </w:r>
      <w:r w:rsidRPr="0071782F">
        <w:rPr>
          <w:lang w:val="fr-CH"/>
        </w:rPr>
        <w:t>2008 (</w:t>
      </w:r>
      <w:r w:rsidR="003B48A4" w:rsidRPr="0071782F">
        <w:rPr>
          <w:lang w:val="fr-CH"/>
        </w:rPr>
        <w:t>nombre</w:t>
      </w:r>
      <w:r w:rsidRPr="0071782F">
        <w:rPr>
          <w:lang w:val="fr-CH"/>
        </w:rPr>
        <w:t xml:space="preserve"> </w:t>
      </w:r>
      <w:r w:rsidR="00B37B6E" w:rsidRPr="0071782F">
        <w:rPr>
          <w:lang w:val="fr-CH"/>
        </w:rPr>
        <w:t>de centres</w:t>
      </w:r>
      <w:r w:rsidRPr="0071782F">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766"/>
        <w:gridCol w:w="767"/>
        <w:gridCol w:w="767"/>
        <w:gridCol w:w="768"/>
        <w:gridCol w:w="767"/>
        <w:gridCol w:w="767"/>
        <w:gridCol w:w="768"/>
      </w:tblGrid>
      <w:tr w:rsidR="003A6D8B" w:rsidRPr="0071782F">
        <w:trPr>
          <w:tblHeader/>
        </w:trPr>
        <w:tc>
          <w:tcPr>
            <w:tcW w:w="2766" w:type="dxa"/>
            <w:tcBorders>
              <w:top w:val="single" w:sz="4" w:space="0" w:color="auto"/>
              <w:bottom w:val="single" w:sz="12" w:space="0" w:color="auto"/>
            </w:tcBorders>
            <w:shd w:val="clear" w:color="auto" w:fill="auto"/>
            <w:vAlign w:val="bottom"/>
          </w:tcPr>
          <w:p w:rsidR="003A6D8B" w:rsidRPr="0071782F" w:rsidRDefault="003A6D8B" w:rsidP="00BE6159">
            <w:pPr>
              <w:keepNext/>
              <w:suppressAutoHyphens w:val="0"/>
              <w:spacing w:before="80" w:after="80" w:line="200" w:lineRule="exact"/>
              <w:rPr>
                <w:i/>
                <w:sz w:val="16"/>
                <w:lang w:val="fr-CH"/>
              </w:rPr>
            </w:pPr>
            <w:r w:rsidRPr="0071782F">
              <w:rPr>
                <w:i/>
                <w:sz w:val="16"/>
                <w:lang w:val="fr-CH"/>
              </w:rPr>
              <w:t>Type</w:t>
            </w:r>
            <w:r w:rsidR="00B37B6E" w:rsidRPr="0071782F">
              <w:rPr>
                <w:i/>
                <w:sz w:val="16"/>
                <w:lang w:val="fr-CH"/>
              </w:rPr>
              <w:t xml:space="preserve"> de</w:t>
            </w:r>
            <w:r w:rsidRPr="0071782F">
              <w:rPr>
                <w:i/>
                <w:sz w:val="16"/>
                <w:lang w:val="fr-CH"/>
              </w:rPr>
              <w:t xml:space="preserve"> cent</w:t>
            </w:r>
            <w:r w:rsidR="00B37B6E" w:rsidRPr="0071782F">
              <w:rPr>
                <w:i/>
                <w:sz w:val="16"/>
                <w:lang w:val="fr-CH"/>
              </w:rPr>
              <w:t>re</w:t>
            </w:r>
          </w:p>
        </w:tc>
        <w:tc>
          <w:tcPr>
            <w:tcW w:w="767" w:type="dxa"/>
            <w:tcBorders>
              <w:top w:val="single" w:sz="4" w:space="0" w:color="auto"/>
              <w:bottom w:val="single" w:sz="12" w:space="0" w:color="auto"/>
            </w:tcBorders>
            <w:shd w:val="clear" w:color="auto" w:fill="auto"/>
            <w:vAlign w:val="bottom"/>
          </w:tcPr>
          <w:p w:rsidR="003A6D8B" w:rsidRPr="0071782F" w:rsidRDefault="003A6D8B" w:rsidP="00BE6159">
            <w:pPr>
              <w:keepNext/>
              <w:suppressAutoHyphens w:val="0"/>
              <w:spacing w:before="80" w:after="80" w:line="200" w:lineRule="exact"/>
              <w:jc w:val="right"/>
              <w:rPr>
                <w:i/>
                <w:sz w:val="16"/>
                <w:lang w:val="fr-CH"/>
              </w:rPr>
            </w:pPr>
            <w:r w:rsidRPr="0071782F">
              <w:rPr>
                <w:i/>
                <w:sz w:val="16"/>
                <w:lang w:val="fr-CH"/>
              </w:rPr>
              <w:t>2003</w:t>
            </w:r>
          </w:p>
        </w:tc>
        <w:tc>
          <w:tcPr>
            <w:tcW w:w="767" w:type="dxa"/>
            <w:tcBorders>
              <w:top w:val="single" w:sz="4" w:space="0" w:color="auto"/>
              <w:bottom w:val="single" w:sz="12" w:space="0" w:color="auto"/>
            </w:tcBorders>
            <w:shd w:val="clear" w:color="auto" w:fill="auto"/>
            <w:vAlign w:val="bottom"/>
          </w:tcPr>
          <w:p w:rsidR="003A6D8B" w:rsidRPr="0071782F" w:rsidRDefault="003A6D8B" w:rsidP="00BE6159">
            <w:pPr>
              <w:keepNext/>
              <w:suppressAutoHyphens w:val="0"/>
              <w:spacing w:before="80" w:after="80" w:line="200" w:lineRule="exact"/>
              <w:jc w:val="right"/>
              <w:rPr>
                <w:i/>
                <w:sz w:val="16"/>
                <w:lang w:val="fr-CH"/>
              </w:rPr>
            </w:pPr>
            <w:r w:rsidRPr="0071782F">
              <w:rPr>
                <w:i/>
                <w:sz w:val="16"/>
                <w:lang w:val="fr-CH"/>
              </w:rPr>
              <w:t>2004</w:t>
            </w:r>
          </w:p>
        </w:tc>
        <w:tc>
          <w:tcPr>
            <w:tcW w:w="768" w:type="dxa"/>
            <w:tcBorders>
              <w:top w:val="single" w:sz="4" w:space="0" w:color="auto"/>
              <w:bottom w:val="single" w:sz="12" w:space="0" w:color="auto"/>
            </w:tcBorders>
            <w:shd w:val="clear" w:color="auto" w:fill="auto"/>
            <w:vAlign w:val="bottom"/>
          </w:tcPr>
          <w:p w:rsidR="003A6D8B" w:rsidRPr="0071782F" w:rsidRDefault="003A6D8B" w:rsidP="00BE6159">
            <w:pPr>
              <w:keepNext/>
              <w:suppressAutoHyphens w:val="0"/>
              <w:spacing w:before="80" w:after="80" w:line="200" w:lineRule="exact"/>
              <w:jc w:val="right"/>
              <w:rPr>
                <w:i/>
                <w:sz w:val="16"/>
                <w:lang w:val="fr-CH"/>
              </w:rPr>
            </w:pPr>
            <w:r w:rsidRPr="0071782F">
              <w:rPr>
                <w:i/>
                <w:sz w:val="16"/>
                <w:lang w:val="fr-CH"/>
              </w:rPr>
              <w:t>2005</w:t>
            </w:r>
          </w:p>
        </w:tc>
        <w:tc>
          <w:tcPr>
            <w:tcW w:w="767" w:type="dxa"/>
            <w:tcBorders>
              <w:top w:val="single" w:sz="4" w:space="0" w:color="auto"/>
              <w:bottom w:val="single" w:sz="12" w:space="0" w:color="auto"/>
            </w:tcBorders>
            <w:shd w:val="clear" w:color="auto" w:fill="auto"/>
            <w:vAlign w:val="bottom"/>
          </w:tcPr>
          <w:p w:rsidR="003A6D8B" w:rsidRPr="0071782F" w:rsidRDefault="003A6D8B" w:rsidP="00BE6159">
            <w:pPr>
              <w:keepNext/>
              <w:suppressAutoHyphens w:val="0"/>
              <w:spacing w:before="80" w:after="80" w:line="200" w:lineRule="exact"/>
              <w:jc w:val="right"/>
              <w:rPr>
                <w:i/>
                <w:sz w:val="16"/>
                <w:lang w:val="fr-CH"/>
              </w:rPr>
            </w:pPr>
            <w:r w:rsidRPr="0071782F">
              <w:rPr>
                <w:i/>
                <w:sz w:val="16"/>
                <w:lang w:val="fr-CH"/>
              </w:rPr>
              <w:t>2006</w:t>
            </w:r>
          </w:p>
        </w:tc>
        <w:tc>
          <w:tcPr>
            <w:tcW w:w="767" w:type="dxa"/>
            <w:tcBorders>
              <w:top w:val="single" w:sz="4" w:space="0" w:color="auto"/>
              <w:bottom w:val="single" w:sz="12" w:space="0" w:color="auto"/>
            </w:tcBorders>
            <w:shd w:val="clear" w:color="auto" w:fill="auto"/>
            <w:vAlign w:val="bottom"/>
          </w:tcPr>
          <w:p w:rsidR="003A6D8B" w:rsidRPr="0071782F" w:rsidRDefault="003A6D8B" w:rsidP="00BE6159">
            <w:pPr>
              <w:keepNext/>
              <w:suppressAutoHyphens w:val="0"/>
              <w:spacing w:before="80" w:after="80" w:line="200" w:lineRule="exact"/>
              <w:jc w:val="right"/>
              <w:rPr>
                <w:i/>
                <w:sz w:val="16"/>
                <w:lang w:val="fr-CH"/>
              </w:rPr>
            </w:pPr>
            <w:r w:rsidRPr="0071782F">
              <w:rPr>
                <w:i/>
                <w:sz w:val="16"/>
                <w:lang w:val="fr-CH"/>
              </w:rPr>
              <w:t>2007</w:t>
            </w:r>
          </w:p>
        </w:tc>
        <w:tc>
          <w:tcPr>
            <w:tcW w:w="768" w:type="dxa"/>
            <w:tcBorders>
              <w:top w:val="single" w:sz="4" w:space="0" w:color="auto"/>
              <w:bottom w:val="single" w:sz="12" w:space="0" w:color="auto"/>
            </w:tcBorders>
            <w:shd w:val="clear" w:color="auto" w:fill="auto"/>
            <w:vAlign w:val="bottom"/>
          </w:tcPr>
          <w:p w:rsidR="003A6D8B" w:rsidRPr="0071782F" w:rsidRDefault="003A6D8B" w:rsidP="00BE6159">
            <w:pPr>
              <w:keepNext/>
              <w:suppressAutoHyphens w:val="0"/>
              <w:spacing w:before="80" w:after="80" w:line="200" w:lineRule="exact"/>
              <w:jc w:val="right"/>
              <w:rPr>
                <w:i/>
                <w:sz w:val="16"/>
                <w:lang w:val="fr-CH"/>
              </w:rPr>
            </w:pPr>
            <w:r w:rsidRPr="0071782F">
              <w:rPr>
                <w:i/>
                <w:sz w:val="16"/>
                <w:lang w:val="fr-CH"/>
              </w:rPr>
              <w:t>2008</w:t>
            </w:r>
          </w:p>
        </w:tc>
      </w:tr>
      <w:tr w:rsidR="003A6D8B" w:rsidRPr="0071782F">
        <w:tc>
          <w:tcPr>
            <w:tcW w:w="2766" w:type="dxa"/>
            <w:tcBorders>
              <w:top w:val="single" w:sz="12" w:space="0" w:color="auto"/>
            </w:tcBorders>
            <w:shd w:val="clear" w:color="auto" w:fill="auto"/>
            <w:vAlign w:val="bottom"/>
          </w:tcPr>
          <w:p w:rsidR="003A6D8B" w:rsidRPr="0071782F" w:rsidRDefault="00B37B6E" w:rsidP="00BE6159">
            <w:pPr>
              <w:keepNext/>
              <w:suppressAutoHyphens w:val="0"/>
              <w:spacing w:before="40" w:after="40" w:line="220" w:lineRule="exact"/>
              <w:rPr>
                <w:sz w:val="18"/>
                <w:lang w:val="fr-CH"/>
              </w:rPr>
            </w:pPr>
            <w:r w:rsidRPr="0071782F">
              <w:rPr>
                <w:sz w:val="18"/>
                <w:lang w:val="fr-CH"/>
              </w:rPr>
              <w:t>Ambulatoire</w:t>
            </w:r>
            <w:r w:rsidR="003A6D8B" w:rsidRPr="0071782F">
              <w:rPr>
                <w:sz w:val="18"/>
                <w:lang w:val="fr-CH"/>
              </w:rPr>
              <w:t xml:space="preserve"> (</w:t>
            </w:r>
            <w:r w:rsidRPr="0071782F">
              <w:rPr>
                <w:sz w:val="18"/>
                <w:lang w:val="fr-CH"/>
              </w:rPr>
              <w:t>public</w:t>
            </w:r>
            <w:r w:rsidR="003A6D8B" w:rsidRPr="0071782F">
              <w:rPr>
                <w:sz w:val="18"/>
                <w:lang w:val="fr-CH"/>
              </w:rPr>
              <w:t>)</w:t>
            </w:r>
          </w:p>
        </w:tc>
        <w:tc>
          <w:tcPr>
            <w:tcW w:w="767" w:type="dxa"/>
            <w:tcBorders>
              <w:top w:val="single" w:sz="12" w:space="0" w:color="auto"/>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86</w:t>
            </w:r>
          </w:p>
        </w:tc>
        <w:tc>
          <w:tcPr>
            <w:tcW w:w="767" w:type="dxa"/>
            <w:tcBorders>
              <w:top w:val="single" w:sz="12" w:space="0" w:color="auto"/>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86</w:t>
            </w:r>
          </w:p>
        </w:tc>
        <w:tc>
          <w:tcPr>
            <w:tcW w:w="768" w:type="dxa"/>
            <w:tcBorders>
              <w:top w:val="single" w:sz="12" w:space="0" w:color="auto"/>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51</w:t>
            </w:r>
          </w:p>
        </w:tc>
        <w:tc>
          <w:tcPr>
            <w:tcW w:w="767" w:type="dxa"/>
            <w:tcBorders>
              <w:top w:val="single" w:sz="12" w:space="0" w:color="auto"/>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51</w:t>
            </w:r>
          </w:p>
        </w:tc>
        <w:tc>
          <w:tcPr>
            <w:tcW w:w="767" w:type="dxa"/>
            <w:tcBorders>
              <w:top w:val="single" w:sz="12" w:space="0" w:color="auto"/>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50</w:t>
            </w:r>
          </w:p>
        </w:tc>
        <w:tc>
          <w:tcPr>
            <w:tcW w:w="768" w:type="dxa"/>
            <w:tcBorders>
              <w:top w:val="single" w:sz="12" w:space="0" w:color="auto"/>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48</w:t>
            </w:r>
          </w:p>
        </w:tc>
      </w:tr>
      <w:tr w:rsidR="003A6D8B" w:rsidRPr="0071782F">
        <w:tc>
          <w:tcPr>
            <w:tcW w:w="2766" w:type="dxa"/>
            <w:tcBorders>
              <w:bottom w:val="nil"/>
            </w:tcBorders>
            <w:shd w:val="clear" w:color="auto" w:fill="auto"/>
            <w:vAlign w:val="bottom"/>
          </w:tcPr>
          <w:p w:rsidR="003A6D8B" w:rsidRPr="0071782F" w:rsidRDefault="00B37B6E" w:rsidP="00BE6159">
            <w:pPr>
              <w:keepNext/>
              <w:suppressAutoHyphens w:val="0"/>
              <w:spacing w:before="40" w:after="40" w:line="220" w:lineRule="exact"/>
              <w:rPr>
                <w:sz w:val="18"/>
                <w:lang w:val="fr-CH"/>
              </w:rPr>
            </w:pPr>
            <w:r w:rsidRPr="0071782F">
              <w:rPr>
                <w:sz w:val="18"/>
                <w:lang w:val="fr-CH"/>
              </w:rPr>
              <w:t xml:space="preserve">Ambulatoire </w:t>
            </w:r>
            <w:r w:rsidR="003A6D8B" w:rsidRPr="0071782F">
              <w:rPr>
                <w:sz w:val="18"/>
                <w:lang w:val="fr-CH"/>
              </w:rPr>
              <w:t>(</w:t>
            </w:r>
            <w:r w:rsidRPr="0071782F">
              <w:rPr>
                <w:sz w:val="18"/>
                <w:lang w:val="fr-CH"/>
              </w:rPr>
              <w:t>privé</w:t>
            </w:r>
            <w:r w:rsidR="003A6D8B" w:rsidRPr="0071782F">
              <w:rPr>
                <w:sz w:val="18"/>
                <w:lang w:val="fr-CH"/>
              </w:rPr>
              <w:t>)</w:t>
            </w:r>
          </w:p>
        </w:tc>
        <w:tc>
          <w:tcPr>
            <w:tcW w:w="767" w:type="dxa"/>
            <w:tcBorders>
              <w:bottom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p>
        </w:tc>
        <w:tc>
          <w:tcPr>
            <w:tcW w:w="767" w:type="dxa"/>
            <w:tcBorders>
              <w:bottom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374</w:t>
            </w:r>
          </w:p>
        </w:tc>
        <w:tc>
          <w:tcPr>
            <w:tcW w:w="768" w:type="dxa"/>
            <w:tcBorders>
              <w:bottom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457</w:t>
            </w:r>
          </w:p>
        </w:tc>
        <w:tc>
          <w:tcPr>
            <w:tcW w:w="767" w:type="dxa"/>
            <w:tcBorders>
              <w:bottom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491</w:t>
            </w:r>
          </w:p>
        </w:tc>
        <w:tc>
          <w:tcPr>
            <w:tcW w:w="767" w:type="dxa"/>
            <w:tcBorders>
              <w:bottom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568</w:t>
            </w:r>
          </w:p>
        </w:tc>
        <w:tc>
          <w:tcPr>
            <w:tcW w:w="768" w:type="dxa"/>
            <w:tcBorders>
              <w:bottom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595</w:t>
            </w:r>
          </w:p>
        </w:tc>
      </w:tr>
      <w:tr w:rsidR="003A6D8B" w:rsidRPr="0071782F">
        <w:tc>
          <w:tcPr>
            <w:tcW w:w="2766" w:type="dxa"/>
            <w:tcBorders>
              <w:top w:val="nil"/>
              <w:bottom w:val="nil"/>
            </w:tcBorders>
            <w:shd w:val="clear" w:color="auto" w:fill="auto"/>
            <w:vAlign w:val="bottom"/>
          </w:tcPr>
          <w:p w:rsidR="003A6D8B" w:rsidRPr="0071782F" w:rsidRDefault="00B37B6E" w:rsidP="00BE6159">
            <w:pPr>
              <w:keepNext/>
              <w:suppressAutoHyphens w:val="0"/>
              <w:spacing w:before="40" w:after="40" w:line="220" w:lineRule="exact"/>
              <w:rPr>
                <w:sz w:val="18"/>
                <w:lang w:val="fr-CH"/>
              </w:rPr>
            </w:pPr>
            <w:r w:rsidRPr="0071782F">
              <w:rPr>
                <w:sz w:val="18"/>
                <w:lang w:val="fr-CH"/>
              </w:rPr>
              <w:t xml:space="preserve">Hospitalier </w:t>
            </w:r>
            <w:r w:rsidR="003A6D8B" w:rsidRPr="0071782F">
              <w:rPr>
                <w:sz w:val="18"/>
                <w:lang w:val="fr-CH"/>
              </w:rPr>
              <w:t>(</w:t>
            </w:r>
            <w:r w:rsidRPr="0071782F">
              <w:rPr>
                <w:sz w:val="18"/>
                <w:lang w:val="fr-CH"/>
              </w:rPr>
              <w:t>privé</w:t>
            </w:r>
            <w:r w:rsidR="003A6D8B" w:rsidRPr="0071782F">
              <w:rPr>
                <w:sz w:val="18"/>
                <w:lang w:val="fr-CH"/>
              </w:rPr>
              <w:t>)</w:t>
            </w:r>
          </w:p>
        </w:tc>
        <w:tc>
          <w:tcPr>
            <w:tcW w:w="767" w:type="dxa"/>
            <w:tcBorders>
              <w:top w:val="nil"/>
              <w:bottom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p>
        </w:tc>
        <w:tc>
          <w:tcPr>
            <w:tcW w:w="767" w:type="dxa"/>
            <w:tcBorders>
              <w:top w:val="nil"/>
              <w:bottom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p>
        </w:tc>
        <w:tc>
          <w:tcPr>
            <w:tcW w:w="768" w:type="dxa"/>
            <w:tcBorders>
              <w:top w:val="nil"/>
              <w:bottom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p>
        </w:tc>
        <w:tc>
          <w:tcPr>
            <w:tcW w:w="767" w:type="dxa"/>
            <w:tcBorders>
              <w:top w:val="nil"/>
              <w:bottom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31</w:t>
            </w:r>
          </w:p>
        </w:tc>
        <w:tc>
          <w:tcPr>
            <w:tcW w:w="767" w:type="dxa"/>
            <w:tcBorders>
              <w:top w:val="nil"/>
              <w:bottom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35</w:t>
            </w:r>
          </w:p>
        </w:tc>
        <w:tc>
          <w:tcPr>
            <w:tcW w:w="768" w:type="dxa"/>
            <w:tcBorders>
              <w:top w:val="nil"/>
              <w:bottom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32</w:t>
            </w:r>
          </w:p>
        </w:tc>
      </w:tr>
      <w:tr w:rsidR="003A6D8B" w:rsidRPr="0071782F">
        <w:tc>
          <w:tcPr>
            <w:tcW w:w="2766" w:type="dxa"/>
            <w:tcBorders>
              <w:top w:val="nil"/>
            </w:tcBorders>
            <w:shd w:val="clear" w:color="auto" w:fill="auto"/>
            <w:vAlign w:val="bottom"/>
          </w:tcPr>
          <w:p w:rsidR="003A6D8B" w:rsidRPr="0071782F" w:rsidRDefault="00B37B6E" w:rsidP="00BE6159">
            <w:pPr>
              <w:keepNext/>
              <w:suppressAutoHyphens w:val="0"/>
              <w:spacing w:before="40" w:after="40" w:line="220" w:lineRule="exact"/>
              <w:rPr>
                <w:sz w:val="18"/>
                <w:lang w:val="fr-CH"/>
              </w:rPr>
            </w:pPr>
            <w:r w:rsidRPr="0071782F">
              <w:rPr>
                <w:sz w:val="18"/>
                <w:lang w:val="fr-CH"/>
              </w:rPr>
              <w:t>Traitement communautaire</w:t>
            </w:r>
          </w:p>
        </w:tc>
        <w:tc>
          <w:tcPr>
            <w:tcW w:w="767" w:type="dxa"/>
            <w:tcBorders>
              <w:top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15</w:t>
            </w:r>
          </w:p>
        </w:tc>
        <w:tc>
          <w:tcPr>
            <w:tcW w:w="767" w:type="dxa"/>
            <w:tcBorders>
              <w:top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24</w:t>
            </w:r>
          </w:p>
        </w:tc>
        <w:tc>
          <w:tcPr>
            <w:tcW w:w="768" w:type="dxa"/>
            <w:tcBorders>
              <w:top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24</w:t>
            </w:r>
          </w:p>
        </w:tc>
        <w:tc>
          <w:tcPr>
            <w:tcW w:w="767" w:type="dxa"/>
            <w:tcBorders>
              <w:top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27</w:t>
            </w:r>
          </w:p>
        </w:tc>
        <w:tc>
          <w:tcPr>
            <w:tcW w:w="767" w:type="dxa"/>
            <w:tcBorders>
              <w:top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26</w:t>
            </w:r>
          </w:p>
        </w:tc>
        <w:tc>
          <w:tcPr>
            <w:tcW w:w="768" w:type="dxa"/>
            <w:tcBorders>
              <w:top w:val="nil"/>
            </w:tcBorders>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25</w:t>
            </w:r>
          </w:p>
        </w:tc>
      </w:tr>
      <w:tr w:rsidR="003A6D8B" w:rsidRPr="0071782F">
        <w:tc>
          <w:tcPr>
            <w:tcW w:w="2766" w:type="dxa"/>
            <w:shd w:val="clear" w:color="auto" w:fill="auto"/>
            <w:vAlign w:val="bottom"/>
          </w:tcPr>
          <w:p w:rsidR="003A6D8B" w:rsidRPr="0071782F" w:rsidRDefault="00B37B6E" w:rsidP="00BE6159">
            <w:pPr>
              <w:keepNext/>
              <w:suppressAutoHyphens w:val="0"/>
              <w:spacing w:before="40" w:after="40" w:line="220" w:lineRule="exact"/>
              <w:rPr>
                <w:sz w:val="18"/>
                <w:lang w:val="fr-CH"/>
              </w:rPr>
            </w:pPr>
            <w:r w:rsidRPr="0071782F">
              <w:rPr>
                <w:sz w:val="18"/>
                <w:lang w:val="fr-CH"/>
              </w:rPr>
              <w:t>Accueil</w:t>
            </w:r>
          </w:p>
        </w:tc>
        <w:tc>
          <w:tcPr>
            <w:tcW w:w="767"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2</w:t>
            </w:r>
          </w:p>
        </w:tc>
        <w:tc>
          <w:tcPr>
            <w:tcW w:w="767"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11</w:t>
            </w:r>
          </w:p>
        </w:tc>
        <w:tc>
          <w:tcPr>
            <w:tcW w:w="768"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28</w:t>
            </w:r>
          </w:p>
        </w:tc>
        <w:tc>
          <w:tcPr>
            <w:tcW w:w="767"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71</w:t>
            </w:r>
          </w:p>
        </w:tc>
        <w:tc>
          <w:tcPr>
            <w:tcW w:w="767"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83</w:t>
            </w:r>
          </w:p>
        </w:tc>
        <w:tc>
          <w:tcPr>
            <w:tcW w:w="768"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86</w:t>
            </w:r>
          </w:p>
        </w:tc>
      </w:tr>
      <w:tr w:rsidR="003A6D8B" w:rsidRPr="0071782F">
        <w:tc>
          <w:tcPr>
            <w:tcW w:w="2766" w:type="dxa"/>
            <w:shd w:val="clear" w:color="auto" w:fill="auto"/>
            <w:vAlign w:val="bottom"/>
          </w:tcPr>
          <w:p w:rsidR="003A6D8B" w:rsidRPr="0071782F" w:rsidRDefault="00B37B6E" w:rsidP="00BE6159">
            <w:pPr>
              <w:keepNext/>
              <w:suppressAutoHyphens w:val="0"/>
              <w:spacing w:before="40" w:after="40" w:line="220" w:lineRule="exact"/>
              <w:rPr>
                <w:sz w:val="18"/>
                <w:lang w:val="fr-CH"/>
              </w:rPr>
            </w:pPr>
            <w:r w:rsidRPr="0071782F">
              <w:rPr>
                <w:sz w:val="18"/>
                <w:lang w:val="fr-CH"/>
              </w:rPr>
              <w:t>Équipe mobile</w:t>
            </w:r>
          </w:p>
        </w:tc>
        <w:tc>
          <w:tcPr>
            <w:tcW w:w="767"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p>
        </w:tc>
        <w:tc>
          <w:tcPr>
            <w:tcW w:w="767"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p>
        </w:tc>
        <w:tc>
          <w:tcPr>
            <w:tcW w:w="768"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47</w:t>
            </w:r>
          </w:p>
        </w:tc>
        <w:tc>
          <w:tcPr>
            <w:tcW w:w="767"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95</w:t>
            </w:r>
          </w:p>
        </w:tc>
        <w:tc>
          <w:tcPr>
            <w:tcW w:w="767"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128</w:t>
            </w:r>
          </w:p>
        </w:tc>
        <w:tc>
          <w:tcPr>
            <w:tcW w:w="768"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118</w:t>
            </w:r>
          </w:p>
        </w:tc>
      </w:tr>
      <w:tr w:rsidR="003A6D8B" w:rsidRPr="0071782F">
        <w:tc>
          <w:tcPr>
            <w:tcW w:w="2766" w:type="dxa"/>
            <w:shd w:val="clear" w:color="auto" w:fill="auto"/>
            <w:vAlign w:val="bottom"/>
          </w:tcPr>
          <w:p w:rsidR="003A6D8B" w:rsidRPr="0071782F" w:rsidRDefault="00B37B6E" w:rsidP="00BE6159">
            <w:pPr>
              <w:keepNext/>
              <w:suppressAutoHyphens w:val="0"/>
              <w:spacing w:before="40" w:after="40" w:line="220" w:lineRule="exact"/>
              <w:rPr>
                <w:sz w:val="18"/>
                <w:lang w:val="fr-CH"/>
              </w:rPr>
            </w:pPr>
            <w:r w:rsidRPr="0071782F">
              <w:rPr>
                <w:sz w:val="18"/>
                <w:lang w:val="fr-CH"/>
              </w:rPr>
              <w:t xml:space="preserve">Foyer </w:t>
            </w:r>
          </w:p>
        </w:tc>
        <w:tc>
          <w:tcPr>
            <w:tcW w:w="767"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p>
        </w:tc>
        <w:tc>
          <w:tcPr>
            <w:tcW w:w="767"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p>
        </w:tc>
        <w:tc>
          <w:tcPr>
            <w:tcW w:w="768"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p>
        </w:tc>
        <w:tc>
          <w:tcPr>
            <w:tcW w:w="767"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10</w:t>
            </w:r>
          </w:p>
        </w:tc>
        <w:tc>
          <w:tcPr>
            <w:tcW w:w="767"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25</w:t>
            </w:r>
          </w:p>
        </w:tc>
        <w:tc>
          <w:tcPr>
            <w:tcW w:w="768"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27</w:t>
            </w:r>
          </w:p>
        </w:tc>
      </w:tr>
      <w:tr w:rsidR="003A6D8B" w:rsidRPr="0071782F">
        <w:tc>
          <w:tcPr>
            <w:tcW w:w="2766" w:type="dxa"/>
            <w:shd w:val="clear" w:color="auto" w:fill="auto"/>
            <w:vAlign w:val="bottom"/>
          </w:tcPr>
          <w:p w:rsidR="003A6D8B" w:rsidRPr="0071782F" w:rsidRDefault="00B37B6E" w:rsidP="00BE6159">
            <w:pPr>
              <w:keepNext/>
              <w:suppressAutoHyphens w:val="0"/>
              <w:spacing w:before="40" w:after="40" w:line="220" w:lineRule="exact"/>
              <w:rPr>
                <w:sz w:val="18"/>
                <w:lang w:val="fr-CH"/>
              </w:rPr>
            </w:pPr>
            <w:r w:rsidRPr="0071782F">
              <w:rPr>
                <w:sz w:val="18"/>
                <w:lang w:val="fr-CH"/>
              </w:rPr>
              <w:t>Ambulatoire</w:t>
            </w:r>
            <w:r w:rsidR="00D36718">
              <w:rPr>
                <w:sz w:val="18"/>
                <w:lang w:val="fr-CH"/>
              </w:rPr>
              <w:t xml:space="preserve"> </w:t>
            </w:r>
            <w:r w:rsidR="003A6D8B" w:rsidRPr="0071782F">
              <w:rPr>
                <w:sz w:val="18"/>
                <w:lang w:val="fr-CH"/>
              </w:rPr>
              <w:t>(</w:t>
            </w:r>
            <w:r w:rsidRPr="0071782F">
              <w:rPr>
                <w:sz w:val="18"/>
                <w:lang w:val="fr-CH"/>
              </w:rPr>
              <w:t>public</w:t>
            </w:r>
            <w:r w:rsidR="003A6D8B" w:rsidRPr="0071782F">
              <w:rPr>
                <w:sz w:val="18"/>
                <w:lang w:val="fr-CH"/>
              </w:rPr>
              <w:t xml:space="preserve">) </w:t>
            </w:r>
            <w:r w:rsidRPr="0071782F">
              <w:rPr>
                <w:sz w:val="18"/>
                <w:lang w:val="fr-CH"/>
              </w:rPr>
              <w:t xml:space="preserve">avec TEM </w:t>
            </w:r>
          </w:p>
        </w:tc>
        <w:tc>
          <w:tcPr>
            <w:tcW w:w="767"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p>
        </w:tc>
        <w:tc>
          <w:tcPr>
            <w:tcW w:w="767"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p>
        </w:tc>
        <w:tc>
          <w:tcPr>
            <w:tcW w:w="768"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p>
        </w:tc>
        <w:tc>
          <w:tcPr>
            <w:tcW w:w="767"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32</w:t>
            </w:r>
          </w:p>
        </w:tc>
        <w:tc>
          <w:tcPr>
            <w:tcW w:w="767"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39</w:t>
            </w:r>
          </w:p>
        </w:tc>
        <w:tc>
          <w:tcPr>
            <w:tcW w:w="768" w:type="dxa"/>
            <w:shd w:val="clear" w:color="auto" w:fill="auto"/>
            <w:vAlign w:val="bottom"/>
          </w:tcPr>
          <w:p w:rsidR="003A6D8B" w:rsidRPr="0071782F" w:rsidRDefault="003A6D8B" w:rsidP="00BE6159">
            <w:pPr>
              <w:keepNext/>
              <w:suppressAutoHyphens w:val="0"/>
              <w:spacing w:before="40" w:after="40" w:line="220" w:lineRule="exact"/>
              <w:jc w:val="right"/>
              <w:rPr>
                <w:sz w:val="18"/>
                <w:lang w:val="fr-CH"/>
              </w:rPr>
            </w:pPr>
            <w:r w:rsidRPr="0071782F">
              <w:rPr>
                <w:sz w:val="18"/>
                <w:lang w:val="fr-CH"/>
              </w:rPr>
              <w:t>29</w:t>
            </w:r>
          </w:p>
        </w:tc>
      </w:tr>
      <w:tr w:rsidR="003A6D8B" w:rsidRPr="0071782F">
        <w:tc>
          <w:tcPr>
            <w:tcW w:w="2766" w:type="dxa"/>
            <w:shd w:val="clear" w:color="auto" w:fill="auto"/>
            <w:vAlign w:val="bottom"/>
          </w:tcPr>
          <w:p w:rsidR="003A6D8B" w:rsidRPr="0071782F" w:rsidRDefault="00B37B6E" w:rsidP="00C232FA">
            <w:pPr>
              <w:suppressAutoHyphens w:val="0"/>
              <w:spacing w:before="40" w:after="40" w:line="220" w:lineRule="exact"/>
              <w:rPr>
                <w:sz w:val="18"/>
                <w:lang w:val="fr-CH"/>
              </w:rPr>
            </w:pPr>
            <w:r w:rsidRPr="0071782F">
              <w:rPr>
                <w:sz w:val="18"/>
                <w:lang w:val="fr-CH"/>
              </w:rPr>
              <w:t>Ambulatoire</w:t>
            </w:r>
            <w:r w:rsidR="00D36718">
              <w:rPr>
                <w:sz w:val="18"/>
                <w:lang w:val="fr-CH"/>
              </w:rPr>
              <w:t xml:space="preserve"> </w:t>
            </w:r>
            <w:r w:rsidRPr="0071782F">
              <w:rPr>
                <w:sz w:val="18"/>
                <w:lang w:val="fr-CH"/>
              </w:rPr>
              <w:t>(privé) avec TEM</w:t>
            </w:r>
          </w:p>
        </w:tc>
        <w:tc>
          <w:tcPr>
            <w:tcW w:w="767"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67"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68"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67"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242</w:t>
            </w:r>
          </w:p>
        </w:tc>
        <w:tc>
          <w:tcPr>
            <w:tcW w:w="767"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430</w:t>
            </w:r>
          </w:p>
        </w:tc>
        <w:tc>
          <w:tcPr>
            <w:tcW w:w="768"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479</w:t>
            </w:r>
          </w:p>
        </w:tc>
      </w:tr>
      <w:tr w:rsidR="003A6D8B" w:rsidRPr="0071782F">
        <w:tc>
          <w:tcPr>
            <w:tcW w:w="2766" w:type="dxa"/>
            <w:shd w:val="clear" w:color="auto" w:fill="auto"/>
            <w:vAlign w:val="bottom"/>
          </w:tcPr>
          <w:p w:rsidR="003A6D8B" w:rsidRPr="0071782F" w:rsidRDefault="00B37B6E" w:rsidP="00C232FA">
            <w:pPr>
              <w:suppressAutoHyphens w:val="0"/>
              <w:spacing w:before="40" w:after="40" w:line="220" w:lineRule="exact"/>
              <w:rPr>
                <w:sz w:val="18"/>
                <w:lang w:val="fr-CH"/>
              </w:rPr>
            </w:pPr>
            <w:r w:rsidRPr="0071782F">
              <w:rPr>
                <w:sz w:val="18"/>
                <w:lang w:val="fr-CH"/>
              </w:rPr>
              <w:t>Accueil avec TEM</w:t>
            </w:r>
          </w:p>
        </w:tc>
        <w:tc>
          <w:tcPr>
            <w:tcW w:w="767"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67"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68"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67"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67"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28</w:t>
            </w:r>
          </w:p>
        </w:tc>
        <w:tc>
          <w:tcPr>
            <w:tcW w:w="768"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30</w:t>
            </w:r>
          </w:p>
        </w:tc>
      </w:tr>
    </w:tbl>
    <w:p w:rsidR="003A6D8B" w:rsidRPr="0071782F" w:rsidRDefault="003A6D8B" w:rsidP="003A6D8B">
      <w:pPr>
        <w:pStyle w:val="H23G"/>
        <w:rPr>
          <w:lang w:val="fr-CH"/>
        </w:rPr>
      </w:pPr>
      <w:r w:rsidRPr="0071782F">
        <w:rPr>
          <w:lang w:val="fr-CH"/>
        </w:rPr>
        <w:tab/>
      </w:r>
      <w:r w:rsidRPr="0071782F">
        <w:rPr>
          <w:lang w:val="fr-CH"/>
        </w:rPr>
        <w:tab/>
      </w:r>
      <w:r w:rsidR="00B37B6E" w:rsidRPr="0071782F">
        <w:rPr>
          <w:lang w:val="fr-CH"/>
        </w:rPr>
        <w:t xml:space="preserve">Rapport sur les résultats du traitement et la réduction des situations de préjudice entre 2003 </w:t>
      </w:r>
      <w:r w:rsidR="00CF7144" w:rsidRPr="0071782F">
        <w:rPr>
          <w:lang w:val="fr-CH"/>
        </w:rPr>
        <w:t>et le premier semestre</w:t>
      </w:r>
      <w:r w:rsidR="00B37B6E" w:rsidRPr="0071782F">
        <w:rPr>
          <w:lang w:val="fr-CH"/>
        </w:rPr>
        <w:t xml:space="preserve"> de 2008 (nombre d’utilisateurs</w:t>
      </w:r>
      <w:r w:rsidRPr="0071782F">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66"/>
        <w:gridCol w:w="784"/>
        <w:gridCol w:w="784"/>
        <w:gridCol w:w="784"/>
        <w:gridCol w:w="784"/>
        <w:gridCol w:w="784"/>
        <w:gridCol w:w="784"/>
      </w:tblGrid>
      <w:tr w:rsidR="003A6D8B" w:rsidRPr="0071782F">
        <w:trPr>
          <w:tblHeader/>
        </w:trPr>
        <w:tc>
          <w:tcPr>
            <w:tcW w:w="2666"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rPr>
                <w:i/>
                <w:sz w:val="16"/>
                <w:lang w:val="fr-CH"/>
              </w:rPr>
            </w:pPr>
            <w:r w:rsidRPr="0071782F">
              <w:rPr>
                <w:i/>
                <w:sz w:val="16"/>
                <w:lang w:val="fr-CH"/>
              </w:rPr>
              <w:t xml:space="preserve">Type </w:t>
            </w:r>
            <w:r w:rsidR="00B37B6E" w:rsidRPr="0071782F">
              <w:rPr>
                <w:i/>
                <w:sz w:val="16"/>
                <w:lang w:val="fr-CH"/>
              </w:rPr>
              <w:t>de</w:t>
            </w:r>
            <w:r w:rsidRPr="0071782F">
              <w:rPr>
                <w:i/>
                <w:sz w:val="16"/>
                <w:lang w:val="fr-CH"/>
              </w:rPr>
              <w:t xml:space="preserve"> cent</w:t>
            </w:r>
            <w:r w:rsidR="00B37B6E" w:rsidRPr="0071782F">
              <w:rPr>
                <w:i/>
                <w:sz w:val="16"/>
                <w:lang w:val="fr-CH"/>
              </w:rPr>
              <w:t>re</w:t>
            </w:r>
          </w:p>
        </w:tc>
        <w:tc>
          <w:tcPr>
            <w:tcW w:w="784"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2003</w:t>
            </w:r>
          </w:p>
        </w:tc>
        <w:tc>
          <w:tcPr>
            <w:tcW w:w="784"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2004</w:t>
            </w:r>
          </w:p>
        </w:tc>
        <w:tc>
          <w:tcPr>
            <w:tcW w:w="784"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2005</w:t>
            </w:r>
          </w:p>
        </w:tc>
        <w:tc>
          <w:tcPr>
            <w:tcW w:w="784"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2006</w:t>
            </w:r>
          </w:p>
        </w:tc>
        <w:tc>
          <w:tcPr>
            <w:tcW w:w="784"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2007</w:t>
            </w:r>
          </w:p>
        </w:tc>
        <w:tc>
          <w:tcPr>
            <w:tcW w:w="784"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2008</w:t>
            </w:r>
          </w:p>
        </w:tc>
      </w:tr>
      <w:tr w:rsidR="003A6D8B" w:rsidRPr="0071782F">
        <w:tc>
          <w:tcPr>
            <w:tcW w:w="2666" w:type="dxa"/>
            <w:tcBorders>
              <w:top w:val="single" w:sz="12" w:space="0" w:color="auto"/>
            </w:tcBorders>
            <w:shd w:val="clear" w:color="auto" w:fill="auto"/>
            <w:vAlign w:val="bottom"/>
          </w:tcPr>
          <w:p w:rsidR="003A6D8B" w:rsidRPr="0071782F" w:rsidRDefault="00B37B6E" w:rsidP="00C232FA">
            <w:pPr>
              <w:suppressAutoHyphens w:val="0"/>
              <w:spacing w:before="40" w:after="40" w:line="220" w:lineRule="exact"/>
              <w:rPr>
                <w:sz w:val="18"/>
                <w:lang w:val="fr-CH"/>
              </w:rPr>
            </w:pPr>
            <w:r w:rsidRPr="0071782F">
              <w:rPr>
                <w:sz w:val="18"/>
                <w:lang w:val="fr-CH"/>
              </w:rPr>
              <w:t>Ambulatoire (public)</w:t>
            </w:r>
          </w:p>
        </w:tc>
        <w:tc>
          <w:tcPr>
            <w:tcW w:w="784"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28 443</w:t>
            </w:r>
          </w:p>
        </w:tc>
        <w:tc>
          <w:tcPr>
            <w:tcW w:w="784"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23 625</w:t>
            </w:r>
          </w:p>
        </w:tc>
        <w:tc>
          <w:tcPr>
            <w:tcW w:w="784"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27 354</w:t>
            </w:r>
          </w:p>
        </w:tc>
        <w:tc>
          <w:tcPr>
            <w:tcW w:w="784"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30 585</w:t>
            </w:r>
          </w:p>
        </w:tc>
        <w:tc>
          <w:tcPr>
            <w:tcW w:w="784"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28 693</w:t>
            </w:r>
          </w:p>
        </w:tc>
        <w:tc>
          <w:tcPr>
            <w:tcW w:w="784"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12 858</w:t>
            </w:r>
          </w:p>
        </w:tc>
      </w:tr>
      <w:tr w:rsidR="003A6D8B" w:rsidRPr="0071782F">
        <w:tc>
          <w:tcPr>
            <w:tcW w:w="2666" w:type="dxa"/>
            <w:shd w:val="clear" w:color="auto" w:fill="auto"/>
            <w:vAlign w:val="bottom"/>
          </w:tcPr>
          <w:p w:rsidR="003A6D8B" w:rsidRPr="0071782F" w:rsidRDefault="00B37B6E" w:rsidP="00C232FA">
            <w:pPr>
              <w:suppressAutoHyphens w:val="0"/>
              <w:spacing w:before="40" w:after="40" w:line="220" w:lineRule="exact"/>
              <w:rPr>
                <w:sz w:val="18"/>
                <w:lang w:val="fr-CH"/>
              </w:rPr>
            </w:pPr>
            <w:r w:rsidRPr="0071782F">
              <w:rPr>
                <w:sz w:val="18"/>
                <w:lang w:val="fr-CH"/>
              </w:rPr>
              <w:t>Ambulatoire (privé)</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53 300</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95 534</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152 455</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169 653</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190 464</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64 289</w:t>
            </w:r>
          </w:p>
        </w:tc>
      </w:tr>
      <w:tr w:rsidR="003A6D8B" w:rsidRPr="0071782F">
        <w:tc>
          <w:tcPr>
            <w:tcW w:w="2666" w:type="dxa"/>
            <w:shd w:val="clear" w:color="auto" w:fill="auto"/>
            <w:vAlign w:val="bottom"/>
          </w:tcPr>
          <w:p w:rsidR="003A6D8B" w:rsidRPr="0071782F" w:rsidRDefault="00B37B6E" w:rsidP="00C232FA">
            <w:pPr>
              <w:suppressAutoHyphens w:val="0"/>
              <w:spacing w:before="40" w:after="40" w:line="220" w:lineRule="exact"/>
              <w:rPr>
                <w:sz w:val="18"/>
                <w:lang w:val="fr-CH"/>
              </w:rPr>
            </w:pPr>
            <w:r w:rsidRPr="0071782F">
              <w:rPr>
                <w:sz w:val="18"/>
                <w:lang w:val="fr-CH"/>
              </w:rPr>
              <w:t>Hospitalier (privé)</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4 303</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6 532</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8 156</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11 944</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4 328</w:t>
            </w:r>
          </w:p>
        </w:tc>
      </w:tr>
      <w:tr w:rsidR="003A6D8B" w:rsidRPr="0071782F">
        <w:tc>
          <w:tcPr>
            <w:tcW w:w="2666" w:type="dxa"/>
            <w:shd w:val="clear" w:color="auto" w:fill="auto"/>
            <w:vAlign w:val="bottom"/>
          </w:tcPr>
          <w:p w:rsidR="003A6D8B" w:rsidRPr="0071782F" w:rsidRDefault="00B37B6E" w:rsidP="00C232FA">
            <w:pPr>
              <w:suppressAutoHyphens w:val="0"/>
              <w:spacing w:before="40" w:after="40" w:line="220" w:lineRule="exact"/>
              <w:rPr>
                <w:sz w:val="18"/>
                <w:lang w:val="fr-CH"/>
              </w:rPr>
            </w:pPr>
            <w:r w:rsidRPr="0071782F">
              <w:rPr>
                <w:sz w:val="18"/>
                <w:lang w:val="fr-CH"/>
              </w:rPr>
              <w:t>Traitement communautaire</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1 443</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1 354</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1 965</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2 701</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2 649</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1 343</w:t>
            </w:r>
          </w:p>
        </w:tc>
      </w:tr>
      <w:tr w:rsidR="003A6D8B" w:rsidRPr="0071782F">
        <w:tc>
          <w:tcPr>
            <w:tcW w:w="2666" w:type="dxa"/>
            <w:shd w:val="clear" w:color="auto" w:fill="auto"/>
            <w:vAlign w:val="bottom"/>
          </w:tcPr>
          <w:p w:rsidR="003A6D8B" w:rsidRPr="0071782F" w:rsidRDefault="00B37B6E" w:rsidP="00C232FA">
            <w:pPr>
              <w:suppressAutoHyphens w:val="0"/>
              <w:spacing w:before="40" w:after="40" w:line="220" w:lineRule="exact"/>
              <w:rPr>
                <w:sz w:val="18"/>
                <w:lang w:val="fr-CH"/>
              </w:rPr>
            </w:pPr>
            <w:r w:rsidRPr="0071782F">
              <w:rPr>
                <w:sz w:val="18"/>
                <w:lang w:val="fr-CH"/>
              </w:rPr>
              <w:t>Accueil</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7 272</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10 441</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35 034</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19 534</w:t>
            </w:r>
          </w:p>
        </w:tc>
      </w:tr>
      <w:tr w:rsidR="003A6D8B" w:rsidRPr="0071782F">
        <w:tc>
          <w:tcPr>
            <w:tcW w:w="2666" w:type="dxa"/>
            <w:shd w:val="clear" w:color="auto" w:fill="auto"/>
            <w:vAlign w:val="bottom"/>
          </w:tcPr>
          <w:p w:rsidR="003A6D8B" w:rsidRPr="0071782F" w:rsidRDefault="00B37B6E" w:rsidP="00C232FA">
            <w:pPr>
              <w:suppressAutoHyphens w:val="0"/>
              <w:spacing w:before="40" w:after="40" w:line="220" w:lineRule="exact"/>
              <w:rPr>
                <w:sz w:val="18"/>
                <w:lang w:val="fr-CH"/>
              </w:rPr>
            </w:pPr>
            <w:r w:rsidRPr="0071782F">
              <w:rPr>
                <w:sz w:val="18"/>
                <w:lang w:val="fr-CH"/>
              </w:rPr>
              <w:t>Équipe mobile</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9 995</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23 926</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15 561</w:t>
            </w:r>
          </w:p>
        </w:tc>
      </w:tr>
      <w:tr w:rsidR="003A6D8B" w:rsidRPr="0071782F">
        <w:tc>
          <w:tcPr>
            <w:tcW w:w="2666" w:type="dxa"/>
            <w:shd w:val="clear" w:color="auto" w:fill="auto"/>
            <w:vAlign w:val="bottom"/>
          </w:tcPr>
          <w:p w:rsidR="003A6D8B" w:rsidRPr="0071782F" w:rsidRDefault="00B37B6E" w:rsidP="00C232FA">
            <w:pPr>
              <w:suppressAutoHyphens w:val="0"/>
              <w:spacing w:before="40" w:after="40" w:line="220" w:lineRule="exact"/>
              <w:rPr>
                <w:sz w:val="18"/>
                <w:lang w:val="fr-CH"/>
              </w:rPr>
            </w:pPr>
            <w:r w:rsidRPr="0071782F">
              <w:rPr>
                <w:sz w:val="18"/>
                <w:lang w:val="fr-CH"/>
              </w:rPr>
              <w:t>Foyer</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2 828</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2 258</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2 622</w:t>
            </w:r>
          </w:p>
        </w:tc>
      </w:tr>
      <w:tr w:rsidR="003A6D8B" w:rsidRPr="0071782F">
        <w:tc>
          <w:tcPr>
            <w:tcW w:w="2666" w:type="dxa"/>
            <w:shd w:val="clear" w:color="auto" w:fill="auto"/>
            <w:vAlign w:val="bottom"/>
          </w:tcPr>
          <w:p w:rsidR="003A6D8B" w:rsidRPr="0071782F" w:rsidRDefault="00B37B6E" w:rsidP="00C232FA">
            <w:pPr>
              <w:suppressAutoHyphens w:val="0"/>
              <w:spacing w:before="40" w:after="40" w:line="220" w:lineRule="exact"/>
              <w:rPr>
                <w:sz w:val="18"/>
                <w:lang w:val="fr-CH"/>
              </w:rPr>
            </w:pPr>
            <w:r w:rsidRPr="0071782F">
              <w:rPr>
                <w:sz w:val="18"/>
                <w:lang w:val="fr-CH"/>
              </w:rPr>
              <w:t>Ambulatoire</w:t>
            </w:r>
            <w:r w:rsidR="00D36718">
              <w:rPr>
                <w:sz w:val="18"/>
                <w:lang w:val="fr-CH"/>
              </w:rPr>
              <w:t xml:space="preserve"> </w:t>
            </w:r>
            <w:r w:rsidRPr="0071782F">
              <w:rPr>
                <w:sz w:val="18"/>
                <w:lang w:val="fr-CH"/>
              </w:rPr>
              <w:t>(public) avec TEM</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2 038</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10 424</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2 174</w:t>
            </w:r>
          </w:p>
        </w:tc>
      </w:tr>
      <w:tr w:rsidR="003A6D8B" w:rsidRPr="0071782F">
        <w:tc>
          <w:tcPr>
            <w:tcW w:w="2666" w:type="dxa"/>
            <w:shd w:val="clear" w:color="auto" w:fill="auto"/>
            <w:vAlign w:val="bottom"/>
          </w:tcPr>
          <w:p w:rsidR="003A6D8B" w:rsidRPr="0071782F" w:rsidRDefault="00B37B6E" w:rsidP="00C232FA">
            <w:pPr>
              <w:suppressAutoHyphens w:val="0"/>
              <w:spacing w:before="40" w:after="40" w:line="220" w:lineRule="exact"/>
              <w:rPr>
                <w:sz w:val="18"/>
                <w:lang w:val="fr-CH"/>
              </w:rPr>
            </w:pPr>
            <w:r w:rsidRPr="0071782F">
              <w:rPr>
                <w:sz w:val="18"/>
                <w:lang w:val="fr-CH"/>
              </w:rPr>
              <w:t>Ambulatoire</w:t>
            </w:r>
            <w:r w:rsidR="00D36718">
              <w:rPr>
                <w:sz w:val="18"/>
                <w:lang w:val="fr-CH"/>
              </w:rPr>
              <w:t xml:space="preserve"> </w:t>
            </w:r>
            <w:r w:rsidRPr="0071782F">
              <w:rPr>
                <w:sz w:val="18"/>
                <w:lang w:val="fr-CH"/>
              </w:rPr>
              <w:t>(privé) avec TEM</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13 670</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51 929</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27 896</w:t>
            </w:r>
          </w:p>
        </w:tc>
      </w:tr>
      <w:tr w:rsidR="003A6D8B" w:rsidRPr="0071782F">
        <w:tc>
          <w:tcPr>
            <w:tcW w:w="2666" w:type="dxa"/>
            <w:shd w:val="clear" w:color="auto" w:fill="auto"/>
            <w:vAlign w:val="bottom"/>
          </w:tcPr>
          <w:p w:rsidR="003A6D8B" w:rsidRPr="0071782F" w:rsidRDefault="00B37B6E" w:rsidP="00C232FA">
            <w:pPr>
              <w:suppressAutoHyphens w:val="0"/>
              <w:spacing w:before="40" w:after="40" w:line="220" w:lineRule="exact"/>
              <w:rPr>
                <w:sz w:val="18"/>
                <w:lang w:val="fr-CH"/>
              </w:rPr>
            </w:pPr>
            <w:r w:rsidRPr="0071782F">
              <w:rPr>
                <w:sz w:val="18"/>
                <w:lang w:val="fr-CH"/>
              </w:rPr>
              <w:t>Accueil avec TEM</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4 697</w:t>
            </w:r>
          </w:p>
        </w:tc>
        <w:tc>
          <w:tcPr>
            <w:tcW w:w="78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2 614</w:t>
            </w:r>
          </w:p>
        </w:tc>
      </w:tr>
    </w:tbl>
    <w:p w:rsidR="003A6D8B" w:rsidRPr="0071782F" w:rsidRDefault="003A6D8B" w:rsidP="003A6D8B">
      <w:pPr>
        <w:pStyle w:val="H23G"/>
        <w:rPr>
          <w:lang w:val="fr-CH"/>
        </w:rPr>
      </w:pPr>
      <w:r w:rsidRPr="0071782F">
        <w:rPr>
          <w:lang w:val="fr-CH"/>
        </w:rPr>
        <w:tab/>
      </w:r>
      <w:r w:rsidRPr="0071782F">
        <w:rPr>
          <w:lang w:val="fr-CH"/>
        </w:rPr>
        <w:tab/>
        <w:t>Sub</w:t>
      </w:r>
      <w:r w:rsidR="00CF7144" w:rsidRPr="0071782F">
        <w:rPr>
          <w:lang w:val="fr-CH"/>
        </w:rPr>
        <w:t>ventions pour le traitement de la toxicomanie e</w:t>
      </w:r>
      <w:r w:rsidRPr="0071782F">
        <w:rPr>
          <w:lang w:val="fr-CH"/>
        </w:rPr>
        <w:t xml:space="preserve">n 2007 </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851"/>
        <w:gridCol w:w="1913"/>
        <w:gridCol w:w="1914"/>
        <w:gridCol w:w="1913"/>
        <w:gridCol w:w="1914"/>
      </w:tblGrid>
      <w:tr w:rsidR="003A6D8B" w:rsidRPr="0071782F" w:rsidTr="000B2AE6">
        <w:trPr>
          <w:tblHeader/>
        </w:trPr>
        <w:tc>
          <w:tcPr>
            <w:tcW w:w="851" w:type="dxa"/>
            <w:tcBorders>
              <w:top w:val="single" w:sz="4" w:space="0" w:color="auto"/>
              <w:bottom w:val="single" w:sz="12" w:space="0" w:color="auto"/>
            </w:tcBorders>
            <w:shd w:val="clear" w:color="auto" w:fill="auto"/>
            <w:vAlign w:val="bottom"/>
          </w:tcPr>
          <w:p w:rsidR="003A6D8B" w:rsidRPr="0071782F" w:rsidRDefault="00CF7144" w:rsidP="00C232FA">
            <w:pPr>
              <w:suppressAutoHyphens w:val="0"/>
              <w:spacing w:before="80" w:after="80" w:line="200" w:lineRule="exact"/>
              <w:rPr>
                <w:i/>
                <w:sz w:val="16"/>
                <w:lang w:val="fr-CH"/>
              </w:rPr>
            </w:pPr>
            <w:r w:rsidRPr="0071782F">
              <w:rPr>
                <w:i/>
                <w:sz w:val="16"/>
                <w:lang w:val="fr-CH"/>
              </w:rPr>
              <w:t>Nombre de centres</w:t>
            </w:r>
          </w:p>
        </w:tc>
        <w:tc>
          <w:tcPr>
            <w:tcW w:w="1913" w:type="dxa"/>
            <w:tcBorders>
              <w:top w:val="single" w:sz="4" w:space="0" w:color="auto"/>
              <w:bottom w:val="single" w:sz="12" w:space="0" w:color="auto"/>
            </w:tcBorders>
            <w:shd w:val="clear" w:color="auto" w:fill="auto"/>
            <w:vAlign w:val="bottom"/>
          </w:tcPr>
          <w:p w:rsidR="003A6D8B" w:rsidRPr="0071782F" w:rsidRDefault="00CF7144" w:rsidP="00C232FA">
            <w:pPr>
              <w:suppressAutoHyphens w:val="0"/>
              <w:spacing w:before="80" w:after="80" w:line="200" w:lineRule="exact"/>
              <w:jc w:val="right"/>
              <w:rPr>
                <w:i/>
                <w:sz w:val="16"/>
                <w:lang w:val="fr-CH"/>
              </w:rPr>
            </w:pPr>
            <w:r w:rsidRPr="0071782F">
              <w:rPr>
                <w:i/>
                <w:sz w:val="16"/>
                <w:lang w:val="fr-CH"/>
              </w:rPr>
              <w:t>Montant des subventions pour le traitement à la méthadone</w:t>
            </w:r>
            <w:r w:rsidR="003A6D8B" w:rsidRPr="0071782F">
              <w:rPr>
                <w:i/>
                <w:sz w:val="16"/>
                <w:lang w:val="fr-CH"/>
              </w:rPr>
              <w:t xml:space="preserve">, </w:t>
            </w:r>
            <w:r w:rsidRPr="0071782F">
              <w:rPr>
                <w:i/>
                <w:sz w:val="16"/>
                <w:lang w:val="fr-CH"/>
              </w:rPr>
              <w:t xml:space="preserve">poste budgétaire </w:t>
            </w:r>
            <w:r w:rsidR="003A6D8B" w:rsidRPr="0071782F">
              <w:rPr>
                <w:i/>
                <w:sz w:val="16"/>
                <w:lang w:val="fr-CH"/>
              </w:rPr>
              <w:t>503935 (rials)</w:t>
            </w:r>
          </w:p>
        </w:tc>
        <w:tc>
          <w:tcPr>
            <w:tcW w:w="1914" w:type="dxa"/>
            <w:tcBorders>
              <w:top w:val="single" w:sz="4" w:space="0" w:color="auto"/>
              <w:bottom w:val="single" w:sz="12" w:space="0" w:color="auto"/>
            </w:tcBorders>
            <w:shd w:val="clear" w:color="auto" w:fill="auto"/>
            <w:vAlign w:val="bottom"/>
          </w:tcPr>
          <w:p w:rsidR="003A6D8B" w:rsidRPr="0071782F" w:rsidRDefault="003A6D8B" w:rsidP="000E7A9B">
            <w:pPr>
              <w:suppressAutoHyphens w:val="0"/>
              <w:spacing w:before="80" w:after="80" w:line="200" w:lineRule="exact"/>
              <w:jc w:val="right"/>
              <w:rPr>
                <w:i/>
                <w:sz w:val="16"/>
                <w:lang w:val="fr-CH"/>
              </w:rPr>
            </w:pPr>
            <w:r w:rsidRPr="0071782F">
              <w:rPr>
                <w:i/>
                <w:sz w:val="16"/>
                <w:lang w:val="fr-CH"/>
              </w:rPr>
              <w:t>N</w:t>
            </w:r>
            <w:r w:rsidR="00CF7144" w:rsidRPr="0071782F">
              <w:rPr>
                <w:i/>
                <w:sz w:val="16"/>
                <w:lang w:val="fr-CH"/>
              </w:rPr>
              <w:t>ombre d’utilisateurs</w:t>
            </w:r>
            <w:r w:rsidR="000A419F" w:rsidRPr="0071782F">
              <w:rPr>
                <w:i/>
                <w:sz w:val="16"/>
                <w:lang w:val="fr-CH"/>
              </w:rPr>
              <w:br/>
            </w:r>
            <w:r w:rsidR="00CF7144" w:rsidRPr="0071782F">
              <w:rPr>
                <w:i/>
                <w:sz w:val="16"/>
                <w:lang w:val="fr-CH"/>
              </w:rPr>
              <w:t xml:space="preserve">des subventions pour le traitement à la méthadone, poste budgétaire </w:t>
            </w:r>
            <w:r w:rsidRPr="0071782F">
              <w:rPr>
                <w:i/>
                <w:sz w:val="16"/>
                <w:lang w:val="fr-CH"/>
              </w:rPr>
              <w:t>503935</w:t>
            </w:r>
          </w:p>
        </w:tc>
        <w:tc>
          <w:tcPr>
            <w:tcW w:w="1913" w:type="dxa"/>
            <w:tcBorders>
              <w:top w:val="single" w:sz="4" w:space="0" w:color="auto"/>
              <w:bottom w:val="single" w:sz="12" w:space="0" w:color="auto"/>
            </w:tcBorders>
            <w:shd w:val="clear" w:color="auto" w:fill="auto"/>
            <w:vAlign w:val="bottom"/>
          </w:tcPr>
          <w:p w:rsidR="003A6D8B" w:rsidRPr="0071782F" w:rsidRDefault="00CF7144" w:rsidP="00C232FA">
            <w:pPr>
              <w:suppressAutoHyphens w:val="0"/>
              <w:spacing w:before="80" w:after="80" w:line="200" w:lineRule="exact"/>
              <w:jc w:val="right"/>
              <w:rPr>
                <w:i/>
                <w:sz w:val="16"/>
                <w:lang w:val="fr-CH"/>
              </w:rPr>
            </w:pPr>
            <w:r w:rsidRPr="0071782F">
              <w:rPr>
                <w:i/>
                <w:sz w:val="16"/>
                <w:lang w:val="fr-CH"/>
              </w:rPr>
              <w:t>Montant des</w:t>
            </w:r>
            <w:r w:rsidR="003A6D8B" w:rsidRPr="0071782F">
              <w:rPr>
                <w:i/>
                <w:sz w:val="16"/>
                <w:lang w:val="fr-CH"/>
              </w:rPr>
              <w:t xml:space="preserve"> sub</w:t>
            </w:r>
            <w:r w:rsidRPr="0071782F">
              <w:rPr>
                <w:i/>
                <w:sz w:val="16"/>
                <w:lang w:val="fr-CH"/>
              </w:rPr>
              <w:t>ventions pour les services de soutien</w:t>
            </w:r>
            <w:r w:rsidR="003A6D8B" w:rsidRPr="0071782F">
              <w:rPr>
                <w:i/>
                <w:sz w:val="16"/>
                <w:lang w:val="fr-CH"/>
              </w:rPr>
              <w:br/>
              <w:t xml:space="preserve"> psychologi</w:t>
            </w:r>
            <w:r w:rsidRPr="0071782F">
              <w:rPr>
                <w:i/>
                <w:sz w:val="16"/>
                <w:lang w:val="fr-CH"/>
              </w:rPr>
              <w:t xml:space="preserve">que et de travail </w:t>
            </w:r>
            <w:r w:rsidR="003A6D8B" w:rsidRPr="0071782F">
              <w:rPr>
                <w:i/>
                <w:sz w:val="16"/>
                <w:lang w:val="fr-CH"/>
              </w:rPr>
              <w:t xml:space="preserve">social, </w:t>
            </w:r>
            <w:r w:rsidRPr="0071782F">
              <w:rPr>
                <w:i/>
                <w:sz w:val="16"/>
                <w:lang w:val="fr-CH"/>
              </w:rPr>
              <w:t xml:space="preserve">poste budgétaire </w:t>
            </w:r>
            <w:r w:rsidR="003A6D8B" w:rsidRPr="0071782F">
              <w:rPr>
                <w:i/>
                <w:sz w:val="16"/>
                <w:lang w:val="fr-CH"/>
              </w:rPr>
              <w:t>503935 (rials)</w:t>
            </w:r>
          </w:p>
        </w:tc>
        <w:tc>
          <w:tcPr>
            <w:tcW w:w="1914" w:type="dxa"/>
            <w:tcBorders>
              <w:top w:val="single" w:sz="4" w:space="0" w:color="auto"/>
              <w:bottom w:val="single" w:sz="12" w:space="0" w:color="auto"/>
            </w:tcBorders>
            <w:shd w:val="clear" w:color="auto" w:fill="auto"/>
            <w:vAlign w:val="bottom"/>
          </w:tcPr>
          <w:p w:rsidR="003A6D8B" w:rsidRPr="0071782F" w:rsidRDefault="00CF7144" w:rsidP="000B2AE6">
            <w:pPr>
              <w:suppressAutoHyphens w:val="0"/>
              <w:spacing w:before="80" w:after="80" w:line="200" w:lineRule="exact"/>
              <w:ind w:left="113"/>
              <w:jc w:val="right"/>
              <w:rPr>
                <w:i/>
                <w:sz w:val="16"/>
                <w:lang w:val="fr-CH"/>
              </w:rPr>
            </w:pPr>
            <w:r w:rsidRPr="0071782F">
              <w:rPr>
                <w:i/>
                <w:sz w:val="16"/>
                <w:lang w:val="fr-CH"/>
              </w:rPr>
              <w:t>Nombre d’utilisateurs des subventions pour les services de soutien</w:t>
            </w:r>
            <w:r w:rsidRPr="0071782F">
              <w:rPr>
                <w:i/>
                <w:sz w:val="16"/>
                <w:lang w:val="fr-CH"/>
              </w:rPr>
              <w:br/>
              <w:t xml:space="preserve"> psychologique et de travail social, poste budgétaire </w:t>
            </w:r>
            <w:r w:rsidR="003A6D8B" w:rsidRPr="0071782F">
              <w:rPr>
                <w:i/>
                <w:sz w:val="16"/>
                <w:lang w:val="fr-CH"/>
              </w:rPr>
              <w:t>503935</w:t>
            </w:r>
          </w:p>
        </w:tc>
      </w:tr>
      <w:tr w:rsidR="003A6D8B" w:rsidRPr="0071782F" w:rsidTr="000B2AE6">
        <w:tc>
          <w:tcPr>
            <w:tcW w:w="851"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rPr>
                <w:sz w:val="18"/>
                <w:lang w:val="fr-CH"/>
              </w:rPr>
            </w:pPr>
            <w:r w:rsidRPr="0071782F">
              <w:rPr>
                <w:sz w:val="18"/>
                <w:lang w:val="fr-CH"/>
              </w:rPr>
              <w:t>207</w:t>
            </w:r>
          </w:p>
        </w:tc>
        <w:tc>
          <w:tcPr>
            <w:tcW w:w="1913"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7 829 441 092</w:t>
            </w:r>
          </w:p>
        </w:tc>
        <w:tc>
          <w:tcPr>
            <w:tcW w:w="1914"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21 141</w:t>
            </w:r>
          </w:p>
        </w:tc>
        <w:tc>
          <w:tcPr>
            <w:tcW w:w="1913"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339 687 160</w:t>
            </w:r>
          </w:p>
        </w:tc>
        <w:tc>
          <w:tcPr>
            <w:tcW w:w="1914"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1 513</w:t>
            </w:r>
          </w:p>
        </w:tc>
      </w:tr>
    </w:tbl>
    <w:p w:rsidR="003A6D8B" w:rsidRPr="0071782F" w:rsidRDefault="003A6D8B" w:rsidP="003A6D8B">
      <w:pPr>
        <w:pStyle w:val="H23G"/>
        <w:rPr>
          <w:lang w:val="fr-CH"/>
        </w:rPr>
      </w:pPr>
      <w:r w:rsidRPr="0071782F">
        <w:rPr>
          <w:lang w:val="fr-CH"/>
        </w:rPr>
        <w:tab/>
      </w:r>
      <w:r w:rsidRPr="0071782F">
        <w:rPr>
          <w:lang w:val="fr-CH"/>
        </w:rPr>
        <w:tab/>
      </w:r>
      <w:r w:rsidR="00CF7144" w:rsidRPr="0071782F">
        <w:rPr>
          <w:lang w:val="fr-CH"/>
        </w:rPr>
        <w:t xml:space="preserve">Subventions pour le traitement de la toxicomanie en </w:t>
      </w:r>
      <w:r w:rsidRPr="0071782F">
        <w:rPr>
          <w:lang w:val="fr-CH"/>
        </w:rPr>
        <w:t>2008</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685"/>
        <w:gridCol w:w="3685"/>
      </w:tblGrid>
      <w:tr w:rsidR="003A6D8B" w:rsidRPr="0071782F">
        <w:trPr>
          <w:tblHeader/>
        </w:trPr>
        <w:tc>
          <w:tcPr>
            <w:tcW w:w="3685" w:type="dxa"/>
            <w:tcBorders>
              <w:top w:val="single" w:sz="4" w:space="0" w:color="auto"/>
              <w:bottom w:val="single" w:sz="12" w:space="0" w:color="auto"/>
            </w:tcBorders>
            <w:shd w:val="clear" w:color="auto" w:fill="auto"/>
            <w:vAlign w:val="bottom"/>
          </w:tcPr>
          <w:p w:rsidR="003A6D8B" w:rsidRPr="0071782F" w:rsidRDefault="00CF7144" w:rsidP="00C232FA">
            <w:pPr>
              <w:suppressAutoHyphens w:val="0"/>
              <w:spacing w:before="80" w:after="80" w:line="200" w:lineRule="exact"/>
              <w:rPr>
                <w:i/>
                <w:sz w:val="16"/>
                <w:lang w:val="fr-CH"/>
              </w:rPr>
            </w:pPr>
            <w:r w:rsidRPr="0071782F">
              <w:rPr>
                <w:i/>
                <w:sz w:val="16"/>
                <w:lang w:val="fr-CH"/>
              </w:rPr>
              <w:t>Budget total des subventions pour le</w:t>
            </w:r>
            <w:r w:rsidR="00D36718">
              <w:rPr>
                <w:i/>
                <w:sz w:val="16"/>
                <w:lang w:val="fr-CH"/>
              </w:rPr>
              <w:t xml:space="preserve"> </w:t>
            </w:r>
            <w:r w:rsidRPr="0071782F">
              <w:rPr>
                <w:i/>
                <w:sz w:val="16"/>
                <w:lang w:val="fr-CH"/>
              </w:rPr>
              <w:t xml:space="preserve">traitement de </w:t>
            </w:r>
            <w:r w:rsidR="00BE6159">
              <w:rPr>
                <w:i/>
                <w:sz w:val="16"/>
                <w:lang w:val="fr-CH"/>
              </w:rPr>
              <w:br/>
            </w:r>
            <w:r w:rsidRPr="0071782F">
              <w:rPr>
                <w:i/>
                <w:sz w:val="16"/>
                <w:lang w:val="fr-CH"/>
              </w:rPr>
              <w:t>la toxicomanie</w:t>
            </w:r>
            <w:r w:rsidR="003A6D8B" w:rsidRPr="0071782F">
              <w:rPr>
                <w:i/>
                <w:sz w:val="16"/>
                <w:lang w:val="fr-CH"/>
              </w:rPr>
              <w:t xml:space="preserve">, </w:t>
            </w:r>
            <w:r w:rsidRPr="0071782F">
              <w:rPr>
                <w:i/>
                <w:sz w:val="16"/>
                <w:lang w:val="fr-CH"/>
              </w:rPr>
              <w:t xml:space="preserve">poste budgétaire </w:t>
            </w:r>
            <w:r w:rsidR="003A6D8B" w:rsidRPr="0071782F">
              <w:rPr>
                <w:i/>
                <w:sz w:val="16"/>
                <w:lang w:val="fr-CH"/>
              </w:rPr>
              <w:t>102500</w:t>
            </w:r>
          </w:p>
        </w:tc>
        <w:tc>
          <w:tcPr>
            <w:tcW w:w="3685" w:type="dxa"/>
            <w:tcBorders>
              <w:top w:val="single" w:sz="4" w:space="0" w:color="auto"/>
              <w:bottom w:val="single" w:sz="12" w:space="0" w:color="auto"/>
            </w:tcBorders>
            <w:shd w:val="clear" w:color="auto" w:fill="auto"/>
            <w:vAlign w:val="bottom"/>
          </w:tcPr>
          <w:p w:rsidR="003A6D8B" w:rsidRPr="0071782F" w:rsidRDefault="00CF7144" w:rsidP="00C232FA">
            <w:pPr>
              <w:suppressAutoHyphens w:val="0"/>
              <w:spacing w:before="80" w:after="80" w:line="200" w:lineRule="exact"/>
              <w:jc w:val="right"/>
              <w:rPr>
                <w:i/>
                <w:sz w:val="16"/>
                <w:lang w:val="fr-CH"/>
              </w:rPr>
            </w:pPr>
            <w:r w:rsidRPr="0071782F">
              <w:rPr>
                <w:i/>
                <w:sz w:val="16"/>
                <w:lang w:val="fr-CH"/>
              </w:rPr>
              <w:t>Budget total des subventions pour le</w:t>
            </w:r>
            <w:r w:rsidR="00D36718">
              <w:rPr>
                <w:i/>
                <w:sz w:val="16"/>
                <w:lang w:val="fr-CH"/>
              </w:rPr>
              <w:t xml:space="preserve"> </w:t>
            </w:r>
            <w:r w:rsidRPr="0071782F">
              <w:rPr>
                <w:i/>
                <w:sz w:val="16"/>
                <w:lang w:val="fr-CH"/>
              </w:rPr>
              <w:t xml:space="preserve">traitement de </w:t>
            </w:r>
            <w:r w:rsidR="00BE6159">
              <w:rPr>
                <w:i/>
                <w:sz w:val="16"/>
                <w:lang w:val="fr-CH"/>
              </w:rPr>
              <w:br/>
            </w:r>
            <w:r w:rsidRPr="0071782F">
              <w:rPr>
                <w:i/>
                <w:sz w:val="16"/>
                <w:lang w:val="fr-CH"/>
              </w:rPr>
              <w:t xml:space="preserve">la toxicomanie, poste budgétaire </w:t>
            </w:r>
            <w:r w:rsidR="003A6D8B" w:rsidRPr="0071782F">
              <w:rPr>
                <w:i/>
                <w:sz w:val="16"/>
                <w:lang w:val="fr-CH"/>
              </w:rPr>
              <w:t>131500</w:t>
            </w:r>
          </w:p>
        </w:tc>
      </w:tr>
      <w:tr w:rsidR="003A6D8B" w:rsidRPr="0071782F">
        <w:tc>
          <w:tcPr>
            <w:tcW w:w="3685"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rPr>
                <w:b/>
                <w:sz w:val="18"/>
                <w:lang w:val="fr-CH"/>
              </w:rPr>
            </w:pPr>
            <w:r w:rsidRPr="0071782F">
              <w:rPr>
                <w:b/>
                <w:sz w:val="18"/>
                <w:lang w:val="fr-CH"/>
              </w:rPr>
              <w:t>7</w:t>
            </w:r>
            <w:r w:rsidR="00341955" w:rsidRPr="0071782F">
              <w:rPr>
                <w:b/>
                <w:sz w:val="18"/>
                <w:lang w:val="fr-CH"/>
              </w:rPr>
              <w:t>,5</w:t>
            </w:r>
            <w:r w:rsidR="008553D9" w:rsidRPr="0071782F">
              <w:rPr>
                <w:b/>
                <w:sz w:val="18"/>
                <w:lang w:val="fr-CH"/>
              </w:rPr>
              <w:t> milliard</w:t>
            </w:r>
            <w:r w:rsidR="00097CDB" w:rsidRPr="0071782F">
              <w:rPr>
                <w:b/>
                <w:sz w:val="18"/>
                <w:lang w:val="fr-CH"/>
              </w:rPr>
              <w:t>s</w:t>
            </w:r>
            <w:r w:rsidR="00CF7144" w:rsidRPr="0071782F">
              <w:rPr>
                <w:b/>
                <w:sz w:val="18"/>
                <w:lang w:val="fr-CH"/>
              </w:rPr>
              <w:t xml:space="preserve"> </w:t>
            </w:r>
            <w:r w:rsidR="003B1403" w:rsidRPr="0071782F">
              <w:rPr>
                <w:b/>
                <w:sz w:val="18"/>
                <w:lang w:val="fr-CH"/>
              </w:rPr>
              <w:t>de rials</w:t>
            </w:r>
          </w:p>
        </w:tc>
        <w:tc>
          <w:tcPr>
            <w:tcW w:w="3685"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b/>
                <w:sz w:val="18"/>
                <w:lang w:val="fr-CH"/>
              </w:rPr>
            </w:pPr>
            <w:r w:rsidRPr="0071782F">
              <w:rPr>
                <w:b/>
                <w:sz w:val="18"/>
                <w:lang w:val="fr-CH"/>
              </w:rPr>
              <w:t>3</w:t>
            </w:r>
            <w:r w:rsidR="00D36718">
              <w:rPr>
                <w:b/>
                <w:sz w:val="18"/>
                <w:lang w:val="fr-CH"/>
              </w:rPr>
              <w:t xml:space="preserve"> </w:t>
            </w:r>
            <w:r w:rsidR="008553D9" w:rsidRPr="0071782F">
              <w:rPr>
                <w:b/>
                <w:sz w:val="18"/>
                <w:lang w:val="fr-CH"/>
              </w:rPr>
              <w:t>milliard</w:t>
            </w:r>
            <w:r w:rsidR="00097CDB" w:rsidRPr="0071782F">
              <w:rPr>
                <w:b/>
                <w:sz w:val="18"/>
                <w:lang w:val="fr-CH"/>
              </w:rPr>
              <w:t>s</w:t>
            </w:r>
            <w:r w:rsidR="00CF7144" w:rsidRPr="0071782F">
              <w:rPr>
                <w:b/>
                <w:sz w:val="18"/>
                <w:lang w:val="fr-CH"/>
              </w:rPr>
              <w:t xml:space="preserve"> </w:t>
            </w:r>
            <w:r w:rsidR="003B1403" w:rsidRPr="0071782F">
              <w:rPr>
                <w:b/>
                <w:sz w:val="18"/>
                <w:lang w:val="fr-CH"/>
              </w:rPr>
              <w:t>de rials</w:t>
            </w:r>
          </w:p>
        </w:tc>
      </w:tr>
    </w:tbl>
    <w:p w:rsidR="003A6D8B" w:rsidRPr="0071782F" w:rsidRDefault="003A6D8B" w:rsidP="003A6D8B">
      <w:pPr>
        <w:pStyle w:val="H23G"/>
        <w:rPr>
          <w:lang w:val="fr-CH"/>
        </w:rPr>
      </w:pPr>
      <w:r w:rsidRPr="0071782F">
        <w:rPr>
          <w:lang w:val="fr-CH"/>
        </w:rPr>
        <w:tab/>
      </w:r>
      <w:r w:rsidRPr="0071782F">
        <w:rPr>
          <w:lang w:val="fr-CH"/>
        </w:rPr>
        <w:tab/>
      </w:r>
      <w:r w:rsidR="00CF7144" w:rsidRPr="0071782F">
        <w:rPr>
          <w:lang w:val="fr-CH"/>
        </w:rPr>
        <w:t xml:space="preserve">Petites </w:t>
      </w:r>
      <w:r w:rsidRPr="0071782F">
        <w:rPr>
          <w:lang w:val="fr-CH"/>
        </w:rPr>
        <w:t>commun</w:t>
      </w:r>
      <w:r w:rsidR="00CF7144" w:rsidRPr="0071782F">
        <w:rPr>
          <w:lang w:val="fr-CH"/>
        </w:rPr>
        <w:t xml:space="preserve">autés prises en charge entre </w:t>
      </w:r>
      <w:r w:rsidRPr="0071782F">
        <w:rPr>
          <w:lang w:val="fr-CH"/>
        </w:rPr>
        <w:t xml:space="preserve">2003 </w:t>
      </w:r>
      <w:r w:rsidR="00CF7144" w:rsidRPr="0071782F">
        <w:rPr>
          <w:lang w:val="fr-CH"/>
        </w:rPr>
        <w:t xml:space="preserve">et le premier semestre de </w:t>
      </w:r>
      <w:r w:rsidRPr="0071782F">
        <w:rPr>
          <w:lang w:val="fr-CH"/>
        </w:rPr>
        <w:t>2008</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410"/>
        <w:gridCol w:w="851"/>
        <w:gridCol w:w="850"/>
        <w:gridCol w:w="851"/>
        <w:gridCol w:w="850"/>
        <w:gridCol w:w="851"/>
        <w:gridCol w:w="707"/>
      </w:tblGrid>
      <w:tr w:rsidR="003A6D8B" w:rsidRPr="0071782F">
        <w:trPr>
          <w:tblHeader/>
        </w:trPr>
        <w:tc>
          <w:tcPr>
            <w:tcW w:w="2410" w:type="dxa"/>
            <w:tcBorders>
              <w:top w:val="single" w:sz="4" w:space="0" w:color="auto"/>
              <w:bottom w:val="single" w:sz="12" w:space="0" w:color="auto"/>
            </w:tcBorders>
            <w:shd w:val="clear" w:color="auto" w:fill="auto"/>
            <w:vAlign w:val="bottom"/>
          </w:tcPr>
          <w:p w:rsidR="003A6D8B" w:rsidRPr="0071782F" w:rsidRDefault="00CF7144" w:rsidP="00C232FA">
            <w:pPr>
              <w:suppressAutoHyphens w:val="0"/>
              <w:spacing w:before="80" w:after="80" w:line="200" w:lineRule="exact"/>
              <w:rPr>
                <w:i/>
                <w:sz w:val="16"/>
                <w:lang w:val="fr-CH"/>
              </w:rPr>
            </w:pPr>
            <w:r w:rsidRPr="0071782F">
              <w:rPr>
                <w:i/>
                <w:sz w:val="16"/>
                <w:lang w:val="fr-CH"/>
              </w:rPr>
              <w:t>Petite communauté</w:t>
            </w:r>
          </w:p>
        </w:tc>
        <w:tc>
          <w:tcPr>
            <w:tcW w:w="851"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2003</w:t>
            </w:r>
          </w:p>
        </w:tc>
        <w:tc>
          <w:tcPr>
            <w:tcW w:w="850"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2004</w:t>
            </w:r>
          </w:p>
        </w:tc>
        <w:tc>
          <w:tcPr>
            <w:tcW w:w="851"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2005</w:t>
            </w:r>
          </w:p>
        </w:tc>
        <w:tc>
          <w:tcPr>
            <w:tcW w:w="850"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2006</w:t>
            </w:r>
          </w:p>
        </w:tc>
        <w:tc>
          <w:tcPr>
            <w:tcW w:w="851"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2007</w:t>
            </w:r>
          </w:p>
        </w:tc>
        <w:tc>
          <w:tcPr>
            <w:tcW w:w="707"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2008</w:t>
            </w:r>
          </w:p>
        </w:tc>
      </w:tr>
      <w:tr w:rsidR="003A6D8B" w:rsidRPr="0071782F">
        <w:tc>
          <w:tcPr>
            <w:tcW w:w="2410" w:type="dxa"/>
            <w:tcBorders>
              <w:top w:val="single" w:sz="12" w:space="0" w:color="auto"/>
              <w:bottom w:val="nil"/>
            </w:tcBorders>
            <w:shd w:val="clear" w:color="auto" w:fill="auto"/>
            <w:vAlign w:val="bottom"/>
          </w:tcPr>
          <w:p w:rsidR="003A6D8B" w:rsidRPr="0071782F" w:rsidRDefault="00CF7144" w:rsidP="00C232FA">
            <w:pPr>
              <w:suppressAutoHyphens w:val="0"/>
              <w:spacing w:before="40" w:after="40" w:line="220" w:lineRule="exact"/>
              <w:rPr>
                <w:sz w:val="18"/>
                <w:lang w:val="fr-CH"/>
              </w:rPr>
            </w:pPr>
            <w:r w:rsidRPr="0071782F">
              <w:rPr>
                <w:sz w:val="18"/>
                <w:lang w:val="fr-CH"/>
              </w:rPr>
              <w:t>Quartiers urbains et ruraux</w:t>
            </w:r>
          </w:p>
        </w:tc>
        <w:tc>
          <w:tcPr>
            <w:tcW w:w="851" w:type="dxa"/>
            <w:tcBorders>
              <w:top w:val="single" w:sz="12" w:space="0" w:color="auto"/>
              <w:bottom w:val="nil"/>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247</w:t>
            </w:r>
          </w:p>
        </w:tc>
        <w:tc>
          <w:tcPr>
            <w:tcW w:w="850" w:type="dxa"/>
            <w:tcBorders>
              <w:top w:val="single" w:sz="12" w:space="0" w:color="auto"/>
              <w:bottom w:val="nil"/>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454</w:t>
            </w:r>
          </w:p>
        </w:tc>
        <w:tc>
          <w:tcPr>
            <w:tcW w:w="851" w:type="dxa"/>
            <w:tcBorders>
              <w:top w:val="single" w:sz="12" w:space="0" w:color="auto"/>
              <w:bottom w:val="nil"/>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675</w:t>
            </w:r>
          </w:p>
        </w:tc>
        <w:tc>
          <w:tcPr>
            <w:tcW w:w="850" w:type="dxa"/>
            <w:tcBorders>
              <w:top w:val="single" w:sz="12" w:space="0" w:color="auto"/>
              <w:bottom w:val="nil"/>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873</w:t>
            </w:r>
          </w:p>
        </w:tc>
        <w:tc>
          <w:tcPr>
            <w:tcW w:w="851" w:type="dxa"/>
            <w:tcBorders>
              <w:top w:val="single" w:sz="12" w:space="0" w:color="auto"/>
              <w:bottom w:val="nil"/>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907</w:t>
            </w:r>
          </w:p>
        </w:tc>
        <w:tc>
          <w:tcPr>
            <w:tcW w:w="707" w:type="dxa"/>
            <w:tcBorders>
              <w:top w:val="single" w:sz="12" w:space="0" w:color="auto"/>
              <w:bottom w:val="nil"/>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965</w:t>
            </w:r>
          </w:p>
        </w:tc>
      </w:tr>
      <w:tr w:rsidR="003A6D8B" w:rsidRPr="0071782F">
        <w:tc>
          <w:tcPr>
            <w:tcW w:w="2410" w:type="dxa"/>
            <w:tcBorders>
              <w:top w:val="nil"/>
              <w:bottom w:val="nil"/>
            </w:tcBorders>
            <w:shd w:val="clear" w:color="auto" w:fill="auto"/>
            <w:vAlign w:val="bottom"/>
          </w:tcPr>
          <w:p w:rsidR="003A6D8B" w:rsidRPr="0071782F" w:rsidRDefault="00CF7144" w:rsidP="00C232FA">
            <w:pPr>
              <w:suppressAutoHyphens w:val="0"/>
              <w:spacing w:before="40" w:after="40" w:line="220" w:lineRule="exact"/>
              <w:rPr>
                <w:sz w:val="18"/>
                <w:lang w:val="fr-CH"/>
              </w:rPr>
            </w:pPr>
            <w:r w:rsidRPr="0071782F">
              <w:rPr>
                <w:sz w:val="18"/>
                <w:lang w:val="fr-CH"/>
              </w:rPr>
              <w:t>Environnements professionnels</w:t>
            </w:r>
          </w:p>
        </w:tc>
        <w:tc>
          <w:tcPr>
            <w:tcW w:w="851" w:type="dxa"/>
            <w:tcBorders>
              <w:top w:val="nil"/>
              <w:bottom w:val="nil"/>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166</w:t>
            </w:r>
          </w:p>
        </w:tc>
        <w:tc>
          <w:tcPr>
            <w:tcW w:w="850" w:type="dxa"/>
            <w:tcBorders>
              <w:top w:val="nil"/>
              <w:bottom w:val="nil"/>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461</w:t>
            </w:r>
          </w:p>
        </w:tc>
        <w:tc>
          <w:tcPr>
            <w:tcW w:w="851" w:type="dxa"/>
            <w:tcBorders>
              <w:top w:val="nil"/>
              <w:bottom w:val="nil"/>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332</w:t>
            </w:r>
          </w:p>
        </w:tc>
        <w:tc>
          <w:tcPr>
            <w:tcW w:w="850" w:type="dxa"/>
            <w:tcBorders>
              <w:top w:val="nil"/>
              <w:bottom w:val="nil"/>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309</w:t>
            </w:r>
          </w:p>
        </w:tc>
        <w:tc>
          <w:tcPr>
            <w:tcW w:w="851" w:type="dxa"/>
            <w:tcBorders>
              <w:top w:val="nil"/>
              <w:bottom w:val="nil"/>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363</w:t>
            </w:r>
          </w:p>
        </w:tc>
        <w:tc>
          <w:tcPr>
            <w:tcW w:w="707" w:type="dxa"/>
            <w:tcBorders>
              <w:top w:val="nil"/>
              <w:bottom w:val="nil"/>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286</w:t>
            </w:r>
          </w:p>
        </w:tc>
      </w:tr>
      <w:tr w:rsidR="003A6D8B" w:rsidRPr="0071782F">
        <w:tc>
          <w:tcPr>
            <w:tcW w:w="2410" w:type="dxa"/>
            <w:tcBorders>
              <w:top w:val="nil"/>
              <w:bottom w:val="single" w:sz="4" w:space="0" w:color="auto"/>
            </w:tcBorders>
            <w:shd w:val="clear" w:color="auto" w:fill="auto"/>
            <w:vAlign w:val="bottom"/>
          </w:tcPr>
          <w:p w:rsidR="003A6D8B" w:rsidRPr="0071782F" w:rsidRDefault="00CF7144" w:rsidP="00C232FA">
            <w:pPr>
              <w:suppressAutoHyphens w:val="0"/>
              <w:spacing w:before="40" w:after="40" w:line="220" w:lineRule="exact"/>
              <w:rPr>
                <w:sz w:val="18"/>
                <w:lang w:val="fr-CH"/>
              </w:rPr>
            </w:pPr>
            <w:r w:rsidRPr="0071782F">
              <w:rPr>
                <w:sz w:val="18"/>
                <w:lang w:val="fr-CH"/>
              </w:rPr>
              <w:t>Environnements é</w:t>
            </w:r>
            <w:r w:rsidR="003A6D8B" w:rsidRPr="0071782F">
              <w:rPr>
                <w:sz w:val="18"/>
                <w:lang w:val="fr-CH"/>
              </w:rPr>
              <w:t>ducati</w:t>
            </w:r>
            <w:r w:rsidRPr="0071782F">
              <w:rPr>
                <w:sz w:val="18"/>
                <w:lang w:val="fr-CH"/>
              </w:rPr>
              <w:t>fs</w:t>
            </w:r>
            <w:r w:rsidR="003A6D8B" w:rsidRPr="0071782F">
              <w:rPr>
                <w:sz w:val="18"/>
                <w:lang w:val="fr-CH"/>
              </w:rPr>
              <w:t xml:space="preserve"> </w:t>
            </w:r>
          </w:p>
        </w:tc>
        <w:tc>
          <w:tcPr>
            <w:tcW w:w="851" w:type="dxa"/>
            <w:tcBorders>
              <w:top w:val="nil"/>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396</w:t>
            </w:r>
          </w:p>
        </w:tc>
        <w:tc>
          <w:tcPr>
            <w:tcW w:w="850" w:type="dxa"/>
            <w:tcBorders>
              <w:top w:val="nil"/>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1 167</w:t>
            </w:r>
          </w:p>
        </w:tc>
        <w:tc>
          <w:tcPr>
            <w:tcW w:w="851" w:type="dxa"/>
            <w:tcBorders>
              <w:top w:val="nil"/>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1 627</w:t>
            </w:r>
          </w:p>
        </w:tc>
        <w:tc>
          <w:tcPr>
            <w:tcW w:w="850" w:type="dxa"/>
            <w:tcBorders>
              <w:top w:val="nil"/>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1 423</w:t>
            </w:r>
          </w:p>
        </w:tc>
        <w:tc>
          <w:tcPr>
            <w:tcW w:w="851" w:type="dxa"/>
            <w:tcBorders>
              <w:top w:val="nil"/>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1 167</w:t>
            </w:r>
          </w:p>
        </w:tc>
        <w:tc>
          <w:tcPr>
            <w:tcW w:w="707" w:type="dxa"/>
            <w:tcBorders>
              <w:top w:val="nil"/>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754</w:t>
            </w:r>
          </w:p>
        </w:tc>
      </w:tr>
      <w:tr w:rsidR="003A6D8B" w:rsidRPr="0071782F">
        <w:tc>
          <w:tcPr>
            <w:tcW w:w="2410" w:type="dxa"/>
            <w:tcBorders>
              <w:top w:val="single" w:sz="4" w:space="0" w:color="auto"/>
              <w:bottom w:val="single" w:sz="12" w:space="0" w:color="auto"/>
            </w:tcBorders>
            <w:shd w:val="clear" w:color="auto" w:fill="auto"/>
            <w:vAlign w:val="bottom"/>
          </w:tcPr>
          <w:p w:rsidR="003A6D8B" w:rsidRPr="0071782F" w:rsidRDefault="003A6D8B" w:rsidP="006659C7">
            <w:pPr>
              <w:suppressAutoHyphens w:val="0"/>
              <w:spacing w:before="80" w:after="80" w:line="220" w:lineRule="exact"/>
              <w:ind w:left="284"/>
              <w:rPr>
                <w:b/>
                <w:sz w:val="18"/>
                <w:lang w:val="fr-CH"/>
              </w:rPr>
            </w:pPr>
            <w:r w:rsidRPr="0071782F">
              <w:rPr>
                <w:b/>
                <w:sz w:val="18"/>
                <w:lang w:val="fr-CH"/>
              </w:rPr>
              <w:t>Total</w:t>
            </w:r>
          </w:p>
        </w:tc>
        <w:tc>
          <w:tcPr>
            <w:tcW w:w="851"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809</w:t>
            </w:r>
          </w:p>
        </w:tc>
        <w:tc>
          <w:tcPr>
            <w:tcW w:w="850"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2 082</w:t>
            </w:r>
          </w:p>
        </w:tc>
        <w:tc>
          <w:tcPr>
            <w:tcW w:w="851"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2 634</w:t>
            </w:r>
          </w:p>
        </w:tc>
        <w:tc>
          <w:tcPr>
            <w:tcW w:w="850"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2 605</w:t>
            </w:r>
          </w:p>
        </w:tc>
        <w:tc>
          <w:tcPr>
            <w:tcW w:w="851"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2 437</w:t>
            </w:r>
          </w:p>
        </w:tc>
        <w:tc>
          <w:tcPr>
            <w:tcW w:w="707"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2 005</w:t>
            </w:r>
          </w:p>
        </w:tc>
      </w:tr>
    </w:tbl>
    <w:p w:rsidR="003A6D8B" w:rsidRPr="0071782F" w:rsidRDefault="003A6D8B" w:rsidP="003A6D8B">
      <w:pPr>
        <w:pStyle w:val="H23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CF7144" w:rsidRPr="0071782F">
        <w:rPr>
          <w:lang w:val="fr-CH"/>
        </w:rPr>
        <w:t xml:space="preserve">d’équipes </w:t>
      </w:r>
      <w:r w:rsidRPr="0071782F">
        <w:rPr>
          <w:lang w:val="fr-CH"/>
        </w:rPr>
        <w:t>(</w:t>
      </w:r>
      <w:r w:rsidR="00CF7144" w:rsidRPr="0071782F">
        <w:rPr>
          <w:lang w:val="fr-CH"/>
        </w:rPr>
        <w:t>groupes communautaires</w:t>
      </w:r>
      <w:r w:rsidRPr="0071782F">
        <w:rPr>
          <w:lang w:val="fr-CH"/>
        </w:rPr>
        <w:t xml:space="preserve">) </w:t>
      </w:r>
      <w:r w:rsidR="00CF7144" w:rsidRPr="0071782F">
        <w:rPr>
          <w:lang w:val="fr-CH"/>
        </w:rPr>
        <w:t>entre 2003 et le premier semestre de 2008</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410"/>
        <w:gridCol w:w="851"/>
        <w:gridCol w:w="850"/>
        <w:gridCol w:w="851"/>
        <w:gridCol w:w="850"/>
        <w:gridCol w:w="851"/>
        <w:gridCol w:w="707"/>
      </w:tblGrid>
      <w:tr w:rsidR="003A6D8B" w:rsidRPr="0071782F">
        <w:trPr>
          <w:tblHeader/>
        </w:trPr>
        <w:tc>
          <w:tcPr>
            <w:tcW w:w="2410" w:type="dxa"/>
            <w:tcBorders>
              <w:top w:val="single" w:sz="4" w:space="0" w:color="auto"/>
              <w:bottom w:val="single" w:sz="12" w:space="0" w:color="auto"/>
            </w:tcBorders>
            <w:shd w:val="clear" w:color="auto" w:fill="auto"/>
            <w:vAlign w:val="bottom"/>
          </w:tcPr>
          <w:p w:rsidR="003A6D8B" w:rsidRPr="0071782F" w:rsidRDefault="00CF7144" w:rsidP="00C232FA">
            <w:pPr>
              <w:suppressAutoHyphens w:val="0"/>
              <w:spacing w:before="80" w:after="80" w:line="200" w:lineRule="exact"/>
              <w:rPr>
                <w:i/>
                <w:sz w:val="16"/>
                <w:lang w:val="fr-CH"/>
              </w:rPr>
            </w:pPr>
            <w:r w:rsidRPr="0071782F">
              <w:rPr>
                <w:i/>
                <w:sz w:val="16"/>
                <w:lang w:val="fr-CH"/>
              </w:rPr>
              <w:t>Petite communauté</w:t>
            </w:r>
          </w:p>
        </w:tc>
        <w:tc>
          <w:tcPr>
            <w:tcW w:w="851"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2003</w:t>
            </w:r>
          </w:p>
        </w:tc>
        <w:tc>
          <w:tcPr>
            <w:tcW w:w="850"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2004</w:t>
            </w:r>
          </w:p>
        </w:tc>
        <w:tc>
          <w:tcPr>
            <w:tcW w:w="851"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2005</w:t>
            </w:r>
          </w:p>
        </w:tc>
        <w:tc>
          <w:tcPr>
            <w:tcW w:w="850"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2006</w:t>
            </w:r>
          </w:p>
        </w:tc>
        <w:tc>
          <w:tcPr>
            <w:tcW w:w="851"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2007</w:t>
            </w:r>
          </w:p>
        </w:tc>
        <w:tc>
          <w:tcPr>
            <w:tcW w:w="707"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2008</w:t>
            </w:r>
          </w:p>
        </w:tc>
      </w:tr>
      <w:tr w:rsidR="003A6D8B" w:rsidRPr="0071782F">
        <w:tc>
          <w:tcPr>
            <w:tcW w:w="2410" w:type="dxa"/>
            <w:tcBorders>
              <w:top w:val="single" w:sz="12" w:space="0" w:color="auto"/>
            </w:tcBorders>
            <w:shd w:val="clear" w:color="auto" w:fill="auto"/>
            <w:vAlign w:val="bottom"/>
          </w:tcPr>
          <w:p w:rsidR="003A6D8B" w:rsidRPr="0071782F" w:rsidRDefault="00CF7144" w:rsidP="00C232FA">
            <w:pPr>
              <w:suppressAutoHyphens w:val="0"/>
              <w:spacing w:before="40" w:after="40" w:line="220" w:lineRule="exact"/>
              <w:rPr>
                <w:sz w:val="18"/>
                <w:lang w:val="fr-CH"/>
              </w:rPr>
            </w:pPr>
            <w:r w:rsidRPr="0071782F">
              <w:rPr>
                <w:sz w:val="18"/>
                <w:lang w:val="fr-CH"/>
              </w:rPr>
              <w:t>Quartiers urbains et ruraux</w:t>
            </w:r>
          </w:p>
        </w:tc>
        <w:tc>
          <w:tcPr>
            <w:tcW w:w="851" w:type="dxa"/>
            <w:tcBorders>
              <w:top w:val="single" w:sz="12" w:space="0" w:color="auto"/>
            </w:tcBorders>
            <w:shd w:val="clear" w:color="auto" w:fill="auto"/>
            <w:vAlign w:val="bottom"/>
          </w:tcPr>
          <w:p w:rsidR="003A6D8B" w:rsidRPr="0071782F" w:rsidRDefault="00FC351D" w:rsidP="00C232FA">
            <w:pPr>
              <w:suppressAutoHyphens w:val="0"/>
              <w:spacing w:before="40" w:after="40" w:line="220" w:lineRule="exact"/>
              <w:jc w:val="right"/>
              <w:rPr>
                <w:sz w:val="18"/>
                <w:lang w:val="fr-CH"/>
              </w:rPr>
            </w:pPr>
            <w:r w:rsidRPr="0071782F">
              <w:rPr>
                <w:sz w:val="18"/>
                <w:lang w:val="fr-CH"/>
              </w:rPr>
              <w:t>–</w:t>
            </w:r>
          </w:p>
        </w:tc>
        <w:tc>
          <w:tcPr>
            <w:tcW w:w="850"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739</w:t>
            </w:r>
          </w:p>
        </w:tc>
        <w:tc>
          <w:tcPr>
            <w:tcW w:w="851"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1 309</w:t>
            </w:r>
          </w:p>
        </w:tc>
        <w:tc>
          <w:tcPr>
            <w:tcW w:w="850"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1 309</w:t>
            </w:r>
          </w:p>
        </w:tc>
        <w:tc>
          <w:tcPr>
            <w:tcW w:w="851"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1 265</w:t>
            </w:r>
          </w:p>
        </w:tc>
        <w:tc>
          <w:tcPr>
            <w:tcW w:w="707"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1 265</w:t>
            </w:r>
          </w:p>
        </w:tc>
      </w:tr>
      <w:tr w:rsidR="003A6D8B" w:rsidRPr="0071782F">
        <w:tc>
          <w:tcPr>
            <w:tcW w:w="2410" w:type="dxa"/>
            <w:shd w:val="clear" w:color="auto" w:fill="auto"/>
            <w:vAlign w:val="bottom"/>
          </w:tcPr>
          <w:p w:rsidR="003A6D8B" w:rsidRPr="0071782F" w:rsidRDefault="00CF7144" w:rsidP="00C232FA">
            <w:pPr>
              <w:suppressAutoHyphens w:val="0"/>
              <w:spacing w:before="40" w:after="40" w:line="220" w:lineRule="exact"/>
              <w:rPr>
                <w:sz w:val="18"/>
                <w:lang w:val="fr-CH"/>
              </w:rPr>
            </w:pPr>
            <w:r w:rsidRPr="0071782F">
              <w:rPr>
                <w:sz w:val="18"/>
                <w:lang w:val="fr-CH"/>
              </w:rPr>
              <w:t>Environnements professionnels</w:t>
            </w:r>
          </w:p>
        </w:tc>
        <w:tc>
          <w:tcPr>
            <w:tcW w:w="851" w:type="dxa"/>
            <w:shd w:val="clear" w:color="auto" w:fill="auto"/>
            <w:vAlign w:val="bottom"/>
          </w:tcPr>
          <w:p w:rsidR="003A6D8B" w:rsidRPr="0071782F" w:rsidRDefault="00FC351D" w:rsidP="00C232FA">
            <w:pPr>
              <w:suppressAutoHyphens w:val="0"/>
              <w:spacing w:before="40" w:after="40" w:line="220" w:lineRule="exact"/>
              <w:jc w:val="right"/>
              <w:rPr>
                <w:sz w:val="18"/>
                <w:lang w:val="fr-CH"/>
              </w:rPr>
            </w:pPr>
            <w:r w:rsidRPr="0071782F">
              <w:rPr>
                <w:sz w:val="18"/>
                <w:lang w:val="fr-CH"/>
              </w:rPr>
              <w:t>–</w:t>
            </w:r>
          </w:p>
        </w:tc>
        <w:tc>
          <w:tcPr>
            <w:tcW w:w="850"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486</w:t>
            </w:r>
          </w:p>
        </w:tc>
        <w:tc>
          <w:tcPr>
            <w:tcW w:w="851"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971</w:t>
            </w:r>
          </w:p>
        </w:tc>
        <w:tc>
          <w:tcPr>
            <w:tcW w:w="850"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971</w:t>
            </w:r>
          </w:p>
        </w:tc>
        <w:tc>
          <w:tcPr>
            <w:tcW w:w="851"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480</w:t>
            </w:r>
          </w:p>
        </w:tc>
        <w:tc>
          <w:tcPr>
            <w:tcW w:w="707"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296</w:t>
            </w:r>
          </w:p>
        </w:tc>
      </w:tr>
      <w:tr w:rsidR="003A6D8B" w:rsidRPr="0071782F">
        <w:tc>
          <w:tcPr>
            <w:tcW w:w="2410" w:type="dxa"/>
            <w:tcBorders>
              <w:bottom w:val="single" w:sz="4" w:space="0" w:color="auto"/>
            </w:tcBorders>
            <w:shd w:val="clear" w:color="auto" w:fill="auto"/>
            <w:vAlign w:val="bottom"/>
          </w:tcPr>
          <w:p w:rsidR="003A6D8B" w:rsidRPr="0071782F" w:rsidRDefault="00CF7144" w:rsidP="00C232FA">
            <w:pPr>
              <w:suppressAutoHyphens w:val="0"/>
              <w:spacing w:before="40" w:after="40" w:line="220" w:lineRule="exact"/>
              <w:rPr>
                <w:sz w:val="18"/>
                <w:lang w:val="fr-CH"/>
              </w:rPr>
            </w:pPr>
            <w:r w:rsidRPr="0071782F">
              <w:rPr>
                <w:sz w:val="18"/>
                <w:lang w:val="fr-CH"/>
              </w:rPr>
              <w:t>Environnements éducatifs</w:t>
            </w:r>
          </w:p>
        </w:tc>
        <w:tc>
          <w:tcPr>
            <w:tcW w:w="851" w:type="dxa"/>
            <w:tcBorders>
              <w:bottom w:val="single" w:sz="4" w:space="0" w:color="auto"/>
            </w:tcBorders>
            <w:shd w:val="clear" w:color="auto" w:fill="auto"/>
            <w:vAlign w:val="bottom"/>
          </w:tcPr>
          <w:p w:rsidR="003A6D8B" w:rsidRPr="0071782F" w:rsidRDefault="00FC351D" w:rsidP="00C232FA">
            <w:pPr>
              <w:suppressAutoHyphens w:val="0"/>
              <w:spacing w:before="40" w:after="40" w:line="220" w:lineRule="exact"/>
              <w:jc w:val="right"/>
              <w:rPr>
                <w:sz w:val="18"/>
                <w:lang w:val="fr-CH"/>
              </w:rPr>
            </w:pPr>
            <w:r w:rsidRPr="0071782F">
              <w:rPr>
                <w:sz w:val="18"/>
                <w:lang w:val="fr-CH"/>
              </w:rPr>
              <w:t>–</w:t>
            </w:r>
          </w:p>
        </w:tc>
        <w:tc>
          <w:tcPr>
            <w:tcW w:w="850" w:type="dxa"/>
            <w:tcBorders>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1 295</w:t>
            </w:r>
          </w:p>
        </w:tc>
        <w:tc>
          <w:tcPr>
            <w:tcW w:w="851" w:type="dxa"/>
            <w:tcBorders>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2 060</w:t>
            </w:r>
          </w:p>
        </w:tc>
        <w:tc>
          <w:tcPr>
            <w:tcW w:w="850" w:type="dxa"/>
            <w:tcBorders>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2 060</w:t>
            </w:r>
          </w:p>
        </w:tc>
        <w:tc>
          <w:tcPr>
            <w:tcW w:w="851" w:type="dxa"/>
            <w:tcBorders>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1 442</w:t>
            </w:r>
          </w:p>
        </w:tc>
        <w:tc>
          <w:tcPr>
            <w:tcW w:w="707" w:type="dxa"/>
            <w:tcBorders>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968</w:t>
            </w:r>
          </w:p>
        </w:tc>
      </w:tr>
      <w:tr w:rsidR="003A6D8B" w:rsidRPr="0071782F">
        <w:tc>
          <w:tcPr>
            <w:tcW w:w="2410" w:type="dxa"/>
            <w:tcBorders>
              <w:top w:val="single" w:sz="4" w:space="0" w:color="auto"/>
              <w:bottom w:val="single" w:sz="12" w:space="0" w:color="auto"/>
            </w:tcBorders>
            <w:shd w:val="clear" w:color="auto" w:fill="auto"/>
            <w:vAlign w:val="bottom"/>
          </w:tcPr>
          <w:p w:rsidR="003A6D8B" w:rsidRPr="0071782F" w:rsidRDefault="003A6D8B" w:rsidP="006659C7">
            <w:pPr>
              <w:suppressAutoHyphens w:val="0"/>
              <w:spacing w:before="80" w:after="80" w:line="220" w:lineRule="exact"/>
              <w:ind w:left="284"/>
              <w:rPr>
                <w:b/>
                <w:sz w:val="18"/>
                <w:lang w:val="fr-CH"/>
              </w:rPr>
            </w:pPr>
            <w:r w:rsidRPr="0071782F">
              <w:rPr>
                <w:b/>
                <w:sz w:val="18"/>
                <w:lang w:val="fr-CH"/>
              </w:rPr>
              <w:t>Total</w:t>
            </w:r>
          </w:p>
        </w:tc>
        <w:tc>
          <w:tcPr>
            <w:tcW w:w="851" w:type="dxa"/>
            <w:tcBorders>
              <w:top w:val="single" w:sz="4" w:space="0" w:color="auto"/>
              <w:bottom w:val="single" w:sz="12" w:space="0" w:color="auto"/>
            </w:tcBorders>
            <w:shd w:val="clear" w:color="auto" w:fill="auto"/>
            <w:vAlign w:val="bottom"/>
          </w:tcPr>
          <w:p w:rsidR="003A6D8B" w:rsidRPr="0071782F" w:rsidRDefault="00FC351D" w:rsidP="00C232FA">
            <w:pPr>
              <w:suppressAutoHyphens w:val="0"/>
              <w:spacing w:before="80" w:after="80" w:line="220" w:lineRule="exact"/>
              <w:jc w:val="right"/>
              <w:rPr>
                <w:b/>
                <w:sz w:val="18"/>
                <w:lang w:val="fr-CH"/>
              </w:rPr>
            </w:pPr>
            <w:r w:rsidRPr="0071782F">
              <w:rPr>
                <w:b/>
                <w:sz w:val="18"/>
                <w:lang w:val="fr-CH"/>
              </w:rPr>
              <w:t>–</w:t>
            </w:r>
          </w:p>
        </w:tc>
        <w:tc>
          <w:tcPr>
            <w:tcW w:w="850"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2 520</w:t>
            </w:r>
          </w:p>
        </w:tc>
        <w:tc>
          <w:tcPr>
            <w:tcW w:w="851"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4 340</w:t>
            </w:r>
          </w:p>
        </w:tc>
        <w:tc>
          <w:tcPr>
            <w:tcW w:w="850"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4 340</w:t>
            </w:r>
          </w:p>
        </w:tc>
        <w:tc>
          <w:tcPr>
            <w:tcW w:w="851"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3 187</w:t>
            </w:r>
          </w:p>
        </w:tc>
        <w:tc>
          <w:tcPr>
            <w:tcW w:w="707"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2 529</w:t>
            </w:r>
          </w:p>
        </w:tc>
      </w:tr>
    </w:tbl>
    <w:p w:rsidR="003A6D8B" w:rsidRPr="0071782F" w:rsidRDefault="003A6D8B" w:rsidP="003A6D8B">
      <w:pPr>
        <w:pStyle w:val="H23G"/>
        <w:rPr>
          <w:lang w:val="fr-CH"/>
        </w:rPr>
      </w:pPr>
      <w:r w:rsidRPr="0071782F">
        <w:rPr>
          <w:lang w:val="fr-CH"/>
        </w:rPr>
        <w:tab/>
      </w:r>
      <w:r w:rsidRPr="0071782F">
        <w:rPr>
          <w:lang w:val="fr-CH"/>
        </w:rPr>
        <w:tab/>
        <w:t xml:space="preserve">Population </w:t>
      </w:r>
      <w:r w:rsidR="00260FF2" w:rsidRPr="0071782F">
        <w:rPr>
          <w:lang w:val="fr-CH"/>
        </w:rPr>
        <w:t>prise en charge entre 2003 et le premier semestre de 2008</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544"/>
        <w:gridCol w:w="993"/>
        <w:gridCol w:w="994"/>
        <w:gridCol w:w="993"/>
        <w:gridCol w:w="994"/>
        <w:gridCol w:w="993"/>
        <w:gridCol w:w="994"/>
      </w:tblGrid>
      <w:tr w:rsidR="003A6D8B" w:rsidRPr="0071782F">
        <w:trPr>
          <w:tblHeader/>
        </w:trPr>
        <w:tc>
          <w:tcPr>
            <w:tcW w:w="2544" w:type="dxa"/>
            <w:tcBorders>
              <w:top w:val="single" w:sz="4" w:space="0" w:color="auto"/>
              <w:bottom w:val="single" w:sz="12" w:space="0" w:color="auto"/>
            </w:tcBorders>
            <w:shd w:val="clear" w:color="auto" w:fill="auto"/>
            <w:vAlign w:val="bottom"/>
          </w:tcPr>
          <w:p w:rsidR="003A6D8B" w:rsidRPr="0071782F" w:rsidRDefault="00260FF2" w:rsidP="00C232FA">
            <w:pPr>
              <w:suppressAutoHyphens w:val="0"/>
              <w:spacing w:before="80" w:after="80" w:line="200" w:lineRule="exact"/>
              <w:rPr>
                <w:i/>
                <w:sz w:val="16"/>
                <w:lang w:val="fr-CH"/>
              </w:rPr>
            </w:pPr>
            <w:r w:rsidRPr="0071782F">
              <w:rPr>
                <w:i/>
                <w:sz w:val="16"/>
                <w:lang w:val="fr-CH"/>
              </w:rPr>
              <w:t>Petite communauté</w:t>
            </w:r>
          </w:p>
        </w:tc>
        <w:tc>
          <w:tcPr>
            <w:tcW w:w="993"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2003</w:t>
            </w:r>
          </w:p>
        </w:tc>
        <w:tc>
          <w:tcPr>
            <w:tcW w:w="994"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2004</w:t>
            </w:r>
          </w:p>
        </w:tc>
        <w:tc>
          <w:tcPr>
            <w:tcW w:w="993"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2005</w:t>
            </w:r>
          </w:p>
        </w:tc>
        <w:tc>
          <w:tcPr>
            <w:tcW w:w="994"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2006</w:t>
            </w:r>
          </w:p>
        </w:tc>
        <w:tc>
          <w:tcPr>
            <w:tcW w:w="993"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2007</w:t>
            </w:r>
          </w:p>
        </w:tc>
        <w:tc>
          <w:tcPr>
            <w:tcW w:w="994"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00" w:lineRule="exact"/>
              <w:jc w:val="right"/>
              <w:rPr>
                <w:i/>
                <w:sz w:val="16"/>
                <w:lang w:val="fr-CH"/>
              </w:rPr>
            </w:pPr>
            <w:r w:rsidRPr="0071782F">
              <w:rPr>
                <w:i/>
                <w:sz w:val="16"/>
                <w:lang w:val="fr-CH"/>
              </w:rPr>
              <w:t>2008</w:t>
            </w:r>
          </w:p>
        </w:tc>
      </w:tr>
      <w:tr w:rsidR="003A6D8B" w:rsidRPr="0071782F">
        <w:tc>
          <w:tcPr>
            <w:tcW w:w="2544" w:type="dxa"/>
            <w:tcBorders>
              <w:top w:val="single" w:sz="12" w:space="0" w:color="auto"/>
            </w:tcBorders>
            <w:shd w:val="clear" w:color="auto" w:fill="auto"/>
            <w:vAlign w:val="bottom"/>
          </w:tcPr>
          <w:p w:rsidR="003A6D8B" w:rsidRPr="0071782F" w:rsidRDefault="00260FF2" w:rsidP="00C232FA">
            <w:pPr>
              <w:suppressAutoHyphens w:val="0"/>
              <w:spacing w:before="40" w:after="40" w:line="220" w:lineRule="exact"/>
              <w:rPr>
                <w:sz w:val="18"/>
                <w:lang w:val="fr-CH"/>
              </w:rPr>
            </w:pPr>
            <w:r w:rsidRPr="0071782F">
              <w:rPr>
                <w:sz w:val="18"/>
                <w:lang w:val="fr-CH"/>
              </w:rPr>
              <w:t>Quartiers urbains et ruraux</w:t>
            </w:r>
          </w:p>
        </w:tc>
        <w:tc>
          <w:tcPr>
            <w:tcW w:w="993" w:type="dxa"/>
            <w:tcBorders>
              <w:top w:val="single" w:sz="12" w:space="0" w:color="auto"/>
            </w:tcBorders>
            <w:shd w:val="clear" w:color="auto" w:fill="auto"/>
            <w:vAlign w:val="bottom"/>
          </w:tcPr>
          <w:p w:rsidR="003A6D8B" w:rsidRPr="0071782F" w:rsidRDefault="00FC351D" w:rsidP="00C232FA">
            <w:pPr>
              <w:suppressAutoHyphens w:val="0"/>
              <w:spacing w:before="40" w:after="40" w:line="220" w:lineRule="exact"/>
              <w:jc w:val="right"/>
              <w:rPr>
                <w:sz w:val="18"/>
                <w:lang w:val="fr-CH"/>
              </w:rPr>
            </w:pPr>
            <w:r w:rsidRPr="0071782F">
              <w:rPr>
                <w:sz w:val="18"/>
                <w:lang w:val="fr-CH"/>
              </w:rPr>
              <w:t>–</w:t>
            </w:r>
          </w:p>
        </w:tc>
        <w:tc>
          <w:tcPr>
            <w:tcW w:w="994"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1 788 502</w:t>
            </w:r>
          </w:p>
        </w:tc>
        <w:tc>
          <w:tcPr>
            <w:tcW w:w="993"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1 994 057</w:t>
            </w:r>
          </w:p>
        </w:tc>
        <w:tc>
          <w:tcPr>
            <w:tcW w:w="994"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2 588 349</w:t>
            </w:r>
          </w:p>
        </w:tc>
        <w:tc>
          <w:tcPr>
            <w:tcW w:w="993"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1 571 130</w:t>
            </w:r>
          </w:p>
        </w:tc>
        <w:tc>
          <w:tcPr>
            <w:tcW w:w="994"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2 341 965</w:t>
            </w:r>
          </w:p>
        </w:tc>
      </w:tr>
      <w:tr w:rsidR="003A6D8B" w:rsidRPr="0071782F">
        <w:tc>
          <w:tcPr>
            <w:tcW w:w="2544" w:type="dxa"/>
            <w:shd w:val="clear" w:color="auto" w:fill="auto"/>
            <w:vAlign w:val="bottom"/>
          </w:tcPr>
          <w:p w:rsidR="003A6D8B" w:rsidRPr="0071782F" w:rsidRDefault="00260FF2" w:rsidP="00C232FA">
            <w:pPr>
              <w:suppressAutoHyphens w:val="0"/>
              <w:spacing w:before="40" w:after="40" w:line="220" w:lineRule="exact"/>
              <w:rPr>
                <w:sz w:val="18"/>
                <w:lang w:val="fr-CH"/>
              </w:rPr>
            </w:pPr>
            <w:r w:rsidRPr="0071782F">
              <w:rPr>
                <w:sz w:val="18"/>
                <w:lang w:val="fr-CH"/>
              </w:rPr>
              <w:t>Environnements professionnels</w:t>
            </w:r>
          </w:p>
        </w:tc>
        <w:tc>
          <w:tcPr>
            <w:tcW w:w="993"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99 137</w:t>
            </w:r>
          </w:p>
        </w:tc>
        <w:tc>
          <w:tcPr>
            <w:tcW w:w="99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180 298</w:t>
            </w:r>
          </w:p>
        </w:tc>
        <w:tc>
          <w:tcPr>
            <w:tcW w:w="993"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171 093</w:t>
            </w:r>
          </w:p>
        </w:tc>
        <w:tc>
          <w:tcPr>
            <w:tcW w:w="99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197 939</w:t>
            </w:r>
          </w:p>
        </w:tc>
        <w:tc>
          <w:tcPr>
            <w:tcW w:w="993"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152 632</w:t>
            </w:r>
          </w:p>
        </w:tc>
        <w:tc>
          <w:tcPr>
            <w:tcW w:w="994"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154 452</w:t>
            </w:r>
          </w:p>
        </w:tc>
      </w:tr>
      <w:tr w:rsidR="003A6D8B" w:rsidRPr="0071782F">
        <w:tc>
          <w:tcPr>
            <w:tcW w:w="2544" w:type="dxa"/>
            <w:tcBorders>
              <w:bottom w:val="single" w:sz="4" w:space="0" w:color="auto"/>
            </w:tcBorders>
            <w:shd w:val="clear" w:color="auto" w:fill="auto"/>
            <w:vAlign w:val="bottom"/>
          </w:tcPr>
          <w:p w:rsidR="003A6D8B" w:rsidRPr="0071782F" w:rsidRDefault="00260FF2" w:rsidP="00C232FA">
            <w:pPr>
              <w:suppressAutoHyphens w:val="0"/>
              <w:spacing w:before="40" w:after="40" w:line="220" w:lineRule="exact"/>
              <w:rPr>
                <w:sz w:val="18"/>
                <w:lang w:val="fr-CH"/>
              </w:rPr>
            </w:pPr>
            <w:r w:rsidRPr="0071782F">
              <w:rPr>
                <w:sz w:val="18"/>
                <w:lang w:val="fr-CH"/>
              </w:rPr>
              <w:t>Environnements éducatifs</w:t>
            </w:r>
          </w:p>
        </w:tc>
        <w:tc>
          <w:tcPr>
            <w:tcW w:w="993" w:type="dxa"/>
            <w:tcBorders>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187 944</w:t>
            </w:r>
          </w:p>
        </w:tc>
        <w:tc>
          <w:tcPr>
            <w:tcW w:w="994" w:type="dxa"/>
            <w:tcBorders>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1 118 292</w:t>
            </w:r>
          </w:p>
        </w:tc>
        <w:tc>
          <w:tcPr>
            <w:tcW w:w="993" w:type="dxa"/>
            <w:tcBorders>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492 741</w:t>
            </w:r>
          </w:p>
        </w:tc>
        <w:tc>
          <w:tcPr>
            <w:tcW w:w="994" w:type="dxa"/>
            <w:tcBorders>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474 456</w:t>
            </w:r>
          </w:p>
        </w:tc>
        <w:tc>
          <w:tcPr>
            <w:tcW w:w="993" w:type="dxa"/>
            <w:tcBorders>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442 087</w:t>
            </w:r>
          </w:p>
        </w:tc>
        <w:tc>
          <w:tcPr>
            <w:tcW w:w="994" w:type="dxa"/>
            <w:tcBorders>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270 062</w:t>
            </w:r>
          </w:p>
        </w:tc>
      </w:tr>
      <w:tr w:rsidR="003A6D8B" w:rsidRPr="0071782F">
        <w:tc>
          <w:tcPr>
            <w:tcW w:w="2544" w:type="dxa"/>
            <w:tcBorders>
              <w:top w:val="single" w:sz="4" w:space="0" w:color="auto"/>
              <w:bottom w:val="single" w:sz="12" w:space="0" w:color="auto"/>
            </w:tcBorders>
            <w:shd w:val="clear" w:color="auto" w:fill="auto"/>
            <w:vAlign w:val="bottom"/>
          </w:tcPr>
          <w:p w:rsidR="003A6D8B" w:rsidRPr="0071782F" w:rsidRDefault="003A6D8B" w:rsidP="006659C7">
            <w:pPr>
              <w:suppressAutoHyphens w:val="0"/>
              <w:spacing w:before="80" w:after="80" w:line="220" w:lineRule="exact"/>
              <w:ind w:left="284"/>
              <w:rPr>
                <w:b/>
                <w:sz w:val="18"/>
                <w:lang w:val="fr-CH"/>
              </w:rPr>
            </w:pPr>
            <w:r w:rsidRPr="0071782F">
              <w:rPr>
                <w:b/>
                <w:sz w:val="18"/>
                <w:lang w:val="fr-CH"/>
              </w:rPr>
              <w:t>Total</w:t>
            </w:r>
          </w:p>
        </w:tc>
        <w:tc>
          <w:tcPr>
            <w:tcW w:w="993"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287 081</w:t>
            </w:r>
          </w:p>
        </w:tc>
        <w:tc>
          <w:tcPr>
            <w:tcW w:w="994"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3 087 092</w:t>
            </w:r>
          </w:p>
        </w:tc>
        <w:tc>
          <w:tcPr>
            <w:tcW w:w="993"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2 657 891</w:t>
            </w:r>
          </w:p>
        </w:tc>
        <w:tc>
          <w:tcPr>
            <w:tcW w:w="994"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3 260 744</w:t>
            </w:r>
          </w:p>
        </w:tc>
        <w:tc>
          <w:tcPr>
            <w:tcW w:w="993"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2 165 849</w:t>
            </w:r>
          </w:p>
        </w:tc>
        <w:tc>
          <w:tcPr>
            <w:tcW w:w="994"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2 766 479</w:t>
            </w:r>
          </w:p>
        </w:tc>
      </w:tr>
    </w:tbl>
    <w:p w:rsidR="003A6D8B" w:rsidRPr="0071782F" w:rsidRDefault="003A6D8B" w:rsidP="003A6D8B">
      <w:pPr>
        <w:pStyle w:val="H1G"/>
        <w:rPr>
          <w:lang w:val="fr-CH"/>
        </w:rPr>
      </w:pPr>
      <w:r w:rsidRPr="0071782F">
        <w:rPr>
          <w:lang w:val="fr-CH"/>
        </w:rPr>
        <w:tab/>
      </w:r>
      <w:r w:rsidRPr="0071782F">
        <w:rPr>
          <w:lang w:val="fr-CH"/>
        </w:rPr>
        <w:tab/>
        <w:t>Mesures relati</w:t>
      </w:r>
      <w:r w:rsidR="001219B1" w:rsidRPr="0071782F">
        <w:rPr>
          <w:lang w:val="fr-CH"/>
        </w:rPr>
        <w:t>ves à la prévention de la toxicomanie axée sur la collectivité</w:t>
      </w:r>
      <w:r w:rsidRPr="0071782F">
        <w:rPr>
          <w:lang w:val="fr-CH"/>
        </w:rPr>
        <w:t>,</w:t>
      </w:r>
      <w:r w:rsidR="001219B1" w:rsidRPr="0071782F">
        <w:rPr>
          <w:lang w:val="fr-CH"/>
        </w:rPr>
        <w:t xml:space="preserve"> </w:t>
      </w:r>
      <w:r w:rsidRPr="0071782F">
        <w:rPr>
          <w:lang w:val="fr-CH"/>
        </w:rPr>
        <w:t>2003</w:t>
      </w:r>
      <w:r w:rsidR="001219B1" w:rsidRPr="0071782F">
        <w:rPr>
          <w:lang w:val="fr-CH"/>
        </w:rPr>
        <w:t>-</w:t>
      </w:r>
      <w:r w:rsidRPr="0071782F">
        <w:rPr>
          <w:lang w:val="fr-CH"/>
        </w:rPr>
        <w:t>2006</w:t>
      </w:r>
    </w:p>
    <w:p w:rsidR="003A6D8B" w:rsidRPr="0071782F" w:rsidRDefault="003A6D8B" w:rsidP="003A6D8B">
      <w:pPr>
        <w:pStyle w:val="SingleTxtG"/>
        <w:rPr>
          <w:lang w:val="fr-CH"/>
        </w:rPr>
      </w:pPr>
      <w:r w:rsidRPr="0071782F">
        <w:rPr>
          <w:lang w:val="fr-CH"/>
        </w:rPr>
        <w:t>327.</w:t>
      </w:r>
      <w:r w:rsidRPr="0071782F">
        <w:rPr>
          <w:lang w:val="fr-CH"/>
        </w:rPr>
        <w:tab/>
      </w:r>
      <w:r w:rsidR="005B1BE9" w:rsidRPr="0071782F">
        <w:rPr>
          <w:lang w:val="fr-CH"/>
        </w:rPr>
        <w:t xml:space="preserve">Le Bureau responsable a adopté à partir de 2002 </w:t>
      </w:r>
      <w:r w:rsidR="00CF49B0" w:rsidRPr="0071782F">
        <w:rPr>
          <w:lang w:val="fr-CH"/>
        </w:rPr>
        <w:t xml:space="preserve">une approche axée sur la collectivité pour prévenir la toxicomanie et promouvoir la santé </w:t>
      </w:r>
      <w:r w:rsidRPr="0071782F">
        <w:rPr>
          <w:lang w:val="fr-CH"/>
        </w:rPr>
        <w:t>social</w:t>
      </w:r>
      <w:r w:rsidR="00CF49B0" w:rsidRPr="0071782F">
        <w:rPr>
          <w:lang w:val="fr-CH"/>
        </w:rPr>
        <w:t>e</w:t>
      </w:r>
      <w:r w:rsidRPr="0071782F">
        <w:rPr>
          <w:lang w:val="fr-CH"/>
        </w:rPr>
        <w:t xml:space="preserve"> </w:t>
      </w:r>
      <w:r w:rsidR="00CF49B0" w:rsidRPr="0071782F">
        <w:rPr>
          <w:lang w:val="fr-CH"/>
        </w:rPr>
        <w:t>et psychologique</w:t>
      </w:r>
      <w:r w:rsidRPr="0071782F">
        <w:rPr>
          <w:lang w:val="fr-CH"/>
        </w:rPr>
        <w:t xml:space="preserve">. </w:t>
      </w:r>
      <w:r w:rsidR="00BD3839" w:rsidRPr="0071782F">
        <w:rPr>
          <w:lang w:val="fr-CH"/>
        </w:rPr>
        <w:t xml:space="preserve">Le </w:t>
      </w:r>
      <w:r w:rsidRPr="0071782F">
        <w:rPr>
          <w:lang w:val="fr-CH"/>
        </w:rPr>
        <w:t>program</w:t>
      </w:r>
      <w:r w:rsidR="00BD3839" w:rsidRPr="0071782F">
        <w:rPr>
          <w:lang w:val="fr-CH"/>
        </w:rPr>
        <w:t xml:space="preserve">me peut compter sur la </w:t>
      </w:r>
      <w:r w:rsidRPr="0071782F">
        <w:rPr>
          <w:lang w:val="fr-CH"/>
        </w:rPr>
        <w:t xml:space="preserve">participation </w:t>
      </w:r>
      <w:r w:rsidR="00BD3839" w:rsidRPr="0071782F">
        <w:rPr>
          <w:lang w:val="fr-CH"/>
        </w:rPr>
        <w:t>active de tous les groupes intéressés (la communauté) d’un bout à l’autre du processus</w:t>
      </w:r>
      <w:r w:rsidRPr="0071782F">
        <w:rPr>
          <w:lang w:val="fr-CH"/>
        </w:rPr>
        <w:t xml:space="preserve">, </w:t>
      </w:r>
      <w:r w:rsidR="00BD3839" w:rsidRPr="0071782F">
        <w:rPr>
          <w:lang w:val="fr-CH"/>
        </w:rPr>
        <w:t>c’est-à-dire pour la définition du problème, l’élaboration du programme d’</w:t>
      </w:r>
      <w:r w:rsidRPr="0071782F">
        <w:rPr>
          <w:lang w:val="fr-CH"/>
        </w:rPr>
        <w:t xml:space="preserve">intervention, </w:t>
      </w:r>
      <w:r w:rsidR="00BD3839" w:rsidRPr="0071782F">
        <w:rPr>
          <w:lang w:val="fr-CH"/>
        </w:rPr>
        <w:t>ainsi que l’exécution, le contrôle et l’é</w:t>
      </w:r>
      <w:r w:rsidRPr="0071782F">
        <w:rPr>
          <w:lang w:val="fr-CH"/>
        </w:rPr>
        <w:t xml:space="preserve">valuation. </w:t>
      </w:r>
      <w:r w:rsidR="00BD3839" w:rsidRPr="0071782F">
        <w:rPr>
          <w:lang w:val="fr-CH"/>
        </w:rPr>
        <w:t>Afin d’éviter la centralis</w:t>
      </w:r>
      <w:r w:rsidRPr="0071782F">
        <w:rPr>
          <w:lang w:val="fr-CH"/>
        </w:rPr>
        <w:t xml:space="preserve">ation </w:t>
      </w:r>
      <w:r w:rsidR="00BD3839" w:rsidRPr="0071782F">
        <w:rPr>
          <w:lang w:val="fr-CH"/>
        </w:rPr>
        <w:t xml:space="preserve">tant au siège que dans les provinces, les </w:t>
      </w:r>
      <w:r w:rsidRPr="0071782F">
        <w:rPr>
          <w:lang w:val="fr-CH"/>
        </w:rPr>
        <w:t>sp</w:t>
      </w:r>
      <w:r w:rsidR="00BD3839" w:rsidRPr="0071782F">
        <w:rPr>
          <w:lang w:val="fr-CH"/>
        </w:rPr>
        <w:t>é</w:t>
      </w:r>
      <w:r w:rsidRPr="0071782F">
        <w:rPr>
          <w:lang w:val="fr-CH"/>
        </w:rPr>
        <w:t>cialist</w:t>
      </w:r>
      <w:r w:rsidR="00BD3839" w:rsidRPr="0071782F">
        <w:rPr>
          <w:lang w:val="fr-CH"/>
        </w:rPr>
        <w:t>e</w:t>
      </w:r>
      <w:r w:rsidRPr="0071782F">
        <w:rPr>
          <w:lang w:val="fr-CH"/>
        </w:rPr>
        <w:t xml:space="preserve">s </w:t>
      </w:r>
      <w:r w:rsidR="00BD3839" w:rsidRPr="0071782F">
        <w:rPr>
          <w:lang w:val="fr-CH"/>
        </w:rPr>
        <w:t xml:space="preserve">du siège sont chargés d’établir le contenu </w:t>
      </w:r>
      <w:r w:rsidRPr="0071782F">
        <w:rPr>
          <w:lang w:val="fr-CH"/>
        </w:rPr>
        <w:t>scientifi</w:t>
      </w:r>
      <w:r w:rsidR="00BD3839" w:rsidRPr="0071782F">
        <w:rPr>
          <w:lang w:val="fr-CH"/>
        </w:rPr>
        <w:t xml:space="preserve">que du programme et d’en contrôler et d’en évaluer l’exécution, tandis que les </w:t>
      </w:r>
      <w:r w:rsidRPr="0071782F">
        <w:rPr>
          <w:lang w:val="fr-CH"/>
        </w:rPr>
        <w:t>sp</w:t>
      </w:r>
      <w:r w:rsidR="00BD3839" w:rsidRPr="0071782F">
        <w:rPr>
          <w:lang w:val="fr-CH"/>
        </w:rPr>
        <w:t>é</w:t>
      </w:r>
      <w:r w:rsidRPr="0071782F">
        <w:rPr>
          <w:lang w:val="fr-CH"/>
        </w:rPr>
        <w:t>cialist</w:t>
      </w:r>
      <w:r w:rsidR="00BD3839" w:rsidRPr="0071782F">
        <w:rPr>
          <w:lang w:val="fr-CH"/>
        </w:rPr>
        <w:t>e</w:t>
      </w:r>
      <w:r w:rsidRPr="0071782F">
        <w:rPr>
          <w:lang w:val="fr-CH"/>
        </w:rPr>
        <w:t xml:space="preserve">s </w:t>
      </w:r>
      <w:r w:rsidR="00BD3839" w:rsidRPr="0071782F">
        <w:rPr>
          <w:lang w:val="fr-CH"/>
        </w:rPr>
        <w:t>des</w:t>
      </w:r>
      <w:r w:rsidRPr="0071782F">
        <w:rPr>
          <w:lang w:val="fr-CH"/>
        </w:rPr>
        <w:t xml:space="preserve"> provinces </w:t>
      </w:r>
      <w:r w:rsidR="00BD3839" w:rsidRPr="0071782F">
        <w:rPr>
          <w:lang w:val="fr-CH"/>
        </w:rPr>
        <w:t>jouent un rôle de facilitateurs</w:t>
      </w:r>
      <w:r w:rsidRPr="0071782F">
        <w:rPr>
          <w:lang w:val="fr-CH"/>
        </w:rPr>
        <w:t xml:space="preserve">. </w:t>
      </w:r>
      <w:r w:rsidR="00BD3839" w:rsidRPr="0071782F">
        <w:rPr>
          <w:lang w:val="fr-CH"/>
        </w:rPr>
        <w:t xml:space="preserve">Le rôle de la communauté consiste à </w:t>
      </w:r>
      <w:r w:rsidRPr="0071782F">
        <w:rPr>
          <w:lang w:val="fr-CH"/>
        </w:rPr>
        <w:t>plan</w:t>
      </w:r>
      <w:r w:rsidR="00BD3839" w:rsidRPr="0071782F">
        <w:rPr>
          <w:lang w:val="fr-CH"/>
        </w:rPr>
        <w:t>ifier</w:t>
      </w:r>
      <w:r w:rsidRPr="0071782F">
        <w:rPr>
          <w:lang w:val="fr-CH"/>
        </w:rPr>
        <w:t xml:space="preserve">, </w:t>
      </w:r>
      <w:r w:rsidR="00BD3839" w:rsidRPr="0071782F">
        <w:rPr>
          <w:lang w:val="fr-CH"/>
        </w:rPr>
        <w:t xml:space="preserve">exécuter et évaluer le </w:t>
      </w:r>
      <w:r w:rsidRPr="0071782F">
        <w:rPr>
          <w:lang w:val="fr-CH"/>
        </w:rPr>
        <w:t>program</w:t>
      </w:r>
      <w:r w:rsidR="00BD3839" w:rsidRPr="0071782F">
        <w:rPr>
          <w:lang w:val="fr-CH"/>
        </w:rPr>
        <w:t>me au sein des petites communautés</w:t>
      </w:r>
      <w:r w:rsidRPr="0071782F">
        <w:rPr>
          <w:lang w:val="fr-CH"/>
        </w:rPr>
        <w:t xml:space="preserve">. </w:t>
      </w:r>
      <w:r w:rsidR="00BD3839" w:rsidRPr="0071782F">
        <w:rPr>
          <w:lang w:val="fr-CH"/>
        </w:rPr>
        <w:t xml:space="preserve">Les principales </w:t>
      </w:r>
      <w:r w:rsidRPr="0071782F">
        <w:rPr>
          <w:lang w:val="fr-CH"/>
        </w:rPr>
        <w:t>strat</w:t>
      </w:r>
      <w:r w:rsidR="00BD3839" w:rsidRPr="0071782F">
        <w:rPr>
          <w:lang w:val="fr-CH"/>
        </w:rPr>
        <w:t>é</w:t>
      </w:r>
      <w:r w:rsidRPr="0071782F">
        <w:rPr>
          <w:lang w:val="fr-CH"/>
        </w:rPr>
        <w:t xml:space="preserve">gies </w:t>
      </w:r>
      <w:r w:rsidR="00BD3839" w:rsidRPr="0071782F">
        <w:rPr>
          <w:lang w:val="fr-CH"/>
        </w:rPr>
        <w:t>du programme dont l’é</w:t>
      </w:r>
      <w:r w:rsidRPr="0071782F">
        <w:rPr>
          <w:lang w:val="fr-CH"/>
        </w:rPr>
        <w:t xml:space="preserve">ducation, </w:t>
      </w:r>
      <w:r w:rsidR="00BD3839" w:rsidRPr="0071782F">
        <w:rPr>
          <w:lang w:val="fr-CH"/>
        </w:rPr>
        <w:t xml:space="preserve">la sensibilisation, la recherche au niveau des petites communautés </w:t>
      </w:r>
      <w:r w:rsidRPr="0071782F">
        <w:rPr>
          <w:lang w:val="fr-CH"/>
        </w:rPr>
        <w:t>(environ</w:t>
      </w:r>
      <w:r w:rsidR="00BD3839" w:rsidRPr="0071782F">
        <w:rPr>
          <w:lang w:val="fr-CH"/>
        </w:rPr>
        <w:t>ne</w:t>
      </w:r>
      <w:r w:rsidRPr="0071782F">
        <w:rPr>
          <w:lang w:val="fr-CH"/>
        </w:rPr>
        <w:t>ments</w:t>
      </w:r>
      <w:r w:rsidR="00BD3839" w:rsidRPr="0071782F">
        <w:rPr>
          <w:lang w:val="fr-CH"/>
        </w:rPr>
        <w:t xml:space="preserve"> éducatifs</w:t>
      </w:r>
      <w:r w:rsidR="008F7D33" w:rsidRPr="0071782F">
        <w:rPr>
          <w:lang w:val="fr-CH"/>
        </w:rPr>
        <w:t>:</w:t>
      </w:r>
      <w:r w:rsidRPr="0071782F">
        <w:rPr>
          <w:lang w:val="fr-CH"/>
        </w:rPr>
        <w:t xml:space="preserve"> </w:t>
      </w:r>
      <w:r w:rsidR="00BD3839" w:rsidRPr="0071782F">
        <w:rPr>
          <w:lang w:val="fr-CH"/>
        </w:rPr>
        <w:t>jardins d’enfants</w:t>
      </w:r>
      <w:r w:rsidRPr="0071782F">
        <w:rPr>
          <w:lang w:val="fr-CH"/>
        </w:rPr>
        <w:t xml:space="preserve">, </w:t>
      </w:r>
      <w:r w:rsidR="00BD3839" w:rsidRPr="0071782F">
        <w:rPr>
          <w:lang w:val="fr-CH"/>
        </w:rPr>
        <w:t>centres préscolaire</w:t>
      </w:r>
      <w:r w:rsidR="003A764D" w:rsidRPr="0071782F">
        <w:rPr>
          <w:lang w:val="fr-CH"/>
        </w:rPr>
        <w:t>s</w:t>
      </w:r>
      <w:r w:rsidR="00BD3839" w:rsidRPr="0071782F">
        <w:rPr>
          <w:lang w:val="fr-CH"/>
        </w:rPr>
        <w:t>, écoles et universités</w:t>
      </w:r>
      <w:r w:rsidRPr="0071782F">
        <w:rPr>
          <w:lang w:val="fr-CH"/>
        </w:rPr>
        <w:t xml:space="preserve">; </w:t>
      </w:r>
      <w:r w:rsidR="00BD3839" w:rsidRPr="0071782F">
        <w:rPr>
          <w:lang w:val="fr-CH"/>
        </w:rPr>
        <w:t>environnements professionnels</w:t>
      </w:r>
      <w:r w:rsidRPr="0071782F">
        <w:rPr>
          <w:lang w:val="fr-CH"/>
        </w:rPr>
        <w:t xml:space="preserve">; </w:t>
      </w:r>
      <w:r w:rsidR="00BD3839" w:rsidRPr="0071782F">
        <w:rPr>
          <w:lang w:val="fr-CH"/>
        </w:rPr>
        <w:t>et quartiers urbains et ruraux</w:t>
      </w:r>
      <w:r w:rsidRPr="0071782F">
        <w:rPr>
          <w:lang w:val="fr-CH"/>
        </w:rPr>
        <w:t xml:space="preserve">), </w:t>
      </w:r>
      <w:r w:rsidR="00BD3839" w:rsidRPr="0071782F">
        <w:rPr>
          <w:lang w:val="fr-CH"/>
        </w:rPr>
        <w:t xml:space="preserve">la formation </w:t>
      </w:r>
      <w:r w:rsidR="006474A3" w:rsidRPr="0071782F">
        <w:rPr>
          <w:lang w:val="fr-CH"/>
        </w:rPr>
        <w:t>à la vie pratique,</w:t>
      </w:r>
      <w:r w:rsidRPr="0071782F">
        <w:rPr>
          <w:lang w:val="fr-CH"/>
        </w:rPr>
        <w:t xml:space="preserve"> </w:t>
      </w:r>
      <w:r w:rsidR="00BD3839" w:rsidRPr="0071782F">
        <w:rPr>
          <w:lang w:val="fr-CH"/>
        </w:rPr>
        <w:t>la mobilisation d’appuis et le renforcement de l’autonomie</w:t>
      </w:r>
      <w:r w:rsidRPr="0071782F">
        <w:rPr>
          <w:lang w:val="fr-CH"/>
        </w:rPr>
        <w:t xml:space="preserve">. </w:t>
      </w:r>
    </w:p>
    <w:p w:rsidR="003A6D8B" w:rsidRPr="0071782F" w:rsidRDefault="003A6D8B" w:rsidP="00333944">
      <w:pPr>
        <w:pStyle w:val="SingleTxtG"/>
        <w:spacing w:after="0"/>
        <w:rPr>
          <w:lang w:val="fr-CH"/>
        </w:rPr>
      </w:pPr>
      <w:r w:rsidRPr="0071782F">
        <w:rPr>
          <w:lang w:val="fr-CH"/>
        </w:rPr>
        <w:t>328.</w:t>
      </w:r>
      <w:r w:rsidRPr="0071782F">
        <w:rPr>
          <w:lang w:val="fr-CH"/>
        </w:rPr>
        <w:tab/>
      </w:r>
      <w:r w:rsidR="00BD3839" w:rsidRPr="0071782F">
        <w:rPr>
          <w:lang w:val="fr-CH"/>
        </w:rPr>
        <w:t xml:space="preserve">Entre 2002 et 2006, les activités </w:t>
      </w:r>
      <w:r w:rsidRPr="0071782F">
        <w:rPr>
          <w:lang w:val="fr-CH"/>
        </w:rPr>
        <w:t>participative</w:t>
      </w:r>
      <w:r w:rsidR="00BD3839" w:rsidRPr="0071782F">
        <w:rPr>
          <w:lang w:val="fr-CH"/>
        </w:rPr>
        <w:t>s ci-après ont été menées à bien avec les parties intéressées susvisées</w:t>
      </w:r>
      <w:r w:rsidRPr="0071782F">
        <w:rPr>
          <w:lang w:val="fr-CH"/>
        </w:rPr>
        <w:t>.</w:t>
      </w:r>
    </w:p>
    <w:p w:rsidR="003A6D8B" w:rsidRPr="0071782F" w:rsidRDefault="003A6D8B" w:rsidP="000A3FC7">
      <w:pPr>
        <w:pStyle w:val="H23G"/>
        <w:rPr>
          <w:lang w:val="fr-CH"/>
        </w:rPr>
      </w:pPr>
      <w:r w:rsidRPr="0071782F">
        <w:rPr>
          <w:lang w:val="fr-CH"/>
        </w:rPr>
        <w:tab/>
      </w:r>
      <w:r w:rsidRPr="0071782F">
        <w:rPr>
          <w:lang w:val="fr-CH"/>
        </w:rPr>
        <w:tab/>
      </w:r>
      <w:r w:rsidR="00BD3839" w:rsidRPr="0071782F">
        <w:rPr>
          <w:lang w:val="fr-CH"/>
        </w:rPr>
        <w:t>Résultats quantitatifs obtenus dans les provinces par les programmes de prévention axée sur la collectivité (</w:t>
      </w:r>
      <w:r w:rsidRPr="0071782F">
        <w:rPr>
          <w:lang w:val="fr-CH"/>
        </w:rPr>
        <w:t>2005</w:t>
      </w:r>
      <w:r w:rsidR="00BD3839" w:rsidRPr="0071782F">
        <w:rPr>
          <w:lang w:val="fr-CH"/>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316"/>
        <w:gridCol w:w="669"/>
        <w:gridCol w:w="857"/>
        <w:gridCol w:w="1269"/>
        <w:gridCol w:w="709"/>
        <w:gridCol w:w="992"/>
        <w:gridCol w:w="949"/>
        <w:gridCol w:w="752"/>
        <w:gridCol w:w="992"/>
      </w:tblGrid>
      <w:tr w:rsidR="003A6D8B" w:rsidRPr="0071782F">
        <w:trPr>
          <w:tblHeader/>
        </w:trPr>
        <w:tc>
          <w:tcPr>
            <w:tcW w:w="2842" w:type="dxa"/>
            <w:gridSpan w:val="3"/>
            <w:tcBorders>
              <w:top w:val="single" w:sz="4" w:space="0" w:color="auto"/>
              <w:bottom w:val="single" w:sz="4" w:space="0" w:color="auto"/>
              <w:right w:val="single" w:sz="24" w:space="0" w:color="FFFFFF"/>
            </w:tcBorders>
            <w:shd w:val="clear" w:color="auto" w:fill="auto"/>
            <w:vAlign w:val="bottom"/>
          </w:tcPr>
          <w:p w:rsidR="003A6D8B" w:rsidRPr="0071782F" w:rsidRDefault="00BD3839" w:rsidP="00C232FA">
            <w:pPr>
              <w:keepNext/>
              <w:keepLines/>
              <w:suppressAutoHyphens w:val="0"/>
              <w:spacing w:before="80" w:after="80" w:line="200" w:lineRule="exact"/>
              <w:jc w:val="center"/>
              <w:rPr>
                <w:i/>
                <w:sz w:val="16"/>
                <w:lang w:val="fr-CH"/>
              </w:rPr>
            </w:pPr>
            <w:r w:rsidRPr="0071782F">
              <w:rPr>
                <w:i/>
                <w:sz w:val="16"/>
                <w:lang w:val="fr-CH"/>
              </w:rPr>
              <w:t>Environnements éducatifs</w:t>
            </w:r>
          </w:p>
        </w:tc>
        <w:tc>
          <w:tcPr>
            <w:tcW w:w="2970"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3A6D8B" w:rsidRPr="0071782F" w:rsidRDefault="00BD3839" w:rsidP="00C232FA">
            <w:pPr>
              <w:keepNext/>
              <w:keepLines/>
              <w:suppressAutoHyphens w:val="0"/>
              <w:spacing w:before="80" w:after="80" w:line="200" w:lineRule="exact"/>
              <w:jc w:val="center"/>
              <w:rPr>
                <w:i/>
                <w:sz w:val="16"/>
                <w:lang w:val="fr-CH"/>
              </w:rPr>
            </w:pPr>
            <w:r w:rsidRPr="0071782F">
              <w:rPr>
                <w:i/>
                <w:sz w:val="16"/>
                <w:lang w:val="fr-CH"/>
              </w:rPr>
              <w:t>Environnements professionnels</w:t>
            </w:r>
          </w:p>
        </w:tc>
        <w:tc>
          <w:tcPr>
            <w:tcW w:w="2693" w:type="dxa"/>
            <w:gridSpan w:val="3"/>
            <w:tcBorders>
              <w:top w:val="single" w:sz="4" w:space="0" w:color="auto"/>
              <w:left w:val="single" w:sz="24" w:space="0" w:color="FFFFFF"/>
              <w:bottom w:val="single" w:sz="4" w:space="0" w:color="auto"/>
            </w:tcBorders>
            <w:shd w:val="clear" w:color="auto" w:fill="auto"/>
            <w:vAlign w:val="bottom"/>
          </w:tcPr>
          <w:p w:rsidR="003A6D8B" w:rsidRPr="0071782F" w:rsidRDefault="00BD3839" w:rsidP="00C232FA">
            <w:pPr>
              <w:keepNext/>
              <w:keepLines/>
              <w:suppressAutoHyphens w:val="0"/>
              <w:spacing w:before="80" w:after="80" w:line="200" w:lineRule="exact"/>
              <w:jc w:val="center"/>
              <w:rPr>
                <w:i/>
                <w:sz w:val="16"/>
                <w:lang w:val="fr-CH"/>
              </w:rPr>
            </w:pPr>
            <w:r w:rsidRPr="0071782F">
              <w:rPr>
                <w:i/>
                <w:sz w:val="16"/>
                <w:lang w:val="fr-CH"/>
              </w:rPr>
              <w:t>Quartiers urbains et ruraux</w:t>
            </w:r>
          </w:p>
        </w:tc>
      </w:tr>
      <w:tr w:rsidR="003A6D8B" w:rsidRPr="0071782F">
        <w:tc>
          <w:tcPr>
            <w:tcW w:w="1316" w:type="dxa"/>
            <w:tcBorders>
              <w:top w:val="single" w:sz="4" w:space="0" w:color="auto"/>
              <w:bottom w:val="single" w:sz="12" w:space="0" w:color="auto"/>
            </w:tcBorders>
            <w:shd w:val="clear" w:color="auto" w:fill="auto"/>
            <w:vAlign w:val="bottom"/>
          </w:tcPr>
          <w:p w:rsidR="003A6D8B" w:rsidRPr="0071782F" w:rsidRDefault="00BD3839" w:rsidP="00C232FA">
            <w:pPr>
              <w:suppressAutoHyphens w:val="0"/>
              <w:spacing w:before="80" w:after="80" w:line="200" w:lineRule="exact"/>
              <w:rPr>
                <w:i/>
                <w:sz w:val="16"/>
                <w:szCs w:val="16"/>
                <w:lang w:val="fr-CH"/>
              </w:rPr>
            </w:pPr>
            <w:r w:rsidRPr="0071782F">
              <w:rPr>
                <w:i/>
                <w:sz w:val="16"/>
                <w:szCs w:val="16"/>
                <w:lang w:val="fr-CH"/>
              </w:rPr>
              <w:t>Nombre d’environnements éducatifs</w:t>
            </w:r>
          </w:p>
        </w:tc>
        <w:tc>
          <w:tcPr>
            <w:tcW w:w="669" w:type="dxa"/>
            <w:tcBorders>
              <w:top w:val="single" w:sz="4" w:space="0" w:color="auto"/>
              <w:bottom w:val="single" w:sz="12" w:space="0" w:color="auto"/>
            </w:tcBorders>
            <w:shd w:val="clear" w:color="auto" w:fill="auto"/>
            <w:vAlign w:val="bottom"/>
          </w:tcPr>
          <w:p w:rsidR="003A6D8B" w:rsidRPr="0071782F" w:rsidRDefault="00BD3839" w:rsidP="00C232FA">
            <w:pPr>
              <w:suppressAutoHyphens w:val="0"/>
              <w:spacing w:before="80" w:after="80" w:line="200" w:lineRule="exact"/>
              <w:jc w:val="right"/>
              <w:rPr>
                <w:i/>
                <w:sz w:val="16"/>
                <w:szCs w:val="16"/>
                <w:lang w:val="fr-CH"/>
              </w:rPr>
            </w:pPr>
            <w:r w:rsidRPr="0071782F">
              <w:rPr>
                <w:i/>
                <w:sz w:val="16"/>
                <w:szCs w:val="16"/>
                <w:lang w:val="fr-CH"/>
              </w:rPr>
              <w:t>Nombre d’équipes</w:t>
            </w:r>
          </w:p>
        </w:tc>
        <w:tc>
          <w:tcPr>
            <w:tcW w:w="857" w:type="dxa"/>
            <w:tcBorders>
              <w:top w:val="single" w:sz="4" w:space="0" w:color="auto"/>
              <w:bottom w:val="single" w:sz="12" w:space="0" w:color="auto"/>
              <w:right w:val="single" w:sz="24" w:space="0" w:color="FFFFFF"/>
            </w:tcBorders>
            <w:shd w:val="clear" w:color="auto" w:fill="auto"/>
            <w:vAlign w:val="bottom"/>
          </w:tcPr>
          <w:p w:rsidR="003A6D8B" w:rsidRPr="0071782F" w:rsidRDefault="003A6D8B" w:rsidP="00C232FA">
            <w:pPr>
              <w:suppressAutoHyphens w:val="0"/>
              <w:spacing w:before="80" w:after="80" w:line="200" w:lineRule="exact"/>
              <w:jc w:val="right"/>
              <w:rPr>
                <w:i/>
                <w:sz w:val="16"/>
                <w:szCs w:val="16"/>
                <w:lang w:val="fr-CH"/>
              </w:rPr>
            </w:pPr>
            <w:r w:rsidRPr="0071782F">
              <w:rPr>
                <w:i/>
                <w:sz w:val="16"/>
                <w:szCs w:val="16"/>
                <w:lang w:val="fr-CH"/>
              </w:rPr>
              <w:t xml:space="preserve">Population </w:t>
            </w:r>
            <w:r w:rsidR="00BD3839" w:rsidRPr="0071782F">
              <w:rPr>
                <w:i/>
                <w:sz w:val="16"/>
                <w:szCs w:val="16"/>
                <w:lang w:val="fr-CH"/>
              </w:rPr>
              <w:t>prise en charge</w:t>
            </w:r>
          </w:p>
        </w:tc>
        <w:tc>
          <w:tcPr>
            <w:tcW w:w="1269" w:type="dxa"/>
            <w:tcBorders>
              <w:top w:val="single" w:sz="4" w:space="0" w:color="auto"/>
              <w:left w:val="single" w:sz="24" w:space="0" w:color="FFFFFF"/>
              <w:bottom w:val="single" w:sz="12" w:space="0" w:color="auto"/>
            </w:tcBorders>
            <w:shd w:val="clear" w:color="auto" w:fill="auto"/>
            <w:vAlign w:val="bottom"/>
          </w:tcPr>
          <w:p w:rsidR="003A6D8B" w:rsidRPr="0071782F" w:rsidRDefault="00BD3839" w:rsidP="00C232FA">
            <w:pPr>
              <w:suppressAutoHyphens w:val="0"/>
              <w:spacing w:before="80" w:after="80" w:line="200" w:lineRule="exact"/>
              <w:jc w:val="right"/>
              <w:rPr>
                <w:i/>
                <w:sz w:val="16"/>
                <w:szCs w:val="16"/>
                <w:lang w:val="fr-CH"/>
              </w:rPr>
            </w:pPr>
            <w:r w:rsidRPr="0071782F">
              <w:rPr>
                <w:i/>
                <w:sz w:val="16"/>
                <w:szCs w:val="16"/>
                <w:lang w:val="fr-CH"/>
              </w:rPr>
              <w:t>Nombre d’environnements professionnels</w:t>
            </w:r>
          </w:p>
        </w:tc>
        <w:tc>
          <w:tcPr>
            <w:tcW w:w="709" w:type="dxa"/>
            <w:tcBorders>
              <w:top w:val="single" w:sz="4" w:space="0" w:color="auto"/>
              <w:bottom w:val="single" w:sz="12" w:space="0" w:color="auto"/>
            </w:tcBorders>
            <w:shd w:val="clear" w:color="auto" w:fill="auto"/>
            <w:vAlign w:val="bottom"/>
          </w:tcPr>
          <w:p w:rsidR="003A6D8B" w:rsidRPr="0071782F" w:rsidRDefault="00BD3839" w:rsidP="00C232FA">
            <w:pPr>
              <w:suppressAutoHyphens w:val="0"/>
              <w:spacing w:before="80" w:after="80" w:line="200" w:lineRule="exact"/>
              <w:jc w:val="right"/>
              <w:rPr>
                <w:i/>
                <w:sz w:val="16"/>
                <w:szCs w:val="16"/>
                <w:lang w:val="fr-CH"/>
              </w:rPr>
            </w:pPr>
            <w:r w:rsidRPr="0071782F">
              <w:rPr>
                <w:i/>
                <w:sz w:val="16"/>
                <w:szCs w:val="16"/>
                <w:lang w:val="fr-CH"/>
              </w:rPr>
              <w:t>Nombre d’équipes</w:t>
            </w:r>
          </w:p>
        </w:tc>
        <w:tc>
          <w:tcPr>
            <w:tcW w:w="992" w:type="dxa"/>
            <w:tcBorders>
              <w:top w:val="single" w:sz="4" w:space="0" w:color="auto"/>
              <w:bottom w:val="single" w:sz="12" w:space="0" w:color="auto"/>
              <w:right w:val="single" w:sz="24" w:space="0" w:color="FFFFFF"/>
            </w:tcBorders>
            <w:shd w:val="clear" w:color="auto" w:fill="auto"/>
            <w:vAlign w:val="bottom"/>
          </w:tcPr>
          <w:p w:rsidR="003A6D8B" w:rsidRPr="0071782F" w:rsidRDefault="00BD3839" w:rsidP="00C232FA">
            <w:pPr>
              <w:suppressAutoHyphens w:val="0"/>
              <w:spacing w:before="80" w:after="80" w:line="200" w:lineRule="exact"/>
              <w:jc w:val="right"/>
              <w:rPr>
                <w:i/>
                <w:sz w:val="16"/>
                <w:szCs w:val="16"/>
                <w:lang w:val="fr-CH"/>
              </w:rPr>
            </w:pPr>
            <w:r w:rsidRPr="0071782F">
              <w:rPr>
                <w:i/>
                <w:sz w:val="16"/>
                <w:szCs w:val="16"/>
                <w:lang w:val="fr-CH"/>
              </w:rPr>
              <w:t>Population prise en charge</w:t>
            </w:r>
          </w:p>
        </w:tc>
        <w:tc>
          <w:tcPr>
            <w:tcW w:w="949" w:type="dxa"/>
            <w:tcBorders>
              <w:top w:val="single" w:sz="4" w:space="0" w:color="auto"/>
              <w:left w:val="single" w:sz="24" w:space="0" w:color="FFFFFF"/>
              <w:bottom w:val="single" w:sz="12" w:space="0" w:color="auto"/>
            </w:tcBorders>
            <w:shd w:val="clear" w:color="auto" w:fill="auto"/>
            <w:vAlign w:val="bottom"/>
          </w:tcPr>
          <w:p w:rsidR="003A6D8B" w:rsidRPr="0071782F" w:rsidRDefault="00BD3839" w:rsidP="00C232FA">
            <w:pPr>
              <w:suppressAutoHyphens w:val="0"/>
              <w:spacing w:before="80" w:after="80" w:line="200" w:lineRule="exact"/>
              <w:jc w:val="right"/>
              <w:rPr>
                <w:i/>
                <w:sz w:val="16"/>
                <w:szCs w:val="16"/>
                <w:lang w:val="fr-CH"/>
              </w:rPr>
            </w:pPr>
            <w:r w:rsidRPr="0071782F">
              <w:rPr>
                <w:i/>
                <w:sz w:val="16"/>
                <w:szCs w:val="16"/>
                <w:lang w:val="fr-CH"/>
              </w:rPr>
              <w:t>Nombre de quartiers urbains et ruraux</w:t>
            </w:r>
          </w:p>
        </w:tc>
        <w:tc>
          <w:tcPr>
            <w:tcW w:w="752" w:type="dxa"/>
            <w:tcBorders>
              <w:top w:val="single" w:sz="4" w:space="0" w:color="auto"/>
              <w:bottom w:val="single" w:sz="12" w:space="0" w:color="auto"/>
            </w:tcBorders>
            <w:shd w:val="clear" w:color="auto" w:fill="auto"/>
            <w:vAlign w:val="bottom"/>
          </w:tcPr>
          <w:p w:rsidR="003A6D8B" w:rsidRPr="0071782F" w:rsidRDefault="00BD3839" w:rsidP="00C232FA">
            <w:pPr>
              <w:suppressAutoHyphens w:val="0"/>
              <w:spacing w:before="80" w:after="80" w:line="200" w:lineRule="exact"/>
              <w:jc w:val="right"/>
              <w:rPr>
                <w:i/>
                <w:sz w:val="16"/>
                <w:szCs w:val="16"/>
                <w:lang w:val="fr-CH"/>
              </w:rPr>
            </w:pPr>
            <w:r w:rsidRPr="0071782F">
              <w:rPr>
                <w:i/>
                <w:sz w:val="16"/>
                <w:szCs w:val="16"/>
                <w:lang w:val="fr-CH"/>
              </w:rPr>
              <w:t>Nombre d’équipes</w:t>
            </w:r>
          </w:p>
        </w:tc>
        <w:tc>
          <w:tcPr>
            <w:tcW w:w="992" w:type="dxa"/>
            <w:tcBorders>
              <w:top w:val="single" w:sz="4" w:space="0" w:color="auto"/>
              <w:bottom w:val="single" w:sz="12" w:space="0" w:color="auto"/>
            </w:tcBorders>
            <w:shd w:val="clear" w:color="auto" w:fill="auto"/>
            <w:vAlign w:val="bottom"/>
          </w:tcPr>
          <w:p w:rsidR="003A6D8B" w:rsidRPr="0071782F" w:rsidRDefault="00BD3839" w:rsidP="00C232FA">
            <w:pPr>
              <w:suppressAutoHyphens w:val="0"/>
              <w:spacing w:before="80" w:after="80" w:line="200" w:lineRule="exact"/>
              <w:jc w:val="right"/>
              <w:rPr>
                <w:i/>
                <w:sz w:val="16"/>
                <w:szCs w:val="16"/>
                <w:lang w:val="fr-CH"/>
              </w:rPr>
            </w:pPr>
            <w:r w:rsidRPr="0071782F">
              <w:rPr>
                <w:i/>
                <w:sz w:val="16"/>
                <w:szCs w:val="16"/>
                <w:lang w:val="fr-CH"/>
              </w:rPr>
              <w:t>Population prise en charge</w:t>
            </w:r>
          </w:p>
        </w:tc>
      </w:tr>
      <w:tr w:rsidR="003A6D8B" w:rsidRPr="0071782F">
        <w:tc>
          <w:tcPr>
            <w:tcW w:w="1316"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rPr>
                <w:sz w:val="18"/>
                <w:lang w:val="fr-CH"/>
              </w:rPr>
            </w:pPr>
            <w:r w:rsidRPr="0071782F">
              <w:rPr>
                <w:sz w:val="18"/>
                <w:lang w:val="fr-CH"/>
              </w:rPr>
              <w:t>1 627</w:t>
            </w:r>
          </w:p>
        </w:tc>
        <w:tc>
          <w:tcPr>
            <w:tcW w:w="669"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1 634</w:t>
            </w:r>
          </w:p>
        </w:tc>
        <w:tc>
          <w:tcPr>
            <w:tcW w:w="857"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492 741</w:t>
            </w:r>
          </w:p>
        </w:tc>
        <w:tc>
          <w:tcPr>
            <w:tcW w:w="1269"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332</w:t>
            </w:r>
          </w:p>
        </w:tc>
        <w:tc>
          <w:tcPr>
            <w:tcW w:w="709"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411</w:t>
            </w:r>
          </w:p>
        </w:tc>
        <w:tc>
          <w:tcPr>
            <w:tcW w:w="992"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171 093</w:t>
            </w:r>
          </w:p>
        </w:tc>
        <w:tc>
          <w:tcPr>
            <w:tcW w:w="949"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675</w:t>
            </w:r>
          </w:p>
        </w:tc>
        <w:tc>
          <w:tcPr>
            <w:tcW w:w="752"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749</w:t>
            </w:r>
          </w:p>
        </w:tc>
        <w:tc>
          <w:tcPr>
            <w:tcW w:w="992"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1 994 057</w:t>
            </w:r>
          </w:p>
        </w:tc>
      </w:tr>
    </w:tbl>
    <w:p w:rsidR="003A6D8B" w:rsidRPr="0071782F" w:rsidRDefault="003A6D8B" w:rsidP="003A6D8B">
      <w:pPr>
        <w:pStyle w:val="H23G"/>
        <w:rPr>
          <w:lang w:val="fr-CH"/>
        </w:rPr>
      </w:pPr>
      <w:r w:rsidRPr="0071782F">
        <w:rPr>
          <w:lang w:val="fr-CH"/>
        </w:rPr>
        <w:tab/>
      </w:r>
      <w:r w:rsidRPr="0071782F">
        <w:rPr>
          <w:lang w:val="fr-CH"/>
        </w:rPr>
        <w:tab/>
      </w:r>
      <w:r w:rsidR="00BD3839" w:rsidRPr="0071782F">
        <w:rPr>
          <w:lang w:val="fr-CH"/>
        </w:rPr>
        <w:t>Résultats quantitatifs obtenus dans les provinces par les programmes de prévention axée sur la collectivité (2005)</w:t>
      </w:r>
    </w:p>
    <w:tbl>
      <w:tblPr>
        <w:tblW w:w="7370" w:type="dxa"/>
        <w:tblInd w:w="1134" w:type="dxa"/>
        <w:tblBorders>
          <w:top w:val="single" w:sz="4" w:space="0" w:color="FFFFFF"/>
          <w:bottom w:val="single" w:sz="12" w:space="0" w:color="FFFFFF"/>
        </w:tblBorders>
        <w:tblLayout w:type="fixed"/>
        <w:tblCellMar>
          <w:left w:w="0" w:type="dxa"/>
          <w:right w:w="0" w:type="dxa"/>
        </w:tblCellMar>
        <w:tblLook w:val="00A0" w:firstRow="1" w:lastRow="0" w:firstColumn="1" w:lastColumn="0" w:noHBand="0" w:noVBand="0"/>
      </w:tblPr>
      <w:tblGrid>
        <w:gridCol w:w="3458"/>
        <w:gridCol w:w="1903"/>
        <w:gridCol w:w="2009"/>
      </w:tblGrid>
      <w:tr w:rsidR="003A6D8B" w:rsidRPr="0071782F">
        <w:trPr>
          <w:tblHeader/>
        </w:trPr>
        <w:tc>
          <w:tcPr>
            <w:tcW w:w="3458" w:type="dxa"/>
            <w:tcBorders>
              <w:top w:val="single" w:sz="4" w:space="0" w:color="auto"/>
              <w:bottom w:val="single" w:sz="12" w:space="0" w:color="auto"/>
            </w:tcBorders>
            <w:shd w:val="clear" w:color="auto" w:fill="auto"/>
            <w:vAlign w:val="bottom"/>
          </w:tcPr>
          <w:p w:rsidR="003A6D8B" w:rsidRPr="0071782F" w:rsidRDefault="00BD3839" w:rsidP="00C232FA">
            <w:pPr>
              <w:suppressAutoHyphens w:val="0"/>
              <w:spacing w:before="80" w:after="80" w:line="200" w:lineRule="exact"/>
              <w:rPr>
                <w:i/>
                <w:sz w:val="16"/>
                <w:lang w:val="fr-CH"/>
              </w:rPr>
            </w:pPr>
            <w:r w:rsidRPr="0071782F">
              <w:rPr>
                <w:i/>
                <w:sz w:val="16"/>
                <w:lang w:val="fr-CH"/>
              </w:rPr>
              <w:t>Petite communauté</w:t>
            </w:r>
          </w:p>
        </w:tc>
        <w:tc>
          <w:tcPr>
            <w:tcW w:w="1903" w:type="dxa"/>
            <w:tcBorders>
              <w:top w:val="single" w:sz="4" w:space="0" w:color="auto"/>
              <w:bottom w:val="single" w:sz="12" w:space="0" w:color="auto"/>
            </w:tcBorders>
            <w:shd w:val="clear" w:color="auto" w:fill="auto"/>
            <w:vAlign w:val="bottom"/>
          </w:tcPr>
          <w:p w:rsidR="003A6D8B" w:rsidRPr="0071782F" w:rsidRDefault="00BD3839" w:rsidP="00C232FA">
            <w:pPr>
              <w:suppressAutoHyphens w:val="0"/>
              <w:spacing w:before="80" w:after="80" w:line="200" w:lineRule="exact"/>
              <w:jc w:val="right"/>
              <w:rPr>
                <w:i/>
                <w:sz w:val="16"/>
                <w:lang w:val="fr-CH"/>
              </w:rPr>
            </w:pPr>
            <w:r w:rsidRPr="0071782F">
              <w:rPr>
                <w:i/>
                <w:sz w:val="16"/>
                <w:lang w:val="fr-CH"/>
              </w:rPr>
              <w:t>Nombre de petites communautés prises en charge</w:t>
            </w:r>
          </w:p>
        </w:tc>
        <w:tc>
          <w:tcPr>
            <w:tcW w:w="2009" w:type="dxa"/>
            <w:tcBorders>
              <w:top w:val="single" w:sz="4" w:space="0" w:color="auto"/>
              <w:bottom w:val="single" w:sz="12" w:space="0" w:color="auto"/>
            </w:tcBorders>
            <w:shd w:val="clear" w:color="auto" w:fill="auto"/>
            <w:vAlign w:val="bottom"/>
          </w:tcPr>
          <w:p w:rsidR="003A6D8B" w:rsidRPr="0071782F" w:rsidRDefault="00BD3839" w:rsidP="00C232FA">
            <w:pPr>
              <w:suppressAutoHyphens w:val="0"/>
              <w:spacing w:before="80" w:after="80" w:line="200" w:lineRule="exact"/>
              <w:jc w:val="right"/>
              <w:rPr>
                <w:i/>
                <w:sz w:val="16"/>
                <w:lang w:val="fr-CH"/>
              </w:rPr>
            </w:pPr>
            <w:r w:rsidRPr="0071782F">
              <w:rPr>
                <w:i/>
                <w:sz w:val="16"/>
                <w:lang w:val="fr-CH"/>
              </w:rPr>
              <w:t>Nombre d’équipes</w:t>
            </w:r>
            <w:r w:rsidR="003A6D8B" w:rsidRPr="0071782F">
              <w:rPr>
                <w:i/>
                <w:sz w:val="16"/>
                <w:lang w:val="fr-CH"/>
              </w:rPr>
              <w:t xml:space="preserve"> (</w:t>
            </w:r>
            <w:r w:rsidRPr="0071782F">
              <w:rPr>
                <w:i/>
                <w:sz w:val="16"/>
                <w:lang w:val="fr-CH"/>
              </w:rPr>
              <w:t>groupes communautaires</w:t>
            </w:r>
            <w:r w:rsidR="003A6D8B" w:rsidRPr="0071782F">
              <w:rPr>
                <w:i/>
                <w:sz w:val="16"/>
                <w:lang w:val="fr-CH"/>
              </w:rPr>
              <w:t>)</w:t>
            </w:r>
          </w:p>
        </w:tc>
      </w:tr>
      <w:tr w:rsidR="003A6D8B" w:rsidRPr="0071782F">
        <w:tc>
          <w:tcPr>
            <w:tcW w:w="3458" w:type="dxa"/>
            <w:tcBorders>
              <w:top w:val="single" w:sz="12" w:space="0" w:color="auto"/>
            </w:tcBorders>
            <w:shd w:val="clear" w:color="auto" w:fill="auto"/>
            <w:vAlign w:val="bottom"/>
          </w:tcPr>
          <w:p w:rsidR="003A6D8B" w:rsidRPr="0071782F" w:rsidRDefault="00BD3839" w:rsidP="00EB04F0">
            <w:pPr>
              <w:suppressAutoHyphens w:val="0"/>
              <w:spacing w:before="20" w:after="20" w:line="220" w:lineRule="exact"/>
              <w:rPr>
                <w:sz w:val="18"/>
                <w:lang w:val="fr-CH"/>
              </w:rPr>
            </w:pPr>
            <w:r w:rsidRPr="0071782F">
              <w:rPr>
                <w:sz w:val="18"/>
                <w:lang w:val="fr-CH"/>
              </w:rPr>
              <w:t>Quartiers urbains</w:t>
            </w:r>
          </w:p>
        </w:tc>
        <w:tc>
          <w:tcPr>
            <w:tcW w:w="1903" w:type="dxa"/>
            <w:tcBorders>
              <w:top w:val="single" w:sz="12" w:space="0" w:color="auto"/>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r w:rsidRPr="0071782F">
              <w:rPr>
                <w:sz w:val="18"/>
                <w:lang w:val="fr-CH"/>
              </w:rPr>
              <w:t>418</w:t>
            </w:r>
          </w:p>
        </w:tc>
        <w:tc>
          <w:tcPr>
            <w:tcW w:w="2009" w:type="dxa"/>
            <w:tcBorders>
              <w:top w:val="single" w:sz="12" w:space="0" w:color="auto"/>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r w:rsidRPr="0071782F">
              <w:rPr>
                <w:sz w:val="18"/>
                <w:lang w:val="fr-CH"/>
              </w:rPr>
              <w:t>486</w:t>
            </w:r>
          </w:p>
        </w:tc>
      </w:tr>
      <w:tr w:rsidR="003A6D8B" w:rsidRPr="0071782F">
        <w:tc>
          <w:tcPr>
            <w:tcW w:w="3458" w:type="dxa"/>
            <w:shd w:val="clear" w:color="auto" w:fill="auto"/>
            <w:vAlign w:val="bottom"/>
          </w:tcPr>
          <w:p w:rsidR="003A6D8B" w:rsidRPr="0071782F" w:rsidRDefault="00BD3839" w:rsidP="00EB04F0">
            <w:pPr>
              <w:suppressAutoHyphens w:val="0"/>
              <w:spacing w:before="20" w:after="20" w:line="220" w:lineRule="exact"/>
              <w:rPr>
                <w:sz w:val="18"/>
                <w:lang w:val="fr-CH"/>
              </w:rPr>
            </w:pPr>
            <w:r w:rsidRPr="0071782F">
              <w:rPr>
                <w:sz w:val="18"/>
                <w:lang w:val="fr-CH"/>
              </w:rPr>
              <w:t>Quartiers ruraux</w:t>
            </w:r>
          </w:p>
        </w:tc>
        <w:tc>
          <w:tcPr>
            <w:tcW w:w="1903" w:type="dxa"/>
            <w:shd w:val="clear" w:color="auto" w:fill="auto"/>
            <w:vAlign w:val="bottom"/>
          </w:tcPr>
          <w:p w:rsidR="003A6D8B" w:rsidRPr="0071782F" w:rsidRDefault="003A6D8B" w:rsidP="00EB04F0">
            <w:pPr>
              <w:suppressAutoHyphens w:val="0"/>
              <w:spacing w:before="20" w:after="20" w:line="220" w:lineRule="exact"/>
              <w:jc w:val="right"/>
              <w:rPr>
                <w:sz w:val="18"/>
                <w:lang w:val="fr-CH"/>
              </w:rPr>
            </w:pPr>
            <w:r w:rsidRPr="0071782F">
              <w:rPr>
                <w:sz w:val="18"/>
                <w:lang w:val="fr-CH"/>
              </w:rPr>
              <w:t>257</w:t>
            </w:r>
          </w:p>
        </w:tc>
        <w:tc>
          <w:tcPr>
            <w:tcW w:w="2009" w:type="dxa"/>
            <w:shd w:val="clear" w:color="auto" w:fill="auto"/>
            <w:vAlign w:val="bottom"/>
          </w:tcPr>
          <w:p w:rsidR="003A6D8B" w:rsidRPr="0071782F" w:rsidRDefault="003A6D8B" w:rsidP="00EB04F0">
            <w:pPr>
              <w:suppressAutoHyphens w:val="0"/>
              <w:spacing w:before="20" w:after="20" w:line="220" w:lineRule="exact"/>
              <w:jc w:val="right"/>
              <w:rPr>
                <w:sz w:val="18"/>
                <w:lang w:val="fr-CH"/>
              </w:rPr>
            </w:pPr>
            <w:r w:rsidRPr="0071782F">
              <w:rPr>
                <w:sz w:val="18"/>
                <w:lang w:val="fr-CH"/>
              </w:rPr>
              <w:t>276</w:t>
            </w:r>
          </w:p>
        </w:tc>
      </w:tr>
      <w:tr w:rsidR="003A6D8B" w:rsidRPr="0071782F">
        <w:tc>
          <w:tcPr>
            <w:tcW w:w="3458" w:type="dxa"/>
            <w:tcBorders>
              <w:bottom w:val="nil"/>
            </w:tcBorders>
            <w:shd w:val="clear" w:color="auto" w:fill="auto"/>
            <w:vAlign w:val="bottom"/>
          </w:tcPr>
          <w:p w:rsidR="003A6D8B" w:rsidRPr="0071782F" w:rsidRDefault="00BD3839" w:rsidP="00EB04F0">
            <w:pPr>
              <w:suppressAutoHyphens w:val="0"/>
              <w:spacing w:before="20" w:after="20" w:line="220" w:lineRule="exact"/>
              <w:rPr>
                <w:sz w:val="18"/>
                <w:lang w:val="fr-CH"/>
              </w:rPr>
            </w:pPr>
            <w:r w:rsidRPr="0071782F">
              <w:rPr>
                <w:sz w:val="18"/>
                <w:lang w:val="fr-CH"/>
              </w:rPr>
              <w:t>Environnements professionnels</w:t>
            </w:r>
          </w:p>
        </w:tc>
        <w:tc>
          <w:tcPr>
            <w:tcW w:w="1903" w:type="dxa"/>
            <w:tcBorders>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r w:rsidRPr="0071782F">
              <w:rPr>
                <w:sz w:val="18"/>
                <w:lang w:val="fr-CH"/>
              </w:rPr>
              <w:t>332</w:t>
            </w:r>
          </w:p>
        </w:tc>
        <w:tc>
          <w:tcPr>
            <w:tcW w:w="2009" w:type="dxa"/>
            <w:tcBorders>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r w:rsidRPr="0071782F">
              <w:rPr>
                <w:sz w:val="18"/>
                <w:lang w:val="fr-CH"/>
              </w:rPr>
              <w:t>436</w:t>
            </w:r>
          </w:p>
        </w:tc>
      </w:tr>
      <w:tr w:rsidR="003A6D8B" w:rsidRPr="0071782F">
        <w:tc>
          <w:tcPr>
            <w:tcW w:w="3458" w:type="dxa"/>
            <w:tcBorders>
              <w:top w:val="nil"/>
              <w:bottom w:val="nil"/>
            </w:tcBorders>
            <w:shd w:val="clear" w:color="auto" w:fill="auto"/>
            <w:vAlign w:val="bottom"/>
          </w:tcPr>
          <w:p w:rsidR="003A6D8B" w:rsidRPr="0071782F" w:rsidRDefault="00BD3839" w:rsidP="00EB04F0">
            <w:pPr>
              <w:suppressAutoHyphens w:val="0"/>
              <w:spacing w:before="20" w:after="20" w:line="220" w:lineRule="exact"/>
              <w:rPr>
                <w:sz w:val="18"/>
                <w:lang w:val="fr-CH"/>
              </w:rPr>
            </w:pPr>
            <w:r w:rsidRPr="0071782F">
              <w:rPr>
                <w:sz w:val="18"/>
                <w:lang w:val="fr-CH"/>
              </w:rPr>
              <w:t>Environnements éducatifs</w:t>
            </w:r>
          </w:p>
        </w:tc>
        <w:tc>
          <w:tcPr>
            <w:tcW w:w="1903" w:type="dxa"/>
            <w:tcBorders>
              <w:top w:val="nil"/>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r w:rsidRPr="0071782F">
              <w:rPr>
                <w:sz w:val="18"/>
                <w:lang w:val="fr-CH"/>
              </w:rPr>
              <w:t>1 627</w:t>
            </w:r>
          </w:p>
        </w:tc>
        <w:tc>
          <w:tcPr>
            <w:tcW w:w="2009" w:type="dxa"/>
            <w:tcBorders>
              <w:top w:val="nil"/>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r w:rsidRPr="0071782F">
              <w:rPr>
                <w:sz w:val="18"/>
                <w:lang w:val="fr-CH"/>
              </w:rPr>
              <w:t>1 637</w:t>
            </w:r>
          </w:p>
        </w:tc>
      </w:tr>
      <w:tr w:rsidR="003A6D8B" w:rsidRPr="0071782F">
        <w:tc>
          <w:tcPr>
            <w:tcW w:w="3458" w:type="dxa"/>
            <w:tcBorders>
              <w:top w:val="nil"/>
              <w:bottom w:val="nil"/>
            </w:tcBorders>
            <w:shd w:val="clear" w:color="auto" w:fill="auto"/>
            <w:vAlign w:val="bottom"/>
          </w:tcPr>
          <w:p w:rsidR="003A6D8B" w:rsidRPr="0071782F" w:rsidRDefault="00BD3839" w:rsidP="00EB04F0">
            <w:pPr>
              <w:pStyle w:val="Bullet1G"/>
              <w:tabs>
                <w:tab w:val="clear" w:pos="1701"/>
                <w:tab w:val="left" w:pos="366"/>
              </w:tabs>
              <w:spacing w:before="20" w:after="20"/>
              <w:ind w:left="366" w:right="0" w:hanging="253"/>
              <w:jc w:val="left"/>
              <w:rPr>
                <w:sz w:val="18"/>
                <w:lang w:val="fr-CH"/>
              </w:rPr>
            </w:pPr>
            <w:r w:rsidRPr="0071782F">
              <w:rPr>
                <w:sz w:val="18"/>
                <w:lang w:val="fr-CH"/>
              </w:rPr>
              <w:t>Jardins d’enfants, centres préscolaires</w:t>
            </w:r>
          </w:p>
        </w:tc>
        <w:tc>
          <w:tcPr>
            <w:tcW w:w="1903" w:type="dxa"/>
            <w:tcBorders>
              <w:top w:val="nil"/>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r w:rsidRPr="0071782F">
              <w:rPr>
                <w:sz w:val="18"/>
                <w:lang w:val="fr-CH"/>
              </w:rPr>
              <w:t>123</w:t>
            </w:r>
          </w:p>
        </w:tc>
        <w:tc>
          <w:tcPr>
            <w:tcW w:w="2009" w:type="dxa"/>
            <w:tcBorders>
              <w:top w:val="nil"/>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r w:rsidRPr="0071782F">
              <w:rPr>
                <w:sz w:val="18"/>
                <w:lang w:val="fr-CH"/>
              </w:rPr>
              <w:t>78</w:t>
            </w:r>
          </w:p>
        </w:tc>
      </w:tr>
      <w:tr w:rsidR="003A6D8B" w:rsidRPr="0071782F">
        <w:tc>
          <w:tcPr>
            <w:tcW w:w="3458" w:type="dxa"/>
            <w:tcBorders>
              <w:top w:val="nil"/>
              <w:bottom w:val="nil"/>
            </w:tcBorders>
            <w:shd w:val="clear" w:color="auto" w:fill="auto"/>
            <w:vAlign w:val="bottom"/>
          </w:tcPr>
          <w:p w:rsidR="003A6D8B" w:rsidRPr="0071782F" w:rsidRDefault="00BD3839" w:rsidP="00EB04F0">
            <w:pPr>
              <w:pStyle w:val="Bullet1G"/>
              <w:tabs>
                <w:tab w:val="clear" w:pos="1701"/>
                <w:tab w:val="left" w:pos="366"/>
              </w:tabs>
              <w:spacing w:before="20" w:after="20"/>
              <w:ind w:left="482" w:right="0" w:hanging="369"/>
              <w:jc w:val="left"/>
              <w:rPr>
                <w:sz w:val="18"/>
                <w:lang w:val="fr-CH"/>
              </w:rPr>
            </w:pPr>
            <w:r w:rsidRPr="0071782F">
              <w:rPr>
                <w:sz w:val="18"/>
                <w:lang w:val="fr-CH"/>
              </w:rPr>
              <w:t>Écoles primaires</w:t>
            </w:r>
          </w:p>
        </w:tc>
        <w:tc>
          <w:tcPr>
            <w:tcW w:w="1903" w:type="dxa"/>
            <w:tcBorders>
              <w:top w:val="nil"/>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r w:rsidRPr="0071782F">
              <w:rPr>
                <w:sz w:val="18"/>
                <w:lang w:val="fr-CH"/>
              </w:rPr>
              <w:t>320</w:t>
            </w:r>
          </w:p>
        </w:tc>
        <w:tc>
          <w:tcPr>
            <w:tcW w:w="2009" w:type="dxa"/>
            <w:tcBorders>
              <w:top w:val="nil"/>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r w:rsidRPr="0071782F">
              <w:rPr>
                <w:sz w:val="18"/>
                <w:lang w:val="fr-CH"/>
              </w:rPr>
              <w:t>273</w:t>
            </w:r>
          </w:p>
        </w:tc>
      </w:tr>
      <w:tr w:rsidR="003A6D8B" w:rsidRPr="0071782F">
        <w:tc>
          <w:tcPr>
            <w:tcW w:w="3458" w:type="dxa"/>
            <w:tcBorders>
              <w:top w:val="nil"/>
              <w:bottom w:val="nil"/>
            </w:tcBorders>
            <w:shd w:val="clear" w:color="auto" w:fill="auto"/>
            <w:vAlign w:val="bottom"/>
          </w:tcPr>
          <w:p w:rsidR="003A6D8B" w:rsidRPr="0071782F" w:rsidRDefault="00BD3839" w:rsidP="00EB04F0">
            <w:pPr>
              <w:pStyle w:val="Bullet1G"/>
              <w:tabs>
                <w:tab w:val="clear" w:pos="1701"/>
                <w:tab w:val="left" w:pos="366"/>
              </w:tabs>
              <w:spacing w:before="20" w:after="20"/>
              <w:ind w:left="366" w:right="0" w:hanging="253"/>
              <w:jc w:val="left"/>
              <w:rPr>
                <w:sz w:val="18"/>
                <w:lang w:val="fr-CH"/>
              </w:rPr>
            </w:pPr>
            <w:r w:rsidRPr="0071782F">
              <w:rPr>
                <w:sz w:val="18"/>
                <w:lang w:val="fr-CH"/>
              </w:rPr>
              <w:t>Établissement</w:t>
            </w:r>
            <w:r w:rsidR="0052656C" w:rsidRPr="0071782F">
              <w:rPr>
                <w:sz w:val="18"/>
                <w:lang w:val="fr-CH"/>
              </w:rPr>
              <w:t>s</w:t>
            </w:r>
            <w:r w:rsidRPr="0071782F">
              <w:rPr>
                <w:sz w:val="18"/>
                <w:lang w:val="fr-CH"/>
              </w:rPr>
              <w:t xml:space="preserve"> d’enseignement secondaire du premier cycle</w:t>
            </w:r>
          </w:p>
        </w:tc>
        <w:tc>
          <w:tcPr>
            <w:tcW w:w="1903" w:type="dxa"/>
            <w:tcBorders>
              <w:top w:val="nil"/>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r w:rsidRPr="0071782F">
              <w:rPr>
                <w:sz w:val="18"/>
                <w:lang w:val="fr-CH"/>
              </w:rPr>
              <w:t>456</w:t>
            </w:r>
          </w:p>
        </w:tc>
        <w:tc>
          <w:tcPr>
            <w:tcW w:w="2009" w:type="dxa"/>
            <w:tcBorders>
              <w:top w:val="nil"/>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r w:rsidRPr="0071782F">
              <w:rPr>
                <w:sz w:val="18"/>
                <w:lang w:val="fr-CH"/>
              </w:rPr>
              <w:t>480</w:t>
            </w:r>
          </w:p>
        </w:tc>
      </w:tr>
      <w:tr w:rsidR="003A6D8B" w:rsidRPr="0071782F">
        <w:tc>
          <w:tcPr>
            <w:tcW w:w="3458" w:type="dxa"/>
            <w:tcBorders>
              <w:top w:val="nil"/>
              <w:bottom w:val="nil"/>
            </w:tcBorders>
            <w:shd w:val="clear" w:color="auto" w:fill="auto"/>
            <w:vAlign w:val="bottom"/>
          </w:tcPr>
          <w:p w:rsidR="003A6D8B" w:rsidRPr="0071782F" w:rsidRDefault="00BD3839" w:rsidP="00EB04F0">
            <w:pPr>
              <w:pStyle w:val="Bullet1G"/>
              <w:tabs>
                <w:tab w:val="clear" w:pos="1701"/>
                <w:tab w:val="left" w:pos="366"/>
              </w:tabs>
              <w:spacing w:before="20" w:after="20"/>
              <w:ind w:left="366" w:right="0" w:hanging="253"/>
              <w:jc w:val="left"/>
              <w:rPr>
                <w:sz w:val="18"/>
                <w:lang w:val="fr-CH"/>
              </w:rPr>
            </w:pPr>
            <w:r w:rsidRPr="0071782F">
              <w:rPr>
                <w:sz w:val="18"/>
                <w:lang w:val="fr-CH"/>
              </w:rPr>
              <w:t>Établissement</w:t>
            </w:r>
            <w:r w:rsidR="0052656C" w:rsidRPr="0071782F">
              <w:rPr>
                <w:sz w:val="18"/>
                <w:lang w:val="fr-CH"/>
              </w:rPr>
              <w:t>s</w:t>
            </w:r>
            <w:r w:rsidRPr="0071782F">
              <w:rPr>
                <w:sz w:val="18"/>
                <w:lang w:val="fr-CH"/>
              </w:rPr>
              <w:t xml:space="preserve"> d’enseignement secondaire du second cycle </w:t>
            </w:r>
          </w:p>
        </w:tc>
        <w:tc>
          <w:tcPr>
            <w:tcW w:w="1903" w:type="dxa"/>
            <w:tcBorders>
              <w:top w:val="nil"/>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r w:rsidRPr="0071782F">
              <w:rPr>
                <w:sz w:val="18"/>
                <w:lang w:val="fr-CH"/>
              </w:rPr>
              <w:t>676</w:t>
            </w:r>
          </w:p>
        </w:tc>
        <w:tc>
          <w:tcPr>
            <w:tcW w:w="2009" w:type="dxa"/>
            <w:tcBorders>
              <w:top w:val="nil"/>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r w:rsidRPr="0071782F">
              <w:rPr>
                <w:sz w:val="18"/>
                <w:lang w:val="fr-CH"/>
              </w:rPr>
              <w:t>717</w:t>
            </w:r>
          </w:p>
        </w:tc>
      </w:tr>
      <w:tr w:rsidR="003A6D8B" w:rsidRPr="0071782F">
        <w:tc>
          <w:tcPr>
            <w:tcW w:w="3458" w:type="dxa"/>
            <w:tcBorders>
              <w:top w:val="nil"/>
              <w:bottom w:val="single" w:sz="12" w:space="0" w:color="auto"/>
            </w:tcBorders>
            <w:shd w:val="clear" w:color="auto" w:fill="auto"/>
            <w:vAlign w:val="bottom"/>
          </w:tcPr>
          <w:p w:rsidR="003A6D8B" w:rsidRPr="0071782F" w:rsidRDefault="003A6D8B" w:rsidP="00C232FA">
            <w:pPr>
              <w:suppressAutoHyphens w:val="0"/>
              <w:spacing w:before="40" w:after="40" w:line="220" w:lineRule="exact"/>
              <w:rPr>
                <w:sz w:val="18"/>
                <w:lang w:val="fr-CH"/>
              </w:rPr>
            </w:pPr>
            <w:r w:rsidRPr="0071782F">
              <w:rPr>
                <w:sz w:val="18"/>
                <w:lang w:val="fr-CH"/>
              </w:rPr>
              <w:t>Universit</w:t>
            </w:r>
            <w:r w:rsidR="00BD3839" w:rsidRPr="0071782F">
              <w:rPr>
                <w:sz w:val="18"/>
                <w:lang w:val="fr-CH"/>
              </w:rPr>
              <w:t>é</w:t>
            </w:r>
            <w:r w:rsidRPr="0071782F">
              <w:rPr>
                <w:sz w:val="18"/>
                <w:lang w:val="fr-CH"/>
              </w:rPr>
              <w:t>s</w:t>
            </w:r>
          </w:p>
        </w:tc>
        <w:tc>
          <w:tcPr>
            <w:tcW w:w="1903" w:type="dxa"/>
            <w:tcBorders>
              <w:top w:val="nil"/>
              <w:bottom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52</w:t>
            </w:r>
          </w:p>
        </w:tc>
        <w:tc>
          <w:tcPr>
            <w:tcW w:w="2009" w:type="dxa"/>
            <w:tcBorders>
              <w:top w:val="nil"/>
              <w:bottom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89</w:t>
            </w:r>
          </w:p>
        </w:tc>
      </w:tr>
    </w:tbl>
    <w:p w:rsidR="003A6D8B" w:rsidRPr="0071782F" w:rsidRDefault="003A6D8B" w:rsidP="003A6D8B">
      <w:pPr>
        <w:pStyle w:val="H23G"/>
        <w:rPr>
          <w:lang w:val="fr-CH"/>
        </w:rPr>
      </w:pPr>
      <w:r w:rsidRPr="0071782F">
        <w:rPr>
          <w:lang w:val="fr-CH"/>
        </w:rPr>
        <w:tab/>
      </w:r>
      <w:r w:rsidRPr="0071782F">
        <w:rPr>
          <w:lang w:val="fr-CH"/>
        </w:rPr>
        <w:tab/>
      </w:r>
      <w:r w:rsidR="00BD3839" w:rsidRPr="0071782F">
        <w:rPr>
          <w:lang w:val="fr-CH"/>
        </w:rPr>
        <w:t xml:space="preserve">Résultats quantitatifs obtenus dans les provinces par les programmes de prévention axée sur la collectivité (2006)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66"/>
        <w:gridCol w:w="1658"/>
        <w:gridCol w:w="1483"/>
        <w:gridCol w:w="1463"/>
      </w:tblGrid>
      <w:tr w:rsidR="003A6D8B" w:rsidRPr="0071782F">
        <w:trPr>
          <w:tblHeader/>
        </w:trPr>
        <w:tc>
          <w:tcPr>
            <w:tcW w:w="2766" w:type="dxa"/>
            <w:tcBorders>
              <w:top w:val="single" w:sz="4" w:space="0" w:color="auto"/>
              <w:bottom w:val="single" w:sz="12" w:space="0" w:color="auto"/>
            </w:tcBorders>
            <w:shd w:val="clear" w:color="auto" w:fill="auto"/>
            <w:vAlign w:val="bottom"/>
          </w:tcPr>
          <w:p w:rsidR="003A6D8B" w:rsidRPr="0071782F" w:rsidRDefault="00BD3839" w:rsidP="00C232FA">
            <w:pPr>
              <w:suppressAutoHyphens w:val="0"/>
              <w:spacing w:before="80" w:after="80" w:line="200" w:lineRule="exact"/>
              <w:rPr>
                <w:i/>
                <w:sz w:val="16"/>
                <w:lang w:val="fr-CH"/>
              </w:rPr>
            </w:pPr>
            <w:r w:rsidRPr="0071782F">
              <w:rPr>
                <w:i/>
                <w:sz w:val="16"/>
                <w:lang w:val="fr-CH"/>
              </w:rPr>
              <w:t>Petite communauté</w:t>
            </w:r>
          </w:p>
        </w:tc>
        <w:tc>
          <w:tcPr>
            <w:tcW w:w="1658" w:type="dxa"/>
            <w:tcBorders>
              <w:top w:val="single" w:sz="4" w:space="0" w:color="auto"/>
              <w:bottom w:val="single" w:sz="12" w:space="0" w:color="auto"/>
            </w:tcBorders>
            <w:shd w:val="clear" w:color="auto" w:fill="auto"/>
            <w:vAlign w:val="bottom"/>
          </w:tcPr>
          <w:p w:rsidR="003A6D8B" w:rsidRPr="0071782F" w:rsidRDefault="00BD3839" w:rsidP="00C232FA">
            <w:pPr>
              <w:suppressAutoHyphens w:val="0"/>
              <w:spacing w:before="80" w:after="80" w:line="200" w:lineRule="exact"/>
              <w:jc w:val="right"/>
              <w:rPr>
                <w:i/>
                <w:sz w:val="16"/>
                <w:lang w:val="fr-CH"/>
              </w:rPr>
            </w:pPr>
            <w:r w:rsidRPr="0071782F">
              <w:rPr>
                <w:i/>
                <w:sz w:val="16"/>
                <w:lang w:val="fr-CH"/>
              </w:rPr>
              <w:t>Nombre de petites communautés prises en charge</w:t>
            </w:r>
          </w:p>
        </w:tc>
        <w:tc>
          <w:tcPr>
            <w:tcW w:w="1483" w:type="dxa"/>
            <w:tcBorders>
              <w:top w:val="single" w:sz="4" w:space="0" w:color="auto"/>
              <w:bottom w:val="single" w:sz="12" w:space="0" w:color="auto"/>
            </w:tcBorders>
            <w:shd w:val="clear" w:color="auto" w:fill="auto"/>
            <w:vAlign w:val="bottom"/>
          </w:tcPr>
          <w:p w:rsidR="003A6D8B" w:rsidRPr="0071782F" w:rsidRDefault="00BD3839" w:rsidP="00C232FA">
            <w:pPr>
              <w:suppressAutoHyphens w:val="0"/>
              <w:spacing w:before="80" w:after="80" w:line="200" w:lineRule="exact"/>
              <w:jc w:val="right"/>
              <w:rPr>
                <w:i/>
                <w:sz w:val="16"/>
                <w:lang w:val="fr-CH"/>
              </w:rPr>
            </w:pPr>
            <w:r w:rsidRPr="0071782F">
              <w:rPr>
                <w:i/>
                <w:sz w:val="16"/>
                <w:lang w:val="fr-CH"/>
              </w:rPr>
              <w:t>Nombre d’équipes (groupes communautaires)</w:t>
            </w:r>
          </w:p>
        </w:tc>
        <w:tc>
          <w:tcPr>
            <w:tcW w:w="1463" w:type="dxa"/>
            <w:tcBorders>
              <w:top w:val="single" w:sz="4" w:space="0" w:color="auto"/>
              <w:bottom w:val="single" w:sz="12" w:space="0" w:color="auto"/>
            </w:tcBorders>
            <w:shd w:val="clear" w:color="auto" w:fill="auto"/>
            <w:vAlign w:val="bottom"/>
          </w:tcPr>
          <w:p w:rsidR="003A6D8B" w:rsidRPr="0071782F" w:rsidRDefault="003A6D8B" w:rsidP="00934656">
            <w:pPr>
              <w:suppressAutoHyphens w:val="0"/>
              <w:spacing w:before="80" w:after="80" w:line="200" w:lineRule="exact"/>
              <w:jc w:val="right"/>
              <w:rPr>
                <w:i/>
                <w:sz w:val="16"/>
                <w:lang w:val="fr-CH"/>
              </w:rPr>
            </w:pPr>
            <w:r w:rsidRPr="0071782F">
              <w:rPr>
                <w:i/>
                <w:sz w:val="16"/>
                <w:lang w:val="fr-CH"/>
              </w:rPr>
              <w:t xml:space="preserve">Population </w:t>
            </w:r>
            <w:r w:rsidR="00BD3839" w:rsidRPr="0071782F">
              <w:rPr>
                <w:i/>
                <w:sz w:val="16"/>
                <w:lang w:val="fr-CH"/>
              </w:rPr>
              <w:t>prise</w:t>
            </w:r>
            <w:r w:rsidR="00152CC0">
              <w:rPr>
                <w:i/>
                <w:sz w:val="16"/>
                <w:lang w:val="fr-CH"/>
              </w:rPr>
              <w:br/>
            </w:r>
            <w:r w:rsidR="00BD3839" w:rsidRPr="0071782F">
              <w:rPr>
                <w:i/>
                <w:sz w:val="16"/>
                <w:lang w:val="fr-CH"/>
              </w:rPr>
              <w:t>en charge</w:t>
            </w:r>
          </w:p>
        </w:tc>
      </w:tr>
      <w:tr w:rsidR="003A6D8B" w:rsidRPr="0071782F">
        <w:tc>
          <w:tcPr>
            <w:tcW w:w="2766" w:type="dxa"/>
            <w:tcBorders>
              <w:top w:val="single" w:sz="12" w:space="0" w:color="auto"/>
            </w:tcBorders>
            <w:shd w:val="clear" w:color="auto" w:fill="auto"/>
            <w:vAlign w:val="bottom"/>
          </w:tcPr>
          <w:p w:rsidR="003A6D8B" w:rsidRPr="0071782F" w:rsidRDefault="00BD3839" w:rsidP="00EB04F0">
            <w:pPr>
              <w:suppressAutoHyphens w:val="0"/>
              <w:spacing w:before="40" w:after="40" w:line="220" w:lineRule="exact"/>
              <w:rPr>
                <w:sz w:val="18"/>
                <w:lang w:val="fr-CH"/>
              </w:rPr>
            </w:pPr>
            <w:r w:rsidRPr="0071782F">
              <w:rPr>
                <w:sz w:val="18"/>
                <w:lang w:val="fr-CH"/>
              </w:rPr>
              <w:t>Quartiers urbains</w:t>
            </w:r>
          </w:p>
        </w:tc>
        <w:tc>
          <w:tcPr>
            <w:tcW w:w="1658" w:type="dxa"/>
            <w:tcBorders>
              <w:top w:val="single" w:sz="12" w:space="0" w:color="auto"/>
            </w:tcBorders>
            <w:shd w:val="clear" w:color="auto" w:fill="auto"/>
            <w:vAlign w:val="bottom"/>
          </w:tcPr>
          <w:p w:rsidR="003A6D8B" w:rsidRPr="0071782F" w:rsidRDefault="003A6D8B" w:rsidP="00EB04F0">
            <w:pPr>
              <w:suppressAutoHyphens w:val="0"/>
              <w:spacing w:before="40" w:after="40" w:line="220" w:lineRule="exact"/>
              <w:jc w:val="right"/>
              <w:rPr>
                <w:sz w:val="18"/>
                <w:lang w:val="fr-CH"/>
              </w:rPr>
            </w:pPr>
            <w:r w:rsidRPr="0071782F">
              <w:rPr>
                <w:sz w:val="18"/>
                <w:lang w:val="fr-CH"/>
              </w:rPr>
              <w:t>326</w:t>
            </w:r>
          </w:p>
        </w:tc>
        <w:tc>
          <w:tcPr>
            <w:tcW w:w="1483" w:type="dxa"/>
            <w:tcBorders>
              <w:top w:val="single" w:sz="12" w:space="0" w:color="auto"/>
            </w:tcBorders>
            <w:shd w:val="clear" w:color="auto" w:fill="auto"/>
            <w:vAlign w:val="bottom"/>
          </w:tcPr>
          <w:p w:rsidR="003A6D8B" w:rsidRPr="0071782F" w:rsidRDefault="003A6D8B" w:rsidP="00EB04F0">
            <w:pPr>
              <w:suppressAutoHyphens w:val="0"/>
              <w:spacing w:before="40" w:after="40" w:line="220" w:lineRule="exact"/>
              <w:jc w:val="right"/>
              <w:rPr>
                <w:sz w:val="18"/>
                <w:lang w:val="fr-CH"/>
              </w:rPr>
            </w:pPr>
            <w:r w:rsidRPr="0071782F">
              <w:rPr>
                <w:sz w:val="18"/>
                <w:lang w:val="fr-CH"/>
              </w:rPr>
              <w:t>496</w:t>
            </w:r>
          </w:p>
        </w:tc>
        <w:tc>
          <w:tcPr>
            <w:tcW w:w="1463" w:type="dxa"/>
            <w:tcBorders>
              <w:top w:val="single" w:sz="12" w:space="0" w:color="auto"/>
            </w:tcBorders>
            <w:shd w:val="clear" w:color="auto" w:fill="auto"/>
            <w:vAlign w:val="bottom"/>
          </w:tcPr>
          <w:p w:rsidR="003A6D8B" w:rsidRPr="0071782F" w:rsidRDefault="003A6D8B" w:rsidP="00EB04F0">
            <w:pPr>
              <w:suppressAutoHyphens w:val="0"/>
              <w:spacing w:before="40" w:after="40" w:line="220" w:lineRule="exact"/>
              <w:jc w:val="right"/>
              <w:rPr>
                <w:sz w:val="18"/>
                <w:lang w:val="fr-CH"/>
              </w:rPr>
            </w:pPr>
            <w:r w:rsidRPr="0071782F">
              <w:rPr>
                <w:sz w:val="18"/>
                <w:lang w:val="fr-CH"/>
              </w:rPr>
              <w:t>2 056 232</w:t>
            </w:r>
          </w:p>
        </w:tc>
      </w:tr>
      <w:tr w:rsidR="003A6D8B" w:rsidRPr="0071782F">
        <w:tc>
          <w:tcPr>
            <w:tcW w:w="2766" w:type="dxa"/>
            <w:shd w:val="clear" w:color="auto" w:fill="auto"/>
            <w:vAlign w:val="bottom"/>
          </w:tcPr>
          <w:p w:rsidR="003A6D8B" w:rsidRPr="0071782F" w:rsidRDefault="00BD3839" w:rsidP="00EB04F0">
            <w:pPr>
              <w:suppressAutoHyphens w:val="0"/>
              <w:spacing w:before="40" w:after="40" w:line="220" w:lineRule="exact"/>
              <w:rPr>
                <w:sz w:val="18"/>
                <w:lang w:val="fr-CH"/>
              </w:rPr>
            </w:pPr>
            <w:r w:rsidRPr="0071782F">
              <w:rPr>
                <w:sz w:val="18"/>
                <w:lang w:val="fr-CH"/>
              </w:rPr>
              <w:t>Quartiers ruraux</w:t>
            </w:r>
          </w:p>
        </w:tc>
        <w:tc>
          <w:tcPr>
            <w:tcW w:w="1658" w:type="dxa"/>
            <w:shd w:val="clear" w:color="auto" w:fill="auto"/>
            <w:vAlign w:val="bottom"/>
          </w:tcPr>
          <w:p w:rsidR="003A6D8B" w:rsidRPr="0071782F" w:rsidRDefault="003A6D8B" w:rsidP="00EB04F0">
            <w:pPr>
              <w:suppressAutoHyphens w:val="0"/>
              <w:spacing w:before="40" w:after="40" w:line="220" w:lineRule="exact"/>
              <w:jc w:val="right"/>
              <w:rPr>
                <w:sz w:val="18"/>
                <w:lang w:val="fr-CH"/>
              </w:rPr>
            </w:pPr>
            <w:r w:rsidRPr="0071782F">
              <w:rPr>
                <w:sz w:val="18"/>
                <w:lang w:val="fr-CH"/>
              </w:rPr>
              <w:t>202</w:t>
            </w:r>
          </w:p>
        </w:tc>
        <w:tc>
          <w:tcPr>
            <w:tcW w:w="1483" w:type="dxa"/>
            <w:shd w:val="clear" w:color="auto" w:fill="auto"/>
            <w:vAlign w:val="bottom"/>
          </w:tcPr>
          <w:p w:rsidR="003A6D8B" w:rsidRPr="0071782F" w:rsidRDefault="003A6D8B" w:rsidP="00EB04F0">
            <w:pPr>
              <w:suppressAutoHyphens w:val="0"/>
              <w:spacing w:before="40" w:after="40" w:line="220" w:lineRule="exact"/>
              <w:jc w:val="right"/>
              <w:rPr>
                <w:sz w:val="18"/>
                <w:lang w:val="fr-CH"/>
              </w:rPr>
            </w:pPr>
            <w:r w:rsidRPr="0071782F">
              <w:rPr>
                <w:sz w:val="18"/>
                <w:lang w:val="fr-CH"/>
              </w:rPr>
              <w:t>255</w:t>
            </w:r>
          </w:p>
        </w:tc>
        <w:tc>
          <w:tcPr>
            <w:tcW w:w="1463" w:type="dxa"/>
            <w:shd w:val="clear" w:color="auto" w:fill="auto"/>
            <w:vAlign w:val="bottom"/>
          </w:tcPr>
          <w:p w:rsidR="003A6D8B" w:rsidRPr="0071782F" w:rsidRDefault="003A6D8B" w:rsidP="00EB04F0">
            <w:pPr>
              <w:suppressAutoHyphens w:val="0"/>
              <w:spacing w:before="40" w:after="40" w:line="220" w:lineRule="exact"/>
              <w:jc w:val="right"/>
              <w:rPr>
                <w:sz w:val="18"/>
                <w:lang w:val="fr-CH"/>
              </w:rPr>
            </w:pPr>
            <w:r w:rsidRPr="0071782F">
              <w:rPr>
                <w:sz w:val="18"/>
                <w:lang w:val="fr-CH"/>
              </w:rPr>
              <w:t>532 117</w:t>
            </w:r>
          </w:p>
        </w:tc>
      </w:tr>
      <w:tr w:rsidR="003A6D8B" w:rsidRPr="0071782F">
        <w:tc>
          <w:tcPr>
            <w:tcW w:w="2766" w:type="dxa"/>
            <w:shd w:val="clear" w:color="auto" w:fill="auto"/>
            <w:vAlign w:val="bottom"/>
          </w:tcPr>
          <w:p w:rsidR="003A6D8B" w:rsidRPr="0071782F" w:rsidRDefault="00BD3839" w:rsidP="00EB04F0">
            <w:pPr>
              <w:suppressAutoHyphens w:val="0"/>
              <w:spacing w:before="40" w:after="40" w:line="220" w:lineRule="exact"/>
              <w:rPr>
                <w:sz w:val="18"/>
                <w:lang w:val="fr-CH"/>
              </w:rPr>
            </w:pPr>
            <w:r w:rsidRPr="0071782F">
              <w:rPr>
                <w:sz w:val="18"/>
                <w:lang w:val="fr-CH"/>
              </w:rPr>
              <w:t>Environnements professionnels</w:t>
            </w:r>
          </w:p>
        </w:tc>
        <w:tc>
          <w:tcPr>
            <w:tcW w:w="1658" w:type="dxa"/>
            <w:shd w:val="clear" w:color="auto" w:fill="auto"/>
            <w:vAlign w:val="bottom"/>
          </w:tcPr>
          <w:p w:rsidR="003A6D8B" w:rsidRPr="0071782F" w:rsidRDefault="003A6D8B" w:rsidP="00EB04F0">
            <w:pPr>
              <w:suppressAutoHyphens w:val="0"/>
              <w:spacing w:before="40" w:after="40" w:line="220" w:lineRule="exact"/>
              <w:jc w:val="right"/>
              <w:rPr>
                <w:sz w:val="18"/>
                <w:lang w:val="fr-CH"/>
              </w:rPr>
            </w:pPr>
            <w:r w:rsidRPr="0071782F">
              <w:rPr>
                <w:sz w:val="18"/>
                <w:lang w:val="fr-CH"/>
              </w:rPr>
              <w:t>207</w:t>
            </w:r>
          </w:p>
        </w:tc>
        <w:tc>
          <w:tcPr>
            <w:tcW w:w="1483" w:type="dxa"/>
            <w:shd w:val="clear" w:color="auto" w:fill="auto"/>
            <w:vAlign w:val="bottom"/>
          </w:tcPr>
          <w:p w:rsidR="003A6D8B" w:rsidRPr="0071782F" w:rsidRDefault="003A6D8B" w:rsidP="00EB04F0">
            <w:pPr>
              <w:suppressAutoHyphens w:val="0"/>
              <w:spacing w:before="40" w:after="40" w:line="220" w:lineRule="exact"/>
              <w:jc w:val="right"/>
              <w:rPr>
                <w:sz w:val="18"/>
                <w:lang w:val="fr-CH"/>
              </w:rPr>
            </w:pPr>
            <w:r w:rsidRPr="0071782F">
              <w:rPr>
                <w:sz w:val="18"/>
                <w:lang w:val="fr-CH"/>
              </w:rPr>
              <w:t>266</w:t>
            </w:r>
          </w:p>
        </w:tc>
        <w:tc>
          <w:tcPr>
            <w:tcW w:w="1463" w:type="dxa"/>
            <w:shd w:val="clear" w:color="auto" w:fill="auto"/>
            <w:vAlign w:val="bottom"/>
          </w:tcPr>
          <w:p w:rsidR="003A6D8B" w:rsidRPr="0071782F" w:rsidRDefault="003A6D8B" w:rsidP="00EB04F0">
            <w:pPr>
              <w:suppressAutoHyphens w:val="0"/>
              <w:spacing w:before="40" w:after="40" w:line="220" w:lineRule="exact"/>
              <w:jc w:val="right"/>
              <w:rPr>
                <w:sz w:val="18"/>
                <w:lang w:val="fr-CH"/>
              </w:rPr>
            </w:pPr>
            <w:r w:rsidRPr="0071782F">
              <w:rPr>
                <w:sz w:val="18"/>
                <w:lang w:val="fr-CH"/>
              </w:rPr>
              <w:t>197 939</w:t>
            </w:r>
          </w:p>
        </w:tc>
      </w:tr>
      <w:tr w:rsidR="003A6D8B" w:rsidRPr="0071782F">
        <w:tc>
          <w:tcPr>
            <w:tcW w:w="2766" w:type="dxa"/>
            <w:tcBorders>
              <w:bottom w:val="nil"/>
            </w:tcBorders>
            <w:shd w:val="clear" w:color="auto" w:fill="auto"/>
            <w:vAlign w:val="bottom"/>
          </w:tcPr>
          <w:p w:rsidR="003A6D8B" w:rsidRPr="0071782F" w:rsidRDefault="00BD3839" w:rsidP="00EB04F0">
            <w:pPr>
              <w:suppressAutoHyphens w:val="0"/>
              <w:spacing w:before="40" w:after="40" w:line="220" w:lineRule="exact"/>
              <w:rPr>
                <w:sz w:val="18"/>
                <w:lang w:val="fr-CH"/>
              </w:rPr>
            </w:pPr>
            <w:r w:rsidRPr="0071782F">
              <w:rPr>
                <w:sz w:val="18"/>
                <w:lang w:val="fr-CH"/>
              </w:rPr>
              <w:t>Environnements éducatifs</w:t>
            </w:r>
          </w:p>
        </w:tc>
        <w:tc>
          <w:tcPr>
            <w:tcW w:w="1658" w:type="dxa"/>
            <w:tcBorders>
              <w:bottom w:val="nil"/>
            </w:tcBorders>
            <w:shd w:val="clear" w:color="auto" w:fill="auto"/>
            <w:vAlign w:val="bottom"/>
          </w:tcPr>
          <w:p w:rsidR="003A6D8B" w:rsidRPr="0071782F" w:rsidRDefault="003A6D8B" w:rsidP="00EB04F0">
            <w:pPr>
              <w:suppressAutoHyphens w:val="0"/>
              <w:spacing w:before="40" w:after="40" w:line="220" w:lineRule="exact"/>
              <w:jc w:val="right"/>
              <w:rPr>
                <w:sz w:val="18"/>
                <w:lang w:val="fr-CH"/>
              </w:rPr>
            </w:pPr>
          </w:p>
        </w:tc>
        <w:tc>
          <w:tcPr>
            <w:tcW w:w="1483" w:type="dxa"/>
            <w:tcBorders>
              <w:bottom w:val="nil"/>
            </w:tcBorders>
            <w:shd w:val="clear" w:color="auto" w:fill="auto"/>
            <w:vAlign w:val="bottom"/>
          </w:tcPr>
          <w:p w:rsidR="003A6D8B" w:rsidRPr="0071782F" w:rsidRDefault="003A6D8B" w:rsidP="00EB04F0">
            <w:pPr>
              <w:suppressAutoHyphens w:val="0"/>
              <w:spacing w:before="40" w:after="40" w:line="220" w:lineRule="exact"/>
              <w:jc w:val="right"/>
              <w:rPr>
                <w:sz w:val="18"/>
                <w:lang w:val="fr-CH"/>
              </w:rPr>
            </w:pPr>
          </w:p>
        </w:tc>
        <w:tc>
          <w:tcPr>
            <w:tcW w:w="1463" w:type="dxa"/>
            <w:tcBorders>
              <w:bottom w:val="nil"/>
            </w:tcBorders>
            <w:shd w:val="clear" w:color="auto" w:fill="auto"/>
            <w:vAlign w:val="bottom"/>
          </w:tcPr>
          <w:p w:rsidR="003A6D8B" w:rsidRPr="0071782F" w:rsidRDefault="003A6D8B" w:rsidP="00EB04F0">
            <w:pPr>
              <w:suppressAutoHyphens w:val="0"/>
              <w:spacing w:before="40" w:after="40" w:line="220" w:lineRule="exact"/>
              <w:jc w:val="right"/>
              <w:rPr>
                <w:sz w:val="18"/>
                <w:lang w:val="fr-CH"/>
              </w:rPr>
            </w:pPr>
          </w:p>
        </w:tc>
      </w:tr>
      <w:tr w:rsidR="003A6D8B" w:rsidRPr="0071782F">
        <w:tc>
          <w:tcPr>
            <w:tcW w:w="2766" w:type="dxa"/>
            <w:tcBorders>
              <w:top w:val="nil"/>
              <w:bottom w:val="nil"/>
            </w:tcBorders>
            <w:shd w:val="clear" w:color="auto" w:fill="auto"/>
            <w:vAlign w:val="bottom"/>
          </w:tcPr>
          <w:p w:rsidR="003A6D8B" w:rsidRPr="0071782F" w:rsidRDefault="00BD3839" w:rsidP="00EB04F0">
            <w:pPr>
              <w:pStyle w:val="Bullet1G"/>
              <w:tabs>
                <w:tab w:val="clear" w:pos="1701"/>
                <w:tab w:val="left" w:pos="366"/>
              </w:tabs>
              <w:spacing w:before="20" w:after="20"/>
              <w:ind w:left="366" w:right="0" w:hanging="253"/>
              <w:jc w:val="left"/>
              <w:rPr>
                <w:lang w:val="fr-CH"/>
              </w:rPr>
            </w:pPr>
            <w:r w:rsidRPr="0071782F">
              <w:rPr>
                <w:sz w:val="18"/>
                <w:lang w:val="fr-CH"/>
              </w:rPr>
              <w:t>Jardins d’enfants, centres préscolaires</w:t>
            </w:r>
          </w:p>
        </w:tc>
        <w:tc>
          <w:tcPr>
            <w:tcW w:w="1658" w:type="dxa"/>
            <w:vMerge w:val="restart"/>
            <w:tcBorders>
              <w:top w:val="nil"/>
              <w:bottom w:val="nil"/>
            </w:tcBorders>
            <w:shd w:val="clear" w:color="auto" w:fill="auto"/>
            <w:vAlign w:val="bottom"/>
          </w:tcPr>
          <w:p w:rsidR="003A6D8B" w:rsidRPr="0071782F" w:rsidRDefault="003A6D8B" w:rsidP="00EB04F0">
            <w:pPr>
              <w:spacing w:before="20" w:after="20" w:line="220" w:lineRule="exact"/>
              <w:jc w:val="right"/>
              <w:rPr>
                <w:sz w:val="18"/>
                <w:lang w:val="fr-CH"/>
              </w:rPr>
            </w:pPr>
            <w:r w:rsidRPr="0071782F">
              <w:rPr>
                <w:sz w:val="18"/>
                <w:lang w:val="fr-CH"/>
              </w:rPr>
              <w:t>825</w:t>
            </w:r>
          </w:p>
        </w:tc>
        <w:tc>
          <w:tcPr>
            <w:tcW w:w="1483" w:type="dxa"/>
            <w:vMerge w:val="restart"/>
            <w:tcBorders>
              <w:top w:val="nil"/>
              <w:bottom w:val="nil"/>
            </w:tcBorders>
            <w:shd w:val="clear" w:color="auto" w:fill="auto"/>
            <w:vAlign w:val="bottom"/>
          </w:tcPr>
          <w:p w:rsidR="003A6D8B" w:rsidRPr="0071782F" w:rsidRDefault="003A6D8B" w:rsidP="00EB04F0">
            <w:pPr>
              <w:spacing w:before="20" w:after="20" w:line="220" w:lineRule="exact"/>
              <w:jc w:val="right"/>
              <w:rPr>
                <w:sz w:val="18"/>
                <w:lang w:val="fr-CH"/>
              </w:rPr>
            </w:pPr>
            <w:r w:rsidRPr="0071782F">
              <w:rPr>
                <w:sz w:val="18"/>
                <w:lang w:val="fr-CH"/>
              </w:rPr>
              <w:t>1 179</w:t>
            </w:r>
          </w:p>
        </w:tc>
        <w:tc>
          <w:tcPr>
            <w:tcW w:w="1463" w:type="dxa"/>
            <w:vMerge w:val="restart"/>
            <w:tcBorders>
              <w:top w:val="nil"/>
              <w:bottom w:val="nil"/>
            </w:tcBorders>
            <w:shd w:val="clear" w:color="auto" w:fill="auto"/>
            <w:vAlign w:val="bottom"/>
          </w:tcPr>
          <w:p w:rsidR="003A6D8B" w:rsidRPr="0071782F" w:rsidRDefault="003A6D8B" w:rsidP="00EB04F0">
            <w:pPr>
              <w:spacing w:before="20" w:after="20" w:line="220" w:lineRule="exact"/>
              <w:jc w:val="right"/>
              <w:rPr>
                <w:sz w:val="18"/>
                <w:lang w:val="fr-CH"/>
              </w:rPr>
            </w:pPr>
            <w:r w:rsidRPr="0071782F">
              <w:rPr>
                <w:sz w:val="18"/>
                <w:lang w:val="fr-CH"/>
              </w:rPr>
              <w:t>342 323</w:t>
            </w:r>
          </w:p>
        </w:tc>
      </w:tr>
      <w:tr w:rsidR="003A6D8B" w:rsidRPr="0071782F">
        <w:tc>
          <w:tcPr>
            <w:tcW w:w="2766" w:type="dxa"/>
            <w:tcBorders>
              <w:top w:val="nil"/>
              <w:bottom w:val="nil"/>
            </w:tcBorders>
            <w:shd w:val="clear" w:color="auto" w:fill="auto"/>
            <w:vAlign w:val="bottom"/>
          </w:tcPr>
          <w:p w:rsidR="003A6D8B" w:rsidRPr="0071782F" w:rsidRDefault="00BD3839" w:rsidP="00EB04F0">
            <w:pPr>
              <w:pStyle w:val="Bullet1G"/>
              <w:tabs>
                <w:tab w:val="clear" w:pos="1701"/>
                <w:tab w:val="left" w:pos="366"/>
              </w:tabs>
              <w:spacing w:before="20" w:after="20"/>
              <w:ind w:left="311" w:right="0" w:hanging="198"/>
              <w:jc w:val="left"/>
              <w:rPr>
                <w:sz w:val="18"/>
                <w:lang w:val="fr-CH"/>
              </w:rPr>
            </w:pPr>
            <w:r w:rsidRPr="0071782F">
              <w:rPr>
                <w:sz w:val="18"/>
                <w:lang w:val="fr-CH"/>
              </w:rPr>
              <w:t>Écoles primaires</w:t>
            </w:r>
          </w:p>
        </w:tc>
        <w:tc>
          <w:tcPr>
            <w:tcW w:w="1658" w:type="dxa"/>
            <w:vMerge/>
            <w:tcBorders>
              <w:top w:val="nil"/>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p>
        </w:tc>
        <w:tc>
          <w:tcPr>
            <w:tcW w:w="1483" w:type="dxa"/>
            <w:vMerge/>
            <w:tcBorders>
              <w:top w:val="nil"/>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p>
        </w:tc>
        <w:tc>
          <w:tcPr>
            <w:tcW w:w="1463" w:type="dxa"/>
            <w:vMerge/>
            <w:tcBorders>
              <w:top w:val="nil"/>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p>
        </w:tc>
      </w:tr>
      <w:tr w:rsidR="003A6D8B" w:rsidRPr="0071782F">
        <w:tc>
          <w:tcPr>
            <w:tcW w:w="2766" w:type="dxa"/>
            <w:tcBorders>
              <w:top w:val="nil"/>
              <w:bottom w:val="nil"/>
            </w:tcBorders>
            <w:shd w:val="clear" w:color="auto" w:fill="auto"/>
            <w:vAlign w:val="bottom"/>
          </w:tcPr>
          <w:p w:rsidR="003A6D8B" w:rsidRPr="0071782F" w:rsidRDefault="00BD3839" w:rsidP="00EB04F0">
            <w:pPr>
              <w:pStyle w:val="Bullet1G"/>
              <w:tabs>
                <w:tab w:val="clear" w:pos="1701"/>
                <w:tab w:val="left" w:pos="366"/>
              </w:tabs>
              <w:spacing w:before="20" w:after="20"/>
              <w:ind w:left="366" w:right="0" w:hanging="253"/>
              <w:jc w:val="left"/>
              <w:rPr>
                <w:sz w:val="18"/>
                <w:lang w:val="fr-CH"/>
              </w:rPr>
            </w:pPr>
            <w:r w:rsidRPr="0071782F">
              <w:rPr>
                <w:sz w:val="18"/>
                <w:lang w:val="fr-CH"/>
              </w:rPr>
              <w:t>Établissement</w:t>
            </w:r>
            <w:r w:rsidR="0052656C" w:rsidRPr="0071782F">
              <w:rPr>
                <w:sz w:val="18"/>
                <w:lang w:val="fr-CH"/>
              </w:rPr>
              <w:t>s</w:t>
            </w:r>
            <w:r w:rsidRPr="0071782F">
              <w:rPr>
                <w:sz w:val="18"/>
                <w:lang w:val="fr-CH"/>
              </w:rPr>
              <w:t xml:space="preserve"> d’enseignement secondaire du premier cycle</w:t>
            </w:r>
          </w:p>
        </w:tc>
        <w:tc>
          <w:tcPr>
            <w:tcW w:w="1658" w:type="dxa"/>
            <w:vMerge/>
            <w:tcBorders>
              <w:top w:val="nil"/>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p>
        </w:tc>
        <w:tc>
          <w:tcPr>
            <w:tcW w:w="1483" w:type="dxa"/>
            <w:vMerge/>
            <w:tcBorders>
              <w:top w:val="nil"/>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p>
        </w:tc>
        <w:tc>
          <w:tcPr>
            <w:tcW w:w="1463" w:type="dxa"/>
            <w:vMerge/>
            <w:tcBorders>
              <w:top w:val="nil"/>
              <w:bottom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p>
        </w:tc>
      </w:tr>
      <w:tr w:rsidR="003A6D8B" w:rsidRPr="0071782F">
        <w:tc>
          <w:tcPr>
            <w:tcW w:w="2766" w:type="dxa"/>
            <w:tcBorders>
              <w:top w:val="nil"/>
            </w:tcBorders>
            <w:shd w:val="clear" w:color="auto" w:fill="auto"/>
            <w:vAlign w:val="bottom"/>
          </w:tcPr>
          <w:p w:rsidR="003A6D8B" w:rsidRPr="0071782F" w:rsidRDefault="00BD3839" w:rsidP="00EB04F0">
            <w:pPr>
              <w:pStyle w:val="Bullet1G"/>
              <w:tabs>
                <w:tab w:val="clear" w:pos="1701"/>
                <w:tab w:val="left" w:pos="366"/>
              </w:tabs>
              <w:spacing w:before="20" w:after="20"/>
              <w:ind w:left="366" w:right="0" w:hanging="253"/>
              <w:jc w:val="left"/>
              <w:rPr>
                <w:sz w:val="18"/>
                <w:lang w:val="fr-CH"/>
              </w:rPr>
            </w:pPr>
            <w:r w:rsidRPr="0071782F">
              <w:rPr>
                <w:sz w:val="18"/>
                <w:lang w:val="fr-CH"/>
              </w:rPr>
              <w:t>Établissement</w:t>
            </w:r>
            <w:r w:rsidR="0052656C" w:rsidRPr="0071782F">
              <w:rPr>
                <w:sz w:val="18"/>
                <w:lang w:val="fr-CH"/>
              </w:rPr>
              <w:t>s</w:t>
            </w:r>
            <w:r w:rsidRPr="0071782F">
              <w:rPr>
                <w:sz w:val="18"/>
                <w:lang w:val="fr-CH"/>
              </w:rPr>
              <w:t xml:space="preserve"> d’enseignement secondaire du second cycle</w:t>
            </w:r>
          </w:p>
        </w:tc>
        <w:tc>
          <w:tcPr>
            <w:tcW w:w="1658" w:type="dxa"/>
            <w:vMerge/>
            <w:tcBorders>
              <w:top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p>
        </w:tc>
        <w:tc>
          <w:tcPr>
            <w:tcW w:w="1483" w:type="dxa"/>
            <w:vMerge/>
            <w:tcBorders>
              <w:top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p>
        </w:tc>
        <w:tc>
          <w:tcPr>
            <w:tcW w:w="1463" w:type="dxa"/>
            <w:vMerge/>
            <w:tcBorders>
              <w:top w:val="nil"/>
            </w:tcBorders>
            <w:shd w:val="clear" w:color="auto" w:fill="auto"/>
            <w:vAlign w:val="bottom"/>
          </w:tcPr>
          <w:p w:rsidR="003A6D8B" w:rsidRPr="0071782F" w:rsidRDefault="003A6D8B" w:rsidP="00EB04F0">
            <w:pPr>
              <w:suppressAutoHyphens w:val="0"/>
              <w:spacing w:before="20" w:after="20" w:line="220" w:lineRule="exact"/>
              <w:jc w:val="right"/>
              <w:rPr>
                <w:sz w:val="18"/>
                <w:lang w:val="fr-CH"/>
              </w:rPr>
            </w:pPr>
          </w:p>
        </w:tc>
      </w:tr>
      <w:tr w:rsidR="003A6D8B" w:rsidRPr="0071782F">
        <w:tc>
          <w:tcPr>
            <w:tcW w:w="2766" w:type="dxa"/>
            <w:tcBorders>
              <w:bottom w:val="single" w:sz="4" w:space="0" w:color="auto"/>
            </w:tcBorders>
            <w:shd w:val="clear" w:color="auto" w:fill="auto"/>
            <w:vAlign w:val="bottom"/>
          </w:tcPr>
          <w:p w:rsidR="003A6D8B" w:rsidRPr="0071782F" w:rsidRDefault="003A6D8B" w:rsidP="00C232FA">
            <w:pPr>
              <w:suppressAutoHyphens w:val="0"/>
              <w:spacing w:before="40" w:after="40" w:line="220" w:lineRule="exact"/>
              <w:rPr>
                <w:sz w:val="18"/>
                <w:lang w:val="fr-CH"/>
              </w:rPr>
            </w:pPr>
            <w:r w:rsidRPr="0071782F">
              <w:rPr>
                <w:sz w:val="18"/>
                <w:lang w:val="fr-CH"/>
              </w:rPr>
              <w:t>Universit</w:t>
            </w:r>
            <w:r w:rsidR="00BD3839" w:rsidRPr="0071782F">
              <w:rPr>
                <w:sz w:val="18"/>
                <w:lang w:val="fr-CH"/>
              </w:rPr>
              <w:t>é</w:t>
            </w:r>
            <w:r w:rsidRPr="0071782F">
              <w:rPr>
                <w:sz w:val="18"/>
                <w:lang w:val="fr-CH"/>
              </w:rPr>
              <w:t>s</w:t>
            </w:r>
          </w:p>
        </w:tc>
        <w:tc>
          <w:tcPr>
            <w:tcW w:w="1658" w:type="dxa"/>
            <w:tcBorders>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41</w:t>
            </w:r>
          </w:p>
        </w:tc>
        <w:tc>
          <w:tcPr>
            <w:tcW w:w="1483" w:type="dxa"/>
            <w:tcBorders>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49</w:t>
            </w:r>
          </w:p>
        </w:tc>
        <w:tc>
          <w:tcPr>
            <w:tcW w:w="1463" w:type="dxa"/>
            <w:tcBorders>
              <w:bottom w:val="single" w:sz="4"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132 133</w:t>
            </w:r>
          </w:p>
        </w:tc>
      </w:tr>
      <w:tr w:rsidR="003A6D8B" w:rsidRPr="0071782F">
        <w:tc>
          <w:tcPr>
            <w:tcW w:w="2766" w:type="dxa"/>
            <w:tcBorders>
              <w:top w:val="single" w:sz="4" w:space="0" w:color="auto"/>
              <w:bottom w:val="single" w:sz="12" w:space="0" w:color="auto"/>
            </w:tcBorders>
            <w:shd w:val="clear" w:color="auto" w:fill="auto"/>
            <w:vAlign w:val="bottom"/>
          </w:tcPr>
          <w:p w:rsidR="003A6D8B" w:rsidRPr="0071782F" w:rsidRDefault="003A6D8B" w:rsidP="00EB04F0">
            <w:pPr>
              <w:suppressAutoHyphens w:val="0"/>
              <w:spacing w:before="80" w:after="80" w:line="220" w:lineRule="exact"/>
              <w:ind w:left="284"/>
              <w:rPr>
                <w:b/>
                <w:sz w:val="18"/>
                <w:lang w:val="fr-CH"/>
              </w:rPr>
            </w:pPr>
            <w:r w:rsidRPr="0071782F">
              <w:rPr>
                <w:b/>
                <w:sz w:val="18"/>
                <w:lang w:val="fr-CH"/>
              </w:rPr>
              <w:t xml:space="preserve">Total </w:t>
            </w:r>
          </w:p>
        </w:tc>
        <w:tc>
          <w:tcPr>
            <w:tcW w:w="1658"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1 601</w:t>
            </w:r>
          </w:p>
        </w:tc>
        <w:tc>
          <w:tcPr>
            <w:tcW w:w="1483"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2 245</w:t>
            </w:r>
          </w:p>
        </w:tc>
        <w:tc>
          <w:tcPr>
            <w:tcW w:w="1463" w:type="dxa"/>
            <w:tcBorders>
              <w:top w:val="single" w:sz="4" w:space="0" w:color="auto"/>
              <w:bottom w:val="single" w:sz="12" w:space="0" w:color="auto"/>
            </w:tcBorders>
            <w:shd w:val="clear" w:color="auto" w:fill="auto"/>
            <w:vAlign w:val="bottom"/>
          </w:tcPr>
          <w:p w:rsidR="003A6D8B" w:rsidRPr="0071782F" w:rsidRDefault="003A6D8B" w:rsidP="00C232FA">
            <w:pPr>
              <w:suppressAutoHyphens w:val="0"/>
              <w:spacing w:before="80" w:after="80" w:line="220" w:lineRule="exact"/>
              <w:jc w:val="right"/>
              <w:rPr>
                <w:b/>
                <w:sz w:val="18"/>
                <w:lang w:val="fr-CH"/>
              </w:rPr>
            </w:pPr>
            <w:r w:rsidRPr="0071782F">
              <w:rPr>
                <w:b/>
                <w:sz w:val="18"/>
                <w:lang w:val="fr-CH"/>
              </w:rPr>
              <w:t>3 260 744</w:t>
            </w:r>
          </w:p>
        </w:tc>
      </w:tr>
    </w:tbl>
    <w:p w:rsidR="003A6D8B" w:rsidRPr="0071782F" w:rsidRDefault="003A6D8B" w:rsidP="00EB04F0">
      <w:pPr>
        <w:pStyle w:val="SingleTxtG"/>
        <w:spacing w:before="240"/>
        <w:rPr>
          <w:lang w:val="fr-CH"/>
        </w:rPr>
      </w:pPr>
      <w:r w:rsidRPr="0071782F">
        <w:rPr>
          <w:lang w:val="fr-CH"/>
        </w:rPr>
        <w:t>329.</w:t>
      </w:r>
      <w:r w:rsidRPr="0071782F">
        <w:rPr>
          <w:lang w:val="fr-CH"/>
        </w:rPr>
        <w:tab/>
      </w:r>
      <w:r w:rsidR="00902783" w:rsidRPr="0071782F">
        <w:rPr>
          <w:lang w:val="fr-CH"/>
        </w:rPr>
        <w:t xml:space="preserve">Le nombre </w:t>
      </w:r>
      <w:r w:rsidR="00D82C96" w:rsidRPr="0071782F">
        <w:rPr>
          <w:lang w:val="fr-CH"/>
        </w:rPr>
        <w:t>de personnes</w:t>
      </w:r>
      <w:r w:rsidR="00902783" w:rsidRPr="0071782F">
        <w:rPr>
          <w:lang w:val="fr-CH"/>
        </w:rPr>
        <w:t xml:space="preserve"> prises en charge par le programme axé sur la collectivité dans les environnements éducatifs et professionnels et dans les quartiers s’élève à 26</w:t>
      </w:r>
      <w:r w:rsidR="00EB04F0" w:rsidRPr="0071782F">
        <w:rPr>
          <w:lang w:val="fr-CH"/>
        </w:rPr>
        <w:t> </w:t>
      </w:r>
      <w:r w:rsidR="00902783" w:rsidRPr="0071782F">
        <w:rPr>
          <w:lang w:val="fr-CH"/>
        </w:rPr>
        <w:t>653</w:t>
      </w:r>
      <w:r w:rsidR="00EB04F0" w:rsidRPr="0071782F">
        <w:rPr>
          <w:lang w:val="fr-CH"/>
        </w:rPr>
        <w:t> </w:t>
      </w:r>
      <w:r w:rsidRPr="0071782F">
        <w:rPr>
          <w:lang w:val="fr-CH"/>
        </w:rPr>
        <w:t xml:space="preserve">891. </w:t>
      </w:r>
    </w:p>
    <w:p w:rsidR="003A6D8B" w:rsidRPr="0071782F" w:rsidRDefault="003A6D8B" w:rsidP="007D7166">
      <w:pPr>
        <w:pStyle w:val="H1G"/>
        <w:rPr>
          <w:lang w:val="fr-CH"/>
        </w:rPr>
      </w:pPr>
      <w:r w:rsidRPr="0071782F">
        <w:rPr>
          <w:lang w:val="fr-CH"/>
        </w:rPr>
        <w:tab/>
      </w:r>
      <w:r w:rsidRPr="0071782F">
        <w:rPr>
          <w:lang w:val="fr-CH"/>
        </w:rPr>
        <w:tab/>
        <w:t>Pr</w:t>
      </w:r>
      <w:r w:rsidR="00902783" w:rsidRPr="0071782F">
        <w:rPr>
          <w:lang w:val="fr-CH"/>
        </w:rPr>
        <w:t>é</w:t>
      </w:r>
      <w:r w:rsidRPr="0071782F">
        <w:rPr>
          <w:lang w:val="fr-CH"/>
        </w:rPr>
        <w:t xml:space="preserve">vention </w:t>
      </w:r>
      <w:r w:rsidR="00902783" w:rsidRPr="0071782F">
        <w:rPr>
          <w:lang w:val="fr-CH"/>
        </w:rPr>
        <w:t xml:space="preserve">des situations de préjudice </w:t>
      </w:r>
      <w:r w:rsidRPr="0071782F">
        <w:rPr>
          <w:lang w:val="fr-CH"/>
        </w:rPr>
        <w:t xml:space="preserve">social </w:t>
      </w:r>
    </w:p>
    <w:p w:rsidR="003A6D8B" w:rsidRPr="0071782F" w:rsidRDefault="003A6D8B" w:rsidP="007D7166">
      <w:pPr>
        <w:pStyle w:val="SingleTxtG"/>
        <w:keepNext/>
        <w:keepLines/>
        <w:rPr>
          <w:lang w:val="fr-CH"/>
        </w:rPr>
      </w:pPr>
      <w:r w:rsidRPr="0071782F">
        <w:rPr>
          <w:lang w:val="fr-CH"/>
        </w:rPr>
        <w:t>330.</w:t>
      </w:r>
      <w:r w:rsidRPr="0071782F">
        <w:rPr>
          <w:lang w:val="fr-CH"/>
        </w:rPr>
        <w:tab/>
      </w:r>
      <w:r w:rsidR="00902783" w:rsidRPr="0071782F">
        <w:rPr>
          <w:lang w:val="fr-CH"/>
        </w:rPr>
        <w:t>Les programmes portant sur ce thème sont notamment les suivants</w:t>
      </w:r>
      <w:r w:rsidR="008F7D33" w:rsidRPr="0071782F">
        <w:rPr>
          <w:lang w:val="fr-CH"/>
        </w:rPr>
        <w:t>:</w:t>
      </w:r>
    </w:p>
    <w:p w:rsidR="003A6D8B" w:rsidRPr="0071782F" w:rsidRDefault="003A6D8B" w:rsidP="00934656">
      <w:pPr>
        <w:pStyle w:val="SingleTxtG"/>
        <w:ind w:left="1701"/>
        <w:rPr>
          <w:lang w:val="fr-CH"/>
        </w:rPr>
      </w:pPr>
      <w:r w:rsidRPr="0071782F">
        <w:rPr>
          <w:lang w:val="fr-CH"/>
        </w:rPr>
        <w:t>330.1.</w:t>
      </w:r>
      <w:r w:rsidRPr="0071782F">
        <w:rPr>
          <w:lang w:val="fr-CH"/>
        </w:rPr>
        <w:tab/>
      </w:r>
      <w:r w:rsidR="00902783" w:rsidRPr="0071782F">
        <w:rPr>
          <w:lang w:val="fr-CH"/>
        </w:rPr>
        <w:t xml:space="preserve">Programme d’éducation </w:t>
      </w:r>
      <w:r w:rsidRPr="0071782F">
        <w:rPr>
          <w:lang w:val="fr-CH"/>
        </w:rPr>
        <w:t>pr</w:t>
      </w:r>
      <w:r w:rsidR="00902783" w:rsidRPr="0071782F">
        <w:rPr>
          <w:lang w:val="fr-CH"/>
        </w:rPr>
        <w:t>é</w:t>
      </w:r>
      <w:r w:rsidRPr="0071782F">
        <w:rPr>
          <w:lang w:val="fr-CH"/>
        </w:rPr>
        <w:t>marital</w:t>
      </w:r>
      <w:r w:rsidR="00902783" w:rsidRPr="0071782F">
        <w:rPr>
          <w:lang w:val="fr-CH"/>
        </w:rPr>
        <w:t>e</w:t>
      </w:r>
      <w:r w:rsidRPr="0071782F">
        <w:rPr>
          <w:lang w:val="fr-CH"/>
        </w:rPr>
        <w:t xml:space="preserve">: </w:t>
      </w:r>
      <w:r w:rsidR="00902783" w:rsidRPr="0071782F">
        <w:rPr>
          <w:lang w:val="fr-CH"/>
        </w:rPr>
        <w:t>e</w:t>
      </w:r>
      <w:r w:rsidRPr="0071782F">
        <w:rPr>
          <w:lang w:val="fr-CH"/>
        </w:rPr>
        <w:t>n 2007, 90</w:t>
      </w:r>
      <w:r w:rsidR="00C232FA" w:rsidRPr="0071782F">
        <w:rPr>
          <w:lang w:val="fr-CH"/>
        </w:rPr>
        <w:t> </w:t>
      </w:r>
      <w:r w:rsidRPr="0071782F">
        <w:rPr>
          <w:lang w:val="fr-CH"/>
        </w:rPr>
        <w:t>000</w:t>
      </w:r>
      <w:r w:rsidR="00097CDB" w:rsidRPr="0071782F">
        <w:rPr>
          <w:lang w:val="fr-CH"/>
        </w:rPr>
        <w:t> personnes</w:t>
      </w:r>
      <w:r w:rsidRPr="0071782F">
        <w:rPr>
          <w:lang w:val="fr-CH"/>
        </w:rPr>
        <w:t xml:space="preserve"> </w:t>
      </w:r>
      <w:r w:rsidR="00902783" w:rsidRPr="0071782F">
        <w:rPr>
          <w:lang w:val="fr-CH"/>
        </w:rPr>
        <w:t>ont participé à travers le pays à des ateliers d’éducation prémaritale</w:t>
      </w:r>
      <w:r w:rsidRPr="0071782F">
        <w:rPr>
          <w:lang w:val="fr-CH"/>
        </w:rPr>
        <w:t>.</w:t>
      </w:r>
    </w:p>
    <w:p w:rsidR="003A6D8B" w:rsidRPr="0071782F" w:rsidRDefault="003A6D8B" w:rsidP="003A6D8B">
      <w:pPr>
        <w:pStyle w:val="SingleTxtG"/>
        <w:ind w:left="1701"/>
        <w:rPr>
          <w:lang w:val="fr-CH"/>
        </w:rPr>
      </w:pPr>
      <w:r w:rsidRPr="0071782F">
        <w:rPr>
          <w:lang w:val="fr-CH"/>
        </w:rPr>
        <w:t>330.2.</w:t>
      </w:r>
      <w:r w:rsidRPr="0071782F">
        <w:rPr>
          <w:lang w:val="fr-CH"/>
        </w:rPr>
        <w:tab/>
      </w:r>
      <w:r w:rsidR="00902783" w:rsidRPr="0071782F">
        <w:rPr>
          <w:lang w:val="fr-CH"/>
        </w:rPr>
        <w:t>P</w:t>
      </w:r>
      <w:r w:rsidRPr="0071782F">
        <w:rPr>
          <w:lang w:val="fr-CH"/>
        </w:rPr>
        <w:t>rogram</w:t>
      </w:r>
      <w:r w:rsidR="00902783" w:rsidRPr="0071782F">
        <w:rPr>
          <w:lang w:val="fr-CH"/>
        </w:rPr>
        <w:t>me de préparation à la vie familiale</w:t>
      </w:r>
      <w:r w:rsidR="008F7D33" w:rsidRPr="0071782F">
        <w:rPr>
          <w:lang w:val="fr-CH"/>
        </w:rPr>
        <w:t>:</w:t>
      </w:r>
      <w:r w:rsidRPr="0071782F">
        <w:rPr>
          <w:lang w:val="fr-CH"/>
        </w:rPr>
        <w:t xml:space="preserve"> </w:t>
      </w:r>
      <w:r w:rsidR="00902783" w:rsidRPr="0071782F">
        <w:rPr>
          <w:lang w:val="fr-CH"/>
        </w:rPr>
        <w:t xml:space="preserve">ce </w:t>
      </w:r>
      <w:r w:rsidRPr="0071782F">
        <w:rPr>
          <w:lang w:val="fr-CH"/>
        </w:rPr>
        <w:t>program</w:t>
      </w:r>
      <w:r w:rsidR="00902783" w:rsidRPr="0071782F">
        <w:rPr>
          <w:lang w:val="fr-CH"/>
        </w:rPr>
        <w:t xml:space="preserve">me a été exécuté à titre expérimental en </w:t>
      </w:r>
      <w:r w:rsidRPr="0071782F">
        <w:rPr>
          <w:lang w:val="fr-CH"/>
        </w:rPr>
        <w:t xml:space="preserve">2005. </w:t>
      </w:r>
      <w:r w:rsidR="00902783" w:rsidRPr="0071782F">
        <w:rPr>
          <w:lang w:val="fr-CH"/>
        </w:rPr>
        <w:t>E</w:t>
      </w:r>
      <w:r w:rsidRPr="0071782F">
        <w:rPr>
          <w:lang w:val="fr-CH"/>
        </w:rPr>
        <w:t>n 2006, 16</w:t>
      </w:r>
      <w:r w:rsidR="00902783" w:rsidRPr="0071782F">
        <w:rPr>
          <w:lang w:val="fr-CH"/>
        </w:rPr>
        <w:t xml:space="preserve"> </w:t>
      </w:r>
      <w:r w:rsidRPr="0071782F">
        <w:rPr>
          <w:lang w:val="fr-CH"/>
        </w:rPr>
        <w:t>621</w:t>
      </w:r>
      <w:r w:rsidR="00097CDB" w:rsidRPr="0071782F">
        <w:rPr>
          <w:lang w:val="fr-CH"/>
        </w:rPr>
        <w:t> personnes</w:t>
      </w:r>
      <w:r w:rsidRPr="0071782F">
        <w:rPr>
          <w:lang w:val="fr-CH"/>
        </w:rPr>
        <w:t xml:space="preserve"> </w:t>
      </w:r>
      <w:r w:rsidR="00902783" w:rsidRPr="0071782F">
        <w:rPr>
          <w:lang w:val="fr-CH"/>
        </w:rPr>
        <w:t>ont participé à des ateliers de préparation à la vie familiale</w:t>
      </w:r>
      <w:r w:rsidRPr="0071782F">
        <w:rPr>
          <w:lang w:val="fr-CH"/>
        </w:rPr>
        <w:t>.</w:t>
      </w:r>
    </w:p>
    <w:p w:rsidR="003A6D8B" w:rsidRPr="0071782F" w:rsidRDefault="003A6D8B" w:rsidP="003A6D8B">
      <w:pPr>
        <w:pStyle w:val="SingleTxtG"/>
        <w:ind w:left="1701"/>
        <w:rPr>
          <w:lang w:val="fr-CH"/>
        </w:rPr>
      </w:pPr>
      <w:r w:rsidRPr="0071782F">
        <w:rPr>
          <w:lang w:val="fr-CH"/>
        </w:rPr>
        <w:t>330.3.</w:t>
      </w:r>
      <w:r w:rsidRPr="0071782F">
        <w:rPr>
          <w:lang w:val="fr-CH"/>
        </w:rPr>
        <w:tab/>
      </w:r>
      <w:r w:rsidR="00902783" w:rsidRPr="0071782F">
        <w:rPr>
          <w:lang w:val="fr-CH"/>
        </w:rPr>
        <w:t>P</w:t>
      </w:r>
      <w:r w:rsidRPr="0071782F">
        <w:rPr>
          <w:lang w:val="fr-CH"/>
        </w:rPr>
        <w:t>rogram</w:t>
      </w:r>
      <w:r w:rsidR="00902783" w:rsidRPr="0071782F">
        <w:rPr>
          <w:lang w:val="fr-CH"/>
        </w:rPr>
        <w:t>me</w:t>
      </w:r>
      <w:r w:rsidRPr="0071782F">
        <w:rPr>
          <w:lang w:val="fr-CH"/>
        </w:rPr>
        <w:t xml:space="preserve"> </w:t>
      </w:r>
      <w:r w:rsidR="00902783" w:rsidRPr="0071782F">
        <w:rPr>
          <w:lang w:val="fr-CH"/>
        </w:rPr>
        <w:t>de formation à la vie pratique à différents</w:t>
      </w:r>
      <w:r w:rsidR="00185FA6" w:rsidRPr="0071782F">
        <w:rPr>
          <w:lang w:val="fr-CH"/>
        </w:rPr>
        <w:t xml:space="preserve"> niveaux</w:t>
      </w:r>
      <w:r w:rsidR="00902783" w:rsidRPr="0071782F">
        <w:rPr>
          <w:lang w:val="fr-CH"/>
        </w:rPr>
        <w:t>.</w:t>
      </w:r>
      <w:r w:rsidRPr="0071782F">
        <w:rPr>
          <w:lang w:val="fr-CH"/>
        </w:rPr>
        <w:t xml:space="preserve"> </w:t>
      </w:r>
      <w:r w:rsidR="00902783" w:rsidRPr="0071782F">
        <w:rPr>
          <w:lang w:val="fr-CH"/>
        </w:rPr>
        <w:t>L’apprentissage des 10 compétences pratique</w:t>
      </w:r>
      <w:r w:rsidR="00185FA6" w:rsidRPr="0071782F">
        <w:rPr>
          <w:lang w:val="fr-CH"/>
        </w:rPr>
        <w:t>s</w:t>
      </w:r>
      <w:r w:rsidR="004A7689" w:rsidRPr="0071782F">
        <w:rPr>
          <w:lang w:val="fr-CH"/>
        </w:rPr>
        <w:t xml:space="preserve"> </w:t>
      </w:r>
      <w:r w:rsidR="00902783" w:rsidRPr="0071782F">
        <w:rPr>
          <w:lang w:val="fr-CH"/>
        </w:rPr>
        <w:t>par différents membres de la société peut développer leur capacité de faire face aux situations de la vie quotidienne.</w:t>
      </w:r>
      <w:r w:rsidRPr="0071782F">
        <w:rPr>
          <w:lang w:val="fr-CH"/>
        </w:rPr>
        <w:t xml:space="preserve"> </w:t>
      </w:r>
      <w:r w:rsidR="00902783" w:rsidRPr="0071782F">
        <w:rPr>
          <w:lang w:val="fr-CH"/>
        </w:rPr>
        <w:t xml:space="preserve">Ce programme a été lancé en </w:t>
      </w:r>
      <w:r w:rsidRPr="0071782F">
        <w:rPr>
          <w:lang w:val="fr-CH"/>
        </w:rPr>
        <w:t>1998.</w:t>
      </w:r>
      <w:r w:rsidR="00902783" w:rsidRPr="0071782F">
        <w:rPr>
          <w:lang w:val="fr-CH"/>
        </w:rPr>
        <w:t xml:space="preserve"> Le Bureau responsable peut, grâce à la formation de plus d’un millier d’éducateurs spécialisés et de dizaines de milliers d’enseignants, di</w:t>
      </w:r>
      <w:r w:rsidR="00185FA6" w:rsidRPr="0071782F">
        <w:rPr>
          <w:lang w:val="fr-CH"/>
        </w:rPr>
        <w:t>sp</w:t>
      </w:r>
      <w:r w:rsidR="00902783" w:rsidRPr="0071782F">
        <w:rPr>
          <w:lang w:val="fr-CH"/>
        </w:rPr>
        <w:t>enser une formation à la vie pratique aux groupes ci-après</w:t>
      </w:r>
      <w:r w:rsidR="008F7D33" w:rsidRPr="0071782F">
        <w:rPr>
          <w:lang w:val="fr-CH"/>
        </w:rPr>
        <w:t>:</w:t>
      </w:r>
    </w:p>
    <w:p w:rsidR="003A6D8B" w:rsidRPr="0071782F" w:rsidRDefault="003A6D8B" w:rsidP="003A6D8B">
      <w:pPr>
        <w:pStyle w:val="Bullet2G"/>
        <w:rPr>
          <w:lang w:val="fr-CH"/>
        </w:rPr>
      </w:pPr>
      <w:r w:rsidRPr="0071782F">
        <w:rPr>
          <w:lang w:val="fr-CH"/>
        </w:rPr>
        <w:tab/>
      </w:r>
      <w:r w:rsidR="006474A3" w:rsidRPr="0071782F">
        <w:rPr>
          <w:lang w:val="fr-CH"/>
        </w:rPr>
        <w:t xml:space="preserve">Élèves des centres préscolaires, des écoles primaires et des établissements d’enseignement secondaire du premier cycle </w:t>
      </w:r>
      <w:r w:rsidRPr="0071782F">
        <w:rPr>
          <w:lang w:val="fr-CH"/>
        </w:rPr>
        <w:t>(</w:t>
      </w:r>
      <w:r w:rsidR="006474A3" w:rsidRPr="0071782F">
        <w:rPr>
          <w:lang w:val="fr-CH"/>
        </w:rPr>
        <w:t>en c</w:t>
      </w:r>
      <w:r w:rsidRPr="0071782F">
        <w:rPr>
          <w:lang w:val="fr-CH"/>
        </w:rPr>
        <w:t xml:space="preserve">ollaboration </w:t>
      </w:r>
      <w:r w:rsidR="006474A3" w:rsidRPr="0071782F">
        <w:rPr>
          <w:lang w:val="fr-CH"/>
        </w:rPr>
        <w:t xml:space="preserve">avec le Ministère de l’éducation, un document stratégique sur la formation à la vie pratique a </w:t>
      </w:r>
      <w:r w:rsidR="0071782F" w:rsidRPr="0071782F">
        <w:rPr>
          <w:lang w:val="fr-CH"/>
        </w:rPr>
        <w:t>été</w:t>
      </w:r>
      <w:r w:rsidR="006474A3" w:rsidRPr="0071782F">
        <w:rPr>
          <w:lang w:val="fr-CH"/>
        </w:rPr>
        <w:t xml:space="preserve"> élaboré</w:t>
      </w:r>
      <w:r w:rsidRPr="0071782F">
        <w:rPr>
          <w:lang w:val="fr-CH"/>
        </w:rPr>
        <w:t>)</w:t>
      </w:r>
    </w:p>
    <w:p w:rsidR="003A6D8B" w:rsidRPr="0071782F" w:rsidRDefault="003A6D8B" w:rsidP="003A6D8B">
      <w:pPr>
        <w:pStyle w:val="Bullet2G"/>
        <w:rPr>
          <w:lang w:val="fr-CH"/>
        </w:rPr>
      </w:pPr>
      <w:r w:rsidRPr="0071782F">
        <w:rPr>
          <w:lang w:val="fr-CH"/>
        </w:rPr>
        <w:tab/>
      </w:r>
      <w:r w:rsidR="006474A3" w:rsidRPr="0071782F">
        <w:rPr>
          <w:lang w:val="fr-CH"/>
        </w:rPr>
        <w:t xml:space="preserve">Étudiants </w:t>
      </w:r>
    </w:p>
    <w:p w:rsidR="003A6D8B" w:rsidRPr="0071782F" w:rsidRDefault="003A6D8B" w:rsidP="003A6D8B">
      <w:pPr>
        <w:pStyle w:val="Bullet2G"/>
        <w:rPr>
          <w:lang w:val="fr-CH"/>
        </w:rPr>
      </w:pPr>
      <w:r w:rsidRPr="0071782F">
        <w:rPr>
          <w:lang w:val="fr-CH"/>
        </w:rPr>
        <w:tab/>
        <w:t>Adult</w:t>
      </w:r>
      <w:r w:rsidR="006474A3" w:rsidRPr="0071782F">
        <w:rPr>
          <w:lang w:val="fr-CH"/>
        </w:rPr>
        <w:t>e</w:t>
      </w:r>
      <w:r w:rsidRPr="0071782F">
        <w:rPr>
          <w:lang w:val="fr-CH"/>
        </w:rPr>
        <w:t xml:space="preserve">s, </w:t>
      </w:r>
      <w:r w:rsidR="006474A3" w:rsidRPr="0071782F">
        <w:rPr>
          <w:lang w:val="fr-CH"/>
        </w:rPr>
        <w:t xml:space="preserve">l’accent étant mis sur les environnements professionnels </w:t>
      </w:r>
    </w:p>
    <w:p w:rsidR="003A6D8B" w:rsidRPr="0071782F" w:rsidRDefault="003A6D8B" w:rsidP="00333944">
      <w:pPr>
        <w:pStyle w:val="Bullet2G"/>
        <w:spacing w:after="0"/>
        <w:rPr>
          <w:lang w:val="fr-CH"/>
        </w:rPr>
      </w:pPr>
      <w:r w:rsidRPr="0071782F">
        <w:rPr>
          <w:lang w:val="fr-CH"/>
        </w:rPr>
        <w:tab/>
      </w:r>
      <w:r w:rsidR="006474A3" w:rsidRPr="0071782F">
        <w:rPr>
          <w:lang w:val="fr-CH"/>
        </w:rPr>
        <w:t>Adultes semi-alphabétisés</w:t>
      </w:r>
      <w:r w:rsidRPr="0071782F">
        <w:rPr>
          <w:lang w:val="fr-CH"/>
        </w:rPr>
        <w:t xml:space="preserve"> (</w:t>
      </w:r>
      <w:r w:rsidR="006474A3" w:rsidRPr="0071782F">
        <w:rPr>
          <w:lang w:val="fr-CH"/>
        </w:rPr>
        <w:t>Mouvement pour l’alphabétisation</w:t>
      </w:r>
      <w:r w:rsidRPr="0071782F">
        <w:rPr>
          <w:lang w:val="fr-CH"/>
        </w:rPr>
        <w:t xml:space="preserve">; </w:t>
      </w:r>
      <w:r w:rsidR="006474A3" w:rsidRPr="0071782F">
        <w:rPr>
          <w:lang w:val="fr-CH"/>
        </w:rPr>
        <w:t xml:space="preserve">établissement des contenus et exécution expérimentale dans deux </w:t>
      </w:r>
      <w:r w:rsidRPr="0071782F">
        <w:rPr>
          <w:lang w:val="fr-CH"/>
        </w:rPr>
        <w:t>provinces</w:t>
      </w:r>
      <w:r w:rsidR="008F7D33" w:rsidRPr="0071782F">
        <w:rPr>
          <w:lang w:val="fr-CH"/>
        </w:rPr>
        <w:t>:</w:t>
      </w:r>
      <w:r w:rsidR="006474A3" w:rsidRPr="0071782F">
        <w:rPr>
          <w:lang w:val="fr-CH"/>
        </w:rPr>
        <w:t xml:space="preserve"> Ispahan et </w:t>
      </w:r>
      <w:r w:rsidRPr="0071782F">
        <w:rPr>
          <w:lang w:val="fr-CH"/>
        </w:rPr>
        <w:t xml:space="preserve">Chahar Mahal </w:t>
      </w:r>
      <w:r w:rsidR="006474A3" w:rsidRPr="0071782F">
        <w:rPr>
          <w:lang w:val="fr-CH"/>
        </w:rPr>
        <w:t xml:space="preserve">et </w:t>
      </w:r>
      <w:r w:rsidRPr="0071782F">
        <w:rPr>
          <w:lang w:val="fr-CH"/>
        </w:rPr>
        <w:t>Bakhtiyari)</w:t>
      </w:r>
    </w:p>
    <w:p w:rsidR="003A6D8B" w:rsidRPr="0071782F" w:rsidRDefault="003A6D8B" w:rsidP="003A6D8B">
      <w:pPr>
        <w:pStyle w:val="H23G"/>
        <w:rPr>
          <w:lang w:val="fr-CH"/>
        </w:rPr>
      </w:pPr>
      <w:r w:rsidRPr="0071782F">
        <w:rPr>
          <w:lang w:val="fr-CH"/>
        </w:rPr>
        <w:tab/>
      </w:r>
      <w:r w:rsidRPr="0071782F">
        <w:rPr>
          <w:lang w:val="fr-CH"/>
        </w:rPr>
        <w:tab/>
      </w:r>
      <w:r w:rsidR="006474A3" w:rsidRPr="0071782F">
        <w:rPr>
          <w:lang w:val="fr-CH"/>
        </w:rPr>
        <w:t>Résultats obtenus entre</w:t>
      </w:r>
      <w:r w:rsidRPr="0071782F">
        <w:rPr>
          <w:lang w:val="fr-CH"/>
        </w:rPr>
        <w:t xml:space="preserve"> 2004 </w:t>
      </w:r>
      <w:r w:rsidR="006474A3" w:rsidRPr="0071782F">
        <w:rPr>
          <w:lang w:val="fr-CH"/>
        </w:rPr>
        <w:t xml:space="preserve">et le début de </w:t>
      </w:r>
      <w:r w:rsidRPr="0071782F">
        <w:rPr>
          <w:lang w:val="fr-CH"/>
        </w:rPr>
        <w:t>2008 (</w:t>
      </w:r>
      <w:r w:rsidR="006474A3" w:rsidRPr="0071782F">
        <w:rPr>
          <w:lang w:val="fr-CH"/>
        </w:rPr>
        <w:t>n</w:t>
      </w:r>
      <w:r w:rsidR="003B48A4" w:rsidRPr="0071782F">
        <w:rPr>
          <w:lang w:val="fr-CH"/>
        </w:rPr>
        <w:t>ombre</w:t>
      </w:r>
      <w:r w:rsidRPr="0071782F">
        <w:rPr>
          <w:lang w:val="fr-CH"/>
        </w:rPr>
        <w:t xml:space="preserve"> </w:t>
      </w:r>
      <w:r w:rsidR="00D82C96" w:rsidRPr="0071782F">
        <w:rPr>
          <w:lang w:val="fr-CH"/>
        </w:rPr>
        <w:t>de personnes</w:t>
      </w:r>
      <w:r w:rsidRPr="0071782F">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127"/>
        <w:gridCol w:w="1429"/>
        <w:gridCol w:w="1385"/>
        <w:gridCol w:w="1013"/>
        <w:gridCol w:w="1416"/>
      </w:tblGrid>
      <w:tr w:rsidR="003A6D8B" w:rsidRPr="0071782F">
        <w:trPr>
          <w:tblHeader/>
        </w:trPr>
        <w:tc>
          <w:tcPr>
            <w:tcW w:w="2127" w:type="dxa"/>
            <w:tcBorders>
              <w:top w:val="single" w:sz="4" w:space="0" w:color="auto"/>
              <w:bottom w:val="single" w:sz="12" w:space="0" w:color="auto"/>
            </w:tcBorders>
            <w:shd w:val="clear" w:color="auto" w:fill="auto"/>
            <w:vAlign w:val="bottom"/>
          </w:tcPr>
          <w:p w:rsidR="003A6D8B" w:rsidRPr="0071782F" w:rsidRDefault="006474A3" w:rsidP="00C232FA">
            <w:pPr>
              <w:suppressAutoHyphens w:val="0"/>
              <w:spacing w:before="80" w:after="80" w:line="200" w:lineRule="exact"/>
              <w:rPr>
                <w:i/>
                <w:sz w:val="16"/>
                <w:lang w:val="fr-CH"/>
              </w:rPr>
            </w:pPr>
            <w:r w:rsidRPr="0071782F">
              <w:rPr>
                <w:i/>
                <w:sz w:val="16"/>
                <w:lang w:val="fr-CH"/>
              </w:rPr>
              <w:t>Année</w:t>
            </w:r>
          </w:p>
        </w:tc>
        <w:tc>
          <w:tcPr>
            <w:tcW w:w="1429" w:type="dxa"/>
            <w:tcBorders>
              <w:top w:val="single" w:sz="4" w:space="0" w:color="auto"/>
              <w:bottom w:val="single" w:sz="12" w:space="0" w:color="auto"/>
            </w:tcBorders>
            <w:shd w:val="clear" w:color="auto" w:fill="auto"/>
            <w:vAlign w:val="bottom"/>
          </w:tcPr>
          <w:p w:rsidR="003A6D8B" w:rsidRPr="0071782F" w:rsidRDefault="006474A3" w:rsidP="00C232FA">
            <w:pPr>
              <w:suppressAutoHyphens w:val="0"/>
              <w:spacing w:before="80" w:after="80" w:line="200" w:lineRule="exact"/>
              <w:jc w:val="right"/>
              <w:rPr>
                <w:i/>
                <w:sz w:val="16"/>
                <w:lang w:val="fr-CH"/>
              </w:rPr>
            </w:pPr>
            <w:r w:rsidRPr="0071782F">
              <w:rPr>
                <w:i/>
                <w:sz w:val="16"/>
                <w:lang w:val="fr-CH"/>
              </w:rPr>
              <w:t>Formation à la vie pratique pour les écoliers</w:t>
            </w:r>
          </w:p>
        </w:tc>
        <w:tc>
          <w:tcPr>
            <w:tcW w:w="1385" w:type="dxa"/>
            <w:tcBorders>
              <w:top w:val="single" w:sz="4" w:space="0" w:color="auto"/>
              <w:bottom w:val="single" w:sz="12" w:space="0" w:color="auto"/>
            </w:tcBorders>
            <w:shd w:val="clear" w:color="auto" w:fill="auto"/>
            <w:vAlign w:val="bottom"/>
          </w:tcPr>
          <w:p w:rsidR="003A6D8B" w:rsidRPr="0071782F" w:rsidRDefault="006474A3" w:rsidP="00C232FA">
            <w:pPr>
              <w:suppressAutoHyphens w:val="0"/>
              <w:spacing w:before="80" w:after="80" w:line="200" w:lineRule="exact"/>
              <w:jc w:val="right"/>
              <w:rPr>
                <w:i/>
                <w:sz w:val="16"/>
                <w:lang w:val="fr-CH"/>
              </w:rPr>
            </w:pPr>
            <w:r w:rsidRPr="0071782F">
              <w:rPr>
                <w:i/>
                <w:sz w:val="16"/>
                <w:lang w:val="fr-CH"/>
              </w:rPr>
              <w:t>Formation à la vie pratique pour les étudiants</w:t>
            </w:r>
          </w:p>
        </w:tc>
        <w:tc>
          <w:tcPr>
            <w:tcW w:w="1013" w:type="dxa"/>
            <w:tcBorders>
              <w:top w:val="single" w:sz="4" w:space="0" w:color="auto"/>
              <w:bottom w:val="single" w:sz="12" w:space="0" w:color="auto"/>
            </w:tcBorders>
            <w:shd w:val="clear" w:color="auto" w:fill="auto"/>
            <w:vAlign w:val="bottom"/>
          </w:tcPr>
          <w:p w:rsidR="003A6D8B" w:rsidRPr="0071782F" w:rsidRDefault="006474A3" w:rsidP="00C232FA">
            <w:pPr>
              <w:suppressAutoHyphens w:val="0"/>
              <w:spacing w:before="80" w:after="80" w:line="200" w:lineRule="exact"/>
              <w:jc w:val="right"/>
              <w:rPr>
                <w:i/>
                <w:sz w:val="16"/>
                <w:lang w:val="fr-CH"/>
              </w:rPr>
            </w:pPr>
            <w:r w:rsidRPr="0071782F">
              <w:rPr>
                <w:i/>
                <w:sz w:val="16"/>
                <w:lang w:val="fr-CH"/>
              </w:rPr>
              <w:t>Éducation prémaritale</w:t>
            </w:r>
          </w:p>
        </w:tc>
        <w:tc>
          <w:tcPr>
            <w:tcW w:w="1416" w:type="dxa"/>
            <w:tcBorders>
              <w:top w:val="single" w:sz="4" w:space="0" w:color="auto"/>
              <w:bottom w:val="single" w:sz="12" w:space="0" w:color="auto"/>
            </w:tcBorders>
            <w:shd w:val="clear" w:color="auto" w:fill="auto"/>
            <w:vAlign w:val="bottom"/>
          </w:tcPr>
          <w:p w:rsidR="003A6D8B" w:rsidRPr="0071782F" w:rsidRDefault="006474A3" w:rsidP="00C232FA">
            <w:pPr>
              <w:suppressAutoHyphens w:val="0"/>
              <w:spacing w:before="80" w:after="80" w:line="200" w:lineRule="exact"/>
              <w:jc w:val="right"/>
              <w:rPr>
                <w:i/>
                <w:sz w:val="16"/>
                <w:lang w:val="fr-CH"/>
              </w:rPr>
            </w:pPr>
            <w:r w:rsidRPr="0071782F">
              <w:rPr>
                <w:i/>
                <w:sz w:val="16"/>
                <w:lang w:val="fr-CH"/>
              </w:rPr>
              <w:t>Préparation à la vie familiale</w:t>
            </w:r>
          </w:p>
        </w:tc>
      </w:tr>
      <w:tr w:rsidR="003A6D8B" w:rsidRPr="0071782F">
        <w:tc>
          <w:tcPr>
            <w:tcW w:w="2127"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rPr>
                <w:sz w:val="18"/>
                <w:lang w:val="fr-CH"/>
              </w:rPr>
            </w:pPr>
            <w:r w:rsidRPr="0071782F">
              <w:rPr>
                <w:sz w:val="18"/>
                <w:lang w:val="fr-CH"/>
              </w:rPr>
              <w:t>2004</w:t>
            </w:r>
          </w:p>
        </w:tc>
        <w:tc>
          <w:tcPr>
            <w:tcW w:w="1429"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245 000</w:t>
            </w:r>
          </w:p>
        </w:tc>
        <w:tc>
          <w:tcPr>
            <w:tcW w:w="1385" w:type="dxa"/>
            <w:tcBorders>
              <w:top w:val="single" w:sz="12" w:space="0" w:color="auto"/>
            </w:tcBorders>
            <w:shd w:val="clear" w:color="auto" w:fill="auto"/>
            <w:vAlign w:val="bottom"/>
          </w:tcPr>
          <w:p w:rsidR="003A6D8B" w:rsidRPr="0071782F" w:rsidRDefault="00B16CB3" w:rsidP="00C232FA">
            <w:pPr>
              <w:suppressAutoHyphens w:val="0"/>
              <w:spacing w:before="40" w:after="40" w:line="220" w:lineRule="exact"/>
              <w:jc w:val="right"/>
              <w:rPr>
                <w:sz w:val="18"/>
                <w:lang w:val="fr-CH"/>
              </w:rPr>
            </w:pPr>
            <w:r w:rsidRPr="0071782F">
              <w:rPr>
                <w:sz w:val="18"/>
                <w:lang w:val="fr-CH"/>
              </w:rPr>
              <w:t>–</w:t>
            </w:r>
          </w:p>
        </w:tc>
        <w:tc>
          <w:tcPr>
            <w:tcW w:w="1013"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35 000</w:t>
            </w:r>
          </w:p>
        </w:tc>
        <w:tc>
          <w:tcPr>
            <w:tcW w:w="1416" w:type="dxa"/>
            <w:tcBorders>
              <w:top w:val="single" w:sz="12" w:space="0" w:color="auto"/>
            </w:tcBorders>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1 800</w:t>
            </w:r>
          </w:p>
        </w:tc>
      </w:tr>
      <w:tr w:rsidR="003A6D8B" w:rsidRPr="0071782F">
        <w:tc>
          <w:tcPr>
            <w:tcW w:w="2127" w:type="dxa"/>
            <w:shd w:val="clear" w:color="auto" w:fill="auto"/>
            <w:vAlign w:val="bottom"/>
          </w:tcPr>
          <w:p w:rsidR="003A6D8B" w:rsidRPr="0071782F" w:rsidRDefault="003A6D8B" w:rsidP="00C232FA">
            <w:pPr>
              <w:suppressAutoHyphens w:val="0"/>
              <w:spacing w:before="40" w:after="40" w:line="220" w:lineRule="exact"/>
              <w:rPr>
                <w:sz w:val="18"/>
                <w:lang w:val="fr-CH"/>
              </w:rPr>
            </w:pPr>
            <w:r w:rsidRPr="0071782F">
              <w:rPr>
                <w:sz w:val="18"/>
                <w:lang w:val="fr-CH"/>
              </w:rPr>
              <w:t>2005</w:t>
            </w:r>
          </w:p>
        </w:tc>
        <w:tc>
          <w:tcPr>
            <w:tcW w:w="1429"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563 000</w:t>
            </w:r>
          </w:p>
        </w:tc>
        <w:tc>
          <w:tcPr>
            <w:tcW w:w="1385"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3 500</w:t>
            </w:r>
          </w:p>
        </w:tc>
        <w:tc>
          <w:tcPr>
            <w:tcW w:w="1013"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53 000</w:t>
            </w:r>
          </w:p>
        </w:tc>
        <w:tc>
          <w:tcPr>
            <w:tcW w:w="1416"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2 500</w:t>
            </w:r>
          </w:p>
        </w:tc>
      </w:tr>
      <w:tr w:rsidR="003A6D8B" w:rsidRPr="0071782F">
        <w:tc>
          <w:tcPr>
            <w:tcW w:w="2127" w:type="dxa"/>
            <w:shd w:val="clear" w:color="auto" w:fill="auto"/>
            <w:vAlign w:val="bottom"/>
          </w:tcPr>
          <w:p w:rsidR="003A6D8B" w:rsidRPr="0071782F" w:rsidRDefault="003A6D8B" w:rsidP="00C232FA">
            <w:pPr>
              <w:suppressAutoHyphens w:val="0"/>
              <w:spacing w:before="40" w:after="40" w:line="220" w:lineRule="exact"/>
              <w:rPr>
                <w:sz w:val="18"/>
                <w:lang w:val="fr-CH"/>
              </w:rPr>
            </w:pPr>
            <w:r w:rsidRPr="0071782F">
              <w:rPr>
                <w:sz w:val="18"/>
                <w:lang w:val="fr-CH"/>
              </w:rPr>
              <w:t>2006</w:t>
            </w:r>
          </w:p>
        </w:tc>
        <w:tc>
          <w:tcPr>
            <w:tcW w:w="1429"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834 750</w:t>
            </w:r>
          </w:p>
        </w:tc>
        <w:tc>
          <w:tcPr>
            <w:tcW w:w="1385"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5 400</w:t>
            </w:r>
          </w:p>
        </w:tc>
        <w:tc>
          <w:tcPr>
            <w:tcW w:w="1013"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80 000</w:t>
            </w:r>
          </w:p>
        </w:tc>
        <w:tc>
          <w:tcPr>
            <w:tcW w:w="1416"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3 750</w:t>
            </w:r>
          </w:p>
        </w:tc>
      </w:tr>
      <w:tr w:rsidR="003A6D8B" w:rsidRPr="0071782F">
        <w:tc>
          <w:tcPr>
            <w:tcW w:w="2127" w:type="dxa"/>
            <w:shd w:val="clear" w:color="auto" w:fill="auto"/>
            <w:vAlign w:val="bottom"/>
          </w:tcPr>
          <w:p w:rsidR="003A6D8B" w:rsidRPr="0071782F" w:rsidRDefault="003A6D8B" w:rsidP="00C232FA">
            <w:pPr>
              <w:suppressAutoHyphens w:val="0"/>
              <w:spacing w:before="40" w:after="40" w:line="220" w:lineRule="exact"/>
              <w:rPr>
                <w:sz w:val="18"/>
                <w:lang w:val="fr-CH"/>
              </w:rPr>
            </w:pPr>
            <w:r w:rsidRPr="0071782F">
              <w:rPr>
                <w:sz w:val="18"/>
                <w:lang w:val="fr-CH"/>
              </w:rPr>
              <w:t>2007</w:t>
            </w:r>
          </w:p>
        </w:tc>
        <w:tc>
          <w:tcPr>
            <w:tcW w:w="1429"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1 622 737</w:t>
            </w:r>
          </w:p>
        </w:tc>
        <w:tc>
          <w:tcPr>
            <w:tcW w:w="1385"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10 648</w:t>
            </w:r>
          </w:p>
        </w:tc>
        <w:tc>
          <w:tcPr>
            <w:tcW w:w="1013"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90 000</w:t>
            </w:r>
          </w:p>
        </w:tc>
        <w:tc>
          <w:tcPr>
            <w:tcW w:w="1416"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16 621</w:t>
            </w:r>
          </w:p>
        </w:tc>
      </w:tr>
      <w:tr w:rsidR="003A6D8B" w:rsidRPr="0071782F">
        <w:tc>
          <w:tcPr>
            <w:tcW w:w="2127" w:type="dxa"/>
            <w:shd w:val="clear" w:color="auto" w:fill="auto"/>
            <w:vAlign w:val="bottom"/>
          </w:tcPr>
          <w:p w:rsidR="003A6D8B" w:rsidRPr="0071782F" w:rsidRDefault="003A6D8B" w:rsidP="00C232FA">
            <w:pPr>
              <w:suppressAutoHyphens w:val="0"/>
              <w:spacing w:before="40" w:after="40" w:line="220" w:lineRule="exact"/>
              <w:rPr>
                <w:sz w:val="18"/>
                <w:lang w:val="fr-CH"/>
              </w:rPr>
            </w:pPr>
            <w:r w:rsidRPr="0071782F">
              <w:rPr>
                <w:sz w:val="18"/>
                <w:lang w:val="fr-CH"/>
              </w:rPr>
              <w:t>2008 (</w:t>
            </w:r>
            <w:r w:rsidR="006474A3" w:rsidRPr="0071782F">
              <w:rPr>
                <w:sz w:val="18"/>
                <w:lang w:val="fr-CH"/>
              </w:rPr>
              <w:t>six premiers</w:t>
            </w:r>
            <w:r w:rsidR="001F3F05" w:rsidRPr="0071782F">
              <w:rPr>
                <w:sz w:val="18"/>
                <w:lang w:val="fr-CH"/>
              </w:rPr>
              <w:t> mois</w:t>
            </w:r>
            <w:r w:rsidRPr="0071782F">
              <w:rPr>
                <w:sz w:val="18"/>
                <w:lang w:val="fr-CH"/>
              </w:rPr>
              <w:t>)</w:t>
            </w:r>
          </w:p>
        </w:tc>
        <w:tc>
          <w:tcPr>
            <w:tcW w:w="1429"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1 680 000</w:t>
            </w:r>
          </w:p>
        </w:tc>
        <w:tc>
          <w:tcPr>
            <w:tcW w:w="1385"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20 000</w:t>
            </w:r>
          </w:p>
        </w:tc>
        <w:tc>
          <w:tcPr>
            <w:tcW w:w="1013"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50 000</w:t>
            </w:r>
          </w:p>
        </w:tc>
        <w:tc>
          <w:tcPr>
            <w:tcW w:w="1416" w:type="dxa"/>
            <w:shd w:val="clear" w:color="auto" w:fill="auto"/>
            <w:vAlign w:val="bottom"/>
          </w:tcPr>
          <w:p w:rsidR="003A6D8B" w:rsidRPr="0071782F" w:rsidRDefault="003A6D8B" w:rsidP="00C232FA">
            <w:pPr>
              <w:suppressAutoHyphens w:val="0"/>
              <w:spacing w:before="40" w:after="40" w:line="220" w:lineRule="exact"/>
              <w:jc w:val="right"/>
              <w:rPr>
                <w:sz w:val="18"/>
                <w:lang w:val="fr-CH"/>
              </w:rPr>
            </w:pPr>
            <w:r w:rsidRPr="0071782F">
              <w:rPr>
                <w:sz w:val="18"/>
                <w:lang w:val="fr-CH"/>
              </w:rPr>
              <w:t>8 500</w:t>
            </w:r>
          </w:p>
        </w:tc>
      </w:tr>
    </w:tbl>
    <w:p w:rsidR="003A6D8B" w:rsidRPr="0071782F" w:rsidRDefault="003A6D8B" w:rsidP="003A6D8B">
      <w:pPr>
        <w:pStyle w:val="H1G"/>
        <w:rPr>
          <w:lang w:val="fr-CH"/>
        </w:rPr>
      </w:pPr>
      <w:r w:rsidRPr="0071782F">
        <w:rPr>
          <w:lang w:val="fr-CH"/>
        </w:rPr>
        <w:tab/>
      </w:r>
      <w:r w:rsidRPr="0071782F">
        <w:rPr>
          <w:lang w:val="fr-CH"/>
        </w:rPr>
        <w:tab/>
      </w:r>
      <w:r w:rsidR="006474A3" w:rsidRPr="0071782F">
        <w:rPr>
          <w:lang w:val="fr-CH"/>
        </w:rPr>
        <w:t>Activités de c</w:t>
      </w:r>
      <w:r w:rsidRPr="0071782F">
        <w:rPr>
          <w:lang w:val="fr-CH"/>
        </w:rPr>
        <w:t xml:space="preserve">onsultation </w:t>
      </w:r>
      <w:r w:rsidR="006474A3" w:rsidRPr="0071782F">
        <w:rPr>
          <w:lang w:val="fr-CH"/>
        </w:rPr>
        <w:t>et services de soutien psychologique</w:t>
      </w:r>
    </w:p>
    <w:p w:rsidR="003A6D8B" w:rsidRPr="0071782F" w:rsidRDefault="003A6D8B" w:rsidP="003A6D8B">
      <w:pPr>
        <w:pStyle w:val="SingleTxtG"/>
        <w:rPr>
          <w:lang w:val="fr-CH"/>
        </w:rPr>
      </w:pPr>
      <w:r w:rsidRPr="0071782F">
        <w:rPr>
          <w:lang w:val="fr-CH"/>
        </w:rPr>
        <w:t>331.</w:t>
      </w:r>
      <w:r w:rsidRPr="0071782F">
        <w:rPr>
          <w:lang w:val="fr-CH"/>
        </w:rPr>
        <w:tab/>
      </w:r>
      <w:r w:rsidR="009C179E" w:rsidRPr="0071782F">
        <w:rPr>
          <w:lang w:val="fr-CH"/>
        </w:rPr>
        <w:t>La création de centres de consultation en personne (publics et privés) et par téléphone répond à la nécessité de promouvoir la santé mentale de la société, de prévenir et réduire les situations de préjudice social et de promouvoir la culture de l’utilisation des services de consultation</w:t>
      </w:r>
      <w:r w:rsidRPr="0071782F">
        <w:rPr>
          <w:lang w:val="fr-CH"/>
        </w:rPr>
        <w:t xml:space="preserve">. </w:t>
      </w:r>
      <w:r w:rsidR="009C179E" w:rsidRPr="0071782F">
        <w:rPr>
          <w:lang w:val="fr-CH"/>
        </w:rPr>
        <w:t>La politique de l’Organisme public pour la protection sociale vise, comme celle de l’État, à promouvoir les centres privés et à réduire le nombre de centres publics</w:t>
      </w:r>
      <w:r w:rsidRPr="0071782F">
        <w:rPr>
          <w:lang w:val="fr-CH"/>
        </w:rPr>
        <w:t xml:space="preserve">. </w:t>
      </w:r>
      <w:r w:rsidR="009C179E" w:rsidRPr="0071782F">
        <w:rPr>
          <w:lang w:val="fr-CH"/>
        </w:rPr>
        <w:t xml:space="preserve">Les </w:t>
      </w:r>
      <w:r w:rsidRPr="0071782F">
        <w:rPr>
          <w:lang w:val="fr-CH"/>
        </w:rPr>
        <w:t>table</w:t>
      </w:r>
      <w:r w:rsidR="009C179E" w:rsidRPr="0071782F">
        <w:rPr>
          <w:lang w:val="fr-CH"/>
        </w:rPr>
        <w:t xml:space="preserve">aux ci-après indiquent le </w:t>
      </w:r>
      <w:r w:rsidR="003B48A4" w:rsidRPr="0071782F">
        <w:rPr>
          <w:lang w:val="fr-CH"/>
        </w:rPr>
        <w:t>nombre</w:t>
      </w:r>
      <w:r w:rsidRPr="0071782F">
        <w:rPr>
          <w:lang w:val="fr-CH"/>
        </w:rPr>
        <w:t xml:space="preserve"> </w:t>
      </w:r>
      <w:r w:rsidR="009C179E" w:rsidRPr="0071782F">
        <w:rPr>
          <w:lang w:val="fr-CH"/>
        </w:rPr>
        <w:t>de centres de consultation en personne et par</w:t>
      </w:r>
      <w:r w:rsidRPr="0071782F">
        <w:rPr>
          <w:lang w:val="fr-CH"/>
        </w:rPr>
        <w:t xml:space="preserve"> t</w:t>
      </w:r>
      <w:r w:rsidR="009C179E" w:rsidRPr="0071782F">
        <w:rPr>
          <w:lang w:val="fr-CH"/>
        </w:rPr>
        <w:t>é</w:t>
      </w:r>
      <w:r w:rsidRPr="0071782F">
        <w:rPr>
          <w:lang w:val="fr-CH"/>
        </w:rPr>
        <w:t>l</w:t>
      </w:r>
      <w:r w:rsidR="009C179E" w:rsidRPr="0071782F">
        <w:rPr>
          <w:lang w:val="fr-CH"/>
        </w:rPr>
        <w:t>éphone</w:t>
      </w:r>
      <w:r w:rsidRPr="0071782F">
        <w:rPr>
          <w:lang w:val="fr-CH"/>
        </w:rPr>
        <w:t xml:space="preserve"> </w:t>
      </w:r>
      <w:r w:rsidR="009C179E" w:rsidRPr="0071782F">
        <w:rPr>
          <w:lang w:val="fr-CH"/>
        </w:rPr>
        <w:t>publics et privés, et celui de leurs utilisateurs</w:t>
      </w:r>
      <w:r w:rsidRPr="0071782F">
        <w:rPr>
          <w:lang w:val="fr-CH"/>
        </w:rPr>
        <w:t>.</w:t>
      </w:r>
    </w:p>
    <w:p w:rsidR="003A6D8B" w:rsidRPr="0071782F" w:rsidRDefault="003A6D8B" w:rsidP="003A6D8B">
      <w:pPr>
        <w:pStyle w:val="H1G"/>
        <w:rPr>
          <w:lang w:val="fr-CH"/>
        </w:rPr>
      </w:pPr>
      <w:r w:rsidRPr="0071782F">
        <w:rPr>
          <w:lang w:val="fr-CH"/>
        </w:rPr>
        <w:tab/>
      </w:r>
      <w:r w:rsidRPr="0071782F">
        <w:rPr>
          <w:lang w:val="fr-CH"/>
        </w:rPr>
        <w:tab/>
      </w:r>
      <w:r w:rsidR="009C179E" w:rsidRPr="0071782F">
        <w:rPr>
          <w:lang w:val="fr-CH"/>
        </w:rPr>
        <w:t xml:space="preserve">Action de prévention et de lutte contre le sida </w:t>
      </w:r>
    </w:p>
    <w:p w:rsidR="003A6D8B" w:rsidRPr="0071782F" w:rsidRDefault="003A6D8B" w:rsidP="003A6D8B">
      <w:pPr>
        <w:pStyle w:val="SingleTxtG"/>
        <w:rPr>
          <w:lang w:val="fr-CH"/>
        </w:rPr>
      </w:pPr>
      <w:r w:rsidRPr="0071782F">
        <w:rPr>
          <w:lang w:val="fr-CH"/>
        </w:rPr>
        <w:t>332.</w:t>
      </w:r>
      <w:r w:rsidRPr="0071782F">
        <w:rPr>
          <w:lang w:val="fr-CH"/>
        </w:rPr>
        <w:tab/>
      </w:r>
      <w:r w:rsidR="00C2279D" w:rsidRPr="0071782F">
        <w:rPr>
          <w:lang w:val="fr-CH"/>
        </w:rPr>
        <w:t>À ce sujet, il convient de noter ce qui suit</w:t>
      </w:r>
      <w:r w:rsidR="008F7D33" w:rsidRPr="0071782F">
        <w:rPr>
          <w:lang w:val="fr-CH"/>
        </w:rPr>
        <w:t>:</w:t>
      </w:r>
    </w:p>
    <w:p w:rsidR="003A6D8B" w:rsidRPr="0071782F" w:rsidRDefault="003A6D8B" w:rsidP="007D7166">
      <w:pPr>
        <w:pStyle w:val="SingleTxtG"/>
        <w:keepNext/>
        <w:keepLines/>
        <w:ind w:left="1701"/>
        <w:rPr>
          <w:lang w:val="fr-CH"/>
        </w:rPr>
      </w:pPr>
      <w:r w:rsidRPr="0071782F">
        <w:rPr>
          <w:lang w:val="fr-CH"/>
        </w:rPr>
        <w:t>332.1.</w:t>
      </w:r>
      <w:r w:rsidRPr="0071782F">
        <w:rPr>
          <w:lang w:val="fr-CH"/>
        </w:rPr>
        <w:tab/>
      </w:r>
      <w:r w:rsidR="003B431D" w:rsidRPr="0071782F">
        <w:rPr>
          <w:lang w:val="fr-CH"/>
        </w:rPr>
        <w:t xml:space="preserve">Le pays se trouve actuellement à un stade crucial de la lutte contre l’épidémie de VIH. L’augmentation de la </w:t>
      </w:r>
      <w:r w:rsidRPr="0071782F">
        <w:rPr>
          <w:lang w:val="fr-CH"/>
        </w:rPr>
        <w:t>pr</w:t>
      </w:r>
      <w:r w:rsidR="003B431D" w:rsidRPr="0071782F">
        <w:rPr>
          <w:lang w:val="fr-CH"/>
        </w:rPr>
        <w:t>é</w:t>
      </w:r>
      <w:r w:rsidRPr="0071782F">
        <w:rPr>
          <w:lang w:val="fr-CH"/>
        </w:rPr>
        <w:t xml:space="preserve">valence </w:t>
      </w:r>
      <w:r w:rsidR="003B431D" w:rsidRPr="0071782F">
        <w:rPr>
          <w:lang w:val="fr-CH"/>
        </w:rPr>
        <w:t>du VIH parmi les consommateurs de drogues injectables l’a fait passer d’un taux de prévalence faible à un taux élevé</w:t>
      </w:r>
      <w:r w:rsidRPr="0071782F">
        <w:rPr>
          <w:lang w:val="fr-CH"/>
        </w:rPr>
        <w:t xml:space="preserve">. </w:t>
      </w:r>
      <w:r w:rsidR="003B431D" w:rsidRPr="0071782F">
        <w:rPr>
          <w:lang w:val="fr-CH"/>
        </w:rPr>
        <w:t>Ce phénomène suscite de graves préoccupations</w:t>
      </w:r>
      <w:r w:rsidR="008F7D33" w:rsidRPr="0071782F">
        <w:rPr>
          <w:lang w:val="fr-CH"/>
        </w:rPr>
        <w:t>:</w:t>
      </w:r>
      <w:r w:rsidR="003B431D" w:rsidRPr="0071782F">
        <w:rPr>
          <w:lang w:val="fr-CH"/>
        </w:rPr>
        <w:t xml:space="preserve"> on craint</w:t>
      </w:r>
      <w:r w:rsidR="00D36718">
        <w:rPr>
          <w:lang w:val="fr-CH"/>
        </w:rPr>
        <w:t xml:space="preserve"> </w:t>
      </w:r>
      <w:r w:rsidR="003B431D" w:rsidRPr="0071782F">
        <w:rPr>
          <w:lang w:val="fr-CH"/>
        </w:rPr>
        <w:t>de voir le VIH se propager parmi ces toxicomanes et parmi les groupes à haut risque de la société.</w:t>
      </w:r>
      <w:r w:rsidRPr="0071782F">
        <w:rPr>
          <w:lang w:val="fr-CH"/>
        </w:rPr>
        <w:t xml:space="preserve"> </w:t>
      </w:r>
    </w:p>
    <w:p w:rsidR="003A6D8B" w:rsidRPr="0071782F" w:rsidRDefault="003A6D8B" w:rsidP="003A6D8B">
      <w:pPr>
        <w:pStyle w:val="SingleTxtG"/>
        <w:ind w:left="1701"/>
        <w:rPr>
          <w:lang w:val="fr-CH"/>
        </w:rPr>
      </w:pPr>
      <w:r w:rsidRPr="0071782F">
        <w:rPr>
          <w:lang w:val="fr-CH"/>
        </w:rPr>
        <w:t>332.2.</w:t>
      </w:r>
      <w:r w:rsidRPr="0071782F">
        <w:rPr>
          <w:lang w:val="fr-CH"/>
        </w:rPr>
        <w:tab/>
      </w:r>
      <w:r w:rsidR="003B431D" w:rsidRPr="0071782F">
        <w:rPr>
          <w:lang w:val="fr-CH"/>
        </w:rPr>
        <w:t>Compte tenu des consé</w:t>
      </w:r>
      <w:r w:rsidRPr="0071782F">
        <w:rPr>
          <w:lang w:val="fr-CH"/>
        </w:rPr>
        <w:t xml:space="preserve">quences </w:t>
      </w:r>
      <w:r w:rsidR="003B431D" w:rsidRPr="0071782F">
        <w:rPr>
          <w:lang w:val="fr-CH"/>
        </w:rPr>
        <w:t xml:space="preserve">de la maladie, telles que la </w:t>
      </w:r>
      <w:r w:rsidRPr="0071782F">
        <w:rPr>
          <w:lang w:val="fr-CH"/>
        </w:rPr>
        <w:t xml:space="preserve">destruction </w:t>
      </w:r>
      <w:r w:rsidR="004E45FB" w:rsidRPr="0071782F">
        <w:rPr>
          <w:lang w:val="fr-CH"/>
        </w:rPr>
        <w:t>des familles</w:t>
      </w:r>
      <w:r w:rsidR="003B431D" w:rsidRPr="0071782F">
        <w:rPr>
          <w:lang w:val="fr-CH"/>
        </w:rPr>
        <w:t>, l’aggravation de la pauvreté, la perte de l’un ou des deux parents par les enfants, l’angoisse psychologique face à la maladie et à la mort, l’augmentation de l’insécurité et le recul de la protection sociale, l’Organisme public de protection sociale, en tant qu’institution sociale et d’assistance chargée de créer les conditions d’une diminution des souffrances humaines et d’une promotion du bien-être de la société, joue un rôle essentiel dans l’action de prévention et de lutte contre cette maladie.</w:t>
      </w:r>
      <w:r w:rsidR="00D36718">
        <w:rPr>
          <w:lang w:val="fr-CH"/>
        </w:rPr>
        <w:t xml:space="preserve"> </w:t>
      </w:r>
    </w:p>
    <w:p w:rsidR="003A6D8B" w:rsidRPr="0071782F" w:rsidRDefault="003A6D8B" w:rsidP="003A6D8B">
      <w:pPr>
        <w:pStyle w:val="SingleTxtG"/>
        <w:ind w:left="1701"/>
        <w:rPr>
          <w:lang w:val="fr-CH"/>
        </w:rPr>
      </w:pPr>
      <w:r w:rsidRPr="0071782F">
        <w:rPr>
          <w:lang w:val="fr-CH"/>
        </w:rPr>
        <w:t>332.3.</w:t>
      </w:r>
      <w:r w:rsidRPr="0071782F">
        <w:rPr>
          <w:lang w:val="fr-CH"/>
        </w:rPr>
        <w:tab/>
      </w:r>
      <w:r w:rsidR="00634A0D" w:rsidRPr="0071782F">
        <w:rPr>
          <w:lang w:val="fr-CH"/>
        </w:rPr>
        <w:t>Le Bureau pour la prévention du sida et de la toxicomanie mène depuis longtemps un large éventail d’activités afin de prévenir et de combattre le sida et de réduire les situations de préjudice.</w:t>
      </w:r>
      <w:r w:rsidRPr="0071782F">
        <w:rPr>
          <w:lang w:val="fr-CH"/>
        </w:rPr>
        <w:t xml:space="preserve"> </w:t>
      </w:r>
      <w:r w:rsidR="00634A0D" w:rsidRPr="0071782F">
        <w:rPr>
          <w:lang w:val="fr-CH"/>
        </w:rPr>
        <w:t>Néanmoins, le nombre élevé et la diversité des programmes, l’élaboration du plan stratégique de lutte contre le sida et la dé</w:t>
      </w:r>
      <w:r w:rsidRPr="0071782F">
        <w:rPr>
          <w:lang w:val="fr-CH"/>
        </w:rPr>
        <w:t>l</w:t>
      </w:r>
      <w:r w:rsidR="00634A0D" w:rsidRPr="0071782F">
        <w:rPr>
          <w:lang w:val="fr-CH"/>
        </w:rPr>
        <w:t>é</w:t>
      </w:r>
      <w:r w:rsidRPr="0071782F">
        <w:rPr>
          <w:lang w:val="fr-CH"/>
        </w:rPr>
        <w:t xml:space="preserve">gation </w:t>
      </w:r>
      <w:r w:rsidR="00634A0D" w:rsidRPr="0071782F">
        <w:rPr>
          <w:lang w:val="fr-CH"/>
        </w:rPr>
        <w:t>d’une partie importante du programme à l’Organisme public de protection sociale, l’</w:t>
      </w:r>
      <w:r w:rsidRPr="0071782F">
        <w:rPr>
          <w:lang w:val="fr-CH"/>
        </w:rPr>
        <w:t xml:space="preserve">inclusion </w:t>
      </w:r>
      <w:r w:rsidR="00634A0D" w:rsidRPr="0071782F">
        <w:rPr>
          <w:lang w:val="fr-CH"/>
        </w:rPr>
        <w:t xml:space="preserve">dans le programme d’activités non liées à la toxicomanie et la nécessité d’instaurer une </w:t>
      </w:r>
      <w:r w:rsidRPr="0071782F">
        <w:rPr>
          <w:lang w:val="fr-CH"/>
        </w:rPr>
        <w:t xml:space="preserve">coordination </w:t>
      </w:r>
      <w:r w:rsidR="00634A0D" w:rsidRPr="0071782F">
        <w:rPr>
          <w:lang w:val="fr-CH"/>
        </w:rPr>
        <w:t>entre les divers départements de l’Organisme ont amené à créer au sein de ce dernier le Comité d’action préventive et de lutte contre le sida</w:t>
      </w:r>
      <w:r w:rsidRPr="0071782F">
        <w:rPr>
          <w:lang w:val="fr-CH"/>
        </w:rPr>
        <w:t xml:space="preserve">, </w:t>
      </w:r>
      <w:r w:rsidR="00634A0D" w:rsidRPr="0071782F">
        <w:rPr>
          <w:lang w:val="fr-CH"/>
        </w:rPr>
        <w:t>présidé par le Directeur de cet Organisme</w:t>
      </w:r>
      <w:r w:rsidRPr="0071782F">
        <w:rPr>
          <w:lang w:val="fr-CH"/>
        </w:rPr>
        <w:t xml:space="preserve">. </w:t>
      </w:r>
    </w:p>
    <w:p w:rsidR="003A6D8B" w:rsidRPr="0071782F" w:rsidRDefault="003A6D8B" w:rsidP="003A6D8B">
      <w:pPr>
        <w:pStyle w:val="SingleTxtG"/>
        <w:ind w:left="1701"/>
        <w:rPr>
          <w:lang w:val="fr-CH"/>
        </w:rPr>
      </w:pPr>
      <w:r w:rsidRPr="0071782F">
        <w:rPr>
          <w:lang w:val="fr-CH"/>
        </w:rPr>
        <w:t>332.4.</w:t>
      </w:r>
      <w:r w:rsidRPr="0071782F">
        <w:rPr>
          <w:lang w:val="fr-CH"/>
        </w:rPr>
        <w:tab/>
      </w:r>
      <w:r w:rsidR="00634A0D" w:rsidRPr="0071782F">
        <w:rPr>
          <w:lang w:val="fr-CH"/>
        </w:rPr>
        <w:t xml:space="preserve">Ce Comité </w:t>
      </w:r>
      <w:r w:rsidR="004861EF" w:rsidRPr="0071782F">
        <w:rPr>
          <w:lang w:val="fr-CH"/>
        </w:rPr>
        <w:t>est composé des directeurs généraux des départements concernés, et son secrétariat est installé dans le Département des affaires culturelles et de prévention</w:t>
      </w:r>
      <w:r w:rsidRPr="0071782F">
        <w:rPr>
          <w:lang w:val="fr-CH"/>
        </w:rPr>
        <w:t xml:space="preserve">. </w:t>
      </w:r>
      <w:r w:rsidR="004861EF" w:rsidRPr="0071782F">
        <w:rPr>
          <w:lang w:val="fr-CH"/>
        </w:rPr>
        <w:t>Il a également été décidé de créer au sein du secrétariat des sous-comités de spécialistes des différents départements.</w:t>
      </w:r>
      <w:r w:rsidRPr="0071782F">
        <w:rPr>
          <w:lang w:val="fr-CH"/>
        </w:rPr>
        <w:t xml:space="preserve"> </w:t>
      </w:r>
    </w:p>
    <w:p w:rsidR="003A6D8B" w:rsidRPr="0071782F" w:rsidRDefault="003A6D8B" w:rsidP="003A6D8B">
      <w:pPr>
        <w:pStyle w:val="SingleTxtG"/>
        <w:ind w:left="1701"/>
        <w:rPr>
          <w:lang w:val="fr-CH"/>
        </w:rPr>
      </w:pPr>
      <w:r w:rsidRPr="0071782F">
        <w:rPr>
          <w:lang w:val="fr-CH"/>
        </w:rPr>
        <w:t>332.5.</w:t>
      </w:r>
      <w:r w:rsidRPr="0071782F">
        <w:rPr>
          <w:lang w:val="fr-CH"/>
        </w:rPr>
        <w:tab/>
      </w:r>
      <w:r w:rsidR="00A2381F" w:rsidRPr="0071782F">
        <w:rPr>
          <w:lang w:val="fr-CH"/>
        </w:rPr>
        <w:t xml:space="preserve">Les trois principales </w:t>
      </w:r>
      <w:r w:rsidRPr="0071782F">
        <w:rPr>
          <w:lang w:val="fr-CH"/>
        </w:rPr>
        <w:t>strat</w:t>
      </w:r>
      <w:r w:rsidR="00A2381F" w:rsidRPr="0071782F">
        <w:rPr>
          <w:lang w:val="fr-CH"/>
        </w:rPr>
        <w:t>é</w:t>
      </w:r>
      <w:r w:rsidRPr="0071782F">
        <w:rPr>
          <w:lang w:val="fr-CH"/>
        </w:rPr>
        <w:t xml:space="preserve">gies </w:t>
      </w:r>
      <w:r w:rsidR="00A2381F" w:rsidRPr="0071782F">
        <w:rPr>
          <w:lang w:val="fr-CH"/>
        </w:rPr>
        <w:t>du Comité sont l’éducation mutuelle, la réduction des situations de préjudice associées aux comportements à haut risque, l’appui social et la prévention positive</w:t>
      </w:r>
      <w:r w:rsidRPr="0071782F">
        <w:rPr>
          <w:lang w:val="fr-CH"/>
        </w:rPr>
        <w:t>.</w:t>
      </w:r>
    </w:p>
    <w:p w:rsidR="003A6D8B" w:rsidRPr="0071782F" w:rsidRDefault="003A6D8B" w:rsidP="003A6D8B">
      <w:pPr>
        <w:pStyle w:val="SingleTxtG"/>
        <w:ind w:left="1701"/>
        <w:rPr>
          <w:lang w:val="fr-CH"/>
        </w:rPr>
      </w:pPr>
      <w:r w:rsidRPr="0071782F">
        <w:rPr>
          <w:lang w:val="fr-CH"/>
        </w:rPr>
        <w:t>332.6.</w:t>
      </w:r>
      <w:r w:rsidRPr="0071782F">
        <w:rPr>
          <w:lang w:val="fr-CH"/>
        </w:rPr>
        <w:tab/>
      </w:r>
      <w:r w:rsidR="00A2381F" w:rsidRPr="0071782F">
        <w:rPr>
          <w:lang w:val="fr-CH"/>
        </w:rPr>
        <w:t xml:space="preserve">En sus d’informer les groupes à haut risque tels que les consommateurs de drogues injectables et </w:t>
      </w:r>
      <w:r w:rsidR="001F3F05" w:rsidRPr="0071782F">
        <w:rPr>
          <w:lang w:val="fr-CH"/>
        </w:rPr>
        <w:t>leur famille</w:t>
      </w:r>
      <w:r w:rsidR="00A2381F" w:rsidRPr="0071782F">
        <w:rPr>
          <w:lang w:val="fr-CH"/>
        </w:rPr>
        <w:t xml:space="preserve">, les femmes aux caractéristiques spéciales, </w:t>
      </w:r>
      <w:r w:rsidR="00A233C2" w:rsidRPr="0071782F">
        <w:rPr>
          <w:lang w:val="fr-CH"/>
        </w:rPr>
        <w:t>les personnes</w:t>
      </w:r>
      <w:r w:rsidR="00A2381F" w:rsidRPr="0071782F">
        <w:rPr>
          <w:lang w:val="fr-CH"/>
        </w:rPr>
        <w:t xml:space="preserve"> ayant un comportement sexuel à haut risque et les enfants des rues, le Comité d’action préventive et de lutte contre le sida concentre ses efforts sur la prévention du sida parmi </w:t>
      </w:r>
      <w:r w:rsidR="00A233C2" w:rsidRPr="0071782F">
        <w:rPr>
          <w:lang w:val="fr-CH"/>
        </w:rPr>
        <w:t>les personnes</w:t>
      </w:r>
      <w:r w:rsidR="00A2381F" w:rsidRPr="0071782F">
        <w:rPr>
          <w:lang w:val="fr-CH"/>
        </w:rPr>
        <w:t xml:space="preserve"> qui exercent une profession à haut risque</w:t>
      </w:r>
      <w:r w:rsidRPr="0071782F">
        <w:rPr>
          <w:lang w:val="fr-CH"/>
        </w:rPr>
        <w:t xml:space="preserve">. </w:t>
      </w:r>
    </w:p>
    <w:p w:rsidR="003A6D8B" w:rsidRPr="0071782F" w:rsidRDefault="003A6D8B" w:rsidP="003A6D8B">
      <w:pPr>
        <w:pStyle w:val="SingleTxtG"/>
        <w:ind w:left="1701"/>
        <w:rPr>
          <w:lang w:val="fr-CH"/>
        </w:rPr>
      </w:pPr>
      <w:r w:rsidRPr="0071782F">
        <w:rPr>
          <w:lang w:val="fr-CH"/>
        </w:rPr>
        <w:t>332.7.</w:t>
      </w:r>
      <w:r w:rsidRPr="0071782F">
        <w:rPr>
          <w:lang w:val="fr-CH"/>
        </w:rPr>
        <w:tab/>
      </w:r>
      <w:r w:rsidR="00A2381F" w:rsidRPr="0071782F">
        <w:rPr>
          <w:lang w:val="fr-CH"/>
        </w:rPr>
        <w:t xml:space="preserve">Sous les auspices de l’Organisme public pour la protection sociale, le Comité s’occupera principalement de dispenser une formation spécifique </w:t>
      </w:r>
      <w:r w:rsidR="00175962" w:rsidRPr="0071782F">
        <w:rPr>
          <w:lang w:val="fr-CH"/>
        </w:rPr>
        <w:t>aux personnes</w:t>
      </w:r>
      <w:r w:rsidR="00A2381F" w:rsidRPr="0071782F">
        <w:rPr>
          <w:lang w:val="fr-CH"/>
        </w:rPr>
        <w:t xml:space="preserve"> âgées, </w:t>
      </w:r>
      <w:r w:rsidR="00175962" w:rsidRPr="0071782F">
        <w:rPr>
          <w:lang w:val="fr-CH"/>
        </w:rPr>
        <w:t>aux personnes</w:t>
      </w:r>
      <w:r w:rsidR="00A2381F" w:rsidRPr="0071782F">
        <w:rPr>
          <w:lang w:val="fr-CH"/>
        </w:rPr>
        <w:t xml:space="preserve"> handicapées, aux enfants des rues et aux toxicomanes séropositifs, ainsi qu’</w:t>
      </w:r>
      <w:r w:rsidR="00175962" w:rsidRPr="0071782F">
        <w:rPr>
          <w:lang w:val="fr-CH"/>
        </w:rPr>
        <w:t>aux personnes</w:t>
      </w:r>
      <w:r w:rsidR="00A2381F" w:rsidRPr="0071782F">
        <w:rPr>
          <w:lang w:val="fr-CH"/>
        </w:rPr>
        <w:t xml:space="preserve"> exerçant des professions à haut risque. En outre, il fournira un appui </w:t>
      </w:r>
      <w:r w:rsidRPr="0071782F">
        <w:rPr>
          <w:lang w:val="fr-CH"/>
        </w:rPr>
        <w:t>financi</w:t>
      </w:r>
      <w:r w:rsidR="00A2381F" w:rsidRPr="0071782F">
        <w:rPr>
          <w:lang w:val="fr-CH"/>
        </w:rPr>
        <w:t xml:space="preserve">er et </w:t>
      </w:r>
      <w:r w:rsidRPr="0071782F">
        <w:rPr>
          <w:lang w:val="fr-CH"/>
        </w:rPr>
        <w:t xml:space="preserve">social </w:t>
      </w:r>
      <w:r w:rsidR="00A2381F" w:rsidRPr="0071782F">
        <w:rPr>
          <w:lang w:val="fr-CH"/>
        </w:rPr>
        <w:t xml:space="preserve">aux toxicomanes séropositifs et à leur organisation pour combattre le sida à l’aide d’une approche fondée sur la prévention positive. Il convient de noter que </w:t>
      </w:r>
      <w:r w:rsidR="00A233C2" w:rsidRPr="0071782F">
        <w:rPr>
          <w:lang w:val="fr-CH"/>
        </w:rPr>
        <w:t>les personnes</w:t>
      </w:r>
      <w:r w:rsidR="00A2381F" w:rsidRPr="0071782F">
        <w:rPr>
          <w:lang w:val="fr-CH"/>
        </w:rPr>
        <w:t xml:space="preserve"> séropositives reçoivent des aides supplémentaires de l’Organisme.</w:t>
      </w:r>
      <w:r w:rsidRPr="0071782F">
        <w:rPr>
          <w:lang w:val="fr-CH"/>
        </w:rPr>
        <w:t xml:space="preserve"> </w:t>
      </w:r>
    </w:p>
    <w:p w:rsidR="003A6D8B" w:rsidRPr="0071782F" w:rsidRDefault="003A6D8B" w:rsidP="003A6D8B">
      <w:pPr>
        <w:pStyle w:val="SingleTxtG"/>
        <w:ind w:left="1701"/>
        <w:rPr>
          <w:lang w:val="fr-CH"/>
        </w:rPr>
      </w:pPr>
      <w:r w:rsidRPr="0071782F">
        <w:rPr>
          <w:lang w:val="fr-CH"/>
        </w:rPr>
        <w:t>332.8.</w:t>
      </w:r>
      <w:r w:rsidRPr="0071782F">
        <w:rPr>
          <w:lang w:val="fr-CH"/>
        </w:rPr>
        <w:tab/>
      </w:r>
      <w:r w:rsidR="00A2381F" w:rsidRPr="0071782F">
        <w:rPr>
          <w:lang w:val="fr-CH"/>
        </w:rPr>
        <w:t xml:space="preserve">Par ailleurs, le Comité s’emploiera à mettre en place les </w:t>
      </w:r>
      <w:r w:rsidRPr="0071782F">
        <w:rPr>
          <w:lang w:val="fr-CH"/>
        </w:rPr>
        <w:t>infrastructure</w:t>
      </w:r>
      <w:r w:rsidR="00A2381F" w:rsidRPr="0071782F">
        <w:rPr>
          <w:lang w:val="fr-CH"/>
        </w:rPr>
        <w:t>s nécessaires aux activités de réduction des situations de préjudice</w:t>
      </w:r>
      <w:r w:rsidRPr="0071782F">
        <w:rPr>
          <w:lang w:val="fr-CH"/>
        </w:rPr>
        <w:t>.</w:t>
      </w:r>
    </w:p>
    <w:p w:rsidR="003A6D8B" w:rsidRPr="0071782F" w:rsidRDefault="003A6D8B" w:rsidP="003A6D8B">
      <w:pPr>
        <w:pStyle w:val="H1G"/>
        <w:rPr>
          <w:lang w:val="fr-CH"/>
        </w:rPr>
      </w:pPr>
      <w:r w:rsidRPr="0071782F">
        <w:rPr>
          <w:lang w:val="fr-CH"/>
        </w:rPr>
        <w:tab/>
      </w:r>
      <w:r w:rsidRPr="0071782F">
        <w:rPr>
          <w:lang w:val="fr-CH"/>
        </w:rPr>
        <w:tab/>
      </w:r>
      <w:r w:rsidR="00A2381F" w:rsidRPr="0071782F">
        <w:rPr>
          <w:lang w:val="fr-CH"/>
        </w:rPr>
        <w:t xml:space="preserve">Programmes du Comité d’action préventive et de lutte contre le sida </w:t>
      </w:r>
    </w:p>
    <w:p w:rsidR="003A6D8B" w:rsidRPr="0071782F" w:rsidRDefault="003A6D8B" w:rsidP="004F3CCD">
      <w:pPr>
        <w:pStyle w:val="SingleTxtG"/>
        <w:rPr>
          <w:lang w:val="fr-CH"/>
        </w:rPr>
      </w:pPr>
      <w:r w:rsidRPr="0071782F">
        <w:rPr>
          <w:lang w:val="fr-CH"/>
        </w:rPr>
        <w:t>333.</w:t>
      </w:r>
      <w:r w:rsidRPr="0071782F">
        <w:rPr>
          <w:lang w:val="fr-CH"/>
        </w:rPr>
        <w:tab/>
      </w:r>
      <w:r w:rsidR="00A2381F" w:rsidRPr="0071782F">
        <w:rPr>
          <w:lang w:val="fr-CH"/>
        </w:rPr>
        <w:t>Ces programmes sont notamment les suivants</w:t>
      </w:r>
      <w:r w:rsidR="008F7D33" w:rsidRPr="0071782F">
        <w:rPr>
          <w:lang w:val="fr-CH"/>
        </w:rPr>
        <w:t>:</w:t>
      </w:r>
      <w:r w:rsidRPr="0071782F">
        <w:rPr>
          <w:lang w:val="fr-CH"/>
        </w:rPr>
        <w:t xml:space="preserve"> </w:t>
      </w:r>
    </w:p>
    <w:p w:rsidR="003A6D8B" w:rsidRPr="0071782F" w:rsidRDefault="003A6D8B" w:rsidP="004F3CCD">
      <w:pPr>
        <w:pStyle w:val="SingleTxtG"/>
        <w:ind w:left="1701"/>
        <w:rPr>
          <w:lang w:val="fr-CH"/>
        </w:rPr>
      </w:pPr>
      <w:r w:rsidRPr="0071782F">
        <w:rPr>
          <w:lang w:val="fr-CH"/>
        </w:rPr>
        <w:t>333.1.</w:t>
      </w:r>
      <w:r w:rsidRPr="0071782F">
        <w:rPr>
          <w:lang w:val="fr-CH"/>
        </w:rPr>
        <w:tab/>
      </w:r>
      <w:r w:rsidR="00A2381F" w:rsidRPr="0071782F">
        <w:rPr>
          <w:lang w:val="fr-CH"/>
        </w:rPr>
        <w:t>É</w:t>
      </w:r>
      <w:r w:rsidRPr="0071782F">
        <w:rPr>
          <w:lang w:val="fr-CH"/>
        </w:rPr>
        <w:t>ducation:</w:t>
      </w:r>
    </w:p>
    <w:p w:rsidR="003A6D8B" w:rsidRPr="0071782F" w:rsidRDefault="003A6D8B" w:rsidP="004F3CCD">
      <w:pPr>
        <w:pStyle w:val="Bullet2G"/>
        <w:rPr>
          <w:lang w:val="fr-CH"/>
        </w:rPr>
      </w:pPr>
      <w:r w:rsidRPr="0071782F">
        <w:rPr>
          <w:lang w:val="fr-CH"/>
        </w:rPr>
        <w:tab/>
      </w:r>
      <w:r w:rsidR="00A2381F" w:rsidRPr="0071782F">
        <w:rPr>
          <w:lang w:val="fr-CH"/>
        </w:rPr>
        <w:t xml:space="preserve">Formation de formateurs spécialisés dans la prévention du sida </w:t>
      </w:r>
    </w:p>
    <w:p w:rsidR="003A6D8B" w:rsidRPr="0071782F" w:rsidRDefault="003A6D8B" w:rsidP="004F3CCD">
      <w:pPr>
        <w:pStyle w:val="Bullet2G"/>
        <w:rPr>
          <w:lang w:val="fr-CH"/>
        </w:rPr>
      </w:pPr>
      <w:r w:rsidRPr="0071782F">
        <w:rPr>
          <w:lang w:val="fr-CH"/>
        </w:rPr>
        <w:tab/>
      </w:r>
      <w:r w:rsidR="00A2381F" w:rsidRPr="0071782F">
        <w:rPr>
          <w:lang w:val="fr-CH"/>
        </w:rPr>
        <w:t xml:space="preserve">Formation de pairs formateurs </w:t>
      </w:r>
    </w:p>
    <w:p w:rsidR="003A6D8B" w:rsidRPr="0071782F" w:rsidRDefault="003A6D8B" w:rsidP="004F3CCD">
      <w:pPr>
        <w:pStyle w:val="SingleTxtG"/>
        <w:ind w:left="1701"/>
        <w:rPr>
          <w:lang w:val="fr-CH"/>
        </w:rPr>
      </w:pPr>
      <w:r w:rsidRPr="0071782F">
        <w:rPr>
          <w:lang w:val="fr-CH"/>
        </w:rPr>
        <w:t>333.2.</w:t>
      </w:r>
      <w:r w:rsidRPr="0071782F">
        <w:rPr>
          <w:lang w:val="fr-CH"/>
        </w:rPr>
        <w:tab/>
      </w:r>
      <w:r w:rsidR="00A2381F" w:rsidRPr="0071782F">
        <w:rPr>
          <w:lang w:val="fr-CH"/>
        </w:rPr>
        <w:t xml:space="preserve">Mise en place d’un réseau national de prévention du sida parmi les groupes à haut risque, avec la participation de pairs formateurs et de moniteurs d’éducation </w:t>
      </w:r>
      <w:r w:rsidR="007A7663" w:rsidRPr="0071782F">
        <w:rPr>
          <w:lang w:val="fr-CH"/>
        </w:rPr>
        <w:t>mutuelle</w:t>
      </w:r>
      <w:r w:rsidRPr="0071782F">
        <w:rPr>
          <w:lang w:val="fr-CH"/>
        </w:rPr>
        <w:t>.</w:t>
      </w:r>
    </w:p>
    <w:p w:rsidR="003A6D8B" w:rsidRPr="0071782F" w:rsidRDefault="003A6D8B" w:rsidP="004F3CCD">
      <w:pPr>
        <w:pStyle w:val="SingleTxtG"/>
        <w:ind w:left="1701"/>
        <w:rPr>
          <w:lang w:val="fr-CH"/>
        </w:rPr>
      </w:pPr>
      <w:r w:rsidRPr="0071782F">
        <w:rPr>
          <w:lang w:val="fr-CH"/>
        </w:rPr>
        <w:t>333.3.</w:t>
      </w:r>
      <w:r w:rsidRPr="0071782F">
        <w:rPr>
          <w:lang w:val="fr-CH"/>
        </w:rPr>
        <w:tab/>
        <w:t xml:space="preserve">Distribution </w:t>
      </w:r>
      <w:r w:rsidR="00A2381F" w:rsidRPr="0071782F">
        <w:rPr>
          <w:lang w:val="fr-CH"/>
        </w:rPr>
        <w:t>de fournitures médicales</w:t>
      </w:r>
      <w:r w:rsidRPr="0071782F">
        <w:rPr>
          <w:lang w:val="fr-CH"/>
        </w:rPr>
        <w:t>.</w:t>
      </w:r>
    </w:p>
    <w:p w:rsidR="003A6D8B" w:rsidRPr="0071782F" w:rsidRDefault="003A6D8B" w:rsidP="004F3CCD">
      <w:pPr>
        <w:pStyle w:val="SingleTxtG"/>
        <w:ind w:left="1701"/>
        <w:rPr>
          <w:lang w:val="fr-CH"/>
        </w:rPr>
      </w:pPr>
      <w:r w:rsidRPr="0071782F">
        <w:rPr>
          <w:lang w:val="fr-CH"/>
        </w:rPr>
        <w:t>333.4.</w:t>
      </w:r>
      <w:r w:rsidRPr="0071782F">
        <w:rPr>
          <w:lang w:val="fr-CH"/>
        </w:rPr>
        <w:tab/>
      </w:r>
      <w:r w:rsidR="00A2381F" w:rsidRPr="0071782F">
        <w:rPr>
          <w:lang w:val="fr-CH"/>
        </w:rPr>
        <w:t xml:space="preserve">Services de </w:t>
      </w:r>
      <w:r w:rsidRPr="0071782F">
        <w:rPr>
          <w:lang w:val="fr-CH"/>
        </w:rPr>
        <w:t xml:space="preserve">consultation </w:t>
      </w:r>
      <w:r w:rsidR="00A2381F" w:rsidRPr="0071782F">
        <w:rPr>
          <w:lang w:val="fr-CH"/>
        </w:rPr>
        <w:t>et de dépistage volontaires (CDV) pour le sida</w:t>
      </w:r>
      <w:r w:rsidRPr="0071782F">
        <w:rPr>
          <w:lang w:val="fr-CH"/>
        </w:rPr>
        <w:t>.</w:t>
      </w:r>
    </w:p>
    <w:p w:rsidR="003A6D8B" w:rsidRPr="0071782F" w:rsidRDefault="003A6D8B" w:rsidP="006478AE">
      <w:pPr>
        <w:pStyle w:val="H1G"/>
        <w:rPr>
          <w:lang w:val="fr-CH"/>
        </w:rPr>
      </w:pPr>
      <w:r w:rsidRPr="0071782F">
        <w:rPr>
          <w:lang w:val="fr-CH"/>
        </w:rPr>
        <w:tab/>
      </w:r>
      <w:r w:rsidRPr="0071782F">
        <w:rPr>
          <w:lang w:val="fr-CH"/>
        </w:rPr>
        <w:tab/>
      </w:r>
      <w:r w:rsidR="00125E6E" w:rsidRPr="0071782F">
        <w:rPr>
          <w:lang w:val="fr-CH"/>
        </w:rPr>
        <w:t xml:space="preserve">Approche </w:t>
      </w:r>
      <w:r w:rsidR="007A7663" w:rsidRPr="0071782F">
        <w:rPr>
          <w:lang w:val="fr-CH"/>
        </w:rPr>
        <w:t>fondée sur</w:t>
      </w:r>
      <w:r w:rsidR="00125E6E" w:rsidRPr="0071782F">
        <w:rPr>
          <w:lang w:val="fr-CH"/>
        </w:rPr>
        <w:t xml:space="preserve"> </w:t>
      </w:r>
      <w:r w:rsidR="007A7663" w:rsidRPr="0071782F">
        <w:rPr>
          <w:lang w:val="fr-CH"/>
        </w:rPr>
        <w:t>l</w:t>
      </w:r>
      <w:r w:rsidR="00125E6E" w:rsidRPr="0071782F">
        <w:rPr>
          <w:lang w:val="fr-CH"/>
        </w:rPr>
        <w:t xml:space="preserve">’éducation </w:t>
      </w:r>
    </w:p>
    <w:p w:rsidR="003A6D8B" w:rsidRPr="0071782F" w:rsidRDefault="003A6D8B" w:rsidP="00E86031">
      <w:pPr>
        <w:pStyle w:val="SingleTxtG"/>
        <w:rPr>
          <w:lang w:val="fr-CH"/>
        </w:rPr>
      </w:pPr>
      <w:r w:rsidRPr="0071782F">
        <w:rPr>
          <w:lang w:val="fr-CH"/>
        </w:rPr>
        <w:t>334.</w:t>
      </w:r>
      <w:r w:rsidRPr="0071782F">
        <w:rPr>
          <w:lang w:val="fr-CH"/>
        </w:rPr>
        <w:tab/>
      </w:r>
      <w:r w:rsidR="00125E6E" w:rsidRPr="0071782F">
        <w:rPr>
          <w:lang w:val="fr-CH"/>
        </w:rPr>
        <w:t>L’éducation est considérée dans le monde entier comme l’un des principaux mécanismes permettant de faire face aux situations de préjudice social et de promouvoir la santé</w:t>
      </w:r>
      <w:r w:rsidRPr="0071782F">
        <w:rPr>
          <w:lang w:val="fr-CH"/>
        </w:rPr>
        <w:t xml:space="preserve">. </w:t>
      </w:r>
      <w:r w:rsidR="00311ED6" w:rsidRPr="0071782F">
        <w:rPr>
          <w:lang w:val="fr-CH"/>
        </w:rPr>
        <w:t xml:space="preserve">Dans le plan </w:t>
      </w:r>
      <w:r w:rsidRPr="0071782F">
        <w:rPr>
          <w:lang w:val="fr-CH"/>
        </w:rPr>
        <w:t>strat</w:t>
      </w:r>
      <w:r w:rsidR="00311ED6" w:rsidRPr="0071782F">
        <w:rPr>
          <w:lang w:val="fr-CH"/>
        </w:rPr>
        <w:t xml:space="preserve">égique d’action préventive et de lutte contre le sida comme dans le </w:t>
      </w:r>
      <w:r w:rsidRPr="0071782F">
        <w:rPr>
          <w:lang w:val="fr-CH"/>
        </w:rPr>
        <w:t>program</w:t>
      </w:r>
      <w:r w:rsidR="00311ED6" w:rsidRPr="0071782F">
        <w:rPr>
          <w:lang w:val="fr-CH"/>
        </w:rPr>
        <w:t>me du Fonds monétaire i</w:t>
      </w:r>
      <w:r w:rsidRPr="0071782F">
        <w:rPr>
          <w:lang w:val="fr-CH"/>
        </w:rPr>
        <w:t xml:space="preserve">nternational, </w:t>
      </w:r>
      <w:r w:rsidR="00311ED6" w:rsidRPr="0071782F">
        <w:rPr>
          <w:lang w:val="fr-CH"/>
        </w:rPr>
        <w:t>l’é</w:t>
      </w:r>
      <w:r w:rsidRPr="0071782F">
        <w:rPr>
          <w:lang w:val="fr-CH"/>
        </w:rPr>
        <w:t xml:space="preserve">ducation </w:t>
      </w:r>
      <w:r w:rsidR="00311ED6" w:rsidRPr="0071782F">
        <w:rPr>
          <w:lang w:val="fr-CH"/>
        </w:rPr>
        <w:t>constitue une activité essentielle</w:t>
      </w:r>
      <w:r w:rsidRPr="0071782F">
        <w:rPr>
          <w:lang w:val="fr-CH"/>
        </w:rPr>
        <w:t xml:space="preserve">. </w:t>
      </w:r>
      <w:r w:rsidR="00311ED6" w:rsidRPr="0071782F">
        <w:rPr>
          <w:lang w:val="fr-CH"/>
        </w:rPr>
        <w:t>Étant donné que l’Organisme public de protection sociale a accès aux groupes à risque et à haut risque, les consommateurs de drogues injectables et les autres toxicomanes, les conjoints des consommateurs de drogues injectables, les travailleurs du sexe et les enfants des rues sont devenus les principaux destinataires des activités éducatives de l’Organisme.</w:t>
      </w:r>
      <w:r w:rsidRPr="0071782F">
        <w:rPr>
          <w:lang w:val="fr-CH"/>
        </w:rPr>
        <w:t xml:space="preserve"> </w:t>
      </w:r>
    </w:p>
    <w:p w:rsidR="003A6D8B" w:rsidRPr="0071782F" w:rsidRDefault="003A6D8B" w:rsidP="003A6D8B">
      <w:pPr>
        <w:pStyle w:val="SingleTxtG"/>
        <w:rPr>
          <w:lang w:val="fr-CH"/>
        </w:rPr>
      </w:pPr>
      <w:r w:rsidRPr="0071782F">
        <w:rPr>
          <w:lang w:val="fr-CH"/>
        </w:rPr>
        <w:t>335.</w:t>
      </w:r>
      <w:r w:rsidRPr="0071782F">
        <w:rPr>
          <w:lang w:val="fr-CH"/>
        </w:rPr>
        <w:tab/>
      </w:r>
      <w:r w:rsidR="007A7663" w:rsidRPr="0071782F">
        <w:rPr>
          <w:lang w:val="fr-CH"/>
        </w:rPr>
        <w:t xml:space="preserve">Vu l’ampleur du problème et la difficulté d’accéder à toutes </w:t>
      </w:r>
      <w:r w:rsidR="00A233C2" w:rsidRPr="0071782F">
        <w:rPr>
          <w:lang w:val="fr-CH"/>
        </w:rPr>
        <w:t>les personnes</w:t>
      </w:r>
      <w:r w:rsidR="007A7663" w:rsidRPr="0071782F">
        <w:rPr>
          <w:lang w:val="fr-CH"/>
        </w:rPr>
        <w:t xml:space="preserve"> concernées, le Comité d’action préventive et de lutte contre le sida, qui relève de l’Organisme public pour la protection sociale, a incorporé l’éducation mutuelle dans son programme d’activités.</w:t>
      </w:r>
    </w:p>
    <w:p w:rsidR="003A6D8B" w:rsidRPr="0071782F" w:rsidRDefault="003A6D8B" w:rsidP="003A6D8B">
      <w:pPr>
        <w:pStyle w:val="SingleTxtG"/>
        <w:rPr>
          <w:lang w:val="fr-CH"/>
        </w:rPr>
      </w:pPr>
      <w:r w:rsidRPr="0071782F">
        <w:rPr>
          <w:lang w:val="fr-CH"/>
        </w:rPr>
        <w:t>336.</w:t>
      </w:r>
      <w:r w:rsidRPr="0071782F">
        <w:rPr>
          <w:lang w:val="fr-CH"/>
        </w:rPr>
        <w:tab/>
      </w:r>
      <w:r w:rsidR="007A7663" w:rsidRPr="0071782F">
        <w:rPr>
          <w:lang w:val="fr-CH"/>
        </w:rPr>
        <w:t>L’éducation mutuelle est un processus par le biais duquel des activités éducatives formelles ou informelles sont dispensées à des pairs à titre individuel ou en petits groupes pendant des périodes de temps données</w:t>
      </w:r>
      <w:r w:rsidRPr="0071782F">
        <w:rPr>
          <w:lang w:val="fr-CH"/>
        </w:rPr>
        <w:t>.</w:t>
      </w:r>
    </w:p>
    <w:p w:rsidR="003A6D8B" w:rsidRPr="0071782F" w:rsidRDefault="003A6D8B" w:rsidP="003A6D8B">
      <w:pPr>
        <w:pStyle w:val="SingleTxtG"/>
        <w:rPr>
          <w:lang w:val="fr-CH"/>
        </w:rPr>
      </w:pPr>
      <w:r w:rsidRPr="0071782F">
        <w:rPr>
          <w:lang w:val="fr-CH"/>
        </w:rPr>
        <w:t>337.</w:t>
      </w:r>
      <w:r w:rsidRPr="0071782F">
        <w:rPr>
          <w:lang w:val="fr-CH"/>
        </w:rPr>
        <w:tab/>
      </w:r>
      <w:r w:rsidR="007A7663" w:rsidRPr="0071782F">
        <w:rPr>
          <w:lang w:val="fr-CH"/>
        </w:rPr>
        <w:t xml:space="preserve">Un moniteur d’éducation mutuelle est une personne qui a cessé de se livrer à un comportement à haut risque et qui inculque à ses pairs un comportement positif visant à prévenir le VIH/sida. </w:t>
      </w:r>
    </w:p>
    <w:p w:rsidR="003A6D8B" w:rsidRPr="0071782F" w:rsidRDefault="003A6D8B" w:rsidP="003A6D8B">
      <w:pPr>
        <w:pStyle w:val="SingleTxtG"/>
        <w:rPr>
          <w:lang w:val="fr-CH"/>
        </w:rPr>
      </w:pPr>
      <w:r w:rsidRPr="0071782F">
        <w:rPr>
          <w:lang w:val="fr-CH"/>
        </w:rPr>
        <w:t>338.</w:t>
      </w:r>
      <w:r w:rsidRPr="0071782F">
        <w:rPr>
          <w:lang w:val="fr-CH"/>
        </w:rPr>
        <w:tab/>
      </w:r>
      <w:r w:rsidR="007A7663" w:rsidRPr="0071782F">
        <w:rPr>
          <w:lang w:val="fr-CH"/>
        </w:rPr>
        <w:t>Cette approche se fonde sur des théories telles que l’apprentissage cognitif et social, selon laquelle si une personne semblable à soi s’est comportée d’une certaine manière et en a été récompensée, on tend à imiter ce modèle</w:t>
      </w:r>
      <w:r w:rsidRPr="0071782F">
        <w:rPr>
          <w:lang w:val="fr-CH"/>
        </w:rPr>
        <w:t>.</w:t>
      </w:r>
    </w:p>
    <w:p w:rsidR="003A6D8B" w:rsidRPr="0071782F" w:rsidRDefault="003A6D8B" w:rsidP="003A6D8B">
      <w:pPr>
        <w:pStyle w:val="SingleTxtG"/>
        <w:rPr>
          <w:lang w:val="fr-CH"/>
        </w:rPr>
      </w:pPr>
      <w:r w:rsidRPr="0071782F">
        <w:rPr>
          <w:lang w:val="fr-CH"/>
        </w:rPr>
        <w:t>339.</w:t>
      </w:r>
      <w:r w:rsidRPr="0071782F">
        <w:rPr>
          <w:lang w:val="fr-CH"/>
        </w:rPr>
        <w:tab/>
      </w:r>
      <w:r w:rsidR="007A7663" w:rsidRPr="0071782F">
        <w:rPr>
          <w:lang w:val="fr-CH"/>
        </w:rPr>
        <w:t xml:space="preserve">Par ailleurs, si </w:t>
      </w:r>
      <w:r w:rsidR="00A233C2" w:rsidRPr="0071782F">
        <w:rPr>
          <w:lang w:val="fr-CH"/>
        </w:rPr>
        <w:t>les personnes</w:t>
      </w:r>
      <w:r w:rsidR="007A7663" w:rsidRPr="0071782F">
        <w:rPr>
          <w:lang w:val="fr-CH"/>
        </w:rPr>
        <w:t xml:space="preserve"> qui ont cessé de se livrer à un certain comportement sont analogues, d’un point de vue démographique, à celles qui continuent de s’y livrer et qu’elles tirent sati</w:t>
      </w:r>
      <w:r w:rsidR="0031271B" w:rsidRPr="0071782F">
        <w:rPr>
          <w:lang w:val="fr-CH"/>
        </w:rPr>
        <w:t>s</w:t>
      </w:r>
      <w:r w:rsidR="007A7663" w:rsidRPr="0071782F">
        <w:rPr>
          <w:lang w:val="fr-CH"/>
        </w:rPr>
        <w:t xml:space="preserve">faction du fait de ne plus s’y livrer, elles transmettent ce sentiment de satisfaction </w:t>
      </w:r>
      <w:r w:rsidR="00175962" w:rsidRPr="0071782F">
        <w:rPr>
          <w:lang w:val="fr-CH"/>
        </w:rPr>
        <w:t>aux personnes</w:t>
      </w:r>
      <w:r w:rsidR="007A7663" w:rsidRPr="0071782F">
        <w:rPr>
          <w:lang w:val="fr-CH"/>
        </w:rPr>
        <w:t xml:space="preserve"> qui se livrent toujours au comportement à haut risque en question, ce qui peut amener ces dernières à penser qu’elles peuvent elles aussi adopter le même comportement sain.</w:t>
      </w:r>
    </w:p>
    <w:p w:rsidR="003A6D8B" w:rsidRPr="0071782F" w:rsidRDefault="003A6D8B" w:rsidP="003A6D8B">
      <w:pPr>
        <w:pStyle w:val="H1G"/>
        <w:rPr>
          <w:lang w:val="fr-CH"/>
        </w:rPr>
      </w:pPr>
      <w:r w:rsidRPr="0071782F">
        <w:rPr>
          <w:lang w:val="fr-CH"/>
        </w:rPr>
        <w:tab/>
      </w:r>
      <w:r w:rsidRPr="0071782F">
        <w:rPr>
          <w:lang w:val="fr-CH"/>
        </w:rPr>
        <w:tab/>
      </w:r>
      <w:r w:rsidR="007A7663" w:rsidRPr="0071782F">
        <w:rPr>
          <w:lang w:val="fr-CH"/>
        </w:rPr>
        <w:t xml:space="preserve">Approche fondée sur l’appui social </w:t>
      </w:r>
    </w:p>
    <w:p w:rsidR="003A6D8B" w:rsidRPr="0071782F" w:rsidRDefault="003A6D8B" w:rsidP="003A6D8B">
      <w:pPr>
        <w:pStyle w:val="SingleTxtG"/>
        <w:rPr>
          <w:lang w:val="fr-CH"/>
        </w:rPr>
      </w:pPr>
      <w:r w:rsidRPr="0071782F">
        <w:rPr>
          <w:lang w:val="fr-CH"/>
        </w:rPr>
        <w:t>340.</w:t>
      </w:r>
      <w:r w:rsidRPr="0071782F">
        <w:rPr>
          <w:lang w:val="fr-CH"/>
        </w:rPr>
        <w:tab/>
      </w:r>
      <w:r w:rsidR="002A67A2" w:rsidRPr="0071782F">
        <w:rPr>
          <w:lang w:val="fr-CH"/>
        </w:rPr>
        <w:t>À ce sujet, il convient de noter ce qui suit</w:t>
      </w:r>
      <w:r w:rsidR="008F7D33" w:rsidRPr="0071782F">
        <w:rPr>
          <w:lang w:val="fr-CH"/>
        </w:rPr>
        <w:t>:</w:t>
      </w:r>
    </w:p>
    <w:p w:rsidR="003A6D8B" w:rsidRPr="0071782F" w:rsidRDefault="003A6D8B" w:rsidP="003A6D8B">
      <w:pPr>
        <w:pStyle w:val="SingleTxtG"/>
        <w:ind w:left="1701"/>
        <w:rPr>
          <w:lang w:val="fr-CH"/>
        </w:rPr>
      </w:pPr>
      <w:r w:rsidRPr="0071782F">
        <w:rPr>
          <w:lang w:val="fr-CH"/>
        </w:rPr>
        <w:t>340.1.</w:t>
      </w:r>
      <w:r w:rsidRPr="0071782F">
        <w:rPr>
          <w:lang w:val="fr-CH"/>
        </w:rPr>
        <w:tab/>
      </w:r>
      <w:r w:rsidR="00C06474" w:rsidRPr="0071782F">
        <w:rPr>
          <w:lang w:val="fr-CH"/>
        </w:rPr>
        <w:t>Les symptômes physiques et</w:t>
      </w:r>
      <w:r w:rsidRPr="0071782F">
        <w:rPr>
          <w:lang w:val="fr-CH"/>
        </w:rPr>
        <w:t xml:space="preserve"> </w:t>
      </w:r>
      <w:r w:rsidR="00C06474" w:rsidRPr="0071782F">
        <w:rPr>
          <w:lang w:val="fr-CH"/>
        </w:rPr>
        <w:t>psychosomatiques ainsi que la sévère réduction</w:t>
      </w:r>
      <w:r w:rsidR="00D36718">
        <w:rPr>
          <w:lang w:val="fr-CH"/>
        </w:rPr>
        <w:t xml:space="preserve"> </w:t>
      </w:r>
      <w:r w:rsidR="00C06474" w:rsidRPr="0071782F">
        <w:rPr>
          <w:lang w:val="fr-CH"/>
        </w:rPr>
        <w:t xml:space="preserve">des capacités sociales </w:t>
      </w:r>
      <w:r w:rsidR="007F37CE" w:rsidRPr="0071782F">
        <w:rPr>
          <w:lang w:val="fr-CH"/>
        </w:rPr>
        <w:t>des personnes</w:t>
      </w:r>
      <w:r w:rsidR="00C06474" w:rsidRPr="0071782F">
        <w:rPr>
          <w:lang w:val="fr-CH"/>
        </w:rPr>
        <w:t xml:space="preserve"> séropositives entraînent des dommages irréversibles pour </w:t>
      </w:r>
      <w:r w:rsidR="00C36750" w:rsidRPr="0071782F">
        <w:rPr>
          <w:lang w:val="fr-CH"/>
        </w:rPr>
        <w:t>ces personnes</w:t>
      </w:r>
      <w:r w:rsidR="00C06474" w:rsidRPr="0071782F">
        <w:rPr>
          <w:lang w:val="fr-CH"/>
        </w:rPr>
        <w:t xml:space="preserve">, </w:t>
      </w:r>
      <w:r w:rsidR="001F3F05" w:rsidRPr="0071782F">
        <w:rPr>
          <w:lang w:val="fr-CH"/>
        </w:rPr>
        <w:t>leur famille</w:t>
      </w:r>
      <w:r w:rsidR="00C06474" w:rsidRPr="0071782F">
        <w:rPr>
          <w:lang w:val="fr-CH"/>
        </w:rPr>
        <w:t xml:space="preserve"> et les autres groupes de la société</w:t>
      </w:r>
      <w:r w:rsidRPr="0071782F">
        <w:rPr>
          <w:lang w:val="fr-CH"/>
        </w:rPr>
        <w:t xml:space="preserve">. </w:t>
      </w:r>
    </w:p>
    <w:p w:rsidR="003A6D8B" w:rsidRPr="0071782F" w:rsidRDefault="003A6D8B" w:rsidP="003A6D8B">
      <w:pPr>
        <w:pStyle w:val="SingleTxtG"/>
        <w:ind w:left="1701"/>
        <w:rPr>
          <w:lang w:val="fr-CH"/>
        </w:rPr>
      </w:pPr>
      <w:r w:rsidRPr="0071782F">
        <w:rPr>
          <w:lang w:val="fr-CH"/>
        </w:rPr>
        <w:t>340.2.</w:t>
      </w:r>
      <w:r w:rsidRPr="0071782F">
        <w:rPr>
          <w:lang w:val="fr-CH"/>
        </w:rPr>
        <w:tab/>
      </w:r>
      <w:r w:rsidR="00C06474" w:rsidRPr="0071782F">
        <w:rPr>
          <w:lang w:val="fr-CH"/>
        </w:rPr>
        <w:t xml:space="preserve">Il convient d’y ajouter la dévalorisation sociale associée à l’infection par le VIH, dont les conséquences sont notamment la </w:t>
      </w:r>
      <w:r w:rsidRPr="0071782F">
        <w:rPr>
          <w:lang w:val="fr-CH"/>
        </w:rPr>
        <w:t>discrimination</w:t>
      </w:r>
      <w:r w:rsidR="00C06474" w:rsidRPr="0071782F">
        <w:rPr>
          <w:lang w:val="fr-CH"/>
        </w:rPr>
        <w:t xml:space="preserve"> et l’inégalité d’accès et d’utilisation des différents services sanitaires et sociaux</w:t>
      </w:r>
      <w:r w:rsidRPr="0071782F">
        <w:rPr>
          <w:lang w:val="fr-CH"/>
        </w:rPr>
        <w:t xml:space="preserve">. </w:t>
      </w:r>
    </w:p>
    <w:p w:rsidR="003A6D8B" w:rsidRPr="0071782F" w:rsidRDefault="003A6D8B" w:rsidP="003A6D8B">
      <w:pPr>
        <w:pStyle w:val="SingleTxtG"/>
        <w:ind w:left="1701"/>
        <w:rPr>
          <w:lang w:val="fr-CH"/>
        </w:rPr>
      </w:pPr>
      <w:r w:rsidRPr="0071782F">
        <w:rPr>
          <w:lang w:val="fr-CH"/>
        </w:rPr>
        <w:t>340.3.</w:t>
      </w:r>
      <w:r w:rsidRPr="0071782F">
        <w:rPr>
          <w:lang w:val="fr-CH"/>
        </w:rPr>
        <w:tab/>
      </w:r>
      <w:r w:rsidR="00C06474" w:rsidRPr="0071782F">
        <w:rPr>
          <w:lang w:val="fr-CH"/>
        </w:rPr>
        <w:t xml:space="preserve">Ces conséquences </w:t>
      </w:r>
      <w:r w:rsidRPr="0071782F">
        <w:rPr>
          <w:lang w:val="fr-CH"/>
        </w:rPr>
        <w:t>social</w:t>
      </w:r>
      <w:r w:rsidR="00C06474" w:rsidRPr="0071782F">
        <w:rPr>
          <w:lang w:val="fr-CH"/>
        </w:rPr>
        <w:t>es</w:t>
      </w:r>
      <w:r w:rsidRPr="0071782F">
        <w:rPr>
          <w:lang w:val="fr-CH"/>
        </w:rPr>
        <w:t xml:space="preserve"> </w:t>
      </w:r>
      <w:r w:rsidR="00C06474" w:rsidRPr="0071782F">
        <w:rPr>
          <w:lang w:val="fr-CH"/>
        </w:rPr>
        <w:t>sont plus marquées dans les sociétés peu sensibilisées au VIH et au sida et où l’infection et la maladie sont moins bien comprises</w:t>
      </w:r>
      <w:r w:rsidRPr="0071782F">
        <w:rPr>
          <w:lang w:val="fr-CH"/>
        </w:rPr>
        <w:t>.</w:t>
      </w:r>
    </w:p>
    <w:p w:rsidR="003A6D8B" w:rsidRPr="0071782F" w:rsidRDefault="003A6D8B" w:rsidP="003A6D8B">
      <w:pPr>
        <w:pStyle w:val="SingleTxtG"/>
        <w:ind w:left="1701"/>
        <w:rPr>
          <w:lang w:val="fr-CH"/>
        </w:rPr>
      </w:pPr>
      <w:r w:rsidRPr="0071782F">
        <w:rPr>
          <w:lang w:val="fr-CH"/>
        </w:rPr>
        <w:t>340.4.</w:t>
      </w:r>
      <w:r w:rsidRPr="0071782F">
        <w:rPr>
          <w:lang w:val="fr-CH"/>
        </w:rPr>
        <w:tab/>
      </w:r>
      <w:r w:rsidR="00C06474" w:rsidRPr="0071782F">
        <w:rPr>
          <w:lang w:val="fr-CH"/>
        </w:rPr>
        <w:t xml:space="preserve">Dans un tel contexte, le renforcement de l’autonomie et de l’aptitude à la vie quotidienne des séropositifs, qui doit permettre à ces derniers d’accepter la responsabilité de s’opposer à la propagation du VIH, est indispensable au succès des programmes. Il contribue à réduire la dévalorisation et la discrimination visant </w:t>
      </w:r>
      <w:r w:rsidR="00A233C2" w:rsidRPr="0071782F">
        <w:rPr>
          <w:lang w:val="fr-CH"/>
        </w:rPr>
        <w:t>les personnes</w:t>
      </w:r>
      <w:r w:rsidR="00C06474" w:rsidRPr="0071782F">
        <w:rPr>
          <w:lang w:val="fr-CH"/>
        </w:rPr>
        <w:t xml:space="preserve"> concernées et à préserver leurs droits et leur dignité humaine au sein de la société, dans les environnements professionnel et éducatif et dans la vie en général.</w:t>
      </w:r>
      <w:r w:rsidR="00D36718">
        <w:rPr>
          <w:lang w:val="fr-CH"/>
        </w:rPr>
        <w:t xml:space="preserve"> </w:t>
      </w:r>
    </w:p>
    <w:p w:rsidR="00333944" w:rsidRPr="0071782F" w:rsidRDefault="00333944" w:rsidP="00F80163">
      <w:pPr>
        <w:pStyle w:val="SingleTxtG"/>
        <w:ind w:left="1701"/>
        <w:rPr>
          <w:lang w:val="fr-CH"/>
        </w:rPr>
      </w:pPr>
      <w:r w:rsidRPr="0071782F">
        <w:rPr>
          <w:lang w:val="fr-CH"/>
        </w:rPr>
        <w:t>340.5.</w:t>
      </w:r>
      <w:r w:rsidRPr="0071782F">
        <w:rPr>
          <w:lang w:val="fr-CH"/>
        </w:rPr>
        <w:tab/>
      </w:r>
      <w:r w:rsidR="00F90130" w:rsidRPr="0071782F">
        <w:rPr>
          <w:lang w:val="fr-CH"/>
        </w:rPr>
        <w:t xml:space="preserve">La peur de la mort, de la solitude, de la dévalorisation et de la </w:t>
      </w:r>
      <w:r w:rsidRPr="0071782F">
        <w:rPr>
          <w:lang w:val="fr-CH"/>
        </w:rPr>
        <w:t xml:space="preserve">discrimination, </w:t>
      </w:r>
      <w:r w:rsidR="00F90130" w:rsidRPr="0071782F">
        <w:rPr>
          <w:lang w:val="fr-CH"/>
        </w:rPr>
        <w:t xml:space="preserve">et la peur de perdre leur emploi et de se déconsidérer vis-à-vis de leurs amis et de </w:t>
      </w:r>
      <w:r w:rsidR="001F3F05" w:rsidRPr="0071782F">
        <w:rPr>
          <w:lang w:val="fr-CH"/>
        </w:rPr>
        <w:t>leur famille</w:t>
      </w:r>
      <w:r w:rsidR="00F90130" w:rsidRPr="0071782F">
        <w:rPr>
          <w:lang w:val="fr-CH"/>
        </w:rPr>
        <w:t xml:space="preserve"> poussent les </w:t>
      </w:r>
      <w:r w:rsidRPr="0071782F">
        <w:rPr>
          <w:lang w:val="fr-CH"/>
        </w:rPr>
        <w:t xml:space="preserve">patients </w:t>
      </w:r>
      <w:r w:rsidR="00F90130" w:rsidRPr="0071782F">
        <w:rPr>
          <w:lang w:val="fr-CH"/>
        </w:rPr>
        <w:t>à cac</w:t>
      </w:r>
      <w:r w:rsidR="002A67A2" w:rsidRPr="0071782F">
        <w:rPr>
          <w:lang w:val="fr-CH"/>
        </w:rPr>
        <w:t>her leur état, ce qui contribue</w:t>
      </w:r>
      <w:r w:rsidR="00F90130" w:rsidRPr="0071782F">
        <w:rPr>
          <w:lang w:val="fr-CH"/>
        </w:rPr>
        <w:t xml:space="preserve"> à propager davantage la maladie</w:t>
      </w:r>
      <w:r w:rsidRPr="0071782F">
        <w:rPr>
          <w:lang w:val="fr-CH"/>
        </w:rPr>
        <w:t xml:space="preserve">. </w:t>
      </w:r>
    </w:p>
    <w:p w:rsidR="00333944" w:rsidRPr="0071782F" w:rsidRDefault="00333944" w:rsidP="00F80163">
      <w:pPr>
        <w:pStyle w:val="SingleTxtG"/>
        <w:ind w:left="1701"/>
        <w:rPr>
          <w:lang w:val="fr-CH"/>
        </w:rPr>
      </w:pPr>
      <w:r w:rsidRPr="0071782F">
        <w:rPr>
          <w:lang w:val="fr-CH"/>
        </w:rPr>
        <w:t>340.6.</w:t>
      </w:r>
      <w:r w:rsidRPr="0071782F">
        <w:rPr>
          <w:lang w:val="fr-CH"/>
        </w:rPr>
        <w:tab/>
      </w:r>
      <w:r w:rsidR="00F90130" w:rsidRPr="0071782F">
        <w:rPr>
          <w:lang w:val="fr-CH"/>
        </w:rPr>
        <w:t xml:space="preserve">Les séropositifs sont particulièrement </w:t>
      </w:r>
      <w:r w:rsidRPr="0071782F">
        <w:rPr>
          <w:lang w:val="fr-CH"/>
        </w:rPr>
        <w:t>vuln</w:t>
      </w:r>
      <w:r w:rsidR="00F90130" w:rsidRPr="0071782F">
        <w:rPr>
          <w:lang w:val="fr-CH"/>
        </w:rPr>
        <w:t>é</w:t>
      </w:r>
      <w:r w:rsidRPr="0071782F">
        <w:rPr>
          <w:lang w:val="fr-CH"/>
        </w:rPr>
        <w:t>rable</w:t>
      </w:r>
      <w:r w:rsidR="00F90130" w:rsidRPr="0071782F">
        <w:rPr>
          <w:lang w:val="fr-CH"/>
        </w:rPr>
        <w:t>s</w:t>
      </w:r>
      <w:r w:rsidRPr="0071782F">
        <w:rPr>
          <w:lang w:val="fr-CH"/>
        </w:rPr>
        <w:t xml:space="preserve"> </w:t>
      </w:r>
      <w:r w:rsidR="00F90130" w:rsidRPr="0071782F">
        <w:rPr>
          <w:lang w:val="fr-CH"/>
        </w:rPr>
        <w:t xml:space="preserve">et, en raison des préjugés et de la peur de contracter la maladie, se heurtent à la </w:t>
      </w:r>
      <w:r w:rsidRPr="0071782F">
        <w:rPr>
          <w:lang w:val="fr-CH"/>
        </w:rPr>
        <w:t>discriminat</w:t>
      </w:r>
      <w:r w:rsidR="00F90130" w:rsidRPr="0071782F">
        <w:rPr>
          <w:lang w:val="fr-CH"/>
        </w:rPr>
        <w:t>ion en matière de logement, d’emploi, voire de services de santé.</w:t>
      </w:r>
      <w:r w:rsidR="00D36718">
        <w:rPr>
          <w:lang w:val="fr-CH"/>
        </w:rPr>
        <w:t xml:space="preserve"> </w:t>
      </w:r>
      <w:r w:rsidR="00F90130" w:rsidRPr="0071782F">
        <w:rPr>
          <w:lang w:val="fr-CH"/>
        </w:rPr>
        <w:t>Étant donné que l’on ne guérit pas du sida, l’une des principales mesures à adopter est la prévention et l’appui aux patients de façon qu’ils puissent mener une vie décente</w:t>
      </w:r>
      <w:r w:rsidRPr="0071782F">
        <w:rPr>
          <w:lang w:val="fr-CH"/>
        </w:rPr>
        <w:t xml:space="preserve">. </w:t>
      </w:r>
    </w:p>
    <w:p w:rsidR="00333944" w:rsidRPr="0071782F" w:rsidRDefault="00333944" w:rsidP="00F80163">
      <w:pPr>
        <w:pStyle w:val="SingleTxtG"/>
        <w:ind w:left="1701"/>
        <w:rPr>
          <w:lang w:val="fr-CH"/>
        </w:rPr>
      </w:pPr>
      <w:r w:rsidRPr="0071782F">
        <w:rPr>
          <w:lang w:val="fr-CH"/>
        </w:rPr>
        <w:t>340.7.</w:t>
      </w:r>
      <w:r w:rsidRPr="0071782F">
        <w:rPr>
          <w:lang w:val="fr-CH"/>
        </w:rPr>
        <w:tab/>
      </w:r>
      <w:r w:rsidR="00F90130" w:rsidRPr="0071782F">
        <w:rPr>
          <w:lang w:val="fr-CH"/>
        </w:rPr>
        <w:t>L’appui s</w:t>
      </w:r>
      <w:r w:rsidRPr="0071782F">
        <w:rPr>
          <w:lang w:val="fr-CH"/>
        </w:rPr>
        <w:t xml:space="preserve">ocial </w:t>
      </w:r>
      <w:r w:rsidR="00F90130" w:rsidRPr="0071782F">
        <w:rPr>
          <w:lang w:val="fr-CH"/>
        </w:rPr>
        <w:t>aux séropositifs peut non seulement leur procurer une vie décente, mais aussi éviter à l’ensemble de la société un grand nombre de problèmes, de maladies et de conséquences sociales et sanitaires</w:t>
      </w:r>
      <w:r w:rsidRPr="0071782F">
        <w:rPr>
          <w:lang w:val="fr-CH"/>
        </w:rPr>
        <w:t xml:space="preserve">. </w:t>
      </w:r>
    </w:p>
    <w:p w:rsidR="00333944" w:rsidRPr="0071782F" w:rsidRDefault="00333944" w:rsidP="00F80163">
      <w:pPr>
        <w:pStyle w:val="SingleTxtG"/>
        <w:ind w:left="1701"/>
        <w:rPr>
          <w:lang w:val="fr-CH"/>
        </w:rPr>
      </w:pPr>
      <w:r w:rsidRPr="0071782F">
        <w:rPr>
          <w:lang w:val="fr-CH"/>
        </w:rPr>
        <w:t>340.8.</w:t>
      </w:r>
      <w:r w:rsidRPr="0071782F">
        <w:rPr>
          <w:lang w:val="fr-CH"/>
        </w:rPr>
        <w:tab/>
      </w:r>
      <w:r w:rsidR="005176B8" w:rsidRPr="0071782F">
        <w:rPr>
          <w:lang w:val="fr-CH"/>
        </w:rPr>
        <w:t>L’</w:t>
      </w:r>
      <w:r w:rsidRPr="0071782F">
        <w:rPr>
          <w:lang w:val="fr-CH"/>
        </w:rPr>
        <w:t xml:space="preserve">adoption </w:t>
      </w:r>
      <w:r w:rsidR="005176B8" w:rsidRPr="0071782F">
        <w:rPr>
          <w:lang w:val="fr-CH"/>
        </w:rPr>
        <w:t xml:space="preserve">d’une </w:t>
      </w:r>
      <w:r w:rsidRPr="0071782F">
        <w:rPr>
          <w:lang w:val="fr-CH"/>
        </w:rPr>
        <w:t>strat</w:t>
      </w:r>
      <w:r w:rsidR="005176B8" w:rsidRPr="0071782F">
        <w:rPr>
          <w:lang w:val="fr-CH"/>
        </w:rPr>
        <w:t>é</w:t>
      </w:r>
      <w:r w:rsidRPr="0071782F">
        <w:rPr>
          <w:lang w:val="fr-CH"/>
        </w:rPr>
        <w:t>g</w:t>
      </w:r>
      <w:r w:rsidR="005176B8" w:rsidRPr="0071782F">
        <w:rPr>
          <w:lang w:val="fr-CH"/>
        </w:rPr>
        <w:t xml:space="preserve">ie fondée sur la prévention </w:t>
      </w:r>
      <w:r w:rsidRPr="0071782F">
        <w:rPr>
          <w:lang w:val="fr-CH"/>
        </w:rPr>
        <w:t xml:space="preserve">positive, </w:t>
      </w:r>
      <w:r w:rsidR="005176B8" w:rsidRPr="0071782F">
        <w:rPr>
          <w:lang w:val="fr-CH"/>
        </w:rPr>
        <w:t>c’est-à-dire la</w:t>
      </w:r>
      <w:r w:rsidR="00D36718">
        <w:rPr>
          <w:lang w:val="fr-CH"/>
        </w:rPr>
        <w:t xml:space="preserve"> </w:t>
      </w:r>
      <w:r w:rsidRPr="0071782F">
        <w:rPr>
          <w:lang w:val="fr-CH"/>
        </w:rPr>
        <w:t xml:space="preserve">participation </w:t>
      </w:r>
      <w:r w:rsidR="005176B8" w:rsidRPr="0071782F">
        <w:rPr>
          <w:lang w:val="fr-CH"/>
        </w:rPr>
        <w:t xml:space="preserve">active des séropositifs et des sidéens aux programmes de </w:t>
      </w:r>
      <w:r w:rsidRPr="0071782F">
        <w:rPr>
          <w:lang w:val="fr-CH"/>
        </w:rPr>
        <w:t>pr</w:t>
      </w:r>
      <w:r w:rsidR="005176B8" w:rsidRPr="0071782F">
        <w:rPr>
          <w:lang w:val="fr-CH"/>
        </w:rPr>
        <w:t>é</w:t>
      </w:r>
      <w:r w:rsidRPr="0071782F">
        <w:rPr>
          <w:lang w:val="fr-CH"/>
        </w:rPr>
        <w:t xml:space="preserve">vention, </w:t>
      </w:r>
      <w:r w:rsidR="005176B8" w:rsidRPr="0071782F">
        <w:rPr>
          <w:lang w:val="fr-CH"/>
        </w:rPr>
        <w:t>d’éducation et de réduction des situations de préjudice, est l’une des façons de faire face à ce phénomène</w:t>
      </w:r>
      <w:r w:rsidRPr="0071782F">
        <w:rPr>
          <w:lang w:val="fr-CH"/>
        </w:rPr>
        <w:t xml:space="preserve">. </w:t>
      </w:r>
      <w:r w:rsidR="005176B8" w:rsidRPr="0071782F">
        <w:rPr>
          <w:lang w:val="fr-CH"/>
        </w:rPr>
        <w:t xml:space="preserve">La </w:t>
      </w:r>
      <w:r w:rsidRPr="0071782F">
        <w:rPr>
          <w:lang w:val="fr-CH"/>
        </w:rPr>
        <w:t>pr</w:t>
      </w:r>
      <w:r w:rsidR="005176B8" w:rsidRPr="0071782F">
        <w:rPr>
          <w:lang w:val="fr-CH"/>
        </w:rPr>
        <w:t>é</w:t>
      </w:r>
      <w:r w:rsidRPr="0071782F">
        <w:rPr>
          <w:lang w:val="fr-CH"/>
        </w:rPr>
        <w:t xml:space="preserve">vention </w:t>
      </w:r>
      <w:r w:rsidR="005176B8" w:rsidRPr="0071782F">
        <w:rPr>
          <w:lang w:val="fr-CH"/>
        </w:rPr>
        <w:t xml:space="preserve">positive suppose de donner </w:t>
      </w:r>
      <w:r w:rsidR="00175962" w:rsidRPr="0071782F">
        <w:rPr>
          <w:lang w:val="fr-CH"/>
        </w:rPr>
        <w:t>aux personnes</w:t>
      </w:r>
      <w:r w:rsidR="005176B8" w:rsidRPr="0071782F">
        <w:rPr>
          <w:lang w:val="fr-CH"/>
        </w:rPr>
        <w:t xml:space="preserve"> concernées les moyens de prendre conscience d’une éventuelle </w:t>
      </w:r>
      <w:r w:rsidRPr="0071782F">
        <w:rPr>
          <w:lang w:val="fr-CH"/>
        </w:rPr>
        <w:t xml:space="preserve">transmission </w:t>
      </w:r>
      <w:r w:rsidR="005176B8" w:rsidRPr="0071782F">
        <w:rPr>
          <w:lang w:val="fr-CH"/>
        </w:rPr>
        <w:t xml:space="preserve">de la maladie à leur conjoint, à </w:t>
      </w:r>
      <w:r w:rsidR="001F3F05" w:rsidRPr="0071782F">
        <w:rPr>
          <w:lang w:val="fr-CH"/>
        </w:rPr>
        <w:t>leur famille</w:t>
      </w:r>
      <w:r w:rsidR="005176B8" w:rsidRPr="0071782F">
        <w:rPr>
          <w:lang w:val="fr-CH"/>
        </w:rPr>
        <w:t xml:space="preserve"> et à la société</w:t>
      </w:r>
      <w:r w:rsidRPr="0071782F">
        <w:rPr>
          <w:lang w:val="fr-CH"/>
        </w:rPr>
        <w:t>.</w:t>
      </w:r>
    </w:p>
    <w:p w:rsidR="00333944" w:rsidRPr="0071782F" w:rsidRDefault="00333944" w:rsidP="00333944">
      <w:pPr>
        <w:pStyle w:val="H1G"/>
        <w:tabs>
          <w:tab w:val="left" w:pos="1134"/>
          <w:tab w:val="left" w:pos="1701"/>
          <w:tab w:val="left" w:pos="2268"/>
          <w:tab w:val="left" w:pos="3560"/>
        </w:tabs>
        <w:rPr>
          <w:lang w:val="fr-CH"/>
        </w:rPr>
      </w:pPr>
      <w:r w:rsidRPr="0071782F">
        <w:rPr>
          <w:lang w:val="fr-CH"/>
        </w:rPr>
        <w:tab/>
      </w:r>
      <w:r w:rsidRPr="0071782F">
        <w:rPr>
          <w:lang w:val="fr-CH"/>
        </w:rPr>
        <w:tab/>
      </w:r>
      <w:r w:rsidR="005176B8" w:rsidRPr="0071782F">
        <w:rPr>
          <w:lang w:val="fr-CH"/>
        </w:rPr>
        <w:t xml:space="preserve">Résultats obtenus </w:t>
      </w:r>
    </w:p>
    <w:p w:rsidR="00333944" w:rsidRPr="0071782F" w:rsidRDefault="005176B8" w:rsidP="00333944">
      <w:pPr>
        <w:pStyle w:val="SingleTxtG"/>
        <w:spacing w:after="0"/>
        <w:rPr>
          <w:lang w:val="fr-CH"/>
        </w:rPr>
      </w:pPr>
      <w:r w:rsidRPr="0071782F">
        <w:rPr>
          <w:lang w:val="fr-CH"/>
        </w:rPr>
        <w:t>341.</w:t>
      </w:r>
      <w:r w:rsidRPr="0071782F">
        <w:rPr>
          <w:lang w:val="fr-CH"/>
        </w:rPr>
        <w:tab/>
        <w:t>Organis</w:t>
      </w:r>
      <w:r w:rsidR="00333944" w:rsidRPr="0071782F">
        <w:rPr>
          <w:lang w:val="fr-CH"/>
        </w:rPr>
        <w:t xml:space="preserve">ation </w:t>
      </w:r>
      <w:r w:rsidRPr="0071782F">
        <w:rPr>
          <w:lang w:val="fr-CH"/>
        </w:rPr>
        <w:t>de quatre ateliers nationaux</w:t>
      </w:r>
      <w:r w:rsidR="00333944" w:rsidRPr="0071782F">
        <w:rPr>
          <w:lang w:val="fr-CH"/>
        </w:rPr>
        <w:t xml:space="preserve">; </w:t>
      </w:r>
      <w:r w:rsidRPr="0071782F">
        <w:rPr>
          <w:lang w:val="fr-CH"/>
        </w:rPr>
        <w:t xml:space="preserve">formation de </w:t>
      </w:r>
      <w:r w:rsidR="00333944" w:rsidRPr="0071782F">
        <w:rPr>
          <w:lang w:val="fr-CH"/>
        </w:rPr>
        <w:t>1</w:t>
      </w:r>
      <w:r w:rsidR="000E7A9B">
        <w:rPr>
          <w:lang w:val="fr-CH"/>
        </w:rPr>
        <w:t> </w:t>
      </w:r>
      <w:r w:rsidR="00333944" w:rsidRPr="0071782F">
        <w:rPr>
          <w:lang w:val="fr-CH"/>
        </w:rPr>
        <w:t xml:space="preserve">300 </w:t>
      </w:r>
      <w:r w:rsidRPr="0071782F">
        <w:rPr>
          <w:lang w:val="fr-CH"/>
        </w:rPr>
        <w:t xml:space="preserve">moniteurs d’éducation mutuelle pour </w:t>
      </w:r>
      <w:r w:rsidR="00A233C2" w:rsidRPr="0071782F">
        <w:rPr>
          <w:lang w:val="fr-CH"/>
        </w:rPr>
        <w:t>les personnes</w:t>
      </w:r>
      <w:r w:rsidRPr="0071782F">
        <w:rPr>
          <w:lang w:val="fr-CH"/>
        </w:rPr>
        <w:t xml:space="preserve"> en situation de haut risque</w:t>
      </w:r>
      <w:r w:rsidR="00333944" w:rsidRPr="0071782F">
        <w:rPr>
          <w:lang w:val="fr-CH"/>
        </w:rPr>
        <w:t xml:space="preserve">; </w:t>
      </w:r>
      <w:r w:rsidRPr="0071782F">
        <w:rPr>
          <w:lang w:val="fr-CH"/>
        </w:rPr>
        <w:t xml:space="preserve">éducation à la prévention du sida dispensée à </w:t>
      </w:r>
      <w:r w:rsidR="00333944" w:rsidRPr="0071782F">
        <w:rPr>
          <w:lang w:val="fr-CH"/>
        </w:rPr>
        <w:t>80</w:t>
      </w:r>
      <w:r w:rsidR="000E7A9B">
        <w:rPr>
          <w:lang w:val="fr-CH"/>
        </w:rPr>
        <w:t> </w:t>
      </w:r>
      <w:r w:rsidR="00333944" w:rsidRPr="0071782F">
        <w:rPr>
          <w:lang w:val="fr-CH"/>
        </w:rPr>
        <w:t>000</w:t>
      </w:r>
      <w:r w:rsidR="00097CDB" w:rsidRPr="0071782F">
        <w:rPr>
          <w:lang w:val="fr-CH"/>
        </w:rPr>
        <w:t> personnes</w:t>
      </w:r>
      <w:r w:rsidRPr="0071782F">
        <w:rPr>
          <w:lang w:val="fr-CH"/>
        </w:rPr>
        <w:t xml:space="preserve"> à risque ou à haut risque</w:t>
      </w:r>
      <w:r w:rsidR="00333944" w:rsidRPr="0071782F">
        <w:rPr>
          <w:lang w:val="fr-CH"/>
        </w:rPr>
        <w:t xml:space="preserve">; distribution </w:t>
      </w:r>
      <w:r w:rsidRPr="0071782F">
        <w:rPr>
          <w:lang w:val="fr-CH"/>
        </w:rPr>
        <w:t>de 4 750</w:t>
      </w:r>
      <w:r w:rsidR="000E7A9B">
        <w:rPr>
          <w:lang w:val="fr-CH"/>
        </w:rPr>
        <w:t> </w:t>
      </w:r>
      <w:r w:rsidR="00333944" w:rsidRPr="0071782F">
        <w:rPr>
          <w:lang w:val="fr-CH"/>
        </w:rPr>
        <w:t>000</w:t>
      </w:r>
      <w:r w:rsidR="000E7A9B">
        <w:rPr>
          <w:lang w:val="fr-CH"/>
        </w:rPr>
        <w:t> </w:t>
      </w:r>
      <w:r w:rsidR="00333944" w:rsidRPr="0071782F">
        <w:rPr>
          <w:lang w:val="fr-CH"/>
        </w:rPr>
        <w:t>s</w:t>
      </w:r>
      <w:r w:rsidRPr="0071782F">
        <w:rPr>
          <w:lang w:val="fr-CH"/>
        </w:rPr>
        <w:t>eringues aux consommateurs de drogues injectables</w:t>
      </w:r>
      <w:r w:rsidR="00333944" w:rsidRPr="0071782F">
        <w:rPr>
          <w:lang w:val="fr-CH"/>
        </w:rPr>
        <w:t>; organi</w:t>
      </w:r>
      <w:r w:rsidRPr="0071782F">
        <w:rPr>
          <w:lang w:val="fr-CH"/>
        </w:rPr>
        <w:t>s</w:t>
      </w:r>
      <w:r w:rsidR="00333944" w:rsidRPr="0071782F">
        <w:rPr>
          <w:lang w:val="fr-CH"/>
        </w:rPr>
        <w:t xml:space="preserve">ation </w:t>
      </w:r>
      <w:r w:rsidRPr="0071782F">
        <w:rPr>
          <w:lang w:val="fr-CH"/>
        </w:rPr>
        <w:t xml:space="preserve">de </w:t>
      </w:r>
      <w:r w:rsidR="00333944" w:rsidRPr="0071782F">
        <w:rPr>
          <w:lang w:val="fr-CH"/>
        </w:rPr>
        <w:t>180 c</w:t>
      </w:r>
      <w:r w:rsidRPr="0071782F">
        <w:rPr>
          <w:lang w:val="fr-CH"/>
        </w:rPr>
        <w:t xml:space="preserve">ours dispensés par l’équipe de </w:t>
      </w:r>
      <w:r w:rsidR="00333944" w:rsidRPr="0071782F">
        <w:rPr>
          <w:lang w:val="fr-CH"/>
        </w:rPr>
        <w:t>sp</w:t>
      </w:r>
      <w:r w:rsidRPr="0071782F">
        <w:rPr>
          <w:lang w:val="fr-CH"/>
        </w:rPr>
        <w:t>é</w:t>
      </w:r>
      <w:r w:rsidR="00333944" w:rsidRPr="0071782F">
        <w:rPr>
          <w:lang w:val="fr-CH"/>
        </w:rPr>
        <w:t>cialist</w:t>
      </w:r>
      <w:r w:rsidRPr="0071782F">
        <w:rPr>
          <w:lang w:val="fr-CH"/>
        </w:rPr>
        <w:t>es de la formation de moniteurs d’éducation mutuelle pour les groupes à haut risque</w:t>
      </w:r>
      <w:r w:rsidR="00333944" w:rsidRPr="0071782F">
        <w:rPr>
          <w:lang w:val="fr-CH"/>
        </w:rPr>
        <w:t xml:space="preserve">; </w:t>
      </w:r>
      <w:r w:rsidRPr="0071782F">
        <w:rPr>
          <w:lang w:val="fr-CH"/>
        </w:rPr>
        <w:t xml:space="preserve">formation de </w:t>
      </w:r>
      <w:r w:rsidR="00333944" w:rsidRPr="0071782F">
        <w:rPr>
          <w:lang w:val="fr-CH"/>
        </w:rPr>
        <w:t xml:space="preserve">80 </w:t>
      </w:r>
      <w:r w:rsidR="0071782F" w:rsidRPr="0071782F">
        <w:rPr>
          <w:lang w:val="fr-CH"/>
        </w:rPr>
        <w:t>conseillers</w:t>
      </w:r>
      <w:r w:rsidRPr="0071782F">
        <w:rPr>
          <w:lang w:val="fr-CH"/>
        </w:rPr>
        <w:t xml:space="preserve"> chargés d’assurer des services de consultation et de dépistage volontaires (CDV) du sida</w:t>
      </w:r>
      <w:r w:rsidR="00333944" w:rsidRPr="0071782F">
        <w:rPr>
          <w:lang w:val="fr-CH"/>
        </w:rPr>
        <w:t xml:space="preserve">; </w:t>
      </w:r>
      <w:r w:rsidRPr="0071782F">
        <w:rPr>
          <w:lang w:val="fr-CH"/>
        </w:rPr>
        <w:t>fourniture à 3</w:t>
      </w:r>
      <w:r w:rsidR="000E7A9B">
        <w:rPr>
          <w:lang w:val="fr-CH"/>
        </w:rPr>
        <w:t> </w:t>
      </w:r>
      <w:r w:rsidRPr="0071782F">
        <w:rPr>
          <w:lang w:val="fr-CH"/>
        </w:rPr>
        <w:t>750</w:t>
      </w:r>
      <w:r w:rsidR="00097CDB" w:rsidRPr="0071782F">
        <w:rPr>
          <w:lang w:val="fr-CH"/>
        </w:rPr>
        <w:t> personnes</w:t>
      </w:r>
      <w:r w:rsidRPr="0071782F">
        <w:rPr>
          <w:lang w:val="fr-CH"/>
        </w:rPr>
        <w:t xml:space="preserve"> à haut risque de services de </w:t>
      </w:r>
      <w:r w:rsidR="00AE37C1" w:rsidRPr="0071782F">
        <w:rPr>
          <w:lang w:val="fr-CH"/>
        </w:rPr>
        <w:t>CDV</w:t>
      </w:r>
      <w:r w:rsidRPr="0071782F">
        <w:rPr>
          <w:lang w:val="fr-CH"/>
        </w:rPr>
        <w:t xml:space="preserve"> du sida dans le Centre de consultation pour les troubles du comportement</w:t>
      </w:r>
      <w:r w:rsidR="00333944" w:rsidRPr="0071782F">
        <w:rPr>
          <w:lang w:val="fr-CH"/>
        </w:rPr>
        <w:t xml:space="preserve">; </w:t>
      </w:r>
      <w:r w:rsidRPr="0071782F">
        <w:rPr>
          <w:lang w:val="fr-CH"/>
        </w:rPr>
        <w:t xml:space="preserve">formation aux comportements sains dispensée à </w:t>
      </w:r>
      <w:r w:rsidR="00333944" w:rsidRPr="0071782F">
        <w:rPr>
          <w:lang w:val="fr-CH"/>
        </w:rPr>
        <w:t>3</w:t>
      </w:r>
      <w:r w:rsidR="000E7A9B">
        <w:rPr>
          <w:lang w:val="fr-CH"/>
        </w:rPr>
        <w:t> </w:t>
      </w:r>
      <w:r w:rsidR="00333944" w:rsidRPr="0071782F">
        <w:rPr>
          <w:lang w:val="fr-CH"/>
        </w:rPr>
        <w:t>750</w:t>
      </w:r>
      <w:r w:rsidR="00097CDB" w:rsidRPr="0071782F">
        <w:rPr>
          <w:lang w:val="fr-CH"/>
        </w:rPr>
        <w:t> personnes</w:t>
      </w:r>
      <w:r w:rsidRPr="0071782F">
        <w:rPr>
          <w:lang w:val="fr-CH"/>
        </w:rPr>
        <w:t xml:space="preserve"> ayant passé un test volontaire de dépistage du sida</w:t>
      </w:r>
      <w:r w:rsidR="00333944" w:rsidRPr="0071782F">
        <w:rPr>
          <w:lang w:val="fr-CH"/>
        </w:rPr>
        <w:t xml:space="preserve">; </w:t>
      </w:r>
      <w:r w:rsidRPr="0071782F">
        <w:rPr>
          <w:lang w:val="fr-CH"/>
        </w:rPr>
        <w:t>établissement du programme stratégique pour une action de prévention et de lutte contre le sida, en attente d’approbation</w:t>
      </w:r>
      <w:r w:rsidR="00333944" w:rsidRPr="0071782F">
        <w:rPr>
          <w:lang w:val="fr-CH"/>
        </w:rPr>
        <w:t xml:space="preserve">; </w:t>
      </w:r>
      <w:r w:rsidRPr="0071782F">
        <w:rPr>
          <w:lang w:val="fr-CH"/>
        </w:rPr>
        <w:t xml:space="preserve">élaboration d’une directive éducative </w:t>
      </w:r>
      <w:r w:rsidR="00333944" w:rsidRPr="0071782F">
        <w:rPr>
          <w:lang w:val="fr-CH"/>
        </w:rPr>
        <w:t>sp</w:t>
      </w:r>
      <w:r w:rsidRPr="0071782F">
        <w:rPr>
          <w:lang w:val="fr-CH"/>
        </w:rPr>
        <w:t>é</w:t>
      </w:r>
      <w:r w:rsidR="00333944" w:rsidRPr="0071782F">
        <w:rPr>
          <w:lang w:val="fr-CH"/>
        </w:rPr>
        <w:t>cial</w:t>
      </w:r>
      <w:r w:rsidRPr="0071782F">
        <w:rPr>
          <w:lang w:val="fr-CH"/>
        </w:rPr>
        <w:t>e</w:t>
      </w:r>
      <w:r w:rsidR="00333944" w:rsidRPr="0071782F">
        <w:rPr>
          <w:lang w:val="fr-CH"/>
        </w:rPr>
        <w:t xml:space="preserve"> </w:t>
      </w:r>
      <w:r w:rsidRPr="0071782F">
        <w:rPr>
          <w:lang w:val="fr-CH"/>
        </w:rPr>
        <w:t>à l’intention des formateurs de groupes à comportements sexuels à haut risque</w:t>
      </w:r>
      <w:r w:rsidR="00333944" w:rsidRPr="0071782F">
        <w:rPr>
          <w:lang w:val="fr-CH"/>
        </w:rPr>
        <w:t xml:space="preserve">; </w:t>
      </w:r>
      <w:r w:rsidRPr="0071782F">
        <w:rPr>
          <w:lang w:val="fr-CH"/>
        </w:rPr>
        <w:t>élaboration d’une directive éducative spéciale à l’intention des moniteurs d’éducation mutuelle pour les groupes à comportements sexuels à haut risque</w:t>
      </w:r>
      <w:r w:rsidR="00333944" w:rsidRPr="0071782F">
        <w:rPr>
          <w:lang w:val="fr-CH"/>
        </w:rPr>
        <w:t xml:space="preserve">; </w:t>
      </w:r>
      <w:r w:rsidRPr="0071782F">
        <w:rPr>
          <w:lang w:val="fr-CH"/>
        </w:rPr>
        <w:t>élaboration d’une directive éducative spéciale à l’intention des moniteurs d’éducation mutuelle pour les consommateurs de drogues injectables</w:t>
      </w:r>
      <w:r w:rsidR="00333944" w:rsidRPr="0071782F">
        <w:rPr>
          <w:lang w:val="fr-CH"/>
        </w:rPr>
        <w:t xml:space="preserve">; formulation </w:t>
      </w:r>
      <w:r w:rsidRPr="0071782F">
        <w:rPr>
          <w:lang w:val="fr-CH"/>
        </w:rPr>
        <w:t xml:space="preserve">d’une proposition pour la </w:t>
      </w:r>
      <w:r w:rsidR="000E7A9B">
        <w:rPr>
          <w:lang w:val="fr-CH"/>
        </w:rPr>
        <w:t>huitième</w:t>
      </w:r>
      <w:r w:rsidRPr="0071782F">
        <w:rPr>
          <w:lang w:val="fr-CH"/>
        </w:rPr>
        <w:t xml:space="preserve"> phase du projet de prévention du sida du FMI</w:t>
      </w:r>
      <w:r w:rsidR="00333944" w:rsidRPr="0071782F">
        <w:rPr>
          <w:lang w:val="fr-CH"/>
        </w:rPr>
        <w:t xml:space="preserve">; </w:t>
      </w:r>
      <w:r w:rsidRPr="0071782F">
        <w:rPr>
          <w:lang w:val="fr-CH"/>
        </w:rPr>
        <w:t xml:space="preserve">et lancement de la </w:t>
      </w:r>
      <w:r w:rsidR="000E7A9B" w:rsidRPr="000E7A9B">
        <w:rPr>
          <w:lang w:val="fr-CH"/>
        </w:rPr>
        <w:t>huitième</w:t>
      </w:r>
      <w:r w:rsidRPr="0071782F">
        <w:rPr>
          <w:lang w:val="fr-CH"/>
        </w:rPr>
        <w:t xml:space="preserve"> phase du projet de prévention du sida du FMI</w:t>
      </w:r>
      <w:r w:rsidR="00333944" w:rsidRPr="0071782F">
        <w:rPr>
          <w:lang w:val="fr-CH"/>
        </w:rPr>
        <w:t xml:space="preserve">. </w:t>
      </w:r>
    </w:p>
    <w:p w:rsidR="00333944" w:rsidRPr="0071782F" w:rsidRDefault="00333944" w:rsidP="00333944">
      <w:pPr>
        <w:pStyle w:val="H23G"/>
        <w:rPr>
          <w:lang w:val="fr-CH"/>
        </w:rPr>
      </w:pPr>
      <w:r w:rsidRPr="0071782F">
        <w:rPr>
          <w:lang w:val="fr-CH"/>
        </w:rPr>
        <w:tab/>
      </w:r>
      <w:r w:rsidRPr="0071782F">
        <w:rPr>
          <w:lang w:val="fr-CH"/>
        </w:rPr>
        <w:tab/>
      </w:r>
      <w:r w:rsidR="005176B8" w:rsidRPr="0071782F">
        <w:rPr>
          <w:lang w:val="fr-CH"/>
        </w:rPr>
        <w:t xml:space="preserve">Département des affaires culturelles et de </w:t>
      </w:r>
      <w:r w:rsidR="00AE37C1" w:rsidRPr="0071782F">
        <w:rPr>
          <w:lang w:val="fr-CH"/>
        </w:rPr>
        <w:t xml:space="preserve">la </w:t>
      </w:r>
      <w:r w:rsidR="005176B8" w:rsidRPr="0071782F">
        <w:rPr>
          <w:lang w:val="fr-CH"/>
        </w:rPr>
        <w:t xml:space="preserve">prévention </w:t>
      </w:r>
    </w:p>
    <w:tbl>
      <w:tblPr>
        <w:tblW w:w="7371"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501"/>
        <w:gridCol w:w="3111"/>
        <w:gridCol w:w="840"/>
        <w:gridCol w:w="895"/>
        <w:gridCol w:w="1092"/>
        <w:gridCol w:w="932"/>
      </w:tblGrid>
      <w:tr w:rsidR="00333944" w:rsidRPr="0071782F">
        <w:trPr>
          <w:tblHeader/>
        </w:trPr>
        <w:tc>
          <w:tcPr>
            <w:tcW w:w="501" w:type="dxa"/>
            <w:tcBorders>
              <w:top w:val="single" w:sz="4" w:space="0" w:color="auto"/>
              <w:bottom w:val="single" w:sz="12" w:space="0" w:color="auto"/>
            </w:tcBorders>
            <w:shd w:val="clear" w:color="auto" w:fill="auto"/>
            <w:vAlign w:val="bottom"/>
          </w:tcPr>
          <w:p w:rsidR="00333944" w:rsidRPr="0071782F" w:rsidRDefault="00333944" w:rsidP="00C232FA">
            <w:pPr>
              <w:suppressAutoHyphens w:val="0"/>
              <w:spacing w:before="80" w:after="80" w:line="200" w:lineRule="exact"/>
              <w:rPr>
                <w:i/>
                <w:sz w:val="16"/>
                <w:lang w:val="fr-CH"/>
              </w:rPr>
            </w:pPr>
            <w:r w:rsidRPr="0071782F">
              <w:rPr>
                <w:i/>
                <w:sz w:val="16"/>
                <w:lang w:val="fr-CH"/>
              </w:rPr>
              <w:t>R</w:t>
            </w:r>
            <w:r w:rsidR="005176B8" w:rsidRPr="0071782F">
              <w:rPr>
                <w:i/>
                <w:sz w:val="16"/>
                <w:lang w:val="fr-CH"/>
              </w:rPr>
              <w:t>ang</w:t>
            </w:r>
          </w:p>
        </w:tc>
        <w:tc>
          <w:tcPr>
            <w:tcW w:w="3111" w:type="dxa"/>
            <w:tcBorders>
              <w:top w:val="single" w:sz="4" w:space="0" w:color="auto"/>
              <w:bottom w:val="single" w:sz="12" w:space="0" w:color="auto"/>
            </w:tcBorders>
            <w:shd w:val="clear" w:color="auto" w:fill="auto"/>
            <w:vAlign w:val="bottom"/>
          </w:tcPr>
          <w:p w:rsidR="00333944" w:rsidRPr="0071782F" w:rsidRDefault="00333944" w:rsidP="00C232FA">
            <w:pPr>
              <w:suppressAutoHyphens w:val="0"/>
              <w:spacing w:before="80" w:after="80" w:line="200" w:lineRule="exact"/>
              <w:rPr>
                <w:i/>
                <w:sz w:val="16"/>
                <w:lang w:val="fr-CH"/>
              </w:rPr>
            </w:pPr>
            <w:r w:rsidRPr="0071782F">
              <w:rPr>
                <w:i/>
                <w:sz w:val="16"/>
                <w:lang w:val="fr-CH"/>
              </w:rPr>
              <w:t>Indicat</w:t>
            </w:r>
            <w:r w:rsidR="005176B8" w:rsidRPr="0071782F">
              <w:rPr>
                <w:i/>
                <w:sz w:val="16"/>
                <w:lang w:val="fr-CH"/>
              </w:rPr>
              <w:t>eu</w:t>
            </w:r>
            <w:r w:rsidRPr="0071782F">
              <w:rPr>
                <w:i/>
                <w:sz w:val="16"/>
                <w:lang w:val="fr-CH"/>
              </w:rPr>
              <w:t>r</w:t>
            </w:r>
          </w:p>
        </w:tc>
        <w:tc>
          <w:tcPr>
            <w:tcW w:w="840" w:type="dxa"/>
            <w:tcBorders>
              <w:top w:val="single" w:sz="4" w:space="0" w:color="auto"/>
              <w:bottom w:val="single" w:sz="12" w:space="0" w:color="auto"/>
            </w:tcBorders>
            <w:shd w:val="clear" w:color="auto" w:fill="auto"/>
            <w:vAlign w:val="bottom"/>
          </w:tcPr>
          <w:p w:rsidR="00333944" w:rsidRPr="0071782F" w:rsidRDefault="00333944" w:rsidP="00BA31AA">
            <w:pPr>
              <w:suppressAutoHyphens w:val="0"/>
              <w:spacing w:before="80" w:after="80" w:line="200" w:lineRule="exact"/>
              <w:ind w:left="113"/>
              <w:rPr>
                <w:i/>
                <w:sz w:val="16"/>
                <w:lang w:val="fr-CH"/>
              </w:rPr>
            </w:pPr>
            <w:r w:rsidRPr="0071782F">
              <w:rPr>
                <w:i/>
                <w:sz w:val="16"/>
                <w:lang w:val="fr-CH"/>
              </w:rPr>
              <w:t>Unit</w:t>
            </w:r>
            <w:r w:rsidR="009522F4" w:rsidRPr="0071782F">
              <w:rPr>
                <w:i/>
                <w:sz w:val="16"/>
                <w:lang w:val="fr-CH"/>
              </w:rPr>
              <w:t>é</w:t>
            </w:r>
          </w:p>
        </w:tc>
        <w:tc>
          <w:tcPr>
            <w:tcW w:w="895" w:type="dxa"/>
            <w:tcBorders>
              <w:top w:val="single" w:sz="4" w:space="0" w:color="auto"/>
              <w:bottom w:val="single" w:sz="12" w:space="0" w:color="auto"/>
            </w:tcBorders>
            <w:shd w:val="clear" w:color="auto" w:fill="auto"/>
            <w:vAlign w:val="bottom"/>
          </w:tcPr>
          <w:p w:rsidR="00333944" w:rsidRPr="0071782F" w:rsidRDefault="00333944" w:rsidP="00C232FA">
            <w:pPr>
              <w:suppressAutoHyphens w:val="0"/>
              <w:spacing w:before="80" w:after="80" w:line="200" w:lineRule="exact"/>
              <w:jc w:val="right"/>
              <w:rPr>
                <w:i/>
                <w:sz w:val="16"/>
                <w:lang w:val="fr-CH"/>
              </w:rPr>
            </w:pPr>
            <w:r w:rsidRPr="0071782F">
              <w:rPr>
                <w:i/>
                <w:sz w:val="16"/>
                <w:lang w:val="fr-CH"/>
              </w:rPr>
              <w:t>2002</w:t>
            </w:r>
          </w:p>
        </w:tc>
        <w:tc>
          <w:tcPr>
            <w:tcW w:w="1092" w:type="dxa"/>
            <w:tcBorders>
              <w:top w:val="single" w:sz="4" w:space="0" w:color="auto"/>
              <w:bottom w:val="single" w:sz="12" w:space="0" w:color="auto"/>
            </w:tcBorders>
            <w:shd w:val="clear" w:color="auto" w:fill="auto"/>
            <w:vAlign w:val="bottom"/>
          </w:tcPr>
          <w:p w:rsidR="00333944" w:rsidRPr="0071782F" w:rsidRDefault="00333944" w:rsidP="00C232FA">
            <w:pPr>
              <w:suppressAutoHyphens w:val="0"/>
              <w:spacing w:before="80" w:after="80" w:line="200" w:lineRule="exact"/>
              <w:jc w:val="right"/>
              <w:rPr>
                <w:i/>
                <w:sz w:val="16"/>
                <w:lang w:val="fr-CH"/>
              </w:rPr>
            </w:pPr>
            <w:r w:rsidRPr="0071782F">
              <w:rPr>
                <w:i/>
                <w:sz w:val="16"/>
                <w:lang w:val="fr-CH"/>
              </w:rPr>
              <w:t>2003</w:t>
            </w:r>
          </w:p>
        </w:tc>
        <w:tc>
          <w:tcPr>
            <w:tcW w:w="932" w:type="dxa"/>
            <w:tcBorders>
              <w:top w:val="single" w:sz="4" w:space="0" w:color="auto"/>
              <w:bottom w:val="single" w:sz="12" w:space="0" w:color="auto"/>
            </w:tcBorders>
            <w:shd w:val="clear" w:color="auto" w:fill="auto"/>
            <w:vAlign w:val="bottom"/>
          </w:tcPr>
          <w:p w:rsidR="00333944" w:rsidRPr="0071782F" w:rsidRDefault="00333944" w:rsidP="00C232FA">
            <w:pPr>
              <w:suppressAutoHyphens w:val="0"/>
              <w:spacing w:before="80" w:after="80" w:line="200" w:lineRule="exact"/>
              <w:jc w:val="right"/>
              <w:rPr>
                <w:i/>
                <w:sz w:val="16"/>
                <w:lang w:val="fr-CH"/>
              </w:rPr>
            </w:pPr>
            <w:r w:rsidRPr="0071782F">
              <w:rPr>
                <w:i/>
                <w:sz w:val="16"/>
                <w:lang w:val="fr-CH"/>
              </w:rPr>
              <w:t>2004</w:t>
            </w:r>
          </w:p>
        </w:tc>
      </w:tr>
      <w:tr w:rsidR="00333944" w:rsidRPr="0071782F">
        <w:tc>
          <w:tcPr>
            <w:tcW w:w="501" w:type="dxa"/>
            <w:tcBorders>
              <w:top w:val="single" w:sz="12" w:space="0" w:color="auto"/>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w:t>
            </w:r>
          </w:p>
        </w:tc>
        <w:tc>
          <w:tcPr>
            <w:tcW w:w="3111" w:type="dxa"/>
            <w:tcBorders>
              <w:top w:val="single" w:sz="12" w:space="0" w:color="auto"/>
            </w:tcBorders>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É</w:t>
            </w:r>
            <w:r w:rsidR="00333944" w:rsidRPr="0071782F">
              <w:rPr>
                <w:sz w:val="18"/>
                <w:lang w:val="fr-CH"/>
              </w:rPr>
              <w:t xml:space="preserve">valuation </w:t>
            </w:r>
            <w:r w:rsidRPr="0071782F">
              <w:rPr>
                <w:sz w:val="18"/>
                <w:lang w:val="fr-CH"/>
              </w:rPr>
              <w:t xml:space="preserve">de la santé </w:t>
            </w:r>
            <w:r w:rsidR="00333944" w:rsidRPr="0071782F">
              <w:rPr>
                <w:sz w:val="18"/>
                <w:lang w:val="fr-CH"/>
              </w:rPr>
              <w:t>physi</w:t>
            </w:r>
            <w:r w:rsidRPr="0071782F">
              <w:rPr>
                <w:sz w:val="18"/>
                <w:lang w:val="fr-CH"/>
              </w:rPr>
              <w:t xml:space="preserve">que et mentale des enfants d’âge préscolaire </w:t>
            </w:r>
          </w:p>
        </w:tc>
        <w:tc>
          <w:tcPr>
            <w:tcW w:w="840" w:type="dxa"/>
            <w:tcBorders>
              <w:top w:val="single" w:sz="12" w:space="0" w:color="auto"/>
            </w:tcBorders>
            <w:shd w:val="clear" w:color="auto" w:fill="auto"/>
            <w:vAlign w:val="bottom"/>
          </w:tcPr>
          <w:p w:rsidR="00333944" w:rsidRPr="0071782F" w:rsidRDefault="005176B8" w:rsidP="00BA31AA">
            <w:pPr>
              <w:suppressAutoHyphens w:val="0"/>
              <w:spacing w:before="40" w:after="40" w:line="220" w:lineRule="exact"/>
              <w:ind w:left="113"/>
              <w:rPr>
                <w:sz w:val="18"/>
                <w:lang w:val="fr-CH"/>
              </w:rPr>
            </w:pPr>
            <w:r w:rsidRPr="0071782F">
              <w:rPr>
                <w:sz w:val="18"/>
                <w:lang w:val="fr-CH"/>
              </w:rPr>
              <w:t>Enfant</w:t>
            </w:r>
          </w:p>
        </w:tc>
        <w:tc>
          <w:tcPr>
            <w:tcW w:w="895" w:type="dxa"/>
            <w:tcBorders>
              <w:top w:val="single" w:sz="12" w:space="0" w:color="auto"/>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1 070 000</w:t>
            </w:r>
          </w:p>
        </w:tc>
        <w:tc>
          <w:tcPr>
            <w:tcW w:w="1092" w:type="dxa"/>
            <w:tcBorders>
              <w:top w:val="single" w:sz="12" w:space="0" w:color="auto"/>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1 070 000</w:t>
            </w:r>
          </w:p>
        </w:tc>
        <w:tc>
          <w:tcPr>
            <w:tcW w:w="932" w:type="dxa"/>
            <w:tcBorders>
              <w:top w:val="single" w:sz="12" w:space="0" w:color="auto"/>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1 080 000</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w:t>
            </w:r>
          </w:p>
        </w:tc>
        <w:tc>
          <w:tcPr>
            <w:tcW w:w="3111" w:type="dxa"/>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Pr</w:t>
            </w:r>
            <w:r w:rsidR="005176B8" w:rsidRPr="0071782F">
              <w:rPr>
                <w:sz w:val="18"/>
                <w:lang w:val="fr-CH"/>
              </w:rPr>
              <w:t>é</w:t>
            </w:r>
            <w:r w:rsidRPr="0071782F">
              <w:rPr>
                <w:sz w:val="18"/>
                <w:lang w:val="fr-CH"/>
              </w:rPr>
              <w:t xml:space="preserve">vention </w:t>
            </w:r>
            <w:r w:rsidR="005176B8" w:rsidRPr="0071782F">
              <w:rPr>
                <w:sz w:val="18"/>
                <w:lang w:val="fr-CH"/>
              </w:rPr>
              <w:t xml:space="preserve">des handicaps associés à des troubles génétiques </w:t>
            </w:r>
          </w:p>
        </w:tc>
        <w:tc>
          <w:tcPr>
            <w:tcW w:w="840" w:type="dxa"/>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25 200</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32 400</w:t>
            </w:r>
          </w:p>
        </w:tc>
        <w:tc>
          <w:tcPr>
            <w:tcW w:w="9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36 000</w:t>
            </w:r>
          </w:p>
        </w:tc>
      </w:tr>
      <w:tr w:rsidR="00333944" w:rsidRPr="0071782F">
        <w:tc>
          <w:tcPr>
            <w:tcW w:w="501" w:type="dxa"/>
            <w:tcBorders>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3</w:t>
            </w:r>
          </w:p>
        </w:tc>
        <w:tc>
          <w:tcPr>
            <w:tcW w:w="3111" w:type="dxa"/>
            <w:tcBorders>
              <w:bottom w:val="nil"/>
            </w:tcBorders>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 xml:space="preserve">Programme de sensibilisation pour la prévention du tabagisme </w:t>
            </w:r>
          </w:p>
        </w:tc>
        <w:tc>
          <w:tcPr>
            <w:tcW w:w="840" w:type="dxa"/>
            <w:tcBorders>
              <w:bottom w:val="nil"/>
            </w:tcBorders>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tcBorders>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4 000</w:t>
            </w:r>
          </w:p>
        </w:tc>
        <w:tc>
          <w:tcPr>
            <w:tcW w:w="1092" w:type="dxa"/>
            <w:tcBorders>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6 000</w:t>
            </w:r>
          </w:p>
        </w:tc>
        <w:tc>
          <w:tcPr>
            <w:tcW w:w="932" w:type="dxa"/>
            <w:tcBorders>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8 000</w:t>
            </w:r>
          </w:p>
        </w:tc>
      </w:tr>
      <w:tr w:rsidR="00333944" w:rsidRPr="0071782F">
        <w:tc>
          <w:tcPr>
            <w:tcW w:w="501" w:type="dxa"/>
            <w:tcBorders>
              <w:top w:val="nil"/>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4</w:t>
            </w:r>
          </w:p>
        </w:tc>
        <w:tc>
          <w:tcPr>
            <w:tcW w:w="3111" w:type="dxa"/>
            <w:tcBorders>
              <w:top w:val="nil"/>
              <w:bottom w:val="nil"/>
            </w:tcBorders>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Programme de p</w:t>
            </w:r>
            <w:r w:rsidR="00333944" w:rsidRPr="0071782F">
              <w:rPr>
                <w:sz w:val="18"/>
                <w:lang w:val="fr-CH"/>
              </w:rPr>
              <w:t>r</w:t>
            </w:r>
            <w:r w:rsidRPr="0071782F">
              <w:rPr>
                <w:sz w:val="18"/>
                <w:lang w:val="fr-CH"/>
              </w:rPr>
              <w:t>é</w:t>
            </w:r>
            <w:r w:rsidR="00333944" w:rsidRPr="0071782F">
              <w:rPr>
                <w:sz w:val="18"/>
                <w:lang w:val="fr-CH"/>
              </w:rPr>
              <w:t xml:space="preserve">vention </w:t>
            </w:r>
            <w:r w:rsidRPr="0071782F">
              <w:rPr>
                <w:sz w:val="18"/>
                <w:lang w:val="fr-CH"/>
              </w:rPr>
              <w:t xml:space="preserve">des handicaps associés à l’explosion de mines terrestres </w:t>
            </w:r>
            <w:r w:rsidR="00333944" w:rsidRPr="0071782F">
              <w:rPr>
                <w:sz w:val="18"/>
                <w:lang w:val="fr-CH"/>
              </w:rPr>
              <w:t>(</w:t>
            </w:r>
            <w:r w:rsidRPr="0071782F">
              <w:rPr>
                <w:sz w:val="18"/>
                <w:lang w:val="fr-CH"/>
              </w:rPr>
              <w:t>v</w:t>
            </w:r>
            <w:r w:rsidR="00333944" w:rsidRPr="0071782F">
              <w:rPr>
                <w:sz w:val="18"/>
                <w:lang w:val="fr-CH"/>
              </w:rPr>
              <w:t>illage</w:t>
            </w:r>
            <w:r w:rsidRPr="0071782F">
              <w:rPr>
                <w:sz w:val="18"/>
                <w:lang w:val="fr-CH"/>
              </w:rPr>
              <w:t>oi</w:t>
            </w:r>
            <w:r w:rsidR="00333944" w:rsidRPr="0071782F">
              <w:rPr>
                <w:sz w:val="18"/>
                <w:lang w:val="fr-CH"/>
              </w:rPr>
              <w:t xml:space="preserve">s </w:t>
            </w:r>
            <w:r w:rsidRPr="0071782F">
              <w:rPr>
                <w:sz w:val="18"/>
                <w:lang w:val="fr-CH"/>
              </w:rPr>
              <w:t>et écoliers</w:t>
            </w:r>
            <w:r w:rsidR="00333944" w:rsidRPr="0071782F">
              <w:rPr>
                <w:sz w:val="18"/>
                <w:lang w:val="fr-CH"/>
              </w:rPr>
              <w:t>)</w:t>
            </w:r>
          </w:p>
        </w:tc>
        <w:tc>
          <w:tcPr>
            <w:tcW w:w="840" w:type="dxa"/>
            <w:tcBorders>
              <w:top w:val="nil"/>
              <w:bottom w:val="nil"/>
            </w:tcBorders>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225 000</w:t>
            </w:r>
          </w:p>
        </w:tc>
        <w:tc>
          <w:tcPr>
            <w:tcW w:w="1092"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615 000</w:t>
            </w:r>
          </w:p>
        </w:tc>
        <w:tc>
          <w:tcPr>
            <w:tcW w:w="932"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1 490 000</w:t>
            </w:r>
          </w:p>
        </w:tc>
      </w:tr>
      <w:tr w:rsidR="00333944" w:rsidRPr="0071782F">
        <w:tc>
          <w:tcPr>
            <w:tcW w:w="501" w:type="dxa"/>
            <w:tcBorders>
              <w:top w:val="nil"/>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5</w:t>
            </w:r>
          </w:p>
        </w:tc>
        <w:tc>
          <w:tcPr>
            <w:tcW w:w="3111" w:type="dxa"/>
            <w:tcBorders>
              <w:top w:val="nil"/>
              <w:bottom w:val="nil"/>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Pr</w:t>
            </w:r>
            <w:r w:rsidR="005176B8" w:rsidRPr="0071782F">
              <w:rPr>
                <w:sz w:val="18"/>
                <w:lang w:val="fr-CH"/>
              </w:rPr>
              <w:t>é</w:t>
            </w:r>
            <w:r w:rsidRPr="0071782F">
              <w:rPr>
                <w:sz w:val="18"/>
                <w:lang w:val="fr-CH"/>
              </w:rPr>
              <w:t xml:space="preserve">vention </w:t>
            </w:r>
            <w:r w:rsidR="005176B8" w:rsidRPr="0071782F">
              <w:rPr>
                <w:sz w:val="18"/>
                <w:lang w:val="fr-CH"/>
              </w:rPr>
              <w:t xml:space="preserve">des brûlures </w:t>
            </w:r>
          </w:p>
        </w:tc>
        <w:tc>
          <w:tcPr>
            <w:tcW w:w="840" w:type="dxa"/>
            <w:tcBorders>
              <w:top w:val="nil"/>
              <w:bottom w:val="nil"/>
            </w:tcBorders>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p>
        </w:tc>
        <w:tc>
          <w:tcPr>
            <w:tcW w:w="1092"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1 930 000</w:t>
            </w:r>
          </w:p>
        </w:tc>
        <w:tc>
          <w:tcPr>
            <w:tcW w:w="932" w:type="dxa"/>
            <w:tcBorders>
              <w:top w:val="nil"/>
              <w:bottom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120 000</w:t>
            </w:r>
          </w:p>
        </w:tc>
      </w:tr>
      <w:tr w:rsidR="00333944" w:rsidRPr="0071782F">
        <w:tc>
          <w:tcPr>
            <w:tcW w:w="501" w:type="dxa"/>
            <w:tcBorders>
              <w:top w:val="nil"/>
              <w:bottom w:val="nil"/>
            </w:tcBorders>
            <w:shd w:val="clear" w:color="auto" w:fill="auto"/>
          </w:tcPr>
          <w:p w:rsidR="00333944" w:rsidRPr="0071782F" w:rsidRDefault="00333944" w:rsidP="00C232FA">
            <w:pPr>
              <w:keepNext/>
              <w:keepLines/>
              <w:suppressAutoHyphens w:val="0"/>
              <w:spacing w:before="40" w:after="40" w:line="220" w:lineRule="exact"/>
              <w:rPr>
                <w:sz w:val="18"/>
                <w:lang w:val="fr-CH"/>
              </w:rPr>
            </w:pPr>
            <w:r w:rsidRPr="0071782F">
              <w:rPr>
                <w:sz w:val="18"/>
                <w:lang w:val="fr-CH"/>
              </w:rPr>
              <w:t>6</w:t>
            </w:r>
          </w:p>
        </w:tc>
        <w:tc>
          <w:tcPr>
            <w:tcW w:w="3111" w:type="dxa"/>
            <w:tcBorders>
              <w:top w:val="nil"/>
              <w:bottom w:val="nil"/>
            </w:tcBorders>
            <w:shd w:val="clear" w:color="auto" w:fill="auto"/>
            <w:vAlign w:val="bottom"/>
          </w:tcPr>
          <w:p w:rsidR="00333944" w:rsidRPr="0071782F" w:rsidRDefault="005176B8" w:rsidP="00C232FA">
            <w:pPr>
              <w:keepNext/>
              <w:keepLines/>
              <w:suppressAutoHyphens w:val="0"/>
              <w:spacing w:before="40" w:after="40" w:line="220" w:lineRule="exact"/>
              <w:rPr>
                <w:sz w:val="18"/>
                <w:lang w:val="fr-CH"/>
              </w:rPr>
            </w:pPr>
            <w:r w:rsidRPr="0071782F">
              <w:rPr>
                <w:sz w:val="18"/>
                <w:lang w:val="fr-CH"/>
              </w:rPr>
              <w:t>Programme de pré</w:t>
            </w:r>
            <w:r w:rsidR="00333944" w:rsidRPr="0071782F">
              <w:rPr>
                <w:sz w:val="18"/>
                <w:lang w:val="fr-CH"/>
              </w:rPr>
              <w:t xml:space="preserve">vention </w:t>
            </w:r>
            <w:r w:rsidRPr="0071782F">
              <w:rPr>
                <w:sz w:val="18"/>
                <w:lang w:val="fr-CH"/>
              </w:rPr>
              <w:t xml:space="preserve">de la surdité </w:t>
            </w:r>
          </w:p>
        </w:tc>
        <w:tc>
          <w:tcPr>
            <w:tcW w:w="840" w:type="dxa"/>
            <w:tcBorders>
              <w:top w:val="nil"/>
              <w:bottom w:val="nil"/>
            </w:tcBorders>
            <w:shd w:val="clear" w:color="auto" w:fill="auto"/>
            <w:vAlign w:val="bottom"/>
          </w:tcPr>
          <w:p w:rsidR="00333944" w:rsidRPr="0071782F" w:rsidRDefault="00333944" w:rsidP="00BA31AA">
            <w:pPr>
              <w:keepNext/>
              <w:keepLines/>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tcBorders>
              <w:top w:val="nil"/>
              <w:bottom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1 600</w:t>
            </w:r>
          </w:p>
        </w:tc>
        <w:tc>
          <w:tcPr>
            <w:tcW w:w="1092" w:type="dxa"/>
            <w:tcBorders>
              <w:top w:val="nil"/>
              <w:bottom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32 500</w:t>
            </w:r>
          </w:p>
        </w:tc>
        <w:tc>
          <w:tcPr>
            <w:tcW w:w="932" w:type="dxa"/>
            <w:tcBorders>
              <w:top w:val="nil"/>
              <w:bottom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58 500</w:t>
            </w:r>
          </w:p>
        </w:tc>
      </w:tr>
      <w:tr w:rsidR="00333944" w:rsidRPr="0071782F">
        <w:tc>
          <w:tcPr>
            <w:tcW w:w="501" w:type="dxa"/>
            <w:tcBorders>
              <w:top w:val="nil"/>
              <w:bottom w:val="nil"/>
            </w:tcBorders>
            <w:shd w:val="clear" w:color="auto" w:fill="auto"/>
          </w:tcPr>
          <w:p w:rsidR="00333944" w:rsidRPr="0071782F" w:rsidRDefault="00333944" w:rsidP="00C232FA">
            <w:pPr>
              <w:keepNext/>
              <w:keepLines/>
              <w:suppressAutoHyphens w:val="0"/>
              <w:spacing w:before="40" w:after="40" w:line="220" w:lineRule="exact"/>
              <w:rPr>
                <w:sz w:val="18"/>
                <w:lang w:val="fr-CH"/>
              </w:rPr>
            </w:pPr>
            <w:r w:rsidRPr="0071782F">
              <w:rPr>
                <w:sz w:val="18"/>
                <w:lang w:val="fr-CH"/>
              </w:rPr>
              <w:t>7</w:t>
            </w:r>
          </w:p>
        </w:tc>
        <w:tc>
          <w:tcPr>
            <w:tcW w:w="3111" w:type="dxa"/>
            <w:tcBorders>
              <w:top w:val="nil"/>
              <w:bottom w:val="nil"/>
            </w:tcBorders>
            <w:shd w:val="clear" w:color="auto" w:fill="auto"/>
            <w:vAlign w:val="bottom"/>
          </w:tcPr>
          <w:p w:rsidR="00333944" w:rsidRPr="0071782F" w:rsidRDefault="005176B8" w:rsidP="00C232FA">
            <w:pPr>
              <w:keepNext/>
              <w:keepLines/>
              <w:suppressAutoHyphens w:val="0"/>
              <w:spacing w:before="40" w:after="40" w:line="220" w:lineRule="exact"/>
              <w:rPr>
                <w:sz w:val="18"/>
                <w:lang w:val="fr-CH"/>
              </w:rPr>
            </w:pPr>
            <w:r w:rsidRPr="0071782F">
              <w:rPr>
                <w:sz w:val="18"/>
                <w:lang w:val="fr-CH"/>
              </w:rPr>
              <w:t xml:space="preserve">Éducation à la prévention des handicaps à l’intention des écoliers suivant une formation professionnelle dans les zones rurales </w:t>
            </w:r>
          </w:p>
        </w:tc>
        <w:tc>
          <w:tcPr>
            <w:tcW w:w="840" w:type="dxa"/>
            <w:tcBorders>
              <w:top w:val="nil"/>
              <w:bottom w:val="nil"/>
            </w:tcBorders>
            <w:shd w:val="clear" w:color="auto" w:fill="auto"/>
            <w:vAlign w:val="bottom"/>
          </w:tcPr>
          <w:p w:rsidR="00333944" w:rsidRPr="0071782F" w:rsidRDefault="00333944" w:rsidP="00BA31AA">
            <w:pPr>
              <w:keepNext/>
              <w:keepLines/>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tcBorders>
              <w:top w:val="nil"/>
              <w:bottom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44 000</w:t>
            </w:r>
          </w:p>
        </w:tc>
        <w:tc>
          <w:tcPr>
            <w:tcW w:w="1092" w:type="dxa"/>
            <w:tcBorders>
              <w:top w:val="nil"/>
              <w:bottom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46 200</w:t>
            </w:r>
          </w:p>
        </w:tc>
        <w:tc>
          <w:tcPr>
            <w:tcW w:w="932" w:type="dxa"/>
            <w:tcBorders>
              <w:top w:val="nil"/>
              <w:bottom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49 500</w:t>
            </w:r>
          </w:p>
        </w:tc>
      </w:tr>
      <w:tr w:rsidR="00333944" w:rsidRPr="0071782F">
        <w:tc>
          <w:tcPr>
            <w:tcW w:w="501" w:type="dxa"/>
            <w:tcBorders>
              <w:top w:val="nil"/>
            </w:tcBorders>
            <w:shd w:val="clear" w:color="auto" w:fill="auto"/>
          </w:tcPr>
          <w:p w:rsidR="00333944" w:rsidRPr="0071782F" w:rsidRDefault="00333944" w:rsidP="00C232FA">
            <w:pPr>
              <w:keepNext/>
              <w:keepLines/>
              <w:suppressAutoHyphens w:val="0"/>
              <w:spacing w:before="40" w:after="40" w:line="220" w:lineRule="exact"/>
              <w:rPr>
                <w:sz w:val="18"/>
                <w:lang w:val="fr-CH"/>
              </w:rPr>
            </w:pPr>
            <w:r w:rsidRPr="0071782F">
              <w:rPr>
                <w:sz w:val="18"/>
                <w:lang w:val="fr-CH"/>
              </w:rPr>
              <w:t>8</w:t>
            </w:r>
          </w:p>
        </w:tc>
        <w:tc>
          <w:tcPr>
            <w:tcW w:w="3111" w:type="dxa"/>
            <w:tcBorders>
              <w:top w:val="nil"/>
            </w:tcBorders>
            <w:shd w:val="clear" w:color="auto" w:fill="auto"/>
            <w:vAlign w:val="bottom"/>
          </w:tcPr>
          <w:p w:rsidR="00333944" w:rsidRPr="0071782F" w:rsidRDefault="005176B8" w:rsidP="00C232FA">
            <w:pPr>
              <w:keepNext/>
              <w:keepLines/>
              <w:suppressAutoHyphens w:val="0"/>
              <w:spacing w:before="40" w:after="40" w:line="220" w:lineRule="exact"/>
              <w:rPr>
                <w:sz w:val="18"/>
                <w:lang w:val="fr-CH"/>
              </w:rPr>
            </w:pPr>
            <w:r w:rsidRPr="0071782F">
              <w:rPr>
                <w:sz w:val="18"/>
                <w:lang w:val="fr-CH"/>
              </w:rPr>
              <w:t>Éducation à la prévention des handicaps en phase avec le Mouvement pour l’alphabétisation</w:t>
            </w:r>
          </w:p>
        </w:tc>
        <w:tc>
          <w:tcPr>
            <w:tcW w:w="840" w:type="dxa"/>
            <w:tcBorders>
              <w:top w:val="nil"/>
            </w:tcBorders>
            <w:shd w:val="clear" w:color="auto" w:fill="auto"/>
            <w:vAlign w:val="bottom"/>
          </w:tcPr>
          <w:p w:rsidR="00333944" w:rsidRPr="0071782F" w:rsidRDefault="00333944" w:rsidP="00BA31AA">
            <w:pPr>
              <w:keepNext/>
              <w:keepLines/>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tcBorders>
              <w:top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53 700</w:t>
            </w:r>
          </w:p>
        </w:tc>
        <w:tc>
          <w:tcPr>
            <w:tcW w:w="1092" w:type="dxa"/>
            <w:tcBorders>
              <w:top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56 000</w:t>
            </w:r>
          </w:p>
        </w:tc>
        <w:tc>
          <w:tcPr>
            <w:tcW w:w="932" w:type="dxa"/>
            <w:tcBorders>
              <w:top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60 000</w:t>
            </w:r>
          </w:p>
        </w:tc>
      </w:tr>
      <w:tr w:rsidR="00333944" w:rsidRPr="0071782F">
        <w:tc>
          <w:tcPr>
            <w:tcW w:w="501" w:type="dxa"/>
            <w:tcBorders>
              <w:bottom w:val="nil"/>
            </w:tcBorders>
            <w:shd w:val="clear" w:color="auto" w:fill="auto"/>
          </w:tcPr>
          <w:p w:rsidR="00333944" w:rsidRPr="0071782F" w:rsidRDefault="00333944" w:rsidP="00C232FA">
            <w:pPr>
              <w:keepNext/>
              <w:keepLines/>
              <w:suppressAutoHyphens w:val="0"/>
              <w:spacing w:before="40" w:after="40" w:line="220" w:lineRule="exact"/>
              <w:rPr>
                <w:sz w:val="18"/>
                <w:lang w:val="fr-CH"/>
              </w:rPr>
            </w:pPr>
            <w:r w:rsidRPr="0071782F">
              <w:rPr>
                <w:sz w:val="18"/>
                <w:lang w:val="fr-CH"/>
              </w:rPr>
              <w:t>9</w:t>
            </w:r>
          </w:p>
        </w:tc>
        <w:tc>
          <w:tcPr>
            <w:tcW w:w="3111" w:type="dxa"/>
            <w:tcBorders>
              <w:bottom w:val="nil"/>
            </w:tcBorders>
            <w:shd w:val="clear" w:color="auto" w:fill="auto"/>
            <w:vAlign w:val="bottom"/>
          </w:tcPr>
          <w:p w:rsidR="00333944" w:rsidRPr="0071782F" w:rsidRDefault="005176B8" w:rsidP="00C232FA">
            <w:pPr>
              <w:keepNext/>
              <w:keepLines/>
              <w:suppressAutoHyphens w:val="0"/>
              <w:spacing w:before="40" w:after="40" w:line="220" w:lineRule="exact"/>
              <w:rPr>
                <w:sz w:val="18"/>
                <w:lang w:val="fr-CH"/>
              </w:rPr>
            </w:pPr>
            <w:r w:rsidRPr="0071782F">
              <w:rPr>
                <w:sz w:val="18"/>
                <w:lang w:val="fr-CH"/>
              </w:rPr>
              <w:t>Éducation à la prévention des handicaps en phase avec le Mouvement pour l’alphabétisation</w:t>
            </w:r>
          </w:p>
        </w:tc>
        <w:tc>
          <w:tcPr>
            <w:tcW w:w="840" w:type="dxa"/>
            <w:tcBorders>
              <w:bottom w:val="nil"/>
            </w:tcBorders>
            <w:shd w:val="clear" w:color="auto" w:fill="auto"/>
            <w:vAlign w:val="bottom"/>
          </w:tcPr>
          <w:p w:rsidR="00333944" w:rsidRPr="0071782F" w:rsidRDefault="00333944" w:rsidP="00BA31AA">
            <w:pPr>
              <w:keepNext/>
              <w:keepLines/>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tcBorders>
              <w:bottom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80 000</w:t>
            </w:r>
          </w:p>
        </w:tc>
        <w:tc>
          <w:tcPr>
            <w:tcW w:w="1092" w:type="dxa"/>
            <w:tcBorders>
              <w:bottom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80 000</w:t>
            </w:r>
          </w:p>
        </w:tc>
        <w:tc>
          <w:tcPr>
            <w:tcW w:w="932" w:type="dxa"/>
            <w:tcBorders>
              <w:bottom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80 000</w:t>
            </w:r>
          </w:p>
        </w:tc>
      </w:tr>
      <w:tr w:rsidR="00333944" w:rsidRPr="0071782F">
        <w:tc>
          <w:tcPr>
            <w:tcW w:w="501" w:type="dxa"/>
            <w:tcBorders>
              <w:top w:val="nil"/>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10</w:t>
            </w:r>
          </w:p>
        </w:tc>
        <w:tc>
          <w:tcPr>
            <w:tcW w:w="3111" w:type="dxa"/>
            <w:tcBorders>
              <w:top w:val="nil"/>
              <w:bottom w:val="nil"/>
            </w:tcBorders>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 xml:space="preserve">Programme de sensibilisation et de notification des causes de cécité et de déficience visuelle </w:t>
            </w:r>
          </w:p>
        </w:tc>
        <w:tc>
          <w:tcPr>
            <w:tcW w:w="840" w:type="dxa"/>
            <w:tcBorders>
              <w:top w:val="nil"/>
              <w:bottom w:val="nil"/>
            </w:tcBorders>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800 000</w:t>
            </w:r>
          </w:p>
        </w:tc>
        <w:tc>
          <w:tcPr>
            <w:tcW w:w="1092"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800 000</w:t>
            </w:r>
          </w:p>
        </w:tc>
        <w:tc>
          <w:tcPr>
            <w:tcW w:w="932" w:type="dxa"/>
            <w:tcBorders>
              <w:top w:val="nil"/>
              <w:bottom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800 000</w:t>
            </w:r>
          </w:p>
        </w:tc>
      </w:tr>
      <w:tr w:rsidR="00333944" w:rsidRPr="0071782F">
        <w:tc>
          <w:tcPr>
            <w:tcW w:w="501" w:type="dxa"/>
            <w:tcBorders>
              <w:top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11</w:t>
            </w:r>
          </w:p>
        </w:tc>
        <w:tc>
          <w:tcPr>
            <w:tcW w:w="3111" w:type="dxa"/>
            <w:tcBorders>
              <w:top w:val="nil"/>
            </w:tcBorders>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Programme de prévention des handicaps en coopération avec le Comité de secours de l’</w:t>
            </w:r>
            <w:r w:rsidR="00333944" w:rsidRPr="0071782F">
              <w:rPr>
                <w:sz w:val="18"/>
                <w:lang w:val="fr-CH"/>
              </w:rPr>
              <w:t xml:space="preserve">Imam Khomeini </w:t>
            </w:r>
          </w:p>
        </w:tc>
        <w:tc>
          <w:tcPr>
            <w:tcW w:w="840" w:type="dxa"/>
            <w:tcBorders>
              <w:top w:val="nil"/>
            </w:tcBorders>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tcBorders>
              <w:top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11 850</w:t>
            </w:r>
          </w:p>
        </w:tc>
        <w:tc>
          <w:tcPr>
            <w:tcW w:w="1092" w:type="dxa"/>
            <w:tcBorders>
              <w:top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17 600</w:t>
            </w:r>
          </w:p>
        </w:tc>
        <w:tc>
          <w:tcPr>
            <w:tcW w:w="932" w:type="dxa"/>
            <w:tcBorders>
              <w:top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22 450</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12</w:t>
            </w:r>
          </w:p>
        </w:tc>
        <w:tc>
          <w:tcPr>
            <w:tcW w:w="3111" w:type="dxa"/>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 xml:space="preserve">Programme de prévention des handicaps en coopération avec le Croissant-Rouge </w:t>
            </w:r>
          </w:p>
        </w:tc>
        <w:tc>
          <w:tcPr>
            <w:tcW w:w="840" w:type="dxa"/>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11 400</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13 570</w:t>
            </w:r>
          </w:p>
        </w:tc>
        <w:tc>
          <w:tcPr>
            <w:tcW w:w="932" w:type="dxa"/>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15 670</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13</w:t>
            </w:r>
          </w:p>
        </w:tc>
        <w:tc>
          <w:tcPr>
            <w:tcW w:w="3111" w:type="dxa"/>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 xml:space="preserve">Exécution du programme général de traitement de la toxicomanie </w:t>
            </w:r>
          </w:p>
        </w:tc>
        <w:tc>
          <w:tcPr>
            <w:tcW w:w="840" w:type="dxa"/>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Province</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13</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26</w:t>
            </w:r>
          </w:p>
        </w:tc>
        <w:tc>
          <w:tcPr>
            <w:tcW w:w="932" w:type="dxa"/>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52</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14</w:t>
            </w:r>
          </w:p>
        </w:tc>
        <w:tc>
          <w:tcPr>
            <w:tcW w:w="3111" w:type="dxa"/>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 xml:space="preserve">Exécution du programme de sensibilisation pour la prévention de la toxicomanie </w:t>
            </w:r>
          </w:p>
        </w:tc>
        <w:tc>
          <w:tcPr>
            <w:tcW w:w="840" w:type="dxa"/>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District</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19</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38</w:t>
            </w:r>
          </w:p>
        </w:tc>
        <w:tc>
          <w:tcPr>
            <w:tcW w:w="932" w:type="dxa"/>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76</w:t>
            </w:r>
          </w:p>
        </w:tc>
      </w:tr>
      <w:tr w:rsidR="00333944" w:rsidRPr="0071782F">
        <w:tc>
          <w:tcPr>
            <w:tcW w:w="501" w:type="dxa"/>
            <w:tcBorders>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15</w:t>
            </w:r>
          </w:p>
        </w:tc>
        <w:tc>
          <w:tcPr>
            <w:tcW w:w="3111" w:type="dxa"/>
            <w:tcBorders>
              <w:bottom w:val="nil"/>
            </w:tcBorders>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 xml:space="preserve">Variole </w:t>
            </w:r>
          </w:p>
        </w:tc>
        <w:tc>
          <w:tcPr>
            <w:tcW w:w="840" w:type="dxa"/>
            <w:tcBorders>
              <w:bottom w:val="nil"/>
            </w:tcBorders>
            <w:shd w:val="clear" w:color="auto" w:fill="auto"/>
            <w:vAlign w:val="bottom"/>
          </w:tcPr>
          <w:p w:rsidR="00333944" w:rsidRPr="0071782F" w:rsidRDefault="0064506B" w:rsidP="00BA31AA">
            <w:pPr>
              <w:suppressAutoHyphens w:val="0"/>
              <w:spacing w:before="40" w:after="40" w:line="220" w:lineRule="exact"/>
              <w:ind w:left="113"/>
              <w:rPr>
                <w:sz w:val="18"/>
                <w:lang w:val="fr-CH"/>
              </w:rPr>
            </w:pPr>
            <w:r w:rsidRPr="0071782F">
              <w:rPr>
                <w:sz w:val="18"/>
                <w:lang w:val="fr-CH"/>
              </w:rPr>
              <w:t>–</w:t>
            </w:r>
          </w:p>
        </w:tc>
        <w:tc>
          <w:tcPr>
            <w:tcW w:w="895" w:type="dxa"/>
            <w:tcBorders>
              <w:bottom w:val="nil"/>
            </w:tcBorders>
            <w:shd w:val="clear" w:color="auto" w:fill="auto"/>
            <w:vAlign w:val="bottom"/>
          </w:tcPr>
          <w:p w:rsidR="00333944" w:rsidRPr="0071782F" w:rsidRDefault="0064506B" w:rsidP="00C232FA">
            <w:pPr>
              <w:suppressAutoHyphens w:val="0"/>
              <w:spacing w:before="40" w:after="40" w:line="220" w:lineRule="exact"/>
              <w:jc w:val="right"/>
              <w:rPr>
                <w:sz w:val="18"/>
                <w:lang w:val="fr-CH"/>
              </w:rPr>
            </w:pPr>
            <w:r w:rsidRPr="0071782F">
              <w:rPr>
                <w:sz w:val="18"/>
                <w:lang w:val="fr-CH"/>
              </w:rPr>
              <w:t>–</w:t>
            </w:r>
          </w:p>
        </w:tc>
        <w:tc>
          <w:tcPr>
            <w:tcW w:w="1092" w:type="dxa"/>
            <w:tcBorders>
              <w:bottom w:val="nil"/>
            </w:tcBorders>
            <w:shd w:val="clear" w:color="auto" w:fill="auto"/>
            <w:vAlign w:val="bottom"/>
          </w:tcPr>
          <w:p w:rsidR="00333944" w:rsidRPr="0071782F" w:rsidRDefault="0064506B" w:rsidP="00C232FA">
            <w:pPr>
              <w:suppressAutoHyphens w:val="0"/>
              <w:spacing w:before="40" w:after="40" w:line="220" w:lineRule="exact"/>
              <w:jc w:val="right"/>
              <w:rPr>
                <w:sz w:val="18"/>
                <w:lang w:val="fr-CH"/>
              </w:rPr>
            </w:pPr>
            <w:r w:rsidRPr="0071782F">
              <w:rPr>
                <w:sz w:val="18"/>
                <w:lang w:val="fr-CH"/>
              </w:rPr>
              <w:t>–</w:t>
            </w:r>
          </w:p>
        </w:tc>
        <w:tc>
          <w:tcPr>
            <w:tcW w:w="932" w:type="dxa"/>
            <w:tcBorders>
              <w:bottom w:val="nil"/>
            </w:tcBorders>
            <w:shd w:val="clear" w:color="auto" w:fill="auto"/>
            <w:vAlign w:val="bottom"/>
          </w:tcPr>
          <w:p w:rsidR="00333944" w:rsidRPr="0071782F" w:rsidRDefault="0064506B" w:rsidP="00C232FA">
            <w:pPr>
              <w:keepNext/>
              <w:keepLines/>
              <w:suppressAutoHyphens w:val="0"/>
              <w:spacing w:before="40" w:after="40" w:line="220" w:lineRule="exact"/>
              <w:jc w:val="right"/>
              <w:rPr>
                <w:sz w:val="18"/>
                <w:lang w:val="fr-CH"/>
              </w:rPr>
            </w:pPr>
            <w:r w:rsidRPr="0071782F">
              <w:rPr>
                <w:sz w:val="18"/>
                <w:lang w:val="fr-CH"/>
              </w:rPr>
              <w:t>–</w:t>
            </w:r>
          </w:p>
        </w:tc>
      </w:tr>
      <w:tr w:rsidR="00333944" w:rsidRPr="0071782F">
        <w:tc>
          <w:tcPr>
            <w:tcW w:w="501" w:type="dxa"/>
            <w:tcBorders>
              <w:top w:val="nil"/>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16</w:t>
            </w:r>
          </w:p>
        </w:tc>
        <w:tc>
          <w:tcPr>
            <w:tcW w:w="3111" w:type="dxa"/>
            <w:tcBorders>
              <w:top w:val="nil"/>
              <w:bottom w:val="nil"/>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Organi</w:t>
            </w:r>
            <w:r w:rsidR="005176B8" w:rsidRPr="0071782F">
              <w:rPr>
                <w:sz w:val="18"/>
                <w:lang w:val="fr-CH"/>
              </w:rPr>
              <w:t>s</w:t>
            </w:r>
            <w:r w:rsidRPr="0071782F">
              <w:rPr>
                <w:sz w:val="18"/>
                <w:lang w:val="fr-CH"/>
              </w:rPr>
              <w:t xml:space="preserve">ation </w:t>
            </w:r>
            <w:r w:rsidR="005176B8" w:rsidRPr="0071782F">
              <w:rPr>
                <w:sz w:val="18"/>
                <w:lang w:val="fr-CH"/>
              </w:rPr>
              <w:t xml:space="preserve">d’ateliers </w:t>
            </w:r>
            <w:r w:rsidRPr="0071782F">
              <w:rPr>
                <w:sz w:val="18"/>
                <w:lang w:val="fr-CH"/>
              </w:rPr>
              <w:t>sp</w:t>
            </w:r>
            <w:r w:rsidR="005176B8" w:rsidRPr="0071782F">
              <w:rPr>
                <w:sz w:val="18"/>
                <w:lang w:val="fr-CH"/>
              </w:rPr>
              <w:t>é</w:t>
            </w:r>
            <w:r w:rsidRPr="0071782F">
              <w:rPr>
                <w:sz w:val="18"/>
                <w:lang w:val="fr-CH"/>
              </w:rPr>
              <w:t>ciali</w:t>
            </w:r>
            <w:r w:rsidR="005176B8" w:rsidRPr="0071782F">
              <w:rPr>
                <w:sz w:val="18"/>
                <w:lang w:val="fr-CH"/>
              </w:rPr>
              <w:t>sés</w:t>
            </w:r>
            <w:r w:rsidRPr="0071782F">
              <w:rPr>
                <w:sz w:val="18"/>
                <w:lang w:val="fr-CH"/>
              </w:rPr>
              <w:t xml:space="preserve"> </w:t>
            </w:r>
            <w:r w:rsidR="005176B8" w:rsidRPr="0071782F">
              <w:rPr>
                <w:sz w:val="18"/>
                <w:lang w:val="fr-CH"/>
              </w:rPr>
              <w:t xml:space="preserve">pour le groupe de la prévention de la toxicomanie </w:t>
            </w:r>
          </w:p>
        </w:tc>
        <w:tc>
          <w:tcPr>
            <w:tcW w:w="840" w:type="dxa"/>
            <w:tcBorders>
              <w:top w:val="nil"/>
              <w:bottom w:val="nil"/>
            </w:tcBorders>
            <w:shd w:val="clear" w:color="auto" w:fill="auto"/>
            <w:vAlign w:val="bottom"/>
          </w:tcPr>
          <w:p w:rsidR="00333944" w:rsidRPr="0071782F" w:rsidRDefault="005176B8" w:rsidP="00BA31AA">
            <w:pPr>
              <w:suppressAutoHyphens w:val="0"/>
              <w:spacing w:before="40" w:after="40" w:line="220" w:lineRule="exact"/>
              <w:ind w:left="113"/>
              <w:rPr>
                <w:sz w:val="18"/>
                <w:lang w:val="fr-CH"/>
              </w:rPr>
            </w:pPr>
            <w:r w:rsidRPr="0071782F">
              <w:rPr>
                <w:sz w:val="18"/>
                <w:lang w:val="fr-CH"/>
              </w:rPr>
              <w:t>Heure</w:t>
            </w:r>
          </w:p>
        </w:tc>
        <w:tc>
          <w:tcPr>
            <w:tcW w:w="895"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1 920</w:t>
            </w:r>
          </w:p>
        </w:tc>
        <w:tc>
          <w:tcPr>
            <w:tcW w:w="1092"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3 840</w:t>
            </w:r>
          </w:p>
        </w:tc>
        <w:tc>
          <w:tcPr>
            <w:tcW w:w="932" w:type="dxa"/>
            <w:tcBorders>
              <w:top w:val="nil"/>
              <w:bottom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7 680</w:t>
            </w:r>
          </w:p>
        </w:tc>
      </w:tr>
      <w:tr w:rsidR="00333944" w:rsidRPr="0071782F">
        <w:tc>
          <w:tcPr>
            <w:tcW w:w="501" w:type="dxa"/>
            <w:tcBorders>
              <w:top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17</w:t>
            </w:r>
          </w:p>
        </w:tc>
        <w:tc>
          <w:tcPr>
            <w:tcW w:w="3111" w:type="dxa"/>
            <w:tcBorders>
              <w:top w:val="nil"/>
            </w:tcBorders>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 xml:space="preserve">Formation à la vie pratique dispensés </w:t>
            </w:r>
            <w:r w:rsidR="00175962" w:rsidRPr="0071782F">
              <w:rPr>
                <w:sz w:val="18"/>
                <w:lang w:val="fr-CH"/>
              </w:rPr>
              <w:t>aux personnes</w:t>
            </w:r>
            <w:r w:rsidRPr="0071782F">
              <w:rPr>
                <w:sz w:val="18"/>
                <w:lang w:val="fr-CH"/>
              </w:rPr>
              <w:t xml:space="preserve"> handicapées</w:t>
            </w:r>
          </w:p>
        </w:tc>
        <w:tc>
          <w:tcPr>
            <w:tcW w:w="840" w:type="dxa"/>
            <w:tcBorders>
              <w:top w:val="nil"/>
            </w:tcBorders>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tcBorders>
              <w:top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2 733</w:t>
            </w:r>
          </w:p>
        </w:tc>
        <w:tc>
          <w:tcPr>
            <w:tcW w:w="1092" w:type="dxa"/>
            <w:tcBorders>
              <w:top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3 955</w:t>
            </w:r>
          </w:p>
        </w:tc>
        <w:tc>
          <w:tcPr>
            <w:tcW w:w="932" w:type="dxa"/>
            <w:tcBorders>
              <w:top w:val="nil"/>
            </w:tcBorders>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5 710</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18</w:t>
            </w:r>
          </w:p>
        </w:tc>
        <w:tc>
          <w:tcPr>
            <w:tcW w:w="3111" w:type="dxa"/>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U</w:t>
            </w:r>
            <w:r w:rsidR="005176B8" w:rsidRPr="0071782F">
              <w:rPr>
                <w:sz w:val="18"/>
                <w:lang w:val="fr-CH"/>
              </w:rPr>
              <w:t>tilisateurs de services de physiothé</w:t>
            </w:r>
            <w:r w:rsidRPr="0071782F">
              <w:rPr>
                <w:sz w:val="18"/>
                <w:lang w:val="fr-CH"/>
              </w:rPr>
              <w:t>rap</w:t>
            </w:r>
            <w:r w:rsidR="005176B8" w:rsidRPr="0071782F">
              <w:rPr>
                <w:sz w:val="18"/>
                <w:lang w:val="fr-CH"/>
              </w:rPr>
              <w:t xml:space="preserve">ie </w:t>
            </w:r>
          </w:p>
        </w:tc>
        <w:tc>
          <w:tcPr>
            <w:tcW w:w="840" w:type="dxa"/>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9 931</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111 141</w:t>
            </w:r>
          </w:p>
        </w:tc>
        <w:tc>
          <w:tcPr>
            <w:tcW w:w="932" w:type="dxa"/>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116 944</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19</w:t>
            </w:r>
          </w:p>
        </w:tc>
        <w:tc>
          <w:tcPr>
            <w:tcW w:w="3111" w:type="dxa"/>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Utilisateurs de services d’ergothérapie</w:t>
            </w:r>
          </w:p>
        </w:tc>
        <w:tc>
          <w:tcPr>
            <w:tcW w:w="840" w:type="dxa"/>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34 867</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38 160</w:t>
            </w:r>
          </w:p>
        </w:tc>
        <w:tc>
          <w:tcPr>
            <w:tcW w:w="932" w:type="dxa"/>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42 207</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20</w:t>
            </w:r>
          </w:p>
        </w:tc>
        <w:tc>
          <w:tcPr>
            <w:tcW w:w="3111" w:type="dxa"/>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Utilisateurs de services d’orthophonie</w:t>
            </w:r>
          </w:p>
        </w:tc>
        <w:tc>
          <w:tcPr>
            <w:tcW w:w="840" w:type="dxa"/>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24 898</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26 919</w:t>
            </w:r>
          </w:p>
        </w:tc>
        <w:tc>
          <w:tcPr>
            <w:tcW w:w="932" w:type="dxa"/>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28 724</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21</w:t>
            </w:r>
          </w:p>
        </w:tc>
        <w:tc>
          <w:tcPr>
            <w:tcW w:w="3111" w:type="dxa"/>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 xml:space="preserve">Utilisateurs de services d’évaluation auditive </w:t>
            </w:r>
          </w:p>
        </w:tc>
        <w:tc>
          <w:tcPr>
            <w:tcW w:w="840" w:type="dxa"/>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95 455</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111 486</w:t>
            </w:r>
          </w:p>
        </w:tc>
        <w:tc>
          <w:tcPr>
            <w:tcW w:w="932" w:type="dxa"/>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120 079</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22</w:t>
            </w:r>
          </w:p>
        </w:tc>
        <w:tc>
          <w:tcPr>
            <w:tcW w:w="3111" w:type="dxa"/>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 xml:space="preserve">Utilisateurs de services d’ophtalmologie </w:t>
            </w:r>
          </w:p>
        </w:tc>
        <w:tc>
          <w:tcPr>
            <w:tcW w:w="840" w:type="dxa"/>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107 499</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152 757</w:t>
            </w:r>
          </w:p>
        </w:tc>
        <w:tc>
          <w:tcPr>
            <w:tcW w:w="932" w:type="dxa"/>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176 821</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23</w:t>
            </w:r>
          </w:p>
        </w:tc>
        <w:tc>
          <w:tcPr>
            <w:tcW w:w="3111" w:type="dxa"/>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 xml:space="preserve">Utilisateurs de services </w:t>
            </w:r>
            <w:r w:rsidR="00333944" w:rsidRPr="0071782F">
              <w:rPr>
                <w:sz w:val="18"/>
                <w:lang w:val="fr-CH"/>
              </w:rPr>
              <w:t>orthop</w:t>
            </w:r>
            <w:r w:rsidRPr="0071782F">
              <w:rPr>
                <w:sz w:val="18"/>
                <w:lang w:val="fr-CH"/>
              </w:rPr>
              <w:t xml:space="preserve">édiques et techniques </w:t>
            </w:r>
          </w:p>
        </w:tc>
        <w:tc>
          <w:tcPr>
            <w:tcW w:w="840" w:type="dxa"/>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5176B8" w:rsidRPr="0071782F">
              <w:rPr>
                <w:sz w:val="18"/>
                <w:lang w:val="fr-CH"/>
              </w:rPr>
              <w:t>ne</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25 347</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26 678</w:t>
            </w:r>
          </w:p>
        </w:tc>
        <w:tc>
          <w:tcPr>
            <w:tcW w:w="932" w:type="dxa"/>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28 058</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24</w:t>
            </w:r>
          </w:p>
        </w:tc>
        <w:tc>
          <w:tcPr>
            <w:tcW w:w="3111" w:type="dxa"/>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 xml:space="preserve">Fourniture d’équipements de réadaptation </w:t>
            </w:r>
          </w:p>
        </w:tc>
        <w:tc>
          <w:tcPr>
            <w:tcW w:w="840" w:type="dxa"/>
            <w:shd w:val="clear" w:color="auto" w:fill="auto"/>
            <w:vAlign w:val="bottom"/>
          </w:tcPr>
          <w:p w:rsidR="00333944" w:rsidRPr="0071782F" w:rsidRDefault="005176B8" w:rsidP="00BA31AA">
            <w:pPr>
              <w:suppressAutoHyphens w:val="0"/>
              <w:spacing w:before="40" w:after="40" w:line="220" w:lineRule="exact"/>
              <w:ind w:left="113"/>
              <w:rPr>
                <w:sz w:val="18"/>
                <w:lang w:val="fr-CH"/>
              </w:rPr>
            </w:pPr>
            <w:r w:rsidRPr="0071782F">
              <w:rPr>
                <w:sz w:val="18"/>
                <w:lang w:val="fr-CH"/>
              </w:rPr>
              <w:t>Cas</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160 205</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167 630</w:t>
            </w:r>
          </w:p>
        </w:tc>
        <w:tc>
          <w:tcPr>
            <w:tcW w:w="932" w:type="dxa"/>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176 959</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25</w:t>
            </w:r>
          </w:p>
        </w:tc>
        <w:tc>
          <w:tcPr>
            <w:tcW w:w="3111" w:type="dxa"/>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Famil</w:t>
            </w:r>
            <w:r w:rsidR="005176B8" w:rsidRPr="0071782F">
              <w:rPr>
                <w:sz w:val="18"/>
                <w:lang w:val="fr-CH"/>
              </w:rPr>
              <w:t>l</w:t>
            </w:r>
            <w:r w:rsidRPr="0071782F">
              <w:rPr>
                <w:sz w:val="18"/>
                <w:lang w:val="fr-CH"/>
              </w:rPr>
              <w:t xml:space="preserve">es </w:t>
            </w:r>
            <w:r w:rsidR="005176B8" w:rsidRPr="0071782F">
              <w:rPr>
                <w:sz w:val="18"/>
                <w:lang w:val="fr-CH"/>
              </w:rPr>
              <w:t>ayant des enfants non voyants qui utilisent des services de ré</w:t>
            </w:r>
            <w:r w:rsidR="00AE37C1" w:rsidRPr="0071782F">
              <w:rPr>
                <w:sz w:val="18"/>
                <w:lang w:val="fr-CH"/>
              </w:rPr>
              <w:t>a</w:t>
            </w:r>
            <w:r w:rsidR="005176B8" w:rsidRPr="0071782F">
              <w:rPr>
                <w:sz w:val="18"/>
                <w:lang w:val="fr-CH"/>
              </w:rPr>
              <w:t xml:space="preserve">daptation </w:t>
            </w:r>
          </w:p>
        </w:tc>
        <w:tc>
          <w:tcPr>
            <w:tcW w:w="840" w:type="dxa"/>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Famil</w:t>
            </w:r>
            <w:r w:rsidR="005176B8" w:rsidRPr="0071782F">
              <w:rPr>
                <w:sz w:val="18"/>
                <w:lang w:val="fr-CH"/>
              </w:rPr>
              <w:t>le</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30 207</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30 317</w:t>
            </w:r>
          </w:p>
        </w:tc>
        <w:tc>
          <w:tcPr>
            <w:tcW w:w="932" w:type="dxa"/>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30 418</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26</w:t>
            </w:r>
          </w:p>
        </w:tc>
        <w:tc>
          <w:tcPr>
            <w:tcW w:w="3111" w:type="dxa"/>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Familles ayant des enfants sourds qui utilisent des services de ré</w:t>
            </w:r>
            <w:r w:rsidR="00AE37C1" w:rsidRPr="0071782F">
              <w:rPr>
                <w:sz w:val="18"/>
                <w:lang w:val="fr-CH"/>
              </w:rPr>
              <w:t>a</w:t>
            </w:r>
            <w:r w:rsidRPr="0071782F">
              <w:rPr>
                <w:sz w:val="18"/>
                <w:lang w:val="fr-CH"/>
              </w:rPr>
              <w:t>daptation</w:t>
            </w:r>
          </w:p>
        </w:tc>
        <w:tc>
          <w:tcPr>
            <w:tcW w:w="840" w:type="dxa"/>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Famil</w:t>
            </w:r>
            <w:r w:rsidR="005176B8" w:rsidRPr="0071782F">
              <w:rPr>
                <w:sz w:val="18"/>
                <w:lang w:val="fr-CH"/>
              </w:rPr>
              <w:t>le</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1 964</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2 024</w:t>
            </w:r>
          </w:p>
        </w:tc>
        <w:tc>
          <w:tcPr>
            <w:tcW w:w="932" w:type="dxa"/>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2 052</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27</w:t>
            </w:r>
          </w:p>
        </w:tc>
        <w:tc>
          <w:tcPr>
            <w:tcW w:w="3111" w:type="dxa"/>
            <w:shd w:val="clear" w:color="auto" w:fill="auto"/>
            <w:vAlign w:val="bottom"/>
          </w:tcPr>
          <w:p w:rsidR="00333944" w:rsidRPr="0071782F" w:rsidRDefault="005176B8" w:rsidP="00C232FA">
            <w:pPr>
              <w:suppressAutoHyphens w:val="0"/>
              <w:spacing w:before="40" w:after="40" w:line="220" w:lineRule="exact"/>
              <w:rPr>
                <w:sz w:val="18"/>
                <w:lang w:val="fr-CH"/>
              </w:rPr>
            </w:pPr>
            <w:r w:rsidRPr="0071782F">
              <w:rPr>
                <w:sz w:val="18"/>
                <w:lang w:val="fr-CH"/>
              </w:rPr>
              <w:t>Familles ayant des enfants</w:t>
            </w:r>
            <w:r w:rsidR="00051931" w:rsidRPr="0071782F">
              <w:rPr>
                <w:sz w:val="18"/>
                <w:lang w:val="fr-CH"/>
              </w:rPr>
              <w:t xml:space="preserve"> souffrant de handicaps physiques ou réduisant la mobilité qui utilisent des services de ré</w:t>
            </w:r>
            <w:r w:rsidR="00AE37C1" w:rsidRPr="0071782F">
              <w:rPr>
                <w:sz w:val="18"/>
                <w:lang w:val="fr-CH"/>
              </w:rPr>
              <w:t>a</w:t>
            </w:r>
            <w:r w:rsidR="00051931" w:rsidRPr="0071782F">
              <w:rPr>
                <w:sz w:val="18"/>
                <w:lang w:val="fr-CH"/>
              </w:rPr>
              <w:t>daptation</w:t>
            </w:r>
          </w:p>
        </w:tc>
        <w:tc>
          <w:tcPr>
            <w:tcW w:w="840" w:type="dxa"/>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Famil</w:t>
            </w:r>
            <w:r w:rsidR="00051931" w:rsidRPr="0071782F">
              <w:rPr>
                <w:sz w:val="18"/>
                <w:lang w:val="fr-CH"/>
              </w:rPr>
              <w:t>le</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8 456</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9 423</w:t>
            </w:r>
          </w:p>
        </w:tc>
        <w:tc>
          <w:tcPr>
            <w:tcW w:w="932" w:type="dxa"/>
            <w:shd w:val="clear" w:color="auto" w:fill="auto"/>
            <w:vAlign w:val="bottom"/>
          </w:tcPr>
          <w:p w:rsidR="00333944" w:rsidRPr="0071782F" w:rsidRDefault="00333944" w:rsidP="00C232FA">
            <w:pPr>
              <w:keepNext/>
              <w:keepLines/>
              <w:suppressAutoHyphens w:val="0"/>
              <w:spacing w:before="40" w:after="40" w:line="220" w:lineRule="exact"/>
              <w:jc w:val="right"/>
              <w:rPr>
                <w:sz w:val="18"/>
                <w:lang w:val="fr-CH"/>
              </w:rPr>
            </w:pPr>
            <w:r w:rsidRPr="0071782F">
              <w:rPr>
                <w:sz w:val="18"/>
                <w:lang w:val="fr-CH"/>
              </w:rPr>
              <w:t>10 292</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28</w:t>
            </w:r>
          </w:p>
        </w:tc>
        <w:tc>
          <w:tcPr>
            <w:tcW w:w="3111" w:type="dxa"/>
            <w:shd w:val="clear" w:color="auto" w:fill="auto"/>
            <w:vAlign w:val="bottom"/>
          </w:tcPr>
          <w:p w:rsidR="00333944" w:rsidRPr="0071782F" w:rsidRDefault="00051931" w:rsidP="00C232FA">
            <w:pPr>
              <w:suppressAutoHyphens w:val="0"/>
              <w:spacing w:before="40" w:after="40" w:line="220" w:lineRule="exact"/>
              <w:rPr>
                <w:sz w:val="18"/>
                <w:lang w:val="fr-CH"/>
              </w:rPr>
            </w:pPr>
            <w:r w:rsidRPr="0071782F">
              <w:rPr>
                <w:sz w:val="18"/>
                <w:lang w:val="fr-CH"/>
              </w:rPr>
              <w:t>Personnes handicapées et</w:t>
            </w:r>
            <w:r w:rsidR="00934656">
              <w:rPr>
                <w:sz w:val="18"/>
                <w:lang w:val="fr-CH"/>
              </w:rPr>
              <w:t xml:space="preserve"> </w:t>
            </w:r>
            <w:r w:rsidR="00097CDB" w:rsidRPr="0071782F">
              <w:rPr>
                <w:sz w:val="18"/>
                <w:lang w:val="fr-CH"/>
              </w:rPr>
              <w:t>personnes</w:t>
            </w:r>
            <w:r w:rsidRPr="0071782F">
              <w:rPr>
                <w:sz w:val="18"/>
                <w:lang w:val="fr-CH"/>
              </w:rPr>
              <w:t xml:space="preserve"> âgées utilisant des services financiers et des services de soins à domicile </w:t>
            </w:r>
          </w:p>
        </w:tc>
        <w:tc>
          <w:tcPr>
            <w:tcW w:w="840" w:type="dxa"/>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051931" w:rsidRPr="0071782F">
              <w:rPr>
                <w:sz w:val="18"/>
                <w:lang w:val="fr-CH"/>
              </w:rPr>
              <w:t>ne</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13 797</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134 703</w:t>
            </w:r>
          </w:p>
        </w:tc>
        <w:tc>
          <w:tcPr>
            <w:tcW w:w="9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169 769</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29</w:t>
            </w:r>
          </w:p>
        </w:tc>
        <w:tc>
          <w:tcPr>
            <w:tcW w:w="3111" w:type="dxa"/>
            <w:shd w:val="clear" w:color="auto" w:fill="auto"/>
            <w:vAlign w:val="bottom"/>
          </w:tcPr>
          <w:p w:rsidR="00333944" w:rsidRPr="0071782F" w:rsidRDefault="00051931" w:rsidP="00C232FA">
            <w:pPr>
              <w:suppressAutoHyphens w:val="0"/>
              <w:spacing w:before="40" w:after="40" w:line="220" w:lineRule="exact"/>
              <w:rPr>
                <w:sz w:val="18"/>
                <w:lang w:val="fr-CH"/>
              </w:rPr>
            </w:pPr>
            <w:r w:rsidRPr="0071782F">
              <w:rPr>
                <w:sz w:val="18"/>
                <w:lang w:val="fr-CH"/>
              </w:rPr>
              <w:t>Non-voyants utilisant des services d’alphabétisation</w:t>
            </w:r>
            <w:r w:rsidR="00D36718">
              <w:rPr>
                <w:sz w:val="18"/>
                <w:lang w:val="fr-CH"/>
              </w:rPr>
              <w:t xml:space="preserve"> </w:t>
            </w:r>
          </w:p>
        </w:tc>
        <w:tc>
          <w:tcPr>
            <w:tcW w:w="840" w:type="dxa"/>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051931" w:rsidRPr="0071782F">
              <w:rPr>
                <w:sz w:val="18"/>
                <w:lang w:val="fr-CH"/>
              </w:rPr>
              <w:t>ne</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823</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775</w:t>
            </w:r>
          </w:p>
        </w:tc>
        <w:tc>
          <w:tcPr>
            <w:tcW w:w="9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859</w:t>
            </w:r>
          </w:p>
        </w:tc>
      </w:tr>
      <w:tr w:rsidR="00333944" w:rsidRPr="0071782F">
        <w:tc>
          <w:tcPr>
            <w:tcW w:w="501" w:type="dxa"/>
            <w:tcBorders>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30</w:t>
            </w:r>
          </w:p>
        </w:tc>
        <w:tc>
          <w:tcPr>
            <w:tcW w:w="3111" w:type="dxa"/>
            <w:tcBorders>
              <w:bottom w:val="nil"/>
            </w:tcBorders>
            <w:shd w:val="clear" w:color="auto" w:fill="auto"/>
            <w:vAlign w:val="bottom"/>
          </w:tcPr>
          <w:p w:rsidR="00333944" w:rsidRPr="0071782F" w:rsidRDefault="00051931" w:rsidP="00C232FA">
            <w:pPr>
              <w:suppressAutoHyphens w:val="0"/>
              <w:spacing w:before="40" w:after="40" w:line="220" w:lineRule="exact"/>
              <w:rPr>
                <w:sz w:val="18"/>
                <w:lang w:val="fr-CH"/>
              </w:rPr>
            </w:pPr>
            <w:r w:rsidRPr="0071782F">
              <w:rPr>
                <w:sz w:val="18"/>
                <w:lang w:val="fr-CH"/>
              </w:rPr>
              <w:t>Non-voyants handicapés utilisant des services d’alphabétisation</w:t>
            </w:r>
            <w:r w:rsidR="00D36718">
              <w:rPr>
                <w:sz w:val="18"/>
                <w:lang w:val="fr-CH"/>
              </w:rPr>
              <w:t xml:space="preserve"> </w:t>
            </w:r>
          </w:p>
        </w:tc>
        <w:tc>
          <w:tcPr>
            <w:tcW w:w="840" w:type="dxa"/>
            <w:tcBorders>
              <w:bottom w:val="nil"/>
            </w:tcBorders>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051931" w:rsidRPr="0071782F">
              <w:rPr>
                <w:sz w:val="18"/>
                <w:lang w:val="fr-CH"/>
              </w:rPr>
              <w:t>ne</w:t>
            </w:r>
          </w:p>
        </w:tc>
        <w:tc>
          <w:tcPr>
            <w:tcW w:w="895" w:type="dxa"/>
            <w:tcBorders>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591</w:t>
            </w:r>
          </w:p>
        </w:tc>
        <w:tc>
          <w:tcPr>
            <w:tcW w:w="1092" w:type="dxa"/>
            <w:tcBorders>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661</w:t>
            </w:r>
          </w:p>
        </w:tc>
        <w:tc>
          <w:tcPr>
            <w:tcW w:w="932" w:type="dxa"/>
            <w:tcBorders>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754</w:t>
            </w:r>
          </w:p>
        </w:tc>
      </w:tr>
      <w:tr w:rsidR="00333944" w:rsidRPr="0071782F">
        <w:tc>
          <w:tcPr>
            <w:tcW w:w="501" w:type="dxa"/>
            <w:tcBorders>
              <w:top w:val="nil"/>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31</w:t>
            </w:r>
          </w:p>
        </w:tc>
        <w:tc>
          <w:tcPr>
            <w:tcW w:w="3111" w:type="dxa"/>
            <w:tcBorders>
              <w:top w:val="nil"/>
              <w:bottom w:val="nil"/>
            </w:tcBorders>
            <w:shd w:val="clear" w:color="auto" w:fill="auto"/>
            <w:vAlign w:val="bottom"/>
          </w:tcPr>
          <w:p w:rsidR="00333944" w:rsidRPr="0071782F" w:rsidRDefault="00051931" w:rsidP="00C232FA">
            <w:pPr>
              <w:suppressAutoHyphens w:val="0"/>
              <w:spacing w:before="40" w:after="40" w:line="220" w:lineRule="exact"/>
              <w:rPr>
                <w:sz w:val="18"/>
                <w:lang w:val="fr-CH"/>
              </w:rPr>
            </w:pPr>
            <w:r w:rsidRPr="0071782F">
              <w:rPr>
                <w:sz w:val="18"/>
                <w:lang w:val="fr-CH"/>
              </w:rPr>
              <w:t>P</w:t>
            </w:r>
            <w:r w:rsidR="000011B3" w:rsidRPr="0071782F">
              <w:rPr>
                <w:sz w:val="18"/>
                <w:lang w:val="fr-CH"/>
              </w:rPr>
              <w:t>ersonnes</w:t>
            </w:r>
            <w:r w:rsidR="00333944" w:rsidRPr="0071782F">
              <w:rPr>
                <w:sz w:val="18"/>
                <w:lang w:val="fr-CH"/>
              </w:rPr>
              <w:t xml:space="preserve"> </w:t>
            </w:r>
            <w:r w:rsidRPr="0071782F">
              <w:rPr>
                <w:sz w:val="18"/>
                <w:lang w:val="fr-CH"/>
              </w:rPr>
              <w:t xml:space="preserve">handicapées </w:t>
            </w:r>
            <w:r w:rsidR="00333944" w:rsidRPr="0071782F">
              <w:rPr>
                <w:sz w:val="18"/>
                <w:lang w:val="fr-CH"/>
              </w:rPr>
              <w:t>(</w:t>
            </w:r>
            <w:r w:rsidRPr="0071782F">
              <w:rPr>
                <w:sz w:val="18"/>
                <w:lang w:val="fr-CH"/>
              </w:rPr>
              <w:t>sourdes, non voyantes</w:t>
            </w:r>
            <w:r w:rsidR="00333944" w:rsidRPr="0071782F">
              <w:rPr>
                <w:sz w:val="18"/>
                <w:lang w:val="fr-CH"/>
              </w:rPr>
              <w:t xml:space="preserve">, </w:t>
            </w:r>
            <w:r w:rsidRPr="0071782F">
              <w:rPr>
                <w:sz w:val="18"/>
                <w:lang w:val="fr-CH"/>
              </w:rPr>
              <w:t>handicapées mentales, physiques ou à mobilité réduite</w:t>
            </w:r>
            <w:r w:rsidR="00333944" w:rsidRPr="0071782F">
              <w:rPr>
                <w:sz w:val="18"/>
                <w:lang w:val="fr-CH"/>
              </w:rPr>
              <w:t xml:space="preserve">) </w:t>
            </w:r>
            <w:r w:rsidRPr="0071782F">
              <w:rPr>
                <w:sz w:val="18"/>
                <w:lang w:val="fr-CH"/>
              </w:rPr>
              <w:t>qui utilisent des services (publics ou privés) de formation technique ou professionnelle</w:t>
            </w:r>
          </w:p>
        </w:tc>
        <w:tc>
          <w:tcPr>
            <w:tcW w:w="840" w:type="dxa"/>
            <w:tcBorders>
              <w:top w:val="nil"/>
              <w:bottom w:val="nil"/>
            </w:tcBorders>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051931" w:rsidRPr="0071782F">
              <w:rPr>
                <w:sz w:val="18"/>
                <w:lang w:val="fr-CH"/>
              </w:rPr>
              <w:t>ne</w:t>
            </w:r>
          </w:p>
        </w:tc>
        <w:tc>
          <w:tcPr>
            <w:tcW w:w="895"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847</w:t>
            </w:r>
          </w:p>
        </w:tc>
        <w:tc>
          <w:tcPr>
            <w:tcW w:w="1092"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9 421</w:t>
            </w:r>
          </w:p>
        </w:tc>
        <w:tc>
          <w:tcPr>
            <w:tcW w:w="932"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10 452</w:t>
            </w:r>
          </w:p>
        </w:tc>
      </w:tr>
      <w:tr w:rsidR="00333944" w:rsidRPr="0071782F">
        <w:tc>
          <w:tcPr>
            <w:tcW w:w="501" w:type="dxa"/>
            <w:tcBorders>
              <w:top w:val="nil"/>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32</w:t>
            </w:r>
          </w:p>
        </w:tc>
        <w:tc>
          <w:tcPr>
            <w:tcW w:w="3111" w:type="dxa"/>
            <w:tcBorders>
              <w:top w:val="nil"/>
              <w:bottom w:val="nil"/>
            </w:tcBorders>
            <w:shd w:val="clear" w:color="auto" w:fill="auto"/>
            <w:vAlign w:val="bottom"/>
          </w:tcPr>
          <w:p w:rsidR="00333944" w:rsidRPr="0071782F" w:rsidRDefault="00051931" w:rsidP="00C232FA">
            <w:pPr>
              <w:suppressAutoHyphens w:val="0"/>
              <w:spacing w:before="40" w:after="40" w:line="220" w:lineRule="exact"/>
              <w:rPr>
                <w:sz w:val="18"/>
                <w:lang w:val="fr-CH"/>
              </w:rPr>
            </w:pPr>
            <w:r w:rsidRPr="0071782F">
              <w:rPr>
                <w:sz w:val="18"/>
                <w:lang w:val="fr-CH"/>
              </w:rPr>
              <w:t xml:space="preserve">Personnes handicapées exerçant un emploi </w:t>
            </w:r>
          </w:p>
        </w:tc>
        <w:tc>
          <w:tcPr>
            <w:tcW w:w="840" w:type="dxa"/>
            <w:tcBorders>
              <w:top w:val="nil"/>
              <w:bottom w:val="nil"/>
            </w:tcBorders>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051931" w:rsidRPr="0071782F">
              <w:rPr>
                <w:sz w:val="18"/>
                <w:lang w:val="fr-CH"/>
              </w:rPr>
              <w:t>ne</w:t>
            </w:r>
          </w:p>
        </w:tc>
        <w:tc>
          <w:tcPr>
            <w:tcW w:w="895"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5 500</w:t>
            </w:r>
          </w:p>
        </w:tc>
        <w:tc>
          <w:tcPr>
            <w:tcW w:w="1092"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6 050</w:t>
            </w:r>
          </w:p>
        </w:tc>
        <w:tc>
          <w:tcPr>
            <w:tcW w:w="932"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6 655</w:t>
            </w:r>
          </w:p>
        </w:tc>
      </w:tr>
      <w:tr w:rsidR="00333944" w:rsidRPr="0071782F">
        <w:tc>
          <w:tcPr>
            <w:tcW w:w="501" w:type="dxa"/>
            <w:tcBorders>
              <w:top w:val="nil"/>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33</w:t>
            </w:r>
          </w:p>
        </w:tc>
        <w:tc>
          <w:tcPr>
            <w:tcW w:w="3111" w:type="dxa"/>
            <w:tcBorders>
              <w:top w:val="nil"/>
              <w:bottom w:val="nil"/>
            </w:tcBorders>
            <w:shd w:val="clear" w:color="auto" w:fill="auto"/>
            <w:vAlign w:val="bottom"/>
          </w:tcPr>
          <w:p w:rsidR="00333944" w:rsidRPr="0071782F" w:rsidRDefault="00051931" w:rsidP="00C232FA">
            <w:pPr>
              <w:suppressAutoHyphens w:val="0"/>
              <w:spacing w:before="40" w:after="40" w:line="220" w:lineRule="exact"/>
              <w:rPr>
                <w:sz w:val="18"/>
                <w:lang w:val="fr-CH"/>
              </w:rPr>
            </w:pPr>
            <w:r w:rsidRPr="0071782F">
              <w:rPr>
                <w:sz w:val="18"/>
                <w:lang w:val="fr-CH"/>
              </w:rPr>
              <w:t xml:space="preserve">Personnes handicapées </w:t>
            </w:r>
            <w:r w:rsidR="00333944" w:rsidRPr="0071782F">
              <w:rPr>
                <w:sz w:val="18"/>
                <w:lang w:val="fr-CH"/>
              </w:rPr>
              <w:t>u</w:t>
            </w:r>
            <w:r w:rsidRPr="0071782F">
              <w:rPr>
                <w:sz w:val="18"/>
                <w:lang w:val="fr-CH"/>
              </w:rPr>
              <w:t xml:space="preserve">tilisant des services </w:t>
            </w:r>
            <w:r w:rsidR="00333944" w:rsidRPr="0071782F">
              <w:rPr>
                <w:sz w:val="18"/>
                <w:lang w:val="fr-CH"/>
              </w:rPr>
              <w:t>socia</w:t>
            </w:r>
            <w:r w:rsidRPr="0071782F">
              <w:rPr>
                <w:sz w:val="18"/>
                <w:lang w:val="fr-CH"/>
              </w:rPr>
              <w:t xml:space="preserve">ux et de travail </w:t>
            </w:r>
            <w:r w:rsidR="00333944" w:rsidRPr="0071782F">
              <w:rPr>
                <w:sz w:val="18"/>
                <w:lang w:val="fr-CH"/>
              </w:rPr>
              <w:t xml:space="preserve">social </w:t>
            </w:r>
          </w:p>
        </w:tc>
        <w:tc>
          <w:tcPr>
            <w:tcW w:w="840" w:type="dxa"/>
            <w:tcBorders>
              <w:top w:val="nil"/>
              <w:bottom w:val="nil"/>
            </w:tcBorders>
            <w:shd w:val="clear" w:color="auto" w:fill="auto"/>
            <w:vAlign w:val="bottom"/>
          </w:tcPr>
          <w:p w:rsidR="00333944" w:rsidRPr="0071782F" w:rsidRDefault="00051931" w:rsidP="00BA31AA">
            <w:pPr>
              <w:suppressAutoHyphens w:val="0"/>
              <w:spacing w:before="40" w:after="40" w:line="220" w:lineRule="exact"/>
              <w:ind w:left="113"/>
              <w:rPr>
                <w:sz w:val="18"/>
                <w:lang w:val="fr-CH"/>
              </w:rPr>
            </w:pPr>
            <w:r w:rsidRPr="0071782F">
              <w:rPr>
                <w:sz w:val="18"/>
                <w:lang w:val="fr-CH"/>
              </w:rPr>
              <w:t>Cas</w:t>
            </w:r>
          </w:p>
        </w:tc>
        <w:tc>
          <w:tcPr>
            <w:tcW w:w="895"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1 554 321</w:t>
            </w:r>
          </w:p>
        </w:tc>
        <w:tc>
          <w:tcPr>
            <w:tcW w:w="1092"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1 813 734</w:t>
            </w:r>
          </w:p>
        </w:tc>
        <w:tc>
          <w:tcPr>
            <w:tcW w:w="932"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192 723</w:t>
            </w:r>
          </w:p>
        </w:tc>
      </w:tr>
      <w:tr w:rsidR="00333944" w:rsidRPr="0071782F">
        <w:tc>
          <w:tcPr>
            <w:tcW w:w="501" w:type="dxa"/>
            <w:tcBorders>
              <w:top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34</w:t>
            </w:r>
          </w:p>
        </w:tc>
        <w:tc>
          <w:tcPr>
            <w:tcW w:w="3111" w:type="dxa"/>
            <w:tcBorders>
              <w:top w:val="nil"/>
            </w:tcBorders>
            <w:shd w:val="clear" w:color="auto" w:fill="auto"/>
            <w:vAlign w:val="bottom"/>
          </w:tcPr>
          <w:p w:rsidR="00333944" w:rsidRPr="0071782F" w:rsidRDefault="00051931" w:rsidP="00C232FA">
            <w:pPr>
              <w:suppressAutoHyphens w:val="0"/>
              <w:spacing w:before="40" w:after="40" w:line="220" w:lineRule="exact"/>
              <w:rPr>
                <w:sz w:val="18"/>
                <w:lang w:val="fr-CH"/>
              </w:rPr>
            </w:pPr>
            <w:r w:rsidRPr="0071782F">
              <w:rPr>
                <w:sz w:val="18"/>
                <w:lang w:val="fr-CH"/>
              </w:rPr>
              <w:t>Réadaptation s</w:t>
            </w:r>
            <w:r w:rsidR="00333944" w:rsidRPr="0071782F">
              <w:rPr>
                <w:sz w:val="18"/>
                <w:lang w:val="fr-CH"/>
              </w:rPr>
              <w:t>ocial</w:t>
            </w:r>
            <w:r w:rsidR="00AE37C1" w:rsidRPr="0071782F">
              <w:rPr>
                <w:sz w:val="18"/>
                <w:lang w:val="fr-CH"/>
              </w:rPr>
              <w:t>e</w:t>
            </w:r>
            <w:r w:rsidR="00333944" w:rsidRPr="0071782F">
              <w:rPr>
                <w:sz w:val="18"/>
                <w:lang w:val="fr-CH"/>
              </w:rPr>
              <w:t xml:space="preserve"> </w:t>
            </w:r>
            <w:r w:rsidR="007F37CE" w:rsidRPr="0071782F">
              <w:rPr>
                <w:sz w:val="18"/>
                <w:lang w:val="fr-CH"/>
              </w:rPr>
              <w:t>des personnes</w:t>
            </w:r>
            <w:r w:rsidRPr="0071782F">
              <w:rPr>
                <w:sz w:val="18"/>
                <w:lang w:val="fr-CH"/>
              </w:rPr>
              <w:t xml:space="preserve"> handicapées</w:t>
            </w:r>
          </w:p>
        </w:tc>
        <w:tc>
          <w:tcPr>
            <w:tcW w:w="840" w:type="dxa"/>
            <w:tcBorders>
              <w:top w:val="nil"/>
            </w:tcBorders>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051931" w:rsidRPr="0071782F">
              <w:rPr>
                <w:sz w:val="18"/>
                <w:lang w:val="fr-CH"/>
              </w:rPr>
              <w:t>ne</w:t>
            </w:r>
          </w:p>
        </w:tc>
        <w:tc>
          <w:tcPr>
            <w:tcW w:w="895" w:type="dxa"/>
            <w:tcBorders>
              <w:top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15 687</w:t>
            </w:r>
          </w:p>
        </w:tc>
        <w:tc>
          <w:tcPr>
            <w:tcW w:w="1092" w:type="dxa"/>
            <w:tcBorders>
              <w:top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15 597</w:t>
            </w:r>
          </w:p>
        </w:tc>
        <w:tc>
          <w:tcPr>
            <w:tcW w:w="932" w:type="dxa"/>
            <w:tcBorders>
              <w:top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19 968</w:t>
            </w:r>
          </w:p>
        </w:tc>
      </w:tr>
      <w:tr w:rsidR="00333944" w:rsidRPr="0071782F">
        <w:tc>
          <w:tcPr>
            <w:tcW w:w="501"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35</w:t>
            </w:r>
          </w:p>
        </w:tc>
        <w:tc>
          <w:tcPr>
            <w:tcW w:w="3111" w:type="dxa"/>
            <w:shd w:val="clear" w:color="auto" w:fill="auto"/>
            <w:vAlign w:val="bottom"/>
          </w:tcPr>
          <w:p w:rsidR="00333944" w:rsidRPr="0071782F" w:rsidRDefault="00051931" w:rsidP="00C232FA">
            <w:pPr>
              <w:suppressAutoHyphens w:val="0"/>
              <w:spacing w:before="40" w:after="40" w:line="220" w:lineRule="exact"/>
              <w:rPr>
                <w:sz w:val="18"/>
                <w:lang w:val="fr-CH"/>
              </w:rPr>
            </w:pPr>
            <w:r w:rsidRPr="0071782F">
              <w:rPr>
                <w:sz w:val="18"/>
                <w:lang w:val="fr-CH"/>
              </w:rPr>
              <w:t xml:space="preserve">Centres relevant de l’Organisme public pour la protection sociale accessibles </w:t>
            </w:r>
            <w:r w:rsidR="00175962" w:rsidRPr="0071782F">
              <w:rPr>
                <w:sz w:val="18"/>
                <w:lang w:val="fr-CH"/>
              </w:rPr>
              <w:t>aux personnes</w:t>
            </w:r>
            <w:r w:rsidRPr="0071782F">
              <w:rPr>
                <w:sz w:val="18"/>
                <w:lang w:val="fr-CH"/>
              </w:rPr>
              <w:t xml:space="preserve"> handicapées </w:t>
            </w:r>
          </w:p>
        </w:tc>
        <w:tc>
          <w:tcPr>
            <w:tcW w:w="840" w:type="dxa"/>
            <w:shd w:val="clear" w:color="auto"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w:t>
            </w:r>
            <w:r w:rsidR="00051931" w:rsidRPr="0071782F">
              <w:rPr>
                <w:sz w:val="18"/>
                <w:lang w:val="fr-CH"/>
              </w:rPr>
              <w:t>ourcentage</w:t>
            </w:r>
          </w:p>
        </w:tc>
        <w:tc>
          <w:tcPr>
            <w:tcW w:w="895"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2 469</w:t>
            </w:r>
          </w:p>
        </w:tc>
        <w:tc>
          <w:tcPr>
            <w:tcW w:w="109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695</w:t>
            </w:r>
          </w:p>
        </w:tc>
        <w:tc>
          <w:tcPr>
            <w:tcW w:w="9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520</w:t>
            </w:r>
          </w:p>
        </w:tc>
      </w:tr>
    </w:tbl>
    <w:p w:rsidR="00333944" w:rsidRPr="0071782F" w:rsidRDefault="00333944" w:rsidP="00C232FA">
      <w:pPr>
        <w:pStyle w:val="H1G"/>
        <w:rPr>
          <w:lang w:val="fr-CH"/>
        </w:rPr>
      </w:pPr>
      <w:r w:rsidRPr="0071782F">
        <w:rPr>
          <w:lang w:val="fr-CH"/>
        </w:rPr>
        <w:tab/>
      </w:r>
      <w:r w:rsidRPr="0071782F">
        <w:rPr>
          <w:lang w:val="fr-CH"/>
        </w:rPr>
        <w:tab/>
        <w:t>Entrepreneur</w:t>
      </w:r>
      <w:r w:rsidR="00560617" w:rsidRPr="0071782F">
        <w:rPr>
          <w:lang w:val="fr-CH"/>
        </w:rPr>
        <w:t xml:space="preserve">iat et emploi </w:t>
      </w:r>
      <w:r w:rsidR="007F37CE" w:rsidRPr="0071782F">
        <w:rPr>
          <w:lang w:val="fr-CH"/>
        </w:rPr>
        <w:t>des personnes</w:t>
      </w:r>
      <w:r w:rsidR="00560617" w:rsidRPr="0071782F">
        <w:rPr>
          <w:lang w:val="fr-CH"/>
        </w:rPr>
        <w:t xml:space="preserve"> handicapées </w:t>
      </w:r>
    </w:p>
    <w:p w:rsidR="00333944" w:rsidRPr="0071782F" w:rsidRDefault="00333944" w:rsidP="00C232FA">
      <w:pPr>
        <w:pStyle w:val="SingleTxtG"/>
        <w:rPr>
          <w:lang w:val="fr-CH"/>
        </w:rPr>
      </w:pPr>
      <w:r w:rsidRPr="0071782F">
        <w:rPr>
          <w:lang w:val="fr-CH"/>
        </w:rPr>
        <w:t>342.</w:t>
      </w:r>
      <w:r w:rsidRPr="0071782F">
        <w:rPr>
          <w:lang w:val="fr-CH"/>
        </w:rPr>
        <w:tab/>
      </w:r>
      <w:r w:rsidR="00560617" w:rsidRPr="0071782F">
        <w:rPr>
          <w:lang w:val="fr-CH"/>
        </w:rPr>
        <w:t>Le Département de l’e</w:t>
      </w:r>
      <w:r w:rsidRPr="0071782F">
        <w:rPr>
          <w:lang w:val="fr-CH"/>
        </w:rPr>
        <w:t>ntrepreneur</w:t>
      </w:r>
      <w:r w:rsidR="00560617" w:rsidRPr="0071782F">
        <w:rPr>
          <w:lang w:val="fr-CH"/>
        </w:rPr>
        <w:t>iat et de l’emploi a pour objectif de créer des emplois. À cet effet, il utilise les ressources et les mécanismes financiers que mettent à sa disposition l’organisation et les banques</w:t>
      </w:r>
      <w:r w:rsidRPr="0071782F">
        <w:rPr>
          <w:lang w:val="fr-CH"/>
        </w:rPr>
        <w:t xml:space="preserve">, </w:t>
      </w:r>
      <w:r w:rsidR="00560617" w:rsidRPr="0071782F">
        <w:rPr>
          <w:lang w:val="fr-CH"/>
        </w:rPr>
        <w:t xml:space="preserve">tire parti d’idées innovantes et créatives et planifie, </w:t>
      </w:r>
      <w:r w:rsidRPr="0071782F">
        <w:rPr>
          <w:lang w:val="fr-CH"/>
        </w:rPr>
        <w:t>organi</w:t>
      </w:r>
      <w:r w:rsidR="00560617" w:rsidRPr="0071782F">
        <w:rPr>
          <w:lang w:val="fr-CH"/>
        </w:rPr>
        <w:t xml:space="preserve">se, dirige et supervise l’utilisation </w:t>
      </w:r>
      <w:r w:rsidRPr="0071782F">
        <w:rPr>
          <w:lang w:val="fr-CH"/>
        </w:rPr>
        <w:t>optimal</w:t>
      </w:r>
      <w:r w:rsidR="00560617" w:rsidRPr="0071782F">
        <w:rPr>
          <w:lang w:val="fr-CH"/>
        </w:rPr>
        <w:t>e</w:t>
      </w:r>
      <w:r w:rsidRPr="0071782F">
        <w:rPr>
          <w:lang w:val="fr-CH"/>
        </w:rPr>
        <w:t xml:space="preserve"> </w:t>
      </w:r>
      <w:r w:rsidR="00560617" w:rsidRPr="0071782F">
        <w:rPr>
          <w:lang w:val="fr-CH"/>
        </w:rPr>
        <w:t xml:space="preserve">des ressources potentielles des </w:t>
      </w:r>
      <w:r w:rsidRPr="0071782F">
        <w:rPr>
          <w:lang w:val="fr-CH"/>
        </w:rPr>
        <w:t xml:space="preserve">institutions </w:t>
      </w:r>
      <w:r w:rsidR="00560617" w:rsidRPr="0071782F">
        <w:rPr>
          <w:lang w:val="fr-CH"/>
        </w:rPr>
        <w:t>et du secteur privé. Ce faisant, il s’emploie à mettre au jour et à promouvoir</w:t>
      </w:r>
      <w:r w:rsidRPr="0071782F">
        <w:rPr>
          <w:lang w:val="fr-CH"/>
        </w:rPr>
        <w:t xml:space="preserve"> </w:t>
      </w:r>
      <w:r w:rsidR="00560617" w:rsidRPr="0071782F">
        <w:rPr>
          <w:lang w:val="fr-CH"/>
        </w:rPr>
        <w:t>les capacités de développement de la communauté cible et de créer une motivation devant permettre de combiner et d’harmoniser les</w:t>
      </w:r>
      <w:r w:rsidRPr="0071782F">
        <w:rPr>
          <w:lang w:val="fr-CH"/>
        </w:rPr>
        <w:t xml:space="preserve"> instruments </w:t>
      </w:r>
      <w:r w:rsidR="00560617" w:rsidRPr="0071782F">
        <w:rPr>
          <w:lang w:val="fr-CH"/>
        </w:rPr>
        <w:t xml:space="preserve">existants dans le but de transformer une société non productive et consommatrice en une société </w:t>
      </w:r>
      <w:r w:rsidRPr="0071782F">
        <w:rPr>
          <w:lang w:val="fr-CH"/>
        </w:rPr>
        <w:t>productive, active</w:t>
      </w:r>
      <w:r w:rsidR="00560617" w:rsidRPr="0071782F">
        <w:rPr>
          <w:lang w:val="fr-CH"/>
        </w:rPr>
        <w:t xml:space="preserve"> et</w:t>
      </w:r>
      <w:r w:rsidRPr="0071782F">
        <w:rPr>
          <w:lang w:val="fr-CH"/>
        </w:rPr>
        <w:t xml:space="preserve"> dynami</w:t>
      </w:r>
      <w:r w:rsidR="00560617" w:rsidRPr="0071782F">
        <w:rPr>
          <w:lang w:val="fr-CH"/>
        </w:rPr>
        <w:t>que par la promotion de l’estime de soi et, en dernière analyse, d’y instaurer l’autosuffisance économique et le bien-être</w:t>
      </w:r>
      <w:r w:rsidRPr="0071782F">
        <w:rPr>
          <w:lang w:val="fr-CH"/>
        </w:rPr>
        <w:t xml:space="preserve">. </w:t>
      </w:r>
    </w:p>
    <w:p w:rsidR="00333944" w:rsidRPr="0071782F" w:rsidRDefault="00333944" w:rsidP="00333944">
      <w:pPr>
        <w:pStyle w:val="H1G"/>
        <w:rPr>
          <w:lang w:val="fr-CH"/>
        </w:rPr>
      </w:pPr>
      <w:r w:rsidRPr="0071782F">
        <w:rPr>
          <w:lang w:val="fr-CH"/>
        </w:rPr>
        <w:tab/>
      </w:r>
      <w:r w:rsidRPr="0071782F">
        <w:rPr>
          <w:lang w:val="fr-CH"/>
        </w:rPr>
        <w:tab/>
      </w:r>
      <w:r w:rsidR="00560617" w:rsidRPr="0071782F">
        <w:rPr>
          <w:lang w:val="fr-CH"/>
        </w:rPr>
        <w:t>Principales activités du Dé</w:t>
      </w:r>
      <w:r w:rsidRPr="0071782F">
        <w:rPr>
          <w:lang w:val="fr-CH"/>
        </w:rPr>
        <w:t>part</w:t>
      </w:r>
      <w:r w:rsidR="00560617" w:rsidRPr="0071782F">
        <w:rPr>
          <w:lang w:val="fr-CH"/>
        </w:rPr>
        <w:t>e</w:t>
      </w:r>
      <w:r w:rsidRPr="0071782F">
        <w:rPr>
          <w:lang w:val="fr-CH"/>
        </w:rPr>
        <w:t>ment</w:t>
      </w:r>
    </w:p>
    <w:p w:rsidR="00333944" w:rsidRPr="0071782F" w:rsidRDefault="00333944" w:rsidP="00333944">
      <w:pPr>
        <w:pStyle w:val="SingleTxtG"/>
        <w:rPr>
          <w:lang w:val="fr-CH"/>
        </w:rPr>
      </w:pPr>
      <w:r w:rsidRPr="0071782F">
        <w:rPr>
          <w:lang w:val="fr-CH"/>
        </w:rPr>
        <w:t>343.</w:t>
      </w:r>
      <w:r w:rsidRPr="0071782F">
        <w:rPr>
          <w:lang w:val="fr-CH"/>
        </w:rPr>
        <w:tab/>
      </w:r>
      <w:r w:rsidR="00560617" w:rsidRPr="0071782F">
        <w:rPr>
          <w:lang w:val="fr-CH"/>
        </w:rPr>
        <w:t>Il s’agit des activités suivantes</w:t>
      </w:r>
      <w:r w:rsidR="008F7D33" w:rsidRPr="0071782F">
        <w:rPr>
          <w:lang w:val="fr-CH"/>
        </w:rPr>
        <w:t>:</w:t>
      </w:r>
    </w:p>
    <w:p w:rsidR="00333944" w:rsidRPr="0071782F" w:rsidRDefault="00C524CD" w:rsidP="00333944">
      <w:pPr>
        <w:pStyle w:val="Bullet1G"/>
        <w:rPr>
          <w:lang w:val="fr-CH"/>
        </w:rPr>
      </w:pPr>
      <w:r w:rsidRPr="0071782F">
        <w:rPr>
          <w:lang w:val="fr-CH"/>
        </w:rPr>
        <w:t>Développement des ateliers techniques et professionnels pour</w:t>
      </w:r>
      <w:r w:rsidR="00097CDB" w:rsidRPr="0071782F">
        <w:rPr>
          <w:lang w:val="fr-CH"/>
        </w:rPr>
        <w:t> personnes</w:t>
      </w:r>
      <w:r w:rsidRPr="0071782F">
        <w:rPr>
          <w:lang w:val="fr-CH"/>
        </w:rPr>
        <w:t xml:space="preserve"> handicapées</w:t>
      </w:r>
      <w:r w:rsidR="0071782F">
        <w:rPr>
          <w:lang w:val="fr-CH"/>
        </w:rPr>
        <w:t>;</w:t>
      </w:r>
      <w:r w:rsidRPr="0071782F">
        <w:rPr>
          <w:lang w:val="fr-CH"/>
        </w:rPr>
        <w:t xml:space="preserve"> </w:t>
      </w:r>
    </w:p>
    <w:p w:rsidR="00333944" w:rsidRPr="0071782F" w:rsidRDefault="00C524CD" w:rsidP="00333944">
      <w:pPr>
        <w:pStyle w:val="Bullet1G"/>
        <w:rPr>
          <w:lang w:val="fr-CH"/>
        </w:rPr>
      </w:pPr>
      <w:r w:rsidRPr="0071782F">
        <w:rPr>
          <w:lang w:val="fr-CH"/>
        </w:rPr>
        <w:t xml:space="preserve">Amélioration de la qualité des </w:t>
      </w:r>
      <w:r w:rsidR="00333944" w:rsidRPr="0071782F">
        <w:rPr>
          <w:lang w:val="fr-CH"/>
        </w:rPr>
        <w:t xml:space="preserve">services </w:t>
      </w:r>
      <w:r w:rsidRPr="0071782F">
        <w:rPr>
          <w:lang w:val="fr-CH"/>
        </w:rPr>
        <w:t>fournis par l’organisation, en particulier ceux qui concernent l’</w:t>
      </w:r>
      <w:r w:rsidR="00333944" w:rsidRPr="0071782F">
        <w:rPr>
          <w:lang w:val="fr-CH"/>
        </w:rPr>
        <w:t>entrepreneur</w:t>
      </w:r>
      <w:r w:rsidRPr="0071782F">
        <w:rPr>
          <w:lang w:val="fr-CH"/>
        </w:rPr>
        <w:t>iat, l’emploi et le renforcement de l’autonomie de la population cible</w:t>
      </w:r>
      <w:r w:rsidR="0071782F">
        <w:rPr>
          <w:lang w:val="fr-CH"/>
        </w:rPr>
        <w:t>;</w:t>
      </w:r>
      <w:r w:rsidRPr="0071782F">
        <w:rPr>
          <w:lang w:val="fr-CH"/>
        </w:rPr>
        <w:t xml:space="preserve"> </w:t>
      </w:r>
    </w:p>
    <w:p w:rsidR="00333944" w:rsidRPr="0071782F" w:rsidRDefault="00333944" w:rsidP="00333944">
      <w:pPr>
        <w:pStyle w:val="Bullet1G"/>
        <w:rPr>
          <w:lang w:val="fr-CH"/>
        </w:rPr>
      </w:pPr>
      <w:r w:rsidRPr="0071782F">
        <w:rPr>
          <w:lang w:val="fr-CH"/>
        </w:rPr>
        <w:t xml:space="preserve">Formulation </w:t>
      </w:r>
      <w:r w:rsidR="00C524CD" w:rsidRPr="0071782F">
        <w:rPr>
          <w:lang w:val="fr-CH"/>
        </w:rPr>
        <w:t>des règlements et méthodes concernant l’entrepreneuriat et l’emploi de la population cible à travers le pays et contrôle de leur application</w:t>
      </w:r>
      <w:r w:rsidR="0071782F">
        <w:rPr>
          <w:lang w:val="fr-CH"/>
        </w:rPr>
        <w:t>;</w:t>
      </w:r>
      <w:r w:rsidR="00C524CD" w:rsidRPr="0071782F">
        <w:rPr>
          <w:lang w:val="fr-CH"/>
        </w:rPr>
        <w:t xml:space="preserve"> </w:t>
      </w:r>
    </w:p>
    <w:p w:rsidR="00333944" w:rsidRPr="0071782F" w:rsidRDefault="00C524CD" w:rsidP="00333944">
      <w:pPr>
        <w:pStyle w:val="Bullet1G"/>
        <w:rPr>
          <w:lang w:val="fr-CH"/>
        </w:rPr>
      </w:pPr>
      <w:r w:rsidRPr="0071782F">
        <w:rPr>
          <w:lang w:val="fr-CH"/>
        </w:rPr>
        <w:t>Création du Comité pour le quota d’emploi de 3</w:t>
      </w:r>
      <w:r w:rsidR="007E5125" w:rsidRPr="0071782F">
        <w:rPr>
          <w:lang w:val="fr-CH"/>
        </w:rPr>
        <w:t>%</w:t>
      </w:r>
      <w:r w:rsidRPr="0071782F">
        <w:rPr>
          <w:lang w:val="fr-CH"/>
        </w:rPr>
        <w:t xml:space="preserve"> pour </w:t>
      </w:r>
      <w:r w:rsidR="00A233C2" w:rsidRPr="0071782F">
        <w:rPr>
          <w:lang w:val="fr-CH"/>
        </w:rPr>
        <w:t>les personnes</w:t>
      </w:r>
      <w:r w:rsidRPr="0071782F">
        <w:rPr>
          <w:lang w:val="fr-CH"/>
        </w:rPr>
        <w:t xml:space="preserve"> handicapées</w:t>
      </w:r>
      <w:r w:rsidR="0071782F">
        <w:rPr>
          <w:lang w:val="fr-CH"/>
        </w:rPr>
        <w:t>;</w:t>
      </w:r>
      <w:r w:rsidRPr="0071782F">
        <w:rPr>
          <w:lang w:val="fr-CH"/>
        </w:rPr>
        <w:t xml:space="preserve"> </w:t>
      </w:r>
    </w:p>
    <w:p w:rsidR="00333944" w:rsidRPr="0071782F" w:rsidRDefault="00C524CD" w:rsidP="00333944">
      <w:pPr>
        <w:pStyle w:val="Bullet1G"/>
        <w:rPr>
          <w:lang w:val="fr-CH"/>
        </w:rPr>
      </w:pPr>
      <w:r w:rsidRPr="0071782F">
        <w:rPr>
          <w:lang w:val="fr-CH"/>
        </w:rPr>
        <w:t>Commercialisation et organisation d’expositions des produits fabriqués par la population cible</w:t>
      </w:r>
      <w:r w:rsidR="0071782F">
        <w:rPr>
          <w:lang w:val="fr-CH"/>
        </w:rPr>
        <w:t>;</w:t>
      </w:r>
      <w:r w:rsidRPr="0071782F">
        <w:rPr>
          <w:lang w:val="fr-CH"/>
        </w:rPr>
        <w:t xml:space="preserve"> </w:t>
      </w:r>
    </w:p>
    <w:p w:rsidR="00333944" w:rsidRPr="0071782F" w:rsidRDefault="00C524CD" w:rsidP="00333944">
      <w:pPr>
        <w:pStyle w:val="Bullet1G"/>
        <w:rPr>
          <w:lang w:val="fr-CH"/>
        </w:rPr>
      </w:pPr>
      <w:r w:rsidRPr="0071782F">
        <w:rPr>
          <w:lang w:val="fr-CH"/>
        </w:rPr>
        <w:t xml:space="preserve">Élaboration de programmes innovants et créatifs adaptés aux caractéristiques </w:t>
      </w:r>
      <w:r w:rsidR="00333944" w:rsidRPr="0071782F">
        <w:rPr>
          <w:lang w:val="fr-CH"/>
        </w:rPr>
        <w:t>physi</w:t>
      </w:r>
      <w:r w:rsidRPr="0071782F">
        <w:rPr>
          <w:lang w:val="fr-CH"/>
        </w:rPr>
        <w:t>ques, psychologiques,</w:t>
      </w:r>
      <w:r w:rsidR="00333944" w:rsidRPr="0071782F">
        <w:rPr>
          <w:lang w:val="fr-CH"/>
        </w:rPr>
        <w:t xml:space="preserve"> </w:t>
      </w:r>
      <w:r w:rsidRPr="0071782F">
        <w:rPr>
          <w:lang w:val="fr-CH"/>
        </w:rPr>
        <w:t>scientifiques et professionnelles de la population cible</w:t>
      </w:r>
      <w:r w:rsidR="0071782F">
        <w:rPr>
          <w:lang w:val="fr-CH"/>
        </w:rPr>
        <w:t>;</w:t>
      </w:r>
      <w:r w:rsidR="00D36718">
        <w:rPr>
          <w:lang w:val="fr-CH"/>
        </w:rPr>
        <w:t xml:space="preserve"> </w:t>
      </w:r>
    </w:p>
    <w:p w:rsidR="00333944" w:rsidRPr="0071782F" w:rsidRDefault="00333944" w:rsidP="00333944">
      <w:pPr>
        <w:pStyle w:val="Bullet1G"/>
        <w:rPr>
          <w:lang w:val="fr-CH"/>
        </w:rPr>
      </w:pPr>
      <w:r w:rsidRPr="0071782F">
        <w:rPr>
          <w:lang w:val="fr-CH"/>
        </w:rPr>
        <w:t xml:space="preserve">Promotion </w:t>
      </w:r>
      <w:r w:rsidR="00C524CD" w:rsidRPr="0071782F">
        <w:rPr>
          <w:lang w:val="fr-CH"/>
        </w:rPr>
        <w:t xml:space="preserve">d’une </w:t>
      </w:r>
      <w:r w:rsidRPr="0071782F">
        <w:rPr>
          <w:lang w:val="fr-CH"/>
        </w:rPr>
        <w:t xml:space="preserve">culture </w:t>
      </w:r>
      <w:r w:rsidR="00C524CD" w:rsidRPr="0071782F">
        <w:rPr>
          <w:lang w:val="fr-CH"/>
        </w:rPr>
        <w:t>de l’entrepreneuriat et de l’emploi</w:t>
      </w:r>
      <w:r w:rsidR="0071782F">
        <w:rPr>
          <w:lang w:val="fr-CH"/>
        </w:rPr>
        <w:t>;</w:t>
      </w:r>
      <w:r w:rsidR="00D36718">
        <w:rPr>
          <w:lang w:val="fr-CH"/>
        </w:rPr>
        <w:t xml:space="preserve"> </w:t>
      </w:r>
    </w:p>
    <w:p w:rsidR="00333944" w:rsidRPr="0071782F" w:rsidRDefault="00333944" w:rsidP="00333944">
      <w:pPr>
        <w:pStyle w:val="Bullet1G"/>
        <w:rPr>
          <w:lang w:val="fr-CH"/>
        </w:rPr>
      </w:pPr>
      <w:r w:rsidRPr="0071782F">
        <w:rPr>
          <w:lang w:val="fr-CH"/>
        </w:rPr>
        <w:t>Ex</w:t>
      </w:r>
      <w:r w:rsidR="00C524CD" w:rsidRPr="0071782F">
        <w:rPr>
          <w:lang w:val="fr-CH"/>
        </w:rPr>
        <w:t xml:space="preserve">tension des services de </w:t>
      </w:r>
      <w:r w:rsidRPr="0071782F">
        <w:rPr>
          <w:lang w:val="fr-CH"/>
        </w:rPr>
        <w:t xml:space="preserve">consultation </w:t>
      </w:r>
      <w:r w:rsidR="00C524CD" w:rsidRPr="0071782F">
        <w:rPr>
          <w:lang w:val="fr-CH"/>
        </w:rPr>
        <w:t>et d’orientation pour l’entrepreneuriat et l’emploi</w:t>
      </w:r>
      <w:r w:rsidR="0071782F">
        <w:rPr>
          <w:lang w:val="fr-CH"/>
        </w:rPr>
        <w:t>;</w:t>
      </w:r>
      <w:r w:rsidR="00C524CD" w:rsidRPr="0071782F">
        <w:rPr>
          <w:lang w:val="fr-CH"/>
        </w:rPr>
        <w:t xml:space="preserve"> </w:t>
      </w:r>
    </w:p>
    <w:p w:rsidR="00333944" w:rsidRPr="0071782F" w:rsidRDefault="00C524CD" w:rsidP="00333944">
      <w:pPr>
        <w:pStyle w:val="Bullet1G"/>
        <w:rPr>
          <w:lang w:val="fr-CH"/>
        </w:rPr>
      </w:pPr>
      <w:r w:rsidRPr="0071782F">
        <w:rPr>
          <w:lang w:val="fr-CH"/>
        </w:rPr>
        <w:t>Développement de la coopé</w:t>
      </w:r>
      <w:r w:rsidR="00333944" w:rsidRPr="0071782F">
        <w:rPr>
          <w:lang w:val="fr-CH"/>
        </w:rPr>
        <w:t xml:space="preserve">ration </w:t>
      </w:r>
      <w:r w:rsidRPr="0071782F">
        <w:rPr>
          <w:lang w:val="fr-CH"/>
        </w:rPr>
        <w:t>avec les employeurs et les producteurs pour l’emploi de la population cible dont l’autonomie a été renforcée</w:t>
      </w:r>
      <w:r w:rsidR="0071782F">
        <w:rPr>
          <w:lang w:val="fr-CH"/>
        </w:rPr>
        <w:t>;</w:t>
      </w:r>
      <w:r w:rsidR="00D36718">
        <w:rPr>
          <w:lang w:val="fr-CH"/>
        </w:rPr>
        <w:t xml:space="preserve"> </w:t>
      </w:r>
    </w:p>
    <w:p w:rsidR="00333944" w:rsidRPr="0071782F" w:rsidRDefault="00333944" w:rsidP="009A065E">
      <w:pPr>
        <w:pStyle w:val="Bullet1G"/>
        <w:spacing w:after="0"/>
        <w:rPr>
          <w:lang w:val="fr-CH"/>
        </w:rPr>
      </w:pPr>
      <w:r w:rsidRPr="0071782F">
        <w:rPr>
          <w:lang w:val="fr-CH"/>
        </w:rPr>
        <w:t>Organi</w:t>
      </w:r>
      <w:r w:rsidR="00C524CD" w:rsidRPr="0071782F">
        <w:rPr>
          <w:lang w:val="fr-CH"/>
        </w:rPr>
        <w:t>s</w:t>
      </w:r>
      <w:r w:rsidRPr="0071782F">
        <w:rPr>
          <w:lang w:val="fr-CH"/>
        </w:rPr>
        <w:t xml:space="preserve">ation </w:t>
      </w:r>
      <w:r w:rsidR="00C524CD" w:rsidRPr="0071782F">
        <w:rPr>
          <w:lang w:val="fr-CH"/>
        </w:rPr>
        <w:t>de services de formation technique et professionnelle à l’intention de la population cible</w:t>
      </w:r>
      <w:r w:rsidR="0071782F">
        <w:rPr>
          <w:lang w:val="fr-CH"/>
        </w:rPr>
        <w:t>.</w:t>
      </w:r>
      <w:r w:rsidRPr="0071782F">
        <w:rPr>
          <w:lang w:val="fr-CH"/>
        </w:rPr>
        <w:t xml:space="preserve"> </w:t>
      </w:r>
    </w:p>
    <w:p w:rsidR="00333944" w:rsidRPr="0071782F" w:rsidRDefault="00333944" w:rsidP="00333944">
      <w:pPr>
        <w:pStyle w:val="H23G"/>
        <w:rPr>
          <w:lang w:val="fr-CH"/>
        </w:rPr>
      </w:pPr>
      <w:r w:rsidRPr="0071782F">
        <w:rPr>
          <w:lang w:val="fr-CH"/>
        </w:rPr>
        <w:tab/>
      </w:r>
      <w:r w:rsidRPr="0071782F">
        <w:rPr>
          <w:lang w:val="fr-CH"/>
        </w:rPr>
        <w:tab/>
      </w:r>
      <w:r w:rsidR="00C524CD" w:rsidRPr="0071782F">
        <w:rPr>
          <w:lang w:val="fr-CH"/>
        </w:rPr>
        <w:t>Résultats en</w:t>
      </w:r>
      <w:r w:rsidRPr="0071782F">
        <w:rPr>
          <w:lang w:val="fr-CH"/>
        </w:rPr>
        <w:t xml:space="preserve"> 2006 (</w:t>
      </w:r>
      <w:r w:rsidR="00C524CD" w:rsidRPr="0071782F">
        <w:rPr>
          <w:lang w:val="fr-CH"/>
        </w:rPr>
        <w:t>en</w:t>
      </w:r>
      <w:r w:rsidR="00097CDB" w:rsidRPr="0071782F">
        <w:rPr>
          <w:lang w:val="fr-CH"/>
        </w:rPr>
        <w:t> millions</w:t>
      </w:r>
      <w:r w:rsidRPr="0071782F">
        <w:rPr>
          <w:lang w:val="fr-CH"/>
        </w:rPr>
        <w:t xml:space="preserve"> of</w:t>
      </w:r>
      <w:r w:rsidR="00860D09" w:rsidRPr="0071782F">
        <w:rPr>
          <w:lang w:val="fr-CH"/>
        </w:rPr>
        <w:t> rials</w:t>
      </w:r>
      <w:r w:rsidRPr="0071782F">
        <w:rPr>
          <w:lang w:val="fr-CH"/>
        </w:rPr>
        <w:t>)</w:t>
      </w:r>
    </w:p>
    <w:tbl>
      <w:tblPr>
        <w:tblW w:w="9639"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790"/>
        <w:gridCol w:w="805"/>
        <w:gridCol w:w="805"/>
        <w:gridCol w:w="806"/>
        <w:gridCol w:w="806"/>
        <w:gridCol w:w="806"/>
        <w:gridCol w:w="806"/>
        <w:gridCol w:w="806"/>
        <w:gridCol w:w="806"/>
        <w:gridCol w:w="806"/>
        <w:gridCol w:w="806"/>
        <w:gridCol w:w="791"/>
      </w:tblGrid>
      <w:tr w:rsidR="00333944" w:rsidRPr="0071782F">
        <w:trPr>
          <w:tblHeader/>
        </w:trPr>
        <w:tc>
          <w:tcPr>
            <w:tcW w:w="1497" w:type="dxa"/>
            <w:gridSpan w:val="2"/>
            <w:tcBorders>
              <w:top w:val="single" w:sz="4" w:space="0" w:color="auto"/>
              <w:bottom w:val="single" w:sz="4" w:space="0" w:color="auto"/>
              <w:right w:val="single" w:sz="24" w:space="0" w:color="FFFFFF"/>
            </w:tcBorders>
            <w:shd w:val="clear" w:color="auto" w:fill="auto"/>
            <w:vAlign w:val="bottom"/>
          </w:tcPr>
          <w:p w:rsidR="00333944" w:rsidRPr="0071782F" w:rsidRDefault="00C524CD" w:rsidP="009522F4">
            <w:pPr>
              <w:keepNext/>
              <w:suppressAutoHyphens w:val="0"/>
              <w:spacing w:before="80" w:after="80" w:line="200" w:lineRule="exact"/>
              <w:rPr>
                <w:i/>
                <w:sz w:val="16"/>
                <w:lang w:val="fr-CH"/>
              </w:rPr>
            </w:pPr>
            <w:r w:rsidRPr="0071782F">
              <w:rPr>
                <w:i/>
                <w:sz w:val="16"/>
                <w:lang w:val="fr-CH"/>
              </w:rPr>
              <w:t xml:space="preserve">Formation technique </w:t>
            </w:r>
            <w:r w:rsidR="00BA31AA">
              <w:rPr>
                <w:i/>
                <w:sz w:val="16"/>
                <w:lang w:val="fr-CH"/>
              </w:rPr>
              <w:br/>
            </w:r>
            <w:r w:rsidRPr="0071782F">
              <w:rPr>
                <w:i/>
                <w:sz w:val="16"/>
                <w:lang w:val="fr-CH"/>
              </w:rPr>
              <w:t>et professionnelle du groupe cible</w:t>
            </w:r>
          </w:p>
        </w:tc>
        <w:tc>
          <w:tcPr>
            <w:tcW w:w="149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333944" w:rsidRPr="0071782F" w:rsidRDefault="00C524CD" w:rsidP="009522F4">
            <w:pPr>
              <w:keepNext/>
              <w:suppressAutoHyphens w:val="0"/>
              <w:spacing w:before="80" w:after="80" w:line="200" w:lineRule="exact"/>
              <w:jc w:val="right"/>
              <w:rPr>
                <w:i/>
                <w:sz w:val="16"/>
                <w:lang w:val="fr-CH"/>
              </w:rPr>
            </w:pPr>
            <w:r w:rsidRPr="0071782F">
              <w:rPr>
                <w:i/>
                <w:sz w:val="16"/>
                <w:lang w:val="fr-CH"/>
              </w:rPr>
              <w:t xml:space="preserve">Formation continue </w:t>
            </w:r>
            <w:r w:rsidR="00BA31AA">
              <w:rPr>
                <w:i/>
                <w:sz w:val="16"/>
                <w:lang w:val="fr-CH"/>
              </w:rPr>
              <w:br/>
            </w:r>
            <w:r w:rsidRPr="0071782F">
              <w:rPr>
                <w:i/>
                <w:sz w:val="16"/>
                <w:lang w:val="fr-CH"/>
              </w:rPr>
              <w:t>des</w:t>
            </w:r>
            <w:r w:rsidR="00333944" w:rsidRPr="0071782F">
              <w:rPr>
                <w:i/>
                <w:sz w:val="16"/>
                <w:lang w:val="fr-CH"/>
              </w:rPr>
              <w:t xml:space="preserve"> sp</w:t>
            </w:r>
            <w:r w:rsidRPr="0071782F">
              <w:rPr>
                <w:i/>
                <w:sz w:val="16"/>
                <w:lang w:val="fr-CH"/>
              </w:rPr>
              <w:t>é</w:t>
            </w:r>
            <w:r w:rsidR="00333944" w:rsidRPr="0071782F">
              <w:rPr>
                <w:i/>
                <w:sz w:val="16"/>
                <w:lang w:val="fr-CH"/>
              </w:rPr>
              <w:t>cialist</w:t>
            </w:r>
            <w:r w:rsidRPr="0071782F">
              <w:rPr>
                <w:i/>
                <w:sz w:val="16"/>
                <w:lang w:val="fr-CH"/>
              </w:rPr>
              <w:t>e</w:t>
            </w:r>
            <w:r w:rsidR="00333944" w:rsidRPr="0071782F">
              <w:rPr>
                <w:i/>
                <w:sz w:val="16"/>
                <w:lang w:val="fr-CH"/>
              </w:rPr>
              <w:t>s</w:t>
            </w:r>
            <w:r w:rsidRPr="0071782F">
              <w:rPr>
                <w:i/>
                <w:sz w:val="16"/>
                <w:lang w:val="fr-CH"/>
              </w:rPr>
              <w:t xml:space="preserve"> du Département de l’emploi</w:t>
            </w:r>
            <w:r w:rsidR="00D36718">
              <w:rPr>
                <w:i/>
                <w:sz w:val="16"/>
                <w:lang w:val="fr-CH"/>
              </w:rPr>
              <w:t xml:space="preserve"> </w:t>
            </w:r>
          </w:p>
        </w:tc>
        <w:tc>
          <w:tcPr>
            <w:tcW w:w="149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333944" w:rsidRPr="0071782F" w:rsidRDefault="00333944" w:rsidP="009522F4">
            <w:pPr>
              <w:keepNext/>
              <w:suppressAutoHyphens w:val="0"/>
              <w:spacing w:before="80" w:after="80" w:line="200" w:lineRule="exact"/>
              <w:jc w:val="right"/>
              <w:rPr>
                <w:i/>
                <w:sz w:val="16"/>
                <w:lang w:val="fr-CH"/>
              </w:rPr>
            </w:pPr>
            <w:r w:rsidRPr="0071782F">
              <w:rPr>
                <w:i/>
                <w:sz w:val="16"/>
                <w:lang w:val="fr-CH"/>
              </w:rPr>
              <w:t>Emplo</w:t>
            </w:r>
            <w:r w:rsidR="00C524CD" w:rsidRPr="0071782F">
              <w:rPr>
                <w:i/>
                <w:sz w:val="16"/>
                <w:lang w:val="fr-CH"/>
              </w:rPr>
              <w:t xml:space="preserve">i </w:t>
            </w:r>
            <w:r w:rsidR="00D82C96" w:rsidRPr="0071782F">
              <w:rPr>
                <w:i/>
                <w:sz w:val="16"/>
                <w:lang w:val="fr-CH"/>
              </w:rPr>
              <w:t>de personnes</w:t>
            </w:r>
            <w:r w:rsidR="00C524CD" w:rsidRPr="0071782F">
              <w:rPr>
                <w:i/>
                <w:sz w:val="16"/>
                <w:lang w:val="fr-CH"/>
              </w:rPr>
              <w:t xml:space="preserve"> handicapées bénéficiaires </w:t>
            </w:r>
            <w:r w:rsidR="00BA31AA">
              <w:rPr>
                <w:i/>
                <w:sz w:val="16"/>
                <w:lang w:val="fr-CH"/>
              </w:rPr>
              <w:br/>
            </w:r>
            <w:r w:rsidR="00C524CD" w:rsidRPr="0071782F">
              <w:rPr>
                <w:i/>
                <w:sz w:val="16"/>
                <w:lang w:val="fr-CH"/>
              </w:rPr>
              <w:t xml:space="preserve">du quota de </w:t>
            </w:r>
            <w:r w:rsidRPr="0071782F">
              <w:rPr>
                <w:i/>
                <w:sz w:val="16"/>
                <w:lang w:val="fr-CH"/>
              </w:rPr>
              <w:t>3</w:t>
            </w:r>
            <w:r w:rsidR="007E5125" w:rsidRPr="0071782F">
              <w:rPr>
                <w:i/>
                <w:sz w:val="16"/>
                <w:lang w:val="fr-CH"/>
              </w:rPr>
              <w:t>%</w:t>
            </w:r>
            <w:r w:rsidRPr="0071782F">
              <w:rPr>
                <w:i/>
                <w:sz w:val="16"/>
                <w:lang w:val="fr-CH"/>
              </w:rPr>
              <w:t xml:space="preserve"> </w:t>
            </w:r>
          </w:p>
        </w:tc>
        <w:tc>
          <w:tcPr>
            <w:tcW w:w="149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333944" w:rsidRPr="0071782F" w:rsidRDefault="00C524CD" w:rsidP="009522F4">
            <w:pPr>
              <w:keepNext/>
              <w:suppressAutoHyphens w:val="0"/>
              <w:spacing w:before="80" w:after="80" w:line="200" w:lineRule="exact"/>
              <w:jc w:val="right"/>
              <w:rPr>
                <w:i/>
                <w:sz w:val="16"/>
                <w:lang w:val="fr-CH"/>
              </w:rPr>
            </w:pPr>
            <w:r w:rsidRPr="0071782F">
              <w:rPr>
                <w:i/>
                <w:sz w:val="16"/>
                <w:lang w:val="fr-CH"/>
              </w:rPr>
              <w:t>Cotisations sociales des employeurs</w:t>
            </w:r>
          </w:p>
        </w:tc>
        <w:tc>
          <w:tcPr>
            <w:tcW w:w="1497"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333944" w:rsidRPr="0071782F" w:rsidRDefault="00C524CD" w:rsidP="009522F4">
            <w:pPr>
              <w:keepNext/>
              <w:suppressAutoHyphens w:val="0"/>
              <w:spacing w:before="80" w:after="80" w:line="200" w:lineRule="exact"/>
              <w:jc w:val="right"/>
              <w:rPr>
                <w:i/>
                <w:sz w:val="16"/>
                <w:lang w:val="fr-CH"/>
              </w:rPr>
            </w:pPr>
            <w:r w:rsidRPr="0071782F">
              <w:rPr>
                <w:i/>
                <w:sz w:val="16"/>
                <w:lang w:val="fr-CH"/>
              </w:rPr>
              <w:t>Crédits pour l’emploi,</w:t>
            </w:r>
            <w:r w:rsidR="00D36718">
              <w:rPr>
                <w:i/>
                <w:sz w:val="16"/>
                <w:lang w:val="fr-CH"/>
              </w:rPr>
              <w:t xml:space="preserve"> </w:t>
            </w:r>
            <w:r w:rsidRPr="0071782F">
              <w:rPr>
                <w:i/>
                <w:sz w:val="16"/>
                <w:lang w:val="fr-CH"/>
              </w:rPr>
              <w:t>toutes sources et tous accords</w:t>
            </w:r>
            <w:r w:rsidR="00D36718">
              <w:rPr>
                <w:i/>
                <w:sz w:val="16"/>
                <w:lang w:val="fr-CH"/>
              </w:rPr>
              <w:t xml:space="preserve"> </w:t>
            </w:r>
            <w:r w:rsidRPr="0071782F">
              <w:rPr>
                <w:i/>
                <w:sz w:val="16"/>
                <w:lang w:val="fr-CH"/>
              </w:rPr>
              <w:t xml:space="preserve">confondus </w:t>
            </w:r>
          </w:p>
        </w:tc>
        <w:tc>
          <w:tcPr>
            <w:tcW w:w="1497" w:type="dxa"/>
            <w:gridSpan w:val="2"/>
            <w:tcBorders>
              <w:top w:val="single" w:sz="4" w:space="0" w:color="auto"/>
              <w:left w:val="single" w:sz="24" w:space="0" w:color="FFFFFF"/>
              <w:bottom w:val="single" w:sz="4" w:space="0" w:color="auto"/>
            </w:tcBorders>
            <w:shd w:val="clear" w:color="auto" w:fill="auto"/>
            <w:vAlign w:val="bottom"/>
          </w:tcPr>
          <w:p w:rsidR="00333944" w:rsidRPr="0071782F" w:rsidRDefault="00C524CD" w:rsidP="009522F4">
            <w:pPr>
              <w:keepNext/>
              <w:suppressAutoHyphens w:val="0"/>
              <w:spacing w:before="80" w:after="80" w:line="200" w:lineRule="exact"/>
              <w:jc w:val="right"/>
              <w:rPr>
                <w:i/>
                <w:sz w:val="16"/>
                <w:lang w:val="fr-CH"/>
              </w:rPr>
            </w:pPr>
            <w:r w:rsidRPr="0071782F">
              <w:rPr>
                <w:i/>
                <w:sz w:val="16"/>
                <w:lang w:val="fr-CH"/>
              </w:rPr>
              <w:t>Crédits pour l’emploi de caractère permanent</w:t>
            </w:r>
          </w:p>
        </w:tc>
      </w:tr>
      <w:tr w:rsidR="00333944" w:rsidRPr="0071782F">
        <w:trPr>
          <w:tblHeader/>
        </w:trPr>
        <w:tc>
          <w:tcPr>
            <w:tcW w:w="1497" w:type="dxa"/>
            <w:tcBorders>
              <w:top w:val="single" w:sz="4" w:space="0" w:color="auto"/>
              <w:bottom w:val="single" w:sz="12" w:space="0" w:color="auto"/>
            </w:tcBorders>
            <w:shd w:val="clear" w:color="auto" w:fill="auto"/>
          </w:tcPr>
          <w:p w:rsidR="00333944" w:rsidRPr="0071782F" w:rsidRDefault="00C524CD" w:rsidP="009522F4">
            <w:pPr>
              <w:keepNext/>
              <w:suppressAutoHyphens w:val="0"/>
              <w:spacing w:before="80" w:after="80" w:line="220" w:lineRule="exact"/>
              <w:rPr>
                <w:i/>
                <w:sz w:val="16"/>
                <w:szCs w:val="16"/>
                <w:lang w:val="fr-CH"/>
              </w:rPr>
            </w:pPr>
            <w:r w:rsidRPr="0071782F">
              <w:rPr>
                <w:i/>
                <w:sz w:val="16"/>
                <w:szCs w:val="16"/>
                <w:lang w:val="fr-CH"/>
              </w:rPr>
              <w:t>Nombre</w:t>
            </w:r>
          </w:p>
        </w:tc>
        <w:tc>
          <w:tcPr>
            <w:tcW w:w="1497" w:type="dxa"/>
            <w:tcBorders>
              <w:top w:val="single" w:sz="4" w:space="0" w:color="auto"/>
              <w:bottom w:val="single" w:sz="12" w:space="0" w:color="auto"/>
              <w:right w:val="single" w:sz="24" w:space="0" w:color="FFFFFF"/>
            </w:tcBorders>
            <w:shd w:val="clear" w:color="auto" w:fill="auto"/>
          </w:tcPr>
          <w:p w:rsidR="00333944" w:rsidRPr="0071782F" w:rsidRDefault="00C524CD" w:rsidP="009522F4">
            <w:pPr>
              <w:keepNext/>
              <w:suppressAutoHyphens w:val="0"/>
              <w:spacing w:before="80" w:after="80" w:line="220" w:lineRule="exact"/>
              <w:rPr>
                <w:i/>
                <w:sz w:val="16"/>
                <w:szCs w:val="16"/>
                <w:lang w:val="fr-CH"/>
              </w:rPr>
            </w:pPr>
            <w:r w:rsidRPr="0071782F">
              <w:rPr>
                <w:i/>
                <w:sz w:val="16"/>
                <w:szCs w:val="16"/>
                <w:lang w:val="fr-CH"/>
              </w:rPr>
              <w:t>Montan</w:t>
            </w:r>
            <w:r w:rsidR="00333944" w:rsidRPr="0071782F">
              <w:rPr>
                <w:i/>
                <w:sz w:val="16"/>
                <w:szCs w:val="16"/>
                <w:lang w:val="fr-CH"/>
              </w:rPr>
              <w:t>t</w:t>
            </w:r>
          </w:p>
        </w:tc>
        <w:tc>
          <w:tcPr>
            <w:tcW w:w="1497" w:type="dxa"/>
            <w:tcBorders>
              <w:top w:val="single" w:sz="4" w:space="0" w:color="auto"/>
              <w:left w:val="single" w:sz="24" w:space="0" w:color="FFFFFF"/>
              <w:bottom w:val="single" w:sz="12" w:space="0" w:color="auto"/>
            </w:tcBorders>
            <w:shd w:val="clear" w:color="auto" w:fill="auto"/>
            <w:vAlign w:val="bottom"/>
          </w:tcPr>
          <w:p w:rsidR="00333944" w:rsidRPr="0071782F" w:rsidRDefault="00C524CD" w:rsidP="009522F4">
            <w:pPr>
              <w:keepNext/>
              <w:suppressAutoHyphens w:val="0"/>
              <w:spacing w:before="80" w:after="80" w:line="220" w:lineRule="exact"/>
              <w:jc w:val="right"/>
              <w:rPr>
                <w:i/>
                <w:sz w:val="16"/>
                <w:szCs w:val="16"/>
                <w:lang w:val="fr-CH"/>
              </w:rPr>
            </w:pPr>
            <w:r w:rsidRPr="0071782F">
              <w:rPr>
                <w:i/>
                <w:sz w:val="16"/>
                <w:szCs w:val="16"/>
                <w:lang w:val="fr-CH"/>
              </w:rPr>
              <w:t>Nombre</w:t>
            </w:r>
          </w:p>
        </w:tc>
        <w:tc>
          <w:tcPr>
            <w:tcW w:w="1497" w:type="dxa"/>
            <w:tcBorders>
              <w:top w:val="single" w:sz="4" w:space="0" w:color="auto"/>
              <w:bottom w:val="single" w:sz="12" w:space="0" w:color="auto"/>
              <w:right w:val="single" w:sz="24" w:space="0" w:color="FFFFFF"/>
            </w:tcBorders>
            <w:shd w:val="clear" w:color="auto" w:fill="auto"/>
            <w:vAlign w:val="bottom"/>
          </w:tcPr>
          <w:p w:rsidR="00333944" w:rsidRPr="0071782F" w:rsidRDefault="00C524CD" w:rsidP="009522F4">
            <w:pPr>
              <w:keepNext/>
              <w:suppressAutoHyphens w:val="0"/>
              <w:spacing w:before="80" w:after="80" w:line="220" w:lineRule="exact"/>
              <w:jc w:val="right"/>
              <w:rPr>
                <w:i/>
                <w:sz w:val="16"/>
                <w:szCs w:val="16"/>
                <w:lang w:val="fr-CH"/>
              </w:rPr>
            </w:pPr>
            <w:r w:rsidRPr="0071782F">
              <w:rPr>
                <w:i/>
                <w:sz w:val="16"/>
                <w:szCs w:val="16"/>
                <w:lang w:val="fr-CH"/>
              </w:rPr>
              <w:t>Montant</w:t>
            </w:r>
          </w:p>
        </w:tc>
        <w:tc>
          <w:tcPr>
            <w:tcW w:w="1497" w:type="dxa"/>
            <w:tcBorders>
              <w:top w:val="single" w:sz="4" w:space="0" w:color="auto"/>
              <w:left w:val="single" w:sz="24" w:space="0" w:color="FFFFFF"/>
              <w:bottom w:val="single" w:sz="12" w:space="0" w:color="auto"/>
            </w:tcBorders>
            <w:shd w:val="clear" w:color="auto" w:fill="auto"/>
            <w:vAlign w:val="bottom"/>
          </w:tcPr>
          <w:p w:rsidR="00333944" w:rsidRPr="0071782F" w:rsidRDefault="00C524CD" w:rsidP="009522F4">
            <w:pPr>
              <w:keepNext/>
              <w:suppressAutoHyphens w:val="0"/>
              <w:spacing w:before="80" w:after="80" w:line="220" w:lineRule="exact"/>
              <w:jc w:val="right"/>
              <w:rPr>
                <w:i/>
                <w:sz w:val="16"/>
                <w:szCs w:val="16"/>
                <w:lang w:val="fr-CH"/>
              </w:rPr>
            </w:pPr>
            <w:r w:rsidRPr="0071782F">
              <w:rPr>
                <w:i/>
                <w:sz w:val="16"/>
                <w:szCs w:val="16"/>
                <w:lang w:val="fr-CH"/>
              </w:rPr>
              <w:t>Nombre</w:t>
            </w:r>
          </w:p>
        </w:tc>
        <w:tc>
          <w:tcPr>
            <w:tcW w:w="1497" w:type="dxa"/>
            <w:tcBorders>
              <w:top w:val="single" w:sz="4" w:space="0" w:color="auto"/>
              <w:bottom w:val="single" w:sz="12" w:space="0" w:color="auto"/>
              <w:right w:val="single" w:sz="24" w:space="0" w:color="FFFFFF"/>
            </w:tcBorders>
            <w:shd w:val="clear" w:color="auto" w:fill="auto"/>
            <w:vAlign w:val="bottom"/>
          </w:tcPr>
          <w:p w:rsidR="00333944" w:rsidRPr="0071782F" w:rsidRDefault="00C524CD" w:rsidP="009522F4">
            <w:pPr>
              <w:keepNext/>
              <w:suppressAutoHyphens w:val="0"/>
              <w:spacing w:before="80" w:after="80" w:line="220" w:lineRule="exact"/>
              <w:jc w:val="right"/>
              <w:rPr>
                <w:i/>
                <w:sz w:val="16"/>
                <w:szCs w:val="16"/>
                <w:lang w:val="fr-CH"/>
              </w:rPr>
            </w:pPr>
            <w:r w:rsidRPr="0071782F">
              <w:rPr>
                <w:i/>
                <w:sz w:val="16"/>
                <w:szCs w:val="16"/>
                <w:lang w:val="fr-CH"/>
              </w:rPr>
              <w:t>Montant</w:t>
            </w:r>
          </w:p>
        </w:tc>
        <w:tc>
          <w:tcPr>
            <w:tcW w:w="1497" w:type="dxa"/>
            <w:tcBorders>
              <w:top w:val="single" w:sz="4" w:space="0" w:color="auto"/>
              <w:left w:val="single" w:sz="24" w:space="0" w:color="FFFFFF"/>
              <w:bottom w:val="single" w:sz="12" w:space="0" w:color="auto"/>
            </w:tcBorders>
            <w:shd w:val="clear" w:color="auto" w:fill="auto"/>
            <w:vAlign w:val="bottom"/>
          </w:tcPr>
          <w:p w:rsidR="00333944" w:rsidRPr="0071782F" w:rsidRDefault="00C524CD" w:rsidP="009522F4">
            <w:pPr>
              <w:keepNext/>
              <w:suppressAutoHyphens w:val="0"/>
              <w:spacing w:before="80" w:after="80" w:line="220" w:lineRule="exact"/>
              <w:jc w:val="right"/>
              <w:rPr>
                <w:i/>
                <w:sz w:val="16"/>
                <w:szCs w:val="16"/>
                <w:lang w:val="fr-CH"/>
              </w:rPr>
            </w:pPr>
            <w:r w:rsidRPr="0071782F">
              <w:rPr>
                <w:i/>
                <w:sz w:val="16"/>
                <w:szCs w:val="16"/>
                <w:lang w:val="fr-CH"/>
              </w:rPr>
              <w:t>Nombre</w:t>
            </w:r>
          </w:p>
        </w:tc>
        <w:tc>
          <w:tcPr>
            <w:tcW w:w="1497" w:type="dxa"/>
            <w:tcBorders>
              <w:top w:val="single" w:sz="4" w:space="0" w:color="auto"/>
              <w:bottom w:val="single" w:sz="12" w:space="0" w:color="auto"/>
              <w:right w:val="single" w:sz="24" w:space="0" w:color="FFFFFF"/>
            </w:tcBorders>
            <w:shd w:val="clear" w:color="auto" w:fill="auto"/>
            <w:vAlign w:val="bottom"/>
          </w:tcPr>
          <w:p w:rsidR="00333944" w:rsidRPr="0071782F" w:rsidRDefault="00C524CD" w:rsidP="009522F4">
            <w:pPr>
              <w:keepNext/>
              <w:suppressAutoHyphens w:val="0"/>
              <w:spacing w:before="80" w:after="80" w:line="220" w:lineRule="exact"/>
              <w:jc w:val="right"/>
              <w:rPr>
                <w:i/>
                <w:sz w:val="16"/>
                <w:szCs w:val="16"/>
                <w:lang w:val="fr-CH"/>
              </w:rPr>
            </w:pPr>
            <w:r w:rsidRPr="0071782F">
              <w:rPr>
                <w:i/>
                <w:sz w:val="16"/>
                <w:szCs w:val="16"/>
                <w:lang w:val="fr-CH"/>
              </w:rPr>
              <w:t>Montant</w:t>
            </w:r>
          </w:p>
        </w:tc>
        <w:tc>
          <w:tcPr>
            <w:tcW w:w="1497" w:type="dxa"/>
            <w:tcBorders>
              <w:top w:val="single" w:sz="4" w:space="0" w:color="auto"/>
              <w:left w:val="single" w:sz="24" w:space="0" w:color="FFFFFF"/>
              <w:bottom w:val="single" w:sz="12" w:space="0" w:color="auto"/>
            </w:tcBorders>
            <w:shd w:val="clear" w:color="auto" w:fill="auto"/>
            <w:vAlign w:val="bottom"/>
          </w:tcPr>
          <w:p w:rsidR="00333944" w:rsidRPr="0071782F" w:rsidRDefault="00C524CD" w:rsidP="009522F4">
            <w:pPr>
              <w:keepNext/>
              <w:suppressAutoHyphens w:val="0"/>
              <w:spacing w:before="80" w:after="80" w:line="220" w:lineRule="exact"/>
              <w:jc w:val="right"/>
              <w:rPr>
                <w:i/>
                <w:sz w:val="16"/>
                <w:szCs w:val="16"/>
                <w:lang w:val="fr-CH"/>
              </w:rPr>
            </w:pPr>
            <w:r w:rsidRPr="0071782F">
              <w:rPr>
                <w:i/>
                <w:sz w:val="16"/>
                <w:szCs w:val="16"/>
                <w:lang w:val="fr-CH"/>
              </w:rPr>
              <w:t>Nombre</w:t>
            </w:r>
          </w:p>
        </w:tc>
        <w:tc>
          <w:tcPr>
            <w:tcW w:w="1497" w:type="dxa"/>
            <w:tcBorders>
              <w:top w:val="single" w:sz="4" w:space="0" w:color="auto"/>
              <w:bottom w:val="single" w:sz="12" w:space="0" w:color="auto"/>
              <w:right w:val="single" w:sz="24" w:space="0" w:color="FFFFFF"/>
            </w:tcBorders>
            <w:shd w:val="clear" w:color="auto" w:fill="auto"/>
            <w:vAlign w:val="bottom"/>
          </w:tcPr>
          <w:p w:rsidR="00333944" w:rsidRPr="0071782F" w:rsidRDefault="00C524CD" w:rsidP="009522F4">
            <w:pPr>
              <w:keepNext/>
              <w:suppressAutoHyphens w:val="0"/>
              <w:spacing w:before="80" w:after="80" w:line="220" w:lineRule="exact"/>
              <w:jc w:val="right"/>
              <w:rPr>
                <w:i/>
                <w:sz w:val="16"/>
                <w:szCs w:val="16"/>
                <w:lang w:val="fr-CH"/>
              </w:rPr>
            </w:pPr>
            <w:r w:rsidRPr="0071782F">
              <w:rPr>
                <w:i/>
                <w:sz w:val="16"/>
                <w:szCs w:val="16"/>
                <w:lang w:val="fr-CH"/>
              </w:rPr>
              <w:t>Montant</w:t>
            </w:r>
          </w:p>
        </w:tc>
        <w:tc>
          <w:tcPr>
            <w:tcW w:w="1497" w:type="dxa"/>
            <w:tcBorders>
              <w:top w:val="single" w:sz="4" w:space="0" w:color="auto"/>
              <w:left w:val="single" w:sz="24" w:space="0" w:color="FFFFFF"/>
              <w:bottom w:val="single" w:sz="12" w:space="0" w:color="auto"/>
            </w:tcBorders>
            <w:shd w:val="clear" w:color="auto" w:fill="auto"/>
            <w:vAlign w:val="bottom"/>
          </w:tcPr>
          <w:p w:rsidR="00333944" w:rsidRPr="0071782F" w:rsidRDefault="00C524CD" w:rsidP="009522F4">
            <w:pPr>
              <w:keepNext/>
              <w:suppressAutoHyphens w:val="0"/>
              <w:spacing w:before="80" w:after="80" w:line="220" w:lineRule="exact"/>
              <w:jc w:val="right"/>
              <w:rPr>
                <w:i/>
                <w:sz w:val="16"/>
                <w:szCs w:val="16"/>
                <w:lang w:val="fr-CH"/>
              </w:rPr>
            </w:pPr>
            <w:r w:rsidRPr="0071782F">
              <w:rPr>
                <w:i/>
                <w:sz w:val="16"/>
                <w:szCs w:val="16"/>
                <w:lang w:val="fr-CH"/>
              </w:rPr>
              <w:t>Nombre</w:t>
            </w:r>
          </w:p>
        </w:tc>
        <w:tc>
          <w:tcPr>
            <w:tcW w:w="1497" w:type="dxa"/>
            <w:tcBorders>
              <w:top w:val="single" w:sz="4" w:space="0" w:color="auto"/>
              <w:bottom w:val="single" w:sz="12" w:space="0" w:color="auto"/>
            </w:tcBorders>
            <w:shd w:val="clear" w:color="auto" w:fill="auto"/>
            <w:vAlign w:val="bottom"/>
          </w:tcPr>
          <w:p w:rsidR="00333944" w:rsidRPr="0071782F" w:rsidRDefault="00C524CD" w:rsidP="009522F4">
            <w:pPr>
              <w:keepNext/>
              <w:suppressAutoHyphens w:val="0"/>
              <w:spacing w:before="80" w:after="80" w:line="220" w:lineRule="exact"/>
              <w:jc w:val="right"/>
              <w:rPr>
                <w:i/>
                <w:sz w:val="16"/>
                <w:szCs w:val="16"/>
                <w:lang w:val="fr-CH"/>
              </w:rPr>
            </w:pPr>
            <w:r w:rsidRPr="0071782F">
              <w:rPr>
                <w:i/>
                <w:sz w:val="16"/>
                <w:szCs w:val="16"/>
                <w:lang w:val="fr-CH"/>
              </w:rPr>
              <w:t>Montant</w:t>
            </w:r>
          </w:p>
        </w:tc>
      </w:tr>
      <w:tr w:rsidR="00333944" w:rsidRPr="0071782F">
        <w:tc>
          <w:tcPr>
            <w:tcW w:w="1497" w:type="dxa"/>
            <w:tcBorders>
              <w:top w:val="single" w:sz="12" w:space="0" w:color="auto"/>
            </w:tcBorders>
            <w:shd w:val="clear" w:color="auto" w:fill="auto"/>
          </w:tcPr>
          <w:p w:rsidR="00333944" w:rsidRPr="0071782F" w:rsidRDefault="00333944" w:rsidP="009522F4">
            <w:pPr>
              <w:keepNext/>
              <w:suppressAutoHyphens w:val="0"/>
              <w:spacing w:before="40" w:after="40" w:line="220" w:lineRule="exact"/>
              <w:jc w:val="right"/>
              <w:rPr>
                <w:sz w:val="18"/>
                <w:lang w:val="fr-CH"/>
              </w:rPr>
            </w:pPr>
            <w:r w:rsidRPr="0071782F">
              <w:rPr>
                <w:sz w:val="18"/>
                <w:lang w:val="fr-CH"/>
              </w:rPr>
              <w:t>3 760</w:t>
            </w:r>
          </w:p>
        </w:tc>
        <w:tc>
          <w:tcPr>
            <w:tcW w:w="1497" w:type="dxa"/>
            <w:tcBorders>
              <w:top w:val="single" w:sz="12" w:space="0" w:color="auto"/>
            </w:tcBorders>
            <w:shd w:val="clear" w:color="auto" w:fill="auto"/>
          </w:tcPr>
          <w:p w:rsidR="00333944" w:rsidRPr="0071782F" w:rsidRDefault="00333944" w:rsidP="009522F4">
            <w:pPr>
              <w:keepNext/>
              <w:suppressAutoHyphens w:val="0"/>
              <w:spacing w:before="40" w:after="40" w:line="220" w:lineRule="exact"/>
              <w:jc w:val="right"/>
              <w:rPr>
                <w:sz w:val="18"/>
                <w:lang w:val="fr-CH"/>
              </w:rPr>
            </w:pPr>
            <w:r w:rsidRPr="0071782F">
              <w:rPr>
                <w:sz w:val="18"/>
                <w:lang w:val="fr-CH"/>
              </w:rPr>
              <w:t>4 000</w:t>
            </w:r>
          </w:p>
        </w:tc>
        <w:tc>
          <w:tcPr>
            <w:tcW w:w="1497" w:type="dxa"/>
            <w:tcBorders>
              <w:top w:val="single" w:sz="12" w:space="0" w:color="auto"/>
            </w:tcBorders>
            <w:shd w:val="clear" w:color="auto" w:fill="auto"/>
            <w:vAlign w:val="bottom"/>
          </w:tcPr>
          <w:p w:rsidR="00333944" w:rsidRPr="0071782F" w:rsidRDefault="00333944" w:rsidP="009522F4">
            <w:pPr>
              <w:keepNext/>
              <w:suppressAutoHyphens w:val="0"/>
              <w:spacing w:before="40" w:after="40" w:line="220" w:lineRule="exact"/>
              <w:jc w:val="right"/>
              <w:rPr>
                <w:sz w:val="18"/>
                <w:lang w:val="fr-CH"/>
              </w:rPr>
            </w:pPr>
            <w:r w:rsidRPr="0071782F">
              <w:rPr>
                <w:sz w:val="18"/>
                <w:lang w:val="fr-CH"/>
              </w:rPr>
              <w:t>120</w:t>
            </w:r>
          </w:p>
        </w:tc>
        <w:tc>
          <w:tcPr>
            <w:tcW w:w="1497" w:type="dxa"/>
            <w:tcBorders>
              <w:top w:val="single" w:sz="12" w:space="0" w:color="auto"/>
            </w:tcBorders>
            <w:shd w:val="clear" w:color="auto" w:fill="auto"/>
            <w:vAlign w:val="bottom"/>
          </w:tcPr>
          <w:p w:rsidR="00333944" w:rsidRPr="0071782F" w:rsidRDefault="003114FD" w:rsidP="009522F4">
            <w:pPr>
              <w:keepNext/>
              <w:suppressAutoHyphens w:val="0"/>
              <w:spacing w:before="40" w:after="40" w:line="220" w:lineRule="exact"/>
              <w:jc w:val="right"/>
              <w:rPr>
                <w:sz w:val="18"/>
                <w:lang w:val="fr-CH"/>
              </w:rPr>
            </w:pPr>
            <w:r w:rsidRPr="0071782F">
              <w:rPr>
                <w:sz w:val="18"/>
                <w:lang w:val="fr-CH"/>
              </w:rPr>
              <w:t>–</w:t>
            </w:r>
          </w:p>
        </w:tc>
        <w:tc>
          <w:tcPr>
            <w:tcW w:w="1497" w:type="dxa"/>
            <w:tcBorders>
              <w:top w:val="single" w:sz="12" w:space="0" w:color="auto"/>
            </w:tcBorders>
            <w:shd w:val="clear" w:color="auto" w:fill="auto"/>
            <w:vAlign w:val="bottom"/>
          </w:tcPr>
          <w:p w:rsidR="00333944" w:rsidRPr="0071782F" w:rsidRDefault="00333944" w:rsidP="009522F4">
            <w:pPr>
              <w:keepNext/>
              <w:suppressAutoHyphens w:val="0"/>
              <w:spacing w:before="40" w:after="40" w:line="220" w:lineRule="exact"/>
              <w:jc w:val="right"/>
              <w:rPr>
                <w:sz w:val="18"/>
                <w:lang w:val="fr-CH"/>
              </w:rPr>
            </w:pPr>
            <w:r w:rsidRPr="0071782F">
              <w:rPr>
                <w:sz w:val="18"/>
                <w:lang w:val="fr-CH"/>
              </w:rPr>
              <w:t>405</w:t>
            </w:r>
          </w:p>
        </w:tc>
        <w:tc>
          <w:tcPr>
            <w:tcW w:w="1497" w:type="dxa"/>
            <w:tcBorders>
              <w:top w:val="single" w:sz="12" w:space="0" w:color="auto"/>
            </w:tcBorders>
            <w:shd w:val="clear" w:color="auto" w:fill="auto"/>
            <w:vAlign w:val="bottom"/>
          </w:tcPr>
          <w:p w:rsidR="00333944" w:rsidRPr="0071782F" w:rsidRDefault="003114FD" w:rsidP="009522F4">
            <w:pPr>
              <w:keepNext/>
              <w:suppressAutoHyphens w:val="0"/>
              <w:spacing w:before="40" w:after="40" w:line="220" w:lineRule="exact"/>
              <w:jc w:val="right"/>
              <w:rPr>
                <w:sz w:val="18"/>
                <w:lang w:val="fr-CH"/>
              </w:rPr>
            </w:pPr>
            <w:r w:rsidRPr="0071782F">
              <w:rPr>
                <w:sz w:val="18"/>
                <w:lang w:val="fr-CH"/>
              </w:rPr>
              <w:t>–</w:t>
            </w:r>
          </w:p>
        </w:tc>
        <w:tc>
          <w:tcPr>
            <w:tcW w:w="1497" w:type="dxa"/>
            <w:tcBorders>
              <w:top w:val="single" w:sz="12" w:space="0" w:color="auto"/>
            </w:tcBorders>
            <w:shd w:val="clear" w:color="auto" w:fill="auto"/>
            <w:vAlign w:val="bottom"/>
          </w:tcPr>
          <w:p w:rsidR="00333944" w:rsidRPr="0071782F" w:rsidRDefault="00333944" w:rsidP="009522F4">
            <w:pPr>
              <w:keepNext/>
              <w:suppressAutoHyphens w:val="0"/>
              <w:spacing w:before="40" w:after="40" w:line="220" w:lineRule="exact"/>
              <w:jc w:val="right"/>
              <w:rPr>
                <w:sz w:val="18"/>
                <w:lang w:val="fr-CH"/>
              </w:rPr>
            </w:pPr>
            <w:r w:rsidRPr="0071782F">
              <w:rPr>
                <w:sz w:val="18"/>
                <w:lang w:val="fr-CH"/>
              </w:rPr>
              <w:t>4 800</w:t>
            </w:r>
          </w:p>
        </w:tc>
        <w:tc>
          <w:tcPr>
            <w:tcW w:w="1497" w:type="dxa"/>
            <w:tcBorders>
              <w:top w:val="single" w:sz="12" w:space="0" w:color="auto"/>
            </w:tcBorders>
            <w:shd w:val="clear" w:color="auto" w:fill="auto"/>
            <w:vAlign w:val="bottom"/>
          </w:tcPr>
          <w:p w:rsidR="00333944" w:rsidRPr="0071782F" w:rsidRDefault="00333944" w:rsidP="009522F4">
            <w:pPr>
              <w:keepNext/>
              <w:suppressAutoHyphens w:val="0"/>
              <w:spacing w:before="40" w:after="40" w:line="220" w:lineRule="exact"/>
              <w:jc w:val="right"/>
              <w:rPr>
                <w:sz w:val="18"/>
                <w:lang w:val="fr-CH"/>
              </w:rPr>
            </w:pPr>
            <w:r w:rsidRPr="0071782F">
              <w:rPr>
                <w:sz w:val="18"/>
                <w:lang w:val="fr-CH"/>
              </w:rPr>
              <w:t>17 000</w:t>
            </w:r>
          </w:p>
        </w:tc>
        <w:tc>
          <w:tcPr>
            <w:tcW w:w="1497" w:type="dxa"/>
            <w:tcBorders>
              <w:top w:val="single" w:sz="12" w:space="0" w:color="auto"/>
            </w:tcBorders>
            <w:shd w:val="clear" w:color="auto" w:fill="auto"/>
            <w:vAlign w:val="bottom"/>
          </w:tcPr>
          <w:p w:rsidR="00333944" w:rsidRPr="0071782F" w:rsidRDefault="00333944" w:rsidP="009522F4">
            <w:pPr>
              <w:keepNext/>
              <w:suppressAutoHyphens w:val="0"/>
              <w:spacing w:before="40" w:after="40" w:line="220" w:lineRule="exact"/>
              <w:jc w:val="right"/>
              <w:rPr>
                <w:sz w:val="18"/>
                <w:lang w:val="fr-CH"/>
              </w:rPr>
            </w:pPr>
            <w:r w:rsidRPr="0071782F">
              <w:rPr>
                <w:sz w:val="18"/>
                <w:lang w:val="fr-CH"/>
              </w:rPr>
              <w:t>22 862</w:t>
            </w:r>
          </w:p>
        </w:tc>
        <w:tc>
          <w:tcPr>
            <w:tcW w:w="1497" w:type="dxa"/>
            <w:tcBorders>
              <w:top w:val="single" w:sz="12" w:space="0" w:color="auto"/>
            </w:tcBorders>
            <w:shd w:val="clear" w:color="auto" w:fill="auto"/>
            <w:vAlign w:val="bottom"/>
          </w:tcPr>
          <w:p w:rsidR="00333944" w:rsidRPr="0071782F" w:rsidRDefault="00333944" w:rsidP="009522F4">
            <w:pPr>
              <w:keepNext/>
              <w:suppressAutoHyphens w:val="0"/>
              <w:spacing w:before="40" w:after="40" w:line="220" w:lineRule="exact"/>
              <w:jc w:val="right"/>
              <w:rPr>
                <w:sz w:val="18"/>
                <w:lang w:val="fr-CH"/>
              </w:rPr>
            </w:pPr>
            <w:r w:rsidRPr="0071782F">
              <w:rPr>
                <w:sz w:val="18"/>
                <w:lang w:val="fr-CH"/>
              </w:rPr>
              <w:t>3 217 735</w:t>
            </w:r>
          </w:p>
        </w:tc>
        <w:tc>
          <w:tcPr>
            <w:tcW w:w="1497" w:type="dxa"/>
            <w:tcBorders>
              <w:top w:val="single" w:sz="12" w:space="0" w:color="auto"/>
            </w:tcBorders>
            <w:shd w:val="clear" w:color="auto" w:fill="auto"/>
            <w:vAlign w:val="bottom"/>
          </w:tcPr>
          <w:p w:rsidR="00333944" w:rsidRPr="0071782F" w:rsidRDefault="00333944" w:rsidP="009522F4">
            <w:pPr>
              <w:keepNext/>
              <w:suppressAutoHyphens w:val="0"/>
              <w:spacing w:before="40" w:after="40" w:line="220" w:lineRule="exact"/>
              <w:jc w:val="right"/>
              <w:rPr>
                <w:sz w:val="18"/>
                <w:lang w:val="fr-CH"/>
              </w:rPr>
            </w:pPr>
            <w:r w:rsidRPr="0071782F">
              <w:rPr>
                <w:sz w:val="18"/>
                <w:lang w:val="fr-CH"/>
              </w:rPr>
              <w:t>17 687</w:t>
            </w:r>
          </w:p>
        </w:tc>
        <w:tc>
          <w:tcPr>
            <w:tcW w:w="1497" w:type="dxa"/>
            <w:tcBorders>
              <w:top w:val="single" w:sz="12" w:space="0" w:color="auto"/>
            </w:tcBorders>
            <w:shd w:val="clear" w:color="auto" w:fill="auto"/>
            <w:vAlign w:val="bottom"/>
          </w:tcPr>
          <w:p w:rsidR="00333944" w:rsidRPr="0071782F" w:rsidRDefault="003114FD" w:rsidP="009522F4">
            <w:pPr>
              <w:keepNext/>
              <w:suppressAutoHyphens w:val="0"/>
              <w:spacing w:before="40" w:after="40" w:line="220" w:lineRule="exact"/>
              <w:jc w:val="right"/>
              <w:rPr>
                <w:sz w:val="18"/>
                <w:lang w:val="fr-CH"/>
              </w:rPr>
            </w:pPr>
            <w:r w:rsidRPr="0071782F">
              <w:rPr>
                <w:sz w:val="18"/>
                <w:lang w:val="fr-CH"/>
              </w:rPr>
              <w:t>–</w:t>
            </w:r>
          </w:p>
        </w:tc>
      </w:tr>
      <w:tr w:rsidR="00333944" w:rsidRPr="0071782F">
        <w:tc>
          <w:tcPr>
            <w:tcW w:w="1497" w:type="dxa"/>
            <w:gridSpan w:val="2"/>
            <w:shd w:val="clear" w:color="auto" w:fill="auto"/>
          </w:tcPr>
          <w:p w:rsidR="00333944" w:rsidRPr="0071782F" w:rsidRDefault="00C524CD" w:rsidP="009522F4">
            <w:pPr>
              <w:suppressAutoHyphens w:val="0"/>
              <w:spacing w:before="40" w:after="40" w:line="220" w:lineRule="exact"/>
              <w:ind w:left="57"/>
              <w:rPr>
                <w:sz w:val="18"/>
                <w:lang w:val="fr-CH"/>
              </w:rPr>
            </w:pPr>
            <w:r w:rsidRPr="0071782F">
              <w:rPr>
                <w:sz w:val="18"/>
                <w:lang w:val="fr-CH"/>
              </w:rPr>
              <w:t xml:space="preserve">Les centres publics et privés dispensent une formation adaptée aux besoins de la région et de la province </w:t>
            </w:r>
          </w:p>
        </w:tc>
        <w:tc>
          <w:tcPr>
            <w:tcW w:w="1497" w:type="dxa"/>
            <w:gridSpan w:val="2"/>
            <w:shd w:val="clear" w:color="auto" w:fill="auto"/>
          </w:tcPr>
          <w:p w:rsidR="00333944" w:rsidRPr="0071782F" w:rsidRDefault="00333944" w:rsidP="009522F4">
            <w:pPr>
              <w:suppressAutoHyphens w:val="0"/>
              <w:spacing w:before="40" w:after="40" w:line="220" w:lineRule="exact"/>
              <w:ind w:left="57"/>
              <w:rPr>
                <w:sz w:val="18"/>
                <w:lang w:val="fr-CH"/>
              </w:rPr>
            </w:pPr>
            <w:r w:rsidRPr="0071782F">
              <w:rPr>
                <w:sz w:val="18"/>
                <w:lang w:val="fr-CH"/>
              </w:rPr>
              <w:t xml:space="preserve">Provinces </w:t>
            </w:r>
            <w:r w:rsidR="00C524CD" w:rsidRPr="0071782F">
              <w:rPr>
                <w:sz w:val="18"/>
                <w:lang w:val="fr-CH"/>
              </w:rPr>
              <w:t>de</w:t>
            </w:r>
            <w:r w:rsidRPr="0071782F">
              <w:rPr>
                <w:sz w:val="18"/>
                <w:lang w:val="fr-CH"/>
              </w:rPr>
              <w:t xml:space="preserve"> T</w:t>
            </w:r>
            <w:r w:rsidR="00C524CD" w:rsidRPr="0071782F">
              <w:rPr>
                <w:sz w:val="18"/>
                <w:lang w:val="fr-CH"/>
              </w:rPr>
              <w:t>é</w:t>
            </w:r>
            <w:r w:rsidRPr="0071782F">
              <w:rPr>
                <w:sz w:val="18"/>
                <w:lang w:val="fr-CH"/>
              </w:rPr>
              <w:t>h</w:t>
            </w:r>
            <w:r w:rsidR="00C524CD" w:rsidRPr="0071782F">
              <w:rPr>
                <w:sz w:val="18"/>
                <w:lang w:val="fr-CH"/>
              </w:rPr>
              <w:t>é</w:t>
            </w:r>
            <w:r w:rsidRPr="0071782F">
              <w:rPr>
                <w:sz w:val="18"/>
                <w:lang w:val="fr-CH"/>
              </w:rPr>
              <w:t>ran, Yazd, Mashhad</w:t>
            </w:r>
          </w:p>
        </w:tc>
        <w:tc>
          <w:tcPr>
            <w:tcW w:w="1497" w:type="dxa"/>
            <w:gridSpan w:val="2"/>
            <w:shd w:val="clear" w:color="auto" w:fill="auto"/>
          </w:tcPr>
          <w:p w:rsidR="00333944" w:rsidRPr="0071782F" w:rsidRDefault="00333944" w:rsidP="009522F4">
            <w:pPr>
              <w:suppressAutoHyphens w:val="0"/>
              <w:spacing w:before="40" w:after="40" w:line="220" w:lineRule="exact"/>
              <w:ind w:left="57"/>
              <w:rPr>
                <w:sz w:val="18"/>
                <w:lang w:val="fr-CH"/>
              </w:rPr>
            </w:pPr>
            <w:r w:rsidRPr="0071782F">
              <w:rPr>
                <w:sz w:val="18"/>
                <w:lang w:val="fr-CH"/>
              </w:rPr>
              <w:t>75</w:t>
            </w:r>
            <w:r w:rsidR="007E5125" w:rsidRPr="0071782F">
              <w:rPr>
                <w:sz w:val="18"/>
                <w:lang w:val="fr-CH"/>
              </w:rPr>
              <w:t>%</w:t>
            </w:r>
            <w:r w:rsidRPr="0071782F">
              <w:rPr>
                <w:sz w:val="18"/>
                <w:lang w:val="fr-CH"/>
              </w:rPr>
              <w:t xml:space="preserve"> </w:t>
            </w:r>
            <w:r w:rsidR="007F37CE" w:rsidRPr="0071782F">
              <w:rPr>
                <w:sz w:val="18"/>
                <w:lang w:val="fr-CH"/>
              </w:rPr>
              <w:t>des personnes</w:t>
            </w:r>
            <w:r w:rsidR="00C524CD" w:rsidRPr="0071782F">
              <w:rPr>
                <w:sz w:val="18"/>
                <w:lang w:val="fr-CH"/>
              </w:rPr>
              <w:t xml:space="preserve"> ont déjà un emploi et les autres sont en passe d’en obtenir un</w:t>
            </w:r>
            <w:r w:rsidR="00D36718">
              <w:rPr>
                <w:sz w:val="18"/>
                <w:lang w:val="fr-CH"/>
              </w:rPr>
              <w:t xml:space="preserve"> </w:t>
            </w:r>
          </w:p>
        </w:tc>
        <w:tc>
          <w:tcPr>
            <w:tcW w:w="1497" w:type="dxa"/>
            <w:gridSpan w:val="2"/>
            <w:shd w:val="clear" w:color="auto" w:fill="auto"/>
          </w:tcPr>
          <w:p w:rsidR="00333944" w:rsidRPr="0071782F" w:rsidRDefault="00C524CD" w:rsidP="009522F4">
            <w:pPr>
              <w:suppressAutoHyphens w:val="0"/>
              <w:spacing w:before="40" w:after="40" w:line="220" w:lineRule="exact"/>
              <w:ind w:left="57"/>
              <w:rPr>
                <w:sz w:val="18"/>
                <w:lang w:val="fr-CH"/>
              </w:rPr>
            </w:pPr>
            <w:r w:rsidRPr="0071782F">
              <w:rPr>
                <w:sz w:val="18"/>
                <w:lang w:val="fr-CH"/>
              </w:rPr>
              <w:t>Destiné à garantir la durabilité de l’emploi créé les années antérieures et en</w:t>
            </w:r>
            <w:r w:rsidR="00D36718">
              <w:rPr>
                <w:sz w:val="18"/>
                <w:lang w:val="fr-CH"/>
              </w:rPr>
              <w:t xml:space="preserve"> </w:t>
            </w:r>
            <w:r w:rsidR="00333944" w:rsidRPr="0071782F">
              <w:rPr>
                <w:sz w:val="18"/>
                <w:lang w:val="fr-CH"/>
              </w:rPr>
              <w:t>2006</w:t>
            </w:r>
          </w:p>
        </w:tc>
        <w:tc>
          <w:tcPr>
            <w:tcW w:w="1497" w:type="dxa"/>
            <w:gridSpan w:val="2"/>
            <w:shd w:val="clear" w:color="auto" w:fill="auto"/>
          </w:tcPr>
          <w:p w:rsidR="00333944" w:rsidRPr="0071782F" w:rsidRDefault="00C524CD" w:rsidP="009522F4">
            <w:pPr>
              <w:suppressAutoHyphens w:val="0"/>
              <w:spacing w:before="40" w:after="40" w:line="220" w:lineRule="exact"/>
              <w:ind w:left="57"/>
              <w:rPr>
                <w:sz w:val="18"/>
                <w:lang w:val="fr-CH"/>
              </w:rPr>
            </w:pPr>
            <w:r w:rsidRPr="0071782F">
              <w:rPr>
                <w:sz w:val="18"/>
                <w:lang w:val="fr-CH"/>
              </w:rPr>
              <w:t>Sources</w:t>
            </w:r>
            <w:r w:rsidR="008F7D33" w:rsidRPr="0071782F">
              <w:rPr>
                <w:sz w:val="18"/>
                <w:lang w:val="fr-CH"/>
              </w:rPr>
              <w:t>:</w:t>
            </w:r>
            <w:r w:rsidRPr="0071782F">
              <w:rPr>
                <w:sz w:val="18"/>
                <w:lang w:val="fr-CH"/>
              </w:rPr>
              <w:t xml:space="preserve"> mécanismes (accords)</w:t>
            </w:r>
            <w:r w:rsidR="00333944" w:rsidRPr="0071782F">
              <w:rPr>
                <w:sz w:val="18"/>
                <w:lang w:val="fr-CH"/>
              </w:rPr>
              <w:t xml:space="preserve"> </w:t>
            </w:r>
            <w:r w:rsidRPr="0071782F">
              <w:rPr>
                <w:sz w:val="18"/>
                <w:lang w:val="fr-CH"/>
              </w:rPr>
              <w:t>du</w:t>
            </w:r>
            <w:r w:rsidR="00333944" w:rsidRPr="0071782F">
              <w:rPr>
                <w:sz w:val="18"/>
                <w:lang w:val="fr-CH"/>
              </w:rPr>
              <w:t xml:space="preserve"> Minist</w:t>
            </w:r>
            <w:r w:rsidRPr="0071782F">
              <w:rPr>
                <w:sz w:val="18"/>
                <w:lang w:val="fr-CH"/>
              </w:rPr>
              <w:t>ère du travail</w:t>
            </w:r>
            <w:r w:rsidR="00333944" w:rsidRPr="0071782F">
              <w:rPr>
                <w:sz w:val="18"/>
                <w:lang w:val="fr-CH"/>
              </w:rPr>
              <w:t xml:space="preserve">, </w:t>
            </w:r>
            <w:r w:rsidRPr="0071782F">
              <w:rPr>
                <w:sz w:val="18"/>
                <w:lang w:val="fr-CH"/>
              </w:rPr>
              <w:t xml:space="preserve">Fondation </w:t>
            </w:r>
            <w:r w:rsidR="00333944" w:rsidRPr="0071782F">
              <w:rPr>
                <w:sz w:val="18"/>
                <w:lang w:val="fr-CH"/>
              </w:rPr>
              <w:t xml:space="preserve">Imam Reza Mehr, </w:t>
            </w:r>
            <w:r w:rsidRPr="0071782F">
              <w:rPr>
                <w:sz w:val="18"/>
                <w:lang w:val="fr-CH"/>
              </w:rPr>
              <w:t xml:space="preserve">crédits affectés et actifs gérés </w:t>
            </w:r>
          </w:p>
        </w:tc>
        <w:tc>
          <w:tcPr>
            <w:tcW w:w="1497" w:type="dxa"/>
            <w:gridSpan w:val="2"/>
            <w:shd w:val="clear" w:color="auto" w:fill="auto"/>
          </w:tcPr>
          <w:p w:rsidR="00333944" w:rsidRPr="0071782F" w:rsidRDefault="00C524CD" w:rsidP="009522F4">
            <w:pPr>
              <w:suppressAutoHyphens w:val="0"/>
              <w:spacing w:before="40" w:after="40" w:line="220" w:lineRule="exact"/>
              <w:ind w:left="57"/>
              <w:rPr>
                <w:sz w:val="18"/>
                <w:lang w:val="fr-CH"/>
              </w:rPr>
            </w:pPr>
            <w:r w:rsidRPr="0071782F">
              <w:rPr>
                <w:sz w:val="18"/>
                <w:lang w:val="fr-CH"/>
              </w:rPr>
              <w:t xml:space="preserve">La plupart des programmes d’emploi ont été soumis aux banques et sont en voie d’exécution </w:t>
            </w:r>
          </w:p>
        </w:tc>
      </w:tr>
    </w:tbl>
    <w:p w:rsidR="00333944" w:rsidRPr="0071782F" w:rsidRDefault="00333944" w:rsidP="009A065E">
      <w:pPr>
        <w:pStyle w:val="SingleTxtG"/>
        <w:spacing w:before="120"/>
        <w:rPr>
          <w:lang w:val="fr-CH"/>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6237"/>
        <w:gridCol w:w="2268"/>
      </w:tblGrid>
      <w:tr w:rsidR="00333944" w:rsidRPr="0071782F">
        <w:trPr>
          <w:tblHeader/>
        </w:trPr>
        <w:tc>
          <w:tcPr>
            <w:tcW w:w="6237" w:type="dxa"/>
            <w:tcBorders>
              <w:top w:val="single" w:sz="4" w:space="0" w:color="auto"/>
              <w:bottom w:val="nil"/>
            </w:tcBorders>
            <w:shd w:val="clear" w:color="auto" w:fill="auto"/>
            <w:vAlign w:val="bottom"/>
          </w:tcPr>
          <w:p w:rsidR="00333944" w:rsidRPr="0071782F" w:rsidRDefault="003B48A4" w:rsidP="000E38AC">
            <w:pPr>
              <w:keepNext/>
              <w:suppressAutoHyphens w:val="0"/>
              <w:spacing w:before="40" w:after="40" w:line="200" w:lineRule="exact"/>
              <w:ind w:right="113"/>
              <w:rPr>
                <w:sz w:val="18"/>
                <w:szCs w:val="18"/>
                <w:lang w:val="fr-CH"/>
              </w:rPr>
            </w:pPr>
            <w:r w:rsidRPr="0071782F">
              <w:rPr>
                <w:sz w:val="18"/>
                <w:szCs w:val="18"/>
                <w:lang w:val="fr-CH"/>
              </w:rPr>
              <w:t>Nombre</w:t>
            </w:r>
            <w:r w:rsidR="00333944" w:rsidRPr="0071782F">
              <w:rPr>
                <w:sz w:val="18"/>
                <w:szCs w:val="18"/>
                <w:lang w:val="fr-CH"/>
              </w:rPr>
              <w:t xml:space="preserve"> </w:t>
            </w:r>
            <w:r w:rsidR="00C524CD" w:rsidRPr="0071782F">
              <w:rPr>
                <w:sz w:val="18"/>
                <w:szCs w:val="18"/>
                <w:lang w:val="fr-CH"/>
              </w:rPr>
              <w:t>de travailleurs bénéficiaires de crédits pour l’emploi</w:t>
            </w:r>
          </w:p>
        </w:tc>
        <w:tc>
          <w:tcPr>
            <w:tcW w:w="2268" w:type="dxa"/>
            <w:tcBorders>
              <w:top w:val="single" w:sz="4" w:space="0" w:color="auto"/>
              <w:bottom w:val="nil"/>
            </w:tcBorders>
            <w:shd w:val="clear" w:color="auto" w:fill="auto"/>
            <w:vAlign w:val="bottom"/>
          </w:tcPr>
          <w:p w:rsidR="00333944" w:rsidRPr="0071782F" w:rsidRDefault="00333944" w:rsidP="000E38AC">
            <w:pPr>
              <w:keepNext/>
              <w:suppressAutoHyphens w:val="0"/>
              <w:spacing w:before="40" w:after="40" w:line="200" w:lineRule="exact"/>
              <w:ind w:right="113"/>
              <w:jc w:val="right"/>
              <w:rPr>
                <w:sz w:val="18"/>
                <w:szCs w:val="18"/>
                <w:lang w:val="fr-CH"/>
              </w:rPr>
            </w:pPr>
            <w:r w:rsidRPr="0071782F">
              <w:rPr>
                <w:sz w:val="18"/>
                <w:szCs w:val="18"/>
                <w:lang w:val="fr-CH"/>
              </w:rPr>
              <w:t>22 862</w:t>
            </w:r>
          </w:p>
        </w:tc>
      </w:tr>
      <w:tr w:rsidR="00333944" w:rsidRPr="0071782F">
        <w:tc>
          <w:tcPr>
            <w:tcW w:w="6237" w:type="dxa"/>
            <w:tcBorders>
              <w:top w:val="nil"/>
            </w:tcBorders>
            <w:shd w:val="clear" w:color="auto" w:fill="auto"/>
          </w:tcPr>
          <w:p w:rsidR="00333944" w:rsidRPr="0071782F" w:rsidRDefault="003B48A4" w:rsidP="000E38AC">
            <w:pPr>
              <w:keepNext/>
              <w:suppressAutoHyphens w:val="0"/>
              <w:spacing w:before="40" w:after="40" w:line="220" w:lineRule="exact"/>
              <w:ind w:right="113"/>
              <w:rPr>
                <w:sz w:val="18"/>
                <w:lang w:val="fr-CH"/>
              </w:rPr>
            </w:pPr>
            <w:r w:rsidRPr="0071782F">
              <w:rPr>
                <w:sz w:val="18"/>
                <w:lang w:val="fr-CH"/>
              </w:rPr>
              <w:t>Nombre</w:t>
            </w:r>
            <w:r w:rsidR="00333944" w:rsidRPr="0071782F">
              <w:rPr>
                <w:sz w:val="18"/>
                <w:lang w:val="fr-CH"/>
              </w:rPr>
              <w:t xml:space="preserve"> </w:t>
            </w:r>
            <w:r w:rsidR="00C524CD" w:rsidRPr="0071782F">
              <w:rPr>
                <w:sz w:val="18"/>
                <w:lang w:val="fr-CH"/>
              </w:rPr>
              <w:t>de</w:t>
            </w:r>
            <w:r w:rsidR="00333944" w:rsidRPr="0071782F">
              <w:rPr>
                <w:sz w:val="18"/>
                <w:lang w:val="fr-CH"/>
              </w:rPr>
              <w:t xml:space="preserve"> program</w:t>
            </w:r>
            <w:r w:rsidR="00C524CD" w:rsidRPr="0071782F">
              <w:rPr>
                <w:sz w:val="18"/>
                <w:lang w:val="fr-CH"/>
              </w:rPr>
              <w:t>me</w:t>
            </w:r>
            <w:r w:rsidR="00333944" w:rsidRPr="0071782F">
              <w:rPr>
                <w:sz w:val="18"/>
                <w:lang w:val="fr-CH"/>
              </w:rPr>
              <w:t xml:space="preserve">s </w:t>
            </w:r>
            <w:r w:rsidR="00C524CD" w:rsidRPr="0071782F">
              <w:rPr>
                <w:sz w:val="18"/>
                <w:lang w:val="fr-CH"/>
              </w:rPr>
              <w:t xml:space="preserve">d’emploi approuvés financés par des crédits bancaires </w:t>
            </w:r>
          </w:p>
        </w:tc>
        <w:tc>
          <w:tcPr>
            <w:tcW w:w="2268" w:type="dxa"/>
            <w:tcBorders>
              <w:top w:val="nil"/>
            </w:tcBorders>
            <w:shd w:val="clear" w:color="auto" w:fill="auto"/>
            <w:vAlign w:val="bottom"/>
          </w:tcPr>
          <w:p w:rsidR="00333944" w:rsidRPr="0071782F" w:rsidRDefault="00333944" w:rsidP="000E38AC">
            <w:pPr>
              <w:keepNext/>
              <w:suppressAutoHyphens w:val="0"/>
              <w:spacing w:before="40" w:after="40" w:line="220" w:lineRule="exact"/>
              <w:ind w:right="113"/>
              <w:jc w:val="right"/>
              <w:rPr>
                <w:sz w:val="18"/>
                <w:lang w:val="fr-CH"/>
              </w:rPr>
            </w:pPr>
            <w:r w:rsidRPr="0071782F">
              <w:rPr>
                <w:sz w:val="18"/>
                <w:lang w:val="fr-CH"/>
              </w:rPr>
              <w:t>17 687</w:t>
            </w:r>
          </w:p>
        </w:tc>
      </w:tr>
      <w:tr w:rsidR="00333944" w:rsidRPr="0071782F">
        <w:tc>
          <w:tcPr>
            <w:tcW w:w="6237" w:type="dxa"/>
            <w:tcBorders>
              <w:bottom w:val="single" w:sz="4" w:space="0" w:color="auto"/>
            </w:tcBorders>
            <w:shd w:val="clear" w:color="auto" w:fill="auto"/>
          </w:tcPr>
          <w:p w:rsidR="00333944" w:rsidRPr="0071782F" w:rsidRDefault="003B48A4" w:rsidP="000E38AC">
            <w:pPr>
              <w:keepNext/>
              <w:suppressAutoHyphens w:val="0"/>
              <w:spacing w:before="40" w:after="40" w:line="220" w:lineRule="exact"/>
              <w:ind w:right="113"/>
              <w:rPr>
                <w:sz w:val="18"/>
                <w:lang w:val="fr-CH"/>
              </w:rPr>
            </w:pPr>
            <w:r w:rsidRPr="0071782F">
              <w:rPr>
                <w:sz w:val="18"/>
                <w:lang w:val="fr-CH"/>
              </w:rPr>
              <w:t>Nombre</w:t>
            </w:r>
            <w:r w:rsidR="00333944" w:rsidRPr="0071782F">
              <w:rPr>
                <w:sz w:val="18"/>
                <w:lang w:val="fr-CH"/>
              </w:rPr>
              <w:t xml:space="preserve"> </w:t>
            </w:r>
            <w:r w:rsidR="00C524CD" w:rsidRPr="0071782F">
              <w:rPr>
                <w:sz w:val="18"/>
                <w:lang w:val="fr-CH"/>
              </w:rPr>
              <w:t>de travailleurs bénéficiaires du quota de</w:t>
            </w:r>
            <w:r w:rsidR="00333944" w:rsidRPr="0071782F">
              <w:rPr>
                <w:sz w:val="18"/>
                <w:lang w:val="fr-CH"/>
              </w:rPr>
              <w:t xml:space="preserve"> 3</w:t>
            </w:r>
            <w:r w:rsidR="007E5125" w:rsidRPr="0071782F">
              <w:rPr>
                <w:sz w:val="18"/>
                <w:lang w:val="fr-CH"/>
              </w:rPr>
              <w:t>%</w:t>
            </w:r>
            <w:r w:rsidR="00333944" w:rsidRPr="0071782F">
              <w:rPr>
                <w:sz w:val="18"/>
                <w:lang w:val="fr-CH"/>
              </w:rPr>
              <w:t xml:space="preserve"> </w:t>
            </w:r>
          </w:p>
        </w:tc>
        <w:tc>
          <w:tcPr>
            <w:tcW w:w="2268" w:type="dxa"/>
            <w:tcBorders>
              <w:bottom w:val="single" w:sz="4" w:space="0" w:color="auto"/>
            </w:tcBorders>
            <w:shd w:val="clear" w:color="auto" w:fill="auto"/>
            <w:vAlign w:val="bottom"/>
          </w:tcPr>
          <w:p w:rsidR="00333944" w:rsidRPr="0071782F" w:rsidRDefault="00333944" w:rsidP="000E38AC">
            <w:pPr>
              <w:keepNext/>
              <w:suppressAutoHyphens w:val="0"/>
              <w:spacing w:before="40" w:after="40" w:line="220" w:lineRule="exact"/>
              <w:ind w:right="113"/>
              <w:jc w:val="right"/>
              <w:rPr>
                <w:sz w:val="18"/>
                <w:lang w:val="fr-CH"/>
              </w:rPr>
            </w:pPr>
            <w:r w:rsidRPr="0071782F">
              <w:rPr>
                <w:sz w:val="18"/>
                <w:lang w:val="fr-CH"/>
              </w:rPr>
              <w:t>405</w:t>
            </w:r>
          </w:p>
        </w:tc>
      </w:tr>
      <w:tr w:rsidR="00333944" w:rsidRPr="0071782F">
        <w:tc>
          <w:tcPr>
            <w:tcW w:w="6237" w:type="dxa"/>
            <w:tcBorders>
              <w:top w:val="single" w:sz="4" w:space="0" w:color="auto"/>
              <w:bottom w:val="single" w:sz="4" w:space="0" w:color="auto"/>
            </w:tcBorders>
            <w:shd w:val="clear" w:color="auto" w:fill="auto"/>
          </w:tcPr>
          <w:p w:rsidR="00333944" w:rsidRPr="0071782F" w:rsidRDefault="00C524CD" w:rsidP="000E38AC">
            <w:pPr>
              <w:keepNext/>
              <w:suppressAutoHyphens w:val="0"/>
              <w:spacing w:before="80" w:after="80" w:line="220" w:lineRule="exact"/>
              <w:ind w:left="284" w:right="113"/>
              <w:rPr>
                <w:b/>
                <w:sz w:val="18"/>
                <w:lang w:val="fr-CH"/>
              </w:rPr>
            </w:pPr>
            <w:r w:rsidRPr="0071782F">
              <w:rPr>
                <w:b/>
                <w:sz w:val="18"/>
                <w:lang w:val="fr-CH"/>
              </w:rPr>
              <w:t>Nombre t</w:t>
            </w:r>
            <w:r w:rsidR="00333944" w:rsidRPr="0071782F">
              <w:rPr>
                <w:b/>
                <w:sz w:val="18"/>
                <w:lang w:val="fr-CH"/>
              </w:rPr>
              <w:t xml:space="preserve">otal </w:t>
            </w:r>
            <w:r w:rsidRPr="0071782F">
              <w:rPr>
                <w:b/>
                <w:sz w:val="18"/>
                <w:lang w:val="fr-CH"/>
              </w:rPr>
              <w:t xml:space="preserve">de travailleurs et </w:t>
            </w:r>
            <w:r w:rsidR="00D82C96" w:rsidRPr="0071782F">
              <w:rPr>
                <w:b/>
                <w:sz w:val="18"/>
                <w:lang w:val="fr-CH"/>
              </w:rPr>
              <w:t>de personnes</w:t>
            </w:r>
            <w:r w:rsidRPr="0071782F">
              <w:rPr>
                <w:b/>
                <w:sz w:val="18"/>
                <w:lang w:val="fr-CH"/>
              </w:rPr>
              <w:t xml:space="preserve"> en passe d’obtenir un emploi </w:t>
            </w:r>
          </w:p>
        </w:tc>
        <w:tc>
          <w:tcPr>
            <w:tcW w:w="2268" w:type="dxa"/>
            <w:tcBorders>
              <w:top w:val="single" w:sz="4" w:space="0" w:color="auto"/>
              <w:bottom w:val="single" w:sz="4" w:space="0" w:color="auto"/>
            </w:tcBorders>
            <w:shd w:val="clear" w:color="auto" w:fill="auto"/>
            <w:vAlign w:val="bottom"/>
          </w:tcPr>
          <w:p w:rsidR="00333944" w:rsidRPr="0071782F" w:rsidRDefault="00333944" w:rsidP="000E38AC">
            <w:pPr>
              <w:keepNext/>
              <w:suppressAutoHyphens w:val="0"/>
              <w:spacing w:before="80" w:after="80" w:line="220" w:lineRule="exact"/>
              <w:ind w:right="113"/>
              <w:jc w:val="right"/>
              <w:rPr>
                <w:b/>
                <w:sz w:val="18"/>
                <w:lang w:val="fr-CH"/>
              </w:rPr>
            </w:pPr>
            <w:r w:rsidRPr="0071782F">
              <w:rPr>
                <w:b/>
                <w:sz w:val="18"/>
                <w:lang w:val="fr-CH"/>
              </w:rPr>
              <w:t>40 954</w:t>
            </w:r>
          </w:p>
        </w:tc>
      </w:tr>
      <w:tr w:rsidR="00333944" w:rsidRPr="0071782F">
        <w:tc>
          <w:tcPr>
            <w:tcW w:w="6237" w:type="dxa"/>
            <w:tcBorders>
              <w:top w:val="single" w:sz="4" w:space="0" w:color="auto"/>
              <w:bottom w:val="single" w:sz="12" w:space="0" w:color="auto"/>
            </w:tcBorders>
            <w:shd w:val="clear" w:color="auto" w:fill="auto"/>
          </w:tcPr>
          <w:p w:rsidR="00333944" w:rsidRPr="0071782F" w:rsidRDefault="00C524CD" w:rsidP="000E38AC">
            <w:pPr>
              <w:keepNext/>
              <w:suppressAutoHyphens w:val="0"/>
              <w:spacing w:before="80" w:after="80" w:line="220" w:lineRule="exact"/>
              <w:ind w:left="284" w:right="113"/>
              <w:rPr>
                <w:b/>
                <w:sz w:val="18"/>
                <w:szCs w:val="18"/>
                <w:lang w:val="fr-CH"/>
              </w:rPr>
            </w:pPr>
            <w:r w:rsidRPr="0071782F">
              <w:rPr>
                <w:b/>
                <w:sz w:val="18"/>
                <w:szCs w:val="18"/>
                <w:lang w:val="fr-CH"/>
              </w:rPr>
              <w:t>Montant t</w:t>
            </w:r>
            <w:r w:rsidR="00333944" w:rsidRPr="0071782F">
              <w:rPr>
                <w:b/>
                <w:sz w:val="18"/>
                <w:szCs w:val="18"/>
                <w:lang w:val="fr-CH"/>
              </w:rPr>
              <w:t xml:space="preserve">otal </w:t>
            </w:r>
            <w:r w:rsidRPr="0071782F">
              <w:rPr>
                <w:b/>
                <w:sz w:val="18"/>
                <w:szCs w:val="18"/>
                <w:lang w:val="fr-CH"/>
              </w:rPr>
              <w:t xml:space="preserve">des </w:t>
            </w:r>
            <w:r w:rsidR="00333944" w:rsidRPr="0071782F">
              <w:rPr>
                <w:b/>
                <w:sz w:val="18"/>
                <w:szCs w:val="18"/>
                <w:lang w:val="fr-CH"/>
              </w:rPr>
              <w:t xml:space="preserve">budgets </w:t>
            </w:r>
            <w:r w:rsidRPr="0071782F">
              <w:rPr>
                <w:b/>
                <w:sz w:val="18"/>
                <w:szCs w:val="18"/>
                <w:lang w:val="fr-CH"/>
              </w:rPr>
              <w:t>et ressources destinés à l’emploi</w:t>
            </w:r>
          </w:p>
        </w:tc>
        <w:tc>
          <w:tcPr>
            <w:tcW w:w="2268" w:type="dxa"/>
            <w:tcBorders>
              <w:top w:val="single" w:sz="4" w:space="0" w:color="auto"/>
              <w:bottom w:val="single" w:sz="12" w:space="0" w:color="auto"/>
            </w:tcBorders>
            <w:shd w:val="clear" w:color="auto" w:fill="auto"/>
            <w:vAlign w:val="bottom"/>
          </w:tcPr>
          <w:p w:rsidR="00333944" w:rsidRPr="0071782F" w:rsidRDefault="00333944" w:rsidP="000E38AC">
            <w:pPr>
              <w:keepNext/>
              <w:suppressAutoHyphens w:val="0"/>
              <w:spacing w:before="80" w:after="80" w:line="220" w:lineRule="exact"/>
              <w:ind w:right="113"/>
              <w:jc w:val="right"/>
              <w:rPr>
                <w:b/>
                <w:sz w:val="18"/>
                <w:lang w:val="fr-CH"/>
              </w:rPr>
            </w:pPr>
            <w:r w:rsidRPr="0071782F">
              <w:rPr>
                <w:b/>
                <w:sz w:val="18"/>
                <w:lang w:val="fr-CH"/>
              </w:rPr>
              <w:t>3</w:t>
            </w:r>
            <w:r w:rsidR="00B8306D" w:rsidRPr="0071782F">
              <w:rPr>
                <w:b/>
                <w:sz w:val="18"/>
                <w:lang w:val="fr-CH"/>
              </w:rPr>
              <w:t> </w:t>
            </w:r>
            <w:r w:rsidRPr="0071782F">
              <w:rPr>
                <w:b/>
                <w:sz w:val="18"/>
                <w:lang w:val="fr-CH"/>
              </w:rPr>
              <w:t>238</w:t>
            </w:r>
            <w:r w:rsidR="00B8306D" w:rsidRPr="0071782F">
              <w:rPr>
                <w:b/>
                <w:sz w:val="18"/>
                <w:lang w:val="fr-CH"/>
              </w:rPr>
              <w:t>,</w:t>
            </w:r>
            <w:r w:rsidRPr="0071782F">
              <w:rPr>
                <w:b/>
                <w:sz w:val="18"/>
                <w:lang w:val="fr-CH"/>
              </w:rPr>
              <w:t>735</w:t>
            </w:r>
            <w:r w:rsidR="008553D9" w:rsidRPr="0071782F">
              <w:rPr>
                <w:b/>
                <w:sz w:val="18"/>
                <w:lang w:val="fr-CH"/>
              </w:rPr>
              <w:t> milliard</w:t>
            </w:r>
            <w:r w:rsidR="00097CDB" w:rsidRPr="0071782F">
              <w:rPr>
                <w:b/>
                <w:sz w:val="18"/>
                <w:lang w:val="fr-CH"/>
              </w:rPr>
              <w:t>s</w:t>
            </w:r>
            <w:r w:rsidR="00C524CD" w:rsidRPr="0071782F">
              <w:rPr>
                <w:b/>
                <w:sz w:val="18"/>
                <w:lang w:val="fr-CH"/>
              </w:rPr>
              <w:t xml:space="preserve"> </w:t>
            </w:r>
            <w:r w:rsidR="003B1403" w:rsidRPr="0071782F">
              <w:rPr>
                <w:b/>
                <w:sz w:val="18"/>
                <w:lang w:val="fr-CH"/>
              </w:rPr>
              <w:t>de rials</w:t>
            </w:r>
          </w:p>
        </w:tc>
      </w:tr>
    </w:tbl>
    <w:p w:rsidR="00333944" w:rsidRPr="0071782F" w:rsidRDefault="00333944" w:rsidP="00333944">
      <w:pPr>
        <w:pStyle w:val="H23G"/>
        <w:rPr>
          <w:lang w:val="fr-CH"/>
        </w:rPr>
      </w:pPr>
      <w:r w:rsidRPr="0071782F">
        <w:rPr>
          <w:lang w:val="fr-CH"/>
        </w:rPr>
        <w:tab/>
      </w:r>
      <w:r w:rsidRPr="0071782F">
        <w:rPr>
          <w:lang w:val="fr-CH"/>
        </w:rPr>
        <w:tab/>
      </w:r>
      <w:r w:rsidR="00C524CD" w:rsidRPr="0071782F">
        <w:rPr>
          <w:lang w:val="fr-CH"/>
        </w:rPr>
        <w:t>Aides pour l’emploi</w:t>
      </w:r>
      <w:r w:rsidR="008F7D33" w:rsidRPr="0071782F">
        <w:rPr>
          <w:lang w:val="fr-CH"/>
        </w:rPr>
        <w:t>:</w:t>
      </w:r>
      <w:r w:rsidRPr="0071782F">
        <w:rPr>
          <w:lang w:val="fr-CH"/>
        </w:rPr>
        <w:t xml:space="preserve"> program</w:t>
      </w:r>
      <w:r w:rsidR="00C524CD" w:rsidRPr="0071782F">
        <w:rPr>
          <w:lang w:val="fr-CH"/>
        </w:rPr>
        <w:t>me</w:t>
      </w:r>
      <w:r w:rsidRPr="0071782F">
        <w:rPr>
          <w:lang w:val="fr-CH"/>
        </w:rPr>
        <w:t xml:space="preserve">s </w:t>
      </w:r>
      <w:r w:rsidR="00C524CD" w:rsidRPr="0071782F">
        <w:rPr>
          <w:lang w:val="fr-CH"/>
        </w:rPr>
        <w:t xml:space="preserve">et activités en </w:t>
      </w:r>
      <w:r w:rsidRPr="0071782F">
        <w:rPr>
          <w:lang w:val="fr-CH"/>
        </w:rPr>
        <w:t>2007</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4619"/>
        <w:gridCol w:w="1043"/>
        <w:gridCol w:w="961"/>
        <w:gridCol w:w="872"/>
        <w:gridCol w:w="1010"/>
      </w:tblGrid>
      <w:tr w:rsidR="00333944" w:rsidRPr="0071782F">
        <w:trPr>
          <w:trHeight w:val="184"/>
          <w:tblHeader/>
        </w:trPr>
        <w:tc>
          <w:tcPr>
            <w:tcW w:w="4619" w:type="dxa"/>
            <w:vMerge w:val="restart"/>
            <w:tcBorders>
              <w:top w:val="single" w:sz="4" w:space="0" w:color="auto"/>
              <w:bottom w:val="single" w:sz="12" w:space="0" w:color="auto"/>
            </w:tcBorders>
            <w:shd w:val="clear" w:color="000000" w:fill="auto"/>
            <w:vAlign w:val="bottom"/>
          </w:tcPr>
          <w:p w:rsidR="00333944" w:rsidRPr="0071782F" w:rsidRDefault="00333944" w:rsidP="000E38AC">
            <w:pPr>
              <w:suppressAutoHyphens w:val="0"/>
              <w:spacing w:before="60" w:after="60" w:line="200" w:lineRule="exact"/>
              <w:rPr>
                <w:i/>
                <w:sz w:val="16"/>
                <w:lang w:val="fr-CH"/>
              </w:rPr>
            </w:pPr>
            <w:r w:rsidRPr="0071782F">
              <w:rPr>
                <w:i/>
                <w:sz w:val="16"/>
                <w:lang w:val="fr-CH"/>
              </w:rPr>
              <w:t>Program</w:t>
            </w:r>
            <w:r w:rsidR="00C524CD" w:rsidRPr="0071782F">
              <w:rPr>
                <w:i/>
                <w:sz w:val="16"/>
                <w:lang w:val="fr-CH"/>
              </w:rPr>
              <w:t>me</w:t>
            </w:r>
            <w:r w:rsidRPr="0071782F">
              <w:rPr>
                <w:i/>
                <w:sz w:val="16"/>
                <w:lang w:val="fr-CH"/>
              </w:rPr>
              <w:t>/activit</w:t>
            </w:r>
            <w:r w:rsidR="00C524CD" w:rsidRPr="0071782F">
              <w:rPr>
                <w:i/>
                <w:sz w:val="16"/>
                <w:lang w:val="fr-CH"/>
              </w:rPr>
              <w:t>é</w:t>
            </w:r>
          </w:p>
        </w:tc>
        <w:tc>
          <w:tcPr>
            <w:tcW w:w="2876" w:type="dxa"/>
            <w:gridSpan w:val="3"/>
            <w:tcBorders>
              <w:top w:val="single" w:sz="4" w:space="0" w:color="auto"/>
              <w:bottom w:val="single" w:sz="4" w:space="0" w:color="auto"/>
            </w:tcBorders>
            <w:shd w:val="clear" w:color="000000" w:fill="auto"/>
            <w:vAlign w:val="bottom"/>
          </w:tcPr>
          <w:p w:rsidR="00333944" w:rsidRPr="0071782F" w:rsidRDefault="00C524CD" w:rsidP="000E38AC">
            <w:pPr>
              <w:suppressAutoHyphens w:val="0"/>
              <w:spacing w:before="60" w:after="60" w:line="200" w:lineRule="exact"/>
              <w:jc w:val="center"/>
              <w:rPr>
                <w:i/>
                <w:sz w:val="16"/>
                <w:lang w:val="fr-CH"/>
              </w:rPr>
            </w:pPr>
            <w:r w:rsidRPr="0071782F">
              <w:rPr>
                <w:i/>
                <w:sz w:val="16"/>
                <w:lang w:val="fr-CH"/>
              </w:rPr>
              <w:t>Objectif q</w:t>
            </w:r>
            <w:r w:rsidR="00333944" w:rsidRPr="0071782F">
              <w:rPr>
                <w:i/>
                <w:sz w:val="16"/>
                <w:lang w:val="fr-CH"/>
              </w:rPr>
              <w:t>uantitati</w:t>
            </w:r>
            <w:r w:rsidRPr="0071782F">
              <w:rPr>
                <w:i/>
                <w:sz w:val="16"/>
                <w:lang w:val="fr-CH"/>
              </w:rPr>
              <w:t>f</w:t>
            </w:r>
          </w:p>
        </w:tc>
        <w:tc>
          <w:tcPr>
            <w:tcW w:w="1010" w:type="dxa"/>
            <w:vMerge w:val="restart"/>
            <w:tcBorders>
              <w:top w:val="single" w:sz="4" w:space="0" w:color="auto"/>
              <w:bottom w:val="single" w:sz="12" w:space="0" w:color="auto"/>
            </w:tcBorders>
            <w:shd w:val="clear" w:color="000000" w:fill="auto"/>
            <w:vAlign w:val="bottom"/>
          </w:tcPr>
          <w:p w:rsidR="00333944" w:rsidRPr="0071782F" w:rsidRDefault="00333944" w:rsidP="000E38AC">
            <w:pPr>
              <w:suppressAutoHyphens w:val="0"/>
              <w:spacing w:before="60" w:after="60" w:line="200" w:lineRule="exact"/>
              <w:jc w:val="right"/>
              <w:rPr>
                <w:b/>
                <w:i/>
                <w:sz w:val="16"/>
                <w:lang w:val="fr-CH"/>
              </w:rPr>
            </w:pPr>
            <w:r w:rsidRPr="0071782F">
              <w:rPr>
                <w:b/>
                <w:i/>
                <w:sz w:val="16"/>
                <w:lang w:val="fr-CH"/>
              </w:rPr>
              <w:t>Total</w:t>
            </w:r>
          </w:p>
        </w:tc>
      </w:tr>
      <w:tr w:rsidR="00333944" w:rsidRPr="0071782F">
        <w:trPr>
          <w:trHeight w:val="127"/>
          <w:tblHeader/>
        </w:trPr>
        <w:tc>
          <w:tcPr>
            <w:tcW w:w="4619" w:type="dxa"/>
            <w:vMerge/>
            <w:tcBorders>
              <w:top w:val="single" w:sz="12" w:space="0" w:color="auto"/>
              <w:bottom w:val="single" w:sz="12" w:space="0" w:color="auto"/>
            </w:tcBorders>
            <w:shd w:val="clear" w:color="000000" w:fill="auto"/>
            <w:vAlign w:val="bottom"/>
          </w:tcPr>
          <w:p w:rsidR="00333944" w:rsidRPr="0071782F" w:rsidRDefault="00333944" w:rsidP="000E38AC">
            <w:pPr>
              <w:suppressAutoHyphens w:val="0"/>
              <w:spacing w:before="60" w:after="60" w:line="220" w:lineRule="exact"/>
              <w:rPr>
                <w:sz w:val="18"/>
                <w:lang w:val="fr-CH"/>
              </w:rPr>
            </w:pPr>
          </w:p>
        </w:tc>
        <w:tc>
          <w:tcPr>
            <w:tcW w:w="1043" w:type="dxa"/>
            <w:tcBorders>
              <w:top w:val="single" w:sz="4" w:space="0" w:color="auto"/>
              <w:bottom w:val="single" w:sz="12" w:space="0" w:color="auto"/>
            </w:tcBorders>
            <w:shd w:val="clear" w:color="000000" w:fill="auto"/>
            <w:vAlign w:val="bottom"/>
          </w:tcPr>
          <w:p w:rsidR="00333944" w:rsidRPr="0071782F" w:rsidRDefault="00333944" w:rsidP="00B71235">
            <w:pPr>
              <w:suppressAutoHyphens w:val="0"/>
              <w:spacing w:before="60" w:after="60" w:line="220" w:lineRule="exact"/>
              <w:ind w:left="57"/>
              <w:rPr>
                <w:i/>
                <w:sz w:val="16"/>
                <w:szCs w:val="16"/>
                <w:lang w:val="fr-CH"/>
              </w:rPr>
            </w:pPr>
            <w:r w:rsidRPr="0071782F">
              <w:rPr>
                <w:i/>
                <w:sz w:val="16"/>
                <w:szCs w:val="16"/>
                <w:lang w:val="fr-CH"/>
              </w:rPr>
              <w:t>Unit</w:t>
            </w:r>
            <w:r w:rsidR="00C524CD" w:rsidRPr="0071782F">
              <w:rPr>
                <w:i/>
                <w:sz w:val="16"/>
                <w:szCs w:val="16"/>
                <w:lang w:val="fr-CH"/>
              </w:rPr>
              <w:t>é</w:t>
            </w:r>
          </w:p>
        </w:tc>
        <w:tc>
          <w:tcPr>
            <w:tcW w:w="961" w:type="dxa"/>
            <w:tcBorders>
              <w:top w:val="single" w:sz="4" w:space="0" w:color="auto"/>
              <w:bottom w:val="single" w:sz="12" w:space="0" w:color="auto"/>
            </w:tcBorders>
            <w:shd w:val="clear" w:color="000000" w:fill="auto"/>
            <w:vAlign w:val="bottom"/>
          </w:tcPr>
          <w:p w:rsidR="00333944" w:rsidRPr="0071782F" w:rsidRDefault="00C524CD" w:rsidP="000E38AC">
            <w:pPr>
              <w:suppressAutoHyphens w:val="0"/>
              <w:spacing w:before="60" w:after="60" w:line="220" w:lineRule="exact"/>
              <w:jc w:val="right"/>
              <w:rPr>
                <w:i/>
                <w:sz w:val="16"/>
                <w:szCs w:val="16"/>
                <w:lang w:val="fr-CH"/>
              </w:rPr>
            </w:pPr>
            <w:r w:rsidRPr="0071782F">
              <w:rPr>
                <w:i/>
                <w:sz w:val="16"/>
                <w:szCs w:val="16"/>
                <w:lang w:val="fr-CH"/>
              </w:rPr>
              <w:t>Montan</w:t>
            </w:r>
            <w:r w:rsidR="00333944" w:rsidRPr="0071782F">
              <w:rPr>
                <w:i/>
                <w:sz w:val="16"/>
                <w:szCs w:val="16"/>
                <w:lang w:val="fr-CH"/>
              </w:rPr>
              <w:t>t</w:t>
            </w:r>
          </w:p>
        </w:tc>
        <w:tc>
          <w:tcPr>
            <w:tcW w:w="872" w:type="dxa"/>
            <w:tcBorders>
              <w:top w:val="single" w:sz="4" w:space="0" w:color="auto"/>
              <w:bottom w:val="single" w:sz="12" w:space="0" w:color="auto"/>
            </w:tcBorders>
            <w:shd w:val="clear" w:color="000000" w:fill="auto"/>
            <w:vAlign w:val="bottom"/>
          </w:tcPr>
          <w:p w:rsidR="00333944" w:rsidRPr="0071782F" w:rsidRDefault="00C524CD" w:rsidP="000E38AC">
            <w:pPr>
              <w:suppressAutoHyphens w:val="0"/>
              <w:spacing w:before="60" w:after="60" w:line="220" w:lineRule="exact"/>
              <w:jc w:val="right"/>
              <w:rPr>
                <w:i/>
                <w:sz w:val="16"/>
                <w:szCs w:val="16"/>
                <w:lang w:val="fr-CH"/>
              </w:rPr>
            </w:pPr>
            <w:r w:rsidRPr="0071782F">
              <w:rPr>
                <w:i/>
                <w:sz w:val="16"/>
                <w:szCs w:val="16"/>
                <w:lang w:val="fr-CH"/>
              </w:rPr>
              <w:t xml:space="preserve">Coût unitaire </w:t>
            </w:r>
          </w:p>
        </w:tc>
        <w:tc>
          <w:tcPr>
            <w:tcW w:w="1010" w:type="dxa"/>
            <w:vMerge/>
            <w:tcBorders>
              <w:top w:val="single" w:sz="12" w:space="0" w:color="auto"/>
              <w:bottom w:val="single" w:sz="12" w:space="0" w:color="auto"/>
            </w:tcBorders>
            <w:shd w:val="clear" w:color="000000" w:fill="auto"/>
            <w:vAlign w:val="bottom"/>
          </w:tcPr>
          <w:p w:rsidR="00333944" w:rsidRPr="0071782F" w:rsidRDefault="00333944" w:rsidP="000E38AC">
            <w:pPr>
              <w:suppressAutoHyphens w:val="0"/>
              <w:spacing w:before="60" w:after="60" w:line="220" w:lineRule="exact"/>
              <w:jc w:val="right"/>
              <w:rPr>
                <w:b/>
                <w:sz w:val="18"/>
                <w:lang w:val="fr-CH"/>
              </w:rPr>
            </w:pPr>
          </w:p>
        </w:tc>
      </w:tr>
      <w:tr w:rsidR="00333944" w:rsidRPr="0071782F">
        <w:tc>
          <w:tcPr>
            <w:tcW w:w="4619" w:type="dxa"/>
            <w:tcBorders>
              <w:top w:val="single" w:sz="12" w:space="0" w:color="auto"/>
            </w:tcBorders>
            <w:shd w:val="clear" w:color="000000" w:fill="auto"/>
          </w:tcPr>
          <w:p w:rsidR="00333944" w:rsidRPr="0071782F" w:rsidRDefault="00333944" w:rsidP="00C232FA">
            <w:pPr>
              <w:suppressAutoHyphens w:val="0"/>
              <w:spacing w:before="40" w:after="40" w:line="220" w:lineRule="exact"/>
              <w:rPr>
                <w:sz w:val="18"/>
                <w:lang w:val="fr-CH"/>
              </w:rPr>
            </w:pPr>
            <w:r w:rsidRPr="0071782F">
              <w:rPr>
                <w:sz w:val="18"/>
                <w:lang w:val="fr-CH"/>
              </w:rPr>
              <w:t>30</w:t>
            </w:r>
            <w:r w:rsidR="00A9385B" w:rsidRPr="0071782F">
              <w:rPr>
                <w:sz w:val="18"/>
                <w:lang w:val="fr-CH"/>
              </w:rPr>
              <w:t xml:space="preserve"> </w:t>
            </w:r>
            <w:r w:rsidRPr="0071782F">
              <w:rPr>
                <w:sz w:val="18"/>
                <w:lang w:val="fr-CH"/>
              </w:rPr>
              <w:t xml:space="preserve">435 </w:t>
            </w:r>
            <w:r w:rsidR="00A9385B" w:rsidRPr="0071782F">
              <w:rPr>
                <w:sz w:val="18"/>
                <w:lang w:val="fr-CH"/>
              </w:rPr>
              <w:t>programmes pour l’emploi et l’</w:t>
            </w:r>
            <w:r w:rsidRPr="0071782F">
              <w:rPr>
                <w:sz w:val="18"/>
                <w:lang w:val="fr-CH"/>
              </w:rPr>
              <w:t>entrepreneur</w:t>
            </w:r>
            <w:r w:rsidR="00A9385B" w:rsidRPr="0071782F">
              <w:rPr>
                <w:sz w:val="18"/>
                <w:lang w:val="fr-CH"/>
              </w:rPr>
              <w:t>iat</w:t>
            </w:r>
          </w:p>
        </w:tc>
        <w:tc>
          <w:tcPr>
            <w:tcW w:w="1043" w:type="dxa"/>
            <w:tcBorders>
              <w:top w:val="single" w:sz="12" w:space="0" w:color="auto"/>
            </w:tcBorders>
            <w:shd w:val="clear" w:color="000000" w:fill="auto"/>
            <w:vAlign w:val="bottom"/>
          </w:tcPr>
          <w:p w:rsidR="00333944" w:rsidRPr="0071782F" w:rsidRDefault="00333944" w:rsidP="00B71235">
            <w:pPr>
              <w:suppressAutoHyphens w:val="0"/>
              <w:spacing w:before="40" w:after="40" w:line="220" w:lineRule="exact"/>
              <w:ind w:left="57"/>
              <w:rPr>
                <w:sz w:val="18"/>
                <w:lang w:val="fr-CH"/>
              </w:rPr>
            </w:pPr>
          </w:p>
        </w:tc>
        <w:tc>
          <w:tcPr>
            <w:tcW w:w="961" w:type="dxa"/>
            <w:tcBorders>
              <w:top w:val="single" w:sz="12" w:space="0" w:color="auto"/>
            </w:tcBorders>
            <w:shd w:val="clear" w:color="000000" w:fill="auto"/>
            <w:vAlign w:val="bottom"/>
          </w:tcPr>
          <w:p w:rsidR="00333944" w:rsidRPr="0071782F" w:rsidRDefault="00333944" w:rsidP="00C232FA">
            <w:pPr>
              <w:suppressAutoHyphens w:val="0"/>
              <w:spacing w:before="40" w:after="40" w:line="220" w:lineRule="exact"/>
              <w:jc w:val="right"/>
              <w:rPr>
                <w:sz w:val="18"/>
                <w:lang w:val="fr-CH"/>
              </w:rPr>
            </w:pPr>
          </w:p>
        </w:tc>
        <w:tc>
          <w:tcPr>
            <w:tcW w:w="872" w:type="dxa"/>
            <w:tcBorders>
              <w:top w:val="single" w:sz="12" w:space="0" w:color="auto"/>
            </w:tcBorders>
            <w:shd w:val="clear" w:color="000000" w:fill="auto"/>
            <w:vAlign w:val="bottom"/>
          </w:tcPr>
          <w:p w:rsidR="00333944" w:rsidRPr="0071782F" w:rsidRDefault="00333944" w:rsidP="00C232FA">
            <w:pPr>
              <w:suppressAutoHyphens w:val="0"/>
              <w:spacing w:before="40" w:after="40" w:line="220" w:lineRule="exact"/>
              <w:jc w:val="right"/>
              <w:rPr>
                <w:sz w:val="18"/>
                <w:lang w:val="fr-CH"/>
              </w:rPr>
            </w:pPr>
          </w:p>
        </w:tc>
        <w:tc>
          <w:tcPr>
            <w:tcW w:w="1010" w:type="dxa"/>
            <w:tcBorders>
              <w:top w:val="single" w:sz="12" w:space="0" w:color="auto"/>
            </w:tcBorders>
            <w:shd w:val="clear" w:color="000000" w:fill="auto"/>
            <w:vAlign w:val="bottom"/>
          </w:tcPr>
          <w:p w:rsidR="00333944" w:rsidRPr="0071782F" w:rsidRDefault="00333944" w:rsidP="00C232FA">
            <w:pPr>
              <w:suppressAutoHyphens w:val="0"/>
              <w:spacing w:before="40" w:after="40" w:line="220" w:lineRule="exact"/>
              <w:jc w:val="right"/>
              <w:rPr>
                <w:b/>
                <w:sz w:val="18"/>
                <w:lang w:val="fr-CH"/>
              </w:rPr>
            </w:pPr>
            <w:r w:rsidRPr="0071782F">
              <w:rPr>
                <w:b/>
                <w:sz w:val="18"/>
                <w:lang w:val="fr-CH"/>
              </w:rPr>
              <w:t>293 650</w:t>
            </w:r>
          </w:p>
        </w:tc>
      </w:tr>
      <w:tr w:rsidR="00333944" w:rsidRPr="0071782F">
        <w:tc>
          <w:tcPr>
            <w:tcW w:w="4619" w:type="dxa"/>
            <w:shd w:val="clear" w:color="000000" w:fill="auto"/>
          </w:tcPr>
          <w:p w:rsidR="00333944" w:rsidRPr="0071782F" w:rsidRDefault="00A9385B" w:rsidP="00C232FA">
            <w:pPr>
              <w:suppressAutoHyphens w:val="0"/>
              <w:spacing w:before="40" w:after="40" w:line="220" w:lineRule="exact"/>
              <w:rPr>
                <w:sz w:val="18"/>
                <w:lang w:val="fr-CH"/>
              </w:rPr>
            </w:pPr>
            <w:r w:rsidRPr="0071782F">
              <w:rPr>
                <w:sz w:val="18"/>
                <w:lang w:val="fr-CH"/>
              </w:rPr>
              <w:t>Octroi des aides nécessaires à</w:t>
            </w:r>
            <w:r w:rsidR="00333944" w:rsidRPr="0071782F">
              <w:rPr>
                <w:sz w:val="18"/>
                <w:lang w:val="fr-CH"/>
              </w:rPr>
              <w:t xml:space="preserve"> </w:t>
            </w:r>
            <w:r w:rsidRPr="0071782F">
              <w:rPr>
                <w:sz w:val="18"/>
                <w:lang w:val="fr-CH"/>
              </w:rPr>
              <w:t>l’</w:t>
            </w:r>
            <w:r w:rsidR="00333944" w:rsidRPr="0071782F">
              <w:rPr>
                <w:sz w:val="18"/>
                <w:lang w:val="fr-CH"/>
              </w:rPr>
              <w:t xml:space="preserve">expansion </w:t>
            </w:r>
            <w:r w:rsidRPr="0071782F">
              <w:rPr>
                <w:sz w:val="18"/>
                <w:lang w:val="fr-CH"/>
              </w:rPr>
              <w:t>des groupes privés qui fournissent une</w:t>
            </w:r>
            <w:r w:rsidR="00333944" w:rsidRPr="0071782F">
              <w:rPr>
                <w:sz w:val="18"/>
                <w:lang w:val="fr-CH"/>
              </w:rPr>
              <w:t xml:space="preserve"> assist</w:t>
            </w:r>
            <w:r w:rsidRPr="0071782F">
              <w:rPr>
                <w:sz w:val="18"/>
                <w:lang w:val="fr-CH"/>
              </w:rPr>
              <w:t xml:space="preserve">ance aux femmes chefs </w:t>
            </w:r>
            <w:r w:rsidR="0092511D" w:rsidRPr="0071782F">
              <w:rPr>
                <w:sz w:val="18"/>
                <w:lang w:val="fr-CH"/>
              </w:rPr>
              <w:t>de famille</w:t>
            </w:r>
            <w:r w:rsidRPr="0071782F">
              <w:rPr>
                <w:sz w:val="18"/>
                <w:lang w:val="fr-CH"/>
              </w:rPr>
              <w:t xml:space="preserve"> </w:t>
            </w:r>
          </w:p>
        </w:tc>
        <w:tc>
          <w:tcPr>
            <w:tcW w:w="1043" w:type="dxa"/>
            <w:shd w:val="clear" w:color="000000"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A9385B" w:rsidRPr="0071782F">
              <w:rPr>
                <w:sz w:val="18"/>
                <w:lang w:val="fr-CH"/>
              </w:rPr>
              <w:t>ne</w:t>
            </w:r>
          </w:p>
        </w:tc>
        <w:tc>
          <w:tcPr>
            <w:tcW w:w="961" w:type="dxa"/>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500</w:t>
            </w:r>
          </w:p>
        </w:tc>
        <w:tc>
          <w:tcPr>
            <w:tcW w:w="872" w:type="dxa"/>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30</w:t>
            </w:r>
          </w:p>
        </w:tc>
        <w:tc>
          <w:tcPr>
            <w:tcW w:w="1010" w:type="dxa"/>
            <w:shd w:val="clear" w:color="000000" w:fill="auto"/>
            <w:vAlign w:val="bottom"/>
          </w:tcPr>
          <w:p w:rsidR="00333944" w:rsidRPr="0071782F" w:rsidRDefault="00333944" w:rsidP="00C232FA">
            <w:pPr>
              <w:suppressAutoHyphens w:val="0"/>
              <w:spacing w:before="40" w:after="40" w:line="220" w:lineRule="exact"/>
              <w:jc w:val="right"/>
              <w:rPr>
                <w:b/>
                <w:sz w:val="18"/>
                <w:lang w:val="fr-CH"/>
              </w:rPr>
            </w:pPr>
            <w:r w:rsidRPr="0071782F">
              <w:rPr>
                <w:b/>
                <w:sz w:val="18"/>
                <w:lang w:val="fr-CH"/>
              </w:rPr>
              <w:t>15 000</w:t>
            </w:r>
          </w:p>
        </w:tc>
      </w:tr>
      <w:tr w:rsidR="00333944" w:rsidRPr="0071782F">
        <w:tc>
          <w:tcPr>
            <w:tcW w:w="4619" w:type="dxa"/>
            <w:shd w:val="clear" w:color="000000" w:fill="auto"/>
          </w:tcPr>
          <w:p w:rsidR="00333944" w:rsidRPr="0071782F" w:rsidRDefault="00333944" w:rsidP="00C232FA">
            <w:pPr>
              <w:suppressAutoHyphens w:val="0"/>
              <w:spacing w:before="40" w:after="40" w:line="220" w:lineRule="exact"/>
              <w:rPr>
                <w:sz w:val="18"/>
                <w:lang w:val="fr-CH"/>
              </w:rPr>
            </w:pPr>
            <w:r w:rsidRPr="0071782F">
              <w:rPr>
                <w:sz w:val="18"/>
                <w:lang w:val="fr-CH"/>
              </w:rPr>
              <w:t>Pa</w:t>
            </w:r>
            <w:r w:rsidR="009049EC" w:rsidRPr="0071782F">
              <w:rPr>
                <w:sz w:val="18"/>
                <w:lang w:val="fr-CH"/>
              </w:rPr>
              <w:t xml:space="preserve">iement d’aides résiduelles </w:t>
            </w:r>
            <w:r w:rsidR="00175962" w:rsidRPr="0071782F">
              <w:rPr>
                <w:sz w:val="18"/>
                <w:lang w:val="fr-CH"/>
              </w:rPr>
              <w:t>aux personnes</w:t>
            </w:r>
            <w:r w:rsidR="009049EC" w:rsidRPr="0071782F">
              <w:rPr>
                <w:sz w:val="18"/>
                <w:lang w:val="fr-CH"/>
              </w:rPr>
              <w:t xml:space="preserve"> prises en charge qui ont été tuées ou blessées à la suite de catastrophes naturelles pendant l’année en cours ou les années antérieures </w:t>
            </w:r>
          </w:p>
        </w:tc>
        <w:tc>
          <w:tcPr>
            <w:tcW w:w="1043" w:type="dxa"/>
            <w:shd w:val="clear" w:color="000000"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A9385B" w:rsidRPr="0071782F">
              <w:rPr>
                <w:sz w:val="18"/>
                <w:lang w:val="fr-CH"/>
              </w:rPr>
              <w:t>ne</w:t>
            </w:r>
          </w:p>
        </w:tc>
        <w:tc>
          <w:tcPr>
            <w:tcW w:w="961" w:type="dxa"/>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20</w:t>
            </w:r>
          </w:p>
        </w:tc>
        <w:tc>
          <w:tcPr>
            <w:tcW w:w="872" w:type="dxa"/>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30</w:t>
            </w:r>
          </w:p>
        </w:tc>
        <w:tc>
          <w:tcPr>
            <w:tcW w:w="1010" w:type="dxa"/>
            <w:shd w:val="clear" w:color="000000" w:fill="auto"/>
            <w:vAlign w:val="bottom"/>
          </w:tcPr>
          <w:p w:rsidR="00333944" w:rsidRPr="0071782F" w:rsidRDefault="00333944" w:rsidP="00C232FA">
            <w:pPr>
              <w:suppressAutoHyphens w:val="0"/>
              <w:spacing w:before="40" w:after="40" w:line="220" w:lineRule="exact"/>
              <w:jc w:val="right"/>
              <w:rPr>
                <w:b/>
                <w:sz w:val="18"/>
                <w:lang w:val="fr-CH"/>
              </w:rPr>
            </w:pPr>
            <w:r w:rsidRPr="0071782F">
              <w:rPr>
                <w:b/>
                <w:sz w:val="18"/>
                <w:lang w:val="fr-CH"/>
              </w:rPr>
              <w:t>600</w:t>
            </w:r>
          </w:p>
        </w:tc>
      </w:tr>
      <w:tr w:rsidR="00333944" w:rsidRPr="0071782F">
        <w:tc>
          <w:tcPr>
            <w:tcW w:w="4619" w:type="dxa"/>
            <w:tcBorders>
              <w:bottom w:val="nil"/>
            </w:tcBorders>
            <w:shd w:val="clear" w:color="000000" w:fill="auto"/>
          </w:tcPr>
          <w:p w:rsidR="00333944" w:rsidRPr="0071782F" w:rsidRDefault="00333944" w:rsidP="00C232FA">
            <w:pPr>
              <w:suppressAutoHyphens w:val="0"/>
              <w:spacing w:before="40" w:after="40" w:line="220" w:lineRule="exact"/>
              <w:rPr>
                <w:sz w:val="18"/>
                <w:lang w:val="fr-CH"/>
              </w:rPr>
            </w:pPr>
            <w:r w:rsidRPr="0071782F">
              <w:rPr>
                <w:sz w:val="18"/>
                <w:lang w:val="fr-CH"/>
              </w:rPr>
              <w:t>Co</w:t>
            </w:r>
            <w:r w:rsidR="00F9071B" w:rsidRPr="0071782F">
              <w:rPr>
                <w:sz w:val="18"/>
                <w:lang w:val="fr-CH"/>
              </w:rPr>
              <w:t xml:space="preserve">ût de la formation technique et professionnelle pour l’emploi </w:t>
            </w:r>
            <w:r w:rsidR="007F37CE" w:rsidRPr="0071782F">
              <w:rPr>
                <w:sz w:val="18"/>
                <w:lang w:val="fr-CH"/>
              </w:rPr>
              <w:t>des personnes</w:t>
            </w:r>
            <w:r w:rsidR="00F9071B" w:rsidRPr="0071782F">
              <w:rPr>
                <w:sz w:val="18"/>
                <w:lang w:val="fr-CH"/>
              </w:rPr>
              <w:t xml:space="preserve"> handicapées et </w:t>
            </w:r>
            <w:r w:rsidR="007F37CE" w:rsidRPr="0071782F">
              <w:rPr>
                <w:sz w:val="18"/>
                <w:lang w:val="fr-CH"/>
              </w:rPr>
              <w:t>des personnes</w:t>
            </w:r>
            <w:r w:rsidR="00F9071B" w:rsidRPr="0071782F">
              <w:rPr>
                <w:sz w:val="18"/>
                <w:lang w:val="fr-CH"/>
              </w:rPr>
              <w:t xml:space="preserve"> démunies </w:t>
            </w:r>
            <w:r w:rsidRPr="0071782F">
              <w:rPr>
                <w:sz w:val="18"/>
                <w:lang w:val="fr-CH"/>
              </w:rPr>
              <w:t>(</w:t>
            </w:r>
            <w:r w:rsidR="00F9071B" w:rsidRPr="0071782F">
              <w:rPr>
                <w:sz w:val="18"/>
                <w:lang w:val="fr-CH"/>
              </w:rPr>
              <w:t>femmes et enfants sans tuteur</w:t>
            </w:r>
            <w:r w:rsidRPr="0071782F">
              <w:rPr>
                <w:sz w:val="18"/>
                <w:lang w:val="fr-CH"/>
              </w:rPr>
              <w:t>)</w:t>
            </w:r>
          </w:p>
        </w:tc>
        <w:tc>
          <w:tcPr>
            <w:tcW w:w="1043" w:type="dxa"/>
            <w:tcBorders>
              <w:bottom w:val="nil"/>
            </w:tcBorders>
            <w:shd w:val="clear" w:color="000000"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A9385B" w:rsidRPr="0071782F">
              <w:rPr>
                <w:sz w:val="18"/>
                <w:lang w:val="fr-CH"/>
              </w:rPr>
              <w:t>ne</w:t>
            </w:r>
          </w:p>
        </w:tc>
        <w:tc>
          <w:tcPr>
            <w:tcW w:w="961" w:type="dxa"/>
            <w:tcBorders>
              <w:bottom w:val="nil"/>
            </w:tcBorders>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3 000</w:t>
            </w:r>
          </w:p>
        </w:tc>
        <w:tc>
          <w:tcPr>
            <w:tcW w:w="872" w:type="dxa"/>
            <w:tcBorders>
              <w:bottom w:val="nil"/>
            </w:tcBorders>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w:t>
            </w:r>
          </w:p>
        </w:tc>
        <w:tc>
          <w:tcPr>
            <w:tcW w:w="1010" w:type="dxa"/>
            <w:tcBorders>
              <w:bottom w:val="nil"/>
            </w:tcBorders>
            <w:shd w:val="clear" w:color="000000" w:fill="auto"/>
            <w:vAlign w:val="bottom"/>
          </w:tcPr>
          <w:p w:rsidR="00333944" w:rsidRPr="0071782F" w:rsidRDefault="00333944" w:rsidP="00C232FA">
            <w:pPr>
              <w:suppressAutoHyphens w:val="0"/>
              <w:spacing w:before="40" w:after="40" w:line="220" w:lineRule="exact"/>
              <w:jc w:val="right"/>
              <w:rPr>
                <w:b/>
                <w:sz w:val="18"/>
                <w:lang w:val="fr-CH"/>
              </w:rPr>
            </w:pPr>
            <w:r w:rsidRPr="0071782F">
              <w:rPr>
                <w:b/>
                <w:sz w:val="18"/>
                <w:lang w:val="fr-CH"/>
              </w:rPr>
              <w:t>6 000</w:t>
            </w:r>
          </w:p>
        </w:tc>
      </w:tr>
      <w:tr w:rsidR="00333944" w:rsidRPr="0071782F">
        <w:tc>
          <w:tcPr>
            <w:tcW w:w="4619" w:type="dxa"/>
            <w:tcBorders>
              <w:top w:val="nil"/>
              <w:bottom w:val="nil"/>
            </w:tcBorders>
            <w:shd w:val="clear" w:color="000000" w:fill="auto"/>
          </w:tcPr>
          <w:p w:rsidR="00333944" w:rsidRPr="0071782F" w:rsidRDefault="00F9071B" w:rsidP="00C232FA">
            <w:pPr>
              <w:suppressAutoHyphens w:val="0"/>
              <w:spacing w:before="40" w:after="40" w:line="220" w:lineRule="exact"/>
              <w:rPr>
                <w:sz w:val="18"/>
                <w:lang w:val="fr-CH"/>
              </w:rPr>
            </w:pPr>
            <w:r w:rsidRPr="0071782F">
              <w:rPr>
                <w:sz w:val="18"/>
                <w:lang w:val="fr-CH"/>
              </w:rPr>
              <w:t xml:space="preserve">Octroi d’aides pour le paiement des cotisations sociales des employeurs qui engagent </w:t>
            </w:r>
            <w:r w:rsidR="007F37CE" w:rsidRPr="0071782F">
              <w:rPr>
                <w:sz w:val="18"/>
                <w:lang w:val="fr-CH"/>
              </w:rPr>
              <w:t>des personnes</w:t>
            </w:r>
            <w:r w:rsidRPr="0071782F">
              <w:rPr>
                <w:sz w:val="18"/>
                <w:lang w:val="fr-CH"/>
              </w:rPr>
              <w:t xml:space="preserve"> handicapées et </w:t>
            </w:r>
            <w:r w:rsidR="007F37CE" w:rsidRPr="0071782F">
              <w:rPr>
                <w:sz w:val="18"/>
                <w:lang w:val="fr-CH"/>
              </w:rPr>
              <w:t>des personnes</w:t>
            </w:r>
            <w:r w:rsidRPr="0071782F">
              <w:rPr>
                <w:sz w:val="18"/>
                <w:lang w:val="fr-CH"/>
              </w:rPr>
              <w:t xml:space="preserve"> démunies</w:t>
            </w:r>
            <w:r w:rsidR="00D36718">
              <w:rPr>
                <w:sz w:val="18"/>
                <w:lang w:val="fr-CH"/>
              </w:rPr>
              <w:t xml:space="preserve"> </w:t>
            </w:r>
            <w:r w:rsidRPr="0071782F">
              <w:rPr>
                <w:sz w:val="18"/>
                <w:lang w:val="fr-CH"/>
              </w:rPr>
              <w:t>dans le secteur privé</w:t>
            </w:r>
            <w:r w:rsidR="00333944" w:rsidRPr="0071782F">
              <w:rPr>
                <w:sz w:val="18"/>
                <w:lang w:val="fr-CH"/>
              </w:rPr>
              <w:t xml:space="preserve"> </w:t>
            </w:r>
          </w:p>
        </w:tc>
        <w:tc>
          <w:tcPr>
            <w:tcW w:w="1043" w:type="dxa"/>
            <w:tcBorders>
              <w:top w:val="nil"/>
              <w:bottom w:val="nil"/>
            </w:tcBorders>
            <w:shd w:val="clear" w:color="000000"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A9385B" w:rsidRPr="0071782F">
              <w:rPr>
                <w:sz w:val="18"/>
                <w:lang w:val="fr-CH"/>
              </w:rPr>
              <w:t>ne</w:t>
            </w:r>
          </w:p>
        </w:tc>
        <w:tc>
          <w:tcPr>
            <w:tcW w:w="961" w:type="dxa"/>
            <w:tcBorders>
              <w:top w:val="nil"/>
              <w:bottom w:val="nil"/>
            </w:tcBorders>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10 000</w:t>
            </w:r>
          </w:p>
        </w:tc>
        <w:tc>
          <w:tcPr>
            <w:tcW w:w="872" w:type="dxa"/>
            <w:tcBorders>
              <w:top w:val="nil"/>
              <w:bottom w:val="nil"/>
            </w:tcBorders>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5</w:t>
            </w:r>
          </w:p>
        </w:tc>
        <w:tc>
          <w:tcPr>
            <w:tcW w:w="1010" w:type="dxa"/>
            <w:tcBorders>
              <w:top w:val="nil"/>
              <w:bottom w:val="nil"/>
            </w:tcBorders>
            <w:shd w:val="clear" w:color="000000" w:fill="auto"/>
            <w:vAlign w:val="bottom"/>
          </w:tcPr>
          <w:p w:rsidR="00333944" w:rsidRPr="0071782F" w:rsidRDefault="00333944" w:rsidP="00C232FA">
            <w:pPr>
              <w:suppressAutoHyphens w:val="0"/>
              <w:spacing w:before="40" w:after="40" w:line="220" w:lineRule="exact"/>
              <w:jc w:val="right"/>
              <w:rPr>
                <w:b/>
                <w:sz w:val="18"/>
                <w:lang w:val="fr-CH"/>
              </w:rPr>
            </w:pPr>
            <w:r w:rsidRPr="0071782F">
              <w:rPr>
                <w:b/>
                <w:sz w:val="18"/>
                <w:lang w:val="fr-CH"/>
              </w:rPr>
              <w:t>50 000</w:t>
            </w:r>
          </w:p>
        </w:tc>
      </w:tr>
      <w:tr w:rsidR="00333944" w:rsidRPr="0071782F">
        <w:tc>
          <w:tcPr>
            <w:tcW w:w="4619" w:type="dxa"/>
            <w:tcBorders>
              <w:top w:val="nil"/>
              <w:bottom w:val="nil"/>
            </w:tcBorders>
            <w:shd w:val="clear" w:color="000000" w:fill="auto"/>
          </w:tcPr>
          <w:p w:rsidR="00333944" w:rsidRPr="0071782F" w:rsidRDefault="00F9071B" w:rsidP="00C232FA">
            <w:pPr>
              <w:suppressAutoHyphens w:val="0"/>
              <w:spacing w:before="40" w:after="40" w:line="220" w:lineRule="exact"/>
              <w:rPr>
                <w:sz w:val="18"/>
                <w:lang w:val="fr-CH"/>
              </w:rPr>
            </w:pPr>
            <w:r w:rsidRPr="0071782F">
              <w:rPr>
                <w:sz w:val="18"/>
                <w:lang w:val="fr-CH"/>
              </w:rPr>
              <w:t xml:space="preserve">Création d’emplois dans les secteurs public et privé pour les enfants pris en charge par l’organisation </w:t>
            </w:r>
          </w:p>
        </w:tc>
        <w:tc>
          <w:tcPr>
            <w:tcW w:w="1043" w:type="dxa"/>
            <w:tcBorders>
              <w:top w:val="nil"/>
              <w:bottom w:val="nil"/>
            </w:tcBorders>
            <w:shd w:val="clear" w:color="000000"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A9385B" w:rsidRPr="0071782F">
              <w:rPr>
                <w:sz w:val="18"/>
                <w:lang w:val="fr-CH"/>
              </w:rPr>
              <w:t>ne</w:t>
            </w:r>
          </w:p>
        </w:tc>
        <w:tc>
          <w:tcPr>
            <w:tcW w:w="961" w:type="dxa"/>
            <w:tcBorders>
              <w:top w:val="nil"/>
              <w:bottom w:val="nil"/>
            </w:tcBorders>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300</w:t>
            </w:r>
          </w:p>
        </w:tc>
        <w:tc>
          <w:tcPr>
            <w:tcW w:w="872" w:type="dxa"/>
            <w:tcBorders>
              <w:top w:val="nil"/>
              <w:bottom w:val="nil"/>
            </w:tcBorders>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30</w:t>
            </w:r>
          </w:p>
        </w:tc>
        <w:tc>
          <w:tcPr>
            <w:tcW w:w="1010" w:type="dxa"/>
            <w:tcBorders>
              <w:top w:val="nil"/>
              <w:bottom w:val="nil"/>
            </w:tcBorders>
            <w:shd w:val="clear" w:color="000000" w:fill="auto"/>
            <w:vAlign w:val="bottom"/>
          </w:tcPr>
          <w:p w:rsidR="00333944" w:rsidRPr="0071782F" w:rsidRDefault="00333944" w:rsidP="00C232FA">
            <w:pPr>
              <w:suppressAutoHyphens w:val="0"/>
              <w:spacing w:before="40" w:after="40" w:line="220" w:lineRule="exact"/>
              <w:jc w:val="right"/>
              <w:rPr>
                <w:b/>
                <w:sz w:val="18"/>
                <w:lang w:val="fr-CH"/>
              </w:rPr>
            </w:pPr>
            <w:r w:rsidRPr="0071782F">
              <w:rPr>
                <w:b/>
                <w:sz w:val="18"/>
                <w:lang w:val="fr-CH"/>
              </w:rPr>
              <w:t>9 000</w:t>
            </w:r>
          </w:p>
        </w:tc>
      </w:tr>
      <w:tr w:rsidR="00333944" w:rsidRPr="0071782F">
        <w:tc>
          <w:tcPr>
            <w:tcW w:w="4619" w:type="dxa"/>
            <w:tcBorders>
              <w:top w:val="nil"/>
              <w:bottom w:val="nil"/>
            </w:tcBorders>
            <w:shd w:val="clear" w:color="000000" w:fill="auto"/>
          </w:tcPr>
          <w:p w:rsidR="00333944" w:rsidRPr="0071782F" w:rsidRDefault="00F9071B" w:rsidP="00C232FA">
            <w:pPr>
              <w:suppressAutoHyphens w:val="0"/>
              <w:spacing w:before="40" w:after="40" w:line="220" w:lineRule="exact"/>
              <w:rPr>
                <w:sz w:val="18"/>
                <w:lang w:val="fr-CH"/>
              </w:rPr>
            </w:pPr>
            <w:r w:rsidRPr="0071782F">
              <w:rPr>
                <w:sz w:val="18"/>
                <w:lang w:val="fr-CH"/>
              </w:rPr>
              <w:t xml:space="preserve">Création d’emplois pour la population cible des régions nomades et défavorisées </w:t>
            </w:r>
          </w:p>
        </w:tc>
        <w:tc>
          <w:tcPr>
            <w:tcW w:w="1043" w:type="dxa"/>
            <w:tcBorders>
              <w:top w:val="nil"/>
              <w:bottom w:val="nil"/>
            </w:tcBorders>
            <w:shd w:val="clear" w:color="000000"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A9385B" w:rsidRPr="0071782F">
              <w:rPr>
                <w:sz w:val="18"/>
                <w:lang w:val="fr-CH"/>
              </w:rPr>
              <w:t>ne</w:t>
            </w:r>
          </w:p>
        </w:tc>
        <w:tc>
          <w:tcPr>
            <w:tcW w:w="961" w:type="dxa"/>
            <w:tcBorders>
              <w:top w:val="nil"/>
              <w:bottom w:val="nil"/>
            </w:tcBorders>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600</w:t>
            </w:r>
          </w:p>
        </w:tc>
        <w:tc>
          <w:tcPr>
            <w:tcW w:w="872" w:type="dxa"/>
            <w:tcBorders>
              <w:top w:val="nil"/>
              <w:bottom w:val="nil"/>
            </w:tcBorders>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30</w:t>
            </w:r>
          </w:p>
        </w:tc>
        <w:tc>
          <w:tcPr>
            <w:tcW w:w="1010" w:type="dxa"/>
            <w:tcBorders>
              <w:top w:val="nil"/>
              <w:bottom w:val="nil"/>
            </w:tcBorders>
            <w:shd w:val="clear" w:color="000000" w:fill="auto"/>
            <w:vAlign w:val="bottom"/>
          </w:tcPr>
          <w:p w:rsidR="00333944" w:rsidRPr="0071782F" w:rsidRDefault="00333944" w:rsidP="00C232FA">
            <w:pPr>
              <w:suppressAutoHyphens w:val="0"/>
              <w:spacing w:before="40" w:after="40" w:line="220" w:lineRule="exact"/>
              <w:jc w:val="right"/>
              <w:rPr>
                <w:b/>
                <w:sz w:val="18"/>
                <w:lang w:val="fr-CH"/>
              </w:rPr>
            </w:pPr>
            <w:r w:rsidRPr="0071782F">
              <w:rPr>
                <w:b/>
                <w:sz w:val="18"/>
                <w:lang w:val="fr-CH"/>
              </w:rPr>
              <w:t>18 000</w:t>
            </w:r>
          </w:p>
        </w:tc>
      </w:tr>
      <w:tr w:rsidR="00333944" w:rsidRPr="0071782F">
        <w:tc>
          <w:tcPr>
            <w:tcW w:w="4619" w:type="dxa"/>
            <w:tcBorders>
              <w:top w:val="nil"/>
              <w:bottom w:val="nil"/>
            </w:tcBorders>
            <w:shd w:val="clear" w:color="000000" w:fill="auto"/>
          </w:tcPr>
          <w:p w:rsidR="00333944" w:rsidRPr="0071782F" w:rsidRDefault="00F9071B" w:rsidP="00C232FA">
            <w:pPr>
              <w:suppressAutoHyphens w:val="0"/>
              <w:spacing w:before="40" w:after="40" w:line="220" w:lineRule="exact"/>
              <w:rPr>
                <w:sz w:val="18"/>
                <w:lang w:val="fr-CH"/>
              </w:rPr>
            </w:pPr>
            <w:r w:rsidRPr="0071782F">
              <w:rPr>
                <w:sz w:val="18"/>
                <w:lang w:val="fr-CH"/>
              </w:rPr>
              <w:t xml:space="preserve">Services d’appui aux demandeurs d’aide pour la création de coopératives de demandeurs d’aide ou leur adhésion aux coopératives existantes </w:t>
            </w:r>
          </w:p>
        </w:tc>
        <w:tc>
          <w:tcPr>
            <w:tcW w:w="1043" w:type="dxa"/>
            <w:tcBorders>
              <w:top w:val="nil"/>
              <w:bottom w:val="nil"/>
            </w:tcBorders>
            <w:shd w:val="clear" w:color="000000"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A9385B" w:rsidRPr="0071782F">
              <w:rPr>
                <w:sz w:val="18"/>
                <w:lang w:val="fr-CH"/>
              </w:rPr>
              <w:t>ne</w:t>
            </w:r>
          </w:p>
        </w:tc>
        <w:tc>
          <w:tcPr>
            <w:tcW w:w="961" w:type="dxa"/>
            <w:tcBorders>
              <w:top w:val="nil"/>
              <w:bottom w:val="nil"/>
            </w:tcBorders>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3 000</w:t>
            </w:r>
          </w:p>
        </w:tc>
        <w:tc>
          <w:tcPr>
            <w:tcW w:w="872" w:type="dxa"/>
            <w:tcBorders>
              <w:top w:val="nil"/>
              <w:bottom w:val="nil"/>
            </w:tcBorders>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w:t>
            </w:r>
          </w:p>
        </w:tc>
        <w:tc>
          <w:tcPr>
            <w:tcW w:w="1010" w:type="dxa"/>
            <w:tcBorders>
              <w:top w:val="nil"/>
              <w:bottom w:val="nil"/>
            </w:tcBorders>
            <w:shd w:val="clear" w:color="000000" w:fill="auto"/>
            <w:vAlign w:val="bottom"/>
          </w:tcPr>
          <w:p w:rsidR="00333944" w:rsidRPr="0071782F" w:rsidRDefault="00333944" w:rsidP="00C232FA">
            <w:pPr>
              <w:suppressAutoHyphens w:val="0"/>
              <w:spacing w:before="40" w:after="40" w:line="220" w:lineRule="exact"/>
              <w:jc w:val="right"/>
              <w:rPr>
                <w:b/>
                <w:sz w:val="18"/>
                <w:lang w:val="fr-CH"/>
              </w:rPr>
            </w:pPr>
            <w:r w:rsidRPr="0071782F">
              <w:rPr>
                <w:b/>
                <w:sz w:val="18"/>
                <w:lang w:val="fr-CH"/>
              </w:rPr>
              <w:t>3 000</w:t>
            </w:r>
          </w:p>
        </w:tc>
      </w:tr>
      <w:tr w:rsidR="00333944" w:rsidRPr="0071782F">
        <w:tc>
          <w:tcPr>
            <w:tcW w:w="4619" w:type="dxa"/>
            <w:tcBorders>
              <w:top w:val="nil"/>
            </w:tcBorders>
            <w:shd w:val="clear" w:color="000000" w:fill="auto"/>
          </w:tcPr>
          <w:p w:rsidR="00333944" w:rsidRPr="0071782F" w:rsidRDefault="00333944" w:rsidP="00C232FA">
            <w:pPr>
              <w:suppressAutoHyphens w:val="0"/>
              <w:spacing w:before="40" w:after="40" w:line="220" w:lineRule="exact"/>
              <w:rPr>
                <w:sz w:val="18"/>
                <w:lang w:val="fr-CH"/>
              </w:rPr>
            </w:pPr>
            <w:r w:rsidRPr="0071782F">
              <w:rPr>
                <w:sz w:val="18"/>
                <w:lang w:val="fr-CH"/>
              </w:rPr>
              <w:t>Pa</w:t>
            </w:r>
            <w:r w:rsidR="00F9071B" w:rsidRPr="0071782F">
              <w:rPr>
                <w:sz w:val="18"/>
                <w:lang w:val="fr-CH"/>
              </w:rPr>
              <w:t xml:space="preserve">iement des cotisations sociales des travailleurs indépendants de la population cible à hauteur du pourcentage maximal à la charge des employeurs </w:t>
            </w:r>
            <w:r w:rsidRPr="0071782F">
              <w:rPr>
                <w:sz w:val="18"/>
                <w:lang w:val="fr-CH"/>
              </w:rPr>
              <w:t>(23</w:t>
            </w:r>
            <w:r w:rsidR="007E5125" w:rsidRPr="0071782F">
              <w:rPr>
                <w:sz w:val="18"/>
                <w:lang w:val="fr-CH"/>
              </w:rPr>
              <w:t>%</w:t>
            </w:r>
            <w:r w:rsidRPr="0071782F">
              <w:rPr>
                <w:sz w:val="18"/>
                <w:lang w:val="fr-CH"/>
              </w:rPr>
              <w:t>)</w:t>
            </w:r>
          </w:p>
        </w:tc>
        <w:tc>
          <w:tcPr>
            <w:tcW w:w="1043" w:type="dxa"/>
            <w:tcBorders>
              <w:top w:val="nil"/>
            </w:tcBorders>
            <w:shd w:val="clear" w:color="000000"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A9385B" w:rsidRPr="0071782F">
              <w:rPr>
                <w:sz w:val="18"/>
                <w:lang w:val="fr-CH"/>
              </w:rPr>
              <w:t>ne</w:t>
            </w:r>
          </w:p>
        </w:tc>
        <w:tc>
          <w:tcPr>
            <w:tcW w:w="961" w:type="dxa"/>
            <w:tcBorders>
              <w:top w:val="nil"/>
            </w:tcBorders>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10 000</w:t>
            </w:r>
          </w:p>
        </w:tc>
        <w:tc>
          <w:tcPr>
            <w:tcW w:w="872" w:type="dxa"/>
            <w:tcBorders>
              <w:top w:val="nil"/>
            </w:tcBorders>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5</w:t>
            </w:r>
          </w:p>
        </w:tc>
        <w:tc>
          <w:tcPr>
            <w:tcW w:w="1010" w:type="dxa"/>
            <w:tcBorders>
              <w:top w:val="nil"/>
            </w:tcBorders>
            <w:shd w:val="clear" w:color="000000" w:fill="auto"/>
            <w:vAlign w:val="bottom"/>
          </w:tcPr>
          <w:p w:rsidR="00333944" w:rsidRPr="0071782F" w:rsidRDefault="00333944" w:rsidP="00C232FA">
            <w:pPr>
              <w:suppressAutoHyphens w:val="0"/>
              <w:spacing w:before="40" w:after="40" w:line="220" w:lineRule="exact"/>
              <w:jc w:val="right"/>
              <w:rPr>
                <w:b/>
                <w:sz w:val="18"/>
                <w:lang w:val="fr-CH"/>
              </w:rPr>
            </w:pPr>
            <w:r w:rsidRPr="0071782F">
              <w:rPr>
                <w:b/>
                <w:sz w:val="18"/>
                <w:lang w:val="fr-CH"/>
              </w:rPr>
              <w:t>50 000</w:t>
            </w:r>
          </w:p>
        </w:tc>
      </w:tr>
      <w:tr w:rsidR="00333944" w:rsidRPr="0071782F">
        <w:tc>
          <w:tcPr>
            <w:tcW w:w="4619" w:type="dxa"/>
            <w:shd w:val="clear" w:color="000000" w:fill="auto"/>
          </w:tcPr>
          <w:p w:rsidR="00333944" w:rsidRPr="0071782F" w:rsidRDefault="00FE2C96" w:rsidP="00C232FA">
            <w:pPr>
              <w:suppressAutoHyphens w:val="0"/>
              <w:spacing w:before="40" w:after="40" w:line="220" w:lineRule="exact"/>
              <w:rPr>
                <w:sz w:val="18"/>
                <w:lang w:val="fr-CH"/>
              </w:rPr>
            </w:pPr>
            <w:r w:rsidRPr="0071782F">
              <w:rPr>
                <w:sz w:val="18"/>
                <w:lang w:val="fr-CH"/>
              </w:rPr>
              <w:t xml:space="preserve">Services d’appui à la réalisation d’expositions des produits des demandeurs d’aide dans les </w:t>
            </w:r>
            <w:r w:rsidR="00333944" w:rsidRPr="0071782F">
              <w:rPr>
                <w:sz w:val="18"/>
                <w:lang w:val="fr-CH"/>
              </w:rPr>
              <w:t xml:space="preserve">provinces </w:t>
            </w:r>
            <w:r w:rsidRPr="0071782F">
              <w:rPr>
                <w:sz w:val="18"/>
                <w:lang w:val="fr-CH"/>
              </w:rPr>
              <w:t xml:space="preserve">et financement de leurs dépenses de fonctionnement </w:t>
            </w:r>
          </w:p>
        </w:tc>
        <w:tc>
          <w:tcPr>
            <w:tcW w:w="1043" w:type="dxa"/>
            <w:shd w:val="clear" w:color="000000"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Cas</w:t>
            </w:r>
          </w:p>
        </w:tc>
        <w:tc>
          <w:tcPr>
            <w:tcW w:w="961" w:type="dxa"/>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33</w:t>
            </w:r>
          </w:p>
        </w:tc>
        <w:tc>
          <w:tcPr>
            <w:tcW w:w="872" w:type="dxa"/>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200</w:t>
            </w:r>
          </w:p>
        </w:tc>
        <w:tc>
          <w:tcPr>
            <w:tcW w:w="1010" w:type="dxa"/>
            <w:shd w:val="clear" w:color="000000" w:fill="auto"/>
            <w:vAlign w:val="bottom"/>
          </w:tcPr>
          <w:p w:rsidR="00333944" w:rsidRPr="0071782F" w:rsidRDefault="00333944" w:rsidP="00C232FA">
            <w:pPr>
              <w:suppressAutoHyphens w:val="0"/>
              <w:spacing w:before="40" w:after="40" w:line="220" w:lineRule="exact"/>
              <w:jc w:val="right"/>
              <w:rPr>
                <w:b/>
                <w:sz w:val="18"/>
                <w:lang w:val="fr-CH"/>
              </w:rPr>
            </w:pPr>
            <w:r w:rsidRPr="0071782F">
              <w:rPr>
                <w:b/>
                <w:sz w:val="18"/>
                <w:lang w:val="fr-CH"/>
              </w:rPr>
              <w:t>6 600</w:t>
            </w:r>
          </w:p>
        </w:tc>
      </w:tr>
      <w:tr w:rsidR="00333944" w:rsidRPr="0071782F">
        <w:tc>
          <w:tcPr>
            <w:tcW w:w="4619" w:type="dxa"/>
            <w:shd w:val="clear" w:color="000000" w:fill="auto"/>
          </w:tcPr>
          <w:p w:rsidR="00333944" w:rsidRPr="0071782F" w:rsidRDefault="00333944" w:rsidP="00C232FA">
            <w:pPr>
              <w:suppressAutoHyphens w:val="0"/>
              <w:spacing w:before="40" w:after="40" w:line="220" w:lineRule="exact"/>
              <w:rPr>
                <w:spacing w:val="-2"/>
                <w:sz w:val="18"/>
                <w:lang w:val="fr-CH"/>
              </w:rPr>
            </w:pPr>
            <w:r w:rsidRPr="0071782F">
              <w:rPr>
                <w:spacing w:val="-2"/>
                <w:sz w:val="18"/>
                <w:lang w:val="fr-CH"/>
              </w:rPr>
              <w:t>Pa</w:t>
            </w:r>
            <w:r w:rsidR="00FE2C96" w:rsidRPr="0071782F">
              <w:rPr>
                <w:spacing w:val="-2"/>
                <w:sz w:val="18"/>
                <w:lang w:val="fr-CH"/>
              </w:rPr>
              <w:t xml:space="preserve">iement du différentiel d’intérêt et des commissions associés aux crédits pour l’emploi (subventions) octroyés par les banques </w:t>
            </w:r>
          </w:p>
        </w:tc>
        <w:tc>
          <w:tcPr>
            <w:tcW w:w="1043" w:type="dxa"/>
            <w:shd w:val="clear" w:color="000000"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Cas</w:t>
            </w:r>
          </w:p>
        </w:tc>
        <w:tc>
          <w:tcPr>
            <w:tcW w:w="961" w:type="dxa"/>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4 000</w:t>
            </w:r>
          </w:p>
        </w:tc>
        <w:tc>
          <w:tcPr>
            <w:tcW w:w="872" w:type="dxa"/>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2.5</w:t>
            </w:r>
          </w:p>
        </w:tc>
        <w:tc>
          <w:tcPr>
            <w:tcW w:w="1010" w:type="dxa"/>
            <w:shd w:val="clear" w:color="000000" w:fill="auto"/>
            <w:vAlign w:val="bottom"/>
          </w:tcPr>
          <w:p w:rsidR="00333944" w:rsidRPr="0071782F" w:rsidRDefault="00333944" w:rsidP="00C232FA">
            <w:pPr>
              <w:suppressAutoHyphens w:val="0"/>
              <w:spacing w:before="40" w:after="40" w:line="220" w:lineRule="exact"/>
              <w:jc w:val="right"/>
              <w:rPr>
                <w:b/>
                <w:sz w:val="18"/>
                <w:lang w:val="fr-CH"/>
              </w:rPr>
            </w:pPr>
            <w:r w:rsidRPr="0071782F">
              <w:rPr>
                <w:b/>
                <w:sz w:val="18"/>
                <w:lang w:val="fr-CH"/>
              </w:rPr>
              <w:t>10 000</w:t>
            </w:r>
          </w:p>
        </w:tc>
      </w:tr>
      <w:tr w:rsidR="00333944" w:rsidRPr="0071782F">
        <w:tc>
          <w:tcPr>
            <w:tcW w:w="4619" w:type="dxa"/>
            <w:shd w:val="clear" w:color="000000" w:fill="auto"/>
          </w:tcPr>
          <w:p w:rsidR="00333944" w:rsidRPr="0071782F" w:rsidRDefault="00333944" w:rsidP="00C232FA">
            <w:pPr>
              <w:suppressAutoHyphens w:val="0"/>
              <w:spacing w:before="40" w:after="40" w:line="220" w:lineRule="exact"/>
              <w:rPr>
                <w:sz w:val="18"/>
                <w:lang w:val="fr-CH"/>
              </w:rPr>
            </w:pPr>
            <w:r w:rsidRPr="0071782F">
              <w:rPr>
                <w:sz w:val="18"/>
                <w:lang w:val="fr-CH"/>
              </w:rPr>
              <w:t>Pa</w:t>
            </w:r>
            <w:r w:rsidR="00FE2C96" w:rsidRPr="0071782F">
              <w:rPr>
                <w:sz w:val="18"/>
                <w:lang w:val="fr-CH"/>
              </w:rPr>
              <w:t xml:space="preserve">iement des coûts associés à la création d’emplois par les centres privés </w:t>
            </w:r>
          </w:p>
        </w:tc>
        <w:tc>
          <w:tcPr>
            <w:tcW w:w="1043" w:type="dxa"/>
            <w:shd w:val="clear" w:color="000000" w:fill="auto"/>
            <w:vAlign w:val="bottom"/>
          </w:tcPr>
          <w:p w:rsidR="00333944" w:rsidRPr="0071782F" w:rsidRDefault="00FE2C96" w:rsidP="00BA31AA">
            <w:pPr>
              <w:suppressAutoHyphens w:val="0"/>
              <w:spacing w:before="40" w:after="40" w:line="220" w:lineRule="exact"/>
              <w:ind w:left="113"/>
              <w:rPr>
                <w:sz w:val="18"/>
                <w:lang w:val="fr-CH"/>
              </w:rPr>
            </w:pPr>
            <w:r w:rsidRPr="0071782F">
              <w:rPr>
                <w:sz w:val="18"/>
                <w:lang w:val="fr-CH"/>
              </w:rPr>
              <w:t>Centre</w:t>
            </w:r>
          </w:p>
        </w:tc>
        <w:tc>
          <w:tcPr>
            <w:tcW w:w="961" w:type="dxa"/>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250</w:t>
            </w:r>
          </w:p>
        </w:tc>
        <w:tc>
          <w:tcPr>
            <w:tcW w:w="872" w:type="dxa"/>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30</w:t>
            </w:r>
          </w:p>
        </w:tc>
        <w:tc>
          <w:tcPr>
            <w:tcW w:w="1010" w:type="dxa"/>
            <w:shd w:val="clear" w:color="000000" w:fill="auto"/>
            <w:vAlign w:val="bottom"/>
          </w:tcPr>
          <w:p w:rsidR="00333944" w:rsidRPr="0071782F" w:rsidRDefault="00333944" w:rsidP="00C232FA">
            <w:pPr>
              <w:suppressAutoHyphens w:val="0"/>
              <w:spacing w:before="40" w:after="40" w:line="220" w:lineRule="exact"/>
              <w:jc w:val="right"/>
              <w:rPr>
                <w:b/>
                <w:sz w:val="18"/>
                <w:lang w:val="fr-CH"/>
              </w:rPr>
            </w:pPr>
            <w:r w:rsidRPr="0071782F">
              <w:rPr>
                <w:b/>
                <w:sz w:val="18"/>
                <w:lang w:val="fr-CH"/>
              </w:rPr>
              <w:t>7 500</w:t>
            </w:r>
          </w:p>
        </w:tc>
      </w:tr>
      <w:tr w:rsidR="00333944" w:rsidRPr="0071782F">
        <w:tc>
          <w:tcPr>
            <w:tcW w:w="4619" w:type="dxa"/>
            <w:shd w:val="clear" w:color="000000" w:fill="auto"/>
          </w:tcPr>
          <w:p w:rsidR="00333944" w:rsidRPr="0071782F" w:rsidRDefault="00FE2C96" w:rsidP="00C232FA">
            <w:pPr>
              <w:suppressAutoHyphens w:val="0"/>
              <w:spacing w:before="40" w:after="40" w:line="220" w:lineRule="exact"/>
              <w:rPr>
                <w:sz w:val="18"/>
                <w:lang w:val="fr-CH"/>
              </w:rPr>
            </w:pPr>
            <w:r w:rsidRPr="0071782F">
              <w:rPr>
                <w:sz w:val="18"/>
                <w:lang w:val="fr-CH"/>
              </w:rPr>
              <w:t xml:space="preserve">Services d’appui à la création d’emplois pour les femmes célibataires et chefs </w:t>
            </w:r>
            <w:r w:rsidR="0092511D" w:rsidRPr="0071782F">
              <w:rPr>
                <w:sz w:val="18"/>
                <w:lang w:val="fr-CH"/>
              </w:rPr>
              <w:t>de famille</w:t>
            </w:r>
            <w:r w:rsidRPr="0071782F">
              <w:rPr>
                <w:sz w:val="18"/>
                <w:lang w:val="fr-CH"/>
              </w:rPr>
              <w:t xml:space="preserve"> et les toxicomanes réadaptés </w:t>
            </w:r>
          </w:p>
        </w:tc>
        <w:tc>
          <w:tcPr>
            <w:tcW w:w="1043" w:type="dxa"/>
            <w:shd w:val="clear" w:color="000000" w:fill="auto"/>
            <w:vAlign w:val="bottom"/>
          </w:tcPr>
          <w:p w:rsidR="00333944" w:rsidRPr="0071782F" w:rsidRDefault="00333944" w:rsidP="00BA31AA">
            <w:pPr>
              <w:suppressAutoHyphens w:val="0"/>
              <w:spacing w:before="40" w:after="40" w:line="220" w:lineRule="exact"/>
              <w:ind w:left="113"/>
              <w:rPr>
                <w:sz w:val="18"/>
                <w:lang w:val="fr-CH"/>
              </w:rPr>
            </w:pPr>
            <w:r w:rsidRPr="0071782F">
              <w:rPr>
                <w:sz w:val="18"/>
                <w:lang w:val="fr-CH"/>
              </w:rPr>
              <w:t>Person</w:t>
            </w:r>
            <w:r w:rsidR="00A9385B" w:rsidRPr="0071782F">
              <w:rPr>
                <w:sz w:val="18"/>
                <w:lang w:val="fr-CH"/>
              </w:rPr>
              <w:t>ne</w:t>
            </w:r>
          </w:p>
        </w:tc>
        <w:tc>
          <w:tcPr>
            <w:tcW w:w="961" w:type="dxa"/>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2 000</w:t>
            </w:r>
          </w:p>
        </w:tc>
        <w:tc>
          <w:tcPr>
            <w:tcW w:w="872" w:type="dxa"/>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40</w:t>
            </w:r>
          </w:p>
        </w:tc>
        <w:tc>
          <w:tcPr>
            <w:tcW w:w="1010" w:type="dxa"/>
            <w:shd w:val="clear" w:color="000000" w:fill="auto"/>
            <w:vAlign w:val="bottom"/>
          </w:tcPr>
          <w:p w:rsidR="00333944" w:rsidRPr="0071782F" w:rsidRDefault="00333944" w:rsidP="00C232FA">
            <w:pPr>
              <w:suppressAutoHyphens w:val="0"/>
              <w:spacing w:before="40" w:after="40" w:line="220" w:lineRule="exact"/>
              <w:jc w:val="right"/>
              <w:rPr>
                <w:b/>
                <w:sz w:val="18"/>
                <w:lang w:val="fr-CH"/>
              </w:rPr>
            </w:pPr>
            <w:r w:rsidRPr="0071782F">
              <w:rPr>
                <w:b/>
                <w:sz w:val="18"/>
                <w:lang w:val="fr-CH"/>
              </w:rPr>
              <w:t>80 000</w:t>
            </w:r>
          </w:p>
        </w:tc>
      </w:tr>
      <w:tr w:rsidR="00333944" w:rsidRPr="0071782F">
        <w:tc>
          <w:tcPr>
            <w:tcW w:w="4619" w:type="dxa"/>
            <w:shd w:val="clear" w:color="000000" w:fill="auto"/>
          </w:tcPr>
          <w:p w:rsidR="00333944" w:rsidRPr="0071782F" w:rsidRDefault="00FE2C96" w:rsidP="00C232FA">
            <w:pPr>
              <w:suppressAutoHyphens w:val="0"/>
              <w:spacing w:before="40" w:after="40" w:line="220" w:lineRule="exact"/>
              <w:rPr>
                <w:sz w:val="18"/>
                <w:lang w:val="fr-CH"/>
              </w:rPr>
            </w:pPr>
            <w:r w:rsidRPr="0071782F">
              <w:rPr>
                <w:sz w:val="18"/>
                <w:lang w:val="fr-CH"/>
              </w:rPr>
              <w:t xml:space="preserve">Travaux de recherche et d’analyse sur les programmes de création d’emplois pour la population cible </w:t>
            </w:r>
          </w:p>
        </w:tc>
        <w:tc>
          <w:tcPr>
            <w:tcW w:w="1043" w:type="dxa"/>
            <w:shd w:val="clear" w:color="000000" w:fill="auto"/>
            <w:vAlign w:val="bottom"/>
          </w:tcPr>
          <w:p w:rsidR="00333944" w:rsidRPr="0071782F" w:rsidRDefault="00A9385B" w:rsidP="00BA31AA">
            <w:pPr>
              <w:suppressAutoHyphens w:val="0"/>
              <w:spacing w:before="40" w:after="40" w:line="220" w:lineRule="exact"/>
              <w:ind w:left="113"/>
              <w:rPr>
                <w:sz w:val="18"/>
                <w:lang w:val="fr-CH"/>
              </w:rPr>
            </w:pPr>
            <w:r w:rsidRPr="0071782F">
              <w:rPr>
                <w:sz w:val="18"/>
                <w:lang w:val="fr-CH"/>
              </w:rPr>
              <w:t>Cas</w:t>
            </w:r>
          </w:p>
        </w:tc>
        <w:tc>
          <w:tcPr>
            <w:tcW w:w="961" w:type="dxa"/>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33</w:t>
            </w:r>
          </w:p>
        </w:tc>
        <w:tc>
          <w:tcPr>
            <w:tcW w:w="872" w:type="dxa"/>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150</w:t>
            </w:r>
          </w:p>
        </w:tc>
        <w:tc>
          <w:tcPr>
            <w:tcW w:w="1010" w:type="dxa"/>
            <w:shd w:val="clear" w:color="000000" w:fill="auto"/>
            <w:vAlign w:val="bottom"/>
          </w:tcPr>
          <w:p w:rsidR="00333944" w:rsidRPr="0071782F" w:rsidRDefault="00333944" w:rsidP="00C232FA">
            <w:pPr>
              <w:suppressAutoHyphens w:val="0"/>
              <w:spacing w:before="40" w:after="40" w:line="220" w:lineRule="exact"/>
              <w:jc w:val="right"/>
              <w:rPr>
                <w:b/>
                <w:sz w:val="18"/>
                <w:lang w:val="fr-CH"/>
              </w:rPr>
            </w:pPr>
            <w:r w:rsidRPr="0071782F">
              <w:rPr>
                <w:b/>
                <w:sz w:val="18"/>
                <w:lang w:val="fr-CH"/>
              </w:rPr>
              <w:t>4 950</w:t>
            </w:r>
          </w:p>
        </w:tc>
      </w:tr>
      <w:tr w:rsidR="00333944" w:rsidRPr="0071782F">
        <w:tc>
          <w:tcPr>
            <w:tcW w:w="4619" w:type="dxa"/>
            <w:shd w:val="clear" w:color="000000" w:fill="auto"/>
          </w:tcPr>
          <w:p w:rsidR="00333944" w:rsidRPr="0071782F" w:rsidRDefault="00FE2C96" w:rsidP="00C232FA">
            <w:pPr>
              <w:suppressAutoHyphens w:val="0"/>
              <w:spacing w:before="40" w:after="40" w:line="220" w:lineRule="exact"/>
              <w:rPr>
                <w:sz w:val="18"/>
                <w:lang w:val="fr-CH"/>
              </w:rPr>
            </w:pPr>
            <w:r w:rsidRPr="0071782F">
              <w:rPr>
                <w:sz w:val="18"/>
                <w:lang w:val="fr-CH"/>
              </w:rPr>
              <w:t xml:space="preserve">Développement des ateliers d’appui et de production pour la population cible conformément au </w:t>
            </w:r>
            <w:r w:rsidR="00723F2B" w:rsidRPr="0071782F">
              <w:rPr>
                <w:sz w:val="18"/>
                <w:lang w:val="fr-CH"/>
              </w:rPr>
              <w:t>paragraphe </w:t>
            </w:r>
            <w:r w:rsidR="00333944" w:rsidRPr="0071782F">
              <w:rPr>
                <w:sz w:val="18"/>
                <w:lang w:val="fr-CH"/>
              </w:rPr>
              <w:t xml:space="preserve">D </w:t>
            </w:r>
            <w:r w:rsidRPr="0071782F">
              <w:rPr>
                <w:sz w:val="18"/>
                <w:lang w:val="fr-CH"/>
              </w:rPr>
              <w:t xml:space="preserve">de la loi générale sur la protection des droits </w:t>
            </w:r>
            <w:r w:rsidR="007F37CE" w:rsidRPr="0071782F">
              <w:rPr>
                <w:sz w:val="18"/>
                <w:lang w:val="fr-CH"/>
              </w:rPr>
              <w:t>des personnes</w:t>
            </w:r>
            <w:r w:rsidRPr="0071782F">
              <w:rPr>
                <w:sz w:val="18"/>
                <w:lang w:val="fr-CH"/>
              </w:rPr>
              <w:t xml:space="preserve"> handicapées</w:t>
            </w:r>
          </w:p>
        </w:tc>
        <w:tc>
          <w:tcPr>
            <w:tcW w:w="1043" w:type="dxa"/>
            <w:shd w:val="clear" w:color="000000" w:fill="auto"/>
            <w:vAlign w:val="bottom"/>
          </w:tcPr>
          <w:p w:rsidR="00333944" w:rsidRPr="0071782F" w:rsidRDefault="00A9385B" w:rsidP="00BA31AA">
            <w:pPr>
              <w:suppressAutoHyphens w:val="0"/>
              <w:spacing w:before="40" w:after="40" w:line="220" w:lineRule="exact"/>
              <w:ind w:left="113"/>
              <w:rPr>
                <w:sz w:val="18"/>
                <w:lang w:val="fr-CH"/>
              </w:rPr>
            </w:pPr>
            <w:r w:rsidRPr="0071782F">
              <w:rPr>
                <w:sz w:val="18"/>
                <w:lang w:val="fr-CH"/>
              </w:rPr>
              <w:t>Atelier</w:t>
            </w:r>
          </w:p>
        </w:tc>
        <w:tc>
          <w:tcPr>
            <w:tcW w:w="961" w:type="dxa"/>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33</w:t>
            </w:r>
          </w:p>
        </w:tc>
        <w:tc>
          <w:tcPr>
            <w:tcW w:w="872" w:type="dxa"/>
            <w:shd w:val="clear" w:color="000000"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1 000</w:t>
            </w:r>
          </w:p>
        </w:tc>
        <w:tc>
          <w:tcPr>
            <w:tcW w:w="1010" w:type="dxa"/>
            <w:shd w:val="clear" w:color="000000" w:fill="auto"/>
            <w:vAlign w:val="bottom"/>
          </w:tcPr>
          <w:p w:rsidR="00333944" w:rsidRPr="0071782F" w:rsidRDefault="00333944" w:rsidP="00C232FA">
            <w:pPr>
              <w:suppressAutoHyphens w:val="0"/>
              <w:spacing w:before="40" w:after="40" w:line="220" w:lineRule="exact"/>
              <w:jc w:val="right"/>
              <w:rPr>
                <w:b/>
                <w:sz w:val="18"/>
                <w:lang w:val="fr-CH"/>
              </w:rPr>
            </w:pPr>
            <w:r w:rsidRPr="0071782F">
              <w:rPr>
                <w:b/>
                <w:sz w:val="18"/>
                <w:lang w:val="fr-CH"/>
              </w:rPr>
              <w:t>33 000</w:t>
            </w:r>
          </w:p>
        </w:tc>
      </w:tr>
    </w:tbl>
    <w:p w:rsidR="00333944" w:rsidRPr="0071782F" w:rsidRDefault="00333944" w:rsidP="00333944">
      <w:pPr>
        <w:pStyle w:val="H1G"/>
        <w:rPr>
          <w:lang w:val="fr-CH"/>
        </w:rPr>
      </w:pPr>
      <w:r w:rsidRPr="0071782F">
        <w:rPr>
          <w:lang w:val="fr-CH"/>
        </w:rPr>
        <w:tab/>
      </w:r>
      <w:r w:rsidRPr="0071782F">
        <w:rPr>
          <w:lang w:val="fr-CH"/>
        </w:rPr>
        <w:tab/>
        <w:t>Plan</w:t>
      </w:r>
      <w:r w:rsidR="00A51C38" w:rsidRPr="0071782F">
        <w:rPr>
          <w:lang w:val="fr-CH"/>
        </w:rPr>
        <w:t xml:space="preserve">ification et extension du réseau </w:t>
      </w:r>
      <w:r w:rsidRPr="0071782F">
        <w:rPr>
          <w:lang w:val="fr-CH"/>
        </w:rPr>
        <w:t xml:space="preserve">rural </w:t>
      </w:r>
      <w:r w:rsidR="00A51C38" w:rsidRPr="0071782F">
        <w:rPr>
          <w:lang w:val="fr-CH"/>
        </w:rPr>
        <w:t>de services de protection sociale</w:t>
      </w:r>
    </w:p>
    <w:p w:rsidR="00333944" w:rsidRPr="0071782F" w:rsidRDefault="00333944" w:rsidP="00333944">
      <w:pPr>
        <w:pStyle w:val="SingleTxtG"/>
        <w:rPr>
          <w:lang w:val="fr-CH"/>
        </w:rPr>
      </w:pPr>
      <w:r w:rsidRPr="0071782F">
        <w:rPr>
          <w:lang w:val="fr-CH"/>
        </w:rPr>
        <w:t>344.</w:t>
      </w:r>
      <w:r w:rsidRPr="0071782F">
        <w:rPr>
          <w:lang w:val="fr-CH"/>
        </w:rPr>
        <w:tab/>
      </w:r>
      <w:r w:rsidR="003C1F35" w:rsidRPr="0071782F">
        <w:rPr>
          <w:lang w:val="fr-CH"/>
        </w:rPr>
        <w:t>L’amélioration des conditions de vie de la population prise en charge par l’Organisme public de protection sociale est confiée à des structures appropriées qui fournissent des services intégrés de protection sociale conformes à l’objectif consistant à assurer le bien-être de la population et la justice sociale</w:t>
      </w:r>
      <w:r w:rsidRPr="0071782F">
        <w:rPr>
          <w:lang w:val="fr-CH"/>
        </w:rPr>
        <w:t>.</w:t>
      </w:r>
    </w:p>
    <w:p w:rsidR="00333944" w:rsidRPr="0071782F" w:rsidRDefault="00333944" w:rsidP="00333944">
      <w:pPr>
        <w:pStyle w:val="SingleTxtG"/>
        <w:rPr>
          <w:lang w:val="fr-CH"/>
        </w:rPr>
      </w:pPr>
      <w:r w:rsidRPr="0071782F">
        <w:rPr>
          <w:lang w:val="fr-CH"/>
        </w:rPr>
        <w:t>345.</w:t>
      </w:r>
      <w:r w:rsidRPr="0071782F">
        <w:rPr>
          <w:lang w:val="fr-CH"/>
        </w:rPr>
        <w:tab/>
      </w:r>
      <w:r w:rsidR="00693322" w:rsidRPr="0071782F">
        <w:rPr>
          <w:lang w:val="fr-CH"/>
        </w:rPr>
        <w:t xml:space="preserve">Les objectifs, </w:t>
      </w:r>
      <w:r w:rsidRPr="0071782F">
        <w:rPr>
          <w:lang w:val="fr-CH"/>
        </w:rPr>
        <w:t>strat</w:t>
      </w:r>
      <w:r w:rsidR="00693322" w:rsidRPr="0071782F">
        <w:rPr>
          <w:lang w:val="fr-CH"/>
        </w:rPr>
        <w:t>é</w:t>
      </w:r>
      <w:r w:rsidRPr="0071782F">
        <w:rPr>
          <w:lang w:val="fr-CH"/>
        </w:rPr>
        <w:t>gies</w:t>
      </w:r>
      <w:r w:rsidR="00693322" w:rsidRPr="0071782F">
        <w:rPr>
          <w:lang w:val="fr-CH"/>
        </w:rPr>
        <w:t xml:space="preserve"> et </w:t>
      </w:r>
      <w:r w:rsidRPr="0071782F">
        <w:rPr>
          <w:lang w:val="fr-CH"/>
        </w:rPr>
        <w:t>program</w:t>
      </w:r>
      <w:r w:rsidR="00693322" w:rsidRPr="0071782F">
        <w:rPr>
          <w:lang w:val="fr-CH"/>
        </w:rPr>
        <w:t>me</w:t>
      </w:r>
      <w:r w:rsidRPr="0071782F">
        <w:rPr>
          <w:lang w:val="fr-CH"/>
        </w:rPr>
        <w:t xml:space="preserve">s </w:t>
      </w:r>
      <w:r w:rsidR="00693322" w:rsidRPr="0071782F">
        <w:rPr>
          <w:lang w:val="fr-CH"/>
        </w:rPr>
        <w:t>principaux du siège sont les suivants</w:t>
      </w:r>
      <w:r w:rsidR="008F7D33" w:rsidRPr="0071782F">
        <w:rPr>
          <w:lang w:val="fr-CH"/>
        </w:rPr>
        <w:t>:</w:t>
      </w:r>
    </w:p>
    <w:p w:rsidR="00333944" w:rsidRPr="0071782F" w:rsidRDefault="00333944" w:rsidP="00F80163">
      <w:pPr>
        <w:pStyle w:val="SingleTxtG"/>
        <w:ind w:left="1701"/>
        <w:rPr>
          <w:lang w:val="fr-CH"/>
        </w:rPr>
      </w:pPr>
      <w:r w:rsidRPr="0071782F">
        <w:rPr>
          <w:lang w:val="fr-CH"/>
        </w:rPr>
        <w:t>345.1</w:t>
      </w:r>
      <w:r w:rsidR="007D4798" w:rsidRPr="0071782F">
        <w:rPr>
          <w:lang w:val="fr-CH"/>
        </w:rPr>
        <w:t>.</w:t>
      </w:r>
      <w:r w:rsidRPr="0071782F">
        <w:rPr>
          <w:lang w:val="fr-CH"/>
        </w:rPr>
        <w:tab/>
      </w:r>
      <w:r w:rsidR="00693322" w:rsidRPr="0071782F">
        <w:rPr>
          <w:lang w:val="fr-CH"/>
        </w:rPr>
        <w:t xml:space="preserve">Recensement de la </w:t>
      </w:r>
      <w:r w:rsidRPr="0071782F">
        <w:rPr>
          <w:lang w:val="fr-CH"/>
        </w:rPr>
        <w:t xml:space="preserve">population </w:t>
      </w:r>
      <w:r w:rsidR="00693322" w:rsidRPr="0071782F">
        <w:rPr>
          <w:lang w:val="fr-CH"/>
        </w:rPr>
        <w:t xml:space="preserve">ayant besoin de services de protection sociale dans les </w:t>
      </w:r>
      <w:r w:rsidRPr="0071782F">
        <w:rPr>
          <w:lang w:val="fr-CH"/>
        </w:rPr>
        <w:t xml:space="preserve">villages </w:t>
      </w:r>
      <w:r w:rsidR="00693322" w:rsidRPr="0071782F">
        <w:rPr>
          <w:lang w:val="fr-CH"/>
        </w:rPr>
        <w:t xml:space="preserve">et évaluation des besoins de </w:t>
      </w:r>
      <w:r w:rsidRPr="0071782F">
        <w:rPr>
          <w:lang w:val="fr-CH"/>
        </w:rPr>
        <w:t>services.</w:t>
      </w:r>
    </w:p>
    <w:p w:rsidR="00333944" w:rsidRPr="0071782F" w:rsidRDefault="00333944" w:rsidP="00F80163">
      <w:pPr>
        <w:pStyle w:val="SingleTxtG"/>
        <w:ind w:left="1701"/>
        <w:rPr>
          <w:lang w:val="fr-CH"/>
        </w:rPr>
      </w:pPr>
      <w:r w:rsidRPr="0071782F">
        <w:rPr>
          <w:lang w:val="fr-CH"/>
        </w:rPr>
        <w:t>345.2</w:t>
      </w:r>
      <w:r w:rsidR="007D4798" w:rsidRPr="0071782F">
        <w:rPr>
          <w:lang w:val="fr-CH"/>
        </w:rPr>
        <w:t>.</w:t>
      </w:r>
      <w:r w:rsidRPr="0071782F">
        <w:rPr>
          <w:lang w:val="fr-CH"/>
        </w:rPr>
        <w:tab/>
      </w:r>
      <w:r w:rsidR="00693322" w:rsidRPr="0071782F">
        <w:rPr>
          <w:lang w:val="fr-CH"/>
        </w:rPr>
        <w:t xml:space="preserve">Conception de programmes de prestation de services </w:t>
      </w:r>
      <w:r w:rsidRPr="0071782F">
        <w:rPr>
          <w:lang w:val="fr-CH"/>
        </w:rPr>
        <w:t>accessible</w:t>
      </w:r>
      <w:r w:rsidR="00693322" w:rsidRPr="0071782F">
        <w:rPr>
          <w:lang w:val="fr-CH"/>
        </w:rPr>
        <w:t>s et stratifiés adaptés aux besoins effectifs de la population cible</w:t>
      </w:r>
      <w:r w:rsidRPr="0071782F">
        <w:rPr>
          <w:lang w:val="fr-CH"/>
        </w:rPr>
        <w:t>.</w:t>
      </w:r>
    </w:p>
    <w:p w:rsidR="00333944" w:rsidRPr="0071782F" w:rsidRDefault="00333944" w:rsidP="00F80163">
      <w:pPr>
        <w:pStyle w:val="SingleTxtG"/>
        <w:ind w:left="1701"/>
        <w:rPr>
          <w:lang w:val="fr-CH"/>
        </w:rPr>
      </w:pPr>
      <w:r w:rsidRPr="0071782F">
        <w:rPr>
          <w:lang w:val="fr-CH"/>
        </w:rPr>
        <w:t>345.3</w:t>
      </w:r>
      <w:r w:rsidR="007D4798" w:rsidRPr="0071782F">
        <w:rPr>
          <w:lang w:val="fr-CH"/>
        </w:rPr>
        <w:t>.</w:t>
      </w:r>
      <w:r w:rsidRPr="0071782F">
        <w:rPr>
          <w:lang w:val="fr-CH"/>
        </w:rPr>
        <w:tab/>
        <w:t>Pr</w:t>
      </w:r>
      <w:r w:rsidR="00693322" w:rsidRPr="0071782F">
        <w:rPr>
          <w:lang w:val="fr-CH"/>
        </w:rPr>
        <w:t>é</w:t>
      </w:r>
      <w:r w:rsidRPr="0071782F">
        <w:rPr>
          <w:lang w:val="fr-CH"/>
        </w:rPr>
        <w:t xml:space="preserve">vention </w:t>
      </w:r>
      <w:r w:rsidR="00693322" w:rsidRPr="0071782F">
        <w:rPr>
          <w:lang w:val="fr-CH"/>
        </w:rPr>
        <w:t xml:space="preserve">des situations de préjudice et de handicap sociaux et atténuation de leurs </w:t>
      </w:r>
      <w:r w:rsidRPr="0071782F">
        <w:rPr>
          <w:lang w:val="fr-CH"/>
        </w:rPr>
        <w:t>cons</w:t>
      </w:r>
      <w:r w:rsidR="00693322" w:rsidRPr="0071782F">
        <w:rPr>
          <w:lang w:val="fr-CH"/>
        </w:rPr>
        <w:t>é</w:t>
      </w:r>
      <w:r w:rsidRPr="0071782F">
        <w:rPr>
          <w:lang w:val="fr-CH"/>
        </w:rPr>
        <w:t>quences.</w:t>
      </w:r>
    </w:p>
    <w:p w:rsidR="00333944" w:rsidRPr="0071782F" w:rsidRDefault="00333944" w:rsidP="00F80163">
      <w:pPr>
        <w:pStyle w:val="SingleTxtG"/>
        <w:ind w:left="1701"/>
        <w:rPr>
          <w:lang w:val="fr-CH"/>
        </w:rPr>
      </w:pPr>
      <w:r w:rsidRPr="0071782F">
        <w:rPr>
          <w:lang w:val="fr-CH"/>
        </w:rPr>
        <w:t>345.4</w:t>
      </w:r>
      <w:r w:rsidR="007D4798" w:rsidRPr="0071782F">
        <w:rPr>
          <w:lang w:val="fr-CH"/>
        </w:rPr>
        <w:t>.</w:t>
      </w:r>
      <w:r w:rsidRPr="0071782F">
        <w:rPr>
          <w:lang w:val="fr-CH"/>
        </w:rPr>
        <w:tab/>
      </w:r>
      <w:r w:rsidR="00693322" w:rsidRPr="0071782F">
        <w:rPr>
          <w:lang w:val="fr-CH"/>
        </w:rPr>
        <w:t xml:space="preserve">Renforcement de l’autonomie de la population </w:t>
      </w:r>
      <w:r w:rsidRPr="0071782F">
        <w:rPr>
          <w:lang w:val="fr-CH"/>
        </w:rPr>
        <w:t>rural</w:t>
      </w:r>
      <w:r w:rsidR="00693322" w:rsidRPr="0071782F">
        <w:rPr>
          <w:lang w:val="fr-CH"/>
        </w:rPr>
        <w:t>e</w:t>
      </w:r>
      <w:r w:rsidRPr="0071782F">
        <w:rPr>
          <w:lang w:val="fr-CH"/>
        </w:rPr>
        <w:t xml:space="preserve"> </w:t>
      </w:r>
      <w:r w:rsidR="00693322" w:rsidRPr="0071782F">
        <w:rPr>
          <w:lang w:val="fr-CH"/>
        </w:rPr>
        <w:t>par le biais de programmes d’autonomisation et de la création de groupes de voisinage</w:t>
      </w:r>
      <w:r w:rsidRPr="0071782F">
        <w:rPr>
          <w:lang w:val="fr-CH"/>
        </w:rPr>
        <w:t>.</w:t>
      </w:r>
    </w:p>
    <w:p w:rsidR="00333944" w:rsidRPr="0071782F" w:rsidRDefault="00333944" w:rsidP="00F80163">
      <w:pPr>
        <w:pStyle w:val="SingleTxtG"/>
        <w:ind w:left="1701"/>
        <w:rPr>
          <w:lang w:val="fr-CH"/>
        </w:rPr>
      </w:pPr>
      <w:r w:rsidRPr="0071782F">
        <w:rPr>
          <w:lang w:val="fr-CH"/>
        </w:rPr>
        <w:t>345.5</w:t>
      </w:r>
      <w:r w:rsidR="007D4798" w:rsidRPr="0071782F">
        <w:rPr>
          <w:lang w:val="fr-CH"/>
        </w:rPr>
        <w:t>.</w:t>
      </w:r>
      <w:r w:rsidRPr="0071782F">
        <w:rPr>
          <w:lang w:val="fr-CH"/>
        </w:rPr>
        <w:tab/>
      </w:r>
      <w:r w:rsidR="00693322" w:rsidRPr="0071782F">
        <w:rPr>
          <w:lang w:val="fr-CH"/>
        </w:rPr>
        <w:t xml:space="preserve">Renforcement et </w:t>
      </w:r>
      <w:r w:rsidRPr="0071782F">
        <w:rPr>
          <w:lang w:val="fr-CH"/>
        </w:rPr>
        <w:t>utili</w:t>
      </w:r>
      <w:r w:rsidR="00693322" w:rsidRPr="0071782F">
        <w:rPr>
          <w:lang w:val="fr-CH"/>
        </w:rPr>
        <w:t>s</w:t>
      </w:r>
      <w:r w:rsidRPr="0071782F">
        <w:rPr>
          <w:lang w:val="fr-CH"/>
        </w:rPr>
        <w:t xml:space="preserve">ation </w:t>
      </w:r>
      <w:r w:rsidR="00693322" w:rsidRPr="0071782F">
        <w:rPr>
          <w:lang w:val="fr-CH"/>
        </w:rPr>
        <w:t xml:space="preserve">des ressources organisationnelles existant dans les zones rurales, telles que les </w:t>
      </w:r>
      <w:r w:rsidRPr="0071782F">
        <w:rPr>
          <w:lang w:val="fr-CH"/>
        </w:rPr>
        <w:t>1</w:t>
      </w:r>
      <w:r w:rsidR="00693322" w:rsidRPr="0071782F">
        <w:rPr>
          <w:lang w:val="fr-CH"/>
        </w:rPr>
        <w:t xml:space="preserve"> </w:t>
      </w:r>
      <w:r w:rsidRPr="0071782F">
        <w:rPr>
          <w:lang w:val="fr-CH"/>
        </w:rPr>
        <w:t xml:space="preserve">250 </w:t>
      </w:r>
      <w:r w:rsidR="00693322" w:rsidRPr="0071782F">
        <w:rPr>
          <w:lang w:val="fr-CH"/>
        </w:rPr>
        <w:t xml:space="preserve">réseaux </w:t>
      </w:r>
      <w:r w:rsidRPr="0071782F">
        <w:rPr>
          <w:lang w:val="fr-CH"/>
        </w:rPr>
        <w:t>rura</w:t>
      </w:r>
      <w:r w:rsidR="00693322" w:rsidRPr="0071782F">
        <w:rPr>
          <w:lang w:val="fr-CH"/>
        </w:rPr>
        <w:t xml:space="preserve">ux de protection sociale et leurs </w:t>
      </w:r>
      <w:r w:rsidRPr="0071782F">
        <w:rPr>
          <w:lang w:val="fr-CH"/>
        </w:rPr>
        <w:t>4</w:t>
      </w:r>
      <w:r w:rsidR="00693322" w:rsidRPr="0071782F">
        <w:rPr>
          <w:lang w:val="fr-CH"/>
        </w:rPr>
        <w:t xml:space="preserve"> </w:t>
      </w:r>
      <w:r w:rsidRPr="0071782F">
        <w:rPr>
          <w:lang w:val="fr-CH"/>
        </w:rPr>
        <w:t xml:space="preserve">500 </w:t>
      </w:r>
      <w:r w:rsidR="00693322" w:rsidRPr="0071782F">
        <w:rPr>
          <w:lang w:val="fr-CH"/>
        </w:rPr>
        <w:t>auxiliaires ruraux</w:t>
      </w:r>
      <w:r w:rsidRPr="0071782F">
        <w:rPr>
          <w:lang w:val="fr-CH"/>
        </w:rPr>
        <w:t>.</w:t>
      </w:r>
    </w:p>
    <w:p w:rsidR="00333944" w:rsidRPr="0071782F" w:rsidRDefault="00333944" w:rsidP="00F80163">
      <w:pPr>
        <w:pStyle w:val="SingleTxtG"/>
        <w:ind w:left="1701"/>
        <w:rPr>
          <w:lang w:val="fr-CH"/>
        </w:rPr>
      </w:pPr>
      <w:r w:rsidRPr="0071782F">
        <w:rPr>
          <w:lang w:val="fr-CH"/>
        </w:rPr>
        <w:t>345.6</w:t>
      </w:r>
      <w:r w:rsidR="007D4798" w:rsidRPr="0071782F">
        <w:rPr>
          <w:lang w:val="fr-CH"/>
        </w:rPr>
        <w:t>.</w:t>
      </w:r>
      <w:r w:rsidRPr="0071782F">
        <w:rPr>
          <w:lang w:val="fr-CH"/>
        </w:rPr>
        <w:tab/>
      </w:r>
      <w:r w:rsidR="00693322" w:rsidRPr="0071782F">
        <w:rPr>
          <w:lang w:val="fr-CH"/>
        </w:rPr>
        <w:t>Inventaire du capital</w:t>
      </w:r>
      <w:r w:rsidRPr="0071782F">
        <w:rPr>
          <w:lang w:val="fr-CH"/>
        </w:rPr>
        <w:t xml:space="preserve"> social </w:t>
      </w:r>
      <w:r w:rsidR="00693322" w:rsidRPr="0071782F">
        <w:rPr>
          <w:lang w:val="fr-CH"/>
        </w:rPr>
        <w:t>existant dans les zones rurales et utilisation de ce capital dans les programmes d’exécution.</w:t>
      </w:r>
    </w:p>
    <w:p w:rsidR="00333944" w:rsidRPr="0071782F" w:rsidRDefault="00333944" w:rsidP="00F80163">
      <w:pPr>
        <w:pStyle w:val="SingleTxtG"/>
        <w:ind w:left="1701"/>
        <w:rPr>
          <w:lang w:val="fr-CH"/>
        </w:rPr>
      </w:pPr>
      <w:r w:rsidRPr="0071782F">
        <w:rPr>
          <w:lang w:val="fr-CH"/>
        </w:rPr>
        <w:t>345.7</w:t>
      </w:r>
      <w:r w:rsidR="007D4798" w:rsidRPr="0071782F">
        <w:rPr>
          <w:lang w:val="fr-CH"/>
        </w:rPr>
        <w:t>.</w:t>
      </w:r>
      <w:r w:rsidRPr="0071782F">
        <w:rPr>
          <w:lang w:val="fr-CH"/>
        </w:rPr>
        <w:tab/>
      </w:r>
      <w:r w:rsidR="00693322" w:rsidRPr="0071782F">
        <w:rPr>
          <w:lang w:val="fr-CH"/>
        </w:rPr>
        <w:t xml:space="preserve">Renforcement des capacités et sensibilisation des structures de voisinage pour réduire le contrôle de l’État et développer la </w:t>
      </w:r>
      <w:r w:rsidRPr="0071782F">
        <w:rPr>
          <w:lang w:val="fr-CH"/>
        </w:rPr>
        <w:t xml:space="preserve">participation </w:t>
      </w:r>
      <w:r w:rsidR="00693322" w:rsidRPr="0071782F">
        <w:rPr>
          <w:lang w:val="fr-CH"/>
        </w:rPr>
        <w:t xml:space="preserve">de la population </w:t>
      </w:r>
      <w:r w:rsidRPr="0071782F">
        <w:rPr>
          <w:lang w:val="fr-CH"/>
        </w:rPr>
        <w:t>rural</w:t>
      </w:r>
      <w:r w:rsidR="00693322" w:rsidRPr="0071782F">
        <w:rPr>
          <w:lang w:val="fr-CH"/>
        </w:rPr>
        <w:t>e, dans le but de réaliser un développement durable par le biais de la création d’organisations communautaires.</w:t>
      </w:r>
    </w:p>
    <w:p w:rsidR="00333944" w:rsidRPr="0071782F" w:rsidRDefault="00333944" w:rsidP="00F80163">
      <w:pPr>
        <w:pStyle w:val="SingleTxtG"/>
        <w:ind w:left="1701"/>
        <w:rPr>
          <w:lang w:val="fr-CH"/>
        </w:rPr>
      </w:pPr>
      <w:r w:rsidRPr="0071782F">
        <w:rPr>
          <w:lang w:val="fr-CH"/>
        </w:rPr>
        <w:t>345.8</w:t>
      </w:r>
      <w:r w:rsidR="007D4798" w:rsidRPr="0071782F">
        <w:rPr>
          <w:lang w:val="fr-CH"/>
        </w:rPr>
        <w:t>.</w:t>
      </w:r>
      <w:r w:rsidRPr="0071782F">
        <w:rPr>
          <w:lang w:val="fr-CH"/>
        </w:rPr>
        <w:tab/>
      </w:r>
      <w:r w:rsidR="008572D3" w:rsidRPr="0071782F">
        <w:rPr>
          <w:lang w:val="fr-CH"/>
        </w:rPr>
        <w:t xml:space="preserve">Exécution de plusieurs </w:t>
      </w:r>
      <w:r w:rsidRPr="0071782F">
        <w:rPr>
          <w:lang w:val="fr-CH"/>
        </w:rPr>
        <w:t>program</w:t>
      </w:r>
      <w:r w:rsidR="008572D3" w:rsidRPr="0071782F">
        <w:rPr>
          <w:lang w:val="fr-CH"/>
        </w:rPr>
        <w:t>me</w:t>
      </w:r>
      <w:r w:rsidRPr="0071782F">
        <w:rPr>
          <w:lang w:val="fr-CH"/>
        </w:rPr>
        <w:t>s bas</w:t>
      </w:r>
      <w:r w:rsidR="008572D3" w:rsidRPr="0071782F">
        <w:rPr>
          <w:lang w:val="fr-CH"/>
        </w:rPr>
        <w:t xml:space="preserve">és sur les stratégies de RAC, d’IAC et des groupes d’entraide, et </w:t>
      </w:r>
      <w:r w:rsidRPr="0071782F">
        <w:rPr>
          <w:lang w:val="fr-CH"/>
        </w:rPr>
        <w:t>cr</w:t>
      </w:r>
      <w:r w:rsidR="008572D3" w:rsidRPr="0071782F">
        <w:rPr>
          <w:lang w:val="fr-CH"/>
        </w:rPr>
        <w:t>é</w:t>
      </w:r>
      <w:r w:rsidRPr="0071782F">
        <w:rPr>
          <w:lang w:val="fr-CH"/>
        </w:rPr>
        <w:t xml:space="preserve">ation </w:t>
      </w:r>
      <w:r w:rsidR="008572D3" w:rsidRPr="0071782F">
        <w:rPr>
          <w:lang w:val="fr-CH"/>
        </w:rPr>
        <w:t xml:space="preserve">d’emplois durables dans les </w:t>
      </w:r>
      <w:r w:rsidRPr="0071782F">
        <w:rPr>
          <w:lang w:val="fr-CH"/>
        </w:rPr>
        <w:t xml:space="preserve">villages </w:t>
      </w:r>
      <w:r w:rsidR="008572D3" w:rsidRPr="0071782F">
        <w:rPr>
          <w:lang w:val="fr-CH"/>
        </w:rPr>
        <w:t>par le biais du microcrédit</w:t>
      </w:r>
      <w:r w:rsidRPr="0071782F">
        <w:rPr>
          <w:lang w:val="fr-CH"/>
        </w:rPr>
        <w:t xml:space="preserve">, </w:t>
      </w:r>
      <w:r w:rsidR="008572D3" w:rsidRPr="0071782F">
        <w:rPr>
          <w:lang w:val="fr-CH"/>
        </w:rPr>
        <w:t>e</w:t>
      </w:r>
      <w:r w:rsidRPr="0071782F">
        <w:rPr>
          <w:lang w:val="fr-CH"/>
        </w:rPr>
        <w:t xml:space="preserve">n collaboration </w:t>
      </w:r>
      <w:r w:rsidR="008572D3" w:rsidRPr="0071782F">
        <w:rPr>
          <w:lang w:val="fr-CH"/>
        </w:rPr>
        <w:t xml:space="preserve">avec des organisations </w:t>
      </w:r>
      <w:r w:rsidRPr="0071782F">
        <w:rPr>
          <w:lang w:val="fr-CH"/>
        </w:rPr>
        <w:t>international</w:t>
      </w:r>
      <w:r w:rsidR="008572D3" w:rsidRPr="0071782F">
        <w:rPr>
          <w:lang w:val="fr-CH"/>
        </w:rPr>
        <w:t>es</w:t>
      </w:r>
      <w:r w:rsidRPr="0071782F">
        <w:rPr>
          <w:lang w:val="fr-CH"/>
        </w:rPr>
        <w:t>.</w:t>
      </w:r>
    </w:p>
    <w:p w:rsidR="00333944" w:rsidRPr="0071782F" w:rsidRDefault="00333944" w:rsidP="00F80163">
      <w:pPr>
        <w:pStyle w:val="SingleTxtG"/>
        <w:spacing w:after="0"/>
        <w:ind w:left="1701"/>
        <w:rPr>
          <w:lang w:val="fr-CH"/>
        </w:rPr>
      </w:pPr>
      <w:r w:rsidRPr="0071782F">
        <w:rPr>
          <w:lang w:val="fr-CH"/>
        </w:rPr>
        <w:t>345.9</w:t>
      </w:r>
      <w:r w:rsidR="007D4798" w:rsidRPr="0071782F">
        <w:rPr>
          <w:lang w:val="fr-CH"/>
        </w:rPr>
        <w:t>.</w:t>
      </w:r>
      <w:r w:rsidRPr="0071782F">
        <w:rPr>
          <w:lang w:val="fr-CH"/>
        </w:rPr>
        <w:tab/>
      </w:r>
      <w:r w:rsidR="008572D3" w:rsidRPr="0071782F">
        <w:rPr>
          <w:lang w:val="fr-CH"/>
        </w:rPr>
        <w:t xml:space="preserve">Recensement des possibilités ainsi que des ressources nationales et étrangères, et </w:t>
      </w:r>
      <w:r w:rsidRPr="0071782F">
        <w:rPr>
          <w:lang w:val="fr-CH"/>
        </w:rPr>
        <w:t>coop</w:t>
      </w:r>
      <w:r w:rsidR="008572D3" w:rsidRPr="0071782F">
        <w:rPr>
          <w:lang w:val="fr-CH"/>
        </w:rPr>
        <w:t>é</w:t>
      </w:r>
      <w:r w:rsidRPr="0071782F">
        <w:rPr>
          <w:lang w:val="fr-CH"/>
        </w:rPr>
        <w:t xml:space="preserve">ration </w:t>
      </w:r>
      <w:r w:rsidR="008572D3" w:rsidRPr="0071782F">
        <w:rPr>
          <w:lang w:val="fr-CH"/>
        </w:rPr>
        <w:t xml:space="preserve">avec des organisations </w:t>
      </w:r>
      <w:r w:rsidRPr="0071782F">
        <w:rPr>
          <w:lang w:val="fr-CH"/>
        </w:rPr>
        <w:t>international</w:t>
      </w:r>
      <w:r w:rsidR="008572D3" w:rsidRPr="0071782F">
        <w:rPr>
          <w:lang w:val="fr-CH"/>
        </w:rPr>
        <w:t>es</w:t>
      </w:r>
      <w:r w:rsidRPr="0071782F">
        <w:rPr>
          <w:lang w:val="fr-CH"/>
        </w:rPr>
        <w:t xml:space="preserve"> </w:t>
      </w:r>
      <w:r w:rsidR="008572D3" w:rsidRPr="0071782F">
        <w:rPr>
          <w:lang w:val="fr-CH"/>
        </w:rPr>
        <w:t>en vue d’une progression harmonieuse vers le développement au troisième millénaire</w:t>
      </w:r>
      <w:r w:rsidRPr="0071782F">
        <w:rPr>
          <w:lang w:val="fr-CH"/>
        </w:rPr>
        <w:t xml:space="preserve">. </w:t>
      </w:r>
    </w:p>
    <w:p w:rsidR="00333944" w:rsidRPr="0071782F" w:rsidRDefault="008572D3" w:rsidP="00FD76D5">
      <w:pPr>
        <w:pStyle w:val="H23G"/>
        <w:rPr>
          <w:lang w:val="fr-CH"/>
        </w:rPr>
      </w:pPr>
      <w:r w:rsidRPr="0071782F">
        <w:rPr>
          <w:lang w:val="fr-CH"/>
        </w:rPr>
        <w:tab/>
      </w:r>
      <w:r w:rsidRPr="0071782F">
        <w:rPr>
          <w:lang w:val="fr-CH"/>
        </w:rPr>
        <w:tab/>
        <w:t>Statistique</w:t>
      </w:r>
      <w:r w:rsidR="00333944" w:rsidRPr="0071782F">
        <w:rPr>
          <w:lang w:val="fr-CH"/>
        </w:rPr>
        <w:t xml:space="preserve">s </w:t>
      </w:r>
      <w:r w:rsidRPr="0071782F">
        <w:rPr>
          <w:lang w:val="fr-CH"/>
        </w:rPr>
        <w:t xml:space="preserve">sur les résultats des réseaux </w:t>
      </w:r>
      <w:r w:rsidR="00333944" w:rsidRPr="0071782F">
        <w:rPr>
          <w:lang w:val="fr-CH"/>
        </w:rPr>
        <w:t>rura</w:t>
      </w:r>
      <w:r w:rsidRPr="0071782F">
        <w:rPr>
          <w:lang w:val="fr-CH"/>
        </w:rPr>
        <w:t>ux de services de protection sociale</w:t>
      </w:r>
      <w:r w:rsidR="00333944" w:rsidRPr="0071782F">
        <w:rPr>
          <w:lang w:val="fr-CH"/>
        </w:rPr>
        <w:t xml:space="preserve"> </w:t>
      </w:r>
      <w:r w:rsidRPr="0071782F">
        <w:rPr>
          <w:lang w:val="fr-CH"/>
        </w:rPr>
        <w:t xml:space="preserve">en </w:t>
      </w:r>
      <w:r w:rsidR="00333944" w:rsidRPr="0071782F">
        <w:rPr>
          <w:lang w:val="fr-CH"/>
        </w:rPr>
        <w:t>2006 (</w:t>
      </w:r>
      <w:r w:rsidRPr="0071782F">
        <w:rPr>
          <w:lang w:val="fr-CH"/>
        </w:rPr>
        <w:t>en</w:t>
      </w:r>
      <w:r w:rsidR="00860D09" w:rsidRPr="0071782F">
        <w:rPr>
          <w:lang w:val="fr-CH"/>
        </w:rPr>
        <w:t> rials</w:t>
      </w:r>
      <w:r w:rsidR="00333944" w:rsidRPr="0071782F">
        <w:rPr>
          <w:lang w:val="fr-CH"/>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525"/>
        <w:gridCol w:w="6348"/>
        <w:gridCol w:w="1632"/>
      </w:tblGrid>
      <w:tr w:rsidR="00333944" w:rsidRPr="0071782F">
        <w:trPr>
          <w:tblHeader/>
        </w:trPr>
        <w:tc>
          <w:tcPr>
            <w:tcW w:w="525" w:type="dxa"/>
            <w:tcBorders>
              <w:top w:val="single" w:sz="4" w:space="0" w:color="auto"/>
              <w:bottom w:val="single" w:sz="12" w:space="0" w:color="auto"/>
            </w:tcBorders>
            <w:shd w:val="clear" w:color="auto" w:fill="auto"/>
            <w:vAlign w:val="bottom"/>
          </w:tcPr>
          <w:p w:rsidR="00333944" w:rsidRPr="0071782F" w:rsidRDefault="00333944" w:rsidP="00C232FA">
            <w:pPr>
              <w:suppressAutoHyphens w:val="0"/>
              <w:spacing w:before="80" w:after="80" w:line="200" w:lineRule="exact"/>
              <w:rPr>
                <w:i/>
                <w:sz w:val="16"/>
                <w:lang w:val="fr-CH"/>
              </w:rPr>
            </w:pPr>
            <w:r w:rsidRPr="0071782F">
              <w:rPr>
                <w:i/>
                <w:sz w:val="16"/>
                <w:lang w:val="fr-CH"/>
              </w:rPr>
              <w:t>R</w:t>
            </w:r>
            <w:r w:rsidR="008572D3" w:rsidRPr="0071782F">
              <w:rPr>
                <w:i/>
                <w:sz w:val="16"/>
                <w:lang w:val="fr-CH"/>
              </w:rPr>
              <w:t>ang</w:t>
            </w:r>
          </w:p>
        </w:tc>
        <w:tc>
          <w:tcPr>
            <w:tcW w:w="6348" w:type="dxa"/>
            <w:tcBorders>
              <w:top w:val="single" w:sz="4" w:space="0" w:color="auto"/>
              <w:bottom w:val="single" w:sz="12" w:space="0" w:color="auto"/>
            </w:tcBorders>
            <w:shd w:val="clear" w:color="auto" w:fill="auto"/>
            <w:vAlign w:val="bottom"/>
          </w:tcPr>
          <w:p w:rsidR="00333944" w:rsidRPr="0071782F" w:rsidRDefault="00333944" w:rsidP="00C232FA">
            <w:pPr>
              <w:suppressAutoHyphens w:val="0"/>
              <w:spacing w:before="80" w:after="80" w:line="200" w:lineRule="exact"/>
              <w:rPr>
                <w:i/>
                <w:sz w:val="16"/>
                <w:lang w:val="fr-CH"/>
              </w:rPr>
            </w:pPr>
            <w:r w:rsidRPr="0071782F">
              <w:rPr>
                <w:i/>
                <w:sz w:val="16"/>
                <w:lang w:val="fr-CH"/>
              </w:rPr>
              <w:t>Indicat</w:t>
            </w:r>
            <w:r w:rsidR="008572D3" w:rsidRPr="0071782F">
              <w:rPr>
                <w:i/>
                <w:sz w:val="16"/>
                <w:lang w:val="fr-CH"/>
              </w:rPr>
              <w:t>eu</w:t>
            </w:r>
            <w:r w:rsidRPr="0071782F">
              <w:rPr>
                <w:i/>
                <w:sz w:val="16"/>
                <w:lang w:val="fr-CH"/>
              </w:rPr>
              <w:t>r</w:t>
            </w:r>
          </w:p>
        </w:tc>
        <w:tc>
          <w:tcPr>
            <w:tcW w:w="1632" w:type="dxa"/>
            <w:tcBorders>
              <w:top w:val="single" w:sz="4" w:space="0" w:color="auto"/>
              <w:bottom w:val="single" w:sz="12" w:space="0" w:color="auto"/>
            </w:tcBorders>
            <w:shd w:val="clear" w:color="auto" w:fill="auto"/>
            <w:vAlign w:val="bottom"/>
          </w:tcPr>
          <w:p w:rsidR="00333944" w:rsidRPr="0071782F" w:rsidRDefault="00333944" w:rsidP="00C232FA">
            <w:pPr>
              <w:suppressAutoHyphens w:val="0"/>
              <w:spacing w:before="80" w:after="80" w:line="200" w:lineRule="exact"/>
              <w:jc w:val="right"/>
              <w:rPr>
                <w:i/>
                <w:sz w:val="16"/>
                <w:lang w:val="fr-CH"/>
              </w:rPr>
            </w:pPr>
            <w:r w:rsidRPr="0071782F">
              <w:rPr>
                <w:i/>
                <w:sz w:val="16"/>
                <w:lang w:val="fr-CH"/>
              </w:rPr>
              <w:t>Statisti</w:t>
            </w:r>
            <w:r w:rsidR="008572D3" w:rsidRPr="0071782F">
              <w:rPr>
                <w:i/>
                <w:sz w:val="16"/>
                <w:lang w:val="fr-CH"/>
              </w:rPr>
              <w:t>que</w:t>
            </w:r>
            <w:r w:rsidRPr="0071782F">
              <w:rPr>
                <w:i/>
                <w:sz w:val="16"/>
                <w:lang w:val="fr-CH"/>
              </w:rPr>
              <w:t xml:space="preserve">s </w:t>
            </w:r>
            <w:r w:rsidR="008572D3" w:rsidRPr="0071782F">
              <w:rPr>
                <w:i/>
                <w:sz w:val="16"/>
                <w:lang w:val="fr-CH"/>
              </w:rPr>
              <w:t>et</w:t>
            </w:r>
            <w:r w:rsidRPr="0071782F">
              <w:rPr>
                <w:i/>
                <w:sz w:val="16"/>
                <w:lang w:val="fr-CH"/>
              </w:rPr>
              <w:t xml:space="preserve"> </w:t>
            </w:r>
            <w:r w:rsidR="008572D3" w:rsidRPr="0071782F">
              <w:rPr>
                <w:i/>
                <w:sz w:val="16"/>
                <w:lang w:val="fr-CH"/>
              </w:rPr>
              <w:t xml:space="preserve">résultats </w:t>
            </w:r>
          </w:p>
        </w:tc>
      </w:tr>
      <w:tr w:rsidR="00333944" w:rsidRPr="0071782F">
        <w:tc>
          <w:tcPr>
            <w:tcW w:w="525" w:type="dxa"/>
            <w:tcBorders>
              <w:top w:val="single" w:sz="12" w:space="0" w:color="auto"/>
              <w:bottom w:val="single" w:sz="4" w:space="0" w:color="auto"/>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w:t>
            </w:r>
          </w:p>
        </w:tc>
        <w:tc>
          <w:tcPr>
            <w:tcW w:w="6348" w:type="dxa"/>
            <w:tcBorders>
              <w:top w:val="single" w:sz="12" w:space="0" w:color="auto"/>
              <w:bottom w:val="single" w:sz="4" w:space="0" w:color="auto"/>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mbre de prestataires pris en charge par les services sociaux</w:t>
            </w:r>
          </w:p>
        </w:tc>
        <w:tc>
          <w:tcPr>
            <w:tcW w:w="1632" w:type="dxa"/>
            <w:tcBorders>
              <w:top w:val="single" w:sz="12" w:space="0" w:color="auto"/>
              <w:bottom w:val="single" w:sz="4" w:space="0" w:color="auto"/>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70 980</w:t>
            </w:r>
          </w:p>
        </w:tc>
      </w:tr>
      <w:tr w:rsidR="00333944" w:rsidRPr="0071782F">
        <w:tc>
          <w:tcPr>
            <w:tcW w:w="525" w:type="dxa"/>
            <w:tcBorders>
              <w:top w:val="single" w:sz="4" w:space="0" w:color="auto"/>
              <w:bottom w:val="single" w:sz="4" w:space="0" w:color="auto"/>
            </w:tcBorders>
            <w:shd w:val="clear" w:color="auto" w:fill="auto"/>
          </w:tcPr>
          <w:p w:rsidR="00333944" w:rsidRPr="0071782F" w:rsidRDefault="00333944" w:rsidP="00C232FA">
            <w:pPr>
              <w:suppressAutoHyphens w:val="0"/>
              <w:spacing w:before="80" w:after="80" w:line="220" w:lineRule="exact"/>
              <w:rPr>
                <w:b/>
                <w:sz w:val="18"/>
                <w:lang w:val="fr-CH"/>
              </w:rPr>
            </w:pPr>
            <w:r w:rsidRPr="0071782F">
              <w:rPr>
                <w:b/>
                <w:sz w:val="18"/>
                <w:lang w:val="fr-CH"/>
              </w:rPr>
              <w:t>2</w:t>
            </w:r>
          </w:p>
        </w:tc>
        <w:tc>
          <w:tcPr>
            <w:tcW w:w="6348" w:type="dxa"/>
            <w:tcBorders>
              <w:top w:val="single" w:sz="4" w:space="0" w:color="auto"/>
              <w:bottom w:val="single" w:sz="4" w:space="0" w:color="auto"/>
            </w:tcBorders>
            <w:shd w:val="clear" w:color="auto" w:fill="auto"/>
            <w:vAlign w:val="bottom"/>
          </w:tcPr>
          <w:p w:rsidR="00333944" w:rsidRPr="0071782F" w:rsidRDefault="008572D3" w:rsidP="00FD76D5">
            <w:pPr>
              <w:suppressAutoHyphens w:val="0"/>
              <w:spacing w:before="80" w:after="80" w:line="220" w:lineRule="exact"/>
              <w:ind w:firstLine="284"/>
              <w:rPr>
                <w:b/>
                <w:sz w:val="18"/>
                <w:lang w:val="fr-CH"/>
              </w:rPr>
            </w:pPr>
            <w:r w:rsidRPr="0071782F">
              <w:rPr>
                <w:b/>
                <w:sz w:val="18"/>
                <w:lang w:val="fr-CH"/>
              </w:rPr>
              <w:t>Montant t</w:t>
            </w:r>
            <w:r w:rsidR="00333944" w:rsidRPr="0071782F">
              <w:rPr>
                <w:b/>
                <w:sz w:val="18"/>
                <w:lang w:val="fr-CH"/>
              </w:rPr>
              <w:t xml:space="preserve">otal </w:t>
            </w:r>
            <w:r w:rsidRPr="0071782F">
              <w:rPr>
                <w:b/>
                <w:sz w:val="18"/>
                <w:lang w:val="fr-CH"/>
              </w:rPr>
              <w:t xml:space="preserve">des prestations sociales versées </w:t>
            </w:r>
          </w:p>
        </w:tc>
        <w:tc>
          <w:tcPr>
            <w:tcW w:w="1632" w:type="dxa"/>
            <w:tcBorders>
              <w:top w:val="single" w:sz="4" w:space="0" w:color="auto"/>
              <w:bottom w:val="single" w:sz="4" w:space="0" w:color="auto"/>
            </w:tcBorders>
            <w:shd w:val="clear" w:color="auto" w:fill="auto"/>
            <w:vAlign w:val="bottom"/>
          </w:tcPr>
          <w:p w:rsidR="00333944" w:rsidRPr="0071782F" w:rsidRDefault="00333944" w:rsidP="00C232FA">
            <w:pPr>
              <w:suppressAutoHyphens w:val="0"/>
              <w:spacing w:before="80" w:after="80" w:line="220" w:lineRule="exact"/>
              <w:jc w:val="right"/>
              <w:rPr>
                <w:b/>
                <w:sz w:val="18"/>
                <w:lang w:val="fr-CH"/>
              </w:rPr>
            </w:pPr>
            <w:r w:rsidRPr="0071782F">
              <w:rPr>
                <w:b/>
                <w:sz w:val="18"/>
                <w:lang w:val="fr-CH"/>
              </w:rPr>
              <w:t>2 818 036 757 500</w:t>
            </w:r>
          </w:p>
        </w:tc>
      </w:tr>
      <w:tr w:rsidR="00333944" w:rsidRPr="0071782F">
        <w:tc>
          <w:tcPr>
            <w:tcW w:w="525" w:type="dxa"/>
            <w:tcBorders>
              <w:top w:val="single" w:sz="4" w:space="0" w:color="auto"/>
              <w:bottom w:val="single" w:sz="4" w:space="0" w:color="auto"/>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3</w:t>
            </w:r>
          </w:p>
        </w:tc>
        <w:tc>
          <w:tcPr>
            <w:tcW w:w="6348" w:type="dxa"/>
            <w:tcBorders>
              <w:top w:val="single" w:sz="4" w:space="0" w:color="auto"/>
              <w:bottom w:val="single" w:sz="4" w:space="0" w:color="auto"/>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w:t>
            </w:r>
            <w:r w:rsidR="00D82C96" w:rsidRPr="0071782F">
              <w:rPr>
                <w:sz w:val="18"/>
                <w:lang w:val="fr-CH"/>
              </w:rPr>
              <w:t>de personnes</w:t>
            </w:r>
            <w:r w:rsidR="008572D3" w:rsidRPr="0071782F">
              <w:rPr>
                <w:sz w:val="18"/>
                <w:lang w:val="fr-CH"/>
              </w:rPr>
              <w:t xml:space="preserve"> en attente de prestations </w:t>
            </w:r>
            <w:r w:rsidRPr="0071782F">
              <w:rPr>
                <w:sz w:val="18"/>
                <w:lang w:val="fr-CH"/>
              </w:rPr>
              <w:t>social</w:t>
            </w:r>
            <w:r w:rsidR="008572D3" w:rsidRPr="0071782F">
              <w:rPr>
                <w:sz w:val="18"/>
                <w:lang w:val="fr-CH"/>
              </w:rPr>
              <w:t>es</w:t>
            </w:r>
          </w:p>
        </w:tc>
        <w:tc>
          <w:tcPr>
            <w:tcW w:w="1632" w:type="dxa"/>
            <w:tcBorders>
              <w:top w:val="single" w:sz="4" w:space="0" w:color="auto"/>
              <w:bottom w:val="single" w:sz="4" w:space="0" w:color="auto"/>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60 727</w:t>
            </w:r>
          </w:p>
        </w:tc>
      </w:tr>
      <w:tr w:rsidR="00333944" w:rsidRPr="0071782F">
        <w:tc>
          <w:tcPr>
            <w:tcW w:w="525" w:type="dxa"/>
            <w:tcBorders>
              <w:top w:val="single" w:sz="4" w:space="0" w:color="auto"/>
              <w:bottom w:val="single" w:sz="4" w:space="0" w:color="auto"/>
            </w:tcBorders>
            <w:shd w:val="clear" w:color="auto" w:fill="auto"/>
          </w:tcPr>
          <w:p w:rsidR="00333944" w:rsidRPr="0071782F" w:rsidRDefault="00333944" w:rsidP="00C232FA">
            <w:pPr>
              <w:suppressAutoHyphens w:val="0"/>
              <w:spacing w:before="80" w:after="80" w:line="220" w:lineRule="exact"/>
              <w:rPr>
                <w:b/>
                <w:sz w:val="18"/>
                <w:lang w:val="fr-CH"/>
              </w:rPr>
            </w:pPr>
            <w:r w:rsidRPr="0071782F">
              <w:rPr>
                <w:b/>
                <w:sz w:val="18"/>
                <w:lang w:val="fr-CH"/>
              </w:rPr>
              <w:t>4</w:t>
            </w:r>
          </w:p>
        </w:tc>
        <w:tc>
          <w:tcPr>
            <w:tcW w:w="6348" w:type="dxa"/>
            <w:tcBorders>
              <w:top w:val="single" w:sz="4" w:space="0" w:color="auto"/>
              <w:bottom w:val="single" w:sz="4" w:space="0" w:color="auto"/>
            </w:tcBorders>
            <w:shd w:val="clear" w:color="auto" w:fill="auto"/>
            <w:vAlign w:val="bottom"/>
          </w:tcPr>
          <w:p w:rsidR="00333944" w:rsidRPr="0071782F" w:rsidRDefault="008572D3" w:rsidP="00FD76D5">
            <w:pPr>
              <w:suppressAutoHyphens w:val="0"/>
              <w:spacing w:before="80" w:after="80" w:line="220" w:lineRule="exact"/>
              <w:ind w:left="284"/>
              <w:rPr>
                <w:b/>
                <w:sz w:val="18"/>
                <w:lang w:val="fr-CH"/>
              </w:rPr>
            </w:pPr>
            <w:r w:rsidRPr="0071782F">
              <w:rPr>
                <w:b/>
                <w:sz w:val="18"/>
                <w:lang w:val="fr-CH"/>
              </w:rPr>
              <w:t>Montant total des aides financières ponctuelles versées par les services sociaux</w:t>
            </w:r>
            <w:r w:rsidR="00D36718">
              <w:rPr>
                <w:b/>
                <w:sz w:val="18"/>
                <w:lang w:val="fr-CH"/>
              </w:rPr>
              <w:t xml:space="preserve"> </w:t>
            </w:r>
          </w:p>
        </w:tc>
        <w:tc>
          <w:tcPr>
            <w:tcW w:w="1632" w:type="dxa"/>
            <w:tcBorders>
              <w:top w:val="single" w:sz="4" w:space="0" w:color="auto"/>
              <w:bottom w:val="single" w:sz="4" w:space="0" w:color="auto"/>
            </w:tcBorders>
            <w:shd w:val="clear" w:color="auto" w:fill="auto"/>
            <w:vAlign w:val="bottom"/>
          </w:tcPr>
          <w:p w:rsidR="00333944" w:rsidRPr="0071782F" w:rsidRDefault="00333944" w:rsidP="00C232FA">
            <w:pPr>
              <w:suppressAutoHyphens w:val="0"/>
              <w:spacing w:before="80" w:after="80" w:line="220" w:lineRule="exact"/>
              <w:jc w:val="right"/>
              <w:rPr>
                <w:b/>
                <w:sz w:val="18"/>
                <w:lang w:val="fr-CH"/>
              </w:rPr>
            </w:pPr>
            <w:r w:rsidRPr="0071782F">
              <w:rPr>
                <w:b/>
                <w:sz w:val="18"/>
                <w:lang w:val="fr-CH"/>
              </w:rPr>
              <w:t>859 660 821 000</w:t>
            </w:r>
          </w:p>
        </w:tc>
      </w:tr>
      <w:tr w:rsidR="00333944" w:rsidRPr="0071782F">
        <w:tc>
          <w:tcPr>
            <w:tcW w:w="525" w:type="dxa"/>
            <w:tcBorders>
              <w:top w:val="single" w:sz="4" w:space="0" w:color="auto"/>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5</w:t>
            </w:r>
          </w:p>
        </w:tc>
        <w:tc>
          <w:tcPr>
            <w:tcW w:w="6348" w:type="dxa"/>
            <w:tcBorders>
              <w:top w:val="single" w:sz="4" w:space="0" w:color="auto"/>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de femmes auxiliaires </w:t>
            </w:r>
          </w:p>
        </w:tc>
        <w:tc>
          <w:tcPr>
            <w:tcW w:w="1632" w:type="dxa"/>
            <w:tcBorders>
              <w:top w:val="single" w:sz="4" w:space="0" w:color="auto"/>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151</w:t>
            </w:r>
          </w:p>
        </w:tc>
      </w:tr>
      <w:tr w:rsidR="00333944" w:rsidRPr="0071782F">
        <w:tc>
          <w:tcPr>
            <w:tcW w:w="525"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6</w:t>
            </w:r>
          </w:p>
        </w:tc>
        <w:tc>
          <w:tcPr>
            <w:tcW w:w="6348" w:type="dxa"/>
            <w:shd w:val="clear" w:color="auto" w:fill="auto"/>
            <w:vAlign w:val="bottom"/>
          </w:tcPr>
          <w:p w:rsidR="00333944" w:rsidRPr="0071782F" w:rsidRDefault="008572D3" w:rsidP="00C232FA">
            <w:pPr>
              <w:suppressAutoHyphens w:val="0"/>
              <w:spacing w:before="40" w:after="40" w:line="220" w:lineRule="exact"/>
              <w:rPr>
                <w:sz w:val="18"/>
                <w:lang w:val="fr-CH"/>
              </w:rPr>
            </w:pPr>
            <w:r w:rsidRPr="0071782F">
              <w:rPr>
                <w:sz w:val="18"/>
                <w:lang w:val="fr-CH"/>
              </w:rPr>
              <w:t xml:space="preserve">Nombre de femmes au foyer assurées </w:t>
            </w:r>
          </w:p>
        </w:tc>
        <w:tc>
          <w:tcPr>
            <w:tcW w:w="16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4 963</w:t>
            </w:r>
          </w:p>
        </w:tc>
      </w:tr>
      <w:tr w:rsidR="00333944" w:rsidRPr="0071782F">
        <w:tc>
          <w:tcPr>
            <w:tcW w:w="525" w:type="dxa"/>
            <w:tcBorders>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7</w:t>
            </w:r>
          </w:p>
        </w:tc>
        <w:tc>
          <w:tcPr>
            <w:tcW w:w="6348" w:type="dxa"/>
            <w:tcBorders>
              <w:bottom w:val="nil"/>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de garderies rurales </w:t>
            </w:r>
          </w:p>
        </w:tc>
        <w:tc>
          <w:tcPr>
            <w:tcW w:w="1632" w:type="dxa"/>
            <w:tcBorders>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3 063</w:t>
            </w:r>
          </w:p>
        </w:tc>
      </w:tr>
      <w:tr w:rsidR="00333944" w:rsidRPr="0071782F">
        <w:tc>
          <w:tcPr>
            <w:tcW w:w="525" w:type="dxa"/>
            <w:tcBorders>
              <w:top w:val="nil"/>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8</w:t>
            </w:r>
          </w:p>
        </w:tc>
        <w:tc>
          <w:tcPr>
            <w:tcW w:w="6348" w:type="dxa"/>
            <w:tcBorders>
              <w:top w:val="nil"/>
              <w:bottom w:val="nil"/>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de réseaux </w:t>
            </w:r>
            <w:r w:rsidRPr="0071782F">
              <w:rPr>
                <w:sz w:val="18"/>
                <w:lang w:val="fr-CH"/>
              </w:rPr>
              <w:t>rura</w:t>
            </w:r>
            <w:r w:rsidR="008572D3" w:rsidRPr="0071782F">
              <w:rPr>
                <w:sz w:val="18"/>
                <w:lang w:val="fr-CH"/>
              </w:rPr>
              <w:t>ux</w:t>
            </w:r>
            <w:r w:rsidRPr="0071782F">
              <w:rPr>
                <w:sz w:val="18"/>
                <w:lang w:val="fr-CH"/>
              </w:rPr>
              <w:t xml:space="preserve"> </w:t>
            </w:r>
            <w:r w:rsidR="008572D3" w:rsidRPr="0071782F">
              <w:rPr>
                <w:sz w:val="18"/>
                <w:lang w:val="fr-CH"/>
              </w:rPr>
              <w:t>de services de protection sociale avec garderies</w:t>
            </w:r>
          </w:p>
        </w:tc>
        <w:tc>
          <w:tcPr>
            <w:tcW w:w="1632"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826</w:t>
            </w:r>
          </w:p>
        </w:tc>
      </w:tr>
      <w:tr w:rsidR="00333944" w:rsidRPr="0071782F">
        <w:tc>
          <w:tcPr>
            <w:tcW w:w="525" w:type="dxa"/>
            <w:tcBorders>
              <w:top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9</w:t>
            </w:r>
          </w:p>
        </w:tc>
        <w:tc>
          <w:tcPr>
            <w:tcW w:w="6348" w:type="dxa"/>
            <w:tcBorders>
              <w:top w:val="nil"/>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12EF3" w:rsidRPr="0071782F">
              <w:rPr>
                <w:sz w:val="18"/>
                <w:lang w:val="fr-CH"/>
              </w:rPr>
              <w:t>mbre d’enfants inscr</w:t>
            </w:r>
            <w:r w:rsidR="008572D3" w:rsidRPr="0071782F">
              <w:rPr>
                <w:sz w:val="18"/>
                <w:lang w:val="fr-CH"/>
              </w:rPr>
              <w:t xml:space="preserve">its dans les garderies </w:t>
            </w:r>
          </w:p>
        </w:tc>
        <w:tc>
          <w:tcPr>
            <w:tcW w:w="1632" w:type="dxa"/>
            <w:tcBorders>
              <w:top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32 889</w:t>
            </w:r>
          </w:p>
        </w:tc>
      </w:tr>
      <w:tr w:rsidR="00333944" w:rsidRPr="0071782F">
        <w:tc>
          <w:tcPr>
            <w:tcW w:w="525"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10</w:t>
            </w:r>
          </w:p>
        </w:tc>
        <w:tc>
          <w:tcPr>
            <w:tcW w:w="6348" w:type="dxa"/>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mbre de paq</w:t>
            </w:r>
            <w:r w:rsidR="00812EF3" w:rsidRPr="0071782F">
              <w:rPr>
                <w:sz w:val="18"/>
                <w:lang w:val="fr-CH"/>
              </w:rPr>
              <w:t>uets de lait en poudre distribu</w:t>
            </w:r>
            <w:r w:rsidR="008572D3" w:rsidRPr="0071782F">
              <w:rPr>
                <w:sz w:val="18"/>
                <w:lang w:val="fr-CH"/>
              </w:rPr>
              <w:t xml:space="preserve">és </w:t>
            </w:r>
          </w:p>
        </w:tc>
        <w:tc>
          <w:tcPr>
            <w:tcW w:w="16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63 881</w:t>
            </w:r>
          </w:p>
        </w:tc>
      </w:tr>
      <w:tr w:rsidR="00333944" w:rsidRPr="0071782F">
        <w:tc>
          <w:tcPr>
            <w:tcW w:w="525"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11</w:t>
            </w:r>
          </w:p>
        </w:tc>
        <w:tc>
          <w:tcPr>
            <w:tcW w:w="6348" w:type="dxa"/>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w:t>
            </w:r>
            <w:r w:rsidR="0092511D" w:rsidRPr="0071782F">
              <w:rPr>
                <w:sz w:val="18"/>
                <w:lang w:val="fr-CH"/>
              </w:rPr>
              <w:t>de famille</w:t>
            </w:r>
            <w:r w:rsidR="008572D3" w:rsidRPr="0071782F">
              <w:rPr>
                <w:sz w:val="18"/>
                <w:lang w:val="fr-CH"/>
              </w:rPr>
              <w:t xml:space="preserve">s recevant des aliments de base </w:t>
            </w:r>
          </w:p>
        </w:tc>
        <w:tc>
          <w:tcPr>
            <w:tcW w:w="16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43 289</w:t>
            </w:r>
          </w:p>
        </w:tc>
      </w:tr>
      <w:tr w:rsidR="00333944" w:rsidRPr="0071782F">
        <w:tc>
          <w:tcPr>
            <w:tcW w:w="525"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12</w:t>
            </w:r>
          </w:p>
        </w:tc>
        <w:tc>
          <w:tcPr>
            <w:tcW w:w="6348" w:type="dxa"/>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de programmes de sensibilisation en matière de </w:t>
            </w:r>
            <w:r w:rsidRPr="0071782F">
              <w:rPr>
                <w:sz w:val="18"/>
                <w:lang w:val="fr-CH"/>
              </w:rPr>
              <w:t>pr</w:t>
            </w:r>
            <w:r w:rsidR="008572D3" w:rsidRPr="0071782F">
              <w:rPr>
                <w:sz w:val="18"/>
                <w:lang w:val="fr-CH"/>
              </w:rPr>
              <w:t>é</w:t>
            </w:r>
            <w:r w:rsidRPr="0071782F">
              <w:rPr>
                <w:sz w:val="18"/>
                <w:lang w:val="fr-CH"/>
              </w:rPr>
              <w:t xml:space="preserve">vention </w:t>
            </w:r>
          </w:p>
        </w:tc>
        <w:tc>
          <w:tcPr>
            <w:tcW w:w="16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893</w:t>
            </w:r>
          </w:p>
        </w:tc>
      </w:tr>
      <w:tr w:rsidR="00333944" w:rsidRPr="0071782F">
        <w:tc>
          <w:tcPr>
            <w:tcW w:w="525"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13</w:t>
            </w:r>
          </w:p>
        </w:tc>
        <w:tc>
          <w:tcPr>
            <w:tcW w:w="6348" w:type="dxa"/>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de </w:t>
            </w:r>
            <w:r w:rsidRPr="0071782F">
              <w:rPr>
                <w:sz w:val="18"/>
                <w:lang w:val="fr-CH"/>
              </w:rPr>
              <w:t xml:space="preserve">participants </w:t>
            </w:r>
            <w:r w:rsidR="008572D3" w:rsidRPr="0071782F">
              <w:rPr>
                <w:sz w:val="18"/>
                <w:lang w:val="fr-CH"/>
              </w:rPr>
              <w:t>aux programmes de sensibilisation en matière de prévention</w:t>
            </w:r>
          </w:p>
        </w:tc>
        <w:tc>
          <w:tcPr>
            <w:tcW w:w="16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41 516</w:t>
            </w:r>
          </w:p>
        </w:tc>
      </w:tr>
      <w:tr w:rsidR="00333944" w:rsidRPr="0071782F">
        <w:tc>
          <w:tcPr>
            <w:tcW w:w="525"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14</w:t>
            </w:r>
          </w:p>
        </w:tc>
        <w:tc>
          <w:tcPr>
            <w:tcW w:w="6348" w:type="dxa"/>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de toxicomanes déclarés </w:t>
            </w:r>
          </w:p>
        </w:tc>
        <w:tc>
          <w:tcPr>
            <w:tcW w:w="16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2 777</w:t>
            </w:r>
          </w:p>
        </w:tc>
      </w:tr>
      <w:tr w:rsidR="00333944" w:rsidRPr="0071782F">
        <w:tc>
          <w:tcPr>
            <w:tcW w:w="525"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15</w:t>
            </w:r>
          </w:p>
        </w:tc>
        <w:tc>
          <w:tcPr>
            <w:tcW w:w="6348" w:type="dxa"/>
            <w:shd w:val="clear" w:color="auto" w:fill="auto"/>
            <w:vAlign w:val="bottom"/>
          </w:tcPr>
          <w:p w:rsidR="00333944" w:rsidRPr="0071782F" w:rsidRDefault="008572D3" w:rsidP="00C232FA">
            <w:pPr>
              <w:suppressAutoHyphens w:val="0"/>
              <w:spacing w:before="40" w:after="40" w:line="220" w:lineRule="exact"/>
              <w:rPr>
                <w:sz w:val="18"/>
                <w:lang w:val="fr-CH"/>
              </w:rPr>
            </w:pPr>
            <w:r w:rsidRPr="0071782F">
              <w:rPr>
                <w:sz w:val="18"/>
                <w:lang w:val="fr-CH"/>
              </w:rPr>
              <w:t>Nombre de toxicomanes enregistrés</w:t>
            </w:r>
          </w:p>
        </w:tc>
        <w:tc>
          <w:tcPr>
            <w:tcW w:w="16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1 588</w:t>
            </w:r>
          </w:p>
        </w:tc>
      </w:tr>
      <w:tr w:rsidR="00333944" w:rsidRPr="0071782F">
        <w:tc>
          <w:tcPr>
            <w:tcW w:w="525"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16</w:t>
            </w:r>
          </w:p>
        </w:tc>
        <w:tc>
          <w:tcPr>
            <w:tcW w:w="6348" w:type="dxa"/>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de brochures de </w:t>
            </w:r>
            <w:r w:rsidRPr="0071782F">
              <w:rPr>
                <w:sz w:val="18"/>
                <w:lang w:val="fr-CH"/>
              </w:rPr>
              <w:t>pr</w:t>
            </w:r>
            <w:r w:rsidR="008572D3" w:rsidRPr="0071782F">
              <w:rPr>
                <w:sz w:val="18"/>
                <w:lang w:val="fr-CH"/>
              </w:rPr>
              <w:t>é</w:t>
            </w:r>
            <w:r w:rsidRPr="0071782F">
              <w:rPr>
                <w:sz w:val="18"/>
                <w:lang w:val="fr-CH"/>
              </w:rPr>
              <w:t xml:space="preserve">vention </w:t>
            </w:r>
            <w:r w:rsidR="008572D3" w:rsidRPr="0071782F">
              <w:rPr>
                <w:sz w:val="18"/>
                <w:lang w:val="fr-CH"/>
              </w:rPr>
              <w:t>di</w:t>
            </w:r>
            <w:r w:rsidRPr="0071782F">
              <w:rPr>
                <w:sz w:val="18"/>
                <w:lang w:val="fr-CH"/>
              </w:rPr>
              <w:t>s</w:t>
            </w:r>
            <w:r w:rsidR="008572D3" w:rsidRPr="0071782F">
              <w:rPr>
                <w:sz w:val="18"/>
                <w:lang w:val="fr-CH"/>
              </w:rPr>
              <w:t>tribuées</w:t>
            </w:r>
          </w:p>
        </w:tc>
        <w:tc>
          <w:tcPr>
            <w:tcW w:w="16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67 199</w:t>
            </w:r>
          </w:p>
        </w:tc>
      </w:tr>
      <w:tr w:rsidR="00333944" w:rsidRPr="0071782F">
        <w:tc>
          <w:tcPr>
            <w:tcW w:w="525"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17</w:t>
            </w:r>
          </w:p>
        </w:tc>
        <w:tc>
          <w:tcPr>
            <w:tcW w:w="6348" w:type="dxa"/>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de services de </w:t>
            </w:r>
            <w:r w:rsidRPr="0071782F">
              <w:rPr>
                <w:sz w:val="18"/>
                <w:lang w:val="fr-CH"/>
              </w:rPr>
              <w:t xml:space="preserve">consultation </w:t>
            </w:r>
            <w:r w:rsidR="008572D3" w:rsidRPr="0071782F">
              <w:rPr>
                <w:sz w:val="18"/>
                <w:lang w:val="fr-CH"/>
              </w:rPr>
              <w:t>fournis dans les réseaux ruraux</w:t>
            </w:r>
          </w:p>
        </w:tc>
        <w:tc>
          <w:tcPr>
            <w:tcW w:w="16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22 026</w:t>
            </w:r>
          </w:p>
        </w:tc>
      </w:tr>
      <w:tr w:rsidR="00333944" w:rsidRPr="0071782F">
        <w:tc>
          <w:tcPr>
            <w:tcW w:w="525"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18</w:t>
            </w:r>
          </w:p>
        </w:tc>
        <w:tc>
          <w:tcPr>
            <w:tcW w:w="6348" w:type="dxa"/>
            <w:shd w:val="clear" w:color="auto" w:fill="auto"/>
            <w:vAlign w:val="bottom"/>
          </w:tcPr>
          <w:p w:rsidR="00333944" w:rsidRPr="0071782F" w:rsidRDefault="008572D3" w:rsidP="00C232FA">
            <w:pPr>
              <w:suppressAutoHyphens w:val="0"/>
              <w:spacing w:before="40" w:after="40" w:line="220" w:lineRule="exact"/>
              <w:rPr>
                <w:sz w:val="18"/>
                <w:lang w:val="fr-CH"/>
              </w:rPr>
            </w:pPr>
            <w:r w:rsidRPr="0071782F">
              <w:rPr>
                <w:sz w:val="18"/>
                <w:lang w:val="fr-CH"/>
              </w:rPr>
              <w:t>Nombre d’enfants participant au programme relatif à l’</w:t>
            </w:r>
            <w:r w:rsidR="00333944" w:rsidRPr="0071782F">
              <w:rPr>
                <w:sz w:val="18"/>
                <w:lang w:val="fr-CH"/>
              </w:rPr>
              <w:t>amblyopi</w:t>
            </w:r>
            <w:r w:rsidRPr="0071782F">
              <w:rPr>
                <w:sz w:val="18"/>
                <w:lang w:val="fr-CH"/>
              </w:rPr>
              <w:t>e</w:t>
            </w:r>
            <w:r w:rsidR="00333944" w:rsidRPr="0071782F">
              <w:rPr>
                <w:sz w:val="18"/>
                <w:lang w:val="fr-CH"/>
              </w:rPr>
              <w:t xml:space="preserve"> </w:t>
            </w:r>
          </w:p>
        </w:tc>
        <w:tc>
          <w:tcPr>
            <w:tcW w:w="16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205 481</w:t>
            </w:r>
          </w:p>
        </w:tc>
      </w:tr>
      <w:tr w:rsidR="00333944" w:rsidRPr="0071782F">
        <w:tc>
          <w:tcPr>
            <w:tcW w:w="525"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19</w:t>
            </w:r>
          </w:p>
        </w:tc>
        <w:tc>
          <w:tcPr>
            <w:tcW w:w="6348" w:type="dxa"/>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w:t>
            </w:r>
            <w:r w:rsidR="00D82C96" w:rsidRPr="0071782F">
              <w:rPr>
                <w:sz w:val="18"/>
                <w:lang w:val="fr-CH"/>
              </w:rPr>
              <w:t>de personnes</w:t>
            </w:r>
            <w:r w:rsidRPr="0071782F">
              <w:rPr>
                <w:sz w:val="18"/>
                <w:lang w:val="fr-CH"/>
              </w:rPr>
              <w:t xml:space="preserve"> </w:t>
            </w:r>
            <w:r w:rsidR="008572D3" w:rsidRPr="0071782F">
              <w:rPr>
                <w:sz w:val="18"/>
                <w:lang w:val="fr-CH"/>
              </w:rPr>
              <w:t xml:space="preserve">prises en charge par les </w:t>
            </w:r>
            <w:r w:rsidRPr="0071782F">
              <w:rPr>
                <w:sz w:val="18"/>
                <w:lang w:val="fr-CH"/>
              </w:rPr>
              <w:t>services</w:t>
            </w:r>
            <w:r w:rsidR="008572D3" w:rsidRPr="0071782F">
              <w:rPr>
                <w:sz w:val="18"/>
                <w:lang w:val="fr-CH"/>
              </w:rPr>
              <w:t xml:space="preserve"> de réadaptation</w:t>
            </w:r>
          </w:p>
        </w:tc>
        <w:tc>
          <w:tcPr>
            <w:tcW w:w="16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67 298</w:t>
            </w:r>
          </w:p>
        </w:tc>
      </w:tr>
      <w:tr w:rsidR="00333944" w:rsidRPr="0071782F">
        <w:tc>
          <w:tcPr>
            <w:tcW w:w="525" w:type="dxa"/>
            <w:tcBorders>
              <w:bottom w:val="single" w:sz="4" w:space="0" w:color="auto"/>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20</w:t>
            </w:r>
          </w:p>
        </w:tc>
        <w:tc>
          <w:tcPr>
            <w:tcW w:w="6348" w:type="dxa"/>
            <w:tcBorders>
              <w:bottom w:val="single" w:sz="4" w:space="0" w:color="auto"/>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w:t>
            </w:r>
            <w:r w:rsidR="00D82C96" w:rsidRPr="0071782F">
              <w:rPr>
                <w:sz w:val="18"/>
                <w:lang w:val="fr-CH"/>
              </w:rPr>
              <w:t>de personnes</w:t>
            </w:r>
            <w:r w:rsidRPr="0071782F">
              <w:rPr>
                <w:sz w:val="18"/>
                <w:lang w:val="fr-CH"/>
              </w:rPr>
              <w:t xml:space="preserve"> </w:t>
            </w:r>
            <w:r w:rsidR="008572D3" w:rsidRPr="0071782F">
              <w:rPr>
                <w:sz w:val="18"/>
                <w:lang w:val="fr-CH"/>
              </w:rPr>
              <w:t xml:space="preserve">en attente de prise en charge par les services de réadaptation </w:t>
            </w:r>
          </w:p>
        </w:tc>
        <w:tc>
          <w:tcPr>
            <w:tcW w:w="1632" w:type="dxa"/>
            <w:tcBorders>
              <w:bottom w:val="single" w:sz="4" w:space="0" w:color="auto"/>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31 188</w:t>
            </w:r>
          </w:p>
        </w:tc>
      </w:tr>
      <w:tr w:rsidR="00333944" w:rsidRPr="0071782F">
        <w:tc>
          <w:tcPr>
            <w:tcW w:w="525" w:type="dxa"/>
            <w:tcBorders>
              <w:top w:val="single" w:sz="4" w:space="0" w:color="auto"/>
              <w:bottom w:val="single" w:sz="4" w:space="0" w:color="auto"/>
            </w:tcBorders>
            <w:shd w:val="clear" w:color="auto" w:fill="auto"/>
          </w:tcPr>
          <w:p w:rsidR="00333944" w:rsidRPr="0071782F" w:rsidRDefault="00333944" w:rsidP="00C232FA">
            <w:pPr>
              <w:suppressAutoHyphens w:val="0"/>
              <w:spacing w:before="80" w:after="80" w:line="220" w:lineRule="exact"/>
              <w:rPr>
                <w:b/>
                <w:sz w:val="18"/>
                <w:lang w:val="fr-CH"/>
              </w:rPr>
            </w:pPr>
            <w:r w:rsidRPr="0071782F">
              <w:rPr>
                <w:b/>
                <w:sz w:val="18"/>
                <w:lang w:val="fr-CH"/>
              </w:rPr>
              <w:t>21</w:t>
            </w:r>
          </w:p>
        </w:tc>
        <w:tc>
          <w:tcPr>
            <w:tcW w:w="6348" w:type="dxa"/>
            <w:tcBorders>
              <w:top w:val="single" w:sz="4" w:space="0" w:color="auto"/>
              <w:bottom w:val="single" w:sz="4" w:space="0" w:color="auto"/>
            </w:tcBorders>
            <w:shd w:val="clear" w:color="auto" w:fill="auto"/>
            <w:vAlign w:val="bottom"/>
          </w:tcPr>
          <w:p w:rsidR="00333944" w:rsidRPr="0071782F" w:rsidRDefault="008572D3" w:rsidP="00FD76D5">
            <w:pPr>
              <w:suppressAutoHyphens w:val="0"/>
              <w:spacing w:before="80" w:after="80" w:line="220" w:lineRule="exact"/>
              <w:ind w:left="284"/>
              <w:rPr>
                <w:b/>
                <w:sz w:val="18"/>
                <w:lang w:val="fr-CH"/>
              </w:rPr>
            </w:pPr>
            <w:r w:rsidRPr="0071782F">
              <w:rPr>
                <w:b/>
                <w:sz w:val="18"/>
                <w:lang w:val="fr-CH"/>
              </w:rPr>
              <w:t>Montant t</w:t>
            </w:r>
            <w:r w:rsidR="00333944" w:rsidRPr="0071782F">
              <w:rPr>
                <w:b/>
                <w:sz w:val="18"/>
                <w:lang w:val="fr-CH"/>
              </w:rPr>
              <w:t xml:space="preserve">otal </w:t>
            </w:r>
            <w:r w:rsidRPr="0071782F">
              <w:rPr>
                <w:b/>
                <w:sz w:val="18"/>
                <w:lang w:val="fr-CH"/>
              </w:rPr>
              <w:t xml:space="preserve">des prestations versées par les services de réadaptation </w:t>
            </w:r>
          </w:p>
        </w:tc>
        <w:tc>
          <w:tcPr>
            <w:tcW w:w="1632" w:type="dxa"/>
            <w:tcBorders>
              <w:top w:val="single" w:sz="4" w:space="0" w:color="auto"/>
              <w:bottom w:val="single" w:sz="4" w:space="0" w:color="auto"/>
            </w:tcBorders>
            <w:shd w:val="clear" w:color="auto" w:fill="auto"/>
            <w:vAlign w:val="bottom"/>
          </w:tcPr>
          <w:p w:rsidR="00333944" w:rsidRPr="0071782F" w:rsidRDefault="00333944" w:rsidP="00C232FA">
            <w:pPr>
              <w:suppressAutoHyphens w:val="0"/>
              <w:spacing w:before="80" w:after="80" w:line="220" w:lineRule="exact"/>
              <w:jc w:val="right"/>
              <w:rPr>
                <w:b/>
                <w:sz w:val="18"/>
                <w:lang w:val="fr-CH"/>
              </w:rPr>
            </w:pPr>
            <w:r w:rsidRPr="0071782F">
              <w:rPr>
                <w:b/>
                <w:sz w:val="18"/>
                <w:lang w:val="fr-CH"/>
              </w:rPr>
              <w:t>3 204 977 607 200</w:t>
            </w:r>
          </w:p>
        </w:tc>
      </w:tr>
      <w:tr w:rsidR="00333944" w:rsidRPr="0071782F">
        <w:tc>
          <w:tcPr>
            <w:tcW w:w="525" w:type="dxa"/>
            <w:tcBorders>
              <w:top w:val="single" w:sz="4" w:space="0" w:color="auto"/>
              <w:bottom w:val="single" w:sz="4" w:space="0" w:color="auto"/>
            </w:tcBorders>
            <w:shd w:val="clear" w:color="auto" w:fill="auto"/>
          </w:tcPr>
          <w:p w:rsidR="00333944" w:rsidRPr="0071782F" w:rsidRDefault="00333944" w:rsidP="00C232FA">
            <w:pPr>
              <w:suppressAutoHyphens w:val="0"/>
              <w:spacing w:before="80" w:after="80" w:line="220" w:lineRule="exact"/>
              <w:rPr>
                <w:b/>
                <w:sz w:val="18"/>
                <w:lang w:val="fr-CH"/>
              </w:rPr>
            </w:pPr>
            <w:r w:rsidRPr="0071782F">
              <w:rPr>
                <w:b/>
                <w:sz w:val="18"/>
                <w:lang w:val="fr-CH"/>
              </w:rPr>
              <w:t>22</w:t>
            </w:r>
          </w:p>
        </w:tc>
        <w:tc>
          <w:tcPr>
            <w:tcW w:w="6348" w:type="dxa"/>
            <w:tcBorders>
              <w:top w:val="single" w:sz="4" w:space="0" w:color="auto"/>
              <w:bottom w:val="single" w:sz="4" w:space="0" w:color="auto"/>
            </w:tcBorders>
            <w:shd w:val="clear" w:color="auto" w:fill="auto"/>
            <w:vAlign w:val="bottom"/>
          </w:tcPr>
          <w:p w:rsidR="00333944" w:rsidRPr="0071782F" w:rsidRDefault="008572D3" w:rsidP="00FD76D5">
            <w:pPr>
              <w:suppressAutoHyphens w:val="0"/>
              <w:spacing w:before="80" w:after="80" w:line="220" w:lineRule="exact"/>
              <w:ind w:left="284"/>
              <w:rPr>
                <w:b/>
                <w:sz w:val="18"/>
                <w:lang w:val="fr-CH"/>
              </w:rPr>
            </w:pPr>
            <w:r w:rsidRPr="0071782F">
              <w:rPr>
                <w:b/>
                <w:sz w:val="18"/>
                <w:lang w:val="fr-CH"/>
              </w:rPr>
              <w:t>Montant total des prestations ponctuelles versées par les services de réadaptation</w:t>
            </w:r>
          </w:p>
        </w:tc>
        <w:tc>
          <w:tcPr>
            <w:tcW w:w="1632" w:type="dxa"/>
            <w:tcBorders>
              <w:top w:val="single" w:sz="4" w:space="0" w:color="auto"/>
              <w:bottom w:val="single" w:sz="4" w:space="0" w:color="auto"/>
            </w:tcBorders>
            <w:shd w:val="clear" w:color="auto" w:fill="auto"/>
            <w:vAlign w:val="bottom"/>
          </w:tcPr>
          <w:p w:rsidR="00333944" w:rsidRPr="0071782F" w:rsidRDefault="00333944" w:rsidP="00C232FA">
            <w:pPr>
              <w:suppressAutoHyphens w:val="0"/>
              <w:spacing w:before="80" w:after="80" w:line="220" w:lineRule="exact"/>
              <w:jc w:val="right"/>
              <w:rPr>
                <w:b/>
                <w:sz w:val="18"/>
                <w:lang w:val="fr-CH"/>
              </w:rPr>
            </w:pPr>
            <w:r w:rsidRPr="0071782F">
              <w:rPr>
                <w:b/>
                <w:sz w:val="18"/>
                <w:lang w:val="fr-CH"/>
              </w:rPr>
              <w:t>467 504 896 000</w:t>
            </w:r>
          </w:p>
        </w:tc>
      </w:tr>
      <w:tr w:rsidR="00333944" w:rsidRPr="0071782F">
        <w:tc>
          <w:tcPr>
            <w:tcW w:w="525" w:type="dxa"/>
            <w:tcBorders>
              <w:top w:val="single" w:sz="4" w:space="0" w:color="auto"/>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23</w:t>
            </w:r>
          </w:p>
        </w:tc>
        <w:tc>
          <w:tcPr>
            <w:tcW w:w="6348" w:type="dxa"/>
            <w:tcBorders>
              <w:top w:val="single" w:sz="4" w:space="0" w:color="auto"/>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d’équipements d’aide à la réadaptation distribués </w:t>
            </w:r>
          </w:p>
        </w:tc>
        <w:tc>
          <w:tcPr>
            <w:tcW w:w="1632" w:type="dxa"/>
            <w:tcBorders>
              <w:top w:val="single" w:sz="4" w:space="0" w:color="auto"/>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21 492</w:t>
            </w:r>
          </w:p>
        </w:tc>
      </w:tr>
      <w:tr w:rsidR="00333944" w:rsidRPr="0071782F">
        <w:tc>
          <w:tcPr>
            <w:tcW w:w="525"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24</w:t>
            </w:r>
          </w:p>
        </w:tc>
        <w:tc>
          <w:tcPr>
            <w:tcW w:w="6348" w:type="dxa"/>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w:t>
            </w:r>
            <w:r w:rsidR="00D82C96" w:rsidRPr="0071782F">
              <w:rPr>
                <w:sz w:val="18"/>
                <w:lang w:val="fr-CH"/>
              </w:rPr>
              <w:t>de personnes</w:t>
            </w:r>
            <w:r w:rsidR="008572D3" w:rsidRPr="0071782F">
              <w:rPr>
                <w:sz w:val="18"/>
                <w:lang w:val="fr-CH"/>
              </w:rPr>
              <w:t xml:space="preserve"> souffrant de lésions médullaires prises en charge </w:t>
            </w:r>
          </w:p>
        </w:tc>
        <w:tc>
          <w:tcPr>
            <w:tcW w:w="16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1 251</w:t>
            </w:r>
          </w:p>
        </w:tc>
      </w:tr>
      <w:tr w:rsidR="00333944" w:rsidRPr="0071782F">
        <w:tc>
          <w:tcPr>
            <w:tcW w:w="525" w:type="dxa"/>
            <w:tcBorders>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25</w:t>
            </w:r>
          </w:p>
        </w:tc>
        <w:tc>
          <w:tcPr>
            <w:tcW w:w="6348" w:type="dxa"/>
            <w:tcBorders>
              <w:bottom w:val="nil"/>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w:t>
            </w:r>
            <w:r w:rsidR="003F25A2">
              <w:rPr>
                <w:sz w:val="18"/>
                <w:lang w:val="fr-CH"/>
              </w:rPr>
              <w:t>de logements</w:t>
            </w:r>
            <w:r w:rsidR="008572D3" w:rsidRPr="0071782F">
              <w:rPr>
                <w:sz w:val="18"/>
                <w:lang w:val="fr-CH"/>
              </w:rPr>
              <w:t xml:space="preserve"> adaptés </w:t>
            </w:r>
            <w:r w:rsidR="00175962" w:rsidRPr="0071782F">
              <w:rPr>
                <w:sz w:val="18"/>
                <w:lang w:val="fr-CH"/>
              </w:rPr>
              <w:t>aux personnes</w:t>
            </w:r>
            <w:r w:rsidR="008572D3" w:rsidRPr="0071782F">
              <w:rPr>
                <w:sz w:val="18"/>
                <w:lang w:val="fr-CH"/>
              </w:rPr>
              <w:t xml:space="preserve"> handicapées </w:t>
            </w:r>
          </w:p>
        </w:tc>
        <w:tc>
          <w:tcPr>
            <w:tcW w:w="1632" w:type="dxa"/>
            <w:tcBorders>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995</w:t>
            </w:r>
          </w:p>
        </w:tc>
      </w:tr>
      <w:tr w:rsidR="00333944" w:rsidRPr="0071782F">
        <w:tc>
          <w:tcPr>
            <w:tcW w:w="525" w:type="dxa"/>
            <w:tcBorders>
              <w:top w:val="nil"/>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26</w:t>
            </w:r>
          </w:p>
        </w:tc>
        <w:tc>
          <w:tcPr>
            <w:tcW w:w="6348" w:type="dxa"/>
            <w:tcBorders>
              <w:top w:val="nil"/>
              <w:bottom w:val="nil"/>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de lieux </w:t>
            </w:r>
            <w:r w:rsidRPr="0071782F">
              <w:rPr>
                <w:sz w:val="18"/>
                <w:lang w:val="fr-CH"/>
              </w:rPr>
              <w:t>public</w:t>
            </w:r>
            <w:r w:rsidR="008572D3" w:rsidRPr="0071782F">
              <w:rPr>
                <w:sz w:val="18"/>
                <w:lang w:val="fr-CH"/>
              </w:rPr>
              <w:t>s</w:t>
            </w:r>
            <w:r w:rsidRPr="0071782F">
              <w:rPr>
                <w:sz w:val="18"/>
                <w:lang w:val="fr-CH"/>
              </w:rPr>
              <w:t xml:space="preserve"> </w:t>
            </w:r>
            <w:r w:rsidR="008572D3" w:rsidRPr="0071782F">
              <w:rPr>
                <w:sz w:val="18"/>
                <w:lang w:val="fr-CH"/>
              </w:rPr>
              <w:t xml:space="preserve">adaptés </w:t>
            </w:r>
            <w:r w:rsidR="00175962" w:rsidRPr="0071782F">
              <w:rPr>
                <w:sz w:val="18"/>
                <w:lang w:val="fr-CH"/>
              </w:rPr>
              <w:t>aux personnes</w:t>
            </w:r>
            <w:r w:rsidR="008572D3" w:rsidRPr="0071782F">
              <w:rPr>
                <w:sz w:val="18"/>
                <w:lang w:val="fr-CH"/>
              </w:rPr>
              <w:t xml:space="preserve"> handicapées</w:t>
            </w:r>
          </w:p>
        </w:tc>
        <w:tc>
          <w:tcPr>
            <w:tcW w:w="1632"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340</w:t>
            </w:r>
          </w:p>
        </w:tc>
      </w:tr>
      <w:tr w:rsidR="00333944" w:rsidRPr="0071782F">
        <w:tc>
          <w:tcPr>
            <w:tcW w:w="525" w:type="dxa"/>
            <w:tcBorders>
              <w:top w:val="nil"/>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27</w:t>
            </w:r>
          </w:p>
        </w:tc>
        <w:tc>
          <w:tcPr>
            <w:tcW w:w="6348" w:type="dxa"/>
            <w:tcBorders>
              <w:top w:val="nil"/>
              <w:bottom w:val="nil"/>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mbre de brochures de réadaptation distribuées</w:t>
            </w:r>
            <w:r w:rsidRPr="0071782F">
              <w:rPr>
                <w:sz w:val="18"/>
                <w:lang w:val="fr-CH"/>
              </w:rPr>
              <w:t xml:space="preserve"> </w:t>
            </w:r>
          </w:p>
        </w:tc>
        <w:tc>
          <w:tcPr>
            <w:tcW w:w="1632"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7 736</w:t>
            </w:r>
          </w:p>
        </w:tc>
      </w:tr>
      <w:tr w:rsidR="00333944" w:rsidRPr="0071782F">
        <w:tc>
          <w:tcPr>
            <w:tcW w:w="525" w:type="dxa"/>
            <w:tcBorders>
              <w:top w:val="nil"/>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28</w:t>
            </w:r>
          </w:p>
        </w:tc>
        <w:tc>
          <w:tcPr>
            <w:tcW w:w="6348" w:type="dxa"/>
            <w:tcBorders>
              <w:top w:val="nil"/>
              <w:bottom w:val="nil"/>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mbre de réseaux appliquant le programme de RAC</w:t>
            </w:r>
          </w:p>
        </w:tc>
        <w:tc>
          <w:tcPr>
            <w:tcW w:w="1632"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194</w:t>
            </w:r>
          </w:p>
        </w:tc>
      </w:tr>
      <w:tr w:rsidR="00333944" w:rsidRPr="0071782F">
        <w:tc>
          <w:tcPr>
            <w:tcW w:w="525" w:type="dxa"/>
            <w:tcBorders>
              <w:top w:val="nil"/>
              <w:bottom w:val="single" w:sz="4" w:space="0" w:color="auto"/>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29</w:t>
            </w:r>
          </w:p>
        </w:tc>
        <w:tc>
          <w:tcPr>
            <w:tcW w:w="6348" w:type="dxa"/>
            <w:tcBorders>
              <w:top w:val="nil"/>
              <w:bottom w:val="single" w:sz="4" w:space="0" w:color="auto"/>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8572D3" w:rsidRPr="0071782F">
              <w:rPr>
                <w:sz w:val="18"/>
                <w:lang w:val="fr-CH"/>
              </w:rPr>
              <w:t xml:space="preserve">mbre d’emplois créés pour la population cible </w:t>
            </w:r>
          </w:p>
        </w:tc>
        <w:tc>
          <w:tcPr>
            <w:tcW w:w="1632" w:type="dxa"/>
            <w:tcBorders>
              <w:top w:val="nil"/>
              <w:bottom w:val="single" w:sz="4" w:space="0" w:color="auto"/>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1 836</w:t>
            </w:r>
          </w:p>
        </w:tc>
      </w:tr>
      <w:tr w:rsidR="00333944" w:rsidRPr="0071782F">
        <w:tc>
          <w:tcPr>
            <w:tcW w:w="525" w:type="dxa"/>
            <w:tcBorders>
              <w:top w:val="single" w:sz="4" w:space="0" w:color="auto"/>
              <w:bottom w:val="single" w:sz="4" w:space="0" w:color="auto"/>
            </w:tcBorders>
            <w:shd w:val="clear" w:color="auto" w:fill="auto"/>
          </w:tcPr>
          <w:p w:rsidR="00333944" w:rsidRPr="0071782F" w:rsidRDefault="00333944" w:rsidP="00C232FA">
            <w:pPr>
              <w:suppressAutoHyphens w:val="0"/>
              <w:spacing w:before="80" w:after="80" w:line="220" w:lineRule="exact"/>
              <w:rPr>
                <w:b/>
                <w:sz w:val="18"/>
                <w:lang w:val="fr-CH"/>
              </w:rPr>
            </w:pPr>
            <w:r w:rsidRPr="0071782F">
              <w:rPr>
                <w:b/>
                <w:sz w:val="18"/>
                <w:lang w:val="fr-CH"/>
              </w:rPr>
              <w:t>30</w:t>
            </w:r>
          </w:p>
        </w:tc>
        <w:tc>
          <w:tcPr>
            <w:tcW w:w="6348" w:type="dxa"/>
            <w:tcBorders>
              <w:top w:val="single" w:sz="4" w:space="0" w:color="auto"/>
              <w:bottom w:val="single" w:sz="4" w:space="0" w:color="auto"/>
            </w:tcBorders>
            <w:shd w:val="clear" w:color="auto" w:fill="auto"/>
            <w:vAlign w:val="bottom"/>
          </w:tcPr>
          <w:p w:rsidR="00333944" w:rsidRPr="0071782F" w:rsidRDefault="008572D3" w:rsidP="00FD76D5">
            <w:pPr>
              <w:suppressAutoHyphens w:val="0"/>
              <w:spacing w:before="80" w:after="80" w:line="220" w:lineRule="exact"/>
              <w:ind w:left="284"/>
              <w:rPr>
                <w:b/>
                <w:sz w:val="18"/>
                <w:lang w:val="fr-CH"/>
              </w:rPr>
            </w:pPr>
            <w:r w:rsidRPr="0071782F">
              <w:rPr>
                <w:b/>
                <w:sz w:val="18"/>
                <w:lang w:val="fr-CH"/>
              </w:rPr>
              <w:t>Montant t</w:t>
            </w:r>
            <w:r w:rsidR="00333944" w:rsidRPr="0071782F">
              <w:rPr>
                <w:b/>
                <w:sz w:val="18"/>
                <w:lang w:val="fr-CH"/>
              </w:rPr>
              <w:t xml:space="preserve">otal </w:t>
            </w:r>
            <w:r w:rsidRPr="0071782F">
              <w:rPr>
                <w:b/>
                <w:sz w:val="18"/>
                <w:lang w:val="fr-CH"/>
              </w:rPr>
              <w:t>de l’</w:t>
            </w:r>
            <w:r w:rsidR="00333944" w:rsidRPr="0071782F">
              <w:rPr>
                <w:b/>
                <w:sz w:val="18"/>
                <w:lang w:val="fr-CH"/>
              </w:rPr>
              <w:t>invest</w:t>
            </w:r>
            <w:r w:rsidRPr="0071782F">
              <w:rPr>
                <w:b/>
                <w:sz w:val="18"/>
                <w:lang w:val="fr-CH"/>
              </w:rPr>
              <w:t>isse</w:t>
            </w:r>
            <w:r w:rsidR="00333944" w:rsidRPr="0071782F">
              <w:rPr>
                <w:b/>
                <w:sz w:val="18"/>
                <w:lang w:val="fr-CH"/>
              </w:rPr>
              <w:t xml:space="preserve">ment </w:t>
            </w:r>
            <w:r w:rsidRPr="0071782F">
              <w:rPr>
                <w:b/>
                <w:sz w:val="18"/>
                <w:lang w:val="fr-CH"/>
              </w:rPr>
              <w:t xml:space="preserve">destiné à la création d’emplois </w:t>
            </w:r>
          </w:p>
        </w:tc>
        <w:tc>
          <w:tcPr>
            <w:tcW w:w="1632" w:type="dxa"/>
            <w:tcBorders>
              <w:top w:val="single" w:sz="4" w:space="0" w:color="auto"/>
              <w:bottom w:val="single" w:sz="4" w:space="0" w:color="auto"/>
            </w:tcBorders>
            <w:shd w:val="clear" w:color="auto" w:fill="auto"/>
            <w:vAlign w:val="bottom"/>
          </w:tcPr>
          <w:p w:rsidR="00333944" w:rsidRPr="0071782F" w:rsidRDefault="00333944" w:rsidP="00C232FA">
            <w:pPr>
              <w:suppressAutoHyphens w:val="0"/>
              <w:spacing w:before="80" w:after="80" w:line="220" w:lineRule="exact"/>
              <w:jc w:val="right"/>
              <w:rPr>
                <w:b/>
                <w:sz w:val="18"/>
                <w:lang w:val="fr-CH"/>
              </w:rPr>
            </w:pPr>
            <w:r w:rsidRPr="0071782F">
              <w:rPr>
                <w:b/>
                <w:sz w:val="18"/>
                <w:lang w:val="fr-CH"/>
              </w:rPr>
              <w:t>6 357 978 700 000</w:t>
            </w:r>
          </w:p>
        </w:tc>
      </w:tr>
      <w:tr w:rsidR="00333944" w:rsidRPr="0071782F">
        <w:tc>
          <w:tcPr>
            <w:tcW w:w="525" w:type="dxa"/>
            <w:tcBorders>
              <w:top w:val="single" w:sz="4" w:space="0" w:color="auto"/>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31</w:t>
            </w:r>
          </w:p>
        </w:tc>
        <w:tc>
          <w:tcPr>
            <w:tcW w:w="6348" w:type="dxa"/>
            <w:tcBorders>
              <w:top w:val="single" w:sz="4" w:space="0" w:color="auto"/>
              <w:bottom w:val="nil"/>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9E5047" w:rsidRPr="0071782F">
              <w:rPr>
                <w:sz w:val="18"/>
                <w:lang w:val="fr-CH"/>
              </w:rPr>
              <w:t xml:space="preserve">mbre </w:t>
            </w:r>
            <w:r w:rsidR="003F25A2">
              <w:rPr>
                <w:sz w:val="18"/>
                <w:lang w:val="fr-CH"/>
              </w:rPr>
              <w:t>de logements</w:t>
            </w:r>
            <w:r w:rsidR="009E5047" w:rsidRPr="0071782F">
              <w:rPr>
                <w:sz w:val="18"/>
                <w:lang w:val="fr-CH"/>
              </w:rPr>
              <w:t xml:space="preserve"> fournis à la population cible </w:t>
            </w:r>
          </w:p>
        </w:tc>
        <w:tc>
          <w:tcPr>
            <w:tcW w:w="1632" w:type="dxa"/>
            <w:tcBorders>
              <w:top w:val="single" w:sz="4" w:space="0" w:color="auto"/>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889</w:t>
            </w:r>
          </w:p>
        </w:tc>
      </w:tr>
      <w:tr w:rsidR="00333944" w:rsidRPr="0071782F">
        <w:tc>
          <w:tcPr>
            <w:tcW w:w="525" w:type="dxa"/>
            <w:tcBorders>
              <w:top w:val="nil"/>
              <w:bottom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32</w:t>
            </w:r>
          </w:p>
        </w:tc>
        <w:tc>
          <w:tcPr>
            <w:tcW w:w="6348" w:type="dxa"/>
            <w:tcBorders>
              <w:top w:val="nil"/>
              <w:bottom w:val="nil"/>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9E5047" w:rsidRPr="0071782F">
              <w:rPr>
                <w:sz w:val="18"/>
                <w:lang w:val="fr-CH"/>
              </w:rPr>
              <w:t xml:space="preserve">mbre de cours de formation professionnelle dans le secteur des loisirs </w:t>
            </w:r>
          </w:p>
        </w:tc>
        <w:tc>
          <w:tcPr>
            <w:tcW w:w="1632" w:type="dxa"/>
            <w:tcBorders>
              <w:top w:val="nil"/>
              <w:bottom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796</w:t>
            </w:r>
          </w:p>
        </w:tc>
      </w:tr>
      <w:tr w:rsidR="00333944" w:rsidRPr="0071782F">
        <w:tc>
          <w:tcPr>
            <w:tcW w:w="525" w:type="dxa"/>
            <w:tcBorders>
              <w:top w:val="nil"/>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33</w:t>
            </w:r>
          </w:p>
        </w:tc>
        <w:tc>
          <w:tcPr>
            <w:tcW w:w="6348" w:type="dxa"/>
            <w:tcBorders>
              <w:top w:val="nil"/>
            </w:tcBorders>
            <w:shd w:val="clear" w:color="auto" w:fill="auto"/>
            <w:vAlign w:val="bottom"/>
          </w:tcPr>
          <w:p w:rsidR="00333944" w:rsidRPr="001C164E" w:rsidRDefault="00333944" w:rsidP="00C232FA">
            <w:pPr>
              <w:suppressAutoHyphens w:val="0"/>
              <w:spacing w:before="40" w:after="40" w:line="220" w:lineRule="exact"/>
              <w:rPr>
                <w:spacing w:val="-2"/>
                <w:sz w:val="18"/>
                <w:lang w:val="fr-CH"/>
              </w:rPr>
            </w:pPr>
            <w:r w:rsidRPr="001C164E">
              <w:rPr>
                <w:spacing w:val="-2"/>
                <w:sz w:val="18"/>
                <w:lang w:val="fr-CH"/>
              </w:rPr>
              <w:t>No</w:t>
            </w:r>
            <w:r w:rsidR="009E5047" w:rsidRPr="001C164E">
              <w:rPr>
                <w:spacing w:val="-2"/>
                <w:sz w:val="18"/>
                <w:lang w:val="fr-CH"/>
              </w:rPr>
              <w:t xml:space="preserve">mbre de </w:t>
            </w:r>
            <w:r w:rsidRPr="001C164E">
              <w:rPr>
                <w:spacing w:val="-2"/>
                <w:sz w:val="18"/>
                <w:lang w:val="fr-CH"/>
              </w:rPr>
              <w:t xml:space="preserve">participants </w:t>
            </w:r>
            <w:r w:rsidR="009E5047" w:rsidRPr="001C164E">
              <w:rPr>
                <w:spacing w:val="-2"/>
                <w:sz w:val="18"/>
                <w:lang w:val="fr-CH"/>
              </w:rPr>
              <w:t>aux cours de formation professionnelle dans le secteur des loisirs</w:t>
            </w:r>
          </w:p>
        </w:tc>
        <w:tc>
          <w:tcPr>
            <w:tcW w:w="1632" w:type="dxa"/>
            <w:tcBorders>
              <w:top w:val="nil"/>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17 730</w:t>
            </w:r>
          </w:p>
        </w:tc>
      </w:tr>
      <w:tr w:rsidR="00333944" w:rsidRPr="0071782F">
        <w:tc>
          <w:tcPr>
            <w:tcW w:w="525"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34</w:t>
            </w:r>
          </w:p>
        </w:tc>
        <w:tc>
          <w:tcPr>
            <w:tcW w:w="6348" w:type="dxa"/>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9E5047" w:rsidRPr="0071782F">
              <w:rPr>
                <w:sz w:val="18"/>
                <w:lang w:val="fr-CH"/>
              </w:rPr>
              <w:t xml:space="preserve">mbre </w:t>
            </w:r>
            <w:r w:rsidR="00D82C96" w:rsidRPr="0071782F">
              <w:rPr>
                <w:sz w:val="18"/>
                <w:lang w:val="fr-CH"/>
              </w:rPr>
              <w:t>de personnes</w:t>
            </w:r>
            <w:r w:rsidRPr="0071782F">
              <w:rPr>
                <w:sz w:val="18"/>
                <w:lang w:val="fr-CH"/>
              </w:rPr>
              <w:t xml:space="preserve"> </w:t>
            </w:r>
            <w:r w:rsidR="009E5047" w:rsidRPr="0071782F">
              <w:rPr>
                <w:sz w:val="18"/>
                <w:lang w:val="fr-CH"/>
              </w:rPr>
              <w:t xml:space="preserve">adressées à des services spécialisés </w:t>
            </w:r>
          </w:p>
        </w:tc>
        <w:tc>
          <w:tcPr>
            <w:tcW w:w="16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11 662</w:t>
            </w:r>
          </w:p>
        </w:tc>
      </w:tr>
      <w:tr w:rsidR="00333944" w:rsidRPr="0071782F">
        <w:tc>
          <w:tcPr>
            <w:tcW w:w="525"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35</w:t>
            </w:r>
          </w:p>
        </w:tc>
        <w:tc>
          <w:tcPr>
            <w:tcW w:w="6348" w:type="dxa"/>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9E5047" w:rsidRPr="0071782F">
              <w:rPr>
                <w:sz w:val="18"/>
                <w:lang w:val="fr-CH"/>
              </w:rPr>
              <w:t xml:space="preserve">mbre de visites à domicile </w:t>
            </w:r>
          </w:p>
        </w:tc>
        <w:tc>
          <w:tcPr>
            <w:tcW w:w="16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25 476</w:t>
            </w:r>
          </w:p>
        </w:tc>
      </w:tr>
      <w:tr w:rsidR="00333944" w:rsidRPr="0071782F">
        <w:tc>
          <w:tcPr>
            <w:tcW w:w="525" w:type="dxa"/>
            <w:tcBorders>
              <w:bottom w:val="single" w:sz="4" w:space="0" w:color="auto"/>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36</w:t>
            </w:r>
          </w:p>
        </w:tc>
        <w:tc>
          <w:tcPr>
            <w:tcW w:w="6348" w:type="dxa"/>
            <w:tcBorders>
              <w:bottom w:val="single" w:sz="4" w:space="0" w:color="auto"/>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9E5047" w:rsidRPr="0071782F">
              <w:rPr>
                <w:sz w:val="18"/>
                <w:lang w:val="fr-CH"/>
              </w:rPr>
              <w:t xml:space="preserve">mbre d’aides financières pour les écoliers </w:t>
            </w:r>
          </w:p>
        </w:tc>
        <w:tc>
          <w:tcPr>
            <w:tcW w:w="1632" w:type="dxa"/>
            <w:tcBorders>
              <w:bottom w:val="single" w:sz="4" w:space="0" w:color="auto"/>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16 259</w:t>
            </w:r>
          </w:p>
        </w:tc>
      </w:tr>
      <w:tr w:rsidR="00333944" w:rsidRPr="0071782F">
        <w:tc>
          <w:tcPr>
            <w:tcW w:w="525" w:type="dxa"/>
            <w:tcBorders>
              <w:top w:val="single" w:sz="4" w:space="0" w:color="auto"/>
              <w:bottom w:val="single" w:sz="4" w:space="0" w:color="auto"/>
            </w:tcBorders>
            <w:shd w:val="clear" w:color="auto" w:fill="auto"/>
          </w:tcPr>
          <w:p w:rsidR="00333944" w:rsidRPr="0071782F" w:rsidRDefault="00333944" w:rsidP="00C232FA">
            <w:pPr>
              <w:suppressAutoHyphens w:val="0"/>
              <w:spacing w:before="80" w:after="80" w:line="220" w:lineRule="exact"/>
              <w:rPr>
                <w:b/>
                <w:sz w:val="18"/>
                <w:lang w:val="fr-CH"/>
              </w:rPr>
            </w:pPr>
            <w:r w:rsidRPr="0071782F">
              <w:rPr>
                <w:b/>
                <w:sz w:val="18"/>
                <w:lang w:val="fr-CH"/>
              </w:rPr>
              <w:t>37</w:t>
            </w:r>
          </w:p>
        </w:tc>
        <w:tc>
          <w:tcPr>
            <w:tcW w:w="6348" w:type="dxa"/>
            <w:tcBorders>
              <w:top w:val="single" w:sz="4" w:space="0" w:color="auto"/>
              <w:bottom w:val="single" w:sz="4" w:space="0" w:color="auto"/>
            </w:tcBorders>
            <w:shd w:val="clear" w:color="auto" w:fill="auto"/>
            <w:vAlign w:val="bottom"/>
          </w:tcPr>
          <w:p w:rsidR="00333944" w:rsidRPr="0071782F" w:rsidRDefault="009E5047" w:rsidP="00FD76D5">
            <w:pPr>
              <w:suppressAutoHyphens w:val="0"/>
              <w:spacing w:before="80" w:after="80" w:line="220" w:lineRule="exact"/>
              <w:ind w:left="284"/>
              <w:rPr>
                <w:b/>
                <w:sz w:val="18"/>
                <w:lang w:val="fr-CH"/>
              </w:rPr>
            </w:pPr>
            <w:r w:rsidRPr="0071782F">
              <w:rPr>
                <w:b/>
                <w:sz w:val="18"/>
                <w:lang w:val="fr-CH"/>
              </w:rPr>
              <w:t>Montant t</w:t>
            </w:r>
            <w:r w:rsidR="00333944" w:rsidRPr="0071782F">
              <w:rPr>
                <w:b/>
                <w:sz w:val="18"/>
                <w:lang w:val="fr-CH"/>
              </w:rPr>
              <w:t xml:space="preserve">otal </w:t>
            </w:r>
            <w:r w:rsidRPr="0071782F">
              <w:rPr>
                <w:b/>
                <w:sz w:val="18"/>
                <w:lang w:val="fr-CH"/>
              </w:rPr>
              <w:t xml:space="preserve">des aides financières pour les écoliers </w:t>
            </w:r>
          </w:p>
        </w:tc>
        <w:tc>
          <w:tcPr>
            <w:tcW w:w="1632" w:type="dxa"/>
            <w:tcBorders>
              <w:top w:val="single" w:sz="4" w:space="0" w:color="auto"/>
              <w:bottom w:val="single" w:sz="4" w:space="0" w:color="auto"/>
            </w:tcBorders>
            <w:shd w:val="clear" w:color="auto" w:fill="auto"/>
            <w:vAlign w:val="bottom"/>
          </w:tcPr>
          <w:p w:rsidR="00333944" w:rsidRPr="0071782F" w:rsidRDefault="00333944" w:rsidP="00C232FA">
            <w:pPr>
              <w:suppressAutoHyphens w:val="0"/>
              <w:spacing w:before="80" w:after="80" w:line="220" w:lineRule="exact"/>
              <w:jc w:val="right"/>
              <w:rPr>
                <w:b/>
                <w:sz w:val="18"/>
                <w:lang w:val="fr-CH"/>
              </w:rPr>
            </w:pPr>
            <w:r w:rsidRPr="0071782F">
              <w:rPr>
                <w:b/>
                <w:sz w:val="18"/>
                <w:lang w:val="fr-CH"/>
              </w:rPr>
              <w:t>431 694 657 400</w:t>
            </w:r>
          </w:p>
        </w:tc>
      </w:tr>
      <w:tr w:rsidR="00333944" w:rsidRPr="0071782F">
        <w:tc>
          <w:tcPr>
            <w:tcW w:w="525" w:type="dxa"/>
            <w:tcBorders>
              <w:top w:val="single" w:sz="4" w:space="0" w:color="auto"/>
              <w:bottom w:val="single" w:sz="4" w:space="0" w:color="auto"/>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38</w:t>
            </w:r>
          </w:p>
        </w:tc>
        <w:tc>
          <w:tcPr>
            <w:tcW w:w="6348" w:type="dxa"/>
            <w:tcBorders>
              <w:top w:val="single" w:sz="4" w:space="0" w:color="auto"/>
              <w:bottom w:val="single" w:sz="4" w:space="0" w:color="auto"/>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9E5047" w:rsidRPr="0071782F">
              <w:rPr>
                <w:sz w:val="18"/>
                <w:lang w:val="fr-CH"/>
              </w:rPr>
              <w:t xml:space="preserve">mbre d’aides financières pour les étudiants </w:t>
            </w:r>
          </w:p>
        </w:tc>
        <w:tc>
          <w:tcPr>
            <w:tcW w:w="1632" w:type="dxa"/>
            <w:tcBorders>
              <w:top w:val="single" w:sz="4" w:space="0" w:color="auto"/>
              <w:bottom w:val="single" w:sz="4" w:space="0" w:color="auto"/>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1 650</w:t>
            </w:r>
          </w:p>
        </w:tc>
      </w:tr>
      <w:tr w:rsidR="00333944" w:rsidRPr="0071782F">
        <w:tc>
          <w:tcPr>
            <w:tcW w:w="525" w:type="dxa"/>
            <w:tcBorders>
              <w:top w:val="single" w:sz="4" w:space="0" w:color="auto"/>
              <w:bottom w:val="single" w:sz="4" w:space="0" w:color="auto"/>
            </w:tcBorders>
            <w:shd w:val="clear" w:color="auto" w:fill="auto"/>
          </w:tcPr>
          <w:p w:rsidR="00333944" w:rsidRPr="0071782F" w:rsidRDefault="00333944" w:rsidP="00C232FA">
            <w:pPr>
              <w:suppressAutoHyphens w:val="0"/>
              <w:spacing w:before="80" w:after="80" w:line="220" w:lineRule="exact"/>
              <w:rPr>
                <w:b/>
                <w:sz w:val="18"/>
                <w:lang w:val="fr-CH"/>
              </w:rPr>
            </w:pPr>
            <w:r w:rsidRPr="0071782F">
              <w:rPr>
                <w:b/>
                <w:sz w:val="18"/>
                <w:lang w:val="fr-CH"/>
              </w:rPr>
              <w:t>39</w:t>
            </w:r>
          </w:p>
        </w:tc>
        <w:tc>
          <w:tcPr>
            <w:tcW w:w="6348" w:type="dxa"/>
            <w:tcBorders>
              <w:top w:val="single" w:sz="4" w:space="0" w:color="auto"/>
              <w:bottom w:val="single" w:sz="4" w:space="0" w:color="auto"/>
            </w:tcBorders>
            <w:shd w:val="clear" w:color="auto" w:fill="auto"/>
            <w:vAlign w:val="bottom"/>
          </w:tcPr>
          <w:p w:rsidR="00333944" w:rsidRPr="0071782F" w:rsidRDefault="009E5047" w:rsidP="00C232FA">
            <w:pPr>
              <w:suppressAutoHyphens w:val="0"/>
              <w:spacing w:before="80" w:after="80" w:line="220" w:lineRule="exact"/>
              <w:ind w:firstLine="284"/>
              <w:rPr>
                <w:b/>
                <w:sz w:val="18"/>
                <w:lang w:val="fr-CH"/>
              </w:rPr>
            </w:pPr>
            <w:r w:rsidRPr="0071782F">
              <w:rPr>
                <w:b/>
                <w:sz w:val="18"/>
                <w:lang w:val="fr-CH"/>
              </w:rPr>
              <w:t>Montant total des aides financières pour les étudiants</w:t>
            </w:r>
          </w:p>
        </w:tc>
        <w:tc>
          <w:tcPr>
            <w:tcW w:w="1632" w:type="dxa"/>
            <w:tcBorders>
              <w:top w:val="single" w:sz="4" w:space="0" w:color="auto"/>
              <w:bottom w:val="single" w:sz="4" w:space="0" w:color="auto"/>
            </w:tcBorders>
            <w:shd w:val="clear" w:color="auto" w:fill="auto"/>
            <w:vAlign w:val="bottom"/>
          </w:tcPr>
          <w:p w:rsidR="00333944" w:rsidRPr="0071782F" w:rsidRDefault="00333944" w:rsidP="00C232FA">
            <w:pPr>
              <w:suppressAutoHyphens w:val="0"/>
              <w:spacing w:before="80" w:after="80" w:line="220" w:lineRule="exact"/>
              <w:jc w:val="right"/>
              <w:rPr>
                <w:b/>
                <w:sz w:val="18"/>
                <w:lang w:val="fr-CH"/>
              </w:rPr>
            </w:pPr>
            <w:r w:rsidRPr="0071782F">
              <w:rPr>
                <w:b/>
                <w:sz w:val="18"/>
                <w:lang w:val="fr-CH"/>
              </w:rPr>
              <w:t>409 802 426 800</w:t>
            </w:r>
          </w:p>
        </w:tc>
      </w:tr>
      <w:tr w:rsidR="00333944" w:rsidRPr="0071782F">
        <w:tc>
          <w:tcPr>
            <w:tcW w:w="525" w:type="dxa"/>
            <w:tcBorders>
              <w:top w:val="single" w:sz="4" w:space="0" w:color="auto"/>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40</w:t>
            </w:r>
          </w:p>
        </w:tc>
        <w:tc>
          <w:tcPr>
            <w:tcW w:w="6348" w:type="dxa"/>
            <w:tcBorders>
              <w:top w:val="single" w:sz="4" w:space="0" w:color="auto"/>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9E5047" w:rsidRPr="0071782F">
              <w:rPr>
                <w:sz w:val="18"/>
                <w:lang w:val="fr-CH"/>
              </w:rPr>
              <w:t xml:space="preserve">mbre d’organisations communautaires créées </w:t>
            </w:r>
          </w:p>
        </w:tc>
        <w:tc>
          <w:tcPr>
            <w:tcW w:w="1632" w:type="dxa"/>
            <w:tcBorders>
              <w:top w:val="single" w:sz="4" w:space="0" w:color="auto"/>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55</w:t>
            </w:r>
          </w:p>
        </w:tc>
      </w:tr>
      <w:tr w:rsidR="00333944" w:rsidRPr="0071782F">
        <w:tc>
          <w:tcPr>
            <w:tcW w:w="525" w:type="dxa"/>
            <w:tcBorders>
              <w:bottom w:val="single" w:sz="4" w:space="0" w:color="auto"/>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41</w:t>
            </w:r>
          </w:p>
        </w:tc>
        <w:tc>
          <w:tcPr>
            <w:tcW w:w="6348" w:type="dxa"/>
            <w:tcBorders>
              <w:bottom w:val="single" w:sz="4" w:space="0" w:color="auto"/>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9E5047" w:rsidRPr="0071782F">
              <w:rPr>
                <w:sz w:val="18"/>
                <w:lang w:val="fr-CH"/>
              </w:rPr>
              <w:t>mbre de réunions tenues avec les organisations communautaires</w:t>
            </w:r>
          </w:p>
        </w:tc>
        <w:tc>
          <w:tcPr>
            <w:tcW w:w="1632" w:type="dxa"/>
            <w:tcBorders>
              <w:bottom w:val="single" w:sz="4" w:space="0" w:color="auto"/>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1 145</w:t>
            </w:r>
          </w:p>
        </w:tc>
      </w:tr>
      <w:tr w:rsidR="00333944" w:rsidRPr="0071782F">
        <w:tc>
          <w:tcPr>
            <w:tcW w:w="525" w:type="dxa"/>
            <w:tcBorders>
              <w:top w:val="single" w:sz="4" w:space="0" w:color="auto"/>
              <w:bottom w:val="single" w:sz="4" w:space="0" w:color="auto"/>
            </w:tcBorders>
            <w:shd w:val="clear" w:color="auto" w:fill="auto"/>
          </w:tcPr>
          <w:p w:rsidR="00333944" w:rsidRPr="0071782F" w:rsidRDefault="00333944" w:rsidP="00C232FA">
            <w:pPr>
              <w:suppressAutoHyphens w:val="0"/>
              <w:spacing w:before="80" w:after="80" w:line="220" w:lineRule="exact"/>
              <w:rPr>
                <w:b/>
                <w:sz w:val="18"/>
                <w:lang w:val="fr-CH"/>
              </w:rPr>
            </w:pPr>
            <w:r w:rsidRPr="0071782F">
              <w:rPr>
                <w:b/>
                <w:sz w:val="18"/>
                <w:lang w:val="fr-CH"/>
              </w:rPr>
              <w:t>42</w:t>
            </w:r>
          </w:p>
        </w:tc>
        <w:tc>
          <w:tcPr>
            <w:tcW w:w="6348" w:type="dxa"/>
            <w:tcBorders>
              <w:top w:val="single" w:sz="4" w:space="0" w:color="auto"/>
              <w:bottom w:val="single" w:sz="4" w:space="0" w:color="auto"/>
            </w:tcBorders>
            <w:shd w:val="clear" w:color="auto" w:fill="auto"/>
            <w:vAlign w:val="bottom"/>
          </w:tcPr>
          <w:p w:rsidR="00333944" w:rsidRPr="0071782F" w:rsidRDefault="009E5047" w:rsidP="00C232FA">
            <w:pPr>
              <w:suppressAutoHyphens w:val="0"/>
              <w:spacing w:before="80" w:after="80" w:line="220" w:lineRule="exact"/>
              <w:ind w:firstLine="284"/>
              <w:rPr>
                <w:b/>
                <w:sz w:val="18"/>
                <w:lang w:val="fr-CH"/>
              </w:rPr>
            </w:pPr>
            <w:r w:rsidRPr="0071782F">
              <w:rPr>
                <w:b/>
                <w:sz w:val="18"/>
                <w:lang w:val="fr-CH"/>
              </w:rPr>
              <w:t>Montant t</w:t>
            </w:r>
            <w:r w:rsidR="00333944" w:rsidRPr="0071782F">
              <w:rPr>
                <w:b/>
                <w:sz w:val="18"/>
                <w:lang w:val="fr-CH"/>
              </w:rPr>
              <w:t xml:space="preserve">otal </w:t>
            </w:r>
            <w:r w:rsidRPr="0071782F">
              <w:rPr>
                <w:b/>
                <w:sz w:val="18"/>
                <w:lang w:val="fr-CH"/>
              </w:rPr>
              <w:t xml:space="preserve">des dons </w:t>
            </w:r>
          </w:p>
        </w:tc>
        <w:tc>
          <w:tcPr>
            <w:tcW w:w="1632" w:type="dxa"/>
            <w:tcBorders>
              <w:top w:val="single" w:sz="4" w:space="0" w:color="auto"/>
              <w:bottom w:val="single" w:sz="4" w:space="0" w:color="auto"/>
            </w:tcBorders>
            <w:shd w:val="clear" w:color="auto" w:fill="auto"/>
            <w:vAlign w:val="bottom"/>
          </w:tcPr>
          <w:p w:rsidR="00333944" w:rsidRPr="0071782F" w:rsidRDefault="00333944" w:rsidP="00C232FA">
            <w:pPr>
              <w:suppressAutoHyphens w:val="0"/>
              <w:spacing w:before="80" w:after="80" w:line="220" w:lineRule="exact"/>
              <w:jc w:val="right"/>
              <w:rPr>
                <w:b/>
                <w:sz w:val="18"/>
                <w:lang w:val="fr-CH"/>
              </w:rPr>
            </w:pPr>
            <w:r w:rsidRPr="0071782F">
              <w:rPr>
                <w:b/>
                <w:sz w:val="18"/>
                <w:lang w:val="fr-CH"/>
              </w:rPr>
              <w:t>123 694 777 200</w:t>
            </w:r>
          </w:p>
        </w:tc>
      </w:tr>
      <w:tr w:rsidR="00333944" w:rsidRPr="0071782F">
        <w:tc>
          <w:tcPr>
            <w:tcW w:w="525" w:type="dxa"/>
            <w:tcBorders>
              <w:top w:val="single" w:sz="4" w:space="0" w:color="auto"/>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43</w:t>
            </w:r>
          </w:p>
        </w:tc>
        <w:tc>
          <w:tcPr>
            <w:tcW w:w="6348" w:type="dxa"/>
            <w:tcBorders>
              <w:top w:val="single" w:sz="4" w:space="0" w:color="auto"/>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9E5047" w:rsidRPr="0071782F">
              <w:rPr>
                <w:sz w:val="18"/>
                <w:lang w:val="fr-CH"/>
              </w:rPr>
              <w:t xml:space="preserve">mbre de </w:t>
            </w:r>
            <w:r w:rsidR="009E3619" w:rsidRPr="0071782F">
              <w:rPr>
                <w:sz w:val="18"/>
                <w:lang w:val="fr-CH"/>
              </w:rPr>
              <w:t>stages</w:t>
            </w:r>
            <w:r w:rsidR="009E5047" w:rsidRPr="0071782F">
              <w:rPr>
                <w:sz w:val="18"/>
                <w:lang w:val="fr-CH"/>
              </w:rPr>
              <w:t xml:space="preserve"> de formation dans les zones rurales </w:t>
            </w:r>
          </w:p>
        </w:tc>
        <w:tc>
          <w:tcPr>
            <w:tcW w:w="1632" w:type="dxa"/>
            <w:tcBorders>
              <w:top w:val="single" w:sz="4" w:space="0" w:color="auto"/>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116</w:t>
            </w:r>
          </w:p>
        </w:tc>
      </w:tr>
      <w:tr w:rsidR="00333944" w:rsidRPr="0071782F">
        <w:tc>
          <w:tcPr>
            <w:tcW w:w="525" w:type="dxa"/>
            <w:tcBorders>
              <w:bottom w:val="single" w:sz="4" w:space="0" w:color="auto"/>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44</w:t>
            </w:r>
          </w:p>
        </w:tc>
        <w:tc>
          <w:tcPr>
            <w:tcW w:w="6348" w:type="dxa"/>
            <w:tcBorders>
              <w:bottom w:val="single" w:sz="4" w:space="0" w:color="auto"/>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9E5047" w:rsidRPr="0071782F">
              <w:rPr>
                <w:sz w:val="18"/>
                <w:lang w:val="fr-CH"/>
              </w:rPr>
              <w:t xml:space="preserve">mbre de </w:t>
            </w:r>
            <w:r w:rsidRPr="0071782F">
              <w:rPr>
                <w:sz w:val="18"/>
                <w:lang w:val="fr-CH"/>
              </w:rPr>
              <w:t xml:space="preserve">participants </w:t>
            </w:r>
            <w:r w:rsidR="009E5047" w:rsidRPr="0071782F">
              <w:rPr>
                <w:sz w:val="18"/>
                <w:lang w:val="fr-CH"/>
              </w:rPr>
              <w:t>aux s</w:t>
            </w:r>
            <w:r w:rsidR="009E3619" w:rsidRPr="0071782F">
              <w:rPr>
                <w:sz w:val="18"/>
                <w:lang w:val="fr-CH"/>
              </w:rPr>
              <w:t xml:space="preserve">tages </w:t>
            </w:r>
            <w:r w:rsidR="009E5047" w:rsidRPr="0071782F">
              <w:rPr>
                <w:sz w:val="18"/>
                <w:lang w:val="fr-CH"/>
              </w:rPr>
              <w:t xml:space="preserve">de formation dans les zones rurales </w:t>
            </w:r>
          </w:p>
        </w:tc>
        <w:tc>
          <w:tcPr>
            <w:tcW w:w="1632" w:type="dxa"/>
            <w:tcBorders>
              <w:bottom w:val="single" w:sz="4" w:space="0" w:color="auto"/>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871</w:t>
            </w:r>
          </w:p>
        </w:tc>
      </w:tr>
      <w:tr w:rsidR="00333944" w:rsidRPr="0071782F">
        <w:tc>
          <w:tcPr>
            <w:tcW w:w="525" w:type="dxa"/>
            <w:tcBorders>
              <w:top w:val="single" w:sz="4" w:space="0" w:color="auto"/>
              <w:bottom w:val="single" w:sz="4" w:space="0" w:color="auto"/>
            </w:tcBorders>
            <w:shd w:val="clear" w:color="auto" w:fill="auto"/>
          </w:tcPr>
          <w:p w:rsidR="00333944" w:rsidRPr="0071782F" w:rsidRDefault="00333944" w:rsidP="00C232FA">
            <w:pPr>
              <w:suppressAutoHyphens w:val="0"/>
              <w:spacing w:before="80" w:after="80" w:line="220" w:lineRule="exact"/>
              <w:rPr>
                <w:b/>
                <w:sz w:val="18"/>
                <w:lang w:val="fr-CH"/>
              </w:rPr>
            </w:pPr>
            <w:r w:rsidRPr="0071782F">
              <w:rPr>
                <w:b/>
                <w:sz w:val="18"/>
                <w:lang w:val="fr-CH"/>
              </w:rPr>
              <w:t>45</w:t>
            </w:r>
          </w:p>
        </w:tc>
        <w:tc>
          <w:tcPr>
            <w:tcW w:w="6348" w:type="dxa"/>
            <w:tcBorders>
              <w:top w:val="single" w:sz="4" w:space="0" w:color="auto"/>
              <w:bottom w:val="single" w:sz="4" w:space="0" w:color="auto"/>
            </w:tcBorders>
            <w:shd w:val="clear" w:color="auto" w:fill="auto"/>
            <w:vAlign w:val="bottom"/>
          </w:tcPr>
          <w:p w:rsidR="00333944" w:rsidRPr="0071782F" w:rsidRDefault="009E3619" w:rsidP="00C232FA">
            <w:pPr>
              <w:suppressAutoHyphens w:val="0"/>
              <w:spacing w:before="80" w:after="80" w:line="220" w:lineRule="exact"/>
              <w:ind w:firstLine="284"/>
              <w:rPr>
                <w:b/>
                <w:sz w:val="18"/>
                <w:lang w:val="fr-CH"/>
              </w:rPr>
            </w:pPr>
            <w:r w:rsidRPr="0071782F">
              <w:rPr>
                <w:b/>
                <w:sz w:val="18"/>
                <w:lang w:val="fr-CH"/>
              </w:rPr>
              <w:t>Montant t</w:t>
            </w:r>
            <w:r w:rsidR="00333944" w:rsidRPr="0071782F">
              <w:rPr>
                <w:b/>
                <w:sz w:val="18"/>
                <w:lang w:val="fr-CH"/>
              </w:rPr>
              <w:t xml:space="preserve">otal </w:t>
            </w:r>
            <w:r w:rsidRPr="0071782F">
              <w:rPr>
                <w:b/>
                <w:sz w:val="18"/>
                <w:lang w:val="fr-CH"/>
              </w:rPr>
              <w:t xml:space="preserve">des recettes spéciales des réseaux ruraux </w:t>
            </w:r>
          </w:p>
        </w:tc>
        <w:tc>
          <w:tcPr>
            <w:tcW w:w="1632" w:type="dxa"/>
            <w:tcBorders>
              <w:top w:val="single" w:sz="4" w:space="0" w:color="auto"/>
              <w:bottom w:val="single" w:sz="4" w:space="0" w:color="auto"/>
            </w:tcBorders>
            <w:shd w:val="clear" w:color="auto" w:fill="auto"/>
            <w:vAlign w:val="bottom"/>
          </w:tcPr>
          <w:p w:rsidR="00333944" w:rsidRPr="0071782F" w:rsidRDefault="00333944" w:rsidP="00C232FA">
            <w:pPr>
              <w:suppressAutoHyphens w:val="0"/>
              <w:spacing w:before="80" w:after="80" w:line="220" w:lineRule="exact"/>
              <w:jc w:val="right"/>
              <w:rPr>
                <w:b/>
                <w:sz w:val="18"/>
                <w:lang w:val="fr-CH"/>
              </w:rPr>
            </w:pPr>
            <w:r w:rsidRPr="0071782F">
              <w:rPr>
                <w:b/>
                <w:sz w:val="18"/>
                <w:lang w:val="fr-CH"/>
              </w:rPr>
              <w:t>104 889 963 500</w:t>
            </w:r>
          </w:p>
        </w:tc>
      </w:tr>
      <w:tr w:rsidR="00333944" w:rsidRPr="0071782F">
        <w:tc>
          <w:tcPr>
            <w:tcW w:w="525" w:type="dxa"/>
            <w:tcBorders>
              <w:top w:val="single" w:sz="4" w:space="0" w:color="auto"/>
              <w:bottom w:val="single" w:sz="4" w:space="0" w:color="auto"/>
            </w:tcBorders>
            <w:shd w:val="clear" w:color="auto" w:fill="auto"/>
          </w:tcPr>
          <w:p w:rsidR="00333944" w:rsidRPr="0071782F" w:rsidRDefault="00333944" w:rsidP="001C164E">
            <w:pPr>
              <w:keepNext/>
              <w:suppressAutoHyphens w:val="0"/>
              <w:spacing w:before="80" w:after="80" w:line="220" w:lineRule="exact"/>
              <w:rPr>
                <w:b/>
                <w:sz w:val="18"/>
                <w:lang w:val="fr-CH"/>
              </w:rPr>
            </w:pPr>
            <w:r w:rsidRPr="0071782F">
              <w:rPr>
                <w:b/>
                <w:sz w:val="18"/>
                <w:lang w:val="fr-CH"/>
              </w:rPr>
              <w:t>46</w:t>
            </w:r>
          </w:p>
        </w:tc>
        <w:tc>
          <w:tcPr>
            <w:tcW w:w="6348" w:type="dxa"/>
            <w:tcBorders>
              <w:top w:val="single" w:sz="4" w:space="0" w:color="auto"/>
              <w:bottom w:val="single" w:sz="4" w:space="0" w:color="auto"/>
            </w:tcBorders>
            <w:shd w:val="clear" w:color="auto" w:fill="auto"/>
            <w:vAlign w:val="bottom"/>
          </w:tcPr>
          <w:p w:rsidR="00333944" w:rsidRPr="0071782F" w:rsidRDefault="009E3619" w:rsidP="001C164E">
            <w:pPr>
              <w:keepNext/>
              <w:suppressAutoHyphens w:val="0"/>
              <w:spacing w:before="80" w:after="80" w:line="220" w:lineRule="exact"/>
              <w:ind w:left="284"/>
              <w:rPr>
                <w:b/>
                <w:sz w:val="18"/>
                <w:lang w:val="fr-CH"/>
              </w:rPr>
            </w:pPr>
            <w:r w:rsidRPr="0071782F">
              <w:rPr>
                <w:b/>
                <w:sz w:val="18"/>
                <w:lang w:val="fr-CH"/>
              </w:rPr>
              <w:t>Montant total des dépenses financées par les recettes spéciales des réseaux ruraux</w:t>
            </w:r>
          </w:p>
        </w:tc>
        <w:tc>
          <w:tcPr>
            <w:tcW w:w="1632" w:type="dxa"/>
            <w:tcBorders>
              <w:top w:val="single" w:sz="4" w:space="0" w:color="auto"/>
              <w:bottom w:val="single" w:sz="4" w:space="0" w:color="auto"/>
            </w:tcBorders>
            <w:shd w:val="clear" w:color="auto" w:fill="auto"/>
            <w:vAlign w:val="bottom"/>
          </w:tcPr>
          <w:p w:rsidR="00333944" w:rsidRPr="0071782F" w:rsidRDefault="00333944" w:rsidP="001C164E">
            <w:pPr>
              <w:keepNext/>
              <w:suppressAutoHyphens w:val="0"/>
              <w:spacing w:before="80" w:after="80" w:line="220" w:lineRule="exact"/>
              <w:jc w:val="right"/>
              <w:rPr>
                <w:b/>
                <w:sz w:val="18"/>
                <w:lang w:val="fr-CH"/>
              </w:rPr>
            </w:pPr>
            <w:r w:rsidRPr="0071782F">
              <w:rPr>
                <w:b/>
                <w:sz w:val="18"/>
                <w:lang w:val="fr-CH"/>
              </w:rPr>
              <w:t>31 332 577 500</w:t>
            </w:r>
          </w:p>
        </w:tc>
      </w:tr>
      <w:tr w:rsidR="00333944" w:rsidRPr="0071782F">
        <w:tc>
          <w:tcPr>
            <w:tcW w:w="525" w:type="dxa"/>
            <w:tcBorders>
              <w:top w:val="single" w:sz="4" w:space="0" w:color="auto"/>
              <w:bottom w:val="single" w:sz="4" w:space="0" w:color="auto"/>
            </w:tcBorders>
            <w:shd w:val="clear" w:color="auto" w:fill="auto"/>
          </w:tcPr>
          <w:p w:rsidR="00333944" w:rsidRPr="0071782F" w:rsidRDefault="00333944" w:rsidP="001C164E">
            <w:pPr>
              <w:keepNext/>
              <w:suppressAutoHyphens w:val="0"/>
              <w:spacing w:before="80" w:after="80" w:line="220" w:lineRule="exact"/>
              <w:rPr>
                <w:b/>
                <w:sz w:val="18"/>
                <w:lang w:val="fr-CH"/>
              </w:rPr>
            </w:pPr>
            <w:r w:rsidRPr="0071782F">
              <w:rPr>
                <w:b/>
                <w:sz w:val="18"/>
                <w:lang w:val="fr-CH"/>
              </w:rPr>
              <w:t>47</w:t>
            </w:r>
          </w:p>
        </w:tc>
        <w:tc>
          <w:tcPr>
            <w:tcW w:w="6348" w:type="dxa"/>
            <w:tcBorders>
              <w:top w:val="single" w:sz="4" w:space="0" w:color="auto"/>
              <w:bottom w:val="single" w:sz="4" w:space="0" w:color="auto"/>
            </w:tcBorders>
            <w:shd w:val="clear" w:color="auto" w:fill="auto"/>
            <w:vAlign w:val="bottom"/>
          </w:tcPr>
          <w:p w:rsidR="00333944" w:rsidRPr="0071782F" w:rsidRDefault="009E3619" w:rsidP="001C164E">
            <w:pPr>
              <w:keepNext/>
              <w:suppressAutoHyphens w:val="0"/>
              <w:spacing w:before="80" w:after="80" w:line="220" w:lineRule="exact"/>
              <w:ind w:left="284"/>
              <w:rPr>
                <w:b/>
                <w:sz w:val="18"/>
                <w:lang w:val="fr-CH"/>
              </w:rPr>
            </w:pPr>
            <w:r w:rsidRPr="0071782F">
              <w:rPr>
                <w:b/>
                <w:sz w:val="18"/>
                <w:lang w:val="fr-CH"/>
              </w:rPr>
              <w:t xml:space="preserve">Montant total des dépenses imputées sur le budget de capital des réseaux ruraux </w:t>
            </w:r>
          </w:p>
        </w:tc>
        <w:tc>
          <w:tcPr>
            <w:tcW w:w="1632" w:type="dxa"/>
            <w:tcBorders>
              <w:top w:val="single" w:sz="4" w:space="0" w:color="auto"/>
              <w:bottom w:val="single" w:sz="4" w:space="0" w:color="auto"/>
            </w:tcBorders>
            <w:shd w:val="clear" w:color="auto" w:fill="auto"/>
            <w:vAlign w:val="bottom"/>
          </w:tcPr>
          <w:p w:rsidR="00333944" w:rsidRPr="0071782F" w:rsidRDefault="00333944" w:rsidP="001C164E">
            <w:pPr>
              <w:keepNext/>
              <w:suppressAutoHyphens w:val="0"/>
              <w:spacing w:before="80" w:after="80" w:line="220" w:lineRule="exact"/>
              <w:jc w:val="right"/>
              <w:rPr>
                <w:b/>
                <w:sz w:val="18"/>
                <w:lang w:val="fr-CH"/>
              </w:rPr>
            </w:pPr>
            <w:r w:rsidRPr="0071782F">
              <w:rPr>
                <w:b/>
                <w:sz w:val="18"/>
                <w:lang w:val="fr-CH"/>
              </w:rPr>
              <w:t>853 430 582 100</w:t>
            </w:r>
          </w:p>
        </w:tc>
      </w:tr>
      <w:tr w:rsidR="00333944" w:rsidRPr="0071782F">
        <w:tc>
          <w:tcPr>
            <w:tcW w:w="525" w:type="dxa"/>
            <w:tcBorders>
              <w:top w:val="single" w:sz="4" w:space="0" w:color="auto"/>
            </w:tcBorders>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48</w:t>
            </w:r>
          </w:p>
        </w:tc>
        <w:tc>
          <w:tcPr>
            <w:tcW w:w="6348" w:type="dxa"/>
            <w:tcBorders>
              <w:top w:val="single" w:sz="4" w:space="0" w:color="auto"/>
            </w:tcBorders>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w:t>
            </w:r>
            <w:r w:rsidR="009E3619" w:rsidRPr="0071782F">
              <w:rPr>
                <w:sz w:val="18"/>
                <w:lang w:val="fr-CH"/>
              </w:rPr>
              <w:t xml:space="preserve">ombre de réunions avec des </w:t>
            </w:r>
            <w:r w:rsidRPr="0071782F">
              <w:rPr>
                <w:sz w:val="18"/>
                <w:lang w:val="fr-CH"/>
              </w:rPr>
              <w:t xml:space="preserve">experts </w:t>
            </w:r>
            <w:r w:rsidR="009E3619" w:rsidRPr="0071782F">
              <w:rPr>
                <w:sz w:val="18"/>
                <w:lang w:val="fr-CH"/>
              </w:rPr>
              <w:t xml:space="preserve">des départements </w:t>
            </w:r>
            <w:r w:rsidRPr="0071782F">
              <w:rPr>
                <w:sz w:val="18"/>
                <w:lang w:val="fr-CH"/>
              </w:rPr>
              <w:t>sp</w:t>
            </w:r>
            <w:r w:rsidR="009E3619" w:rsidRPr="0071782F">
              <w:rPr>
                <w:sz w:val="18"/>
                <w:lang w:val="fr-CH"/>
              </w:rPr>
              <w:t>é</w:t>
            </w:r>
            <w:r w:rsidRPr="0071782F">
              <w:rPr>
                <w:sz w:val="18"/>
                <w:lang w:val="fr-CH"/>
              </w:rPr>
              <w:t>ciali</w:t>
            </w:r>
            <w:r w:rsidR="009E3619" w:rsidRPr="0071782F">
              <w:rPr>
                <w:sz w:val="18"/>
                <w:lang w:val="fr-CH"/>
              </w:rPr>
              <w:t>sés</w:t>
            </w:r>
          </w:p>
        </w:tc>
        <w:tc>
          <w:tcPr>
            <w:tcW w:w="1632" w:type="dxa"/>
            <w:tcBorders>
              <w:top w:val="single" w:sz="4" w:space="0" w:color="auto"/>
            </w:tcBorders>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208</w:t>
            </w:r>
          </w:p>
        </w:tc>
      </w:tr>
      <w:tr w:rsidR="00333944" w:rsidRPr="0071782F">
        <w:tc>
          <w:tcPr>
            <w:tcW w:w="525"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49</w:t>
            </w:r>
          </w:p>
        </w:tc>
        <w:tc>
          <w:tcPr>
            <w:tcW w:w="6348" w:type="dxa"/>
            <w:shd w:val="clear" w:color="auto" w:fill="auto"/>
            <w:vAlign w:val="bottom"/>
          </w:tcPr>
          <w:p w:rsidR="00333944" w:rsidRPr="0071782F" w:rsidRDefault="009E3619" w:rsidP="00C232FA">
            <w:pPr>
              <w:suppressAutoHyphens w:val="0"/>
              <w:spacing w:before="40" w:after="40" w:line="220" w:lineRule="exact"/>
              <w:rPr>
                <w:sz w:val="18"/>
                <w:lang w:val="fr-CH"/>
              </w:rPr>
            </w:pPr>
            <w:r w:rsidRPr="0071782F">
              <w:rPr>
                <w:sz w:val="18"/>
                <w:lang w:val="fr-CH"/>
              </w:rPr>
              <w:t xml:space="preserve">Nombre de réunions avec d’autres organismes et organisations </w:t>
            </w:r>
          </w:p>
        </w:tc>
        <w:tc>
          <w:tcPr>
            <w:tcW w:w="16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371</w:t>
            </w:r>
          </w:p>
        </w:tc>
      </w:tr>
      <w:tr w:rsidR="00333944" w:rsidRPr="0071782F">
        <w:tc>
          <w:tcPr>
            <w:tcW w:w="525" w:type="dxa"/>
            <w:shd w:val="clear" w:color="auto" w:fill="auto"/>
          </w:tcPr>
          <w:p w:rsidR="00333944" w:rsidRPr="0071782F" w:rsidRDefault="00333944" w:rsidP="00C232FA">
            <w:pPr>
              <w:suppressAutoHyphens w:val="0"/>
              <w:spacing w:before="40" w:after="40" w:line="220" w:lineRule="exact"/>
              <w:rPr>
                <w:sz w:val="18"/>
                <w:lang w:val="fr-CH"/>
              </w:rPr>
            </w:pPr>
            <w:r w:rsidRPr="0071782F">
              <w:rPr>
                <w:sz w:val="18"/>
                <w:lang w:val="fr-CH"/>
              </w:rPr>
              <w:t>50</w:t>
            </w:r>
          </w:p>
        </w:tc>
        <w:tc>
          <w:tcPr>
            <w:tcW w:w="6348" w:type="dxa"/>
            <w:shd w:val="clear" w:color="auto" w:fill="auto"/>
            <w:vAlign w:val="bottom"/>
          </w:tcPr>
          <w:p w:rsidR="00333944" w:rsidRPr="0071782F" w:rsidRDefault="00333944" w:rsidP="00C232FA">
            <w:pPr>
              <w:suppressAutoHyphens w:val="0"/>
              <w:spacing w:before="40" w:after="40" w:line="220" w:lineRule="exact"/>
              <w:rPr>
                <w:sz w:val="18"/>
                <w:lang w:val="fr-CH"/>
              </w:rPr>
            </w:pPr>
            <w:r w:rsidRPr="0071782F">
              <w:rPr>
                <w:sz w:val="18"/>
                <w:lang w:val="fr-CH"/>
              </w:rPr>
              <w:t>No</w:t>
            </w:r>
            <w:r w:rsidR="009E3619" w:rsidRPr="0071782F">
              <w:rPr>
                <w:sz w:val="18"/>
                <w:lang w:val="fr-CH"/>
              </w:rPr>
              <w:t xml:space="preserve">mbre de stages de formation pour les liens spécialisés avec les villes de province </w:t>
            </w:r>
          </w:p>
        </w:tc>
        <w:tc>
          <w:tcPr>
            <w:tcW w:w="1632" w:type="dxa"/>
            <w:shd w:val="clear" w:color="auto" w:fill="auto"/>
            <w:vAlign w:val="bottom"/>
          </w:tcPr>
          <w:p w:rsidR="00333944" w:rsidRPr="0071782F" w:rsidRDefault="00333944" w:rsidP="00C232FA">
            <w:pPr>
              <w:suppressAutoHyphens w:val="0"/>
              <w:spacing w:before="40" w:after="40" w:line="220" w:lineRule="exact"/>
              <w:jc w:val="right"/>
              <w:rPr>
                <w:sz w:val="18"/>
                <w:lang w:val="fr-CH"/>
              </w:rPr>
            </w:pPr>
            <w:r w:rsidRPr="0071782F">
              <w:rPr>
                <w:sz w:val="18"/>
                <w:lang w:val="fr-CH"/>
              </w:rPr>
              <w:t>119</w:t>
            </w:r>
          </w:p>
        </w:tc>
      </w:tr>
    </w:tbl>
    <w:p w:rsidR="00333944" w:rsidRPr="0071782F" w:rsidRDefault="00333944" w:rsidP="00333944">
      <w:pPr>
        <w:pStyle w:val="HChG"/>
        <w:rPr>
          <w:lang w:val="fr-CH"/>
        </w:rPr>
      </w:pPr>
      <w:r w:rsidRPr="0071782F">
        <w:rPr>
          <w:lang w:val="fr-CH"/>
        </w:rPr>
        <w:tab/>
      </w:r>
      <w:r w:rsidRPr="0071782F">
        <w:rPr>
          <w:lang w:val="fr-CH"/>
        </w:rPr>
        <w:tab/>
      </w:r>
      <w:r w:rsidR="00723F2B" w:rsidRPr="0071782F">
        <w:rPr>
          <w:lang w:val="fr-CH"/>
        </w:rPr>
        <w:t>Articles </w:t>
      </w:r>
      <w:r w:rsidRPr="0071782F">
        <w:rPr>
          <w:lang w:val="fr-CH"/>
        </w:rPr>
        <w:t xml:space="preserve">13 </w:t>
      </w:r>
      <w:r w:rsidR="009E3619" w:rsidRPr="0071782F">
        <w:rPr>
          <w:lang w:val="fr-CH"/>
        </w:rPr>
        <w:t>et</w:t>
      </w:r>
      <w:r w:rsidRPr="0071782F">
        <w:rPr>
          <w:lang w:val="fr-CH"/>
        </w:rPr>
        <w:t xml:space="preserve"> 14</w:t>
      </w:r>
      <w:r w:rsidR="001C164E">
        <w:rPr>
          <w:lang w:val="fr-CH"/>
        </w:rPr>
        <w:br/>
      </w:r>
      <w:r w:rsidR="001C164E" w:rsidRPr="0071782F">
        <w:rPr>
          <w:lang w:val="fr-CH"/>
        </w:rPr>
        <w:t>Éducation</w:t>
      </w:r>
    </w:p>
    <w:p w:rsidR="00333944" w:rsidRPr="0071782F" w:rsidRDefault="00333944" w:rsidP="00333944">
      <w:pPr>
        <w:pStyle w:val="H1G"/>
        <w:rPr>
          <w:lang w:val="fr-CH"/>
        </w:rPr>
      </w:pPr>
      <w:r w:rsidRPr="0071782F">
        <w:rPr>
          <w:lang w:val="fr-CH"/>
        </w:rPr>
        <w:tab/>
      </w:r>
      <w:r w:rsidRPr="0071782F">
        <w:rPr>
          <w:lang w:val="fr-CH"/>
        </w:rPr>
        <w:tab/>
        <w:t>Introduction</w:t>
      </w:r>
    </w:p>
    <w:p w:rsidR="00333944" w:rsidRPr="0071782F" w:rsidRDefault="00333944" w:rsidP="00333944">
      <w:pPr>
        <w:pStyle w:val="SingleTxtG"/>
        <w:rPr>
          <w:lang w:val="fr-CH"/>
        </w:rPr>
      </w:pPr>
      <w:r w:rsidRPr="0071782F">
        <w:rPr>
          <w:lang w:val="fr-CH"/>
        </w:rPr>
        <w:t>346.</w:t>
      </w:r>
      <w:r w:rsidRPr="0071782F">
        <w:rPr>
          <w:lang w:val="fr-CH"/>
        </w:rPr>
        <w:tab/>
      </w:r>
      <w:r w:rsidR="009E3619" w:rsidRPr="0071782F">
        <w:rPr>
          <w:lang w:val="fr-CH"/>
        </w:rPr>
        <w:t>La présente partie du rapport comprend trois sections</w:t>
      </w:r>
      <w:r w:rsidR="008F7D33" w:rsidRPr="0071782F">
        <w:rPr>
          <w:lang w:val="fr-CH"/>
        </w:rPr>
        <w:t>:</w:t>
      </w:r>
      <w:r w:rsidRPr="0071782F">
        <w:rPr>
          <w:lang w:val="fr-CH"/>
        </w:rPr>
        <w:t xml:space="preserve"> </w:t>
      </w:r>
    </w:p>
    <w:p w:rsidR="00333944" w:rsidRPr="0071782F" w:rsidRDefault="009E3619" w:rsidP="00333944">
      <w:pPr>
        <w:pStyle w:val="Bullet1G"/>
        <w:rPr>
          <w:lang w:val="fr-CH"/>
        </w:rPr>
      </w:pPr>
      <w:r w:rsidRPr="0071782F">
        <w:rPr>
          <w:lang w:val="fr-CH"/>
        </w:rPr>
        <w:t>É</w:t>
      </w:r>
      <w:r w:rsidR="00333944" w:rsidRPr="0071782F">
        <w:rPr>
          <w:lang w:val="fr-CH"/>
        </w:rPr>
        <w:t>ducation</w:t>
      </w:r>
    </w:p>
    <w:p w:rsidR="00333944" w:rsidRPr="0071782F" w:rsidRDefault="009E3619" w:rsidP="00333944">
      <w:pPr>
        <w:pStyle w:val="Bullet1G"/>
        <w:rPr>
          <w:lang w:val="fr-CH"/>
        </w:rPr>
      </w:pPr>
      <w:r w:rsidRPr="0071782F">
        <w:rPr>
          <w:lang w:val="fr-CH"/>
        </w:rPr>
        <w:t xml:space="preserve">Enseignement supérieur </w:t>
      </w:r>
    </w:p>
    <w:p w:rsidR="00333944" w:rsidRPr="0071782F" w:rsidRDefault="009E3619" w:rsidP="00333944">
      <w:pPr>
        <w:pStyle w:val="Bullet1G"/>
        <w:rPr>
          <w:lang w:val="fr-CH"/>
        </w:rPr>
      </w:pPr>
      <w:r w:rsidRPr="0071782F">
        <w:rPr>
          <w:lang w:val="fr-CH"/>
        </w:rPr>
        <w:t xml:space="preserve">Mouvement pour l’alphabétisation </w:t>
      </w:r>
    </w:p>
    <w:p w:rsidR="00333944" w:rsidRPr="0071782F" w:rsidRDefault="00333944" w:rsidP="00333944">
      <w:pPr>
        <w:pStyle w:val="SingleTxtG"/>
        <w:rPr>
          <w:lang w:val="fr-CH"/>
        </w:rPr>
      </w:pPr>
      <w:r w:rsidRPr="0071782F">
        <w:rPr>
          <w:lang w:val="fr-CH"/>
        </w:rPr>
        <w:t>347.</w:t>
      </w:r>
      <w:r w:rsidRPr="0071782F">
        <w:rPr>
          <w:lang w:val="fr-CH"/>
        </w:rPr>
        <w:tab/>
      </w:r>
      <w:r w:rsidR="006023A7" w:rsidRPr="0071782F">
        <w:rPr>
          <w:lang w:val="fr-CH"/>
        </w:rPr>
        <w:t>Chacune de ces sections aborde les aspects connexes, le cadre général, les activités et les réalisations. Étant donné l’</w:t>
      </w:r>
      <w:r w:rsidRPr="0071782F">
        <w:rPr>
          <w:lang w:val="fr-CH"/>
        </w:rPr>
        <w:t xml:space="preserve">importance </w:t>
      </w:r>
      <w:r w:rsidR="006023A7" w:rsidRPr="0071782F">
        <w:rPr>
          <w:lang w:val="fr-CH"/>
        </w:rPr>
        <w:t>de l’éducation dans la formation de ressources humaines compétentes et le rôle qu’elle joue dans le développement des pays, on a défini les différentes étapes éducatives auxquelles les Iraniens peuvent accéder, de manière que chacun d’entre eux puisse, à un moment de sa vie ou à un autre, se prévaloir d’au moins l’une d’entre elles. La présente partie du rapport décrit en détail les activités de la République islamique d’Iran dans le domaine de l’éducation.</w:t>
      </w:r>
    </w:p>
    <w:p w:rsidR="00333944" w:rsidRPr="0071782F" w:rsidRDefault="00333944" w:rsidP="00333944">
      <w:pPr>
        <w:pStyle w:val="H1G"/>
        <w:rPr>
          <w:lang w:val="fr-CH"/>
        </w:rPr>
      </w:pPr>
      <w:r w:rsidRPr="0071782F">
        <w:rPr>
          <w:lang w:val="fr-CH"/>
        </w:rPr>
        <w:tab/>
      </w:r>
      <w:r w:rsidRPr="0071782F">
        <w:rPr>
          <w:lang w:val="fr-CH"/>
        </w:rPr>
        <w:tab/>
      </w:r>
      <w:r w:rsidR="006023A7" w:rsidRPr="0071782F">
        <w:rPr>
          <w:lang w:val="fr-CH"/>
        </w:rPr>
        <w:t xml:space="preserve">Statut juridique et </w:t>
      </w:r>
      <w:r w:rsidRPr="0071782F">
        <w:rPr>
          <w:lang w:val="fr-CH"/>
        </w:rPr>
        <w:t xml:space="preserve">importance </w:t>
      </w:r>
      <w:r w:rsidR="006023A7" w:rsidRPr="0071782F">
        <w:rPr>
          <w:lang w:val="fr-CH"/>
        </w:rPr>
        <w:t>de l’éducation en République islam</w:t>
      </w:r>
      <w:r w:rsidR="00EF7C2D" w:rsidRPr="0071782F">
        <w:rPr>
          <w:lang w:val="fr-CH"/>
        </w:rPr>
        <w:t>iq</w:t>
      </w:r>
      <w:r w:rsidR="006023A7" w:rsidRPr="0071782F">
        <w:rPr>
          <w:lang w:val="fr-CH"/>
        </w:rPr>
        <w:t xml:space="preserve">ue d’Iran </w:t>
      </w:r>
    </w:p>
    <w:p w:rsidR="00333944" w:rsidRPr="0071782F" w:rsidRDefault="00333944" w:rsidP="00333944">
      <w:pPr>
        <w:pStyle w:val="H23G"/>
        <w:rPr>
          <w:lang w:val="fr-CH"/>
        </w:rPr>
      </w:pPr>
      <w:r w:rsidRPr="0071782F">
        <w:rPr>
          <w:lang w:val="fr-CH"/>
        </w:rPr>
        <w:tab/>
      </w:r>
      <w:r w:rsidRPr="0071782F">
        <w:rPr>
          <w:lang w:val="fr-CH"/>
        </w:rPr>
        <w:tab/>
      </w:r>
      <w:r w:rsidR="006023A7" w:rsidRPr="0071782F">
        <w:rPr>
          <w:lang w:val="fr-CH"/>
        </w:rPr>
        <w:t xml:space="preserve">La </w:t>
      </w:r>
      <w:r w:rsidRPr="0071782F">
        <w:rPr>
          <w:lang w:val="fr-CH"/>
        </w:rPr>
        <w:t xml:space="preserve">Constitution </w:t>
      </w:r>
    </w:p>
    <w:p w:rsidR="00333944" w:rsidRPr="0071782F" w:rsidRDefault="00333944" w:rsidP="00333944">
      <w:pPr>
        <w:pStyle w:val="SingleTxtG"/>
        <w:rPr>
          <w:lang w:val="fr-CH"/>
        </w:rPr>
      </w:pPr>
      <w:r w:rsidRPr="0071782F">
        <w:rPr>
          <w:lang w:val="fr-CH"/>
        </w:rPr>
        <w:t>348.</w:t>
      </w:r>
      <w:r w:rsidRPr="0071782F">
        <w:rPr>
          <w:lang w:val="fr-CH"/>
        </w:rPr>
        <w:tab/>
      </w:r>
      <w:r w:rsidR="00723F2B" w:rsidRPr="0071782F">
        <w:rPr>
          <w:lang w:val="fr-CH"/>
        </w:rPr>
        <w:t>L’</w:t>
      </w:r>
      <w:r w:rsidR="00943A69" w:rsidRPr="0071782F">
        <w:rPr>
          <w:lang w:val="fr-CH"/>
        </w:rPr>
        <w:t>article </w:t>
      </w:r>
      <w:r w:rsidRPr="0071782F">
        <w:rPr>
          <w:lang w:val="fr-CH"/>
        </w:rPr>
        <w:t xml:space="preserve">33 </w:t>
      </w:r>
      <w:r w:rsidR="006023A7" w:rsidRPr="0071782F">
        <w:rPr>
          <w:lang w:val="fr-CH"/>
        </w:rPr>
        <w:t xml:space="preserve">de la </w:t>
      </w:r>
      <w:r w:rsidRPr="0071782F">
        <w:rPr>
          <w:lang w:val="fr-CH"/>
        </w:rPr>
        <w:t xml:space="preserve">Constitution </w:t>
      </w:r>
      <w:r w:rsidR="006023A7" w:rsidRPr="0071782F">
        <w:rPr>
          <w:lang w:val="fr-CH"/>
        </w:rPr>
        <w:t>dispose ce qui suit</w:t>
      </w:r>
      <w:r w:rsidR="008F7D33" w:rsidRPr="0071782F">
        <w:rPr>
          <w:lang w:val="fr-CH"/>
        </w:rPr>
        <w:t>:</w:t>
      </w:r>
    </w:p>
    <w:p w:rsidR="00333944" w:rsidRPr="0071782F" w:rsidRDefault="00A62149" w:rsidP="00333944">
      <w:pPr>
        <w:pStyle w:val="SingleTxtG"/>
        <w:ind w:left="1701"/>
        <w:rPr>
          <w:lang w:val="fr-CH"/>
        </w:rPr>
      </w:pPr>
      <w:r w:rsidRPr="0071782F">
        <w:rPr>
          <w:lang w:val="fr-CH"/>
        </w:rPr>
        <w:t>"</w:t>
      </w:r>
      <w:r w:rsidR="00965230" w:rsidRPr="0071782F">
        <w:rPr>
          <w:lang w:val="fr-CH"/>
        </w:rPr>
        <w:t xml:space="preserve">L’État doit offrir une éducation gratuite à tous les citoyens jusqu’au niveau de l’enseignement secondaire et développer l’enseignement supérieur gratuit dans la mesure </w:t>
      </w:r>
      <w:r w:rsidR="0071782F" w:rsidRPr="0071782F">
        <w:rPr>
          <w:lang w:val="fr-CH"/>
        </w:rPr>
        <w:t>nécessaire</w:t>
      </w:r>
      <w:r w:rsidR="00965230" w:rsidRPr="0071782F">
        <w:rPr>
          <w:lang w:val="fr-CH"/>
        </w:rPr>
        <w:t xml:space="preserve"> pour garantir l’autosuffisance du pays</w:t>
      </w:r>
      <w:r w:rsidR="00333944" w:rsidRPr="0071782F">
        <w:rPr>
          <w:lang w:val="fr-CH"/>
        </w:rPr>
        <w:t>.</w:t>
      </w:r>
      <w:r w:rsidRPr="0071782F">
        <w:rPr>
          <w:lang w:val="fr-CH"/>
        </w:rPr>
        <w:t>"</w:t>
      </w:r>
    </w:p>
    <w:p w:rsidR="00333944" w:rsidRPr="0071782F" w:rsidRDefault="00333944" w:rsidP="00333944">
      <w:pPr>
        <w:pStyle w:val="SingleTxtG"/>
        <w:rPr>
          <w:lang w:val="fr-CH"/>
        </w:rPr>
      </w:pPr>
      <w:r w:rsidRPr="0071782F">
        <w:rPr>
          <w:lang w:val="fr-CH"/>
        </w:rPr>
        <w:t>349.</w:t>
      </w:r>
      <w:r w:rsidRPr="0071782F">
        <w:rPr>
          <w:lang w:val="fr-CH"/>
        </w:rPr>
        <w:tab/>
      </w:r>
      <w:r w:rsidR="00965230" w:rsidRPr="0071782F">
        <w:rPr>
          <w:lang w:val="fr-CH"/>
        </w:rPr>
        <w:t xml:space="preserve">Conformément à ce principe, le Ministère de l’éducation est chargé de fournir une éducation officielle aux citoyens. L’éducation est obligatoire et gratuite. </w:t>
      </w:r>
    </w:p>
    <w:p w:rsidR="00333944" w:rsidRPr="0071782F" w:rsidRDefault="00333944" w:rsidP="00333944">
      <w:pPr>
        <w:pStyle w:val="H1G"/>
        <w:rPr>
          <w:lang w:val="fr-CH"/>
        </w:rPr>
      </w:pPr>
      <w:r w:rsidRPr="0071782F">
        <w:rPr>
          <w:lang w:val="fr-CH"/>
        </w:rPr>
        <w:tab/>
      </w:r>
      <w:r w:rsidRPr="0071782F">
        <w:rPr>
          <w:lang w:val="fr-CH"/>
        </w:rPr>
        <w:tab/>
      </w:r>
      <w:r w:rsidR="00965230" w:rsidRPr="0071782F">
        <w:rPr>
          <w:lang w:val="fr-CH"/>
        </w:rPr>
        <w:t xml:space="preserve">Le </w:t>
      </w:r>
      <w:r w:rsidR="00A90208" w:rsidRPr="0071782F">
        <w:rPr>
          <w:lang w:val="fr-CH"/>
        </w:rPr>
        <w:t>quatrième</w:t>
      </w:r>
      <w:r w:rsidR="00965230" w:rsidRPr="0071782F">
        <w:rPr>
          <w:lang w:val="fr-CH"/>
        </w:rPr>
        <w:t xml:space="preserve"> plan quinquennal de développement</w:t>
      </w:r>
      <w:r w:rsidRPr="0071782F">
        <w:rPr>
          <w:lang w:val="fr-CH"/>
        </w:rPr>
        <w:t xml:space="preserve"> </w:t>
      </w:r>
    </w:p>
    <w:p w:rsidR="00333944" w:rsidRPr="0071782F" w:rsidRDefault="00333944" w:rsidP="00333944">
      <w:pPr>
        <w:pStyle w:val="SingleTxtG"/>
        <w:rPr>
          <w:lang w:val="fr-CH"/>
        </w:rPr>
      </w:pPr>
      <w:r w:rsidRPr="0071782F">
        <w:rPr>
          <w:lang w:val="fr-CH"/>
        </w:rPr>
        <w:t>350.</w:t>
      </w:r>
      <w:r w:rsidRPr="0071782F">
        <w:rPr>
          <w:lang w:val="fr-CH"/>
        </w:rPr>
        <w:tab/>
      </w:r>
      <w:r w:rsidR="00723F2B" w:rsidRPr="0071782F">
        <w:rPr>
          <w:lang w:val="fr-CH"/>
        </w:rPr>
        <w:t>L’</w:t>
      </w:r>
      <w:r w:rsidR="00943A69" w:rsidRPr="0071782F">
        <w:rPr>
          <w:lang w:val="fr-CH"/>
        </w:rPr>
        <w:t>article </w:t>
      </w:r>
      <w:r w:rsidRPr="0071782F">
        <w:rPr>
          <w:lang w:val="fr-CH"/>
        </w:rPr>
        <w:t xml:space="preserve">48 </w:t>
      </w:r>
      <w:r w:rsidR="00965230" w:rsidRPr="0071782F">
        <w:rPr>
          <w:lang w:val="fr-CH"/>
        </w:rPr>
        <w:t>de ce plan est ainsi libellé</w:t>
      </w:r>
      <w:r w:rsidR="008F7D33" w:rsidRPr="0071782F">
        <w:rPr>
          <w:lang w:val="fr-CH"/>
        </w:rPr>
        <w:t>:</w:t>
      </w:r>
    </w:p>
    <w:p w:rsidR="00333944" w:rsidRPr="0071782F" w:rsidRDefault="00A62149" w:rsidP="00333944">
      <w:pPr>
        <w:pStyle w:val="SingleTxtG"/>
        <w:ind w:left="1701"/>
        <w:rPr>
          <w:lang w:val="fr-CH"/>
        </w:rPr>
      </w:pPr>
      <w:r w:rsidRPr="0071782F">
        <w:rPr>
          <w:lang w:val="fr-CH"/>
        </w:rPr>
        <w:t>"</w:t>
      </w:r>
      <w:r w:rsidR="00AD0ADD" w:rsidRPr="0071782F">
        <w:rPr>
          <w:lang w:val="fr-CH"/>
        </w:rPr>
        <w:t>Afin de créer un lie</w:t>
      </w:r>
      <w:r w:rsidR="00333944" w:rsidRPr="0071782F">
        <w:rPr>
          <w:lang w:val="fr-CH"/>
        </w:rPr>
        <w:t xml:space="preserve">n </w:t>
      </w:r>
      <w:r w:rsidR="00AD0ADD" w:rsidRPr="0071782F">
        <w:rPr>
          <w:lang w:val="fr-CH"/>
        </w:rPr>
        <w:t>solide entre les différents niveaux d’éducation et le développement technologique</w:t>
      </w:r>
      <w:r w:rsidR="00333944" w:rsidRPr="0071782F">
        <w:rPr>
          <w:lang w:val="fr-CH"/>
        </w:rPr>
        <w:t xml:space="preserve">, </w:t>
      </w:r>
      <w:r w:rsidR="00AD0ADD" w:rsidRPr="0071782F">
        <w:rPr>
          <w:lang w:val="fr-CH"/>
        </w:rPr>
        <w:t>l’</w:t>
      </w:r>
      <w:r w:rsidR="00333944" w:rsidRPr="0071782F">
        <w:rPr>
          <w:lang w:val="fr-CH"/>
        </w:rPr>
        <w:t>entrepreneur</w:t>
      </w:r>
      <w:r w:rsidR="00AD0ADD" w:rsidRPr="0071782F">
        <w:rPr>
          <w:lang w:val="fr-CH"/>
        </w:rPr>
        <w:t>iat et la création de richesse</w:t>
      </w:r>
      <w:r w:rsidR="00EF7C2D" w:rsidRPr="0071782F">
        <w:rPr>
          <w:lang w:val="fr-CH"/>
        </w:rPr>
        <w:t>s</w:t>
      </w:r>
      <w:r w:rsidR="00AD0ADD" w:rsidRPr="0071782F">
        <w:rPr>
          <w:lang w:val="fr-CH"/>
        </w:rPr>
        <w:t xml:space="preserve"> dans le pays</w:t>
      </w:r>
      <w:r w:rsidR="00333944" w:rsidRPr="0071782F">
        <w:rPr>
          <w:lang w:val="fr-CH"/>
        </w:rPr>
        <w:t xml:space="preserve">, </w:t>
      </w:r>
      <w:r w:rsidR="00AD0ADD" w:rsidRPr="0071782F">
        <w:rPr>
          <w:lang w:val="fr-CH"/>
        </w:rPr>
        <w:t xml:space="preserve">l’État est tenu d’adopter les mesures ci-après pendant toute la durée du </w:t>
      </w:r>
      <w:r w:rsidR="00A90208" w:rsidRPr="0071782F">
        <w:rPr>
          <w:lang w:val="fr-CH"/>
        </w:rPr>
        <w:t>quatrième</w:t>
      </w:r>
      <w:r w:rsidR="00AD0ADD" w:rsidRPr="0071782F">
        <w:rPr>
          <w:lang w:val="fr-CH"/>
        </w:rPr>
        <w:t xml:space="preserve"> plan</w:t>
      </w:r>
      <w:r w:rsidR="008F7D33" w:rsidRPr="0071782F">
        <w:rPr>
          <w:lang w:val="fr-CH"/>
        </w:rPr>
        <w:t>:</w:t>
      </w:r>
    </w:p>
    <w:p w:rsidR="00333944" w:rsidRPr="0071782F" w:rsidRDefault="00333944" w:rsidP="00D15645">
      <w:pPr>
        <w:pStyle w:val="SingleTxtG"/>
        <w:ind w:left="1701"/>
        <w:rPr>
          <w:lang w:val="fr-CH"/>
        </w:rPr>
      </w:pPr>
      <w:r w:rsidRPr="0071782F">
        <w:rPr>
          <w:lang w:val="fr-CH"/>
        </w:rPr>
        <w:t>350.1</w:t>
      </w:r>
      <w:r w:rsidR="00403D83" w:rsidRPr="0071782F">
        <w:rPr>
          <w:lang w:val="fr-CH"/>
        </w:rPr>
        <w:t>.</w:t>
      </w:r>
      <w:r w:rsidRPr="0071782F">
        <w:rPr>
          <w:lang w:val="fr-CH"/>
        </w:rPr>
        <w:tab/>
        <w:t>Cr</w:t>
      </w:r>
      <w:r w:rsidR="004730BA" w:rsidRPr="0071782F">
        <w:rPr>
          <w:lang w:val="fr-CH"/>
        </w:rPr>
        <w:t>é</w:t>
      </w:r>
      <w:r w:rsidRPr="0071782F">
        <w:rPr>
          <w:lang w:val="fr-CH"/>
        </w:rPr>
        <w:t xml:space="preserve">ation </w:t>
      </w:r>
      <w:r w:rsidR="004730BA" w:rsidRPr="0071782F">
        <w:rPr>
          <w:lang w:val="fr-CH"/>
        </w:rPr>
        <w:t>des conditions et fourniture des aides nécessaires pour créer des sociétés privées de développement technologique et de prestation de services d’ingénierie dans le but de créer, de transférer et d’attirer des technologies</w:t>
      </w:r>
      <w:r w:rsidRPr="0071782F">
        <w:rPr>
          <w:lang w:val="fr-CH"/>
        </w:rPr>
        <w:t>.</w:t>
      </w:r>
    </w:p>
    <w:p w:rsidR="00333944" w:rsidRPr="0071782F" w:rsidRDefault="00333944" w:rsidP="00D15645">
      <w:pPr>
        <w:pStyle w:val="SingleTxtG"/>
        <w:ind w:left="1701"/>
        <w:rPr>
          <w:lang w:val="fr-CH"/>
        </w:rPr>
      </w:pPr>
      <w:r w:rsidRPr="0071782F">
        <w:rPr>
          <w:lang w:val="fr-CH"/>
        </w:rPr>
        <w:t>350.2</w:t>
      </w:r>
      <w:r w:rsidR="00403D83" w:rsidRPr="0071782F">
        <w:rPr>
          <w:lang w:val="fr-CH"/>
        </w:rPr>
        <w:t>.</w:t>
      </w:r>
      <w:r w:rsidRPr="0071782F">
        <w:rPr>
          <w:lang w:val="fr-CH"/>
        </w:rPr>
        <w:tab/>
      </w:r>
      <w:r w:rsidR="004730BA" w:rsidRPr="0071782F">
        <w:rPr>
          <w:lang w:val="fr-CH"/>
        </w:rPr>
        <w:t>Définition des normes et octroi des aides nécessaires pour inciter les parties étrangères aux contrats internationaux et les investisseurs étrangers à transfé</w:t>
      </w:r>
      <w:r w:rsidRPr="0071782F">
        <w:rPr>
          <w:lang w:val="fr-CH"/>
        </w:rPr>
        <w:t>r</w:t>
      </w:r>
      <w:r w:rsidR="004730BA" w:rsidRPr="0071782F">
        <w:rPr>
          <w:lang w:val="fr-CH"/>
        </w:rPr>
        <w:t>er dans le pays une</w:t>
      </w:r>
      <w:r w:rsidRPr="0071782F">
        <w:rPr>
          <w:lang w:val="fr-CH"/>
        </w:rPr>
        <w:t xml:space="preserve"> part</w:t>
      </w:r>
      <w:r w:rsidR="004730BA" w:rsidRPr="0071782F">
        <w:rPr>
          <w:lang w:val="fr-CH"/>
        </w:rPr>
        <w:t>ie des activités de recherche-développement connexes et favoriser la collaboration d’entreprises étrangères à la réalisation de ces activité</w:t>
      </w:r>
      <w:r w:rsidRPr="0071782F">
        <w:rPr>
          <w:lang w:val="fr-CH"/>
        </w:rPr>
        <w:t>s.</w:t>
      </w:r>
    </w:p>
    <w:p w:rsidR="00333944" w:rsidRPr="0071782F" w:rsidRDefault="00333944" w:rsidP="00D15645">
      <w:pPr>
        <w:pStyle w:val="SingleTxtG"/>
        <w:ind w:left="1701"/>
        <w:rPr>
          <w:lang w:val="fr-CH"/>
        </w:rPr>
      </w:pPr>
      <w:r w:rsidRPr="0071782F">
        <w:rPr>
          <w:lang w:val="fr-CH"/>
        </w:rPr>
        <w:t>350.3</w:t>
      </w:r>
      <w:r w:rsidR="00403D83" w:rsidRPr="0071782F">
        <w:rPr>
          <w:lang w:val="fr-CH"/>
        </w:rPr>
        <w:t>.</w:t>
      </w:r>
      <w:r w:rsidRPr="0071782F">
        <w:rPr>
          <w:lang w:val="fr-CH"/>
        </w:rPr>
        <w:tab/>
        <w:t xml:space="preserve">Adoption </w:t>
      </w:r>
      <w:r w:rsidR="004730BA" w:rsidRPr="0071782F">
        <w:rPr>
          <w:lang w:val="fr-CH"/>
        </w:rPr>
        <w:t>des mesures nécessaires pour réformer le système éducatif et les examens d’entrée à l’université compte dûment tenu des résultats scolaires obtenus dans l’enseignement secondaire;</w:t>
      </w:r>
      <w:r w:rsidRPr="0071782F">
        <w:rPr>
          <w:lang w:val="fr-CH"/>
        </w:rPr>
        <w:t xml:space="preserve"> </w:t>
      </w:r>
      <w:r w:rsidR="004730BA" w:rsidRPr="0071782F">
        <w:rPr>
          <w:lang w:val="fr-CH"/>
        </w:rPr>
        <w:t xml:space="preserve">garantir la </w:t>
      </w:r>
      <w:r w:rsidRPr="0071782F">
        <w:rPr>
          <w:lang w:val="fr-CH"/>
        </w:rPr>
        <w:t xml:space="preserve">participation </w:t>
      </w:r>
      <w:r w:rsidR="004730BA" w:rsidRPr="0071782F">
        <w:rPr>
          <w:lang w:val="fr-CH"/>
        </w:rPr>
        <w:t xml:space="preserve">des </w:t>
      </w:r>
      <w:r w:rsidRPr="0071782F">
        <w:rPr>
          <w:lang w:val="fr-CH"/>
        </w:rPr>
        <w:t>universit</w:t>
      </w:r>
      <w:r w:rsidR="004730BA" w:rsidRPr="0071782F">
        <w:rPr>
          <w:lang w:val="fr-CH"/>
        </w:rPr>
        <w:t>é</w:t>
      </w:r>
      <w:r w:rsidRPr="0071782F">
        <w:rPr>
          <w:lang w:val="fr-CH"/>
        </w:rPr>
        <w:t xml:space="preserve">s, </w:t>
      </w:r>
      <w:r w:rsidR="004730BA" w:rsidRPr="0071782F">
        <w:rPr>
          <w:lang w:val="fr-CH"/>
        </w:rPr>
        <w:t>afin de promouvoir la créativité</w:t>
      </w:r>
      <w:r w:rsidRPr="0071782F">
        <w:rPr>
          <w:lang w:val="fr-CH"/>
        </w:rPr>
        <w:t xml:space="preserve">, </w:t>
      </w:r>
      <w:r w:rsidR="004730BA" w:rsidRPr="0071782F">
        <w:rPr>
          <w:lang w:val="fr-CH"/>
        </w:rPr>
        <w:t>l’</w:t>
      </w:r>
      <w:r w:rsidRPr="0071782F">
        <w:rPr>
          <w:lang w:val="fr-CH"/>
        </w:rPr>
        <w:t xml:space="preserve">innovation, </w:t>
      </w:r>
      <w:r w:rsidR="004730BA" w:rsidRPr="0071782F">
        <w:rPr>
          <w:lang w:val="fr-CH"/>
        </w:rPr>
        <w:t xml:space="preserve">la prise de risques et l’esprit d’entreprise parmi </w:t>
      </w:r>
      <w:r w:rsidR="00A233C2" w:rsidRPr="0071782F">
        <w:rPr>
          <w:lang w:val="fr-CH"/>
        </w:rPr>
        <w:t>les personnes</w:t>
      </w:r>
      <w:r w:rsidR="004730BA" w:rsidRPr="0071782F">
        <w:rPr>
          <w:lang w:val="fr-CH"/>
        </w:rPr>
        <w:t xml:space="preserve"> instruites; et donner aux jeunes générations le goût de l’étude et de la recherche indépendantes</w:t>
      </w:r>
      <w:r w:rsidRPr="0071782F">
        <w:rPr>
          <w:lang w:val="fr-CH"/>
        </w:rPr>
        <w:t>.</w:t>
      </w:r>
      <w:r w:rsidR="00A62149" w:rsidRPr="0071782F">
        <w:rPr>
          <w:lang w:val="fr-CH"/>
        </w:rPr>
        <w:t>"</w:t>
      </w:r>
    </w:p>
    <w:p w:rsidR="00333944" w:rsidRPr="0071782F" w:rsidRDefault="00333944" w:rsidP="00333944">
      <w:pPr>
        <w:pStyle w:val="SingleTxtG"/>
        <w:rPr>
          <w:lang w:val="fr-CH"/>
        </w:rPr>
      </w:pPr>
      <w:r w:rsidRPr="0071782F">
        <w:rPr>
          <w:lang w:val="fr-CH"/>
        </w:rPr>
        <w:t>351.</w:t>
      </w:r>
      <w:r w:rsidRPr="0071782F">
        <w:rPr>
          <w:lang w:val="fr-CH"/>
        </w:rPr>
        <w:tab/>
      </w:r>
      <w:r w:rsidR="00723F2B" w:rsidRPr="0071782F">
        <w:rPr>
          <w:lang w:val="fr-CH"/>
        </w:rPr>
        <w:t>L’</w:t>
      </w:r>
      <w:r w:rsidR="00943A69" w:rsidRPr="0071782F">
        <w:rPr>
          <w:lang w:val="fr-CH"/>
        </w:rPr>
        <w:t>article </w:t>
      </w:r>
      <w:r w:rsidRPr="0071782F">
        <w:rPr>
          <w:lang w:val="fr-CH"/>
        </w:rPr>
        <w:t xml:space="preserve">50 </w:t>
      </w:r>
      <w:r w:rsidR="004730BA" w:rsidRPr="0071782F">
        <w:rPr>
          <w:lang w:val="fr-CH"/>
        </w:rPr>
        <w:t xml:space="preserve">du </w:t>
      </w:r>
      <w:r w:rsidRPr="0071782F">
        <w:rPr>
          <w:lang w:val="fr-CH"/>
        </w:rPr>
        <w:t xml:space="preserve">plan </w:t>
      </w:r>
      <w:r w:rsidR="004730BA" w:rsidRPr="0071782F">
        <w:rPr>
          <w:lang w:val="fr-CH"/>
        </w:rPr>
        <w:t>est ainsi libellé</w:t>
      </w:r>
      <w:r w:rsidR="008F7D33" w:rsidRPr="0071782F">
        <w:rPr>
          <w:lang w:val="fr-CH"/>
        </w:rPr>
        <w:t>:</w:t>
      </w:r>
    </w:p>
    <w:p w:rsidR="00333944" w:rsidRPr="0071782F" w:rsidRDefault="00A62149" w:rsidP="00333944">
      <w:pPr>
        <w:pStyle w:val="SingleTxtG"/>
        <w:ind w:left="1701"/>
        <w:rPr>
          <w:lang w:val="fr-CH"/>
        </w:rPr>
      </w:pPr>
      <w:r w:rsidRPr="0071782F">
        <w:rPr>
          <w:lang w:val="fr-CH"/>
        </w:rPr>
        <w:t>"</w:t>
      </w:r>
      <w:r w:rsidR="00592C01" w:rsidRPr="0071782F">
        <w:rPr>
          <w:lang w:val="fr-CH"/>
        </w:rPr>
        <w:t xml:space="preserve">Afin de répondre comme il convient à l’augmentation de la demande d’études supérieures en utilisant de manière optimale les ressources existantes et en favorisant la participation de la population, </w:t>
      </w:r>
    </w:p>
    <w:p w:rsidR="00333944" w:rsidRPr="0071782F" w:rsidRDefault="00333944" w:rsidP="00D15645">
      <w:pPr>
        <w:pStyle w:val="SingleTxtG"/>
        <w:ind w:left="1701"/>
        <w:rPr>
          <w:lang w:val="fr-CH"/>
        </w:rPr>
      </w:pPr>
      <w:r w:rsidRPr="0071782F">
        <w:rPr>
          <w:lang w:val="fr-CH"/>
        </w:rPr>
        <w:t>351.1</w:t>
      </w:r>
      <w:r w:rsidR="00403D83" w:rsidRPr="0071782F">
        <w:rPr>
          <w:lang w:val="fr-CH"/>
        </w:rPr>
        <w:t>.</w:t>
      </w:r>
      <w:r w:rsidRPr="0071782F">
        <w:rPr>
          <w:lang w:val="fr-CH"/>
        </w:rPr>
        <w:tab/>
      </w:r>
      <w:r w:rsidR="00592C01" w:rsidRPr="0071782F">
        <w:rPr>
          <w:lang w:val="fr-CH"/>
        </w:rPr>
        <w:t>Les organes d’exécution associés aux établissements d’enseignement supérieur sont habilités, afin de pourvoir leurs postes vacants, à recruter, avec l’autorisation du Haut Conseil pour l’expansion de l’enseignement supérieur, des étudiants du niveau de la licence</w:t>
      </w:r>
      <w:r w:rsidRPr="0071782F">
        <w:rPr>
          <w:lang w:val="fr-CH"/>
        </w:rPr>
        <w:t xml:space="preserve">, </w:t>
      </w:r>
      <w:r w:rsidR="00592C01" w:rsidRPr="0071782F">
        <w:rPr>
          <w:lang w:val="fr-CH"/>
        </w:rPr>
        <w:t>et à recevoir le montant intégral des frais d’études et à le déposer sur le compte des recettes spéciales</w:t>
      </w:r>
      <w:r w:rsidRPr="0071782F">
        <w:rPr>
          <w:lang w:val="fr-CH"/>
        </w:rPr>
        <w:t xml:space="preserve">. </w:t>
      </w:r>
    </w:p>
    <w:p w:rsidR="00333944" w:rsidRPr="0071782F" w:rsidRDefault="00333944" w:rsidP="00D15645">
      <w:pPr>
        <w:pStyle w:val="SingleTxtG"/>
        <w:ind w:left="1701"/>
        <w:rPr>
          <w:lang w:val="fr-CH"/>
        </w:rPr>
      </w:pPr>
      <w:r w:rsidRPr="0071782F">
        <w:rPr>
          <w:lang w:val="fr-CH"/>
        </w:rPr>
        <w:t>351.2</w:t>
      </w:r>
      <w:r w:rsidR="00403D83" w:rsidRPr="0071782F">
        <w:rPr>
          <w:lang w:val="fr-CH"/>
        </w:rPr>
        <w:t>.</w:t>
      </w:r>
      <w:r w:rsidRPr="0071782F">
        <w:rPr>
          <w:lang w:val="fr-CH"/>
        </w:rPr>
        <w:tab/>
      </w:r>
      <w:r w:rsidR="00592C01" w:rsidRPr="0071782F">
        <w:rPr>
          <w:lang w:val="fr-CH"/>
        </w:rPr>
        <w:t>Les universités et autres établissements d’enseignement supérieur sont habilités, en diversifiant les modalités d’enseignement, à organiser des cours du soir ou de fin d’après-midi, un enseignement à distance, un enseignement virtuel, des programmes en collaboration avec des universités étrangères reconnues et des cours spéciaux afin de garantir l’égalité des chances en matière d’éducation et de porter à 30</w:t>
      </w:r>
      <w:r w:rsidR="007E5125" w:rsidRPr="0071782F">
        <w:rPr>
          <w:lang w:val="fr-CH"/>
        </w:rPr>
        <w:t>%</w:t>
      </w:r>
      <w:r w:rsidR="00592C01" w:rsidRPr="0071782F">
        <w:rPr>
          <w:lang w:val="fr-CH"/>
        </w:rPr>
        <w:t xml:space="preserve"> d’ici à la fin du </w:t>
      </w:r>
      <w:r w:rsidR="00A90208" w:rsidRPr="0071782F">
        <w:rPr>
          <w:lang w:val="fr-CH"/>
        </w:rPr>
        <w:t>quatrième</w:t>
      </w:r>
      <w:r w:rsidR="00592C01" w:rsidRPr="0071782F">
        <w:rPr>
          <w:lang w:val="fr-CH"/>
        </w:rPr>
        <w:t xml:space="preserve"> plan de développement le ratio population estudiantine/population âgée de 18 à 24</w:t>
      </w:r>
      <w:r w:rsidR="00D82C96" w:rsidRPr="0071782F">
        <w:rPr>
          <w:lang w:val="fr-CH"/>
        </w:rPr>
        <w:t> ans</w:t>
      </w:r>
      <w:r w:rsidR="00592C01" w:rsidRPr="0071782F">
        <w:rPr>
          <w:lang w:val="fr-CH"/>
        </w:rPr>
        <w:t xml:space="preserve">. </w:t>
      </w:r>
    </w:p>
    <w:p w:rsidR="00333944" w:rsidRPr="001C164E" w:rsidRDefault="00333944" w:rsidP="00D15645">
      <w:pPr>
        <w:pStyle w:val="SingleTxtG"/>
        <w:ind w:left="1701"/>
        <w:rPr>
          <w:spacing w:val="-2"/>
          <w:lang w:val="fr-CH"/>
        </w:rPr>
      </w:pPr>
      <w:r w:rsidRPr="001C164E">
        <w:rPr>
          <w:spacing w:val="-2"/>
          <w:lang w:val="fr-CH"/>
        </w:rPr>
        <w:t>351.3</w:t>
      </w:r>
      <w:r w:rsidR="00403D83" w:rsidRPr="001C164E">
        <w:rPr>
          <w:spacing w:val="-2"/>
          <w:lang w:val="fr-CH"/>
        </w:rPr>
        <w:t>.</w:t>
      </w:r>
      <w:r w:rsidRPr="001C164E">
        <w:rPr>
          <w:spacing w:val="-2"/>
          <w:lang w:val="fr-CH"/>
        </w:rPr>
        <w:tab/>
      </w:r>
      <w:r w:rsidR="009021C7" w:rsidRPr="001C164E">
        <w:rPr>
          <w:spacing w:val="-2"/>
          <w:lang w:val="fr-CH"/>
        </w:rPr>
        <w:t xml:space="preserve">L’État est autorisé à offrir des services de crédit sous la forme de prêts à long terme sans intérêt à des fonds de protection sociale des étudiants et à d’autres </w:t>
      </w:r>
      <w:r w:rsidRPr="001C164E">
        <w:rPr>
          <w:spacing w:val="-2"/>
          <w:lang w:val="fr-CH"/>
        </w:rPr>
        <w:t>institutions</w:t>
      </w:r>
      <w:r w:rsidR="009021C7" w:rsidRPr="001C164E">
        <w:rPr>
          <w:spacing w:val="-2"/>
          <w:lang w:val="fr-CH"/>
        </w:rPr>
        <w:t xml:space="preserve"> connexes</w:t>
      </w:r>
      <w:r w:rsidRPr="001C164E">
        <w:rPr>
          <w:spacing w:val="-2"/>
          <w:lang w:val="fr-CH"/>
        </w:rPr>
        <w:t xml:space="preserve">, </w:t>
      </w:r>
      <w:r w:rsidR="009021C7" w:rsidRPr="001C164E">
        <w:rPr>
          <w:spacing w:val="-2"/>
          <w:lang w:val="fr-CH"/>
        </w:rPr>
        <w:t xml:space="preserve">de manière que certains des étudiants visés au </w:t>
      </w:r>
      <w:r w:rsidR="00723F2B" w:rsidRPr="001C164E">
        <w:rPr>
          <w:spacing w:val="-2"/>
          <w:lang w:val="fr-CH"/>
        </w:rPr>
        <w:t>paragraphe </w:t>
      </w:r>
      <w:r w:rsidRPr="001C164E">
        <w:rPr>
          <w:spacing w:val="-2"/>
          <w:lang w:val="fr-CH"/>
        </w:rPr>
        <w:t xml:space="preserve">B </w:t>
      </w:r>
      <w:r w:rsidR="009021C7" w:rsidRPr="001C164E">
        <w:rPr>
          <w:spacing w:val="-2"/>
          <w:lang w:val="fr-CH"/>
        </w:rPr>
        <w:t xml:space="preserve">du présent </w:t>
      </w:r>
      <w:r w:rsidR="00943A69" w:rsidRPr="001C164E">
        <w:rPr>
          <w:spacing w:val="-2"/>
          <w:lang w:val="fr-CH"/>
        </w:rPr>
        <w:t>article </w:t>
      </w:r>
      <w:r w:rsidR="009021C7" w:rsidRPr="001C164E">
        <w:rPr>
          <w:spacing w:val="-2"/>
          <w:lang w:val="fr-CH"/>
        </w:rPr>
        <w:t xml:space="preserve">ainsi que les étudiants des </w:t>
      </w:r>
      <w:r w:rsidRPr="001C164E">
        <w:rPr>
          <w:spacing w:val="-2"/>
          <w:lang w:val="fr-CH"/>
        </w:rPr>
        <w:t>universit</w:t>
      </w:r>
      <w:r w:rsidR="009021C7" w:rsidRPr="001C164E">
        <w:rPr>
          <w:spacing w:val="-2"/>
          <w:lang w:val="fr-CH"/>
        </w:rPr>
        <w:t>é</w:t>
      </w:r>
      <w:r w:rsidRPr="001C164E">
        <w:rPr>
          <w:spacing w:val="-2"/>
          <w:lang w:val="fr-CH"/>
        </w:rPr>
        <w:t xml:space="preserve">s, </w:t>
      </w:r>
      <w:r w:rsidR="009021C7" w:rsidRPr="001C164E">
        <w:rPr>
          <w:spacing w:val="-2"/>
          <w:lang w:val="fr-CH"/>
        </w:rPr>
        <w:t xml:space="preserve">des autres établissements d’enseignement supérieur et de l’Université de </w:t>
      </w:r>
      <w:r w:rsidRPr="001C164E">
        <w:rPr>
          <w:spacing w:val="-2"/>
          <w:lang w:val="fr-CH"/>
        </w:rPr>
        <w:t xml:space="preserve">Payam-e Noor </w:t>
      </w:r>
      <w:r w:rsidR="009021C7" w:rsidRPr="001C164E">
        <w:rPr>
          <w:spacing w:val="-2"/>
          <w:lang w:val="fr-CH"/>
        </w:rPr>
        <w:t xml:space="preserve">qui n’ont pas les moyens de payer les frais de scolarité puissent utiliser à cette fin les services de crédit et rembourser leur prêt par versements échelonnés une fois leurs études terminées. </w:t>
      </w:r>
    </w:p>
    <w:p w:rsidR="00333944" w:rsidRPr="0071782F" w:rsidRDefault="00333944" w:rsidP="00D15645">
      <w:pPr>
        <w:pStyle w:val="SingleTxtG"/>
        <w:ind w:left="1701"/>
        <w:rPr>
          <w:lang w:val="fr-CH"/>
        </w:rPr>
      </w:pPr>
      <w:r w:rsidRPr="0071782F">
        <w:rPr>
          <w:lang w:val="fr-CH"/>
        </w:rPr>
        <w:t>351.4</w:t>
      </w:r>
      <w:r w:rsidR="00403D83" w:rsidRPr="0071782F">
        <w:rPr>
          <w:lang w:val="fr-CH"/>
        </w:rPr>
        <w:t>.</w:t>
      </w:r>
      <w:r w:rsidRPr="0071782F">
        <w:rPr>
          <w:lang w:val="fr-CH"/>
        </w:rPr>
        <w:tab/>
      </w:r>
      <w:r w:rsidR="00795C29" w:rsidRPr="0071782F">
        <w:rPr>
          <w:lang w:val="fr-CH"/>
        </w:rPr>
        <w:t xml:space="preserve">Afin d’aider les étudiants des établissements d’enseignement supérieur privés à but non lucratif habilités par le </w:t>
      </w:r>
      <w:r w:rsidRPr="0071782F">
        <w:rPr>
          <w:lang w:val="fr-CH"/>
        </w:rPr>
        <w:t>Minist</w:t>
      </w:r>
      <w:r w:rsidR="00795C29" w:rsidRPr="0071782F">
        <w:rPr>
          <w:lang w:val="fr-CH"/>
        </w:rPr>
        <w:t>ère de la s</w:t>
      </w:r>
      <w:r w:rsidRPr="0071782F">
        <w:rPr>
          <w:lang w:val="fr-CH"/>
        </w:rPr>
        <w:t xml:space="preserve">cience, </w:t>
      </w:r>
      <w:r w:rsidR="00795C29" w:rsidRPr="0071782F">
        <w:rPr>
          <w:lang w:val="fr-CH"/>
        </w:rPr>
        <w:t xml:space="preserve">de la recherche et de la technologie et du </w:t>
      </w:r>
      <w:r w:rsidRPr="0071782F">
        <w:rPr>
          <w:lang w:val="fr-CH"/>
        </w:rPr>
        <w:t>Minist</w:t>
      </w:r>
      <w:r w:rsidR="00795C29" w:rsidRPr="0071782F">
        <w:rPr>
          <w:lang w:val="fr-CH"/>
        </w:rPr>
        <w:t>ère de la santé et de la formation médicale dont les fonds de protection sociale des étudiants ne sont pas encore créés, l’État est tenu d’allouer à titre provisoire, en plus du budget ordinaire, des crédits supplémentaires pour doter les fonds susvisés.</w:t>
      </w:r>
      <w:r w:rsidR="00D36718">
        <w:rPr>
          <w:lang w:val="fr-CH"/>
        </w:rPr>
        <w:t xml:space="preserve"> </w:t>
      </w:r>
      <w:r w:rsidR="00795C29" w:rsidRPr="0071782F">
        <w:rPr>
          <w:lang w:val="fr-CH"/>
        </w:rPr>
        <w:t>Les fonds en question doivent être mis à la disposition des étudiants</w:t>
      </w:r>
      <w:r w:rsidRPr="0071782F">
        <w:rPr>
          <w:lang w:val="fr-CH"/>
        </w:rPr>
        <w:t xml:space="preserve"> </w:t>
      </w:r>
      <w:r w:rsidR="00795C29" w:rsidRPr="0071782F">
        <w:rPr>
          <w:lang w:val="fr-CH"/>
        </w:rPr>
        <w:t>de ces établissements sous la forme de prêts à long terme sans intérêt, les</w:t>
      </w:r>
      <w:r w:rsidR="00C74F0D" w:rsidRPr="0071782F">
        <w:rPr>
          <w:lang w:val="fr-CH"/>
        </w:rPr>
        <w:t xml:space="preserve"> </w:t>
      </w:r>
      <w:r w:rsidR="00795C29" w:rsidRPr="0071782F">
        <w:rPr>
          <w:lang w:val="fr-CH"/>
        </w:rPr>
        <w:t>bénéficiaires de ces prêts devant les rembourser par versements échelonnés sur une longue période une fois leurs études achevées</w:t>
      </w:r>
      <w:r w:rsidRPr="0071782F">
        <w:rPr>
          <w:lang w:val="fr-CH"/>
        </w:rPr>
        <w:t>.</w:t>
      </w:r>
    </w:p>
    <w:p w:rsidR="00333944" w:rsidRPr="0071782F" w:rsidRDefault="00333944" w:rsidP="00D15645">
      <w:pPr>
        <w:pStyle w:val="SingleTxtG"/>
        <w:ind w:left="1701"/>
        <w:rPr>
          <w:lang w:val="fr-CH"/>
        </w:rPr>
      </w:pPr>
      <w:r w:rsidRPr="0071782F">
        <w:rPr>
          <w:lang w:val="fr-CH"/>
        </w:rPr>
        <w:t>351.5</w:t>
      </w:r>
      <w:r w:rsidR="00403D83" w:rsidRPr="0071782F">
        <w:rPr>
          <w:lang w:val="fr-CH"/>
        </w:rPr>
        <w:t>.</w:t>
      </w:r>
      <w:r w:rsidRPr="0071782F">
        <w:rPr>
          <w:lang w:val="fr-CH"/>
        </w:rPr>
        <w:tab/>
      </w:r>
      <w:r w:rsidR="00C74F0D" w:rsidRPr="0071782F">
        <w:rPr>
          <w:lang w:val="fr-CH"/>
        </w:rPr>
        <w:t xml:space="preserve">L’Université </w:t>
      </w:r>
      <w:r w:rsidRPr="0071782F">
        <w:rPr>
          <w:lang w:val="fr-CH"/>
        </w:rPr>
        <w:t xml:space="preserve">Payam-e Noor </w:t>
      </w:r>
      <w:r w:rsidR="00C74F0D" w:rsidRPr="0071782F">
        <w:rPr>
          <w:lang w:val="fr-CH"/>
        </w:rPr>
        <w:t xml:space="preserve">doit être financée par les frais acquittés par les étudiants, des dons publics et des crédits inscrits au </w:t>
      </w:r>
      <w:r w:rsidR="0071782F" w:rsidRPr="0071782F">
        <w:rPr>
          <w:lang w:val="fr-CH"/>
        </w:rPr>
        <w:t>budget</w:t>
      </w:r>
      <w:r w:rsidR="00C74F0D" w:rsidRPr="0071782F">
        <w:rPr>
          <w:lang w:val="fr-CH"/>
        </w:rPr>
        <w:t xml:space="preserve"> général</w:t>
      </w:r>
      <w:r w:rsidRPr="0071782F">
        <w:rPr>
          <w:lang w:val="fr-CH"/>
        </w:rPr>
        <w:t>.</w:t>
      </w:r>
    </w:p>
    <w:p w:rsidR="00333944" w:rsidRPr="0071782F" w:rsidRDefault="00333944" w:rsidP="00D15645">
      <w:pPr>
        <w:pStyle w:val="SingleTxtG"/>
        <w:ind w:left="1701"/>
        <w:rPr>
          <w:lang w:val="fr-CH"/>
        </w:rPr>
      </w:pPr>
      <w:r w:rsidRPr="0071782F">
        <w:rPr>
          <w:lang w:val="fr-CH"/>
        </w:rPr>
        <w:t>351.6</w:t>
      </w:r>
      <w:r w:rsidR="00403D83" w:rsidRPr="0071782F">
        <w:rPr>
          <w:lang w:val="fr-CH"/>
        </w:rPr>
        <w:t>.</w:t>
      </w:r>
      <w:r w:rsidRPr="0071782F">
        <w:rPr>
          <w:lang w:val="fr-CH"/>
        </w:rPr>
        <w:tab/>
      </w:r>
      <w:r w:rsidR="00CE315D" w:rsidRPr="0071782F">
        <w:rPr>
          <w:lang w:val="fr-CH"/>
        </w:rPr>
        <w:t>L’État est autorisé à financer par imputation sur le budget général le paiement des intérêts des crédits bancaires utilisés pour financer des projets d’investissement du secteur privé et des coopératives relatifs à la création et à l’extension d’établis</w:t>
      </w:r>
      <w:r w:rsidR="00443A0E" w:rsidRPr="0071782F">
        <w:rPr>
          <w:lang w:val="fr-CH"/>
        </w:rPr>
        <w:t>s</w:t>
      </w:r>
      <w:r w:rsidR="00CE315D" w:rsidRPr="0071782F">
        <w:rPr>
          <w:lang w:val="fr-CH"/>
        </w:rPr>
        <w:t xml:space="preserve">ements d’enseignement supérieur qui respectent les normes du </w:t>
      </w:r>
      <w:r w:rsidRPr="0071782F">
        <w:rPr>
          <w:lang w:val="fr-CH"/>
        </w:rPr>
        <w:t>Minist</w:t>
      </w:r>
      <w:r w:rsidR="00CE315D" w:rsidRPr="0071782F">
        <w:rPr>
          <w:lang w:val="fr-CH"/>
        </w:rPr>
        <w:t xml:space="preserve">ère de la santé et de la formation médicale et du </w:t>
      </w:r>
      <w:r w:rsidRPr="0071782F">
        <w:rPr>
          <w:lang w:val="fr-CH"/>
        </w:rPr>
        <w:t>Minist</w:t>
      </w:r>
      <w:r w:rsidR="00CE315D" w:rsidRPr="0071782F">
        <w:rPr>
          <w:lang w:val="fr-CH"/>
        </w:rPr>
        <w:t>ère de la s</w:t>
      </w:r>
      <w:r w:rsidRPr="0071782F">
        <w:rPr>
          <w:lang w:val="fr-CH"/>
        </w:rPr>
        <w:t xml:space="preserve">cience, </w:t>
      </w:r>
      <w:r w:rsidR="00CE315D" w:rsidRPr="0071782F">
        <w:rPr>
          <w:lang w:val="fr-CH"/>
        </w:rPr>
        <w:t>de la r</w:t>
      </w:r>
      <w:r w:rsidRPr="0071782F">
        <w:rPr>
          <w:lang w:val="fr-CH"/>
        </w:rPr>
        <w:t>e</w:t>
      </w:r>
      <w:r w:rsidR="00CE315D" w:rsidRPr="0071782F">
        <w:rPr>
          <w:lang w:val="fr-CH"/>
        </w:rPr>
        <w:t>cherche et de la technologie</w:t>
      </w:r>
      <w:r w:rsidRPr="0071782F">
        <w:rPr>
          <w:lang w:val="fr-CH"/>
        </w:rPr>
        <w:t xml:space="preserve">. </w:t>
      </w:r>
      <w:r w:rsidR="00FC0184" w:rsidRPr="0071782F">
        <w:rPr>
          <w:lang w:val="fr-CH"/>
        </w:rPr>
        <w:t>Les crédits bancaires sont destinés en priorité à la création d’universités privées, afin d’augmenter le nombre de centres de formation scientifique et technique qui offrent des prog</w:t>
      </w:r>
      <w:r w:rsidR="00443A0E" w:rsidRPr="0071782F">
        <w:rPr>
          <w:lang w:val="fr-CH"/>
        </w:rPr>
        <w:t>r</w:t>
      </w:r>
      <w:r w:rsidR="00FC0184" w:rsidRPr="0071782F">
        <w:rPr>
          <w:lang w:val="fr-CH"/>
        </w:rPr>
        <w:t>ammes d’études de deux</w:t>
      </w:r>
      <w:r w:rsidR="00D82C96" w:rsidRPr="0071782F">
        <w:rPr>
          <w:lang w:val="fr-CH"/>
        </w:rPr>
        <w:t> ans</w:t>
      </w:r>
      <w:r w:rsidRPr="0071782F">
        <w:rPr>
          <w:lang w:val="fr-CH"/>
        </w:rPr>
        <w:t xml:space="preserve">. </w:t>
      </w:r>
    </w:p>
    <w:p w:rsidR="00333944" w:rsidRPr="0071782F" w:rsidRDefault="00333944" w:rsidP="00D15645">
      <w:pPr>
        <w:pStyle w:val="SingleTxtG"/>
        <w:ind w:left="1701"/>
        <w:rPr>
          <w:lang w:val="fr-CH"/>
        </w:rPr>
      </w:pPr>
      <w:r w:rsidRPr="0071782F">
        <w:rPr>
          <w:lang w:val="fr-CH"/>
        </w:rPr>
        <w:t>351.7</w:t>
      </w:r>
      <w:r w:rsidR="00403D83" w:rsidRPr="0071782F">
        <w:rPr>
          <w:lang w:val="fr-CH"/>
        </w:rPr>
        <w:t>.</w:t>
      </w:r>
      <w:r w:rsidRPr="0071782F">
        <w:rPr>
          <w:lang w:val="fr-CH"/>
        </w:rPr>
        <w:tab/>
      </w:r>
      <w:r w:rsidR="00FC0184" w:rsidRPr="0071782F">
        <w:rPr>
          <w:lang w:val="fr-CH"/>
        </w:rPr>
        <w:t>Le Ministère de la santé et de la formation médicale et le Ministère de la science, de la recherche et de la technologie sont tenus, afin de renforcer les capacités des principales universités publiques dans les domaines de l’éducation et de la recherche par rapport aux meilleures universités étrangères, d’élaborer un programme spécial à faire approuver par le Conseil des ministres d’ici à la fin de la première année du plan</w:t>
      </w:r>
      <w:r w:rsidRPr="0071782F">
        <w:rPr>
          <w:lang w:val="fr-CH"/>
        </w:rPr>
        <w:t>.</w:t>
      </w:r>
    </w:p>
    <w:p w:rsidR="00333944" w:rsidRPr="0071782F" w:rsidRDefault="00333944" w:rsidP="00D15645">
      <w:pPr>
        <w:pStyle w:val="SingleTxtG"/>
        <w:ind w:left="1701"/>
        <w:rPr>
          <w:lang w:val="fr-CH"/>
        </w:rPr>
      </w:pPr>
      <w:r w:rsidRPr="0071782F">
        <w:rPr>
          <w:lang w:val="fr-CH"/>
        </w:rPr>
        <w:t>351.8</w:t>
      </w:r>
      <w:r w:rsidR="00403D83" w:rsidRPr="0071782F">
        <w:rPr>
          <w:lang w:val="fr-CH"/>
        </w:rPr>
        <w:t>.</w:t>
      </w:r>
      <w:r w:rsidRPr="0071782F">
        <w:rPr>
          <w:lang w:val="fr-CH"/>
        </w:rPr>
        <w:tab/>
      </w:r>
      <w:r w:rsidR="00EE44EB" w:rsidRPr="0071782F">
        <w:rPr>
          <w:lang w:val="fr-CH"/>
        </w:rPr>
        <w:t xml:space="preserve">Il incombe au Ministère de la santé et de la formation médicale et au Ministère de la science, de la recherche et de la technologie d’établir </w:t>
      </w:r>
      <w:r w:rsidR="00443A0E" w:rsidRPr="0071782F">
        <w:rPr>
          <w:lang w:val="fr-CH"/>
        </w:rPr>
        <w:t>l’</w:t>
      </w:r>
      <w:r w:rsidR="00EE44EB" w:rsidRPr="0071782F">
        <w:rPr>
          <w:lang w:val="fr-CH"/>
        </w:rPr>
        <w:t>accord général et de prévoir le mécanisme nécessaires pour orienter l’investissement du secteur privé et des coopératives vers la création et l’extension d’université</w:t>
      </w:r>
      <w:r w:rsidRPr="0071782F">
        <w:rPr>
          <w:lang w:val="fr-CH"/>
        </w:rPr>
        <w:t xml:space="preserve">s </w:t>
      </w:r>
      <w:r w:rsidR="00EE44EB" w:rsidRPr="0071782F">
        <w:rPr>
          <w:lang w:val="fr-CH"/>
        </w:rPr>
        <w:t>et d’autres établissements d’enseignement supérieur</w:t>
      </w:r>
      <w:r w:rsidRPr="0071782F">
        <w:rPr>
          <w:lang w:val="fr-CH"/>
        </w:rPr>
        <w:t>.</w:t>
      </w:r>
    </w:p>
    <w:p w:rsidR="00333944" w:rsidRPr="0071782F" w:rsidRDefault="00333944" w:rsidP="00D15645">
      <w:pPr>
        <w:pStyle w:val="SingleTxtG"/>
        <w:ind w:left="1701"/>
        <w:rPr>
          <w:lang w:val="fr-CH"/>
        </w:rPr>
      </w:pPr>
      <w:r w:rsidRPr="0071782F">
        <w:rPr>
          <w:lang w:val="fr-CH"/>
        </w:rPr>
        <w:t>351.9</w:t>
      </w:r>
      <w:r w:rsidR="00403D83" w:rsidRPr="0071782F">
        <w:rPr>
          <w:lang w:val="fr-CH"/>
        </w:rPr>
        <w:t>.</w:t>
      </w:r>
      <w:r w:rsidRPr="0071782F">
        <w:rPr>
          <w:lang w:val="fr-CH"/>
        </w:rPr>
        <w:tab/>
      </w:r>
      <w:r w:rsidR="00C30AA0" w:rsidRPr="0071782F">
        <w:rPr>
          <w:lang w:val="fr-CH"/>
        </w:rPr>
        <w:t xml:space="preserve">L’État est tenu d’adopter, pendant la première année du </w:t>
      </w:r>
      <w:r w:rsidR="00A90208" w:rsidRPr="0071782F">
        <w:rPr>
          <w:lang w:val="fr-CH"/>
        </w:rPr>
        <w:t>quatrième</w:t>
      </w:r>
      <w:r w:rsidR="00C30AA0" w:rsidRPr="0071782F">
        <w:rPr>
          <w:lang w:val="fr-CH"/>
        </w:rPr>
        <w:t xml:space="preserve"> plan de développement, les mesures juridiques nécessaires pour empêcher la sortie incontrôlée du pays du capital </w:t>
      </w:r>
      <w:r w:rsidRPr="0071782F">
        <w:rPr>
          <w:lang w:val="fr-CH"/>
        </w:rPr>
        <w:t>huma</w:t>
      </w:r>
      <w:r w:rsidR="00C30AA0" w:rsidRPr="0071782F">
        <w:rPr>
          <w:lang w:val="fr-CH"/>
        </w:rPr>
        <w:t xml:space="preserve">in, intellectuel, scientifique et </w:t>
      </w:r>
      <w:r w:rsidRPr="0071782F">
        <w:rPr>
          <w:lang w:val="fr-CH"/>
        </w:rPr>
        <w:t>tech</w:t>
      </w:r>
      <w:r w:rsidR="00C30AA0" w:rsidRPr="0071782F">
        <w:rPr>
          <w:lang w:val="fr-CH"/>
        </w:rPr>
        <w:t>nique</w:t>
      </w:r>
      <w:r w:rsidRPr="0071782F">
        <w:rPr>
          <w:lang w:val="fr-CH"/>
        </w:rPr>
        <w:t>,</w:t>
      </w:r>
      <w:r w:rsidR="00C30AA0" w:rsidRPr="0071782F">
        <w:rPr>
          <w:lang w:val="fr-CH"/>
        </w:rPr>
        <w:t xml:space="preserve"> tout en réalisant des études et en examinant les stratégies les plus appropriées</w:t>
      </w:r>
      <w:r w:rsidRPr="0071782F">
        <w:rPr>
          <w:lang w:val="fr-CH"/>
        </w:rPr>
        <w:t>.</w:t>
      </w:r>
      <w:r w:rsidR="00A62149" w:rsidRPr="0071782F">
        <w:rPr>
          <w:lang w:val="fr-CH"/>
        </w:rPr>
        <w:t>"</w:t>
      </w:r>
    </w:p>
    <w:p w:rsidR="00333944" w:rsidRPr="0071782F" w:rsidRDefault="00333944" w:rsidP="00333944">
      <w:pPr>
        <w:pStyle w:val="SingleTxtG"/>
        <w:rPr>
          <w:lang w:val="fr-CH"/>
        </w:rPr>
      </w:pPr>
      <w:r w:rsidRPr="0071782F">
        <w:rPr>
          <w:lang w:val="fr-CH"/>
        </w:rPr>
        <w:t>352.</w:t>
      </w:r>
      <w:r w:rsidRPr="0071782F">
        <w:rPr>
          <w:lang w:val="fr-CH"/>
        </w:rPr>
        <w:tab/>
      </w:r>
      <w:r w:rsidR="00723F2B" w:rsidRPr="0071782F">
        <w:rPr>
          <w:lang w:val="fr-CH"/>
        </w:rPr>
        <w:t>L’</w:t>
      </w:r>
      <w:r w:rsidR="00943A69" w:rsidRPr="0071782F">
        <w:rPr>
          <w:lang w:val="fr-CH"/>
        </w:rPr>
        <w:t>article </w:t>
      </w:r>
      <w:r w:rsidRPr="0071782F">
        <w:rPr>
          <w:lang w:val="fr-CH"/>
        </w:rPr>
        <w:t xml:space="preserve">51 </w:t>
      </w:r>
      <w:r w:rsidR="00C30AA0" w:rsidRPr="0071782F">
        <w:rPr>
          <w:lang w:val="fr-CH"/>
        </w:rPr>
        <w:t>du plan dispose ce qui suit</w:t>
      </w:r>
      <w:r w:rsidR="008F7D33" w:rsidRPr="0071782F">
        <w:rPr>
          <w:lang w:val="fr-CH"/>
        </w:rPr>
        <w:t>:</w:t>
      </w:r>
    </w:p>
    <w:p w:rsidR="00333944" w:rsidRPr="0071782F" w:rsidRDefault="00A62149" w:rsidP="00333944">
      <w:pPr>
        <w:pStyle w:val="SingleTxtG"/>
        <w:ind w:left="1701"/>
        <w:rPr>
          <w:lang w:val="fr-CH"/>
        </w:rPr>
      </w:pPr>
      <w:r w:rsidRPr="0071782F">
        <w:rPr>
          <w:lang w:val="fr-CH"/>
        </w:rPr>
        <w:t>"</w:t>
      </w:r>
      <w:r w:rsidR="00C30AA0" w:rsidRPr="0071782F">
        <w:rPr>
          <w:lang w:val="fr-CH"/>
        </w:rPr>
        <w:t xml:space="preserve">Le </w:t>
      </w:r>
      <w:r w:rsidR="00723F2B" w:rsidRPr="0071782F">
        <w:rPr>
          <w:lang w:val="fr-CH"/>
        </w:rPr>
        <w:t>paragraphe </w:t>
      </w:r>
      <w:r w:rsidR="00333944" w:rsidRPr="0071782F">
        <w:rPr>
          <w:lang w:val="fr-CH"/>
        </w:rPr>
        <w:t xml:space="preserve">B </w:t>
      </w:r>
      <w:r w:rsidR="00C30AA0" w:rsidRPr="0071782F">
        <w:rPr>
          <w:lang w:val="fr-CH"/>
        </w:rPr>
        <w:t xml:space="preserve">de </w:t>
      </w:r>
      <w:r w:rsidR="00723F2B" w:rsidRPr="0071782F">
        <w:rPr>
          <w:lang w:val="fr-CH"/>
        </w:rPr>
        <w:t>l’</w:t>
      </w:r>
      <w:r w:rsidR="00943A69" w:rsidRPr="0071782F">
        <w:rPr>
          <w:lang w:val="fr-CH"/>
        </w:rPr>
        <w:t>article </w:t>
      </w:r>
      <w:r w:rsidR="00333944" w:rsidRPr="0071782F">
        <w:rPr>
          <w:lang w:val="fr-CH"/>
        </w:rPr>
        <w:t>154</w:t>
      </w:r>
      <w:r w:rsidR="00C30AA0" w:rsidRPr="0071782F">
        <w:rPr>
          <w:lang w:val="fr-CH"/>
        </w:rPr>
        <w:t xml:space="preserve"> et les </w:t>
      </w:r>
      <w:r w:rsidR="009236BB" w:rsidRPr="0071782F">
        <w:rPr>
          <w:lang w:val="fr-CH"/>
        </w:rPr>
        <w:t>paragraphes </w:t>
      </w:r>
      <w:r w:rsidR="00333944" w:rsidRPr="0071782F">
        <w:rPr>
          <w:lang w:val="fr-CH"/>
        </w:rPr>
        <w:t xml:space="preserve">A </w:t>
      </w:r>
      <w:r w:rsidR="00C30AA0" w:rsidRPr="0071782F">
        <w:rPr>
          <w:lang w:val="fr-CH"/>
        </w:rPr>
        <w:t>et</w:t>
      </w:r>
      <w:r w:rsidR="00333944" w:rsidRPr="0071782F">
        <w:rPr>
          <w:lang w:val="fr-CH"/>
        </w:rPr>
        <w:t xml:space="preserve"> B </w:t>
      </w:r>
      <w:r w:rsidR="00C30AA0" w:rsidRPr="0071782F">
        <w:rPr>
          <w:lang w:val="fr-CH"/>
        </w:rPr>
        <w:t xml:space="preserve">de </w:t>
      </w:r>
      <w:r w:rsidR="00723F2B" w:rsidRPr="0071782F">
        <w:rPr>
          <w:lang w:val="fr-CH"/>
        </w:rPr>
        <w:t>l’</w:t>
      </w:r>
      <w:r w:rsidR="00943A69" w:rsidRPr="0071782F">
        <w:rPr>
          <w:lang w:val="fr-CH"/>
        </w:rPr>
        <w:t>article </w:t>
      </w:r>
      <w:r w:rsidR="00333944" w:rsidRPr="0071782F">
        <w:rPr>
          <w:lang w:val="fr-CH"/>
        </w:rPr>
        <w:t xml:space="preserve">144 </w:t>
      </w:r>
      <w:r w:rsidR="00C30AA0" w:rsidRPr="0071782F">
        <w:rPr>
          <w:lang w:val="fr-CH"/>
        </w:rPr>
        <w:t xml:space="preserve">du </w:t>
      </w:r>
      <w:r w:rsidR="009E6189">
        <w:rPr>
          <w:lang w:val="fr-CH"/>
        </w:rPr>
        <w:t xml:space="preserve">troisième </w:t>
      </w:r>
      <w:r w:rsidR="00C30AA0" w:rsidRPr="0071782F">
        <w:rPr>
          <w:lang w:val="fr-CH"/>
        </w:rPr>
        <w:t>plan de développement économique</w:t>
      </w:r>
      <w:r w:rsidR="00333944" w:rsidRPr="0071782F">
        <w:rPr>
          <w:lang w:val="fr-CH"/>
        </w:rPr>
        <w:t xml:space="preserve">, social </w:t>
      </w:r>
      <w:r w:rsidR="00C30AA0" w:rsidRPr="0071782F">
        <w:rPr>
          <w:lang w:val="fr-CH"/>
        </w:rPr>
        <w:t>et culture</w:t>
      </w:r>
      <w:r w:rsidR="00333944" w:rsidRPr="0071782F">
        <w:rPr>
          <w:lang w:val="fr-CH"/>
        </w:rPr>
        <w:t>l</w:t>
      </w:r>
      <w:r w:rsidR="00C30AA0" w:rsidRPr="0071782F">
        <w:rPr>
          <w:lang w:val="fr-CH"/>
        </w:rPr>
        <w:t>, en date du 3</w:t>
      </w:r>
      <w:r w:rsidR="000E7A9B">
        <w:rPr>
          <w:lang w:val="fr-CH"/>
        </w:rPr>
        <w:t> </w:t>
      </w:r>
      <w:r w:rsidR="00C30AA0" w:rsidRPr="0071782F">
        <w:rPr>
          <w:lang w:val="fr-CH"/>
        </w:rPr>
        <w:t xml:space="preserve">avril </w:t>
      </w:r>
      <w:r w:rsidR="00333944" w:rsidRPr="0071782F">
        <w:rPr>
          <w:lang w:val="fr-CH"/>
        </w:rPr>
        <w:t xml:space="preserve">2000, </w:t>
      </w:r>
      <w:r w:rsidR="00C30AA0" w:rsidRPr="0071782F">
        <w:rPr>
          <w:lang w:val="fr-CH"/>
        </w:rPr>
        <w:t xml:space="preserve">et ses modifications pour le </w:t>
      </w:r>
      <w:r w:rsidR="00A90208" w:rsidRPr="0071782F">
        <w:rPr>
          <w:lang w:val="fr-CH"/>
        </w:rPr>
        <w:t>quatrième</w:t>
      </w:r>
      <w:r w:rsidR="00C30AA0" w:rsidRPr="0071782F">
        <w:rPr>
          <w:lang w:val="fr-CH"/>
        </w:rPr>
        <w:t xml:space="preserve"> plan </w:t>
      </w:r>
      <w:r w:rsidR="00333944" w:rsidRPr="0071782F">
        <w:rPr>
          <w:lang w:val="fr-CH"/>
        </w:rPr>
        <w:t>(2005</w:t>
      </w:r>
      <w:r w:rsidR="00C30AA0" w:rsidRPr="0071782F">
        <w:rPr>
          <w:lang w:val="fr-CH"/>
        </w:rPr>
        <w:t>-</w:t>
      </w:r>
      <w:r w:rsidR="00333944" w:rsidRPr="0071782F">
        <w:rPr>
          <w:lang w:val="fr-CH"/>
        </w:rPr>
        <w:t xml:space="preserve">2009) </w:t>
      </w:r>
      <w:r w:rsidR="00C30AA0" w:rsidRPr="0071782F">
        <w:rPr>
          <w:lang w:val="fr-CH"/>
        </w:rPr>
        <w:t>sont adoptés</w:t>
      </w:r>
      <w:r w:rsidR="00333944" w:rsidRPr="0071782F">
        <w:rPr>
          <w:lang w:val="fr-CH"/>
        </w:rPr>
        <w:t>.</w:t>
      </w:r>
      <w:r w:rsidRPr="0071782F">
        <w:rPr>
          <w:lang w:val="fr-CH"/>
        </w:rPr>
        <w:t>"</w:t>
      </w:r>
    </w:p>
    <w:p w:rsidR="00333944" w:rsidRPr="0071782F" w:rsidRDefault="00333944" w:rsidP="00333944">
      <w:pPr>
        <w:pStyle w:val="SingleTxtG"/>
        <w:rPr>
          <w:lang w:val="fr-CH"/>
        </w:rPr>
      </w:pPr>
      <w:r w:rsidRPr="0071782F">
        <w:rPr>
          <w:lang w:val="fr-CH"/>
        </w:rPr>
        <w:t>353.</w:t>
      </w:r>
      <w:r w:rsidRPr="0071782F">
        <w:rPr>
          <w:lang w:val="fr-CH"/>
        </w:rPr>
        <w:tab/>
      </w:r>
      <w:r w:rsidR="00C30AA0" w:rsidRPr="0071782F">
        <w:rPr>
          <w:lang w:val="fr-CH"/>
        </w:rPr>
        <w:t xml:space="preserve">Le </w:t>
      </w:r>
      <w:r w:rsidR="00723F2B" w:rsidRPr="0071782F">
        <w:rPr>
          <w:lang w:val="fr-CH"/>
        </w:rPr>
        <w:t>paragraphe </w:t>
      </w:r>
      <w:r w:rsidRPr="0071782F">
        <w:rPr>
          <w:lang w:val="fr-CH"/>
        </w:rPr>
        <w:t xml:space="preserve">A </w:t>
      </w:r>
      <w:r w:rsidR="00C30AA0"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154 </w:t>
      </w:r>
      <w:r w:rsidR="00C30AA0" w:rsidRPr="0071782F">
        <w:rPr>
          <w:lang w:val="fr-CH"/>
        </w:rPr>
        <w:t xml:space="preserve">du </w:t>
      </w:r>
      <w:r w:rsidRPr="0071782F">
        <w:rPr>
          <w:lang w:val="fr-CH"/>
        </w:rPr>
        <w:t xml:space="preserve">plan </w:t>
      </w:r>
      <w:r w:rsidR="00C30AA0" w:rsidRPr="0071782F">
        <w:rPr>
          <w:lang w:val="fr-CH"/>
        </w:rPr>
        <w:t>est ainsi libellé</w:t>
      </w:r>
      <w:r w:rsidR="008F7D33" w:rsidRPr="0071782F">
        <w:rPr>
          <w:lang w:val="fr-CH"/>
        </w:rPr>
        <w:t>:</w:t>
      </w:r>
    </w:p>
    <w:p w:rsidR="00333944" w:rsidRPr="001C164E" w:rsidRDefault="00A62149" w:rsidP="00333944">
      <w:pPr>
        <w:pStyle w:val="SingleTxtG"/>
        <w:ind w:left="1701"/>
        <w:rPr>
          <w:spacing w:val="-2"/>
          <w:lang w:val="fr-CH"/>
        </w:rPr>
      </w:pPr>
      <w:r w:rsidRPr="001C164E">
        <w:rPr>
          <w:spacing w:val="-2"/>
          <w:lang w:val="fr-CH"/>
        </w:rPr>
        <w:t>"</w:t>
      </w:r>
      <w:r w:rsidR="00BD13E3" w:rsidRPr="001C164E">
        <w:rPr>
          <w:spacing w:val="-2"/>
          <w:lang w:val="fr-CH"/>
        </w:rPr>
        <w:t>Afin de promouvoir l’utilisation des connaissances et des capacités techniques des facultés des universités et celles des autres établissements d’enseignement supérieur</w:t>
      </w:r>
      <w:r w:rsidR="00333944" w:rsidRPr="001C164E">
        <w:rPr>
          <w:spacing w:val="-2"/>
          <w:lang w:val="fr-CH"/>
        </w:rPr>
        <w:t>,</w:t>
      </w:r>
      <w:r w:rsidR="00BD13E3" w:rsidRPr="001C164E">
        <w:rPr>
          <w:spacing w:val="-2"/>
          <w:lang w:val="fr-CH"/>
        </w:rPr>
        <w:t xml:space="preserve"> et d’adapter la recherche</w:t>
      </w:r>
      <w:r w:rsidR="00333944" w:rsidRPr="001C164E">
        <w:rPr>
          <w:spacing w:val="-2"/>
          <w:lang w:val="fr-CH"/>
        </w:rPr>
        <w:t xml:space="preserve"> </w:t>
      </w:r>
      <w:r w:rsidR="00BD13E3" w:rsidRPr="001C164E">
        <w:rPr>
          <w:spacing w:val="-2"/>
          <w:lang w:val="fr-CH"/>
        </w:rPr>
        <w:t xml:space="preserve">universitaire aux besoins scientifiques et </w:t>
      </w:r>
      <w:r w:rsidR="00333944" w:rsidRPr="001C164E">
        <w:rPr>
          <w:spacing w:val="-2"/>
          <w:lang w:val="fr-CH"/>
        </w:rPr>
        <w:t>sp</w:t>
      </w:r>
      <w:r w:rsidR="00BD13E3" w:rsidRPr="001C164E">
        <w:rPr>
          <w:spacing w:val="-2"/>
          <w:lang w:val="fr-CH"/>
        </w:rPr>
        <w:t>écifiques du pays</w:t>
      </w:r>
      <w:r w:rsidR="00311068" w:rsidRPr="001C164E">
        <w:rPr>
          <w:spacing w:val="-2"/>
          <w:lang w:val="fr-CH"/>
        </w:rPr>
        <w:t>;</w:t>
      </w:r>
    </w:p>
    <w:p w:rsidR="00333944" w:rsidRPr="0071782F" w:rsidRDefault="00333944" w:rsidP="00D15645">
      <w:pPr>
        <w:pStyle w:val="SingleTxtG"/>
        <w:ind w:left="1701"/>
        <w:rPr>
          <w:lang w:val="fr-CH"/>
        </w:rPr>
      </w:pPr>
      <w:r w:rsidRPr="0071782F">
        <w:rPr>
          <w:lang w:val="fr-CH"/>
        </w:rPr>
        <w:t>353.1</w:t>
      </w:r>
      <w:r w:rsidR="00403D83" w:rsidRPr="0071782F">
        <w:rPr>
          <w:lang w:val="fr-CH"/>
        </w:rPr>
        <w:t>.</w:t>
      </w:r>
      <w:r w:rsidRPr="0071782F">
        <w:rPr>
          <w:lang w:val="fr-CH"/>
        </w:rPr>
        <w:tab/>
      </w:r>
      <w:r w:rsidR="00BD13E3" w:rsidRPr="0071782F">
        <w:rPr>
          <w:lang w:val="fr-CH"/>
        </w:rPr>
        <w:t>Les universités et les autres établissements d’enseignement supérieur sont autorisés à créer des entreprises publiques de services scientifiques et de recherche dotées de règlements spécifiques et répondant aux exigences de la législation commerciale</w:t>
      </w:r>
      <w:r w:rsidRPr="0071782F">
        <w:rPr>
          <w:lang w:val="fr-CH"/>
        </w:rPr>
        <w:t>.</w:t>
      </w:r>
      <w:r w:rsidR="00A62149" w:rsidRPr="0071782F">
        <w:rPr>
          <w:lang w:val="fr-CH"/>
        </w:rPr>
        <w:t>"</w:t>
      </w:r>
    </w:p>
    <w:p w:rsidR="00333944" w:rsidRPr="0071782F" w:rsidRDefault="00333944" w:rsidP="00333944">
      <w:pPr>
        <w:pStyle w:val="SingleTxtG"/>
        <w:rPr>
          <w:lang w:val="fr-CH"/>
        </w:rPr>
      </w:pPr>
      <w:r w:rsidRPr="0071782F">
        <w:rPr>
          <w:lang w:val="fr-CH"/>
        </w:rPr>
        <w:t>354.</w:t>
      </w:r>
      <w:r w:rsidRPr="0071782F">
        <w:rPr>
          <w:lang w:val="fr-CH"/>
        </w:rPr>
        <w:tab/>
      </w:r>
      <w:r w:rsidR="00BD13E3" w:rsidRPr="0071782F">
        <w:rPr>
          <w:lang w:val="fr-CH"/>
        </w:rPr>
        <w:t xml:space="preserve">Le </w:t>
      </w:r>
      <w:r w:rsidR="00723F2B" w:rsidRPr="0071782F">
        <w:rPr>
          <w:lang w:val="fr-CH"/>
        </w:rPr>
        <w:t>paragraphe </w:t>
      </w:r>
      <w:r w:rsidRPr="0071782F">
        <w:rPr>
          <w:lang w:val="fr-CH"/>
        </w:rPr>
        <w:t xml:space="preserve">A </w:t>
      </w:r>
      <w:r w:rsidR="00BD13E3"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144 </w:t>
      </w:r>
      <w:r w:rsidR="00BD13E3" w:rsidRPr="0071782F">
        <w:rPr>
          <w:lang w:val="fr-CH"/>
        </w:rPr>
        <w:t>dispose ce qui suit</w:t>
      </w:r>
      <w:r w:rsidR="008F7D33" w:rsidRPr="0071782F">
        <w:rPr>
          <w:lang w:val="fr-CH"/>
        </w:rPr>
        <w:t>:</w:t>
      </w:r>
    </w:p>
    <w:p w:rsidR="00333944" w:rsidRPr="0071782F" w:rsidRDefault="00A62149" w:rsidP="00333944">
      <w:pPr>
        <w:pStyle w:val="SingleTxtG"/>
        <w:ind w:left="1701"/>
        <w:rPr>
          <w:lang w:val="fr-CH"/>
        </w:rPr>
      </w:pPr>
      <w:r w:rsidRPr="0071782F">
        <w:rPr>
          <w:lang w:val="fr-CH"/>
        </w:rPr>
        <w:t>"</w:t>
      </w:r>
      <w:r w:rsidR="002D5BC6" w:rsidRPr="0071782F">
        <w:rPr>
          <w:lang w:val="fr-CH"/>
        </w:rPr>
        <w:t xml:space="preserve">Dans le cas où une personne physique ou morale privée engage des dépenses afin de construire, d’agrandir ou d’équiper des installations éducatives et sportives, des résidences d’étudiants, des </w:t>
      </w:r>
      <w:r w:rsidR="00333944" w:rsidRPr="0071782F">
        <w:rPr>
          <w:lang w:val="fr-CH"/>
        </w:rPr>
        <w:t>caf</w:t>
      </w:r>
      <w:r w:rsidR="002D5BC6" w:rsidRPr="0071782F">
        <w:rPr>
          <w:lang w:val="fr-CH"/>
        </w:rPr>
        <w:t>été</w:t>
      </w:r>
      <w:r w:rsidR="00333944" w:rsidRPr="0071782F">
        <w:rPr>
          <w:lang w:val="fr-CH"/>
        </w:rPr>
        <w:t xml:space="preserve">rias, </w:t>
      </w:r>
      <w:r w:rsidR="002D5BC6" w:rsidRPr="0071782F">
        <w:rPr>
          <w:lang w:val="fr-CH"/>
        </w:rPr>
        <w:t xml:space="preserve">des bibliothèques et des résidences d’étudiants et universitaires relevant du Ministère de l’éducation, ainsi que des </w:t>
      </w:r>
      <w:r w:rsidR="00333944" w:rsidRPr="0071782F">
        <w:rPr>
          <w:lang w:val="fr-CH"/>
        </w:rPr>
        <w:t>universit</w:t>
      </w:r>
      <w:r w:rsidR="002D5BC6" w:rsidRPr="0071782F">
        <w:rPr>
          <w:lang w:val="fr-CH"/>
        </w:rPr>
        <w:t>é</w:t>
      </w:r>
      <w:r w:rsidR="00333944" w:rsidRPr="0071782F">
        <w:rPr>
          <w:lang w:val="fr-CH"/>
        </w:rPr>
        <w:t>s</w:t>
      </w:r>
      <w:r w:rsidR="002D5BC6" w:rsidRPr="0071782F">
        <w:rPr>
          <w:lang w:val="fr-CH"/>
        </w:rPr>
        <w:t xml:space="preserve"> et d’autres établissements d’enseignement supérieur (dans le cadre des décisions du Conseil de planification et de développement de la province) ou des universités et établissements d’enseignement supérieur conformément à leur plan directeur ou de développement, ces dépenses peuvent être considérée</w:t>
      </w:r>
      <w:r w:rsidR="003E782C" w:rsidRPr="0071782F">
        <w:rPr>
          <w:lang w:val="fr-CH"/>
        </w:rPr>
        <w:t>s</w:t>
      </w:r>
      <w:r w:rsidR="002D5BC6" w:rsidRPr="0071782F">
        <w:rPr>
          <w:lang w:val="fr-CH"/>
        </w:rPr>
        <w:t xml:space="preserve"> comme des dépenses légitimes à des fins fiscales</w:t>
      </w:r>
      <w:r w:rsidR="00333944" w:rsidRPr="0071782F">
        <w:rPr>
          <w:lang w:val="fr-CH"/>
        </w:rPr>
        <w:t>.</w:t>
      </w:r>
      <w:r w:rsidRPr="0071782F">
        <w:rPr>
          <w:lang w:val="fr-CH"/>
        </w:rPr>
        <w:t>"</w:t>
      </w:r>
    </w:p>
    <w:p w:rsidR="00333944" w:rsidRPr="0071782F" w:rsidRDefault="00333944" w:rsidP="00333944">
      <w:pPr>
        <w:pStyle w:val="SingleTxtG"/>
        <w:rPr>
          <w:lang w:val="fr-CH"/>
        </w:rPr>
      </w:pPr>
      <w:r w:rsidRPr="0071782F">
        <w:rPr>
          <w:lang w:val="fr-CH"/>
        </w:rPr>
        <w:t>355.</w:t>
      </w:r>
      <w:r w:rsidRPr="0071782F">
        <w:rPr>
          <w:lang w:val="fr-CH"/>
        </w:rPr>
        <w:tab/>
      </w:r>
      <w:r w:rsidR="002D5BC6" w:rsidRPr="0071782F">
        <w:rPr>
          <w:lang w:val="fr-CH"/>
        </w:rPr>
        <w:t xml:space="preserve">Le </w:t>
      </w:r>
      <w:r w:rsidR="00723F2B" w:rsidRPr="0071782F">
        <w:rPr>
          <w:lang w:val="fr-CH"/>
        </w:rPr>
        <w:t>paragraphe </w:t>
      </w:r>
      <w:r w:rsidRPr="0071782F">
        <w:rPr>
          <w:lang w:val="fr-CH"/>
        </w:rPr>
        <w:t xml:space="preserve">B </w:t>
      </w:r>
      <w:r w:rsidR="002D5BC6"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144 </w:t>
      </w:r>
      <w:r w:rsidR="002D5BC6" w:rsidRPr="0071782F">
        <w:rPr>
          <w:lang w:val="fr-CH"/>
        </w:rPr>
        <w:t xml:space="preserve">du </w:t>
      </w:r>
      <w:r w:rsidRPr="0071782F">
        <w:rPr>
          <w:lang w:val="fr-CH"/>
        </w:rPr>
        <w:t xml:space="preserve">plan </w:t>
      </w:r>
      <w:r w:rsidR="002D5BC6" w:rsidRPr="0071782F">
        <w:rPr>
          <w:lang w:val="fr-CH"/>
        </w:rPr>
        <w:t>est ainsi libellé</w:t>
      </w:r>
      <w:r w:rsidR="008F7D33" w:rsidRPr="0071782F">
        <w:rPr>
          <w:lang w:val="fr-CH"/>
        </w:rPr>
        <w:t>:</w:t>
      </w:r>
    </w:p>
    <w:p w:rsidR="00333944" w:rsidRPr="0071782F" w:rsidRDefault="00A62149" w:rsidP="00333944">
      <w:pPr>
        <w:pStyle w:val="SingleTxtG"/>
        <w:ind w:left="1701"/>
        <w:rPr>
          <w:lang w:val="fr-CH"/>
        </w:rPr>
      </w:pPr>
      <w:r w:rsidRPr="0071782F">
        <w:rPr>
          <w:lang w:val="fr-CH"/>
        </w:rPr>
        <w:t>"</w:t>
      </w:r>
      <w:r w:rsidR="00A233C2" w:rsidRPr="0071782F">
        <w:rPr>
          <w:lang w:val="fr-CH"/>
        </w:rPr>
        <w:t>Les personnes</w:t>
      </w:r>
      <w:r w:rsidR="002D5BC6" w:rsidRPr="0071782F">
        <w:rPr>
          <w:lang w:val="fr-CH"/>
        </w:rPr>
        <w:t xml:space="preserve"> physiques ou morales qui cèdent leurs biens, tels que des bâtiments, </w:t>
      </w:r>
      <w:r w:rsidR="003F25A2">
        <w:rPr>
          <w:lang w:val="fr-CH"/>
        </w:rPr>
        <w:t>des logements</w:t>
      </w:r>
      <w:r w:rsidR="002D5BC6" w:rsidRPr="0071782F">
        <w:rPr>
          <w:lang w:val="fr-CH"/>
        </w:rPr>
        <w:t>, des vergers, des terrains et une succession au Ministère de l’éducation, à des universités et à d’autres établissements d’enseignement supérieur, à la milice b</w:t>
      </w:r>
      <w:r w:rsidR="00333944" w:rsidRPr="0071782F">
        <w:rPr>
          <w:lang w:val="fr-CH"/>
        </w:rPr>
        <w:t xml:space="preserve">asij </w:t>
      </w:r>
      <w:r w:rsidR="002D5BC6" w:rsidRPr="0071782F">
        <w:rPr>
          <w:lang w:val="fr-CH"/>
        </w:rPr>
        <w:t>(y compris la hiérarchie</w:t>
      </w:r>
      <w:r w:rsidR="00333944" w:rsidRPr="0071782F">
        <w:rPr>
          <w:lang w:val="fr-CH"/>
        </w:rPr>
        <w:t xml:space="preserve">), </w:t>
      </w:r>
      <w:r w:rsidR="002D5BC6" w:rsidRPr="0071782F">
        <w:rPr>
          <w:lang w:val="fr-CH"/>
        </w:rPr>
        <w:t xml:space="preserve">aux </w:t>
      </w:r>
      <w:r w:rsidR="00333944" w:rsidRPr="0071782F">
        <w:rPr>
          <w:lang w:val="fr-CH"/>
        </w:rPr>
        <w:t>s</w:t>
      </w:r>
      <w:r w:rsidR="002D5BC6" w:rsidRPr="0071782F">
        <w:rPr>
          <w:lang w:val="fr-CH"/>
        </w:rPr>
        <w:t>é</w:t>
      </w:r>
      <w:r w:rsidR="00333944" w:rsidRPr="0071782F">
        <w:rPr>
          <w:lang w:val="fr-CH"/>
        </w:rPr>
        <w:t>mina</w:t>
      </w:r>
      <w:r w:rsidR="002D5BC6" w:rsidRPr="0071782F">
        <w:rPr>
          <w:lang w:val="fr-CH"/>
        </w:rPr>
        <w:t>ires</w:t>
      </w:r>
      <w:r w:rsidR="00333944" w:rsidRPr="0071782F">
        <w:rPr>
          <w:lang w:val="fr-CH"/>
        </w:rPr>
        <w:t xml:space="preserve">, </w:t>
      </w:r>
      <w:r w:rsidR="002D5BC6" w:rsidRPr="0071782F">
        <w:rPr>
          <w:lang w:val="fr-CH"/>
        </w:rPr>
        <w:t xml:space="preserve">à l’Université islamique </w:t>
      </w:r>
      <w:r w:rsidR="00333944" w:rsidRPr="0071782F">
        <w:rPr>
          <w:lang w:val="fr-CH"/>
        </w:rPr>
        <w:t xml:space="preserve">Azad, </w:t>
      </w:r>
      <w:r w:rsidR="002D5BC6" w:rsidRPr="0071782F">
        <w:rPr>
          <w:lang w:val="fr-CH"/>
        </w:rPr>
        <w:t>aux centres de recherche universitaires et à l’institut d’éducation physique</w:t>
      </w:r>
      <w:r w:rsidR="00333944" w:rsidRPr="0071782F">
        <w:rPr>
          <w:lang w:val="fr-CH"/>
        </w:rPr>
        <w:t xml:space="preserve"> </w:t>
      </w:r>
      <w:r w:rsidR="002D5BC6" w:rsidRPr="0071782F">
        <w:rPr>
          <w:lang w:val="fr-CH"/>
        </w:rPr>
        <w:t>sont exemptées du paiement de tout impôt sur les donations</w:t>
      </w:r>
      <w:r w:rsidR="00333944" w:rsidRPr="0071782F">
        <w:rPr>
          <w:lang w:val="fr-CH"/>
        </w:rPr>
        <w:t>.</w:t>
      </w:r>
      <w:r w:rsidRPr="0071782F">
        <w:rPr>
          <w:lang w:val="fr-CH"/>
        </w:rPr>
        <w:t>"</w:t>
      </w:r>
    </w:p>
    <w:p w:rsidR="00333944" w:rsidRPr="0071782F" w:rsidRDefault="00333944" w:rsidP="00333944">
      <w:pPr>
        <w:pStyle w:val="SingleTxtG"/>
        <w:rPr>
          <w:lang w:val="fr-CH"/>
        </w:rPr>
      </w:pPr>
      <w:r w:rsidRPr="0071782F">
        <w:rPr>
          <w:lang w:val="fr-CH"/>
        </w:rPr>
        <w:t>356.</w:t>
      </w:r>
      <w:r w:rsidRPr="0071782F">
        <w:rPr>
          <w:lang w:val="fr-CH"/>
        </w:rPr>
        <w:tab/>
      </w:r>
      <w:r w:rsidR="00723F2B" w:rsidRPr="0071782F">
        <w:rPr>
          <w:lang w:val="fr-CH"/>
        </w:rPr>
        <w:t>L’</w:t>
      </w:r>
      <w:r w:rsidR="00943A69" w:rsidRPr="0071782F">
        <w:rPr>
          <w:lang w:val="fr-CH"/>
        </w:rPr>
        <w:t>article </w:t>
      </w:r>
      <w:r w:rsidRPr="0071782F">
        <w:rPr>
          <w:lang w:val="fr-CH"/>
        </w:rPr>
        <w:t xml:space="preserve">52 </w:t>
      </w:r>
      <w:r w:rsidR="002D5BC6" w:rsidRPr="0071782F">
        <w:rPr>
          <w:lang w:val="fr-CH"/>
        </w:rPr>
        <w:t xml:space="preserve">du </w:t>
      </w:r>
      <w:r w:rsidRPr="0071782F">
        <w:rPr>
          <w:lang w:val="fr-CH"/>
        </w:rPr>
        <w:t xml:space="preserve">plan </w:t>
      </w:r>
      <w:r w:rsidR="002D5BC6" w:rsidRPr="0071782F">
        <w:rPr>
          <w:lang w:val="fr-CH"/>
        </w:rPr>
        <w:t>est ainsi libellé</w:t>
      </w:r>
      <w:r w:rsidR="008F7D33" w:rsidRPr="0071782F">
        <w:rPr>
          <w:lang w:val="fr-CH"/>
        </w:rPr>
        <w:t>:</w:t>
      </w:r>
    </w:p>
    <w:p w:rsidR="00333944" w:rsidRPr="0071782F" w:rsidRDefault="00A62149" w:rsidP="00333944">
      <w:pPr>
        <w:pStyle w:val="SingleTxtG"/>
        <w:ind w:left="1701"/>
        <w:rPr>
          <w:lang w:val="fr-CH"/>
        </w:rPr>
      </w:pPr>
      <w:r w:rsidRPr="0071782F">
        <w:rPr>
          <w:lang w:val="fr-CH"/>
        </w:rPr>
        <w:t>"</w:t>
      </w:r>
      <w:r w:rsidR="002D5BC6" w:rsidRPr="0071782F">
        <w:rPr>
          <w:lang w:val="fr-CH"/>
        </w:rPr>
        <w:t>Afin de garantir l’égalité d’accès à l’éducation, en particulier dans les régions peu développées, d’améliorer les connaissances et les compétences, d’accroître la productivité du</w:t>
      </w:r>
      <w:r w:rsidR="00333944" w:rsidRPr="0071782F">
        <w:rPr>
          <w:lang w:val="fr-CH"/>
        </w:rPr>
        <w:t xml:space="preserve"> capital</w:t>
      </w:r>
      <w:r w:rsidR="002D5BC6" w:rsidRPr="0071782F">
        <w:rPr>
          <w:lang w:val="fr-CH"/>
        </w:rPr>
        <w:t xml:space="preserve"> humain</w:t>
      </w:r>
      <w:r w:rsidR="00333944" w:rsidRPr="0071782F">
        <w:rPr>
          <w:lang w:val="fr-CH"/>
        </w:rPr>
        <w:t xml:space="preserve">, </w:t>
      </w:r>
      <w:r w:rsidR="002D5BC6" w:rsidRPr="0071782F">
        <w:rPr>
          <w:lang w:val="fr-CH"/>
        </w:rPr>
        <w:t>spécialement celui des filles, et de développer l’enseignement général sur les plans quantitatif et qualitatif</w:t>
      </w:r>
      <w:r w:rsidR="00333944" w:rsidRPr="0071782F">
        <w:rPr>
          <w:lang w:val="fr-CH"/>
        </w:rPr>
        <w:t xml:space="preserve">, </w:t>
      </w:r>
      <w:r w:rsidR="002D5BC6" w:rsidRPr="0071782F">
        <w:rPr>
          <w:lang w:val="fr-CH"/>
        </w:rPr>
        <w:t>l’État est tenu d’adopter les mesures ci-après qui n’impliquent pas l’adoption de dispositions juridiques</w:t>
      </w:r>
      <w:r w:rsidR="008F7D33" w:rsidRPr="0071782F">
        <w:rPr>
          <w:lang w:val="fr-CH"/>
        </w:rPr>
        <w:t>:</w:t>
      </w:r>
    </w:p>
    <w:p w:rsidR="00333944" w:rsidRPr="0071782F" w:rsidRDefault="00333944" w:rsidP="00D15645">
      <w:pPr>
        <w:pStyle w:val="SingleTxtG"/>
        <w:ind w:left="1701"/>
        <w:rPr>
          <w:lang w:val="fr-CH"/>
        </w:rPr>
      </w:pPr>
      <w:r w:rsidRPr="0071782F">
        <w:rPr>
          <w:lang w:val="fr-CH"/>
        </w:rPr>
        <w:t>356.1</w:t>
      </w:r>
      <w:r w:rsidR="00403D83" w:rsidRPr="0071782F">
        <w:rPr>
          <w:lang w:val="fr-CH"/>
        </w:rPr>
        <w:t>.</w:t>
      </w:r>
      <w:r w:rsidRPr="0071782F">
        <w:rPr>
          <w:lang w:val="fr-CH"/>
        </w:rPr>
        <w:tab/>
        <w:t xml:space="preserve">Promotion </w:t>
      </w:r>
      <w:r w:rsidR="002D5BC6" w:rsidRPr="0071782F">
        <w:rPr>
          <w:lang w:val="fr-CH"/>
        </w:rPr>
        <w:t>des conditions nécessaires à la réalisation de l’éducation pour tous</w:t>
      </w:r>
      <w:r w:rsidRPr="0071782F">
        <w:rPr>
          <w:lang w:val="fr-CH"/>
        </w:rPr>
        <w:t>.</w:t>
      </w:r>
    </w:p>
    <w:p w:rsidR="00333944" w:rsidRPr="0071782F" w:rsidRDefault="00333944" w:rsidP="00D15645">
      <w:pPr>
        <w:pStyle w:val="SingleTxtG"/>
        <w:ind w:left="1701"/>
        <w:rPr>
          <w:lang w:val="fr-CH"/>
        </w:rPr>
      </w:pPr>
      <w:r w:rsidRPr="0071782F">
        <w:rPr>
          <w:lang w:val="fr-CH"/>
        </w:rPr>
        <w:t>356.2</w:t>
      </w:r>
      <w:r w:rsidR="00403D83" w:rsidRPr="0071782F">
        <w:rPr>
          <w:lang w:val="fr-CH"/>
        </w:rPr>
        <w:t>.</w:t>
      </w:r>
      <w:r w:rsidRPr="0071782F">
        <w:rPr>
          <w:lang w:val="fr-CH"/>
        </w:rPr>
        <w:tab/>
      </w:r>
      <w:r w:rsidR="00626195" w:rsidRPr="0071782F">
        <w:rPr>
          <w:lang w:val="fr-CH"/>
        </w:rPr>
        <w:t>Introduction progressive de l’instruction obligatoire jusqu’à la dernière année des établissements d’enseignement secondaire du premier cycle, en fonction des ressources disponibles</w:t>
      </w:r>
      <w:r w:rsidRPr="0071782F">
        <w:rPr>
          <w:lang w:val="fr-CH"/>
        </w:rPr>
        <w:t xml:space="preserve">, </w:t>
      </w:r>
      <w:r w:rsidR="00626195" w:rsidRPr="0071782F">
        <w:rPr>
          <w:lang w:val="fr-CH"/>
        </w:rPr>
        <w:t>dans les régions retenues par le Ministère de l’é</w:t>
      </w:r>
      <w:r w:rsidRPr="0071782F">
        <w:rPr>
          <w:lang w:val="fr-CH"/>
        </w:rPr>
        <w:t xml:space="preserve">ducation, </w:t>
      </w:r>
      <w:r w:rsidR="00626195" w:rsidRPr="0071782F">
        <w:rPr>
          <w:lang w:val="fr-CH"/>
        </w:rPr>
        <w:t xml:space="preserve">de façon que cet objectif soit pleinement atteint d’ici à la fin du </w:t>
      </w:r>
      <w:r w:rsidR="00A90208" w:rsidRPr="0071782F">
        <w:rPr>
          <w:lang w:val="fr-CH"/>
        </w:rPr>
        <w:t>quatrième</w:t>
      </w:r>
      <w:r w:rsidR="00626195" w:rsidRPr="0071782F">
        <w:rPr>
          <w:lang w:val="fr-CH"/>
        </w:rPr>
        <w:t xml:space="preserve"> plan de développement</w:t>
      </w:r>
      <w:r w:rsidRPr="0071782F">
        <w:rPr>
          <w:lang w:val="fr-CH"/>
        </w:rPr>
        <w:t>.</w:t>
      </w:r>
    </w:p>
    <w:p w:rsidR="00333944" w:rsidRPr="0071782F" w:rsidRDefault="00333944" w:rsidP="00D15645">
      <w:pPr>
        <w:pStyle w:val="SingleTxtG"/>
        <w:ind w:left="1701"/>
        <w:rPr>
          <w:lang w:val="fr-CH"/>
        </w:rPr>
      </w:pPr>
      <w:r w:rsidRPr="0071782F">
        <w:rPr>
          <w:lang w:val="fr-CH"/>
        </w:rPr>
        <w:t>356.3</w:t>
      </w:r>
      <w:r w:rsidR="00403D83" w:rsidRPr="0071782F">
        <w:rPr>
          <w:lang w:val="fr-CH"/>
        </w:rPr>
        <w:t>.</w:t>
      </w:r>
      <w:r w:rsidRPr="0071782F">
        <w:rPr>
          <w:lang w:val="fr-CH"/>
        </w:rPr>
        <w:tab/>
      </w:r>
      <w:r w:rsidR="00752C2F" w:rsidRPr="0071782F">
        <w:rPr>
          <w:lang w:val="fr-CH"/>
        </w:rPr>
        <w:t xml:space="preserve">Adoption (en sus des crédits inscrits au budget ordinaire de l’éducation) de mesures destinées à </w:t>
      </w:r>
      <w:r w:rsidRPr="0071782F">
        <w:rPr>
          <w:lang w:val="fr-CH"/>
        </w:rPr>
        <w:t>promo</w:t>
      </w:r>
      <w:r w:rsidR="00752C2F" w:rsidRPr="0071782F">
        <w:rPr>
          <w:lang w:val="fr-CH"/>
        </w:rPr>
        <w:t>uvoir l’indépendance financière et administrative des établissements d’enseignement (écoles</w:t>
      </w:r>
      <w:r w:rsidRPr="0071782F">
        <w:rPr>
          <w:lang w:val="fr-CH"/>
        </w:rPr>
        <w:t xml:space="preserve">), </w:t>
      </w:r>
      <w:r w:rsidR="00752C2F" w:rsidRPr="0071782F">
        <w:rPr>
          <w:lang w:val="fr-CH"/>
        </w:rPr>
        <w:t xml:space="preserve">afin de garantir l’utilisation </w:t>
      </w:r>
      <w:r w:rsidRPr="0071782F">
        <w:rPr>
          <w:lang w:val="fr-CH"/>
        </w:rPr>
        <w:t>optimal</w:t>
      </w:r>
      <w:r w:rsidR="00752C2F" w:rsidRPr="0071782F">
        <w:rPr>
          <w:lang w:val="fr-CH"/>
        </w:rPr>
        <w:t xml:space="preserve">e du </w:t>
      </w:r>
      <w:r w:rsidRPr="0071782F">
        <w:rPr>
          <w:lang w:val="fr-CH"/>
        </w:rPr>
        <w:t xml:space="preserve">capital </w:t>
      </w:r>
      <w:r w:rsidR="00752C2F" w:rsidRPr="0071782F">
        <w:rPr>
          <w:lang w:val="fr-CH"/>
        </w:rPr>
        <w:t>et des moyens d’exécution du secteur privé en matière de développement des capacités et de la productivité</w:t>
      </w:r>
      <w:r w:rsidRPr="0071782F">
        <w:rPr>
          <w:lang w:val="fr-CH"/>
        </w:rPr>
        <w:t>.</w:t>
      </w:r>
    </w:p>
    <w:p w:rsidR="00333944" w:rsidRPr="0071782F" w:rsidRDefault="00333944" w:rsidP="00D15645">
      <w:pPr>
        <w:pStyle w:val="SingleTxtG"/>
        <w:ind w:left="1701"/>
        <w:rPr>
          <w:lang w:val="fr-CH"/>
        </w:rPr>
      </w:pPr>
      <w:r w:rsidRPr="0071782F">
        <w:rPr>
          <w:lang w:val="fr-CH"/>
        </w:rPr>
        <w:t>356.4</w:t>
      </w:r>
      <w:r w:rsidR="00403D83" w:rsidRPr="0071782F">
        <w:rPr>
          <w:lang w:val="fr-CH"/>
        </w:rPr>
        <w:t>.</w:t>
      </w:r>
      <w:r w:rsidRPr="0071782F">
        <w:rPr>
          <w:lang w:val="fr-CH"/>
        </w:rPr>
        <w:tab/>
      </w:r>
      <w:r w:rsidR="00735614" w:rsidRPr="0071782F">
        <w:rPr>
          <w:lang w:val="fr-CH"/>
        </w:rPr>
        <w:t xml:space="preserve">Réalisation des réformes nécessaires en ce qui concerne les programmes d’études et l’amélioration de l’enseignement des </w:t>
      </w:r>
      <w:r w:rsidRPr="0071782F">
        <w:rPr>
          <w:lang w:val="fr-CH"/>
        </w:rPr>
        <w:t>math</w:t>
      </w:r>
      <w:r w:rsidR="00735614" w:rsidRPr="0071782F">
        <w:rPr>
          <w:lang w:val="fr-CH"/>
        </w:rPr>
        <w:t>é</w:t>
      </w:r>
      <w:r w:rsidRPr="0071782F">
        <w:rPr>
          <w:lang w:val="fr-CH"/>
        </w:rPr>
        <w:t>mati</w:t>
      </w:r>
      <w:r w:rsidR="00735614" w:rsidRPr="0071782F">
        <w:rPr>
          <w:lang w:val="fr-CH"/>
        </w:rPr>
        <w:t>que</w:t>
      </w:r>
      <w:r w:rsidRPr="0071782F">
        <w:rPr>
          <w:lang w:val="fr-CH"/>
        </w:rPr>
        <w:t xml:space="preserve">s, </w:t>
      </w:r>
      <w:r w:rsidR="00735614" w:rsidRPr="0071782F">
        <w:rPr>
          <w:lang w:val="fr-CH"/>
        </w:rPr>
        <w:t xml:space="preserve">des </w:t>
      </w:r>
      <w:r w:rsidRPr="0071782F">
        <w:rPr>
          <w:lang w:val="fr-CH"/>
        </w:rPr>
        <w:t>science</w:t>
      </w:r>
      <w:r w:rsidR="00735614" w:rsidRPr="0071782F">
        <w:rPr>
          <w:lang w:val="fr-CH"/>
        </w:rPr>
        <w:t>s et de l’anglais</w:t>
      </w:r>
      <w:r w:rsidRPr="0071782F">
        <w:rPr>
          <w:lang w:val="fr-CH"/>
        </w:rPr>
        <w:t xml:space="preserve">. </w:t>
      </w:r>
    </w:p>
    <w:p w:rsidR="00333944" w:rsidRPr="0071782F" w:rsidRDefault="00333944" w:rsidP="00D15645">
      <w:pPr>
        <w:pStyle w:val="SingleTxtG"/>
        <w:ind w:left="1701"/>
        <w:rPr>
          <w:lang w:val="fr-CH"/>
        </w:rPr>
      </w:pPr>
      <w:r w:rsidRPr="0071782F">
        <w:rPr>
          <w:lang w:val="fr-CH"/>
        </w:rPr>
        <w:t>356.5</w:t>
      </w:r>
      <w:r w:rsidR="00403D83" w:rsidRPr="0071782F">
        <w:rPr>
          <w:lang w:val="fr-CH"/>
        </w:rPr>
        <w:t>.</w:t>
      </w:r>
      <w:r w:rsidRPr="0071782F">
        <w:rPr>
          <w:lang w:val="fr-CH"/>
        </w:rPr>
        <w:tab/>
      </w:r>
      <w:r w:rsidR="00735614" w:rsidRPr="0071782F">
        <w:rPr>
          <w:lang w:val="fr-CH"/>
        </w:rPr>
        <w:t xml:space="preserve">Perfectionnement des compétences professionnelles des enseignants par le biais de la définition de normes professionnelles de connaissances, de comportement et de résultats, en adaptant les expériences </w:t>
      </w:r>
      <w:r w:rsidRPr="0071782F">
        <w:rPr>
          <w:lang w:val="fr-CH"/>
        </w:rPr>
        <w:t>international</w:t>
      </w:r>
      <w:r w:rsidR="00735614" w:rsidRPr="0071782F">
        <w:rPr>
          <w:lang w:val="fr-CH"/>
        </w:rPr>
        <w:t xml:space="preserve">es aux conditions spécifiques du pays. </w:t>
      </w:r>
    </w:p>
    <w:p w:rsidR="00333944" w:rsidRPr="0071782F" w:rsidRDefault="00333944" w:rsidP="00D15645">
      <w:pPr>
        <w:pStyle w:val="SingleTxtG"/>
        <w:ind w:left="1701"/>
        <w:rPr>
          <w:lang w:val="fr-CH"/>
        </w:rPr>
      </w:pPr>
      <w:r w:rsidRPr="0071782F">
        <w:rPr>
          <w:lang w:val="fr-CH"/>
        </w:rPr>
        <w:t>356.6</w:t>
      </w:r>
      <w:r w:rsidR="00403D83" w:rsidRPr="0071782F">
        <w:rPr>
          <w:lang w:val="fr-CH"/>
        </w:rPr>
        <w:t>.</w:t>
      </w:r>
      <w:r w:rsidRPr="0071782F">
        <w:rPr>
          <w:lang w:val="fr-CH"/>
        </w:rPr>
        <w:tab/>
      </w:r>
      <w:r w:rsidR="00733DA6" w:rsidRPr="0071782F">
        <w:rPr>
          <w:lang w:val="fr-CH"/>
        </w:rPr>
        <w:t xml:space="preserve">Amélioration de la motivation professionnelle des enseignants par le biais d’une revalorisation de leur statut et d’une réforme de leur régime de rémunération conformément à leur productivité et à la qualité de leurs </w:t>
      </w:r>
      <w:r w:rsidRPr="0071782F">
        <w:rPr>
          <w:lang w:val="fr-CH"/>
        </w:rPr>
        <w:t>services.</w:t>
      </w:r>
    </w:p>
    <w:p w:rsidR="00333944" w:rsidRPr="0071782F" w:rsidRDefault="00333944" w:rsidP="00D15645">
      <w:pPr>
        <w:pStyle w:val="SingleTxtG"/>
        <w:ind w:left="1701"/>
        <w:rPr>
          <w:lang w:val="fr-CH"/>
        </w:rPr>
      </w:pPr>
      <w:r w:rsidRPr="0071782F">
        <w:rPr>
          <w:lang w:val="fr-CH"/>
        </w:rPr>
        <w:t>356.7</w:t>
      </w:r>
      <w:r w:rsidR="00403D83" w:rsidRPr="0071782F">
        <w:rPr>
          <w:lang w:val="fr-CH"/>
        </w:rPr>
        <w:t>.</w:t>
      </w:r>
      <w:r w:rsidRPr="0071782F">
        <w:rPr>
          <w:lang w:val="fr-CH"/>
        </w:rPr>
        <w:tab/>
      </w:r>
      <w:r w:rsidR="00733DA6" w:rsidRPr="0071782F">
        <w:rPr>
          <w:lang w:val="fr-CH"/>
        </w:rPr>
        <w:t>Conception et application d’un système d’évaluation scientifique et de classement des enseignants, et amélioration de leur enseignement</w:t>
      </w:r>
      <w:r w:rsidRPr="0071782F">
        <w:rPr>
          <w:lang w:val="fr-CH"/>
        </w:rPr>
        <w:t>.</w:t>
      </w:r>
    </w:p>
    <w:p w:rsidR="00333944" w:rsidRPr="0071782F" w:rsidRDefault="00333944" w:rsidP="00D15645">
      <w:pPr>
        <w:pStyle w:val="SingleTxtG"/>
        <w:ind w:left="1701"/>
        <w:rPr>
          <w:lang w:val="fr-CH"/>
        </w:rPr>
      </w:pPr>
      <w:r w:rsidRPr="0071782F">
        <w:rPr>
          <w:lang w:val="fr-CH"/>
        </w:rPr>
        <w:t>356.8</w:t>
      </w:r>
      <w:r w:rsidR="00403D83" w:rsidRPr="0071782F">
        <w:rPr>
          <w:lang w:val="fr-CH"/>
        </w:rPr>
        <w:t>.</w:t>
      </w:r>
      <w:r w:rsidRPr="0071782F">
        <w:rPr>
          <w:lang w:val="fr-CH"/>
        </w:rPr>
        <w:tab/>
        <w:t>Plan</w:t>
      </w:r>
      <w:r w:rsidR="00733DA6" w:rsidRPr="0071782F">
        <w:rPr>
          <w:lang w:val="fr-CH"/>
        </w:rPr>
        <w:t>ification d’un programme d’enseignement concernant la promotion de la santé et de modes de vie sains</w:t>
      </w:r>
      <w:r w:rsidRPr="0071782F">
        <w:rPr>
          <w:lang w:val="fr-CH"/>
        </w:rPr>
        <w:t>.</w:t>
      </w:r>
    </w:p>
    <w:p w:rsidR="00333944" w:rsidRPr="0071782F" w:rsidRDefault="00333944" w:rsidP="00D15645">
      <w:pPr>
        <w:pStyle w:val="SingleTxtG"/>
        <w:ind w:left="1701"/>
        <w:rPr>
          <w:lang w:val="fr-CH"/>
        </w:rPr>
      </w:pPr>
      <w:r w:rsidRPr="0071782F">
        <w:rPr>
          <w:lang w:val="fr-CH"/>
        </w:rPr>
        <w:t>356.9</w:t>
      </w:r>
      <w:r w:rsidR="00403D83" w:rsidRPr="0071782F">
        <w:rPr>
          <w:lang w:val="fr-CH"/>
        </w:rPr>
        <w:t>.</w:t>
      </w:r>
      <w:r w:rsidRPr="0071782F">
        <w:rPr>
          <w:lang w:val="fr-CH"/>
        </w:rPr>
        <w:tab/>
      </w:r>
      <w:r w:rsidR="00733DA6" w:rsidRPr="0071782F">
        <w:rPr>
          <w:lang w:val="fr-CH"/>
        </w:rPr>
        <w:t xml:space="preserve">Élaboration et exécution d’un Plan </w:t>
      </w:r>
      <w:r w:rsidRPr="0071782F">
        <w:rPr>
          <w:lang w:val="fr-CH"/>
        </w:rPr>
        <w:t>strat</w:t>
      </w:r>
      <w:r w:rsidR="00733DA6" w:rsidRPr="0071782F">
        <w:rPr>
          <w:lang w:val="fr-CH"/>
        </w:rPr>
        <w:t>é</w:t>
      </w:r>
      <w:r w:rsidRPr="0071782F">
        <w:rPr>
          <w:lang w:val="fr-CH"/>
        </w:rPr>
        <w:t>gi</w:t>
      </w:r>
      <w:r w:rsidR="00733DA6" w:rsidRPr="0071782F">
        <w:rPr>
          <w:lang w:val="fr-CH"/>
        </w:rPr>
        <w:t xml:space="preserve">que d’alphabétisation, adapté aux caractéristiques </w:t>
      </w:r>
      <w:r w:rsidRPr="0071782F">
        <w:rPr>
          <w:lang w:val="fr-CH"/>
        </w:rPr>
        <w:t>g</w:t>
      </w:r>
      <w:r w:rsidR="00733DA6" w:rsidRPr="0071782F">
        <w:rPr>
          <w:lang w:val="fr-CH"/>
        </w:rPr>
        <w:t>éographiques</w:t>
      </w:r>
      <w:r w:rsidRPr="0071782F">
        <w:rPr>
          <w:lang w:val="fr-CH"/>
        </w:rPr>
        <w:t xml:space="preserve">, </w:t>
      </w:r>
      <w:r w:rsidR="00733DA6" w:rsidRPr="0071782F">
        <w:rPr>
          <w:lang w:val="fr-CH"/>
        </w:rPr>
        <w:t>é</w:t>
      </w:r>
      <w:r w:rsidRPr="0071782F">
        <w:rPr>
          <w:lang w:val="fr-CH"/>
        </w:rPr>
        <w:t>cologi</w:t>
      </w:r>
      <w:r w:rsidR="00733DA6" w:rsidRPr="0071782F">
        <w:rPr>
          <w:lang w:val="fr-CH"/>
        </w:rPr>
        <w:t>ques</w:t>
      </w:r>
      <w:r w:rsidRPr="0071782F">
        <w:rPr>
          <w:lang w:val="fr-CH"/>
        </w:rPr>
        <w:t>, social</w:t>
      </w:r>
      <w:r w:rsidR="00733DA6" w:rsidRPr="0071782F">
        <w:rPr>
          <w:lang w:val="fr-CH"/>
        </w:rPr>
        <w:t xml:space="preserve">es et culturelles des différentes </w:t>
      </w:r>
      <w:r w:rsidRPr="0071782F">
        <w:rPr>
          <w:lang w:val="fr-CH"/>
        </w:rPr>
        <w:t>r</w:t>
      </w:r>
      <w:r w:rsidR="00733DA6" w:rsidRPr="0071782F">
        <w:rPr>
          <w:lang w:val="fr-CH"/>
        </w:rPr>
        <w:t>é</w:t>
      </w:r>
      <w:r w:rsidRPr="0071782F">
        <w:rPr>
          <w:lang w:val="fr-CH"/>
        </w:rPr>
        <w:t xml:space="preserve">gions </w:t>
      </w:r>
      <w:r w:rsidR="00733DA6" w:rsidRPr="0071782F">
        <w:rPr>
          <w:lang w:val="fr-CH"/>
        </w:rPr>
        <w:t xml:space="preserve">du pays et reposant sur la </w:t>
      </w:r>
      <w:r w:rsidRPr="0071782F">
        <w:rPr>
          <w:lang w:val="fr-CH"/>
        </w:rPr>
        <w:t xml:space="preserve">participation </w:t>
      </w:r>
      <w:r w:rsidR="00733DA6" w:rsidRPr="0071782F">
        <w:rPr>
          <w:lang w:val="fr-CH"/>
        </w:rPr>
        <w:t xml:space="preserve">des organisations publiques et privées, de manière qu’à la fin du </w:t>
      </w:r>
      <w:r w:rsidR="00A90208" w:rsidRPr="0071782F">
        <w:rPr>
          <w:lang w:val="fr-CH"/>
        </w:rPr>
        <w:t>quatrième</w:t>
      </w:r>
      <w:r w:rsidR="00733DA6" w:rsidRPr="0071782F">
        <w:rPr>
          <w:lang w:val="fr-CH"/>
        </w:rPr>
        <w:t xml:space="preserve"> plan de développement, tout</w:t>
      </w:r>
      <w:r w:rsidR="00CC2267" w:rsidRPr="0071782F">
        <w:rPr>
          <w:lang w:val="fr-CH"/>
        </w:rPr>
        <w:t>e</w:t>
      </w:r>
      <w:r w:rsidR="00733DA6" w:rsidRPr="0071782F">
        <w:rPr>
          <w:lang w:val="fr-CH"/>
        </w:rPr>
        <w:t xml:space="preserve">s </w:t>
      </w:r>
      <w:r w:rsidR="00A233C2" w:rsidRPr="0071782F">
        <w:rPr>
          <w:lang w:val="fr-CH"/>
        </w:rPr>
        <w:t>les personnes</w:t>
      </w:r>
      <w:r w:rsidR="00733DA6" w:rsidRPr="0071782F">
        <w:rPr>
          <w:lang w:val="fr-CH"/>
        </w:rPr>
        <w:t xml:space="preserve"> âgées de moins de 30</w:t>
      </w:r>
      <w:r w:rsidR="00D82C96" w:rsidRPr="0071782F">
        <w:rPr>
          <w:lang w:val="fr-CH"/>
        </w:rPr>
        <w:t> ans</w:t>
      </w:r>
      <w:r w:rsidR="00733DA6" w:rsidRPr="0071782F">
        <w:rPr>
          <w:lang w:val="fr-CH"/>
        </w:rPr>
        <w:t xml:space="preserve"> soient alphabétisées.</w:t>
      </w:r>
      <w:r w:rsidRPr="0071782F">
        <w:rPr>
          <w:lang w:val="fr-CH"/>
        </w:rPr>
        <w:t xml:space="preserve"> </w:t>
      </w:r>
    </w:p>
    <w:p w:rsidR="00333944" w:rsidRPr="0071782F" w:rsidRDefault="00333944" w:rsidP="00D15645">
      <w:pPr>
        <w:pStyle w:val="SingleTxtG"/>
        <w:ind w:left="1701"/>
        <w:rPr>
          <w:lang w:val="fr-CH"/>
        </w:rPr>
      </w:pPr>
      <w:r w:rsidRPr="0071782F">
        <w:rPr>
          <w:lang w:val="fr-CH"/>
        </w:rPr>
        <w:t>356.10</w:t>
      </w:r>
      <w:r w:rsidR="00D15645" w:rsidRPr="0071782F">
        <w:rPr>
          <w:lang w:val="fr-CH"/>
        </w:rPr>
        <w:t xml:space="preserve">. </w:t>
      </w:r>
      <w:r w:rsidR="002007C9" w:rsidRPr="0071782F">
        <w:rPr>
          <w:lang w:val="fr-CH"/>
        </w:rPr>
        <w:t>Utilisation des technologies de l’</w:t>
      </w:r>
      <w:r w:rsidRPr="0071782F">
        <w:rPr>
          <w:lang w:val="fr-CH"/>
        </w:rPr>
        <w:t xml:space="preserve">information </w:t>
      </w:r>
      <w:r w:rsidR="002007C9" w:rsidRPr="0071782F">
        <w:rPr>
          <w:lang w:val="fr-CH"/>
        </w:rPr>
        <w:t>dans l’élaboration et l’exécution des programmes éducatifs et des plans d’études à tous les niveaux, et fourniture d’ordinateurs et d’un accès aux réseaux d’information à toutes les écoles du pays.</w:t>
      </w:r>
    </w:p>
    <w:p w:rsidR="00333944" w:rsidRPr="0071782F" w:rsidRDefault="00333944" w:rsidP="00D15645">
      <w:pPr>
        <w:pStyle w:val="SingleTxtG"/>
        <w:ind w:left="1701"/>
        <w:rPr>
          <w:lang w:val="fr-CH"/>
        </w:rPr>
      </w:pPr>
      <w:r w:rsidRPr="0071782F">
        <w:rPr>
          <w:lang w:val="fr-CH"/>
        </w:rPr>
        <w:t>356.11</w:t>
      </w:r>
      <w:r w:rsidR="00D15645" w:rsidRPr="0071782F">
        <w:rPr>
          <w:lang w:val="fr-CH"/>
        </w:rPr>
        <w:t xml:space="preserve">. </w:t>
      </w:r>
      <w:r w:rsidR="002007C9" w:rsidRPr="0071782F">
        <w:rPr>
          <w:lang w:val="fr-CH"/>
        </w:rPr>
        <w:t>Actualisation permanente des connaissances et compétences du personnel du Ministère de l’éducation en ce qui concerne les technologies de l’</w:t>
      </w:r>
      <w:r w:rsidRPr="0071782F">
        <w:rPr>
          <w:lang w:val="fr-CH"/>
        </w:rPr>
        <w:t xml:space="preserve">information </w:t>
      </w:r>
      <w:r w:rsidR="002007C9" w:rsidRPr="0071782F">
        <w:rPr>
          <w:lang w:val="fr-CH"/>
        </w:rPr>
        <w:t xml:space="preserve">et de la </w:t>
      </w:r>
      <w:r w:rsidRPr="0071782F">
        <w:rPr>
          <w:lang w:val="fr-CH"/>
        </w:rPr>
        <w:t>communication.</w:t>
      </w:r>
    </w:p>
    <w:p w:rsidR="00333944" w:rsidRPr="0071782F" w:rsidRDefault="00333944" w:rsidP="00D15645">
      <w:pPr>
        <w:pStyle w:val="SingleTxtG"/>
        <w:ind w:left="1701"/>
        <w:rPr>
          <w:lang w:val="fr-CH"/>
        </w:rPr>
      </w:pPr>
      <w:r w:rsidRPr="0071782F">
        <w:rPr>
          <w:lang w:val="fr-CH"/>
        </w:rPr>
        <w:t>356.12</w:t>
      </w:r>
      <w:r w:rsidR="00D15645" w:rsidRPr="0071782F">
        <w:rPr>
          <w:lang w:val="fr-CH"/>
        </w:rPr>
        <w:t xml:space="preserve">. </w:t>
      </w:r>
      <w:r w:rsidR="002007C9" w:rsidRPr="0071782F">
        <w:rPr>
          <w:lang w:val="fr-CH"/>
        </w:rPr>
        <w:t>Prévision des installations et ressources nécessaires à la rénovation, à la remise à niveau et à la normalisation des espaces éducatifs, en particulier des écoles de filles, et conception de mécanismes d’appui aux philanthropes qui souhaitent faire construire des écoles.</w:t>
      </w:r>
      <w:r w:rsidR="00D36718">
        <w:rPr>
          <w:lang w:val="fr-CH"/>
        </w:rPr>
        <w:t xml:space="preserve"> </w:t>
      </w:r>
    </w:p>
    <w:p w:rsidR="00333944" w:rsidRPr="0071782F" w:rsidRDefault="00333944" w:rsidP="00D15645">
      <w:pPr>
        <w:pStyle w:val="SingleTxtG"/>
        <w:ind w:left="1701"/>
        <w:rPr>
          <w:lang w:val="fr-CH"/>
        </w:rPr>
      </w:pPr>
      <w:r w:rsidRPr="0071782F">
        <w:rPr>
          <w:lang w:val="fr-CH"/>
        </w:rPr>
        <w:t>356.13</w:t>
      </w:r>
      <w:r w:rsidR="00D15645" w:rsidRPr="0071782F">
        <w:rPr>
          <w:lang w:val="fr-CH"/>
        </w:rPr>
        <w:t xml:space="preserve">. </w:t>
      </w:r>
      <w:r w:rsidR="002007C9" w:rsidRPr="0071782F">
        <w:rPr>
          <w:lang w:val="fr-CH"/>
        </w:rPr>
        <w:t>Élaboration et application des règlements nécessaires à la fourniture, au recrutement et à la rétention des ressources humaines dont ont besoin les régions peu développées du pays</w:t>
      </w:r>
      <w:r w:rsidRPr="0071782F">
        <w:rPr>
          <w:lang w:val="fr-CH"/>
        </w:rPr>
        <w:t xml:space="preserve">, </w:t>
      </w:r>
      <w:r w:rsidR="002007C9" w:rsidRPr="0071782F">
        <w:rPr>
          <w:lang w:val="fr-CH"/>
        </w:rPr>
        <w:t>s’agissant par exemple de la délivrance d’autorisations de recrutement relevant du tableau</w:t>
      </w:r>
      <w:r w:rsidR="000E7A9B">
        <w:rPr>
          <w:lang w:val="fr-CH"/>
        </w:rPr>
        <w:t> </w:t>
      </w:r>
      <w:r w:rsidR="002007C9" w:rsidRPr="0071782F">
        <w:rPr>
          <w:lang w:val="fr-CH"/>
        </w:rPr>
        <w:t xml:space="preserve">9 de la présente loi, de l’achat de services éducatifs ou de mesures de protection sociale. </w:t>
      </w:r>
    </w:p>
    <w:p w:rsidR="00333944" w:rsidRPr="000E7A9B" w:rsidRDefault="00333944" w:rsidP="00D15645">
      <w:pPr>
        <w:pStyle w:val="SingleTxtG"/>
        <w:ind w:left="1701"/>
        <w:rPr>
          <w:spacing w:val="-2"/>
          <w:lang w:val="fr-CH"/>
        </w:rPr>
      </w:pPr>
      <w:r w:rsidRPr="000E7A9B">
        <w:rPr>
          <w:spacing w:val="-2"/>
          <w:lang w:val="fr-CH"/>
        </w:rPr>
        <w:t>356.14</w:t>
      </w:r>
      <w:r w:rsidR="00D15645" w:rsidRPr="000E7A9B">
        <w:rPr>
          <w:spacing w:val="-2"/>
          <w:lang w:val="fr-CH"/>
        </w:rPr>
        <w:t xml:space="preserve">. </w:t>
      </w:r>
      <w:r w:rsidR="002007C9" w:rsidRPr="000E7A9B">
        <w:rPr>
          <w:spacing w:val="-2"/>
          <w:lang w:val="fr-CH"/>
        </w:rPr>
        <w:t>Adoption de mesures permettant d’éliminer les obstacles à l’accès à l’éducation par le biais de l’augmentation du nombre des écoles ouvertes 24</w:t>
      </w:r>
      <w:r w:rsidR="00BF435F" w:rsidRPr="000E7A9B">
        <w:rPr>
          <w:spacing w:val="-2"/>
          <w:lang w:val="fr-CH"/>
        </w:rPr>
        <w:t> heures</w:t>
      </w:r>
      <w:r w:rsidR="007A4B1E">
        <w:rPr>
          <w:spacing w:val="-2"/>
          <w:lang w:val="fr-CH"/>
        </w:rPr>
        <w:t xml:space="preserve"> sur </w:t>
      </w:r>
      <w:r w:rsidR="002007C9" w:rsidRPr="000E7A9B">
        <w:rPr>
          <w:spacing w:val="-2"/>
          <w:lang w:val="fr-CH"/>
        </w:rPr>
        <w:t>24</w:t>
      </w:r>
      <w:r w:rsidRPr="000E7A9B">
        <w:rPr>
          <w:spacing w:val="-2"/>
          <w:lang w:val="fr-CH"/>
        </w:rPr>
        <w:t xml:space="preserve">, </w:t>
      </w:r>
      <w:r w:rsidR="002007C9" w:rsidRPr="000E7A9B">
        <w:rPr>
          <w:spacing w:val="-2"/>
          <w:lang w:val="fr-CH"/>
        </w:rPr>
        <w:t>de la concentration des ressources éducatives dans les villages, de la centralisation des résidences d’étudiants, de l’enseignement à distance et virtuel</w:t>
      </w:r>
      <w:r w:rsidRPr="000E7A9B">
        <w:rPr>
          <w:spacing w:val="-2"/>
          <w:lang w:val="fr-CH"/>
        </w:rPr>
        <w:t xml:space="preserve">, </w:t>
      </w:r>
      <w:r w:rsidR="002007C9" w:rsidRPr="000E7A9B">
        <w:rPr>
          <w:spacing w:val="-2"/>
          <w:lang w:val="fr-CH"/>
        </w:rPr>
        <w:t>de la fourniture d’aliments et de services de santé aux écoliers</w:t>
      </w:r>
      <w:r w:rsidRPr="000E7A9B">
        <w:rPr>
          <w:spacing w:val="-2"/>
          <w:lang w:val="fr-CH"/>
        </w:rPr>
        <w:t xml:space="preserve">, </w:t>
      </w:r>
      <w:r w:rsidR="002007C9" w:rsidRPr="000E7A9B">
        <w:rPr>
          <w:spacing w:val="-2"/>
          <w:lang w:val="fr-CH"/>
        </w:rPr>
        <w:t xml:space="preserve">et d’autres investissements dans les écoles en question; </w:t>
      </w:r>
      <w:r w:rsidRPr="000E7A9B">
        <w:rPr>
          <w:spacing w:val="-2"/>
          <w:lang w:val="fr-CH"/>
        </w:rPr>
        <w:t xml:space="preserve">construction </w:t>
      </w:r>
      <w:r w:rsidR="002007C9" w:rsidRPr="000E7A9B">
        <w:rPr>
          <w:spacing w:val="-2"/>
          <w:lang w:val="fr-CH"/>
        </w:rPr>
        <w:t>et extension d’espaces et d’installations éducatifs et sportifs qui intègrent une perspective antisexiste; et élaboration et exécution des programmes nécessaires au développement des garderies et des centres d’éducation préscolaire</w:t>
      </w:r>
      <w:r w:rsidRPr="000E7A9B">
        <w:rPr>
          <w:spacing w:val="-2"/>
          <w:lang w:val="fr-CH"/>
        </w:rPr>
        <w:t xml:space="preserve">, </w:t>
      </w:r>
      <w:r w:rsidR="002007C9" w:rsidRPr="000E7A9B">
        <w:rPr>
          <w:spacing w:val="-2"/>
          <w:lang w:val="fr-CH"/>
        </w:rPr>
        <w:t>en particulier dans les régions bilingues</w:t>
      </w:r>
      <w:r w:rsidRPr="000E7A9B">
        <w:rPr>
          <w:spacing w:val="-2"/>
          <w:lang w:val="fr-CH"/>
        </w:rPr>
        <w:t>.</w:t>
      </w:r>
      <w:r w:rsidR="00A62149" w:rsidRPr="000E7A9B">
        <w:rPr>
          <w:spacing w:val="-2"/>
          <w:lang w:val="fr-CH"/>
        </w:rPr>
        <w:t>"</w:t>
      </w:r>
    </w:p>
    <w:p w:rsidR="00333944" w:rsidRPr="0071782F" w:rsidRDefault="00333944" w:rsidP="00333944">
      <w:pPr>
        <w:pStyle w:val="SingleTxtG"/>
        <w:rPr>
          <w:lang w:val="fr-CH"/>
        </w:rPr>
      </w:pPr>
      <w:r w:rsidRPr="0071782F">
        <w:rPr>
          <w:lang w:val="fr-CH"/>
        </w:rPr>
        <w:t>357.</w:t>
      </w:r>
      <w:r w:rsidRPr="0071782F">
        <w:rPr>
          <w:lang w:val="fr-CH"/>
        </w:rPr>
        <w:tab/>
      </w:r>
      <w:r w:rsidR="00723F2B" w:rsidRPr="0071782F">
        <w:rPr>
          <w:lang w:val="fr-CH"/>
        </w:rPr>
        <w:t>L’</w:t>
      </w:r>
      <w:r w:rsidR="00943A69" w:rsidRPr="0071782F">
        <w:rPr>
          <w:lang w:val="fr-CH"/>
        </w:rPr>
        <w:t>article </w:t>
      </w:r>
      <w:r w:rsidRPr="0071782F">
        <w:rPr>
          <w:lang w:val="fr-CH"/>
        </w:rPr>
        <w:t xml:space="preserve">151 </w:t>
      </w:r>
      <w:r w:rsidR="002007C9" w:rsidRPr="0071782F">
        <w:rPr>
          <w:lang w:val="fr-CH"/>
        </w:rPr>
        <w:t xml:space="preserve">du </w:t>
      </w:r>
      <w:r w:rsidR="009E6189">
        <w:rPr>
          <w:lang w:val="fr-CH"/>
        </w:rPr>
        <w:t xml:space="preserve">troisième </w:t>
      </w:r>
      <w:r w:rsidR="002007C9" w:rsidRPr="0071782F">
        <w:rPr>
          <w:lang w:val="fr-CH"/>
        </w:rPr>
        <w:t>plan de développement est ainsi libellé</w:t>
      </w:r>
      <w:r w:rsidR="008F7D33" w:rsidRPr="0071782F">
        <w:rPr>
          <w:lang w:val="fr-CH"/>
        </w:rPr>
        <w:t>:</w:t>
      </w:r>
    </w:p>
    <w:p w:rsidR="00333944" w:rsidRPr="0071782F" w:rsidRDefault="00A62149" w:rsidP="00333944">
      <w:pPr>
        <w:pStyle w:val="SingleTxtG"/>
        <w:ind w:left="1701"/>
        <w:rPr>
          <w:lang w:val="fr-CH"/>
        </w:rPr>
      </w:pPr>
      <w:r w:rsidRPr="0071782F">
        <w:rPr>
          <w:lang w:val="fr-CH"/>
        </w:rPr>
        <w:t>"</w:t>
      </w:r>
      <w:r w:rsidR="00EB3A91" w:rsidRPr="0071782F">
        <w:rPr>
          <w:lang w:val="fr-CH"/>
        </w:rPr>
        <w:t xml:space="preserve">Afin de coordonner la formulation de politiques en matière de formation professionnelle, tant formelle qu’informelle (y compris les programmes sanctionnés par </w:t>
      </w:r>
      <w:r w:rsidR="00DC7EA2" w:rsidRPr="0071782F">
        <w:rPr>
          <w:lang w:val="fr-CH"/>
        </w:rPr>
        <w:t xml:space="preserve">un premier diplôme universitaire </w:t>
      </w:r>
      <w:r w:rsidR="00EB3A91" w:rsidRPr="0071782F">
        <w:rPr>
          <w:lang w:val="fr-CH"/>
        </w:rPr>
        <w:t xml:space="preserve">et </w:t>
      </w:r>
      <w:r w:rsidR="00DC7EA2" w:rsidRPr="0071782F">
        <w:rPr>
          <w:lang w:val="fr-CH"/>
        </w:rPr>
        <w:t xml:space="preserve">des diplômes </w:t>
      </w:r>
      <w:r w:rsidR="00EB3A91" w:rsidRPr="0071782F">
        <w:rPr>
          <w:lang w:val="fr-CH"/>
        </w:rPr>
        <w:t xml:space="preserve">de sciences appliquées parrainés par le </w:t>
      </w:r>
      <w:r w:rsidR="00333944" w:rsidRPr="0071782F">
        <w:rPr>
          <w:lang w:val="fr-CH"/>
        </w:rPr>
        <w:t>Minist</w:t>
      </w:r>
      <w:r w:rsidR="00EB3A91" w:rsidRPr="0071782F">
        <w:rPr>
          <w:lang w:val="fr-CH"/>
        </w:rPr>
        <w:t>ère de la s</w:t>
      </w:r>
      <w:r w:rsidR="00333944" w:rsidRPr="0071782F">
        <w:rPr>
          <w:lang w:val="fr-CH"/>
        </w:rPr>
        <w:t xml:space="preserve">cience, </w:t>
      </w:r>
      <w:r w:rsidR="00EB3A91" w:rsidRPr="0071782F">
        <w:rPr>
          <w:lang w:val="fr-CH"/>
        </w:rPr>
        <w:t xml:space="preserve">de la recherche et de </w:t>
      </w:r>
      <w:r w:rsidR="008A30BB" w:rsidRPr="0071782F">
        <w:rPr>
          <w:lang w:val="fr-CH"/>
        </w:rPr>
        <w:t xml:space="preserve">la </w:t>
      </w:r>
      <w:r w:rsidR="00EB3A91" w:rsidRPr="0071782F">
        <w:rPr>
          <w:lang w:val="fr-CH"/>
        </w:rPr>
        <w:t>t</w:t>
      </w:r>
      <w:r w:rsidR="008A30BB" w:rsidRPr="0071782F">
        <w:rPr>
          <w:lang w:val="fr-CH"/>
        </w:rPr>
        <w:t>echnologie</w:t>
      </w:r>
      <w:r w:rsidR="00333944" w:rsidRPr="0071782F">
        <w:rPr>
          <w:lang w:val="fr-CH"/>
        </w:rPr>
        <w:t xml:space="preserve">, </w:t>
      </w:r>
      <w:r w:rsidR="00EB3A91" w:rsidRPr="0071782F">
        <w:rPr>
          <w:lang w:val="fr-CH"/>
        </w:rPr>
        <w:t>et le Ministère de la santé et de la formation médicale;</w:t>
      </w:r>
      <w:r w:rsidR="00333944" w:rsidRPr="0071782F">
        <w:rPr>
          <w:lang w:val="fr-CH"/>
        </w:rPr>
        <w:t xml:space="preserve"> </w:t>
      </w:r>
      <w:r w:rsidR="00EB3A91" w:rsidRPr="0071782F">
        <w:rPr>
          <w:lang w:val="fr-CH"/>
        </w:rPr>
        <w:t xml:space="preserve">la formation technique et professionnelle dispensée par des établissements d’enseignement secondaire et parrainée par le </w:t>
      </w:r>
      <w:r w:rsidR="00333944" w:rsidRPr="0071782F">
        <w:rPr>
          <w:lang w:val="fr-CH"/>
        </w:rPr>
        <w:t>Minist</w:t>
      </w:r>
      <w:r w:rsidR="00EB3A91" w:rsidRPr="0071782F">
        <w:rPr>
          <w:lang w:val="fr-CH"/>
        </w:rPr>
        <w:t xml:space="preserve">ère de l’éducation; la formation technique et professionnelle courte parrainée par le </w:t>
      </w:r>
      <w:r w:rsidR="00333944" w:rsidRPr="0071782F">
        <w:rPr>
          <w:lang w:val="fr-CH"/>
        </w:rPr>
        <w:t>Minist</w:t>
      </w:r>
      <w:r w:rsidR="00EB3A91" w:rsidRPr="0071782F">
        <w:rPr>
          <w:lang w:val="fr-CH"/>
        </w:rPr>
        <w:t xml:space="preserve">ère du travail et des affaires sociales; la formation permanente des fonctionnaires; et la formation professionnelle spécialisée en gestion parrainée par l’Organisme public des affaires </w:t>
      </w:r>
      <w:r w:rsidR="00333944" w:rsidRPr="0071782F">
        <w:rPr>
          <w:lang w:val="fr-CH"/>
        </w:rPr>
        <w:t>administrative</w:t>
      </w:r>
      <w:r w:rsidR="00EB3A91" w:rsidRPr="0071782F">
        <w:rPr>
          <w:lang w:val="fr-CH"/>
        </w:rPr>
        <w:t>s et de recrutement)</w:t>
      </w:r>
      <w:r w:rsidR="00333944" w:rsidRPr="0071782F">
        <w:rPr>
          <w:lang w:val="fr-CH"/>
        </w:rPr>
        <w:t xml:space="preserve">, </w:t>
      </w:r>
      <w:r w:rsidR="00EB3A91" w:rsidRPr="0071782F">
        <w:rPr>
          <w:lang w:val="fr-CH"/>
        </w:rPr>
        <w:t xml:space="preserve">le Haut Conseil de l’apprentissage </w:t>
      </w:r>
      <w:r w:rsidR="00A234E8" w:rsidRPr="0071782F">
        <w:rPr>
          <w:lang w:val="fr-CH"/>
        </w:rPr>
        <w:t>(art</w:t>
      </w:r>
      <w:r w:rsidR="000E7A9B">
        <w:rPr>
          <w:lang w:val="fr-CH"/>
        </w:rPr>
        <w:t>icle</w:t>
      </w:r>
      <w:r w:rsidR="004E1022">
        <w:rPr>
          <w:lang w:val="fr-CH"/>
        </w:rPr>
        <w:t>s</w:t>
      </w:r>
      <w:r w:rsidR="00A234E8" w:rsidRPr="0071782F">
        <w:rPr>
          <w:lang w:val="fr-CH"/>
        </w:rPr>
        <w:t> </w:t>
      </w:r>
      <w:r w:rsidR="00333944" w:rsidRPr="0071782F">
        <w:rPr>
          <w:lang w:val="fr-CH"/>
        </w:rPr>
        <w:t>5, 6</w:t>
      </w:r>
      <w:r w:rsidR="00EB3A91" w:rsidRPr="0071782F">
        <w:rPr>
          <w:lang w:val="fr-CH"/>
        </w:rPr>
        <w:t xml:space="preserve"> et</w:t>
      </w:r>
      <w:r w:rsidR="00333944" w:rsidRPr="0071782F">
        <w:rPr>
          <w:lang w:val="fr-CH"/>
        </w:rPr>
        <w:t xml:space="preserve"> 7 </w:t>
      </w:r>
      <w:r w:rsidR="00EB3A91" w:rsidRPr="0071782F">
        <w:rPr>
          <w:lang w:val="fr-CH"/>
        </w:rPr>
        <w:t>de la loi sur l’apprentissage, adoptée par l’ancien sénat et l’Assemblée nationale</w:t>
      </w:r>
      <w:r w:rsidR="00333944" w:rsidRPr="0071782F">
        <w:rPr>
          <w:lang w:val="fr-CH"/>
        </w:rPr>
        <w:t xml:space="preserve">), </w:t>
      </w:r>
      <w:r w:rsidR="00EB3A91" w:rsidRPr="0071782F">
        <w:rPr>
          <w:lang w:val="fr-CH"/>
        </w:rPr>
        <w:t xml:space="preserve">le Haut Conseil de coordination de la formation technique et professionnelle </w:t>
      </w:r>
      <w:r w:rsidR="00333944" w:rsidRPr="0071782F">
        <w:rPr>
          <w:lang w:val="fr-CH"/>
        </w:rPr>
        <w:t>(</w:t>
      </w:r>
      <w:r w:rsidR="00EB3A91" w:rsidRPr="0071782F">
        <w:rPr>
          <w:lang w:val="fr-CH"/>
        </w:rPr>
        <w:t xml:space="preserve">dont la création a été approuvée par l’Assemblée </w:t>
      </w:r>
      <w:r w:rsidR="00333944" w:rsidRPr="0071782F">
        <w:rPr>
          <w:lang w:val="fr-CH"/>
        </w:rPr>
        <w:t xml:space="preserve">consultative </w:t>
      </w:r>
      <w:r w:rsidR="00EB3A91" w:rsidRPr="0071782F">
        <w:rPr>
          <w:lang w:val="fr-CH"/>
        </w:rPr>
        <w:t>islamique en 1980) et le Haut Conseil de la formation scientifique et appliquée (créé par le Haut Conseil culturel de la Révolution</w:t>
      </w:r>
      <w:r w:rsidR="00333944" w:rsidRPr="0071782F">
        <w:rPr>
          <w:lang w:val="fr-CH"/>
        </w:rPr>
        <w:t xml:space="preserve">) </w:t>
      </w:r>
      <w:r w:rsidR="00EB3A91" w:rsidRPr="0071782F">
        <w:rPr>
          <w:lang w:val="fr-CH"/>
        </w:rPr>
        <w:t xml:space="preserve">ont été remplacés par le Comité de </w:t>
      </w:r>
      <w:r w:rsidR="00333944" w:rsidRPr="0071782F">
        <w:rPr>
          <w:lang w:val="fr-CH"/>
        </w:rPr>
        <w:t xml:space="preserve">coordination </w:t>
      </w:r>
      <w:r w:rsidR="00EB3A91" w:rsidRPr="0071782F">
        <w:rPr>
          <w:lang w:val="fr-CH"/>
        </w:rPr>
        <w:t>de la formation technique et professionnelle</w:t>
      </w:r>
      <w:r w:rsidR="00333944" w:rsidRPr="0071782F">
        <w:rPr>
          <w:lang w:val="fr-CH"/>
        </w:rPr>
        <w:t xml:space="preserve">, </w:t>
      </w:r>
      <w:r w:rsidR="00EB3A91" w:rsidRPr="0071782F">
        <w:rPr>
          <w:lang w:val="fr-CH"/>
        </w:rPr>
        <w:t>présidé par le Premier Vice-Président et composé des Ministres de l’éducation, du travail et des affaires sociales, de la</w:t>
      </w:r>
      <w:r w:rsidR="00333944" w:rsidRPr="0071782F">
        <w:rPr>
          <w:lang w:val="fr-CH"/>
        </w:rPr>
        <w:t xml:space="preserve"> </w:t>
      </w:r>
      <w:r w:rsidR="00EB3A91" w:rsidRPr="0071782F">
        <w:rPr>
          <w:lang w:val="fr-CH"/>
        </w:rPr>
        <w:t>s</w:t>
      </w:r>
      <w:r w:rsidR="00333944" w:rsidRPr="0071782F">
        <w:rPr>
          <w:lang w:val="fr-CH"/>
        </w:rPr>
        <w:t xml:space="preserve">cience, </w:t>
      </w:r>
      <w:r w:rsidR="00EB3A91" w:rsidRPr="0071782F">
        <w:rPr>
          <w:lang w:val="fr-CH"/>
        </w:rPr>
        <w:t>de</w:t>
      </w:r>
      <w:r w:rsidR="008A30BB" w:rsidRPr="0071782F">
        <w:rPr>
          <w:lang w:val="fr-CH"/>
        </w:rPr>
        <w:t xml:space="preserve"> </w:t>
      </w:r>
      <w:r w:rsidR="00EB3A91" w:rsidRPr="0071782F">
        <w:rPr>
          <w:lang w:val="fr-CH"/>
        </w:rPr>
        <w:t xml:space="preserve">la recherche et de la technologie, de la santé et de la formation médicale, et de l’agriculture, ainsi que du Directeur de l’Organisme de la planification et du </w:t>
      </w:r>
      <w:r w:rsidR="00333944" w:rsidRPr="0071782F">
        <w:rPr>
          <w:lang w:val="fr-CH"/>
        </w:rPr>
        <w:t>budget</w:t>
      </w:r>
      <w:r w:rsidR="00EB3A91" w:rsidRPr="0071782F">
        <w:rPr>
          <w:lang w:val="fr-CH"/>
        </w:rPr>
        <w:t>, du Secrétaire général de l’Organisme public des affaires administratives et de recrutement et du Directeur du Centre pour la participation des femmes</w:t>
      </w:r>
      <w:r w:rsidR="00333944" w:rsidRPr="0071782F">
        <w:rPr>
          <w:lang w:val="fr-CH"/>
        </w:rPr>
        <w:t xml:space="preserve">. </w:t>
      </w:r>
      <w:r w:rsidR="00EB3A91" w:rsidRPr="0071782F">
        <w:rPr>
          <w:lang w:val="fr-CH"/>
        </w:rPr>
        <w:t>Selon l</w:t>
      </w:r>
      <w:r w:rsidR="008A30BB" w:rsidRPr="0071782F">
        <w:rPr>
          <w:lang w:val="fr-CH"/>
        </w:rPr>
        <w:t>e</w:t>
      </w:r>
      <w:r w:rsidR="00EB3A91" w:rsidRPr="0071782F">
        <w:rPr>
          <w:lang w:val="fr-CH"/>
        </w:rPr>
        <w:t xml:space="preserve">s besoins, d’autres ministres assisteront aux réunions de ce Comité. Le Directeur de l’Organisme </w:t>
      </w:r>
      <w:r w:rsidR="00DC7EA2" w:rsidRPr="0071782F">
        <w:rPr>
          <w:lang w:val="fr-CH"/>
        </w:rPr>
        <w:t xml:space="preserve">du budget et du Plan </w:t>
      </w:r>
      <w:r w:rsidR="00EB3A91" w:rsidRPr="0071782F">
        <w:rPr>
          <w:lang w:val="fr-CH"/>
        </w:rPr>
        <w:t>remplira les fonctions de secrétaire du Comité</w:t>
      </w:r>
      <w:r w:rsidR="00333944" w:rsidRPr="0071782F">
        <w:rPr>
          <w:lang w:val="fr-CH"/>
        </w:rPr>
        <w:t xml:space="preserve">. </w:t>
      </w:r>
      <w:r w:rsidR="00EB3A91" w:rsidRPr="0071782F">
        <w:rPr>
          <w:lang w:val="fr-CH"/>
        </w:rPr>
        <w:t xml:space="preserve">Les autres attributions des conseils susvisés seront </w:t>
      </w:r>
      <w:r w:rsidR="008A30BB" w:rsidRPr="0071782F">
        <w:rPr>
          <w:lang w:val="fr-CH"/>
        </w:rPr>
        <w:t>transf</w:t>
      </w:r>
      <w:r w:rsidR="00EB3A91" w:rsidRPr="0071782F">
        <w:rPr>
          <w:lang w:val="fr-CH"/>
        </w:rPr>
        <w:t>é</w:t>
      </w:r>
      <w:r w:rsidR="008A30BB" w:rsidRPr="0071782F">
        <w:rPr>
          <w:lang w:val="fr-CH"/>
        </w:rPr>
        <w:t>r</w:t>
      </w:r>
      <w:r w:rsidR="00EB3A91" w:rsidRPr="0071782F">
        <w:rPr>
          <w:lang w:val="fr-CH"/>
        </w:rPr>
        <w:t>ées aux ministères compétents. Les décisions du Comité s’imposeront à tous les ministères et conseils une fois qu’elles auront été approuvées par le Conseil des ministres</w:t>
      </w:r>
      <w:r w:rsidR="00333944" w:rsidRPr="0071782F">
        <w:rPr>
          <w:lang w:val="fr-CH"/>
        </w:rPr>
        <w:t>.</w:t>
      </w:r>
      <w:r w:rsidRPr="0071782F">
        <w:rPr>
          <w:lang w:val="fr-CH"/>
        </w:rPr>
        <w:t>"</w:t>
      </w:r>
      <w:r w:rsidR="00333944" w:rsidRPr="0071782F">
        <w:rPr>
          <w:lang w:val="fr-CH"/>
        </w:rPr>
        <w:t xml:space="preserve"> </w:t>
      </w:r>
    </w:p>
    <w:p w:rsidR="00333944" w:rsidRPr="0071782F" w:rsidRDefault="00333944" w:rsidP="00333944">
      <w:pPr>
        <w:pStyle w:val="SingleTxtG"/>
        <w:rPr>
          <w:lang w:val="fr-CH"/>
        </w:rPr>
      </w:pPr>
      <w:r w:rsidRPr="0071782F">
        <w:rPr>
          <w:lang w:val="fr-CH"/>
        </w:rPr>
        <w:t>358.</w:t>
      </w:r>
      <w:r w:rsidRPr="0071782F">
        <w:rPr>
          <w:lang w:val="fr-CH"/>
        </w:rPr>
        <w:tab/>
      </w:r>
      <w:r w:rsidR="00723F2B" w:rsidRPr="0071782F">
        <w:rPr>
          <w:lang w:val="fr-CH"/>
        </w:rPr>
        <w:t>L’</w:t>
      </w:r>
      <w:r w:rsidR="00943A69" w:rsidRPr="0071782F">
        <w:rPr>
          <w:lang w:val="fr-CH"/>
        </w:rPr>
        <w:t>article </w:t>
      </w:r>
      <w:r w:rsidRPr="0071782F">
        <w:rPr>
          <w:lang w:val="fr-CH"/>
        </w:rPr>
        <w:t xml:space="preserve">55 </w:t>
      </w:r>
      <w:r w:rsidR="008A30BB" w:rsidRPr="0071782F">
        <w:rPr>
          <w:lang w:val="fr-CH"/>
        </w:rPr>
        <w:t xml:space="preserve">du </w:t>
      </w:r>
      <w:r w:rsidRPr="0071782F">
        <w:rPr>
          <w:lang w:val="fr-CH"/>
        </w:rPr>
        <w:t xml:space="preserve">plan </w:t>
      </w:r>
      <w:r w:rsidR="008A30BB" w:rsidRPr="0071782F">
        <w:rPr>
          <w:lang w:val="fr-CH"/>
        </w:rPr>
        <w:t>est ainsi libellé</w:t>
      </w:r>
      <w:r w:rsidR="008F7D33" w:rsidRPr="0071782F">
        <w:rPr>
          <w:lang w:val="fr-CH"/>
        </w:rPr>
        <w:t>:</w:t>
      </w:r>
    </w:p>
    <w:p w:rsidR="00333944" w:rsidRPr="0071782F" w:rsidRDefault="00A62149" w:rsidP="00333944">
      <w:pPr>
        <w:pStyle w:val="SingleTxtG"/>
        <w:ind w:left="1701"/>
        <w:rPr>
          <w:lang w:val="fr-CH"/>
        </w:rPr>
      </w:pPr>
      <w:r w:rsidRPr="0071782F">
        <w:rPr>
          <w:lang w:val="fr-CH"/>
        </w:rPr>
        <w:t>"</w:t>
      </w:r>
      <w:r w:rsidR="008A30BB" w:rsidRPr="0071782F">
        <w:rPr>
          <w:lang w:val="fr-CH"/>
        </w:rPr>
        <w:t>Afin de développer les connaissances et les compétences, de réformer la pyramide éducative de la main-d’</w:t>
      </w:r>
      <w:r w:rsidR="00D5366B" w:rsidRPr="0071782F">
        <w:rPr>
          <w:lang w:val="fr-CH"/>
        </w:rPr>
        <w:t>œuvre</w:t>
      </w:r>
      <w:r w:rsidR="008A30BB" w:rsidRPr="0071782F">
        <w:rPr>
          <w:lang w:val="fr-CH"/>
        </w:rPr>
        <w:t>, d’augmenter les capacités du capital humain, de réduire l’écart entre le niveau des connaissances et des compétences des travailleurs</w:t>
      </w:r>
      <w:r w:rsidR="00D36718">
        <w:rPr>
          <w:lang w:val="fr-CH"/>
        </w:rPr>
        <w:t xml:space="preserve"> </w:t>
      </w:r>
      <w:r w:rsidR="008A30BB" w:rsidRPr="0071782F">
        <w:rPr>
          <w:lang w:val="fr-CH"/>
        </w:rPr>
        <w:t xml:space="preserve">et les normes </w:t>
      </w:r>
      <w:r w:rsidR="00333944" w:rsidRPr="0071782F">
        <w:rPr>
          <w:lang w:val="fr-CH"/>
        </w:rPr>
        <w:t>international</w:t>
      </w:r>
      <w:r w:rsidR="008A30BB" w:rsidRPr="0071782F">
        <w:rPr>
          <w:lang w:val="fr-CH"/>
        </w:rPr>
        <w:t>es</w:t>
      </w:r>
      <w:r w:rsidR="00333944" w:rsidRPr="0071782F">
        <w:rPr>
          <w:lang w:val="fr-CH"/>
        </w:rPr>
        <w:t xml:space="preserve">, </w:t>
      </w:r>
      <w:r w:rsidR="008A30BB" w:rsidRPr="0071782F">
        <w:rPr>
          <w:lang w:val="fr-CH"/>
        </w:rPr>
        <w:t xml:space="preserve">et de créer de nouveaux emplois pour les jeunes, l’État est tenu d’élaborer et de mettre en </w:t>
      </w:r>
      <w:r w:rsidR="00D5366B" w:rsidRPr="0071782F">
        <w:rPr>
          <w:lang w:val="fr-CH"/>
        </w:rPr>
        <w:t>œuvre</w:t>
      </w:r>
      <w:r w:rsidR="008A30BB" w:rsidRPr="0071782F">
        <w:rPr>
          <w:lang w:val="fr-CH"/>
        </w:rPr>
        <w:t xml:space="preserve">, dans un délai d’un an à compter de l’adoption de la présente loi, des mécanismes au sein du système de formation </w:t>
      </w:r>
      <w:r w:rsidR="00333944" w:rsidRPr="0071782F">
        <w:rPr>
          <w:lang w:val="fr-CH"/>
        </w:rPr>
        <w:t>techni</w:t>
      </w:r>
      <w:r w:rsidR="008A30BB" w:rsidRPr="0071782F">
        <w:rPr>
          <w:lang w:val="fr-CH"/>
        </w:rPr>
        <w:t>que</w:t>
      </w:r>
      <w:r w:rsidR="00333944" w:rsidRPr="0071782F">
        <w:rPr>
          <w:lang w:val="fr-CH"/>
        </w:rPr>
        <w:t xml:space="preserve">, </w:t>
      </w:r>
      <w:r w:rsidR="008A30BB" w:rsidRPr="0071782F">
        <w:rPr>
          <w:lang w:val="fr-CH"/>
        </w:rPr>
        <w:t>professionnelle et de sciences appliquées. Il s’agit notamment des mécanismes suivants</w:t>
      </w:r>
      <w:r w:rsidR="008F7D33" w:rsidRPr="0071782F">
        <w:rPr>
          <w:lang w:val="fr-CH"/>
        </w:rPr>
        <w:t>:</w:t>
      </w:r>
    </w:p>
    <w:p w:rsidR="00333944" w:rsidRPr="0071782F" w:rsidRDefault="00333944" w:rsidP="00D15645">
      <w:pPr>
        <w:pStyle w:val="SingleTxtG"/>
        <w:ind w:left="1701"/>
        <w:rPr>
          <w:lang w:val="fr-CH"/>
        </w:rPr>
      </w:pPr>
      <w:r w:rsidRPr="0071782F">
        <w:rPr>
          <w:lang w:val="fr-CH"/>
        </w:rPr>
        <w:t>358.1</w:t>
      </w:r>
      <w:r w:rsidR="00D15645" w:rsidRPr="0071782F">
        <w:rPr>
          <w:lang w:val="fr-CH"/>
        </w:rPr>
        <w:t>.</w:t>
      </w:r>
      <w:r w:rsidRPr="0071782F">
        <w:rPr>
          <w:lang w:val="fr-CH"/>
        </w:rPr>
        <w:tab/>
      </w:r>
      <w:r w:rsidR="008A30BB" w:rsidRPr="0071782F">
        <w:rPr>
          <w:lang w:val="fr-CH"/>
        </w:rPr>
        <w:t xml:space="preserve">Adoption des mesures juridiques nécessaires pour créer un organe de formulation de politiques dans le domaine de la formation technique, professionnelle et de sciences appliquées qui s’appuient sur les expériences internationales et nationales. Cet organe sera la principale </w:t>
      </w:r>
      <w:r w:rsidRPr="0071782F">
        <w:rPr>
          <w:lang w:val="fr-CH"/>
        </w:rPr>
        <w:t xml:space="preserve">institution </w:t>
      </w:r>
      <w:r w:rsidR="008A30BB" w:rsidRPr="0071782F">
        <w:rPr>
          <w:lang w:val="fr-CH"/>
        </w:rPr>
        <w:t xml:space="preserve">chargée d’approuver les cadres conceptuels, les </w:t>
      </w:r>
      <w:r w:rsidRPr="0071782F">
        <w:rPr>
          <w:lang w:val="fr-CH"/>
        </w:rPr>
        <w:t>strat</w:t>
      </w:r>
      <w:r w:rsidR="008A30BB" w:rsidRPr="0071782F">
        <w:rPr>
          <w:lang w:val="fr-CH"/>
        </w:rPr>
        <w:t>é</w:t>
      </w:r>
      <w:r w:rsidRPr="0071782F">
        <w:rPr>
          <w:lang w:val="fr-CH"/>
        </w:rPr>
        <w:t>gies</w:t>
      </w:r>
      <w:r w:rsidR="008A30BB" w:rsidRPr="0071782F">
        <w:rPr>
          <w:lang w:val="fr-CH"/>
        </w:rPr>
        <w:t xml:space="preserve"> et les dispositions générales du secteur jusqu’à la création du Comité de coordination de la formation technique et professionnelle visé à </w:t>
      </w:r>
      <w:r w:rsidR="00723F2B" w:rsidRPr="0071782F">
        <w:rPr>
          <w:lang w:val="fr-CH"/>
        </w:rPr>
        <w:t>l’</w:t>
      </w:r>
      <w:r w:rsidR="00943A69" w:rsidRPr="0071782F">
        <w:rPr>
          <w:lang w:val="fr-CH"/>
        </w:rPr>
        <w:t>article </w:t>
      </w:r>
      <w:r w:rsidRPr="0071782F">
        <w:rPr>
          <w:lang w:val="fr-CH"/>
        </w:rPr>
        <w:t xml:space="preserve">151 </w:t>
      </w:r>
      <w:r w:rsidR="008A30BB" w:rsidRPr="0071782F">
        <w:rPr>
          <w:lang w:val="fr-CH"/>
        </w:rPr>
        <w:t xml:space="preserve">du </w:t>
      </w:r>
      <w:r w:rsidR="009E6189">
        <w:rPr>
          <w:lang w:val="fr-CH"/>
        </w:rPr>
        <w:t>troisième</w:t>
      </w:r>
      <w:r w:rsidR="008A30BB" w:rsidRPr="0071782F">
        <w:rPr>
          <w:lang w:val="fr-CH"/>
        </w:rPr>
        <w:t xml:space="preserve"> plan de développement économique, </w:t>
      </w:r>
      <w:r w:rsidRPr="0071782F">
        <w:rPr>
          <w:lang w:val="fr-CH"/>
        </w:rPr>
        <w:t xml:space="preserve">social </w:t>
      </w:r>
      <w:r w:rsidR="008A30BB" w:rsidRPr="0071782F">
        <w:rPr>
          <w:lang w:val="fr-CH"/>
        </w:rPr>
        <w:t>et</w:t>
      </w:r>
      <w:r w:rsidRPr="0071782F">
        <w:rPr>
          <w:lang w:val="fr-CH"/>
        </w:rPr>
        <w:t xml:space="preserve"> cultur</w:t>
      </w:r>
      <w:r w:rsidR="008A30BB" w:rsidRPr="0071782F">
        <w:rPr>
          <w:lang w:val="fr-CH"/>
        </w:rPr>
        <w:t>e</w:t>
      </w:r>
      <w:r w:rsidRPr="0071782F">
        <w:rPr>
          <w:lang w:val="fr-CH"/>
        </w:rPr>
        <w:t xml:space="preserve">l, </w:t>
      </w:r>
      <w:r w:rsidR="008A30BB" w:rsidRPr="0071782F">
        <w:rPr>
          <w:lang w:val="fr-CH"/>
        </w:rPr>
        <w:t>daté du 6</w:t>
      </w:r>
      <w:r w:rsidR="00311068" w:rsidRPr="0071782F">
        <w:rPr>
          <w:lang w:val="fr-CH"/>
        </w:rPr>
        <w:t> </w:t>
      </w:r>
      <w:r w:rsidR="008A30BB" w:rsidRPr="0071782F">
        <w:rPr>
          <w:lang w:val="fr-CH"/>
        </w:rPr>
        <w:t xml:space="preserve">avril </w:t>
      </w:r>
      <w:r w:rsidRPr="0071782F">
        <w:rPr>
          <w:lang w:val="fr-CH"/>
        </w:rPr>
        <w:t xml:space="preserve">2000. </w:t>
      </w:r>
    </w:p>
    <w:p w:rsidR="00333944" w:rsidRPr="0071782F" w:rsidRDefault="00333944" w:rsidP="00D15645">
      <w:pPr>
        <w:pStyle w:val="SingleTxtG"/>
        <w:ind w:left="1701"/>
        <w:rPr>
          <w:lang w:val="fr-CH"/>
        </w:rPr>
      </w:pPr>
      <w:r w:rsidRPr="0071782F">
        <w:rPr>
          <w:lang w:val="fr-CH"/>
        </w:rPr>
        <w:t>358.2</w:t>
      </w:r>
      <w:r w:rsidR="00D15645" w:rsidRPr="0071782F">
        <w:rPr>
          <w:lang w:val="fr-CH"/>
        </w:rPr>
        <w:t>.</w:t>
      </w:r>
      <w:r w:rsidRPr="0071782F">
        <w:rPr>
          <w:lang w:val="fr-CH"/>
        </w:rPr>
        <w:tab/>
      </w:r>
      <w:r w:rsidR="008A30BB" w:rsidRPr="0071782F">
        <w:rPr>
          <w:lang w:val="fr-CH"/>
        </w:rPr>
        <w:t>C</w:t>
      </w:r>
      <w:r w:rsidRPr="0071782F">
        <w:rPr>
          <w:lang w:val="fr-CH"/>
        </w:rPr>
        <w:t xml:space="preserve">ontinuation </w:t>
      </w:r>
      <w:r w:rsidR="008A30BB" w:rsidRPr="0071782F">
        <w:rPr>
          <w:lang w:val="fr-CH"/>
        </w:rPr>
        <w:t xml:space="preserve">du </w:t>
      </w:r>
      <w:r w:rsidRPr="0071782F">
        <w:rPr>
          <w:lang w:val="fr-CH"/>
        </w:rPr>
        <w:t>syst</w:t>
      </w:r>
      <w:r w:rsidR="008A30BB" w:rsidRPr="0071782F">
        <w:rPr>
          <w:lang w:val="fr-CH"/>
        </w:rPr>
        <w:t xml:space="preserve">ème d’apprentissage et de stages professionnels dans l’enseignement formel </w:t>
      </w:r>
      <w:r w:rsidRPr="0071782F">
        <w:rPr>
          <w:lang w:val="fr-CH"/>
        </w:rPr>
        <w:t>(seconda</w:t>
      </w:r>
      <w:r w:rsidR="008A30BB" w:rsidRPr="0071782F">
        <w:rPr>
          <w:lang w:val="fr-CH"/>
        </w:rPr>
        <w:t>ire et universitaire</w:t>
      </w:r>
      <w:r w:rsidRPr="0071782F">
        <w:rPr>
          <w:lang w:val="fr-CH"/>
        </w:rPr>
        <w:t>)</w:t>
      </w:r>
      <w:r w:rsidR="008A30BB" w:rsidRPr="0071782F">
        <w:rPr>
          <w:lang w:val="fr-CH"/>
        </w:rPr>
        <w:t xml:space="preserve"> et l’enseignement technique, professionnel et de sciences appliquées informel</w:t>
      </w:r>
      <w:r w:rsidRPr="0071782F">
        <w:rPr>
          <w:lang w:val="fr-CH"/>
        </w:rPr>
        <w:t xml:space="preserve">. </w:t>
      </w:r>
    </w:p>
    <w:p w:rsidR="00333944" w:rsidRPr="0071782F" w:rsidRDefault="00333944" w:rsidP="00D15645">
      <w:pPr>
        <w:pStyle w:val="SingleTxtG"/>
        <w:ind w:left="1701"/>
        <w:rPr>
          <w:lang w:val="fr-CH"/>
        </w:rPr>
      </w:pPr>
      <w:r w:rsidRPr="0071782F">
        <w:rPr>
          <w:lang w:val="fr-CH"/>
        </w:rPr>
        <w:t>358.3</w:t>
      </w:r>
      <w:r w:rsidR="00D15645" w:rsidRPr="0071782F">
        <w:rPr>
          <w:lang w:val="fr-CH"/>
        </w:rPr>
        <w:t>.</w:t>
      </w:r>
      <w:r w:rsidRPr="0071782F">
        <w:rPr>
          <w:lang w:val="fr-CH"/>
        </w:rPr>
        <w:tab/>
      </w:r>
      <w:r w:rsidR="006D3D1A" w:rsidRPr="0071782F">
        <w:rPr>
          <w:lang w:val="fr-CH"/>
        </w:rPr>
        <w:t>Création d’un système de normes et d’évaluation des compétences de la main-d’</w:t>
      </w:r>
      <w:r w:rsidR="00D5366B" w:rsidRPr="0071782F">
        <w:rPr>
          <w:lang w:val="fr-CH"/>
        </w:rPr>
        <w:t>œuvre</w:t>
      </w:r>
      <w:r w:rsidR="006D3D1A" w:rsidRPr="0071782F">
        <w:rPr>
          <w:lang w:val="fr-CH"/>
        </w:rPr>
        <w:t xml:space="preserve"> reposant sur une approche internationale</w:t>
      </w:r>
      <w:r w:rsidRPr="0071782F">
        <w:rPr>
          <w:lang w:val="fr-CH"/>
        </w:rPr>
        <w:t>.</w:t>
      </w:r>
    </w:p>
    <w:p w:rsidR="00333944" w:rsidRPr="0071782F" w:rsidRDefault="00333944" w:rsidP="00D15645">
      <w:pPr>
        <w:pStyle w:val="SingleTxtG"/>
        <w:ind w:left="1701"/>
        <w:rPr>
          <w:lang w:val="fr-CH"/>
        </w:rPr>
      </w:pPr>
      <w:r w:rsidRPr="0071782F">
        <w:rPr>
          <w:lang w:val="fr-CH"/>
        </w:rPr>
        <w:t>358.4</w:t>
      </w:r>
      <w:r w:rsidR="00D15645" w:rsidRPr="0071782F">
        <w:rPr>
          <w:lang w:val="fr-CH"/>
        </w:rPr>
        <w:t>.</w:t>
      </w:r>
      <w:r w:rsidRPr="0071782F">
        <w:rPr>
          <w:lang w:val="fr-CH"/>
        </w:rPr>
        <w:tab/>
      </w:r>
      <w:r w:rsidR="006D3D1A" w:rsidRPr="0071782F">
        <w:rPr>
          <w:lang w:val="fr-CH"/>
        </w:rPr>
        <w:t xml:space="preserve">Plan directeur pour la valorisation des ressources humaines nécessaires dans ce secteur, y compris les aspects liés au recrutement, à la </w:t>
      </w:r>
      <w:r w:rsidRPr="0071782F">
        <w:rPr>
          <w:lang w:val="fr-CH"/>
        </w:rPr>
        <w:t xml:space="preserve">motivation, </w:t>
      </w:r>
      <w:r w:rsidR="006D3D1A" w:rsidRPr="0071782F">
        <w:rPr>
          <w:lang w:val="fr-CH"/>
        </w:rPr>
        <w:t xml:space="preserve">à la </w:t>
      </w:r>
      <w:r w:rsidRPr="0071782F">
        <w:rPr>
          <w:lang w:val="fr-CH"/>
        </w:rPr>
        <w:t xml:space="preserve">promotion, </w:t>
      </w:r>
      <w:r w:rsidR="006D3D1A" w:rsidRPr="0071782F">
        <w:rPr>
          <w:lang w:val="fr-CH"/>
        </w:rPr>
        <w:t>à la formation</w:t>
      </w:r>
      <w:r w:rsidRPr="0071782F">
        <w:rPr>
          <w:lang w:val="fr-CH"/>
        </w:rPr>
        <w:t>,</w:t>
      </w:r>
      <w:r w:rsidR="006D3D1A" w:rsidRPr="0071782F">
        <w:rPr>
          <w:lang w:val="fr-CH"/>
        </w:rPr>
        <w:t xml:space="preserve"> au perfectionnement et à la rétention</w:t>
      </w:r>
      <w:r w:rsidRPr="0071782F">
        <w:rPr>
          <w:lang w:val="fr-CH"/>
        </w:rPr>
        <w:t xml:space="preserve">. </w:t>
      </w:r>
    </w:p>
    <w:p w:rsidR="00333944" w:rsidRPr="0071782F" w:rsidRDefault="00333944" w:rsidP="00D15645">
      <w:pPr>
        <w:pStyle w:val="SingleTxtG"/>
        <w:ind w:left="1701"/>
        <w:rPr>
          <w:lang w:val="fr-CH"/>
        </w:rPr>
      </w:pPr>
      <w:r w:rsidRPr="0071782F">
        <w:rPr>
          <w:lang w:val="fr-CH"/>
        </w:rPr>
        <w:t>358.5</w:t>
      </w:r>
      <w:r w:rsidR="00D15645" w:rsidRPr="0071782F">
        <w:rPr>
          <w:lang w:val="fr-CH"/>
        </w:rPr>
        <w:t>.</w:t>
      </w:r>
      <w:r w:rsidRPr="0071782F">
        <w:rPr>
          <w:lang w:val="fr-CH"/>
        </w:rPr>
        <w:tab/>
      </w:r>
      <w:r w:rsidR="006D3D1A" w:rsidRPr="0071782F">
        <w:rPr>
          <w:lang w:val="fr-CH"/>
        </w:rPr>
        <w:t>Cadre d’appui aux institutions et entreprises publiques et privées en ce qui concerne la promotion de la formation technique, professionnelle et de sciences appliquées, en particulier dans les régions peu développées</w:t>
      </w:r>
      <w:r w:rsidRPr="0071782F">
        <w:rPr>
          <w:lang w:val="fr-CH"/>
        </w:rPr>
        <w:t>.</w:t>
      </w:r>
    </w:p>
    <w:p w:rsidR="00333944" w:rsidRPr="0071782F" w:rsidRDefault="00333944" w:rsidP="00D15645">
      <w:pPr>
        <w:pStyle w:val="SingleTxtG"/>
        <w:ind w:left="1701"/>
        <w:rPr>
          <w:lang w:val="fr-CH"/>
        </w:rPr>
      </w:pPr>
      <w:r w:rsidRPr="0071782F">
        <w:rPr>
          <w:lang w:val="fr-CH"/>
        </w:rPr>
        <w:t>358.6</w:t>
      </w:r>
      <w:r w:rsidR="00D15645" w:rsidRPr="0071782F">
        <w:rPr>
          <w:lang w:val="fr-CH"/>
        </w:rPr>
        <w:t>.</w:t>
      </w:r>
      <w:r w:rsidRPr="0071782F">
        <w:rPr>
          <w:lang w:val="fr-CH"/>
        </w:rPr>
        <w:tab/>
        <w:t>R</w:t>
      </w:r>
      <w:r w:rsidR="006D3D1A" w:rsidRPr="0071782F">
        <w:rPr>
          <w:lang w:val="fr-CH"/>
        </w:rPr>
        <w:t>é</w:t>
      </w:r>
      <w:r w:rsidRPr="0071782F">
        <w:rPr>
          <w:lang w:val="fr-CH"/>
        </w:rPr>
        <w:t xml:space="preserve">novation </w:t>
      </w:r>
      <w:r w:rsidR="006D3D1A" w:rsidRPr="0071782F">
        <w:rPr>
          <w:lang w:val="fr-CH"/>
        </w:rPr>
        <w:t xml:space="preserve">et reconstruction des </w:t>
      </w:r>
      <w:r w:rsidRPr="0071782F">
        <w:rPr>
          <w:lang w:val="fr-CH"/>
        </w:rPr>
        <w:t xml:space="preserve">structures </w:t>
      </w:r>
      <w:r w:rsidR="006D3D1A" w:rsidRPr="0071782F">
        <w:rPr>
          <w:lang w:val="fr-CH"/>
        </w:rPr>
        <w:t>et installations</w:t>
      </w:r>
      <w:r w:rsidRPr="0071782F">
        <w:rPr>
          <w:lang w:val="fr-CH"/>
        </w:rPr>
        <w:t>,</w:t>
      </w:r>
      <w:r w:rsidR="006D3D1A" w:rsidRPr="0071782F">
        <w:rPr>
          <w:lang w:val="fr-CH"/>
        </w:rPr>
        <w:t xml:space="preserve"> amélioration de la qualité de la formation technique, professionnelle et de sciences appliquées</w:t>
      </w:r>
      <w:r w:rsidRPr="0071782F">
        <w:rPr>
          <w:lang w:val="fr-CH"/>
        </w:rPr>
        <w:t xml:space="preserve">, </w:t>
      </w:r>
      <w:r w:rsidR="006D3D1A" w:rsidRPr="0071782F">
        <w:rPr>
          <w:lang w:val="fr-CH"/>
        </w:rPr>
        <w:t>et augmentation du nombre de centres de formation technique et professionnelle et des centres de formation aux technologies de l’information, en faisant le plus possible appel au secteur privé et au secteur des coopératives ainsi qu’à la coopération</w:t>
      </w:r>
      <w:r w:rsidR="00D36718">
        <w:rPr>
          <w:lang w:val="fr-CH"/>
        </w:rPr>
        <w:t xml:space="preserve"> </w:t>
      </w:r>
      <w:r w:rsidRPr="0071782F">
        <w:rPr>
          <w:lang w:val="fr-CH"/>
        </w:rPr>
        <w:t>international</w:t>
      </w:r>
      <w:r w:rsidR="006D3D1A" w:rsidRPr="0071782F">
        <w:rPr>
          <w:lang w:val="fr-CH"/>
        </w:rPr>
        <w:t>e</w:t>
      </w:r>
      <w:r w:rsidRPr="0071782F">
        <w:rPr>
          <w:lang w:val="fr-CH"/>
        </w:rPr>
        <w:t>.</w:t>
      </w:r>
    </w:p>
    <w:p w:rsidR="00333944" w:rsidRPr="0071782F" w:rsidRDefault="00333944" w:rsidP="00D15645">
      <w:pPr>
        <w:pStyle w:val="SingleTxtG"/>
        <w:ind w:left="1701"/>
        <w:rPr>
          <w:lang w:val="fr-CH"/>
        </w:rPr>
      </w:pPr>
      <w:r w:rsidRPr="0071782F">
        <w:rPr>
          <w:lang w:val="fr-CH"/>
        </w:rPr>
        <w:t>358.7</w:t>
      </w:r>
      <w:r w:rsidR="00D15645" w:rsidRPr="0071782F">
        <w:rPr>
          <w:lang w:val="fr-CH"/>
        </w:rPr>
        <w:t>.</w:t>
      </w:r>
      <w:r w:rsidRPr="0071782F">
        <w:rPr>
          <w:lang w:val="fr-CH"/>
        </w:rPr>
        <w:tab/>
        <w:t>Utili</w:t>
      </w:r>
      <w:r w:rsidR="00E941A5" w:rsidRPr="0071782F">
        <w:rPr>
          <w:lang w:val="fr-CH"/>
        </w:rPr>
        <w:t>s</w:t>
      </w:r>
      <w:r w:rsidRPr="0071782F">
        <w:rPr>
          <w:lang w:val="fr-CH"/>
        </w:rPr>
        <w:t xml:space="preserve">ation </w:t>
      </w:r>
      <w:r w:rsidR="00E941A5" w:rsidRPr="0071782F">
        <w:rPr>
          <w:lang w:val="fr-CH"/>
        </w:rPr>
        <w:t>des ressources et installations des secteurs public et privé pour promouvoir la formation scientifique appliquée, technique et professionnelle</w:t>
      </w:r>
      <w:r w:rsidRPr="0071782F">
        <w:rPr>
          <w:lang w:val="fr-CH"/>
        </w:rPr>
        <w:t>.</w:t>
      </w:r>
    </w:p>
    <w:p w:rsidR="00333944" w:rsidRPr="0071782F" w:rsidRDefault="00333944" w:rsidP="00D15645">
      <w:pPr>
        <w:pStyle w:val="SingleTxtG"/>
        <w:ind w:left="1701"/>
        <w:rPr>
          <w:lang w:val="fr-CH"/>
        </w:rPr>
      </w:pPr>
      <w:r w:rsidRPr="0071782F">
        <w:rPr>
          <w:lang w:val="fr-CH"/>
        </w:rPr>
        <w:t>358.8</w:t>
      </w:r>
      <w:r w:rsidR="00D15645" w:rsidRPr="0071782F">
        <w:rPr>
          <w:lang w:val="fr-CH"/>
        </w:rPr>
        <w:t>.</w:t>
      </w:r>
      <w:r w:rsidRPr="0071782F">
        <w:rPr>
          <w:lang w:val="fr-CH"/>
        </w:rPr>
        <w:tab/>
      </w:r>
      <w:r w:rsidR="00892D83" w:rsidRPr="0071782F">
        <w:rPr>
          <w:lang w:val="fr-CH"/>
        </w:rPr>
        <w:t>Évaluation et prévision des ressources humaines du niveau de la licence nécessaires, et délivrance des autorisations et fourniture de l’appui nécessaires à la création et au développement d’établissements d’enseignement offrant des programmes de licence dans le secteur privé et celui des coopératives, de manière que la capacité requise soit disponible d’ici à la fin de la quatrième année du plan</w:t>
      </w:r>
      <w:r w:rsidRPr="0071782F">
        <w:rPr>
          <w:lang w:val="fr-CH"/>
        </w:rPr>
        <w:t>.</w:t>
      </w:r>
      <w:r w:rsidR="00A62149" w:rsidRPr="0071782F">
        <w:rPr>
          <w:lang w:val="fr-CH"/>
        </w:rPr>
        <w:t>"</w:t>
      </w:r>
    </w:p>
    <w:p w:rsidR="00333944" w:rsidRPr="0071782F" w:rsidRDefault="00333944" w:rsidP="001C2A42">
      <w:pPr>
        <w:pStyle w:val="H1G"/>
        <w:rPr>
          <w:lang w:val="fr-CH"/>
        </w:rPr>
      </w:pPr>
      <w:r w:rsidRPr="0071782F">
        <w:rPr>
          <w:lang w:val="fr-CH"/>
        </w:rPr>
        <w:tab/>
      </w:r>
      <w:r w:rsidRPr="0071782F">
        <w:rPr>
          <w:lang w:val="fr-CH"/>
        </w:rPr>
        <w:tab/>
      </w:r>
      <w:r w:rsidR="00892D83" w:rsidRPr="0071782F">
        <w:rPr>
          <w:lang w:val="fr-CH"/>
        </w:rPr>
        <w:t>Plan stratégique sur 20</w:t>
      </w:r>
      <w:r w:rsidR="00D82C96" w:rsidRPr="0071782F">
        <w:rPr>
          <w:lang w:val="fr-CH"/>
        </w:rPr>
        <w:t> ans</w:t>
      </w:r>
      <w:r w:rsidR="00892D83" w:rsidRPr="0071782F">
        <w:rPr>
          <w:lang w:val="fr-CH"/>
        </w:rPr>
        <w:t xml:space="preserve"> pour le développement de l’Iran</w:t>
      </w:r>
      <w:r w:rsidRPr="0071782F">
        <w:rPr>
          <w:lang w:val="fr-CH"/>
        </w:rPr>
        <w:t xml:space="preserve"> </w:t>
      </w:r>
    </w:p>
    <w:p w:rsidR="00333944" w:rsidRPr="0071782F" w:rsidRDefault="00333944" w:rsidP="001C2A42">
      <w:pPr>
        <w:pStyle w:val="SingleTxtG"/>
        <w:keepNext/>
        <w:rPr>
          <w:lang w:val="fr-CH"/>
        </w:rPr>
      </w:pPr>
      <w:r w:rsidRPr="0071782F">
        <w:rPr>
          <w:lang w:val="fr-CH"/>
        </w:rPr>
        <w:t>359.</w:t>
      </w:r>
      <w:r w:rsidRPr="0071782F">
        <w:rPr>
          <w:lang w:val="fr-CH"/>
        </w:rPr>
        <w:tab/>
      </w:r>
      <w:r w:rsidR="00892D83" w:rsidRPr="0071782F">
        <w:rPr>
          <w:lang w:val="fr-CH"/>
        </w:rPr>
        <w:t>Ce Plan dispose ce qui suit</w:t>
      </w:r>
      <w:r w:rsidR="008F7D33" w:rsidRPr="0071782F">
        <w:rPr>
          <w:lang w:val="fr-CH"/>
        </w:rPr>
        <w:t>:</w:t>
      </w:r>
    </w:p>
    <w:p w:rsidR="00333944" w:rsidRPr="0071782F" w:rsidRDefault="00A62149" w:rsidP="001C2A42">
      <w:pPr>
        <w:pStyle w:val="SingleTxtG"/>
        <w:keepNext/>
        <w:ind w:left="1701"/>
        <w:rPr>
          <w:lang w:val="fr-CH"/>
        </w:rPr>
      </w:pPr>
      <w:r w:rsidRPr="0071782F">
        <w:rPr>
          <w:lang w:val="fr-CH"/>
        </w:rPr>
        <w:t>"</w:t>
      </w:r>
      <w:r w:rsidR="00892D83" w:rsidRPr="0071782F">
        <w:rPr>
          <w:lang w:val="fr-CH"/>
        </w:rPr>
        <w:t>En s’en remettant à la puissance divine infinie et à la foi et à la détermination de la nation, ainsi qu’aux efforts planifiés et intelligents d’un secteur</w:t>
      </w:r>
      <w:r w:rsidR="00333944" w:rsidRPr="0071782F">
        <w:rPr>
          <w:lang w:val="fr-CH"/>
        </w:rPr>
        <w:t xml:space="preserve">, </w:t>
      </w:r>
      <w:r w:rsidR="00892D83" w:rsidRPr="0071782F">
        <w:rPr>
          <w:lang w:val="fr-CH"/>
        </w:rPr>
        <w:t xml:space="preserve">et conformément aux idéaux et principes de la </w:t>
      </w:r>
      <w:r w:rsidR="00333944" w:rsidRPr="0071782F">
        <w:rPr>
          <w:lang w:val="fr-CH"/>
        </w:rPr>
        <w:t xml:space="preserve">Constitution, </w:t>
      </w:r>
      <w:r w:rsidR="00892D83" w:rsidRPr="0071782F">
        <w:rPr>
          <w:lang w:val="fr-CH"/>
        </w:rPr>
        <w:t>le Plan stratégique sur 20</w:t>
      </w:r>
      <w:r w:rsidR="00D82C96" w:rsidRPr="0071782F">
        <w:rPr>
          <w:lang w:val="fr-CH"/>
        </w:rPr>
        <w:t> ans</w:t>
      </w:r>
      <w:r w:rsidR="00892D83" w:rsidRPr="0071782F">
        <w:rPr>
          <w:lang w:val="fr-CH"/>
        </w:rPr>
        <w:t xml:space="preserve"> se propose de parvenir aux résultats suivants</w:t>
      </w:r>
      <w:r w:rsidR="008F7D33" w:rsidRPr="0071782F">
        <w:rPr>
          <w:lang w:val="fr-CH"/>
        </w:rPr>
        <w:t>:</w:t>
      </w:r>
      <w:r w:rsidR="00333944" w:rsidRPr="0071782F">
        <w:rPr>
          <w:lang w:val="fr-CH"/>
        </w:rPr>
        <w:t xml:space="preserve"> …</w:t>
      </w:r>
      <w:r w:rsidR="00892D83" w:rsidRPr="0071782F">
        <w:rPr>
          <w:lang w:val="fr-CH"/>
        </w:rPr>
        <w:t xml:space="preserve"> un niveau avancé et suffisant de connaissances et le développement de la </w:t>
      </w:r>
      <w:r w:rsidR="00333944" w:rsidRPr="0071782F">
        <w:rPr>
          <w:lang w:val="fr-CH"/>
        </w:rPr>
        <w:t xml:space="preserve">science </w:t>
      </w:r>
      <w:r w:rsidR="00892D83" w:rsidRPr="0071782F">
        <w:rPr>
          <w:lang w:val="fr-CH"/>
        </w:rPr>
        <w:t>et de la technologie</w:t>
      </w:r>
      <w:r w:rsidR="00333944" w:rsidRPr="0071782F">
        <w:rPr>
          <w:lang w:val="fr-CH"/>
        </w:rPr>
        <w:t xml:space="preserve">, </w:t>
      </w:r>
      <w:r w:rsidR="00892D83" w:rsidRPr="0071782F">
        <w:rPr>
          <w:lang w:val="fr-CH"/>
        </w:rPr>
        <w:t>sur la base d’une participation importante des ressources humaines et du capital social dans la production nationale</w:t>
      </w:r>
      <w:r w:rsidR="00333944" w:rsidRPr="0071782F">
        <w:rPr>
          <w:lang w:val="fr-CH"/>
        </w:rPr>
        <w:t>.</w:t>
      </w:r>
      <w:r w:rsidRPr="0071782F">
        <w:rPr>
          <w:lang w:val="fr-CH"/>
        </w:rPr>
        <w:t>"</w:t>
      </w:r>
    </w:p>
    <w:p w:rsidR="00333944" w:rsidRPr="0071782F" w:rsidRDefault="00333944" w:rsidP="00333944">
      <w:pPr>
        <w:pStyle w:val="H1G"/>
        <w:rPr>
          <w:lang w:val="fr-CH"/>
        </w:rPr>
      </w:pPr>
      <w:r w:rsidRPr="0071782F">
        <w:rPr>
          <w:lang w:val="fr-CH"/>
        </w:rPr>
        <w:tab/>
      </w:r>
      <w:r w:rsidRPr="0071782F">
        <w:rPr>
          <w:lang w:val="fr-CH"/>
        </w:rPr>
        <w:tab/>
      </w:r>
      <w:r w:rsidR="00892D83" w:rsidRPr="0071782F">
        <w:rPr>
          <w:lang w:val="fr-CH"/>
        </w:rPr>
        <w:t xml:space="preserve">Politiques générales du </w:t>
      </w:r>
      <w:r w:rsidR="00A90208" w:rsidRPr="0071782F">
        <w:rPr>
          <w:lang w:val="fr-CH"/>
        </w:rPr>
        <w:t>quatrième</w:t>
      </w:r>
      <w:r w:rsidR="00892D83" w:rsidRPr="0071782F">
        <w:rPr>
          <w:lang w:val="fr-CH"/>
        </w:rPr>
        <w:t xml:space="preserve"> plan de développement </w:t>
      </w:r>
    </w:p>
    <w:p w:rsidR="00333944" w:rsidRPr="0071782F" w:rsidRDefault="00333944" w:rsidP="00333944">
      <w:pPr>
        <w:pStyle w:val="SingleTxtG"/>
        <w:rPr>
          <w:lang w:val="fr-CH"/>
        </w:rPr>
      </w:pPr>
      <w:r w:rsidRPr="0071782F">
        <w:rPr>
          <w:lang w:val="fr-CH"/>
        </w:rPr>
        <w:t>360.</w:t>
      </w:r>
      <w:r w:rsidRPr="0071782F">
        <w:rPr>
          <w:lang w:val="fr-CH"/>
        </w:rPr>
        <w:tab/>
      </w:r>
      <w:r w:rsidR="002967FD" w:rsidRPr="0071782F">
        <w:rPr>
          <w:lang w:val="fr-CH"/>
        </w:rPr>
        <w:t xml:space="preserve">Dans la </w:t>
      </w:r>
      <w:r w:rsidRPr="0071782F">
        <w:rPr>
          <w:lang w:val="fr-CH"/>
        </w:rPr>
        <w:t xml:space="preserve">section </w:t>
      </w:r>
      <w:r w:rsidR="002967FD" w:rsidRPr="0071782F">
        <w:rPr>
          <w:lang w:val="fr-CH"/>
        </w:rPr>
        <w:t>consacrée aux questions culturelles, scientifiques et technologiques</w:t>
      </w:r>
      <w:r w:rsidRPr="0071782F">
        <w:rPr>
          <w:lang w:val="fr-CH"/>
        </w:rPr>
        <w:t xml:space="preserve">, </w:t>
      </w:r>
      <w:r w:rsidR="002967FD" w:rsidRPr="0071782F">
        <w:rPr>
          <w:lang w:val="fr-CH"/>
        </w:rPr>
        <w:t>le chapitre sur l’</w:t>
      </w:r>
      <w:r w:rsidR="0071782F" w:rsidRPr="0071782F">
        <w:rPr>
          <w:lang w:val="fr-CH"/>
        </w:rPr>
        <w:t>éducation</w:t>
      </w:r>
      <w:r w:rsidR="002967FD" w:rsidRPr="0071782F">
        <w:rPr>
          <w:lang w:val="fr-CH"/>
        </w:rPr>
        <w:t xml:space="preserve"> et la création de connaissances accorde une place importante aux axes d’intervention ci-après</w:t>
      </w:r>
      <w:r w:rsidR="008F7D33" w:rsidRPr="0071782F">
        <w:rPr>
          <w:lang w:val="fr-CH"/>
        </w:rPr>
        <w:t>:</w:t>
      </w:r>
    </w:p>
    <w:p w:rsidR="00333944" w:rsidRPr="0071782F" w:rsidRDefault="00333944" w:rsidP="00D15645">
      <w:pPr>
        <w:pStyle w:val="SingleTxtG"/>
        <w:ind w:left="1701"/>
        <w:rPr>
          <w:lang w:val="fr-CH"/>
        </w:rPr>
      </w:pPr>
      <w:r w:rsidRPr="0071782F">
        <w:rPr>
          <w:lang w:val="fr-CH"/>
        </w:rPr>
        <w:t>360.1</w:t>
      </w:r>
      <w:r w:rsidR="00D15645" w:rsidRPr="0071782F">
        <w:rPr>
          <w:lang w:val="fr-CH"/>
        </w:rPr>
        <w:t>.</w:t>
      </w:r>
      <w:r w:rsidRPr="0071782F">
        <w:rPr>
          <w:lang w:val="fr-CH"/>
        </w:rPr>
        <w:tab/>
      </w:r>
      <w:r w:rsidR="00A62149" w:rsidRPr="0071782F">
        <w:rPr>
          <w:lang w:val="fr-CH"/>
        </w:rPr>
        <w:t>"</w:t>
      </w:r>
      <w:r w:rsidRPr="0071782F">
        <w:rPr>
          <w:lang w:val="fr-CH"/>
        </w:rPr>
        <w:t>9. Organi</w:t>
      </w:r>
      <w:r w:rsidR="002967FD" w:rsidRPr="0071782F">
        <w:rPr>
          <w:lang w:val="fr-CH"/>
        </w:rPr>
        <w:t>sa</w:t>
      </w:r>
      <w:r w:rsidRPr="0071782F">
        <w:rPr>
          <w:lang w:val="fr-CH"/>
        </w:rPr>
        <w:t xml:space="preserve">tion </w:t>
      </w:r>
      <w:r w:rsidR="002967FD" w:rsidRPr="0071782F">
        <w:rPr>
          <w:lang w:val="fr-CH"/>
        </w:rPr>
        <w:t>et</w:t>
      </w:r>
      <w:r w:rsidRPr="0071782F">
        <w:rPr>
          <w:lang w:val="fr-CH"/>
        </w:rPr>
        <w:t xml:space="preserve"> mobili</w:t>
      </w:r>
      <w:r w:rsidR="002967FD" w:rsidRPr="0071782F">
        <w:rPr>
          <w:lang w:val="fr-CH"/>
        </w:rPr>
        <w:t>s</w:t>
      </w:r>
      <w:r w:rsidRPr="0071782F">
        <w:rPr>
          <w:lang w:val="fr-CH"/>
        </w:rPr>
        <w:t xml:space="preserve">ation </w:t>
      </w:r>
      <w:r w:rsidR="002967FD" w:rsidRPr="0071782F">
        <w:rPr>
          <w:lang w:val="fr-CH"/>
        </w:rPr>
        <w:t>des installations et services du pays, conformément à l’objectif consistant à augmenter la participation du pays à la création mondiale de connaissances</w:t>
      </w:r>
      <w:r w:rsidRPr="0071782F">
        <w:rPr>
          <w:lang w:val="fr-CH"/>
        </w:rPr>
        <w:t>.</w:t>
      </w:r>
      <w:r w:rsidR="00A62149" w:rsidRPr="0071782F">
        <w:rPr>
          <w:lang w:val="fr-CH"/>
        </w:rPr>
        <w:t>"</w:t>
      </w:r>
    </w:p>
    <w:p w:rsidR="00333944" w:rsidRPr="0071782F" w:rsidRDefault="00333944" w:rsidP="00D15645">
      <w:pPr>
        <w:pStyle w:val="SingleTxtG"/>
        <w:ind w:left="1701"/>
        <w:rPr>
          <w:lang w:val="fr-CH"/>
        </w:rPr>
      </w:pPr>
      <w:r w:rsidRPr="0071782F">
        <w:rPr>
          <w:lang w:val="fr-CH"/>
        </w:rPr>
        <w:t>360.2</w:t>
      </w:r>
      <w:r w:rsidR="00D15645" w:rsidRPr="0071782F">
        <w:rPr>
          <w:lang w:val="fr-CH"/>
        </w:rPr>
        <w:t>.</w:t>
      </w:r>
      <w:r w:rsidRPr="0071782F">
        <w:rPr>
          <w:lang w:val="fr-CH"/>
        </w:rPr>
        <w:tab/>
      </w:r>
      <w:r w:rsidR="00A62149" w:rsidRPr="0071782F">
        <w:rPr>
          <w:lang w:val="fr-CH"/>
        </w:rPr>
        <w:t>"</w:t>
      </w:r>
      <w:r w:rsidRPr="0071782F">
        <w:rPr>
          <w:lang w:val="fr-CH"/>
        </w:rPr>
        <w:t xml:space="preserve">10. </w:t>
      </w:r>
      <w:r w:rsidR="002967FD" w:rsidRPr="0071782F">
        <w:rPr>
          <w:lang w:val="fr-CH"/>
        </w:rPr>
        <w:t>Ré</w:t>
      </w:r>
      <w:r w:rsidRPr="0071782F">
        <w:rPr>
          <w:lang w:val="fr-CH"/>
        </w:rPr>
        <w:t>form</w:t>
      </w:r>
      <w:r w:rsidR="002967FD" w:rsidRPr="0071782F">
        <w:rPr>
          <w:lang w:val="fr-CH"/>
        </w:rPr>
        <w:t>e</w:t>
      </w:r>
      <w:r w:rsidRPr="0071782F">
        <w:rPr>
          <w:lang w:val="fr-CH"/>
        </w:rPr>
        <w:t xml:space="preserve"> </w:t>
      </w:r>
      <w:r w:rsidR="002967FD" w:rsidRPr="0071782F">
        <w:rPr>
          <w:lang w:val="fr-CH"/>
        </w:rPr>
        <w:t>du système éducatif, en particulier de l’enseignement primaire et secondaire, de la formation technique et professionnelle, et de l’enseignement supérieur, et amélioration de leur efficacité afin de fournir les ressources humaines nécessaires à la réalisation des objectifs du Plan stratégique</w:t>
      </w:r>
      <w:r w:rsidRPr="0071782F">
        <w:rPr>
          <w:lang w:val="fr-CH"/>
        </w:rPr>
        <w:t>.</w:t>
      </w:r>
      <w:r w:rsidR="00A62149" w:rsidRPr="0071782F">
        <w:rPr>
          <w:lang w:val="fr-CH"/>
        </w:rPr>
        <w:t>"</w:t>
      </w:r>
    </w:p>
    <w:p w:rsidR="00333944" w:rsidRPr="0071782F" w:rsidRDefault="00333944" w:rsidP="00333944">
      <w:pPr>
        <w:pStyle w:val="H1G"/>
        <w:rPr>
          <w:lang w:val="fr-CH"/>
        </w:rPr>
      </w:pPr>
      <w:r w:rsidRPr="0071782F">
        <w:rPr>
          <w:lang w:val="fr-CH"/>
        </w:rPr>
        <w:tab/>
      </w:r>
      <w:r w:rsidRPr="0071782F">
        <w:rPr>
          <w:lang w:val="fr-CH"/>
        </w:rPr>
        <w:tab/>
      </w:r>
      <w:r w:rsidR="00C92079" w:rsidRPr="0071782F">
        <w:rPr>
          <w:lang w:val="fr-CH"/>
        </w:rPr>
        <w:t>Stratégi</w:t>
      </w:r>
      <w:r w:rsidR="002967FD" w:rsidRPr="0071782F">
        <w:rPr>
          <w:lang w:val="fr-CH"/>
        </w:rPr>
        <w:t xml:space="preserve">es et directives d’exécution </w:t>
      </w:r>
    </w:p>
    <w:p w:rsidR="00333944" w:rsidRPr="0071782F" w:rsidRDefault="00333944" w:rsidP="00333944">
      <w:pPr>
        <w:pStyle w:val="SingleTxtG"/>
        <w:rPr>
          <w:lang w:val="fr-CH"/>
        </w:rPr>
      </w:pPr>
      <w:r w:rsidRPr="0071782F">
        <w:rPr>
          <w:lang w:val="fr-CH"/>
        </w:rPr>
        <w:t>361.</w:t>
      </w:r>
      <w:r w:rsidRPr="0071782F">
        <w:rPr>
          <w:lang w:val="fr-CH"/>
        </w:rPr>
        <w:tab/>
      </w:r>
      <w:r w:rsidR="002967FD" w:rsidRPr="0071782F">
        <w:rPr>
          <w:lang w:val="fr-CH"/>
        </w:rPr>
        <w:t>Afin de réaliser les objectifs susvisés, les stratégies et directives ci-après ont été mises en application</w:t>
      </w:r>
      <w:r w:rsidR="008F7D33" w:rsidRPr="0071782F">
        <w:rPr>
          <w:lang w:val="fr-CH"/>
        </w:rPr>
        <w:t>:</w:t>
      </w:r>
    </w:p>
    <w:p w:rsidR="00333944" w:rsidRPr="0071782F" w:rsidRDefault="00333944" w:rsidP="001D1FA2">
      <w:pPr>
        <w:pStyle w:val="SingleTxtG"/>
        <w:ind w:left="1701"/>
        <w:rPr>
          <w:lang w:val="fr-CH"/>
        </w:rPr>
      </w:pPr>
      <w:r w:rsidRPr="0071782F">
        <w:rPr>
          <w:lang w:val="fr-CH"/>
        </w:rPr>
        <w:t>361.1</w:t>
      </w:r>
      <w:r w:rsidR="00D15645" w:rsidRPr="0071782F">
        <w:rPr>
          <w:lang w:val="fr-CH"/>
        </w:rPr>
        <w:t>.</w:t>
      </w:r>
      <w:r w:rsidRPr="0071782F">
        <w:rPr>
          <w:lang w:val="fr-CH"/>
        </w:rPr>
        <w:tab/>
      </w:r>
      <w:r w:rsidR="002967FD" w:rsidRPr="0071782F">
        <w:rPr>
          <w:lang w:val="fr-CH"/>
        </w:rPr>
        <w:t>Financer les dépenses d’éducation des zones défavorisées et affecter une part plus importante des ressources publiques aux régions peu avancées sur le plan éducatif</w:t>
      </w:r>
      <w:r w:rsidRPr="0071782F">
        <w:rPr>
          <w:lang w:val="fr-CH"/>
        </w:rPr>
        <w:t>.</w:t>
      </w:r>
    </w:p>
    <w:p w:rsidR="00333944" w:rsidRPr="0071782F" w:rsidRDefault="00333944" w:rsidP="001D1FA2">
      <w:pPr>
        <w:pStyle w:val="SingleTxtG"/>
        <w:ind w:left="1701"/>
        <w:rPr>
          <w:lang w:val="fr-CH"/>
        </w:rPr>
      </w:pPr>
      <w:r w:rsidRPr="0071782F">
        <w:rPr>
          <w:lang w:val="fr-CH"/>
        </w:rPr>
        <w:t>361.2</w:t>
      </w:r>
      <w:r w:rsidR="00D15645" w:rsidRPr="0071782F">
        <w:rPr>
          <w:lang w:val="fr-CH"/>
        </w:rPr>
        <w:t>.</w:t>
      </w:r>
      <w:r w:rsidRPr="0071782F">
        <w:rPr>
          <w:lang w:val="fr-CH"/>
        </w:rPr>
        <w:tab/>
      </w:r>
      <w:r w:rsidR="002967FD" w:rsidRPr="0071782F">
        <w:rPr>
          <w:lang w:val="fr-CH"/>
        </w:rPr>
        <w:t>Accorder davantage d’attention à l’éducation des filles</w:t>
      </w:r>
      <w:r w:rsidRPr="0071782F">
        <w:rPr>
          <w:lang w:val="fr-CH"/>
        </w:rPr>
        <w:t>.</w:t>
      </w:r>
    </w:p>
    <w:p w:rsidR="00333944" w:rsidRPr="0071782F" w:rsidRDefault="00333944" w:rsidP="001D1FA2">
      <w:pPr>
        <w:pStyle w:val="SingleTxtG"/>
        <w:ind w:left="1701"/>
        <w:rPr>
          <w:lang w:val="fr-CH"/>
        </w:rPr>
      </w:pPr>
      <w:r w:rsidRPr="0071782F">
        <w:rPr>
          <w:lang w:val="fr-CH"/>
        </w:rPr>
        <w:t>361.3</w:t>
      </w:r>
      <w:r w:rsidR="001D1FA2" w:rsidRPr="0071782F">
        <w:rPr>
          <w:lang w:val="fr-CH"/>
        </w:rPr>
        <w:t>.</w:t>
      </w:r>
      <w:r w:rsidRPr="0071782F">
        <w:rPr>
          <w:lang w:val="fr-CH"/>
        </w:rPr>
        <w:tab/>
      </w:r>
      <w:r w:rsidR="002967FD" w:rsidRPr="0071782F">
        <w:rPr>
          <w:lang w:val="fr-CH"/>
        </w:rPr>
        <w:t>Tenir compte des différences climatiques et des sexospécificités dans la planification de l’éducation, et accorder une plus grande importance aux contenus pratiques de l’enseignement afin d’augmenter l’influence des besoins climatiques sur l’économie et la vie quotidienne des régions concernées</w:t>
      </w:r>
      <w:r w:rsidRPr="0071782F">
        <w:rPr>
          <w:lang w:val="fr-CH"/>
        </w:rPr>
        <w:t>.</w:t>
      </w:r>
    </w:p>
    <w:p w:rsidR="00333944" w:rsidRPr="0071782F" w:rsidRDefault="00333944" w:rsidP="001D1FA2">
      <w:pPr>
        <w:pStyle w:val="SingleTxtG"/>
        <w:ind w:left="1701"/>
        <w:rPr>
          <w:lang w:val="fr-CH"/>
        </w:rPr>
      </w:pPr>
      <w:r w:rsidRPr="0071782F">
        <w:rPr>
          <w:lang w:val="fr-CH"/>
        </w:rPr>
        <w:t>361.4</w:t>
      </w:r>
      <w:r w:rsidR="00D15645" w:rsidRPr="0071782F">
        <w:rPr>
          <w:lang w:val="fr-CH"/>
        </w:rPr>
        <w:t>.</w:t>
      </w:r>
      <w:r w:rsidR="002967FD" w:rsidRPr="0071782F">
        <w:rPr>
          <w:lang w:val="fr-CH"/>
        </w:rPr>
        <w:tab/>
        <w:t>Créer les conditions appropriées et fournir les moyens nécessaires pour inciter les enseignants expérimentés à exercer leur métier dans les régions défavorisées.</w:t>
      </w:r>
    </w:p>
    <w:p w:rsidR="00333944" w:rsidRPr="0071782F" w:rsidRDefault="00333944" w:rsidP="001D1FA2">
      <w:pPr>
        <w:pStyle w:val="SingleTxtG"/>
        <w:ind w:left="1701"/>
        <w:rPr>
          <w:lang w:val="fr-CH"/>
        </w:rPr>
      </w:pPr>
      <w:r w:rsidRPr="0071782F">
        <w:rPr>
          <w:lang w:val="fr-CH"/>
        </w:rPr>
        <w:t>361.5</w:t>
      </w:r>
      <w:r w:rsidR="00D15645" w:rsidRPr="0071782F">
        <w:rPr>
          <w:lang w:val="fr-CH"/>
        </w:rPr>
        <w:t>.</w:t>
      </w:r>
      <w:r w:rsidRPr="0071782F">
        <w:rPr>
          <w:lang w:val="fr-CH"/>
        </w:rPr>
        <w:tab/>
        <w:t>Accord</w:t>
      </w:r>
      <w:r w:rsidR="002967FD" w:rsidRPr="0071782F">
        <w:rPr>
          <w:lang w:val="fr-CH"/>
        </w:rPr>
        <w:t>er une plus grande importance aux projets de recherche appliquée, en particulier à ceux qui se rapportent aux politiques éducatives tant formelles qu’informelles, et utiliser leurs résultats aux fins de la planification</w:t>
      </w:r>
      <w:r w:rsidRPr="0071782F">
        <w:rPr>
          <w:lang w:val="fr-CH"/>
        </w:rPr>
        <w:t xml:space="preserve">, </w:t>
      </w:r>
      <w:r w:rsidR="002967FD" w:rsidRPr="0071782F">
        <w:rPr>
          <w:lang w:val="fr-CH"/>
        </w:rPr>
        <w:t>de la formulation de politiques et de la prise de décisions, ainsi que de l’extension des act</w:t>
      </w:r>
      <w:r w:rsidR="00C92079" w:rsidRPr="0071782F">
        <w:rPr>
          <w:lang w:val="fr-CH"/>
        </w:rPr>
        <w:t>iv</w:t>
      </w:r>
      <w:r w:rsidR="002967FD" w:rsidRPr="0071782F">
        <w:rPr>
          <w:lang w:val="fr-CH"/>
        </w:rPr>
        <w:t xml:space="preserve">ités de recherche aux </w:t>
      </w:r>
      <w:r w:rsidRPr="0071782F">
        <w:rPr>
          <w:lang w:val="fr-CH"/>
        </w:rPr>
        <w:t>provinces.</w:t>
      </w:r>
    </w:p>
    <w:p w:rsidR="00333944" w:rsidRPr="0071782F" w:rsidRDefault="00333944" w:rsidP="001D1FA2">
      <w:pPr>
        <w:pStyle w:val="SingleTxtG"/>
        <w:ind w:left="1701"/>
        <w:rPr>
          <w:lang w:val="fr-CH"/>
        </w:rPr>
      </w:pPr>
      <w:r w:rsidRPr="0071782F">
        <w:rPr>
          <w:lang w:val="fr-CH"/>
        </w:rPr>
        <w:t>361.6</w:t>
      </w:r>
      <w:r w:rsidR="00D15645" w:rsidRPr="0071782F">
        <w:rPr>
          <w:lang w:val="fr-CH"/>
        </w:rPr>
        <w:t>.</w:t>
      </w:r>
      <w:r w:rsidRPr="0071782F">
        <w:rPr>
          <w:lang w:val="fr-CH"/>
        </w:rPr>
        <w:tab/>
        <w:t>R</w:t>
      </w:r>
      <w:r w:rsidR="002967FD" w:rsidRPr="0071782F">
        <w:rPr>
          <w:lang w:val="fr-CH"/>
        </w:rPr>
        <w:t>éviser le contenu des programmes d’études et éliminer les matières inutiles afin de diminuer le nombre de matières et d’améliorer la qualité de l’enseignement des matières de base</w:t>
      </w:r>
      <w:r w:rsidRPr="0071782F">
        <w:rPr>
          <w:lang w:val="fr-CH"/>
        </w:rPr>
        <w:t>.</w:t>
      </w:r>
    </w:p>
    <w:p w:rsidR="00333944" w:rsidRPr="0071782F" w:rsidRDefault="00333944" w:rsidP="001D1FA2">
      <w:pPr>
        <w:pStyle w:val="SingleTxtG"/>
        <w:ind w:left="1701"/>
        <w:rPr>
          <w:lang w:val="fr-CH"/>
        </w:rPr>
      </w:pPr>
      <w:r w:rsidRPr="0071782F">
        <w:rPr>
          <w:lang w:val="fr-CH"/>
        </w:rPr>
        <w:t>361.7</w:t>
      </w:r>
      <w:r w:rsidR="00D15645" w:rsidRPr="0071782F">
        <w:rPr>
          <w:lang w:val="fr-CH"/>
        </w:rPr>
        <w:t>.</w:t>
      </w:r>
      <w:r w:rsidR="002967FD" w:rsidRPr="0071782F">
        <w:rPr>
          <w:lang w:val="fr-CH"/>
        </w:rPr>
        <w:tab/>
        <w:t>Réduire le redoublement</w:t>
      </w:r>
      <w:r w:rsidRPr="0071782F">
        <w:rPr>
          <w:lang w:val="fr-CH"/>
        </w:rPr>
        <w:t xml:space="preserve"> </w:t>
      </w:r>
      <w:r w:rsidR="002967FD" w:rsidRPr="0071782F">
        <w:rPr>
          <w:lang w:val="fr-CH"/>
        </w:rPr>
        <w:t>des cours principaux en appliquant des méthodes d’exécution et d’éducation appropriées</w:t>
      </w:r>
      <w:r w:rsidRPr="0071782F">
        <w:rPr>
          <w:lang w:val="fr-CH"/>
        </w:rPr>
        <w:t>.</w:t>
      </w:r>
    </w:p>
    <w:p w:rsidR="00333944" w:rsidRPr="0071782F" w:rsidRDefault="00333944" w:rsidP="001D1FA2">
      <w:pPr>
        <w:pStyle w:val="SingleTxtG"/>
        <w:ind w:left="1701"/>
        <w:rPr>
          <w:lang w:val="fr-CH"/>
        </w:rPr>
      </w:pPr>
      <w:r w:rsidRPr="0071782F">
        <w:rPr>
          <w:lang w:val="fr-CH"/>
        </w:rPr>
        <w:t>361.8</w:t>
      </w:r>
      <w:r w:rsidR="00D15645" w:rsidRPr="0071782F">
        <w:rPr>
          <w:lang w:val="fr-CH"/>
        </w:rPr>
        <w:t>.</w:t>
      </w:r>
      <w:r w:rsidRPr="0071782F">
        <w:rPr>
          <w:lang w:val="fr-CH"/>
        </w:rPr>
        <w:tab/>
      </w:r>
      <w:r w:rsidR="002967FD" w:rsidRPr="0071782F">
        <w:rPr>
          <w:lang w:val="fr-CH"/>
        </w:rPr>
        <w:t>Développer les aptitudes scientifiques des élèves doués des régions défavorisées afin de les préparer à entrer à l’université ou dans d’autres établissements d’enseignement supérieur.</w:t>
      </w:r>
      <w:r w:rsidR="00D36718">
        <w:rPr>
          <w:lang w:val="fr-CH"/>
        </w:rPr>
        <w:t xml:space="preserve"> </w:t>
      </w:r>
    </w:p>
    <w:p w:rsidR="00333944" w:rsidRPr="0071782F" w:rsidRDefault="00333944" w:rsidP="001D1FA2">
      <w:pPr>
        <w:pStyle w:val="SingleTxtG"/>
        <w:ind w:left="1701"/>
        <w:rPr>
          <w:lang w:val="fr-CH"/>
        </w:rPr>
      </w:pPr>
      <w:r w:rsidRPr="0071782F">
        <w:rPr>
          <w:lang w:val="fr-CH"/>
        </w:rPr>
        <w:t>361.9</w:t>
      </w:r>
      <w:r w:rsidR="00D15645" w:rsidRPr="0071782F">
        <w:rPr>
          <w:lang w:val="fr-CH"/>
        </w:rPr>
        <w:t>.</w:t>
      </w:r>
      <w:r w:rsidRPr="0071782F">
        <w:rPr>
          <w:lang w:val="fr-CH"/>
        </w:rPr>
        <w:tab/>
      </w:r>
      <w:r w:rsidR="002967FD" w:rsidRPr="0071782F">
        <w:rPr>
          <w:lang w:val="fr-CH"/>
        </w:rPr>
        <w:t>Faire payer une partie des frais de scolarité aux parents d’élèves qui en ont les moyens aux différents niveaux d’éducation</w:t>
      </w:r>
      <w:r w:rsidRPr="0071782F">
        <w:rPr>
          <w:lang w:val="fr-CH"/>
        </w:rPr>
        <w:t>.</w:t>
      </w:r>
    </w:p>
    <w:p w:rsidR="00333944" w:rsidRPr="0071782F" w:rsidRDefault="00333944" w:rsidP="001D1FA2">
      <w:pPr>
        <w:pStyle w:val="SingleTxtG"/>
        <w:ind w:left="1701"/>
        <w:rPr>
          <w:lang w:val="fr-CH"/>
        </w:rPr>
      </w:pPr>
      <w:r w:rsidRPr="0071782F">
        <w:rPr>
          <w:lang w:val="fr-CH"/>
        </w:rPr>
        <w:t>361.10</w:t>
      </w:r>
      <w:r w:rsidR="001D1FA2" w:rsidRPr="0071782F">
        <w:rPr>
          <w:lang w:val="fr-CH"/>
        </w:rPr>
        <w:t xml:space="preserve">. </w:t>
      </w:r>
      <w:r w:rsidR="002967FD" w:rsidRPr="0071782F">
        <w:rPr>
          <w:lang w:val="fr-CH"/>
        </w:rPr>
        <w:t xml:space="preserve">Créer les conditions permettant aux élèves de poursuivre leurs études dans des collèges publics ou privés à tous les niveaux, en mettant en </w:t>
      </w:r>
      <w:r w:rsidR="00D5366B" w:rsidRPr="0071782F">
        <w:rPr>
          <w:lang w:val="fr-CH"/>
        </w:rPr>
        <w:t>œuvre</w:t>
      </w:r>
      <w:r w:rsidR="002967FD" w:rsidRPr="0071782F">
        <w:rPr>
          <w:lang w:val="fr-CH"/>
        </w:rPr>
        <w:t xml:space="preserve"> des méthodes d’enseignement personnalisées ou à mi-temps et d’é</w:t>
      </w:r>
      <w:r w:rsidRPr="0071782F">
        <w:rPr>
          <w:lang w:val="fr-CH"/>
        </w:rPr>
        <w:t xml:space="preserve">valuation </w:t>
      </w:r>
      <w:r w:rsidR="002967FD" w:rsidRPr="0071782F">
        <w:rPr>
          <w:lang w:val="fr-CH"/>
        </w:rPr>
        <w:t>des connaissances acquises en dehors du cadre scolaire afin de faciliter le passage des élèves à des niveaux d’éducation supérieurs.</w:t>
      </w:r>
    </w:p>
    <w:p w:rsidR="00333944" w:rsidRPr="0071782F" w:rsidRDefault="00333944" w:rsidP="001015B1">
      <w:pPr>
        <w:pStyle w:val="SingleTxtG"/>
        <w:keepNext/>
        <w:keepLines/>
        <w:ind w:left="1701"/>
        <w:rPr>
          <w:lang w:val="fr-CH"/>
        </w:rPr>
      </w:pPr>
      <w:r w:rsidRPr="0071782F">
        <w:rPr>
          <w:lang w:val="fr-CH"/>
        </w:rPr>
        <w:t>361.11</w:t>
      </w:r>
      <w:r w:rsidR="001D1FA2" w:rsidRPr="0071782F">
        <w:rPr>
          <w:lang w:val="fr-CH"/>
        </w:rPr>
        <w:t xml:space="preserve">. </w:t>
      </w:r>
      <w:r w:rsidRPr="0071782F">
        <w:rPr>
          <w:lang w:val="fr-CH"/>
        </w:rPr>
        <w:t>Utili</w:t>
      </w:r>
      <w:r w:rsidR="002967FD" w:rsidRPr="0071782F">
        <w:rPr>
          <w:lang w:val="fr-CH"/>
        </w:rPr>
        <w:t xml:space="preserve">ser la </w:t>
      </w:r>
      <w:r w:rsidRPr="0071782F">
        <w:rPr>
          <w:lang w:val="fr-CH"/>
        </w:rPr>
        <w:t>t</w:t>
      </w:r>
      <w:r w:rsidR="002967FD" w:rsidRPr="0071782F">
        <w:rPr>
          <w:lang w:val="fr-CH"/>
        </w:rPr>
        <w:t>é</w:t>
      </w:r>
      <w:r w:rsidRPr="0071782F">
        <w:rPr>
          <w:lang w:val="fr-CH"/>
        </w:rPr>
        <w:t>l</w:t>
      </w:r>
      <w:r w:rsidR="002967FD" w:rsidRPr="0071782F">
        <w:rPr>
          <w:lang w:val="fr-CH"/>
        </w:rPr>
        <w:t>é</w:t>
      </w:r>
      <w:r w:rsidRPr="0071782F">
        <w:rPr>
          <w:lang w:val="fr-CH"/>
        </w:rPr>
        <w:t xml:space="preserve">vision </w:t>
      </w:r>
      <w:r w:rsidR="002967FD" w:rsidRPr="0071782F">
        <w:rPr>
          <w:lang w:val="fr-CH"/>
        </w:rPr>
        <w:t>pour améliorer l’efficacité du système éducatif et promouvoir son utilisation dans différents domaines, tels que l’enseignement à distance et l’enseignement informel, la formation des enseignants, les cours de formation permanente et la</w:t>
      </w:r>
      <w:r w:rsidRPr="0071782F">
        <w:rPr>
          <w:lang w:val="fr-CH"/>
        </w:rPr>
        <w:t xml:space="preserve"> communication </w:t>
      </w:r>
      <w:r w:rsidR="002967FD" w:rsidRPr="0071782F">
        <w:rPr>
          <w:lang w:val="fr-CH"/>
        </w:rPr>
        <w:t xml:space="preserve">culturelle avec les élèves et </w:t>
      </w:r>
      <w:r w:rsidR="001F3F05" w:rsidRPr="0071782F">
        <w:rPr>
          <w:lang w:val="fr-CH"/>
        </w:rPr>
        <w:t>leur famille</w:t>
      </w:r>
      <w:r w:rsidRPr="0071782F">
        <w:rPr>
          <w:lang w:val="fr-CH"/>
        </w:rPr>
        <w:t>.</w:t>
      </w:r>
    </w:p>
    <w:p w:rsidR="00333944" w:rsidRPr="0071782F" w:rsidRDefault="00333944" w:rsidP="001D1FA2">
      <w:pPr>
        <w:pStyle w:val="SingleTxtG"/>
        <w:ind w:left="1701"/>
        <w:rPr>
          <w:lang w:val="fr-CH"/>
        </w:rPr>
      </w:pPr>
      <w:r w:rsidRPr="0071782F">
        <w:rPr>
          <w:lang w:val="fr-CH"/>
        </w:rPr>
        <w:t>361.12</w:t>
      </w:r>
      <w:r w:rsidR="001D1FA2" w:rsidRPr="0071782F">
        <w:rPr>
          <w:lang w:val="fr-CH"/>
        </w:rPr>
        <w:t xml:space="preserve">. </w:t>
      </w:r>
      <w:r w:rsidR="002967FD" w:rsidRPr="0071782F">
        <w:rPr>
          <w:lang w:val="fr-CH"/>
        </w:rPr>
        <w:t>Élaborer des cours complémentaires visant à réduire le redoublement des matières principales et les taux de décrochage scolaire</w:t>
      </w:r>
      <w:r w:rsidRPr="0071782F">
        <w:rPr>
          <w:lang w:val="fr-CH"/>
        </w:rPr>
        <w:t>.</w:t>
      </w:r>
    </w:p>
    <w:p w:rsidR="00333944" w:rsidRPr="0071782F" w:rsidRDefault="00333944" w:rsidP="001D1FA2">
      <w:pPr>
        <w:pStyle w:val="SingleTxtG"/>
        <w:ind w:left="1701"/>
        <w:rPr>
          <w:lang w:val="fr-CH"/>
        </w:rPr>
      </w:pPr>
      <w:r w:rsidRPr="0071782F">
        <w:rPr>
          <w:lang w:val="fr-CH"/>
        </w:rPr>
        <w:t>361.13</w:t>
      </w:r>
      <w:r w:rsidR="001D1FA2" w:rsidRPr="0071782F">
        <w:rPr>
          <w:lang w:val="fr-CH"/>
        </w:rPr>
        <w:t xml:space="preserve">. </w:t>
      </w:r>
      <w:r w:rsidRPr="0071782F">
        <w:rPr>
          <w:lang w:val="fr-CH"/>
        </w:rPr>
        <w:t>R</w:t>
      </w:r>
      <w:r w:rsidR="008736C2" w:rsidRPr="0071782F">
        <w:rPr>
          <w:lang w:val="fr-CH"/>
        </w:rPr>
        <w:t>éformer les méthodes d’é</w:t>
      </w:r>
      <w:r w:rsidRPr="0071782F">
        <w:rPr>
          <w:lang w:val="fr-CH"/>
        </w:rPr>
        <w:t xml:space="preserve">valuation </w:t>
      </w:r>
      <w:r w:rsidR="008736C2" w:rsidRPr="0071782F">
        <w:rPr>
          <w:lang w:val="fr-CH"/>
        </w:rPr>
        <w:t>des élèves en se fondant sur les théories scientifiques et é</w:t>
      </w:r>
      <w:r w:rsidRPr="0071782F">
        <w:rPr>
          <w:lang w:val="fr-CH"/>
        </w:rPr>
        <w:t>ducati</w:t>
      </w:r>
      <w:r w:rsidR="008736C2" w:rsidRPr="0071782F">
        <w:rPr>
          <w:lang w:val="fr-CH"/>
        </w:rPr>
        <w:t>ves les plus récentes, en privilégiant l’évaluation continue et en tenant compte des activités de recherche, de l’</w:t>
      </w:r>
      <w:r w:rsidRPr="0071782F">
        <w:rPr>
          <w:lang w:val="fr-CH"/>
        </w:rPr>
        <w:t>innovation</w:t>
      </w:r>
      <w:r w:rsidR="008736C2" w:rsidRPr="0071782F">
        <w:rPr>
          <w:lang w:val="fr-CH"/>
        </w:rPr>
        <w:t xml:space="preserve"> et de la </w:t>
      </w:r>
      <w:r w:rsidRPr="0071782F">
        <w:rPr>
          <w:lang w:val="fr-CH"/>
        </w:rPr>
        <w:t>cr</w:t>
      </w:r>
      <w:r w:rsidR="008736C2" w:rsidRPr="0071782F">
        <w:rPr>
          <w:lang w:val="fr-CH"/>
        </w:rPr>
        <w:t>éativité des élèves</w:t>
      </w:r>
      <w:r w:rsidRPr="0071782F">
        <w:rPr>
          <w:lang w:val="fr-CH"/>
        </w:rPr>
        <w:t>.</w:t>
      </w:r>
    </w:p>
    <w:p w:rsidR="00333944" w:rsidRPr="0071782F" w:rsidRDefault="00333944" w:rsidP="001D1FA2">
      <w:pPr>
        <w:pStyle w:val="SingleTxtG"/>
        <w:ind w:left="1701"/>
        <w:rPr>
          <w:lang w:val="fr-CH"/>
        </w:rPr>
      </w:pPr>
      <w:r w:rsidRPr="0071782F">
        <w:rPr>
          <w:lang w:val="fr-CH"/>
        </w:rPr>
        <w:t>361.14</w:t>
      </w:r>
      <w:r w:rsidR="001D1FA2" w:rsidRPr="0071782F">
        <w:rPr>
          <w:lang w:val="fr-CH"/>
        </w:rPr>
        <w:t xml:space="preserve">. </w:t>
      </w:r>
      <w:r w:rsidR="008736C2" w:rsidRPr="0071782F">
        <w:rPr>
          <w:lang w:val="fr-CH"/>
        </w:rPr>
        <w:t>Veiller tout particulièrement à confier aux enseignants l’enseignement de matières correspondant à leur formation, réduire le nombre d’élèves par classe, améliorer les matériels et installations éducatifs et en créer de nouveaux, stabiliser les instances de direction et demander à des enseignants expérimentés de s’acquitter de tâches de consultation</w:t>
      </w:r>
      <w:r w:rsidRPr="0071782F">
        <w:rPr>
          <w:lang w:val="fr-CH"/>
        </w:rPr>
        <w:t>.</w:t>
      </w:r>
    </w:p>
    <w:p w:rsidR="00333944" w:rsidRPr="0071782F" w:rsidRDefault="00333944" w:rsidP="001D1FA2">
      <w:pPr>
        <w:pStyle w:val="SingleTxtG"/>
        <w:ind w:left="1701"/>
        <w:rPr>
          <w:lang w:val="fr-CH"/>
        </w:rPr>
      </w:pPr>
      <w:r w:rsidRPr="0071782F">
        <w:rPr>
          <w:lang w:val="fr-CH"/>
        </w:rPr>
        <w:t>361.15</w:t>
      </w:r>
      <w:r w:rsidR="001D1FA2" w:rsidRPr="0071782F">
        <w:rPr>
          <w:lang w:val="fr-CH"/>
        </w:rPr>
        <w:t xml:space="preserve">. </w:t>
      </w:r>
      <w:r w:rsidR="008736C2" w:rsidRPr="0071782F">
        <w:rPr>
          <w:lang w:val="fr-CH"/>
        </w:rPr>
        <w:t>Développer et renforcer les services d’orientation, en particulier les centres de consultation spécialisés, pour recenser les besoins des élèves aux différents niveaux d’éducation.</w:t>
      </w:r>
    </w:p>
    <w:p w:rsidR="00333944" w:rsidRPr="0071782F" w:rsidRDefault="00333944" w:rsidP="001D1FA2">
      <w:pPr>
        <w:pStyle w:val="SingleTxtG"/>
        <w:ind w:left="1701"/>
        <w:rPr>
          <w:lang w:val="fr-CH"/>
        </w:rPr>
      </w:pPr>
      <w:r w:rsidRPr="0071782F">
        <w:rPr>
          <w:lang w:val="fr-CH"/>
        </w:rPr>
        <w:t>361.16</w:t>
      </w:r>
      <w:r w:rsidR="001D1FA2" w:rsidRPr="0071782F">
        <w:rPr>
          <w:lang w:val="fr-CH"/>
        </w:rPr>
        <w:t xml:space="preserve">. </w:t>
      </w:r>
      <w:r w:rsidR="008736C2" w:rsidRPr="0071782F">
        <w:rPr>
          <w:lang w:val="fr-CH"/>
        </w:rPr>
        <w:t>Élaborer des programmes spéciaux pour garantir la scolarisation</w:t>
      </w:r>
      <w:r w:rsidR="00D36718">
        <w:rPr>
          <w:lang w:val="fr-CH"/>
        </w:rPr>
        <w:t xml:space="preserve"> </w:t>
      </w:r>
      <w:r w:rsidR="008736C2" w:rsidRPr="0071782F">
        <w:rPr>
          <w:lang w:val="fr-CH"/>
        </w:rPr>
        <w:t>des élèves doués qui ont besoin d’une assistance financière dans les établissements d’enseignement publics et privés.</w:t>
      </w:r>
    </w:p>
    <w:p w:rsidR="00333944" w:rsidRPr="0071782F" w:rsidRDefault="00333944" w:rsidP="00333944">
      <w:pPr>
        <w:pStyle w:val="H1G"/>
        <w:rPr>
          <w:lang w:val="fr-CH"/>
        </w:rPr>
      </w:pPr>
      <w:r w:rsidRPr="0071782F">
        <w:rPr>
          <w:lang w:val="fr-CH"/>
        </w:rPr>
        <w:tab/>
      </w:r>
      <w:r w:rsidRPr="0071782F">
        <w:rPr>
          <w:lang w:val="fr-CH"/>
        </w:rPr>
        <w:tab/>
      </w:r>
      <w:r w:rsidR="008736C2" w:rsidRPr="0071782F">
        <w:rPr>
          <w:lang w:val="fr-CH"/>
        </w:rPr>
        <w:t>Mesures pratiques</w:t>
      </w:r>
    </w:p>
    <w:p w:rsidR="00333944" w:rsidRPr="0071782F" w:rsidRDefault="00333944" w:rsidP="00931593">
      <w:pPr>
        <w:pStyle w:val="SingleTxtG"/>
        <w:spacing w:after="0"/>
        <w:rPr>
          <w:lang w:val="fr-CH"/>
        </w:rPr>
      </w:pPr>
      <w:r w:rsidRPr="0071782F">
        <w:rPr>
          <w:lang w:val="fr-CH"/>
        </w:rPr>
        <w:t>362.</w:t>
      </w:r>
      <w:r w:rsidRPr="0071782F">
        <w:rPr>
          <w:lang w:val="fr-CH"/>
        </w:rPr>
        <w:tab/>
        <w:t xml:space="preserve">Expansion </w:t>
      </w:r>
      <w:r w:rsidR="008736C2" w:rsidRPr="0071782F">
        <w:rPr>
          <w:lang w:val="fr-CH"/>
        </w:rPr>
        <w:t>et développement des écoles publiques ouvertes 24</w:t>
      </w:r>
      <w:r w:rsidR="00BF435F" w:rsidRPr="0071782F">
        <w:rPr>
          <w:lang w:val="fr-CH"/>
        </w:rPr>
        <w:t> heures</w:t>
      </w:r>
      <w:r w:rsidR="008736C2" w:rsidRPr="0071782F">
        <w:rPr>
          <w:lang w:val="fr-CH"/>
        </w:rPr>
        <w:t xml:space="preserve"> sur 24 </w:t>
      </w:r>
      <w:r w:rsidRPr="0071782F">
        <w:rPr>
          <w:lang w:val="fr-CH"/>
        </w:rPr>
        <w:t>(</w:t>
      </w:r>
      <w:r w:rsidR="008736C2" w:rsidRPr="0071782F">
        <w:rPr>
          <w:lang w:val="fr-CH"/>
        </w:rPr>
        <w:t>ordinaires et modèles</w:t>
      </w:r>
      <w:r w:rsidRPr="0071782F">
        <w:rPr>
          <w:lang w:val="fr-CH"/>
        </w:rPr>
        <w:t xml:space="preserve">), </w:t>
      </w:r>
      <w:r w:rsidR="008736C2" w:rsidRPr="0071782F">
        <w:rPr>
          <w:lang w:val="fr-CH"/>
        </w:rPr>
        <w:t>augmentation du nombre des écoles rurales</w:t>
      </w:r>
      <w:r w:rsidRPr="0071782F">
        <w:rPr>
          <w:lang w:val="fr-CH"/>
        </w:rPr>
        <w:t xml:space="preserve"> (</w:t>
      </w:r>
      <w:r w:rsidR="008736C2" w:rsidRPr="0071782F">
        <w:rPr>
          <w:lang w:val="fr-CH"/>
        </w:rPr>
        <w:t xml:space="preserve">avec transport des élèves en minibus), création d’écoles pour la population rurale et de résidences </w:t>
      </w:r>
      <w:r w:rsidRPr="0071782F">
        <w:rPr>
          <w:lang w:val="fr-CH"/>
        </w:rPr>
        <w:t>(</w:t>
      </w:r>
      <w:r w:rsidR="008736C2" w:rsidRPr="0071782F">
        <w:rPr>
          <w:lang w:val="fr-CH"/>
        </w:rPr>
        <w:t xml:space="preserve">gouvernementales, </w:t>
      </w:r>
      <w:r w:rsidRPr="0071782F">
        <w:rPr>
          <w:lang w:val="fr-CH"/>
        </w:rPr>
        <w:t>publi</w:t>
      </w:r>
      <w:r w:rsidR="008736C2" w:rsidRPr="0071782F">
        <w:rPr>
          <w:lang w:val="fr-CH"/>
        </w:rPr>
        <w:t xml:space="preserve">ques et </w:t>
      </w:r>
      <w:r w:rsidRPr="0071782F">
        <w:rPr>
          <w:lang w:val="fr-CH"/>
        </w:rPr>
        <w:t>participative</w:t>
      </w:r>
      <w:r w:rsidR="008736C2" w:rsidRPr="0071782F">
        <w:rPr>
          <w:lang w:val="fr-CH"/>
        </w:rPr>
        <w:t>s</w:t>
      </w:r>
      <w:r w:rsidRPr="0071782F">
        <w:rPr>
          <w:lang w:val="fr-CH"/>
        </w:rPr>
        <w:t xml:space="preserve">) </w:t>
      </w:r>
      <w:r w:rsidR="008736C2" w:rsidRPr="0071782F">
        <w:rPr>
          <w:lang w:val="fr-CH"/>
        </w:rPr>
        <w:t>pour les élèves, et création de classes cycliques et d’écoles complémentaires</w:t>
      </w:r>
      <w:r w:rsidRPr="0071782F">
        <w:rPr>
          <w:lang w:val="fr-CH"/>
        </w:rPr>
        <w:t>.</w:t>
      </w:r>
    </w:p>
    <w:p w:rsidR="00333944" w:rsidRPr="0071782F" w:rsidRDefault="00333944" w:rsidP="001C2A42">
      <w:pPr>
        <w:pStyle w:val="H23G"/>
        <w:rPr>
          <w:lang w:val="fr-CH"/>
        </w:rPr>
      </w:pPr>
      <w:r w:rsidRPr="0071782F">
        <w:rPr>
          <w:lang w:val="fr-CH"/>
        </w:rPr>
        <w:tab/>
      </w:r>
      <w:r w:rsidRPr="0071782F">
        <w:rPr>
          <w:lang w:val="fr-CH"/>
        </w:rPr>
        <w:tab/>
      </w:r>
      <w:r w:rsidR="008736C2" w:rsidRPr="0071782F">
        <w:rPr>
          <w:lang w:val="fr-CH"/>
        </w:rPr>
        <w:t>Population alphabétisée âgée de plus de six</w:t>
      </w:r>
      <w:r w:rsidR="00D82C96" w:rsidRPr="0071782F">
        <w:rPr>
          <w:lang w:val="fr-CH"/>
        </w:rPr>
        <w:t> ans</w:t>
      </w:r>
      <w:r w:rsidR="008736C2" w:rsidRPr="0071782F">
        <w:rPr>
          <w:lang w:val="fr-CH"/>
        </w:rPr>
        <w:t xml:space="preserve"> e</w:t>
      </w:r>
      <w:r w:rsidRPr="0071782F">
        <w:rPr>
          <w:lang w:val="fr-CH"/>
        </w:rPr>
        <w:t>n 1976</w:t>
      </w:r>
    </w:p>
    <w:tbl>
      <w:tblPr>
        <w:tblW w:w="9639"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825"/>
        <w:gridCol w:w="954"/>
        <w:gridCol w:w="500"/>
        <w:gridCol w:w="994"/>
        <w:gridCol w:w="532"/>
        <w:gridCol w:w="924"/>
        <w:gridCol w:w="606"/>
        <w:gridCol w:w="936"/>
        <w:gridCol w:w="434"/>
        <w:gridCol w:w="952"/>
        <w:gridCol w:w="531"/>
        <w:gridCol w:w="905"/>
        <w:gridCol w:w="546"/>
      </w:tblGrid>
      <w:tr w:rsidR="00333944" w:rsidRPr="0071782F">
        <w:trPr>
          <w:tblHeader/>
        </w:trPr>
        <w:tc>
          <w:tcPr>
            <w:tcW w:w="825" w:type="dxa"/>
            <w:vMerge w:val="restart"/>
            <w:tcBorders>
              <w:top w:val="single" w:sz="4" w:space="0" w:color="auto"/>
              <w:bottom w:val="single" w:sz="12" w:space="0" w:color="auto"/>
            </w:tcBorders>
            <w:shd w:val="clear" w:color="000000" w:fill="auto"/>
            <w:vAlign w:val="bottom"/>
          </w:tcPr>
          <w:p w:rsidR="00333944" w:rsidRPr="0071782F" w:rsidRDefault="00333944" w:rsidP="001C2A42">
            <w:pPr>
              <w:keepNext/>
              <w:suppressAutoHyphens w:val="0"/>
              <w:spacing w:before="80" w:after="80" w:line="200" w:lineRule="exact"/>
              <w:rPr>
                <w:i/>
                <w:sz w:val="16"/>
                <w:lang w:val="fr-CH"/>
              </w:rPr>
            </w:pPr>
          </w:p>
        </w:tc>
        <w:tc>
          <w:tcPr>
            <w:tcW w:w="2980" w:type="dxa"/>
            <w:gridSpan w:val="4"/>
            <w:tcBorders>
              <w:top w:val="single" w:sz="4" w:space="0" w:color="auto"/>
              <w:bottom w:val="single" w:sz="4" w:space="0" w:color="auto"/>
              <w:right w:val="single" w:sz="24" w:space="0" w:color="FFFFFF"/>
            </w:tcBorders>
            <w:shd w:val="clear" w:color="000000" w:fill="auto"/>
            <w:vAlign w:val="bottom"/>
          </w:tcPr>
          <w:p w:rsidR="00333944" w:rsidRPr="0071782F" w:rsidRDefault="008736C2" w:rsidP="001C2A42">
            <w:pPr>
              <w:keepNext/>
              <w:suppressAutoHyphens w:val="0"/>
              <w:spacing w:before="80" w:after="80" w:line="200" w:lineRule="exact"/>
              <w:jc w:val="center"/>
              <w:rPr>
                <w:i/>
                <w:sz w:val="16"/>
                <w:lang w:val="fr-CH"/>
              </w:rPr>
            </w:pPr>
            <w:r w:rsidRPr="0071782F">
              <w:rPr>
                <w:i/>
                <w:sz w:val="16"/>
                <w:lang w:val="fr-CH"/>
              </w:rPr>
              <w:t>Ensemble du pays</w:t>
            </w:r>
          </w:p>
        </w:tc>
        <w:tc>
          <w:tcPr>
            <w:tcW w:w="2900" w:type="dxa"/>
            <w:gridSpan w:val="4"/>
            <w:tcBorders>
              <w:top w:val="single" w:sz="4" w:space="0" w:color="auto"/>
              <w:left w:val="single" w:sz="24" w:space="0" w:color="FFFFFF"/>
              <w:bottom w:val="single" w:sz="4" w:space="0" w:color="auto"/>
              <w:right w:val="single" w:sz="24" w:space="0" w:color="FFFFFF"/>
            </w:tcBorders>
            <w:shd w:val="clear" w:color="000000" w:fill="auto"/>
            <w:vAlign w:val="bottom"/>
          </w:tcPr>
          <w:p w:rsidR="00333944" w:rsidRPr="0071782F" w:rsidRDefault="008736C2" w:rsidP="001C2A42">
            <w:pPr>
              <w:keepNext/>
              <w:suppressAutoHyphens w:val="0"/>
              <w:spacing w:before="80" w:after="80" w:line="200" w:lineRule="exact"/>
              <w:jc w:val="center"/>
              <w:rPr>
                <w:i/>
                <w:sz w:val="16"/>
                <w:lang w:val="fr-CH"/>
              </w:rPr>
            </w:pPr>
            <w:r w:rsidRPr="0071782F">
              <w:rPr>
                <w:i/>
                <w:sz w:val="16"/>
                <w:lang w:val="fr-CH"/>
              </w:rPr>
              <w:t>Villes</w:t>
            </w:r>
          </w:p>
        </w:tc>
        <w:tc>
          <w:tcPr>
            <w:tcW w:w="2934" w:type="dxa"/>
            <w:gridSpan w:val="4"/>
            <w:tcBorders>
              <w:top w:val="single" w:sz="4" w:space="0" w:color="auto"/>
              <w:left w:val="single" w:sz="24" w:space="0" w:color="FFFFFF"/>
              <w:bottom w:val="single" w:sz="4" w:space="0" w:color="auto"/>
            </w:tcBorders>
            <w:shd w:val="clear" w:color="000000" w:fill="auto"/>
            <w:vAlign w:val="bottom"/>
          </w:tcPr>
          <w:p w:rsidR="00333944" w:rsidRPr="0071782F" w:rsidRDefault="00333944" w:rsidP="001C2A42">
            <w:pPr>
              <w:keepNext/>
              <w:suppressAutoHyphens w:val="0"/>
              <w:spacing w:before="80" w:after="80" w:line="200" w:lineRule="exact"/>
              <w:jc w:val="center"/>
              <w:rPr>
                <w:i/>
                <w:sz w:val="16"/>
                <w:lang w:val="fr-CH"/>
              </w:rPr>
            </w:pPr>
            <w:r w:rsidRPr="0071782F">
              <w:rPr>
                <w:i/>
                <w:sz w:val="16"/>
                <w:lang w:val="fr-CH"/>
              </w:rPr>
              <w:t>Villages</w:t>
            </w:r>
          </w:p>
        </w:tc>
      </w:tr>
      <w:tr w:rsidR="00333944" w:rsidRPr="0071782F">
        <w:trPr>
          <w:tblHeader/>
        </w:trPr>
        <w:tc>
          <w:tcPr>
            <w:tcW w:w="825" w:type="dxa"/>
            <w:vMerge/>
            <w:tcBorders>
              <w:top w:val="single" w:sz="12" w:space="0" w:color="auto"/>
              <w:bottom w:val="single" w:sz="12" w:space="0" w:color="auto"/>
            </w:tcBorders>
            <w:shd w:val="clear" w:color="000000" w:fill="auto"/>
            <w:vAlign w:val="bottom"/>
          </w:tcPr>
          <w:p w:rsidR="00333944" w:rsidRPr="0071782F" w:rsidRDefault="00333944" w:rsidP="001C2A42">
            <w:pPr>
              <w:keepNext/>
              <w:suppressAutoHyphens w:val="0"/>
              <w:spacing w:before="40" w:after="40" w:line="220" w:lineRule="exact"/>
              <w:rPr>
                <w:sz w:val="18"/>
                <w:lang w:val="fr-CH"/>
              </w:rPr>
            </w:pPr>
          </w:p>
        </w:tc>
        <w:tc>
          <w:tcPr>
            <w:tcW w:w="954" w:type="dxa"/>
            <w:tcBorders>
              <w:top w:val="single" w:sz="4" w:space="0" w:color="auto"/>
              <w:bottom w:val="single" w:sz="12" w:space="0" w:color="auto"/>
            </w:tcBorders>
            <w:shd w:val="clear" w:color="000000" w:fill="auto"/>
            <w:vAlign w:val="bottom"/>
          </w:tcPr>
          <w:p w:rsidR="00333944" w:rsidRPr="0071782F" w:rsidRDefault="008736C2" w:rsidP="001C2A42">
            <w:pPr>
              <w:keepNext/>
              <w:suppressAutoHyphens w:val="0"/>
              <w:spacing w:before="80" w:after="80" w:line="220" w:lineRule="exact"/>
              <w:jc w:val="right"/>
              <w:rPr>
                <w:i/>
                <w:sz w:val="16"/>
                <w:szCs w:val="16"/>
                <w:lang w:val="fr-CH"/>
              </w:rPr>
            </w:pPr>
            <w:r w:rsidRPr="0071782F">
              <w:rPr>
                <w:i/>
                <w:sz w:val="16"/>
                <w:szCs w:val="16"/>
                <w:lang w:val="fr-CH"/>
              </w:rPr>
              <w:t>Alphabétisée</w:t>
            </w:r>
          </w:p>
        </w:tc>
        <w:tc>
          <w:tcPr>
            <w:tcW w:w="500" w:type="dxa"/>
            <w:tcBorders>
              <w:top w:val="single" w:sz="4" w:space="0" w:color="auto"/>
              <w:bottom w:val="single" w:sz="12" w:space="0" w:color="auto"/>
            </w:tcBorders>
            <w:shd w:val="clear" w:color="000000" w:fill="auto"/>
            <w:vAlign w:val="bottom"/>
          </w:tcPr>
          <w:p w:rsidR="00333944" w:rsidRPr="0071782F" w:rsidRDefault="00333944" w:rsidP="001C2A42">
            <w:pPr>
              <w:keepNext/>
              <w:suppressAutoHyphens w:val="0"/>
              <w:spacing w:before="80" w:after="80" w:line="220" w:lineRule="exact"/>
              <w:jc w:val="right"/>
              <w:rPr>
                <w:i/>
                <w:sz w:val="16"/>
                <w:szCs w:val="16"/>
                <w:lang w:val="fr-CH"/>
              </w:rPr>
            </w:pPr>
            <w:r w:rsidRPr="0071782F">
              <w:rPr>
                <w:i/>
                <w:sz w:val="16"/>
                <w:szCs w:val="16"/>
                <w:lang w:val="fr-CH"/>
              </w:rPr>
              <w:t>%</w:t>
            </w:r>
          </w:p>
        </w:tc>
        <w:tc>
          <w:tcPr>
            <w:tcW w:w="994" w:type="dxa"/>
            <w:tcBorders>
              <w:top w:val="single" w:sz="4" w:space="0" w:color="auto"/>
              <w:bottom w:val="single" w:sz="12" w:space="0" w:color="auto"/>
            </w:tcBorders>
            <w:shd w:val="clear" w:color="000000" w:fill="auto"/>
            <w:vAlign w:val="bottom"/>
          </w:tcPr>
          <w:p w:rsidR="00333944" w:rsidRPr="0071782F" w:rsidRDefault="008736C2" w:rsidP="001C2A42">
            <w:pPr>
              <w:keepNext/>
              <w:suppressAutoHyphens w:val="0"/>
              <w:spacing w:before="80" w:after="80" w:line="220" w:lineRule="exact"/>
              <w:jc w:val="right"/>
              <w:rPr>
                <w:i/>
                <w:sz w:val="16"/>
                <w:szCs w:val="16"/>
                <w:lang w:val="fr-CH"/>
              </w:rPr>
            </w:pPr>
            <w:r w:rsidRPr="0071782F">
              <w:rPr>
                <w:i/>
                <w:sz w:val="16"/>
                <w:szCs w:val="16"/>
                <w:lang w:val="fr-CH"/>
              </w:rPr>
              <w:t>Analphabète</w:t>
            </w:r>
          </w:p>
        </w:tc>
        <w:tc>
          <w:tcPr>
            <w:tcW w:w="532" w:type="dxa"/>
            <w:tcBorders>
              <w:top w:val="single" w:sz="4" w:space="0" w:color="auto"/>
              <w:bottom w:val="single" w:sz="12" w:space="0" w:color="auto"/>
              <w:right w:val="single" w:sz="24" w:space="0" w:color="FFFFFF"/>
            </w:tcBorders>
            <w:shd w:val="clear" w:color="000000" w:fill="auto"/>
            <w:vAlign w:val="bottom"/>
          </w:tcPr>
          <w:p w:rsidR="00333944" w:rsidRPr="0071782F" w:rsidRDefault="00333944" w:rsidP="001C2A42">
            <w:pPr>
              <w:keepNext/>
              <w:suppressAutoHyphens w:val="0"/>
              <w:spacing w:before="80" w:after="80" w:line="220" w:lineRule="exact"/>
              <w:jc w:val="right"/>
              <w:rPr>
                <w:i/>
                <w:sz w:val="16"/>
                <w:szCs w:val="16"/>
                <w:lang w:val="fr-CH"/>
              </w:rPr>
            </w:pPr>
            <w:r w:rsidRPr="0071782F">
              <w:rPr>
                <w:i/>
                <w:sz w:val="16"/>
                <w:szCs w:val="16"/>
                <w:lang w:val="fr-CH"/>
              </w:rPr>
              <w:t>%</w:t>
            </w:r>
          </w:p>
        </w:tc>
        <w:tc>
          <w:tcPr>
            <w:tcW w:w="924" w:type="dxa"/>
            <w:tcBorders>
              <w:top w:val="single" w:sz="4" w:space="0" w:color="auto"/>
              <w:left w:val="single" w:sz="24" w:space="0" w:color="FFFFFF"/>
              <w:bottom w:val="single" w:sz="12" w:space="0" w:color="auto"/>
            </w:tcBorders>
            <w:shd w:val="clear" w:color="000000" w:fill="auto"/>
            <w:vAlign w:val="bottom"/>
          </w:tcPr>
          <w:p w:rsidR="00333944" w:rsidRPr="0071782F" w:rsidRDefault="008736C2" w:rsidP="001C2A42">
            <w:pPr>
              <w:keepNext/>
              <w:suppressAutoHyphens w:val="0"/>
              <w:spacing w:before="80" w:after="80" w:line="220" w:lineRule="exact"/>
              <w:jc w:val="right"/>
              <w:rPr>
                <w:i/>
                <w:sz w:val="16"/>
                <w:szCs w:val="16"/>
                <w:lang w:val="fr-CH"/>
              </w:rPr>
            </w:pPr>
            <w:r w:rsidRPr="0071782F">
              <w:rPr>
                <w:i/>
                <w:sz w:val="16"/>
                <w:szCs w:val="16"/>
                <w:lang w:val="fr-CH"/>
              </w:rPr>
              <w:t>Alphabétisée</w:t>
            </w:r>
          </w:p>
        </w:tc>
        <w:tc>
          <w:tcPr>
            <w:tcW w:w="606" w:type="dxa"/>
            <w:tcBorders>
              <w:top w:val="single" w:sz="4" w:space="0" w:color="auto"/>
              <w:bottom w:val="single" w:sz="12" w:space="0" w:color="auto"/>
            </w:tcBorders>
            <w:shd w:val="clear" w:color="000000" w:fill="auto"/>
            <w:vAlign w:val="bottom"/>
          </w:tcPr>
          <w:p w:rsidR="00333944" w:rsidRPr="0071782F" w:rsidRDefault="00333944" w:rsidP="001C2A42">
            <w:pPr>
              <w:keepNext/>
              <w:suppressAutoHyphens w:val="0"/>
              <w:spacing w:before="80" w:after="80" w:line="220" w:lineRule="exact"/>
              <w:jc w:val="right"/>
              <w:rPr>
                <w:i/>
                <w:sz w:val="16"/>
                <w:szCs w:val="16"/>
                <w:lang w:val="fr-CH"/>
              </w:rPr>
            </w:pPr>
            <w:r w:rsidRPr="0071782F">
              <w:rPr>
                <w:i/>
                <w:sz w:val="16"/>
                <w:szCs w:val="16"/>
                <w:lang w:val="fr-CH"/>
              </w:rPr>
              <w:t>%</w:t>
            </w:r>
          </w:p>
        </w:tc>
        <w:tc>
          <w:tcPr>
            <w:tcW w:w="936" w:type="dxa"/>
            <w:tcBorders>
              <w:top w:val="single" w:sz="4" w:space="0" w:color="auto"/>
              <w:bottom w:val="single" w:sz="12" w:space="0" w:color="auto"/>
            </w:tcBorders>
            <w:shd w:val="clear" w:color="000000" w:fill="auto"/>
            <w:vAlign w:val="bottom"/>
          </w:tcPr>
          <w:p w:rsidR="00333944" w:rsidRPr="0071782F" w:rsidRDefault="008736C2" w:rsidP="001C2A42">
            <w:pPr>
              <w:keepNext/>
              <w:suppressAutoHyphens w:val="0"/>
              <w:spacing w:before="80" w:after="80" w:line="220" w:lineRule="exact"/>
              <w:jc w:val="right"/>
              <w:rPr>
                <w:i/>
                <w:sz w:val="16"/>
                <w:szCs w:val="16"/>
                <w:lang w:val="fr-CH"/>
              </w:rPr>
            </w:pPr>
            <w:r w:rsidRPr="0071782F">
              <w:rPr>
                <w:i/>
                <w:sz w:val="16"/>
                <w:szCs w:val="16"/>
                <w:lang w:val="fr-CH"/>
              </w:rPr>
              <w:t>Analphabète</w:t>
            </w:r>
          </w:p>
        </w:tc>
        <w:tc>
          <w:tcPr>
            <w:tcW w:w="434" w:type="dxa"/>
            <w:tcBorders>
              <w:top w:val="single" w:sz="4" w:space="0" w:color="auto"/>
              <w:bottom w:val="single" w:sz="12" w:space="0" w:color="auto"/>
              <w:right w:val="single" w:sz="24" w:space="0" w:color="FFFFFF"/>
            </w:tcBorders>
            <w:shd w:val="clear" w:color="000000" w:fill="auto"/>
            <w:vAlign w:val="bottom"/>
          </w:tcPr>
          <w:p w:rsidR="00333944" w:rsidRPr="0071782F" w:rsidRDefault="00333944" w:rsidP="001C2A42">
            <w:pPr>
              <w:keepNext/>
              <w:suppressAutoHyphens w:val="0"/>
              <w:spacing w:before="80" w:after="80" w:line="220" w:lineRule="exact"/>
              <w:jc w:val="right"/>
              <w:rPr>
                <w:i/>
                <w:sz w:val="16"/>
                <w:szCs w:val="16"/>
                <w:lang w:val="fr-CH"/>
              </w:rPr>
            </w:pPr>
            <w:r w:rsidRPr="0071782F">
              <w:rPr>
                <w:i/>
                <w:sz w:val="16"/>
                <w:szCs w:val="16"/>
                <w:lang w:val="fr-CH"/>
              </w:rPr>
              <w:t>%</w:t>
            </w:r>
          </w:p>
        </w:tc>
        <w:tc>
          <w:tcPr>
            <w:tcW w:w="952" w:type="dxa"/>
            <w:tcBorders>
              <w:top w:val="single" w:sz="4" w:space="0" w:color="auto"/>
              <w:left w:val="single" w:sz="24" w:space="0" w:color="FFFFFF"/>
              <w:bottom w:val="single" w:sz="12" w:space="0" w:color="auto"/>
            </w:tcBorders>
            <w:shd w:val="clear" w:color="000000" w:fill="auto"/>
            <w:vAlign w:val="bottom"/>
          </w:tcPr>
          <w:p w:rsidR="00333944" w:rsidRPr="0071782F" w:rsidRDefault="008736C2" w:rsidP="001C2A42">
            <w:pPr>
              <w:keepNext/>
              <w:suppressAutoHyphens w:val="0"/>
              <w:spacing w:before="80" w:after="80" w:line="220" w:lineRule="exact"/>
              <w:jc w:val="right"/>
              <w:rPr>
                <w:i/>
                <w:sz w:val="16"/>
                <w:szCs w:val="16"/>
                <w:lang w:val="fr-CH"/>
              </w:rPr>
            </w:pPr>
            <w:r w:rsidRPr="0071782F">
              <w:rPr>
                <w:i/>
                <w:sz w:val="16"/>
                <w:szCs w:val="16"/>
                <w:lang w:val="fr-CH"/>
              </w:rPr>
              <w:t>Alphabétisée</w:t>
            </w:r>
          </w:p>
        </w:tc>
        <w:tc>
          <w:tcPr>
            <w:tcW w:w="531" w:type="dxa"/>
            <w:tcBorders>
              <w:top w:val="single" w:sz="4" w:space="0" w:color="auto"/>
              <w:bottom w:val="single" w:sz="12" w:space="0" w:color="auto"/>
            </w:tcBorders>
            <w:shd w:val="clear" w:color="000000" w:fill="auto"/>
            <w:vAlign w:val="bottom"/>
          </w:tcPr>
          <w:p w:rsidR="00333944" w:rsidRPr="0071782F" w:rsidRDefault="00333944" w:rsidP="001C2A42">
            <w:pPr>
              <w:keepNext/>
              <w:suppressAutoHyphens w:val="0"/>
              <w:spacing w:before="80" w:after="80" w:line="220" w:lineRule="exact"/>
              <w:jc w:val="right"/>
              <w:rPr>
                <w:i/>
                <w:sz w:val="16"/>
                <w:szCs w:val="16"/>
                <w:lang w:val="fr-CH"/>
              </w:rPr>
            </w:pPr>
            <w:r w:rsidRPr="0071782F">
              <w:rPr>
                <w:i/>
                <w:sz w:val="16"/>
                <w:szCs w:val="16"/>
                <w:lang w:val="fr-CH"/>
              </w:rPr>
              <w:t>%</w:t>
            </w:r>
          </w:p>
        </w:tc>
        <w:tc>
          <w:tcPr>
            <w:tcW w:w="905" w:type="dxa"/>
            <w:tcBorders>
              <w:top w:val="single" w:sz="4" w:space="0" w:color="auto"/>
              <w:bottom w:val="single" w:sz="12" w:space="0" w:color="auto"/>
            </w:tcBorders>
            <w:shd w:val="clear" w:color="000000" w:fill="auto"/>
            <w:vAlign w:val="bottom"/>
          </w:tcPr>
          <w:p w:rsidR="00333944" w:rsidRPr="0071782F" w:rsidRDefault="008736C2" w:rsidP="001C2A42">
            <w:pPr>
              <w:keepNext/>
              <w:suppressAutoHyphens w:val="0"/>
              <w:spacing w:before="80" w:after="80" w:line="220" w:lineRule="exact"/>
              <w:jc w:val="right"/>
              <w:rPr>
                <w:i/>
                <w:sz w:val="16"/>
                <w:szCs w:val="16"/>
                <w:lang w:val="fr-CH"/>
              </w:rPr>
            </w:pPr>
            <w:r w:rsidRPr="0071782F">
              <w:rPr>
                <w:i/>
                <w:sz w:val="16"/>
                <w:szCs w:val="16"/>
                <w:lang w:val="fr-CH"/>
              </w:rPr>
              <w:t>Analphabète</w:t>
            </w:r>
          </w:p>
        </w:tc>
        <w:tc>
          <w:tcPr>
            <w:tcW w:w="546" w:type="dxa"/>
            <w:tcBorders>
              <w:top w:val="single" w:sz="4" w:space="0" w:color="auto"/>
              <w:bottom w:val="single" w:sz="12" w:space="0" w:color="auto"/>
            </w:tcBorders>
            <w:shd w:val="clear" w:color="000000" w:fill="auto"/>
            <w:vAlign w:val="bottom"/>
          </w:tcPr>
          <w:p w:rsidR="00333944" w:rsidRPr="0071782F" w:rsidRDefault="00333944" w:rsidP="001C2A42">
            <w:pPr>
              <w:keepNext/>
              <w:suppressAutoHyphens w:val="0"/>
              <w:spacing w:before="80" w:after="80" w:line="220" w:lineRule="exact"/>
              <w:jc w:val="right"/>
              <w:rPr>
                <w:i/>
                <w:sz w:val="16"/>
                <w:szCs w:val="16"/>
                <w:lang w:val="fr-CH"/>
              </w:rPr>
            </w:pPr>
            <w:r w:rsidRPr="0071782F">
              <w:rPr>
                <w:i/>
                <w:sz w:val="16"/>
                <w:szCs w:val="16"/>
                <w:lang w:val="fr-CH"/>
              </w:rPr>
              <w:t>%</w:t>
            </w:r>
          </w:p>
        </w:tc>
      </w:tr>
      <w:tr w:rsidR="00333944" w:rsidRPr="0071782F">
        <w:tc>
          <w:tcPr>
            <w:tcW w:w="825" w:type="dxa"/>
            <w:tcBorders>
              <w:top w:val="single" w:sz="12" w:space="0" w:color="auto"/>
            </w:tcBorders>
            <w:shd w:val="clear" w:color="000000" w:fill="auto"/>
          </w:tcPr>
          <w:p w:rsidR="00333944" w:rsidRPr="0071782F" w:rsidRDefault="008736C2" w:rsidP="001C2A42">
            <w:pPr>
              <w:keepNext/>
              <w:suppressAutoHyphens w:val="0"/>
              <w:spacing w:before="40" w:after="40" w:line="220" w:lineRule="exact"/>
              <w:rPr>
                <w:sz w:val="18"/>
                <w:lang w:val="fr-CH"/>
              </w:rPr>
            </w:pPr>
            <w:r w:rsidRPr="0071782F">
              <w:rPr>
                <w:sz w:val="18"/>
                <w:lang w:val="fr-CH"/>
              </w:rPr>
              <w:t>Hommes</w:t>
            </w:r>
          </w:p>
        </w:tc>
        <w:tc>
          <w:tcPr>
            <w:tcW w:w="954" w:type="dxa"/>
            <w:tcBorders>
              <w:top w:val="single" w:sz="12"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8 197 987</w:t>
            </w:r>
          </w:p>
        </w:tc>
        <w:tc>
          <w:tcPr>
            <w:tcW w:w="500" w:type="dxa"/>
            <w:tcBorders>
              <w:top w:val="single" w:sz="12"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58</w:t>
            </w:r>
            <w:r w:rsidR="00311068" w:rsidRPr="0071782F">
              <w:rPr>
                <w:sz w:val="18"/>
                <w:lang w:val="fr-CH"/>
              </w:rPr>
              <w:t>,</w:t>
            </w:r>
            <w:r w:rsidRPr="0071782F">
              <w:rPr>
                <w:sz w:val="18"/>
                <w:lang w:val="fr-CH"/>
              </w:rPr>
              <w:t>9</w:t>
            </w:r>
          </w:p>
        </w:tc>
        <w:tc>
          <w:tcPr>
            <w:tcW w:w="994" w:type="dxa"/>
            <w:tcBorders>
              <w:top w:val="single" w:sz="12"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5 727 604</w:t>
            </w:r>
          </w:p>
        </w:tc>
        <w:tc>
          <w:tcPr>
            <w:tcW w:w="532" w:type="dxa"/>
            <w:tcBorders>
              <w:top w:val="single" w:sz="12"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41</w:t>
            </w:r>
            <w:r w:rsidR="00311068" w:rsidRPr="0071782F">
              <w:rPr>
                <w:sz w:val="18"/>
                <w:lang w:val="fr-CH"/>
              </w:rPr>
              <w:t>,</w:t>
            </w:r>
            <w:r w:rsidRPr="0071782F">
              <w:rPr>
                <w:sz w:val="18"/>
                <w:lang w:val="fr-CH"/>
              </w:rPr>
              <w:t>1</w:t>
            </w:r>
          </w:p>
        </w:tc>
        <w:tc>
          <w:tcPr>
            <w:tcW w:w="924" w:type="dxa"/>
            <w:tcBorders>
              <w:top w:val="single" w:sz="12"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5 145 393</w:t>
            </w:r>
          </w:p>
        </w:tc>
        <w:tc>
          <w:tcPr>
            <w:tcW w:w="606" w:type="dxa"/>
            <w:tcBorders>
              <w:top w:val="single" w:sz="12"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74</w:t>
            </w:r>
            <w:r w:rsidR="00311068" w:rsidRPr="0071782F">
              <w:rPr>
                <w:sz w:val="18"/>
                <w:lang w:val="fr-CH"/>
              </w:rPr>
              <w:t>,</w:t>
            </w:r>
            <w:r w:rsidRPr="0071782F">
              <w:rPr>
                <w:sz w:val="18"/>
                <w:lang w:val="fr-CH"/>
              </w:rPr>
              <w:t>4</w:t>
            </w:r>
          </w:p>
        </w:tc>
        <w:tc>
          <w:tcPr>
            <w:tcW w:w="936" w:type="dxa"/>
            <w:tcBorders>
              <w:top w:val="single" w:sz="12"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1 774 075</w:t>
            </w:r>
          </w:p>
        </w:tc>
        <w:tc>
          <w:tcPr>
            <w:tcW w:w="434" w:type="dxa"/>
            <w:tcBorders>
              <w:top w:val="single" w:sz="12"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25</w:t>
            </w:r>
            <w:r w:rsidR="00311068" w:rsidRPr="0071782F">
              <w:rPr>
                <w:sz w:val="18"/>
                <w:lang w:val="fr-CH"/>
              </w:rPr>
              <w:t>,</w:t>
            </w:r>
            <w:r w:rsidRPr="0071782F">
              <w:rPr>
                <w:sz w:val="18"/>
                <w:lang w:val="fr-CH"/>
              </w:rPr>
              <w:t>6</w:t>
            </w:r>
          </w:p>
        </w:tc>
        <w:tc>
          <w:tcPr>
            <w:tcW w:w="952" w:type="dxa"/>
            <w:tcBorders>
              <w:top w:val="single" w:sz="12"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3 052 594</w:t>
            </w:r>
          </w:p>
        </w:tc>
        <w:tc>
          <w:tcPr>
            <w:tcW w:w="531" w:type="dxa"/>
            <w:tcBorders>
              <w:top w:val="single" w:sz="12"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43</w:t>
            </w:r>
            <w:r w:rsidR="00311068" w:rsidRPr="0071782F">
              <w:rPr>
                <w:sz w:val="18"/>
                <w:lang w:val="fr-CH"/>
              </w:rPr>
              <w:t>,</w:t>
            </w:r>
            <w:r w:rsidRPr="0071782F">
              <w:rPr>
                <w:sz w:val="18"/>
                <w:lang w:val="fr-CH"/>
              </w:rPr>
              <w:t>6</w:t>
            </w:r>
          </w:p>
        </w:tc>
        <w:tc>
          <w:tcPr>
            <w:tcW w:w="905" w:type="dxa"/>
            <w:tcBorders>
              <w:top w:val="single" w:sz="12"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3 953 529</w:t>
            </w:r>
          </w:p>
        </w:tc>
        <w:tc>
          <w:tcPr>
            <w:tcW w:w="546" w:type="dxa"/>
            <w:tcBorders>
              <w:top w:val="single" w:sz="12"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56</w:t>
            </w:r>
            <w:r w:rsidR="00311068" w:rsidRPr="0071782F">
              <w:rPr>
                <w:sz w:val="18"/>
                <w:lang w:val="fr-CH"/>
              </w:rPr>
              <w:t>,</w:t>
            </w:r>
            <w:r w:rsidRPr="0071782F">
              <w:rPr>
                <w:sz w:val="18"/>
                <w:lang w:val="fr-CH"/>
              </w:rPr>
              <w:t>4</w:t>
            </w:r>
          </w:p>
        </w:tc>
      </w:tr>
      <w:tr w:rsidR="00333944" w:rsidRPr="0071782F">
        <w:tc>
          <w:tcPr>
            <w:tcW w:w="825" w:type="dxa"/>
            <w:tcBorders>
              <w:bottom w:val="single" w:sz="4" w:space="0" w:color="auto"/>
            </w:tcBorders>
            <w:shd w:val="clear" w:color="000000" w:fill="auto"/>
          </w:tcPr>
          <w:p w:rsidR="00333944" w:rsidRPr="0071782F" w:rsidRDefault="00333944" w:rsidP="001C2A42">
            <w:pPr>
              <w:keepNext/>
              <w:suppressAutoHyphens w:val="0"/>
              <w:spacing w:before="40" w:after="40" w:line="220" w:lineRule="exact"/>
              <w:rPr>
                <w:sz w:val="18"/>
                <w:lang w:val="fr-CH"/>
              </w:rPr>
            </w:pPr>
            <w:r w:rsidRPr="0071782F">
              <w:rPr>
                <w:sz w:val="18"/>
                <w:lang w:val="fr-CH"/>
              </w:rPr>
              <w:t>Fem</w:t>
            </w:r>
            <w:r w:rsidR="008736C2" w:rsidRPr="0071782F">
              <w:rPr>
                <w:sz w:val="18"/>
                <w:lang w:val="fr-CH"/>
              </w:rPr>
              <w:t>mes</w:t>
            </w:r>
          </w:p>
        </w:tc>
        <w:tc>
          <w:tcPr>
            <w:tcW w:w="954" w:type="dxa"/>
            <w:tcBorders>
              <w:bottom w:val="single" w:sz="4"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4 679 088</w:t>
            </w:r>
          </w:p>
        </w:tc>
        <w:tc>
          <w:tcPr>
            <w:tcW w:w="500" w:type="dxa"/>
            <w:tcBorders>
              <w:bottom w:val="single" w:sz="4"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35</w:t>
            </w:r>
            <w:r w:rsidR="00311068" w:rsidRPr="0071782F">
              <w:rPr>
                <w:sz w:val="18"/>
                <w:lang w:val="fr-CH"/>
              </w:rPr>
              <w:t>,</w:t>
            </w:r>
            <w:r w:rsidRPr="0071782F">
              <w:rPr>
                <w:sz w:val="18"/>
                <w:lang w:val="fr-CH"/>
              </w:rPr>
              <w:t>5</w:t>
            </w:r>
          </w:p>
        </w:tc>
        <w:tc>
          <w:tcPr>
            <w:tcW w:w="994" w:type="dxa"/>
            <w:tcBorders>
              <w:bottom w:val="single" w:sz="4"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8 508 165</w:t>
            </w:r>
          </w:p>
        </w:tc>
        <w:tc>
          <w:tcPr>
            <w:tcW w:w="532" w:type="dxa"/>
            <w:tcBorders>
              <w:bottom w:val="single" w:sz="4"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64</w:t>
            </w:r>
            <w:r w:rsidR="00311068" w:rsidRPr="0071782F">
              <w:rPr>
                <w:sz w:val="18"/>
                <w:lang w:val="fr-CH"/>
              </w:rPr>
              <w:t>,</w:t>
            </w:r>
            <w:r w:rsidRPr="0071782F">
              <w:rPr>
                <w:sz w:val="18"/>
                <w:lang w:val="fr-CH"/>
              </w:rPr>
              <w:t>6</w:t>
            </w:r>
          </w:p>
        </w:tc>
        <w:tc>
          <w:tcPr>
            <w:tcW w:w="924" w:type="dxa"/>
            <w:tcBorders>
              <w:bottom w:val="single" w:sz="4"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3 482 846</w:t>
            </w:r>
          </w:p>
        </w:tc>
        <w:tc>
          <w:tcPr>
            <w:tcW w:w="606" w:type="dxa"/>
            <w:tcBorders>
              <w:bottom w:val="single" w:sz="4"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55</w:t>
            </w:r>
            <w:r w:rsidR="00311068" w:rsidRPr="0071782F">
              <w:rPr>
                <w:sz w:val="18"/>
                <w:lang w:val="fr-CH"/>
              </w:rPr>
              <w:t>,</w:t>
            </w:r>
            <w:r w:rsidRPr="0071782F">
              <w:rPr>
                <w:sz w:val="18"/>
                <w:lang w:val="fr-CH"/>
              </w:rPr>
              <w:t>6</w:t>
            </w:r>
          </w:p>
        </w:tc>
        <w:tc>
          <w:tcPr>
            <w:tcW w:w="936" w:type="dxa"/>
            <w:tcBorders>
              <w:bottom w:val="single" w:sz="4"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2 780 254</w:t>
            </w:r>
          </w:p>
        </w:tc>
        <w:tc>
          <w:tcPr>
            <w:tcW w:w="434" w:type="dxa"/>
            <w:tcBorders>
              <w:bottom w:val="single" w:sz="4"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44</w:t>
            </w:r>
            <w:r w:rsidR="00311068" w:rsidRPr="0071782F">
              <w:rPr>
                <w:sz w:val="18"/>
                <w:lang w:val="fr-CH"/>
              </w:rPr>
              <w:t>,</w:t>
            </w:r>
            <w:r w:rsidRPr="0071782F">
              <w:rPr>
                <w:sz w:val="18"/>
                <w:lang w:val="fr-CH"/>
              </w:rPr>
              <w:t>4</w:t>
            </w:r>
          </w:p>
        </w:tc>
        <w:tc>
          <w:tcPr>
            <w:tcW w:w="952" w:type="dxa"/>
            <w:tcBorders>
              <w:bottom w:val="single" w:sz="4"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1 196 242</w:t>
            </w:r>
          </w:p>
        </w:tc>
        <w:tc>
          <w:tcPr>
            <w:tcW w:w="531" w:type="dxa"/>
            <w:tcBorders>
              <w:bottom w:val="single" w:sz="4"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17</w:t>
            </w:r>
            <w:r w:rsidR="00311068" w:rsidRPr="0071782F">
              <w:rPr>
                <w:sz w:val="18"/>
                <w:lang w:val="fr-CH"/>
              </w:rPr>
              <w:t>,</w:t>
            </w:r>
            <w:r w:rsidRPr="0071782F">
              <w:rPr>
                <w:sz w:val="18"/>
                <w:lang w:val="fr-CH"/>
              </w:rPr>
              <w:t>3</w:t>
            </w:r>
          </w:p>
        </w:tc>
        <w:tc>
          <w:tcPr>
            <w:tcW w:w="905" w:type="dxa"/>
            <w:tcBorders>
              <w:bottom w:val="single" w:sz="4"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5 727 911</w:t>
            </w:r>
          </w:p>
        </w:tc>
        <w:tc>
          <w:tcPr>
            <w:tcW w:w="546" w:type="dxa"/>
            <w:tcBorders>
              <w:bottom w:val="single" w:sz="4" w:space="0" w:color="auto"/>
            </w:tcBorders>
            <w:shd w:val="clear" w:color="000000" w:fill="auto"/>
            <w:vAlign w:val="bottom"/>
          </w:tcPr>
          <w:p w:rsidR="00333944" w:rsidRPr="0071782F" w:rsidRDefault="00333944" w:rsidP="001C2A42">
            <w:pPr>
              <w:keepNext/>
              <w:suppressAutoHyphens w:val="0"/>
              <w:spacing w:before="40" w:after="40" w:line="220" w:lineRule="exact"/>
              <w:jc w:val="right"/>
              <w:rPr>
                <w:sz w:val="18"/>
                <w:lang w:val="fr-CH"/>
              </w:rPr>
            </w:pPr>
            <w:r w:rsidRPr="0071782F">
              <w:rPr>
                <w:sz w:val="18"/>
                <w:lang w:val="fr-CH"/>
              </w:rPr>
              <w:t>82</w:t>
            </w:r>
            <w:r w:rsidR="00311068" w:rsidRPr="0071782F">
              <w:rPr>
                <w:sz w:val="18"/>
                <w:lang w:val="fr-CH"/>
              </w:rPr>
              <w:t>,</w:t>
            </w:r>
            <w:r w:rsidRPr="0071782F">
              <w:rPr>
                <w:sz w:val="18"/>
                <w:lang w:val="fr-CH"/>
              </w:rPr>
              <w:t>7</w:t>
            </w:r>
          </w:p>
        </w:tc>
      </w:tr>
      <w:tr w:rsidR="00333944" w:rsidRPr="0071782F">
        <w:tc>
          <w:tcPr>
            <w:tcW w:w="825" w:type="dxa"/>
            <w:tcBorders>
              <w:top w:val="single" w:sz="4" w:space="0" w:color="auto"/>
              <w:bottom w:val="single" w:sz="12" w:space="0" w:color="auto"/>
            </w:tcBorders>
            <w:shd w:val="clear" w:color="000000" w:fill="auto"/>
          </w:tcPr>
          <w:p w:rsidR="00333944" w:rsidRPr="0071782F" w:rsidRDefault="00333944" w:rsidP="00311068">
            <w:pPr>
              <w:suppressAutoHyphens w:val="0"/>
              <w:spacing w:before="80" w:after="80" w:line="220" w:lineRule="exact"/>
              <w:ind w:firstLine="284"/>
              <w:rPr>
                <w:b/>
                <w:sz w:val="18"/>
                <w:lang w:val="fr-CH"/>
              </w:rPr>
            </w:pPr>
            <w:r w:rsidRPr="0071782F">
              <w:rPr>
                <w:b/>
                <w:sz w:val="18"/>
                <w:lang w:val="fr-CH"/>
              </w:rPr>
              <w:t>Total</w:t>
            </w:r>
          </w:p>
        </w:tc>
        <w:tc>
          <w:tcPr>
            <w:tcW w:w="954"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12 877 075</w:t>
            </w:r>
          </w:p>
        </w:tc>
        <w:tc>
          <w:tcPr>
            <w:tcW w:w="500"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47</w:t>
            </w:r>
            <w:r w:rsidR="00311068" w:rsidRPr="0071782F">
              <w:rPr>
                <w:b/>
                <w:sz w:val="18"/>
                <w:lang w:val="fr-CH"/>
              </w:rPr>
              <w:t>,</w:t>
            </w:r>
            <w:r w:rsidRPr="0071782F">
              <w:rPr>
                <w:b/>
                <w:sz w:val="18"/>
                <w:lang w:val="fr-CH"/>
              </w:rPr>
              <w:t>5</w:t>
            </w:r>
          </w:p>
        </w:tc>
        <w:tc>
          <w:tcPr>
            <w:tcW w:w="994"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14 235 769</w:t>
            </w:r>
          </w:p>
        </w:tc>
        <w:tc>
          <w:tcPr>
            <w:tcW w:w="532"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52</w:t>
            </w:r>
            <w:r w:rsidR="00311068" w:rsidRPr="0071782F">
              <w:rPr>
                <w:b/>
                <w:sz w:val="18"/>
                <w:lang w:val="fr-CH"/>
              </w:rPr>
              <w:t>,</w:t>
            </w:r>
            <w:r w:rsidRPr="0071782F">
              <w:rPr>
                <w:b/>
                <w:sz w:val="18"/>
                <w:lang w:val="fr-CH"/>
              </w:rPr>
              <w:t>5</w:t>
            </w:r>
          </w:p>
        </w:tc>
        <w:tc>
          <w:tcPr>
            <w:tcW w:w="924"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8 628 239</w:t>
            </w:r>
          </w:p>
        </w:tc>
        <w:tc>
          <w:tcPr>
            <w:tcW w:w="606"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65</w:t>
            </w:r>
            <w:r w:rsidR="00311068" w:rsidRPr="0071782F">
              <w:rPr>
                <w:b/>
                <w:sz w:val="18"/>
                <w:lang w:val="fr-CH"/>
              </w:rPr>
              <w:t>,</w:t>
            </w:r>
            <w:r w:rsidRPr="0071782F">
              <w:rPr>
                <w:b/>
                <w:sz w:val="18"/>
                <w:lang w:val="fr-CH"/>
              </w:rPr>
              <w:t>5</w:t>
            </w:r>
          </w:p>
        </w:tc>
        <w:tc>
          <w:tcPr>
            <w:tcW w:w="936"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4 554 329</w:t>
            </w:r>
          </w:p>
        </w:tc>
        <w:tc>
          <w:tcPr>
            <w:tcW w:w="434"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34</w:t>
            </w:r>
            <w:r w:rsidR="00311068" w:rsidRPr="0071782F">
              <w:rPr>
                <w:b/>
                <w:sz w:val="18"/>
                <w:lang w:val="fr-CH"/>
              </w:rPr>
              <w:t>,</w:t>
            </w:r>
            <w:r w:rsidRPr="0071782F">
              <w:rPr>
                <w:b/>
                <w:sz w:val="18"/>
                <w:lang w:val="fr-CH"/>
              </w:rPr>
              <w:t>5</w:t>
            </w:r>
          </w:p>
        </w:tc>
        <w:tc>
          <w:tcPr>
            <w:tcW w:w="952"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4 248 846</w:t>
            </w:r>
          </w:p>
        </w:tc>
        <w:tc>
          <w:tcPr>
            <w:tcW w:w="531"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30</w:t>
            </w:r>
            <w:r w:rsidR="00311068" w:rsidRPr="0071782F">
              <w:rPr>
                <w:b/>
                <w:sz w:val="18"/>
                <w:lang w:val="fr-CH"/>
              </w:rPr>
              <w:t>,</w:t>
            </w:r>
            <w:r w:rsidRPr="0071782F">
              <w:rPr>
                <w:b/>
                <w:sz w:val="18"/>
                <w:lang w:val="fr-CH"/>
              </w:rPr>
              <w:t>5</w:t>
            </w:r>
          </w:p>
        </w:tc>
        <w:tc>
          <w:tcPr>
            <w:tcW w:w="905"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9 681 440</w:t>
            </w:r>
          </w:p>
        </w:tc>
        <w:tc>
          <w:tcPr>
            <w:tcW w:w="546"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69</w:t>
            </w:r>
            <w:r w:rsidR="00311068" w:rsidRPr="0071782F">
              <w:rPr>
                <w:b/>
                <w:sz w:val="18"/>
                <w:lang w:val="fr-CH"/>
              </w:rPr>
              <w:t>,</w:t>
            </w:r>
            <w:r w:rsidRPr="0071782F">
              <w:rPr>
                <w:b/>
                <w:sz w:val="18"/>
                <w:lang w:val="fr-CH"/>
              </w:rPr>
              <w:t>5</w:t>
            </w:r>
          </w:p>
        </w:tc>
      </w:tr>
    </w:tbl>
    <w:p w:rsidR="00333944" w:rsidRPr="0071782F" w:rsidRDefault="00333944" w:rsidP="00333944">
      <w:pPr>
        <w:pStyle w:val="H1G"/>
        <w:rPr>
          <w:lang w:val="fr-CH"/>
        </w:rPr>
      </w:pPr>
      <w:r w:rsidRPr="0071782F">
        <w:rPr>
          <w:lang w:val="fr-CH"/>
        </w:rPr>
        <w:tab/>
      </w:r>
      <w:r w:rsidRPr="0071782F">
        <w:rPr>
          <w:lang w:val="fr-CH"/>
        </w:rPr>
        <w:tab/>
      </w:r>
      <w:r w:rsidR="008736C2" w:rsidRPr="0071782F">
        <w:rPr>
          <w:lang w:val="fr-CH"/>
        </w:rPr>
        <w:t>P</w:t>
      </w:r>
      <w:r w:rsidRPr="0071782F">
        <w:rPr>
          <w:lang w:val="fr-CH"/>
        </w:rPr>
        <w:t xml:space="preserve">opulation </w:t>
      </w:r>
      <w:r w:rsidR="008736C2" w:rsidRPr="0071782F">
        <w:rPr>
          <w:lang w:val="fr-CH"/>
        </w:rPr>
        <w:t>alphabétisée âgée de plus de six</w:t>
      </w:r>
      <w:r w:rsidR="00D82C96" w:rsidRPr="0071782F">
        <w:rPr>
          <w:lang w:val="fr-CH"/>
        </w:rPr>
        <w:t> ans</w:t>
      </w:r>
      <w:r w:rsidR="008736C2" w:rsidRPr="0071782F">
        <w:rPr>
          <w:lang w:val="fr-CH"/>
        </w:rPr>
        <w:t xml:space="preserve"> en </w:t>
      </w:r>
      <w:r w:rsidRPr="0071782F">
        <w:rPr>
          <w:lang w:val="fr-CH"/>
        </w:rPr>
        <w:t>1986</w:t>
      </w:r>
    </w:p>
    <w:p w:rsidR="00333944" w:rsidRPr="0071782F" w:rsidRDefault="00333944" w:rsidP="00333944">
      <w:pPr>
        <w:pStyle w:val="SingleTxtG"/>
        <w:spacing w:after="240"/>
        <w:ind w:left="1701"/>
        <w:rPr>
          <w:lang w:val="fr-CH"/>
        </w:rPr>
      </w:pPr>
      <w:r w:rsidRPr="0071782F">
        <w:rPr>
          <w:lang w:val="fr-CH"/>
        </w:rPr>
        <w:t>362.1</w:t>
      </w:r>
      <w:r w:rsidR="0099453E" w:rsidRPr="0071782F">
        <w:rPr>
          <w:lang w:val="fr-CH"/>
        </w:rPr>
        <w:t>.</w:t>
      </w:r>
      <w:r w:rsidRPr="0071782F">
        <w:rPr>
          <w:lang w:val="fr-CH"/>
        </w:rPr>
        <w:tab/>
      </w:r>
      <w:r w:rsidR="008736C2" w:rsidRPr="0071782F">
        <w:rPr>
          <w:lang w:val="fr-CH"/>
        </w:rPr>
        <w:t xml:space="preserve">Selon le recensement de </w:t>
      </w:r>
      <w:r w:rsidRPr="0071782F">
        <w:rPr>
          <w:lang w:val="fr-CH"/>
        </w:rPr>
        <w:t>1986</w:t>
      </w:r>
      <w:r w:rsidR="008736C2" w:rsidRPr="0071782F">
        <w:rPr>
          <w:lang w:val="fr-CH"/>
        </w:rPr>
        <w:t>,</w:t>
      </w:r>
      <w:r w:rsidRPr="0071782F">
        <w:rPr>
          <w:lang w:val="fr-CH"/>
        </w:rPr>
        <w:t xml:space="preserve"> 62</w:t>
      </w:r>
      <w:r w:rsidR="007E5125" w:rsidRPr="0071782F">
        <w:rPr>
          <w:lang w:val="fr-CH"/>
        </w:rPr>
        <w:t>%</w:t>
      </w:r>
      <w:r w:rsidR="008736C2" w:rsidRPr="0071782F">
        <w:rPr>
          <w:lang w:val="fr-CH"/>
        </w:rPr>
        <w:t xml:space="preserve"> de la population âgée de plus de six</w:t>
      </w:r>
      <w:r w:rsidR="00D82C96" w:rsidRPr="0071782F">
        <w:rPr>
          <w:lang w:val="fr-CH"/>
        </w:rPr>
        <w:t> ans</w:t>
      </w:r>
      <w:r w:rsidR="008736C2" w:rsidRPr="0071782F">
        <w:rPr>
          <w:lang w:val="fr-CH"/>
        </w:rPr>
        <w:t xml:space="preserve"> étaient alphabétisés, dont </w:t>
      </w:r>
      <w:r w:rsidRPr="0071782F">
        <w:rPr>
          <w:lang w:val="fr-CH"/>
        </w:rPr>
        <w:t>58</w:t>
      </w:r>
      <w:r w:rsidR="008736C2" w:rsidRPr="0071782F">
        <w:rPr>
          <w:lang w:val="fr-CH"/>
        </w:rPr>
        <w:t>,</w:t>
      </w:r>
      <w:r w:rsidRPr="0071782F">
        <w:rPr>
          <w:lang w:val="fr-CH"/>
        </w:rPr>
        <w:t>8</w:t>
      </w:r>
      <w:r w:rsidR="007E5125" w:rsidRPr="0071782F">
        <w:rPr>
          <w:lang w:val="fr-CH"/>
        </w:rPr>
        <w:t>%</w:t>
      </w:r>
      <w:r w:rsidR="008736C2" w:rsidRPr="0071782F">
        <w:rPr>
          <w:lang w:val="fr-CH"/>
        </w:rPr>
        <w:t xml:space="preserve"> d’hommes et </w:t>
      </w:r>
      <w:r w:rsidRPr="0071782F">
        <w:rPr>
          <w:lang w:val="fr-CH"/>
        </w:rPr>
        <w:t>41</w:t>
      </w:r>
      <w:r w:rsidR="008736C2" w:rsidRPr="0071782F">
        <w:rPr>
          <w:lang w:val="fr-CH"/>
        </w:rPr>
        <w:t>,</w:t>
      </w:r>
      <w:r w:rsidRPr="0071782F">
        <w:rPr>
          <w:lang w:val="fr-CH"/>
        </w:rPr>
        <w:t>2</w:t>
      </w:r>
      <w:r w:rsidR="007E5125" w:rsidRPr="0071782F">
        <w:rPr>
          <w:lang w:val="fr-CH"/>
        </w:rPr>
        <w:t>%</w:t>
      </w:r>
      <w:r w:rsidR="008736C2" w:rsidRPr="0071782F">
        <w:rPr>
          <w:lang w:val="fr-CH"/>
        </w:rPr>
        <w:t xml:space="preserve"> de femmes;</w:t>
      </w:r>
      <w:r w:rsidRPr="0071782F">
        <w:rPr>
          <w:lang w:val="fr-CH"/>
        </w:rPr>
        <w:t xml:space="preserve"> 73</w:t>
      </w:r>
      <w:r w:rsidR="008736C2" w:rsidRPr="0071782F">
        <w:rPr>
          <w:lang w:val="fr-CH"/>
        </w:rPr>
        <w:t>,</w:t>
      </w:r>
      <w:r w:rsidRPr="0071782F">
        <w:rPr>
          <w:lang w:val="fr-CH"/>
        </w:rPr>
        <w:t>1</w:t>
      </w:r>
      <w:r w:rsidR="007E5125" w:rsidRPr="0071782F">
        <w:rPr>
          <w:lang w:val="fr-CH"/>
        </w:rPr>
        <w:t>%</w:t>
      </w:r>
      <w:r w:rsidR="008736C2" w:rsidRPr="0071782F">
        <w:rPr>
          <w:lang w:val="fr-CH"/>
        </w:rPr>
        <w:t xml:space="preserve"> de la population alphabétisée résidaient dans les villes et le reste en milieu rural</w:t>
      </w:r>
      <w:r w:rsidRPr="0071782F">
        <w:rPr>
          <w:lang w:val="fr-CH"/>
        </w:rPr>
        <w:t xml:space="preserve">. </w:t>
      </w:r>
    </w:p>
    <w:tbl>
      <w:tblPr>
        <w:tblW w:w="9646"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826"/>
        <w:gridCol w:w="904"/>
        <w:gridCol w:w="515"/>
        <w:gridCol w:w="919"/>
        <w:gridCol w:w="517"/>
        <w:gridCol w:w="962"/>
        <w:gridCol w:w="515"/>
        <w:gridCol w:w="947"/>
        <w:gridCol w:w="558"/>
        <w:gridCol w:w="986"/>
        <w:gridCol w:w="585"/>
        <w:gridCol w:w="935"/>
        <w:gridCol w:w="477"/>
      </w:tblGrid>
      <w:tr w:rsidR="00333944" w:rsidRPr="0071782F">
        <w:trPr>
          <w:tblHeader/>
        </w:trPr>
        <w:tc>
          <w:tcPr>
            <w:tcW w:w="826" w:type="dxa"/>
            <w:vMerge w:val="restart"/>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00" w:lineRule="exact"/>
              <w:rPr>
                <w:i/>
                <w:sz w:val="16"/>
                <w:lang w:val="fr-CH"/>
              </w:rPr>
            </w:pPr>
          </w:p>
        </w:tc>
        <w:tc>
          <w:tcPr>
            <w:tcW w:w="2855" w:type="dxa"/>
            <w:gridSpan w:val="4"/>
            <w:tcBorders>
              <w:top w:val="single" w:sz="4" w:space="0" w:color="auto"/>
              <w:bottom w:val="single" w:sz="4" w:space="0" w:color="auto"/>
              <w:right w:val="single" w:sz="24" w:space="0" w:color="FFFFFF"/>
            </w:tcBorders>
            <w:shd w:val="clear" w:color="000000" w:fill="auto"/>
            <w:vAlign w:val="bottom"/>
          </w:tcPr>
          <w:p w:rsidR="00333944" w:rsidRPr="0071782F" w:rsidRDefault="00333944" w:rsidP="00311068">
            <w:pPr>
              <w:keepNext/>
              <w:keepLines/>
              <w:suppressAutoHyphens w:val="0"/>
              <w:spacing w:before="80" w:after="80" w:line="200" w:lineRule="exact"/>
              <w:jc w:val="center"/>
              <w:rPr>
                <w:i/>
                <w:sz w:val="16"/>
                <w:lang w:val="fr-CH"/>
              </w:rPr>
            </w:pPr>
            <w:r w:rsidRPr="0071782F">
              <w:rPr>
                <w:i/>
                <w:sz w:val="16"/>
                <w:lang w:val="fr-CH"/>
              </w:rPr>
              <w:t>Villages</w:t>
            </w:r>
          </w:p>
        </w:tc>
        <w:tc>
          <w:tcPr>
            <w:tcW w:w="2982" w:type="dxa"/>
            <w:gridSpan w:val="4"/>
            <w:tcBorders>
              <w:top w:val="single" w:sz="4" w:space="0" w:color="auto"/>
              <w:left w:val="single" w:sz="24" w:space="0" w:color="FFFFFF"/>
              <w:bottom w:val="single" w:sz="4" w:space="0" w:color="auto"/>
              <w:right w:val="single" w:sz="24" w:space="0" w:color="FFFFFF"/>
            </w:tcBorders>
            <w:shd w:val="clear" w:color="000000" w:fill="auto"/>
            <w:vAlign w:val="bottom"/>
          </w:tcPr>
          <w:p w:rsidR="00333944" w:rsidRPr="0071782F" w:rsidRDefault="008736C2" w:rsidP="00311068">
            <w:pPr>
              <w:keepNext/>
              <w:keepLines/>
              <w:suppressAutoHyphens w:val="0"/>
              <w:spacing w:before="80" w:after="80" w:line="200" w:lineRule="exact"/>
              <w:jc w:val="center"/>
              <w:rPr>
                <w:i/>
                <w:sz w:val="16"/>
                <w:lang w:val="fr-CH"/>
              </w:rPr>
            </w:pPr>
            <w:r w:rsidRPr="0071782F">
              <w:rPr>
                <w:i/>
                <w:sz w:val="16"/>
                <w:lang w:val="fr-CH"/>
              </w:rPr>
              <w:t>Ville</w:t>
            </w:r>
            <w:r w:rsidR="00333944" w:rsidRPr="0071782F">
              <w:rPr>
                <w:i/>
                <w:sz w:val="16"/>
                <w:lang w:val="fr-CH"/>
              </w:rPr>
              <w:t>s</w:t>
            </w:r>
          </w:p>
        </w:tc>
        <w:tc>
          <w:tcPr>
            <w:tcW w:w="2983" w:type="dxa"/>
            <w:gridSpan w:val="4"/>
            <w:tcBorders>
              <w:top w:val="single" w:sz="4" w:space="0" w:color="auto"/>
              <w:left w:val="single" w:sz="24" w:space="0" w:color="FFFFFF"/>
              <w:bottom w:val="single" w:sz="4" w:space="0" w:color="auto"/>
            </w:tcBorders>
            <w:shd w:val="clear" w:color="000000" w:fill="auto"/>
            <w:vAlign w:val="bottom"/>
          </w:tcPr>
          <w:p w:rsidR="00333944" w:rsidRPr="0071782F" w:rsidRDefault="008736C2" w:rsidP="00311068">
            <w:pPr>
              <w:keepNext/>
              <w:keepLines/>
              <w:suppressAutoHyphens w:val="0"/>
              <w:spacing w:before="80" w:after="80" w:line="200" w:lineRule="exact"/>
              <w:jc w:val="center"/>
              <w:rPr>
                <w:i/>
                <w:sz w:val="16"/>
                <w:lang w:val="fr-CH"/>
              </w:rPr>
            </w:pPr>
            <w:r w:rsidRPr="0071782F">
              <w:rPr>
                <w:i/>
                <w:sz w:val="16"/>
                <w:lang w:val="fr-CH"/>
              </w:rPr>
              <w:t>Ensemble du pays</w:t>
            </w:r>
          </w:p>
        </w:tc>
      </w:tr>
      <w:tr w:rsidR="00333944" w:rsidRPr="0071782F">
        <w:trPr>
          <w:tblHeader/>
        </w:trPr>
        <w:tc>
          <w:tcPr>
            <w:tcW w:w="826" w:type="dxa"/>
            <w:vMerge/>
            <w:tcBorders>
              <w:top w:val="single" w:sz="12" w:space="0" w:color="auto"/>
              <w:bottom w:val="single" w:sz="12" w:space="0" w:color="auto"/>
            </w:tcBorders>
            <w:shd w:val="clear" w:color="000000" w:fill="auto"/>
            <w:vAlign w:val="bottom"/>
          </w:tcPr>
          <w:p w:rsidR="00333944" w:rsidRPr="0071782F" w:rsidRDefault="00333944" w:rsidP="00311068">
            <w:pPr>
              <w:keepNext/>
              <w:keepLines/>
              <w:suppressAutoHyphens w:val="0"/>
              <w:spacing w:before="40" w:after="40" w:line="220" w:lineRule="exact"/>
              <w:rPr>
                <w:sz w:val="18"/>
                <w:lang w:val="fr-CH"/>
              </w:rPr>
            </w:pPr>
          </w:p>
        </w:tc>
        <w:tc>
          <w:tcPr>
            <w:tcW w:w="904" w:type="dxa"/>
            <w:tcBorders>
              <w:top w:val="single" w:sz="4" w:space="0" w:color="auto"/>
              <w:bottom w:val="single" w:sz="12" w:space="0" w:color="auto"/>
            </w:tcBorders>
            <w:shd w:val="clear" w:color="000000" w:fill="auto"/>
            <w:vAlign w:val="bottom"/>
          </w:tcPr>
          <w:p w:rsidR="00333944" w:rsidRPr="0071782F" w:rsidRDefault="008736C2" w:rsidP="00311068">
            <w:pPr>
              <w:keepNext/>
              <w:keepLines/>
              <w:suppressAutoHyphens w:val="0"/>
              <w:spacing w:before="80" w:after="80" w:line="220" w:lineRule="exact"/>
              <w:jc w:val="right"/>
              <w:rPr>
                <w:i/>
                <w:sz w:val="16"/>
                <w:szCs w:val="16"/>
                <w:lang w:val="fr-CH"/>
              </w:rPr>
            </w:pPr>
            <w:r w:rsidRPr="0071782F">
              <w:rPr>
                <w:i/>
                <w:sz w:val="16"/>
                <w:szCs w:val="16"/>
                <w:lang w:val="fr-CH"/>
              </w:rPr>
              <w:t>Alphabétisée</w:t>
            </w:r>
          </w:p>
        </w:tc>
        <w:tc>
          <w:tcPr>
            <w:tcW w:w="515" w:type="dxa"/>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20" w:lineRule="exact"/>
              <w:jc w:val="right"/>
              <w:rPr>
                <w:i/>
                <w:sz w:val="16"/>
                <w:szCs w:val="16"/>
                <w:lang w:val="fr-CH"/>
              </w:rPr>
            </w:pPr>
            <w:r w:rsidRPr="0071782F">
              <w:rPr>
                <w:i/>
                <w:sz w:val="16"/>
                <w:szCs w:val="16"/>
                <w:lang w:val="fr-CH"/>
              </w:rPr>
              <w:t>%</w:t>
            </w:r>
          </w:p>
        </w:tc>
        <w:tc>
          <w:tcPr>
            <w:tcW w:w="919" w:type="dxa"/>
            <w:tcBorders>
              <w:top w:val="single" w:sz="4" w:space="0" w:color="auto"/>
              <w:bottom w:val="single" w:sz="12" w:space="0" w:color="auto"/>
            </w:tcBorders>
            <w:shd w:val="clear" w:color="000000" w:fill="auto"/>
            <w:vAlign w:val="bottom"/>
          </w:tcPr>
          <w:p w:rsidR="00333944" w:rsidRPr="0071782F" w:rsidRDefault="008736C2" w:rsidP="00311068">
            <w:pPr>
              <w:keepNext/>
              <w:keepLines/>
              <w:suppressAutoHyphens w:val="0"/>
              <w:spacing w:before="80" w:after="80" w:line="220" w:lineRule="exact"/>
              <w:jc w:val="right"/>
              <w:rPr>
                <w:i/>
                <w:sz w:val="16"/>
                <w:szCs w:val="16"/>
                <w:lang w:val="fr-CH"/>
              </w:rPr>
            </w:pPr>
            <w:r w:rsidRPr="0071782F">
              <w:rPr>
                <w:i/>
                <w:sz w:val="16"/>
                <w:szCs w:val="16"/>
                <w:lang w:val="fr-CH"/>
              </w:rPr>
              <w:t>Analphabète</w:t>
            </w:r>
          </w:p>
        </w:tc>
        <w:tc>
          <w:tcPr>
            <w:tcW w:w="517" w:type="dxa"/>
            <w:tcBorders>
              <w:top w:val="single" w:sz="4" w:space="0" w:color="auto"/>
              <w:bottom w:val="single" w:sz="12" w:space="0" w:color="auto"/>
              <w:right w:val="single" w:sz="24" w:space="0" w:color="FFFFFF"/>
            </w:tcBorders>
            <w:shd w:val="clear" w:color="000000" w:fill="auto"/>
            <w:vAlign w:val="bottom"/>
          </w:tcPr>
          <w:p w:rsidR="00333944" w:rsidRPr="0071782F" w:rsidRDefault="00333944" w:rsidP="00311068">
            <w:pPr>
              <w:keepNext/>
              <w:keepLines/>
              <w:suppressAutoHyphens w:val="0"/>
              <w:spacing w:before="80" w:after="80" w:line="220" w:lineRule="exact"/>
              <w:jc w:val="right"/>
              <w:rPr>
                <w:i/>
                <w:sz w:val="16"/>
                <w:szCs w:val="16"/>
                <w:lang w:val="fr-CH"/>
              </w:rPr>
            </w:pPr>
            <w:r w:rsidRPr="0071782F">
              <w:rPr>
                <w:i/>
                <w:sz w:val="16"/>
                <w:szCs w:val="16"/>
                <w:lang w:val="fr-CH"/>
              </w:rPr>
              <w:t>%</w:t>
            </w:r>
          </w:p>
        </w:tc>
        <w:tc>
          <w:tcPr>
            <w:tcW w:w="962" w:type="dxa"/>
            <w:tcBorders>
              <w:top w:val="single" w:sz="4" w:space="0" w:color="auto"/>
              <w:left w:val="single" w:sz="24" w:space="0" w:color="FFFFFF"/>
              <w:bottom w:val="single" w:sz="12" w:space="0" w:color="auto"/>
            </w:tcBorders>
            <w:shd w:val="clear" w:color="000000" w:fill="auto"/>
            <w:vAlign w:val="bottom"/>
          </w:tcPr>
          <w:p w:rsidR="00333944" w:rsidRPr="0071782F" w:rsidRDefault="008736C2" w:rsidP="00311068">
            <w:pPr>
              <w:keepNext/>
              <w:keepLines/>
              <w:suppressAutoHyphens w:val="0"/>
              <w:spacing w:before="80" w:after="80" w:line="220" w:lineRule="exact"/>
              <w:jc w:val="right"/>
              <w:rPr>
                <w:i/>
                <w:sz w:val="16"/>
                <w:szCs w:val="16"/>
                <w:lang w:val="fr-CH"/>
              </w:rPr>
            </w:pPr>
            <w:r w:rsidRPr="0071782F">
              <w:rPr>
                <w:i/>
                <w:sz w:val="16"/>
                <w:szCs w:val="16"/>
                <w:lang w:val="fr-CH"/>
              </w:rPr>
              <w:t>Alphabétisée</w:t>
            </w:r>
          </w:p>
        </w:tc>
        <w:tc>
          <w:tcPr>
            <w:tcW w:w="515" w:type="dxa"/>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20" w:lineRule="exact"/>
              <w:jc w:val="right"/>
              <w:rPr>
                <w:i/>
                <w:sz w:val="16"/>
                <w:szCs w:val="16"/>
                <w:lang w:val="fr-CH"/>
              </w:rPr>
            </w:pPr>
            <w:r w:rsidRPr="0071782F">
              <w:rPr>
                <w:i/>
                <w:sz w:val="16"/>
                <w:szCs w:val="16"/>
                <w:lang w:val="fr-CH"/>
              </w:rPr>
              <w:t>%</w:t>
            </w:r>
          </w:p>
        </w:tc>
        <w:tc>
          <w:tcPr>
            <w:tcW w:w="947" w:type="dxa"/>
            <w:tcBorders>
              <w:top w:val="single" w:sz="4" w:space="0" w:color="auto"/>
              <w:bottom w:val="single" w:sz="12" w:space="0" w:color="auto"/>
            </w:tcBorders>
            <w:shd w:val="clear" w:color="000000" w:fill="auto"/>
            <w:vAlign w:val="bottom"/>
          </w:tcPr>
          <w:p w:rsidR="00333944" w:rsidRPr="0071782F" w:rsidRDefault="008736C2" w:rsidP="00311068">
            <w:pPr>
              <w:keepNext/>
              <w:keepLines/>
              <w:suppressAutoHyphens w:val="0"/>
              <w:spacing w:before="80" w:after="80" w:line="220" w:lineRule="exact"/>
              <w:jc w:val="right"/>
              <w:rPr>
                <w:i/>
                <w:sz w:val="16"/>
                <w:szCs w:val="16"/>
                <w:lang w:val="fr-CH"/>
              </w:rPr>
            </w:pPr>
            <w:r w:rsidRPr="0071782F">
              <w:rPr>
                <w:i/>
                <w:sz w:val="16"/>
                <w:szCs w:val="16"/>
                <w:lang w:val="fr-CH"/>
              </w:rPr>
              <w:t>Analphabète</w:t>
            </w:r>
          </w:p>
        </w:tc>
        <w:tc>
          <w:tcPr>
            <w:tcW w:w="558" w:type="dxa"/>
            <w:tcBorders>
              <w:top w:val="single" w:sz="4" w:space="0" w:color="auto"/>
              <w:bottom w:val="single" w:sz="12" w:space="0" w:color="auto"/>
              <w:right w:val="single" w:sz="24" w:space="0" w:color="FFFFFF"/>
            </w:tcBorders>
            <w:shd w:val="clear" w:color="000000" w:fill="auto"/>
            <w:vAlign w:val="bottom"/>
          </w:tcPr>
          <w:p w:rsidR="00333944" w:rsidRPr="0071782F" w:rsidRDefault="00333944" w:rsidP="00311068">
            <w:pPr>
              <w:keepNext/>
              <w:keepLines/>
              <w:suppressAutoHyphens w:val="0"/>
              <w:spacing w:before="80" w:after="80" w:line="220" w:lineRule="exact"/>
              <w:jc w:val="right"/>
              <w:rPr>
                <w:i/>
                <w:sz w:val="16"/>
                <w:szCs w:val="16"/>
                <w:lang w:val="fr-CH"/>
              </w:rPr>
            </w:pPr>
            <w:r w:rsidRPr="0071782F">
              <w:rPr>
                <w:i/>
                <w:sz w:val="16"/>
                <w:szCs w:val="16"/>
                <w:lang w:val="fr-CH"/>
              </w:rPr>
              <w:t>%</w:t>
            </w:r>
          </w:p>
        </w:tc>
        <w:tc>
          <w:tcPr>
            <w:tcW w:w="986" w:type="dxa"/>
            <w:tcBorders>
              <w:top w:val="single" w:sz="4" w:space="0" w:color="auto"/>
              <w:left w:val="single" w:sz="24" w:space="0" w:color="FFFFFF"/>
              <w:bottom w:val="single" w:sz="12" w:space="0" w:color="auto"/>
            </w:tcBorders>
            <w:shd w:val="clear" w:color="000000" w:fill="auto"/>
            <w:vAlign w:val="bottom"/>
          </w:tcPr>
          <w:p w:rsidR="00333944" w:rsidRPr="0071782F" w:rsidRDefault="008736C2" w:rsidP="00311068">
            <w:pPr>
              <w:keepNext/>
              <w:keepLines/>
              <w:suppressAutoHyphens w:val="0"/>
              <w:spacing w:before="80" w:after="80" w:line="220" w:lineRule="exact"/>
              <w:jc w:val="right"/>
              <w:rPr>
                <w:i/>
                <w:sz w:val="16"/>
                <w:szCs w:val="16"/>
                <w:lang w:val="fr-CH"/>
              </w:rPr>
            </w:pPr>
            <w:r w:rsidRPr="0071782F">
              <w:rPr>
                <w:i/>
                <w:sz w:val="16"/>
                <w:szCs w:val="16"/>
                <w:lang w:val="fr-CH"/>
              </w:rPr>
              <w:t>Alphabétisée</w:t>
            </w:r>
          </w:p>
        </w:tc>
        <w:tc>
          <w:tcPr>
            <w:tcW w:w="585" w:type="dxa"/>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20" w:lineRule="exact"/>
              <w:jc w:val="right"/>
              <w:rPr>
                <w:i/>
                <w:sz w:val="16"/>
                <w:szCs w:val="16"/>
                <w:lang w:val="fr-CH"/>
              </w:rPr>
            </w:pPr>
            <w:r w:rsidRPr="0071782F">
              <w:rPr>
                <w:i/>
                <w:sz w:val="16"/>
                <w:szCs w:val="16"/>
                <w:lang w:val="fr-CH"/>
              </w:rPr>
              <w:t>%</w:t>
            </w:r>
          </w:p>
        </w:tc>
        <w:tc>
          <w:tcPr>
            <w:tcW w:w="935" w:type="dxa"/>
            <w:tcBorders>
              <w:top w:val="single" w:sz="4" w:space="0" w:color="auto"/>
              <w:bottom w:val="single" w:sz="12" w:space="0" w:color="auto"/>
            </w:tcBorders>
            <w:shd w:val="clear" w:color="000000" w:fill="auto"/>
            <w:vAlign w:val="bottom"/>
          </w:tcPr>
          <w:p w:rsidR="00333944" w:rsidRPr="0071782F" w:rsidRDefault="008736C2" w:rsidP="00311068">
            <w:pPr>
              <w:keepNext/>
              <w:keepLines/>
              <w:suppressAutoHyphens w:val="0"/>
              <w:spacing w:before="80" w:after="80" w:line="220" w:lineRule="exact"/>
              <w:jc w:val="right"/>
              <w:rPr>
                <w:i/>
                <w:sz w:val="16"/>
                <w:szCs w:val="16"/>
                <w:lang w:val="fr-CH"/>
              </w:rPr>
            </w:pPr>
            <w:r w:rsidRPr="0071782F">
              <w:rPr>
                <w:i/>
                <w:sz w:val="16"/>
                <w:szCs w:val="16"/>
                <w:lang w:val="fr-CH"/>
              </w:rPr>
              <w:t>Analphabète</w:t>
            </w:r>
          </w:p>
        </w:tc>
        <w:tc>
          <w:tcPr>
            <w:tcW w:w="477" w:type="dxa"/>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20" w:lineRule="exact"/>
              <w:jc w:val="right"/>
              <w:rPr>
                <w:i/>
                <w:sz w:val="16"/>
                <w:szCs w:val="16"/>
                <w:lang w:val="fr-CH"/>
              </w:rPr>
            </w:pPr>
            <w:r w:rsidRPr="0071782F">
              <w:rPr>
                <w:i/>
                <w:sz w:val="16"/>
                <w:szCs w:val="16"/>
                <w:lang w:val="fr-CH"/>
              </w:rPr>
              <w:t>%</w:t>
            </w:r>
          </w:p>
        </w:tc>
      </w:tr>
      <w:tr w:rsidR="00333944" w:rsidRPr="0071782F">
        <w:tc>
          <w:tcPr>
            <w:tcW w:w="826" w:type="dxa"/>
            <w:tcBorders>
              <w:top w:val="single" w:sz="12" w:space="0" w:color="auto"/>
            </w:tcBorders>
            <w:shd w:val="clear" w:color="000000" w:fill="auto"/>
          </w:tcPr>
          <w:p w:rsidR="00333944" w:rsidRPr="0071782F" w:rsidRDefault="008736C2" w:rsidP="00311068">
            <w:pPr>
              <w:keepNext/>
              <w:keepLines/>
              <w:suppressAutoHyphens w:val="0"/>
              <w:spacing w:before="40" w:after="40" w:line="220" w:lineRule="exact"/>
              <w:rPr>
                <w:sz w:val="18"/>
                <w:lang w:val="fr-CH"/>
              </w:rPr>
            </w:pPr>
            <w:r w:rsidRPr="0071782F">
              <w:rPr>
                <w:sz w:val="18"/>
                <w:lang w:val="fr-CH"/>
              </w:rPr>
              <w:t>Hommes</w:t>
            </w:r>
          </w:p>
        </w:tc>
        <w:tc>
          <w:tcPr>
            <w:tcW w:w="904" w:type="dxa"/>
            <w:tcBorders>
              <w:top w:val="single" w:sz="12"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5 286 753</w:t>
            </w:r>
          </w:p>
        </w:tc>
        <w:tc>
          <w:tcPr>
            <w:tcW w:w="515" w:type="dxa"/>
            <w:tcBorders>
              <w:top w:val="single" w:sz="12"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60</w:t>
            </w:r>
          </w:p>
        </w:tc>
        <w:tc>
          <w:tcPr>
            <w:tcW w:w="919" w:type="dxa"/>
            <w:tcBorders>
              <w:top w:val="single" w:sz="12"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3 531 618</w:t>
            </w:r>
          </w:p>
        </w:tc>
        <w:tc>
          <w:tcPr>
            <w:tcW w:w="517" w:type="dxa"/>
            <w:tcBorders>
              <w:top w:val="single" w:sz="12"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40</w:t>
            </w:r>
          </w:p>
        </w:tc>
        <w:tc>
          <w:tcPr>
            <w:tcW w:w="962" w:type="dxa"/>
            <w:tcBorders>
              <w:top w:val="single" w:sz="12"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8 764 725</w:t>
            </w:r>
          </w:p>
        </w:tc>
        <w:tc>
          <w:tcPr>
            <w:tcW w:w="515" w:type="dxa"/>
            <w:tcBorders>
              <w:top w:val="single" w:sz="12"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80</w:t>
            </w:r>
            <w:r w:rsidR="00311068" w:rsidRPr="0071782F">
              <w:rPr>
                <w:sz w:val="18"/>
                <w:lang w:val="fr-CH"/>
              </w:rPr>
              <w:t>,</w:t>
            </w:r>
            <w:r w:rsidRPr="0071782F">
              <w:rPr>
                <w:sz w:val="18"/>
                <w:lang w:val="fr-CH"/>
              </w:rPr>
              <w:t>4</w:t>
            </w:r>
          </w:p>
        </w:tc>
        <w:tc>
          <w:tcPr>
            <w:tcW w:w="947" w:type="dxa"/>
            <w:tcBorders>
              <w:top w:val="single" w:sz="12"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2 141 951</w:t>
            </w:r>
          </w:p>
        </w:tc>
        <w:tc>
          <w:tcPr>
            <w:tcW w:w="558" w:type="dxa"/>
            <w:tcBorders>
              <w:top w:val="single" w:sz="12"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19</w:t>
            </w:r>
            <w:r w:rsidR="00311068" w:rsidRPr="0071782F">
              <w:rPr>
                <w:sz w:val="18"/>
                <w:lang w:val="fr-CH"/>
              </w:rPr>
              <w:t>,</w:t>
            </w:r>
            <w:r w:rsidRPr="0071782F">
              <w:rPr>
                <w:sz w:val="18"/>
                <w:lang w:val="fr-CH"/>
              </w:rPr>
              <w:t>6</w:t>
            </w:r>
          </w:p>
        </w:tc>
        <w:tc>
          <w:tcPr>
            <w:tcW w:w="986" w:type="dxa"/>
            <w:tcBorders>
              <w:top w:val="single" w:sz="12"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14 051 478</w:t>
            </w:r>
          </w:p>
        </w:tc>
        <w:tc>
          <w:tcPr>
            <w:tcW w:w="585" w:type="dxa"/>
            <w:tcBorders>
              <w:top w:val="single" w:sz="12"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71</w:t>
            </w:r>
            <w:r w:rsidR="00311068" w:rsidRPr="0071782F">
              <w:rPr>
                <w:sz w:val="18"/>
                <w:lang w:val="fr-CH"/>
              </w:rPr>
              <w:t>,</w:t>
            </w:r>
            <w:r w:rsidRPr="0071782F">
              <w:rPr>
                <w:sz w:val="18"/>
                <w:lang w:val="fr-CH"/>
              </w:rPr>
              <w:t>2</w:t>
            </w:r>
          </w:p>
        </w:tc>
        <w:tc>
          <w:tcPr>
            <w:tcW w:w="935" w:type="dxa"/>
            <w:tcBorders>
              <w:top w:val="single" w:sz="12"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5 673 569</w:t>
            </w:r>
          </w:p>
        </w:tc>
        <w:tc>
          <w:tcPr>
            <w:tcW w:w="477" w:type="dxa"/>
            <w:tcBorders>
              <w:top w:val="single" w:sz="12"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28</w:t>
            </w:r>
            <w:r w:rsidR="00311068" w:rsidRPr="0071782F">
              <w:rPr>
                <w:sz w:val="18"/>
                <w:lang w:val="fr-CH"/>
              </w:rPr>
              <w:t>,</w:t>
            </w:r>
            <w:r w:rsidRPr="0071782F">
              <w:rPr>
                <w:sz w:val="18"/>
                <w:lang w:val="fr-CH"/>
              </w:rPr>
              <w:t>8</w:t>
            </w:r>
          </w:p>
        </w:tc>
      </w:tr>
      <w:tr w:rsidR="00333944" w:rsidRPr="0071782F">
        <w:tc>
          <w:tcPr>
            <w:tcW w:w="826" w:type="dxa"/>
            <w:tcBorders>
              <w:bottom w:val="single" w:sz="4" w:space="0" w:color="auto"/>
            </w:tcBorders>
            <w:shd w:val="clear" w:color="000000" w:fill="auto"/>
          </w:tcPr>
          <w:p w:rsidR="00333944" w:rsidRPr="0071782F" w:rsidRDefault="008736C2" w:rsidP="00311068">
            <w:pPr>
              <w:keepNext/>
              <w:keepLines/>
              <w:suppressAutoHyphens w:val="0"/>
              <w:spacing w:before="40" w:after="40" w:line="220" w:lineRule="exact"/>
              <w:rPr>
                <w:sz w:val="18"/>
                <w:lang w:val="fr-CH"/>
              </w:rPr>
            </w:pPr>
            <w:r w:rsidRPr="0071782F">
              <w:rPr>
                <w:sz w:val="18"/>
                <w:lang w:val="fr-CH"/>
              </w:rPr>
              <w:t>Femmes</w:t>
            </w:r>
          </w:p>
        </w:tc>
        <w:tc>
          <w:tcPr>
            <w:tcW w:w="904" w:type="dxa"/>
            <w:tcBorders>
              <w:bottom w:val="single" w:sz="4"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3 083 890</w:t>
            </w:r>
          </w:p>
        </w:tc>
        <w:tc>
          <w:tcPr>
            <w:tcW w:w="515" w:type="dxa"/>
            <w:tcBorders>
              <w:bottom w:val="single" w:sz="4"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36</w:t>
            </w:r>
            <w:r w:rsidR="00311068" w:rsidRPr="0071782F">
              <w:rPr>
                <w:sz w:val="18"/>
                <w:lang w:val="fr-CH"/>
              </w:rPr>
              <w:t>,</w:t>
            </w:r>
            <w:r w:rsidRPr="0071782F">
              <w:rPr>
                <w:sz w:val="18"/>
                <w:lang w:val="fr-CH"/>
              </w:rPr>
              <w:t>3</w:t>
            </w:r>
          </w:p>
        </w:tc>
        <w:tc>
          <w:tcPr>
            <w:tcW w:w="919" w:type="dxa"/>
            <w:tcBorders>
              <w:bottom w:val="single" w:sz="4"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5 406 600</w:t>
            </w:r>
          </w:p>
        </w:tc>
        <w:tc>
          <w:tcPr>
            <w:tcW w:w="517" w:type="dxa"/>
            <w:tcBorders>
              <w:bottom w:val="single" w:sz="4"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63</w:t>
            </w:r>
            <w:r w:rsidR="00311068" w:rsidRPr="0071782F">
              <w:rPr>
                <w:sz w:val="18"/>
                <w:lang w:val="fr-CH"/>
              </w:rPr>
              <w:t>,</w:t>
            </w:r>
            <w:r w:rsidRPr="0071782F">
              <w:rPr>
                <w:sz w:val="18"/>
                <w:lang w:val="fr-CH"/>
              </w:rPr>
              <w:t>7</w:t>
            </w:r>
          </w:p>
        </w:tc>
        <w:tc>
          <w:tcPr>
            <w:tcW w:w="962" w:type="dxa"/>
            <w:tcBorders>
              <w:bottom w:val="single" w:sz="4"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6 741 941</w:t>
            </w:r>
          </w:p>
        </w:tc>
        <w:tc>
          <w:tcPr>
            <w:tcW w:w="515" w:type="dxa"/>
            <w:tcBorders>
              <w:bottom w:val="single" w:sz="4"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65</w:t>
            </w:r>
            <w:r w:rsidR="00311068" w:rsidRPr="0071782F">
              <w:rPr>
                <w:sz w:val="18"/>
                <w:lang w:val="fr-CH"/>
              </w:rPr>
              <w:t>,</w:t>
            </w:r>
            <w:r w:rsidRPr="0071782F">
              <w:rPr>
                <w:sz w:val="18"/>
                <w:lang w:val="fr-CH"/>
              </w:rPr>
              <w:t>4</w:t>
            </w:r>
          </w:p>
        </w:tc>
        <w:tc>
          <w:tcPr>
            <w:tcW w:w="947" w:type="dxa"/>
            <w:tcBorders>
              <w:bottom w:val="single" w:sz="4"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3 561 686</w:t>
            </w:r>
          </w:p>
        </w:tc>
        <w:tc>
          <w:tcPr>
            <w:tcW w:w="558" w:type="dxa"/>
            <w:tcBorders>
              <w:bottom w:val="single" w:sz="4"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34</w:t>
            </w:r>
            <w:r w:rsidR="00311068" w:rsidRPr="0071782F">
              <w:rPr>
                <w:sz w:val="18"/>
                <w:lang w:val="fr-CH"/>
              </w:rPr>
              <w:t>,</w:t>
            </w:r>
            <w:r w:rsidRPr="0071782F">
              <w:rPr>
                <w:sz w:val="18"/>
                <w:lang w:val="fr-CH"/>
              </w:rPr>
              <w:t>6</w:t>
            </w:r>
          </w:p>
        </w:tc>
        <w:tc>
          <w:tcPr>
            <w:tcW w:w="986" w:type="dxa"/>
            <w:tcBorders>
              <w:bottom w:val="single" w:sz="4"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9 825 831</w:t>
            </w:r>
          </w:p>
        </w:tc>
        <w:tc>
          <w:tcPr>
            <w:tcW w:w="585" w:type="dxa"/>
            <w:tcBorders>
              <w:bottom w:val="single" w:sz="4"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52</w:t>
            </w:r>
            <w:r w:rsidR="00311068" w:rsidRPr="0071782F">
              <w:rPr>
                <w:sz w:val="18"/>
                <w:lang w:val="fr-CH"/>
              </w:rPr>
              <w:t>,</w:t>
            </w:r>
            <w:r w:rsidRPr="0071782F">
              <w:rPr>
                <w:sz w:val="18"/>
                <w:lang w:val="fr-CH"/>
              </w:rPr>
              <w:t>3</w:t>
            </w:r>
          </w:p>
        </w:tc>
        <w:tc>
          <w:tcPr>
            <w:tcW w:w="935" w:type="dxa"/>
            <w:tcBorders>
              <w:bottom w:val="single" w:sz="4"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8 966 286</w:t>
            </w:r>
          </w:p>
        </w:tc>
        <w:tc>
          <w:tcPr>
            <w:tcW w:w="477" w:type="dxa"/>
            <w:tcBorders>
              <w:bottom w:val="single" w:sz="4" w:space="0" w:color="auto"/>
            </w:tcBorders>
            <w:shd w:val="clear" w:color="000000" w:fill="auto"/>
            <w:vAlign w:val="bottom"/>
          </w:tcPr>
          <w:p w:rsidR="00333944" w:rsidRPr="0071782F" w:rsidRDefault="00333944" w:rsidP="00311068">
            <w:pPr>
              <w:keepNext/>
              <w:keepLines/>
              <w:suppressAutoHyphens w:val="0"/>
              <w:spacing w:before="40" w:after="40" w:line="220" w:lineRule="exact"/>
              <w:jc w:val="right"/>
              <w:rPr>
                <w:sz w:val="18"/>
                <w:lang w:val="fr-CH"/>
              </w:rPr>
            </w:pPr>
            <w:r w:rsidRPr="0071782F">
              <w:rPr>
                <w:sz w:val="18"/>
                <w:lang w:val="fr-CH"/>
              </w:rPr>
              <w:t>47</w:t>
            </w:r>
            <w:r w:rsidR="00311068" w:rsidRPr="0071782F">
              <w:rPr>
                <w:sz w:val="18"/>
                <w:lang w:val="fr-CH"/>
              </w:rPr>
              <w:t>,</w:t>
            </w:r>
            <w:r w:rsidRPr="0071782F">
              <w:rPr>
                <w:sz w:val="18"/>
                <w:lang w:val="fr-CH"/>
              </w:rPr>
              <w:t>7</w:t>
            </w:r>
          </w:p>
        </w:tc>
      </w:tr>
      <w:tr w:rsidR="00333944" w:rsidRPr="0071782F">
        <w:tc>
          <w:tcPr>
            <w:tcW w:w="826" w:type="dxa"/>
            <w:tcBorders>
              <w:top w:val="single" w:sz="4" w:space="0" w:color="auto"/>
              <w:bottom w:val="single" w:sz="12" w:space="0" w:color="auto"/>
            </w:tcBorders>
            <w:shd w:val="clear" w:color="000000" w:fill="auto"/>
          </w:tcPr>
          <w:p w:rsidR="00333944" w:rsidRPr="0071782F" w:rsidRDefault="00333944" w:rsidP="00311068">
            <w:pPr>
              <w:keepNext/>
              <w:keepLines/>
              <w:suppressAutoHyphens w:val="0"/>
              <w:spacing w:before="80" w:after="80" w:line="220" w:lineRule="exact"/>
              <w:ind w:firstLine="284"/>
              <w:rPr>
                <w:b/>
                <w:sz w:val="18"/>
                <w:lang w:val="fr-CH"/>
              </w:rPr>
            </w:pPr>
            <w:r w:rsidRPr="0071782F">
              <w:rPr>
                <w:b/>
                <w:sz w:val="18"/>
                <w:lang w:val="fr-CH"/>
              </w:rPr>
              <w:t>Total</w:t>
            </w:r>
          </w:p>
        </w:tc>
        <w:tc>
          <w:tcPr>
            <w:tcW w:w="904" w:type="dxa"/>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20" w:lineRule="exact"/>
              <w:jc w:val="right"/>
              <w:rPr>
                <w:b/>
                <w:sz w:val="18"/>
                <w:lang w:val="fr-CH"/>
              </w:rPr>
            </w:pPr>
            <w:r w:rsidRPr="0071782F">
              <w:rPr>
                <w:b/>
                <w:sz w:val="18"/>
                <w:lang w:val="fr-CH"/>
              </w:rPr>
              <w:t>8 370 643</w:t>
            </w:r>
          </w:p>
        </w:tc>
        <w:tc>
          <w:tcPr>
            <w:tcW w:w="515" w:type="dxa"/>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20" w:lineRule="exact"/>
              <w:jc w:val="right"/>
              <w:rPr>
                <w:b/>
                <w:sz w:val="18"/>
                <w:lang w:val="fr-CH"/>
              </w:rPr>
            </w:pPr>
            <w:r w:rsidRPr="0071782F">
              <w:rPr>
                <w:b/>
                <w:sz w:val="18"/>
                <w:lang w:val="fr-CH"/>
              </w:rPr>
              <w:t>48</w:t>
            </w:r>
            <w:r w:rsidR="00311068" w:rsidRPr="0071782F">
              <w:rPr>
                <w:b/>
                <w:sz w:val="18"/>
                <w:lang w:val="fr-CH"/>
              </w:rPr>
              <w:t>,</w:t>
            </w:r>
            <w:r w:rsidRPr="0071782F">
              <w:rPr>
                <w:b/>
                <w:sz w:val="18"/>
                <w:lang w:val="fr-CH"/>
              </w:rPr>
              <w:t>4</w:t>
            </w:r>
          </w:p>
        </w:tc>
        <w:tc>
          <w:tcPr>
            <w:tcW w:w="919" w:type="dxa"/>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20" w:lineRule="exact"/>
              <w:jc w:val="right"/>
              <w:rPr>
                <w:b/>
                <w:sz w:val="18"/>
                <w:lang w:val="fr-CH"/>
              </w:rPr>
            </w:pPr>
            <w:r w:rsidRPr="0071782F">
              <w:rPr>
                <w:b/>
                <w:sz w:val="18"/>
                <w:lang w:val="fr-CH"/>
              </w:rPr>
              <w:t>8 936 218</w:t>
            </w:r>
          </w:p>
        </w:tc>
        <w:tc>
          <w:tcPr>
            <w:tcW w:w="517" w:type="dxa"/>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20" w:lineRule="exact"/>
              <w:jc w:val="right"/>
              <w:rPr>
                <w:b/>
                <w:sz w:val="18"/>
                <w:lang w:val="fr-CH"/>
              </w:rPr>
            </w:pPr>
            <w:r w:rsidRPr="0071782F">
              <w:rPr>
                <w:b/>
                <w:sz w:val="18"/>
                <w:lang w:val="fr-CH"/>
              </w:rPr>
              <w:t>51</w:t>
            </w:r>
            <w:r w:rsidR="00311068" w:rsidRPr="0071782F">
              <w:rPr>
                <w:b/>
                <w:sz w:val="18"/>
                <w:lang w:val="fr-CH"/>
              </w:rPr>
              <w:t>,</w:t>
            </w:r>
            <w:r w:rsidRPr="0071782F">
              <w:rPr>
                <w:b/>
                <w:sz w:val="18"/>
                <w:lang w:val="fr-CH"/>
              </w:rPr>
              <w:t>6</w:t>
            </w:r>
          </w:p>
        </w:tc>
        <w:tc>
          <w:tcPr>
            <w:tcW w:w="962" w:type="dxa"/>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20" w:lineRule="exact"/>
              <w:jc w:val="right"/>
              <w:rPr>
                <w:b/>
                <w:sz w:val="18"/>
                <w:lang w:val="fr-CH"/>
              </w:rPr>
            </w:pPr>
            <w:r w:rsidRPr="0071782F">
              <w:rPr>
                <w:b/>
                <w:sz w:val="18"/>
                <w:lang w:val="fr-CH"/>
              </w:rPr>
              <w:t>15 506 666</w:t>
            </w:r>
          </w:p>
        </w:tc>
        <w:tc>
          <w:tcPr>
            <w:tcW w:w="515" w:type="dxa"/>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20" w:lineRule="exact"/>
              <w:jc w:val="right"/>
              <w:rPr>
                <w:b/>
                <w:sz w:val="18"/>
                <w:lang w:val="fr-CH"/>
              </w:rPr>
            </w:pPr>
            <w:r w:rsidRPr="0071782F">
              <w:rPr>
                <w:b/>
                <w:sz w:val="18"/>
                <w:lang w:val="fr-CH"/>
              </w:rPr>
              <w:t>73</w:t>
            </w:r>
            <w:r w:rsidR="00311068" w:rsidRPr="0071782F">
              <w:rPr>
                <w:b/>
                <w:sz w:val="18"/>
                <w:lang w:val="fr-CH"/>
              </w:rPr>
              <w:t>,</w:t>
            </w:r>
            <w:r w:rsidRPr="0071782F">
              <w:rPr>
                <w:b/>
                <w:sz w:val="18"/>
                <w:lang w:val="fr-CH"/>
              </w:rPr>
              <w:t>1</w:t>
            </w:r>
          </w:p>
        </w:tc>
        <w:tc>
          <w:tcPr>
            <w:tcW w:w="947" w:type="dxa"/>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20" w:lineRule="exact"/>
              <w:jc w:val="right"/>
              <w:rPr>
                <w:b/>
                <w:sz w:val="18"/>
                <w:lang w:val="fr-CH"/>
              </w:rPr>
            </w:pPr>
            <w:r w:rsidRPr="0071782F">
              <w:rPr>
                <w:b/>
                <w:sz w:val="18"/>
                <w:lang w:val="fr-CH"/>
              </w:rPr>
              <w:t>5 703 637</w:t>
            </w:r>
          </w:p>
        </w:tc>
        <w:tc>
          <w:tcPr>
            <w:tcW w:w="558" w:type="dxa"/>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20" w:lineRule="exact"/>
              <w:jc w:val="right"/>
              <w:rPr>
                <w:b/>
                <w:sz w:val="18"/>
                <w:lang w:val="fr-CH"/>
              </w:rPr>
            </w:pPr>
            <w:r w:rsidRPr="0071782F">
              <w:rPr>
                <w:b/>
                <w:sz w:val="18"/>
                <w:lang w:val="fr-CH"/>
              </w:rPr>
              <w:t>26</w:t>
            </w:r>
            <w:r w:rsidR="00311068" w:rsidRPr="0071782F">
              <w:rPr>
                <w:b/>
                <w:sz w:val="18"/>
                <w:lang w:val="fr-CH"/>
              </w:rPr>
              <w:t>,</w:t>
            </w:r>
            <w:r w:rsidRPr="0071782F">
              <w:rPr>
                <w:b/>
                <w:sz w:val="18"/>
                <w:lang w:val="fr-CH"/>
              </w:rPr>
              <w:t>9</w:t>
            </w:r>
          </w:p>
        </w:tc>
        <w:tc>
          <w:tcPr>
            <w:tcW w:w="986" w:type="dxa"/>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20" w:lineRule="exact"/>
              <w:jc w:val="right"/>
              <w:rPr>
                <w:b/>
                <w:sz w:val="18"/>
                <w:lang w:val="fr-CH"/>
              </w:rPr>
            </w:pPr>
            <w:r w:rsidRPr="0071782F">
              <w:rPr>
                <w:b/>
                <w:sz w:val="18"/>
                <w:lang w:val="fr-CH"/>
              </w:rPr>
              <w:t>23 877 309</w:t>
            </w:r>
          </w:p>
        </w:tc>
        <w:tc>
          <w:tcPr>
            <w:tcW w:w="585" w:type="dxa"/>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20" w:lineRule="exact"/>
              <w:jc w:val="right"/>
              <w:rPr>
                <w:b/>
                <w:sz w:val="18"/>
                <w:lang w:val="fr-CH"/>
              </w:rPr>
            </w:pPr>
            <w:r w:rsidRPr="0071782F">
              <w:rPr>
                <w:b/>
                <w:sz w:val="18"/>
                <w:lang w:val="fr-CH"/>
              </w:rPr>
              <w:t>62</w:t>
            </w:r>
          </w:p>
        </w:tc>
        <w:tc>
          <w:tcPr>
            <w:tcW w:w="935" w:type="dxa"/>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20" w:lineRule="exact"/>
              <w:jc w:val="right"/>
              <w:rPr>
                <w:b/>
                <w:sz w:val="18"/>
                <w:lang w:val="fr-CH"/>
              </w:rPr>
            </w:pPr>
            <w:r w:rsidRPr="0071782F">
              <w:rPr>
                <w:b/>
                <w:sz w:val="18"/>
                <w:lang w:val="fr-CH"/>
              </w:rPr>
              <w:t>14 639 855</w:t>
            </w:r>
          </w:p>
        </w:tc>
        <w:tc>
          <w:tcPr>
            <w:tcW w:w="477" w:type="dxa"/>
            <w:tcBorders>
              <w:top w:val="single" w:sz="4" w:space="0" w:color="auto"/>
              <w:bottom w:val="single" w:sz="12" w:space="0" w:color="auto"/>
            </w:tcBorders>
            <w:shd w:val="clear" w:color="000000" w:fill="auto"/>
            <w:vAlign w:val="bottom"/>
          </w:tcPr>
          <w:p w:rsidR="00333944" w:rsidRPr="0071782F" w:rsidRDefault="00333944" w:rsidP="00311068">
            <w:pPr>
              <w:keepNext/>
              <w:keepLines/>
              <w:suppressAutoHyphens w:val="0"/>
              <w:spacing w:before="80" w:after="80" w:line="220" w:lineRule="exact"/>
              <w:jc w:val="right"/>
              <w:rPr>
                <w:b/>
                <w:sz w:val="18"/>
                <w:lang w:val="fr-CH"/>
              </w:rPr>
            </w:pPr>
            <w:r w:rsidRPr="0071782F">
              <w:rPr>
                <w:b/>
                <w:sz w:val="18"/>
                <w:lang w:val="fr-CH"/>
              </w:rPr>
              <w:t>38</w:t>
            </w:r>
          </w:p>
        </w:tc>
      </w:tr>
    </w:tbl>
    <w:p w:rsidR="00333944" w:rsidRPr="0071782F" w:rsidRDefault="00333944" w:rsidP="00333944">
      <w:pPr>
        <w:pStyle w:val="H1G"/>
        <w:rPr>
          <w:lang w:val="fr-CH"/>
        </w:rPr>
      </w:pPr>
      <w:r w:rsidRPr="0071782F">
        <w:rPr>
          <w:lang w:val="fr-CH"/>
        </w:rPr>
        <w:tab/>
      </w:r>
      <w:r w:rsidRPr="0071782F">
        <w:rPr>
          <w:lang w:val="fr-CH"/>
        </w:rPr>
        <w:tab/>
      </w:r>
      <w:r w:rsidR="008736C2" w:rsidRPr="0071782F">
        <w:rPr>
          <w:lang w:val="fr-CH"/>
        </w:rPr>
        <w:t>Population alphabétisée âgée de plus de six</w:t>
      </w:r>
      <w:r w:rsidR="00D82C96" w:rsidRPr="0071782F">
        <w:rPr>
          <w:lang w:val="fr-CH"/>
        </w:rPr>
        <w:t> ans</w:t>
      </w:r>
      <w:r w:rsidR="008736C2" w:rsidRPr="0071782F">
        <w:rPr>
          <w:lang w:val="fr-CH"/>
        </w:rPr>
        <w:t xml:space="preserve"> en </w:t>
      </w:r>
      <w:r w:rsidRPr="0071782F">
        <w:rPr>
          <w:lang w:val="fr-CH"/>
        </w:rPr>
        <w:t>1996</w:t>
      </w:r>
    </w:p>
    <w:p w:rsidR="00333944" w:rsidRPr="0071782F" w:rsidRDefault="00333944" w:rsidP="00300B59">
      <w:pPr>
        <w:pStyle w:val="SingleTxtG"/>
        <w:spacing w:after="240"/>
        <w:ind w:left="1701"/>
        <w:rPr>
          <w:lang w:val="fr-CH"/>
        </w:rPr>
      </w:pPr>
      <w:r w:rsidRPr="0071782F">
        <w:rPr>
          <w:lang w:val="fr-CH"/>
        </w:rPr>
        <w:t>362.2</w:t>
      </w:r>
      <w:r w:rsidR="00893980" w:rsidRPr="0071782F">
        <w:rPr>
          <w:lang w:val="fr-CH"/>
        </w:rPr>
        <w:t>.</w:t>
      </w:r>
      <w:r w:rsidRPr="0071782F">
        <w:rPr>
          <w:lang w:val="fr-CH"/>
        </w:rPr>
        <w:tab/>
      </w:r>
      <w:r w:rsidR="008736C2" w:rsidRPr="0071782F">
        <w:rPr>
          <w:lang w:val="fr-CH"/>
        </w:rPr>
        <w:t xml:space="preserve">Selon le recensement de </w:t>
      </w:r>
      <w:r w:rsidRPr="0071782F">
        <w:rPr>
          <w:lang w:val="fr-CH"/>
        </w:rPr>
        <w:t>1996, 79</w:t>
      </w:r>
      <w:r w:rsidR="008736C2" w:rsidRPr="0071782F">
        <w:rPr>
          <w:lang w:val="fr-CH"/>
        </w:rPr>
        <w:t>,</w:t>
      </w:r>
      <w:r w:rsidRPr="0071782F">
        <w:rPr>
          <w:lang w:val="fr-CH"/>
        </w:rPr>
        <w:t>6</w:t>
      </w:r>
      <w:r w:rsidR="007E5125" w:rsidRPr="0071782F">
        <w:rPr>
          <w:lang w:val="fr-CH"/>
        </w:rPr>
        <w:t>%</w:t>
      </w:r>
      <w:r w:rsidR="008736C2" w:rsidRPr="0071782F">
        <w:rPr>
          <w:lang w:val="fr-CH"/>
        </w:rPr>
        <w:t xml:space="preserve"> de la </w:t>
      </w:r>
      <w:r w:rsidRPr="0071782F">
        <w:rPr>
          <w:lang w:val="fr-CH"/>
        </w:rPr>
        <w:t xml:space="preserve">population </w:t>
      </w:r>
      <w:r w:rsidR="008736C2" w:rsidRPr="0071782F">
        <w:rPr>
          <w:lang w:val="fr-CH"/>
        </w:rPr>
        <w:t>âgée de plus de six</w:t>
      </w:r>
      <w:r w:rsidR="00D82C96" w:rsidRPr="0071782F">
        <w:rPr>
          <w:lang w:val="fr-CH"/>
        </w:rPr>
        <w:t> ans</w:t>
      </w:r>
      <w:r w:rsidR="008736C2" w:rsidRPr="0071782F">
        <w:rPr>
          <w:lang w:val="fr-CH"/>
        </w:rPr>
        <w:t xml:space="preserve"> étaient alphabétisés; </w:t>
      </w:r>
      <w:r w:rsidRPr="0071782F">
        <w:rPr>
          <w:lang w:val="fr-CH"/>
        </w:rPr>
        <w:t>62</w:t>
      </w:r>
      <w:r w:rsidR="008736C2" w:rsidRPr="0071782F">
        <w:rPr>
          <w:lang w:val="fr-CH"/>
        </w:rPr>
        <w:t>,</w:t>
      </w:r>
      <w:r w:rsidRPr="0071782F">
        <w:rPr>
          <w:lang w:val="fr-CH"/>
        </w:rPr>
        <w:t>4</w:t>
      </w:r>
      <w:r w:rsidR="007E5125" w:rsidRPr="0071782F">
        <w:rPr>
          <w:lang w:val="fr-CH"/>
        </w:rPr>
        <w:t>%</w:t>
      </w:r>
      <w:r w:rsidR="008736C2" w:rsidRPr="0071782F">
        <w:rPr>
          <w:lang w:val="fr-CH"/>
        </w:rPr>
        <w:t xml:space="preserve"> de la population alphabétisée résidaient dans les villes et le reste en milieu rural</w:t>
      </w:r>
      <w:r w:rsidRPr="0071782F">
        <w:rPr>
          <w:lang w:val="fr-CH"/>
        </w:rPr>
        <w:t xml:space="preserve">. </w:t>
      </w:r>
    </w:p>
    <w:tbl>
      <w:tblPr>
        <w:tblW w:w="9639"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844"/>
        <w:gridCol w:w="1020"/>
        <w:gridCol w:w="516"/>
        <w:gridCol w:w="877"/>
        <w:gridCol w:w="519"/>
        <w:gridCol w:w="1021"/>
        <w:gridCol w:w="516"/>
        <w:gridCol w:w="877"/>
        <w:gridCol w:w="519"/>
        <w:gridCol w:w="1021"/>
        <w:gridCol w:w="516"/>
        <w:gridCol w:w="877"/>
        <w:gridCol w:w="516"/>
      </w:tblGrid>
      <w:tr w:rsidR="00333944" w:rsidRPr="0071782F">
        <w:trPr>
          <w:tblHeader/>
        </w:trPr>
        <w:tc>
          <w:tcPr>
            <w:tcW w:w="844" w:type="dxa"/>
            <w:vMerge w:val="restart"/>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00" w:lineRule="exact"/>
              <w:rPr>
                <w:i/>
                <w:sz w:val="16"/>
                <w:lang w:val="fr-CH"/>
              </w:rPr>
            </w:pPr>
          </w:p>
        </w:tc>
        <w:tc>
          <w:tcPr>
            <w:tcW w:w="2932" w:type="dxa"/>
            <w:gridSpan w:val="4"/>
            <w:tcBorders>
              <w:top w:val="single" w:sz="4" w:space="0" w:color="auto"/>
              <w:bottom w:val="single" w:sz="4" w:space="0" w:color="auto"/>
              <w:right w:val="single" w:sz="24" w:space="0" w:color="FFFFFF"/>
            </w:tcBorders>
            <w:shd w:val="clear" w:color="000000" w:fill="auto"/>
            <w:vAlign w:val="bottom"/>
          </w:tcPr>
          <w:p w:rsidR="00333944" w:rsidRPr="0071782F" w:rsidRDefault="008736C2" w:rsidP="00311068">
            <w:pPr>
              <w:suppressAutoHyphens w:val="0"/>
              <w:spacing w:before="80" w:after="80" w:line="200" w:lineRule="exact"/>
              <w:jc w:val="center"/>
              <w:rPr>
                <w:i/>
                <w:sz w:val="16"/>
                <w:lang w:val="fr-CH"/>
              </w:rPr>
            </w:pPr>
            <w:r w:rsidRPr="0071782F">
              <w:rPr>
                <w:i/>
                <w:sz w:val="16"/>
                <w:lang w:val="fr-CH"/>
              </w:rPr>
              <w:t>Ensemble du pays</w:t>
            </w:r>
          </w:p>
        </w:tc>
        <w:tc>
          <w:tcPr>
            <w:tcW w:w="2933" w:type="dxa"/>
            <w:gridSpan w:val="4"/>
            <w:tcBorders>
              <w:top w:val="single" w:sz="4" w:space="0" w:color="auto"/>
              <w:left w:val="single" w:sz="24" w:space="0" w:color="FFFFFF"/>
              <w:bottom w:val="single" w:sz="4" w:space="0" w:color="auto"/>
              <w:right w:val="single" w:sz="24" w:space="0" w:color="FFFFFF"/>
            </w:tcBorders>
            <w:shd w:val="clear" w:color="000000" w:fill="auto"/>
            <w:vAlign w:val="bottom"/>
          </w:tcPr>
          <w:p w:rsidR="00333944" w:rsidRPr="0071782F" w:rsidRDefault="008736C2" w:rsidP="00311068">
            <w:pPr>
              <w:suppressAutoHyphens w:val="0"/>
              <w:spacing w:before="80" w:after="80" w:line="200" w:lineRule="exact"/>
              <w:jc w:val="center"/>
              <w:rPr>
                <w:i/>
                <w:sz w:val="16"/>
                <w:lang w:val="fr-CH"/>
              </w:rPr>
            </w:pPr>
            <w:r w:rsidRPr="0071782F">
              <w:rPr>
                <w:i/>
                <w:sz w:val="16"/>
                <w:lang w:val="fr-CH"/>
              </w:rPr>
              <w:t>Villes</w:t>
            </w:r>
          </w:p>
        </w:tc>
        <w:tc>
          <w:tcPr>
            <w:tcW w:w="2930" w:type="dxa"/>
            <w:gridSpan w:val="4"/>
            <w:tcBorders>
              <w:top w:val="single" w:sz="4" w:space="0" w:color="auto"/>
              <w:left w:val="single" w:sz="24" w:space="0" w:color="FFFFFF"/>
              <w:bottom w:val="single" w:sz="4" w:space="0" w:color="auto"/>
            </w:tcBorders>
            <w:shd w:val="clear" w:color="000000" w:fill="auto"/>
            <w:vAlign w:val="bottom"/>
          </w:tcPr>
          <w:p w:rsidR="00333944" w:rsidRPr="0071782F" w:rsidRDefault="00333944" w:rsidP="00311068">
            <w:pPr>
              <w:suppressAutoHyphens w:val="0"/>
              <w:spacing w:before="80" w:after="80" w:line="200" w:lineRule="exact"/>
              <w:jc w:val="center"/>
              <w:rPr>
                <w:i/>
                <w:sz w:val="16"/>
                <w:lang w:val="fr-CH"/>
              </w:rPr>
            </w:pPr>
            <w:r w:rsidRPr="0071782F">
              <w:rPr>
                <w:i/>
                <w:sz w:val="16"/>
                <w:lang w:val="fr-CH"/>
              </w:rPr>
              <w:t>Villages</w:t>
            </w:r>
          </w:p>
        </w:tc>
      </w:tr>
      <w:tr w:rsidR="00333944" w:rsidRPr="0071782F">
        <w:trPr>
          <w:tblHeader/>
        </w:trPr>
        <w:tc>
          <w:tcPr>
            <w:tcW w:w="844" w:type="dxa"/>
            <w:vMerge/>
            <w:tcBorders>
              <w:top w:val="single" w:sz="12" w:space="0" w:color="auto"/>
              <w:bottom w:val="single" w:sz="12" w:space="0" w:color="auto"/>
            </w:tcBorders>
            <w:shd w:val="clear" w:color="000000" w:fill="auto"/>
            <w:vAlign w:val="bottom"/>
          </w:tcPr>
          <w:p w:rsidR="00333944" w:rsidRPr="0071782F" w:rsidRDefault="00333944" w:rsidP="00311068">
            <w:pPr>
              <w:suppressAutoHyphens w:val="0"/>
              <w:spacing w:before="40" w:after="40" w:line="220" w:lineRule="exact"/>
              <w:rPr>
                <w:sz w:val="18"/>
                <w:lang w:val="fr-CH"/>
              </w:rPr>
            </w:pPr>
          </w:p>
        </w:tc>
        <w:tc>
          <w:tcPr>
            <w:tcW w:w="1020" w:type="dxa"/>
            <w:tcBorders>
              <w:top w:val="single" w:sz="4" w:space="0" w:color="auto"/>
              <w:bottom w:val="single" w:sz="12" w:space="0" w:color="auto"/>
            </w:tcBorders>
            <w:shd w:val="clear" w:color="000000" w:fill="auto"/>
            <w:vAlign w:val="bottom"/>
          </w:tcPr>
          <w:p w:rsidR="00333944" w:rsidRPr="0071782F" w:rsidRDefault="008736C2" w:rsidP="00311068">
            <w:pPr>
              <w:suppressAutoHyphens w:val="0"/>
              <w:spacing w:before="80" w:after="80" w:line="220" w:lineRule="exact"/>
              <w:jc w:val="right"/>
              <w:rPr>
                <w:i/>
                <w:sz w:val="16"/>
                <w:szCs w:val="16"/>
                <w:lang w:val="fr-CH"/>
              </w:rPr>
            </w:pPr>
            <w:r w:rsidRPr="0071782F">
              <w:rPr>
                <w:i/>
                <w:sz w:val="16"/>
                <w:szCs w:val="16"/>
                <w:lang w:val="fr-CH"/>
              </w:rPr>
              <w:t>Alphabétisée</w:t>
            </w:r>
          </w:p>
        </w:tc>
        <w:tc>
          <w:tcPr>
            <w:tcW w:w="516"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i/>
                <w:sz w:val="16"/>
                <w:szCs w:val="16"/>
                <w:lang w:val="fr-CH"/>
              </w:rPr>
            </w:pPr>
            <w:r w:rsidRPr="0071782F">
              <w:rPr>
                <w:i/>
                <w:sz w:val="16"/>
                <w:szCs w:val="16"/>
                <w:lang w:val="fr-CH"/>
              </w:rPr>
              <w:t>%</w:t>
            </w:r>
          </w:p>
        </w:tc>
        <w:tc>
          <w:tcPr>
            <w:tcW w:w="877" w:type="dxa"/>
            <w:tcBorders>
              <w:top w:val="single" w:sz="4" w:space="0" w:color="auto"/>
              <w:bottom w:val="single" w:sz="12" w:space="0" w:color="auto"/>
            </w:tcBorders>
            <w:shd w:val="clear" w:color="000000" w:fill="auto"/>
            <w:vAlign w:val="bottom"/>
          </w:tcPr>
          <w:p w:rsidR="00333944" w:rsidRPr="0071782F" w:rsidRDefault="008736C2" w:rsidP="00311068">
            <w:pPr>
              <w:suppressAutoHyphens w:val="0"/>
              <w:spacing w:before="80" w:after="80" w:line="220" w:lineRule="exact"/>
              <w:jc w:val="right"/>
              <w:rPr>
                <w:i/>
                <w:sz w:val="16"/>
                <w:szCs w:val="16"/>
                <w:lang w:val="fr-CH"/>
              </w:rPr>
            </w:pPr>
            <w:r w:rsidRPr="0071782F">
              <w:rPr>
                <w:i/>
                <w:sz w:val="16"/>
                <w:szCs w:val="16"/>
                <w:lang w:val="fr-CH"/>
              </w:rPr>
              <w:t>Analphabète</w:t>
            </w:r>
          </w:p>
        </w:tc>
        <w:tc>
          <w:tcPr>
            <w:tcW w:w="519" w:type="dxa"/>
            <w:tcBorders>
              <w:top w:val="single" w:sz="4" w:space="0" w:color="auto"/>
              <w:bottom w:val="single" w:sz="12" w:space="0" w:color="auto"/>
              <w:right w:val="single" w:sz="24" w:space="0" w:color="FFFFFF"/>
            </w:tcBorders>
            <w:shd w:val="clear" w:color="000000" w:fill="auto"/>
            <w:vAlign w:val="bottom"/>
          </w:tcPr>
          <w:p w:rsidR="00333944" w:rsidRPr="0071782F" w:rsidRDefault="00333944" w:rsidP="00311068">
            <w:pPr>
              <w:suppressAutoHyphens w:val="0"/>
              <w:spacing w:before="80" w:after="80" w:line="220" w:lineRule="exact"/>
              <w:jc w:val="right"/>
              <w:rPr>
                <w:i/>
                <w:sz w:val="16"/>
                <w:szCs w:val="16"/>
                <w:lang w:val="fr-CH"/>
              </w:rPr>
            </w:pPr>
            <w:r w:rsidRPr="0071782F">
              <w:rPr>
                <w:i/>
                <w:sz w:val="16"/>
                <w:szCs w:val="16"/>
                <w:lang w:val="fr-CH"/>
              </w:rPr>
              <w:t>%</w:t>
            </w:r>
          </w:p>
        </w:tc>
        <w:tc>
          <w:tcPr>
            <w:tcW w:w="1021" w:type="dxa"/>
            <w:tcBorders>
              <w:top w:val="single" w:sz="4" w:space="0" w:color="auto"/>
              <w:left w:val="single" w:sz="24" w:space="0" w:color="FFFFFF"/>
              <w:bottom w:val="single" w:sz="12" w:space="0" w:color="auto"/>
            </w:tcBorders>
            <w:shd w:val="clear" w:color="000000" w:fill="auto"/>
            <w:vAlign w:val="bottom"/>
          </w:tcPr>
          <w:p w:rsidR="00333944" w:rsidRPr="0071782F" w:rsidRDefault="008736C2" w:rsidP="00311068">
            <w:pPr>
              <w:suppressAutoHyphens w:val="0"/>
              <w:spacing w:before="80" w:after="80" w:line="220" w:lineRule="exact"/>
              <w:jc w:val="right"/>
              <w:rPr>
                <w:i/>
                <w:sz w:val="16"/>
                <w:szCs w:val="16"/>
                <w:lang w:val="fr-CH"/>
              </w:rPr>
            </w:pPr>
            <w:r w:rsidRPr="0071782F">
              <w:rPr>
                <w:i/>
                <w:sz w:val="16"/>
                <w:szCs w:val="16"/>
                <w:lang w:val="fr-CH"/>
              </w:rPr>
              <w:t>Alphabétisée</w:t>
            </w:r>
          </w:p>
        </w:tc>
        <w:tc>
          <w:tcPr>
            <w:tcW w:w="516"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i/>
                <w:sz w:val="16"/>
                <w:szCs w:val="16"/>
                <w:lang w:val="fr-CH"/>
              </w:rPr>
            </w:pPr>
            <w:r w:rsidRPr="0071782F">
              <w:rPr>
                <w:i/>
                <w:sz w:val="16"/>
                <w:szCs w:val="16"/>
                <w:lang w:val="fr-CH"/>
              </w:rPr>
              <w:t>%</w:t>
            </w:r>
          </w:p>
        </w:tc>
        <w:tc>
          <w:tcPr>
            <w:tcW w:w="877" w:type="dxa"/>
            <w:tcBorders>
              <w:top w:val="single" w:sz="4" w:space="0" w:color="auto"/>
              <w:bottom w:val="single" w:sz="12" w:space="0" w:color="auto"/>
            </w:tcBorders>
            <w:shd w:val="clear" w:color="000000" w:fill="auto"/>
            <w:vAlign w:val="bottom"/>
          </w:tcPr>
          <w:p w:rsidR="00333944" w:rsidRPr="0071782F" w:rsidRDefault="008736C2" w:rsidP="00311068">
            <w:pPr>
              <w:suppressAutoHyphens w:val="0"/>
              <w:spacing w:before="80" w:after="80" w:line="220" w:lineRule="exact"/>
              <w:jc w:val="right"/>
              <w:rPr>
                <w:i/>
                <w:sz w:val="16"/>
                <w:szCs w:val="16"/>
                <w:lang w:val="fr-CH"/>
              </w:rPr>
            </w:pPr>
            <w:r w:rsidRPr="0071782F">
              <w:rPr>
                <w:i/>
                <w:sz w:val="16"/>
                <w:szCs w:val="16"/>
                <w:lang w:val="fr-CH"/>
              </w:rPr>
              <w:t>Analphabète</w:t>
            </w:r>
          </w:p>
        </w:tc>
        <w:tc>
          <w:tcPr>
            <w:tcW w:w="519" w:type="dxa"/>
            <w:tcBorders>
              <w:top w:val="single" w:sz="4" w:space="0" w:color="auto"/>
              <w:bottom w:val="single" w:sz="12" w:space="0" w:color="auto"/>
              <w:right w:val="single" w:sz="24" w:space="0" w:color="FFFFFF"/>
            </w:tcBorders>
            <w:shd w:val="clear" w:color="000000" w:fill="auto"/>
            <w:vAlign w:val="bottom"/>
          </w:tcPr>
          <w:p w:rsidR="00333944" w:rsidRPr="0071782F" w:rsidRDefault="00333944" w:rsidP="00311068">
            <w:pPr>
              <w:suppressAutoHyphens w:val="0"/>
              <w:spacing w:before="80" w:after="80" w:line="220" w:lineRule="exact"/>
              <w:jc w:val="right"/>
              <w:rPr>
                <w:i/>
                <w:sz w:val="16"/>
                <w:szCs w:val="16"/>
                <w:lang w:val="fr-CH"/>
              </w:rPr>
            </w:pPr>
            <w:r w:rsidRPr="0071782F">
              <w:rPr>
                <w:i/>
                <w:sz w:val="16"/>
                <w:szCs w:val="16"/>
                <w:lang w:val="fr-CH"/>
              </w:rPr>
              <w:t>%</w:t>
            </w:r>
          </w:p>
        </w:tc>
        <w:tc>
          <w:tcPr>
            <w:tcW w:w="1021" w:type="dxa"/>
            <w:tcBorders>
              <w:top w:val="single" w:sz="4" w:space="0" w:color="auto"/>
              <w:left w:val="single" w:sz="24" w:space="0" w:color="FFFFFF"/>
              <w:bottom w:val="single" w:sz="12" w:space="0" w:color="auto"/>
            </w:tcBorders>
            <w:shd w:val="clear" w:color="000000" w:fill="auto"/>
            <w:vAlign w:val="bottom"/>
          </w:tcPr>
          <w:p w:rsidR="00333944" w:rsidRPr="0071782F" w:rsidRDefault="008736C2" w:rsidP="00311068">
            <w:pPr>
              <w:suppressAutoHyphens w:val="0"/>
              <w:spacing w:before="80" w:after="80" w:line="220" w:lineRule="exact"/>
              <w:jc w:val="right"/>
              <w:rPr>
                <w:i/>
                <w:sz w:val="16"/>
                <w:szCs w:val="16"/>
                <w:lang w:val="fr-CH"/>
              </w:rPr>
            </w:pPr>
            <w:r w:rsidRPr="0071782F">
              <w:rPr>
                <w:i/>
                <w:sz w:val="16"/>
                <w:szCs w:val="16"/>
                <w:lang w:val="fr-CH"/>
              </w:rPr>
              <w:t>Alphabétisée</w:t>
            </w:r>
          </w:p>
        </w:tc>
        <w:tc>
          <w:tcPr>
            <w:tcW w:w="516"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i/>
                <w:sz w:val="16"/>
                <w:szCs w:val="16"/>
                <w:lang w:val="fr-CH"/>
              </w:rPr>
            </w:pPr>
            <w:r w:rsidRPr="0071782F">
              <w:rPr>
                <w:i/>
                <w:sz w:val="16"/>
                <w:szCs w:val="16"/>
                <w:lang w:val="fr-CH"/>
              </w:rPr>
              <w:t>%</w:t>
            </w:r>
          </w:p>
        </w:tc>
        <w:tc>
          <w:tcPr>
            <w:tcW w:w="877" w:type="dxa"/>
            <w:tcBorders>
              <w:top w:val="single" w:sz="4" w:space="0" w:color="auto"/>
              <w:bottom w:val="single" w:sz="12" w:space="0" w:color="auto"/>
            </w:tcBorders>
            <w:shd w:val="clear" w:color="000000" w:fill="auto"/>
            <w:vAlign w:val="bottom"/>
          </w:tcPr>
          <w:p w:rsidR="00333944" w:rsidRPr="0071782F" w:rsidRDefault="008736C2" w:rsidP="00311068">
            <w:pPr>
              <w:suppressAutoHyphens w:val="0"/>
              <w:spacing w:before="80" w:after="80" w:line="220" w:lineRule="exact"/>
              <w:jc w:val="right"/>
              <w:rPr>
                <w:i/>
                <w:sz w:val="16"/>
                <w:szCs w:val="16"/>
                <w:lang w:val="fr-CH"/>
              </w:rPr>
            </w:pPr>
            <w:r w:rsidRPr="0071782F">
              <w:rPr>
                <w:i/>
                <w:sz w:val="16"/>
                <w:szCs w:val="16"/>
                <w:lang w:val="fr-CH"/>
              </w:rPr>
              <w:t>Analphabète</w:t>
            </w:r>
          </w:p>
        </w:tc>
        <w:tc>
          <w:tcPr>
            <w:tcW w:w="516"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i/>
                <w:sz w:val="16"/>
                <w:szCs w:val="16"/>
                <w:lang w:val="fr-CH"/>
              </w:rPr>
            </w:pPr>
            <w:r w:rsidRPr="0071782F">
              <w:rPr>
                <w:i/>
                <w:sz w:val="16"/>
                <w:szCs w:val="16"/>
                <w:lang w:val="fr-CH"/>
              </w:rPr>
              <w:t>%</w:t>
            </w:r>
          </w:p>
        </w:tc>
      </w:tr>
      <w:tr w:rsidR="00333944" w:rsidRPr="0071782F">
        <w:tc>
          <w:tcPr>
            <w:tcW w:w="844" w:type="dxa"/>
            <w:tcBorders>
              <w:top w:val="single" w:sz="12" w:space="0" w:color="auto"/>
            </w:tcBorders>
            <w:shd w:val="clear" w:color="000000" w:fill="auto"/>
          </w:tcPr>
          <w:p w:rsidR="00333944" w:rsidRPr="0071782F" w:rsidRDefault="008736C2" w:rsidP="00311068">
            <w:pPr>
              <w:suppressAutoHyphens w:val="0"/>
              <w:spacing w:before="40" w:after="40" w:line="220" w:lineRule="exact"/>
              <w:rPr>
                <w:sz w:val="18"/>
                <w:lang w:val="fr-CH"/>
              </w:rPr>
            </w:pPr>
            <w:r w:rsidRPr="0071782F">
              <w:rPr>
                <w:sz w:val="18"/>
                <w:lang w:val="fr-CH"/>
              </w:rPr>
              <w:t>Hommes</w:t>
            </w:r>
          </w:p>
        </w:tc>
        <w:tc>
          <w:tcPr>
            <w:tcW w:w="1020" w:type="dxa"/>
            <w:tcBorders>
              <w:top w:val="single" w:sz="12"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26 453 098</w:t>
            </w:r>
          </w:p>
        </w:tc>
        <w:tc>
          <w:tcPr>
            <w:tcW w:w="516" w:type="dxa"/>
            <w:tcBorders>
              <w:top w:val="single" w:sz="12"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84</w:t>
            </w:r>
            <w:r w:rsidR="00311068" w:rsidRPr="0071782F">
              <w:rPr>
                <w:sz w:val="18"/>
                <w:lang w:val="fr-CH"/>
              </w:rPr>
              <w:t>,</w:t>
            </w:r>
            <w:r w:rsidRPr="0071782F">
              <w:rPr>
                <w:sz w:val="18"/>
                <w:lang w:val="fr-CH"/>
              </w:rPr>
              <w:t>8</w:t>
            </w:r>
          </w:p>
        </w:tc>
        <w:tc>
          <w:tcPr>
            <w:tcW w:w="877" w:type="dxa"/>
            <w:tcBorders>
              <w:top w:val="single" w:sz="12"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3 956 897</w:t>
            </w:r>
          </w:p>
        </w:tc>
        <w:tc>
          <w:tcPr>
            <w:tcW w:w="519" w:type="dxa"/>
            <w:tcBorders>
              <w:top w:val="single" w:sz="12"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15</w:t>
            </w:r>
            <w:r w:rsidR="00311068" w:rsidRPr="0071782F">
              <w:rPr>
                <w:sz w:val="18"/>
                <w:lang w:val="fr-CH"/>
              </w:rPr>
              <w:t>,</w:t>
            </w:r>
            <w:r w:rsidRPr="0071782F">
              <w:rPr>
                <w:sz w:val="18"/>
                <w:lang w:val="fr-CH"/>
              </w:rPr>
              <w:t>2</w:t>
            </w:r>
          </w:p>
        </w:tc>
        <w:tc>
          <w:tcPr>
            <w:tcW w:w="1021" w:type="dxa"/>
            <w:tcBorders>
              <w:top w:val="single" w:sz="12"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16 595 794</w:t>
            </w:r>
          </w:p>
        </w:tc>
        <w:tc>
          <w:tcPr>
            <w:tcW w:w="516" w:type="dxa"/>
            <w:tcBorders>
              <w:top w:val="single" w:sz="12"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89</w:t>
            </w:r>
            <w:r w:rsidR="00311068" w:rsidRPr="0071782F">
              <w:rPr>
                <w:sz w:val="18"/>
                <w:lang w:val="fr-CH"/>
              </w:rPr>
              <w:t>,</w:t>
            </w:r>
            <w:r w:rsidRPr="0071782F">
              <w:rPr>
                <w:sz w:val="18"/>
                <w:lang w:val="fr-CH"/>
              </w:rPr>
              <w:t>5</w:t>
            </w:r>
          </w:p>
        </w:tc>
        <w:tc>
          <w:tcPr>
            <w:tcW w:w="877" w:type="dxa"/>
            <w:tcBorders>
              <w:top w:val="single" w:sz="12"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2 209 229</w:t>
            </w:r>
          </w:p>
        </w:tc>
        <w:tc>
          <w:tcPr>
            <w:tcW w:w="519" w:type="dxa"/>
            <w:tcBorders>
              <w:top w:val="single" w:sz="12"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10</w:t>
            </w:r>
            <w:r w:rsidR="00311068" w:rsidRPr="0071782F">
              <w:rPr>
                <w:sz w:val="18"/>
                <w:lang w:val="fr-CH"/>
              </w:rPr>
              <w:t>,</w:t>
            </w:r>
            <w:r w:rsidRPr="0071782F">
              <w:rPr>
                <w:sz w:val="18"/>
                <w:lang w:val="fr-CH"/>
              </w:rPr>
              <w:t>5</w:t>
            </w:r>
          </w:p>
        </w:tc>
        <w:tc>
          <w:tcPr>
            <w:tcW w:w="1021" w:type="dxa"/>
            <w:tcBorders>
              <w:top w:val="single" w:sz="12"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9 857 304</w:t>
            </w:r>
          </w:p>
        </w:tc>
        <w:tc>
          <w:tcPr>
            <w:tcW w:w="516" w:type="dxa"/>
            <w:tcBorders>
              <w:top w:val="single" w:sz="12"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76</w:t>
            </w:r>
            <w:r w:rsidR="00311068" w:rsidRPr="0071782F">
              <w:rPr>
                <w:sz w:val="18"/>
                <w:lang w:val="fr-CH"/>
              </w:rPr>
              <w:t>,</w:t>
            </w:r>
            <w:r w:rsidRPr="0071782F">
              <w:rPr>
                <w:sz w:val="18"/>
                <w:lang w:val="fr-CH"/>
              </w:rPr>
              <w:t>7</w:t>
            </w:r>
          </w:p>
        </w:tc>
        <w:tc>
          <w:tcPr>
            <w:tcW w:w="877" w:type="dxa"/>
            <w:tcBorders>
              <w:top w:val="single" w:sz="12"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1 747 668</w:t>
            </w:r>
          </w:p>
        </w:tc>
        <w:tc>
          <w:tcPr>
            <w:tcW w:w="516" w:type="dxa"/>
            <w:tcBorders>
              <w:top w:val="single" w:sz="12"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23</w:t>
            </w:r>
            <w:r w:rsidR="00311068" w:rsidRPr="0071782F">
              <w:rPr>
                <w:sz w:val="18"/>
                <w:lang w:val="fr-CH"/>
              </w:rPr>
              <w:t>,</w:t>
            </w:r>
            <w:r w:rsidRPr="0071782F">
              <w:rPr>
                <w:sz w:val="18"/>
                <w:lang w:val="fr-CH"/>
              </w:rPr>
              <w:t>6</w:t>
            </w:r>
          </w:p>
        </w:tc>
      </w:tr>
      <w:tr w:rsidR="00333944" w:rsidRPr="0071782F">
        <w:tc>
          <w:tcPr>
            <w:tcW w:w="844" w:type="dxa"/>
            <w:tcBorders>
              <w:bottom w:val="single" w:sz="4" w:space="0" w:color="auto"/>
            </w:tcBorders>
            <w:shd w:val="clear" w:color="000000" w:fill="auto"/>
          </w:tcPr>
          <w:p w:rsidR="00333944" w:rsidRPr="0071782F" w:rsidRDefault="00333944" w:rsidP="00311068">
            <w:pPr>
              <w:suppressAutoHyphens w:val="0"/>
              <w:spacing w:before="40" w:after="40" w:line="220" w:lineRule="exact"/>
              <w:rPr>
                <w:sz w:val="18"/>
                <w:lang w:val="fr-CH"/>
              </w:rPr>
            </w:pPr>
            <w:r w:rsidRPr="0071782F">
              <w:rPr>
                <w:sz w:val="18"/>
                <w:lang w:val="fr-CH"/>
              </w:rPr>
              <w:t>Fem</w:t>
            </w:r>
            <w:r w:rsidR="008736C2" w:rsidRPr="0071782F">
              <w:rPr>
                <w:sz w:val="18"/>
                <w:lang w:val="fr-CH"/>
              </w:rPr>
              <w:t>mes</w:t>
            </w:r>
          </w:p>
        </w:tc>
        <w:tc>
          <w:tcPr>
            <w:tcW w:w="1020" w:type="dxa"/>
            <w:tcBorders>
              <w:bottom w:val="single" w:sz="4"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25 677 895</w:t>
            </w:r>
          </w:p>
        </w:tc>
        <w:tc>
          <w:tcPr>
            <w:tcW w:w="516" w:type="dxa"/>
            <w:tcBorders>
              <w:bottom w:val="single" w:sz="4"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74</w:t>
            </w:r>
            <w:r w:rsidR="00311068" w:rsidRPr="0071782F">
              <w:rPr>
                <w:sz w:val="18"/>
                <w:lang w:val="fr-CH"/>
              </w:rPr>
              <w:t>,</w:t>
            </w:r>
            <w:r w:rsidRPr="0071782F">
              <w:rPr>
                <w:sz w:val="18"/>
                <w:lang w:val="fr-CH"/>
              </w:rPr>
              <w:t>4</w:t>
            </w:r>
          </w:p>
        </w:tc>
        <w:tc>
          <w:tcPr>
            <w:tcW w:w="877" w:type="dxa"/>
            <w:tcBorders>
              <w:bottom w:val="single" w:sz="4"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3 756 192</w:t>
            </w:r>
          </w:p>
        </w:tc>
        <w:tc>
          <w:tcPr>
            <w:tcW w:w="519" w:type="dxa"/>
            <w:tcBorders>
              <w:bottom w:val="single" w:sz="4"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25</w:t>
            </w:r>
            <w:r w:rsidR="00311068" w:rsidRPr="0071782F">
              <w:rPr>
                <w:sz w:val="18"/>
                <w:lang w:val="fr-CH"/>
              </w:rPr>
              <w:t>,</w:t>
            </w:r>
            <w:r w:rsidRPr="0071782F">
              <w:rPr>
                <w:sz w:val="18"/>
                <w:lang w:val="fr-CH"/>
              </w:rPr>
              <w:t>6</w:t>
            </w:r>
          </w:p>
        </w:tc>
        <w:tc>
          <w:tcPr>
            <w:tcW w:w="1021" w:type="dxa"/>
            <w:tcBorders>
              <w:bottom w:val="single" w:sz="4"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15 910 031</w:t>
            </w:r>
          </w:p>
        </w:tc>
        <w:tc>
          <w:tcPr>
            <w:tcW w:w="516" w:type="dxa"/>
            <w:tcBorders>
              <w:bottom w:val="single" w:sz="4"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81</w:t>
            </w:r>
            <w:r w:rsidR="00311068" w:rsidRPr="0071782F">
              <w:rPr>
                <w:sz w:val="18"/>
                <w:lang w:val="fr-CH"/>
              </w:rPr>
              <w:t>,</w:t>
            </w:r>
            <w:r w:rsidRPr="0071782F">
              <w:rPr>
                <w:sz w:val="18"/>
                <w:lang w:val="fr-CH"/>
              </w:rPr>
              <w:t>7</w:t>
            </w:r>
          </w:p>
        </w:tc>
        <w:tc>
          <w:tcPr>
            <w:tcW w:w="877" w:type="dxa"/>
            <w:tcBorders>
              <w:bottom w:val="single" w:sz="4"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2 102 735</w:t>
            </w:r>
          </w:p>
        </w:tc>
        <w:tc>
          <w:tcPr>
            <w:tcW w:w="519" w:type="dxa"/>
            <w:tcBorders>
              <w:bottom w:val="single" w:sz="4"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18</w:t>
            </w:r>
            <w:r w:rsidR="00311068" w:rsidRPr="0071782F">
              <w:rPr>
                <w:sz w:val="18"/>
                <w:lang w:val="fr-CH"/>
              </w:rPr>
              <w:t>,</w:t>
            </w:r>
            <w:r w:rsidRPr="0071782F">
              <w:rPr>
                <w:sz w:val="18"/>
                <w:lang w:val="fr-CH"/>
              </w:rPr>
              <w:t>3</w:t>
            </w:r>
          </w:p>
        </w:tc>
        <w:tc>
          <w:tcPr>
            <w:tcW w:w="1021" w:type="dxa"/>
            <w:tcBorders>
              <w:bottom w:val="single" w:sz="4"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9 767 864</w:t>
            </w:r>
          </w:p>
        </w:tc>
        <w:tc>
          <w:tcPr>
            <w:tcW w:w="516" w:type="dxa"/>
            <w:tcBorders>
              <w:bottom w:val="single" w:sz="4"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62</w:t>
            </w:r>
            <w:r w:rsidR="00311068" w:rsidRPr="0071782F">
              <w:rPr>
                <w:sz w:val="18"/>
                <w:lang w:val="fr-CH"/>
              </w:rPr>
              <w:t>,</w:t>
            </w:r>
            <w:r w:rsidRPr="0071782F">
              <w:rPr>
                <w:sz w:val="18"/>
                <w:lang w:val="fr-CH"/>
              </w:rPr>
              <w:t>4</w:t>
            </w:r>
          </w:p>
        </w:tc>
        <w:tc>
          <w:tcPr>
            <w:tcW w:w="877" w:type="dxa"/>
            <w:tcBorders>
              <w:bottom w:val="single" w:sz="4"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1 653 457</w:t>
            </w:r>
          </w:p>
        </w:tc>
        <w:tc>
          <w:tcPr>
            <w:tcW w:w="516" w:type="dxa"/>
            <w:tcBorders>
              <w:bottom w:val="single" w:sz="4"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37</w:t>
            </w:r>
            <w:r w:rsidR="00311068" w:rsidRPr="0071782F">
              <w:rPr>
                <w:sz w:val="18"/>
                <w:lang w:val="fr-CH"/>
              </w:rPr>
              <w:t>,</w:t>
            </w:r>
            <w:r w:rsidRPr="0071782F">
              <w:rPr>
                <w:sz w:val="18"/>
                <w:lang w:val="fr-CH"/>
              </w:rPr>
              <w:t>6</w:t>
            </w:r>
          </w:p>
        </w:tc>
      </w:tr>
      <w:tr w:rsidR="00333944" w:rsidRPr="0071782F">
        <w:tc>
          <w:tcPr>
            <w:tcW w:w="844" w:type="dxa"/>
            <w:tcBorders>
              <w:top w:val="single" w:sz="4" w:space="0" w:color="auto"/>
              <w:bottom w:val="single" w:sz="12" w:space="0" w:color="auto"/>
            </w:tcBorders>
            <w:shd w:val="clear" w:color="000000" w:fill="auto"/>
          </w:tcPr>
          <w:p w:rsidR="00333944" w:rsidRPr="0071782F" w:rsidRDefault="00333944" w:rsidP="00311068">
            <w:pPr>
              <w:suppressAutoHyphens w:val="0"/>
              <w:spacing w:before="80" w:after="80" w:line="220" w:lineRule="exact"/>
              <w:ind w:firstLine="284"/>
              <w:rPr>
                <w:b/>
                <w:sz w:val="18"/>
                <w:lang w:val="fr-CH"/>
              </w:rPr>
            </w:pPr>
            <w:r w:rsidRPr="0071782F">
              <w:rPr>
                <w:b/>
                <w:sz w:val="18"/>
                <w:lang w:val="fr-CH"/>
              </w:rPr>
              <w:t>Total</w:t>
            </w:r>
          </w:p>
        </w:tc>
        <w:tc>
          <w:tcPr>
            <w:tcW w:w="1020"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52 130 993</w:t>
            </w:r>
          </w:p>
        </w:tc>
        <w:tc>
          <w:tcPr>
            <w:tcW w:w="516"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79</w:t>
            </w:r>
            <w:r w:rsidR="00311068" w:rsidRPr="0071782F">
              <w:rPr>
                <w:b/>
                <w:sz w:val="18"/>
                <w:lang w:val="fr-CH"/>
              </w:rPr>
              <w:t>,</w:t>
            </w:r>
            <w:r w:rsidRPr="0071782F">
              <w:rPr>
                <w:b/>
                <w:sz w:val="18"/>
                <w:lang w:val="fr-CH"/>
              </w:rPr>
              <w:t>6</w:t>
            </w:r>
          </w:p>
        </w:tc>
        <w:tc>
          <w:tcPr>
            <w:tcW w:w="877"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7 713 089</w:t>
            </w:r>
          </w:p>
        </w:tc>
        <w:tc>
          <w:tcPr>
            <w:tcW w:w="519"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20</w:t>
            </w:r>
            <w:r w:rsidR="00311068" w:rsidRPr="0071782F">
              <w:rPr>
                <w:b/>
                <w:sz w:val="18"/>
                <w:lang w:val="fr-CH"/>
              </w:rPr>
              <w:t>,</w:t>
            </w:r>
            <w:r w:rsidRPr="0071782F">
              <w:rPr>
                <w:b/>
                <w:sz w:val="18"/>
                <w:lang w:val="fr-CH"/>
              </w:rPr>
              <w:t>4</w:t>
            </w:r>
          </w:p>
        </w:tc>
        <w:tc>
          <w:tcPr>
            <w:tcW w:w="1021"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32 505 825</w:t>
            </w:r>
          </w:p>
        </w:tc>
        <w:tc>
          <w:tcPr>
            <w:tcW w:w="516"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85</w:t>
            </w:r>
            <w:r w:rsidR="00311068" w:rsidRPr="0071782F">
              <w:rPr>
                <w:b/>
                <w:sz w:val="18"/>
                <w:lang w:val="fr-CH"/>
              </w:rPr>
              <w:t>,</w:t>
            </w:r>
            <w:r w:rsidRPr="0071782F">
              <w:rPr>
                <w:b/>
                <w:sz w:val="18"/>
                <w:lang w:val="fr-CH"/>
              </w:rPr>
              <w:t>7</w:t>
            </w:r>
          </w:p>
        </w:tc>
        <w:tc>
          <w:tcPr>
            <w:tcW w:w="877"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4 311 964</w:t>
            </w:r>
          </w:p>
        </w:tc>
        <w:tc>
          <w:tcPr>
            <w:tcW w:w="519"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14</w:t>
            </w:r>
            <w:r w:rsidR="00311068" w:rsidRPr="0071782F">
              <w:rPr>
                <w:b/>
                <w:sz w:val="18"/>
                <w:lang w:val="fr-CH"/>
              </w:rPr>
              <w:t>,</w:t>
            </w:r>
            <w:r w:rsidRPr="0071782F">
              <w:rPr>
                <w:b/>
                <w:sz w:val="18"/>
                <w:lang w:val="fr-CH"/>
              </w:rPr>
              <w:t>3</w:t>
            </w:r>
          </w:p>
        </w:tc>
        <w:tc>
          <w:tcPr>
            <w:tcW w:w="1021"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19 625 168</w:t>
            </w:r>
          </w:p>
        </w:tc>
        <w:tc>
          <w:tcPr>
            <w:tcW w:w="516"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69</w:t>
            </w:r>
            <w:r w:rsidR="00311068" w:rsidRPr="0071782F">
              <w:rPr>
                <w:b/>
                <w:sz w:val="18"/>
                <w:lang w:val="fr-CH"/>
              </w:rPr>
              <w:t>,</w:t>
            </w:r>
            <w:r w:rsidRPr="0071782F">
              <w:rPr>
                <w:b/>
                <w:sz w:val="18"/>
                <w:lang w:val="fr-CH"/>
              </w:rPr>
              <w:t>6</w:t>
            </w:r>
          </w:p>
        </w:tc>
        <w:tc>
          <w:tcPr>
            <w:tcW w:w="877"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3 401 125</w:t>
            </w:r>
          </w:p>
        </w:tc>
        <w:tc>
          <w:tcPr>
            <w:tcW w:w="516" w:type="dxa"/>
            <w:tcBorders>
              <w:top w:val="single" w:sz="4" w:space="0" w:color="auto"/>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b/>
                <w:sz w:val="18"/>
                <w:lang w:val="fr-CH"/>
              </w:rPr>
            </w:pPr>
            <w:r w:rsidRPr="0071782F">
              <w:rPr>
                <w:b/>
                <w:sz w:val="18"/>
                <w:lang w:val="fr-CH"/>
              </w:rPr>
              <w:t>30</w:t>
            </w:r>
            <w:r w:rsidR="00311068" w:rsidRPr="0071782F">
              <w:rPr>
                <w:b/>
                <w:sz w:val="18"/>
                <w:lang w:val="fr-CH"/>
              </w:rPr>
              <w:t>,</w:t>
            </w:r>
            <w:r w:rsidRPr="0071782F">
              <w:rPr>
                <w:b/>
                <w:sz w:val="18"/>
                <w:lang w:val="fr-CH"/>
              </w:rPr>
              <w:t>4</w:t>
            </w:r>
          </w:p>
        </w:tc>
      </w:tr>
    </w:tbl>
    <w:p w:rsidR="00333944" w:rsidRPr="0071782F" w:rsidRDefault="00333944" w:rsidP="00333944">
      <w:pPr>
        <w:pStyle w:val="H23G"/>
        <w:rPr>
          <w:lang w:val="fr-CH"/>
        </w:rPr>
      </w:pPr>
      <w:r w:rsidRPr="0071782F">
        <w:rPr>
          <w:lang w:val="fr-CH"/>
        </w:rPr>
        <w:tab/>
      </w:r>
      <w:r w:rsidRPr="0071782F">
        <w:rPr>
          <w:lang w:val="fr-CH"/>
        </w:rPr>
        <w:tab/>
      </w:r>
      <w:r w:rsidR="008736C2" w:rsidRPr="0071782F">
        <w:rPr>
          <w:lang w:val="fr-CH"/>
        </w:rPr>
        <w:t>Augmentation du taux d’alphabétisation parmi la population âgée de plus de six</w:t>
      </w:r>
      <w:r w:rsidR="00D82C96" w:rsidRPr="0071782F">
        <w:rPr>
          <w:lang w:val="fr-CH"/>
        </w:rPr>
        <w:t> ans</w:t>
      </w:r>
      <w:r w:rsidR="008736C2" w:rsidRPr="0071782F">
        <w:rPr>
          <w:lang w:val="fr-CH"/>
        </w:rPr>
        <w:t xml:space="preserve"> </w:t>
      </w:r>
      <w:r w:rsidRPr="0071782F">
        <w:rPr>
          <w:lang w:val="fr-CH"/>
        </w:rPr>
        <w:t>1976, 1986, 1996</w:t>
      </w:r>
      <w:r w:rsidR="008736C2" w:rsidRPr="0071782F">
        <w:rPr>
          <w:lang w:val="fr-CH"/>
        </w:rPr>
        <w:t xml:space="preserve"> et</w:t>
      </w:r>
      <w:r w:rsidRPr="0071782F">
        <w:rPr>
          <w:lang w:val="fr-CH"/>
        </w:rPr>
        <w:t xml:space="preserve"> 2006 (%)</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1226"/>
        <w:gridCol w:w="1226"/>
        <w:gridCol w:w="1226"/>
        <w:gridCol w:w="1233"/>
        <w:gridCol w:w="1233"/>
        <w:gridCol w:w="1226"/>
      </w:tblGrid>
      <w:tr w:rsidR="00333944" w:rsidRPr="0071782F">
        <w:trPr>
          <w:tblHeader/>
        </w:trPr>
        <w:tc>
          <w:tcPr>
            <w:tcW w:w="1226" w:type="dxa"/>
            <w:vMerge w:val="restart"/>
            <w:tcBorders>
              <w:top w:val="single" w:sz="4" w:space="0" w:color="auto"/>
              <w:bottom w:val="single" w:sz="12" w:space="0" w:color="auto"/>
            </w:tcBorders>
            <w:shd w:val="clear" w:color="000000" w:fill="auto"/>
            <w:vAlign w:val="bottom"/>
          </w:tcPr>
          <w:p w:rsidR="00333944" w:rsidRPr="0071782F" w:rsidRDefault="008736C2" w:rsidP="00311068">
            <w:pPr>
              <w:suppressAutoHyphens w:val="0"/>
              <w:spacing w:before="80" w:after="80" w:line="200" w:lineRule="exact"/>
              <w:rPr>
                <w:i/>
                <w:sz w:val="16"/>
                <w:lang w:val="fr-CH"/>
              </w:rPr>
            </w:pPr>
            <w:r w:rsidRPr="0071782F">
              <w:rPr>
                <w:i/>
                <w:sz w:val="16"/>
                <w:lang w:val="fr-CH"/>
              </w:rPr>
              <w:t>Année</w:t>
            </w:r>
          </w:p>
        </w:tc>
        <w:tc>
          <w:tcPr>
            <w:tcW w:w="1226" w:type="dxa"/>
            <w:vMerge w:val="restart"/>
            <w:tcBorders>
              <w:top w:val="single" w:sz="4" w:space="0" w:color="auto"/>
              <w:bottom w:val="single" w:sz="12" w:space="0" w:color="auto"/>
            </w:tcBorders>
            <w:shd w:val="clear" w:color="000000" w:fill="auto"/>
            <w:vAlign w:val="bottom"/>
          </w:tcPr>
          <w:p w:rsidR="00333944" w:rsidRPr="0071782F" w:rsidRDefault="008736C2" w:rsidP="00BA31AA">
            <w:pPr>
              <w:suppressAutoHyphens w:val="0"/>
              <w:spacing w:before="80" w:after="80" w:line="200" w:lineRule="exact"/>
              <w:ind w:right="113"/>
              <w:jc w:val="right"/>
              <w:rPr>
                <w:i/>
                <w:sz w:val="16"/>
                <w:lang w:val="fr-CH"/>
              </w:rPr>
            </w:pPr>
            <w:r w:rsidRPr="0071782F">
              <w:rPr>
                <w:i/>
                <w:sz w:val="16"/>
                <w:lang w:val="fr-CH"/>
              </w:rPr>
              <w:t>Ensemble du pays</w:t>
            </w:r>
          </w:p>
        </w:tc>
        <w:tc>
          <w:tcPr>
            <w:tcW w:w="2459" w:type="dxa"/>
            <w:gridSpan w:val="2"/>
            <w:tcBorders>
              <w:top w:val="single" w:sz="4" w:space="0" w:color="auto"/>
              <w:bottom w:val="single" w:sz="4" w:space="0" w:color="auto"/>
              <w:right w:val="single" w:sz="24" w:space="0" w:color="FFFFFF"/>
            </w:tcBorders>
            <w:shd w:val="clear" w:color="000000" w:fill="auto"/>
            <w:vAlign w:val="bottom"/>
          </w:tcPr>
          <w:p w:rsidR="00333944" w:rsidRPr="0071782F" w:rsidRDefault="008736C2" w:rsidP="00311068">
            <w:pPr>
              <w:suppressAutoHyphens w:val="0"/>
              <w:spacing w:before="80" w:after="80" w:line="200" w:lineRule="exact"/>
              <w:jc w:val="center"/>
              <w:rPr>
                <w:i/>
                <w:sz w:val="16"/>
                <w:lang w:val="fr-CH"/>
              </w:rPr>
            </w:pPr>
            <w:r w:rsidRPr="0071782F">
              <w:rPr>
                <w:i/>
                <w:sz w:val="16"/>
                <w:lang w:val="fr-CH"/>
              </w:rPr>
              <w:t>Sexe</w:t>
            </w:r>
          </w:p>
        </w:tc>
        <w:tc>
          <w:tcPr>
            <w:tcW w:w="2459" w:type="dxa"/>
            <w:gridSpan w:val="2"/>
            <w:tcBorders>
              <w:top w:val="single" w:sz="4" w:space="0" w:color="auto"/>
              <w:left w:val="single" w:sz="24" w:space="0" w:color="FFFFFF"/>
              <w:bottom w:val="single" w:sz="4" w:space="0" w:color="auto"/>
            </w:tcBorders>
            <w:shd w:val="clear" w:color="000000" w:fill="auto"/>
            <w:vAlign w:val="bottom"/>
          </w:tcPr>
          <w:p w:rsidR="00333944" w:rsidRPr="0071782F" w:rsidRDefault="008736C2" w:rsidP="00311068">
            <w:pPr>
              <w:suppressAutoHyphens w:val="0"/>
              <w:spacing w:before="80" w:after="80" w:line="200" w:lineRule="exact"/>
              <w:jc w:val="center"/>
              <w:rPr>
                <w:i/>
                <w:sz w:val="16"/>
                <w:lang w:val="fr-CH"/>
              </w:rPr>
            </w:pPr>
            <w:r w:rsidRPr="0071782F">
              <w:rPr>
                <w:i/>
                <w:sz w:val="16"/>
                <w:lang w:val="fr-CH"/>
              </w:rPr>
              <w:t>Localisation géographique</w:t>
            </w:r>
          </w:p>
        </w:tc>
      </w:tr>
      <w:tr w:rsidR="00333944" w:rsidRPr="0071782F">
        <w:trPr>
          <w:tblHeader/>
        </w:trPr>
        <w:tc>
          <w:tcPr>
            <w:tcW w:w="1226" w:type="dxa"/>
            <w:vMerge/>
            <w:tcBorders>
              <w:top w:val="nil"/>
              <w:bottom w:val="single" w:sz="12" w:space="0" w:color="auto"/>
            </w:tcBorders>
            <w:shd w:val="clear" w:color="000000" w:fill="auto"/>
            <w:vAlign w:val="bottom"/>
          </w:tcPr>
          <w:p w:rsidR="00333944" w:rsidRPr="0071782F" w:rsidRDefault="00333944" w:rsidP="00311068">
            <w:pPr>
              <w:suppressAutoHyphens w:val="0"/>
              <w:spacing w:before="40" w:after="40" w:line="220" w:lineRule="exact"/>
              <w:rPr>
                <w:sz w:val="18"/>
                <w:lang w:val="fr-CH"/>
              </w:rPr>
            </w:pPr>
          </w:p>
        </w:tc>
        <w:tc>
          <w:tcPr>
            <w:tcW w:w="1226" w:type="dxa"/>
            <w:vMerge/>
            <w:tcBorders>
              <w:top w:val="nil"/>
              <w:bottom w:val="single" w:sz="12" w:space="0" w:color="auto"/>
            </w:tcBorders>
            <w:shd w:val="clear" w:color="000000" w:fill="auto"/>
            <w:vAlign w:val="bottom"/>
          </w:tcPr>
          <w:p w:rsidR="00333944" w:rsidRPr="0071782F" w:rsidRDefault="00333944" w:rsidP="00BA31AA">
            <w:pPr>
              <w:suppressAutoHyphens w:val="0"/>
              <w:spacing w:before="40" w:after="40" w:line="220" w:lineRule="exact"/>
              <w:ind w:right="113"/>
              <w:jc w:val="right"/>
              <w:rPr>
                <w:sz w:val="18"/>
                <w:lang w:val="fr-CH"/>
              </w:rPr>
            </w:pPr>
          </w:p>
        </w:tc>
        <w:tc>
          <w:tcPr>
            <w:tcW w:w="1226" w:type="dxa"/>
            <w:tcBorders>
              <w:top w:val="single" w:sz="4" w:space="0" w:color="auto"/>
              <w:bottom w:val="single" w:sz="12" w:space="0" w:color="auto"/>
            </w:tcBorders>
            <w:shd w:val="clear" w:color="000000" w:fill="auto"/>
            <w:vAlign w:val="bottom"/>
          </w:tcPr>
          <w:p w:rsidR="00333944" w:rsidRPr="0071782F" w:rsidRDefault="008736C2" w:rsidP="00311068">
            <w:pPr>
              <w:suppressAutoHyphens w:val="0"/>
              <w:spacing w:before="80" w:after="80" w:line="220" w:lineRule="exact"/>
              <w:jc w:val="right"/>
              <w:rPr>
                <w:i/>
                <w:sz w:val="16"/>
                <w:szCs w:val="16"/>
                <w:lang w:val="fr-CH"/>
              </w:rPr>
            </w:pPr>
            <w:r w:rsidRPr="0071782F">
              <w:rPr>
                <w:i/>
                <w:sz w:val="16"/>
                <w:szCs w:val="16"/>
                <w:lang w:val="fr-CH"/>
              </w:rPr>
              <w:t>Hommes</w:t>
            </w:r>
          </w:p>
        </w:tc>
        <w:tc>
          <w:tcPr>
            <w:tcW w:w="1233" w:type="dxa"/>
            <w:tcBorders>
              <w:top w:val="single" w:sz="4" w:space="0" w:color="auto"/>
              <w:bottom w:val="single" w:sz="12" w:space="0" w:color="auto"/>
              <w:right w:val="single" w:sz="24" w:space="0" w:color="FFFFFF"/>
            </w:tcBorders>
            <w:shd w:val="clear" w:color="000000" w:fill="auto"/>
            <w:vAlign w:val="bottom"/>
          </w:tcPr>
          <w:p w:rsidR="00333944" w:rsidRPr="0071782F" w:rsidRDefault="008736C2" w:rsidP="00311068">
            <w:pPr>
              <w:suppressAutoHyphens w:val="0"/>
              <w:spacing w:before="80" w:after="80" w:line="220" w:lineRule="exact"/>
              <w:jc w:val="right"/>
              <w:rPr>
                <w:i/>
                <w:sz w:val="16"/>
                <w:szCs w:val="16"/>
                <w:lang w:val="fr-CH"/>
              </w:rPr>
            </w:pPr>
            <w:r w:rsidRPr="0071782F">
              <w:rPr>
                <w:i/>
                <w:sz w:val="16"/>
                <w:szCs w:val="16"/>
                <w:lang w:val="fr-CH"/>
              </w:rPr>
              <w:t>Femmes</w:t>
            </w:r>
          </w:p>
        </w:tc>
        <w:tc>
          <w:tcPr>
            <w:tcW w:w="1233" w:type="dxa"/>
            <w:tcBorders>
              <w:top w:val="single" w:sz="4" w:space="0" w:color="auto"/>
              <w:left w:val="single" w:sz="24" w:space="0" w:color="FFFFFF"/>
              <w:bottom w:val="single" w:sz="12" w:space="0" w:color="auto"/>
            </w:tcBorders>
            <w:shd w:val="clear" w:color="000000" w:fill="auto"/>
            <w:vAlign w:val="bottom"/>
          </w:tcPr>
          <w:p w:rsidR="00333944" w:rsidRPr="0071782F" w:rsidRDefault="00333944" w:rsidP="00311068">
            <w:pPr>
              <w:suppressAutoHyphens w:val="0"/>
              <w:spacing w:before="80" w:after="80" w:line="220" w:lineRule="exact"/>
              <w:jc w:val="right"/>
              <w:rPr>
                <w:i/>
                <w:sz w:val="16"/>
                <w:szCs w:val="16"/>
                <w:lang w:val="fr-CH"/>
              </w:rPr>
            </w:pPr>
            <w:r w:rsidRPr="0071782F">
              <w:rPr>
                <w:i/>
                <w:sz w:val="16"/>
                <w:szCs w:val="16"/>
                <w:lang w:val="fr-CH"/>
              </w:rPr>
              <w:t>Villages</w:t>
            </w:r>
          </w:p>
        </w:tc>
        <w:tc>
          <w:tcPr>
            <w:tcW w:w="1226" w:type="dxa"/>
            <w:tcBorders>
              <w:top w:val="single" w:sz="4" w:space="0" w:color="auto"/>
              <w:bottom w:val="single" w:sz="12" w:space="0" w:color="auto"/>
            </w:tcBorders>
            <w:shd w:val="clear" w:color="000000" w:fill="auto"/>
            <w:vAlign w:val="bottom"/>
          </w:tcPr>
          <w:p w:rsidR="00333944" w:rsidRPr="0071782F" w:rsidRDefault="008736C2" w:rsidP="00311068">
            <w:pPr>
              <w:suppressAutoHyphens w:val="0"/>
              <w:spacing w:before="80" w:after="80" w:line="220" w:lineRule="exact"/>
              <w:jc w:val="right"/>
              <w:rPr>
                <w:i/>
                <w:sz w:val="16"/>
                <w:szCs w:val="16"/>
                <w:lang w:val="fr-CH"/>
              </w:rPr>
            </w:pPr>
            <w:r w:rsidRPr="0071782F">
              <w:rPr>
                <w:i/>
                <w:sz w:val="16"/>
                <w:szCs w:val="16"/>
                <w:lang w:val="fr-CH"/>
              </w:rPr>
              <w:t>Villes</w:t>
            </w:r>
          </w:p>
        </w:tc>
      </w:tr>
      <w:tr w:rsidR="00333944" w:rsidRPr="0071782F">
        <w:tc>
          <w:tcPr>
            <w:tcW w:w="1226" w:type="dxa"/>
            <w:tcBorders>
              <w:top w:val="single" w:sz="12" w:space="0" w:color="auto"/>
            </w:tcBorders>
            <w:shd w:val="clear" w:color="000000" w:fill="auto"/>
          </w:tcPr>
          <w:p w:rsidR="00333944" w:rsidRPr="0071782F" w:rsidRDefault="00333944" w:rsidP="00311068">
            <w:pPr>
              <w:suppressAutoHyphens w:val="0"/>
              <w:spacing w:before="40" w:after="40" w:line="220" w:lineRule="exact"/>
              <w:rPr>
                <w:sz w:val="18"/>
                <w:lang w:val="fr-CH"/>
              </w:rPr>
            </w:pPr>
            <w:r w:rsidRPr="0071782F">
              <w:rPr>
                <w:sz w:val="18"/>
                <w:lang w:val="fr-CH"/>
              </w:rPr>
              <w:t>1976</w:t>
            </w:r>
          </w:p>
        </w:tc>
        <w:tc>
          <w:tcPr>
            <w:tcW w:w="1226" w:type="dxa"/>
            <w:tcBorders>
              <w:top w:val="single" w:sz="12" w:space="0" w:color="auto"/>
            </w:tcBorders>
            <w:shd w:val="clear" w:color="000000" w:fill="auto"/>
            <w:vAlign w:val="bottom"/>
          </w:tcPr>
          <w:p w:rsidR="00333944" w:rsidRPr="0071782F" w:rsidRDefault="00333944" w:rsidP="00BA31AA">
            <w:pPr>
              <w:suppressAutoHyphens w:val="0"/>
              <w:spacing w:before="40" w:after="40" w:line="220" w:lineRule="exact"/>
              <w:ind w:right="113"/>
              <w:jc w:val="right"/>
              <w:rPr>
                <w:sz w:val="18"/>
                <w:lang w:val="fr-CH"/>
              </w:rPr>
            </w:pPr>
            <w:r w:rsidRPr="0071782F">
              <w:rPr>
                <w:sz w:val="18"/>
                <w:lang w:val="fr-CH"/>
              </w:rPr>
              <w:t>47</w:t>
            </w:r>
            <w:r w:rsidR="00311068" w:rsidRPr="0071782F">
              <w:rPr>
                <w:sz w:val="18"/>
                <w:lang w:val="fr-CH"/>
              </w:rPr>
              <w:t>,</w:t>
            </w:r>
            <w:r w:rsidRPr="0071782F">
              <w:rPr>
                <w:sz w:val="18"/>
                <w:lang w:val="fr-CH"/>
              </w:rPr>
              <w:t>5</w:t>
            </w:r>
          </w:p>
        </w:tc>
        <w:tc>
          <w:tcPr>
            <w:tcW w:w="1226" w:type="dxa"/>
            <w:tcBorders>
              <w:top w:val="single" w:sz="12"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63</w:t>
            </w:r>
            <w:r w:rsidR="00311068" w:rsidRPr="0071782F">
              <w:rPr>
                <w:sz w:val="18"/>
                <w:lang w:val="fr-CH"/>
              </w:rPr>
              <w:t>,</w:t>
            </w:r>
            <w:r w:rsidRPr="0071782F">
              <w:rPr>
                <w:sz w:val="18"/>
                <w:lang w:val="fr-CH"/>
              </w:rPr>
              <w:t>7</w:t>
            </w:r>
          </w:p>
        </w:tc>
        <w:tc>
          <w:tcPr>
            <w:tcW w:w="1233" w:type="dxa"/>
            <w:tcBorders>
              <w:top w:val="single" w:sz="12"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36</w:t>
            </w:r>
            <w:r w:rsidR="00311068" w:rsidRPr="0071782F">
              <w:rPr>
                <w:sz w:val="18"/>
                <w:lang w:val="fr-CH"/>
              </w:rPr>
              <w:t>,</w:t>
            </w:r>
            <w:r w:rsidRPr="0071782F">
              <w:rPr>
                <w:sz w:val="18"/>
                <w:lang w:val="fr-CH"/>
              </w:rPr>
              <w:t>3</w:t>
            </w:r>
          </w:p>
        </w:tc>
        <w:tc>
          <w:tcPr>
            <w:tcW w:w="1233" w:type="dxa"/>
            <w:tcBorders>
              <w:top w:val="single" w:sz="12"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34</w:t>
            </w:r>
            <w:r w:rsidR="00311068" w:rsidRPr="0071782F">
              <w:rPr>
                <w:sz w:val="18"/>
                <w:lang w:val="fr-CH"/>
              </w:rPr>
              <w:t>,</w:t>
            </w:r>
            <w:r w:rsidRPr="0071782F">
              <w:rPr>
                <w:sz w:val="18"/>
                <w:lang w:val="fr-CH"/>
              </w:rPr>
              <w:t>5</w:t>
            </w:r>
          </w:p>
        </w:tc>
        <w:tc>
          <w:tcPr>
            <w:tcW w:w="1226" w:type="dxa"/>
            <w:tcBorders>
              <w:top w:val="single" w:sz="12" w:space="0" w:color="auto"/>
            </w:tcBorders>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65</w:t>
            </w:r>
            <w:r w:rsidR="00311068" w:rsidRPr="0071782F">
              <w:rPr>
                <w:sz w:val="18"/>
                <w:lang w:val="fr-CH"/>
              </w:rPr>
              <w:t>,</w:t>
            </w:r>
            <w:r w:rsidRPr="0071782F">
              <w:rPr>
                <w:sz w:val="18"/>
                <w:lang w:val="fr-CH"/>
              </w:rPr>
              <w:t>5</w:t>
            </w:r>
          </w:p>
        </w:tc>
      </w:tr>
      <w:tr w:rsidR="00333944" w:rsidRPr="0071782F">
        <w:tc>
          <w:tcPr>
            <w:tcW w:w="1226" w:type="dxa"/>
            <w:shd w:val="clear" w:color="000000" w:fill="auto"/>
          </w:tcPr>
          <w:p w:rsidR="00333944" w:rsidRPr="0071782F" w:rsidRDefault="00333944" w:rsidP="00311068">
            <w:pPr>
              <w:suppressAutoHyphens w:val="0"/>
              <w:spacing w:before="40" w:after="40" w:line="220" w:lineRule="exact"/>
              <w:rPr>
                <w:sz w:val="18"/>
                <w:lang w:val="fr-CH"/>
              </w:rPr>
            </w:pPr>
            <w:r w:rsidRPr="0071782F">
              <w:rPr>
                <w:sz w:val="18"/>
                <w:lang w:val="fr-CH"/>
              </w:rPr>
              <w:t>1986</w:t>
            </w:r>
          </w:p>
        </w:tc>
        <w:tc>
          <w:tcPr>
            <w:tcW w:w="1226" w:type="dxa"/>
            <w:shd w:val="clear" w:color="000000" w:fill="auto"/>
            <w:vAlign w:val="bottom"/>
          </w:tcPr>
          <w:p w:rsidR="00333944" w:rsidRPr="0071782F" w:rsidRDefault="00333944" w:rsidP="00BA31AA">
            <w:pPr>
              <w:suppressAutoHyphens w:val="0"/>
              <w:spacing w:before="40" w:after="40" w:line="220" w:lineRule="exact"/>
              <w:ind w:right="113"/>
              <w:jc w:val="right"/>
              <w:rPr>
                <w:sz w:val="18"/>
                <w:lang w:val="fr-CH"/>
              </w:rPr>
            </w:pPr>
            <w:r w:rsidRPr="0071782F">
              <w:rPr>
                <w:sz w:val="18"/>
                <w:lang w:val="fr-CH"/>
              </w:rPr>
              <w:t>62</w:t>
            </w:r>
          </w:p>
        </w:tc>
        <w:tc>
          <w:tcPr>
            <w:tcW w:w="1226" w:type="dxa"/>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58</w:t>
            </w:r>
            <w:r w:rsidR="00311068" w:rsidRPr="0071782F">
              <w:rPr>
                <w:sz w:val="18"/>
                <w:lang w:val="fr-CH"/>
              </w:rPr>
              <w:t>,</w:t>
            </w:r>
            <w:r w:rsidRPr="0071782F">
              <w:rPr>
                <w:sz w:val="18"/>
                <w:lang w:val="fr-CH"/>
              </w:rPr>
              <w:t>8</w:t>
            </w:r>
          </w:p>
        </w:tc>
        <w:tc>
          <w:tcPr>
            <w:tcW w:w="1233" w:type="dxa"/>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41</w:t>
            </w:r>
            <w:r w:rsidR="00311068" w:rsidRPr="0071782F">
              <w:rPr>
                <w:sz w:val="18"/>
                <w:lang w:val="fr-CH"/>
              </w:rPr>
              <w:t>,</w:t>
            </w:r>
            <w:r w:rsidRPr="0071782F">
              <w:rPr>
                <w:sz w:val="18"/>
                <w:lang w:val="fr-CH"/>
              </w:rPr>
              <w:t>2</w:t>
            </w:r>
          </w:p>
        </w:tc>
        <w:tc>
          <w:tcPr>
            <w:tcW w:w="1233" w:type="dxa"/>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64</w:t>
            </w:r>
            <w:r w:rsidR="00311068" w:rsidRPr="0071782F">
              <w:rPr>
                <w:sz w:val="18"/>
                <w:lang w:val="fr-CH"/>
              </w:rPr>
              <w:t>,</w:t>
            </w:r>
            <w:r w:rsidRPr="0071782F">
              <w:rPr>
                <w:sz w:val="18"/>
                <w:lang w:val="fr-CH"/>
              </w:rPr>
              <w:t>9</w:t>
            </w:r>
          </w:p>
        </w:tc>
        <w:tc>
          <w:tcPr>
            <w:tcW w:w="1226" w:type="dxa"/>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35</w:t>
            </w:r>
            <w:r w:rsidR="00311068" w:rsidRPr="0071782F">
              <w:rPr>
                <w:sz w:val="18"/>
                <w:lang w:val="fr-CH"/>
              </w:rPr>
              <w:t>,</w:t>
            </w:r>
            <w:r w:rsidRPr="0071782F">
              <w:rPr>
                <w:sz w:val="18"/>
                <w:lang w:val="fr-CH"/>
              </w:rPr>
              <w:t>1</w:t>
            </w:r>
          </w:p>
        </w:tc>
      </w:tr>
      <w:tr w:rsidR="00333944" w:rsidRPr="0071782F">
        <w:tc>
          <w:tcPr>
            <w:tcW w:w="1226" w:type="dxa"/>
            <w:shd w:val="clear" w:color="000000" w:fill="auto"/>
          </w:tcPr>
          <w:p w:rsidR="00333944" w:rsidRPr="0071782F" w:rsidRDefault="00333944" w:rsidP="00311068">
            <w:pPr>
              <w:suppressAutoHyphens w:val="0"/>
              <w:spacing w:before="40" w:after="40" w:line="220" w:lineRule="exact"/>
              <w:rPr>
                <w:sz w:val="18"/>
                <w:lang w:val="fr-CH"/>
              </w:rPr>
            </w:pPr>
            <w:r w:rsidRPr="0071782F">
              <w:rPr>
                <w:sz w:val="18"/>
                <w:lang w:val="fr-CH"/>
              </w:rPr>
              <w:t>1996</w:t>
            </w:r>
          </w:p>
        </w:tc>
        <w:tc>
          <w:tcPr>
            <w:tcW w:w="1226" w:type="dxa"/>
            <w:shd w:val="clear" w:color="000000" w:fill="auto"/>
            <w:vAlign w:val="bottom"/>
          </w:tcPr>
          <w:p w:rsidR="00333944" w:rsidRPr="0071782F" w:rsidRDefault="00333944" w:rsidP="00BA31AA">
            <w:pPr>
              <w:suppressAutoHyphens w:val="0"/>
              <w:spacing w:before="40" w:after="40" w:line="220" w:lineRule="exact"/>
              <w:ind w:right="113"/>
              <w:jc w:val="right"/>
              <w:rPr>
                <w:sz w:val="18"/>
                <w:lang w:val="fr-CH"/>
              </w:rPr>
            </w:pPr>
            <w:r w:rsidRPr="0071782F">
              <w:rPr>
                <w:sz w:val="18"/>
                <w:lang w:val="fr-CH"/>
              </w:rPr>
              <w:t>79</w:t>
            </w:r>
            <w:r w:rsidR="00311068" w:rsidRPr="0071782F">
              <w:rPr>
                <w:sz w:val="18"/>
                <w:lang w:val="fr-CH"/>
              </w:rPr>
              <w:t>,</w:t>
            </w:r>
            <w:r w:rsidRPr="0071782F">
              <w:rPr>
                <w:sz w:val="18"/>
                <w:lang w:val="fr-CH"/>
              </w:rPr>
              <w:t>6</w:t>
            </w:r>
          </w:p>
        </w:tc>
        <w:tc>
          <w:tcPr>
            <w:tcW w:w="1226" w:type="dxa"/>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50</w:t>
            </w:r>
            <w:r w:rsidR="00311068" w:rsidRPr="0071782F">
              <w:rPr>
                <w:sz w:val="18"/>
                <w:lang w:val="fr-CH"/>
              </w:rPr>
              <w:t>,</w:t>
            </w:r>
            <w:r w:rsidRPr="0071782F">
              <w:rPr>
                <w:sz w:val="18"/>
                <w:lang w:val="fr-CH"/>
              </w:rPr>
              <w:t>7</w:t>
            </w:r>
          </w:p>
        </w:tc>
        <w:tc>
          <w:tcPr>
            <w:tcW w:w="1233" w:type="dxa"/>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49</w:t>
            </w:r>
            <w:r w:rsidR="00311068" w:rsidRPr="0071782F">
              <w:rPr>
                <w:sz w:val="18"/>
                <w:lang w:val="fr-CH"/>
              </w:rPr>
              <w:t>,</w:t>
            </w:r>
            <w:r w:rsidRPr="0071782F">
              <w:rPr>
                <w:sz w:val="18"/>
                <w:lang w:val="fr-CH"/>
              </w:rPr>
              <w:t>3</w:t>
            </w:r>
          </w:p>
        </w:tc>
        <w:tc>
          <w:tcPr>
            <w:tcW w:w="1233" w:type="dxa"/>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37</w:t>
            </w:r>
            <w:r w:rsidR="00311068" w:rsidRPr="0071782F">
              <w:rPr>
                <w:sz w:val="18"/>
                <w:lang w:val="fr-CH"/>
              </w:rPr>
              <w:t>,</w:t>
            </w:r>
            <w:r w:rsidRPr="0071782F">
              <w:rPr>
                <w:sz w:val="18"/>
                <w:lang w:val="fr-CH"/>
              </w:rPr>
              <w:t>6</w:t>
            </w:r>
          </w:p>
        </w:tc>
        <w:tc>
          <w:tcPr>
            <w:tcW w:w="1226" w:type="dxa"/>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62</w:t>
            </w:r>
            <w:r w:rsidR="00311068" w:rsidRPr="0071782F">
              <w:rPr>
                <w:sz w:val="18"/>
                <w:lang w:val="fr-CH"/>
              </w:rPr>
              <w:t>,</w:t>
            </w:r>
            <w:r w:rsidRPr="0071782F">
              <w:rPr>
                <w:sz w:val="18"/>
                <w:lang w:val="fr-CH"/>
              </w:rPr>
              <w:t>4</w:t>
            </w:r>
          </w:p>
        </w:tc>
      </w:tr>
      <w:tr w:rsidR="00333944" w:rsidRPr="0071782F">
        <w:tc>
          <w:tcPr>
            <w:tcW w:w="1226" w:type="dxa"/>
            <w:shd w:val="clear" w:color="000000" w:fill="auto"/>
          </w:tcPr>
          <w:p w:rsidR="00333944" w:rsidRPr="0071782F" w:rsidRDefault="00333944" w:rsidP="00311068">
            <w:pPr>
              <w:suppressAutoHyphens w:val="0"/>
              <w:spacing w:before="40" w:after="40" w:line="220" w:lineRule="exact"/>
              <w:rPr>
                <w:sz w:val="18"/>
                <w:lang w:val="fr-CH"/>
              </w:rPr>
            </w:pPr>
            <w:r w:rsidRPr="0071782F">
              <w:rPr>
                <w:sz w:val="18"/>
                <w:lang w:val="fr-CH"/>
              </w:rPr>
              <w:t>2006</w:t>
            </w:r>
          </w:p>
        </w:tc>
        <w:tc>
          <w:tcPr>
            <w:tcW w:w="1226" w:type="dxa"/>
            <w:shd w:val="clear" w:color="000000" w:fill="auto"/>
            <w:vAlign w:val="bottom"/>
          </w:tcPr>
          <w:p w:rsidR="00333944" w:rsidRPr="0071782F" w:rsidRDefault="00333944" w:rsidP="00BA31AA">
            <w:pPr>
              <w:suppressAutoHyphens w:val="0"/>
              <w:spacing w:before="40" w:after="40" w:line="220" w:lineRule="exact"/>
              <w:ind w:right="113"/>
              <w:jc w:val="right"/>
              <w:rPr>
                <w:sz w:val="18"/>
                <w:lang w:val="fr-CH"/>
              </w:rPr>
            </w:pPr>
            <w:r w:rsidRPr="0071782F">
              <w:rPr>
                <w:sz w:val="18"/>
                <w:lang w:val="fr-CH"/>
              </w:rPr>
              <w:t>84</w:t>
            </w:r>
            <w:r w:rsidR="00311068" w:rsidRPr="0071782F">
              <w:rPr>
                <w:sz w:val="18"/>
                <w:lang w:val="fr-CH"/>
              </w:rPr>
              <w:t>,</w:t>
            </w:r>
            <w:r w:rsidRPr="0071782F">
              <w:rPr>
                <w:sz w:val="18"/>
                <w:lang w:val="fr-CH"/>
              </w:rPr>
              <w:t>6</w:t>
            </w:r>
          </w:p>
        </w:tc>
        <w:tc>
          <w:tcPr>
            <w:tcW w:w="1226" w:type="dxa"/>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88</w:t>
            </w:r>
            <w:r w:rsidR="00311068" w:rsidRPr="0071782F">
              <w:rPr>
                <w:sz w:val="18"/>
                <w:lang w:val="fr-CH"/>
              </w:rPr>
              <w:t>,</w:t>
            </w:r>
            <w:r w:rsidRPr="0071782F">
              <w:rPr>
                <w:sz w:val="18"/>
                <w:lang w:val="fr-CH"/>
              </w:rPr>
              <w:t>7</w:t>
            </w:r>
          </w:p>
        </w:tc>
        <w:tc>
          <w:tcPr>
            <w:tcW w:w="1233" w:type="dxa"/>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80</w:t>
            </w:r>
            <w:r w:rsidR="00311068" w:rsidRPr="0071782F">
              <w:rPr>
                <w:sz w:val="18"/>
                <w:lang w:val="fr-CH"/>
              </w:rPr>
              <w:t>,</w:t>
            </w:r>
            <w:r w:rsidRPr="0071782F">
              <w:rPr>
                <w:sz w:val="18"/>
                <w:lang w:val="fr-CH"/>
              </w:rPr>
              <w:t>3</w:t>
            </w:r>
          </w:p>
        </w:tc>
        <w:tc>
          <w:tcPr>
            <w:tcW w:w="1233" w:type="dxa"/>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75</w:t>
            </w:r>
            <w:r w:rsidR="00311068" w:rsidRPr="0071782F">
              <w:rPr>
                <w:sz w:val="18"/>
                <w:lang w:val="fr-CH"/>
              </w:rPr>
              <w:t>,</w:t>
            </w:r>
            <w:r w:rsidRPr="0071782F">
              <w:rPr>
                <w:sz w:val="18"/>
                <w:lang w:val="fr-CH"/>
              </w:rPr>
              <w:t>1</w:t>
            </w:r>
          </w:p>
        </w:tc>
        <w:tc>
          <w:tcPr>
            <w:tcW w:w="1226" w:type="dxa"/>
            <w:shd w:val="clear" w:color="000000" w:fill="auto"/>
            <w:vAlign w:val="bottom"/>
          </w:tcPr>
          <w:p w:rsidR="00333944" w:rsidRPr="0071782F" w:rsidRDefault="00333944" w:rsidP="00311068">
            <w:pPr>
              <w:suppressAutoHyphens w:val="0"/>
              <w:spacing w:before="40" w:after="40" w:line="220" w:lineRule="exact"/>
              <w:jc w:val="right"/>
              <w:rPr>
                <w:sz w:val="18"/>
                <w:lang w:val="fr-CH"/>
              </w:rPr>
            </w:pPr>
            <w:r w:rsidRPr="0071782F">
              <w:rPr>
                <w:sz w:val="18"/>
                <w:lang w:val="fr-CH"/>
              </w:rPr>
              <w:t>88</w:t>
            </w:r>
            <w:r w:rsidR="00311068" w:rsidRPr="0071782F">
              <w:rPr>
                <w:sz w:val="18"/>
                <w:lang w:val="fr-CH"/>
              </w:rPr>
              <w:t>,</w:t>
            </w:r>
            <w:r w:rsidRPr="0071782F">
              <w:rPr>
                <w:sz w:val="18"/>
                <w:lang w:val="fr-CH"/>
              </w:rPr>
              <w:t>9</w:t>
            </w:r>
          </w:p>
        </w:tc>
      </w:tr>
    </w:tbl>
    <w:p w:rsidR="00333944" w:rsidRPr="0071782F" w:rsidRDefault="00333944" w:rsidP="00333944">
      <w:pPr>
        <w:pStyle w:val="H1G"/>
        <w:rPr>
          <w:lang w:val="fr-CH"/>
        </w:rPr>
      </w:pPr>
      <w:r w:rsidRPr="0071782F">
        <w:rPr>
          <w:lang w:val="fr-CH"/>
        </w:rPr>
        <w:tab/>
      </w:r>
      <w:r w:rsidRPr="0071782F">
        <w:rPr>
          <w:lang w:val="fr-CH"/>
        </w:rPr>
        <w:tab/>
      </w:r>
      <w:r w:rsidR="00242639" w:rsidRPr="0071782F">
        <w:rPr>
          <w:lang w:val="fr-CH"/>
        </w:rPr>
        <w:t xml:space="preserve">Panorama général de l’éducation et de l’alphabétisation en Iran </w:t>
      </w:r>
    </w:p>
    <w:p w:rsidR="00333944" w:rsidRPr="0071782F" w:rsidRDefault="00333944" w:rsidP="00333944">
      <w:pPr>
        <w:pStyle w:val="SingleTxtG"/>
        <w:rPr>
          <w:lang w:val="fr-CH"/>
        </w:rPr>
      </w:pPr>
      <w:r w:rsidRPr="0071782F">
        <w:rPr>
          <w:lang w:val="fr-CH"/>
        </w:rPr>
        <w:t>363.</w:t>
      </w:r>
      <w:r w:rsidRPr="0071782F">
        <w:rPr>
          <w:lang w:val="fr-CH"/>
        </w:rPr>
        <w:tab/>
      </w:r>
      <w:r w:rsidR="00242639" w:rsidRPr="0071782F">
        <w:rPr>
          <w:lang w:val="fr-CH"/>
        </w:rPr>
        <w:t>Il convient notamment de signaler ce qui suit</w:t>
      </w:r>
      <w:r w:rsidR="008F7D33" w:rsidRPr="0071782F">
        <w:rPr>
          <w:lang w:val="fr-CH"/>
        </w:rPr>
        <w:t>:</w:t>
      </w:r>
    </w:p>
    <w:p w:rsidR="00333944" w:rsidRPr="0071782F" w:rsidRDefault="00333944" w:rsidP="0050601F">
      <w:pPr>
        <w:pStyle w:val="SingleTxtG"/>
        <w:ind w:left="1701"/>
        <w:rPr>
          <w:lang w:val="fr-CH"/>
        </w:rPr>
      </w:pPr>
      <w:r w:rsidRPr="0071782F">
        <w:rPr>
          <w:lang w:val="fr-CH"/>
        </w:rPr>
        <w:t>363.1</w:t>
      </w:r>
      <w:r w:rsidR="0050601F" w:rsidRPr="0071782F">
        <w:rPr>
          <w:lang w:val="fr-CH"/>
        </w:rPr>
        <w:t>.</w:t>
      </w:r>
      <w:r w:rsidRPr="0071782F">
        <w:rPr>
          <w:lang w:val="fr-CH"/>
        </w:rPr>
        <w:tab/>
      </w:r>
      <w:r w:rsidR="00B07D34" w:rsidRPr="0071782F">
        <w:rPr>
          <w:lang w:val="fr-CH"/>
        </w:rPr>
        <w:t xml:space="preserve">Selon les recensements des années </w:t>
      </w:r>
      <w:r w:rsidRPr="0071782F">
        <w:rPr>
          <w:lang w:val="fr-CH"/>
        </w:rPr>
        <w:t>1976, 1986, 1996</w:t>
      </w:r>
      <w:r w:rsidR="00B07D34" w:rsidRPr="0071782F">
        <w:rPr>
          <w:lang w:val="fr-CH"/>
        </w:rPr>
        <w:t xml:space="preserve"> et</w:t>
      </w:r>
      <w:r w:rsidRPr="0071782F">
        <w:rPr>
          <w:lang w:val="fr-CH"/>
        </w:rPr>
        <w:t xml:space="preserve"> 2006, </w:t>
      </w:r>
      <w:r w:rsidR="00B07D34" w:rsidRPr="0071782F">
        <w:rPr>
          <w:lang w:val="fr-CH"/>
        </w:rPr>
        <w:t>les taux d’alphabétisation des hommes âgés de plus de six</w:t>
      </w:r>
      <w:r w:rsidR="00D82C96" w:rsidRPr="0071782F">
        <w:rPr>
          <w:lang w:val="fr-CH"/>
        </w:rPr>
        <w:t> ans</w:t>
      </w:r>
      <w:r w:rsidR="00B07D34" w:rsidRPr="0071782F">
        <w:rPr>
          <w:lang w:val="fr-CH"/>
        </w:rPr>
        <w:t xml:space="preserve"> étaient de </w:t>
      </w:r>
      <w:r w:rsidRPr="0071782F">
        <w:rPr>
          <w:lang w:val="fr-CH"/>
        </w:rPr>
        <w:t>58</w:t>
      </w:r>
      <w:r w:rsidR="00B07D34" w:rsidRPr="0071782F">
        <w:rPr>
          <w:lang w:val="fr-CH"/>
        </w:rPr>
        <w:t>,</w:t>
      </w:r>
      <w:r w:rsidRPr="0071782F">
        <w:rPr>
          <w:lang w:val="fr-CH"/>
        </w:rPr>
        <w:t>9, 71, 84</w:t>
      </w:r>
      <w:r w:rsidR="00B07D34" w:rsidRPr="0071782F">
        <w:rPr>
          <w:lang w:val="fr-CH"/>
        </w:rPr>
        <w:t>,</w:t>
      </w:r>
      <w:r w:rsidRPr="0071782F">
        <w:rPr>
          <w:lang w:val="fr-CH"/>
        </w:rPr>
        <w:t>7</w:t>
      </w:r>
      <w:r w:rsidR="00B07D34" w:rsidRPr="0071782F">
        <w:rPr>
          <w:lang w:val="fr-CH"/>
        </w:rPr>
        <w:t xml:space="preserve"> et</w:t>
      </w:r>
      <w:r w:rsidRPr="0071782F">
        <w:rPr>
          <w:lang w:val="fr-CH"/>
        </w:rPr>
        <w:t xml:space="preserve"> 88</w:t>
      </w:r>
      <w:r w:rsidR="00B07D34" w:rsidRPr="0071782F">
        <w:rPr>
          <w:lang w:val="fr-CH"/>
        </w:rPr>
        <w:t>,</w:t>
      </w:r>
      <w:r w:rsidRPr="0071782F">
        <w:rPr>
          <w:lang w:val="fr-CH"/>
        </w:rPr>
        <w:t>7</w:t>
      </w:r>
      <w:r w:rsidR="007E5125" w:rsidRPr="0071782F">
        <w:rPr>
          <w:lang w:val="fr-CH"/>
        </w:rPr>
        <w:t>%</w:t>
      </w:r>
      <w:r w:rsidR="00B07D34" w:rsidRPr="0071782F">
        <w:rPr>
          <w:lang w:val="fr-CH"/>
        </w:rPr>
        <w:t>, respectivement</w:t>
      </w:r>
      <w:r w:rsidRPr="0071782F">
        <w:rPr>
          <w:lang w:val="fr-CH"/>
        </w:rPr>
        <w:t xml:space="preserve">. </w:t>
      </w:r>
      <w:r w:rsidR="00B07D34" w:rsidRPr="0071782F">
        <w:rPr>
          <w:lang w:val="fr-CH"/>
        </w:rPr>
        <w:t xml:space="preserve">Pour les femmes, les taux étaient de </w:t>
      </w:r>
      <w:r w:rsidRPr="0071782F">
        <w:rPr>
          <w:lang w:val="fr-CH"/>
        </w:rPr>
        <w:t>35</w:t>
      </w:r>
      <w:r w:rsidR="00B07D34" w:rsidRPr="0071782F">
        <w:rPr>
          <w:lang w:val="fr-CH"/>
        </w:rPr>
        <w:t>,5, 52,1, 74,</w:t>
      </w:r>
      <w:r w:rsidRPr="0071782F">
        <w:rPr>
          <w:lang w:val="fr-CH"/>
        </w:rPr>
        <w:t>2</w:t>
      </w:r>
      <w:r w:rsidR="00B07D34" w:rsidRPr="0071782F">
        <w:rPr>
          <w:lang w:val="fr-CH"/>
        </w:rPr>
        <w:t xml:space="preserve"> et</w:t>
      </w:r>
      <w:r w:rsidRPr="0071782F">
        <w:rPr>
          <w:lang w:val="fr-CH"/>
        </w:rPr>
        <w:t xml:space="preserve"> 80</w:t>
      </w:r>
      <w:r w:rsidR="00B07D34" w:rsidRPr="0071782F">
        <w:rPr>
          <w:lang w:val="fr-CH"/>
        </w:rPr>
        <w:t>,</w:t>
      </w:r>
      <w:r w:rsidRPr="0071782F">
        <w:rPr>
          <w:lang w:val="fr-CH"/>
        </w:rPr>
        <w:t>3</w:t>
      </w:r>
      <w:r w:rsidR="00B07D34" w:rsidRPr="0071782F">
        <w:rPr>
          <w:lang w:val="fr-CH"/>
        </w:rPr>
        <w:t>, respectivement</w:t>
      </w:r>
      <w:r w:rsidRPr="0071782F">
        <w:rPr>
          <w:lang w:val="fr-CH"/>
        </w:rPr>
        <w:t>.</w:t>
      </w:r>
    </w:p>
    <w:p w:rsidR="00333944" w:rsidRPr="0071782F" w:rsidRDefault="00333944" w:rsidP="0050601F">
      <w:pPr>
        <w:pStyle w:val="SingleTxtG"/>
        <w:ind w:left="1701"/>
        <w:rPr>
          <w:lang w:val="fr-CH"/>
        </w:rPr>
      </w:pPr>
      <w:r w:rsidRPr="0071782F">
        <w:rPr>
          <w:lang w:val="fr-CH"/>
        </w:rPr>
        <w:t>363.2</w:t>
      </w:r>
      <w:r w:rsidR="0050601F" w:rsidRPr="0071782F">
        <w:rPr>
          <w:lang w:val="fr-CH"/>
        </w:rPr>
        <w:t>.</w:t>
      </w:r>
      <w:r w:rsidRPr="0071782F">
        <w:rPr>
          <w:lang w:val="fr-CH"/>
        </w:rPr>
        <w:tab/>
      </w:r>
      <w:r w:rsidR="00B07D34" w:rsidRPr="0071782F">
        <w:rPr>
          <w:lang w:val="fr-CH"/>
        </w:rPr>
        <w:t xml:space="preserve">Pendant l’année scolaire </w:t>
      </w:r>
      <w:r w:rsidRPr="0071782F">
        <w:rPr>
          <w:lang w:val="fr-CH"/>
        </w:rPr>
        <w:t>2007</w:t>
      </w:r>
      <w:r w:rsidR="00B07D34" w:rsidRPr="0071782F">
        <w:rPr>
          <w:lang w:val="fr-CH"/>
        </w:rPr>
        <w:t>-</w:t>
      </w:r>
      <w:r w:rsidRPr="0071782F">
        <w:rPr>
          <w:lang w:val="fr-CH"/>
        </w:rPr>
        <w:t xml:space="preserve">2008, </w:t>
      </w:r>
      <w:r w:rsidR="00B07D34" w:rsidRPr="0071782F">
        <w:rPr>
          <w:lang w:val="fr-CH"/>
        </w:rPr>
        <w:t xml:space="preserve">les écoles dispensant des cours de jour et des cours du soir ont accueilli </w:t>
      </w:r>
      <w:r w:rsidRPr="0071782F">
        <w:rPr>
          <w:lang w:val="fr-CH"/>
        </w:rPr>
        <w:t>5</w:t>
      </w:r>
      <w:r w:rsidR="00B07D34" w:rsidRPr="0071782F">
        <w:rPr>
          <w:lang w:val="fr-CH"/>
        </w:rPr>
        <w:t>,</w:t>
      </w:r>
      <w:r w:rsidRPr="0071782F">
        <w:rPr>
          <w:lang w:val="fr-CH"/>
        </w:rPr>
        <w:t>726, 3</w:t>
      </w:r>
      <w:r w:rsidR="00B07D34" w:rsidRPr="0071782F">
        <w:rPr>
          <w:lang w:val="fr-CH"/>
        </w:rPr>
        <w:t>,</w:t>
      </w:r>
      <w:r w:rsidRPr="0071782F">
        <w:rPr>
          <w:lang w:val="fr-CH"/>
        </w:rPr>
        <w:t>743, 3</w:t>
      </w:r>
      <w:r w:rsidR="00B07D34" w:rsidRPr="0071782F">
        <w:rPr>
          <w:lang w:val="fr-CH"/>
        </w:rPr>
        <w:t>,884 et</w:t>
      </w:r>
      <w:r w:rsidRPr="0071782F">
        <w:rPr>
          <w:lang w:val="fr-CH"/>
        </w:rPr>
        <w:t xml:space="preserve"> 0</w:t>
      </w:r>
      <w:r w:rsidR="00B07D34" w:rsidRPr="0071782F">
        <w:rPr>
          <w:lang w:val="fr-CH"/>
        </w:rPr>
        <w:t>,</w:t>
      </w:r>
      <w:r w:rsidRPr="0071782F">
        <w:rPr>
          <w:lang w:val="fr-CH"/>
        </w:rPr>
        <w:t>552</w:t>
      </w:r>
      <w:r w:rsidR="00097CDB" w:rsidRPr="0071782F">
        <w:rPr>
          <w:lang w:val="fr-CH"/>
        </w:rPr>
        <w:t> millions</w:t>
      </w:r>
      <w:r w:rsidRPr="0071782F">
        <w:rPr>
          <w:lang w:val="fr-CH"/>
        </w:rPr>
        <w:t xml:space="preserve"> </w:t>
      </w:r>
      <w:r w:rsidR="00B07D34" w:rsidRPr="0071782F">
        <w:rPr>
          <w:lang w:val="fr-CH"/>
        </w:rPr>
        <w:t>d’élèves du primaire, du secondaire des premier et second cycles et de l’enseignement préuniversitaire, respectivement</w:t>
      </w:r>
      <w:r w:rsidRPr="0071782F">
        <w:rPr>
          <w:lang w:val="fr-CH"/>
        </w:rPr>
        <w:t xml:space="preserve">. </w:t>
      </w:r>
      <w:r w:rsidR="00B07D34" w:rsidRPr="0071782F">
        <w:rPr>
          <w:lang w:val="fr-CH"/>
        </w:rPr>
        <w:t xml:space="preserve">Par rapport à l’année antérieure, ces chiffres étaient en baisse de </w:t>
      </w:r>
      <w:r w:rsidRPr="0071782F">
        <w:rPr>
          <w:lang w:val="fr-CH"/>
        </w:rPr>
        <w:t>1</w:t>
      </w:r>
      <w:r w:rsidR="00B07D34" w:rsidRPr="0071782F">
        <w:rPr>
          <w:lang w:val="fr-CH"/>
        </w:rPr>
        <w:t>,</w:t>
      </w:r>
      <w:r w:rsidRPr="0071782F">
        <w:rPr>
          <w:lang w:val="fr-CH"/>
        </w:rPr>
        <w:t>7, 5</w:t>
      </w:r>
      <w:r w:rsidR="00B07D34" w:rsidRPr="0071782F">
        <w:rPr>
          <w:lang w:val="fr-CH"/>
        </w:rPr>
        <w:t>,9 et</w:t>
      </w:r>
      <w:r w:rsidRPr="0071782F">
        <w:rPr>
          <w:lang w:val="fr-CH"/>
        </w:rPr>
        <w:t xml:space="preserve"> 3</w:t>
      </w:r>
      <w:r w:rsidR="00B07D34" w:rsidRPr="0071782F">
        <w:rPr>
          <w:lang w:val="fr-CH"/>
        </w:rPr>
        <w:t>,</w:t>
      </w:r>
      <w:r w:rsidRPr="0071782F">
        <w:rPr>
          <w:lang w:val="fr-CH"/>
        </w:rPr>
        <w:t>4</w:t>
      </w:r>
      <w:r w:rsidR="007E5125" w:rsidRPr="0071782F">
        <w:rPr>
          <w:lang w:val="fr-CH"/>
        </w:rPr>
        <w:t>%</w:t>
      </w:r>
      <w:r w:rsidR="00B07D34" w:rsidRPr="0071782F">
        <w:rPr>
          <w:lang w:val="fr-CH"/>
        </w:rPr>
        <w:t xml:space="preserve"> et en hausse de </w:t>
      </w:r>
      <w:r w:rsidRPr="0071782F">
        <w:rPr>
          <w:lang w:val="fr-CH"/>
        </w:rPr>
        <w:t>2</w:t>
      </w:r>
      <w:r w:rsidR="00B07D34" w:rsidRPr="0071782F">
        <w:rPr>
          <w:lang w:val="fr-CH"/>
        </w:rPr>
        <w:t>,</w:t>
      </w:r>
      <w:r w:rsidRPr="0071782F">
        <w:rPr>
          <w:lang w:val="fr-CH"/>
        </w:rPr>
        <w:t>9</w:t>
      </w:r>
      <w:r w:rsidR="007E5125" w:rsidRPr="0071782F">
        <w:rPr>
          <w:lang w:val="fr-CH"/>
        </w:rPr>
        <w:t>%</w:t>
      </w:r>
      <w:r w:rsidR="00B07D34" w:rsidRPr="0071782F">
        <w:rPr>
          <w:lang w:val="fr-CH"/>
        </w:rPr>
        <w:t>, respectivement</w:t>
      </w:r>
      <w:r w:rsidRPr="0071782F">
        <w:rPr>
          <w:lang w:val="fr-CH"/>
        </w:rPr>
        <w:t xml:space="preserve">. </w:t>
      </w:r>
      <w:r w:rsidR="00B07D34" w:rsidRPr="0071782F">
        <w:rPr>
          <w:lang w:val="fr-CH"/>
        </w:rPr>
        <w:t xml:space="preserve">Au cours de la même année scolaire, les filles ont représenté </w:t>
      </w:r>
      <w:r w:rsidRPr="0071782F">
        <w:rPr>
          <w:lang w:val="fr-CH"/>
        </w:rPr>
        <w:t>48</w:t>
      </w:r>
      <w:r w:rsidR="00B07D34" w:rsidRPr="0071782F">
        <w:rPr>
          <w:lang w:val="fr-CH"/>
        </w:rPr>
        <w:t>,</w:t>
      </w:r>
      <w:r w:rsidRPr="0071782F">
        <w:rPr>
          <w:lang w:val="fr-CH"/>
        </w:rPr>
        <w:t>4, 47</w:t>
      </w:r>
      <w:r w:rsidR="00B07D34" w:rsidRPr="0071782F">
        <w:rPr>
          <w:lang w:val="fr-CH"/>
        </w:rPr>
        <w:t>,</w:t>
      </w:r>
      <w:r w:rsidRPr="0071782F">
        <w:rPr>
          <w:lang w:val="fr-CH"/>
        </w:rPr>
        <w:t>1, 47</w:t>
      </w:r>
      <w:r w:rsidR="00B07D34" w:rsidRPr="0071782F">
        <w:rPr>
          <w:lang w:val="fr-CH"/>
        </w:rPr>
        <w:t>,</w:t>
      </w:r>
      <w:r w:rsidRPr="0071782F">
        <w:rPr>
          <w:lang w:val="fr-CH"/>
        </w:rPr>
        <w:t>6</w:t>
      </w:r>
      <w:r w:rsidR="00B07D34" w:rsidRPr="0071782F">
        <w:rPr>
          <w:lang w:val="fr-CH"/>
        </w:rPr>
        <w:t xml:space="preserve"> et </w:t>
      </w:r>
      <w:r w:rsidRPr="0071782F">
        <w:rPr>
          <w:lang w:val="fr-CH"/>
        </w:rPr>
        <w:t>60</w:t>
      </w:r>
      <w:r w:rsidR="00B07D34" w:rsidRPr="0071782F">
        <w:rPr>
          <w:lang w:val="fr-CH"/>
        </w:rPr>
        <w:t>,</w:t>
      </w:r>
      <w:r w:rsidRPr="0071782F">
        <w:rPr>
          <w:lang w:val="fr-CH"/>
        </w:rPr>
        <w:t>8</w:t>
      </w:r>
      <w:r w:rsidR="007E5125" w:rsidRPr="0071782F">
        <w:rPr>
          <w:lang w:val="fr-CH"/>
        </w:rPr>
        <w:t>%</w:t>
      </w:r>
      <w:r w:rsidR="00B07D34" w:rsidRPr="0071782F">
        <w:rPr>
          <w:lang w:val="fr-CH"/>
        </w:rPr>
        <w:t xml:space="preserve"> des élèves, respectivement</w:t>
      </w:r>
      <w:r w:rsidRPr="0071782F">
        <w:rPr>
          <w:lang w:val="fr-CH"/>
        </w:rPr>
        <w:t>.</w:t>
      </w:r>
    </w:p>
    <w:p w:rsidR="00333944" w:rsidRPr="0071782F" w:rsidRDefault="00333944" w:rsidP="0050601F">
      <w:pPr>
        <w:pStyle w:val="SingleTxtG"/>
        <w:ind w:left="1701"/>
        <w:rPr>
          <w:lang w:val="fr-CH"/>
        </w:rPr>
      </w:pPr>
      <w:r w:rsidRPr="0071782F">
        <w:rPr>
          <w:lang w:val="fr-CH"/>
        </w:rPr>
        <w:t>363.3</w:t>
      </w:r>
      <w:r w:rsidR="0050601F" w:rsidRPr="0071782F">
        <w:rPr>
          <w:lang w:val="fr-CH"/>
        </w:rPr>
        <w:t>.</w:t>
      </w:r>
      <w:r w:rsidRPr="0071782F">
        <w:rPr>
          <w:lang w:val="fr-CH"/>
        </w:rPr>
        <w:tab/>
      </w:r>
      <w:r w:rsidR="00B07D34" w:rsidRPr="0071782F">
        <w:rPr>
          <w:lang w:val="fr-CH"/>
        </w:rPr>
        <w:t xml:space="preserve">Pendant la même année scolaire, </w:t>
      </w:r>
      <w:r w:rsidRPr="0071782F">
        <w:rPr>
          <w:lang w:val="fr-CH"/>
        </w:rPr>
        <w:t>511</w:t>
      </w:r>
      <w:r w:rsidR="004E1022">
        <w:rPr>
          <w:lang w:val="fr-CH"/>
        </w:rPr>
        <w:t> </w:t>
      </w:r>
      <w:r w:rsidRPr="0071782F">
        <w:rPr>
          <w:lang w:val="fr-CH"/>
        </w:rPr>
        <w:t xml:space="preserve">000 </w:t>
      </w:r>
      <w:r w:rsidR="00FF6A65" w:rsidRPr="0071782F">
        <w:rPr>
          <w:lang w:val="fr-CH"/>
        </w:rPr>
        <w:t xml:space="preserve">enfants ont fréquenté un établissement préscolaire, chiffre en augmentation de </w:t>
      </w:r>
      <w:r w:rsidRPr="0071782F">
        <w:rPr>
          <w:lang w:val="fr-CH"/>
        </w:rPr>
        <w:t>7</w:t>
      </w:r>
      <w:r w:rsidR="00FF6A65" w:rsidRPr="0071782F">
        <w:rPr>
          <w:lang w:val="fr-CH"/>
        </w:rPr>
        <w:t>,</w:t>
      </w:r>
      <w:r w:rsidRPr="0071782F">
        <w:rPr>
          <w:lang w:val="fr-CH"/>
        </w:rPr>
        <w:t>5</w:t>
      </w:r>
      <w:r w:rsidR="007E5125" w:rsidRPr="0071782F">
        <w:rPr>
          <w:lang w:val="fr-CH"/>
        </w:rPr>
        <w:t>%</w:t>
      </w:r>
      <w:r w:rsidR="00FF6A65" w:rsidRPr="0071782F">
        <w:rPr>
          <w:lang w:val="fr-CH"/>
        </w:rPr>
        <w:t xml:space="preserve"> par rapport à l’année antérieure;</w:t>
      </w:r>
      <w:r w:rsidRPr="0071782F">
        <w:rPr>
          <w:lang w:val="fr-CH"/>
        </w:rPr>
        <w:t xml:space="preserve"> 70</w:t>
      </w:r>
      <w:r w:rsidR="004E1022">
        <w:rPr>
          <w:lang w:val="fr-CH"/>
        </w:rPr>
        <w:t> </w:t>
      </w:r>
      <w:r w:rsidRPr="0071782F">
        <w:rPr>
          <w:lang w:val="fr-CH"/>
        </w:rPr>
        <w:t xml:space="preserve">000 </w:t>
      </w:r>
      <w:r w:rsidR="00FF6A65" w:rsidRPr="0071782F">
        <w:rPr>
          <w:lang w:val="fr-CH"/>
        </w:rPr>
        <w:t xml:space="preserve">ont suivi des cours d’éducation spéciale, soit </w:t>
      </w:r>
      <w:r w:rsidRPr="0071782F">
        <w:rPr>
          <w:lang w:val="fr-CH"/>
        </w:rPr>
        <w:t>30</w:t>
      </w:r>
      <w:r w:rsidR="007E5125" w:rsidRPr="0071782F">
        <w:rPr>
          <w:lang w:val="fr-CH"/>
        </w:rPr>
        <w:t>%</w:t>
      </w:r>
      <w:r w:rsidR="00FF6A65" w:rsidRPr="0071782F">
        <w:rPr>
          <w:lang w:val="fr-CH"/>
        </w:rPr>
        <w:t xml:space="preserve"> de plus que l’année précédente</w:t>
      </w:r>
      <w:r w:rsidRPr="0071782F">
        <w:rPr>
          <w:lang w:val="fr-CH"/>
        </w:rPr>
        <w:t xml:space="preserve">. </w:t>
      </w:r>
    </w:p>
    <w:p w:rsidR="00333944" w:rsidRPr="0071782F" w:rsidRDefault="00333944" w:rsidP="0050601F">
      <w:pPr>
        <w:pStyle w:val="SingleTxtG"/>
        <w:ind w:left="1701"/>
        <w:rPr>
          <w:lang w:val="fr-CH"/>
        </w:rPr>
      </w:pPr>
      <w:r w:rsidRPr="0071782F">
        <w:rPr>
          <w:lang w:val="fr-CH"/>
        </w:rPr>
        <w:t>363.4</w:t>
      </w:r>
      <w:r w:rsidR="0050601F" w:rsidRPr="0071782F">
        <w:rPr>
          <w:lang w:val="fr-CH"/>
        </w:rPr>
        <w:t>.</w:t>
      </w:r>
      <w:r w:rsidRPr="0071782F">
        <w:rPr>
          <w:lang w:val="fr-CH"/>
        </w:rPr>
        <w:tab/>
      </w:r>
      <w:r w:rsidR="00FF6A65" w:rsidRPr="0071782F">
        <w:rPr>
          <w:lang w:val="fr-CH"/>
        </w:rPr>
        <w:t xml:space="preserve">Entre </w:t>
      </w:r>
      <w:r w:rsidRPr="0071782F">
        <w:rPr>
          <w:lang w:val="fr-CH"/>
        </w:rPr>
        <w:t xml:space="preserve">2001 </w:t>
      </w:r>
      <w:r w:rsidR="00FF6A65" w:rsidRPr="0071782F">
        <w:rPr>
          <w:lang w:val="fr-CH"/>
        </w:rPr>
        <w:t>et 2007, 674</w:t>
      </w:r>
      <w:r w:rsidR="004E1022">
        <w:rPr>
          <w:lang w:val="fr-CH"/>
        </w:rPr>
        <w:t> </w:t>
      </w:r>
      <w:r w:rsidRPr="0071782F">
        <w:rPr>
          <w:lang w:val="fr-CH"/>
        </w:rPr>
        <w:t>000</w:t>
      </w:r>
      <w:r w:rsidR="00097CDB" w:rsidRPr="0071782F">
        <w:rPr>
          <w:lang w:val="fr-CH"/>
        </w:rPr>
        <w:t> personnes</w:t>
      </w:r>
      <w:r w:rsidR="00FF6A65" w:rsidRPr="0071782F">
        <w:rPr>
          <w:lang w:val="fr-CH"/>
        </w:rPr>
        <w:t xml:space="preserve"> ont reçu du Mouvement pour l’alphabétisation un certificat équivalent au diplôme de fin d’études primaires</w:t>
      </w:r>
      <w:r w:rsidRPr="0071782F">
        <w:rPr>
          <w:lang w:val="fr-CH"/>
        </w:rPr>
        <w:t xml:space="preserve">. </w:t>
      </w:r>
    </w:p>
    <w:p w:rsidR="00333944" w:rsidRPr="0071782F" w:rsidRDefault="00333944" w:rsidP="0050601F">
      <w:pPr>
        <w:pStyle w:val="SingleTxtG"/>
        <w:ind w:left="1701"/>
        <w:rPr>
          <w:lang w:val="fr-CH"/>
        </w:rPr>
      </w:pPr>
      <w:r w:rsidRPr="0071782F">
        <w:rPr>
          <w:lang w:val="fr-CH"/>
        </w:rPr>
        <w:t>363.5</w:t>
      </w:r>
      <w:r w:rsidR="0050601F" w:rsidRPr="0071782F">
        <w:rPr>
          <w:lang w:val="fr-CH"/>
        </w:rPr>
        <w:t>.</w:t>
      </w:r>
      <w:r w:rsidRPr="0071782F">
        <w:rPr>
          <w:lang w:val="fr-CH"/>
        </w:rPr>
        <w:tab/>
      </w:r>
      <w:r w:rsidR="00FF6A65" w:rsidRPr="0071782F">
        <w:rPr>
          <w:lang w:val="fr-CH"/>
        </w:rPr>
        <w:t xml:space="preserve">Pendant l’année scolaire </w:t>
      </w:r>
      <w:r w:rsidRPr="0071782F">
        <w:rPr>
          <w:lang w:val="fr-CH"/>
        </w:rPr>
        <w:t>2007</w:t>
      </w:r>
      <w:r w:rsidR="00FF6A65" w:rsidRPr="0071782F">
        <w:rPr>
          <w:lang w:val="fr-CH"/>
        </w:rPr>
        <w:t>-</w:t>
      </w:r>
      <w:r w:rsidRPr="0071782F">
        <w:rPr>
          <w:lang w:val="fr-CH"/>
        </w:rPr>
        <w:t xml:space="preserve">2008, </w:t>
      </w:r>
      <w:r w:rsidR="00FF6A65" w:rsidRPr="0071782F">
        <w:rPr>
          <w:lang w:val="fr-CH"/>
        </w:rPr>
        <w:t xml:space="preserve">les universités ont accueilli </w:t>
      </w:r>
      <w:r w:rsidRPr="0071782F">
        <w:rPr>
          <w:lang w:val="fr-CH"/>
        </w:rPr>
        <w:t>3</w:t>
      </w:r>
      <w:r w:rsidR="00FF6A65" w:rsidRPr="0071782F">
        <w:rPr>
          <w:lang w:val="fr-CH"/>
        </w:rPr>
        <w:t>,</w:t>
      </w:r>
      <w:r w:rsidRPr="0071782F">
        <w:rPr>
          <w:lang w:val="fr-CH"/>
        </w:rPr>
        <w:t>392</w:t>
      </w:r>
      <w:r w:rsidR="00097CDB" w:rsidRPr="0071782F">
        <w:rPr>
          <w:lang w:val="fr-CH"/>
        </w:rPr>
        <w:t> millions</w:t>
      </w:r>
      <w:r w:rsidR="00FF6A65" w:rsidRPr="0071782F">
        <w:rPr>
          <w:lang w:val="fr-CH"/>
        </w:rPr>
        <w:t xml:space="preserve"> d’étudiants</w:t>
      </w:r>
      <w:r w:rsidRPr="0071782F">
        <w:rPr>
          <w:lang w:val="fr-CH"/>
        </w:rPr>
        <w:t xml:space="preserve">, </w:t>
      </w:r>
      <w:r w:rsidR="00FF6A65" w:rsidRPr="0071782F">
        <w:rPr>
          <w:lang w:val="fr-CH"/>
        </w:rPr>
        <w:t xml:space="preserve">chiffre en augmentation de </w:t>
      </w:r>
      <w:r w:rsidRPr="0071782F">
        <w:rPr>
          <w:lang w:val="fr-CH"/>
        </w:rPr>
        <w:t>20</w:t>
      </w:r>
      <w:r w:rsidR="007E5125" w:rsidRPr="0071782F">
        <w:rPr>
          <w:lang w:val="fr-CH"/>
        </w:rPr>
        <w:t>%</w:t>
      </w:r>
      <w:r w:rsidR="00FF6A65" w:rsidRPr="0071782F">
        <w:rPr>
          <w:lang w:val="fr-CH"/>
        </w:rPr>
        <w:t xml:space="preserve"> par rapport à l’année antérieure</w:t>
      </w:r>
      <w:r w:rsidRPr="0071782F">
        <w:rPr>
          <w:lang w:val="fr-CH"/>
        </w:rPr>
        <w:t xml:space="preserve">. </w:t>
      </w:r>
      <w:r w:rsidR="00FF6A65" w:rsidRPr="0071782F">
        <w:rPr>
          <w:lang w:val="fr-CH"/>
        </w:rPr>
        <w:t xml:space="preserve">L’Université islamique Azad en a accueilli </w:t>
      </w:r>
      <w:r w:rsidRPr="0071782F">
        <w:rPr>
          <w:lang w:val="fr-CH"/>
        </w:rPr>
        <w:t>38</w:t>
      </w:r>
      <w:r w:rsidR="00FF6A65" w:rsidRPr="0071782F">
        <w:rPr>
          <w:lang w:val="fr-CH"/>
        </w:rPr>
        <w:t>,</w:t>
      </w:r>
      <w:r w:rsidRPr="0071782F">
        <w:rPr>
          <w:lang w:val="fr-CH"/>
        </w:rPr>
        <w:t>4</w:t>
      </w:r>
      <w:r w:rsidR="007E5125" w:rsidRPr="0071782F">
        <w:rPr>
          <w:lang w:val="fr-CH"/>
        </w:rPr>
        <w:t>%</w:t>
      </w:r>
      <w:r w:rsidRPr="0071782F">
        <w:rPr>
          <w:lang w:val="fr-CH"/>
        </w:rPr>
        <w:t xml:space="preserve">. </w:t>
      </w:r>
    </w:p>
    <w:p w:rsidR="00333944" w:rsidRPr="0071782F" w:rsidRDefault="00333944" w:rsidP="0050601F">
      <w:pPr>
        <w:pStyle w:val="SingleTxtG"/>
        <w:ind w:left="1701"/>
        <w:rPr>
          <w:lang w:val="fr-CH"/>
        </w:rPr>
      </w:pPr>
      <w:r w:rsidRPr="0071782F">
        <w:rPr>
          <w:lang w:val="fr-CH"/>
        </w:rPr>
        <w:t>363.6</w:t>
      </w:r>
      <w:r w:rsidR="0050601F" w:rsidRPr="0071782F">
        <w:rPr>
          <w:lang w:val="fr-CH"/>
        </w:rPr>
        <w:t>.</w:t>
      </w:r>
      <w:r w:rsidRPr="0071782F">
        <w:rPr>
          <w:lang w:val="fr-CH"/>
        </w:rPr>
        <w:tab/>
      </w:r>
      <w:r w:rsidR="00FF6A65" w:rsidRPr="0071782F">
        <w:rPr>
          <w:lang w:val="fr-CH"/>
        </w:rPr>
        <w:t xml:space="preserve">En ce qui concerne l’enseignement postsecondaire, </w:t>
      </w:r>
      <w:r w:rsidRPr="0071782F">
        <w:rPr>
          <w:lang w:val="fr-CH"/>
        </w:rPr>
        <w:t>22</w:t>
      </w:r>
      <w:r w:rsidR="00FF6A65" w:rsidRPr="0071782F">
        <w:rPr>
          <w:lang w:val="fr-CH"/>
        </w:rPr>
        <w:t>,</w:t>
      </w:r>
      <w:r w:rsidR="0071782F">
        <w:rPr>
          <w:lang w:val="fr-CH"/>
        </w:rPr>
        <w:t>6</w:t>
      </w:r>
      <w:r w:rsidR="007E5125" w:rsidRPr="0071782F">
        <w:rPr>
          <w:lang w:val="fr-CH"/>
        </w:rPr>
        <w:t>%</w:t>
      </w:r>
      <w:r w:rsidR="00FF6A65" w:rsidRPr="0071782F">
        <w:rPr>
          <w:lang w:val="fr-CH"/>
        </w:rPr>
        <w:t xml:space="preserve"> des intéressés ont suivi un cycle d’études </w:t>
      </w:r>
      <w:r w:rsidR="0025706D" w:rsidRPr="0071782F">
        <w:rPr>
          <w:lang w:val="fr-CH"/>
        </w:rPr>
        <w:t>sanctionné par un premier diplôme universitaire</w:t>
      </w:r>
      <w:r w:rsidR="00FF6A65" w:rsidRPr="0071782F">
        <w:rPr>
          <w:lang w:val="fr-CH"/>
        </w:rPr>
        <w:t>, 71</w:t>
      </w:r>
      <w:r w:rsidR="007E5125" w:rsidRPr="0071782F">
        <w:rPr>
          <w:lang w:val="fr-CH"/>
        </w:rPr>
        <w:t>%</w:t>
      </w:r>
      <w:r w:rsidR="00FF6A65" w:rsidRPr="0071782F">
        <w:rPr>
          <w:lang w:val="fr-CH"/>
        </w:rPr>
        <w:t xml:space="preserve"> ont été étudiants en licence, 4,3</w:t>
      </w:r>
      <w:r w:rsidR="007E5125" w:rsidRPr="0071782F">
        <w:rPr>
          <w:lang w:val="fr-CH"/>
        </w:rPr>
        <w:t>%</w:t>
      </w:r>
      <w:r w:rsidR="00FF6A65" w:rsidRPr="0071782F">
        <w:rPr>
          <w:lang w:val="fr-CH"/>
        </w:rPr>
        <w:t xml:space="preserve"> en mastère et 2,1</w:t>
      </w:r>
      <w:r w:rsidR="007E5125" w:rsidRPr="0071782F">
        <w:rPr>
          <w:lang w:val="fr-CH"/>
        </w:rPr>
        <w:t>%</w:t>
      </w:r>
      <w:r w:rsidR="00FF6A65" w:rsidRPr="0071782F">
        <w:rPr>
          <w:lang w:val="fr-CH"/>
        </w:rPr>
        <w:t xml:space="preserve"> en doctorat</w:t>
      </w:r>
      <w:r w:rsidRPr="0071782F">
        <w:rPr>
          <w:lang w:val="fr-CH"/>
        </w:rPr>
        <w:t xml:space="preserve">. </w:t>
      </w:r>
    </w:p>
    <w:p w:rsidR="00333944" w:rsidRPr="0071782F" w:rsidRDefault="00333944" w:rsidP="0050601F">
      <w:pPr>
        <w:pStyle w:val="SingleTxtG"/>
        <w:ind w:left="1701"/>
        <w:rPr>
          <w:lang w:val="fr-CH"/>
        </w:rPr>
      </w:pPr>
      <w:r w:rsidRPr="0071782F">
        <w:rPr>
          <w:lang w:val="fr-CH"/>
        </w:rPr>
        <w:t>363.7</w:t>
      </w:r>
      <w:r w:rsidR="0050601F" w:rsidRPr="0071782F">
        <w:rPr>
          <w:lang w:val="fr-CH"/>
        </w:rPr>
        <w:t>.</w:t>
      </w:r>
      <w:r w:rsidRPr="0071782F">
        <w:rPr>
          <w:lang w:val="fr-CH"/>
        </w:rPr>
        <w:tab/>
      </w:r>
      <w:r w:rsidR="00FF6A65" w:rsidRPr="0071782F">
        <w:rPr>
          <w:lang w:val="fr-CH"/>
        </w:rPr>
        <w:t xml:space="preserve">Pendant l’année scolaire </w:t>
      </w:r>
      <w:r w:rsidRPr="0071782F">
        <w:rPr>
          <w:lang w:val="fr-CH"/>
        </w:rPr>
        <w:t>2006</w:t>
      </w:r>
      <w:r w:rsidR="00FF6A65" w:rsidRPr="0071782F">
        <w:rPr>
          <w:lang w:val="fr-CH"/>
        </w:rPr>
        <w:t>-</w:t>
      </w:r>
      <w:r w:rsidRPr="0071782F">
        <w:rPr>
          <w:lang w:val="fr-CH"/>
        </w:rPr>
        <w:t xml:space="preserve">2007, </w:t>
      </w:r>
      <w:r w:rsidR="00FF6A65" w:rsidRPr="0071782F">
        <w:rPr>
          <w:lang w:val="fr-CH"/>
        </w:rPr>
        <w:t xml:space="preserve">sur les </w:t>
      </w:r>
      <w:r w:rsidRPr="0071782F">
        <w:rPr>
          <w:lang w:val="fr-CH"/>
        </w:rPr>
        <w:t>131</w:t>
      </w:r>
      <w:r w:rsidR="00E86031">
        <w:rPr>
          <w:lang w:val="fr-CH"/>
        </w:rPr>
        <w:t> </w:t>
      </w:r>
      <w:r w:rsidRPr="0071782F">
        <w:rPr>
          <w:lang w:val="fr-CH"/>
        </w:rPr>
        <w:t xml:space="preserve">000 </w:t>
      </w:r>
      <w:r w:rsidR="00FF6A65" w:rsidRPr="0071782F">
        <w:rPr>
          <w:lang w:val="fr-CH"/>
        </w:rPr>
        <w:t xml:space="preserve">étudiants inscrits dans les universités et autres établissements d’enseignement supérieur publics, à l’exclusion de l’Université </w:t>
      </w:r>
      <w:r w:rsidRPr="0071782F">
        <w:rPr>
          <w:lang w:val="fr-CH"/>
        </w:rPr>
        <w:t xml:space="preserve">Payam-e Noor </w:t>
      </w:r>
      <w:r w:rsidR="00FF6A65" w:rsidRPr="0071782F">
        <w:rPr>
          <w:lang w:val="fr-CH"/>
        </w:rPr>
        <w:t>et des université</w:t>
      </w:r>
      <w:r w:rsidRPr="0071782F">
        <w:rPr>
          <w:lang w:val="fr-CH"/>
        </w:rPr>
        <w:t xml:space="preserve">s </w:t>
      </w:r>
      <w:r w:rsidR="00FF6A65" w:rsidRPr="0071782F">
        <w:rPr>
          <w:lang w:val="fr-CH"/>
        </w:rPr>
        <w:t>du Ministère de la santé</w:t>
      </w:r>
      <w:r w:rsidRPr="0071782F">
        <w:rPr>
          <w:lang w:val="fr-CH"/>
        </w:rPr>
        <w:t>, 35</w:t>
      </w:r>
      <w:r w:rsidR="00FF6A65" w:rsidRPr="0071782F">
        <w:rPr>
          <w:lang w:val="fr-CH"/>
        </w:rPr>
        <w:t>,</w:t>
      </w:r>
      <w:r w:rsidRPr="0071782F">
        <w:rPr>
          <w:lang w:val="fr-CH"/>
        </w:rPr>
        <w:t>1</w:t>
      </w:r>
      <w:r w:rsidR="00FF6A65" w:rsidRPr="0071782F">
        <w:rPr>
          <w:lang w:val="fr-CH"/>
        </w:rPr>
        <w:t>,</w:t>
      </w:r>
      <w:r w:rsidRPr="0071782F">
        <w:rPr>
          <w:lang w:val="fr-CH"/>
        </w:rPr>
        <w:t xml:space="preserve"> 34</w:t>
      </w:r>
      <w:r w:rsidR="00FF6A65" w:rsidRPr="0071782F">
        <w:rPr>
          <w:lang w:val="fr-CH"/>
        </w:rPr>
        <w:t>,</w:t>
      </w:r>
      <w:r w:rsidRPr="0071782F">
        <w:rPr>
          <w:lang w:val="fr-CH"/>
        </w:rPr>
        <w:t>1, 11</w:t>
      </w:r>
      <w:r w:rsidR="00FF6A65" w:rsidRPr="0071782F">
        <w:rPr>
          <w:lang w:val="fr-CH"/>
        </w:rPr>
        <w:t>,</w:t>
      </w:r>
      <w:r w:rsidRPr="0071782F">
        <w:rPr>
          <w:lang w:val="fr-CH"/>
        </w:rPr>
        <w:t>6, 9</w:t>
      </w:r>
      <w:r w:rsidR="00FF6A65" w:rsidRPr="0071782F">
        <w:rPr>
          <w:lang w:val="fr-CH"/>
        </w:rPr>
        <w:t>,</w:t>
      </w:r>
      <w:r w:rsidRPr="0071782F">
        <w:rPr>
          <w:lang w:val="fr-CH"/>
        </w:rPr>
        <w:t>3, 7</w:t>
      </w:r>
      <w:r w:rsidR="00FF6A65" w:rsidRPr="0071782F">
        <w:rPr>
          <w:lang w:val="fr-CH"/>
        </w:rPr>
        <w:t>,</w:t>
      </w:r>
      <w:r w:rsidRPr="0071782F">
        <w:rPr>
          <w:lang w:val="fr-CH"/>
        </w:rPr>
        <w:t>7</w:t>
      </w:r>
      <w:r w:rsidR="00FF6A65" w:rsidRPr="0071782F">
        <w:rPr>
          <w:lang w:val="fr-CH"/>
        </w:rPr>
        <w:t xml:space="preserve"> et 2,</w:t>
      </w:r>
      <w:r w:rsidRPr="0071782F">
        <w:rPr>
          <w:lang w:val="fr-CH"/>
        </w:rPr>
        <w:t>2</w:t>
      </w:r>
      <w:r w:rsidR="007E5125" w:rsidRPr="0071782F">
        <w:rPr>
          <w:lang w:val="fr-CH"/>
        </w:rPr>
        <w:t>%</w:t>
      </w:r>
      <w:r w:rsidR="00FF6A65" w:rsidRPr="0071782F">
        <w:rPr>
          <w:lang w:val="fr-CH"/>
        </w:rPr>
        <w:t xml:space="preserve"> ont fait des études techniques et d’ingénierie, de</w:t>
      </w:r>
      <w:r w:rsidRPr="0071782F">
        <w:rPr>
          <w:lang w:val="fr-CH"/>
        </w:rPr>
        <w:t xml:space="preserve"> sciences</w:t>
      </w:r>
      <w:r w:rsidR="00FF6A65" w:rsidRPr="0071782F">
        <w:rPr>
          <w:lang w:val="fr-CH"/>
        </w:rPr>
        <w:t xml:space="preserve"> humaines</w:t>
      </w:r>
      <w:r w:rsidRPr="0071782F">
        <w:rPr>
          <w:lang w:val="fr-CH"/>
        </w:rPr>
        <w:t xml:space="preserve">, </w:t>
      </w:r>
      <w:r w:rsidR="00FF6A65" w:rsidRPr="0071782F">
        <w:rPr>
          <w:lang w:val="fr-CH"/>
        </w:rPr>
        <w:t xml:space="preserve">de </w:t>
      </w:r>
      <w:r w:rsidRPr="0071782F">
        <w:rPr>
          <w:lang w:val="fr-CH"/>
        </w:rPr>
        <w:t>sciences</w:t>
      </w:r>
      <w:r w:rsidR="00FF6A65" w:rsidRPr="0071782F">
        <w:rPr>
          <w:lang w:val="fr-CH"/>
        </w:rPr>
        <w:t xml:space="preserve"> pures</w:t>
      </w:r>
      <w:r w:rsidRPr="0071782F">
        <w:rPr>
          <w:lang w:val="fr-CH"/>
        </w:rPr>
        <w:t xml:space="preserve">, </w:t>
      </w:r>
      <w:r w:rsidR="00FF6A65" w:rsidRPr="0071782F">
        <w:rPr>
          <w:lang w:val="fr-CH"/>
        </w:rPr>
        <w:t>d’a</w:t>
      </w:r>
      <w:r w:rsidRPr="0071782F">
        <w:rPr>
          <w:lang w:val="fr-CH"/>
        </w:rPr>
        <w:t xml:space="preserve">griculture </w:t>
      </w:r>
      <w:r w:rsidR="00FF6A65" w:rsidRPr="0071782F">
        <w:rPr>
          <w:lang w:val="fr-CH"/>
        </w:rPr>
        <w:t xml:space="preserve">et de sciences </w:t>
      </w:r>
      <w:r w:rsidRPr="0071782F">
        <w:rPr>
          <w:lang w:val="fr-CH"/>
        </w:rPr>
        <w:t>v</w:t>
      </w:r>
      <w:r w:rsidR="00FF6A65" w:rsidRPr="0071782F">
        <w:rPr>
          <w:lang w:val="fr-CH"/>
        </w:rPr>
        <w:t>é</w:t>
      </w:r>
      <w:r w:rsidRPr="0071782F">
        <w:rPr>
          <w:lang w:val="fr-CH"/>
        </w:rPr>
        <w:t>t</w:t>
      </w:r>
      <w:r w:rsidR="00FF6A65" w:rsidRPr="0071782F">
        <w:rPr>
          <w:lang w:val="fr-CH"/>
        </w:rPr>
        <w:t>érinaires</w:t>
      </w:r>
      <w:r w:rsidRPr="0071782F">
        <w:rPr>
          <w:lang w:val="fr-CH"/>
        </w:rPr>
        <w:t xml:space="preserve">, </w:t>
      </w:r>
      <w:r w:rsidR="00FF6A65" w:rsidRPr="0071782F">
        <w:rPr>
          <w:lang w:val="fr-CH"/>
        </w:rPr>
        <w:t>d’</w:t>
      </w:r>
      <w:r w:rsidRPr="0071782F">
        <w:rPr>
          <w:lang w:val="fr-CH"/>
        </w:rPr>
        <w:t>art</w:t>
      </w:r>
      <w:r w:rsidR="00FF6A65" w:rsidRPr="0071782F">
        <w:rPr>
          <w:lang w:val="fr-CH"/>
        </w:rPr>
        <w:t xml:space="preserve"> et de médecine, respectivement</w:t>
      </w:r>
      <w:r w:rsidRPr="0071782F">
        <w:rPr>
          <w:lang w:val="fr-CH"/>
        </w:rPr>
        <w:t xml:space="preserve">. </w:t>
      </w:r>
    </w:p>
    <w:p w:rsidR="00333944" w:rsidRPr="0071782F" w:rsidRDefault="00333944" w:rsidP="0050601F">
      <w:pPr>
        <w:pStyle w:val="SingleTxtG"/>
        <w:ind w:left="1701"/>
        <w:rPr>
          <w:lang w:val="fr-CH"/>
        </w:rPr>
      </w:pPr>
      <w:r w:rsidRPr="0071782F">
        <w:rPr>
          <w:lang w:val="fr-CH"/>
        </w:rPr>
        <w:t>363.8</w:t>
      </w:r>
      <w:r w:rsidR="0050601F" w:rsidRPr="0071782F">
        <w:rPr>
          <w:lang w:val="fr-CH"/>
        </w:rPr>
        <w:t>.</w:t>
      </w:r>
      <w:r w:rsidRPr="0071782F">
        <w:rPr>
          <w:lang w:val="fr-CH"/>
        </w:rPr>
        <w:tab/>
      </w:r>
      <w:r w:rsidR="00FF6A65" w:rsidRPr="0071782F">
        <w:rPr>
          <w:lang w:val="fr-CH"/>
        </w:rPr>
        <w:t>Pendant la même année scolaire, sur les 170</w:t>
      </w:r>
      <w:r w:rsidR="004E1022">
        <w:rPr>
          <w:lang w:val="fr-CH"/>
        </w:rPr>
        <w:t> </w:t>
      </w:r>
      <w:r w:rsidRPr="0071782F">
        <w:rPr>
          <w:lang w:val="fr-CH"/>
        </w:rPr>
        <w:t xml:space="preserve">000 </w:t>
      </w:r>
      <w:r w:rsidR="00FF6A65" w:rsidRPr="0071782F">
        <w:rPr>
          <w:lang w:val="fr-CH"/>
        </w:rPr>
        <w:t xml:space="preserve">étudiants inscrits à l’Université islamique </w:t>
      </w:r>
      <w:r w:rsidRPr="0071782F">
        <w:rPr>
          <w:lang w:val="fr-CH"/>
        </w:rPr>
        <w:t>Azad, 48</w:t>
      </w:r>
      <w:r w:rsidR="00FF6A65" w:rsidRPr="0071782F">
        <w:rPr>
          <w:lang w:val="fr-CH"/>
        </w:rPr>
        <w:t>,</w:t>
      </w:r>
      <w:r w:rsidRPr="0071782F">
        <w:rPr>
          <w:lang w:val="fr-CH"/>
        </w:rPr>
        <w:t>9, 29</w:t>
      </w:r>
      <w:r w:rsidR="00FF6A65" w:rsidRPr="0071782F">
        <w:rPr>
          <w:lang w:val="fr-CH"/>
        </w:rPr>
        <w:t>,</w:t>
      </w:r>
      <w:r w:rsidRPr="0071782F">
        <w:rPr>
          <w:lang w:val="fr-CH"/>
        </w:rPr>
        <w:t>3, 4</w:t>
      </w:r>
      <w:r w:rsidR="00FF6A65" w:rsidRPr="0071782F">
        <w:rPr>
          <w:lang w:val="fr-CH"/>
        </w:rPr>
        <w:t>,</w:t>
      </w:r>
      <w:r w:rsidRPr="0071782F">
        <w:rPr>
          <w:lang w:val="fr-CH"/>
        </w:rPr>
        <w:t>6, 9, 6</w:t>
      </w:r>
      <w:r w:rsidR="00FF6A65" w:rsidRPr="0071782F">
        <w:rPr>
          <w:lang w:val="fr-CH"/>
        </w:rPr>
        <w:t>,</w:t>
      </w:r>
      <w:r w:rsidRPr="0071782F">
        <w:rPr>
          <w:lang w:val="fr-CH"/>
        </w:rPr>
        <w:t>2</w:t>
      </w:r>
      <w:r w:rsidR="00FF6A65" w:rsidRPr="0071782F">
        <w:rPr>
          <w:lang w:val="fr-CH"/>
        </w:rPr>
        <w:t xml:space="preserve"> et</w:t>
      </w:r>
      <w:r w:rsidRPr="0071782F">
        <w:rPr>
          <w:lang w:val="fr-CH"/>
        </w:rPr>
        <w:t xml:space="preserve"> 2</w:t>
      </w:r>
      <w:r w:rsidR="007E5125" w:rsidRPr="0071782F">
        <w:rPr>
          <w:lang w:val="fr-CH"/>
        </w:rPr>
        <w:t>%</w:t>
      </w:r>
      <w:r w:rsidR="00FF6A65" w:rsidRPr="0071782F">
        <w:rPr>
          <w:lang w:val="fr-CH"/>
        </w:rPr>
        <w:t xml:space="preserve"> ont étudié les </w:t>
      </w:r>
      <w:r w:rsidRPr="0071782F">
        <w:rPr>
          <w:lang w:val="fr-CH"/>
        </w:rPr>
        <w:t>sciences</w:t>
      </w:r>
      <w:r w:rsidR="00FF6A65" w:rsidRPr="0071782F">
        <w:rPr>
          <w:lang w:val="fr-CH"/>
        </w:rPr>
        <w:t xml:space="preserve"> humaines</w:t>
      </w:r>
      <w:r w:rsidRPr="0071782F">
        <w:rPr>
          <w:lang w:val="fr-CH"/>
        </w:rPr>
        <w:t xml:space="preserve">, </w:t>
      </w:r>
      <w:r w:rsidR="00FF6A65" w:rsidRPr="0071782F">
        <w:rPr>
          <w:lang w:val="fr-CH"/>
        </w:rPr>
        <w:t>les disciplines techniques et l’ingénierie</w:t>
      </w:r>
      <w:r w:rsidRPr="0071782F">
        <w:rPr>
          <w:lang w:val="fr-CH"/>
        </w:rPr>
        <w:t xml:space="preserve">, </w:t>
      </w:r>
      <w:r w:rsidR="00FF6A65" w:rsidRPr="0071782F">
        <w:rPr>
          <w:lang w:val="fr-CH"/>
        </w:rPr>
        <w:t>la médecine</w:t>
      </w:r>
      <w:r w:rsidRPr="0071782F">
        <w:rPr>
          <w:lang w:val="fr-CH"/>
        </w:rPr>
        <w:t xml:space="preserve">, </w:t>
      </w:r>
      <w:r w:rsidR="00FF6A65" w:rsidRPr="0071782F">
        <w:rPr>
          <w:lang w:val="fr-CH"/>
        </w:rPr>
        <w:t xml:space="preserve">les </w:t>
      </w:r>
      <w:r w:rsidRPr="0071782F">
        <w:rPr>
          <w:lang w:val="fr-CH"/>
        </w:rPr>
        <w:t>sciences</w:t>
      </w:r>
      <w:r w:rsidR="00FF6A65" w:rsidRPr="0071782F">
        <w:rPr>
          <w:lang w:val="fr-CH"/>
        </w:rPr>
        <w:t xml:space="preserve"> pures</w:t>
      </w:r>
      <w:r w:rsidRPr="0071782F">
        <w:rPr>
          <w:lang w:val="fr-CH"/>
        </w:rPr>
        <w:t xml:space="preserve">, </w:t>
      </w:r>
      <w:r w:rsidR="00FF6A65" w:rsidRPr="0071782F">
        <w:rPr>
          <w:lang w:val="fr-CH"/>
        </w:rPr>
        <w:t>l’</w:t>
      </w:r>
      <w:r w:rsidRPr="0071782F">
        <w:rPr>
          <w:lang w:val="fr-CH"/>
        </w:rPr>
        <w:t xml:space="preserve">agriculture </w:t>
      </w:r>
      <w:r w:rsidR="00FF6A65" w:rsidRPr="0071782F">
        <w:rPr>
          <w:lang w:val="fr-CH"/>
        </w:rPr>
        <w:t xml:space="preserve">et les sciences </w:t>
      </w:r>
      <w:r w:rsidRPr="0071782F">
        <w:rPr>
          <w:lang w:val="fr-CH"/>
        </w:rPr>
        <w:t>v</w:t>
      </w:r>
      <w:r w:rsidR="00FF6A65" w:rsidRPr="0071782F">
        <w:rPr>
          <w:lang w:val="fr-CH"/>
        </w:rPr>
        <w:t>é</w:t>
      </w:r>
      <w:r w:rsidRPr="0071782F">
        <w:rPr>
          <w:lang w:val="fr-CH"/>
        </w:rPr>
        <w:t>t</w:t>
      </w:r>
      <w:r w:rsidR="00FF6A65" w:rsidRPr="0071782F">
        <w:rPr>
          <w:lang w:val="fr-CH"/>
        </w:rPr>
        <w:t>érinaires</w:t>
      </w:r>
      <w:r w:rsidRPr="0071782F">
        <w:rPr>
          <w:lang w:val="fr-CH"/>
        </w:rPr>
        <w:t xml:space="preserve">, </w:t>
      </w:r>
      <w:r w:rsidR="00FF6A65" w:rsidRPr="0071782F">
        <w:rPr>
          <w:lang w:val="fr-CH"/>
        </w:rPr>
        <w:t>et l’art, respectivement</w:t>
      </w:r>
      <w:r w:rsidRPr="0071782F">
        <w:rPr>
          <w:lang w:val="fr-CH"/>
        </w:rPr>
        <w:t xml:space="preserve">. </w:t>
      </w:r>
      <w:r w:rsidR="00FF6A65" w:rsidRPr="0071782F">
        <w:rPr>
          <w:lang w:val="fr-CH"/>
        </w:rPr>
        <w:t>Cette année-là, quelque 301 000</w:t>
      </w:r>
      <w:r w:rsidR="00097CDB" w:rsidRPr="0071782F">
        <w:rPr>
          <w:lang w:val="fr-CH"/>
        </w:rPr>
        <w:t> personnes</w:t>
      </w:r>
      <w:r w:rsidR="00FF6A65" w:rsidRPr="0071782F">
        <w:rPr>
          <w:lang w:val="fr-CH"/>
        </w:rPr>
        <w:t xml:space="preserve"> faisaient des études universitaires</w:t>
      </w:r>
      <w:r w:rsidRPr="0071782F">
        <w:rPr>
          <w:lang w:val="fr-CH"/>
        </w:rPr>
        <w:t xml:space="preserve">. </w:t>
      </w:r>
    </w:p>
    <w:p w:rsidR="00333944" w:rsidRPr="0071782F" w:rsidRDefault="00333944" w:rsidP="00333944">
      <w:pPr>
        <w:pStyle w:val="H23G"/>
        <w:rPr>
          <w:lang w:val="fr-CH"/>
        </w:rPr>
      </w:pPr>
      <w:r w:rsidRPr="0071782F">
        <w:rPr>
          <w:lang w:val="fr-CH"/>
        </w:rPr>
        <w:tab/>
      </w:r>
      <w:r w:rsidRPr="0071782F">
        <w:rPr>
          <w:lang w:val="fr-CH"/>
        </w:rPr>
        <w:tab/>
      </w:r>
      <w:r w:rsidR="00FF6A65" w:rsidRPr="0071782F">
        <w:rPr>
          <w:lang w:val="fr-CH"/>
        </w:rPr>
        <w:t>P</w:t>
      </w:r>
      <w:r w:rsidRPr="0071782F">
        <w:rPr>
          <w:lang w:val="fr-CH"/>
        </w:rPr>
        <w:t xml:space="preserve">opulation </w:t>
      </w:r>
      <w:r w:rsidR="00FF6A65" w:rsidRPr="0071782F">
        <w:rPr>
          <w:lang w:val="fr-CH"/>
        </w:rPr>
        <w:t xml:space="preserve">totale et </w:t>
      </w:r>
      <w:r w:rsidRPr="0071782F">
        <w:rPr>
          <w:lang w:val="fr-CH"/>
        </w:rPr>
        <w:t xml:space="preserve">population </w:t>
      </w:r>
      <w:r w:rsidR="00FF6A65" w:rsidRPr="0071782F">
        <w:rPr>
          <w:lang w:val="fr-CH"/>
        </w:rPr>
        <w:t xml:space="preserve">alphabétisée </w:t>
      </w:r>
      <w:r w:rsidRPr="0071782F">
        <w:rPr>
          <w:lang w:val="fr-CH"/>
        </w:rPr>
        <w:t>(</w:t>
      </w:r>
      <w:r w:rsidR="00FF6A65" w:rsidRPr="0071782F">
        <w:rPr>
          <w:lang w:val="fr-CH"/>
        </w:rPr>
        <w:t>en milliers</w:t>
      </w:r>
      <w:r w:rsidRPr="0071782F">
        <w:rPr>
          <w:lang w:val="fr-CH"/>
        </w:rPr>
        <w:t>)</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1311"/>
        <w:gridCol w:w="1009"/>
        <w:gridCol w:w="1010"/>
        <w:gridCol w:w="1010"/>
        <w:gridCol w:w="1010"/>
        <w:gridCol w:w="1010"/>
        <w:gridCol w:w="1010"/>
      </w:tblGrid>
      <w:tr w:rsidR="00333944" w:rsidRPr="0071782F">
        <w:trPr>
          <w:tblHeader/>
        </w:trPr>
        <w:tc>
          <w:tcPr>
            <w:tcW w:w="1311" w:type="dxa"/>
            <w:vMerge w:val="restart"/>
            <w:tcBorders>
              <w:top w:val="single" w:sz="4" w:space="0" w:color="auto"/>
              <w:bottom w:val="single" w:sz="12" w:space="0" w:color="auto"/>
            </w:tcBorders>
            <w:shd w:val="clear" w:color="000000" w:fill="auto"/>
            <w:vAlign w:val="bottom"/>
          </w:tcPr>
          <w:p w:rsidR="00333944" w:rsidRPr="0071782F" w:rsidRDefault="00FF6A65" w:rsidP="00797EE2">
            <w:pPr>
              <w:suppressAutoHyphens w:val="0"/>
              <w:spacing w:before="80" w:after="80" w:line="200" w:lineRule="exact"/>
              <w:rPr>
                <w:i/>
                <w:sz w:val="16"/>
                <w:lang w:val="fr-CH"/>
              </w:rPr>
            </w:pPr>
            <w:r w:rsidRPr="0071782F">
              <w:rPr>
                <w:i/>
                <w:sz w:val="16"/>
                <w:lang w:val="fr-CH"/>
              </w:rPr>
              <w:t>Sexe et âge</w:t>
            </w:r>
          </w:p>
        </w:tc>
        <w:tc>
          <w:tcPr>
            <w:tcW w:w="2019" w:type="dxa"/>
            <w:gridSpan w:val="2"/>
            <w:tcBorders>
              <w:top w:val="single" w:sz="4" w:space="0" w:color="auto"/>
              <w:bottom w:val="single" w:sz="4" w:space="0" w:color="auto"/>
              <w:right w:val="single" w:sz="24" w:space="0" w:color="FFFFFF"/>
            </w:tcBorders>
            <w:shd w:val="clear" w:color="000000" w:fill="auto"/>
            <w:vAlign w:val="bottom"/>
          </w:tcPr>
          <w:p w:rsidR="00333944" w:rsidRPr="0071782F" w:rsidRDefault="00333944" w:rsidP="00797EE2">
            <w:pPr>
              <w:suppressAutoHyphens w:val="0"/>
              <w:spacing w:before="80" w:after="80" w:line="200" w:lineRule="exact"/>
              <w:jc w:val="center"/>
              <w:rPr>
                <w:i/>
                <w:sz w:val="16"/>
                <w:lang w:val="fr-CH"/>
              </w:rPr>
            </w:pPr>
            <w:r w:rsidRPr="0071782F">
              <w:rPr>
                <w:i/>
                <w:sz w:val="16"/>
                <w:lang w:val="fr-CH"/>
              </w:rPr>
              <w:t>Octob</w:t>
            </w:r>
            <w:r w:rsidR="00FF6A65" w:rsidRPr="0071782F">
              <w:rPr>
                <w:i/>
                <w:sz w:val="16"/>
                <w:lang w:val="fr-CH"/>
              </w:rPr>
              <w:t>re</w:t>
            </w:r>
            <w:r w:rsidRPr="0071782F">
              <w:rPr>
                <w:i/>
                <w:sz w:val="16"/>
                <w:lang w:val="fr-CH"/>
              </w:rPr>
              <w:t xml:space="preserve"> 1991</w:t>
            </w:r>
          </w:p>
        </w:tc>
        <w:tc>
          <w:tcPr>
            <w:tcW w:w="2020"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333944" w:rsidRPr="0071782F" w:rsidRDefault="00333944" w:rsidP="00797EE2">
            <w:pPr>
              <w:suppressAutoHyphens w:val="0"/>
              <w:spacing w:before="80" w:after="80" w:line="200" w:lineRule="exact"/>
              <w:jc w:val="center"/>
              <w:rPr>
                <w:i/>
                <w:sz w:val="16"/>
                <w:lang w:val="fr-CH"/>
              </w:rPr>
            </w:pPr>
            <w:r w:rsidRPr="0071782F">
              <w:rPr>
                <w:i/>
                <w:sz w:val="16"/>
                <w:lang w:val="fr-CH"/>
              </w:rPr>
              <w:t>Novemb</w:t>
            </w:r>
            <w:r w:rsidR="00FF6A65" w:rsidRPr="0071782F">
              <w:rPr>
                <w:i/>
                <w:sz w:val="16"/>
                <w:lang w:val="fr-CH"/>
              </w:rPr>
              <w:t>re</w:t>
            </w:r>
            <w:r w:rsidRPr="0071782F">
              <w:rPr>
                <w:i/>
                <w:sz w:val="16"/>
                <w:lang w:val="fr-CH"/>
              </w:rPr>
              <w:t xml:space="preserve"> 1996</w:t>
            </w:r>
          </w:p>
        </w:tc>
        <w:tc>
          <w:tcPr>
            <w:tcW w:w="2020" w:type="dxa"/>
            <w:gridSpan w:val="2"/>
            <w:tcBorders>
              <w:top w:val="single" w:sz="4" w:space="0" w:color="auto"/>
              <w:left w:val="single" w:sz="24" w:space="0" w:color="FFFFFF"/>
              <w:bottom w:val="single" w:sz="4" w:space="0" w:color="auto"/>
            </w:tcBorders>
            <w:shd w:val="clear" w:color="000000" w:fill="auto"/>
            <w:vAlign w:val="bottom"/>
          </w:tcPr>
          <w:p w:rsidR="00333944" w:rsidRPr="0071782F" w:rsidRDefault="00333944" w:rsidP="00797EE2">
            <w:pPr>
              <w:suppressAutoHyphens w:val="0"/>
              <w:spacing w:before="80" w:after="80" w:line="200" w:lineRule="exact"/>
              <w:jc w:val="center"/>
              <w:rPr>
                <w:i/>
                <w:sz w:val="16"/>
                <w:lang w:val="fr-CH"/>
              </w:rPr>
            </w:pPr>
            <w:r w:rsidRPr="0071782F">
              <w:rPr>
                <w:i/>
                <w:sz w:val="16"/>
                <w:lang w:val="fr-CH"/>
              </w:rPr>
              <w:t>Octob</w:t>
            </w:r>
            <w:r w:rsidR="00FF6A65" w:rsidRPr="0071782F">
              <w:rPr>
                <w:i/>
                <w:sz w:val="16"/>
                <w:lang w:val="fr-CH"/>
              </w:rPr>
              <w:t>re</w:t>
            </w:r>
            <w:r w:rsidRPr="0071782F">
              <w:rPr>
                <w:i/>
                <w:sz w:val="16"/>
                <w:lang w:val="fr-CH"/>
              </w:rPr>
              <w:t xml:space="preserve"> 2006</w:t>
            </w:r>
          </w:p>
        </w:tc>
      </w:tr>
      <w:tr w:rsidR="00333944" w:rsidRPr="0071782F">
        <w:trPr>
          <w:tblHeader/>
        </w:trPr>
        <w:tc>
          <w:tcPr>
            <w:tcW w:w="1311" w:type="dxa"/>
            <w:vMerge/>
            <w:tcBorders>
              <w:top w:val="single" w:sz="12" w:space="0" w:color="auto"/>
              <w:bottom w:val="single" w:sz="12" w:space="0" w:color="auto"/>
            </w:tcBorders>
            <w:shd w:val="clear" w:color="000000" w:fill="auto"/>
            <w:vAlign w:val="bottom"/>
          </w:tcPr>
          <w:p w:rsidR="00333944" w:rsidRPr="0071782F" w:rsidRDefault="00333944" w:rsidP="00797EE2">
            <w:pPr>
              <w:suppressAutoHyphens w:val="0"/>
              <w:spacing w:before="40" w:after="40" w:line="220" w:lineRule="exact"/>
              <w:rPr>
                <w:sz w:val="18"/>
                <w:lang w:val="fr-CH"/>
              </w:rPr>
            </w:pPr>
          </w:p>
        </w:tc>
        <w:tc>
          <w:tcPr>
            <w:tcW w:w="1009" w:type="dxa"/>
            <w:tcBorders>
              <w:top w:val="single" w:sz="4" w:space="0" w:color="auto"/>
              <w:bottom w:val="single" w:sz="12" w:space="0" w:color="auto"/>
            </w:tcBorders>
            <w:shd w:val="clear" w:color="000000" w:fill="auto"/>
            <w:vAlign w:val="bottom"/>
          </w:tcPr>
          <w:p w:rsidR="00333944" w:rsidRPr="0071782F" w:rsidRDefault="00FF6A65" w:rsidP="00797EE2">
            <w:pPr>
              <w:suppressAutoHyphens w:val="0"/>
              <w:spacing w:before="40" w:after="40" w:line="220" w:lineRule="exact"/>
              <w:jc w:val="right"/>
              <w:rPr>
                <w:b/>
                <w:i/>
                <w:sz w:val="16"/>
                <w:szCs w:val="16"/>
                <w:lang w:val="fr-CH"/>
              </w:rPr>
            </w:pPr>
            <w:r w:rsidRPr="0071782F">
              <w:rPr>
                <w:b/>
                <w:i/>
                <w:sz w:val="16"/>
                <w:szCs w:val="16"/>
                <w:lang w:val="fr-CH"/>
              </w:rPr>
              <w:t>Population totale</w:t>
            </w:r>
          </w:p>
        </w:tc>
        <w:tc>
          <w:tcPr>
            <w:tcW w:w="1010" w:type="dxa"/>
            <w:tcBorders>
              <w:top w:val="single" w:sz="4" w:space="0" w:color="auto"/>
              <w:bottom w:val="single" w:sz="12" w:space="0" w:color="auto"/>
              <w:right w:val="single" w:sz="24" w:space="0" w:color="FFFFFF"/>
            </w:tcBorders>
            <w:shd w:val="clear" w:color="000000" w:fill="auto"/>
            <w:vAlign w:val="bottom"/>
          </w:tcPr>
          <w:p w:rsidR="00333944" w:rsidRPr="0071782F" w:rsidRDefault="00FF6A65" w:rsidP="00797EE2">
            <w:pPr>
              <w:suppressAutoHyphens w:val="0"/>
              <w:spacing w:before="40" w:after="40" w:line="220" w:lineRule="exact"/>
              <w:jc w:val="right"/>
              <w:rPr>
                <w:i/>
                <w:sz w:val="16"/>
                <w:szCs w:val="16"/>
                <w:lang w:val="fr-CH"/>
              </w:rPr>
            </w:pPr>
            <w:r w:rsidRPr="0071782F">
              <w:rPr>
                <w:i/>
                <w:sz w:val="16"/>
                <w:szCs w:val="16"/>
                <w:lang w:val="fr-CH"/>
              </w:rPr>
              <w:t>P</w:t>
            </w:r>
            <w:r w:rsidR="00333944" w:rsidRPr="0071782F">
              <w:rPr>
                <w:i/>
                <w:sz w:val="16"/>
                <w:szCs w:val="16"/>
                <w:lang w:val="fr-CH"/>
              </w:rPr>
              <w:t>opulation</w:t>
            </w:r>
            <w:r w:rsidRPr="0071782F">
              <w:rPr>
                <w:i/>
                <w:sz w:val="16"/>
                <w:szCs w:val="16"/>
                <w:lang w:val="fr-CH"/>
              </w:rPr>
              <w:t xml:space="preserve"> alphabétisée</w:t>
            </w:r>
          </w:p>
        </w:tc>
        <w:tc>
          <w:tcPr>
            <w:tcW w:w="1010" w:type="dxa"/>
            <w:tcBorders>
              <w:top w:val="single" w:sz="4" w:space="0" w:color="auto"/>
              <w:left w:val="single" w:sz="24" w:space="0" w:color="FFFFFF"/>
              <w:bottom w:val="single" w:sz="12" w:space="0" w:color="auto"/>
            </w:tcBorders>
            <w:shd w:val="clear" w:color="000000" w:fill="auto"/>
            <w:vAlign w:val="bottom"/>
          </w:tcPr>
          <w:p w:rsidR="00333944" w:rsidRPr="0071782F" w:rsidRDefault="00FF6A65" w:rsidP="00797EE2">
            <w:pPr>
              <w:suppressAutoHyphens w:val="0"/>
              <w:spacing w:before="40" w:after="40" w:line="220" w:lineRule="exact"/>
              <w:jc w:val="right"/>
              <w:rPr>
                <w:b/>
                <w:i/>
                <w:sz w:val="16"/>
                <w:szCs w:val="16"/>
                <w:lang w:val="fr-CH"/>
              </w:rPr>
            </w:pPr>
            <w:r w:rsidRPr="0071782F">
              <w:rPr>
                <w:b/>
                <w:i/>
                <w:sz w:val="16"/>
                <w:szCs w:val="16"/>
                <w:lang w:val="fr-CH"/>
              </w:rPr>
              <w:t xml:space="preserve">Population totale </w:t>
            </w:r>
          </w:p>
        </w:tc>
        <w:tc>
          <w:tcPr>
            <w:tcW w:w="1010" w:type="dxa"/>
            <w:tcBorders>
              <w:top w:val="single" w:sz="4" w:space="0" w:color="auto"/>
              <w:bottom w:val="single" w:sz="12" w:space="0" w:color="auto"/>
              <w:right w:val="single" w:sz="24" w:space="0" w:color="FFFFFF"/>
            </w:tcBorders>
            <w:shd w:val="clear" w:color="000000" w:fill="auto"/>
            <w:vAlign w:val="bottom"/>
          </w:tcPr>
          <w:p w:rsidR="00333944" w:rsidRPr="0071782F" w:rsidRDefault="00FF6A65" w:rsidP="00797EE2">
            <w:pPr>
              <w:suppressAutoHyphens w:val="0"/>
              <w:spacing w:before="40" w:after="40" w:line="220" w:lineRule="exact"/>
              <w:jc w:val="right"/>
              <w:rPr>
                <w:i/>
                <w:sz w:val="16"/>
                <w:szCs w:val="16"/>
                <w:lang w:val="fr-CH"/>
              </w:rPr>
            </w:pPr>
            <w:r w:rsidRPr="0071782F">
              <w:rPr>
                <w:i/>
                <w:sz w:val="16"/>
                <w:szCs w:val="16"/>
                <w:lang w:val="fr-CH"/>
              </w:rPr>
              <w:t>Population alphabétisée</w:t>
            </w:r>
          </w:p>
        </w:tc>
        <w:tc>
          <w:tcPr>
            <w:tcW w:w="1010" w:type="dxa"/>
            <w:tcBorders>
              <w:top w:val="single" w:sz="4" w:space="0" w:color="auto"/>
              <w:left w:val="single" w:sz="24" w:space="0" w:color="FFFFFF"/>
              <w:bottom w:val="single" w:sz="12" w:space="0" w:color="auto"/>
            </w:tcBorders>
            <w:shd w:val="clear" w:color="000000" w:fill="auto"/>
            <w:vAlign w:val="bottom"/>
          </w:tcPr>
          <w:p w:rsidR="00333944" w:rsidRPr="0071782F" w:rsidRDefault="00FF6A65" w:rsidP="00797EE2">
            <w:pPr>
              <w:suppressAutoHyphens w:val="0"/>
              <w:spacing w:before="40" w:after="40" w:line="220" w:lineRule="exact"/>
              <w:jc w:val="right"/>
              <w:rPr>
                <w:b/>
                <w:i/>
                <w:sz w:val="16"/>
                <w:szCs w:val="16"/>
                <w:lang w:val="fr-CH"/>
              </w:rPr>
            </w:pPr>
            <w:r w:rsidRPr="0071782F">
              <w:rPr>
                <w:b/>
                <w:i/>
                <w:sz w:val="16"/>
                <w:szCs w:val="16"/>
                <w:lang w:val="fr-CH"/>
              </w:rPr>
              <w:t>Population totale</w:t>
            </w:r>
          </w:p>
        </w:tc>
        <w:tc>
          <w:tcPr>
            <w:tcW w:w="1010" w:type="dxa"/>
            <w:tcBorders>
              <w:top w:val="single" w:sz="4" w:space="0" w:color="auto"/>
              <w:bottom w:val="single" w:sz="12" w:space="0" w:color="auto"/>
            </w:tcBorders>
            <w:shd w:val="clear" w:color="000000" w:fill="auto"/>
            <w:vAlign w:val="bottom"/>
          </w:tcPr>
          <w:p w:rsidR="00333944" w:rsidRPr="0071782F" w:rsidRDefault="00FF6A65" w:rsidP="00797EE2">
            <w:pPr>
              <w:suppressAutoHyphens w:val="0"/>
              <w:spacing w:before="40" w:after="40" w:line="220" w:lineRule="exact"/>
              <w:jc w:val="right"/>
              <w:rPr>
                <w:i/>
                <w:sz w:val="16"/>
                <w:szCs w:val="16"/>
                <w:lang w:val="fr-CH"/>
              </w:rPr>
            </w:pPr>
            <w:r w:rsidRPr="0071782F">
              <w:rPr>
                <w:i/>
                <w:sz w:val="16"/>
                <w:szCs w:val="16"/>
                <w:lang w:val="fr-CH"/>
              </w:rPr>
              <w:t>Population alphabétisée</w:t>
            </w:r>
          </w:p>
        </w:tc>
      </w:tr>
      <w:tr w:rsidR="00333944" w:rsidRPr="0071782F">
        <w:tc>
          <w:tcPr>
            <w:tcW w:w="1311" w:type="dxa"/>
            <w:tcBorders>
              <w:top w:val="single" w:sz="12" w:space="0" w:color="auto"/>
            </w:tcBorders>
            <w:shd w:val="clear" w:color="000000" w:fill="auto"/>
          </w:tcPr>
          <w:p w:rsidR="00333944" w:rsidRPr="0071782F" w:rsidRDefault="00FF6A65" w:rsidP="00797EE2">
            <w:pPr>
              <w:suppressAutoHyphens w:val="0"/>
              <w:spacing w:before="40" w:after="40" w:line="220" w:lineRule="exact"/>
              <w:rPr>
                <w:sz w:val="18"/>
                <w:lang w:val="fr-CH"/>
              </w:rPr>
            </w:pPr>
            <w:r w:rsidRPr="0071782F">
              <w:rPr>
                <w:sz w:val="18"/>
                <w:lang w:val="fr-CH"/>
              </w:rPr>
              <w:t>Hommes et femmes</w:t>
            </w:r>
            <w:r w:rsidR="00333944" w:rsidRPr="0071782F">
              <w:rPr>
                <w:sz w:val="18"/>
                <w:lang w:val="fr-CH"/>
              </w:rPr>
              <w:t xml:space="preserve"> (</w:t>
            </w:r>
            <w:r w:rsidR="0071782F" w:rsidRPr="0071782F">
              <w:rPr>
                <w:sz w:val="18"/>
                <w:lang w:val="fr-CH"/>
              </w:rPr>
              <w:t>âge</w:t>
            </w:r>
            <w:r w:rsidR="00333944" w:rsidRPr="0071782F">
              <w:rPr>
                <w:sz w:val="18"/>
                <w:lang w:val="fr-CH"/>
              </w:rPr>
              <w:t>)</w:t>
            </w:r>
          </w:p>
        </w:tc>
        <w:tc>
          <w:tcPr>
            <w:tcW w:w="1009" w:type="dxa"/>
            <w:tcBorders>
              <w:top w:val="single" w:sz="12" w:space="0" w:color="auto"/>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45 856</w:t>
            </w:r>
          </w:p>
        </w:tc>
        <w:tc>
          <w:tcPr>
            <w:tcW w:w="1010" w:type="dxa"/>
            <w:tcBorders>
              <w:top w:val="single" w:sz="12" w:space="0" w:color="auto"/>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33 966</w:t>
            </w:r>
          </w:p>
        </w:tc>
        <w:tc>
          <w:tcPr>
            <w:tcW w:w="1010" w:type="dxa"/>
            <w:tcBorders>
              <w:top w:val="single" w:sz="12" w:space="0" w:color="auto"/>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52 295</w:t>
            </w:r>
          </w:p>
        </w:tc>
        <w:tc>
          <w:tcPr>
            <w:tcW w:w="1010" w:type="dxa"/>
            <w:tcBorders>
              <w:top w:val="single" w:sz="12" w:space="0" w:color="auto"/>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41 582</w:t>
            </w:r>
          </w:p>
        </w:tc>
        <w:tc>
          <w:tcPr>
            <w:tcW w:w="1010" w:type="dxa"/>
            <w:tcBorders>
              <w:top w:val="single" w:sz="12" w:space="0" w:color="auto"/>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63 920</w:t>
            </w:r>
          </w:p>
        </w:tc>
        <w:tc>
          <w:tcPr>
            <w:tcW w:w="1010" w:type="dxa"/>
            <w:tcBorders>
              <w:top w:val="single" w:sz="12" w:space="0" w:color="auto"/>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54 082</w:t>
            </w:r>
          </w:p>
        </w:tc>
      </w:tr>
      <w:tr w:rsidR="00333944" w:rsidRPr="0071782F">
        <w:tc>
          <w:tcPr>
            <w:tcW w:w="1311" w:type="dxa"/>
            <w:tcBorders>
              <w:bottom w:val="nil"/>
            </w:tcBorders>
            <w:shd w:val="clear" w:color="000000" w:fill="auto"/>
          </w:tcPr>
          <w:p w:rsidR="00333944" w:rsidRPr="0071782F" w:rsidRDefault="00333944" w:rsidP="00797EE2">
            <w:pPr>
              <w:suppressAutoHyphens w:val="0"/>
              <w:spacing w:before="40" w:after="40" w:line="220" w:lineRule="exact"/>
              <w:rPr>
                <w:sz w:val="18"/>
                <w:lang w:val="fr-CH"/>
              </w:rPr>
            </w:pPr>
            <w:r w:rsidRPr="0071782F">
              <w:rPr>
                <w:sz w:val="18"/>
                <w:lang w:val="fr-CH"/>
              </w:rPr>
              <w:t>6</w:t>
            </w:r>
            <w:r w:rsidR="00FF6A65" w:rsidRPr="0071782F">
              <w:rPr>
                <w:sz w:val="18"/>
                <w:lang w:val="fr-CH"/>
              </w:rPr>
              <w:t>-</w:t>
            </w:r>
            <w:r w:rsidRPr="0071782F">
              <w:rPr>
                <w:sz w:val="18"/>
                <w:lang w:val="fr-CH"/>
              </w:rPr>
              <w:t>9</w:t>
            </w:r>
          </w:p>
        </w:tc>
        <w:tc>
          <w:tcPr>
            <w:tcW w:w="1009"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7 195</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6 635</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6 891</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6 361</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4 397</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4 049</w:t>
            </w:r>
          </w:p>
        </w:tc>
      </w:tr>
      <w:tr w:rsidR="00333944" w:rsidRPr="0071782F">
        <w:tc>
          <w:tcPr>
            <w:tcW w:w="1311" w:type="dxa"/>
            <w:tcBorders>
              <w:top w:val="nil"/>
              <w:bottom w:val="nil"/>
            </w:tcBorders>
            <w:shd w:val="clear" w:color="000000" w:fill="auto"/>
          </w:tcPr>
          <w:p w:rsidR="00333944" w:rsidRPr="0071782F" w:rsidRDefault="00333944" w:rsidP="00797EE2">
            <w:pPr>
              <w:suppressAutoHyphens w:val="0"/>
              <w:spacing w:before="40" w:after="40" w:line="220" w:lineRule="exact"/>
              <w:rPr>
                <w:sz w:val="18"/>
                <w:lang w:val="fr-CH"/>
              </w:rPr>
            </w:pPr>
            <w:r w:rsidRPr="0071782F">
              <w:rPr>
                <w:sz w:val="18"/>
                <w:lang w:val="fr-CH"/>
              </w:rPr>
              <w:t>10</w:t>
            </w:r>
            <w:r w:rsidR="00FF6A65" w:rsidRPr="0071782F">
              <w:rPr>
                <w:sz w:val="18"/>
                <w:lang w:val="fr-CH"/>
              </w:rPr>
              <w:t>-</w:t>
            </w:r>
            <w:r w:rsidRPr="0071782F">
              <w:rPr>
                <w:sz w:val="18"/>
                <w:lang w:val="fr-CH"/>
              </w:rPr>
              <w:t>14</w:t>
            </w:r>
          </w:p>
        </w:tc>
        <w:tc>
          <w:tcPr>
            <w:tcW w:w="1009"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7 547</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7 056</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9 081</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8 740</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6 709</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6 550</w:t>
            </w:r>
          </w:p>
        </w:tc>
      </w:tr>
      <w:tr w:rsidR="00333944" w:rsidRPr="0071782F">
        <w:tc>
          <w:tcPr>
            <w:tcW w:w="1311" w:type="dxa"/>
            <w:tcBorders>
              <w:top w:val="nil"/>
            </w:tcBorders>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15</w:t>
            </w:r>
            <w:r w:rsidR="004E1022">
              <w:rPr>
                <w:sz w:val="18"/>
                <w:lang w:val="fr-CH"/>
              </w:rPr>
              <w:t>-</w:t>
            </w:r>
            <w:r w:rsidRPr="0071782F">
              <w:rPr>
                <w:sz w:val="18"/>
                <w:lang w:val="fr-CH"/>
              </w:rPr>
              <w:t>19</w:t>
            </w:r>
          </w:p>
        </w:tc>
        <w:tc>
          <w:tcPr>
            <w:tcW w:w="1009"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5 909</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5 275</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7 116</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6 718</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8 727</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8 463</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20</w:t>
            </w:r>
            <w:r w:rsidR="004E1022">
              <w:rPr>
                <w:sz w:val="18"/>
                <w:lang w:val="fr-CH"/>
              </w:rPr>
              <w:t>-</w:t>
            </w:r>
            <w:r w:rsidRPr="0071782F">
              <w:rPr>
                <w:sz w:val="18"/>
                <w:lang w:val="fr-CH"/>
              </w:rPr>
              <w:t>24</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4 947</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4 128</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5 222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4 739</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9 011</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8 680</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25</w:t>
            </w:r>
            <w:r w:rsidR="004E1022">
              <w:rPr>
                <w:sz w:val="18"/>
                <w:lang w:val="fr-CH"/>
              </w:rPr>
              <w:t>-</w:t>
            </w:r>
            <w:r w:rsidRPr="0071782F">
              <w:rPr>
                <w:sz w:val="18"/>
                <w:lang w:val="fr-CH"/>
              </w:rPr>
              <w:t>29</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4 005</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3 079</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4 709</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4 067</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7 225</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6 822</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30</w:t>
            </w:r>
            <w:r w:rsidR="004E1022">
              <w:rPr>
                <w:sz w:val="18"/>
                <w:lang w:val="fr-CH"/>
              </w:rPr>
              <w:t>-</w:t>
            </w:r>
            <w:r w:rsidRPr="0071782F">
              <w:rPr>
                <w:sz w:val="18"/>
                <w:lang w:val="fr-CH"/>
              </w:rPr>
              <w:t>34</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3 504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2 419</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3 980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3 222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5 554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5 045</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35</w:t>
            </w:r>
            <w:r w:rsidR="004E1022">
              <w:rPr>
                <w:sz w:val="18"/>
                <w:lang w:val="fr-CH"/>
              </w:rPr>
              <w:t>-</w:t>
            </w:r>
            <w:r w:rsidRPr="0071782F">
              <w:rPr>
                <w:sz w:val="18"/>
                <w:lang w:val="fr-CH"/>
              </w:rPr>
              <w:t>39</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2 867</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1 782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3 572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2 614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4 921</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4 239</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40</w:t>
            </w:r>
            <w:r w:rsidR="004E1022">
              <w:rPr>
                <w:sz w:val="18"/>
                <w:lang w:val="fr-CH"/>
              </w:rPr>
              <w:t>-</w:t>
            </w:r>
            <w:r w:rsidRPr="0071782F">
              <w:rPr>
                <w:sz w:val="18"/>
                <w:lang w:val="fr-CH"/>
              </w:rPr>
              <w:t>44</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2 038</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1 094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2 812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1 844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4 089</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3 274</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45</w:t>
            </w:r>
            <w:r w:rsidR="004E1022">
              <w:rPr>
                <w:sz w:val="18"/>
                <w:lang w:val="fr-CH"/>
              </w:rPr>
              <w:t>-</w:t>
            </w:r>
            <w:r w:rsidRPr="0071782F">
              <w:rPr>
                <w:sz w:val="18"/>
                <w:lang w:val="fr-CH"/>
              </w:rPr>
              <w:t>49</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1 579</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733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2 013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1 127</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3 523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2 535</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50</w:t>
            </w:r>
            <w:r w:rsidR="004E1022">
              <w:rPr>
                <w:sz w:val="18"/>
                <w:lang w:val="fr-CH"/>
              </w:rPr>
              <w:t>-</w:t>
            </w:r>
            <w:r w:rsidRPr="0071782F">
              <w:rPr>
                <w:sz w:val="18"/>
                <w:lang w:val="fr-CH"/>
              </w:rPr>
              <w:t>54</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1 571</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572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1 529</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719</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2 755</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1 746</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55</w:t>
            </w:r>
            <w:r w:rsidR="004E1022">
              <w:rPr>
                <w:sz w:val="18"/>
                <w:lang w:val="fr-CH"/>
              </w:rPr>
              <w:t>-</w:t>
            </w:r>
            <w:r w:rsidRPr="0071782F">
              <w:rPr>
                <w:sz w:val="18"/>
                <w:lang w:val="fr-CH"/>
              </w:rPr>
              <w:t>59</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1 443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434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1 367</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502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1 888</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1 021</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60</w:t>
            </w:r>
            <w:r w:rsidR="004E1022">
              <w:rPr>
                <w:sz w:val="18"/>
                <w:lang w:val="fr-CH"/>
              </w:rPr>
              <w:t>-</w:t>
            </w:r>
            <w:r w:rsidRPr="0071782F">
              <w:rPr>
                <w:sz w:val="18"/>
                <w:lang w:val="fr-CH"/>
              </w:rPr>
              <w:t>64</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1 303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318</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1 383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375</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1 464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641</w:t>
            </w:r>
          </w:p>
        </w:tc>
      </w:tr>
      <w:tr w:rsidR="00333944" w:rsidRPr="0071782F">
        <w:tc>
          <w:tcPr>
            <w:tcW w:w="1311" w:type="dxa"/>
            <w:tcBorders>
              <w:bottom w:val="nil"/>
            </w:tcBorders>
            <w:shd w:val="clear" w:color="000000" w:fill="auto"/>
          </w:tcPr>
          <w:p w:rsidR="00333944" w:rsidRPr="0071782F" w:rsidRDefault="00333944" w:rsidP="00797EE2">
            <w:pPr>
              <w:suppressAutoHyphens w:val="0"/>
              <w:spacing w:before="40" w:after="40" w:line="220" w:lineRule="exact"/>
              <w:rPr>
                <w:sz w:val="18"/>
                <w:lang w:val="fr-CH"/>
              </w:rPr>
            </w:pPr>
            <w:r w:rsidRPr="0071782F">
              <w:rPr>
                <w:sz w:val="18"/>
                <w:lang w:val="fr-CH"/>
              </w:rPr>
              <w:t>65</w:t>
            </w:r>
            <w:r w:rsidR="00FF6A65" w:rsidRPr="0071782F">
              <w:rPr>
                <w:sz w:val="18"/>
                <w:lang w:val="fr-CH"/>
              </w:rPr>
              <w:t xml:space="preserve"> et au-dessus</w:t>
            </w:r>
          </w:p>
        </w:tc>
        <w:tc>
          <w:tcPr>
            <w:tcW w:w="1009"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1 890</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418</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2 595</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538</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3 657</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1 017</w:t>
            </w:r>
          </w:p>
        </w:tc>
      </w:tr>
      <w:tr w:rsidR="00333944" w:rsidRPr="0071782F">
        <w:tc>
          <w:tcPr>
            <w:tcW w:w="1311" w:type="dxa"/>
            <w:tcBorders>
              <w:top w:val="nil"/>
              <w:bottom w:val="nil"/>
            </w:tcBorders>
            <w:shd w:val="clear" w:color="000000" w:fill="auto"/>
          </w:tcPr>
          <w:p w:rsidR="00333944" w:rsidRPr="0071782F" w:rsidRDefault="00FF6A65" w:rsidP="00797EE2">
            <w:pPr>
              <w:suppressAutoHyphens w:val="0"/>
              <w:spacing w:before="40" w:after="40" w:line="220" w:lineRule="exact"/>
              <w:rPr>
                <w:sz w:val="18"/>
                <w:lang w:val="fr-CH"/>
              </w:rPr>
            </w:pPr>
            <w:r w:rsidRPr="0071782F">
              <w:rPr>
                <w:sz w:val="18"/>
                <w:lang w:val="fr-CH"/>
              </w:rPr>
              <w:t>I</w:t>
            </w:r>
            <w:r w:rsidR="00333944" w:rsidRPr="0071782F">
              <w:rPr>
                <w:sz w:val="18"/>
                <w:lang w:val="fr-CH"/>
              </w:rPr>
              <w:t>nd</w:t>
            </w:r>
            <w:r w:rsidRPr="0071782F">
              <w:rPr>
                <w:sz w:val="18"/>
                <w:lang w:val="fr-CH"/>
              </w:rPr>
              <w:t>é</w:t>
            </w:r>
            <w:r w:rsidR="00333944" w:rsidRPr="0071782F">
              <w:rPr>
                <w:sz w:val="18"/>
                <w:lang w:val="fr-CH"/>
              </w:rPr>
              <w:t>termin</w:t>
            </w:r>
            <w:r w:rsidRPr="0071782F">
              <w:rPr>
                <w:sz w:val="18"/>
                <w:lang w:val="fr-CH"/>
              </w:rPr>
              <w:t>é</w:t>
            </w:r>
          </w:p>
        </w:tc>
        <w:tc>
          <w:tcPr>
            <w:tcW w:w="1009"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58</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23</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26</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15</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0</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0</w:t>
            </w:r>
          </w:p>
        </w:tc>
      </w:tr>
      <w:tr w:rsidR="00333944" w:rsidRPr="0071782F">
        <w:tc>
          <w:tcPr>
            <w:tcW w:w="1311" w:type="dxa"/>
            <w:tcBorders>
              <w:top w:val="nil"/>
            </w:tcBorders>
            <w:shd w:val="clear" w:color="000000" w:fill="auto"/>
          </w:tcPr>
          <w:p w:rsidR="00333944" w:rsidRPr="0071782F" w:rsidRDefault="00FF6A65" w:rsidP="00797EE2">
            <w:pPr>
              <w:suppressAutoHyphens w:val="0"/>
              <w:spacing w:before="40" w:after="40" w:line="220" w:lineRule="exact"/>
              <w:rPr>
                <w:sz w:val="18"/>
                <w:lang w:val="fr-CH"/>
              </w:rPr>
            </w:pPr>
            <w:r w:rsidRPr="0071782F">
              <w:rPr>
                <w:sz w:val="18"/>
                <w:lang w:val="fr-CH"/>
              </w:rPr>
              <w:t>Hommes</w:t>
            </w:r>
          </w:p>
        </w:tc>
        <w:tc>
          <w:tcPr>
            <w:tcW w:w="1009"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23 675</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19 091</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26 534</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22 465</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32 494</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28 835</w:t>
            </w:r>
          </w:p>
        </w:tc>
      </w:tr>
      <w:tr w:rsidR="00333944" w:rsidRPr="0071782F">
        <w:tc>
          <w:tcPr>
            <w:tcW w:w="1311" w:type="dxa"/>
            <w:tcBorders>
              <w:top w:val="nil"/>
              <w:bottom w:val="nil"/>
            </w:tcBorders>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6</w:t>
            </w:r>
            <w:r w:rsidR="004E1022">
              <w:rPr>
                <w:sz w:val="18"/>
                <w:lang w:val="fr-CH"/>
              </w:rPr>
              <w:t>-</w:t>
            </w:r>
            <w:r w:rsidRPr="0071782F">
              <w:rPr>
                <w:sz w:val="18"/>
                <w:lang w:val="fr-CH"/>
              </w:rPr>
              <w:t>9</w:t>
            </w:r>
          </w:p>
        </w:tc>
        <w:tc>
          <w:tcPr>
            <w:tcW w:w="1009"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3 675</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3 454</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3 510</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3 291</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2 250</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2 076</w:t>
            </w:r>
          </w:p>
        </w:tc>
      </w:tr>
      <w:tr w:rsidR="00333944" w:rsidRPr="0071782F">
        <w:tc>
          <w:tcPr>
            <w:tcW w:w="1311" w:type="dxa"/>
            <w:tcBorders>
              <w:top w:val="nil"/>
            </w:tcBorders>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10</w:t>
            </w:r>
            <w:r w:rsidR="004E1022">
              <w:rPr>
                <w:sz w:val="18"/>
                <w:lang w:val="fr-CH"/>
              </w:rPr>
              <w:t>-</w:t>
            </w:r>
            <w:r w:rsidRPr="0071782F">
              <w:rPr>
                <w:sz w:val="18"/>
                <w:lang w:val="fr-CH"/>
              </w:rPr>
              <w:t>14</w:t>
            </w:r>
          </w:p>
        </w:tc>
        <w:tc>
          <w:tcPr>
            <w:tcW w:w="1009"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3 902</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3 746</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4 622</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4 504</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3 441</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3 368</w:t>
            </w:r>
          </w:p>
        </w:tc>
      </w:tr>
      <w:tr w:rsidR="00333944" w:rsidRPr="0071782F">
        <w:tc>
          <w:tcPr>
            <w:tcW w:w="1311" w:type="dxa"/>
            <w:tcBorders>
              <w:bottom w:val="nil"/>
            </w:tcBorders>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15</w:t>
            </w:r>
            <w:r w:rsidR="004E1022">
              <w:rPr>
                <w:sz w:val="18"/>
                <w:lang w:val="fr-CH"/>
              </w:rPr>
              <w:t>-</w:t>
            </w:r>
            <w:r w:rsidRPr="0071782F">
              <w:rPr>
                <w:sz w:val="18"/>
                <w:lang w:val="fr-CH"/>
              </w:rPr>
              <w:t>19</w:t>
            </w:r>
          </w:p>
        </w:tc>
        <w:tc>
          <w:tcPr>
            <w:tcW w:w="1009"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3 058</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2 856</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3 580</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3 444</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4 443</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4 324</w:t>
            </w:r>
          </w:p>
        </w:tc>
      </w:tr>
      <w:tr w:rsidR="00333944" w:rsidRPr="0071782F">
        <w:tc>
          <w:tcPr>
            <w:tcW w:w="1311" w:type="dxa"/>
            <w:tcBorders>
              <w:top w:val="nil"/>
              <w:bottom w:val="nil"/>
            </w:tcBorders>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20</w:t>
            </w:r>
            <w:r w:rsidR="004E1022">
              <w:rPr>
                <w:sz w:val="18"/>
                <w:lang w:val="fr-CH"/>
              </w:rPr>
              <w:t>-</w:t>
            </w:r>
            <w:r w:rsidRPr="0071782F">
              <w:rPr>
                <w:sz w:val="18"/>
                <w:lang w:val="fr-CH"/>
              </w:rPr>
              <w:t>24</w:t>
            </w:r>
          </w:p>
        </w:tc>
        <w:tc>
          <w:tcPr>
            <w:tcW w:w="1009"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2 520</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2 280</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2 566</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2 419</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4 512</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4 375</w:t>
            </w:r>
          </w:p>
        </w:tc>
      </w:tr>
      <w:tr w:rsidR="00333944" w:rsidRPr="0071782F">
        <w:tc>
          <w:tcPr>
            <w:tcW w:w="1311" w:type="dxa"/>
            <w:tcBorders>
              <w:top w:val="nil"/>
            </w:tcBorders>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25</w:t>
            </w:r>
            <w:r w:rsidR="004E1022">
              <w:rPr>
                <w:sz w:val="18"/>
                <w:lang w:val="fr-CH"/>
              </w:rPr>
              <w:t>-</w:t>
            </w:r>
            <w:r w:rsidRPr="0071782F">
              <w:rPr>
                <w:sz w:val="18"/>
                <w:lang w:val="fr-CH"/>
              </w:rPr>
              <w:t>29</w:t>
            </w:r>
          </w:p>
        </w:tc>
        <w:tc>
          <w:tcPr>
            <w:tcW w:w="1009"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2 012</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1 737</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2 366</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2 172</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3 660</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3 519</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30</w:t>
            </w:r>
            <w:r w:rsidR="004E1022">
              <w:rPr>
                <w:sz w:val="18"/>
                <w:lang w:val="fr-CH"/>
              </w:rPr>
              <w:t>-</w:t>
            </w:r>
            <w:r w:rsidRPr="0071782F">
              <w:rPr>
                <w:sz w:val="18"/>
                <w:lang w:val="fr-CH"/>
              </w:rPr>
              <w:t>34</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1 780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1 426</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2 013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1 779</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2 838</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2 677</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35</w:t>
            </w:r>
            <w:r w:rsidR="004E1022">
              <w:rPr>
                <w:sz w:val="18"/>
                <w:lang w:val="fr-CH"/>
              </w:rPr>
              <w:t>-</w:t>
            </w:r>
            <w:r w:rsidRPr="0071782F">
              <w:rPr>
                <w:sz w:val="18"/>
                <w:lang w:val="fr-CH"/>
              </w:rPr>
              <w:t>39</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1 462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1 099</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1 818</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1 501</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2 512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2 308</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40</w:t>
            </w:r>
            <w:r w:rsidR="004E1022">
              <w:rPr>
                <w:sz w:val="18"/>
                <w:lang w:val="fr-CH"/>
              </w:rPr>
              <w:t>-</w:t>
            </w:r>
            <w:r w:rsidRPr="0071782F">
              <w:rPr>
                <w:sz w:val="18"/>
                <w:lang w:val="fr-CH"/>
              </w:rPr>
              <w:t>44</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1 028</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702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1 431</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1 110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2 082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1 836</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45</w:t>
            </w:r>
            <w:r w:rsidR="004E1022">
              <w:rPr>
                <w:sz w:val="18"/>
                <w:lang w:val="fr-CH"/>
              </w:rPr>
              <w:t>-</w:t>
            </w:r>
            <w:r w:rsidRPr="0071782F">
              <w:rPr>
                <w:sz w:val="18"/>
                <w:lang w:val="fr-CH"/>
              </w:rPr>
              <w:t>49</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798</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489</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990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702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1 792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1 476</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50</w:t>
            </w:r>
            <w:r w:rsidR="004E1022">
              <w:rPr>
                <w:sz w:val="18"/>
                <w:lang w:val="fr-CH"/>
              </w:rPr>
              <w:t>-</w:t>
            </w:r>
            <w:r w:rsidRPr="0071782F">
              <w:rPr>
                <w:sz w:val="18"/>
                <w:lang w:val="fr-CH"/>
              </w:rPr>
              <w:t>54</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822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406</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769</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477</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1 386</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1 064</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55</w:t>
            </w:r>
            <w:r w:rsidR="004E1022">
              <w:rPr>
                <w:sz w:val="18"/>
                <w:lang w:val="fr-CH"/>
              </w:rPr>
              <w:t>-</w:t>
            </w:r>
            <w:r w:rsidRPr="0071782F">
              <w:rPr>
                <w:sz w:val="18"/>
                <w:lang w:val="fr-CH"/>
              </w:rPr>
              <w:t>59</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793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323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717</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360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924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645</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60</w:t>
            </w:r>
            <w:r w:rsidR="004E1022">
              <w:rPr>
                <w:sz w:val="18"/>
                <w:lang w:val="fr-CH"/>
              </w:rPr>
              <w:t>-</w:t>
            </w:r>
            <w:r w:rsidRPr="0071782F">
              <w:rPr>
                <w:sz w:val="18"/>
                <w:lang w:val="fr-CH"/>
              </w:rPr>
              <w:t>64</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723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241</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754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284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726</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430</w:t>
            </w:r>
          </w:p>
        </w:tc>
      </w:tr>
      <w:tr w:rsidR="00333944" w:rsidRPr="0071782F">
        <w:tc>
          <w:tcPr>
            <w:tcW w:w="1311" w:type="dxa"/>
            <w:shd w:val="clear" w:color="000000" w:fill="auto"/>
          </w:tcPr>
          <w:p w:rsidR="00333944" w:rsidRPr="0071782F" w:rsidRDefault="00333944" w:rsidP="00797EE2">
            <w:pPr>
              <w:suppressAutoHyphens w:val="0"/>
              <w:spacing w:before="40" w:after="40" w:line="220" w:lineRule="exact"/>
              <w:rPr>
                <w:sz w:val="18"/>
                <w:lang w:val="fr-CH"/>
              </w:rPr>
            </w:pPr>
            <w:r w:rsidRPr="0071782F">
              <w:rPr>
                <w:sz w:val="18"/>
                <w:lang w:val="fr-CH"/>
              </w:rPr>
              <w:t>65</w:t>
            </w:r>
            <w:r w:rsidR="00FF6A65" w:rsidRPr="0071782F">
              <w:rPr>
                <w:sz w:val="18"/>
                <w:lang w:val="fr-CH"/>
              </w:rPr>
              <w:t xml:space="preserve"> et au-dessus</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1 066</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320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1 382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411</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1 928</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738</w:t>
            </w:r>
          </w:p>
        </w:tc>
      </w:tr>
      <w:tr w:rsidR="00333944" w:rsidRPr="0071782F">
        <w:tc>
          <w:tcPr>
            <w:tcW w:w="1311" w:type="dxa"/>
            <w:shd w:val="clear" w:color="000000" w:fill="auto"/>
          </w:tcPr>
          <w:p w:rsidR="00333944" w:rsidRPr="0071782F" w:rsidRDefault="00FF6A65" w:rsidP="00797EE2">
            <w:pPr>
              <w:suppressAutoHyphens w:val="0"/>
              <w:spacing w:before="40" w:after="40" w:line="220" w:lineRule="exact"/>
              <w:rPr>
                <w:sz w:val="18"/>
                <w:lang w:val="fr-CH"/>
              </w:rPr>
            </w:pPr>
            <w:r w:rsidRPr="0071782F">
              <w:rPr>
                <w:sz w:val="18"/>
                <w:lang w:val="fr-CH"/>
              </w:rPr>
              <w:t>In</w:t>
            </w:r>
            <w:r w:rsidR="00333944" w:rsidRPr="0071782F">
              <w:rPr>
                <w:sz w:val="18"/>
                <w:lang w:val="fr-CH"/>
              </w:rPr>
              <w:t>d</w:t>
            </w:r>
            <w:r w:rsidRPr="0071782F">
              <w:rPr>
                <w:sz w:val="18"/>
                <w:lang w:val="fr-CH"/>
              </w:rPr>
              <w:t>é</w:t>
            </w:r>
            <w:r w:rsidR="00333944" w:rsidRPr="0071782F">
              <w:rPr>
                <w:sz w:val="18"/>
                <w:lang w:val="fr-CH"/>
              </w:rPr>
              <w:t>termin</w:t>
            </w:r>
            <w:r w:rsidRPr="0071782F">
              <w:rPr>
                <w:sz w:val="18"/>
                <w:lang w:val="fr-CH"/>
              </w:rPr>
              <w:t>é</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36</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15</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0</w:t>
            </w:r>
          </w:p>
        </w:tc>
      </w:tr>
      <w:tr w:rsidR="00333944" w:rsidRPr="0071782F">
        <w:tc>
          <w:tcPr>
            <w:tcW w:w="1311" w:type="dxa"/>
            <w:shd w:val="clear" w:color="000000" w:fill="auto"/>
          </w:tcPr>
          <w:p w:rsidR="00333944" w:rsidRPr="0071782F" w:rsidRDefault="00FF6A65" w:rsidP="00797EE2">
            <w:pPr>
              <w:suppressAutoHyphens w:val="0"/>
              <w:spacing w:before="40" w:after="40" w:line="220" w:lineRule="exact"/>
              <w:rPr>
                <w:sz w:val="18"/>
                <w:lang w:val="fr-CH"/>
              </w:rPr>
            </w:pPr>
            <w:r w:rsidRPr="0071782F">
              <w:rPr>
                <w:sz w:val="18"/>
                <w:lang w:val="fr-CH"/>
              </w:rPr>
              <w:t>Femmes</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22 181</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14 875</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25 761</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19 118</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31 426</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25 247</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6</w:t>
            </w:r>
            <w:r w:rsidR="004E1022">
              <w:rPr>
                <w:sz w:val="18"/>
                <w:lang w:val="fr-CH"/>
              </w:rPr>
              <w:t>-</w:t>
            </w:r>
            <w:r w:rsidRPr="0071782F">
              <w:rPr>
                <w:sz w:val="18"/>
                <w:lang w:val="fr-CH"/>
              </w:rPr>
              <w:t>9</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3 520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3 181</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3 381</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3 070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2 147</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1 974</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10</w:t>
            </w:r>
            <w:r w:rsidR="004E1022">
              <w:rPr>
                <w:sz w:val="18"/>
                <w:lang w:val="fr-CH"/>
              </w:rPr>
              <w:t>-</w:t>
            </w:r>
            <w:r w:rsidRPr="0071782F">
              <w:rPr>
                <w:sz w:val="18"/>
                <w:lang w:val="fr-CH"/>
              </w:rPr>
              <w:t>14</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3 646</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3 309</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4 458</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4 236</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3 267</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3 182</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15</w:t>
            </w:r>
            <w:r w:rsidR="004E1022">
              <w:rPr>
                <w:sz w:val="18"/>
                <w:lang w:val="fr-CH"/>
              </w:rPr>
              <w:t>-</w:t>
            </w:r>
            <w:r w:rsidRPr="0071782F">
              <w:rPr>
                <w:sz w:val="18"/>
                <w:lang w:val="fr-CH"/>
              </w:rPr>
              <w:t>19</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2 851</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2 419</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3 536</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3 274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4 284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4 139</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20</w:t>
            </w:r>
            <w:r w:rsidR="004E1022">
              <w:rPr>
                <w:sz w:val="18"/>
                <w:lang w:val="fr-CH"/>
              </w:rPr>
              <w:t>-</w:t>
            </w:r>
            <w:r w:rsidRPr="0071782F">
              <w:rPr>
                <w:sz w:val="18"/>
                <w:lang w:val="fr-CH"/>
              </w:rPr>
              <w:t>24</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2 427</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1 848</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2 656</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2 320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4 500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4 305</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25</w:t>
            </w:r>
            <w:r w:rsidR="004E1022">
              <w:rPr>
                <w:sz w:val="18"/>
                <w:lang w:val="fr-CH"/>
              </w:rPr>
              <w:t>-</w:t>
            </w:r>
            <w:r w:rsidRPr="0071782F">
              <w:rPr>
                <w:sz w:val="18"/>
                <w:lang w:val="fr-CH"/>
              </w:rPr>
              <w:t>29</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1 993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1 342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2 343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1 895</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3 565</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3 303</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30</w:t>
            </w:r>
            <w:r w:rsidR="004E1022">
              <w:rPr>
                <w:sz w:val="18"/>
                <w:lang w:val="fr-CH"/>
              </w:rPr>
              <w:t>-</w:t>
            </w:r>
            <w:r w:rsidRPr="0071782F">
              <w:rPr>
                <w:sz w:val="18"/>
                <w:lang w:val="fr-CH"/>
              </w:rPr>
              <w:t>34</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1 724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994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1 967</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1 443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2 716</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2 368</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35</w:t>
            </w:r>
            <w:r w:rsidR="004E1022">
              <w:rPr>
                <w:sz w:val="18"/>
                <w:lang w:val="fr-CH"/>
              </w:rPr>
              <w:t>-</w:t>
            </w:r>
            <w:r w:rsidRPr="0071782F">
              <w:rPr>
                <w:sz w:val="18"/>
                <w:lang w:val="fr-CH"/>
              </w:rPr>
              <w:t>39</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1 404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683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1 754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1 113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2 410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1 931</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40</w:t>
            </w:r>
            <w:r w:rsidR="004E1022">
              <w:rPr>
                <w:sz w:val="18"/>
                <w:lang w:val="fr-CH"/>
              </w:rPr>
              <w:t>-</w:t>
            </w:r>
            <w:r w:rsidRPr="0071782F">
              <w:rPr>
                <w:sz w:val="18"/>
                <w:lang w:val="fr-CH"/>
              </w:rPr>
              <w:t>44</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1 010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392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1 381</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735</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2 007</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1 439</w:t>
            </w:r>
          </w:p>
        </w:tc>
      </w:tr>
      <w:tr w:rsidR="00333944" w:rsidRPr="0071782F">
        <w:tc>
          <w:tcPr>
            <w:tcW w:w="1311" w:type="dxa"/>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45</w:t>
            </w:r>
            <w:r w:rsidR="004E1022">
              <w:rPr>
                <w:sz w:val="18"/>
                <w:lang w:val="fr-CH"/>
              </w:rPr>
              <w:t>-</w:t>
            </w:r>
            <w:r w:rsidRPr="0071782F">
              <w:rPr>
                <w:sz w:val="18"/>
                <w:lang w:val="fr-CH"/>
              </w:rPr>
              <w:t>49</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780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244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1 023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425</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1 730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1 059</w:t>
            </w:r>
          </w:p>
        </w:tc>
      </w:tr>
      <w:tr w:rsidR="00333944" w:rsidRPr="0071782F">
        <w:tc>
          <w:tcPr>
            <w:tcW w:w="1311" w:type="dxa"/>
            <w:tcBorders>
              <w:bottom w:val="nil"/>
            </w:tcBorders>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50</w:t>
            </w:r>
            <w:r w:rsidR="004E1022">
              <w:rPr>
                <w:sz w:val="18"/>
                <w:lang w:val="fr-CH"/>
              </w:rPr>
              <w:t>-</w:t>
            </w:r>
            <w:r w:rsidRPr="0071782F">
              <w:rPr>
                <w:sz w:val="18"/>
                <w:lang w:val="fr-CH"/>
              </w:rPr>
              <w:t>54</w:t>
            </w:r>
          </w:p>
        </w:tc>
        <w:tc>
          <w:tcPr>
            <w:tcW w:w="1009"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750</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166</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760</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242</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1 369</w:t>
            </w:r>
          </w:p>
        </w:tc>
        <w:tc>
          <w:tcPr>
            <w:tcW w:w="1010" w:type="dxa"/>
            <w:tcBorders>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681</w:t>
            </w:r>
          </w:p>
        </w:tc>
      </w:tr>
      <w:tr w:rsidR="00333944" w:rsidRPr="0071782F">
        <w:tc>
          <w:tcPr>
            <w:tcW w:w="1311" w:type="dxa"/>
            <w:tcBorders>
              <w:top w:val="nil"/>
              <w:bottom w:val="nil"/>
            </w:tcBorders>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55</w:t>
            </w:r>
            <w:r w:rsidR="004E1022">
              <w:rPr>
                <w:sz w:val="18"/>
                <w:lang w:val="fr-CH"/>
              </w:rPr>
              <w:t>-</w:t>
            </w:r>
            <w:r w:rsidRPr="0071782F">
              <w:rPr>
                <w:sz w:val="18"/>
                <w:lang w:val="fr-CH"/>
              </w:rPr>
              <w:t>59</w:t>
            </w:r>
          </w:p>
        </w:tc>
        <w:tc>
          <w:tcPr>
            <w:tcW w:w="1009"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650</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111</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649</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142</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964</w:t>
            </w:r>
          </w:p>
        </w:tc>
        <w:tc>
          <w:tcPr>
            <w:tcW w:w="1010" w:type="dxa"/>
            <w:tcBorders>
              <w:top w:val="nil"/>
              <w:bottom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376</w:t>
            </w:r>
          </w:p>
        </w:tc>
      </w:tr>
      <w:tr w:rsidR="00333944" w:rsidRPr="0071782F">
        <w:tc>
          <w:tcPr>
            <w:tcW w:w="1311" w:type="dxa"/>
            <w:tcBorders>
              <w:top w:val="nil"/>
            </w:tcBorders>
            <w:shd w:val="clear" w:color="000000" w:fill="auto"/>
          </w:tcPr>
          <w:p w:rsidR="00333944" w:rsidRPr="0071782F" w:rsidRDefault="00333944" w:rsidP="004E1022">
            <w:pPr>
              <w:suppressAutoHyphens w:val="0"/>
              <w:spacing w:before="40" w:after="40" w:line="220" w:lineRule="exact"/>
              <w:rPr>
                <w:sz w:val="18"/>
                <w:lang w:val="fr-CH"/>
              </w:rPr>
            </w:pPr>
            <w:r w:rsidRPr="0071782F">
              <w:rPr>
                <w:sz w:val="18"/>
                <w:lang w:val="fr-CH"/>
              </w:rPr>
              <w:t>60</w:t>
            </w:r>
            <w:r w:rsidR="004E1022">
              <w:rPr>
                <w:sz w:val="18"/>
                <w:lang w:val="fr-CH"/>
              </w:rPr>
              <w:t>-</w:t>
            </w:r>
            <w:r w:rsidRPr="0071782F">
              <w:rPr>
                <w:sz w:val="18"/>
                <w:lang w:val="fr-CH"/>
              </w:rPr>
              <w:t>64</w:t>
            </w:r>
          </w:p>
        </w:tc>
        <w:tc>
          <w:tcPr>
            <w:tcW w:w="1009"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580</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77</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629</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90</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738</w:t>
            </w:r>
          </w:p>
        </w:tc>
        <w:tc>
          <w:tcPr>
            <w:tcW w:w="1010" w:type="dxa"/>
            <w:tcBorders>
              <w:top w:val="nil"/>
            </w:tcBorders>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211</w:t>
            </w:r>
          </w:p>
        </w:tc>
      </w:tr>
      <w:tr w:rsidR="00333944" w:rsidRPr="0071782F">
        <w:tc>
          <w:tcPr>
            <w:tcW w:w="1311" w:type="dxa"/>
            <w:shd w:val="clear" w:color="000000" w:fill="auto"/>
          </w:tcPr>
          <w:p w:rsidR="00333944" w:rsidRPr="0071782F" w:rsidRDefault="00333944" w:rsidP="00797EE2">
            <w:pPr>
              <w:suppressAutoHyphens w:val="0"/>
              <w:spacing w:before="40" w:after="40" w:line="220" w:lineRule="exact"/>
              <w:rPr>
                <w:sz w:val="18"/>
                <w:lang w:val="fr-CH"/>
              </w:rPr>
            </w:pPr>
            <w:r w:rsidRPr="0071782F">
              <w:rPr>
                <w:sz w:val="18"/>
                <w:lang w:val="fr-CH"/>
              </w:rPr>
              <w:t>65</w:t>
            </w:r>
            <w:r w:rsidR="00FF6A65" w:rsidRPr="0071782F">
              <w:rPr>
                <w:sz w:val="18"/>
                <w:lang w:val="fr-CH"/>
              </w:rPr>
              <w:t xml:space="preserve"> et au-dessus</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824</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98</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1 213</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127</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1 728</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279</w:t>
            </w:r>
          </w:p>
        </w:tc>
      </w:tr>
      <w:tr w:rsidR="00333944" w:rsidRPr="0071782F">
        <w:tc>
          <w:tcPr>
            <w:tcW w:w="1311" w:type="dxa"/>
            <w:shd w:val="clear" w:color="000000" w:fill="auto"/>
          </w:tcPr>
          <w:p w:rsidR="00333944" w:rsidRPr="0071782F" w:rsidRDefault="00FF6A65" w:rsidP="00797EE2">
            <w:pPr>
              <w:suppressAutoHyphens w:val="0"/>
              <w:spacing w:before="40" w:after="40" w:line="220" w:lineRule="exact"/>
              <w:rPr>
                <w:sz w:val="18"/>
                <w:lang w:val="fr-CH"/>
              </w:rPr>
            </w:pPr>
            <w:r w:rsidRPr="0071782F">
              <w:rPr>
                <w:sz w:val="18"/>
                <w:lang w:val="fr-CH"/>
              </w:rPr>
              <w:t>Indé</w:t>
            </w:r>
            <w:r w:rsidR="00333944" w:rsidRPr="0071782F">
              <w:rPr>
                <w:sz w:val="18"/>
                <w:lang w:val="fr-CH"/>
              </w:rPr>
              <w:t>termin</w:t>
            </w:r>
            <w:r w:rsidRPr="0071782F">
              <w:rPr>
                <w:sz w:val="18"/>
                <w:lang w:val="fr-CH"/>
              </w:rPr>
              <w:t>é</w:t>
            </w:r>
          </w:p>
        </w:tc>
        <w:tc>
          <w:tcPr>
            <w:tcW w:w="1009"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22</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10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10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5</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b/>
                <w:sz w:val="18"/>
                <w:lang w:val="fr-CH"/>
              </w:rPr>
            </w:pPr>
            <w:r w:rsidRPr="0071782F">
              <w:rPr>
                <w:b/>
                <w:sz w:val="18"/>
                <w:lang w:val="fr-CH"/>
              </w:rPr>
              <w:t>0</w:t>
            </w:r>
          </w:p>
        </w:tc>
        <w:tc>
          <w:tcPr>
            <w:tcW w:w="1010" w:type="dxa"/>
            <w:shd w:val="clear" w:color="000000" w:fill="auto"/>
            <w:vAlign w:val="bottom"/>
          </w:tcPr>
          <w:p w:rsidR="00333944" w:rsidRPr="0071782F" w:rsidRDefault="00333944" w:rsidP="00797EE2">
            <w:pPr>
              <w:suppressAutoHyphens w:val="0"/>
              <w:spacing w:before="40" w:after="40" w:line="220" w:lineRule="exact"/>
              <w:jc w:val="right"/>
              <w:rPr>
                <w:sz w:val="18"/>
                <w:lang w:val="fr-CH"/>
              </w:rPr>
            </w:pPr>
            <w:r w:rsidRPr="0071782F">
              <w:rPr>
                <w:sz w:val="18"/>
                <w:lang w:val="fr-CH"/>
              </w:rPr>
              <w:t>0</w:t>
            </w:r>
          </w:p>
        </w:tc>
      </w:tr>
    </w:tbl>
    <w:p w:rsidR="00333944" w:rsidRPr="0071782F" w:rsidRDefault="00333944" w:rsidP="00333944">
      <w:pPr>
        <w:pStyle w:val="H1G"/>
        <w:rPr>
          <w:lang w:val="fr-CH"/>
        </w:rPr>
      </w:pPr>
      <w:r w:rsidRPr="0071782F">
        <w:rPr>
          <w:lang w:val="fr-CH"/>
        </w:rPr>
        <w:tab/>
      </w:r>
      <w:r w:rsidRPr="0071782F">
        <w:rPr>
          <w:lang w:val="fr-CH"/>
        </w:rPr>
        <w:tab/>
      </w:r>
      <w:r w:rsidR="00FF6A65" w:rsidRPr="0071782F">
        <w:rPr>
          <w:lang w:val="fr-CH"/>
        </w:rPr>
        <w:t>Enseignement primaire et secondaire</w:t>
      </w:r>
    </w:p>
    <w:p w:rsidR="00333944" w:rsidRPr="0071782F" w:rsidRDefault="00333944" w:rsidP="00797EE2">
      <w:pPr>
        <w:pStyle w:val="H23G"/>
        <w:rPr>
          <w:lang w:val="fr-CH"/>
        </w:rPr>
      </w:pPr>
      <w:r w:rsidRPr="0071782F">
        <w:rPr>
          <w:lang w:val="fr-CH"/>
        </w:rPr>
        <w:tab/>
      </w:r>
      <w:r w:rsidRPr="0071782F">
        <w:rPr>
          <w:lang w:val="fr-CH"/>
        </w:rPr>
        <w:tab/>
      </w:r>
      <w:r w:rsidR="00FF6A65" w:rsidRPr="0071782F">
        <w:rPr>
          <w:lang w:val="fr-CH"/>
        </w:rPr>
        <w:t xml:space="preserve">Comparaison entre certains indicateurs pour les années scolaires </w:t>
      </w:r>
      <w:r w:rsidRPr="0071782F">
        <w:rPr>
          <w:lang w:val="fr-CH"/>
        </w:rPr>
        <w:t>1976</w:t>
      </w:r>
      <w:r w:rsidR="00FF6A65" w:rsidRPr="0071782F">
        <w:rPr>
          <w:lang w:val="fr-CH"/>
        </w:rPr>
        <w:t>-</w:t>
      </w:r>
      <w:r w:rsidRPr="0071782F">
        <w:rPr>
          <w:lang w:val="fr-CH"/>
        </w:rPr>
        <w:t>1977</w:t>
      </w:r>
      <w:r w:rsidR="00797EE2" w:rsidRPr="0071782F">
        <w:rPr>
          <w:lang w:val="fr-CH"/>
        </w:rPr>
        <w:br/>
      </w:r>
      <w:r w:rsidR="00FF6A65" w:rsidRPr="0071782F">
        <w:rPr>
          <w:lang w:val="fr-CH"/>
        </w:rPr>
        <w:t>et</w:t>
      </w:r>
      <w:r w:rsidRPr="0071782F">
        <w:rPr>
          <w:lang w:val="fr-CH"/>
        </w:rPr>
        <w:t xml:space="preserve"> 2007</w:t>
      </w:r>
      <w:r w:rsidR="00FF6A65" w:rsidRPr="0071782F">
        <w:rPr>
          <w:lang w:val="fr-CH"/>
        </w:rPr>
        <w:t>-</w:t>
      </w:r>
      <w:r w:rsidRPr="0071782F">
        <w:rPr>
          <w:lang w:val="fr-CH"/>
        </w:rPr>
        <w:t xml:space="preserve">2008 </w:t>
      </w:r>
    </w:p>
    <w:p w:rsidR="00333944" w:rsidRPr="0071782F" w:rsidRDefault="00333944" w:rsidP="00333944">
      <w:pPr>
        <w:pStyle w:val="H4G"/>
        <w:rPr>
          <w:lang w:val="fr-CH"/>
        </w:rPr>
      </w:pPr>
      <w:r w:rsidRPr="0071782F">
        <w:rPr>
          <w:lang w:val="fr-CH"/>
        </w:rPr>
        <w:tab/>
      </w:r>
      <w:r w:rsidRPr="0071782F">
        <w:rPr>
          <w:lang w:val="fr-CH"/>
        </w:rPr>
        <w:tab/>
      </w:r>
      <w:r w:rsidR="00FF6A65" w:rsidRPr="0071782F">
        <w:rPr>
          <w:lang w:val="fr-CH"/>
        </w:rPr>
        <w:t>Élèves</w:t>
      </w:r>
    </w:p>
    <w:p w:rsidR="00333944" w:rsidRPr="0071782F" w:rsidRDefault="00333944" w:rsidP="00333944">
      <w:pPr>
        <w:pStyle w:val="SingleTxtG"/>
        <w:rPr>
          <w:lang w:val="fr-CH"/>
        </w:rPr>
      </w:pPr>
      <w:r w:rsidRPr="0071782F">
        <w:rPr>
          <w:lang w:val="fr-CH"/>
        </w:rPr>
        <w:t>364.</w:t>
      </w:r>
      <w:r w:rsidRPr="0071782F">
        <w:rPr>
          <w:lang w:val="fr-CH"/>
        </w:rPr>
        <w:tab/>
      </w:r>
      <w:r w:rsidR="007B033A" w:rsidRPr="0071782F">
        <w:rPr>
          <w:lang w:val="fr-CH"/>
        </w:rPr>
        <w:t>À ce sujet, il convient de noter ce qui suit</w:t>
      </w:r>
      <w:r w:rsidR="008F7D33" w:rsidRPr="0071782F">
        <w:rPr>
          <w:lang w:val="fr-CH"/>
        </w:rPr>
        <w:t>:</w:t>
      </w:r>
    </w:p>
    <w:p w:rsidR="00333944" w:rsidRPr="0071782F" w:rsidRDefault="00333944" w:rsidP="00236B58">
      <w:pPr>
        <w:pStyle w:val="SingleTxtG"/>
        <w:ind w:left="1701"/>
        <w:rPr>
          <w:lang w:val="fr-CH"/>
        </w:rPr>
      </w:pPr>
      <w:r w:rsidRPr="0071782F">
        <w:rPr>
          <w:lang w:val="fr-CH"/>
        </w:rPr>
        <w:t>364.1</w:t>
      </w:r>
      <w:r w:rsidR="00236B58" w:rsidRPr="0071782F">
        <w:rPr>
          <w:lang w:val="fr-CH"/>
        </w:rPr>
        <w:t>.</w:t>
      </w:r>
      <w:r w:rsidRPr="0071782F">
        <w:rPr>
          <w:lang w:val="fr-CH"/>
        </w:rPr>
        <w:tab/>
      </w:r>
      <w:r w:rsidR="008B26DA" w:rsidRPr="0071782F">
        <w:rPr>
          <w:lang w:val="fr-CH"/>
        </w:rPr>
        <w:t xml:space="preserve">La proportion de filles est passée de </w:t>
      </w:r>
      <w:r w:rsidRPr="0071782F">
        <w:rPr>
          <w:lang w:val="fr-CH"/>
        </w:rPr>
        <w:t>38</w:t>
      </w:r>
      <w:r w:rsidR="008B26DA" w:rsidRPr="0071782F">
        <w:rPr>
          <w:lang w:val="fr-CH"/>
        </w:rPr>
        <w:t>,</w:t>
      </w:r>
      <w:r w:rsidRPr="0071782F">
        <w:rPr>
          <w:lang w:val="fr-CH"/>
        </w:rPr>
        <w:t>4</w:t>
      </w:r>
      <w:r w:rsidR="008B26DA" w:rsidRPr="0071782F">
        <w:rPr>
          <w:lang w:val="fr-CH"/>
        </w:rPr>
        <w:t xml:space="preserve"> à</w:t>
      </w:r>
      <w:r w:rsidRPr="0071782F">
        <w:rPr>
          <w:lang w:val="fr-CH"/>
        </w:rPr>
        <w:t xml:space="preserve"> 48</w:t>
      </w:r>
      <w:r w:rsidR="008B26DA" w:rsidRPr="0071782F">
        <w:rPr>
          <w:lang w:val="fr-CH"/>
        </w:rPr>
        <w:t>,</w:t>
      </w:r>
      <w:r w:rsidRPr="0071782F">
        <w:rPr>
          <w:lang w:val="fr-CH"/>
        </w:rPr>
        <w:t>6</w:t>
      </w:r>
      <w:r w:rsidR="007E5125" w:rsidRPr="0071782F">
        <w:rPr>
          <w:lang w:val="fr-CH"/>
        </w:rPr>
        <w:t>%</w:t>
      </w:r>
      <w:r w:rsidR="008B26DA" w:rsidRPr="0071782F">
        <w:rPr>
          <w:lang w:val="fr-CH"/>
        </w:rPr>
        <w:t>, en augmentation de 10</w:t>
      </w:r>
      <w:r w:rsidR="007E5125" w:rsidRPr="0071782F">
        <w:rPr>
          <w:lang w:val="fr-CH"/>
        </w:rPr>
        <w:t>%</w:t>
      </w:r>
      <w:r w:rsidR="008B26DA" w:rsidRPr="0071782F">
        <w:rPr>
          <w:lang w:val="fr-CH"/>
        </w:rPr>
        <w:t>.</w:t>
      </w:r>
    </w:p>
    <w:p w:rsidR="00333944" w:rsidRPr="0071782F" w:rsidRDefault="00333944" w:rsidP="00236B58">
      <w:pPr>
        <w:pStyle w:val="SingleTxtG"/>
        <w:ind w:left="1701"/>
        <w:rPr>
          <w:lang w:val="fr-CH"/>
        </w:rPr>
      </w:pPr>
      <w:r w:rsidRPr="0071782F">
        <w:rPr>
          <w:lang w:val="fr-CH"/>
        </w:rPr>
        <w:t>364.2</w:t>
      </w:r>
      <w:r w:rsidR="00236B58" w:rsidRPr="0071782F">
        <w:rPr>
          <w:lang w:val="fr-CH"/>
        </w:rPr>
        <w:t>.</w:t>
      </w:r>
      <w:r w:rsidR="008B26DA" w:rsidRPr="0071782F">
        <w:rPr>
          <w:lang w:val="fr-CH"/>
        </w:rPr>
        <w:t xml:space="preserve"> Dans l’enseignement primaire, le </w:t>
      </w:r>
      <w:r w:rsidRPr="0071782F">
        <w:rPr>
          <w:lang w:val="fr-CH"/>
        </w:rPr>
        <w:t xml:space="preserve">ratio </w:t>
      </w:r>
      <w:r w:rsidR="008B26DA" w:rsidRPr="0071782F">
        <w:rPr>
          <w:lang w:val="fr-CH"/>
        </w:rPr>
        <w:t xml:space="preserve">élèves/maître est passé de </w:t>
      </w:r>
      <w:r w:rsidRPr="0071782F">
        <w:rPr>
          <w:lang w:val="fr-CH"/>
        </w:rPr>
        <w:t>38</w:t>
      </w:r>
      <w:r w:rsidR="008B26DA" w:rsidRPr="0071782F">
        <w:rPr>
          <w:lang w:val="fr-CH"/>
        </w:rPr>
        <w:t>,</w:t>
      </w:r>
      <w:r w:rsidRPr="0071782F">
        <w:rPr>
          <w:lang w:val="fr-CH"/>
        </w:rPr>
        <w:t xml:space="preserve">9 </w:t>
      </w:r>
      <w:r w:rsidR="008B26DA" w:rsidRPr="0071782F">
        <w:rPr>
          <w:lang w:val="fr-CH"/>
        </w:rPr>
        <w:t>à</w:t>
      </w:r>
      <w:r w:rsidR="00311068" w:rsidRPr="0071782F">
        <w:rPr>
          <w:lang w:val="fr-CH"/>
        </w:rPr>
        <w:t> </w:t>
      </w:r>
      <w:r w:rsidRPr="0071782F">
        <w:rPr>
          <w:lang w:val="fr-CH"/>
        </w:rPr>
        <w:t>20</w:t>
      </w:r>
      <w:r w:rsidR="008B26DA" w:rsidRPr="0071782F">
        <w:rPr>
          <w:lang w:val="fr-CH"/>
        </w:rPr>
        <w:t>,</w:t>
      </w:r>
      <w:r w:rsidRPr="0071782F">
        <w:rPr>
          <w:lang w:val="fr-CH"/>
        </w:rPr>
        <w:t>5</w:t>
      </w:r>
      <w:r w:rsidR="007E5125" w:rsidRPr="0071782F">
        <w:rPr>
          <w:lang w:val="fr-CH"/>
        </w:rPr>
        <w:t>%</w:t>
      </w:r>
      <w:r w:rsidR="008B26DA" w:rsidRPr="0071782F">
        <w:rPr>
          <w:lang w:val="fr-CH"/>
        </w:rPr>
        <w:t>.</w:t>
      </w:r>
    </w:p>
    <w:p w:rsidR="00333944" w:rsidRPr="0071782F" w:rsidRDefault="00333944" w:rsidP="00311068">
      <w:pPr>
        <w:pStyle w:val="SingleTxtG"/>
        <w:ind w:left="1701"/>
        <w:rPr>
          <w:lang w:val="fr-CH"/>
        </w:rPr>
      </w:pPr>
      <w:r w:rsidRPr="0071782F">
        <w:rPr>
          <w:lang w:val="fr-CH"/>
        </w:rPr>
        <w:t>364.3</w:t>
      </w:r>
      <w:r w:rsidR="00236B58" w:rsidRPr="0071782F">
        <w:rPr>
          <w:lang w:val="fr-CH"/>
        </w:rPr>
        <w:t>.</w:t>
      </w:r>
      <w:r w:rsidRPr="0071782F">
        <w:rPr>
          <w:lang w:val="fr-CH"/>
        </w:rPr>
        <w:tab/>
      </w:r>
      <w:r w:rsidR="008B26DA" w:rsidRPr="0071782F">
        <w:rPr>
          <w:lang w:val="fr-CH"/>
        </w:rPr>
        <w:t xml:space="preserve">Dans l’enseignement primaire, la proportion de filles est passée de </w:t>
      </w:r>
      <w:r w:rsidRPr="0071782F">
        <w:rPr>
          <w:lang w:val="fr-CH"/>
        </w:rPr>
        <w:t xml:space="preserve">39 </w:t>
      </w:r>
      <w:r w:rsidR="008B26DA" w:rsidRPr="0071782F">
        <w:rPr>
          <w:lang w:val="fr-CH"/>
        </w:rPr>
        <w:t>à</w:t>
      </w:r>
      <w:r w:rsidRPr="0071782F">
        <w:rPr>
          <w:lang w:val="fr-CH"/>
        </w:rPr>
        <w:t xml:space="preserve"> 48</w:t>
      </w:r>
      <w:r w:rsidR="008B26DA" w:rsidRPr="0071782F">
        <w:rPr>
          <w:lang w:val="fr-CH"/>
        </w:rPr>
        <w:t>,</w:t>
      </w:r>
      <w:r w:rsidRPr="0071782F">
        <w:rPr>
          <w:lang w:val="fr-CH"/>
        </w:rPr>
        <w:t>44</w:t>
      </w:r>
      <w:r w:rsidR="007E5125" w:rsidRPr="0071782F">
        <w:rPr>
          <w:lang w:val="fr-CH"/>
        </w:rPr>
        <w:t>%</w:t>
      </w:r>
      <w:r w:rsidR="008B26DA" w:rsidRPr="0071782F">
        <w:rPr>
          <w:lang w:val="fr-CH"/>
        </w:rPr>
        <w:t>.</w:t>
      </w:r>
    </w:p>
    <w:p w:rsidR="00333944" w:rsidRPr="0071782F" w:rsidRDefault="00333944" w:rsidP="00311068">
      <w:pPr>
        <w:pStyle w:val="SingleTxtG"/>
        <w:ind w:left="1701"/>
        <w:rPr>
          <w:lang w:val="fr-CH"/>
        </w:rPr>
      </w:pPr>
      <w:r w:rsidRPr="0071782F">
        <w:rPr>
          <w:lang w:val="fr-CH"/>
        </w:rPr>
        <w:t>364.4</w:t>
      </w:r>
      <w:r w:rsidR="00236B58" w:rsidRPr="0071782F">
        <w:rPr>
          <w:lang w:val="fr-CH"/>
        </w:rPr>
        <w:t>.</w:t>
      </w:r>
      <w:r w:rsidRPr="0071782F">
        <w:rPr>
          <w:lang w:val="fr-CH"/>
        </w:rPr>
        <w:tab/>
      </w:r>
      <w:r w:rsidR="009D471E" w:rsidRPr="0071782F">
        <w:rPr>
          <w:lang w:val="fr-CH"/>
        </w:rPr>
        <w:t xml:space="preserve">Dans le premier cycle de l’enseignement secondaire, la proportion de filles est passée de </w:t>
      </w:r>
      <w:r w:rsidRPr="0071782F">
        <w:rPr>
          <w:lang w:val="fr-CH"/>
        </w:rPr>
        <w:t>36</w:t>
      </w:r>
      <w:r w:rsidR="009D471E" w:rsidRPr="0071782F">
        <w:rPr>
          <w:lang w:val="fr-CH"/>
        </w:rPr>
        <w:t>,</w:t>
      </w:r>
      <w:r w:rsidRPr="0071782F">
        <w:rPr>
          <w:lang w:val="fr-CH"/>
        </w:rPr>
        <w:t xml:space="preserve">6 </w:t>
      </w:r>
      <w:r w:rsidR="009D471E" w:rsidRPr="0071782F">
        <w:rPr>
          <w:lang w:val="fr-CH"/>
        </w:rPr>
        <w:t>à</w:t>
      </w:r>
      <w:r w:rsidRPr="0071782F">
        <w:rPr>
          <w:lang w:val="fr-CH"/>
        </w:rPr>
        <w:t xml:space="preserve"> 46</w:t>
      </w:r>
      <w:r w:rsidR="009D471E" w:rsidRPr="0071782F">
        <w:rPr>
          <w:lang w:val="fr-CH"/>
        </w:rPr>
        <w:t>,</w:t>
      </w:r>
      <w:r w:rsidRPr="0071782F">
        <w:rPr>
          <w:lang w:val="fr-CH"/>
        </w:rPr>
        <w:t>66</w:t>
      </w:r>
      <w:r w:rsidR="007E5125" w:rsidRPr="0071782F">
        <w:rPr>
          <w:lang w:val="fr-CH"/>
        </w:rPr>
        <w:t>%</w:t>
      </w:r>
      <w:r w:rsidRPr="0071782F">
        <w:rPr>
          <w:lang w:val="fr-CH"/>
        </w:rPr>
        <w:t>.</w:t>
      </w:r>
    </w:p>
    <w:p w:rsidR="00333944" w:rsidRPr="0071782F" w:rsidRDefault="00333944" w:rsidP="00311068">
      <w:pPr>
        <w:pStyle w:val="SingleTxtG"/>
        <w:ind w:left="1701"/>
        <w:rPr>
          <w:lang w:val="fr-CH"/>
        </w:rPr>
      </w:pPr>
      <w:r w:rsidRPr="0071782F">
        <w:rPr>
          <w:lang w:val="fr-CH"/>
        </w:rPr>
        <w:t>364.5</w:t>
      </w:r>
      <w:r w:rsidR="00236B58" w:rsidRPr="0071782F">
        <w:rPr>
          <w:lang w:val="fr-CH"/>
        </w:rPr>
        <w:t>.</w:t>
      </w:r>
      <w:r w:rsidRPr="0071782F">
        <w:rPr>
          <w:lang w:val="fr-CH"/>
        </w:rPr>
        <w:tab/>
      </w:r>
      <w:r w:rsidR="009D471E" w:rsidRPr="0071782F">
        <w:rPr>
          <w:lang w:val="fr-CH"/>
        </w:rPr>
        <w:t xml:space="preserve">Dans le second cycle de l’enseignement secondaire, la proportion de filles est passée de </w:t>
      </w:r>
      <w:r w:rsidRPr="0071782F">
        <w:rPr>
          <w:lang w:val="fr-CH"/>
        </w:rPr>
        <w:t>36</w:t>
      </w:r>
      <w:r w:rsidR="009D471E" w:rsidRPr="0071782F">
        <w:rPr>
          <w:lang w:val="fr-CH"/>
        </w:rPr>
        <w:t>,</w:t>
      </w:r>
      <w:r w:rsidRPr="0071782F">
        <w:rPr>
          <w:lang w:val="fr-CH"/>
        </w:rPr>
        <w:t xml:space="preserve">2 </w:t>
      </w:r>
      <w:r w:rsidR="009D471E" w:rsidRPr="0071782F">
        <w:rPr>
          <w:lang w:val="fr-CH"/>
        </w:rPr>
        <w:t>à 56,</w:t>
      </w:r>
      <w:r w:rsidRPr="0071782F">
        <w:rPr>
          <w:lang w:val="fr-CH"/>
        </w:rPr>
        <w:t>2</w:t>
      </w:r>
      <w:r w:rsidR="007E5125" w:rsidRPr="0071782F">
        <w:rPr>
          <w:lang w:val="fr-CH"/>
        </w:rPr>
        <w:t>%</w:t>
      </w:r>
      <w:r w:rsidRPr="0071782F">
        <w:rPr>
          <w:lang w:val="fr-CH"/>
        </w:rPr>
        <w:t>.</w:t>
      </w:r>
    </w:p>
    <w:p w:rsidR="00333944" w:rsidRPr="0071782F" w:rsidRDefault="00333944" w:rsidP="00236B58">
      <w:pPr>
        <w:pStyle w:val="SingleTxtG"/>
        <w:ind w:left="1701"/>
        <w:rPr>
          <w:lang w:val="fr-CH"/>
        </w:rPr>
      </w:pPr>
      <w:r w:rsidRPr="0071782F">
        <w:rPr>
          <w:lang w:val="fr-CH"/>
        </w:rPr>
        <w:t>364.6</w:t>
      </w:r>
      <w:r w:rsidR="00236B58" w:rsidRPr="0071782F">
        <w:rPr>
          <w:lang w:val="fr-CH"/>
        </w:rPr>
        <w:t>.</w:t>
      </w:r>
      <w:r w:rsidRPr="0071782F">
        <w:rPr>
          <w:lang w:val="fr-CH"/>
        </w:rPr>
        <w:tab/>
      </w:r>
      <w:r w:rsidR="009D471E" w:rsidRPr="0071782F">
        <w:rPr>
          <w:lang w:val="fr-CH"/>
        </w:rPr>
        <w:t xml:space="preserve">Dans les écoles primaires, le ratio élèves/maître est passé de </w:t>
      </w:r>
      <w:r w:rsidRPr="0071782F">
        <w:rPr>
          <w:lang w:val="fr-CH"/>
        </w:rPr>
        <w:t>38</w:t>
      </w:r>
      <w:r w:rsidR="009D471E" w:rsidRPr="0071782F">
        <w:rPr>
          <w:lang w:val="fr-CH"/>
        </w:rPr>
        <w:t>,</w:t>
      </w:r>
      <w:r w:rsidRPr="0071782F">
        <w:rPr>
          <w:lang w:val="fr-CH"/>
        </w:rPr>
        <w:t xml:space="preserve">9 </w:t>
      </w:r>
      <w:r w:rsidR="009D471E" w:rsidRPr="0071782F">
        <w:rPr>
          <w:lang w:val="fr-CH"/>
        </w:rPr>
        <w:t>à</w:t>
      </w:r>
      <w:r w:rsidRPr="0071782F">
        <w:rPr>
          <w:lang w:val="fr-CH"/>
        </w:rPr>
        <w:t xml:space="preserve"> 20</w:t>
      </w:r>
      <w:r w:rsidR="009D471E" w:rsidRPr="0071782F">
        <w:rPr>
          <w:lang w:val="fr-CH"/>
        </w:rPr>
        <w:t>,</w:t>
      </w:r>
      <w:r w:rsidRPr="0071782F">
        <w:rPr>
          <w:lang w:val="fr-CH"/>
        </w:rPr>
        <w:t>12</w:t>
      </w:r>
      <w:r w:rsidR="00311068" w:rsidRPr="0071782F">
        <w:rPr>
          <w:lang w:val="fr-CH"/>
        </w:rPr>
        <w:t> </w:t>
      </w:r>
      <w:r w:rsidR="009D471E" w:rsidRPr="0071782F">
        <w:rPr>
          <w:lang w:val="fr-CH"/>
        </w:rPr>
        <w:t>élèves par maître</w:t>
      </w:r>
      <w:r w:rsidRPr="0071782F">
        <w:rPr>
          <w:lang w:val="fr-CH"/>
        </w:rPr>
        <w:t>.</w:t>
      </w:r>
    </w:p>
    <w:p w:rsidR="00333944" w:rsidRPr="0071782F" w:rsidRDefault="00333944" w:rsidP="00236B58">
      <w:pPr>
        <w:pStyle w:val="SingleTxtG"/>
        <w:ind w:left="1701"/>
        <w:rPr>
          <w:lang w:val="fr-CH"/>
        </w:rPr>
      </w:pPr>
      <w:r w:rsidRPr="0071782F">
        <w:rPr>
          <w:lang w:val="fr-CH"/>
        </w:rPr>
        <w:t>364.7</w:t>
      </w:r>
      <w:r w:rsidR="00236B58" w:rsidRPr="0071782F">
        <w:rPr>
          <w:lang w:val="fr-CH"/>
        </w:rPr>
        <w:t>.</w:t>
      </w:r>
      <w:r w:rsidRPr="0071782F">
        <w:rPr>
          <w:lang w:val="fr-CH"/>
        </w:rPr>
        <w:tab/>
      </w:r>
      <w:r w:rsidR="009D471E" w:rsidRPr="0071782F">
        <w:rPr>
          <w:lang w:val="fr-CH"/>
        </w:rPr>
        <w:t>Dans le premier cycle de l’enseignement secondaire, le ratio élèves/maître a baissé de 7,</w:t>
      </w:r>
      <w:r w:rsidRPr="0071782F">
        <w:rPr>
          <w:lang w:val="fr-CH"/>
        </w:rPr>
        <w:t xml:space="preserve">92 </w:t>
      </w:r>
      <w:r w:rsidR="009D471E" w:rsidRPr="0071782F">
        <w:rPr>
          <w:lang w:val="fr-CH"/>
        </w:rPr>
        <w:t>élèves</w:t>
      </w:r>
      <w:r w:rsidRPr="0071782F">
        <w:rPr>
          <w:lang w:val="fr-CH"/>
        </w:rPr>
        <w:t xml:space="preserve">, </w:t>
      </w:r>
      <w:r w:rsidR="009D471E" w:rsidRPr="0071782F">
        <w:rPr>
          <w:lang w:val="fr-CH"/>
        </w:rPr>
        <w:t xml:space="preserve">passant de </w:t>
      </w:r>
      <w:r w:rsidRPr="0071782F">
        <w:rPr>
          <w:lang w:val="fr-CH"/>
        </w:rPr>
        <w:t>29</w:t>
      </w:r>
      <w:r w:rsidR="009D471E" w:rsidRPr="0071782F">
        <w:rPr>
          <w:lang w:val="fr-CH"/>
        </w:rPr>
        <w:t>,</w:t>
      </w:r>
      <w:r w:rsidRPr="0071782F">
        <w:rPr>
          <w:lang w:val="fr-CH"/>
        </w:rPr>
        <w:t xml:space="preserve">6 </w:t>
      </w:r>
      <w:r w:rsidR="009D471E" w:rsidRPr="0071782F">
        <w:rPr>
          <w:lang w:val="fr-CH"/>
        </w:rPr>
        <w:t>à</w:t>
      </w:r>
      <w:r w:rsidRPr="0071782F">
        <w:rPr>
          <w:lang w:val="fr-CH"/>
        </w:rPr>
        <w:t xml:space="preserve"> 22</w:t>
      </w:r>
      <w:r w:rsidR="009D471E" w:rsidRPr="0071782F">
        <w:rPr>
          <w:lang w:val="fr-CH"/>
        </w:rPr>
        <w:t>,</w:t>
      </w:r>
      <w:r w:rsidRPr="0071782F">
        <w:rPr>
          <w:lang w:val="fr-CH"/>
        </w:rPr>
        <w:t xml:space="preserve">67 </w:t>
      </w:r>
      <w:r w:rsidR="009D471E" w:rsidRPr="0071782F">
        <w:rPr>
          <w:lang w:val="fr-CH"/>
        </w:rPr>
        <w:t>élèves</w:t>
      </w:r>
      <w:r w:rsidRPr="0071782F">
        <w:rPr>
          <w:lang w:val="fr-CH"/>
        </w:rPr>
        <w:t>.</w:t>
      </w:r>
    </w:p>
    <w:p w:rsidR="00333944" w:rsidRPr="0071782F" w:rsidRDefault="00333944" w:rsidP="00236B58">
      <w:pPr>
        <w:pStyle w:val="SingleTxtG"/>
        <w:ind w:left="1701"/>
        <w:rPr>
          <w:lang w:val="fr-CH"/>
        </w:rPr>
      </w:pPr>
      <w:r w:rsidRPr="0071782F">
        <w:rPr>
          <w:lang w:val="fr-CH"/>
        </w:rPr>
        <w:t>364.8</w:t>
      </w:r>
      <w:r w:rsidR="00236B58" w:rsidRPr="0071782F">
        <w:rPr>
          <w:lang w:val="fr-CH"/>
        </w:rPr>
        <w:t>.</w:t>
      </w:r>
      <w:r w:rsidRPr="0071782F">
        <w:rPr>
          <w:lang w:val="fr-CH"/>
        </w:rPr>
        <w:tab/>
      </w:r>
      <w:r w:rsidR="009D471E" w:rsidRPr="0071782F">
        <w:rPr>
          <w:lang w:val="fr-CH"/>
        </w:rPr>
        <w:t xml:space="preserve">Dans le second cycle de l’enseignement secondaire, le ratio élèves/maître est passé de </w:t>
      </w:r>
      <w:r w:rsidRPr="0071782F">
        <w:rPr>
          <w:lang w:val="fr-CH"/>
        </w:rPr>
        <w:t xml:space="preserve">34 </w:t>
      </w:r>
      <w:r w:rsidR="009D471E" w:rsidRPr="0071782F">
        <w:rPr>
          <w:lang w:val="fr-CH"/>
        </w:rPr>
        <w:t>à</w:t>
      </w:r>
      <w:r w:rsidRPr="0071782F">
        <w:rPr>
          <w:lang w:val="fr-CH"/>
        </w:rPr>
        <w:t xml:space="preserve"> 21</w:t>
      </w:r>
      <w:r w:rsidR="009D471E" w:rsidRPr="0071782F">
        <w:rPr>
          <w:lang w:val="fr-CH"/>
        </w:rPr>
        <w:t>,</w:t>
      </w:r>
      <w:r w:rsidRPr="0071782F">
        <w:rPr>
          <w:lang w:val="fr-CH"/>
        </w:rPr>
        <w:t xml:space="preserve">55 </w:t>
      </w:r>
      <w:r w:rsidR="009D471E" w:rsidRPr="0071782F">
        <w:rPr>
          <w:lang w:val="fr-CH"/>
        </w:rPr>
        <w:t>élèves</w:t>
      </w:r>
      <w:r w:rsidRPr="0071782F">
        <w:rPr>
          <w:lang w:val="fr-CH"/>
        </w:rPr>
        <w:t>.</w:t>
      </w:r>
    </w:p>
    <w:p w:rsidR="00333944" w:rsidRPr="0071782F" w:rsidRDefault="00333944" w:rsidP="00236B58">
      <w:pPr>
        <w:pStyle w:val="SingleTxtG"/>
        <w:ind w:left="1701"/>
        <w:rPr>
          <w:lang w:val="fr-CH"/>
        </w:rPr>
      </w:pPr>
      <w:r w:rsidRPr="0071782F">
        <w:rPr>
          <w:lang w:val="fr-CH"/>
        </w:rPr>
        <w:t>364.9</w:t>
      </w:r>
      <w:r w:rsidR="00236B58" w:rsidRPr="0071782F">
        <w:rPr>
          <w:lang w:val="fr-CH"/>
        </w:rPr>
        <w:t>.</w:t>
      </w:r>
      <w:r w:rsidRPr="0071782F">
        <w:rPr>
          <w:lang w:val="fr-CH"/>
        </w:rPr>
        <w:tab/>
      </w:r>
      <w:r w:rsidR="009D471E" w:rsidRPr="0071782F">
        <w:rPr>
          <w:lang w:val="fr-CH"/>
        </w:rPr>
        <w:t xml:space="preserve">Dans les écoles primaires, le nombre moyen d’élèves par classe est passé de </w:t>
      </w:r>
      <w:r w:rsidRPr="0071782F">
        <w:rPr>
          <w:lang w:val="fr-CH"/>
        </w:rPr>
        <w:t>33</w:t>
      </w:r>
      <w:r w:rsidR="009D471E" w:rsidRPr="0071782F">
        <w:rPr>
          <w:lang w:val="fr-CH"/>
        </w:rPr>
        <w:t>,</w:t>
      </w:r>
      <w:r w:rsidRPr="0071782F">
        <w:rPr>
          <w:lang w:val="fr-CH"/>
        </w:rPr>
        <w:t xml:space="preserve">6 </w:t>
      </w:r>
      <w:r w:rsidR="0071782F" w:rsidRPr="0071782F">
        <w:rPr>
          <w:lang w:val="fr-CH"/>
        </w:rPr>
        <w:t>à</w:t>
      </w:r>
      <w:r w:rsidRPr="0071782F">
        <w:rPr>
          <w:lang w:val="fr-CH"/>
        </w:rPr>
        <w:t xml:space="preserve"> 20</w:t>
      </w:r>
      <w:r w:rsidR="009D471E" w:rsidRPr="0071782F">
        <w:rPr>
          <w:lang w:val="fr-CH"/>
        </w:rPr>
        <w:t>,</w:t>
      </w:r>
      <w:r w:rsidRPr="0071782F">
        <w:rPr>
          <w:lang w:val="fr-CH"/>
        </w:rPr>
        <w:t>94.</w:t>
      </w:r>
    </w:p>
    <w:p w:rsidR="00333944" w:rsidRPr="0071782F" w:rsidRDefault="00333944" w:rsidP="00236B58">
      <w:pPr>
        <w:pStyle w:val="SingleTxtG"/>
        <w:ind w:left="1701"/>
        <w:rPr>
          <w:lang w:val="fr-CH"/>
        </w:rPr>
      </w:pPr>
      <w:r w:rsidRPr="0071782F">
        <w:rPr>
          <w:lang w:val="fr-CH"/>
        </w:rPr>
        <w:t>364.10</w:t>
      </w:r>
      <w:r w:rsidR="00236B58" w:rsidRPr="0071782F">
        <w:rPr>
          <w:lang w:val="fr-CH"/>
        </w:rPr>
        <w:t xml:space="preserve">. </w:t>
      </w:r>
      <w:r w:rsidR="009D471E" w:rsidRPr="0071782F">
        <w:rPr>
          <w:lang w:val="fr-CH"/>
        </w:rPr>
        <w:t xml:space="preserve">Dans le premier cycle de l’enseignement secondaire, le nombre moyen d’élèves par classe est passé de </w:t>
      </w:r>
      <w:r w:rsidRPr="0071782F">
        <w:rPr>
          <w:lang w:val="fr-CH"/>
        </w:rPr>
        <w:t>39</w:t>
      </w:r>
      <w:r w:rsidR="009D471E" w:rsidRPr="0071782F">
        <w:rPr>
          <w:lang w:val="fr-CH"/>
        </w:rPr>
        <w:t>,</w:t>
      </w:r>
      <w:r w:rsidRPr="0071782F">
        <w:rPr>
          <w:lang w:val="fr-CH"/>
        </w:rPr>
        <w:t xml:space="preserve">5 </w:t>
      </w:r>
      <w:r w:rsidR="009D471E" w:rsidRPr="0071782F">
        <w:rPr>
          <w:lang w:val="fr-CH"/>
        </w:rPr>
        <w:t>à</w:t>
      </w:r>
      <w:r w:rsidRPr="0071782F">
        <w:rPr>
          <w:lang w:val="fr-CH"/>
        </w:rPr>
        <w:t xml:space="preserve"> 23</w:t>
      </w:r>
      <w:r w:rsidR="009D471E" w:rsidRPr="0071782F">
        <w:rPr>
          <w:lang w:val="fr-CH"/>
        </w:rPr>
        <w:t>,</w:t>
      </w:r>
      <w:r w:rsidRPr="0071782F">
        <w:rPr>
          <w:lang w:val="fr-CH"/>
        </w:rPr>
        <w:t>88.</w:t>
      </w:r>
    </w:p>
    <w:p w:rsidR="00333944" w:rsidRPr="0071782F" w:rsidRDefault="00333944" w:rsidP="00236B58">
      <w:pPr>
        <w:pStyle w:val="SingleTxtG"/>
        <w:ind w:left="1701"/>
        <w:rPr>
          <w:lang w:val="fr-CH"/>
        </w:rPr>
      </w:pPr>
      <w:r w:rsidRPr="0071782F">
        <w:rPr>
          <w:lang w:val="fr-CH"/>
        </w:rPr>
        <w:t>364.11</w:t>
      </w:r>
      <w:r w:rsidR="00236B58" w:rsidRPr="0071782F">
        <w:rPr>
          <w:lang w:val="fr-CH"/>
        </w:rPr>
        <w:t xml:space="preserve">. </w:t>
      </w:r>
      <w:r w:rsidR="009D471E" w:rsidRPr="0071782F">
        <w:rPr>
          <w:lang w:val="fr-CH"/>
        </w:rPr>
        <w:t xml:space="preserve">Dans le second cycle de l’enseignement secondaire, le nombre moyen d’élèves par classe est passé de </w:t>
      </w:r>
      <w:r w:rsidRPr="0071782F">
        <w:rPr>
          <w:lang w:val="fr-CH"/>
        </w:rPr>
        <w:t xml:space="preserve">46 </w:t>
      </w:r>
      <w:r w:rsidR="009D471E" w:rsidRPr="0071782F">
        <w:rPr>
          <w:lang w:val="fr-CH"/>
        </w:rPr>
        <w:t>à</w:t>
      </w:r>
      <w:r w:rsidRPr="0071782F">
        <w:rPr>
          <w:lang w:val="fr-CH"/>
        </w:rPr>
        <w:t xml:space="preserve"> 23</w:t>
      </w:r>
      <w:r w:rsidR="009D471E" w:rsidRPr="0071782F">
        <w:rPr>
          <w:lang w:val="fr-CH"/>
        </w:rPr>
        <w:t>,</w:t>
      </w:r>
      <w:r w:rsidRPr="0071782F">
        <w:rPr>
          <w:lang w:val="fr-CH"/>
        </w:rPr>
        <w:t>04.</w:t>
      </w:r>
    </w:p>
    <w:p w:rsidR="00333944" w:rsidRPr="0071782F" w:rsidRDefault="00333944" w:rsidP="00236B58">
      <w:pPr>
        <w:pStyle w:val="SingleTxtG"/>
        <w:ind w:left="1701"/>
        <w:rPr>
          <w:lang w:val="fr-CH"/>
        </w:rPr>
      </w:pPr>
      <w:r w:rsidRPr="0071782F">
        <w:rPr>
          <w:lang w:val="fr-CH"/>
        </w:rPr>
        <w:t>364.12</w:t>
      </w:r>
      <w:r w:rsidR="00236B58" w:rsidRPr="0071782F">
        <w:rPr>
          <w:lang w:val="fr-CH"/>
        </w:rPr>
        <w:t xml:space="preserve">. </w:t>
      </w:r>
      <w:r w:rsidR="009D471E" w:rsidRPr="0071782F">
        <w:rPr>
          <w:lang w:val="fr-CH"/>
        </w:rPr>
        <w:t xml:space="preserve">Le taux nominal de scolarisation dans les écoles primaires est passé de </w:t>
      </w:r>
      <w:r w:rsidRPr="0071782F">
        <w:rPr>
          <w:lang w:val="fr-CH"/>
        </w:rPr>
        <w:t xml:space="preserve">62 </w:t>
      </w:r>
      <w:r w:rsidR="009D471E" w:rsidRPr="0071782F">
        <w:rPr>
          <w:lang w:val="fr-CH"/>
        </w:rPr>
        <w:t xml:space="preserve">à </w:t>
      </w:r>
      <w:r w:rsidRPr="0071782F">
        <w:rPr>
          <w:lang w:val="fr-CH"/>
        </w:rPr>
        <w:t>104</w:t>
      </w:r>
      <w:r w:rsidR="007E5125" w:rsidRPr="0071782F">
        <w:rPr>
          <w:lang w:val="fr-CH"/>
        </w:rPr>
        <w:t>%</w:t>
      </w:r>
      <w:r w:rsidR="009D471E" w:rsidRPr="0071782F">
        <w:rPr>
          <w:lang w:val="fr-CH"/>
        </w:rPr>
        <w:t>, en augmentation de 42</w:t>
      </w:r>
      <w:r w:rsidR="007E5125" w:rsidRPr="0071782F">
        <w:rPr>
          <w:lang w:val="fr-CH"/>
        </w:rPr>
        <w:t>%</w:t>
      </w:r>
      <w:r w:rsidR="0071782F" w:rsidRPr="0071782F">
        <w:rPr>
          <w:lang w:val="fr-CH"/>
        </w:rPr>
        <w:t>.</w:t>
      </w:r>
    </w:p>
    <w:p w:rsidR="00333944" w:rsidRPr="0071782F" w:rsidRDefault="00333944" w:rsidP="00236B58">
      <w:pPr>
        <w:pStyle w:val="SingleTxtG"/>
        <w:ind w:left="1701"/>
        <w:rPr>
          <w:lang w:val="fr-CH"/>
        </w:rPr>
      </w:pPr>
      <w:r w:rsidRPr="0071782F">
        <w:rPr>
          <w:lang w:val="fr-CH"/>
        </w:rPr>
        <w:t>364.13</w:t>
      </w:r>
      <w:r w:rsidR="00236B58" w:rsidRPr="0071782F">
        <w:rPr>
          <w:lang w:val="fr-CH"/>
        </w:rPr>
        <w:t xml:space="preserve">. </w:t>
      </w:r>
      <w:r w:rsidR="009D471E" w:rsidRPr="0071782F">
        <w:rPr>
          <w:lang w:val="fr-CH"/>
        </w:rPr>
        <w:t>Le taux nominal de scolarisation dans le premier cycle de l’enseignement secondaire est passé de 31,2 à 100</w:t>
      </w:r>
      <w:r w:rsidR="007E5125" w:rsidRPr="0071782F">
        <w:rPr>
          <w:lang w:val="fr-CH"/>
        </w:rPr>
        <w:t>%</w:t>
      </w:r>
      <w:r w:rsidR="009D471E" w:rsidRPr="0071782F">
        <w:rPr>
          <w:lang w:val="fr-CH"/>
        </w:rPr>
        <w:t xml:space="preserve">, soit une augmentation de </w:t>
      </w:r>
      <w:r w:rsidRPr="0071782F">
        <w:rPr>
          <w:lang w:val="fr-CH"/>
        </w:rPr>
        <w:t>68</w:t>
      </w:r>
      <w:r w:rsidR="009D471E" w:rsidRPr="0071782F">
        <w:rPr>
          <w:lang w:val="fr-CH"/>
        </w:rPr>
        <w:t>,</w:t>
      </w:r>
      <w:r w:rsidRPr="0071782F">
        <w:rPr>
          <w:lang w:val="fr-CH"/>
        </w:rPr>
        <w:t>8</w:t>
      </w:r>
      <w:r w:rsidR="007E5125" w:rsidRPr="0071782F">
        <w:rPr>
          <w:lang w:val="fr-CH"/>
        </w:rPr>
        <w:t>%</w:t>
      </w:r>
      <w:r w:rsidR="009D471E" w:rsidRPr="0071782F">
        <w:rPr>
          <w:lang w:val="fr-CH"/>
        </w:rPr>
        <w:t>.</w:t>
      </w:r>
      <w:r w:rsidRPr="0071782F">
        <w:rPr>
          <w:lang w:val="fr-CH"/>
        </w:rPr>
        <w:t xml:space="preserve"> </w:t>
      </w:r>
    </w:p>
    <w:p w:rsidR="00333944" w:rsidRPr="0071782F" w:rsidRDefault="00333944" w:rsidP="00236B58">
      <w:pPr>
        <w:pStyle w:val="SingleTxtG"/>
        <w:ind w:left="1701"/>
        <w:rPr>
          <w:lang w:val="fr-CH"/>
        </w:rPr>
      </w:pPr>
      <w:r w:rsidRPr="0071782F">
        <w:rPr>
          <w:lang w:val="fr-CH"/>
        </w:rPr>
        <w:t>364.14</w:t>
      </w:r>
      <w:r w:rsidR="00236B58" w:rsidRPr="0071782F">
        <w:rPr>
          <w:lang w:val="fr-CH"/>
        </w:rPr>
        <w:t xml:space="preserve">. </w:t>
      </w:r>
      <w:r w:rsidR="009D471E" w:rsidRPr="0071782F">
        <w:rPr>
          <w:lang w:val="fr-CH"/>
        </w:rPr>
        <w:t>Le taux nominal de scolarisation dans le second cycle de l’enseignement secondaire est passé de 17,4 à 82</w:t>
      </w:r>
      <w:r w:rsidR="007E5125" w:rsidRPr="0071782F">
        <w:rPr>
          <w:lang w:val="fr-CH"/>
        </w:rPr>
        <w:t>%</w:t>
      </w:r>
      <w:r w:rsidR="009D471E" w:rsidRPr="0071782F">
        <w:rPr>
          <w:lang w:val="fr-CH"/>
        </w:rPr>
        <w:t xml:space="preserve">, en augmentation de </w:t>
      </w:r>
      <w:r w:rsidRPr="0071782F">
        <w:rPr>
          <w:lang w:val="fr-CH"/>
        </w:rPr>
        <w:t>64</w:t>
      </w:r>
      <w:r w:rsidR="009D471E" w:rsidRPr="0071782F">
        <w:rPr>
          <w:lang w:val="fr-CH"/>
        </w:rPr>
        <w:t>,</w:t>
      </w:r>
      <w:r w:rsidRPr="0071782F">
        <w:rPr>
          <w:lang w:val="fr-CH"/>
        </w:rPr>
        <w:t>6</w:t>
      </w:r>
      <w:r w:rsidR="007E5125" w:rsidRPr="0071782F">
        <w:rPr>
          <w:lang w:val="fr-CH"/>
        </w:rPr>
        <w:t>%</w:t>
      </w:r>
      <w:r w:rsidRPr="0071782F">
        <w:rPr>
          <w:lang w:val="fr-CH"/>
        </w:rPr>
        <w:t>.</w:t>
      </w:r>
    </w:p>
    <w:p w:rsidR="00333944" w:rsidRPr="0071782F" w:rsidRDefault="00333944" w:rsidP="00236B58">
      <w:pPr>
        <w:pStyle w:val="SingleTxtG"/>
        <w:ind w:left="1701"/>
        <w:rPr>
          <w:lang w:val="fr-CH"/>
        </w:rPr>
      </w:pPr>
      <w:r w:rsidRPr="0071782F">
        <w:rPr>
          <w:lang w:val="fr-CH"/>
        </w:rPr>
        <w:t>364.15</w:t>
      </w:r>
      <w:r w:rsidR="00236B58" w:rsidRPr="0071782F">
        <w:rPr>
          <w:lang w:val="fr-CH"/>
        </w:rPr>
        <w:t xml:space="preserve">. </w:t>
      </w:r>
      <w:r w:rsidR="009D471E" w:rsidRPr="0071782F">
        <w:rPr>
          <w:lang w:val="fr-CH"/>
        </w:rPr>
        <w:t>Le taux d’obtention du diplôme de fin d’études primaires est passé de 80 à 97,8</w:t>
      </w:r>
      <w:r w:rsidR="007E5125" w:rsidRPr="0071782F">
        <w:rPr>
          <w:lang w:val="fr-CH"/>
        </w:rPr>
        <w:t>%</w:t>
      </w:r>
      <w:r w:rsidR="009D471E" w:rsidRPr="0071782F">
        <w:rPr>
          <w:lang w:val="fr-CH"/>
        </w:rPr>
        <w:t>, en augmentation de</w:t>
      </w:r>
      <w:r w:rsidRPr="0071782F">
        <w:rPr>
          <w:lang w:val="fr-CH"/>
        </w:rPr>
        <w:t xml:space="preserve"> 17</w:t>
      </w:r>
      <w:r w:rsidR="009D471E" w:rsidRPr="0071782F">
        <w:rPr>
          <w:lang w:val="fr-CH"/>
        </w:rPr>
        <w:t>,</w:t>
      </w:r>
      <w:r w:rsidRPr="0071782F">
        <w:rPr>
          <w:lang w:val="fr-CH"/>
        </w:rPr>
        <w:t>8</w:t>
      </w:r>
      <w:r w:rsidR="007E5125" w:rsidRPr="0071782F">
        <w:rPr>
          <w:lang w:val="fr-CH"/>
        </w:rPr>
        <w:t>%</w:t>
      </w:r>
      <w:r w:rsidRPr="0071782F">
        <w:rPr>
          <w:lang w:val="fr-CH"/>
        </w:rPr>
        <w:t xml:space="preserve"> </w:t>
      </w:r>
    </w:p>
    <w:p w:rsidR="00333944" w:rsidRPr="0071782F" w:rsidRDefault="00333944" w:rsidP="00236B58">
      <w:pPr>
        <w:pStyle w:val="SingleTxtG"/>
        <w:ind w:left="1701"/>
        <w:rPr>
          <w:lang w:val="fr-CH"/>
        </w:rPr>
      </w:pPr>
      <w:r w:rsidRPr="0071782F">
        <w:rPr>
          <w:lang w:val="fr-CH"/>
        </w:rPr>
        <w:t>364.16</w:t>
      </w:r>
      <w:r w:rsidR="00236B58" w:rsidRPr="0071782F">
        <w:rPr>
          <w:lang w:val="fr-CH"/>
        </w:rPr>
        <w:t xml:space="preserve">. </w:t>
      </w:r>
      <w:r w:rsidR="009D471E" w:rsidRPr="0071782F">
        <w:rPr>
          <w:lang w:val="fr-CH"/>
        </w:rPr>
        <w:t>Le taux d’obtention du diplôme de fin d’études du premier cycle de l’enseignement secondaire est passé de 70 à 93,32</w:t>
      </w:r>
      <w:r w:rsidR="007E5125" w:rsidRPr="0071782F">
        <w:rPr>
          <w:lang w:val="fr-CH"/>
        </w:rPr>
        <w:t>%</w:t>
      </w:r>
      <w:r w:rsidR="009D471E" w:rsidRPr="0071782F">
        <w:rPr>
          <w:lang w:val="fr-CH"/>
        </w:rPr>
        <w:t xml:space="preserve">, en augmentation de </w:t>
      </w:r>
      <w:r w:rsidRPr="0071782F">
        <w:rPr>
          <w:lang w:val="fr-CH"/>
        </w:rPr>
        <w:t>23</w:t>
      </w:r>
      <w:r w:rsidR="009D471E" w:rsidRPr="0071782F">
        <w:rPr>
          <w:lang w:val="fr-CH"/>
        </w:rPr>
        <w:t>,</w:t>
      </w:r>
      <w:r w:rsidRPr="0071782F">
        <w:rPr>
          <w:lang w:val="fr-CH"/>
        </w:rPr>
        <w:t>32</w:t>
      </w:r>
      <w:r w:rsidR="007E5125" w:rsidRPr="0071782F">
        <w:rPr>
          <w:lang w:val="fr-CH"/>
        </w:rPr>
        <w:t>%</w:t>
      </w:r>
      <w:r w:rsidR="009D471E" w:rsidRPr="0071782F">
        <w:rPr>
          <w:lang w:val="fr-CH"/>
        </w:rPr>
        <w:t>.</w:t>
      </w:r>
      <w:r w:rsidRPr="0071782F">
        <w:rPr>
          <w:lang w:val="fr-CH"/>
        </w:rPr>
        <w:t xml:space="preserve"> </w:t>
      </w:r>
    </w:p>
    <w:p w:rsidR="00333944" w:rsidRPr="0071782F" w:rsidRDefault="00333944" w:rsidP="00236B58">
      <w:pPr>
        <w:pStyle w:val="SingleTxtG"/>
        <w:ind w:left="1701"/>
        <w:rPr>
          <w:lang w:val="fr-CH"/>
        </w:rPr>
      </w:pPr>
      <w:r w:rsidRPr="0071782F">
        <w:rPr>
          <w:lang w:val="fr-CH"/>
        </w:rPr>
        <w:t>364.17</w:t>
      </w:r>
      <w:r w:rsidR="00236B58" w:rsidRPr="0071782F">
        <w:rPr>
          <w:lang w:val="fr-CH"/>
        </w:rPr>
        <w:t xml:space="preserve">. </w:t>
      </w:r>
      <w:r w:rsidR="009D471E" w:rsidRPr="0071782F">
        <w:rPr>
          <w:lang w:val="fr-CH"/>
        </w:rPr>
        <w:t xml:space="preserve">À l’époque de la victoire de la Révolution islamique, le pays comptait au total </w:t>
      </w:r>
      <w:r w:rsidRPr="0071782F">
        <w:rPr>
          <w:lang w:val="fr-CH"/>
        </w:rPr>
        <w:t>7</w:t>
      </w:r>
      <w:r w:rsidR="009D471E" w:rsidRPr="0071782F">
        <w:rPr>
          <w:lang w:val="fr-CH"/>
        </w:rPr>
        <w:t> </w:t>
      </w:r>
      <w:r w:rsidRPr="0071782F">
        <w:rPr>
          <w:lang w:val="fr-CH"/>
        </w:rPr>
        <w:t>959</w:t>
      </w:r>
      <w:r w:rsidR="009D471E" w:rsidRPr="0071782F">
        <w:rPr>
          <w:lang w:val="fr-CH"/>
        </w:rPr>
        <w:t> </w:t>
      </w:r>
      <w:r w:rsidRPr="0071782F">
        <w:rPr>
          <w:lang w:val="fr-CH"/>
        </w:rPr>
        <w:t>430</w:t>
      </w:r>
      <w:r w:rsidR="009D471E" w:rsidRPr="0071782F">
        <w:rPr>
          <w:lang w:val="fr-CH"/>
        </w:rPr>
        <w:t xml:space="preserve"> élèves</w:t>
      </w:r>
      <w:r w:rsidRPr="0071782F">
        <w:rPr>
          <w:lang w:val="fr-CH"/>
        </w:rPr>
        <w:t xml:space="preserve">. </w:t>
      </w:r>
      <w:r w:rsidR="009D471E" w:rsidRPr="0071782F">
        <w:rPr>
          <w:lang w:val="fr-CH"/>
        </w:rPr>
        <w:t xml:space="preserve">Dans les années qui ont suivi la Révolution, ce </w:t>
      </w:r>
      <w:r w:rsidR="003B48A4" w:rsidRPr="0071782F">
        <w:rPr>
          <w:lang w:val="fr-CH"/>
        </w:rPr>
        <w:t>nombre</w:t>
      </w:r>
      <w:r w:rsidRPr="0071782F">
        <w:rPr>
          <w:lang w:val="fr-CH"/>
        </w:rPr>
        <w:t xml:space="preserve"> </w:t>
      </w:r>
      <w:r w:rsidR="009D471E" w:rsidRPr="0071782F">
        <w:rPr>
          <w:lang w:val="fr-CH"/>
        </w:rPr>
        <w:t xml:space="preserve">a dépassé les </w:t>
      </w:r>
      <w:r w:rsidRPr="0071782F">
        <w:rPr>
          <w:lang w:val="fr-CH"/>
        </w:rPr>
        <w:t>18</w:t>
      </w:r>
      <w:r w:rsidR="00097CDB" w:rsidRPr="0071782F">
        <w:rPr>
          <w:lang w:val="fr-CH"/>
        </w:rPr>
        <w:t> millions</w:t>
      </w:r>
      <w:r w:rsidRPr="0071782F">
        <w:rPr>
          <w:lang w:val="fr-CH"/>
        </w:rPr>
        <w:t xml:space="preserve">. </w:t>
      </w:r>
      <w:r w:rsidR="009D471E" w:rsidRPr="0071782F">
        <w:rPr>
          <w:lang w:val="fr-CH"/>
        </w:rPr>
        <w:t xml:space="preserve">Pendant l’année scolaire </w:t>
      </w:r>
      <w:r w:rsidRPr="0071782F">
        <w:rPr>
          <w:lang w:val="fr-CH"/>
        </w:rPr>
        <w:t>2006</w:t>
      </w:r>
      <w:r w:rsidR="009D471E" w:rsidRPr="0071782F">
        <w:rPr>
          <w:lang w:val="fr-CH"/>
        </w:rPr>
        <w:t>-</w:t>
      </w:r>
      <w:r w:rsidRPr="0071782F">
        <w:rPr>
          <w:lang w:val="fr-CH"/>
        </w:rPr>
        <w:t xml:space="preserve">2007, </w:t>
      </w:r>
      <w:r w:rsidR="009D471E" w:rsidRPr="0071782F">
        <w:rPr>
          <w:lang w:val="fr-CH"/>
        </w:rPr>
        <w:t xml:space="preserve">il a été de </w:t>
      </w:r>
      <w:r w:rsidRPr="0071782F">
        <w:rPr>
          <w:lang w:val="fr-CH"/>
        </w:rPr>
        <w:t>14</w:t>
      </w:r>
      <w:r w:rsidR="009D471E" w:rsidRPr="0071782F">
        <w:rPr>
          <w:lang w:val="fr-CH"/>
        </w:rPr>
        <w:t> </w:t>
      </w:r>
      <w:r w:rsidRPr="0071782F">
        <w:rPr>
          <w:lang w:val="fr-CH"/>
        </w:rPr>
        <w:t>930</w:t>
      </w:r>
      <w:r w:rsidR="00311068" w:rsidRPr="0071782F">
        <w:rPr>
          <w:lang w:val="fr-CH"/>
        </w:rPr>
        <w:t> </w:t>
      </w:r>
      <w:r w:rsidRPr="0071782F">
        <w:rPr>
          <w:lang w:val="fr-CH"/>
        </w:rPr>
        <w:t>084.</w:t>
      </w:r>
    </w:p>
    <w:p w:rsidR="00333944" w:rsidRPr="0071782F" w:rsidRDefault="00333944" w:rsidP="00236B58">
      <w:pPr>
        <w:pStyle w:val="SingleTxtG"/>
        <w:ind w:left="1701"/>
        <w:rPr>
          <w:lang w:val="fr-CH"/>
        </w:rPr>
      </w:pPr>
      <w:r w:rsidRPr="0071782F">
        <w:rPr>
          <w:lang w:val="fr-CH"/>
        </w:rPr>
        <w:t>364.18</w:t>
      </w:r>
      <w:r w:rsidR="00236B58" w:rsidRPr="0071782F">
        <w:rPr>
          <w:lang w:val="fr-CH"/>
        </w:rPr>
        <w:t xml:space="preserve">. </w:t>
      </w:r>
      <w:r w:rsidR="009D471E" w:rsidRPr="0071782F">
        <w:rPr>
          <w:lang w:val="fr-CH"/>
        </w:rPr>
        <w:t xml:space="preserve">Le </w:t>
      </w:r>
      <w:r w:rsidR="003B48A4" w:rsidRPr="0071782F">
        <w:rPr>
          <w:lang w:val="fr-CH"/>
        </w:rPr>
        <w:t>nombre</w:t>
      </w:r>
      <w:r w:rsidRPr="0071782F">
        <w:rPr>
          <w:lang w:val="fr-CH"/>
        </w:rPr>
        <w:t xml:space="preserve"> </w:t>
      </w:r>
      <w:r w:rsidR="009D471E" w:rsidRPr="0071782F">
        <w:rPr>
          <w:lang w:val="fr-CH"/>
        </w:rPr>
        <w:t xml:space="preserve">d’enfants d’âge préscolaire a été multiplié par </w:t>
      </w:r>
      <w:r w:rsidRPr="0071782F">
        <w:rPr>
          <w:lang w:val="fr-CH"/>
        </w:rPr>
        <w:t>2</w:t>
      </w:r>
      <w:r w:rsidR="009D471E" w:rsidRPr="0071782F">
        <w:rPr>
          <w:lang w:val="fr-CH"/>
        </w:rPr>
        <w:t>,</w:t>
      </w:r>
      <w:r w:rsidRPr="0071782F">
        <w:rPr>
          <w:lang w:val="fr-CH"/>
        </w:rPr>
        <w:t>13</w:t>
      </w:r>
      <w:r w:rsidR="009D471E" w:rsidRPr="0071782F">
        <w:rPr>
          <w:lang w:val="fr-CH"/>
        </w:rPr>
        <w:t xml:space="preserve">, passant de </w:t>
      </w:r>
      <w:r w:rsidRPr="0071782F">
        <w:rPr>
          <w:lang w:val="fr-CH"/>
        </w:rPr>
        <w:t>259</w:t>
      </w:r>
      <w:r w:rsidR="00311068" w:rsidRPr="0071782F">
        <w:rPr>
          <w:lang w:val="fr-CH"/>
        </w:rPr>
        <w:t> </w:t>
      </w:r>
      <w:r w:rsidRPr="0071782F">
        <w:rPr>
          <w:lang w:val="fr-CH"/>
        </w:rPr>
        <w:t xml:space="preserve">497 </w:t>
      </w:r>
      <w:r w:rsidR="009D471E" w:rsidRPr="0071782F">
        <w:rPr>
          <w:lang w:val="fr-CH"/>
        </w:rPr>
        <w:t>à</w:t>
      </w:r>
      <w:r w:rsidRPr="0071782F">
        <w:rPr>
          <w:lang w:val="fr-CH"/>
        </w:rPr>
        <w:t xml:space="preserve"> 552</w:t>
      </w:r>
      <w:r w:rsidR="00311068" w:rsidRPr="0071782F">
        <w:rPr>
          <w:lang w:val="fr-CH"/>
        </w:rPr>
        <w:t> </w:t>
      </w:r>
      <w:r w:rsidRPr="0071782F">
        <w:rPr>
          <w:lang w:val="fr-CH"/>
        </w:rPr>
        <w:t>932.</w:t>
      </w:r>
    </w:p>
    <w:p w:rsidR="00333944" w:rsidRPr="0071782F" w:rsidRDefault="00333944" w:rsidP="00236B58">
      <w:pPr>
        <w:pStyle w:val="SingleTxtG"/>
        <w:ind w:left="1701"/>
        <w:rPr>
          <w:lang w:val="fr-CH"/>
        </w:rPr>
      </w:pPr>
      <w:r w:rsidRPr="0071782F">
        <w:rPr>
          <w:lang w:val="fr-CH"/>
        </w:rPr>
        <w:t>364.19</w:t>
      </w:r>
      <w:r w:rsidR="00236B58" w:rsidRPr="0071782F">
        <w:rPr>
          <w:lang w:val="fr-CH"/>
        </w:rPr>
        <w:t xml:space="preserve">. </w:t>
      </w:r>
      <w:r w:rsidR="009D471E" w:rsidRPr="0071782F">
        <w:rPr>
          <w:lang w:val="fr-CH"/>
        </w:rPr>
        <w:t>L</w:t>
      </w:r>
      <w:r w:rsidRPr="0071782F">
        <w:rPr>
          <w:lang w:val="fr-CH"/>
        </w:rPr>
        <w:t xml:space="preserve">e </w:t>
      </w:r>
      <w:r w:rsidR="003B48A4" w:rsidRPr="0071782F">
        <w:rPr>
          <w:lang w:val="fr-CH"/>
        </w:rPr>
        <w:t>nombre</w:t>
      </w:r>
      <w:r w:rsidRPr="0071782F">
        <w:rPr>
          <w:lang w:val="fr-CH"/>
        </w:rPr>
        <w:t xml:space="preserve"> </w:t>
      </w:r>
      <w:r w:rsidR="009D471E" w:rsidRPr="0071782F">
        <w:rPr>
          <w:lang w:val="fr-CH"/>
        </w:rPr>
        <w:t xml:space="preserve">d’élèves du premier cycle de l’école secondaire a été multiplié par </w:t>
      </w:r>
      <w:r w:rsidRPr="0071782F">
        <w:rPr>
          <w:lang w:val="fr-CH"/>
        </w:rPr>
        <w:t>2</w:t>
      </w:r>
      <w:r w:rsidR="009D471E" w:rsidRPr="0071782F">
        <w:rPr>
          <w:lang w:val="fr-CH"/>
        </w:rPr>
        <w:t>,</w:t>
      </w:r>
      <w:r w:rsidRPr="0071782F">
        <w:rPr>
          <w:lang w:val="fr-CH"/>
        </w:rPr>
        <w:t>5</w:t>
      </w:r>
      <w:r w:rsidR="009D471E" w:rsidRPr="0071782F">
        <w:rPr>
          <w:lang w:val="fr-CH"/>
        </w:rPr>
        <w:t xml:space="preserve">, passant de </w:t>
      </w:r>
      <w:r w:rsidRPr="0071782F">
        <w:rPr>
          <w:lang w:val="fr-CH"/>
        </w:rPr>
        <w:t>1</w:t>
      </w:r>
      <w:r w:rsidR="009D471E" w:rsidRPr="0071782F">
        <w:rPr>
          <w:lang w:val="fr-CH"/>
        </w:rPr>
        <w:t xml:space="preserve"> 535 </w:t>
      </w:r>
      <w:r w:rsidRPr="0071782F">
        <w:rPr>
          <w:lang w:val="fr-CH"/>
        </w:rPr>
        <w:t>263 to 3</w:t>
      </w:r>
      <w:r w:rsidR="00311068" w:rsidRPr="0071782F">
        <w:rPr>
          <w:lang w:val="fr-CH"/>
        </w:rPr>
        <w:t> </w:t>
      </w:r>
      <w:r w:rsidRPr="0071782F">
        <w:rPr>
          <w:lang w:val="fr-CH"/>
        </w:rPr>
        <w:t>938</w:t>
      </w:r>
      <w:r w:rsidR="00311068" w:rsidRPr="0071782F">
        <w:rPr>
          <w:lang w:val="fr-CH"/>
        </w:rPr>
        <w:t> </w:t>
      </w:r>
      <w:r w:rsidRPr="0071782F">
        <w:rPr>
          <w:lang w:val="fr-CH"/>
        </w:rPr>
        <w:t>661.</w:t>
      </w:r>
    </w:p>
    <w:p w:rsidR="00333944" w:rsidRPr="0071782F" w:rsidRDefault="00333944" w:rsidP="00236B58">
      <w:pPr>
        <w:pStyle w:val="SingleTxtG"/>
        <w:ind w:left="1701"/>
        <w:rPr>
          <w:lang w:val="fr-CH"/>
        </w:rPr>
      </w:pPr>
      <w:r w:rsidRPr="0071782F">
        <w:rPr>
          <w:lang w:val="fr-CH"/>
        </w:rPr>
        <w:t>364.20</w:t>
      </w:r>
      <w:r w:rsidR="00236B58" w:rsidRPr="0071782F">
        <w:rPr>
          <w:lang w:val="fr-CH"/>
        </w:rPr>
        <w:t xml:space="preserve">. </w:t>
      </w:r>
      <w:r w:rsidR="009D471E" w:rsidRPr="0071782F">
        <w:rPr>
          <w:lang w:val="fr-CH"/>
        </w:rPr>
        <w:t xml:space="preserve">Le nombre d’élèves du second cycle de l’école secondaire a été multiplié par quatre, passant de </w:t>
      </w:r>
      <w:r w:rsidRPr="0071782F">
        <w:rPr>
          <w:lang w:val="fr-CH"/>
        </w:rPr>
        <w:t>1</w:t>
      </w:r>
      <w:r w:rsidR="009D471E" w:rsidRPr="0071782F">
        <w:rPr>
          <w:lang w:val="fr-CH"/>
        </w:rPr>
        <w:t> 087</w:t>
      </w:r>
      <w:r w:rsidR="00E86031">
        <w:rPr>
          <w:lang w:val="fr-CH"/>
        </w:rPr>
        <w:t> </w:t>
      </w:r>
      <w:r w:rsidRPr="0071782F">
        <w:rPr>
          <w:lang w:val="fr-CH"/>
        </w:rPr>
        <w:t xml:space="preserve">559 </w:t>
      </w:r>
      <w:r w:rsidR="009D471E" w:rsidRPr="0071782F">
        <w:rPr>
          <w:lang w:val="fr-CH"/>
        </w:rPr>
        <w:t>à 4 117</w:t>
      </w:r>
      <w:r w:rsidR="00311068" w:rsidRPr="0071782F">
        <w:rPr>
          <w:lang w:val="fr-CH"/>
        </w:rPr>
        <w:t> </w:t>
      </w:r>
      <w:r w:rsidRPr="0071782F">
        <w:rPr>
          <w:lang w:val="fr-CH"/>
        </w:rPr>
        <w:t xml:space="preserve">105. </w:t>
      </w:r>
      <w:r w:rsidR="009D471E" w:rsidRPr="0071782F">
        <w:rPr>
          <w:lang w:val="fr-CH"/>
        </w:rPr>
        <w:t>Ce chiffre comprend les élèves faisant des études préuniversitaires et reflète la tendance au renforcement de l’enseignement secondaire par rapport aux périodes antérieures</w:t>
      </w:r>
      <w:r w:rsidRPr="0071782F">
        <w:rPr>
          <w:lang w:val="fr-CH"/>
        </w:rPr>
        <w:t>.</w:t>
      </w:r>
    </w:p>
    <w:p w:rsidR="00333944" w:rsidRPr="0071782F" w:rsidRDefault="00333944" w:rsidP="00236B58">
      <w:pPr>
        <w:pStyle w:val="SingleTxtG"/>
        <w:ind w:left="1701"/>
        <w:rPr>
          <w:lang w:val="fr-CH"/>
        </w:rPr>
      </w:pPr>
      <w:r w:rsidRPr="0071782F">
        <w:rPr>
          <w:lang w:val="fr-CH"/>
        </w:rPr>
        <w:t>364.21</w:t>
      </w:r>
      <w:r w:rsidR="00236B58" w:rsidRPr="0071782F">
        <w:rPr>
          <w:lang w:val="fr-CH"/>
        </w:rPr>
        <w:t xml:space="preserve">. </w:t>
      </w:r>
      <w:r w:rsidR="009D471E" w:rsidRPr="0071782F">
        <w:rPr>
          <w:lang w:val="fr-CH"/>
        </w:rPr>
        <w:t xml:space="preserve">Le nombre d’élèves suivant une formation technique et professionnelle a presque triplé, passant de </w:t>
      </w:r>
      <w:r w:rsidRPr="0071782F">
        <w:rPr>
          <w:lang w:val="fr-CH"/>
        </w:rPr>
        <w:t>256</w:t>
      </w:r>
      <w:r w:rsidR="00311068" w:rsidRPr="0071782F">
        <w:rPr>
          <w:lang w:val="fr-CH"/>
        </w:rPr>
        <w:t> </w:t>
      </w:r>
      <w:r w:rsidRPr="0071782F">
        <w:rPr>
          <w:lang w:val="fr-CH"/>
        </w:rPr>
        <w:t xml:space="preserve">303 </w:t>
      </w:r>
      <w:r w:rsidR="009D471E" w:rsidRPr="0071782F">
        <w:rPr>
          <w:lang w:val="fr-CH"/>
        </w:rPr>
        <w:t xml:space="preserve">à </w:t>
      </w:r>
      <w:r w:rsidRPr="0071782F">
        <w:rPr>
          <w:lang w:val="fr-CH"/>
        </w:rPr>
        <w:t>774</w:t>
      </w:r>
      <w:r w:rsidR="00311068" w:rsidRPr="0071782F">
        <w:rPr>
          <w:lang w:val="fr-CH"/>
        </w:rPr>
        <w:t> </w:t>
      </w:r>
      <w:r w:rsidRPr="0071782F">
        <w:rPr>
          <w:lang w:val="fr-CH"/>
        </w:rPr>
        <w:t xml:space="preserve">734. </w:t>
      </w:r>
      <w:r w:rsidR="009D471E" w:rsidRPr="0071782F">
        <w:rPr>
          <w:lang w:val="fr-CH"/>
        </w:rPr>
        <w:t>Ce chiffre comprend les élèves du second cycle du secondaire</w:t>
      </w:r>
      <w:r w:rsidRPr="0071782F">
        <w:rPr>
          <w:lang w:val="fr-CH"/>
        </w:rPr>
        <w:t>.</w:t>
      </w:r>
    </w:p>
    <w:p w:rsidR="00333944" w:rsidRPr="0071782F" w:rsidRDefault="00333944" w:rsidP="00236B58">
      <w:pPr>
        <w:pStyle w:val="SingleTxtG"/>
        <w:ind w:left="1701"/>
        <w:rPr>
          <w:lang w:val="fr-CH"/>
        </w:rPr>
      </w:pPr>
      <w:r w:rsidRPr="0071782F">
        <w:rPr>
          <w:lang w:val="fr-CH"/>
        </w:rPr>
        <w:t>364.22</w:t>
      </w:r>
      <w:r w:rsidR="00236B58" w:rsidRPr="0071782F">
        <w:rPr>
          <w:lang w:val="fr-CH"/>
        </w:rPr>
        <w:t xml:space="preserve">. </w:t>
      </w:r>
      <w:r w:rsidR="009D471E" w:rsidRPr="0071782F">
        <w:rPr>
          <w:lang w:val="fr-CH"/>
        </w:rPr>
        <w:t xml:space="preserve">Le </w:t>
      </w:r>
      <w:r w:rsidR="003B48A4" w:rsidRPr="0071782F">
        <w:rPr>
          <w:lang w:val="fr-CH"/>
        </w:rPr>
        <w:t>nombre</w:t>
      </w:r>
      <w:r w:rsidRPr="0071782F">
        <w:rPr>
          <w:lang w:val="fr-CH"/>
        </w:rPr>
        <w:t xml:space="preserve"> </w:t>
      </w:r>
      <w:r w:rsidR="009D471E" w:rsidRPr="0071782F">
        <w:rPr>
          <w:lang w:val="fr-CH"/>
        </w:rPr>
        <w:t xml:space="preserve">d’élèves résidant dans les zones rurales a doublé, passant de </w:t>
      </w:r>
      <w:r w:rsidRPr="0071782F">
        <w:rPr>
          <w:lang w:val="fr-CH"/>
        </w:rPr>
        <w:t>2</w:t>
      </w:r>
      <w:r w:rsidR="009D471E" w:rsidRPr="0071782F">
        <w:rPr>
          <w:lang w:val="fr-CH"/>
        </w:rPr>
        <w:t> </w:t>
      </w:r>
      <w:r w:rsidRPr="0071782F">
        <w:rPr>
          <w:lang w:val="fr-CH"/>
        </w:rPr>
        <w:t>059</w:t>
      </w:r>
      <w:r w:rsidR="00311068" w:rsidRPr="0071782F">
        <w:rPr>
          <w:lang w:val="fr-CH"/>
        </w:rPr>
        <w:t> </w:t>
      </w:r>
      <w:r w:rsidRPr="0071782F">
        <w:rPr>
          <w:lang w:val="fr-CH"/>
        </w:rPr>
        <w:t xml:space="preserve">272 </w:t>
      </w:r>
      <w:r w:rsidR="009D471E" w:rsidRPr="0071782F">
        <w:rPr>
          <w:lang w:val="fr-CH"/>
        </w:rPr>
        <w:t>à</w:t>
      </w:r>
      <w:r w:rsidRPr="0071782F">
        <w:rPr>
          <w:lang w:val="fr-CH"/>
        </w:rPr>
        <w:t xml:space="preserve"> 4</w:t>
      </w:r>
      <w:r w:rsidR="009D471E" w:rsidRPr="0071782F">
        <w:rPr>
          <w:lang w:val="fr-CH"/>
        </w:rPr>
        <w:t xml:space="preserve"> 104 </w:t>
      </w:r>
      <w:r w:rsidRPr="0071782F">
        <w:rPr>
          <w:lang w:val="fr-CH"/>
        </w:rPr>
        <w:t xml:space="preserve">427. </w:t>
      </w:r>
      <w:r w:rsidR="009D471E" w:rsidRPr="0071782F">
        <w:rPr>
          <w:lang w:val="fr-CH"/>
        </w:rPr>
        <w:t>L’augmentation du nombre d’écoles ouvertes 24</w:t>
      </w:r>
      <w:r w:rsidR="00BF435F" w:rsidRPr="0071782F">
        <w:rPr>
          <w:lang w:val="fr-CH"/>
        </w:rPr>
        <w:t> heures</w:t>
      </w:r>
      <w:r w:rsidR="009D471E" w:rsidRPr="0071782F">
        <w:rPr>
          <w:lang w:val="fr-CH"/>
        </w:rPr>
        <w:t xml:space="preserve"> sur 24 a contribué à cet accroissement</w:t>
      </w:r>
      <w:r w:rsidRPr="0071782F">
        <w:rPr>
          <w:lang w:val="fr-CH"/>
        </w:rPr>
        <w:t>.</w:t>
      </w:r>
    </w:p>
    <w:p w:rsidR="00333944" w:rsidRPr="0071782F" w:rsidRDefault="00333944" w:rsidP="00236B58">
      <w:pPr>
        <w:pStyle w:val="SingleTxtG"/>
        <w:ind w:left="1701"/>
        <w:rPr>
          <w:lang w:val="fr-CH"/>
        </w:rPr>
      </w:pPr>
      <w:r w:rsidRPr="0071782F">
        <w:rPr>
          <w:lang w:val="fr-CH"/>
        </w:rPr>
        <w:t>364.23</w:t>
      </w:r>
      <w:r w:rsidR="00236B58" w:rsidRPr="0071782F">
        <w:rPr>
          <w:lang w:val="fr-CH"/>
        </w:rPr>
        <w:t xml:space="preserve">. </w:t>
      </w:r>
      <w:r w:rsidR="00B531C2" w:rsidRPr="0071782F">
        <w:rPr>
          <w:lang w:val="fr-CH"/>
        </w:rPr>
        <w:t xml:space="preserve">La proportion des élèves suivant une formation technique et professionnelle par rapport à l’ensemble des élèves du secondaire a augmenté de </w:t>
      </w:r>
      <w:r w:rsidRPr="0071782F">
        <w:rPr>
          <w:lang w:val="fr-CH"/>
        </w:rPr>
        <w:t>12</w:t>
      </w:r>
      <w:r w:rsidR="00B531C2" w:rsidRPr="0071782F">
        <w:rPr>
          <w:lang w:val="fr-CH"/>
        </w:rPr>
        <w:t>,</w:t>
      </w:r>
      <w:r w:rsidRPr="0071782F">
        <w:rPr>
          <w:lang w:val="fr-CH"/>
        </w:rPr>
        <w:t>5</w:t>
      </w:r>
      <w:r w:rsidR="007E5125" w:rsidRPr="0071782F">
        <w:rPr>
          <w:lang w:val="fr-CH"/>
        </w:rPr>
        <w:t>%</w:t>
      </w:r>
      <w:r w:rsidR="00B531C2" w:rsidRPr="0071782F">
        <w:rPr>
          <w:lang w:val="fr-CH"/>
        </w:rPr>
        <w:t xml:space="preserve">, passant de </w:t>
      </w:r>
      <w:r w:rsidRPr="0071782F">
        <w:rPr>
          <w:lang w:val="fr-CH"/>
        </w:rPr>
        <w:t xml:space="preserve">23 </w:t>
      </w:r>
      <w:r w:rsidR="00B531C2" w:rsidRPr="0071782F">
        <w:rPr>
          <w:lang w:val="fr-CH"/>
        </w:rPr>
        <w:t xml:space="preserve">à </w:t>
      </w:r>
      <w:r w:rsidRPr="0071782F">
        <w:rPr>
          <w:lang w:val="fr-CH"/>
        </w:rPr>
        <w:t>35</w:t>
      </w:r>
      <w:r w:rsidR="00B531C2" w:rsidRPr="0071782F">
        <w:rPr>
          <w:lang w:val="fr-CH"/>
        </w:rPr>
        <w:t>,</w:t>
      </w:r>
      <w:r w:rsidRPr="0071782F">
        <w:rPr>
          <w:lang w:val="fr-CH"/>
        </w:rPr>
        <w:t>5</w:t>
      </w:r>
      <w:r w:rsidR="007E5125" w:rsidRPr="0071782F">
        <w:rPr>
          <w:lang w:val="fr-CH"/>
        </w:rPr>
        <w:t>%</w:t>
      </w:r>
      <w:r w:rsidRPr="0071782F">
        <w:rPr>
          <w:lang w:val="fr-CH"/>
        </w:rPr>
        <w:t>.</w:t>
      </w:r>
    </w:p>
    <w:p w:rsidR="00333944" w:rsidRPr="0071782F" w:rsidRDefault="00333944" w:rsidP="00236B58">
      <w:pPr>
        <w:pStyle w:val="SingleTxtG"/>
        <w:ind w:left="1701"/>
        <w:rPr>
          <w:lang w:val="fr-CH"/>
        </w:rPr>
      </w:pPr>
      <w:r w:rsidRPr="0071782F">
        <w:rPr>
          <w:lang w:val="fr-CH"/>
        </w:rPr>
        <w:t>364.24</w:t>
      </w:r>
      <w:r w:rsidR="00236B58" w:rsidRPr="0071782F">
        <w:rPr>
          <w:lang w:val="fr-CH"/>
        </w:rPr>
        <w:t xml:space="preserve">. </w:t>
      </w:r>
      <w:r w:rsidR="00B531C2" w:rsidRPr="0071782F">
        <w:rPr>
          <w:lang w:val="fr-CH"/>
        </w:rPr>
        <w:t xml:space="preserve">Le nombre d’élèves inscrits dans les programmes d’éducation spéciale a décuplé, passant de </w:t>
      </w:r>
      <w:r w:rsidRPr="0071782F">
        <w:rPr>
          <w:lang w:val="fr-CH"/>
        </w:rPr>
        <w:t>7</w:t>
      </w:r>
      <w:r w:rsidR="00B531C2" w:rsidRPr="0071782F">
        <w:rPr>
          <w:lang w:val="fr-CH"/>
        </w:rPr>
        <w:t xml:space="preserve"> </w:t>
      </w:r>
      <w:r w:rsidRPr="0071782F">
        <w:rPr>
          <w:lang w:val="fr-CH"/>
        </w:rPr>
        <w:t xml:space="preserve">000 </w:t>
      </w:r>
      <w:r w:rsidR="00B531C2" w:rsidRPr="0071782F">
        <w:rPr>
          <w:lang w:val="fr-CH"/>
        </w:rPr>
        <w:t>à</w:t>
      </w:r>
      <w:r w:rsidRPr="0071782F">
        <w:rPr>
          <w:lang w:val="fr-CH"/>
        </w:rPr>
        <w:t xml:space="preserve"> 70</w:t>
      </w:r>
      <w:r w:rsidR="00B531C2" w:rsidRPr="0071782F">
        <w:rPr>
          <w:lang w:val="fr-CH"/>
        </w:rPr>
        <w:t xml:space="preserve"> </w:t>
      </w:r>
      <w:r w:rsidRPr="0071782F">
        <w:rPr>
          <w:lang w:val="fr-CH"/>
        </w:rPr>
        <w:t xml:space="preserve">000. </w:t>
      </w:r>
    </w:p>
    <w:p w:rsidR="00333944" w:rsidRPr="0071782F" w:rsidRDefault="00333944" w:rsidP="00236B58">
      <w:pPr>
        <w:pStyle w:val="SingleTxtG"/>
        <w:ind w:left="1701"/>
        <w:rPr>
          <w:lang w:val="fr-CH"/>
        </w:rPr>
      </w:pPr>
      <w:r w:rsidRPr="0071782F">
        <w:rPr>
          <w:lang w:val="fr-CH"/>
        </w:rPr>
        <w:t>364.25</w:t>
      </w:r>
      <w:r w:rsidR="00236B58" w:rsidRPr="0071782F">
        <w:rPr>
          <w:lang w:val="fr-CH"/>
        </w:rPr>
        <w:t xml:space="preserve">. </w:t>
      </w:r>
      <w:r w:rsidR="00B0377D" w:rsidRPr="0071782F">
        <w:rPr>
          <w:lang w:val="fr-CH"/>
        </w:rPr>
        <w:t xml:space="preserve">Le </w:t>
      </w:r>
      <w:r w:rsidR="003B48A4" w:rsidRPr="0071782F">
        <w:rPr>
          <w:lang w:val="fr-CH"/>
        </w:rPr>
        <w:t>nombre</w:t>
      </w:r>
      <w:r w:rsidRPr="0071782F">
        <w:rPr>
          <w:lang w:val="fr-CH"/>
        </w:rPr>
        <w:t xml:space="preserve"> </w:t>
      </w:r>
      <w:r w:rsidR="00B0377D" w:rsidRPr="0071782F">
        <w:rPr>
          <w:lang w:val="fr-CH"/>
        </w:rPr>
        <w:t xml:space="preserve">d’élèves adultes, suivant des cours du soir, etc. a presque triplé, passant de </w:t>
      </w:r>
      <w:r w:rsidRPr="0071782F">
        <w:rPr>
          <w:lang w:val="fr-CH"/>
        </w:rPr>
        <w:t>153</w:t>
      </w:r>
      <w:r w:rsidR="00816714">
        <w:rPr>
          <w:lang w:val="fr-CH"/>
        </w:rPr>
        <w:t> </w:t>
      </w:r>
      <w:r w:rsidRPr="0071782F">
        <w:rPr>
          <w:lang w:val="fr-CH"/>
        </w:rPr>
        <w:t xml:space="preserve">010 </w:t>
      </w:r>
      <w:r w:rsidR="00B0377D" w:rsidRPr="0071782F">
        <w:rPr>
          <w:lang w:val="fr-CH"/>
        </w:rPr>
        <w:t>à</w:t>
      </w:r>
      <w:r w:rsidRPr="0071782F">
        <w:rPr>
          <w:lang w:val="fr-CH"/>
        </w:rPr>
        <w:t xml:space="preserve"> 479</w:t>
      </w:r>
      <w:r w:rsidR="00B0377D" w:rsidRPr="0071782F">
        <w:rPr>
          <w:lang w:val="fr-CH"/>
        </w:rPr>
        <w:t xml:space="preserve"> </w:t>
      </w:r>
      <w:r w:rsidRPr="0071782F">
        <w:rPr>
          <w:lang w:val="fr-CH"/>
        </w:rPr>
        <w:t>870.</w:t>
      </w:r>
    </w:p>
    <w:p w:rsidR="00333944" w:rsidRPr="0071782F" w:rsidRDefault="00333944" w:rsidP="00236B58">
      <w:pPr>
        <w:pStyle w:val="SingleTxtG"/>
        <w:ind w:left="1701"/>
        <w:rPr>
          <w:lang w:val="fr-CH"/>
        </w:rPr>
      </w:pPr>
      <w:r w:rsidRPr="0071782F">
        <w:rPr>
          <w:lang w:val="fr-CH"/>
        </w:rPr>
        <w:t>364.26</w:t>
      </w:r>
      <w:r w:rsidR="00236B58" w:rsidRPr="0071782F">
        <w:rPr>
          <w:lang w:val="fr-CH"/>
        </w:rPr>
        <w:t xml:space="preserve">. </w:t>
      </w:r>
      <w:r w:rsidR="00B0377D" w:rsidRPr="0071782F">
        <w:rPr>
          <w:lang w:val="fr-CH"/>
        </w:rPr>
        <w:t xml:space="preserve">Le </w:t>
      </w:r>
      <w:r w:rsidR="003B48A4" w:rsidRPr="0071782F">
        <w:rPr>
          <w:lang w:val="fr-CH"/>
        </w:rPr>
        <w:t>nombre</w:t>
      </w:r>
      <w:r w:rsidRPr="0071782F">
        <w:rPr>
          <w:lang w:val="fr-CH"/>
        </w:rPr>
        <w:t xml:space="preserve"> </w:t>
      </w:r>
      <w:r w:rsidR="00B0377D" w:rsidRPr="0071782F">
        <w:rPr>
          <w:lang w:val="fr-CH"/>
        </w:rPr>
        <w:t xml:space="preserve">d’élèves inscrits dans des établissements à but non lucratif a doublé, passant de </w:t>
      </w:r>
      <w:r w:rsidRPr="0071782F">
        <w:rPr>
          <w:lang w:val="fr-CH"/>
        </w:rPr>
        <w:t>620</w:t>
      </w:r>
      <w:r w:rsidR="00816714">
        <w:rPr>
          <w:lang w:val="fr-CH"/>
        </w:rPr>
        <w:t> </w:t>
      </w:r>
      <w:r w:rsidRPr="0071782F">
        <w:rPr>
          <w:lang w:val="fr-CH"/>
        </w:rPr>
        <w:t xml:space="preserve">068 </w:t>
      </w:r>
      <w:r w:rsidR="00B0377D" w:rsidRPr="0071782F">
        <w:rPr>
          <w:lang w:val="fr-CH"/>
        </w:rPr>
        <w:t xml:space="preserve">à </w:t>
      </w:r>
      <w:r w:rsidRPr="0071782F">
        <w:rPr>
          <w:lang w:val="fr-CH"/>
        </w:rPr>
        <w:t>1</w:t>
      </w:r>
      <w:r w:rsidR="00B0377D" w:rsidRPr="0071782F">
        <w:rPr>
          <w:lang w:val="fr-CH"/>
        </w:rPr>
        <w:t> </w:t>
      </w:r>
      <w:r w:rsidRPr="0071782F">
        <w:rPr>
          <w:lang w:val="fr-CH"/>
        </w:rPr>
        <w:t>086</w:t>
      </w:r>
      <w:r w:rsidR="00816714">
        <w:rPr>
          <w:lang w:val="fr-CH"/>
        </w:rPr>
        <w:t> </w:t>
      </w:r>
      <w:r w:rsidRPr="0071782F">
        <w:rPr>
          <w:lang w:val="fr-CH"/>
        </w:rPr>
        <w:t>361.</w:t>
      </w:r>
    </w:p>
    <w:p w:rsidR="00333944" w:rsidRPr="0071782F" w:rsidRDefault="00333944" w:rsidP="00333944">
      <w:pPr>
        <w:pStyle w:val="H4G"/>
        <w:rPr>
          <w:lang w:val="fr-CH"/>
        </w:rPr>
      </w:pPr>
      <w:r w:rsidRPr="0071782F">
        <w:rPr>
          <w:lang w:val="fr-CH"/>
        </w:rPr>
        <w:tab/>
      </w:r>
      <w:r w:rsidRPr="0071782F">
        <w:rPr>
          <w:lang w:val="fr-CH"/>
        </w:rPr>
        <w:tab/>
      </w:r>
      <w:r w:rsidR="00B0377D" w:rsidRPr="0071782F">
        <w:rPr>
          <w:lang w:val="fr-CH"/>
        </w:rPr>
        <w:t xml:space="preserve">Établissements </w:t>
      </w:r>
    </w:p>
    <w:p w:rsidR="00333944" w:rsidRPr="0071782F" w:rsidRDefault="00333944" w:rsidP="00333944">
      <w:pPr>
        <w:pStyle w:val="SingleTxtG"/>
        <w:rPr>
          <w:lang w:val="fr-CH"/>
        </w:rPr>
      </w:pPr>
      <w:r w:rsidRPr="0071782F">
        <w:rPr>
          <w:lang w:val="fr-CH"/>
        </w:rPr>
        <w:t>365.</w:t>
      </w:r>
      <w:r w:rsidRPr="0071782F">
        <w:rPr>
          <w:lang w:val="fr-CH"/>
        </w:rPr>
        <w:tab/>
      </w:r>
      <w:r w:rsidR="00B0377D" w:rsidRPr="0071782F">
        <w:rPr>
          <w:lang w:val="fr-CH"/>
        </w:rPr>
        <w:t>Il convient notamment de signaler ce qui suit</w:t>
      </w:r>
      <w:r w:rsidR="008F7D33" w:rsidRPr="0071782F">
        <w:rPr>
          <w:lang w:val="fr-CH"/>
        </w:rPr>
        <w:t>:</w:t>
      </w:r>
    </w:p>
    <w:p w:rsidR="00333944" w:rsidRPr="0071782F" w:rsidRDefault="00333944" w:rsidP="00BE665C">
      <w:pPr>
        <w:pStyle w:val="SingleTxtG"/>
        <w:ind w:left="1701"/>
        <w:rPr>
          <w:lang w:val="fr-CH"/>
        </w:rPr>
      </w:pPr>
      <w:r w:rsidRPr="0071782F">
        <w:rPr>
          <w:lang w:val="fr-CH"/>
        </w:rPr>
        <w:t>365.1</w:t>
      </w:r>
      <w:r w:rsidR="00BE665C" w:rsidRPr="0071782F">
        <w:rPr>
          <w:lang w:val="fr-CH"/>
        </w:rPr>
        <w:t>.</w:t>
      </w:r>
      <w:r w:rsidRPr="0071782F">
        <w:rPr>
          <w:lang w:val="fr-CH"/>
        </w:rPr>
        <w:tab/>
      </w:r>
      <w:r w:rsidR="00B0377D" w:rsidRPr="0071782F">
        <w:rPr>
          <w:lang w:val="fr-CH"/>
        </w:rPr>
        <w:t xml:space="preserve">Le </w:t>
      </w:r>
      <w:r w:rsidR="003B48A4" w:rsidRPr="0071782F">
        <w:rPr>
          <w:lang w:val="fr-CH"/>
        </w:rPr>
        <w:t>nombre</w:t>
      </w:r>
      <w:r w:rsidRPr="0071782F">
        <w:rPr>
          <w:lang w:val="fr-CH"/>
        </w:rPr>
        <w:t xml:space="preserve"> </w:t>
      </w:r>
      <w:r w:rsidR="002742BA" w:rsidRPr="0071782F">
        <w:rPr>
          <w:lang w:val="fr-CH"/>
        </w:rPr>
        <w:t>d’ét</w:t>
      </w:r>
      <w:r w:rsidR="00B0377D" w:rsidRPr="0071782F">
        <w:rPr>
          <w:lang w:val="fr-CH"/>
        </w:rPr>
        <w:t xml:space="preserve">ablissements a presque triplé, passant de </w:t>
      </w:r>
      <w:r w:rsidRPr="0071782F">
        <w:rPr>
          <w:lang w:val="fr-CH"/>
        </w:rPr>
        <w:t>53</w:t>
      </w:r>
      <w:r w:rsidR="00816714">
        <w:rPr>
          <w:lang w:val="fr-CH"/>
        </w:rPr>
        <w:t> </w:t>
      </w:r>
      <w:r w:rsidRPr="0071782F">
        <w:rPr>
          <w:lang w:val="fr-CH"/>
        </w:rPr>
        <w:t xml:space="preserve">885 </w:t>
      </w:r>
      <w:r w:rsidR="00B0377D" w:rsidRPr="0071782F">
        <w:rPr>
          <w:lang w:val="fr-CH"/>
        </w:rPr>
        <w:t>à</w:t>
      </w:r>
      <w:r w:rsidRPr="0071782F">
        <w:rPr>
          <w:lang w:val="fr-CH"/>
        </w:rPr>
        <w:t xml:space="preserve"> 146</w:t>
      </w:r>
      <w:r w:rsidR="00816714">
        <w:rPr>
          <w:lang w:val="fr-CH"/>
        </w:rPr>
        <w:t> </w:t>
      </w:r>
      <w:r w:rsidRPr="0071782F">
        <w:rPr>
          <w:lang w:val="fr-CH"/>
        </w:rPr>
        <w:t>213.</w:t>
      </w:r>
    </w:p>
    <w:p w:rsidR="00333944" w:rsidRPr="0071782F" w:rsidRDefault="00333944" w:rsidP="00BE665C">
      <w:pPr>
        <w:pStyle w:val="SingleTxtG"/>
        <w:ind w:left="1701"/>
        <w:rPr>
          <w:lang w:val="fr-CH"/>
        </w:rPr>
      </w:pPr>
      <w:r w:rsidRPr="0071782F">
        <w:rPr>
          <w:lang w:val="fr-CH"/>
        </w:rPr>
        <w:t>365.2</w:t>
      </w:r>
      <w:r w:rsidR="00BE665C" w:rsidRPr="0071782F">
        <w:rPr>
          <w:lang w:val="fr-CH"/>
        </w:rPr>
        <w:t>.</w:t>
      </w:r>
      <w:r w:rsidRPr="0071782F">
        <w:rPr>
          <w:lang w:val="fr-CH"/>
        </w:rPr>
        <w:tab/>
      </w:r>
      <w:r w:rsidR="00B0377D" w:rsidRPr="0071782F">
        <w:rPr>
          <w:lang w:val="fr-CH"/>
        </w:rPr>
        <w:t xml:space="preserve">Le </w:t>
      </w:r>
      <w:r w:rsidR="003B48A4" w:rsidRPr="0071782F">
        <w:rPr>
          <w:lang w:val="fr-CH"/>
        </w:rPr>
        <w:t>nombre</w:t>
      </w:r>
      <w:r w:rsidRPr="0071782F">
        <w:rPr>
          <w:lang w:val="fr-CH"/>
        </w:rPr>
        <w:t xml:space="preserve"> </w:t>
      </w:r>
      <w:r w:rsidR="00B0377D" w:rsidRPr="0071782F">
        <w:rPr>
          <w:lang w:val="fr-CH"/>
        </w:rPr>
        <w:t xml:space="preserve">d’établissements préscolaires a été multiplié par six, passant de </w:t>
      </w:r>
      <w:r w:rsidRPr="0071782F">
        <w:rPr>
          <w:lang w:val="fr-CH"/>
        </w:rPr>
        <w:t>3</w:t>
      </w:r>
      <w:r w:rsidR="00311068" w:rsidRPr="0071782F">
        <w:rPr>
          <w:lang w:val="fr-CH"/>
        </w:rPr>
        <w:t> </w:t>
      </w:r>
      <w:r w:rsidRPr="0071782F">
        <w:rPr>
          <w:lang w:val="fr-CH"/>
        </w:rPr>
        <w:t xml:space="preserve">492 </w:t>
      </w:r>
      <w:r w:rsidR="00B0377D" w:rsidRPr="0071782F">
        <w:rPr>
          <w:lang w:val="fr-CH"/>
        </w:rPr>
        <w:t>à</w:t>
      </w:r>
      <w:r w:rsidRPr="0071782F">
        <w:rPr>
          <w:lang w:val="fr-CH"/>
        </w:rPr>
        <w:t xml:space="preserve"> 18</w:t>
      </w:r>
      <w:r w:rsidR="00816714">
        <w:rPr>
          <w:lang w:val="fr-CH"/>
        </w:rPr>
        <w:t> </w:t>
      </w:r>
      <w:r w:rsidRPr="0071782F">
        <w:rPr>
          <w:lang w:val="fr-CH"/>
        </w:rPr>
        <w:t>950.</w:t>
      </w:r>
    </w:p>
    <w:p w:rsidR="00333944" w:rsidRPr="0071782F" w:rsidRDefault="00333944" w:rsidP="00BE665C">
      <w:pPr>
        <w:pStyle w:val="SingleTxtG"/>
        <w:ind w:left="1701"/>
        <w:rPr>
          <w:lang w:val="fr-CH"/>
        </w:rPr>
      </w:pPr>
      <w:r w:rsidRPr="0071782F">
        <w:rPr>
          <w:lang w:val="fr-CH"/>
        </w:rPr>
        <w:t>365.3</w:t>
      </w:r>
      <w:r w:rsidR="00BE665C" w:rsidRPr="0071782F">
        <w:rPr>
          <w:lang w:val="fr-CH"/>
        </w:rPr>
        <w:t>.</w:t>
      </w:r>
      <w:r w:rsidRPr="0071782F">
        <w:rPr>
          <w:lang w:val="fr-CH"/>
        </w:rPr>
        <w:tab/>
      </w:r>
      <w:r w:rsidR="00B0377D" w:rsidRPr="0071782F">
        <w:rPr>
          <w:lang w:val="fr-CH"/>
        </w:rPr>
        <w:t>Le nombre d’écoles primaires a été multiplié par 1,5, passant de 40</w:t>
      </w:r>
      <w:r w:rsidR="00816714">
        <w:rPr>
          <w:lang w:val="fr-CH"/>
        </w:rPr>
        <w:t> </w:t>
      </w:r>
      <w:r w:rsidRPr="0071782F">
        <w:rPr>
          <w:lang w:val="fr-CH"/>
        </w:rPr>
        <w:t xml:space="preserve">197 </w:t>
      </w:r>
      <w:r w:rsidR="00B0377D" w:rsidRPr="0071782F">
        <w:rPr>
          <w:lang w:val="fr-CH"/>
        </w:rPr>
        <w:t>à</w:t>
      </w:r>
      <w:r w:rsidRPr="0071782F">
        <w:rPr>
          <w:lang w:val="fr-CH"/>
        </w:rPr>
        <w:t xml:space="preserve"> 62</w:t>
      </w:r>
      <w:r w:rsidR="00311068" w:rsidRPr="0071782F">
        <w:rPr>
          <w:lang w:val="fr-CH"/>
        </w:rPr>
        <w:t> </w:t>
      </w:r>
      <w:r w:rsidRPr="0071782F">
        <w:rPr>
          <w:lang w:val="fr-CH"/>
        </w:rPr>
        <w:t>699.</w:t>
      </w:r>
    </w:p>
    <w:p w:rsidR="00333944" w:rsidRPr="0071782F" w:rsidRDefault="00333944" w:rsidP="00BE665C">
      <w:pPr>
        <w:pStyle w:val="SingleTxtG"/>
        <w:ind w:left="1701"/>
        <w:rPr>
          <w:lang w:val="fr-CH"/>
        </w:rPr>
      </w:pPr>
      <w:r w:rsidRPr="0071782F">
        <w:rPr>
          <w:lang w:val="fr-CH"/>
        </w:rPr>
        <w:t>365.4</w:t>
      </w:r>
      <w:r w:rsidR="00BE665C" w:rsidRPr="0071782F">
        <w:rPr>
          <w:lang w:val="fr-CH"/>
        </w:rPr>
        <w:t>.</w:t>
      </w:r>
      <w:r w:rsidRPr="0071782F">
        <w:rPr>
          <w:lang w:val="fr-CH"/>
        </w:rPr>
        <w:tab/>
      </w:r>
      <w:r w:rsidR="00B0377D" w:rsidRPr="0071782F">
        <w:rPr>
          <w:lang w:val="fr-CH"/>
        </w:rPr>
        <w:t xml:space="preserve">Le nombre d’établissements du premier cycle du secondaire a été multiplié par six, passant de </w:t>
      </w:r>
      <w:r w:rsidRPr="0071782F">
        <w:rPr>
          <w:lang w:val="fr-CH"/>
        </w:rPr>
        <w:t>5</w:t>
      </w:r>
      <w:r w:rsidR="00816714">
        <w:rPr>
          <w:lang w:val="fr-CH"/>
        </w:rPr>
        <w:t> </w:t>
      </w:r>
      <w:r w:rsidRPr="0071782F">
        <w:rPr>
          <w:lang w:val="fr-CH"/>
        </w:rPr>
        <w:t xml:space="preserve">721 </w:t>
      </w:r>
      <w:r w:rsidR="00B0377D" w:rsidRPr="0071782F">
        <w:rPr>
          <w:lang w:val="fr-CH"/>
        </w:rPr>
        <w:t>à</w:t>
      </w:r>
      <w:r w:rsidRPr="0071782F">
        <w:rPr>
          <w:lang w:val="fr-CH"/>
        </w:rPr>
        <w:t xml:space="preserve"> 30</w:t>
      </w:r>
      <w:r w:rsidR="00816714">
        <w:rPr>
          <w:lang w:val="fr-CH"/>
        </w:rPr>
        <w:t> </w:t>
      </w:r>
      <w:r w:rsidRPr="0071782F">
        <w:rPr>
          <w:lang w:val="fr-CH"/>
        </w:rPr>
        <w:t>699.</w:t>
      </w:r>
    </w:p>
    <w:p w:rsidR="00333944" w:rsidRPr="0071782F" w:rsidRDefault="00333944" w:rsidP="00BE665C">
      <w:pPr>
        <w:pStyle w:val="SingleTxtG"/>
        <w:ind w:left="1701"/>
        <w:rPr>
          <w:lang w:val="fr-CH"/>
        </w:rPr>
      </w:pPr>
      <w:r w:rsidRPr="0071782F">
        <w:rPr>
          <w:lang w:val="fr-CH"/>
        </w:rPr>
        <w:t>365.5</w:t>
      </w:r>
      <w:r w:rsidR="00BE665C" w:rsidRPr="0071782F">
        <w:rPr>
          <w:lang w:val="fr-CH"/>
        </w:rPr>
        <w:t>.</w:t>
      </w:r>
      <w:r w:rsidRPr="0071782F">
        <w:rPr>
          <w:lang w:val="fr-CH"/>
        </w:rPr>
        <w:tab/>
      </w:r>
      <w:r w:rsidR="00B0377D" w:rsidRPr="0071782F">
        <w:rPr>
          <w:lang w:val="fr-CH"/>
        </w:rPr>
        <w:t xml:space="preserve">Le nombre d’établissements du second cycle du secondaire a été multiplié par </w:t>
      </w:r>
      <w:r w:rsidRPr="0071782F">
        <w:rPr>
          <w:lang w:val="fr-CH"/>
        </w:rPr>
        <w:t xml:space="preserve">11, </w:t>
      </w:r>
      <w:r w:rsidR="00B0377D" w:rsidRPr="0071782F">
        <w:rPr>
          <w:lang w:val="fr-CH"/>
        </w:rPr>
        <w:t xml:space="preserve">passant de </w:t>
      </w:r>
      <w:r w:rsidRPr="0071782F">
        <w:rPr>
          <w:lang w:val="fr-CH"/>
        </w:rPr>
        <w:t>2</w:t>
      </w:r>
      <w:r w:rsidR="00816714">
        <w:rPr>
          <w:lang w:val="fr-CH"/>
        </w:rPr>
        <w:t> </w:t>
      </w:r>
      <w:r w:rsidRPr="0071782F">
        <w:rPr>
          <w:lang w:val="fr-CH"/>
        </w:rPr>
        <w:t xml:space="preserve">650 </w:t>
      </w:r>
      <w:r w:rsidR="00B0377D" w:rsidRPr="0071782F">
        <w:rPr>
          <w:lang w:val="fr-CH"/>
        </w:rPr>
        <w:t>à</w:t>
      </w:r>
      <w:r w:rsidRPr="0071782F">
        <w:rPr>
          <w:lang w:val="fr-CH"/>
        </w:rPr>
        <w:t xml:space="preserve"> 23</w:t>
      </w:r>
      <w:r w:rsidR="00B0377D" w:rsidRPr="0071782F">
        <w:rPr>
          <w:lang w:val="fr-CH"/>
        </w:rPr>
        <w:t xml:space="preserve"> 434; ce chiffre comprend les établissements d’enseignement </w:t>
      </w:r>
      <w:r w:rsidRPr="0071782F">
        <w:rPr>
          <w:lang w:val="fr-CH"/>
        </w:rPr>
        <w:t>pr</w:t>
      </w:r>
      <w:r w:rsidR="00B0377D" w:rsidRPr="0071782F">
        <w:rPr>
          <w:lang w:val="fr-CH"/>
        </w:rPr>
        <w:t>é</w:t>
      </w:r>
      <w:r w:rsidRPr="0071782F">
        <w:rPr>
          <w:lang w:val="fr-CH"/>
        </w:rPr>
        <w:t>universit</w:t>
      </w:r>
      <w:r w:rsidR="00B0377D" w:rsidRPr="0071782F">
        <w:rPr>
          <w:lang w:val="fr-CH"/>
        </w:rPr>
        <w:t>aire</w:t>
      </w:r>
      <w:r w:rsidRPr="0071782F">
        <w:rPr>
          <w:lang w:val="fr-CH"/>
        </w:rPr>
        <w:t>.</w:t>
      </w:r>
    </w:p>
    <w:p w:rsidR="00333944" w:rsidRPr="0071782F" w:rsidRDefault="00333944" w:rsidP="00BE665C">
      <w:pPr>
        <w:pStyle w:val="SingleTxtG"/>
        <w:ind w:left="1701"/>
        <w:rPr>
          <w:lang w:val="fr-CH"/>
        </w:rPr>
      </w:pPr>
      <w:r w:rsidRPr="0071782F">
        <w:rPr>
          <w:lang w:val="fr-CH"/>
        </w:rPr>
        <w:t>365.6</w:t>
      </w:r>
      <w:r w:rsidR="00BE665C" w:rsidRPr="0071782F">
        <w:rPr>
          <w:lang w:val="fr-CH"/>
        </w:rPr>
        <w:t>.</w:t>
      </w:r>
      <w:r w:rsidRPr="0071782F">
        <w:rPr>
          <w:lang w:val="fr-CH"/>
        </w:rPr>
        <w:tab/>
      </w:r>
      <w:r w:rsidR="00B0377D" w:rsidRPr="0071782F">
        <w:rPr>
          <w:lang w:val="fr-CH"/>
        </w:rPr>
        <w:t xml:space="preserve">Le </w:t>
      </w:r>
      <w:r w:rsidR="003B48A4" w:rsidRPr="0071782F">
        <w:rPr>
          <w:lang w:val="fr-CH"/>
        </w:rPr>
        <w:t>nombre</w:t>
      </w:r>
      <w:r w:rsidRPr="0071782F">
        <w:rPr>
          <w:lang w:val="fr-CH"/>
        </w:rPr>
        <w:t xml:space="preserve"> </w:t>
      </w:r>
      <w:r w:rsidR="002742BA" w:rsidRPr="0071782F">
        <w:rPr>
          <w:lang w:val="fr-CH"/>
        </w:rPr>
        <w:t>d’éta</w:t>
      </w:r>
      <w:r w:rsidR="00B0377D" w:rsidRPr="0071782F">
        <w:rPr>
          <w:lang w:val="fr-CH"/>
        </w:rPr>
        <w:t xml:space="preserve">blissements à but non lucratif a été multiplié par neuf, passant </w:t>
      </w:r>
      <w:r w:rsidRPr="0071782F">
        <w:rPr>
          <w:lang w:val="fr-CH"/>
        </w:rPr>
        <w:t>1</w:t>
      </w:r>
      <w:r w:rsidR="00816714">
        <w:rPr>
          <w:lang w:val="fr-CH"/>
        </w:rPr>
        <w:t> </w:t>
      </w:r>
      <w:r w:rsidRPr="0071782F">
        <w:rPr>
          <w:lang w:val="fr-CH"/>
        </w:rPr>
        <w:t xml:space="preserve">537 </w:t>
      </w:r>
      <w:r w:rsidR="00B0377D" w:rsidRPr="0071782F">
        <w:rPr>
          <w:lang w:val="fr-CH"/>
        </w:rPr>
        <w:t>à</w:t>
      </w:r>
      <w:r w:rsidRPr="0071782F">
        <w:rPr>
          <w:lang w:val="fr-CH"/>
        </w:rPr>
        <w:t xml:space="preserve"> 15</w:t>
      </w:r>
      <w:r w:rsidR="00816714">
        <w:rPr>
          <w:lang w:val="fr-CH"/>
        </w:rPr>
        <w:t> </w:t>
      </w:r>
      <w:r w:rsidRPr="0071782F">
        <w:rPr>
          <w:lang w:val="fr-CH"/>
        </w:rPr>
        <w:t>807.</w:t>
      </w:r>
    </w:p>
    <w:p w:rsidR="00333944" w:rsidRPr="0071782F" w:rsidRDefault="00333944" w:rsidP="00BE665C">
      <w:pPr>
        <w:pStyle w:val="SingleTxtG"/>
        <w:ind w:left="1701"/>
        <w:rPr>
          <w:lang w:val="fr-CH"/>
        </w:rPr>
      </w:pPr>
      <w:r w:rsidRPr="0071782F">
        <w:rPr>
          <w:lang w:val="fr-CH"/>
        </w:rPr>
        <w:t>365.7</w:t>
      </w:r>
      <w:r w:rsidR="00BE665C" w:rsidRPr="0071782F">
        <w:rPr>
          <w:lang w:val="fr-CH"/>
        </w:rPr>
        <w:t>.</w:t>
      </w:r>
      <w:r w:rsidRPr="0071782F">
        <w:rPr>
          <w:lang w:val="fr-CH"/>
        </w:rPr>
        <w:tab/>
      </w:r>
      <w:r w:rsidR="00B0377D" w:rsidRPr="0071782F">
        <w:rPr>
          <w:lang w:val="fr-CH"/>
        </w:rPr>
        <w:t>Le</w:t>
      </w:r>
      <w:r w:rsidRPr="0071782F">
        <w:rPr>
          <w:lang w:val="fr-CH"/>
        </w:rPr>
        <w:t xml:space="preserve"> </w:t>
      </w:r>
      <w:r w:rsidR="003B48A4" w:rsidRPr="0071782F">
        <w:rPr>
          <w:lang w:val="fr-CH"/>
        </w:rPr>
        <w:t>nombre</w:t>
      </w:r>
      <w:r w:rsidRPr="0071782F">
        <w:rPr>
          <w:lang w:val="fr-CH"/>
        </w:rPr>
        <w:t xml:space="preserve"> </w:t>
      </w:r>
      <w:r w:rsidR="00B0377D" w:rsidRPr="0071782F">
        <w:rPr>
          <w:lang w:val="fr-CH"/>
        </w:rPr>
        <w:t>d’écoles ouvertes 24</w:t>
      </w:r>
      <w:r w:rsidR="00BF435F" w:rsidRPr="0071782F">
        <w:rPr>
          <w:lang w:val="fr-CH"/>
        </w:rPr>
        <w:t> heures</w:t>
      </w:r>
      <w:r w:rsidR="00B0377D" w:rsidRPr="0071782F">
        <w:rPr>
          <w:lang w:val="fr-CH"/>
        </w:rPr>
        <w:t xml:space="preserve"> sur 24 a été multiplié par 50, passant</w:t>
      </w:r>
      <w:r w:rsidR="00D36718">
        <w:rPr>
          <w:lang w:val="fr-CH"/>
        </w:rPr>
        <w:t xml:space="preserve"> </w:t>
      </w:r>
      <w:r w:rsidRPr="0071782F">
        <w:rPr>
          <w:lang w:val="fr-CH"/>
        </w:rPr>
        <w:t xml:space="preserve">65 </w:t>
      </w:r>
      <w:r w:rsidR="00B0377D" w:rsidRPr="0071782F">
        <w:rPr>
          <w:lang w:val="fr-CH"/>
        </w:rPr>
        <w:t>à</w:t>
      </w:r>
      <w:r w:rsidRPr="0071782F">
        <w:rPr>
          <w:lang w:val="fr-CH"/>
        </w:rPr>
        <w:t xml:space="preserve"> 3</w:t>
      </w:r>
      <w:r w:rsidR="00B0377D" w:rsidRPr="0071782F">
        <w:rPr>
          <w:lang w:val="fr-CH"/>
        </w:rPr>
        <w:t xml:space="preserve"> </w:t>
      </w:r>
      <w:r w:rsidRPr="0071782F">
        <w:rPr>
          <w:lang w:val="fr-CH"/>
        </w:rPr>
        <w:t>471.</w:t>
      </w:r>
    </w:p>
    <w:p w:rsidR="00333944" w:rsidRPr="0071782F" w:rsidRDefault="00333944" w:rsidP="00BE665C">
      <w:pPr>
        <w:pStyle w:val="SingleTxtG"/>
        <w:ind w:left="1701"/>
        <w:rPr>
          <w:lang w:val="fr-CH"/>
        </w:rPr>
      </w:pPr>
      <w:r w:rsidRPr="0071782F">
        <w:rPr>
          <w:lang w:val="fr-CH"/>
        </w:rPr>
        <w:t>365.8</w:t>
      </w:r>
      <w:r w:rsidR="00BE665C" w:rsidRPr="0071782F">
        <w:rPr>
          <w:lang w:val="fr-CH"/>
        </w:rPr>
        <w:t>.</w:t>
      </w:r>
      <w:r w:rsidRPr="0071782F">
        <w:rPr>
          <w:lang w:val="fr-CH"/>
        </w:rPr>
        <w:tab/>
      </w:r>
      <w:r w:rsidR="000E3AE8" w:rsidRPr="0071782F">
        <w:rPr>
          <w:lang w:val="fr-CH"/>
        </w:rPr>
        <w:t xml:space="preserve">Dans la période prérévolutionnaire, des écoles publiques modèles ont été créées conformément à la politique tendant à privilégier les élèves doués vivant dans les zones défavorisées. Pendant l’année scolaire </w:t>
      </w:r>
      <w:r w:rsidRPr="0071782F">
        <w:rPr>
          <w:lang w:val="fr-CH"/>
        </w:rPr>
        <w:t>2007</w:t>
      </w:r>
      <w:r w:rsidR="000E3AE8" w:rsidRPr="0071782F">
        <w:rPr>
          <w:lang w:val="fr-CH"/>
        </w:rPr>
        <w:t>-</w:t>
      </w:r>
      <w:r w:rsidRPr="0071782F">
        <w:rPr>
          <w:lang w:val="fr-CH"/>
        </w:rPr>
        <w:t xml:space="preserve">2008, </w:t>
      </w:r>
      <w:r w:rsidR="000E3AE8" w:rsidRPr="0071782F">
        <w:rPr>
          <w:lang w:val="fr-CH"/>
        </w:rPr>
        <w:t xml:space="preserve">le </w:t>
      </w:r>
      <w:r w:rsidR="003B48A4" w:rsidRPr="0071782F">
        <w:rPr>
          <w:lang w:val="fr-CH"/>
        </w:rPr>
        <w:t>nombre</w:t>
      </w:r>
      <w:r w:rsidRPr="0071782F">
        <w:rPr>
          <w:lang w:val="fr-CH"/>
        </w:rPr>
        <w:t xml:space="preserve"> </w:t>
      </w:r>
      <w:r w:rsidR="000E3AE8" w:rsidRPr="0071782F">
        <w:rPr>
          <w:lang w:val="fr-CH"/>
        </w:rPr>
        <w:t xml:space="preserve">de ces écoles est passé à </w:t>
      </w:r>
      <w:r w:rsidRPr="0071782F">
        <w:rPr>
          <w:lang w:val="fr-CH"/>
        </w:rPr>
        <w:t>1</w:t>
      </w:r>
      <w:r w:rsidR="000E3AE8" w:rsidRPr="0071782F">
        <w:rPr>
          <w:lang w:val="fr-CH"/>
        </w:rPr>
        <w:t xml:space="preserve"> </w:t>
      </w:r>
      <w:r w:rsidRPr="0071782F">
        <w:rPr>
          <w:lang w:val="fr-CH"/>
        </w:rPr>
        <w:t xml:space="preserve">056. </w:t>
      </w:r>
    </w:p>
    <w:p w:rsidR="00333944" w:rsidRPr="0071782F" w:rsidRDefault="00333944" w:rsidP="00BE665C">
      <w:pPr>
        <w:pStyle w:val="SingleTxtG"/>
        <w:ind w:left="1701"/>
        <w:rPr>
          <w:lang w:val="fr-CH"/>
        </w:rPr>
      </w:pPr>
      <w:r w:rsidRPr="0071782F">
        <w:rPr>
          <w:lang w:val="fr-CH"/>
        </w:rPr>
        <w:t>365.9</w:t>
      </w:r>
      <w:r w:rsidR="00BE665C" w:rsidRPr="0071782F">
        <w:rPr>
          <w:lang w:val="fr-CH"/>
        </w:rPr>
        <w:t>.</w:t>
      </w:r>
      <w:r w:rsidRPr="0071782F">
        <w:rPr>
          <w:lang w:val="fr-CH"/>
        </w:rPr>
        <w:tab/>
      </w:r>
      <w:r w:rsidR="000E3AE8" w:rsidRPr="0071782F">
        <w:rPr>
          <w:lang w:val="fr-CH"/>
        </w:rPr>
        <w:t>Au début de la Révolution, le pays comptait deux écoles publiques pour élèves à QI élevé</w:t>
      </w:r>
      <w:r w:rsidRPr="0071782F">
        <w:rPr>
          <w:lang w:val="fr-CH"/>
        </w:rPr>
        <w:t xml:space="preserve">. </w:t>
      </w:r>
      <w:r w:rsidR="000E3AE8" w:rsidRPr="0071782F">
        <w:rPr>
          <w:lang w:val="fr-CH"/>
        </w:rPr>
        <w:t xml:space="preserve">Aujourd’hui, il y en a </w:t>
      </w:r>
      <w:r w:rsidRPr="0071782F">
        <w:rPr>
          <w:lang w:val="fr-CH"/>
        </w:rPr>
        <w:t xml:space="preserve">360. </w:t>
      </w:r>
    </w:p>
    <w:p w:rsidR="00333944" w:rsidRPr="0071782F" w:rsidRDefault="00333944" w:rsidP="00BE665C">
      <w:pPr>
        <w:pStyle w:val="SingleTxtG"/>
        <w:ind w:left="1701"/>
        <w:rPr>
          <w:lang w:val="fr-CH"/>
        </w:rPr>
      </w:pPr>
      <w:r w:rsidRPr="0071782F">
        <w:rPr>
          <w:lang w:val="fr-CH"/>
        </w:rPr>
        <w:t>365.10</w:t>
      </w:r>
      <w:r w:rsidR="00BE665C" w:rsidRPr="0071782F">
        <w:rPr>
          <w:lang w:val="fr-CH"/>
        </w:rPr>
        <w:t xml:space="preserve">. </w:t>
      </w:r>
      <w:r w:rsidR="000E3AE8" w:rsidRPr="0071782F">
        <w:rPr>
          <w:lang w:val="fr-CH"/>
        </w:rPr>
        <w:t xml:space="preserve">Le </w:t>
      </w:r>
      <w:r w:rsidR="003B48A4" w:rsidRPr="0071782F">
        <w:rPr>
          <w:lang w:val="fr-CH"/>
        </w:rPr>
        <w:t>nombre</w:t>
      </w:r>
      <w:r w:rsidRPr="0071782F">
        <w:rPr>
          <w:lang w:val="fr-CH"/>
        </w:rPr>
        <w:t xml:space="preserve"> </w:t>
      </w:r>
      <w:r w:rsidR="000E3AE8" w:rsidRPr="0071782F">
        <w:rPr>
          <w:lang w:val="fr-CH"/>
        </w:rPr>
        <w:t xml:space="preserve">des écoles pour enfants ayant des besoins spéciaux a été multiplié par six, passant de </w:t>
      </w:r>
      <w:r w:rsidRPr="0071782F">
        <w:rPr>
          <w:lang w:val="fr-CH"/>
        </w:rPr>
        <w:t xml:space="preserve">237 </w:t>
      </w:r>
      <w:r w:rsidR="000E3AE8" w:rsidRPr="0071782F">
        <w:rPr>
          <w:lang w:val="fr-CH"/>
        </w:rPr>
        <w:t xml:space="preserve">à 1 </w:t>
      </w:r>
      <w:r w:rsidRPr="0071782F">
        <w:rPr>
          <w:lang w:val="fr-CH"/>
        </w:rPr>
        <w:t xml:space="preserve">403. </w:t>
      </w:r>
    </w:p>
    <w:p w:rsidR="00333944" w:rsidRPr="0071782F" w:rsidRDefault="00333944" w:rsidP="00BE665C">
      <w:pPr>
        <w:pStyle w:val="SingleTxtG"/>
        <w:ind w:left="1701"/>
        <w:rPr>
          <w:lang w:val="fr-CH"/>
        </w:rPr>
      </w:pPr>
      <w:r w:rsidRPr="0071782F">
        <w:rPr>
          <w:lang w:val="fr-CH"/>
        </w:rPr>
        <w:t>365.11</w:t>
      </w:r>
      <w:r w:rsidR="00BE665C" w:rsidRPr="0071782F">
        <w:rPr>
          <w:lang w:val="fr-CH"/>
        </w:rPr>
        <w:t xml:space="preserve">. </w:t>
      </w:r>
      <w:r w:rsidR="000E3AE8" w:rsidRPr="0071782F">
        <w:rPr>
          <w:lang w:val="fr-CH"/>
        </w:rPr>
        <w:t xml:space="preserve">Le </w:t>
      </w:r>
      <w:r w:rsidR="003B48A4" w:rsidRPr="0071782F">
        <w:rPr>
          <w:lang w:val="fr-CH"/>
        </w:rPr>
        <w:t>nombre</w:t>
      </w:r>
      <w:r w:rsidRPr="0071782F">
        <w:rPr>
          <w:lang w:val="fr-CH"/>
        </w:rPr>
        <w:t xml:space="preserve"> </w:t>
      </w:r>
      <w:r w:rsidR="000E3AE8" w:rsidRPr="0071782F">
        <w:rPr>
          <w:lang w:val="fr-CH"/>
        </w:rPr>
        <w:t xml:space="preserve">des écoles pour nomades a pratiquement triplé, passant de </w:t>
      </w:r>
      <w:r w:rsidRPr="0071782F">
        <w:rPr>
          <w:lang w:val="fr-CH"/>
        </w:rPr>
        <w:t>1</w:t>
      </w:r>
      <w:r w:rsidR="00311068" w:rsidRPr="0071782F">
        <w:rPr>
          <w:lang w:val="fr-CH"/>
        </w:rPr>
        <w:t> </w:t>
      </w:r>
      <w:r w:rsidRPr="0071782F">
        <w:rPr>
          <w:lang w:val="fr-CH"/>
        </w:rPr>
        <w:t xml:space="preserve">899 </w:t>
      </w:r>
      <w:r w:rsidR="000E3AE8" w:rsidRPr="0071782F">
        <w:rPr>
          <w:lang w:val="fr-CH"/>
        </w:rPr>
        <w:t>à</w:t>
      </w:r>
      <w:r w:rsidRPr="0071782F">
        <w:rPr>
          <w:lang w:val="fr-CH"/>
        </w:rPr>
        <w:t xml:space="preserve"> 5</w:t>
      </w:r>
      <w:r w:rsidR="00816714">
        <w:rPr>
          <w:lang w:val="fr-CH"/>
        </w:rPr>
        <w:t> </w:t>
      </w:r>
      <w:r w:rsidRPr="0071782F">
        <w:rPr>
          <w:lang w:val="fr-CH"/>
        </w:rPr>
        <w:t>884.</w:t>
      </w:r>
    </w:p>
    <w:p w:rsidR="00333944" w:rsidRPr="0071782F" w:rsidRDefault="00333944" w:rsidP="00BE665C">
      <w:pPr>
        <w:pStyle w:val="SingleTxtG"/>
        <w:ind w:left="1701"/>
        <w:rPr>
          <w:lang w:val="fr-CH"/>
        </w:rPr>
      </w:pPr>
      <w:r w:rsidRPr="0071782F">
        <w:rPr>
          <w:lang w:val="fr-CH"/>
        </w:rPr>
        <w:t>365.12</w:t>
      </w:r>
      <w:r w:rsidR="00BE665C" w:rsidRPr="0071782F">
        <w:rPr>
          <w:lang w:val="fr-CH"/>
        </w:rPr>
        <w:t xml:space="preserve">. </w:t>
      </w:r>
      <w:r w:rsidR="000E3AE8" w:rsidRPr="0071782F">
        <w:rPr>
          <w:lang w:val="fr-CH"/>
        </w:rPr>
        <w:t xml:space="preserve">Le </w:t>
      </w:r>
      <w:r w:rsidR="003B48A4" w:rsidRPr="0071782F">
        <w:rPr>
          <w:lang w:val="fr-CH"/>
        </w:rPr>
        <w:t>nombre</w:t>
      </w:r>
      <w:r w:rsidRPr="0071782F">
        <w:rPr>
          <w:lang w:val="fr-CH"/>
        </w:rPr>
        <w:t xml:space="preserve"> </w:t>
      </w:r>
      <w:r w:rsidR="000E3AE8" w:rsidRPr="0071782F">
        <w:rPr>
          <w:lang w:val="fr-CH"/>
        </w:rPr>
        <w:t xml:space="preserve">des écoles techniques </w:t>
      </w:r>
      <w:r w:rsidRPr="0071782F">
        <w:rPr>
          <w:lang w:val="fr-CH"/>
        </w:rPr>
        <w:t>(</w:t>
      </w:r>
      <w:r w:rsidR="000E3AE8" w:rsidRPr="0071782F">
        <w:rPr>
          <w:lang w:val="fr-CH"/>
        </w:rPr>
        <w:t>diplôme continu</w:t>
      </w:r>
      <w:r w:rsidRPr="0071782F">
        <w:rPr>
          <w:lang w:val="fr-CH"/>
        </w:rPr>
        <w:t xml:space="preserve">) </w:t>
      </w:r>
      <w:r w:rsidR="000E3AE8" w:rsidRPr="0071782F">
        <w:rPr>
          <w:lang w:val="fr-CH"/>
        </w:rPr>
        <w:t xml:space="preserve">a été décuplé, passant de </w:t>
      </w:r>
      <w:r w:rsidRPr="0071782F">
        <w:rPr>
          <w:lang w:val="fr-CH"/>
        </w:rPr>
        <w:t xml:space="preserve">15 </w:t>
      </w:r>
      <w:r w:rsidR="000E3AE8" w:rsidRPr="0071782F">
        <w:rPr>
          <w:lang w:val="fr-CH"/>
        </w:rPr>
        <w:t>à</w:t>
      </w:r>
      <w:r w:rsidRPr="0071782F">
        <w:rPr>
          <w:lang w:val="fr-CH"/>
        </w:rPr>
        <w:t xml:space="preserve"> 150.</w:t>
      </w:r>
    </w:p>
    <w:p w:rsidR="00333944" w:rsidRPr="0071782F" w:rsidRDefault="00333944" w:rsidP="00333944">
      <w:pPr>
        <w:pStyle w:val="H4G"/>
        <w:rPr>
          <w:lang w:val="fr-CH"/>
        </w:rPr>
      </w:pPr>
      <w:r w:rsidRPr="0071782F">
        <w:rPr>
          <w:lang w:val="fr-CH"/>
        </w:rPr>
        <w:tab/>
      </w:r>
      <w:r w:rsidRPr="0071782F">
        <w:rPr>
          <w:lang w:val="fr-CH"/>
        </w:rPr>
        <w:tab/>
        <w:t>Employ</w:t>
      </w:r>
      <w:r w:rsidR="000E3AE8" w:rsidRPr="0071782F">
        <w:rPr>
          <w:lang w:val="fr-CH"/>
        </w:rPr>
        <w:t>és</w:t>
      </w:r>
    </w:p>
    <w:p w:rsidR="00333944" w:rsidRPr="0071782F" w:rsidRDefault="00333944" w:rsidP="00333944">
      <w:pPr>
        <w:pStyle w:val="SingleTxtG"/>
        <w:rPr>
          <w:lang w:val="fr-CH"/>
        </w:rPr>
      </w:pPr>
      <w:r w:rsidRPr="0071782F">
        <w:rPr>
          <w:lang w:val="fr-CH"/>
        </w:rPr>
        <w:t>366.</w:t>
      </w:r>
      <w:r w:rsidRPr="0071782F">
        <w:rPr>
          <w:lang w:val="fr-CH"/>
        </w:rPr>
        <w:tab/>
      </w:r>
      <w:r w:rsidR="002742BA" w:rsidRPr="0071782F">
        <w:rPr>
          <w:lang w:val="fr-CH"/>
        </w:rPr>
        <w:t>À ce sujet, il convient de noter ce qui suit</w:t>
      </w:r>
      <w:r w:rsidR="008F7D33" w:rsidRPr="0071782F">
        <w:rPr>
          <w:lang w:val="fr-CH"/>
        </w:rPr>
        <w:t>:</w:t>
      </w:r>
    </w:p>
    <w:p w:rsidR="00333944" w:rsidRPr="0071782F" w:rsidRDefault="00333944" w:rsidP="00BE665C">
      <w:pPr>
        <w:pStyle w:val="SingleTxtG"/>
        <w:ind w:left="1701"/>
        <w:rPr>
          <w:lang w:val="fr-CH"/>
        </w:rPr>
      </w:pPr>
      <w:r w:rsidRPr="0071782F">
        <w:rPr>
          <w:lang w:val="fr-CH"/>
        </w:rPr>
        <w:t>366.1</w:t>
      </w:r>
      <w:r w:rsidR="00A925C7" w:rsidRPr="0071782F">
        <w:rPr>
          <w:lang w:val="fr-CH"/>
        </w:rPr>
        <w:t>.</w:t>
      </w:r>
      <w:r w:rsidRPr="0071782F">
        <w:rPr>
          <w:lang w:val="fr-CH"/>
        </w:rPr>
        <w:tab/>
      </w:r>
      <w:r w:rsidR="000E3AE8" w:rsidRPr="0071782F">
        <w:rPr>
          <w:lang w:val="fr-CH"/>
        </w:rPr>
        <w:t xml:space="preserve">Le </w:t>
      </w:r>
      <w:r w:rsidR="003B48A4" w:rsidRPr="0071782F">
        <w:rPr>
          <w:lang w:val="fr-CH"/>
        </w:rPr>
        <w:t>nombre</w:t>
      </w:r>
      <w:r w:rsidRPr="0071782F">
        <w:rPr>
          <w:lang w:val="fr-CH"/>
        </w:rPr>
        <w:t xml:space="preserve"> </w:t>
      </w:r>
      <w:r w:rsidR="000E3AE8" w:rsidRPr="0071782F">
        <w:rPr>
          <w:lang w:val="fr-CH"/>
        </w:rPr>
        <w:t>total des employés du Ministère de l’éducation a été multiplié par 3,13, passant de 347</w:t>
      </w:r>
      <w:r w:rsidR="00816714">
        <w:rPr>
          <w:lang w:val="fr-CH"/>
        </w:rPr>
        <w:t> </w:t>
      </w:r>
      <w:r w:rsidRPr="0071782F">
        <w:rPr>
          <w:lang w:val="fr-CH"/>
        </w:rPr>
        <w:t xml:space="preserve">984 </w:t>
      </w:r>
      <w:r w:rsidR="000E3AE8" w:rsidRPr="0071782F">
        <w:rPr>
          <w:lang w:val="fr-CH"/>
        </w:rPr>
        <w:t>à</w:t>
      </w:r>
      <w:r w:rsidRPr="0071782F">
        <w:rPr>
          <w:lang w:val="fr-CH"/>
        </w:rPr>
        <w:t xml:space="preserve"> 1</w:t>
      </w:r>
      <w:r w:rsidR="000E3AE8" w:rsidRPr="0071782F">
        <w:rPr>
          <w:lang w:val="fr-CH"/>
        </w:rPr>
        <w:t xml:space="preserve"> 039 </w:t>
      </w:r>
      <w:r w:rsidRPr="0071782F">
        <w:rPr>
          <w:lang w:val="fr-CH"/>
        </w:rPr>
        <w:t>119.</w:t>
      </w:r>
    </w:p>
    <w:p w:rsidR="00333944" w:rsidRPr="0071782F" w:rsidRDefault="00333944" w:rsidP="00136376">
      <w:pPr>
        <w:pStyle w:val="SingleTxtG"/>
        <w:keepNext/>
        <w:keepLines/>
        <w:ind w:left="1701"/>
        <w:rPr>
          <w:lang w:val="fr-CH"/>
        </w:rPr>
      </w:pPr>
      <w:r w:rsidRPr="0071782F">
        <w:rPr>
          <w:lang w:val="fr-CH"/>
        </w:rPr>
        <w:t>366.2</w:t>
      </w:r>
      <w:r w:rsidR="00A925C7" w:rsidRPr="0071782F">
        <w:rPr>
          <w:lang w:val="fr-CH"/>
        </w:rPr>
        <w:t>.</w:t>
      </w:r>
      <w:r w:rsidRPr="0071782F">
        <w:rPr>
          <w:lang w:val="fr-CH"/>
        </w:rPr>
        <w:tab/>
      </w:r>
      <w:r w:rsidR="000E3AE8" w:rsidRPr="0071782F">
        <w:rPr>
          <w:lang w:val="fr-CH"/>
        </w:rPr>
        <w:t xml:space="preserve">La proportion des enseignants et des employés titulaires d’un diplôme de fin d’études secondaires est passé de </w:t>
      </w:r>
      <w:r w:rsidRPr="0071782F">
        <w:rPr>
          <w:lang w:val="fr-CH"/>
        </w:rPr>
        <w:t xml:space="preserve">17 </w:t>
      </w:r>
      <w:r w:rsidR="000E3AE8" w:rsidRPr="0071782F">
        <w:rPr>
          <w:lang w:val="fr-CH"/>
        </w:rPr>
        <w:t>à</w:t>
      </w:r>
      <w:r w:rsidRPr="0071782F">
        <w:rPr>
          <w:lang w:val="fr-CH"/>
        </w:rPr>
        <w:t xml:space="preserve"> 30</w:t>
      </w:r>
      <w:r w:rsidR="000E3AE8" w:rsidRPr="0071782F">
        <w:rPr>
          <w:lang w:val="fr-CH"/>
        </w:rPr>
        <w:t>,</w:t>
      </w:r>
      <w:r w:rsidRPr="0071782F">
        <w:rPr>
          <w:lang w:val="fr-CH"/>
        </w:rPr>
        <w:t>37</w:t>
      </w:r>
      <w:r w:rsidR="007E5125" w:rsidRPr="0071782F">
        <w:rPr>
          <w:lang w:val="fr-CH"/>
        </w:rPr>
        <w:t>%</w:t>
      </w:r>
      <w:r w:rsidRPr="0071782F">
        <w:rPr>
          <w:lang w:val="fr-CH"/>
        </w:rPr>
        <w:t xml:space="preserve">. </w:t>
      </w:r>
    </w:p>
    <w:p w:rsidR="00333944" w:rsidRPr="0071782F" w:rsidRDefault="00333944" w:rsidP="00136376">
      <w:pPr>
        <w:pStyle w:val="SingleTxtG"/>
        <w:keepNext/>
        <w:keepLines/>
        <w:ind w:left="1701"/>
        <w:rPr>
          <w:lang w:val="fr-CH"/>
        </w:rPr>
      </w:pPr>
      <w:r w:rsidRPr="0071782F">
        <w:rPr>
          <w:lang w:val="fr-CH"/>
        </w:rPr>
        <w:t>366.3</w:t>
      </w:r>
      <w:r w:rsidR="00A925C7" w:rsidRPr="0071782F">
        <w:rPr>
          <w:lang w:val="fr-CH"/>
        </w:rPr>
        <w:t>.</w:t>
      </w:r>
      <w:r w:rsidRPr="0071782F">
        <w:rPr>
          <w:lang w:val="fr-CH"/>
        </w:rPr>
        <w:tab/>
      </w:r>
      <w:r w:rsidR="000E3AE8" w:rsidRPr="0071782F">
        <w:rPr>
          <w:lang w:val="fr-CH"/>
        </w:rPr>
        <w:t xml:space="preserve">La proportion des enseignants et des employés titulaires d’un </w:t>
      </w:r>
      <w:r w:rsidR="002742BA" w:rsidRPr="0071782F">
        <w:rPr>
          <w:lang w:val="fr-CH"/>
        </w:rPr>
        <w:t xml:space="preserve">premier </w:t>
      </w:r>
      <w:r w:rsidR="000E3AE8" w:rsidRPr="0071782F">
        <w:rPr>
          <w:lang w:val="fr-CH"/>
        </w:rPr>
        <w:t xml:space="preserve">diplôme </w:t>
      </w:r>
      <w:r w:rsidR="002742BA" w:rsidRPr="0071782F">
        <w:rPr>
          <w:lang w:val="fr-CH"/>
        </w:rPr>
        <w:t xml:space="preserve">universitaire </w:t>
      </w:r>
      <w:r w:rsidR="000E3AE8" w:rsidRPr="0071782F">
        <w:rPr>
          <w:lang w:val="fr-CH"/>
        </w:rPr>
        <w:t xml:space="preserve">ou </w:t>
      </w:r>
      <w:r w:rsidR="002742BA" w:rsidRPr="0071782F">
        <w:rPr>
          <w:lang w:val="fr-CH"/>
        </w:rPr>
        <w:t xml:space="preserve">ayant fait </w:t>
      </w:r>
      <w:r w:rsidR="000E3AE8" w:rsidRPr="0071782F">
        <w:rPr>
          <w:lang w:val="fr-CH"/>
        </w:rPr>
        <w:t xml:space="preserve">des études plus avancées a augmenté de </w:t>
      </w:r>
      <w:r w:rsidRPr="0071782F">
        <w:rPr>
          <w:lang w:val="fr-CH"/>
        </w:rPr>
        <w:t>36</w:t>
      </w:r>
      <w:r w:rsidR="000E3AE8" w:rsidRPr="0071782F">
        <w:rPr>
          <w:lang w:val="fr-CH"/>
        </w:rPr>
        <w:t>,</w:t>
      </w:r>
      <w:r w:rsidRPr="0071782F">
        <w:rPr>
          <w:lang w:val="fr-CH"/>
        </w:rPr>
        <w:t>71</w:t>
      </w:r>
      <w:r w:rsidR="007E5125" w:rsidRPr="0071782F">
        <w:rPr>
          <w:lang w:val="fr-CH"/>
        </w:rPr>
        <w:t>%</w:t>
      </w:r>
      <w:r w:rsidRPr="0071782F">
        <w:rPr>
          <w:lang w:val="fr-CH"/>
        </w:rPr>
        <w:t xml:space="preserve">, </w:t>
      </w:r>
      <w:r w:rsidR="000E3AE8" w:rsidRPr="0071782F">
        <w:rPr>
          <w:lang w:val="fr-CH"/>
        </w:rPr>
        <w:t xml:space="preserve">passant de </w:t>
      </w:r>
      <w:r w:rsidRPr="0071782F">
        <w:rPr>
          <w:lang w:val="fr-CH"/>
        </w:rPr>
        <w:t xml:space="preserve">12 </w:t>
      </w:r>
      <w:r w:rsidR="000E3AE8" w:rsidRPr="0071782F">
        <w:rPr>
          <w:lang w:val="fr-CH"/>
        </w:rPr>
        <w:t>à</w:t>
      </w:r>
      <w:r w:rsidRPr="0071782F">
        <w:rPr>
          <w:lang w:val="fr-CH"/>
        </w:rPr>
        <w:t xml:space="preserve"> 49</w:t>
      </w:r>
      <w:r w:rsidR="000E3AE8" w:rsidRPr="0071782F">
        <w:rPr>
          <w:lang w:val="fr-CH"/>
        </w:rPr>
        <w:t>,</w:t>
      </w:r>
      <w:r w:rsidRPr="0071782F">
        <w:rPr>
          <w:lang w:val="fr-CH"/>
        </w:rPr>
        <w:t>29</w:t>
      </w:r>
      <w:r w:rsidR="007E5125" w:rsidRPr="0071782F">
        <w:rPr>
          <w:lang w:val="fr-CH"/>
        </w:rPr>
        <w:t>%</w:t>
      </w:r>
      <w:r w:rsidRPr="0071782F">
        <w:rPr>
          <w:lang w:val="fr-CH"/>
        </w:rPr>
        <w:t>.</w:t>
      </w:r>
    </w:p>
    <w:p w:rsidR="00333944" w:rsidRPr="0071782F" w:rsidRDefault="00333944" w:rsidP="00136376">
      <w:pPr>
        <w:pStyle w:val="SingleTxtG"/>
        <w:keepNext/>
        <w:keepLines/>
        <w:ind w:left="1701"/>
        <w:rPr>
          <w:lang w:val="fr-CH"/>
        </w:rPr>
      </w:pPr>
      <w:r w:rsidRPr="0071782F">
        <w:rPr>
          <w:lang w:val="fr-CH"/>
        </w:rPr>
        <w:t>366.4</w:t>
      </w:r>
      <w:r w:rsidR="00A925C7" w:rsidRPr="0071782F">
        <w:rPr>
          <w:lang w:val="fr-CH"/>
        </w:rPr>
        <w:t>.</w:t>
      </w:r>
      <w:r w:rsidRPr="0071782F">
        <w:rPr>
          <w:lang w:val="fr-CH"/>
        </w:rPr>
        <w:tab/>
      </w:r>
      <w:r w:rsidR="000E3AE8" w:rsidRPr="0071782F">
        <w:rPr>
          <w:lang w:val="fr-CH"/>
        </w:rPr>
        <w:t xml:space="preserve">La moyenne des années d’études des employés a augmenté de </w:t>
      </w:r>
      <w:r w:rsidRPr="0071782F">
        <w:rPr>
          <w:lang w:val="fr-CH"/>
        </w:rPr>
        <w:t>2</w:t>
      </w:r>
      <w:r w:rsidR="000E3AE8" w:rsidRPr="0071782F">
        <w:rPr>
          <w:lang w:val="fr-CH"/>
        </w:rPr>
        <w:t>,</w:t>
      </w:r>
      <w:r w:rsidRPr="0071782F">
        <w:rPr>
          <w:lang w:val="fr-CH"/>
        </w:rPr>
        <w:t xml:space="preserve">55 </w:t>
      </w:r>
      <w:r w:rsidR="000E3AE8" w:rsidRPr="0071782F">
        <w:rPr>
          <w:lang w:val="fr-CH"/>
        </w:rPr>
        <w:t>années</w:t>
      </w:r>
      <w:r w:rsidRPr="0071782F">
        <w:rPr>
          <w:lang w:val="fr-CH"/>
        </w:rPr>
        <w:t>,</w:t>
      </w:r>
      <w:r w:rsidR="000E3AE8" w:rsidRPr="0071782F">
        <w:rPr>
          <w:lang w:val="fr-CH"/>
        </w:rPr>
        <w:t xml:space="preserve"> passant de </w:t>
      </w:r>
      <w:r w:rsidRPr="0071782F">
        <w:rPr>
          <w:lang w:val="fr-CH"/>
        </w:rPr>
        <w:t>12</w:t>
      </w:r>
      <w:r w:rsidR="000E3AE8" w:rsidRPr="0071782F">
        <w:rPr>
          <w:lang w:val="fr-CH"/>
        </w:rPr>
        <w:t>,</w:t>
      </w:r>
      <w:r w:rsidRPr="0071782F">
        <w:rPr>
          <w:lang w:val="fr-CH"/>
        </w:rPr>
        <w:t xml:space="preserve">2 </w:t>
      </w:r>
      <w:r w:rsidR="000E3AE8" w:rsidRPr="0071782F">
        <w:rPr>
          <w:lang w:val="fr-CH"/>
        </w:rPr>
        <w:t>à</w:t>
      </w:r>
      <w:r w:rsidRPr="0071782F">
        <w:rPr>
          <w:lang w:val="fr-CH"/>
        </w:rPr>
        <w:t xml:space="preserve"> 14</w:t>
      </w:r>
      <w:r w:rsidR="000E3AE8" w:rsidRPr="0071782F">
        <w:rPr>
          <w:lang w:val="fr-CH"/>
        </w:rPr>
        <w:t>,</w:t>
      </w:r>
      <w:r w:rsidRPr="0071782F">
        <w:rPr>
          <w:lang w:val="fr-CH"/>
        </w:rPr>
        <w:t xml:space="preserve">81 </w:t>
      </w:r>
      <w:r w:rsidR="000E3AE8" w:rsidRPr="0071782F">
        <w:rPr>
          <w:lang w:val="fr-CH"/>
        </w:rPr>
        <w:t>années</w:t>
      </w:r>
      <w:r w:rsidRPr="0071782F">
        <w:rPr>
          <w:lang w:val="fr-CH"/>
        </w:rPr>
        <w:t>.</w:t>
      </w:r>
    </w:p>
    <w:p w:rsidR="00333944" w:rsidRPr="0071782F" w:rsidRDefault="00333944" w:rsidP="00333944">
      <w:pPr>
        <w:pStyle w:val="H4G"/>
        <w:rPr>
          <w:lang w:val="fr-CH"/>
        </w:rPr>
      </w:pPr>
      <w:r w:rsidRPr="0071782F">
        <w:rPr>
          <w:lang w:val="fr-CH"/>
        </w:rPr>
        <w:tab/>
      </w:r>
      <w:r w:rsidRPr="0071782F">
        <w:rPr>
          <w:lang w:val="fr-CH"/>
        </w:rPr>
        <w:tab/>
      </w:r>
      <w:r w:rsidR="000E3AE8" w:rsidRPr="0071782F">
        <w:rPr>
          <w:lang w:val="fr-CH"/>
        </w:rPr>
        <w:t xml:space="preserve">Activités périscolaires </w:t>
      </w:r>
    </w:p>
    <w:p w:rsidR="00333944" w:rsidRPr="0071782F" w:rsidRDefault="00333944" w:rsidP="00333944">
      <w:pPr>
        <w:pStyle w:val="SingleTxtG"/>
        <w:rPr>
          <w:lang w:val="fr-CH"/>
        </w:rPr>
      </w:pPr>
      <w:r w:rsidRPr="0071782F">
        <w:rPr>
          <w:lang w:val="fr-CH"/>
        </w:rPr>
        <w:t>367.</w:t>
      </w:r>
      <w:r w:rsidRPr="0071782F">
        <w:rPr>
          <w:lang w:val="fr-CH"/>
        </w:rPr>
        <w:tab/>
      </w:r>
      <w:r w:rsidR="002742BA" w:rsidRPr="0071782F">
        <w:rPr>
          <w:lang w:val="fr-CH"/>
        </w:rPr>
        <w:t>À ce sujet, il convient de noter ce qui suit</w:t>
      </w:r>
      <w:r w:rsidR="008F7D33" w:rsidRPr="0071782F">
        <w:rPr>
          <w:lang w:val="fr-CH"/>
        </w:rPr>
        <w:t>:</w:t>
      </w:r>
    </w:p>
    <w:p w:rsidR="00333944" w:rsidRPr="0071782F" w:rsidRDefault="00333944" w:rsidP="00A925C7">
      <w:pPr>
        <w:pStyle w:val="SingleTxtG"/>
        <w:ind w:left="1701"/>
        <w:rPr>
          <w:lang w:val="fr-CH"/>
        </w:rPr>
      </w:pPr>
      <w:r w:rsidRPr="0071782F">
        <w:rPr>
          <w:lang w:val="fr-CH"/>
        </w:rPr>
        <w:t>367.1</w:t>
      </w:r>
      <w:r w:rsidR="00A925C7" w:rsidRPr="0071782F">
        <w:rPr>
          <w:lang w:val="fr-CH"/>
        </w:rPr>
        <w:t>.</w:t>
      </w:r>
      <w:r w:rsidRPr="0071782F">
        <w:rPr>
          <w:lang w:val="fr-CH"/>
        </w:rPr>
        <w:tab/>
      </w:r>
      <w:r w:rsidR="000E3AE8" w:rsidRPr="0071782F">
        <w:rPr>
          <w:lang w:val="fr-CH"/>
        </w:rPr>
        <w:t xml:space="preserve">Le </w:t>
      </w:r>
      <w:r w:rsidR="003B48A4" w:rsidRPr="0071782F">
        <w:rPr>
          <w:lang w:val="fr-CH"/>
        </w:rPr>
        <w:t>nombre</w:t>
      </w:r>
      <w:r w:rsidRPr="0071782F">
        <w:rPr>
          <w:lang w:val="fr-CH"/>
        </w:rPr>
        <w:t xml:space="preserve"> </w:t>
      </w:r>
      <w:r w:rsidR="000E3AE8" w:rsidRPr="0071782F">
        <w:rPr>
          <w:lang w:val="fr-CH"/>
        </w:rPr>
        <w:t xml:space="preserve">de </w:t>
      </w:r>
      <w:r w:rsidRPr="0071782F">
        <w:rPr>
          <w:lang w:val="fr-CH"/>
        </w:rPr>
        <w:t xml:space="preserve">camps </w:t>
      </w:r>
      <w:r w:rsidR="00351511" w:rsidRPr="0071782F">
        <w:rPr>
          <w:lang w:val="fr-CH"/>
        </w:rPr>
        <w:t xml:space="preserve">d’écoliers </w:t>
      </w:r>
      <w:r w:rsidR="000E3AE8" w:rsidRPr="0071782F">
        <w:rPr>
          <w:lang w:val="fr-CH"/>
        </w:rPr>
        <w:t xml:space="preserve">a été multiplié par </w:t>
      </w:r>
      <w:r w:rsidRPr="0071782F">
        <w:rPr>
          <w:lang w:val="fr-CH"/>
        </w:rPr>
        <w:t>6</w:t>
      </w:r>
      <w:r w:rsidR="000E3AE8" w:rsidRPr="0071782F">
        <w:rPr>
          <w:lang w:val="fr-CH"/>
        </w:rPr>
        <w:t>,</w:t>
      </w:r>
      <w:r w:rsidRPr="0071782F">
        <w:rPr>
          <w:lang w:val="fr-CH"/>
        </w:rPr>
        <w:t xml:space="preserve">11, </w:t>
      </w:r>
      <w:r w:rsidR="000E3AE8" w:rsidRPr="0071782F">
        <w:rPr>
          <w:lang w:val="fr-CH"/>
        </w:rPr>
        <w:t xml:space="preserve">passant de </w:t>
      </w:r>
      <w:r w:rsidRPr="0071782F">
        <w:rPr>
          <w:lang w:val="fr-CH"/>
        </w:rPr>
        <w:t xml:space="preserve">35 </w:t>
      </w:r>
      <w:r w:rsidR="000E3AE8" w:rsidRPr="0071782F">
        <w:rPr>
          <w:lang w:val="fr-CH"/>
        </w:rPr>
        <w:t>à</w:t>
      </w:r>
      <w:r w:rsidRPr="0071782F">
        <w:rPr>
          <w:lang w:val="fr-CH"/>
        </w:rPr>
        <w:t xml:space="preserve"> 214.</w:t>
      </w:r>
    </w:p>
    <w:p w:rsidR="00333944" w:rsidRPr="0071782F" w:rsidRDefault="00333944" w:rsidP="00A925C7">
      <w:pPr>
        <w:pStyle w:val="SingleTxtG"/>
        <w:ind w:left="1701"/>
        <w:rPr>
          <w:lang w:val="fr-CH"/>
        </w:rPr>
      </w:pPr>
      <w:r w:rsidRPr="0071782F">
        <w:rPr>
          <w:lang w:val="fr-CH"/>
        </w:rPr>
        <w:t>367.2</w:t>
      </w:r>
      <w:r w:rsidR="00A925C7" w:rsidRPr="0071782F">
        <w:rPr>
          <w:lang w:val="fr-CH"/>
        </w:rPr>
        <w:t>.</w:t>
      </w:r>
      <w:r w:rsidRPr="0071782F">
        <w:rPr>
          <w:lang w:val="fr-CH"/>
        </w:rPr>
        <w:tab/>
      </w:r>
      <w:r w:rsidR="000E3AE8" w:rsidRPr="0071782F">
        <w:rPr>
          <w:lang w:val="fr-CH"/>
        </w:rPr>
        <w:t xml:space="preserve">Le </w:t>
      </w:r>
      <w:r w:rsidR="003B48A4" w:rsidRPr="0071782F">
        <w:rPr>
          <w:lang w:val="fr-CH"/>
        </w:rPr>
        <w:t>nombre</w:t>
      </w:r>
      <w:r w:rsidRPr="0071782F">
        <w:rPr>
          <w:lang w:val="fr-CH"/>
        </w:rPr>
        <w:t xml:space="preserve"> </w:t>
      </w:r>
      <w:r w:rsidR="000E3AE8" w:rsidRPr="0071782F">
        <w:rPr>
          <w:lang w:val="fr-CH"/>
        </w:rPr>
        <w:t xml:space="preserve">de centres culturels et de développement a été multiplié par </w:t>
      </w:r>
      <w:r w:rsidRPr="0071782F">
        <w:rPr>
          <w:lang w:val="fr-CH"/>
        </w:rPr>
        <w:t>36</w:t>
      </w:r>
      <w:r w:rsidR="000E3AE8" w:rsidRPr="0071782F">
        <w:rPr>
          <w:lang w:val="fr-CH"/>
        </w:rPr>
        <w:t>,</w:t>
      </w:r>
      <w:r w:rsidRPr="0071782F">
        <w:rPr>
          <w:lang w:val="fr-CH"/>
        </w:rPr>
        <w:t xml:space="preserve">3, </w:t>
      </w:r>
      <w:r w:rsidR="000E3AE8" w:rsidRPr="0071782F">
        <w:rPr>
          <w:lang w:val="fr-CH"/>
        </w:rPr>
        <w:t xml:space="preserve">passant de </w:t>
      </w:r>
      <w:r w:rsidRPr="0071782F">
        <w:rPr>
          <w:lang w:val="fr-CH"/>
        </w:rPr>
        <w:t xml:space="preserve">30 </w:t>
      </w:r>
      <w:r w:rsidR="000E3AE8" w:rsidRPr="0071782F">
        <w:rPr>
          <w:lang w:val="fr-CH"/>
        </w:rPr>
        <w:t>à</w:t>
      </w:r>
      <w:r w:rsidRPr="0071782F">
        <w:rPr>
          <w:lang w:val="fr-CH"/>
        </w:rPr>
        <w:t xml:space="preserve"> 1</w:t>
      </w:r>
      <w:r w:rsidR="00311068" w:rsidRPr="0071782F">
        <w:rPr>
          <w:lang w:val="fr-CH"/>
        </w:rPr>
        <w:t> </w:t>
      </w:r>
      <w:r w:rsidRPr="0071782F">
        <w:rPr>
          <w:lang w:val="fr-CH"/>
        </w:rPr>
        <w:t>149.</w:t>
      </w:r>
    </w:p>
    <w:p w:rsidR="00333944" w:rsidRPr="0071782F" w:rsidRDefault="00333944" w:rsidP="00A925C7">
      <w:pPr>
        <w:pStyle w:val="SingleTxtG"/>
        <w:ind w:left="1701"/>
        <w:rPr>
          <w:lang w:val="fr-CH"/>
        </w:rPr>
      </w:pPr>
      <w:r w:rsidRPr="0071782F">
        <w:rPr>
          <w:lang w:val="fr-CH"/>
        </w:rPr>
        <w:t>367.3</w:t>
      </w:r>
      <w:r w:rsidR="00A925C7" w:rsidRPr="0071782F">
        <w:rPr>
          <w:lang w:val="fr-CH"/>
        </w:rPr>
        <w:t>.</w:t>
      </w:r>
      <w:r w:rsidRPr="0071782F">
        <w:rPr>
          <w:lang w:val="fr-CH"/>
        </w:rPr>
        <w:tab/>
      </w:r>
      <w:r w:rsidR="000E3AE8" w:rsidRPr="0071782F">
        <w:rPr>
          <w:lang w:val="fr-CH"/>
        </w:rPr>
        <w:t>Le nombre des centres de développement intellectue</w:t>
      </w:r>
      <w:r w:rsidRPr="0071782F">
        <w:rPr>
          <w:lang w:val="fr-CH"/>
        </w:rPr>
        <w:t xml:space="preserve">l </w:t>
      </w:r>
      <w:r w:rsidR="000E3AE8" w:rsidRPr="0071782F">
        <w:rPr>
          <w:lang w:val="fr-CH"/>
        </w:rPr>
        <w:t xml:space="preserve">des enfants et des </w:t>
      </w:r>
      <w:r w:rsidR="00B13F4B" w:rsidRPr="0071782F">
        <w:rPr>
          <w:lang w:val="fr-CH"/>
        </w:rPr>
        <w:t>adolescents</w:t>
      </w:r>
      <w:r w:rsidRPr="0071782F">
        <w:rPr>
          <w:lang w:val="fr-CH"/>
        </w:rPr>
        <w:t xml:space="preserve">, </w:t>
      </w:r>
      <w:r w:rsidR="000E3AE8" w:rsidRPr="0071782F">
        <w:rPr>
          <w:lang w:val="fr-CH"/>
        </w:rPr>
        <w:t xml:space="preserve">y compris </w:t>
      </w:r>
      <w:r w:rsidR="00A83442">
        <w:rPr>
          <w:lang w:val="fr-CH"/>
        </w:rPr>
        <w:t>les unités</w:t>
      </w:r>
      <w:r w:rsidR="000E3AE8" w:rsidRPr="0071782F">
        <w:rPr>
          <w:lang w:val="fr-CH"/>
        </w:rPr>
        <w:t xml:space="preserve"> mobiles</w:t>
      </w:r>
      <w:r w:rsidRPr="0071782F">
        <w:rPr>
          <w:lang w:val="fr-CH"/>
        </w:rPr>
        <w:t xml:space="preserve">, </w:t>
      </w:r>
      <w:r w:rsidR="000E3AE8" w:rsidRPr="0071782F">
        <w:rPr>
          <w:lang w:val="fr-CH"/>
        </w:rPr>
        <w:t xml:space="preserve">a été multiplié par </w:t>
      </w:r>
      <w:r w:rsidRPr="0071782F">
        <w:rPr>
          <w:lang w:val="fr-CH"/>
        </w:rPr>
        <w:t>3</w:t>
      </w:r>
      <w:r w:rsidR="000E3AE8" w:rsidRPr="0071782F">
        <w:rPr>
          <w:lang w:val="fr-CH"/>
        </w:rPr>
        <w:t>,</w:t>
      </w:r>
      <w:r w:rsidRPr="0071782F">
        <w:rPr>
          <w:lang w:val="fr-CH"/>
        </w:rPr>
        <w:t xml:space="preserve">4, </w:t>
      </w:r>
      <w:r w:rsidR="000E3AE8" w:rsidRPr="0071782F">
        <w:rPr>
          <w:lang w:val="fr-CH"/>
        </w:rPr>
        <w:t xml:space="preserve">passant de </w:t>
      </w:r>
      <w:r w:rsidRPr="0071782F">
        <w:rPr>
          <w:lang w:val="fr-CH"/>
        </w:rPr>
        <w:t xml:space="preserve">193 </w:t>
      </w:r>
      <w:r w:rsidR="000E3AE8" w:rsidRPr="0071782F">
        <w:rPr>
          <w:lang w:val="fr-CH"/>
        </w:rPr>
        <w:t>à</w:t>
      </w:r>
      <w:r w:rsidR="00816714">
        <w:rPr>
          <w:lang w:val="fr-CH"/>
        </w:rPr>
        <w:t> </w:t>
      </w:r>
      <w:r w:rsidRPr="0071782F">
        <w:rPr>
          <w:lang w:val="fr-CH"/>
        </w:rPr>
        <w:t>651.</w:t>
      </w:r>
    </w:p>
    <w:p w:rsidR="00333944" w:rsidRPr="0071782F" w:rsidRDefault="00333944" w:rsidP="00A925C7">
      <w:pPr>
        <w:pStyle w:val="SingleTxtG"/>
        <w:ind w:left="1701"/>
        <w:rPr>
          <w:lang w:val="fr-CH"/>
        </w:rPr>
      </w:pPr>
      <w:r w:rsidRPr="0071782F">
        <w:rPr>
          <w:lang w:val="fr-CH"/>
        </w:rPr>
        <w:t>367.4</w:t>
      </w:r>
      <w:r w:rsidR="00A925C7" w:rsidRPr="0071782F">
        <w:rPr>
          <w:lang w:val="fr-CH"/>
        </w:rPr>
        <w:t>.</w:t>
      </w:r>
      <w:r w:rsidRPr="0071782F">
        <w:rPr>
          <w:lang w:val="fr-CH"/>
        </w:rPr>
        <w:tab/>
      </w:r>
      <w:r w:rsidR="000E3AE8" w:rsidRPr="0071782F">
        <w:rPr>
          <w:lang w:val="fr-CH"/>
        </w:rPr>
        <w:t>Au début de la Révolution, il existait deux types d’</w:t>
      </w:r>
      <w:r w:rsidRPr="0071782F">
        <w:rPr>
          <w:lang w:val="fr-CH"/>
        </w:rPr>
        <w:t xml:space="preserve">associations </w:t>
      </w:r>
      <w:r w:rsidR="000E3AE8" w:rsidRPr="0071782F">
        <w:rPr>
          <w:lang w:val="fr-CH"/>
        </w:rPr>
        <w:t>d’élèves. Aujourd’hui, il en existe 10.</w:t>
      </w:r>
      <w:r w:rsidR="00D36718">
        <w:rPr>
          <w:lang w:val="fr-CH"/>
        </w:rPr>
        <w:t xml:space="preserve"> </w:t>
      </w:r>
    </w:p>
    <w:p w:rsidR="00333944" w:rsidRPr="0071782F" w:rsidRDefault="00333944" w:rsidP="00333944">
      <w:pPr>
        <w:pStyle w:val="H4G"/>
        <w:rPr>
          <w:lang w:val="fr-CH"/>
        </w:rPr>
      </w:pPr>
      <w:r w:rsidRPr="0071782F">
        <w:rPr>
          <w:lang w:val="fr-CH"/>
        </w:rPr>
        <w:tab/>
      </w:r>
      <w:r w:rsidRPr="0071782F">
        <w:rPr>
          <w:lang w:val="fr-CH"/>
        </w:rPr>
        <w:tab/>
      </w:r>
      <w:r w:rsidR="000E3AE8" w:rsidRPr="0071782F">
        <w:rPr>
          <w:lang w:val="fr-CH"/>
        </w:rPr>
        <w:t xml:space="preserve">Budget de fonctionnement et budget de </w:t>
      </w:r>
      <w:r w:rsidRPr="0071782F">
        <w:rPr>
          <w:lang w:val="fr-CH"/>
        </w:rPr>
        <w:t xml:space="preserve">capital </w:t>
      </w:r>
    </w:p>
    <w:p w:rsidR="00333944" w:rsidRPr="0071782F" w:rsidRDefault="00333944" w:rsidP="00333944">
      <w:pPr>
        <w:pStyle w:val="SingleTxtG"/>
        <w:rPr>
          <w:lang w:val="fr-CH"/>
        </w:rPr>
      </w:pPr>
      <w:r w:rsidRPr="0071782F">
        <w:rPr>
          <w:lang w:val="fr-CH"/>
        </w:rPr>
        <w:t>368.</w:t>
      </w:r>
      <w:r w:rsidRPr="0071782F">
        <w:rPr>
          <w:lang w:val="fr-CH"/>
        </w:rPr>
        <w:tab/>
      </w:r>
      <w:r w:rsidR="002742BA" w:rsidRPr="0071782F">
        <w:rPr>
          <w:lang w:val="fr-CH"/>
        </w:rPr>
        <w:t>À ce sujet, il convient de noter ce qui suit</w:t>
      </w:r>
      <w:r w:rsidR="008F7D33" w:rsidRPr="0071782F">
        <w:rPr>
          <w:lang w:val="fr-CH"/>
        </w:rPr>
        <w:t>:</w:t>
      </w:r>
    </w:p>
    <w:p w:rsidR="00333944" w:rsidRPr="0071782F" w:rsidRDefault="00333944" w:rsidP="00A925C7">
      <w:pPr>
        <w:pStyle w:val="SingleTxtG"/>
        <w:ind w:left="1701"/>
        <w:rPr>
          <w:lang w:val="fr-CH"/>
        </w:rPr>
      </w:pPr>
      <w:r w:rsidRPr="0071782F">
        <w:rPr>
          <w:lang w:val="fr-CH"/>
        </w:rPr>
        <w:t>368.1</w:t>
      </w:r>
      <w:r w:rsidR="00A925C7" w:rsidRPr="0071782F">
        <w:rPr>
          <w:lang w:val="fr-CH"/>
        </w:rPr>
        <w:t>.</w:t>
      </w:r>
      <w:r w:rsidRPr="0071782F">
        <w:rPr>
          <w:lang w:val="fr-CH"/>
        </w:rPr>
        <w:tab/>
      </w:r>
      <w:r w:rsidR="000759EF" w:rsidRPr="0071782F">
        <w:rPr>
          <w:lang w:val="fr-CH"/>
        </w:rPr>
        <w:t xml:space="preserve">La part du budget de fonctionnement destinée aux écoles primaires a été ramenée de </w:t>
      </w:r>
      <w:r w:rsidRPr="0071782F">
        <w:rPr>
          <w:lang w:val="fr-CH"/>
        </w:rPr>
        <w:t>41</w:t>
      </w:r>
      <w:r w:rsidR="000759EF" w:rsidRPr="0071782F">
        <w:rPr>
          <w:lang w:val="fr-CH"/>
        </w:rPr>
        <w:t>,</w:t>
      </w:r>
      <w:r w:rsidRPr="0071782F">
        <w:rPr>
          <w:lang w:val="fr-CH"/>
        </w:rPr>
        <w:t xml:space="preserve">79 </w:t>
      </w:r>
      <w:r w:rsidR="000759EF" w:rsidRPr="0071782F">
        <w:rPr>
          <w:lang w:val="fr-CH"/>
        </w:rPr>
        <w:t>à</w:t>
      </w:r>
      <w:r w:rsidRPr="0071782F">
        <w:rPr>
          <w:lang w:val="fr-CH"/>
        </w:rPr>
        <w:t xml:space="preserve"> 29</w:t>
      </w:r>
      <w:r w:rsidR="000759EF" w:rsidRPr="0071782F">
        <w:rPr>
          <w:lang w:val="fr-CH"/>
        </w:rPr>
        <w:t>,</w:t>
      </w:r>
      <w:r w:rsidRPr="0071782F">
        <w:rPr>
          <w:lang w:val="fr-CH"/>
        </w:rPr>
        <w:t>3</w:t>
      </w:r>
      <w:r w:rsidR="007E5125" w:rsidRPr="0071782F">
        <w:rPr>
          <w:lang w:val="fr-CH"/>
        </w:rPr>
        <w:t>%</w:t>
      </w:r>
      <w:r w:rsidRPr="0071782F">
        <w:rPr>
          <w:lang w:val="fr-CH"/>
        </w:rPr>
        <w:t>.</w:t>
      </w:r>
    </w:p>
    <w:p w:rsidR="00333944" w:rsidRPr="0071782F" w:rsidRDefault="00333944" w:rsidP="00A925C7">
      <w:pPr>
        <w:pStyle w:val="SingleTxtG"/>
        <w:ind w:left="1701"/>
        <w:rPr>
          <w:lang w:val="fr-CH"/>
        </w:rPr>
      </w:pPr>
      <w:r w:rsidRPr="0071782F">
        <w:rPr>
          <w:lang w:val="fr-CH"/>
        </w:rPr>
        <w:t>368.2</w:t>
      </w:r>
      <w:r w:rsidR="00A925C7" w:rsidRPr="0071782F">
        <w:rPr>
          <w:lang w:val="fr-CH"/>
        </w:rPr>
        <w:t>.</w:t>
      </w:r>
      <w:r w:rsidRPr="0071782F">
        <w:rPr>
          <w:lang w:val="fr-CH"/>
        </w:rPr>
        <w:tab/>
      </w:r>
      <w:r w:rsidR="000759EF" w:rsidRPr="0071782F">
        <w:rPr>
          <w:lang w:val="fr-CH"/>
        </w:rPr>
        <w:t>La part du budget de fonctionnement destinée aux écoles secondaires du premier cycle</w:t>
      </w:r>
      <w:r w:rsidR="002742BA" w:rsidRPr="0071782F">
        <w:rPr>
          <w:lang w:val="fr-CH"/>
        </w:rPr>
        <w:t>,</w:t>
      </w:r>
      <w:r w:rsidR="000759EF" w:rsidRPr="0071782F">
        <w:rPr>
          <w:lang w:val="fr-CH"/>
        </w:rPr>
        <w:t xml:space="preserve"> en hausse, est passée de </w:t>
      </w:r>
      <w:r w:rsidR="002742BA" w:rsidRPr="0071782F">
        <w:rPr>
          <w:lang w:val="fr-CH"/>
        </w:rPr>
        <w:t>2</w:t>
      </w:r>
      <w:r w:rsidRPr="0071782F">
        <w:rPr>
          <w:lang w:val="fr-CH"/>
        </w:rPr>
        <w:t>0</w:t>
      </w:r>
      <w:r w:rsidR="000759EF" w:rsidRPr="0071782F">
        <w:rPr>
          <w:lang w:val="fr-CH"/>
        </w:rPr>
        <w:t>,</w:t>
      </w:r>
      <w:r w:rsidRPr="0071782F">
        <w:rPr>
          <w:lang w:val="fr-CH"/>
        </w:rPr>
        <w:t xml:space="preserve">59 </w:t>
      </w:r>
      <w:r w:rsidR="000759EF" w:rsidRPr="0071782F">
        <w:rPr>
          <w:lang w:val="fr-CH"/>
        </w:rPr>
        <w:t>à</w:t>
      </w:r>
      <w:r w:rsidRPr="0071782F">
        <w:rPr>
          <w:lang w:val="fr-CH"/>
        </w:rPr>
        <w:t xml:space="preserve"> 22</w:t>
      </w:r>
      <w:r w:rsidR="000759EF" w:rsidRPr="0071782F">
        <w:rPr>
          <w:lang w:val="fr-CH"/>
        </w:rPr>
        <w:t>,</w:t>
      </w:r>
      <w:r w:rsidRPr="0071782F">
        <w:rPr>
          <w:lang w:val="fr-CH"/>
        </w:rPr>
        <w:t>8</w:t>
      </w:r>
      <w:r w:rsidR="007E5125" w:rsidRPr="0071782F">
        <w:rPr>
          <w:lang w:val="fr-CH"/>
        </w:rPr>
        <w:t>%</w:t>
      </w:r>
      <w:r w:rsidRPr="0071782F">
        <w:rPr>
          <w:lang w:val="fr-CH"/>
        </w:rPr>
        <w:t>.</w:t>
      </w:r>
    </w:p>
    <w:p w:rsidR="00333944" w:rsidRPr="0071782F" w:rsidRDefault="00333944" w:rsidP="00A925C7">
      <w:pPr>
        <w:pStyle w:val="SingleTxtG"/>
        <w:ind w:left="1701"/>
        <w:rPr>
          <w:lang w:val="fr-CH"/>
        </w:rPr>
      </w:pPr>
      <w:r w:rsidRPr="0071782F">
        <w:rPr>
          <w:lang w:val="fr-CH"/>
        </w:rPr>
        <w:t>368.3</w:t>
      </w:r>
      <w:r w:rsidR="00A925C7" w:rsidRPr="0071782F">
        <w:rPr>
          <w:lang w:val="fr-CH"/>
        </w:rPr>
        <w:t>.</w:t>
      </w:r>
      <w:r w:rsidRPr="0071782F">
        <w:rPr>
          <w:lang w:val="fr-CH"/>
        </w:rPr>
        <w:tab/>
      </w:r>
      <w:r w:rsidR="000759EF" w:rsidRPr="0071782F">
        <w:rPr>
          <w:lang w:val="fr-CH"/>
        </w:rPr>
        <w:t xml:space="preserve">La part du budget de fonctionnement destinée aux écoles secondaires du second cycle, en hausse, est passée de </w:t>
      </w:r>
      <w:r w:rsidRPr="0071782F">
        <w:rPr>
          <w:lang w:val="fr-CH"/>
        </w:rPr>
        <w:t>14</w:t>
      </w:r>
      <w:r w:rsidR="000759EF" w:rsidRPr="0071782F">
        <w:rPr>
          <w:lang w:val="fr-CH"/>
        </w:rPr>
        <w:t>,</w:t>
      </w:r>
      <w:r w:rsidRPr="0071782F">
        <w:rPr>
          <w:lang w:val="fr-CH"/>
        </w:rPr>
        <w:t xml:space="preserve">26 </w:t>
      </w:r>
      <w:r w:rsidR="000759EF" w:rsidRPr="0071782F">
        <w:rPr>
          <w:lang w:val="fr-CH"/>
        </w:rPr>
        <w:t>à</w:t>
      </w:r>
      <w:r w:rsidRPr="0071782F">
        <w:rPr>
          <w:lang w:val="fr-CH"/>
        </w:rPr>
        <w:t xml:space="preserve"> 21</w:t>
      </w:r>
      <w:r w:rsidR="000759EF" w:rsidRPr="0071782F">
        <w:rPr>
          <w:lang w:val="fr-CH"/>
        </w:rPr>
        <w:t>,</w:t>
      </w:r>
      <w:r w:rsidRPr="0071782F">
        <w:rPr>
          <w:lang w:val="fr-CH"/>
        </w:rPr>
        <w:t>7</w:t>
      </w:r>
      <w:r w:rsidR="007E5125" w:rsidRPr="0071782F">
        <w:rPr>
          <w:lang w:val="fr-CH"/>
        </w:rPr>
        <w:t>%</w:t>
      </w:r>
      <w:r w:rsidRPr="0071782F">
        <w:rPr>
          <w:lang w:val="fr-CH"/>
        </w:rPr>
        <w:t>.</w:t>
      </w:r>
    </w:p>
    <w:p w:rsidR="00333944" w:rsidRPr="0071782F" w:rsidRDefault="00333944" w:rsidP="00A925C7">
      <w:pPr>
        <w:pStyle w:val="SingleTxtG"/>
        <w:ind w:left="1701"/>
        <w:rPr>
          <w:lang w:val="fr-CH"/>
        </w:rPr>
      </w:pPr>
      <w:r w:rsidRPr="0071782F">
        <w:rPr>
          <w:lang w:val="fr-CH"/>
        </w:rPr>
        <w:t>368.4</w:t>
      </w:r>
      <w:r w:rsidR="00A925C7" w:rsidRPr="0071782F">
        <w:rPr>
          <w:lang w:val="fr-CH"/>
        </w:rPr>
        <w:t>.</w:t>
      </w:r>
      <w:r w:rsidR="0071782F">
        <w:rPr>
          <w:lang w:val="fr-CH"/>
        </w:rPr>
        <w:tab/>
      </w:r>
      <w:r w:rsidR="000759EF" w:rsidRPr="0071782F">
        <w:rPr>
          <w:lang w:val="fr-CH"/>
        </w:rPr>
        <w:t xml:space="preserve">Les budgets de capital sont passés de </w:t>
      </w:r>
      <w:r w:rsidRPr="0071782F">
        <w:rPr>
          <w:lang w:val="fr-CH"/>
        </w:rPr>
        <w:t>23</w:t>
      </w:r>
      <w:r w:rsidR="000759EF" w:rsidRPr="0071782F">
        <w:rPr>
          <w:lang w:val="fr-CH"/>
        </w:rPr>
        <w:t>,</w:t>
      </w:r>
      <w:r w:rsidRPr="0071782F">
        <w:rPr>
          <w:lang w:val="fr-CH"/>
        </w:rPr>
        <w:t xml:space="preserve">9 </w:t>
      </w:r>
      <w:r w:rsidR="000759EF" w:rsidRPr="0071782F">
        <w:rPr>
          <w:lang w:val="fr-CH"/>
        </w:rPr>
        <w:t>à</w:t>
      </w:r>
      <w:r w:rsidRPr="0071782F">
        <w:rPr>
          <w:lang w:val="fr-CH"/>
        </w:rPr>
        <w:t xml:space="preserve"> 8</w:t>
      </w:r>
      <w:r w:rsidR="000759EF" w:rsidRPr="0071782F">
        <w:rPr>
          <w:lang w:val="fr-CH"/>
        </w:rPr>
        <w:t xml:space="preserve"> </w:t>
      </w:r>
      <w:r w:rsidRPr="0071782F">
        <w:rPr>
          <w:lang w:val="fr-CH"/>
        </w:rPr>
        <w:t>450</w:t>
      </w:r>
      <w:r w:rsidR="008553D9" w:rsidRPr="0071782F">
        <w:rPr>
          <w:lang w:val="fr-CH"/>
        </w:rPr>
        <w:t> milliard</w:t>
      </w:r>
      <w:r w:rsidR="00097CDB" w:rsidRPr="0071782F">
        <w:rPr>
          <w:lang w:val="fr-CH"/>
        </w:rPr>
        <w:t>s</w:t>
      </w:r>
      <w:r w:rsidR="000759EF" w:rsidRPr="0071782F">
        <w:rPr>
          <w:lang w:val="fr-CH"/>
        </w:rPr>
        <w:t xml:space="preserve"> </w:t>
      </w:r>
      <w:r w:rsidR="003B1403" w:rsidRPr="0071782F">
        <w:rPr>
          <w:lang w:val="fr-CH"/>
        </w:rPr>
        <w:t>de rials</w:t>
      </w:r>
      <w:r w:rsidRPr="0071782F">
        <w:rPr>
          <w:lang w:val="fr-CH"/>
        </w:rPr>
        <w:t xml:space="preserve">. </w:t>
      </w:r>
    </w:p>
    <w:p w:rsidR="00333944" w:rsidRPr="0071782F" w:rsidRDefault="00333944" w:rsidP="00A925C7">
      <w:pPr>
        <w:pStyle w:val="SingleTxtG"/>
        <w:ind w:left="1701"/>
        <w:rPr>
          <w:lang w:val="fr-CH"/>
        </w:rPr>
      </w:pPr>
      <w:r w:rsidRPr="0071782F">
        <w:rPr>
          <w:lang w:val="fr-CH"/>
        </w:rPr>
        <w:t>368.5</w:t>
      </w:r>
      <w:r w:rsidR="00A925C7" w:rsidRPr="0071782F">
        <w:rPr>
          <w:lang w:val="fr-CH"/>
        </w:rPr>
        <w:t>.</w:t>
      </w:r>
      <w:r w:rsidRPr="0071782F">
        <w:rPr>
          <w:lang w:val="fr-CH"/>
        </w:rPr>
        <w:tab/>
      </w:r>
      <w:r w:rsidR="000759EF" w:rsidRPr="0071782F">
        <w:rPr>
          <w:lang w:val="fr-CH"/>
        </w:rPr>
        <w:t xml:space="preserve">Le taux de </w:t>
      </w:r>
      <w:r w:rsidRPr="0071782F">
        <w:rPr>
          <w:lang w:val="fr-CH"/>
        </w:rPr>
        <w:t xml:space="preserve">participation </w:t>
      </w:r>
      <w:r w:rsidR="000759EF" w:rsidRPr="0071782F">
        <w:rPr>
          <w:lang w:val="fr-CH"/>
        </w:rPr>
        <w:t xml:space="preserve">du secteur public à la construction de projets éducatifs est passé de </w:t>
      </w:r>
      <w:r w:rsidRPr="0071782F">
        <w:rPr>
          <w:lang w:val="fr-CH"/>
        </w:rPr>
        <w:t xml:space="preserve">10 </w:t>
      </w:r>
      <w:r w:rsidR="000759EF" w:rsidRPr="0071782F">
        <w:rPr>
          <w:lang w:val="fr-CH"/>
        </w:rPr>
        <w:t>à</w:t>
      </w:r>
      <w:r w:rsidRPr="0071782F">
        <w:rPr>
          <w:lang w:val="fr-CH"/>
        </w:rPr>
        <w:t xml:space="preserve"> 34</w:t>
      </w:r>
      <w:r w:rsidR="000759EF" w:rsidRPr="0071782F">
        <w:rPr>
          <w:lang w:val="fr-CH"/>
        </w:rPr>
        <w:t>,</w:t>
      </w:r>
      <w:r w:rsidRPr="0071782F">
        <w:rPr>
          <w:lang w:val="fr-CH"/>
        </w:rPr>
        <w:t>7</w:t>
      </w:r>
      <w:r w:rsidR="007E5125" w:rsidRPr="0071782F">
        <w:rPr>
          <w:lang w:val="fr-CH"/>
        </w:rPr>
        <w:t>%</w:t>
      </w:r>
      <w:r w:rsidRPr="0071782F">
        <w:rPr>
          <w:lang w:val="fr-CH"/>
        </w:rPr>
        <w:t>.</w:t>
      </w:r>
    </w:p>
    <w:p w:rsidR="00333944" w:rsidRPr="0071782F" w:rsidRDefault="00333944" w:rsidP="00A925C7">
      <w:pPr>
        <w:pStyle w:val="SingleTxtG"/>
        <w:ind w:left="1701"/>
        <w:rPr>
          <w:spacing w:val="-2"/>
          <w:lang w:val="fr-CH"/>
        </w:rPr>
      </w:pPr>
      <w:r w:rsidRPr="0071782F">
        <w:rPr>
          <w:spacing w:val="-2"/>
          <w:lang w:val="fr-CH"/>
        </w:rPr>
        <w:t>368.6</w:t>
      </w:r>
      <w:r w:rsidR="00A925C7" w:rsidRPr="0071782F">
        <w:rPr>
          <w:spacing w:val="-2"/>
          <w:lang w:val="fr-CH"/>
        </w:rPr>
        <w:t>.</w:t>
      </w:r>
      <w:r w:rsidRPr="0071782F">
        <w:rPr>
          <w:spacing w:val="-2"/>
          <w:lang w:val="fr-CH"/>
        </w:rPr>
        <w:tab/>
      </w:r>
      <w:r w:rsidR="000759EF" w:rsidRPr="0071782F">
        <w:rPr>
          <w:spacing w:val="-2"/>
          <w:lang w:val="fr-CH"/>
        </w:rPr>
        <w:t>Dans les 30 années qui ont suivi la victoire de la Révolution, 404</w:t>
      </w:r>
      <w:r w:rsidR="00311068" w:rsidRPr="0071782F">
        <w:rPr>
          <w:spacing w:val="-2"/>
          <w:lang w:val="fr-CH"/>
        </w:rPr>
        <w:t> </w:t>
      </w:r>
      <w:r w:rsidRPr="0071782F">
        <w:rPr>
          <w:spacing w:val="-2"/>
          <w:lang w:val="fr-CH"/>
        </w:rPr>
        <w:t>249</w:t>
      </w:r>
      <w:r w:rsidR="00311068" w:rsidRPr="0071782F">
        <w:rPr>
          <w:spacing w:val="-2"/>
          <w:lang w:val="fr-CH"/>
        </w:rPr>
        <w:t> </w:t>
      </w:r>
      <w:r w:rsidR="000759EF" w:rsidRPr="0071782F">
        <w:rPr>
          <w:spacing w:val="-2"/>
          <w:lang w:val="fr-CH"/>
        </w:rPr>
        <w:t xml:space="preserve">nouvelles salles de classe ont été construites dans le cadre de </w:t>
      </w:r>
      <w:r w:rsidRPr="0071782F">
        <w:rPr>
          <w:spacing w:val="-2"/>
          <w:lang w:val="fr-CH"/>
        </w:rPr>
        <w:t>80</w:t>
      </w:r>
      <w:r w:rsidR="00816714">
        <w:rPr>
          <w:spacing w:val="-2"/>
          <w:lang w:val="fr-CH"/>
        </w:rPr>
        <w:t> </w:t>
      </w:r>
      <w:r w:rsidRPr="0071782F">
        <w:rPr>
          <w:spacing w:val="-2"/>
          <w:lang w:val="fr-CH"/>
        </w:rPr>
        <w:t>949 p</w:t>
      </w:r>
      <w:r w:rsidR="000759EF" w:rsidRPr="0071782F">
        <w:rPr>
          <w:spacing w:val="-2"/>
          <w:lang w:val="fr-CH"/>
        </w:rPr>
        <w:t>roje</w:t>
      </w:r>
      <w:r w:rsidRPr="0071782F">
        <w:rPr>
          <w:spacing w:val="-2"/>
          <w:lang w:val="fr-CH"/>
        </w:rPr>
        <w:t>ts.</w:t>
      </w:r>
    </w:p>
    <w:p w:rsidR="00333944" w:rsidRPr="0071782F" w:rsidRDefault="00333944" w:rsidP="00333944">
      <w:pPr>
        <w:pStyle w:val="H1G"/>
        <w:rPr>
          <w:lang w:val="fr-CH"/>
        </w:rPr>
      </w:pPr>
      <w:r w:rsidRPr="0071782F">
        <w:rPr>
          <w:lang w:val="fr-CH"/>
        </w:rPr>
        <w:tab/>
      </w:r>
      <w:r w:rsidRPr="0071782F">
        <w:rPr>
          <w:lang w:val="fr-CH"/>
        </w:rPr>
        <w:tab/>
      </w:r>
      <w:r w:rsidR="000759EF" w:rsidRPr="0071782F">
        <w:rPr>
          <w:lang w:val="fr-CH"/>
        </w:rPr>
        <w:t>P</w:t>
      </w:r>
      <w:r w:rsidRPr="0071782F">
        <w:rPr>
          <w:lang w:val="fr-CH"/>
        </w:rPr>
        <w:t>rincipal</w:t>
      </w:r>
      <w:r w:rsidR="000759EF" w:rsidRPr="0071782F">
        <w:rPr>
          <w:lang w:val="fr-CH"/>
        </w:rPr>
        <w:t>es mesures, activité</w:t>
      </w:r>
      <w:r w:rsidRPr="0071782F">
        <w:rPr>
          <w:lang w:val="fr-CH"/>
        </w:rPr>
        <w:t>s</w:t>
      </w:r>
      <w:r w:rsidR="000759EF" w:rsidRPr="0071782F">
        <w:rPr>
          <w:lang w:val="fr-CH"/>
        </w:rPr>
        <w:t xml:space="preserve"> et réalisations en matière d’éducation au cours des 30 années écoulées, conformément aux statistiques les plus récentes de </w:t>
      </w:r>
      <w:r w:rsidRPr="0071782F">
        <w:rPr>
          <w:lang w:val="fr-CH"/>
        </w:rPr>
        <w:t>2007</w:t>
      </w:r>
      <w:r w:rsidR="000759EF" w:rsidRPr="0071782F">
        <w:rPr>
          <w:lang w:val="fr-CH"/>
        </w:rPr>
        <w:t>-</w:t>
      </w:r>
      <w:r w:rsidRPr="0071782F">
        <w:rPr>
          <w:lang w:val="fr-CH"/>
        </w:rPr>
        <w:t xml:space="preserve">2008 </w:t>
      </w:r>
    </w:p>
    <w:p w:rsidR="00333944" w:rsidRPr="0071782F" w:rsidRDefault="00333944" w:rsidP="00333944">
      <w:pPr>
        <w:pStyle w:val="H1G"/>
        <w:rPr>
          <w:lang w:val="fr-CH"/>
        </w:rPr>
      </w:pPr>
      <w:r w:rsidRPr="0071782F">
        <w:rPr>
          <w:lang w:val="fr-CH"/>
        </w:rPr>
        <w:tab/>
        <w:t>A.</w:t>
      </w:r>
      <w:r w:rsidRPr="0071782F">
        <w:rPr>
          <w:lang w:val="fr-CH"/>
        </w:rPr>
        <w:tab/>
      </w:r>
      <w:r w:rsidR="000759EF" w:rsidRPr="0071782F">
        <w:rPr>
          <w:lang w:val="fr-CH"/>
        </w:rPr>
        <w:t xml:space="preserve">Activités de développement et d’éducation physique </w:t>
      </w:r>
    </w:p>
    <w:p w:rsidR="00333944" w:rsidRPr="0071782F" w:rsidRDefault="00333944" w:rsidP="00333944">
      <w:pPr>
        <w:pStyle w:val="SingleTxtG"/>
        <w:rPr>
          <w:lang w:val="fr-CH"/>
        </w:rPr>
      </w:pPr>
      <w:r w:rsidRPr="0071782F">
        <w:rPr>
          <w:lang w:val="fr-CH"/>
        </w:rPr>
        <w:t>369.</w:t>
      </w:r>
      <w:r w:rsidRPr="0071782F">
        <w:rPr>
          <w:lang w:val="fr-CH"/>
        </w:rPr>
        <w:tab/>
      </w:r>
      <w:r w:rsidR="000E3AE8" w:rsidRPr="0071782F">
        <w:rPr>
          <w:lang w:val="fr-CH"/>
        </w:rPr>
        <w:t>Il convient notamment de signaler ce qui suit</w:t>
      </w:r>
      <w:r w:rsidR="008F7D33" w:rsidRPr="0071782F">
        <w:rPr>
          <w:lang w:val="fr-CH"/>
        </w:rPr>
        <w:t>:</w:t>
      </w:r>
    </w:p>
    <w:p w:rsidR="00333944" w:rsidRPr="0071782F" w:rsidRDefault="00333944" w:rsidP="00AE4C1A">
      <w:pPr>
        <w:pStyle w:val="SingleTxtG"/>
        <w:ind w:left="1701"/>
        <w:rPr>
          <w:lang w:val="fr-CH"/>
        </w:rPr>
      </w:pPr>
      <w:r w:rsidRPr="0071782F">
        <w:rPr>
          <w:lang w:val="fr-CH"/>
        </w:rPr>
        <w:t>369.1</w:t>
      </w:r>
      <w:r w:rsidRPr="0071782F">
        <w:rPr>
          <w:lang w:val="fr-CH"/>
        </w:rPr>
        <w:tab/>
      </w:r>
      <w:r w:rsidR="00623F51" w:rsidRPr="0071782F">
        <w:rPr>
          <w:lang w:val="fr-CH"/>
        </w:rPr>
        <w:t xml:space="preserve">En 2003, </w:t>
      </w:r>
      <w:r w:rsidRPr="0071782F">
        <w:rPr>
          <w:lang w:val="fr-CH"/>
        </w:rPr>
        <w:t>5</w:t>
      </w:r>
      <w:r w:rsidR="00311068" w:rsidRPr="0071782F">
        <w:rPr>
          <w:lang w:val="fr-CH"/>
        </w:rPr>
        <w:t> </w:t>
      </w:r>
      <w:r w:rsidRPr="0071782F">
        <w:rPr>
          <w:lang w:val="fr-CH"/>
        </w:rPr>
        <w:t xml:space="preserve">000 </w:t>
      </w:r>
      <w:r w:rsidR="00623F51" w:rsidRPr="0071782F">
        <w:rPr>
          <w:lang w:val="fr-CH"/>
        </w:rPr>
        <w:t>élèves ont participé au p</w:t>
      </w:r>
      <w:r w:rsidR="00704181" w:rsidRPr="0071782F">
        <w:rPr>
          <w:lang w:val="fr-CH"/>
        </w:rPr>
        <w:t>è</w:t>
      </w:r>
      <w:r w:rsidR="00623F51" w:rsidRPr="0071782F">
        <w:rPr>
          <w:lang w:val="fr-CH"/>
        </w:rPr>
        <w:t>lerinage Omra H</w:t>
      </w:r>
      <w:r w:rsidRPr="0071782F">
        <w:rPr>
          <w:lang w:val="fr-CH"/>
        </w:rPr>
        <w:t xml:space="preserve">ajj in 2003. </w:t>
      </w:r>
      <w:r w:rsidR="00623F51" w:rsidRPr="0071782F">
        <w:rPr>
          <w:lang w:val="fr-CH"/>
        </w:rPr>
        <w:t xml:space="preserve">Ce nombre est passé à </w:t>
      </w:r>
      <w:r w:rsidRPr="0071782F">
        <w:rPr>
          <w:lang w:val="fr-CH"/>
        </w:rPr>
        <w:t>13</w:t>
      </w:r>
      <w:r w:rsidR="00311068" w:rsidRPr="0071782F">
        <w:rPr>
          <w:lang w:val="fr-CH"/>
        </w:rPr>
        <w:t> </w:t>
      </w:r>
      <w:r w:rsidRPr="0071782F">
        <w:rPr>
          <w:lang w:val="fr-CH"/>
        </w:rPr>
        <w:t xml:space="preserve">262 </w:t>
      </w:r>
      <w:r w:rsidR="00623F51" w:rsidRPr="0071782F">
        <w:rPr>
          <w:lang w:val="fr-CH"/>
        </w:rPr>
        <w:t xml:space="preserve">en 2007 et à </w:t>
      </w:r>
      <w:r w:rsidRPr="0071782F">
        <w:rPr>
          <w:lang w:val="fr-CH"/>
        </w:rPr>
        <w:t>37</w:t>
      </w:r>
      <w:r w:rsidR="00816714">
        <w:rPr>
          <w:lang w:val="fr-CH"/>
        </w:rPr>
        <w:t> </w:t>
      </w:r>
      <w:r w:rsidRPr="0071782F">
        <w:rPr>
          <w:lang w:val="fr-CH"/>
        </w:rPr>
        <w:t xml:space="preserve">000 </w:t>
      </w:r>
      <w:r w:rsidR="00623F51" w:rsidRPr="0071782F">
        <w:rPr>
          <w:lang w:val="fr-CH"/>
        </w:rPr>
        <w:t>e</w:t>
      </w:r>
      <w:r w:rsidRPr="0071782F">
        <w:rPr>
          <w:lang w:val="fr-CH"/>
        </w:rPr>
        <w:t>n 2008</w:t>
      </w:r>
      <w:r w:rsidR="008F7D33" w:rsidRPr="0071782F">
        <w:rPr>
          <w:lang w:val="fr-CH"/>
        </w:rPr>
        <w:t>:</w:t>
      </w:r>
      <w:r w:rsidR="00623F51" w:rsidRPr="0071782F">
        <w:rPr>
          <w:lang w:val="fr-CH"/>
        </w:rPr>
        <w:t xml:space="preserve"> il a pratiquement triplé</w:t>
      </w:r>
      <w:r w:rsidRPr="0071782F">
        <w:rPr>
          <w:lang w:val="fr-CH"/>
        </w:rPr>
        <w:t>.</w:t>
      </w:r>
    </w:p>
    <w:p w:rsidR="00333944" w:rsidRPr="0071782F" w:rsidRDefault="00333944" w:rsidP="00AE4C1A">
      <w:pPr>
        <w:pStyle w:val="SingleTxtG"/>
        <w:ind w:left="1701"/>
        <w:rPr>
          <w:lang w:val="fr-CH"/>
        </w:rPr>
      </w:pPr>
      <w:r w:rsidRPr="0071782F">
        <w:rPr>
          <w:lang w:val="fr-CH"/>
        </w:rPr>
        <w:t>369.2</w:t>
      </w:r>
      <w:r w:rsidRPr="0071782F">
        <w:rPr>
          <w:lang w:val="fr-CH"/>
        </w:rPr>
        <w:tab/>
      </w:r>
      <w:r w:rsidR="00FA7336" w:rsidRPr="0071782F">
        <w:rPr>
          <w:lang w:val="fr-CH"/>
        </w:rPr>
        <w:t>Plusieurs centaines de concours ont été organisés pour les élèves et pour le personnel</w:t>
      </w:r>
      <w:r w:rsidRPr="0071782F">
        <w:rPr>
          <w:lang w:val="fr-CH"/>
        </w:rPr>
        <w:t>.</w:t>
      </w:r>
    </w:p>
    <w:p w:rsidR="00333944" w:rsidRPr="0071782F" w:rsidRDefault="00333944" w:rsidP="00311068">
      <w:pPr>
        <w:pStyle w:val="SingleTxtG"/>
        <w:ind w:left="1701"/>
        <w:rPr>
          <w:lang w:val="fr-CH"/>
        </w:rPr>
      </w:pPr>
      <w:r w:rsidRPr="0071782F">
        <w:rPr>
          <w:lang w:val="fr-CH"/>
        </w:rPr>
        <w:t>369.3</w:t>
      </w:r>
      <w:r w:rsidRPr="0071782F">
        <w:rPr>
          <w:lang w:val="fr-CH"/>
        </w:rPr>
        <w:tab/>
      </w:r>
      <w:r w:rsidR="00FA7336" w:rsidRPr="0071782F">
        <w:rPr>
          <w:lang w:val="fr-CH"/>
        </w:rPr>
        <w:t xml:space="preserve">Le nombre de camps et de voyages d’études à caractère scientifique pour les élèves a augmenté de </w:t>
      </w:r>
      <w:r w:rsidRPr="0071782F">
        <w:rPr>
          <w:lang w:val="fr-CH"/>
        </w:rPr>
        <w:t>18</w:t>
      </w:r>
      <w:r w:rsidR="00FA7336" w:rsidRPr="0071782F">
        <w:rPr>
          <w:lang w:val="fr-CH"/>
        </w:rPr>
        <w:t>,</w:t>
      </w:r>
      <w:r w:rsidRPr="0071782F">
        <w:rPr>
          <w:lang w:val="fr-CH"/>
        </w:rPr>
        <w:t>7</w:t>
      </w:r>
      <w:r w:rsidR="007E5125" w:rsidRPr="0071782F">
        <w:rPr>
          <w:lang w:val="fr-CH"/>
        </w:rPr>
        <w:t>%</w:t>
      </w:r>
      <w:r w:rsidRPr="0071782F">
        <w:rPr>
          <w:lang w:val="fr-CH"/>
        </w:rPr>
        <w:t>.</w:t>
      </w:r>
    </w:p>
    <w:p w:rsidR="00333944" w:rsidRPr="0071782F" w:rsidRDefault="00333944" w:rsidP="00311068">
      <w:pPr>
        <w:pStyle w:val="SingleTxtG"/>
        <w:ind w:left="1701"/>
        <w:rPr>
          <w:lang w:val="fr-CH"/>
        </w:rPr>
      </w:pPr>
      <w:r w:rsidRPr="0071782F">
        <w:rPr>
          <w:lang w:val="fr-CH"/>
        </w:rPr>
        <w:t>369.4</w:t>
      </w:r>
      <w:r w:rsidRPr="0071782F">
        <w:rPr>
          <w:lang w:val="fr-CH"/>
        </w:rPr>
        <w:tab/>
      </w:r>
      <w:r w:rsidR="00FA7336" w:rsidRPr="0071782F">
        <w:rPr>
          <w:lang w:val="fr-CH"/>
        </w:rPr>
        <w:t xml:space="preserve">Plus de </w:t>
      </w:r>
      <w:r w:rsidRPr="0071782F">
        <w:rPr>
          <w:lang w:val="fr-CH"/>
        </w:rPr>
        <w:t xml:space="preserve">500 </w:t>
      </w:r>
      <w:r w:rsidR="00FA7336" w:rsidRPr="0071782F">
        <w:rPr>
          <w:lang w:val="fr-CH"/>
        </w:rPr>
        <w:t>immeubles abandonnés ont été recensés et transformés en enceintes sportives, centres de développement et autres espaces utiles</w:t>
      </w:r>
      <w:r w:rsidRPr="0071782F">
        <w:rPr>
          <w:lang w:val="fr-CH"/>
        </w:rPr>
        <w:t>.</w:t>
      </w:r>
    </w:p>
    <w:p w:rsidR="00333944" w:rsidRPr="0071782F" w:rsidRDefault="00333944" w:rsidP="00311068">
      <w:pPr>
        <w:pStyle w:val="SingleTxtG"/>
        <w:ind w:left="1701"/>
        <w:rPr>
          <w:lang w:val="fr-CH"/>
        </w:rPr>
      </w:pPr>
      <w:r w:rsidRPr="0071782F">
        <w:rPr>
          <w:lang w:val="fr-CH"/>
        </w:rPr>
        <w:t>369.5</w:t>
      </w:r>
      <w:r w:rsidRPr="0071782F">
        <w:rPr>
          <w:lang w:val="fr-CH"/>
        </w:rPr>
        <w:tab/>
      </w:r>
      <w:r w:rsidR="00FA7336" w:rsidRPr="0071782F">
        <w:rPr>
          <w:lang w:val="fr-CH"/>
        </w:rPr>
        <w:t>Des courts de tennis en gazon synthétique ont été construits dans 50</w:t>
      </w:r>
      <w:r w:rsidR="00816714">
        <w:rPr>
          <w:lang w:val="fr-CH"/>
        </w:rPr>
        <w:t> </w:t>
      </w:r>
      <w:r w:rsidR="00FA7336" w:rsidRPr="0071782F">
        <w:rPr>
          <w:lang w:val="fr-CH"/>
        </w:rPr>
        <w:t>écoles.</w:t>
      </w:r>
    </w:p>
    <w:p w:rsidR="00333944" w:rsidRPr="0071782F" w:rsidRDefault="00333944" w:rsidP="00311068">
      <w:pPr>
        <w:pStyle w:val="SingleTxtG"/>
        <w:ind w:left="1701"/>
        <w:rPr>
          <w:lang w:val="fr-CH"/>
        </w:rPr>
      </w:pPr>
      <w:r w:rsidRPr="0071782F">
        <w:rPr>
          <w:lang w:val="fr-CH"/>
        </w:rPr>
        <w:t>369.6</w:t>
      </w:r>
      <w:r w:rsidRPr="0071782F">
        <w:rPr>
          <w:lang w:val="fr-CH"/>
        </w:rPr>
        <w:tab/>
      </w:r>
      <w:r w:rsidR="00FA7336" w:rsidRPr="0071782F">
        <w:rPr>
          <w:lang w:val="fr-CH"/>
        </w:rPr>
        <w:t xml:space="preserve">Plus de </w:t>
      </w:r>
      <w:r w:rsidRPr="0071782F">
        <w:rPr>
          <w:lang w:val="fr-CH"/>
        </w:rPr>
        <w:t>20 p</w:t>
      </w:r>
      <w:r w:rsidR="00FA7336" w:rsidRPr="0071782F">
        <w:rPr>
          <w:lang w:val="fr-CH"/>
        </w:rPr>
        <w:t>iscines ont été construites pour les élèves des régions chaudes.</w:t>
      </w:r>
    </w:p>
    <w:p w:rsidR="00333944" w:rsidRPr="0071782F" w:rsidRDefault="00333944" w:rsidP="00311068">
      <w:pPr>
        <w:pStyle w:val="SingleTxtG"/>
        <w:ind w:left="1701"/>
        <w:rPr>
          <w:lang w:val="fr-CH"/>
        </w:rPr>
      </w:pPr>
      <w:r w:rsidRPr="0071782F">
        <w:rPr>
          <w:lang w:val="fr-CH"/>
        </w:rPr>
        <w:t>369.7</w:t>
      </w:r>
      <w:r w:rsidRPr="0071782F">
        <w:rPr>
          <w:lang w:val="fr-CH"/>
        </w:rPr>
        <w:tab/>
      </w:r>
      <w:r w:rsidR="00351511" w:rsidRPr="0071782F">
        <w:rPr>
          <w:lang w:val="fr-CH"/>
        </w:rPr>
        <w:t xml:space="preserve">On a dispensé une formation à </w:t>
      </w:r>
      <w:r w:rsidRPr="0071782F">
        <w:rPr>
          <w:lang w:val="fr-CH"/>
        </w:rPr>
        <w:t>8</w:t>
      </w:r>
      <w:r w:rsidR="00816714">
        <w:rPr>
          <w:lang w:val="fr-CH"/>
        </w:rPr>
        <w:t> </w:t>
      </w:r>
      <w:r w:rsidRPr="0071782F">
        <w:rPr>
          <w:lang w:val="fr-CH"/>
        </w:rPr>
        <w:t>000</w:t>
      </w:r>
      <w:r w:rsidR="00097CDB" w:rsidRPr="0071782F">
        <w:rPr>
          <w:lang w:val="fr-CH"/>
        </w:rPr>
        <w:t> personnes</w:t>
      </w:r>
      <w:r w:rsidR="00351511" w:rsidRPr="0071782F">
        <w:rPr>
          <w:lang w:val="fr-CH"/>
        </w:rPr>
        <w:t xml:space="preserve"> pour exécuter le projet consistant à familiariser avec le Coran les enfants fréquentant les établissements préscolaires</w:t>
      </w:r>
      <w:r w:rsidRPr="0071782F">
        <w:rPr>
          <w:lang w:val="fr-CH"/>
        </w:rPr>
        <w:t>.</w:t>
      </w:r>
    </w:p>
    <w:p w:rsidR="00333944" w:rsidRPr="0071782F" w:rsidRDefault="00333944" w:rsidP="00311068">
      <w:pPr>
        <w:pStyle w:val="SingleTxtG"/>
        <w:ind w:left="1701"/>
        <w:rPr>
          <w:lang w:val="fr-CH"/>
        </w:rPr>
      </w:pPr>
      <w:r w:rsidRPr="0071782F">
        <w:rPr>
          <w:lang w:val="fr-CH"/>
        </w:rPr>
        <w:t>369.8</w:t>
      </w:r>
      <w:r w:rsidRPr="0071782F">
        <w:rPr>
          <w:lang w:val="fr-CH"/>
        </w:rPr>
        <w:tab/>
      </w:r>
      <w:r w:rsidR="00351511" w:rsidRPr="0071782F">
        <w:rPr>
          <w:lang w:val="fr-CH"/>
        </w:rPr>
        <w:t xml:space="preserve">On a organisé à l’intention des élèves </w:t>
      </w:r>
      <w:r w:rsidRPr="0071782F">
        <w:rPr>
          <w:lang w:val="fr-CH"/>
        </w:rPr>
        <w:t>150</w:t>
      </w:r>
      <w:r w:rsidR="00816714">
        <w:rPr>
          <w:lang w:val="fr-CH"/>
        </w:rPr>
        <w:t> </w:t>
      </w:r>
      <w:r w:rsidR="00351511" w:rsidRPr="0071782F">
        <w:rPr>
          <w:lang w:val="fr-CH"/>
        </w:rPr>
        <w:t xml:space="preserve">conférences </w:t>
      </w:r>
      <w:r w:rsidRPr="0071782F">
        <w:rPr>
          <w:lang w:val="fr-CH"/>
        </w:rPr>
        <w:t>s</w:t>
      </w:r>
      <w:r w:rsidR="00351511" w:rsidRPr="0071782F">
        <w:rPr>
          <w:lang w:val="fr-CH"/>
        </w:rPr>
        <w:t>ur le thème de la consolidation des convictions religieuses des employées du système éducatif et des écolières</w:t>
      </w:r>
      <w:r w:rsidRPr="0071782F">
        <w:rPr>
          <w:lang w:val="fr-CH"/>
        </w:rPr>
        <w:t>.</w:t>
      </w:r>
    </w:p>
    <w:p w:rsidR="00333944" w:rsidRPr="0071782F" w:rsidRDefault="00333944" w:rsidP="00AE4C1A">
      <w:pPr>
        <w:pStyle w:val="SingleTxtG"/>
        <w:ind w:left="1701"/>
        <w:rPr>
          <w:lang w:val="fr-CH"/>
        </w:rPr>
      </w:pPr>
      <w:r w:rsidRPr="0071782F">
        <w:rPr>
          <w:lang w:val="fr-CH"/>
        </w:rPr>
        <w:t>369.9</w:t>
      </w:r>
      <w:r w:rsidRPr="0071782F">
        <w:rPr>
          <w:lang w:val="fr-CH"/>
        </w:rPr>
        <w:tab/>
      </w:r>
      <w:r w:rsidR="00351511" w:rsidRPr="0071782F">
        <w:rPr>
          <w:lang w:val="fr-CH"/>
        </w:rPr>
        <w:t xml:space="preserve">Le </w:t>
      </w:r>
      <w:r w:rsidR="003B48A4" w:rsidRPr="0071782F">
        <w:rPr>
          <w:lang w:val="fr-CH"/>
        </w:rPr>
        <w:t>nombre</w:t>
      </w:r>
      <w:r w:rsidRPr="0071782F">
        <w:rPr>
          <w:lang w:val="fr-CH"/>
        </w:rPr>
        <w:t xml:space="preserve"> </w:t>
      </w:r>
      <w:r w:rsidR="00351511" w:rsidRPr="0071782F">
        <w:rPr>
          <w:lang w:val="fr-CH"/>
        </w:rPr>
        <w:t xml:space="preserve">d’élèves inscrits dans les centres d’études a augmenté de </w:t>
      </w:r>
      <w:r w:rsidRPr="0071782F">
        <w:rPr>
          <w:lang w:val="fr-CH"/>
        </w:rPr>
        <w:t>11</w:t>
      </w:r>
      <w:r w:rsidR="00351511" w:rsidRPr="0071782F">
        <w:rPr>
          <w:lang w:val="fr-CH"/>
        </w:rPr>
        <w:t>,</w:t>
      </w:r>
      <w:r w:rsidRPr="0071782F">
        <w:rPr>
          <w:lang w:val="fr-CH"/>
        </w:rPr>
        <w:t>6</w:t>
      </w:r>
      <w:r w:rsidR="007E5125" w:rsidRPr="0071782F">
        <w:rPr>
          <w:lang w:val="fr-CH"/>
        </w:rPr>
        <w:t>%</w:t>
      </w:r>
      <w:r w:rsidRPr="0071782F">
        <w:rPr>
          <w:lang w:val="fr-CH"/>
        </w:rPr>
        <w:t>,</w:t>
      </w:r>
      <w:r w:rsidR="00351511" w:rsidRPr="0071782F">
        <w:rPr>
          <w:lang w:val="fr-CH"/>
        </w:rPr>
        <w:t xml:space="preserve"> passant de </w:t>
      </w:r>
      <w:r w:rsidRPr="0071782F">
        <w:rPr>
          <w:lang w:val="fr-CH"/>
        </w:rPr>
        <w:t>975</w:t>
      </w:r>
      <w:r w:rsidR="00816714">
        <w:rPr>
          <w:lang w:val="fr-CH"/>
        </w:rPr>
        <w:t> </w:t>
      </w:r>
      <w:r w:rsidRPr="0071782F">
        <w:rPr>
          <w:lang w:val="fr-CH"/>
        </w:rPr>
        <w:t xml:space="preserve">756 </w:t>
      </w:r>
      <w:r w:rsidR="00351511" w:rsidRPr="0071782F">
        <w:rPr>
          <w:lang w:val="fr-CH"/>
        </w:rPr>
        <w:t>à</w:t>
      </w:r>
      <w:r w:rsidRPr="0071782F">
        <w:rPr>
          <w:lang w:val="fr-CH"/>
        </w:rPr>
        <w:t xml:space="preserve"> 1</w:t>
      </w:r>
      <w:r w:rsidR="00351511" w:rsidRPr="0071782F">
        <w:rPr>
          <w:lang w:val="fr-CH"/>
        </w:rPr>
        <w:t xml:space="preserve"> 089 </w:t>
      </w:r>
      <w:r w:rsidRPr="0071782F">
        <w:rPr>
          <w:lang w:val="fr-CH"/>
        </w:rPr>
        <w:t>416.</w:t>
      </w:r>
    </w:p>
    <w:p w:rsidR="00333944" w:rsidRPr="0071782F" w:rsidRDefault="00333944" w:rsidP="00AE4C1A">
      <w:pPr>
        <w:pStyle w:val="SingleTxtG"/>
        <w:ind w:left="1701"/>
        <w:rPr>
          <w:lang w:val="fr-CH"/>
        </w:rPr>
      </w:pPr>
      <w:r w:rsidRPr="0071782F">
        <w:rPr>
          <w:lang w:val="fr-CH"/>
        </w:rPr>
        <w:t>369.10</w:t>
      </w:r>
      <w:r w:rsidR="00AE4C1A" w:rsidRPr="0071782F">
        <w:rPr>
          <w:lang w:val="fr-CH"/>
        </w:rPr>
        <w:t xml:space="preserve">. </w:t>
      </w:r>
      <w:r w:rsidR="00351511" w:rsidRPr="0071782F">
        <w:rPr>
          <w:lang w:val="fr-CH"/>
        </w:rPr>
        <w:t xml:space="preserve">Le nombre de membres du Croissant-Rouge des écoliers est passé de </w:t>
      </w:r>
      <w:r w:rsidRPr="0071782F">
        <w:rPr>
          <w:lang w:val="fr-CH"/>
        </w:rPr>
        <w:t>792</w:t>
      </w:r>
      <w:r w:rsidR="00311068" w:rsidRPr="0071782F">
        <w:rPr>
          <w:lang w:val="fr-CH"/>
        </w:rPr>
        <w:t> </w:t>
      </w:r>
      <w:r w:rsidRPr="0071782F">
        <w:rPr>
          <w:lang w:val="fr-CH"/>
        </w:rPr>
        <w:t xml:space="preserve">863 </w:t>
      </w:r>
      <w:r w:rsidR="00351511" w:rsidRPr="0071782F">
        <w:rPr>
          <w:lang w:val="fr-CH"/>
        </w:rPr>
        <w:t>à</w:t>
      </w:r>
      <w:r w:rsidRPr="0071782F">
        <w:rPr>
          <w:lang w:val="fr-CH"/>
        </w:rPr>
        <w:t xml:space="preserve"> 811</w:t>
      </w:r>
      <w:r w:rsidR="00816714">
        <w:rPr>
          <w:lang w:val="fr-CH"/>
        </w:rPr>
        <w:t> </w:t>
      </w:r>
      <w:r w:rsidRPr="0071782F">
        <w:rPr>
          <w:lang w:val="fr-CH"/>
        </w:rPr>
        <w:t>998.</w:t>
      </w:r>
    </w:p>
    <w:p w:rsidR="00333944" w:rsidRPr="0071782F" w:rsidRDefault="00AE4C1A" w:rsidP="00AE4C1A">
      <w:pPr>
        <w:pStyle w:val="SingleTxtG"/>
        <w:ind w:left="1701"/>
        <w:rPr>
          <w:lang w:val="fr-CH"/>
        </w:rPr>
      </w:pPr>
      <w:r w:rsidRPr="0071782F">
        <w:rPr>
          <w:lang w:val="fr-CH"/>
        </w:rPr>
        <w:t xml:space="preserve">369.11. </w:t>
      </w:r>
      <w:r w:rsidR="00351511" w:rsidRPr="0071782F">
        <w:rPr>
          <w:lang w:val="fr-CH"/>
        </w:rPr>
        <w:t>Les écoliers ont tenu 887</w:t>
      </w:r>
      <w:r w:rsidR="00816714">
        <w:rPr>
          <w:lang w:val="fr-CH"/>
        </w:rPr>
        <w:t> </w:t>
      </w:r>
      <w:r w:rsidR="00333944" w:rsidRPr="0071782F">
        <w:rPr>
          <w:lang w:val="fr-CH"/>
        </w:rPr>
        <w:t xml:space="preserve">873 </w:t>
      </w:r>
      <w:r w:rsidR="00351511" w:rsidRPr="0071782F">
        <w:rPr>
          <w:lang w:val="fr-CH"/>
        </w:rPr>
        <w:t xml:space="preserve">débats, chiffre en augmentation de </w:t>
      </w:r>
      <w:r w:rsidR="00333944" w:rsidRPr="0071782F">
        <w:rPr>
          <w:lang w:val="fr-CH"/>
        </w:rPr>
        <w:t>2</w:t>
      </w:r>
      <w:r w:rsidR="00351511" w:rsidRPr="0071782F">
        <w:rPr>
          <w:lang w:val="fr-CH"/>
        </w:rPr>
        <w:t>,</w:t>
      </w:r>
      <w:r w:rsidR="00333944" w:rsidRPr="0071782F">
        <w:rPr>
          <w:lang w:val="fr-CH"/>
        </w:rPr>
        <w:t>5</w:t>
      </w:r>
      <w:r w:rsidR="007E5125" w:rsidRPr="0071782F">
        <w:rPr>
          <w:lang w:val="fr-CH"/>
        </w:rPr>
        <w:t>%</w:t>
      </w:r>
      <w:r w:rsidR="00351511" w:rsidRPr="0071782F">
        <w:rPr>
          <w:lang w:val="fr-CH"/>
        </w:rPr>
        <w:t xml:space="preserve"> par rapport à l’année antérieure</w:t>
      </w:r>
      <w:r w:rsidR="00333944" w:rsidRPr="0071782F">
        <w:rPr>
          <w:lang w:val="fr-CH"/>
        </w:rPr>
        <w:t>.</w:t>
      </w:r>
    </w:p>
    <w:p w:rsidR="00333944" w:rsidRPr="0071782F" w:rsidRDefault="00333944" w:rsidP="00AE4C1A">
      <w:pPr>
        <w:pStyle w:val="SingleTxtG"/>
        <w:ind w:left="1701"/>
        <w:rPr>
          <w:lang w:val="fr-CH"/>
        </w:rPr>
      </w:pPr>
      <w:r w:rsidRPr="0071782F">
        <w:rPr>
          <w:lang w:val="fr-CH"/>
        </w:rPr>
        <w:t>369.12</w:t>
      </w:r>
      <w:r w:rsidR="00AE4C1A" w:rsidRPr="0071782F">
        <w:rPr>
          <w:lang w:val="fr-CH"/>
        </w:rPr>
        <w:t xml:space="preserve">. </w:t>
      </w:r>
      <w:r w:rsidR="00351511" w:rsidRPr="0071782F">
        <w:rPr>
          <w:lang w:val="fr-CH"/>
        </w:rPr>
        <w:t>La fréquentation des camps d’écoliers de plusieurs jours est passée de</w:t>
      </w:r>
      <w:r w:rsidRPr="0071782F">
        <w:rPr>
          <w:lang w:val="fr-CH"/>
        </w:rPr>
        <w:t xml:space="preserve"> </w:t>
      </w:r>
      <w:r w:rsidR="00351511" w:rsidRPr="0071782F">
        <w:rPr>
          <w:lang w:val="fr-CH"/>
        </w:rPr>
        <w:t>5 240</w:t>
      </w:r>
      <w:r w:rsidR="00311068" w:rsidRPr="0071782F">
        <w:rPr>
          <w:lang w:val="fr-CH"/>
        </w:rPr>
        <w:t> </w:t>
      </w:r>
      <w:r w:rsidRPr="0071782F">
        <w:rPr>
          <w:lang w:val="fr-CH"/>
        </w:rPr>
        <w:t xml:space="preserve">582 </w:t>
      </w:r>
      <w:r w:rsidR="00351511" w:rsidRPr="0071782F">
        <w:rPr>
          <w:lang w:val="fr-CH"/>
        </w:rPr>
        <w:t>jours-</w:t>
      </w:r>
      <w:r w:rsidRPr="0071782F">
        <w:rPr>
          <w:lang w:val="fr-CH"/>
        </w:rPr>
        <w:t>person</w:t>
      </w:r>
      <w:r w:rsidR="00351511" w:rsidRPr="0071782F">
        <w:rPr>
          <w:lang w:val="fr-CH"/>
        </w:rPr>
        <w:t>ne</w:t>
      </w:r>
      <w:r w:rsidRPr="0071782F">
        <w:rPr>
          <w:lang w:val="fr-CH"/>
        </w:rPr>
        <w:t xml:space="preserve"> </w:t>
      </w:r>
      <w:r w:rsidR="00351511" w:rsidRPr="0071782F">
        <w:rPr>
          <w:lang w:val="fr-CH"/>
        </w:rPr>
        <w:t>à</w:t>
      </w:r>
      <w:r w:rsidRPr="0071782F">
        <w:rPr>
          <w:lang w:val="fr-CH"/>
        </w:rPr>
        <w:t xml:space="preserve"> 7</w:t>
      </w:r>
      <w:r w:rsidR="00351511" w:rsidRPr="0071782F">
        <w:rPr>
          <w:lang w:val="fr-CH"/>
        </w:rPr>
        <w:t> 688</w:t>
      </w:r>
      <w:r w:rsidR="00816714">
        <w:rPr>
          <w:lang w:val="fr-CH"/>
        </w:rPr>
        <w:t> </w:t>
      </w:r>
      <w:r w:rsidRPr="0071782F">
        <w:rPr>
          <w:lang w:val="fr-CH"/>
        </w:rPr>
        <w:t xml:space="preserve">401 </w:t>
      </w:r>
      <w:r w:rsidR="00351511" w:rsidRPr="0071782F">
        <w:rPr>
          <w:lang w:val="fr-CH"/>
        </w:rPr>
        <w:t xml:space="preserve">jours-personne, en augmentation de </w:t>
      </w:r>
      <w:r w:rsidRPr="0071782F">
        <w:rPr>
          <w:lang w:val="fr-CH"/>
        </w:rPr>
        <w:t>47</w:t>
      </w:r>
      <w:r w:rsidR="007E5125" w:rsidRPr="0071782F">
        <w:rPr>
          <w:lang w:val="fr-CH"/>
        </w:rPr>
        <w:t>%</w:t>
      </w:r>
      <w:r w:rsidRPr="0071782F">
        <w:rPr>
          <w:lang w:val="fr-CH"/>
        </w:rPr>
        <w:t>.</w:t>
      </w:r>
    </w:p>
    <w:p w:rsidR="00333944" w:rsidRPr="0071782F" w:rsidRDefault="00333944" w:rsidP="00AE4C1A">
      <w:pPr>
        <w:pStyle w:val="SingleTxtG"/>
        <w:ind w:left="1701"/>
        <w:rPr>
          <w:lang w:val="fr-CH"/>
        </w:rPr>
      </w:pPr>
      <w:r w:rsidRPr="0071782F">
        <w:rPr>
          <w:lang w:val="fr-CH"/>
        </w:rPr>
        <w:t>369.13</w:t>
      </w:r>
      <w:r w:rsidR="00AE4C1A" w:rsidRPr="0071782F">
        <w:rPr>
          <w:lang w:val="fr-CH"/>
        </w:rPr>
        <w:t xml:space="preserve">. </w:t>
      </w:r>
      <w:r w:rsidR="00351511" w:rsidRPr="0071782F">
        <w:rPr>
          <w:lang w:val="fr-CH"/>
        </w:rPr>
        <w:t>Le nombre de memb</w:t>
      </w:r>
      <w:r w:rsidRPr="0071782F">
        <w:rPr>
          <w:lang w:val="fr-CH"/>
        </w:rPr>
        <w:t>r</w:t>
      </w:r>
      <w:r w:rsidR="00351511" w:rsidRPr="0071782F">
        <w:rPr>
          <w:lang w:val="fr-CH"/>
        </w:rPr>
        <w:t>e</w:t>
      </w:r>
      <w:r w:rsidRPr="0071782F">
        <w:rPr>
          <w:lang w:val="fr-CH"/>
        </w:rPr>
        <w:t xml:space="preserve">s </w:t>
      </w:r>
      <w:r w:rsidR="00351511" w:rsidRPr="0071782F">
        <w:rPr>
          <w:lang w:val="fr-CH"/>
        </w:rPr>
        <w:t xml:space="preserve">de l’agence d’information des écoliers </w:t>
      </w:r>
      <w:r w:rsidRPr="0071782F">
        <w:rPr>
          <w:lang w:val="fr-CH"/>
        </w:rPr>
        <w:t xml:space="preserve">PANA </w:t>
      </w:r>
      <w:r w:rsidR="00351511" w:rsidRPr="0071782F">
        <w:rPr>
          <w:lang w:val="fr-CH"/>
        </w:rPr>
        <w:t xml:space="preserve">est passé de </w:t>
      </w:r>
      <w:r w:rsidRPr="0071782F">
        <w:rPr>
          <w:lang w:val="fr-CH"/>
        </w:rPr>
        <w:t>17</w:t>
      </w:r>
      <w:r w:rsidR="00816714">
        <w:rPr>
          <w:lang w:val="fr-CH"/>
        </w:rPr>
        <w:t> </w:t>
      </w:r>
      <w:r w:rsidRPr="0071782F">
        <w:rPr>
          <w:lang w:val="fr-CH"/>
        </w:rPr>
        <w:t xml:space="preserve">445 </w:t>
      </w:r>
      <w:r w:rsidR="00351511" w:rsidRPr="0071782F">
        <w:rPr>
          <w:lang w:val="fr-CH"/>
        </w:rPr>
        <w:t>à</w:t>
      </w:r>
      <w:r w:rsidRPr="0071782F">
        <w:rPr>
          <w:lang w:val="fr-CH"/>
        </w:rPr>
        <w:t xml:space="preserve"> 26</w:t>
      </w:r>
      <w:r w:rsidR="00816714">
        <w:rPr>
          <w:lang w:val="fr-CH"/>
        </w:rPr>
        <w:t> </w:t>
      </w:r>
      <w:r w:rsidRPr="0071782F">
        <w:rPr>
          <w:lang w:val="fr-CH"/>
        </w:rPr>
        <w:t xml:space="preserve">925, </w:t>
      </w:r>
      <w:r w:rsidR="00351511" w:rsidRPr="0071782F">
        <w:rPr>
          <w:lang w:val="fr-CH"/>
        </w:rPr>
        <w:t xml:space="preserve">en augmentation de </w:t>
      </w:r>
      <w:r w:rsidRPr="0071782F">
        <w:rPr>
          <w:lang w:val="fr-CH"/>
        </w:rPr>
        <w:t>54</w:t>
      </w:r>
      <w:r w:rsidR="00351511" w:rsidRPr="0071782F">
        <w:rPr>
          <w:lang w:val="fr-CH"/>
        </w:rPr>
        <w:t>,</w:t>
      </w:r>
      <w:r w:rsidRPr="0071782F">
        <w:rPr>
          <w:lang w:val="fr-CH"/>
        </w:rPr>
        <w:t>3</w:t>
      </w:r>
      <w:r w:rsidR="007E5125" w:rsidRPr="0071782F">
        <w:rPr>
          <w:lang w:val="fr-CH"/>
        </w:rPr>
        <w:t>%</w:t>
      </w:r>
      <w:r w:rsidRPr="0071782F">
        <w:rPr>
          <w:lang w:val="fr-CH"/>
        </w:rPr>
        <w:t>.</w:t>
      </w:r>
    </w:p>
    <w:p w:rsidR="00333944" w:rsidRPr="0071782F" w:rsidRDefault="00333944" w:rsidP="00AE4C1A">
      <w:pPr>
        <w:pStyle w:val="SingleTxtG"/>
        <w:ind w:left="1701"/>
        <w:rPr>
          <w:lang w:val="fr-CH"/>
        </w:rPr>
      </w:pPr>
      <w:r w:rsidRPr="0071782F">
        <w:rPr>
          <w:lang w:val="fr-CH"/>
        </w:rPr>
        <w:t>369.14</w:t>
      </w:r>
      <w:r w:rsidR="00AE4C1A" w:rsidRPr="0071782F">
        <w:rPr>
          <w:lang w:val="fr-CH"/>
        </w:rPr>
        <w:t xml:space="preserve">. </w:t>
      </w:r>
      <w:r w:rsidR="00351511" w:rsidRPr="0071782F">
        <w:rPr>
          <w:lang w:val="fr-CH"/>
        </w:rPr>
        <w:t xml:space="preserve">Le </w:t>
      </w:r>
      <w:r w:rsidR="003B48A4" w:rsidRPr="0071782F">
        <w:rPr>
          <w:lang w:val="fr-CH"/>
        </w:rPr>
        <w:t>nombre</w:t>
      </w:r>
      <w:r w:rsidRPr="0071782F">
        <w:rPr>
          <w:lang w:val="fr-CH"/>
        </w:rPr>
        <w:t xml:space="preserve"> </w:t>
      </w:r>
      <w:r w:rsidR="00351511" w:rsidRPr="0071782F">
        <w:rPr>
          <w:lang w:val="fr-CH"/>
        </w:rPr>
        <w:t xml:space="preserve">d’écoles dotées d’une salle de prière est passé de </w:t>
      </w:r>
      <w:r w:rsidRPr="0071782F">
        <w:rPr>
          <w:lang w:val="fr-CH"/>
        </w:rPr>
        <w:t>33</w:t>
      </w:r>
      <w:r w:rsidR="00311068" w:rsidRPr="0071782F">
        <w:rPr>
          <w:lang w:val="fr-CH"/>
        </w:rPr>
        <w:t> </w:t>
      </w:r>
      <w:r w:rsidRPr="0071782F">
        <w:rPr>
          <w:lang w:val="fr-CH"/>
        </w:rPr>
        <w:t xml:space="preserve">000 </w:t>
      </w:r>
      <w:r w:rsidR="00351511" w:rsidRPr="0071782F">
        <w:rPr>
          <w:lang w:val="fr-CH"/>
        </w:rPr>
        <w:t>à</w:t>
      </w:r>
      <w:r w:rsidRPr="0071782F">
        <w:rPr>
          <w:lang w:val="fr-CH"/>
        </w:rPr>
        <w:t xml:space="preserve"> 40</w:t>
      </w:r>
      <w:r w:rsidR="00311068" w:rsidRPr="0071782F">
        <w:rPr>
          <w:lang w:val="fr-CH"/>
        </w:rPr>
        <w:t> </w:t>
      </w:r>
      <w:r w:rsidRPr="0071782F">
        <w:rPr>
          <w:lang w:val="fr-CH"/>
        </w:rPr>
        <w:t>856.</w:t>
      </w:r>
    </w:p>
    <w:p w:rsidR="00333944" w:rsidRPr="0071782F" w:rsidRDefault="00333944" w:rsidP="00AE4C1A">
      <w:pPr>
        <w:pStyle w:val="SingleTxtG"/>
        <w:ind w:left="1701"/>
        <w:rPr>
          <w:lang w:val="fr-CH"/>
        </w:rPr>
      </w:pPr>
      <w:r w:rsidRPr="0071782F">
        <w:rPr>
          <w:lang w:val="fr-CH"/>
        </w:rPr>
        <w:t>369.15</w:t>
      </w:r>
      <w:r w:rsidR="00AE4C1A" w:rsidRPr="0071782F">
        <w:rPr>
          <w:lang w:val="fr-CH"/>
        </w:rPr>
        <w:t xml:space="preserve">. </w:t>
      </w:r>
      <w:r w:rsidR="00351511" w:rsidRPr="0071782F">
        <w:rPr>
          <w:lang w:val="fr-CH"/>
        </w:rPr>
        <w:t xml:space="preserve">Le </w:t>
      </w:r>
      <w:r w:rsidR="003B48A4" w:rsidRPr="0071782F">
        <w:rPr>
          <w:lang w:val="fr-CH"/>
        </w:rPr>
        <w:t>nombre</w:t>
      </w:r>
      <w:r w:rsidRPr="0071782F">
        <w:rPr>
          <w:lang w:val="fr-CH"/>
        </w:rPr>
        <w:t xml:space="preserve"> </w:t>
      </w:r>
      <w:r w:rsidR="00351511" w:rsidRPr="0071782F">
        <w:rPr>
          <w:lang w:val="fr-CH"/>
        </w:rPr>
        <w:t xml:space="preserve">d’élèves entreprenant des études coraniques dans les centres coraniques est passé de </w:t>
      </w:r>
      <w:r w:rsidRPr="0071782F">
        <w:rPr>
          <w:lang w:val="fr-CH"/>
        </w:rPr>
        <w:t>820</w:t>
      </w:r>
      <w:r w:rsidR="00816714">
        <w:rPr>
          <w:lang w:val="fr-CH"/>
        </w:rPr>
        <w:t> </w:t>
      </w:r>
      <w:r w:rsidRPr="0071782F">
        <w:rPr>
          <w:lang w:val="fr-CH"/>
        </w:rPr>
        <w:t xml:space="preserve">000 </w:t>
      </w:r>
      <w:r w:rsidR="00351511" w:rsidRPr="0071782F">
        <w:rPr>
          <w:lang w:val="fr-CH"/>
        </w:rPr>
        <w:t>à 1 100</w:t>
      </w:r>
      <w:r w:rsidR="00816714">
        <w:rPr>
          <w:lang w:val="fr-CH"/>
        </w:rPr>
        <w:t> </w:t>
      </w:r>
      <w:r w:rsidRPr="0071782F">
        <w:rPr>
          <w:lang w:val="fr-CH"/>
        </w:rPr>
        <w:t>000.</w:t>
      </w:r>
    </w:p>
    <w:p w:rsidR="00333944" w:rsidRPr="0071782F" w:rsidRDefault="00333944" w:rsidP="00AE4C1A">
      <w:pPr>
        <w:pStyle w:val="SingleTxtG"/>
        <w:ind w:left="1701"/>
        <w:rPr>
          <w:lang w:val="fr-CH"/>
        </w:rPr>
      </w:pPr>
      <w:r w:rsidRPr="0071782F">
        <w:rPr>
          <w:lang w:val="fr-CH"/>
        </w:rPr>
        <w:t>369.16</w:t>
      </w:r>
      <w:r w:rsidR="00AE4C1A" w:rsidRPr="0071782F">
        <w:rPr>
          <w:lang w:val="fr-CH"/>
        </w:rPr>
        <w:t xml:space="preserve">. </w:t>
      </w:r>
      <w:r w:rsidR="00351511" w:rsidRPr="0071782F">
        <w:rPr>
          <w:lang w:val="fr-CH"/>
        </w:rPr>
        <w:t xml:space="preserve">Le </w:t>
      </w:r>
      <w:r w:rsidR="003B48A4" w:rsidRPr="0071782F">
        <w:rPr>
          <w:lang w:val="fr-CH"/>
        </w:rPr>
        <w:t>nombre</w:t>
      </w:r>
      <w:r w:rsidRPr="0071782F">
        <w:rPr>
          <w:lang w:val="fr-CH"/>
        </w:rPr>
        <w:t xml:space="preserve"> </w:t>
      </w:r>
      <w:r w:rsidR="00351511" w:rsidRPr="0071782F">
        <w:rPr>
          <w:lang w:val="fr-CH"/>
        </w:rPr>
        <w:t>de centres culturels et de développement d’écoliers est passé de 1</w:t>
      </w:r>
      <w:r w:rsidR="00816714">
        <w:rPr>
          <w:lang w:val="fr-CH"/>
        </w:rPr>
        <w:t> </w:t>
      </w:r>
      <w:r w:rsidRPr="0071782F">
        <w:rPr>
          <w:lang w:val="fr-CH"/>
        </w:rPr>
        <w:t xml:space="preserve">108 </w:t>
      </w:r>
      <w:r w:rsidR="00351511" w:rsidRPr="0071782F">
        <w:rPr>
          <w:lang w:val="fr-CH"/>
        </w:rPr>
        <w:t>à</w:t>
      </w:r>
      <w:r w:rsidRPr="0071782F">
        <w:rPr>
          <w:lang w:val="fr-CH"/>
        </w:rPr>
        <w:t xml:space="preserve"> 1</w:t>
      </w:r>
      <w:r w:rsidR="00816714">
        <w:rPr>
          <w:lang w:val="fr-CH"/>
        </w:rPr>
        <w:t> </w:t>
      </w:r>
      <w:r w:rsidRPr="0071782F">
        <w:rPr>
          <w:lang w:val="fr-CH"/>
        </w:rPr>
        <w:t>116.</w:t>
      </w:r>
    </w:p>
    <w:p w:rsidR="00333944" w:rsidRPr="0071782F" w:rsidRDefault="00333944" w:rsidP="00AE4C1A">
      <w:pPr>
        <w:pStyle w:val="SingleTxtG"/>
        <w:ind w:left="1701"/>
        <w:rPr>
          <w:lang w:val="fr-CH"/>
        </w:rPr>
      </w:pPr>
      <w:r w:rsidRPr="0071782F">
        <w:rPr>
          <w:lang w:val="fr-CH"/>
        </w:rPr>
        <w:t>369.17</w:t>
      </w:r>
      <w:r w:rsidR="00AE4C1A" w:rsidRPr="0071782F">
        <w:rPr>
          <w:lang w:val="fr-CH"/>
        </w:rPr>
        <w:t xml:space="preserve">. </w:t>
      </w:r>
      <w:r w:rsidR="00351511" w:rsidRPr="0071782F">
        <w:rPr>
          <w:lang w:val="fr-CH"/>
        </w:rPr>
        <w:t xml:space="preserve">Le </w:t>
      </w:r>
      <w:r w:rsidR="003B48A4" w:rsidRPr="0071782F">
        <w:rPr>
          <w:lang w:val="fr-CH"/>
        </w:rPr>
        <w:t>nombre</w:t>
      </w:r>
      <w:r w:rsidRPr="0071782F">
        <w:rPr>
          <w:lang w:val="fr-CH"/>
        </w:rPr>
        <w:t xml:space="preserve"> </w:t>
      </w:r>
      <w:r w:rsidR="00351511" w:rsidRPr="0071782F">
        <w:rPr>
          <w:lang w:val="fr-CH"/>
        </w:rPr>
        <w:t xml:space="preserve">d’écoliers recevant des rations de lait à l’école est passé de huit à </w:t>
      </w:r>
      <w:r w:rsidRPr="0071782F">
        <w:rPr>
          <w:lang w:val="fr-CH"/>
        </w:rPr>
        <w:t>11</w:t>
      </w:r>
      <w:r w:rsidR="00097CDB" w:rsidRPr="0071782F">
        <w:rPr>
          <w:lang w:val="fr-CH"/>
        </w:rPr>
        <w:t> millions</w:t>
      </w:r>
      <w:r w:rsidRPr="0071782F">
        <w:rPr>
          <w:lang w:val="fr-CH"/>
        </w:rPr>
        <w:t>.</w:t>
      </w:r>
    </w:p>
    <w:p w:rsidR="00333944" w:rsidRPr="0071782F" w:rsidRDefault="00333944" w:rsidP="00AE4C1A">
      <w:pPr>
        <w:pStyle w:val="SingleTxtG"/>
        <w:ind w:left="1701"/>
        <w:rPr>
          <w:lang w:val="fr-CH"/>
        </w:rPr>
      </w:pPr>
      <w:r w:rsidRPr="0071782F">
        <w:rPr>
          <w:lang w:val="fr-CH"/>
        </w:rPr>
        <w:t>369.18</w:t>
      </w:r>
      <w:r w:rsidR="00AE4C1A" w:rsidRPr="0071782F">
        <w:rPr>
          <w:lang w:val="fr-CH"/>
        </w:rPr>
        <w:t xml:space="preserve">. </w:t>
      </w:r>
      <w:r w:rsidR="00E01CA3" w:rsidRPr="0071782F">
        <w:rPr>
          <w:lang w:val="fr-CH"/>
        </w:rPr>
        <w:t xml:space="preserve">Le nombre d’élèves munis d’un certificat de santé est passé de </w:t>
      </w:r>
      <w:r w:rsidRPr="0071782F">
        <w:rPr>
          <w:lang w:val="fr-CH"/>
        </w:rPr>
        <w:t>1</w:t>
      </w:r>
      <w:r w:rsidR="00E01CA3" w:rsidRPr="0071782F">
        <w:rPr>
          <w:lang w:val="fr-CH"/>
        </w:rPr>
        <w:t> </w:t>
      </w:r>
      <w:r w:rsidRPr="0071782F">
        <w:rPr>
          <w:lang w:val="fr-CH"/>
        </w:rPr>
        <w:t>400</w:t>
      </w:r>
      <w:r w:rsidR="00311068" w:rsidRPr="0071782F">
        <w:rPr>
          <w:lang w:val="fr-CH"/>
        </w:rPr>
        <w:t> </w:t>
      </w:r>
      <w:r w:rsidRPr="0071782F">
        <w:rPr>
          <w:lang w:val="fr-CH"/>
        </w:rPr>
        <w:t>000</w:t>
      </w:r>
      <w:r w:rsidR="00311068" w:rsidRPr="0071782F">
        <w:rPr>
          <w:lang w:val="fr-CH"/>
        </w:rPr>
        <w:t> </w:t>
      </w:r>
      <w:r w:rsidRPr="0071782F">
        <w:rPr>
          <w:lang w:val="fr-CH"/>
        </w:rPr>
        <w:t>(9</w:t>
      </w:r>
      <w:r w:rsidR="00E01CA3" w:rsidRPr="0071782F">
        <w:rPr>
          <w:lang w:val="fr-CH"/>
        </w:rPr>
        <w:t>,</w:t>
      </w:r>
      <w:r w:rsidRPr="0071782F">
        <w:rPr>
          <w:lang w:val="fr-CH"/>
        </w:rPr>
        <w:t>18</w:t>
      </w:r>
      <w:r w:rsidR="007E5125" w:rsidRPr="0071782F">
        <w:rPr>
          <w:lang w:val="fr-CH"/>
        </w:rPr>
        <w:t>%</w:t>
      </w:r>
      <w:r w:rsidR="00E01CA3" w:rsidRPr="0071782F">
        <w:rPr>
          <w:lang w:val="fr-CH"/>
        </w:rPr>
        <w:t xml:space="preserve"> des élèves</w:t>
      </w:r>
      <w:r w:rsidRPr="0071782F">
        <w:rPr>
          <w:lang w:val="fr-CH"/>
        </w:rPr>
        <w:t xml:space="preserve">) </w:t>
      </w:r>
      <w:r w:rsidR="00E01CA3" w:rsidRPr="0071782F">
        <w:rPr>
          <w:lang w:val="fr-CH"/>
        </w:rPr>
        <w:t>à</w:t>
      </w:r>
      <w:r w:rsidRPr="0071782F">
        <w:rPr>
          <w:lang w:val="fr-CH"/>
        </w:rPr>
        <w:t xml:space="preserve"> 2</w:t>
      </w:r>
      <w:r w:rsidR="00E01CA3" w:rsidRPr="0071782F">
        <w:rPr>
          <w:lang w:val="fr-CH"/>
        </w:rPr>
        <w:t> </w:t>
      </w:r>
      <w:r w:rsidRPr="0071782F">
        <w:rPr>
          <w:lang w:val="fr-CH"/>
        </w:rPr>
        <w:t>900</w:t>
      </w:r>
      <w:r w:rsidR="00311068" w:rsidRPr="0071782F">
        <w:rPr>
          <w:lang w:val="fr-CH"/>
        </w:rPr>
        <w:t> </w:t>
      </w:r>
      <w:r w:rsidRPr="0071782F">
        <w:rPr>
          <w:lang w:val="fr-CH"/>
        </w:rPr>
        <w:t>000</w:t>
      </w:r>
      <w:r w:rsidR="00097CDB" w:rsidRPr="0071782F">
        <w:rPr>
          <w:lang w:val="fr-CH"/>
        </w:rPr>
        <w:t> millions</w:t>
      </w:r>
      <w:r w:rsidRPr="0071782F">
        <w:rPr>
          <w:lang w:val="fr-CH"/>
        </w:rPr>
        <w:t xml:space="preserve"> (19</w:t>
      </w:r>
      <w:r w:rsidR="00E01CA3" w:rsidRPr="0071782F">
        <w:rPr>
          <w:lang w:val="fr-CH"/>
        </w:rPr>
        <w:t>,</w:t>
      </w:r>
      <w:r w:rsidRPr="0071782F">
        <w:rPr>
          <w:lang w:val="fr-CH"/>
        </w:rPr>
        <w:t>5</w:t>
      </w:r>
      <w:r w:rsidR="007E5125" w:rsidRPr="0071782F">
        <w:rPr>
          <w:lang w:val="fr-CH"/>
        </w:rPr>
        <w:t>%</w:t>
      </w:r>
      <w:r w:rsidR="00E01CA3" w:rsidRPr="0071782F">
        <w:rPr>
          <w:lang w:val="fr-CH"/>
        </w:rPr>
        <w:t xml:space="preserve"> des élèves</w:t>
      </w:r>
      <w:r w:rsidRPr="0071782F">
        <w:rPr>
          <w:lang w:val="fr-CH"/>
        </w:rPr>
        <w:t>).</w:t>
      </w:r>
    </w:p>
    <w:p w:rsidR="00333944" w:rsidRPr="0071782F" w:rsidRDefault="00333944" w:rsidP="00AE4C1A">
      <w:pPr>
        <w:pStyle w:val="SingleTxtG"/>
        <w:ind w:left="1701"/>
        <w:rPr>
          <w:lang w:val="fr-CH"/>
        </w:rPr>
      </w:pPr>
      <w:r w:rsidRPr="0071782F">
        <w:rPr>
          <w:lang w:val="fr-CH"/>
        </w:rPr>
        <w:t>369.19</w:t>
      </w:r>
      <w:r w:rsidR="00AE4C1A" w:rsidRPr="0071782F">
        <w:rPr>
          <w:lang w:val="fr-CH"/>
        </w:rPr>
        <w:t xml:space="preserve">. </w:t>
      </w:r>
      <w:r w:rsidR="00E01CA3" w:rsidRPr="0071782F">
        <w:rPr>
          <w:lang w:val="fr-CH"/>
        </w:rPr>
        <w:t xml:space="preserve">Quatre cents étudiants des écoles de formation technique et professionnelle ont participé au </w:t>
      </w:r>
      <w:r w:rsidR="0071782F" w:rsidRPr="0071782F">
        <w:rPr>
          <w:lang w:val="fr-CH"/>
        </w:rPr>
        <w:t>pèlerinage</w:t>
      </w:r>
      <w:r w:rsidR="00E01CA3" w:rsidRPr="0071782F">
        <w:rPr>
          <w:lang w:val="fr-CH"/>
        </w:rPr>
        <w:t xml:space="preserve"> Omra Hajj</w:t>
      </w:r>
      <w:r w:rsidRPr="0071782F">
        <w:rPr>
          <w:lang w:val="fr-CH"/>
        </w:rPr>
        <w:t>.</w:t>
      </w:r>
    </w:p>
    <w:p w:rsidR="00333944" w:rsidRPr="0071782F" w:rsidRDefault="00333944" w:rsidP="00AE4C1A">
      <w:pPr>
        <w:pStyle w:val="SingleTxtG"/>
        <w:ind w:left="1701"/>
        <w:rPr>
          <w:lang w:val="fr-CH"/>
        </w:rPr>
      </w:pPr>
      <w:r w:rsidRPr="0071782F">
        <w:rPr>
          <w:lang w:val="fr-CH"/>
        </w:rPr>
        <w:t>369.20</w:t>
      </w:r>
      <w:r w:rsidR="00AE4C1A" w:rsidRPr="0071782F">
        <w:rPr>
          <w:lang w:val="fr-CH"/>
        </w:rPr>
        <w:t xml:space="preserve">. </w:t>
      </w:r>
      <w:r w:rsidR="00E01CA3" w:rsidRPr="0071782F">
        <w:rPr>
          <w:lang w:val="fr-CH"/>
        </w:rPr>
        <w:t xml:space="preserve">Onze jeux éducatifs ont été conçus, dont </w:t>
      </w:r>
      <w:r w:rsidRPr="0071782F">
        <w:rPr>
          <w:lang w:val="fr-CH"/>
        </w:rPr>
        <w:t>112</w:t>
      </w:r>
      <w:r w:rsidR="00311068" w:rsidRPr="0071782F">
        <w:rPr>
          <w:lang w:val="fr-CH"/>
        </w:rPr>
        <w:t> </w:t>
      </w:r>
      <w:r w:rsidRPr="0071782F">
        <w:rPr>
          <w:lang w:val="fr-CH"/>
        </w:rPr>
        <w:t>000</w:t>
      </w:r>
      <w:r w:rsidR="00311068" w:rsidRPr="0071782F">
        <w:rPr>
          <w:lang w:val="fr-CH"/>
        </w:rPr>
        <w:t> </w:t>
      </w:r>
      <w:r w:rsidR="00E01CA3" w:rsidRPr="0071782F">
        <w:rPr>
          <w:lang w:val="fr-CH"/>
        </w:rPr>
        <w:t xml:space="preserve">exemplaires ont été fabriqués </w:t>
      </w:r>
      <w:r w:rsidRPr="0071782F">
        <w:rPr>
          <w:lang w:val="fr-CH"/>
        </w:rPr>
        <w:t>(</w:t>
      </w:r>
      <w:r w:rsidR="00E01CA3" w:rsidRPr="0071782F">
        <w:rPr>
          <w:lang w:val="fr-CH"/>
        </w:rPr>
        <w:t xml:space="preserve">soit une augmentation de </w:t>
      </w:r>
      <w:r w:rsidRPr="0071782F">
        <w:rPr>
          <w:lang w:val="fr-CH"/>
        </w:rPr>
        <w:t>18</w:t>
      </w:r>
      <w:r w:rsidR="007E5125" w:rsidRPr="0071782F">
        <w:rPr>
          <w:lang w:val="fr-CH"/>
        </w:rPr>
        <w:t>%</w:t>
      </w:r>
      <w:r w:rsidRPr="0071782F">
        <w:rPr>
          <w:lang w:val="fr-CH"/>
        </w:rPr>
        <w:t>).</w:t>
      </w:r>
    </w:p>
    <w:p w:rsidR="00333944" w:rsidRPr="0071782F" w:rsidRDefault="00333944" w:rsidP="00AE4C1A">
      <w:pPr>
        <w:pStyle w:val="SingleTxtG"/>
        <w:ind w:left="1701"/>
        <w:rPr>
          <w:lang w:val="fr-CH"/>
        </w:rPr>
      </w:pPr>
      <w:r w:rsidRPr="0071782F">
        <w:rPr>
          <w:lang w:val="fr-CH"/>
        </w:rPr>
        <w:t>369.21</w:t>
      </w:r>
      <w:r w:rsidR="00AE4C1A" w:rsidRPr="0071782F">
        <w:rPr>
          <w:lang w:val="fr-CH"/>
        </w:rPr>
        <w:t xml:space="preserve">. </w:t>
      </w:r>
      <w:r w:rsidR="00C10A56" w:rsidRPr="0071782F">
        <w:rPr>
          <w:lang w:val="fr-CH"/>
        </w:rPr>
        <w:t>Le nombre de membres des centres culturels et artistiques du Centre pour le développement intellectue</w:t>
      </w:r>
      <w:r w:rsidRPr="0071782F">
        <w:rPr>
          <w:lang w:val="fr-CH"/>
        </w:rPr>
        <w:t xml:space="preserve">l </w:t>
      </w:r>
      <w:r w:rsidR="00C10A56" w:rsidRPr="0071782F">
        <w:rPr>
          <w:lang w:val="fr-CH"/>
        </w:rPr>
        <w:t xml:space="preserve">des enfants et des </w:t>
      </w:r>
      <w:r w:rsidR="00B13F4B" w:rsidRPr="0071782F">
        <w:rPr>
          <w:lang w:val="fr-CH"/>
        </w:rPr>
        <w:t>adolescents</w:t>
      </w:r>
      <w:r w:rsidR="00C10A56" w:rsidRPr="0071782F">
        <w:rPr>
          <w:lang w:val="fr-CH"/>
        </w:rPr>
        <w:t xml:space="preserve"> a augmenté de </w:t>
      </w:r>
      <w:r w:rsidRPr="0071782F">
        <w:rPr>
          <w:lang w:val="fr-CH"/>
        </w:rPr>
        <w:t>23</w:t>
      </w:r>
      <w:r w:rsidR="007E5125" w:rsidRPr="0071782F">
        <w:rPr>
          <w:lang w:val="fr-CH"/>
        </w:rPr>
        <w:t>%</w:t>
      </w:r>
      <w:r w:rsidR="00C10A56" w:rsidRPr="0071782F">
        <w:rPr>
          <w:lang w:val="fr-CH"/>
        </w:rPr>
        <w:t xml:space="preserve"> pour atteindre les </w:t>
      </w:r>
      <w:r w:rsidRPr="0071782F">
        <w:rPr>
          <w:lang w:val="fr-CH"/>
        </w:rPr>
        <w:t>520</w:t>
      </w:r>
      <w:r w:rsidR="00816714">
        <w:rPr>
          <w:lang w:val="fr-CH"/>
        </w:rPr>
        <w:t> </w:t>
      </w:r>
      <w:r w:rsidRPr="0071782F">
        <w:rPr>
          <w:lang w:val="fr-CH"/>
        </w:rPr>
        <w:t>000.</w:t>
      </w:r>
    </w:p>
    <w:p w:rsidR="00333944" w:rsidRPr="0071782F" w:rsidRDefault="00333944" w:rsidP="00AE4C1A">
      <w:pPr>
        <w:pStyle w:val="SingleTxtG"/>
        <w:ind w:left="1701"/>
        <w:rPr>
          <w:lang w:val="fr-CH"/>
        </w:rPr>
      </w:pPr>
      <w:r w:rsidRPr="0071782F">
        <w:rPr>
          <w:lang w:val="fr-CH"/>
        </w:rPr>
        <w:t>369.22</w:t>
      </w:r>
      <w:r w:rsidR="00AE4C1A" w:rsidRPr="0071782F">
        <w:rPr>
          <w:lang w:val="fr-CH"/>
        </w:rPr>
        <w:t xml:space="preserve">. </w:t>
      </w:r>
      <w:r w:rsidR="00C10A56" w:rsidRPr="0071782F">
        <w:rPr>
          <w:lang w:val="fr-CH"/>
        </w:rPr>
        <w:t xml:space="preserve">Le Centre pour le développement intellectuel des enfants et des </w:t>
      </w:r>
      <w:r w:rsidR="00B13F4B" w:rsidRPr="0071782F">
        <w:rPr>
          <w:lang w:val="fr-CH"/>
        </w:rPr>
        <w:t>adolescents</w:t>
      </w:r>
      <w:r w:rsidR="00C10A56" w:rsidRPr="0071782F">
        <w:rPr>
          <w:lang w:val="fr-CH"/>
        </w:rPr>
        <w:t xml:space="preserve"> a été choisi comme éditeur de l’année lors de la Foire internationale du livre de Téhéran tenue en 2006.</w:t>
      </w:r>
    </w:p>
    <w:p w:rsidR="00333944" w:rsidRPr="0071782F" w:rsidRDefault="00333944" w:rsidP="00AE4C1A">
      <w:pPr>
        <w:pStyle w:val="SingleTxtG"/>
        <w:ind w:left="1701"/>
        <w:rPr>
          <w:lang w:val="fr-CH"/>
        </w:rPr>
      </w:pPr>
      <w:r w:rsidRPr="0071782F">
        <w:rPr>
          <w:lang w:val="fr-CH"/>
        </w:rPr>
        <w:t>369.23</w:t>
      </w:r>
      <w:r w:rsidR="00AE4C1A" w:rsidRPr="0071782F">
        <w:rPr>
          <w:lang w:val="fr-CH"/>
        </w:rPr>
        <w:t xml:space="preserve">. </w:t>
      </w:r>
      <w:r w:rsidR="00C10A56" w:rsidRPr="0071782F">
        <w:rPr>
          <w:lang w:val="fr-CH"/>
        </w:rPr>
        <w:t xml:space="preserve">Pendant l’année scolaire </w:t>
      </w:r>
      <w:r w:rsidRPr="0071782F">
        <w:rPr>
          <w:lang w:val="fr-CH"/>
        </w:rPr>
        <w:t xml:space="preserve">2006, </w:t>
      </w:r>
      <w:r w:rsidR="00C10A56" w:rsidRPr="0071782F">
        <w:rPr>
          <w:lang w:val="fr-CH"/>
        </w:rPr>
        <w:t xml:space="preserve">le programme de promotion de la santé a été présenté dans </w:t>
      </w:r>
      <w:r w:rsidRPr="0071782F">
        <w:rPr>
          <w:lang w:val="fr-CH"/>
        </w:rPr>
        <w:t>1</w:t>
      </w:r>
      <w:r w:rsidR="00C10A56" w:rsidRPr="0071782F">
        <w:rPr>
          <w:lang w:val="fr-CH"/>
        </w:rPr>
        <w:t xml:space="preserve"> </w:t>
      </w:r>
      <w:r w:rsidRPr="0071782F">
        <w:rPr>
          <w:lang w:val="fr-CH"/>
        </w:rPr>
        <w:t xml:space="preserve">346 </w:t>
      </w:r>
      <w:r w:rsidR="00C10A56" w:rsidRPr="0071782F">
        <w:rPr>
          <w:lang w:val="fr-CH"/>
        </w:rPr>
        <w:t xml:space="preserve">écoles secondaires du second cycle à </w:t>
      </w:r>
      <w:r w:rsidRPr="0071782F">
        <w:rPr>
          <w:lang w:val="fr-CH"/>
        </w:rPr>
        <w:t>261</w:t>
      </w:r>
      <w:r w:rsidR="00311068" w:rsidRPr="0071782F">
        <w:rPr>
          <w:lang w:val="fr-CH"/>
        </w:rPr>
        <w:t> </w:t>
      </w:r>
      <w:r w:rsidRPr="0071782F">
        <w:rPr>
          <w:lang w:val="fr-CH"/>
        </w:rPr>
        <w:t>089</w:t>
      </w:r>
      <w:r w:rsidR="00311068" w:rsidRPr="0071782F">
        <w:rPr>
          <w:lang w:val="fr-CH"/>
        </w:rPr>
        <w:t> </w:t>
      </w:r>
      <w:r w:rsidR="00C10A56" w:rsidRPr="0071782F">
        <w:rPr>
          <w:lang w:val="fr-CH"/>
        </w:rPr>
        <w:t>élèves</w:t>
      </w:r>
      <w:r w:rsidRPr="0071782F">
        <w:rPr>
          <w:lang w:val="fr-CH"/>
        </w:rPr>
        <w:t>.</w:t>
      </w:r>
    </w:p>
    <w:p w:rsidR="00333944" w:rsidRPr="0071782F" w:rsidRDefault="00333944" w:rsidP="00AE4C1A">
      <w:pPr>
        <w:pStyle w:val="SingleTxtG"/>
        <w:ind w:left="1701"/>
        <w:rPr>
          <w:lang w:val="fr-CH"/>
        </w:rPr>
      </w:pPr>
      <w:r w:rsidRPr="0071782F">
        <w:rPr>
          <w:lang w:val="fr-CH"/>
        </w:rPr>
        <w:t>369.24</w:t>
      </w:r>
      <w:r w:rsidR="00AE4C1A" w:rsidRPr="0071782F">
        <w:rPr>
          <w:lang w:val="fr-CH"/>
        </w:rPr>
        <w:t xml:space="preserve">. </w:t>
      </w:r>
      <w:r w:rsidR="00C10A56" w:rsidRPr="0071782F">
        <w:rPr>
          <w:lang w:val="fr-CH"/>
        </w:rPr>
        <w:t>La même année, le programme de formation à la vie pratique a été présenté dans</w:t>
      </w:r>
      <w:r w:rsidRPr="0071782F">
        <w:rPr>
          <w:lang w:val="fr-CH"/>
        </w:rPr>
        <w:t xml:space="preserve"> 2</w:t>
      </w:r>
      <w:r w:rsidR="00C10A56" w:rsidRPr="0071782F">
        <w:rPr>
          <w:lang w:val="fr-CH"/>
        </w:rPr>
        <w:t> </w:t>
      </w:r>
      <w:r w:rsidRPr="0071782F">
        <w:rPr>
          <w:lang w:val="fr-CH"/>
        </w:rPr>
        <w:t xml:space="preserve">260 </w:t>
      </w:r>
      <w:r w:rsidR="00C10A56" w:rsidRPr="0071782F">
        <w:rPr>
          <w:lang w:val="fr-CH"/>
        </w:rPr>
        <w:t>écoles secondaires du premier cycle à 264</w:t>
      </w:r>
      <w:r w:rsidR="00311068" w:rsidRPr="0071782F">
        <w:rPr>
          <w:lang w:val="fr-CH"/>
        </w:rPr>
        <w:t> </w:t>
      </w:r>
      <w:r w:rsidRPr="0071782F">
        <w:rPr>
          <w:lang w:val="fr-CH"/>
        </w:rPr>
        <w:t xml:space="preserve">723 </w:t>
      </w:r>
      <w:r w:rsidR="00C10A56" w:rsidRPr="0071782F">
        <w:rPr>
          <w:lang w:val="fr-CH"/>
        </w:rPr>
        <w:t>élèves</w:t>
      </w:r>
      <w:r w:rsidRPr="0071782F">
        <w:rPr>
          <w:lang w:val="fr-CH"/>
        </w:rPr>
        <w:t>.</w:t>
      </w:r>
    </w:p>
    <w:p w:rsidR="00333944" w:rsidRPr="0071782F" w:rsidRDefault="00333944" w:rsidP="00AE4C1A">
      <w:pPr>
        <w:pStyle w:val="SingleTxtG"/>
        <w:ind w:left="1701"/>
        <w:rPr>
          <w:lang w:val="fr-CH"/>
        </w:rPr>
      </w:pPr>
      <w:r w:rsidRPr="0071782F">
        <w:rPr>
          <w:lang w:val="fr-CH"/>
        </w:rPr>
        <w:t>369.25</w:t>
      </w:r>
      <w:r w:rsidR="00AE4C1A" w:rsidRPr="0071782F">
        <w:rPr>
          <w:lang w:val="fr-CH"/>
        </w:rPr>
        <w:t xml:space="preserve">. </w:t>
      </w:r>
      <w:r w:rsidR="007F48AC" w:rsidRPr="0071782F">
        <w:rPr>
          <w:lang w:val="fr-CH"/>
        </w:rPr>
        <w:t xml:space="preserve">Le siège du PAD a été créé au Ministère de l’éducation pour prévenir le tabagisme et promouvoir la santé physique, psychologique et </w:t>
      </w:r>
      <w:r w:rsidRPr="0071782F">
        <w:rPr>
          <w:lang w:val="fr-CH"/>
        </w:rPr>
        <w:t>social</w:t>
      </w:r>
      <w:r w:rsidR="007F48AC" w:rsidRPr="0071782F">
        <w:rPr>
          <w:lang w:val="fr-CH"/>
        </w:rPr>
        <w:t>e</w:t>
      </w:r>
      <w:r w:rsidRPr="0071782F">
        <w:rPr>
          <w:lang w:val="fr-CH"/>
        </w:rPr>
        <w:t xml:space="preserve"> </w:t>
      </w:r>
      <w:r w:rsidR="007F48AC" w:rsidRPr="0071782F">
        <w:rPr>
          <w:lang w:val="fr-CH"/>
        </w:rPr>
        <w:t>des élèves</w:t>
      </w:r>
      <w:r w:rsidRPr="0071782F">
        <w:rPr>
          <w:lang w:val="fr-CH"/>
        </w:rPr>
        <w:t>.</w:t>
      </w:r>
    </w:p>
    <w:p w:rsidR="00333944" w:rsidRPr="0071782F" w:rsidRDefault="00333944" w:rsidP="00AE4C1A">
      <w:pPr>
        <w:pStyle w:val="SingleTxtG"/>
        <w:ind w:left="1701"/>
        <w:rPr>
          <w:lang w:val="fr-CH"/>
        </w:rPr>
      </w:pPr>
      <w:r w:rsidRPr="0071782F">
        <w:rPr>
          <w:lang w:val="fr-CH"/>
        </w:rPr>
        <w:t>369.26</w:t>
      </w:r>
      <w:r w:rsidR="00AE4C1A" w:rsidRPr="0071782F">
        <w:rPr>
          <w:lang w:val="fr-CH"/>
        </w:rPr>
        <w:t xml:space="preserve">. </w:t>
      </w:r>
      <w:r w:rsidR="0037718D" w:rsidRPr="0071782F">
        <w:rPr>
          <w:lang w:val="fr-CH"/>
        </w:rPr>
        <w:t xml:space="preserve">Des clubs de </w:t>
      </w:r>
      <w:r w:rsidRPr="0071782F">
        <w:rPr>
          <w:lang w:val="fr-CH"/>
        </w:rPr>
        <w:t>volley</w:t>
      </w:r>
      <w:r w:rsidR="0037718D" w:rsidRPr="0071782F">
        <w:rPr>
          <w:lang w:val="fr-CH"/>
        </w:rPr>
        <w:t>-</w:t>
      </w:r>
      <w:r w:rsidRPr="0071782F">
        <w:rPr>
          <w:lang w:val="fr-CH"/>
        </w:rPr>
        <w:t xml:space="preserve">ball, </w:t>
      </w:r>
      <w:r w:rsidR="0037718D" w:rsidRPr="0071782F">
        <w:rPr>
          <w:lang w:val="fr-CH"/>
        </w:rPr>
        <w:t xml:space="preserve">de </w:t>
      </w:r>
      <w:r w:rsidRPr="0071782F">
        <w:rPr>
          <w:lang w:val="fr-CH"/>
        </w:rPr>
        <w:t>basket</w:t>
      </w:r>
      <w:r w:rsidR="0037718D" w:rsidRPr="0071782F">
        <w:rPr>
          <w:lang w:val="fr-CH"/>
        </w:rPr>
        <w:t>-</w:t>
      </w:r>
      <w:r w:rsidRPr="0071782F">
        <w:rPr>
          <w:lang w:val="fr-CH"/>
        </w:rPr>
        <w:t xml:space="preserve">ball, </w:t>
      </w:r>
      <w:r w:rsidR="0037718D" w:rsidRPr="0071782F">
        <w:rPr>
          <w:lang w:val="fr-CH"/>
        </w:rPr>
        <w:t xml:space="preserve">de </w:t>
      </w:r>
      <w:r w:rsidRPr="0071782F">
        <w:rPr>
          <w:lang w:val="fr-CH"/>
        </w:rPr>
        <w:t xml:space="preserve">football, </w:t>
      </w:r>
      <w:r w:rsidR="0037718D" w:rsidRPr="0071782F">
        <w:rPr>
          <w:lang w:val="fr-CH"/>
        </w:rPr>
        <w:t xml:space="preserve">de ping-pong et de </w:t>
      </w:r>
      <w:r w:rsidRPr="0071782F">
        <w:rPr>
          <w:lang w:val="fr-CH"/>
        </w:rPr>
        <w:t>gymnasti</w:t>
      </w:r>
      <w:r w:rsidR="0037718D" w:rsidRPr="0071782F">
        <w:rPr>
          <w:lang w:val="fr-CH"/>
        </w:rPr>
        <w:t>que</w:t>
      </w:r>
      <w:r w:rsidRPr="0071782F">
        <w:rPr>
          <w:lang w:val="fr-CH"/>
        </w:rPr>
        <w:t xml:space="preserve"> </w:t>
      </w:r>
      <w:r w:rsidR="0037718D" w:rsidRPr="0071782F">
        <w:rPr>
          <w:lang w:val="fr-CH"/>
        </w:rPr>
        <w:t xml:space="preserve">pour garçons sont mis sur pied à </w:t>
      </w:r>
      <w:r w:rsidRPr="0071782F">
        <w:rPr>
          <w:lang w:val="fr-CH"/>
        </w:rPr>
        <w:t>T</w:t>
      </w:r>
      <w:r w:rsidR="0037718D" w:rsidRPr="0071782F">
        <w:rPr>
          <w:lang w:val="fr-CH"/>
        </w:rPr>
        <w:t>é</w:t>
      </w:r>
      <w:r w:rsidRPr="0071782F">
        <w:rPr>
          <w:lang w:val="fr-CH"/>
        </w:rPr>
        <w:t>h</w:t>
      </w:r>
      <w:r w:rsidR="0037718D" w:rsidRPr="0071782F">
        <w:rPr>
          <w:lang w:val="fr-CH"/>
        </w:rPr>
        <w:t>ér</w:t>
      </w:r>
      <w:r w:rsidRPr="0071782F">
        <w:rPr>
          <w:lang w:val="fr-CH"/>
        </w:rPr>
        <w:t>an</w:t>
      </w:r>
      <w:r w:rsidR="0037718D" w:rsidRPr="0071782F">
        <w:rPr>
          <w:lang w:val="fr-CH"/>
        </w:rPr>
        <w:t xml:space="preserve"> et dans d’autres villes de la province de </w:t>
      </w:r>
      <w:r w:rsidRPr="0071782F">
        <w:rPr>
          <w:lang w:val="fr-CH"/>
        </w:rPr>
        <w:t>T</w:t>
      </w:r>
      <w:r w:rsidR="0037718D" w:rsidRPr="0071782F">
        <w:rPr>
          <w:lang w:val="fr-CH"/>
        </w:rPr>
        <w:t>é</w:t>
      </w:r>
      <w:r w:rsidRPr="0071782F">
        <w:rPr>
          <w:lang w:val="fr-CH"/>
        </w:rPr>
        <w:t>h</w:t>
      </w:r>
      <w:r w:rsidR="0037718D" w:rsidRPr="0071782F">
        <w:rPr>
          <w:lang w:val="fr-CH"/>
        </w:rPr>
        <w:t>é</w:t>
      </w:r>
      <w:r w:rsidRPr="0071782F">
        <w:rPr>
          <w:lang w:val="fr-CH"/>
        </w:rPr>
        <w:t>ran, a</w:t>
      </w:r>
      <w:r w:rsidR="0037718D" w:rsidRPr="0071782F">
        <w:rPr>
          <w:lang w:val="fr-CH"/>
        </w:rPr>
        <w:t xml:space="preserve">insi que dans les </w:t>
      </w:r>
      <w:r w:rsidRPr="0071782F">
        <w:rPr>
          <w:lang w:val="fr-CH"/>
        </w:rPr>
        <w:t xml:space="preserve">provinces </w:t>
      </w:r>
      <w:r w:rsidR="0037718D" w:rsidRPr="0071782F">
        <w:rPr>
          <w:lang w:val="fr-CH"/>
        </w:rPr>
        <w:t>de l’</w:t>
      </w:r>
      <w:r w:rsidRPr="0071782F">
        <w:rPr>
          <w:lang w:val="fr-CH"/>
        </w:rPr>
        <w:t>Azerba</w:t>
      </w:r>
      <w:r w:rsidR="0037718D" w:rsidRPr="0071782F">
        <w:rPr>
          <w:lang w:val="fr-CH"/>
        </w:rPr>
        <w:t>ïdjan oriental et occidental</w:t>
      </w:r>
      <w:r w:rsidRPr="0071782F">
        <w:rPr>
          <w:lang w:val="fr-CH"/>
        </w:rPr>
        <w:t>.</w:t>
      </w:r>
    </w:p>
    <w:p w:rsidR="00333944" w:rsidRPr="0071782F" w:rsidRDefault="00333944" w:rsidP="00311068">
      <w:pPr>
        <w:pStyle w:val="SingleTxtG"/>
        <w:ind w:left="1701"/>
        <w:rPr>
          <w:lang w:val="fr-CH"/>
        </w:rPr>
      </w:pPr>
      <w:r w:rsidRPr="0071782F">
        <w:rPr>
          <w:lang w:val="fr-CH"/>
        </w:rPr>
        <w:t>369.27</w:t>
      </w:r>
      <w:r w:rsidR="00AE4C1A" w:rsidRPr="0071782F">
        <w:rPr>
          <w:lang w:val="fr-CH"/>
        </w:rPr>
        <w:t xml:space="preserve">. </w:t>
      </w:r>
      <w:r w:rsidR="007812CB" w:rsidRPr="0071782F">
        <w:rPr>
          <w:lang w:val="fr-CH"/>
        </w:rPr>
        <w:t xml:space="preserve">On a mis en place un système de détection des talents et de définition de critères sportifs pour les écoliers en tirant parti de la participation de </w:t>
      </w:r>
      <w:r w:rsidRPr="0071782F">
        <w:rPr>
          <w:lang w:val="fr-CH"/>
        </w:rPr>
        <w:t>600</w:t>
      </w:r>
      <w:r w:rsidR="00816714">
        <w:rPr>
          <w:lang w:val="fr-CH"/>
        </w:rPr>
        <w:t> </w:t>
      </w:r>
      <w:r w:rsidR="007812CB" w:rsidRPr="0071782F">
        <w:rPr>
          <w:lang w:val="fr-CH"/>
        </w:rPr>
        <w:t>écoliers des deux sexes</w:t>
      </w:r>
      <w:r w:rsidRPr="0071782F">
        <w:rPr>
          <w:lang w:val="fr-CH"/>
        </w:rPr>
        <w:t xml:space="preserve"> </w:t>
      </w:r>
      <w:r w:rsidR="007812CB" w:rsidRPr="0071782F">
        <w:rPr>
          <w:lang w:val="fr-CH"/>
        </w:rPr>
        <w:t>à des compé</w:t>
      </w:r>
      <w:r w:rsidRPr="0071782F">
        <w:rPr>
          <w:lang w:val="fr-CH"/>
        </w:rPr>
        <w:t>titions</w:t>
      </w:r>
      <w:r w:rsidR="007812CB" w:rsidRPr="0071782F">
        <w:rPr>
          <w:lang w:val="fr-CH"/>
        </w:rPr>
        <w:t xml:space="preserve"> sportives</w:t>
      </w:r>
      <w:r w:rsidRPr="0071782F">
        <w:rPr>
          <w:lang w:val="fr-CH"/>
        </w:rPr>
        <w:t xml:space="preserve">. </w:t>
      </w:r>
      <w:r w:rsidR="007812CB" w:rsidRPr="0071782F">
        <w:rPr>
          <w:lang w:val="fr-CH"/>
        </w:rPr>
        <w:t>Dans le même esprit, 27</w:t>
      </w:r>
      <w:r w:rsidR="00816714">
        <w:rPr>
          <w:lang w:val="fr-CH"/>
        </w:rPr>
        <w:t> </w:t>
      </w:r>
      <w:r w:rsidR="007812CB" w:rsidRPr="0071782F">
        <w:rPr>
          <w:lang w:val="fr-CH"/>
        </w:rPr>
        <w:t>centres de détection d’</w:t>
      </w:r>
      <w:r w:rsidRPr="0071782F">
        <w:rPr>
          <w:lang w:val="fr-CH"/>
        </w:rPr>
        <w:t>athl</w:t>
      </w:r>
      <w:r w:rsidR="007812CB" w:rsidRPr="0071782F">
        <w:rPr>
          <w:lang w:val="fr-CH"/>
        </w:rPr>
        <w:t xml:space="preserve">ètes talentueux parmi les écoliers ont été ouverts dans les </w:t>
      </w:r>
      <w:r w:rsidRPr="0071782F">
        <w:rPr>
          <w:lang w:val="fr-CH"/>
        </w:rPr>
        <w:t xml:space="preserve">provinces </w:t>
      </w:r>
      <w:r w:rsidR="007812CB" w:rsidRPr="0071782F">
        <w:rPr>
          <w:lang w:val="fr-CH"/>
        </w:rPr>
        <w:t>du pays</w:t>
      </w:r>
      <w:r w:rsidRPr="0071782F">
        <w:rPr>
          <w:lang w:val="fr-CH"/>
        </w:rPr>
        <w:t>.</w:t>
      </w:r>
    </w:p>
    <w:p w:rsidR="00333944" w:rsidRPr="0071782F" w:rsidRDefault="00333944" w:rsidP="00AE4C1A">
      <w:pPr>
        <w:pStyle w:val="SingleTxtG"/>
        <w:ind w:left="1701"/>
        <w:rPr>
          <w:lang w:val="fr-CH"/>
        </w:rPr>
      </w:pPr>
      <w:r w:rsidRPr="0071782F">
        <w:rPr>
          <w:lang w:val="fr-CH"/>
        </w:rPr>
        <w:t>369.28</w:t>
      </w:r>
      <w:r w:rsidR="00AE4C1A" w:rsidRPr="0071782F">
        <w:rPr>
          <w:lang w:val="fr-CH"/>
        </w:rPr>
        <w:t xml:space="preserve">. </w:t>
      </w:r>
      <w:r w:rsidR="007812CB" w:rsidRPr="0071782F">
        <w:rPr>
          <w:lang w:val="fr-CH"/>
        </w:rPr>
        <w:t xml:space="preserve">Le </w:t>
      </w:r>
      <w:r w:rsidRPr="0071782F">
        <w:rPr>
          <w:lang w:val="fr-CH"/>
        </w:rPr>
        <w:t>program</w:t>
      </w:r>
      <w:r w:rsidR="007812CB" w:rsidRPr="0071782F">
        <w:rPr>
          <w:lang w:val="fr-CH"/>
        </w:rPr>
        <w:t xml:space="preserve">me de mesure de la taille et d’évaluation de la préparation physique de </w:t>
      </w:r>
      <w:r w:rsidRPr="0071782F">
        <w:rPr>
          <w:lang w:val="fr-CH"/>
        </w:rPr>
        <w:t>650</w:t>
      </w:r>
      <w:r w:rsidR="007812CB" w:rsidRPr="0071782F">
        <w:rPr>
          <w:lang w:val="fr-CH"/>
        </w:rPr>
        <w:t xml:space="preserve"> </w:t>
      </w:r>
      <w:r w:rsidRPr="0071782F">
        <w:rPr>
          <w:lang w:val="fr-CH"/>
        </w:rPr>
        <w:t xml:space="preserve">000 </w:t>
      </w:r>
      <w:r w:rsidR="007812CB" w:rsidRPr="0071782F">
        <w:rPr>
          <w:lang w:val="fr-CH"/>
        </w:rPr>
        <w:t>écoliers et écolières a été couronné par la remise de certificats de santé</w:t>
      </w:r>
      <w:r w:rsidRPr="0071782F">
        <w:rPr>
          <w:lang w:val="fr-CH"/>
        </w:rPr>
        <w:t>.</w:t>
      </w:r>
    </w:p>
    <w:p w:rsidR="00333944" w:rsidRPr="0071782F" w:rsidRDefault="00333944" w:rsidP="00AE4C1A">
      <w:pPr>
        <w:pStyle w:val="SingleTxtG"/>
        <w:ind w:left="1701"/>
        <w:rPr>
          <w:lang w:val="fr-CH"/>
        </w:rPr>
      </w:pPr>
      <w:r w:rsidRPr="0071782F">
        <w:rPr>
          <w:lang w:val="fr-CH"/>
        </w:rPr>
        <w:t>369.29</w:t>
      </w:r>
      <w:r w:rsidR="00AE4C1A" w:rsidRPr="0071782F">
        <w:rPr>
          <w:lang w:val="fr-CH"/>
        </w:rPr>
        <w:t xml:space="preserve">. </w:t>
      </w:r>
      <w:r w:rsidR="003F4914" w:rsidRPr="0071782F">
        <w:rPr>
          <w:lang w:val="fr-CH"/>
        </w:rPr>
        <w:t xml:space="preserve">Le </w:t>
      </w:r>
      <w:r w:rsidRPr="0071782F">
        <w:rPr>
          <w:lang w:val="fr-CH"/>
        </w:rPr>
        <w:t xml:space="preserve">festival </w:t>
      </w:r>
      <w:r w:rsidR="003F4914" w:rsidRPr="0071782F">
        <w:rPr>
          <w:lang w:val="fr-CH"/>
        </w:rPr>
        <w:t xml:space="preserve">sportif des élèves des deux sexes des écoles primaires et secondaires du premier cycle s’est tenu dans les </w:t>
      </w:r>
      <w:r w:rsidRPr="0071782F">
        <w:rPr>
          <w:lang w:val="fr-CH"/>
        </w:rPr>
        <w:t xml:space="preserve">provinces </w:t>
      </w:r>
      <w:r w:rsidR="003F4914" w:rsidRPr="0071782F">
        <w:rPr>
          <w:lang w:val="fr-CH"/>
        </w:rPr>
        <w:t xml:space="preserve">de </w:t>
      </w:r>
      <w:r w:rsidRPr="0071782F">
        <w:rPr>
          <w:lang w:val="fr-CH"/>
        </w:rPr>
        <w:t>T</w:t>
      </w:r>
      <w:r w:rsidR="003F4914" w:rsidRPr="0071782F">
        <w:rPr>
          <w:lang w:val="fr-CH"/>
        </w:rPr>
        <w:t>é</w:t>
      </w:r>
      <w:r w:rsidRPr="0071782F">
        <w:rPr>
          <w:lang w:val="fr-CH"/>
        </w:rPr>
        <w:t>h</w:t>
      </w:r>
      <w:r w:rsidR="003F4914" w:rsidRPr="0071782F">
        <w:rPr>
          <w:lang w:val="fr-CH"/>
        </w:rPr>
        <w:t>é</w:t>
      </w:r>
      <w:r w:rsidR="00481D67" w:rsidRPr="0071782F">
        <w:rPr>
          <w:lang w:val="fr-CH"/>
        </w:rPr>
        <w:t>r</w:t>
      </w:r>
      <w:r w:rsidRPr="0071782F">
        <w:rPr>
          <w:lang w:val="fr-CH"/>
        </w:rPr>
        <w:t xml:space="preserve">an </w:t>
      </w:r>
      <w:r w:rsidR="003F4914" w:rsidRPr="0071782F">
        <w:rPr>
          <w:lang w:val="fr-CH"/>
        </w:rPr>
        <w:t xml:space="preserve">et de </w:t>
      </w:r>
      <w:r w:rsidRPr="0071782F">
        <w:rPr>
          <w:lang w:val="fr-CH"/>
        </w:rPr>
        <w:t xml:space="preserve">Qazvin. </w:t>
      </w:r>
    </w:p>
    <w:p w:rsidR="00333944" w:rsidRPr="0071782F" w:rsidRDefault="00333944" w:rsidP="00AE4C1A">
      <w:pPr>
        <w:pStyle w:val="SingleTxtG"/>
        <w:ind w:left="1701"/>
        <w:rPr>
          <w:lang w:val="fr-CH"/>
        </w:rPr>
      </w:pPr>
      <w:r w:rsidRPr="0071782F">
        <w:rPr>
          <w:lang w:val="fr-CH"/>
        </w:rPr>
        <w:t>369.30</w:t>
      </w:r>
      <w:r w:rsidR="00AE4C1A" w:rsidRPr="0071782F">
        <w:rPr>
          <w:lang w:val="fr-CH"/>
        </w:rPr>
        <w:t xml:space="preserve">. </w:t>
      </w:r>
      <w:r w:rsidR="003F4914" w:rsidRPr="0071782F">
        <w:rPr>
          <w:lang w:val="fr-CH"/>
        </w:rPr>
        <w:t>Le programme de formation à la vie pratique dispensé dans cinq provinces depuis le cycle d’éducation préscolaire jusqu’à la fin de l’enseignement primaire a été étendu à 15 provinces</w:t>
      </w:r>
      <w:r w:rsidRPr="0071782F">
        <w:rPr>
          <w:lang w:val="fr-CH"/>
        </w:rPr>
        <w:t>.</w:t>
      </w:r>
    </w:p>
    <w:p w:rsidR="00333944" w:rsidRPr="0071782F" w:rsidRDefault="00333944" w:rsidP="00AE4C1A">
      <w:pPr>
        <w:pStyle w:val="SingleTxtG"/>
        <w:ind w:left="1701"/>
        <w:rPr>
          <w:lang w:val="fr-CH"/>
        </w:rPr>
      </w:pPr>
      <w:r w:rsidRPr="0071782F">
        <w:rPr>
          <w:lang w:val="fr-CH"/>
        </w:rPr>
        <w:t>369.31</w:t>
      </w:r>
      <w:r w:rsidR="00AE4C1A" w:rsidRPr="0071782F">
        <w:rPr>
          <w:lang w:val="fr-CH"/>
        </w:rPr>
        <w:t xml:space="preserve">. </w:t>
      </w:r>
      <w:r w:rsidR="002721A7" w:rsidRPr="0071782F">
        <w:rPr>
          <w:lang w:val="fr-CH"/>
        </w:rPr>
        <w:t>Le nombre de provinces possédant des centres de nutrition saine, destinés à améliorer les habitudes alimentaires et le niveau des connaissances en la matière, est passé de cinq à 31.</w:t>
      </w:r>
      <w:r w:rsidR="00D36718">
        <w:rPr>
          <w:lang w:val="fr-CH"/>
        </w:rPr>
        <w:t xml:space="preserve"> </w:t>
      </w:r>
    </w:p>
    <w:p w:rsidR="00333944" w:rsidRPr="0071782F" w:rsidRDefault="00333944" w:rsidP="00AE4C1A">
      <w:pPr>
        <w:pStyle w:val="SingleTxtG"/>
        <w:ind w:left="1701"/>
        <w:rPr>
          <w:lang w:val="fr-CH"/>
        </w:rPr>
      </w:pPr>
      <w:r w:rsidRPr="0071782F">
        <w:rPr>
          <w:lang w:val="fr-CH"/>
        </w:rPr>
        <w:t>369.32</w:t>
      </w:r>
      <w:r w:rsidR="00AE4C1A" w:rsidRPr="0071782F">
        <w:rPr>
          <w:lang w:val="fr-CH"/>
        </w:rPr>
        <w:t xml:space="preserve">. </w:t>
      </w:r>
      <w:r w:rsidR="002721A7" w:rsidRPr="0071782F">
        <w:rPr>
          <w:lang w:val="fr-CH"/>
        </w:rPr>
        <w:t xml:space="preserve">Le Programme de connaissance du Coran intitulé Le zéphyr a été dispensé à </w:t>
      </w:r>
      <w:r w:rsidRPr="0071782F">
        <w:rPr>
          <w:lang w:val="fr-CH"/>
        </w:rPr>
        <w:t>200</w:t>
      </w:r>
      <w:r w:rsidR="00816714">
        <w:rPr>
          <w:lang w:val="fr-CH"/>
        </w:rPr>
        <w:t> </w:t>
      </w:r>
      <w:r w:rsidRPr="0071782F">
        <w:rPr>
          <w:lang w:val="fr-CH"/>
        </w:rPr>
        <w:t>000</w:t>
      </w:r>
      <w:r w:rsidR="00816714">
        <w:rPr>
          <w:lang w:val="fr-CH"/>
        </w:rPr>
        <w:t> </w:t>
      </w:r>
      <w:r w:rsidR="002721A7" w:rsidRPr="0071782F">
        <w:rPr>
          <w:lang w:val="fr-CH"/>
        </w:rPr>
        <w:t>écoliers</w:t>
      </w:r>
      <w:r w:rsidRPr="0071782F">
        <w:rPr>
          <w:lang w:val="fr-CH"/>
        </w:rPr>
        <w:t>.</w:t>
      </w:r>
    </w:p>
    <w:p w:rsidR="00333944" w:rsidRPr="0071782F" w:rsidRDefault="00333944" w:rsidP="00AE4C1A">
      <w:pPr>
        <w:pStyle w:val="SingleTxtG"/>
        <w:ind w:left="1701"/>
        <w:rPr>
          <w:lang w:val="fr-CH"/>
        </w:rPr>
      </w:pPr>
      <w:r w:rsidRPr="0071782F">
        <w:rPr>
          <w:lang w:val="fr-CH"/>
        </w:rPr>
        <w:t>369.33</w:t>
      </w:r>
      <w:r w:rsidR="00AE4C1A" w:rsidRPr="0071782F">
        <w:rPr>
          <w:lang w:val="fr-CH"/>
        </w:rPr>
        <w:t xml:space="preserve">. </w:t>
      </w:r>
      <w:r w:rsidR="002721A7" w:rsidRPr="0071782F">
        <w:rPr>
          <w:lang w:val="fr-CH"/>
        </w:rPr>
        <w:t xml:space="preserve">Le </w:t>
      </w:r>
      <w:r w:rsidR="003B48A4" w:rsidRPr="0071782F">
        <w:rPr>
          <w:lang w:val="fr-CH"/>
        </w:rPr>
        <w:t>nombre</w:t>
      </w:r>
      <w:r w:rsidRPr="0071782F">
        <w:rPr>
          <w:lang w:val="fr-CH"/>
        </w:rPr>
        <w:t xml:space="preserve"> </w:t>
      </w:r>
      <w:r w:rsidR="002721A7" w:rsidRPr="0071782F">
        <w:rPr>
          <w:lang w:val="fr-CH"/>
        </w:rPr>
        <w:t>de</w:t>
      </w:r>
      <w:r w:rsidRPr="0071782F">
        <w:rPr>
          <w:lang w:val="fr-CH"/>
        </w:rPr>
        <w:t xml:space="preserve"> films </w:t>
      </w:r>
      <w:r w:rsidR="002721A7" w:rsidRPr="0071782F">
        <w:rPr>
          <w:lang w:val="fr-CH"/>
        </w:rPr>
        <w:t xml:space="preserve">réalisés par des écoliers est passé de </w:t>
      </w:r>
      <w:r w:rsidRPr="0071782F">
        <w:rPr>
          <w:lang w:val="fr-CH"/>
        </w:rPr>
        <w:t>5</w:t>
      </w:r>
      <w:r w:rsidR="00816714">
        <w:rPr>
          <w:lang w:val="fr-CH"/>
        </w:rPr>
        <w:t> </w:t>
      </w:r>
      <w:r w:rsidRPr="0071782F">
        <w:rPr>
          <w:lang w:val="fr-CH"/>
        </w:rPr>
        <w:t xml:space="preserve">000 </w:t>
      </w:r>
      <w:r w:rsidR="002721A7" w:rsidRPr="0071782F">
        <w:rPr>
          <w:lang w:val="fr-CH"/>
        </w:rPr>
        <w:t>à</w:t>
      </w:r>
      <w:r w:rsidRPr="0071782F">
        <w:rPr>
          <w:lang w:val="fr-CH"/>
        </w:rPr>
        <w:t xml:space="preserve"> 6</w:t>
      </w:r>
      <w:r w:rsidR="00816714">
        <w:rPr>
          <w:lang w:val="fr-CH"/>
        </w:rPr>
        <w:t> </w:t>
      </w:r>
      <w:r w:rsidRPr="0071782F">
        <w:rPr>
          <w:lang w:val="fr-CH"/>
        </w:rPr>
        <w:t>300.</w:t>
      </w:r>
    </w:p>
    <w:p w:rsidR="00333944" w:rsidRPr="0071782F" w:rsidRDefault="00333944" w:rsidP="00AE4C1A">
      <w:pPr>
        <w:pStyle w:val="SingleTxtG"/>
        <w:ind w:left="1701"/>
        <w:rPr>
          <w:lang w:val="fr-CH"/>
        </w:rPr>
      </w:pPr>
      <w:r w:rsidRPr="0071782F">
        <w:rPr>
          <w:lang w:val="fr-CH"/>
        </w:rPr>
        <w:t>369.34</w:t>
      </w:r>
      <w:r w:rsidR="00AE4C1A" w:rsidRPr="0071782F">
        <w:rPr>
          <w:lang w:val="fr-CH"/>
        </w:rPr>
        <w:t xml:space="preserve">. </w:t>
      </w:r>
      <w:r w:rsidR="002721A7" w:rsidRPr="0071782F">
        <w:rPr>
          <w:lang w:val="fr-CH"/>
        </w:rPr>
        <w:t xml:space="preserve">Plus de </w:t>
      </w:r>
      <w:r w:rsidRPr="0071782F">
        <w:rPr>
          <w:lang w:val="fr-CH"/>
        </w:rPr>
        <w:t xml:space="preserve">90 </w:t>
      </w:r>
      <w:r w:rsidR="002721A7" w:rsidRPr="0071782F">
        <w:rPr>
          <w:lang w:val="fr-CH"/>
        </w:rPr>
        <w:t>projets sportifs ont été construits ou commandés à travers le pays</w:t>
      </w:r>
      <w:r w:rsidRPr="0071782F">
        <w:rPr>
          <w:lang w:val="fr-CH"/>
        </w:rPr>
        <w:t>.</w:t>
      </w:r>
    </w:p>
    <w:p w:rsidR="00333944" w:rsidRPr="0071782F" w:rsidRDefault="00333944" w:rsidP="00AE4C1A">
      <w:pPr>
        <w:pStyle w:val="SingleTxtG"/>
        <w:ind w:left="1701"/>
        <w:rPr>
          <w:lang w:val="fr-CH"/>
        </w:rPr>
      </w:pPr>
      <w:r w:rsidRPr="0071782F">
        <w:rPr>
          <w:lang w:val="fr-CH"/>
        </w:rPr>
        <w:t>369.35</w:t>
      </w:r>
      <w:r w:rsidR="00AE4C1A" w:rsidRPr="0071782F">
        <w:rPr>
          <w:lang w:val="fr-CH"/>
        </w:rPr>
        <w:t xml:space="preserve">. </w:t>
      </w:r>
      <w:r w:rsidR="002721A7" w:rsidRPr="0071782F">
        <w:rPr>
          <w:lang w:val="fr-CH"/>
        </w:rPr>
        <w:t xml:space="preserve">On a ouvert </w:t>
      </w:r>
      <w:r w:rsidRPr="0071782F">
        <w:rPr>
          <w:lang w:val="fr-CH"/>
        </w:rPr>
        <w:t xml:space="preserve">350 </w:t>
      </w:r>
      <w:r w:rsidR="002721A7" w:rsidRPr="0071782F">
        <w:rPr>
          <w:lang w:val="fr-CH"/>
        </w:rPr>
        <w:t>centres de santé destinés à contrôler les conditions sanitaires dans les écoles et les</w:t>
      </w:r>
      <w:r w:rsidR="003F25A2">
        <w:rPr>
          <w:lang w:val="fr-CH"/>
        </w:rPr>
        <w:t> logements</w:t>
      </w:r>
      <w:r w:rsidR="002721A7" w:rsidRPr="0071782F">
        <w:rPr>
          <w:lang w:val="fr-CH"/>
        </w:rPr>
        <w:t xml:space="preserve"> alloués à leurs </w:t>
      </w:r>
      <w:r w:rsidRPr="0071782F">
        <w:rPr>
          <w:lang w:val="fr-CH"/>
        </w:rPr>
        <w:t>athl</w:t>
      </w:r>
      <w:r w:rsidR="002721A7" w:rsidRPr="0071782F">
        <w:rPr>
          <w:lang w:val="fr-CH"/>
        </w:rPr>
        <w:t>è</w:t>
      </w:r>
      <w:r w:rsidRPr="0071782F">
        <w:rPr>
          <w:lang w:val="fr-CH"/>
        </w:rPr>
        <w:t>tes.</w:t>
      </w:r>
    </w:p>
    <w:p w:rsidR="00333944" w:rsidRPr="0071782F" w:rsidRDefault="00333944" w:rsidP="00AE4C1A">
      <w:pPr>
        <w:pStyle w:val="SingleTxtG"/>
        <w:ind w:left="1701"/>
        <w:rPr>
          <w:lang w:val="fr-CH"/>
        </w:rPr>
      </w:pPr>
      <w:r w:rsidRPr="0071782F">
        <w:rPr>
          <w:lang w:val="fr-CH"/>
        </w:rPr>
        <w:t>369.36</w:t>
      </w:r>
      <w:r w:rsidR="00AE4C1A" w:rsidRPr="0071782F">
        <w:rPr>
          <w:lang w:val="fr-CH"/>
        </w:rPr>
        <w:t xml:space="preserve">. </w:t>
      </w:r>
      <w:r w:rsidR="002721A7" w:rsidRPr="0071782F">
        <w:rPr>
          <w:lang w:val="fr-CH"/>
        </w:rPr>
        <w:t xml:space="preserve">On met actuellement en </w:t>
      </w:r>
      <w:r w:rsidR="00D5366B" w:rsidRPr="0071782F">
        <w:rPr>
          <w:lang w:val="fr-CH"/>
        </w:rPr>
        <w:t>œuvre</w:t>
      </w:r>
      <w:r w:rsidR="002721A7" w:rsidRPr="0071782F">
        <w:rPr>
          <w:lang w:val="fr-CH"/>
        </w:rPr>
        <w:t xml:space="preserve"> des stratégies de développement dans le cadre de la relance du département de la recherche, de la coopération de séminaristes</w:t>
      </w:r>
      <w:r w:rsidR="00D36718">
        <w:rPr>
          <w:lang w:val="fr-CH"/>
        </w:rPr>
        <w:t xml:space="preserve"> </w:t>
      </w:r>
      <w:r w:rsidR="002721A7" w:rsidRPr="0071782F">
        <w:rPr>
          <w:lang w:val="fr-CH"/>
        </w:rPr>
        <w:t>qualifiés et du réveil de la vocation des écoles en matière de développement</w:t>
      </w:r>
      <w:r w:rsidRPr="0071782F">
        <w:rPr>
          <w:lang w:val="fr-CH"/>
        </w:rPr>
        <w:t xml:space="preserve">. </w:t>
      </w:r>
    </w:p>
    <w:p w:rsidR="00333944" w:rsidRPr="00816714" w:rsidRDefault="00333944" w:rsidP="00AE4C1A">
      <w:pPr>
        <w:pStyle w:val="SingleTxtG"/>
        <w:ind w:left="1701"/>
        <w:rPr>
          <w:spacing w:val="-2"/>
          <w:lang w:val="fr-CH"/>
        </w:rPr>
      </w:pPr>
      <w:r w:rsidRPr="00816714">
        <w:rPr>
          <w:spacing w:val="-2"/>
          <w:lang w:val="fr-CH"/>
        </w:rPr>
        <w:t>369.37</w:t>
      </w:r>
      <w:r w:rsidR="00AE4C1A" w:rsidRPr="00816714">
        <w:rPr>
          <w:spacing w:val="-2"/>
          <w:lang w:val="fr-CH"/>
        </w:rPr>
        <w:t xml:space="preserve">. </w:t>
      </w:r>
      <w:r w:rsidR="002721A7" w:rsidRPr="00816714">
        <w:rPr>
          <w:spacing w:val="-2"/>
          <w:lang w:val="fr-CH"/>
        </w:rPr>
        <w:t xml:space="preserve">Au cours de l’année scolaire </w:t>
      </w:r>
      <w:r w:rsidRPr="00816714">
        <w:rPr>
          <w:spacing w:val="-2"/>
          <w:lang w:val="fr-CH"/>
        </w:rPr>
        <w:t>2006</w:t>
      </w:r>
      <w:r w:rsidR="002721A7" w:rsidRPr="00816714">
        <w:rPr>
          <w:spacing w:val="-2"/>
          <w:lang w:val="fr-CH"/>
        </w:rPr>
        <w:t>-</w:t>
      </w:r>
      <w:r w:rsidRPr="00816714">
        <w:rPr>
          <w:spacing w:val="-2"/>
          <w:lang w:val="fr-CH"/>
        </w:rPr>
        <w:t xml:space="preserve">2007, </w:t>
      </w:r>
      <w:r w:rsidR="002721A7" w:rsidRPr="00816714">
        <w:rPr>
          <w:spacing w:val="-2"/>
          <w:lang w:val="fr-CH"/>
        </w:rPr>
        <w:t xml:space="preserve">plus de </w:t>
      </w:r>
      <w:r w:rsidRPr="00816714">
        <w:rPr>
          <w:spacing w:val="-2"/>
          <w:lang w:val="fr-CH"/>
        </w:rPr>
        <w:t>10</w:t>
      </w:r>
      <w:r w:rsidR="00816714" w:rsidRPr="00816714">
        <w:rPr>
          <w:spacing w:val="-2"/>
          <w:lang w:val="fr-CH"/>
        </w:rPr>
        <w:t> </w:t>
      </w:r>
      <w:r w:rsidRPr="00816714">
        <w:rPr>
          <w:spacing w:val="-2"/>
          <w:lang w:val="fr-CH"/>
        </w:rPr>
        <w:t xml:space="preserve">000 </w:t>
      </w:r>
      <w:r w:rsidR="002721A7" w:rsidRPr="00816714">
        <w:rPr>
          <w:spacing w:val="-2"/>
          <w:lang w:val="fr-CH"/>
        </w:rPr>
        <w:t>élèves des écoles secondaires du premier cycle ont bénéficié du programme de supplémentation en fer.</w:t>
      </w:r>
    </w:p>
    <w:p w:rsidR="00333944" w:rsidRPr="0071782F" w:rsidRDefault="00333944" w:rsidP="00AE4C1A">
      <w:pPr>
        <w:pStyle w:val="SingleTxtG"/>
        <w:ind w:left="1701"/>
        <w:rPr>
          <w:lang w:val="fr-CH"/>
        </w:rPr>
      </w:pPr>
      <w:r w:rsidRPr="0071782F">
        <w:rPr>
          <w:lang w:val="fr-CH"/>
        </w:rPr>
        <w:t>369.38</w:t>
      </w:r>
      <w:r w:rsidR="00AE4C1A" w:rsidRPr="0071782F">
        <w:rPr>
          <w:lang w:val="fr-CH"/>
        </w:rPr>
        <w:t xml:space="preserve">. </w:t>
      </w:r>
      <w:r w:rsidR="002721A7" w:rsidRPr="0071782F">
        <w:rPr>
          <w:lang w:val="fr-CH"/>
        </w:rPr>
        <w:t>Le programme d’é</w:t>
      </w:r>
      <w:r w:rsidRPr="0071782F">
        <w:rPr>
          <w:lang w:val="fr-CH"/>
        </w:rPr>
        <w:t xml:space="preserve">valuation </w:t>
      </w:r>
      <w:r w:rsidR="002721A7" w:rsidRPr="0071782F">
        <w:rPr>
          <w:lang w:val="fr-CH"/>
        </w:rPr>
        <w:t xml:space="preserve">est appliqué à </w:t>
      </w:r>
      <w:r w:rsidRPr="0071782F">
        <w:rPr>
          <w:lang w:val="fr-CH"/>
        </w:rPr>
        <w:t>910</w:t>
      </w:r>
      <w:r w:rsidR="00816714">
        <w:rPr>
          <w:lang w:val="fr-CH"/>
        </w:rPr>
        <w:t> </w:t>
      </w:r>
      <w:r w:rsidRPr="0071782F">
        <w:rPr>
          <w:lang w:val="fr-CH"/>
        </w:rPr>
        <w:t xml:space="preserve">000 </w:t>
      </w:r>
      <w:r w:rsidR="002721A7" w:rsidRPr="0071782F">
        <w:rPr>
          <w:lang w:val="fr-CH"/>
        </w:rPr>
        <w:t>élèves entrant en première année</w:t>
      </w:r>
      <w:r w:rsidRPr="0071782F">
        <w:rPr>
          <w:lang w:val="fr-CH"/>
        </w:rPr>
        <w:t>.</w:t>
      </w:r>
    </w:p>
    <w:p w:rsidR="00333944" w:rsidRPr="0071782F" w:rsidRDefault="00333944" w:rsidP="00AE4C1A">
      <w:pPr>
        <w:pStyle w:val="SingleTxtG"/>
        <w:ind w:left="1701"/>
        <w:rPr>
          <w:lang w:val="fr-CH"/>
        </w:rPr>
      </w:pPr>
      <w:r w:rsidRPr="0071782F">
        <w:rPr>
          <w:lang w:val="fr-CH"/>
        </w:rPr>
        <w:t>369.39</w:t>
      </w:r>
      <w:r w:rsidR="00AE4C1A" w:rsidRPr="0071782F">
        <w:rPr>
          <w:lang w:val="fr-CH"/>
        </w:rPr>
        <w:t xml:space="preserve">. </w:t>
      </w:r>
      <w:r w:rsidR="00C844F1" w:rsidRPr="0071782F">
        <w:rPr>
          <w:lang w:val="fr-CH"/>
        </w:rPr>
        <w:t>Trente chefs-lieux de province ont été dotées d’installations sportives.</w:t>
      </w:r>
    </w:p>
    <w:p w:rsidR="00333944" w:rsidRPr="0071782F" w:rsidRDefault="00333944" w:rsidP="00AE4C1A">
      <w:pPr>
        <w:pStyle w:val="SingleTxtG"/>
        <w:ind w:left="1701"/>
        <w:rPr>
          <w:lang w:val="fr-CH"/>
        </w:rPr>
      </w:pPr>
      <w:r w:rsidRPr="0071782F">
        <w:rPr>
          <w:lang w:val="fr-CH"/>
        </w:rPr>
        <w:t>369.40</w:t>
      </w:r>
      <w:r w:rsidR="00AE4C1A" w:rsidRPr="0071782F">
        <w:rPr>
          <w:lang w:val="fr-CH"/>
        </w:rPr>
        <w:t xml:space="preserve">. </w:t>
      </w:r>
      <w:r w:rsidR="00C844F1" w:rsidRPr="0071782F">
        <w:rPr>
          <w:lang w:val="fr-CH"/>
        </w:rPr>
        <w:t>L’Iran a organisé le Festival européen de littérature pour enfants</w:t>
      </w:r>
      <w:r w:rsidRPr="0071782F">
        <w:rPr>
          <w:lang w:val="fr-CH"/>
        </w:rPr>
        <w:t>.</w:t>
      </w:r>
    </w:p>
    <w:p w:rsidR="00333944" w:rsidRPr="0071782F" w:rsidRDefault="00333944" w:rsidP="00AE4C1A">
      <w:pPr>
        <w:pStyle w:val="SingleTxtG"/>
        <w:ind w:left="1701"/>
        <w:rPr>
          <w:lang w:val="fr-CH"/>
        </w:rPr>
      </w:pPr>
      <w:r w:rsidRPr="0071782F">
        <w:rPr>
          <w:lang w:val="fr-CH"/>
        </w:rPr>
        <w:t>369.41</w:t>
      </w:r>
      <w:r w:rsidR="00AE4C1A" w:rsidRPr="0071782F">
        <w:rPr>
          <w:lang w:val="fr-CH"/>
        </w:rPr>
        <w:t xml:space="preserve">. </w:t>
      </w:r>
      <w:r w:rsidR="00C844F1" w:rsidRPr="0071782F">
        <w:rPr>
          <w:lang w:val="fr-CH"/>
        </w:rPr>
        <w:t>Un musée pour les enfants</w:t>
      </w:r>
      <w:r w:rsidRPr="0071782F">
        <w:rPr>
          <w:lang w:val="fr-CH"/>
        </w:rPr>
        <w:t xml:space="preserve"> </w:t>
      </w:r>
      <w:r w:rsidR="00C844F1" w:rsidRPr="0071782F">
        <w:rPr>
          <w:lang w:val="fr-CH"/>
        </w:rPr>
        <w:t>a été ouvert</w:t>
      </w:r>
      <w:r w:rsidRPr="0071782F">
        <w:rPr>
          <w:lang w:val="fr-CH"/>
        </w:rPr>
        <w:t>.</w:t>
      </w:r>
    </w:p>
    <w:p w:rsidR="00333944" w:rsidRPr="0071782F" w:rsidRDefault="00333944" w:rsidP="00AE4C1A">
      <w:pPr>
        <w:pStyle w:val="SingleTxtG"/>
        <w:ind w:left="1701"/>
        <w:rPr>
          <w:lang w:val="fr-CH"/>
        </w:rPr>
      </w:pPr>
      <w:r w:rsidRPr="0071782F">
        <w:rPr>
          <w:lang w:val="fr-CH"/>
        </w:rPr>
        <w:t>369.42</w:t>
      </w:r>
      <w:r w:rsidR="00AE4C1A" w:rsidRPr="0071782F">
        <w:rPr>
          <w:lang w:val="fr-CH"/>
        </w:rPr>
        <w:t xml:space="preserve">. </w:t>
      </w:r>
      <w:r w:rsidR="00C844F1" w:rsidRPr="0071782F">
        <w:rPr>
          <w:lang w:val="fr-CH"/>
        </w:rPr>
        <w:t xml:space="preserve">On a fabriqué </w:t>
      </w:r>
      <w:r w:rsidRPr="0071782F">
        <w:rPr>
          <w:lang w:val="fr-CH"/>
        </w:rPr>
        <w:t>244</w:t>
      </w:r>
      <w:r w:rsidR="00816714">
        <w:rPr>
          <w:lang w:val="fr-CH"/>
        </w:rPr>
        <w:t> </w:t>
      </w:r>
      <w:r w:rsidRPr="0071782F">
        <w:rPr>
          <w:lang w:val="fr-CH"/>
        </w:rPr>
        <w:t xml:space="preserve">103 </w:t>
      </w:r>
      <w:r w:rsidR="00C844F1" w:rsidRPr="0071782F">
        <w:rPr>
          <w:lang w:val="fr-CH"/>
        </w:rPr>
        <w:t>exemplaires de jeux de construction</w:t>
      </w:r>
      <w:r w:rsidRPr="0071782F">
        <w:rPr>
          <w:lang w:val="fr-CH"/>
        </w:rPr>
        <w:t>.</w:t>
      </w:r>
    </w:p>
    <w:p w:rsidR="00333944" w:rsidRPr="0071782F" w:rsidRDefault="00333944" w:rsidP="00AE4C1A">
      <w:pPr>
        <w:pStyle w:val="SingleTxtG"/>
        <w:ind w:left="1701"/>
        <w:rPr>
          <w:lang w:val="fr-CH"/>
        </w:rPr>
      </w:pPr>
      <w:r w:rsidRPr="0071782F">
        <w:rPr>
          <w:lang w:val="fr-CH"/>
        </w:rPr>
        <w:t>369.43</w:t>
      </w:r>
      <w:r w:rsidR="00AE4C1A" w:rsidRPr="0071782F">
        <w:rPr>
          <w:lang w:val="fr-CH"/>
        </w:rPr>
        <w:t xml:space="preserve">. </w:t>
      </w:r>
      <w:r w:rsidR="00C844F1" w:rsidRPr="0071782F">
        <w:rPr>
          <w:lang w:val="fr-CH"/>
        </w:rPr>
        <w:t xml:space="preserve">Des peintures ont été exposées dans le cadre de </w:t>
      </w:r>
      <w:r w:rsidRPr="0071782F">
        <w:rPr>
          <w:lang w:val="fr-CH"/>
        </w:rPr>
        <w:t xml:space="preserve">23 </w:t>
      </w:r>
      <w:r w:rsidR="00C844F1" w:rsidRPr="0071782F">
        <w:rPr>
          <w:lang w:val="fr-CH"/>
        </w:rPr>
        <w:t xml:space="preserve">expositions </w:t>
      </w:r>
      <w:r w:rsidRPr="0071782F">
        <w:rPr>
          <w:lang w:val="fr-CH"/>
        </w:rPr>
        <w:t>international</w:t>
      </w:r>
      <w:r w:rsidR="00C844F1" w:rsidRPr="0071782F">
        <w:rPr>
          <w:lang w:val="fr-CH"/>
        </w:rPr>
        <w:t>es</w:t>
      </w:r>
      <w:r w:rsidRPr="0071782F">
        <w:rPr>
          <w:lang w:val="fr-CH"/>
        </w:rPr>
        <w:t>.</w:t>
      </w:r>
    </w:p>
    <w:p w:rsidR="00333944" w:rsidRPr="0071782F" w:rsidRDefault="00333944" w:rsidP="00AE4C1A">
      <w:pPr>
        <w:pStyle w:val="SingleTxtG"/>
        <w:ind w:left="1701"/>
        <w:rPr>
          <w:lang w:val="fr-CH"/>
        </w:rPr>
      </w:pPr>
      <w:r w:rsidRPr="0071782F">
        <w:rPr>
          <w:lang w:val="fr-CH"/>
        </w:rPr>
        <w:t>369.44</w:t>
      </w:r>
      <w:r w:rsidR="00AE4C1A" w:rsidRPr="0071782F">
        <w:rPr>
          <w:lang w:val="fr-CH"/>
        </w:rPr>
        <w:t xml:space="preserve">. </w:t>
      </w:r>
      <w:r w:rsidR="00C844F1" w:rsidRPr="0071782F">
        <w:rPr>
          <w:lang w:val="fr-CH"/>
        </w:rPr>
        <w:t>Des f</w:t>
      </w:r>
      <w:r w:rsidRPr="0071782F">
        <w:rPr>
          <w:lang w:val="fr-CH"/>
        </w:rPr>
        <w:t xml:space="preserve">ilms </w:t>
      </w:r>
      <w:r w:rsidR="00C844F1" w:rsidRPr="0071782F">
        <w:rPr>
          <w:lang w:val="fr-CH"/>
        </w:rPr>
        <w:t xml:space="preserve">ont été projetés dans le cadre de </w:t>
      </w:r>
      <w:r w:rsidRPr="0071782F">
        <w:rPr>
          <w:lang w:val="fr-CH"/>
        </w:rPr>
        <w:t xml:space="preserve">139 </w:t>
      </w:r>
      <w:r w:rsidR="00C844F1" w:rsidRPr="0071782F">
        <w:rPr>
          <w:lang w:val="fr-CH"/>
        </w:rPr>
        <w:t>festivals internationaux</w:t>
      </w:r>
      <w:r w:rsidRPr="0071782F">
        <w:rPr>
          <w:lang w:val="fr-CH"/>
        </w:rPr>
        <w:t>.</w:t>
      </w:r>
    </w:p>
    <w:p w:rsidR="00333944" w:rsidRPr="0071782F" w:rsidRDefault="00333944" w:rsidP="00311068">
      <w:pPr>
        <w:pStyle w:val="SingleTxtG"/>
        <w:ind w:left="1701"/>
        <w:rPr>
          <w:lang w:val="fr-CH"/>
        </w:rPr>
      </w:pPr>
      <w:r w:rsidRPr="0071782F">
        <w:rPr>
          <w:lang w:val="fr-CH"/>
        </w:rPr>
        <w:t>369.45</w:t>
      </w:r>
      <w:r w:rsidR="00AE4C1A" w:rsidRPr="0071782F">
        <w:rPr>
          <w:lang w:val="fr-CH"/>
        </w:rPr>
        <w:t xml:space="preserve">. </w:t>
      </w:r>
      <w:r w:rsidR="00C844F1" w:rsidRPr="0071782F">
        <w:rPr>
          <w:lang w:val="fr-CH"/>
        </w:rPr>
        <w:t xml:space="preserve">Une formation aux langues étrangères a été dispensée à </w:t>
      </w:r>
      <w:r w:rsidRPr="0071782F">
        <w:rPr>
          <w:lang w:val="fr-CH"/>
        </w:rPr>
        <w:t>650</w:t>
      </w:r>
      <w:r w:rsidR="00816714">
        <w:rPr>
          <w:lang w:val="fr-CH"/>
        </w:rPr>
        <w:t> </w:t>
      </w:r>
      <w:r w:rsidRPr="0071782F">
        <w:rPr>
          <w:lang w:val="fr-CH"/>
        </w:rPr>
        <w:t xml:space="preserve">000 </w:t>
      </w:r>
      <w:r w:rsidR="00C844F1" w:rsidRPr="0071782F">
        <w:rPr>
          <w:lang w:val="fr-CH"/>
        </w:rPr>
        <w:t>écoliers dans des centres d’apprentissage des langues</w:t>
      </w:r>
      <w:r w:rsidRPr="0071782F">
        <w:rPr>
          <w:lang w:val="fr-CH"/>
        </w:rPr>
        <w:t>.</w:t>
      </w:r>
    </w:p>
    <w:p w:rsidR="00333944" w:rsidRPr="0071782F" w:rsidRDefault="00333944" w:rsidP="00311068">
      <w:pPr>
        <w:pStyle w:val="SingleTxtG"/>
        <w:ind w:left="1701"/>
        <w:rPr>
          <w:lang w:val="fr-CH"/>
        </w:rPr>
      </w:pPr>
      <w:r w:rsidRPr="0071782F">
        <w:rPr>
          <w:lang w:val="fr-CH"/>
        </w:rPr>
        <w:t>369.46</w:t>
      </w:r>
      <w:r w:rsidR="00AE4C1A" w:rsidRPr="0071782F">
        <w:rPr>
          <w:lang w:val="fr-CH"/>
        </w:rPr>
        <w:t xml:space="preserve">. </w:t>
      </w:r>
      <w:r w:rsidR="00C844F1" w:rsidRPr="0071782F">
        <w:rPr>
          <w:lang w:val="fr-CH"/>
        </w:rPr>
        <w:t>Pendant l’année scolaire 2006-2007, on a créé de nouveaux centres de santé dentaire à travers le pays (20 centre</w:t>
      </w:r>
      <w:r w:rsidRPr="0071782F">
        <w:rPr>
          <w:lang w:val="fr-CH"/>
        </w:rPr>
        <w:t>s).</w:t>
      </w:r>
    </w:p>
    <w:p w:rsidR="00333944" w:rsidRPr="0071782F" w:rsidRDefault="00333944" w:rsidP="00311068">
      <w:pPr>
        <w:pStyle w:val="SingleTxtG"/>
        <w:ind w:left="1701"/>
        <w:rPr>
          <w:lang w:val="fr-CH"/>
        </w:rPr>
      </w:pPr>
      <w:r w:rsidRPr="0071782F">
        <w:rPr>
          <w:lang w:val="fr-CH"/>
        </w:rPr>
        <w:t>369.47</w:t>
      </w:r>
      <w:r w:rsidR="00AE4C1A" w:rsidRPr="0071782F">
        <w:rPr>
          <w:lang w:val="fr-CH"/>
        </w:rPr>
        <w:t xml:space="preserve">. </w:t>
      </w:r>
      <w:r w:rsidR="00C844F1" w:rsidRPr="0071782F">
        <w:rPr>
          <w:lang w:val="fr-CH"/>
        </w:rPr>
        <w:t>On a organisé l</w:t>
      </w:r>
      <w:r w:rsidR="0066054D" w:rsidRPr="0071782F">
        <w:rPr>
          <w:lang w:val="fr-CH"/>
        </w:rPr>
        <w:t>es</w:t>
      </w:r>
      <w:r w:rsidR="00C844F1" w:rsidRPr="0071782F">
        <w:rPr>
          <w:lang w:val="fr-CH"/>
        </w:rPr>
        <w:t xml:space="preserve"> </w:t>
      </w:r>
      <w:r w:rsidR="009E6189">
        <w:rPr>
          <w:lang w:val="fr-CH"/>
        </w:rPr>
        <w:t>deuxième</w:t>
      </w:r>
      <w:r w:rsidR="00C844F1" w:rsidRPr="0071782F">
        <w:rPr>
          <w:lang w:val="fr-CH"/>
        </w:rPr>
        <w:t xml:space="preserve"> et </w:t>
      </w:r>
      <w:r w:rsidR="009E6189">
        <w:rPr>
          <w:lang w:val="fr-CH"/>
        </w:rPr>
        <w:t xml:space="preserve">troisième </w:t>
      </w:r>
      <w:r w:rsidR="0066054D" w:rsidRPr="0071782F">
        <w:rPr>
          <w:lang w:val="fr-CH"/>
        </w:rPr>
        <w:t>As</w:t>
      </w:r>
      <w:r w:rsidRPr="0071782F">
        <w:rPr>
          <w:lang w:val="fr-CH"/>
        </w:rPr>
        <w:t>sembl</w:t>
      </w:r>
      <w:r w:rsidR="0066054D" w:rsidRPr="0071782F">
        <w:rPr>
          <w:lang w:val="fr-CH"/>
        </w:rPr>
        <w:t>ées des écoliers</w:t>
      </w:r>
      <w:r w:rsidRPr="0071782F">
        <w:rPr>
          <w:lang w:val="fr-CH"/>
        </w:rPr>
        <w:t>.</w:t>
      </w:r>
    </w:p>
    <w:p w:rsidR="00333944" w:rsidRPr="0071782F" w:rsidRDefault="00333944" w:rsidP="00311068">
      <w:pPr>
        <w:pStyle w:val="SingleTxtG"/>
        <w:ind w:left="1701"/>
        <w:rPr>
          <w:lang w:val="fr-CH"/>
        </w:rPr>
      </w:pPr>
      <w:r w:rsidRPr="0071782F">
        <w:rPr>
          <w:lang w:val="fr-CH"/>
        </w:rPr>
        <w:t>369.48</w:t>
      </w:r>
      <w:r w:rsidR="00AE4C1A" w:rsidRPr="0071782F">
        <w:rPr>
          <w:lang w:val="fr-CH"/>
        </w:rPr>
        <w:t xml:space="preserve">. </w:t>
      </w:r>
      <w:r w:rsidR="00C844F1" w:rsidRPr="0071782F">
        <w:rPr>
          <w:lang w:val="fr-CH"/>
        </w:rPr>
        <w:t xml:space="preserve">On a organisé le premier camp d’éducation, de formation et de loisirs </w:t>
      </w:r>
      <w:r w:rsidR="0071782F" w:rsidRPr="0071782F">
        <w:rPr>
          <w:lang w:val="fr-CH"/>
        </w:rPr>
        <w:t>mobiles</w:t>
      </w:r>
      <w:r w:rsidR="00C844F1" w:rsidRPr="0071782F">
        <w:rPr>
          <w:lang w:val="fr-CH"/>
        </w:rPr>
        <w:t xml:space="preserve"> des pionniers de la technologie mobile pleins d’amour pour le saint prophète (que la paix soit avec lui), qui a pu compter sur la présence de </w:t>
      </w:r>
      <w:r w:rsidRPr="0071782F">
        <w:rPr>
          <w:lang w:val="fr-CH"/>
        </w:rPr>
        <w:t>1</w:t>
      </w:r>
      <w:r w:rsidR="009E6189">
        <w:rPr>
          <w:lang w:val="fr-CH"/>
        </w:rPr>
        <w:t> </w:t>
      </w:r>
      <w:r w:rsidRPr="0071782F">
        <w:rPr>
          <w:lang w:val="fr-CH"/>
        </w:rPr>
        <w:t>300</w:t>
      </w:r>
      <w:r w:rsidR="009E6189">
        <w:rPr>
          <w:lang w:val="fr-CH"/>
        </w:rPr>
        <w:t> </w:t>
      </w:r>
      <w:r w:rsidRPr="0071782F">
        <w:rPr>
          <w:lang w:val="fr-CH"/>
        </w:rPr>
        <w:t>participants.</w:t>
      </w:r>
    </w:p>
    <w:p w:rsidR="00333944" w:rsidRPr="0071782F" w:rsidRDefault="00333944" w:rsidP="00AE4C1A">
      <w:pPr>
        <w:pStyle w:val="SingleTxtG"/>
        <w:ind w:left="1701"/>
        <w:rPr>
          <w:lang w:val="fr-CH"/>
        </w:rPr>
      </w:pPr>
      <w:r w:rsidRPr="0071782F">
        <w:rPr>
          <w:lang w:val="fr-CH"/>
        </w:rPr>
        <w:t>369.49</w:t>
      </w:r>
      <w:r w:rsidR="00AE4C1A" w:rsidRPr="0071782F">
        <w:rPr>
          <w:lang w:val="fr-CH"/>
        </w:rPr>
        <w:t xml:space="preserve">. </w:t>
      </w:r>
      <w:r w:rsidR="00C844F1" w:rsidRPr="0071782F">
        <w:rPr>
          <w:lang w:val="fr-CH"/>
        </w:rPr>
        <w:t xml:space="preserve">Un camp spécial a été organisé à l’intention des élèves démunis vivant dans les provinces, en </w:t>
      </w:r>
      <w:r w:rsidRPr="0071782F">
        <w:rPr>
          <w:lang w:val="fr-CH"/>
        </w:rPr>
        <w:t xml:space="preserve">collaboration </w:t>
      </w:r>
      <w:r w:rsidR="00C844F1" w:rsidRPr="0071782F">
        <w:rPr>
          <w:lang w:val="fr-CH"/>
        </w:rPr>
        <w:t xml:space="preserve">avec la Fondation de </w:t>
      </w:r>
      <w:r w:rsidRPr="0071782F">
        <w:rPr>
          <w:lang w:val="fr-CH"/>
        </w:rPr>
        <w:t xml:space="preserve">Mostazafan </w:t>
      </w:r>
      <w:r w:rsidR="00C844F1" w:rsidRPr="0071782F">
        <w:rPr>
          <w:lang w:val="fr-CH"/>
        </w:rPr>
        <w:t>et la Fondation des anciens combattants handicapés</w:t>
      </w:r>
      <w:r w:rsidRPr="0071782F">
        <w:rPr>
          <w:lang w:val="fr-CH"/>
        </w:rPr>
        <w:t>.</w:t>
      </w:r>
    </w:p>
    <w:p w:rsidR="00333944" w:rsidRPr="0071782F" w:rsidRDefault="00333944" w:rsidP="00AE4C1A">
      <w:pPr>
        <w:pStyle w:val="SingleTxtG"/>
        <w:ind w:left="1701"/>
        <w:rPr>
          <w:lang w:val="fr-CH"/>
        </w:rPr>
      </w:pPr>
      <w:r w:rsidRPr="0071782F">
        <w:rPr>
          <w:lang w:val="fr-CH"/>
        </w:rPr>
        <w:t>369.50</w:t>
      </w:r>
      <w:r w:rsidR="00AE4C1A" w:rsidRPr="0071782F">
        <w:rPr>
          <w:lang w:val="fr-CH"/>
        </w:rPr>
        <w:t xml:space="preserve">. </w:t>
      </w:r>
      <w:r w:rsidR="00C844F1" w:rsidRPr="0071782F">
        <w:rPr>
          <w:lang w:val="fr-CH"/>
        </w:rPr>
        <w:t>On a accueilli des écoliers venus d’</w:t>
      </w:r>
      <w:r w:rsidRPr="0071782F">
        <w:rPr>
          <w:lang w:val="fr-CH"/>
        </w:rPr>
        <w:t>Arm</w:t>
      </w:r>
      <w:r w:rsidR="00C844F1" w:rsidRPr="0071782F">
        <w:rPr>
          <w:lang w:val="fr-CH"/>
        </w:rPr>
        <w:t>é</w:t>
      </w:r>
      <w:r w:rsidRPr="0071782F">
        <w:rPr>
          <w:lang w:val="fr-CH"/>
        </w:rPr>
        <w:t>ni</w:t>
      </w:r>
      <w:r w:rsidR="00C844F1" w:rsidRPr="0071782F">
        <w:rPr>
          <w:lang w:val="fr-CH"/>
        </w:rPr>
        <w:t>e</w:t>
      </w:r>
      <w:r w:rsidRPr="0071782F">
        <w:rPr>
          <w:lang w:val="fr-CH"/>
        </w:rPr>
        <w:t>.</w:t>
      </w:r>
    </w:p>
    <w:p w:rsidR="00333944" w:rsidRPr="0071782F" w:rsidRDefault="00333944" w:rsidP="00AE4C1A">
      <w:pPr>
        <w:pStyle w:val="SingleTxtG"/>
        <w:ind w:left="1701"/>
        <w:rPr>
          <w:lang w:val="fr-CH"/>
        </w:rPr>
      </w:pPr>
      <w:r w:rsidRPr="0071782F">
        <w:rPr>
          <w:lang w:val="fr-CH"/>
        </w:rPr>
        <w:t>369.51</w:t>
      </w:r>
      <w:r w:rsidR="00AE4C1A" w:rsidRPr="0071782F">
        <w:rPr>
          <w:lang w:val="fr-CH"/>
        </w:rPr>
        <w:t xml:space="preserve">. </w:t>
      </w:r>
      <w:r w:rsidR="00C844F1" w:rsidRPr="0071782F">
        <w:rPr>
          <w:lang w:val="fr-CH"/>
        </w:rPr>
        <w:t>Plus de 95</w:t>
      </w:r>
      <w:r w:rsidR="007E5125" w:rsidRPr="0071782F">
        <w:rPr>
          <w:lang w:val="fr-CH"/>
        </w:rPr>
        <w:t>%</w:t>
      </w:r>
      <w:r w:rsidR="00C844F1" w:rsidRPr="0071782F">
        <w:rPr>
          <w:lang w:val="fr-CH"/>
        </w:rPr>
        <w:t xml:space="preserve"> des élèves du primaire ont bénéficié du programme de santé dentaire</w:t>
      </w:r>
      <w:r w:rsidRPr="0071782F">
        <w:rPr>
          <w:lang w:val="fr-CH"/>
        </w:rPr>
        <w:t>.</w:t>
      </w:r>
    </w:p>
    <w:p w:rsidR="00333944" w:rsidRPr="0071782F" w:rsidRDefault="00333944" w:rsidP="00AE4C1A">
      <w:pPr>
        <w:pStyle w:val="SingleTxtG"/>
        <w:ind w:left="1701"/>
        <w:rPr>
          <w:lang w:val="fr-CH"/>
        </w:rPr>
      </w:pPr>
      <w:r w:rsidRPr="0071782F">
        <w:rPr>
          <w:lang w:val="fr-CH"/>
        </w:rPr>
        <w:t>369.52</w:t>
      </w:r>
      <w:r w:rsidR="00AE4C1A" w:rsidRPr="0071782F">
        <w:rPr>
          <w:lang w:val="fr-CH"/>
        </w:rPr>
        <w:t xml:space="preserve">. </w:t>
      </w:r>
      <w:r w:rsidR="00C844F1" w:rsidRPr="0071782F">
        <w:rPr>
          <w:lang w:val="fr-CH"/>
        </w:rPr>
        <w:t>On a organisé le Congrès de peinture pour enfant du monde islamique</w:t>
      </w:r>
      <w:r w:rsidRPr="0071782F">
        <w:rPr>
          <w:lang w:val="fr-CH"/>
        </w:rPr>
        <w:t>.</w:t>
      </w:r>
    </w:p>
    <w:p w:rsidR="00333944" w:rsidRPr="0071782F" w:rsidRDefault="00333944" w:rsidP="00AE4C1A">
      <w:pPr>
        <w:pStyle w:val="SingleTxtG"/>
        <w:ind w:left="1701"/>
        <w:rPr>
          <w:lang w:val="fr-CH"/>
        </w:rPr>
      </w:pPr>
      <w:r w:rsidRPr="0071782F">
        <w:rPr>
          <w:lang w:val="fr-CH"/>
        </w:rPr>
        <w:t>369.53</w:t>
      </w:r>
      <w:r w:rsidR="00AE4C1A" w:rsidRPr="0071782F">
        <w:rPr>
          <w:lang w:val="fr-CH"/>
        </w:rPr>
        <w:t xml:space="preserve">. </w:t>
      </w:r>
      <w:r w:rsidR="00C844F1" w:rsidRPr="0071782F">
        <w:rPr>
          <w:lang w:val="fr-CH"/>
        </w:rPr>
        <w:t xml:space="preserve">On a étendu le Programme Dignité à </w:t>
      </w:r>
      <w:r w:rsidRPr="0071782F">
        <w:rPr>
          <w:lang w:val="fr-CH"/>
        </w:rPr>
        <w:t>50</w:t>
      </w:r>
      <w:r w:rsidR="007E5125" w:rsidRPr="0071782F">
        <w:rPr>
          <w:lang w:val="fr-CH"/>
        </w:rPr>
        <w:t>%</w:t>
      </w:r>
      <w:r w:rsidR="00C844F1" w:rsidRPr="0071782F">
        <w:rPr>
          <w:lang w:val="fr-CH"/>
        </w:rPr>
        <w:t xml:space="preserve"> des écoles primaires, et quelque trois</w:t>
      </w:r>
      <w:r w:rsidR="00097CDB" w:rsidRPr="0071782F">
        <w:rPr>
          <w:lang w:val="fr-CH"/>
        </w:rPr>
        <w:t> millions</w:t>
      </w:r>
      <w:r w:rsidR="00C844F1" w:rsidRPr="0071782F">
        <w:rPr>
          <w:lang w:val="fr-CH"/>
        </w:rPr>
        <w:t xml:space="preserve"> d’élèves en ont profité</w:t>
      </w:r>
      <w:r w:rsidRPr="0071782F">
        <w:rPr>
          <w:lang w:val="fr-CH"/>
        </w:rPr>
        <w:t>.</w:t>
      </w:r>
    </w:p>
    <w:p w:rsidR="00333944" w:rsidRPr="0071782F" w:rsidRDefault="00333944" w:rsidP="00AE4C1A">
      <w:pPr>
        <w:pStyle w:val="SingleTxtG"/>
        <w:ind w:left="1701"/>
        <w:rPr>
          <w:lang w:val="fr-CH"/>
        </w:rPr>
      </w:pPr>
      <w:r w:rsidRPr="0071782F">
        <w:rPr>
          <w:lang w:val="fr-CH"/>
        </w:rPr>
        <w:t>369.54</w:t>
      </w:r>
      <w:r w:rsidR="00AE4C1A" w:rsidRPr="0071782F">
        <w:rPr>
          <w:lang w:val="fr-CH"/>
        </w:rPr>
        <w:t xml:space="preserve">. </w:t>
      </w:r>
      <w:r w:rsidR="00C844F1" w:rsidRPr="0071782F">
        <w:rPr>
          <w:lang w:val="fr-CH"/>
        </w:rPr>
        <w:t xml:space="preserve">On a développé les activités </w:t>
      </w:r>
      <w:r w:rsidRPr="0071782F">
        <w:rPr>
          <w:lang w:val="fr-CH"/>
        </w:rPr>
        <w:t>compl</w:t>
      </w:r>
      <w:r w:rsidR="00C844F1" w:rsidRPr="0071782F">
        <w:rPr>
          <w:lang w:val="fr-CH"/>
        </w:rPr>
        <w:t>é</w:t>
      </w:r>
      <w:r w:rsidRPr="0071782F">
        <w:rPr>
          <w:lang w:val="fr-CH"/>
        </w:rPr>
        <w:t>menta</w:t>
      </w:r>
      <w:r w:rsidR="00C844F1" w:rsidRPr="0071782F">
        <w:rPr>
          <w:lang w:val="fr-CH"/>
        </w:rPr>
        <w:t xml:space="preserve">ires et périscolaires dans </w:t>
      </w:r>
      <w:r w:rsidRPr="0071782F">
        <w:rPr>
          <w:lang w:val="fr-CH"/>
        </w:rPr>
        <w:t>12</w:t>
      </w:r>
      <w:r w:rsidR="00311068" w:rsidRPr="0071782F">
        <w:rPr>
          <w:lang w:val="fr-CH"/>
        </w:rPr>
        <w:t> </w:t>
      </w:r>
      <w:r w:rsidRPr="0071782F">
        <w:rPr>
          <w:lang w:val="fr-CH"/>
        </w:rPr>
        <w:t>000</w:t>
      </w:r>
      <w:r w:rsidR="00311068" w:rsidRPr="0071782F">
        <w:rPr>
          <w:lang w:val="fr-CH"/>
        </w:rPr>
        <w:t> </w:t>
      </w:r>
      <w:r w:rsidR="00C844F1" w:rsidRPr="0071782F">
        <w:rPr>
          <w:lang w:val="fr-CH"/>
        </w:rPr>
        <w:t xml:space="preserve">écoles primaires, qui prenaient en charge </w:t>
      </w:r>
      <w:r w:rsidRPr="0071782F">
        <w:rPr>
          <w:lang w:val="fr-CH"/>
        </w:rPr>
        <w:t>1</w:t>
      </w:r>
      <w:r w:rsidR="00C844F1" w:rsidRPr="0071782F">
        <w:rPr>
          <w:lang w:val="fr-CH"/>
        </w:rPr>
        <w:t> </w:t>
      </w:r>
      <w:r w:rsidRPr="0071782F">
        <w:rPr>
          <w:lang w:val="fr-CH"/>
        </w:rPr>
        <w:t>203</w:t>
      </w:r>
      <w:r w:rsidR="009E6189">
        <w:rPr>
          <w:lang w:val="fr-CH"/>
        </w:rPr>
        <w:t> </w:t>
      </w:r>
      <w:r w:rsidRPr="0071782F">
        <w:rPr>
          <w:lang w:val="fr-CH"/>
        </w:rPr>
        <w:t>000</w:t>
      </w:r>
      <w:r w:rsidR="009E6189">
        <w:rPr>
          <w:lang w:val="fr-CH"/>
        </w:rPr>
        <w:t> </w:t>
      </w:r>
      <w:r w:rsidR="00C844F1" w:rsidRPr="0071782F">
        <w:rPr>
          <w:lang w:val="fr-CH"/>
        </w:rPr>
        <w:t>élèves</w:t>
      </w:r>
      <w:r w:rsidRPr="0071782F">
        <w:rPr>
          <w:lang w:val="fr-CH"/>
        </w:rPr>
        <w:t xml:space="preserve">, </w:t>
      </w:r>
      <w:r w:rsidR="00C844F1" w:rsidRPr="0071782F">
        <w:rPr>
          <w:lang w:val="fr-CH"/>
        </w:rPr>
        <w:t>à partir d’un travail d’orientation, de conception et d’exécution d’activités complémentaires et périscolaires</w:t>
      </w:r>
      <w:r w:rsidRPr="0071782F">
        <w:rPr>
          <w:lang w:val="fr-CH"/>
        </w:rPr>
        <w:t>.</w:t>
      </w:r>
    </w:p>
    <w:p w:rsidR="00333944" w:rsidRPr="0071782F" w:rsidRDefault="00333944" w:rsidP="00AE4C1A">
      <w:pPr>
        <w:pStyle w:val="SingleTxtG"/>
        <w:ind w:left="1701"/>
        <w:rPr>
          <w:lang w:val="fr-CH"/>
        </w:rPr>
      </w:pPr>
      <w:r w:rsidRPr="0071782F">
        <w:rPr>
          <w:lang w:val="fr-CH"/>
        </w:rPr>
        <w:t>369.55</w:t>
      </w:r>
      <w:r w:rsidR="00AE4C1A" w:rsidRPr="0071782F">
        <w:rPr>
          <w:lang w:val="fr-CH"/>
        </w:rPr>
        <w:t xml:space="preserve">. </w:t>
      </w:r>
      <w:r w:rsidR="00C844F1" w:rsidRPr="0071782F">
        <w:rPr>
          <w:lang w:val="fr-CH"/>
        </w:rPr>
        <w:t>On a exécuté 16 programmes destinés à étendre et promouvoir la culture de la prière</w:t>
      </w:r>
      <w:r w:rsidRPr="0071782F">
        <w:rPr>
          <w:lang w:val="fr-CH"/>
        </w:rPr>
        <w:t>.</w:t>
      </w:r>
    </w:p>
    <w:p w:rsidR="00333944" w:rsidRPr="0071782F" w:rsidRDefault="00333944" w:rsidP="00AE4C1A">
      <w:pPr>
        <w:pStyle w:val="SingleTxtG"/>
        <w:ind w:left="1701"/>
        <w:rPr>
          <w:lang w:val="fr-CH"/>
        </w:rPr>
      </w:pPr>
      <w:r w:rsidRPr="0071782F">
        <w:rPr>
          <w:lang w:val="fr-CH"/>
        </w:rPr>
        <w:t>369.56</w:t>
      </w:r>
      <w:r w:rsidR="00AE4C1A" w:rsidRPr="0071782F">
        <w:rPr>
          <w:lang w:val="fr-CH"/>
        </w:rPr>
        <w:t xml:space="preserve">. </w:t>
      </w:r>
      <w:r w:rsidR="00C844F1" w:rsidRPr="0071782F">
        <w:rPr>
          <w:lang w:val="fr-CH"/>
        </w:rPr>
        <w:t>On a élaboré et appliqué le programme des élèves assistants de police qui s’adress</w:t>
      </w:r>
      <w:r w:rsidRPr="0071782F">
        <w:rPr>
          <w:lang w:val="fr-CH"/>
        </w:rPr>
        <w:t>e</w:t>
      </w:r>
      <w:r w:rsidR="00C844F1" w:rsidRPr="0071782F">
        <w:rPr>
          <w:lang w:val="fr-CH"/>
        </w:rPr>
        <w:t xml:space="preserve"> à six</w:t>
      </w:r>
      <w:r w:rsidR="00097CDB" w:rsidRPr="0071782F">
        <w:rPr>
          <w:lang w:val="fr-CH"/>
        </w:rPr>
        <w:t> millions</w:t>
      </w:r>
      <w:r w:rsidR="00C844F1" w:rsidRPr="0071782F">
        <w:rPr>
          <w:lang w:val="fr-CH"/>
        </w:rPr>
        <w:t xml:space="preserve"> d’élèves des centres préscolaires et des écoles primaires à l’occasion du Nouvel an iranien de 2007, ce qui a permis, selon les statistiques du bureau du </w:t>
      </w:r>
      <w:r w:rsidR="00C844F1" w:rsidRPr="0071782F">
        <w:rPr>
          <w:i/>
          <w:lang w:val="fr-CH"/>
        </w:rPr>
        <w:t xml:space="preserve">coroner </w:t>
      </w:r>
      <w:r w:rsidR="00C844F1" w:rsidRPr="0071782F">
        <w:rPr>
          <w:lang w:val="fr-CH"/>
        </w:rPr>
        <w:t xml:space="preserve">et de la police, de faire baisser de </w:t>
      </w:r>
      <w:r w:rsidRPr="0071782F">
        <w:rPr>
          <w:lang w:val="fr-CH"/>
        </w:rPr>
        <w:t>10</w:t>
      </w:r>
      <w:r w:rsidR="00C844F1" w:rsidRPr="0071782F">
        <w:rPr>
          <w:lang w:val="fr-CH"/>
        </w:rPr>
        <w:t>,</w:t>
      </w:r>
      <w:r w:rsidRPr="0071782F">
        <w:rPr>
          <w:lang w:val="fr-CH"/>
        </w:rPr>
        <w:t>04</w:t>
      </w:r>
      <w:r w:rsidR="007E5125" w:rsidRPr="0071782F">
        <w:rPr>
          <w:lang w:val="fr-CH"/>
        </w:rPr>
        <w:t>%</w:t>
      </w:r>
      <w:r w:rsidR="00C844F1" w:rsidRPr="0071782F">
        <w:rPr>
          <w:lang w:val="fr-CH"/>
        </w:rPr>
        <w:t xml:space="preserve"> par rapport aux années antérieures et pour la première fois dans le pays le </w:t>
      </w:r>
      <w:r w:rsidR="003B48A4" w:rsidRPr="0071782F">
        <w:rPr>
          <w:lang w:val="fr-CH"/>
        </w:rPr>
        <w:t>nombre</w:t>
      </w:r>
      <w:r w:rsidRPr="0071782F">
        <w:rPr>
          <w:lang w:val="fr-CH"/>
        </w:rPr>
        <w:t xml:space="preserve"> </w:t>
      </w:r>
      <w:r w:rsidR="00C844F1" w:rsidRPr="0071782F">
        <w:rPr>
          <w:lang w:val="fr-CH"/>
        </w:rPr>
        <w:t>de morts et de blessés et de diminuer la gravité des accidents</w:t>
      </w:r>
      <w:r w:rsidRPr="0071782F">
        <w:rPr>
          <w:lang w:val="fr-CH"/>
        </w:rPr>
        <w:t>.</w:t>
      </w:r>
    </w:p>
    <w:p w:rsidR="00333944" w:rsidRPr="0071782F" w:rsidRDefault="00333944" w:rsidP="00AE4C1A">
      <w:pPr>
        <w:pStyle w:val="SingleTxtG"/>
        <w:ind w:left="1701"/>
        <w:rPr>
          <w:lang w:val="fr-CH"/>
        </w:rPr>
      </w:pPr>
      <w:r w:rsidRPr="0071782F">
        <w:rPr>
          <w:lang w:val="fr-CH"/>
        </w:rPr>
        <w:t>369.57</w:t>
      </w:r>
      <w:r w:rsidR="00AE4C1A" w:rsidRPr="0071782F">
        <w:rPr>
          <w:lang w:val="fr-CH"/>
        </w:rPr>
        <w:t xml:space="preserve">. </w:t>
      </w:r>
      <w:r w:rsidR="00BD4082" w:rsidRPr="0071782F">
        <w:rPr>
          <w:lang w:val="fr-CH"/>
        </w:rPr>
        <w:t>Pendant l’année scolaire 2007-2008, huit</w:t>
      </w:r>
      <w:r w:rsidR="00816714">
        <w:rPr>
          <w:lang w:val="fr-CH"/>
        </w:rPr>
        <w:t xml:space="preserve"> </w:t>
      </w:r>
      <w:r w:rsidR="00097CDB" w:rsidRPr="0071782F">
        <w:rPr>
          <w:lang w:val="fr-CH"/>
        </w:rPr>
        <w:t>millions</w:t>
      </w:r>
      <w:r w:rsidR="00BD4082" w:rsidRPr="0071782F">
        <w:rPr>
          <w:lang w:val="fr-CH"/>
        </w:rPr>
        <w:t xml:space="preserve"> d’élèves de l’enseignement général ont participé au </w:t>
      </w:r>
      <w:r w:rsidRPr="0071782F">
        <w:rPr>
          <w:lang w:val="fr-CH"/>
        </w:rPr>
        <w:t>program</w:t>
      </w:r>
      <w:r w:rsidR="00BD4082" w:rsidRPr="0071782F">
        <w:rPr>
          <w:lang w:val="fr-CH"/>
        </w:rPr>
        <w:t>me d’élèves assistants de police de premier et de deuxième échelon et de jeunes et d’adolescents assistants de police</w:t>
      </w:r>
      <w:r w:rsidRPr="0071782F">
        <w:rPr>
          <w:lang w:val="fr-CH"/>
        </w:rPr>
        <w:t>.</w:t>
      </w:r>
    </w:p>
    <w:p w:rsidR="00333944" w:rsidRPr="0071782F" w:rsidRDefault="00333944" w:rsidP="00AE4C1A">
      <w:pPr>
        <w:pStyle w:val="SingleTxtG"/>
        <w:ind w:left="1701"/>
        <w:rPr>
          <w:lang w:val="fr-CH"/>
        </w:rPr>
      </w:pPr>
      <w:r w:rsidRPr="0071782F">
        <w:rPr>
          <w:lang w:val="fr-CH"/>
        </w:rPr>
        <w:t>369.58</w:t>
      </w:r>
      <w:r w:rsidR="00AE4C1A" w:rsidRPr="0071782F">
        <w:rPr>
          <w:lang w:val="fr-CH"/>
        </w:rPr>
        <w:t xml:space="preserve">. </w:t>
      </w:r>
      <w:r w:rsidR="00BD4082" w:rsidRPr="0071782F">
        <w:rPr>
          <w:lang w:val="fr-CH"/>
        </w:rPr>
        <w:t xml:space="preserve">Le Programme Dignité, destiné à pallier les carences de l’enseignement pour ce qui est de la religion et du développement et à renforcer les aptitudes morales, a été introduit dans </w:t>
      </w:r>
      <w:r w:rsidRPr="0071782F">
        <w:rPr>
          <w:lang w:val="fr-CH"/>
        </w:rPr>
        <w:t>50</w:t>
      </w:r>
      <w:r w:rsidR="007E5125" w:rsidRPr="0071782F">
        <w:rPr>
          <w:lang w:val="fr-CH"/>
        </w:rPr>
        <w:t>%</w:t>
      </w:r>
      <w:r w:rsidR="00BD4082" w:rsidRPr="0071782F">
        <w:rPr>
          <w:lang w:val="fr-CH"/>
        </w:rPr>
        <w:t xml:space="preserve"> des écoles primaires du pays</w:t>
      </w:r>
      <w:r w:rsidRPr="0071782F">
        <w:rPr>
          <w:lang w:val="fr-CH"/>
        </w:rPr>
        <w:t xml:space="preserve">; </w:t>
      </w:r>
      <w:r w:rsidR="00BD4082" w:rsidRPr="0071782F">
        <w:rPr>
          <w:lang w:val="fr-CH"/>
        </w:rPr>
        <w:t>ce plan sera appliqué aux écoles secondaires du premier cycle à compter de la prochaine année scolaire.</w:t>
      </w:r>
    </w:p>
    <w:p w:rsidR="00333944" w:rsidRPr="0071782F" w:rsidRDefault="00333944" w:rsidP="00AE4C1A">
      <w:pPr>
        <w:pStyle w:val="SingleTxtG"/>
        <w:ind w:left="1701"/>
        <w:rPr>
          <w:lang w:val="fr-CH"/>
        </w:rPr>
      </w:pPr>
      <w:r w:rsidRPr="0071782F">
        <w:rPr>
          <w:lang w:val="fr-CH"/>
        </w:rPr>
        <w:t>369.59</w:t>
      </w:r>
      <w:r w:rsidR="00AE4C1A" w:rsidRPr="0071782F">
        <w:rPr>
          <w:lang w:val="fr-CH"/>
        </w:rPr>
        <w:t xml:space="preserve">. </w:t>
      </w:r>
      <w:r w:rsidR="00BD4082" w:rsidRPr="0071782F">
        <w:rPr>
          <w:lang w:val="fr-CH"/>
        </w:rPr>
        <w:t xml:space="preserve">Le </w:t>
      </w:r>
      <w:r w:rsidRPr="0071782F">
        <w:rPr>
          <w:lang w:val="fr-CH"/>
        </w:rPr>
        <w:t>program</w:t>
      </w:r>
      <w:r w:rsidR="00BD4082" w:rsidRPr="0071782F">
        <w:rPr>
          <w:lang w:val="fr-CH"/>
        </w:rPr>
        <w:t>me stratégique relatif au VIH/sida a été élaboré pour la première fois dans le cadre du</w:t>
      </w:r>
      <w:r w:rsidRPr="0071782F">
        <w:rPr>
          <w:lang w:val="fr-CH"/>
        </w:rPr>
        <w:t xml:space="preserve"> Minist</w:t>
      </w:r>
      <w:r w:rsidR="00BD4082" w:rsidRPr="0071782F">
        <w:rPr>
          <w:lang w:val="fr-CH"/>
        </w:rPr>
        <w:t>ère de l’é</w:t>
      </w:r>
      <w:r w:rsidRPr="0071782F">
        <w:rPr>
          <w:lang w:val="fr-CH"/>
        </w:rPr>
        <w:t>ducation.</w:t>
      </w:r>
    </w:p>
    <w:p w:rsidR="00333944" w:rsidRPr="0071782F" w:rsidRDefault="00333944" w:rsidP="00AE4C1A">
      <w:pPr>
        <w:pStyle w:val="SingleTxtG"/>
        <w:ind w:left="1701"/>
        <w:rPr>
          <w:lang w:val="fr-CH"/>
        </w:rPr>
      </w:pPr>
      <w:r w:rsidRPr="0071782F">
        <w:rPr>
          <w:lang w:val="fr-CH"/>
        </w:rPr>
        <w:t>369.60</w:t>
      </w:r>
      <w:r w:rsidR="00AE4C1A" w:rsidRPr="0071782F">
        <w:rPr>
          <w:lang w:val="fr-CH"/>
        </w:rPr>
        <w:t xml:space="preserve">. </w:t>
      </w:r>
      <w:r w:rsidR="00BD4082" w:rsidRPr="0071782F">
        <w:rPr>
          <w:lang w:val="fr-CH"/>
        </w:rPr>
        <w:t>À travers le pays, un million d’élèves ont bénéficié du programme éducatif concernant les préposés à la traversée des rues par les écoliers</w:t>
      </w:r>
      <w:r w:rsidRPr="0071782F">
        <w:rPr>
          <w:lang w:val="fr-CH"/>
        </w:rPr>
        <w:t xml:space="preserve">. </w:t>
      </w:r>
    </w:p>
    <w:p w:rsidR="00333944" w:rsidRPr="0071782F" w:rsidRDefault="00333944" w:rsidP="00AE4C1A">
      <w:pPr>
        <w:pStyle w:val="SingleTxtG"/>
        <w:ind w:left="1701"/>
        <w:rPr>
          <w:lang w:val="fr-CH"/>
        </w:rPr>
      </w:pPr>
      <w:r w:rsidRPr="0071782F">
        <w:rPr>
          <w:lang w:val="fr-CH"/>
        </w:rPr>
        <w:t>369.61</w:t>
      </w:r>
      <w:r w:rsidR="00AE4C1A" w:rsidRPr="0071782F">
        <w:rPr>
          <w:lang w:val="fr-CH"/>
        </w:rPr>
        <w:t xml:space="preserve">. </w:t>
      </w:r>
      <w:r w:rsidR="00BD4082" w:rsidRPr="0071782F">
        <w:rPr>
          <w:lang w:val="fr-CH"/>
        </w:rPr>
        <w:t xml:space="preserve">Le </w:t>
      </w:r>
      <w:r w:rsidRPr="0071782F">
        <w:rPr>
          <w:lang w:val="fr-CH"/>
        </w:rPr>
        <w:t>program</w:t>
      </w:r>
      <w:r w:rsidR="00BD4082" w:rsidRPr="0071782F">
        <w:rPr>
          <w:lang w:val="fr-CH"/>
        </w:rPr>
        <w:t>me relatif au renouveau du rôle d’orientation et de conseil des enseignants a été exécuté dans toutes les écoles se</w:t>
      </w:r>
      <w:r w:rsidR="00773F1E" w:rsidRPr="0071782F">
        <w:rPr>
          <w:lang w:val="fr-CH"/>
        </w:rPr>
        <w:t>condaires du premier cycle et d</w:t>
      </w:r>
      <w:r w:rsidR="00BD4082" w:rsidRPr="0071782F">
        <w:rPr>
          <w:lang w:val="fr-CH"/>
        </w:rPr>
        <w:t>ans 15</w:t>
      </w:r>
      <w:r w:rsidR="007E5125" w:rsidRPr="0071782F">
        <w:rPr>
          <w:lang w:val="fr-CH"/>
        </w:rPr>
        <w:t>%</w:t>
      </w:r>
      <w:r w:rsidR="00BD4082" w:rsidRPr="0071782F">
        <w:rPr>
          <w:lang w:val="fr-CH"/>
        </w:rPr>
        <w:t xml:space="preserve"> des écoles primaires, afin de régler les problèmes liés à l’absence de conseillers dans les écoles. </w:t>
      </w:r>
    </w:p>
    <w:p w:rsidR="00333944" w:rsidRPr="0071782F" w:rsidRDefault="00333944" w:rsidP="00AE4C1A">
      <w:pPr>
        <w:pStyle w:val="SingleTxtG"/>
        <w:ind w:left="1701"/>
        <w:rPr>
          <w:lang w:val="fr-CH"/>
        </w:rPr>
      </w:pPr>
      <w:r w:rsidRPr="0071782F">
        <w:rPr>
          <w:lang w:val="fr-CH"/>
        </w:rPr>
        <w:t>369.62</w:t>
      </w:r>
      <w:r w:rsidR="00AE4C1A" w:rsidRPr="0071782F">
        <w:rPr>
          <w:lang w:val="fr-CH"/>
        </w:rPr>
        <w:t xml:space="preserve">. </w:t>
      </w:r>
      <w:r w:rsidR="00BD4082" w:rsidRPr="0071782F">
        <w:rPr>
          <w:lang w:val="fr-CH"/>
        </w:rPr>
        <w:t>L’organisation a remporté la première place lors du deuxième Festival de la prestation de services et de la capacité de réaction rapide du Ministère de l’éducation, parmi 46 entités indépendantes, sur la base des études réalisées.</w:t>
      </w:r>
    </w:p>
    <w:p w:rsidR="00333944" w:rsidRPr="0071782F" w:rsidRDefault="00333944" w:rsidP="00311068">
      <w:pPr>
        <w:pStyle w:val="SingleTxtG"/>
        <w:ind w:left="1701"/>
        <w:rPr>
          <w:lang w:val="fr-CH"/>
        </w:rPr>
      </w:pPr>
      <w:r w:rsidRPr="0071782F">
        <w:rPr>
          <w:lang w:val="fr-CH"/>
        </w:rPr>
        <w:t>369.63</w:t>
      </w:r>
      <w:r w:rsidR="00AE4C1A" w:rsidRPr="0071782F">
        <w:rPr>
          <w:lang w:val="fr-CH"/>
        </w:rPr>
        <w:t xml:space="preserve">. </w:t>
      </w:r>
      <w:r w:rsidR="00BD4082" w:rsidRPr="0071782F">
        <w:rPr>
          <w:lang w:val="fr-CH"/>
        </w:rPr>
        <w:t xml:space="preserve">Plus de </w:t>
      </w:r>
      <w:r w:rsidRPr="0071782F">
        <w:rPr>
          <w:lang w:val="fr-CH"/>
        </w:rPr>
        <w:t xml:space="preserve">700 </w:t>
      </w:r>
      <w:r w:rsidR="00BD4082" w:rsidRPr="0071782F">
        <w:rPr>
          <w:lang w:val="fr-CH"/>
        </w:rPr>
        <w:t xml:space="preserve">enseignants exemplaires des </w:t>
      </w:r>
      <w:r w:rsidRPr="0071782F">
        <w:rPr>
          <w:lang w:val="fr-CH"/>
        </w:rPr>
        <w:t xml:space="preserve">provinces </w:t>
      </w:r>
      <w:r w:rsidR="00BD4082" w:rsidRPr="0071782F">
        <w:rPr>
          <w:lang w:val="fr-CH"/>
        </w:rPr>
        <w:t xml:space="preserve">ont effectué le pèlerinage de Hazrat Zaynab pendant l’année scolaire </w:t>
      </w:r>
      <w:r w:rsidRPr="0071782F">
        <w:rPr>
          <w:lang w:val="fr-CH"/>
        </w:rPr>
        <w:t>2006</w:t>
      </w:r>
      <w:r w:rsidR="00BD4082" w:rsidRPr="0071782F">
        <w:rPr>
          <w:lang w:val="fr-CH"/>
        </w:rPr>
        <w:t>-</w:t>
      </w:r>
      <w:r w:rsidRPr="0071782F">
        <w:rPr>
          <w:lang w:val="fr-CH"/>
        </w:rPr>
        <w:t>2007.</w:t>
      </w:r>
    </w:p>
    <w:p w:rsidR="00333944" w:rsidRPr="0071782F" w:rsidRDefault="00333944" w:rsidP="00136376">
      <w:pPr>
        <w:pStyle w:val="H23G"/>
        <w:rPr>
          <w:lang w:val="fr-CH"/>
        </w:rPr>
      </w:pPr>
      <w:r w:rsidRPr="0071782F">
        <w:rPr>
          <w:lang w:val="fr-CH"/>
        </w:rPr>
        <w:tab/>
      </w:r>
      <w:r w:rsidRPr="0071782F">
        <w:rPr>
          <w:lang w:val="fr-CH"/>
        </w:rPr>
        <w:tab/>
      </w:r>
      <w:r w:rsidR="00BD4082" w:rsidRPr="0071782F">
        <w:rPr>
          <w:lang w:val="fr-CH"/>
        </w:rPr>
        <w:t>Amélioration de la qualité de l’é</w:t>
      </w:r>
      <w:r w:rsidRPr="0071782F">
        <w:rPr>
          <w:lang w:val="fr-CH"/>
        </w:rPr>
        <w:t>ducation</w:t>
      </w:r>
    </w:p>
    <w:p w:rsidR="00333944" w:rsidRPr="0071782F" w:rsidRDefault="00333944" w:rsidP="00311068">
      <w:pPr>
        <w:pStyle w:val="SingleTxtG"/>
        <w:rPr>
          <w:lang w:val="fr-CH"/>
        </w:rPr>
      </w:pPr>
      <w:r w:rsidRPr="0071782F">
        <w:rPr>
          <w:lang w:val="fr-CH"/>
        </w:rPr>
        <w:t>370.</w:t>
      </w:r>
      <w:r w:rsidRPr="0071782F">
        <w:rPr>
          <w:lang w:val="fr-CH"/>
        </w:rPr>
        <w:tab/>
      </w:r>
      <w:r w:rsidR="00773F1E" w:rsidRPr="0071782F">
        <w:rPr>
          <w:lang w:val="fr-CH"/>
        </w:rPr>
        <w:t>À ce sujet, il convient de noter ce qui suit</w:t>
      </w:r>
      <w:r w:rsidR="008F7D33" w:rsidRPr="0071782F">
        <w:rPr>
          <w:lang w:val="fr-CH"/>
        </w:rPr>
        <w:t>:</w:t>
      </w:r>
    </w:p>
    <w:p w:rsidR="00333944" w:rsidRPr="0071782F" w:rsidRDefault="00333944" w:rsidP="00AE4C1A">
      <w:pPr>
        <w:pStyle w:val="SingleTxtG"/>
        <w:ind w:left="1701"/>
        <w:rPr>
          <w:lang w:val="fr-CH"/>
        </w:rPr>
      </w:pPr>
      <w:r w:rsidRPr="0071782F">
        <w:rPr>
          <w:lang w:val="fr-CH"/>
        </w:rPr>
        <w:t>370.1</w:t>
      </w:r>
      <w:r w:rsidR="00AE4C1A" w:rsidRPr="0071782F">
        <w:rPr>
          <w:lang w:val="fr-CH"/>
        </w:rPr>
        <w:t>.</w:t>
      </w:r>
      <w:r w:rsidRPr="0071782F">
        <w:rPr>
          <w:lang w:val="fr-CH"/>
        </w:rPr>
        <w:tab/>
      </w:r>
      <w:r w:rsidR="0095400E" w:rsidRPr="0071782F">
        <w:rPr>
          <w:lang w:val="fr-CH"/>
        </w:rPr>
        <w:t xml:space="preserve">Le Ministère de l’éducation a désigné </w:t>
      </w:r>
      <w:r w:rsidRPr="0071782F">
        <w:rPr>
          <w:lang w:val="fr-CH"/>
        </w:rPr>
        <w:t xml:space="preserve">2006 </w:t>
      </w:r>
      <w:r w:rsidR="0095400E" w:rsidRPr="0071782F">
        <w:rPr>
          <w:lang w:val="fr-CH"/>
        </w:rPr>
        <w:t>comme l’Année de l’instruction primaire.</w:t>
      </w:r>
      <w:r w:rsidRPr="0071782F">
        <w:rPr>
          <w:lang w:val="fr-CH"/>
        </w:rPr>
        <w:t xml:space="preserve"> </w:t>
      </w:r>
      <w:r w:rsidR="0095400E" w:rsidRPr="0071782F">
        <w:rPr>
          <w:lang w:val="fr-CH"/>
        </w:rPr>
        <w:t xml:space="preserve">Le </w:t>
      </w:r>
      <w:r w:rsidR="003B48A4" w:rsidRPr="0071782F">
        <w:rPr>
          <w:lang w:val="fr-CH"/>
        </w:rPr>
        <w:t>nombre</w:t>
      </w:r>
      <w:r w:rsidRPr="0071782F">
        <w:rPr>
          <w:lang w:val="fr-CH"/>
        </w:rPr>
        <w:t xml:space="preserve"> </w:t>
      </w:r>
      <w:r w:rsidR="0095400E" w:rsidRPr="0071782F">
        <w:rPr>
          <w:lang w:val="fr-CH"/>
        </w:rPr>
        <w:t>d’enfants d’âge préscolaire a augmenté de 4,6</w:t>
      </w:r>
      <w:r w:rsidR="007E5125" w:rsidRPr="0071782F">
        <w:rPr>
          <w:lang w:val="fr-CH"/>
        </w:rPr>
        <w:t>%</w:t>
      </w:r>
      <w:r w:rsidR="0095400E" w:rsidRPr="0071782F">
        <w:rPr>
          <w:lang w:val="fr-CH"/>
        </w:rPr>
        <w:t>, passant de 492</w:t>
      </w:r>
      <w:r w:rsidR="00816714">
        <w:rPr>
          <w:lang w:val="fr-CH"/>
        </w:rPr>
        <w:t> </w:t>
      </w:r>
      <w:r w:rsidRPr="0071782F">
        <w:rPr>
          <w:lang w:val="fr-CH"/>
        </w:rPr>
        <w:t xml:space="preserve">000 </w:t>
      </w:r>
      <w:r w:rsidR="0095400E" w:rsidRPr="0071782F">
        <w:rPr>
          <w:lang w:val="fr-CH"/>
        </w:rPr>
        <w:t>à 540</w:t>
      </w:r>
      <w:r w:rsidR="00816714">
        <w:rPr>
          <w:lang w:val="fr-CH"/>
        </w:rPr>
        <w:t> </w:t>
      </w:r>
      <w:r w:rsidRPr="0071782F">
        <w:rPr>
          <w:lang w:val="fr-CH"/>
        </w:rPr>
        <w:t xml:space="preserve">000, </w:t>
      </w:r>
      <w:r w:rsidR="0095400E" w:rsidRPr="0071782F">
        <w:rPr>
          <w:lang w:val="fr-CH"/>
        </w:rPr>
        <w:t xml:space="preserve">ce qui a permis de dépasser l’objectif prévu par le </w:t>
      </w:r>
      <w:r w:rsidR="00A90208" w:rsidRPr="0071782F">
        <w:rPr>
          <w:lang w:val="fr-CH"/>
        </w:rPr>
        <w:t>quatrième</w:t>
      </w:r>
      <w:r w:rsidR="00311068" w:rsidRPr="0071782F">
        <w:rPr>
          <w:lang w:val="fr-CH"/>
        </w:rPr>
        <w:t> </w:t>
      </w:r>
      <w:r w:rsidR="0095400E" w:rsidRPr="0071782F">
        <w:rPr>
          <w:lang w:val="fr-CH"/>
        </w:rPr>
        <w:t>plan de développement.</w:t>
      </w:r>
    </w:p>
    <w:p w:rsidR="00333944" w:rsidRPr="0071782F" w:rsidRDefault="00333944" w:rsidP="00AE4C1A">
      <w:pPr>
        <w:pStyle w:val="SingleTxtG"/>
        <w:ind w:left="1701"/>
        <w:rPr>
          <w:lang w:val="fr-CH"/>
        </w:rPr>
      </w:pPr>
      <w:r w:rsidRPr="0071782F">
        <w:rPr>
          <w:lang w:val="fr-CH"/>
        </w:rPr>
        <w:t>370.2</w:t>
      </w:r>
      <w:r w:rsidR="00AE4C1A" w:rsidRPr="0071782F">
        <w:rPr>
          <w:lang w:val="fr-CH"/>
        </w:rPr>
        <w:t>.</w:t>
      </w:r>
      <w:r w:rsidRPr="0071782F">
        <w:rPr>
          <w:lang w:val="fr-CH"/>
        </w:rPr>
        <w:tab/>
      </w:r>
      <w:r w:rsidR="0095400E" w:rsidRPr="0071782F">
        <w:rPr>
          <w:lang w:val="fr-CH"/>
        </w:rPr>
        <w:t>L’effectif moyen par classe a diminué dans les écoles primaires</w:t>
      </w:r>
      <w:r w:rsidR="008F7D33" w:rsidRPr="0071782F">
        <w:rPr>
          <w:lang w:val="fr-CH"/>
        </w:rPr>
        <w:t>:</w:t>
      </w:r>
      <w:r w:rsidR="0095400E" w:rsidRPr="0071782F">
        <w:rPr>
          <w:lang w:val="fr-CH"/>
        </w:rPr>
        <w:t xml:space="preserve"> il a été ramené de </w:t>
      </w:r>
      <w:r w:rsidRPr="0071782F">
        <w:rPr>
          <w:lang w:val="fr-CH"/>
        </w:rPr>
        <w:t>21</w:t>
      </w:r>
      <w:r w:rsidR="0095400E" w:rsidRPr="0071782F">
        <w:rPr>
          <w:lang w:val="fr-CH"/>
        </w:rPr>
        <w:t>,</w:t>
      </w:r>
      <w:r w:rsidRPr="0071782F">
        <w:rPr>
          <w:lang w:val="fr-CH"/>
        </w:rPr>
        <w:t xml:space="preserve">4 </w:t>
      </w:r>
      <w:r w:rsidR="0095400E" w:rsidRPr="0071782F">
        <w:rPr>
          <w:lang w:val="fr-CH"/>
        </w:rPr>
        <w:t>à</w:t>
      </w:r>
      <w:r w:rsidRPr="0071782F">
        <w:rPr>
          <w:lang w:val="fr-CH"/>
        </w:rPr>
        <w:t xml:space="preserve"> 21</w:t>
      </w:r>
      <w:r w:rsidR="0095400E" w:rsidRPr="0071782F">
        <w:rPr>
          <w:lang w:val="fr-CH"/>
        </w:rPr>
        <w:t>,</w:t>
      </w:r>
      <w:r w:rsidRPr="0071782F">
        <w:rPr>
          <w:lang w:val="fr-CH"/>
        </w:rPr>
        <w:t xml:space="preserve">1 </w:t>
      </w:r>
      <w:r w:rsidR="0095400E" w:rsidRPr="0071782F">
        <w:rPr>
          <w:lang w:val="fr-CH"/>
        </w:rPr>
        <w:t xml:space="preserve">élèves, ce qui </w:t>
      </w:r>
      <w:r w:rsidR="00773F1E" w:rsidRPr="0071782F">
        <w:rPr>
          <w:lang w:val="fr-CH"/>
        </w:rPr>
        <w:t>témoign</w:t>
      </w:r>
      <w:r w:rsidR="0095400E" w:rsidRPr="0071782F">
        <w:rPr>
          <w:lang w:val="fr-CH"/>
        </w:rPr>
        <w:t xml:space="preserve">e </w:t>
      </w:r>
      <w:r w:rsidR="00773F1E" w:rsidRPr="0071782F">
        <w:rPr>
          <w:lang w:val="fr-CH"/>
        </w:rPr>
        <w:t>d’</w:t>
      </w:r>
      <w:r w:rsidR="0095400E" w:rsidRPr="0071782F">
        <w:rPr>
          <w:lang w:val="fr-CH"/>
        </w:rPr>
        <w:t>une amélioration des conditions</w:t>
      </w:r>
      <w:r w:rsidRPr="0071782F">
        <w:rPr>
          <w:lang w:val="fr-CH"/>
        </w:rPr>
        <w:t>.</w:t>
      </w:r>
    </w:p>
    <w:p w:rsidR="00333944" w:rsidRPr="0071782F" w:rsidRDefault="00333944" w:rsidP="00AE4C1A">
      <w:pPr>
        <w:pStyle w:val="SingleTxtG"/>
        <w:ind w:left="1701"/>
        <w:rPr>
          <w:lang w:val="fr-CH"/>
        </w:rPr>
      </w:pPr>
      <w:r w:rsidRPr="0071782F">
        <w:rPr>
          <w:lang w:val="fr-CH"/>
        </w:rPr>
        <w:t>370.3</w:t>
      </w:r>
      <w:r w:rsidR="00AE4C1A" w:rsidRPr="0071782F">
        <w:rPr>
          <w:lang w:val="fr-CH"/>
        </w:rPr>
        <w:t>.</w:t>
      </w:r>
      <w:r w:rsidRPr="0071782F">
        <w:rPr>
          <w:lang w:val="fr-CH"/>
        </w:rPr>
        <w:tab/>
      </w:r>
      <w:r w:rsidR="0095400E" w:rsidRPr="0071782F">
        <w:rPr>
          <w:lang w:val="fr-CH"/>
        </w:rPr>
        <w:t xml:space="preserve">Le </w:t>
      </w:r>
      <w:r w:rsidR="003B48A4" w:rsidRPr="0071782F">
        <w:rPr>
          <w:lang w:val="fr-CH"/>
        </w:rPr>
        <w:t>nombre</w:t>
      </w:r>
      <w:r w:rsidRPr="0071782F">
        <w:rPr>
          <w:lang w:val="fr-CH"/>
        </w:rPr>
        <w:t xml:space="preserve"> </w:t>
      </w:r>
      <w:r w:rsidR="0095400E" w:rsidRPr="0071782F">
        <w:rPr>
          <w:lang w:val="fr-CH"/>
        </w:rPr>
        <w:t xml:space="preserve">d’établissements préscolaires a augmenté de </w:t>
      </w:r>
      <w:r w:rsidRPr="0071782F">
        <w:rPr>
          <w:lang w:val="fr-CH"/>
        </w:rPr>
        <w:t>2</w:t>
      </w:r>
      <w:r w:rsidR="00816714">
        <w:rPr>
          <w:lang w:val="fr-CH"/>
        </w:rPr>
        <w:t> </w:t>
      </w:r>
      <w:r w:rsidRPr="0071782F">
        <w:rPr>
          <w:lang w:val="fr-CH"/>
        </w:rPr>
        <w:t xml:space="preserve">621, </w:t>
      </w:r>
      <w:r w:rsidR="0095400E" w:rsidRPr="0071782F">
        <w:rPr>
          <w:lang w:val="fr-CH"/>
        </w:rPr>
        <w:t xml:space="preserve">passant de </w:t>
      </w:r>
      <w:r w:rsidRPr="0071782F">
        <w:rPr>
          <w:lang w:val="fr-CH"/>
        </w:rPr>
        <w:t>17</w:t>
      </w:r>
      <w:r w:rsidR="00311068" w:rsidRPr="0071782F">
        <w:rPr>
          <w:lang w:val="fr-CH"/>
        </w:rPr>
        <w:t> </w:t>
      </w:r>
      <w:r w:rsidRPr="0071782F">
        <w:rPr>
          <w:lang w:val="fr-CH"/>
        </w:rPr>
        <w:t xml:space="preserve">291 </w:t>
      </w:r>
      <w:r w:rsidR="0095400E" w:rsidRPr="0071782F">
        <w:rPr>
          <w:lang w:val="fr-CH"/>
        </w:rPr>
        <w:t>à 19</w:t>
      </w:r>
      <w:r w:rsidR="00816714">
        <w:rPr>
          <w:lang w:val="fr-CH"/>
        </w:rPr>
        <w:t> </w:t>
      </w:r>
      <w:r w:rsidRPr="0071782F">
        <w:rPr>
          <w:lang w:val="fr-CH"/>
        </w:rPr>
        <w:t>912.</w:t>
      </w:r>
    </w:p>
    <w:p w:rsidR="00333944" w:rsidRPr="0071782F" w:rsidRDefault="00333944" w:rsidP="00AE4C1A">
      <w:pPr>
        <w:pStyle w:val="SingleTxtG"/>
        <w:ind w:left="1701"/>
        <w:rPr>
          <w:lang w:val="fr-CH"/>
        </w:rPr>
      </w:pPr>
      <w:r w:rsidRPr="0071782F">
        <w:rPr>
          <w:lang w:val="fr-CH"/>
        </w:rPr>
        <w:t>370.4</w:t>
      </w:r>
      <w:r w:rsidR="00AE4C1A" w:rsidRPr="0071782F">
        <w:rPr>
          <w:lang w:val="fr-CH"/>
        </w:rPr>
        <w:t>.</w:t>
      </w:r>
      <w:r w:rsidRPr="0071782F">
        <w:rPr>
          <w:lang w:val="fr-CH"/>
        </w:rPr>
        <w:tab/>
      </w:r>
      <w:r w:rsidR="0095400E" w:rsidRPr="0071782F">
        <w:rPr>
          <w:lang w:val="fr-CH"/>
        </w:rPr>
        <w:t>Sept cent soixante-seize nouvelles écoles secondaires du second cycle ont été mises en service</w:t>
      </w:r>
      <w:r w:rsidRPr="0071782F">
        <w:rPr>
          <w:lang w:val="fr-CH"/>
        </w:rPr>
        <w:t>.</w:t>
      </w:r>
    </w:p>
    <w:p w:rsidR="00333944" w:rsidRPr="0071782F" w:rsidRDefault="00333944" w:rsidP="00AE4C1A">
      <w:pPr>
        <w:pStyle w:val="SingleTxtG"/>
        <w:ind w:left="1701"/>
        <w:rPr>
          <w:lang w:val="fr-CH"/>
        </w:rPr>
      </w:pPr>
      <w:r w:rsidRPr="0071782F">
        <w:rPr>
          <w:lang w:val="fr-CH"/>
        </w:rPr>
        <w:t>370.5</w:t>
      </w:r>
      <w:r w:rsidR="00AE4C1A" w:rsidRPr="0071782F">
        <w:rPr>
          <w:lang w:val="fr-CH"/>
        </w:rPr>
        <w:t>.</w:t>
      </w:r>
      <w:r w:rsidRPr="0071782F">
        <w:rPr>
          <w:lang w:val="fr-CH"/>
        </w:rPr>
        <w:tab/>
      </w:r>
      <w:r w:rsidR="0095400E" w:rsidRPr="0071782F">
        <w:rPr>
          <w:lang w:val="fr-CH"/>
        </w:rPr>
        <w:t xml:space="preserve">On a ouvert </w:t>
      </w:r>
      <w:r w:rsidRPr="0071782F">
        <w:rPr>
          <w:lang w:val="fr-CH"/>
        </w:rPr>
        <w:t xml:space="preserve">515 </w:t>
      </w:r>
      <w:r w:rsidR="0095400E" w:rsidRPr="0071782F">
        <w:rPr>
          <w:lang w:val="fr-CH"/>
        </w:rPr>
        <w:t xml:space="preserve">collèges </w:t>
      </w:r>
      <w:r w:rsidRPr="0071782F">
        <w:rPr>
          <w:lang w:val="fr-CH"/>
        </w:rPr>
        <w:t>pr</w:t>
      </w:r>
      <w:r w:rsidR="0095400E" w:rsidRPr="0071782F">
        <w:rPr>
          <w:lang w:val="fr-CH"/>
        </w:rPr>
        <w:t>é</w:t>
      </w:r>
      <w:r w:rsidRPr="0071782F">
        <w:rPr>
          <w:lang w:val="fr-CH"/>
        </w:rPr>
        <w:t>universit</w:t>
      </w:r>
      <w:r w:rsidR="0095400E" w:rsidRPr="0071782F">
        <w:rPr>
          <w:lang w:val="fr-CH"/>
        </w:rPr>
        <w:t xml:space="preserve">aires pour l’éducation des enfants de la République islamique d’Iran, ce qui a porté le nombre de ces établissements à </w:t>
      </w:r>
      <w:r w:rsidRPr="0071782F">
        <w:rPr>
          <w:lang w:val="fr-CH"/>
        </w:rPr>
        <w:t>5</w:t>
      </w:r>
      <w:r w:rsidR="0095400E" w:rsidRPr="0071782F">
        <w:rPr>
          <w:lang w:val="fr-CH"/>
        </w:rPr>
        <w:t> </w:t>
      </w:r>
      <w:r w:rsidRPr="0071782F">
        <w:rPr>
          <w:lang w:val="fr-CH"/>
        </w:rPr>
        <w:t>915</w:t>
      </w:r>
      <w:r w:rsidR="0095400E" w:rsidRPr="0071782F">
        <w:rPr>
          <w:lang w:val="fr-CH"/>
        </w:rPr>
        <w:t xml:space="preserve">, en augmentation de </w:t>
      </w:r>
      <w:r w:rsidRPr="0071782F">
        <w:rPr>
          <w:lang w:val="fr-CH"/>
        </w:rPr>
        <w:t>9</w:t>
      </w:r>
      <w:r w:rsidR="0095400E" w:rsidRPr="0071782F">
        <w:rPr>
          <w:lang w:val="fr-CH"/>
        </w:rPr>
        <w:t>,</w:t>
      </w:r>
      <w:r w:rsidRPr="0071782F">
        <w:rPr>
          <w:lang w:val="fr-CH"/>
        </w:rPr>
        <w:t>5</w:t>
      </w:r>
      <w:r w:rsidR="007E5125" w:rsidRPr="0071782F">
        <w:rPr>
          <w:lang w:val="fr-CH"/>
        </w:rPr>
        <w:t>%</w:t>
      </w:r>
      <w:r w:rsidRPr="0071782F">
        <w:rPr>
          <w:lang w:val="fr-CH"/>
        </w:rPr>
        <w:t>.</w:t>
      </w:r>
    </w:p>
    <w:p w:rsidR="00333944" w:rsidRPr="0071782F" w:rsidRDefault="00333944" w:rsidP="00AE4C1A">
      <w:pPr>
        <w:pStyle w:val="SingleTxtG"/>
        <w:ind w:left="1701"/>
        <w:rPr>
          <w:lang w:val="fr-CH"/>
        </w:rPr>
      </w:pPr>
      <w:r w:rsidRPr="0071782F">
        <w:rPr>
          <w:lang w:val="fr-CH"/>
        </w:rPr>
        <w:t>370.6</w:t>
      </w:r>
      <w:r w:rsidR="00AE4C1A" w:rsidRPr="0071782F">
        <w:rPr>
          <w:lang w:val="fr-CH"/>
        </w:rPr>
        <w:t>.</w:t>
      </w:r>
      <w:r w:rsidRPr="0071782F">
        <w:rPr>
          <w:lang w:val="fr-CH"/>
        </w:rPr>
        <w:tab/>
      </w:r>
      <w:r w:rsidR="0095400E" w:rsidRPr="0071782F">
        <w:rPr>
          <w:lang w:val="fr-CH"/>
        </w:rPr>
        <w:t>Deux cent cinquante-quatre nouvelles écoles d’éducation des adultes ont été construites</w:t>
      </w:r>
      <w:r w:rsidRPr="0071782F">
        <w:rPr>
          <w:lang w:val="fr-CH"/>
        </w:rPr>
        <w:t>.</w:t>
      </w:r>
    </w:p>
    <w:p w:rsidR="00333944" w:rsidRPr="0071782F" w:rsidRDefault="00333944" w:rsidP="00AE4C1A">
      <w:pPr>
        <w:pStyle w:val="SingleTxtG"/>
        <w:ind w:left="1701"/>
        <w:rPr>
          <w:lang w:val="fr-CH"/>
        </w:rPr>
      </w:pPr>
      <w:r w:rsidRPr="0071782F">
        <w:rPr>
          <w:lang w:val="fr-CH"/>
        </w:rPr>
        <w:t>370.7</w:t>
      </w:r>
      <w:r w:rsidR="00AE4C1A" w:rsidRPr="0071782F">
        <w:rPr>
          <w:lang w:val="fr-CH"/>
        </w:rPr>
        <w:t>.</w:t>
      </w:r>
      <w:r w:rsidRPr="0071782F">
        <w:rPr>
          <w:lang w:val="fr-CH"/>
        </w:rPr>
        <w:tab/>
      </w:r>
      <w:r w:rsidR="0095400E" w:rsidRPr="0071782F">
        <w:rPr>
          <w:lang w:val="fr-CH"/>
        </w:rPr>
        <w:t xml:space="preserve">Le </w:t>
      </w:r>
      <w:r w:rsidR="003B48A4" w:rsidRPr="0071782F">
        <w:rPr>
          <w:lang w:val="fr-CH"/>
        </w:rPr>
        <w:t>nombre</w:t>
      </w:r>
      <w:r w:rsidRPr="0071782F">
        <w:rPr>
          <w:lang w:val="fr-CH"/>
        </w:rPr>
        <w:t xml:space="preserve"> </w:t>
      </w:r>
      <w:r w:rsidR="0095400E" w:rsidRPr="0071782F">
        <w:rPr>
          <w:lang w:val="fr-CH"/>
        </w:rPr>
        <w:t>total d</w:t>
      </w:r>
      <w:r w:rsidR="00773F1E" w:rsidRPr="0071782F">
        <w:rPr>
          <w:lang w:val="fr-CH"/>
        </w:rPr>
        <w:t>’</w:t>
      </w:r>
      <w:r w:rsidR="0095400E" w:rsidRPr="0071782F">
        <w:rPr>
          <w:lang w:val="fr-CH"/>
        </w:rPr>
        <w:t xml:space="preserve">établissements d’enseignement a augmenté de </w:t>
      </w:r>
      <w:r w:rsidRPr="0071782F">
        <w:rPr>
          <w:lang w:val="fr-CH"/>
        </w:rPr>
        <w:t>4</w:t>
      </w:r>
      <w:r w:rsidR="00311068" w:rsidRPr="0071782F">
        <w:rPr>
          <w:lang w:val="fr-CH"/>
        </w:rPr>
        <w:t> </w:t>
      </w:r>
      <w:r w:rsidRPr="0071782F">
        <w:rPr>
          <w:lang w:val="fr-CH"/>
        </w:rPr>
        <w:t>176,</w:t>
      </w:r>
      <w:r w:rsidR="0095400E" w:rsidRPr="0071782F">
        <w:rPr>
          <w:lang w:val="fr-CH"/>
        </w:rPr>
        <w:t xml:space="preserve"> passant de </w:t>
      </w:r>
      <w:r w:rsidRPr="0071782F">
        <w:rPr>
          <w:lang w:val="fr-CH"/>
        </w:rPr>
        <w:t>145</w:t>
      </w:r>
      <w:r w:rsidR="00816714">
        <w:rPr>
          <w:lang w:val="fr-CH"/>
        </w:rPr>
        <w:t> </w:t>
      </w:r>
      <w:r w:rsidRPr="0071782F">
        <w:rPr>
          <w:lang w:val="fr-CH"/>
        </w:rPr>
        <w:t xml:space="preserve">429 </w:t>
      </w:r>
      <w:r w:rsidR="0095400E" w:rsidRPr="0071782F">
        <w:rPr>
          <w:lang w:val="fr-CH"/>
        </w:rPr>
        <w:t>à 149</w:t>
      </w:r>
      <w:r w:rsidR="00816714">
        <w:rPr>
          <w:lang w:val="fr-CH"/>
        </w:rPr>
        <w:t> </w:t>
      </w:r>
      <w:r w:rsidRPr="0071782F">
        <w:rPr>
          <w:lang w:val="fr-CH"/>
        </w:rPr>
        <w:t>605.</w:t>
      </w:r>
    </w:p>
    <w:p w:rsidR="00333944" w:rsidRPr="0071782F" w:rsidRDefault="00333944" w:rsidP="00AE4C1A">
      <w:pPr>
        <w:pStyle w:val="SingleTxtG"/>
        <w:ind w:left="1701"/>
        <w:rPr>
          <w:lang w:val="fr-CH"/>
        </w:rPr>
      </w:pPr>
      <w:r w:rsidRPr="0071782F">
        <w:rPr>
          <w:lang w:val="fr-CH"/>
        </w:rPr>
        <w:t>370.8</w:t>
      </w:r>
      <w:r w:rsidR="00AE4C1A" w:rsidRPr="0071782F">
        <w:rPr>
          <w:lang w:val="fr-CH"/>
        </w:rPr>
        <w:t>.</w:t>
      </w:r>
      <w:r w:rsidRPr="0071782F">
        <w:rPr>
          <w:lang w:val="fr-CH"/>
        </w:rPr>
        <w:tab/>
      </w:r>
      <w:r w:rsidR="0095400E" w:rsidRPr="0071782F">
        <w:rPr>
          <w:lang w:val="fr-CH"/>
        </w:rPr>
        <w:t xml:space="preserve">Le </w:t>
      </w:r>
      <w:r w:rsidRPr="0071782F">
        <w:rPr>
          <w:lang w:val="fr-CH"/>
        </w:rPr>
        <w:t>program</w:t>
      </w:r>
      <w:r w:rsidR="0095400E" w:rsidRPr="0071782F">
        <w:rPr>
          <w:lang w:val="fr-CH"/>
        </w:rPr>
        <w:t>me concernant les écoles dynamiques a été exécuté dans 10</w:t>
      </w:r>
      <w:r w:rsidR="007E5125" w:rsidRPr="0071782F">
        <w:rPr>
          <w:lang w:val="fr-CH"/>
        </w:rPr>
        <w:t>%</w:t>
      </w:r>
      <w:r w:rsidR="0095400E" w:rsidRPr="0071782F">
        <w:rPr>
          <w:lang w:val="fr-CH"/>
        </w:rPr>
        <w:t xml:space="preserve"> des écoles du pays</w:t>
      </w:r>
      <w:r w:rsidRPr="0071782F">
        <w:rPr>
          <w:lang w:val="fr-CH"/>
        </w:rPr>
        <w:t>.</w:t>
      </w:r>
    </w:p>
    <w:p w:rsidR="00333944" w:rsidRPr="0071782F" w:rsidRDefault="00333944" w:rsidP="00AE4C1A">
      <w:pPr>
        <w:pStyle w:val="SingleTxtG"/>
        <w:ind w:left="1701"/>
        <w:rPr>
          <w:lang w:val="fr-CH"/>
        </w:rPr>
      </w:pPr>
      <w:r w:rsidRPr="0071782F">
        <w:rPr>
          <w:lang w:val="fr-CH"/>
        </w:rPr>
        <w:t>370.9</w:t>
      </w:r>
      <w:r w:rsidR="00AE4C1A" w:rsidRPr="0071782F">
        <w:rPr>
          <w:lang w:val="fr-CH"/>
        </w:rPr>
        <w:t>.</w:t>
      </w:r>
      <w:r w:rsidRPr="0071782F">
        <w:rPr>
          <w:lang w:val="fr-CH"/>
        </w:rPr>
        <w:tab/>
      </w:r>
      <w:r w:rsidR="00762701" w:rsidRPr="0071782F">
        <w:rPr>
          <w:lang w:val="fr-CH"/>
        </w:rPr>
        <w:t xml:space="preserve">Le </w:t>
      </w:r>
      <w:r w:rsidRPr="0071782F">
        <w:rPr>
          <w:lang w:val="fr-CH"/>
        </w:rPr>
        <w:t>program</w:t>
      </w:r>
      <w:r w:rsidR="00762701" w:rsidRPr="0071782F">
        <w:rPr>
          <w:lang w:val="fr-CH"/>
        </w:rPr>
        <w:t xml:space="preserve">me d’évaluation des enfants entrant à l’école primaire examine l’état physique et </w:t>
      </w:r>
      <w:r w:rsidR="0071782F" w:rsidRPr="0071782F">
        <w:rPr>
          <w:lang w:val="fr-CH"/>
        </w:rPr>
        <w:t>psychologique</w:t>
      </w:r>
      <w:r w:rsidR="00762701" w:rsidRPr="0071782F">
        <w:rPr>
          <w:lang w:val="fr-CH"/>
        </w:rPr>
        <w:t xml:space="preserve"> de plus de </w:t>
      </w:r>
      <w:r w:rsidRPr="0071782F">
        <w:rPr>
          <w:lang w:val="fr-CH"/>
        </w:rPr>
        <w:t>900</w:t>
      </w:r>
      <w:r w:rsidR="00816714">
        <w:rPr>
          <w:lang w:val="fr-CH"/>
        </w:rPr>
        <w:t> </w:t>
      </w:r>
      <w:r w:rsidRPr="0071782F">
        <w:rPr>
          <w:lang w:val="fr-CH"/>
        </w:rPr>
        <w:t xml:space="preserve">000 </w:t>
      </w:r>
      <w:r w:rsidR="00762701" w:rsidRPr="0071782F">
        <w:rPr>
          <w:lang w:val="fr-CH"/>
        </w:rPr>
        <w:t>élèves</w:t>
      </w:r>
      <w:r w:rsidRPr="0071782F">
        <w:rPr>
          <w:lang w:val="fr-CH"/>
        </w:rPr>
        <w:t>.</w:t>
      </w:r>
    </w:p>
    <w:p w:rsidR="00333944" w:rsidRPr="0071782F" w:rsidRDefault="00333944" w:rsidP="00AE4C1A">
      <w:pPr>
        <w:pStyle w:val="SingleTxtG"/>
        <w:ind w:left="1701"/>
        <w:rPr>
          <w:lang w:val="fr-CH"/>
        </w:rPr>
      </w:pPr>
      <w:r w:rsidRPr="0071782F">
        <w:rPr>
          <w:lang w:val="fr-CH"/>
        </w:rPr>
        <w:t>370.10</w:t>
      </w:r>
      <w:r w:rsidR="00AE4C1A" w:rsidRPr="0071782F">
        <w:rPr>
          <w:lang w:val="fr-CH"/>
        </w:rPr>
        <w:t xml:space="preserve">. </w:t>
      </w:r>
      <w:r w:rsidR="00762701" w:rsidRPr="0071782F">
        <w:rPr>
          <w:lang w:val="fr-CH"/>
        </w:rPr>
        <w:t xml:space="preserve">Les écoliers iraniens qui ont participé aux Olympiades scientifiques de </w:t>
      </w:r>
      <w:r w:rsidRPr="0071782F">
        <w:rPr>
          <w:lang w:val="fr-CH"/>
        </w:rPr>
        <w:t xml:space="preserve">2006 </w:t>
      </w:r>
      <w:r w:rsidR="00762701" w:rsidRPr="0071782F">
        <w:rPr>
          <w:lang w:val="fr-CH"/>
        </w:rPr>
        <w:t>ont remporté la 7</w:t>
      </w:r>
      <w:r w:rsidR="00762701" w:rsidRPr="0071782F">
        <w:rPr>
          <w:vertAlign w:val="superscript"/>
          <w:lang w:val="fr-CH"/>
        </w:rPr>
        <w:t>e</w:t>
      </w:r>
      <w:r w:rsidR="00311068" w:rsidRPr="0071782F">
        <w:rPr>
          <w:lang w:val="fr-CH"/>
        </w:rPr>
        <w:t> </w:t>
      </w:r>
      <w:r w:rsidR="00762701" w:rsidRPr="0071782F">
        <w:rPr>
          <w:lang w:val="fr-CH"/>
        </w:rPr>
        <w:t>place en informatique, la 8</w:t>
      </w:r>
      <w:r w:rsidR="00762701" w:rsidRPr="0071782F">
        <w:rPr>
          <w:vertAlign w:val="superscript"/>
          <w:lang w:val="fr-CH"/>
        </w:rPr>
        <w:t>e</w:t>
      </w:r>
      <w:r w:rsidR="00311068" w:rsidRPr="0071782F">
        <w:rPr>
          <w:lang w:val="fr-CH"/>
        </w:rPr>
        <w:t> </w:t>
      </w:r>
      <w:r w:rsidR="00762701" w:rsidRPr="0071782F">
        <w:rPr>
          <w:lang w:val="fr-CH"/>
        </w:rPr>
        <w:t>en physique, la 10</w:t>
      </w:r>
      <w:r w:rsidR="00762701" w:rsidRPr="0071782F">
        <w:rPr>
          <w:vertAlign w:val="superscript"/>
          <w:lang w:val="fr-CH"/>
        </w:rPr>
        <w:t>e</w:t>
      </w:r>
      <w:r w:rsidR="00311068" w:rsidRPr="0071782F">
        <w:rPr>
          <w:lang w:val="fr-CH"/>
        </w:rPr>
        <w:t> </w:t>
      </w:r>
      <w:r w:rsidR="00762701" w:rsidRPr="0071782F">
        <w:rPr>
          <w:lang w:val="fr-CH"/>
        </w:rPr>
        <w:t>en chimie, la 8</w:t>
      </w:r>
      <w:r w:rsidR="00762701" w:rsidRPr="00816714">
        <w:rPr>
          <w:vertAlign w:val="superscript"/>
          <w:lang w:val="fr-CH"/>
        </w:rPr>
        <w:t>e</w:t>
      </w:r>
      <w:r w:rsidR="00762701" w:rsidRPr="0071782F">
        <w:rPr>
          <w:lang w:val="fr-CH"/>
        </w:rPr>
        <w:t xml:space="preserve"> en mathématiques et la 8</w:t>
      </w:r>
      <w:r w:rsidR="00762701" w:rsidRPr="0071782F">
        <w:rPr>
          <w:vertAlign w:val="superscript"/>
          <w:lang w:val="fr-CH"/>
        </w:rPr>
        <w:t>e</w:t>
      </w:r>
      <w:r w:rsidR="00311068" w:rsidRPr="0071782F">
        <w:rPr>
          <w:lang w:val="fr-CH"/>
        </w:rPr>
        <w:t> </w:t>
      </w:r>
      <w:r w:rsidR="00762701" w:rsidRPr="0071782F">
        <w:rPr>
          <w:lang w:val="fr-CH"/>
        </w:rPr>
        <w:t>en biologie.</w:t>
      </w:r>
    </w:p>
    <w:p w:rsidR="00333944" w:rsidRPr="0071782F" w:rsidRDefault="00333944" w:rsidP="00AE4C1A">
      <w:pPr>
        <w:pStyle w:val="SingleTxtG"/>
        <w:ind w:left="1701"/>
        <w:rPr>
          <w:lang w:val="fr-CH"/>
        </w:rPr>
      </w:pPr>
      <w:r w:rsidRPr="0071782F">
        <w:rPr>
          <w:lang w:val="fr-CH"/>
        </w:rPr>
        <w:t>370.11</w:t>
      </w:r>
      <w:r w:rsidR="00AE4C1A" w:rsidRPr="0071782F">
        <w:rPr>
          <w:lang w:val="fr-CH"/>
        </w:rPr>
        <w:t xml:space="preserve">. </w:t>
      </w:r>
      <w:r w:rsidR="00762701" w:rsidRPr="0071782F">
        <w:rPr>
          <w:lang w:val="fr-CH"/>
        </w:rPr>
        <w:t>L’</w:t>
      </w:r>
      <w:r w:rsidRPr="0071782F">
        <w:rPr>
          <w:lang w:val="fr-CH"/>
        </w:rPr>
        <w:t>Olympiad</w:t>
      </w:r>
      <w:r w:rsidR="00762701" w:rsidRPr="0071782F">
        <w:rPr>
          <w:lang w:val="fr-CH"/>
        </w:rPr>
        <w:t xml:space="preserve">e mondiale de physique s’est tenue dans la ville iranienne d’Ispahan; </w:t>
      </w:r>
      <w:r w:rsidRPr="0071782F">
        <w:rPr>
          <w:lang w:val="fr-CH"/>
        </w:rPr>
        <w:t xml:space="preserve">85 </w:t>
      </w:r>
      <w:r w:rsidR="00762701" w:rsidRPr="0071782F">
        <w:rPr>
          <w:lang w:val="fr-CH"/>
        </w:rPr>
        <w:t>pays y ont participé</w:t>
      </w:r>
      <w:r w:rsidRPr="0071782F">
        <w:rPr>
          <w:lang w:val="fr-CH"/>
        </w:rPr>
        <w:t xml:space="preserve">. </w:t>
      </w:r>
      <w:r w:rsidR="00762701" w:rsidRPr="0071782F">
        <w:rPr>
          <w:lang w:val="fr-CH"/>
        </w:rPr>
        <w:t>Les écoliers iraniens ont remporté la 7</w:t>
      </w:r>
      <w:r w:rsidR="00762701" w:rsidRPr="0071782F">
        <w:rPr>
          <w:vertAlign w:val="superscript"/>
          <w:lang w:val="fr-CH"/>
        </w:rPr>
        <w:t>e</w:t>
      </w:r>
      <w:r w:rsidR="00311068" w:rsidRPr="0071782F">
        <w:rPr>
          <w:lang w:val="fr-CH"/>
        </w:rPr>
        <w:t> </w:t>
      </w:r>
      <w:r w:rsidR="00762701" w:rsidRPr="0071782F">
        <w:rPr>
          <w:lang w:val="fr-CH"/>
        </w:rPr>
        <w:t>place</w:t>
      </w:r>
      <w:r w:rsidRPr="0071782F">
        <w:rPr>
          <w:lang w:val="fr-CH"/>
        </w:rPr>
        <w:t>.</w:t>
      </w:r>
    </w:p>
    <w:p w:rsidR="00333944" w:rsidRPr="0071782F" w:rsidRDefault="00333944" w:rsidP="00AE4C1A">
      <w:pPr>
        <w:pStyle w:val="SingleTxtG"/>
        <w:ind w:left="1701"/>
        <w:rPr>
          <w:lang w:val="fr-CH"/>
        </w:rPr>
      </w:pPr>
      <w:r w:rsidRPr="0071782F">
        <w:rPr>
          <w:lang w:val="fr-CH"/>
        </w:rPr>
        <w:t>370.12</w:t>
      </w:r>
      <w:r w:rsidR="00AE4C1A" w:rsidRPr="0071782F">
        <w:rPr>
          <w:lang w:val="fr-CH"/>
        </w:rPr>
        <w:t xml:space="preserve">. </w:t>
      </w:r>
      <w:r w:rsidR="00762701" w:rsidRPr="0071782F">
        <w:rPr>
          <w:lang w:val="fr-CH"/>
        </w:rPr>
        <w:t xml:space="preserve">Le taux d’alphabétisation du pays est passé de </w:t>
      </w:r>
      <w:r w:rsidRPr="0071782F">
        <w:rPr>
          <w:lang w:val="fr-CH"/>
        </w:rPr>
        <w:t>84</w:t>
      </w:r>
      <w:r w:rsidR="00762701" w:rsidRPr="0071782F">
        <w:rPr>
          <w:lang w:val="fr-CH"/>
        </w:rPr>
        <w:t>,</w:t>
      </w:r>
      <w:r w:rsidRPr="0071782F">
        <w:rPr>
          <w:lang w:val="fr-CH"/>
        </w:rPr>
        <w:t xml:space="preserve">5 </w:t>
      </w:r>
      <w:r w:rsidR="00762701" w:rsidRPr="0071782F">
        <w:rPr>
          <w:lang w:val="fr-CH"/>
        </w:rPr>
        <w:t>à</w:t>
      </w:r>
      <w:r w:rsidRPr="0071782F">
        <w:rPr>
          <w:lang w:val="fr-CH"/>
        </w:rPr>
        <w:t xml:space="preserve"> 86</w:t>
      </w:r>
      <w:r w:rsidR="007E5125" w:rsidRPr="0071782F">
        <w:rPr>
          <w:lang w:val="fr-CH"/>
        </w:rPr>
        <w:t>%</w:t>
      </w:r>
      <w:r w:rsidRPr="0071782F">
        <w:rPr>
          <w:lang w:val="fr-CH"/>
        </w:rPr>
        <w:t>.</w:t>
      </w:r>
    </w:p>
    <w:p w:rsidR="00333944" w:rsidRPr="0071782F" w:rsidRDefault="00333944" w:rsidP="00AE4C1A">
      <w:pPr>
        <w:pStyle w:val="SingleTxtG"/>
        <w:ind w:left="1701"/>
        <w:rPr>
          <w:lang w:val="fr-CH"/>
        </w:rPr>
      </w:pPr>
      <w:r w:rsidRPr="0071782F">
        <w:rPr>
          <w:lang w:val="fr-CH"/>
        </w:rPr>
        <w:t>370.13</w:t>
      </w:r>
      <w:r w:rsidR="00AE4C1A" w:rsidRPr="0071782F">
        <w:rPr>
          <w:lang w:val="fr-CH"/>
        </w:rPr>
        <w:t xml:space="preserve">. </w:t>
      </w:r>
      <w:r w:rsidR="00762701" w:rsidRPr="0071782F">
        <w:rPr>
          <w:lang w:val="fr-CH"/>
        </w:rPr>
        <w:t xml:space="preserve">L’établissement d’enseignement spécial pour écoliers brillants a vu ses effectifs croître de </w:t>
      </w:r>
      <w:r w:rsidRPr="0071782F">
        <w:rPr>
          <w:lang w:val="fr-CH"/>
        </w:rPr>
        <w:t>12</w:t>
      </w:r>
      <w:r w:rsidR="00762701" w:rsidRPr="0071782F">
        <w:rPr>
          <w:lang w:val="fr-CH"/>
        </w:rPr>
        <w:t>,</w:t>
      </w:r>
      <w:r w:rsidRPr="0071782F">
        <w:rPr>
          <w:lang w:val="fr-CH"/>
        </w:rPr>
        <w:t>19</w:t>
      </w:r>
      <w:r w:rsidR="007E5125" w:rsidRPr="0071782F">
        <w:rPr>
          <w:lang w:val="fr-CH"/>
        </w:rPr>
        <w:t>%</w:t>
      </w:r>
      <w:r w:rsidRPr="0071782F">
        <w:rPr>
          <w:lang w:val="fr-CH"/>
        </w:rPr>
        <w:t>.</w:t>
      </w:r>
    </w:p>
    <w:p w:rsidR="00333944" w:rsidRPr="0071782F" w:rsidRDefault="00333944" w:rsidP="00AE4C1A">
      <w:pPr>
        <w:pStyle w:val="SingleTxtG"/>
        <w:ind w:left="1701"/>
        <w:rPr>
          <w:lang w:val="fr-CH"/>
        </w:rPr>
      </w:pPr>
      <w:r w:rsidRPr="0071782F">
        <w:rPr>
          <w:lang w:val="fr-CH"/>
        </w:rPr>
        <w:t>370.14</w:t>
      </w:r>
      <w:r w:rsidR="00AE4C1A" w:rsidRPr="0071782F">
        <w:rPr>
          <w:lang w:val="fr-CH"/>
        </w:rPr>
        <w:t xml:space="preserve">. </w:t>
      </w:r>
      <w:r w:rsidR="00762701" w:rsidRPr="0071782F">
        <w:rPr>
          <w:lang w:val="fr-CH"/>
        </w:rPr>
        <w:t xml:space="preserve">Le </w:t>
      </w:r>
      <w:r w:rsidR="003B48A4" w:rsidRPr="0071782F">
        <w:rPr>
          <w:lang w:val="fr-CH"/>
        </w:rPr>
        <w:t>nombre</w:t>
      </w:r>
      <w:r w:rsidRPr="0071782F">
        <w:rPr>
          <w:lang w:val="fr-CH"/>
        </w:rPr>
        <w:t xml:space="preserve"> </w:t>
      </w:r>
      <w:r w:rsidR="00762701" w:rsidRPr="0071782F">
        <w:rPr>
          <w:lang w:val="fr-CH"/>
        </w:rPr>
        <w:t xml:space="preserve">d’écoliers inscrits dans les centres pour écoliers brillants est passé de </w:t>
      </w:r>
      <w:r w:rsidRPr="0071782F">
        <w:rPr>
          <w:lang w:val="fr-CH"/>
        </w:rPr>
        <w:t>39</w:t>
      </w:r>
      <w:r w:rsidR="00816714">
        <w:rPr>
          <w:lang w:val="fr-CH"/>
        </w:rPr>
        <w:t> </w:t>
      </w:r>
      <w:r w:rsidRPr="0071782F">
        <w:rPr>
          <w:lang w:val="fr-CH"/>
        </w:rPr>
        <w:t xml:space="preserve">772 </w:t>
      </w:r>
      <w:r w:rsidR="00762701" w:rsidRPr="0071782F">
        <w:rPr>
          <w:lang w:val="fr-CH"/>
        </w:rPr>
        <w:t>à</w:t>
      </w:r>
      <w:r w:rsidRPr="0071782F">
        <w:rPr>
          <w:lang w:val="fr-CH"/>
        </w:rPr>
        <w:t xml:space="preserve"> 42</w:t>
      </w:r>
      <w:r w:rsidR="00816714">
        <w:rPr>
          <w:lang w:val="fr-CH"/>
        </w:rPr>
        <w:t> </w:t>
      </w:r>
      <w:r w:rsidRPr="0071782F">
        <w:rPr>
          <w:lang w:val="fr-CH"/>
        </w:rPr>
        <w:t xml:space="preserve">754, </w:t>
      </w:r>
      <w:r w:rsidR="00762701" w:rsidRPr="0071782F">
        <w:rPr>
          <w:lang w:val="fr-CH"/>
        </w:rPr>
        <w:t xml:space="preserve">en augmentation de </w:t>
      </w:r>
      <w:r w:rsidRPr="0071782F">
        <w:rPr>
          <w:lang w:val="fr-CH"/>
        </w:rPr>
        <w:t>7</w:t>
      </w:r>
      <w:r w:rsidR="00762701" w:rsidRPr="0071782F">
        <w:rPr>
          <w:lang w:val="fr-CH"/>
        </w:rPr>
        <w:t>,</w:t>
      </w:r>
      <w:r w:rsidRPr="0071782F">
        <w:rPr>
          <w:lang w:val="fr-CH"/>
        </w:rPr>
        <w:t>5</w:t>
      </w:r>
      <w:r w:rsidR="007E5125" w:rsidRPr="0071782F">
        <w:rPr>
          <w:lang w:val="fr-CH"/>
        </w:rPr>
        <w:t>%</w:t>
      </w:r>
      <w:r w:rsidRPr="0071782F">
        <w:rPr>
          <w:lang w:val="fr-CH"/>
        </w:rPr>
        <w:t>.</w:t>
      </w:r>
    </w:p>
    <w:p w:rsidR="00333944" w:rsidRPr="0071782F" w:rsidRDefault="00333944" w:rsidP="00AE4C1A">
      <w:pPr>
        <w:pStyle w:val="SingleTxtG"/>
        <w:ind w:left="1701"/>
        <w:rPr>
          <w:lang w:val="fr-CH"/>
        </w:rPr>
      </w:pPr>
      <w:r w:rsidRPr="0071782F">
        <w:rPr>
          <w:lang w:val="fr-CH"/>
        </w:rPr>
        <w:t>370.15</w:t>
      </w:r>
      <w:r w:rsidR="00AE4C1A" w:rsidRPr="0071782F">
        <w:rPr>
          <w:lang w:val="fr-CH"/>
        </w:rPr>
        <w:t xml:space="preserve">. </w:t>
      </w:r>
      <w:r w:rsidR="00762701" w:rsidRPr="0071782F">
        <w:rPr>
          <w:lang w:val="fr-CH"/>
        </w:rPr>
        <w:t>Quinze</w:t>
      </w:r>
      <w:r w:rsidR="00097CDB" w:rsidRPr="0071782F">
        <w:rPr>
          <w:lang w:val="fr-CH"/>
        </w:rPr>
        <w:t> millions</w:t>
      </w:r>
      <w:r w:rsidR="00762701" w:rsidRPr="0071782F">
        <w:rPr>
          <w:lang w:val="fr-CH"/>
        </w:rPr>
        <w:t xml:space="preserve"> d’utilisateurs se connectent chaque</w:t>
      </w:r>
      <w:r w:rsidR="00816714">
        <w:rPr>
          <w:lang w:val="fr-CH"/>
        </w:rPr>
        <w:t xml:space="preserve"> </w:t>
      </w:r>
      <w:r w:rsidR="001F3F05" w:rsidRPr="0071782F">
        <w:rPr>
          <w:lang w:val="fr-CH"/>
        </w:rPr>
        <w:t>mois</w:t>
      </w:r>
      <w:r w:rsidR="00762701" w:rsidRPr="0071782F">
        <w:rPr>
          <w:lang w:val="fr-CH"/>
        </w:rPr>
        <w:t xml:space="preserve"> </w:t>
      </w:r>
      <w:r w:rsidR="00773F1E" w:rsidRPr="0071782F">
        <w:rPr>
          <w:lang w:val="fr-CH"/>
        </w:rPr>
        <w:t>aux</w:t>
      </w:r>
      <w:r w:rsidR="00762701" w:rsidRPr="0071782F">
        <w:rPr>
          <w:lang w:val="fr-CH"/>
        </w:rPr>
        <w:t xml:space="preserve"> réseaux</w:t>
      </w:r>
      <w:r w:rsidR="00D36718">
        <w:rPr>
          <w:lang w:val="fr-CH"/>
        </w:rPr>
        <w:t xml:space="preserve"> </w:t>
      </w:r>
      <w:r w:rsidR="00762701" w:rsidRPr="0071782F">
        <w:rPr>
          <w:lang w:val="fr-CH"/>
        </w:rPr>
        <w:t>nationaux de développement pour écoliers</w:t>
      </w:r>
      <w:r w:rsidRPr="0071782F">
        <w:rPr>
          <w:lang w:val="fr-CH"/>
        </w:rPr>
        <w:t>.</w:t>
      </w:r>
    </w:p>
    <w:p w:rsidR="00333944" w:rsidRPr="0071782F" w:rsidRDefault="00333944" w:rsidP="00AE4C1A">
      <w:pPr>
        <w:pStyle w:val="SingleTxtG"/>
        <w:ind w:left="1701"/>
        <w:rPr>
          <w:lang w:val="fr-CH"/>
        </w:rPr>
      </w:pPr>
      <w:r w:rsidRPr="0071782F">
        <w:rPr>
          <w:lang w:val="fr-CH"/>
        </w:rPr>
        <w:t>370.16</w:t>
      </w:r>
      <w:r w:rsidR="00AE4C1A" w:rsidRPr="0071782F">
        <w:rPr>
          <w:lang w:val="fr-CH"/>
        </w:rPr>
        <w:t xml:space="preserve">. </w:t>
      </w:r>
      <w:r w:rsidR="00037E6A" w:rsidRPr="0071782F">
        <w:rPr>
          <w:lang w:val="fr-CH"/>
        </w:rPr>
        <w:t>L’Organisme pour la recherche et la planification de l’éducation s’est vu remettre une plaque honorifique lors de la première grande exposition culturelle d’</w:t>
      </w:r>
      <w:r w:rsidRPr="0071782F">
        <w:rPr>
          <w:lang w:val="fr-CH"/>
        </w:rPr>
        <w:t>Ashura</w:t>
      </w:r>
      <w:r w:rsidR="00037E6A" w:rsidRPr="0071782F">
        <w:rPr>
          <w:lang w:val="fr-CH"/>
        </w:rPr>
        <w:t>, dans la section livres et recherche</w:t>
      </w:r>
      <w:r w:rsidRPr="0071782F">
        <w:rPr>
          <w:lang w:val="fr-CH"/>
        </w:rPr>
        <w:t>.</w:t>
      </w:r>
    </w:p>
    <w:p w:rsidR="00333944" w:rsidRPr="0071782F" w:rsidRDefault="00333944" w:rsidP="00AE4C1A">
      <w:pPr>
        <w:pStyle w:val="SingleTxtG"/>
        <w:ind w:left="1701"/>
        <w:rPr>
          <w:lang w:val="fr-CH"/>
        </w:rPr>
      </w:pPr>
      <w:r w:rsidRPr="0071782F">
        <w:rPr>
          <w:lang w:val="fr-CH"/>
        </w:rPr>
        <w:t>370.17</w:t>
      </w:r>
      <w:r w:rsidR="00AE4C1A" w:rsidRPr="0071782F">
        <w:rPr>
          <w:lang w:val="fr-CH"/>
        </w:rPr>
        <w:t xml:space="preserve">. </w:t>
      </w:r>
      <w:r w:rsidR="00037E6A" w:rsidRPr="0071782F">
        <w:rPr>
          <w:lang w:val="fr-CH"/>
        </w:rPr>
        <w:t>Le Ministère de l’éducation a obtenu une mention d’honneur du réseau Pearl, qui compte 45 États membres, pour les excellents résultats, mis en évidence par une Pearl Study, obtenus dans l’application du plan e</w:t>
      </w:r>
      <w:r w:rsidRPr="0071782F">
        <w:rPr>
          <w:lang w:val="fr-CH"/>
        </w:rPr>
        <w:t>n 2008.</w:t>
      </w:r>
    </w:p>
    <w:p w:rsidR="00333944" w:rsidRPr="0071782F" w:rsidRDefault="00333944" w:rsidP="00311068">
      <w:pPr>
        <w:pStyle w:val="SingleTxtG"/>
        <w:ind w:left="1701"/>
        <w:rPr>
          <w:lang w:val="fr-CH"/>
        </w:rPr>
      </w:pPr>
      <w:r w:rsidRPr="0071782F">
        <w:rPr>
          <w:lang w:val="fr-CH"/>
        </w:rPr>
        <w:t>370.18</w:t>
      </w:r>
      <w:r w:rsidR="00AE4C1A" w:rsidRPr="0071782F">
        <w:rPr>
          <w:lang w:val="fr-CH"/>
        </w:rPr>
        <w:t xml:space="preserve">. </w:t>
      </w:r>
      <w:r w:rsidR="00487675" w:rsidRPr="0071782F">
        <w:rPr>
          <w:lang w:val="fr-CH"/>
        </w:rPr>
        <w:t xml:space="preserve">Chaque année, </w:t>
      </w:r>
      <w:r w:rsidRPr="0071782F">
        <w:rPr>
          <w:lang w:val="fr-CH"/>
        </w:rPr>
        <w:t>27</w:t>
      </w:r>
      <w:r w:rsidR="00097CDB" w:rsidRPr="0071782F">
        <w:rPr>
          <w:lang w:val="fr-CH"/>
        </w:rPr>
        <w:t> millions</w:t>
      </w:r>
      <w:r w:rsidR="00487675" w:rsidRPr="0071782F">
        <w:rPr>
          <w:lang w:val="fr-CH"/>
        </w:rPr>
        <w:t xml:space="preserve"> d’exemplaires de revues de perfectionnement pédagogique sont publiés et distribués en vue d’améliorer les compétences des enseignants et d’élever le niveau d’apprentissage des élèves. </w:t>
      </w:r>
    </w:p>
    <w:p w:rsidR="00333944" w:rsidRPr="0071782F" w:rsidRDefault="00333944" w:rsidP="00311068">
      <w:pPr>
        <w:pStyle w:val="SingleTxtG"/>
        <w:ind w:left="1701"/>
        <w:rPr>
          <w:lang w:val="fr-CH"/>
        </w:rPr>
      </w:pPr>
      <w:r w:rsidRPr="0071782F">
        <w:rPr>
          <w:lang w:val="fr-CH"/>
        </w:rPr>
        <w:t>370.19</w:t>
      </w:r>
      <w:r w:rsidR="00AE4C1A" w:rsidRPr="0071782F">
        <w:rPr>
          <w:lang w:val="fr-CH"/>
        </w:rPr>
        <w:t xml:space="preserve">. </w:t>
      </w:r>
      <w:r w:rsidR="00487675" w:rsidRPr="0071782F">
        <w:rPr>
          <w:lang w:val="fr-CH"/>
        </w:rPr>
        <w:t xml:space="preserve">On a remanié et corrigé </w:t>
      </w:r>
      <w:r w:rsidRPr="0071782F">
        <w:rPr>
          <w:lang w:val="fr-CH"/>
        </w:rPr>
        <w:t xml:space="preserve">120 </w:t>
      </w:r>
      <w:r w:rsidR="00487675" w:rsidRPr="0071782F">
        <w:rPr>
          <w:lang w:val="fr-CH"/>
        </w:rPr>
        <w:t>manuels de différents niveaux en fonction d’une approche culturelle et de développement</w:t>
      </w:r>
      <w:r w:rsidRPr="0071782F">
        <w:rPr>
          <w:lang w:val="fr-CH"/>
        </w:rPr>
        <w:t>.</w:t>
      </w:r>
    </w:p>
    <w:p w:rsidR="00333944" w:rsidRPr="0071782F" w:rsidRDefault="00333944" w:rsidP="00311068">
      <w:pPr>
        <w:pStyle w:val="SingleTxtG"/>
        <w:ind w:left="1701"/>
        <w:rPr>
          <w:lang w:val="fr-CH"/>
        </w:rPr>
      </w:pPr>
      <w:r w:rsidRPr="0071782F">
        <w:rPr>
          <w:lang w:val="fr-CH"/>
        </w:rPr>
        <w:t>370.20</w:t>
      </w:r>
      <w:r w:rsidR="00AE4C1A" w:rsidRPr="0071782F">
        <w:rPr>
          <w:lang w:val="fr-CH"/>
        </w:rPr>
        <w:t xml:space="preserve">. </w:t>
      </w:r>
      <w:r w:rsidR="00487675" w:rsidRPr="0071782F">
        <w:rPr>
          <w:lang w:val="fr-CH"/>
        </w:rPr>
        <w:t xml:space="preserve">On a conçu et distribué </w:t>
      </w:r>
      <w:r w:rsidRPr="0071782F">
        <w:rPr>
          <w:lang w:val="fr-CH"/>
        </w:rPr>
        <w:t xml:space="preserve">120 </w:t>
      </w:r>
      <w:r w:rsidR="00487675" w:rsidRPr="0071782F">
        <w:rPr>
          <w:lang w:val="fr-CH"/>
        </w:rPr>
        <w:t xml:space="preserve">programmes informatiques pour améliorer le niveau d’éducation des parents d’élèves et de formation des enseignants. </w:t>
      </w:r>
    </w:p>
    <w:p w:rsidR="00333944" w:rsidRPr="0071782F" w:rsidRDefault="00333944" w:rsidP="00311068">
      <w:pPr>
        <w:pStyle w:val="SingleTxtG"/>
        <w:ind w:left="1701"/>
        <w:rPr>
          <w:lang w:val="fr-CH"/>
        </w:rPr>
      </w:pPr>
      <w:r w:rsidRPr="0071782F">
        <w:rPr>
          <w:lang w:val="fr-CH"/>
        </w:rPr>
        <w:t>370.21</w:t>
      </w:r>
      <w:r w:rsidR="00AE4C1A" w:rsidRPr="0071782F">
        <w:rPr>
          <w:lang w:val="fr-CH"/>
        </w:rPr>
        <w:t xml:space="preserve">. </w:t>
      </w:r>
      <w:r w:rsidR="00BA3F25" w:rsidRPr="0071782F">
        <w:rPr>
          <w:lang w:val="fr-CH"/>
        </w:rPr>
        <w:t xml:space="preserve">Compte tenu des améliorations </w:t>
      </w:r>
      <w:r w:rsidRPr="0071782F">
        <w:rPr>
          <w:lang w:val="fr-CH"/>
        </w:rPr>
        <w:t>quantitative</w:t>
      </w:r>
      <w:r w:rsidR="00BA3F25" w:rsidRPr="0071782F">
        <w:rPr>
          <w:lang w:val="fr-CH"/>
        </w:rPr>
        <w:t>s</w:t>
      </w:r>
      <w:r w:rsidRPr="0071782F">
        <w:rPr>
          <w:lang w:val="fr-CH"/>
        </w:rPr>
        <w:t xml:space="preserve"> </w:t>
      </w:r>
      <w:r w:rsidR="00BA3F25" w:rsidRPr="0071782F">
        <w:rPr>
          <w:lang w:val="fr-CH"/>
        </w:rPr>
        <w:t xml:space="preserve">et </w:t>
      </w:r>
      <w:r w:rsidRPr="0071782F">
        <w:rPr>
          <w:lang w:val="fr-CH"/>
        </w:rPr>
        <w:t>qualitative</w:t>
      </w:r>
      <w:r w:rsidR="00BA3F25" w:rsidRPr="0071782F">
        <w:rPr>
          <w:lang w:val="fr-CH"/>
        </w:rPr>
        <w:t>s</w:t>
      </w:r>
      <w:r w:rsidRPr="0071782F">
        <w:rPr>
          <w:lang w:val="fr-CH"/>
        </w:rPr>
        <w:t xml:space="preserve"> </w:t>
      </w:r>
      <w:r w:rsidR="00BA3F25" w:rsidRPr="0071782F">
        <w:rPr>
          <w:lang w:val="fr-CH"/>
        </w:rPr>
        <w:t xml:space="preserve">du </w:t>
      </w:r>
      <w:r w:rsidRPr="0071782F">
        <w:rPr>
          <w:lang w:val="fr-CH"/>
        </w:rPr>
        <w:t xml:space="preserve">Shahed </w:t>
      </w:r>
      <w:r w:rsidR="00BA3F25" w:rsidRPr="0071782F">
        <w:rPr>
          <w:lang w:val="fr-CH"/>
        </w:rPr>
        <w:t xml:space="preserve">et des écoles pour anciens combattants handicapés, on a autorisé la création de </w:t>
      </w:r>
      <w:r w:rsidRPr="0071782F">
        <w:rPr>
          <w:lang w:val="fr-CH"/>
        </w:rPr>
        <w:t>90</w:t>
      </w:r>
      <w:r w:rsidR="00311068" w:rsidRPr="0071782F">
        <w:rPr>
          <w:lang w:val="fr-CH"/>
        </w:rPr>
        <w:t> </w:t>
      </w:r>
      <w:r w:rsidR="00BA3F25" w:rsidRPr="0071782F">
        <w:rPr>
          <w:lang w:val="fr-CH"/>
        </w:rPr>
        <w:t xml:space="preserve">établissements d’enseignement </w:t>
      </w:r>
      <w:r w:rsidRPr="0071782F">
        <w:rPr>
          <w:lang w:val="fr-CH"/>
        </w:rPr>
        <w:t>Shahed</w:t>
      </w:r>
      <w:r w:rsidR="00BA3F25" w:rsidRPr="0071782F">
        <w:rPr>
          <w:lang w:val="fr-CH"/>
        </w:rPr>
        <w:t>.</w:t>
      </w:r>
    </w:p>
    <w:p w:rsidR="00333944" w:rsidRPr="0071782F" w:rsidRDefault="00333944" w:rsidP="00311068">
      <w:pPr>
        <w:pStyle w:val="SingleTxtG"/>
        <w:ind w:left="1701"/>
        <w:rPr>
          <w:lang w:val="fr-CH"/>
        </w:rPr>
      </w:pPr>
      <w:r w:rsidRPr="0071782F">
        <w:rPr>
          <w:lang w:val="fr-CH"/>
        </w:rPr>
        <w:t>370.22</w:t>
      </w:r>
      <w:r w:rsidR="00AE4C1A" w:rsidRPr="0071782F">
        <w:rPr>
          <w:lang w:val="fr-CH"/>
        </w:rPr>
        <w:t xml:space="preserve">. </w:t>
      </w:r>
      <w:r w:rsidR="00BA3F25" w:rsidRPr="0071782F">
        <w:rPr>
          <w:lang w:val="fr-CH"/>
        </w:rPr>
        <w:t xml:space="preserve">On a exécuté le </w:t>
      </w:r>
      <w:r w:rsidRPr="0071782F">
        <w:rPr>
          <w:lang w:val="fr-CH"/>
        </w:rPr>
        <w:t>program</w:t>
      </w:r>
      <w:r w:rsidR="00BA3F25" w:rsidRPr="0071782F">
        <w:rPr>
          <w:lang w:val="fr-CH"/>
        </w:rPr>
        <w:t xml:space="preserve">me d’enseignement du Coran dans les établissements préscolaires et appliqué les mesures adoptées pour que </w:t>
      </w:r>
      <w:r w:rsidR="0071782F" w:rsidRPr="0071782F">
        <w:rPr>
          <w:lang w:val="fr-CH"/>
        </w:rPr>
        <w:t>les secteurs</w:t>
      </w:r>
      <w:r w:rsidR="00D36718">
        <w:rPr>
          <w:lang w:val="fr-CH"/>
        </w:rPr>
        <w:t xml:space="preserve"> </w:t>
      </w:r>
      <w:r w:rsidR="00BA3F25" w:rsidRPr="0071782F">
        <w:rPr>
          <w:lang w:val="fr-CH"/>
        </w:rPr>
        <w:t xml:space="preserve">privé et à but non lucratif prennent en charge ces activités. À l’heure actuelle, </w:t>
      </w:r>
      <w:r w:rsidRPr="0071782F">
        <w:rPr>
          <w:lang w:val="fr-CH"/>
        </w:rPr>
        <w:t>350</w:t>
      </w:r>
      <w:r w:rsidR="00311068" w:rsidRPr="0071782F">
        <w:rPr>
          <w:lang w:val="fr-CH"/>
        </w:rPr>
        <w:t> </w:t>
      </w:r>
      <w:r w:rsidRPr="0071782F">
        <w:rPr>
          <w:lang w:val="fr-CH"/>
        </w:rPr>
        <w:t xml:space="preserve">000 </w:t>
      </w:r>
      <w:r w:rsidR="00BA3F25" w:rsidRPr="0071782F">
        <w:rPr>
          <w:lang w:val="fr-CH"/>
        </w:rPr>
        <w:t>enfants d’âge préscolaire (âgés de quatre à six</w:t>
      </w:r>
      <w:r w:rsidR="00D82C96" w:rsidRPr="0071782F">
        <w:rPr>
          <w:lang w:val="fr-CH"/>
        </w:rPr>
        <w:t> ans</w:t>
      </w:r>
      <w:r w:rsidR="00BA3F25" w:rsidRPr="0071782F">
        <w:rPr>
          <w:lang w:val="fr-CH"/>
        </w:rPr>
        <w:t xml:space="preserve">) sont </w:t>
      </w:r>
      <w:r w:rsidR="0071782F" w:rsidRPr="0071782F">
        <w:rPr>
          <w:lang w:val="fr-CH"/>
        </w:rPr>
        <w:t>inscrits</w:t>
      </w:r>
      <w:r w:rsidR="00BA3F25" w:rsidRPr="0071782F">
        <w:rPr>
          <w:lang w:val="fr-CH"/>
        </w:rPr>
        <w:t xml:space="preserve"> dans des centres d’études coraniques à but non lucratif. </w:t>
      </w:r>
    </w:p>
    <w:p w:rsidR="00333944" w:rsidRPr="0071782F" w:rsidRDefault="00333944" w:rsidP="00311068">
      <w:pPr>
        <w:pStyle w:val="SingleTxtG"/>
        <w:ind w:left="1701"/>
        <w:rPr>
          <w:lang w:val="fr-CH"/>
        </w:rPr>
      </w:pPr>
      <w:r w:rsidRPr="0071782F">
        <w:rPr>
          <w:lang w:val="fr-CH"/>
        </w:rPr>
        <w:t>370.23</w:t>
      </w:r>
      <w:r w:rsidR="00AE4C1A" w:rsidRPr="0071782F">
        <w:rPr>
          <w:lang w:val="fr-CH"/>
        </w:rPr>
        <w:t xml:space="preserve">. </w:t>
      </w:r>
      <w:r w:rsidR="00BA3F25" w:rsidRPr="0071782F">
        <w:rPr>
          <w:lang w:val="fr-CH"/>
        </w:rPr>
        <w:t>On a établi pour la première fois un programme d’études national.</w:t>
      </w:r>
    </w:p>
    <w:p w:rsidR="00333944" w:rsidRPr="0071782F" w:rsidRDefault="00333944" w:rsidP="00311068">
      <w:pPr>
        <w:pStyle w:val="SingleTxtG"/>
        <w:ind w:left="1701"/>
        <w:rPr>
          <w:lang w:val="fr-CH"/>
        </w:rPr>
      </w:pPr>
      <w:r w:rsidRPr="0071782F">
        <w:rPr>
          <w:lang w:val="fr-CH"/>
        </w:rPr>
        <w:t>370.24</w:t>
      </w:r>
      <w:r w:rsidR="00AE4C1A" w:rsidRPr="0071782F">
        <w:rPr>
          <w:lang w:val="fr-CH"/>
        </w:rPr>
        <w:t xml:space="preserve">. </w:t>
      </w:r>
      <w:r w:rsidR="00BA3F25" w:rsidRPr="0071782F">
        <w:rPr>
          <w:lang w:val="fr-CH"/>
        </w:rPr>
        <w:t>On a élaboré des guides d’étude pour 160 matières enseignées à différents niveaux.</w:t>
      </w:r>
    </w:p>
    <w:p w:rsidR="00333944" w:rsidRPr="0071782F" w:rsidRDefault="00333944" w:rsidP="00311068">
      <w:pPr>
        <w:pStyle w:val="SingleTxtG"/>
        <w:ind w:left="1701"/>
        <w:rPr>
          <w:lang w:val="fr-CH"/>
        </w:rPr>
      </w:pPr>
      <w:r w:rsidRPr="0071782F">
        <w:rPr>
          <w:lang w:val="fr-CH"/>
        </w:rPr>
        <w:t>370.25</w:t>
      </w:r>
      <w:r w:rsidR="00AE4C1A" w:rsidRPr="0071782F">
        <w:rPr>
          <w:lang w:val="fr-CH"/>
        </w:rPr>
        <w:t xml:space="preserve">. </w:t>
      </w:r>
      <w:r w:rsidR="00BA3F25" w:rsidRPr="0071782F">
        <w:rPr>
          <w:lang w:val="fr-CH"/>
        </w:rPr>
        <w:t xml:space="preserve">Le Réseau de développement a été activé et les écoles y ont été connectées. </w:t>
      </w:r>
    </w:p>
    <w:p w:rsidR="00333944" w:rsidRPr="0071782F" w:rsidRDefault="00333944" w:rsidP="00311068">
      <w:pPr>
        <w:pStyle w:val="SingleTxtG"/>
        <w:ind w:left="1701"/>
        <w:rPr>
          <w:lang w:val="fr-CH"/>
        </w:rPr>
      </w:pPr>
      <w:r w:rsidRPr="0071782F">
        <w:rPr>
          <w:lang w:val="fr-CH"/>
        </w:rPr>
        <w:t>370.26</w:t>
      </w:r>
      <w:r w:rsidR="00AE4C1A" w:rsidRPr="0071782F">
        <w:rPr>
          <w:lang w:val="fr-CH"/>
        </w:rPr>
        <w:t xml:space="preserve">. </w:t>
      </w:r>
      <w:r w:rsidR="00BA3F25" w:rsidRPr="0071782F">
        <w:rPr>
          <w:lang w:val="fr-CH"/>
        </w:rPr>
        <w:t>La Conférence sur l’image du prophète dans les manuels scolaires s’est tenue en 2007.</w:t>
      </w:r>
    </w:p>
    <w:p w:rsidR="00333944" w:rsidRPr="0071782F" w:rsidRDefault="00333944" w:rsidP="00AE4C1A">
      <w:pPr>
        <w:pStyle w:val="SingleTxtG"/>
        <w:ind w:left="1701"/>
        <w:rPr>
          <w:lang w:val="fr-CH"/>
        </w:rPr>
      </w:pPr>
      <w:r w:rsidRPr="0071782F">
        <w:rPr>
          <w:lang w:val="fr-CH"/>
        </w:rPr>
        <w:t>370.27</w:t>
      </w:r>
      <w:r w:rsidR="00AE4C1A" w:rsidRPr="0071782F">
        <w:rPr>
          <w:lang w:val="fr-CH"/>
        </w:rPr>
        <w:t xml:space="preserve">. </w:t>
      </w:r>
      <w:r w:rsidR="00BA3F25" w:rsidRPr="0071782F">
        <w:rPr>
          <w:lang w:val="fr-CH"/>
        </w:rPr>
        <w:t>L’Institut de téléenseignement a incorporé les méthodes d’enseignement électronique et réussi à 77</w:t>
      </w:r>
      <w:r w:rsidR="007E5125" w:rsidRPr="0071782F">
        <w:rPr>
          <w:lang w:val="fr-CH"/>
        </w:rPr>
        <w:t>%</w:t>
      </w:r>
      <w:r w:rsidR="00BA3F25" w:rsidRPr="0071782F">
        <w:rPr>
          <w:lang w:val="fr-CH"/>
        </w:rPr>
        <w:t xml:space="preserve"> à développer les activités correspondantes et à atteindre les objectifs fixés. </w:t>
      </w:r>
    </w:p>
    <w:p w:rsidR="00333944" w:rsidRPr="0071782F" w:rsidRDefault="00333944" w:rsidP="00AE4C1A">
      <w:pPr>
        <w:pStyle w:val="SingleTxtG"/>
        <w:ind w:left="1701"/>
        <w:rPr>
          <w:lang w:val="fr-CH"/>
        </w:rPr>
      </w:pPr>
      <w:r w:rsidRPr="0071782F">
        <w:rPr>
          <w:lang w:val="fr-CH"/>
        </w:rPr>
        <w:t>370.28</w:t>
      </w:r>
      <w:r w:rsidR="00AE4C1A" w:rsidRPr="0071782F">
        <w:rPr>
          <w:lang w:val="fr-CH"/>
        </w:rPr>
        <w:t xml:space="preserve">. </w:t>
      </w:r>
      <w:r w:rsidR="00BA3F25" w:rsidRPr="0071782F">
        <w:rPr>
          <w:lang w:val="fr-CH"/>
        </w:rPr>
        <w:t xml:space="preserve">Création de contenus et de ressources d’enseignement électronique, avec un taux de succès de </w:t>
      </w:r>
      <w:r w:rsidRPr="0071782F">
        <w:rPr>
          <w:lang w:val="fr-CH"/>
        </w:rPr>
        <w:t>83</w:t>
      </w:r>
      <w:r w:rsidR="00BA3F25" w:rsidRPr="0071782F">
        <w:rPr>
          <w:lang w:val="fr-CH"/>
        </w:rPr>
        <w:t>,</w:t>
      </w:r>
      <w:r w:rsidRPr="0071782F">
        <w:rPr>
          <w:lang w:val="fr-CH"/>
        </w:rPr>
        <w:t>5</w:t>
      </w:r>
      <w:r w:rsidR="007E5125" w:rsidRPr="0071782F">
        <w:rPr>
          <w:lang w:val="fr-CH"/>
        </w:rPr>
        <w:t>%</w:t>
      </w:r>
      <w:r w:rsidR="00BA3F25" w:rsidRPr="0071782F">
        <w:rPr>
          <w:lang w:val="fr-CH"/>
        </w:rPr>
        <w:t xml:space="preserve"> en ce qui concerne le développement des activités correspondantes et la réalisation des objectifs fixés</w:t>
      </w:r>
      <w:r w:rsidRPr="0071782F">
        <w:rPr>
          <w:lang w:val="fr-CH"/>
        </w:rPr>
        <w:t>.</w:t>
      </w:r>
    </w:p>
    <w:p w:rsidR="00333944" w:rsidRPr="0071782F" w:rsidRDefault="00333944" w:rsidP="00AE4C1A">
      <w:pPr>
        <w:pStyle w:val="SingleTxtG"/>
        <w:ind w:left="1701"/>
        <w:rPr>
          <w:lang w:val="fr-CH"/>
        </w:rPr>
      </w:pPr>
      <w:r w:rsidRPr="0071782F">
        <w:rPr>
          <w:lang w:val="fr-CH"/>
        </w:rPr>
        <w:t>370.29</w:t>
      </w:r>
      <w:r w:rsidR="00AE4C1A" w:rsidRPr="0071782F">
        <w:rPr>
          <w:lang w:val="fr-CH"/>
        </w:rPr>
        <w:t xml:space="preserve">. </w:t>
      </w:r>
      <w:r w:rsidR="00BA3F25" w:rsidRPr="0071782F">
        <w:rPr>
          <w:lang w:val="fr-CH"/>
        </w:rPr>
        <w:t xml:space="preserve">On a dispensé quelque </w:t>
      </w:r>
      <w:r w:rsidRPr="0071782F">
        <w:rPr>
          <w:lang w:val="fr-CH"/>
        </w:rPr>
        <w:t>107</w:t>
      </w:r>
      <w:r w:rsidR="00816714">
        <w:rPr>
          <w:lang w:val="fr-CH"/>
        </w:rPr>
        <w:t> </w:t>
      </w:r>
      <w:r w:rsidRPr="0071782F">
        <w:rPr>
          <w:lang w:val="fr-CH"/>
        </w:rPr>
        <w:t xml:space="preserve">000 </w:t>
      </w:r>
      <w:r w:rsidR="00BA3F25" w:rsidRPr="0071782F">
        <w:rPr>
          <w:lang w:val="fr-CH"/>
        </w:rPr>
        <w:t xml:space="preserve">cours pour </w:t>
      </w:r>
      <w:r w:rsidRPr="0071782F">
        <w:rPr>
          <w:lang w:val="fr-CH"/>
        </w:rPr>
        <w:t>adult</w:t>
      </w:r>
      <w:r w:rsidR="00BA3F25" w:rsidRPr="0071782F">
        <w:rPr>
          <w:lang w:val="fr-CH"/>
        </w:rPr>
        <w:t xml:space="preserve">es de différents niveaux, auxquels ont participé </w:t>
      </w:r>
      <w:r w:rsidRPr="0071782F">
        <w:rPr>
          <w:lang w:val="fr-CH"/>
        </w:rPr>
        <w:t>1</w:t>
      </w:r>
      <w:r w:rsidR="00BA3F25" w:rsidRPr="0071782F">
        <w:rPr>
          <w:lang w:val="fr-CH"/>
        </w:rPr>
        <w:t> </w:t>
      </w:r>
      <w:r w:rsidRPr="0071782F">
        <w:rPr>
          <w:lang w:val="fr-CH"/>
        </w:rPr>
        <w:t>270</w:t>
      </w:r>
      <w:r w:rsidR="00816714">
        <w:rPr>
          <w:lang w:val="fr-CH"/>
        </w:rPr>
        <w:t> </w:t>
      </w:r>
      <w:r w:rsidRPr="0071782F">
        <w:rPr>
          <w:lang w:val="fr-CH"/>
        </w:rPr>
        <w:t>000</w:t>
      </w:r>
      <w:r w:rsidR="00816714">
        <w:rPr>
          <w:lang w:val="fr-CH"/>
        </w:rPr>
        <w:t xml:space="preserve"> </w:t>
      </w:r>
      <w:r w:rsidR="00097CDB" w:rsidRPr="0071782F">
        <w:rPr>
          <w:lang w:val="fr-CH"/>
        </w:rPr>
        <w:t>personnes</w:t>
      </w:r>
      <w:r w:rsidR="00BA3F25" w:rsidRPr="0071782F">
        <w:rPr>
          <w:lang w:val="fr-CH"/>
        </w:rPr>
        <w:t xml:space="preserve"> prises en charge par </w:t>
      </w:r>
      <w:r w:rsidRPr="0071782F">
        <w:rPr>
          <w:lang w:val="fr-CH"/>
        </w:rPr>
        <w:t>47</w:t>
      </w:r>
      <w:r w:rsidR="00816714">
        <w:rPr>
          <w:lang w:val="fr-CH"/>
        </w:rPr>
        <w:t> </w:t>
      </w:r>
      <w:r w:rsidRPr="0071782F">
        <w:rPr>
          <w:lang w:val="fr-CH"/>
        </w:rPr>
        <w:t xml:space="preserve">000 </w:t>
      </w:r>
      <w:r w:rsidR="00BA3F25" w:rsidRPr="0071782F">
        <w:rPr>
          <w:lang w:val="fr-CH"/>
        </w:rPr>
        <w:t>enseignants permanents ou temporaires</w:t>
      </w:r>
      <w:r w:rsidRPr="0071782F">
        <w:rPr>
          <w:lang w:val="fr-CH"/>
        </w:rPr>
        <w:t>.</w:t>
      </w:r>
    </w:p>
    <w:p w:rsidR="00333944" w:rsidRPr="0071782F" w:rsidRDefault="00333944" w:rsidP="00AE4C1A">
      <w:pPr>
        <w:pStyle w:val="SingleTxtG"/>
        <w:ind w:left="1701"/>
        <w:rPr>
          <w:lang w:val="fr-CH"/>
        </w:rPr>
      </w:pPr>
      <w:r w:rsidRPr="0071782F">
        <w:rPr>
          <w:lang w:val="fr-CH"/>
        </w:rPr>
        <w:t>370.30</w:t>
      </w:r>
      <w:r w:rsidR="00AE4C1A" w:rsidRPr="0071782F">
        <w:rPr>
          <w:lang w:val="fr-CH"/>
        </w:rPr>
        <w:t xml:space="preserve">. </w:t>
      </w:r>
      <w:r w:rsidR="00357A53" w:rsidRPr="0071782F">
        <w:rPr>
          <w:lang w:val="fr-CH"/>
        </w:rPr>
        <w:t>En 2006, le taux de scolarisation des enfants âgés de six</w:t>
      </w:r>
      <w:r w:rsidR="00D82C96" w:rsidRPr="0071782F">
        <w:rPr>
          <w:lang w:val="fr-CH"/>
        </w:rPr>
        <w:t> ans</w:t>
      </w:r>
      <w:r w:rsidR="00357A53" w:rsidRPr="0071782F">
        <w:rPr>
          <w:lang w:val="fr-CH"/>
        </w:rPr>
        <w:t xml:space="preserve"> est passé de </w:t>
      </w:r>
      <w:r w:rsidRPr="0071782F">
        <w:rPr>
          <w:lang w:val="fr-CH"/>
        </w:rPr>
        <w:t xml:space="preserve">97 </w:t>
      </w:r>
      <w:r w:rsidR="00357A53" w:rsidRPr="0071782F">
        <w:rPr>
          <w:lang w:val="fr-CH"/>
        </w:rPr>
        <w:t>à</w:t>
      </w:r>
      <w:r w:rsidRPr="0071782F">
        <w:rPr>
          <w:lang w:val="fr-CH"/>
        </w:rPr>
        <w:t xml:space="preserve"> 98</w:t>
      </w:r>
      <w:r w:rsidR="00357A53" w:rsidRPr="0071782F">
        <w:rPr>
          <w:lang w:val="fr-CH"/>
        </w:rPr>
        <w:t>,</w:t>
      </w:r>
      <w:r w:rsidRPr="0071782F">
        <w:rPr>
          <w:lang w:val="fr-CH"/>
        </w:rPr>
        <w:t>6</w:t>
      </w:r>
      <w:r w:rsidR="007E5125" w:rsidRPr="0071782F">
        <w:rPr>
          <w:lang w:val="fr-CH"/>
        </w:rPr>
        <w:t>%</w:t>
      </w:r>
      <w:r w:rsidRPr="0071782F">
        <w:rPr>
          <w:lang w:val="fr-CH"/>
        </w:rPr>
        <w:t>.</w:t>
      </w:r>
    </w:p>
    <w:p w:rsidR="00333944" w:rsidRPr="0071782F" w:rsidRDefault="00333944" w:rsidP="00AE4C1A">
      <w:pPr>
        <w:pStyle w:val="SingleTxtG"/>
        <w:ind w:left="1701"/>
        <w:rPr>
          <w:lang w:val="fr-CH"/>
        </w:rPr>
      </w:pPr>
      <w:r w:rsidRPr="0071782F">
        <w:rPr>
          <w:lang w:val="fr-CH"/>
        </w:rPr>
        <w:t>370.31</w:t>
      </w:r>
      <w:r w:rsidR="00AE4C1A" w:rsidRPr="0071782F">
        <w:rPr>
          <w:lang w:val="fr-CH"/>
        </w:rPr>
        <w:t xml:space="preserve">. </w:t>
      </w:r>
      <w:r w:rsidR="00357A53" w:rsidRPr="0071782F">
        <w:rPr>
          <w:lang w:val="fr-CH"/>
        </w:rPr>
        <w:t xml:space="preserve">Entre 1991 et 2006, le taux de non-achèvement d’une année scolaire dans les écoles primaires est tombé de </w:t>
      </w:r>
      <w:r w:rsidRPr="0071782F">
        <w:rPr>
          <w:lang w:val="fr-CH"/>
        </w:rPr>
        <w:t>8</w:t>
      </w:r>
      <w:r w:rsidR="00357A53" w:rsidRPr="0071782F">
        <w:rPr>
          <w:lang w:val="fr-CH"/>
        </w:rPr>
        <w:t>,</w:t>
      </w:r>
      <w:r w:rsidRPr="0071782F">
        <w:rPr>
          <w:lang w:val="fr-CH"/>
        </w:rPr>
        <w:t>9</w:t>
      </w:r>
      <w:r w:rsidR="007E5125" w:rsidRPr="0071782F">
        <w:rPr>
          <w:lang w:val="fr-CH"/>
        </w:rPr>
        <w:t>%</w:t>
      </w:r>
      <w:r w:rsidR="00357A53" w:rsidRPr="0071782F">
        <w:rPr>
          <w:lang w:val="fr-CH"/>
        </w:rPr>
        <w:t xml:space="preserve"> à 2,5</w:t>
      </w:r>
      <w:r w:rsidR="007E5125" w:rsidRPr="0071782F">
        <w:rPr>
          <w:lang w:val="fr-CH"/>
        </w:rPr>
        <w:t>%</w:t>
      </w:r>
      <w:r w:rsidR="00357A53" w:rsidRPr="0071782F">
        <w:rPr>
          <w:lang w:val="fr-CH"/>
        </w:rPr>
        <w:t xml:space="preserve">. </w:t>
      </w:r>
    </w:p>
    <w:p w:rsidR="00333944" w:rsidRPr="0071782F" w:rsidRDefault="00333944" w:rsidP="00AE4C1A">
      <w:pPr>
        <w:pStyle w:val="SingleTxtG"/>
        <w:ind w:left="1701"/>
        <w:rPr>
          <w:lang w:val="fr-CH"/>
        </w:rPr>
      </w:pPr>
      <w:r w:rsidRPr="0071782F">
        <w:rPr>
          <w:lang w:val="fr-CH"/>
        </w:rPr>
        <w:t>370.32</w:t>
      </w:r>
      <w:r w:rsidR="00AE4C1A" w:rsidRPr="0071782F">
        <w:rPr>
          <w:lang w:val="fr-CH"/>
        </w:rPr>
        <w:t xml:space="preserve">. </w:t>
      </w:r>
      <w:r w:rsidR="00E10019" w:rsidRPr="0071782F">
        <w:rPr>
          <w:lang w:val="fr-CH"/>
        </w:rPr>
        <w:t xml:space="preserve">Entre 1991 et 2006, le taux de non-achèvement d’une année scolaire dans les écoles secondaires du premier cycle a été ramené de </w:t>
      </w:r>
      <w:r w:rsidRPr="0071782F">
        <w:rPr>
          <w:lang w:val="fr-CH"/>
        </w:rPr>
        <w:t>17</w:t>
      </w:r>
      <w:r w:rsidR="00E10019" w:rsidRPr="0071782F">
        <w:rPr>
          <w:lang w:val="fr-CH"/>
        </w:rPr>
        <w:t>,</w:t>
      </w:r>
      <w:r w:rsidRPr="0071782F">
        <w:rPr>
          <w:lang w:val="fr-CH"/>
        </w:rPr>
        <w:t>52</w:t>
      </w:r>
      <w:r w:rsidR="007E5125" w:rsidRPr="0071782F">
        <w:rPr>
          <w:lang w:val="fr-CH"/>
        </w:rPr>
        <w:t>%</w:t>
      </w:r>
      <w:r w:rsidR="00E10019" w:rsidRPr="0071782F">
        <w:rPr>
          <w:lang w:val="fr-CH"/>
        </w:rPr>
        <w:t xml:space="preserve"> à </w:t>
      </w:r>
      <w:r w:rsidRPr="0071782F">
        <w:rPr>
          <w:lang w:val="fr-CH"/>
        </w:rPr>
        <w:t>7</w:t>
      </w:r>
      <w:r w:rsidR="00E10019" w:rsidRPr="0071782F">
        <w:rPr>
          <w:lang w:val="fr-CH"/>
        </w:rPr>
        <w:t>,</w:t>
      </w:r>
      <w:r w:rsidRPr="0071782F">
        <w:rPr>
          <w:lang w:val="fr-CH"/>
        </w:rPr>
        <w:t>4</w:t>
      </w:r>
      <w:r w:rsidR="007E5125" w:rsidRPr="0071782F">
        <w:rPr>
          <w:lang w:val="fr-CH"/>
        </w:rPr>
        <w:t>%</w:t>
      </w:r>
      <w:r w:rsidR="00E10019" w:rsidRPr="0071782F">
        <w:rPr>
          <w:lang w:val="fr-CH"/>
        </w:rPr>
        <w:t>, soit une baisse de 6,</w:t>
      </w:r>
      <w:r w:rsidRPr="0071782F">
        <w:rPr>
          <w:lang w:val="fr-CH"/>
        </w:rPr>
        <w:t>83</w:t>
      </w:r>
      <w:r w:rsidR="007E5125" w:rsidRPr="0071782F">
        <w:rPr>
          <w:lang w:val="fr-CH"/>
        </w:rPr>
        <w:t>%</w:t>
      </w:r>
      <w:r w:rsidRPr="0071782F">
        <w:rPr>
          <w:lang w:val="fr-CH"/>
        </w:rPr>
        <w:t>.</w:t>
      </w:r>
    </w:p>
    <w:p w:rsidR="00333944" w:rsidRPr="0071782F" w:rsidRDefault="00333944" w:rsidP="00AE4C1A">
      <w:pPr>
        <w:pStyle w:val="SingleTxtG"/>
        <w:ind w:left="1701"/>
        <w:rPr>
          <w:lang w:val="fr-CH"/>
        </w:rPr>
      </w:pPr>
      <w:r w:rsidRPr="0071782F">
        <w:rPr>
          <w:lang w:val="fr-CH"/>
        </w:rPr>
        <w:t>370.33</w:t>
      </w:r>
      <w:r w:rsidR="00AE4C1A" w:rsidRPr="0071782F">
        <w:rPr>
          <w:lang w:val="fr-CH"/>
        </w:rPr>
        <w:t xml:space="preserve">. </w:t>
      </w:r>
      <w:r w:rsidR="00E10019" w:rsidRPr="0071782F">
        <w:rPr>
          <w:lang w:val="fr-CH"/>
        </w:rPr>
        <w:t xml:space="preserve">Un accord concernant l’amélioration de la formation des enseignants passé entre le Ministère de l’éducation et l’Université des sciences appliquées de </w:t>
      </w:r>
      <w:r w:rsidRPr="0071782F">
        <w:rPr>
          <w:lang w:val="fr-CH"/>
        </w:rPr>
        <w:t xml:space="preserve">Payam-e Noor, </w:t>
      </w:r>
      <w:r w:rsidR="00E10019" w:rsidRPr="0071782F">
        <w:rPr>
          <w:lang w:val="fr-CH"/>
        </w:rPr>
        <w:t xml:space="preserve">avec la </w:t>
      </w:r>
      <w:r w:rsidRPr="0071782F">
        <w:rPr>
          <w:lang w:val="fr-CH"/>
        </w:rPr>
        <w:t xml:space="preserve">collaboration </w:t>
      </w:r>
      <w:r w:rsidR="00E10019" w:rsidRPr="0071782F">
        <w:rPr>
          <w:lang w:val="fr-CH"/>
        </w:rPr>
        <w:t xml:space="preserve">de l’Université islamique </w:t>
      </w:r>
      <w:r w:rsidRPr="0071782F">
        <w:rPr>
          <w:lang w:val="fr-CH"/>
        </w:rPr>
        <w:t>Azad</w:t>
      </w:r>
      <w:r w:rsidR="00E10019" w:rsidRPr="0071782F">
        <w:rPr>
          <w:lang w:val="fr-CH"/>
        </w:rPr>
        <w:t>, est entré en vigueur</w:t>
      </w:r>
      <w:r w:rsidRPr="0071782F">
        <w:rPr>
          <w:lang w:val="fr-CH"/>
        </w:rPr>
        <w:t xml:space="preserve">. </w:t>
      </w:r>
    </w:p>
    <w:p w:rsidR="00333944" w:rsidRPr="0071782F" w:rsidRDefault="00333944" w:rsidP="00AE4C1A">
      <w:pPr>
        <w:pStyle w:val="SingleTxtG"/>
        <w:ind w:left="1701"/>
        <w:rPr>
          <w:lang w:val="fr-CH"/>
        </w:rPr>
      </w:pPr>
      <w:r w:rsidRPr="0071782F">
        <w:rPr>
          <w:lang w:val="fr-CH"/>
        </w:rPr>
        <w:t>370.34</w:t>
      </w:r>
      <w:r w:rsidR="00AE4C1A" w:rsidRPr="0071782F">
        <w:rPr>
          <w:lang w:val="fr-CH"/>
        </w:rPr>
        <w:t xml:space="preserve">. </w:t>
      </w:r>
      <w:r w:rsidR="00E10019" w:rsidRPr="0071782F">
        <w:rPr>
          <w:lang w:val="fr-CH"/>
        </w:rPr>
        <w:t xml:space="preserve">Le pourcentage des rémunérations extraordinaires accordées aux enseignants pour tenir compte de leur ancienneté, de leur expérience et de leur excellence est passé de </w:t>
      </w:r>
      <w:r w:rsidRPr="0071782F">
        <w:rPr>
          <w:lang w:val="fr-CH"/>
        </w:rPr>
        <w:t>20, 35</w:t>
      </w:r>
      <w:r w:rsidR="00E10019" w:rsidRPr="0071782F">
        <w:rPr>
          <w:lang w:val="fr-CH"/>
        </w:rPr>
        <w:t xml:space="preserve"> et</w:t>
      </w:r>
      <w:r w:rsidRPr="0071782F">
        <w:rPr>
          <w:lang w:val="fr-CH"/>
        </w:rPr>
        <w:t xml:space="preserve"> 50</w:t>
      </w:r>
      <w:r w:rsidR="007E5125" w:rsidRPr="0071782F">
        <w:rPr>
          <w:lang w:val="fr-CH"/>
        </w:rPr>
        <w:t>%</w:t>
      </w:r>
      <w:r w:rsidR="00E10019" w:rsidRPr="0071782F">
        <w:rPr>
          <w:lang w:val="fr-CH"/>
        </w:rPr>
        <w:t xml:space="preserve"> à </w:t>
      </w:r>
      <w:r w:rsidRPr="0071782F">
        <w:rPr>
          <w:lang w:val="fr-CH"/>
        </w:rPr>
        <w:t>35, 55</w:t>
      </w:r>
      <w:r w:rsidR="00E10019" w:rsidRPr="0071782F">
        <w:rPr>
          <w:lang w:val="fr-CH"/>
        </w:rPr>
        <w:t xml:space="preserve"> et</w:t>
      </w:r>
      <w:r w:rsidRPr="0071782F">
        <w:rPr>
          <w:lang w:val="fr-CH"/>
        </w:rPr>
        <w:t xml:space="preserve"> 75</w:t>
      </w:r>
      <w:r w:rsidR="007E5125" w:rsidRPr="0071782F">
        <w:rPr>
          <w:lang w:val="fr-CH"/>
        </w:rPr>
        <w:t>%</w:t>
      </w:r>
      <w:r w:rsidR="00E10019" w:rsidRPr="0071782F">
        <w:rPr>
          <w:lang w:val="fr-CH"/>
        </w:rPr>
        <w:t>, respectivement</w:t>
      </w:r>
      <w:r w:rsidRPr="0071782F">
        <w:rPr>
          <w:lang w:val="fr-CH"/>
        </w:rPr>
        <w:t>.</w:t>
      </w:r>
    </w:p>
    <w:p w:rsidR="00333944" w:rsidRPr="0071782F" w:rsidRDefault="00333944" w:rsidP="00AE4C1A">
      <w:pPr>
        <w:pStyle w:val="SingleTxtG"/>
        <w:ind w:left="1701"/>
        <w:rPr>
          <w:lang w:val="fr-CH"/>
        </w:rPr>
      </w:pPr>
      <w:r w:rsidRPr="0071782F">
        <w:rPr>
          <w:lang w:val="fr-CH"/>
        </w:rPr>
        <w:t>370.35</w:t>
      </w:r>
      <w:r w:rsidR="00AE4C1A" w:rsidRPr="0071782F">
        <w:rPr>
          <w:lang w:val="fr-CH"/>
        </w:rPr>
        <w:t xml:space="preserve">. </w:t>
      </w:r>
      <w:r w:rsidR="00280E41" w:rsidRPr="0071782F">
        <w:rPr>
          <w:lang w:val="fr-CH"/>
        </w:rPr>
        <w:t>On a adopté la directive d’exécution concernant les écoles ouvertes 24</w:t>
      </w:r>
      <w:r w:rsidR="00BF435F" w:rsidRPr="0071782F">
        <w:rPr>
          <w:lang w:val="fr-CH"/>
        </w:rPr>
        <w:t> heures</w:t>
      </w:r>
      <w:r w:rsidR="00280E41" w:rsidRPr="0071782F">
        <w:rPr>
          <w:lang w:val="fr-CH"/>
        </w:rPr>
        <w:t xml:space="preserve"> sur 24 et les mesures destinées à régler les problèmes structurels et financiers que ces établissements connaissaient depuis 10</w:t>
      </w:r>
      <w:r w:rsidR="00D82C96" w:rsidRPr="0071782F">
        <w:rPr>
          <w:lang w:val="fr-CH"/>
        </w:rPr>
        <w:t> ans</w:t>
      </w:r>
      <w:r w:rsidR="00280E41" w:rsidRPr="0071782F">
        <w:rPr>
          <w:lang w:val="fr-CH"/>
        </w:rPr>
        <w:t>.</w:t>
      </w:r>
    </w:p>
    <w:p w:rsidR="00333944" w:rsidRPr="0071782F" w:rsidRDefault="00333944" w:rsidP="00AE4C1A">
      <w:pPr>
        <w:pStyle w:val="SingleTxtG"/>
        <w:ind w:left="1701"/>
        <w:rPr>
          <w:lang w:val="fr-CH"/>
        </w:rPr>
      </w:pPr>
      <w:r w:rsidRPr="0071782F">
        <w:rPr>
          <w:lang w:val="fr-CH"/>
        </w:rPr>
        <w:t>370.36</w:t>
      </w:r>
      <w:r w:rsidR="00AE4C1A" w:rsidRPr="0071782F">
        <w:rPr>
          <w:lang w:val="fr-CH"/>
        </w:rPr>
        <w:t xml:space="preserve">. </w:t>
      </w:r>
      <w:r w:rsidR="00280E41" w:rsidRPr="0071782F">
        <w:rPr>
          <w:lang w:val="fr-CH"/>
        </w:rPr>
        <w:t xml:space="preserve">Les établissements d’éducation préscolaire sont actuellement ouverts à </w:t>
      </w:r>
      <w:r w:rsidRPr="0071782F">
        <w:rPr>
          <w:lang w:val="fr-CH"/>
        </w:rPr>
        <w:t>48</w:t>
      </w:r>
      <w:r w:rsidR="007E5125" w:rsidRPr="0071782F">
        <w:rPr>
          <w:lang w:val="fr-CH"/>
        </w:rPr>
        <w:t>%</w:t>
      </w:r>
      <w:r w:rsidR="00280E41" w:rsidRPr="0071782F">
        <w:rPr>
          <w:lang w:val="fr-CH"/>
        </w:rPr>
        <w:t xml:space="preserve"> des enfants de cet âge (</w:t>
      </w:r>
      <w:r w:rsidRPr="0071782F">
        <w:rPr>
          <w:lang w:val="fr-CH"/>
        </w:rPr>
        <w:t>552</w:t>
      </w:r>
      <w:r w:rsidR="00280E41" w:rsidRPr="0071782F">
        <w:rPr>
          <w:lang w:val="fr-CH"/>
        </w:rPr>
        <w:t> </w:t>
      </w:r>
      <w:r w:rsidRPr="0071782F">
        <w:rPr>
          <w:lang w:val="fr-CH"/>
        </w:rPr>
        <w:t>000</w:t>
      </w:r>
      <w:r w:rsidR="00280E41" w:rsidRPr="0071782F">
        <w:rPr>
          <w:lang w:val="fr-CH"/>
        </w:rPr>
        <w:t>) et mettent l’accent sur les approches non gouvernementales et coraniques</w:t>
      </w:r>
      <w:r w:rsidRPr="0071782F">
        <w:rPr>
          <w:lang w:val="fr-CH"/>
        </w:rPr>
        <w:t>.</w:t>
      </w:r>
    </w:p>
    <w:p w:rsidR="00333944" w:rsidRPr="0071782F" w:rsidRDefault="00333944" w:rsidP="00AE4C1A">
      <w:pPr>
        <w:pStyle w:val="SingleTxtG"/>
        <w:ind w:left="1701"/>
        <w:rPr>
          <w:lang w:val="fr-CH"/>
        </w:rPr>
      </w:pPr>
      <w:r w:rsidRPr="0071782F">
        <w:rPr>
          <w:lang w:val="fr-CH"/>
        </w:rPr>
        <w:t>370.37</w:t>
      </w:r>
      <w:r w:rsidR="00AE4C1A" w:rsidRPr="0071782F">
        <w:rPr>
          <w:lang w:val="fr-CH"/>
        </w:rPr>
        <w:t xml:space="preserve">. </w:t>
      </w:r>
      <w:r w:rsidR="00280E41" w:rsidRPr="0071782F">
        <w:rPr>
          <w:lang w:val="fr-CH"/>
        </w:rPr>
        <w:t xml:space="preserve">On a formé </w:t>
      </w:r>
      <w:r w:rsidRPr="0071782F">
        <w:rPr>
          <w:lang w:val="fr-CH"/>
        </w:rPr>
        <w:t>56</w:t>
      </w:r>
      <w:r w:rsidR="00816714">
        <w:rPr>
          <w:lang w:val="fr-CH"/>
        </w:rPr>
        <w:t> </w:t>
      </w:r>
      <w:r w:rsidRPr="0071782F">
        <w:rPr>
          <w:lang w:val="fr-CH"/>
        </w:rPr>
        <w:t xml:space="preserve">000 </w:t>
      </w:r>
      <w:r w:rsidR="00280E41" w:rsidRPr="0071782F">
        <w:rPr>
          <w:lang w:val="fr-CH"/>
        </w:rPr>
        <w:t>maîtres, instructeurs et directeurs de l’enseignement primaire aux nouvelles méthodes d’enseignement du Coran</w:t>
      </w:r>
      <w:r w:rsidRPr="0071782F">
        <w:rPr>
          <w:lang w:val="fr-CH"/>
        </w:rPr>
        <w:t>.</w:t>
      </w:r>
    </w:p>
    <w:p w:rsidR="00333944" w:rsidRPr="0071782F" w:rsidRDefault="00333944" w:rsidP="00333944">
      <w:pPr>
        <w:pStyle w:val="H23G"/>
        <w:rPr>
          <w:lang w:val="fr-CH"/>
        </w:rPr>
      </w:pPr>
      <w:r w:rsidRPr="0071782F">
        <w:rPr>
          <w:lang w:val="fr-CH"/>
        </w:rPr>
        <w:tab/>
      </w:r>
      <w:r w:rsidRPr="0071782F">
        <w:rPr>
          <w:lang w:val="fr-CH"/>
        </w:rPr>
        <w:tab/>
        <w:t xml:space="preserve">Promotion </w:t>
      </w:r>
      <w:r w:rsidR="00280E41" w:rsidRPr="0071782F">
        <w:rPr>
          <w:lang w:val="fr-CH"/>
        </w:rPr>
        <w:t xml:space="preserve">de la justice éducative </w:t>
      </w:r>
    </w:p>
    <w:p w:rsidR="00333944" w:rsidRPr="0071782F" w:rsidRDefault="00333944" w:rsidP="00333944">
      <w:pPr>
        <w:pStyle w:val="SingleTxtG"/>
        <w:rPr>
          <w:lang w:val="fr-CH"/>
        </w:rPr>
      </w:pPr>
      <w:r w:rsidRPr="0071782F">
        <w:rPr>
          <w:lang w:val="fr-CH"/>
        </w:rPr>
        <w:t>371.</w:t>
      </w:r>
      <w:r w:rsidRPr="0071782F">
        <w:rPr>
          <w:lang w:val="fr-CH"/>
        </w:rPr>
        <w:tab/>
      </w:r>
      <w:r w:rsidR="00154621" w:rsidRPr="0071782F">
        <w:rPr>
          <w:lang w:val="fr-CH"/>
        </w:rPr>
        <w:t>À ce sujet, il convient de noter ce qui suit</w:t>
      </w:r>
      <w:r w:rsidR="008F7D33" w:rsidRPr="0071782F">
        <w:rPr>
          <w:lang w:val="fr-CH"/>
        </w:rPr>
        <w:t>:</w:t>
      </w:r>
    </w:p>
    <w:p w:rsidR="00333944" w:rsidRPr="0071782F" w:rsidRDefault="00333944" w:rsidP="000249C6">
      <w:pPr>
        <w:pStyle w:val="SingleTxtG"/>
        <w:ind w:left="1701"/>
        <w:rPr>
          <w:lang w:val="fr-CH"/>
        </w:rPr>
      </w:pPr>
      <w:r w:rsidRPr="0071782F">
        <w:rPr>
          <w:lang w:val="fr-CH"/>
        </w:rPr>
        <w:t>371.1</w:t>
      </w:r>
      <w:r w:rsidR="000249C6" w:rsidRPr="0071782F">
        <w:rPr>
          <w:lang w:val="fr-CH"/>
        </w:rPr>
        <w:t>.</w:t>
      </w:r>
      <w:r w:rsidRPr="0071782F">
        <w:rPr>
          <w:lang w:val="fr-CH"/>
        </w:rPr>
        <w:tab/>
      </w:r>
      <w:r w:rsidR="009F29D4" w:rsidRPr="0071782F">
        <w:rPr>
          <w:lang w:val="fr-CH"/>
        </w:rPr>
        <w:t>Plus de 17</w:t>
      </w:r>
      <w:r w:rsidR="00816714">
        <w:rPr>
          <w:lang w:val="fr-CH"/>
        </w:rPr>
        <w:t> </w:t>
      </w:r>
      <w:r w:rsidRPr="0071782F">
        <w:rPr>
          <w:lang w:val="fr-CH"/>
        </w:rPr>
        <w:t xml:space="preserve">748 </w:t>
      </w:r>
      <w:r w:rsidR="009F29D4" w:rsidRPr="0071782F">
        <w:rPr>
          <w:lang w:val="fr-CH"/>
        </w:rPr>
        <w:t>nouveaux élèves se sont inscrits dans les écoles ouvertes 24</w:t>
      </w:r>
      <w:r w:rsidR="00BF435F" w:rsidRPr="0071782F">
        <w:rPr>
          <w:lang w:val="fr-CH"/>
        </w:rPr>
        <w:t> heures</w:t>
      </w:r>
      <w:r w:rsidR="009F29D4" w:rsidRPr="0071782F">
        <w:rPr>
          <w:lang w:val="fr-CH"/>
        </w:rPr>
        <w:t xml:space="preserve"> sur 24 (écoles secondaires des premier et second cycles) et</w:t>
      </w:r>
      <w:r w:rsidRPr="0071782F">
        <w:rPr>
          <w:lang w:val="fr-CH"/>
        </w:rPr>
        <w:t xml:space="preserve"> </w:t>
      </w:r>
      <w:r w:rsidR="009F29D4" w:rsidRPr="0071782F">
        <w:rPr>
          <w:lang w:val="fr-CH"/>
        </w:rPr>
        <w:t xml:space="preserve">le </w:t>
      </w:r>
      <w:r w:rsidR="003B48A4" w:rsidRPr="0071782F">
        <w:rPr>
          <w:lang w:val="fr-CH"/>
        </w:rPr>
        <w:t>nombre</w:t>
      </w:r>
      <w:r w:rsidRPr="0071782F">
        <w:rPr>
          <w:lang w:val="fr-CH"/>
        </w:rPr>
        <w:t xml:space="preserve"> </w:t>
      </w:r>
      <w:r w:rsidR="009F29D4" w:rsidRPr="0071782F">
        <w:rPr>
          <w:lang w:val="fr-CH"/>
        </w:rPr>
        <w:t xml:space="preserve">d’établissements est passé de 428 </w:t>
      </w:r>
      <w:r w:rsidRPr="0071782F">
        <w:rPr>
          <w:lang w:val="fr-CH"/>
        </w:rPr>
        <w:t xml:space="preserve">416 </w:t>
      </w:r>
      <w:r w:rsidR="009F29D4" w:rsidRPr="0071782F">
        <w:rPr>
          <w:lang w:val="fr-CH"/>
        </w:rPr>
        <w:t xml:space="preserve">à 446 </w:t>
      </w:r>
      <w:r w:rsidRPr="0071782F">
        <w:rPr>
          <w:lang w:val="fr-CH"/>
        </w:rPr>
        <w:t>164.</w:t>
      </w:r>
    </w:p>
    <w:p w:rsidR="00333944" w:rsidRPr="0071782F" w:rsidRDefault="00333944" w:rsidP="00311068">
      <w:pPr>
        <w:pStyle w:val="SingleTxtG"/>
        <w:ind w:left="1701"/>
        <w:rPr>
          <w:lang w:val="fr-CH"/>
        </w:rPr>
      </w:pPr>
      <w:r w:rsidRPr="0071782F">
        <w:rPr>
          <w:lang w:val="fr-CH"/>
        </w:rPr>
        <w:t>371.2</w:t>
      </w:r>
      <w:r w:rsidR="000249C6" w:rsidRPr="0071782F">
        <w:rPr>
          <w:lang w:val="fr-CH"/>
        </w:rPr>
        <w:t>.</w:t>
      </w:r>
      <w:r w:rsidRPr="0071782F">
        <w:rPr>
          <w:lang w:val="fr-CH"/>
        </w:rPr>
        <w:tab/>
      </w:r>
      <w:r w:rsidR="0017057A" w:rsidRPr="0071782F">
        <w:rPr>
          <w:lang w:val="fr-CH"/>
        </w:rPr>
        <w:t xml:space="preserve">Au cours des trois années écoulées, quelque </w:t>
      </w:r>
      <w:r w:rsidRPr="0071782F">
        <w:rPr>
          <w:lang w:val="fr-CH"/>
        </w:rPr>
        <w:t>9</w:t>
      </w:r>
      <w:r w:rsidR="0017057A" w:rsidRPr="0071782F">
        <w:rPr>
          <w:lang w:val="fr-CH"/>
        </w:rPr>
        <w:t xml:space="preserve"> </w:t>
      </w:r>
      <w:r w:rsidRPr="0071782F">
        <w:rPr>
          <w:lang w:val="fr-CH"/>
        </w:rPr>
        <w:t xml:space="preserve">000 </w:t>
      </w:r>
      <w:r w:rsidR="0017057A" w:rsidRPr="0071782F">
        <w:rPr>
          <w:lang w:val="fr-CH"/>
        </w:rPr>
        <w:t>élèves doués des régions défavorisées se sont inscrits dans des écoles publiques modèles</w:t>
      </w:r>
      <w:r w:rsidRPr="0071782F">
        <w:rPr>
          <w:lang w:val="fr-CH"/>
        </w:rPr>
        <w:t>.</w:t>
      </w:r>
    </w:p>
    <w:p w:rsidR="00333944" w:rsidRPr="0071782F" w:rsidRDefault="00333944" w:rsidP="00311068">
      <w:pPr>
        <w:pStyle w:val="SingleTxtG"/>
        <w:ind w:left="1701"/>
        <w:rPr>
          <w:lang w:val="fr-CH"/>
        </w:rPr>
      </w:pPr>
      <w:r w:rsidRPr="0071782F">
        <w:rPr>
          <w:lang w:val="fr-CH"/>
        </w:rPr>
        <w:t>371.3</w:t>
      </w:r>
      <w:r w:rsidR="000249C6" w:rsidRPr="0071782F">
        <w:rPr>
          <w:lang w:val="fr-CH"/>
        </w:rPr>
        <w:t>.</w:t>
      </w:r>
      <w:r w:rsidRPr="0071782F">
        <w:rPr>
          <w:lang w:val="fr-CH"/>
        </w:rPr>
        <w:tab/>
      </w:r>
      <w:r w:rsidR="00C97549" w:rsidRPr="0071782F">
        <w:rPr>
          <w:lang w:val="fr-CH"/>
        </w:rPr>
        <w:t>Le nombre de filles inscrites dans les écoles ouvertes 24</w:t>
      </w:r>
      <w:r w:rsidR="00BF435F" w:rsidRPr="0071782F">
        <w:rPr>
          <w:lang w:val="fr-CH"/>
        </w:rPr>
        <w:t> heures</w:t>
      </w:r>
      <w:r w:rsidR="00C97549" w:rsidRPr="0071782F">
        <w:rPr>
          <w:lang w:val="fr-CH"/>
        </w:rPr>
        <w:t xml:space="preserve"> sur 24 et les écoles publiques modèles a augmenté de </w:t>
      </w:r>
      <w:r w:rsidRPr="0071782F">
        <w:rPr>
          <w:lang w:val="fr-CH"/>
        </w:rPr>
        <w:t>12</w:t>
      </w:r>
      <w:r w:rsidR="00C97549" w:rsidRPr="0071782F">
        <w:rPr>
          <w:lang w:val="fr-CH"/>
        </w:rPr>
        <w:t>,</w:t>
      </w:r>
      <w:r w:rsidRPr="0071782F">
        <w:rPr>
          <w:lang w:val="fr-CH"/>
        </w:rPr>
        <w:t xml:space="preserve">8 </w:t>
      </w:r>
      <w:r w:rsidR="00C97549" w:rsidRPr="0071782F">
        <w:rPr>
          <w:lang w:val="fr-CH"/>
        </w:rPr>
        <w:t>et</w:t>
      </w:r>
      <w:r w:rsidRPr="0071782F">
        <w:rPr>
          <w:lang w:val="fr-CH"/>
        </w:rPr>
        <w:t xml:space="preserve"> 7</w:t>
      </w:r>
      <w:r w:rsidR="00C97549" w:rsidRPr="0071782F">
        <w:rPr>
          <w:lang w:val="fr-CH"/>
        </w:rPr>
        <w:t>,</w:t>
      </w:r>
      <w:r w:rsidRPr="0071782F">
        <w:rPr>
          <w:lang w:val="fr-CH"/>
        </w:rPr>
        <w:t>3</w:t>
      </w:r>
      <w:r w:rsidR="007E5125" w:rsidRPr="0071782F">
        <w:rPr>
          <w:lang w:val="fr-CH"/>
        </w:rPr>
        <w:t>%</w:t>
      </w:r>
      <w:r w:rsidR="00C97549" w:rsidRPr="0071782F">
        <w:rPr>
          <w:lang w:val="fr-CH"/>
        </w:rPr>
        <w:t>, respectivement</w:t>
      </w:r>
      <w:r w:rsidRPr="0071782F">
        <w:rPr>
          <w:lang w:val="fr-CH"/>
        </w:rPr>
        <w:t>.</w:t>
      </w:r>
    </w:p>
    <w:p w:rsidR="00333944" w:rsidRPr="0071782F" w:rsidRDefault="00333944" w:rsidP="00311068">
      <w:pPr>
        <w:pStyle w:val="SingleTxtG"/>
        <w:ind w:left="1701"/>
        <w:rPr>
          <w:lang w:val="fr-CH"/>
        </w:rPr>
      </w:pPr>
      <w:r w:rsidRPr="0071782F">
        <w:rPr>
          <w:lang w:val="fr-CH"/>
        </w:rPr>
        <w:t>371.4</w:t>
      </w:r>
      <w:r w:rsidR="000249C6" w:rsidRPr="0071782F">
        <w:rPr>
          <w:lang w:val="fr-CH"/>
        </w:rPr>
        <w:t>.</w:t>
      </w:r>
      <w:r w:rsidRPr="0071782F">
        <w:rPr>
          <w:lang w:val="fr-CH"/>
        </w:rPr>
        <w:tab/>
      </w:r>
      <w:r w:rsidR="00C97549" w:rsidRPr="0071782F">
        <w:rPr>
          <w:lang w:val="fr-CH"/>
        </w:rPr>
        <w:t xml:space="preserve">Dans les zones rurales, </w:t>
      </w:r>
      <w:r w:rsidRPr="0071782F">
        <w:rPr>
          <w:lang w:val="fr-CH"/>
        </w:rPr>
        <w:t xml:space="preserve">934 </w:t>
      </w:r>
      <w:r w:rsidR="00C97549" w:rsidRPr="0071782F">
        <w:rPr>
          <w:lang w:val="fr-CH"/>
        </w:rPr>
        <w:t>centres d’enseignement ont été mis en service</w:t>
      </w:r>
      <w:r w:rsidRPr="0071782F">
        <w:rPr>
          <w:lang w:val="fr-CH"/>
        </w:rPr>
        <w:t>.</w:t>
      </w:r>
    </w:p>
    <w:p w:rsidR="00333944" w:rsidRPr="0071782F" w:rsidRDefault="00333944" w:rsidP="00311068">
      <w:pPr>
        <w:pStyle w:val="SingleTxtG"/>
        <w:ind w:left="1701"/>
        <w:rPr>
          <w:lang w:val="fr-CH"/>
        </w:rPr>
      </w:pPr>
      <w:r w:rsidRPr="0071782F">
        <w:rPr>
          <w:lang w:val="fr-CH"/>
        </w:rPr>
        <w:t>371.5</w:t>
      </w:r>
      <w:r w:rsidR="000249C6" w:rsidRPr="0071782F">
        <w:rPr>
          <w:lang w:val="fr-CH"/>
        </w:rPr>
        <w:t>.</w:t>
      </w:r>
      <w:r w:rsidRPr="0071782F">
        <w:rPr>
          <w:lang w:val="fr-CH"/>
        </w:rPr>
        <w:tab/>
      </w:r>
      <w:r w:rsidR="00C97549" w:rsidRPr="0071782F">
        <w:rPr>
          <w:lang w:val="fr-CH"/>
        </w:rPr>
        <w:t xml:space="preserve">Le </w:t>
      </w:r>
      <w:r w:rsidR="003B48A4" w:rsidRPr="0071782F">
        <w:rPr>
          <w:lang w:val="fr-CH"/>
        </w:rPr>
        <w:t>nombre</w:t>
      </w:r>
      <w:r w:rsidRPr="0071782F">
        <w:rPr>
          <w:lang w:val="fr-CH"/>
        </w:rPr>
        <w:t xml:space="preserve"> </w:t>
      </w:r>
      <w:r w:rsidR="00C97549" w:rsidRPr="0071782F">
        <w:rPr>
          <w:lang w:val="fr-CH"/>
        </w:rPr>
        <w:t xml:space="preserve">de matières spécialisées enseignées aux filles est passé de </w:t>
      </w:r>
      <w:r w:rsidRPr="0071782F">
        <w:rPr>
          <w:lang w:val="fr-CH"/>
        </w:rPr>
        <w:t xml:space="preserve">80 </w:t>
      </w:r>
      <w:r w:rsidR="00C97549" w:rsidRPr="0071782F">
        <w:rPr>
          <w:lang w:val="fr-CH"/>
        </w:rPr>
        <w:t>à</w:t>
      </w:r>
      <w:r w:rsidRPr="0071782F">
        <w:rPr>
          <w:lang w:val="fr-CH"/>
        </w:rPr>
        <w:t xml:space="preserve"> 88, </w:t>
      </w:r>
      <w:r w:rsidR="00C97549" w:rsidRPr="0071782F">
        <w:rPr>
          <w:lang w:val="fr-CH"/>
        </w:rPr>
        <w:t xml:space="preserve">et différents </w:t>
      </w:r>
      <w:r w:rsidRPr="0071782F">
        <w:rPr>
          <w:lang w:val="fr-CH"/>
        </w:rPr>
        <w:t>program</w:t>
      </w:r>
      <w:r w:rsidR="00C97549" w:rsidRPr="0071782F">
        <w:rPr>
          <w:lang w:val="fr-CH"/>
        </w:rPr>
        <w:t>me</w:t>
      </w:r>
      <w:r w:rsidRPr="0071782F">
        <w:rPr>
          <w:lang w:val="fr-CH"/>
        </w:rPr>
        <w:t xml:space="preserve">s </w:t>
      </w:r>
      <w:r w:rsidR="00C97549" w:rsidRPr="0071782F">
        <w:rPr>
          <w:lang w:val="fr-CH"/>
        </w:rPr>
        <w:t>ont été exécutés pour améliorer leur accès à l’enseignement secondaire et à la formation technique et professionnelle</w:t>
      </w:r>
      <w:r w:rsidRPr="0071782F">
        <w:rPr>
          <w:lang w:val="fr-CH"/>
        </w:rPr>
        <w:t>.</w:t>
      </w:r>
    </w:p>
    <w:p w:rsidR="00333944" w:rsidRPr="0071782F" w:rsidRDefault="00333944" w:rsidP="00311068">
      <w:pPr>
        <w:pStyle w:val="SingleTxtG"/>
        <w:ind w:left="1701"/>
        <w:rPr>
          <w:lang w:val="fr-CH"/>
        </w:rPr>
      </w:pPr>
      <w:r w:rsidRPr="0071782F">
        <w:rPr>
          <w:lang w:val="fr-CH"/>
        </w:rPr>
        <w:t>371.6</w:t>
      </w:r>
      <w:r w:rsidR="000249C6" w:rsidRPr="0071782F">
        <w:rPr>
          <w:lang w:val="fr-CH"/>
        </w:rPr>
        <w:t>.</w:t>
      </w:r>
      <w:r w:rsidRPr="0071782F">
        <w:rPr>
          <w:lang w:val="fr-CH"/>
        </w:rPr>
        <w:tab/>
        <w:t xml:space="preserve">Six </w:t>
      </w:r>
      <w:r w:rsidR="000042EA" w:rsidRPr="0071782F">
        <w:rPr>
          <w:lang w:val="fr-CH"/>
        </w:rPr>
        <w:t xml:space="preserve">foyers de formation technologique pour filles ont été ouverts à </w:t>
      </w:r>
      <w:r w:rsidRPr="0071782F">
        <w:rPr>
          <w:lang w:val="fr-CH"/>
        </w:rPr>
        <w:t>T</w:t>
      </w:r>
      <w:r w:rsidR="000042EA" w:rsidRPr="0071782F">
        <w:rPr>
          <w:lang w:val="fr-CH"/>
        </w:rPr>
        <w:t>é</w:t>
      </w:r>
      <w:r w:rsidRPr="0071782F">
        <w:rPr>
          <w:lang w:val="fr-CH"/>
        </w:rPr>
        <w:t>h</w:t>
      </w:r>
      <w:r w:rsidR="000042EA" w:rsidRPr="0071782F">
        <w:rPr>
          <w:lang w:val="fr-CH"/>
        </w:rPr>
        <w:t>ér</w:t>
      </w:r>
      <w:r w:rsidRPr="0071782F">
        <w:rPr>
          <w:lang w:val="fr-CH"/>
        </w:rPr>
        <w:t>an.</w:t>
      </w:r>
    </w:p>
    <w:p w:rsidR="00333944" w:rsidRPr="0071782F" w:rsidRDefault="00333944" w:rsidP="00311068">
      <w:pPr>
        <w:pStyle w:val="SingleTxtG"/>
        <w:ind w:left="1701"/>
        <w:rPr>
          <w:lang w:val="fr-CH"/>
        </w:rPr>
      </w:pPr>
      <w:r w:rsidRPr="0071782F">
        <w:rPr>
          <w:lang w:val="fr-CH"/>
        </w:rPr>
        <w:t>371.7</w:t>
      </w:r>
      <w:r w:rsidR="000249C6" w:rsidRPr="0071782F">
        <w:rPr>
          <w:lang w:val="fr-CH"/>
        </w:rPr>
        <w:t>.</w:t>
      </w:r>
      <w:r w:rsidRPr="0071782F">
        <w:rPr>
          <w:lang w:val="fr-CH"/>
        </w:rPr>
        <w:tab/>
      </w:r>
      <w:r w:rsidR="000042EA" w:rsidRPr="0071782F">
        <w:rPr>
          <w:lang w:val="fr-CH"/>
        </w:rPr>
        <w:t>Soixante et un mille enfants précédem</w:t>
      </w:r>
      <w:r w:rsidR="00AC55AB" w:rsidRPr="0071782F">
        <w:rPr>
          <w:lang w:val="fr-CH"/>
        </w:rPr>
        <w:t>me</w:t>
      </w:r>
      <w:r w:rsidR="000042EA" w:rsidRPr="0071782F">
        <w:rPr>
          <w:lang w:val="fr-CH"/>
        </w:rPr>
        <w:t>nt non scolarisés ont été inscrits dans des écoles</w:t>
      </w:r>
      <w:r w:rsidRPr="0071782F">
        <w:rPr>
          <w:lang w:val="fr-CH"/>
        </w:rPr>
        <w:t>.</w:t>
      </w:r>
    </w:p>
    <w:p w:rsidR="00333944" w:rsidRPr="0071782F" w:rsidRDefault="00333944" w:rsidP="00311068">
      <w:pPr>
        <w:pStyle w:val="SingleTxtG"/>
        <w:ind w:left="1701"/>
        <w:rPr>
          <w:lang w:val="fr-CH"/>
        </w:rPr>
      </w:pPr>
      <w:r w:rsidRPr="0071782F">
        <w:rPr>
          <w:lang w:val="fr-CH"/>
        </w:rPr>
        <w:t>371.8</w:t>
      </w:r>
      <w:r w:rsidR="000249C6" w:rsidRPr="0071782F">
        <w:rPr>
          <w:lang w:val="fr-CH"/>
        </w:rPr>
        <w:t>.</w:t>
      </w:r>
      <w:r w:rsidRPr="0071782F">
        <w:rPr>
          <w:lang w:val="fr-CH"/>
        </w:rPr>
        <w:tab/>
      </w:r>
      <w:r w:rsidR="000042EA" w:rsidRPr="0071782F">
        <w:rPr>
          <w:lang w:val="fr-CH"/>
        </w:rPr>
        <w:t>On a publié et distribué 500</w:t>
      </w:r>
      <w:r w:rsidR="00816714">
        <w:rPr>
          <w:lang w:val="fr-CH"/>
        </w:rPr>
        <w:t> </w:t>
      </w:r>
      <w:r w:rsidRPr="0071782F">
        <w:rPr>
          <w:lang w:val="fr-CH"/>
        </w:rPr>
        <w:t xml:space="preserve">000 </w:t>
      </w:r>
      <w:r w:rsidR="000042EA" w:rsidRPr="0071782F">
        <w:rPr>
          <w:lang w:val="fr-CH"/>
        </w:rPr>
        <w:t>livres d’autoapprentissage à des élèves suivant une formation à distance.</w:t>
      </w:r>
    </w:p>
    <w:p w:rsidR="00333944" w:rsidRPr="0071782F" w:rsidRDefault="00333944" w:rsidP="00311068">
      <w:pPr>
        <w:pStyle w:val="SingleTxtG"/>
        <w:ind w:left="1701"/>
        <w:rPr>
          <w:lang w:val="fr-CH"/>
        </w:rPr>
      </w:pPr>
      <w:r w:rsidRPr="0071782F">
        <w:rPr>
          <w:lang w:val="fr-CH"/>
        </w:rPr>
        <w:t>371.9</w:t>
      </w:r>
      <w:r w:rsidR="000249C6" w:rsidRPr="0071782F">
        <w:rPr>
          <w:lang w:val="fr-CH"/>
        </w:rPr>
        <w:t>.</w:t>
      </w:r>
      <w:r w:rsidRPr="0071782F">
        <w:rPr>
          <w:lang w:val="fr-CH"/>
        </w:rPr>
        <w:tab/>
      </w:r>
      <w:r w:rsidR="000042EA" w:rsidRPr="0071782F">
        <w:rPr>
          <w:lang w:val="fr-CH"/>
        </w:rPr>
        <w:t xml:space="preserve">Le </w:t>
      </w:r>
      <w:r w:rsidR="003B48A4" w:rsidRPr="0071782F">
        <w:rPr>
          <w:lang w:val="fr-CH"/>
        </w:rPr>
        <w:t>nombre</w:t>
      </w:r>
      <w:r w:rsidRPr="0071782F">
        <w:rPr>
          <w:lang w:val="fr-CH"/>
        </w:rPr>
        <w:t xml:space="preserve"> </w:t>
      </w:r>
      <w:r w:rsidR="000042EA" w:rsidRPr="0071782F">
        <w:rPr>
          <w:lang w:val="fr-CH"/>
        </w:rPr>
        <w:t xml:space="preserve">d’écolières nomades inscrites dans les écoles secondaires des premier et second cycles est passé de </w:t>
      </w:r>
      <w:r w:rsidRPr="0071782F">
        <w:rPr>
          <w:lang w:val="fr-CH"/>
        </w:rPr>
        <w:t>16</w:t>
      </w:r>
      <w:r w:rsidR="000042EA" w:rsidRPr="0071782F">
        <w:rPr>
          <w:lang w:val="fr-CH"/>
        </w:rPr>
        <w:t xml:space="preserve"> </w:t>
      </w:r>
      <w:r w:rsidRPr="0071782F">
        <w:rPr>
          <w:lang w:val="fr-CH"/>
        </w:rPr>
        <w:t xml:space="preserve">346 </w:t>
      </w:r>
      <w:r w:rsidR="000042EA" w:rsidRPr="0071782F">
        <w:rPr>
          <w:lang w:val="fr-CH"/>
        </w:rPr>
        <w:t>à 19 </w:t>
      </w:r>
      <w:r w:rsidRPr="0071782F">
        <w:rPr>
          <w:lang w:val="fr-CH"/>
        </w:rPr>
        <w:t>124</w:t>
      </w:r>
      <w:r w:rsidR="000042EA" w:rsidRPr="0071782F">
        <w:rPr>
          <w:lang w:val="fr-CH"/>
        </w:rPr>
        <w:t xml:space="preserve">, en augmentation de </w:t>
      </w:r>
      <w:r w:rsidRPr="0071782F">
        <w:rPr>
          <w:lang w:val="fr-CH"/>
        </w:rPr>
        <w:t>18</w:t>
      </w:r>
      <w:r w:rsidR="007E5125" w:rsidRPr="0071782F">
        <w:rPr>
          <w:lang w:val="fr-CH"/>
        </w:rPr>
        <w:t>%</w:t>
      </w:r>
      <w:r w:rsidRPr="0071782F">
        <w:rPr>
          <w:lang w:val="fr-CH"/>
        </w:rPr>
        <w:t>.</w:t>
      </w:r>
    </w:p>
    <w:p w:rsidR="00333944" w:rsidRPr="0071782F" w:rsidRDefault="00333944" w:rsidP="00311068">
      <w:pPr>
        <w:pStyle w:val="SingleTxtG"/>
        <w:ind w:left="1701"/>
        <w:rPr>
          <w:lang w:val="fr-CH"/>
        </w:rPr>
      </w:pPr>
      <w:r w:rsidRPr="0071782F">
        <w:rPr>
          <w:lang w:val="fr-CH"/>
        </w:rPr>
        <w:t>371.10</w:t>
      </w:r>
      <w:r w:rsidR="000249C6" w:rsidRPr="0071782F">
        <w:rPr>
          <w:lang w:val="fr-CH"/>
        </w:rPr>
        <w:t xml:space="preserve">. </w:t>
      </w:r>
      <w:r w:rsidR="00AC55AB" w:rsidRPr="0071782F">
        <w:rPr>
          <w:lang w:val="fr-CH"/>
        </w:rPr>
        <w:t>Afin d’améliorer les prestations pour les filles des écoles secondaires des premier et second cycles ouvertes 24</w:t>
      </w:r>
      <w:r w:rsidR="00BF435F" w:rsidRPr="0071782F">
        <w:rPr>
          <w:lang w:val="fr-CH"/>
        </w:rPr>
        <w:t> heures</w:t>
      </w:r>
      <w:r w:rsidR="00AC55AB" w:rsidRPr="0071782F">
        <w:rPr>
          <w:lang w:val="fr-CH"/>
        </w:rPr>
        <w:t xml:space="preserve"> sur 24, 18 </w:t>
      </w:r>
      <w:r w:rsidRPr="0071782F">
        <w:rPr>
          <w:lang w:val="fr-CH"/>
        </w:rPr>
        <w:t xml:space="preserve">700 </w:t>
      </w:r>
      <w:r w:rsidR="00AC55AB" w:rsidRPr="0071782F">
        <w:rPr>
          <w:lang w:val="fr-CH"/>
        </w:rPr>
        <w:t xml:space="preserve">coffrets de matériels culturels ont été distribués à </w:t>
      </w:r>
      <w:r w:rsidRPr="0071782F">
        <w:rPr>
          <w:lang w:val="fr-CH"/>
        </w:rPr>
        <w:t xml:space="preserve">711 </w:t>
      </w:r>
      <w:r w:rsidR="00AC55AB" w:rsidRPr="0071782F">
        <w:rPr>
          <w:lang w:val="fr-CH"/>
        </w:rPr>
        <w:t>de ces établissements</w:t>
      </w:r>
      <w:r w:rsidRPr="0071782F">
        <w:rPr>
          <w:lang w:val="fr-CH"/>
        </w:rPr>
        <w:t>.</w:t>
      </w:r>
    </w:p>
    <w:p w:rsidR="00333944" w:rsidRPr="0071782F" w:rsidRDefault="00333944" w:rsidP="000249C6">
      <w:pPr>
        <w:pStyle w:val="SingleTxtG"/>
        <w:ind w:left="1701"/>
        <w:rPr>
          <w:lang w:val="fr-CH"/>
        </w:rPr>
      </w:pPr>
      <w:r w:rsidRPr="0071782F">
        <w:rPr>
          <w:lang w:val="fr-CH"/>
        </w:rPr>
        <w:t>371.11</w:t>
      </w:r>
      <w:r w:rsidR="000249C6" w:rsidRPr="0071782F">
        <w:rPr>
          <w:lang w:val="fr-CH"/>
        </w:rPr>
        <w:t xml:space="preserve">. </w:t>
      </w:r>
      <w:r w:rsidR="00AC55AB" w:rsidRPr="0071782F">
        <w:rPr>
          <w:lang w:val="fr-CH"/>
        </w:rPr>
        <w:t xml:space="preserve">Au cours de l’année écoulée, plus de </w:t>
      </w:r>
      <w:r w:rsidRPr="0071782F">
        <w:rPr>
          <w:lang w:val="fr-CH"/>
        </w:rPr>
        <w:t>66</w:t>
      </w:r>
      <w:r w:rsidR="00816714">
        <w:rPr>
          <w:lang w:val="fr-CH"/>
        </w:rPr>
        <w:t> </w:t>
      </w:r>
      <w:r w:rsidRPr="0071782F">
        <w:rPr>
          <w:lang w:val="fr-CH"/>
        </w:rPr>
        <w:t xml:space="preserve">000 </w:t>
      </w:r>
      <w:r w:rsidR="00AC55AB" w:rsidRPr="0071782F">
        <w:rPr>
          <w:lang w:val="fr-CH"/>
        </w:rPr>
        <w:t xml:space="preserve">enfants précédemment non scolarisés se sont inscrits dans des établissements d’enseignement primaire et secondaire du premier cycle. </w:t>
      </w:r>
    </w:p>
    <w:p w:rsidR="00333944" w:rsidRPr="0071782F" w:rsidRDefault="00333944" w:rsidP="000249C6">
      <w:pPr>
        <w:pStyle w:val="SingleTxtG"/>
        <w:ind w:left="1701"/>
        <w:rPr>
          <w:lang w:val="fr-CH"/>
        </w:rPr>
      </w:pPr>
      <w:r w:rsidRPr="0071782F">
        <w:rPr>
          <w:lang w:val="fr-CH"/>
        </w:rPr>
        <w:t>371.12</w:t>
      </w:r>
      <w:r w:rsidR="000249C6" w:rsidRPr="0071782F">
        <w:rPr>
          <w:lang w:val="fr-CH"/>
        </w:rPr>
        <w:t xml:space="preserve">. </w:t>
      </w:r>
      <w:r w:rsidR="00ED2D8E" w:rsidRPr="0071782F">
        <w:rPr>
          <w:lang w:val="fr-CH"/>
        </w:rPr>
        <w:t xml:space="preserve">On a mis en application le programme d’amélioration </w:t>
      </w:r>
      <w:r w:rsidRPr="0071782F">
        <w:rPr>
          <w:lang w:val="fr-CH"/>
        </w:rPr>
        <w:t xml:space="preserve">quantitative </w:t>
      </w:r>
      <w:r w:rsidR="00ED2D8E" w:rsidRPr="0071782F">
        <w:rPr>
          <w:lang w:val="fr-CH"/>
        </w:rPr>
        <w:t>et</w:t>
      </w:r>
      <w:r w:rsidRPr="0071782F">
        <w:rPr>
          <w:lang w:val="fr-CH"/>
        </w:rPr>
        <w:t xml:space="preserve"> qualitative </w:t>
      </w:r>
      <w:r w:rsidR="00ED2D8E" w:rsidRPr="0071782F">
        <w:rPr>
          <w:lang w:val="fr-CH"/>
        </w:rPr>
        <w:t>de l’autosuffisance des écoles ouvertes 24</w:t>
      </w:r>
      <w:r w:rsidR="00BF435F" w:rsidRPr="0071782F">
        <w:rPr>
          <w:lang w:val="fr-CH"/>
        </w:rPr>
        <w:t> heures</w:t>
      </w:r>
      <w:r w:rsidR="00ED2D8E" w:rsidRPr="0071782F">
        <w:rPr>
          <w:lang w:val="fr-CH"/>
        </w:rPr>
        <w:t xml:space="preserve"> sur 24 et des écoles publiques modèles en milieu rural, qui a bénéficié à </w:t>
      </w:r>
      <w:r w:rsidRPr="0071782F">
        <w:rPr>
          <w:lang w:val="fr-CH"/>
        </w:rPr>
        <w:t>4</w:t>
      </w:r>
      <w:r w:rsidR="00816714">
        <w:rPr>
          <w:lang w:val="fr-CH"/>
        </w:rPr>
        <w:t> </w:t>
      </w:r>
      <w:r w:rsidRPr="0071782F">
        <w:rPr>
          <w:lang w:val="fr-CH"/>
        </w:rPr>
        <w:t xml:space="preserve">000 </w:t>
      </w:r>
      <w:r w:rsidR="00ED2D8E" w:rsidRPr="0071782F">
        <w:rPr>
          <w:lang w:val="fr-CH"/>
        </w:rPr>
        <w:t xml:space="preserve">élèves de plus de </w:t>
      </w:r>
      <w:r w:rsidRPr="0071782F">
        <w:rPr>
          <w:lang w:val="fr-CH"/>
        </w:rPr>
        <w:t>160</w:t>
      </w:r>
      <w:r w:rsidR="00F4510F" w:rsidRPr="0071782F">
        <w:rPr>
          <w:lang w:val="fr-CH"/>
        </w:rPr>
        <w:t> </w:t>
      </w:r>
      <w:r w:rsidR="00ED2D8E" w:rsidRPr="0071782F">
        <w:rPr>
          <w:lang w:val="fr-CH"/>
        </w:rPr>
        <w:t>écoles ouvertes 24</w:t>
      </w:r>
      <w:r w:rsidR="00BF435F" w:rsidRPr="0071782F">
        <w:rPr>
          <w:lang w:val="fr-CH"/>
        </w:rPr>
        <w:t> heures</w:t>
      </w:r>
      <w:r w:rsidR="00ED2D8E" w:rsidRPr="0071782F">
        <w:rPr>
          <w:lang w:val="fr-CH"/>
        </w:rPr>
        <w:t xml:space="preserve"> sur 24</w:t>
      </w:r>
      <w:r w:rsidRPr="0071782F">
        <w:rPr>
          <w:lang w:val="fr-CH"/>
        </w:rPr>
        <w:t>.</w:t>
      </w:r>
    </w:p>
    <w:p w:rsidR="00333944" w:rsidRPr="0071782F" w:rsidRDefault="00333944" w:rsidP="000249C6">
      <w:pPr>
        <w:pStyle w:val="SingleTxtG"/>
        <w:ind w:left="1701"/>
        <w:rPr>
          <w:lang w:val="fr-CH"/>
        </w:rPr>
      </w:pPr>
      <w:r w:rsidRPr="0071782F">
        <w:rPr>
          <w:lang w:val="fr-CH"/>
        </w:rPr>
        <w:t>371.13</w:t>
      </w:r>
      <w:r w:rsidR="000249C6" w:rsidRPr="0071782F">
        <w:rPr>
          <w:lang w:val="fr-CH"/>
        </w:rPr>
        <w:t xml:space="preserve">. </w:t>
      </w:r>
      <w:r w:rsidR="00ED2D8E" w:rsidRPr="0071782F">
        <w:rPr>
          <w:lang w:val="fr-CH"/>
        </w:rPr>
        <w:t xml:space="preserve">Plus de </w:t>
      </w:r>
      <w:r w:rsidRPr="0071782F">
        <w:rPr>
          <w:lang w:val="fr-CH"/>
        </w:rPr>
        <w:t xml:space="preserve">800 </w:t>
      </w:r>
      <w:r w:rsidR="00ED2D8E" w:rsidRPr="0071782F">
        <w:rPr>
          <w:lang w:val="fr-CH"/>
        </w:rPr>
        <w:t>enfants nomades âgés de cinq</w:t>
      </w:r>
      <w:r w:rsidR="00D82C96" w:rsidRPr="0071782F">
        <w:rPr>
          <w:lang w:val="fr-CH"/>
        </w:rPr>
        <w:t> ans</w:t>
      </w:r>
      <w:r w:rsidR="00ED2D8E" w:rsidRPr="0071782F">
        <w:rPr>
          <w:lang w:val="fr-CH"/>
        </w:rPr>
        <w:t xml:space="preserve"> ont été inscrits dans les garderies et les centres d’éducation préscolaire</w:t>
      </w:r>
      <w:r w:rsidRPr="0071782F">
        <w:rPr>
          <w:lang w:val="fr-CH"/>
        </w:rPr>
        <w:t>.</w:t>
      </w:r>
    </w:p>
    <w:p w:rsidR="00333944" w:rsidRPr="0071782F" w:rsidRDefault="00333944" w:rsidP="000249C6">
      <w:pPr>
        <w:pStyle w:val="SingleTxtG"/>
        <w:ind w:left="1701"/>
        <w:rPr>
          <w:lang w:val="fr-CH"/>
        </w:rPr>
      </w:pPr>
      <w:r w:rsidRPr="0071782F">
        <w:rPr>
          <w:lang w:val="fr-CH"/>
        </w:rPr>
        <w:t>371.14</w:t>
      </w:r>
      <w:r w:rsidR="000249C6" w:rsidRPr="0071782F">
        <w:rPr>
          <w:lang w:val="fr-CH"/>
        </w:rPr>
        <w:t xml:space="preserve">. </w:t>
      </w:r>
      <w:r w:rsidR="00ED2D8E" w:rsidRPr="0071782F">
        <w:rPr>
          <w:lang w:val="fr-CH"/>
        </w:rPr>
        <w:t xml:space="preserve">Plus de </w:t>
      </w:r>
      <w:r w:rsidRPr="0071782F">
        <w:rPr>
          <w:lang w:val="fr-CH"/>
        </w:rPr>
        <w:t>1</w:t>
      </w:r>
      <w:r w:rsidR="00816714">
        <w:rPr>
          <w:lang w:val="fr-CH"/>
        </w:rPr>
        <w:t> </w:t>
      </w:r>
      <w:r w:rsidRPr="0071782F">
        <w:rPr>
          <w:lang w:val="fr-CH"/>
        </w:rPr>
        <w:t xml:space="preserve">000 </w:t>
      </w:r>
      <w:r w:rsidR="00ED2D8E" w:rsidRPr="0071782F">
        <w:rPr>
          <w:lang w:val="fr-CH"/>
        </w:rPr>
        <w:t>enfants nomades non scolarisés ont été inscrits dans des établissements d’enseignement secondaire du premier cycle à mi-temps.</w:t>
      </w:r>
    </w:p>
    <w:p w:rsidR="00333944" w:rsidRPr="0071782F" w:rsidRDefault="00333944" w:rsidP="000249C6">
      <w:pPr>
        <w:pStyle w:val="SingleTxtG"/>
        <w:ind w:left="1701"/>
        <w:rPr>
          <w:lang w:val="fr-CH"/>
        </w:rPr>
      </w:pPr>
      <w:r w:rsidRPr="0071782F">
        <w:rPr>
          <w:lang w:val="fr-CH"/>
        </w:rPr>
        <w:t>371.15</w:t>
      </w:r>
      <w:r w:rsidR="000249C6" w:rsidRPr="0071782F">
        <w:rPr>
          <w:lang w:val="fr-CH"/>
        </w:rPr>
        <w:t xml:space="preserve">. </w:t>
      </w:r>
      <w:r w:rsidR="00ED2D8E" w:rsidRPr="0071782F">
        <w:rPr>
          <w:lang w:val="fr-CH"/>
        </w:rPr>
        <w:t xml:space="preserve">Le </w:t>
      </w:r>
      <w:r w:rsidR="003B48A4" w:rsidRPr="0071782F">
        <w:rPr>
          <w:lang w:val="fr-CH"/>
        </w:rPr>
        <w:t>nombre</w:t>
      </w:r>
      <w:r w:rsidRPr="0071782F">
        <w:rPr>
          <w:lang w:val="fr-CH"/>
        </w:rPr>
        <w:t xml:space="preserve"> </w:t>
      </w:r>
      <w:r w:rsidR="00ED2D8E" w:rsidRPr="0071782F">
        <w:rPr>
          <w:lang w:val="fr-CH"/>
        </w:rPr>
        <w:t xml:space="preserve">des écoles secondaires du premier cycle rurales est passé à </w:t>
      </w:r>
      <w:r w:rsidRPr="0071782F">
        <w:rPr>
          <w:lang w:val="fr-CH"/>
        </w:rPr>
        <w:t>5</w:t>
      </w:r>
      <w:r w:rsidR="00F4510F" w:rsidRPr="0071782F">
        <w:rPr>
          <w:lang w:val="fr-CH"/>
        </w:rPr>
        <w:t> </w:t>
      </w:r>
      <w:r w:rsidRPr="0071782F">
        <w:rPr>
          <w:lang w:val="fr-CH"/>
        </w:rPr>
        <w:t>007.</w:t>
      </w:r>
    </w:p>
    <w:p w:rsidR="00333944" w:rsidRPr="0071782F" w:rsidRDefault="00333944" w:rsidP="000249C6">
      <w:pPr>
        <w:pStyle w:val="SingleTxtG"/>
        <w:ind w:left="1701"/>
        <w:rPr>
          <w:lang w:val="fr-CH"/>
        </w:rPr>
      </w:pPr>
      <w:r w:rsidRPr="0071782F">
        <w:rPr>
          <w:lang w:val="fr-CH"/>
        </w:rPr>
        <w:t>371.16</w:t>
      </w:r>
      <w:r w:rsidR="000249C6" w:rsidRPr="0071782F">
        <w:rPr>
          <w:lang w:val="fr-CH"/>
        </w:rPr>
        <w:t xml:space="preserve">. </w:t>
      </w:r>
      <w:r w:rsidR="00ED2D8E" w:rsidRPr="0071782F">
        <w:rPr>
          <w:lang w:val="fr-CH"/>
        </w:rPr>
        <w:t xml:space="preserve">Le téléenseignement gratuit tous niveaux confondus est à présent possible dans plus de </w:t>
      </w:r>
      <w:r w:rsidRPr="0071782F">
        <w:rPr>
          <w:lang w:val="fr-CH"/>
        </w:rPr>
        <w:t>13</w:t>
      </w:r>
      <w:r w:rsidR="00816714">
        <w:rPr>
          <w:lang w:val="fr-CH"/>
        </w:rPr>
        <w:t> </w:t>
      </w:r>
      <w:r w:rsidRPr="0071782F">
        <w:rPr>
          <w:lang w:val="fr-CH"/>
        </w:rPr>
        <w:t xml:space="preserve">000 villages </w:t>
      </w:r>
      <w:r w:rsidR="00ED2D8E" w:rsidRPr="0071782F">
        <w:rPr>
          <w:lang w:val="fr-CH"/>
        </w:rPr>
        <w:t>des zones défavorisées</w:t>
      </w:r>
      <w:r w:rsidRPr="0071782F">
        <w:rPr>
          <w:lang w:val="fr-CH"/>
        </w:rPr>
        <w:t>.</w:t>
      </w:r>
    </w:p>
    <w:p w:rsidR="00333944" w:rsidRPr="0071782F" w:rsidRDefault="00333944" w:rsidP="000249C6">
      <w:pPr>
        <w:pStyle w:val="SingleTxtG"/>
        <w:ind w:left="1701"/>
        <w:rPr>
          <w:lang w:val="fr-CH"/>
        </w:rPr>
      </w:pPr>
      <w:r w:rsidRPr="0071782F">
        <w:rPr>
          <w:lang w:val="fr-CH"/>
        </w:rPr>
        <w:t>371.17</w:t>
      </w:r>
      <w:r w:rsidR="000249C6" w:rsidRPr="0071782F">
        <w:rPr>
          <w:lang w:val="fr-CH"/>
        </w:rPr>
        <w:t xml:space="preserve">. </w:t>
      </w:r>
      <w:r w:rsidR="00221A72" w:rsidRPr="0071782F">
        <w:rPr>
          <w:lang w:val="fr-CH"/>
        </w:rPr>
        <w:t>Des plans de cohésion ont permis d’étendre la couverture éducative à 70</w:t>
      </w:r>
      <w:r w:rsidR="007E5125" w:rsidRPr="0071782F">
        <w:rPr>
          <w:lang w:val="fr-CH"/>
        </w:rPr>
        <w:t>%</w:t>
      </w:r>
      <w:r w:rsidR="00221A72" w:rsidRPr="0071782F">
        <w:rPr>
          <w:lang w:val="fr-CH"/>
        </w:rPr>
        <w:t xml:space="preserve"> des villages iraniens</w:t>
      </w:r>
      <w:r w:rsidRPr="0071782F">
        <w:rPr>
          <w:lang w:val="fr-CH"/>
        </w:rPr>
        <w:t>.</w:t>
      </w:r>
    </w:p>
    <w:p w:rsidR="00333944" w:rsidRPr="0071782F" w:rsidRDefault="00333944" w:rsidP="000249C6">
      <w:pPr>
        <w:pStyle w:val="SingleTxtG"/>
        <w:ind w:left="1701"/>
        <w:rPr>
          <w:lang w:val="fr-CH"/>
        </w:rPr>
      </w:pPr>
      <w:r w:rsidRPr="0071782F">
        <w:rPr>
          <w:lang w:val="fr-CH"/>
        </w:rPr>
        <w:t>371.18</w:t>
      </w:r>
      <w:r w:rsidR="000249C6" w:rsidRPr="0071782F">
        <w:rPr>
          <w:lang w:val="fr-CH"/>
        </w:rPr>
        <w:t xml:space="preserve">. </w:t>
      </w:r>
      <w:r w:rsidR="00221A72" w:rsidRPr="0071782F">
        <w:rPr>
          <w:lang w:val="fr-CH"/>
        </w:rPr>
        <w:t xml:space="preserve">Il existe actuellement </w:t>
      </w:r>
      <w:r w:rsidRPr="0071782F">
        <w:rPr>
          <w:lang w:val="fr-CH"/>
        </w:rPr>
        <w:t>1</w:t>
      </w:r>
      <w:r w:rsidR="00816714">
        <w:rPr>
          <w:lang w:val="fr-CH"/>
        </w:rPr>
        <w:t> </w:t>
      </w:r>
      <w:r w:rsidRPr="0071782F">
        <w:rPr>
          <w:lang w:val="fr-CH"/>
        </w:rPr>
        <w:t xml:space="preserve">300 </w:t>
      </w:r>
      <w:r w:rsidR="00221A72" w:rsidRPr="0071782F">
        <w:rPr>
          <w:lang w:val="fr-CH"/>
        </w:rPr>
        <w:t xml:space="preserve">centres de téléapprentissage, dont </w:t>
      </w:r>
      <w:r w:rsidRPr="0071782F">
        <w:rPr>
          <w:lang w:val="fr-CH"/>
        </w:rPr>
        <w:t>90</w:t>
      </w:r>
      <w:r w:rsidR="007E5125" w:rsidRPr="0071782F">
        <w:rPr>
          <w:lang w:val="fr-CH"/>
        </w:rPr>
        <w:t>%</w:t>
      </w:r>
      <w:r w:rsidR="00221A72" w:rsidRPr="0071782F">
        <w:rPr>
          <w:lang w:val="fr-CH"/>
        </w:rPr>
        <w:t xml:space="preserve"> dans les régions défavorisées</w:t>
      </w:r>
      <w:r w:rsidRPr="0071782F">
        <w:rPr>
          <w:lang w:val="fr-CH"/>
        </w:rPr>
        <w:t>.</w:t>
      </w:r>
    </w:p>
    <w:p w:rsidR="00333944" w:rsidRPr="0071782F" w:rsidRDefault="00333944" w:rsidP="000249C6">
      <w:pPr>
        <w:pStyle w:val="SingleTxtG"/>
        <w:ind w:left="1701"/>
        <w:rPr>
          <w:lang w:val="fr-CH"/>
        </w:rPr>
      </w:pPr>
      <w:r w:rsidRPr="0071782F">
        <w:rPr>
          <w:lang w:val="fr-CH"/>
        </w:rPr>
        <w:t>371.19</w:t>
      </w:r>
      <w:r w:rsidR="000249C6" w:rsidRPr="0071782F">
        <w:rPr>
          <w:lang w:val="fr-CH"/>
        </w:rPr>
        <w:t xml:space="preserve">. </w:t>
      </w:r>
      <w:r w:rsidR="00221A72" w:rsidRPr="0071782F">
        <w:rPr>
          <w:lang w:val="fr-CH"/>
        </w:rPr>
        <w:t xml:space="preserve">À ce jour, le Centre de téléenseignement a produit </w:t>
      </w:r>
      <w:r w:rsidRPr="0071782F">
        <w:rPr>
          <w:lang w:val="fr-CH"/>
        </w:rPr>
        <w:t xml:space="preserve">210 </w:t>
      </w:r>
      <w:r w:rsidR="00221A72" w:rsidRPr="0071782F">
        <w:rPr>
          <w:lang w:val="fr-CH"/>
        </w:rPr>
        <w:t>logiciels et films éducatifs</w:t>
      </w:r>
      <w:r w:rsidRPr="0071782F">
        <w:rPr>
          <w:lang w:val="fr-CH"/>
        </w:rPr>
        <w:t>.</w:t>
      </w:r>
    </w:p>
    <w:p w:rsidR="00333944" w:rsidRPr="0071782F" w:rsidRDefault="00333944" w:rsidP="000249C6">
      <w:pPr>
        <w:pStyle w:val="SingleTxtG"/>
        <w:ind w:left="1701"/>
        <w:rPr>
          <w:lang w:val="fr-CH"/>
        </w:rPr>
      </w:pPr>
      <w:r w:rsidRPr="0071782F">
        <w:rPr>
          <w:lang w:val="fr-CH"/>
        </w:rPr>
        <w:t>371.20</w:t>
      </w:r>
      <w:r w:rsidR="000249C6" w:rsidRPr="0071782F">
        <w:rPr>
          <w:lang w:val="fr-CH"/>
        </w:rPr>
        <w:t xml:space="preserve">. </w:t>
      </w:r>
      <w:r w:rsidR="002A4937" w:rsidRPr="0071782F">
        <w:rPr>
          <w:lang w:val="fr-CH"/>
        </w:rPr>
        <w:t>La création de 685 nouveaux centres de télé</w:t>
      </w:r>
      <w:r w:rsidR="0065606C" w:rsidRPr="0071782F">
        <w:rPr>
          <w:lang w:val="fr-CH"/>
        </w:rPr>
        <w:t xml:space="preserve">apprentissage </w:t>
      </w:r>
      <w:r w:rsidR="002A4937" w:rsidRPr="0071782F">
        <w:rPr>
          <w:lang w:val="fr-CH"/>
        </w:rPr>
        <w:t>a été autorisée.</w:t>
      </w:r>
    </w:p>
    <w:p w:rsidR="00333944" w:rsidRPr="0071782F" w:rsidRDefault="00333944" w:rsidP="00333944">
      <w:pPr>
        <w:pStyle w:val="H23G"/>
        <w:rPr>
          <w:lang w:val="fr-CH"/>
        </w:rPr>
      </w:pPr>
      <w:r w:rsidRPr="0071782F">
        <w:rPr>
          <w:lang w:val="fr-CH"/>
        </w:rPr>
        <w:tab/>
      </w:r>
      <w:r w:rsidRPr="0071782F">
        <w:rPr>
          <w:lang w:val="fr-CH"/>
        </w:rPr>
        <w:tab/>
      </w:r>
      <w:r w:rsidR="002A4937" w:rsidRPr="0071782F">
        <w:rPr>
          <w:lang w:val="fr-CH"/>
        </w:rPr>
        <w:t xml:space="preserve">Recherche dans le domaine de l’éducation et planification de l’éducation </w:t>
      </w:r>
    </w:p>
    <w:p w:rsidR="00333944" w:rsidRPr="0071782F" w:rsidRDefault="00333944" w:rsidP="00F4510F">
      <w:pPr>
        <w:pStyle w:val="SingleTxtG"/>
        <w:rPr>
          <w:lang w:val="fr-CH"/>
        </w:rPr>
      </w:pPr>
      <w:r w:rsidRPr="0071782F">
        <w:rPr>
          <w:lang w:val="fr-CH"/>
        </w:rPr>
        <w:t>372.</w:t>
      </w:r>
      <w:r w:rsidRPr="0071782F">
        <w:rPr>
          <w:lang w:val="fr-CH"/>
        </w:rPr>
        <w:tab/>
      </w:r>
      <w:r w:rsidR="0065606C" w:rsidRPr="0071782F">
        <w:rPr>
          <w:lang w:val="fr-CH"/>
        </w:rPr>
        <w:t>À ce sujet, il convient de noter ce qui suit</w:t>
      </w:r>
      <w:r w:rsidR="008F7D33" w:rsidRPr="0071782F">
        <w:rPr>
          <w:lang w:val="fr-CH"/>
        </w:rPr>
        <w:t>:</w:t>
      </w:r>
    </w:p>
    <w:p w:rsidR="00333944" w:rsidRPr="0071782F" w:rsidRDefault="00333944" w:rsidP="00F4510F">
      <w:pPr>
        <w:pStyle w:val="SingleTxtG"/>
        <w:ind w:left="1701"/>
        <w:rPr>
          <w:lang w:val="fr-CH"/>
        </w:rPr>
      </w:pPr>
      <w:r w:rsidRPr="0071782F">
        <w:rPr>
          <w:lang w:val="fr-CH"/>
        </w:rPr>
        <w:t>372.1</w:t>
      </w:r>
      <w:r w:rsidR="00CC4D09" w:rsidRPr="0071782F">
        <w:rPr>
          <w:lang w:val="fr-CH"/>
        </w:rPr>
        <w:t>.</w:t>
      </w:r>
      <w:r w:rsidRPr="0071782F">
        <w:rPr>
          <w:lang w:val="fr-CH"/>
        </w:rPr>
        <w:tab/>
      </w:r>
      <w:r w:rsidR="002A4937" w:rsidRPr="0071782F">
        <w:rPr>
          <w:lang w:val="fr-CH"/>
        </w:rPr>
        <w:t xml:space="preserve">Le </w:t>
      </w:r>
      <w:r w:rsidR="003B48A4" w:rsidRPr="0071782F">
        <w:rPr>
          <w:lang w:val="fr-CH"/>
        </w:rPr>
        <w:t>nombre</w:t>
      </w:r>
      <w:r w:rsidRPr="0071782F">
        <w:rPr>
          <w:lang w:val="fr-CH"/>
        </w:rPr>
        <w:t xml:space="preserve"> </w:t>
      </w:r>
      <w:r w:rsidR="002A4937" w:rsidRPr="0071782F">
        <w:rPr>
          <w:lang w:val="fr-CH"/>
        </w:rPr>
        <w:t xml:space="preserve">de centres de recherche en éducation est passé de </w:t>
      </w:r>
      <w:r w:rsidRPr="0071782F">
        <w:rPr>
          <w:lang w:val="fr-CH"/>
        </w:rPr>
        <w:t xml:space="preserve">150 </w:t>
      </w:r>
      <w:r w:rsidR="002A4937" w:rsidRPr="0071782F">
        <w:rPr>
          <w:lang w:val="fr-CH"/>
        </w:rPr>
        <w:t>à</w:t>
      </w:r>
      <w:r w:rsidRPr="0071782F">
        <w:rPr>
          <w:lang w:val="fr-CH"/>
        </w:rPr>
        <w:t xml:space="preserve"> 270.</w:t>
      </w:r>
    </w:p>
    <w:p w:rsidR="00333944" w:rsidRPr="0071782F" w:rsidRDefault="00333944" w:rsidP="00F4510F">
      <w:pPr>
        <w:pStyle w:val="SingleTxtG"/>
        <w:ind w:left="1701"/>
        <w:rPr>
          <w:lang w:val="fr-CH"/>
        </w:rPr>
      </w:pPr>
      <w:r w:rsidRPr="0071782F">
        <w:rPr>
          <w:lang w:val="fr-CH"/>
        </w:rPr>
        <w:t>372.2</w:t>
      </w:r>
      <w:r w:rsidR="00CC4D09" w:rsidRPr="0071782F">
        <w:rPr>
          <w:lang w:val="fr-CH"/>
        </w:rPr>
        <w:t>.</w:t>
      </w:r>
      <w:r w:rsidRPr="0071782F">
        <w:rPr>
          <w:lang w:val="fr-CH"/>
        </w:rPr>
        <w:tab/>
      </w:r>
      <w:r w:rsidR="002A4937" w:rsidRPr="0071782F">
        <w:rPr>
          <w:lang w:val="fr-CH"/>
        </w:rPr>
        <w:t xml:space="preserve">L’Organisme de recherche et les provinces ont mis en service </w:t>
      </w:r>
      <w:r w:rsidRPr="0071782F">
        <w:rPr>
          <w:lang w:val="fr-CH"/>
        </w:rPr>
        <w:t>250</w:t>
      </w:r>
      <w:r w:rsidR="00F4510F" w:rsidRPr="0071782F">
        <w:rPr>
          <w:lang w:val="fr-CH"/>
        </w:rPr>
        <w:t> </w:t>
      </w:r>
      <w:r w:rsidR="002A4937" w:rsidRPr="0071782F">
        <w:rPr>
          <w:lang w:val="fr-CH"/>
        </w:rPr>
        <w:t xml:space="preserve">laboratoires d’informatique centralisés et </w:t>
      </w:r>
      <w:r w:rsidRPr="0071782F">
        <w:rPr>
          <w:lang w:val="fr-CH"/>
        </w:rPr>
        <w:t xml:space="preserve">150 </w:t>
      </w:r>
      <w:r w:rsidR="002A4937" w:rsidRPr="0071782F">
        <w:rPr>
          <w:lang w:val="fr-CH"/>
        </w:rPr>
        <w:t>laboratoires d’informatique décentralisés, respectivement</w:t>
      </w:r>
      <w:r w:rsidRPr="0071782F">
        <w:rPr>
          <w:lang w:val="fr-CH"/>
        </w:rPr>
        <w:t>.</w:t>
      </w:r>
    </w:p>
    <w:p w:rsidR="00333944" w:rsidRPr="0071782F" w:rsidRDefault="00333944" w:rsidP="00F4510F">
      <w:pPr>
        <w:pStyle w:val="SingleTxtG"/>
        <w:ind w:left="1701"/>
        <w:rPr>
          <w:lang w:val="fr-CH"/>
        </w:rPr>
      </w:pPr>
      <w:r w:rsidRPr="0071782F">
        <w:rPr>
          <w:lang w:val="fr-CH"/>
        </w:rPr>
        <w:t>372.3</w:t>
      </w:r>
      <w:r w:rsidR="00CC4D09" w:rsidRPr="0071782F">
        <w:rPr>
          <w:lang w:val="fr-CH"/>
        </w:rPr>
        <w:t>.</w:t>
      </w:r>
      <w:r w:rsidRPr="0071782F">
        <w:rPr>
          <w:lang w:val="fr-CH"/>
        </w:rPr>
        <w:tab/>
      </w:r>
      <w:r w:rsidR="002A4937" w:rsidRPr="0071782F">
        <w:rPr>
          <w:lang w:val="fr-CH"/>
        </w:rPr>
        <w:t>Le cadre de planification de l’éducation a été étudié et adopté</w:t>
      </w:r>
      <w:r w:rsidRPr="0071782F">
        <w:rPr>
          <w:lang w:val="fr-CH"/>
        </w:rPr>
        <w:t>.</w:t>
      </w:r>
    </w:p>
    <w:p w:rsidR="00333944" w:rsidRPr="0071782F" w:rsidRDefault="00333944" w:rsidP="00F4510F">
      <w:pPr>
        <w:pStyle w:val="SingleTxtG"/>
        <w:ind w:left="1701"/>
        <w:rPr>
          <w:lang w:val="fr-CH"/>
        </w:rPr>
      </w:pPr>
      <w:r w:rsidRPr="0071782F">
        <w:rPr>
          <w:lang w:val="fr-CH"/>
        </w:rPr>
        <w:t>372.4</w:t>
      </w:r>
      <w:r w:rsidR="00CC4D09" w:rsidRPr="0071782F">
        <w:rPr>
          <w:lang w:val="fr-CH"/>
        </w:rPr>
        <w:t>.</w:t>
      </w:r>
      <w:r w:rsidRPr="0071782F">
        <w:rPr>
          <w:lang w:val="fr-CH"/>
        </w:rPr>
        <w:tab/>
      </w:r>
      <w:r w:rsidR="002A4937" w:rsidRPr="0071782F">
        <w:rPr>
          <w:lang w:val="fr-CH"/>
        </w:rPr>
        <w:t>Le Ministère de l’éducation a élaboré le document sur les technologies de l’information et de la communication, qui a été approuvé par le Haut Conseil de l’éducation</w:t>
      </w:r>
      <w:r w:rsidRPr="0071782F">
        <w:rPr>
          <w:lang w:val="fr-CH"/>
        </w:rPr>
        <w:t>.</w:t>
      </w:r>
    </w:p>
    <w:p w:rsidR="00333944" w:rsidRPr="0071782F" w:rsidRDefault="00333944" w:rsidP="00F4510F">
      <w:pPr>
        <w:pStyle w:val="SingleTxtG"/>
        <w:ind w:left="1701"/>
        <w:rPr>
          <w:lang w:val="fr-CH"/>
        </w:rPr>
      </w:pPr>
      <w:r w:rsidRPr="0071782F">
        <w:rPr>
          <w:lang w:val="fr-CH"/>
        </w:rPr>
        <w:t>372.5</w:t>
      </w:r>
      <w:r w:rsidR="00CC4D09" w:rsidRPr="0071782F">
        <w:rPr>
          <w:lang w:val="fr-CH"/>
        </w:rPr>
        <w:t>.</w:t>
      </w:r>
      <w:r w:rsidRPr="0071782F">
        <w:rPr>
          <w:lang w:val="fr-CH"/>
        </w:rPr>
        <w:tab/>
      </w:r>
      <w:r w:rsidR="002A4937" w:rsidRPr="0071782F">
        <w:rPr>
          <w:lang w:val="fr-CH"/>
        </w:rPr>
        <w:t xml:space="preserve">Pendant l’année scolaire 2006-2007, on a organisé le deuxième festival de la recherche menée par les écoliers, lors duquel plus de </w:t>
      </w:r>
      <w:r w:rsidRPr="0071782F">
        <w:rPr>
          <w:lang w:val="fr-CH"/>
        </w:rPr>
        <w:t>5</w:t>
      </w:r>
      <w:r w:rsidR="00F4510F" w:rsidRPr="0071782F">
        <w:rPr>
          <w:lang w:val="fr-CH"/>
        </w:rPr>
        <w:t> </w:t>
      </w:r>
      <w:r w:rsidRPr="0071782F">
        <w:rPr>
          <w:lang w:val="fr-CH"/>
        </w:rPr>
        <w:t>000</w:t>
      </w:r>
      <w:r w:rsidR="00F4510F" w:rsidRPr="0071782F">
        <w:rPr>
          <w:lang w:val="fr-CH"/>
        </w:rPr>
        <w:t> </w:t>
      </w:r>
      <w:r w:rsidRPr="0071782F">
        <w:rPr>
          <w:lang w:val="fr-CH"/>
        </w:rPr>
        <w:t>articles, r</w:t>
      </w:r>
      <w:r w:rsidR="002A4937" w:rsidRPr="0071782F">
        <w:rPr>
          <w:lang w:val="fr-CH"/>
        </w:rPr>
        <w:t>ap</w:t>
      </w:r>
      <w:r w:rsidRPr="0071782F">
        <w:rPr>
          <w:lang w:val="fr-CH"/>
        </w:rPr>
        <w:t>ports</w:t>
      </w:r>
      <w:r w:rsidR="002A4937" w:rsidRPr="0071782F">
        <w:rPr>
          <w:lang w:val="fr-CH"/>
        </w:rPr>
        <w:t xml:space="preserve"> et projets de recherche</w:t>
      </w:r>
      <w:r w:rsidRPr="0071782F">
        <w:rPr>
          <w:lang w:val="fr-CH"/>
        </w:rPr>
        <w:t xml:space="preserve"> </w:t>
      </w:r>
      <w:r w:rsidR="002A4937" w:rsidRPr="0071782F">
        <w:rPr>
          <w:lang w:val="fr-CH"/>
        </w:rPr>
        <w:t>ont été présentés par des élèves de l’enseignement secondaire et préuniversitaire</w:t>
      </w:r>
      <w:r w:rsidRPr="0071782F">
        <w:rPr>
          <w:lang w:val="fr-CH"/>
        </w:rPr>
        <w:t>.</w:t>
      </w:r>
    </w:p>
    <w:p w:rsidR="00333944" w:rsidRPr="0071782F" w:rsidRDefault="00333944" w:rsidP="00F4510F">
      <w:pPr>
        <w:pStyle w:val="SingleTxtG"/>
        <w:ind w:left="1701"/>
        <w:rPr>
          <w:lang w:val="fr-CH"/>
        </w:rPr>
      </w:pPr>
      <w:r w:rsidRPr="0071782F">
        <w:rPr>
          <w:lang w:val="fr-CH"/>
        </w:rPr>
        <w:t>372.6</w:t>
      </w:r>
      <w:r w:rsidR="00CC4D09" w:rsidRPr="0071782F">
        <w:rPr>
          <w:lang w:val="fr-CH"/>
        </w:rPr>
        <w:t>.</w:t>
      </w:r>
      <w:r w:rsidRPr="0071782F">
        <w:rPr>
          <w:lang w:val="fr-CH"/>
        </w:rPr>
        <w:tab/>
        <w:t>Plan</w:t>
      </w:r>
      <w:r w:rsidR="00CF3133" w:rsidRPr="0071782F">
        <w:rPr>
          <w:lang w:val="fr-CH"/>
        </w:rPr>
        <w:t xml:space="preserve">ification et préparation des mesures préliminaires concernant l’exécution du Programme de compilation multiple, en </w:t>
      </w:r>
      <w:r w:rsidRPr="0071782F">
        <w:rPr>
          <w:lang w:val="fr-CH"/>
        </w:rPr>
        <w:t xml:space="preserve">collaboration </w:t>
      </w:r>
      <w:r w:rsidR="00CF3133" w:rsidRPr="0071782F">
        <w:rPr>
          <w:lang w:val="fr-CH"/>
        </w:rPr>
        <w:t xml:space="preserve">avec le secteur privé et </w:t>
      </w:r>
      <w:r w:rsidR="00D82C96" w:rsidRPr="0071782F">
        <w:rPr>
          <w:lang w:val="fr-CH"/>
        </w:rPr>
        <w:t>de personnes</w:t>
      </w:r>
      <w:r w:rsidR="00CF3133" w:rsidRPr="0071782F">
        <w:rPr>
          <w:lang w:val="fr-CH"/>
        </w:rPr>
        <w:t xml:space="preserve"> physiques et morales. </w:t>
      </w:r>
    </w:p>
    <w:p w:rsidR="00333944" w:rsidRPr="0071782F" w:rsidRDefault="00333944" w:rsidP="00F4510F">
      <w:pPr>
        <w:pStyle w:val="SingleTxtG"/>
        <w:ind w:left="1701"/>
        <w:rPr>
          <w:lang w:val="fr-CH"/>
        </w:rPr>
      </w:pPr>
      <w:r w:rsidRPr="0071782F">
        <w:rPr>
          <w:lang w:val="fr-CH"/>
        </w:rPr>
        <w:t>372.7</w:t>
      </w:r>
      <w:r w:rsidR="00CC4D09" w:rsidRPr="0071782F">
        <w:rPr>
          <w:lang w:val="fr-CH"/>
        </w:rPr>
        <w:t>.</w:t>
      </w:r>
      <w:r w:rsidRPr="0071782F">
        <w:rPr>
          <w:lang w:val="fr-CH"/>
        </w:rPr>
        <w:tab/>
      </w:r>
      <w:r w:rsidR="00CF3133" w:rsidRPr="0071782F">
        <w:rPr>
          <w:lang w:val="fr-CH"/>
        </w:rPr>
        <w:t xml:space="preserve">Évaluation de l’évolution des programmes d’études concernant les disciplines de spécialisation </w:t>
      </w:r>
      <w:r w:rsidRPr="0071782F">
        <w:rPr>
          <w:lang w:val="fr-CH"/>
        </w:rPr>
        <w:t>scien</w:t>
      </w:r>
      <w:r w:rsidR="00CF3133" w:rsidRPr="0071782F">
        <w:rPr>
          <w:lang w:val="fr-CH"/>
        </w:rPr>
        <w:t>tifiques et techniques de l’enseignement secondaire du second cycle</w:t>
      </w:r>
      <w:r w:rsidRPr="0071782F">
        <w:rPr>
          <w:lang w:val="fr-CH"/>
        </w:rPr>
        <w:t>.</w:t>
      </w:r>
    </w:p>
    <w:p w:rsidR="00333944" w:rsidRPr="0071782F" w:rsidRDefault="00333944" w:rsidP="00F4510F">
      <w:pPr>
        <w:pStyle w:val="SingleTxtG"/>
        <w:ind w:left="1701"/>
        <w:rPr>
          <w:lang w:val="fr-CH"/>
        </w:rPr>
      </w:pPr>
      <w:r w:rsidRPr="0071782F">
        <w:rPr>
          <w:lang w:val="fr-CH"/>
        </w:rPr>
        <w:t>372.8</w:t>
      </w:r>
      <w:r w:rsidR="00CC4D09" w:rsidRPr="0071782F">
        <w:rPr>
          <w:lang w:val="fr-CH"/>
        </w:rPr>
        <w:t>.</w:t>
      </w:r>
      <w:r w:rsidRPr="0071782F">
        <w:rPr>
          <w:lang w:val="fr-CH"/>
        </w:rPr>
        <w:tab/>
      </w:r>
      <w:r w:rsidR="00CF3133" w:rsidRPr="0071782F">
        <w:rPr>
          <w:lang w:val="fr-CH"/>
        </w:rPr>
        <w:t>Création du premier module d’éducation préscolaire basé sur une approche éclectique</w:t>
      </w:r>
      <w:r w:rsidRPr="0071782F">
        <w:rPr>
          <w:lang w:val="fr-CH"/>
        </w:rPr>
        <w:t>.</w:t>
      </w:r>
    </w:p>
    <w:p w:rsidR="00333944" w:rsidRPr="0071782F" w:rsidRDefault="00333944" w:rsidP="00F4510F">
      <w:pPr>
        <w:pStyle w:val="SingleTxtG"/>
        <w:ind w:left="1701"/>
        <w:rPr>
          <w:lang w:val="fr-CH"/>
        </w:rPr>
      </w:pPr>
      <w:r w:rsidRPr="0071782F">
        <w:rPr>
          <w:lang w:val="fr-CH"/>
        </w:rPr>
        <w:t>372.9</w:t>
      </w:r>
      <w:r w:rsidR="00CC4D09" w:rsidRPr="0071782F">
        <w:rPr>
          <w:lang w:val="fr-CH"/>
        </w:rPr>
        <w:t>.</w:t>
      </w:r>
      <w:r w:rsidRPr="0071782F">
        <w:rPr>
          <w:lang w:val="fr-CH"/>
        </w:rPr>
        <w:tab/>
      </w:r>
      <w:r w:rsidR="00CF3133" w:rsidRPr="0071782F">
        <w:rPr>
          <w:lang w:val="fr-CH"/>
        </w:rPr>
        <w:t>Organis</w:t>
      </w:r>
      <w:r w:rsidRPr="0071782F">
        <w:rPr>
          <w:lang w:val="fr-CH"/>
        </w:rPr>
        <w:t xml:space="preserve">ation </w:t>
      </w:r>
      <w:r w:rsidR="00CF3133" w:rsidRPr="0071782F">
        <w:rPr>
          <w:lang w:val="fr-CH"/>
        </w:rPr>
        <w:t>de quatre festivals de cinéma éducatif et formateur</w:t>
      </w:r>
      <w:r w:rsidRPr="0071782F">
        <w:rPr>
          <w:lang w:val="fr-CH"/>
        </w:rPr>
        <w:t>.</w:t>
      </w:r>
    </w:p>
    <w:p w:rsidR="00333944" w:rsidRPr="0071782F" w:rsidRDefault="00333944" w:rsidP="00F4510F">
      <w:pPr>
        <w:pStyle w:val="SingleTxtG"/>
        <w:ind w:left="1701"/>
        <w:rPr>
          <w:lang w:val="fr-CH"/>
        </w:rPr>
      </w:pPr>
      <w:r w:rsidRPr="0071782F">
        <w:rPr>
          <w:lang w:val="fr-CH"/>
        </w:rPr>
        <w:t>372.10</w:t>
      </w:r>
      <w:r w:rsidR="00CC4D09" w:rsidRPr="0071782F">
        <w:rPr>
          <w:lang w:val="fr-CH"/>
        </w:rPr>
        <w:t xml:space="preserve">. </w:t>
      </w:r>
      <w:r w:rsidR="00CF3133" w:rsidRPr="0071782F">
        <w:rPr>
          <w:lang w:val="fr-CH"/>
        </w:rPr>
        <w:t>Conception, planification et exécution du programme concernant la création de l’Organisation afghane de recherche et de planification.</w:t>
      </w:r>
    </w:p>
    <w:p w:rsidR="00333944" w:rsidRPr="0071782F" w:rsidRDefault="00333944" w:rsidP="000249C6">
      <w:pPr>
        <w:pStyle w:val="SingleTxtG"/>
        <w:ind w:left="1701"/>
        <w:rPr>
          <w:lang w:val="fr-CH"/>
        </w:rPr>
      </w:pPr>
      <w:r w:rsidRPr="0071782F">
        <w:rPr>
          <w:lang w:val="fr-CH"/>
        </w:rPr>
        <w:t>372.11</w:t>
      </w:r>
      <w:r w:rsidR="00CC4D09" w:rsidRPr="0071782F">
        <w:rPr>
          <w:lang w:val="fr-CH"/>
        </w:rPr>
        <w:t xml:space="preserve">. </w:t>
      </w:r>
      <w:r w:rsidR="00CF3133" w:rsidRPr="0071782F">
        <w:rPr>
          <w:lang w:val="fr-CH"/>
        </w:rPr>
        <w:t xml:space="preserve">Mise en place de cinq nouveaux services électroniques du Réseau de développement, en particulier le Centre électronique d’éducation coranique, le Centre de </w:t>
      </w:r>
      <w:r w:rsidRPr="0071782F">
        <w:rPr>
          <w:lang w:val="fr-CH"/>
        </w:rPr>
        <w:t xml:space="preserve">consultation </w:t>
      </w:r>
      <w:r w:rsidR="00CF3133" w:rsidRPr="0071782F">
        <w:rPr>
          <w:lang w:val="fr-CH"/>
        </w:rPr>
        <w:t>électronique</w:t>
      </w:r>
      <w:r w:rsidRPr="0071782F">
        <w:rPr>
          <w:lang w:val="fr-CH"/>
        </w:rPr>
        <w:t xml:space="preserve">, </w:t>
      </w:r>
      <w:r w:rsidR="00CF3133" w:rsidRPr="0071782F">
        <w:rPr>
          <w:lang w:val="fr-CH"/>
        </w:rPr>
        <w:t>des groupes éducatifs et la bibliothèque numérique</w:t>
      </w:r>
      <w:r w:rsidRPr="0071782F">
        <w:rPr>
          <w:lang w:val="fr-CH"/>
        </w:rPr>
        <w:t>.</w:t>
      </w:r>
    </w:p>
    <w:p w:rsidR="00333944" w:rsidRPr="0071782F" w:rsidRDefault="00333944" w:rsidP="000249C6">
      <w:pPr>
        <w:pStyle w:val="SingleTxtG"/>
        <w:ind w:left="1701"/>
        <w:rPr>
          <w:lang w:val="fr-CH"/>
        </w:rPr>
      </w:pPr>
      <w:r w:rsidRPr="0071782F">
        <w:rPr>
          <w:lang w:val="fr-CH"/>
        </w:rPr>
        <w:t>372.12</w:t>
      </w:r>
      <w:r w:rsidR="00CC4D09" w:rsidRPr="0071782F">
        <w:rPr>
          <w:lang w:val="fr-CH"/>
        </w:rPr>
        <w:t xml:space="preserve">. </w:t>
      </w:r>
      <w:r w:rsidR="00CF3133" w:rsidRPr="0071782F">
        <w:rPr>
          <w:lang w:val="fr-CH"/>
        </w:rPr>
        <w:t>On a mis en route plus de 50 programmes dans des domaines tels que</w:t>
      </w:r>
      <w:r w:rsidR="00D36718">
        <w:rPr>
          <w:lang w:val="fr-CH"/>
        </w:rPr>
        <w:t xml:space="preserve"> </w:t>
      </w:r>
      <w:r w:rsidR="00CF3133" w:rsidRPr="0071782F">
        <w:rPr>
          <w:lang w:val="fr-CH"/>
        </w:rPr>
        <w:t>l’esthétique des écoliers, la méthode de motivation des écoliers et l’analyse des causes des problèmes d’apprentissage</w:t>
      </w:r>
      <w:r w:rsidRPr="0071782F">
        <w:rPr>
          <w:lang w:val="fr-CH"/>
        </w:rPr>
        <w:t>.</w:t>
      </w:r>
    </w:p>
    <w:p w:rsidR="00333944" w:rsidRPr="0071782F" w:rsidRDefault="00333944" w:rsidP="000249C6">
      <w:pPr>
        <w:pStyle w:val="SingleTxtG"/>
        <w:ind w:left="1701"/>
        <w:rPr>
          <w:lang w:val="fr-CH"/>
        </w:rPr>
      </w:pPr>
      <w:r w:rsidRPr="0071782F">
        <w:rPr>
          <w:lang w:val="fr-CH"/>
        </w:rPr>
        <w:t>372.13</w:t>
      </w:r>
      <w:r w:rsidR="00CC4D09" w:rsidRPr="0071782F">
        <w:rPr>
          <w:lang w:val="fr-CH"/>
        </w:rPr>
        <w:t xml:space="preserve">. </w:t>
      </w:r>
      <w:r w:rsidR="009B59F2" w:rsidRPr="0071782F">
        <w:rPr>
          <w:lang w:val="fr-CH"/>
        </w:rPr>
        <w:t xml:space="preserve">Chaque année scolaire, on élabore, publie et distribue environ </w:t>
      </w:r>
      <w:r w:rsidRPr="0071782F">
        <w:rPr>
          <w:lang w:val="fr-CH"/>
        </w:rPr>
        <w:t>170</w:t>
      </w:r>
      <w:r w:rsidR="00097CDB" w:rsidRPr="0071782F">
        <w:rPr>
          <w:lang w:val="fr-CH"/>
        </w:rPr>
        <w:t> millions</w:t>
      </w:r>
      <w:r w:rsidRPr="0071782F">
        <w:rPr>
          <w:lang w:val="fr-CH"/>
        </w:rPr>
        <w:t xml:space="preserve"> </w:t>
      </w:r>
      <w:r w:rsidR="009B59F2" w:rsidRPr="0071782F">
        <w:rPr>
          <w:lang w:val="fr-CH"/>
        </w:rPr>
        <w:t xml:space="preserve">de manuels portant sur quelque </w:t>
      </w:r>
      <w:r w:rsidRPr="0071782F">
        <w:rPr>
          <w:lang w:val="fr-CH"/>
        </w:rPr>
        <w:t xml:space="preserve">900 </w:t>
      </w:r>
      <w:r w:rsidR="009B59F2" w:rsidRPr="0071782F">
        <w:rPr>
          <w:lang w:val="fr-CH"/>
        </w:rPr>
        <w:t>matières</w:t>
      </w:r>
      <w:r w:rsidRPr="0071782F">
        <w:rPr>
          <w:lang w:val="fr-CH"/>
        </w:rPr>
        <w:t>.</w:t>
      </w:r>
    </w:p>
    <w:p w:rsidR="00333944" w:rsidRPr="0071782F" w:rsidRDefault="00333944" w:rsidP="000249C6">
      <w:pPr>
        <w:pStyle w:val="SingleTxtG"/>
        <w:ind w:left="1701"/>
        <w:rPr>
          <w:lang w:val="fr-CH"/>
        </w:rPr>
      </w:pPr>
      <w:r w:rsidRPr="0071782F">
        <w:rPr>
          <w:lang w:val="fr-CH"/>
        </w:rPr>
        <w:t>372.14</w:t>
      </w:r>
      <w:r w:rsidR="00CC4D09" w:rsidRPr="0071782F">
        <w:rPr>
          <w:lang w:val="fr-CH"/>
        </w:rPr>
        <w:t xml:space="preserve">. </w:t>
      </w:r>
      <w:r w:rsidR="009B59F2" w:rsidRPr="0071782F">
        <w:rPr>
          <w:lang w:val="fr-CH"/>
        </w:rPr>
        <w:t>Plus de 30</w:t>
      </w:r>
      <w:r w:rsidRPr="0071782F">
        <w:rPr>
          <w:lang w:val="fr-CH"/>
        </w:rPr>
        <w:t xml:space="preserve"> tit</w:t>
      </w:r>
      <w:r w:rsidR="009B59F2" w:rsidRPr="0071782F">
        <w:rPr>
          <w:lang w:val="fr-CH"/>
        </w:rPr>
        <w:t>re</w:t>
      </w:r>
      <w:r w:rsidRPr="0071782F">
        <w:rPr>
          <w:lang w:val="fr-CH"/>
        </w:rPr>
        <w:t xml:space="preserve">s </w:t>
      </w:r>
      <w:r w:rsidR="009B59F2" w:rsidRPr="0071782F">
        <w:rPr>
          <w:lang w:val="fr-CH"/>
        </w:rPr>
        <w:t xml:space="preserve">de la série des livres de développement ont été publiés dans la </w:t>
      </w:r>
      <w:r w:rsidRPr="0071782F">
        <w:rPr>
          <w:lang w:val="fr-CH"/>
        </w:rPr>
        <w:t>collection Sciences</w:t>
      </w:r>
      <w:r w:rsidR="009B59F2" w:rsidRPr="0071782F">
        <w:rPr>
          <w:lang w:val="fr-CH"/>
        </w:rPr>
        <w:t xml:space="preserve"> islamiques; on a produit plusieurs cédéroms et créé une banque de données de </w:t>
      </w:r>
      <w:r w:rsidRPr="0071782F">
        <w:rPr>
          <w:lang w:val="fr-CH"/>
        </w:rPr>
        <w:t>4</w:t>
      </w:r>
      <w:r w:rsidR="009B59F2" w:rsidRPr="0071782F">
        <w:rPr>
          <w:lang w:val="fr-CH"/>
        </w:rPr>
        <w:t xml:space="preserve"> </w:t>
      </w:r>
      <w:r w:rsidRPr="0071782F">
        <w:rPr>
          <w:lang w:val="fr-CH"/>
        </w:rPr>
        <w:t xml:space="preserve">138 </w:t>
      </w:r>
      <w:r w:rsidR="009B59F2" w:rsidRPr="0071782F">
        <w:rPr>
          <w:lang w:val="fr-CH"/>
        </w:rPr>
        <w:t>ouvrages éducatifs liés aux programmes d’études</w:t>
      </w:r>
      <w:r w:rsidRPr="0071782F">
        <w:rPr>
          <w:lang w:val="fr-CH"/>
        </w:rPr>
        <w:t>.</w:t>
      </w:r>
    </w:p>
    <w:p w:rsidR="00333944" w:rsidRPr="0071782F" w:rsidRDefault="00333944" w:rsidP="00333944">
      <w:pPr>
        <w:pStyle w:val="H23G"/>
        <w:rPr>
          <w:lang w:val="fr-CH"/>
        </w:rPr>
      </w:pPr>
      <w:r w:rsidRPr="0071782F">
        <w:rPr>
          <w:lang w:val="fr-CH"/>
        </w:rPr>
        <w:tab/>
      </w:r>
      <w:r w:rsidRPr="0071782F">
        <w:rPr>
          <w:lang w:val="fr-CH"/>
        </w:rPr>
        <w:tab/>
      </w:r>
      <w:r w:rsidR="009B59F2" w:rsidRPr="0071782F">
        <w:rPr>
          <w:lang w:val="fr-CH"/>
        </w:rPr>
        <w:t xml:space="preserve">Développement de la formation technique et professionnelle </w:t>
      </w:r>
    </w:p>
    <w:p w:rsidR="00333944" w:rsidRPr="0071782F" w:rsidRDefault="00333944" w:rsidP="00333944">
      <w:pPr>
        <w:pStyle w:val="SingleTxtG"/>
        <w:rPr>
          <w:lang w:val="fr-CH"/>
        </w:rPr>
      </w:pPr>
      <w:r w:rsidRPr="0071782F">
        <w:rPr>
          <w:lang w:val="fr-CH"/>
        </w:rPr>
        <w:t>373.</w:t>
      </w:r>
      <w:r w:rsidRPr="0071782F">
        <w:rPr>
          <w:lang w:val="fr-CH"/>
        </w:rPr>
        <w:tab/>
      </w:r>
      <w:r w:rsidR="00F8068D" w:rsidRPr="0071782F">
        <w:rPr>
          <w:lang w:val="fr-CH"/>
        </w:rPr>
        <w:t>À ce sujet, il convient de noter ce qui suit</w:t>
      </w:r>
      <w:r w:rsidR="008F7D33" w:rsidRPr="0071782F">
        <w:rPr>
          <w:lang w:val="fr-CH"/>
        </w:rPr>
        <w:t>:</w:t>
      </w:r>
    </w:p>
    <w:p w:rsidR="00333944" w:rsidRPr="0071782F" w:rsidRDefault="00333944" w:rsidP="00B5489F">
      <w:pPr>
        <w:pStyle w:val="SingleTxtG"/>
        <w:ind w:left="1701"/>
        <w:rPr>
          <w:lang w:val="fr-CH"/>
        </w:rPr>
      </w:pPr>
      <w:r w:rsidRPr="0071782F">
        <w:rPr>
          <w:lang w:val="fr-CH"/>
        </w:rPr>
        <w:t>373.1</w:t>
      </w:r>
      <w:r w:rsidR="00B5489F" w:rsidRPr="0071782F">
        <w:rPr>
          <w:lang w:val="fr-CH"/>
        </w:rPr>
        <w:t>.</w:t>
      </w:r>
      <w:r w:rsidRPr="0071782F">
        <w:rPr>
          <w:lang w:val="fr-CH"/>
        </w:rPr>
        <w:tab/>
      </w:r>
      <w:r w:rsidR="007D3C4B" w:rsidRPr="0071782F">
        <w:rPr>
          <w:lang w:val="fr-CH"/>
        </w:rPr>
        <w:t xml:space="preserve">On a créé </w:t>
      </w:r>
      <w:r w:rsidRPr="0071782F">
        <w:rPr>
          <w:lang w:val="fr-CH"/>
        </w:rPr>
        <w:t xml:space="preserve">136 </w:t>
      </w:r>
      <w:r w:rsidR="007D3C4B" w:rsidRPr="0071782F">
        <w:rPr>
          <w:lang w:val="fr-CH"/>
        </w:rPr>
        <w:t>nouveaux centres de formation technique et professionnelle, ce qui a porté à 1 924 le nombre des écoles secondaires techniques et professionnelles</w:t>
      </w:r>
      <w:r w:rsidRPr="0071782F">
        <w:rPr>
          <w:lang w:val="fr-CH"/>
        </w:rPr>
        <w:t xml:space="preserve">. </w:t>
      </w:r>
    </w:p>
    <w:p w:rsidR="00333944" w:rsidRPr="0071782F" w:rsidRDefault="00333944" w:rsidP="00B5489F">
      <w:pPr>
        <w:pStyle w:val="SingleTxtG"/>
        <w:ind w:left="1701"/>
        <w:rPr>
          <w:lang w:val="fr-CH"/>
        </w:rPr>
      </w:pPr>
      <w:r w:rsidRPr="0071782F">
        <w:rPr>
          <w:lang w:val="fr-CH"/>
        </w:rPr>
        <w:t>373.2</w:t>
      </w:r>
      <w:r w:rsidR="00B5489F" w:rsidRPr="0071782F">
        <w:rPr>
          <w:lang w:val="fr-CH"/>
        </w:rPr>
        <w:t>.</w:t>
      </w:r>
      <w:r w:rsidRPr="0071782F">
        <w:rPr>
          <w:lang w:val="fr-CH"/>
        </w:rPr>
        <w:tab/>
      </w:r>
      <w:r w:rsidR="007D3C4B" w:rsidRPr="0071782F">
        <w:rPr>
          <w:lang w:val="fr-CH"/>
        </w:rPr>
        <w:t xml:space="preserve">On a créé </w:t>
      </w:r>
      <w:r w:rsidRPr="0071782F">
        <w:rPr>
          <w:lang w:val="fr-CH"/>
        </w:rPr>
        <w:t xml:space="preserve">175 </w:t>
      </w:r>
      <w:r w:rsidR="007D3C4B" w:rsidRPr="0071782F">
        <w:rPr>
          <w:lang w:val="fr-CH"/>
        </w:rPr>
        <w:t xml:space="preserve">nouvelles écoles secondaires techniques, ce qui a porté leur nombre à </w:t>
      </w:r>
      <w:r w:rsidRPr="0071782F">
        <w:rPr>
          <w:lang w:val="fr-CH"/>
        </w:rPr>
        <w:t>4</w:t>
      </w:r>
      <w:r w:rsidR="007D3C4B" w:rsidRPr="0071782F">
        <w:rPr>
          <w:lang w:val="fr-CH"/>
        </w:rPr>
        <w:t xml:space="preserve"> </w:t>
      </w:r>
      <w:r w:rsidRPr="0071782F">
        <w:rPr>
          <w:lang w:val="fr-CH"/>
        </w:rPr>
        <w:t>028.</w:t>
      </w:r>
    </w:p>
    <w:p w:rsidR="00333944" w:rsidRPr="0071782F" w:rsidRDefault="00333944" w:rsidP="00B5489F">
      <w:pPr>
        <w:pStyle w:val="SingleTxtG"/>
        <w:ind w:left="1701"/>
        <w:rPr>
          <w:lang w:val="fr-CH"/>
        </w:rPr>
      </w:pPr>
      <w:r w:rsidRPr="0071782F">
        <w:rPr>
          <w:lang w:val="fr-CH"/>
        </w:rPr>
        <w:t>373.3</w:t>
      </w:r>
      <w:r w:rsidR="00B5489F" w:rsidRPr="0071782F">
        <w:rPr>
          <w:lang w:val="fr-CH"/>
        </w:rPr>
        <w:t>.</w:t>
      </w:r>
      <w:r w:rsidRPr="0071782F">
        <w:rPr>
          <w:lang w:val="fr-CH"/>
        </w:rPr>
        <w:tab/>
      </w:r>
      <w:r w:rsidR="007D3C4B" w:rsidRPr="0071782F">
        <w:rPr>
          <w:lang w:val="fr-CH"/>
        </w:rPr>
        <w:t xml:space="preserve">Le </w:t>
      </w:r>
      <w:r w:rsidR="003B48A4" w:rsidRPr="0071782F">
        <w:rPr>
          <w:lang w:val="fr-CH"/>
        </w:rPr>
        <w:t>nombre</w:t>
      </w:r>
      <w:r w:rsidRPr="0071782F">
        <w:rPr>
          <w:lang w:val="fr-CH"/>
        </w:rPr>
        <w:t xml:space="preserve"> </w:t>
      </w:r>
      <w:r w:rsidR="007D3C4B" w:rsidRPr="0071782F">
        <w:rPr>
          <w:lang w:val="fr-CH"/>
        </w:rPr>
        <w:t xml:space="preserve">des écoles techniques et de formation professionnelle rurales a augmenté de </w:t>
      </w:r>
      <w:r w:rsidRPr="0071782F">
        <w:rPr>
          <w:lang w:val="fr-CH"/>
        </w:rPr>
        <w:t>13</w:t>
      </w:r>
      <w:r w:rsidR="007E5125" w:rsidRPr="0071782F">
        <w:rPr>
          <w:lang w:val="fr-CH"/>
        </w:rPr>
        <w:t>%</w:t>
      </w:r>
      <w:r w:rsidR="00D36718">
        <w:rPr>
          <w:lang w:val="fr-CH"/>
        </w:rPr>
        <w:t xml:space="preserve"> </w:t>
      </w:r>
      <w:r w:rsidR="007D3C4B" w:rsidRPr="0071782F">
        <w:rPr>
          <w:lang w:val="fr-CH"/>
        </w:rPr>
        <w:t>et celui des écoles secondaires techniques de 5</w:t>
      </w:r>
      <w:r w:rsidR="007E5125" w:rsidRPr="0071782F">
        <w:rPr>
          <w:lang w:val="fr-CH"/>
        </w:rPr>
        <w:t>%</w:t>
      </w:r>
      <w:r w:rsidR="007D3C4B" w:rsidRPr="0071782F">
        <w:rPr>
          <w:lang w:val="fr-CH"/>
        </w:rPr>
        <w:t>.</w:t>
      </w:r>
    </w:p>
    <w:p w:rsidR="00333944" w:rsidRPr="0071782F" w:rsidRDefault="00333944" w:rsidP="00B5489F">
      <w:pPr>
        <w:pStyle w:val="SingleTxtG"/>
        <w:ind w:left="1701"/>
        <w:rPr>
          <w:lang w:val="fr-CH"/>
        </w:rPr>
      </w:pPr>
      <w:r w:rsidRPr="0071782F">
        <w:rPr>
          <w:lang w:val="fr-CH"/>
        </w:rPr>
        <w:t>373.4</w:t>
      </w:r>
      <w:r w:rsidR="00B5489F" w:rsidRPr="0071782F">
        <w:rPr>
          <w:lang w:val="fr-CH"/>
        </w:rPr>
        <w:t>.</w:t>
      </w:r>
      <w:r w:rsidRPr="0071782F">
        <w:rPr>
          <w:lang w:val="fr-CH"/>
        </w:rPr>
        <w:tab/>
      </w:r>
      <w:r w:rsidR="007D3C4B" w:rsidRPr="0071782F">
        <w:rPr>
          <w:lang w:val="fr-CH"/>
        </w:rPr>
        <w:t xml:space="preserve">Pendant l’été de </w:t>
      </w:r>
      <w:r w:rsidRPr="0071782F">
        <w:rPr>
          <w:lang w:val="fr-CH"/>
        </w:rPr>
        <w:t xml:space="preserve">2006, </w:t>
      </w:r>
      <w:r w:rsidR="007D3C4B" w:rsidRPr="0071782F">
        <w:rPr>
          <w:lang w:val="fr-CH"/>
        </w:rPr>
        <w:t>on a organisé des concours dans le domaine des sciences appliquées</w:t>
      </w:r>
      <w:r w:rsidRPr="0071782F">
        <w:rPr>
          <w:lang w:val="fr-CH"/>
        </w:rPr>
        <w:t xml:space="preserve"> (25</w:t>
      </w:r>
      <w:r w:rsidR="00F4510F" w:rsidRPr="0071782F">
        <w:rPr>
          <w:lang w:val="fr-CH"/>
        </w:rPr>
        <w:t> </w:t>
      </w:r>
      <w:r w:rsidRPr="0071782F">
        <w:rPr>
          <w:lang w:val="fr-CH"/>
        </w:rPr>
        <w:t xml:space="preserve">disciplines) </w:t>
      </w:r>
      <w:r w:rsidR="007D3C4B" w:rsidRPr="0071782F">
        <w:rPr>
          <w:lang w:val="fr-CH"/>
        </w:rPr>
        <w:t>et dans le domaine culturel et artistique</w:t>
      </w:r>
      <w:r w:rsidRPr="0071782F">
        <w:rPr>
          <w:lang w:val="fr-CH"/>
        </w:rPr>
        <w:t xml:space="preserve"> (10</w:t>
      </w:r>
      <w:r w:rsidR="00F4510F" w:rsidRPr="0071782F">
        <w:rPr>
          <w:lang w:val="fr-CH"/>
        </w:rPr>
        <w:t> </w:t>
      </w:r>
      <w:r w:rsidRPr="0071782F">
        <w:rPr>
          <w:lang w:val="fr-CH"/>
        </w:rPr>
        <w:t xml:space="preserve">disciplines), </w:t>
      </w:r>
      <w:r w:rsidR="007D3C4B" w:rsidRPr="0071782F">
        <w:rPr>
          <w:lang w:val="fr-CH"/>
        </w:rPr>
        <w:t xml:space="preserve">ainsi que des olympiades sportives </w:t>
      </w:r>
      <w:r w:rsidRPr="0071782F">
        <w:rPr>
          <w:lang w:val="fr-CH"/>
        </w:rPr>
        <w:t xml:space="preserve">(10 disciplines), </w:t>
      </w:r>
      <w:r w:rsidR="007D3C4B" w:rsidRPr="0071782F">
        <w:rPr>
          <w:lang w:val="fr-CH"/>
        </w:rPr>
        <w:t xml:space="preserve">à l’intention de </w:t>
      </w:r>
      <w:r w:rsidRPr="0071782F">
        <w:rPr>
          <w:lang w:val="fr-CH"/>
        </w:rPr>
        <w:t>7</w:t>
      </w:r>
      <w:r w:rsidR="00F4510F" w:rsidRPr="0071782F">
        <w:rPr>
          <w:lang w:val="fr-CH"/>
        </w:rPr>
        <w:t> </w:t>
      </w:r>
      <w:r w:rsidRPr="0071782F">
        <w:rPr>
          <w:lang w:val="fr-CH"/>
        </w:rPr>
        <w:t>000</w:t>
      </w:r>
      <w:r w:rsidR="00F4510F" w:rsidRPr="0071782F">
        <w:rPr>
          <w:lang w:val="fr-CH"/>
        </w:rPr>
        <w:t> </w:t>
      </w:r>
      <w:r w:rsidR="007D3C4B" w:rsidRPr="0071782F">
        <w:rPr>
          <w:lang w:val="fr-CH"/>
        </w:rPr>
        <w:t xml:space="preserve">écoliers qui y ont participé dans des groupes distincts de filles et de garçons. </w:t>
      </w:r>
    </w:p>
    <w:p w:rsidR="00333944" w:rsidRPr="0071782F" w:rsidRDefault="00333944" w:rsidP="00B5489F">
      <w:pPr>
        <w:pStyle w:val="SingleTxtG"/>
        <w:ind w:left="1701"/>
        <w:rPr>
          <w:lang w:val="fr-CH"/>
        </w:rPr>
      </w:pPr>
      <w:r w:rsidRPr="0071782F">
        <w:rPr>
          <w:lang w:val="fr-CH"/>
        </w:rPr>
        <w:t>373.5</w:t>
      </w:r>
      <w:r w:rsidR="00B5489F" w:rsidRPr="0071782F">
        <w:rPr>
          <w:lang w:val="fr-CH"/>
        </w:rPr>
        <w:t>.</w:t>
      </w:r>
      <w:r w:rsidRPr="0071782F">
        <w:rPr>
          <w:lang w:val="fr-CH"/>
        </w:rPr>
        <w:tab/>
      </w:r>
      <w:r w:rsidR="007D3C4B" w:rsidRPr="0071782F">
        <w:rPr>
          <w:lang w:val="fr-CH"/>
        </w:rPr>
        <w:t xml:space="preserve">Pendant l’année scolaire </w:t>
      </w:r>
      <w:r w:rsidRPr="0071782F">
        <w:rPr>
          <w:lang w:val="fr-CH"/>
        </w:rPr>
        <w:t>2006</w:t>
      </w:r>
      <w:r w:rsidR="007D3C4B" w:rsidRPr="0071782F">
        <w:rPr>
          <w:lang w:val="fr-CH"/>
        </w:rPr>
        <w:t>-</w:t>
      </w:r>
      <w:r w:rsidRPr="0071782F">
        <w:rPr>
          <w:lang w:val="fr-CH"/>
        </w:rPr>
        <w:t xml:space="preserve">2007, </w:t>
      </w:r>
      <w:r w:rsidR="007D3C4B" w:rsidRPr="0071782F">
        <w:rPr>
          <w:lang w:val="fr-CH"/>
        </w:rPr>
        <w:t>les écoles secondaires techniques ont accueilli 527</w:t>
      </w:r>
      <w:r w:rsidR="00F4510F" w:rsidRPr="0071782F">
        <w:rPr>
          <w:lang w:val="fr-CH"/>
        </w:rPr>
        <w:t> </w:t>
      </w:r>
      <w:r w:rsidRPr="0071782F">
        <w:rPr>
          <w:lang w:val="fr-CH"/>
        </w:rPr>
        <w:t>041</w:t>
      </w:r>
      <w:r w:rsidR="00F4510F" w:rsidRPr="0071782F">
        <w:rPr>
          <w:lang w:val="fr-CH"/>
        </w:rPr>
        <w:t> </w:t>
      </w:r>
      <w:r w:rsidR="007D3C4B" w:rsidRPr="0071782F">
        <w:rPr>
          <w:lang w:val="fr-CH"/>
        </w:rPr>
        <w:t>élèves</w:t>
      </w:r>
      <w:r w:rsidRPr="0071782F">
        <w:rPr>
          <w:lang w:val="fr-CH"/>
        </w:rPr>
        <w:t xml:space="preserve">, </w:t>
      </w:r>
      <w:r w:rsidR="007D3C4B" w:rsidRPr="0071782F">
        <w:rPr>
          <w:lang w:val="fr-CH"/>
        </w:rPr>
        <w:t xml:space="preserve">répartis entre </w:t>
      </w:r>
      <w:r w:rsidRPr="0071782F">
        <w:rPr>
          <w:lang w:val="fr-CH"/>
        </w:rPr>
        <w:t>4</w:t>
      </w:r>
      <w:r w:rsidR="00F4510F" w:rsidRPr="0071782F">
        <w:rPr>
          <w:lang w:val="fr-CH"/>
        </w:rPr>
        <w:t> </w:t>
      </w:r>
      <w:r w:rsidR="007D3C4B" w:rsidRPr="0071782F">
        <w:rPr>
          <w:lang w:val="fr-CH"/>
        </w:rPr>
        <w:t>028 centre</w:t>
      </w:r>
      <w:r w:rsidRPr="0071782F">
        <w:rPr>
          <w:lang w:val="fr-CH"/>
        </w:rPr>
        <w:t xml:space="preserve">s </w:t>
      </w:r>
      <w:r w:rsidR="007D3C4B" w:rsidRPr="0071782F">
        <w:rPr>
          <w:lang w:val="fr-CH"/>
        </w:rPr>
        <w:t xml:space="preserve">et </w:t>
      </w:r>
      <w:r w:rsidRPr="0071782F">
        <w:rPr>
          <w:lang w:val="fr-CH"/>
        </w:rPr>
        <w:t xml:space="preserve">338 </w:t>
      </w:r>
      <w:r w:rsidR="007D3C4B" w:rsidRPr="0071782F">
        <w:rPr>
          <w:lang w:val="fr-CH"/>
        </w:rPr>
        <w:t>spécialisations</w:t>
      </w:r>
      <w:r w:rsidRPr="0071782F">
        <w:rPr>
          <w:lang w:val="fr-CH"/>
        </w:rPr>
        <w:t>.</w:t>
      </w:r>
    </w:p>
    <w:p w:rsidR="00333944" w:rsidRPr="0071782F" w:rsidRDefault="00333944" w:rsidP="00B5489F">
      <w:pPr>
        <w:pStyle w:val="SingleTxtG"/>
        <w:ind w:left="1701"/>
        <w:rPr>
          <w:lang w:val="fr-CH"/>
        </w:rPr>
      </w:pPr>
      <w:r w:rsidRPr="0071782F">
        <w:rPr>
          <w:lang w:val="fr-CH"/>
        </w:rPr>
        <w:t>373.6</w:t>
      </w:r>
      <w:r w:rsidR="00B5489F" w:rsidRPr="0071782F">
        <w:rPr>
          <w:lang w:val="fr-CH"/>
        </w:rPr>
        <w:t>.</w:t>
      </w:r>
      <w:r w:rsidRPr="0071782F">
        <w:rPr>
          <w:lang w:val="fr-CH"/>
        </w:rPr>
        <w:tab/>
      </w:r>
      <w:r w:rsidR="007D3C4B" w:rsidRPr="0071782F">
        <w:rPr>
          <w:lang w:val="fr-CH"/>
        </w:rPr>
        <w:t xml:space="preserve">La proportion de filles inscrites dans les écoles secondaires techniques est passée à </w:t>
      </w:r>
      <w:r w:rsidRPr="0071782F">
        <w:rPr>
          <w:lang w:val="fr-CH"/>
        </w:rPr>
        <w:t>41</w:t>
      </w:r>
      <w:r w:rsidR="007D3C4B" w:rsidRPr="0071782F">
        <w:rPr>
          <w:lang w:val="fr-CH"/>
        </w:rPr>
        <w:t>,</w:t>
      </w:r>
      <w:r w:rsidRPr="0071782F">
        <w:rPr>
          <w:lang w:val="fr-CH"/>
        </w:rPr>
        <w:t>2</w:t>
      </w:r>
      <w:r w:rsidR="007E5125" w:rsidRPr="0071782F">
        <w:rPr>
          <w:lang w:val="fr-CH"/>
        </w:rPr>
        <w:t>%</w:t>
      </w:r>
      <w:r w:rsidRPr="0071782F">
        <w:rPr>
          <w:lang w:val="fr-CH"/>
        </w:rPr>
        <w:t>.</w:t>
      </w:r>
    </w:p>
    <w:p w:rsidR="00333944" w:rsidRPr="0071782F" w:rsidRDefault="00333944" w:rsidP="00383098">
      <w:pPr>
        <w:pStyle w:val="SingleTxtG"/>
        <w:ind w:left="1701"/>
        <w:rPr>
          <w:lang w:val="fr-CH"/>
        </w:rPr>
      </w:pPr>
      <w:r w:rsidRPr="0071782F">
        <w:rPr>
          <w:lang w:val="fr-CH"/>
        </w:rPr>
        <w:t>373.7</w:t>
      </w:r>
      <w:r w:rsidR="00B5489F" w:rsidRPr="0071782F">
        <w:rPr>
          <w:lang w:val="fr-CH"/>
        </w:rPr>
        <w:t>.</w:t>
      </w:r>
      <w:r w:rsidRPr="0071782F">
        <w:rPr>
          <w:lang w:val="fr-CH"/>
        </w:rPr>
        <w:tab/>
      </w:r>
      <w:r w:rsidR="00363E2D" w:rsidRPr="0071782F">
        <w:rPr>
          <w:lang w:val="fr-CH"/>
        </w:rPr>
        <w:t xml:space="preserve">On a élaboré et distribué </w:t>
      </w:r>
      <w:r w:rsidRPr="0071782F">
        <w:rPr>
          <w:lang w:val="fr-CH"/>
        </w:rPr>
        <w:t>500 n</w:t>
      </w:r>
      <w:r w:rsidR="00363E2D" w:rsidRPr="0071782F">
        <w:rPr>
          <w:lang w:val="fr-CH"/>
        </w:rPr>
        <w:t>ouveaux titres traitant de matières techniques et professionnelles.</w:t>
      </w:r>
    </w:p>
    <w:p w:rsidR="00333944" w:rsidRPr="0071782F" w:rsidRDefault="00333944" w:rsidP="00383098">
      <w:pPr>
        <w:pStyle w:val="SingleTxtG"/>
        <w:ind w:left="1701"/>
        <w:rPr>
          <w:lang w:val="fr-CH"/>
        </w:rPr>
      </w:pPr>
      <w:r w:rsidRPr="0071782F">
        <w:rPr>
          <w:lang w:val="fr-CH"/>
        </w:rPr>
        <w:t>373.8</w:t>
      </w:r>
      <w:r w:rsidR="00B5489F" w:rsidRPr="0071782F">
        <w:rPr>
          <w:lang w:val="fr-CH"/>
        </w:rPr>
        <w:t>.</w:t>
      </w:r>
      <w:r w:rsidRPr="0071782F">
        <w:rPr>
          <w:lang w:val="fr-CH"/>
        </w:rPr>
        <w:tab/>
      </w:r>
      <w:r w:rsidR="00363E2D" w:rsidRPr="0071782F">
        <w:rPr>
          <w:lang w:val="fr-CH"/>
        </w:rPr>
        <w:t xml:space="preserve">On a construit </w:t>
      </w:r>
      <w:r w:rsidRPr="0071782F">
        <w:rPr>
          <w:lang w:val="fr-CH"/>
        </w:rPr>
        <w:t xml:space="preserve">67 </w:t>
      </w:r>
      <w:r w:rsidR="00363E2D" w:rsidRPr="0071782F">
        <w:rPr>
          <w:lang w:val="fr-CH"/>
        </w:rPr>
        <w:t xml:space="preserve">écoles à proximité d’usines; ces écoles sont fréquentées par plus de </w:t>
      </w:r>
      <w:r w:rsidRPr="0071782F">
        <w:rPr>
          <w:lang w:val="fr-CH"/>
        </w:rPr>
        <w:t>10</w:t>
      </w:r>
      <w:r w:rsidR="00363E2D" w:rsidRPr="0071782F">
        <w:rPr>
          <w:lang w:val="fr-CH"/>
        </w:rPr>
        <w:t> </w:t>
      </w:r>
      <w:r w:rsidRPr="0071782F">
        <w:rPr>
          <w:lang w:val="fr-CH"/>
        </w:rPr>
        <w:t>000</w:t>
      </w:r>
      <w:r w:rsidR="00363E2D" w:rsidRPr="0071782F">
        <w:rPr>
          <w:lang w:val="fr-CH"/>
        </w:rPr>
        <w:t xml:space="preserve"> enfants</w:t>
      </w:r>
      <w:r w:rsidRPr="0071782F">
        <w:rPr>
          <w:lang w:val="fr-CH"/>
        </w:rPr>
        <w:t>.</w:t>
      </w:r>
    </w:p>
    <w:p w:rsidR="00333944" w:rsidRPr="0071782F" w:rsidRDefault="00333944" w:rsidP="00383098">
      <w:pPr>
        <w:pStyle w:val="SingleTxtG"/>
        <w:ind w:left="1701"/>
        <w:rPr>
          <w:lang w:val="fr-CH"/>
        </w:rPr>
      </w:pPr>
      <w:r w:rsidRPr="0071782F">
        <w:rPr>
          <w:lang w:val="fr-CH"/>
        </w:rPr>
        <w:t>373.9</w:t>
      </w:r>
      <w:r w:rsidR="00B5489F" w:rsidRPr="0071782F">
        <w:rPr>
          <w:lang w:val="fr-CH"/>
        </w:rPr>
        <w:t>.</w:t>
      </w:r>
      <w:r w:rsidRPr="0071782F">
        <w:rPr>
          <w:lang w:val="fr-CH"/>
        </w:rPr>
        <w:tab/>
      </w:r>
      <w:r w:rsidR="00363E2D" w:rsidRPr="0071782F">
        <w:rPr>
          <w:lang w:val="fr-CH"/>
        </w:rPr>
        <w:t xml:space="preserve">Le </w:t>
      </w:r>
      <w:r w:rsidR="003B48A4" w:rsidRPr="0071782F">
        <w:rPr>
          <w:lang w:val="fr-CH"/>
        </w:rPr>
        <w:t>nombre</w:t>
      </w:r>
      <w:r w:rsidRPr="0071782F">
        <w:rPr>
          <w:lang w:val="fr-CH"/>
        </w:rPr>
        <w:t xml:space="preserve"> </w:t>
      </w:r>
      <w:r w:rsidR="00363E2D" w:rsidRPr="0071782F">
        <w:rPr>
          <w:lang w:val="fr-CH"/>
        </w:rPr>
        <w:t>d’élèves des établissements de formation technique</w:t>
      </w:r>
      <w:r w:rsidRPr="0071782F">
        <w:rPr>
          <w:lang w:val="fr-CH"/>
        </w:rPr>
        <w:t xml:space="preserve"> </w:t>
      </w:r>
      <w:r w:rsidR="00363E2D" w:rsidRPr="0071782F">
        <w:rPr>
          <w:lang w:val="fr-CH"/>
        </w:rPr>
        <w:t xml:space="preserve">et professionnelle a augmenté de </w:t>
      </w:r>
      <w:r w:rsidRPr="0071782F">
        <w:rPr>
          <w:lang w:val="fr-CH"/>
        </w:rPr>
        <w:t>9</w:t>
      </w:r>
      <w:r w:rsidR="00F4510F" w:rsidRPr="0071782F">
        <w:rPr>
          <w:lang w:val="fr-CH"/>
        </w:rPr>
        <w:t> </w:t>
      </w:r>
      <w:r w:rsidRPr="0071782F">
        <w:rPr>
          <w:lang w:val="fr-CH"/>
        </w:rPr>
        <w:t xml:space="preserve">585, </w:t>
      </w:r>
      <w:r w:rsidR="00363E2D" w:rsidRPr="0071782F">
        <w:rPr>
          <w:lang w:val="fr-CH"/>
        </w:rPr>
        <w:t xml:space="preserve">pour atteindre </w:t>
      </w:r>
      <w:r w:rsidRPr="0071782F">
        <w:rPr>
          <w:lang w:val="fr-CH"/>
        </w:rPr>
        <w:t>165</w:t>
      </w:r>
      <w:r w:rsidR="00816714">
        <w:rPr>
          <w:lang w:val="fr-CH"/>
        </w:rPr>
        <w:t> </w:t>
      </w:r>
      <w:r w:rsidRPr="0071782F">
        <w:rPr>
          <w:lang w:val="fr-CH"/>
        </w:rPr>
        <w:t>365.</w:t>
      </w:r>
    </w:p>
    <w:p w:rsidR="00333944" w:rsidRPr="0071782F" w:rsidRDefault="00333944" w:rsidP="00383098">
      <w:pPr>
        <w:pStyle w:val="SingleTxtG"/>
        <w:ind w:left="1701"/>
        <w:rPr>
          <w:lang w:val="fr-CH"/>
        </w:rPr>
      </w:pPr>
      <w:r w:rsidRPr="0071782F">
        <w:rPr>
          <w:lang w:val="fr-CH"/>
        </w:rPr>
        <w:t>373.10</w:t>
      </w:r>
      <w:r w:rsidR="00B5489F" w:rsidRPr="0071782F">
        <w:rPr>
          <w:lang w:val="fr-CH"/>
        </w:rPr>
        <w:t xml:space="preserve">. </w:t>
      </w:r>
      <w:r w:rsidR="00363E2D" w:rsidRPr="0071782F">
        <w:rPr>
          <w:lang w:val="fr-CH"/>
        </w:rPr>
        <w:t xml:space="preserve">Le </w:t>
      </w:r>
      <w:r w:rsidR="003B48A4" w:rsidRPr="0071782F">
        <w:rPr>
          <w:lang w:val="fr-CH"/>
        </w:rPr>
        <w:t>nombre</w:t>
      </w:r>
      <w:r w:rsidRPr="0071782F">
        <w:rPr>
          <w:lang w:val="fr-CH"/>
        </w:rPr>
        <w:t xml:space="preserve"> </w:t>
      </w:r>
      <w:r w:rsidR="00363E2D" w:rsidRPr="0071782F">
        <w:rPr>
          <w:lang w:val="fr-CH"/>
        </w:rPr>
        <w:t xml:space="preserve">d’établissements privés de formation technique et professionnelle a augmenté de </w:t>
      </w:r>
      <w:r w:rsidRPr="0071782F">
        <w:rPr>
          <w:lang w:val="fr-CH"/>
        </w:rPr>
        <w:t>14</w:t>
      </w:r>
      <w:r w:rsidR="00363E2D" w:rsidRPr="0071782F">
        <w:rPr>
          <w:lang w:val="fr-CH"/>
        </w:rPr>
        <w:t>,</w:t>
      </w:r>
      <w:r w:rsidRPr="0071782F">
        <w:rPr>
          <w:lang w:val="fr-CH"/>
        </w:rPr>
        <w:t>8</w:t>
      </w:r>
      <w:r w:rsidR="007E5125" w:rsidRPr="0071782F">
        <w:rPr>
          <w:lang w:val="fr-CH"/>
        </w:rPr>
        <w:t>%</w:t>
      </w:r>
      <w:r w:rsidRPr="0071782F">
        <w:rPr>
          <w:lang w:val="fr-CH"/>
        </w:rPr>
        <w:t>.</w:t>
      </w:r>
    </w:p>
    <w:p w:rsidR="00333944" w:rsidRPr="0071782F" w:rsidRDefault="00333944" w:rsidP="00136376">
      <w:pPr>
        <w:pStyle w:val="H23G"/>
        <w:rPr>
          <w:lang w:val="fr-CH"/>
        </w:rPr>
      </w:pPr>
      <w:r w:rsidRPr="0071782F">
        <w:rPr>
          <w:lang w:val="fr-CH"/>
        </w:rPr>
        <w:tab/>
      </w:r>
      <w:r w:rsidRPr="0071782F">
        <w:rPr>
          <w:lang w:val="fr-CH"/>
        </w:rPr>
        <w:tab/>
      </w:r>
      <w:r w:rsidR="00363E2D" w:rsidRPr="0071782F">
        <w:rPr>
          <w:lang w:val="fr-CH"/>
        </w:rPr>
        <w:t>Ressources humaines</w:t>
      </w:r>
      <w:r w:rsidR="008F7D33" w:rsidRPr="0071782F">
        <w:rPr>
          <w:lang w:val="fr-CH"/>
        </w:rPr>
        <w:t>:</w:t>
      </w:r>
      <w:r w:rsidRPr="0071782F">
        <w:rPr>
          <w:lang w:val="fr-CH"/>
        </w:rPr>
        <w:t xml:space="preserve"> </w:t>
      </w:r>
      <w:r w:rsidR="00363E2D" w:rsidRPr="0071782F">
        <w:rPr>
          <w:lang w:val="fr-CH"/>
        </w:rPr>
        <w:t xml:space="preserve">formation des enseignants </w:t>
      </w:r>
    </w:p>
    <w:p w:rsidR="00333944" w:rsidRPr="0071782F" w:rsidRDefault="00333944" w:rsidP="00136376">
      <w:pPr>
        <w:pStyle w:val="SingleTxtG"/>
        <w:keepNext/>
        <w:keepLines/>
        <w:rPr>
          <w:lang w:val="fr-CH"/>
        </w:rPr>
      </w:pPr>
      <w:r w:rsidRPr="0071782F">
        <w:rPr>
          <w:lang w:val="fr-CH"/>
        </w:rPr>
        <w:t>374.</w:t>
      </w:r>
      <w:r w:rsidRPr="0071782F">
        <w:rPr>
          <w:lang w:val="fr-CH"/>
        </w:rPr>
        <w:tab/>
      </w:r>
      <w:r w:rsidR="00F84CB8" w:rsidRPr="0071782F">
        <w:rPr>
          <w:lang w:val="fr-CH"/>
        </w:rPr>
        <w:t>À ce sujet, il convient de noter ce qui suit</w:t>
      </w:r>
      <w:r w:rsidR="008F7D33" w:rsidRPr="0071782F">
        <w:rPr>
          <w:lang w:val="fr-CH"/>
        </w:rPr>
        <w:t>:</w:t>
      </w:r>
    </w:p>
    <w:p w:rsidR="00333944" w:rsidRPr="0071782F" w:rsidRDefault="00333944" w:rsidP="00383098">
      <w:pPr>
        <w:pStyle w:val="SingleTxtG"/>
        <w:ind w:left="1701"/>
        <w:rPr>
          <w:lang w:val="fr-CH"/>
        </w:rPr>
      </w:pPr>
      <w:r w:rsidRPr="0071782F">
        <w:rPr>
          <w:lang w:val="fr-CH"/>
        </w:rPr>
        <w:t>374.1</w:t>
      </w:r>
      <w:r w:rsidR="00DC5F56" w:rsidRPr="0071782F">
        <w:rPr>
          <w:lang w:val="fr-CH"/>
        </w:rPr>
        <w:t>.</w:t>
      </w:r>
      <w:r w:rsidRPr="0071782F">
        <w:rPr>
          <w:lang w:val="fr-CH"/>
        </w:rPr>
        <w:tab/>
      </w:r>
      <w:r w:rsidR="00E9477D" w:rsidRPr="0071782F">
        <w:rPr>
          <w:lang w:val="fr-CH"/>
        </w:rPr>
        <w:t>Grâce au renouveau des centres de formation des enseignants, le nombre des élèves-professeurs admis par ces centres a plus que doublé, passant de 5</w:t>
      </w:r>
      <w:r w:rsidR="00816714">
        <w:rPr>
          <w:lang w:val="fr-CH"/>
        </w:rPr>
        <w:t> </w:t>
      </w:r>
      <w:r w:rsidRPr="0071782F">
        <w:rPr>
          <w:lang w:val="fr-CH"/>
        </w:rPr>
        <w:t xml:space="preserve">160 </w:t>
      </w:r>
      <w:r w:rsidR="00E9477D" w:rsidRPr="0071782F">
        <w:rPr>
          <w:lang w:val="fr-CH"/>
        </w:rPr>
        <w:t>à</w:t>
      </w:r>
      <w:r w:rsidRPr="0071782F">
        <w:rPr>
          <w:lang w:val="fr-CH"/>
        </w:rPr>
        <w:t xml:space="preserve"> 13</w:t>
      </w:r>
      <w:r w:rsidR="003B1403" w:rsidRPr="0071782F">
        <w:rPr>
          <w:lang w:val="fr-CH"/>
        </w:rPr>
        <w:t> </w:t>
      </w:r>
      <w:r w:rsidRPr="0071782F">
        <w:rPr>
          <w:lang w:val="fr-CH"/>
        </w:rPr>
        <w:t xml:space="preserve">665. </w:t>
      </w:r>
      <w:r w:rsidR="00E9477D" w:rsidRPr="0071782F">
        <w:rPr>
          <w:lang w:val="fr-CH"/>
        </w:rPr>
        <w:t>Deux centres forment les professeurs d’élèves nomades</w:t>
      </w:r>
      <w:r w:rsidRPr="0071782F">
        <w:rPr>
          <w:lang w:val="fr-CH"/>
        </w:rPr>
        <w:t xml:space="preserve">. </w:t>
      </w:r>
    </w:p>
    <w:p w:rsidR="00333944" w:rsidRPr="0071782F" w:rsidRDefault="00333944" w:rsidP="00383098">
      <w:pPr>
        <w:pStyle w:val="SingleTxtG"/>
        <w:ind w:left="1701"/>
        <w:rPr>
          <w:lang w:val="fr-CH"/>
        </w:rPr>
      </w:pPr>
      <w:r w:rsidRPr="0071782F">
        <w:rPr>
          <w:lang w:val="fr-CH"/>
        </w:rPr>
        <w:t>374.2</w:t>
      </w:r>
      <w:r w:rsidR="00DC5F56" w:rsidRPr="0071782F">
        <w:rPr>
          <w:lang w:val="fr-CH"/>
        </w:rPr>
        <w:t>.</w:t>
      </w:r>
      <w:r w:rsidRPr="0071782F">
        <w:rPr>
          <w:lang w:val="fr-CH"/>
        </w:rPr>
        <w:tab/>
      </w:r>
      <w:r w:rsidR="00E9477D" w:rsidRPr="0071782F">
        <w:rPr>
          <w:lang w:val="fr-CH"/>
        </w:rPr>
        <w:t xml:space="preserve">Le </w:t>
      </w:r>
      <w:r w:rsidR="003B48A4" w:rsidRPr="0071782F">
        <w:rPr>
          <w:lang w:val="fr-CH"/>
        </w:rPr>
        <w:t>nombre</w:t>
      </w:r>
      <w:r w:rsidRPr="0071782F">
        <w:rPr>
          <w:lang w:val="fr-CH"/>
        </w:rPr>
        <w:t xml:space="preserve"> </w:t>
      </w:r>
      <w:r w:rsidR="00E9477D" w:rsidRPr="0071782F">
        <w:rPr>
          <w:lang w:val="fr-CH"/>
        </w:rPr>
        <w:t xml:space="preserve">des centres de formation d’enseignants est passé à </w:t>
      </w:r>
      <w:r w:rsidRPr="0071782F">
        <w:rPr>
          <w:lang w:val="fr-CH"/>
        </w:rPr>
        <w:t>90.</w:t>
      </w:r>
    </w:p>
    <w:p w:rsidR="00333944" w:rsidRPr="0071782F" w:rsidRDefault="00333944" w:rsidP="00B5489F">
      <w:pPr>
        <w:pStyle w:val="SingleTxtG"/>
        <w:ind w:left="1701"/>
        <w:rPr>
          <w:lang w:val="fr-CH"/>
        </w:rPr>
      </w:pPr>
      <w:r w:rsidRPr="0071782F">
        <w:rPr>
          <w:lang w:val="fr-CH"/>
        </w:rPr>
        <w:t>374.3</w:t>
      </w:r>
      <w:r w:rsidR="00DC5F56" w:rsidRPr="0071782F">
        <w:rPr>
          <w:lang w:val="fr-CH"/>
        </w:rPr>
        <w:t>.</w:t>
      </w:r>
      <w:r w:rsidRPr="0071782F">
        <w:rPr>
          <w:lang w:val="fr-CH"/>
        </w:rPr>
        <w:tab/>
      </w:r>
      <w:r w:rsidR="003E7B99" w:rsidRPr="0071782F">
        <w:rPr>
          <w:lang w:val="fr-CH"/>
        </w:rPr>
        <w:t xml:space="preserve">La moyenne des années de formation des enseignants est passée de </w:t>
      </w:r>
      <w:r w:rsidRPr="0071782F">
        <w:rPr>
          <w:lang w:val="fr-CH"/>
        </w:rPr>
        <w:t>14</w:t>
      </w:r>
      <w:r w:rsidR="003E7B99" w:rsidRPr="0071782F">
        <w:rPr>
          <w:lang w:val="fr-CH"/>
        </w:rPr>
        <w:t>,</w:t>
      </w:r>
      <w:r w:rsidRPr="0071782F">
        <w:rPr>
          <w:lang w:val="fr-CH"/>
        </w:rPr>
        <w:t xml:space="preserve">56 </w:t>
      </w:r>
      <w:r w:rsidR="003E7B99" w:rsidRPr="0071782F">
        <w:rPr>
          <w:lang w:val="fr-CH"/>
        </w:rPr>
        <w:t>à</w:t>
      </w:r>
      <w:r w:rsidRPr="0071782F">
        <w:rPr>
          <w:lang w:val="fr-CH"/>
        </w:rPr>
        <w:t xml:space="preserve"> 14</w:t>
      </w:r>
      <w:r w:rsidR="003E7B99" w:rsidRPr="0071782F">
        <w:rPr>
          <w:lang w:val="fr-CH"/>
        </w:rPr>
        <w:t>,</w:t>
      </w:r>
      <w:r w:rsidRPr="0071782F">
        <w:rPr>
          <w:lang w:val="fr-CH"/>
        </w:rPr>
        <w:t xml:space="preserve">64 </w:t>
      </w:r>
      <w:r w:rsidR="003E7B99" w:rsidRPr="0071782F">
        <w:rPr>
          <w:lang w:val="fr-CH"/>
        </w:rPr>
        <w:t>années</w:t>
      </w:r>
      <w:r w:rsidRPr="0071782F">
        <w:rPr>
          <w:lang w:val="fr-CH"/>
        </w:rPr>
        <w:t>.</w:t>
      </w:r>
    </w:p>
    <w:p w:rsidR="00333944" w:rsidRPr="0071782F" w:rsidRDefault="00333944" w:rsidP="00B5489F">
      <w:pPr>
        <w:pStyle w:val="SingleTxtG"/>
        <w:ind w:left="1701"/>
        <w:rPr>
          <w:lang w:val="fr-CH"/>
        </w:rPr>
      </w:pPr>
      <w:r w:rsidRPr="0071782F">
        <w:rPr>
          <w:lang w:val="fr-CH"/>
        </w:rPr>
        <w:t>374.4</w:t>
      </w:r>
      <w:r w:rsidR="00DC5F56" w:rsidRPr="0071782F">
        <w:rPr>
          <w:lang w:val="fr-CH"/>
        </w:rPr>
        <w:t>.</w:t>
      </w:r>
      <w:r w:rsidRPr="0071782F">
        <w:rPr>
          <w:lang w:val="fr-CH"/>
        </w:rPr>
        <w:tab/>
      </w:r>
      <w:r w:rsidR="00374045" w:rsidRPr="0071782F">
        <w:rPr>
          <w:lang w:val="fr-CH"/>
        </w:rPr>
        <w:t xml:space="preserve">Le nombre d’enseignants titulaires d’un mastère ou d’un doctorat a augmenté de </w:t>
      </w:r>
      <w:r w:rsidRPr="0071782F">
        <w:rPr>
          <w:lang w:val="fr-CH"/>
        </w:rPr>
        <w:t>11</w:t>
      </w:r>
      <w:r w:rsidR="00374045" w:rsidRPr="0071782F">
        <w:rPr>
          <w:lang w:val="fr-CH"/>
        </w:rPr>
        <w:t>,</w:t>
      </w:r>
      <w:r w:rsidRPr="0071782F">
        <w:rPr>
          <w:lang w:val="fr-CH"/>
        </w:rPr>
        <w:t>4</w:t>
      </w:r>
      <w:r w:rsidR="007E5125" w:rsidRPr="0071782F">
        <w:rPr>
          <w:lang w:val="fr-CH"/>
        </w:rPr>
        <w:t>%</w:t>
      </w:r>
      <w:r w:rsidRPr="0071782F">
        <w:rPr>
          <w:lang w:val="fr-CH"/>
        </w:rPr>
        <w:t>.</w:t>
      </w:r>
    </w:p>
    <w:p w:rsidR="00333944" w:rsidRPr="0071782F" w:rsidRDefault="00333944" w:rsidP="00B5489F">
      <w:pPr>
        <w:pStyle w:val="SingleTxtG"/>
        <w:ind w:left="1701"/>
        <w:rPr>
          <w:lang w:val="fr-CH"/>
        </w:rPr>
      </w:pPr>
      <w:r w:rsidRPr="0071782F">
        <w:rPr>
          <w:lang w:val="fr-CH"/>
        </w:rPr>
        <w:t>374.5</w:t>
      </w:r>
      <w:r w:rsidR="00DC5F56" w:rsidRPr="0071782F">
        <w:rPr>
          <w:lang w:val="fr-CH"/>
        </w:rPr>
        <w:t>.</w:t>
      </w:r>
      <w:r w:rsidR="00374045" w:rsidRPr="0071782F">
        <w:rPr>
          <w:lang w:val="fr-CH"/>
        </w:rPr>
        <w:tab/>
        <w:t>Le nombre d’enseignants titulaires d’un diplôme de fin d’études secondaires ou d’un diplôme inférieur a diminué de 15</w:t>
      </w:r>
      <w:r w:rsidR="007E5125" w:rsidRPr="0071782F">
        <w:rPr>
          <w:lang w:val="fr-CH"/>
        </w:rPr>
        <w:t>%</w:t>
      </w:r>
      <w:r w:rsidR="00374045" w:rsidRPr="0071782F">
        <w:rPr>
          <w:lang w:val="fr-CH"/>
        </w:rPr>
        <w:t>.</w:t>
      </w:r>
    </w:p>
    <w:p w:rsidR="00333944" w:rsidRPr="0071782F" w:rsidRDefault="00333944" w:rsidP="00B5489F">
      <w:pPr>
        <w:pStyle w:val="SingleTxtG"/>
        <w:ind w:left="1701"/>
        <w:rPr>
          <w:lang w:val="fr-CH"/>
        </w:rPr>
      </w:pPr>
      <w:r w:rsidRPr="0071782F">
        <w:rPr>
          <w:lang w:val="fr-CH"/>
        </w:rPr>
        <w:t>374.6</w:t>
      </w:r>
      <w:r w:rsidR="00DC5F56" w:rsidRPr="0071782F">
        <w:rPr>
          <w:lang w:val="fr-CH"/>
        </w:rPr>
        <w:t>.</w:t>
      </w:r>
      <w:r w:rsidRPr="0071782F">
        <w:rPr>
          <w:lang w:val="fr-CH"/>
        </w:rPr>
        <w:tab/>
      </w:r>
      <w:r w:rsidR="00374045" w:rsidRPr="0071782F">
        <w:rPr>
          <w:lang w:val="fr-CH"/>
        </w:rPr>
        <w:t xml:space="preserve">La proportion des étudiants inscrits dans les instituts universitaires de formation des enseignants qui se destinent à l’enseignement a augmenté par rapport à l’année écoulée, passant de </w:t>
      </w:r>
      <w:r w:rsidRPr="0071782F">
        <w:rPr>
          <w:lang w:val="fr-CH"/>
        </w:rPr>
        <w:t xml:space="preserve">300 </w:t>
      </w:r>
      <w:r w:rsidR="00374045" w:rsidRPr="0071782F">
        <w:rPr>
          <w:lang w:val="fr-CH"/>
        </w:rPr>
        <w:t>à</w:t>
      </w:r>
      <w:r w:rsidRPr="0071782F">
        <w:rPr>
          <w:lang w:val="fr-CH"/>
        </w:rPr>
        <w:t xml:space="preserve"> 3</w:t>
      </w:r>
      <w:r w:rsidR="00374045" w:rsidRPr="0071782F">
        <w:rPr>
          <w:lang w:val="fr-CH"/>
        </w:rPr>
        <w:t xml:space="preserve"> </w:t>
      </w:r>
      <w:r w:rsidRPr="0071782F">
        <w:rPr>
          <w:lang w:val="fr-CH"/>
        </w:rPr>
        <w:t xml:space="preserve">000 </w:t>
      </w:r>
      <w:r w:rsidR="00374045" w:rsidRPr="0071782F">
        <w:rPr>
          <w:lang w:val="fr-CH"/>
        </w:rPr>
        <w:t>étudiants</w:t>
      </w:r>
      <w:r w:rsidRPr="0071782F">
        <w:rPr>
          <w:lang w:val="fr-CH"/>
        </w:rPr>
        <w:t>.</w:t>
      </w:r>
    </w:p>
    <w:p w:rsidR="00333944" w:rsidRPr="0071782F" w:rsidRDefault="00333944" w:rsidP="00B5489F">
      <w:pPr>
        <w:pStyle w:val="SingleTxtG"/>
        <w:ind w:left="1701"/>
        <w:rPr>
          <w:lang w:val="fr-CH"/>
        </w:rPr>
      </w:pPr>
      <w:r w:rsidRPr="0071782F">
        <w:rPr>
          <w:lang w:val="fr-CH"/>
        </w:rPr>
        <w:t>374.7</w:t>
      </w:r>
      <w:r w:rsidR="00DC5F56" w:rsidRPr="0071782F">
        <w:rPr>
          <w:lang w:val="fr-CH"/>
        </w:rPr>
        <w:t>.</w:t>
      </w:r>
      <w:r w:rsidRPr="0071782F">
        <w:rPr>
          <w:lang w:val="fr-CH"/>
        </w:rPr>
        <w:tab/>
      </w:r>
      <w:r w:rsidR="000B1A65" w:rsidRPr="0071782F">
        <w:rPr>
          <w:lang w:val="fr-CH"/>
        </w:rPr>
        <w:t xml:space="preserve">Une formation à l’enseignement du Coran a été ajoutée aux branches de la formation des enseignants. </w:t>
      </w:r>
    </w:p>
    <w:p w:rsidR="00333944" w:rsidRPr="0071782F" w:rsidRDefault="00333944" w:rsidP="00B5489F">
      <w:pPr>
        <w:pStyle w:val="SingleTxtG"/>
        <w:ind w:left="1701"/>
        <w:rPr>
          <w:lang w:val="fr-CH"/>
        </w:rPr>
      </w:pPr>
      <w:r w:rsidRPr="0071782F">
        <w:rPr>
          <w:lang w:val="fr-CH"/>
        </w:rPr>
        <w:t>374.8</w:t>
      </w:r>
      <w:r w:rsidR="00DC5F56" w:rsidRPr="0071782F">
        <w:rPr>
          <w:lang w:val="fr-CH"/>
        </w:rPr>
        <w:t>.</w:t>
      </w:r>
      <w:r w:rsidRPr="0071782F">
        <w:rPr>
          <w:lang w:val="fr-CH"/>
        </w:rPr>
        <w:tab/>
      </w:r>
      <w:r w:rsidR="000B1A65" w:rsidRPr="0071782F">
        <w:rPr>
          <w:lang w:val="fr-CH"/>
        </w:rPr>
        <w:t xml:space="preserve">En 2006, le </w:t>
      </w:r>
      <w:r w:rsidR="003B48A4" w:rsidRPr="0071782F">
        <w:rPr>
          <w:lang w:val="fr-CH"/>
        </w:rPr>
        <w:t>nombre</w:t>
      </w:r>
      <w:r w:rsidRPr="0071782F">
        <w:rPr>
          <w:lang w:val="fr-CH"/>
        </w:rPr>
        <w:t xml:space="preserve"> </w:t>
      </w:r>
      <w:r w:rsidR="000B1A65" w:rsidRPr="0071782F">
        <w:rPr>
          <w:lang w:val="fr-CH"/>
        </w:rPr>
        <w:t xml:space="preserve">moyen d’heures de formation dispensées aux employés du Ministère de l’éducation est passé de </w:t>
      </w:r>
      <w:r w:rsidRPr="0071782F">
        <w:rPr>
          <w:lang w:val="fr-CH"/>
        </w:rPr>
        <w:t xml:space="preserve">40 </w:t>
      </w:r>
      <w:r w:rsidR="000B1A65" w:rsidRPr="0071782F">
        <w:rPr>
          <w:lang w:val="fr-CH"/>
        </w:rPr>
        <w:t>à</w:t>
      </w:r>
      <w:r w:rsidRPr="0071782F">
        <w:rPr>
          <w:lang w:val="fr-CH"/>
        </w:rPr>
        <w:t xml:space="preserve"> 70</w:t>
      </w:r>
      <w:r w:rsidR="000B1A65" w:rsidRPr="0071782F">
        <w:rPr>
          <w:lang w:val="fr-CH"/>
        </w:rPr>
        <w:t>, ce qui est le nombre le plus élevé parmi les organes exécutifs</w:t>
      </w:r>
      <w:r w:rsidRPr="0071782F">
        <w:rPr>
          <w:lang w:val="fr-CH"/>
        </w:rPr>
        <w:t>.</w:t>
      </w:r>
    </w:p>
    <w:p w:rsidR="00333944" w:rsidRPr="0071782F" w:rsidRDefault="00333944" w:rsidP="00B5489F">
      <w:pPr>
        <w:pStyle w:val="SingleTxtG"/>
        <w:ind w:left="1701"/>
        <w:rPr>
          <w:lang w:val="fr-CH"/>
        </w:rPr>
      </w:pPr>
      <w:r w:rsidRPr="0071782F">
        <w:rPr>
          <w:lang w:val="fr-CH"/>
        </w:rPr>
        <w:t>374.9</w:t>
      </w:r>
      <w:r w:rsidR="00DC5F56" w:rsidRPr="0071782F">
        <w:rPr>
          <w:lang w:val="fr-CH"/>
        </w:rPr>
        <w:t>.</w:t>
      </w:r>
      <w:r w:rsidRPr="0071782F">
        <w:rPr>
          <w:lang w:val="fr-CH"/>
        </w:rPr>
        <w:tab/>
      </w:r>
      <w:r w:rsidR="00D95A1E" w:rsidRPr="0071782F">
        <w:rPr>
          <w:lang w:val="fr-CH"/>
        </w:rPr>
        <w:t>Afin d’inciter les enseignants à exercer dans les régions défavorisées, de les y retenir ou de leur donner une motivation supplémentaire</w:t>
      </w:r>
      <w:r w:rsidRPr="0071782F">
        <w:rPr>
          <w:lang w:val="fr-CH"/>
        </w:rPr>
        <w:t xml:space="preserve">, </w:t>
      </w:r>
      <w:r w:rsidR="00D95A1E" w:rsidRPr="0071782F">
        <w:rPr>
          <w:lang w:val="fr-CH"/>
        </w:rPr>
        <w:t>il a été décidé de leur conférer un maximum de deux échelons supplémentaires d’avancement venant s’ajouter à l’avancement d’échelon ordinaire</w:t>
      </w:r>
      <w:r w:rsidRPr="0071782F">
        <w:rPr>
          <w:lang w:val="fr-CH"/>
        </w:rPr>
        <w:t>.</w:t>
      </w:r>
    </w:p>
    <w:p w:rsidR="00333944" w:rsidRPr="0071782F" w:rsidRDefault="00333944" w:rsidP="00B5489F">
      <w:pPr>
        <w:pStyle w:val="SingleTxtG"/>
        <w:ind w:left="1701"/>
        <w:rPr>
          <w:lang w:val="fr-CH"/>
        </w:rPr>
      </w:pPr>
      <w:r w:rsidRPr="0071782F">
        <w:rPr>
          <w:lang w:val="fr-CH"/>
        </w:rPr>
        <w:t>374.10</w:t>
      </w:r>
      <w:r w:rsidR="00DC5F56" w:rsidRPr="0071782F">
        <w:rPr>
          <w:lang w:val="fr-CH"/>
        </w:rPr>
        <w:t xml:space="preserve">. </w:t>
      </w:r>
      <w:r w:rsidR="00EB71C6" w:rsidRPr="0071782F">
        <w:rPr>
          <w:lang w:val="fr-CH"/>
        </w:rPr>
        <w:t xml:space="preserve">Le quota de </w:t>
      </w:r>
      <w:r w:rsidRPr="0071782F">
        <w:rPr>
          <w:lang w:val="fr-CH"/>
        </w:rPr>
        <w:t>65</w:t>
      </w:r>
      <w:r w:rsidR="007E5125" w:rsidRPr="0071782F">
        <w:rPr>
          <w:lang w:val="fr-CH"/>
        </w:rPr>
        <w:t>%</w:t>
      </w:r>
      <w:r w:rsidR="00EB71C6" w:rsidRPr="0071782F">
        <w:rPr>
          <w:lang w:val="fr-CH"/>
        </w:rPr>
        <w:t xml:space="preserve"> d’enseignants devant bénéficier de promotions a été supprimé et tous les enseignants ont reçu </w:t>
      </w:r>
      <w:r w:rsidRPr="0071782F">
        <w:rPr>
          <w:lang w:val="fr-CH"/>
        </w:rPr>
        <w:t xml:space="preserve">600 points </w:t>
      </w:r>
      <w:r w:rsidR="00EB71C6" w:rsidRPr="0071782F">
        <w:rPr>
          <w:lang w:val="fr-CH"/>
        </w:rPr>
        <w:t>d’avancement</w:t>
      </w:r>
      <w:r w:rsidRPr="0071782F">
        <w:rPr>
          <w:lang w:val="fr-CH"/>
        </w:rPr>
        <w:t>.</w:t>
      </w:r>
    </w:p>
    <w:p w:rsidR="00333944" w:rsidRPr="0071782F" w:rsidRDefault="00333944" w:rsidP="00B5489F">
      <w:pPr>
        <w:pStyle w:val="SingleTxtG"/>
        <w:ind w:left="1701"/>
        <w:rPr>
          <w:lang w:val="fr-CH"/>
        </w:rPr>
      </w:pPr>
      <w:r w:rsidRPr="0071782F">
        <w:rPr>
          <w:lang w:val="fr-CH"/>
        </w:rPr>
        <w:t>374.11</w:t>
      </w:r>
      <w:r w:rsidR="00DC5F56" w:rsidRPr="0071782F">
        <w:rPr>
          <w:lang w:val="fr-CH"/>
        </w:rPr>
        <w:t xml:space="preserve">. </w:t>
      </w:r>
      <w:r w:rsidR="00EB71C6" w:rsidRPr="0071782F">
        <w:rPr>
          <w:lang w:val="fr-CH"/>
        </w:rPr>
        <w:t>Inscription de 60</w:t>
      </w:r>
      <w:r w:rsidR="00816714">
        <w:rPr>
          <w:lang w:val="fr-CH"/>
        </w:rPr>
        <w:t> </w:t>
      </w:r>
      <w:r w:rsidRPr="0071782F">
        <w:rPr>
          <w:lang w:val="fr-CH"/>
        </w:rPr>
        <w:t xml:space="preserve">000 </w:t>
      </w:r>
      <w:r w:rsidR="00EB71C6" w:rsidRPr="0071782F">
        <w:rPr>
          <w:lang w:val="fr-CH"/>
        </w:rPr>
        <w:t>étudiants au programme général de licence à mi-temps dispensé par les centres de formation des enseignants</w:t>
      </w:r>
      <w:r w:rsidRPr="0071782F">
        <w:rPr>
          <w:lang w:val="fr-CH"/>
        </w:rPr>
        <w:t>.</w:t>
      </w:r>
    </w:p>
    <w:p w:rsidR="00333944" w:rsidRPr="0071782F" w:rsidRDefault="00333944" w:rsidP="00B5489F">
      <w:pPr>
        <w:pStyle w:val="SingleTxtG"/>
        <w:ind w:left="1701"/>
        <w:rPr>
          <w:lang w:val="fr-CH"/>
        </w:rPr>
      </w:pPr>
      <w:r w:rsidRPr="0071782F">
        <w:rPr>
          <w:lang w:val="fr-CH"/>
        </w:rPr>
        <w:t>374.12</w:t>
      </w:r>
      <w:r w:rsidR="00DC5F56" w:rsidRPr="0071782F">
        <w:rPr>
          <w:lang w:val="fr-CH"/>
        </w:rPr>
        <w:t xml:space="preserve">. </w:t>
      </w:r>
      <w:r w:rsidR="00C52544" w:rsidRPr="0071782F">
        <w:rPr>
          <w:lang w:val="fr-CH"/>
        </w:rPr>
        <w:t>Le Conseil pour le développement de l’enseignement supérieur a autorisé 31</w:t>
      </w:r>
      <w:r w:rsidR="003B1403" w:rsidRPr="0071782F">
        <w:rPr>
          <w:lang w:val="fr-CH"/>
        </w:rPr>
        <w:t> </w:t>
      </w:r>
      <w:r w:rsidR="00C52544" w:rsidRPr="0071782F">
        <w:rPr>
          <w:lang w:val="fr-CH"/>
        </w:rPr>
        <w:t xml:space="preserve">centres de formation des enseignants à dispenser des programmes de licence discontinus et 41 autres centres de ce type à dispenser des programmes correspondant à un cycle d’études </w:t>
      </w:r>
      <w:r w:rsidR="00F84CB8" w:rsidRPr="0071782F">
        <w:rPr>
          <w:lang w:val="fr-CH"/>
        </w:rPr>
        <w:t>sanctionné par un premier diplôme universitaire</w:t>
      </w:r>
      <w:r w:rsidR="00C52544" w:rsidRPr="0071782F">
        <w:rPr>
          <w:lang w:val="fr-CH"/>
        </w:rPr>
        <w:t xml:space="preserve"> faites à mi-temps</w:t>
      </w:r>
      <w:r w:rsidRPr="0071782F">
        <w:rPr>
          <w:lang w:val="fr-CH"/>
        </w:rPr>
        <w:t>.</w:t>
      </w:r>
    </w:p>
    <w:p w:rsidR="00333944" w:rsidRPr="0071782F" w:rsidRDefault="00333944" w:rsidP="00B5489F">
      <w:pPr>
        <w:pStyle w:val="SingleTxtG"/>
        <w:ind w:left="1701"/>
        <w:rPr>
          <w:lang w:val="fr-CH"/>
        </w:rPr>
      </w:pPr>
      <w:r w:rsidRPr="0071782F">
        <w:rPr>
          <w:lang w:val="fr-CH"/>
        </w:rPr>
        <w:t>374.13</w:t>
      </w:r>
      <w:r w:rsidR="00DC5F56" w:rsidRPr="0071782F">
        <w:rPr>
          <w:lang w:val="fr-CH"/>
        </w:rPr>
        <w:t xml:space="preserve">. </w:t>
      </w:r>
      <w:r w:rsidR="0003397E" w:rsidRPr="0071782F">
        <w:rPr>
          <w:lang w:val="fr-CH"/>
        </w:rPr>
        <w:t xml:space="preserve">Conception et mise en </w:t>
      </w:r>
      <w:r w:rsidR="00D5366B" w:rsidRPr="0071782F">
        <w:rPr>
          <w:lang w:val="fr-CH"/>
        </w:rPr>
        <w:t>œuvre</w:t>
      </w:r>
      <w:r w:rsidR="0003397E" w:rsidRPr="0071782F">
        <w:rPr>
          <w:lang w:val="fr-CH"/>
        </w:rPr>
        <w:t xml:space="preserve"> du système intégré de formation continue dans les catégories professionnelles du programme de </w:t>
      </w:r>
      <w:r w:rsidRPr="0071782F">
        <w:rPr>
          <w:lang w:val="fr-CH"/>
        </w:rPr>
        <w:t xml:space="preserve">classification </w:t>
      </w:r>
      <w:r w:rsidR="0003397E" w:rsidRPr="0071782F">
        <w:rPr>
          <w:lang w:val="fr-CH"/>
        </w:rPr>
        <w:t>des métiers de l’enseignement</w:t>
      </w:r>
      <w:r w:rsidRPr="0071782F">
        <w:rPr>
          <w:lang w:val="fr-CH"/>
        </w:rPr>
        <w:t>.</w:t>
      </w:r>
    </w:p>
    <w:p w:rsidR="00333944" w:rsidRPr="0071782F" w:rsidRDefault="00333944" w:rsidP="00B5489F">
      <w:pPr>
        <w:pStyle w:val="SingleTxtG"/>
        <w:ind w:left="1701"/>
        <w:rPr>
          <w:lang w:val="fr-CH"/>
        </w:rPr>
      </w:pPr>
      <w:r w:rsidRPr="0071782F">
        <w:rPr>
          <w:lang w:val="fr-CH"/>
        </w:rPr>
        <w:t>374.14</w:t>
      </w:r>
      <w:r w:rsidR="00DC5F56" w:rsidRPr="0071782F">
        <w:rPr>
          <w:lang w:val="fr-CH"/>
        </w:rPr>
        <w:t xml:space="preserve">. </w:t>
      </w:r>
      <w:r w:rsidR="0003397E" w:rsidRPr="0071782F">
        <w:rPr>
          <w:lang w:val="fr-CH"/>
        </w:rPr>
        <w:t xml:space="preserve">Planification et </w:t>
      </w:r>
      <w:r w:rsidRPr="0071782F">
        <w:rPr>
          <w:lang w:val="fr-CH"/>
        </w:rPr>
        <w:t xml:space="preserve">coordination </w:t>
      </w:r>
      <w:r w:rsidR="0003397E" w:rsidRPr="0071782F">
        <w:rPr>
          <w:lang w:val="fr-CH"/>
        </w:rPr>
        <w:t xml:space="preserve">nécessaires pour dispenser </w:t>
      </w:r>
      <w:r w:rsidRPr="0071782F">
        <w:rPr>
          <w:lang w:val="fr-CH"/>
        </w:rPr>
        <w:t xml:space="preserve">300 </w:t>
      </w:r>
      <w:r w:rsidR="0003397E" w:rsidRPr="0071782F">
        <w:rPr>
          <w:lang w:val="fr-CH"/>
        </w:rPr>
        <w:t>programmes centralisés représentant 600</w:t>
      </w:r>
      <w:r w:rsidR="00816714">
        <w:rPr>
          <w:lang w:val="fr-CH"/>
        </w:rPr>
        <w:t> </w:t>
      </w:r>
      <w:r w:rsidRPr="0071782F">
        <w:rPr>
          <w:lang w:val="fr-CH"/>
        </w:rPr>
        <w:t>000</w:t>
      </w:r>
      <w:r w:rsidR="00BF435F" w:rsidRPr="0071782F">
        <w:rPr>
          <w:lang w:val="fr-CH"/>
        </w:rPr>
        <w:t> heures</w:t>
      </w:r>
      <w:r w:rsidR="0003397E" w:rsidRPr="0071782F">
        <w:rPr>
          <w:lang w:val="fr-CH"/>
        </w:rPr>
        <w:t>-personne de formation de courte durée pour le personnel</w:t>
      </w:r>
      <w:r w:rsidRPr="0071782F">
        <w:rPr>
          <w:lang w:val="fr-CH"/>
        </w:rPr>
        <w:t>.</w:t>
      </w:r>
    </w:p>
    <w:p w:rsidR="00333944" w:rsidRPr="0071782F" w:rsidRDefault="00333944" w:rsidP="00383098">
      <w:pPr>
        <w:pStyle w:val="SingleTxtG"/>
        <w:ind w:left="1701"/>
        <w:rPr>
          <w:lang w:val="fr-CH"/>
        </w:rPr>
      </w:pPr>
      <w:r w:rsidRPr="0071782F">
        <w:rPr>
          <w:lang w:val="fr-CH"/>
        </w:rPr>
        <w:t>374.15</w:t>
      </w:r>
      <w:r w:rsidR="00DC5F56" w:rsidRPr="0071782F">
        <w:rPr>
          <w:lang w:val="fr-CH"/>
        </w:rPr>
        <w:t xml:space="preserve">. </w:t>
      </w:r>
      <w:r w:rsidRPr="0071782F">
        <w:rPr>
          <w:lang w:val="fr-CH"/>
        </w:rPr>
        <w:t>Organi</w:t>
      </w:r>
      <w:r w:rsidR="0003397E" w:rsidRPr="0071782F">
        <w:rPr>
          <w:lang w:val="fr-CH"/>
        </w:rPr>
        <w:t>s</w:t>
      </w:r>
      <w:r w:rsidRPr="0071782F">
        <w:rPr>
          <w:lang w:val="fr-CH"/>
        </w:rPr>
        <w:t xml:space="preserve">ation </w:t>
      </w:r>
      <w:r w:rsidR="0003397E" w:rsidRPr="0071782F">
        <w:rPr>
          <w:lang w:val="fr-CH"/>
        </w:rPr>
        <w:t xml:space="preserve">de la sixième Conférence sur l’enseignement des mathématiques à </w:t>
      </w:r>
      <w:r w:rsidRPr="0071782F">
        <w:rPr>
          <w:lang w:val="fr-CH"/>
        </w:rPr>
        <w:t xml:space="preserve">Sanandaj, </w:t>
      </w:r>
      <w:r w:rsidR="0003397E" w:rsidRPr="0071782F">
        <w:rPr>
          <w:lang w:val="fr-CH"/>
        </w:rPr>
        <w:t xml:space="preserve">de la première Conférence sur les </w:t>
      </w:r>
      <w:r w:rsidRPr="0071782F">
        <w:rPr>
          <w:lang w:val="fr-CH"/>
        </w:rPr>
        <w:t xml:space="preserve">sciences </w:t>
      </w:r>
      <w:r w:rsidR="0003397E" w:rsidRPr="0071782F">
        <w:rPr>
          <w:lang w:val="fr-CH"/>
        </w:rPr>
        <w:t xml:space="preserve">sociales à </w:t>
      </w:r>
      <w:r w:rsidRPr="0071782F">
        <w:rPr>
          <w:lang w:val="fr-CH"/>
        </w:rPr>
        <w:t xml:space="preserve">Zanjan, </w:t>
      </w:r>
      <w:r w:rsidR="0003397E" w:rsidRPr="0071782F">
        <w:rPr>
          <w:lang w:val="fr-CH"/>
        </w:rPr>
        <w:t xml:space="preserve">de la sixième Conférence sur l’enseignement de la chimie à </w:t>
      </w:r>
      <w:r w:rsidRPr="0071782F">
        <w:rPr>
          <w:lang w:val="fr-CH"/>
        </w:rPr>
        <w:t xml:space="preserve">Ahvaz, </w:t>
      </w:r>
      <w:r w:rsidR="0003397E" w:rsidRPr="0071782F">
        <w:rPr>
          <w:lang w:val="fr-CH"/>
        </w:rPr>
        <w:t xml:space="preserve">de la première Conférence sur l’enseignement religieux et coranique à Ispahan et de la première Conférence sur la promotion des technologies de l’information au Ministère de l’éducation à </w:t>
      </w:r>
      <w:r w:rsidRPr="0071782F">
        <w:rPr>
          <w:lang w:val="fr-CH"/>
        </w:rPr>
        <w:t>Yazd.</w:t>
      </w:r>
    </w:p>
    <w:p w:rsidR="00333944" w:rsidRPr="0071782F" w:rsidRDefault="00333944" w:rsidP="00B5489F">
      <w:pPr>
        <w:pStyle w:val="SingleTxtG"/>
        <w:ind w:left="1701"/>
        <w:rPr>
          <w:lang w:val="fr-CH"/>
        </w:rPr>
      </w:pPr>
      <w:r w:rsidRPr="0071782F">
        <w:rPr>
          <w:lang w:val="fr-CH"/>
        </w:rPr>
        <w:t>374.16</w:t>
      </w:r>
      <w:r w:rsidR="00DC5F56" w:rsidRPr="0071782F">
        <w:rPr>
          <w:lang w:val="fr-CH"/>
        </w:rPr>
        <w:t xml:space="preserve">. </w:t>
      </w:r>
      <w:r w:rsidR="0003397E" w:rsidRPr="0071782F">
        <w:rPr>
          <w:lang w:val="fr-CH"/>
        </w:rPr>
        <w:t>P</w:t>
      </w:r>
      <w:r w:rsidRPr="0071782F">
        <w:rPr>
          <w:lang w:val="fr-CH"/>
        </w:rPr>
        <w:t xml:space="preserve">ublication </w:t>
      </w:r>
      <w:r w:rsidR="0003397E" w:rsidRPr="0071782F">
        <w:rPr>
          <w:lang w:val="fr-CH"/>
        </w:rPr>
        <w:t>de</w:t>
      </w:r>
      <w:r w:rsidRPr="0071782F">
        <w:rPr>
          <w:lang w:val="fr-CH"/>
        </w:rPr>
        <w:t xml:space="preserve"> 126 </w:t>
      </w:r>
      <w:r w:rsidR="0003397E" w:rsidRPr="0071782F">
        <w:rPr>
          <w:lang w:val="fr-CH"/>
        </w:rPr>
        <w:t>projets de recherche</w:t>
      </w:r>
      <w:r w:rsidRPr="0071782F">
        <w:rPr>
          <w:lang w:val="fr-CH"/>
        </w:rPr>
        <w:t xml:space="preserve">, </w:t>
      </w:r>
      <w:r w:rsidR="0003397E" w:rsidRPr="0071782F">
        <w:rPr>
          <w:lang w:val="fr-CH"/>
        </w:rPr>
        <w:t xml:space="preserve">de </w:t>
      </w:r>
      <w:r w:rsidRPr="0071782F">
        <w:rPr>
          <w:lang w:val="fr-CH"/>
        </w:rPr>
        <w:t xml:space="preserve">10 </w:t>
      </w:r>
      <w:r w:rsidR="0003397E" w:rsidRPr="0071782F">
        <w:rPr>
          <w:lang w:val="fr-CH"/>
        </w:rPr>
        <w:t xml:space="preserve">livres et de </w:t>
      </w:r>
      <w:r w:rsidRPr="0071782F">
        <w:rPr>
          <w:lang w:val="fr-CH"/>
        </w:rPr>
        <w:t>50</w:t>
      </w:r>
      <w:r w:rsidR="003B1403" w:rsidRPr="0071782F">
        <w:rPr>
          <w:lang w:val="fr-CH"/>
        </w:rPr>
        <w:t xml:space="preserve"> articles </w:t>
      </w:r>
      <w:r w:rsidR="0003397E" w:rsidRPr="0071782F">
        <w:rPr>
          <w:lang w:val="fr-CH"/>
        </w:rPr>
        <w:t>scientifiques</w:t>
      </w:r>
      <w:r w:rsidRPr="0071782F">
        <w:rPr>
          <w:lang w:val="fr-CH"/>
        </w:rPr>
        <w:t xml:space="preserve">, </w:t>
      </w:r>
      <w:r w:rsidR="0003397E" w:rsidRPr="0071782F">
        <w:rPr>
          <w:lang w:val="fr-CH"/>
        </w:rPr>
        <w:t xml:space="preserve">et participation de </w:t>
      </w:r>
      <w:r w:rsidRPr="0071782F">
        <w:rPr>
          <w:lang w:val="fr-CH"/>
        </w:rPr>
        <w:t xml:space="preserve">16 </w:t>
      </w:r>
      <w:r w:rsidR="0003397E" w:rsidRPr="0071782F">
        <w:rPr>
          <w:lang w:val="fr-CH"/>
        </w:rPr>
        <w:t>professeurs d’université aux principales conférences internationales</w:t>
      </w:r>
      <w:r w:rsidRPr="0071782F">
        <w:rPr>
          <w:lang w:val="fr-CH"/>
        </w:rPr>
        <w:t>.</w:t>
      </w:r>
    </w:p>
    <w:p w:rsidR="00333944" w:rsidRPr="0071782F" w:rsidRDefault="00333944" w:rsidP="00B5489F">
      <w:pPr>
        <w:pStyle w:val="SingleTxtG"/>
        <w:ind w:left="1701"/>
        <w:rPr>
          <w:lang w:val="fr-CH"/>
        </w:rPr>
      </w:pPr>
      <w:r w:rsidRPr="0071782F">
        <w:rPr>
          <w:lang w:val="fr-CH"/>
        </w:rPr>
        <w:t>374.17</w:t>
      </w:r>
      <w:r w:rsidR="00DC5F56" w:rsidRPr="0071782F">
        <w:rPr>
          <w:lang w:val="fr-CH"/>
        </w:rPr>
        <w:t xml:space="preserve">. </w:t>
      </w:r>
      <w:r w:rsidR="0003397E" w:rsidRPr="0071782F">
        <w:rPr>
          <w:lang w:val="fr-CH"/>
        </w:rPr>
        <w:t xml:space="preserve">Mise en </w:t>
      </w:r>
      <w:r w:rsidR="00D5366B" w:rsidRPr="0071782F">
        <w:rPr>
          <w:lang w:val="fr-CH"/>
        </w:rPr>
        <w:t>œuvre</w:t>
      </w:r>
      <w:r w:rsidR="0003397E" w:rsidRPr="0071782F">
        <w:rPr>
          <w:lang w:val="fr-CH"/>
        </w:rPr>
        <w:t xml:space="preserve"> du </w:t>
      </w:r>
      <w:r w:rsidRPr="0071782F">
        <w:rPr>
          <w:lang w:val="fr-CH"/>
        </w:rPr>
        <w:t>program</w:t>
      </w:r>
      <w:r w:rsidR="0003397E" w:rsidRPr="0071782F">
        <w:rPr>
          <w:lang w:val="fr-CH"/>
        </w:rPr>
        <w:t xml:space="preserve">me destiné à transmettre de nouvelles connaissances aux femmes employées dans le secteur de l’éducation et à renforcer leur autonomie, programme dans le cadre duquel </w:t>
      </w:r>
      <w:r w:rsidRPr="0071782F">
        <w:rPr>
          <w:lang w:val="fr-CH"/>
        </w:rPr>
        <w:t>3</w:t>
      </w:r>
      <w:r w:rsidR="003B1403" w:rsidRPr="0071782F">
        <w:rPr>
          <w:lang w:val="fr-CH"/>
        </w:rPr>
        <w:t> </w:t>
      </w:r>
      <w:r w:rsidRPr="0071782F">
        <w:rPr>
          <w:lang w:val="fr-CH"/>
        </w:rPr>
        <w:t xml:space="preserve">600 </w:t>
      </w:r>
      <w:r w:rsidR="0003397E" w:rsidRPr="0071782F">
        <w:rPr>
          <w:lang w:val="fr-CH"/>
        </w:rPr>
        <w:t xml:space="preserve">directrices d’école et </w:t>
      </w:r>
      <w:r w:rsidRPr="0071782F">
        <w:rPr>
          <w:lang w:val="fr-CH"/>
        </w:rPr>
        <w:t>400</w:t>
      </w:r>
      <w:r w:rsidR="003B1403" w:rsidRPr="0071782F">
        <w:rPr>
          <w:lang w:val="fr-CH"/>
        </w:rPr>
        <w:t> </w:t>
      </w:r>
      <w:r w:rsidRPr="0071782F">
        <w:rPr>
          <w:lang w:val="fr-CH"/>
        </w:rPr>
        <w:t>sp</w:t>
      </w:r>
      <w:r w:rsidR="0003397E" w:rsidRPr="0071782F">
        <w:rPr>
          <w:lang w:val="fr-CH"/>
        </w:rPr>
        <w:t>é</w:t>
      </w:r>
      <w:r w:rsidRPr="0071782F">
        <w:rPr>
          <w:lang w:val="fr-CH"/>
        </w:rPr>
        <w:t>cialist</w:t>
      </w:r>
      <w:r w:rsidR="0003397E" w:rsidRPr="0071782F">
        <w:rPr>
          <w:lang w:val="fr-CH"/>
        </w:rPr>
        <w:t>e</w:t>
      </w:r>
      <w:r w:rsidRPr="0071782F">
        <w:rPr>
          <w:lang w:val="fr-CH"/>
        </w:rPr>
        <w:t>s</w:t>
      </w:r>
      <w:r w:rsidR="0003397E" w:rsidRPr="0071782F">
        <w:rPr>
          <w:lang w:val="fr-CH"/>
        </w:rPr>
        <w:t xml:space="preserve"> ont reçu une formation</w:t>
      </w:r>
      <w:r w:rsidRPr="0071782F">
        <w:rPr>
          <w:lang w:val="fr-CH"/>
        </w:rPr>
        <w:t xml:space="preserve">. </w:t>
      </w:r>
    </w:p>
    <w:p w:rsidR="00333944" w:rsidRPr="0071782F" w:rsidRDefault="00333944" w:rsidP="00B5489F">
      <w:pPr>
        <w:pStyle w:val="SingleTxtG"/>
        <w:ind w:left="1701"/>
        <w:rPr>
          <w:lang w:val="fr-CH"/>
        </w:rPr>
      </w:pPr>
      <w:r w:rsidRPr="0071782F">
        <w:rPr>
          <w:lang w:val="fr-CH"/>
        </w:rPr>
        <w:t>374.18</w:t>
      </w:r>
      <w:r w:rsidR="00DC5F56" w:rsidRPr="0071782F">
        <w:rPr>
          <w:lang w:val="fr-CH"/>
        </w:rPr>
        <w:t xml:space="preserve">. </w:t>
      </w:r>
      <w:r w:rsidR="0003397E" w:rsidRPr="0071782F">
        <w:rPr>
          <w:lang w:val="fr-CH"/>
        </w:rPr>
        <w:t xml:space="preserve">Deux </w:t>
      </w:r>
      <w:r w:rsidRPr="0071782F">
        <w:rPr>
          <w:lang w:val="fr-CH"/>
        </w:rPr>
        <w:t>conf</w:t>
      </w:r>
      <w:r w:rsidR="0003397E" w:rsidRPr="0071782F">
        <w:rPr>
          <w:lang w:val="fr-CH"/>
        </w:rPr>
        <w:t>é</w:t>
      </w:r>
      <w:r w:rsidRPr="0071782F">
        <w:rPr>
          <w:lang w:val="fr-CH"/>
        </w:rPr>
        <w:t xml:space="preserve">rences </w:t>
      </w:r>
      <w:r w:rsidR="0003397E" w:rsidRPr="0071782F">
        <w:rPr>
          <w:lang w:val="fr-CH"/>
        </w:rPr>
        <w:t xml:space="preserve">ont été organisées à l’intention de </w:t>
      </w:r>
      <w:r w:rsidRPr="0071782F">
        <w:rPr>
          <w:lang w:val="fr-CH"/>
        </w:rPr>
        <w:t>1</w:t>
      </w:r>
      <w:r w:rsidR="003B1403" w:rsidRPr="0071782F">
        <w:rPr>
          <w:lang w:val="fr-CH"/>
        </w:rPr>
        <w:t> </w:t>
      </w:r>
      <w:r w:rsidRPr="0071782F">
        <w:rPr>
          <w:lang w:val="fr-CH"/>
        </w:rPr>
        <w:t xml:space="preserve">000 </w:t>
      </w:r>
      <w:r w:rsidR="0003397E" w:rsidRPr="0071782F">
        <w:rPr>
          <w:lang w:val="fr-CH"/>
        </w:rPr>
        <w:t>responsables éducatifs du pays</w:t>
      </w:r>
      <w:r w:rsidRPr="0071782F">
        <w:rPr>
          <w:lang w:val="fr-CH"/>
        </w:rPr>
        <w:t xml:space="preserve">, </w:t>
      </w:r>
      <w:r w:rsidR="0003397E" w:rsidRPr="0071782F">
        <w:rPr>
          <w:lang w:val="fr-CH"/>
        </w:rPr>
        <w:t>en présence de responsables politiques de haut rang</w:t>
      </w:r>
      <w:r w:rsidRPr="0071782F">
        <w:rPr>
          <w:lang w:val="fr-CH"/>
        </w:rPr>
        <w:t>.</w:t>
      </w:r>
    </w:p>
    <w:p w:rsidR="00333944" w:rsidRPr="0071782F" w:rsidRDefault="00333944" w:rsidP="00B5489F">
      <w:pPr>
        <w:pStyle w:val="SingleTxtG"/>
        <w:ind w:left="1701"/>
        <w:rPr>
          <w:lang w:val="fr-CH"/>
        </w:rPr>
      </w:pPr>
      <w:r w:rsidRPr="0071782F">
        <w:rPr>
          <w:lang w:val="fr-CH"/>
        </w:rPr>
        <w:t>374.19</w:t>
      </w:r>
      <w:r w:rsidR="00DC5F56" w:rsidRPr="0071782F">
        <w:rPr>
          <w:lang w:val="fr-CH"/>
        </w:rPr>
        <w:t xml:space="preserve">. </w:t>
      </w:r>
      <w:r w:rsidR="0003397E" w:rsidRPr="0071782F">
        <w:rPr>
          <w:lang w:val="fr-CH"/>
        </w:rPr>
        <w:t>Création du Complexe d’enseignement supérieur du Saint Prophète, qui vise à régler les problèmes éducatifs des enseignants et à fournir les ressources humaines nécessaires.</w:t>
      </w:r>
    </w:p>
    <w:p w:rsidR="00333944" w:rsidRPr="0071782F" w:rsidRDefault="00333944" w:rsidP="00333944">
      <w:pPr>
        <w:pStyle w:val="H23G"/>
        <w:rPr>
          <w:lang w:val="fr-CH"/>
        </w:rPr>
      </w:pPr>
      <w:r w:rsidRPr="0071782F">
        <w:rPr>
          <w:lang w:val="fr-CH"/>
        </w:rPr>
        <w:tab/>
      </w:r>
      <w:r w:rsidRPr="0071782F">
        <w:rPr>
          <w:lang w:val="fr-CH"/>
        </w:rPr>
        <w:tab/>
      </w:r>
      <w:r w:rsidR="0003397E" w:rsidRPr="0071782F">
        <w:rPr>
          <w:lang w:val="fr-CH"/>
        </w:rPr>
        <w:t xml:space="preserve">Revenu et protection sociale du personnel éducatif </w:t>
      </w:r>
    </w:p>
    <w:p w:rsidR="00333944" w:rsidRPr="0071782F" w:rsidRDefault="00333944" w:rsidP="00333944">
      <w:pPr>
        <w:pStyle w:val="SingleTxtG"/>
        <w:rPr>
          <w:lang w:val="fr-CH"/>
        </w:rPr>
      </w:pPr>
      <w:r w:rsidRPr="0071782F">
        <w:rPr>
          <w:lang w:val="fr-CH"/>
        </w:rPr>
        <w:t>375.</w:t>
      </w:r>
      <w:r w:rsidRPr="0071782F">
        <w:rPr>
          <w:lang w:val="fr-CH"/>
        </w:rPr>
        <w:tab/>
      </w:r>
      <w:r w:rsidR="002F4731" w:rsidRPr="0071782F">
        <w:rPr>
          <w:lang w:val="fr-CH"/>
        </w:rPr>
        <w:t>À ce sujet, il convient de noter ce qui suit</w:t>
      </w:r>
      <w:r w:rsidR="008F7D33" w:rsidRPr="0071782F">
        <w:rPr>
          <w:lang w:val="fr-CH"/>
        </w:rPr>
        <w:t>:</w:t>
      </w:r>
    </w:p>
    <w:p w:rsidR="00333944" w:rsidRPr="0071782F" w:rsidRDefault="00333944" w:rsidP="00DC5F56">
      <w:pPr>
        <w:pStyle w:val="SingleTxtG"/>
        <w:ind w:left="1701"/>
        <w:rPr>
          <w:lang w:val="fr-CH"/>
        </w:rPr>
      </w:pPr>
      <w:r w:rsidRPr="0071782F">
        <w:rPr>
          <w:lang w:val="fr-CH"/>
        </w:rPr>
        <w:t>375.1</w:t>
      </w:r>
      <w:r w:rsidR="002205FD" w:rsidRPr="0071782F">
        <w:rPr>
          <w:lang w:val="fr-CH"/>
        </w:rPr>
        <w:t>.</w:t>
      </w:r>
      <w:r w:rsidRPr="0071782F">
        <w:rPr>
          <w:lang w:val="fr-CH"/>
        </w:rPr>
        <w:tab/>
      </w:r>
      <w:r w:rsidR="00852DD5" w:rsidRPr="0071782F">
        <w:rPr>
          <w:lang w:val="fr-CH"/>
        </w:rPr>
        <w:t xml:space="preserve">Un accord a été conclu avec le Ministère du logement en vue de la </w:t>
      </w:r>
      <w:r w:rsidRPr="0071782F">
        <w:rPr>
          <w:lang w:val="fr-CH"/>
        </w:rPr>
        <w:t xml:space="preserve">construction </w:t>
      </w:r>
      <w:r w:rsidR="00852DD5" w:rsidRPr="0071782F">
        <w:rPr>
          <w:lang w:val="fr-CH"/>
        </w:rPr>
        <w:t xml:space="preserve">de </w:t>
      </w:r>
      <w:r w:rsidRPr="0071782F">
        <w:rPr>
          <w:lang w:val="fr-CH"/>
        </w:rPr>
        <w:t>110</w:t>
      </w:r>
      <w:r w:rsidR="003B1403" w:rsidRPr="0071782F">
        <w:rPr>
          <w:lang w:val="fr-CH"/>
        </w:rPr>
        <w:t> </w:t>
      </w:r>
      <w:r w:rsidRPr="0071782F">
        <w:rPr>
          <w:lang w:val="fr-CH"/>
        </w:rPr>
        <w:t>000</w:t>
      </w:r>
      <w:r w:rsidR="003F25A2">
        <w:rPr>
          <w:lang w:val="fr-CH"/>
        </w:rPr>
        <w:t> logements</w:t>
      </w:r>
      <w:r w:rsidRPr="0071782F">
        <w:rPr>
          <w:lang w:val="fr-CH"/>
        </w:rPr>
        <w:t>.</w:t>
      </w:r>
    </w:p>
    <w:p w:rsidR="00333944" w:rsidRPr="0071782F" w:rsidRDefault="00333944" w:rsidP="00DC5F56">
      <w:pPr>
        <w:pStyle w:val="SingleTxtG"/>
        <w:ind w:left="1701"/>
        <w:rPr>
          <w:lang w:val="fr-CH"/>
        </w:rPr>
      </w:pPr>
      <w:r w:rsidRPr="0071782F">
        <w:rPr>
          <w:lang w:val="fr-CH"/>
        </w:rPr>
        <w:t>375.2</w:t>
      </w:r>
      <w:r w:rsidR="002205FD" w:rsidRPr="0071782F">
        <w:rPr>
          <w:lang w:val="fr-CH"/>
        </w:rPr>
        <w:t>.</w:t>
      </w:r>
      <w:r w:rsidRPr="0071782F">
        <w:rPr>
          <w:lang w:val="fr-CH"/>
        </w:rPr>
        <w:tab/>
      </w:r>
      <w:r w:rsidR="00852DD5" w:rsidRPr="0071782F">
        <w:rPr>
          <w:lang w:val="fr-CH"/>
        </w:rPr>
        <w:t xml:space="preserve">On a créé des centres de </w:t>
      </w:r>
      <w:r w:rsidRPr="0071782F">
        <w:rPr>
          <w:lang w:val="fr-CH"/>
        </w:rPr>
        <w:t xml:space="preserve">consultation </w:t>
      </w:r>
      <w:r w:rsidR="00852DD5" w:rsidRPr="0071782F">
        <w:rPr>
          <w:lang w:val="fr-CH"/>
        </w:rPr>
        <w:t xml:space="preserve">juridique pour le personnel enseignant dans 10 </w:t>
      </w:r>
      <w:r w:rsidRPr="0071782F">
        <w:rPr>
          <w:lang w:val="fr-CH"/>
        </w:rPr>
        <w:t xml:space="preserve">provinces, </w:t>
      </w:r>
      <w:r w:rsidR="00852DD5" w:rsidRPr="0071782F">
        <w:rPr>
          <w:lang w:val="fr-CH"/>
        </w:rPr>
        <w:t xml:space="preserve">et </w:t>
      </w:r>
      <w:r w:rsidRPr="0071782F">
        <w:rPr>
          <w:lang w:val="fr-CH"/>
        </w:rPr>
        <w:t>22</w:t>
      </w:r>
      <w:r w:rsidR="00816714">
        <w:rPr>
          <w:lang w:val="fr-CH"/>
        </w:rPr>
        <w:t> </w:t>
      </w:r>
      <w:r w:rsidRPr="0071782F">
        <w:rPr>
          <w:lang w:val="fr-CH"/>
        </w:rPr>
        <w:t xml:space="preserve">000 consultations </w:t>
      </w:r>
      <w:r w:rsidR="00852DD5" w:rsidRPr="0071782F">
        <w:rPr>
          <w:lang w:val="fr-CH"/>
        </w:rPr>
        <w:t>ont été assurées</w:t>
      </w:r>
      <w:r w:rsidRPr="0071782F">
        <w:rPr>
          <w:lang w:val="fr-CH"/>
        </w:rPr>
        <w:t>.</w:t>
      </w:r>
    </w:p>
    <w:p w:rsidR="00333944" w:rsidRPr="0071782F" w:rsidRDefault="00333944" w:rsidP="00DC5F56">
      <w:pPr>
        <w:pStyle w:val="SingleTxtG"/>
        <w:ind w:left="1701"/>
        <w:rPr>
          <w:lang w:val="fr-CH"/>
        </w:rPr>
      </w:pPr>
      <w:r w:rsidRPr="0071782F">
        <w:rPr>
          <w:lang w:val="fr-CH"/>
        </w:rPr>
        <w:t>375.3</w:t>
      </w:r>
      <w:r w:rsidR="002205FD" w:rsidRPr="0071782F">
        <w:rPr>
          <w:lang w:val="fr-CH"/>
        </w:rPr>
        <w:t>.</w:t>
      </w:r>
      <w:r w:rsidRPr="0071782F">
        <w:rPr>
          <w:lang w:val="fr-CH"/>
        </w:rPr>
        <w:tab/>
      </w:r>
      <w:r w:rsidR="00852DD5" w:rsidRPr="0071782F">
        <w:rPr>
          <w:lang w:val="fr-CH"/>
        </w:rPr>
        <w:t xml:space="preserve">On a créé </w:t>
      </w:r>
      <w:r w:rsidRPr="0071782F">
        <w:rPr>
          <w:lang w:val="fr-CH"/>
        </w:rPr>
        <w:t>12 h</w:t>
      </w:r>
      <w:r w:rsidR="00852DD5" w:rsidRPr="0071782F">
        <w:rPr>
          <w:lang w:val="fr-CH"/>
        </w:rPr>
        <w:t>ôpitaux</w:t>
      </w:r>
      <w:r w:rsidRPr="0071782F">
        <w:rPr>
          <w:lang w:val="fr-CH"/>
        </w:rPr>
        <w:t xml:space="preserve">, </w:t>
      </w:r>
      <w:r w:rsidR="00852DD5" w:rsidRPr="0071782F">
        <w:rPr>
          <w:lang w:val="fr-CH"/>
        </w:rPr>
        <w:t>six cliniques dentaires</w:t>
      </w:r>
      <w:r w:rsidRPr="0071782F">
        <w:rPr>
          <w:lang w:val="fr-CH"/>
        </w:rPr>
        <w:t xml:space="preserve">, </w:t>
      </w:r>
      <w:r w:rsidR="00852DD5" w:rsidRPr="0071782F">
        <w:rPr>
          <w:lang w:val="fr-CH"/>
        </w:rPr>
        <w:t xml:space="preserve">sept centres de loisirs et </w:t>
      </w:r>
      <w:r w:rsidRPr="0071782F">
        <w:rPr>
          <w:lang w:val="fr-CH"/>
        </w:rPr>
        <w:t>50</w:t>
      </w:r>
      <w:r w:rsidR="003B1403" w:rsidRPr="0071782F">
        <w:rPr>
          <w:lang w:val="fr-CH"/>
        </w:rPr>
        <w:t> </w:t>
      </w:r>
      <w:r w:rsidR="00852DD5" w:rsidRPr="0071782F">
        <w:rPr>
          <w:lang w:val="fr-CH"/>
        </w:rPr>
        <w:t>foyers résidentiels pour enseignants</w:t>
      </w:r>
      <w:r w:rsidRPr="0071782F">
        <w:rPr>
          <w:lang w:val="fr-CH"/>
        </w:rPr>
        <w:t>.</w:t>
      </w:r>
    </w:p>
    <w:p w:rsidR="00333944" w:rsidRPr="0071782F" w:rsidRDefault="00333944" w:rsidP="00DC5F56">
      <w:pPr>
        <w:pStyle w:val="SingleTxtG"/>
        <w:ind w:left="1701"/>
        <w:rPr>
          <w:lang w:val="fr-CH"/>
        </w:rPr>
      </w:pPr>
      <w:r w:rsidRPr="0071782F">
        <w:rPr>
          <w:lang w:val="fr-CH"/>
        </w:rPr>
        <w:t>375.4</w:t>
      </w:r>
      <w:r w:rsidR="002205FD" w:rsidRPr="0071782F">
        <w:rPr>
          <w:lang w:val="fr-CH"/>
        </w:rPr>
        <w:t>.</w:t>
      </w:r>
      <w:r w:rsidRPr="0071782F">
        <w:rPr>
          <w:lang w:val="fr-CH"/>
        </w:rPr>
        <w:tab/>
      </w:r>
      <w:r w:rsidR="00852DD5" w:rsidRPr="0071782F">
        <w:rPr>
          <w:lang w:val="fr-CH"/>
        </w:rPr>
        <w:t>Un suivi intensif a permis de verser, en</w:t>
      </w:r>
      <w:r w:rsidRPr="0071782F">
        <w:rPr>
          <w:lang w:val="fr-CH"/>
        </w:rPr>
        <w:t xml:space="preserve"> 2006, 98</w:t>
      </w:r>
      <w:r w:rsidR="007E5125" w:rsidRPr="0071782F">
        <w:rPr>
          <w:lang w:val="fr-CH"/>
        </w:rPr>
        <w:t>%</w:t>
      </w:r>
      <w:r w:rsidR="00852DD5" w:rsidRPr="0071782F">
        <w:rPr>
          <w:lang w:val="fr-CH"/>
        </w:rPr>
        <w:t xml:space="preserve"> de leurs salaires en retard aux enseignants</w:t>
      </w:r>
      <w:r w:rsidRPr="0071782F">
        <w:rPr>
          <w:lang w:val="fr-CH"/>
        </w:rPr>
        <w:t>.</w:t>
      </w:r>
    </w:p>
    <w:p w:rsidR="00333944" w:rsidRPr="0071782F" w:rsidRDefault="00333944" w:rsidP="00DC5F56">
      <w:pPr>
        <w:pStyle w:val="SingleTxtG"/>
        <w:ind w:left="1701"/>
        <w:rPr>
          <w:lang w:val="fr-CH"/>
        </w:rPr>
      </w:pPr>
      <w:r w:rsidRPr="0071782F">
        <w:rPr>
          <w:lang w:val="fr-CH"/>
        </w:rPr>
        <w:t>375.5</w:t>
      </w:r>
      <w:r w:rsidR="002205FD" w:rsidRPr="0071782F">
        <w:rPr>
          <w:lang w:val="fr-CH"/>
        </w:rPr>
        <w:t>.</w:t>
      </w:r>
      <w:r w:rsidRPr="0071782F">
        <w:rPr>
          <w:lang w:val="fr-CH"/>
        </w:rPr>
        <w:tab/>
      </w:r>
      <w:r w:rsidR="00852DD5" w:rsidRPr="0071782F">
        <w:rPr>
          <w:lang w:val="fr-CH"/>
        </w:rPr>
        <w:t xml:space="preserve">Le prêt accordé aux enseignants pour l’acquisition d’un logement est passé de </w:t>
      </w:r>
      <w:r w:rsidRPr="0071782F">
        <w:rPr>
          <w:lang w:val="fr-CH"/>
        </w:rPr>
        <w:t xml:space="preserve">35 </w:t>
      </w:r>
      <w:r w:rsidR="00852DD5" w:rsidRPr="0071782F">
        <w:rPr>
          <w:lang w:val="fr-CH"/>
        </w:rPr>
        <w:t>à</w:t>
      </w:r>
      <w:r w:rsidRPr="0071782F">
        <w:rPr>
          <w:lang w:val="fr-CH"/>
        </w:rPr>
        <w:t xml:space="preserve"> 80</w:t>
      </w:r>
      <w:r w:rsidR="00097CDB" w:rsidRPr="0071782F">
        <w:rPr>
          <w:lang w:val="fr-CH"/>
        </w:rPr>
        <w:t> millions</w:t>
      </w:r>
      <w:r w:rsidR="00852DD5" w:rsidRPr="0071782F">
        <w:rPr>
          <w:lang w:val="fr-CH"/>
        </w:rPr>
        <w:t xml:space="preserve"> </w:t>
      </w:r>
      <w:r w:rsidR="003B1403" w:rsidRPr="0071782F">
        <w:rPr>
          <w:lang w:val="fr-CH"/>
        </w:rPr>
        <w:t>de rials</w:t>
      </w:r>
      <w:r w:rsidRPr="0071782F">
        <w:rPr>
          <w:lang w:val="fr-CH"/>
        </w:rPr>
        <w:t>.</w:t>
      </w:r>
    </w:p>
    <w:p w:rsidR="00333944" w:rsidRPr="0071782F" w:rsidRDefault="00333944" w:rsidP="00DC5F56">
      <w:pPr>
        <w:pStyle w:val="SingleTxtG"/>
        <w:ind w:left="1701"/>
        <w:rPr>
          <w:lang w:val="fr-CH"/>
        </w:rPr>
      </w:pPr>
      <w:r w:rsidRPr="0071782F">
        <w:rPr>
          <w:lang w:val="fr-CH"/>
        </w:rPr>
        <w:t>375.6</w:t>
      </w:r>
      <w:r w:rsidR="002205FD" w:rsidRPr="0071782F">
        <w:rPr>
          <w:lang w:val="fr-CH"/>
        </w:rPr>
        <w:t>.</w:t>
      </w:r>
      <w:r w:rsidRPr="0071782F">
        <w:rPr>
          <w:lang w:val="fr-CH"/>
        </w:rPr>
        <w:tab/>
      </w:r>
      <w:r w:rsidR="00852DD5" w:rsidRPr="0071782F">
        <w:rPr>
          <w:lang w:val="fr-CH"/>
        </w:rPr>
        <w:t>Le taux de rémunération des enseignants a été multiplié par 2,5 et les avantages qu’ils perçoivent ont augmenté de 10</w:t>
      </w:r>
      <w:r w:rsidR="007E5125" w:rsidRPr="0071782F">
        <w:rPr>
          <w:lang w:val="fr-CH"/>
        </w:rPr>
        <w:t>%</w:t>
      </w:r>
      <w:r w:rsidR="00852DD5" w:rsidRPr="0071782F">
        <w:rPr>
          <w:lang w:val="fr-CH"/>
        </w:rPr>
        <w:t>.</w:t>
      </w:r>
    </w:p>
    <w:p w:rsidR="00333944" w:rsidRPr="0071782F" w:rsidRDefault="00333944" w:rsidP="00DC5F56">
      <w:pPr>
        <w:pStyle w:val="SingleTxtG"/>
        <w:ind w:left="1701"/>
        <w:rPr>
          <w:lang w:val="fr-CH"/>
        </w:rPr>
      </w:pPr>
      <w:r w:rsidRPr="0071782F">
        <w:rPr>
          <w:lang w:val="fr-CH"/>
        </w:rPr>
        <w:t>375.7</w:t>
      </w:r>
      <w:r w:rsidR="002205FD" w:rsidRPr="0071782F">
        <w:rPr>
          <w:lang w:val="fr-CH"/>
        </w:rPr>
        <w:t>.</w:t>
      </w:r>
      <w:r w:rsidRPr="0071782F">
        <w:rPr>
          <w:lang w:val="fr-CH"/>
        </w:rPr>
        <w:tab/>
      </w:r>
      <w:r w:rsidR="00852DD5" w:rsidRPr="0071782F">
        <w:rPr>
          <w:lang w:val="fr-CH"/>
        </w:rPr>
        <w:t xml:space="preserve">Plus de </w:t>
      </w:r>
      <w:r w:rsidRPr="0071782F">
        <w:rPr>
          <w:lang w:val="fr-CH"/>
        </w:rPr>
        <w:t>10</w:t>
      </w:r>
      <w:r w:rsidR="003B1403" w:rsidRPr="0071782F">
        <w:rPr>
          <w:lang w:val="fr-CH"/>
        </w:rPr>
        <w:t> </w:t>
      </w:r>
      <w:r w:rsidRPr="0071782F">
        <w:rPr>
          <w:lang w:val="fr-CH"/>
        </w:rPr>
        <w:t>000</w:t>
      </w:r>
      <w:r w:rsidR="003F25A2">
        <w:rPr>
          <w:lang w:val="fr-CH"/>
        </w:rPr>
        <w:t> logements</w:t>
      </w:r>
      <w:r w:rsidR="00852DD5" w:rsidRPr="0071782F">
        <w:rPr>
          <w:lang w:val="fr-CH"/>
        </w:rPr>
        <w:t xml:space="preserve"> ont été construits en </w:t>
      </w:r>
      <w:r w:rsidRPr="0071782F">
        <w:rPr>
          <w:lang w:val="fr-CH"/>
        </w:rPr>
        <w:t xml:space="preserve">collaboration </w:t>
      </w:r>
      <w:r w:rsidR="00852DD5" w:rsidRPr="0071782F">
        <w:rPr>
          <w:lang w:val="fr-CH"/>
        </w:rPr>
        <w:t>avec des coopératives de logement et mis à la disposition du personnel éducatif</w:t>
      </w:r>
      <w:r w:rsidRPr="0071782F">
        <w:rPr>
          <w:lang w:val="fr-CH"/>
        </w:rPr>
        <w:t>.</w:t>
      </w:r>
    </w:p>
    <w:p w:rsidR="00333944" w:rsidRPr="0071782F" w:rsidRDefault="00333944" w:rsidP="00DC5F56">
      <w:pPr>
        <w:pStyle w:val="SingleTxtG"/>
        <w:ind w:left="1701"/>
        <w:rPr>
          <w:lang w:val="fr-CH"/>
        </w:rPr>
      </w:pPr>
      <w:r w:rsidRPr="0071782F">
        <w:rPr>
          <w:lang w:val="fr-CH"/>
        </w:rPr>
        <w:t>375.8</w:t>
      </w:r>
      <w:r w:rsidR="002205FD" w:rsidRPr="0071782F">
        <w:rPr>
          <w:lang w:val="fr-CH"/>
        </w:rPr>
        <w:t>.</w:t>
      </w:r>
      <w:r w:rsidRPr="0071782F">
        <w:rPr>
          <w:lang w:val="fr-CH"/>
        </w:rPr>
        <w:tab/>
      </w:r>
      <w:r w:rsidR="00852DD5" w:rsidRPr="0071782F">
        <w:rPr>
          <w:lang w:val="fr-CH"/>
        </w:rPr>
        <w:t xml:space="preserve">La limite supérieure des prêts personnels a été relevée de </w:t>
      </w:r>
      <w:r w:rsidRPr="0071782F">
        <w:rPr>
          <w:lang w:val="fr-CH"/>
        </w:rPr>
        <w:t xml:space="preserve">40 </w:t>
      </w:r>
      <w:r w:rsidR="00852DD5" w:rsidRPr="0071782F">
        <w:rPr>
          <w:lang w:val="fr-CH"/>
        </w:rPr>
        <w:t>à</w:t>
      </w:r>
      <w:r w:rsidRPr="0071782F">
        <w:rPr>
          <w:lang w:val="fr-CH"/>
        </w:rPr>
        <w:t xml:space="preserve"> 60</w:t>
      </w:r>
      <w:r w:rsidR="00097CDB" w:rsidRPr="0071782F">
        <w:rPr>
          <w:lang w:val="fr-CH"/>
        </w:rPr>
        <w:t> millions</w:t>
      </w:r>
      <w:r w:rsidR="00852DD5" w:rsidRPr="0071782F">
        <w:rPr>
          <w:lang w:val="fr-CH"/>
        </w:rPr>
        <w:t xml:space="preserve"> </w:t>
      </w:r>
      <w:r w:rsidR="003B1403" w:rsidRPr="0071782F">
        <w:rPr>
          <w:lang w:val="fr-CH"/>
        </w:rPr>
        <w:t>de rials</w:t>
      </w:r>
      <w:r w:rsidRPr="0071782F">
        <w:rPr>
          <w:lang w:val="fr-CH"/>
        </w:rPr>
        <w:t xml:space="preserve"> </w:t>
      </w:r>
      <w:r w:rsidR="00852DD5" w:rsidRPr="0071782F">
        <w:rPr>
          <w:lang w:val="fr-CH"/>
        </w:rPr>
        <w:t xml:space="preserve">dans les petites villes et à </w:t>
      </w:r>
      <w:r w:rsidRPr="0071782F">
        <w:rPr>
          <w:lang w:val="fr-CH"/>
        </w:rPr>
        <w:t>80</w:t>
      </w:r>
      <w:r w:rsidR="00097CDB" w:rsidRPr="0071782F">
        <w:rPr>
          <w:lang w:val="fr-CH"/>
        </w:rPr>
        <w:t> millions</w:t>
      </w:r>
      <w:r w:rsidRPr="0071782F">
        <w:rPr>
          <w:lang w:val="fr-CH"/>
        </w:rPr>
        <w:t xml:space="preserve"> </w:t>
      </w:r>
      <w:r w:rsidR="003B1403" w:rsidRPr="0071782F">
        <w:rPr>
          <w:lang w:val="fr-CH"/>
        </w:rPr>
        <w:t>de rials</w:t>
      </w:r>
      <w:r w:rsidRPr="0071782F">
        <w:rPr>
          <w:lang w:val="fr-CH"/>
        </w:rPr>
        <w:t xml:space="preserve"> </w:t>
      </w:r>
      <w:r w:rsidR="00852DD5" w:rsidRPr="0071782F">
        <w:rPr>
          <w:lang w:val="fr-CH"/>
        </w:rPr>
        <w:t>dans les grandes villes, c’est-à-dire les villes de plus d’un million d’habitants</w:t>
      </w:r>
      <w:r w:rsidRPr="0071782F">
        <w:rPr>
          <w:lang w:val="fr-CH"/>
        </w:rPr>
        <w:t>.</w:t>
      </w:r>
    </w:p>
    <w:p w:rsidR="00333944" w:rsidRPr="0071782F" w:rsidRDefault="00333944" w:rsidP="00DC5F56">
      <w:pPr>
        <w:pStyle w:val="SingleTxtG"/>
        <w:ind w:left="1701"/>
        <w:rPr>
          <w:lang w:val="fr-CH"/>
        </w:rPr>
      </w:pPr>
      <w:r w:rsidRPr="0071782F">
        <w:rPr>
          <w:lang w:val="fr-CH"/>
        </w:rPr>
        <w:t>375.9</w:t>
      </w:r>
      <w:r w:rsidR="002205FD" w:rsidRPr="0071782F">
        <w:rPr>
          <w:lang w:val="fr-CH"/>
        </w:rPr>
        <w:t>.</w:t>
      </w:r>
      <w:r w:rsidR="00852DD5" w:rsidRPr="0071782F">
        <w:rPr>
          <w:lang w:val="fr-CH"/>
        </w:rPr>
        <w:tab/>
        <w:t xml:space="preserve"> Pour améliorer la capacité de construction </w:t>
      </w:r>
      <w:r w:rsidR="003F25A2">
        <w:rPr>
          <w:lang w:val="fr-CH"/>
        </w:rPr>
        <w:t>de logements</w:t>
      </w:r>
      <w:r w:rsidR="00852DD5" w:rsidRPr="0071782F">
        <w:rPr>
          <w:lang w:val="fr-CH"/>
        </w:rPr>
        <w:t xml:space="preserve"> pour le personnel éducatif, des accords ont été signés avec des sociétés immobilières et la société internationale pour le développement de la </w:t>
      </w:r>
      <w:r w:rsidRPr="0071782F">
        <w:rPr>
          <w:lang w:val="fr-CH"/>
        </w:rPr>
        <w:t>construction.</w:t>
      </w:r>
    </w:p>
    <w:p w:rsidR="00333944" w:rsidRPr="0071782F" w:rsidRDefault="00333944" w:rsidP="00DC5F56">
      <w:pPr>
        <w:pStyle w:val="SingleTxtG"/>
        <w:ind w:left="1701"/>
        <w:rPr>
          <w:lang w:val="fr-CH"/>
        </w:rPr>
      </w:pPr>
      <w:r w:rsidRPr="0071782F">
        <w:rPr>
          <w:lang w:val="fr-CH"/>
        </w:rPr>
        <w:t>375.10</w:t>
      </w:r>
      <w:r w:rsidR="002205FD" w:rsidRPr="0071782F">
        <w:rPr>
          <w:lang w:val="fr-CH"/>
        </w:rPr>
        <w:t xml:space="preserve">. </w:t>
      </w:r>
      <w:r w:rsidR="00040335" w:rsidRPr="0071782F">
        <w:rPr>
          <w:lang w:val="fr-CH"/>
        </w:rPr>
        <w:t xml:space="preserve">La limite supérieure des prêts personnels sans intérêt de la </w:t>
      </w:r>
      <w:r w:rsidRPr="0071782F">
        <w:rPr>
          <w:lang w:val="fr-CH"/>
        </w:rPr>
        <w:t xml:space="preserve">Melli Bank </w:t>
      </w:r>
      <w:r w:rsidR="00040335" w:rsidRPr="0071782F">
        <w:rPr>
          <w:lang w:val="fr-CH"/>
        </w:rPr>
        <w:t>a été relevée de deux à cinq</w:t>
      </w:r>
      <w:r w:rsidR="00097CDB" w:rsidRPr="0071782F">
        <w:rPr>
          <w:lang w:val="fr-CH"/>
        </w:rPr>
        <w:t> millions</w:t>
      </w:r>
      <w:r w:rsidRPr="0071782F">
        <w:rPr>
          <w:lang w:val="fr-CH"/>
        </w:rPr>
        <w:t xml:space="preserve"> </w:t>
      </w:r>
      <w:r w:rsidR="003B1403" w:rsidRPr="0071782F">
        <w:rPr>
          <w:lang w:val="fr-CH"/>
        </w:rPr>
        <w:t>de rials</w:t>
      </w:r>
      <w:r w:rsidRPr="0071782F">
        <w:rPr>
          <w:lang w:val="fr-CH"/>
        </w:rPr>
        <w:t xml:space="preserve">, </w:t>
      </w:r>
      <w:r w:rsidR="00040335" w:rsidRPr="0071782F">
        <w:rPr>
          <w:lang w:val="fr-CH"/>
        </w:rPr>
        <w:t xml:space="preserve">et le </w:t>
      </w:r>
      <w:r w:rsidRPr="0071782F">
        <w:rPr>
          <w:lang w:val="fr-CH"/>
        </w:rPr>
        <w:t xml:space="preserve">budget </w:t>
      </w:r>
      <w:r w:rsidR="00040335" w:rsidRPr="0071782F">
        <w:rPr>
          <w:lang w:val="fr-CH"/>
        </w:rPr>
        <w:t xml:space="preserve">de celle-ci a été multiplié par 12 par rapport à l’année antérieure. </w:t>
      </w:r>
    </w:p>
    <w:p w:rsidR="00333944" w:rsidRPr="0071782F" w:rsidRDefault="00333944" w:rsidP="00383098">
      <w:pPr>
        <w:pStyle w:val="SingleTxtG"/>
        <w:ind w:left="1701"/>
        <w:rPr>
          <w:lang w:val="fr-CH"/>
        </w:rPr>
      </w:pPr>
      <w:r w:rsidRPr="0071782F">
        <w:rPr>
          <w:lang w:val="fr-CH"/>
        </w:rPr>
        <w:t>375.11</w:t>
      </w:r>
      <w:r w:rsidR="002205FD" w:rsidRPr="0071782F">
        <w:rPr>
          <w:lang w:val="fr-CH"/>
        </w:rPr>
        <w:t xml:space="preserve">. </w:t>
      </w:r>
      <w:r w:rsidR="00610140" w:rsidRPr="0071782F">
        <w:rPr>
          <w:lang w:val="fr-CH"/>
        </w:rPr>
        <w:t>Cinq</w:t>
      </w:r>
      <w:r w:rsidR="00097CDB" w:rsidRPr="0071782F">
        <w:rPr>
          <w:lang w:val="fr-CH"/>
        </w:rPr>
        <w:t> millions</w:t>
      </w:r>
      <w:r w:rsidR="00610140" w:rsidRPr="0071782F">
        <w:rPr>
          <w:lang w:val="fr-CH"/>
        </w:rPr>
        <w:t xml:space="preserve"> </w:t>
      </w:r>
      <w:r w:rsidR="00D82C96" w:rsidRPr="0071782F">
        <w:rPr>
          <w:lang w:val="fr-CH"/>
        </w:rPr>
        <w:t>de personnes</w:t>
      </w:r>
      <w:r w:rsidR="00610140" w:rsidRPr="0071782F">
        <w:rPr>
          <w:lang w:val="fr-CH"/>
        </w:rPr>
        <w:t xml:space="preserve"> ont utilisé les</w:t>
      </w:r>
      <w:r w:rsidR="003F25A2">
        <w:rPr>
          <w:lang w:val="fr-CH"/>
        </w:rPr>
        <w:t> logements</w:t>
      </w:r>
      <w:r w:rsidR="00610140" w:rsidRPr="0071782F">
        <w:rPr>
          <w:lang w:val="fr-CH"/>
        </w:rPr>
        <w:t xml:space="preserve"> réservés au personnel enseignant pendant le nouvel an iranien, soit une augmentation de 100</w:t>
      </w:r>
      <w:r w:rsidR="007E5125" w:rsidRPr="0071782F">
        <w:rPr>
          <w:lang w:val="fr-CH"/>
        </w:rPr>
        <w:t>%</w:t>
      </w:r>
      <w:r w:rsidR="00610140" w:rsidRPr="0071782F">
        <w:rPr>
          <w:lang w:val="fr-CH"/>
        </w:rPr>
        <w:t xml:space="preserve"> par rapport à l’année précédente</w:t>
      </w:r>
      <w:r w:rsidRPr="0071782F">
        <w:rPr>
          <w:lang w:val="fr-CH"/>
        </w:rPr>
        <w:t>.</w:t>
      </w:r>
    </w:p>
    <w:p w:rsidR="00333944" w:rsidRPr="0071782F" w:rsidRDefault="00333944" w:rsidP="00383098">
      <w:pPr>
        <w:pStyle w:val="SingleTxtG"/>
        <w:ind w:left="1701"/>
        <w:rPr>
          <w:lang w:val="fr-CH"/>
        </w:rPr>
      </w:pPr>
      <w:r w:rsidRPr="0071782F">
        <w:rPr>
          <w:lang w:val="fr-CH"/>
        </w:rPr>
        <w:t>375.12</w:t>
      </w:r>
      <w:r w:rsidR="002205FD" w:rsidRPr="0071782F">
        <w:rPr>
          <w:lang w:val="fr-CH"/>
        </w:rPr>
        <w:t xml:space="preserve">. </w:t>
      </w:r>
      <w:r w:rsidR="00610140" w:rsidRPr="0071782F">
        <w:rPr>
          <w:lang w:val="fr-CH"/>
        </w:rPr>
        <w:t xml:space="preserve">Parmi </w:t>
      </w:r>
      <w:r w:rsidR="00A233C2" w:rsidRPr="0071782F">
        <w:rPr>
          <w:lang w:val="fr-CH"/>
        </w:rPr>
        <w:t>les personnes</w:t>
      </w:r>
      <w:r w:rsidR="00610140" w:rsidRPr="0071782F">
        <w:rPr>
          <w:lang w:val="fr-CH"/>
        </w:rPr>
        <w:t xml:space="preserve"> ayant sollicité un changement d’affectation, </w:t>
      </w:r>
      <w:r w:rsidRPr="0071782F">
        <w:rPr>
          <w:lang w:val="fr-CH"/>
        </w:rPr>
        <w:t>54</w:t>
      </w:r>
      <w:r w:rsidR="00610140" w:rsidRPr="0071782F">
        <w:rPr>
          <w:lang w:val="fr-CH"/>
        </w:rPr>
        <w:t>,</w:t>
      </w:r>
      <w:r w:rsidRPr="0071782F">
        <w:rPr>
          <w:lang w:val="fr-CH"/>
        </w:rPr>
        <w:t>7</w:t>
      </w:r>
      <w:r w:rsidR="007E5125" w:rsidRPr="0071782F">
        <w:rPr>
          <w:lang w:val="fr-CH"/>
        </w:rPr>
        <w:t>%</w:t>
      </w:r>
      <w:r w:rsidR="00610140" w:rsidRPr="0071782F">
        <w:rPr>
          <w:lang w:val="fr-CH"/>
        </w:rPr>
        <w:t xml:space="preserve"> ont reçu une réponse favorable</w:t>
      </w:r>
      <w:r w:rsidRPr="0071782F">
        <w:rPr>
          <w:lang w:val="fr-CH"/>
        </w:rPr>
        <w:t>.</w:t>
      </w:r>
    </w:p>
    <w:p w:rsidR="00333944" w:rsidRPr="0071782F" w:rsidRDefault="00333944" w:rsidP="00383098">
      <w:pPr>
        <w:pStyle w:val="SingleTxtG"/>
        <w:ind w:left="1701"/>
        <w:rPr>
          <w:lang w:val="fr-CH"/>
        </w:rPr>
      </w:pPr>
      <w:r w:rsidRPr="0071782F">
        <w:rPr>
          <w:lang w:val="fr-CH"/>
        </w:rPr>
        <w:t>375.13</w:t>
      </w:r>
      <w:r w:rsidR="002205FD" w:rsidRPr="0071782F">
        <w:rPr>
          <w:lang w:val="fr-CH"/>
        </w:rPr>
        <w:t xml:space="preserve">. </w:t>
      </w:r>
      <w:r w:rsidR="00610140" w:rsidRPr="0071782F">
        <w:rPr>
          <w:lang w:val="fr-CH"/>
        </w:rPr>
        <w:t>Les centres éducatifs et récréatifs ont été utilisés à raison de plus de 250</w:t>
      </w:r>
      <w:r w:rsidR="003B1403" w:rsidRPr="0071782F">
        <w:rPr>
          <w:lang w:val="fr-CH"/>
        </w:rPr>
        <w:t> </w:t>
      </w:r>
      <w:r w:rsidRPr="0071782F">
        <w:rPr>
          <w:lang w:val="fr-CH"/>
        </w:rPr>
        <w:t>000</w:t>
      </w:r>
      <w:r w:rsidR="003B1403" w:rsidRPr="0071782F">
        <w:rPr>
          <w:lang w:val="fr-CH"/>
        </w:rPr>
        <w:t> </w:t>
      </w:r>
      <w:r w:rsidR="00610140" w:rsidRPr="0071782F">
        <w:rPr>
          <w:lang w:val="fr-CH"/>
        </w:rPr>
        <w:t>jours-</w:t>
      </w:r>
      <w:r w:rsidRPr="0071782F">
        <w:rPr>
          <w:lang w:val="fr-CH"/>
        </w:rPr>
        <w:t>person</w:t>
      </w:r>
      <w:r w:rsidR="00610140" w:rsidRPr="0071782F">
        <w:rPr>
          <w:lang w:val="fr-CH"/>
        </w:rPr>
        <w:t>ne</w:t>
      </w:r>
      <w:r w:rsidRPr="0071782F">
        <w:rPr>
          <w:lang w:val="fr-CH"/>
        </w:rPr>
        <w:t>.</w:t>
      </w:r>
    </w:p>
    <w:p w:rsidR="00333944" w:rsidRPr="0071782F" w:rsidRDefault="00333944" w:rsidP="00383098">
      <w:pPr>
        <w:pStyle w:val="SingleTxtG"/>
        <w:ind w:left="1701"/>
        <w:rPr>
          <w:lang w:val="fr-CH"/>
        </w:rPr>
      </w:pPr>
      <w:r w:rsidRPr="0071782F">
        <w:rPr>
          <w:lang w:val="fr-CH"/>
        </w:rPr>
        <w:t>375.14</w:t>
      </w:r>
      <w:r w:rsidR="002205FD" w:rsidRPr="0071782F">
        <w:rPr>
          <w:lang w:val="fr-CH"/>
        </w:rPr>
        <w:t xml:space="preserve">. </w:t>
      </w:r>
      <w:r w:rsidR="00610140" w:rsidRPr="0071782F">
        <w:rPr>
          <w:lang w:val="fr-CH"/>
        </w:rPr>
        <w:t>Des prêts sans intérêt consentis par les banques Melli et Mellat ont été distribués à hauteur de 800</w:t>
      </w:r>
      <w:r w:rsidR="008553D9" w:rsidRPr="0071782F">
        <w:rPr>
          <w:lang w:val="fr-CH"/>
        </w:rPr>
        <w:t> milliard</w:t>
      </w:r>
      <w:r w:rsidR="00097CDB" w:rsidRPr="0071782F">
        <w:rPr>
          <w:lang w:val="fr-CH"/>
        </w:rPr>
        <w:t>s</w:t>
      </w:r>
      <w:r w:rsidR="00610140" w:rsidRPr="0071782F">
        <w:rPr>
          <w:lang w:val="fr-CH"/>
        </w:rPr>
        <w:t xml:space="preserve"> </w:t>
      </w:r>
      <w:r w:rsidR="003B1403" w:rsidRPr="0071782F">
        <w:rPr>
          <w:lang w:val="fr-CH"/>
        </w:rPr>
        <w:t>de rials</w:t>
      </w:r>
      <w:r w:rsidRPr="0071782F">
        <w:rPr>
          <w:lang w:val="fr-CH"/>
        </w:rPr>
        <w:t xml:space="preserve"> </w:t>
      </w:r>
      <w:r w:rsidR="00610140" w:rsidRPr="0071782F">
        <w:rPr>
          <w:lang w:val="fr-CH"/>
        </w:rPr>
        <w:t xml:space="preserve">entre les organisations éducatives des </w:t>
      </w:r>
      <w:r w:rsidRPr="0071782F">
        <w:rPr>
          <w:lang w:val="fr-CH"/>
        </w:rPr>
        <w:t>provinces</w:t>
      </w:r>
      <w:r w:rsidR="00610140" w:rsidRPr="0071782F">
        <w:rPr>
          <w:lang w:val="fr-CH"/>
        </w:rPr>
        <w:t>, soit huit fois plus que l’année précédente</w:t>
      </w:r>
      <w:r w:rsidRPr="0071782F">
        <w:rPr>
          <w:lang w:val="fr-CH"/>
        </w:rPr>
        <w:t>.</w:t>
      </w:r>
    </w:p>
    <w:p w:rsidR="00333944" w:rsidRPr="00383098" w:rsidRDefault="00333944" w:rsidP="00DC5F56">
      <w:pPr>
        <w:pStyle w:val="SingleTxtG"/>
        <w:ind w:left="1701"/>
        <w:rPr>
          <w:spacing w:val="-2"/>
          <w:lang w:val="fr-CH"/>
        </w:rPr>
      </w:pPr>
      <w:r w:rsidRPr="00383098">
        <w:rPr>
          <w:spacing w:val="-2"/>
          <w:lang w:val="fr-CH"/>
        </w:rPr>
        <w:t>375.15</w:t>
      </w:r>
      <w:r w:rsidR="002205FD" w:rsidRPr="00383098">
        <w:rPr>
          <w:spacing w:val="-2"/>
          <w:lang w:val="fr-CH"/>
        </w:rPr>
        <w:t xml:space="preserve">. </w:t>
      </w:r>
      <w:r w:rsidR="00610140" w:rsidRPr="00383098">
        <w:rPr>
          <w:spacing w:val="-2"/>
          <w:lang w:val="fr-CH"/>
        </w:rPr>
        <w:t xml:space="preserve">La construction de </w:t>
      </w:r>
      <w:r w:rsidRPr="00383098">
        <w:rPr>
          <w:spacing w:val="-2"/>
          <w:lang w:val="fr-CH"/>
        </w:rPr>
        <w:t>100</w:t>
      </w:r>
      <w:r w:rsidR="00816714" w:rsidRPr="00383098">
        <w:rPr>
          <w:spacing w:val="-2"/>
          <w:lang w:val="fr-CH"/>
        </w:rPr>
        <w:t> </w:t>
      </w:r>
      <w:r w:rsidRPr="00383098">
        <w:rPr>
          <w:spacing w:val="-2"/>
          <w:lang w:val="fr-CH"/>
        </w:rPr>
        <w:t>000</w:t>
      </w:r>
      <w:r w:rsidR="003F25A2" w:rsidRPr="00383098">
        <w:rPr>
          <w:spacing w:val="-2"/>
          <w:lang w:val="fr-CH"/>
        </w:rPr>
        <w:t> logements</w:t>
      </w:r>
      <w:r w:rsidR="00610140" w:rsidRPr="00383098">
        <w:rPr>
          <w:spacing w:val="-2"/>
          <w:lang w:val="fr-CH"/>
        </w:rPr>
        <w:t xml:space="preserve"> pour les employés du secteur éducatif est en cours, et le taux d’avancement des travaux oscille entre 20 et 70</w:t>
      </w:r>
      <w:r w:rsidR="007E5125" w:rsidRPr="00383098">
        <w:rPr>
          <w:spacing w:val="-2"/>
          <w:lang w:val="fr-CH"/>
        </w:rPr>
        <w:t>%</w:t>
      </w:r>
      <w:r w:rsidR="00610140" w:rsidRPr="00383098">
        <w:rPr>
          <w:spacing w:val="-2"/>
          <w:lang w:val="fr-CH"/>
        </w:rPr>
        <w:t>.</w:t>
      </w:r>
      <w:r w:rsidRPr="00383098">
        <w:rPr>
          <w:spacing w:val="-2"/>
          <w:lang w:val="fr-CH"/>
        </w:rPr>
        <w:t xml:space="preserve"> </w:t>
      </w:r>
      <w:r w:rsidR="00610140" w:rsidRPr="00383098">
        <w:rPr>
          <w:spacing w:val="-2"/>
          <w:lang w:val="fr-CH"/>
        </w:rPr>
        <w:t>En outre, il existe 17</w:t>
      </w:r>
      <w:r w:rsidR="00816714" w:rsidRPr="00383098">
        <w:rPr>
          <w:spacing w:val="-2"/>
          <w:lang w:val="fr-CH"/>
        </w:rPr>
        <w:t> </w:t>
      </w:r>
      <w:r w:rsidRPr="00383098">
        <w:rPr>
          <w:spacing w:val="-2"/>
          <w:lang w:val="fr-CH"/>
        </w:rPr>
        <w:t xml:space="preserve">087 </w:t>
      </w:r>
      <w:r w:rsidR="00610140" w:rsidRPr="00383098">
        <w:rPr>
          <w:spacing w:val="-2"/>
          <w:lang w:val="fr-CH"/>
        </w:rPr>
        <w:t xml:space="preserve">terrains prêts à être bâtis par les syndicats et coopératives </w:t>
      </w:r>
      <w:r w:rsidR="003F25A2" w:rsidRPr="00383098">
        <w:rPr>
          <w:spacing w:val="-2"/>
          <w:lang w:val="fr-CH"/>
        </w:rPr>
        <w:t>de logements</w:t>
      </w:r>
      <w:r w:rsidRPr="00383098">
        <w:rPr>
          <w:spacing w:val="-2"/>
          <w:lang w:val="fr-CH"/>
        </w:rPr>
        <w:t>.</w:t>
      </w:r>
    </w:p>
    <w:p w:rsidR="00333944" w:rsidRPr="0071782F" w:rsidRDefault="00333944" w:rsidP="00DC5F56">
      <w:pPr>
        <w:pStyle w:val="SingleTxtG"/>
        <w:ind w:left="1701"/>
        <w:rPr>
          <w:lang w:val="fr-CH"/>
        </w:rPr>
      </w:pPr>
      <w:r w:rsidRPr="0071782F">
        <w:rPr>
          <w:lang w:val="fr-CH"/>
        </w:rPr>
        <w:t>375.16</w:t>
      </w:r>
      <w:r w:rsidR="002205FD" w:rsidRPr="0071782F">
        <w:rPr>
          <w:lang w:val="fr-CH"/>
        </w:rPr>
        <w:t xml:space="preserve">. </w:t>
      </w:r>
      <w:r w:rsidR="00610140" w:rsidRPr="0071782F">
        <w:rPr>
          <w:lang w:val="fr-CH"/>
        </w:rPr>
        <w:t>Paiement de 1 000</w:t>
      </w:r>
      <w:r w:rsidR="008553D9" w:rsidRPr="0071782F">
        <w:rPr>
          <w:lang w:val="fr-CH"/>
        </w:rPr>
        <w:t> milliard</w:t>
      </w:r>
      <w:r w:rsidR="00097CDB" w:rsidRPr="0071782F">
        <w:rPr>
          <w:lang w:val="fr-CH"/>
        </w:rPr>
        <w:t>s</w:t>
      </w:r>
      <w:r w:rsidR="00610140" w:rsidRPr="0071782F">
        <w:rPr>
          <w:lang w:val="fr-CH"/>
        </w:rPr>
        <w:t xml:space="preserve"> </w:t>
      </w:r>
      <w:r w:rsidR="003B1403" w:rsidRPr="0071782F">
        <w:rPr>
          <w:lang w:val="fr-CH"/>
        </w:rPr>
        <w:t>de rials</w:t>
      </w:r>
      <w:r w:rsidRPr="0071782F">
        <w:rPr>
          <w:lang w:val="fr-CH"/>
        </w:rPr>
        <w:t xml:space="preserve"> </w:t>
      </w:r>
      <w:r w:rsidR="00610140" w:rsidRPr="0071782F">
        <w:rPr>
          <w:lang w:val="fr-CH"/>
        </w:rPr>
        <w:t xml:space="preserve">du budget équilibré par élève en </w:t>
      </w:r>
      <w:r w:rsidRPr="0071782F">
        <w:rPr>
          <w:lang w:val="fr-CH"/>
        </w:rPr>
        <w:t>coop</w:t>
      </w:r>
      <w:r w:rsidR="00610140" w:rsidRPr="0071782F">
        <w:rPr>
          <w:lang w:val="fr-CH"/>
        </w:rPr>
        <w:t>é</w:t>
      </w:r>
      <w:r w:rsidRPr="0071782F">
        <w:rPr>
          <w:lang w:val="fr-CH"/>
        </w:rPr>
        <w:t xml:space="preserve">ration </w:t>
      </w:r>
      <w:r w:rsidR="00610140" w:rsidRPr="0071782F">
        <w:rPr>
          <w:lang w:val="fr-CH"/>
        </w:rPr>
        <w:t>avec l’Assemblée c</w:t>
      </w:r>
      <w:r w:rsidRPr="0071782F">
        <w:rPr>
          <w:lang w:val="fr-CH"/>
        </w:rPr>
        <w:t xml:space="preserve">onsultative </w:t>
      </w:r>
      <w:r w:rsidR="00610140" w:rsidRPr="0071782F">
        <w:rPr>
          <w:lang w:val="fr-CH"/>
        </w:rPr>
        <w:t>islamique et l’Organisme public de gestion et de planification</w:t>
      </w:r>
      <w:r w:rsidRPr="0071782F">
        <w:rPr>
          <w:lang w:val="fr-CH"/>
        </w:rPr>
        <w:t>.</w:t>
      </w:r>
    </w:p>
    <w:p w:rsidR="00333944" w:rsidRPr="0071782F" w:rsidRDefault="00333944" w:rsidP="00DC5F56">
      <w:pPr>
        <w:pStyle w:val="SingleTxtG"/>
        <w:ind w:left="1701"/>
        <w:rPr>
          <w:lang w:val="fr-CH"/>
        </w:rPr>
      </w:pPr>
      <w:r w:rsidRPr="0071782F">
        <w:rPr>
          <w:lang w:val="fr-CH"/>
        </w:rPr>
        <w:t>375.17</w:t>
      </w:r>
      <w:r w:rsidR="002205FD" w:rsidRPr="0071782F">
        <w:rPr>
          <w:lang w:val="fr-CH"/>
        </w:rPr>
        <w:t xml:space="preserve">. </w:t>
      </w:r>
      <w:r w:rsidR="00610140" w:rsidRPr="0071782F">
        <w:rPr>
          <w:lang w:val="fr-CH"/>
        </w:rPr>
        <w:t xml:space="preserve">Le traitement annuel moyen des personnels éducatifs en </w:t>
      </w:r>
      <w:r w:rsidRPr="0071782F">
        <w:rPr>
          <w:lang w:val="fr-CH"/>
        </w:rPr>
        <w:t>2005, 2006</w:t>
      </w:r>
      <w:r w:rsidR="00610140" w:rsidRPr="0071782F">
        <w:rPr>
          <w:lang w:val="fr-CH"/>
        </w:rPr>
        <w:t xml:space="preserve"> et</w:t>
      </w:r>
      <w:r w:rsidRPr="0071782F">
        <w:rPr>
          <w:lang w:val="fr-CH"/>
        </w:rPr>
        <w:t xml:space="preserve"> 2007</w:t>
      </w:r>
      <w:r w:rsidR="00610140" w:rsidRPr="0071782F">
        <w:rPr>
          <w:lang w:val="fr-CH"/>
        </w:rPr>
        <w:t xml:space="preserve"> a été de </w:t>
      </w:r>
      <w:r w:rsidRPr="0071782F">
        <w:rPr>
          <w:lang w:val="fr-CH"/>
        </w:rPr>
        <w:t>2</w:t>
      </w:r>
      <w:r w:rsidR="00610140" w:rsidRPr="0071782F">
        <w:rPr>
          <w:lang w:val="fr-CH"/>
        </w:rPr>
        <w:t>,</w:t>
      </w:r>
      <w:r w:rsidRPr="0071782F">
        <w:rPr>
          <w:lang w:val="fr-CH"/>
        </w:rPr>
        <w:t>8, 3</w:t>
      </w:r>
      <w:r w:rsidR="00610140" w:rsidRPr="0071782F">
        <w:rPr>
          <w:lang w:val="fr-CH"/>
        </w:rPr>
        <w:t>,</w:t>
      </w:r>
      <w:r w:rsidRPr="0071782F">
        <w:rPr>
          <w:lang w:val="fr-CH"/>
        </w:rPr>
        <w:t>4</w:t>
      </w:r>
      <w:r w:rsidR="00610140" w:rsidRPr="0071782F">
        <w:rPr>
          <w:lang w:val="fr-CH"/>
        </w:rPr>
        <w:t xml:space="preserve"> et</w:t>
      </w:r>
      <w:r w:rsidRPr="0071782F">
        <w:rPr>
          <w:lang w:val="fr-CH"/>
        </w:rPr>
        <w:t xml:space="preserve"> 4</w:t>
      </w:r>
      <w:r w:rsidR="00610140" w:rsidRPr="0071782F">
        <w:rPr>
          <w:lang w:val="fr-CH"/>
        </w:rPr>
        <w:t>,</w:t>
      </w:r>
      <w:r w:rsidRPr="0071782F">
        <w:rPr>
          <w:lang w:val="fr-CH"/>
        </w:rPr>
        <w:t>1</w:t>
      </w:r>
      <w:r w:rsidR="00097CDB" w:rsidRPr="0071782F">
        <w:rPr>
          <w:lang w:val="fr-CH"/>
        </w:rPr>
        <w:t> millions</w:t>
      </w:r>
      <w:r w:rsidRPr="0071782F">
        <w:rPr>
          <w:lang w:val="fr-CH"/>
        </w:rPr>
        <w:t xml:space="preserve"> </w:t>
      </w:r>
      <w:r w:rsidR="003B1403" w:rsidRPr="0071782F">
        <w:rPr>
          <w:lang w:val="fr-CH"/>
        </w:rPr>
        <w:t>de rials</w:t>
      </w:r>
      <w:r w:rsidR="00610140" w:rsidRPr="0071782F">
        <w:rPr>
          <w:lang w:val="fr-CH"/>
        </w:rPr>
        <w:t>, respectivement</w:t>
      </w:r>
      <w:r w:rsidRPr="0071782F">
        <w:rPr>
          <w:lang w:val="fr-CH"/>
        </w:rPr>
        <w:t>.</w:t>
      </w:r>
    </w:p>
    <w:p w:rsidR="00333944" w:rsidRPr="0071782F" w:rsidRDefault="00333944" w:rsidP="00DC5F56">
      <w:pPr>
        <w:pStyle w:val="SingleTxtG"/>
        <w:ind w:left="1701"/>
        <w:rPr>
          <w:lang w:val="fr-CH"/>
        </w:rPr>
      </w:pPr>
      <w:r w:rsidRPr="0071782F">
        <w:rPr>
          <w:lang w:val="fr-CH"/>
        </w:rPr>
        <w:t>375.18</w:t>
      </w:r>
      <w:r w:rsidR="002205FD" w:rsidRPr="0071782F">
        <w:rPr>
          <w:lang w:val="fr-CH"/>
        </w:rPr>
        <w:t xml:space="preserve">. </w:t>
      </w:r>
      <w:r w:rsidR="00610140" w:rsidRPr="0071782F">
        <w:rPr>
          <w:lang w:val="fr-CH"/>
        </w:rPr>
        <w:t>Pendant l’année scolaire 2006-2007, des foyers éducatifs ont été ouverts dans plus de 10</w:t>
      </w:r>
      <w:r w:rsidR="00816714">
        <w:rPr>
          <w:lang w:val="fr-CH"/>
        </w:rPr>
        <w:t> </w:t>
      </w:r>
      <w:r w:rsidRPr="0071782F">
        <w:rPr>
          <w:lang w:val="fr-CH"/>
        </w:rPr>
        <w:t>000 villages.</w:t>
      </w:r>
    </w:p>
    <w:p w:rsidR="00333944" w:rsidRPr="0071782F" w:rsidRDefault="00333944" w:rsidP="00DC5F56">
      <w:pPr>
        <w:pStyle w:val="SingleTxtG"/>
        <w:ind w:left="1701"/>
        <w:rPr>
          <w:lang w:val="fr-CH"/>
        </w:rPr>
      </w:pPr>
      <w:r w:rsidRPr="0071782F">
        <w:rPr>
          <w:lang w:val="fr-CH"/>
        </w:rPr>
        <w:t>375.19</w:t>
      </w:r>
      <w:r w:rsidR="002205FD" w:rsidRPr="0071782F">
        <w:rPr>
          <w:lang w:val="fr-CH"/>
        </w:rPr>
        <w:t xml:space="preserve">. </w:t>
      </w:r>
      <w:r w:rsidR="00610140" w:rsidRPr="0071782F">
        <w:rPr>
          <w:lang w:val="fr-CH"/>
        </w:rPr>
        <w:t xml:space="preserve">Plus de </w:t>
      </w:r>
      <w:r w:rsidRPr="0071782F">
        <w:rPr>
          <w:lang w:val="fr-CH"/>
        </w:rPr>
        <w:t>44</w:t>
      </w:r>
      <w:r w:rsidR="008553D9" w:rsidRPr="0071782F">
        <w:rPr>
          <w:lang w:val="fr-CH"/>
        </w:rPr>
        <w:t> milliard</w:t>
      </w:r>
      <w:r w:rsidR="00097CDB" w:rsidRPr="0071782F">
        <w:rPr>
          <w:lang w:val="fr-CH"/>
        </w:rPr>
        <w:t>s</w:t>
      </w:r>
      <w:r w:rsidR="00610140" w:rsidRPr="0071782F">
        <w:rPr>
          <w:lang w:val="fr-CH"/>
        </w:rPr>
        <w:t xml:space="preserve"> </w:t>
      </w:r>
      <w:r w:rsidR="003B1403" w:rsidRPr="0071782F">
        <w:rPr>
          <w:lang w:val="fr-CH"/>
        </w:rPr>
        <w:t>de rials</w:t>
      </w:r>
      <w:r w:rsidRPr="0071782F">
        <w:rPr>
          <w:lang w:val="fr-CH"/>
        </w:rPr>
        <w:t xml:space="preserve"> </w:t>
      </w:r>
      <w:r w:rsidR="00610140" w:rsidRPr="0071782F">
        <w:rPr>
          <w:lang w:val="fr-CH"/>
        </w:rPr>
        <w:t xml:space="preserve">prélevés sur les fonds d’assistance de coopération ont été versés à </w:t>
      </w:r>
      <w:r w:rsidRPr="0071782F">
        <w:rPr>
          <w:lang w:val="fr-CH"/>
        </w:rPr>
        <w:t>200</w:t>
      </w:r>
      <w:r w:rsidR="00816714">
        <w:rPr>
          <w:lang w:val="fr-CH"/>
        </w:rPr>
        <w:t> </w:t>
      </w:r>
      <w:r w:rsidRPr="0071782F">
        <w:rPr>
          <w:lang w:val="fr-CH"/>
        </w:rPr>
        <w:t xml:space="preserve">000 </w:t>
      </w:r>
      <w:r w:rsidR="00610140" w:rsidRPr="0071782F">
        <w:rPr>
          <w:lang w:val="fr-CH"/>
        </w:rPr>
        <w:t xml:space="preserve">employés du secteur de l’éducation souffrant de maladies complexes et onéreuses. </w:t>
      </w:r>
    </w:p>
    <w:p w:rsidR="00333944" w:rsidRPr="0071782F" w:rsidRDefault="00333944" w:rsidP="00DC5F56">
      <w:pPr>
        <w:pStyle w:val="SingleTxtG"/>
        <w:ind w:left="1701"/>
        <w:rPr>
          <w:lang w:val="fr-CH"/>
        </w:rPr>
      </w:pPr>
      <w:r w:rsidRPr="0071782F">
        <w:rPr>
          <w:lang w:val="fr-CH"/>
        </w:rPr>
        <w:t>375.20</w:t>
      </w:r>
      <w:r w:rsidR="002205FD" w:rsidRPr="0071782F">
        <w:rPr>
          <w:lang w:val="fr-CH"/>
        </w:rPr>
        <w:t xml:space="preserve">. </w:t>
      </w:r>
      <w:r w:rsidR="00610140" w:rsidRPr="0071782F">
        <w:rPr>
          <w:lang w:val="fr-CH"/>
        </w:rPr>
        <w:t xml:space="preserve">Les employés du secteur éducatif et les membres de </w:t>
      </w:r>
      <w:r w:rsidR="001F3F05" w:rsidRPr="0071782F">
        <w:rPr>
          <w:lang w:val="fr-CH"/>
        </w:rPr>
        <w:t>leur famille</w:t>
      </w:r>
      <w:r w:rsidR="00610140" w:rsidRPr="0071782F">
        <w:rPr>
          <w:lang w:val="fr-CH"/>
        </w:rPr>
        <w:t xml:space="preserve"> ont effectué plus de </w:t>
      </w:r>
      <w:r w:rsidRPr="0071782F">
        <w:rPr>
          <w:lang w:val="fr-CH"/>
        </w:rPr>
        <w:t>6</w:t>
      </w:r>
      <w:r w:rsidR="00610140" w:rsidRPr="0071782F">
        <w:rPr>
          <w:lang w:val="fr-CH"/>
        </w:rPr>
        <w:t>,</w:t>
      </w:r>
      <w:r w:rsidRPr="0071782F">
        <w:rPr>
          <w:lang w:val="fr-CH"/>
        </w:rPr>
        <w:t>2</w:t>
      </w:r>
      <w:r w:rsidR="00097CDB" w:rsidRPr="0071782F">
        <w:rPr>
          <w:lang w:val="fr-CH"/>
        </w:rPr>
        <w:t> millions</w:t>
      </w:r>
      <w:r w:rsidR="00610140" w:rsidRPr="0071782F">
        <w:rPr>
          <w:lang w:val="fr-CH"/>
        </w:rPr>
        <w:t xml:space="preserve"> de visites dans les centres récréatifs au cours de l’année scolaire</w:t>
      </w:r>
      <w:r w:rsidR="00D36718">
        <w:rPr>
          <w:lang w:val="fr-CH"/>
        </w:rPr>
        <w:t xml:space="preserve"> </w:t>
      </w:r>
      <w:r w:rsidRPr="0071782F">
        <w:rPr>
          <w:lang w:val="fr-CH"/>
        </w:rPr>
        <w:t xml:space="preserve">2006-2007, </w:t>
      </w:r>
      <w:r w:rsidR="00610140" w:rsidRPr="0071782F">
        <w:rPr>
          <w:lang w:val="fr-CH"/>
        </w:rPr>
        <w:t>soit 10</w:t>
      </w:r>
      <w:r w:rsidR="007E5125" w:rsidRPr="0071782F">
        <w:rPr>
          <w:lang w:val="fr-CH"/>
        </w:rPr>
        <w:t>%</w:t>
      </w:r>
      <w:r w:rsidR="00610140" w:rsidRPr="0071782F">
        <w:rPr>
          <w:lang w:val="fr-CH"/>
        </w:rPr>
        <w:t xml:space="preserve"> de plus que l’année précédente</w:t>
      </w:r>
      <w:r w:rsidRPr="0071782F">
        <w:rPr>
          <w:lang w:val="fr-CH"/>
        </w:rPr>
        <w:t>.</w:t>
      </w:r>
    </w:p>
    <w:p w:rsidR="00333944" w:rsidRPr="0071782F" w:rsidRDefault="00333944" w:rsidP="00DC5F56">
      <w:pPr>
        <w:pStyle w:val="SingleTxtG"/>
        <w:ind w:left="1701"/>
        <w:rPr>
          <w:lang w:val="fr-CH"/>
        </w:rPr>
      </w:pPr>
      <w:r w:rsidRPr="0071782F">
        <w:rPr>
          <w:lang w:val="fr-CH"/>
        </w:rPr>
        <w:t>375.21</w:t>
      </w:r>
      <w:r w:rsidR="002205FD" w:rsidRPr="0071782F">
        <w:rPr>
          <w:lang w:val="fr-CH"/>
        </w:rPr>
        <w:t xml:space="preserve">. </w:t>
      </w:r>
      <w:r w:rsidR="00610140" w:rsidRPr="0071782F">
        <w:rPr>
          <w:lang w:val="fr-CH"/>
        </w:rPr>
        <w:t xml:space="preserve">Au 22 septembre 2007, </w:t>
      </w:r>
      <w:r w:rsidR="0005329A" w:rsidRPr="0071782F">
        <w:rPr>
          <w:lang w:val="fr-CH"/>
        </w:rPr>
        <w:t xml:space="preserve">la Caisse </w:t>
      </w:r>
      <w:r w:rsidR="00610140" w:rsidRPr="0071782F">
        <w:rPr>
          <w:lang w:val="fr-CH"/>
        </w:rPr>
        <w:t xml:space="preserve">d’épargne des employés du secteur éducatif comptait 812 </w:t>
      </w:r>
      <w:r w:rsidRPr="0071782F">
        <w:rPr>
          <w:lang w:val="fr-CH"/>
        </w:rPr>
        <w:t xml:space="preserve">843 </w:t>
      </w:r>
      <w:r w:rsidR="00610140" w:rsidRPr="0071782F">
        <w:rPr>
          <w:lang w:val="fr-CH"/>
        </w:rPr>
        <w:t>membres, dont 75</w:t>
      </w:r>
      <w:r w:rsidR="007E5125" w:rsidRPr="0071782F">
        <w:rPr>
          <w:lang w:val="fr-CH"/>
        </w:rPr>
        <w:t>%</w:t>
      </w:r>
      <w:r w:rsidR="00610140" w:rsidRPr="0071782F">
        <w:rPr>
          <w:lang w:val="fr-CH"/>
        </w:rPr>
        <w:t xml:space="preserve"> des fonctionnaires du Ministère de l’éducation</w:t>
      </w:r>
      <w:r w:rsidRPr="0071782F">
        <w:rPr>
          <w:lang w:val="fr-CH"/>
        </w:rPr>
        <w:t>.</w:t>
      </w:r>
    </w:p>
    <w:p w:rsidR="00333944" w:rsidRPr="0071782F" w:rsidRDefault="00333944" w:rsidP="00DC5F56">
      <w:pPr>
        <w:pStyle w:val="SingleTxtG"/>
        <w:ind w:left="1701"/>
        <w:rPr>
          <w:lang w:val="fr-CH"/>
        </w:rPr>
      </w:pPr>
      <w:r w:rsidRPr="0071782F">
        <w:rPr>
          <w:lang w:val="fr-CH"/>
        </w:rPr>
        <w:t>375.22</w:t>
      </w:r>
      <w:r w:rsidR="002205FD" w:rsidRPr="0071782F">
        <w:rPr>
          <w:lang w:val="fr-CH"/>
        </w:rPr>
        <w:t xml:space="preserve">. </w:t>
      </w:r>
      <w:r w:rsidR="0005329A" w:rsidRPr="0071782F">
        <w:rPr>
          <w:lang w:val="fr-CH"/>
        </w:rPr>
        <w:t>Des accords ont été signés avec les fabricants d’automobiles pour faciliter l’achat à tempérament d’un grand nombre de véhicules par des employés ou retraités du secteur éducatif</w:t>
      </w:r>
      <w:r w:rsidRPr="0071782F">
        <w:rPr>
          <w:lang w:val="fr-CH"/>
        </w:rPr>
        <w:t>.</w:t>
      </w:r>
    </w:p>
    <w:p w:rsidR="00333944" w:rsidRPr="0071782F" w:rsidRDefault="00333944" w:rsidP="00DC5F56">
      <w:pPr>
        <w:pStyle w:val="SingleTxtG"/>
        <w:ind w:left="1701"/>
        <w:rPr>
          <w:lang w:val="fr-CH"/>
        </w:rPr>
      </w:pPr>
      <w:r w:rsidRPr="0071782F">
        <w:rPr>
          <w:lang w:val="fr-CH"/>
        </w:rPr>
        <w:t>375.23</w:t>
      </w:r>
      <w:r w:rsidR="002205FD" w:rsidRPr="0071782F">
        <w:rPr>
          <w:lang w:val="fr-CH"/>
        </w:rPr>
        <w:t xml:space="preserve">. </w:t>
      </w:r>
      <w:r w:rsidR="0005329A" w:rsidRPr="0071782F">
        <w:rPr>
          <w:lang w:val="fr-CH"/>
        </w:rPr>
        <w:t>Les achats à tempérament effectués dans l’ensemble du pays par les employés du secteur éducatif (conjoints, retraités, employés</w:t>
      </w:r>
      <w:r w:rsidRPr="0071782F">
        <w:rPr>
          <w:lang w:val="fr-CH"/>
        </w:rPr>
        <w:t xml:space="preserve">) </w:t>
      </w:r>
      <w:r w:rsidR="0005329A" w:rsidRPr="0071782F">
        <w:rPr>
          <w:lang w:val="fr-CH"/>
        </w:rPr>
        <w:t xml:space="preserve">ont augmenté de </w:t>
      </w:r>
      <w:r w:rsidRPr="0071782F">
        <w:rPr>
          <w:lang w:val="fr-CH"/>
        </w:rPr>
        <w:t>11</w:t>
      </w:r>
      <w:r w:rsidR="007E5125" w:rsidRPr="0071782F">
        <w:rPr>
          <w:lang w:val="fr-CH"/>
        </w:rPr>
        <w:t>%</w:t>
      </w:r>
      <w:r w:rsidRPr="0071782F">
        <w:rPr>
          <w:lang w:val="fr-CH"/>
        </w:rPr>
        <w:t>.</w:t>
      </w:r>
    </w:p>
    <w:p w:rsidR="00333944" w:rsidRPr="0071782F" w:rsidRDefault="00333944" w:rsidP="00DC5F56">
      <w:pPr>
        <w:pStyle w:val="SingleTxtG"/>
        <w:ind w:left="1701"/>
        <w:rPr>
          <w:lang w:val="fr-CH"/>
        </w:rPr>
      </w:pPr>
      <w:r w:rsidRPr="0071782F">
        <w:rPr>
          <w:lang w:val="fr-CH"/>
        </w:rPr>
        <w:t>375.24</w:t>
      </w:r>
      <w:r w:rsidR="002205FD" w:rsidRPr="0071782F">
        <w:rPr>
          <w:lang w:val="fr-CH"/>
        </w:rPr>
        <w:t xml:space="preserve">. </w:t>
      </w:r>
      <w:r w:rsidR="0005329A" w:rsidRPr="0071782F">
        <w:rPr>
          <w:lang w:val="fr-CH"/>
        </w:rPr>
        <w:t>À ce jour, 130</w:t>
      </w:r>
      <w:r w:rsidR="00816714">
        <w:rPr>
          <w:lang w:val="fr-CH"/>
        </w:rPr>
        <w:t> </w:t>
      </w:r>
      <w:r w:rsidRPr="0071782F">
        <w:rPr>
          <w:lang w:val="fr-CH"/>
        </w:rPr>
        <w:t xml:space="preserve">000 </w:t>
      </w:r>
      <w:r w:rsidR="0005329A" w:rsidRPr="0071782F">
        <w:rPr>
          <w:lang w:val="fr-CH"/>
        </w:rPr>
        <w:t xml:space="preserve">employés du secteur éducatif ont demandé à bénéficier du </w:t>
      </w:r>
      <w:r w:rsidR="00396637" w:rsidRPr="0071782F">
        <w:rPr>
          <w:lang w:val="fr-CH"/>
        </w:rPr>
        <w:t>P</w:t>
      </w:r>
      <w:r w:rsidR="0005329A" w:rsidRPr="0071782F">
        <w:rPr>
          <w:lang w:val="fr-CH"/>
        </w:rPr>
        <w:t xml:space="preserve">rojet </w:t>
      </w:r>
      <w:r w:rsidR="003F25A2">
        <w:rPr>
          <w:lang w:val="fr-CH"/>
        </w:rPr>
        <w:t>de logements</w:t>
      </w:r>
      <w:r w:rsidR="0005329A" w:rsidRPr="0071782F">
        <w:rPr>
          <w:lang w:val="fr-CH"/>
        </w:rPr>
        <w:t xml:space="preserve"> </w:t>
      </w:r>
      <w:r w:rsidRPr="0071782F">
        <w:rPr>
          <w:lang w:val="fr-CH"/>
        </w:rPr>
        <w:t>Mehr</w:t>
      </w:r>
      <w:r w:rsidR="0005329A" w:rsidRPr="0071782F">
        <w:rPr>
          <w:lang w:val="fr-CH"/>
        </w:rPr>
        <w:t>, qui permet d’acquérir des terrains avec un délai de remboursement pouvant aller jusqu’à 99</w:t>
      </w:r>
      <w:r w:rsidR="00D82C96" w:rsidRPr="0071782F">
        <w:rPr>
          <w:lang w:val="fr-CH"/>
        </w:rPr>
        <w:t> ans</w:t>
      </w:r>
      <w:r w:rsidR="0005329A" w:rsidRPr="0071782F">
        <w:rPr>
          <w:lang w:val="fr-CH"/>
        </w:rPr>
        <w:t xml:space="preserve">. </w:t>
      </w:r>
    </w:p>
    <w:p w:rsidR="00333944" w:rsidRPr="0071782F" w:rsidRDefault="00333944" w:rsidP="00DC5F56">
      <w:pPr>
        <w:pStyle w:val="SingleTxtG"/>
        <w:ind w:left="1701"/>
        <w:rPr>
          <w:lang w:val="fr-CH"/>
        </w:rPr>
      </w:pPr>
      <w:r w:rsidRPr="0071782F">
        <w:rPr>
          <w:lang w:val="fr-CH"/>
        </w:rPr>
        <w:t>375.25</w:t>
      </w:r>
      <w:r w:rsidR="002205FD" w:rsidRPr="0071782F">
        <w:rPr>
          <w:lang w:val="fr-CH"/>
        </w:rPr>
        <w:t xml:space="preserve">. </w:t>
      </w:r>
      <w:r w:rsidR="0005329A" w:rsidRPr="0071782F">
        <w:rPr>
          <w:lang w:val="fr-CH"/>
        </w:rPr>
        <w:t xml:space="preserve">Plus de </w:t>
      </w:r>
      <w:r w:rsidRPr="0071782F">
        <w:rPr>
          <w:lang w:val="fr-CH"/>
        </w:rPr>
        <w:t xml:space="preserve">10 </w:t>
      </w:r>
      <w:r w:rsidR="0005329A" w:rsidRPr="0071782F">
        <w:rPr>
          <w:lang w:val="fr-CH"/>
        </w:rPr>
        <w:t xml:space="preserve">grandes entreprises ayant des activités dans différents secteurs, comme la </w:t>
      </w:r>
      <w:r w:rsidRPr="0071782F">
        <w:rPr>
          <w:lang w:val="fr-CH"/>
        </w:rPr>
        <w:t xml:space="preserve">construction, </w:t>
      </w:r>
      <w:r w:rsidR="0005329A" w:rsidRPr="0071782F">
        <w:rPr>
          <w:lang w:val="fr-CH"/>
        </w:rPr>
        <w:t xml:space="preserve">l’immobilier, la vente au détail, la prestation de </w:t>
      </w:r>
      <w:r w:rsidRPr="0071782F">
        <w:rPr>
          <w:lang w:val="fr-CH"/>
        </w:rPr>
        <w:t xml:space="preserve">services </w:t>
      </w:r>
      <w:r w:rsidR="0005329A" w:rsidRPr="0071782F">
        <w:rPr>
          <w:lang w:val="fr-CH"/>
        </w:rPr>
        <w:t>et d’installations destinées aux personnels éducatif</w:t>
      </w:r>
      <w:r w:rsidRPr="0071782F">
        <w:rPr>
          <w:lang w:val="fr-CH"/>
        </w:rPr>
        <w:t xml:space="preserve">s, </w:t>
      </w:r>
      <w:r w:rsidR="0005329A" w:rsidRPr="0071782F">
        <w:rPr>
          <w:lang w:val="fr-CH"/>
        </w:rPr>
        <w:t>les assurances pour enseignants, la fabrication de matériels et d’équipements didactiques, et le tourisme, fournissent des services aux employés du secteur éducatif</w:t>
      </w:r>
      <w:r w:rsidR="00D36718">
        <w:rPr>
          <w:lang w:val="fr-CH"/>
        </w:rPr>
        <w:t xml:space="preserve"> </w:t>
      </w:r>
      <w:r w:rsidR="0005329A" w:rsidRPr="0071782F">
        <w:rPr>
          <w:lang w:val="fr-CH"/>
        </w:rPr>
        <w:t>par le biais de la Caisse d’épargne.</w:t>
      </w:r>
      <w:r w:rsidR="00D36718">
        <w:rPr>
          <w:lang w:val="fr-CH"/>
        </w:rPr>
        <w:t xml:space="preserve"> </w:t>
      </w:r>
    </w:p>
    <w:p w:rsidR="00333944" w:rsidRPr="0071782F" w:rsidRDefault="00333944" w:rsidP="00DC5F56">
      <w:pPr>
        <w:pStyle w:val="SingleTxtG"/>
        <w:ind w:left="1701"/>
        <w:rPr>
          <w:lang w:val="fr-CH"/>
        </w:rPr>
      </w:pPr>
      <w:r w:rsidRPr="0071782F">
        <w:rPr>
          <w:lang w:val="fr-CH"/>
        </w:rPr>
        <w:t>375.26</w:t>
      </w:r>
      <w:r w:rsidR="002205FD" w:rsidRPr="0071782F">
        <w:rPr>
          <w:lang w:val="fr-CH"/>
        </w:rPr>
        <w:t xml:space="preserve">. </w:t>
      </w:r>
      <w:r w:rsidR="0005329A" w:rsidRPr="0071782F">
        <w:rPr>
          <w:lang w:val="fr-CH"/>
        </w:rPr>
        <w:t>À ce jour</w:t>
      </w:r>
      <w:r w:rsidRPr="0071782F">
        <w:rPr>
          <w:lang w:val="fr-CH"/>
        </w:rPr>
        <w:t xml:space="preserve">, </w:t>
      </w:r>
      <w:r w:rsidR="0005329A" w:rsidRPr="0071782F">
        <w:rPr>
          <w:lang w:val="fr-CH"/>
        </w:rPr>
        <w:t xml:space="preserve">la Caisse d’épargne a loué </w:t>
      </w:r>
      <w:r w:rsidRPr="0071782F">
        <w:rPr>
          <w:lang w:val="fr-CH"/>
        </w:rPr>
        <w:t>35</w:t>
      </w:r>
      <w:r w:rsidR="00816714">
        <w:rPr>
          <w:lang w:val="fr-CH"/>
        </w:rPr>
        <w:t> </w:t>
      </w:r>
      <w:r w:rsidRPr="0071782F">
        <w:rPr>
          <w:lang w:val="fr-CH"/>
        </w:rPr>
        <w:t>000 v</w:t>
      </w:r>
      <w:r w:rsidR="0005329A" w:rsidRPr="0071782F">
        <w:rPr>
          <w:lang w:val="fr-CH"/>
        </w:rPr>
        <w:t>é</w:t>
      </w:r>
      <w:r w:rsidRPr="0071782F">
        <w:rPr>
          <w:lang w:val="fr-CH"/>
        </w:rPr>
        <w:t>hic</w:t>
      </w:r>
      <w:r w:rsidR="0005329A" w:rsidRPr="0071782F">
        <w:rPr>
          <w:lang w:val="fr-CH"/>
        </w:rPr>
        <w:t>u</w:t>
      </w:r>
      <w:r w:rsidRPr="0071782F">
        <w:rPr>
          <w:lang w:val="fr-CH"/>
        </w:rPr>
        <w:t xml:space="preserve">les </w:t>
      </w:r>
      <w:r w:rsidR="0005329A" w:rsidRPr="0071782F">
        <w:rPr>
          <w:lang w:val="fr-CH"/>
        </w:rPr>
        <w:t>à des employés du secteur éducatif</w:t>
      </w:r>
      <w:r w:rsidRPr="0071782F">
        <w:rPr>
          <w:lang w:val="fr-CH"/>
        </w:rPr>
        <w:t>.</w:t>
      </w:r>
    </w:p>
    <w:p w:rsidR="00333944" w:rsidRPr="0071782F" w:rsidRDefault="00333944" w:rsidP="00DC5F56">
      <w:pPr>
        <w:pStyle w:val="SingleTxtG"/>
        <w:ind w:left="1701"/>
        <w:rPr>
          <w:lang w:val="fr-CH"/>
        </w:rPr>
      </w:pPr>
      <w:r w:rsidRPr="0071782F">
        <w:rPr>
          <w:lang w:val="fr-CH"/>
        </w:rPr>
        <w:t>375.27</w:t>
      </w:r>
      <w:r w:rsidR="002205FD" w:rsidRPr="0071782F">
        <w:rPr>
          <w:lang w:val="fr-CH"/>
        </w:rPr>
        <w:t xml:space="preserve">. </w:t>
      </w:r>
      <w:r w:rsidR="0005329A" w:rsidRPr="0071782F">
        <w:rPr>
          <w:lang w:val="fr-CH"/>
        </w:rPr>
        <w:t xml:space="preserve">À ce jour, la Caisse d’épargne a fourni </w:t>
      </w:r>
      <w:r w:rsidRPr="0071782F">
        <w:rPr>
          <w:lang w:val="fr-CH"/>
        </w:rPr>
        <w:t>110</w:t>
      </w:r>
      <w:r w:rsidR="008553D9" w:rsidRPr="0071782F">
        <w:rPr>
          <w:lang w:val="fr-CH"/>
        </w:rPr>
        <w:t> milliard</w:t>
      </w:r>
      <w:r w:rsidR="00097CDB" w:rsidRPr="0071782F">
        <w:rPr>
          <w:lang w:val="fr-CH"/>
        </w:rPr>
        <w:t>s</w:t>
      </w:r>
      <w:r w:rsidR="0005329A" w:rsidRPr="0071782F">
        <w:rPr>
          <w:lang w:val="fr-CH"/>
        </w:rPr>
        <w:t xml:space="preserve"> </w:t>
      </w:r>
      <w:r w:rsidR="003B1403" w:rsidRPr="0071782F">
        <w:rPr>
          <w:lang w:val="fr-CH"/>
        </w:rPr>
        <w:t>de rials</w:t>
      </w:r>
      <w:r w:rsidRPr="0071782F">
        <w:rPr>
          <w:lang w:val="fr-CH"/>
        </w:rPr>
        <w:t xml:space="preserve"> </w:t>
      </w:r>
      <w:r w:rsidR="0005329A" w:rsidRPr="0071782F">
        <w:rPr>
          <w:lang w:val="fr-CH"/>
        </w:rPr>
        <w:t xml:space="preserve">de services d’assurances à taux réduit aux personnels éducatifs du pays. </w:t>
      </w:r>
    </w:p>
    <w:p w:rsidR="00333944" w:rsidRPr="0071782F" w:rsidRDefault="00333944" w:rsidP="00DC5F56">
      <w:pPr>
        <w:pStyle w:val="SingleTxtG"/>
        <w:ind w:left="1701"/>
        <w:rPr>
          <w:lang w:val="fr-CH"/>
        </w:rPr>
      </w:pPr>
      <w:r w:rsidRPr="0071782F">
        <w:rPr>
          <w:lang w:val="fr-CH"/>
        </w:rPr>
        <w:t>375.28</w:t>
      </w:r>
      <w:r w:rsidR="002205FD" w:rsidRPr="0071782F">
        <w:rPr>
          <w:lang w:val="fr-CH"/>
        </w:rPr>
        <w:t xml:space="preserve">. </w:t>
      </w:r>
      <w:r w:rsidR="0005329A" w:rsidRPr="0071782F">
        <w:rPr>
          <w:lang w:val="fr-CH"/>
        </w:rPr>
        <w:t>Vingt mille employés du secteur éducatif membres de la Caisse d’épargne</w:t>
      </w:r>
      <w:r w:rsidR="00D36718">
        <w:rPr>
          <w:lang w:val="fr-CH"/>
        </w:rPr>
        <w:t xml:space="preserve"> </w:t>
      </w:r>
      <w:r w:rsidR="0005329A" w:rsidRPr="0071782F">
        <w:rPr>
          <w:lang w:val="fr-CH"/>
        </w:rPr>
        <w:t xml:space="preserve">ont bénéficié de prêts d’un million </w:t>
      </w:r>
      <w:r w:rsidR="003B1403" w:rsidRPr="0071782F">
        <w:rPr>
          <w:lang w:val="fr-CH"/>
        </w:rPr>
        <w:t>de rials</w:t>
      </w:r>
      <w:r w:rsidR="0005329A" w:rsidRPr="0071782F">
        <w:rPr>
          <w:lang w:val="fr-CH"/>
        </w:rPr>
        <w:t xml:space="preserve"> au taux d’intérêt de 11</w:t>
      </w:r>
      <w:r w:rsidR="007E5125" w:rsidRPr="0071782F">
        <w:rPr>
          <w:lang w:val="fr-CH"/>
        </w:rPr>
        <w:t>%</w:t>
      </w:r>
      <w:r w:rsidR="0005329A" w:rsidRPr="0071782F">
        <w:rPr>
          <w:lang w:val="fr-CH"/>
        </w:rPr>
        <w:t>.</w:t>
      </w:r>
    </w:p>
    <w:p w:rsidR="00333944" w:rsidRPr="0071782F" w:rsidRDefault="00333944" w:rsidP="00DC5F56">
      <w:pPr>
        <w:pStyle w:val="SingleTxtG"/>
        <w:ind w:left="1701"/>
        <w:rPr>
          <w:lang w:val="fr-CH"/>
        </w:rPr>
      </w:pPr>
      <w:r w:rsidRPr="0071782F">
        <w:rPr>
          <w:lang w:val="fr-CH"/>
        </w:rPr>
        <w:t>375.29</w:t>
      </w:r>
      <w:r w:rsidR="002205FD" w:rsidRPr="0071782F">
        <w:rPr>
          <w:lang w:val="fr-CH"/>
        </w:rPr>
        <w:t xml:space="preserve">. </w:t>
      </w:r>
      <w:r w:rsidR="0005329A" w:rsidRPr="0071782F">
        <w:rPr>
          <w:lang w:val="fr-CH"/>
        </w:rPr>
        <w:t xml:space="preserve">Création de la Société d’assurances des enseignants, en </w:t>
      </w:r>
      <w:r w:rsidRPr="0071782F">
        <w:rPr>
          <w:lang w:val="fr-CH"/>
        </w:rPr>
        <w:t xml:space="preserve">collaboration </w:t>
      </w:r>
      <w:r w:rsidR="0005329A" w:rsidRPr="0071782F">
        <w:rPr>
          <w:lang w:val="fr-CH"/>
        </w:rPr>
        <w:t>avec la Caisse d’épargne des employés du secteur éducatif</w:t>
      </w:r>
      <w:r w:rsidRPr="0071782F">
        <w:rPr>
          <w:lang w:val="fr-CH"/>
        </w:rPr>
        <w:t>.</w:t>
      </w:r>
    </w:p>
    <w:p w:rsidR="00333944" w:rsidRPr="0071782F" w:rsidRDefault="00333944" w:rsidP="00DC5F56">
      <w:pPr>
        <w:pStyle w:val="SingleTxtG"/>
        <w:ind w:left="1701"/>
        <w:rPr>
          <w:lang w:val="fr-CH"/>
        </w:rPr>
      </w:pPr>
      <w:r w:rsidRPr="0071782F">
        <w:rPr>
          <w:lang w:val="fr-CH"/>
        </w:rPr>
        <w:t>375.30</w:t>
      </w:r>
      <w:r w:rsidR="002205FD" w:rsidRPr="0071782F">
        <w:rPr>
          <w:lang w:val="fr-CH"/>
        </w:rPr>
        <w:t xml:space="preserve">. </w:t>
      </w:r>
      <w:r w:rsidR="0005329A" w:rsidRPr="0071782F">
        <w:rPr>
          <w:lang w:val="fr-CH"/>
        </w:rPr>
        <w:t xml:space="preserve">Fourniture d’une assurance médicale supplémentaire à plus de </w:t>
      </w:r>
      <w:r w:rsidRPr="0071782F">
        <w:rPr>
          <w:lang w:val="fr-CH"/>
        </w:rPr>
        <w:t>1</w:t>
      </w:r>
      <w:r w:rsidR="0005329A" w:rsidRPr="0071782F">
        <w:rPr>
          <w:lang w:val="fr-CH"/>
        </w:rPr>
        <w:t>,</w:t>
      </w:r>
      <w:r w:rsidRPr="0071782F">
        <w:rPr>
          <w:lang w:val="fr-CH"/>
        </w:rPr>
        <w:t xml:space="preserve">8 million </w:t>
      </w:r>
      <w:r w:rsidR="0005329A" w:rsidRPr="0071782F">
        <w:rPr>
          <w:lang w:val="fr-CH"/>
        </w:rPr>
        <w:t xml:space="preserve">d’employés du secteur éducatif et </w:t>
      </w:r>
      <w:r w:rsidR="00A233C2" w:rsidRPr="0071782F">
        <w:rPr>
          <w:lang w:val="fr-CH"/>
        </w:rPr>
        <w:t>les personnes</w:t>
      </w:r>
      <w:r w:rsidR="0005329A" w:rsidRPr="0071782F">
        <w:rPr>
          <w:lang w:val="fr-CH"/>
        </w:rPr>
        <w:t xml:space="preserve"> à leur charge</w:t>
      </w:r>
      <w:r w:rsidRPr="0071782F">
        <w:rPr>
          <w:lang w:val="fr-CH"/>
        </w:rPr>
        <w:t>.</w:t>
      </w:r>
    </w:p>
    <w:p w:rsidR="00333944" w:rsidRPr="0071782F" w:rsidRDefault="00333944" w:rsidP="00333944">
      <w:pPr>
        <w:pStyle w:val="H23G"/>
        <w:rPr>
          <w:lang w:val="fr-CH"/>
        </w:rPr>
      </w:pPr>
      <w:r w:rsidRPr="0071782F">
        <w:rPr>
          <w:lang w:val="fr-CH"/>
        </w:rPr>
        <w:tab/>
      </w:r>
      <w:r w:rsidRPr="0071782F">
        <w:rPr>
          <w:lang w:val="fr-CH"/>
        </w:rPr>
        <w:tab/>
        <w:t xml:space="preserve">Budgets </w:t>
      </w:r>
      <w:r w:rsidR="0005329A" w:rsidRPr="0071782F">
        <w:rPr>
          <w:lang w:val="fr-CH"/>
        </w:rPr>
        <w:t>et installations</w:t>
      </w:r>
    </w:p>
    <w:p w:rsidR="00333944" w:rsidRPr="0071782F" w:rsidRDefault="00333944" w:rsidP="00333944">
      <w:pPr>
        <w:pStyle w:val="SingleTxtG"/>
        <w:rPr>
          <w:lang w:val="fr-CH"/>
        </w:rPr>
      </w:pPr>
      <w:r w:rsidRPr="0071782F">
        <w:rPr>
          <w:lang w:val="fr-CH"/>
        </w:rPr>
        <w:t>376.</w:t>
      </w:r>
      <w:r w:rsidRPr="0071782F">
        <w:rPr>
          <w:lang w:val="fr-CH"/>
        </w:rPr>
        <w:tab/>
      </w:r>
      <w:r w:rsidR="00DF5F55" w:rsidRPr="0071782F">
        <w:rPr>
          <w:lang w:val="fr-CH"/>
        </w:rPr>
        <w:t>À ce sujet, il convient de noter ce qui suit</w:t>
      </w:r>
      <w:r w:rsidR="008F7D33" w:rsidRPr="0071782F">
        <w:rPr>
          <w:lang w:val="fr-CH"/>
        </w:rPr>
        <w:t>:</w:t>
      </w:r>
    </w:p>
    <w:p w:rsidR="00333944" w:rsidRPr="0071782F" w:rsidRDefault="00333944" w:rsidP="002205FD">
      <w:pPr>
        <w:pStyle w:val="SingleTxtG"/>
        <w:ind w:left="1701"/>
        <w:rPr>
          <w:lang w:val="fr-CH"/>
        </w:rPr>
      </w:pPr>
      <w:r w:rsidRPr="0071782F">
        <w:rPr>
          <w:lang w:val="fr-CH"/>
        </w:rPr>
        <w:t>376.1</w:t>
      </w:r>
      <w:r w:rsidR="002205FD" w:rsidRPr="0071782F">
        <w:rPr>
          <w:lang w:val="fr-CH"/>
        </w:rPr>
        <w:t>.</w:t>
      </w:r>
      <w:r w:rsidRPr="0071782F">
        <w:rPr>
          <w:lang w:val="fr-CH"/>
        </w:rPr>
        <w:tab/>
      </w:r>
      <w:r w:rsidR="00D5455D" w:rsidRPr="0071782F">
        <w:rPr>
          <w:lang w:val="fr-CH"/>
        </w:rPr>
        <w:t xml:space="preserve">La part du </w:t>
      </w:r>
      <w:r w:rsidRPr="0071782F">
        <w:rPr>
          <w:lang w:val="fr-CH"/>
        </w:rPr>
        <w:t xml:space="preserve">budget </w:t>
      </w:r>
      <w:r w:rsidR="00D5455D" w:rsidRPr="0071782F">
        <w:rPr>
          <w:lang w:val="fr-CH"/>
        </w:rPr>
        <w:t xml:space="preserve">de l’éducation dans le budget général de l’État est passée de </w:t>
      </w:r>
      <w:r w:rsidRPr="0071782F">
        <w:rPr>
          <w:lang w:val="fr-CH"/>
        </w:rPr>
        <w:t>8</w:t>
      </w:r>
      <w:r w:rsidR="00D5455D" w:rsidRPr="0071782F">
        <w:rPr>
          <w:lang w:val="fr-CH"/>
        </w:rPr>
        <w:t>,</w:t>
      </w:r>
      <w:r w:rsidRPr="0071782F">
        <w:rPr>
          <w:lang w:val="fr-CH"/>
        </w:rPr>
        <w:t xml:space="preserve">7 </w:t>
      </w:r>
      <w:r w:rsidR="00D5455D" w:rsidRPr="0071782F">
        <w:rPr>
          <w:lang w:val="fr-CH"/>
        </w:rPr>
        <w:t>à</w:t>
      </w:r>
      <w:r w:rsidRPr="0071782F">
        <w:rPr>
          <w:lang w:val="fr-CH"/>
        </w:rPr>
        <w:t xml:space="preserve"> 12</w:t>
      </w:r>
      <w:r w:rsidR="00D5455D" w:rsidRPr="0071782F">
        <w:rPr>
          <w:lang w:val="fr-CH"/>
        </w:rPr>
        <w:t>,</w:t>
      </w:r>
      <w:r w:rsidRPr="0071782F">
        <w:rPr>
          <w:lang w:val="fr-CH"/>
        </w:rPr>
        <w:t>3</w:t>
      </w:r>
      <w:r w:rsidR="007E5125" w:rsidRPr="0071782F">
        <w:rPr>
          <w:lang w:val="fr-CH"/>
        </w:rPr>
        <w:t>%</w:t>
      </w:r>
      <w:r w:rsidRPr="0071782F">
        <w:rPr>
          <w:lang w:val="fr-CH"/>
        </w:rPr>
        <w:t>.</w:t>
      </w:r>
    </w:p>
    <w:p w:rsidR="00333944" w:rsidRPr="0071782F" w:rsidRDefault="00333944" w:rsidP="002205FD">
      <w:pPr>
        <w:pStyle w:val="SingleTxtG"/>
        <w:ind w:left="1701"/>
        <w:rPr>
          <w:lang w:val="fr-CH"/>
        </w:rPr>
      </w:pPr>
      <w:r w:rsidRPr="0071782F">
        <w:rPr>
          <w:lang w:val="fr-CH"/>
        </w:rPr>
        <w:t>376.2</w:t>
      </w:r>
      <w:r w:rsidR="002205FD" w:rsidRPr="0071782F">
        <w:rPr>
          <w:lang w:val="fr-CH"/>
        </w:rPr>
        <w:t>.</w:t>
      </w:r>
      <w:r w:rsidRPr="0071782F">
        <w:rPr>
          <w:lang w:val="fr-CH"/>
        </w:rPr>
        <w:tab/>
      </w:r>
      <w:r w:rsidR="00D5455D" w:rsidRPr="0071782F">
        <w:rPr>
          <w:lang w:val="fr-CH"/>
        </w:rPr>
        <w:t>Quatre</w:t>
      </w:r>
      <w:r w:rsidR="008553D9" w:rsidRPr="0071782F">
        <w:rPr>
          <w:lang w:val="fr-CH"/>
        </w:rPr>
        <w:t> milliard</w:t>
      </w:r>
      <w:r w:rsidR="00097CDB" w:rsidRPr="0071782F">
        <w:rPr>
          <w:lang w:val="fr-CH"/>
        </w:rPr>
        <w:t>s</w:t>
      </w:r>
      <w:r w:rsidR="00D5455D" w:rsidRPr="0071782F">
        <w:rPr>
          <w:lang w:val="fr-CH"/>
        </w:rPr>
        <w:t xml:space="preserve"> de </w:t>
      </w:r>
      <w:r w:rsidRPr="0071782F">
        <w:rPr>
          <w:lang w:val="fr-CH"/>
        </w:rPr>
        <w:t xml:space="preserve">dollars </w:t>
      </w:r>
      <w:r w:rsidR="00D5455D" w:rsidRPr="0071782F">
        <w:rPr>
          <w:lang w:val="fr-CH"/>
        </w:rPr>
        <w:t>ont été alloués au Ministère de l’éducation pour la reconstruction ou la rénovation d’écoles non conformes aux normes</w:t>
      </w:r>
      <w:r w:rsidRPr="0071782F">
        <w:rPr>
          <w:lang w:val="fr-CH"/>
        </w:rPr>
        <w:t>.</w:t>
      </w:r>
    </w:p>
    <w:p w:rsidR="00333944" w:rsidRPr="0071782F" w:rsidRDefault="00333944" w:rsidP="002205FD">
      <w:pPr>
        <w:pStyle w:val="SingleTxtG"/>
        <w:ind w:left="1701"/>
        <w:rPr>
          <w:lang w:val="fr-CH"/>
        </w:rPr>
      </w:pPr>
      <w:r w:rsidRPr="0071782F">
        <w:rPr>
          <w:lang w:val="fr-CH"/>
        </w:rPr>
        <w:t>376.3</w:t>
      </w:r>
      <w:r w:rsidR="002205FD" w:rsidRPr="0071782F">
        <w:rPr>
          <w:lang w:val="fr-CH"/>
        </w:rPr>
        <w:t>.</w:t>
      </w:r>
      <w:r w:rsidRPr="0071782F">
        <w:rPr>
          <w:lang w:val="fr-CH"/>
        </w:rPr>
        <w:tab/>
      </w:r>
      <w:r w:rsidR="00F85817" w:rsidRPr="0071782F">
        <w:rPr>
          <w:lang w:val="fr-CH"/>
        </w:rPr>
        <w:t>Paiement de 1 000</w:t>
      </w:r>
      <w:r w:rsidR="008553D9" w:rsidRPr="0071782F">
        <w:rPr>
          <w:lang w:val="fr-CH"/>
        </w:rPr>
        <w:t> milliard</w:t>
      </w:r>
      <w:r w:rsidR="00097CDB" w:rsidRPr="0071782F">
        <w:rPr>
          <w:lang w:val="fr-CH"/>
        </w:rPr>
        <w:t>s</w:t>
      </w:r>
      <w:r w:rsidR="00F85817" w:rsidRPr="0071782F">
        <w:rPr>
          <w:lang w:val="fr-CH"/>
        </w:rPr>
        <w:t xml:space="preserve"> </w:t>
      </w:r>
      <w:r w:rsidR="003B1403" w:rsidRPr="0071782F">
        <w:rPr>
          <w:lang w:val="fr-CH"/>
        </w:rPr>
        <w:t>de rials</w:t>
      </w:r>
      <w:r w:rsidR="00F85817" w:rsidRPr="0071782F">
        <w:rPr>
          <w:lang w:val="fr-CH"/>
        </w:rPr>
        <w:t xml:space="preserve"> du budget équilibré par élève en coopération avec l’Assemblée consultative islamique et l’Organisme public de gestion et de planification</w:t>
      </w:r>
      <w:r w:rsidRPr="0071782F">
        <w:rPr>
          <w:lang w:val="fr-CH"/>
        </w:rPr>
        <w:t>.</w:t>
      </w:r>
    </w:p>
    <w:p w:rsidR="00333944" w:rsidRPr="0071782F" w:rsidRDefault="00333944" w:rsidP="002205FD">
      <w:pPr>
        <w:pStyle w:val="SingleTxtG"/>
        <w:ind w:left="1701"/>
        <w:rPr>
          <w:lang w:val="fr-CH"/>
        </w:rPr>
      </w:pPr>
      <w:r w:rsidRPr="0071782F">
        <w:rPr>
          <w:lang w:val="fr-CH"/>
        </w:rPr>
        <w:t>376.4</w:t>
      </w:r>
      <w:r w:rsidR="002205FD" w:rsidRPr="0071782F">
        <w:rPr>
          <w:lang w:val="fr-CH"/>
        </w:rPr>
        <w:t>.</w:t>
      </w:r>
      <w:r w:rsidRPr="0071782F">
        <w:rPr>
          <w:lang w:val="fr-CH"/>
        </w:rPr>
        <w:tab/>
        <w:t xml:space="preserve">Allocation </w:t>
      </w:r>
      <w:r w:rsidR="00F85817" w:rsidRPr="0071782F">
        <w:rPr>
          <w:lang w:val="fr-CH"/>
        </w:rPr>
        <w:t>de</w:t>
      </w:r>
      <w:r w:rsidRPr="0071782F">
        <w:rPr>
          <w:lang w:val="fr-CH"/>
        </w:rPr>
        <w:t xml:space="preserve"> 500</w:t>
      </w:r>
      <w:r w:rsidR="00097CDB" w:rsidRPr="0071782F">
        <w:rPr>
          <w:lang w:val="fr-CH"/>
        </w:rPr>
        <w:t> millions</w:t>
      </w:r>
      <w:r w:rsidRPr="0071782F">
        <w:rPr>
          <w:lang w:val="fr-CH"/>
        </w:rPr>
        <w:t xml:space="preserve"> </w:t>
      </w:r>
      <w:r w:rsidR="003B1403" w:rsidRPr="0071782F">
        <w:rPr>
          <w:lang w:val="fr-CH"/>
        </w:rPr>
        <w:t>de rials</w:t>
      </w:r>
      <w:r w:rsidRPr="0071782F">
        <w:rPr>
          <w:lang w:val="fr-CH"/>
        </w:rPr>
        <w:t xml:space="preserve"> </w:t>
      </w:r>
      <w:r w:rsidR="00F85817" w:rsidRPr="0071782F">
        <w:rPr>
          <w:lang w:val="fr-CH"/>
        </w:rPr>
        <w:t xml:space="preserve">aux centres éducatifs visant à fournir une </w:t>
      </w:r>
      <w:r w:rsidRPr="0071782F">
        <w:rPr>
          <w:lang w:val="fr-CH"/>
        </w:rPr>
        <w:t xml:space="preserve">assistance </w:t>
      </w:r>
      <w:r w:rsidR="00F85817" w:rsidRPr="0071782F">
        <w:rPr>
          <w:lang w:val="fr-CH"/>
        </w:rPr>
        <w:t xml:space="preserve">aux élèves </w:t>
      </w:r>
      <w:r w:rsidR="0092511D" w:rsidRPr="0071782F">
        <w:rPr>
          <w:lang w:val="fr-CH"/>
        </w:rPr>
        <w:t>de famille</w:t>
      </w:r>
      <w:r w:rsidR="00F85817" w:rsidRPr="0071782F">
        <w:rPr>
          <w:lang w:val="fr-CH"/>
        </w:rPr>
        <w:t>s défavorisées</w:t>
      </w:r>
      <w:r w:rsidRPr="0071782F">
        <w:rPr>
          <w:lang w:val="fr-CH"/>
        </w:rPr>
        <w:t>.</w:t>
      </w:r>
    </w:p>
    <w:p w:rsidR="00333944" w:rsidRPr="0071782F" w:rsidRDefault="00333944" w:rsidP="002205FD">
      <w:pPr>
        <w:pStyle w:val="SingleTxtG"/>
        <w:ind w:left="1701"/>
        <w:rPr>
          <w:lang w:val="fr-CH"/>
        </w:rPr>
      </w:pPr>
      <w:r w:rsidRPr="0071782F">
        <w:rPr>
          <w:lang w:val="fr-CH"/>
        </w:rPr>
        <w:t>376.5</w:t>
      </w:r>
      <w:r w:rsidR="002205FD" w:rsidRPr="0071782F">
        <w:rPr>
          <w:lang w:val="fr-CH"/>
        </w:rPr>
        <w:t>.</w:t>
      </w:r>
      <w:r w:rsidRPr="0071782F">
        <w:rPr>
          <w:lang w:val="fr-CH"/>
        </w:rPr>
        <w:tab/>
      </w:r>
      <w:r w:rsidR="00F85817" w:rsidRPr="0071782F">
        <w:rPr>
          <w:lang w:val="fr-CH"/>
        </w:rPr>
        <w:t xml:space="preserve">À l’occasion des déplacements qu’il a effectués dans les </w:t>
      </w:r>
      <w:r w:rsidRPr="0071782F">
        <w:rPr>
          <w:lang w:val="fr-CH"/>
        </w:rPr>
        <w:t xml:space="preserve">provinces, </w:t>
      </w:r>
      <w:r w:rsidR="00F85817" w:rsidRPr="0071782F">
        <w:rPr>
          <w:lang w:val="fr-CH"/>
        </w:rPr>
        <w:t>le Conseil des ministres a adopté des centaines de décisions visant à améliorer les conditions matérielles de l’enseignement, à équiper les écoles ouvertes 24</w:t>
      </w:r>
      <w:r w:rsidR="00BF435F" w:rsidRPr="0071782F">
        <w:rPr>
          <w:lang w:val="fr-CH"/>
        </w:rPr>
        <w:t> heures</w:t>
      </w:r>
      <w:r w:rsidR="00F85817" w:rsidRPr="0071782F">
        <w:rPr>
          <w:lang w:val="fr-CH"/>
        </w:rPr>
        <w:t xml:space="preserve"> sur 24 et à pallier les carences observées dans les zones défavorisées</w:t>
      </w:r>
      <w:r w:rsidRPr="0071782F">
        <w:rPr>
          <w:lang w:val="fr-CH"/>
        </w:rPr>
        <w:t>.</w:t>
      </w:r>
    </w:p>
    <w:p w:rsidR="00333944" w:rsidRPr="0071782F" w:rsidRDefault="00333944" w:rsidP="002205FD">
      <w:pPr>
        <w:pStyle w:val="SingleTxtG"/>
        <w:ind w:left="1701"/>
        <w:rPr>
          <w:lang w:val="fr-CH"/>
        </w:rPr>
      </w:pPr>
      <w:r w:rsidRPr="0071782F">
        <w:rPr>
          <w:lang w:val="fr-CH"/>
        </w:rPr>
        <w:t>376.6</w:t>
      </w:r>
      <w:r w:rsidR="002205FD" w:rsidRPr="0071782F">
        <w:rPr>
          <w:lang w:val="fr-CH"/>
        </w:rPr>
        <w:t>.</w:t>
      </w:r>
      <w:r w:rsidRPr="0071782F">
        <w:rPr>
          <w:lang w:val="fr-CH"/>
        </w:rPr>
        <w:tab/>
      </w:r>
      <w:r w:rsidR="003C239D" w:rsidRPr="0071782F">
        <w:rPr>
          <w:lang w:val="fr-CH"/>
        </w:rPr>
        <w:t xml:space="preserve">Le </w:t>
      </w:r>
      <w:r w:rsidRPr="0071782F">
        <w:rPr>
          <w:lang w:val="fr-CH"/>
        </w:rPr>
        <w:t xml:space="preserve">budget </w:t>
      </w:r>
      <w:r w:rsidR="003C239D" w:rsidRPr="0071782F">
        <w:rPr>
          <w:lang w:val="fr-CH"/>
        </w:rPr>
        <w:t xml:space="preserve">de l’éducation a augmenté de </w:t>
      </w:r>
      <w:r w:rsidRPr="0071782F">
        <w:rPr>
          <w:lang w:val="fr-CH"/>
        </w:rPr>
        <w:t>60</w:t>
      </w:r>
      <w:r w:rsidR="007E5125" w:rsidRPr="0071782F">
        <w:rPr>
          <w:lang w:val="fr-CH"/>
        </w:rPr>
        <w:t>%</w:t>
      </w:r>
      <w:r w:rsidR="003C239D" w:rsidRPr="0071782F">
        <w:rPr>
          <w:lang w:val="fr-CH"/>
        </w:rPr>
        <w:t xml:space="preserve">, passant de </w:t>
      </w:r>
      <w:r w:rsidRPr="0071782F">
        <w:rPr>
          <w:lang w:val="fr-CH"/>
        </w:rPr>
        <w:t>38</w:t>
      </w:r>
      <w:r w:rsidR="003B1403" w:rsidRPr="0071782F">
        <w:rPr>
          <w:lang w:val="fr-CH"/>
        </w:rPr>
        <w:t> </w:t>
      </w:r>
      <w:r w:rsidRPr="0071782F">
        <w:rPr>
          <w:lang w:val="fr-CH"/>
        </w:rPr>
        <w:t xml:space="preserve">000 </w:t>
      </w:r>
      <w:r w:rsidR="003C239D" w:rsidRPr="0071782F">
        <w:rPr>
          <w:lang w:val="fr-CH"/>
        </w:rPr>
        <w:t>à</w:t>
      </w:r>
      <w:r w:rsidRPr="0071782F">
        <w:rPr>
          <w:lang w:val="fr-CH"/>
        </w:rPr>
        <w:t xml:space="preserve"> 72</w:t>
      </w:r>
      <w:r w:rsidR="003B1403" w:rsidRPr="0071782F">
        <w:rPr>
          <w:lang w:val="fr-CH"/>
        </w:rPr>
        <w:t> </w:t>
      </w:r>
      <w:r w:rsidRPr="0071782F">
        <w:rPr>
          <w:lang w:val="fr-CH"/>
        </w:rPr>
        <w:t>000</w:t>
      </w:r>
      <w:r w:rsidR="008553D9" w:rsidRPr="0071782F">
        <w:rPr>
          <w:lang w:val="fr-CH"/>
        </w:rPr>
        <w:t> milliard</w:t>
      </w:r>
      <w:r w:rsidR="00097CDB" w:rsidRPr="0071782F">
        <w:rPr>
          <w:lang w:val="fr-CH"/>
        </w:rPr>
        <w:t>s</w:t>
      </w:r>
      <w:r w:rsidR="003C239D" w:rsidRPr="0071782F">
        <w:rPr>
          <w:lang w:val="fr-CH"/>
        </w:rPr>
        <w:t xml:space="preserve"> </w:t>
      </w:r>
      <w:r w:rsidR="003B1403" w:rsidRPr="0071782F">
        <w:rPr>
          <w:lang w:val="fr-CH"/>
        </w:rPr>
        <w:t>de rials</w:t>
      </w:r>
      <w:r w:rsidRPr="0071782F">
        <w:rPr>
          <w:lang w:val="fr-CH"/>
        </w:rPr>
        <w:t xml:space="preserve">. </w:t>
      </w:r>
      <w:r w:rsidR="003C239D" w:rsidRPr="0071782F">
        <w:rPr>
          <w:lang w:val="fr-CH"/>
        </w:rPr>
        <w:t xml:space="preserve">La part du budget de l’éducation dans le budget général de l’État est donc passée de </w:t>
      </w:r>
      <w:r w:rsidRPr="0071782F">
        <w:rPr>
          <w:lang w:val="fr-CH"/>
        </w:rPr>
        <w:t>10</w:t>
      </w:r>
      <w:r w:rsidR="007E5125" w:rsidRPr="0071782F">
        <w:rPr>
          <w:lang w:val="fr-CH"/>
        </w:rPr>
        <w:t>%</w:t>
      </w:r>
      <w:r w:rsidR="003C239D" w:rsidRPr="0071782F">
        <w:rPr>
          <w:lang w:val="fr-CH"/>
        </w:rPr>
        <w:t xml:space="preserve"> en </w:t>
      </w:r>
      <w:r w:rsidRPr="0071782F">
        <w:rPr>
          <w:lang w:val="fr-CH"/>
        </w:rPr>
        <w:t xml:space="preserve">2005 </w:t>
      </w:r>
      <w:r w:rsidR="003C239D" w:rsidRPr="0071782F">
        <w:rPr>
          <w:lang w:val="fr-CH"/>
        </w:rPr>
        <w:t>à</w:t>
      </w:r>
      <w:r w:rsidRPr="0071782F">
        <w:rPr>
          <w:lang w:val="fr-CH"/>
        </w:rPr>
        <w:t xml:space="preserve"> 16</w:t>
      </w:r>
      <w:r w:rsidR="007E5125" w:rsidRPr="0071782F">
        <w:rPr>
          <w:lang w:val="fr-CH"/>
        </w:rPr>
        <w:t>%</w:t>
      </w:r>
      <w:r w:rsidR="003C239D" w:rsidRPr="0071782F">
        <w:rPr>
          <w:lang w:val="fr-CH"/>
        </w:rPr>
        <w:t xml:space="preserve"> en </w:t>
      </w:r>
      <w:r w:rsidRPr="0071782F">
        <w:rPr>
          <w:lang w:val="fr-CH"/>
        </w:rPr>
        <w:t xml:space="preserve">2006. </w:t>
      </w:r>
      <w:r w:rsidR="003C239D" w:rsidRPr="0071782F">
        <w:rPr>
          <w:lang w:val="fr-CH"/>
        </w:rPr>
        <w:t>E</w:t>
      </w:r>
      <w:r w:rsidRPr="0071782F">
        <w:rPr>
          <w:lang w:val="fr-CH"/>
        </w:rPr>
        <w:t xml:space="preserve">n 2007, </w:t>
      </w:r>
      <w:r w:rsidR="003C239D" w:rsidRPr="0071782F">
        <w:rPr>
          <w:lang w:val="fr-CH"/>
        </w:rPr>
        <w:t>le budget de l’é</w:t>
      </w:r>
      <w:r w:rsidRPr="0071782F">
        <w:rPr>
          <w:lang w:val="fr-CH"/>
        </w:rPr>
        <w:t xml:space="preserve">ducation </w:t>
      </w:r>
      <w:r w:rsidR="003C239D" w:rsidRPr="0071782F">
        <w:rPr>
          <w:lang w:val="fr-CH"/>
        </w:rPr>
        <w:t xml:space="preserve">était de </w:t>
      </w:r>
      <w:r w:rsidRPr="0071782F">
        <w:rPr>
          <w:lang w:val="fr-CH"/>
        </w:rPr>
        <w:t>8</w:t>
      </w:r>
      <w:r w:rsidR="003B1403" w:rsidRPr="0071782F">
        <w:rPr>
          <w:lang w:val="fr-CH"/>
        </w:rPr>
        <w:t> </w:t>
      </w:r>
      <w:r w:rsidRPr="0071782F">
        <w:rPr>
          <w:lang w:val="fr-CH"/>
        </w:rPr>
        <w:t>000</w:t>
      </w:r>
      <w:r w:rsidR="008553D9" w:rsidRPr="0071782F">
        <w:rPr>
          <w:lang w:val="fr-CH"/>
        </w:rPr>
        <w:t> milliard</w:t>
      </w:r>
      <w:r w:rsidR="00097CDB" w:rsidRPr="0071782F">
        <w:rPr>
          <w:lang w:val="fr-CH"/>
        </w:rPr>
        <w:t>s</w:t>
      </w:r>
      <w:r w:rsidR="003C239D" w:rsidRPr="0071782F">
        <w:rPr>
          <w:lang w:val="fr-CH"/>
        </w:rPr>
        <w:t xml:space="preserve"> </w:t>
      </w:r>
      <w:r w:rsidR="003B1403" w:rsidRPr="0071782F">
        <w:rPr>
          <w:lang w:val="fr-CH"/>
        </w:rPr>
        <w:t>de rials</w:t>
      </w:r>
      <w:r w:rsidRPr="0071782F">
        <w:rPr>
          <w:lang w:val="fr-CH"/>
        </w:rPr>
        <w:t>.</w:t>
      </w:r>
    </w:p>
    <w:p w:rsidR="00333944" w:rsidRPr="0071782F" w:rsidRDefault="00333944" w:rsidP="002205FD">
      <w:pPr>
        <w:pStyle w:val="SingleTxtG"/>
        <w:ind w:left="1701"/>
        <w:rPr>
          <w:lang w:val="fr-CH"/>
        </w:rPr>
      </w:pPr>
      <w:r w:rsidRPr="0071782F">
        <w:rPr>
          <w:lang w:val="fr-CH"/>
        </w:rPr>
        <w:t>376.7</w:t>
      </w:r>
      <w:r w:rsidR="002205FD" w:rsidRPr="0071782F">
        <w:rPr>
          <w:lang w:val="fr-CH"/>
        </w:rPr>
        <w:t>.</w:t>
      </w:r>
      <w:r w:rsidRPr="0071782F">
        <w:rPr>
          <w:lang w:val="fr-CH"/>
        </w:rPr>
        <w:tab/>
      </w:r>
      <w:r w:rsidR="003C239D" w:rsidRPr="0071782F">
        <w:rPr>
          <w:lang w:val="fr-CH"/>
        </w:rPr>
        <w:t xml:space="preserve">Le Fonds de devises a affecté </w:t>
      </w:r>
      <w:r w:rsidRPr="0071782F">
        <w:rPr>
          <w:lang w:val="fr-CH"/>
        </w:rPr>
        <w:t>223</w:t>
      </w:r>
      <w:r w:rsidR="003C239D" w:rsidRPr="0071782F">
        <w:rPr>
          <w:lang w:val="fr-CH"/>
        </w:rPr>
        <w:t>,</w:t>
      </w:r>
      <w:r w:rsidRPr="0071782F">
        <w:rPr>
          <w:lang w:val="fr-CH"/>
        </w:rPr>
        <w:t>7</w:t>
      </w:r>
      <w:r w:rsidR="008553D9" w:rsidRPr="0071782F">
        <w:rPr>
          <w:lang w:val="fr-CH"/>
        </w:rPr>
        <w:t> milliard</w:t>
      </w:r>
      <w:r w:rsidR="00097CDB" w:rsidRPr="0071782F">
        <w:rPr>
          <w:lang w:val="fr-CH"/>
        </w:rPr>
        <w:t>s</w:t>
      </w:r>
      <w:r w:rsidR="003C239D" w:rsidRPr="0071782F">
        <w:rPr>
          <w:lang w:val="fr-CH"/>
        </w:rPr>
        <w:t xml:space="preserve"> </w:t>
      </w:r>
      <w:r w:rsidR="003B1403" w:rsidRPr="0071782F">
        <w:rPr>
          <w:lang w:val="fr-CH"/>
        </w:rPr>
        <w:t>de rials</w:t>
      </w:r>
      <w:r w:rsidRPr="0071782F">
        <w:rPr>
          <w:lang w:val="fr-CH"/>
        </w:rPr>
        <w:t xml:space="preserve"> </w:t>
      </w:r>
      <w:r w:rsidR="003C239D" w:rsidRPr="0071782F">
        <w:rPr>
          <w:lang w:val="fr-CH"/>
        </w:rPr>
        <w:t>aux écoles des zones défavorisées</w:t>
      </w:r>
      <w:r w:rsidRPr="0071782F">
        <w:rPr>
          <w:lang w:val="fr-CH"/>
        </w:rPr>
        <w:t>.</w:t>
      </w:r>
    </w:p>
    <w:p w:rsidR="00333944" w:rsidRPr="0071782F" w:rsidRDefault="00333944" w:rsidP="002205FD">
      <w:pPr>
        <w:pStyle w:val="SingleTxtG"/>
        <w:ind w:left="1701"/>
        <w:rPr>
          <w:lang w:val="fr-CH"/>
        </w:rPr>
      </w:pPr>
      <w:r w:rsidRPr="0071782F">
        <w:rPr>
          <w:lang w:val="fr-CH"/>
        </w:rPr>
        <w:t>376.8</w:t>
      </w:r>
      <w:r w:rsidR="002205FD" w:rsidRPr="0071782F">
        <w:rPr>
          <w:lang w:val="fr-CH"/>
        </w:rPr>
        <w:t>.</w:t>
      </w:r>
      <w:r w:rsidRPr="0071782F">
        <w:rPr>
          <w:lang w:val="fr-CH"/>
        </w:rPr>
        <w:tab/>
      </w:r>
      <w:r w:rsidR="003C239D" w:rsidRPr="0071782F">
        <w:rPr>
          <w:lang w:val="fr-CH"/>
        </w:rPr>
        <w:t>Il a été proposé de créer un Département de l’économie qui serait chargé de planifier et de gérer les finances du Ministère de l’éducation</w:t>
      </w:r>
      <w:r w:rsidRPr="0071782F">
        <w:rPr>
          <w:lang w:val="fr-CH"/>
        </w:rPr>
        <w:t>.</w:t>
      </w:r>
    </w:p>
    <w:p w:rsidR="00333944" w:rsidRPr="0071782F" w:rsidRDefault="00333944" w:rsidP="00333944">
      <w:pPr>
        <w:pStyle w:val="H23G"/>
        <w:rPr>
          <w:lang w:val="fr-CH"/>
        </w:rPr>
      </w:pPr>
      <w:r w:rsidRPr="0071782F">
        <w:rPr>
          <w:lang w:val="fr-CH"/>
        </w:rPr>
        <w:tab/>
      </w:r>
      <w:r w:rsidRPr="0071782F">
        <w:rPr>
          <w:lang w:val="fr-CH"/>
        </w:rPr>
        <w:tab/>
      </w:r>
      <w:r w:rsidR="003C239D" w:rsidRPr="0071782F">
        <w:rPr>
          <w:lang w:val="fr-CH"/>
        </w:rPr>
        <w:t>Affaires juridiques</w:t>
      </w:r>
      <w:r w:rsidR="008F7D33" w:rsidRPr="0071782F">
        <w:rPr>
          <w:lang w:val="fr-CH"/>
        </w:rPr>
        <w:t>:</w:t>
      </w:r>
      <w:r w:rsidRPr="0071782F">
        <w:rPr>
          <w:lang w:val="fr-CH"/>
        </w:rPr>
        <w:t xml:space="preserve"> supervision, assistance</w:t>
      </w:r>
      <w:r w:rsidR="003C239D" w:rsidRPr="0071782F">
        <w:rPr>
          <w:lang w:val="fr-CH"/>
        </w:rPr>
        <w:t xml:space="preserve"> juridique</w:t>
      </w:r>
      <w:r w:rsidRPr="0071782F">
        <w:rPr>
          <w:lang w:val="fr-CH"/>
        </w:rPr>
        <w:t>, etc.</w:t>
      </w:r>
    </w:p>
    <w:p w:rsidR="00333944" w:rsidRPr="0071782F" w:rsidRDefault="00333944" w:rsidP="00333944">
      <w:pPr>
        <w:pStyle w:val="SingleTxtG"/>
        <w:rPr>
          <w:lang w:val="fr-CH"/>
        </w:rPr>
      </w:pPr>
      <w:r w:rsidRPr="0071782F">
        <w:rPr>
          <w:lang w:val="fr-CH"/>
        </w:rPr>
        <w:t>377.</w:t>
      </w:r>
      <w:r w:rsidRPr="0071782F">
        <w:rPr>
          <w:lang w:val="fr-CH"/>
        </w:rPr>
        <w:tab/>
      </w:r>
      <w:r w:rsidR="00DF5F55" w:rsidRPr="0071782F">
        <w:rPr>
          <w:lang w:val="fr-CH"/>
        </w:rPr>
        <w:t>À ce sujet, il convient de noter ce qui suit</w:t>
      </w:r>
      <w:r w:rsidR="008F7D33" w:rsidRPr="0071782F">
        <w:rPr>
          <w:lang w:val="fr-CH"/>
        </w:rPr>
        <w:t>:</w:t>
      </w:r>
    </w:p>
    <w:p w:rsidR="00333944" w:rsidRPr="0071782F" w:rsidRDefault="00333944" w:rsidP="002205FD">
      <w:pPr>
        <w:pStyle w:val="SingleTxtG"/>
        <w:ind w:left="1701"/>
        <w:rPr>
          <w:lang w:val="fr-CH"/>
        </w:rPr>
      </w:pPr>
      <w:r w:rsidRPr="0071782F">
        <w:rPr>
          <w:lang w:val="fr-CH"/>
        </w:rPr>
        <w:t>377.1</w:t>
      </w:r>
      <w:r w:rsidR="002205FD" w:rsidRPr="0071782F">
        <w:rPr>
          <w:lang w:val="fr-CH"/>
        </w:rPr>
        <w:t>.</w:t>
      </w:r>
      <w:r w:rsidRPr="0071782F">
        <w:rPr>
          <w:lang w:val="fr-CH"/>
        </w:rPr>
        <w:tab/>
      </w:r>
      <w:r w:rsidR="00C877DA" w:rsidRPr="0071782F">
        <w:rPr>
          <w:lang w:val="fr-CH"/>
        </w:rPr>
        <w:t xml:space="preserve">Treize mille communications émanant de la Présidence et d’autres organisations connexes ont été examinées et il y a été répondu. Il a été répondu pour la première fois à </w:t>
      </w:r>
      <w:r w:rsidRPr="0071782F">
        <w:rPr>
          <w:lang w:val="fr-CH"/>
        </w:rPr>
        <w:t>90</w:t>
      </w:r>
      <w:r w:rsidR="007E5125" w:rsidRPr="0071782F">
        <w:rPr>
          <w:lang w:val="fr-CH"/>
        </w:rPr>
        <w:t>%</w:t>
      </w:r>
      <w:r w:rsidR="00C877DA" w:rsidRPr="0071782F">
        <w:rPr>
          <w:lang w:val="fr-CH"/>
        </w:rPr>
        <w:t xml:space="preserve"> des communications émanant de l’Assemblée c</w:t>
      </w:r>
      <w:r w:rsidRPr="0071782F">
        <w:rPr>
          <w:lang w:val="fr-CH"/>
        </w:rPr>
        <w:t xml:space="preserve">onsultative </w:t>
      </w:r>
      <w:r w:rsidR="00C877DA" w:rsidRPr="0071782F">
        <w:rPr>
          <w:lang w:val="fr-CH"/>
        </w:rPr>
        <w:t>islamique</w:t>
      </w:r>
      <w:r w:rsidRPr="0071782F">
        <w:rPr>
          <w:lang w:val="fr-CH"/>
        </w:rPr>
        <w:t xml:space="preserve">. </w:t>
      </w:r>
    </w:p>
    <w:p w:rsidR="00333944" w:rsidRPr="0071782F" w:rsidRDefault="00333944" w:rsidP="002205FD">
      <w:pPr>
        <w:pStyle w:val="SingleTxtG"/>
        <w:ind w:left="1701"/>
        <w:rPr>
          <w:lang w:val="fr-CH"/>
        </w:rPr>
      </w:pPr>
      <w:r w:rsidRPr="0071782F">
        <w:rPr>
          <w:lang w:val="fr-CH"/>
        </w:rPr>
        <w:t>377.2</w:t>
      </w:r>
      <w:r w:rsidR="002205FD" w:rsidRPr="0071782F">
        <w:rPr>
          <w:lang w:val="fr-CH"/>
        </w:rPr>
        <w:t>.</w:t>
      </w:r>
      <w:r w:rsidRPr="0071782F">
        <w:rPr>
          <w:lang w:val="fr-CH"/>
        </w:rPr>
        <w:tab/>
      </w:r>
      <w:r w:rsidR="00C877DA" w:rsidRPr="0071782F">
        <w:rPr>
          <w:lang w:val="fr-CH"/>
        </w:rPr>
        <w:t xml:space="preserve">Une </w:t>
      </w:r>
      <w:r w:rsidRPr="0071782F">
        <w:rPr>
          <w:lang w:val="fr-CH"/>
        </w:rPr>
        <w:t xml:space="preserve">assistance </w:t>
      </w:r>
      <w:r w:rsidR="00C877DA" w:rsidRPr="0071782F">
        <w:rPr>
          <w:lang w:val="fr-CH"/>
        </w:rPr>
        <w:t xml:space="preserve">juridique a été fournie à </w:t>
      </w:r>
      <w:r w:rsidRPr="0071782F">
        <w:rPr>
          <w:lang w:val="fr-CH"/>
        </w:rPr>
        <w:t>21</w:t>
      </w:r>
      <w:r w:rsidR="00816714">
        <w:rPr>
          <w:lang w:val="fr-CH"/>
        </w:rPr>
        <w:t> </w:t>
      </w:r>
      <w:r w:rsidRPr="0071782F">
        <w:rPr>
          <w:lang w:val="fr-CH"/>
        </w:rPr>
        <w:t xml:space="preserve">042 </w:t>
      </w:r>
      <w:r w:rsidR="00C877DA" w:rsidRPr="0071782F">
        <w:rPr>
          <w:lang w:val="fr-CH"/>
        </w:rPr>
        <w:t>employés du secteur éducatif</w:t>
      </w:r>
      <w:r w:rsidRPr="0071782F">
        <w:rPr>
          <w:lang w:val="fr-CH"/>
        </w:rPr>
        <w:t>.</w:t>
      </w:r>
    </w:p>
    <w:p w:rsidR="00333944" w:rsidRPr="0071782F" w:rsidRDefault="00333944" w:rsidP="002205FD">
      <w:pPr>
        <w:pStyle w:val="SingleTxtG"/>
        <w:ind w:left="1701"/>
        <w:rPr>
          <w:lang w:val="fr-CH"/>
        </w:rPr>
      </w:pPr>
      <w:r w:rsidRPr="0071782F">
        <w:rPr>
          <w:lang w:val="fr-CH"/>
        </w:rPr>
        <w:t>377.3</w:t>
      </w:r>
      <w:r w:rsidR="002205FD" w:rsidRPr="0071782F">
        <w:rPr>
          <w:lang w:val="fr-CH"/>
        </w:rPr>
        <w:t>.</w:t>
      </w:r>
      <w:r w:rsidRPr="0071782F">
        <w:rPr>
          <w:lang w:val="fr-CH"/>
        </w:rPr>
        <w:tab/>
      </w:r>
      <w:r w:rsidR="00C877DA" w:rsidRPr="0071782F">
        <w:rPr>
          <w:lang w:val="fr-CH"/>
        </w:rPr>
        <w:t xml:space="preserve">On a délivré ou corrigé </w:t>
      </w:r>
      <w:r w:rsidRPr="0071782F">
        <w:rPr>
          <w:lang w:val="fr-CH"/>
        </w:rPr>
        <w:t xml:space="preserve">80 </w:t>
      </w:r>
      <w:r w:rsidR="00C877DA" w:rsidRPr="0071782F">
        <w:rPr>
          <w:lang w:val="fr-CH"/>
        </w:rPr>
        <w:t>titres de propriété du Gouvernement de la République islamique d’Iran au nom du Ministère de l’éducation.</w:t>
      </w:r>
    </w:p>
    <w:p w:rsidR="00333944" w:rsidRPr="0071782F" w:rsidRDefault="00333944" w:rsidP="002205FD">
      <w:pPr>
        <w:pStyle w:val="SingleTxtG"/>
        <w:ind w:left="1701"/>
        <w:rPr>
          <w:lang w:val="fr-CH"/>
        </w:rPr>
      </w:pPr>
      <w:r w:rsidRPr="0071782F">
        <w:rPr>
          <w:lang w:val="fr-CH"/>
        </w:rPr>
        <w:t>377.4</w:t>
      </w:r>
      <w:r w:rsidR="002205FD" w:rsidRPr="0071782F">
        <w:rPr>
          <w:lang w:val="fr-CH"/>
        </w:rPr>
        <w:t>.</w:t>
      </w:r>
      <w:r w:rsidRPr="0071782F">
        <w:rPr>
          <w:lang w:val="fr-CH"/>
        </w:rPr>
        <w:tab/>
      </w:r>
      <w:r w:rsidR="00C877DA" w:rsidRPr="0071782F">
        <w:rPr>
          <w:lang w:val="fr-CH"/>
        </w:rPr>
        <w:t xml:space="preserve">On a fourni des services de </w:t>
      </w:r>
      <w:r w:rsidRPr="0071782F">
        <w:rPr>
          <w:lang w:val="fr-CH"/>
        </w:rPr>
        <w:t xml:space="preserve">consultation </w:t>
      </w:r>
      <w:r w:rsidR="00C877DA" w:rsidRPr="0071782F">
        <w:rPr>
          <w:lang w:val="fr-CH"/>
        </w:rPr>
        <w:t>juridique aux employés du secteur éducatif et supervisé la procédure suivie pour leur fournir cette assistance juridique.</w:t>
      </w:r>
    </w:p>
    <w:p w:rsidR="00333944" w:rsidRPr="0071782F" w:rsidRDefault="00333944" w:rsidP="002205FD">
      <w:pPr>
        <w:pStyle w:val="SingleTxtG"/>
        <w:ind w:left="1701"/>
        <w:rPr>
          <w:lang w:val="fr-CH"/>
        </w:rPr>
      </w:pPr>
      <w:r w:rsidRPr="0071782F">
        <w:rPr>
          <w:lang w:val="fr-CH"/>
        </w:rPr>
        <w:t>377.5</w:t>
      </w:r>
      <w:r w:rsidR="002205FD" w:rsidRPr="0071782F">
        <w:rPr>
          <w:lang w:val="fr-CH"/>
        </w:rPr>
        <w:t>.</w:t>
      </w:r>
      <w:r w:rsidRPr="0071782F">
        <w:rPr>
          <w:lang w:val="fr-CH"/>
        </w:rPr>
        <w:tab/>
      </w:r>
      <w:r w:rsidR="00376BC5" w:rsidRPr="0071782F">
        <w:rPr>
          <w:lang w:val="fr-CH"/>
        </w:rPr>
        <w:t>O</w:t>
      </w:r>
      <w:r w:rsidR="00DF5F55" w:rsidRPr="0071782F">
        <w:rPr>
          <w:lang w:val="fr-CH"/>
        </w:rPr>
        <w:t xml:space="preserve">n </w:t>
      </w:r>
      <w:r w:rsidR="00376BC5" w:rsidRPr="0071782F">
        <w:rPr>
          <w:lang w:val="fr-CH"/>
        </w:rPr>
        <w:t>a rigoureusement appliqué la loi sur le re</w:t>
      </w:r>
      <w:r w:rsidR="00B14994" w:rsidRPr="0071782F">
        <w:rPr>
          <w:lang w:val="fr-CH"/>
        </w:rPr>
        <w:t>crut</w:t>
      </w:r>
      <w:r w:rsidR="00376BC5" w:rsidRPr="0071782F">
        <w:rPr>
          <w:lang w:val="fr-CH"/>
        </w:rPr>
        <w:t>ement et la sélection des meilleurs candidats et suivi et inspecté en permanence les centres de recrutement.</w:t>
      </w:r>
    </w:p>
    <w:p w:rsidR="00333944" w:rsidRPr="0071782F" w:rsidRDefault="00333944" w:rsidP="002205FD">
      <w:pPr>
        <w:pStyle w:val="SingleTxtG"/>
        <w:ind w:left="1701"/>
        <w:rPr>
          <w:lang w:val="fr-CH"/>
        </w:rPr>
      </w:pPr>
      <w:r w:rsidRPr="0071782F">
        <w:rPr>
          <w:lang w:val="fr-CH"/>
        </w:rPr>
        <w:t>377.6</w:t>
      </w:r>
      <w:r w:rsidR="002205FD" w:rsidRPr="0071782F">
        <w:rPr>
          <w:lang w:val="fr-CH"/>
        </w:rPr>
        <w:t>.</w:t>
      </w:r>
      <w:r w:rsidRPr="0071782F">
        <w:rPr>
          <w:lang w:val="fr-CH"/>
        </w:rPr>
        <w:tab/>
      </w:r>
      <w:r w:rsidR="00376BC5" w:rsidRPr="0071782F">
        <w:rPr>
          <w:lang w:val="fr-CH"/>
        </w:rPr>
        <w:t>On a développé une collaboration positive et constante avec l’Assemblée c</w:t>
      </w:r>
      <w:r w:rsidRPr="0071782F">
        <w:rPr>
          <w:lang w:val="fr-CH"/>
        </w:rPr>
        <w:t xml:space="preserve">onsultative </w:t>
      </w:r>
      <w:r w:rsidR="00376BC5" w:rsidRPr="0071782F">
        <w:rPr>
          <w:lang w:val="fr-CH"/>
        </w:rPr>
        <w:t xml:space="preserve">islamique en ce qui concerne les </w:t>
      </w:r>
      <w:r w:rsidRPr="0071782F">
        <w:rPr>
          <w:lang w:val="fr-CH"/>
        </w:rPr>
        <w:t>d</w:t>
      </w:r>
      <w:r w:rsidR="00376BC5" w:rsidRPr="0071782F">
        <w:rPr>
          <w:lang w:val="fr-CH"/>
        </w:rPr>
        <w:t>é</w:t>
      </w:r>
      <w:r w:rsidRPr="0071782F">
        <w:rPr>
          <w:lang w:val="fr-CH"/>
        </w:rPr>
        <w:t xml:space="preserve">cisions </w:t>
      </w:r>
      <w:r w:rsidR="00376BC5" w:rsidRPr="0071782F">
        <w:rPr>
          <w:lang w:val="fr-CH"/>
        </w:rPr>
        <w:t>et lois sur l’éducation, telles que celles qui concernent la rénovation des écoles et le renouveau du département du développement et de l’éducation physique.</w:t>
      </w:r>
    </w:p>
    <w:p w:rsidR="00333944" w:rsidRPr="0071782F" w:rsidRDefault="00333944" w:rsidP="002205FD">
      <w:pPr>
        <w:pStyle w:val="SingleTxtG"/>
        <w:ind w:left="1701"/>
        <w:rPr>
          <w:lang w:val="fr-CH"/>
        </w:rPr>
      </w:pPr>
      <w:r w:rsidRPr="0071782F">
        <w:rPr>
          <w:lang w:val="fr-CH"/>
        </w:rPr>
        <w:t>377.7</w:t>
      </w:r>
      <w:r w:rsidR="002205FD" w:rsidRPr="0071782F">
        <w:rPr>
          <w:lang w:val="fr-CH"/>
        </w:rPr>
        <w:t>.</w:t>
      </w:r>
      <w:r w:rsidRPr="0071782F">
        <w:rPr>
          <w:lang w:val="fr-CH"/>
        </w:rPr>
        <w:tab/>
      </w:r>
      <w:r w:rsidR="00376BC5" w:rsidRPr="0071782F">
        <w:rPr>
          <w:lang w:val="fr-CH"/>
        </w:rPr>
        <w:t xml:space="preserve">On a assuré le suivi de </w:t>
      </w:r>
      <w:r w:rsidRPr="0071782F">
        <w:rPr>
          <w:lang w:val="fr-CH"/>
        </w:rPr>
        <w:t>6</w:t>
      </w:r>
      <w:r w:rsidR="00816714">
        <w:rPr>
          <w:lang w:val="fr-CH"/>
        </w:rPr>
        <w:t> </w:t>
      </w:r>
      <w:r w:rsidRPr="0071782F">
        <w:rPr>
          <w:lang w:val="fr-CH"/>
        </w:rPr>
        <w:t xml:space="preserve">000 </w:t>
      </w:r>
      <w:r w:rsidR="00376BC5" w:rsidRPr="0071782F">
        <w:rPr>
          <w:lang w:val="fr-CH"/>
        </w:rPr>
        <w:t>titres de propriété du Ministère de l’éducation; 5 000 cas ont abouti</w:t>
      </w:r>
      <w:r w:rsidRPr="0071782F">
        <w:rPr>
          <w:lang w:val="fr-CH"/>
        </w:rPr>
        <w:t>.</w:t>
      </w:r>
    </w:p>
    <w:p w:rsidR="00333944" w:rsidRPr="0071782F" w:rsidRDefault="00333944" w:rsidP="002205FD">
      <w:pPr>
        <w:pStyle w:val="SingleTxtG"/>
        <w:ind w:left="1701"/>
        <w:rPr>
          <w:lang w:val="fr-CH"/>
        </w:rPr>
      </w:pPr>
      <w:r w:rsidRPr="0071782F">
        <w:rPr>
          <w:lang w:val="fr-CH"/>
        </w:rPr>
        <w:t>377.8</w:t>
      </w:r>
      <w:r w:rsidR="002205FD" w:rsidRPr="0071782F">
        <w:rPr>
          <w:lang w:val="fr-CH"/>
        </w:rPr>
        <w:t>.</w:t>
      </w:r>
      <w:r w:rsidRPr="0071782F">
        <w:rPr>
          <w:lang w:val="fr-CH"/>
        </w:rPr>
        <w:tab/>
      </w:r>
      <w:r w:rsidR="00376BC5" w:rsidRPr="0071782F">
        <w:rPr>
          <w:lang w:val="fr-CH"/>
        </w:rPr>
        <w:t xml:space="preserve">On a présenté à l’Assemblée consultative islamique un projet de loi tendant à exonérer le Ministère de l’éducation du paiement des droits d’enregistrement </w:t>
      </w:r>
    </w:p>
    <w:p w:rsidR="00333944" w:rsidRPr="0071782F" w:rsidRDefault="00333944" w:rsidP="002205FD">
      <w:pPr>
        <w:pStyle w:val="SingleTxtG"/>
        <w:ind w:left="1701"/>
        <w:rPr>
          <w:lang w:val="fr-CH"/>
        </w:rPr>
      </w:pPr>
      <w:r w:rsidRPr="0071782F">
        <w:rPr>
          <w:lang w:val="fr-CH"/>
        </w:rPr>
        <w:t>377.9</w:t>
      </w:r>
      <w:r w:rsidR="002205FD" w:rsidRPr="0071782F">
        <w:rPr>
          <w:lang w:val="fr-CH"/>
        </w:rPr>
        <w:t>.</w:t>
      </w:r>
      <w:r w:rsidRPr="0071782F">
        <w:rPr>
          <w:lang w:val="fr-CH"/>
        </w:rPr>
        <w:tab/>
      </w:r>
      <w:r w:rsidR="00376BC5" w:rsidRPr="0071782F">
        <w:rPr>
          <w:lang w:val="fr-CH"/>
        </w:rPr>
        <w:t>On a remporté la première place dans le cadre du programme relatif au respect des clients</w:t>
      </w:r>
      <w:r w:rsidRPr="0071782F">
        <w:rPr>
          <w:lang w:val="fr-CH"/>
        </w:rPr>
        <w:t>.</w:t>
      </w:r>
    </w:p>
    <w:p w:rsidR="00186B76" w:rsidRPr="0071782F" w:rsidRDefault="00186B76" w:rsidP="00A45A11">
      <w:pPr>
        <w:pStyle w:val="H23G"/>
        <w:rPr>
          <w:lang w:val="fr-CH"/>
        </w:rPr>
      </w:pPr>
      <w:r w:rsidRPr="0071782F">
        <w:rPr>
          <w:lang w:val="fr-CH"/>
        </w:rPr>
        <w:tab/>
      </w:r>
      <w:r w:rsidRPr="0071782F">
        <w:rPr>
          <w:lang w:val="fr-CH"/>
        </w:rPr>
        <w:tab/>
      </w:r>
      <w:r w:rsidR="00376BC5" w:rsidRPr="0071782F">
        <w:rPr>
          <w:lang w:val="fr-CH"/>
        </w:rPr>
        <w:t>C</w:t>
      </w:r>
      <w:r w:rsidRPr="0071782F">
        <w:rPr>
          <w:lang w:val="fr-CH"/>
        </w:rPr>
        <w:t xml:space="preserve">onstruction </w:t>
      </w:r>
      <w:r w:rsidR="00376BC5" w:rsidRPr="0071782F">
        <w:rPr>
          <w:lang w:val="fr-CH"/>
        </w:rPr>
        <w:t>et é</w:t>
      </w:r>
      <w:r w:rsidRPr="0071782F">
        <w:rPr>
          <w:lang w:val="fr-CH"/>
        </w:rPr>
        <w:t>quip</w:t>
      </w:r>
      <w:r w:rsidR="00376BC5" w:rsidRPr="0071782F">
        <w:rPr>
          <w:lang w:val="fr-CH"/>
        </w:rPr>
        <w:t>e</w:t>
      </w:r>
      <w:r w:rsidRPr="0071782F">
        <w:rPr>
          <w:lang w:val="fr-CH"/>
        </w:rPr>
        <w:t xml:space="preserve">ment </w:t>
      </w:r>
      <w:r w:rsidR="00376BC5" w:rsidRPr="0071782F">
        <w:rPr>
          <w:lang w:val="fr-CH"/>
        </w:rPr>
        <w:t xml:space="preserve">des écoles </w:t>
      </w:r>
    </w:p>
    <w:p w:rsidR="00186B76" w:rsidRPr="0071782F" w:rsidRDefault="00186B76" w:rsidP="00A45A11">
      <w:pPr>
        <w:pStyle w:val="SingleTxtG"/>
        <w:rPr>
          <w:lang w:val="fr-CH"/>
        </w:rPr>
      </w:pPr>
      <w:r w:rsidRPr="0071782F">
        <w:rPr>
          <w:lang w:val="fr-CH"/>
        </w:rPr>
        <w:t>378.</w:t>
      </w:r>
      <w:r w:rsidRPr="0071782F">
        <w:rPr>
          <w:lang w:val="fr-CH"/>
        </w:rPr>
        <w:tab/>
      </w:r>
      <w:r w:rsidR="00B14994" w:rsidRPr="0071782F">
        <w:rPr>
          <w:lang w:val="fr-CH"/>
        </w:rPr>
        <w:t>À ce sujet, il convient de noter ce qui suit</w:t>
      </w:r>
      <w:r w:rsidR="008F7D33" w:rsidRPr="0071782F">
        <w:rPr>
          <w:lang w:val="fr-CH"/>
        </w:rPr>
        <w:t>:</w:t>
      </w:r>
    </w:p>
    <w:p w:rsidR="00186B76" w:rsidRPr="0071782F" w:rsidRDefault="00186B76" w:rsidP="00136376">
      <w:pPr>
        <w:pStyle w:val="SingleTxtG"/>
        <w:keepNext/>
        <w:keepLines/>
        <w:ind w:left="1701"/>
        <w:rPr>
          <w:lang w:val="fr-CH"/>
        </w:rPr>
      </w:pPr>
      <w:r w:rsidRPr="0071782F">
        <w:rPr>
          <w:lang w:val="fr-CH"/>
        </w:rPr>
        <w:t>378.1</w:t>
      </w:r>
      <w:r w:rsidR="00A45A11" w:rsidRPr="0071782F">
        <w:rPr>
          <w:lang w:val="fr-CH"/>
        </w:rPr>
        <w:t>.</w:t>
      </w:r>
      <w:r w:rsidRPr="0071782F">
        <w:rPr>
          <w:lang w:val="fr-CH"/>
        </w:rPr>
        <w:tab/>
      </w:r>
      <w:r w:rsidR="00BA2370" w:rsidRPr="0071782F">
        <w:rPr>
          <w:lang w:val="fr-CH"/>
        </w:rPr>
        <w:t>E</w:t>
      </w:r>
      <w:r w:rsidRPr="0071782F">
        <w:rPr>
          <w:lang w:val="fr-CH"/>
        </w:rPr>
        <w:t xml:space="preserve">n 2007, </w:t>
      </w:r>
      <w:r w:rsidR="00BA2370" w:rsidRPr="0071782F">
        <w:rPr>
          <w:lang w:val="fr-CH"/>
        </w:rPr>
        <w:t xml:space="preserve">on a construit </w:t>
      </w:r>
      <w:r w:rsidRPr="0071782F">
        <w:rPr>
          <w:lang w:val="fr-CH"/>
        </w:rPr>
        <w:t>1</w:t>
      </w:r>
      <w:r w:rsidR="00816714">
        <w:rPr>
          <w:lang w:val="fr-CH"/>
        </w:rPr>
        <w:t> </w:t>
      </w:r>
      <w:r w:rsidRPr="0071782F">
        <w:rPr>
          <w:lang w:val="fr-CH"/>
        </w:rPr>
        <w:t xml:space="preserve">562 </w:t>
      </w:r>
      <w:r w:rsidR="00BA2370" w:rsidRPr="0071782F">
        <w:rPr>
          <w:lang w:val="fr-CH"/>
        </w:rPr>
        <w:t>salles de prière ou salles polyvalentes destinées essentiellement à la prière</w:t>
      </w:r>
      <w:r w:rsidRPr="0071782F">
        <w:rPr>
          <w:lang w:val="fr-CH"/>
        </w:rPr>
        <w:t xml:space="preserve">, </w:t>
      </w:r>
      <w:r w:rsidR="00BA2370" w:rsidRPr="0071782F">
        <w:rPr>
          <w:lang w:val="fr-CH"/>
        </w:rPr>
        <w:t>pour une superficie totale de 215</w:t>
      </w:r>
      <w:r w:rsidR="003F25A2">
        <w:rPr>
          <w:lang w:val="fr-CH"/>
        </w:rPr>
        <w:t> </w:t>
      </w:r>
      <w:r w:rsidRPr="0071782F">
        <w:rPr>
          <w:lang w:val="fr-CH"/>
        </w:rPr>
        <w:t>441</w:t>
      </w:r>
      <w:r w:rsidR="00AF44B8" w:rsidRPr="0071782F">
        <w:rPr>
          <w:lang w:val="fr-CH"/>
        </w:rPr>
        <w:t> m</w:t>
      </w:r>
      <w:r w:rsidR="003F25A2" w:rsidRPr="003F25A2">
        <w:rPr>
          <w:vertAlign w:val="superscript"/>
          <w:lang w:val="fr-CH"/>
        </w:rPr>
        <w:t>2</w:t>
      </w:r>
      <w:r w:rsidRPr="0071782F">
        <w:rPr>
          <w:lang w:val="fr-CH"/>
        </w:rPr>
        <w:t xml:space="preserve">. </w:t>
      </w:r>
      <w:r w:rsidR="00BA2370" w:rsidRPr="0071782F">
        <w:rPr>
          <w:lang w:val="fr-CH"/>
        </w:rPr>
        <w:t>E</w:t>
      </w:r>
      <w:r w:rsidRPr="0071782F">
        <w:rPr>
          <w:lang w:val="fr-CH"/>
        </w:rPr>
        <w:t>n 2008, 3</w:t>
      </w:r>
      <w:r w:rsidR="003F25A2">
        <w:rPr>
          <w:lang w:val="fr-CH"/>
        </w:rPr>
        <w:t> </w:t>
      </w:r>
      <w:r w:rsidRPr="0071782F">
        <w:rPr>
          <w:lang w:val="fr-CH"/>
        </w:rPr>
        <w:t>632</w:t>
      </w:r>
      <w:r w:rsidR="003F25A2">
        <w:rPr>
          <w:lang w:val="fr-CH"/>
        </w:rPr>
        <w:t> </w:t>
      </w:r>
      <w:r w:rsidR="00BA2370" w:rsidRPr="0071782F">
        <w:rPr>
          <w:lang w:val="fr-CH"/>
        </w:rPr>
        <w:t>salles de prière ou salles polyvalentes étaient en</w:t>
      </w:r>
      <w:r w:rsidRPr="0071782F">
        <w:rPr>
          <w:lang w:val="fr-CH"/>
        </w:rPr>
        <w:t xml:space="preserve"> construction, </w:t>
      </w:r>
      <w:r w:rsidR="00BA2370" w:rsidRPr="0071782F">
        <w:rPr>
          <w:lang w:val="fr-CH"/>
        </w:rPr>
        <w:t xml:space="preserve">pour une superficie totale de </w:t>
      </w:r>
      <w:r w:rsidRPr="0071782F">
        <w:rPr>
          <w:lang w:val="fr-CH"/>
        </w:rPr>
        <w:t>35</w:t>
      </w:r>
      <w:r w:rsidR="003F25A2">
        <w:rPr>
          <w:lang w:val="fr-CH"/>
        </w:rPr>
        <w:t> </w:t>
      </w:r>
      <w:r w:rsidRPr="0071782F">
        <w:rPr>
          <w:lang w:val="fr-CH"/>
        </w:rPr>
        <w:t>207</w:t>
      </w:r>
      <w:r w:rsidR="00AF44B8" w:rsidRPr="0071782F">
        <w:rPr>
          <w:lang w:val="fr-CH"/>
        </w:rPr>
        <w:t> m</w:t>
      </w:r>
      <w:r w:rsidR="003F25A2" w:rsidRPr="003F25A2">
        <w:rPr>
          <w:vertAlign w:val="superscript"/>
          <w:lang w:val="fr-CH"/>
        </w:rPr>
        <w:t>2</w:t>
      </w:r>
      <w:r w:rsidRPr="0071782F">
        <w:rPr>
          <w:lang w:val="fr-CH"/>
        </w:rPr>
        <w:t>.</w:t>
      </w:r>
    </w:p>
    <w:p w:rsidR="00186B76" w:rsidRPr="0071782F" w:rsidRDefault="00186B76" w:rsidP="00136376">
      <w:pPr>
        <w:pStyle w:val="SingleTxtG"/>
        <w:keepNext/>
        <w:keepLines/>
        <w:ind w:left="1701"/>
        <w:rPr>
          <w:lang w:val="fr-CH"/>
        </w:rPr>
      </w:pPr>
      <w:r w:rsidRPr="0071782F">
        <w:rPr>
          <w:lang w:val="fr-CH"/>
        </w:rPr>
        <w:t>378.2</w:t>
      </w:r>
      <w:r w:rsidR="00A45A11" w:rsidRPr="0071782F">
        <w:rPr>
          <w:lang w:val="fr-CH"/>
        </w:rPr>
        <w:t>.</w:t>
      </w:r>
      <w:r w:rsidRPr="0071782F">
        <w:rPr>
          <w:lang w:val="fr-CH"/>
        </w:rPr>
        <w:tab/>
      </w:r>
      <w:r w:rsidR="00BA2370" w:rsidRPr="0071782F">
        <w:rPr>
          <w:lang w:val="fr-CH"/>
        </w:rPr>
        <w:t xml:space="preserve">Un complexe éducatif est en cours de </w:t>
      </w:r>
      <w:r w:rsidRPr="0071782F">
        <w:rPr>
          <w:lang w:val="fr-CH"/>
        </w:rPr>
        <w:t xml:space="preserve">construction </w:t>
      </w:r>
      <w:r w:rsidR="00BA2370" w:rsidRPr="0071782F">
        <w:rPr>
          <w:lang w:val="fr-CH"/>
        </w:rPr>
        <w:t xml:space="preserve">à Dubaï, avec un budget de </w:t>
      </w:r>
      <w:r w:rsidRPr="0071782F">
        <w:rPr>
          <w:lang w:val="fr-CH"/>
        </w:rPr>
        <w:t>120</w:t>
      </w:r>
      <w:r w:rsidR="008553D9" w:rsidRPr="0071782F">
        <w:rPr>
          <w:lang w:val="fr-CH"/>
        </w:rPr>
        <w:t> milliard</w:t>
      </w:r>
      <w:r w:rsidR="00097CDB" w:rsidRPr="0071782F">
        <w:rPr>
          <w:lang w:val="fr-CH"/>
        </w:rPr>
        <w:t>s</w:t>
      </w:r>
      <w:r w:rsidR="00BA2370" w:rsidRPr="0071782F">
        <w:rPr>
          <w:lang w:val="fr-CH"/>
        </w:rPr>
        <w:t xml:space="preserve"> </w:t>
      </w:r>
      <w:r w:rsidR="003B1403" w:rsidRPr="0071782F">
        <w:rPr>
          <w:lang w:val="fr-CH"/>
        </w:rPr>
        <w:t>de rials</w:t>
      </w:r>
      <w:r w:rsidRPr="0071782F">
        <w:rPr>
          <w:lang w:val="fr-CH"/>
        </w:rPr>
        <w:t xml:space="preserve">, </w:t>
      </w:r>
      <w:r w:rsidR="00BA2370" w:rsidRPr="0071782F">
        <w:rPr>
          <w:lang w:val="fr-CH"/>
        </w:rPr>
        <w:t>à quoi viennent s’ajouter des ressources locales</w:t>
      </w:r>
      <w:r w:rsidRPr="0071782F">
        <w:rPr>
          <w:lang w:val="fr-CH"/>
        </w:rPr>
        <w:t>.</w:t>
      </w:r>
    </w:p>
    <w:p w:rsidR="00186B76" w:rsidRPr="0071782F" w:rsidRDefault="00186B76" w:rsidP="00A45A11">
      <w:pPr>
        <w:pStyle w:val="SingleTxtG"/>
        <w:ind w:left="1701"/>
        <w:rPr>
          <w:lang w:val="fr-CH"/>
        </w:rPr>
      </w:pPr>
      <w:r w:rsidRPr="0071782F">
        <w:rPr>
          <w:lang w:val="fr-CH"/>
        </w:rPr>
        <w:t>378.3</w:t>
      </w:r>
      <w:r w:rsidR="00A45A11" w:rsidRPr="0071782F">
        <w:rPr>
          <w:lang w:val="fr-CH"/>
        </w:rPr>
        <w:t>.</w:t>
      </w:r>
      <w:r w:rsidRPr="0071782F">
        <w:rPr>
          <w:lang w:val="fr-CH"/>
        </w:rPr>
        <w:tab/>
      </w:r>
      <w:r w:rsidR="00BA2370" w:rsidRPr="0071782F">
        <w:rPr>
          <w:lang w:val="fr-CH"/>
        </w:rPr>
        <w:t xml:space="preserve">Pendant la semaine du gouvernement de </w:t>
      </w:r>
      <w:r w:rsidRPr="0071782F">
        <w:rPr>
          <w:lang w:val="fr-CH"/>
        </w:rPr>
        <w:t xml:space="preserve">2006, </w:t>
      </w:r>
      <w:r w:rsidR="00BA2370" w:rsidRPr="0071782F">
        <w:rPr>
          <w:lang w:val="fr-CH"/>
        </w:rPr>
        <w:t xml:space="preserve">la </w:t>
      </w:r>
      <w:r w:rsidRPr="0071782F">
        <w:rPr>
          <w:lang w:val="fr-CH"/>
        </w:rPr>
        <w:t xml:space="preserve">construction </w:t>
      </w:r>
      <w:r w:rsidR="00BA2370" w:rsidRPr="0071782F">
        <w:rPr>
          <w:lang w:val="fr-CH"/>
        </w:rPr>
        <w:t>de</w:t>
      </w:r>
      <w:r w:rsidR="003B1403" w:rsidRPr="0071782F">
        <w:rPr>
          <w:lang w:val="fr-CH"/>
        </w:rPr>
        <w:t> </w:t>
      </w:r>
      <w:r w:rsidRPr="0071782F">
        <w:rPr>
          <w:lang w:val="fr-CH"/>
        </w:rPr>
        <w:t>1</w:t>
      </w:r>
      <w:r w:rsidR="003F25A2">
        <w:rPr>
          <w:lang w:val="fr-CH"/>
        </w:rPr>
        <w:t> </w:t>
      </w:r>
      <w:r w:rsidRPr="0071782F">
        <w:rPr>
          <w:lang w:val="fr-CH"/>
        </w:rPr>
        <w:t>500</w:t>
      </w:r>
      <w:r w:rsidR="003B1403" w:rsidRPr="0071782F">
        <w:rPr>
          <w:lang w:val="fr-CH"/>
        </w:rPr>
        <w:t> </w:t>
      </w:r>
      <w:r w:rsidR="00066B1A" w:rsidRPr="0071782F">
        <w:rPr>
          <w:lang w:val="fr-CH"/>
        </w:rPr>
        <w:t>centre</w:t>
      </w:r>
      <w:r w:rsidRPr="0071782F">
        <w:rPr>
          <w:lang w:val="fr-CH"/>
        </w:rPr>
        <w:t xml:space="preserve">s </w:t>
      </w:r>
      <w:r w:rsidR="00BA2370" w:rsidRPr="0071782F">
        <w:rPr>
          <w:lang w:val="fr-CH"/>
        </w:rPr>
        <w:t xml:space="preserve">éducatifs (pour un total de </w:t>
      </w:r>
      <w:r w:rsidRPr="0071782F">
        <w:rPr>
          <w:lang w:val="fr-CH"/>
        </w:rPr>
        <w:t>8</w:t>
      </w:r>
      <w:r w:rsidR="00BA2370" w:rsidRPr="0071782F">
        <w:rPr>
          <w:lang w:val="fr-CH"/>
        </w:rPr>
        <w:t xml:space="preserve"> </w:t>
      </w:r>
      <w:r w:rsidRPr="0071782F">
        <w:rPr>
          <w:lang w:val="fr-CH"/>
        </w:rPr>
        <w:t xml:space="preserve">000 </w:t>
      </w:r>
      <w:r w:rsidR="00BA2370" w:rsidRPr="0071782F">
        <w:rPr>
          <w:lang w:val="fr-CH"/>
        </w:rPr>
        <w:t>salles de classe) a été achevé</w:t>
      </w:r>
      <w:r w:rsidR="003B1403" w:rsidRPr="0071782F">
        <w:rPr>
          <w:lang w:val="fr-CH"/>
        </w:rPr>
        <w:t>e</w:t>
      </w:r>
      <w:r w:rsidRPr="0071782F">
        <w:rPr>
          <w:lang w:val="fr-CH"/>
        </w:rPr>
        <w:t xml:space="preserve">. </w:t>
      </w:r>
      <w:r w:rsidR="00BA2370" w:rsidRPr="0071782F">
        <w:rPr>
          <w:lang w:val="fr-CH"/>
        </w:rPr>
        <w:t>E</w:t>
      </w:r>
      <w:r w:rsidRPr="0071782F">
        <w:rPr>
          <w:lang w:val="fr-CH"/>
        </w:rPr>
        <w:t xml:space="preserve">n </w:t>
      </w:r>
      <w:r w:rsidR="00BA2370" w:rsidRPr="0071782F">
        <w:rPr>
          <w:lang w:val="fr-CH"/>
        </w:rPr>
        <w:t>septembre 2007, 35</w:t>
      </w:r>
      <w:r w:rsidR="003F25A2">
        <w:rPr>
          <w:lang w:val="fr-CH"/>
        </w:rPr>
        <w:t> </w:t>
      </w:r>
      <w:r w:rsidRPr="0071782F">
        <w:rPr>
          <w:lang w:val="fr-CH"/>
        </w:rPr>
        <w:t xml:space="preserve">000 </w:t>
      </w:r>
      <w:r w:rsidR="00BA2370" w:rsidRPr="0071782F">
        <w:rPr>
          <w:lang w:val="fr-CH"/>
        </w:rPr>
        <w:t>salles de classe supplémentaires ont été livrées</w:t>
      </w:r>
      <w:r w:rsidRPr="0071782F">
        <w:rPr>
          <w:lang w:val="fr-CH"/>
        </w:rPr>
        <w:t>.</w:t>
      </w:r>
    </w:p>
    <w:p w:rsidR="00186B76" w:rsidRPr="0071782F" w:rsidRDefault="00186B76" w:rsidP="00A45A11">
      <w:pPr>
        <w:pStyle w:val="SingleTxtG"/>
        <w:ind w:left="1701"/>
        <w:rPr>
          <w:lang w:val="fr-CH"/>
        </w:rPr>
      </w:pPr>
      <w:r w:rsidRPr="0071782F">
        <w:rPr>
          <w:lang w:val="fr-CH"/>
        </w:rPr>
        <w:t>378.4</w:t>
      </w:r>
      <w:r w:rsidR="00A45A11" w:rsidRPr="0071782F">
        <w:rPr>
          <w:lang w:val="fr-CH"/>
        </w:rPr>
        <w:t>.</w:t>
      </w:r>
      <w:r w:rsidRPr="0071782F">
        <w:rPr>
          <w:lang w:val="fr-CH"/>
        </w:rPr>
        <w:tab/>
      </w:r>
      <w:r w:rsidR="00BA2370" w:rsidRPr="0071782F">
        <w:rPr>
          <w:lang w:val="fr-CH"/>
        </w:rPr>
        <w:t xml:space="preserve">Dans le cadre de la remise en état des installations, 94 complexes sportifs, d’une superficie totale de </w:t>
      </w:r>
      <w:r w:rsidRPr="0071782F">
        <w:rPr>
          <w:lang w:val="fr-CH"/>
        </w:rPr>
        <w:t>99</w:t>
      </w:r>
      <w:r w:rsidR="00816714">
        <w:rPr>
          <w:lang w:val="fr-CH"/>
        </w:rPr>
        <w:t> </w:t>
      </w:r>
      <w:r w:rsidRPr="0071782F">
        <w:rPr>
          <w:lang w:val="fr-CH"/>
        </w:rPr>
        <w:t>921</w:t>
      </w:r>
      <w:r w:rsidR="00AF44B8" w:rsidRPr="0071782F">
        <w:rPr>
          <w:lang w:val="fr-CH"/>
        </w:rPr>
        <w:t> </w:t>
      </w:r>
      <w:r w:rsidR="003F25A2" w:rsidRPr="003F25A2">
        <w:rPr>
          <w:lang w:val="fr-CH"/>
        </w:rPr>
        <w:t>m</w:t>
      </w:r>
      <w:r w:rsidR="003F25A2" w:rsidRPr="003F25A2">
        <w:rPr>
          <w:vertAlign w:val="superscript"/>
          <w:lang w:val="fr-CH"/>
        </w:rPr>
        <w:t>2</w:t>
      </w:r>
      <w:r w:rsidR="00BA2370" w:rsidRPr="0071782F">
        <w:rPr>
          <w:lang w:val="fr-CH"/>
        </w:rPr>
        <w:t>, ont été construits et mis en service</w:t>
      </w:r>
      <w:r w:rsidRPr="0071782F">
        <w:rPr>
          <w:lang w:val="fr-CH"/>
        </w:rPr>
        <w:t>.</w:t>
      </w:r>
    </w:p>
    <w:p w:rsidR="00186B76" w:rsidRPr="0071782F" w:rsidRDefault="00186B76" w:rsidP="00A45A11">
      <w:pPr>
        <w:pStyle w:val="SingleTxtG"/>
        <w:ind w:left="1701"/>
        <w:rPr>
          <w:lang w:val="fr-CH"/>
        </w:rPr>
      </w:pPr>
      <w:r w:rsidRPr="0071782F">
        <w:rPr>
          <w:lang w:val="fr-CH"/>
        </w:rPr>
        <w:t>378.5</w:t>
      </w:r>
      <w:r w:rsidR="00A45A11" w:rsidRPr="0071782F">
        <w:rPr>
          <w:lang w:val="fr-CH"/>
        </w:rPr>
        <w:t>.</w:t>
      </w:r>
      <w:r w:rsidRPr="0071782F">
        <w:rPr>
          <w:lang w:val="fr-CH"/>
        </w:rPr>
        <w:tab/>
      </w:r>
      <w:r w:rsidR="00BA2370" w:rsidRPr="0071782F">
        <w:rPr>
          <w:lang w:val="fr-CH"/>
        </w:rPr>
        <w:t xml:space="preserve">Au cours de la période </w:t>
      </w:r>
      <w:r w:rsidRPr="0071782F">
        <w:rPr>
          <w:lang w:val="fr-CH"/>
        </w:rPr>
        <w:t>2005</w:t>
      </w:r>
      <w:r w:rsidR="00BA2370" w:rsidRPr="0071782F">
        <w:rPr>
          <w:lang w:val="fr-CH"/>
        </w:rPr>
        <w:t>-</w:t>
      </w:r>
      <w:r w:rsidRPr="0071782F">
        <w:rPr>
          <w:lang w:val="fr-CH"/>
        </w:rPr>
        <w:t xml:space="preserve">2006, </w:t>
      </w:r>
      <w:r w:rsidR="00BA2370" w:rsidRPr="0071782F">
        <w:rPr>
          <w:lang w:val="fr-CH"/>
        </w:rPr>
        <w:t>le Ministère de l’éducation a remporté, dans le cadre de l’évaluation des organisations nationales effectuée par l’Organisme public de gestion et de planification, la première et la deuxième place des classements national et provincial, respectivement, en ce qui concerne le rendement du capital investi</w:t>
      </w:r>
      <w:r w:rsidRPr="0071782F">
        <w:rPr>
          <w:lang w:val="fr-CH"/>
        </w:rPr>
        <w:t>.</w:t>
      </w:r>
    </w:p>
    <w:p w:rsidR="00186B76" w:rsidRPr="0071782F" w:rsidRDefault="00186B76" w:rsidP="00A45A11">
      <w:pPr>
        <w:pStyle w:val="SingleTxtG"/>
        <w:ind w:left="1701"/>
        <w:rPr>
          <w:lang w:val="fr-CH"/>
        </w:rPr>
      </w:pPr>
      <w:r w:rsidRPr="0071782F">
        <w:rPr>
          <w:lang w:val="fr-CH"/>
        </w:rPr>
        <w:t>378.6</w:t>
      </w:r>
      <w:r w:rsidR="00A45A11" w:rsidRPr="0071782F">
        <w:rPr>
          <w:lang w:val="fr-CH"/>
        </w:rPr>
        <w:t>.</w:t>
      </w:r>
      <w:r w:rsidRPr="0071782F">
        <w:rPr>
          <w:lang w:val="fr-CH"/>
        </w:rPr>
        <w:tab/>
      </w:r>
      <w:r w:rsidR="008639B1" w:rsidRPr="0071782F">
        <w:rPr>
          <w:lang w:val="fr-CH"/>
        </w:rPr>
        <w:t xml:space="preserve">S’agissant de l’application du programme de libération d’espaces occupés par des équipements en mauvais état, on a libéré </w:t>
      </w:r>
      <w:r w:rsidRPr="0071782F">
        <w:rPr>
          <w:lang w:val="fr-CH"/>
        </w:rPr>
        <w:t>3</w:t>
      </w:r>
      <w:r w:rsidR="003F25A2">
        <w:rPr>
          <w:lang w:val="fr-CH"/>
        </w:rPr>
        <w:t> </w:t>
      </w:r>
      <w:r w:rsidRPr="0071782F">
        <w:rPr>
          <w:lang w:val="fr-CH"/>
        </w:rPr>
        <w:t xml:space="preserve">351 </w:t>
      </w:r>
      <w:r w:rsidR="008639B1" w:rsidRPr="0071782F">
        <w:rPr>
          <w:lang w:val="fr-CH"/>
        </w:rPr>
        <w:t xml:space="preserve">salles de classe, d’une superficie totale de </w:t>
      </w:r>
      <w:r w:rsidRPr="0071782F">
        <w:rPr>
          <w:lang w:val="fr-CH"/>
        </w:rPr>
        <w:t>72</w:t>
      </w:r>
      <w:r w:rsidR="003F25A2">
        <w:rPr>
          <w:lang w:val="fr-CH"/>
        </w:rPr>
        <w:t> </w:t>
      </w:r>
      <w:r w:rsidRPr="0071782F">
        <w:rPr>
          <w:lang w:val="fr-CH"/>
        </w:rPr>
        <w:t>000</w:t>
      </w:r>
      <w:r w:rsidR="00AF44B8" w:rsidRPr="0071782F">
        <w:rPr>
          <w:lang w:val="fr-CH"/>
        </w:rPr>
        <w:t> m</w:t>
      </w:r>
      <w:r w:rsidR="003F25A2" w:rsidRPr="003F25A2">
        <w:rPr>
          <w:vertAlign w:val="superscript"/>
          <w:lang w:val="fr-CH"/>
        </w:rPr>
        <w:t>2</w:t>
      </w:r>
      <w:r w:rsidR="008639B1" w:rsidRPr="0071782F">
        <w:rPr>
          <w:lang w:val="fr-CH"/>
        </w:rPr>
        <w:t xml:space="preserve">, et </w:t>
      </w:r>
      <w:r w:rsidRPr="0071782F">
        <w:rPr>
          <w:lang w:val="fr-CH"/>
        </w:rPr>
        <w:t>2</w:t>
      </w:r>
      <w:r w:rsidR="00816714">
        <w:rPr>
          <w:lang w:val="fr-CH"/>
        </w:rPr>
        <w:t> </w:t>
      </w:r>
      <w:r w:rsidRPr="0071782F">
        <w:rPr>
          <w:lang w:val="fr-CH"/>
        </w:rPr>
        <w:t xml:space="preserve">209 </w:t>
      </w:r>
      <w:r w:rsidR="008639B1" w:rsidRPr="0071782F">
        <w:rPr>
          <w:lang w:val="fr-CH"/>
        </w:rPr>
        <w:t xml:space="preserve">installations diverses, d’une superficie totale de </w:t>
      </w:r>
      <w:r w:rsidRPr="0071782F">
        <w:rPr>
          <w:lang w:val="fr-CH"/>
        </w:rPr>
        <w:t>53</w:t>
      </w:r>
      <w:r w:rsidR="003F25A2">
        <w:rPr>
          <w:lang w:val="fr-CH"/>
        </w:rPr>
        <w:t> </w:t>
      </w:r>
      <w:r w:rsidRPr="0071782F">
        <w:rPr>
          <w:lang w:val="fr-CH"/>
        </w:rPr>
        <w:t>000</w:t>
      </w:r>
      <w:r w:rsidR="00AF44B8" w:rsidRPr="0071782F">
        <w:rPr>
          <w:lang w:val="fr-CH"/>
        </w:rPr>
        <w:t> m</w:t>
      </w:r>
      <w:r w:rsidR="003F25A2" w:rsidRPr="003F25A2">
        <w:rPr>
          <w:vertAlign w:val="superscript"/>
          <w:lang w:val="fr-CH"/>
        </w:rPr>
        <w:t>2</w:t>
      </w:r>
      <w:r w:rsidRPr="0071782F">
        <w:rPr>
          <w:lang w:val="fr-CH"/>
        </w:rPr>
        <w:t>.</w:t>
      </w:r>
    </w:p>
    <w:p w:rsidR="00186B76" w:rsidRPr="0071782F" w:rsidRDefault="00186B76" w:rsidP="00A45A11">
      <w:pPr>
        <w:pStyle w:val="SingleTxtG"/>
        <w:ind w:left="1701"/>
        <w:rPr>
          <w:lang w:val="fr-CH"/>
        </w:rPr>
      </w:pPr>
      <w:r w:rsidRPr="0071782F">
        <w:rPr>
          <w:lang w:val="fr-CH"/>
        </w:rPr>
        <w:t>378.7</w:t>
      </w:r>
      <w:r w:rsidR="00A45A11" w:rsidRPr="0071782F">
        <w:rPr>
          <w:lang w:val="fr-CH"/>
        </w:rPr>
        <w:t>.</w:t>
      </w:r>
      <w:r w:rsidRPr="0071782F">
        <w:rPr>
          <w:lang w:val="fr-CH"/>
        </w:rPr>
        <w:tab/>
      </w:r>
      <w:r w:rsidR="008639B1" w:rsidRPr="0071782F">
        <w:rPr>
          <w:lang w:val="fr-CH"/>
        </w:rPr>
        <w:t xml:space="preserve">Le </w:t>
      </w:r>
      <w:r w:rsidR="00A90208" w:rsidRPr="0071782F">
        <w:rPr>
          <w:lang w:val="fr-CH"/>
        </w:rPr>
        <w:t>quatrième</w:t>
      </w:r>
      <w:r w:rsidR="008639B1" w:rsidRPr="0071782F">
        <w:rPr>
          <w:lang w:val="fr-CH"/>
        </w:rPr>
        <w:t xml:space="preserve"> plan de développement a affecté quelque quatre</w:t>
      </w:r>
      <w:r w:rsidR="00816714">
        <w:rPr>
          <w:lang w:val="fr-CH"/>
        </w:rPr>
        <w:t xml:space="preserve"> </w:t>
      </w:r>
      <w:r w:rsidR="008553D9" w:rsidRPr="0071782F">
        <w:rPr>
          <w:lang w:val="fr-CH"/>
        </w:rPr>
        <w:t>milliard</w:t>
      </w:r>
      <w:r w:rsidR="00097CDB" w:rsidRPr="0071782F">
        <w:rPr>
          <w:lang w:val="fr-CH"/>
        </w:rPr>
        <w:t>s</w:t>
      </w:r>
      <w:r w:rsidR="008639B1" w:rsidRPr="0071782F">
        <w:rPr>
          <w:lang w:val="fr-CH"/>
        </w:rPr>
        <w:t xml:space="preserve"> de </w:t>
      </w:r>
      <w:r w:rsidRPr="0071782F">
        <w:rPr>
          <w:lang w:val="fr-CH"/>
        </w:rPr>
        <w:t xml:space="preserve">dollars </w:t>
      </w:r>
      <w:r w:rsidR="008639B1" w:rsidRPr="0071782F">
        <w:rPr>
          <w:lang w:val="fr-CH"/>
        </w:rPr>
        <w:t xml:space="preserve">à la </w:t>
      </w:r>
      <w:r w:rsidRPr="0071782F">
        <w:rPr>
          <w:lang w:val="fr-CH"/>
        </w:rPr>
        <w:t>d</w:t>
      </w:r>
      <w:r w:rsidR="008639B1" w:rsidRPr="0071782F">
        <w:rPr>
          <w:lang w:val="fr-CH"/>
        </w:rPr>
        <w:t>é</w:t>
      </w:r>
      <w:r w:rsidRPr="0071782F">
        <w:rPr>
          <w:lang w:val="fr-CH"/>
        </w:rPr>
        <w:t xml:space="preserve">molition, </w:t>
      </w:r>
      <w:r w:rsidR="008639B1" w:rsidRPr="0071782F">
        <w:rPr>
          <w:lang w:val="fr-CH"/>
        </w:rPr>
        <w:t>à la ré</w:t>
      </w:r>
      <w:r w:rsidRPr="0071782F">
        <w:rPr>
          <w:lang w:val="fr-CH"/>
        </w:rPr>
        <w:t>novation</w:t>
      </w:r>
      <w:r w:rsidR="008639B1" w:rsidRPr="0071782F">
        <w:rPr>
          <w:lang w:val="fr-CH"/>
        </w:rPr>
        <w:t xml:space="preserve"> et à la modernisation des écoles</w:t>
      </w:r>
      <w:r w:rsidRPr="0071782F">
        <w:rPr>
          <w:lang w:val="fr-CH"/>
        </w:rPr>
        <w:t>.</w:t>
      </w:r>
    </w:p>
    <w:p w:rsidR="00186B76" w:rsidRPr="0071782F" w:rsidRDefault="00186B76" w:rsidP="00A45A11">
      <w:pPr>
        <w:pStyle w:val="SingleTxtG"/>
        <w:ind w:left="1701"/>
        <w:rPr>
          <w:lang w:val="fr-CH"/>
        </w:rPr>
      </w:pPr>
      <w:r w:rsidRPr="0071782F">
        <w:rPr>
          <w:lang w:val="fr-CH"/>
        </w:rPr>
        <w:t>378.8</w:t>
      </w:r>
      <w:r w:rsidR="00A45A11" w:rsidRPr="0071782F">
        <w:rPr>
          <w:lang w:val="fr-CH"/>
        </w:rPr>
        <w:t>.</w:t>
      </w:r>
      <w:r w:rsidRPr="0071782F">
        <w:rPr>
          <w:lang w:val="fr-CH"/>
        </w:rPr>
        <w:tab/>
      </w:r>
      <w:r w:rsidR="00066B1A" w:rsidRPr="0071782F">
        <w:rPr>
          <w:lang w:val="fr-CH"/>
        </w:rPr>
        <w:t>En 2006, la construction de quatre nouveaux centres de formation technique a été demandée</w:t>
      </w:r>
      <w:r w:rsidRPr="0071782F">
        <w:rPr>
          <w:lang w:val="fr-CH"/>
        </w:rPr>
        <w:t>.</w:t>
      </w:r>
    </w:p>
    <w:p w:rsidR="00186B76" w:rsidRPr="0071782F" w:rsidRDefault="00186B76" w:rsidP="00A45A11">
      <w:pPr>
        <w:pStyle w:val="SingleTxtG"/>
        <w:ind w:left="1701"/>
        <w:rPr>
          <w:lang w:val="fr-CH"/>
        </w:rPr>
      </w:pPr>
      <w:r w:rsidRPr="0071782F">
        <w:rPr>
          <w:lang w:val="fr-CH"/>
        </w:rPr>
        <w:t>378.9</w:t>
      </w:r>
      <w:r w:rsidR="00A45A11" w:rsidRPr="0071782F">
        <w:rPr>
          <w:lang w:val="fr-CH"/>
        </w:rPr>
        <w:t>.</w:t>
      </w:r>
      <w:r w:rsidRPr="0071782F">
        <w:rPr>
          <w:lang w:val="fr-CH"/>
        </w:rPr>
        <w:tab/>
      </w:r>
      <w:r w:rsidR="00066B1A" w:rsidRPr="0071782F">
        <w:rPr>
          <w:lang w:val="fr-CH"/>
        </w:rPr>
        <w:t xml:space="preserve">On a recensé </w:t>
      </w:r>
      <w:r w:rsidRPr="0071782F">
        <w:rPr>
          <w:lang w:val="fr-CH"/>
        </w:rPr>
        <w:t>7</w:t>
      </w:r>
      <w:r w:rsidR="00066B1A" w:rsidRPr="0071782F">
        <w:rPr>
          <w:lang w:val="fr-CH"/>
        </w:rPr>
        <w:t xml:space="preserve"> </w:t>
      </w:r>
      <w:r w:rsidRPr="0071782F">
        <w:rPr>
          <w:lang w:val="fr-CH"/>
        </w:rPr>
        <w:t xml:space="preserve">785 </w:t>
      </w:r>
      <w:r w:rsidR="00066B1A" w:rsidRPr="0071782F">
        <w:rPr>
          <w:lang w:val="fr-CH"/>
        </w:rPr>
        <w:t xml:space="preserve">centres éducatifs dépourvus d’installations sanitaires et un budget suffisant a été affecté à la construction de </w:t>
      </w:r>
      <w:r w:rsidRPr="0071782F">
        <w:rPr>
          <w:lang w:val="fr-CH"/>
        </w:rPr>
        <w:t>30</w:t>
      </w:r>
      <w:r w:rsidR="00816714">
        <w:rPr>
          <w:lang w:val="fr-CH"/>
        </w:rPr>
        <w:t> </w:t>
      </w:r>
      <w:r w:rsidRPr="0071782F">
        <w:rPr>
          <w:lang w:val="fr-CH"/>
        </w:rPr>
        <w:t xml:space="preserve">000 </w:t>
      </w:r>
      <w:r w:rsidR="00066B1A" w:rsidRPr="0071782F">
        <w:rPr>
          <w:lang w:val="fr-CH"/>
        </w:rPr>
        <w:t>cabinets de toilettes.</w:t>
      </w:r>
    </w:p>
    <w:p w:rsidR="00186B76" w:rsidRPr="0071782F" w:rsidRDefault="00186B76" w:rsidP="00A45A11">
      <w:pPr>
        <w:pStyle w:val="SingleTxtG"/>
        <w:ind w:left="1701"/>
        <w:rPr>
          <w:lang w:val="fr-CH"/>
        </w:rPr>
      </w:pPr>
      <w:r w:rsidRPr="0071782F">
        <w:rPr>
          <w:lang w:val="fr-CH"/>
        </w:rPr>
        <w:t>378.10</w:t>
      </w:r>
      <w:r w:rsidR="00A45A11" w:rsidRPr="0071782F">
        <w:rPr>
          <w:lang w:val="fr-CH"/>
        </w:rPr>
        <w:t>.</w:t>
      </w:r>
      <w:r w:rsidRPr="0071782F">
        <w:rPr>
          <w:lang w:val="fr-CH"/>
        </w:rPr>
        <w:t xml:space="preserve"> </w:t>
      </w:r>
      <w:r w:rsidR="00066B1A" w:rsidRPr="0071782F">
        <w:rPr>
          <w:lang w:val="fr-CH"/>
        </w:rPr>
        <w:t xml:space="preserve">Pendant l’été de </w:t>
      </w:r>
      <w:r w:rsidRPr="0071782F">
        <w:rPr>
          <w:lang w:val="fr-CH"/>
        </w:rPr>
        <w:t xml:space="preserve">2006 </w:t>
      </w:r>
      <w:r w:rsidR="00066B1A" w:rsidRPr="0071782F">
        <w:rPr>
          <w:lang w:val="fr-CH"/>
        </w:rPr>
        <w:t xml:space="preserve">et de </w:t>
      </w:r>
      <w:r w:rsidRPr="0071782F">
        <w:rPr>
          <w:lang w:val="fr-CH"/>
        </w:rPr>
        <w:t xml:space="preserve">2007, </w:t>
      </w:r>
      <w:r w:rsidR="00066B1A" w:rsidRPr="0071782F">
        <w:rPr>
          <w:lang w:val="fr-CH"/>
        </w:rPr>
        <w:t xml:space="preserve">un grand nombre d’écoles ont été réparées et rénovées avec l’aide de </w:t>
      </w:r>
      <w:r w:rsidRPr="0071782F">
        <w:rPr>
          <w:lang w:val="fr-CH"/>
        </w:rPr>
        <w:t>60</w:t>
      </w:r>
      <w:r w:rsidR="00816714">
        <w:rPr>
          <w:lang w:val="fr-CH"/>
        </w:rPr>
        <w:t> </w:t>
      </w:r>
      <w:r w:rsidRPr="0071782F">
        <w:rPr>
          <w:lang w:val="fr-CH"/>
        </w:rPr>
        <w:t xml:space="preserve">000 </w:t>
      </w:r>
      <w:r w:rsidR="00066B1A" w:rsidRPr="0071782F">
        <w:rPr>
          <w:lang w:val="fr-CH"/>
        </w:rPr>
        <w:t>écoliers et membres des b</w:t>
      </w:r>
      <w:r w:rsidRPr="0071782F">
        <w:rPr>
          <w:lang w:val="fr-CH"/>
        </w:rPr>
        <w:t>as</w:t>
      </w:r>
      <w:r w:rsidR="00066B1A" w:rsidRPr="0071782F">
        <w:rPr>
          <w:lang w:val="fr-CH"/>
        </w:rPr>
        <w:t>s</w:t>
      </w:r>
      <w:r w:rsidRPr="0071782F">
        <w:rPr>
          <w:lang w:val="fr-CH"/>
        </w:rPr>
        <w:t>ij</w:t>
      </w:r>
      <w:r w:rsidR="00066B1A" w:rsidRPr="0071782F">
        <w:rPr>
          <w:lang w:val="fr-CH"/>
        </w:rPr>
        <w:t>i</w:t>
      </w:r>
      <w:r w:rsidRPr="0071782F">
        <w:rPr>
          <w:lang w:val="fr-CH"/>
        </w:rPr>
        <w:t>.</w:t>
      </w:r>
    </w:p>
    <w:p w:rsidR="00186B76" w:rsidRPr="0071782F" w:rsidRDefault="00186B76" w:rsidP="00A45A11">
      <w:pPr>
        <w:pStyle w:val="SingleTxtG"/>
        <w:ind w:left="1701"/>
        <w:rPr>
          <w:lang w:val="fr-CH"/>
        </w:rPr>
      </w:pPr>
      <w:r w:rsidRPr="0071782F">
        <w:rPr>
          <w:lang w:val="fr-CH"/>
        </w:rPr>
        <w:t>378.11</w:t>
      </w:r>
      <w:r w:rsidR="00A45A11" w:rsidRPr="0071782F">
        <w:rPr>
          <w:lang w:val="fr-CH"/>
        </w:rPr>
        <w:t>.</w:t>
      </w:r>
      <w:r w:rsidRPr="0071782F">
        <w:rPr>
          <w:lang w:val="fr-CH"/>
        </w:rPr>
        <w:t xml:space="preserve"> </w:t>
      </w:r>
      <w:r w:rsidR="00066B1A" w:rsidRPr="0071782F">
        <w:rPr>
          <w:lang w:val="fr-CH"/>
        </w:rPr>
        <w:t>Lors du neuvième F</w:t>
      </w:r>
      <w:r w:rsidRPr="0071782F">
        <w:rPr>
          <w:lang w:val="fr-CH"/>
        </w:rPr>
        <w:t xml:space="preserve">estival </w:t>
      </w:r>
      <w:r w:rsidR="00066B1A" w:rsidRPr="0071782F">
        <w:rPr>
          <w:lang w:val="fr-CH"/>
        </w:rPr>
        <w:t>des philanthropes pour la construction d’écoles, tenu en avril</w:t>
      </w:r>
      <w:r w:rsidRPr="0071782F">
        <w:rPr>
          <w:lang w:val="fr-CH"/>
        </w:rPr>
        <w:t xml:space="preserve"> 2007, </w:t>
      </w:r>
      <w:r w:rsidR="00066B1A" w:rsidRPr="0071782F">
        <w:rPr>
          <w:lang w:val="fr-CH"/>
        </w:rPr>
        <w:t xml:space="preserve">les dons obtenus ont totalisé </w:t>
      </w:r>
      <w:r w:rsidRPr="0071782F">
        <w:rPr>
          <w:lang w:val="fr-CH"/>
        </w:rPr>
        <w:t>32</w:t>
      </w:r>
      <w:r w:rsidR="00816714">
        <w:rPr>
          <w:lang w:val="fr-CH"/>
        </w:rPr>
        <w:t> </w:t>
      </w:r>
      <w:r w:rsidRPr="0071782F">
        <w:rPr>
          <w:lang w:val="fr-CH"/>
        </w:rPr>
        <w:t>000</w:t>
      </w:r>
      <w:r w:rsidR="008553D9" w:rsidRPr="0071782F">
        <w:rPr>
          <w:lang w:val="fr-CH"/>
        </w:rPr>
        <w:t> milliard</w:t>
      </w:r>
      <w:r w:rsidR="00097CDB" w:rsidRPr="0071782F">
        <w:rPr>
          <w:lang w:val="fr-CH"/>
        </w:rPr>
        <w:t>s</w:t>
      </w:r>
      <w:r w:rsidR="00066B1A" w:rsidRPr="0071782F">
        <w:rPr>
          <w:lang w:val="fr-CH"/>
        </w:rPr>
        <w:t xml:space="preserve"> </w:t>
      </w:r>
      <w:r w:rsidR="003B1403" w:rsidRPr="0071782F">
        <w:rPr>
          <w:lang w:val="fr-CH"/>
        </w:rPr>
        <w:t>de rials</w:t>
      </w:r>
      <w:r w:rsidRPr="0071782F">
        <w:rPr>
          <w:lang w:val="fr-CH"/>
        </w:rPr>
        <w:t>.</w:t>
      </w:r>
    </w:p>
    <w:p w:rsidR="00186B76" w:rsidRPr="0071782F" w:rsidRDefault="00186B76" w:rsidP="00A45A11">
      <w:pPr>
        <w:pStyle w:val="SingleTxtG"/>
        <w:ind w:left="1701"/>
        <w:rPr>
          <w:lang w:val="fr-CH"/>
        </w:rPr>
      </w:pPr>
      <w:r w:rsidRPr="0071782F">
        <w:rPr>
          <w:lang w:val="fr-CH"/>
        </w:rPr>
        <w:t>378.12</w:t>
      </w:r>
      <w:r w:rsidR="00A45A11" w:rsidRPr="0071782F">
        <w:rPr>
          <w:lang w:val="fr-CH"/>
        </w:rPr>
        <w:t>.</w:t>
      </w:r>
      <w:r w:rsidRPr="0071782F">
        <w:rPr>
          <w:lang w:val="fr-CH"/>
        </w:rPr>
        <w:t xml:space="preserve"> </w:t>
      </w:r>
      <w:r w:rsidR="00066B1A" w:rsidRPr="0071782F">
        <w:rPr>
          <w:lang w:val="fr-CH"/>
        </w:rPr>
        <w:t>E</w:t>
      </w:r>
      <w:r w:rsidRPr="0071782F">
        <w:rPr>
          <w:lang w:val="fr-CH"/>
        </w:rPr>
        <w:t>n 2006, 9</w:t>
      </w:r>
      <w:r w:rsidR="00066B1A" w:rsidRPr="0071782F">
        <w:rPr>
          <w:lang w:val="fr-CH"/>
        </w:rPr>
        <w:t xml:space="preserve"> </w:t>
      </w:r>
      <w:r w:rsidRPr="0071782F">
        <w:rPr>
          <w:lang w:val="fr-CH"/>
        </w:rPr>
        <w:t xml:space="preserve">272 </w:t>
      </w:r>
      <w:r w:rsidR="00066B1A" w:rsidRPr="0071782F">
        <w:rPr>
          <w:lang w:val="fr-CH"/>
        </w:rPr>
        <w:t xml:space="preserve">centres éducatifs, pour un total de </w:t>
      </w:r>
      <w:r w:rsidRPr="0071782F">
        <w:rPr>
          <w:lang w:val="fr-CH"/>
        </w:rPr>
        <w:t>38</w:t>
      </w:r>
      <w:r w:rsidR="00066B1A" w:rsidRPr="0071782F">
        <w:rPr>
          <w:lang w:val="fr-CH"/>
        </w:rPr>
        <w:t xml:space="preserve"> </w:t>
      </w:r>
      <w:r w:rsidRPr="0071782F">
        <w:rPr>
          <w:lang w:val="fr-CH"/>
        </w:rPr>
        <w:t xml:space="preserve">768 </w:t>
      </w:r>
      <w:r w:rsidR="00066B1A" w:rsidRPr="0071782F">
        <w:rPr>
          <w:lang w:val="fr-CH"/>
        </w:rPr>
        <w:t xml:space="preserve">salles de classe et une superficie totale de </w:t>
      </w:r>
      <w:r w:rsidRPr="0071782F">
        <w:rPr>
          <w:lang w:val="fr-CH"/>
        </w:rPr>
        <w:t>6</w:t>
      </w:r>
      <w:r w:rsidR="00066B1A" w:rsidRPr="0071782F">
        <w:rPr>
          <w:lang w:val="fr-CH"/>
        </w:rPr>
        <w:t> </w:t>
      </w:r>
      <w:r w:rsidRPr="0071782F">
        <w:rPr>
          <w:lang w:val="fr-CH"/>
        </w:rPr>
        <w:t>196</w:t>
      </w:r>
      <w:r w:rsidR="00816714">
        <w:rPr>
          <w:lang w:val="fr-CH"/>
        </w:rPr>
        <w:t> </w:t>
      </w:r>
      <w:r w:rsidRPr="0071782F">
        <w:rPr>
          <w:lang w:val="fr-CH"/>
        </w:rPr>
        <w:t>648</w:t>
      </w:r>
      <w:r w:rsidR="00AF44B8" w:rsidRPr="0071782F">
        <w:rPr>
          <w:lang w:val="fr-CH"/>
        </w:rPr>
        <w:t> </w:t>
      </w:r>
      <w:r w:rsidR="003F25A2" w:rsidRPr="003F25A2">
        <w:rPr>
          <w:lang w:val="fr-CH"/>
        </w:rPr>
        <w:t>m</w:t>
      </w:r>
      <w:r w:rsidR="003F25A2" w:rsidRPr="003F25A2">
        <w:rPr>
          <w:vertAlign w:val="superscript"/>
          <w:lang w:val="fr-CH"/>
        </w:rPr>
        <w:t>2</w:t>
      </w:r>
      <w:r w:rsidR="00066B1A" w:rsidRPr="0071782F">
        <w:rPr>
          <w:lang w:val="fr-CH"/>
        </w:rPr>
        <w:t xml:space="preserve">, étaient en cours de </w:t>
      </w:r>
      <w:r w:rsidRPr="0071782F">
        <w:rPr>
          <w:lang w:val="fr-CH"/>
        </w:rPr>
        <w:t xml:space="preserve">construction. </w:t>
      </w:r>
      <w:r w:rsidR="00066B1A" w:rsidRPr="0071782F">
        <w:rPr>
          <w:lang w:val="fr-CH"/>
        </w:rPr>
        <w:t>Au moment de la fête des Dix jours de lumière,</w:t>
      </w:r>
      <w:r w:rsidRPr="0071782F">
        <w:rPr>
          <w:lang w:val="fr-CH"/>
        </w:rPr>
        <w:t xml:space="preserve"> 3</w:t>
      </w:r>
      <w:r w:rsidR="003F25A2">
        <w:rPr>
          <w:lang w:val="fr-CH"/>
        </w:rPr>
        <w:t> </w:t>
      </w:r>
      <w:r w:rsidRPr="0071782F">
        <w:rPr>
          <w:lang w:val="fr-CH"/>
        </w:rPr>
        <w:t xml:space="preserve">079 </w:t>
      </w:r>
      <w:r w:rsidR="00066B1A" w:rsidRPr="0071782F">
        <w:rPr>
          <w:lang w:val="fr-CH"/>
        </w:rPr>
        <w:t>de ces projets (</w:t>
      </w:r>
      <w:r w:rsidRPr="0071782F">
        <w:rPr>
          <w:lang w:val="fr-CH"/>
        </w:rPr>
        <w:t>12</w:t>
      </w:r>
      <w:r w:rsidR="003F25A2">
        <w:rPr>
          <w:lang w:val="fr-CH"/>
        </w:rPr>
        <w:t> </w:t>
      </w:r>
      <w:r w:rsidRPr="0071782F">
        <w:rPr>
          <w:lang w:val="fr-CH"/>
        </w:rPr>
        <w:t xml:space="preserve">543 </w:t>
      </w:r>
      <w:r w:rsidR="00066B1A" w:rsidRPr="0071782F">
        <w:rPr>
          <w:lang w:val="fr-CH"/>
        </w:rPr>
        <w:t>salles de classe) étaient achevés</w:t>
      </w:r>
      <w:r w:rsidRPr="0071782F">
        <w:rPr>
          <w:lang w:val="fr-CH"/>
        </w:rPr>
        <w:t>.</w:t>
      </w:r>
    </w:p>
    <w:p w:rsidR="00186B76" w:rsidRPr="0071782F" w:rsidRDefault="00186B76" w:rsidP="00A45A11">
      <w:pPr>
        <w:pStyle w:val="SingleTxtG"/>
        <w:ind w:left="1701"/>
        <w:rPr>
          <w:lang w:val="fr-CH"/>
        </w:rPr>
      </w:pPr>
      <w:r w:rsidRPr="0071782F">
        <w:rPr>
          <w:lang w:val="fr-CH"/>
        </w:rPr>
        <w:t>378.13</w:t>
      </w:r>
      <w:r w:rsidR="00A45A11" w:rsidRPr="0071782F">
        <w:rPr>
          <w:lang w:val="fr-CH"/>
        </w:rPr>
        <w:t>.</w:t>
      </w:r>
      <w:r w:rsidRPr="0071782F">
        <w:rPr>
          <w:lang w:val="fr-CH"/>
        </w:rPr>
        <w:t xml:space="preserve"> </w:t>
      </w:r>
      <w:r w:rsidR="00066B1A" w:rsidRPr="0071782F">
        <w:rPr>
          <w:lang w:val="fr-CH"/>
        </w:rPr>
        <w:t xml:space="preserve">À la fin de </w:t>
      </w:r>
      <w:r w:rsidRPr="0071782F">
        <w:rPr>
          <w:lang w:val="fr-CH"/>
        </w:rPr>
        <w:t>2007, 5</w:t>
      </w:r>
      <w:r w:rsidR="003F25A2">
        <w:rPr>
          <w:lang w:val="fr-CH"/>
        </w:rPr>
        <w:t> </w:t>
      </w:r>
      <w:r w:rsidR="00066B1A" w:rsidRPr="0071782F">
        <w:rPr>
          <w:lang w:val="fr-CH"/>
        </w:rPr>
        <w:t>592 centre</w:t>
      </w:r>
      <w:r w:rsidRPr="0071782F">
        <w:rPr>
          <w:lang w:val="fr-CH"/>
        </w:rPr>
        <w:t xml:space="preserve">s </w:t>
      </w:r>
      <w:r w:rsidR="00066B1A" w:rsidRPr="0071782F">
        <w:rPr>
          <w:lang w:val="fr-CH"/>
        </w:rPr>
        <w:t>(</w:t>
      </w:r>
      <w:r w:rsidRPr="0071782F">
        <w:rPr>
          <w:lang w:val="fr-CH"/>
        </w:rPr>
        <w:t>73</w:t>
      </w:r>
      <w:r w:rsidR="003F25A2">
        <w:rPr>
          <w:lang w:val="fr-CH"/>
        </w:rPr>
        <w:t> </w:t>
      </w:r>
      <w:r w:rsidRPr="0071782F">
        <w:rPr>
          <w:lang w:val="fr-CH"/>
        </w:rPr>
        <w:t xml:space="preserve">404 </w:t>
      </w:r>
      <w:r w:rsidR="00066B1A" w:rsidRPr="0071782F">
        <w:rPr>
          <w:lang w:val="fr-CH"/>
        </w:rPr>
        <w:t xml:space="preserve">salles de classe) étaient en cours de </w:t>
      </w:r>
      <w:r w:rsidRPr="0071782F">
        <w:rPr>
          <w:lang w:val="fr-CH"/>
        </w:rPr>
        <w:t>construction</w:t>
      </w:r>
      <w:r w:rsidR="00066B1A" w:rsidRPr="0071782F">
        <w:rPr>
          <w:lang w:val="fr-CH"/>
        </w:rPr>
        <w:t>; 2</w:t>
      </w:r>
      <w:r w:rsidR="003F25A2">
        <w:rPr>
          <w:lang w:val="fr-CH"/>
        </w:rPr>
        <w:t> </w:t>
      </w:r>
      <w:r w:rsidRPr="0071782F">
        <w:rPr>
          <w:lang w:val="fr-CH"/>
        </w:rPr>
        <w:t xml:space="preserve">229 </w:t>
      </w:r>
      <w:r w:rsidR="00066B1A" w:rsidRPr="0071782F">
        <w:rPr>
          <w:lang w:val="fr-CH"/>
        </w:rPr>
        <w:t>(</w:t>
      </w:r>
      <w:r w:rsidRPr="0071782F">
        <w:rPr>
          <w:lang w:val="fr-CH"/>
        </w:rPr>
        <w:t>23</w:t>
      </w:r>
      <w:r w:rsidR="003F25A2">
        <w:rPr>
          <w:lang w:val="fr-CH"/>
        </w:rPr>
        <w:t> </w:t>
      </w:r>
      <w:r w:rsidRPr="0071782F">
        <w:rPr>
          <w:lang w:val="fr-CH"/>
        </w:rPr>
        <w:t xml:space="preserve">426 </w:t>
      </w:r>
      <w:r w:rsidR="00066B1A" w:rsidRPr="0071782F">
        <w:rPr>
          <w:lang w:val="fr-CH"/>
        </w:rPr>
        <w:t>salles de classe) ont été achevés depuis</w:t>
      </w:r>
      <w:r w:rsidRPr="0071782F">
        <w:rPr>
          <w:lang w:val="fr-CH"/>
        </w:rPr>
        <w:t>.</w:t>
      </w:r>
    </w:p>
    <w:p w:rsidR="00186B76" w:rsidRPr="0071782F" w:rsidRDefault="00186B76" w:rsidP="00A45A11">
      <w:pPr>
        <w:pStyle w:val="H23G"/>
        <w:rPr>
          <w:lang w:val="fr-CH"/>
        </w:rPr>
      </w:pPr>
      <w:r w:rsidRPr="0071782F">
        <w:rPr>
          <w:lang w:val="fr-CH"/>
        </w:rPr>
        <w:tab/>
      </w:r>
      <w:r w:rsidRPr="0071782F">
        <w:rPr>
          <w:lang w:val="fr-CH"/>
        </w:rPr>
        <w:tab/>
      </w:r>
      <w:r w:rsidR="00066B1A" w:rsidRPr="0071782F">
        <w:rPr>
          <w:lang w:val="fr-CH"/>
        </w:rPr>
        <w:t xml:space="preserve">Prise en charge des élèves ayant des besoins spéciaux </w:t>
      </w:r>
    </w:p>
    <w:p w:rsidR="00186B76" w:rsidRPr="0071782F" w:rsidRDefault="00186B76" w:rsidP="00A45A11">
      <w:pPr>
        <w:pStyle w:val="SingleTxtG"/>
        <w:rPr>
          <w:lang w:val="fr-CH"/>
        </w:rPr>
      </w:pPr>
      <w:r w:rsidRPr="0071782F">
        <w:rPr>
          <w:lang w:val="fr-CH"/>
        </w:rPr>
        <w:t>379.</w:t>
      </w:r>
      <w:r w:rsidRPr="0071782F">
        <w:rPr>
          <w:lang w:val="fr-CH"/>
        </w:rPr>
        <w:tab/>
      </w:r>
      <w:r w:rsidR="00246E1F" w:rsidRPr="0071782F">
        <w:rPr>
          <w:lang w:val="fr-CH"/>
        </w:rPr>
        <w:t>À ce sujet, il convient de noter ce qui suit</w:t>
      </w:r>
      <w:r w:rsidR="008F7D33" w:rsidRPr="0071782F">
        <w:rPr>
          <w:lang w:val="fr-CH"/>
        </w:rPr>
        <w:t>:</w:t>
      </w:r>
    </w:p>
    <w:p w:rsidR="00186B76" w:rsidRPr="0071782F" w:rsidRDefault="00186B76" w:rsidP="00A45A11">
      <w:pPr>
        <w:pStyle w:val="SingleTxtG"/>
        <w:ind w:left="1701"/>
        <w:rPr>
          <w:lang w:val="fr-CH"/>
        </w:rPr>
      </w:pPr>
      <w:r w:rsidRPr="0071782F">
        <w:rPr>
          <w:lang w:val="fr-CH"/>
        </w:rPr>
        <w:t>379.1</w:t>
      </w:r>
      <w:r w:rsidR="00A45A11" w:rsidRPr="0071782F">
        <w:rPr>
          <w:lang w:val="fr-CH"/>
        </w:rPr>
        <w:t>.</w:t>
      </w:r>
      <w:r w:rsidRPr="0071782F">
        <w:rPr>
          <w:lang w:val="fr-CH"/>
        </w:rPr>
        <w:tab/>
      </w:r>
      <w:r w:rsidR="00484C1C" w:rsidRPr="0071782F">
        <w:rPr>
          <w:lang w:val="fr-CH"/>
        </w:rPr>
        <w:t xml:space="preserve">On a ouvert </w:t>
      </w:r>
      <w:r w:rsidRPr="0071782F">
        <w:rPr>
          <w:lang w:val="fr-CH"/>
        </w:rPr>
        <w:t xml:space="preserve">93 </w:t>
      </w:r>
      <w:r w:rsidR="00484C1C" w:rsidRPr="0071782F">
        <w:rPr>
          <w:lang w:val="fr-CH"/>
        </w:rPr>
        <w:t>nouveaux centres pour enfants ayant des besoins spéciaux.</w:t>
      </w:r>
    </w:p>
    <w:p w:rsidR="00186B76" w:rsidRPr="0071782F" w:rsidRDefault="00186B76" w:rsidP="00A45A11">
      <w:pPr>
        <w:pStyle w:val="SingleTxtG"/>
        <w:ind w:left="1701"/>
        <w:rPr>
          <w:lang w:val="fr-CH"/>
        </w:rPr>
      </w:pPr>
      <w:r w:rsidRPr="0071782F">
        <w:rPr>
          <w:lang w:val="fr-CH"/>
        </w:rPr>
        <w:t>379.2</w:t>
      </w:r>
      <w:r w:rsidR="00A45A11" w:rsidRPr="0071782F">
        <w:rPr>
          <w:lang w:val="fr-CH"/>
        </w:rPr>
        <w:t>.</w:t>
      </w:r>
      <w:r w:rsidRPr="0071782F">
        <w:rPr>
          <w:lang w:val="fr-CH"/>
        </w:rPr>
        <w:tab/>
      </w:r>
      <w:r w:rsidR="00484C1C" w:rsidRPr="0071782F">
        <w:rPr>
          <w:lang w:val="fr-CH"/>
        </w:rPr>
        <w:t xml:space="preserve">Le </w:t>
      </w:r>
      <w:r w:rsidR="003B48A4" w:rsidRPr="0071782F">
        <w:rPr>
          <w:lang w:val="fr-CH"/>
        </w:rPr>
        <w:t>nombre</w:t>
      </w:r>
      <w:r w:rsidRPr="0071782F">
        <w:rPr>
          <w:lang w:val="fr-CH"/>
        </w:rPr>
        <w:t xml:space="preserve"> </w:t>
      </w:r>
      <w:r w:rsidR="00484C1C" w:rsidRPr="0071782F">
        <w:rPr>
          <w:lang w:val="fr-CH"/>
        </w:rPr>
        <w:t>des centres d’éducation et de réadaptation pour enfants souffrant de troubles de l’apprentissage a augmenté de 31</w:t>
      </w:r>
      <w:r w:rsidR="007E5125" w:rsidRPr="0071782F">
        <w:rPr>
          <w:lang w:val="fr-CH"/>
        </w:rPr>
        <w:t>%</w:t>
      </w:r>
      <w:r w:rsidR="00484C1C" w:rsidRPr="0071782F">
        <w:rPr>
          <w:lang w:val="fr-CH"/>
        </w:rPr>
        <w:t xml:space="preserve">, passant de </w:t>
      </w:r>
      <w:r w:rsidRPr="0071782F">
        <w:rPr>
          <w:lang w:val="fr-CH"/>
        </w:rPr>
        <w:t xml:space="preserve">60 </w:t>
      </w:r>
      <w:r w:rsidR="00484C1C" w:rsidRPr="0071782F">
        <w:rPr>
          <w:lang w:val="fr-CH"/>
        </w:rPr>
        <w:t>à 80</w:t>
      </w:r>
      <w:r w:rsidRPr="0071782F">
        <w:rPr>
          <w:lang w:val="fr-CH"/>
        </w:rPr>
        <w:t>.</w:t>
      </w:r>
    </w:p>
    <w:p w:rsidR="00186B76" w:rsidRPr="0071782F" w:rsidRDefault="00186B76" w:rsidP="00A45A11">
      <w:pPr>
        <w:pStyle w:val="SingleTxtG"/>
        <w:ind w:left="1701"/>
        <w:rPr>
          <w:lang w:val="fr-CH"/>
        </w:rPr>
      </w:pPr>
      <w:r w:rsidRPr="0071782F">
        <w:rPr>
          <w:lang w:val="fr-CH"/>
        </w:rPr>
        <w:t>379.3</w:t>
      </w:r>
      <w:r w:rsidR="00A45A11" w:rsidRPr="0071782F">
        <w:rPr>
          <w:lang w:val="fr-CH"/>
        </w:rPr>
        <w:t>.</w:t>
      </w:r>
      <w:r w:rsidRPr="0071782F">
        <w:rPr>
          <w:lang w:val="fr-CH"/>
        </w:rPr>
        <w:tab/>
      </w:r>
      <w:r w:rsidR="00484C1C" w:rsidRPr="0071782F">
        <w:rPr>
          <w:lang w:val="fr-CH"/>
        </w:rPr>
        <w:t xml:space="preserve">Le </w:t>
      </w:r>
      <w:r w:rsidR="003B48A4" w:rsidRPr="0071782F">
        <w:rPr>
          <w:lang w:val="fr-CH"/>
        </w:rPr>
        <w:t>nombre</w:t>
      </w:r>
      <w:r w:rsidRPr="0071782F">
        <w:rPr>
          <w:lang w:val="fr-CH"/>
        </w:rPr>
        <w:t xml:space="preserve"> </w:t>
      </w:r>
      <w:r w:rsidR="00484C1C" w:rsidRPr="0071782F">
        <w:rPr>
          <w:lang w:val="fr-CH"/>
        </w:rPr>
        <w:t>des écoles à but non lucratif pour enfants ayant des besoins spéciaux est passé de</w:t>
      </w:r>
      <w:r w:rsidRPr="0071782F">
        <w:rPr>
          <w:lang w:val="fr-CH"/>
        </w:rPr>
        <w:t xml:space="preserve"> 16 </w:t>
      </w:r>
      <w:r w:rsidR="00484C1C" w:rsidRPr="0071782F">
        <w:rPr>
          <w:lang w:val="fr-CH"/>
        </w:rPr>
        <w:t xml:space="preserve">à </w:t>
      </w:r>
      <w:r w:rsidRPr="0071782F">
        <w:rPr>
          <w:lang w:val="fr-CH"/>
        </w:rPr>
        <w:t>18.</w:t>
      </w:r>
    </w:p>
    <w:p w:rsidR="00186B76" w:rsidRPr="0071782F" w:rsidRDefault="00186B76" w:rsidP="00A45A11">
      <w:pPr>
        <w:pStyle w:val="SingleTxtG"/>
        <w:ind w:left="1701"/>
        <w:rPr>
          <w:lang w:val="fr-CH"/>
        </w:rPr>
      </w:pPr>
      <w:r w:rsidRPr="0071782F">
        <w:rPr>
          <w:lang w:val="fr-CH"/>
        </w:rPr>
        <w:t>379.4</w:t>
      </w:r>
      <w:r w:rsidR="00A45A11" w:rsidRPr="0071782F">
        <w:rPr>
          <w:lang w:val="fr-CH"/>
        </w:rPr>
        <w:t>.</w:t>
      </w:r>
      <w:r w:rsidRPr="0071782F">
        <w:rPr>
          <w:lang w:val="fr-CH"/>
        </w:rPr>
        <w:tab/>
      </w:r>
      <w:r w:rsidR="00484C1C" w:rsidRPr="0071782F">
        <w:rPr>
          <w:lang w:val="fr-CH"/>
        </w:rPr>
        <w:t xml:space="preserve">On a renforcé les moyens de l’éducation intégrée et </w:t>
      </w:r>
      <w:r w:rsidR="00ED06D3" w:rsidRPr="0071782F">
        <w:rPr>
          <w:lang w:val="fr-CH"/>
        </w:rPr>
        <w:t>éclectique</w:t>
      </w:r>
      <w:r w:rsidR="00484C1C" w:rsidRPr="0071782F">
        <w:rPr>
          <w:lang w:val="fr-CH"/>
        </w:rPr>
        <w:t xml:space="preserve"> pour enfants ayant des besoins spéciaux et augmenté de 5</w:t>
      </w:r>
      <w:r w:rsidR="007E5125" w:rsidRPr="0071782F">
        <w:rPr>
          <w:lang w:val="fr-CH"/>
        </w:rPr>
        <w:t>%</w:t>
      </w:r>
      <w:r w:rsidR="00484C1C" w:rsidRPr="0071782F">
        <w:rPr>
          <w:lang w:val="fr-CH"/>
        </w:rPr>
        <w:t xml:space="preserve"> le taux de scolarisation de ces enfants, dont le nombre est passé de </w:t>
      </w:r>
      <w:r w:rsidRPr="0071782F">
        <w:rPr>
          <w:lang w:val="fr-CH"/>
        </w:rPr>
        <w:t>12</w:t>
      </w:r>
      <w:r w:rsidR="00ED06D3">
        <w:rPr>
          <w:lang w:val="fr-CH"/>
        </w:rPr>
        <w:t> </w:t>
      </w:r>
      <w:r w:rsidRPr="0071782F">
        <w:rPr>
          <w:lang w:val="fr-CH"/>
        </w:rPr>
        <w:t xml:space="preserve">481 </w:t>
      </w:r>
      <w:r w:rsidR="00484C1C" w:rsidRPr="0071782F">
        <w:rPr>
          <w:lang w:val="fr-CH"/>
        </w:rPr>
        <w:t>à</w:t>
      </w:r>
      <w:r w:rsidRPr="0071782F">
        <w:rPr>
          <w:lang w:val="fr-CH"/>
        </w:rPr>
        <w:t xml:space="preserve"> 13</w:t>
      </w:r>
      <w:r w:rsidR="00ED06D3">
        <w:rPr>
          <w:lang w:val="fr-CH"/>
        </w:rPr>
        <w:t> </w:t>
      </w:r>
      <w:r w:rsidRPr="0071782F">
        <w:rPr>
          <w:lang w:val="fr-CH"/>
        </w:rPr>
        <w:t>098.</w:t>
      </w:r>
    </w:p>
    <w:p w:rsidR="00186B76" w:rsidRPr="0071782F" w:rsidRDefault="00186B76" w:rsidP="00A45A11">
      <w:pPr>
        <w:pStyle w:val="SingleTxtG"/>
        <w:ind w:left="1701"/>
        <w:rPr>
          <w:lang w:val="fr-CH"/>
        </w:rPr>
      </w:pPr>
      <w:r w:rsidRPr="0071782F">
        <w:rPr>
          <w:lang w:val="fr-CH"/>
        </w:rPr>
        <w:t>379.5</w:t>
      </w:r>
      <w:r w:rsidR="00A45A11" w:rsidRPr="0071782F">
        <w:rPr>
          <w:lang w:val="fr-CH"/>
        </w:rPr>
        <w:t>.</w:t>
      </w:r>
      <w:r w:rsidRPr="0071782F">
        <w:rPr>
          <w:lang w:val="fr-CH"/>
        </w:rPr>
        <w:tab/>
      </w:r>
      <w:r w:rsidR="00484C1C" w:rsidRPr="0071782F">
        <w:rPr>
          <w:lang w:val="fr-CH"/>
        </w:rPr>
        <w:t xml:space="preserve">On a mis en place pour les écoliers ayant des besoins spéciaux un service gratuit de transport scolaire bénéficiant d’un budget de </w:t>
      </w:r>
      <w:r w:rsidRPr="0071782F">
        <w:rPr>
          <w:lang w:val="fr-CH"/>
        </w:rPr>
        <w:t>16</w:t>
      </w:r>
      <w:r w:rsidR="008553D9" w:rsidRPr="0071782F">
        <w:rPr>
          <w:lang w:val="fr-CH"/>
        </w:rPr>
        <w:t> milliard</w:t>
      </w:r>
      <w:r w:rsidR="00097CDB" w:rsidRPr="0071782F">
        <w:rPr>
          <w:lang w:val="fr-CH"/>
        </w:rPr>
        <w:t>s</w:t>
      </w:r>
      <w:r w:rsidR="00484C1C" w:rsidRPr="0071782F">
        <w:rPr>
          <w:lang w:val="fr-CH"/>
        </w:rPr>
        <w:t xml:space="preserve"> </w:t>
      </w:r>
      <w:r w:rsidR="003B1403" w:rsidRPr="0071782F">
        <w:rPr>
          <w:lang w:val="fr-CH"/>
        </w:rPr>
        <w:t>de rials</w:t>
      </w:r>
      <w:r w:rsidRPr="0071782F">
        <w:rPr>
          <w:lang w:val="fr-CH"/>
        </w:rPr>
        <w:t>.</w:t>
      </w:r>
    </w:p>
    <w:p w:rsidR="00186B76" w:rsidRPr="0071782F" w:rsidRDefault="00186B76" w:rsidP="00A45A11">
      <w:pPr>
        <w:pStyle w:val="SingleTxtG"/>
        <w:ind w:left="1701"/>
        <w:rPr>
          <w:lang w:val="fr-CH"/>
        </w:rPr>
      </w:pPr>
      <w:r w:rsidRPr="0071782F">
        <w:rPr>
          <w:lang w:val="fr-CH"/>
        </w:rPr>
        <w:t>379.6</w:t>
      </w:r>
      <w:r w:rsidR="00A45A11" w:rsidRPr="0071782F">
        <w:rPr>
          <w:lang w:val="fr-CH"/>
        </w:rPr>
        <w:t>.</w:t>
      </w:r>
      <w:r w:rsidRPr="0071782F">
        <w:rPr>
          <w:lang w:val="fr-CH"/>
        </w:rPr>
        <w:tab/>
      </w:r>
      <w:r w:rsidR="00484C1C" w:rsidRPr="0071782F">
        <w:rPr>
          <w:lang w:val="fr-CH"/>
        </w:rPr>
        <w:t xml:space="preserve">Une assurance médicale a été fournie à </w:t>
      </w:r>
      <w:r w:rsidRPr="0071782F">
        <w:rPr>
          <w:lang w:val="fr-CH"/>
        </w:rPr>
        <w:t>2</w:t>
      </w:r>
      <w:r w:rsidR="00ED06D3">
        <w:rPr>
          <w:lang w:val="fr-CH"/>
        </w:rPr>
        <w:t> </w:t>
      </w:r>
      <w:r w:rsidRPr="0071782F">
        <w:rPr>
          <w:lang w:val="fr-CH"/>
        </w:rPr>
        <w:t xml:space="preserve">500 </w:t>
      </w:r>
      <w:r w:rsidR="00484C1C" w:rsidRPr="0071782F">
        <w:rPr>
          <w:lang w:val="fr-CH"/>
        </w:rPr>
        <w:t>écoliers ayant des besoins spéciaux</w:t>
      </w:r>
      <w:r w:rsidRPr="0071782F">
        <w:rPr>
          <w:lang w:val="fr-CH"/>
        </w:rPr>
        <w:t>.</w:t>
      </w:r>
    </w:p>
    <w:p w:rsidR="00186B76" w:rsidRPr="0071782F" w:rsidRDefault="00186B76" w:rsidP="00A45A11">
      <w:pPr>
        <w:pStyle w:val="SingleTxtG"/>
        <w:ind w:left="1701"/>
        <w:rPr>
          <w:lang w:val="fr-CH"/>
        </w:rPr>
      </w:pPr>
      <w:r w:rsidRPr="0071782F">
        <w:rPr>
          <w:lang w:val="fr-CH"/>
        </w:rPr>
        <w:t>379.7</w:t>
      </w:r>
      <w:r w:rsidR="00A45A11" w:rsidRPr="0071782F">
        <w:rPr>
          <w:lang w:val="fr-CH"/>
        </w:rPr>
        <w:t>.</w:t>
      </w:r>
      <w:r w:rsidRPr="0071782F">
        <w:rPr>
          <w:lang w:val="fr-CH"/>
        </w:rPr>
        <w:tab/>
      </w:r>
      <w:r w:rsidR="00484C1C" w:rsidRPr="0071782F">
        <w:rPr>
          <w:lang w:val="fr-CH"/>
        </w:rPr>
        <w:t xml:space="preserve">On a affecté </w:t>
      </w:r>
      <w:r w:rsidRPr="0071782F">
        <w:rPr>
          <w:lang w:val="fr-CH"/>
        </w:rPr>
        <w:t>5</w:t>
      </w:r>
      <w:r w:rsidR="00484C1C" w:rsidRPr="0071782F">
        <w:rPr>
          <w:lang w:val="fr-CH"/>
        </w:rPr>
        <w:t>,</w:t>
      </w:r>
      <w:r w:rsidRPr="0071782F">
        <w:rPr>
          <w:lang w:val="fr-CH"/>
        </w:rPr>
        <w:t>5</w:t>
      </w:r>
      <w:r w:rsidR="008553D9" w:rsidRPr="0071782F">
        <w:rPr>
          <w:lang w:val="fr-CH"/>
        </w:rPr>
        <w:t> milliard</w:t>
      </w:r>
      <w:r w:rsidR="00097CDB" w:rsidRPr="0071782F">
        <w:rPr>
          <w:lang w:val="fr-CH"/>
        </w:rPr>
        <w:t>s</w:t>
      </w:r>
      <w:r w:rsidR="00484C1C" w:rsidRPr="0071782F">
        <w:rPr>
          <w:lang w:val="fr-CH"/>
        </w:rPr>
        <w:t xml:space="preserve"> </w:t>
      </w:r>
      <w:r w:rsidR="003B1403" w:rsidRPr="0071782F">
        <w:rPr>
          <w:lang w:val="fr-CH"/>
        </w:rPr>
        <w:t>de rials</w:t>
      </w:r>
      <w:r w:rsidRPr="0071782F">
        <w:rPr>
          <w:lang w:val="fr-CH"/>
        </w:rPr>
        <w:t xml:space="preserve"> </w:t>
      </w:r>
      <w:r w:rsidR="00484C1C" w:rsidRPr="0071782F">
        <w:rPr>
          <w:lang w:val="fr-CH"/>
        </w:rPr>
        <w:t>aux services de réadaptation et de santé destinés aux écoliers ayant des besoins spéciaux et à la fourniture des médicaments nécessaires</w:t>
      </w:r>
      <w:r w:rsidRPr="0071782F">
        <w:rPr>
          <w:lang w:val="fr-CH"/>
        </w:rPr>
        <w:t>.</w:t>
      </w:r>
    </w:p>
    <w:p w:rsidR="00186B76" w:rsidRPr="0071782F" w:rsidRDefault="00186B76" w:rsidP="00A45A11">
      <w:pPr>
        <w:pStyle w:val="SingleTxtG"/>
        <w:ind w:left="1701"/>
        <w:rPr>
          <w:lang w:val="fr-CH"/>
        </w:rPr>
      </w:pPr>
      <w:r w:rsidRPr="0071782F">
        <w:rPr>
          <w:lang w:val="fr-CH"/>
        </w:rPr>
        <w:t>379.8</w:t>
      </w:r>
      <w:r w:rsidR="00A45A11" w:rsidRPr="0071782F">
        <w:rPr>
          <w:lang w:val="fr-CH"/>
        </w:rPr>
        <w:t>.</w:t>
      </w:r>
      <w:r w:rsidRPr="0071782F">
        <w:rPr>
          <w:lang w:val="fr-CH"/>
        </w:rPr>
        <w:tab/>
      </w:r>
      <w:r w:rsidR="00484C1C" w:rsidRPr="0071782F">
        <w:rPr>
          <w:lang w:val="fr-CH"/>
        </w:rPr>
        <w:t>On a publié 34</w:t>
      </w:r>
      <w:r w:rsidR="00ED06D3">
        <w:rPr>
          <w:lang w:val="fr-CH"/>
        </w:rPr>
        <w:t> </w:t>
      </w:r>
      <w:r w:rsidRPr="0071782F">
        <w:rPr>
          <w:lang w:val="fr-CH"/>
        </w:rPr>
        <w:t xml:space="preserve">000 </w:t>
      </w:r>
      <w:r w:rsidR="00484C1C" w:rsidRPr="0071782F">
        <w:rPr>
          <w:lang w:val="fr-CH"/>
        </w:rPr>
        <w:t>livres en b</w:t>
      </w:r>
      <w:r w:rsidRPr="0071782F">
        <w:rPr>
          <w:lang w:val="fr-CH"/>
        </w:rPr>
        <w:t xml:space="preserve">raille, 25 </w:t>
      </w:r>
      <w:r w:rsidR="00484C1C" w:rsidRPr="0071782F">
        <w:rPr>
          <w:lang w:val="fr-CH"/>
        </w:rPr>
        <w:t xml:space="preserve">nouveaux titres pour les élèves à faible QI et 10 nouveaux titres pour les enfants malentendants. </w:t>
      </w:r>
    </w:p>
    <w:p w:rsidR="00186B76" w:rsidRPr="0071782F" w:rsidRDefault="00484C1C" w:rsidP="00A45A11">
      <w:pPr>
        <w:pStyle w:val="H23G"/>
        <w:rPr>
          <w:lang w:val="fr-CH"/>
        </w:rPr>
      </w:pPr>
      <w:r w:rsidRPr="0071782F">
        <w:rPr>
          <w:lang w:val="fr-CH"/>
        </w:rPr>
        <w:tab/>
      </w:r>
      <w:r w:rsidRPr="0071782F">
        <w:rPr>
          <w:lang w:val="fr-CH"/>
        </w:rPr>
        <w:tab/>
        <w:t xml:space="preserve">Promotion de la </w:t>
      </w:r>
      <w:r w:rsidR="00186B76" w:rsidRPr="0071782F">
        <w:rPr>
          <w:lang w:val="fr-CH"/>
        </w:rPr>
        <w:t>participation</w:t>
      </w:r>
    </w:p>
    <w:p w:rsidR="00186B76" w:rsidRPr="0071782F" w:rsidRDefault="00186B76" w:rsidP="00A45A11">
      <w:pPr>
        <w:pStyle w:val="SingleTxtG"/>
        <w:rPr>
          <w:lang w:val="fr-CH"/>
        </w:rPr>
      </w:pPr>
      <w:r w:rsidRPr="0071782F">
        <w:rPr>
          <w:lang w:val="fr-CH"/>
        </w:rPr>
        <w:t>380.</w:t>
      </w:r>
      <w:r w:rsidRPr="0071782F">
        <w:rPr>
          <w:lang w:val="fr-CH"/>
        </w:rPr>
        <w:tab/>
      </w:r>
      <w:r w:rsidR="00246E1F" w:rsidRPr="0071782F">
        <w:rPr>
          <w:lang w:val="fr-CH"/>
        </w:rPr>
        <w:t>À ce sujet, il convient de noter ce qui suit</w:t>
      </w:r>
      <w:r w:rsidR="008F7D33" w:rsidRPr="0071782F">
        <w:rPr>
          <w:lang w:val="fr-CH"/>
        </w:rPr>
        <w:t>:</w:t>
      </w:r>
    </w:p>
    <w:p w:rsidR="00186B76" w:rsidRPr="0071782F" w:rsidRDefault="00186B76" w:rsidP="00A45A11">
      <w:pPr>
        <w:pStyle w:val="SingleTxtG"/>
        <w:ind w:left="1701"/>
        <w:rPr>
          <w:lang w:val="fr-CH"/>
        </w:rPr>
      </w:pPr>
      <w:r w:rsidRPr="0071782F">
        <w:rPr>
          <w:lang w:val="fr-CH"/>
        </w:rPr>
        <w:t>380.1</w:t>
      </w:r>
      <w:r w:rsidR="00A45A11" w:rsidRPr="0071782F">
        <w:rPr>
          <w:lang w:val="fr-CH"/>
        </w:rPr>
        <w:t>.</w:t>
      </w:r>
      <w:r w:rsidRPr="0071782F">
        <w:rPr>
          <w:lang w:val="fr-CH"/>
        </w:rPr>
        <w:tab/>
      </w:r>
      <w:r w:rsidR="00484C1C" w:rsidRPr="0071782F">
        <w:rPr>
          <w:lang w:val="fr-CH"/>
        </w:rPr>
        <w:t>La loi sur les écoles à but non lucratif a été modifiée</w:t>
      </w:r>
      <w:r w:rsidRPr="0071782F">
        <w:rPr>
          <w:lang w:val="fr-CH"/>
        </w:rPr>
        <w:t>.</w:t>
      </w:r>
    </w:p>
    <w:p w:rsidR="00186B76" w:rsidRPr="0071782F" w:rsidRDefault="00186B76" w:rsidP="00A45A11">
      <w:pPr>
        <w:pStyle w:val="SingleTxtG"/>
        <w:ind w:left="1701"/>
        <w:rPr>
          <w:lang w:val="fr-CH"/>
        </w:rPr>
      </w:pPr>
      <w:r w:rsidRPr="0071782F">
        <w:rPr>
          <w:lang w:val="fr-CH"/>
        </w:rPr>
        <w:t>380.2</w:t>
      </w:r>
      <w:r w:rsidR="00A45A11" w:rsidRPr="0071782F">
        <w:rPr>
          <w:lang w:val="fr-CH"/>
        </w:rPr>
        <w:t>.</w:t>
      </w:r>
      <w:r w:rsidRPr="0071782F">
        <w:rPr>
          <w:lang w:val="fr-CH"/>
        </w:rPr>
        <w:tab/>
      </w:r>
      <w:r w:rsidR="00484C1C" w:rsidRPr="0071782F">
        <w:rPr>
          <w:lang w:val="fr-CH"/>
        </w:rPr>
        <w:t>L’intensification de la participation publique en matière d’éducation a permis de construire</w:t>
      </w:r>
      <w:r w:rsidRPr="0071782F">
        <w:rPr>
          <w:lang w:val="fr-CH"/>
        </w:rPr>
        <w:t xml:space="preserve"> 511 n</w:t>
      </w:r>
      <w:r w:rsidR="00484C1C" w:rsidRPr="0071782F">
        <w:rPr>
          <w:lang w:val="fr-CH"/>
        </w:rPr>
        <w:t>ouvelles écoles privées</w:t>
      </w:r>
      <w:r w:rsidRPr="0071782F">
        <w:rPr>
          <w:lang w:val="fr-CH"/>
        </w:rPr>
        <w:t>.</w:t>
      </w:r>
    </w:p>
    <w:p w:rsidR="00186B76" w:rsidRPr="0071782F" w:rsidRDefault="00186B76" w:rsidP="00A45A11">
      <w:pPr>
        <w:pStyle w:val="SingleTxtG"/>
        <w:ind w:left="1701"/>
        <w:rPr>
          <w:lang w:val="fr-CH"/>
        </w:rPr>
      </w:pPr>
      <w:r w:rsidRPr="0071782F">
        <w:rPr>
          <w:lang w:val="fr-CH"/>
        </w:rPr>
        <w:t>380.3</w:t>
      </w:r>
      <w:r w:rsidR="00A45A11" w:rsidRPr="0071782F">
        <w:rPr>
          <w:lang w:val="fr-CH"/>
        </w:rPr>
        <w:t>.</w:t>
      </w:r>
      <w:r w:rsidRPr="0071782F">
        <w:rPr>
          <w:lang w:val="fr-CH"/>
        </w:rPr>
        <w:tab/>
      </w:r>
      <w:r w:rsidR="00484C1C" w:rsidRPr="0071782F">
        <w:rPr>
          <w:lang w:val="fr-CH"/>
        </w:rPr>
        <w:t>La participation du secteur privé a permis d’augmenter de 14,8</w:t>
      </w:r>
      <w:r w:rsidR="007E5125" w:rsidRPr="0071782F">
        <w:rPr>
          <w:lang w:val="fr-CH"/>
        </w:rPr>
        <w:t>%</w:t>
      </w:r>
      <w:r w:rsidR="00484C1C" w:rsidRPr="0071782F">
        <w:rPr>
          <w:lang w:val="fr-CH"/>
        </w:rPr>
        <w:t xml:space="preserve"> le nombre d’écoles privées de formation technique et professionnelle</w:t>
      </w:r>
      <w:r w:rsidRPr="0071782F">
        <w:rPr>
          <w:lang w:val="fr-CH"/>
        </w:rPr>
        <w:t>.</w:t>
      </w:r>
    </w:p>
    <w:p w:rsidR="00186B76" w:rsidRPr="0071782F" w:rsidRDefault="00186B76" w:rsidP="00A45A11">
      <w:pPr>
        <w:pStyle w:val="SingleTxtG"/>
        <w:ind w:left="1701"/>
        <w:rPr>
          <w:lang w:val="fr-CH"/>
        </w:rPr>
      </w:pPr>
      <w:r w:rsidRPr="0071782F">
        <w:rPr>
          <w:lang w:val="fr-CH"/>
        </w:rPr>
        <w:t>380.4</w:t>
      </w:r>
      <w:r w:rsidR="00A45A11" w:rsidRPr="0071782F">
        <w:rPr>
          <w:lang w:val="fr-CH"/>
        </w:rPr>
        <w:t>.</w:t>
      </w:r>
      <w:r w:rsidRPr="0071782F">
        <w:rPr>
          <w:lang w:val="fr-CH"/>
        </w:rPr>
        <w:tab/>
      </w:r>
      <w:r w:rsidR="00484C1C" w:rsidRPr="0071782F">
        <w:rPr>
          <w:lang w:val="fr-CH"/>
        </w:rPr>
        <w:t xml:space="preserve">À ce jour, on a mis en service </w:t>
      </w:r>
      <w:r w:rsidRPr="0071782F">
        <w:rPr>
          <w:lang w:val="fr-CH"/>
        </w:rPr>
        <w:t>15</w:t>
      </w:r>
      <w:r w:rsidR="00ED06D3">
        <w:rPr>
          <w:lang w:val="fr-CH"/>
        </w:rPr>
        <w:t> </w:t>
      </w:r>
      <w:r w:rsidRPr="0071782F">
        <w:rPr>
          <w:lang w:val="fr-CH"/>
        </w:rPr>
        <w:t xml:space="preserve">809 </w:t>
      </w:r>
      <w:r w:rsidR="00484C1C" w:rsidRPr="0071782F">
        <w:rPr>
          <w:lang w:val="fr-CH"/>
        </w:rPr>
        <w:t>écoles à but non lucratif de tous niveaux, y compris les écoles</w:t>
      </w:r>
      <w:r w:rsidRPr="0071782F">
        <w:rPr>
          <w:lang w:val="fr-CH"/>
        </w:rPr>
        <w:t xml:space="preserve"> pr</w:t>
      </w:r>
      <w:r w:rsidR="00484C1C" w:rsidRPr="0071782F">
        <w:rPr>
          <w:lang w:val="fr-CH"/>
        </w:rPr>
        <w:t>é</w:t>
      </w:r>
      <w:r w:rsidRPr="0071782F">
        <w:rPr>
          <w:lang w:val="fr-CH"/>
        </w:rPr>
        <w:t>universit</w:t>
      </w:r>
      <w:r w:rsidR="00484C1C" w:rsidRPr="0071782F">
        <w:rPr>
          <w:lang w:val="fr-CH"/>
        </w:rPr>
        <w:t>aires et pour adultes</w:t>
      </w:r>
      <w:r w:rsidRPr="0071782F">
        <w:rPr>
          <w:lang w:val="fr-CH"/>
        </w:rPr>
        <w:t>.</w:t>
      </w:r>
    </w:p>
    <w:p w:rsidR="00186B76" w:rsidRPr="0071782F" w:rsidRDefault="00186B76" w:rsidP="00A45A11">
      <w:pPr>
        <w:pStyle w:val="SingleTxtG"/>
        <w:ind w:left="1701"/>
        <w:rPr>
          <w:lang w:val="fr-CH"/>
        </w:rPr>
      </w:pPr>
      <w:r w:rsidRPr="0071782F">
        <w:rPr>
          <w:lang w:val="fr-CH"/>
        </w:rPr>
        <w:t>380.5</w:t>
      </w:r>
      <w:r w:rsidR="00A45A11" w:rsidRPr="0071782F">
        <w:rPr>
          <w:lang w:val="fr-CH"/>
        </w:rPr>
        <w:t>.</w:t>
      </w:r>
      <w:r w:rsidRPr="0071782F">
        <w:rPr>
          <w:lang w:val="fr-CH"/>
        </w:rPr>
        <w:tab/>
      </w:r>
      <w:r w:rsidR="00C3515D" w:rsidRPr="0071782F">
        <w:rPr>
          <w:lang w:val="fr-CH"/>
        </w:rPr>
        <w:t xml:space="preserve">La proportion des enfants fréquentant des écoles à but non lucratif est à présent de </w:t>
      </w:r>
      <w:r w:rsidRPr="0071782F">
        <w:rPr>
          <w:lang w:val="fr-CH"/>
        </w:rPr>
        <w:t>7</w:t>
      </w:r>
      <w:r w:rsidR="00C3515D" w:rsidRPr="0071782F">
        <w:rPr>
          <w:lang w:val="fr-CH"/>
        </w:rPr>
        <w:t>,</w:t>
      </w:r>
      <w:r w:rsidRPr="0071782F">
        <w:rPr>
          <w:lang w:val="fr-CH"/>
        </w:rPr>
        <w:t>68</w:t>
      </w:r>
      <w:r w:rsidR="007E5125" w:rsidRPr="0071782F">
        <w:rPr>
          <w:lang w:val="fr-CH"/>
        </w:rPr>
        <w:t>%</w:t>
      </w:r>
      <w:r w:rsidR="00C3515D" w:rsidRPr="0071782F">
        <w:rPr>
          <w:lang w:val="fr-CH"/>
        </w:rPr>
        <w:t xml:space="preserve"> (</w:t>
      </w:r>
      <w:r w:rsidRPr="0071782F">
        <w:rPr>
          <w:lang w:val="fr-CH"/>
        </w:rPr>
        <w:t>1</w:t>
      </w:r>
      <w:r w:rsidR="00C3515D" w:rsidRPr="0071782F">
        <w:rPr>
          <w:lang w:val="fr-CH"/>
        </w:rPr>
        <w:t> </w:t>
      </w:r>
      <w:r w:rsidRPr="0071782F">
        <w:rPr>
          <w:lang w:val="fr-CH"/>
        </w:rPr>
        <w:t>115</w:t>
      </w:r>
      <w:r w:rsidR="00ED06D3">
        <w:rPr>
          <w:lang w:val="fr-CH"/>
        </w:rPr>
        <w:t> </w:t>
      </w:r>
      <w:r w:rsidRPr="0071782F">
        <w:rPr>
          <w:lang w:val="fr-CH"/>
        </w:rPr>
        <w:t xml:space="preserve">341 </w:t>
      </w:r>
      <w:r w:rsidR="00C3515D" w:rsidRPr="0071782F">
        <w:rPr>
          <w:lang w:val="fr-CH"/>
        </w:rPr>
        <w:t>écoliers)</w:t>
      </w:r>
      <w:r w:rsidRPr="0071782F">
        <w:rPr>
          <w:lang w:val="fr-CH"/>
        </w:rPr>
        <w:t>.</w:t>
      </w:r>
    </w:p>
    <w:p w:rsidR="00186B76" w:rsidRPr="0071782F" w:rsidRDefault="00186B76" w:rsidP="00A45A11">
      <w:pPr>
        <w:pStyle w:val="SingleTxtG"/>
        <w:ind w:left="1701"/>
        <w:rPr>
          <w:lang w:val="fr-CH"/>
        </w:rPr>
      </w:pPr>
      <w:r w:rsidRPr="0071782F">
        <w:rPr>
          <w:lang w:val="fr-CH"/>
        </w:rPr>
        <w:t>380.6</w:t>
      </w:r>
      <w:r w:rsidR="00A45A11" w:rsidRPr="0071782F">
        <w:rPr>
          <w:lang w:val="fr-CH"/>
        </w:rPr>
        <w:t>.</w:t>
      </w:r>
      <w:r w:rsidRPr="0071782F">
        <w:rPr>
          <w:lang w:val="fr-CH"/>
        </w:rPr>
        <w:tab/>
      </w:r>
      <w:r w:rsidR="00C3515D" w:rsidRPr="0071782F">
        <w:rPr>
          <w:lang w:val="fr-CH"/>
        </w:rPr>
        <w:t xml:space="preserve">Afin de classer la </w:t>
      </w:r>
      <w:r w:rsidRPr="0071782F">
        <w:rPr>
          <w:lang w:val="fr-CH"/>
        </w:rPr>
        <w:t xml:space="preserve">situation </w:t>
      </w:r>
      <w:r w:rsidR="00C3515D" w:rsidRPr="0071782F">
        <w:rPr>
          <w:lang w:val="fr-CH"/>
        </w:rPr>
        <w:t>dans les écoles privées,</w:t>
      </w:r>
      <w:r w:rsidRPr="0071782F">
        <w:rPr>
          <w:lang w:val="fr-CH"/>
        </w:rPr>
        <w:t xml:space="preserve"> </w:t>
      </w:r>
      <w:r w:rsidR="00C3515D" w:rsidRPr="0071782F">
        <w:rPr>
          <w:lang w:val="fr-CH"/>
        </w:rPr>
        <w:t xml:space="preserve">on a établi un classement de </w:t>
      </w:r>
      <w:r w:rsidRPr="0071782F">
        <w:rPr>
          <w:lang w:val="fr-CH"/>
        </w:rPr>
        <w:t>2</w:t>
      </w:r>
      <w:r w:rsidR="00ED06D3">
        <w:rPr>
          <w:lang w:val="fr-CH"/>
        </w:rPr>
        <w:t> </w:t>
      </w:r>
      <w:r w:rsidRPr="0071782F">
        <w:rPr>
          <w:lang w:val="fr-CH"/>
        </w:rPr>
        <w:t xml:space="preserve">700 </w:t>
      </w:r>
      <w:r w:rsidR="00C3515D" w:rsidRPr="0071782F">
        <w:rPr>
          <w:lang w:val="fr-CH"/>
        </w:rPr>
        <w:t>écoles à but non lucratif</w:t>
      </w:r>
      <w:r w:rsidRPr="0071782F">
        <w:rPr>
          <w:lang w:val="fr-CH"/>
        </w:rPr>
        <w:t>.</w:t>
      </w:r>
    </w:p>
    <w:p w:rsidR="00186B76" w:rsidRPr="0071782F" w:rsidRDefault="00186B76" w:rsidP="00A45A11">
      <w:pPr>
        <w:pStyle w:val="SingleTxtG"/>
        <w:ind w:left="1701"/>
        <w:rPr>
          <w:lang w:val="fr-CH"/>
        </w:rPr>
      </w:pPr>
      <w:r w:rsidRPr="0071782F">
        <w:rPr>
          <w:lang w:val="fr-CH"/>
        </w:rPr>
        <w:t>380.7</w:t>
      </w:r>
      <w:r w:rsidR="00A45A11" w:rsidRPr="0071782F">
        <w:rPr>
          <w:lang w:val="fr-CH"/>
        </w:rPr>
        <w:t>.</w:t>
      </w:r>
      <w:r w:rsidRPr="0071782F">
        <w:rPr>
          <w:lang w:val="fr-CH"/>
        </w:rPr>
        <w:tab/>
      </w:r>
      <w:r w:rsidR="00C3515D" w:rsidRPr="0071782F">
        <w:rPr>
          <w:lang w:val="fr-CH"/>
        </w:rPr>
        <w:t xml:space="preserve">Le Conseil de l’éducation des régions frontalières a été établi dans </w:t>
      </w:r>
      <w:r w:rsidRPr="0071782F">
        <w:rPr>
          <w:lang w:val="fr-CH"/>
        </w:rPr>
        <w:t>14</w:t>
      </w:r>
      <w:r w:rsidR="003B1403" w:rsidRPr="0071782F">
        <w:rPr>
          <w:lang w:val="fr-CH"/>
        </w:rPr>
        <w:t> </w:t>
      </w:r>
      <w:r w:rsidRPr="0071782F">
        <w:rPr>
          <w:lang w:val="fr-CH"/>
        </w:rPr>
        <w:t>provinces.</w:t>
      </w:r>
    </w:p>
    <w:p w:rsidR="00186B76" w:rsidRPr="0071782F" w:rsidRDefault="00186B76" w:rsidP="00A45A11">
      <w:pPr>
        <w:pStyle w:val="SingleTxtG"/>
        <w:ind w:left="1701"/>
        <w:rPr>
          <w:lang w:val="fr-CH"/>
        </w:rPr>
      </w:pPr>
      <w:r w:rsidRPr="0071782F">
        <w:rPr>
          <w:lang w:val="fr-CH"/>
        </w:rPr>
        <w:t>380.8</w:t>
      </w:r>
      <w:r w:rsidR="00A45A11" w:rsidRPr="0071782F">
        <w:rPr>
          <w:lang w:val="fr-CH"/>
        </w:rPr>
        <w:t>.</w:t>
      </w:r>
      <w:r w:rsidRPr="0071782F">
        <w:rPr>
          <w:lang w:val="fr-CH"/>
        </w:rPr>
        <w:tab/>
      </w:r>
      <w:r w:rsidR="00C3515D" w:rsidRPr="0071782F">
        <w:rPr>
          <w:lang w:val="fr-CH"/>
        </w:rPr>
        <w:t>Chaque année</w:t>
      </w:r>
      <w:r w:rsidRPr="0071782F">
        <w:rPr>
          <w:lang w:val="fr-CH"/>
        </w:rPr>
        <w:t xml:space="preserve">, </w:t>
      </w:r>
      <w:r w:rsidR="00C3515D" w:rsidRPr="0071782F">
        <w:rPr>
          <w:lang w:val="fr-CH"/>
        </w:rPr>
        <w:t xml:space="preserve">des services de </w:t>
      </w:r>
      <w:r w:rsidRPr="0071782F">
        <w:rPr>
          <w:lang w:val="fr-CH"/>
        </w:rPr>
        <w:t xml:space="preserve">consultation </w:t>
      </w:r>
      <w:r w:rsidR="00C3515D" w:rsidRPr="0071782F">
        <w:rPr>
          <w:lang w:val="fr-CH"/>
        </w:rPr>
        <w:t>sont fournis à 90</w:t>
      </w:r>
      <w:r w:rsidR="00ED06D3">
        <w:rPr>
          <w:lang w:val="fr-CH"/>
        </w:rPr>
        <w:t> </w:t>
      </w:r>
      <w:r w:rsidRPr="0071782F">
        <w:rPr>
          <w:lang w:val="fr-CH"/>
        </w:rPr>
        <w:t xml:space="preserve">000 parents </w:t>
      </w:r>
      <w:r w:rsidR="00C3515D" w:rsidRPr="0071782F">
        <w:rPr>
          <w:lang w:val="fr-CH"/>
        </w:rPr>
        <w:t xml:space="preserve">et </w:t>
      </w:r>
      <w:r w:rsidRPr="0071782F">
        <w:rPr>
          <w:lang w:val="fr-CH"/>
        </w:rPr>
        <w:t xml:space="preserve">clients </w:t>
      </w:r>
      <w:r w:rsidR="00C3515D" w:rsidRPr="0071782F">
        <w:rPr>
          <w:lang w:val="fr-CH"/>
        </w:rPr>
        <w:t xml:space="preserve">des centres de </w:t>
      </w:r>
      <w:r w:rsidRPr="0071782F">
        <w:rPr>
          <w:lang w:val="fr-CH"/>
        </w:rPr>
        <w:t xml:space="preserve">consultation </w:t>
      </w:r>
      <w:r w:rsidR="00C3515D" w:rsidRPr="0071782F">
        <w:rPr>
          <w:lang w:val="fr-CH"/>
        </w:rPr>
        <w:t>et d’orientation</w:t>
      </w:r>
      <w:r w:rsidRPr="0071782F">
        <w:rPr>
          <w:lang w:val="fr-CH"/>
        </w:rPr>
        <w:t>.</w:t>
      </w:r>
    </w:p>
    <w:p w:rsidR="00186B76" w:rsidRPr="0071782F" w:rsidRDefault="00186B76" w:rsidP="00A45A11">
      <w:pPr>
        <w:pStyle w:val="SingleTxtG"/>
        <w:ind w:left="1701"/>
        <w:rPr>
          <w:lang w:val="fr-CH"/>
        </w:rPr>
      </w:pPr>
      <w:r w:rsidRPr="0071782F">
        <w:rPr>
          <w:lang w:val="fr-CH"/>
        </w:rPr>
        <w:t>380.9</w:t>
      </w:r>
      <w:r w:rsidR="00A45A11" w:rsidRPr="0071782F">
        <w:rPr>
          <w:lang w:val="fr-CH"/>
        </w:rPr>
        <w:t>.</w:t>
      </w:r>
      <w:r w:rsidRPr="0071782F">
        <w:rPr>
          <w:lang w:val="fr-CH"/>
        </w:rPr>
        <w:tab/>
      </w:r>
      <w:r w:rsidR="00883ED9" w:rsidRPr="0071782F">
        <w:rPr>
          <w:lang w:val="fr-CH"/>
        </w:rPr>
        <w:t>Ispahan a accueilli la C</w:t>
      </w:r>
      <w:r w:rsidRPr="0071782F">
        <w:rPr>
          <w:lang w:val="fr-CH"/>
        </w:rPr>
        <w:t>onf</w:t>
      </w:r>
      <w:r w:rsidR="00883ED9" w:rsidRPr="0071782F">
        <w:rPr>
          <w:lang w:val="fr-CH"/>
        </w:rPr>
        <w:t>é</w:t>
      </w:r>
      <w:r w:rsidRPr="0071782F">
        <w:rPr>
          <w:lang w:val="fr-CH"/>
        </w:rPr>
        <w:t xml:space="preserve">rence </w:t>
      </w:r>
      <w:r w:rsidR="00883ED9" w:rsidRPr="0071782F">
        <w:rPr>
          <w:lang w:val="fr-CH"/>
        </w:rPr>
        <w:t xml:space="preserve">régionale sur le renforcement de la </w:t>
      </w:r>
      <w:r w:rsidRPr="0071782F">
        <w:rPr>
          <w:lang w:val="fr-CH"/>
        </w:rPr>
        <w:t>coop</w:t>
      </w:r>
      <w:r w:rsidR="00883ED9" w:rsidRPr="0071782F">
        <w:rPr>
          <w:lang w:val="fr-CH"/>
        </w:rPr>
        <w:t>é</w:t>
      </w:r>
      <w:r w:rsidRPr="0071782F">
        <w:rPr>
          <w:lang w:val="fr-CH"/>
        </w:rPr>
        <w:t xml:space="preserve">ration </w:t>
      </w:r>
      <w:r w:rsidR="00883ED9" w:rsidRPr="0071782F">
        <w:rPr>
          <w:lang w:val="fr-CH"/>
        </w:rPr>
        <w:t>régionale pour l’éducation intégrale et, en particulier, l’éducation à la justice, en présence de ministres et de représentants de neuf pays.</w:t>
      </w:r>
    </w:p>
    <w:p w:rsidR="00186B76" w:rsidRPr="0071782F" w:rsidRDefault="00186B76" w:rsidP="00A45A11">
      <w:pPr>
        <w:pStyle w:val="SingleTxtG"/>
        <w:ind w:left="1701"/>
        <w:rPr>
          <w:lang w:val="fr-CH"/>
        </w:rPr>
      </w:pPr>
      <w:r w:rsidRPr="0071782F">
        <w:rPr>
          <w:lang w:val="fr-CH"/>
        </w:rPr>
        <w:t>380.10</w:t>
      </w:r>
      <w:r w:rsidR="00A45A11" w:rsidRPr="0071782F">
        <w:rPr>
          <w:lang w:val="fr-CH"/>
        </w:rPr>
        <w:t>.</w:t>
      </w:r>
      <w:r w:rsidRPr="0071782F">
        <w:rPr>
          <w:lang w:val="fr-CH"/>
        </w:rPr>
        <w:t xml:space="preserve"> </w:t>
      </w:r>
      <w:r w:rsidR="00883ED9" w:rsidRPr="0071782F">
        <w:rPr>
          <w:lang w:val="fr-CH"/>
        </w:rPr>
        <w:t xml:space="preserve">Quatre-vingt-dix nouvelles écoles sont venues s’ajouter aux </w:t>
      </w:r>
      <w:r w:rsidRPr="0071782F">
        <w:rPr>
          <w:lang w:val="fr-CH"/>
        </w:rPr>
        <w:t xml:space="preserve">682 </w:t>
      </w:r>
      <w:r w:rsidR="00883ED9" w:rsidRPr="0071782F">
        <w:rPr>
          <w:lang w:val="fr-CH"/>
        </w:rPr>
        <w:t xml:space="preserve">écoles </w:t>
      </w:r>
      <w:r w:rsidRPr="0071782F">
        <w:rPr>
          <w:lang w:val="fr-CH"/>
        </w:rPr>
        <w:t xml:space="preserve">Shahed </w:t>
      </w:r>
      <w:r w:rsidR="00883ED9" w:rsidRPr="0071782F">
        <w:rPr>
          <w:lang w:val="fr-CH"/>
        </w:rPr>
        <w:t>existantes</w:t>
      </w:r>
      <w:r w:rsidRPr="0071782F">
        <w:rPr>
          <w:lang w:val="fr-CH"/>
        </w:rPr>
        <w:t>.</w:t>
      </w:r>
    </w:p>
    <w:p w:rsidR="00186B76" w:rsidRPr="0071782F" w:rsidRDefault="00186B76" w:rsidP="00A45A11">
      <w:pPr>
        <w:pStyle w:val="SingleTxtG"/>
        <w:ind w:left="1701"/>
        <w:rPr>
          <w:lang w:val="fr-CH"/>
        </w:rPr>
      </w:pPr>
      <w:r w:rsidRPr="0071782F">
        <w:rPr>
          <w:lang w:val="fr-CH"/>
        </w:rPr>
        <w:t>380.11</w:t>
      </w:r>
      <w:r w:rsidR="00A45A11" w:rsidRPr="0071782F">
        <w:rPr>
          <w:lang w:val="fr-CH"/>
        </w:rPr>
        <w:t>.</w:t>
      </w:r>
      <w:r w:rsidRPr="0071782F">
        <w:rPr>
          <w:lang w:val="fr-CH"/>
        </w:rPr>
        <w:t xml:space="preserve"> </w:t>
      </w:r>
      <w:r w:rsidR="00883ED9" w:rsidRPr="0071782F">
        <w:rPr>
          <w:lang w:val="fr-CH"/>
        </w:rPr>
        <w:t xml:space="preserve">Le </w:t>
      </w:r>
      <w:r w:rsidR="003B48A4" w:rsidRPr="0071782F">
        <w:rPr>
          <w:lang w:val="fr-CH"/>
        </w:rPr>
        <w:t>nombre</w:t>
      </w:r>
      <w:r w:rsidRPr="0071782F">
        <w:rPr>
          <w:lang w:val="fr-CH"/>
        </w:rPr>
        <w:t xml:space="preserve"> </w:t>
      </w:r>
      <w:r w:rsidR="00883ED9" w:rsidRPr="0071782F">
        <w:rPr>
          <w:lang w:val="fr-CH"/>
        </w:rPr>
        <w:t xml:space="preserve">des centres de </w:t>
      </w:r>
      <w:r w:rsidRPr="0071782F">
        <w:rPr>
          <w:lang w:val="fr-CH"/>
        </w:rPr>
        <w:t xml:space="preserve">consultation </w:t>
      </w:r>
      <w:r w:rsidR="00883ED9" w:rsidRPr="0071782F">
        <w:rPr>
          <w:lang w:val="fr-CH"/>
        </w:rPr>
        <w:t xml:space="preserve">et d’orientation familiale gérés par l’association des parents et des enseignants est passé de </w:t>
      </w:r>
      <w:r w:rsidRPr="0071782F">
        <w:rPr>
          <w:lang w:val="fr-CH"/>
        </w:rPr>
        <w:t xml:space="preserve">128 </w:t>
      </w:r>
      <w:r w:rsidR="00883ED9" w:rsidRPr="0071782F">
        <w:rPr>
          <w:lang w:val="fr-CH"/>
        </w:rPr>
        <w:t>à</w:t>
      </w:r>
      <w:r w:rsidRPr="0071782F">
        <w:rPr>
          <w:lang w:val="fr-CH"/>
        </w:rPr>
        <w:t xml:space="preserve"> 135.</w:t>
      </w:r>
    </w:p>
    <w:p w:rsidR="00186B76" w:rsidRPr="0071782F" w:rsidRDefault="00186B76" w:rsidP="00A45A11">
      <w:pPr>
        <w:pStyle w:val="SingleTxtG"/>
        <w:ind w:left="1701"/>
        <w:rPr>
          <w:lang w:val="fr-CH"/>
        </w:rPr>
      </w:pPr>
      <w:r w:rsidRPr="0071782F">
        <w:rPr>
          <w:lang w:val="fr-CH"/>
        </w:rPr>
        <w:t>380.12</w:t>
      </w:r>
      <w:r w:rsidR="00A45A11" w:rsidRPr="0071782F">
        <w:rPr>
          <w:lang w:val="fr-CH"/>
        </w:rPr>
        <w:t>.</w:t>
      </w:r>
      <w:r w:rsidRPr="0071782F">
        <w:rPr>
          <w:lang w:val="fr-CH"/>
        </w:rPr>
        <w:t xml:space="preserve"> </w:t>
      </w:r>
      <w:r w:rsidR="00883ED9" w:rsidRPr="0071782F">
        <w:rPr>
          <w:lang w:val="fr-CH"/>
        </w:rPr>
        <w:t>On a signé avec le Ministère afghan de l’éducation et commencé d’appliquer un accord de coopération en vue de la refonte du système éducatif afghan</w:t>
      </w:r>
      <w:r w:rsidRPr="0071782F">
        <w:rPr>
          <w:lang w:val="fr-CH"/>
        </w:rPr>
        <w:t xml:space="preserve">. </w:t>
      </w:r>
    </w:p>
    <w:p w:rsidR="00186B76" w:rsidRPr="0071782F" w:rsidRDefault="00186B76" w:rsidP="00A45A11">
      <w:pPr>
        <w:pStyle w:val="SingleTxtG"/>
        <w:ind w:left="1701"/>
        <w:rPr>
          <w:lang w:val="fr-CH"/>
        </w:rPr>
      </w:pPr>
      <w:r w:rsidRPr="0071782F">
        <w:rPr>
          <w:lang w:val="fr-CH"/>
        </w:rPr>
        <w:t>380.13</w:t>
      </w:r>
      <w:r w:rsidR="00A45A11" w:rsidRPr="0071782F">
        <w:rPr>
          <w:lang w:val="fr-CH"/>
        </w:rPr>
        <w:t xml:space="preserve">. </w:t>
      </w:r>
      <w:r w:rsidR="00883ED9" w:rsidRPr="0071782F">
        <w:rPr>
          <w:lang w:val="fr-CH"/>
        </w:rPr>
        <w:t xml:space="preserve">Le </w:t>
      </w:r>
      <w:r w:rsidR="003B48A4" w:rsidRPr="0071782F">
        <w:rPr>
          <w:lang w:val="fr-CH"/>
        </w:rPr>
        <w:t>nombre</w:t>
      </w:r>
      <w:r w:rsidRPr="0071782F">
        <w:rPr>
          <w:lang w:val="fr-CH"/>
        </w:rPr>
        <w:t xml:space="preserve"> </w:t>
      </w:r>
      <w:r w:rsidR="00883ED9" w:rsidRPr="0071782F">
        <w:rPr>
          <w:lang w:val="fr-CH"/>
        </w:rPr>
        <w:t xml:space="preserve">des écoles s’étant dotées d’un conseil des élèves est passé de </w:t>
      </w:r>
      <w:r w:rsidRPr="0071782F">
        <w:rPr>
          <w:lang w:val="fr-CH"/>
        </w:rPr>
        <w:t>18</w:t>
      </w:r>
      <w:r w:rsidR="003B1403" w:rsidRPr="0071782F">
        <w:rPr>
          <w:lang w:val="fr-CH"/>
        </w:rPr>
        <w:t> </w:t>
      </w:r>
      <w:r w:rsidRPr="0071782F">
        <w:rPr>
          <w:lang w:val="fr-CH"/>
        </w:rPr>
        <w:t xml:space="preserve">529 </w:t>
      </w:r>
      <w:r w:rsidR="00883ED9" w:rsidRPr="0071782F">
        <w:rPr>
          <w:lang w:val="fr-CH"/>
        </w:rPr>
        <w:t>à</w:t>
      </w:r>
      <w:r w:rsidRPr="0071782F">
        <w:rPr>
          <w:lang w:val="fr-CH"/>
        </w:rPr>
        <w:t xml:space="preserve"> 19</w:t>
      </w:r>
      <w:r w:rsidR="00883ED9" w:rsidRPr="0071782F">
        <w:rPr>
          <w:lang w:val="fr-CH"/>
        </w:rPr>
        <w:t xml:space="preserve"> </w:t>
      </w:r>
      <w:r w:rsidRPr="0071782F">
        <w:rPr>
          <w:lang w:val="fr-CH"/>
        </w:rPr>
        <w:t xml:space="preserve">360, </w:t>
      </w:r>
      <w:r w:rsidR="00883ED9" w:rsidRPr="0071782F">
        <w:rPr>
          <w:lang w:val="fr-CH"/>
        </w:rPr>
        <w:t>le nombre des membres de ces conseils passant de 123</w:t>
      </w:r>
      <w:r w:rsidR="00ED06D3">
        <w:rPr>
          <w:lang w:val="fr-CH"/>
        </w:rPr>
        <w:t> </w:t>
      </w:r>
      <w:r w:rsidRPr="0071782F">
        <w:rPr>
          <w:lang w:val="fr-CH"/>
        </w:rPr>
        <w:t xml:space="preserve">604 </w:t>
      </w:r>
      <w:r w:rsidR="00883ED9" w:rsidRPr="0071782F">
        <w:rPr>
          <w:lang w:val="fr-CH"/>
        </w:rPr>
        <w:t>à</w:t>
      </w:r>
      <w:r w:rsidRPr="0071782F">
        <w:rPr>
          <w:lang w:val="fr-CH"/>
        </w:rPr>
        <w:t xml:space="preserve"> 128</w:t>
      </w:r>
      <w:r w:rsidR="003B1403" w:rsidRPr="0071782F">
        <w:rPr>
          <w:lang w:val="fr-CH"/>
        </w:rPr>
        <w:t> </w:t>
      </w:r>
      <w:r w:rsidRPr="0071782F">
        <w:rPr>
          <w:lang w:val="fr-CH"/>
        </w:rPr>
        <w:t>016.</w:t>
      </w:r>
    </w:p>
    <w:p w:rsidR="00186B76" w:rsidRPr="0071782F" w:rsidRDefault="00186B76" w:rsidP="00A45A11">
      <w:pPr>
        <w:pStyle w:val="SingleTxtG"/>
        <w:ind w:left="1701"/>
        <w:rPr>
          <w:lang w:val="fr-CH"/>
        </w:rPr>
      </w:pPr>
      <w:r w:rsidRPr="0071782F">
        <w:rPr>
          <w:lang w:val="fr-CH"/>
        </w:rPr>
        <w:t>380.14</w:t>
      </w:r>
      <w:r w:rsidR="00A45A11" w:rsidRPr="0071782F">
        <w:rPr>
          <w:lang w:val="fr-CH"/>
        </w:rPr>
        <w:t>.</w:t>
      </w:r>
      <w:r w:rsidRPr="0071782F">
        <w:rPr>
          <w:lang w:val="fr-CH"/>
        </w:rPr>
        <w:t xml:space="preserve"> </w:t>
      </w:r>
      <w:r w:rsidR="00883ED9" w:rsidRPr="0071782F">
        <w:rPr>
          <w:lang w:val="fr-CH"/>
        </w:rPr>
        <w:t xml:space="preserve">Le </w:t>
      </w:r>
      <w:r w:rsidR="003B48A4" w:rsidRPr="0071782F">
        <w:rPr>
          <w:lang w:val="fr-CH"/>
        </w:rPr>
        <w:t>nombre</w:t>
      </w:r>
      <w:r w:rsidRPr="0071782F">
        <w:rPr>
          <w:lang w:val="fr-CH"/>
        </w:rPr>
        <w:t xml:space="preserve"> </w:t>
      </w:r>
      <w:r w:rsidR="00883ED9" w:rsidRPr="0071782F">
        <w:rPr>
          <w:lang w:val="fr-CH"/>
        </w:rPr>
        <w:t>des coopératives d’é</w:t>
      </w:r>
      <w:r w:rsidRPr="0071782F">
        <w:rPr>
          <w:lang w:val="fr-CH"/>
        </w:rPr>
        <w:t xml:space="preserve">ducation </w:t>
      </w:r>
      <w:r w:rsidR="00883ED9" w:rsidRPr="0071782F">
        <w:rPr>
          <w:lang w:val="fr-CH"/>
        </w:rPr>
        <w:t xml:space="preserve">est passé de 13 </w:t>
      </w:r>
      <w:r w:rsidRPr="0071782F">
        <w:rPr>
          <w:lang w:val="fr-CH"/>
        </w:rPr>
        <w:t xml:space="preserve">614 </w:t>
      </w:r>
      <w:r w:rsidR="00883ED9" w:rsidRPr="0071782F">
        <w:rPr>
          <w:lang w:val="fr-CH"/>
        </w:rPr>
        <w:t xml:space="preserve">à </w:t>
      </w:r>
      <w:r w:rsidRPr="0071782F">
        <w:rPr>
          <w:lang w:val="fr-CH"/>
        </w:rPr>
        <w:t>14</w:t>
      </w:r>
      <w:r w:rsidR="00883ED9" w:rsidRPr="0071782F">
        <w:rPr>
          <w:lang w:val="fr-CH"/>
        </w:rPr>
        <w:t xml:space="preserve"> </w:t>
      </w:r>
      <w:r w:rsidRPr="0071782F">
        <w:rPr>
          <w:lang w:val="fr-CH"/>
        </w:rPr>
        <w:t>114.</w:t>
      </w:r>
    </w:p>
    <w:p w:rsidR="00186B76" w:rsidRPr="0071782F" w:rsidRDefault="00186B76" w:rsidP="00F07DD6">
      <w:pPr>
        <w:pStyle w:val="SingleTxtG"/>
        <w:spacing w:after="0"/>
        <w:ind w:left="1701"/>
        <w:rPr>
          <w:lang w:val="fr-CH"/>
        </w:rPr>
      </w:pPr>
      <w:r w:rsidRPr="0071782F">
        <w:rPr>
          <w:lang w:val="fr-CH"/>
        </w:rPr>
        <w:t>380.15</w:t>
      </w:r>
      <w:r w:rsidR="00A45A11" w:rsidRPr="0071782F">
        <w:rPr>
          <w:lang w:val="fr-CH"/>
        </w:rPr>
        <w:t>.</w:t>
      </w:r>
      <w:r w:rsidRPr="0071782F">
        <w:rPr>
          <w:lang w:val="fr-CH"/>
        </w:rPr>
        <w:t xml:space="preserve"> </w:t>
      </w:r>
      <w:r w:rsidR="00883ED9" w:rsidRPr="0071782F">
        <w:rPr>
          <w:lang w:val="fr-CH"/>
        </w:rPr>
        <w:t xml:space="preserve">Dans </w:t>
      </w:r>
      <w:r w:rsidRPr="0071782F">
        <w:rPr>
          <w:lang w:val="fr-CH"/>
        </w:rPr>
        <w:t xml:space="preserve">290 </w:t>
      </w:r>
      <w:r w:rsidR="00883ED9" w:rsidRPr="0071782F">
        <w:rPr>
          <w:lang w:val="fr-CH"/>
        </w:rPr>
        <w:t xml:space="preserve">réunions, les conseils provinciaux ont adopté quelque </w:t>
      </w:r>
      <w:r w:rsidRPr="0071782F">
        <w:rPr>
          <w:lang w:val="fr-CH"/>
        </w:rPr>
        <w:t>29</w:t>
      </w:r>
      <w:r w:rsidR="003B1403" w:rsidRPr="0071782F">
        <w:rPr>
          <w:lang w:val="fr-CH"/>
        </w:rPr>
        <w:t> </w:t>
      </w:r>
      <w:r w:rsidRPr="0071782F">
        <w:rPr>
          <w:lang w:val="fr-CH"/>
        </w:rPr>
        <w:t>000</w:t>
      </w:r>
      <w:r w:rsidR="003B1403" w:rsidRPr="0071782F">
        <w:rPr>
          <w:lang w:val="fr-CH"/>
        </w:rPr>
        <w:t> </w:t>
      </w:r>
      <w:r w:rsidRPr="0071782F">
        <w:rPr>
          <w:lang w:val="fr-CH"/>
        </w:rPr>
        <w:t>d</w:t>
      </w:r>
      <w:r w:rsidR="00883ED9" w:rsidRPr="0071782F">
        <w:rPr>
          <w:lang w:val="fr-CH"/>
        </w:rPr>
        <w:t>é</w:t>
      </w:r>
      <w:r w:rsidRPr="0071782F">
        <w:rPr>
          <w:lang w:val="fr-CH"/>
        </w:rPr>
        <w:t xml:space="preserve">cisions </w:t>
      </w:r>
      <w:r w:rsidR="00883ED9" w:rsidRPr="0071782F">
        <w:rPr>
          <w:lang w:val="fr-CH"/>
        </w:rPr>
        <w:t>en matière d’é</w:t>
      </w:r>
      <w:r w:rsidRPr="0071782F">
        <w:rPr>
          <w:lang w:val="fr-CH"/>
        </w:rPr>
        <w:t>ducation.</w:t>
      </w:r>
    </w:p>
    <w:p w:rsidR="00186B76" w:rsidRPr="0071782F" w:rsidRDefault="00186B76" w:rsidP="00A45A11">
      <w:pPr>
        <w:pStyle w:val="H23G"/>
        <w:rPr>
          <w:lang w:val="fr-CH"/>
        </w:rPr>
      </w:pPr>
      <w:r w:rsidRPr="0071782F">
        <w:rPr>
          <w:lang w:val="fr-CH"/>
        </w:rPr>
        <w:tab/>
      </w:r>
      <w:r w:rsidRPr="0071782F">
        <w:rPr>
          <w:lang w:val="fr-CH"/>
        </w:rPr>
        <w:tab/>
      </w:r>
      <w:r w:rsidR="00883ED9" w:rsidRPr="0071782F">
        <w:rPr>
          <w:lang w:val="fr-CH"/>
        </w:rPr>
        <w:t>Indicateu</w:t>
      </w:r>
      <w:r w:rsidRPr="0071782F">
        <w:rPr>
          <w:lang w:val="fr-CH"/>
        </w:rPr>
        <w:t xml:space="preserve">rs </w:t>
      </w:r>
      <w:r w:rsidR="00883ED9" w:rsidRPr="0071782F">
        <w:rPr>
          <w:lang w:val="fr-CH"/>
        </w:rPr>
        <w:t>de l’éducation e</w:t>
      </w:r>
      <w:r w:rsidRPr="0071782F">
        <w:rPr>
          <w:lang w:val="fr-CH"/>
        </w:rPr>
        <w:t>n 2008/09</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346"/>
        <w:gridCol w:w="1169"/>
        <w:gridCol w:w="1050"/>
        <w:gridCol w:w="1940"/>
      </w:tblGrid>
      <w:tr w:rsidR="00186B76" w:rsidRPr="0071782F">
        <w:trPr>
          <w:tblHeader/>
        </w:trPr>
        <w:tc>
          <w:tcPr>
            <w:tcW w:w="4346" w:type="dxa"/>
            <w:tcBorders>
              <w:top w:val="single" w:sz="4" w:space="0" w:color="auto"/>
              <w:bottom w:val="single" w:sz="12" w:space="0" w:color="auto"/>
            </w:tcBorders>
            <w:shd w:val="clear" w:color="auto" w:fill="auto"/>
            <w:vAlign w:val="bottom"/>
          </w:tcPr>
          <w:p w:rsidR="00186B76" w:rsidRPr="0071782F" w:rsidRDefault="00186B76" w:rsidP="003B1403">
            <w:pPr>
              <w:suppressAutoHyphens w:val="0"/>
              <w:spacing w:before="80" w:after="80" w:line="200" w:lineRule="exact"/>
              <w:rPr>
                <w:i/>
                <w:sz w:val="16"/>
                <w:lang w:val="fr-CH"/>
              </w:rPr>
            </w:pPr>
            <w:r w:rsidRPr="0071782F">
              <w:rPr>
                <w:i/>
                <w:sz w:val="16"/>
                <w:lang w:val="fr-CH"/>
              </w:rPr>
              <w:t>Indicat</w:t>
            </w:r>
            <w:r w:rsidR="00883ED9" w:rsidRPr="0071782F">
              <w:rPr>
                <w:i/>
                <w:sz w:val="16"/>
                <w:lang w:val="fr-CH"/>
              </w:rPr>
              <w:t>eu</w:t>
            </w:r>
            <w:r w:rsidRPr="0071782F">
              <w:rPr>
                <w:i/>
                <w:sz w:val="16"/>
                <w:lang w:val="fr-CH"/>
              </w:rPr>
              <w:t>r</w:t>
            </w:r>
          </w:p>
        </w:tc>
        <w:tc>
          <w:tcPr>
            <w:tcW w:w="1169" w:type="dxa"/>
            <w:tcBorders>
              <w:top w:val="single" w:sz="4" w:space="0" w:color="auto"/>
              <w:bottom w:val="single" w:sz="12" w:space="0" w:color="auto"/>
            </w:tcBorders>
            <w:shd w:val="clear" w:color="auto" w:fill="auto"/>
            <w:vAlign w:val="bottom"/>
          </w:tcPr>
          <w:p w:rsidR="00186B76" w:rsidRPr="0071782F" w:rsidRDefault="00186B76" w:rsidP="003B1403">
            <w:pPr>
              <w:suppressAutoHyphens w:val="0"/>
              <w:spacing w:before="80" w:after="80" w:line="200" w:lineRule="exact"/>
              <w:rPr>
                <w:i/>
                <w:sz w:val="16"/>
                <w:lang w:val="fr-CH"/>
              </w:rPr>
            </w:pPr>
            <w:r w:rsidRPr="0071782F">
              <w:rPr>
                <w:i/>
                <w:sz w:val="16"/>
                <w:lang w:val="fr-CH"/>
              </w:rPr>
              <w:t>Unit</w:t>
            </w:r>
            <w:r w:rsidR="00883ED9" w:rsidRPr="0071782F">
              <w:rPr>
                <w:i/>
                <w:sz w:val="16"/>
                <w:lang w:val="fr-CH"/>
              </w:rPr>
              <w:t>é</w:t>
            </w:r>
          </w:p>
        </w:tc>
        <w:tc>
          <w:tcPr>
            <w:tcW w:w="1050" w:type="dxa"/>
            <w:tcBorders>
              <w:top w:val="single" w:sz="4" w:space="0" w:color="auto"/>
              <w:bottom w:val="single" w:sz="12" w:space="0" w:color="auto"/>
            </w:tcBorders>
            <w:shd w:val="clear" w:color="auto" w:fill="auto"/>
            <w:vAlign w:val="bottom"/>
          </w:tcPr>
          <w:p w:rsidR="00186B76" w:rsidRPr="0071782F" w:rsidRDefault="00186B76" w:rsidP="003B1403">
            <w:pPr>
              <w:suppressAutoHyphens w:val="0"/>
              <w:spacing w:before="80" w:after="80" w:line="200" w:lineRule="exact"/>
              <w:jc w:val="right"/>
              <w:rPr>
                <w:i/>
                <w:sz w:val="16"/>
                <w:lang w:val="fr-CH"/>
              </w:rPr>
            </w:pPr>
            <w:r w:rsidRPr="0071782F">
              <w:rPr>
                <w:i/>
                <w:sz w:val="16"/>
                <w:lang w:val="fr-CH"/>
              </w:rPr>
              <w:t>No</w:t>
            </w:r>
            <w:r w:rsidR="00883ED9" w:rsidRPr="0071782F">
              <w:rPr>
                <w:i/>
                <w:sz w:val="16"/>
                <w:lang w:val="fr-CH"/>
              </w:rPr>
              <w:t xml:space="preserve">mbre/valeur </w:t>
            </w:r>
          </w:p>
        </w:tc>
        <w:tc>
          <w:tcPr>
            <w:tcW w:w="1940" w:type="dxa"/>
            <w:tcBorders>
              <w:top w:val="single" w:sz="4" w:space="0" w:color="auto"/>
              <w:bottom w:val="single" w:sz="12" w:space="0" w:color="auto"/>
            </w:tcBorders>
            <w:shd w:val="clear" w:color="auto" w:fill="auto"/>
          </w:tcPr>
          <w:p w:rsidR="00186B76" w:rsidRPr="0071782F" w:rsidRDefault="00883ED9" w:rsidP="003B1403">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 </w:t>
            </w:r>
          </w:p>
        </w:tc>
      </w:tr>
      <w:tr w:rsidR="00186B76" w:rsidRPr="0071782F">
        <w:tc>
          <w:tcPr>
            <w:tcW w:w="4346" w:type="dxa"/>
            <w:tcBorders>
              <w:top w:val="single" w:sz="12" w:space="0" w:color="auto"/>
            </w:tcBorders>
            <w:shd w:val="clear" w:color="auto" w:fill="auto"/>
          </w:tcPr>
          <w:p w:rsidR="00186B76" w:rsidRPr="0071782F" w:rsidRDefault="00883ED9" w:rsidP="003B1403">
            <w:pPr>
              <w:suppressAutoHyphens w:val="0"/>
              <w:spacing w:before="40" w:after="40" w:line="220" w:lineRule="exact"/>
              <w:rPr>
                <w:sz w:val="18"/>
                <w:lang w:val="fr-CH"/>
              </w:rPr>
            </w:pPr>
            <w:r w:rsidRPr="0071782F">
              <w:rPr>
                <w:sz w:val="18"/>
                <w:lang w:val="fr-CH"/>
              </w:rPr>
              <w:t>Élèves</w:t>
            </w:r>
            <w:r w:rsidR="00186B76" w:rsidRPr="0071782F">
              <w:rPr>
                <w:i/>
                <w:sz w:val="18"/>
                <w:vertAlign w:val="superscript"/>
                <w:lang w:val="fr-CH"/>
              </w:rPr>
              <w:t>(1)</w:t>
            </w:r>
          </w:p>
        </w:tc>
        <w:tc>
          <w:tcPr>
            <w:tcW w:w="1169" w:type="dxa"/>
            <w:tcBorders>
              <w:top w:val="single" w:sz="12" w:space="0" w:color="auto"/>
            </w:tcBorders>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Person</w:t>
            </w:r>
            <w:r w:rsidR="00883ED9" w:rsidRPr="0071782F">
              <w:rPr>
                <w:sz w:val="18"/>
                <w:lang w:val="fr-CH"/>
              </w:rPr>
              <w:t>ne</w:t>
            </w:r>
            <w:r w:rsidRPr="0071782F">
              <w:rPr>
                <w:sz w:val="18"/>
                <w:lang w:val="fr-CH"/>
              </w:rPr>
              <w:t xml:space="preserve"> (</w:t>
            </w:r>
            <w:r w:rsidR="00883ED9" w:rsidRPr="0071782F">
              <w:rPr>
                <w:sz w:val="18"/>
                <w:lang w:val="fr-CH"/>
              </w:rPr>
              <w:t>millier</w:t>
            </w:r>
            <w:r w:rsidRPr="0071782F">
              <w:rPr>
                <w:sz w:val="18"/>
                <w:lang w:val="fr-CH"/>
              </w:rPr>
              <w:t>)</w:t>
            </w:r>
          </w:p>
        </w:tc>
        <w:tc>
          <w:tcPr>
            <w:tcW w:w="1050" w:type="dxa"/>
            <w:tcBorders>
              <w:top w:val="single" w:sz="12" w:space="0" w:color="auto"/>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13 958</w:t>
            </w:r>
          </w:p>
        </w:tc>
        <w:tc>
          <w:tcPr>
            <w:tcW w:w="1940" w:type="dxa"/>
            <w:tcBorders>
              <w:top w:val="single" w:sz="12" w:space="0" w:color="auto"/>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-3</w:t>
            </w:r>
            <w:r w:rsidR="003B1403" w:rsidRPr="0071782F">
              <w:rPr>
                <w:sz w:val="18"/>
                <w:lang w:val="fr-CH"/>
              </w:rPr>
              <w:t>,</w:t>
            </w:r>
            <w:r w:rsidRPr="0071782F">
              <w:rPr>
                <w:sz w:val="18"/>
                <w:lang w:val="fr-CH"/>
              </w:rPr>
              <w:t>2</w:t>
            </w:r>
          </w:p>
        </w:tc>
      </w:tr>
      <w:tr w:rsidR="00186B76" w:rsidRPr="0071782F">
        <w:tc>
          <w:tcPr>
            <w:tcW w:w="4346" w:type="dxa"/>
            <w:shd w:val="clear" w:color="auto" w:fill="auto"/>
          </w:tcPr>
          <w:p w:rsidR="00186B76" w:rsidRPr="0071782F" w:rsidRDefault="00883ED9" w:rsidP="003B1403">
            <w:pPr>
              <w:suppressAutoHyphens w:val="0"/>
              <w:spacing w:before="40" w:after="40" w:line="220" w:lineRule="exact"/>
              <w:rPr>
                <w:sz w:val="18"/>
                <w:lang w:val="fr-CH"/>
              </w:rPr>
            </w:pPr>
            <w:r w:rsidRPr="0071782F">
              <w:rPr>
                <w:sz w:val="18"/>
                <w:lang w:val="fr-CH"/>
              </w:rPr>
              <w:t>Garçons</w:t>
            </w:r>
            <w:r w:rsidR="00186B76" w:rsidRPr="0071782F">
              <w:rPr>
                <w:i/>
                <w:sz w:val="18"/>
                <w:vertAlign w:val="superscript"/>
                <w:lang w:val="fr-CH"/>
              </w:rPr>
              <w:t>(1)</w:t>
            </w:r>
          </w:p>
        </w:tc>
        <w:tc>
          <w:tcPr>
            <w:tcW w:w="1169" w:type="dxa"/>
            <w:shd w:val="clear" w:color="auto" w:fill="auto"/>
            <w:vAlign w:val="bottom"/>
          </w:tcPr>
          <w:p w:rsidR="00186B76" w:rsidRPr="0071782F" w:rsidRDefault="00883ED9" w:rsidP="003B1403">
            <w:pPr>
              <w:suppressAutoHyphens w:val="0"/>
              <w:spacing w:before="40" w:after="40" w:line="220" w:lineRule="exact"/>
              <w:rPr>
                <w:sz w:val="18"/>
                <w:lang w:val="fr-CH"/>
              </w:rPr>
            </w:pPr>
            <w:r w:rsidRPr="0071782F">
              <w:rPr>
                <w:sz w:val="18"/>
                <w:lang w:val="fr-CH"/>
              </w:rPr>
              <w:t>Personne (millier)</w:t>
            </w:r>
          </w:p>
        </w:tc>
        <w:tc>
          <w:tcPr>
            <w:tcW w:w="105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7 216</w:t>
            </w:r>
          </w:p>
        </w:tc>
        <w:tc>
          <w:tcPr>
            <w:tcW w:w="194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-2</w:t>
            </w:r>
            <w:r w:rsidR="003B1403" w:rsidRPr="0071782F">
              <w:rPr>
                <w:sz w:val="18"/>
                <w:lang w:val="fr-CH"/>
              </w:rPr>
              <w:t>,</w:t>
            </w:r>
            <w:r w:rsidRPr="0071782F">
              <w:rPr>
                <w:sz w:val="18"/>
                <w:lang w:val="fr-CH"/>
              </w:rPr>
              <w:t>9</w:t>
            </w:r>
          </w:p>
        </w:tc>
      </w:tr>
      <w:tr w:rsidR="00186B76" w:rsidRPr="0071782F">
        <w:tc>
          <w:tcPr>
            <w:tcW w:w="4346" w:type="dxa"/>
            <w:shd w:val="clear" w:color="auto" w:fill="auto"/>
          </w:tcPr>
          <w:p w:rsidR="00186B76" w:rsidRPr="0071782F" w:rsidRDefault="00186B76" w:rsidP="003B1403">
            <w:pPr>
              <w:suppressAutoHyphens w:val="0"/>
              <w:spacing w:before="40" w:after="40" w:line="220" w:lineRule="exact"/>
              <w:rPr>
                <w:sz w:val="18"/>
                <w:lang w:val="fr-CH"/>
              </w:rPr>
            </w:pPr>
            <w:r w:rsidRPr="0071782F">
              <w:rPr>
                <w:sz w:val="18"/>
                <w:lang w:val="fr-CH"/>
              </w:rPr>
              <w:t>F</w:t>
            </w:r>
            <w:r w:rsidR="00883ED9" w:rsidRPr="0071782F">
              <w:rPr>
                <w:sz w:val="18"/>
                <w:lang w:val="fr-CH"/>
              </w:rPr>
              <w:t>illes</w:t>
            </w:r>
            <w:r w:rsidRPr="0071782F">
              <w:rPr>
                <w:i/>
                <w:sz w:val="18"/>
                <w:vertAlign w:val="superscript"/>
                <w:lang w:val="fr-CH"/>
              </w:rPr>
              <w:t>(1)</w:t>
            </w:r>
          </w:p>
        </w:tc>
        <w:tc>
          <w:tcPr>
            <w:tcW w:w="1169" w:type="dxa"/>
            <w:shd w:val="clear" w:color="auto" w:fill="auto"/>
            <w:vAlign w:val="bottom"/>
          </w:tcPr>
          <w:p w:rsidR="00186B76" w:rsidRPr="0071782F" w:rsidRDefault="00883ED9" w:rsidP="003B1403">
            <w:pPr>
              <w:suppressAutoHyphens w:val="0"/>
              <w:spacing w:before="40" w:after="40" w:line="220" w:lineRule="exact"/>
              <w:rPr>
                <w:sz w:val="18"/>
                <w:lang w:val="fr-CH"/>
              </w:rPr>
            </w:pPr>
            <w:r w:rsidRPr="0071782F">
              <w:rPr>
                <w:sz w:val="18"/>
                <w:lang w:val="fr-CH"/>
              </w:rPr>
              <w:t>Personne (millier)</w:t>
            </w:r>
          </w:p>
        </w:tc>
        <w:tc>
          <w:tcPr>
            <w:tcW w:w="105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6 742</w:t>
            </w:r>
          </w:p>
        </w:tc>
        <w:tc>
          <w:tcPr>
            <w:tcW w:w="194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-3</w:t>
            </w:r>
            <w:r w:rsidR="003B1403" w:rsidRPr="0071782F">
              <w:rPr>
                <w:sz w:val="18"/>
                <w:lang w:val="fr-CH"/>
              </w:rPr>
              <w:t>,</w:t>
            </w:r>
            <w:r w:rsidRPr="0071782F">
              <w:rPr>
                <w:sz w:val="18"/>
                <w:lang w:val="fr-CH"/>
              </w:rPr>
              <w:t>5</w:t>
            </w:r>
          </w:p>
        </w:tc>
      </w:tr>
      <w:tr w:rsidR="00186B76" w:rsidRPr="0071782F">
        <w:tc>
          <w:tcPr>
            <w:tcW w:w="4346" w:type="dxa"/>
            <w:shd w:val="clear" w:color="auto" w:fill="auto"/>
          </w:tcPr>
          <w:p w:rsidR="00186B76" w:rsidRPr="0071782F" w:rsidRDefault="00883ED9" w:rsidP="003B1403">
            <w:pPr>
              <w:suppressAutoHyphens w:val="0"/>
              <w:spacing w:before="40" w:after="40" w:line="220" w:lineRule="exact"/>
              <w:rPr>
                <w:sz w:val="18"/>
                <w:lang w:val="fr-CH"/>
              </w:rPr>
            </w:pPr>
            <w:r w:rsidRPr="0071782F">
              <w:rPr>
                <w:sz w:val="18"/>
                <w:lang w:val="fr-CH"/>
              </w:rPr>
              <w:t>Élèves des zones u</w:t>
            </w:r>
            <w:r w:rsidR="00186B76" w:rsidRPr="0071782F">
              <w:rPr>
                <w:sz w:val="18"/>
                <w:lang w:val="fr-CH"/>
              </w:rPr>
              <w:t>rba</w:t>
            </w:r>
            <w:r w:rsidRPr="0071782F">
              <w:rPr>
                <w:sz w:val="18"/>
                <w:lang w:val="fr-CH"/>
              </w:rPr>
              <w:t xml:space="preserve">ines </w:t>
            </w:r>
          </w:p>
        </w:tc>
        <w:tc>
          <w:tcPr>
            <w:tcW w:w="1169" w:type="dxa"/>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w:t>
            </w:r>
          </w:p>
        </w:tc>
        <w:tc>
          <w:tcPr>
            <w:tcW w:w="105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73</w:t>
            </w:r>
            <w:r w:rsidR="003B1403" w:rsidRPr="0071782F">
              <w:rPr>
                <w:sz w:val="18"/>
                <w:lang w:val="fr-CH"/>
              </w:rPr>
              <w:t>,</w:t>
            </w:r>
            <w:r w:rsidRPr="0071782F">
              <w:rPr>
                <w:sz w:val="18"/>
                <w:lang w:val="fr-CH"/>
              </w:rPr>
              <w:t>5</w:t>
            </w:r>
          </w:p>
        </w:tc>
        <w:tc>
          <w:tcPr>
            <w:tcW w:w="194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0</w:t>
            </w:r>
            <w:r w:rsidR="003B1403" w:rsidRPr="0071782F">
              <w:rPr>
                <w:sz w:val="18"/>
                <w:lang w:val="fr-CH"/>
              </w:rPr>
              <w:t>,</w:t>
            </w:r>
            <w:r w:rsidRPr="0071782F">
              <w:rPr>
                <w:sz w:val="18"/>
                <w:lang w:val="fr-CH"/>
              </w:rPr>
              <w:t>6</w:t>
            </w:r>
            <w:r w:rsidRPr="0071782F">
              <w:rPr>
                <w:i/>
                <w:sz w:val="18"/>
                <w:vertAlign w:val="superscript"/>
                <w:lang w:val="fr-CH"/>
              </w:rPr>
              <w:t>(2)</w:t>
            </w:r>
          </w:p>
        </w:tc>
      </w:tr>
      <w:tr w:rsidR="00186B76" w:rsidRPr="0071782F">
        <w:tc>
          <w:tcPr>
            <w:tcW w:w="4346" w:type="dxa"/>
            <w:tcBorders>
              <w:bottom w:val="nil"/>
            </w:tcBorders>
            <w:shd w:val="clear" w:color="auto" w:fill="auto"/>
          </w:tcPr>
          <w:p w:rsidR="00186B76" w:rsidRPr="0071782F" w:rsidRDefault="00883ED9" w:rsidP="003B1403">
            <w:pPr>
              <w:suppressAutoHyphens w:val="0"/>
              <w:spacing w:before="40" w:after="40" w:line="220" w:lineRule="exact"/>
              <w:rPr>
                <w:sz w:val="18"/>
                <w:lang w:val="fr-CH"/>
              </w:rPr>
            </w:pPr>
            <w:r w:rsidRPr="0071782F">
              <w:rPr>
                <w:sz w:val="18"/>
                <w:lang w:val="fr-CH"/>
              </w:rPr>
              <w:t xml:space="preserve">Écolières allant à l’école primaire en milieu rural </w:t>
            </w:r>
          </w:p>
        </w:tc>
        <w:tc>
          <w:tcPr>
            <w:tcW w:w="1169" w:type="dxa"/>
            <w:tcBorders>
              <w:bottom w:val="nil"/>
            </w:tcBorders>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w:t>
            </w:r>
          </w:p>
        </w:tc>
        <w:tc>
          <w:tcPr>
            <w:tcW w:w="1050" w:type="dxa"/>
            <w:tcBorders>
              <w:bottom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48</w:t>
            </w:r>
            <w:r w:rsidR="003B1403" w:rsidRPr="0071782F">
              <w:rPr>
                <w:sz w:val="18"/>
                <w:lang w:val="fr-CH"/>
              </w:rPr>
              <w:t>,</w:t>
            </w:r>
            <w:r w:rsidRPr="0071782F">
              <w:rPr>
                <w:sz w:val="18"/>
                <w:lang w:val="fr-CH"/>
              </w:rPr>
              <w:t>1</w:t>
            </w:r>
          </w:p>
        </w:tc>
        <w:tc>
          <w:tcPr>
            <w:tcW w:w="1940" w:type="dxa"/>
            <w:tcBorders>
              <w:bottom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0</w:t>
            </w:r>
            <w:r w:rsidRPr="0071782F">
              <w:rPr>
                <w:i/>
                <w:sz w:val="18"/>
                <w:vertAlign w:val="superscript"/>
                <w:lang w:val="fr-CH"/>
              </w:rPr>
              <w:t>(2)</w:t>
            </w:r>
          </w:p>
        </w:tc>
      </w:tr>
      <w:tr w:rsidR="00186B76" w:rsidRPr="0071782F">
        <w:tc>
          <w:tcPr>
            <w:tcW w:w="4346" w:type="dxa"/>
            <w:tcBorders>
              <w:top w:val="nil"/>
              <w:bottom w:val="nil"/>
            </w:tcBorders>
            <w:shd w:val="clear" w:color="auto" w:fill="auto"/>
          </w:tcPr>
          <w:p w:rsidR="00186B76" w:rsidRPr="0071782F" w:rsidRDefault="00883ED9" w:rsidP="003B1403">
            <w:pPr>
              <w:suppressAutoHyphens w:val="0"/>
              <w:spacing w:before="40" w:after="40" w:line="220" w:lineRule="exact"/>
              <w:rPr>
                <w:sz w:val="18"/>
                <w:lang w:val="fr-CH"/>
              </w:rPr>
            </w:pPr>
            <w:r w:rsidRPr="0071782F">
              <w:rPr>
                <w:sz w:val="18"/>
                <w:lang w:val="fr-CH"/>
              </w:rPr>
              <w:t xml:space="preserve">Écolières allant à l’école secondaire du premier cycle en milieu rural </w:t>
            </w:r>
          </w:p>
        </w:tc>
        <w:tc>
          <w:tcPr>
            <w:tcW w:w="1169" w:type="dxa"/>
            <w:tcBorders>
              <w:top w:val="nil"/>
              <w:bottom w:val="nil"/>
            </w:tcBorders>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w:t>
            </w:r>
          </w:p>
        </w:tc>
        <w:tc>
          <w:tcPr>
            <w:tcW w:w="1050" w:type="dxa"/>
            <w:tcBorders>
              <w:top w:val="nil"/>
              <w:bottom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44</w:t>
            </w:r>
            <w:r w:rsidR="003B1403" w:rsidRPr="0071782F">
              <w:rPr>
                <w:sz w:val="18"/>
                <w:lang w:val="fr-CH"/>
              </w:rPr>
              <w:t>,</w:t>
            </w:r>
            <w:r w:rsidRPr="0071782F">
              <w:rPr>
                <w:sz w:val="18"/>
                <w:lang w:val="fr-CH"/>
              </w:rPr>
              <w:t>3</w:t>
            </w:r>
          </w:p>
        </w:tc>
        <w:tc>
          <w:tcPr>
            <w:tcW w:w="1940" w:type="dxa"/>
            <w:tcBorders>
              <w:top w:val="nil"/>
              <w:bottom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0</w:t>
            </w:r>
            <w:r w:rsidR="003B1403" w:rsidRPr="0071782F">
              <w:rPr>
                <w:sz w:val="18"/>
                <w:lang w:val="fr-CH"/>
              </w:rPr>
              <w:t>,</w:t>
            </w:r>
            <w:r w:rsidRPr="0071782F">
              <w:rPr>
                <w:sz w:val="18"/>
                <w:lang w:val="fr-CH"/>
              </w:rPr>
              <w:t>4</w:t>
            </w:r>
            <w:r w:rsidRPr="0071782F">
              <w:rPr>
                <w:i/>
                <w:sz w:val="18"/>
                <w:vertAlign w:val="superscript"/>
                <w:lang w:val="fr-CH"/>
              </w:rPr>
              <w:t>(2)</w:t>
            </w:r>
          </w:p>
        </w:tc>
      </w:tr>
      <w:tr w:rsidR="00186B76" w:rsidRPr="0071782F">
        <w:tc>
          <w:tcPr>
            <w:tcW w:w="4346" w:type="dxa"/>
            <w:tcBorders>
              <w:top w:val="nil"/>
            </w:tcBorders>
            <w:shd w:val="clear" w:color="auto" w:fill="auto"/>
          </w:tcPr>
          <w:p w:rsidR="00186B76" w:rsidRPr="0071782F" w:rsidRDefault="00883ED9" w:rsidP="003B1403">
            <w:pPr>
              <w:suppressAutoHyphens w:val="0"/>
              <w:spacing w:before="40" w:after="40" w:line="220" w:lineRule="exact"/>
              <w:rPr>
                <w:sz w:val="18"/>
                <w:lang w:val="fr-CH"/>
              </w:rPr>
            </w:pPr>
            <w:r w:rsidRPr="0071782F">
              <w:rPr>
                <w:sz w:val="18"/>
                <w:lang w:val="fr-CH"/>
              </w:rPr>
              <w:t xml:space="preserve">Écolières allant à l’école secondaire du second cycle ou fréquentant un établissement d’enseignement </w:t>
            </w:r>
            <w:r w:rsidR="00186B76" w:rsidRPr="0071782F">
              <w:rPr>
                <w:sz w:val="18"/>
                <w:lang w:val="fr-CH"/>
              </w:rPr>
              <w:t>pr</w:t>
            </w:r>
            <w:r w:rsidRPr="0071782F">
              <w:rPr>
                <w:sz w:val="18"/>
                <w:lang w:val="fr-CH"/>
              </w:rPr>
              <w:t>é</w:t>
            </w:r>
            <w:r w:rsidR="00186B76" w:rsidRPr="0071782F">
              <w:rPr>
                <w:sz w:val="18"/>
                <w:lang w:val="fr-CH"/>
              </w:rPr>
              <w:t>universit</w:t>
            </w:r>
            <w:r w:rsidRPr="0071782F">
              <w:rPr>
                <w:sz w:val="18"/>
                <w:lang w:val="fr-CH"/>
              </w:rPr>
              <w:t>aire</w:t>
            </w:r>
          </w:p>
        </w:tc>
        <w:tc>
          <w:tcPr>
            <w:tcW w:w="1169" w:type="dxa"/>
            <w:tcBorders>
              <w:top w:val="nil"/>
            </w:tcBorders>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w:t>
            </w:r>
          </w:p>
        </w:tc>
        <w:tc>
          <w:tcPr>
            <w:tcW w:w="1050" w:type="dxa"/>
            <w:tcBorders>
              <w:top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45</w:t>
            </w:r>
            <w:r w:rsidR="003B1403" w:rsidRPr="0071782F">
              <w:rPr>
                <w:sz w:val="18"/>
                <w:lang w:val="fr-CH"/>
              </w:rPr>
              <w:t>,</w:t>
            </w:r>
            <w:r w:rsidRPr="0071782F">
              <w:rPr>
                <w:sz w:val="18"/>
                <w:lang w:val="fr-CH"/>
              </w:rPr>
              <w:t>7</w:t>
            </w:r>
          </w:p>
        </w:tc>
        <w:tc>
          <w:tcPr>
            <w:tcW w:w="1940" w:type="dxa"/>
            <w:tcBorders>
              <w:top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-0</w:t>
            </w:r>
            <w:r w:rsidR="003B1403" w:rsidRPr="0071782F">
              <w:rPr>
                <w:sz w:val="18"/>
                <w:lang w:val="fr-CH"/>
              </w:rPr>
              <w:t>,</w:t>
            </w:r>
            <w:r w:rsidRPr="0071782F">
              <w:rPr>
                <w:sz w:val="18"/>
                <w:lang w:val="fr-CH"/>
              </w:rPr>
              <w:t>6</w:t>
            </w:r>
            <w:r w:rsidRPr="0071782F">
              <w:rPr>
                <w:i/>
                <w:sz w:val="18"/>
                <w:vertAlign w:val="superscript"/>
                <w:lang w:val="fr-CH"/>
              </w:rPr>
              <w:t>(2)</w:t>
            </w:r>
          </w:p>
        </w:tc>
      </w:tr>
      <w:tr w:rsidR="00186B76" w:rsidRPr="0071782F">
        <w:tc>
          <w:tcPr>
            <w:tcW w:w="4346" w:type="dxa"/>
            <w:tcBorders>
              <w:bottom w:val="nil"/>
            </w:tcBorders>
            <w:shd w:val="clear" w:color="auto" w:fill="auto"/>
          </w:tcPr>
          <w:p w:rsidR="00186B76" w:rsidRPr="0071782F" w:rsidRDefault="00883ED9" w:rsidP="003B1403">
            <w:pPr>
              <w:suppressAutoHyphens w:val="0"/>
              <w:spacing w:before="40" w:after="40" w:line="220" w:lineRule="exact"/>
              <w:rPr>
                <w:sz w:val="18"/>
                <w:lang w:val="fr-CH"/>
              </w:rPr>
            </w:pPr>
            <w:r w:rsidRPr="0071782F">
              <w:rPr>
                <w:sz w:val="18"/>
                <w:lang w:val="fr-CH"/>
              </w:rPr>
              <w:t xml:space="preserve">Élèves ayant des besoins spéciaux </w:t>
            </w:r>
          </w:p>
        </w:tc>
        <w:tc>
          <w:tcPr>
            <w:tcW w:w="1169" w:type="dxa"/>
            <w:tcBorders>
              <w:bottom w:val="nil"/>
            </w:tcBorders>
            <w:shd w:val="clear" w:color="auto" w:fill="auto"/>
            <w:vAlign w:val="bottom"/>
          </w:tcPr>
          <w:p w:rsidR="00186B76" w:rsidRPr="0071782F" w:rsidRDefault="00883ED9" w:rsidP="003B1403">
            <w:pPr>
              <w:suppressAutoHyphens w:val="0"/>
              <w:spacing w:before="40" w:after="40" w:line="220" w:lineRule="exact"/>
              <w:rPr>
                <w:sz w:val="18"/>
                <w:lang w:val="fr-CH"/>
              </w:rPr>
            </w:pPr>
            <w:r w:rsidRPr="0071782F">
              <w:rPr>
                <w:sz w:val="18"/>
                <w:lang w:val="fr-CH"/>
              </w:rPr>
              <w:t>Personne (millier)</w:t>
            </w:r>
          </w:p>
        </w:tc>
        <w:tc>
          <w:tcPr>
            <w:tcW w:w="1050" w:type="dxa"/>
            <w:tcBorders>
              <w:bottom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70 855</w:t>
            </w:r>
          </w:p>
        </w:tc>
        <w:tc>
          <w:tcPr>
            <w:tcW w:w="1940" w:type="dxa"/>
            <w:tcBorders>
              <w:bottom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1</w:t>
            </w:r>
            <w:r w:rsidR="003B1403" w:rsidRPr="0071782F">
              <w:rPr>
                <w:sz w:val="18"/>
                <w:lang w:val="fr-CH"/>
              </w:rPr>
              <w:t>,</w:t>
            </w:r>
            <w:r w:rsidRPr="0071782F">
              <w:rPr>
                <w:sz w:val="18"/>
                <w:lang w:val="fr-CH"/>
              </w:rPr>
              <w:t>3</w:t>
            </w:r>
          </w:p>
        </w:tc>
      </w:tr>
      <w:tr w:rsidR="00186B76" w:rsidRPr="0071782F">
        <w:tc>
          <w:tcPr>
            <w:tcW w:w="4346" w:type="dxa"/>
            <w:tcBorders>
              <w:top w:val="nil"/>
              <w:bottom w:val="nil"/>
            </w:tcBorders>
            <w:shd w:val="clear" w:color="auto" w:fill="auto"/>
          </w:tcPr>
          <w:p w:rsidR="00186B76" w:rsidRPr="0071782F" w:rsidRDefault="00883ED9" w:rsidP="003B1403">
            <w:pPr>
              <w:suppressAutoHyphens w:val="0"/>
              <w:spacing w:before="40" w:after="40" w:line="220" w:lineRule="exact"/>
              <w:rPr>
                <w:sz w:val="18"/>
                <w:lang w:val="fr-CH"/>
              </w:rPr>
            </w:pPr>
            <w:r w:rsidRPr="0071782F">
              <w:rPr>
                <w:sz w:val="18"/>
                <w:lang w:val="fr-CH"/>
              </w:rPr>
              <w:t>Accès nominal à l’éducation</w:t>
            </w:r>
            <w:r w:rsidR="00186B76" w:rsidRPr="0071782F">
              <w:rPr>
                <w:sz w:val="18"/>
                <w:lang w:val="fr-CH"/>
              </w:rPr>
              <w:t xml:space="preserve"> </w:t>
            </w:r>
            <w:r w:rsidRPr="0071782F">
              <w:rPr>
                <w:sz w:val="18"/>
                <w:lang w:val="fr-CH"/>
              </w:rPr>
              <w:t>(taux brut de scolarisation) dans les écoles primaires</w:t>
            </w:r>
            <w:r w:rsidR="00186B76" w:rsidRPr="0071782F">
              <w:rPr>
                <w:i/>
                <w:sz w:val="18"/>
                <w:vertAlign w:val="superscript"/>
                <w:lang w:val="fr-CH"/>
              </w:rPr>
              <w:t>(3)</w:t>
            </w:r>
          </w:p>
        </w:tc>
        <w:tc>
          <w:tcPr>
            <w:tcW w:w="1169" w:type="dxa"/>
            <w:tcBorders>
              <w:top w:val="nil"/>
              <w:bottom w:val="nil"/>
            </w:tcBorders>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w:t>
            </w:r>
          </w:p>
        </w:tc>
        <w:tc>
          <w:tcPr>
            <w:tcW w:w="1050" w:type="dxa"/>
            <w:tcBorders>
              <w:top w:val="nil"/>
              <w:bottom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103</w:t>
            </w:r>
            <w:r w:rsidR="003B1403" w:rsidRPr="0071782F">
              <w:rPr>
                <w:sz w:val="18"/>
                <w:lang w:val="fr-CH"/>
              </w:rPr>
              <w:t>,</w:t>
            </w:r>
            <w:r w:rsidRPr="0071782F">
              <w:rPr>
                <w:sz w:val="18"/>
                <w:lang w:val="fr-CH"/>
              </w:rPr>
              <w:t>6</w:t>
            </w:r>
          </w:p>
        </w:tc>
        <w:tc>
          <w:tcPr>
            <w:tcW w:w="1940" w:type="dxa"/>
            <w:tcBorders>
              <w:top w:val="nil"/>
              <w:bottom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-0</w:t>
            </w:r>
            <w:r w:rsidR="003B1403" w:rsidRPr="0071782F">
              <w:rPr>
                <w:sz w:val="18"/>
                <w:lang w:val="fr-CH"/>
              </w:rPr>
              <w:t>,</w:t>
            </w:r>
            <w:r w:rsidRPr="0071782F">
              <w:rPr>
                <w:sz w:val="18"/>
                <w:lang w:val="fr-CH"/>
              </w:rPr>
              <w:t>6</w:t>
            </w:r>
            <w:r w:rsidRPr="0071782F">
              <w:rPr>
                <w:i/>
                <w:sz w:val="18"/>
                <w:vertAlign w:val="superscript"/>
                <w:lang w:val="fr-CH"/>
              </w:rPr>
              <w:t>(2)</w:t>
            </w:r>
          </w:p>
        </w:tc>
      </w:tr>
      <w:tr w:rsidR="00186B76" w:rsidRPr="0071782F">
        <w:tc>
          <w:tcPr>
            <w:tcW w:w="4346" w:type="dxa"/>
            <w:tcBorders>
              <w:top w:val="nil"/>
            </w:tcBorders>
            <w:shd w:val="clear" w:color="auto" w:fill="auto"/>
          </w:tcPr>
          <w:p w:rsidR="00186B76" w:rsidRPr="0071782F" w:rsidRDefault="00883ED9" w:rsidP="00782B71">
            <w:pPr>
              <w:keepNext/>
              <w:suppressAutoHyphens w:val="0"/>
              <w:spacing w:before="40" w:after="40" w:line="220" w:lineRule="exact"/>
              <w:rPr>
                <w:sz w:val="18"/>
                <w:lang w:val="fr-CH"/>
              </w:rPr>
            </w:pPr>
            <w:r w:rsidRPr="0071782F">
              <w:rPr>
                <w:sz w:val="18"/>
                <w:lang w:val="fr-CH"/>
              </w:rPr>
              <w:t>Accès nominal à l’éducation (taux brut de scolarisation) dans les écoles secondaires du premier cycle</w:t>
            </w:r>
            <w:r w:rsidR="00186B76" w:rsidRPr="0071782F">
              <w:rPr>
                <w:i/>
                <w:sz w:val="18"/>
                <w:vertAlign w:val="superscript"/>
                <w:lang w:val="fr-CH"/>
              </w:rPr>
              <w:t>(3)</w:t>
            </w:r>
          </w:p>
        </w:tc>
        <w:tc>
          <w:tcPr>
            <w:tcW w:w="1169" w:type="dxa"/>
            <w:tcBorders>
              <w:top w:val="nil"/>
            </w:tcBorders>
            <w:shd w:val="clear" w:color="auto" w:fill="auto"/>
            <w:vAlign w:val="bottom"/>
          </w:tcPr>
          <w:p w:rsidR="00186B76" w:rsidRPr="0071782F" w:rsidRDefault="00186B76" w:rsidP="00782B71">
            <w:pPr>
              <w:keepNext/>
              <w:suppressAutoHyphens w:val="0"/>
              <w:spacing w:before="40" w:after="40" w:line="220" w:lineRule="exact"/>
              <w:rPr>
                <w:sz w:val="18"/>
                <w:lang w:val="fr-CH"/>
              </w:rPr>
            </w:pPr>
            <w:r w:rsidRPr="0071782F">
              <w:rPr>
                <w:sz w:val="18"/>
                <w:lang w:val="fr-CH"/>
              </w:rPr>
              <w:t>%</w:t>
            </w:r>
          </w:p>
        </w:tc>
        <w:tc>
          <w:tcPr>
            <w:tcW w:w="1050" w:type="dxa"/>
            <w:tcBorders>
              <w:top w:val="nil"/>
            </w:tcBorders>
            <w:shd w:val="clear" w:color="auto" w:fill="auto"/>
          </w:tcPr>
          <w:p w:rsidR="00186B76" w:rsidRPr="0071782F" w:rsidRDefault="00186B76" w:rsidP="00782B71">
            <w:pPr>
              <w:keepNext/>
              <w:suppressAutoHyphens w:val="0"/>
              <w:spacing w:before="40" w:after="40" w:line="220" w:lineRule="exact"/>
              <w:jc w:val="right"/>
              <w:rPr>
                <w:sz w:val="18"/>
                <w:lang w:val="fr-CH"/>
              </w:rPr>
            </w:pPr>
            <w:r w:rsidRPr="0071782F">
              <w:rPr>
                <w:sz w:val="18"/>
                <w:lang w:val="fr-CH"/>
              </w:rPr>
              <w:t>99</w:t>
            </w:r>
          </w:p>
        </w:tc>
        <w:tc>
          <w:tcPr>
            <w:tcW w:w="1940" w:type="dxa"/>
            <w:tcBorders>
              <w:top w:val="nil"/>
            </w:tcBorders>
            <w:shd w:val="clear" w:color="auto" w:fill="auto"/>
          </w:tcPr>
          <w:p w:rsidR="00186B76" w:rsidRPr="0071782F" w:rsidRDefault="00186B76" w:rsidP="00782B71">
            <w:pPr>
              <w:keepNext/>
              <w:suppressAutoHyphens w:val="0"/>
              <w:spacing w:before="40" w:after="40" w:line="220" w:lineRule="exact"/>
              <w:jc w:val="right"/>
              <w:rPr>
                <w:sz w:val="18"/>
                <w:lang w:val="fr-CH"/>
              </w:rPr>
            </w:pPr>
            <w:r w:rsidRPr="0071782F">
              <w:rPr>
                <w:sz w:val="18"/>
                <w:lang w:val="fr-CH"/>
              </w:rPr>
              <w:t>-1</w:t>
            </w:r>
            <w:r w:rsidR="003B1403" w:rsidRPr="0071782F">
              <w:rPr>
                <w:sz w:val="18"/>
                <w:lang w:val="fr-CH"/>
              </w:rPr>
              <w:t>,</w:t>
            </w:r>
            <w:r w:rsidRPr="0071782F">
              <w:rPr>
                <w:sz w:val="18"/>
                <w:lang w:val="fr-CH"/>
              </w:rPr>
              <w:t>1</w:t>
            </w:r>
            <w:r w:rsidRPr="0071782F">
              <w:rPr>
                <w:i/>
                <w:sz w:val="18"/>
                <w:vertAlign w:val="superscript"/>
                <w:lang w:val="fr-CH"/>
              </w:rPr>
              <w:t>(2)</w:t>
            </w:r>
          </w:p>
        </w:tc>
      </w:tr>
      <w:tr w:rsidR="00186B76" w:rsidRPr="0071782F">
        <w:tc>
          <w:tcPr>
            <w:tcW w:w="4346" w:type="dxa"/>
            <w:tcBorders>
              <w:bottom w:val="nil"/>
            </w:tcBorders>
            <w:shd w:val="clear" w:color="auto" w:fill="auto"/>
          </w:tcPr>
          <w:p w:rsidR="00186B76" w:rsidRPr="0071782F" w:rsidRDefault="00883ED9" w:rsidP="003B1403">
            <w:pPr>
              <w:suppressAutoHyphens w:val="0"/>
              <w:spacing w:before="40" w:after="40" w:line="220" w:lineRule="exact"/>
              <w:rPr>
                <w:sz w:val="18"/>
                <w:lang w:val="fr-CH"/>
              </w:rPr>
            </w:pPr>
            <w:r w:rsidRPr="0071782F">
              <w:rPr>
                <w:sz w:val="18"/>
                <w:lang w:val="fr-CH"/>
              </w:rPr>
              <w:t>Accès nominal à l’éducation (taux brut de scolarisation) dans les écoles secondaires du second cycle</w:t>
            </w:r>
            <w:r w:rsidRPr="0071782F">
              <w:rPr>
                <w:i/>
                <w:sz w:val="18"/>
                <w:vertAlign w:val="superscript"/>
                <w:lang w:val="fr-CH"/>
              </w:rPr>
              <w:t xml:space="preserve"> </w:t>
            </w:r>
            <w:r w:rsidR="00186B76" w:rsidRPr="0071782F">
              <w:rPr>
                <w:i/>
                <w:sz w:val="18"/>
                <w:vertAlign w:val="superscript"/>
                <w:lang w:val="fr-CH"/>
              </w:rPr>
              <w:t>(3)</w:t>
            </w:r>
          </w:p>
        </w:tc>
        <w:tc>
          <w:tcPr>
            <w:tcW w:w="1169" w:type="dxa"/>
            <w:tcBorders>
              <w:bottom w:val="nil"/>
            </w:tcBorders>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w:t>
            </w:r>
          </w:p>
        </w:tc>
        <w:tc>
          <w:tcPr>
            <w:tcW w:w="1050" w:type="dxa"/>
            <w:tcBorders>
              <w:bottom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82</w:t>
            </w:r>
            <w:r w:rsidR="003B1403" w:rsidRPr="0071782F">
              <w:rPr>
                <w:sz w:val="18"/>
                <w:lang w:val="fr-CH"/>
              </w:rPr>
              <w:t>,</w:t>
            </w:r>
            <w:r w:rsidRPr="0071782F">
              <w:rPr>
                <w:sz w:val="18"/>
                <w:lang w:val="fr-CH"/>
              </w:rPr>
              <w:t>4</w:t>
            </w:r>
          </w:p>
        </w:tc>
        <w:tc>
          <w:tcPr>
            <w:tcW w:w="1940" w:type="dxa"/>
            <w:tcBorders>
              <w:bottom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4</w:t>
            </w:r>
            <w:r w:rsidR="003B1403" w:rsidRPr="0071782F">
              <w:rPr>
                <w:sz w:val="18"/>
                <w:lang w:val="fr-CH"/>
              </w:rPr>
              <w:t>,</w:t>
            </w:r>
            <w:r w:rsidRPr="0071782F">
              <w:rPr>
                <w:sz w:val="18"/>
                <w:lang w:val="fr-CH"/>
              </w:rPr>
              <w:t>3</w:t>
            </w:r>
            <w:r w:rsidRPr="0071782F">
              <w:rPr>
                <w:i/>
                <w:sz w:val="18"/>
                <w:vertAlign w:val="superscript"/>
                <w:lang w:val="fr-CH"/>
              </w:rPr>
              <w:t>(2)</w:t>
            </w:r>
          </w:p>
        </w:tc>
      </w:tr>
      <w:tr w:rsidR="00186B76" w:rsidRPr="0071782F">
        <w:tc>
          <w:tcPr>
            <w:tcW w:w="4346" w:type="dxa"/>
            <w:tcBorders>
              <w:top w:val="nil"/>
              <w:bottom w:val="nil"/>
            </w:tcBorders>
            <w:shd w:val="clear" w:color="auto" w:fill="auto"/>
          </w:tcPr>
          <w:p w:rsidR="00186B76" w:rsidRPr="0071782F" w:rsidRDefault="00883ED9" w:rsidP="003B1403">
            <w:pPr>
              <w:suppressAutoHyphens w:val="0"/>
              <w:spacing w:before="40" w:after="40" w:line="220" w:lineRule="exact"/>
              <w:rPr>
                <w:sz w:val="18"/>
                <w:lang w:val="fr-CH"/>
              </w:rPr>
            </w:pPr>
            <w:r w:rsidRPr="0071782F">
              <w:rPr>
                <w:sz w:val="18"/>
                <w:lang w:val="fr-CH"/>
              </w:rPr>
              <w:t xml:space="preserve">Élèves des écoles primaires </w:t>
            </w:r>
          </w:p>
        </w:tc>
        <w:tc>
          <w:tcPr>
            <w:tcW w:w="1169" w:type="dxa"/>
            <w:tcBorders>
              <w:top w:val="nil"/>
              <w:bottom w:val="nil"/>
            </w:tcBorders>
            <w:shd w:val="clear" w:color="auto" w:fill="auto"/>
            <w:vAlign w:val="bottom"/>
          </w:tcPr>
          <w:p w:rsidR="00186B76" w:rsidRPr="0071782F" w:rsidRDefault="00883ED9" w:rsidP="003B1403">
            <w:pPr>
              <w:suppressAutoHyphens w:val="0"/>
              <w:spacing w:before="40" w:after="40" w:line="220" w:lineRule="exact"/>
              <w:rPr>
                <w:sz w:val="18"/>
                <w:lang w:val="fr-CH"/>
              </w:rPr>
            </w:pPr>
            <w:r w:rsidRPr="0071782F">
              <w:rPr>
                <w:sz w:val="18"/>
                <w:lang w:val="fr-CH"/>
              </w:rPr>
              <w:t>Personne (millier)</w:t>
            </w:r>
          </w:p>
        </w:tc>
        <w:tc>
          <w:tcPr>
            <w:tcW w:w="1050" w:type="dxa"/>
            <w:tcBorders>
              <w:top w:val="nil"/>
              <w:bottom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5 655</w:t>
            </w:r>
          </w:p>
        </w:tc>
        <w:tc>
          <w:tcPr>
            <w:tcW w:w="1940" w:type="dxa"/>
            <w:tcBorders>
              <w:top w:val="nil"/>
              <w:bottom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-1</w:t>
            </w:r>
            <w:r w:rsidR="003B1403" w:rsidRPr="0071782F">
              <w:rPr>
                <w:sz w:val="18"/>
                <w:lang w:val="fr-CH"/>
              </w:rPr>
              <w:t>,</w:t>
            </w:r>
            <w:r w:rsidRPr="0071782F">
              <w:rPr>
                <w:sz w:val="18"/>
                <w:lang w:val="fr-CH"/>
              </w:rPr>
              <w:t>2</w:t>
            </w:r>
          </w:p>
        </w:tc>
      </w:tr>
      <w:tr w:rsidR="00186B76" w:rsidRPr="0071782F">
        <w:tc>
          <w:tcPr>
            <w:tcW w:w="4346" w:type="dxa"/>
            <w:tcBorders>
              <w:top w:val="nil"/>
            </w:tcBorders>
            <w:shd w:val="clear" w:color="auto" w:fill="auto"/>
          </w:tcPr>
          <w:p w:rsidR="00186B76" w:rsidRPr="0071782F" w:rsidRDefault="00883ED9" w:rsidP="003B1403">
            <w:pPr>
              <w:suppressAutoHyphens w:val="0"/>
              <w:spacing w:before="40" w:after="40" w:line="220" w:lineRule="exact"/>
              <w:rPr>
                <w:sz w:val="18"/>
                <w:lang w:val="fr-CH"/>
              </w:rPr>
            </w:pPr>
            <w:r w:rsidRPr="0071782F">
              <w:rPr>
                <w:sz w:val="18"/>
                <w:lang w:val="fr-CH"/>
              </w:rPr>
              <w:t>Élèves des écoles secondaires du premier cycle</w:t>
            </w:r>
          </w:p>
        </w:tc>
        <w:tc>
          <w:tcPr>
            <w:tcW w:w="1169" w:type="dxa"/>
            <w:tcBorders>
              <w:top w:val="nil"/>
            </w:tcBorders>
            <w:shd w:val="clear" w:color="auto" w:fill="auto"/>
            <w:vAlign w:val="bottom"/>
          </w:tcPr>
          <w:p w:rsidR="00186B76" w:rsidRPr="0071782F" w:rsidRDefault="00883ED9" w:rsidP="003B1403">
            <w:pPr>
              <w:suppressAutoHyphens w:val="0"/>
              <w:spacing w:before="40" w:after="40" w:line="220" w:lineRule="exact"/>
              <w:rPr>
                <w:sz w:val="18"/>
                <w:lang w:val="fr-CH"/>
              </w:rPr>
            </w:pPr>
            <w:r w:rsidRPr="0071782F">
              <w:rPr>
                <w:sz w:val="18"/>
                <w:lang w:val="fr-CH"/>
              </w:rPr>
              <w:t>Personne (millier)</w:t>
            </w:r>
          </w:p>
        </w:tc>
        <w:tc>
          <w:tcPr>
            <w:tcW w:w="1050" w:type="dxa"/>
            <w:tcBorders>
              <w:top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3 502</w:t>
            </w:r>
          </w:p>
        </w:tc>
        <w:tc>
          <w:tcPr>
            <w:tcW w:w="1940" w:type="dxa"/>
            <w:tcBorders>
              <w:top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-6</w:t>
            </w:r>
            <w:r w:rsidR="003B1403" w:rsidRPr="0071782F">
              <w:rPr>
                <w:sz w:val="18"/>
                <w:lang w:val="fr-CH"/>
              </w:rPr>
              <w:t>,</w:t>
            </w:r>
            <w:r w:rsidRPr="0071782F">
              <w:rPr>
                <w:sz w:val="18"/>
                <w:lang w:val="fr-CH"/>
              </w:rPr>
              <w:t>4</w:t>
            </w:r>
          </w:p>
        </w:tc>
      </w:tr>
      <w:tr w:rsidR="00186B76" w:rsidRPr="0071782F">
        <w:tc>
          <w:tcPr>
            <w:tcW w:w="4346" w:type="dxa"/>
            <w:shd w:val="clear" w:color="auto" w:fill="auto"/>
          </w:tcPr>
          <w:p w:rsidR="00186B76" w:rsidRPr="0071782F" w:rsidRDefault="00883ED9" w:rsidP="003B1403">
            <w:pPr>
              <w:suppressAutoHyphens w:val="0"/>
              <w:spacing w:before="40" w:after="40" w:line="220" w:lineRule="exact"/>
              <w:rPr>
                <w:sz w:val="18"/>
                <w:lang w:val="fr-CH"/>
              </w:rPr>
            </w:pPr>
            <w:r w:rsidRPr="0071782F">
              <w:rPr>
                <w:sz w:val="18"/>
                <w:lang w:val="fr-CH"/>
              </w:rPr>
              <w:t xml:space="preserve">Élèves des écoles secondaires du second cycle et des établissements d’enseignement </w:t>
            </w:r>
            <w:r w:rsidR="00186B76" w:rsidRPr="0071782F">
              <w:rPr>
                <w:sz w:val="18"/>
                <w:lang w:val="fr-CH"/>
              </w:rPr>
              <w:t>pr</w:t>
            </w:r>
            <w:r w:rsidRPr="0071782F">
              <w:rPr>
                <w:sz w:val="18"/>
                <w:lang w:val="fr-CH"/>
              </w:rPr>
              <w:t>é</w:t>
            </w:r>
            <w:r w:rsidR="00186B76" w:rsidRPr="0071782F">
              <w:rPr>
                <w:sz w:val="18"/>
                <w:lang w:val="fr-CH"/>
              </w:rPr>
              <w:t>universit</w:t>
            </w:r>
            <w:r w:rsidRPr="0071782F">
              <w:rPr>
                <w:sz w:val="18"/>
                <w:lang w:val="fr-CH"/>
              </w:rPr>
              <w:t xml:space="preserve">aire </w:t>
            </w:r>
          </w:p>
        </w:tc>
        <w:tc>
          <w:tcPr>
            <w:tcW w:w="1169" w:type="dxa"/>
            <w:shd w:val="clear" w:color="auto" w:fill="auto"/>
            <w:vAlign w:val="bottom"/>
          </w:tcPr>
          <w:p w:rsidR="00186B76" w:rsidRPr="0071782F" w:rsidRDefault="00883ED9" w:rsidP="003B1403">
            <w:pPr>
              <w:suppressAutoHyphens w:val="0"/>
              <w:spacing w:before="40" w:after="40" w:line="220" w:lineRule="exact"/>
              <w:rPr>
                <w:sz w:val="18"/>
                <w:lang w:val="fr-CH"/>
              </w:rPr>
            </w:pPr>
            <w:r w:rsidRPr="0071782F">
              <w:rPr>
                <w:sz w:val="18"/>
                <w:lang w:val="fr-CH"/>
              </w:rPr>
              <w:t>Personne (millier)</w:t>
            </w:r>
          </w:p>
        </w:tc>
        <w:tc>
          <w:tcPr>
            <w:tcW w:w="105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4 345</w:t>
            </w:r>
          </w:p>
        </w:tc>
        <w:tc>
          <w:tcPr>
            <w:tcW w:w="194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-2</w:t>
            </w:r>
            <w:r w:rsidR="003B1403" w:rsidRPr="0071782F">
              <w:rPr>
                <w:sz w:val="18"/>
                <w:lang w:val="fr-CH"/>
              </w:rPr>
              <w:t>,</w:t>
            </w:r>
            <w:r w:rsidRPr="0071782F">
              <w:rPr>
                <w:sz w:val="18"/>
                <w:lang w:val="fr-CH"/>
              </w:rPr>
              <w:t>1</w:t>
            </w:r>
          </w:p>
        </w:tc>
      </w:tr>
      <w:tr w:rsidR="00186B76" w:rsidRPr="0071782F">
        <w:tc>
          <w:tcPr>
            <w:tcW w:w="4346" w:type="dxa"/>
            <w:shd w:val="clear" w:color="auto" w:fill="auto"/>
          </w:tcPr>
          <w:p w:rsidR="00186B76" w:rsidRPr="0071782F" w:rsidRDefault="00064CBA" w:rsidP="003B1403">
            <w:pPr>
              <w:suppressAutoHyphens w:val="0"/>
              <w:spacing w:before="40" w:after="40" w:line="220" w:lineRule="exact"/>
              <w:rPr>
                <w:sz w:val="18"/>
                <w:lang w:val="fr-CH"/>
              </w:rPr>
            </w:pPr>
            <w:r w:rsidRPr="0071782F">
              <w:rPr>
                <w:sz w:val="18"/>
                <w:lang w:val="fr-CH"/>
              </w:rPr>
              <w:t>Élèves par classe dans les écoles primaires des zones urbaines</w:t>
            </w:r>
            <w:r w:rsidR="00D36718">
              <w:rPr>
                <w:sz w:val="18"/>
                <w:lang w:val="fr-CH"/>
              </w:rPr>
              <w:t xml:space="preserve"> </w:t>
            </w:r>
          </w:p>
        </w:tc>
        <w:tc>
          <w:tcPr>
            <w:tcW w:w="1169" w:type="dxa"/>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Person</w:t>
            </w:r>
            <w:r w:rsidR="00883ED9" w:rsidRPr="0071782F">
              <w:rPr>
                <w:sz w:val="18"/>
                <w:lang w:val="fr-CH"/>
              </w:rPr>
              <w:t>ne</w:t>
            </w:r>
          </w:p>
        </w:tc>
        <w:tc>
          <w:tcPr>
            <w:tcW w:w="105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26</w:t>
            </w:r>
          </w:p>
        </w:tc>
        <w:tc>
          <w:tcPr>
            <w:tcW w:w="194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-1</w:t>
            </w:r>
            <w:r w:rsidR="003B1403" w:rsidRPr="0071782F">
              <w:rPr>
                <w:sz w:val="18"/>
                <w:lang w:val="fr-CH"/>
              </w:rPr>
              <w:t>,</w:t>
            </w:r>
            <w:r w:rsidRPr="0071782F">
              <w:rPr>
                <w:sz w:val="18"/>
                <w:lang w:val="fr-CH"/>
              </w:rPr>
              <w:t>3</w:t>
            </w:r>
          </w:p>
        </w:tc>
      </w:tr>
      <w:tr w:rsidR="00186B76" w:rsidRPr="0071782F">
        <w:tc>
          <w:tcPr>
            <w:tcW w:w="4346" w:type="dxa"/>
            <w:shd w:val="clear" w:color="auto" w:fill="auto"/>
          </w:tcPr>
          <w:p w:rsidR="00186B76" w:rsidRPr="0071782F" w:rsidRDefault="00064CBA" w:rsidP="003B1403">
            <w:pPr>
              <w:suppressAutoHyphens w:val="0"/>
              <w:spacing w:before="40" w:after="40" w:line="220" w:lineRule="exact"/>
              <w:rPr>
                <w:sz w:val="18"/>
                <w:lang w:val="fr-CH"/>
              </w:rPr>
            </w:pPr>
            <w:r w:rsidRPr="0071782F">
              <w:rPr>
                <w:sz w:val="18"/>
                <w:lang w:val="fr-CH"/>
              </w:rPr>
              <w:t>Élèves par classe dans les écoles primaires des zones rurales</w:t>
            </w:r>
          </w:p>
        </w:tc>
        <w:tc>
          <w:tcPr>
            <w:tcW w:w="1169" w:type="dxa"/>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Person</w:t>
            </w:r>
            <w:r w:rsidR="00883ED9" w:rsidRPr="0071782F">
              <w:rPr>
                <w:sz w:val="18"/>
                <w:lang w:val="fr-CH"/>
              </w:rPr>
              <w:t>ne</w:t>
            </w:r>
          </w:p>
        </w:tc>
        <w:tc>
          <w:tcPr>
            <w:tcW w:w="105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17</w:t>
            </w:r>
            <w:r w:rsidR="003B1403" w:rsidRPr="0071782F">
              <w:rPr>
                <w:sz w:val="18"/>
                <w:lang w:val="fr-CH"/>
              </w:rPr>
              <w:t>,</w:t>
            </w:r>
            <w:r w:rsidRPr="0071782F">
              <w:rPr>
                <w:sz w:val="18"/>
                <w:lang w:val="fr-CH"/>
              </w:rPr>
              <w:t>3</w:t>
            </w:r>
          </w:p>
        </w:tc>
        <w:tc>
          <w:tcPr>
            <w:tcW w:w="194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4</w:t>
            </w:r>
            <w:r w:rsidR="003B1403" w:rsidRPr="0071782F">
              <w:rPr>
                <w:sz w:val="18"/>
                <w:lang w:val="fr-CH"/>
              </w:rPr>
              <w:t>,</w:t>
            </w:r>
            <w:r w:rsidRPr="0071782F">
              <w:rPr>
                <w:sz w:val="18"/>
                <w:lang w:val="fr-CH"/>
              </w:rPr>
              <w:t>9</w:t>
            </w:r>
          </w:p>
        </w:tc>
      </w:tr>
      <w:tr w:rsidR="00186B76" w:rsidRPr="0071782F">
        <w:tc>
          <w:tcPr>
            <w:tcW w:w="4346" w:type="dxa"/>
            <w:shd w:val="clear" w:color="auto" w:fill="auto"/>
          </w:tcPr>
          <w:p w:rsidR="00186B76" w:rsidRPr="0071782F" w:rsidRDefault="00064CBA" w:rsidP="003B1403">
            <w:pPr>
              <w:suppressAutoHyphens w:val="0"/>
              <w:spacing w:before="40" w:after="40" w:line="220" w:lineRule="exact"/>
              <w:rPr>
                <w:sz w:val="18"/>
                <w:lang w:val="fr-CH"/>
              </w:rPr>
            </w:pPr>
            <w:r w:rsidRPr="0071782F">
              <w:rPr>
                <w:sz w:val="18"/>
                <w:lang w:val="fr-CH"/>
              </w:rPr>
              <w:t xml:space="preserve">Élèves par classe dans les écoles secondaires du premier cycle urbaines </w:t>
            </w:r>
          </w:p>
        </w:tc>
        <w:tc>
          <w:tcPr>
            <w:tcW w:w="1169" w:type="dxa"/>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Person</w:t>
            </w:r>
            <w:r w:rsidR="00883ED9" w:rsidRPr="0071782F">
              <w:rPr>
                <w:sz w:val="18"/>
                <w:lang w:val="fr-CH"/>
              </w:rPr>
              <w:t>ne</w:t>
            </w:r>
          </w:p>
        </w:tc>
        <w:tc>
          <w:tcPr>
            <w:tcW w:w="105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26</w:t>
            </w:r>
            <w:r w:rsidR="003B1403" w:rsidRPr="0071782F">
              <w:rPr>
                <w:sz w:val="18"/>
                <w:lang w:val="fr-CH"/>
              </w:rPr>
              <w:t>,</w:t>
            </w:r>
            <w:r w:rsidRPr="0071782F">
              <w:rPr>
                <w:sz w:val="18"/>
                <w:lang w:val="fr-CH"/>
              </w:rPr>
              <w:t>5</w:t>
            </w:r>
          </w:p>
        </w:tc>
        <w:tc>
          <w:tcPr>
            <w:tcW w:w="194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-1</w:t>
            </w:r>
            <w:r w:rsidR="003B1403" w:rsidRPr="0071782F">
              <w:rPr>
                <w:sz w:val="18"/>
                <w:lang w:val="fr-CH"/>
              </w:rPr>
              <w:t>,</w:t>
            </w:r>
            <w:r w:rsidRPr="0071782F">
              <w:rPr>
                <w:sz w:val="18"/>
                <w:lang w:val="fr-CH"/>
              </w:rPr>
              <w:t>8</w:t>
            </w:r>
          </w:p>
        </w:tc>
      </w:tr>
      <w:tr w:rsidR="00186B76" w:rsidRPr="0071782F">
        <w:tc>
          <w:tcPr>
            <w:tcW w:w="4346" w:type="dxa"/>
            <w:shd w:val="clear" w:color="auto" w:fill="auto"/>
          </w:tcPr>
          <w:p w:rsidR="00186B76" w:rsidRPr="0071782F" w:rsidRDefault="00064CBA" w:rsidP="003B1403">
            <w:pPr>
              <w:suppressAutoHyphens w:val="0"/>
              <w:spacing w:before="40" w:after="40" w:line="220" w:lineRule="exact"/>
              <w:rPr>
                <w:sz w:val="18"/>
                <w:lang w:val="fr-CH"/>
              </w:rPr>
            </w:pPr>
            <w:r w:rsidRPr="0071782F">
              <w:rPr>
                <w:sz w:val="18"/>
                <w:lang w:val="fr-CH"/>
              </w:rPr>
              <w:t xml:space="preserve">Élèves par classe dans les écoles secondaires du premier cycle </w:t>
            </w:r>
            <w:r w:rsidR="00186B76" w:rsidRPr="0071782F">
              <w:rPr>
                <w:sz w:val="18"/>
                <w:lang w:val="fr-CH"/>
              </w:rPr>
              <w:t>rural</w:t>
            </w:r>
            <w:r w:rsidRPr="0071782F">
              <w:rPr>
                <w:sz w:val="18"/>
                <w:lang w:val="fr-CH"/>
              </w:rPr>
              <w:t>es</w:t>
            </w:r>
          </w:p>
        </w:tc>
        <w:tc>
          <w:tcPr>
            <w:tcW w:w="1169" w:type="dxa"/>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Person</w:t>
            </w:r>
            <w:r w:rsidR="00883ED9" w:rsidRPr="0071782F">
              <w:rPr>
                <w:sz w:val="18"/>
                <w:lang w:val="fr-CH"/>
              </w:rPr>
              <w:t>ne</w:t>
            </w:r>
          </w:p>
        </w:tc>
        <w:tc>
          <w:tcPr>
            <w:tcW w:w="105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18</w:t>
            </w:r>
            <w:r w:rsidR="003B1403" w:rsidRPr="0071782F">
              <w:rPr>
                <w:sz w:val="18"/>
                <w:lang w:val="fr-CH"/>
              </w:rPr>
              <w:t>,</w:t>
            </w:r>
            <w:r w:rsidRPr="0071782F">
              <w:rPr>
                <w:sz w:val="18"/>
                <w:lang w:val="fr-CH"/>
              </w:rPr>
              <w:t>9</w:t>
            </w:r>
          </w:p>
        </w:tc>
        <w:tc>
          <w:tcPr>
            <w:tcW w:w="194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-0</w:t>
            </w:r>
            <w:r w:rsidR="003B1403" w:rsidRPr="0071782F">
              <w:rPr>
                <w:sz w:val="18"/>
                <w:lang w:val="fr-CH"/>
              </w:rPr>
              <w:t>,</w:t>
            </w:r>
            <w:r w:rsidRPr="0071782F">
              <w:rPr>
                <w:sz w:val="18"/>
                <w:lang w:val="fr-CH"/>
              </w:rPr>
              <w:t>7</w:t>
            </w:r>
          </w:p>
        </w:tc>
      </w:tr>
      <w:tr w:rsidR="00186B76" w:rsidRPr="0071782F">
        <w:tc>
          <w:tcPr>
            <w:tcW w:w="4346" w:type="dxa"/>
            <w:shd w:val="clear" w:color="auto" w:fill="auto"/>
          </w:tcPr>
          <w:p w:rsidR="00186B76" w:rsidRPr="0071782F" w:rsidRDefault="00064CBA" w:rsidP="003B1403">
            <w:pPr>
              <w:suppressAutoHyphens w:val="0"/>
              <w:spacing w:before="40" w:after="40" w:line="220" w:lineRule="exact"/>
              <w:rPr>
                <w:sz w:val="18"/>
                <w:lang w:val="fr-CH"/>
              </w:rPr>
            </w:pPr>
            <w:r w:rsidRPr="0071782F">
              <w:rPr>
                <w:sz w:val="18"/>
                <w:lang w:val="fr-CH"/>
              </w:rPr>
              <w:t>Élèves par classe dans les écoles secondaires du second cycle et établissements d’enseignement préuniversitaire des zones urbain</w:t>
            </w:r>
            <w:r w:rsidR="00AC0AAF" w:rsidRPr="0071782F">
              <w:rPr>
                <w:sz w:val="18"/>
                <w:lang w:val="fr-CH"/>
              </w:rPr>
              <w:t>e</w:t>
            </w:r>
            <w:r w:rsidRPr="0071782F">
              <w:rPr>
                <w:sz w:val="18"/>
                <w:lang w:val="fr-CH"/>
              </w:rPr>
              <w:t xml:space="preserve">s </w:t>
            </w:r>
          </w:p>
        </w:tc>
        <w:tc>
          <w:tcPr>
            <w:tcW w:w="1169" w:type="dxa"/>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Person</w:t>
            </w:r>
            <w:r w:rsidR="00883ED9" w:rsidRPr="0071782F">
              <w:rPr>
                <w:sz w:val="18"/>
                <w:lang w:val="fr-CH"/>
              </w:rPr>
              <w:t>ne</w:t>
            </w:r>
          </w:p>
        </w:tc>
        <w:tc>
          <w:tcPr>
            <w:tcW w:w="105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22</w:t>
            </w:r>
            <w:r w:rsidR="003B1403" w:rsidRPr="0071782F">
              <w:rPr>
                <w:sz w:val="18"/>
                <w:lang w:val="fr-CH"/>
              </w:rPr>
              <w:t>,</w:t>
            </w:r>
            <w:r w:rsidRPr="0071782F">
              <w:rPr>
                <w:sz w:val="18"/>
                <w:lang w:val="fr-CH"/>
              </w:rPr>
              <w:t>5</w:t>
            </w:r>
          </w:p>
        </w:tc>
        <w:tc>
          <w:tcPr>
            <w:tcW w:w="194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-9</w:t>
            </w:r>
            <w:r w:rsidR="003B1403" w:rsidRPr="0071782F">
              <w:rPr>
                <w:sz w:val="18"/>
                <w:lang w:val="fr-CH"/>
              </w:rPr>
              <w:t>,</w:t>
            </w:r>
            <w:r w:rsidRPr="0071782F">
              <w:rPr>
                <w:sz w:val="18"/>
                <w:lang w:val="fr-CH"/>
              </w:rPr>
              <w:t>2</w:t>
            </w:r>
          </w:p>
        </w:tc>
      </w:tr>
      <w:tr w:rsidR="00186B76" w:rsidRPr="0071782F">
        <w:tc>
          <w:tcPr>
            <w:tcW w:w="4346" w:type="dxa"/>
            <w:shd w:val="clear" w:color="auto" w:fill="auto"/>
          </w:tcPr>
          <w:p w:rsidR="00186B76" w:rsidRPr="0071782F" w:rsidRDefault="00064CBA" w:rsidP="003B1403">
            <w:pPr>
              <w:suppressAutoHyphens w:val="0"/>
              <w:spacing w:before="40" w:after="40" w:line="220" w:lineRule="exact"/>
              <w:rPr>
                <w:sz w:val="18"/>
                <w:lang w:val="fr-CH"/>
              </w:rPr>
            </w:pPr>
            <w:r w:rsidRPr="0071782F">
              <w:rPr>
                <w:sz w:val="18"/>
                <w:lang w:val="fr-CH"/>
              </w:rPr>
              <w:t xml:space="preserve">Élèves par classe dans les écoles secondaires du second cycle et établissements d’enseignement préuniversitaire des zones </w:t>
            </w:r>
            <w:r w:rsidR="00186B76" w:rsidRPr="0071782F">
              <w:rPr>
                <w:sz w:val="18"/>
                <w:lang w:val="fr-CH"/>
              </w:rPr>
              <w:t>rural</w:t>
            </w:r>
            <w:r w:rsidRPr="0071782F">
              <w:rPr>
                <w:sz w:val="18"/>
                <w:lang w:val="fr-CH"/>
              </w:rPr>
              <w:t>es</w:t>
            </w:r>
            <w:r w:rsidR="00186B76" w:rsidRPr="0071782F">
              <w:rPr>
                <w:sz w:val="18"/>
                <w:lang w:val="fr-CH"/>
              </w:rPr>
              <w:t xml:space="preserve"> </w:t>
            </w:r>
          </w:p>
        </w:tc>
        <w:tc>
          <w:tcPr>
            <w:tcW w:w="1169" w:type="dxa"/>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Person</w:t>
            </w:r>
            <w:r w:rsidR="00883ED9" w:rsidRPr="0071782F">
              <w:rPr>
                <w:sz w:val="18"/>
                <w:lang w:val="fr-CH"/>
              </w:rPr>
              <w:t>ne</w:t>
            </w:r>
          </w:p>
        </w:tc>
        <w:tc>
          <w:tcPr>
            <w:tcW w:w="105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21</w:t>
            </w:r>
            <w:r w:rsidR="003B1403" w:rsidRPr="0071782F">
              <w:rPr>
                <w:sz w:val="18"/>
                <w:lang w:val="fr-CH"/>
              </w:rPr>
              <w:t>,</w:t>
            </w:r>
            <w:r w:rsidRPr="0071782F">
              <w:rPr>
                <w:sz w:val="18"/>
                <w:lang w:val="fr-CH"/>
              </w:rPr>
              <w:t>2</w:t>
            </w:r>
          </w:p>
        </w:tc>
        <w:tc>
          <w:tcPr>
            <w:tcW w:w="194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0</w:t>
            </w:r>
            <w:r w:rsidR="003B1403" w:rsidRPr="0071782F">
              <w:rPr>
                <w:sz w:val="18"/>
                <w:lang w:val="fr-CH"/>
              </w:rPr>
              <w:t>,</w:t>
            </w:r>
            <w:r w:rsidRPr="0071782F">
              <w:rPr>
                <w:sz w:val="18"/>
                <w:lang w:val="fr-CH"/>
              </w:rPr>
              <w:t>8</w:t>
            </w:r>
          </w:p>
        </w:tc>
      </w:tr>
      <w:tr w:rsidR="00186B76" w:rsidRPr="0071782F">
        <w:tc>
          <w:tcPr>
            <w:tcW w:w="4346" w:type="dxa"/>
            <w:shd w:val="clear" w:color="auto" w:fill="auto"/>
          </w:tcPr>
          <w:p w:rsidR="00186B76" w:rsidRPr="0071782F" w:rsidRDefault="00064CBA" w:rsidP="003B1403">
            <w:pPr>
              <w:suppressAutoHyphens w:val="0"/>
              <w:spacing w:before="40" w:after="40" w:line="220" w:lineRule="exact"/>
              <w:rPr>
                <w:sz w:val="18"/>
                <w:lang w:val="fr-CH"/>
              </w:rPr>
            </w:pPr>
            <w:r w:rsidRPr="0071782F">
              <w:rPr>
                <w:sz w:val="18"/>
                <w:lang w:val="fr-CH"/>
              </w:rPr>
              <w:t xml:space="preserve">Enseignants titulaires au moins d’une licence </w:t>
            </w:r>
          </w:p>
        </w:tc>
        <w:tc>
          <w:tcPr>
            <w:tcW w:w="1169" w:type="dxa"/>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w:t>
            </w:r>
          </w:p>
        </w:tc>
        <w:tc>
          <w:tcPr>
            <w:tcW w:w="105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55</w:t>
            </w:r>
            <w:r w:rsidR="003B1403" w:rsidRPr="0071782F">
              <w:rPr>
                <w:sz w:val="18"/>
                <w:lang w:val="fr-CH"/>
              </w:rPr>
              <w:t>,</w:t>
            </w:r>
            <w:r w:rsidRPr="0071782F">
              <w:rPr>
                <w:sz w:val="18"/>
                <w:lang w:val="fr-CH"/>
              </w:rPr>
              <w:t>7</w:t>
            </w:r>
          </w:p>
        </w:tc>
        <w:tc>
          <w:tcPr>
            <w:tcW w:w="194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2</w:t>
            </w:r>
            <w:r w:rsidR="003B1403" w:rsidRPr="0071782F">
              <w:rPr>
                <w:sz w:val="18"/>
                <w:lang w:val="fr-CH"/>
              </w:rPr>
              <w:t>,</w:t>
            </w:r>
            <w:r w:rsidRPr="0071782F">
              <w:rPr>
                <w:sz w:val="18"/>
                <w:lang w:val="fr-CH"/>
              </w:rPr>
              <w:t>6</w:t>
            </w:r>
            <w:r w:rsidRPr="0071782F">
              <w:rPr>
                <w:i/>
                <w:sz w:val="18"/>
                <w:vertAlign w:val="superscript"/>
                <w:lang w:val="fr-CH"/>
              </w:rPr>
              <w:t>(2)</w:t>
            </w:r>
          </w:p>
        </w:tc>
      </w:tr>
      <w:tr w:rsidR="00186B76" w:rsidRPr="0071782F">
        <w:tc>
          <w:tcPr>
            <w:tcW w:w="4346" w:type="dxa"/>
            <w:tcBorders>
              <w:bottom w:val="nil"/>
            </w:tcBorders>
            <w:shd w:val="clear" w:color="auto" w:fill="auto"/>
          </w:tcPr>
          <w:p w:rsidR="00186B76" w:rsidRPr="0071782F" w:rsidRDefault="00064CBA" w:rsidP="003B1403">
            <w:pPr>
              <w:suppressAutoHyphens w:val="0"/>
              <w:spacing w:before="40" w:after="40" w:line="220" w:lineRule="exact"/>
              <w:rPr>
                <w:sz w:val="18"/>
                <w:lang w:val="fr-CH"/>
              </w:rPr>
            </w:pPr>
            <w:r w:rsidRPr="0071782F">
              <w:rPr>
                <w:sz w:val="18"/>
                <w:lang w:val="fr-CH"/>
              </w:rPr>
              <w:t xml:space="preserve">Enseignants titulaires d’un </w:t>
            </w:r>
            <w:r w:rsidR="00AC0AAF" w:rsidRPr="0071782F">
              <w:rPr>
                <w:sz w:val="18"/>
                <w:lang w:val="fr-CH"/>
              </w:rPr>
              <w:t xml:space="preserve">premier </w:t>
            </w:r>
            <w:r w:rsidRPr="0071782F">
              <w:rPr>
                <w:sz w:val="18"/>
                <w:lang w:val="fr-CH"/>
              </w:rPr>
              <w:t xml:space="preserve">diplôme </w:t>
            </w:r>
            <w:r w:rsidR="00AC0AAF" w:rsidRPr="0071782F">
              <w:rPr>
                <w:sz w:val="18"/>
                <w:lang w:val="fr-CH"/>
              </w:rPr>
              <w:t>universitaire</w:t>
            </w:r>
          </w:p>
        </w:tc>
        <w:tc>
          <w:tcPr>
            <w:tcW w:w="1169" w:type="dxa"/>
            <w:tcBorders>
              <w:bottom w:val="nil"/>
            </w:tcBorders>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w:t>
            </w:r>
          </w:p>
        </w:tc>
        <w:tc>
          <w:tcPr>
            <w:tcW w:w="1050" w:type="dxa"/>
            <w:tcBorders>
              <w:bottom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32</w:t>
            </w:r>
            <w:r w:rsidR="003B1403" w:rsidRPr="0071782F">
              <w:rPr>
                <w:sz w:val="18"/>
                <w:lang w:val="fr-CH"/>
              </w:rPr>
              <w:t>,</w:t>
            </w:r>
            <w:r w:rsidRPr="0071782F">
              <w:rPr>
                <w:sz w:val="18"/>
                <w:lang w:val="fr-CH"/>
              </w:rPr>
              <w:t>7</w:t>
            </w:r>
          </w:p>
        </w:tc>
        <w:tc>
          <w:tcPr>
            <w:tcW w:w="1940" w:type="dxa"/>
            <w:tcBorders>
              <w:bottom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0</w:t>
            </w:r>
            <w:r w:rsidR="003B1403" w:rsidRPr="0071782F">
              <w:rPr>
                <w:sz w:val="18"/>
                <w:lang w:val="fr-CH"/>
              </w:rPr>
              <w:t>,</w:t>
            </w:r>
            <w:r w:rsidRPr="0071782F">
              <w:rPr>
                <w:sz w:val="18"/>
                <w:lang w:val="fr-CH"/>
              </w:rPr>
              <w:t>7</w:t>
            </w:r>
            <w:r w:rsidRPr="0071782F">
              <w:rPr>
                <w:i/>
                <w:sz w:val="18"/>
                <w:vertAlign w:val="superscript"/>
                <w:lang w:val="fr-CH"/>
              </w:rPr>
              <w:t>(2)</w:t>
            </w:r>
          </w:p>
        </w:tc>
      </w:tr>
      <w:tr w:rsidR="00186B76" w:rsidRPr="0071782F">
        <w:tc>
          <w:tcPr>
            <w:tcW w:w="4346" w:type="dxa"/>
            <w:tcBorders>
              <w:top w:val="nil"/>
              <w:bottom w:val="nil"/>
            </w:tcBorders>
            <w:shd w:val="clear" w:color="auto" w:fill="auto"/>
          </w:tcPr>
          <w:p w:rsidR="00186B76" w:rsidRPr="0071782F" w:rsidRDefault="00064CBA" w:rsidP="003B1403">
            <w:pPr>
              <w:keepNext/>
              <w:keepLines/>
              <w:suppressAutoHyphens w:val="0"/>
              <w:spacing w:before="40" w:after="40" w:line="220" w:lineRule="exact"/>
              <w:rPr>
                <w:sz w:val="18"/>
                <w:lang w:val="fr-CH"/>
              </w:rPr>
            </w:pPr>
            <w:r w:rsidRPr="0071782F">
              <w:rPr>
                <w:sz w:val="18"/>
                <w:lang w:val="fr-CH"/>
              </w:rPr>
              <w:t xml:space="preserve">Enseignants titulaires d’un diplôme de fin d’études secondaires </w:t>
            </w:r>
          </w:p>
        </w:tc>
        <w:tc>
          <w:tcPr>
            <w:tcW w:w="1169" w:type="dxa"/>
            <w:tcBorders>
              <w:top w:val="nil"/>
              <w:bottom w:val="nil"/>
            </w:tcBorders>
            <w:shd w:val="clear" w:color="auto" w:fill="auto"/>
            <w:vAlign w:val="bottom"/>
          </w:tcPr>
          <w:p w:rsidR="00186B76" w:rsidRPr="0071782F" w:rsidRDefault="00186B76" w:rsidP="003B1403">
            <w:pPr>
              <w:keepNext/>
              <w:keepLines/>
              <w:suppressAutoHyphens w:val="0"/>
              <w:spacing w:before="40" w:after="40" w:line="220" w:lineRule="exact"/>
              <w:rPr>
                <w:sz w:val="18"/>
                <w:lang w:val="fr-CH"/>
              </w:rPr>
            </w:pPr>
            <w:r w:rsidRPr="0071782F">
              <w:rPr>
                <w:sz w:val="18"/>
                <w:lang w:val="fr-CH"/>
              </w:rPr>
              <w:t>%</w:t>
            </w:r>
          </w:p>
        </w:tc>
        <w:tc>
          <w:tcPr>
            <w:tcW w:w="1050" w:type="dxa"/>
            <w:tcBorders>
              <w:top w:val="nil"/>
              <w:bottom w:val="nil"/>
            </w:tcBorders>
            <w:shd w:val="clear" w:color="auto" w:fill="auto"/>
          </w:tcPr>
          <w:p w:rsidR="00186B76" w:rsidRPr="0071782F" w:rsidRDefault="00186B76" w:rsidP="003B1403">
            <w:pPr>
              <w:keepNext/>
              <w:keepLines/>
              <w:suppressAutoHyphens w:val="0"/>
              <w:spacing w:before="40" w:after="40" w:line="220" w:lineRule="exact"/>
              <w:jc w:val="right"/>
              <w:rPr>
                <w:sz w:val="18"/>
                <w:lang w:val="fr-CH"/>
              </w:rPr>
            </w:pPr>
            <w:r w:rsidRPr="0071782F">
              <w:rPr>
                <w:sz w:val="18"/>
                <w:lang w:val="fr-CH"/>
              </w:rPr>
              <w:t>11</w:t>
            </w:r>
            <w:r w:rsidR="003B1403" w:rsidRPr="0071782F">
              <w:rPr>
                <w:sz w:val="18"/>
                <w:lang w:val="fr-CH"/>
              </w:rPr>
              <w:t>,</w:t>
            </w:r>
            <w:r w:rsidRPr="0071782F">
              <w:rPr>
                <w:sz w:val="18"/>
                <w:lang w:val="fr-CH"/>
              </w:rPr>
              <w:t>5</w:t>
            </w:r>
          </w:p>
        </w:tc>
        <w:tc>
          <w:tcPr>
            <w:tcW w:w="1940" w:type="dxa"/>
            <w:tcBorders>
              <w:top w:val="nil"/>
              <w:bottom w:val="nil"/>
            </w:tcBorders>
            <w:shd w:val="clear" w:color="auto" w:fill="auto"/>
          </w:tcPr>
          <w:p w:rsidR="00186B76" w:rsidRPr="0071782F" w:rsidRDefault="00186B76" w:rsidP="003B1403">
            <w:pPr>
              <w:keepNext/>
              <w:keepLines/>
              <w:suppressAutoHyphens w:val="0"/>
              <w:spacing w:before="40" w:after="40" w:line="220" w:lineRule="exact"/>
              <w:jc w:val="right"/>
              <w:rPr>
                <w:sz w:val="18"/>
                <w:lang w:val="fr-CH"/>
              </w:rPr>
            </w:pPr>
            <w:r w:rsidRPr="0071782F">
              <w:rPr>
                <w:sz w:val="18"/>
                <w:lang w:val="fr-CH"/>
              </w:rPr>
              <w:t>-3</w:t>
            </w:r>
            <w:r w:rsidR="003B1403" w:rsidRPr="0071782F">
              <w:rPr>
                <w:sz w:val="18"/>
                <w:lang w:val="fr-CH"/>
              </w:rPr>
              <w:t>,</w:t>
            </w:r>
            <w:r w:rsidRPr="0071782F">
              <w:rPr>
                <w:sz w:val="18"/>
                <w:lang w:val="fr-CH"/>
              </w:rPr>
              <w:t>3</w:t>
            </w:r>
            <w:r w:rsidRPr="0071782F">
              <w:rPr>
                <w:i/>
                <w:sz w:val="18"/>
                <w:vertAlign w:val="superscript"/>
                <w:lang w:val="fr-CH"/>
              </w:rPr>
              <w:t>(2)</w:t>
            </w:r>
          </w:p>
        </w:tc>
      </w:tr>
      <w:tr w:rsidR="00186B76" w:rsidRPr="0071782F">
        <w:tc>
          <w:tcPr>
            <w:tcW w:w="4346" w:type="dxa"/>
            <w:tcBorders>
              <w:top w:val="nil"/>
            </w:tcBorders>
            <w:shd w:val="clear" w:color="auto" w:fill="auto"/>
          </w:tcPr>
          <w:p w:rsidR="00186B76" w:rsidRPr="0071782F" w:rsidRDefault="00064CBA" w:rsidP="003B1403">
            <w:pPr>
              <w:suppressAutoHyphens w:val="0"/>
              <w:spacing w:before="40" w:after="40" w:line="220" w:lineRule="exact"/>
              <w:rPr>
                <w:sz w:val="18"/>
                <w:lang w:val="fr-CH"/>
              </w:rPr>
            </w:pPr>
            <w:r w:rsidRPr="0071782F">
              <w:rPr>
                <w:sz w:val="18"/>
                <w:lang w:val="fr-CH"/>
              </w:rPr>
              <w:t xml:space="preserve">Ratio enseignant/ensemble du personnel </w:t>
            </w:r>
          </w:p>
        </w:tc>
        <w:tc>
          <w:tcPr>
            <w:tcW w:w="1169" w:type="dxa"/>
            <w:tcBorders>
              <w:top w:val="nil"/>
            </w:tcBorders>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w:t>
            </w:r>
          </w:p>
        </w:tc>
        <w:tc>
          <w:tcPr>
            <w:tcW w:w="1050" w:type="dxa"/>
            <w:tcBorders>
              <w:top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67</w:t>
            </w:r>
          </w:p>
        </w:tc>
        <w:tc>
          <w:tcPr>
            <w:tcW w:w="1940" w:type="dxa"/>
            <w:tcBorders>
              <w:top w:val="nil"/>
            </w:tcBorders>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-1</w:t>
            </w:r>
            <w:r w:rsidR="003B1403" w:rsidRPr="0071782F">
              <w:rPr>
                <w:sz w:val="18"/>
                <w:lang w:val="fr-CH"/>
              </w:rPr>
              <w:t>,</w:t>
            </w:r>
            <w:r w:rsidRPr="0071782F">
              <w:rPr>
                <w:sz w:val="18"/>
                <w:lang w:val="fr-CH"/>
              </w:rPr>
              <w:t>9</w:t>
            </w:r>
            <w:r w:rsidRPr="0071782F">
              <w:rPr>
                <w:i/>
                <w:sz w:val="18"/>
                <w:vertAlign w:val="superscript"/>
                <w:lang w:val="fr-CH"/>
              </w:rPr>
              <w:t>(2)</w:t>
            </w:r>
          </w:p>
        </w:tc>
      </w:tr>
      <w:tr w:rsidR="00186B76" w:rsidRPr="0071782F">
        <w:tc>
          <w:tcPr>
            <w:tcW w:w="4346" w:type="dxa"/>
            <w:shd w:val="clear" w:color="auto" w:fill="auto"/>
          </w:tcPr>
          <w:p w:rsidR="00186B76" w:rsidRPr="0071782F" w:rsidRDefault="00064CBA" w:rsidP="003B1403">
            <w:pPr>
              <w:suppressAutoHyphens w:val="0"/>
              <w:spacing w:before="40" w:after="40" w:line="220" w:lineRule="exact"/>
              <w:rPr>
                <w:sz w:val="18"/>
                <w:lang w:val="fr-CH"/>
              </w:rPr>
            </w:pPr>
            <w:r w:rsidRPr="0071782F">
              <w:rPr>
                <w:sz w:val="18"/>
                <w:lang w:val="fr-CH"/>
              </w:rPr>
              <w:t xml:space="preserve">Enseignantes </w:t>
            </w:r>
          </w:p>
        </w:tc>
        <w:tc>
          <w:tcPr>
            <w:tcW w:w="1169" w:type="dxa"/>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w:t>
            </w:r>
          </w:p>
        </w:tc>
        <w:tc>
          <w:tcPr>
            <w:tcW w:w="105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55</w:t>
            </w:r>
            <w:r w:rsidR="003B1403" w:rsidRPr="0071782F">
              <w:rPr>
                <w:sz w:val="18"/>
                <w:lang w:val="fr-CH"/>
              </w:rPr>
              <w:t>,</w:t>
            </w:r>
            <w:r w:rsidRPr="0071782F">
              <w:rPr>
                <w:sz w:val="18"/>
                <w:lang w:val="fr-CH"/>
              </w:rPr>
              <w:t>1</w:t>
            </w:r>
          </w:p>
        </w:tc>
        <w:tc>
          <w:tcPr>
            <w:tcW w:w="194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2</w:t>
            </w:r>
            <w:r w:rsidRPr="0071782F">
              <w:rPr>
                <w:i/>
                <w:sz w:val="18"/>
                <w:vertAlign w:val="superscript"/>
                <w:lang w:val="fr-CH"/>
              </w:rPr>
              <w:t>(2)</w:t>
            </w:r>
          </w:p>
        </w:tc>
      </w:tr>
      <w:tr w:rsidR="00186B76" w:rsidRPr="0071782F">
        <w:tc>
          <w:tcPr>
            <w:tcW w:w="4346" w:type="dxa"/>
            <w:shd w:val="clear" w:color="auto" w:fill="auto"/>
          </w:tcPr>
          <w:p w:rsidR="00186B76" w:rsidRPr="0071782F" w:rsidRDefault="00186B76" w:rsidP="003B1403">
            <w:pPr>
              <w:suppressAutoHyphens w:val="0"/>
              <w:spacing w:before="40" w:after="40" w:line="220" w:lineRule="exact"/>
              <w:rPr>
                <w:sz w:val="18"/>
                <w:lang w:val="fr-CH"/>
              </w:rPr>
            </w:pPr>
            <w:r w:rsidRPr="0071782F">
              <w:rPr>
                <w:sz w:val="18"/>
                <w:lang w:val="fr-CH"/>
              </w:rPr>
              <w:t xml:space="preserve">Ratio </w:t>
            </w:r>
            <w:r w:rsidR="00064CBA" w:rsidRPr="0071782F">
              <w:rPr>
                <w:sz w:val="18"/>
                <w:lang w:val="fr-CH"/>
              </w:rPr>
              <w:t xml:space="preserve">élèves/maître </w:t>
            </w:r>
          </w:p>
        </w:tc>
        <w:tc>
          <w:tcPr>
            <w:tcW w:w="1169" w:type="dxa"/>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w:t>
            </w:r>
          </w:p>
        </w:tc>
        <w:tc>
          <w:tcPr>
            <w:tcW w:w="105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23</w:t>
            </w:r>
            <w:r w:rsidR="003B1403" w:rsidRPr="0071782F">
              <w:rPr>
                <w:sz w:val="18"/>
                <w:lang w:val="fr-CH"/>
              </w:rPr>
              <w:t>,</w:t>
            </w:r>
            <w:r w:rsidRPr="0071782F">
              <w:rPr>
                <w:sz w:val="18"/>
                <w:lang w:val="fr-CH"/>
              </w:rPr>
              <w:t>6</w:t>
            </w:r>
          </w:p>
        </w:tc>
        <w:tc>
          <w:tcPr>
            <w:tcW w:w="1940" w:type="dxa"/>
            <w:shd w:val="clear" w:color="auto"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4</w:t>
            </w:r>
            <w:r w:rsidR="003B1403" w:rsidRPr="0071782F">
              <w:rPr>
                <w:sz w:val="18"/>
                <w:lang w:val="fr-CH"/>
              </w:rPr>
              <w:t>,</w:t>
            </w:r>
            <w:r w:rsidRPr="0071782F">
              <w:rPr>
                <w:sz w:val="18"/>
                <w:lang w:val="fr-CH"/>
              </w:rPr>
              <w:t>9</w:t>
            </w:r>
            <w:r w:rsidRPr="0071782F">
              <w:rPr>
                <w:i/>
                <w:sz w:val="18"/>
                <w:vertAlign w:val="superscript"/>
                <w:lang w:val="fr-CH"/>
              </w:rPr>
              <w:t>(2)</w:t>
            </w:r>
          </w:p>
        </w:tc>
      </w:tr>
    </w:tbl>
    <w:p w:rsidR="00186B76" w:rsidRPr="0071782F" w:rsidRDefault="00186B76" w:rsidP="00A45A11">
      <w:pPr>
        <w:spacing w:before="120"/>
        <w:ind w:left="1134" w:right="1134" w:firstLine="170"/>
        <w:rPr>
          <w:sz w:val="18"/>
          <w:szCs w:val="18"/>
          <w:lang w:val="fr-CH"/>
        </w:rPr>
      </w:pPr>
      <w:r w:rsidRPr="0071782F">
        <w:rPr>
          <w:i/>
          <w:sz w:val="18"/>
          <w:szCs w:val="18"/>
          <w:lang w:val="fr-CH"/>
        </w:rPr>
        <w:t>Source</w:t>
      </w:r>
      <w:r w:rsidR="008F7D33" w:rsidRPr="0071782F">
        <w:rPr>
          <w:i/>
          <w:sz w:val="18"/>
          <w:szCs w:val="18"/>
          <w:lang w:val="fr-CH"/>
        </w:rPr>
        <w:t>:</w:t>
      </w:r>
      <w:r w:rsidR="0071782F">
        <w:rPr>
          <w:sz w:val="18"/>
          <w:szCs w:val="18"/>
          <w:lang w:val="fr-CH"/>
        </w:rPr>
        <w:t xml:space="preserve"> </w:t>
      </w:r>
      <w:r w:rsidRPr="0071782F">
        <w:rPr>
          <w:sz w:val="18"/>
          <w:szCs w:val="18"/>
          <w:lang w:val="fr-CH"/>
        </w:rPr>
        <w:t>Minist</w:t>
      </w:r>
      <w:r w:rsidR="00883ED9" w:rsidRPr="0071782F">
        <w:rPr>
          <w:sz w:val="18"/>
          <w:szCs w:val="18"/>
          <w:lang w:val="fr-CH"/>
        </w:rPr>
        <w:t>ère de l’éducation</w:t>
      </w:r>
      <w:r w:rsidRPr="0071782F">
        <w:rPr>
          <w:sz w:val="18"/>
          <w:szCs w:val="18"/>
          <w:lang w:val="fr-CH"/>
        </w:rPr>
        <w:t>.</w:t>
      </w:r>
    </w:p>
    <w:p w:rsidR="00186B76" w:rsidRPr="0071782F" w:rsidRDefault="00186B76" w:rsidP="00A45A11">
      <w:pPr>
        <w:ind w:left="1134" w:right="1134" w:firstLine="170"/>
        <w:rPr>
          <w:sz w:val="18"/>
          <w:szCs w:val="18"/>
          <w:lang w:val="fr-CH"/>
        </w:rPr>
      </w:pPr>
      <w:r w:rsidRPr="0071782F">
        <w:rPr>
          <w:i/>
          <w:sz w:val="18"/>
          <w:szCs w:val="18"/>
          <w:vertAlign w:val="superscript"/>
          <w:lang w:val="fr-CH"/>
        </w:rPr>
        <w:t>(1)</w:t>
      </w:r>
      <w:r w:rsidRPr="0071782F">
        <w:rPr>
          <w:sz w:val="18"/>
          <w:szCs w:val="18"/>
          <w:lang w:val="fr-CH"/>
        </w:rPr>
        <w:t xml:space="preserve">  </w:t>
      </w:r>
      <w:r w:rsidR="00883ED9" w:rsidRPr="0071782F">
        <w:rPr>
          <w:sz w:val="18"/>
          <w:szCs w:val="18"/>
          <w:lang w:val="fr-CH"/>
        </w:rPr>
        <w:t>Y compris les enfants fréquentant les centres préscolaires</w:t>
      </w:r>
      <w:r w:rsidRPr="0071782F">
        <w:rPr>
          <w:sz w:val="18"/>
          <w:szCs w:val="18"/>
          <w:lang w:val="fr-CH"/>
        </w:rPr>
        <w:t>.</w:t>
      </w:r>
    </w:p>
    <w:p w:rsidR="00186B76" w:rsidRPr="0071782F" w:rsidRDefault="00186B76" w:rsidP="00A45A11">
      <w:pPr>
        <w:ind w:left="1134" w:right="1134" w:firstLine="170"/>
        <w:rPr>
          <w:sz w:val="18"/>
          <w:szCs w:val="18"/>
          <w:lang w:val="fr-CH"/>
        </w:rPr>
      </w:pPr>
      <w:r w:rsidRPr="0071782F">
        <w:rPr>
          <w:i/>
          <w:sz w:val="18"/>
          <w:szCs w:val="18"/>
          <w:vertAlign w:val="superscript"/>
          <w:lang w:val="fr-CH"/>
        </w:rPr>
        <w:t>(2)</w:t>
      </w:r>
      <w:r w:rsidR="00883ED9" w:rsidRPr="0071782F">
        <w:rPr>
          <w:sz w:val="18"/>
          <w:szCs w:val="18"/>
          <w:lang w:val="fr-CH"/>
        </w:rPr>
        <w:t xml:space="preserve">  Indique la variation d’indice par rapport à l’année antérieure</w:t>
      </w:r>
      <w:r w:rsidRPr="0071782F">
        <w:rPr>
          <w:sz w:val="18"/>
          <w:szCs w:val="18"/>
          <w:lang w:val="fr-CH"/>
        </w:rPr>
        <w:t>.</w:t>
      </w:r>
    </w:p>
    <w:p w:rsidR="00186B76" w:rsidRPr="0071782F" w:rsidRDefault="00186B76" w:rsidP="00A45A11">
      <w:pPr>
        <w:ind w:left="1134" w:right="1134" w:firstLine="170"/>
        <w:rPr>
          <w:sz w:val="18"/>
          <w:szCs w:val="18"/>
          <w:lang w:val="fr-CH"/>
        </w:rPr>
      </w:pPr>
      <w:r w:rsidRPr="0071782F">
        <w:rPr>
          <w:i/>
          <w:sz w:val="18"/>
          <w:szCs w:val="18"/>
          <w:vertAlign w:val="superscript"/>
          <w:lang w:val="fr-CH"/>
        </w:rPr>
        <w:t>(3)</w:t>
      </w:r>
      <w:r w:rsidRPr="0071782F">
        <w:rPr>
          <w:sz w:val="18"/>
          <w:szCs w:val="18"/>
          <w:lang w:val="fr-CH"/>
        </w:rPr>
        <w:t xml:space="preserve">  </w:t>
      </w:r>
      <w:r w:rsidR="00883ED9" w:rsidRPr="0071782F">
        <w:rPr>
          <w:sz w:val="18"/>
          <w:szCs w:val="18"/>
          <w:lang w:val="fr-CH"/>
        </w:rPr>
        <w:t>À l’exclusion des élèves ayant des besoins spéciaux</w:t>
      </w:r>
      <w:r w:rsidRPr="0071782F">
        <w:rPr>
          <w:sz w:val="18"/>
          <w:szCs w:val="18"/>
          <w:lang w:val="fr-CH"/>
        </w:rPr>
        <w:t>.</w:t>
      </w:r>
    </w:p>
    <w:p w:rsidR="00186B76" w:rsidRPr="0071782F" w:rsidRDefault="00186B76" w:rsidP="00A45A11">
      <w:pPr>
        <w:pStyle w:val="H1G"/>
        <w:rPr>
          <w:lang w:val="fr-CH"/>
        </w:rPr>
      </w:pPr>
      <w:r w:rsidRPr="0071782F">
        <w:rPr>
          <w:lang w:val="fr-CH"/>
        </w:rPr>
        <w:tab/>
      </w:r>
      <w:r w:rsidRPr="0071782F">
        <w:rPr>
          <w:lang w:val="fr-CH"/>
        </w:rPr>
        <w:tab/>
      </w:r>
      <w:r w:rsidR="00187E83" w:rsidRPr="0071782F">
        <w:rPr>
          <w:lang w:val="fr-CH"/>
        </w:rPr>
        <w:t xml:space="preserve">Système éducatif des minorités </w:t>
      </w:r>
    </w:p>
    <w:p w:rsidR="00186B76" w:rsidRPr="0071782F" w:rsidRDefault="00186B76" w:rsidP="00A45A11">
      <w:pPr>
        <w:pStyle w:val="H23G"/>
        <w:rPr>
          <w:lang w:val="fr-CH"/>
        </w:rPr>
      </w:pPr>
      <w:r w:rsidRPr="0071782F">
        <w:rPr>
          <w:lang w:val="fr-CH"/>
        </w:rPr>
        <w:tab/>
      </w:r>
      <w:r w:rsidRPr="0071782F">
        <w:rPr>
          <w:lang w:val="fr-CH"/>
        </w:rPr>
        <w:tab/>
        <w:t>Memb</w:t>
      </w:r>
      <w:r w:rsidR="00E16A78" w:rsidRPr="0071782F">
        <w:rPr>
          <w:lang w:val="fr-CH"/>
        </w:rPr>
        <w:t xml:space="preserve">res de minorités religieuses et de groupes ethniques candidats au recrutement </w:t>
      </w:r>
    </w:p>
    <w:p w:rsidR="00186B76" w:rsidRPr="0071782F" w:rsidRDefault="00186B76" w:rsidP="00A45A11">
      <w:pPr>
        <w:pStyle w:val="SingleTxtG"/>
        <w:rPr>
          <w:lang w:val="fr-CH"/>
        </w:rPr>
      </w:pPr>
      <w:r w:rsidRPr="0071782F">
        <w:rPr>
          <w:lang w:val="fr-CH"/>
        </w:rPr>
        <w:t>381.</w:t>
      </w:r>
      <w:r w:rsidRPr="0071782F">
        <w:rPr>
          <w:lang w:val="fr-CH"/>
        </w:rPr>
        <w:tab/>
      </w:r>
      <w:r w:rsidR="00E16A78" w:rsidRPr="0071782F">
        <w:rPr>
          <w:lang w:val="fr-CH"/>
        </w:rPr>
        <w:t xml:space="preserve">En vertu du </w:t>
      </w:r>
      <w:r w:rsidR="00723F2B" w:rsidRPr="0071782F">
        <w:rPr>
          <w:lang w:val="fr-CH"/>
        </w:rPr>
        <w:t>paragraphe </w:t>
      </w:r>
      <w:r w:rsidRPr="0071782F">
        <w:rPr>
          <w:lang w:val="fr-CH"/>
        </w:rPr>
        <w:t xml:space="preserve">1 </w:t>
      </w:r>
      <w:r w:rsidR="00E16A78"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2 </w:t>
      </w:r>
      <w:r w:rsidR="00E16A78" w:rsidRPr="0071782F">
        <w:rPr>
          <w:lang w:val="fr-CH"/>
        </w:rPr>
        <w:t xml:space="preserve">de la loi sur la sélection </w:t>
      </w:r>
      <w:r w:rsidRPr="0071782F">
        <w:rPr>
          <w:lang w:val="fr-CH"/>
        </w:rPr>
        <w:t>(recru</w:t>
      </w:r>
      <w:r w:rsidR="00E16A78" w:rsidRPr="0071782F">
        <w:rPr>
          <w:lang w:val="fr-CH"/>
        </w:rPr>
        <w:t>te</w:t>
      </w:r>
      <w:r w:rsidRPr="0071782F">
        <w:rPr>
          <w:lang w:val="fr-CH"/>
        </w:rPr>
        <w:t xml:space="preserve">ment), </w:t>
      </w:r>
      <w:r w:rsidR="00E16A78" w:rsidRPr="0071782F">
        <w:rPr>
          <w:lang w:val="fr-CH"/>
        </w:rPr>
        <w:t>adoptée par l’Assemblée c</w:t>
      </w:r>
      <w:r w:rsidRPr="0071782F">
        <w:rPr>
          <w:lang w:val="fr-CH"/>
        </w:rPr>
        <w:t xml:space="preserve">onsultative </w:t>
      </w:r>
      <w:r w:rsidR="00E16A78" w:rsidRPr="0071782F">
        <w:rPr>
          <w:lang w:val="fr-CH"/>
        </w:rPr>
        <w:t xml:space="preserve">islamique le 19 septembre </w:t>
      </w:r>
      <w:r w:rsidRPr="0071782F">
        <w:rPr>
          <w:lang w:val="fr-CH"/>
        </w:rPr>
        <w:t xml:space="preserve">1995, </w:t>
      </w:r>
      <w:r w:rsidR="00E16A78" w:rsidRPr="0071782F">
        <w:rPr>
          <w:lang w:val="fr-CH"/>
        </w:rPr>
        <w:t xml:space="preserve">les chrétiens et les autres membres des autres religions officielles reconnues par la </w:t>
      </w:r>
      <w:r w:rsidRPr="0071782F">
        <w:rPr>
          <w:lang w:val="fr-CH"/>
        </w:rPr>
        <w:t xml:space="preserve">Constitution </w:t>
      </w:r>
      <w:r w:rsidR="00E16A78" w:rsidRPr="0071782F">
        <w:rPr>
          <w:lang w:val="fr-CH"/>
        </w:rPr>
        <w:t>peuvent présenter leur candidature à des postes</w:t>
      </w:r>
      <w:r w:rsidRPr="0071782F">
        <w:rPr>
          <w:lang w:val="fr-CH"/>
        </w:rPr>
        <w:t xml:space="preserve">. </w:t>
      </w:r>
      <w:r w:rsidR="00E16A78" w:rsidRPr="0071782F">
        <w:rPr>
          <w:lang w:val="fr-CH"/>
        </w:rPr>
        <w:t xml:space="preserve">Le Ministère de l’éducation a proposé à l’Organisme public de gestion et de planification d’instituer un quota de recrutement de </w:t>
      </w:r>
      <w:r w:rsidRPr="0071782F">
        <w:rPr>
          <w:lang w:val="fr-CH"/>
        </w:rPr>
        <w:t>200</w:t>
      </w:r>
      <w:r w:rsidR="00097CDB" w:rsidRPr="0071782F">
        <w:rPr>
          <w:lang w:val="fr-CH"/>
        </w:rPr>
        <w:t> personnes</w:t>
      </w:r>
      <w:r w:rsidR="00E16A78" w:rsidRPr="0071782F">
        <w:rPr>
          <w:lang w:val="fr-CH"/>
        </w:rPr>
        <w:t xml:space="preserve"> appartenant à des minorités religieuses pour occuper des postes de ce Ministère.</w:t>
      </w:r>
      <w:r w:rsidRPr="0071782F">
        <w:rPr>
          <w:lang w:val="fr-CH"/>
        </w:rPr>
        <w:t xml:space="preserve"> </w:t>
      </w:r>
      <w:r w:rsidR="00E16A78" w:rsidRPr="0071782F">
        <w:rPr>
          <w:lang w:val="fr-CH"/>
        </w:rPr>
        <w:t xml:space="preserve">L’Organisme a approuvé cette proposition, qui doit être mise en </w:t>
      </w:r>
      <w:r w:rsidR="00D5366B" w:rsidRPr="0071782F">
        <w:rPr>
          <w:lang w:val="fr-CH"/>
        </w:rPr>
        <w:t>œuvre</w:t>
      </w:r>
      <w:r w:rsidR="00E16A78" w:rsidRPr="0071782F">
        <w:rPr>
          <w:lang w:val="fr-CH"/>
        </w:rPr>
        <w:t xml:space="preserve"> incessamment</w:t>
      </w:r>
      <w:r w:rsidRPr="0071782F">
        <w:rPr>
          <w:lang w:val="fr-CH"/>
        </w:rPr>
        <w:t xml:space="preserve">. </w:t>
      </w:r>
      <w:r w:rsidR="00E16A78" w:rsidRPr="0071782F">
        <w:rPr>
          <w:lang w:val="fr-CH"/>
        </w:rPr>
        <w:t>Dans certaines villes, comme Isp</w:t>
      </w:r>
      <w:r w:rsidRPr="0071782F">
        <w:rPr>
          <w:lang w:val="fr-CH"/>
        </w:rPr>
        <w:t xml:space="preserve">ahan </w:t>
      </w:r>
      <w:r w:rsidR="00E16A78" w:rsidRPr="0071782F">
        <w:rPr>
          <w:lang w:val="fr-CH"/>
        </w:rPr>
        <w:t xml:space="preserve">et </w:t>
      </w:r>
      <w:r w:rsidRPr="0071782F">
        <w:rPr>
          <w:lang w:val="fr-CH"/>
        </w:rPr>
        <w:t xml:space="preserve">Orumieh, </w:t>
      </w:r>
      <w:r w:rsidR="00E16A78" w:rsidRPr="0071782F">
        <w:rPr>
          <w:lang w:val="fr-CH"/>
        </w:rPr>
        <w:t>les écoles chrétiennes sont gérées par des directeurs chrétiens</w:t>
      </w:r>
      <w:r w:rsidRPr="0071782F">
        <w:rPr>
          <w:lang w:val="fr-CH"/>
        </w:rPr>
        <w:t xml:space="preserve">. </w:t>
      </w:r>
    </w:p>
    <w:p w:rsidR="00186B76" w:rsidRPr="0071782F" w:rsidRDefault="00186B76" w:rsidP="00A45A11">
      <w:pPr>
        <w:pStyle w:val="H23G"/>
        <w:rPr>
          <w:lang w:val="fr-CH"/>
        </w:rPr>
      </w:pPr>
      <w:r w:rsidRPr="0071782F">
        <w:rPr>
          <w:lang w:val="fr-CH"/>
        </w:rPr>
        <w:tab/>
      </w:r>
      <w:r w:rsidRPr="0071782F">
        <w:rPr>
          <w:lang w:val="fr-CH"/>
        </w:rPr>
        <w:tab/>
      </w:r>
      <w:r w:rsidR="00E16A78" w:rsidRPr="0071782F">
        <w:rPr>
          <w:lang w:val="fr-CH"/>
        </w:rPr>
        <w:t xml:space="preserve">Réforme du règlement applicable aux examens en ce qui concerne les minorités religieuses </w:t>
      </w:r>
    </w:p>
    <w:p w:rsidR="00186B76" w:rsidRPr="0071782F" w:rsidRDefault="00186B76" w:rsidP="00A45A11">
      <w:pPr>
        <w:pStyle w:val="SingleTxtG"/>
        <w:rPr>
          <w:lang w:val="fr-CH"/>
        </w:rPr>
      </w:pPr>
      <w:r w:rsidRPr="0071782F">
        <w:rPr>
          <w:lang w:val="fr-CH"/>
        </w:rPr>
        <w:t>382.</w:t>
      </w:r>
      <w:r w:rsidRPr="0071782F">
        <w:rPr>
          <w:lang w:val="fr-CH"/>
        </w:rPr>
        <w:tab/>
      </w:r>
      <w:r w:rsidR="00E16A78" w:rsidRPr="0071782F">
        <w:rPr>
          <w:lang w:val="fr-CH"/>
        </w:rPr>
        <w:t>Les chefs de minorités religieuses ayant élevé des objections à la décision prise antérieurement par le Haut Conseil de l’éducation en ce qui concerne les examens portant sur la matière relative aux enseignements religieux</w:t>
      </w:r>
      <w:r w:rsidRPr="0071782F">
        <w:rPr>
          <w:lang w:val="fr-CH"/>
        </w:rPr>
        <w:t xml:space="preserve">, </w:t>
      </w:r>
      <w:r w:rsidR="00E16A78" w:rsidRPr="0071782F">
        <w:rPr>
          <w:lang w:val="fr-CH"/>
        </w:rPr>
        <w:t xml:space="preserve">le Conseil a, lors de sa </w:t>
      </w:r>
      <w:r w:rsidRPr="0071782F">
        <w:rPr>
          <w:lang w:val="fr-CH"/>
        </w:rPr>
        <w:t>663</w:t>
      </w:r>
      <w:r w:rsidR="00E16A78" w:rsidRPr="009E6189">
        <w:rPr>
          <w:vertAlign w:val="superscript"/>
          <w:lang w:val="fr-CH"/>
        </w:rPr>
        <w:t>e</w:t>
      </w:r>
      <w:r w:rsidR="00E16A78" w:rsidRPr="0071782F">
        <w:rPr>
          <w:lang w:val="fr-CH"/>
        </w:rPr>
        <w:t xml:space="preserve"> séance tenue le 22 mai</w:t>
      </w:r>
      <w:r w:rsidRPr="0071782F">
        <w:rPr>
          <w:lang w:val="fr-CH"/>
        </w:rPr>
        <w:t xml:space="preserve"> 2001, </w:t>
      </w:r>
      <w:r w:rsidR="00E16A78" w:rsidRPr="0071782F">
        <w:rPr>
          <w:lang w:val="fr-CH"/>
        </w:rPr>
        <w:t>adopté une modification du règlement en vertu de laquelle les membres des minorités religieuses officielles pourront mettre en place leurs propres examens religieux conformément aux directives du Ministère. Naturellement, nul ne s’opposera à ce que ceux qui le souhaitent passent l’examen islamique</w:t>
      </w:r>
      <w:r w:rsidRPr="0071782F">
        <w:rPr>
          <w:lang w:val="fr-CH"/>
        </w:rPr>
        <w:t xml:space="preserve">. </w:t>
      </w:r>
      <w:r w:rsidR="00E16A78" w:rsidRPr="0071782F">
        <w:rPr>
          <w:lang w:val="fr-CH"/>
        </w:rPr>
        <w:t>Les enfants des minorités religieuses peuvent s’inscrire dans les écoles ordinaires. Ils n’ont pas à suivre les cours d’éducation religieuse et coranique</w:t>
      </w:r>
      <w:r w:rsidRPr="0071782F">
        <w:rPr>
          <w:lang w:val="fr-CH"/>
        </w:rPr>
        <w:t xml:space="preserve">. </w:t>
      </w:r>
      <w:r w:rsidR="00E16A78" w:rsidRPr="0071782F">
        <w:rPr>
          <w:lang w:val="fr-CH"/>
        </w:rPr>
        <w:t xml:space="preserve">Ils peuvent aussi s’inscrire dans les écoles pour minorités religieuses. Ces écoles </w:t>
      </w:r>
      <w:r w:rsidRPr="0071782F">
        <w:rPr>
          <w:lang w:val="fr-CH"/>
        </w:rPr>
        <w:t>exist</w:t>
      </w:r>
      <w:r w:rsidR="00E16A78" w:rsidRPr="0071782F">
        <w:rPr>
          <w:lang w:val="fr-CH"/>
        </w:rPr>
        <w:t>ent dans les zones où ces minorités représentent une fraction importante de la population.</w:t>
      </w:r>
      <w:r w:rsidR="00D36718">
        <w:rPr>
          <w:lang w:val="fr-CH"/>
        </w:rPr>
        <w:t xml:space="preserve"> </w:t>
      </w:r>
    </w:p>
    <w:p w:rsidR="00186B76" w:rsidRPr="0071782F" w:rsidRDefault="00186B76" w:rsidP="00A45A11">
      <w:pPr>
        <w:pStyle w:val="H1G"/>
        <w:rPr>
          <w:lang w:val="fr-CH"/>
        </w:rPr>
      </w:pPr>
      <w:r w:rsidRPr="0071782F">
        <w:rPr>
          <w:lang w:val="fr-CH"/>
        </w:rPr>
        <w:tab/>
        <w:t>B.</w:t>
      </w:r>
      <w:r w:rsidRPr="0071782F">
        <w:rPr>
          <w:lang w:val="fr-CH"/>
        </w:rPr>
        <w:tab/>
      </w:r>
      <w:r w:rsidR="00E16A78" w:rsidRPr="0071782F">
        <w:rPr>
          <w:lang w:val="fr-CH"/>
        </w:rPr>
        <w:t xml:space="preserve">Le Mouvement pour l’alphabétisation </w:t>
      </w:r>
    </w:p>
    <w:p w:rsidR="00186B76" w:rsidRPr="008F6006" w:rsidRDefault="00186B76" w:rsidP="00A45A11">
      <w:pPr>
        <w:pStyle w:val="SingleTxtG"/>
        <w:rPr>
          <w:spacing w:val="-2"/>
          <w:lang w:val="fr-CH"/>
        </w:rPr>
      </w:pPr>
      <w:r w:rsidRPr="008F6006">
        <w:rPr>
          <w:spacing w:val="-2"/>
          <w:lang w:val="fr-CH"/>
        </w:rPr>
        <w:t>383.</w:t>
      </w:r>
      <w:r w:rsidRPr="008F6006">
        <w:rPr>
          <w:spacing w:val="-2"/>
          <w:lang w:val="fr-CH"/>
        </w:rPr>
        <w:tab/>
        <w:t>A</w:t>
      </w:r>
      <w:r w:rsidR="00E16A78" w:rsidRPr="008F6006">
        <w:rPr>
          <w:spacing w:val="-2"/>
          <w:lang w:val="fr-CH"/>
        </w:rPr>
        <w:t xml:space="preserve">u moment du triomphe de la Révolution islamique, </w:t>
      </w:r>
      <w:r w:rsidRPr="008F6006">
        <w:rPr>
          <w:spacing w:val="-2"/>
          <w:lang w:val="fr-CH"/>
        </w:rPr>
        <w:t>52</w:t>
      </w:r>
      <w:r w:rsidR="00E16A78" w:rsidRPr="008F6006">
        <w:rPr>
          <w:spacing w:val="-2"/>
          <w:lang w:val="fr-CH"/>
        </w:rPr>
        <w:t>,</w:t>
      </w:r>
      <w:r w:rsidRPr="008F6006">
        <w:rPr>
          <w:spacing w:val="-2"/>
          <w:lang w:val="fr-CH"/>
        </w:rPr>
        <w:t>5</w:t>
      </w:r>
      <w:r w:rsidR="007E5125" w:rsidRPr="008F6006">
        <w:rPr>
          <w:spacing w:val="-2"/>
          <w:lang w:val="fr-CH"/>
        </w:rPr>
        <w:t>%</w:t>
      </w:r>
      <w:r w:rsidR="00E16A78" w:rsidRPr="008F6006">
        <w:rPr>
          <w:spacing w:val="-2"/>
          <w:lang w:val="fr-CH"/>
        </w:rPr>
        <w:t xml:space="preserve"> de la </w:t>
      </w:r>
      <w:r w:rsidRPr="008F6006">
        <w:rPr>
          <w:spacing w:val="-2"/>
          <w:lang w:val="fr-CH"/>
        </w:rPr>
        <w:t xml:space="preserve">population </w:t>
      </w:r>
      <w:r w:rsidR="00E16A78" w:rsidRPr="008F6006">
        <w:rPr>
          <w:spacing w:val="-2"/>
          <w:lang w:val="fr-CH"/>
        </w:rPr>
        <w:t>âgée de plus de six</w:t>
      </w:r>
      <w:r w:rsidR="00D82C96" w:rsidRPr="008F6006">
        <w:rPr>
          <w:spacing w:val="-2"/>
          <w:lang w:val="fr-CH"/>
        </w:rPr>
        <w:t> ans</w:t>
      </w:r>
      <w:r w:rsidR="00E16A78" w:rsidRPr="008F6006">
        <w:rPr>
          <w:spacing w:val="-2"/>
          <w:lang w:val="fr-CH"/>
        </w:rPr>
        <w:t xml:space="preserve"> étaient analphabètes. La population rurale l’était</w:t>
      </w:r>
      <w:r w:rsidRPr="008F6006">
        <w:rPr>
          <w:spacing w:val="-2"/>
          <w:lang w:val="fr-CH"/>
        </w:rPr>
        <w:t xml:space="preserve"> </w:t>
      </w:r>
      <w:r w:rsidR="00E16A78" w:rsidRPr="008F6006">
        <w:rPr>
          <w:spacing w:val="-2"/>
          <w:lang w:val="fr-CH"/>
        </w:rPr>
        <w:t xml:space="preserve">à </w:t>
      </w:r>
      <w:r w:rsidRPr="008F6006">
        <w:rPr>
          <w:spacing w:val="-2"/>
          <w:lang w:val="fr-CH"/>
        </w:rPr>
        <w:t>70</w:t>
      </w:r>
      <w:r w:rsidR="007E5125" w:rsidRPr="008F6006">
        <w:rPr>
          <w:spacing w:val="-2"/>
          <w:lang w:val="fr-CH"/>
        </w:rPr>
        <w:t>%</w:t>
      </w:r>
      <w:r w:rsidR="00E16A78" w:rsidRPr="008F6006">
        <w:rPr>
          <w:spacing w:val="-2"/>
          <w:lang w:val="fr-CH"/>
        </w:rPr>
        <w:t xml:space="preserve"> et les femmes à 83</w:t>
      </w:r>
      <w:r w:rsidR="007E5125" w:rsidRPr="008F6006">
        <w:rPr>
          <w:spacing w:val="-2"/>
          <w:lang w:val="fr-CH"/>
        </w:rPr>
        <w:t>%</w:t>
      </w:r>
      <w:r w:rsidRPr="008F6006">
        <w:rPr>
          <w:spacing w:val="-2"/>
          <w:lang w:val="fr-CH"/>
        </w:rPr>
        <w:t xml:space="preserve">. </w:t>
      </w:r>
      <w:r w:rsidR="00E16A78" w:rsidRPr="008F6006">
        <w:rPr>
          <w:spacing w:val="-2"/>
          <w:lang w:val="fr-CH"/>
        </w:rPr>
        <w:t>C’est ce qui explique pourquoi une place importante a été accordée au Mouvement pour l’alphabétisation</w:t>
      </w:r>
      <w:r w:rsidRPr="008F6006">
        <w:rPr>
          <w:spacing w:val="-2"/>
          <w:lang w:val="fr-CH"/>
        </w:rPr>
        <w:t xml:space="preserve">. </w:t>
      </w:r>
      <w:r w:rsidR="00E16A78" w:rsidRPr="008F6006">
        <w:rPr>
          <w:spacing w:val="-2"/>
          <w:lang w:val="fr-CH"/>
        </w:rPr>
        <w:t>En janvier 1980, moins d’un an après la victoire de la Révolution, on a créé, sur l’ordre de feu l’</w:t>
      </w:r>
      <w:r w:rsidRPr="008F6006">
        <w:rPr>
          <w:spacing w:val="-2"/>
          <w:lang w:val="fr-CH"/>
        </w:rPr>
        <w:t xml:space="preserve">Imam Khomeini, </w:t>
      </w:r>
      <w:r w:rsidR="00E16A78" w:rsidRPr="008F6006">
        <w:rPr>
          <w:spacing w:val="-2"/>
          <w:lang w:val="fr-CH"/>
        </w:rPr>
        <w:t>fondateur de la Révolution islamique, le Mouvement pour l’alphabétisation dans le but d’apprendre à lire et à écrire à la population non instruite du pays. E</w:t>
      </w:r>
      <w:r w:rsidRPr="008F6006">
        <w:rPr>
          <w:spacing w:val="-2"/>
          <w:lang w:val="fr-CH"/>
        </w:rPr>
        <w:t xml:space="preserve">n 1984, </w:t>
      </w:r>
      <w:r w:rsidR="00E16A78" w:rsidRPr="008F6006">
        <w:rPr>
          <w:spacing w:val="-2"/>
          <w:lang w:val="fr-CH"/>
        </w:rPr>
        <w:t>l’Assemblée consultative islamique a approuvé les statuts de l’Organisation du Mouvement pour l’alphabétisation</w:t>
      </w:r>
      <w:r w:rsidRPr="008F6006">
        <w:rPr>
          <w:spacing w:val="-2"/>
          <w:lang w:val="fr-CH"/>
        </w:rPr>
        <w:t xml:space="preserve">, </w:t>
      </w:r>
      <w:r w:rsidR="00E16A78" w:rsidRPr="008F6006">
        <w:rPr>
          <w:spacing w:val="-2"/>
          <w:lang w:val="fr-CH"/>
        </w:rPr>
        <w:t xml:space="preserve">sur la base desquels cette Organisation a été chargée d’éduquer </w:t>
      </w:r>
      <w:r w:rsidR="00A233C2" w:rsidRPr="008F6006">
        <w:rPr>
          <w:spacing w:val="-2"/>
          <w:lang w:val="fr-CH"/>
        </w:rPr>
        <w:t>les personnes</w:t>
      </w:r>
      <w:r w:rsidR="00E16A78" w:rsidRPr="008F6006">
        <w:rPr>
          <w:spacing w:val="-2"/>
          <w:lang w:val="fr-CH"/>
        </w:rPr>
        <w:t xml:space="preserve"> âgées de plus de 10</w:t>
      </w:r>
      <w:r w:rsidR="00D82C96" w:rsidRPr="008F6006">
        <w:rPr>
          <w:spacing w:val="-2"/>
          <w:lang w:val="fr-CH"/>
        </w:rPr>
        <w:t> ans</w:t>
      </w:r>
      <w:r w:rsidR="00E16A78" w:rsidRPr="008F6006">
        <w:rPr>
          <w:spacing w:val="-2"/>
          <w:lang w:val="fr-CH"/>
        </w:rPr>
        <w:t xml:space="preserve"> qui n’avaient pas pu avoir accès à l’éducation. On lui a même confié la mission d’instruire les enfants âgés de moins de 10</w:t>
      </w:r>
      <w:r w:rsidR="00D82C96" w:rsidRPr="008F6006">
        <w:rPr>
          <w:spacing w:val="-2"/>
          <w:lang w:val="fr-CH"/>
        </w:rPr>
        <w:t> ans</w:t>
      </w:r>
      <w:r w:rsidR="00E16A78" w:rsidRPr="008F6006">
        <w:rPr>
          <w:spacing w:val="-2"/>
          <w:lang w:val="fr-CH"/>
        </w:rPr>
        <w:t xml:space="preserve"> vivant dans les régions dépourvues d’antennes du Ministère de l’éducation, de façon à prévenir l’</w:t>
      </w:r>
      <w:r w:rsidRPr="008F6006">
        <w:rPr>
          <w:spacing w:val="-2"/>
          <w:lang w:val="fr-CH"/>
        </w:rPr>
        <w:t xml:space="preserve">expansion </w:t>
      </w:r>
      <w:r w:rsidR="00E16A78" w:rsidRPr="008F6006">
        <w:rPr>
          <w:spacing w:val="-2"/>
          <w:lang w:val="fr-CH"/>
        </w:rPr>
        <w:t>de l’analphabétisme</w:t>
      </w:r>
      <w:r w:rsidRPr="008F6006">
        <w:rPr>
          <w:spacing w:val="-2"/>
          <w:lang w:val="fr-CH"/>
        </w:rPr>
        <w:t xml:space="preserve">. </w:t>
      </w:r>
      <w:r w:rsidR="00E16A78" w:rsidRPr="008F6006">
        <w:rPr>
          <w:spacing w:val="-2"/>
          <w:lang w:val="fr-CH"/>
        </w:rPr>
        <w:t>À titre de mesure d’incitation, il a été décidé que ceux qui participeraient au Mouvement en qualité d’enseignants pendant cinq</w:t>
      </w:r>
      <w:r w:rsidR="00D82C96" w:rsidRPr="008F6006">
        <w:rPr>
          <w:spacing w:val="-2"/>
          <w:lang w:val="fr-CH"/>
        </w:rPr>
        <w:t> ans</w:t>
      </w:r>
      <w:r w:rsidR="00E16A78" w:rsidRPr="008F6006">
        <w:rPr>
          <w:spacing w:val="-2"/>
          <w:lang w:val="fr-CH"/>
        </w:rPr>
        <w:t xml:space="preserve"> seraient ensuite officiellement employés par le Ministère de l’éducation.</w:t>
      </w:r>
      <w:r w:rsidRPr="008F6006">
        <w:rPr>
          <w:spacing w:val="-2"/>
          <w:lang w:val="fr-CH"/>
        </w:rPr>
        <w:t xml:space="preserve"> </w:t>
      </w:r>
      <w:r w:rsidR="00E16A78" w:rsidRPr="008F6006">
        <w:rPr>
          <w:spacing w:val="-2"/>
          <w:lang w:val="fr-CH"/>
        </w:rPr>
        <w:t>Devant l’accueil qui lui a été partout réservé et compte tenu de la volonté d’éducation et de participation au système éducatif officiel, y compris en ce qui concerne l’enseignement supérieur, le Mouvement a mis en place, en sus des niveaux d’initiation et complémentaire, des cours pour adultes souhaitant obtenir un certificat de cinquième année d’études</w:t>
      </w:r>
      <w:r w:rsidRPr="008F6006">
        <w:rPr>
          <w:spacing w:val="-2"/>
          <w:lang w:val="fr-CH"/>
        </w:rPr>
        <w:t>.</w:t>
      </w:r>
    </w:p>
    <w:p w:rsidR="00186B76" w:rsidRPr="0071782F" w:rsidRDefault="00186B76" w:rsidP="00A45A11">
      <w:pPr>
        <w:pStyle w:val="H1G"/>
        <w:rPr>
          <w:lang w:val="fr-CH"/>
        </w:rPr>
      </w:pPr>
      <w:r w:rsidRPr="0071782F">
        <w:rPr>
          <w:lang w:val="fr-CH"/>
        </w:rPr>
        <w:tab/>
      </w:r>
      <w:r w:rsidRPr="0071782F">
        <w:rPr>
          <w:lang w:val="fr-CH"/>
        </w:rPr>
        <w:tab/>
      </w:r>
      <w:r w:rsidR="00E16A78" w:rsidRPr="0071782F">
        <w:rPr>
          <w:lang w:val="fr-CH"/>
        </w:rPr>
        <w:t>S</w:t>
      </w:r>
      <w:r w:rsidRPr="0071782F">
        <w:rPr>
          <w:lang w:val="fr-CH"/>
        </w:rPr>
        <w:t>trat</w:t>
      </w:r>
      <w:r w:rsidR="00E16A78" w:rsidRPr="0071782F">
        <w:rPr>
          <w:lang w:val="fr-CH"/>
        </w:rPr>
        <w:t>é</w:t>
      </w:r>
      <w:r w:rsidRPr="0071782F">
        <w:rPr>
          <w:lang w:val="fr-CH"/>
        </w:rPr>
        <w:t xml:space="preserve">gies </w:t>
      </w:r>
      <w:r w:rsidR="00E16A78" w:rsidRPr="0071782F">
        <w:rPr>
          <w:lang w:val="fr-CH"/>
        </w:rPr>
        <w:t xml:space="preserve">juridiques applicables au processus d’alphabétisation </w:t>
      </w:r>
    </w:p>
    <w:p w:rsidR="00186B76" w:rsidRPr="0071782F" w:rsidRDefault="00186B76" w:rsidP="00A45A11">
      <w:pPr>
        <w:pStyle w:val="SingleTxtG"/>
        <w:rPr>
          <w:lang w:val="fr-CH"/>
        </w:rPr>
      </w:pPr>
      <w:r w:rsidRPr="0071782F">
        <w:rPr>
          <w:lang w:val="fr-CH"/>
        </w:rPr>
        <w:t>384.</w:t>
      </w:r>
      <w:r w:rsidRPr="0071782F">
        <w:rPr>
          <w:lang w:val="fr-CH"/>
        </w:rPr>
        <w:tab/>
      </w:r>
      <w:r w:rsidR="00E16A78" w:rsidRPr="0071782F">
        <w:rPr>
          <w:lang w:val="fr-CH"/>
        </w:rPr>
        <w:t>Il s’agit notamment des stratégies suivantes</w:t>
      </w:r>
      <w:r w:rsidR="008F7D33" w:rsidRPr="0071782F">
        <w:rPr>
          <w:lang w:val="fr-CH"/>
        </w:rPr>
        <w:t>:</w:t>
      </w:r>
    </w:p>
    <w:p w:rsidR="00186B76" w:rsidRPr="0071782F" w:rsidRDefault="00186B76" w:rsidP="00A45A11">
      <w:pPr>
        <w:pStyle w:val="SingleTxtG"/>
        <w:ind w:left="1701"/>
        <w:rPr>
          <w:lang w:val="fr-CH"/>
        </w:rPr>
      </w:pPr>
      <w:r w:rsidRPr="0071782F">
        <w:rPr>
          <w:lang w:val="fr-CH"/>
        </w:rPr>
        <w:t>384.1</w:t>
      </w:r>
      <w:r w:rsidR="00683211" w:rsidRPr="0071782F">
        <w:rPr>
          <w:lang w:val="fr-CH"/>
        </w:rPr>
        <w:t>.</w:t>
      </w:r>
      <w:r w:rsidRPr="0071782F">
        <w:rPr>
          <w:lang w:val="fr-CH"/>
        </w:rPr>
        <w:tab/>
      </w:r>
      <w:r w:rsidR="00E16A78" w:rsidRPr="0071782F">
        <w:rPr>
          <w:lang w:val="fr-CH"/>
        </w:rPr>
        <w:t xml:space="preserve">Élaboration de directives sur le processus d’alphabétisation pour le </w:t>
      </w:r>
      <w:r w:rsidR="00A90208" w:rsidRPr="0071782F">
        <w:rPr>
          <w:lang w:val="fr-CH"/>
        </w:rPr>
        <w:t>quatrième</w:t>
      </w:r>
      <w:r w:rsidR="00E16A78" w:rsidRPr="0071782F">
        <w:rPr>
          <w:lang w:val="fr-CH"/>
        </w:rPr>
        <w:t xml:space="preserve"> plan de développement et le Plan stratégique sur 20</w:t>
      </w:r>
      <w:r w:rsidR="00D82C96" w:rsidRPr="0071782F">
        <w:rPr>
          <w:lang w:val="fr-CH"/>
        </w:rPr>
        <w:t> ans</w:t>
      </w:r>
      <w:r w:rsidRPr="0071782F">
        <w:rPr>
          <w:lang w:val="fr-CH"/>
        </w:rPr>
        <w:t>.</w:t>
      </w:r>
    </w:p>
    <w:p w:rsidR="00186B76" w:rsidRPr="0071782F" w:rsidRDefault="00186B76" w:rsidP="00A45A11">
      <w:pPr>
        <w:pStyle w:val="SingleTxtG"/>
        <w:ind w:left="1701"/>
        <w:rPr>
          <w:lang w:val="fr-CH"/>
        </w:rPr>
      </w:pPr>
      <w:r w:rsidRPr="0071782F">
        <w:rPr>
          <w:lang w:val="fr-CH"/>
        </w:rPr>
        <w:t>384.2</w:t>
      </w:r>
      <w:r w:rsidR="00683211" w:rsidRPr="0071782F">
        <w:rPr>
          <w:lang w:val="fr-CH"/>
        </w:rPr>
        <w:t>.</w:t>
      </w:r>
      <w:r w:rsidRPr="0071782F">
        <w:rPr>
          <w:lang w:val="fr-CH"/>
        </w:rPr>
        <w:tab/>
        <w:t>D</w:t>
      </w:r>
      <w:r w:rsidR="00E16A78" w:rsidRPr="0071782F">
        <w:rPr>
          <w:lang w:val="fr-CH"/>
        </w:rPr>
        <w:t>é</w:t>
      </w:r>
      <w:r w:rsidRPr="0071782F">
        <w:rPr>
          <w:lang w:val="fr-CH"/>
        </w:rPr>
        <w:t xml:space="preserve">cision </w:t>
      </w:r>
      <w:r w:rsidR="00E16A78" w:rsidRPr="0071782F">
        <w:rPr>
          <w:lang w:val="fr-CH"/>
        </w:rPr>
        <w:t>n</w:t>
      </w:r>
      <w:r w:rsidR="00355A59" w:rsidRPr="00355A59">
        <w:rPr>
          <w:vertAlign w:val="superscript"/>
          <w:lang w:val="fr-CH"/>
        </w:rPr>
        <w:t>o</w:t>
      </w:r>
      <w:r w:rsidR="00355A59">
        <w:rPr>
          <w:lang w:val="fr-CH"/>
        </w:rPr>
        <w:t> </w:t>
      </w:r>
      <w:r w:rsidRPr="0071782F">
        <w:rPr>
          <w:lang w:val="fr-CH"/>
        </w:rPr>
        <w:t xml:space="preserve">595 </w:t>
      </w:r>
      <w:r w:rsidR="00E16A78" w:rsidRPr="0071782F">
        <w:rPr>
          <w:lang w:val="fr-CH"/>
        </w:rPr>
        <w:t>du Haut Conseil culturel de la Révolution et adoption de politiques d’incitation visant à accélérer le rythme de l’alphabétisation</w:t>
      </w:r>
      <w:r w:rsidRPr="0071782F">
        <w:rPr>
          <w:lang w:val="fr-CH"/>
        </w:rPr>
        <w:t>.</w:t>
      </w:r>
    </w:p>
    <w:p w:rsidR="00186B76" w:rsidRPr="0071782F" w:rsidRDefault="00186B76" w:rsidP="00A45A11">
      <w:pPr>
        <w:pStyle w:val="SingleTxtG"/>
        <w:ind w:left="1701"/>
        <w:rPr>
          <w:lang w:val="fr-CH"/>
        </w:rPr>
      </w:pPr>
      <w:r w:rsidRPr="0071782F">
        <w:rPr>
          <w:lang w:val="fr-CH"/>
        </w:rPr>
        <w:t>384.3</w:t>
      </w:r>
      <w:r w:rsidR="00683211" w:rsidRPr="0071782F">
        <w:rPr>
          <w:lang w:val="fr-CH"/>
        </w:rPr>
        <w:t>.</w:t>
      </w:r>
      <w:r w:rsidRPr="0071782F">
        <w:rPr>
          <w:lang w:val="fr-CH"/>
        </w:rPr>
        <w:tab/>
      </w:r>
      <w:r w:rsidR="00E16A78" w:rsidRPr="0071782F">
        <w:rPr>
          <w:lang w:val="fr-CH"/>
        </w:rPr>
        <w:t>Élaboration du Plan stratégique pour l’alphabétisation du pays.</w:t>
      </w:r>
    </w:p>
    <w:p w:rsidR="00186B76" w:rsidRPr="0071782F" w:rsidRDefault="00186B76" w:rsidP="00A45A11">
      <w:pPr>
        <w:pStyle w:val="SingleTxtG"/>
        <w:ind w:left="1701"/>
        <w:rPr>
          <w:lang w:val="fr-CH"/>
        </w:rPr>
      </w:pPr>
      <w:r w:rsidRPr="0071782F">
        <w:rPr>
          <w:lang w:val="fr-CH"/>
        </w:rPr>
        <w:t>384.4</w:t>
      </w:r>
      <w:r w:rsidR="00683211" w:rsidRPr="0071782F">
        <w:rPr>
          <w:lang w:val="fr-CH"/>
        </w:rPr>
        <w:t>.</w:t>
      </w:r>
      <w:r w:rsidRPr="0071782F">
        <w:rPr>
          <w:lang w:val="fr-CH"/>
        </w:rPr>
        <w:tab/>
      </w:r>
      <w:r w:rsidR="002C49D0" w:rsidRPr="0071782F">
        <w:rPr>
          <w:lang w:val="fr-CH"/>
        </w:rPr>
        <w:t xml:space="preserve">Ce </w:t>
      </w:r>
      <w:r w:rsidRPr="0071782F">
        <w:rPr>
          <w:lang w:val="fr-CH"/>
        </w:rPr>
        <w:t>program</w:t>
      </w:r>
      <w:r w:rsidR="002C49D0" w:rsidRPr="0071782F">
        <w:rPr>
          <w:lang w:val="fr-CH"/>
        </w:rPr>
        <w:t>me</w:t>
      </w:r>
      <w:r w:rsidRPr="0071782F">
        <w:rPr>
          <w:lang w:val="fr-CH"/>
        </w:rPr>
        <w:t xml:space="preserve">, </w:t>
      </w:r>
      <w:r w:rsidR="002C49D0" w:rsidRPr="0071782F">
        <w:rPr>
          <w:lang w:val="fr-CH"/>
        </w:rPr>
        <w:t xml:space="preserve">créé en </w:t>
      </w:r>
      <w:r w:rsidRPr="0071782F">
        <w:rPr>
          <w:lang w:val="fr-CH"/>
        </w:rPr>
        <w:t xml:space="preserve">collaboration </w:t>
      </w:r>
      <w:r w:rsidR="002C49D0" w:rsidRPr="0071782F">
        <w:rPr>
          <w:lang w:val="fr-CH"/>
        </w:rPr>
        <w:t xml:space="preserve">avec des représentants de la Division de la planification et de la </w:t>
      </w:r>
      <w:r w:rsidRPr="0071782F">
        <w:rPr>
          <w:lang w:val="fr-CH"/>
        </w:rPr>
        <w:t xml:space="preserve">supervision </w:t>
      </w:r>
      <w:r w:rsidR="002C49D0" w:rsidRPr="0071782F">
        <w:rPr>
          <w:lang w:val="fr-CH"/>
        </w:rPr>
        <w:t xml:space="preserve">de la Présidence, s’appuie sur le </w:t>
      </w:r>
      <w:r w:rsidR="00723F2B" w:rsidRPr="0071782F">
        <w:rPr>
          <w:lang w:val="fr-CH"/>
        </w:rPr>
        <w:t>paragraphe </w:t>
      </w:r>
      <w:r w:rsidRPr="0071782F">
        <w:rPr>
          <w:lang w:val="fr-CH"/>
        </w:rPr>
        <w:t xml:space="preserve">Y </w:t>
      </w:r>
      <w:r w:rsidR="002C49D0"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52 </w:t>
      </w:r>
      <w:r w:rsidR="002C49D0" w:rsidRPr="0071782F">
        <w:rPr>
          <w:lang w:val="fr-CH"/>
        </w:rPr>
        <w:t xml:space="preserve">du </w:t>
      </w:r>
      <w:r w:rsidR="00A90208" w:rsidRPr="0071782F">
        <w:rPr>
          <w:lang w:val="fr-CH"/>
        </w:rPr>
        <w:t>quatrième</w:t>
      </w:r>
      <w:r w:rsidR="002C49D0" w:rsidRPr="0071782F">
        <w:rPr>
          <w:lang w:val="fr-CH"/>
        </w:rPr>
        <w:t xml:space="preserve"> plan de développement et sur les </w:t>
      </w:r>
      <w:r w:rsidR="009236BB" w:rsidRPr="0071782F">
        <w:rPr>
          <w:lang w:val="fr-CH"/>
        </w:rPr>
        <w:t>paragraphes </w:t>
      </w:r>
      <w:r w:rsidRPr="0071782F">
        <w:rPr>
          <w:lang w:val="fr-CH"/>
        </w:rPr>
        <w:t xml:space="preserve">1 </w:t>
      </w:r>
      <w:r w:rsidR="002C49D0" w:rsidRPr="0071782F">
        <w:rPr>
          <w:lang w:val="fr-CH"/>
        </w:rPr>
        <w:t>et</w:t>
      </w:r>
      <w:r w:rsidRPr="0071782F">
        <w:rPr>
          <w:lang w:val="fr-CH"/>
        </w:rPr>
        <w:t xml:space="preserve"> 2 </w:t>
      </w:r>
      <w:r w:rsidR="002C49D0"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2 </w:t>
      </w:r>
      <w:r w:rsidR="002C49D0" w:rsidRPr="0071782F">
        <w:rPr>
          <w:lang w:val="fr-CH"/>
        </w:rPr>
        <w:t xml:space="preserve">de la </w:t>
      </w:r>
      <w:r w:rsidRPr="0071782F">
        <w:rPr>
          <w:lang w:val="fr-CH"/>
        </w:rPr>
        <w:t>d</w:t>
      </w:r>
      <w:r w:rsidR="002C49D0" w:rsidRPr="0071782F">
        <w:rPr>
          <w:lang w:val="fr-CH"/>
        </w:rPr>
        <w:t>é</w:t>
      </w:r>
      <w:r w:rsidRPr="0071782F">
        <w:rPr>
          <w:lang w:val="fr-CH"/>
        </w:rPr>
        <w:t xml:space="preserve">cision </w:t>
      </w:r>
      <w:r w:rsidR="002C49D0" w:rsidRPr="0071782F">
        <w:rPr>
          <w:lang w:val="fr-CH"/>
        </w:rPr>
        <w:t>n</w:t>
      </w:r>
      <w:r w:rsidR="008F6006" w:rsidRPr="008F6006">
        <w:rPr>
          <w:vertAlign w:val="superscript"/>
          <w:lang w:val="fr-CH"/>
        </w:rPr>
        <w:t>o</w:t>
      </w:r>
      <w:r w:rsidR="008F6006">
        <w:rPr>
          <w:lang w:val="fr-CH"/>
        </w:rPr>
        <w:t> </w:t>
      </w:r>
      <w:r w:rsidRPr="0071782F">
        <w:rPr>
          <w:lang w:val="fr-CH"/>
        </w:rPr>
        <w:t xml:space="preserve">595 </w:t>
      </w:r>
      <w:r w:rsidR="002C49D0" w:rsidRPr="0071782F">
        <w:rPr>
          <w:lang w:val="fr-CH"/>
        </w:rPr>
        <w:t>du Haut Conseil culturel de la Révolution</w:t>
      </w:r>
      <w:r w:rsidRPr="0071782F">
        <w:rPr>
          <w:lang w:val="fr-CH"/>
        </w:rPr>
        <w:t>. I</w:t>
      </w:r>
      <w:r w:rsidR="002C49D0" w:rsidRPr="0071782F">
        <w:rPr>
          <w:lang w:val="fr-CH"/>
        </w:rPr>
        <w:t>l s’agit d’en faire bénéficier l’ensemble des analphabètes âgés de 10 à 49</w:t>
      </w:r>
      <w:r w:rsidR="00D82C96" w:rsidRPr="0071782F">
        <w:rPr>
          <w:lang w:val="fr-CH"/>
        </w:rPr>
        <w:t> ans</w:t>
      </w:r>
      <w:r w:rsidR="002C49D0" w:rsidRPr="0071782F">
        <w:rPr>
          <w:lang w:val="fr-CH"/>
        </w:rPr>
        <w:t xml:space="preserve"> pendant la période </w:t>
      </w:r>
      <w:r w:rsidRPr="0071782F">
        <w:rPr>
          <w:lang w:val="fr-CH"/>
        </w:rPr>
        <w:t>2009</w:t>
      </w:r>
      <w:r w:rsidR="002C49D0" w:rsidRPr="0071782F">
        <w:rPr>
          <w:lang w:val="fr-CH"/>
        </w:rPr>
        <w:t>-</w:t>
      </w:r>
      <w:r w:rsidRPr="0071782F">
        <w:rPr>
          <w:lang w:val="fr-CH"/>
        </w:rPr>
        <w:t>2014.</w:t>
      </w:r>
    </w:p>
    <w:p w:rsidR="00186B76" w:rsidRPr="0071782F" w:rsidRDefault="00186B76" w:rsidP="00A45A11">
      <w:pPr>
        <w:pStyle w:val="SingleTxtG"/>
        <w:rPr>
          <w:lang w:val="fr-CH"/>
        </w:rPr>
      </w:pPr>
      <w:r w:rsidRPr="0071782F">
        <w:rPr>
          <w:lang w:val="fr-CH"/>
        </w:rPr>
        <w:t>385.</w:t>
      </w:r>
      <w:r w:rsidRPr="0071782F">
        <w:rPr>
          <w:lang w:val="fr-CH"/>
        </w:rPr>
        <w:tab/>
      </w:r>
      <w:r w:rsidR="002C49D0" w:rsidRPr="0071782F">
        <w:rPr>
          <w:lang w:val="fr-CH"/>
        </w:rPr>
        <w:t>L’Organisation du Mouvement pour l’alphabétisation relève actuellement du Ministère de l’éducation et son budget fait partie intégrante du budget de ce Ministère.</w:t>
      </w:r>
      <w:r w:rsidRPr="0071782F">
        <w:rPr>
          <w:lang w:val="fr-CH"/>
        </w:rPr>
        <w:t xml:space="preserve"> </w:t>
      </w:r>
      <w:r w:rsidR="002C49D0" w:rsidRPr="0071782F">
        <w:rPr>
          <w:lang w:val="fr-CH"/>
        </w:rPr>
        <w:t>Seule l’organisation centrale du Mouvement à Téhéran agit à titre d’entité indépendante.</w:t>
      </w:r>
    </w:p>
    <w:p w:rsidR="00186B76" w:rsidRPr="0071782F" w:rsidRDefault="00186B76" w:rsidP="00A45A11">
      <w:pPr>
        <w:pStyle w:val="SingleTxtG"/>
        <w:rPr>
          <w:lang w:val="fr-CH"/>
        </w:rPr>
      </w:pPr>
      <w:r w:rsidRPr="0071782F">
        <w:rPr>
          <w:lang w:val="fr-CH"/>
        </w:rPr>
        <w:t>386.</w:t>
      </w:r>
      <w:r w:rsidRPr="0071782F">
        <w:rPr>
          <w:lang w:val="fr-CH"/>
        </w:rPr>
        <w:tab/>
      </w:r>
      <w:r w:rsidR="002C49D0" w:rsidRPr="0071782F">
        <w:rPr>
          <w:lang w:val="fr-CH"/>
        </w:rPr>
        <w:t>Les activités du Mouvement pour l’alphabétisation ont joué un rôle essentiel dans l’élévation du niveau éducatif du pays et ont puissamment contribué à réduire les écart</w:t>
      </w:r>
      <w:r w:rsidR="003B1403" w:rsidRPr="0071782F">
        <w:rPr>
          <w:lang w:val="fr-CH"/>
        </w:rPr>
        <w:t>s</w:t>
      </w:r>
      <w:r w:rsidR="002C49D0" w:rsidRPr="0071782F">
        <w:rPr>
          <w:lang w:val="fr-CH"/>
        </w:rPr>
        <w:t xml:space="preserve"> de taux d’analphabétisme entre hommes et femmes de différents groupes sociaux et groupes d’âge</w:t>
      </w:r>
      <w:r w:rsidRPr="0071782F">
        <w:rPr>
          <w:lang w:val="fr-CH"/>
        </w:rPr>
        <w:t>.</w:t>
      </w:r>
    </w:p>
    <w:p w:rsidR="00186B76" w:rsidRPr="0071782F" w:rsidRDefault="00186B76" w:rsidP="00A45A11">
      <w:pPr>
        <w:pStyle w:val="H1G"/>
        <w:rPr>
          <w:lang w:val="fr-CH"/>
        </w:rPr>
      </w:pPr>
      <w:r w:rsidRPr="0071782F">
        <w:rPr>
          <w:lang w:val="fr-CH"/>
        </w:rPr>
        <w:tab/>
      </w:r>
      <w:r w:rsidRPr="0071782F">
        <w:rPr>
          <w:lang w:val="fr-CH"/>
        </w:rPr>
        <w:tab/>
      </w:r>
      <w:r w:rsidR="002C49D0" w:rsidRPr="0071782F">
        <w:rPr>
          <w:lang w:val="fr-CH"/>
        </w:rPr>
        <w:t xml:space="preserve">La nouvelle approche de l’alphabétisation en Iran </w:t>
      </w:r>
    </w:p>
    <w:p w:rsidR="00186B76" w:rsidRPr="0071782F" w:rsidRDefault="00186B76" w:rsidP="00A45A11">
      <w:pPr>
        <w:pStyle w:val="SingleTxtG"/>
        <w:rPr>
          <w:lang w:val="fr-CH"/>
        </w:rPr>
      </w:pPr>
      <w:r w:rsidRPr="0071782F">
        <w:rPr>
          <w:lang w:val="fr-CH"/>
        </w:rPr>
        <w:t>387.</w:t>
      </w:r>
      <w:r w:rsidRPr="0071782F">
        <w:rPr>
          <w:lang w:val="fr-CH"/>
        </w:rPr>
        <w:tab/>
      </w:r>
      <w:r w:rsidR="008F28C7" w:rsidRPr="0071782F">
        <w:rPr>
          <w:lang w:val="fr-CH"/>
        </w:rPr>
        <w:t>À ce sujet, il convient de noter ce qui suit</w:t>
      </w:r>
      <w:r w:rsidR="008F7D33" w:rsidRPr="0071782F">
        <w:rPr>
          <w:lang w:val="fr-CH"/>
        </w:rPr>
        <w:t>:</w:t>
      </w:r>
    </w:p>
    <w:p w:rsidR="00186B76" w:rsidRPr="0071782F" w:rsidRDefault="00186B76" w:rsidP="00A45A11">
      <w:pPr>
        <w:pStyle w:val="SingleTxtG"/>
        <w:ind w:left="1701"/>
        <w:rPr>
          <w:lang w:val="fr-CH"/>
        </w:rPr>
      </w:pPr>
      <w:r w:rsidRPr="0071782F">
        <w:rPr>
          <w:lang w:val="fr-CH"/>
        </w:rPr>
        <w:t>387.1</w:t>
      </w:r>
      <w:r w:rsidR="00683211" w:rsidRPr="0071782F">
        <w:rPr>
          <w:lang w:val="fr-CH"/>
        </w:rPr>
        <w:t>.</w:t>
      </w:r>
      <w:r w:rsidRPr="0071782F">
        <w:rPr>
          <w:lang w:val="fr-CH"/>
        </w:rPr>
        <w:tab/>
      </w:r>
      <w:r w:rsidR="00E74323" w:rsidRPr="0071782F">
        <w:rPr>
          <w:lang w:val="fr-CH"/>
        </w:rPr>
        <w:t xml:space="preserve">D’importants changements sont apportés à la </w:t>
      </w:r>
      <w:r w:rsidRPr="0071782F">
        <w:rPr>
          <w:lang w:val="fr-CH"/>
        </w:rPr>
        <w:t xml:space="preserve">structure </w:t>
      </w:r>
      <w:r w:rsidR="00E74323" w:rsidRPr="0071782F">
        <w:rPr>
          <w:lang w:val="fr-CH"/>
        </w:rPr>
        <w:t>de l’enseignement (cours d’alphabétisation).</w:t>
      </w:r>
      <w:r w:rsidRPr="0071782F">
        <w:rPr>
          <w:lang w:val="fr-CH"/>
        </w:rPr>
        <w:t xml:space="preserve"> </w:t>
      </w:r>
      <w:r w:rsidR="00E74323" w:rsidRPr="0071782F">
        <w:rPr>
          <w:lang w:val="fr-CH"/>
        </w:rPr>
        <w:t>L’a</w:t>
      </w:r>
      <w:r w:rsidRPr="0071782F">
        <w:rPr>
          <w:lang w:val="fr-CH"/>
        </w:rPr>
        <w:t xml:space="preserve">daptation </w:t>
      </w:r>
      <w:r w:rsidR="00E74323" w:rsidRPr="0071782F">
        <w:rPr>
          <w:lang w:val="fr-CH"/>
        </w:rPr>
        <w:t>est une caractéristique essentielle des adultes</w:t>
      </w:r>
      <w:r w:rsidRPr="0071782F">
        <w:rPr>
          <w:lang w:val="fr-CH"/>
        </w:rPr>
        <w:t xml:space="preserve">. </w:t>
      </w:r>
      <w:r w:rsidR="00E74323" w:rsidRPr="0071782F">
        <w:rPr>
          <w:lang w:val="fr-CH"/>
        </w:rPr>
        <w:t>Une fois obtenue l’approbation du Haut Conseil de l’éducation, les contenus des programmes d’alphabétisation seront profondément remaniés. Il en résultera des changements dans les méthodes de recrutement, d’enseignement et d’é</w:t>
      </w:r>
      <w:r w:rsidRPr="0071782F">
        <w:rPr>
          <w:lang w:val="fr-CH"/>
        </w:rPr>
        <w:t>valuation.</w:t>
      </w:r>
    </w:p>
    <w:p w:rsidR="00186B76" w:rsidRPr="0071782F" w:rsidRDefault="00186B76" w:rsidP="00A45A11">
      <w:pPr>
        <w:pStyle w:val="SingleTxtG"/>
        <w:ind w:left="1701"/>
        <w:rPr>
          <w:lang w:val="fr-CH"/>
        </w:rPr>
      </w:pPr>
      <w:r w:rsidRPr="0071782F">
        <w:rPr>
          <w:lang w:val="fr-CH"/>
        </w:rPr>
        <w:t>387.2</w:t>
      </w:r>
      <w:r w:rsidR="00683211" w:rsidRPr="0071782F">
        <w:rPr>
          <w:lang w:val="fr-CH"/>
        </w:rPr>
        <w:t>.</w:t>
      </w:r>
      <w:r w:rsidRPr="0071782F">
        <w:rPr>
          <w:lang w:val="fr-CH"/>
        </w:rPr>
        <w:tab/>
        <w:t xml:space="preserve">Application </w:t>
      </w:r>
      <w:r w:rsidR="003B5467" w:rsidRPr="0071782F">
        <w:rPr>
          <w:lang w:val="fr-CH"/>
        </w:rPr>
        <w:t xml:space="preserve">d’approches </w:t>
      </w:r>
      <w:r w:rsidRPr="0071782F">
        <w:rPr>
          <w:lang w:val="fr-CH"/>
        </w:rPr>
        <w:t>participative</w:t>
      </w:r>
      <w:r w:rsidR="003B5467" w:rsidRPr="0071782F">
        <w:rPr>
          <w:lang w:val="fr-CH"/>
        </w:rPr>
        <w:t>s</w:t>
      </w:r>
      <w:r w:rsidRPr="0071782F">
        <w:rPr>
          <w:lang w:val="fr-CH"/>
        </w:rPr>
        <w:t xml:space="preserve"> </w:t>
      </w:r>
      <w:r w:rsidR="003B5467" w:rsidRPr="0071782F">
        <w:rPr>
          <w:lang w:val="fr-CH"/>
        </w:rPr>
        <w:t>aux activités d’alphabétisation</w:t>
      </w:r>
      <w:r w:rsidRPr="0071782F">
        <w:rPr>
          <w:lang w:val="fr-CH"/>
        </w:rPr>
        <w:t>.</w:t>
      </w:r>
    </w:p>
    <w:p w:rsidR="00186B76" w:rsidRPr="0071782F" w:rsidRDefault="00186B76" w:rsidP="00A45A11">
      <w:pPr>
        <w:pStyle w:val="SingleTxtG"/>
        <w:ind w:left="1701"/>
        <w:rPr>
          <w:lang w:val="fr-CH"/>
        </w:rPr>
      </w:pPr>
      <w:r w:rsidRPr="0071782F">
        <w:rPr>
          <w:lang w:val="fr-CH"/>
        </w:rPr>
        <w:t>387.3</w:t>
      </w:r>
      <w:r w:rsidR="00683211" w:rsidRPr="0071782F">
        <w:rPr>
          <w:lang w:val="fr-CH"/>
        </w:rPr>
        <w:t>.</w:t>
      </w:r>
      <w:r w:rsidR="003B5467" w:rsidRPr="0071782F">
        <w:rPr>
          <w:lang w:val="fr-CH"/>
        </w:rPr>
        <w:tab/>
        <w:t>Utilis</w:t>
      </w:r>
      <w:r w:rsidRPr="0071782F">
        <w:rPr>
          <w:lang w:val="fr-CH"/>
        </w:rPr>
        <w:t xml:space="preserve">ation </w:t>
      </w:r>
      <w:r w:rsidR="003B5467" w:rsidRPr="0071782F">
        <w:rPr>
          <w:lang w:val="fr-CH"/>
        </w:rPr>
        <w:t>des capacité</w:t>
      </w:r>
      <w:r w:rsidRPr="0071782F">
        <w:rPr>
          <w:lang w:val="fr-CH"/>
        </w:rPr>
        <w:t xml:space="preserve">s </w:t>
      </w:r>
      <w:r w:rsidR="003B5467" w:rsidRPr="0071782F">
        <w:rPr>
          <w:lang w:val="fr-CH"/>
        </w:rPr>
        <w:t xml:space="preserve">locales et </w:t>
      </w:r>
      <w:r w:rsidRPr="0071782F">
        <w:rPr>
          <w:lang w:val="fr-CH"/>
        </w:rPr>
        <w:t>d</w:t>
      </w:r>
      <w:r w:rsidR="003B5467" w:rsidRPr="0071782F">
        <w:rPr>
          <w:lang w:val="fr-CH"/>
        </w:rPr>
        <w:t>écentralis</w:t>
      </w:r>
      <w:r w:rsidRPr="0071782F">
        <w:rPr>
          <w:lang w:val="fr-CH"/>
        </w:rPr>
        <w:t xml:space="preserve">ation </w:t>
      </w:r>
      <w:r w:rsidR="003B5467" w:rsidRPr="0071782F">
        <w:rPr>
          <w:lang w:val="fr-CH"/>
        </w:rPr>
        <w:t>des activités d’exécution</w:t>
      </w:r>
      <w:r w:rsidRPr="0071782F">
        <w:rPr>
          <w:lang w:val="fr-CH"/>
        </w:rPr>
        <w:t>.</w:t>
      </w:r>
    </w:p>
    <w:p w:rsidR="00186B76" w:rsidRPr="0071782F" w:rsidRDefault="00186B76" w:rsidP="00A45A11">
      <w:pPr>
        <w:pStyle w:val="SingleTxtG"/>
        <w:ind w:left="1701"/>
        <w:rPr>
          <w:lang w:val="fr-CH"/>
        </w:rPr>
      </w:pPr>
      <w:r w:rsidRPr="0071782F">
        <w:rPr>
          <w:lang w:val="fr-CH"/>
        </w:rPr>
        <w:t>387.4</w:t>
      </w:r>
      <w:r w:rsidR="00683211" w:rsidRPr="0071782F">
        <w:rPr>
          <w:lang w:val="fr-CH"/>
        </w:rPr>
        <w:t>.</w:t>
      </w:r>
      <w:r w:rsidRPr="0071782F">
        <w:rPr>
          <w:lang w:val="fr-CH"/>
        </w:rPr>
        <w:tab/>
        <w:t xml:space="preserve">Adoption </w:t>
      </w:r>
      <w:r w:rsidR="003B5467" w:rsidRPr="0071782F">
        <w:rPr>
          <w:lang w:val="fr-CH"/>
        </w:rPr>
        <w:t>de politiques générales conformes aux besoins régionaux et aux divisions régionales</w:t>
      </w:r>
      <w:r w:rsidRPr="0071782F">
        <w:rPr>
          <w:lang w:val="fr-CH"/>
        </w:rPr>
        <w:t>.</w:t>
      </w:r>
    </w:p>
    <w:p w:rsidR="00186B76" w:rsidRPr="0071782F" w:rsidRDefault="00186B76" w:rsidP="00A45A11">
      <w:pPr>
        <w:pStyle w:val="SingleTxtG"/>
        <w:ind w:left="1701"/>
        <w:rPr>
          <w:lang w:val="fr-CH"/>
        </w:rPr>
      </w:pPr>
      <w:r w:rsidRPr="0071782F">
        <w:rPr>
          <w:lang w:val="fr-CH"/>
        </w:rPr>
        <w:t>387.5</w:t>
      </w:r>
      <w:r w:rsidR="00683211" w:rsidRPr="0071782F">
        <w:rPr>
          <w:lang w:val="fr-CH"/>
        </w:rPr>
        <w:t>.</w:t>
      </w:r>
      <w:r w:rsidRPr="0071782F">
        <w:rPr>
          <w:lang w:val="fr-CH"/>
        </w:rPr>
        <w:tab/>
      </w:r>
      <w:r w:rsidR="003B5467" w:rsidRPr="0071782F">
        <w:rPr>
          <w:lang w:val="fr-CH"/>
        </w:rPr>
        <w:t>Renforcement des capacités des spécialistes et planificateurs nationaux et provinciaux</w:t>
      </w:r>
      <w:r w:rsidRPr="0071782F">
        <w:rPr>
          <w:lang w:val="fr-CH"/>
        </w:rPr>
        <w:t>.</w:t>
      </w:r>
    </w:p>
    <w:p w:rsidR="00186B76" w:rsidRPr="0071782F" w:rsidRDefault="00186B76" w:rsidP="00A45A11">
      <w:pPr>
        <w:pStyle w:val="SingleTxtG"/>
        <w:ind w:left="1701"/>
        <w:rPr>
          <w:lang w:val="fr-CH"/>
        </w:rPr>
      </w:pPr>
      <w:r w:rsidRPr="0071782F">
        <w:rPr>
          <w:lang w:val="fr-CH"/>
        </w:rPr>
        <w:t>387.6</w:t>
      </w:r>
      <w:r w:rsidR="00683211" w:rsidRPr="0071782F">
        <w:rPr>
          <w:lang w:val="fr-CH"/>
        </w:rPr>
        <w:t>.</w:t>
      </w:r>
      <w:r w:rsidRPr="0071782F">
        <w:rPr>
          <w:lang w:val="fr-CH"/>
        </w:rPr>
        <w:tab/>
      </w:r>
      <w:r w:rsidR="003B5467" w:rsidRPr="0071782F">
        <w:rPr>
          <w:lang w:val="fr-CH"/>
        </w:rPr>
        <w:t xml:space="preserve">Création de ressources et de contenus adaptés </w:t>
      </w:r>
      <w:r w:rsidR="00175962" w:rsidRPr="0071782F">
        <w:rPr>
          <w:lang w:val="fr-CH"/>
        </w:rPr>
        <w:t>aux personnes</w:t>
      </w:r>
      <w:r w:rsidR="003B5467" w:rsidRPr="0071782F">
        <w:rPr>
          <w:lang w:val="fr-CH"/>
        </w:rPr>
        <w:t xml:space="preserve"> dont le niveau d’alphabétisation est faible ou nul ainsi qu’aux besoins locaux et aux caractéristiques culturelles et climatiques de chaque province. </w:t>
      </w:r>
    </w:p>
    <w:p w:rsidR="00186B76" w:rsidRPr="0071782F" w:rsidRDefault="00186B76" w:rsidP="00A45A11">
      <w:pPr>
        <w:pStyle w:val="SingleTxtG"/>
        <w:ind w:left="1701"/>
        <w:rPr>
          <w:lang w:val="fr-CH"/>
        </w:rPr>
      </w:pPr>
      <w:r w:rsidRPr="0071782F">
        <w:rPr>
          <w:lang w:val="fr-CH"/>
        </w:rPr>
        <w:t>387.7</w:t>
      </w:r>
      <w:r w:rsidR="00683211" w:rsidRPr="0071782F">
        <w:rPr>
          <w:lang w:val="fr-CH"/>
        </w:rPr>
        <w:t>.</w:t>
      </w:r>
      <w:r w:rsidRPr="0071782F">
        <w:rPr>
          <w:lang w:val="fr-CH"/>
        </w:rPr>
        <w:tab/>
      </w:r>
      <w:r w:rsidR="003B5467" w:rsidRPr="0071782F">
        <w:rPr>
          <w:lang w:val="fr-CH"/>
        </w:rPr>
        <w:t xml:space="preserve">Une éducation axée tant sur l’alphabétisation que sur l’acquisition de compétences pratiques, et développement des compétences professionnelles dans plus de 3 </w:t>
      </w:r>
      <w:r w:rsidRPr="0071782F">
        <w:rPr>
          <w:lang w:val="fr-CH"/>
        </w:rPr>
        <w:t xml:space="preserve">200 </w:t>
      </w:r>
      <w:r w:rsidR="003B5467" w:rsidRPr="0071782F">
        <w:rPr>
          <w:lang w:val="fr-CH"/>
        </w:rPr>
        <w:t>établissements d’enseignement en</w:t>
      </w:r>
      <w:r w:rsidRPr="0071782F">
        <w:rPr>
          <w:lang w:val="fr-CH"/>
        </w:rPr>
        <w:t xml:space="preserve"> 2006.</w:t>
      </w:r>
    </w:p>
    <w:p w:rsidR="00186B76" w:rsidRPr="0071782F" w:rsidRDefault="00186B76" w:rsidP="00A45A11">
      <w:pPr>
        <w:pStyle w:val="SingleTxtG"/>
        <w:ind w:left="1701"/>
        <w:rPr>
          <w:lang w:val="fr-CH"/>
        </w:rPr>
      </w:pPr>
      <w:r w:rsidRPr="0071782F">
        <w:rPr>
          <w:lang w:val="fr-CH"/>
        </w:rPr>
        <w:t>387.8</w:t>
      </w:r>
      <w:r w:rsidR="00683211" w:rsidRPr="0071782F">
        <w:rPr>
          <w:lang w:val="fr-CH"/>
        </w:rPr>
        <w:t>.</w:t>
      </w:r>
      <w:r w:rsidRPr="0071782F">
        <w:rPr>
          <w:lang w:val="fr-CH"/>
        </w:rPr>
        <w:tab/>
      </w:r>
      <w:r w:rsidR="003B5467" w:rsidRPr="0071782F">
        <w:rPr>
          <w:lang w:val="fr-CH"/>
        </w:rPr>
        <w:t>P</w:t>
      </w:r>
      <w:r w:rsidRPr="0071782F">
        <w:rPr>
          <w:lang w:val="fr-CH"/>
        </w:rPr>
        <w:t xml:space="preserve">ublication </w:t>
      </w:r>
      <w:r w:rsidR="003B5467" w:rsidRPr="0071782F">
        <w:rPr>
          <w:lang w:val="fr-CH"/>
        </w:rPr>
        <w:t xml:space="preserve">sur une grande échelle de manuels simplifiés destinés à sensibiliser et à informer, et à répondre aux différents besoins d’apprentissage des </w:t>
      </w:r>
      <w:r w:rsidRPr="0071782F">
        <w:rPr>
          <w:lang w:val="fr-CH"/>
        </w:rPr>
        <w:t xml:space="preserve">participants </w:t>
      </w:r>
      <w:r w:rsidR="003B5467" w:rsidRPr="0071782F">
        <w:rPr>
          <w:lang w:val="fr-CH"/>
        </w:rPr>
        <w:t>aux programmes d’alphabétisation et de suivi</w:t>
      </w:r>
      <w:r w:rsidRPr="0071782F">
        <w:rPr>
          <w:lang w:val="fr-CH"/>
        </w:rPr>
        <w:t>.</w:t>
      </w:r>
    </w:p>
    <w:p w:rsidR="00186B76" w:rsidRPr="0071782F" w:rsidRDefault="00186B76" w:rsidP="00A45A11">
      <w:pPr>
        <w:pStyle w:val="SingleTxtG"/>
        <w:ind w:left="1701"/>
        <w:rPr>
          <w:lang w:val="fr-CH"/>
        </w:rPr>
      </w:pPr>
      <w:r w:rsidRPr="0071782F">
        <w:rPr>
          <w:lang w:val="fr-CH"/>
        </w:rPr>
        <w:t>387.9</w:t>
      </w:r>
      <w:r w:rsidR="00683211" w:rsidRPr="0071782F">
        <w:rPr>
          <w:lang w:val="fr-CH"/>
        </w:rPr>
        <w:t>.</w:t>
      </w:r>
      <w:r w:rsidRPr="0071782F">
        <w:rPr>
          <w:lang w:val="fr-CH"/>
        </w:rPr>
        <w:tab/>
      </w:r>
      <w:r w:rsidR="003B5467" w:rsidRPr="0071782F">
        <w:rPr>
          <w:lang w:val="fr-CH"/>
        </w:rPr>
        <w:t xml:space="preserve">Édition de manuels provinciaux </w:t>
      </w:r>
      <w:r w:rsidRPr="0071782F">
        <w:rPr>
          <w:lang w:val="fr-CH"/>
        </w:rPr>
        <w:t>(31</w:t>
      </w:r>
      <w:r w:rsidR="00ED06D3">
        <w:rPr>
          <w:lang w:val="fr-CH"/>
        </w:rPr>
        <w:t> </w:t>
      </w:r>
      <w:r w:rsidRPr="0071782F">
        <w:rPr>
          <w:lang w:val="fr-CH"/>
        </w:rPr>
        <w:t xml:space="preserve">provinces) </w:t>
      </w:r>
      <w:r w:rsidR="003B5467" w:rsidRPr="0071782F">
        <w:rPr>
          <w:lang w:val="fr-CH"/>
        </w:rPr>
        <w:t>adaptés aux besoins et aux modes de vie locaux des groupes cibles</w:t>
      </w:r>
      <w:r w:rsidRPr="0071782F">
        <w:rPr>
          <w:lang w:val="fr-CH"/>
        </w:rPr>
        <w:t>.</w:t>
      </w:r>
    </w:p>
    <w:p w:rsidR="00186B76" w:rsidRPr="0071782F" w:rsidRDefault="00186B76" w:rsidP="00A45A11">
      <w:pPr>
        <w:pStyle w:val="SingleTxtG"/>
        <w:ind w:left="1701"/>
        <w:rPr>
          <w:lang w:val="fr-CH"/>
        </w:rPr>
      </w:pPr>
      <w:r w:rsidRPr="0071782F">
        <w:rPr>
          <w:lang w:val="fr-CH"/>
        </w:rPr>
        <w:t>387.10</w:t>
      </w:r>
      <w:r w:rsidR="00683211" w:rsidRPr="0071782F">
        <w:rPr>
          <w:lang w:val="fr-CH"/>
        </w:rPr>
        <w:t>.</w:t>
      </w:r>
      <w:r w:rsidRPr="0071782F">
        <w:rPr>
          <w:lang w:val="fr-CH"/>
        </w:rPr>
        <w:t xml:space="preserve"> </w:t>
      </w:r>
      <w:r w:rsidR="003B5467" w:rsidRPr="0071782F">
        <w:rPr>
          <w:lang w:val="fr-CH"/>
        </w:rPr>
        <w:t>Édition de manuels spéciaux pour les populations nomades, qui tiennent compte de leurs caractéristiques écologiques</w:t>
      </w:r>
      <w:r w:rsidRPr="0071782F">
        <w:rPr>
          <w:lang w:val="fr-CH"/>
        </w:rPr>
        <w:t xml:space="preserve">, </w:t>
      </w:r>
      <w:r w:rsidR="003B5467" w:rsidRPr="0071782F">
        <w:rPr>
          <w:lang w:val="fr-CH"/>
        </w:rPr>
        <w:t>professionnelles et culturelles</w:t>
      </w:r>
      <w:r w:rsidRPr="0071782F">
        <w:rPr>
          <w:lang w:val="fr-CH"/>
        </w:rPr>
        <w:t>.</w:t>
      </w:r>
    </w:p>
    <w:p w:rsidR="00186B76" w:rsidRPr="0071782F" w:rsidRDefault="00186B76" w:rsidP="00A45A11">
      <w:pPr>
        <w:pStyle w:val="SingleTxtG"/>
        <w:ind w:left="1701"/>
        <w:rPr>
          <w:lang w:val="fr-CH"/>
        </w:rPr>
      </w:pPr>
      <w:r w:rsidRPr="0071782F">
        <w:rPr>
          <w:lang w:val="fr-CH"/>
        </w:rPr>
        <w:t>387.11</w:t>
      </w:r>
      <w:r w:rsidR="00683211" w:rsidRPr="0071782F">
        <w:rPr>
          <w:lang w:val="fr-CH"/>
        </w:rPr>
        <w:t>.</w:t>
      </w:r>
      <w:r w:rsidRPr="0071782F">
        <w:rPr>
          <w:lang w:val="fr-CH"/>
        </w:rPr>
        <w:t xml:space="preserve"> </w:t>
      </w:r>
      <w:r w:rsidR="003B5467" w:rsidRPr="0071782F">
        <w:rPr>
          <w:lang w:val="fr-CH"/>
        </w:rPr>
        <w:t xml:space="preserve">Mise en </w:t>
      </w:r>
      <w:r w:rsidR="00D5366B" w:rsidRPr="0071782F">
        <w:rPr>
          <w:lang w:val="fr-CH"/>
        </w:rPr>
        <w:t>œuvre</w:t>
      </w:r>
      <w:r w:rsidR="003B5467" w:rsidRPr="0071782F">
        <w:rPr>
          <w:lang w:val="fr-CH"/>
        </w:rPr>
        <w:t xml:space="preserve"> d’un large éventail de méthodes pédagogiques, comme l’enseignement en classe, l’enseignement personnalisé et le téléenseignement</w:t>
      </w:r>
      <w:r w:rsidRPr="0071782F">
        <w:rPr>
          <w:lang w:val="fr-CH"/>
        </w:rPr>
        <w:t>.</w:t>
      </w:r>
    </w:p>
    <w:p w:rsidR="00186B76" w:rsidRPr="0071782F" w:rsidRDefault="00186B76" w:rsidP="00383098">
      <w:pPr>
        <w:pStyle w:val="SingleTxtG"/>
        <w:ind w:left="1701"/>
        <w:rPr>
          <w:lang w:val="fr-CH"/>
        </w:rPr>
      </w:pPr>
      <w:r w:rsidRPr="0071782F">
        <w:rPr>
          <w:lang w:val="fr-CH"/>
        </w:rPr>
        <w:t>387.12</w:t>
      </w:r>
      <w:r w:rsidR="00683211" w:rsidRPr="0071782F">
        <w:rPr>
          <w:lang w:val="fr-CH"/>
        </w:rPr>
        <w:t>.</w:t>
      </w:r>
      <w:r w:rsidRPr="0071782F">
        <w:rPr>
          <w:lang w:val="fr-CH"/>
        </w:rPr>
        <w:t xml:space="preserve"> </w:t>
      </w:r>
      <w:r w:rsidR="0069627E" w:rsidRPr="0071782F">
        <w:rPr>
          <w:lang w:val="fr-CH"/>
        </w:rPr>
        <w:t xml:space="preserve">L’enseignement par la </w:t>
      </w:r>
      <w:r w:rsidRPr="0071782F">
        <w:rPr>
          <w:lang w:val="fr-CH"/>
        </w:rPr>
        <w:t>t</w:t>
      </w:r>
      <w:r w:rsidR="0069627E" w:rsidRPr="0071782F">
        <w:rPr>
          <w:lang w:val="fr-CH"/>
        </w:rPr>
        <w:t>é</w:t>
      </w:r>
      <w:r w:rsidRPr="0071782F">
        <w:rPr>
          <w:lang w:val="fr-CH"/>
        </w:rPr>
        <w:t>l</w:t>
      </w:r>
      <w:r w:rsidR="0069627E" w:rsidRPr="0071782F">
        <w:rPr>
          <w:lang w:val="fr-CH"/>
        </w:rPr>
        <w:t>é</w:t>
      </w:r>
      <w:r w:rsidRPr="0071782F">
        <w:rPr>
          <w:lang w:val="fr-CH"/>
        </w:rPr>
        <w:t xml:space="preserve">vision </w:t>
      </w:r>
      <w:r w:rsidR="0069627E" w:rsidRPr="0071782F">
        <w:rPr>
          <w:lang w:val="fr-CH"/>
        </w:rPr>
        <w:t xml:space="preserve">est utilisé dans les deux </w:t>
      </w:r>
      <w:r w:rsidRPr="0071782F">
        <w:rPr>
          <w:lang w:val="fr-CH"/>
        </w:rPr>
        <w:t xml:space="preserve">provinces of Hamedan </w:t>
      </w:r>
      <w:r w:rsidR="0069627E" w:rsidRPr="0071782F">
        <w:rPr>
          <w:lang w:val="fr-CH"/>
        </w:rPr>
        <w:t xml:space="preserve">et de </w:t>
      </w:r>
      <w:r w:rsidRPr="0071782F">
        <w:rPr>
          <w:lang w:val="fr-CH"/>
        </w:rPr>
        <w:t xml:space="preserve">Fars </w:t>
      </w:r>
      <w:r w:rsidR="0069627E" w:rsidRPr="0071782F">
        <w:rPr>
          <w:lang w:val="fr-CH"/>
        </w:rPr>
        <w:t xml:space="preserve">depuis </w:t>
      </w:r>
      <w:r w:rsidRPr="0071782F">
        <w:rPr>
          <w:lang w:val="fr-CH"/>
        </w:rPr>
        <w:t xml:space="preserve">2003. </w:t>
      </w:r>
      <w:r w:rsidR="0069627E" w:rsidRPr="0071782F">
        <w:rPr>
          <w:lang w:val="fr-CH"/>
        </w:rPr>
        <w:t xml:space="preserve">À l’heure actuelle, les cours sont diffusés par les chaînes de télévision nationales et provinciales sous le titre de </w:t>
      </w:r>
      <w:r w:rsidR="00A62149" w:rsidRPr="0071782F">
        <w:rPr>
          <w:lang w:val="fr-CH"/>
        </w:rPr>
        <w:t>"</w:t>
      </w:r>
      <w:r w:rsidRPr="0071782F">
        <w:rPr>
          <w:lang w:val="fr-CH"/>
        </w:rPr>
        <w:t>second</w:t>
      </w:r>
      <w:r w:rsidR="0069627E" w:rsidRPr="0071782F">
        <w:rPr>
          <w:lang w:val="fr-CH"/>
        </w:rPr>
        <w:t>e</w:t>
      </w:r>
      <w:r w:rsidRPr="0071782F">
        <w:rPr>
          <w:lang w:val="fr-CH"/>
        </w:rPr>
        <w:t xml:space="preserve"> chance</w:t>
      </w:r>
      <w:r w:rsidR="00A62149" w:rsidRPr="0071782F">
        <w:rPr>
          <w:lang w:val="fr-CH"/>
        </w:rPr>
        <w:t>"</w:t>
      </w:r>
      <w:r w:rsidRPr="0071782F">
        <w:rPr>
          <w:lang w:val="fr-CH"/>
        </w:rPr>
        <w:t xml:space="preserve">. </w:t>
      </w:r>
      <w:r w:rsidR="0069627E" w:rsidRPr="0071782F">
        <w:rPr>
          <w:lang w:val="fr-CH"/>
        </w:rPr>
        <w:t xml:space="preserve">La diversité des méthodes d’enseignement a permis à des catégories </w:t>
      </w:r>
      <w:r w:rsidR="00D82C96" w:rsidRPr="0071782F">
        <w:rPr>
          <w:lang w:val="fr-CH"/>
        </w:rPr>
        <w:t>de personnes</w:t>
      </w:r>
      <w:r w:rsidR="0069627E" w:rsidRPr="0071782F">
        <w:rPr>
          <w:lang w:val="fr-CH"/>
        </w:rPr>
        <w:t xml:space="preserve"> très diverses d’accéder à l’apprentissage</w:t>
      </w:r>
      <w:r w:rsidRPr="0071782F">
        <w:rPr>
          <w:lang w:val="fr-CH"/>
        </w:rPr>
        <w:t xml:space="preserve">. </w:t>
      </w:r>
      <w:r w:rsidR="0069627E" w:rsidRPr="0071782F">
        <w:rPr>
          <w:lang w:val="fr-CH"/>
        </w:rPr>
        <w:t xml:space="preserve">Cette approche doit être développée dans le </w:t>
      </w:r>
      <w:r w:rsidR="00A90208" w:rsidRPr="0071782F">
        <w:rPr>
          <w:lang w:val="fr-CH"/>
        </w:rPr>
        <w:t>cinquième</w:t>
      </w:r>
      <w:r w:rsidR="00ED06D3">
        <w:rPr>
          <w:lang w:val="fr-CH"/>
        </w:rPr>
        <w:t xml:space="preserve"> </w:t>
      </w:r>
      <w:r w:rsidR="0069627E" w:rsidRPr="0071782F">
        <w:rPr>
          <w:lang w:val="fr-CH"/>
        </w:rPr>
        <w:t>plan de développement</w:t>
      </w:r>
      <w:r w:rsidRPr="0071782F">
        <w:rPr>
          <w:lang w:val="fr-CH"/>
        </w:rPr>
        <w:t xml:space="preserve">. </w:t>
      </w:r>
    </w:p>
    <w:p w:rsidR="00186B76" w:rsidRPr="0071782F" w:rsidRDefault="00186B76" w:rsidP="00A45A11">
      <w:pPr>
        <w:pStyle w:val="H1G"/>
        <w:rPr>
          <w:lang w:val="fr-CH"/>
        </w:rPr>
      </w:pPr>
      <w:r w:rsidRPr="0071782F">
        <w:rPr>
          <w:lang w:val="fr-CH"/>
        </w:rPr>
        <w:tab/>
      </w:r>
      <w:r w:rsidRPr="0071782F">
        <w:rPr>
          <w:lang w:val="fr-CH"/>
        </w:rPr>
        <w:tab/>
      </w:r>
      <w:r w:rsidR="0069627E" w:rsidRPr="0071782F">
        <w:rPr>
          <w:lang w:val="fr-CH"/>
        </w:rPr>
        <w:t xml:space="preserve">Activités du Mouvement pour l’alphabétisation </w:t>
      </w:r>
      <w:r w:rsidRPr="0071782F">
        <w:rPr>
          <w:lang w:val="fr-CH"/>
        </w:rPr>
        <w:t>(1997</w:t>
      </w:r>
      <w:r w:rsidR="0069627E" w:rsidRPr="0071782F">
        <w:rPr>
          <w:lang w:val="fr-CH"/>
        </w:rPr>
        <w:t>-</w:t>
      </w:r>
      <w:r w:rsidRPr="0071782F">
        <w:rPr>
          <w:lang w:val="fr-CH"/>
        </w:rPr>
        <w:t>2006)</w:t>
      </w:r>
    </w:p>
    <w:p w:rsidR="00186B76" w:rsidRPr="0071782F" w:rsidRDefault="00186B76" w:rsidP="00A45A11">
      <w:pPr>
        <w:pStyle w:val="SingleTxtG"/>
        <w:rPr>
          <w:lang w:val="fr-CH"/>
        </w:rPr>
      </w:pPr>
      <w:r w:rsidRPr="0071782F">
        <w:rPr>
          <w:lang w:val="fr-CH"/>
        </w:rPr>
        <w:t>388.</w:t>
      </w:r>
      <w:r w:rsidRPr="0071782F">
        <w:rPr>
          <w:lang w:val="fr-CH"/>
        </w:rPr>
        <w:tab/>
      </w:r>
      <w:r w:rsidR="0069627E" w:rsidRPr="0071782F">
        <w:rPr>
          <w:lang w:val="fr-CH"/>
        </w:rPr>
        <w:t>Entre 1996 et 2007,</w:t>
      </w:r>
      <w:r w:rsidRPr="0071782F">
        <w:rPr>
          <w:lang w:val="fr-CH"/>
        </w:rPr>
        <w:t xml:space="preserve"> </w:t>
      </w:r>
      <w:r w:rsidR="0069627E" w:rsidRPr="0071782F">
        <w:rPr>
          <w:lang w:val="fr-CH"/>
        </w:rPr>
        <w:t xml:space="preserve">776 </w:t>
      </w:r>
      <w:r w:rsidRPr="0071782F">
        <w:rPr>
          <w:lang w:val="fr-CH"/>
        </w:rPr>
        <w:t xml:space="preserve">470 </w:t>
      </w:r>
      <w:r w:rsidR="0069627E" w:rsidRPr="0071782F">
        <w:rPr>
          <w:lang w:val="fr-CH"/>
        </w:rPr>
        <w:t>cours d’alphabétisation ont été dispensés à des adultes et 29</w:t>
      </w:r>
      <w:r w:rsidR="003B1403" w:rsidRPr="0071782F">
        <w:rPr>
          <w:lang w:val="fr-CH"/>
        </w:rPr>
        <w:t> </w:t>
      </w:r>
      <w:r w:rsidRPr="0071782F">
        <w:rPr>
          <w:lang w:val="fr-CH"/>
        </w:rPr>
        <w:t xml:space="preserve">762 </w:t>
      </w:r>
      <w:r w:rsidR="0069627E" w:rsidRPr="0071782F">
        <w:rPr>
          <w:lang w:val="fr-CH"/>
        </w:rPr>
        <w:t>à des enfants</w:t>
      </w:r>
      <w:r w:rsidRPr="0071782F">
        <w:rPr>
          <w:rStyle w:val="FootnoteReference"/>
          <w:lang w:val="fr-CH"/>
        </w:rPr>
        <w:footnoteReference w:id="3"/>
      </w:r>
      <w:r w:rsidR="0069627E" w:rsidRPr="0071782F">
        <w:rPr>
          <w:lang w:val="fr-CH"/>
        </w:rPr>
        <w:t>. Ces cours ont été répartis comme</w:t>
      </w:r>
      <w:r w:rsidRPr="0071782F">
        <w:rPr>
          <w:lang w:val="fr-CH"/>
        </w:rPr>
        <w:t xml:space="preserve"> </w:t>
      </w:r>
      <w:r w:rsidR="0069627E" w:rsidRPr="0071782F">
        <w:rPr>
          <w:lang w:val="fr-CH"/>
        </w:rPr>
        <w:t>suit</w:t>
      </w:r>
      <w:r w:rsidR="008F7D33" w:rsidRPr="0071782F">
        <w:rPr>
          <w:lang w:val="fr-CH"/>
        </w:rPr>
        <w:t>:</w:t>
      </w:r>
      <w:r w:rsidR="0069627E" w:rsidRPr="0071782F">
        <w:rPr>
          <w:lang w:val="fr-CH"/>
        </w:rPr>
        <w:t xml:space="preserve"> 47,</w:t>
      </w:r>
      <w:r w:rsidRPr="0071782F">
        <w:rPr>
          <w:lang w:val="fr-CH"/>
        </w:rPr>
        <w:t>3</w:t>
      </w:r>
      <w:r w:rsidR="007E5125" w:rsidRPr="0071782F">
        <w:rPr>
          <w:lang w:val="fr-CH"/>
        </w:rPr>
        <w:t>%</w:t>
      </w:r>
      <w:r w:rsidR="0069627E" w:rsidRPr="0071782F">
        <w:rPr>
          <w:lang w:val="fr-CH"/>
        </w:rPr>
        <w:t xml:space="preserve"> de cours d’initiation</w:t>
      </w:r>
      <w:r w:rsidRPr="0071782F">
        <w:rPr>
          <w:rStyle w:val="FootnoteReference"/>
          <w:lang w:val="fr-CH"/>
        </w:rPr>
        <w:footnoteReference w:id="4"/>
      </w:r>
      <w:r w:rsidR="0069627E" w:rsidRPr="0071782F">
        <w:rPr>
          <w:lang w:val="fr-CH"/>
        </w:rPr>
        <w:t>,</w:t>
      </w:r>
      <w:r w:rsidRPr="0071782F">
        <w:rPr>
          <w:lang w:val="fr-CH"/>
        </w:rPr>
        <w:t xml:space="preserve"> 30</w:t>
      </w:r>
      <w:r w:rsidR="0069627E" w:rsidRPr="0071782F">
        <w:rPr>
          <w:lang w:val="fr-CH"/>
        </w:rPr>
        <w:t>,</w:t>
      </w:r>
      <w:r w:rsidRPr="0071782F">
        <w:rPr>
          <w:lang w:val="fr-CH"/>
        </w:rPr>
        <w:t>4</w:t>
      </w:r>
      <w:r w:rsidR="007E5125" w:rsidRPr="0071782F">
        <w:rPr>
          <w:lang w:val="fr-CH"/>
        </w:rPr>
        <w:t>%</w:t>
      </w:r>
      <w:r w:rsidR="0069627E" w:rsidRPr="0071782F">
        <w:rPr>
          <w:lang w:val="fr-CH"/>
        </w:rPr>
        <w:t xml:space="preserve"> de cours complé</w:t>
      </w:r>
      <w:r w:rsidRPr="0071782F">
        <w:rPr>
          <w:lang w:val="fr-CH"/>
        </w:rPr>
        <w:t>menta</w:t>
      </w:r>
      <w:r w:rsidR="0069627E" w:rsidRPr="0071782F">
        <w:rPr>
          <w:lang w:val="fr-CH"/>
        </w:rPr>
        <w:t>ires</w:t>
      </w:r>
      <w:r w:rsidRPr="0071782F">
        <w:rPr>
          <w:rStyle w:val="FootnoteReference"/>
          <w:lang w:val="fr-CH"/>
        </w:rPr>
        <w:footnoteReference w:id="5"/>
      </w:r>
      <w:r w:rsidR="0069627E" w:rsidRPr="0071782F">
        <w:rPr>
          <w:lang w:val="fr-CH"/>
        </w:rPr>
        <w:t>, 14,</w:t>
      </w:r>
      <w:r w:rsidRPr="0071782F">
        <w:rPr>
          <w:lang w:val="fr-CH"/>
        </w:rPr>
        <w:t>2</w:t>
      </w:r>
      <w:r w:rsidR="007E5125" w:rsidRPr="0071782F">
        <w:rPr>
          <w:lang w:val="fr-CH"/>
        </w:rPr>
        <w:t>%</w:t>
      </w:r>
      <w:r w:rsidR="0069627E" w:rsidRPr="0071782F">
        <w:rPr>
          <w:lang w:val="fr-CH"/>
        </w:rPr>
        <w:t xml:space="preserve"> de cours de perfectionnement</w:t>
      </w:r>
      <w:r w:rsidRPr="0071782F">
        <w:rPr>
          <w:rStyle w:val="FootnoteReference"/>
          <w:lang w:val="fr-CH"/>
        </w:rPr>
        <w:footnoteReference w:id="6"/>
      </w:r>
      <w:r w:rsidR="0069627E" w:rsidRPr="0071782F">
        <w:rPr>
          <w:lang w:val="fr-CH"/>
        </w:rPr>
        <w:t>,</w:t>
      </w:r>
      <w:r w:rsidRPr="0071782F">
        <w:rPr>
          <w:lang w:val="fr-CH"/>
        </w:rPr>
        <w:t xml:space="preserve"> 8</w:t>
      </w:r>
      <w:r w:rsidR="007E5125" w:rsidRPr="0071782F">
        <w:rPr>
          <w:lang w:val="fr-CH"/>
        </w:rPr>
        <w:t>%</w:t>
      </w:r>
      <w:r w:rsidR="0069627E" w:rsidRPr="0071782F">
        <w:rPr>
          <w:lang w:val="fr-CH"/>
        </w:rPr>
        <w:t xml:space="preserve"> de cours correspondant à la la classe de </w:t>
      </w:r>
      <w:r w:rsidRPr="0071782F">
        <w:rPr>
          <w:lang w:val="fr-CH"/>
        </w:rPr>
        <w:t>5</w:t>
      </w:r>
      <w:r w:rsidR="0069627E" w:rsidRPr="00ED06D3">
        <w:rPr>
          <w:vertAlign w:val="superscript"/>
          <w:lang w:val="fr-CH"/>
        </w:rPr>
        <w:t>e</w:t>
      </w:r>
      <w:r w:rsidRPr="0071782F">
        <w:rPr>
          <w:rStyle w:val="FootnoteReference"/>
          <w:lang w:val="fr-CH"/>
        </w:rPr>
        <w:footnoteReference w:id="7"/>
      </w:r>
      <w:r w:rsidRPr="0071782F">
        <w:rPr>
          <w:lang w:val="fr-CH"/>
        </w:rPr>
        <w:t xml:space="preserve"> </w:t>
      </w:r>
      <w:r w:rsidR="0069627E" w:rsidRPr="0071782F">
        <w:rPr>
          <w:lang w:val="fr-CH"/>
        </w:rPr>
        <w:t>et</w:t>
      </w:r>
      <w:r w:rsidRPr="0071782F">
        <w:rPr>
          <w:lang w:val="fr-CH"/>
        </w:rPr>
        <w:t xml:space="preserve"> 0</w:t>
      </w:r>
      <w:r w:rsidR="0069627E" w:rsidRPr="0071782F">
        <w:rPr>
          <w:lang w:val="fr-CH"/>
        </w:rPr>
        <w:t>,</w:t>
      </w:r>
      <w:r w:rsidRPr="0071782F">
        <w:rPr>
          <w:lang w:val="fr-CH"/>
        </w:rPr>
        <w:t>1</w:t>
      </w:r>
      <w:r w:rsidR="007E5125" w:rsidRPr="0071782F">
        <w:rPr>
          <w:lang w:val="fr-CH"/>
        </w:rPr>
        <w:t>%</w:t>
      </w:r>
      <w:r w:rsidR="0069627E" w:rsidRPr="0071782F">
        <w:rPr>
          <w:lang w:val="fr-CH"/>
        </w:rPr>
        <w:t xml:space="preserve"> de cours de niveaux divers </w:t>
      </w:r>
      <w:r w:rsidRPr="0071782F">
        <w:rPr>
          <w:lang w:val="fr-CH"/>
        </w:rPr>
        <w:t>(</w:t>
      </w:r>
      <w:r w:rsidR="0069627E" w:rsidRPr="0071782F">
        <w:rPr>
          <w:lang w:val="fr-CH"/>
        </w:rPr>
        <w:t>cours d’alphabétisation générale</w:t>
      </w:r>
      <w:r w:rsidRPr="0071782F">
        <w:rPr>
          <w:lang w:val="fr-CH"/>
        </w:rPr>
        <w:t>).</w:t>
      </w:r>
    </w:p>
    <w:p w:rsidR="00186B76" w:rsidRPr="00ED06D3" w:rsidRDefault="00186B76" w:rsidP="00A45A11">
      <w:pPr>
        <w:pStyle w:val="SingleTxtG"/>
        <w:rPr>
          <w:spacing w:val="-2"/>
          <w:lang w:val="fr-CH"/>
        </w:rPr>
      </w:pPr>
      <w:r w:rsidRPr="00ED06D3">
        <w:rPr>
          <w:spacing w:val="-2"/>
          <w:lang w:val="fr-CH"/>
        </w:rPr>
        <w:t>389.</w:t>
      </w:r>
      <w:r w:rsidRPr="00ED06D3">
        <w:rPr>
          <w:spacing w:val="-2"/>
          <w:lang w:val="fr-CH"/>
        </w:rPr>
        <w:tab/>
      </w:r>
      <w:r w:rsidR="00BF27ED" w:rsidRPr="00ED06D3">
        <w:rPr>
          <w:spacing w:val="-2"/>
          <w:lang w:val="fr-CH"/>
        </w:rPr>
        <w:t>Pendant ces 10 années, une instruction a été dispensée à</w:t>
      </w:r>
      <w:r w:rsidRPr="00ED06D3">
        <w:rPr>
          <w:spacing w:val="-2"/>
          <w:lang w:val="fr-CH"/>
        </w:rPr>
        <w:t xml:space="preserve"> 9</w:t>
      </w:r>
      <w:r w:rsidR="00BF27ED" w:rsidRPr="00ED06D3">
        <w:rPr>
          <w:spacing w:val="-2"/>
          <w:lang w:val="fr-CH"/>
        </w:rPr>
        <w:t> </w:t>
      </w:r>
      <w:r w:rsidRPr="00ED06D3">
        <w:rPr>
          <w:spacing w:val="-2"/>
          <w:lang w:val="fr-CH"/>
        </w:rPr>
        <w:t>633</w:t>
      </w:r>
      <w:r w:rsidR="008F6006">
        <w:rPr>
          <w:spacing w:val="-2"/>
          <w:lang w:val="fr-CH"/>
        </w:rPr>
        <w:t> </w:t>
      </w:r>
      <w:r w:rsidRPr="00ED06D3">
        <w:rPr>
          <w:spacing w:val="-2"/>
          <w:lang w:val="fr-CH"/>
        </w:rPr>
        <w:t xml:space="preserve">760 </w:t>
      </w:r>
      <w:r w:rsidR="00BF27ED" w:rsidRPr="00ED06D3">
        <w:rPr>
          <w:spacing w:val="-2"/>
          <w:lang w:val="fr-CH"/>
        </w:rPr>
        <w:t xml:space="preserve">adultes et </w:t>
      </w:r>
      <w:r w:rsidRPr="00ED06D3">
        <w:rPr>
          <w:spacing w:val="-2"/>
          <w:lang w:val="fr-CH"/>
        </w:rPr>
        <w:t>301</w:t>
      </w:r>
      <w:r w:rsidR="003B1403" w:rsidRPr="00ED06D3">
        <w:rPr>
          <w:spacing w:val="-2"/>
          <w:lang w:val="fr-CH"/>
        </w:rPr>
        <w:t> </w:t>
      </w:r>
      <w:r w:rsidR="00ED06D3">
        <w:rPr>
          <w:spacing w:val="-2"/>
          <w:lang w:val="fr-CH"/>
        </w:rPr>
        <w:t>180 </w:t>
      </w:r>
      <w:r w:rsidR="00BF27ED" w:rsidRPr="00ED06D3">
        <w:rPr>
          <w:spacing w:val="-2"/>
          <w:lang w:val="fr-CH"/>
        </w:rPr>
        <w:t>enfants analphabètes ou semi-analphabètes</w:t>
      </w:r>
      <w:r w:rsidRPr="00ED06D3">
        <w:rPr>
          <w:spacing w:val="-2"/>
          <w:lang w:val="fr-CH"/>
        </w:rPr>
        <w:t xml:space="preserve">. </w:t>
      </w:r>
      <w:r w:rsidR="00BF27ED" w:rsidRPr="00ED06D3">
        <w:rPr>
          <w:spacing w:val="-2"/>
          <w:lang w:val="fr-CH"/>
        </w:rPr>
        <w:t>Ils se sont répartis comme suit</w:t>
      </w:r>
      <w:r w:rsidR="008F7D33" w:rsidRPr="00ED06D3">
        <w:rPr>
          <w:spacing w:val="-2"/>
          <w:lang w:val="fr-CH"/>
        </w:rPr>
        <w:t>:</w:t>
      </w:r>
      <w:r w:rsidR="00BF27ED" w:rsidRPr="00ED06D3">
        <w:rPr>
          <w:spacing w:val="-2"/>
          <w:lang w:val="fr-CH"/>
        </w:rPr>
        <w:t xml:space="preserve"> </w:t>
      </w:r>
      <w:r w:rsidRPr="00ED06D3">
        <w:rPr>
          <w:spacing w:val="-2"/>
          <w:lang w:val="fr-CH"/>
        </w:rPr>
        <w:t>45</w:t>
      </w:r>
      <w:r w:rsidR="00BF27ED" w:rsidRPr="00ED06D3">
        <w:rPr>
          <w:spacing w:val="-2"/>
          <w:lang w:val="fr-CH"/>
        </w:rPr>
        <w:t>,</w:t>
      </w:r>
      <w:r w:rsidRPr="00ED06D3">
        <w:rPr>
          <w:spacing w:val="-2"/>
          <w:lang w:val="fr-CH"/>
        </w:rPr>
        <w:t>9</w:t>
      </w:r>
      <w:r w:rsidR="007E5125" w:rsidRPr="00ED06D3">
        <w:rPr>
          <w:spacing w:val="-2"/>
          <w:lang w:val="fr-CH"/>
        </w:rPr>
        <w:t>%</w:t>
      </w:r>
      <w:r w:rsidR="00BF27ED" w:rsidRPr="00ED06D3">
        <w:rPr>
          <w:spacing w:val="-2"/>
          <w:lang w:val="fr-CH"/>
        </w:rPr>
        <w:t xml:space="preserve"> ont suivi des cours d’initiation</w:t>
      </w:r>
      <w:r w:rsidRPr="00ED06D3">
        <w:rPr>
          <w:spacing w:val="-2"/>
          <w:lang w:val="fr-CH"/>
        </w:rPr>
        <w:t>, 28</w:t>
      </w:r>
      <w:r w:rsidR="00BF27ED" w:rsidRPr="00ED06D3">
        <w:rPr>
          <w:spacing w:val="-2"/>
          <w:lang w:val="fr-CH"/>
        </w:rPr>
        <w:t>,</w:t>
      </w:r>
      <w:r w:rsidRPr="00ED06D3">
        <w:rPr>
          <w:spacing w:val="-2"/>
          <w:lang w:val="fr-CH"/>
        </w:rPr>
        <w:t>7</w:t>
      </w:r>
      <w:r w:rsidR="007E5125" w:rsidRPr="00ED06D3">
        <w:rPr>
          <w:spacing w:val="-2"/>
          <w:lang w:val="fr-CH"/>
        </w:rPr>
        <w:t>%</w:t>
      </w:r>
      <w:r w:rsidR="00BF27ED" w:rsidRPr="00ED06D3">
        <w:rPr>
          <w:spacing w:val="-2"/>
          <w:lang w:val="fr-CH"/>
        </w:rPr>
        <w:t xml:space="preserve"> des cours complémentaires</w:t>
      </w:r>
      <w:r w:rsidRPr="00ED06D3">
        <w:rPr>
          <w:spacing w:val="-2"/>
          <w:lang w:val="fr-CH"/>
        </w:rPr>
        <w:t>, 16</w:t>
      </w:r>
      <w:r w:rsidR="00BF27ED" w:rsidRPr="00ED06D3">
        <w:rPr>
          <w:spacing w:val="-2"/>
          <w:lang w:val="fr-CH"/>
        </w:rPr>
        <w:t>,</w:t>
      </w:r>
      <w:r w:rsidRPr="00ED06D3">
        <w:rPr>
          <w:spacing w:val="-2"/>
          <w:lang w:val="fr-CH"/>
        </w:rPr>
        <w:t>1</w:t>
      </w:r>
      <w:r w:rsidR="007E5125" w:rsidRPr="00ED06D3">
        <w:rPr>
          <w:spacing w:val="-2"/>
          <w:lang w:val="fr-CH"/>
        </w:rPr>
        <w:t>%</w:t>
      </w:r>
      <w:r w:rsidR="00BF27ED" w:rsidRPr="00ED06D3">
        <w:rPr>
          <w:spacing w:val="-2"/>
          <w:lang w:val="fr-CH"/>
        </w:rPr>
        <w:t xml:space="preserve"> des cours de perfectionnement et</w:t>
      </w:r>
      <w:r w:rsidRPr="00ED06D3">
        <w:rPr>
          <w:spacing w:val="-2"/>
          <w:lang w:val="fr-CH"/>
        </w:rPr>
        <w:t xml:space="preserve"> 9</w:t>
      </w:r>
      <w:r w:rsidR="00BF27ED" w:rsidRPr="00ED06D3">
        <w:rPr>
          <w:spacing w:val="-2"/>
          <w:lang w:val="fr-CH"/>
        </w:rPr>
        <w:t>,</w:t>
      </w:r>
      <w:r w:rsidRPr="00ED06D3">
        <w:rPr>
          <w:spacing w:val="-2"/>
          <w:lang w:val="fr-CH"/>
        </w:rPr>
        <w:t xml:space="preserve">3 </w:t>
      </w:r>
      <w:r w:rsidR="00BF27ED" w:rsidRPr="00ED06D3">
        <w:rPr>
          <w:spacing w:val="-2"/>
          <w:lang w:val="fr-CH"/>
        </w:rPr>
        <w:t xml:space="preserve">des cours correspondant à la </w:t>
      </w:r>
      <w:r w:rsidR="00A90208" w:rsidRPr="00ED06D3">
        <w:rPr>
          <w:spacing w:val="-2"/>
          <w:lang w:val="fr-CH"/>
        </w:rPr>
        <w:t>cinquième</w:t>
      </w:r>
      <w:r w:rsidR="00BF27ED" w:rsidRPr="00ED06D3">
        <w:rPr>
          <w:spacing w:val="-2"/>
          <w:lang w:val="fr-CH"/>
        </w:rPr>
        <w:t xml:space="preserve"> année officielle</w:t>
      </w:r>
      <w:r w:rsidRPr="00ED06D3">
        <w:rPr>
          <w:spacing w:val="-2"/>
          <w:lang w:val="fr-CH"/>
        </w:rPr>
        <w:t xml:space="preserve">. </w:t>
      </w:r>
      <w:r w:rsidR="00BF27ED" w:rsidRPr="00ED06D3">
        <w:rPr>
          <w:spacing w:val="-2"/>
          <w:lang w:val="fr-CH"/>
        </w:rPr>
        <w:t xml:space="preserve">Au cours de cette période, </w:t>
      </w:r>
      <w:r w:rsidRPr="00ED06D3">
        <w:rPr>
          <w:spacing w:val="-2"/>
          <w:lang w:val="fr-CH"/>
        </w:rPr>
        <w:t>45</w:t>
      </w:r>
      <w:r w:rsidR="00BF27ED" w:rsidRPr="00ED06D3">
        <w:rPr>
          <w:spacing w:val="-2"/>
          <w:lang w:val="fr-CH"/>
        </w:rPr>
        <w:t>,</w:t>
      </w:r>
      <w:r w:rsidRPr="00ED06D3">
        <w:rPr>
          <w:spacing w:val="-2"/>
          <w:lang w:val="fr-CH"/>
        </w:rPr>
        <w:t>2, 54</w:t>
      </w:r>
      <w:r w:rsidR="00BF27ED" w:rsidRPr="00ED06D3">
        <w:rPr>
          <w:spacing w:val="-2"/>
          <w:lang w:val="fr-CH"/>
        </w:rPr>
        <w:t xml:space="preserve"> et</w:t>
      </w:r>
      <w:r w:rsidRPr="00ED06D3">
        <w:rPr>
          <w:spacing w:val="-2"/>
          <w:lang w:val="fr-CH"/>
        </w:rPr>
        <w:t xml:space="preserve"> 8</w:t>
      </w:r>
      <w:r w:rsidR="007E5125" w:rsidRPr="00ED06D3">
        <w:rPr>
          <w:spacing w:val="-2"/>
          <w:lang w:val="fr-CH"/>
        </w:rPr>
        <w:t>%</w:t>
      </w:r>
      <w:r w:rsidR="00BF27ED" w:rsidRPr="00ED06D3">
        <w:rPr>
          <w:spacing w:val="-2"/>
          <w:lang w:val="fr-CH"/>
        </w:rPr>
        <w:t xml:space="preserve"> de ces cours ont été dispensés dans les zones urbaines, rurales et nomades, respectivement</w:t>
      </w:r>
      <w:r w:rsidRPr="00ED06D3">
        <w:rPr>
          <w:spacing w:val="-2"/>
          <w:lang w:val="fr-CH"/>
        </w:rPr>
        <w:t xml:space="preserve">. </w:t>
      </w:r>
      <w:r w:rsidR="00BF27ED" w:rsidRPr="00ED06D3">
        <w:rPr>
          <w:spacing w:val="-2"/>
          <w:lang w:val="fr-CH"/>
        </w:rPr>
        <w:t xml:space="preserve">Quant au lieu de l’enseignement, </w:t>
      </w:r>
      <w:r w:rsidRPr="00ED06D3">
        <w:rPr>
          <w:spacing w:val="-2"/>
          <w:lang w:val="fr-CH"/>
        </w:rPr>
        <w:t>57</w:t>
      </w:r>
      <w:r w:rsidR="00BF27ED" w:rsidRPr="00ED06D3">
        <w:rPr>
          <w:spacing w:val="-2"/>
          <w:lang w:val="fr-CH"/>
        </w:rPr>
        <w:t>,</w:t>
      </w:r>
      <w:r w:rsidRPr="00ED06D3">
        <w:rPr>
          <w:spacing w:val="-2"/>
          <w:lang w:val="fr-CH"/>
        </w:rPr>
        <w:t>7</w:t>
      </w:r>
      <w:r w:rsidR="007E5125" w:rsidRPr="00ED06D3">
        <w:rPr>
          <w:spacing w:val="-2"/>
          <w:lang w:val="fr-CH"/>
        </w:rPr>
        <w:t>%</w:t>
      </w:r>
      <w:r w:rsidR="00BF27ED" w:rsidRPr="00ED06D3">
        <w:rPr>
          <w:spacing w:val="-2"/>
          <w:lang w:val="fr-CH"/>
        </w:rPr>
        <w:t xml:space="preserve"> de ces cours ont été donnés dans </w:t>
      </w:r>
      <w:r w:rsidR="003F25A2" w:rsidRPr="00ED06D3">
        <w:rPr>
          <w:spacing w:val="-2"/>
          <w:lang w:val="fr-CH"/>
        </w:rPr>
        <w:t>des logements</w:t>
      </w:r>
      <w:r w:rsidR="00BF27ED" w:rsidRPr="00ED06D3">
        <w:rPr>
          <w:spacing w:val="-2"/>
          <w:lang w:val="fr-CH"/>
        </w:rPr>
        <w:t xml:space="preserve"> privés, </w:t>
      </w:r>
      <w:r w:rsidRPr="00ED06D3">
        <w:rPr>
          <w:spacing w:val="-2"/>
          <w:lang w:val="fr-CH"/>
        </w:rPr>
        <w:t>26</w:t>
      </w:r>
      <w:r w:rsidR="00BF27ED" w:rsidRPr="00ED06D3">
        <w:rPr>
          <w:spacing w:val="-2"/>
          <w:lang w:val="fr-CH"/>
        </w:rPr>
        <w:t>,</w:t>
      </w:r>
      <w:r w:rsidRPr="00ED06D3">
        <w:rPr>
          <w:spacing w:val="-2"/>
          <w:lang w:val="fr-CH"/>
        </w:rPr>
        <w:t>7</w:t>
      </w:r>
      <w:r w:rsidR="007E5125" w:rsidRPr="00ED06D3">
        <w:rPr>
          <w:spacing w:val="-2"/>
          <w:lang w:val="fr-CH"/>
        </w:rPr>
        <w:t>%</w:t>
      </w:r>
      <w:r w:rsidR="00BF27ED" w:rsidRPr="00ED06D3">
        <w:rPr>
          <w:spacing w:val="-2"/>
          <w:lang w:val="fr-CH"/>
        </w:rPr>
        <w:t xml:space="preserve"> dans des écoles</w:t>
      </w:r>
      <w:r w:rsidRPr="00ED06D3">
        <w:rPr>
          <w:spacing w:val="-2"/>
          <w:lang w:val="fr-CH"/>
        </w:rPr>
        <w:t>, 6</w:t>
      </w:r>
      <w:r w:rsidR="00BF27ED" w:rsidRPr="00ED06D3">
        <w:rPr>
          <w:spacing w:val="-2"/>
          <w:lang w:val="fr-CH"/>
        </w:rPr>
        <w:t>,</w:t>
      </w:r>
      <w:r w:rsidRPr="00ED06D3">
        <w:rPr>
          <w:spacing w:val="-2"/>
          <w:lang w:val="fr-CH"/>
        </w:rPr>
        <w:t>1</w:t>
      </w:r>
      <w:r w:rsidR="007E5125" w:rsidRPr="00ED06D3">
        <w:rPr>
          <w:spacing w:val="-2"/>
          <w:lang w:val="fr-CH"/>
        </w:rPr>
        <w:t>%</w:t>
      </w:r>
      <w:r w:rsidR="00BF27ED" w:rsidRPr="00ED06D3">
        <w:rPr>
          <w:spacing w:val="-2"/>
          <w:lang w:val="fr-CH"/>
        </w:rPr>
        <w:t xml:space="preserve"> dans des mosquée</w:t>
      </w:r>
      <w:r w:rsidRPr="00ED06D3">
        <w:rPr>
          <w:spacing w:val="-2"/>
          <w:lang w:val="fr-CH"/>
        </w:rPr>
        <w:t xml:space="preserve">s </w:t>
      </w:r>
      <w:r w:rsidR="00BF27ED" w:rsidRPr="00ED06D3">
        <w:rPr>
          <w:spacing w:val="-2"/>
          <w:lang w:val="fr-CH"/>
        </w:rPr>
        <w:t>et</w:t>
      </w:r>
      <w:r w:rsidRPr="00ED06D3">
        <w:rPr>
          <w:spacing w:val="-2"/>
          <w:lang w:val="fr-CH"/>
        </w:rPr>
        <w:t xml:space="preserve"> </w:t>
      </w:r>
      <w:r w:rsidR="00BF27ED" w:rsidRPr="00ED06D3">
        <w:rPr>
          <w:spacing w:val="-2"/>
          <w:lang w:val="fr-CH"/>
        </w:rPr>
        <w:t>centres religieux</w:t>
      </w:r>
      <w:r w:rsidRPr="00ED06D3">
        <w:rPr>
          <w:spacing w:val="-2"/>
          <w:lang w:val="fr-CH"/>
        </w:rPr>
        <w:t>, 1</w:t>
      </w:r>
      <w:r w:rsidR="00BF27ED" w:rsidRPr="00ED06D3">
        <w:rPr>
          <w:spacing w:val="-2"/>
          <w:lang w:val="fr-CH"/>
        </w:rPr>
        <w:t>,</w:t>
      </w:r>
      <w:r w:rsidRPr="00ED06D3">
        <w:rPr>
          <w:spacing w:val="-2"/>
          <w:lang w:val="fr-CH"/>
        </w:rPr>
        <w:t>3</w:t>
      </w:r>
      <w:r w:rsidR="007E5125" w:rsidRPr="00ED06D3">
        <w:rPr>
          <w:spacing w:val="-2"/>
          <w:lang w:val="fr-CH"/>
        </w:rPr>
        <w:t>%</w:t>
      </w:r>
      <w:r w:rsidR="00BF27ED" w:rsidRPr="00ED06D3">
        <w:rPr>
          <w:spacing w:val="-2"/>
          <w:lang w:val="fr-CH"/>
        </w:rPr>
        <w:t xml:space="preserve"> dans des installations militaires</w:t>
      </w:r>
      <w:r w:rsidRPr="00ED06D3">
        <w:rPr>
          <w:spacing w:val="-2"/>
          <w:lang w:val="fr-CH"/>
        </w:rPr>
        <w:t>, 1</w:t>
      </w:r>
      <w:r w:rsidR="00BF27ED" w:rsidRPr="00ED06D3">
        <w:rPr>
          <w:spacing w:val="-2"/>
          <w:lang w:val="fr-CH"/>
        </w:rPr>
        <w:t>,</w:t>
      </w:r>
      <w:r w:rsidRPr="00ED06D3">
        <w:rPr>
          <w:spacing w:val="-2"/>
          <w:lang w:val="fr-CH"/>
        </w:rPr>
        <w:t>4</w:t>
      </w:r>
      <w:r w:rsidR="007E5125" w:rsidRPr="00ED06D3">
        <w:rPr>
          <w:spacing w:val="-2"/>
          <w:lang w:val="fr-CH"/>
        </w:rPr>
        <w:t>%</w:t>
      </w:r>
      <w:r w:rsidR="00BF27ED" w:rsidRPr="00ED06D3">
        <w:rPr>
          <w:spacing w:val="-2"/>
          <w:lang w:val="fr-CH"/>
        </w:rPr>
        <w:t xml:space="preserve"> dans des locaux administratifs et publics</w:t>
      </w:r>
      <w:r w:rsidRPr="00ED06D3">
        <w:rPr>
          <w:spacing w:val="-2"/>
          <w:lang w:val="fr-CH"/>
        </w:rPr>
        <w:t>, 80</w:t>
      </w:r>
      <w:r w:rsidR="007E5125" w:rsidRPr="00ED06D3">
        <w:rPr>
          <w:spacing w:val="-2"/>
          <w:lang w:val="fr-CH"/>
        </w:rPr>
        <w:t>%</w:t>
      </w:r>
      <w:r w:rsidR="00BF27ED" w:rsidRPr="00ED06D3">
        <w:rPr>
          <w:spacing w:val="-2"/>
          <w:lang w:val="fr-CH"/>
        </w:rPr>
        <w:t xml:space="preserve"> dans des lieux habités par des nomades et</w:t>
      </w:r>
      <w:r w:rsidRPr="00ED06D3">
        <w:rPr>
          <w:spacing w:val="-2"/>
          <w:lang w:val="fr-CH"/>
        </w:rPr>
        <w:t xml:space="preserve"> 5</w:t>
      </w:r>
      <w:r w:rsidR="00BF27ED" w:rsidRPr="00ED06D3">
        <w:rPr>
          <w:spacing w:val="-2"/>
          <w:lang w:val="fr-CH"/>
        </w:rPr>
        <w:t>,</w:t>
      </w:r>
      <w:r w:rsidRPr="00ED06D3">
        <w:rPr>
          <w:spacing w:val="-2"/>
          <w:lang w:val="fr-CH"/>
        </w:rPr>
        <w:t>8</w:t>
      </w:r>
      <w:r w:rsidR="007E5125" w:rsidRPr="00ED06D3">
        <w:rPr>
          <w:spacing w:val="-2"/>
          <w:lang w:val="fr-CH"/>
        </w:rPr>
        <w:t>%</w:t>
      </w:r>
      <w:r w:rsidR="00BF27ED" w:rsidRPr="00ED06D3">
        <w:rPr>
          <w:spacing w:val="-2"/>
          <w:lang w:val="fr-CH"/>
        </w:rPr>
        <w:t xml:space="preserve"> dans d’autres lieux</w:t>
      </w:r>
      <w:r w:rsidRPr="00ED06D3">
        <w:rPr>
          <w:spacing w:val="-2"/>
          <w:lang w:val="fr-CH"/>
        </w:rPr>
        <w:t xml:space="preserve">. </w:t>
      </w:r>
    </w:p>
    <w:p w:rsidR="00186B76" w:rsidRPr="0071782F" w:rsidRDefault="00186B76" w:rsidP="00A45A11">
      <w:pPr>
        <w:pStyle w:val="SingleTxtG"/>
        <w:rPr>
          <w:lang w:val="fr-CH"/>
        </w:rPr>
      </w:pPr>
      <w:r w:rsidRPr="0071782F">
        <w:rPr>
          <w:lang w:val="fr-CH"/>
        </w:rPr>
        <w:t>390.</w:t>
      </w:r>
      <w:r w:rsidRPr="0071782F">
        <w:rPr>
          <w:lang w:val="fr-CH"/>
        </w:rPr>
        <w:tab/>
      </w:r>
      <w:r w:rsidR="00BF27ED" w:rsidRPr="0071782F">
        <w:rPr>
          <w:lang w:val="fr-CH"/>
        </w:rPr>
        <w:t xml:space="preserve">Du point de vue de la répartition par sexe, </w:t>
      </w:r>
      <w:r w:rsidRPr="0071782F">
        <w:rPr>
          <w:lang w:val="fr-CH"/>
        </w:rPr>
        <w:t>84</w:t>
      </w:r>
      <w:r w:rsidR="00BF27ED" w:rsidRPr="0071782F">
        <w:rPr>
          <w:lang w:val="fr-CH"/>
        </w:rPr>
        <w:t>,</w:t>
      </w:r>
      <w:r w:rsidRPr="0071782F">
        <w:rPr>
          <w:lang w:val="fr-CH"/>
        </w:rPr>
        <w:t>4</w:t>
      </w:r>
      <w:r w:rsidR="007E5125" w:rsidRPr="0071782F">
        <w:rPr>
          <w:lang w:val="fr-CH"/>
        </w:rPr>
        <w:t>%</w:t>
      </w:r>
      <w:r w:rsidR="00BF27ED" w:rsidRPr="0071782F">
        <w:rPr>
          <w:lang w:val="fr-CH"/>
        </w:rPr>
        <w:t xml:space="preserve"> des élèves suivant des cours d’alphabétisation étaient des hommes et </w:t>
      </w:r>
      <w:r w:rsidRPr="0071782F">
        <w:rPr>
          <w:lang w:val="fr-CH"/>
        </w:rPr>
        <w:t>15</w:t>
      </w:r>
      <w:r w:rsidR="00BF27ED" w:rsidRPr="0071782F">
        <w:rPr>
          <w:lang w:val="fr-CH"/>
        </w:rPr>
        <w:t>,</w:t>
      </w:r>
      <w:r w:rsidRPr="0071782F">
        <w:rPr>
          <w:lang w:val="fr-CH"/>
        </w:rPr>
        <w:t>6</w:t>
      </w:r>
      <w:r w:rsidR="007E5125" w:rsidRPr="0071782F">
        <w:rPr>
          <w:lang w:val="fr-CH"/>
        </w:rPr>
        <w:t>%</w:t>
      </w:r>
      <w:r w:rsidR="00BF27ED" w:rsidRPr="0071782F">
        <w:rPr>
          <w:lang w:val="fr-CH"/>
        </w:rPr>
        <w:t xml:space="preserve"> des femmes. En ce qui concerne l’âge des élèves, </w:t>
      </w:r>
      <w:r w:rsidRPr="0071782F">
        <w:rPr>
          <w:lang w:val="fr-CH"/>
        </w:rPr>
        <w:t>21</w:t>
      </w:r>
      <w:r w:rsidR="00BF27ED" w:rsidRPr="0071782F">
        <w:rPr>
          <w:lang w:val="fr-CH"/>
        </w:rPr>
        <w:t>,</w:t>
      </w:r>
      <w:r w:rsidRPr="0071782F">
        <w:rPr>
          <w:lang w:val="fr-CH"/>
        </w:rPr>
        <w:t>5</w:t>
      </w:r>
      <w:r w:rsidR="007E5125" w:rsidRPr="0071782F">
        <w:rPr>
          <w:lang w:val="fr-CH"/>
        </w:rPr>
        <w:t>%</w:t>
      </w:r>
      <w:r w:rsidR="00BF27ED" w:rsidRPr="0071782F">
        <w:rPr>
          <w:lang w:val="fr-CH"/>
        </w:rPr>
        <w:t xml:space="preserve"> avaient entre </w:t>
      </w:r>
      <w:r w:rsidRPr="0071782F">
        <w:rPr>
          <w:lang w:val="fr-CH"/>
        </w:rPr>
        <w:t>10</w:t>
      </w:r>
      <w:r w:rsidR="00BF27ED" w:rsidRPr="0071782F">
        <w:rPr>
          <w:lang w:val="fr-CH"/>
        </w:rPr>
        <w:t xml:space="preserve"> et </w:t>
      </w:r>
      <w:r w:rsidRPr="0071782F">
        <w:rPr>
          <w:lang w:val="fr-CH"/>
        </w:rPr>
        <w:t>19</w:t>
      </w:r>
      <w:r w:rsidR="00D82C96" w:rsidRPr="0071782F">
        <w:rPr>
          <w:lang w:val="fr-CH"/>
        </w:rPr>
        <w:t> ans</w:t>
      </w:r>
      <w:r w:rsidRPr="0071782F">
        <w:rPr>
          <w:lang w:val="fr-CH"/>
        </w:rPr>
        <w:t>, 22</w:t>
      </w:r>
      <w:r w:rsidR="00BF27ED" w:rsidRPr="0071782F">
        <w:rPr>
          <w:lang w:val="fr-CH"/>
        </w:rPr>
        <w:t>,</w:t>
      </w:r>
      <w:r w:rsidRPr="0071782F">
        <w:rPr>
          <w:lang w:val="fr-CH"/>
        </w:rPr>
        <w:t>7</w:t>
      </w:r>
      <w:r w:rsidR="007E5125" w:rsidRPr="0071782F">
        <w:rPr>
          <w:lang w:val="fr-CH"/>
        </w:rPr>
        <w:t>%</w:t>
      </w:r>
      <w:r w:rsidR="00BF27ED" w:rsidRPr="0071782F">
        <w:rPr>
          <w:lang w:val="fr-CH"/>
        </w:rPr>
        <w:t xml:space="preserve"> entre </w:t>
      </w:r>
      <w:r w:rsidRPr="0071782F">
        <w:rPr>
          <w:lang w:val="fr-CH"/>
        </w:rPr>
        <w:t>20</w:t>
      </w:r>
      <w:r w:rsidR="00BF27ED" w:rsidRPr="0071782F">
        <w:rPr>
          <w:lang w:val="fr-CH"/>
        </w:rPr>
        <w:t xml:space="preserve"> et </w:t>
      </w:r>
      <w:r w:rsidRPr="0071782F">
        <w:rPr>
          <w:lang w:val="fr-CH"/>
        </w:rPr>
        <w:t>29, 25</w:t>
      </w:r>
      <w:r w:rsidR="00BF27ED" w:rsidRPr="0071782F">
        <w:rPr>
          <w:lang w:val="fr-CH"/>
        </w:rPr>
        <w:t>,</w:t>
      </w:r>
      <w:r w:rsidRPr="0071782F">
        <w:rPr>
          <w:lang w:val="fr-CH"/>
        </w:rPr>
        <w:t>6</w:t>
      </w:r>
      <w:r w:rsidR="007E5125" w:rsidRPr="0071782F">
        <w:rPr>
          <w:lang w:val="fr-CH"/>
        </w:rPr>
        <w:t>%</w:t>
      </w:r>
      <w:r w:rsidR="00BF27ED" w:rsidRPr="0071782F">
        <w:rPr>
          <w:lang w:val="fr-CH"/>
        </w:rPr>
        <w:t xml:space="preserve"> entre </w:t>
      </w:r>
      <w:r w:rsidRPr="0071782F">
        <w:rPr>
          <w:lang w:val="fr-CH"/>
        </w:rPr>
        <w:t>30</w:t>
      </w:r>
      <w:r w:rsidR="00BF27ED" w:rsidRPr="0071782F">
        <w:rPr>
          <w:lang w:val="fr-CH"/>
        </w:rPr>
        <w:t xml:space="preserve"> et </w:t>
      </w:r>
      <w:r w:rsidRPr="0071782F">
        <w:rPr>
          <w:lang w:val="fr-CH"/>
        </w:rPr>
        <w:t>39</w:t>
      </w:r>
      <w:r w:rsidR="00D82C96" w:rsidRPr="0071782F">
        <w:rPr>
          <w:lang w:val="fr-CH"/>
        </w:rPr>
        <w:t> ans</w:t>
      </w:r>
      <w:r w:rsidRPr="0071782F">
        <w:rPr>
          <w:lang w:val="fr-CH"/>
        </w:rPr>
        <w:t>, 18</w:t>
      </w:r>
      <w:r w:rsidR="00BF27ED" w:rsidRPr="0071782F">
        <w:rPr>
          <w:lang w:val="fr-CH"/>
        </w:rPr>
        <w:t>,</w:t>
      </w:r>
      <w:r w:rsidRPr="0071782F">
        <w:rPr>
          <w:lang w:val="fr-CH"/>
        </w:rPr>
        <w:t>3</w:t>
      </w:r>
      <w:r w:rsidR="007E5125" w:rsidRPr="0071782F">
        <w:rPr>
          <w:lang w:val="fr-CH"/>
        </w:rPr>
        <w:t>%</w:t>
      </w:r>
      <w:r w:rsidR="00BF27ED" w:rsidRPr="0071782F">
        <w:rPr>
          <w:lang w:val="fr-CH"/>
        </w:rPr>
        <w:t xml:space="preserve"> entre </w:t>
      </w:r>
      <w:r w:rsidRPr="0071782F">
        <w:rPr>
          <w:lang w:val="fr-CH"/>
        </w:rPr>
        <w:t>40</w:t>
      </w:r>
      <w:r w:rsidR="00BF27ED" w:rsidRPr="0071782F">
        <w:rPr>
          <w:lang w:val="fr-CH"/>
        </w:rPr>
        <w:t xml:space="preserve"> et </w:t>
      </w:r>
      <w:r w:rsidRPr="0071782F">
        <w:rPr>
          <w:lang w:val="fr-CH"/>
        </w:rPr>
        <w:t>49</w:t>
      </w:r>
      <w:r w:rsidR="00D82C96" w:rsidRPr="0071782F">
        <w:rPr>
          <w:lang w:val="fr-CH"/>
        </w:rPr>
        <w:t> ans</w:t>
      </w:r>
      <w:r w:rsidR="00BF27ED" w:rsidRPr="0071782F">
        <w:rPr>
          <w:lang w:val="fr-CH"/>
        </w:rPr>
        <w:t xml:space="preserve"> et 11,</w:t>
      </w:r>
      <w:r w:rsidRPr="0071782F">
        <w:rPr>
          <w:lang w:val="fr-CH"/>
        </w:rPr>
        <w:t>9</w:t>
      </w:r>
      <w:r w:rsidR="007E5125" w:rsidRPr="0071782F">
        <w:rPr>
          <w:lang w:val="fr-CH"/>
        </w:rPr>
        <w:t>%</w:t>
      </w:r>
      <w:r w:rsidR="00BF27ED" w:rsidRPr="0071782F">
        <w:rPr>
          <w:lang w:val="fr-CH"/>
        </w:rPr>
        <w:t xml:space="preserve"> au moins 50</w:t>
      </w:r>
      <w:r w:rsidR="00D82C96" w:rsidRPr="0071782F">
        <w:rPr>
          <w:lang w:val="fr-CH"/>
        </w:rPr>
        <w:t> ans</w:t>
      </w:r>
      <w:r w:rsidR="00BF27ED" w:rsidRPr="0071782F">
        <w:rPr>
          <w:lang w:val="fr-CH"/>
        </w:rPr>
        <w:t xml:space="preserve">. L’âge moyen s’est établi à </w:t>
      </w:r>
      <w:r w:rsidRPr="0071782F">
        <w:rPr>
          <w:lang w:val="fr-CH"/>
        </w:rPr>
        <w:t>32</w:t>
      </w:r>
      <w:r w:rsidR="00BF27ED" w:rsidRPr="0071782F">
        <w:rPr>
          <w:lang w:val="fr-CH"/>
        </w:rPr>
        <w:t>,</w:t>
      </w:r>
      <w:r w:rsidRPr="0071782F">
        <w:rPr>
          <w:lang w:val="fr-CH"/>
        </w:rPr>
        <w:t>1</w:t>
      </w:r>
      <w:r w:rsidR="00D82C96" w:rsidRPr="0071782F">
        <w:rPr>
          <w:lang w:val="fr-CH"/>
        </w:rPr>
        <w:t> ans</w:t>
      </w:r>
      <w:r w:rsidRPr="0071782F">
        <w:rPr>
          <w:lang w:val="fr-CH"/>
        </w:rPr>
        <w:t xml:space="preserve">. </w:t>
      </w:r>
      <w:r w:rsidR="00BF27ED" w:rsidRPr="0071782F">
        <w:rPr>
          <w:lang w:val="fr-CH"/>
        </w:rPr>
        <w:t xml:space="preserve">La priorité est accordée au groupe d’âge </w:t>
      </w:r>
      <w:r w:rsidRPr="0071782F">
        <w:rPr>
          <w:lang w:val="fr-CH"/>
        </w:rPr>
        <w:t>10</w:t>
      </w:r>
      <w:r w:rsidR="00BF27ED" w:rsidRPr="0071782F">
        <w:rPr>
          <w:lang w:val="fr-CH"/>
        </w:rPr>
        <w:t>-</w:t>
      </w:r>
      <w:r w:rsidRPr="0071782F">
        <w:rPr>
          <w:lang w:val="fr-CH"/>
        </w:rPr>
        <w:t>40</w:t>
      </w:r>
      <w:r w:rsidR="00D82C96" w:rsidRPr="0071782F">
        <w:rPr>
          <w:lang w:val="fr-CH"/>
        </w:rPr>
        <w:t> ans</w:t>
      </w:r>
      <w:r w:rsidRPr="0071782F">
        <w:rPr>
          <w:lang w:val="fr-CH"/>
        </w:rPr>
        <w:t xml:space="preserve">, </w:t>
      </w:r>
      <w:r w:rsidR="00BF27ED" w:rsidRPr="0071782F">
        <w:rPr>
          <w:lang w:val="fr-CH"/>
        </w:rPr>
        <w:t>car il s’agit d’une tranche productive de la société.</w:t>
      </w:r>
      <w:r w:rsidRPr="0071782F">
        <w:rPr>
          <w:lang w:val="fr-CH"/>
        </w:rPr>
        <w:t xml:space="preserve"> </w:t>
      </w:r>
    </w:p>
    <w:p w:rsidR="00186B76" w:rsidRPr="0071782F" w:rsidRDefault="00186B76" w:rsidP="00A45A11">
      <w:pPr>
        <w:pStyle w:val="SingleTxtG"/>
        <w:rPr>
          <w:lang w:val="fr-CH"/>
        </w:rPr>
      </w:pPr>
      <w:r w:rsidRPr="0071782F">
        <w:rPr>
          <w:lang w:val="fr-CH"/>
        </w:rPr>
        <w:t>391.</w:t>
      </w:r>
      <w:r w:rsidRPr="0071782F">
        <w:rPr>
          <w:lang w:val="fr-CH"/>
        </w:rPr>
        <w:tab/>
      </w:r>
      <w:r w:rsidR="00BF27ED" w:rsidRPr="0071782F">
        <w:rPr>
          <w:lang w:val="fr-CH"/>
        </w:rPr>
        <w:t xml:space="preserve">Sur les </w:t>
      </w:r>
      <w:r w:rsidRPr="0071782F">
        <w:rPr>
          <w:lang w:val="fr-CH"/>
        </w:rPr>
        <w:t>9</w:t>
      </w:r>
      <w:r w:rsidR="00BF27ED" w:rsidRPr="0071782F">
        <w:rPr>
          <w:lang w:val="fr-CH"/>
        </w:rPr>
        <w:t> </w:t>
      </w:r>
      <w:r w:rsidRPr="0071782F">
        <w:rPr>
          <w:lang w:val="fr-CH"/>
        </w:rPr>
        <w:t>633</w:t>
      </w:r>
      <w:r w:rsidR="008D446F">
        <w:rPr>
          <w:lang w:val="fr-CH"/>
        </w:rPr>
        <w:t> </w:t>
      </w:r>
      <w:r w:rsidRPr="0071782F">
        <w:rPr>
          <w:lang w:val="fr-CH"/>
        </w:rPr>
        <w:t xml:space="preserve">760 participants </w:t>
      </w:r>
      <w:r w:rsidR="00BF27ED" w:rsidRPr="0071782F">
        <w:rPr>
          <w:lang w:val="fr-CH"/>
        </w:rPr>
        <w:t>aux cours d’alphabétisation</w:t>
      </w:r>
      <w:r w:rsidRPr="0071782F">
        <w:rPr>
          <w:lang w:val="fr-CH"/>
        </w:rPr>
        <w:t>, 8</w:t>
      </w:r>
      <w:r w:rsidR="00BF27ED" w:rsidRPr="0071782F">
        <w:rPr>
          <w:lang w:val="fr-CH"/>
        </w:rPr>
        <w:t> </w:t>
      </w:r>
      <w:r w:rsidRPr="0071782F">
        <w:rPr>
          <w:lang w:val="fr-CH"/>
        </w:rPr>
        <w:t>390</w:t>
      </w:r>
      <w:r w:rsidR="008F6006">
        <w:rPr>
          <w:lang w:val="fr-CH"/>
        </w:rPr>
        <w:t> </w:t>
      </w:r>
      <w:r w:rsidRPr="0071782F">
        <w:rPr>
          <w:lang w:val="fr-CH"/>
        </w:rPr>
        <w:t xml:space="preserve">271 </w:t>
      </w:r>
      <w:r w:rsidR="00BF27ED" w:rsidRPr="0071782F">
        <w:rPr>
          <w:lang w:val="fr-CH"/>
        </w:rPr>
        <w:t>ont passé les examens terminaux et</w:t>
      </w:r>
      <w:r w:rsidRPr="0071782F">
        <w:rPr>
          <w:lang w:val="fr-CH"/>
        </w:rPr>
        <w:t xml:space="preserve"> 6</w:t>
      </w:r>
      <w:r w:rsidR="00BF27ED" w:rsidRPr="0071782F">
        <w:rPr>
          <w:lang w:val="fr-CH"/>
        </w:rPr>
        <w:t> </w:t>
      </w:r>
      <w:r w:rsidRPr="0071782F">
        <w:rPr>
          <w:lang w:val="fr-CH"/>
        </w:rPr>
        <w:t>922</w:t>
      </w:r>
      <w:r w:rsidR="008D446F">
        <w:rPr>
          <w:lang w:val="fr-CH"/>
        </w:rPr>
        <w:t> </w:t>
      </w:r>
      <w:r w:rsidRPr="0071782F">
        <w:rPr>
          <w:lang w:val="fr-CH"/>
        </w:rPr>
        <w:t xml:space="preserve">741 </w:t>
      </w:r>
      <w:r w:rsidR="00BF27ED" w:rsidRPr="0071782F">
        <w:rPr>
          <w:lang w:val="fr-CH"/>
        </w:rPr>
        <w:t>d’entre eux ont obtenu le certificat correspondant à l’un des quatre niveaux</w:t>
      </w:r>
      <w:r w:rsidRPr="0071782F">
        <w:rPr>
          <w:lang w:val="fr-CH"/>
        </w:rPr>
        <w:t xml:space="preserve">. </w:t>
      </w:r>
      <w:r w:rsidR="00BF27ED" w:rsidRPr="0071782F">
        <w:rPr>
          <w:lang w:val="fr-CH"/>
        </w:rPr>
        <w:t>E</w:t>
      </w:r>
      <w:r w:rsidRPr="0071782F">
        <w:rPr>
          <w:lang w:val="fr-CH"/>
        </w:rPr>
        <w:t xml:space="preserve">n </w:t>
      </w:r>
      <w:r w:rsidR="00BF27ED" w:rsidRPr="0071782F">
        <w:rPr>
          <w:lang w:val="fr-CH"/>
        </w:rPr>
        <w:t xml:space="preserve">d’autres termes, </w:t>
      </w:r>
      <w:r w:rsidRPr="0071782F">
        <w:rPr>
          <w:lang w:val="fr-CH"/>
        </w:rPr>
        <w:t>87</w:t>
      </w:r>
      <w:r w:rsidR="00BF27ED" w:rsidRPr="0071782F">
        <w:rPr>
          <w:lang w:val="fr-CH"/>
        </w:rPr>
        <w:t>,</w:t>
      </w:r>
      <w:r w:rsidRPr="0071782F">
        <w:rPr>
          <w:lang w:val="fr-CH"/>
        </w:rPr>
        <w:t>1</w:t>
      </w:r>
      <w:r w:rsidR="007E5125" w:rsidRPr="0071782F">
        <w:rPr>
          <w:lang w:val="fr-CH"/>
        </w:rPr>
        <w:t>%</w:t>
      </w:r>
      <w:r w:rsidR="00BF27ED" w:rsidRPr="0071782F">
        <w:rPr>
          <w:lang w:val="fr-CH"/>
        </w:rPr>
        <w:t xml:space="preserve"> ont passé les examens et</w:t>
      </w:r>
      <w:r w:rsidRPr="0071782F">
        <w:rPr>
          <w:lang w:val="fr-CH"/>
        </w:rPr>
        <w:t xml:space="preserve"> 82</w:t>
      </w:r>
      <w:r w:rsidR="00BF27ED" w:rsidRPr="0071782F">
        <w:rPr>
          <w:lang w:val="fr-CH"/>
        </w:rPr>
        <w:t>,</w:t>
      </w:r>
      <w:r w:rsidRPr="0071782F">
        <w:rPr>
          <w:lang w:val="fr-CH"/>
        </w:rPr>
        <w:t>5</w:t>
      </w:r>
      <w:r w:rsidR="007E5125" w:rsidRPr="0071782F">
        <w:rPr>
          <w:lang w:val="fr-CH"/>
        </w:rPr>
        <w:t>%</w:t>
      </w:r>
      <w:r w:rsidR="00BF27ED" w:rsidRPr="0071782F">
        <w:rPr>
          <w:lang w:val="fr-CH"/>
        </w:rPr>
        <w:t xml:space="preserve"> ont reçu un certificat</w:t>
      </w:r>
      <w:r w:rsidRPr="0071782F">
        <w:rPr>
          <w:lang w:val="fr-CH"/>
        </w:rPr>
        <w:t xml:space="preserve">. </w:t>
      </w:r>
      <w:r w:rsidR="00BF27ED" w:rsidRPr="0071782F">
        <w:rPr>
          <w:lang w:val="fr-CH"/>
        </w:rPr>
        <w:t>Le pourcentage de réussite aux examens a progressé d’un niveau à l’autre</w:t>
      </w:r>
      <w:r w:rsidR="008F7D33" w:rsidRPr="0071782F">
        <w:rPr>
          <w:lang w:val="fr-CH"/>
        </w:rPr>
        <w:t>:</w:t>
      </w:r>
      <w:r w:rsidR="00BF27ED" w:rsidRPr="0071782F">
        <w:rPr>
          <w:lang w:val="fr-CH"/>
        </w:rPr>
        <w:t xml:space="preserve"> </w:t>
      </w:r>
      <w:r w:rsidRPr="0071782F">
        <w:rPr>
          <w:lang w:val="fr-CH"/>
        </w:rPr>
        <w:t>79</w:t>
      </w:r>
      <w:r w:rsidR="00BF27ED" w:rsidRPr="0071782F">
        <w:rPr>
          <w:lang w:val="fr-CH"/>
        </w:rPr>
        <w:t>,</w:t>
      </w:r>
      <w:r w:rsidRPr="0071782F">
        <w:rPr>
          <w:lang w:val="fr-CH"/>
        </w:rPr>
        <w:t>4, 82</w:t>
      </w:r>
      <w:r w:rsidR="00BF27ED" w:rsidRPr="0071782F">
        <w:rPr>
          <w:lang w:val="fr-CH"/>
        </w:rPr>
        <w:t>,</w:t>
      </w:r>
      <w:r w:rsidRPr="0071782F">
        <w:rPr>
          <w:lang w:val="fr-CH"/>
        </w:rPr>
        <w:t>7, 85</w:t>
      </w:r>
      <w:r w:rsidR="00BF27ED" w:rsidRPr="0071782F">
        <w:rPr>
          <w:lang w:val="fr-CH"/>
        </w:rPr>
        <w:t>,</w:t>
      </w:r>
      <w:r w:rsidRPr="0071782F">
        <w:rPr>
          <w:lang w:val="fr-CH"/>
        </w:rPr>
        <w:t>5</w:t>
      </w:r>
      <w:r w:rsidR="00BF27ED" w:rsidRPr="0071782F">
        <w:rPr>
          <w:lang w:val="fr-CH"/>
        </w:rPr>
        <w:t xml:space="preserve"> et</w:t>
      </w:r>
      <w:r w:rsidRPr="0071782F">
        <w:rPr>
          <w:lang w:val="fr-CH"/>
        </w:rPr>
        <w:t xml:space="preserve"> 91</w:t>
      </w:r>
      <w:r w:rsidR="00BF27ED" w:rsidRPr="0071782F">
        <w:rPr>
          <w:lang w:val="fr-CH"/>
        </w:rPr>
        <w:t>,</w:t>
      </w:r>
      <w:r w:rsidRPr="0071782F">
        <w:rPr>
          <w:lang w:val="fr-CH"/>
        </w:rPr>
        <w:t>8</w:t>
      </w:r>
      <w:r w:rsidR="007E5125" w:rsidRPr="0071782F">
        <w:rPr>
          <w:lang w:val="fr-CH"/>
        </w:rPr>
        <w:t>%</w:t>
      </w:r>
      <w:r w:rsidR="00BF27ED" w:rsidRPr="0071782F">
        <w:rPr>
          <w:lang w:val="fr-CH"/>
        </w:rPr>
        <w:t xml:space="preserve"> des élèves ont réussi aux examens correspondant au cours d’initiation, au cours complémentaire, au cours de perfectionnement et au cours de </w:t>
      </w:r>
      <w:r w:rsidR="00A90208" w:rsidRPr="0071782F">
        <w:rPr>
          <w:lang w:val="fr-CH"/>
        </w:rPr>
        <w:t>cinquième</w:t>
      </w:r>
      <w:r w:rsidR="008F6006">
        <w:rPr>
          <w:lang w:val="fr-CH"/>
        </w:rPr>
        <w:t xml:space="preserve"> </w:t>
      </w:r>
      <w:r w:rsidR="00BF27ED" w:rsidRPr="0071782F">
        <w:rPr>
          <w:lang w:val="fr-CH"/>
        </w:rPr>
        <w:t xml:space="preserve">année, </w:t>
      </w:r>
      <w:r w:rsidRPr="0071782F">
        <w:rPr>
          <w:lang w:val="fr-CH"/>
        </w:rPr>
        <w:t>respective</w:t>
      </w:r>
      <w:r w:rsidR="00BF27ED" w:rsidRPr="0071782F">
        <w:rPr>
          <w:lang w:val="fr-CH"/>
        </w:rPr>
        <w:t>ment</w:t>
      </w:r>
      <w:r w:rsidRPr="0071782F">
        <w:rPr>
          <w:lang w:val="fr-CH"/>
        </w:rPr>
        <w:t xml:space="preserve">. </w:t>
      </w:r>
      <w:r w:rsidR="00BF27ED" w:rsidRPr="0071782F">
        <w:rPr>
          <w:lang w:val="fr-CH"/>
        </w:rPr>
        <w:t>Le taux de réussite est le même pour</w:t>
      </w:r>
      <w:r w:rsidR="002847E7">
        <w:rPr>
          <w:lang w:val="fr-CH"/>
        </w:rPr>
        <w:t xml:space="preserve"> les hommes et les femmes, soit </w:t>
      </w:r>
      <w:r w:rsidRPr="0071782F">
        <w:rPr>
          <w:lang w:val="fr-CH"/>
        </w:rPr>
        <w:t>82</w:t>
      </w:r>
      <w:r w:rsidR="00BF27ED" w:rsidRPr="0071782F">
        <w:rPr>
          <w:lang w:val="fr-CH"/>
        </w:rPr>
        <w:t>,</w:t>
      </w:r>
      <w:r w:rsidRPr="0071782F">
        <w:rPr>
          <w:lang w:val="fr-CH"/>
        </w:rPr>
        <w:t>5</w:t>
      </w:r>
      <w:r w:rsidR="007E5125" w:rsidRPr="0071782F">
        <w:rPr>
          <w:lang w:val="fr-CH"/>
        </w:rPr>
        <w:t>%</w:t>
      </w:r>
      <w:r w:rsidRPr="0071782F">
        <w:rPr>
          <w:lang w:val="fr-CH"/>
        </w:rPr>
        <w:t xml:space="preserve">. </w:t>
      </w:r>
      <w:r w:rsidR="00BF27ED" w:rsidRPr="0071782F">
        <w:rPr>
          <w:lang w:val="fr-CH"/>
        </w:rPr>
        <w:t xml:space="preserve">Les tableaux </w:t>
      </w:r>
      <w:r w:rsidRPr="0071782F">
        <w:rPr>
          <w:lang w:val="fr-CH"/>
        </w:rPr>
        <w:t xml:space="preserve">1 </w:t>
      </w:r>
      <w:r w:rsidR="00BF27ED" w:rsidRPr="0071782F">
        <w:rPr>
          <w:lang w:val="fr-CH"/>
        </w:rPr>
        <w:t>et</w:t>
      </w:r>
      <w:r w:rsidRPr="0071782F">
        <w:rPr>
          <w:lang w:val="fr-CH"/>
        </w:rPr>
        <w:t xml:space="preserve"> 2 </w:t>
      </w:r>
      <w:r w:rsidR="00BF27ED" w:rsidRPr="0071782F">
        <w:rPr>
          <w:lang w:val="fr-CH"/>
        </w:rPr>
        <w:t>présentent des statistique</w:t>
      </w:r>
      <w:r w:rsidRPr="0071782F">
        <w:rPr>
          <w:lang w:val="fr-CH"/>
        </w:rPr>
        <w:t xml:space="preserve">s </w:t>
      </w:r>
      <w:r w:rsidR="00BF27ED" w:rsidRPr="0071782F">
        <w:rPr>
          <w:lang w:val="fr-CH"/>
        </w:rPr>
        <w:t xml:space="preserve">sur les cours d’alphabétisation et les élèves pour la période </w:t>
      </w:r>
      <w:r w:rsidRPr="0071782F">
        <w:rPr>
          <w:lang w:val="fr-CH"/>
        </w:rPr>
        <w:t>1997</w:t>
      </w:r>
      <w:r w:rsidR="00BF27ED" w:rsidRPr="0071782F">
        <w:rPr>
          <w:lang w:val="fr-CH"/>
        </w:rPr>
        <w:t>-</w:t>
      </w:r>
      <w:r w:rsidRPr="0071782F">
        <w:rPr>
          <w:lang w:val="fr-CH"/>
        </w:rPr>
        <w:t>2006.</w:t>
      </w:r>
    </w:p>
    <w:p w:rsidR="00186B76" w:rsidRPr="0071782F" w:rsidRDefault="00186B76" w:rsidP="00A45A11">
      <w:pPr>
        <w:pStyle w:val="H1G"/>
        <w:rPr>
          <w:lang w:val="fr-CH"/>
        </w:rPr>
      </w:pPr>
      <w:r w:rsidRPr="0071782F">
        <w:rPr>
          <w:lang w:val="fr-CH"/>
        </w:rPr>
        <w:tab/>
      </w:r>
      <w:r w:rsidRPr="0071782F">
        <w:rPr>
          <w:lang w:val="fr-CH"/>
        </w:rPr>
        <w:tab/>
      </w:r>
      <w:r w:rsidR="00BF27ED" w:rsidRPr="0071782F">
        <w:rPr>
          <w:lang w:val="fr-CH"/>
        </w:rPr>
        <w:t xml:space="preserve">Formation du personnel du Mouvement pour l’alphabétisation </w:t>
      </w:r>
    </w:p>
    <w:p w:rsidR="00186B76" w:rsidRPr="0071782F" w:rsidRDefault="00186B76" w:rsidP="000F2ED4">
      <w:pPr>
        <w:pStyle w:val="SingleTxtG"/>
        <w:spacing w:after="240"/>
        <w:rPr>
          <w:lang w:val="fr-CH"/>
        </w:rPr>
      </w:pPr>
      <w:r w:rsidRPr="0071782F">
        <w:rPr>
          <w:lang w:val="fr-CH"/>
        </w:rPr>
        <w:t>392.</w:t>
      </w:r>
      <w:r w:rsidRPr="0071782F">
        <w:rPr>
          <w:lang w:val="fr-CH"/>
        </w:rPr>
        <w:tab/>
      </w:r>
      <w:r w:rsidR="00D2784A" w:rsidRPr="0071782F">
        <w:rPr>
          <w:lang w:val="fr-CH"/>
        </w:rPr>
        <w:t>Afin d’exécuter des programmes de courte et de longue durée, l’Organisation du Mouvement pour l’alphabétisation a signé un accord avec l’Université générale des sciences appliquées, qui relève du Ministère de la s</w:t>
      </w:r>
      <w:r w:rsidRPr="0071782F">
        <w:rPr>
          <w:lang w:val="fr-CH"/>
        </w:rPr>
        <w:t xml:space="preserve">cience, </w:t>
      </w:r>
      <w:r w:rsidR="00D2784A" w:rsidRPr="0071782F">
        <w:rPr>
          <w:lang w:val="fr-CH"/>
        </w:rPr>
        <w:t>de la recherche et de la technologie</w:t>
      </w:r>
      <w:r w:rsidRPr="0071782F">
        <w:rPr>
          <w:lang w:val="fr-CH"/>
        </w:rPr>
        <w:t xml:space="preserve">, </w:t>
      </w:r>
      <w:r w:rsidR="00D2784A" w:rsidRPr="0071782F">
        <w:rPr>
          <w:lang w:val="fr-CH"/>
        </w:rPr>
        <w:t xml:space="preserve">et a créé quatre centres d’enseignement des sciences appliquées. Un grand nombre des membres du personnel de l’Organisation ont suivi des programmes de courte durée. En outre, un grand nombre d’entre eux ont participé à des programmes de longue durée et ont obtenu </w:t>
      </w:r>
      <w:r w:rsidR="00637E67" w:rsidRPr="0071782F">
        <w:rPr>
          <w:lang w:val="fr-CH"/>
        </w:rPr>
        <w:t>un premier diplôme universitaire</w:t>
      </w:r>
      <w:r w:rsidR="00D2784A" w:rsidRPr="0071782F">
        <w:rPr>
          <w:lang w:val="fr-CH"/>
        </w:rPr>
        <w:t xml:space="preserve"> et </w:t>
      </w:r>
      <w:r w:rsidR="00637E67" w:rsidRPr="0071782F">
        <w:rPr>
          <w:lang w:val="fr-CH"/>
        </w:rPr>
        <w:t>une licence</w:t>
      </w:r>
      <w:r w:rsidR="00D2784A" w:rsidRPr="0071782F">
        <w:rPr>
          <w:lang w:val="fr-CH"/>
        </w:rPr>
        <w:t xml:space="preserve"> dans les matières requises par le Mouvement pour l’alphabétisation. </w:t>
      </w:r>
    </w:p>
    <w:p w:rsidR="00186B76" w:rsidRPr="0071782F" w:rsidRDefault="00186B76" w:rsidP="00A45A11">
      <w:pPr>
        <w:pStyle w:val="Heading1"/>
        <w:rPr>
          <w:lang w:val="fr-CH"/>
        </w:rPr>
      </w:pPr>
      <w:r w:rsidRPr="0071782F">
        <w:rPr>
          <w:lang w:val="fr-CH"/>
        </w:rPr>
        <w:t>Table</w:t>
      </w:r>
      <w:r w:rsidR="00D2784A" w:rsidRPr="0071782F">
        <w:rPr>
          <w:lang w:val="fr-CH"/>
        </w:rPr>
        <w:t>au</w:t>
      </w:r>
      <w:r w:rsidRPr="0071782F">
        <w:rPr>
          <w:lang w:val="fr-CH"/>
        </w:rPr>
        <w:t xml:space="preserve"> 1</w:t>
      </w:r>
    </w:p>
    <w:p w:rsidR="00186B76" w:rsidRPr="0071782F" w:rsidRDefault="00D2784A" w:rsidP="00A45A11">
      <w:pPr>
        <w:pStyle w:val="SingleTxtG"/>
        <w:rPr>
          <w:b/>
          <w:lang w:val="fr-CH"/>
        </w:rPr>
      </w:pPr>
      <w:r w:rsidRPr="0071782F">
        <w:rPr>
          <w:b/>
          <w:lang w:val="fr-CH"/>
        </w:rPr>
        <w:t xml:space="preserve">Cours d’alphabétisation dispensés pendant la période </w:t>
      </w:r>
      <w:r w:rsidR="00186B76" w:rsidRPr="0071782F">
        <w:rPr>
          <w:b/>
          <w:lang w:val="fr-CH"/>
        </w:rPr>
        <w:t>1997</w:t>
      </w:r>
      <w:r w:rsidRPr="0071782F">
        <w:rPr>
          <w:b/>
          <w:lang w:val="fr-CH"/>
        </w:rPr>
        <w:t>-</w:t>
      </w:r>
      <w:r w:rsidR="00186B76" w:rsidRPr="0071782F">
        <w:rPr>
          <w:b/>
          <w:lang w:val="fr-CH"/>
        </w:rPr>
        <w:t>2006</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1843"/>
        <w:gridCol w:w="2385"/>
        <w:gridCol w:w="1231"/>
        <w:gridCol w:w="980"/>
        <w:gridCol w:w="931"/>
      </w:tblGrid>
      <w:tr w:rsidR="00186B76" w:rsidRPr="0071782F">
        <w:trPr>
          <w:tblHeader/>
        </w:trPr>
        <w:tc>
          <w:tcPr>
            <w:tcW w:w="1843" w:type="dxa"/>
            <w:vMerge w:val="restart"/>
            <w:tcBorders>
              <w:top w:val="single" w:sz="4" w:space="0" w:color="auto"/>
              <w:bottom w:val="single" w:sz="4" w:space="0" w:color="auto"/>
            </w:tcBorders>
            <w:shd w:val="clear" w:color="000000" w:fill="auto"/>
            <w:vAlign w:val="bottom"/>
          </w:tcPr>
          <w:p w:rsidR="00186B76" w:rsidRPr="0071782F" w:rsidRDefault="00186B76" w:rsidP="003B1403">
            <w:pPr>
              <w:suppressAutoHyphens w:val="0"/>
              <w:spacing w:before="80" w:after="80" w:line="200" w:lineRule="exact"/>
              <w:rPr>
                <w:i/>
                <w:sz w:val="16"/>
                <w:szCs w:val="16"/>
                <w:lang w:val="fr-CH"/>
              </w:rPr>
            </w:pPr>
            <w:r w:rsidRPr="0071782F">
              <w:rPr>
                <w:i/>
                <w:sz w:val="16"/>
                <w:szCs w:val="16"/>
                <w:lang w:val="fr-CH"/>
              </w:rPr>
              <w:t>Cours</w:t>
            </w:r>
          </w:p>
        </w:tc>
        <w:tc>
          <w:tcPr>
            <w:tcW w:w="2385" w:type="dxa"/>
            <w:vMerge w:val="restart"/>
            <w:tcBorders>
              <w:top w:val="single" w:sz="4" w:space="0" w:color="auto"/>
              <w:bottom w:val="single" w:sz="12" w:space="0" w:color="auto"/>
              <w:right w:val="nil"/>
            </w:tcBorders>
            <w:shd w:val="clear" w:color="000000" w:fill="auto"/>
            <w:vAlign w:val="bottom"/>
          </w:tcPr>
          <w:p w:rsidR="00186B76" w:rsidRPr="0071782F" w:rsidRDefault="00186B76" w:rsidP="00BA31AA">
            <w:pPr>
              <w:suppressAutoHyphens w:val="0"/>
              <w:spacing w:before="80" w:after="80" w:line="200" w:lineRule="exact"/>
              <w:ind w:right="113"/>
              <w:jc w:val="right"/>
              <w:rPr>
                <w:i/>
                <w:sz w:val="16"/>
                <w:szCs w:val="16"/>
                <w:lang w:val="fr-CH"/>
              </w:rPr>
            </w:pPr>
            <w:r w:rsidRPr="0071782F">
              <w:rPr>
                <w:i/>
                <w:sz w:val="16"/>
                <w:szCs w:val="16"/>
                <w:lang w:val="fr-CH"/>
              </w:rPr>
              <w:t>N</w:t>
            </w:r>
            <w:r w:rsidR="00185201" w:rsidRPr="0071782F">
              <w:rPr>
                <w:i/>
                <w:sz w:val="16"/>
                <w:szCs w:val="16"/>
                <w:lang w:val="fr-CH"/>
              </w:rPr>
              <w:t xml:space="preserve">ombre et pourcentage de classes </w:t>
            </w:r>
          </w:p>
        </w:tc>
        <w:tc>
          <w:tcPr>
            <w:tcW w:w="3142" w:type="dxa"/>
            <w:gridSpan w:val="3"/>
            <w:tcBorders>
              <w:top w:val="single" w:sz="4" w:space="0" w:color="auto"/>
              <w:left w:val="nil"/>
              <w:bottom w:val="single" w:sz="4" w:space="0" w:color="auto"/>
            </w:tcBorders>
            <w:shd w:val="clear" w:color="000000" w:fill="auto"/>
            <w:vAlign w:val="bottom"/>
          </w:tcPr>
          <w:p w:rsidR="00186B76" w:rsidRPr="0071782F" w:rsidRDefault="00185201" w:rsidP="003B1403">
            <w:pPr>
              <w:suppressAutoHyphens w:val="0"/>
              <w:spacing w:before="80" w:after="80" w:line="200" w:lineRule="exact"/>
              <w:jc w:val="center"/>
              <w:rPr>
                <w:i/>
                <w:sz w:val="16"/>
                <w:szCs w:val="16"/>
                <w:lang w:val="fr-CH"/>
              </w:rPr>
            </w:pPr>
            <w:r w:rsidRPr="0071782F">
              <w:rPr>
                <w:i/>
                <w:sz w:val="16"/>
                <w:szCs w:val="16"/>
                <w:lang w:val="fr-CH"/>
              </w:rPr>
              <w:t>Localisation géo</w:t>
            </w:r>
            <w:r w:rsidR="00186B76" w:rsidRPr="0071782F">
              <w:rPr>
                <w:i/>
                <w:sz w:val="16"/>
                <w:szCs w:val="16"/>
                <w:lang w:val="fr-CH"/>
              </w:rPr>
              <w:t>graphi</w:t>
            </w:r>
            <w:r w:rsidRPr="0071782F">
              <w:rPr>
                <w:i/>
                <w:sz w:val="16"/>
                <w:szCs w:val="16"/>
                <w:lang w:val="fr-CH"/>
              </w:rPr>
              <w:t>que</w:t>
            </w:r>
          </w:p>
        </w:tc>
      </w:tr>
      <w:tr w:rsidR="00186B76" w:rsidRPr="0071782F">
        <w:trPr>
          <w:tblHeader/>
        </w:trPr>
        <w:tc>
          <w:tcPr>
            <w:tcW w:w="1843" w:type="dxa"/>
            <w:vMerge/>
            <w:tcBorders>
              <w:top w:val="single" w:sz="4" w:space="0" w:color="auto"/>
              <w:bottom w:val="single" w:sz="12" w:space="0" w:color="auto"/>
            </w:tcBorders>
            <w:shd w:val="clear" w:color="000000" w:fill="auto"/>
            <w:vAlign w:val="bottom"/>
          </w:tcPr>
          <w:p w:rsidR="00186B76" w:rsidRPr="0071782F" w:rsidRDefault="00186B76" w:rsidP="003B1403">
            <w:pPr>
              <w:suppressAutoHyphens w:val="0"/>
              <w:spacing w:before="80" w:after="80" w:line="200" w:lineRule="exact"/>
              <w:rPr>
                <w:i/>
                <w:sz w:val="16"/>
                <w:szCs w:val="16"/>
                <w:lang w:val="fr-CH"/>
              </w:rPr>
            </w:pPr>
          </w:p>
        </w:tc>
        <w:tc>
          <w:tcPr>
            <w:tcW w:w="2385" w:type="dxa"/>
            <w:vMerge/>
            <w:tcBorders>
              <w:top w:val="single" w:sz="4" w:space="0" w:color="auto"/>
              <w:bottom w:val="single" w:sz="12" w:space="0" w:color="auto"/>
              <w:right w:val="nil"/>
            </w:tcBorders>
            <w:shd w:val="clear" w:color="000000" w:fill="auto"/>
            <w:vAlign w:val="bottom"/>
          </w:tcPr>
          <w:p w:rsidR="00186B76" w:rsidRPr="0071782F" w:rsidRDefault="00186B76" w:rsidP="00BA31AA">
            <w:pPr>
              <w:suppressAutoHyphens w:val="0"/>
              <w:spacing w:before="80" w:after="80" w:line="200" w:lineRule="exact"/>
              <w:ind w:right="113"/>
              <w:jc w:val="right"/>
              <w:rPr>
                <w:i/>
                <w:sz w:val="16"/>
                <w:szCs w:val="16"/>
                <w:lang w:val="fr-CH"/>
              </w:rPr>
            </w:pPr>
          </w:p>
        </w:tc>
        <w:tc>
          <w:tcPr>
            <w:tcW w:w="1231" w:type="dxa"/>
            <w:tcBorders>
              <w:top w:val="single" w:sz="4" w:space="0" w:color="auto"/>
              <w:left w:val="nil"/>
              <w:bottom w:val="single" w:sz="12" w:space="0" w:color="auto"/>
            </w:tcBorders>
            <w:shd w:val="clear" w:color="000000" w:fill="auto"/>
            <w:vAlign w:val="bottom"/>
          </w:tcPr>
          <w:p w:rsidR="00186B76" w:rsidRPr="0071782F" w:rsidRDefault="00185201" w:rsidP="003B1403">
            <w:pPr>
              <w:suppressAutoHyphens w:val="0"/>
              <w:spacing w:before="80" w:after="80" w:line="200" w:lineRule="exact"/>
              <w:jc w:val="right"/>
              <w:rPr>
                <w:i/>
                <w:sz w:val="16"/>
                <w:szCs w:val="16"/>
                <w:lang w:val="fr-CH"/>
              </w:rPr>
            </w:pPr>
            <w:r w:rsidRPr="0071782F">
              <w:rPr>
                <w:i/>
                <w:sz w:val="16"/>
                <w:szCs w:val="16"/>
                <w:lang w:val="fr-CH"/>
              </w:rPr>
              <w:t>Ville</w:t>
            </w:r>
          </w:p>
        </w:tc>
        <w:tc>
          <w:tcPr>
            <w:tcW w:w="980" w:type="dxa"/>
            <w:tcBorders>
              <w:top w:val="single" w:sz="4" w:space="0" w:color="auto"/>
              <w:bottom w:val="single" w:sz="12" w:space="0" w:color="auto"/>
            </w:tcBorders>
            <w:shd w:val="clear" w:color="000000" w:fill="auto"/>
            <w:vAlign w:val="bottom"/>
          </w:tcPr>
          <w:p w:rsidR="00186B76" w:rsidRPr="0071782F" w:rsidRDefault="00186B76" w:rsidP="003B1403">
            <w:pPr>
              <w:suppressAutoHyphens w:val="0"/>
              <w:spacing w:before="80" w:after="80" w:line="200" w:lineRule="exact"/>
              <w:jc w:val="right"/>
              <w:rPr>
                <w:i/>
                <w:sz w:val="16"/>
                <w:szCs w:val="16"/>
                <w:lang w:val="fr-CH"/>
              </w:rPr>
            </w:pPr>
            <w:r w:rsidRPr="0071782F">
              <w:rPr>
                <w:i/>
                <w:sz w:val="16"/>
                <w:szCs w:val="16"/>
                <w:lang w:val="fr-CH"/>
              </w:rPr>
              <w:t>Village</w:t>
            </w:r>
          </w:p>
        </w:tc>
        <w:tc>
          <w:tcPr>
            <w:tcW w:w="931" w:type="dxa"/>
            <w:tcBorders>
              <w:top w:val="single" w:sz="4" w:space="0" w:color="auto"/>
              <w:bottom w:val="single" w:sz="12" w:space="0" w:color="auto"/>
            </w:tcBorders>
            <w:shd w:val="clear" w:color="000000" w:fill="auto"/>
            <w:vAlign w:val="bottom"/>
          </w:tcPr>
          <w:p w:rsidR="00186B76" w:rsidRPr="0071782F" w:rsidRDefault="00185201" w:rsidP="003B1403">
            <w:pPr>
              <w:suppressAutoHyphens w:val="0"/>
              <w:spacing w:before="80" w:after="80" w:line="200" w:lineRule="exact"/>
              <w:jc w:val="right"/>
              <w:rPr>
                <w:i/>
                <w:sz w:val="16"/>
                <w:szCs w:val="16"/>
                <w:lang w:val="fr-CH"/>
              </w:rPr>
            </w:pPr>
            <w:r w:rsidRPr="0071782F">
              <w:rPr>
                <w:i/>
                <w:sz w:val="16"/>
                <w:szCs w:val="16"/>
                <w:lang w:val="fr-CH"/>
              </w:rPr>
              <w:t>Nomades</w:t>
            </w:r>
          </w:p>
        </w:tc>
      </w:tr>
      <w:tr w:rsidR="00186B76" w:rsidRPr="0071782F">
        <w:tc>
          <w:tcPr>
            <w:tcW w:w="1843" w:type="dxa"/>
            <w:tcBorders>
              <w:top w:val="single" w:sz="12" w:space="0" w:color="auto"/>
            </w:tcBorders>
            <w:shd w:val="clear" w:color="000000" w:fill="auto"/>
          </w:tcPr>
          <w:p w:rsidR="00186B76" w:rsidRPr="0071782F" w:rsidRDefault="00186B76" w:rsidP="003B1403">
            <w:pPr>
              <w:suppressAutoHyphens w:val="0"/>
              <w:spacing w:before="40" w:after="40" w:line="220" w:lineRule="exact"/>
              <w:rPr>
                <w:sz w:val="18"/>
                <w:lang w:val="fr-CH"/>
              </w:rPr>
            </w:pPr>
            <w:r w:rsidRPr="0071782F">
              <w:rPr>
                <w:sz w:val="18"/>
                <w:lang w:val="fr-CH"/>
              </w:rPr>
              <w:t>In</w:t>
            </w:r>
            <w:r w:rsidR="00185201" w:rsidRPr="0071782F">
              <w:rPr>
                <w:sz w:val="18"/>
                <w:lang w:val="fr-CH"/>
              </w:rPr>
              <w:t xml:space="preserve">itiation </w:t>
            </w:r>
          </w:p>
        </w:tc>
        <w:tc>
          <w:tcPr>
            <w:tcW w:w="2385" w:type="dxa"/>
            <w:tcBorders>
              <w:top w:val="single" w:sz="12" w:space="0" w:color="auto"/>
              <w:right w:val="single" w:sz="24" w:space="0" w:color="FFFFFF"/>
            </w:tcBorders>
            <w:shd w:val="clear" w:color="000000" w:fill="auto"/>
          </w:tcPr>
          <w:p w:rsidR="00186B76" w:rsidRPr="0071782F" w:rsidRDefault="00186B76" w:rsidP="00BA31AA">
            <w:pPr>
              <w:suppressAutoHyphens w:val="0"/>
              <w:spacing w:before="40" w:after="40" w:line="220" w:lineRule="exact"/>
              <w:ind w:right="113"/>
              <w:jc w:val="right"/>
              <w:rPr>
                <w:sz w:val="18"/>
                <w:lang w:val="fr-CH"/>
              </w:rPr>
            </w:pPr>
            <w:r w:rsidRPr="0071782F">
              <w:rPr>
                <w:sz w:val="18"/>
                <w:lang w:val="fr-CH"/>
              </w:rPr>
              <w:t>367 325</w:t>
            </w:r>
            <w:r w:rsidR="00683211" w:rsidRPr="0071782F">
              <w:rPr>
                <w:sz w:val="18"/>
                <w:lang w:val="fr-CH"/>
              </w:rPr>
              <w:br/>
            </w:r>
            <w:r w:rsidRPr="0071782F">
              <w:rPr>
                <w:sz w:val="18"/>
                <w:lang w:val="fr-CH"/>
              </w:rPr>
              <w:t>47</w:t>
            </w:r>
            <w:r w:rsidR="003B1403" w:rsidRPr="0071782F">
              <w:rPr>
                <w:sz w:val="18"/>
                <w:lang w:val="fr-CH"/>
              </w:rPr>
              <w:t>,</w:t>
            </w:r>
            <w:r w:rsidRPr="0071782F">
              <w:rPr>
                <w:sz w:val="18"/>
                <w:lang w:val="fr-CH"/>
              </w:rPr>
              <w:t>3</w:t>
            </w:r>
          </w:p>
        </w:tc>
        <w:tc>
          <w:tcPr>
            <w:tcW w:w="1231" w:type="dxa"/>
            <w:tcBorders>
              <w:top w:val="single" w:sz="12" w:space="0" w:color="auto"/>
              <w:left w:val="single" w:sz="24" w:space="0" w:color="FFFFFF"/>
            </w:tcBorders>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164 815</w:t>
            </w:r>
            <w:r w:rsidR="00683211" w:rsidRPr="0071782F">
              <w:rPr>
                <w:sz w:val="18"/>
                <w:lang w:val="fr-CH"/>
              </w:rPr>
              <w:br/>
            </w:r>
            <w:r w:rsidRPr="0071782F">
              <w:rPr>
                <w:sz w:val="18"/>
                <w:lang w:val="fr-CH"/>
              </w:rPr>
              <w:t>47</w:t>
            </w:r>
            <w:r w:rsidR="003B1403" w:rsidRPr="0071782F">
              <w:rPr>
                <w:sz w:val="18"/>
                <w:lang w:val="fr-CH"/>
              </w:rPr>
              <w:t>,</w:t>
            </w:r>
            <w:r w:rsidRPr="0071782F">
              <w:rPr>
                <w:sz w:val="18"/>
                <w:lang w:val="fr-CH"/>
              </w:rPr>
              <w:t>0</w:t>
            </w:r>
          </w:p>
        </w:tc>
        <w:tc>
          <w:tcPr>
            <w:tcW w:w="980" w:type="dxa"/>
            <w:tcBorders>
              <w:top w:val="single" w:sz="12" w:space="0" w:color="auto"/>
            </w:tcBorders>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198 259</w:t>
            </w:r>
            <w:r w:rsidR="00683211" w:rsidRPr="0071782F">
              <w:rPr>
                <w:sz w:val="18"/>
                <w:lang w:val="fr-CH"/>
              </w:rPr>
              <w:br/>
            </w:r>
            <w:r w:rsidRPr="0071782F">
              <w:rPr>
                <w:sz w:val="18"/>
                <w:lang w:val="fr-CH"/>
              </w:rPr>
              <w:t>47</w:t>
            </w:r>
            <w:r w:rsidR="003B1403" w:rsidRPr="0071782F">
              <w:rPr>
                <w:sz w:val="18"/>
                <w:lang w:val="fr-CH"/>
              </w:rPr>
              <w:t>,</w:t>
            </w:r>
            <w:r w:rsidRPr="0071782F">
              <w:rPr>
                <w:sz w:val="18"/>
                <w:lang w:val="fr-CH"/>
              </w:rPr>
              <w:t>3</w:t>
            </w:r>
          </w:p>
        </w:tc>
        <w:tc>
          <w:tcPr>
            <w:tcW w:w="931" w:type="dxa"/>
            <w:tcBorders>
              <w:top w:val="single" w:sz="12" w:space="0" w:color="auto"/>
            </w:tcBorders>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4 251</w:t>
            </w:r>
            <w:r w:rsidR="00683211" w:rsidRPr="0071782F">
              <w:rPr>
                <w:sz w:val="18"/>
                <w:lang w:val="fr-CH"/>
              </w:rPr>
              <w:br/>
            </w:r>
            <w:r w:rsidRPr="0071782F">
              <w:rPr>
                <w:sz w:val="18"/>
                <w:lang w:val="fr-CH"/>
              </w:rPr>
              <w:t>64</w:t>
            </w:r>
            <w:r w:rsidR="003B1403" w:rsidRPr="0071782F">
              <w:rPr>
                <w:sz w:val="18"/>
                <w:lang w:val="fr-CH"/>
              </w:rPr>
              <w:t>,</w:t>
            </w:r>
            <w:r w:rsidRPr="0071782F">
              <w:rPr>
                <w:sz w:val="18"/>
                <w:lang w:val="fr-CH"/>
              </w:rPr>
              <w:t>7</w:t>
            </w:r>
          </w:p>
        </w:tc>
      </w:tr>
      <w:tr w:rsidR="00186B76" w:rsidRPr="0071782F">
        <w:tc>
          <w:tcPr>
            <w:tcW w:w="1843" w:type="dxa"/>
            <w:tcBorders>
              <w:bottom w:val="nil"/>
            </w:tcBorders>
            <w:shd w:val="clear" w:color="000000" w:fill="auto"/>
          </w:tcPr>
          <w:p w:rsidR="00186B76" w:rsidRPr="0071782F" w:rsidRDefault="00186B76" w:rsidP="003B1403">
            <w:pPr>
              <w:suppressAutoHyphens w:val="0"/>
              <w:spacing w:before="40" w:after="40" w:line="220" w:lineRule="exact"/>
              <w:rPr>
                <w:sz w:val="18"/>
                <w:lang w:val="fr-CH"/>
              </w:rPr>
            </w:pPr>
            <w:r w:rsidRPr="0071782F">
              <w:rPr>
                <w:sz w:val="18"/>
                <w:lang w:val="fr-CH"/>
              </w:rPr>
              <w:t>Compl</w:t>
            </w:r>
            <w:r w:rsidR="00185201" w:rsidRPr="0071782F">
              <w:rPr>
                <w:sz w:val="18"/>
                <w:lang w:val="fr-CH"/>
              </w:rPr>
              <w:t>é</w:t>
            </w:r>
            <w:r w:rsidRPr="0071782F">
              <w:rPr>
                <w:sz w:val="18"/>
                <w:lang w:val="fr-CH"/>
              </w:rPr>
              <w:t>menta</w:t>
            </w:r>
            <w:r w:rsidR="00185201" w:rsidRPr="0071782F">
              <w:rPr>
                <w:sz w:val="18"/>
                <w:lang w:val="fr-CH"/>
              </w:rPr>
              <w:t>ire</w:t>
            </w:r>
          </w:p>
        </w:tc>
        <w:tc>
          <w:tcPr>
            <w:tcW w:w="2385" w:type="dxa"/>
            <w:tcBorders>
              <w:bottom w:val="nil"/>
              <w:right w:val="single" w:sz="24" w:space="0" w:color="FFFFFF"/>
            </w:tcBorders>
            <w:shd w:val="clear" w:color="000000" w:fill="auto"/>
          </w:tcPr>
          <w:p w:rsidR="00186B76" w:rsidRPr="0071782F" w:rsidRDefault="00186B76" w:rsidP="00BA31AA">
            <w:pPr>
              <w:suppressAutoHyphens w:val="0"/>
              <w:spacing w:before="40" w:after="40" w:line="220" w:lineRule="exact"/>
              <w:ind w:right="113"/>
              <w:jc w:val="right"/>
              <w:rPr>
                <w:sz w:val="18"/>
                <w:lang w:val="fr-CH"/>
              </w:rPr>
            </w:pPr>
            <w:r w:rsidRPr="0071782F">
              <w:rPr>
                <w:sz w:val="18"/>
                <w:lang w:val="fr-CH"/>
              </w:rPr>
              <w:t>236 226</w:t>
            </w:r>
            <w:r w:rsidR="00683211" w:rsidRPr="0071782F">
              <w:rPr>
                <w:sz w:val="18"/>
                <w:lang w:val="fr-CH"/>
              </w:rPr>
              <w:br/>
            </w:r>
            <w:r w:rsidRPr="0071782F">
              <w:rPr>
                <w:sz w:val="18"/>
                <w:lang w:val="fr-CH"/>
              </w:rPr>
              <w:t>30</w:t>
            </w:r>
            <w:r w:rsidR="003B1403" w:rsidRPr="0071782F">
              <w:rPr>
                <w:sz w:val="18"/>
                <w:lang w:val="fr-CH"/>
              </w:rPr>
              <w:t>,</w:t>
            </w:r>
            <w:r w:rsidRPr="0071782F">
              <w:rPr>
                <w:sz w:val="18"/>
                <w:lang w:val="fr-CH"/>
              </w:rPr>
              <w:t>4</w:t>
            </w:r>
          </w:p>
        </w:tc>
        <w:tc>
          <w:tcPr>
            <w:tcW w:w="1231" w:type="dxa"/>
            <w:tcBorders>
              <w:left w:val="single" w:sz="24" w:space="0" w:color="FFFFFF"/>
              <w:bottom w:val="nil"/>
            </w:tcBorders>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109 120</w:t>
            </w:r>
            <w:r w:rsidR="00683211" w:rsidRPr="0071782F">
              <w:rPr>
                <w:sz w:val="18"/>
                <w:lang w:val="fr-CH"/>
              </w:rPr>
              <w:br/>
            </w:r>
            <w:r w:rsidRPr="0071782F">
              <w:rPr>
                <w:sz w:val="18"/>
                <w:lang w:val="fr-CH"/>
              </w:rPr>
              <w:t>31</w:t>
            </w:r>
            <w:r w:rsidR="003B1403" w:rsidRPr="0071782F">
              <w:rPr>
                <w:sz w:val="18"/>
                <w:lang w:val="fr-CH"/>
              </w:rPr>
              <w:t>,</w:t>
            </w:r>
            <w:r w:rsidRPr="0071782F">
              <w:rPr>
                <w:sz w:val="18"/>
                <w:lang w:val="fr-CH"/>
              </w:rPr>
              <w:t>1</w:t>
            </w:r>
          </w:p>
        </w:tc>
        <w:tc>
          <w:tcPr>
            <w:tcW w:w="980" w:type="dxa"/>
            <w:tcBorders>
              <w:bottom w:val="nil"/>
            </w:tcBorders>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125 503</w:t>
            </w:r>
            <w:r w:rsidR="00683211" w:rsidRPr="0071782F">
              <w:rPr>
                <w:sz w:val="18"/>
                <w:lang w:val="fr-CH"/>
              </w:rPr>
              <w:br/>
            </w:r>
            <w:r w:rsidRPr="0071782F">
              <w:rPr>
                <w:sz w:val="18"/>
                <w:lang w:val="fr-CH"/>
              </w:rPr>
              <w:t>30</w:t>
            </w:r>
            <w:r w:rsidR="003B1403" w:rsidRPr="0071782F">
              <w:rPr>
                <w:sz w:val="18"/>
                <w:lang w:val="fr-CH"/>
              </w:rPr>
              <w:t>,</w:t>
            </w:r>
            <w:r w:rsidRPr="0071782F">
              <w:rPr>
                <w:sz w:val="18"/>
                <w:lang w:val="fr-CH"/>
              </w:rPr>
              <w:t>0</w:t>
            </w:r>
          </w:p>
        </w:tc>
        <w:tc>
          <w:tcPr>
            <w:tcW w:w="931" w:type="dxa"/>
            <w:tcBorders>
              <w:bottom w:val="nil"/>
            </w:tcBorders>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1 603</w:t>
            </w:r>
            <w:r w:rsidR="00683211" w:rsidRPr="0071782F">
              <w:rPr>
                <w:sz w:val="18"/>
                <w:lang w:val="fr-CH"/>
              </w:rPr>
              <w:br/>
            </w:r>
            <w:r w:rsidRPr="0071782F">
              <w:rPr>
                <w:sz w:val="18"/>
                <w:lang w:val="fr-CH"/>
              </w:rPr>
              <w:t>24</w:t>
            </w:r>
            <w:r w:rsidR="003B1403" w:rsidRPr="0071782F">
              <w:rPr>
                <w:sz w:val="18"/>
                <w:lang w:val="fr-CH"/>
              </w:rPr>
              <w:t>,</w:t>
            </w:r>
            <w:r w:rsidRPr="0071782F">
              <w:rPr>
                <w:sz w:val="18"/>
                <w:lang w:val="fr-CH"/>
              </w:rPr>
              <w:t>4</w:t>
            </w:r>
          </w:p>
        </w:tc>
      </w:tr>
      <w:tr w:rsidR="00186B76" w:rsidRPr="0071782F">
        <w:tc>
          <w:tcPr>
            <w:tcW w:w="1843" w:type="dxa"/>
            <w:tcBorders>
              <w:top w:val="nil"/>
              <w:bottom w:val="nil"/>
            </w:tcBorders>
            <w:shd w:val="clear" w:color="000000" w:fill="auto"/>
          </w:tcPr>
          <w:p w:rsidR="00186B76" w:rsidRPr="0071782F" w:rsidRDefault="00185201" w:rsidP="003B1403">
            <w:pPr>
              <w:suppressAutoHyphens w:val="0"/>
              <w:spacing w:before="40" w:after="40" w:line="220" w:lineRule="exact"/>
              <w:rPr>
                <w:sz w:val="18"/>
                <w:lang w:val="fr-CH"/>
              </w:rPr>
            </w:pPr>
            <w:r w:rsidRPr="0071782F">
              <w:rPr>
                <w:sz w:val="18"/>
                <w:lang w:val="fr-CH"/>
              </w:rPr>
              <w:t xml:space="preserve">Perfectionnement </w:t>
            </w:r>
          </w:p>
        </w:tc>
        <w:tc>
          <w:tcPr>
            <w:tcW w:w="2385" w:type="dxa"/>
            <w:tcBorders>
              <w:top w:val="nil"/>
              <w:bottom w:val="nil"/>
              <w:right w:val="single" w:sz="24" w:space="0" w:color="FFFFFF"/>
            </w:tcBorders>
            <w:shd w:val="clear" w:color="000000" w:fill="auto"/>
          </w:tcPr>
          <w:p w:rsidR="00186B76" w:rsidRPr="0071782F" w:rsidRDefault="00186B76" w:rsidP="00BA31AA">
            <w:pPr>
              <w:suppressAutoHyphens w:val="0"/>
              <w:spacing w:before="40" w:after="40" w:line="220" w:lineRule="exact"/>
              <w:ind w:right="113"/>
              <w:jc w:val="right"/>
              <w:rPr>
                <w:sz w:val="18"/>
                <w:lang w:val="fr-CH"/>
              </w:rPr>
            </w:pPr>
            <w:r w:rsidRPr="0071782F">
              <w:rPr>
                <w:sz w:val="18"/>
                <w:lang w:val="fr-CH"/>
              </w:rPr>
              <w:t>110 127</w:t>
            </w:r>
            <w:r w:rsidR="00683211" w:rsidRPr="0071782F">
              <w:rPr>
                <w:sz w:val="18"/>
                <w:lang w:val="fr-CH"/>
              </w:rPr>
              <w:br/>
            </w:r>
            <w:r w:rsidRPr="0071782F">
              <w:rPr>
                <w:sz w:val="18"/>
                <w:lang w:val="fr-CH"/>
              </w:rPr>
              <w:t>14</w:t>
            </w:r>
            <w:r w:rsidR="003B1403" w:rsidRPr="0071782F">
              <w:rPr>
                <w:sz w:val="18"/>
                <w:lang w:val="fr-CH"/>
              </w:rPr>
              <w:t>,</w:t>
            </w:r>
            <w:r w:rsidRPr="0071782F">
              <w:rPr>
                <w:sz w:val="18"/>
                <w:lang w:val="fr-CH"/>
              </w:rPr>
              <w:t>2</w:t>
            </w:r>
          </w:p>
        </w:tc>
        <w:tc>
          <w:tcPr>
            <w:tcW w:w="1231" w:type="dxa"/>
            <w:tcBorders>
              <w:top w:val="nil"/>
              <w:left w:val="single" w:sz="24" w:space="0" w:color="FFFFFF"/>
              <w:bottom w:val="nil"/>
            </w:tcBorders>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49 127</w:t>
            </w:r>
            <w:r w:rsidR="00683211" w:rsidRPr="0071782F">
              <w:rPr>
                <w:sz w:val="18"/>
                <w:lang w:val="fr-CH"/>
              </w:rPr>
              <w:br/>
            </w:r>
            <w:r w:rsidRPr="0071782F">
              <w:rPr>
                <w:sz w:val="18"/>
                <w:lang w:val="fr-CH"/>
              </w:rPr>
              <w:t>14</w:t>
            </w:r>
            <w:r w:rsidR="003B1403" w:rsidRPr="0071782F">
              <w:rPr>
                <w:sz w:val="18"/>
                <w:lang w:val="fr-CH"/>
              </w:rPr>
              <w:t>,</w:t>
            </w:r>
            <w:r w:rsidRPr="0071782F">
              <w:rPr>
                <w:sz w:val="18"/>
                <w:lang w:val="fr-CH"/>
              </w:rPr>
              <w:t>0</w:t>
            </w:r>
          </w:p>
        </w:tc>
        <w:tc>
          <w:tcPr>
            <w:tcW w:w="980" w:type="dxa"/>
            <w:tcBorders>
              <w:top w:val="nil"/>
              <w:bottom w:val="nil"/>
            </w:tcBorders>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60 459</w:t>
            </w:r>
            <w:r w:rsidR="00683211" w:rsidRPr="0071782F">
              <w:rPr>
                <w:sz w:val="18"/>
                <w:lang w:val="fr-CH"/>
              </w:rPr>
              <w:br/>
            </w:r>
            <w:r w:rsidRPr="0071782F">
              <w:rPr>
                <w:sz w:val="18"/>
                <w:lang w:val="fr-CH"/>
              </w:rPr>
              <w:t>14</w:t>
            </w:r>
            <w:r w:rsidR="003B1403" w:rsidRPr="0071782F">
              <w:rPr>
                <w:sz w:val="18"/>
                <w:lang w:val="fr-CH"/>
              </w:rPr>
              <w:t>,</w:t>
            </w:r>
            <w:r w:rsidRPr="0071782F">
              <w:rPr>
                <w:sz w:val="18"/>
                <w:lang w:val="fr-CH"/>
              </w:rPr>
              <w:t>4</w:t>
            </w:r>
          </w:p>
        </w:tc>
        <w:tc>
          <w:tcPr>
            <w:tcW w:w="931" w:type="dxa"/>
            <w:tcBorders>
              <w:top w:val="nil"/>
              <w:bottom w:val="nil"/>
            </w:tcBorders>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541</w:t>
            </w:r>
            <w:r w:rsidR="00683211" w:rsidRPr="0071782F">
              <w:rPr>
                <w:sz w:val="18"/>
                <w:lang w:val="fr-CH"/>
              </w:rPr>
              <w:br/>
            </w:r>
            <w:r w:rsidRPr="0071782F">
              <w:rPr>
                <w:sz w:val="18"/>
                <w:lang w:val="fr-CH"/>
              </w:rPr>
              <w:t>8</w:t>
            </w:r>
            <w:r w:rsidR="003B1403" w:rsidRPr="0071782F">
              <w:rPr>
                <w:sz w:val="18"/>
                <w:lang w:val="fr-CH"/>
              </w:rPr>
              <w:t>,</w:t>
            </w:r>
            <w:r w:rsidRPr="0071782F">
              <w:rPr>
                <w:sz w:val="18"/>
                <w:lang w:val="fr-CH"/>
              </w:rPr>
              <w:t>2</w:t>
            </w:r>
          </w:p>
        </w:tc>
      </w:tr>
      <w:tr w:rsidR="00186B76" w:rsidRPr="0071782F">
        <w:tc>
          <w:tcPr>
            <w:tcW w:w="1843" w:type="dxa"/>
            <w:tcBorders>
              <w:top w:val="nil"/>
              <w:bottom w:val="nil"/>
            </w:tcBorders>
            <w:shd w:val="clear" w:color="000000" w:fill="auto"/>
          </w:tcPr>
          <w:p w:rsidR="00186B76" w:rsidRPr="0071782F" w:rsidRDefault="00186B76" w:rsidP="008D446F">
            <w:pPr>
              <w:keepNext/>
              <w:suppressAutoHyphens w:val="0"/>
              <w:spacing w:before="40" w:after="40" w:line="220" w:lineRule="exact"/>
              <w:rPr>
                <w:sz w:val="18"/>
                <w:lang w:val="fr-CH"/>
              </w:rPr>
            </w:pPr>
            <w:r w:rsidRPr="0071782F">
              <w:rPr>
                <w:sz w:val="18"/>
                <w:lang w:val="fr-CH"/>
              </w:rPr>
              <w:t>5</w:t>
            </w:r>
            <w:r w:rsidR="00185201" w:rsidRPr="008D446F">
              <w:rPr>
                <w:sz w:val="18"/>
                <w:vertAlign w:val="superscript"/>
                <w:lang w:val="fr-CH"/>
              </w:rPr>
              <w:t>e</w:t>
            </w:r>
            <w:r w:rsidR="003B1403" w:rsidRPr="0071782F">
              <w:rPr>
                <w:sz w:val="18"/>
                <w:lang w:val="fr-CH"/>
              </w:rPr>
              <w:t> </w:t>
            </w:r>
            <w:r w:rsidR="00185201" w:rsidRPr="0071782F">
              <w:rPr>
                <w:sz w:val="18"/>
                <w:lang w:val="fr-CH"/>
              </w:rPr>
              <w:t xml:space="preserve">année </w:t>
            </w:r>
          </w:p>
        </w:tc>
        <w:tc>
          <w:tcPr>
            <w:tcW w:w="2385" w:type="dxa"/>
            <w:tcBorders>
              <w:top w:val="nil"/>
              <w:bottom w:val="nil"/>
              <w:right w:val="single" w:sz="24" w:space="0" w:color="FFFFFF"/>
            </w:tcBorders>
            <w:shd w:val="clear" w:color="000000" w:fill="auto"/>
          </w:tcPr>
          <w:p w:rsidR="00186B76" w:rsidRPr="0071782F" w:rsidRDefault="00186B76" w:rsidP="00BA31AA">
            <w:pPr>
              <w:keepNext/>
              <w:suppressAutoHyphens w:val="0"/>
              <w:spacing w:before="40" w:after="40" w:line="220" w:lineRule="exact"/>
              <w:ind w:right="113"/>
              <w:jc w:val="right"/>
              <w:rPr>
                <w:sz w:val="18"/>
                <w:lang w:val="fr-CH"/>
              </w:rPr>
            </w:pPr>
            <w:r w:rsidRPr="0071782F">
              <w:rPr>
                <w:sz w:val="18"/>
                <w:lang w:val="fr-CH"/>
              </w:rPr>
              <w:t>61 857</w:t>
            </w:r>
            <w:r w:rsidR="00683211" w:rsidRPr="0071782F">
              <w:rPr>
                <w:sz w:val="18"/>
                <w:lang w:val="fr-CH"/>
              </w:rPr>
              <w:br/>
            </w:r>
            <w:r w:rsidRPr="0071782F">
              <w:rPr>
                <w:sz w:val="18"/>
                <w:lang w:val="fr-CH"/>
              </w:rPr>
              <w:t>8</w:t>
            </w:r>
            <w:r w:rsidR="003B1403" w:rsidRPr="0071782F">
              <w:rPr>
                <w:sz w:val="18"/>
                <w:lang w:val="fr-CH"/>
              </w:rPr>
              <w:t>,</w:t>
            </w:r>
            <w:r w:rsidRPr="0071782F">
              <w:rPr>
                <w:sz w:val="18"/>
                <w:lang w:val="fr-CH"/>
              </w:rPr>
              <w:t>0</w:t>
            </w:r>
          </w:p>
        </w:tc>
        <w:tc>
          <w:tcPr>
            <w:tcW w:w="1231" w:type="dxa"/>
            <w:tcBorders>
              <w:top w:val="nil"/>
              <w:left w:val="single" w:sz="24" w:space="0" w:color="FFFFFF"/>
              <w:bottom w:val="nil"/>
            </w:tcBorders>
            <w:shd w:val="clear" w:color="000000" w:fill="auto"/>
          </w:tcPr>
          <w:p w:rsidR="00186B76" w:rsidRPr="0071782F" w:rsidRDefault="00186B76" w:rsidP="008D446F">
            <w:pPr>
              <w:keepNext/>
              <w:suppressAutoHyphens w:val="0"/>
              <w:spacing w:before="40" w:after="40" w:line="220" w:lineRule="exact"/>
              <w:jc w:val="right"/>
              <w:rPr>
                <w:sz w:val="18"/>
                <w:lang w:val="fr-CH"/>
              </w:rPr>
            </w:pPr>
            <w:r w:rsidRPr="0071782F">
              <w:rPr>
                <w:sz w:val="18"/>
                <w:lang w:val="fr-CH"/>
              </w:rPr>
              <w:t>27 506</w:t>
            </w:r>
            <w:r w:rsidR="00683211" w:rsidRPr="0071782F">
              <w:rPr>
                <w:sz w:val="18"/>
                <w:lang w:val="fr-CH"/>
              </w:rPr>
              <w:br/>
            </w:r>
            <w:r w:rsidRPr="0071782F">
              <w:rPr>
                <w:sz w:val="18"/>
                <w:lang w:val="fr-CH"/>
              </w:rPr>
              <w:t>7</w:t>
            </w:r>
            <w:r w:rsidR="003B1403" w:rsidRPr="0071782F">
              <w:rPr>
                <w:sz w:val="18"/>
                <w:lang w:val="fr-CH"/>
              </w:rPr>
              <w:t>,</w:t>
            </w:r>
            <w:r w:rsidRPr="0071782F">
              <w:rPr>
                <w:sz w:val="18"/>
                <w:lang w:val="fr-CH"/>
              </w:rPr>
              <w:t>8</w:t>
            </w:r>
          </w:p>
        </w:tc>
        <w:tc>
          <w:tcPr>
            <w:tcW w:w="980" w:type="dxa"/>
            <w:tcBorders>
              <w:top w:val="nil"/>
              <w:bottom w:val="nil"/>
            </w:tcBorders>
            <w:shd w:val="clear" w:color="000000" w:fill="auto"/>
          </w:tcPr>
          <w:p w:rsidR="00186B76" w:rsidRPr="0071782F" w:rsidRDefault="00186B76" w:rsidP="008D446F">
            <w:pPr>
              <w:keepNext/>
              <w:suppressAutoHyphens w:val="0"/>
              <w:spacing w:before="40" w:after="40" w:line="220" w:lineRule="exact"/>
              <w:jc w:val="right"/>
              <w:rPr>
                <w:sz w:val="18"/>
                <w:lang w:val="fr-CH"/>
              </w:rPr>
            </w:pPr>
            <w:r w:rsidRPr="0071782F">
              <w:rPr>
                <w:sz w:val="18"/>
                <w:lang w:val="fr-CH"/>
              </w:rPr>
              <w:t>34 180</w:t>
            </w:r>
            <w:r w:rsidR="00683211" w:rsidRPr="0071782F">
              <w:rPr>
                <w:sz w:val="18"/>
                <w:lang w:val="fr-CH"/>
              </w:rPr>
              <w:br/>
            </w:r>
            <w:r w:rsidRPr="0071782F">
              <w:rPr>
                <w:sz w:val="18"/>
                <w:lang w:val="fr-CH"/>
              </w:rPr>
              <w:t>8</w:t>
            </w:r>
            <w:r w:rsidR="003B1403" w:rsidRPr="0071782F">
              <w:rPr>
                <w:sz w:val="18"/>
                <w:lang w:val="fr-CH"/>
              </w:rPr>
              <w:t>,</w:t>
            </w:r>
            <w:r w:rsidRPr="0071782F">
              <w:rPr>
                <w:sz w:val="18"/>
                <w:lang w:val="fr-CH"/>
              </w:rPr>
              <w:t>2</w:t>
            </w:r>
          </w:p>
        </w:tc>
        <w:tc>
          <w:tcPr>
            <w:tcW w:w="931" w:type="dxa"/>
            <w:tcBorders>
              <w:top w:val="nil"/>
              <w:bottom w:val="nil"/>
            </w:tcBorders>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171</w:t>
            </w:r>
            <w:r w:rsidR="00683211" w:rsidRPr="0071782F">
              <w:rPr>
                <w:sz w:val="18"/>
                <w:lang w:val="fr-CH"/>
              </w:rPr>
              <w:br/>
            </w:r>
            <w:r w:rsidRPr="0071782F">
              <w:rPr>
                <w:sz w:val="18"/>
                <w:lang w:val="fr-CH"/>
              </w:rPr>
              <w:t>2</w:t>
            </w:r>
            <w:r w:rsidR="003B1403" w:rsidRPr="0071782F">
              <w:rPr>
                <w:sz w:val="18"/>
                <w:lang w:val="fr-CH"/>
              </w:rPr>
              <w:t>,</w:t>
            </w:r>
            <w:r w:rsidRPr="0071782F">
              <w:rPr>
                <w:sz w:val="18"/>
                <w:lang w:val="fr-CH"/>
              </w:rPr>
              <w:t>6</w:t>
            </w:r>
          </w:p>
        </w:tc>
      </w:tr>
      <w:tr w:rsidR="00186B76" w:rsidRPr="0071782F">
        <w:tc>
          <w:tcPr>
            <w:tcW w:w="1843" w:type="dxa"/>
            <w:tcBorders>
              <w:top w:val="nil"/>
              <w:bottom w:val="single" w:sz="24" w:space="0" w:color="FFFFFF"/>
            </w:tcBorders>
            <w:shd w:val="clear" w:color="000000" w:fill="auto"/>
          </w:tcPr>
          <w:p w:rsidR="00186B76" w:rsidRPr="0071782F" w:rsidRDefault="00185201" w:rsidP="008D446F">
            <w:pPr>
              <w:keepNext/>
              <w:suppressAutoHyphens w:val="0"/>
              <w:spacing w:before="40" w:after="40" w:line="220" w:lineRule="exact"/>
              <w:rPr>
                <w:sz w:val="18"/>
                <w:lang w:val="fr-CH"/>
              </w:rPr>
            </w:pPr>
            <w:r w:rsidRPr="0071782F">
              <w:rPr>
                <w:sz w:val="18"/>
                <w:lang w:val="fr-CH"/>
              </w:rPr>
              <w:t>Niveaux divers</w:t>
            </w:r>
          </w:p>
        </w:tc>
        <w:tc>
          <w:tcPr>
            <w:tcW w:w="2385" w:type="dxa"/>
            <w:tcBorders>
              <w:top w:val="nil"/>
              <w:bottom w:val="single" w:sz="24" w:space="0" w:color="FFFFFF"/>
              <w:right w:val="single" w:sz="24" w:space="0" w:color="FFFFFF"/>
            </w:tcBorders>
            <w:shd w:val="clear" w:color="000000" w:fill="auto"/>
          </w:tcPr>
          <w:p w:rsidR="00186B76" w:rsidRPr="0071782F" w:rsidRDefault="00186B76" w:rsidP="00BA31AA">
            <w:pPr>
              <w:keepNext/>
              <w:suppressAutoHyphens w:val="0"/>
              <w:spacing w:before="40" w:after="40" w:line="220" w:lineRule="exact"/>
              <w:ind w:right="113"/>
              <w:jc w:val="right"/>
              <w:rPr>
                <w:sz w:val="18"/>
                <w:lang w:val="fr-CH"/>
              </w:rPr>
            </w:pPr>
            <w:r w:rsidRPr="0071782F">
              <w:rPr>
                <w:sz w:val="18"/>
                <w:lang w:val="fr-CH"/>
              </w:rPr>
              <w:t>395</w:t>
            </w:r>
            <w:r w:rsidR="00683211" w:rsidRPr="0071782F">
              <w:rPr>
                <w:sz w:val="18"/>
                <w:lang w:val="fr-CH"/>
              </w:rPr>
              <w:br/>
            </w:r>
            <w:r w:rsidRPr="0071782F">
              <w:rPr>
                <w:sz w:val="18"/>
                <w:lang w:val="fr-CH"/>
              </w:rPr>
              <w:t>0</w:t>
            </w:r>
            <w:r w:rsidR="003B1403" w:rsidRPr="0071782F">
              <w:rPr>
                <w:sz w:val="18"/>
                <w:lang w:val="fr-CH"/>
              </w:rPr>
              <w:t>,</w:t>
            </w:r>
            <w:r w:rsidRPr="0071782F">
              <w:rPr>
                <w:sz w:val="18"/>
                <w:lang w:val="fr-CH"/>
              </w:rPr>
              <w:t>1</w:t>
            </w:r>
          </w:p>
        </w:tc>
        <w:tc>
          <w:tcPr>
            <w:tcW w:w="1231" w:type="dxa"/>
            <w:tcBorders>
              <w:top w:val="nil"/>
              <w:left w:val="single" w:sz="24" w:space="0" w:color="FFFFFF"/>
              <w:bottom w:val="single" w:sz="24" w:space="0" w:color="FFFFFF"/>
            </w:tcBorders>
            <w:shd w:val="clear" w:color="000000" w:fill="auto"/>
          </w:tcPr>
          <w:p w:rsidR="00186B76" w:rsidRPr="0071782F" w:rsidRDefault="00186B76" w:rsidP="008D446F">
            <w:pPr>
              <w:keepNext/>
              <w:suppressAutoHyphens w:val="0"/>
              <w:spacing w:before="40" w:after="40" w:line="220" w:lineRule="exact"/>
              <w:jc w:val="right"/>
              <w:rPr>
                <w:sz w:val="18"/>
                <w:lang w:val="fr-CH"/>
              </w:rPr>
            </w:pPr>
            <w:r w:rsidRPr="0071782F">
              <w:rPr>
                <w:sz w:val="18"/>
                <w:lang w:val="fr-CH"/>
              </w:rPr>
              <w:t>386</w:t>
            </w:r>
            <w:r w:rsidR="00683211" w:rsidRPr="0071782F">
              <w:rPr>
                <w:sz w:val="18"/>
                <w:lang w:val="fr-CH"/>
              </w:rPr>
              <w:br/>
            </w:r>
            <w:r w:rsidRPr="0071782F">
              <w:rPr>
                <w:sz w:val="18"/>
                <w:lang w:val="fr-CH"/>
              </w:rPr>
              <w:t>0</w:t>
            </w:r>
            <w:r w:rsidR="003B1403" w:rsidRPr="0071782F">
              <w:rPr>
                <w:sz w:val="18"/>
                <w:lang w:val="fr-CH"/>
              </w:rPr>
              <w:t>,</w:t>
            </w:r>
            <w:r w:rsidRPr="0071782F">
              <w:rPr>
                <w:sz w:val="18"/>
                <w:lang w:val="fr-CH"/>
              </w:rPr>
              <w:t>1</w:t>
            </w:r>
          </w:p>
        </w:tc>
        <w:tc>
          <w:tcPr>
            <w:tcW w:w="980" w:type="dxa"/>
            <w:tcBorders>
              <w:top w:val="nil"/>
              <w:bottom w:val="single" w:sz="24" w:space="0" w:color="FFFFFF"/>
            </w:tcBorders>
            <w:shd w:val="clear" w:color="000000" w:fill="auto"/>
          </w:tcPr>
          <w:p w:rsidR="00186B76" w:rsidRPr="0071782F" w:rsidRDefault="00186B76" w:rsidP="008D446F">
            <w:pPr>
              <w:keepNext/>
              <w:suppressAutoHyphens w:val="0"/>
              <w:spacing w:before="40" w:after="40" w:line="220" w:lineRule="exact"/>
              <w:jc w:val="right"/>
              <w:rPr>
                <w:sz w:val="18"/>
                <w:lang w:val="fr-CH"/>
              </w:rPr>
            </w:pPr>
            <w:r w:rsidRPr="0071782F">
              <w:rPr>
                <w:sz w:val="18"/>
                <w:lang w:val="fr-CH"/>
              </w:rPr>
              <w:t>549</w:t>
            </w:r>
            <w:r w:rsidR="00683211" w:rsidRPr="0071782F">
              <w:rPr>
                <w:sz w:val="18"/>
                <w:lang w:val="fr-CH"/>
              </w:rPr>
              <w:br/>
            </w:r>
            <w:r w:rsidRPr="0071782F">
              <w:rPr>
                <w:sz w:val="18"/>
                <w:lang w:val="fr-CH"/>
              </w:rPr>
              <w:t>0</w:t>
            </w:r>
            <w:r w:rsidR="003B1403" w:rsidRPr="0071782F">
              <w:rPr>
                <w:sz w:val="18"/>
                <w:lang w:val="fr-CH"/>
              </w:rPr>
              <w:t>,</w:t>
            </w:r>
            <w:r w:rsidRPr="0071782F">
              <w:rPr>
                <w:sz w:val="18"/>
                <w:lang w:val="fr-CH"/>
              </w:rPr>
              <w:t>1</w:t>
            </w:r>
          </w:p>
        </w:tc>
        <w:tc>
          <w:tcPr>
            <w:tcW w:w="931" w:type="dxa"/>
            <w:tcBorders>
              <w:top w:val="nil"/>
              <w:bottom w:val="single" w:sz="24" w:space="0" w:color="FFFFFF"/>
            </w:tcBorders>
            <w:shd w:val="clear" w:color="000000" w:fill="auto"/>
          </w:tcPr>
          <w:p w:rsidR="00186B76" w:rsidRPr="0071782F" w:rsidRDefault="00AD0D98" w:rsidP="003B1403">
            <w:pPr>
              <w:suppressAutoHyphens w:val="0"/>
              <w:spacing w:before="40" w:after="40" w:line="220" w:lineRule="exact"/>
              <w:jc w:val="right"/>
              <w:rPr>
                <w:sz w:val="18"/>
                <w:lang w:val="fr-CH"/>
              </w:rPr>
            </w:pPr>
            <w:r w:rsidRPr="0071782F">
              <w:rPr>
                <w:sz w:val="18"/>
                <w:lang w:val="fr-CH"/>
              </w:rPr>
              <w:t>–</w:t>
            </w:r>
          </w:p>
        </w:tc>
      </w:tr>
      <w:tr w:rsidR="00C15363" w:rsidRPr="0071782F">
        <w:tc>
          <w:tcPr>
            <w:tcW w:w="1843" w:type="dxa"/>
            <w:tcBorders>
              <w:top w:val="single" w:sz="24" w:space="0" w:color="FFFFFF"/>
            </w:tcBorders>
            <w:shd w:val="clear" w:color="000000" w:fill="auto"/>
          </w:tcPr>
          <w:p w:rsidR="00C15363" w:rsidRPr="0071782F" w:rsidRDefault="00185201" w:rsidP="003B1403">
            <w:pPr>
              <w:suppressAutoHyphens w:val="0"/>
              <w:spacing w:before="40" w:after="40" w:line="220" w:lineRule="exact"/>
              <w:rPr>
                <w:sz w:val="18"/>
                <w:lang w:val="fr-CH"/>
              </w:rPr>
            </w:pPr>
            <w:r w:rsidRPr="0071782F">
              <w:rPr>
                <w:sz w:val="18"/>
                <w:lang w:val="fr-CH"/>
              </w:rPr>
              <w:t xml:space="preserve">Instruction obligatoire </w:t>
            </w:r>
          </w:p>
        </w:tc>
        <w:tc>
          <w:tcPr>
            <w:tcW w:w="2385" w:type="dxa"/>
            <w:tcBorders>
              <w:top w:val="single" w:sz="24" w:space="0" w:color="FFFFFF"/>
            </w:tcBorders>
            <w:shd w:val="clear" w:color="000000" w:fill="auto"/>
          </w:tcPr>
          <w:p w:rsidR="00C15363" w:rsidRPr="0071782F" w:rsidRDefault="00C15363" w:rsidP="00BA31AA">
            <w:pPr>
              <w:suppressAutoHyphens w:val="0"/>
              <w:spacing w:before="40" w:after="40" w:line="220" w:lineRule="exact"/>
              <w:ind w:right="113"/>
              <w:jc w:val="right"/>
              <w:rPr>
                <w:sz w:val="18"/>
                <w:lang w:val="fr-CH"/>
              </w:rPr>
            </w:pPr>
            <w:r w:rsidRPr="0071782F">
              <w:rPr>
                <w:sz w:val="18"/>
                <w:lang w:val="fr-CH"/>
              </w:rPr>
              <w:t>29 762</w:t>
            </w:r>
          </w:p>
        </w:tc>
        <w:tc>
          <w:tcPr>
            <w:tcW w:w="1231" w:type="dxa"/>
            <w:tcBorders>
              <w:top w:val="single" w:sz="24" w:space="0" w:color="FFFFFF"/>
            </w:tcBorders>
            <w:shd w:val="clear" w:color="000000" w:fill="auto"/>
          </w:tcPr>
          <w:p w:rsidR="00C15363" w:rsidRPr="0071782F" w:rsidRDefault="00C15363" w:rsidP="003B1403">
            <w:pPr>
              <w:suppressAutoHyphens w:val="0"/>
              <w:spacing w:before="40" w:after="40" w:line="220" w:lineRule="exact"/>
              <w:jc w:val="right"/>
              <w:rPr>
                <w:sz w:val="18"/>
                <w:lang w:val="fr-CH"/>
              </w:rPr>
            </w:pPr>
            <w:r w:rsidRPr="0071782F">
              <w:rPr>
                <w:sz w:val="18"/>
                <w:lang w:val="fr-CH"/>
              </w:rPr>
              <w:t>–</w:t>
            </w:r>
          </w:p>
        </w:tc>
        <w:tc>
          <w:tcPr>
            <w:tcW w:w="980" w:type="dxa"/>
            <w:tcBorders>
              <w:top w:val="single" w:sz="24" w:space="0" w:color="FFFFFF"/>
            </w:tcBorders>
            <w:shd w:val="clear" w:color="000000" w:fill="auto"/>
          </w:tcPr>
          <w:p w:rsidR="00C15363" w:rsidRPr="0071782F" w:rsidRDefault="00C15363" w:rsidP="003B1403">
            <w:pPr>
              <w:suppressAutoHyphens w:val="0"/>
              <w:spacing w:before="40" w:after="40" w:line="220" w:lineRule="exact"/>
              <w:jc w:val="right"/>
              <w:rPr>
                <w:sz w:val="18"/>
                <w:lang w:val="fr-CH"/>
              </w:rPr>
            </w:pPr>
            <w:r w:rsidRPr="0071782F">
              <w:rPr>
                <w:sz w:val="18"/>
                <w:lang w:val="fr-CH"/>
              </w:rPr>
              <w:t>–</w:t>
            </w:r>
          </w:p>
        </w:tc>
        <w:tc>
          <w:tcPr>
            <w:tcW w:w="931" w:type="dxa"/>
            <w:tcBorders>
              <w:top w:val="single" w:sz="24" w:space="0" w:color="FFFFFF"/>
            </w:tcBorders>
            <w:shd w:val="clear" w:color="000000" w:fill="auto"/>
          </w:tcPr>
          <w:p w:rsidR="00C15363" w:rsidRPr="0071782F" w:rsidRDefault="00C15363" w:rsidP="003B1403">
            <w:pPr>
              <w:suppressAutoHyphens w:val="0"/>
              <w:spacing w:before="40" w:after="40" w:line="220" w:lineRule="exact"/>
              <w:jc w:val="right"/>
              <w:rPr>
                <w:sz w:val="18"/>
                <w:lang w:val="fr-CH"/>
              </w:rPr>
            </w:pPr>
            <w:r w:rsidRPr="0071782F">
              <w:rPr>
                <w:sz w:val="18"/>
                <w:lang w:val="fr-CH"/>
              </w:rPr>
              <w:t>–</w:t>
            </w:r>
          </w:p>
        </w:tc>
      </w:tr>
    </w:tbl>
    <w:p w:rsidR="00186B76" w:rsidRPr="0071782F" w:rsidRDefault="00186B76" w:rsidP="00A45A11">
      <w:pPr>
        <w:pStyle w:val="Heading1"/>
        <w:spacing w:before="240"/>
        <w:rPr>
          <w:lang w:val="fr-CH"/>
        </w:rPr>
      </w:pPr>
      <w:r w:rsidRPr="0071782F">
        <w:rPr>
          <w:lang w:val="fr-CH"/>
        </w:rPr>
        <w:t>Table</w:t>
      </w:r>
      <w:r w:rsidR="00185201" w:rsidRPr="0071782F">
        <w:rPr>
          <w:lang w:val="fr-CH"/>
        </w:rPr>
        <w:t>au</w:t>
      </w:r>
      <w:r w:rsidRPr="0071782F">
        <w:rPr>
          <w:lang w:val="fr-CH"/>
        </w:rPr>
        <w:t xml:space="preserve"> 2</w:t>
      </w:r>
    </w:p>
    <w:p w:rsidR="00186B76" w:rsidRPr="0071782F" w:rsidRDefault="00185201" w:rsidP="00A45A11">
      <w:pPr>
        <w:pStyle w:val="SingleTxtG"/>
        <w:rPr>
          <w:b/>
          <w:lang w:val="fr-CH"/>
        </w:rPr>
      </w:pPr>
      <w:r w:rsidRPr="0071782F">
        <w:rPr>
          <w:b/>
          <w:lang w:val="fr-CH"/>
        </w:rPr>
        <w:t xml:space="preserve">Élèves ayant suivi des cours d’alphabétisation au cours de la période </w:t>
      </w:r>
      <w:r w:rsidR="00186B76" w:rsidRPr="0071782F">
        <w:rPr>
          <w:b/>
          <w:lang w:val="fr-CH"/>
        </w:rPr>
        <w:t>1997</w:t>
      </w:r>
      <w:r w:rsidRPr="0071782F">
        <w:rPr>
          <w:b/>
          <w:lang w:val="fr-CH"/>
        </w:rPr>
        <w:t>-</w:t>
      </w:r>
      <w:r w:rsidR="00186B76" w:rsidRPr="0071782F">
        <w:rPr>
          <w:b/>
          <w:lang w:val="fr-CH"/>
        </w:rPr>
        <w:t>2006</w:t>
      </w:r>
    </w:p>
    <w:tbl>
      <w:tblPr>
        <w:tblW w:w="7370"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1418"/>
        <w:gridCol w:w="1382"/>
        <w:gridCol w:w="1176"/>
        <w:gridCol w:w="1259"/>
        <w:gridCol w:w="1092"/>
        <w:gridCol w:w="1043"/>
      </w:tblGrid>
      <w:tr w:rsidR="00186B76" w:rsidRPr="0071782F">
        <w:trPr>
          <w:tblHeader/>
        </w:trPr>
        <w:tc>
          <w:tcPr>
            <w:tcW w:w="1418" w:type="dxa"/>
            <w:vMerge w:val="restart"/>
            <w:tcBorders>
              <w:top w:val="single" w:sz="4" w:space="0" w:color="auto"/>
              <w:bottom w:val="single" w:sz="4" w:space="0" w:color="auto"/>
            </w:tcBorders>
            <w:shd w:val="clear" w:color="000000" w:fill="auto"/>
            <w:vAlign w:val="bottom"/>
          </w:tcPr>
          <w:p w:rsidR="00186B76" w:rsidRPr="0071782F" w:rsidRDefault="00186B76" w:rsidP="003B1403">
            <w:pPr>
              <w:suppressAutoHyphens w:val="0"/>
              <w:spacing w:before="80" w:after="80" w:line="200" w:lineRule="exact"/>
              <w:rPr>
                <w:i/>
                <w:sz w:val="16"/>
                <w:szCs w:val="16"/>
                <w:lang w:val="fr-CH"/>
              </w:rPr>
            </w:pPr>
            <w:r w:rsidRPr="0071782F">
              <w:rPr>
                <w:i/>
                <w:sz w:val="16"/>
                <w:szCs w:val="16"/>
                <w:lang w:val="fr-CH"/>
              </w:rPr>
              <w:t>Cours</w:t>
            </w:r>
          </w:p>
        </w:tc>
        <w:tc>
          <w:tcPr>
            <w:tcW w:w="1382" w:type="dxa"/>
            <w:vMerge w:val="restart"/>
            <w:tcBorders>
              <w:top w:val="single" w:sz="4" w:space="0" w:color="auto"/>
              <w:bottom w:val="single" w:sz="4" w:space="0" w:color="auto"/>
              <w:right w:val="single" w:sz="24" w:space="0" w:color="FFFFFF"/>
            </w:tcBorders>
            <w:shd w:val="clear" w:color="000000" w:fill="auto"/>
            <w:vAlign w:val="bottom"/>
          </w:tcPr>
          <w:p w:rsidR="00186B76" w:rsidRPr="0071782F" w:rsidRDefault="00185201" w:rsidP="002847E7">
            <w:pPr>
              <w:suppressAutoHyphens w:val="0"/>
              <w:spacing w:before="80" w:after="80" w:line="200" w:lineRule="exact"/>
              <w:ind w:right="113"/>
              <w:jc w:val="right"/>
              <w:rPr>
                <w:i/>
                <w:sz w:val="16"/>
                <w:szCs w:val="16"/>
                <w:lang w:val="fr-CH"/>
              </w:rPr>
            </w:pPr>
            <w:r w:rsidRPr="0071782F">
              <w:rPr>
                <w:i/>
                <w:sz w:val="16"/>
                <w:szCs w:val="16"/>
                <w:lang w:val="fr-CH"/>
              </w:rPr>
              <w:t>Nombre et pourcentage</w:t>
            </w:r>
          </w:p>
        </w:tc>
        <w:tc>
          <w:tcPr>
            <w:tcW w:w="2435" w:type="dxa"/>
            <w:gridSpan w:val="2"/>
            <w:tcBorders>
              <w:top w:val="single" w:sz="4" w:space="0" w:color="auto"/>
              <w:left w:val="single" w:sz="24" w:space="0" w:color="FFFFFF"/>
              <w:bottom w:val="single" w:sz="4" w:space="0" w:color="auto"/>
              <w:right w:val="single" w:sz="24" w:space="0" w:color="FFFFFF"/>
            </w:tcBorders>
            <w:shd w:val="clear" w:color="000000" w:fill="auto"/>
            <w:vAlign w:val="bottom"/>
          </w:tcPr>
          <w:p w:rsidR="00186B76" w:rsidRPr="0071782F" w:rsidRDefault="00185201" w:rsidP="003B1403">
            <w:pPr>
              <w:suppressAutoHyphens w:val="0"/>
              <w:spacing w:before="80" w:after="80" w:line="200" w:lineRule="exact"/>
              <w:jc w:val="center"/>
              <w:rPr>
                <w:i/>
                <w:sz w:val="16"/>
                <w:szCs w:val="16"/>
                <w:lang w:val="fr-CH"/>
              </w:rPr>
            </w:pPr>
            <w:r w:rsidRPr="0071782F">
              <w:rPr>
                <w:i/>
                <w:sz w:val="16"/>
                <w:szCs w:val="16"/>
                <w:lang w:val="fr-CH"/>
              </w:rPr>
              <w:t>Localisation géographique</w:t>
            </w:r>
          </w:p>
        </w:tc>
        <w:tc>
          <w:tcPr>
            <w:tcW w:w="2135" w:type="dxa"/>
            <w:gridSpan w:val="2"/>
            <w:tcBorders>
              <w:top w:val="single" w:sz="4" w:space="0" w:color="auto"/>
              <w:left w:val="single" w:sz="24" w:space="0" w:color="FFFFFF"/>
              <w:bottom w:val="single" w:sz="4" w:space="0" w:color="auto"/>
            </w:tcBorders>
            <w:shd w:val="clear" w:color="000000" w:fill="auto"/>
            <w:vAlign w:val="bottom"/>
          </w:tcPr>
          <w:p w:rsidR="00186B76" w:rsidRPr="0071782F" w:rsidRDefault="00185201" w:rsidP="003B1403">
            <w:pPr>
              <w:suppressAutoHyphens w:val="0"/>
              <w:spacing w:before="80" w:after="80" w:line="200" w:lineRule="exact"/>
              <w:jc w:val="center"/>
              <w:rPr>
                <w:i/>
                <w:sz w:val="16"/>
                <w:szCs w:val="16"/>
                <w:lang w:val="fr-CH"/>
              </w:rPr>
            </w:pPr>
            <w:r w:rsidRPr="0071782F">
              <w:rPr>
                <w:i/>
                <w:sz w:val="16"/>
                <w:szCs w:val="16"/>
                <w:lang w:val="fr-CH"/>
              </w:rPr>
              <w:t>Sexe</w:t>
            </w:r>
          </w:p>
        </w:tc>
      </w:tr>
      <w:tr w:rsidR="00186B76" w:rsidRPr="0071782F">
        <w:trPr>
          <w:tblHeader/>
        </w:trPr>
        <w:tc>
          <w:tcPr>
            <w:tcW w:w="1418" w:type="dxa"/>
            <w:vMerge/>
            <w:tcBorders>
              <w:top w:val="single" w:sz="4" w:space="0" w:color="auto"/>
              <w:bottom w:val="single" w:sz="12" w:space="0" w:color="auto"/>
            </w:tcBorders>
            <w:shd w:val="clear" w:color="000000" w:fill="auto"/>
            <w:vAlign w:val="bottom"/>
          </w:tcPr>
          <w:p w:rsidR="00186B76" w:rsidRPr="0071782F" w:rsidRDefault="00186B76" w:rsidP="003B1403">
            <w:pPr>
              <w:suppressAutoHyphens w:val="0"/>
              <w:spacing w:before="80" w:after="80" w:line="200" w:lineRule="exact"/>
              <w:rPr>
                <w:i/>
                <w:sz w:val="16"/>
                <w:szCs w:val="16"/>
                <w:lang w:val="fr-CH"/>
              </w:rPr>
            </w:pPr>
          </w:p>
        </w:tc>
        <w:tc>
          <w:tcPr>
            <w:tcW w:w="1382" w:type="dxa"/>
            <w:vMerge/>
            <w:tcBorders>
              <w:top w:val="single" w:sz="4" w:space="0" w:color="auto"/>
              <w:bottom w:val="single" w:sz="12" w:space="0" w:color="auto"/>
              <w:right w:val="single" w:sz="24" w:space="0" w:color="FFFFFF"/>
            </w:tcBorders>
            <w:shd w:val="clear" w:color="000000" w:fill="auto"/>
            <w:vAlign w:val="bottom"/>
          </w:tcPr>
          <w:p w:rsidR="00186B76" w:rsidRPr="0071782F" w:rsidRDefault="00186B76" w:rsidP="002847E7">
            <w:pPr>
              <w:suppressAutoHyphens w:val="0"/>
              <w:spacing w:before="80" w:after="80" w:line="200" w:lineRule="exact"/>
              <w:ind w:right="113"/>
              <w:jc w:val="right"/>
              <w:rPr>
                <w:i/>
                <w:sz w:val="16"/>
                <w:szCs w:val="16"/>
                <w:lang w:val="fr-CH"/>
              </w:rPr>
            </w:pPr>
          </w:p>
        </w:tc>
        <w:tc>
          <w:tcPr>
            <w:tcW w:w="1176" w:type="dxa"/>
            <w:tcBorders>
              <w:top w:val="single" w:sz="4" w:space="0" w:color="auto"/>
              <w:left w:val="single" w:sz="24" w:space="0" w:color="FFFFFF"/>
              <w:bottom w:val="single" w:sz="12" w:space="0" w:color="auto"/>
            </w:tcBorders>
            <w:shd w:val="clear" w:color="000000" w:fill="auto"/>
            <w:vAlign w:val="bottom"/>
          </w:tcPr>
          <w:p w:rsidR="00186B76" w:rsidRPr="0071782F" w:rsidRDefault="00185201" w:rsidP="003B1403">
            <w:pPr>
              <w:suppressAutoHyphens w:val="0"/>
              <w:spacing w:before="80" w:after="80" w:line="200" w:lineRule="exact"/>
              <w:jc w:val="right"/>
              <w:rPr>
                <w:i/>
                <w:sz w:val="16"/>
                <w:szCs w:val="16"/>
                <w:lang w:val="fr-CH"/>
              </w:rPr>
            </w:pPr>
            <w:r w:rsidRPr="0071782F">
              <w:rPr>
                <w:i/>
                <w:sz w:val="16"/>
                <w:szCs w:val="16"/>
                <w:lang w:val="fr-CH"/>
              </w:rPr>
              <w:t>Ville</w:t>
            </w:r>
          </w:p>
        </w:tc>
        <w:tc>
          <w:tcPr>
            <w:tcW w:w="1259" w:type="dxa"/>
            <w:tcBorders>
              <w:top w:val="single" w:sz="4" w:space="0" w:color="auto"/>
              <w:bottom w:val="single" w:sz="12" w:space="0" w:color="auto"/>
              <w:right w:val="single" w:sz="24" w:space="0" w:color="FFFFFF"/>
            </w:tcBorders>
            <w:shd w:val="clear" w:color="000000" w:fill="auto"/>
            <w:vAlign w:val="bottom"/>
          </w:tcPr>
          <w:p w:rsidR="00186B76" w:rsidRPr="0071782F" w:rsidRDefault="00185201" w:rsidP="003B1403">
            <w:pPr>
              <w:suppressAutoHyphens w:val="0"/>
              <w:spacing w:before="80" w:after="80" w:line="200" w:lineRule="exact"/>
              <w:jc w:val="right"/>
              <w:rPr>
                <w:i/>
                <w:sz w:val="16"/>
                <w:szCs w:val="16"/>
                <w:lang w:val="fr-CH"/>
              </w:rPr>
            </w:pPr>
            <w:r w:rsidRPr="0071782F">
              <w:rPr>
                <w:i/>
                <w:sz w:val="16"/>
                <w:szCs w:val="16"/>
                <w:lang w:val="fr-CH"/>
              </w:rPr>
              <w:t>Village/nomades</w:t>
            </w:r>
          </w:p>
        </w:tc>
        <w:tc>
          <w:tcPr>
            <w:tcW w:w="1092" w:type="dxa"/>
            <w:tcBorders>
              <w:top w:val="single" w:sz="4" w:space="0" w:color="auto"/>
              <w:left w:val="single" w:sz="24" w:space="0" w:color="FFFFFF"/>
              <w:bottom w:val="single" w:sz="12" w:space="0" w:color="auto"/>
            </w:tcBorders>
            <w:shd w:val="clear" w:color="000000" w:fill="auto"/>
            <w:vAlign w:val="bottom"/>
          </w:tcPr>
          <w:p w:rsidR="00186B76" w:rsidRPr="0071782F" w:rsidRDefault="00185201" w:rsidP="003B1403">
            <w:pPr>
              <w:suppressAutoHyphens w:val="0"/>
              <w:spacing w:before="80" w:after="80" w:line="200" w:lineRule="exact"/>
              <w:jc w:val="right"/>
              <w:rPr>
                <w:i/>
                <w:sz w:val="16"/>
                <w:szCs w:val="16"/>
                <w:lang w:val="fr-CH"/>
              </w:rPr>
            </w:pPr>
            <w:r w:rsidRPr="0071782F">
              <w:rPr>
                <w:i/>
                <w:sz w:val="16"/>
                <w:szCs w:val="16"/>
                <w:lang w:val="fr-CH"/>
              </w:rPr>
              <w:t>Femmes</w:t>
            </w:r>
          </w:p>
        </w:tc>
        <w:tc>
          <w:tcPr>
            <w:tcW w:w="1043" w:type="dxa"/>
            <w:tcBorders>
              <w:top w:val="single" w:sz="4" w:space="0" w:color="auto"/>
              <w:bottom w:val="single" w:sz="12" w:space="0" w:color="auto"/>
            </w:tcBorders>
            <w:shd w:val="clear" w:color="000000" w:fill="auto"/>
            <w:vAlign w:val="bottom"/>
          </w:tcPr>
          <w:p w:rsidR="00186B76" w:rsidRPr="0071782F" w:rsidRDefault="00185201" w:rsidP="003B1403">
            <w:pPr>
              <w:suppressAutoHyphens w:val="0"/>
              <w:spacing w:before="80" w:after="80" w:line="200" w:lineRule="exact"/>
              <w:jc w:val="right"/>
              <w:rPr>
                <w:i/>
                <w:sz w:val="16"/>
                <w:szCs w:val="16"/>
                <w:lang w:val="fr-CH"/>
              </w:rPr>
            </w:pPr>
            <w:r w:rsidRPr="0071782F">
              <w:rPr>
                <w:i/>
                <w:sz w:val="16"/>
                <w:szCs w:val="16"/>
                <w:lang w:val="fr-CH"/>
              </w:rPr>
              <w:t>Hommes</w:t>
            </w:r>
          </w:p>
        </w:tc>
      </w:tr>
      <w:tr w:rsidR="00186B76" w:rsidRPr="0071782F">
        <w:tc>
          <w:tcPr>
            <w:tcW w:w="1418" w:type="dxa"/>
            <w:tcBorders>
              <w:top w:val="single" w:sz="12" w:space="0" w:color="auto"/>
            </w:tcBorders>
            <w:shd w:val="clear" w:color="000000" w:fill="auto"/>
          </w:tcPr>
          <w:p w:rsidR="00186B76" w:rsidRPr="0071782F" w:rsidRDefault="00186B76" w:rsidP="003B1403">
            <w:pPr>
              <w:suppressAutoHyphens w:val="0"/>
              <w:spacing w:before="40" w:after="40" w:line="220" w:lineRule="exact"/>
              <w:rPr>
                <w:sz w:val="18"/>
                <w:lang w:val="fr-CH"/>
              </w:rPr>
            </w:pPr>
            <w:r w:rsidRPr="0071782F">
              <w:rPr>
                <w:sz w:val="18"/>
                <w:lang w:val="fr-CH"/>
              </w:rPr>
              <w:t>In</w:t>
            </w:r>
            <w:r w:rsidR="00185201" w:rsidRPr="0071782F">
              <w:rPr>
                <w:sz w:val="18"/>
                <w:lang w:val="fr-CH"/>
              </w:rPr>
              <w:t>itiation</w:t>
            </w:r>
          </w:p>
        </w:tc>
        <w:tc>
          <w:tcPr>
            <w:tcW w:w="1382" w:type="dxa"/>
            <w:tcBorders>
              <w:top w:val="single" w:sz="12" w:space="0" w:color="auto"/>
            </w:tcBorders>
            <w:shd w:val="clear" w:color="000000" w:fill="auto"/>
            <w:vAlign w:val="bottom"/>
          </w:tcPr>
          <w:p w:rsidR="00186B76" w:rsidRPr="0071782F" w:rsidRDefault="00186B76" w:rsidP="002847E7">
            <w:pPr>
              <w:suppressAutoHyphens w:val="0"/>
              <w:spacing w:before="40" w:after="40" w:line="220" w:lineRule="exact"/>
              <w:ind w:right="113"/>
              <w:jc w:val="right"/>
              <w:rPr>
                <w:sz w:val="18"/>
                <w:lang w:val="fr-CH"/>
              </w:rPr>
            </w:pPr>
            <w:r w:rsidRPr="0071782F">
              <w:rPr>
                <w:sz w:val="18"/>
                <w:lang w:val="fr-CH"/>
              </w:rPr>
              <w:t>4 418 071</w:t>
            </w:r>
            <w:r w:rsidR="000C4721" w:rsidRPr="0071782F">
              <w:rPr>
                <w:sz w:val="18"/>
                <w:lang w:val="fr-CH"/>
              </w:rPr>
              <w:br/>
            </w:r>
            <w:r w:rsidRPr="0071782F">
              <w:rPr>
                <w:sz w:val="18"/>
                <w:lang w:val="fr-CH"/>
              </w:rPr>
              <w:t>45</w:t>
            </w:r>
            <w:r w:rsidR="003B1403" w:rsidRPr="0071782F">
              <w:rPr>
                <w:sz w:val="18"/>
                <w:lang w:val="fr-CH"/>
              </w:rPr>
              <w:t>,</w:t>
            </w:r>
            <w:r w:rsidRPr="0071782F">
              <w:rPr>
                <w:sz w:val="18"/>
                <w:lang w:val="fr-CH"/>
              </w:rPr>
              <w:t>9</w:t>
            </w:r>
          </w:p>
        </w:tc>
        <w:tc>
          <w:tcPr>
            <w:tcW w:w="1176" w:type="dxa"/>
            <w:tcBorders>
              <w:top w:val="single" w:sz="12" w:space="0" w:color="auto"/>
            </w:tcBorders>
            <w:shd w:val="clear" w:color="000000"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1 991 083</w:t>
            </w:r>
            <w:r w:rsidR="000C4721" w:rsidRPr="0071782F">
              <w:rPr>
                <w:sz w:val="18"/>
                <w:lang w:val="fr-CH"/>
              </w:rPr>
              <w:br/>
            </w:r>
            <w:r w:rsidRPr="0071782F">
              <w:rPr>
                <w:sz w:val="18"/>
                <w:lang w:val="fr-CH"/>
              </w:rPr>
              <w:t>45</w:t>
            </w:r>
            <w:r w:rsidR="003B1403" w:rsidRPr="0071782F">
              <w:rPr>
                <w:sz w:val="18"/>
                <w:lang w:val="fr-CH"/>
              </w:rPr>
              <w:t>,</w:t>
            </w:r>
            <w:r w:rsidRPr="0071782F">
              <w:rPr>
                <w:sz w:val="18"/>
                <w:lang w:val="fr-CH"/>
              </w:rPr>
              <w:t>1</w:t>
            </w:r>
          </w:p>
        </w:tc>
        <w:tc>
          <w:tcPr>
            <w:tcW w:w="1259" w:type="dxa"/>
            <w:tcBorders>
              <w:top w:val="single" w:sz="12" w:space="0" w:color="auto"/>
            </w:tcBorders>
            <w:shd w:val="clear" w:color="000000"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2 426 988</w:t>
            </w:r>
            <w:r w:rsidR="000C4721" w:rsidRPr="0071782F">
              <w:rPr>
                <w:sz w:val="18"/>
                <w:lang w:val="fr-CH"/>
              </w:rPr>
              <w:br/>
            </w:r>
            <w:r w:rsidRPr="0071782F">
              <w:rPr>
                <w:sz w:val="18"/>
                <w:lang w:val="fr-CH"/>
              </w:rPr>
              <w:t>54</w:t>
            </w:r>
            <w:r w:rsidR="003B1403" w:rsidRPr="0071782F">
              <w:rPr>
                <w:sz w:val="18"/>
                <w:lang w:val="fr-CH"/>
              </w:rPr>
              <w:t>,</w:t>
            </w:r>
            <w:r w:rsidRPr="0071782F">
              <w:rPr>
                <w:sz w:val="18"/>
                <w:lang w:val="fr-CH"/>
              </w:rPr>
              <w:t>9</w:t>
            </w:r>
          </w:p>
        </w:tc>
        <w:tc>
          <w:tcPr>
            <w:tcW w:w="1092" w:type="dxa"/>
            <w:tcBorders>
              <w:top w:val="single" w:sz="12" w:space="0" w:color="auto"/>
            </w:tcBorders>
            <w:shd w:val="clear" w:color="000000"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3 637 062</w:t>
            </w:r>
            <w:r w:rsidR="000C4721" w:rsidRPr="0071782F">
              <w:rPr>
                <w:sz w:val="18"/>
                <w:lang w:val="fr-CH"/>
              </w:rPr>
              <w:br/>
            </w:r>
            <w:r w:rsidRPr="0071782F">
              <w:rPr>
                <w:sz w:val="18"/>
                <w:lang w:val="fr-CH"/>
              </w:rPr>
              <w:t>82</w:t>
            </w:r>
            <w:r w:rsidR="003B1403" w:rsidRPr="0071782F">
              <w:rPr>
                <w:sz w:val="18"/>
                <w:lang w:val="fr-CH"/>
              </w:rPr>
              <w:t>,</w:t>
            </w:r>
            <w:r w:rsidRPr="0071782F">
              <w:rPr>
                <w:sz w:val="18"/>
                <w:lang w:val="fr-CH"/>
              </w:rPr>
              <w:t>3</w:t>
            </w:r>
          </w:p>
        </w:tc>
        <w:tc>
          <w:tcPr>
            <w:tcW w:w="1043" w:type="dxa"/>
            <w:tcBorders>
              <w:top w:val="single" w:sz="12" w:space="0" w:color="auto"/>
            </w:tcBorders>
            <w:shd w:val="clear" w:color="000000"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781 009</w:t>
            </w:r>
            <w:r w:rsidR="000C4721" w:rsidRPr="0071782F">
              <w:rPr>
                <w:sz w:val="18"/>
                <w:lang w:val="fr-CH"/>
              </w:rPr>
              <w:br/>
            </w:r>
            <w:r w:rsidRPr="0071782F">
              <w:rPr>
                <w:sz w:val="18"/>
                <w:lang w:val="fr-CH"/>
              </w:rPr>
              <w:t>17</w:t>
            </w:r>
            <w:r w:rsidR="003B1403" w:rsidRPr="0071782F">
              <w:rPr>
                <w:sz w:val="18"/>
                <w:lang w:val="fr-CH"/>
              </w:rPr>
              <w:t>,</w:t>
            </w:r>
            <w:r w:rsidRPr="0071782F">
              <w:rPr>
                <w:sz w:val="18"/>
                <w:lang w:val="fr-CH"/>
              </w:rPr>
              <w:t>7</w:t>
            </w:r>
          </w:p>
        </w:tc>
      </w:tr>
      <w:tr w:rsidR="00186B76" w:rsidRPr="0071782F">
        <w:tc>
          <w:tcPr>
            <w:tcW w:w="1418" w:type="dxa"/>
            <w:tcBorders>
              <w:bottom w:val="nil"/>
            </w:tcBorders>
            <w:shd w:val="clear" w:color="000000" w:fill="auto"/>
          </w:tcPr>
          <w:p w:rsidR="00186B76" w:rsidRPr="0071782F" w:rsidRDefault="00186B76" w:rsidP="003B1403">
            <w:pPr>
              <w:suppressAutoHyphens w:val="0"/>
              <w:spacing w:before="40" w:after="40" w:line="220" w:lineRule="exact"/>
              <w:rPr>
                <w:sz w:val="18"/>
                <w:lang w:val="fr-CH"/>
              </w:rPr>
            </w:pPr>
            <w:r w:rsidRPr="0071782F">
              <w:rPr>
                <w:sz w:val="18"/>
                <w:lang w:val="fr-CH"/>
              </w:rPr>
              <w:t>Compl</w:t>
            </w:r>
            <w:r w:rsidR="00185201" w:rsidRPr="0071782F">
              <w:rPr>
                <w:sz w:val="18"/>
                <w:lang w:val="fr-CH"/>
              </w:rPr>
              <w:t>é</w:t>
            </w:r>
            <w:r w:rsidRPr="0071782F">
              <w:rPr>
                <w:sz w:val="18"/>
                <w:lang w:val="fr-CH"/>
              </w:rPr>
              <w:t>menta</w:t>
            </w:r>
            <w:r w:rsidR="00185201" w:rsidRPr="0071782F">
              <w:rPr>
                <w:sz w:val="18"/>
                <w:lang w:val="fr-CH"/>
              </w:rPr>
              <w:t>ire</w:t>
            </w:r>
          </w:p>
        </w:tc>
        <w:tc>
          <w:tcPr>
            <w:tcW w:w="1382" w:type="dxa"/>
            <w:tcBorders>
              <w:bottom w:val="nil"/>
            </w:tcBorders>
            <w:shd w:val="clear" w:color="000000" w:fill="auto"/>
            <w:vAlign w:val="bottom"/>
          </w:tcPr>
          <w:p w:rsidR="00186B76" w:rsidRPr="0071782F" w:rsidRDefault="00186B76" w:rsidP="002847E7">
            <w:pPr>
              <w:suppressAutoHyphens w:val="0"/>
              <w:spacing w:before="40" w:after="40" w:line="220" w:lineRule="exact"/>
              <w:ind w:right="113"/>
              <w:jc w:val="right"/>
              <w:rPr>
                <w:sz w:val="18"/>
                <w:lang w:val="fr-CH"/>
              </w:rPr>
            </w:pPr>
            <w:r w:rsidRPr="0071782F">
              <w:rPr>
                <w:sz w:val="18"/>
                <w:lang w:val="fr-CH"/>
              </w:rPr>
              <w:t>2 768 273</w:t>
            </w:r>
            <w:r w:rsidR="000C4721" w:rsidRPr="0071782F">
              <w:rPr>
                <w:sz w:val="18"/>
                <w:lang w:val="fr-CH"/>
              </w:rPr>
              <w:br/>
            </w:r>
            <w:r w:rsidRPr="0071782F">
              <w:rPr>
                <w:sz w:val="18"/>
                <w:lang w:val="fr-CH"/>
              </w:rPr>
              <w:t>28</w:t>
            </w:r>
            <w:r w:rsidR="003B1403" w:rsidRPr="0071782F">
              <w:rPr>
                <w:sz w:val="18"/>
                <w:lang w:val="fr-CH"/>
              </w:rPr>
              <w:t>,</w:t>
            </w:r>
            <w:r w:rsidRPr="0071782F">
              <w:rPr>
                <w:sz w:val="18"/>
                <w:lang w:val="fr-CH"/>
              </w:rPr>
              <w:t>7</w:t>
            </w:r>
          </w:p>
        </w:tc>
        <w:tc>
          <w:tcPr>
            <w:tcW w:w="1176" w:type="dxa"/>
            <w:tcBorders>
              <w:bottom w:val="nil"/>
            </w:tcBorders>
            <w:shd w:val="clear" w:color="000000"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1 275 912</w:t>
            </w:r>
            <w:r w:rsidR="000C4721" w:rsidRPr="0071782F">
              <w:rPr>
                <w:sz w:val="18"/>
                <w:lang w:val="fr-CH"/>
              </w:rPr>
              <w:br/>
            </w:r>
            <w:r w:rsidRPr="0071782F">
              <w:rPr>
                <w:sz w:val="18"/>
                <w:lang w:val="fr-CH"/>
              </w:rPr>
              <w:t>46</w:t>
            </w:r>
            <w:r w:rsidR="003B1403" w:rsidRPr="0071782F">
              <w:rPr>
                <w:sz w:val="18"/>
                <w:lang w:val="fr-CH"/>
              </w:rPr>
              <w:t>,</w:t>
            </w:r>
            <w:r w:rsidRPr="0071782F">
              <w:rPr>
                <w:sz w:val="18"/>
                <w:lang w:val="fr-CH"/>
              </w:rPr>
              <w:t>1</w:t>
            </w:r>
          </w:p>
        </w:tc>
        <w:tc>
          <w:tcPr>
            <w:tcW w:w="1259" w:type="dxa"/>
            <w:tcBorders>
              <w:bottom w:val="nil"/>
            </w:tcBorders>
            <w:shd w:val="clear" w:color="000000"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1 492 361</w:t>
            </w:r>
            <w:r w:rsidR="000C4721" w:rsidRPr="0071782F">
              <w:rPr>
                <w:sz w:val="18"/>
                <w:lang w:val="fr-CH"/>
              </w:rPr>
              <w:br/>
            </w:r>
            <w:r w:rsidRPr="0071782F">
              <w:rPr>
                <w:sz w:val="18"/>
                <w:lang w:val="fr-CH"/>
              </w:rPr>
              <w:t>53</w:t>
            </w:r>
            <w:r w:rsidR="003B1403" w:rsidRPr="0071782F">
              <w:rPr>
                <w:sz w:val="18"/>
                <w:lang w:val="fr-CH"/>
              </w:rPr>
              <w:t>,</w:t>
            </w:r>
            <w:r w:rsidRPr="0071782F">
              <w:rPr>
                <w:sz w:val="18"/>
                <w:lang w:val="fr-CH"/>
              </w:rPr>
              <w:t>9</w:t>
            </w:r>
          </w:p>
        </w:tc>
        <w:tc>
          <w:tcPr>
            <w:tcW w:w="1092" w:type="dxa"/>
            <w:tcBorders>
              <w:bottom w:val="nil"/>
            </w:tcBorders>
            <w:shd w:val="clear" w:color="000000"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2 354 132</w:t>
            </w:r>
            <w:r w:rsidR="000C4721" w:rsidRPr="0071782F">
              <w:rPr>
                <w:sz w:val="18"/>
                <w:lang w:val="fr-CH"/>
              </w:rPr>
              <w:br/>
            </w:r>
            <w:r w:rsidRPr="0071782F">
              <w:rPr>
                <w:sz w:val="18"/>
                <w:lang w:val="fr-CH"/>
              </w:rPr>
              <w:t>85</w:t>
            </w:r>
            <w:r w:rsidR="003B1403" w:rsidRPr="0071782F">
              <w:rPr>
                <w:sz w:val="18"/>
                <w:lang w:val="fr-CH"/>
              </w:rPr>
              <w:t>,</w:t>
            </w:r>
            <w:r w:rsidRPr="0071782F">
              <w:rPr>
                <w:sz w:val="18"/>
                <w:lang w:val="fr-CH"/>
              </w:rPr>
              <w:t>0</w:t>
            </w:r>
          </w:p>
        </w:tc>
        <w:tc>
          <w:tcPr>
            <w:tcW w:w="1043" w:type="dxa"/>
            <w:tcBorders>
              <w:bottom w:val="nil"/>
            </w:tcBorders>
            <w:shd w:val="clear" w:color="000000"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414 141</w:t>
            </w:r>
            <w:r w:rsidR="000C4721" w:rsidRPr="0071782F">
              <w:rPr>
                <w:sz w:val="18"/>
                <w:lang w:val="fr-CH"/>
              </w:rPr>
              <w:br/>
            </w:r>
            <w:r w:rsidRPr="0071782F">
              <w:rPr>
                <w:sz w:val="18"/>
                <w:lang w:val="fr-CH"/>
              </w:rPr>
              <w:t>15</w:t>
            </w:r>
            <w:r w:rsidR="003B1403" w:rsidRPr="0071782F">
              <w:rPr>
                <w:sz w:val="18"/>
                <w:lang w:val="fr-CH"/>
              </w:rPr>
              <w:t>,</w:t>
            </w:r>
            <w:r w:rsidRPr="0071782F">
              <w:rPr>
                <w:sz w:val="18"/>
                <w:lang w:val="fr-CH"/>
              </w:rPr>
              <w:t>0</w:t>
            </w:r>
          </w:p>
        </w:tc>
      </w:tr>
      <w:tr w:rsidR="00186B76" w:rsidRPr="0071782F">
        <w:tc>
          <w:tcPr>
            <w:tcW w:w="1418" w:type="dxa"/>
            <w:tcBorders>
              <w:top w:val="nil"/>
              <w:bottom w:val="nil"/>
            </w:tcBorders>
            <w:shd w:val="clear" w:color="000000" w:fill="auto"/>
          </w:tcPr>
          <w:p w:rsidR="00186B76" w:rsidRPr="0071782F" w:rsidRDefault="00185201" w:rsidP="003B1403">
            <w:pPr>
              <w:suppressAutoHyphens w:val="0"/>
              <w:spacing w:before="40" w:after="40" w:line="220" w:lineRule="exact"/>
              <w:rPr>
                <w:sz w:val="18"/>
                <w:lang w:val="fr-CH"/>
              </w:rPr>
            </w:pPr>
            <w:r w:rsidRPr="0071782F">
              <w:rPr>
                <w:sz w:val="18"/>
                <w:lang w:val="fr-CH"/>
              </w:rPr>
              <w:t>Perfectionnement</w:t>
            </w:r>
          </w:p>
        </w:tc>
        <w:tc>
          <w:tcPr>
            <w:tcW w:w="1382" w:type="dxa"/>
            <w:tcBorders>
              <w:top w:val="nil"/>
              <w:bottom w:val="nil"/>
            </w:tcBorders>
            <w:shd w:val="clear" w:color="000000" w:fill="auto"/>
            <w:vAlign w:val="bottom"/>
          </w:tcPr>
          <w:p w:rsidR="00186B76" w:rsidRPr="0071782F" w:rsidRDefault="00186B76" w:rsidP="002847E7">
            <w:pPr>
              <w:suppressAutoHyphens w:val="0"/>
              <w:spacing w:before="40" w:after="40" w:line="220" w:lineRule="exact"/>
              <w:ind w:right="113"/>
              <w:jc w:val="right"/>
              <w:rPr>
                <w:sz w:val="18"/>
                <w:lang w:val="fr-CH"/>
              </w:rPr>
            </w:pPr>
            <w:r w:rsidRPr="0071782F">
              <w:rPr>
                <w:sz w:val="18"/>
                <w:lang w:val="fr-CH"/>
              </w:rPr>
              <w:t>1 548 508</w:t>
            </w:r>
            <w:r w:rsidR="000C4721" w:rsidRPr="0071782F">
              <w:rPr>
                <w:sz w:val="18"/>
                <w:lang w:val="fr-CH"/>
              </w:rPr>
              <w:br/>
            </w:r>
            <w:r w:rsidRPr="0071782F">
              <w:rPr>
                <w:sz w:val="18"/>
                <w:lang w:val="fr-CH"/>
              </w:rPr>
              <w:t>16</w:t>
            </w:r>
            <w:r w:rsidR="003B1403" w:rsidRPr="0071782F">
              <w:rPr>
                <w:sz w:val="18"/>
                <w:lang w:val="fr-CH"/>
              </w:rPr>
              <w:t>,</w:t>
            </w:r>
            <w:r w:rsidRPr="0071782F">
              <w:rPr>
                <w:sz w:val="18"/>
                <w:lang w:val="fr-CH"/>
              </w:rPr>
              <w:t>1</w:t>
            </w:r>
          </w:p>
        </w:tc>
        <w:tc>
          <w:tcPr>
            <w:tcW w:w="1176" w:type="dxa"/>
            <w:tcBorders>
              <w:top w:val="nil"/>
              <w:bottom w:val="nil"/>
            </w:tcBorders>
            <w:shd w:val="clear" w:color="000000"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699 855</w:t>
            </w:r>
            <w:r w:rsidR="000C4721" w:rsidRPr="0071782F">
              <w:rPr>
                <w:sz w:val="18"/>
                <w:lang w:val="fr-CH"/>
              </w:rPr>
              <w:br/>
            </w:r>
            <w:r w:rsidRPr="0071782F">
              <w:rPr>
                <w:sz w:val="18"/>
                <w:lang w:val="fr-CH"/>
              </w:rPr>
              <w:t>45</w:t>
            </w:r>
            <w:r w:rsidR="003B1403" w:rsidRPr="0071782F">
              <w:rPr>
                <w:sz w:val="18"/>
                <w:lang w:val="fr-CH"/>
              </w:rPr>
              <w:t>,</w:t>
            </w:r>
            <w:r w:rsidRPr="0071782F">
              <w:rPr>
                <w:sz w:val="18"/>
                <w:lang w:val="fr-CH"/>
              </w:rPr>
              <w:t>2</w:t>
            </w:r>
          </w:p>
        </w:tc>
        <w:tc>
          <w:tcPr>
            <w:tcW w:w="1259" w:type="dxa"/>
            <w:tcBorders>
              <w:top w:val="nil"/>
              <w:bottom w:val="nil"/>
            </w:tcBorders>
            <w:shd w:val="clear" w:color="000000"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848 653</w:t>
            </w:r>
            <w:r w:rsidR="000C4721" w:rsidRPr="0071782F">
              <w:rPr>
                <w:sz w:val="18"/>
                <w:lang w:val="fr-CH"/>
              </w:rPr>
              <w:br/>
            </w:r>
            <w:r w:rsidRPr="0071782F">
              <w:rPr>
                <w:sz w:val="18"/>
                <w:lang w:val="fr-CH"/>
              </w:rPr>
              <w:t>54</w:t>
            </w:r>
            <w:r w:rsidR="003B1403" w:rsidRPr="0071782F">
              <w:rPr>
                <w:sz w:val="18"/>
                <w:lang w:val="fr-CH"/>
              </w:rPr>
              <w:t>,</w:t>
            </w:r>
            <w:r w:rsidRPr="0071782F">
              <w:rPr>
                <w:sz w:val="18"/>
                <w:lang w:val="fr-CH"/>
              </w:rPr>
              <w:t>8</w:t>
            </w:r>
          </w:p>
        </w:tc>
        <w:tc>
          <w:tcPr>
            <w:tcW w:w="1092" w:type="dxa"/>
            <w:tcBorders>
              <w:top w:val="nil"/>
              <w:bottom w:val="nil"/>
            </w:tcBorders>
            <w:shd w:val="clear" w:color="000000"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1 344 768</w:t>
            </w:r>
            <w:r w:rsidR="000C4721" w:rsidRPr="0071782F">
              <w:rPr>
                <w:sz w:val="18"/>
                <w:lang w:val="fr-CH"/>
              </w:rPr>
              <w:br/>
            </w:r>
            <w:r w:rsidRPr="0071782F">
              <w:rPr>
                <w:sz w:val="18"/>
                <w:lang w:val="fr-CH"/>
              </w:rPr>
              <w:t>86</w:t>
            </w:r>
            <w:r w:rsidR="003B1403" w:rsidRPr="0071782F">
              <w:rPr>
                <w:sz w:val="18"/>
                <w:lang w:val="fr-CH"/>
              </w:rPr>
              <w:t>,</w:t>
            </w:r>
            <w:r w:rsidRPr="0071782F">
              <w:rPr>
                <w:sz w:val="18"/>
                <w:lang w:val="fr-CH"/>
              </w:rPr>
              <w:t>8</w:t>
            </w:r>
          </w:p>
        </w:tc>
        <w:tc>
          <w:tcPr>
            <w:tcW w:w="1043" w:type="dxa"/>
            <w:tcBorders>
              <w:top w:val="nil"/>
              <w:bottom w:val="nil"/>
            </w:tcBorders>
            <w:shd w:val="clear" w:color="000000"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203 740</w:t>
            </w:r>
            <w:r w:rsidR="000C4721" w:rsidRPr="0071782F">
              <w:rPr>
                <w:sz w:val="18"/>
                <w:lang w:val="fr-CH"/>
              </w:rPr>
              <w:br/>
            </w:r>
            <w:r w:rsidRPr="0071782F">
              <w:rPr>
                <w:sz w:val="18"/>
                <w:lang w:val="fr-CH"/>
              </w:rPr>
              <w:t>13</w:t>
            </w:r>
            <w:r w:rsidR="003B1403" w:rsidRPr="0071782F">
              <w:rPr>
                <w:sz w:val="18"/>
                <w:lang w:val="fr-CH"/>
              </w:rPr>
              <w:t>,</w:t>
            </w:r>
            <w:r w:rsidRPr="0071782F">
              <w:rPr>
                <w:sz w:val="18"/>
                <w:lang w:val="fr-CH"/>
              </w:rPr>
              <w:t>2</w:t>
            </w:r>
          </w:p>
        </w:tc>
      </w:tr>
      <w:tr w:rsidR="00186B76" w:rsidRPr="0071782F">
        <w:tc>
          <w:tcPr>
            <w:tcW w:w="1418" w:type="dxa"/>
            <w:tcBorders>
              <w:top w:val="nil"/>
            </w:tcBorders>
            <w:shd w:val="clear" w:color="000000" w:fill="auto"/>
          </w:tcPr>
          <w:p w:rsidR="00186B76" w:rsidRPr="0071782F" w:rsidRDefault="00186B76" w:rsidP="003B1403">
            <w:pPr>
              <w:suppressAutoHyphens w:val="0"/>
              <w:spacing w:before="40" w:after="40" w:line="220" w:lineRule="exact"/>
              <w:rPr>
                <w:sz w:val="18"/>
                <w:lang w:val="fr-CH"/>
              </w:rPr>
            </w:pPr>
            <w:r w:rsidRPr="0071782F">
              <w:rPr>
                <w:sz w:val="18"/>
                <w:lang w:val="fr-CH"/>
              </w:rPr>
              <w:t>5</w:t>
            </w:r>
            <w:r w:rsidR="00185201" w:rsidRPr="008D446F">
              <w:rPr>
                <w:sz w:val="18"/>
                <w:vertAlign w:val="superscript"/>
                <w:lang w:val="fr-CH"/>
              </w:rPr>
              <w:t>e</w:t>
            </w:r>
            <w:r w:rsidR="003B1403" w:rsidRPr="0071782F">
              <w:rPr>
                <w:sz w:val="18"/>
                <w:lang w:val="fr-CH"/>
              </w:rPr>
              <w:t> </w:t>
            </w:r>
            <w:r w:rsidR="00185201" w:rsidRPr="0071782F">
              <w:rPr>
                <w:sz w:val="18"/>
                <w:lang w:val="fr-CH"/>
              </w:rPr>
              <w:t xml:space="preserve">année </w:t>
            </w:r>
          </w:p>
        </w:tc>
        <w:tc>
          <w:tcPr>
            <w:tcW w:w="1382" w:type="dxa"/>
            <w:tcBorders>
              <w:top w:val="nil"/>
            </w:tcBorders>
            <w:shd w:val="clear" w:color="000000" w:fill="auto"/>
            <w:vAlign w:val="bottom"/>
          </w:tcPr>
          <w:p w:rsidR="00186B76" w:rsidRPr="0071782F" w:rsidRDefault="00186B76" w:rsidP="002847E7">
            <w:pPr>
              <w:suppressAutoHyphens w:val="0"/>
              <w:spacing w:before="40" w:after="40" w:line="220" w:lineRule="exact"/>
              <w:ind w:right="113"/>
              <w:jc w:val="right"/>
              <w:rPr>
                <w:sz w:val="18"/>
                <w:lang w:val="fr-CH"/>
              </w:rPr>
            </w:pPr>
            <w:r w:rsidRPr="0071782F">
              <w:rPr>
                <w:sz w:val="18"/>
                <w:lang w:val="fr-CH"/>
              </w:rPr>
              <w:t>889 808</w:t>
            </w:r>
            <w:r w:rsidR="000C4721" w:rsidRPr="0071782F">
              <w:rPr>
                <w:sz w:val="18"/>
                <w:lang w:val="fr-CH"/>
              </w:rPr>
              <w:br/>
            </w:r>
            <w:r w:rsidRPr="0071782F">
              <w:rPr>
                <w:sz w:val="18"/>
                <w:lang w:val="fr-CH"/>
              </w:rPr>
              <w:t>9</w:t>
            </w:r>
            <w:r w:rsidR="003B1403" w:rsidRPr="0071782F">
              <w:rPr>
                <w:sz w:val="18"/>
                <w:lang w:val="fr-CH"/>
              </w:rPr>
              <w:t>,</w:t>
            </w:r>
            <w:r w:rsidRPr="0071782F">
              <w:rPr>
                <w:sz w:val="18"/>
                <w:lang w:val="fr-CH"/>
              </w:rPr>
              <w:t>3</w:t>
            </w:r>
          </w:p>
        </w:tc>
        <w:tc>
          <w:tcPr>
            <w:tcW w:w="1176" w:type="dxa"/>
            <w:tcBorders>
              <w:top w:val="nil"/>
            </w:tcBorders>
            <w:shd w:val="clear" w:color="000000"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409 249</w:t>
            </w:r>
            <w:r w:rsidR="000C4721" w:rsidRPr="0071782F">
              <w:rPr>
                <w:sz w:val="18"/>
                <w:lang w:val="fr-CH"/>
              </w:rPr>
              <w:br/>
            </w:r>
            <w:r w:rsidRPr="0071782F">
              <w:rPr>
                <w:sz w:val="18"/>
                <w:lang w:val="fr-CH"/>
              </w:rPr>
              <w:t>45</w:t>
            </w:r>
            <w:r w:rsidR="003B1403" w:rsidRPr="0071782F">
              <w:rPr>
                <w:sz w:val="18"/>
                <w:lang w:val="fr-CH"/>
              </w:rPr>
              <w:t>,</w:t>
            </w:r>
            <w:r w:rsidRPr="0071782F">
              <w:rPr>
                <w:sz w:val="18"/>
                <w:lang w:val="fr-CH"/>
              </w:rPr>
              <w:t>5</w:t>
            </w:r>
          </w:p>
        </w:tc>
        <w:tc>
          <w:tcPr>
            <w:tcW w:w="1259" w:type="dxa"/>
            <w:tcBorders>
              <w:top w:val="nil"/>
            </w:tcBorders>
            <w:shd w:val="clear" w:color="000000"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489 659</w:t>
            </w:r>
            <w:r w:rsidR="000C4721" w:rsidRPr="0071782F">
              <w:rPr>
                <w:sz w:val="18"/>
                <w:lang w:val="fr-CH"/>
              </w:rPr>
              <w:br/>
            </w:r>
            <w:r w:rsidRPr="0071782F">
              <w:rPr>
                <w:sz w:val="18"/>
                <w:lang w:val="fr-CH"/>
              </w:rPr>
              <w:t>54</w:t>
            </w:r>
            <w:r w:rsidR="003B1403" w:rsidRPr="0071782F">
              <w:rPr>
                <w:sz w:val="18"/>
                <w:lang w:val="fr-CH"/>
              </w:rPr>
              <w:t>,</w:t>
            </w:r>
            <w:r w:rsidRPr="0071782F">
              <w:rPr>
                <w:sz w:val="18"/>
                <w:lang w:val="fr-CH"/>
              </w:rPr>
              <w:t>5</w:t>
            </w:r>
          </w:p>
        </w:tc>
        <w:tc>
          <w:tcPr>
            <w:tcW w:w="1092" w:type="dxa"/>
            <w:tcBorders>
              <w:top w:val="nil"/>
            </w:tcBorders>
            <w:shd w:val="clear" w:color="000000"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792 968</w:t>
            </w:r>
            <w:r w:rsidR="000C4721" w:rsidRPr="0071782F">
              <w:rPr>
                <w:sz w:val="18"/>
                <w:lang w:val="fr-CH"/>
              </w:rPr>
              <w:br/>
            </w:r>
            <w:r w:rsidRPr="0071782F">
              <w:rPr>
                <w:sz w:val="18"/>
                <w:lang w:val="fr-CH"/>
              </w:rPr>
              <w:t>88</w:t>
            </w:r>
            <w:r w:rsidR="003B1403" w:rsidRPr="0071782F">
              <w:rPr>
                <w:sz w:val="18"/>
                <w:lang w:val="fr-CH"/>
              </w:rPr>
              <w:t>,</w:t>
            </w:r>
            <w:r w:rsidRPr="0071782F">
              <w:rPr>
                <w:sz w:val="18"/>
                <w:lang w:val="fr-CH"/>
              </w:rPr>
              <w:t>2</w:t>
            </w:r>
          </w:p>
        </w:tc>
        <w:tc>
          <w:tcPr>
            <w:tcW w:w="1043" w:type="dxa"/>
            <w:tcBorders>
              <w:top w:val="nil"/>
            </w:tcBorders>
            <w:shd w:val="clear" w:color="000000"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105 940</w:t>
            </w:r>
            <w:r w:rsidR="000C4721" w:rsidRPr="0071782F">
              <w:rPr>
                <w:sz w:val="18"/>
                <w:lang w:val="fr-CH"/>
              </w:rPr>
              <w:br/>
            </w:r>
            <w:r w:rsidRPr="0071782F">
              <w:rPr>
                <w:sz w:val="18"/>
                <w:lang w:val="fr-CH"/>
              </w:rPr>
              <w:t>11</w:t>
            </w:r>
            <w:r w:rsidR="003B1403" w:rsidRPr="0071782F">
              <w:rPr>
                <w:sz w:val="18"/>
                <w:lang w:val="fr-CH"/>
              </w:rPr>
              <w:t>,</w:t>
            </w:r>
            <w:r w:rsidRPr="0071782F">
              <w:rPr>
                <w:sz w:val="18"/>
                <w:lang w:val="fr-CH"/>
              </w:rPr>
              <w:t>8</w:t>
            </w:r>
          </w:p>
        </w:tc>
      </w:tr>
      <w:tr w:rsidR="00C15363" w:rsidRPr="0071782F">
        <w:tc>
          <w:tcPr>
            <w:tcW w:w="1418" w:type="dxa"/>
            <w:shd w:val="clear" w:color="000000" w:fill="auto"/>
          </w:tcPr>
          <w:p w:rsidR="00C15363" w:rsidRPr="0071782F" w:rsidRDefault="00185201" w:rsidP="003B1403">
            <w:pPr>
              <w:suppressAutoHyphens w:val="0"/>
              <w:spacing w:before="40" w:after="40" w:line="220" w:lineRule="exact"/>
              <w:rPr>
                <w:sz w:val="18"/>
                <w:lang w:val="fr-CH"/>
              </w:rPr>
            </w:pPr>
            <w:r w:rsidRPr="0071782F">
              <w:rPr>
                <w:sz w:val="18"/>
                <w:lang w:val="fr-CH"/>
              </w:rPr>
              <w:t>Instruction obligatoire</w:t>
            </w:r>
          </w:p>
        </w:tc>
        <w:tc>
          <w:tcPr>
            <w:tcW w:w="1382" w:type="dxa"/>
            <w:shd w:val="clear" w:color="000000" w:fill="auto"/>
            <w:vAlign w:val="bottom"/>
          </w:tcPr>
          <w:p w:rsidR="00C15363" w:rsidRPr="0071782F" w:rsidRDefault="00C15363" w:rsidP="002847E7">
            <w:pPr>
              <w:suppressAutoHyphens w:val="0"/>
              <w:spacing w:before="40" w:after="40" w:line="220" w:lineRule="exact"/>
              <w:ind w:right="113"/>
              <w:jc w:val="right"/>
              <w:rPr>
                <w:sz w:val="18"/>
                <w:lang w:val="fr-CH"/>
              </w:rPr>
            </w:pPr>
            <w:r w:rsidRPr="0071782F">
              <w:rPr>
                <w:sz w:val="18"/>
                <w:lang w:val="fr-CH"/>
              </w:rPr>
              <w:t>301 180</w:t>
            </w:r>
          </w:p>
        </w:tc>
        <w:tc>
          <w:tcPr>
            <w:tcW w:w="1176" w:type="dxa"/>
            <w:shd w:val="clear" w:color="000000" w:fill="auto"/>
            <w:vAlign w:val="bottom"/>
          </w:tcPr>
          <w:p w:rsidR="00C15363" w:rsidRPr="0071782F" w:rsidRDefault="00C15363" w:rsidP="003B1403">
            <w:pPr>
              <w:suppressAutoHyphens w:val="0"/>
              <w:spacing w:before="40" w:after="40" w:line="220" w:lineRule="exact"/>
              <w:jc w:val="right"/>
              <w:rPr>
                <w:sz w:val="18"/>
                <w:lang w:val="fr-CH"/>
              </w:rPr>
            </w:pPr>
            <w:r w:rsidRPr="0071782F">
              <w:rPr>
                <w:sz w:val="18"/>
                <w:lang w:val="fr-CH"/>
              </w:rPr>
              <w:t>–</w:t>
            </w:r>
          </w:p>
        </w:tc>
        <w:tc>
          <w:tcPr>
            <w:tcW w:w="1259" w:type="dxa"/>
            <w:shd w:val="clear" w:color="000000" w:fill="auto"/>
            <w:vAlign w:val="bottom"/>
          </w:tcPr>
          <w:p w:rsidR="00C15363" w:rsidRPr="0071782F" w:rsidRDefault="00C15363" w:rsidP="003B1403">
            <w:pPr>
              <w:suppressAutoHyphens w:val="0"/>
              <w:spacing w:before="40" w:after="40" w:line="220" w:lineRule="exact"/>
              <w:jc w:val="right"/>
              <w:rPr>
                <w:sz w:val="18"/>
                <w:lang w:val="fr-CH"/>
              </w:rPr>
            </w:pPr>
            <w:r w:rsidRPr="0071782F">
              <w:rPr>
                <w:sz w:val="18"/>
                <w:lang w:val="fr-CH"/>
              </w:rPr>
              <w:t>100</w:t>
            </w:r>
          </w:p>
        </w:tc>
        <w:tc>
          <w:tcPr>
            <w:tcW w:w="1092" w:type="dxa"/>
            <w:shd w:val="clear" w:color="000000" w:fill="auto"/>
            <w:vAlign w:val="bottom"/>
          </w:tcPr>
          <w:p w:rsidR="00C15363" w:rsidRPr="0071782F" w:rsidRDefault="00C15363" w:rsidP="003B1403">
            <w:pPr>
              <w:suppressAutoHyphens w:val="0"/>
              <w:spacing w:before="40" w:after="40" w:line="220" w:lineRule="exact"/>
              <w:jc w:val="right"/>
              <w:rPr>
                <w:sz w:val="18"/>
                <w:lang w:val="fr-CH"/>
              </w:rPr>
            </w:pPr>
            <w:r w:rsidRPr="0071782F">
              <w:rPr>
                <w:sz w:val="18"/>
                <w:lang w:val="fr-CH"/>
              </w:rPr>
              <w:t>–</w:t>
            </w:r>
          </w:p>
        </w:tc>
        <w:tc>
          <w:tcPr>
            <w:tcW w:w="1043" w:type="dxa"/>
            <w:shd w:val="clear" w:color="000000" w:fill="auto"/>
            <w:vAlign w:val="bottom"/>
          </w:tcPr>
          <w:p w:rsidR="00C15363" w:rsidRPr="0071782F" w:rsidRDefault="00C15363" w:rsidP="003B1403">
            <w:pPr>
              <w:suppressAutoHyphens w:val="0"/>
              <w:spacing w:before="40" w:after="40" w:line="220" w:lineRule="exact"/>
              <w:jc w:val="right"/>
              <w:rPr>
                <w:sz w:val="18"/>
                <w:lang w:val="fr-CH"/>
              </w:rPr>
            </w:pPr>
            <w:r w:rsidRPr="0071782F">
              <w:rPr>
                <w:sz w:val="18"/>
                <w:lang w:val="fr-CH"/>
              </w:rPr>
              <w:t>–</w:t>
            </w:r>
          </w:p>
        </w:tc>
      </w:tr>
    </w:tbl>
    <w:p w:rsidR="00186B76" w:rsidRPr="0071782F" w:rsidRDefault="00186B76" w:rsidP="0020639F">
      <w:pPr>
        <w:pStyle w:val="Heading1"/>
        <w:keepNext/>
        <w:keepLines/>
        <w:spacing w:before="240"/>
        <w:rPr>
          <w:lang w:val="fr-CH"/>
        </w:rPr>
      </w:pPr>
      <w:r w:rsidRPr="0071782F">
        <w:rPr>
          <w:lang w:val="fr-CH"/>
        </w:rPr>
        <w:t>Table</w:t>
      </w:r>
      <w:r w:rsidR="00185201" w:rsidRPr="0071782F">
        <w:rPr>
          <w:lang w:val="fr-CH"/>
        </w:rPr>
        <w:t>au</w:t>
      </w:r>
      <w:r w:rsidRPr="0071782F">
        <w:rPr>
          <w:lang w:val="fr-CH"/>
        </w:rPr>
        <w:t xml:space="preserve"> 3</w:t>
      </w:r>
    </w:p>
    <w:p w:rsidR="00186B76" w:rsidRPr="0071782F" w:rsidRDefault="00186B76" w:rsidP="0020639F">
      <w:pPr>
        <w:pStyle w:val="SingleTxtG"/>
        <w:keepNext/>
        <w:keepLines/>
        <w:rPr>
          <w:b/>
          <w:lang w:val="fr-CH"/>
        </w:rPr>
      </w:pPr>
      <w:r w:rsidRPr="0071782F">
        <w:rPr>
          <w:b/>
          <w:lang w:val="fr-CH"/>
        </w:rPr>
        <w:t>Succ</w:t>
      </w:r>
      <w:r w:rsidR="00185201" w:rsidRPr="0071782F">
        <w:rPr>
          <w:b/>
          <w:lang w:val="fr-CH"/>
        </w:rPr>
        <w:t>è</w:t>
      </w:r>
      <w:r w:rsidRPr="0071782F">
        <w:rPr>
          <w:b/>
          <w:lang w:val="fr-CH"/>
        </w:rPr>
        <w:t xml:space="preserve">s </w:t>
      </w:r>
      <w:r w:rsidR="00185201" w:rsidRPr="0071782F">
        <w:rPr>
          <w:b/>
          <w:lang w:val="fr-CH"/>
        </w:rPr>
        <w:t>aux examen</w:t>
      </w:r>
      <w:r w:rsidR="003B1403" w:rsidRPr="0071782F">
        <w:rPr>
          <w:b/>
          <w:lang w:val="fr-CH"/>
        </w:rPr>
        <w:t>s</w:t>
      </w:r>
      <w:r w:rsidR="00185201" w:rsidRPr="0071782F">
        <w:rPr>
          <w:b/>
          <w:lang w:val="fr-CH"/>
        </w:rPr>
        <w:t xml:space="preserve"> au cours de la période </w:t>
      </w:r>
      <w:r w:rsidRPr="0071782F">
        <w:rPr>
          <w:b/>
          <w:lang w:val="fr-CH"/>
        </w:rPr>
        <w:t>1997</w:t>
      </w:r>
      <w:r w:rsidR="00185201" w:rsidRPr="0071782F">
        <w:rPr>
          <w:b/>
          <w:lang w:val="fr-CH"/>
        </w:rPr>
        <w:t>-</w:t>
      </w:r>
      <w:r w:rsidRPr="0071782F">
        <w:rPr>
          <w:b/>
          <w:lang w:val="fr-CH"/>
        </w:rPr>
        <w:t>2006</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1636"/>
        <w:gridCol w:w="1821"/>
        <w:gridCol w:w="2051"/>
        <w:gridCol w:w="1196"/>
        <w:gridCol w:w="1050"/>
        <w:gridCol w:w="751"/>
      </w:tblGrid>
      <w:tr w:rsidR="00186B76" w:rsidRPr="0071782F">
        <w:trPr>
          <w:tblHeader/>
        </w:trPr>
        <w:tc>
          <w:tcPr>
            <w:tcW w:w="1418" w:type="dxa"/>
            <w:vMerge w:val="restart"/>
            <w:tcBorders>
              <w:top w:val="single" w:sz="4" w:space="0" w:color="auto"/>
              <w:bottom w:val="single" w:sz="4" w:space="0" w:color="auto"/>
            </w:tcBorders>
            <w:shd w:val="clear" w:color="000000" w:fill="auto"/>
            <w:vAlign w:val="bottom"/>
          </w:tcPr>
          <w:p w:rsidR="00186B76" w:rsidRPr="0071782F" w:rsidRDefault="00186B76" w:rsidP="003B1403">
            <w:pPr>
              <w:keepNext/>
              <w:keepLines/>
              <w:suppressAutoHyphens w:val="0"/>
              <w:spacing w:before="80" w:after="80" w:line="200" w:lineRule="exact"/>
              <w:rPr>
                <w:i/>
                <w:sz w:val="16"/>
                <w:szCs w:val="16"/>
                <w:lang w:val="fr-CH"/>
              </w:rPr>
            </w:pPr>
            <w:r w:rsidRPr="0071782F">
              <w:rPr>
                <w:i/>
                <w:sz w:val="16"/>
                <w:szCs w:val="16"/>
                <w:lang w:val="fr-CH"/>
              </w:rPr>
              <w:t>Cours</w:t>
            </w:r>
          </w:p>
        </w:tc>
        <w:tc>
          <w:tcPr>
            <w:tcW w:w="1578" w:type="dxa"/>
            <w:vMerge w:val="restart"/>
            <w:tcBorders>
              <w:top w:val="single" w:sz="4" w:space="0" w:color="auto"/>
              <w:bottom w:val="single" w:sz="4" w:space="0" w:color="auto"/>
            </w:tcBorders>
            <w:shd w:val="clear" w:color="000000" w:fill="auto"/>
            <w:vAlign w:val="bottom"/>
          </w:tcPr>
          <w:p w:rsidR="00186B76" w:rsidRPr="0071782F" w:rsidRDefault="00185201" w:rsidP="003B1403">
            <w:pPr>
              <w:keepNext/>
              <w:keepLines/>
              <w:suppressAutoHyphens w:val="0"/>
              <w:spacing w:before="80" w:after="80" w:line="200" w:lineRule="exact"/>
              <w:jc w:val="right"/>
              <w:rPr>
                <w:i/>
                <w:sz w:val="16"/>
                <w:szCs w:val="16"/>
                <w:lang w:val="fr-CH"/>
              </w:rPr>
            </w:pPr>
            <w:r w:rsidRPr="0071782F">
              <w:rPr>
                <w:i/>
                <w:sz w:val="16"/>
                <w:szCs w:val="16"/>
                <w:lang w:val="fr-CH"/>
              </w:rPr>
              <w:t>Nombre et pourcentage de</w:t>
            </w:r>
            <w:r w:rsidR="00186B76" w:rsidRPr="0071782F">
              <w:rPr>
                <w:i/>
                <w:sz w:val="16"/>
                <w:szCs w:val="16"/>
                <w:lang w:val="fr-CH"/>
              </w:rPr>
              <w:t xml:space="preserve"> participants</w:t>
            </w:r>
          </w:p>
        </w:tc>
        <w:tc>
          <w:tcPr>
            <w:tcW w:w="1777" w:type="dxa"/>
            <w:vMerge w:val="restart"/>
            <w:tcBorders>
              <w:top w:val="single" w:sz="4" w:space="0" w:color="auto"/>
              <w:bottom w:val="single" w:sz="4" w:space="0" w:color="auto"/>
              <w:right w:val="nil"/>
            </w:tcBorders>
            <w:shd w:val="clear" w:color="000000" w:fill="auto"/>
            <w:vAlign w:val="bottom"/>
          </w:tcPr>
          <w:p w:rsidR="00186B76" w:rsidRPr="0071782F" w:rsidRDefault="00185201" w:rsidP="002847E7">
            <w:pPr>
              <w:keepNext/>
              <w:keepLines/>
              <w:suppressAutoHyphens w:val="0"/>
              <w:spacing w:before="80" w:after="80" w:line="200" w:lineRule="exact"/>
              <w:ind w:right="113"/>
              <w:jc w:val="right"/>
              <w:rPr>
                <w:i/>
                <w:sz w:val="16"/>
                <w:szCs w:val="16"/>
                <w:lang w:val="fr-CH"/>
              </w:rPr>
            </w:pPr>
            <w:r w:rsidRPr="0071782F">
              <w:rPr>
                <w:i/>
                <w:sz w:val="16"/>
                <w:szCs w:val="16"/>
                <w:lang w:val="fr-CH"/>
              </w:rPr>
              <w:t>Nombre et pourcentage de réussites</w:t>
            </w:r>
          </w:p>
        </w:tc>
        <w:tc>
          <w:tcPr>
            <w:tcW w:w="2597" w:type="dxa"/>
            <w:gridSpan w:val="3"/>
            <w:tcBorders>
              <w:top w:val="single" w:sz="4" w:space="0" w:color="auto"/>
              <w:left w:val="nil"/>
              <w:bottom w:val="single" w:sz="4" w:space="0" w:color="auto"/>
            </w:tcBorders>
            <w:shd w:val="clear" w:color="000000" w:fill="auto"/>
            <w:vAlign w:val="bottom"/>
          </w:tcPr>
          <w:p w:rsidR="00186B76" w:rsidRPr="0071782F" w:rsidRDefault="00185201" w:rsidP="003B1403">
            <w:pPr>
              <w:keepNext/>
              <w:keepLines/>
              <w:suppressAutoHyphens w:val="0"/>
              <w:spacing w:before="80" w:after="80" w:line="200" w:lineRule="exact"/>
              <w:jc w:val="center"/>
              <w:rPr>
                <w:i/>
                <w:sz w:val="16"/>
                <w:szCs w:val="16"/>
                <w:lang w:val="fr-CH"/>
              </w:rPr>
            </w:pPr>
            <w:r w:rsidRPr="0071782F">
              <w:rPr>
                <w:i/>
                <w:sz w:val="16"/>
                <w:szCs w:val="16"/>
                <w:lang w:val="fr-CH"/>
              </w:rPr>
              <w:t>Sexe</w:t>
            </w:r>
          </w:p>
        </w:tc>
      </w:tr>
      <w:tr w:rsidR="00186B76" w:rsidRPr="0071782F">
        <w:trPr>
          <w:tblHeader/>
        </w:trPr>
        <w:tc>
          <w:tcPr>
            <w:tcW w:w="1418" w:type="dxa"/>
            <w:vMerge/>
            <w:tcBorders>
              <w:top w:val="single" w:sz="4" w:space="0" w:color="auto"/>
              <w:bottom w:val="single" w:sz="12" w:space="0" w:color="auto"/>
            </w:tcBorders>
            <w:shd w:val="clear" w:color="000000" w:fill="auto"/>
            <w:vAlign w:val="bottom"/>
          </w:tcPr>
          <w:p w:rsidR="00186B76" w:rsidRPr="0071782F" w:rsidRDefault="00186B76" w:rsidP="003B1403">
            <w:pPr>
              <w:keepNext/>
              <w:keepLines/>
              <w:suppressAutoHyphens w:val="0"/>
              <w:spacing w:before="40" w:after="40" w:line="220" w:lineRule="exact"/>
              <w:rPr>
                <w:i/>
                <w:sz w:val="16"/>
                <w:szCs w:val="16"/>
                <w:lang w:val="fr-CH"/>
              </w:rPr>
            </w:pPr>
          </w:p>
        </w:tc>
        <w:tc>
          <w:tcPr>
            <w:tcW w:w="1578" w:type="dxa"/>
            <w:vMerge/>
            <w:tcBorders>
              <w:top w:val="single" w:sz="4" w:space="0" w:color="auto"/>
              <w:bottom w:val="single" w:sz="12" w:space="0" w:color="auto"/>
            </w:tcBorders>
            <w:shd w:val="clear" w:color="000000" w:fill="auto"/>
            <w:vAlign w:val="bottom"/>
          </w:tcPr>
          <w:p w:rsidR="00186B76" w:rsidRPr="0071782F" w:rsidRDefault="00186B76" w:rsidP="003B1403">
            <w:pPr>
              <w:keepNext/>
              <w:keepLines/>
              <w:suppressAutoHyphens w:val="0"/>
              <w:spacing w:before="40" w:after="40" w:line="220" w:lineRule="exact"/>
              <w:jc w:val="right"/>
              <w:rPr>
                <w:i/>
                <w:sz w:val="16"/>
                <w:szCs w:val="16"/>
                <w:lang w:val="fr-CH"/>
              </w:rPr>
            </w:pPr>
          </w:p>
        </w:tc>
        <w:tc>
          <w:tcPr>
            <w:tcW w:w="1777" w:type="dxa"/>
            <w:vMerge/>
            <w:tcBorders>
              <w:top w:val="single" w:sz="4" w:space="0" w:color="auto"/>
              <w:bottom w:val="single" w:sz="12" w:space="0" w:color="auto"/>
              <w:right w:val="nil"/>
            </w:tcBorders>
            <w:shd w:val="clear" w:color="000000" w:fill="auto"/>
            <w:vAlign w:val="bottom"/>
          </w:tcPr>
          <w:p w:rsidR="00186B76" w:rsidRPr="0071782F" w:rsidRDefault="00186B76" w:rsidP="002847E7">
            <w:pPr>
              <w:keepNext/>
              <w:keepLines/>
              <w:suppressAutoHyphens w:val="0"/>
              <w:spacing w:before="40" w:after="40" w:line="220" w:lineRule="exact"/>
              <w:ind w:right="113"/>
              <w:jc w:val="right"/>
              <w:rPr>
                <w:i/>
                <w:sz w:val="16"/>
                <w:szCs w:val="16"/>
                <w:lang w:val="fr-CH"/>
              </w:rPr>
            </w:pPr>
          </w:p>
        </w:tc>
        <w:tc>
          <w:tcPr>
            <w:tcW w:w="1036" w:type="dxa"/>
            <w:tcBorders>
              <w:top w:val="single" w:sz="4" w:space="0" w:color="auto"/>
              <w:left w:val="nil"/>
              <w:bottom w:val="single" w:sz="12" w:space="0" w:color="auto"/>
            </w:tcBorders>
            <w:shd w:val="clear" w:color="000000" w:fill="auto"/>
            <w:vAlign w:val="bottom"/>
          </w:tcPr>
          <w:p w:rsidR="00186B76" w:rsidRPr="0071782F" w:rsidRDefault="00185201" w:rsidP="002847E7">
            <w:pPr>
              <w:keepNext/>
              <w:keepLines/>
              <w:suppressAutoHyphens w:val="0"/>
              <w:spacing w:before="80" w:after="80" w:line="200" w:lineRule="exact"/>
              <w:jc w:val="right"/>
              <w:rPr>
                <w:i/>
                <w:sz w:val="16"/>
                <w:szCs w:val="16"/>
                <w:lang w:val="fr-CH"/>
              </w:rPr>
            </w:pPr>
            <w:r w:rsidRPr="0071782F">
              <w:rPr>
                <w:i/>
                <w:sz w:val="16"/>
                <w:szCs w:val="16"/>
                <w:lang w:val="fr-CH"/>
              </w:rPr>
              <w:t>Femmes</w:t>
            </w:r>
          </w:p>
        </w:tc>
        <w:tc>
          <w:tcPr>
            <w:tcW w:w="910" w:type="dxa"/>
            <w:tcBorders>
              <w:top w:val="single" w:sz="4" w:space="0" w:color="auto"/>
              <w:bottom w:val="single" w:sz="12" w:space="0" w:color="auto"/>
            </w:tcBorders>
            <w:shd w:val="clear" w:color="000000" w:fill="auto"/>
            <w:vAlign w:val="bottom"/>
          </w:tcPr>
          <w:p w:rsidR="00186B76" w:rsidRPr="0071782F" w:rsidRDefault="00185201" w:rsidP="002847E7">
            <w:pPr>
              <w:keepNext/>
              <w:keepLines/>
              <w:suppressAutoHyphens w:val="0"/>
              <w:spacing w:before="80" w:after="80" w:line="200" w:lineRule="exact"/>
              <w:jc w:val="right"/>
              <w:rPr>
                <w:i/>
                <w:sz w:val="16"/>
                <w:szCs w:val="16"/>
                <w:lang w:val="fr-CH"/>
              </w:rPr>
            </w:pPr>
            <w:r w:rsidRPr="0071782F">
              <w:rPr>
                <w:i/>
                <w:sz w:val="16"/>
                <w:szCs w:val="16"/>
                <w:lang w:val="fr-CH"/>
              </w:rPr>
              <w:t>Hommes</w:t>
            </w:r>
          </w:p>
        </w:tc>
        <w:tc>
          <w:tcPr>
            <w:tcW w:w="651" w:type="dxa"/>
            <w:tcBorders>
              <w:top w:val="single" w:sz="4" w:space="0" w:color="auto"/>
              <w:bottom w:val="single" w:sz="12" w:space="0" w:color="auto"/>
            </w:tcBorders>
            <w:shd w:val="clear" w:color="000000" w:fill="auto"/>
            <w:vAlign w:val="bottom"/>
          </w:tcPr>
          <w:p w:rsidR="00186B76" w:rsidRPr="0071782F" w:rsidRDefault="00186B76" w:rsidP="002847E7">
            <w:pPr>
              <w:keepNext/>
              <w:keepLines/>
              <w:suppressAutoHyphens w:val="0"/>
              <w:spacing w:before="80" w:after="80" w:line="200" w:lineRule="exact"/>
              <w:jc w:val="right"/>
              <w:rPr>
                <w:b/>
                <w:i/>
                <w:sz w:val="16"/>
                <w:szCs w:val="16"/>
                <w:lang w:val="fr-CH"/>
              </w:rPr>
            </w:pPr>
            <w:r w:rsidRPr="0071782F">
              <w:rPr>
                <w:b/>
                <w:i/>
                <w:sz w:val="16"/>
                <w:szCs w:val="16"/>
                <w:lang w:val="fr-CH"/>
              </w:rPr>
              <w:t>Total</w:t>
            </w:r>
          </w:p>
        </w:tc>
      </w:tr>
      <w:tr w:rsidR="00186B76" w:rsidRPr="0071782F">
        <w:tc>
          <w:tcPr>
            <w:tcW w:w="1418" w:type="dxa"/>
            <w:tcBorders>
              <w:top w:val="single" w:sz="12" w:space="0" w:color="auto"/>
            </w:tcBorders>
            <w:shd w:val="clear" w:color="000000" w:fill="auto"/>
          </w:tcPr>
          <w:p w:rsidR="00186B76" w:rsidRPr="0071782F" w:rsidRDefault="00186B76" w:rsidP="003B1403">
            <w:pPr>
              <w:suppressAutoHyphens w:val="0"/>
              <w:spacing w:before="40" w:after="40" w:line="220" w:lineRule="exact"/>
              <w:rPr>
                <w:sz w:val="18"/>
                <w:lang w:val="fr-CH"/>
              </w:rPr>
            </w:pPr>
            <w:r w:rsidRPr="0071782F">
              <w:rPr>
                <w:sz w:val="18"/>
                <w:lang w:val="fr-CH"/>
              </w:rPr>
              <w:t>In</w:t>
            </w:r>
            <w:r w:rsidR="00185201" w:rsidRPr="0071782F">
              <w:rPr>
                <w:sz w:val="18"/>
                <w:lang w:val="fr-CH"/>
              </w:rPr>
              <w:t>itiation</w:t>
            </w:r>
          </w:p>
        </w:tc>
        <w:tc>
          <w:tcPr>
            <w:tcW w:w="1578" w:type="dxa"/>
            <w:tcBorders>
              <w:top w:val="single" w:sz="12" w:space="0" w:color="auto"/>
            </w:tcBorders>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3 835 305</w:t>
            </w:r>
            <w:r w:rsidR="00FF5E93" w:rsidRPr="0071782F">
              <w:rPr>
                <w:sz w:val="18"/>
                <w:lang w:val="fr-CH"/>
              </w:rPr>
              <w:br/>
            </w:r>
            <w:r w:rsidRPr="0071782F">
              <w:rPr>
                <w:sz w:val="18"/>
                <w:lang w:val="fr-CH"/>
              </w:rPr>
              <w:t>86</w:t>
            </w:r>
            <w:r w:rsidR="003B1403" w:rsidRPr="0071782F">
              <w:rPr>
                <w:sz w:val="18"/>
                <w:lang w:val="fr-CH"/>
              </w:rPr>
              <w:t>,</w:t>
            </w:r>
            <w:r w:rsidRPr="0071782F">
              <w:rPr>
                <w:sz w:val="18"/>
                <w:lang w:val="fr-CH"/>
              </w:rPr>
              <w:t>8</w:t>
            </w:r>
          </w:p>
        </w:tc>
        <w:tc>
          <w:tcPr>
            <w:tcW w:w="1777" w:type="dxa"/>
            <w:tcBorders>
              <w:top w:val="single" w:sz="12" w:space="0" w:color="auto"/>
              <w:right w:val="nil"/>
            </w:tcBorders>
            <w:shd w:val="clear" w:color="000000" w:fill="auto"/>
          </w:tcPr>
          <w:p w:rsidR="00186B76" w:rsidRPr="0071782F" w:rsidRDefault="00186B76" w:rsidP="002847E7">
            <w:pPr>
              <w:suppressAutoHyphens w:val="0"/>
              <w:spacing w:before="40" w:after="40" w:line="220" w:lineRule="exact"/>
              <w:ind w:right="113"/>
              <w:jc w:val="right"/>
              <w:rPr>
                <w:sz w:val="18"/>
                <w:lang w:val="fr-CH"/>
              </w:rPr>
            </w:pPr>
            <w:r w:rsidRPr="0071782F">
              <w:rPr>
                <w:sz w:val="18"/>
                <w:lang w:val="fr-CH"/>
              </w:rPr>
              <w:t>3 045 632</w:t>
            </w:r>
            <w:r w:rsidR="00FF5E93" w:rsidRPr="0071782F">
              <w:rPr>
                <w:sz w:val="18"/>
                <w:lang w:val="fr-CH"/>
              </w:rPr>
              <w:br/>
            </w:r>
            <w:r w:rsidRPr="0071782F">
              <w:rPr>
                <w:sz w:val="18"/>
                <w:lang w:val="fr-CH"/>
              </w:rPr>
              <w:t>79</w:t>
            </w:r>
            <w:r w:rsidR="003B1403" w:rsidRPr="0071782F">
              <w:rPr>
                <w:sz w:val="18"/>
                <w:lang w:val="fr-CH"/>
              </w:rPr>
              <w:t>,</w:t>
            </w:r>
            <w:r w:rsidRPr="0071782F">
              <w:rPr>
                <w:sz w:val="18"/>
                <w:lang w:val="fr-CH"/>
              </w:rPr>
              <w:t>4</w:t>
            </w:r>
          </w:p>
        </w:tc>
        <w:tc>
          <w:tcPr>
            <w:tcW w:w="1036" w:type="dxa"/>
            <w:tcBorders>
              <w:top w:val="single" w:sz="12" w:space="0" w:color="auto"/>
              <w:left w:val="nil"/>
            </w:tcBorders>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79</w:t>
            </w:r>
          </w:p>
        </w:tc>
        <w:tc>
          <w:tcPr>
            <w:tcW w:w="910" w:type="dxa"/>
            <w:tcBorders>
              <w:top w:val="single" w:sz="12" w:space="0" w:color="auto"/>
            </w:tcBorders>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88</w:t>
            </w:r>
            <w:r w:rsidR="003B1403" w:rsidRPr="0071782F">
              <w:rPr>
                <w:sz w:val="18"/>
                <w:lang w:val="fr-CH"/>
              </w:rPr>
              <w:t>,</w:t>
            </w:r>
            <w:r w:rsidRPr="0071782F">
              <w:rPr>
                <w:sz w:val="18"/>
                <w:lang w:val="fr-CH"/>
              </w:rPr>
              <w:t>3</w:t>
            </w:r>
          </w:p>
        </w:tc>
        <w:tc>
          <w:tcPr>
            <w:tcW w:w="651" w:type="dxa"/>
            <w:tcBorders>
              <w:top w:val="single" w:sz="12" w:space="0" w:color="auto"/>
            </w:tcBorders>
            <w:shd w:val="clear" w:color="000000" w:fill="auto"/>
          </w:tcPr>
          <w:p w:rsidR="00186B76" w:rsidRPr="0071782F" w:rsidRDefault="00186B76" w:rsidP="003B1403">
            <w:pPr>
              <w:suppressAutoHyphens w:val="0"/>
              <w:spacing w:before="40" w:after="40" w:line="220" w:lineRule="exact"/>
              <w:jc w:val="right"/>
              <w:rPr>
                <w:b/>
                <w:sz w:val="18"/>
                <w:lang w:val="fr-CH"/>
              </w:rPr>
            </w:pPr>
            <w:r w:rsidRPr="0071782F">
              <w:rPr>
                <w:b/>
                <w:sz w:val="18"/>
                <w:lang w:val="fr-CH"/>
              </w:rPr>
              <w:t>79</w:t>
            </w:r>
            <w:r w:rsidR="003B1403" w:rsidRPr="0071782F">
              <w:rPr>
                <w:b/>
                <w:sz w:val="18"/>
                <w:lang w:val="fr-CH"/>
              </w:rPr>
              <w:t>,</w:t>
            </w:r>
            <w:r w:rsidRPr="0071782F">
              <w:rPr>
                <w:b/>
                <w:sz w:val="18"/>
                <w:lang w:val="fr-CH"/>
              </w:rPr>
              <w:t>4</w:t>
            </w:r>
          </w:p>
        </w:tc>
      </w:tr>
      <w:tr w:rsidR="00186B76" w:rsidRPr="0071782F">
        <w:tc>
          <w:tcPr>
            <w:tcW w:w="1418" w:type="dxa"/>
            <w:shd w:val="clear" w:color="000000" w:fill="auto"/>
          </w:tcPr>
          <w:p w:rsidR="00186B76" w:rsidRPr="0071782F" w:rsidRDefault="00186B76" w:rsidP="003B1403">
            <w:pPr>
              <w:suppressAutoHyphens w:val="0"/>
              <w:spacing w:before="40" w:after="40" w:line="220" w:lineRule="exact"/>
              <w:rPr>
                <w:sz w:val="18"/>
                <w:lang w:val="fr-CH"/>
              </w:rPr>
            </w:pPr>
            <w:r w:rsidRPr="0071782F">
              <w:rPr>
                <w:sz w:val="18"/>
                <w:lang w:val="fr-CH"/>
              </w:rPr>
              <w:t>Compl</w:t>
            </w:r>
            <w:r w:rsidR="00185201" w:rsidRPr="0071782F">
              <w:rPr>
                <w:sz w:val="18"/>
                <w:lang w:val="fr-CH"/>
              </w:rPr>
              <w:t>é</w:t>
            </w:r>
            <w:r w:rsidRPr="0071782F">
              <w:rPr>
                <w:sz w:val="18"/>
                <w:lang w:val="fr-CH"/>
              </w:rPr>
              <w:t>menta</w:t>
            </w:r>
            <w:r w:rsidR="00185201" w:rsidRPr="0071782F">
              <w:rPr>
                <w:sz w:val="18"/>
                <w:lang w:val="fr-CH"/>
              </w:rPr>
              <w:t>ire</w:t>
            </w:r>
          </w:p>
        </w:tc>
        <w:tc>
          <w:tcPr>
            <w:tcW w:w="1578" w:type="dxa"/>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2 405 436</w:t>
            </w:r>
            <w:r w:rsidR="00FF5E93" w:rsidRPr="0071782F">
              <w:rPr>
                <w:sz w:val="18"/>
                <w:lang w:val="fr-CH"/>
              </w:rPr>
              <w:br/>
            </w:r>
            <w:r w:rsidRPr="0071782F">
              <w:rPr>
                <w:sz w:val="18"/>
                <w:lang w:val="fr-CH"/>
              </w:rPr>
              <w:t>86</w:t>
            </w:r>
            <w:r w:rsidR="003B1403" w:rsidRPr="0071782F">
              <w:rPr>
                <w:sz w:val="18"/>
                <w:lang w:val="fr-CH"/>
              </w:rPr>
              <w:t>,</w:t>
            </w:r>
            <w:r w:rsidRPr="0071782F">
              <w:rPr>
                <w:sz w:val="18"/>
                <w:lang w:val="fr-CH"/>
              </w:rPr>
              <w:t>9</w:t>
            </w:r>
          </w:p>
        </w:tc>
        <w:tc>
          <w:tcPr>
            <w:tcW w:w="1777" w:type="dxa"/>
            <w:tcBorders>
              <w:right w:val="nil"/>
            </w:tcBorders>
            <w:shd w:val="clear" w:color="000000" w:fill="auto"/>
          </w:tcPr>
          <w:p w:rsidR="00186B76" w:rsidRPr="0071782F" w:rsidRDefault="00186B76" w:rsidP="002847E7">
            <w:pPr>
              <w:suppressAutoHyphens w:val="0"/>
              <w:spacing w:before="40" w:after="40" w:line="220" w:lineRule="exact"/>
              <w:ind w:right="113"/>
              <w:jc w:val="right"/>
              <w:rPr>
                <w:sz w:val="18"/>
                <w:lang w:val="fr-CH"/>
              </w:rPr>
            </w:pPr>
            <w:r w:rsidRPr="0071782F">
              <w:rPr>
                <w:sz w:val="18"/>
                <w:lang w:val="fr-CH"/>
              </w:rPr>
              <w:t>1 988 363</w:t>
            </w:r>
            <w:r w:rsidR="00FF5E93" w:rsidRPr="0071782F">
              <w:rPr>
                <w:sz w:val="18"/>
                <w:lang w:val="fr-CH"/>
              </w:rPr>
              <w:br/>
            </w:r>
            <w:r w:rsidRPr="0071782F">
              <w:rPr>
                <w:sz w:val="18"/>
                <w:lang w:val="fr-CH"/>
              </w:rPr>
              <w:t>82</w:t>
            </w:r>
            <w:r w:rsidR="003B1403" w:rsidRPr="0071782F">
              <w:rPr>
                <w:sz w:val="18"/>
                <w:lang w:val="fr-CH"/>
              </w:rPr>
              <w:t>,</w:t>
            </w:r>
            <w:r w:rsidRPr="0071782F">
              <w:rPr>
                <w:sz w:val="18"/>
                <w:lang w:val="fr-CH"/>
              </w:rPr>
              <w:t>7</w:t>
            </w:r>
          </w:p>
        </w:tc>
        <w:tc>
          <w:tcPr>
            <w:tcW w:w="1036" w:type="dxa"/>
            <w:tcBorders>
              <w:left w:val="nil"/>
            </w:tcBorders>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82</w:t>
            </w:r>
            <w:r w:rsidR="003B1403" w:rsidRPr="0071782F">
              <w:rPr>
                <w:sz w:val="18"/>
                <w:lang w:val="fr-CH"/>
              </w:rPr>
              <w:t>,</w:t>
            </w:r>
            <w:r w:rsidRPr="0071782F">
              <w:rPr>
                <w:sz w:val="18"/>
                <w:lang w:val="fr-CH"/>
              </w:rPr>
              <w:t>5</w:t>
            </w:r>
          </w:p>
        </w:tc>
        <w:tc>
          <w:tcPr>
            <w:tcW w:w="910" w:type="dxa"/>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83</w:t>
            </w:r>
            <w:r w:rsidR="003B1403" w:rsidRPr="0071782F">
              <w:rPr>
                <w:sz w:val="18"/>
                <w:lang w:val="fr-CH"/>
              </w:rPr>
              <w:t>,</w:t>
            </w:r>
            <w:r w:rsidRPr="0071782F">
              <w:rPr>
                <w:sz w:val="18"/>
                <w:lang w:val="fr-CH"/>
              </w:rPr>
              <w:t>5</w:t>
            </w:r>
          </w:p>
        </w:tc>
        <w:tc>
          <w:tcPr>
            <w:tcW w:w="651" w:type="dxa"/>
            <w:shd w:val="clear" w:color="000000" w:fill="auto"/>
          </w:tcPr>
          <w:p w:rsidR="00186B76" w:rsidRPr="0071782F" w:rsidRDefault="00186B76" w:rsidP="003B1403">
            <w:pPr>
              <w:suppressAutoHyphens w:val="0"/>
              <w:spacing w:before="40" w:after="40" w:line="220" w:lineRule="exact"/>
              <w:jc w:val="right"/>
              <w:rPr>
                <w:b/>
                <w:sz w:val="18"/>
                <w:lang w:val="fr-CH"/>
              </w:rPr>
            </w:pPr>
            <w:r w:rsidRPr="0071782F">
              <w:rPr>
                <w:b/>
                <w:sz w:val="18"/>
                <w:lang w:val="fr-CH"/>
              </w:rPr>
              <w:t>82</w:t>
            </w:r>
            <w:r w:rsidR="003B1403" w:rsidRPr="0071782F">
              <w:rPr>
                <w:b/>
                <w:sz w:val="18"/>
                <w:lang w:val="fr-CH"/>
              </w:rPr>
              <w:t>,</w:t>
            </w:r>
            <w:r w:rsidRPr="0071782F">
              <w:rPr>
                <w:b/>
                <w:sz w:val="18"/>
                <w:lang w:val="fr-CH"/>
              </w:rPr>
              <w:t>7</w:t>
            </w:r>
          </w:p>
        </w:tc>
      </w:tr>
      <w:tr w:rsidR="00186B76" w:rsidRPr="0071782F">
        <w:tc>
          <w:tcPr>
            <w:tcW w:w="1418" w:type="dxa"/>
            <w:shd w:val="clear" w:color="000000" w:fill="auto"/>
          </w:tcPr>
          <w:p w:rsidR="00186B76" w:rsidRPr="0071782F" w:rsidRDefault="00185201" w:rsidP="003B1403">
            <w:pPr>
              <w:suppressAutoHyphens w:val="0"/>
              <w:spacing w:before="40" w:after="40" w:line="220" w:lineRule="exact"/>
              <w:rPr>
                <w:sz w:val="18"/>
                <w:lang w:val="fr-CH"/>
              </w:rPr>
            </w:pPr>
            <w:r w:rsidRPr="0071782F">
              <w:rPr>
                <w:sz w:val="18"/>
                <w:lang w:val="fr-CH"/>
              </w:rPr>
              <w:t>Perfectionnement</w:t>
            </w:r>
          </w:p>
        </w:tc>
        <w:tc>
          <w:tcPr>
            <w:tcW w:w="1578" w:type="dxa"/>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1 346 323</w:t>
            </w:r>
            <w:r w:rsidR="00FF5E93" w:rsidRPr="0071782F">
              <w:rPr>
                <w:sz w:val="18"/>
                <w:lang w:val="fr-CH"/>
              </w:rPr>
              <w:br/>
            </w:r>
            <w:r w:rsidRPr="0071782F">
              <w:rPr>
                <w:sz w:val="18"/>
                <w:lang w:val="fr-CH"/>
              </w:rPr>
              <w:t>86</w:t>
            </w:r>
            <w:r w:rsidR="003B1403" w:rsidRPr="0071782F">
              <w:rPr>
                <w:sz w:val="18"/>
                <w:lang w:val="fr-CH"/>
              </w:rPr>
              <w:t>,</w:t>
            </w:r>
            <w:r w:rsidRPr="0071782F">
              <w:rPr>
                <w:sz w:val="18"/>
                <w:lang w:val="fr-CH"/>
              </w:rPr>
              <w:t>9</w:t>
            </w:r>
          </w:p>
        </w:tc>
        <w:tc>
          <w:tcPr>
            <w:tcW w:w="1777" w:type="dxa"/>
            <w:tcBorders>
              <w:right w:val="nil"/>
            </w:tcBorders>
            <w:shd w:val="clear" w:color="000000" w:fill="auto"/>
          </w:tcPr>
          <w:p w:rsidR="00186B76" w:rsidRPr="0071782F" w:rsidRDefault="00186B76" w:rsidP="002847E7">
            <w:pPr>
              <w:suppressAutoHyphens w:val="0"/>
              <w:spacing w:before="40" w:after="40" w:line="220" w:lineRule="exact"/>
              <w:ind w:right="113"/>
              <w:jc w:val="right"/>
              <w:rPr>
                <w:sz w:val="18"/>
                <w:lang w:val="fr-CH"/>
              </w:rPr>
            </w:pPr>
            <w:r w:rsidRPr="0071782F">
              <w:rPr>
                <w:sz w:val="18"/>
                <w:lang w:val="fr-CH"/>
              </w:rPr>
              <w:t>1 151 099</w:t>
            </w:r>
            <w:r w:rsidR="00FF5E93" w:rsidRPr="0071782F">
              <w:rPr>
                <w:sz w:val="18"/>
                <w:lang w:val="fr-CH"/>
              </w:rPr>
              <w:br/>
            </w:r>
            <w:r w:rsidRPr="0071782F">
              <w:rPr>
                <w:sz w:val="18"/>
                <w:lang w:val="fr-CH"/>
              </w:rPr>
              <w:t>85</w:t>
            </w:r>
            <w:r w:rsidR="003B1403" w:rsidRPr="0071782F">
              <w:rPr>
                <w:sz w:val="18"/>
                <w:lang w:val="fr-CH"/>
              </w:rPr>
              <w:t>,</w:t>
            </w:r>
            <w:r w:rsidRPr="0071782F">
              <w:rPr>
                <w:sz w:val="18"/>
                <w:lang w:val="fr-CH"/>
              </w:rPr>
              <w:t>5</w:t>
            </w:r>
          </w:p>
        </w:tc>
        <w:tc>
          <w:tcPr>
            <w:tcW w:w="1036" w:type="dxa"/>
            <w:tcBorders>
              <w:left w:val="nil"/>
            </w:tcBorders>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86</w:t>
            </w:r>
          </w:p>
        </w:tc>
        <w:tc>
          <w:tcPr>
            <w:tcW w:w="910" w:type="dxa"/>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82</w:t>
            </w:r>
            <w:r w:rsidR="003B1403" w:rsidRPr="0071782F">
              <w:rPr>
                <w:sz w:val="18"/>
                <w:lang w:val="fr-CH"/>
              </w:rPr>
              <w:t>,</w:t>
            </w:r>
            <w:r w:rsidRPr="0071782F">
              <w:rPr>
                <w:sz w:val="18"/>
                <w:lang w:val="fr-CH"/>
              </w:rPr>
              <w:t>3</w:t>
            </w:r>
          </w:p>
        </w:tc>
        <w:tc>
          <w:tcPr>
            <w:tcW w:w="651" w:type="dxa"/>
            <w:shd w:val="clear" w:color="000000" w:fill="auto"/>
          </w:tcPr>
          <w:p w:rsidR="00186B76" w:rsidRPr="0071782F" w:rsidRDefault="00186B76" w:rsidP="003B1403">
            <w:pPr>
              <w:suppressAutoHyphens w:val="0"/>
              <w:spacing w:before="40" w:after="40" w:line="220" w:lineRule="exact"/>
              <w:jc w:val="right"/>
              <w:rPr>
                <w:b/>
                <w:sz w:val="18"/>
                <w:lang w:val="fr-CH"/>
              </w:rPr>
            </w:pPr>
            <w:r w:rsidRPr="0071782F">
              <w:rPr>
                <w:b/>
                <w:sz w:val="18"/>
                <w:lang w:val="fr-CH"/>
              </w:rPr>
              <w:t>85</w:t>
            </w:r>
            <w:r w:rsidR="003B1403" w:rsidRPr="0071782F">
              <w:rPr>
                <w:b/>
                <w:sz w:val="18"/>
                <w:lang w:val="fr-CH"/>
              </w:rPr>
              <w:t>,</w:t>
            </w:r>
            <w:r w:rsidRPr="0071782F">
              <w:rPr>
                <w:b/>
                <w:sz w:val="18"/>
                <w:lang w:val="fr-CH"/>
              </w:rPr>
              <w:t>5</w:t>
            </w:r>
          </w:p>
        </w:tc>
      </w:tr>
      <w:tr w:rsidR="00186B76" w:rsidRPr="0071782F">
        <w:tc>
          <w:tcPr>
            <w:tcW w:w="1418" w:type="dxa"/>
            <w:shd w:val="clear" w:color="000000" w:fill="auto"/>
          </w:tcPr>
          <w:p w:rsidR="00186B76" w:rsidRPr="0071782F" w:rsidRDefault="00186B76" w:rsidP="003B1403">
            <w:pPr>
              <w:suppressAutoHyphens w:val="0"/>
              <w:spacing w:before="40" w:after="40" w:line="220" w:lineRule="exact"/>
              <w:rPr>
                <w:sz w:val="18"/>
                <w:lang w:val="fr-CH"/>
              </w:rPr>
            </w:pPr>
            <w:r w:rsidRPr="0071782F">
              <w:rPr>
                <w:sz w:val="18"/>
                <w:lang w:val="fr-CH"/>
              </w:rPr>
              <w:t>5</w:t>
            </w:r>
            <w:r w:rsidR="00185201" w:rsidRPr="008D446F">
              <w:rPr>
                <w:sz w:val="18"/>
                <w:vertAlign w:val="superscript"/>
                <w:lang w:val="fr-CH"/>
              </w:rPr>
              <w:t>e</w:t>
            </w:r>
            <w:r w:rsidR="003B1403" w:rsidRPr="0071782F">
              <w:rPr>
                <w:sz w:val="18"/>
                <w:lang w:val="fr-CH"/>
              </w:rPr>
              <w:t> </w:t>
            </w:r>
            <w:r w:rsidR="00185201" w:rsidRPr="0071782F">
              <w:rPr>
                <w:sz w:val="18"/>
                <w:lang w:val="fr-CH"/>
              </w:rPr>
              <w:t>année</w:t>
            </w:r>
          </w:p>
        </w:tc>
        <w:tc>
          <w:tcPr>
            <w:tcW w:w="1578" w:type="dxa"/>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803 207</w:t>
            </w:r>
            <w:r w:rsidR="00FF5E93" w:rsidRPr="0071782F">
              <w:rPr>
                <w:sz w:val="18"/>
                <w:lang w:val="fr-CH"/>
              </w:rPr>
              <w:br/>
            </w:r>
            <w:r w:rsidRPr="0071782F">
              <w:rPr>
                <w:sz w:val="18"/>
                <w:lang w:val="fr-CH"/>
              </w:rPr>
              <w:t>89</w:t>
            </w:r>
            <w:r w:rsidR="003B1403" w:rsidRPr="0071782F">
              <w:rPr>
                <w:sz w:val="18"/>
                <w:lang w:val="fr-CH"/>
              </w:rPr>
              <w:t>,</w:t>
            </w:r>
            <w:r w:rsidRPr="0071782F">
              <w:rPr>
                <w:sz w:val="18"/>
                <w:lang w:val="fr-CH"/>
              </w:rPr>
              <w:t>4</w:t>
            </w:r>
          </w:p>
        </w:tc>
        <w:tc>
          <w:tcPr>
            <w:tcW w:w="1777" w:type="dxa"/>
            <w:tcBorders>
              <w:bottom w:val="single" w:sz="12" w:space="0" w:color="auto"/>
              <w:right w:val="nil"/>
            </w:tcBorders>
            <w:shd w:val="clear" w:color="000000" w:fill="auto"/>
          </w:tcPr>
          <w:p w:rsidR="00186B76" w:rsidRPr="0071782F" w:rsidRDefault="00186B76" w:rsidP="002847E7">
            <w:pPr>
              <w:suppressAutoHyphens w:val="0"/>
              <w:spacing w:before="40" w:after="40" w:line="220" w:lineRule="exact"/>
              <w:ind w:right="113"/>
              <w:jc w:val="right"/>
              <w:rPr>
                <w:sz w:val="18"/>
                <w:lang w:val="fr-CH"/>
              </w:rPr>
            </w:pPr>
            <w:r w:rsidRPr="0071782F">
              <w:rPr>
                <w:sz w:val="18"/>
                <w:lang w:val="fr-CH"/>
              </w:rPr>
              <w:t>737 647</w:t>
            </w:r>
            <w:r w:rsidR="00FF5E93" w:rsidRPr="0071782F">
              <w:rPr>
                <w:sz w:val="18"/>
                <w:lang w:val="fr-CH"/>
              </w:rPr>
              <w:br/>
            </w:r>
            <w:r w:rsidRPr="0071782F">
              <w:rPr>
                <w:sz w:val="18"/>
                <w:lang w:val="fr-CH"/>
              </w:rPr>
              <w:t>91</w:t>
            </w:r>
            <w:r w:rsidR="003B1403" w:rsidRPr="0071782F">
              <w:rPr>
                <w:sz w:val="18"/>
                <w:lang w:val="fr-CH"/>
              </w:rPr>
              <w:t>,</w:t>
            </w:r>
            <w:r w:rsidRPr="0071782F">
              <w:rPr>
                <w:sz w:val="18"/>
                <w:lang w:val="fr-CH"/>
              </w:rPr>
              <w:t>8</w:t>
            </w:r>
          </w:p>
        </w:tc>
        <w:tc>
          <w:tcPr>
            <w:tcW w:w="1036" w:type="dxa"/>
            <w:tcBorders>
              <w:left w:val="nil"/>
              <w:bottom w:val="single" w:sz="12" w:space="0" w:color="auto"/>
            </w:tcBorders>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92</w:t>
            </w:r>
            <w:r w:rsidR="003B1403" w:rsidRPr="0071782F">
              <w:rPr>
                <w:sz w:val="18"/>
                <w:lang w:val="fr-CH"/>
              </w:rPr>
              <w:t>,</w:t>
            </w:r>
            <w:r w:rsidRPr="0071782F">
              <w:rPr>
                <w:sz w:val="18"/>
                <w:lang w:val="fr-CH"/>
              </w:rPr>
              <w:t>3</w:t>
            </w:r>
          </w:p>
        </w:tc>
        <w:tc>
          <w:tcPr>
            <w:tcW w:w="910" w:type="dxa"/>
            <w:shd w:val="clear" w:color="000000" w:fill="auto"/>
          </w:tcPr>
          <w:p w:rsidR="00186B76" w:rsidRPr="0071782F" w:rsidRDefault="00186B76" w:rsidP="003B1403">
            <w:pPr>
              <w:suppressAutoHyphens w:val="0"/>
              <w:spacing w:before="40" w:after="40" w:line="220" w:lineRule="exact"/>
              <w:jc w:val="right"/>
              <w:rPr>
                <w:sz w:val="18"/>
                <w:lang w:val="fr-CH"/>
              </w:rPr>
            </w:pPr>
            <w:r w:rsidRPr="0071782F">
              <w:rPr>
                <w:sz w:val="18"/>
                <w:lang w:val="fr-CH"/>
              </w:rPr>
              <w:t>88</w:t>
            </w:r>
            <w:r w:rsidR="003B1403" w:rsidRPr="0071782F">
              <w:rPr>
                <w:sz w:val="18"/>
                <w:lang w:val="fr-CH"/>
              </w:rPr>
              <w:t>,</w:t>
            </w:r>
            <w:r w:rsidRPr="0071782F">
              <w:rPr>
                <w:sz w:val="18"/>
                <w:lang w:val="fr-CH"/>
              </w:rPr>
              <w:t>3</w:t>
            </w:r>
          </w:p>
        </w:tc>
        <w:tc>
          <w:tcPr>
            <w:tcW w:w="651" w:type="dxa"/>
            <w:shd w:val="clear" w:color="000000" w:fill="auto"/>
          </w:tcPr>
          <w:p w:rsidR="00186B76" w:rsidRPr="0071782F" w:rsidRDefault="00186B76" w:rsidP="003B1403">
            <w:pPr>
              <w:suppressAutoHyphens w:val="0"/>
              <w:spacing w:before="40" w:after="40" w:line="220" w:lineRule="exact"/>
              <w:jc w:val="right"/>
              <w:rPr>
                <w:b/>
                <w:sz w:val="18"/>
                <w:lang w:val="fr-CH"/>
              </w:rPr>
            </w:pPr>
            <w:r w:rsidRPr="0071782F">
              <w:rPr>
                <w:b/>
                <w:sz w:val="18"/>
                <w:lang w:val="fr-CH"/>
              </w:rPr>
              <w:t>91</w:t>
            </w:r>
            <w:r w:rsidR="003B1403" w:rsidRPr="0071782F">
              <w:rPr>
                <w:b/>
                <w:sz w:val="18"/>
                <w:lang w:val="fr-CH"/>
              </w:rPr>
              <w:t>,</w:t>
            </w:r>
            <w:r w:rsidRPr="0071782F">
              <w:rPr>
                <w:b/>
                <w:sz w:val="18"/>
                <w:lang w:val="fr-CH"/>
              </w:rPr>
              <w:t>8</w:t>
            </w:r>
          </w:p>
        </w:tc>
      </w:tr>
    </w:tbl>
    <w:p w:rsidR="00186B76" w:rsidRPr="0071782F" w:rsidRDefault="00186B76" w:rsidP="00F21B05">
      <w:pPr>
        <w:pStyle w:val="SingleTxtG"/>
        <w:spacing w:before="240"/>
        <w:rPr>
          <w:lang w:val="fr-CH"/>
        </w:rPr>
      </w:pPr>
      <w:r w:rsidRPr="0071782F">
        <w:rPr>
          <w:lang w:val="fr-CH"/>
        </w:rPr>
        <w:t>393.</w:t>
      </w:r>
      <w:r w:rsidRPr="0071782F">
        <w:rPr>
          <w:lang w:val="fr-CH"/>
        </w:rPr>
        <w:tab/>
      </w:r>
      <w:r w:rsidR="004F22ED" w:rsidRPr="0071782F">
        <w:rPr>
          <w:lang w:val="fr-CH"/>
        </w:rPr>
        <w:t xml:space="preserve">En sus des cours d’alphabétisation dispensés dans des salles de classes et d’autres lieux d’enseignement, on a créé </w:t>
      </w:r>
      <w:r w:rsidRPr="0071782F">
        <w:rPr>
          <w:lang w:val="fr-CH"/>
        </w:rPr>
        <w:t>3</w:t>
      </w:r>
      <w:r w:rsidR="008D446F">
        <w:rPr>
          <w:lang w:val="fr-CH"/>
        </w:rPr>
        <w:t> </w:t>
      </w:r>
      <w:r w:rsidRPr="0071782F">
        <w:rPr>
          <w:lang w:val="fr-CH"/>
        </w:rPr>
        <w:t xml:space="preserve">517 </w:t>
      </w:r>
      <w:r w:rsidR="004F22ED" w:rsidRPr="0071782F">
        <w:rPr>
          <w:lang w:val="fr-CH"/>
        </w:rPr>
        <w:t>centres d’apprentissage locaux</w:t>
      </w:r>
      <w:r w:rsidRPr="0071782F">
        <w:rPr>
          <w:rStyle w:val="FootnoteReference"/>
          <w:lang w:val="fr-CH"/>
        </w:rPr>
        <w:footnoteReference w:id="8"/>
      </w:r>
      <w:r w:rsidRPr="0071782F">
        <w:rPr>
          <w:lang w:val="fr-CH"/>
        </w:rPr>
        <w:t xml:space="preserve"> </w:t>
      </w:r>
      <w:r w:rsidR="004F22ED" w:rsidRPr="0071782F">
        <w:rPr>
          <w:lang w:val="fr-CH"/>
        </w:rPr>
        <w:t xml:space="preserve">à travers </w:t>
      </w:r>
      <w:r w:rsidR="009759EC" w:rsidRPr="0071782F">
        <w:rPr>
          <w:lang w:val="fr-CH"/>
        </w:rPr>
        <w:t xml:space="preserve">tout </w:t>
      </w:r>
      <w:r w:rsidR="004F22ED" w:rsidRPr="0071782F">
        <w:rPr>
          <w:lang w:val="fr-CH"/>
        </w:rPr>
        <w:t xml:space="preserve">le pays à des fins d’alphabétisation. </w:t>
      </w:r>
      <w:r w:rsidR="00AE0D7C" w:rsidRPr="0071782F">
        <w:rPr>
          <w:lang w:val="fr-CH"/>
        </w:rPr>
        <w:t>Des</w:t>
      </w:r>
      <w:r w:rsidR="004F22ED" w:rsidRPr="0071782F">
        <w:rPr>
          <w:lang w:val="fr-CH"/>
        </w:rPr>
        <w:t xml:space="preserve"> centres </w:t>
      </w:r>
      <w:r w:rsidR="00AE0D7C" w:rsidRPr="0071782F">
        <w:rPr>
          <w:lang w:val="fr-CH"/>
        </w:rPr>
        <w:t>de ce type ont été</w:t>
      </w:r>
      <w:r w:rsidR="008D446F">
        <w:rPr>
          <w:lang w:val="fr-CH"/>
        </w:rPr>
        <w:t xml:space="preserve"> créés pour la première fois en </w:t>
      </w:r>
      <w:r w:rsidRPr="0071782F">
        <w:rPr>
          <w:lang w:val="fr-CH"/>
        </w:rPr>
        <w:t xml:space="preserve">2000 </w:t>
      </w:r>
      <w:r w:rsidR="00AE0D7C" w:rsidRPr="0071782F">
        <w:rPr>
          <w:lang w:val="fr-CH"/>
        </w:rPr>
        <w:t>e</w:t>
      </w:r>
      <w:r w:rsidRPr="0071782F">
        <w:rPr>
          <w:lang w:val="fr-CH"/>
        </w:rPr>
        <w:t>n coop</w:t>
      </w:r>
      <w:r w:rsidR="00AE0D7C" w:rsidRPr="0071782F">
        <w:rPr>
          <w:lang w:val="fr-CH"/>
        </w:rPr>
        <w:t>é</w:t>
      </w:r>
      <w:r w:rsidRPr="0071782F">
        <w:rPr>
          <w:lang w:val="fr-CH"/>
        </w:rPr>
        <w:t xml:space="preserve">ration </w:t>
      </w:r>
      <w:r w:rsidR="00AE0D7C" w:rsidRPr="0071782F">
        <w:rPr>
          <w:lang w:val="fr-CH"/>
        </w:rPr>
        <w:t xml:space="preserve">avec le Bureau de l’Asie et du Pacifique de l’Organisation des Nations Unies pour l’éducation, la science et la culture </w:t>
      </w:r>
      <w:r w:rsidRPr="0071782F">
        <w:rPr>
          <w:lang w:val="fr-CH"/>
        </w:rPr>
        <w:t xml:space="preserve">(UNESCO) </w:t>
      </w:r>
      <w:r w:rsidR="00AE0D7C" w:rsidRPr="0071782F">
        <w:rPr>
          <w:lang w:val="fr-CH"/>
        </w:rPr>
        <w:t xml:space="preserve">dans les deux </w:t>
      </w:r>
      <w:r w:rsidRPr="0071782F">
        <w:rPr>
          <w:lang w:val="fr-CH"/>
        </w:rPr>
        <w:t xml:space="preserve">provinces </w:t>
      </w:r>
      <w:r w:rsidR="00AE0D7C" w:rsidRPr="0071782F">
        <w:rPr>
          <w:lang w:val="fr-CH"/>
        </w:rPr>
        <w:t>de</w:t>
      </w:r>
      <w:r w:rsidRPr="0071782F">
        <w:rPr>
          <w:lang w:val="fr-CH"/>
        </w:rPr>
        <w:t xml:space="preserve"> Fars </w:t>
      </w:r>
      <w:r w:rsidR="00AE0D7C" w:rsidRPr="0071782F">
        <w:rPr>
          <w:lang w:val="fr-CH"/>
        </w:rPr>
        <w:t>et d’</w:t>
      </w:r>
      <w:r w:rsidRPr="0071782F">
        <w:rPr>
          <w:lang w:val="fr-CH"/>
        </w:rPr>
        <w:t xml:space="preserve">Ilam. </w:t>
      </w:r>
      <w:r w:rsidR="00AE0D7C" w:rsidRPr="0071782F">
        <w:rPr>
          <w:lang w:val="fr-CH"/>
        </w:rPr>
        <w:t>E</w:t>
      </w:r>
      <w:r w:rsidRPr="0071782F">
        <w:rPr>
          <w:lang w:val="fr-CH"/>
        </w:rPr>
        <w:t xml:space="preserve">n 2001, </w:t>
      </w:r>
      <w:r w:rsidR="00AE0D7C" w:rsidRPr="0071782F">
        <w:rPr>
          <w:lang w:val="fr-CH"/>
        </w:rPr>
        <w:t xml:space="preserve">on en a ouvert dans toutes les </w:t>
      </w:r>
      <w:r w:rsidRPr="0071782F">
        <w:rPr>
          <w:lang w:val="fr-CH"/>
        </w:rPr>
        <w:t xml:space="preserve">provinces. </w:t>
      </w:r>
      <w:r w:rsidR="00AE0D7C" w:rsidRPr="0071782F">
        <w:rPr>
          <w:lang w:val="fr-CH"/>
        </w:rPr>
        <w:t>E</w:t>
      </w:r>
      <w:r w:rsidRPr="0071782F">
        <w:rPr>
          <w:lang w:val="fr-CH"/>
        </w:rPr>
        <w:t>n 2001</w:t>
      </w:r>
      <w:r w:rsidR="00AE0D7C" w:rsidRPr="0071782F">
        <w:rPr>
          <w:lang w:val="fr-CH"/>
        </w:rPr>
        <w:t>-</w:t>
      </w:r>
      <w:r w:rsidRPr="0071782F">
        <w:rPr>
          <w:lang w:val="fr-CH"/>
        </w:rPr>
        <w:t xml:space="preserve">2002, </w:t>
      </w:r>
      <w:r w:rsidR="00AE0D7C" w:rsidRPr="0071782F">
        <w:rPr>
          <w:lang w:val="fr-CH"/>
        </w:rPr>
        <w:t xml:space="preserve">il y en avait </w:t>
      </w:r>
      <w:r w:rsidRPr="0071782F">
        <w:rPr>
          <w:lang w:val="fr-CH"/>
        </w:rPr>
        <w:t>1</w:t>
      </w:r>
      <w:r w:rsidR="003B1403" w:rsidRPr="0071782F">
        <w:rPr>
          <w:lang w:val="fr-CH"/>
        </w:rPr>
        <w:t> </w:t>
      </w:r>
      <w:r w:rsidRPr="0071782F">
        <w:rPr>
          <w:lang w:val="fr-CH"/>
        </w:rPr>
        <w:t xml:space="preserve">567 </w:t>
      </w:r>
      <w:r w:rsidR="00AE0D7C" w:rsidRPr="0071782F">
        <w:rPr>
          <w:lang w:val="fr-CH"/>
        </w:rPr>
        <w:t xml:space="preserve">dans les zones </w:t>
      </w:r>
      <w:r w:rsidRPr="0071782F">
        <w:rPr>
          <w:lang w:val="fr-CH"/>
        </w:rPr>
        <w:t>rural</w:t>
      </w:r>
      <w:r w:rsidR="00AE0D7C" w:rsidRPr="0071782F">
        <w:rPr>
          <w:lang w:val="fr-CH"/>
        </w:rPr>
        <w:t>es et urbaines</w:t>
      </w:r>
      <w:r w:rsidRPr="0071782F">
        <w:rPr>
          <w:lang w:val="fr-CH"/>
        </w:rPr>
        <w:t>.</w:t>
      </w:r>
    </w:p>
    <w:p w:rsidR="00186B76" w:rsidRPr="0071782F" w:rsidRDefault="00186B76" w:rsidP="005F5DE8">
      <w:pPr>
        <w:pStyle w:val="SingleTxtG"/>
        <w:spacing w:after="240"/>
        <w:rPr>
          <w:lang w:val="fr-CH"/>
        </w:rPr>
      </w:pPr>
      <w:r w:rsidRPr="0071782F">
        <w:rPr>
          <w:lang w:val="fr-CH"/>
        </w:rPr>
        <w:t>394.</w:t>
      </w:r>
      <w:r w:rsidRPr="0071782F">
        <w:rPr>
          <w:lang w:val="fr-CH"/>
        </w:rPr>
        <w:tab/>
      </w:r>
      <w:r w:rsidR="009759EC" w:rsidRPr="0071782F">
        <w:rPr>
          <w:lang w:val="fr-CH"/>
        </w:rPr>
        <w:t>E</w:t>
      </w:r>
      <w:r w:rsidRPr="0071782F">
        <w:rPr>
          <w:lang w:val="fr-CH"/>
        </w:rPr>
        <w:t>n 2006, 3</w:t>
      </w:r>
      <w:r w:rsidR="008D446F">
        <w:rPr>
          <w:lang w:val="fr-CH"/>
        </w:rPr>
        <w:t> </w:t>
      </w:r>
      <w:r w:rsidRPr="0071782F">
        <w:rPr>
          <w:lang w:val="fr-CH"/>
        </w:rPr>
        <w:t xml:space="preserve">210 </w:t>
      </w:r>
      <w:r w:rsidR="009759EC" w:rsidRPr="0071782F">
        <w:rPr>
          <w:lang w:val="fr-CH"/>
        </w:rPr>
        <w:t>centres dispensaient des cours d’alphabétisation</w:t>
      </w:r>
      <w:r w:rsidRPr="0071782F">
        <w:rPr>
          <w:lang w:val="fr-CH"/>
        </w:rPr>
        <w:t xml:space="preserve">. </w:t>
      </w:r>
      <w:r w:rsidR="009759EC" w:rsidRPr="0071782F">
        <w:rPr>
          <w:lang w:val="fr-CH"/>
        </w:rPr>
        <w:t>La même année</w:t>
      </w:r>
      <w:r w:rsidRPr="0071782F">
        <w:rPr>
          <w:lang w:val="fr-CH"/>
        </w:rPr>
        <w:t>, 21</w:t>
      </w:r>
      <w:r w:rsidR="003B1403" w:rsidRPr="0071782F">
        <w:rPr>
          <w:lang w:val="fr-CH"/>
        </w:rPr>
        <w:t> </w:t>
      </w:r>
      <w:r w:rsidRPr="0071782F">
        <w:rPr>
          <w:lang w:val="fr-CH"/>
        </w:rPr>
        <w:t xml:space="preserve">212 </w:t>
      </w:r>
      <w:r w:rsidR="009759EC" w:rsidRPr="0071782F">
        <w:rPr>
          <w:lang w:val="fr-CH"/>
        </w:rPr>
        <w:t xml:space="preserve">cours ont été dispensés et </w:t>
      </w:r>
      <w:r w:rsidR="00966BE0" w:rsidRPr="0071782F">
        <w:rPr>
          <w:lang w:val="fr-CH"/>
        </w:rPr>
        <w:t>il existait 7</w:t>
      </w:r>
      <w:r w:rsidR="003B1403" w:rsidRPr="0071782F">
        <w:rPr>
          <w:lang w:val="fr-CH"/>
        </w:rPr>
        <w:t> </w:t>
      </w:r>
      <w:r w:rsidRPr="0071782F">
        <w:rPr>
          <w:lang w:val="fr-CH"/>
        </w:rPr>
        <w:t xml:space="preserve">356 </w:t>
      </w:r>
      <w:r w:rsidR="00966BE0" w:rsidRPr="0071782F">
        <w:rPr>
          <w:lang w:val="fr-CH"/>
        </w:rPr>
        <w:t xml:space="preserve">groupes de suivi de l’alphabétisation. Un certain nombre </w:t>
      </w:r>
      <w:r w:rsidR="007F37CE" w:rsidRPr="0071782F">
        <w:rPr>
          <w:lang w:val="fr-CH"/>
        </w:rPr>
        <w:t>des personnes</w:t>
      </w:r>
      <w:r w:rsidR="00966BE0" w:rsidRPr="0071782F">
        <w:rPr>
          <w:lang w:val="fr-CH"/>
        </w:rPr>
        <w:t xml:space="preserve"> suivant des cours d’alphabétisation ont également suivi une formation technique et professionnelle</w:t>
      </w:r>
      <w:r w:rsidRPr="0071782F">
        <w:rPr>
          <w:lang w:val="fr-CH"/>
        </w:rPr>
        <w:t xml:space="preserve">. </w:t>
      </w:r>
      <w:r w:rsidR="00966BE0" w:rsidRPr="0071782F">
        <w:rPr>
          <w:lang w:val="fr-CH"/>
        </w:rPr>
        <w:t>La recherche de terrain destinée à évaluer l’efficacité de ces centres par rapport à celle des programmes d’alphabétisation dispensés dans d’autres cadres a conclu que ces centres étaient très efficaces, si bien que leur développement a été inscrit au programme de l’organisation</w:t>
      </w:r>
      <w:r w:rsidRPr="0071782F">
        <w:rPr>
          <w:lang w:val="fr-CH"/>
        </w:rPr>
        <w:t>.</w:t>
      </w:r>
    </w:p>
    <w:p w:rsidR="00186B76" w:rsidRPr="0071782F" w:rsidRDefault="003B1403" w:rsidP="00782B71">
      <w:pPr>
        <w:pStyle w:val="H23G"/>
        <w:rPr>
          <w:lang w:val="fr-CH"/>
        </w:rPr>
      </w:pPr>
      <w:r w:rsidRPr="0071782F">
        <w:rPr>
          <w:lang w:val="fr-CH"/>
        </w:rPr>
        <w:tab/>
      </w:r>
      <w:r w:rsidRPr="0071782F">
        <w:rPr>
          <w:lang w:val="fr-CH"/>
        </w:rPr>
        <w:tab/>
      </w:r>
      <w:r w:rsidR="00186B76" w:rsidRPr="0071782F">
        <w:rPr>
          <w:b w:val="0"/>
          <w:lang w:val="fr-CH"/>
        </w:rPr>
        <w:t>Table</w:t>
      </w:r>
      <w:r w:rsidR="00966BE0" w:rsidRPr="0071782F">
        <w:rPr>
          <w:b w:val="0"/>
          <w:lang w:val="fr-CH"/>
        </w:rPr>
        <w:t>au</w:t>
      </w:r>
      <w:r w:rsidR="00186B76" w:rsidRPr="0071782F">
        <w:rPr>
          <w:b w:val="0"/>
          <w:lang w:val="fr-CH"/>
        </w:rPr>
        <w:t xml:space="preserve"> 4</w:t>
      </w:r>
      <w:r w:rsidRPr="0071782F">
        <w:rPr>
          <w:lang w:val="fr-CH"/>
        </w:rPr>
        <w:br/>
      </w:r>
      <w:r w:rsidR="00186B76" w:rsidRPr="0071782F">
        <w:rPr>
          <w:lang w:val="fr-CH"/>
        </w:rPr>
        <w:t>Statisti</w:t>
      </w:r>
      <w:r w:rsidR="00966BE0" w:rsidRPr="0071782F">
        <w:rPr>
          <w:lang w:val="fr-CH"/>
        </w:rPr>
        <w:t>ques concernant les centres d’apprentissage locaux pendant la période</w:t>
      </w:r>
      <w:r w:rsidR="00782B71" w:rsidRPr="0071782F">
        <w:rPr>
          <w:lang w:val="fr-CH"/>
        </w:rPr>
        <w:br/>
      </w:r>
      <w:r w:rsidR="00186B76" w:rsidRPr="0071782F">
        <w:rPr>
          <w:lang w:val="fr-CH"/>
        </w:rPr>
        <w:t>2001</w:t>
      </w:r>
      <w:r w:rsidR="00966BE0" w:rsidRPr="0071782F">
        <w:rPr>
          <w:lang w:val="fr-CH"/>
        </w:rPr>
        <w:t>-</w:t>
      </w:r>
      <w:r w:rsidR="00186B76" w:rsidRPr="0071782F">
        <w:rPr>
          <w:lang w:val="fr-CH"/>
        </w:rPr>
        <w:t>2006</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29"/>
        <w:gridCol w:w="1229"/>
        <w:gridCol w:w="1228"/>
        <w:gridCol w:w="1228"/>
        <w:gridCol w:w="1228"/>
        <w:gridCol w:w="1228"/>
      </w:tblGrid>
      <w:tr w:rsidR="00186B76" w:rsidRPr="0071782F">
        <w:trPr>
          <w:tblHeader/>
        </w:trPr>
        <w:tc>
          <w:tcPr>
            <w:tcW w:w="1596" w:type="dxa"/>
            <w:tcBorders>
              <w:top w:val="single" w:sz="4" w:space="0" w:color="auto"/>
              <w:bottom w:val="single" w:sz="12" w:space="0" w:color="auto"/>
            </w:tcBorders>
            <w:shd w:val="clear" w:color="auto" w:fill="auto"/>
            <w:vAlign w:val="bottom"/>
          </w:tcPr>
          <w:p w:rsidR="00186B76" w:rsidRPr="0071782F" w:rsidRDefault="00186B76" w:rsidP="003B1403">
            <w:pPr>
              <w:suppressAutoHyphens w:val="0"/>
              <w:spacing w:before="80" w:after="80" w:line="200" w:lineRule="exact"/>
              <w:rPr>
                <w:i/>
                <w:sz w:val="16"/>
                <w:lang w:val="fr-CH"/>
              </w:rPr>
            </w:pPr>
            <w:r w:rsidRPr="0071782F">
              <w:rPr>
                <w:i/>
                <w:sz w:val="16"/>
                <w:lang w:val="fr-CH"/>
              </w:rPr>
              <w:t>N</w:t>
            </w:r>
            <w:r w:rsidR="00966BE0" w:rsidRPr="0071782F">
              <w:rPr>
                <w:i/>
                <w:sz w:val="16"/>
                <w:lang w:val="fr-CH"/>
              </w:rPr>
              <w:t>ombre de centres</w:t>
            </w:r>
            <w:r w:rsidRPr="0071782F">
              <w:rPr>
                <w:i/>
                <w:sz w:val="16"/>
                <w:lang w:val="fr-CH"/>
              </w:rPr>
              <w:t xml:space="preserve"> </w:t>
            </w:r>
          </w:p>
        </w:tc>
        <w:tc>
          <w:tcPr>
            <w:tcW w:w="1596" w:type="dxa"/>
            <w:tcBorders>
              <w:top w:val="single" w:sz="4" w:space="0" w:color="auto"/>
              <w:bottom w:val="single" w:sz="12" w:space="0" w:color="auto"/>
            </w:tcBorders>
            <w:shd w:val="clear" w:color="auto" w:fill="auto"/>
            <w:vAlign w:val="bottom"/>
          </w:tcPr>
          <w:p w:rsidR="00186B76" w:rsidRPr="0071782F" w:rsidRDefault="00966BE0" w:rsidP="003B1403">
            <w:pPr>
              <w:suppressAutoHyphens w:val="0"/>
              <w:spacing w:before="80" w:after="80" w:line="200" w:lineRule="exact"/>
              <w:jc w:val="right"/>
              <w:rPr>
                <w:i/>
                <w:sz w:val="16"/>
                <w:lang w:val="fr-CH"/>
              </w:rPr>
            </w:pPr>
            <w:r w:rsidRPr="0071782F">
              <w:rPr>
                <w:i/>
                <w:sz w:val="16"/>
                <w:lang w:val="fr-CH"/>
              </w:rPr>
              <w:t>Nombre de salles de classe</w:t>
            </w:r>
          </w:p>
        </w:tc>
        <w:tc>
          <w:tcPr>
            <w:tcW w:w="1596" w:type="dxa"/>
            <w:tcBorders>
              <w:top w:val="single" w:sz="4" w:space="0" w:color="auto"/>
              <w:bottom w:val="single" w:sz="12" w:space="0" w:color="auto"/>
            </w:tcBorders>
            <w:shd w:val="clear" w:color="auto" w:fill="auto"/>
            <w:vAlign w:val="bottom"/>
          </w:tcPr>
          <w:p w:rsidR="00186B76" w:rsidRPr="0071782F" w:rsidRDefault="00966BE0" w:rsidP="003B1403">
            <w:pPr>
              <w:suppressAutoHyphens w:val="0"/>
              <w:spacing w:before="80" w:after="80" w:line="200" w:lineRule="exact"/>
              <w:jc w:val="right"/>
              <w:rPr>
                <w:i/>
                <w:sz w:val="16"/>
                <w:lang w:val="fr-CH"/>
              </w:rPr>
            </w:pPr>
            <w:r w:rsidRPr="0071782F">
              <w:rPr>
                <w:i/>
                <w:sz w:val="16"/>
                <w:lang w:val="fr-CH"/>
              </w:rPr>
              <w:t>Nombre d’élèves inscrits aux différents cours</w:t>
            </w:r>
          </w:p>
        </w:tc>
        <w:tc>
          <w:tcPr>
            <w:tcW w:w="1596" w:type="dxa"/>
            <w:tcBorders>
              <w:top w:val="single" w:sz="4" w:space="0" w:color="auto"/>
              <w:bottom w:val="single" w:sz="12" w:space="0" w:color="auto"/>
            </w:tcBorders>
            <w:shd w:val="clear" w:color="auto" w:fill="auto"/>
            <w:vAlign w:val="bottom"/>
          </w:tcPr>
          <w:p w:rsidR="00186B76" w:rsidRPr="0071782F" w:rsidRDefault="00966BE0" w:rsidP="003B1403">
            <w:pPr>
              <w:suppressAutoHyphens w:val="0"/>
              <w:spacing w:before="80" w:after="80" w:line="200" w:lineRule="exact"/>
              <w:jc w:val="right"/>
              <w:rPr>
                <w:i/>
                <w:sz w:val="16"/>
                <w:lang w:val="fr-CH"/>
              </w:rPr>
            </w:pPr>
            <w:r w:rsidRPr="0071782F">
              <w:rPr>
                <w:i/>
                <w:sz w:val="16"/>
                <w:lang w:val="fr-CH"/>
              </w:rPr>
              <w:t>Nombre de groupes de suivi</w:t>
            </w:r>
          </w:p>
        </w:tc>
        <w:tc>
          <w:tcPr>
            <w:tcW w:w="1596" w:type="dxa"/>
            <w:tcBorders>
              <w:top w:val="single" w:sz="4" w:space="0" w:color="auto"/>
              <w:bottom w:val="single" w:sz="12" w:space="0" w:color="auto"/>
            </w:tcBorders>
            <w:shd w:val="clear" w:color="auto" w:fill="auto"/>
            <w:vAlign w:val="bottom"/>
          </w:tcPr>
          <w:p w:rsidR="00186B76" w:rsidRPr="0071782F" w:rsidRDefault="00966BE0" w:rsidP="003B1403">
            <w:pPr>
              <w:suppressAutoHyphens w:val="0"/>
              <w:spacing w:before="80" w:after="80" w:line="200" w:lineRule="exact"/>
              <w:jc w:val="right"/>
              <w:rPr>
                <w:i/>
                <w:sz w:val="16"/>
                <w:lang w:val="fr-CH"/>
              </w:rPr>
            </w:pPr>
            <w:r w:rsidRPr="0071782F">
              <w:rPr>
                <w:i/>
                <w:sz w:val="16"/>
                <w:lang w:val="fr-CH"/>
              </w:rPr>
              <w:t>Nombre d’élèves dans les groupes de suivi</w:t>
            </w:r>
          </w:p>
        </w:tc>
        <w:tc>
          <w:tcPr>
            <w:tcW w:w="1596" w:type="dxa"/>
            <w:tcBorders>
              <w:top w:val="single" w:sz="4" w:space="0" w:color="auto"/>
              <w:bottom w:val="single" w:sz="12" w:space="0" w:color="auto"/>
            </w:tcBorders>
            <w:shd w:val="clear" w:color="auto" w:fill="auto"/>
            <w:vAlign w:val="bottom"/>
          </w:tcPr>
          <w:p w:rsidR="00186B76" w:rsidRPr="0071782F" w:rsidRDefault="00966BE0" w:rsidP="003B1403">
            <w:pPr>
              <w:suppressAutoHyphens w:val="0"/>
              <w:spacing w:before="80" w:after="80" w:line="200" w:lineRule="exact"/>
              <w:jc w:val="right"/>
              <w:rPr>
                <w:i/>
                <w:sz w:val="16"/>
                <w:lang w:val="fr-CH"/>
              </w:rPr>
            </w:pPr>
            <w:r w:rsidRPr="0071782F">
              <w:rPr>
                <w:i/>
                <w:sz w:val="16"/>
                <w:lang w:val="fr-CH"/>
              </w:rPr>
              <w:t>Nombre d’élèves suivant une formation professionnelle</w:t>
            </w:r>
          </w:p>
        </w:tc>
      </w:tr>
      <w:tr w:rsidR="00186B76" w:rsidRPr="0071782F">
        <w:tc>
          <w:tcPr>
            <w:tcW w:w="1596" w:type="dxa"/>
            <w:tcBorders>
              <w:top w:val="single" w:sz="12" w:space="0" w:color="auto"/>
            </w:tcBorders>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3 210</w:t>
            </w:r>
          </w:p>
        </w:tc>
        <w:tc>
          <w:tcPr>
            <w:tcW w:w="1596" w:type="dxa"/>
            <w:tcBorders>
              <w:top w:val="single" w:sz="12" w:space="0" w:color="auto"/>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72 833</w:t>
            </w:r>
          </w:p>
        </w:tc>
        <w:tc>
          <w:tcPr>
            <w:tcW w:w="1596" w:type="dxa"/>
            <w:tcBorders>
              <w:top w:val="single" w:sz="12" w:space="0" w:color="auto"/>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918 554</w:t>
            </w:r>
          </w:p>
        </w:tc>
        <w:tc>
          <w:tcPr>
            <w:tcW w:w="1596" w:type="dxa"/>
            <w:tcBorders>
              <w:top w:val="single" w:sz="12" w:space="0" w:color="auto"/>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25 646</w:t>
            </w:r>
          </w:p>
        </w:tc>
        <w:tc>
          <w:tcPr>
            <w:tcW w:w="1596" w:type="dxa"/>
            <w:tcBorders>
              <w:top w:val="single" w:sz="12" w:space="0" w:color="auto"/>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286 451</w:t>
            </w:r>
          </w:p>
        </w:tc>
        <w:tc>
          <w:tcPr>
            <w:tcW w:w="1596" w:type="dxa"/>
            <w:tcBorders>
              <w:top w:val="single" w:sz="12" w:space="0" w:color="auto"/>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1 539 043</w:t>
            </w:r>
          </w:p>
        </w:tc>
      </w:tr>
    </w:tbl>
    <w:p w:rsidR="00186B76" w:rsidRPr="0071782F" w:rsidRDefault="00186B76" w:rsidP="00A45A11">
      <w:pPr>
        <w:pStyle w:val="H1G"/>
        <w:rPr>
          <w:lang w:val="fr-CH"/>
        </w:rPr>
      </w:pPr>
      <w:r w:rsidRPr="0071782F">
        <w:rPr>
          <w:lang w:val="fr-CH"/>
        </w:rPr>
        <w:tab/>
      </w:r>
      <w:r w:rsidRPr="0071782F">
        <w:rPr>
          <w:lang w:val="fr-CH"/>
        </w:rPr>
        <w:tab/>
      </w:r>
      <w:r w:rsidR="00966BE0" w:rsidRPr="0071782F">
        <w:rPr>
          <w:lang w:val="fr-CH"/>
        </w:rPr>
        <w:t xml:space="preserve">Activités d’éducation continue </w:t>
      </w:r>
    </w:p>
    <w:p w:rsidR="00186B76" w:rsidRPr="0071782F" w:rsidRDefault="00186B76" w:rsidP="00A45A11">
      <w:pPr>
        <w:pStyle w:val="SingleTxtG"/>
        <w:rPr>
          <w:lang w:val="fr-CH"/>
        </w:rPr>
      </w:pPr>
      <w:r w:rsidRPr="0071782F">
        <w:rPr>
          <w:lang w:val="fr-CH"/>
        </w:rPr>
        <w:t>395.</w:t>
      </w:r>
      <w:r w:rsidRPr="0071782F">
        <w:rPr>
          <w:lang w:val="fr-CH"/>
        </w:rPr>
        <w:tab/>
      </w:r>
      <w:r w:rsidR="00966BE0" w:rsidRPr="0071782F">
        <w:rPr>
          <w:lang w:val="fr-CH"/>
        </w:rPr>
        <w:t xml:space="preserve">Les activités d’éducation continue sont conçues et exécutées compte tenu des caractéristiques psychologiques des apprenants, et visent à créer des possibilités et des réseaux d’apprentissage en mettant en </w:t>
      </w:r>
      <w:r w:rsidR="00D5366B" w:rsidRPr="0071782F">
        <w:rPr>
          <w:lang w:val="fr-CH"/>
        </w:rPr>
        <w:t>œuvre</w:t>
      </w:r>
      <w:r w:rsidR="00966BE0" w:rsidRPr="0071782F">
        <w:rPr>
          <w:lang w:val="fr-CH"/>
        </w:rPr>
        <w:t xml:space="preserve"> des méthodes diverses, dynamiques et flexibles, en coopération avec des réseaux d’appui et des organisations publiques et non gouvernementales. </w:t>
      </w:r>
    </w:p>
    <w:p w:rsidR="00186B76" w:rsidRPr="0071782F" w:rsidRDefault="00186B76" w:rsidP="00A45A11">
      <w:pPr>
        <w:pStyle w:val="SingleTxtG"/>
        <w:rPr>
          <w:lang w:val="fr-CH"/>
        </w:rPr>
      </w:pPr>
      <w:r w:rsidRPr="0071782F">
        <w:rPr>
          <w:lang w:val="fr-CH"/>
        </w:rPr>
        <w:t>396.</w:t>
      </w:r>
      <w:r w:rsidRPr="0071782F">
        <w:rPr>
          <w:lang w:val="fr-CH"/>
        </w:rPr>
        <w:tab/>
      </w:r>
      <w:r w:rsidR="00966BE0" w:rsidRPr="0071782F">
        <w:rPr>
          <w:lang w:val="fr-CH"/>
        </w:rPr>
        <w:t xml:space="preserve">Axée sur des objectifs fondamentaux </w:t>
      </w:r>
      <w:r w:rsidRPr="0071782F">
        <w:rPr>
          <w:lang w:val="fr-CH"/>
        </w:rPr>
        <w:t>(compl</w:t>
      </w:r>
      <w:r w:rsidR="00966BE0" w:rsidRPr="0071782F">
        <w:rPr>
          <w:lang w:val="fr-CH"/>
        </w:rPr>
        <w:t>émentaires</w:t>
      </w:r>
      <w:r w:rsidRPr="0071782F">
        <w:rPr>
          <w:lang w:val="fr-CH"/>
        </w:rPr>
        <w:t>, f</w:t>
      </w:r>
      <w:r w:rsidR="00966BE0" w:rsidRPr="0071782F">
        <w:rPr>
          <w:lang w:val="fr-CH"/>
        </w:rPr>
        <w:t>onctionnels et de socialisation), l’éducation continue vise à remédier aux insuffisances des programmes d’alphabétisation de base, à consolider les connaissances en lecture et en écriture et à améliorer la vie et le travail des intéressés</w:t>
      </w:r>
      <w:r w:rsidRPr="0071782F">
        <w:rPr>
          <w:lang w:val="fr-CH"/>
        </w:rPr>
        <w:t xml:space="preserve">. </w:t>
      </w:r>
      <w:r w:rsidR="00966BE0" w:rsidRPr="0071782F">
        <w:rPr>
          <w:lang w:val="fr-CH"/>
        </w:rPr>
        <w:t>Afin de réaliser ces objectifs, les activités ci-après ont été réalisées</w:t>
      </w:r>
      <w:r w:rsidR="008F7D33" w:rsidRPr="0071782F">
        <w:rPr>
          <w:lang w:val="fr-CH"/>
        </w:rPr>
        <w:t>:</w:t>
      </w:r>
    </w:p>
    <w:p w:rsidR="00186B76" w:rsidRPr="0071782F" w:rsidRDefault="00186B76" w:rsidP="00A45A11">
      <w:pPr>
        <w:pStyle w:val="SingleTxtG"/>
        <w:ind w:left="1701"/>
        <w:rPr>
          <w:lang w:val="fr-CH"/>
        </w:rPr>
      </w:pPr>
      <w:r w:rsidRPr="0071782F">
        <w:rPr>
          <w:lang w:val="fr-CH"/>
        </w:rPr>
        <w:t>396.1</w:t>
      </w:r>
      <w:r w:rsidR="00EC1556" w:rsidRPr="0071782F">
        <w:rPr>
          <w:lang w:val="fr-CH"/>
        </w:rPr>
        <w:t>.</w:t>
      </w:r>
      <w:r w:rsidRPr="0071782F">
        <w:rPr>
          <w:lang w:val="fr-CH"/>
        </w:rPr>
        <w:tab/>
      </w:r>
      <w:r w:rsidR="00966BE0" w:rsidRPr="0071782F">
        <w:rPr>
          <w:lang w:val="fr-CH"/>
        </w:rPr>
        <w:t>Mise en place de réseaux d’enseignement à mi-temps et à distance</w:t>
      </w:r>
      <w:r w:rsidR="008F7D33" w:rsidRPr="0071782F">
        <w:rPr>
          <w:lang w:val="fr-CH"/>
        </w:rPr>
        <w:t>:</w:t>
      </w:r>
    </w:p>
    <w:p w:rsidR="00186B76" w:rsidRPr="0071782F" w:rsidRDefault="00966BE0" w:rsidP="00A45A11">
      <w:pPr>
        <w:pStyle w:val="SingleTxtG"/>
        <w:ind w:left="2268"/>
        <w:rPr>
          <w:lang w:val="fr-CH"/>
        </w:rPr>
      </w:pPr>
      <w:r w:rsidRPr="0071782F">
        <w:rPr>
          <w:lang w:val="fr-CH"/>
        </w:rPr>
        <w:t>Ces réseaux sont créés dans le cadre des groupes de suivi de l’alphabétisation</w:t>
      </w:r>
      <w:r w:rsidR="00186B76" w:rsidRPr="0071782F">
        <w:rPr>
          <w:rStyle w:val="FootnoteReference"/>
          <w:lang w:val="fr-CH"/>
        </w:rPr>
        <w:footnoteReference w:id="9"/>
      </w:r>
      <w:r w:rsidRPr="0071782F">
        <w:rPr>
          <w:lang w:val="fr-CH"/>
        </w:rPr>
        <w:t>,</w:t>
      </w:r>
      <w:r w:rsidR="00186B76" w:rsidRPr="0071782F">
        <w:rPr>
          <w:lang w:val="fr-CH"/>
        </w:rPr>
        <w:t xml:space="preserve"> </w:t>
      </w:r>
      <w:r w:rsidRPr="0071782F">
        <w:rPr>
          <w:lang w:val="fr-CH"/>
        </w:rPr>
        <w:t xml:space="preserve">des groupes d’apprentissage à </w:t>
      </w:r>
      <w:r w:rsidR="00186B76" w:rsidRPr="0071782F">
        <w:rPr>
          <w:lang w:val="fr-CH"/>
        </w:rPr>
        <w:t>distance</w:t>
      </w:r>
      <w:r w:rsidR="00186B76" w:rsidRPr="0071782F">
        <w:rPr>
          <w:rStyle w:val="FootnoteReference"/>
          <w:lang w:val="fr-CH"/>
        </w:rPr>
        <w:footnoteReference w:id="10"/>
      </w:r>
      <w:r w:rsidR="00186B76" w:rsidRPr="0071782F">
        <w:rPr>
          <w:lang w:val="fr-CH"/>
        </w:rPr>
        <w:t xml:space="preserve"> </w:t>
      </w:r>
      <w:r w:rsidRPr="0071782F">
        <w:rPr>
          <w:lang w:val="fr-CH"/>
        </w:rPr>
        <w:t>et de l’éducation dispensée à l’aide de médias pour celles et ceux qui ne peuvent ou ne veulent pas participer en personne à des cours d’alphabétisation</w:t>
      </w:r>
      <w:r w:rsidR="00186B76" w:rsidRPr="0071782F">
        <w:rPr>
          <w:lang w:val="fr-CH"/>
        </w:rPr>
        <w:t xml:space="preserve">. </w:t>
      </w:r>
      <w:r w:rsidRPr="0071782F">
        <w:rPr>
          <w:lang w:val="fr-CH"/>
        </w:rPr>
        <w:t>Dans les groupes de suivi, les élèves étudient 38 livres en trois étapes et à mi-temps, selon une méthode fondée sur la participation et le dialogue</w:t>
      </w:r>
      <w:r w:rsidR="00186B76" w:rsidRPr="0071782F">
        <w:rPr>
          <w:lang w:val="fr-CH"/>
        </w:rPr>
        <w:t>.</w:t>
      </w:r>
    </w:p>
    <w:p w:rsidR="00186B76" w:rsidRPr="0071782F" w:rsidRDefault="00966BE0" w:rsidP="00A45A11">
      <w:pPr>
        <w:pStyle w:val="SingleTxtG"/>
        <w:ind w:left="2268"/>
        <w:rPr>
          <w:lang w:val="fr-CH"/>
        </w:rPr>
      </w:pPr>
      <w:r w:rsidRPr="0071782F">
        <w:rPr>
          <w:lang w:val="fr-CH"/>
        </w:rPr>
        <w:t>Dans le module d’enseignement à distance</w:t>
      </w:r>
      <w:r w:rsidR="00186B76" w:rsidRPr="0071782F">
        <w:rPr>
          <w:lang w:val="fr-CH"/>
        </w:rPr>
        <w:t xml:space="preserve">, </w:t>
      </w:r>
      <w:r w:rsidRPr="0071782F">
        <w:rPr>
          <w:lang w:val="fr-CH"/>
        </w:rPr>
        <w:t xml:space="preserve">l’élève reçoit </w:t>
      </w:r>
      <w:r w:rsidR="00186B76" w:rsidRPr="0071782F">
        <w:rPr>
          <w:lang w:val="fr-CH"/>
        </w:rPr>
        <w:t xml:space="preserve">24 </w:t>
      </w:r>
      <w:r w:rsidRPr="0071782F">
        <w:rPr>
          <w:lang w:val="fr-CH"/>
        </w:rPr>
        <w:t>livres par courrier ou d’autres voies</w:t>
      </w:r>
      <w:r w:rsidR="00186B76" w:rsidRPr="0071782F">
        <w:rPr>
          <w:lang w:val="fr-CH"/>
        </w:rPr>
        <w:t xml:space="preserve">. </w:t>
      </w:r>
      <w:r w:rsidRPr="0071782F">
        <w:rPr>
          <w:lang w:val="fr-CH"/>
        </w:rPr>
        <w:t>Ces livres sont adaptés aux besoins locaux des apprenants en ce qui concerne la santé, la</w:t>
      </w:r>
      <w:r w:rsidR="00186B76" w:rsidRPr="0071782F">
        <w:rPr>
          <w:lang w:val="fr-CH"/>
        </w:rPr>
        <w:t xml:space="preserve"> soci</w:t>
      </w:r>
      <w:r w:rsidRPr="0071782F">
        <w:rPr>
          <w:lang w:val="fr-CH"/>
        </w:rPr>
        <w:t>été</w:t>
      </w:r>
      <w:r w:rsidR="00186B76" w:rsidRPr="0071782F">
        <w:rPr>
          <w:lang w:val="fr-CH"/>
        </w:rPr>
        <w:t xml:space="preserve">, </w:t>
      </w:r>
      <w:r w:rsidRPr="0071782F">
        <w:rPr>
          <w:lang w:val="fr-CH"/>
        </w:rPr>
        <w:t xml:space="preserve">la </w:t>
      </w:r>
      <w:r w:rsidR="00186B76" w:rsidRPr="0071782F">
        <w:rPr>
          <w:lang w:val="fr-CH"/>
        </w:rPr>
        <w:t xml:space="preserve">culture, </w:t>
      </w:r>
      <w:r w:rsidRPr="0071782F">
        <w:rPr>
          <w:lang w:val="fr-CH"/>
        </w:rPr>
        <w:t xml:space="preserve">la </w:t>
      </w:r>
      <w:r w:rsidR="00186B76" w:rsidRPr="0071782F">
        <w:rPr>
          <w:lang w:val="fr-CH"/>
        </w:rPr>
        <w:t>religion, etc.</w:t>
      </w:r>
    </w:p>
    <w:p w:rsidR="00186B76" w:rsidRPr="0071782F" w:rsidRDefault="00186B76" w:rsidP="00A45A11">
      <w:pPr>
        <w:pStyle w:val="SingleTxtG"/>
        <w:ind w:left="1701"/>
        <w:rPr>
          <w:lang w:val="fr-CH"/>
        </w:rPr>
      </w:pPr>
      <w:r w:rsidRPr="0071782F">
        <w:rPr>
          <w:lang w:val="fr-CH"/>
        </w:rPr>
        <w:t>396.2</w:t>
      </w:r>
      <w:r w:rsidR="00EC1556" w:rsidRPr="0071782F">
        <w:rPr>
          <w:lang w:val="fr-CH"/>
        </w:rPr>
        <w:t>.</w:t>
      </w:r>
      <w:r w:rsidRPr="0071782F">
        <w:rPr>
          <w:lang w:val="fr-CH"/>
        </w:rPr>
        <w:tab/>
      </w:r>
      <w:r w:rsidR="00966BE0" w:rsidRPr="0071782F">
        <w:rPr>
          <w:lang w:val="fr-CH"/>
        </w:rPr>
        <w:t>Conception et exécution des programmes d’éducation dispensés à l’aide de médias et de ressources multimédias</w:t>
      </w:r>
      <w:r w:rsidRPr="0071782F">
        <w:rPr>
          <w:rStyle w:val="FootnoteReference"/>
          <w:lang w:val="fr-CH"/>
        </w:rPr>
        <w:footnoteReference w:id="11"/>
      </w:r>
      <w:r w:rsidR="008F7D33" w:rsidRPr="0071782F">
        <w:rPr>
          <w:lang w:val="fr-CH"/>
        </w:rPr>
        <w:t>:</w:t>
      </w:r>
    </w:p>
    <w:p w:rsidR="00186B76" w:rsidRPr="0071782F" w:rsidRDefault="007423CA" w:rsidP="00A45A11">
      <w:pPr>
        <w:pStyle w:val="SingleTxtG"/>
        <w:ind w:left="2268"/>
        <w:rPr>
          <w:lang w:val="fr-CH"/>
        </w:rPr>
      </w:pPr>
      <w:r w:rsidRPr="0071782F">
        <w:rPr>
          <w:lang w:val="fr-CH"/>
        </w:rPr>
        <w:t xml:space="preserve">Cette modalité d’éducation utilise divers outils et technologies éducatifs multimédias </w:t>
      </w:r>
      <w:r w:rsidR="00186B76" w:rsidRPr="0071782F">
        <w:rPr>
          <w:lang w:val="fr-CH"/>
        </w:rPr>
        <w:t>(</w:t>
      </w:r>
      <w:r w:rsidRPr="0071782F">
        <w:rPr>
          <w:lang w:val="fr-CH"/>
        </w:rPr>
        <w:t>livres</w:t>
      </w:r>
      <w:r w:rsidR="00186B76" w:rsidRPr="0071782F">
        <w:rPr>
          <w:lang w:val="fr-CH"/>
        </w:rPr>
        <w:t xml:space="preserve">, brochures, </w:t>
      </w:r>
      <w:r w:rsidRPr="0071782F">
        <w:rPr>
          <w:lang w:val="fr-CH"/>
        </w:rPr>
        <w:t xml:space="preserve">cassettes </w:t>
      </w:r>
      <w:r w:rsidR="00186B76" w:rsidRPr="0071782F">
        <w:rPr>
          <w:lang w:val="fr-CH"/>
        </w:rPr>
        <w:t>audio</w:t>
      </w:r>
      <w:r w:rsidRPr="0071782F">
        <w:rPr>
          <w:lang w:val="fr-CH"/>
        </w:rPr>
        <w:t xml:space="preserve"> et </w:t>
      </w:r>
      <w:r w:rsidR="0071782F" w:rsidRPr="0071782F">
        <w:rPr>
          <w:lang w:val="fr-CH"/>
        </w:rPr>
        <w:t>vidéo</w:t>
      </w:r>
      <w:r w:rsidR="00186B76" w:rsidRPr="0071782F">
        <w:rPr>
          <w:lang w:val="fr-CH"/>
        </w:rPr>
        <w:t xml:space="preserve">, </w:t>
      </w:r>
      <w:r w:rsidRPr="0071782F">
        <w:rPr>
          <w:lang w:val="fr-CH"/>
        </w:rPr>
        <w:t>cédérom</w:t>
      </w:r>
      <w:r w:rsidR="00186B76" w:rsidRPr="0071782F">
        <w:rPr>
          <w:lang w:val="fr-CH"/>
        </w:rPr>
        <w:t xml:space="preserve">s, etc.) </w:t>
      </w:r>
      <w:r w:rsidRPr="0071782F">
        <w:rPr>
          <w:lang w:val="fr-CH"/>
        </w:rPr>
        <w:t>afin de rendre l’apprentissage plus attrayant et d’améliorer la rétention des connaissances acquises</w:t>
      </w:r>
      <w:r w:rsidR="00186B76" w:rsidRPr="0071782F">
        <w:rPr>
          <w:lang w:val="fr-CH"/>
        </w:rPr>
        <w:t>.</w:t>
      </w:r>
    </w:p>
    <w:p w:rsidR="00186B76" w:rsidRPr="0071782F" w:rsidRDefault="00186B76" w:rsidP="00A45A11">
      <w:pPr>
        <w:pStyle w:val="SingleTxtG"/>
        <w:ind w:left="1701"/>
        <w:rPr>
          <w:lang w:val="fr-CH"/>
        </w:rPr>
      </w:pPr>
      <w:r w:rsidRPr="0071782F">
        <w:rPr>
          <w:lang w:val="fr-CH"/>
        </w:rPr>
        <w:t>396.3</w:t>
      </w:r>
      <w:r w:rsidR="00EC1556" w:rsidRPr="0071782F">
        <w:rPr>
          <w:lang w:val="fr-CH"/>
        </w:rPr>
        <w:t>.</w:t>
      </w:r>
      <w:r w:rsidRPr="0071782F">
        <w:rPr>
          <w:lang w:val="fr-CH"/>
        </w:rPr>
        <w:tab/>
      </w:r>
      <w:r w:rsidR="001922A7" w:rsidRPr="0071782F">
        <w:rPr>
          <w:lang w:val="fr-CH"/>
        </w:rPr>
        <w:t xml:space="preserve">Renforcement de l’autonomie des mères des zones rurales peu instruites afin de leur permettre d’élever des enfants créatifs </w:t>
      </w:r>
      <w:r w:rsidRPr="0071782F">
        <w:rPr>
          <w:lang w:val="fr-CH"/>
        </w:rPr>
        <w:t xml:space="preserve">(ECD), </w:t>
      </w:r>
      <w:r w:rsidR="001922A7" w:rsidRPr="0071782F">
        <w:rPr>
          <w:lang w:val="fr-CH"/>
        </w:rPr>
        <w:t xml:space="preserve">et </w:t>
      </w:r>
      <w:r w:rsidRPr="0071782F">
        <w:rPr>
          <w:lang w:val="fr-CH"/>
        </w:rPr>
        <w:t>program</w:t>
      </w:r>
      <w:r w:rsidR="001922A7" w:rsidRPr="0071782F">
        <w:rPr>
          <w:lang w:val="fr-CH"/>
        </w:rPr>
        <w:t>me visant à former les paysans et villageois dans des domaines tels que</w:t>
      </w:r>
      <w:r w:rsidRPr="0071782F">
        <w:rPr>
          <w:lang w:val="fr-CH"/>
        </w:rPr>
        <w:t xml:space="preserve"> </w:t>
      </w:r>
      <w:r w:rsidR="001922A7" w:rsidRPr="0071782F">
        <w:rPr>
          <w:lang w:val="fr-CH"/>
        </w:rPr>
        <w:t>la culture des pistaches, l’élevage, l’</w:t>
      </w:r>
      <w:r w:rsidRPr="0071782F">
        <w:rPr>
          <w:lang w:val="fr-CH"/>
        </w:rPr>
        <w:t>agriculture</w:t>
      </w:r>
      <w:r w:rsidR="001922A7" w:rsidRPr="0071782F">
        <w:rPr>
          <w:lang w:val="fr-CH"/>
        </w:rPr>
        <w:t xml:space="preserve"> et les autres activités rurales</w:t>
      </w:r>
      <w:r w:rsidR="008F7D33" w:rsidRPr="0071782F">
        <w:rPr>
          <w:lang w:val="fr-CH"/>
        </w:rPr>
        <w:t>:</w:t>
      </w:r>
    </w:p>
    <w:p w:rsidR="00186B76" w:rsidRPr="0071782F" w:rsidRDefault="001922A7" w:rsidP="00A45A11">
      <w:pPr>
        <w:pStyle w:val="SingleTxtG"/>
        <w:ind w:left="2268"/>
        <w:rPr>
          <w:lang w:val="fr-CH"/>
        </w:rPr>
      </w:pPr>
      <w:r w:rsidRPr="0071782F">
        <w:rPr>
          <w:lang w:val="fr-CH"/>
        </w:rPr>
        <w:t xml:space="preserve">L’exécution de ces </w:t>
      </w:r>
      <w:r w:rsidR="00186B76" w:rsidRPr="0071782F">
        <w:rPr>
          <w:lang w:val="fr-CH"/>
        </w:rPr>
        <w:t>program</w:t>
      </w:r>
      <w:r w:rsidRPr="0071782F">
        <w:rPr>
          <w:lang w:val="fr-CH"/>
        </w:rPr>
        <w:t>me</w:t>
      </w:r>
      <w:r w:rsidR="00186B76" w:rsidRPr="0071782F">
        <w:rPr>
          <w:lang w:val="fr-CH"/>
        </w:rPr>
        <w:t xml:space="preserve">s </w:t>
      </w:r>
      <w:r w:rsidRPr="0071782F">
        <w:rPr>
          <w:lang w:val="fr-CH"/>
        </w:rPr>
        <w:t>bénéficie de la pleine coopé</w:t>
      </w:r>
      <w:r w:rsidR="00186B76" w:rsidRPr="0071782F">
        <w:rPr>
          <w:lang w:val="fr-CH"/>
        </w:rPr>
        <w:t xml:space="preserve">ration </w:t>
      </w:r>
      <w:r w:rsidRPr="0071782F">
        <w:rPr>
          <w:lang w:val="fr-CH"/>
        </w:rPr>
        <w:t xml:space="preserve">des organisations publiques et privées décidées à faire passer leurs messages à leurs publics communs; ces programmes visent à développer les connaissances des </w:t>
      </w:r>
      <w:r w:rsidR="001B7099" w:rsidRPr="0071782F">
        <w:rPr>
          <w:lang w:val="fr-CH"/>
        </w:rPr>
        <w:t>groupes peu instruit</w:t>
      </w:r>
      <w:r w:rsidRPr="0071782F">
        <w:rPr>
          <w:lang w:val="fr-CH"/>
        </w:rPr>
        <w:t>s et à faire évoluer leurs mentalités et leurs comportements sociaux</w:t>
      </w:r>
      <w:r w:rsidR="00186B76" w:rsidRPr="0071782F">
        <w:rPr>
          <w:lang w:val="fr-CH"/>
        </w:rPr>
        <w:t xml:space="preserve">. </w:t>
      </w:r>
    </w:p>
    <w:p w:rsidR="00186B76" w:rsidRPr="0071782F" w:rsidRDefault="00186B76" w:rsidP="00A45A11">
      <w:pPr>
        <w:pStyle w:val="H1G"/>
        <w:rPr>
          <w:lang w:val="fr-CH"/>
        </w:rPr>
      </w:pPr>
      <w:r w:rsidRPr="0071782F">
        <w:rPr>
          <w:lang w:val="fr-CH"/>
        </w:rPr>
        <w:tab/>
      </w:r>
      <w:r w:rsidRPr="0071782F">
        <w:rPr>
          <w:lang w:val="fr-CH"/>
        </w:rPr>
        <w:tab/>
        <w:t>Enrich</w:t>
      </w:r>
      <w:r w:rsidR="002004EC" w:rsidRPr="0071782F">
        <w:rPr>
          <w:lang w:val="fr-CH"/>
        </w:rPr>
        <w:t xml:space="preserve">issement du cadre de vie des apprenants à l’aide de matériels écrits et autres </w:t>
      </w:r>
    </w:p>
    <w:p w:rsidR="00186B76" w:rsidRPr="0071782F" w:rsidRDefault="00186B76" w:rsidP="00A45A11">
      <w:pPr>
        <w:pStyle w:val="SingleTxtG"/>
        <w:rPr>
          <w:lang w:val="fr-CH"/>
        </w:rPr>
      </w:pPr>
      <w:r w:rsidRPr="0071782F">
        <w:rPr>
          <w:lang w:val="fr-CH"/>
        </w:rPr>
        <w:t>397.</w:t>
      </w:r>
      <w:r w:rsidRPr="0071782F">
        <w:rPr>
          <w:lang w:val="fr-CH"/>
        </w:rPr>
        <w:tab/>
      </w:r>
      <w:r w:rsidR="002004EC" w:rsidRPr="0071782F">
        <w:rPr>
          <w:lang w:val="fr-CH"/>
        </w:rPr>
        <w:t>Afin de répondre aux différents besoins éducatifs des apprenants et de leur faciliter l’accès à des documents à lire simples et aux médias éducatifs</w:t>
      </w:r>
      <w:r w:rsidRPr="0071782F">
        <w:rPr>
          <w:lang w:val="fr-CH"/>
        </w:rPr>
        <w:t xml:space="preserve">, </w:t>
      </w:r>
      <w:r w:rsidR="002004EC" w:rsidRPr="0071782F">
        <w:rPr>
          <w:lang w:val="fr-CH"/>
        </w:rPr>
        <w:t>les activités éducatives et culturelles ci-après ont été conçues et réalisées</w:t>
      </w:r>
      <w:r w:rsidR="008F7D33" w:rsidRPr="0071782F">
        <w:rPr>
          <w:lang w:val="fr-CH"/>
        </w:rPr>
        <w:t>:</w:t>
      </w:r>
    </w:p>
    <w:p w:rsidR="00186B76" w:rsidRPr="008D446F" w:rsidRDefault="00186B76" w:rsidP="00A45A11">
      <w:pPr>
        <w:pStyle w:val="SingleTxtG"/>
        <w:ind w:left="1701"/>
        <w:rPr>
          <w:spacing w:val="-2"/>
          <w:lang w:val="fr-CH"/>
        </w:rPr>
      </w:pPr>
      <w:r w:rsidRPr="008D446F">
        <w:rPr>
          <w:spacing w:val="-2"/>
          <w:lang w:val="fr-CH"/>
        </w:rPr>
        <w:t>397.1</w:t>
      </w:r>
      <w:r w:rsidR="009D57FA" w:rsidRPr="008D446F">
        <w:rPr>
          <w:spacing w:val="-2"/>
          <w:lang w:val="fr-CH"/>
        </w:rPr>
        <w:t>.</w:t>
      </w:r>
      <w:r w:rsidRPr="008D446F">
        <w:rPr>
          <w:spacing w:val="-2"/>
          <w:lang w:val="fr-CH"/>
        </w:rPr>
        <w:tab/>
      </w:r>
      <w:r w:rsidRPr="008D446F">
        <w:rPr>
          <w:i/>
          <w:spacing w:val="-2"/>
          <w:lang w:val="fr-CH"/>
        </w:rPr>
        <w:t xml:space="preserve">Publication </w:t>
      </w:r>
      <w:r w:rsidR="002004EC" w:rsidRPr="008D446F">
        <w:rPr>
          <w:i/>
          <w:spacing w:val="-2"/>
          <w:lang w:val="fr-CH"/>
        </w:rPr>
        <w:t xml:space="preserve">de revues provinciales à l’intention </w:t>
      </w:r>
      <w:r w:rsidR="007F37CE" w:rsidRPr="008D446F">
        <w:rPr>
          <w:i/>
          <w:spacing w:val="-2"/>
          <w:lang w:val="fr-CH"/>
        </w:rPr>
        <w:t>des personnes</w:t>
      </w:r>
      <w:r w:rsidR="002004EC" w:rsidRPr="008D446F">
        <w:rPr>
          <w:i/>
          <w:spacing w:val="-2"/>
          <w:lang w:val="fr-CH"/>
        </w:rPr>
        <w:t xml:space="preserve"> peu instruites</w:t>
      </w:r>
      <w:r w:rsidR="008F7D33" w:rsidRPr="008D446F">
        <w:rPr>
          <w:i/>
          <w:spacing w:val="-2"/>
          <w:lang w:val="fr-CH"/>
        </w:rPr>
        <w:t>:</w:t>
      </w:r>
      <w:r w:rsidRPr="008D446F">
        <w:rPr>
          <w:spacing w:val="-2"/>
          <w:lang w:val="fr-CH"/>
        </w:rPr>
        <w:t xml:space="preserve"> </w:t>
      </w:r>
      <w:r w:rsidR="002004EC" w:rsidRPr="008D446F">
        <w:rPr>
          <w:spacing w:val="-2"/>
          <w:lang w:val="fr-CH"/>
        </w:rPr>
        <w:t>Des revues provinciales se présentant sous différents formats et supports sont publiées afin de répondre aux besoins éducatifs quotidiens et immédiats de la population, de développer les connaissances religieuses, les compétences pratiques et la formation professionnelle,</w:t>
      </w:r>
      <w:r w:rsidRPr="008D446F">
        <w:rPr>
          <w:spacing w:val="-2"/>
          <w:lang w:val="fr-CH"/>
        </w:rPr>
        <w:t xml:space="preserve"> </w:t>
      </w:r>
      <w:r w:rsidR="002004EC" w:rsidRPr="008D446F">
        <w:rPr>
          <w:spacing w:val="-2"/>
          <w:lang w:val="fr-CH"/>
        </w:rPr>
        <w:t>de promouvoir l’habitude de la lecture des journaux et de combler le vide existant en matière de publications périodiques pour public peu instruit</w:t>
      </w:r>
      <w:r w:rsidRPr="008D446F">
        <w:rPr>
          <w:spacing w:val="-2"/>
          <w:lang w:val="fr-CH"/>
        </w:rPr>
        <w:t>.</w:t>
      </w:r>
    </w:p>
    <w:p w:rsidR="00186B76" w:rsidRPr="0071782F" w:rsidRDefault="00186B76" w:rsidP="00A45A11">
      <w:pPr>
        <w:pStyle w:val="SingleTxtG"/>
        <w:ind w:left="1701"/>
        <w:rPr>
          <w:lang w:val="fr-CH"/>
        </w:rPr>
      </w:pPr>
      <w:r w:rsidRPr="0071782F">
        <w:rPr>
          <w:lang w:val="fr-CH"/>
        </w:rPr>
        <w:t>397.2</w:t>
      </w:r>
      <w:r w:rsidR="009D57FA" w:rsidRPr="0071782F">
        <w:rPr>
          <w:lang w:val="fr-CH"/>
        </w:rPr>
        <w:t>.</w:t>
      </w:r>
      <w:r w:rsidRPr="0071782F">
        <w:rPr>
          <w:lang w:val="fr-CH"/>
        </w:rPr>
        <w:tab/>
      </w:r>
      <w:r w:rsidR="002004EC" w:rsidRPr="0071782F">
        <w:rPr>
          <w:i/>
          <w:lang w:val="fr-CH"/>
        </w:rPr>
        <w:t>Utilisation de bibliobus</w:t>
      </w:r>
      <w:r w:rsidR="008F7D33" w:rsidRPr="0071782F">
        <w:rPr>
          <w:i/>
          <w:lang w:val="fr-CH"/>
        </w:rPr>
        <w:t>:</w:t>
      </w:r>
      <w:r w:rsidRPr="0071782F">
        <w:rPr>
          <w:lang w:val="fr-CH"/>
        </w:rPr>
        <w:t xml:space="preserve"> </w:t>
      </w:r>
      <w:r w:rsidR="002004EC" w:rsidRPr="0071782F">
        <w:rPr>
          <w:lang w:val="fr-CH"/>
        </w:rPr>
        <w:t>Dans les zones dépourvues des infrastructures nécessaires, les bibliobus fournissent des services aux adultes peu instruits, comme le prêt de matériels éducatifs, de périodiques et de paquets éducatifs</w:t>
      </w:r>
      <w:r w:rsidRPr="0071782F">
        <w:rPr>
          <w:lang w:val="fr-CH"/>
        </w:rPr>
        <w:t>.</w:t>
      </w:r>
    </w:p>
    <w:p w:rsidR="00186B76" w:rsidRPr="0071782F" w:rsidRDefault="00186B76" w:rsidP="00A45A11">
      <w:pPr>
        <w:pStyle w:val="SingleTxtG"/>
        <w:ind w:left="1701"/>
        <w:rPr>
          <w:lang w:val="fr-CH"/>
        </w:rPr>
      </w:pPr>
      <w:r w:rsidRPr="0071782F">
        <w:rPr>
          <w:lang w:val="fr-CH"/>
        </w:rPr>
        <w:t>397.3</w:t>
      </w:r>
      <w:r w:rsidR="009D57FA" w:rsidRPr="0071782F">
        <w:rPr>
          <w:lang w:val="fr-CH"/>
        </w:rPr>
        <w:t>.</w:t>
      </w:r>
      <w:r w:rsidRPr="0071782F">
        <w:rPr>
          <w:lang w:val="fr-CH"/>
        </w:rPr>
        <w:tab/>
      </w:r>
      <w:r w:rsidR="002004EC" w:rsidRPr="0071782F">
        <w:rPr>
          <w:i/>
          <w:lang w:val="fr-CH"/>
        </w:rPr>
        <w:t xml:space="preserve">Émissions éducatives locales de </w:t>
      </w:r>
      <w:r w:rsidRPr="0071782F">
        <w:rPr>
          <w:i/>
          <w:lang w:val="fr-CH"/>
        </w:rPr>
        <w:t xml:space="preserve">radio </w:t>
      </w:r>
      <w:r w:rsidR="002004EC" w:rsidRPr="0071782F">
        <w:rPr>
          <w:i/>
          <w:lang w:val="fr-CH"/>
        </w:rPr>
        <w:t xml:space="preserve">et de </w:t>
      </w:r>
      <w:r w:rsidRPr="0071782F">
        <w:rPr>
          <w:i/>
          <w:lang w:val="fr-CH"/>
        </w:rPr>
        <w:t>t</w:t>
      </w:r>
      <w:r w:rsidR="002004EC" w:rsidRPr="0071782F">
        <w:rPr>
          <w:i/>
          <w:lang w:val="fr-CH"/>
        </w:rPr>
        <w:t>é</w:t>
      </w:r>
      <w:r w:rsidRPr="0071782F">
        <w:rPr>
          <w:i/>
          <w:lang w:val="fr-CH"/>
        </w:rPr>
        <w:t>l</w:t>
      </w:r>
      <w:r w:rsidR="002004EC" w:rsidRPr="0071782F">
        <w:rPr>
          <w:i/>
          <w:lang w:val="fr-CH"/>
        </w:rPr>
        <w:t>é</w:t>
      </w:r>
      <w:r w:rsidRPr="0071782F">
        <w:rPr>
          <w:i/>
          <w:lang w:val="fr-CH"/>
        </w:rPr>
        <w:t>vision</w:t>
      </w:r>
      <w:r w:rsidR="008F7D33" w:rsidRPr="0071782F">
        <w:rPr>
          <w:i/>
          <w:lang w:val="fr-CH"/>
        </w:rPr>
        <w:t>:</w:t>
      </w:r>
      <w:r w:rsidRPr="0071782F">
        <w:rPr>
          <w:lang w:val="fr-CH"/>
        </w:rPr>
        <w:t xml:space="preserve"> </w:t>
      </w:r>
      <w:r w:rsidR="002004EC" w:rsidRPr="0071782F">
        <w:rPr>
          <w:lang w:val="fr-CH"/>
        </w:rPr>
        <w:t>Les stations de r</w:t>
      </w:r>
      <w:r w:rsidRPr="0071782F">
        <w:rPr>
          <w:lang w:val="fr-CH"/>
        </w:rPr>
        <w:t xml:space="preserve">adio </w:t>
      </w:r>
      <w:r w:rsidR="002004EC" w:rsidRPr="0071782F">
        <w:rPr>
          <w:lang w:val="fr-CH"/>
        </w:rPr>
        <w:t xml:space="preserve">et de </w:t>
      </w:r>
      <w:r w:rsidRPr="0071782F">
        <w:rPr>
          <w:lang w:val="fr-CH"/>
        </w:rPr>
        <w:t>t</w:t>
      </w:r>
      <w:r w:rsidR="002004EC" w:rsidRPr="0071782F">
        <w:rPr>
          <w:lang w:val="fr-CH"/>
        </w:rPr>
        <w:t>é</w:t>
      </w:r>
      <w:r w:rsidRPr="0071782F">
        <w:rPr>
          <w:lang w:val="fr-CH"/>
        </w:rPr>
        <w:t>l</w:t>
      </w:r>
      <w:r w:rsidR="002004EC" w:rsidRPr="0071782F">
        <w:rPr>
          <w:lang w:val="fr-CH"/>
        </w:rPr>
        <w:t>é</w:t>
      </w:r>
      <w:r w:rsidRPr="0071782F">
        <w:rPr>
          <w:lang w:val="fr-CH"/>
        </w:rPr>
        <w:t xml:space="preserve">vision </w:t>
      </w:r>
      <w:r w:rsidR="002004EC" w:rsidRPr="0071782F">
        <w:rPr>
          <w:lang w:val="fr-CH"/>
        </w:rPr>
        <w:t xml:space="preserve">diffusent chaque semaine des émissions éducatives et culturelles sous la forme d’entrevues d’experts, de spectacles, </w:t>
      </w:r>
      <w:r w:rsidRPr="0071782F">
        <w:rPr>
          <w:lang w:val="fr-CH"/>
        </w:rPr>
        <w:t xml:space="preserve">etc., </w:t>
      </w:r>
      <w:r w:rsidR="002004EC" w:rsidRPr="0071782F">
        <w:rPr>
          <w:lang w:val="fr-CH"/>
        </w:rPr>
        <w:t>e</w:t>
      </w:r>
      <w:r w:rsidRPr="0071782F">
        <w:rPr>
          <w:lang w:val="fr-CH"/>
        </w:rPr>
        <w:t xml:space="preserve">n collaboration </w:t>
      </w:r>
      <w:r w:rsidR="002004EC" w:rsidRPr="0071782F">
        <w:rPr>
          <w:lang w:val="fr-CH"/>
        </w:rPr>
        <w:t>avec les organisations compétentes</w:t>
      </w:r>
      <w:r w:rsidRPr="0071782F">
        <w:rPr>
          <w:lang w:val="fr-CH"/>
        </w:rPr>
        <w:t>.</w:t>
      </w:r>
    </w:p>
    <w:p w:rsidR="00186B76" w:rsidRPr="0071782F" w:rsidRDefault="00186B76" w:rsidP="00A45A11">
      <w:pPr>
        <w:pStyle w:val="SingleTxtG"/>
        <w:ind w:left="1701"/>
        <w:rPr>
          <w:lang w:val="fr-CH"/>
        </w:rPr>
      </w:pPr>
      <w:r w:rsidRPr="0071782F">
        <w:rPr>
          <w:lang w:val="fr-CH"/>
        </w:rPr>
        <w:t>397.4</w:t>
      </w:r>
      <w:r w:rsidR="009D57FA" w:rsidRPr="0071782F">
        <w:rPr>
          <w:lang w:val="fr-CH"/>
        </w:rPr>
        <w:t>.</w:t>
      </w:r>
      <w:r w:rsidRPr="0071782F">
        <w:rPr>
          <w:lang w:val="fr-CH"/>
        </w:rPr>
        <w:tab/>
      </w:r>
      <w:r w:rsidRPr="0071782F">
        <w:rPr>
          <w:i/>
          <w:lang w:val="fr-CH"/>
        </w:rPr>
        <w:t>Organi</w:t>
      </w:r>
      <w:r w:rsidR="002004EC" w:rsidRPr="0071782F">
        <w:rPr>
          <w:i/>
          <w:lang w:val="fr-CH"/>
        </w:rPr>
        <w:t>s</w:t>
      </w:r>
      <w:r w:rsidRPr="0071782F">
        <w:rPr>
          <w:i/>
          <w:lang w:val="fr-CH"/>
        </w:rPr>
        <w:t xml:space="preserve">ation </w:t>
      </w:r>
      <w:r w:rsidR="002004EC" w:rsidRPr="0071782F">
        <w:rPr>
          <w:i/>
          <w:lang w:val="fr-CH"/>
        </w:rPr>
        <w:t>de foires du livre</w:t>
      </w:r>
      <w:r w:rsidR="008F7D33" w:rsidRPr="0071782F">
        <w:rPr>
          <w:i/>
          <w:lang w:val="fr-CH"/>
        </w:rPr>
        <w:t>:</w:t>
      </w:r>
      <w:r w:rsidRPr="0071782F">
        <w:rPr>
          <w:lang w:val="fr-CH"/>
        </w:rPr>
        <w:t xml:space="preserve"> </w:t>
      </w:r>
      <w:r w:rsidR="002004EC" w:rsidRPr="0071782F">
        <w:rPr>
          <w:lang w:val="fr-CH"/>
        </w:rPr>
        <w:t xml:space="preserve">Afin de faciliter l’accès aux livres simples, d’éliminer les obstacles à la lecture et d’améliorer la </w:t>
      </w:r>
      <w:r w:rsidRPr="0071782F">
        <w:rPr>
          <w:lang w:val="fr-CH"/>
        </w:rPr>
        <w:t xml:space="preserve">distribution </w:t>
      </w:r>
      <w:r w:rsidR="002004EC" w:rsidRPr="0071782F">
        <w:rPr>
          <w:lang w:val="fr-CH"/>
        </w:rPr>
        <w:t>des livres, des foires du livre permanentes ou ponctuelles sont organisées en coopé</w:t>
      </w:r>
      <w:r w:rsidRPr="0071782F">
        <w:rPr>
          <w:lang w:val="fr-CH"/>
        </w:rPr>
        <w:t xml:space="preserve">ration </w:t>
      </w:r>
      <w:r w:rsidR="002004EC" w:rsidRPr="0071782F">
        <w:rPr>
          <w:lang w:val="fr-CH"/>
        </w:rPr>
        <w:t>avec d’autres centres culturels</w:t>
      </w:r>
      <w:r w:rsidRPr="0071782F">
        <w:rPr>
          <w:lang w:val="fr-CH"/>
        </w:rPr>
        <w:t>.</w:t>
      </w:r>
    </w:p>
    <w:p w:rsidR="00186B76" w:rsidRPr="0071782F" w:rsidRDefault="00186B76" w:rsidP="00A45A11">
      <w:pPr>
        <w:pStyle w:val="SingleTxtG"/>
        <w:ind w:left="1701"/>
        <w:rPr>
          <w:lang w:val="fr-CH"/>
        </w:rPr>
      </w:pPr>
      <w:r w:rsidRPr="0071782F">
        <w:rPr>
          <w:lang w:val="fr-CH"/>
        </w:rPr>
        <w:t>397.5</w:t>
      </w:r>
      <w:r w:rsidR="009D57FA" w:rsidRPr="0071782F">
        <w:rPr>
          <w:lang w:val="fr-CH"/>
        </w:rPr>
        <w:t>.</w:t>
      </w:r>
      <w:r w:rsidRPr="0071782F">
        <w:rPr>
          <w:lang w:val="fr-CH"/>
        </w:rPr>
        <w:tab/>
      </w:r>
      <w:r w:rsidR="002004EC" w:rsidRPr="0071782F">
        <w:rPr>
          <w:i/>
          <w:lang w:val="fr-CH"/>
        </w:rPr>
        <w:t xml:space="preserve">Équipement des bibliothèques publiques des villes, </w:t>
      </w:r>
      <w:r w:rsidRPr="0071782F">
        <w:rPr>
          <w:i/>
          <w:lang w:val="fr-CH"/>
        </w:rPr>
        <w:t xml:space="preserve">villages, </w:t>
      </w:r>
      <w:r w:rsidR="002004EC" w:rsidRPr="0071782F">
        <w:rPr>
          <w:i/>
          <w:lang w:val="fr-CH"/>
        </w:rPr>
        <w:t xml:space="preserve">postes de </w:t>
      </w:r>
      <w:r w:rsidRPr="0071782F">
        <w:rPr>
          <w:i/>
          <w:lang w:val="fr-CH"/>
        </w:rPr>
        <w:t xml:space="preserve">police </w:t>
      </w:r>
      <w:r w:rsidR="002004EC" w:rsidRPr="0071782F">
        <w:rPr>
          <w:i/>
          <w:lang w:val="fr-CH"/>
        </w:rPr>
        <w:t>et installations militaires, et prisons et autres centres de détention</w:t>
      </w:r>
      <w:r w:rsidR="008F7D33" w:rsidRPr="0071782F">
        <w:rPr>
          <w:i/>
          <w:lang w:val="fr-CH"/>
        </w:rPr>
        <w:t>:</w:t>
      </w:r>
      <w:r w:rsidRPr="0071782F">
        <w:rPr>
          <w:lang w:val="fr-CH"/>
        </w:rPr>
        <w:t xml:space="preserve"> </w:t>
      </w:r>
      <w:r w:rsidR="002004EC" w:rsidRPr="0071782F">
        <w:rPr>
          <w:lang w:val="fr-CH"/>
        </w:rPr>
        <w:t>Afin de créer une atmosphère propice à la lecture et de facilit</w:t>
      </w:r>
      <w:r w:rsidR="000553CD" w:rsidRPr="0071782F">
        <w:rPr>
          <w:lang w:val="fr-CH"/>
        </w:rPr>
        <w:t>e</w:t>
      </w:r>
      <w:r w:rsidR="002004EC" w:rsidRPr="0071782F">
        <w:rPr>
          <w:lang w:val="fr-CH"/>
        </w:rPr>
        <w:t>r l’accès aux livres et aux services de bibliothèque, toutes les bibliothèques et tous les centres culturels publics, tant en milieu urbain qu’en milieu rural, possèdent des livres d’accès facile du Mouvement pour l’alphabétisation.</w:t>
      </w:r>
    </w:p>
    <w:p w:rsidR="00186B76" w:rsidRPr="0071782F" w:rsidRDefault="00186B76" w:rsidP="00A45A11">
      <w:pPr>
        <w:pStyle w:val="H1G"/>
        <w:rPr>
          <w:lang w:val="fr-CH"/>
        </w:rPr>
      </w:pPr>
      <w:r w:rsidRPr="0071782F">
        <w:rPr>
          <w:lang w:val="fr-CH"/>
        </w:rPr>
        <w:tab/>
      </w:r>
      <w:r w:rsidRPr="0071782F">
        <w:rPr>
          <w:lang w:val="fr-CH"/>
        </w:rPr>
        <w:tab/>
      </w:r>
      <w:r w:rsidR="002004EC" w:rsidRPr="0071782F">
        <w:rPr>
          <w:lang w:val="fr-CH"/>
        </w:rPr>
        <w:t xml:space="preserve">Autres activités d’éducation continue </w:t>
      </w:r>
    </w:p>
    <w:p w:rsidR="00186B76" w:rsidRPr="0071782F" w:rsidRDefault="00186B76" w:rsidP="00A45A11">
      <w:pPr>
        <w:pStyle w:val="SingleTxtG"/>
        <w:rPr>
          <w:lang w:val="fr-CH"/>
        </w:rPr>
      </w:pPr>
      <w:r w:rsidRPr="0071782F">
        <w:rPr>
          <w:lang w:val="fr-CH"/>
        </w:rPr>
        <w:t>398.</w:t>
      </w:r>
      <w:r w:rsidRPr="0071782F">
        <w:rPr>
          <w:lang w:val="fr-CH"/>
        </w:rPr>
        <w:tab/>
      </w:r>
      <w:r w:rsidR="002004EC" w:rsidRPr="0071782F">
        <w:rPr>
          <w:lang w:val="fr-CH"/>
        </w:rPr>
        <w:t>Il s’agit notamment des activités suivantes</w:t>
      </w:r>
      <w:r w:rsidR="008F7D33" w:rsidRPr="0071782F">
        <w:rPr>
          <w:lang w:val="fr-CH"/>
        </w:rPr>
        <w:t>:</w:t>
      </w:r>
    </w:p>
    <w:p w:rsidR="00186B76" w:rsidRPr="0071782F" w:rsidRDefault="00186B76" w:rsidP="00A45A11">
      <w:pPr>
        <w:pStyle w:val="SingleTxtG"/>
        <w:ind w:left="1701"/>
        <w:rPr>
          <w:lang w:val="fr-CH"/>
        </w:rPr>
      </w:pPr>
      <w:r w:rsidRPr="0071782F">
        <w:rPr>
          <w:lang w:val="fr-CH"/>
        </w:rPr>
        <w:t>398.1</w:t>
      </w:r>
      <w:r w:rsidR="009D57FA" w:rsidRPr="0071782F">
        <w:rPr>
          <w:lang w:val="fr-CH"/>
        </w:rPr>
        <w:t>.</w:t>
      </w:r>
      <w:r w:rsidRPr="0071782F">
        <w:rPr>
          <w:lang w:val="fr-CH"/>
        </w:rPr>
        <w:tab/>
      </w:r>
      <w:r w:rsidR="001B7099" w:rsidRPr="0071782F">
        <w:rPr>
          <w:lang w:val="fr-CH"/>
        </w:rPr>
        <w:t xml:space="preserve">Élaboration et </w:t>
      </w:r>
      <w:r w:rsidRPr="0071782F">
        <w:rPr>
          <w:lang w:val="fr-CH"/>
        </w:rPr>
        <w:t xml:space="preserve">publication </w:t>
      </w:r>
      <w:r w:rsidR="001B7099" w:rsidRPr="0071782F">
        <w:rPr>
          <w:lang w:val="fr-CH"/>
        </w:rPr>
        <w:t>de livres élémentaires adaptés aux besoins locaux et éducatifs de la population</w:t>
      </w:r>
      <w:r w:rsidRPr="0071782F">
        <w:rPr>
          <w:lang w:val="fr-CH"/>
        </w:rPr>
        <w:t>.</w:t>
      </w:r>
    </w:p>
    <w:p w:rsidR="00186B76" w:rsidRPr="0071782F" w:rsidRDefault="00186B76" w:rsidP="00A45A11">
      <w:pPr>
        <w:pStyle w:val="SingleTxtG"/>
        <w:ind w:left="1701"/>
        <w:rPr>
          <w:lang w:val="fr-CH"/>
        </w:rPr>
      </w:pPr>
      <w:r w:rsidRPr="0071782F">
        <w:rPr>
          <w:lang w:val="fr-CH"/>
        </w:rPr>
        <w:t>398.2</w:t>
      </w:r>
      <w:r w:rsidR="009D57FA" w:rsidRPr="0071782F">
        <w:rPr>
          <w:lang w:val="fr-CH"/>
        </w:rPr>
        <w:t>.</w:t>
      </w:r>
      <w:r w:rsidRPr="0071782F">
        <w:rPr>
          <w:lang w:val="fr-CH"/>
        </w:rPr>
        <w:tab/>
        <w:t>Organi</w:t>
      </w:r>
      <w:r w:rsidR="001B7099" w:rsidRPr="0071782F">
        <w:rPr>
          <w:lang w:val="fr-CH"/>
        </w:rPr>
        <w:t>s</w:t>
      </w:r>
      <w:r w:rsidRPr="0071782F">
        <w:rPr>
          <w:lang w:val="fr-CH"/>
        </w:rPr>
        <w:t xml:space="preserve">ation </w:t>
      </w:r>
      <w:r w:rsidR="001B7099" w:rsidRPr="0071782F">
        <w:rPr>
          <w:lang w:val="fr-CH"/>
        </w:rPr>
        <w:t>au niveau national et provincial, à la faveur d’une coopération intersectorielle, de concours éducatifs et culturels destinés à évaluer les connaissances des apprenants</w:t>
      </w:r>
      <w:r w:rsidRPr="0071782F">
        <w:rPr>
          <w:lang w:val="fr-CH"/>
        </w:rPr>
        <w:t>.</w:t>
      </w:r>
    </w:p>
    <w:p w:rsidR="00186B76" w:rsidRPr="0071782F" w:rsidRDefault="00186B76" w:rsidP="00A45A11">
      <w:pPr>
        <w:pStyle w:val="SingleTxtG"/>
        <w:ind w:left="1701"/>
        <w:rPr>
          <w:lang w:val="fr-CH"/>
        </w:rPr>
      </w:pPr>
      <w:r w:rsidRPr="0071782F">
        <w:rPr>
          <w:lang w:val="fr-CH"/>
        </w:rPr>
        <w:t>398.3</w:t>
      </w:r>
      <w:r w:rsidR="009D57FA" w:rsidRPr="0071782F">
        <w:rPr>
          <w:lang w:val="fr-CH"/>
        </w:rPr>
        <w:t>.</w:t>
      </w:r>
      <w:r w:rsidRPr="0071782F">
        <w:rPr>
          <w:lang w:val="fr-CH"/>
        </w:rPr>
        <w:tab/>
      </w:r>
      <w:r w:rsidR="001B7099" w:rsidRPr="0071782F">
        <w:rPr>
          <w:lang w:val="fr-CH"/>
        </w:rPr>
        <w:t>Élaboration et publication d’affiches pour les centres d’apprentissage locaux</w:t>
      </w:r>
      <w:r w:rsidRPr="0071782F">
        <w:rPr>
          <w:lang w:val="fr-CH"/>
        </w:rPr>
        <w:t>.</w:t>
      </w:r>
    </w:p>
    <w:p w:rsidR="00186B76" w:rsidRPr="0071782F" w:rsidRDefault="00186B76" w:rsidP="009D57FA">
      <w:pPr>
        <w:pStyle w:val="SingleTxtG"/>
        <w:spacing w:after="0"/>
        <w:ind w:left="1701"/>
        <w:rPr>
          <w:lang w:val="fr-CH"/>
        </w:rPr>
      </w:pPr>
      <w:r w:rsidRPr="0071782F">
        <w:rPr>
          <w:lang w:val="fr-CH"/>
        </w:rPr>
        <w:t>398.4</w:t>
      </w:r>
      <w:r w:rsidR="009D57FA" w:rsidRPr="0071782F">
        <w:rPr>
          <w:lang w:val="fr-CH"/>
        </w:rPr>
        <w:t>.</w:t>
      </w:r>
      <w:r w:rsidRPr="0071782F">
        <w:rPr>
          <w:lang w:val="fr-CH"/>
        </w:rPr>
        <w:tab/>
        <w:t>Organi</w:t>
      </w:r>
      <w:r w:rsidR="001B7099" w:rsidRPr="0071782F">
        <w:rPr>
          <w:lang w:val="fr-CH"/>
        </w:rPr>
        <w:t>s</w:t>
      </w:r>
      <w:r w:rsidRPr="0071782F">
        <w:rPr>
          <w:lang w:val="fr-CH"/>
        </w:rPr>
        <w:t xml:space="preserve">ation </w:t>
      </w:r>
      <w:r w:rsidR="001B7099" w:rsidRPr="0071782F">
        <w:rPr>
          <w:lang w:val="fr-CH"/>
        </w:rPr>
        <w:t xml:space="preserve">de concours de récitation et de mémorisation du chapitre </w:t>
      </w:r>
      <w:r w:rsidRPr="0071782F">
        <w:rPr>
          <w:lang w:val="fr-CH"/>
        </w:rPr>
        <w:t xml:space="preserve">30 </w:t>
      </w:r>
      <w:r w:rsidR="001B7099" w:rsidRPr="0071782F">
        <w:rPr>
          <w:lang w:val="fr-CH"/>
        </w:rPr>
        <w:t>du Coran</w:t>
      </w:r>
      <w:r w:rsidRPr="0071782F">
        <w:rPr>
          <w:lang w:val="fr-CH"/>
        </w:rPr>
        <w:t>.</w:t>
      </w:r>
    </w:p>
    <w:p w:rsidR="00186B76" w:rsidRPr="0071782F" w:rsidRDefault="00186B76" w:rsidP="00782B71">
      <w:pPr>
        <w:pStyle w:val="H23G"/>
        <w:rPr>
          <w:lang w:val="fr-CH"/>
        </w:rPr>
      </w:pPr>
      <w:r w:rsidRPr="0071782F">
        <w:rPr>
          <w:lang w:val="fr-CH"/>
        </w:rPr>
        <w:tab/>
      </w:r>
      <w:r w:rsidRPr="0071782F">
        <w:rPr>
          <w:lang w:val="fr-CH"/>
        </w:rPr>
        <w:tab/>
      </w:r>
      <w:r w:rsidR="001B7099" w:rsidRPr="0071782F">
        <w:rPr>
          <w:lang w:val="fr-CH"/>
        </w:rPr>
        <w:t>Importance de l’éducation à mi-temps et de la formation à distance</w:t>
      </w:r>
      <w:r w:rsidRPr="0071782F">
        <w:rPr>
          <w:lang w:val="fr-CH"/>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166"/>
        <w:gridCol w:w="2520"/>
        <w:gridCol w:w="1842"/>
        <w:gridCol w:w="1842"/>
      </w:tblGrid>
      <w:tr w:rsidR="00186B76" w:rsidRPr="0071782F">
        <w:trPr>
          <w:tblHeader/>
        </w:trPr>
        <w:tc>
          <w:tcPr>
            <w:tcW w:w="1166" w:type="dxa"/>
            <w:tcBorders>
              <w:top w:val="single" w:sz="4" w:space="0" w:color="auto"/>
              <w:bottom w:val="single" w:sz="12" w:space="0" w:color="auto"/>
            </w:tcBorders>
            <w:shd w:val="clear" w:color="auto" w:fill="auto"/>
            <w:vAlign w:val="bottom"/>
          </w:tcPr>
          <w:p w:rsidR="00186B76" w:rsidRPr="0071782F" w:rsidRDefault="001B7099" w:rsidP="00782B71">
            <w:pPr>
              <w:keepNext/>
              <w:suppressAutoHyphens w:val="0"/>
              <w:spacing w:before="80" w:after="80" w:line="200" w:lineRule="exact"/>
              <w:rPr>
                <w:i/>
                <w:sz w:val="16"/>
                <w:lang w:val="fr-CH"/>
              </w:rPr>
            </w:pPr>
            <w:r w:rsidRPr="0071782F">
              <w:rPr>
                <w:i/>
                <w:sz w:val="16"/>
                <w:lang w:val="fr-CH"/>
              </w:rPr>
              <w:t>Année</w:t>
            </w:r>
          </w:p>
        </w:tc>
        <w:tc>
          <w:tcPr>
            <w:tcW w:w="2520" w:type="dxa"/>
            <w:tcBorders>
              <w:top w:val="single" w:sz="4" w:space="0" w:color="auto"/>
              <w:bottom w:val="single" w:sz="12" w:space="0" w:color="auto"/>
            </w:tcBorders>
            <w:shd w:val="clear" w:color="auto" w:fill="auto"/>
            <w:vAlign w:val="bottom"/>
          </w:tcPr>
          <w:p w:rsidR="00186B76" w:rsidRPr="0071782F" w:rsidRDefault="001B7099" w:rsidP="00782B71">
            <w:pPr>
              <w:keepNext/>
              <w:suppressAutoHyphens w:val="0"/>
              <w:spacing w:before="80" w:after="80" w:line="200" w:lineRule="exact"/>
              <w:jc w:val="right"/>
              <w:rPr>
                <w:i/>
                <w:sz w:val="16"/>
                <w:lang w:val="fr-CH"/>
              </w:rPr>
            </w:pPr>
            <w:r w:rsidRPr="0071782F">
              <w:rPr>
                <w:i/>
                <w:sz w:val="16"/>
                <w:lang w:val="fr-CH"/>
              </w:rPr>
              <w:t>Nombre d’apprenants dans les groupes de suivi</w:t>
            </w:r>
          </w:p>
        </w:tc>
        <w:tc>
          <w:tcPr>
            <w:tcW w:w="1842" w:type="dxa"/>
            <w:tcBorders>
              <w:top w:val="single" w:sz="4" w:space="0" w:color="auto"/>
              <w:bottom w:val="single" w:sz="12" w:space="0" w:color="auto"/>
            </w:tcBorders>
            <w:shd w:val="clear" w:color="auto" w:fill="auto"/>
            <w:vAlign w:val="bottom"/>
          </w:tcPr>
          <w:p w:rsidR="00186B76" w:rsidRPr="0071782F" w:rsidRDefault="001B7099" w:rsidP="00782B71">
            <w:pPr>
              <w:keepNext/>
              <w:suppressAutoHyphens w:val="0"/>
              <w:spacing w:before="80" w:after="80" w:line="200" w:lineRule="exact"/>
              <w:jc w:val="right"/>
              <w:rPr>
                <w:i/>
                <w:sz w:val="16"/>
                <w:lang w:val="fr-CH"/>
              </w:rPr>
            </w:pPr>
            <w:r w:rsidRPr="0071782F">
              <w:rPr>
                <w:i/>
                <w:sz w:val="16"/>
                <w:lang w:val="fr-CH"/>
              </w:rPr>
              <w:t>Nombre d’apprenants à distance</w:t>
            </w:r>
          </w:p>
        </w:tc>
        <w:tc>
          <w:tcPr>
            <w:tcW w:w="1842" w:type="dxa"/>
            <w:tcBorders>
              <w:top w:val="single" w:sz="4" w:space="0" w:color="auto"/>
              <w:bottom w:val="single" w:sz="12" w:space="0" w:color="auto"/>
            </w:tcBorders>
            <w:shd w:val="clear" w:color="auto" w:fill="auto"/>
            <w:vAlign w:val="bottom"/>
          </w:tcPr>
          <w:p w:rsidR="00186B76" w:rsidRPr="0071782F" w:rsidRDefault="001B7099" w:rsidP="00782B71">
            <w:pPr>
              <w:keepNext/>
              <w:suppressAutoHyphens w:val="0"/>
              <w:spacing w:before="80" w:after="80" w:line="200" w:lineRule="exact"/>
              <w:jc w:val="right"/>
              <w:rPr>
                <w:i/>
                <w:sz w:val="16"/>
                <w:lang w:val="fr-CH"/>
              </w:rPr>
            </w:pPr>
            <w:r w:rsidRPr="0071782F">
              <w:rPr>
                <w:i/>
                <w:sz w:val="16"/>
                <w:lang w:val="fr-CH"/>
              </w:rPr>
              <w:t>Nombre d’apprenants à l’aide des médias</w:t>
            </w:r>
          </w:p>
        </w:tc>
      </w:tr>
      <w:tr w:rsidR="00186B76" w:rsidRPr="0071782F">
        <w:tc>
          <w:tcPr>
            <w:tcW w:w="1166" w:type="dxa"/>
            <w:tcBorders>
              <w:top w:val="single" w:sz="12" w:space="0" w:color="auto"/>
            </w:tcBorders>
            <w:shd w:val="clear" w:color="auto" w:fill="auto"/>
            <w:vAlign w:val="bottom"/>
          </w:tcPr>
          <w:p w:rsidR="00186B76" w:rsidRPr="0071782F" w:rsidRDefault="00186B76" w:rsidP="008D446F">
            <w:pPr>
              <w:keepNext/>
              <w:suppressAutoHyphens w:val="0"/>
              <w:spacing w:before="40" w:after="40" w:line="220" w:lineRule="exact"/>
              <w:rPr>
                <w:sz w:val="18"/>
                <w:lang w:val="fr-CH"/>
              </w:rPr>
            </w:pPr>
            <w:r w:rsidRPr="0071782F">
              <w:rPr>
                <w:sz w:val="18"/>
                <w:lang w:val="fr-CH"/>
              </w:rPr>
              <w:t>1997</w:t>
            </w:r>
            <w:r w:rsidR="008D446F">
              <w:rPr>
                <w:sz w:val="18"/>
                <w:lang w:val="fr-CH"/>
              </w:rPr>
              <w:t>-</w:t>
            </w:r>
            <w:r w:rsidRPr="0071782F">
              <w:rPr>
                <w:sz w:val="18"/>
                <w:lang w:val="fr-CH"/>
              </w:rPr>
              <w:t>2006</w:t>
            </w:r>
          </w:p>
        </w:tc>
        <w:tc>
          <w:tcPr>
            <w:tcW w:w="2520" w:type="dxa"/>
            <w:tcBorders>
              <w:top w:val="single" w:sz="12" w:space="0" w:color="auto"/>
            </w:tcBorders>
            <w:shd w:val="clear" w:color="auto" w:fill="auto"/>
            <w:vAlign w:val="bottom"/>
          </w:tcPr>
          <w:p w:rsidR="00186B76" w:rsidRPr="0071782F" w:rsidRDefault="00186B76" w:rsidP="00782B71">
            <w:pPr>
              <w:keepNext/>
              <w:suppressAutoHyphens w:val="0"/>
              <w:spacing w:before="40" w:after="40" w:line="220" w:lineRule="exact"/>
              <w:jc w:val="right"/>
              <w:rPr>
                <w:sz w:val="18"/>
                <w:lang w:val="fr-CH"/>
              </w:rPr>
            </w:pPr>
            <w:r w:rsidRPr="0071782F">
              <w:rPr>
                <w:sz w:val="18"/>
                <w:lang w:val="fr-CH"/>
              </w:rPr>
              <w:t>2 411 672</w:t>
            </w:r>
          </w:p>
        </w:tc>
        <w:tc>
          <w:tcPr>
            <w:tcW w:w="1842" w:type="dxa"/>
            <w:tcBorders>
              <w:top w:val="single" w:sz="12" w:space="0" w:color="auto"/>
            </w:tcBorders>
            <w:shd w:val="clear" w:color="auto" w:fill="auto"/>
            <w:vAlign w:val="bottom"/>
          </w:tcPr>
          <w:p w:rsidR="00186B76" w:rsidRPr="0071782F" w:rsidRDefault="00186B76" w:rsidP="00782B71">
            <w:pPr>
              <w:keepNext/>
              <w:suppressAutoHyphens w:val="0"/>
              <w:spacing w:before="40" w:after="40" w:line="220" w:lineRule="exact"/>
              <w:jc w:val="right"/>
              <w:rPr>
                <w:sz w:val="18"/>
                <w:lang w:val="fr-CH"/>
              </w:rPr>
            </w:pPr>
            <w:r w:rsidRPr="0071782F">
              <w:rPr>
                <w:sz w:val="18"/>
                <w:lang w:val="fr-CH"/>
              </w:rPr>
              <w:t>761 706</w:t>
            </w:r>
          </w:p>
        </w:tc>
        <w:tc>
          <w:tcPr>
            <w:tcW w:w="1842" w:type="dxa"/>
            <w:tcBorders>
              <w:top w:val="single" w:sz="12" w:space="0" w:color="auto"/>
            </w:tcBorders>
            <w:shd w:val="clear" w:color="auto" w:fill="auto"/>
            <w:vAlign w:val="bottom"/>
          </w:tcPr>
          <w:p w:rsidR="00186B76" w:rsidRPr="0071782F" w:rsidRDefault="00186B76" w:rsidP="00782B71">
            <w:pPr>
              <w:keepNext/>
              <w:suppressAutoHyphens w:val="0"/>
              <w:spacing w:before="40" w:after="40" w:line="220" w:lineRule="exact"/>
              <w:jc w:val="right"/>
              <w:rPr>
                <w:sz w:val="18"/>
                <w:lang w:val="fr-CH"/>
              </w:rPr>
            </w:pPr>
            <w:r w:rsidRPr="0071782F">
              <w:rPr>
                <w:sz w:val="18"/>
                <w:lang w:val="fr-CH"/>
              </w:rPr>
              <w:t>193 893</w:t>
            </w:r>
          </w:p>
        </w:tc>
      </w:tr>
    </w:tbl>
    <w:p w:rsidR="00186B76" w:rsidRPr="0071782F" w:rsidRDefault="00186B76" w:rsidP="00782B71">
      <w:pPr>
        <w:pStyle w:val="H23G"/>
        <w:rPr>
          <w:lang w:val="fr-CH"/>
        </w:rPr>
      </w:pPr>
      <w:r w:rsidRPr="0071782F">
        <w:rPr>
          <w:lang w:val="fr-CH"/>
        </w:rPr>
        <w:tab/>
      </w:r>
      <w:r w:rsidRPr="0071782F">
        <w:rPr>
          <w:lang w:val="fr-CH"/>
        </w:rPr>
        <w:tab/>
      </w:r>
      <w:r w:rsidR="001B7099" w:rsidRPr="0071782F">
        <w:rPr>
          <w:lang w:val="fr-CH"/>
        </w:rPr>
        <w:t xml:space="preserve">Services offerts par les bibliobus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066"/>
        <w:gridCol w:w="1800"/>
        <w:gridCol w:w="1700"/>
        <w:gridCol w:w="1100"/>
        <w:gridCol w:w="1704"/>
      </w:tblGrid>
      <w:tr w:rsidR="00186B76" w:rsidRPr="0071782F">
        <w:trPr>
          <w:tblHeader/>
        </w:trPr>
        <w:tc>
          <w:tcPr>
            <w:tcW w:w="1066" w:type="dxa"/>
            <w:tcBorders>
              <w:top w:val="single" w:sz="4" w:space="0" w:color="auto"/>
              <w:bottom w:val="single" w:sz="12" w:space="0" w:color="auto"/>
            </w:tcBorders>
            <w:shd w:val="clear" w:color="auto" w:fill="auto"/>
            <w:vAlign w:val="bottom"/>
          </w:tcPr>
          <w:p w:rsidR="00186B76" w:rsidRPr="0071782F" w:rsidRDefault="001B7099" w:rsidP="003B1403">
            <w:pPr>
              <w:suppressAutoHyphens w:val="0"/>
              <w:spacing w:before="80" w:after="80" w:line="200" w:lineRule="exact"/>
              <w:rPr>
                <w:i/>
                <w:sz w:val="16"/>
                <w:lang w:val="fr-CH"/>
              </w:rPr>
            </w:pPr>
            <w:r w:rsidRPr="0071782F">
              <w:rPr>
                <w:i/>
                <w:sz w:val="16"/>
                <w:lang w:val="fr-CH"/>
              </w:rPr>
              <w:t>Année</w:t>
            </w:r>
          </w:p>
        </w:tc>
        <w:tc>
          <w:tcPr>
            <w:tcW w:w="1800" w:type="dxa"/>
            <w:tcBorders>
              <w:top w:val="single" w:sz="4" w:space="0" w:color="auto"/>
              <w:bottom w:val="single" w:sz="12" w:space="0" w:color="auto"/>
            </w:tcBorders>
            <w:shd w:val="clear" w:color="auto" w:fill="auto"/>
            <w:vAlign w:val="bottom"/>
          </w:tcPr>
          <w:p w:rsidR="00186B76" w:rsidRPr="0071782F" w:rsidRDefault="001B7099" w:rsidP="003B1403">
            <w:pPr>
              <w:suppressAutoHyphens w:val="0"/>
              <w:spacing w:before="80" w:after="80" w:line="200" w:lineRule="exact"/>
              <w:jc w:val="right"/>
              <w:rPr>
                <w:i/>
                <w:sz w:val="16"/>
                <w:lang w:val="fr-CH"/>
              </w:rPr>
            </w:pPr>
            <w:r w:rsidRPr="0071782F">
              <w:rPr>
                <w:i/>
                <w:sz w:val="16"/>
                <w:lang w:val="fr-CH"/>
              </w:rPr>
              <w:t>Nombre de bibliobus</w:t>
            </w:r>
          </w:p>
        </w:tc>
        <w:tc>
          <w:tcPr>
            <w:tcW w:w="1700" w:type="dxa"/>
            <w:tcBorders>
              <w:top w:val="single" w:sz="4" w:space="0" w:color="auto"/>
              <w:bottom w:val="single" w:sz="12" w:space="0" w:color="auto"/>
            </w:tcBorders>
            <w:shd w:val="clear" w:color="auto" w:fill="auto"/>
            <w:vAlign w:val="bottom"/>
          </w:tcPr>
          <w:p w:rsidR="00186B76" w:rsidRPr="0071782F" w:rsidRDefault="001B7099" w:rsidP="003B1403">
            <w:pPr>
              <w:suppressAutoHyphens w:val="0"/>
              <w:spacing w:before="80" w:after="80" w:line="200" w:lineRule="exact"/>
              <w:jc w:val="right"/>
              <w:rPr>
                <w:i/>
                <w:sz w:val="16"/>
                <w:lang w:val="fr-CH"/>
              </w:rPr>
            </w:pPr>
            <w:r w:rsidRPr="0071782F">
              <w:rPr>
                <w:i/>
                <w:sz w:val="16"/>
                <w:lang w:val="fr-CH"/>
              </w:rPr>
              <w:t>Nombre de villages bénéficiaires</w:t>
            </w:r>
          </w:p>
        </w:tc>
        <w:tc>
          <w:tcPr>
            <w:tcW w:w="1100" w:type="dxa"/>
            <w:tcBorders>
              <w:top w:val="single" w:sz="4" w:space="0" w:color="auto"/>
              <w:bottom w:val="single" w:sz="12" w:space="0" w:color="auto"/>
            </w:tcBorders>
            <w:shd w:val="clear" w:color="auto" w:fill="auto"/>
            <w:vAlign w:val="bottom"/>
          </w:tcPr>
          <w:p w:rsidR="00186B76" w:rsidRPr="0071782F" w:rsidRDefault="001B7099" w:rsidP="003B1403">
            <w:pPr>
              <w:suppressAutoHyphens w:val="0"/>
              <w:spacing w:before="80" w:after="80" w:line="200" w:lineRule="exact"/>
              <w:jc w:val="right"/>
              <w:rPr>
                <w:i/>
                <w:sz w:val="16"/>
                <w:lang w:val="fr-CH"/>
              </w:rPr>
            </w:pPr>
            <w:r w:rsidRPr="0071782F">
              <w:rPr>
                <w:i/>
                <w:sz w:val="16"/>
                <w:lang w:val="fr-CH"/>
              </w:rPr>
              <w:t>Nombre d’utilisateurs</w:t>
            </w:r>
          </w:p>
        </w:tc>
        <w:tc>
          <w:tcPr>
            <w:tcW w:w="1704" w:type="dxa"/>
            <w:tcBorders>
              <w:top w:val="single" w:sz="4" w:space="0" w:color="auto"/>
              <w:bottom w:val="single" w:sz="12" w:space="0" w:color="auto"/>
            </w:tcBorders>
            <w:shd w:val="clear" w:color="auto" w:fill="auto"/>
            <w:vAlign w:val="bottom"/>
          </w:tcPr>
          <w:p w:rsidR="00186B76" w:rsidRPr="0071782F" w:rsidRDefault="001B7099" w:rsidP="003B1403">
            <w:pPr>
              <w:suppressAutoHyphens w:val="0"/>
              <w:spacing w:before="80" w:after="80" w:line="200" w:lineRule="exact"/>
              <w:jc w:val="right"/>
              <w:rPr>
                <w:i/>
                <w:sz w:val="16"/>
                <w:lang w:val="fr-CH"/>
              </w:rPr>
            </w:pPr>
            <w:r w:rsidRPr="0071782F">
              <w:rPr>
                <w:i/>
                <w:sz w:val="16"/>
                <w:lang w:val="fr-CH"/>
              </w:rPr>
              <w:t>Nombre d’</w:t>
            </w:r>
            <w:r w:rsidR="00723F2B" w:rsidRPr="0071782F">
              <w:rPr>
                <w:i/>
                <w:sz w:val="16"/>
                <w:lang w:val="fr-CH"/>
              </w:rPr>
              <w:t>articles </w:t>
            </w:r>
            <w:r w:rsidRPr="0071782F">
              <w:rPr>
                <w:i/>
                <w:sz w:val="16"/>
                <w:lang w:val="fr-CH"/>
              </w:rPr>
              <w:t>empruntés</w:t>
            </w:r>
          </w:p>
        </w:tc>
      </w:tr>
      <w:tr w:rsidR="00186B76" w:rsidRPr="0071782F">
        <w:tc>
          <w:tcPr>
            <w:tcW w:w="1066" w:type="dxa"/>
            <w:tcBorders>
              <w:top w:val="single" w:sz="12" w:space="0" w:color="auto"/>
            </w:tcBorders>
            <w:shd w:val="clear" w:color="auto" w:fill="auto"/>
            <w:vAlign w:val="bottom"/>
          </w:tcPr>
          <w:p w:rsidR="00186B76" w:rsidRPr="0071782F" w:rsidRDefault="00186B76" w:rsidP="008D446F">
            <w:pPr>
              <w:suppressAutoHyphens w:val="0"/>
              <w:spacing w:before="40" w:after="40" w:line="220" w:lineRule="exact"/>
              <w:rPr>
                <w:sz w:val="18"/>
                <w:lang w:val="fr-CH"/>
              </w:rPr>
            </w:pPr>
            <w:r w:rsidRPr="0071782F">
              <w:rPr>
                <w:sz w:val="18"/>
                <w:lang w:val="fr-CH"/>
              </w:rPr>
              <w:t>1997</w:t>
            </w:r>
            <w:r w:rsidR="008D446F">
              <w:rPr>
                <w:sz w:val="18"/>
                <w:lang w:val="fr-CH"/>
              </w:rPr>
              <w:t>-</w:t>
            </w:r>
            <w:r w:rsidRPr="0071782F">
              <w:rPr>
                <w:sz w:val="18"/>
                <w:lang w:val="fr-CH"/>
              </w:rPr>
              <w:t>2006</w:t>
            </w:r>
          </w:p>
        </w:tc>
        <w:tc>
          <w:tcPr>
            <w:tcW w:w="1800" w:type="dxa"/>
            <w:tcBorders>
              <w:top w:val="single" w:sz="12" w:space="0" w:color="auto"/>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22</w:t>
            </w:r>
          </w:p>
        </w:tc>
        <w:tc>
          <w:tcPr>
            <w:tcW w:w="1700" w:type="dxa"/>
            <w:tcBorders>
              <w:top w:val="single" w:sz="12" w:space="0" w:color="auto"/>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2 307</w:t>
            </w:r>
          </w:p>
        </w:tc>
        <w:tc>
          <w:tcPr>
            <w:tcW w:w="1100" w:type="dxa"/>
            <w:tcBorders>
              <w:top w:val="single" w:sz="12" w:space="0" w:color="auto"/>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238 597</w:t>
            </w:r>
          </w:p>
        </w:tc>
        <w:tc>
          <w:tcPr>
            <w:tcW w:w="1704" w:type="dxa"/>
            <w:tcBorders>
              <w:top w:val="single" w:sz="12" w:space="0" w:color="auto"/>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264 903</w:t>
            </w:r>
          </w:p>
        </w:tc>
      </w:tr>
    </w:tbl>
    <w:p w:rsidR="00186B76" w:rsidRPr="0071782F" w:rsidRDefault="00186B76" w:rsidP="00A45A11">
      <w:pPr>
        <w:pStyle w:val="H23G"/>
        <w:rPr>
          <w:lang w:val="fr-CH"/>
        </w:rPr>
      </w:pPr>
      <w:r w:rsidRPr="0071782F">
        <w:rPr>
          <w:lang w:val="fr-CH"/>
        </w:rPr>
        <w:tab/>
      </w:r>
      <w:r w:rsidRPr="0071782F">
        <w:rPr>
          <w:lang w:val="fr-CH"/>
        </w:rPr>
        <w:tab/>
      </w:r>
      <w:r w:rsidR="001B7099" w:rsidRPr="0071782F">
        <w:rPr>
          <w:lang w:val="fr-CH"/>
        </w:rPr>
        <w:t>P</w:t>
      </w:r>
      <w:r w:rsidRPr="0071782F">
        <w:rPr>
          <w:lang w:val="fr-CH"/>
        </w:rPr>
        <w:t xml:space="preserve">ublications </w:t>
      </w:r>
      <w:r w:rsidR="001B7099" w:rsidRPr="0071782F">
        <w:rPr>
          <w:lang w:val="fr-CH"/>
        </w:rPr>
        <w:t xml:space="preserve">spéciales pour les groupes peu instruits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473"/>
        <w:gridCol w:w="1474"/>
        <w:gridCol w:w="1474"/>
        <w:gridCol w:w="1474"/>
        <w:gridCol w:w="1475"/>
      </w:tblGrid>
      <w:tr w:rsidR="00186B76" w:rsidRPr="0071782F">
        <w:trPr>
          <w:tblHeader/>
        </w:trPr>
        <w:tc>
          <w:tcPr>
            <w:tcW w:w="1915" w:type="dxa"/>
            <w:tcBorders>
              <w:top w:val="single" w:sz="4" w:space="0" w:color="auto"/>
              <w:bottom w:val="single" w:sz="12" w:space="0" w:color="auto"/>
            </w:tcBorders>
            <w:shd w:val="clear" w:color="auto" w:fill="auto"/>
            <w:vAlign w:val="bottom"/>
          </w:tcPr>
          <w:p w:rsidR="00186B76" w:rsidRPr="0071782F" w:rsidRDefault="001B7099" w:rsidP="003B1403">
            <w:pPr>
              <w:suppressAutoHyphens w:val="0"/>
              <w:spacing w:before="80" w:after="80" w:line="200" w:lineRule="exact"/>
              <w:rPr>
                <w:i/>
                <w:sz w:val="16"/>
                <w:lang w:val="fr-CH"/>
              </w:rPr>
            </w:pPr>
            <w:r w:rsidRPr="0071782F">
              <w:rPr>
                <w:i/>
                <w:sz w:val="16"/>
                <w:lang w:val="fr-CH"/>
              </w:rPr>
              <w:t>Année</w:t>
            </w:r>
          </w:p>
        </w:tc>
        <w:tc>
          <w:tcPr>
            <w:tcW w:w="1915" w:type="dxa"/>
            <w:tcBorders>
              <w:top w:val="single" w:sz="4" w:space="0" w:color="auto"/>
              <w:bottom w:val="single" w:sz="12" w:space="0" w:color="auto"/>
            </w:tcBorders>
            <w:shd w:val="clear" w:color="auto" w:fill="auto"/>
            <w:vAlign w:val="bottom"/>
          </w:tcPr>
          <w:p w:rsidR="00186B76" w:rsidRPr="0071782F" w:rsidRDefault="001B7099" w:rsidP="003B1403">
            <w:pPr>
              <w:suppressAutoHyphens w:val="0"/>
              <w:spacing w:before="80" w:after="80" w:line="200" w:lineRule="exact"/>
              <w:jc w:val="right"/>
              <w:rPr>
                <w:i/>
                <w:sz w:val="16"/>
                <w:lang w:val="fr-CH"/>
              </w:rPr>
            </w:pPr>
            <w:r w:rsidRPr="0071782F">
              <w:rPr>
                <w:i/>
                <w:sz w:val="16"/>
                <w:lang w:val="fr-CH"/>
              </w:rPr>
              <w:t>Nombre de</w:t>
            </w:r>
            <w:r w:rsidR="00186B76" w:rsidRPr="0071782F">
              <w:rPr>
                <w:i/>
                <w:sz w:val="16"/>
                <w:lang w:val="fr-CH"/>
              </w:rPr>
              <w:t xml:space="preserve"> provinces</w:t>
            </w:r>
          </w:p>
        </w:tc>
        <w:tc>
          <w:tcPr>
            <w:tcW w:w="1915" w:type="dxa"/>
            <w:tcBorders>
              <w:top w:val="single" w:sz="4" w:space="0" w:color="auto"/>
              <w:bottom w:val="single" w:sz="12" w:space="0" w:color="auto"/>
            </w:tcBorders>
            <w:shd w:val="clear" w:color="auto" w:fill="auto"/>
            <w:vAlign w:val="bottom"/>
          </w:tcPr>
          <w:p w:rsidR="00186B76" w:rsidRPr="0071782F" w:rsidRDefault="001B7099" w:rsidP="003B1403">
            <w:pPr>
              <w:suppressAutoHyphens w:val="0"/>
              <w:spacing w:before="80" w:after="80" w:line="200" w:lineRule="exact"/>
              <w:jc w:val="right"/>
              <w:rPr>
                <w:i/>
                <w:sz w:val="16"/>
                <w:lang w:val="fr-CH"/>
              </w:rPr>
            </w:pPr>
            <w:r w:rsidRPr="0071782F">
              <w:rPr>
                <w:i/>
                <w:sz w:val="16"/>
                <w:lang w:val="fr-CH"/>
              </w:rPr>
              <w:t>Nombre d’éditions périodiques</w:t>
            </w:r>
          </w:p>
        </w:tc>
        <w:tc>
          <w:tcPr>
            <w:tcW w:w="1915" w:type="dxa"/>
            <w:tcBorders>
              <w:top w:val="single" w:sz="4" w:space="0" w:color="auto"/>
              <w:bottom w:val="single" w:sz="12" w:space="0" w:color="auto"/>
            </w:tcBorders>
            <w:shd w:val="clear" w:color="auto" w:fill="auto"/>
            <w:vAlign w:val="bottom"/>
          </w:tcPr>
          <w:p w:rsidR="00186B76" w:rsidRPr="0071782F" w:rsidRDefault="001B7099" w:rsidP="003B1403">
            <w:pPr>
              <w:suppressAutoHyphens w:val="0"/>
              <w:spacing w:before="80" w:after="80" w:line="200" w:lineRule="exact"/>
              <w:jc w:val="right"/>
              <w:rPr>
                <w:i/>
                <w:sz w:val="16"/>
                <w:lang w:val="fr-CH"/>
              </w:rPr>
            </w:pPr>
            <w:r w:rsidRPr="0071782F">
              <w:rPr>
                <w:i/>
                <w:sz w:val="16"/>
                <w:lang w:val="fr-CH"/>
              </w:rPr>
              <w:t>Nombre mensuel d’exemplaires publiés</w:t>
            </w:r>
          </w:p>
        </w:tc>
        <w:tc>
          <w:tcPr>
            <w:tcW w:w="1916" w:type="dxa"/>
            <w:tcBorders>
              <w:top w:val="single" w:sz="4" w:space="0" w:color="auto"/>
              <w:bottom w:val="single" w:sz="12" w:space="0" w:color="auto"/>
            </w:tcBorders>
            <w:shd w:val="clear" w:color="auto" w:fill="auto"/>
            <w:vAlign w:val="bottom"/>
          </w:tcPr>
          <w:p w:rsidR="00186B76" w:rsidRPr="0071782F" w:rsidRDefault="001B7099" w:rsidP="003B1403">
            <w:pPr>
              <w:suppressAutoHyphens w:val="0"/>
              <w:spacing w:before="80" w:after="80" w:line="200" w:lineRule="exact"/>
              <w:jc w:val="right"/>
              <w:rPr>
                <w:i/>
                <w:sz w:val="16"/>
                <w:lang w:val="fr-CH"/>
              </w:rPr>
            </w:pPr>
            <w:r w:rsidRPr="0071782F">
              <w:rPr>
                <w:i/>
                <w:sz w:val="16"/>
                <w:lang w:val="fr-CH"/>
              </w:rPr>
              <w:t>Nombre annuel d’exemplaires publiés</w:t>
            </w:r>
          </w:p>
        </w:tc>
      </w:tr>
      <w:tr w:rsidR="00186B76" w:rsidRPr="0071782F">
        <w:tc>
          <w:tcPr>
            <w:tcW w:w="1915" w:type="dxa"/>
            <w:tcBorders>
              <w:top w:val="single" w:sz="12" w:space="0" w:color="auto"/>
            </w:tcBorders>
            <w:shd w:val="clear" w:color="auto" w:fill="auto"/>
            <w:vAlign w:val="bottom"/>
          </w:tcPr>
          <w:p w:rsidR="00186B76" w:rsidRPr="0071782F" w:rsidRDefault="00186B76" w:rsidP="008D446F">
            <w:pPr>
              <w:suppressAutoHyphens w:val="0"/>
              <w:spacing w:before="40" w:after="40" w:line="220" w:lineRule="exact"/>
              <w:rPr>
                <w:sz w:val="18"/>
                <w:lang w:val="fr-CH"/>
              </w:rPr>
            </w:pPr>
            <w:r w:rsidRPr="0071782F">
              <w:rPr>
                <w:sz w:val="18"/>
                <w:lang w:val="fr-CH"/>
              </w:rPr>
              <w:t>1997</w:t>
            </w:r>
            <w:r w:rsidR="008D446F">
              <w:rPr>
                <w:sz w:val="18"/>
                <w:lang w:val="fr-CH"/>
              </w:rPr>
              <w:t>-</w:t>
            </w:r>
            <w:r w:rsidRPr="0071782F">
              <w:rPr>
                <w:sz w:val="18"/>
                <w:lang w:val="fr-CH"/>
              </w:rPr>
              <w:t>2006</w:t>
            </w:r>
          </w:p>
        </w:tc>
        <w:tc>
          <w:tcPr>
            <w:tcW w:w="1915" w:type="dxa"/>
            <w:tcBorders>
              <w:top w:val="single" w:sz="12" w:space="0" w:color="auto"/>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31</w:t>
            </w:r>
          </w:p>
        </w:tc>
        <w:tc>
          <w:tcPr>
            <w:tcW w:w="1915" w:type="dxa"/>
            <w:tcBorders>
              <w:top w:val="single" w:sz="12" w:space="0" w:color="auto"/>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1 010</w:t>
            </w:r>
          </w:p>
        </w:tc>
        <w:tc>
          <w:tcPr>
            <w:tcW w:w="1915" w:type="dxa"/>
            <w:tcBorders>
              <w:top w:val="single" w:sz="12" w:space="0" w:color="auto"/>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7 000</w:t>
            </w:r>
          </w:p>
        </w:tc>
        <w:tc>
          <w:tcPr>
            <w:tcW w:w="1916" w:type="dxa"/>
            <w:tcBorders>
              <w:top w:val="single" w:sz="12" w:space="0" w:color="auto"/>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6 237 000</w:t>
            </w:r>
          </w:p>
        </w:tc>
      </w:tr>
    </w:tbl>
    <w:p w:rsidR="00186B76" w:rsidRPr="0071782F" w:rsidRDefault="00186B76" w:rsidP="00A45A11">
      <w:pPr>
        <w:pStyle w:val="H1G"/>
        <w:rPr>
          <w:lang w:val="fr-CH"/>
        </w:rPr>
      </w:pPr>
      <w:r w:rsidRPr="0071782F">
        <w:rPr>
          <w:lang w:val="fr-CH"/>
        </w:rPr>
        <w:tab/>
      </w:r>
      <w:r w:rsidRPr="0071782F">
        <w:rPr>
          <w:lang w:val="fr-CH"/>
        </w:rPr>
        <w:tab/>
      </w:r>
      <w:r w:rsidR="001B7099" w:rsidRPr="0071782F">
        <w:rPr>
          <w:lang w:val="fr-CH"/>
        </w:rPr>
        <w:t xml:space="preserve">Alphabétisation des réfugiés iraquiens et afghans pendant la période </w:t>
      </w:r>
      <w:r w:rsidRPr="0071782F">
        <w:rPr>
          <w:lang w:val="fr-CH"/>
        </w:rPr>
        <w:t>1997</w:t>
      </w:r>
      <w:r w:rsidR="001B7099" w:rsidRPr="0071782F">
        <w:rPr>
          <w:lang w:val="fr-CH"/>
        </w:rPr>
        <w:t>-</w:t>
      </w:r>
      <w:r w:rsidRPr="0071782F">
        <w:rPr>
          <w:lang w:val="fr-CH"/>
        </w:rPr>
        <w:t>2006</w:t>
      </w:r>
    </w:p>
    <w:p w:rsidR="00186B76" w:rsidRPr="0071782F" w:rsidRDefault="00186B76" w:rsidP="00A45A11">
      <w:pPr>
        <w:pStyle w:val="SingleTxtG"/>
        <w:rPr>
          <w:lang w:val="fr-CH"/>
        </w:rPr>
      </w:pPr>
      <w:r w:rsidRPr="0071782F">
        <w:rPr>
          <w:lang w:val="fr-CH"/>
        </w:rPr>
        <w:t>399.</w:t>
      </w:r>
      <w:r w:rsidRPr="0071782F">
        <w:rPr>
          <w:lang w:val="fr-CH"/>
        </w:rPr>
        <w:tab/>
      </w:r>
      <w:r w:rsidR="00E31A8B" w:rsidRPr="0071782F">
        <w:rPr>
          <w:lang w:val="fr-CH"/>
        </w:rPr>
        <w:t xml:space="preserve">L’éclatement de la guerre en </w:t>
      </w:r>
      <w:r w:rsidRPr="0071782F">
        <w:rPr>
          <w:lang w:val="fr-CH"/>
        </w:rPr>
        <w:t xml:space="preserve">Afghanistan </w:t>
      </w:r>
      <w:r w:rsidR="00E31A8B" w:rsidRPr="0071782F">
        <w:rPr>
          <w:lang w:val="fr-CH"/>
        </w:rPr>
        <w:t xml:space="preserve">s’est traduit par un afflux massif de réfugiés afghans en </w:t>
      </w:r>
      <w:r w:rsidRPr="0071782F">
        <w:rPr>
          <w:lang w:val="fr-CH"/>
        </w:rPr>
        <w:t xml:space="preserve">Iran. </w:t>
      </w:r>
      <w:r w:rsidR="00E022E2" w:rsidRPr="0071782F">
        <w:rPr>
          <w:lang w:val="fr-CH"/>
        </w:rPr>
        <w:t xml:space="preserve">Par souci humanitaire, toutes </w:t>
      </w:r>
      <w:r w:rsidR="00A233C2" w:rsidRPr="0071782F">
        <w:rPr>
          <w:lang w:val="fr-CH"/>
        </w:rPr>
        <w:t>les personnes</w:t>
      </w:r>
      <w:r w:rsidR="00E022E2" w:rsidRPr="0071782F">
        <w:rPr>
          <w:lang w:val="fr-CH"/>
        </w:rPr>
        <w:t xml:space="preserve"> remplissant les conditions requises ont bénéficié de divers programmes d’alphabétisation</w:t>
      </w:r>
      <w:r w:rsidRPr="0071782F">
        <w:rPr>
          <w:lang w:val="fr-CH"/>
        </w:rPr>
        <w:t xml:space="preserve">. </w:t>
      </w:r>
      <w:r w:rsidR="00E022E2" w:rsidRPr="0071782F">
        <w:rPr>
          <w:lang w:val="fr-CH"/>
        </w:rPr>
        <w:t xml:space="preserve">Entre </w:t>
      </w:r>
      <w:r w:rsidRPr="0071782F">
        <w:rPr>
          <w:lang w:val="fr-CH"/>
        </w:rPr>
        <w:t>1997</w:t>
      </w:r>
      <w:r w:rsidR="00D8225C">
        <w:rPr>
          <w:lang w:val="fr-CH"/>
        </w:rPr>
        <w:t xml:space="preserve"> et </w:t>
      </w:r>
      <w:r w:rsidRPr="0071782F">
        <w:rPr>
          <w:lang w:val="fr-CH"/>
        </w:rPr>
        <w:t xml:space="preserve">2006, </w:t>
      </w:r>
      <w:r w:rsidR="00E022E2" w:rsidRPr="0071782F">
        <w:rPr>
          <w:lang w:val="fr-CH"/>
        </w:rPr>
        <w:t xml:space="preserve">cela a été le cas de </w:t>
      </w:r>
      <w:r w:rsidRPr="0071782F">
        <w:rPr>
          <w:lang w:val="fr-CH"/>
        </w:rPr>
        <w:t>21</w:t>
      </w:r>
      <w:r w:rsidR="00D8225C">
        <w:rPr>
          <w:lang w:val="fr-CH"/>
        </w:rPr>
        <w:t> </w:t>
      </w:r>
      <w:r w:rsidRPr="0071782F">
        <w:rPr>
          <w:lang w:val="fr-CH"/>
        </w:rPr>
        <w:t xml:space="preserve">434 </w:t>
      </w:r>
      <w:r w:rsidR="00E022E2" w:rsidRPr="0071782F">
        <w:rPr>
          <w:lang w:val="fr-CH"/>
        </w:rPr>
        <w:t xml:space="preserve">réfugiés </w:t>
      </w:r>
      <w:r w:rsidR="0071782F" w:rsidRPr="0071782F">
        <w:rPr>
          <w:lang w:val="fr-CH"/>
        </w:rPr>
        <w:t>iraquiens</w:t>
      </w:r>
      <w:r w:rsidR="00E022E2" w:rsidRPr="0071782F">
        <w:rPr>
          <w:lang w:val="fr-CH"/>
        </w:rPr>
        <w:t xml:space="preserve"> et de </w:t>
      </w:r>
      <w:r w:rsidRPr="0071782F">
        <w:rPr>
          <w:lang w:val="fr-CH"/>
        </w:rPr>
        <w:t>323</w:t>
      </w:r>
      <w:r w:rsidR="00D8225C">
        <w:rPr>
          <w:lang w:val="fr-CH"/>
        </w:rPr>
        <w:t> </w:t>
      </w:r>
      <w:r w:rsidRPr="0071782F">
        <w:rPr>
          <w:lang w:val="fr-CH"/>
        </w:rPr>
        <w:t xml:space="preserve">823 </w:t>
      </w:r>
      <w:r w:rsidR="00E022E2" w:rsidRPr="0071782F">
        <w:rPr>
          <w:lang w:val="fr-CH"/>
        </w:rPr>
        <w:t>réfugiés afghans</w:t>
      </w:r>
      <w:r w:rsidRPr="0071782F">
        <w:rPr>
          <w:lang w:val="fr-CH"/>
        </w:rPr>
        <w:t xml:space="preserve">. </w:t>
      </w:r>
      <w:r w:rsidR="00E022E2" w:rsidRPr="0071782F">
        <w:rPr>
          <w:lang w:val="fr-CH"/>
        </w:rPr>
        <w:t xml:space="preserve">Malgré les difficultés liées à la guerre en </w:t>
      </w:r>
      <w:r w:rsidRPr="0071782F">
        <w:rPr>
          <w:lang w:val="fr-CH"/>
        </w:rPr>
        <w:t xml:space="preserve">Afghanistan, </w:t>
      </w:r>
      <w:r w:rsidR="00E022E2" w:rsidRPr="0071782F">
        <w:rPr>
          <w:lang w:val="fr-CH"/>
        </w:rPr>
        <w:t>l’Organisation du Mouvement pour l’alphabétisation a fourni des livres et des services éducatifs aux réfugiés afghans tant à l’intérieur qu’à l’extérieur de l’Iran</w:t>
      </w:r>
      <w:r w:rsidRPr="0071782F">
        <w:rPr>
          <w:lang w:val="fr-CH"/>
        </w:rPr>
        <w:t>.</w:t>
      </w:r>
    </w:p>
    <w:p w:rsidR="00186B76" w:rsidRPr="0071782F" w:rsidRDefault="00186B76" w:rsidP="00A45A11">
      <w:pPr>
        <w:pStyle w:val="SingleTxtG"/>
        <w:rPr>
          <w:lang w:val="fr-CH"/>
        </w:rPr>
      </w:pPr>
      <w:r w:rsidRPr="0071782F">
        <w:rPr>
          <w:lang w:val="fr-CH"/>
        </w:rPr>
        <w:t>400.</w:t>
      </w:r>
      <w:r w:rsidRPr="0071782F">
        <w:rPr>
          <w:lang w:val="fr-CH"/>
        </w:rPr>
        <w:tab/>
      </w:r>
      <w:r w:rsidR="00E022E2" w:rsidRPr="0071782F">
        <w:rPr>
          <w:lang w:val="fr-CH"/>
        </w:rPr>
        <w:t xml:space="preserve">En vertu d’un </w:t>
      </w:r>
      <w:r w:rsidRPr="0071782F">
        <w:rPr>
          <w:lang w:val="fr-CH"/>
        </w:rPr>
        <w:t>m</w:t>
      </w:r>
      <w:r w:rsidR="00E022E2" w:rsidRPr="0071782F">
        <w:rPr>
          <w:lang w:val="fr-CH"/>
        </w:rPr>
        <w:t>é</w:t>
      </w:r>
      <w:r w:rsidRPr="0071782F">
        <w:rPr>
          <w:lang w:val="fr-CH"/>
        </w:rPr>
        <w:t xml:space="preserve">morandum </w:t>
      </w:r>
      <w:r w:rsidR="00E022E2" w:rsidRPr="0071782F">
        <w:rPr>
          <w:lang w:val="fr-CH"/>
        </w:rPr>
        <w:t>d’accord signé entre l’Organisation du Mouvement pour l’alphabétisation et s</w:t>
      </w:r>
      <w:r w:rsidRPr="0071782F">
        <w:rPr>
          <w:lang w:val="fr-CH"/>
        </w:rPr>
        <w:t>o</w:t>
      </w:r>
      <w:r w:rsidR="00E022E2" w:rsidRPr="0071782F">
        <w:rPr>
          <w:lang w:val="fr-CH"/>
        </w:rPr>
        <w:t>n homologue afghane et avec l’appui du comité pour la reconstruction de l’</w:t>
      </w:r>
      <w:r w:rsidRPr="0071782F">
        <w:rPr>
          <w:lang w:val="fr-CH"/>
        </w:rPr>
        <w:t xml:space="preserve">Afghanistan, </w:t>
      </w:r>
      <w:r w:rsidR="00E022E2" w:rsidRPr="0071782F">
        <w:rPr>
          <w:lang w:val="fr-CH"/>
        </w:rPr>
        <w:t>divers programmes sont exécutés en Iran, tels que ceux destinés à former les enseignants en alphabétisation, à renforcer l’autonomie des ressources humaines, à élaborer des manuels d’alphabétisation et à équiper les centres</w:t>
      </w:r>
      <w:r w:rsidR="00D36718">
        <w:rPr>
          <w:lang w:val="fr-CH"/>
        </w:rPr>
        <w:t xml:space="preserve"> </w:t>
      </w:r>
      <w:r w:rsidR="00E022E2" w:rsidRPr="0071782F">
        <w:rPr>
          <w:lang w:val="fr-CH"/>
        </w:rPr>
        <w:t>d’alphabétisation</w:t>
      </w:r>
      <w:r w:rsidRPr="0071782F">
        <w:rPr>
          <w:lang w:val="fr-CH"/>
        </w:rPr>
        <w:t>.</w:t>
      </w:r>
    </w:p>
    <w:p w:rsidR="00186B76" w:rsidRPr="0071782F" w:rsidRDefault="00186B76" w:rsidP="00A45A11">
      <w:pPr>
        <w:pStyle w:val="H1G"/>
        <w:rPr>
          <w:lang w:val="fr-CH"/>
        </w:rPr>
      </w:pPr>
      <w:r w:rsidRPr="0071782F">
        <w:rPr>
          <w:lang w:val="fr-CH"/>
        </w:rPr>
        <w:tab/>
      </w:r>
      <w:r w:rsidRPr="0071782F">
        <w:rPr>
          <w:lang w:val="fr-CH"/>
        </w:rPr>
        <w:tab/>
      </w:r>
      <w:r w:rsidR="00E022E2" w:rsidRPr="0071782F">
        <w:rPr>
          <w:lang w:val="fr-CH"/>
        </w:rPr>
        <w:t xml:space="preserve">Prix internationaux décernés entre 1997 et </w:t>
      </w:r>
      <w:r w:rsidRPr="0071782F">
        <w:rPr>
          <w:lang w:val="fr-CH"/>
        </w:rPr>
        <w:t>2006</w:t>
      </w:r>
    </w:p>
    <w:p w:rsidR="00186B76" w:rsidRPr="0071782F" w:rsidRDefault="00186B76" w:rsidP="00A45A11">
      <w:pPr>
        <w:pStyle w:val="SingleTxtG"/>
        <w:rPr>
          <w:lang w:val="fr-CH"/>
        </w:rPr>
      </w:pPr>
      <w:r w:rsidRPr="0071782F">
        <w:rPr>
          <w:lang w:val="fr-CH"/>
        </w:rPr>
        <w:t>401.</w:t>
      </w:r>
      <w:r w:rsidRPr="0071782F">
        <w:rPr>
          <w:lang w:val="fr-CH"/>
        </w:rPr>
        <w:tab/>
      </w:r>
      <w:r w:rsidR="00E022E2" w:rsidRPr="0071782F">
        <w:rPr>
          <w:lang w:val="fr-CH"/>
        </w:rPr>
        <w:t xml:space="preserve">S’agissant de la </w:t>
      </w:r>
      <w:r w:rsidRPr="0071782F">
        <w:rPr>
          <w:lang w:val="fr-CH"/>
        </w:rPr>
        <w:t>r</w:t>
      </w:r>
      <w:r w:rsidR="00E022E2" w:rsidRPr="0071782F">
        <w:rPr>
          <w:lang w:val="fr-CH"/>
        </w:rPr>
        <w:t>é</w:t>
      </w:r>
      <w:r w:rsidRPr="0071782F">
        <w:rPr>
          <w:lang w:val="fr-CH"/>
        </w:rPr>
        <w:t>ali</w:t>
      </w:r>
      <w:r w:rsidR="00E022E2" w:rsidRPr="0071782F">
        <w:rPr>
          <w:lang w:val="fr-CH"/>
        </w:rPr>
        <w:t>sation des objectifs nationaux et internationaux</w:t>
      </w:r>
      <w:r w:rsidRPr="0071782F">
        <w:rPr>
          <w:lang w:val="fr-CH"/>
        </w:rPr>
        <w:t xml:space="preserve">, </w:t>
      </w:r>
      <w:r w:rsidR="00E022E2" w:rsidRPr="0071782F">
        <w:rPr>
          <w:lang w:val="fr-CH"/>
        </w:rPr>
        <w:t>l’Organisation du Mouvement pour l’alphabétisation a d’emblée connu le succès dans l’exécution de ses programmes, ce qui lui a valu de se voir décerner les quatre prix internationaux ci-après</w:t>
      </w:r>
      <w:r w:rsidR="008F7D33" w:rsidRPr="0071782F">
        <w:rPr>
          <w:lang w:val="fr-CH"/>
        </w:rPr>
        <w:t>:</w:t>
      </w:r>
    </w:p>
    <w:p w:rsidR="00186B76" w:rsidRPr="0071782F" w:rsidRDefault="00186B76" w:rsidP="00A45A11">
      <w:pPr>
        <w:pStyle w:val="SingleTxtG"/>
        <w:ind w:left="1701"/>
        <w:rPr>
          <w:lang w:val="fr-CH"/>
        </w:rPr>
      </w:pPr>
      <w:r w:rsidRPr="0071782F">
        <w:rPr>
          <w:lang w:val="fr-CH"/>
        </w:rPr>
        <w:t>401.1</w:t>
      </w:r>
      <w:r w:rsidR="009D57FA" w:rsidRPr="0071782F">
        <w:rPr>
          <w:lang w:val="fr-CH"/>
        </w:rPr>
        <w:t>.</w:t>
      </w:r>
      <w:r w:rsidRPr="0071782F">
        <w:rPr>
          <w:lang w:val="fr-CH"/>
        </w:rPr>
        <w:tab/>
      </w:r>
      <w:r w:rsidR="00E022E2" w:rsidRPr="0071782F">
        <w:rPr>
          <w:lang w:val="fr-CH"/>
        </w:rPr>
        <w:t>E</w:t>
      </w:r>
      <w:r w:rsidRPr="0071782F">
        <w:rPr>
          <w:lang w:val="fr-CH"/>
        </w:rPr>
        <w:t xml:space="preserve">n 1998, </w:t>
      </w:r>
      <w:r w:rsidR="00E022E2" w:rsidRPr="0071782F">
        <w:rPr>
          <w:lang w:val="fr-CH"/>
        </w:rPr>
        <w:t>elle a reçu le prix de</w:t>
      </w:r>
      <w:r w:rsidRPr="0071782F">
        <w:rPr>
          <w:lang w:val="fr-CH"/>
        </w:rPr>
        <w:t xml:space="preserve"> </w:t>
      </w:r>
      <w:r w:rsidR="0071782F">
        <w:rPr>
          <w:lang w:val="fr-CH"/>
        </w:rPr>
        <w:t>l'</w:t>
      </w:r>
      <w:r w:rsidRPr="0071782F">
        <w:rPr>
          <w:lang w:val="fr-CH"/>
        </w:rPr>
        <w:t xml:space="preserve">UNESCO </w:t>
      </w:r>
      <w:r w:rsidR="00E022E2" w:rsidRPr="0071782F">
        <w:rPr>
          <w:lang w:val="fr-CH"/>
        </w:rPr>
        <w:t xml:space="preserve">qui récompense l’exécution de programmes de promotion de l’aptitude à la lecture, de l’habitude de l’étude et </w:t>
      </w:r>
      <w:r w:rsidR="0062608C" w:rsidRPr="0071782F">
        <w:rPr>
          <w:lang w:val="fr-CH"/>
        </w:rPr>
        <w:t>de la formation professionnelle</w:t>
      </w:r>
      <w:r w:rsidR="00E022E2" w:rsidRPr="0071782F">
        <w:rPr>
          <w:lang w:val="fr-CH"/>
        </w:rPr>
        <w:t xml:space="preserve">, ainsi que des </w:t>
      </w:r>
      <w:r w:rsidRPr="0071782F">
        <w:rPr>
          <w:lang w:val="fr-CH"/>
        </w:rPr>
        <w:t>relations</w:t>
      </w:r>
      <w:r w:rsidR="00E022E2" w:rsidRPr="0071782F">
        <w:rPr>
          <w:lang w:val="fr-CH"/>
        </w:rPr>
        <w:t xml:space="preserve"> familiales</w:t>
      </w:r>
      <w:r w:rsidRPr="0071782F">
        <w:rPr>
          <w:lang w:val="fr-CH"/>
        </w:rPr>
        <w:t xml:space="preserve">. </w:t>
      </w:r>
      <w:r w:rsidR="00E022E2" w:rsidRPr="0071782F">
        <w:rPr>
          <w:lang w:val="fr-CH"/>
        </w:rPr>
        <w:t xml:space="preserve">Ces </w:t>
      </w:r>
      <w:r w:rsidRPr="0071782F">
        <w:rPr>
          <w:lang w:val="fr-CH"/>
        </w:rPr>
        <w:t>program</w:t>
      </w:r>
      <w:r w:rsidR="00E022E2" w:rsidRPr="0071782F">
        <w:rPr>
          <w:lang w:val="fr-CH"/>
        </w:rPr>
        <w:t>me</w:t>
      </w:r>
      <w:r w:rsidRPr="0071782F">
        <w:rPr>
          <w:lang w:val="fr-CH"/>
        </w:rPr>
        <w:t>s</w:t>
      </w:r>
      <w:r w:rsidR="00E022E2" w:rsidRPr="0071782F">
        <w:rPr>
          <w:lang w:val="fr-CH"/>
        </w:rPr>
        <w:t xml:space="preserve"> ont bénéficié à quelque deux</w:t>
      </w:r>
      <w:r w:rsidR="00097CDB" w:rsidRPr="0071782F">
        <w:rPr>
          <w:lang w:val="fr-CH"/>
        </w:rPr>
        <w:t> millions</w:t>
      </w:r>
      <w:r w:rsidR="00E022E2" w:rsidRPr="0071782F">
        <w:rPr>
          <w:lang w:val="fr-CH"/>
        </w:rPr>
        <w:t xml:space="preserve"> </w:t>
      </w:r>
      <w:r w:rsidR="00D82C96" w:rsidRPr="0071782F">
        <w:rPr>
          <w:lang w:val="fr-CH"/>
        </w:rPr>
        <w:t>de personnes</w:t>
      </w:r>
      <w:r w:rsidR="00E022E2" w:rsidRPr="0071782F">
        <w:rPr>
          <w:lang w:val="fr-CH"/>
        </w:rPr>
        <w:t xml:space="preserve"> analphabètes et peu instruites.</w:t>
      </w:r>
      <w:r w:rsidR="00D36718">
        <w:rPr>
          <w:lang w:val="fr-CH"/>
        </w:rPr>
        <w:t xml:space="preserve"> </w:t>
      </w:r>
    </w:p>
    <w:p w:rsidR="00186B76" w:rsidRPr="0071782F" w:rsidRDefault="00186B76" w:rsidP="00A45A11">
      <w:pPr>
        <w:pStyle w:val="SingleTxtG"/>
        <w:ind w:left="1701"/>
        <w:rPr>
          <w:lang w:val="fr-CH"/>
        </w:rPr>
      </w:pPr>
      <w:r w:rsidRPr="0071782F">
        <w:rPr>
          <w:lang w:val="fr-CH"/>
        </w:rPr>
        <w:t>401.2</w:t>
      </w:r>
      <w:r w:rsidR="009D57FA" w:rsidRPr="0071782F">
        <w:rPr>
          <w:lang w:val="fr-CH"/>
        </w:rPr>
        <w:t>.</w:t>
      </w:r>
      <w:r w:rsidRPr="0071782F">
        <w:rPr>
          <w:lang w:val="fr-CH"/>
        </w:rPr>
        <w:tab/>
      </w:r>
      <w:r w:rsidR="00E022E2" w:rsidRPr="0071782F">
        <w:rPr>
          <w:lang w:val="fr-CH"/>
        </w:rPr>
        <w:t>E</w:t>
      </w:r>
      <w:r w:rsidRPr="0071782F">
        <w:rPr>
          <w:lang w:val="fr-CH"/>
        </w:rPr>
        <w:t xml:space="preserve">n 1999, </w:t>
      </w:r>
      <w:r w:rsidR="00E022E2" w:rsidRPr="0071782F">
        <w:rPr>
          <w:lang w:val="fr-CH"/>
        </w:rPr>
        <w:t xml:space="preserve">elle a reçu le Prix international d’alphabétisation </w:t>
      </w:r>
      <w:r w:rsidRPr="0071782F">
        <w:rPr>
          <w:lang w:val="fr-CH"/>
        </w:rPr>
        <w:t xml:space="preserve">Malcolm Adiseshah </w:t>
      </w:r>
      <w:r w:rsidR="00E022E2" w:rsidRPr="0071782F">
        <w:rPr>
          <w:lang w:val="fr-CH"/>
        </w:rPr>
        <w:t xml:space="preserve">pour la prestation de services d’enseignement à distance, lesquels sont considérés comme un réseau d’appui </w:t>
      </w:r>
      <w:r w:rsidR="00175962" w:rsidRPr="0071782F">
        <w:rPr>
          <w:lang w:val="fr-CH"/>
        </w:rPr>
        <w:t>aux personnes</w:t>
      </w:r>
      <w:r w:rsidR="00E022E2" w:rsidRPr="0071782F">
        <w:rPr>
          <w:lang w:val="fr-CH"/>
        </w:rPr>
        <w:t xml:space="preserve"> qui suivent jusqu’au bout le programme d’alphabétisation</w:t>
      </w:r>
      <w:r w:rsidRPr="0071782F">
        <w:rPr>
          <w:lang w:val="fr-CH"/>
        </w:rPr>
        <w:t xml:space="preserve">. </w:t>
      </w:r>
    </w:p>
    <w:p w:rsidR="00186B76" w:rsidRPr="0071782F" w:rsidRDefault="00186B76" w:rsidP="00A45A11">
      <w:pPr>
        <w:pStyle w:val="SingleTxtG"/>
        <w:ind w:left="1701"/>
        <w:rPr>
          <w:lang w:val="fr-CH"/>
        </w:rPr>
      </w:pPr>
      <w:r w:rsidRPr="0071782F">
        <w:rPr>
          <w:lang w:val="fr-CH"/>
        </w:rPr>
        <w:t>401.3</w:t>
      </w:r>
      <w:r w:rsidR="009D57FA" w:rsidRPr="0071782F">
        <w:rPr>
          <w:lang w:val="fr-CH"/>
        </w:rPr>
        <w:t>.</w:t>
      </w:r>
      <w:r w:rsidRPr="0071782F">
        <w:rPr>
          <w:lang w:val="fr-CH"/>
        </w:rPr>
        <w:tab/>
      </w:r>
      <w:r w:rsidR="00E022E2" w:rsidRPr="0071782F">
        <w:rPr>
          <w:lang w:val="fr-CH"/>
        </w:rPr>
        <w:t>E</w:t>
      </w:r>
      <w:r w:rsidRPr="0071782F">
        <w:rPr>
          <w:lang w:val="fr-CH"/>
        </w:rPr>
        <w:t xml:space="preserve">n 2000, </w:t>
      </w:r>
      <w:r w:rsidR="00E022E2" w:rsidRPr="0071782F">
        <w:rPr>
          <w:lang w:val="fr-CH"/>
        </w:rPr>
        <w:t xml:space="preserve">elle a remporté le Prix d’alphabétisation </w:t>
      </w:r>
      <w:r w:rsidRPr="0071782F">
        <w:rPr>
          <w:lang w:val="fr-CH"/>
        </w:rPr>
        <w:t xml:space="preserve">Noma </w:t>
      </w:r>
      <w:r w:rsidR="00E022E2" w:rsidRPr="0071782F">
        <w:rPr>
          <w:lang w:val="fr-CH"/>
        </w:rPr>
        <w:t>pour l’exécution d’un programme éducatif pour travailleuses rurales âgées de 10 à 18</w:t>
      </w:r>
      <w:r w:rsidR="00D82C96" w:rsidRPr="0071782F">
        <w:rPr>
          <w:lang w:val="fr-CH"/>
        </w:rPr>
        <w:t> ans</w:t>
      </w:r>
      <w:r w:rsidRPr="0071782F">
        <w:rPr>
          <w:lang w:val="fr-CH"/>
        </w:rPr>
        <w:t xml:space="preserve">. </w:t>
      </w:r>
      <w:r w:rsidR="00E022E2" w:rsidRPr="0071782F">
        <w:rPr>
          <w:lang w:val="fr-CH"/>
        </w:rPr>
        <w:t xml:space="preserve">Combinant l’alphabétisation et la formation à la vie pratique, ce programme avait été exécuté en </w:t>
      </w:r>
      <w:r w:rsidRPr="0071782F">
        <w:rPr>
          <w:lang w:val="fr-CH"/>
        </w:rPr>
        <w:t>coop</w:t>
      </w:r>
      <w:r w:rsidR="00E022E2" w:rsidRPr="0071782F">
        <w:rPr>
          <w:lang w:val="fr-CH"/>
        </w:rPr>
        <w:t>é</w:t>
      </w:r>
      <w:r w:rsidRPr="0071782F">
        <w:rPr>
          <w:lang w:val="fr-CH"/>
        </w:rPr>
        <w:t xml:space="preserve">ration </w:t>
      </w:r>
      <w:r w:rsidR="00E022E2" w:rsidRPr="0071782F">
        <w:rPr>
          <w:lang w:val="fr-CH"/>
        </w:rPr>
        <w:t xml:space="preserve">avec les </w:t>
      </w:r>
      <w:r w:rsidRPr="0071782F">
        <w:rPr>
          <w:lang w:val="fr-CH"/>
        </w:rPr>
        <w:t xml:space="preserve">parents </w:t>
      </w:r>
      <w:r w:rsidR="00E022E2" w:rsidRPr="0071782F">
        <w:rPr>
          <w:lang w:val="fr-CH"/>
        </w:rPr>
        <w:t xml:space="preserve">et les employeurs dans plusieurs </w:t>
      </w:r>
      <w:r w:rsidRPr="0071782F">
        <w:rPr>
          <w:lang w:val="fr-CH"/>
        </w:rPr>
        <w:t xml:space="preserve">provinces </w:t>
      </w:r>
      <w:r w:rsidR="00E022E2" w:rsidRPr="0071782F">
        <w:rPr>
          <w:lang w:val="fr-CH"/>
        </w:rPr>
        <w:t>et avait offert une chance aux femmes dépourvues d’instruction</w:t>
      </w:r>
      <w:r w:rsidRPr="0071782F">
        <w:rPr>
          <w:lang w:val="fr-CH"/>
        </w:rPr>
        <w:t xml:space="preserve">. </w:t>
      </w:r>
      <w:r w:rsidR="00E022E2" w:rsidRPr="0071782F">
        <w:rPr>
          <w:lang w:val="fr-CH"/>
        </w:rPr>
        <w:t>Il avait entraîné une augmentation de la demande d’éducation de la part des parents ayant des enfants dépourvus d’instruction, une baisse du taux de décrochage scolaire et une améli</w:t>
      </w:r>
      <w:r w:rsidR="00D00FC5" w:rsidRPr="0071782F">
        <w:rPr>
          <w:lang w:val="fr-CH"/>
        </w:rPr>
        <w:t>or</w:t>
      </w:r>
      <w:r w:rsidR="00E022E2" w:rsidRPr="0071782F">
        <w:rPr>
          <w:lang w:val="fr-CH"/>
        </w:rPr>
        <w:t>ation des taux de réussite aux examens et de participation en classe</w:t>
      </w:r>
      <w:r w:rsidRPr="0071782F">
        <w:rPr>
          <w:lang w:val="fr-CH"/>
        </w:rPr>
        <w:t>.</w:t>
      </w:r>
    </w:p>
    <w:p w:rsidR="00186B76" w:rsidRPr="0071782F" w:rsidRDefault="00186B76" w:rsidP="00AD5035">
      <w:pPr>
        <w:pStyle w:val="SingleTxtG"/>
        <w:keepNext/>
        <w:keepLines/>
        <w:spacing w:after="0"/>
        <w:ind w:left="1701"/>
        <w:rPr>
          <w:lang w:val="fr-CH"/>
        </w:rPr>
      </w:pPr>
      <w:r w:rsidRPr="0071782F">
        <w:rPr>
          <w:lang w:val="fr-CH"/>
        </w:rPr>
        <w:t>401.4</w:t>
      </w:r>
      <w:r w:rsidR="009D57FA" w:rsidRPr="0071782F">
        <w:rPr>
          <w:lang w:val="fr-CH"/>
        </w:rPr>
        <w:t>.</w:t>
      </w:r>
      <w:r w:rsidR="00E022E2" w:rsidRPr="0071782F">
        <w:rPr>
          <w:lang w:val="fr-CH"/>
        </w:rPr>
        <w:tab/>
        <w:t>E</w:t>
      </w:r>
      <w:r w:rsidRPr="0071782F">
        <w:rPr>
          <w:lang w:val="fr-CH"/>
        </w:rPr>
        <w:t xml:space="preserve">n 2003, </w:t>
      </w:r>
      <w:r w:rsidR="00E022E2" w:rsidRPr="0071782F">
        <w:rPr>
          <w:lang w:val="fr-CH"/>
        </w:rPr>
        <w:t>l’Organisation a reçu un prix de l’Organisation islamique pour l’éducation, la science et la culture pour l’efficacité avec laquelle elle avait exécuté le programme de lecture dans le cadre familial</w:t>
      </w:r>
      <w:r w:rsidRPr="0071782F">
        <w:rPr>
          <w:lang w:val="fr-CH"/>
        </w:rPr>
        <w:t>.</w:t>
      </w:r>
    </w:p>
    <w:p w:rsidR="00186B76" w:rsidRPr="0071782F" w:rsidRDefault="00186B76" w:rsidP="00AD5035">
      <w:pPr>
        <w:pStyle w:val="H23G"/>
        <w:rPr>
          <w:lang w:val="fr-CH"/>
        </w:rPr>
      </w:pPr>
      <w:r w:rsidRPr="0071782F">
        <w:rPr>
          <w:lang w:val="fr-CH"/>
        </w:rPr>
        <w:tab/>
      </w:r>
      <w:r w:rsidRPr="0071782F">
        <w:rPr>
          <w:lang w:val="fr-CH"/>
        </w:rPr>
        <w:tab/>
        <w:t>Indicat</w:t>
      </w:r>
      <w:r w:rsidR="00E022E2" w:rsidRPr="0071782F">
        <w:rPr>
          <w:lang w:val="fr-CH"/>
        </w:rPr>
        <w:t>eur</w:t>
      </w:r>
      <w:r w:rsidRPr="0071782F">
        <w:rPr>
          <w:lang w:val="fr-CH"/>
        </w:rPr>
        <w:t xml:space="preserve">s </w:t>
      </w:r>
      <w:r w:rsidR="00E022E2" w:rsidRPr="0071782F">
        <w:rPr>
          <w:lang w:val="fr-CH"/>
        </w:rPr>
        <w:t xml:space="preserve">de l’Organisation du Mouvement pour l’alphabétisation en </w:t>
      </w:r>
      <w:r w:rsidRPr="0071782F">
        <w:rPr>
          <w:lang w:val="fr-CH"/>
        </w:rPr>
        <w:t>2008</w:t>
      </w:r>
      <w:r w:rsidR="00E022E2" w:rsidRPr="0071782F">
        <w:rPr>
          <w:lang w:val="fr-CH"/>
        </w:rPr>
        <w:t xml:space="preserve"> et </w:t>
      </w:r>
      <w:r w:rsidRPr="0071782F">
        <w:rPr>
          <w:lang w:val="fr-CH"/>
        </w:rPr>
        <w:t>2009</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4"/>
        <w:gridCol w:w="1559"/>
        <w:gridCol w:w="992"/>
        <w:gridCol w:w="2125"/>
      </w:tblGrid>
      <w:tr w:rsidR="00186B76" w:rsidRPr="0071782F">
        <w:trPr>
          <w:tblHeader/>
        </w:trPr>
        <w:tc>
          <w:tcPr>
            <w:tcW w:w="2694" w:type="dxa"/>
            <w:tcBorders>
              <w:top w:val="single" w:sz="4" w:space="0" w:color="auto"/>
              <w:bottom w:val="single" w:sz="12" w:space="0" w:color="auto"/>
            </w:tcBorders>
            <w:shd w:val="clear" w:color="auto" w:fill="auto"/>
            <w:vAlign w:val="bottom"/>
          </w:tcPr>
          <w:p w:rsidR="00186B76" w:rsidRPr="0071782F" w:rsidRDefault="00186B76" w:rsidP="003B1403">
            <w:pPr>
              <w:suppressAutoHyphens w:val="0"/>
              <w:spacing w:before="80" w:after="80" w:line="200" w:lineRule="exact"/>
              <w:rPr>
                <w:i/>
                <w:sz w:val="16"/>
                <w:lang w:val="fr-CH"/>
              </w:rPr>
            </w:pPr>
            <w:r w:rsidRPr="0071782F">
              <w:rPr>
                <w:i/>
                <w:sz w:val="16"/>
                <w:lang w:val="fr-CH"/>
              </w:rPr>
              <w:t>Indicat</w:t>
            </w:r>
            <w:r w:rsidR="00E022E2" w:rsidRPr="0071782F">
              <w:rPr>
                <w:i/>
                <w:sz w:val="16"/>
                <w:lang w:val="fr-CH"/>
              </w:rPr>
              <w:t>eu</w:t>
            </w:r>
            <w:r w:rsidRPr="0071782F">
              <w:rPr>
                <w:i/>
                <w:sz w:val="16"/>
                <w:lang w:val="fr-CH"/>
              </w:rPr>
              <w:t>r</w:t>
            </w:r>
          </w:p>
        </w:tc>
        <w:tc>
          <w:tcPr>
            <w:tcW w:w="1559" w:type="dxa"/>
            <w:tcBorders>
              <w:top w:val="single" w:sz="4" w:space="0" w:color="auto"/>
              <w:bottom w:val="single" w:sz="12" w:space="0" w:color="auto"/>
            </w:tcBorders>
            <w:shd w:val="clear" w:color="auto" w:fill="auto"/>
            <w:vAlign w:val="bottom"/>
          </w:tcPr>
          <w:p w:rsidR="00186B76" w:rsidRPr="0071782F" w:rsidRDefault="00186B76" w:rsidP="00B71235">
            <w:pPr>
              <w:suppressAutoHyphens w:val="0"/>
              <w:spacing w:before="80" w:after="80" w:line="200" w:lineRule="exact"/>
              <w:rPr>
                <w:i/>
                <w:sz w:val="16"/>
                <w:lang w:val="fr-CH"/>
              </w:rPr>
            </w:pPr>
            <w:r w:rsidRPr="0071782F">
              <w:rPr>
                <w:i/>
                <w:sz w:val="16"/>
                <w:lang w:val="fr-CH"/>
              </w:rPr>
              <w:t>Unit</w:t>
            </w:r>
            <w:r w:rsidR="00E022E2" w:rsidRPr="0071782F">
              <w:rPr>
                <w:i/>
                <w:sz w:val="16"/>
                <w:lang w:val="fr-CH"/>
              </w:rPr>
              <w:t>é</w:t>
            </w:r>
          </w:p>
        </w:tc>
        <w:tc>
          <w:tcPr>
            <w:tcW w:w="992" w:type="dxa"/>
            <w:tcBorders>
              <w:top w:val="single" w:sz="4" w:space="0" w:color="auto"/>
              <w:bottom w:val="single" w:sz="12" w:space="0" w:color="auto"/>
            </w:tcBorders>
            <w:shd w:val="clear" w:color="auto" w:fill="auto"/>
            <w:vAlign w:val="bottom"/>
          </w:tcPr>
          <w:p w:rsidR="00186B76" w:rsidRPr="0071782F" w:rsidRDefault="00E022E2" w:rsidP="003B1403">
            <w:pPr>
              <w:suppressAutoHyphens w:val="0"/>
              <w:spacing w:before="80" w:after="80" w:line="200" w:lineRule="exact"/>
              <w:jc w:val="right"/>
              <w:rPr>
                <w:i/>
                <w:sz w:val="16"/>
                <w:lang w:val="fr-CH"/>
              </w:rPr>
            </w:pPr>
            <w:r w:rsidRPr="0071782F">
              <w:rPr>
                <w:i/>
                <w:sz w:val="16"/>
                <w:lang w:val="fr-CH"/>
              </w:rPr>
              <w:t>Nombre</w:t>
            </w:r>
          </w:p>
        </w:tc>
        <w:tc>
          <w:tcPr>
            <w:tcW w:w="2125" w:type="dxa"/>
            <w:tcBorders>
              <w:top w:val="single" w:sz="4" w:space="0" w:color="auto"/>
              <w:bottom w:val="single" w:sz="12" w:space="0" w:color="auto"/>
            </w:tcBorders>
            <w:shd w:val="clear" w:color="auto" w:fill="auto"/>
            <w:vAlign w:val="bottom"/>
          </w:tcPr>
          <w:p w:rsidR="00186B76" w:rsidRPr="0071782F" w:rsidRDefault="00E022E2" w:rsidP="003B1403">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r w:rsidR="00186B76" w:rsidRPr="0071782F">
              <w:rPr>
                <w:i/>
                <w:sz w:val="16"/>
                <w:vertAlign w:val="superscript"/>
                <w:lang w:val="fr-CH"/>
              </w:rPr>
              <w:t>(1)</w:t>
            </w:r>
          </w:p>
        </w:tc>
      </w:tr>
      <w:tr w:rsidR="00186B76" w:rsidRPr="0071782F">
        <w:tc>
          <w:tcPr>
            <w:tcW w:w="2694" w:type="dxa"/>
            <w:tcBorders>
              <w:top w:val="single" w:sz="12" w:space="0" w:color="auto"/>
              <w:bottom w:val="nil"/>
            </w:tcBorders>
            <w:shd w:val="clear" w:color="auto" w:fill="auto"/>
            <w:vAlign w:val="bottom"/>
          </w:tcPr>
          <w:p w:rsidR="00186B76" w:rsidRPr="0071782F" w:rsidRDefault="00E022E2" w:rsidP="003B1403">
            <w:pPr>
              <w:suppressAutoHyphens w:val="0"/>
              <w:spacing w:before="40" w:after="40" w:line="220" w:lineRule="exact"/>
              <w:rPr>
                <w:sz w:val="18"/>
                <w:lang w:val="fr-CH"/>
              </w:rPr>
            </w:pPr>
            <w:r w:rsidRPr="0071782F">
              <w:rPr>
                <w:sz w:val="18"/>
                <w:lang w:val="fr-CH"/>
              </w:rPr>
              <w:t xml:space="preserve">Enseignants en </w:t>
            </w:r>
            <w:r w:rsidR="0071782F" w:rsidRPr="0071782F">
              <w:rPr>
                <w:sz w:val="18"/>
                <w:lang w:val="fr-CH"/>
              </w:rPr>
              <w:t>alphabétisation</w:t>
            </w:r>
          </w:p>
        </w:tc>
        <w:tc>
          <w:tcPr>
            <w:tcW w:w="1559" w:type="dxa"/>
            <w:tcBorders>
              <w:top w:val="single" w:sz="12" w:space="0" w:color="auto"/>
              <w:bottom w:val="nil"/>
            </w:tcBorders>
            <w:shd w:val="clear" w:color="auto" w:fill="auto"/>
            <w:vAlign w:val="bottom"/>
          </w:tcPr>
          <w:p w:rsidR="00186B76" w:rsidRPr="0071782F" w:rsidRDefault="00186B76" w:rsidP="00B71235">
            <w:pPr>
              <w:suppressAutoHyphens w:val="0"/>
              <w:spacing w:before="40" w:after="40" w:line="220" w:lineRule="exact"/>
              <w:rPr>
                <w:sz w:val="18"/>
                <w:lang w:val="fr-CH"/>
              </w:rPr>
            </w:pPr>
            <w:r w:rsidRPr="0071782F">
              <w:rPr>
                <w:sz w:val="18"/>
                <w:lang w:val="fr-CH"/>
              </w:rPr>
              <w:t>Person</w:t>
            </w:r>
            <w:r w:rsidR="00E022E2" w:rsidRPr="0071782F">
              <w:rPr>
                <w:sz w:val="18"/>
                <w:lang w:val="fr-CH"/>
              </w:rPr>
              <w:t>ne</w:t>
            </w:r>
          </w:p>
        </w:tc>
        <w:tc>
          <w:tcPr>
            <w:tcW w:w="992" w:type="dxa"/>
            <w:tcBorders>
              <w:top w:val="single" w:sz="12" w:space="0" w:color="auto"/>
              <w:bottom w:val="nil"/>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47 696</w:t>
            </w:r>
          </w:p>
        </w:tc>
        <w:tc>
          <w:tcPr>
            <w:tcW w:w="2125" w:type="dxa"/>
            <w:tcBorders>
              <w:top w:val="single" w:sz="12" w:space="0" w:color="auto"/>
              <w:bottom w:val="nil"/>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-6</w:t>
            </w:r>
            <w:r w:rsidR="002B470D">
              <w:rPr>
                <w:sz w:val="18"/>
                <w:lang w:val="fr-CH"/>
              </w:rPr>
              <w:t>,</w:t>
            </w:r>
            <w:r w:rsidRPr="0071782F">
              <w:rPr>
                <w:sz w:val="18"/>
                <w:lang w:val="fr-CH"/>
              </w:rPr>
              <w:t>7</w:t>
            </w:r>
          </w:p>
        </w:tc>
      </w:tr>
      <w:tr w:rsidR="00186B76" w:rsidRPr="0071782F">
        <w:tc>
          <w:tcPr>
            <w:tcW w:w="2694" w:type="dxa"/>
            <w:tcBorders>
              <w:top w:val="nil"/>
            </w:tcBorders>
            <w:shd w:val="clear" w:color="auto" w:fill="auto"/>
            <w:vAlign w:val="bottom"/>
          </w:tcPr>
          <w:p w:rsidR="00186B76" w:rsidRPr="0071782F" w:rsidRDefault="00E022E2" w:rsidP="003B1403">
            <w:pPr>
              <w:suppressAutoHyphens w:val="0"/>
              <w:spacing w:before="40" w:after="40" w:line="220" w:lineRule="exact"/>
              <w:rPr>
                <w:sz w:val="18"/>
                <w:lang w:val="fr-CH"/>
              </w:rPr>
            </w:pPr>
            <w:r w:rsidRPr="0071782F">
              <w:rPr>
                <w:sz w:val="18"/>
                <w:lang w:val="fr-CH"/>
              </w:rPr>
              <w:t>Élèves suivant un cours d’alphabétisation</w:t>
            </w:r>
          </w:p>
        </w:tc>
        <w:tc>
          <w:tcPr>
            <w:tcW w:w="1559" w:type="dxa"/>
            <w:tcBorders>
              <w:top w:val="nil"/>
            </w:tcBorders>
            <w:shd w:val="clear" w:color="auto" w:fill="auto"/>
            <w:vAlign w:val="bottom"/>
          </w:tcPr>
          <w:p w:rsidR="00186B76" w:rsidRPr="0071782F" w:rsidRDefault="00186B76" w:rsidP="00B71235">
            <w:pPr>
              <w:suppressAutoHyphens w:val="0"/>
              <w:spacing w:before="40" w:after="40" w:line="220" w:lineRule="exact"/>
              <w:rPr>
                <w:sz w:val="18"/>
                <w:lang w:val="fr-CH"/>
              </w:rPr>
            </w:pPr>
            <w:r w:rsidRPr="0071782F">
              <w:rPr>
                <w:sz w:val="18"/>
                <w:lang w:val="fr-CH"/>
              </w:rPr>
              <w:t>Person</w:t>
            </w:r>
            <w:r w:rsidR="00E022E2" w:rsidRPr="0071782F">
              <w:rPr>
                <w:sz w:val="18"/>
                <w:lang w:val="fr-CH"/>
              </w:rPr>
              <w:t>ne</w:t>
            </w:r>
          </w:p>
        </w:tc>
        <w:tc>
          <w:tcPr>
            <w:tcW w:w="992" w:type="dxa"/>
            <w:tcBorders>
              <w:top w:val="nil"/>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1 214 146</w:t>
            </w:r>
          </w:p>
        </w:tc>
        <w:tc>
          <w:tcPr>
            <w:tcW w:w="2125" w:type="dxa"/>
            <w:tcBorders>
              <w:top w:val="nil"/>
            </w:tcBorders>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-17</w:t>
            </w:r>
            <w:r w:rsidR="002B470D">
              <w:rPr>
                <w:sz w:val="18"/>
                <w:lang w:val="fr-CH"/>
              </w:rPr>
              <w:t>,</w:t>
            </w:r>
            <w:r w:rsidRPr="0071782F">
              <w:rPr>
                <w:sz w:val="18"/>
                <w:lang w:val="fr-CH"/>
              </w:rPr>
              <w:t>7</w:t>
            </w:r>
          </w:p>
        </w:tc>
      </w:tr>
      <w:tr w:rsidR="00186B76" w:rsidRPr="0071782F">
        <w:tc>
          <w:tcPr>
            <w:tcW w:w="2694" w:type="dxa"/>
            <w:shd w:val="clear" w:color="auto" w:fill="auto"/>
            <w:vAlign w:val="bottom"/>
          </w:tcPr>
          <w:p w:rsidR="00186B76" w:rsidRPr="0071782F" w:rsidRDefault="00186B76" w:rsidP="003B1403">
            <w:pPr>
              <w:suppressAutoHyphens w:val="0"/>
              <w:spacing w:before="40" w:after="40" w:line="220" w:lineRule="exact"/>
              <w:rPr>
                <w:sz w:val="18"/>
                <w:lang w:val="fr-CH"/>
              </w:rPr>
            </w:pPr>
            <w:r w:rsidRPr="0071782F">
              <w:rPr>
                <w:sz w:val="18"/>
                <w:lang w:val="fr-CH"/>
              </w:rPr>
              <w:t xml:space="preserve">Villages </w:t>
            </w:r>
            <w:r w:rsidR="00E022E2" w:rsidRPr="0071782F">
              <w:rPr>
                <w:sz w:val="18"/>
                <w:lang w:val="fr-CH"/>
              </w:rPr>
              <w:t>bénéficiaires</w:t>
            </w:r>
          </w:p>
        </w:tc>
        <w:tc>
          <w:tcPr>
            <w:tcW w:w="1559" w:type="dxa"/>
            <w:shd w:val="clear" w:color="auto" w:fill="auto"/>
            <w:vAlign w:val="bottom"/>
          </w:tcPr>
          <w:p w:rsidR="00186B76" w:rsidRPr="0071782F" w:rsidRDefault="00186B76" w:rsidP="00B71235">
            <w:pPr>
              <w:suppressAutoHyphens w:val="0"/>
              <w:spacing w:before="40" w:after="40" w:line="220" w:lineRule="exact"/>
              <w:rPr>
                <w:sz w:val="18"/>
                <w:lang w:val="fr-CH"/>
              </w:rPr>
            </w:pPr>
            <w:r w:rsidRPr="0071782F">
              <w:rPr>
                <w:sz w:val="18"/>
                <w:lang w:val="fr-CH"/>
              </w:rPr>
              <w:t>Village</w:t>
            </w:r>
          </w:p>
        </w:tc>
        <w:tc>
          <w:tcPr>
            <w:tcW w:w="992" w:type="dxa"/>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21 883</w:t>
            </w:r>
          </w:p>
        </w:tc>
        <w:tc>
          <w:tcPr>
            <w:tcW w:w="2125" w:type="dxa"/>
            <w:shd w:val="clear" w:color="auto" w:fill="auto"/>
            <w:vAlign w:val="bottom"/>
          </w:tcPr>
          <w:p w:rsidR="00186B76" w:rsidRPr="0071782F" w:rsidRDefault="00186B76" w:rsidP="003B1403">
            <w:pPr>
              <w:suppressAutoHyphens w:val="0"/>
              <w:spacing w:before="40" w:after="40" w:line="220" w:lineRule="exact"/>
              <w:jc w:val="right"/>
              <w:rPr>
                <w:sz w:val="18"/>
                <w:lang w:val="fr-CH"/>
              </w:rPr>
            </w:pPr>
            <w:r w:rsidRPr="0071782F">
              <w:rPr>
                <w:sz w:val="18"/>
                <w:lang w:val="fr-CH"/>
              </w:rPr>
              <w:t>13</w:t>
            </w:r>
            <w:r w:rsidR="002B470D">
              <w:rPr>
                <w:sz w:val="18"/>
                <w:lang w:val="fr-CH"/>
              </w:rPr>
              <w:t>,</w:t>
            </w:r>
            <w:r w:rsidRPr="0071782F">
              <w:rPr>
                <w:sz w:val="18"/>
                <w:lang w:val="fr-CH"/>
              </w:rPr>
              <w:t>1</w:t>
            </w:r>
          </w:p>
        </w:tc>
      </w:tr>
    </w:tbl>
    <w:p w:rsidR="00186B76" w:rsidRPr="0071782F" w:rsidRDefault="00186B76" w:rsidP="00782B71">
      <w:pPr>
        <w:spacing w:before="120" w:after="240" w:line="220" w:lineRule="atLeast"/>
        <w:ind w:left="1134" w:right="1134" w:firstLine="170"/>
        <w:rPr>
          <w:sz w:val="18"/>
          <w:szCs w:val="18"/>
          <w:lang w:val="fr-CH"/>
        </w:rPr>
      </w:pPr>
      <w:r w:rsidRPr="0071782F">
        <w:rPr>
          <w:i/>
          <w:sz w:val="18"/>
          <w:szCs w:val="18"/>
          <w:vertAlign w:val="superscript"/>
          <w:lang w:val="fr-CH"/>
        </w:rPr>
        <w:t>(1)</w:t>
      </w:r>
      <w:r w:rsidR="009D57FA" w:rsidRPr="0071782F">
        <w:rPr>
          <w:sz w:val="18"/>
          <w:szCs w:val="18"/>
          <w:lang w:val="fr-CH"/>
        </w:rPr>
        <w:t xml:space="preserve">  </w:t>
      </w:r>
      <w:r w:rsidR="00E022E2" w:rsidRPr="0071782F">
        <w:rPr>
          <w:sz w:val="18"/>
          <w:szCs w:val="18"/>
          <w:lang w:val="fr-CH"/>
        </w:rPr>
        <w:t>Le pourcentage de variation est calculé à partir des chiffres révisés communiqués par l’Organis</w:t>
      </w:r>
      <w:r w:rsidRPr="0071782F">
        <w:rPr>
          <w:sz w:val="18"/>
          <w:szCs w:val="18"/>
          <w:lang w:val="fr-CH"/>
        </w:rPr>
        <w:t>ation.</w:t>
      </w:r>
    </w:p>
    <w:p w:rsidR="00186B76" w:rsidRPr="0071782F" w:rsidRDefault="00186B76" w:rsidP="00A45A11">
      <w:pPr>
        <w:pStyle w:val="H1G"/>
        <w:rPr>
          <w:lang w:val="fr-CH"/>
        </w:rPr>
      </w:pPr>
      <w:r w:rsidRPr="0071782F">
        <w:rPr>
          <w:lang w:val="fr-CH"/>
        </w:rPr>
        <w:tab/>
      </w:r>
      <w:r w:rsidRPr="0071782F">
        <w:rPr>
          <w:lang w:val="fr-CH"/>
        </w:rPr>
        <w:tab/>
      </w:r>
      <w:r w:rsidR="00E022E2" w:rsidRPr="0071782F">
        <w:rPr>
          <w:lang w:val="fr-CH"/>
        </w:rPr>
        <w:t xml:space="preserve">Enseignement supérieur </w:t>
      </w:r>
    </w:p>
    <w:p w:rsidR="00186B76" w:rsidRPr="0071782F" w:rsidRDefault="00186B76" w:rsidP="00A45A11">
      <w:pPr>
        <w:pStyle w:val="H23G"/>
        <w:rPr>
          <w:lang w:val="fr-CH"/>
        </w:rPr>
      </w:pPr>
      <w:r w:rsidRPr="0071782F">
        <w:rPr>
          <w:lang w:val="fr-CH"/>
        </w:rPr>
        <w:tab/>
      </w:r>
      <w:r w:rsidRPr="0071782F">
        <w:rPr>
          <w:lang w:val="fr-CH"/>
        </w:rPr>
        <w:tab/>
      </w:r>
      <w:r w:rsidR="00E022E2" w:rsidRPr="0071782F">
        <w:rPr>
          <w:lang w:val="fr-CH"/>
        </w:rPr>
        <w:t xml:space="preserve">Le </w:t>
      </w:r>
      <w:r w:rsidRPr="0071782F">
        <w:rPr>
          <w:lang w:val="fr-CH"/>
        </w:rPr>
        <w:t>syst</w:t>
      </w:r>
      <w:r w:rsidR="00E022E2" w:rsidRPr="0071782F">
        <w:rPr>
          <w:lang w:val="fr-CH"/>
        </w:rPr>
        <w:t xml:space="preserve">ème d’enseignement supérieur </w:t>
      </w:r>
    </w:p>
    <w:p w:rsidR="00186B76" w:rsidRPr="0071782F" w:rsidRDefault="00186B76" w:rsidP="00A45A11">
      <w:pPr>
        <w:pStyle w:val="SingleTxtG"/>
        <w:rPr>
          <w:lang w:val="fr-CH"/>
        </w:rPr>
      </w:pPr>
      <w:r w:rsidRPr="0071782F">
        <w:rPr>
          <w:lang w:val="fr-CH"/>
        </w:rPr>
        <w:tab/>
      </w:r>
      <w:r w:rsidR="00383F94" w:rsidRPr="0071782F">
        <w:rPr>
          <w:lang w:val="fr-CH"/>
        </w:rPr>
        <w:t xml:space="preserve">En Iran, l’enseignement supérieur est principalement axé sur l’obtention du </w:t>
      </w:r>
      <w:r w:rsidR="00D00FC5" w:rsidRPr="0071782F">
        <w:rPr>
          <w:lang w:val="fr-CH"/>
        </w:rPr>
        <w:t xml:space="preserve">premier </w:t>
      </w:r>
      <w:r w:rsidR="00383F94" w:rsidRPr="0071782F">
        <w:rPr>
          <w:lang w:val="fr-CH"/>
        </w:rPr>
        <w:t xml:space="preserve">diplôme </w:t>
      </w:r>
      <w:r w:rsidR="00D00FC5" w:rsidRPr="0071782F">
        <w:rPr>
          <w:lang w:val="fr-CH"/>
        </w:rPr>
        <w:t>universitaire</w:t>
      </w:r>
      <w:r w:rsidR="00383F94" w:rsidRPr="0071782F">
        <w:rPr>
          <w:lang w:val="fr-CH"/>
        </w:rPr>
        <w:t>, de la licence, du mastère ou du doctorat. Les principaux types de centres d’enseignement sont les suivants</w:t>
      </w:r>
      <w:r w:rsidR="008F7D33" w:rsidRPr="0071782F">
        <w:rPr>
          <w:lang w:val="fr-CH"/>
        </w:rPr>
        <w:t>:</w:t>
      </w:r>
      <w:r w:rsidR="00383F94" w:rsidRPr="0071782F">
        <w:rPr>
          <w:lang w:val="fr-CH"/>
        </w:rPr>
        <w:t xml:space="preserve"> </w:t>
      </w:r>
    </w:p>
    <w:p w:rsidR="00186B76" w:rsidRPr="0071782F" w:rsidRDefault="00186B76" w:rsidP="00A45A11">
      <w:pPr>
        <w:pStyle w:val="H4G"/>
        <w:rPr>
          <w:lang w:val="fr-CH"/>
        </w:rPr>
      </w:pPr>
      <w:r w:rsidRPr="0071782F">
        <w:rPr>
          <w:lang w:val="fr-CH"/>
        </w:rPr>
        <w:tab/>
      </w:r>
      <w:r w:rsidRPr="0071782F">
        <w:rPr>
          <w:lang w:val="fr-CH"/>
        </w:rPr>
        <w:tab/>
      </w:r>
      <w:r w:rsidR="00383F94" w:rsidRPr="0071782F">
        <w:rPr>
          <w:lang w:val="fr-CH"/>
        </w:rPr>
        <w:t xml:space="preserve">Le secteur public </w:t>
      </w:r>
    </w:p>
    <w:p w:rsidR="00186B76" w:rsidRPr="0071782F" w:rsidRDefault="00186B76" w:rsidP="00A45A11">
      <w:pPr>
        <w:pStyle w:val="SingleTxtG"/>
        <w:rPr>
          <w:lang w:val="fr-CH"/>
        </w:rPr>
      </w:pPr>
      <w:r w:rsidRPr="0071782F">
        <w:rPr>
          <w:lang w:val="fr-CH"/>
        </w:rPr>
        <w:t>402.</w:t>
      </w:r>
      <w:r w:rsidRPr="0071782F">
        <w:rPr>
          <w:lang w:val="fr-CH"/>
        </w:rPr>
        <w:tab/>
      </w:r>
      <w:r w:rsidR="00383F94" w:rsidRPr="0071782F">
        <w:rPr>
          <w:lang w:val="fr-CH"/>
        </w:rPr>
        <w:t>E</w:t>
      </w:r>
      <w:r w:rsidRPr="0071782F">
        <w:rPr>
          <w:lang w:val="fr-CH"/>
        </w:rPr>
        <w:t xml:space="preserve">n Iran, </w:t>
      </w:r>
      <w:r w:rsidR="00383F94" w:rsidRPr="0071782F">
        <w:rPr>
          <w:lang w:val="fr-CH"/>
        </w:rPr>
        <w:t xml:space="preserve">il incombe au Ministère de la science, de la recherche et de la technologie de former le personnel et de lui donner un niveau d’éducation et de spécialisation suffisant. Cela étant, d’autres ministères et organismes publics mettent également la main à la pâte. </w:t>
      </w:r>
    </w:p>
    <w:p w:rsidR="00186B76" w:rsidRPr="0071782F" w:rsidRDefault="00383F94" w:rsidP="00A45A11">
      <w:pPr>
        <w:pStyle w:val="SingleTxtG"/>
        <w:rPr>
          <w:lang w:val="fr-CH"/>
        </w:rPr>
      </w:pPr>
      <w:r w:rsidRPr="0071782F">
        <w:rPr>
          <w:lang w:val="fr-CH"/>
        </w:rPr>
        <w:t>403.</w:t>
      </w:r>
      <w:r w:rsidRPr="0071782F">
        <w:rPr>
          <w:lang w:val="fr-CH"/>
        </w:rPr>
        <w:tab/>
        <w:t>E</w:t>
      </w:r>
      <w:r w:rsidR="00186B76" w:rsidRPr="0071782F">
        <w:rPr>
          <w:lang w:val="fr-CH"/>
        </w:rPr>
        <w:t xml:space="preserve">n 1985, </w:t>
      </w:r>
      <w:r w:rsidRPr="0071782F">
        <w:rPr>
          <w:lang w:val="fr-CH"/>
        </w:rPr>
        <w:t>toutes les fonctions et responsa</w:t>
      </w:r>
      <w:r w:rsidR="00186B76" w:rsidRPr="0071782F">
        <w:rPr>
          <w:lang w:val="fr-CH"/>
        </w:rPr>
        <w:t>bilit</w:t>
      </w:r>
      <w:r w:rsidRPr="0071782F">
        <w:rPr>
          <w:lang w:val="fr-CH"/>
        </w:rPr>
        <w:t>é</w:t>
      </w:r>
      <w:r w:rsidR="00186B76" w:rsidRPr="0071782F">
        <w:rPr>
          <w:lang w:val="fr-CH"/>
        </w:rPr>
        <w:t xml:space="preserve">s </w:t>
      </w:r>
      <w:r w:rsidRPr="0071782F">
        <w:rPr>
          <w:lang w:val="fr-CH"/>
        </w:rPr>
        <w:t xml:space="preserve">liées à la formation médicale ont été transférées du Ministère de la science, de la recherche et de la technologie au </w:t>
      </w:r>
      <w:r w:rsidR="00186B76" w:rsidRPr="0071782F">
        <w:rPr>
          <w:lang w:val="fr-CH"/>
        </w:rPr>
        <w:t>Minist</w:t>
      </w:r>
      <w:r w:rsidRPr="0071782F">
        <w:rPr>
          <w:lang w:val="fr-CH"/>
        </w:rPr>
        <w:t>ère de la santé et de la formation médicale</w:t>
      </w:r>
      <w:r w:rsidR="00186B76" w:rsidRPr="0071782F">
        <w:rPr>
          <w:lang w:val="fr-CH"/>
        </w:rPr>
        <w:t xml:space="preserve">. </w:t>
      </w:r>
      <w:r w:rsidRPr="0071782F">
        <w:rPr>
          <w:lang w:val="fr-CH"/>
        </w:rPr>
        <w:t>Ce transfert a eu pour objectif d’utiliser d’une manière plus efficace les hôpitaux relevant du Ministère de la santé dans les activités liées à l’enseignement de la médecine</w:t>
      </w:r>
      <w:r w:rsidR="00186B76" w:rsidRPr="0071782F">
        <w:rPr>
          <w:lang w:val="fr-CH"/>
        </w:rPr>
        <w:t>.</w:t>
      </w:r>
    </w:p>
    <w:p w:rsidR="00186B76" w:rsidRPr="0071782F" w:rsidRDefault="00186B76" w:rsidP="00A45A11">
      <w:pPr>
        <w:pStyle w:val="SingleTxtG"/>
        <w:rPr>
          <w:lang w:val="fr-CH"/>
        </w:rPr>
      </w:pPr>
      <w:r w:rsidRPr="0071782F">
        <w:rPr>
          <w:lang w:val="fr-CH"/>
        </w:rPr>
        <w:t>404.</w:t>
      </w:r>
      <w:r w:rsidRPr="0071782F">
        <w:rPr>
          <w:lang w:val="fr-CH"/>
        </w:rPr>
        <w:tab/>
      </w:r>
      <w:r w:rsidR="00383F94" w:rsidRPr="0071782F">
        <w:rPr>
          <w:lang w:val="fr-CH"/>
        </w:rPr>
        <w:t>À l’heure actuelle, en sus des universités et autres établissements d’enseignement supérieur relevant du Ministère de la science, de la recherche et de la technologie et du Ministère de la santé et de la formation médicale</w:t>
      </w:r>
      <w:r w:rsidRPr="0071782F">
        <w:rPr>
          <w:lang w:val="fr-CH"/>
        </w:rPr>
        <w:t>,</w:t>
      </w:r>
      <w:r w:rsidR="00383F94" w:rsidRPr="0071782F">
        <w:rPr>
          <w:lang w:val="fr-CH"/>
        </w:rPr>
        <w:t xml:space="preserve"> il existe d’autres établissements qui, avec l’autorisation du Ministère de la science, de la recherche et de la technologie</w:t>
      </w:r>
      <w:r w:rsidRPr="0071782F">
        <w:rPr>
          <w:lang w:val="fr-CH"/>
        </w:rPr>
        <w:t xml:space="preserve">, </w:t>
      </w:r>
      <w:r w:rsidR="00383F94" w:rsidRPr="0071782F">
        <w:rPr>
          <w:lang w:val="fr-CH"/>
        </w:rPr>
        <w:t>inscrivent des étudiants</w:t>
      </w:r>
      <w:r w:rsidRPr="0071782F">
        <w:rPr>
          <w:lang w:val="fr-CH"/>
        </w:rPr>
        <w:t>.</w:t>
      </w:r>
      <w:r w:rsidR="00383F94" w:rsidRPr="0071782F">
        <w:rPr>
          <w:lang w:val="fr-CH"/>
        </w:rPr>
        <w:t xml:space="preserve"> Il s’agit notamment des centres de formation technique et de formation des maîtres relevant du </w:t>
      </w:r>
      <w:r w:rsidRPr="0071782F">
        <w:rPr>
          <w:lang w:val="fr-CH"/>
        </w:rPr>
        <w:t>Minist</w:t>
      </w:r>
      <w:r w:rsidR="00383F94" w:rsidRPr="0071782F">
        <w:rPr>
          <w:lang w:val="fr-CH"/>
        </w:rPr>
        <w:t>ère de l’é</w:t>
      </w:r>
      <w:r w:rsidRPr="0071782F">
        <w:rPr>
          <w:lang w:val="fr-CH"/>
        </w:rPr>
        <w:t xml:space="preserve">ducation, </w:t>
      </w:r>
      <w:r w:rsidR="00383F94" w:rsidRPr="0071782F">
        <w:rPr>
          <w:lang w:val="fr-CH"/>
        </w:rPr>
        <w:t>et des établissements d’enseignement supérieur relevant d’autres ministères, tels que ceux des affaires étrangères, des postes et télégraphes, et des routes et du transport</w:t>
      </w:r>
      <w:r w:rsidRPr="0071782F">
        <w:rPr>
          <w:lang w:val="fr-CH"/>
        </w:rPr>
        <w:t>.</w:t>
      </w:r>
    </w:p>
    <w:p w:rsidR="00186B76" w:rsidRPr="0071782F" w:rsidRDefault="00186B76" w:rsidP="00A45A11">
      <w:pPr>
        <w:pStyle w:val="SingleTxtG"/>
        <w:rPr>
          <w:lang w:val="fr-CH"/>
        </w:rPr>
      </w:pPr>
      <w:r w:rsidRPr="0071782F">
        <w:rPr>
          <w:lang w:val="fr-CH"/>
        </w:rPr>
        <w:t>405.</w:t>
      </w:r>
      <w:r w:rsidRPr="0071782F">
        <w:rPr>
          <w:lang w:val="fr-CH"/>
        </w:rPr>
        <w:tab/>
      </w:r>
      <w:r w:rsidR="00F67740" w:rsidRPr="0071782F">
        <w:rPr>
          <w:lang w:val="fr-CH"/>
        </w:rPr>
        <w:t xml:space="preserve">Le </w:t>
      </w:r>
      <w:r w:rsidRPr="0071782F">
        <w:rPr>
          <w:lang w:val="fr-CH"/>
        </w:rPr>
        <w:t>process</w:t>
      </w:r>
      <w:r w:rsidR="00F67740" w:rsidRPr="0071782F">
        <w:rPr>
          <w:lang w:val="fr-CH"/>
        </w:rPr>
        <w:t>us éducatif à l’</w:t>
      </w:r>
      <w:r w:rsidR="00D5366B" w:rsidRPr="0071782F">
        <w:rPr>
          <w:lang w:val="fr-CH"/>
        </w:rPr>
        <w:t>œuvre</w:t>
      </w:r>
      <w:r w:rsidR="00F67740" w:rsidRPr="0071782F">
        <w:rPr>
          <w:lang w:val="fr-CH"/>
        </w:rPr>
        <w:t xml:space="preserve"> dans les universités et autres établissements d’enseignement supérieur se </w:t>
      </w:r>
      <w:r w:rsidR="0071782F" w:rsidRPr="0071782F">
        <w:rPr>
          <w:lang w:val="fr-CH"/>
        </w:rPr>
        <w:t>résume</w:t>
      </w:r>
      <w:r w:rsidR="00F67740" w:rsidRPr="0071782F">
        <w:rPr>
          <w:lang w:val="fr-CH"/>
        </w:rPr>
        <w:t xml:space="preserve"> comme suit</w:t>
      </w:r>
      <w:r w:rsidR="008F7D33" w:rsidRPr="0071782F">
        <w:rPr>
          <w:lang w:val="fr-CH"/>
        </w:rPr>
        <w:t>:</w:t>
      </w:r>
      <w:r w:rsidRPr="0071782F">
        <w:rPr>
          <w:lang w:val="fr-CH"/>
        </w:rPr>
        <w:t xml:space="preserve"> </w:t>
      </w:r>
      <w:r w:rsidR="00F67740" w:rsidRPr="0071782F">
        <w:rPr>
          <w:lang w:val="fr-CH"/>
        </w:rPr>
        <w:t>les étudiants s’inscrivent dans un établissement (université</w:t>
      </w:r>
      <w:r w:rsidRPr="0071782F">
        <w:rPr>
          <w:lang w:val="fr-CH"/>
        </w:rPr>
        <w:t>, coll</w:t>
      </w:r>
      <w:r w:rsidR="00F67740" w:rsidRPr="0071782F">
        <w:rPr>
          <w:lang w:val="fr-CH"/>
        </w:rPr>
        <w:t>ège</w:t>
      </w:r>
      <w:r w:rsidRPr="0071782F">
        <w:rPr>
          <w:lang w:val="fr-CH"/>
        </w:rPr>
        <w:t xml:space="preserve">, </w:t>
      </w:r>
      <w:r w:rsidR="00F67740" w:rsidRPr="0071782F">
        <w:rPr>
          <w:lang w:val="fr-CH"/>
        </w:rPr>
        <w:t xml:space="preserve">collège technique ou école </w:t>
      </w:r>
      <w:r w:rsidRPr="0071782F">
        <w:rPr>
          <w:lang w:val="fr-CH"/>
        </w:rPr>
        <w:t>ZGam)</w:t>
      </w:r>
      <w:r w:rsidR="00F67740" w:rsidRPr="0071782F">
        <w:rPr>
          <w:lang w:val="fr-CH"/>
        </w:rPr>
        <w:t>, suivent jusqu’au bout les cours prescrits dans les délais fixés et</w:t>
      </w:r>
      <w:r w:rsidRPr="0071782F">
        <w:rPr>
          <w:lang w:val="fr-CH"/>
        </w:rPr>
        <w:t xml:space="preserve">, </w:t>
      </w:r>
      <w:r w:rsidR="00F67740" w:rsidRPr="0071782F">
        <w:rPr>
          <w:lang w:val="fr-CH"/>
        </w:rPr>
        <w:t xml:space="preserve">en fonction des cours suivis, se voient remettre un </w:t>
      </w:r>
      <w:r w:rsidR="003C3B15" w:rsidRPr="0071782F">
        <w:rPr>
          <w:lang w:val="fr-CH"/>
        </w:rPr>
        <w:t xml:space="preserve">premier </w:t>
      </w:r>
      <w:r w:rsidR="00597357" w:rsidRPr="0071782F">
        <w:rPr>
          <w:lang w:val="fr-CH"/>
        </w:rPr>
        <w:t xml:space="preserve">diplôme </w:t>
      </w:r>
      <w:r w:rsidR="003C3B15" w:rsidRPr="0071782F">
        <w:rPr>
          <w:lang w:val="fr-CH"/>
        </w:rPr>
        <w:t>universitaire (</w:t>
      </w:r>
      <w:r w:rsidR="00597357" w:rsidRPr="0071782F">
        <w:rPr>
          <w:lang w:val="fr-CH"/>
        </w:rPr>
        <w:t>deux</w:t>
      </w:r>
      <w:r w:rsidR="00D82C96" w:rsidRPr="0071782F">
        <w:rPr>
          <w:lang w:val="fr-CH"/>
        </w:rPr>
        <w:t> ans</w:t>
      </w:r>
      <w:r w:rsidR="003C3B15" w:rsidRPr="0071782F">
        <w:rPr>
          <w:lang w:val="fr-CH"/>
        </w:rPr>
        <w:t>)</w:t>
      </w:r>
      <w:r w:rsidR="00F67740" w:rsidRPr="0071782F">
        <w:rPr>
          <w:lang w:val="fr-CH"/>
        </w:rPr>
        <w:t>, une licence, un mastère ou un doctorat professionnel ou spécialisé</w:t>
      </w:r>
      <w:r w:rsidRPr="0071782F">
        <w:rPr>
          <w:lang w:val="fr-CH"/>
        </w:rPr>
        <w:t>.</w:t>
      </w:r>
    </w:p>
    <w:p w:rsidR="00186B76" w:rsidRPr="0071782F" w:rsidRDefault="00186B76" w:rsidP="00A45A11">
      <w:pPr>
        <w:pStyle w:val="H4G"/>
        <w:rPr>
          <w:lang w:val="fr-CH"/>
        </w:rPr>
      </w:pPr>
      <w:r w:rsidRPr="0071782F">
        <w:rPr>
          <w:lang w:val="fr-CH"/>
        </w:rPr>
        <w:tab/>
      </w:r>
      <w:r w:rsidRPr="0071782F">
        <w:rPr>
          <w:lang w:val="fr-CH"/>
        </w:rPr>
        <w:tab/>
      </w:r>
      <w:r w:rsidR="00F67740" w:rsidRPr="0071782F">
        <w:rPr>
          <w:lang w:val="fr-CH"/>
        </w:rPr>
        <w:t>Le secteur privé</w:t>
      </w:r>
      <w:r w:rsidRPr="0071782F">
        <w:rPr>
          <w:lang w:val="fr-CH"/>
        </w:rPr>
        <w:t xml:space="preserve"> </w:t>
      </w:r>
    </w:p>
    <w:p w:rsidR="00186B76" w:rsidRPr="0071782F" w:rsidRDefault="00186B76" w:rsidP="00A45A11">
      <w:pPr>
        <w:pStyle w:val="SingleTxtG"/>
        <w:rPr>
          <w:lang w:val="fr-CH"/>
        </w:rPr>
      </w:pPr>
      <w:r w:rsidRPr="0071782F">
        <w:rPr>
          <w:lang w:val="fr-CH"/>
        </w:rPr>
        <w:t>406.</w:t>
      </w:r>
      <w:r w:rsidRPr="0071782F">
        <w:rPr>
          <w:lang w:val="fr-CH"/>
        </w:rPr>
        <w:tab/>
      </w:r>
      <w:r w:rsidR="00F67740" w:rsidRPr="0071782F">
        <w:rPr>
          <w:lang w:val="fr-CH"/>
        </w:rPr>
        <w:t xml:space="preserve">Afin d’augmenter la </w:t>
      </w:r>
      <w:r w:rsidRPr="0071782F">
        <w:rPr>
          <w:lang w:val="fr-CH"/>
        </w:rPr>
        <w:t xml:space="preserve">participation </w:t>
      </w:r>
      <w:r w:rsidR="00F67740" w:rsidRPr="0071782F">
        <w:rPr>
          <w:lang w:val="fr-CH"/>
        </w:rPr>
        <w:t>sociale à la prestation de services d’enseignement supérieur et d’alléger le fardeau financier qui pèse sur l’État, et vu l’augmentation de la demande d’enseignement supérieur, des universités et autres établissements d’enseignement supérieur privés ont été créés</w:t>
      </w:r>
      <w:r w:rsidRPr="0071782F">
        <w:rPr>
          <w:lang w:val="fr-CH"/>
        </w:rPr>
        <w:t xml:space="preserve">. </w:t>
      </w:r>
      <w:r w:rsidR="00F67740" w:rsidRPr="0071782F">
        <w:rPr>
          <w:lang w:val="fr-CH"/>
        </w:rPr>
        <w:t>Il s’agit des établissements ci-après</w:t>
      </w:r>
      <w:r w:rsidRPr="0071782F">
        <w:rPr>
          <w:lang w:val="fr-CH"/>
        </w:rPr>
        <w:t>.</w:t>
      </w:r>
    </w:p>
    <w:p w:rsidR="00186B76" w:rsidRPr="0071782F" w:rsidRDefault="00186B76" w:rsidP="00A45A11">
      <w:pPr>
        <w:pStyle w:val="H56G"/>
        <w:rPr>
          <w:lang w:val="fr-CH"/>
        </w:rPr>
      </w:pPr>
      <w:r w:rsidRPr="0071782F">
        <w:rPr>
          <w:lang w:val="fr-CH"/>
        </w:rPr>
        <w:tab/>
      </w:r>
      <w:r w:rsidRPr="0071782F">
        <w:rPr>
          <w:lang w:val="fr-CH"/>
        </w:rPr>
        <w:tab/>
      </w:r>
      <w:r w:rsidR="00F67740" w:rsidRPr="0071782F">
        <w:rPr>
          <w:lang w:val="fr-CH"/>
        </w:rPr>
        <w:t xml:space="preserve">Université islamique </w:t>
      </w:r>
      <w:r w:rsidRPr="0071782F">
        <w:rPr>
          <w:lang w:val="fr-CH"/>
        </w:rPr>
        <w:t xml:space="preserve">Azad </w:t>
      </w:r>
    </w:p>
    <w:p w:rsidR="00186B76" w:rsidRPr="0071782F" w:rsidRDefault="00186B76" w:rsidP="00A45A11">
      <w:pPr>
        <w:pStyle w:val="SingleTxtG"/>
        <w:rPr>
          <w:lang w:val="fr-CH"/>
        </w:rPr>
      </w:pPr>
      <w:r w:rsidRPr="0071782F">
        <w:rPr>
          <w:lang w:val="fr-CH"/>
        </w:rPr>
        <w:t>407.</w:t>
      </w:r>
      <w:r w:rsidRPr="0071782F">
        <w:rPr>
          <w:lang w:val="fr-CH"/>
        </w:rPr>
        <w:tab/>
      </w:r>
      <w:r w:rsidR="00F67740" w:rsidRPr="0071782F">
        <w:rPr>
          <w:lang w:val="fr-CH"/>
        </w:rPr>
        <w:t xml:space="preserve">La première université privée à </w:t>
      </w:r>
      <w:r w:rsidR="003C3B15" w:rsidRPr="0071782F">
        <w:rPr>
          <w:lang w:val="fr-CH"/>
        </w:rPr>
        <w:t>a</w:t>
      </w:r>
      <w:r w:rsidR="00F67740" w:rsidRPr="0071782F">
        <w:rPr>
          <w:lang w:val="fr-CH"/>
        </w:rPr>
        <w:t xml:space="preserve">voir </w:t>
      </w:r>
      <w:r w:rsidR="003C3B15" w:rsidRPr="0071782F">
        <w:rPr>
          <w:lang w:val="fr-CH"/>
        </w:rPr>
        <w:t xml:space="preserve">vu </w:t>
      </w:r>
      <w:r w:rsidR="00F67740" w:rsidRPr="0071782F">
        <w:rPr>
          <w:lang w:val="fr-CH"/>
        </w:rPr>
        <w:t xml:space="preserve">le jour après la Révolution islamique a été l’Université islamique </w:t>
      </w:r>
      <w:r w:rsidRPr="0071782F">
        <w:rPr>
          <w:lang w:val="fr-CH"/>
        </w:rPr>
        <w:t xml:space="preserve">Azad, </w:t>
      </w:r>
      <w:r w:rsidR="00F67740" w:rsidRPr="0071782F">
        <w:rPr>
          <w:lang w:val="fr-CH"/>
        </w:rPr>
        <w:t>créée e</w:t>
      </w:r>
      <w:r w:rsidRPr="0071782F">
        <w:rPr>
          <w:lang w:val="fr-CH"/>
        </w:rPr>
        <w:t xml:space="preserve">n 1982. </w:t>
      </w:r>
      <w:r w:rsidR="00F67740" w:rsidRPr="0071782F">
        <w:rPr>
          <w:lang w:val="fr-CH"/>
        </w:rPr>
        <w:t xml:space="preserve">Au cours de ses premières années d’activité, cette université a utilisé des terrains, bâtiments, équipements et ateliers fournis par des fonctionnaires locaux ou financés par des </w:t>
      </w:r>
      <w:r w:rsidRPr="0071782F">
        <w:rPr>
          <w:lang w:val="fr-CH"/>
        </w:rPr>
        <w:t>philanthrop</w:t>
      </w:r>
      <w:r w:rsidR="00F67740" w:rsidRPr="0071782F">
        <w:rPr>
          <w:lang w:val="fr-CH"/>
        </w:rPr>
        <w:t>es pour étendre ses activités. Aujourd’hui, elle est présente dans 110 villes</w:t>
      </w:r>
      <w:r w:rsidRPr="0071782F">
        <w:rPr>
          <w:lang w:val="fr-CH"/>
        </w:rPr>
        <w:t xml:space="preserve">. </w:t>
      </w:r>
    </w:p>
    <w:p w:rsidR="00186B76" w:rsidRPr="0071782F" w:rsidRDefault="00186B76" w:rsidP="00A45A11">
      <w:pPr>
        <w:pStyle w:val="H56G"/>
        <w:rPr>
          <w:lang w:val="fr-CH"/>
        </w:rPr>
      </w:pPr>
      <w:r w:rsidRPr="0071782F">
        <w:rPr>
          <w:lang w:val="fr-CH"/>
        </w:rPr>
        <w:tab/>
      </w:r>
      <w:r w:rsidRPr="0071782F">
        <w:rPr>
          <w:lang w:val="fr-CH"/>
        </w:rPr>
        <w:tab/>
      </w:r>
      <w:r w:rsidR="002F33B6" w:rsidRPr="0071782F">
        <w:rPr>
          <w:lang w:val="fr-CH"/>
        </w:rPr>
        <w:t>Établissements d’enseignement supérieur privés et sans but lucratif</w:t>
      </w:r>
      <w:r w:rsidRPr="0071782F">
        <w:rPr>
          <w:lang w:val="fr-CH"/>
        </w:rPr>
        <w:t xml:space="preserve"> </w:t>
      </w:r>
    </w:p>
    <w:p w:rsidR="00186B76" w:rsidRPr="0071782F" w:rsidRDefault="00186B76" w:rsidP="00A45A11">
      <w:pPr>
        <w:pStyle w:val="SingleTxtG"/>
        <w:rPr>
          <w:lang w:val="fr-CH"/>
        </w:rPr>
      </w:pPr>
      <w:r w:rsidRPr="0071782F">
        <w:rPr>
          <w:lang w:val="fr-CH"/>
        </w:rPr>
        <w:t>408.</w:t>
      </w:r>
      <w:r w:rsidRPr="0071782F">
        <w:rPr>
          <w:lang w:val="fr-CH"/>
        </w:rPr>
        <w:tab/>
      </w:r>
      <w:r w:rsidR="002F33B6" w:rsidRPr="0071782F">
        <w:rPr>
          <w:lang w:val="fr-CH"/>
        </w:rPr>
        <w:t>L’</w:t>
      </w:r>
      <w:r w:rsidRPr="0071782F">
        <w:rPr>
          <w:lang w:val="fr-CH"/>
        </w:rPr>
        <w:t>exp</w:t>
      </w:r>
      <w:r w:rsidR="002F33B6" w:rsidRPr="0071782F">
        <w:rPr>
          <w:lang w:val="fr-CH"/>
        </w:rPr>
        <w:t>é</w:t>
      </w:r>
      <w:r w:rsidRPr="0071782F">
        <w:rPr>
          <w:lang w:val="fr-CH"/>
        </w:rPr>
        <w:t xml:space="preserve">rience </w:t>
      </w:r>
      <w:r w:rsidR="002F33B6" w:rsidRPr="0071782F">
        <w:rPr>
          <w:lang w:val="fr-CH"/>
        </w:rPr>
        <w:t>de l’Université islamique Aza</w:t>
      </w:r>
      <w:r w:rsidR="003C3B15" w:rsidRPr="0071782F">
        <w:rPr>
          <w:lang w:val="fr-CH"/>
        </w:rPr>
        <w:t>d</w:t>
      </w:r>
      <w:r w:rsidR="002F33B6" w:rsidRPr="0071782F">
        <w:rPr>
          <w:lang w:val="fr-CH"/>
        </w:rPr>
        <w:t>, l’accroissement constant de la demande d’enseignement supérieur et la volonté du secteur privé de participer aux activités de l’enseignement supérieur ont amené le Haut Conseil culturel de la Révolution à approuver, en 1985, le règlement régissant la création d’universités et d’autres établissements d’enseignement supérieur privés et à but non lucratif</w:t>
      </w:r>
      <w:r w:rsidRPr="0071782F">
        <w:rPr>
          <w:lang w:val="fr-CH"/>
        </w:rPr>
        <w:t xml:space="preserve">. </w:t>
      </w:r>
      <w:r w:rsidR="002F33B6" w:rsidRPr="0071782F">
        <w:rPr>
          <w:lang w:val="fr-CH"/>
        </w:rPr>
        <w:t>Ce règlement, qui vise à</w:t>
      </w:r>
      <w:r w:rsidRPr="0071782F">
        <w:rPr>
          <w:lang w:val="fr-CH"/>
        </w:rPr>
        <w:t xml:space="preserve"> </w:t>
      </w:r>
      <w:r w:rsidR="00A62149" w:rsidRPr="0071782F">
        <w:rPr>
          <w:lang w:val="fr-CH"/>
        </w:rPr>
        <w:t>"</w:t>
      </w:r>
      <w:r w:rsidRPr="0071782F">
        <w:rPr>
          <w:lang w:val="fr-CH"/>
        </w:rPr>
        <w:t>mobili</w:t>
      </w:r>
      <w:r w:rsidR="002F33B6" w:rsidRPr="0071782F">
        <w:rPr>
          <w:lang w:val="fr-CH"/>
        </w:rPr>
        <w:t>ser l’ensemble des capacités</w:t>
      </w:r>
      <w:r w:rsidRPr="0071782F">
        <w:rPr>
          <w:lang w:val="fr-CH"/>
        </w:rPr>
        <w:t xml:space="preserve"> </w:t>
      </w:r>
      <w:r w:rsidR="002F33B6" w:rsidRPr="0071782F">
        <w:rPr>
          <w:lang w:val="fr-CH"/>
        </w:rPr>
        <w:t>du pays pour développer l’enseignement supérieur</w:t>
      </w:r>
      <w:r w:rsidR="00A62149" w:rsidRPr="0071782F">
        <w:rPr>
          <w:lang w:val="fr-CH"/>
        </w:rPr>
        <w:t>"</w:t>
      </w:r>
      <w:r w:rsidRPr="0071782F">
        <w:rPr>
          <w:lang w:val="fr-CH"/>
        </w:rPr>
        <w:t xml:space="preserve">, </w:t>
      </w:r>
      <w:r w:rsidR="002F33B6" w:rsidRPr="0071782F">
        <w:rPr>
          <w:lang w:val="fr-CH"/>
        </w:rPr>
        <w:t>poursuit les objectifs suivants</w:t>
      </w:r>
      <w:r w:rsidR="008F7D33" w:rsidRPr="0071782F">
        <w:rPr>
          <w:lang w:val="fr-CH"/>
        </w:rPr>
        <w:t>:</w:t>
      </w:r>
    </w:p>
    <w:p w:rsidR="00186B76" w:rsidRPr="0071782F" w:rsidRDefault="002F33B6" w:rsidP="00A45A11">
      <w:pPr>
        <w:pStyle w:val="Bullet1G"/>
        <w:rPr>
          <w:lang w:val="fr-CH"/>
        </w:rPr>
      </w:pPr>
      <w:r w:rsidRPr="0071782F">
        <w:rPr>
          <w:lang w:val="fr-CH"/>
        </w:rPr>
        <w:t xml:space="preserve">Améliorer le niveau de connaissances et de culture de la société </w:t>
      </w:r>
    </w:p>
    <w:p w:rsidR="00186B76" w:rsidRPr="0071782F" w:rsidRDefault="00597357" w:rsidP="00A45A11">
      <w:pPr>
        <w:pStyle w:val="Bullet1G"/>
        <w:rPr>
          <w:lang w:val="fr-CH"/>
        </w:rPr>
      </w:pPr>
      <w:r w:rsidRPr="0071782F">
        <w:rPr>
          <w:lang w:val="fr-CH"/>
        </w:rPr>
        <w:t xml:space="preserve">Développer l’enseignement supérieur dans le pays de manière à répondre aux besoins de la société dans le domaine de l’acquisition de nouvelles connaissances </w:t>
      </w:r>
    </w:p>
    <w:p w:rsidR="00186B76" w:rsidRPr="0071782F" w:rsidRDefault="00597357" w:rsidP="00A45A11">
      <w:pPr>
        <w:pStyle w:val="Bullet1G"/>
        <w:rPr>
          <w:lang w:val="fr-CH"/>
        </w:rPr>
      </w:pPr>
      <w:r w:rsidRPr="0071782F">
        <w:rPr>
          <w:lang w:val="fr-CH"/>
        </w:rPr>
        <w:t xml:space="preserve">Inciter tous les enseignants et instructeurs à mettre leur formation au service de l’enseignement supérieur </w:t>
      </w:r>
    </w:p>
    <w:p w:rsidR="00186B76" w:rsidRPr="0071782F" w:rsidRDefault="00186B76" w:rsidP="00A45A11">
      <w:pPr>
        <w:pStyle w:val="Bullet1G"/>
        <w:rPr>
          <w:lang w:val="fr-CH"/>
        </w:rPr>
      </w:pPr>
      <w:r w:rsidRPr="0071782F">
        <w:rPr>
          <w:lang w:val="fr-CH"/>
        </w:rPr>
        <w:t>Cr</w:t>
      </w:r>
      <w:r w:rsidR="00597357" w:rsidRPr="0071782F">
        <w:rPr>
          <w:lang w:val="fr-CH"/>
        </w:rPr>
        <w:t xml:space="preserve">éer les conditions d’une pleine participation de la société au développement et à la </w:t>
      </w:r>
      <w:r w:rsidRPr="0071782F">
        <w:rPr>
          <w:lang w:val="fr-CH"/>
        </w:rPr>
        <w:t xml:space="preserve">promotion </w:t>
      </w:r>
      <w:r w:rsidR="00597357" w:rsidRPr="0071782F">
        <w:rPr>
          <w:lang w:val="fr-CH"/>
        </w:rPr>
        <w:t xml:space="preserve">des connaissances et de la recherche dans le pays </w:t>
      </w:r>
    </w:p>
    <w:p w:rsidR="00186B76" w:rsidRPr="0071782F" w:rsidRDefault="00186B76" w:rsidP="00A45A11">
      <w:pPr>
        <w:pStyle w:val="SingleTxtG"/>
        <w:rPr>
          <w:lang w:val="fr-CH"/>
        </w:rPr>
      </w:pPr>
      <w:r w:rsidRPr="0071782F">
        <w:rPr>
          <w:lang w:val="fr-CH"/>
        </w:rPr>
        <w:t>409.</w:t>
      </w:r>
      <w:r w:rsidRPr="0071782F">
        <w:rPr>
          <w:lang w:val="fr-CH"/>
        </w:rPr>
        <w:tab/>
      </w:r>
      <w:r w:rsidR="00597357" w:rsidRPr="0071782F">
        <w:rPr>
          <w:lang w:val="fr-CH"/>
        </w:rPr>
        <w:t xml:space="preserve">À l’heure actuelle, le pays compte </w:t>
      </w:r>
      <w:r w:rsidRPr="0071782F">
        <w:rPr>
          <w:lang w:val="fr-CH"/>
        </w:rPr>
        <w:t xml:space="preserve">32 </w:t>
      </w:r>
      <w:r w:rsidR="00597357" w:rsidRPr="0071782F">
        <w:rPr>
          <w:lang w:val="fr-CH"/>
        </w:rPr>
        <w:t>établissements d’enseignement supérieur privés et à but non lucratif</w:t>
      </w:r>
      <w:r w:rsidRPr="0071782F">
        <w:rPr>
          <w:lang w:val="fr-CH"/>
        </w:rPr>
        <w:t xml:space="preserve">, </w:t>
      </w:r>
      <w:r w:rsidR="00597357" w:rsidRPr="0071782F">
        <w:rPr>
          <w:lang w:val="fr-CH"/>
        </w:rPr>
        <w:t xml:space="preserve">qui accueillent </w:t>
      </w:r>
      <w:r w:rsidRPr="0071782F">
        <w:rPr>
          <w:lang w:val="fr-CH"/>
        </w:rPr>
        <w:t>16</w:t>
      </w:r>
      <w:r w:rsidR="00707DCC">
        <w:rPr>
          <w:lang w:val="fr-CH"/>
        </w:rPr>
        <w:t> </w:t>
      </w:r>
      <w:r w:rsidRPr="0071782F">
        <w:rPr>
          <w:lang w:val="fr-CH"/>
        </w:rPr>
        <w:t xml:space="preserve">091 </w:t>
      </w:r>
      <w:r w:rsidR="00597357" w:rsidRPr="0071782F">
        <w:rPr>
          <w:lang w:val="fr-CH"/>
        </w:rPr>
        <w:t>étudiants</w:t>
      </w:r>
      <w:r w:rsidRPr="0071782F">
        <w:rPr>
          <w:lang w:val="fr-CH"/>
        </w:rPr>
        <w:t xml:space="preserve">. </w:t>
      </w:r>
    </w:p>
    <w:p w:rsidR="00186B76" w:rsidRPr="0071782F" w:rsidRDefault="00186B76" w:rsidP="00A45A11">
      <w:pPr>
        <w:pStyle w:val="H56G"/>
        <w:rPr>
          <w:lang w:val="fr-CH"/>
        </w:rPr>
      </w:pPr>
      <w:r w:rsidRPr="0071782F">
        <w:rPr>
          <w:lang w:val="fr-CH"/>
        </w:rPr>
        <w:tab/>
      </w:r>
      <w:r w:rsidRPr="0071782F">
        <w:rPr>
          <w:lang w:val="fr-CH"/>
        </w:rPr>
        <w:tab/>
      </w:r>
      <w:r w:rsidR="00597357" w:rsidRPr="0071782F">
        <w:rPr>
          <w:lang w:val="fr-CH"/>
        </w:rPr>
        <w:t>Enseignement à d</w:t>
      </w:r>
      <w:r w:rsidRPr="0071782F">
        <w:rPr>
          <w:lang w:val="fr-CH"/>
        </w:rPr>
        <w:t xml:space="preserve">istance </w:t>
      </w:r>
    </w:p>
    <w:p w:rsidR="00186B76" w:rsidRPr="0071782F" w:rsidRDefault="00186B76" w:rsidP="00A45A11">
      <w:pPr>
        <w:pStyle w:val="SingleTxtG"/>
        <w:rPr>
          <w:lang w:val="fr-CH"/>
        </w:rPr>
      </w:pPr>
      <w:r w:rsidRPr="0071782F">
        <w:rPr>
          <w:lang w:val="fr-CH"/>
        </w:rPr>
        <w:t>410.</w:t>
      </w:r>
      <w:r w:rsidRPr="0071782F">
        <w:rPr>
          <w:lang w:val="fr-CH"/>
        </w:rPr>
        <w:tab/>
      </w:r>
      <w:r w:rsidR="00597357" w:rsidRPr="0071782F">
        <w:rPr>
          <w:lang w:val="fr-CH"/>
        </w:rPr>
        <w:t xml:space="preserve">L’Université </w:t>
      </w:r>
      <w:r w:rsidRPr="0071782F">
        <w:rPr>
          <w:lang w:val="fr-CH"/>
        </w:rPr>
        <w:t xml:space="preserve">Payam-e Noor, </w:t>
      </w:r>
      <w:r w:rsidR="00597357" w:rsidRPr="0071782F">
        <w:rPr>
          <w:lang w:val="fr-CH"/>
        </w:rPr>
        <w:t xml:space="preserve">dotée d’une </w:t>
      </w:r>
      <w:r w:rsidRPr="0071782F">
        <w:rPr>
          <w:lang w:val="fr-CH"/>
        </w:rPr>
        <w:t xml:space="preserve">structure </w:t>
      </w:r>
      <w:r w:rsidR="00597357" w:rsidRPr="0071782F">
        <w:rPr>
          <w:lang w:val="fr-CH"/>
        </w:rPr>
        <w:t xml:space="preserve">spéciale qui diffère du système éducatif classique appliqué par les universités, a été fondée en </w:t>
      </w:r>
      <w:r w:rsidRPr="0071782F">
        <w:rPr>
          <w:lang w:val="fr-CH"/>
        </w:rPr>
        <w:t xml:space="preserve">1987, </w:t>
      </w:r>
      <w:r w:rsidR="00597357" w:rsidRPr="0071782F">
        <w:rPr>
          <w:lang w:val="fr-CH"/>
        </w:rPr>
        <w:t xml:space="preserve">afin d’augmenter le niveau des connaissances et de culture de la société, de promouvoir l’enseignement supérieur partout dans le pays et d’accroître la participation </w:t>
      </w:r>
      <w:r w:rsidR="00D82C96" w:rsidRPr="0071782F">
        <w:rPr>
          <w:lang w:val="fr-CH"/>
        </w:rPr>
        <w:t>de personnes</w:t>
      </w:r>
      <w:r w:rsidR="00597357" w:rsidRPr="0071782F">
        <w:rPr>
          <w:lang w:val="fr-CH"/>
        </w:rPr>
        <w:t xml:space="preserve"> aptes à faire des études supérieures</w:t>
      </w:r>
      <w:r w:rsidRPr="0071782F">
        <w:rPr>
          <w:lang w:val="fr-CH"/>
        </w:rPr>
        <w:t xml:space="preserve">, </w:t>
      </w:r>
      <w:r w:rsidR="00597357" w:rsidRPr="0071782F">
        <w:rPr>
          <w:lang w:val="fr-CH"/>
        </w:rPr>
        <w:t xml:space="preserve">d’offrir aux employés et aux femmes au foyer la </w:t>
      </w:r>
      <w:r w:rsidR="0071782F" w:rsidRPr="0071782F">
        <w:rPr>
          <w:lang w:val="fr-CH"/>
        </w:rPr>
        <w:t>possibilité</w:t>
      </w:r>
      <w:r w:rsidR="00597357" w:rsidRPr="0071782F">
        <w:rPr>
          <w:lang w:val="fr-CH"/>
        </w:rPr>
        <w:t xml:space="preserve"> de poursuivre leurs études</w:t>
      </w:r>
      <w:r w:rsidRPr="0071782F">
        <w:rPr>
          <w:lang w:val="fr-CH"/>
        </w:rPr>
        <w:t xml:space="preserve">, </w:t>
      </w:r>
      <w:r w:rsidR="00597357" w:rsidRPr="0071782F">
        <w:rPr>
          <w:lang w:val="fr-CH"/>
        </w:rPr>
        <w:t xml:space="preserve">de fournir une </w:t>
      </w:r>
      <w:r w:rsidRPr="0071782F">
        <w:rPr>
          <w:lang w:val="fr-CH"/>
        </w:rPr>
        <w:t>part</w:t>
      </w:r>
      <w:r w:rsidR="00597357" w:rsidRPr="0071782F">
        <w:rPr>
          <w:lang w:val="fr-CH"/>
        </w:rPr>
        <w:t>ie des compétences professionnelles nécessaires et d’optimiser l’utilisation de la main-d’</w:t>
      </w:r>
      <w:r w:rsidR="00D5366B" w:rsidRPr="0071782F">
        <w:rPr>
          <w:lang w:val="fr-CH"/>
        </w:rPr>
        <w:t>œuvre</w:t>
      </w:r>
      <w:r w:rsidR="00597357" w:rsidRPr="0071782F">
        <w:rPr>
          <w:lang w:val="fr-CH"/>
        </w:rPr>
        <w:t xml:space="preserve"> et des infrastructures scientifiques</w:t>
      </w:r>
      <w:r w:rsidRPr="0071782F">
        <w:rPr>
          <w:lang w:val="fr-CH"/>
        </w:rPr>
        <w:t xml:space="preserve">. </w:t>
      </w:r>
    </w:p>
    <w:p w:rsidR="00186B76" w:rsidRPr="0071782F" w:rsidRDefault="00186B76" w:rsidP="00A45A11">
      <w:pPr>
        <w:pStyle w:val="SingleTxtG"/>
        <w:rPr>
          <w:lang w:val="fr-CH"/>
        </w:rPr>
      </w:pPr>
      <w:r w:rsidRPr="0071782F">
        <w:rPr>
          <w:lang w:val="fr-CH"/>
        </w:rPr>
        <w:t>411.</w:t>
      </w:r>
      <w:r w:rsidRPr="0071782F">
        <w:rPr>
          <w:lang w:val="fr-CH"/>
        </w:rPr>
        <w:tab/>
      </w:r>
      <w:r w:rsidR="003C3B15" w:rsidRPr="0071782F">
        <w:rPr>
          <w:lang w:val="fr-CH"/>
        </w:rPr>
        <w:t xml:space="preserve">Les programmes de cette </w:t>
      </w:r>
      <w:r w:rsidR="00597357" w:rsidRPr="0071782F">
        <w:rPr>
          <w:lang w:val="fr-CH"/>
        </w:rPr>
        <w:t xml:space="preserve">université sont conçus </w:t>
      </w:r>
      <w:r w:rsidR="003C3B15" w:rsidRPr="0071782F">
        <w:rPr>
          <w:lang w:val="fr-CH"/>
        </w:rPr>
        <w:t>de façon à</w:t>
      </w:r>
      <w:r w:rsidR="00597357" w:rsidRPr="0071782F">
        <w:rPr>
          <w:lang w:val="fr-CH"/>
        </w:rPr>
        <w:t xml:space="preserve"> harmoniser l’éducation avec les rapides mutations de la société</w:t>
      </w:r>
      <w:r w:rsidRPr="0071782F">
        <w:rPr>
          <w:lang w:val="fr-CH"/>
        </w:rPr>
        <w:t xml:space="preserve">. </w:t>
      </w:r>
      <w:r w:rsidR="00597357" w:rsidRPr="0071782F">
        <w:rPr>
          <w:lang w:val="fr-CH"/>
        </w:rPr>
        <w:t>Elle espère pouvoir offrir des possibilités d’éducation à tous ceux que l’enseignement supérieur intéresse et répondre au maximum à leurs besoins. Son système éducatif est basé sur l’apprentissage à distance et ses programmes sont spécialement conçus à cette fin. Ils utilisent des manuels d’autoapprentissage, des vidéos, des manuels didactiques et de laboratoire, des méthodes d’apprentissage à distance et des cours de résolution de problèmes.</w:t>
      </w:r>
      <w:r w:rsidR="00D36718">
        <w:rPr>
          <w:lang w:val="fr-CH"/>
        </w:rPr>
        <w:t xml:space="preserve"> </w:t>
      </w:r>
    </w:p>
    <w:p w:rsidR="00186B76" w:rsidRPr="0071782F" w:rsidRDefault="00597357" w:rsidP="003B1403">
      <w:pPr>
        <w:pStyle w:val="SingleTxtG"/>
        <w:rPr>
          <w:lang w:val="fr-CH"/>
        </w:rPr>
      </w:pPr>
      <w:r w:rsidRPr="0071782F">
        <w:rPr>
          <w:lang w:val="fr-CH"/>
        </w:rPr>
        <w:t>412.</w:t>
      </w:r>
      <w:r w:rsidRPr="0071782F">
        <w:rPr>
          <w:lang w:val="fr-CH"/>
        </w:rPr>
        <w:tab/>
        <w:t>E</w:t>
      </w:r>
      <w:r w:rsidR="00186B76" w:rsidRPr="0071782F">
        <w:rPr>
          <w:lang w:val="fr-CH"/>
        </w:rPr>
        <w:t xml:space="preserve">n 2007, </w:t>
      </w:r>
      <w:r w:rsidRPr="0071782F">
        <w:rPr>
          <w:lang w:val="fr-CH"/>
        </w:rPr>
        <w:t xml:space="preserve">le pays comptait </w:t>
      </w:r>
      <w:r w:rsidR="00186B76" w:rsidRPr="0071782F">
        <w:rPr>
          <w:lang w:val="fr-CH"/>
        </w:rPr>
        <w:t>1</w:t>
      </w:r>
      <w:r w:rsidRPr="0071782F">
        <w:rPr>
          <w:lang w:val="fr-CH"/>
        </w:rPr>
        <w:t xml:space="preserve"> </w:t>
      </w:r>
      <w:r w:rsidR="00186B76" w:rsidRPr="0071782F">
        <w:rPr>
          <w:lang w:val="fr-CH"/>
        </w:rPr>
        <w:t xml:space="preserve">795 </w:t>
      </w:r>
      <w:r w:rsidRPr="0071782F">
        <w:rPr>
          <w:lang w:val="fr-CH"/>
        </w:rPr>
        <w:t>universités et autres établissements d’enseignement supérieur</w:t>
      </w:r>
      <w:r w:rsidR="00186B76" w:rsidRPr="0071782F">
        <w:rPr>
          <w:lang w:val="fr-CH"/>
        </w:rPr>
        <w:t xml:space="preserve">, </w:t>
      </w:r>
      <w:r w:rsidRPr="0071782F">
        <w:rPr>
          <w:lang w:val="fr-CH"/>
        </w:rPr>
        <w:t>tant publics (</w:t>
      </w:r>
      <w:r w:rsidR="00186B76" w:rsidRPr="0071782F">
        <w:rPr>
          <w:lang w:val="fr-CH"/>
        </w:rPr>
        <w:t>1</w:t>
      </w:r>
      <w:r w:rsidR="00707DCC">
        <w:rPr>
          <w:lang w:val="fr-CH"/>
        </w:rPr>
        <w:t> </w:t>
      </w:r>
      <w:r w:rsidR="00186B76" w:rsidRPr="0071782F">
        <w:rPr>
          <w:lang w:val="fr-CH"/>
        </w:rPr>
        <w:t xml:space="preserve">200 </w:t>
      </w:r>
      <w:r w:rsidRPr="0071782F">
        <w:rPr>
          <w:lang w:val="fr-CH"/>
        </w:rPr>
        <w:t xml:space="preserve">ou </w:t>
      </w:r>
      <w:r w:rsidR="00186B76" w:rsidRPr="0071782F">
        <w:rPr>
          <w:lang w:val="fr-CH"/>
        </w:rPr>
        <w:t>66</w:t>
      </w:r>
      <w:r w:rsidRPr="0071782F">
        <w:rPr>
          <w:lang w:val="fr-CH"/>
        </w:rPr>
        <w:t>,</w:t>
      </w:r>
      <w:r w:rsidR="00186B76" w:rsidRPr="0071782F">
        <w:rPr>
          <w:lang w:val="fr-CH"/>
        </w:rPr>
        <w:t>85</w:t>
      </w:r>
      <w:r w:rsidR="007E5125" w:rsidRPr="0071782F">
        <w:rPr>
          <w:lang w:val="fr-CH"/>
        </w:rPr>
        <w:t>%</w:t>
      </w:r>
      <w:r w:rsidR="00186B76" w:rsidRPr="0071782F">
        <w:rPr>
          <w:lang w:val="fr-CH"/>
        </w:rPr>
        <w:t xml:space="preserve">) </w:t>
      </w:r>
      <w:r w:rsidRPr="0071782F">
        <w:rPr>
          <w:lang w:val="fr-CH"/>
        </w:rPr>
        <w:t>que privés (</w:t>
      </w:r>
      <w:r w:rsidR="00186B76" w:rsidRPr="0071782F">
        <w:rPr>
          <w:lang w:val="fr-CH"/>
        </w:rPr>
        <w:t xml:space="preserve">595 </w:t>
      </w:r>
      <w:r w:rsidRPr="0071782F">
        <w:rPr>
          <w:lang w:val="fr-CH"/>
        </w:rPr>
        <w:t>ou</w:t>
      </w:r>
      <w:r w:rsidR="00186B76" w:rsidRPr="0071782F">
        <w:rPr>
          <w:lang w:val="fr-CH"/>
        </w:rPr>
        <w:t xml:space="preserve"> 33</w:t>
      </w:r>
      <w:r w:rsidRPr="0071782F">
        <w:rPr>
          <w:lang w:val="fr-CH"/>
        </w:rPr>
        <w:t>,</w:t>
      </w:r>
      <w:r w:rsidR="00186B76" w:rsidRPr="0071782F">
        <w:rPr>
          <w:lang w:val="fr-CH"/>
        </w:rPr>
        <w:t>15</w:t>
      </w:r>
      <w:r w:rsidR="007E5125" w:rsidRPr="0071782F">
        <w:rPr>
          <w:lang w:val="fr-CH"/>
        </w:rPr>
        <w:t>%</w:t>
      </w:r>
      <w:r w:rsidR="00186B76" w:rsidRPr="0071782F">
        <w:rPr>
          <w:lang w:val="fr-CH"/>
        </w:rPr>
        <w:t xml:space="preserve">). </w:t>
      </w:r>
      <w:r w:rsidRPr="0071782F">
        <w:rPr>
          <w:lang w:val="fr-CH"/>
        </w:rPr>
        <w:t>Ils se répartissent comme suit</w:t>
      </w:r>
      <w:r w:rsidR="008F7D33" w:rsidRPr="0071782F">
        <w:rPr>
          <w:lang w:val="fr-CH"/>
        </w:rPr>
        <w:t>:</w:t>
      </w:r>
    </w:p>
    <w:p w:rsidR="00186B76" w:rsidRPr="0071782F" w:rsidRDefault="00186B76" w:rsidP="003B1403">
      <w:pPr>
        <w:pStyle w:val="SingleTxtG"/>
        <w:ind w:left="1701"/>
        <w:rPr>
          <w:lang w:val="fr-CH"/>
        </w:rPr>
      </w:pPr>
      <w:r w:rsidRPr="0071782F">
        <w:rPr>
          <w:lang w:val="fr-CH"/>
        </w:rPr>
        <w:t>412.1</w:t>
      </w:r>
      <w:r w:rsidR="005D6873" w:rsidRPr="0071782F">
        <w:rPr>
          <w:lang w:val="fr-CH"/>
        </w:rPr>
        <w:t>.</w:t>
      </w:r>
      <w:r w:rsidRPr="0071782F">
        <w:rPr>
          <w:lang w:val="fr-CH"/>
        </w:rPr>
        <w:tab/>
      </w:r>
      <w:r w:rsidR="00597357" w:rsidRPr="0071782F">
        <w:rPr>
          <w:lang w:val="fr-CH"/>
        </w:rPr>
        <w:t>Secteur public</w:t>
      </w:r>
      <w:r w:rsidR="008F7D33" w:rsidRPr="0071782F">
        <w:rPr>
          <w:lang w:val="fr-CH"/>
        </w:rPr>
        <w:t>:</w:t>
      </w:r>
    </w:p>
    <w:p w:rsidR="00186B76" w:rsidRPr="0071782F" w:rsidRDefault="00597357" w:rsidP="003B1403">
      <w:pPr>
        <w:pStyle w:val="Bullet2G"/>
        <w:rPr>
          <w:lang w:val="fr-CH"/>
        </w:rPr>
      </w:pPr>
      <w:r w:rsidRPr="0071782F">
        <w:rPr>
          <w:lang w:val="fr-CH"/>
        </w:rPr>
        <w:t xml:space="preserve">Universités et autres établissements d’enseignement supérieur relevant du </w:t>
      </w:r>
      <w:r w:rsidR="00186B76" w:rsidRPr="0071782F">
        <w:rPr>
          <w:lang w:val="fr-CH"/>
        </w:rPr>
        <w:t>Minist</w:t>
      </w:r>
      <w:r w:rsidRPr="0071782F">
        <w:rPr>
          <w:lang w:val="fr-CH"/>
        </w:rPr>
        <w:t>ère de la s</w:t>
      </w:r>
      <w:r w:rsidR="00186B76" w:rsidRPr="0071782F">
        <w:rPr>
          <w:lang w:val="fr-CH"/>
        </w:rPr>
        <w:t xml:space="preserve">cience, </w:t>
      </w:r>
      <w:r w:rsidRPr="0071782F">
        <w:rPr>
          <w:lang w:val="fr-CH"/>
        </w:rPr>
        <w:t>de la recherche et de la t</w:t>
      </w:r>
      <w:r w:rsidR="00186B76" w:rsidRPr="0071782F">
        <w:rPr>
          <w:lang w:val="fr-CH"/>
        </w:rPr>
        <w:t>echnolog</w:t>
      </w:r>
      <w:r w:rsidR="003C3B15" w:rsidRPr="0071782F">
        <w:rPr>
          <w:lang w:val="fr-CH"/>
        </w:rPr>
        <w:t>ie</w:t>
      </w:r>
      <w:r w:rsidR="008F7D33" w:rsidRPr="0071782F">
        <w:rPr>
          <w:lang w:val="fr-CH"/>
        </w:rPr>
        <w:t>:</w:t>
      </w:r>
      <w:r w:rsidR="00186B76" w:rsidRPr="0071782F">
        <w:rPr>
          <w:lang w:val="fr-CH"/>
        </w:rPr>
        <w:t xml:space="preserve"> 87</w:t>
      </w:r>
    </w:p>
    <w:p w:rsidR="00186B76" w:rsidRPr="0071782F" w:rsidRDefault="00597357" w:rsidP="003B1403">
      <w:pPr>
        <w:pStyle w:val="Bullet2G"/>
        <w:rPr>
          <w:lang w:val="fr-CH"/>
        </w:rPr>
      </w:pPr>
      <w:r w:rsidRPr="0071782F">
        <w:rPr>
          <w:lang w:val="fr-CH"/>
        </w:rPr>
        <w:t>Universités et autres établissements d’enseignement supérieur relevant d’autres ministères et organismes publics</w:t>
      </w:r>
      <w:r w:rsidR="008F7D33" w:rsidRPr="0071782F">
        <w:rPr>
          <w:lang w:val="fr-CH"/>
        </w:rPr>
        <w:t>:</w:t>
      </w:r>
      <w:r w:rsidR="00186B76" w:rsidRPr="0071782F">
        <w:rPr>
          <w:lang w:val="fr-CH"/>
        </w:rPr>
        <w:t xml:space="preserve"> 69</w:t>
      </w:r>
    </w:p>
    <w:p w:rsidR="00186B76" w:rsidRPr="0071782F" w:rsidRDefault="00597357" w:rsidP="003B1403">
      <w:pPr>
        <w:pStyle w:val="Bullet2G"/>
        <w:rPr>
          <w:lang w:val="fr-CH"/>
        </w:rPr>
      </w:pPr>
      <w:r w:rsidRPr="0071782F">
        <w:rPr>
          <w:lang w:val="fr-CH"/>
        </w:rPr>
        <w:t>Université générale de sciences appliquées</w:t>
      </w:r>
      <w:r w:rsidR="008F7D33" w:rsidRPr="0071782F">
        <w:rPr>
          <w:lang w:val="fr-CH"/>
        </w:rPr>
        <w:t>:</w:t>
      </w:r>
      <w:r w:rsidR="00186B76" w:rsidRPr="0071782F">
        <w:rPr>
          <w:lang w:val="fr-CH"/>
        </w:rPr>
        <w:t xml:space="preserve"> 448</w:t>
      </w:r>
    </w:p>
    <w:p w:rsidR="00186B76" w:rsidRPr="0071782F" w:rsidRDefault="00597357" w:rsidP="003B1403">
      <w:pPr>
        <w:pStyle w:val="Bullet2G"/>
        <w:rPr>
          <w:lang w:val="fr-CH"/>
        </w:rPr>
      </w:pPr>
      <w:r w:rsidRPr="0071782F">
        <w:rPr>
          <w:lang w:val="fr-CH"/>
        </w:rPr>
        <w:t xml:space="preserve">Université </w:t>
      </w:r>
      <w:r w:rsidR="00186B76" w:rsidRPr="0071782F">
        <w:rPr>
          <w:lang w:val="fr-CH"/>
        </w:rPr>
        <w:t>Payam-e Noor</w:t>
      </w:r>
      <w:r w:rsidR="008F7D33" w:rsidRPr="0071782F">
        <w:rPr>
          <w:lang w:val="fr-CH"/>
        </w:rPr>
        <w:t>:</w:t>
      </w:r>
      <w:r w:rsidR="00186B76" w:rsidRPr="0071782F">
        <w:rPr>
          <w:lang w:val="fr-CH"/>
        </w:rPr>
        <w:t xml:space="preserve"> 488</w:t>
      </w:r>
    </w:p>
    <w:p w:rsidR="00186B76" w:rsidRPr="0071782F" w:rsidRDefault="00186B76" w:rsidP="003B1403">
      <w:pPr>
        <w:pStyle w:val="Bullet2G"/>
        <w:rPr>
          <w:lang w:val="fr-CH"/>
        </w:rPr>
      </w:pPr>
      <w:r w:rsidRPr="0071782F">
        <w:rPr>
          <w:lang w:val="fr-CH"/>
        </w:rPr>
        <w:t>Minist</w:t>
      </w:r>
      <w:r w:rsidR="00597357" w:rsidRPr="0071782F">
        <w:rPr>
          <w:lang w:val="fr-CH"/>
        </w:rPr>
        <w:t>ère de l’é</w:t>
      </w:r>
      <w:r w:rsidRPr="0071782F">
        <w:rPr>
          <w:lang w:val="fr-CH"/>
        </w:rPr>
        <w:t>ducation</w:t>
      </w:r>
      <w:r w:rsidR="008F7D33" w:rsidRPr="0071782F">
        <w:rPr>
          <w:lang w:val="fr-CH"/>
        </w:rPr>
        <w:t>:</w:t>
      </w:r>
      <w:r w:rsidRPr="0071782F">
        <w:rPr>
          <w:lang w:val="fr-CH"/>
        </w:rPr>
        <w:t xml:space="preserve"> 108 </w:t>
      </w:r>
      <w:r w:rsidR="00597357" w:rsidRPr="0071782F">
        <w:rPr>
          <w:lang w:val="fr-CH"/>
        </w:rPr>
        <w:t>collèges techniques et professionnels</w:t>
      </w:r>
      <w:r w:rsidRPr="0071782F">
        <w:rPr>
          <w:lang w:val="fr-CH"/>
        </w:rPr>
        <w:t xml:space="preserve">; 97 </w:t>
      </w:r>
      <w:r w:rsidR="00597357" w:rsidRPr="0071782F">
        <w:rPr>
          <w:lang w:val="fr-CH"/>
        </w:rPr>
        <w:t xml:space="preserve">centre de formation des enseignants </w:t>
      </w:r>
    </w:p>
    <w:p w:rsidR="00186B76" w:rsidRPr="0071782F" w:rsidRDefault="00186B76" w:rsidP="003B1403">
      <w:pPr>
        <w:pStyle w:val="SingleTxtG"/>
        <w:ind w:left="1701"/>
        <w:rPr>
          <w:lang w:val="fr-CH"/>
        </w:rPr>
      </w:pPr>
      <w:r w:rsidRPr="0071782F">
        <w:rPr>
          <w:lang w:val="fr-CH"/>
        </w:rPr>
        <w:t>412.2</w:t>
      </w:r>
      <w:r w:rsidR="005D6873" w:rsidRPr="0071782F">
        <w:rPr>
          <w:lang w:val="fr-CH"/>
        </w:rPr>
        <w:t>.</w:t>
      </w:r>
      <w:r w:rsidRPr="0071782F">
        <w:rPr>
          <w:lang w:val="fr-CH"/>
        </w:rPr>
        <w:tab/>
      </w:r>
      <w:r w:rsidR="00597357" w:rsidRPr="0071782F">
        <w:rPr>
          <w:lang w:val="fr-CH"/>
        </w:rPr>
        <w:t>Secteur privé</w:t>
      </w:r>
      <w:r w:rsidR="008F7D33" w:rsidRPr="0071782F">
        <w:rPr>
          <w:lang w:val="fr-CH"/>
        </w:rPr>
        <w:t>:</w:t>
      </w:r>
    </w:p>
    <w:p w:rsidR="00186B76" w:rsidRPr="0071782F" w:rsidRDefault="00597357" w:rsidP="003B1403">
      <w:pPr>
        <w:pStyle w:val="Bullet2G"/>
        <w:rPr>
          <w:lang w:val="fr-CH"/>
        </w:rPr>
      </w:pPr>
      <w:r w:rsidRPr="0071782F">
        <w:rPr>
          <w:lang w:val="fr-CH"/>
        </w:rPr>
        <w:t xml:space="preserve">Université islamique </w:t>
      </w:r>
      <w:r w:rsidR="00186B76" w:rsidRPr="0071782F">
        <w:rPr>
          <w:lang w:val="fr-CH"/>
        </w:rPr>
        <w:t>Azad</w:t>
      </w:r>
      <w:r w:rsidR="008F7D33" w:rsidRPr="0071782F">
        <w:rPr>
          <w:lang w:val="fr-CH"/>
        </w:rPr>
        <w:t>:</w:t>
      </w:r>
      <w:r w:rsidR="00186B76" w:rsidRPr="0071782F">
        <w:rPr>
          <w:lang w:val="fr-CH"/>
        </w:rPr>
        <w:t xml:space="preserve"> 395</w:t>
      </w:r>
    </w:p>
    <w:p w:rsidR="00186B76" w:rsidRPr="0071782F" w:rsidRDefault="00597357" w:rsidP="003B1403">
      <w:pPr>
        <w:pStyle w:val="Bullet2G"/>
        <w:rPr>
          <w:lang w:val="fr-CH"/>
        </w:rPr>
      </w:pPr>
      <w:r w:rsidRPr="0071782F">
        <w:rPr>
          <w:lang w:val="fr-CH"/>
        </w:rPr>
        <w:t>Autres établissements d’enseignement supérieur</w:t>
      </w:r>
      <w:r w:rsidR="008F7D33" w:rsidRPr="0071782F">
        <w:rPr>
          <w:lang w:val="fr-CH"/>
        </w:rPr>
        <w:t>:</w:t>
      </w:r>
      <w:r w:rsidR="00186B76" w:rsidRPr="0071782F">
        <w:rPr>
          <w:lang w:val="fr-CH"/>
        </w:rPr>
        <w:t xml:space="preserve"> 200</w:t>
      </w:r>
    </w:p>
    <w:p w:rsidR="00186B76" w:rsidRPr="0071782F" w:rsidRDefault="00186B76" w:rsidP="00A45A11">
      <w:pPr>
        <w:pStyle w:val="H23G"/>
        <w:rPr>
          <w:lang w:val="fr-CH"/>
        </w:rPr>
      </w:pPr>
      <w:r w:rsidRPr="0071782F">
        <w:rPr>
          <w:lang w:val="fr-CH"/>
        </w:rPr>
        <w:tab/>
      </w:r>
      <w:r w:rsidRPr="0071782F">
        <w:rPr>
          <w:lang w:val="fr-CH"/>
        </w:rPr>
        <w:tab/>
        <w:t>Types</w:t>
      </w:r>
      <w:r w:rsidR="00597357" w:rsidRPr="0071782F">
        <w:rPr>
          <w:lang w:val="fr-CH"/>
        </w:rPr>
        <w:t xml:space="preserve"> d’enseignement supérieur</w:t>
      </w:r>
      <w:r w:rsidR="00D36718">
        <w:rPr>
          <w:lang w:val="fr-CH"/>
        </w:rPr>
        <w:t xml:space="preserve"> </w:t>
      </w:r>
    </w:p>
    <w:p w:rsidR="00186B76" w:rsidRPr="0071782F" w:rsidRDefault="00186B76" w:rsidP="00A45A11">
      <w:pPr>
        <w:pStyle w:val="SingleTxtG"/>
        <w:rPr>
          <w:lang w:val="fr-CH"/>
        </w:rPr>
      </w:pPr>
      <w:r w:rsidRPr="0071782F">
        <w:rPr>
          <w:lang w:val="fr-CH"/>
        </w:rPr>
        <w:t>413.</w:t>
      </w:r>
      <w:r w:rsidRPr="0071782F">
        <w:rPr>
          <w:lang w:val="fr-CH"/>
        </w:rPr>
        <w:tab/>
      </w:r>
      <w:r w:rsidR="00597357" w:rsidRPr="0071782F">
        <w:rPr>
          <w:lang w:val="fr-CH"/>
        </w:rPr>
        <w:t>Enseignement présentiel, à mi-temps ou à distance, dispensé dans la journée ou le soir, gratuit, scientifique appliqué ou modulaire.</w:t>
      </w:r>
    </w:p>
    <w:p w:rsidR="00186B76" w:rsidRPr="0071782F" w:rsidRDefault="00186B76" w:rsidP="00A45A11">
      <w:pPr>
        <w:pStyle w:val="H23G"/>
        <w:rPr>
          <w:lang w:val="fr-CH"/>
        </w:rPr>
      </w:pPr>
      <w:r w:rsidRPr="0071782F">
        <w:rPr>
          <w:lang w:val="fr-CH"/>
        </w:rPr>
        <w:tab/>
      </w:r>
      <w:r w:rsidRPr="0071782F">
        <w:rPr>
          <w:lang w:val="fr-CH"/>
        </w:rPr>
        <w:tab/>
        <w:t xml:space="preserve">Types </w:t>
      </w:r>
      <w:r w:rsidR="00597357" w:rsidRPr="0071782F">
        <w:rPr>
          <w:lang w:val="fr-CH"/>
        </w:rPr>
        <w:t xml:space="preserve">de diplômes </w:t>
      </w:r>
    </w:p>
    <w:p w:rsidR="00186B76" w:rsidRPr="0071782F" w:rsidRDefault="00186B76" w:rsidP="00A45A11">
      <w:pPr>
        <w:pStyle w:val="SingleTxtG"/>
        <w:rPr>
          <w:lang w:val="fr-CH"/>
        </w:rPr>
      </w:pPr>
      <w:r w:rsidRPr="0071782F">
        <w:rPr>
          <w:lang w:val="fr-CH"/>
        </w:rPr>
        <w:t>414.</w:t>
      </w:r>
      <w:r w:rsidRPr="0071782F">
        <w:rPr>
          <w:lang w:val="fr-CH"/>
        </w:rPr>
        <w:tab/>
      </w:r>
      <w:r w:rsidR="00597357" w:rsidRPr="0071782F">
        <w:rPr>
          <w:lang w:val="fr-CH"/>
        </w:rPr>
        <w:t xml:space="preserve">Les diplômes sont décernés </w:t>
      </w:r>
      <w:r w:rsidR="00175962" w:rsidRPr="0071782F">
        <w:rPr>
          <w:lang w:val="fr-CH"/>
        </w:rPr>
        <w:t>aux personnes</w:t>
      </w:r>
      <w:r w:rsidR="00597357" w:rsidRPr="0071782F">
        <w:rPr>
          <w:lang w:val="fr-CH"/>
        </w:rPr>
        <w:t xml:space="preserve"> ayant suivi une série de cours obligatoires. Il s’agit des diplômes suivants</w:t>
      </w:r>
      <w:r w:rsidR="008F7D33" w:rsidRPr="0071782F">
        <w:rPr>
          <w:lang w:val="fr-CH"/>
        </w:rPr>
        <w:t>:</w:t>
      </w:r>
      <w:r w:rsidR="00597357" w:rsidRPr="0071782F">
        <w:rPr>
          <w:lang w:val="fr-CH"/>
        </w:rPr>
        <w:t xml:space="preserve"> diplôme de deux</w:t>
      </w:r>
      <w:r w:rsidR="00D82C96" w:rsidRPr="0071782F">
        <w:rPr>
          <w:lang w:val="fr-CH"/>
        </w:rPr>
        <w:t> ans</w:t>
      </w:r>
      <w:r w:rsidRPr="0071782F">
        <w:rPr>
          <w:lang w:val="fr-CH"/>
        </w:rPr>
        <w:t xml:space="preserve">, </w:t>
      </w:r>
      <w:r w:rsidR="00597357" w:rsidRPr="0071782F">
        <w:rPr>
          <w:lang w:val="fr-CH"/>
        </w:rPr>
        <w:t xml:space="preserve">licence, mastère et doctorat </w:t>
      </w:r>
      <w:r w:rsidRPr="0071782F">
        <w:rPr>
          <w:lang w:val="fr-CH"/>
        </w:rPr>
        <w:t>profession</w:t>
      </w:r>
      <w:r w:rsidR="00597357" w:rsidRPr="0071782F">
        <w:rPr>
          <w:lang w:val="fr-CH"/>
        </w:rPr>
        <w:t>nel ou spécialisé</w:t>
      </w:r>
      <w:r w:rsidRPr="0071782F">
        <w:rPr>
          <w:lang w:val="fr-CH"/>
        </w:rPr>
        <w:t xml:space="preserve">. </w:t>
      </w:r>
    </w:p>
    <w:p w:rsidR="00186B76" w:rsidRPr="0071782F" w:rsidRDefault="00186B76" w:rsidP="00A45A11">
      <w:pPr>
        <w:pStyle w:val="SingleTxtG"/>
        <w:rPr>
          <w:lang w:val="fr-CH"/>
        </w:rPr>
      </w:pPr>
      <w:r w:rsidRPr="0071782F">
        <w:rPr>
          <w:lang w:val="fr-CH"/>
        </w:rPr>
        <w:t>415.</w:t>
      </w:r>
      <w:r w:rsidRPr="0071782F">
        <w:rPr>
          <w:lang w:val="fr-CH"/>
        </w:rPr>
        <w:tab/>
      </w:r>
      <w:r w:rsidR="00597357" w:rsidRPr="0071782F">
        <w:rPr>
          <w:i/>
          <w:lang w:val="fr-CH"/>
        </w:rPr>
        <w:t>Premier diplôme universitaire</w:t>
      </w:r>
      <w:r w:rsidR="008F7D33" w:rsidRPr="0071782F">
        <w:rPr>
          <w:i/>
          <w:lang w:val="fr-CH"/>
        </w:rPr>
        <w:t>:</w:t>
      </w:r>
      <w:r w:rsidRPr="0071782F">
        <w:rPr>
          <w:lang w:val="fr-CH"/>
        </w:rPr>
        <w:t xml:space="preserve"> </w:t>
      </w:r>
      <w:r w:rsidR="00597357" w:rsidRPr="0071782F">
        <w:rPr>
          <w:lang w:val="fr-CH"/>
        </w:rPr>
        <w:t xml:space="preserve">Le </w:t>
      </w:r>
      <w:r w:rsidR="003B48A4" w:rsidRPr="0071782F">
        <w:rPr>
          <w:lang w:val="fr-CH"/>
        </w:rPr>
        <w:t>nombre</w:t>
      </w:r>
      <w:r w:rsidRPr="0071782F">
        <w:rPr>
          <w:lang w:val="fr-CH"/>
        </w:rPr>
        <w:t xml:space="preserve"> </w:t>
      </w:r>
      <w:r w:rsidR="00597357" w:rsidRPr="0071782F">
        <w:rPr>
          <w:lang w:val="fr-CH"/>
        </w:rPr>
        <w:t xml:space="preserve">d’unités de valeur oscille entre </w:t>
      </w:r>
      <w:r w:rsidRPr="0071782F">
        <w:rPr>
          <w:lang w:val="fr-CH"/>
        </w:rPr>
        <w:t>68</w:t>
      </w:r>
      <w:r w:rsidR="00597357" w:rsidRPr="0071782F">
        <w:rPr>
          <w:lang w:val="fr-CH"/>
        </w:rPr>
        <w:t xml:space="preserve"> et </w:t>
      </w:r>
      <w:r w:rsidRPr="0071782F">
        <w:rPr>
          <w:lang w:val="fr-CH"/>
        </w:rPr>
        <w:t xml:space="preserve">72. </w:t>
      </w:r>
      <w:r w:rsidR="00597357" w:rsidRPr="0071782F">
        <w:rPr>
          <w:lang w:val="fr-CH"/>
        </w:rPr>
        <w:t>Les études durent généralement deux</w:t>
      </w:r>
      <w:r w:rsidR="00D82C96" w:rsidRPr="0071782F">
        <w:rPr>
          <w:lang w:val="fr-CH"/>
        </w:rPr>
        <w:t> ans</w:t>
      </w:r>
      <w:r w:rsidRPr="0071782F">
        <w:rPr>
          <w:lang w:val="fr-CH"/>
        </w:rPr>
        <w:t>.</w:t>
      </w:r>
    </w:p>
    <w:p w:rsidR="00186B76" w:rsidRPr="0071782F" w:rsidRDefault="00186B76" w:rsidP="00A45A11">
      <w:pPr>
        <w:pStyle w:val="SingleTxtG"/>
        <w:rPr>
          <w:lang w:val="fr-CH"/>
        </w:rPr>
      </w:pPr>
      <w:r w:rsidRPr="0071782F">
        <w:rPr>
          <w:lang w:val="fr-CH"/>
        </w:rPr>
        <w:t>416.</w:t>
      </w:r>
      <w:r w:rsidRPr="0071782F">
        <w:rPr>
          <w:lang w:val="fr-CH"/>
        </w:rPr>
        <w:tab/>
      </w:r>
      <w:r w:rsidR="00597357" w:rsidRPr="0071782F">
        <w:rPr>
          <w:i/>
          <w:lang w:val="fr-CH"/>
        </w:rPr>
        <w:t>Licence</w:t>
      </w:r>
      <w:r w:rsidR="008F7D33" w:rsidRPr="0071782F">
        <w:rPr>
          <w:i/>
          <w:lang w:val="fr-CH"/>
        </w:rPr>
        <w:t>:</w:t>
      </w:r>
      <w:r w:rsidRPr="0071782F">
        <w:rPr>
          <w:lang w:val="fr-CH"/>
        </w:rPr>
        <w:t xml:space="preserve"> </w:t>
      </w:r>
      <w:r w:rsidR="00597357" w:rsidRPr="0071782F">
        <w:rPr>
          <w:lang w:val="fr-CH"/>
        </w:rPr>
        <w:t xml:space="preserve">Le nombre d’unités de valeur oscille entre </w:t>
      </w:r>
      <w:r w:rsidRPr="0071782F">
        <w:rPr>
          <w:lang w:val="fr-CH"/>
        </w:rPr>
        <w:t>130</w:t>
      </w:r>
      <w:r w:rsidR="00597357" w:rsidRPr="0071782F">
        <w:rPr>
          <w:lang w:val="fr-CH"/>
        </w:rPr>
        <w:t xml:space="preserve"> et </w:t>
      </w:r>
      <w:r w:rsidRPr="0071782F">
        <w:rPr>
          <w:lang w:val="fr-CH"/>
        </w:rPr>
        <w:t xml:space="preserve">145. </w:t>
      </w:r>
      <w:r w:rsidR="00597357" w:rsidRPr="0071782F">
        <w:rPr>
          <w:lang w:val="fr-CH"/>
        </w:rPr>
        <w:t>Les études durent généralement quatre</w:t>
      </w:r>
      <w:r w:rsidR="00D82C96" w:rsidRPr="0071782F">
        <w:rPr>
          <w:lang w:val="fr-CH"/>
        </w:rPr>
        <w:t> ans</w:t>
      </w:r>
      <w:r w:rsidRPr="0071782F">
        <w:rPr>
          <w:lang w:val="fr-CH"/>
        </w:rPr>
        <w:t>.</w:t>
      </w:r>
    </w:p>
    <w:p w:rsidR="00186B76" w:rsidRPr="0071782F" w:rsidRDefault="00186B76" w:rsidP="00A45A11">
      <w:pPr>
        <w:pStyle w:val="SingleTxtG"/>
        <w:rPr>
          <w:lang w:val="fr-CH"/>
        </w:rPr>
      </w:pPr>
      <w:r w:rsidRPr="0071782F">
        <w:rPr>
          <w:lang w:val="fr-CH"/>
        </w:rPr>
        <w:t>417.</w:t>
      </w:r>
      <w:r w:rsidRPr="0071782F">
        <w:rPr>
          <w:lang w:val="fr-CH"/>
        </w:rPr>
        <w:tab/>
      </w:r>
      <w:r w:rsidRPr="0071782F">
        <w:rPr>
          <w:i/>
          <w:lang w:val="fr-CH"/>
        </w:rPr>
        <w:t>Mast</w:t>
      </w:r>
      <w:r w:rsidR="00597357" w:rsidRPr="0071782F">
        <w:rPr>
          <w:i/>
          <w:lang w:val="fr-CH"/>
        </w:rPr>
        <w:t>ère</w:t>
      </w:r>
      <w:r w:rsidR="008F7D33" w:rsidRPr="0071782F">
        <w:rPr>
          <w:i/>
          <w:lang w:val="fr-CH"/>
        </w:rPr>
        <w:t>:</w:t>
      </w:r>
      <w:r w:rsidRPr="0071782F">
        <w:rPr>
          <w:lang w:val="fr-CH"/>
        </w:rPr>
        <w:t xml:space="preserve"> </w:t>
      </w:r>
      <w:r w:rsidR="00597357" w:rsidRPr="0071782F">
        <w:rPr>
          <w:lang w:val="fr-CH"/>
        </w:rPr>
        <w:t xml:space="preserve">Le nombre d’unités de valeur oscille entre </w:t>
      </w:r>
      <w:r w:rsidRPr="0071782F">
        <w:rPr>
          <w:lang w:val="fr-CH"/>
        </w:rPr>
        <w:t>28</w:t>
      </w:r>
      <w:r w:rsidR="00597357" w:rsidRPr="0071782F">
        <w:rPr>
          <w:lang w:val="fr-CH"/>
        </w:rPr>
        <w:t xml:space="preserve"> et </w:t>
      </w:r>
      <w:r w:rsidRPr="0071782F">
        <w:rPr>
          <w:lang w:val="fr-CH"/>
        </w:rPr>
        <w:t xml:space="preserve">32 </w:t>
      </w:r>
      <w:r w:rsidR="00597357" w:rsidRPr="0071782F">
        <w:rPr>
          <w:lang w:val="fr-CH"/>
        </w:rPr>
        <w:t xml:space="preserve">pour un mastère discontinu et entre </w:t>
      </w:r>
      <w:r w:rsidRPr="0071782F">
        <w:rPr>
          <w:lang w:val="fr-CH"/>
        </w:rPr>
        <w:t>172</w:t>
      </w:r>
      <w:r w:rsidR="00597357" w:rsidRPr="0071782F">
        <w:rPr>
          <w:lang w:val="fr-CH"/>
        </w:rPr>
        <w:t xml:space="preserve"> et </w:t>
      </w:r>
      <w:r w:rsidRPr="0071782F">
        <w:rPr>
          <w:lang w:val="fr-CH"/>
        </w:rPr>
        <w:t xml:space="preserve">182 </w:t>
      </w:r>
      <w:r w:rsidR="00597357" w:rsidRPr="0071782F">
        <w:rPr>
          <w:lang w:val="fr-CH"/>
        </w:rPr>
        <w:t>pour un mastère continu</w:t>
      </w:r>
      <w:r w:rsidRPr="0071782F">
        <w:rPr>
          <w:lang w:val="fr-CH"/>
        </w:rPr>
        <w:t xml:space="preserve">. </w:t>
      </w:r>
      <w:r w:rsidR="00597357" w:rsidRPr="0071782F">
        <w:rPr>
          <w:lang w:val="fr-CH"/>
        </w:rPr>
        <w:t>Les études durent généralement deux et six</w:t>
      </w:r>
      <w:r w:rsidR="00D82C96" w:rsidRPr="0071782F">
        <w:rPr>
          <w:lang w:val="fr-CH"/>
        </w:rPr>
        <w:t> ans</w:t>
      </w:r>
      <w:r w:rsidR="00597357" w:rsidRPr="0071782F">
        <w:rPr>
          <w:lang w:val="fr-CH"/>
        </w:rPr>
        <w:t>, respectivement</w:t>
      </w:r>
      <w:r w:rsidRPr="0071782F">
        <w:rPr>
          <w:lang w:val="fr-CH"/>
        </w:rPr>
        <w:t xml:space="preserve">. </w:t>
      </w:r>
    </w:p>
    <w:p w:rsidR="00186B76" w:rsidRPr="0071782F" w:rsidRDefault="00186B76" w:rsidP="00A45A11">
      <w:pPr>
        <w:pStyle w:val="SingleTxtG"/>
        <w:rPr>
          <w:lang w:val="fr-CH"/>
        </w:rPr>
      </w:pPr>
      <w:r w:rsidRPr="0071782F">
        <w:rPr>
          <w:lang w:val="fr-CH"/>
        </w:rPr>
        <w:t>418.</w:t>
      </w:r>
      <w:r w:rsidRPr="0071782F">
        <w:rPr>
          <w:lang w:val="fr-CH"/>
        </w:rPr>
        <w:tab/>
      </w:r>
      <w:r w:rsidR="00597357" w:rsidRPr="0071782F">
        <w:rPr>
          <w:i/>
          <w:lang w:val="fr-CH"/>
        </w:rPr>
        <w:t>Doctorat</w:t>
      </w:r>
      <w:r w:rsidR="008F7D33" w:rsidRPr="0071782F">
        <w:rPr>
          <w:i/>
          <w:lang w:val="fr-CH"/>
        </w:rPr>
        <w:t>:</w:t>
      </w:r>
      <w:r w:rsidRPr="0071782F">
        <w:rPr>
          <w:lang w:val="fr-CH"/>
        </w:rPr>
        <w:t xml:space="preserve"> </w:t>
      </w:r>
      <w:r w:rsidR="00597357" w:rsidRPr="0071782F">
        <w:rPr>
          <w:lang w:val="fr-CH"/>
        </w:rPr>
        <w:t xml:space="preserve">Le nombre d’unités de valeur oscille entre </w:t>
      </w:r>
      <w:r w:rsidRPr="0071782F">
        <w:rPr>
          <w:lang w:val="fr-CH"/>
        </w:rPr>
        <w:t>42</w:t>
      </w:r>
      <w:r w:rsidR="00597357" w:rsidRPr="0071782F">
        <w:rPr>
          <w:lang w:val="fr-CH"/>
        </w:rPr>
        <w:t xml:space="preserve"> et </w:t>
      </w:r>
      <w:r w:rsidRPr="0071782F">
        <w:rPr>
          <w:lang w:val="fr-CH"/>
        </w:rPr>
        <w:t xml:space="preserve">50. </w:t>
      </w:r>
      <w:r w:rsidR="00597357" w:rsidRPr="0071782F">
        <w:rPr>
          <w:lang w:val="fr-CH"/>
        </w:rPr>
        <w:t>Les études comprennent des cours d’étude et des cours de recherche et durent généralement quatre</w:t>
      </w:r>
      <w:r w:rsidR="00D82C96" w:rsidRPr="0071782F">
        <w:rPr>
          <w:lang w:val="fr-CH"/>
        </w:rPr>
        <w:t> ans</w:t>
      </w:r>
      <w:r w:rsidR="00597357" w:rsidRPr="0071782F">
        <w:rPr>
          <w:lang w:val="fr-CH"/>
        </w:rPr>
        <w:t xml:space="preserve"> et demi. </w:t>
      </w:r>
    </w:p>
    <w:p w:rsidR="00186B76" w:rsidRPr="0071782F" w:rsidRDefault="00186B76" w:rsidP="00A45A11">
      <w:pPr>
        <w:pStyle w:val="H1G"/>
        <w:rPr>
          <w:lang w:val="fr-CH"/>
        </w:rPr>
      </w:pPr>
      <w:r w:rsidRPr="0071782F">
        <w:rPr>
          <w:lang w:val="fr-CH"/>
        </w:rPr>
        <w:tab/>
      </w:r>
      <w:r w:rsidRPr="0071782F">
        <w:rPr>
          <w:lang w:val="fr-CH"/>
        </w:rPr>
        <w:tab/>
      </w:r>
      <w:r w:rsidR="00597357" w:rsidRPr="0071782F">
        <w:rPr>
          <w:lang w:val="fr-CH"/>
        </w:rPr>
        <w:t>Aperçu général des principaux axes d’intervention du Ministère de la s</w:t>
      </w:r>
      <w:r w:rsidRPr="0071782F">
        <w:rPr>
          <w:lang w:val="fr-CH"/>
        </w:rPr>
        <w:t xml:space="preserve">cience, </w:t>
      </w:r>
      <w:r w:rsidR="00597357" w:rsidRPr="0071782F">
        <w:rPr>
          <w:lang w:val="fr-CH"/>
        </w:rPr>
        <w:t>de la recherche et de la t</w:t>
      </w:r>
      <w:r w:rsidRPr="0071782F">
        <w:rPr>
          <w:lang w:val="fr-CH"/>
        </w:rPr>
        <w:t>echnolog</w:t>
      </w:r>
      <w:r w:rsidR="00597357" w:rsidRPr="0071782F">
        <w:rPr>
          <w:lang w:val="fr-CH"/>
        </w:rPr>
        <w:t>ie e</w:t>
      </w:r>
      <w:r w:rsidRPr="0071782F">
        <w:rPr>
          <w:lang w:val="fr-CH"/>
        </w:rPr>
        <w:t>n 2006</w:t>
      </w:r>
    </w:p>
    <w:p w:rsidR="00186B76" w:rsidRPr="0071782F" w:rsidRDefault="00186B76" w:rsidP="00A45A11">
      <w:pPr>
        <w:pStyle w:val="H23G"/>
        <w:rPr>
          <w:lang w:val="fr-CH"/>
        </w:rPr>
      </w:pPr>
      <w:r w:rsidRPr="0071782F">
        <w:rPr>
          <w:lang w:val="fr-CH"/>
        </w:rPr>
        <w:tab/>
      </w:r>
      <w:r w:rsidRPr="0071782F">
        <w:rPr>
          <w:lang w:val="fr-CH"/>
        </w:rPr>
        <w:tab/>
      </w:r>
      <w:r w:rsidR="00597357" w:rsidRPr="0071782F">
        <w:rPr>
          <w:lang w:val="fr-CH"/>
        </w:rPr>
        <w:t>É</w:t>
      </w:r>
      <w:r w:rsidRPr="0071782F">
        <w:rPr>
          <w:lang w:val="fr-CH"/>
        </w:rPr>
        <w:t>ducation</w:t>
      </w:r>
    </w:p>
    <w:p w:rsidR="00186B76" w:rsidRPr="0071782F" w:rsidRDefault="00186B76" w:rsidP="00A45A11">
      <w:pPr>
        <w:pStyle w:val="SingleTxtG"/>
        <w:rPr>
          <w:lang w:val="fr-CH"/>
        </w:rPr>
      </w:pPr>
      <w:r w:rsidRPr="0071782F">
        <w:rPr>
          <w:lang w:val="fr-CH"/>
        </w:rPr>
        <w:t>419.</w:t>
      </w:r>
      <w:r w:rsidRPr="0071782F">
        <w:rPr>
          <w:lang w:val="fr-CH"/>
        </w:rPr>
        <w:tab/>
      </w:r>
      <w:r w:rsidR="00B21024" w:rsidRPr="0071782F">
        <w:rPr>
          <w:lang w:val="fr-CH"/>
        </w:rPr>
        <w:t>À ce sujet, il convient de noter ce qui suit</w:t>
      </w:r>
      <w:r w:rsidR="008F7D33" w:rsidRPr="0071782F">
        <w:rPr>
          <w:lang w:val="fr-CH"/>
        </w:rPr>
        <w:t>:</w:t>
      </w:r>
    </w:p>
    <w:p w:rsidR="00186B76" w:rsidRPr="0071782F" w:rsidRDefault="00186B76" w:rsidP="00A45A11">
      <w:pPr>
        <w:pStyle w:val="SingleTxtG"/>
        <w:ind w:left="1701"/>
        <w:rPr>
          <w:lang w:val="fr-CH"/>
        </w:rPr>
      </w:pPr>
      <w:r w:rsidRPr="0071782F">
        <w:rPr>
          <w:lang w:val="fr-CH"/>
        </w:rPr>
        <w:t>419.1</w:t>
      </w:r>
      <w:r w:rsidR="005D6873" w:rsidRPr="0071782F">
        <w:rPr>
          <w:lang w:val="fr-CH"/>
        </w:rPr>
        <w:t>.</w:t>
      </w:r>
      <w:r w:rsidRPr="0071782F">
        <w:rPr>
          <w:lang w:val="fr-CH"/>
        </w:rPr>
        <w:tab/>
      </w:r>
      <w:r w:rsidR="00D25983" w:rsidRPr="0071782F">
        <w:rPr>
          <w:lang w:val="fr-CH"/>
        </w:rPr>
        <w:t xml:space="preserve">Création et amélioration de </w:t>
      </w:r>
      <w:r w:rsidRPr="0071782F">
        <w:rPr>
          <w:lang w:val="fr-CH"/>
        </w:rPr>
        <w:t xml:space="preserve">11 </w:t>
      </w:r>
      <w:r w:rsidR="00D25983" w:rsidRPr="0071782F">
        <w:rPr>
          <w:lang w:val="fr-CH"/>
        </w:rPr>
        <w:t xml:space="preserve">centres de recherche et de </w:t>
      </w:r>
      <w:r w:rsidRPr="0071782F">
        <w:rPr>
          <w:lang w:val="fr-CH"/>
        </w:rPr>
        <w:t xml:space="preserve">29 </w:t>
      </w:r>
      <w:r w:rsidR="00D25983" w:rsidRPr="0071782F">
        <w:rPr>
          <w:lang w:val="fr-CH"/>
        </w:rPr>
        <w:t>centres d’enseignement</w:t>
      </w:r>
      <w:r w:rsidRPr="0071782F">
        <w:rPr>
          <w:lang w:val="fr-CH"/>
        </w:rPr>
        <w:t>.</w:t>
      </w:r>
    </w:p>
    <w:p w:rsidR="00186B76" w:rsidRPr="0071782F" w:rsidRDefault="00186B76" w:rsidP="00A45A11">
      <w:pPr>
        <w:pStyle w:val="SingleTxtG"/>
        <w:ind w:left="1701"/>
        <w:rPr>
          <w:lang w:val="fr-CH"/>
        </w:rPr>
      </w:pPr>
      <w:r w:rsidRPr="0071782F">
        <w:rPr>
          <w:lang w:val="fr-CH"/>
        </w:rPr>
        <w:t>419.2</w:t>
      </w:r>
      <w:r w:rsidR="005D6873" w:rsidRPr="0071782F">
        <w:rPr>
          <w:lang w:val="fr-CH"/>
        </w:rPr>
        <w:t>.</w:t>
      </w:r>
      <w:r w:rsidRPr="0071782F">
        <w:rPr>
          <w:lang w:val="fr-CH"/>
        </w:rPr>
        <w:tab/>
      </w:r>
      <w:r w:rsidR="00D25983" w:rsidRPr="0071782F">
        <w:rPr>
          <w:lang w:val="fr-CH"/>
        </w:rPr>
        <w:t xml:space="preserve">Afin de multiplier les possibilités éducatives et de contribuer à faire de la devise </w:t>
      </w:r>
      <w:r w:rsidR="00A62149" w:rsidRPr="0071782F">
        <w:rPr>
          <w:lang w:val="fr-CH"/>
        </w:rPr>
        <w:t>"</w:t>
      </w:r>
      <w:r w:rsidR="00D25983" w:rsidRPr="0071782F">
        <w:rPr>
          <w:lang w:val="fr-CH"/>
        </w:rPr>
        <w:t>enseignement supérieur pour tous</w:t>
      </w:r>
      <w:r w:rsidR="00A62149" w:rsidRPr="0071782F">
        <w:rPr>
          <w:lang w:val="fr-CH"/>
        </w:rPr>
        <w:t>"</w:t>
      </w:r>
      <w:r w:rsidR="00D25983" w:rsidRPr="0071782F">
        <w:rPr>
          <w:lang w:val="fr-CH"/>
        </w:rPr>
        <w:t xml:space="preserve"> une réalité, le </w:t>
      </w:r>
      <w:r w:rsidRPr="0071782F">
        <w:rPr>
          <w:lang w:val="fr-CH"/>
        </w:rPr>
        <w:t>Minist</w:t>
      </w:r>
      <w:r w:rsidR="00D25983" w:rsidRPr="0071782F">
        <w:rPr>
          <w:lang w:val="fr-CH"/>
        </w:rPr>
        <w:t xml:space="preserve">ère s’est concentré sur le développement des cours à mi-temps à tous les niveaux dans le cadre de l’Université </w:t>
      </w:r>
      <w:r w:rsidRPr="0071782F">
        <w:rPr>
          <w:lang w:val="fr-CH"/>
        </w:rPr>
        <w:t xml:space="preserve">Payam-e Noor. </w:t>
      </w:r>
      <w:r w:rsidR="00D25983" w:rsidRPr="0071782F">
        <w:rPr>
          <w:lang w:val="fr-CH"/>
        </w:rPr>
        <w:t xml:space="preserve">Le </w:t>
      </w:r>
      <w:r w:rsidR="003B48A4" w:rsidRPr="0071782F">
        <w:rPr>
          <w:lang w:val="fr-CH"/>
        </w:rPr>
        <w:t>nombre</w:t>
      </w:r>
      <w:r w:rsidRPr="0071782F">
        <w:rPr>
          <w:lang w:val="fr-CH"/>
        </w:rPr>
        <w:t xml:space="preserve"> </w:t>
      </w:r>
      <w:r w:rsidR="00D25983" w:rsidRPr="0071782F">
        <w:rPr>
          <w:lang w:val="fr-CH"/>
        </w:rPr>
        <w:t xml:space="preserve">des étudiants inscrits à ces programmes a atteint </w:t>
      </w:r>
      <w:r w:rsidRPr="0071782F">
        <w:rPr>
          <w:lang w:val="fr-CH"/>
        </w:rPr>
        <w:t>600</w:t>
      </w:r>
      <w:r w:rsidR="00707DCC">
        <w:rPr>
          <w:lang w:val="fr-CH"/>
        </w:rPr>
        <w:t> </w:t>
      </w:r>
      <w:r w:rsidRPr="0071782F">
        <w:rPr>
          <w:lang w:val="fr-CH"/>
        </w:rPr>
        <w:t xml:space="preserve">000 </w:t>
      </w:r>
      <w:r w:rsidR="00D25983" w:rsidRPr="0071782F">
        <w:rPr>
          <w:lang w:val="fr-CH"/>
        </w:rPr>
        <w:t>e</w:t>
      </w:r>
      <w:r w:rsidRPr="0071782F">
        <w:rPr>
          <w:lang w:val="fr-CH"/>
        </w:rPr>
        <w:t xml:space="preserve">n 2007. </w:t>
      </w:r>
      <w:r w:rsidR="00D25983" w:rsidRPr="0071782F">
        <w:rPr>
          <w:lang w:val="fr-CH"/>
        </w:rPr>
        <w:t>En outre, les secteurs public et privé ont commencé, l’an dernier, à développer les cours d’enseignement à distance</w:t>
      </w:r>
      <w:r w:rsidRPr="0071782F">
        <w:rPr>
          <w:lang w:val="fr-CH"/>
        </w:rPr>
        <w:t>.</w:t>
      </w:r>
    </w:p>
    <w:p w:rsidR="00186B76" w:rsidRPr="0071782F" w:rsidRDefault="00186B76" w:rsidP="00A45A11">
      <w:pPr>
        <w:pStyle w:val="SingleTxtG"/>
        <w:ind w:left="1701"/>
        <w:rPr>
          <w:lang w:val="fr-CH"/>
        </w:rPr>
      </w:pPr>
      <w:r w:rsidRPr="0071782F">
        <w:rPr>
          <w:lang w:val="fr-CH"/>
        </w:rPr>
        <w:t>419.3</w:t>
      </w:r>
      <w:r w:rsidR="005D6873" w:rsidRPr="0071782F">
        <w:rPr>
          <w:lang w:val="fr-CH"/>
        </w:rPr>
        <w:t>.</w:t>
      </w:r>
      <w:r w:rsidRPr="0071782F">
        <w:rPr>
          <w:lang w:val="fr-CH"/>
        </w:rPr>
        <w:tab/>
      </w:r>
      <w:r w:rsidR="00DC7ED2" w:rsidRPr="0071782F">
        <w:rPr>
          <w:lang w:val="fr-CH"/>
        </w:rPr>
        <w:t xml:space="preserve">Le développement de l’accès par la diversification des modalités d’étude </w:t>
      </w:r>
      <w:r w:rsidRPr="0071782F">
        <w:rPr>
          <w:lang w:val="fr-CH"/>
        </w:rPr>
        <w:t>(</w:t>
      </w:r>
      <w:r w:rsidR="00DC7ED2" w:rsidRPr="0071782F">
        <w:rPr>
          <w:lang w:val="fr-CH"/>
        </w:rPr>
        <w:t>cours de jour et du soir, classes successives</w:t>
      </w:r>
      <w:r w:rsidRPr="0071782F">
        <w:rPr>
          <w:lang w:val="fr-CH"/>
        </w:rPr>
        <w:t xml:space="preserve">, </w:t>
      </w:r>
      <w:r w:rsidR="00DC7ED2" w:rsidRPr="0071782F">
        <w:rPr>
          <w:lang w:val="fr-CH"/>
        </w:rPr>
        <w:t>cours de sciences appliquées</w:t>
      </w:r>
      <w:r w:rsidRPr="0071782F">
        <w:rPr>
          <w:lang w:val="fr-CH"/>
        </w:rPr>
        <w:t>, modula</w:t>
      </w:r>
      <w:r w:rsidR="00DC7ED2" w:rsidRPr="0071782F">
        <w:rPr>
          <w:lang w:val="fr-CH"/>
        </w:rPr>
        <w:t>ires</w:t>
      </w:r>
      <w:r w:rsidRPr="0071782F">
        <w:rPr>
          <w:lang w:val="fr-CH"/>
        </w:rPr>
        <w:t xml:space="preserve">, </w:t>
      </w:r>
      <w:r w:rsidR="00DC7ED2" w:rsidRPr="0071782F">
        <w:rPr>
          <w:lang w:val="fr-CH"/>
        </w:rPr>
        <w:t xml:space="preserve">à mi-temps, à </w:t>
      </w:r>
      <w:r w:rsidRPr="0071782F">
        <w:rPr>
          <w:lang w:val="fr-CH"/>
        </w:rPr>
        <w:t xml:space="preserve">distance) </w:t>
      </w:r>
      <w:r w:rsidR="00DC7ED2" w:rsidRPr="0071782F">
        <w:rPr>
          <w:lang w:val="fr-CH"/>
        </w:rPr>
        <w:t>et l’utilisation des capacité</w:t>
      </w:r>
      <w:r w:rsidRPr="0071782F">
        <w:rPr>
          <w:lang w:val="fr-CH"/>
        </w:rPr>
        <w:t xml:space="preserve">s </w:t>
      </w:r>
      <w:r w:rsidR="00DC7ED2" w:rsidRPr="0071782F">
        <w:rPr>
          <w:lang w:val="fr-CH"/>
        </w:rPr>
        <w:t>des secteurs public et privé ont permis de porter la capacité de l’enseignement supérieur de 750</w:t>
      </w:r>
      <w:r w:rsidR="003B1403" w:rsidRPr="0071782F">
        <w:rPr>
          <w:lang w:val="fr-CH"/>
        </w:rPr>
        <w:t> </w:t>
      </w:r>
      <w:r w:rsidRPr="0071782F">
        <w:rPr>
          <w:lang w:val="fr-CH"/>
        </w:rPr>
        <w:t>000</w:t>
      </w:r>
      <w:r w:rsidR="003B1403" w:rsidRPr="0071782F">
        <w:rPr>
          <w:lang w:val="fr-CH"/>
        </w:rPr>
        <w:t> </w:t>
      </w:r>
      <w:r w:rsidR="00DC7ED2" w:rsidRPr="0071782F">
        <w:rPr>
          <w:lang w:val="fr-CH"/>
        </w:rPr>
        <w:t>étudiants e</w:t>
      </w:r>
      <w:r w:rsidRPr="0071782F">
        <w:rPr>
          <w:lang w:val="fr-CH"/>
        </w:rPr>
        <w:t xml:space="preserve">n 2005 </w:t>
      </w:r>
      <w:r w:rsidR="00DC7ED2" w:rsidRPr="0071782F">
        <w:rPr>
          <w:lang w:val="fr-CH"/>
        </w:rPr>
        <w:t xml:space="preserve">à un </w:t>
      </w:r>
      <w:r w:rsidRPr="0071782F">
        <w:rPr>
          <w:lang w:val="fr-CH"/>
        </w:rPr>
        <w:t xml:space="preserve">million </w:t>
      </w:r>
      <w:r w:rsidR="00DC7ED2" w:rsidRPr="0071782F">
        <w:rPr>
          <w:lang w:val="fr-CH"/>
        </w:rPr>
        <w:t>e</w:t>
      </w:r>
      <w:r w:rsidRPr="0071782F">
        <w:rPr>
          <w:lang w:val="fr-CH"/>
        </w:rPr>
        <w:t xml:space="preserve">n 2006. </w:t>
      </w:r>
      <w:r w:rsidR="00DC7ED2" w:rsidRPr="0071782F">
        <w:rPr>
          <w:lang w:val="fr-CH"/>
        </w:rPr>
        <w:t xml:space="preserve">Ce </w:t>
      </w:r>
      <w:r w:rsidR="003B48A4" w:rsidRPr="0071782F">
        <w:rPr>
          <w:lang w:val="fr-CH"/>
        </w:rPr>
        <w:t>nombre</w:t>
      </w:r>
      <w:r w:rsidRPr="0071782F">
        <w:rPr>
          <w:lang w:val="fr-CH"/>
        </w:rPr>
        <w:t xml:space="preserve"> </w:t>
      </w:r>
      <w:r w:rsidR="00DC7ED2" w:rsidRPr="0071782F">
        <w:rPr>
          <w:lang w:val="fr-CH"/>
        </w:rPr>
        <w:t xml:space="preserve">devrait atteindre </w:t>
      </w:r>
      <w:r w:rsidRPr="0071782F">
        <w:rPr>
          <w:lang w:val="fr-CH"/>
        </w:rPr>
        <w:t>1</w:t>
      </w:r>
      <w:r w:rsidR="00DC7ED2" w:rsidRPr="0071782F">
        <w:rPr>
          <w:lang w:val="fr-CH"/>
        </w:rPr>
        <w:t>,</w:t>
      </w:r>
      <w:r w:rsidRPr="0071782F">
        <w:rPr>
          <w:lang w:val="fr-CH"/>
        </w:rPr>
        <w:t>2</w:t>
      </w:r>
      <w:r w:rsidR="003B1403" w:rsidRPr="0071782F">
        <w:rPr>
          <w:lang w:val="fr-CH"/>
        </w:rPr>
        <w:t> </w:t>
      </w:r>
      <w:r w:rsidRPr="0071782F">
        <w:rPr>
          <w:lang w:val="fr-CH"/>
        </w:rPr>
        <w:t xml:space="preserve">million </w:t>
      </w:r>
      <w:r w:rsidR="00DC7ED2" w:rsidRPr="0071782F">
        <w:rPr>
          <w:lang w:val="fr-CH"/>
        </w:rPr>
        <w:t>e</w:t>
      </w:r>
      <w:r w:rsidRPr="0071782F">
        <w:rPr>
          <w:lang w:val="fr-CH"/>
        </w:rPr>
        <w:t>n 2007.</w:t>
      </w:r>
    </w:p>
    <w:p w:rsidR="00186B76" w:rsidRPr="0071782F" w:rsidRDefault="00186B76" w:rsidP="003B1403">
      <w:pPr>
        <w:pStyle w:val="SingleTxtG"/>
        <w:ind w:left="1701"/>
        <w:rPr>
          <w:lang w:val="fr-CH"/>
        </w:rPr>
      </w:pPr>
      <w:r w:rsidRPr="0071782F">
        <w:rPr>
          <w:lang w:val="fr-CH"/>
        </w:rPr>
        <w:t>419.4</w:t>
      </w:r>
      <w:r w:rsidR="005D6873" w:rsidRPr="0071782F">
        <w:rPr>
          <w:lang w:val="fr-CH"/>
        </w:rPr>
        <w:t>.</w:t>
      </w:r>
      <w:r w:rsidRPr="0071782F">
        <w:rPr>
          <w:lang w:val="fr-CH"/>
        </w:rPr>
        <w:tab/>
      </w:r>
      <w:r w:rsidR="00DC7ED2" w:rsidRPr="0071782F">
        <w:rPr>
          <w:lang w:val="fr-CH"/>
        </w:rPr>
        <w:t>Augmentation de l’effectif universitaire total, porté à trois</w:t>
      </w:r>
      <w:r w:rsidR="00097CDB" w:rsidRPr="0071782F">
        <w:rPr>
          <w:lang w:val="fr-CH"/>
        </w:rPr>
        <w:t> millions</w:t>
      </w:r>
      <w:r w:rsidRPr="0071782F">
        <w:rPr>
          <w:lang w:val="fr-CH"/>
        </w:rPr>
        <w:t xml:space="preserve"> </w:t>
      </w:r>
      <w:r w:rsidR="00DC7ED2" w:rsidRPr="0071782F">
        <w:rPr>
          <w:lang w:val="fr-CH"/>
        </w:rPr>
        <w:t xml:space="preserve">pendant l’année en cours, avec </w:t>
      </w:r>
      <w:r w:rsidRPr="0071782F">
        <w:rPr>
          <w:lang w:val="fr-CH"/>
        </w:rPr>
        <w:t>50</w:t>
      </w:r>
      <w:r w:rsidR="003B1403" w:rsidRPr="0071782F">
        <w:rPr>
          <w:lang w:val="fr-CH"/>
        </w:rPr>
        <w:t> </w:t>
      </w:r>
      <w:r w:rsidRPr="0071782F">
        <w:rPr>
          <w:lang w:val="fr-CH"/>
        </w:rPr>
        <w:t xml:space="preserve">000 </w:t>
      </w:r>
      <w:r w:rsidR="00DC7ED2" w:rsidRPr="0071782F">
        <w:rPr>
          <w:lang w:val="fr-CH"/>
        </w:rPr>
        <w:t xml:space="preserve">enseignants dans les secteurs public et privé, compte tenu de </w:t>
      </w:r>
      <w:r w:rsidRPr="0071782F">
        <w:rPr>
          <w:lang w:val="fr-CH"/>
        </w:rPr>
        <w:t>25</w:t>
      </w:r>
      <w:r w:rsidR="007E5125" w:rsidRPr="0071782F">
        <w:rPr>
          <w:lang w:val="fr-CH"/>
        </w:rPr>
        <w:t>%</w:t>
      </w:r>
      <w:r w:rsidR="00DC7ED2" w:rsidRPr="0071782F">
        <w:rPr>
          <w:lang w:val="fr-CH"/>
        </w:rPr>
        <w:t xml:space="preserve"> de jeunes âgés de </w:t>
      </w:r>
      <w:r w:rsidRPr="0071782F">
        <w:rPr>
          <w:lang w:val="fr-CH"/>
        </w:rPr>
        <w:t>18</w:t>
      </w:r>
      <w:r w:rsidR="00DC7ED2" w:rsidRPr="0071782F">
        <w:rPr>
          <w:lang w:val="fr-CH"/>
        </w:rPr>
        <w:t xml:space="preserve"> à </w:t>
      </w:r>
      <w:r w:rsidRPr="0071782F">
        <w:rPr>
          <w:lang w:val="fr-CH"/>
        </w:rPr>
        <w:t>24</w:t>
      </w:r>
      <w:r w:rsidR="00D82C96" w:rsidRPr="0071782F">
        <w:rPr>
          <w:lang w:val="fr-CH"/>
        </w:rPr>
        <w:t> ans</w:t>
      </w:r>
      <w:r w:rsidR="00DC7ED2" w:rsidRPr="0071782F">
        <w:rPr>
          <w:lang w:val="fr-CH"/>
        </w:rPr>
        <w:t xml:space="preserve">, pourcentage qui devrait être porté à </w:t>
      </w:r>
      <w:r w:rsidRPr="0071782F">
        <w:rPr>
          <w:lang w:val="fr-CH"/>
        </w:rPr>
        <w:t>30</w:t>
      </w:r>
      <w:r w:rsidR="007E5125" w:rsidRPr="0071782F">
        <w:rPr>
          <w:lang w:val="fr-CH"/>
        </w:rPr>
        <w:t>%</w:t>
      </w:r>
      <w:r w:rsidR="00DC7ED2" w:rsidRPr="0071782F">
        <w:rPr>
          <w:lang w:val="fr-CH"/>
        </w:rPr>
        <w:t xml:space="preserve"> d’ici à la fin du </w:t>
      </w:r>
      <w:r w:rsidR="00A90208" w:rsidRPr="0071782F">
        <w:rPr>
          <w:lang w:val="fr-CH"/>
        </w:rPr>
        <w:t>quatrième</w:t>
      </w:r>
      <w:r w:rsidR="00DC7ED2" w:rsidRPr="0071782F">
        <w:rPr>
          <w:lang w:val="fr-CH"/>
        </w:rPr>
        <w:t xml:space="preserve"> plan de développement</w:t>
      </w:r>
      <w:r w:rsidRPr="0071782F">
        <w:rPr>
          <w:lang w:val="fr-CH"/>
        </w:rPr>
        <w:t xml:space="preserve">. </w:t>
      </w:r>
    </w:p>
    <w:p w:rsidR="00186B76" w:rsidRPr="0071782F" w:rsidRDefault="00186B76" w:rsidP="00A45A11">
      <w:pPr>
        <w:pStyle w:val="SingleTxtG"/>
        <w:ind w:left="1701"/>
        <w:rPr>
          <w:lang w:val="fr-CH"/>
        </w:rPr>
      </w:pPr>
      <w:r w:rsidRPr="0071782F">
        <w:rPr>
          <w:lang w:val="fr-CH"/>
        </w:rPr>
        <w:t>419.5</w:t>
      </w:r>
      <w:r w:rsidR="005D6873" w:rsidRPr="0071782F">
        <w:rPr>
          <w:lang w:val="fr-CH"/>
        </w:rPr>
        <w:t>.</w:t>
      </w:r>
      <w:r w:rsidRPr="0071782F">
        <w:rPr>
          <w:lang w:val="fr-CH"/>
        </w:rPr>
        <w:tab/>
      </w:r>
      <w:r w:rsidR="00B95D34" w:rsidRPr="0071782F">
        <w:rPr>
          <w:lang w:val="fr-CH"/>
        </w:rPr>
        <w:t>Attention particulière portée à l’enseignement universitaire supérieur dispensé dans les université</w:t>
      </w:r>
      <w:r w:rsidR="00B21024" w:rsidRPr="0071782F">
        <w:rPr>
          <w:lang w:val="fr-CH"/>
        </w:rPr>
        <w:t>s</w:t>
      </w:r>
      <w:r w:rsidR="00B95D34" w:rsidRPr="0071782F">
        <w:rPr>
          <w:lang w:val="fr-CH"/>
        </w:rPr>
        <w:t xml:space="preserve"> relevant du </w:t>
      </w:r>
      <w:r w:rsidRPr="0071782F">
        <w:rPr>
          <w:lang w:val="fr-CH"/>
        </w:rPr>
        <w:t>Minist</w:t>
      </w:r>
      <w:r w:rsidR="00B95D34" w:rsidRPr="0071782F">
        <w:rPr>
          <w:lang w:val="fr-CH"/>
        </w:rPr>
        <w:t>ère</w:t>
      </w:r>
      <w:r w:rsidRPr="0071782F">
        <w:rPr>
          <w:lang w:val="fr-CH"/>
        </w:rPr>
        <w:t xml:space="preserve">. </w:t>
      </w:r>
      <w:r w:rsidR="00B95D34" w:rsidRPr="0071782F">
        <w:rPr>
          <w:lang w:val="fr-CH"/>
        </w:rPr>
        <w:t>Il y a eu 25</w:t>
      </w:r>
      <w:r w:rsidR="00707DCC">
        <w:rPr>
          <w:lang w:val="fr-CH"/>
        </w:rPr>
        <w:t> </w:t>
      </w:r>
      <w:r w:rsidRPr="0071782F">
        <w:rPr>
          <w:lang w:val="fr-CH"/>
        </w:rPr>
        <w:t xml:space="preserve">000 </w:t>
      </w:r>
      <w:r w:rsidR="00B95D34" w:rsidRPr="0071782F">
        <w:rPr>
          <w:lang w:val="fr-CH"/>
        </w:rPr>
        <w:t xml:space="preserve">étudiants inscrits à des programmes de mastère en </w:t>
      </w:r>
      <w:r w:rsidRPr="0071782F">
        <w:rPr>
          <w:lang w:val="fr-CH"/>
        </w:rPr>
        <w:t>2006</w:t>
      </w:r>
      <w:r w:rsidR="00B95D34" w:rsidRPr="0071782F">
        <w:rPr>
          <w:lang w:val="fr-CH"/>
        </w:rPr>
        <w:t xml:space="preserve">, contre </w:t>
      </w:r>
      <w:r w:rsidRPr="0071782F">
        <w:rPr>
          <w:lang w:val="fr-CH"/>
        </w:rPr>
        <w:t>20</w:t>
      </w:r>
      <w:r w:rsidR="00707DCC">
        <w:rPr>
          <w:lang w:val="fr-CH"/>
        </w:rPr>
        <w:t> </w:t>
      </w:r>
      <w:r w:rsidRPr="0071782F">
        <w:rPr>
          <w:lang w:val="fr-CH"/>
        </w:rPr>
        <w:t xml:space="preserve">000 </w:t>
      </w:r>
      <w:r w:rsidR="00B95D34" w:rsidRPr="0071782F">
        <w:rPr>
          <w:lang w:val="fr-CH"/>
        </w:rPr>
        <w:t xml:space="preserve">l’année précédente </w:t>
      </w:r>
      <w:r w:rsidRPr="0071782F">
        <w:rPr>
          <w:lang w:val="fr-CH"/>
        </w:rPr>
        <w:t>(</w:t>
      </w:r>
      <w:r w:rsidR="00B95D34" w:rsidRPr="0071782F">
        <w:rPr>
          <w:lang w:val="fr-CH"/>
        </w:rPr>
        <w:t xml:space="preserve">augmentation de </w:t>
      </w:r>
      <w:r w:rsidRPr="0071782F">
        <w:rPr>
          <w:lang w:val="fr-CH"/>
        </w:rPr>
        <w:t>25</w:t>
      </w:r>
      <w:r w:rsidR="007E5125" w:rsidRPr="0071782F">
        <w:rPr>
          <w:lang w:val="fr-CH"/>
        </w:rPr>
        <w:t>%</w:t>
      </w:r>
      <w:r w:rsidR="00B95D34" w:rsidRPr="0071782F">
        <w:rPr>
          <w:lang w:val="fr-CH"/>
        </w:rPr>
        <w:t xml:space="preserve"> des cours de jour et du soir</w:t>
      </w:r>
      <w:r w:rsidRPr="0071782F">
        <w:rPr>
          <w:lang w:val="fr-CH"/>
        </w:rPr>
        <w:t xml:space="preserve">). </w:t>
      </w:r>
      <w:r w:rsidR="00B95D34" w:rsidRPr="0071782F">
        <w:rPr>
          <w:lang w:val="fr-CH"/>
        </w:rPr>
        <w:t xml:space="preserve">La même année, </w:t>
      </w:r>
      <w:r w:rsidRPr="0071782F">
        <w:rPr>
          <w:lang w:val="fr-CH"/>
        </w:rPr>
        <w:t>2</w:t>
      </w:r>
      <w:r w:rsidR="00707DCC">
        <w:rPr>
          <w:lang w:val="fr-CH"/>
        </w:rPr>
        <w:t> </w:t>
      </w:r>
      <w:r w:rsidRPr="0071782F">
        <w:rPr>
          <w:lang w:val="fr-CH"/>
        </w:rPr>
        <w:t xml:space="preserve">500 </w:t>
      </w:r>
      <w:r w:rsidR="00B95D34" w:rsidRPr="0071782F">
        <w:rPr>
          <w:lang w:val="fr-CH"/>
        </w:rPr>
        <w:t>étudiants étaient inscrits à des programmes de doctorat</w:t>
      </w:r>
      <w:r w:rsidRPr="0071782F">
        <w:rPr>
          <w:lang w:val="fr-CH"/>
        </w:rPr>
        <w:t xml:space="preserve">. </w:t>
      </w:r>
      <w:r w:rsidR="00B95D34" w:rsidRPr="0071782F">
        <w:rPr>
          <w:lang w:val="fr-CH"/>
        </w:rPr>
        <w:t>Au</w:t>
      </w:r>
      <w:r w:rsidRPr="0071782F">
        <w:rPr>
          <w:lang w:val="fr-CH"/>
        </w:rPr>
        <w:t xml:space="preserve"> total, </w:t>
      </w:r>
      <w:r w:rsidR="00B95D34" w:rsidRPr="0071782F">
        <w:rPr>
          <w:lang w:val="fr-CH"/>
        </w:rPr>
        <w:t>les secteurs public et privé ont accueilli</w:t>
      </w:r>
      <w:r w:rsidRPr="0071782F">
        <w:rPr>
          <w:lang w:val="fr-CH"/>
        </w:rPr>
        <w:t xml:space="preserve"> 100</w:t>
      </w:r>
      <w:r w:rsidR="00707DCC">
        <w:rPr>
          <w:lang w:val="fr-CH"/>
        </w:rPr>
        <w:t> </w:t>
      </w:r>
      <w:r w:rsidRPr="0071782F">
        <w:rPr>
          <w:lang w:val="fr-CH"/>
        </w:rPr>
        <w:t>000</w:t>
      </w:r>
      <w:r w:rsidR="00097CDB" w:rsidRPr="0071782F">
        <w:rPr>
          <w:lang w:val="fr-CH"/>
        </w:rPr>
        <w:t> personnes</w:t>
      </w:r>
      <w:r w:rsidR="00B95D34" w:rsidRPr="0071782F">
        <w:rPr>
          <w:lang w:val="fr-CH"/>
        </w:rPr>
        <w:t xml:space="preserve"> dans des programmes d’enseignement universitaire supérieur, dont </w:t>
      </w:r>
      <w:r w:rsidRPr="0071782F">
        <w:rPr>
          <w:lang w:val="fr-CH"/>
        </w:rPr>
        <w:t>85</w:t>
      </w:r>
      <w:r w:rsidR="00707DCC">
        <w:rPr>
          <w:lang w:val="fr-CH"/>
        </w:rPr>
        <w:t> </w:t>
      </w:r>
      <w:r w:rsidRPr="0071782F">
        <w:rPr>
          <w:lang w:val="fr-CH"/>
        </w:rPr>
        <w:t xml:space="preserve">000 </w:t>
      </w:r>
      <w:r w:rsidR="00B95D34" w:rsidRPr="0071782F">
        <w:rPr>
          <w:lang w:val="fr-CH"/>
        </w:rPr>
        <w:t xml:space="preserve">en mastère et </w:t>
      </w:r>
      <w:r w:rsidRPr="0071782F">
        <w:rPr>
          <w:lang w:val="fr-CH"/>
        </w:rPr>
        <w:t>15</w:t>
      </w:r>
      <w:r w:rsidR="00707DCC">
        <w:rPr>
          <w:lang w:val="fr-CH"/>
        </w:rPr>
        <w:t> </w:t>
      </w:r>
      <w:r w:rsidRPr="0071782F">
        <w:rPr>
          <w:lang w:val="fr-CH"/>
        </w:rPr>
        <w:t xml:space="preserve">000 </w:t>
      </w:r>
      <w:r w:rsidR="00B95D34" w:rsidRPr="0071782F">
        <w:rPr>
          <w:lang w:val="fr-CH"/>
        </w:rPr>
        <w:t>en doctorat</w:t>
      </w:r>
      <w:r w:rsidRPr="0071782F">
        <w:rPr>
          <w:lang w:val="fr-CH"/>
        </w:rPr>
        <w:t>.</w:t>
      </w:r>
    </w:p>
    <w:p w:rsidR="00186B76" w:rsidRPr="0071782F" w:rsidRDefault="00186B76" w:rsidP="00A45A11">
      <w:pPr>
        <w:pStyle w:val="SingleTxtG"/>
        <w:ind w:left="1701"/>
        <w:rPr>
          <w:lang w:val="fr-CH"/>
        </w:rPr>
      </w:pPr>
      <w:r w:rsidRPr="0071782F">
        <w:rPr>
          <w:lang w:val="fr-CH"/>
        </w:rPr>
        <w:t>419.6</w:t>
      </w:r>
      <w:r w:rsidR="005D6873" w:rsidRPr="0071782F">
        <w:rPr>
          <w:lang w:val="fr-CH"/>
        </w:rPr>
        <w:t>.</w:t>
      </w:r>
      <w:r w:rsidRPr="0071782F">
        <w:rPr>
          <w:lang w:val="fr-CH"/>
        </w:rPr>
        <w:tab/>
      </w:r>
      <w:r w:rsidR="003F5CB0" w:rsidRPr="0071782F">
        <w:rPr>
          <w:lang w:val="fr-CH"/>
        </w:rPr>
        <w:t>Il est prévu de recruter des enseignants expérimentés et motivés en nombre suffisant.</w:t>
      </w:r>
    </w:p>
    <w:p w:rsidR="00186B76" w:rsidRPr="0071782F" w:rsidRDefault="00186B76" w:rsidP="00A45A11">
      <w:pPr>
        <w:pStyle w:val="SingleTxtG"/>
        <w:ind w:left="1701"/>
        <w:rPr>
          <w:lang w:val="fr-CH"/>
        </w:rPr>
      </w:pPr>
      <w:r w:rsidRPr="0071782F">
        <w:rPr>
          <w:lang w:val="fr-CH"/>
        </w:rPr>
        <w:t>419.7</w:t>
      </w:r>
      <w:r w:rsidR="005D6873" w:rsidRPr="0071782F">
        <w:rPr>
          <w:lang w:val="fr-CH"/>
        </w:rPr>
        <w:t>.</w:t>
      </w:r>
      <w:r w:rsidRPr="0071782F">
        <w:rPr>
          <w:lang w:val="fr-CH"/>
        </w:rPr>
        <w:tab/>
      </w:r>
      <w:r w:rsidR="003F5CB0" w:rsidRPr="0071782F">
        <w:rPr>
          <w:lang w:val="fr-CH"/>
        </w:rPr>
        <w:t xml:space="preserve">Développement des universités compte tenu de critères d’aménagement du territoire et de justice et du plan-cadre adopté, </w:t>
      </w:r>
      <w:r w:rsidRPr="0071782F">
        <w:rPr>
          <w:lang w:val="fr-CH"/>
        </w:rPr>
        <w:t xml:space="preserve">facilitation </w:t>
      </w:r>
      <w:r w:rsidR="003F5CB0" w:rsidRPr="0071782F">
        <w:rPr>
          <w:lang w:val="fr-CH"/>
        </w:rPr>
        <w:t xml:space="preserve">du </w:t>
      </w:r>
      <w:r w:rsidRPr="0071782F">
        <w:rPr>
          <w:lang w:val="fr-CH"/>
        </w:rPr>
        <w:t>transfer</w:t>
      </w:r>
      <w:r w:rsidR="003F5CB0" w:rsidRPr="0071782F">
        <w:rPr>
          <w:lang w:val="fr-CH"/>
        </w:rPr>
        <w:t>t des étudiants et appui indéfectible à l’élite et aux étudiants les plus doués de manière à leur permettre de poursuivre leurs études à des niveaux supérieurs</w:t>
      </w:r>
      <w:r w:rsidRPr="0071782F">
        <w:rPr>
          <w:lang w:val="fr-CH"/>
        </w:rPr>
        <w:t>.</w:t>
      </w:r>
    </w:p>
    <w:p w:rsidR="00186B76" w:rsidRPr="0071782F" w:rsidRDefault="00186B76" w:rsidP="00A45A11">
      <w:pPr>
        <w:pStyle w:val="SingleTxtG"/>
        <w:ind w:left="1701"/>
        <w:rPr>
          <w:lang w:val="fr-CH"/>
        </w:rPr>
      </w:pPr>
      <w:r w:rsidRPr="0071782F">
        <w:rPr>
          <w:lang w:val="fr-CH"/>
        </w:rPr>
        <w:t>419.8</w:t>
      </w:r>
      <w:r w:rsidR="005D6873" w:rsidRPr="0071782F">
        <w:rPr>
          <w:lang w:val="fr-CH"/>
        </w:rPr>
        <w:t>.</w:t>
      </w:r>
      <w:r w:rsidRPr="0071782F">
        <w:rPr>
          <w:lang w:val="fr-CH"/>
        </w:rPr>
        <w:tab/>
      </w:r>
      <w:r w:rsidR="00346694" w:rsidRPr="0071782F">
        <w:rPr>
          <w:lang w:val="fr-CH"/>
        </w:rPr>
        <w:t>Mettre en place un barème des droits d’inscription adapté pour les établissements publics (cours du soir), sans but lucratif ou de sciences appliquées, l’Université</w:t>
      </w:r>
      <w:r w:rsidRPr="0071782F">
        <w:rPr>
          <w:lang w:val="fr-CH"/>
        </w:rPr>
        <w:t xml:space="preserve"> Payam-e Noor</w:t>
      </w:r>
      <w:r w:rsidR="00346694" w:rsidRPr="0071782F">
        <w:rPr>
          <w:lang w:val="fr-CH"/>
        </w:rPr>
        <w:t xml:space="preserve"> et l’Université islamique </w:t>
      </w:r>
      <w:r w:rsidRPr="0071782F">
        <w:rPr>
          <w:lang w:val="fr-CH"/>
        </w:rPr>
        <w:t>Azad.</w:t>
      </w:r>
    </w:p>
    <w:p w:rsidR="00186B76" w:rsidRPr="0071782F" w:rsidRDefault="00186B76" w:rsidP="00A45A11">
      <w:pPr>
        <w:pStyle w:val="SingleTxtG"/>
        <w:ind w:left="1701"/>
        <w:rPr>
          <w:lang w:val="fr-CH"/>
        </w:rPr>
      </w:pPr>
      <w:r w:rsidRPr="0071782F">
        <w:rPr>
          <w:lang w:val="fr-CH"/>
        </w:rPr>
        <w:t>419.9</w:t>
      </w:r>
      <w:r w:rsidR="005D6873" w:rsidRPr="0071782F">
        <w:rPr>
          <w:lang w:val="fr-CH"/>
        </w:rPr>
        <w:t>.</w:t>
      </w:r>
      <w:r w:rsidRPr="0071782F">
        <w:rPr>
          <w:lang w:val="fr-CH"/>
        </w:rPr>
        <w:tab/>
      </w:r>
      <w:r w:rsidR="00346694" w:rsidRPr="0071782F">
        <w:rPr>
          <w:lang w:val="fr-CH"/>
        </w:rPr>
        <w:t>Organis</w:t>
      </w:r>
      <w:r w:rsidRPr="0071782F">
        <w:rPr>
          <w:lang w:val="fr-CH"/>
        </w:rPr>
        <w:t xml:space="preserve">ation </w:t>
      </w:r>
      <w:r w:rsidR="00346694" w:rsidRPr="0071782F">
        <w:rPr>
          <w:lang w:val="fr-CH"/>
        </w:rPr>
        <w:t>des activités et de la participation des enseignants</w:t>
      </w:r>
      <w:r w:rsidRPr="0071782F">
        <w:rPr>
          <w:lang w:val="fr-CH"/>
        </w:rPr>
        <w:t>.</w:t>
      </w:r>
    </w:p>
    <w:p w:rsidR="00186B76" w:rsidRPr="0071782F" w:rsidRDefault="00186B76" w:rsidP="00A45A11">
      <w:pPr>
        <w:pStyle w:val="SingleTxtG"/>
        <w:ind w:left="1701"/>
        <w:rPr>
          <w:lang w:val="fr-CH"/>
        </w:rPr>
      </w:pPr>
      <w:r w:rsidRPr="0071782F">
        <w:rPr>
          <w:lang w:val="fr-CH"/>
        </w:rPr>
        <w:t>419.10</w:t>
      </w:r>
      <w:r w:rsidR="005D6873" w:rsidRPr="0071782F">
        <w:rPr>
          <w:lang w:val="fr-CH"/>
        </w:rPr>
        <w:t>.</w:t>
      </w:r>
      <w:r w:rsidRPr="0071782F">
        <w:rPr>
          <w:lang w:val="fr-CH"/>
        </w:rPr>
        <w:t xml:space="preserve"> </w:t>
      </w:r>
      <w:r w:rsidR="00346694" w:rsidRPr="0071782F">
        <w:rPr>
          <w:lang w:val="fr-CH"/>
        </w:rPr>
        <w:t xml:space="preserve">Amélioration de l’efficacité de l’enseignement supérieur par le biais de la révision du règlement applicable aux </w:t>
      </w:r>
      <w:r w:rsidRPr="0071782F">
        <w:rPr>
          <w:lang w:val="fr-CH"/>
        </w:rPr>
        <w:t>promotions.</w:t>
      </w:r>
    </w:p>
    <w:p w:rsidR="00186B76" w:rsidRPr="0071782F" w:rsidRDefault="00186B76" w:rsidP="00A45A11">
      <w:pPr>
        <w:pStyle w:val="SingleTxtG"/>
        <w:ind w:left="1701"/>
        <w:rPr>
          <w:lang w:val="fr-CH"/>
        </w:rPr>
      </w:pPr>
      <w:r w:rsidRPr="0071782F">
        <w:rPr>
          <w:lang w:val="fr-CH"/>
        </w:rPr>
        <w:t>419.11</w:t>
      </w:r>
      <w:r w:rsidR="005D6873" w:rsidRPr="0071782F">
        <w:rPr>
          <w:lang w:val="fr-CH"/>
        </w:rPr>
        <w:t>.</w:t>
      </w:r>
      <w:r w:rsidRPr="0071782F">
        <w:rPr>
          <w:lang w:val="fr-CH"/>
        </w:rPr>
        <w:t xml:space="preserve"> Cr</w:t>
      </w:r>
      <w:r w:rsidR="00346694" w:rsidRPr="0071782F">
        <w:rPr>
          <w:lang w:val="fr-CH"/>
        </w:rPr>
        <w:t>é</w:t>
      </w:r>
      <w:r w:rsidRPr="0071782F">
        <w:rPr>
          <w:lang w:val="fr-CH"/>
        </w:rPr>
        <w:t xml:space="preserve">ation </w:t>
      </w:r>
      <w:r w:rsidR="00346694" w:rsidRPr="0071782F">
        <w:rPr>
          <w:lang w:val="fr-CH"/>
        </w:rPr>
        <w:t>d’un système général de suivi et d’é</w:t>
      </w:r>
      <w:r w:rsidRPr="0071782F">
        <w:rPr>
          <w:lang w:val="fr-CH"/>
        </w:rPr>
        <w:t xml:space="preserve">valuation </w:t>
      </w:r>
      <w:r w:rsidR="00346694" w:rsidRPr="0071782F">
        <w:rPr>
          <w:lang w:val="fr-CH"/>
        </w:rPr>
        <w:t>et amélioration du système hiérarchique du corps enseignant.</w:t>
      </w:r>
    </w:p>
    <w:p w:rsidR="00186B76" w:rsidRPr="0071782F" w:rsidRDefault="00186B76" w:rsidP="00A45A11">
      <w:pPr>
        <w:pStyle w:val="SingleTxtG"/>
        <w:ind w:left="1701"/>
        <w:rPr>
          <w:lang w:val="fr-CH"/>
        </w:rPr>
      </w:pPr>
      <w:r w:rsidRPr="0071782F">
        <w:rPr>
          <w:lang w:val="fr-CH"/>
        </w:rPr>
        <w:t>419.12</w:t>
      </w:r>
      <w:r w:rsidR="005D6873" w:rsidRPr="0071782F">
        <w:rPr>
          <w:lang w:val="fr-CH"/>
        </w:rPr>
        <w:t xml:space="preserve">. </w:t>
      </w:r>
      <w:r w:rsidR="00346694" w:rsidRPr="0071782F">
        <w:rPr>
          <w:lang w:val="fr-CH"/>
        </w:rPr>
        <w:t xml:space="preserve">Création de comités de planification sur les nouvelles </w:t>
      </w:r>
      <w:r w:rsidRPr="0071782F">
        <w:rPr>
          <w:lang w:val="fr-CH"/>
        </w:rPr>
        <w:t xml:space="preserve">technologies </w:t>
      </w:r>
      <w:r w:rsidR="00346694" w:rsidRPr="0071782F">
        <w:rPr>
          <w:lang w:val="fr-CH"/>
        </w:rPr>
        <w:t>et des autres comités dont le pays a besoin</w:t>
      </w:r>
      <w:r w:rsidRPr="0071782F">
        <w:rPr>
          <w:lang w:val="fr-CH"/>
        </w:rPr>
        <w:t>.</w:t>
      </w:r>
    </w:p>
    <w:p w:rsidR="00186B76" w:rsidRPr="0071782F" w:rsidRDefault="00186B76" w:rsidP="00A45A11">
      <w:pPr>
        <w:pStyle w:val="SingleTxtG"/>
        <w:ind w:left="1701"/>
        <w:rPr>
          <w:lang w:val="fr-CH"/>
        </w:rPr>
      </w:pPr>
      <w:r w:rsidRPr="0071782F">
        <w:rPr>
          <w:lang w:val="fr-CH"/>
        </w:rPr>
        <w:t>419.13</w:t>
      </w:r>
      <w:r w:rsidR="005D6873" w:rsidRPr="0071782F">
        <w:rPr>
          <w:lang w:val="fr-CH"/>
        </w:rPr>
        <w:t>.</w:t>
      </w:r>
      <w:r w:rsidRPr="0071782F">
        <w:rPr>
          <w:lang w:val="fr-CH"/>
        </w:rPr>
        <w:t xml:space="preserve"> </w:t>
      </w:r>
      <w:r w:rsidR="00346694" w:rsidRPr="0071782F">
        <w:rPr>
          <w:lang w:val="fr-CH"/>
        </w:rPr>
        <w:t xml:space="preserve">Réalisation de </w:t>
      </w:r>
      <w:r w:rsidRPr="0071782F">
        <w:rPr>
          <w:lang w:val="fr-CH"/>
        </w:rPr>
        <w:t xml:space="preserve">50 inspections </w:t>
      </w:r>
      <w:r w:rsidR="00346694" w:rsidRPr="0071782F">
        <w:rPr>
          <w:lang w:val="fr-CH"/>
        </w:rPr>
        <w:t xml:space="preserve">des établissements d’enseignement privés, à but non lucratif, nouvellement créés ou en phase d’extension et élaboration de </w:t>
      </w:r>
      <w:r w:rsidRPr="0071782F">
        <w:rPr>
          <w:lang w:val="fr-CH"/>
        </w:rPr>
        <w:t>statisti</w:t>
      </w:r>
      <w:r w:rsidR="00346694" w:rsidRPr="0071782F">
        <w:rPr>
          <w:lang w:val="fr-CH"/>
        </w:rPr>
        <w:t>que</w:t>
      </w:r>
      <w:r w:rsidRPr="0071782F">
        <w:rPr>
          <w:lang w:val="fr-CH"/>
        </w:rPr>
        <w:t xml:space="preserve">s </w:t>
      </w:r>
      <w:r w:rsidR="00346694" w:rsidRPr="0071782F">
        <w:rPr>
          <w:lang w:val="fr-CH"/>
        </w:rPr>
        <w:t>sur leurs activité</w:t>
      </w:r>
      <w:r w:rsidRPr="0071782F">
        <w:rPr>
          <w:lang w:val="fr-CH"/>
        </w:rPr>
        <w:t>s.</w:t>
      </w:r>
    </w:p>
    <w:p w:rsidR="00186B76" w:rsidRPr="0071782F" w:rsidRDefault="00186B76" w:rsidP="00A45A11">
      <w:pPr>
        <w:pStyle w:val="SingleTxtG"/>
        <w:ind w:left="1701"/>
        <w:rPr>
          <w:lang w:val="fr-CH"/>
        </w:rPr>
      </w:pPr>
      <w:r w:rsidRPr="0071782F">
        <w:rPr>
          <w:lang w:val="fr-CH"/>
        </w:rPr>
        <w:t>419.14</w:t>
      </w:r>
      <w:r w:rsidR="005D6873" w:rsidRPr="0071782F">
        <w:rPr>
          <w:lang w:val="fr-CH"/>
        </w:rPr>
        <w:t>.</w:t>
      </w:r>
      <w:r w:rsidRPr="0071782F">
        <w:rPr>
          <w:lang w:val="fr-CH"/>
        </w:rPr>
        <w:t xml:space="preserve"> </w:t>
      </w:r>
      <w:r w:rsidR="00346694" w:rsidRPr="0071782F">
        <w:rPr>
          <w:lang w:val="fr-CH"/>
        </w:rPr>
        <w:t xml:space="preserve">Poursuites judiciaires contre les établissements d’enseignement illégaux, comme l’Université </w:t>
      </w:r>
      <w:r w:rsidRPr="0071782F">
        <w:rPr>
          <w:lang w:val="fr-CH"/>
        </w:rPr>
        <w:t>Hawaii</w:t>
      </w:r>
      <w:r w:rsidR="00346694" w:rsidRPr="0071782F">
        <w:rPr>
          <w:lang w:val="fr-CH"/>
        </w:rPr>
        <w:t>, et affaires de bourses posant problème</w:t>
      </w:r>
      <w:r w:rsidRPr="0071782F">
        <w:rPr>
          <w:lang w:val="fr-CH"/>
        </w:rPr>
        <w:t>.</w:t>
      </w:r>
    </w:p>
    <w:p w:rsidR="00186B76" w:rsidRPr="0071782F" w:rsidRDefault="00186B76" w:rsidP="00A45A11">
      <w:pPr>
        <w:pStyle w:val="SingleTxtG"/>
        <w:ind w:left="1701"/>
        <w:rPr>
          <w:lang w:val="fr-CH"/>
        </w:rPr>
      </w:pPr>
      <w:r w:rsidRPr="0071782F">
        <w:rPr>
          <w:lang w:val="fr-CH"/>
        </w:rPr>
        <w:t>419.15</w:t>
      </w:r>
      <w:r w:rsidR="005D6873" w:rsidRPr="0071782F">
        <w:rPr>
          <w:lang w:val="fr-CH"/>
        </w:rPr>
        <w:t>.</w:t>
      </w:r>
      <w:r w:rsidRPr="0071782F">
        <w:rPr>
          <w:lang w:val="fr-CH"/>
        </w:rPr>
        <w:t xml:space="preserve"> </w:t>
      </w:r>
      <w:r w:rsidR="000607CA" w:rsidRPr="0071782F">
        <w:rPr>
          <w:lang w:val="fr-CH"/>
        </w:rPr>
        <w:t>Élaboration de directives sur l’é</w:t>
      </w:r>
      <w:r w:rsidRPr="0071782F">
        <w:rPr>
          <w:lang w:val="fr-CH"/>
        </w:rPr>
        <w:t xml:space="preserve">valuation </w:t>
      </w:r>
      <w:r w:rsidR="000607CA" w:rsidRPr="0071782F">
        <w:rPr>
          <w:lang w:val="fr-CH"/>
        </w:rPr>
        <w:t>des concours et festivals scientifiques</w:t>
      </w:r>
      <w:r w:rsidRPr="0071782F">
        <w:rPr>
          <w:lang w:val="fr-CH"/>
        </w:rPr>
        <w:t xml:space="preserve">, </w:t>
      </w:r>
      <w:r w:rsidR="000607CA" w:rsidRPr="0071782F">
        <w:rPr>
          <w:lang w:val="fr-CH"/>
        </w:rPr>
        <w:t>ainsi que des projets de nouveaux règlements concernant le premier diplôme universitaire, la licence, le mastère discontinu, la licence continue et les diplômes modulaires et à mi-temps</w:t>
      </w:r>
      <w:r w:rsidRPr="0071782F">
        <w:rPr>
          <w:lang w:val="fr-CH"/>
        </w:rPr>
        <w:t>.</w:t>
      </w:r>
    </w:p>
    <w:p w:rsidR="00186B76" w:rsidRPr="0071782F" w:rsidRDefault="000607CA" w:rsidP="00A45A11">
      <w:pPr>
        <w:pStyle w:val="H23G"/>
        <w:rPr>
          <w:lang w:val="fr-CH"/>
        </w:rPr>
      </w:pPr>
      <w:r w:rsidRPr="0071782F">
        <w:rPr>
          <w:lang w:val="fr-CH"/>
        </w:rPr>
        <w:tab/>
      </w:r>
      <w:r w:rsidRPr="0071782F">
        <w:rPr>
          <w:lang w:val="fr-CH"/>
        </w:rPr>
        <w:tab/>
        <w:t xml:space="preserve">Recherche </w:t>
      </w:r>
    </w:p>
    <w:p w:rsidR="00186B76" w:rsidRPr="0071782F" w:rsidRDefault="00186B76" w:rsidP="00A45A11">
      <w:pPr>
        <w:pStyle w:val="SingleTxtG"/>
        <w:rPr>
          <w:lang w:val="fr-CH"/>
        </w:rPr>
      </w:pPr>
      <w:r w:rsidRPr="0071782F">
        <w:rPr>
          <w:lang w:val="fr-CH"/>
        </w:rPr>
        <w:t>420.</w:t>
      </w:r>
      <w:r w:rsidRPr="0071782F">
        <w:rPr>
          <w:lang w:val="fr-CH"/>
        </w:rPr>
        <w:tab/>
      </w:r>
      <w:r w:rsidR="00B21024" w:rsidRPr="0071782F">
        <w:rPr>
          <w:lang w:val="fr-CH"/>
        </w:rPr>
        <w:t>À ce sujet, il convient de noter ce qui suit</w:t>
      </w:r>
      <w:r w:rsidR="008F7D33" w:rsidRPr="0071782F">
        <w:rPr>
          <w:lang w:val="fr-CH"/>
        </w:rPr>
        <w:t>:</w:t>
      </w:r>
      <w:r w:rsidR="00B21024" w:rsidRPr="0071782F">
        <w:rPr>
          <w:lang w:val="fr-CH"/>
        </w:rPr>
        <w:t xml:space="preserve"> </w:t>
      </w:r>
    </w:p>
    <w:p w:rsidR="00186B76" w:rsidRPr="0071782F" w:rsidRDefault="00186B76" w:rsidP="00A45A11">
      <w:pPr>
        <w:pStyle w:val="SingleTxtG"/>
        <w:ind w:left="1701"/>
        <w:rPr>
          <w:lang w:val="fr-CH"/>
        </w:rPr>
      </w:pPr>
      <w:r w:rsidRPr="0071782F">
        <w:rPr>
          <w:lang w:val="fr-CH"/>
        </w:rPr>
        <w:t>420.1</w:t>
      </w:r>
      <w:r w:rsidR="005D6873" w:rsidRPr="0071782F">
        <w:rPr>
          <w:lang w:val="fr-CH"/>
        </w:rPr>
        <w:t>.</w:t>
      </w:r>
      <w:r w:rsidRPr="0071782F">
        <w:rPr>
          <w:lang w:val="fr-CH"/>
        </w:rPr>
        <w:tab/>
      </w:r>
      <w:r w:rsidR="00AB7339" w:rsidRPr="0071782F">
        <w:rPr>
          <w:lang w:val="fr-CH"/>
        </w:rPr>
        <w:t xml:space="preserve">Projet de </w:t>
      </w:r>
      <w:r w:rsidRPr="0071782F">
        <w:rPr>
          <w:lang w:val="fr-CH"/>
        </w:rPr>
        <w:t xml:space="preserve">classification </w:t>
      </w:r>
      <w:r w:rsidR="00AB7339" w:rsidRPr="0071782F">
        <w:rPr>
          <w:lang w:val="fr-CH"/>
        </w:rPr>
        <w:t>et d’</w:t>
      </w:r>
      <w:r w:rsidRPr="0071782F">
        <w:rPr>
          <w:lang w:val="fr-CH"/>
        </w:rPr>
        <w:t>index</w:t>
      </w:r>
      <w:r w:rsidR="00AB7339" w:rsidRPr="0071782F">
        <w:rPr>
          <w:lang w:val="fr-CH"/>
        </w:rPr>
        <w:t>ation d’</w:t>
      </w:r>
      <w:r w:rsidR="003B1403" w:rsidRPr="0071782F">
        <w:rPr>
          <w:lang w:val="fr-CH"/>
        </w:rPr>
        <w:t xml:space="preserve">articles </w:t>
      </w:r>
      <w:r w:rsidR="00AB7339" w:rsidRPr="0071782F">
        <w:rPr>
          <w:lang w:val="fr-CH"/>
        </w:rPr>
        <w:t>et de revues intitulé L’</w:t>
      </w:r>
      <w:r w:rsidRPr="0071782F">
        <w:rPr>
          <w:lang w:val="fr-CH"/>
        </w:rPr>
        <w:t xml:space="preserve">Iran </w:t>
      </w:r>
      <w:r w:rsidR="00AB7339" w:rsidRPr="0071782F">
        <w:rPr>
          <w:lang w:val="fr-CH"/>
        </w:rPr>
        <w:t xml:space="preserve">et le Centre scientifique de données sur le monde islamique </w:t>
      </w:r>
      <w:r w:rsidRPr="0071782F">
        <w:rPr>
          <w:lang w:val="fr-CH"/>
        </w:rPr>
        <w:t>(ISC).</w:t>
      </w:r>
    </w:p>
    <w:p w:rsidR="00186B76" w:rsidRPr="0071782F" w:rsidRDefault="00186B76" w:rsidP="00A45A11">
      <w:pPr>
        <w:pStyle w:val="SingleTxtG"/>
        <w:ind w:left="1701"/>
        <w:rPr>
          <w:lang w:val="fr-CH"/>
        </w:rPr>
      </w:pPr>
      <w:r w:rsidRPr="0071782F">
        <w:rPr>
          <w:lang w:val="fr-CH"/>
        </w:rPr>
        <w:t>420.2</w:t>
      </w:r>
      <w:r w:rsidR="005D6873" w:rsidRPr="0071782F">
        <w:rPr>
          <w:lang w:val="fr-CH"/>
        </w:rPr>
        <w:t>.</w:t>
      </w:r>
      <w:r w:rsidRPr="0071782F">
        <w:rPr>
          <w:lang w:val="fr-CH"/>
        </w:rPr>
        <w:tab/>
        <w:t>A</w:t>
      </w:r>
      <w:r w:rsidR="00AB7339" w:rsidRPr="0071782F">
        <w:rPr>
          <w:lang w:val="fr-CH"/>
        </w:rPr>
        <w:t xml:space="preserve">ffectation de </w:t>
      </w:r>
      <w:r w:rsidRPr="0071782F">
        <w:rPr>
          <w:lang w:val="fr-CH"/>
        </w:rPr>
        <w:t>5</w:t>
      </w:r>
      <w:r w:rsidR="007E5125" w:rsidRPr="0071782F">
        <w:rPr>
          <w:lang w:val="fr-CH"/>
        </w:rPr>
        <w:t>%</w:t>
      </w:r>
      <w:r w:rsidR="00AB7339" w:rsidRPr="0071782F">
        <w:rPr>
          <w:lang w:val="fr-CH"/>
        </w:rPr>
        <w:t xml:space="preserve"> des recettes des université</w:t>
      </w:r>
      <w:r w:rsidRPr="0071782F">
        <w:rPr>
          <w:lang w:val="fr-CH"/>
        </w:rPr>
        <w:t xml:space="preserve">s </w:t>
      </w:r>
      <w:r w:rsidR="00AB7339" w:rsidRPr="0071782F">
        <w:rPr>
          <w:lang w:val="fr-CH"/>
        </w:rPr>
        <w:t xml:space="preserve">et centres de recherche à l’achat de nouveaux équipements. </w:t>
      </w:r>
    </w:p>
    <w:p w:rsidR="00186B76" w:rsidRPr="0071782F" w:rsidRDefault="00186B76" w:rsidP="00A45A11">
      <w:pPr>
        <w:pStyle w:val="SingleTxtG"/>
        <w:ind w:left="1701"/>
        <w:rPr>
          <w:lang w:val="fr-CH"/>
        </w:rPr>
      </w:pPr>
      <w:r w:rsidRPr="0071782F">
        <w:rPr>
          <w:lang w:val="fr-CH"/>
        </w:rPr>
        <w:t>420.3</w:t>
      </w:r>
      <w:r w:rsidR="005D6873" w:rsidRPr="0071782F">
        <w:rPr>
          <w:lang w:val="fr-CH"/>
        </w:rPr>
        <w:t>.</w:t>
      </w:r>
      <w:r w:rsidRPr="0071782F">
        <w:rPr>
          <w:lang w:val="fr-CH"/>
        </w:rPr>
        <w:tab/>
      </w:r>
      <w:r w:rsidR="00AB7339" w:rsidRPr="0071782F">
        <w:rPr>
          <w:lang w:val="fr-CH"/>
        </w:rPr>
        <w:t xml:space="preserve">Élaboration du projet de directives concernant la création de fonds de recherche et de technologie, et </w:t>
      </w:r>
      <w:r w:rsidRPr="0071782F">
        <w:rPr>
          <w:lang w:val="fr-CH"/>
        </w:rPr>
        <w:t xml:space="preserve">identification </w:t>
      </w:r>
      <w:r w:rsidR="00AB7339" w:rsidRPr="0071782F">
        <w:rPr>
          <w:lang w:val="fr-CH"/>
        </w:rPr>
        <w:t xml:space="preserve">des </w:t>
      </w:r>
      <w:r w:rsidRPr="0071782F">
        <w:rPr>
          <w:lang w:val="fr-CH"/>
        </w:rPr>
        <w:t xml:space="preserve">sources </w:t>
      </w:r>
      <w:r w:rsidR="00AB7339" w:rsidRPr="0071782F">
        <w:rPr>
          <w:lang w:val="fr-CH"/>
        </w:rPr>
        <w:t>de financement nécessaires</w:t>
      </w:r>
      <w:r w:rsidRPr="0071782F">
        <w:rPr>
          <w:lang w:val="fr-CH"/>
        </w:rPr>
        <w:t>.</w:t>
      </w:r>
    </w:p>
    <w:p w:rsidR="00186B76" w:rsidRPr="0071782F" w:rsidRDefault="00186B76" w:rsidP="00A45A11">
      <w:pPr>
        <w:pStyle w:val="SingleTxtG"/>
        <w:ind w:left="1701"/>
        <w:rPr>
          <w:lang w:val="fr-CH"/>
        </w:rPr>
      </w:pPr>
      <w:r w:rsidRPr="0071782F">
        <w:rPr>
          <w:lang w:val="fr-CH"/>
        </w:rPr>
        <w:t>420.4</w:t>
      </w:r>
      <w:r w:rsidR="005D6873" w:rsidRPr="0071782F">
        <w:rPr>
          <w:lang w:val="fr-CH"/>
        </w:rPr>
        <w:t>.</w:t>
      </w:r>
      <w:r w:rsidRPr="0071782F">
        <w:rPr>
          <w:lang w:val="fr-CH"/>
        </w:rPr>
        <w:tab/>
      </w:r>
      <w:r w:rsidR="00AB7339" w:rsidRPr="0071782F">
        <w:rPr>
          <w:lang w:val="fr-CH"/>
        </w:rPr>
        <w:t>Élaboration de directives modifiées sur l’appui aux réseaux nationaux de laboratoires spécialisés</w:t>
      </w:r>
      <w:r w:rsidRPr="0071782F">
        <w:rPr>
          <w:lang w:val="fr-CH"/>
        </w:rPr>
        <w:t>.</w:t>
      </w:r>
    </w:p>
    <w:p w:rsidR="00186B76" w:rsidRPr="0071782F" w:rsidRDefault="00186B76" w:rsidP="00A45A11">
      <w:pPr>
        <w:pStyle w:val="SingleTxtG"/>
        <w:ind w:left="1701"/>
        <w:rPr>
          <w:lang w:val="fr-CH"/>
        </w:rPr>
      </w:pPr>
      <w:r w:rsidRPr="0071782F">
        <w:rPr>
          <w:lang w:val="fr-CH"/>
        </w:rPr>
        <w:t>420.5</w:t>
      </w:r>
      <w:r w:rsidR="005D6873" w:rsidRPr="0071782F">
        <w:rPr>
          <w:lang w:val="fr-CH"/>
        </w:rPr>
        <w:t>.</w:t>
      </w:r>
      <w:r w:rsidRPr="0071782F">
        <w:rPr>
          <w:lang w:val="fr-CH"/>
        </w:rPr>
        <w:tab/>
      </w:r>
      <w:r w:rsidR="00AB7339" w:rsidRPr="0071782F">
        <w:rPr>
          <w:lang w:val="fr-CH"/>
        </w:rPr>
        <w:t>Élaboration de directives sur l’autoévaluation et l’é</w:t>
      </w:r>
      <w:r w:rsidRPr="0071782F">
        <w:rPr>
          <w:lang w:val="fr-CH"/>
        </w:rPr>
        <w:t xml:space="preserve">valuation </w:t>
      </w:r>
      <w:r w:rsidR="00AB7339" w:rsidRPr="0071782F">
        <w:rPr>
          <w:lang w:val="fr-CH"/>
        </w:rPr>
        <w:t>des publications scientifiques du pays</w:t>
      </w:r>
      <w:r w:rsidRPr="0071782F">
        <w:rPr>
          <w:lang w:val="fr-CH"/>
        </w:rPr>
        <w:t>.</w:t>
      </w:r>
    </w:p>
    <w:p w:rsidR="00186B76" w:rsidRPr="0071782F" w:rsidRDefault="00186B76" w:rsidP="00A45A11">
      <w:pPr>
        <w:pStyle w:val="SingleTxtG"/>
        <w:ind w:left="1701"/>
        <w:rPr>
          <w:lang w:val="fr-CH"/>
        </w:rPr>
      </w:pPr>
      <w:r w:rsidRPr="0071782F">
        <w:rPr>
          <w:lang w:val="fr-CH"/>
        </w:rPr>
        <w:t>420.6</w:t>
      </w:r>
      <w:r w:rsidR="005D6873" w:rsidRPr="0071782F">
        <w:rPr>
          <w:lang w:val="fr-CH"/>
        </w:rPr>
        <w:t>.</w:t>
      </w:r>
      <w:r w:rsidRPr="0071782F">
        <w:rPr>
          <w:lang w:val="fr-CH"/>
        </w:rPr>
        <w:tab/>
      </w:r>
      <w:r w:rsidR="00AB7339" w:rsidRPr="0071782F">
        <w:rPr>
          <w:lang w:val="fr-CH"/>
        </w:rPr>
        <w:t xml:space="preserve">Élaboration du document sur la recherche et la technologie du pays en vue de l’exécution du </w:t>
      </w:r>
      <w:r w:rsidR="00A90208" w:rsidRPr="0071782F">
        <w:rPr>
          <w:lang w:val="fr-CH"/>
        </w:rPr>
        <w:t>quatrième</w:t>
      </w:r>
      <w:r w:rsidR="00AB7339" w:rsidRPr="0071782F">
        <w:rPr>
          <w:lang w:val="fr-CH"/>
        </w:rPr>
        <w:t xml:space="preserve"> plan de développement</w:t>
      </w:r>
      <w:r w:rsidRPr="0071782F">
        <w:rPr>
          <w:lang w:val="fr-CH"/>
        </w:rPr>
        <w:t>, notifi</w:t>
      </w:r>
      <w:r w:rsidR="00AB7339" w:rsidRPr="0071782F">
        <w:rPr>
          <w:lang w:val="fr-CH"/>
        </w:rPr>
        <w:t xml:space="preserve">é par le Conseil des ministres et en </w:t>
      </w:r>
      <w:r w:rsidRPr="0071782F">
        <w:rPr>
          <w:lang w:val="fr-CH"/>
        </w:rPr>
        <w:t xml:space="preserve">coordination </w:t>
      </w:r>
      <w:r w:rsidR="00AB7339" w:rsidRPr="0071782F">
        <w:rPr>
          <w:lang w:val="fr-CH"/>
        </w:rPr>
        <w:t xml:space="preserve">avec l’Organisme public de gestion et de planification. Ce </w:t>
      </w:r>
      <w:r w:rsidRPr="0071782F">
        <w:rPr>
          <w:lang w:val="fr-CH"/>
        </w:rPr>
        <w:t xml:space="preserve">document </w:t>
      </w:r>
      <w:r w:rsidR="00AB7339" w:rsidRPr="0071782F">
        <w:rPr>
          <w:lang w:val="fr-CH"/>
        </w:rPr>
        <w:t>a été approuvé par le Conseil des ministres</w:t>
      </w:r>
      <w:r w:rsidRPr="0071782F">
        <w:rPr>
          <w:lang w:val="fr-CH"/>
        </w:rPr>
        <w:t>.</w:t>
      </w:r>
    </w:p>
    <w:p w:rsidR="00186B76" w:rsidRPr="0071782F" w:rsidRDefault="00186B76" w:rsidP="00A45A11">
      <w:pPr>
        <w:pStyle w:val="SingleTxtG"/>
        <w:ind w:left="1701"/>
        <w:rPr>
          <w:lang w:val="fr-CH"/>
        </w:rPr>
      </w:pPr>
      <w:r w:rsidRPr="0071782F">
        <w:rPr>
          <w:lang w:val="fr-CH"/>
        </w:rPr>
        <w:t>420.7</w:t>
      </w:r>
      <w:r w:rsidR="005D6873" w:rsidRPr="0071782F">
        <w:rPr>
          <w:lang w:val="fr-CH"/>
        </w:rPr>
        <w:t>.</w:t>
      </w:r>
      <w:r w:rsidRPr="0071782F">
        <w:rPr>
          <w:lang w:val="fr-CH"/>
        </w:rPr>
        <w:tab/>
      </w:r>
      <w:r w:rsidR="00AB7339" w:rsidRPr="0071782F">
        <w:rPr>
          <w:lang w:val="fr-CH"/>
        </w:rPr>
        <w:t>Coopé</w:t>
      </w:r>
      <w:r w:rsidRPr="0071782F">
        <w:rPr>
          <w:lang w:val="fr-CH"/>
        </w:rPr>
        <w:t xml:space="preserve">ration </w:t>
      </w:r>
      <w:r w:rsidR="00AB7339" w:rsidRPr="0071782F">
        <w:rPr>
          <w:lang w:val="fr-CH"/>
        </w:rPr>
        <w:t xml:space="preserve">active avec la direction du séminaire de </w:t>
      </w:r>
      <w:r w:rsidRPr="0071782F">
        <w:rPr>
          <w:lang w:val="fr-CH"/>
        </w:rPr>
        <w:t xml:space="preserve">Qom, </w:t>
      </w:r>
      <w:r w:rsidR="00AB7339" w:rsidRPr="0071782F">
        <w:rPr>
          <w:lang w:val="fr-CH"/>
        </w:rPr>
        <w:t>le Haut Conseil culturel de la Révolution et les centres de recherche en sciences humaines et de recherche religieuse afin d’incorporer cet important champ de la recherche dans la sphère officielle de la création de connaissances en formulant des indicateurs d’évaluation et des paramètres et normes scientifiques</w:t>
      </w:r>
      <w:r w:rsidRPr="0071782F">
        <w:rPr>
          <w:lang w:val="fr-CH"/>
        </w:rPr>
        <w:t>.</w:t>
      </w:r>
    </w:p>
    <w:p w:rsidR="00186B76" w:rsidRPr="0071782F" w:rsidRDefault="00186B76" w:rsidP="00A45A11">
      <w:pPr>
        <w:pStyle w:val="SingleTxtG"/>
        <w:ind w:left="1701"/>
        <w:rPr>
          <w:lang w:val="fr-CH"/>
        </w:rPr>
      </w:pPr>
      <w:r w:rsidRPr="0071782F">
        <w:rPr>
          <w:lang w:val="fr-CH"/>
        </w:rPr>
        <w:t>420.8</w:t>
      </w:r>
      <w:r w:rsidR="005D6873" w:rsidRPr="0071782F">
        <w:rPr>
          <w:lang w:val="fr-CH"/>
        </w:rPr>
        <w:t>.</w:t>
      </w:r>
      <w:r w:rsidRPr="0071782F">
        <w:rPr>
          <w:lang w:val="fr-CH"/>
        </w:rPr>
        <w:tab/>
      </w:r>
      <w:r w:rsidR="00AB7339" w:rsidRPr="0071782F">
        <w:rPr>
          <w:lang w:val="fr-CH"/>
        </w:rPr>
        <w:t>Première évaluation c</w:t>
      </w:r>
      <w:r w:rsidRPr="0071782F">
        <w:rPr>
          <w:lang w:val="fr-CH"/>
        </w:rPr>
        <w:t xml:space="preserve">omparative </w:t>
      </w:r>
      <w:r w:rsidR="00AB7339" w:rsidRPr="0071782F">
        <w:rPr>
          <w:lang w:val="fr-CH"/>
        </w:rPr>
        <w:t>des résultats des centres de recherche du pays, sur la base de la collecte d’</w:t>
      </w:r>
      <w:r w:rsidRPr="0071782F">
        <w:rPr>
          <w:lang w:val="fr-CH"/>
        </w:rPr>
        <w:t>information</w:t>
      </w:r>
      <w:r w:rsidR="00AB7339" w:rsidRPr="0071782F">
        <w:rPr>
          <w:lang w:val="fr-CH"/>
        </w:rPr>
        <w:t>s sur toutes les activité</w:t>
      </w:r>
      <w:r w:rsidRPr="0071782F">
        <w:rPr>
          <w:lang w:val="fr-CH"/>
        </w:rPr>
        <w:t xml:space="preserve">s </w:t>
      </w:r>
      <w:r w:rsidR="00AB7339" w:rsidRPr="0071782F">
        <w:rPr>
          <w:lang w:val="fr-CH"/>
        </w:rPr>
        <w:t>que ces centres mènent dans différents domaines</w:t>
      </w:r>
      <w:r w:rsidRPr="0071782F">
        <w:rPr>
          <w:lang w:val="fr-CH"/>
        </w:rPr>
        <w:t>.</w:t>
      </w:r>
    </w:p>
    <w:p w:rsidR="00186B76" w:rsidRPr="0071782F" w:rsidRDefault="00186B76" w:rsidP="00A45A11">
      <w:pPr>
        <w:pStyle w:val="SingleTxtG"/>
        <w:ind w:left="1701"/>
        <w:rPr>
          <w:lang w:val="fr-CH"/>
        </w:rPr>
      </w:pPr>
      <w:r w:rsidRPr="0071782F">
        <w:rPr>
          <w:lang w:val="fr-CH"/>
        </w:rPr>
        <w:t>420.9</w:t>
      </w:r>
      <w:r w:rsidR="005D6873" w:rsidRPr="0071782F">
        <w:rPr>
          <w:lang w:val="fr-CH"/>
        </w:rPr>
        <w:t>.</w:t>
      </w:r>
      <w:r w:rsidRPr="0071782F">
        <w:rPr>
          <w:lang w:val="fr-CH"/>
        </w:rPr>
        <w:tab/>
      </w:r>
      <w:r w:rsidR="00AB7339" w:rsidRPr="0071782F">
        <w:rPr>
          <w:lang w:val="fr-CH"/>
        </w:rPr>
        <w:t>Mise en place de réseaux de centres de recherche dans des domaines prioritaires, tels que l’</w:t>
      </w:r>
      <w:r w:rsidRPr="0071782F">
        <w:rPr>
          <w:lang w:val="fr-CH"/>
        </w:rPr>
        <w:t>environ</w:t>
      </w:r>
      <w:r w:rsidR="00AB7339" w:rsidRPr="0071782F">
        <w:rPr>
          <w:lang w:val="fr-CH"/>
        </w:rPr>
        <w:t>ne</w:t>
      </w:r>
      <w:r w:rsidRPr="0071782F">
        <w:rPr>
          <w:lang w:val="fr-CH"/>
        </w:rPr>
        <w:t xml:space="preserve">ment, </w:t>
      </w:r>
      <w:r w:rsidR="00AB7339" w:rsidRPr="0071782F">
        <w:rPr>
          <w:lang w:val="fr-CH"/>
        </w:rPr>
        <w:t>les biotechnologie</w:t>
      </w:r>
      <w:r w:rsidR="001B5925" w:rsidRPr="0071782F">
        <w:rPr>
          <w:lang w:val="fr-CH"/>
        </w:rPr>
        <w:t>s</w:t>
      </w:r>
      <w:r w:rsidR="00AB7339" w:rsidRPr="0071782F">
        <w:rPr>
          <w:lang w:val="fr-CH"/>
        </w:rPr>
        <w:t xml:space="preserve"> et les</w:t>
      </w:r>
      <w:r w:rsidR="00D36718">
        <w:rPr>
          <w:lang w:val="fr-CH"/>
        </w:rPr>
        <w:t xml:space="preserve"> </w:t>
      </w:r>
      <w:r w:rsidR="00AB7339" w:rsidRPr="0071782F">
        <w:rPr>
          <w:lang w:val="fr-CH"/>
        </w:rPr>
        <w:t>nanotechnologies</w:t>
      </w:r>
      <w:r w:rsidRPr="0071782F">
        <w:rPr>
          <w:lang w:val="fr-CH"/>
        </w:rPr>
        <w:t xml:space="preserve">, </w:t>
      </w:r>
      <w:r w:rsidR="00AB7339" w:rsidRPr="0071782F">
        <w:rPr>
          <w:lang w:val="fr-CH"/>
        </w:rPr>
        <w:t xml:space="preserve">afin d’éviter les activités redondantes et les désalignements et d’inciter à utiliser en commun des installations et équipements coûteux. </w:t>
      </w:r>
    </w:p>
    <w:p w:rsidR="00186B76" w:rsidRPr="0071782F" w:rsidRDefault="00186B76" w:rsidP="00A45A11">
      <w:pPr>
        <w:pStyle w:val="SingleTxtG"/>
        <w:ind w:left="1701"/>
        <w:rPr>
          <w:lang w:val="fr-CH"/>
        </w:rPr>
      </w:pPr>
      <w:r w:rsidRPr="0071782F">
        <w:rPr>
          <w:lang w:val="fr-CH"/>
        </w:rPr>
        <w:t>420.10</w:t>
      </w:r>
      <w:r w:rsidR="005D6873" w:rsidRPr="0071782F">
        <w:rPr>
          <w:lang w:val="fr-CH"/>
        </w:rPr>
        <w:t>.</w:t>
      </w:r>
      <w:r w:rsidRPr="0071782F">
        <w:rPr>
          <w:lang w:val="fr-CH"/>
        </w:rPr>
        <w:t xml:space="preserve"> </w:t>
      </w:r>
      <w:r w:rsidR="007648C7" w:rsidRPr="0071782F">
        <w:rPr>
          <w:lang w:val="fr-CH"/>
        </w:rPr>
        <w:t>Création et mise en service du Haut Secrétariat du Ministère de la s</w:t>
      </w:r>
      <w:r w:rsidRPr="0071782F">
        <w:rPr>
          <w:lang w:val="fr-CH"/>
        </w:rPr>
        <w:t xml:space="preserve">cience, </w:t>
      </w:r>
      <w:r w:rsidR="007648C7" w:rsidRPr="0071782F">
        <w:rPr>
          <w:lang w:val="fr-CH"/>
        </w:rPr>
        <w:t>de la recherche et de la technologie</w:t>
      </w:r>
      <w:r w:rsidRPr="0071782F">
        <w:rPr>
          <w:lang w:val="fr-CH"/>
        </w:rPr>
        <w:t xml:space="preserve">, </w:t>
      </w:r>
      <w:r w:rsidR="007648C7" w:rsidRPr="0071782F">
        <w:rPr>
          <w:lang w:val="fr-CH"/>
        </w:rPr>
        <w:t xml:space="preserve">en fonction des besoins réels énoncés dans la </w:t>
      </w:r>
      <w:r w:rsidRPr="0071782F">
        <w:rPr>
          <w:lang w:val="fr-CH"/>
        </w:rPr>
        <w:t>l</w:t>
      </w:r>
      <w:r w:rsidR="007648C7" w:rsidRPr="0071782F">
        <w:rPr>
          <w:lang w:val="fr-CH"/>
        </w:rPr>
        <w:t>é</w:t>
      </w:r>
      <w:r w:rsidRPr="0071782F">
        <w:rPr>
          <w:lang w:val="fr-CH"/>
        </w:rPr>
        <w:t xml:space="preserve">gislation </w:t>
      </w:r>
      <w:r w:rsidR="007648C7" w:rsidRPr="0071782F">
        <w:rPr>
          <w:lang w:val="fr-CH"/>
        </w:rPr>
        <w:t>de l’Assemblée c</w:t>
      </w:r>
      <w:r w:rsidRPr="0071782F">
        <w:rPr>
          <w:lang w:val="fr-CH"/>
        </w:rPr>
        <w:t xml:space="preserve">onsultative </w:t>
      </w:r>
      <w:r w:rsidR="007648C7" w:rsidRPr="0071782F">
        <w:rPr>
          <w:lang w:val="fr-CH"/>
        </w:rPr>
        <w:t>islamique</w:t>
      </w:r>
      <w:r w:rsidRPr="0071782F">
        <w:rPr>
          <w:lang w:val="fr-CH"/>
        </w:rPr>
        <w:t>.</w:t>
      </w:r>
    </w:p>
    <w:p w:rsidR="00186B76" w:rsidRPr="0071782F" w:rsidRDefault="00186B76" w:rsidP="00A45A11">
      <w:pPr>
        <w:pStyle w:val="SingleTxtG"/>
        <w:ind w:left="1701"/>
        <w:rPr>
          <w:lang w:val="fr-CH"/>
        </w:rPr>
      </w:pPr>
      <w:r w:rsidRPr="0071782F">
        <w:rPr>
          <w:lang w:val="fr-CH"/>
        </w:rPr>
        <w:t>420.11</w:t>
      </w:r>
      <w:r w:rsidR="005D6873" w:rsidRPr="0071782F">
        <w:rPr>
          <w:lang w:val="fr-CH"/>
        </w:rPr>
        <w:t>.</w:t>
      </w:r>
      <w:r w:rsidRPr="0071782F">
        <w:rPr>
          <w:lang w:val="fr-CH"/>
        </w:rPr>
        <w:t xml:space="preserve"> </w:t>
      </w:r>
      <w:r w:rsidR="007648C7" w:rsidRPr="0071782F">
        <w:rPr>
          <w:lang w:val="fr-CH"/>
        </w:rPr>
        <w:t xml:space="preserve">Conception, sur ordre du Haut Secrétariat du Ministère de la science, de la recherche et de la technologie, de la banque de données scientifiques et </w:t>
      </w:r>
      <w:r w:rsidRPr="0071782F">
        <w:rPr>
          <w:lang w:val="fr-CH"/>
        </w:rPr>
        <w:t>technologi</w:t>
      </w:r>
      <w:r w:rsidR="007648C7" w:rsidRPr="0071782F">
        <w:rPr>
          <w:lang w:val="fr-CH"/>
        </w:rPr>
        <w:t>ques du pays</w:t>
      </w:r>
      <w:r w:rsidRPr="0071782F">
        <w:rPr>
          <w:lang w:val="fr-CH"/>
        </w:rPr>
        <w:t>.</w:t>
      </w:r>
    </w:p>
    <w:p w:rsidR="00186B76" w:rsidRPr="0071782F" w:rsidRDefault="00186B76" w:rsidP="00A45A11">
      <w:pPr>
        <w:pStyle w:val="SingleTxtG"/>
        <w:ind w:left="1701"/>
        <w:rPr>
          <w:lang w:val="fr-CH"/>
        </w:rPr>
      </w:pPr>
      <w:r w:rsidRPr="0071782F">
        <w:rPr>
          <w:lang w:val="fr-CH"/>
        </w:rPr>
        <w:t>420.12</w:t>
      </w:r>
      <w:r w:rsidR="005D6873" w:rsidRPr="0071782F">
        <w:rPr>
          <w:lang w:val="fr-CH"/>
        </w:rPr>
        <w:t>.</w:t>
      </w:r>
      <w:r w:rsidRPr="0071782F">
        <w:rPr>
          <w:lang w:val="fr-CH"/>
        </w:rPr>
        <w:t xml:space="preserve"> D</w:t>
      </w:r>
      <w:r w:rsidR="00C86BDE" w:rsidRPr="0071782F">
        <w:rPr>
          <w:lang w:val="fr-CH"/>
        </w:rPr>
        <w:t>é</w:t>
      </w:r>
      <w:r w:rsidRPr="0071782F">
        <w:rPr>
          <w:lang w:val="fr-CH"/>
        </w:rPr>
        <w:t xml:space="preserve">termination </w:t>
      </w:r>
      <w:r w:rsidR="00C86BDE" w:rsidRPr="0071782F">
        <w:rPr>
          <w:lang w:val="fr-CH"/>
        </w:rPr>
        <w:t>de la capacité de recherche du pays et présentation au Conseil des ministres et à l’Organisme public de gestion et de planification d’un projet de budget de recherche pour 2007.</w:t>
      </w:r>
    </w:p>
    <w:p w:rsidR="00186B76" w:rsidRPr="0071782F" w:rsidRDefault="00186B76" w:rsidP="00A45A11">
      <w:pPr>
        <w:pStyle w:val="SingleTxtG"/>
        <w:ind w:left="1701"/>
        <w:rPr>
          <w:lang w:val="fr-CH"/>
        </w:rPr>
      </w:pPr>
      <w:r w:rsidRPr="0071782F">
        <w:rPr>
          <w:lang w:val="fr-CH"/>
        </w:rPr>
        <w:t>420.13</w:t>
      </w:r>
      <w:r w:rsidR="005D6873" w:rsidRPr="0071782F">
        <w:rPr>
          <w:lang w:val="fr-CH"/>
        </w:rPr>
        <w:t>.</w:t>
      </w:r>
      <w:r w:rsidRPr="0071782F">
        <w:rPr>
          <w:lang w:val="fr-CH"/>
        </w:rPr>
        <w:t xml:space="preserve"> </w:t>
      </w:r>
      <w:r w:rsidR="00C86BDE" w:rsidRPr="0071782F">
        <w:rPr>
          <w:lang w:val="fr-CH"/>
        </w:rPr>
        <w:t>Définition des priorités du pays en matière de recherche et de technologie</w:t>
      </w:r>
      <w:r w:rsidRPr="0071782F">
        <w:rPr>
          <w:lang w:val="fr-CH"/>
        </w:rPr>
        <w:t xml:space="preserve">, </w:t>
      </w:r>
      <w:r w:rsidR="00C86BDE" w:rsidRPr="0071782F">
        <w:rPr>
          <w:lang w:val="fr-CH"/>
        </w:rPr>
        <w:t xml:space="preserve">et établissement de liens entre les organismes d’exécution et les centres de recherche et de technologie </w:t>
      </w:r>
      <w:r w:rsidRPr="0071782F">
        <w:rPr>
          <w:lang w:val="fr-CH"/>
        </w:rPr>
        <w:t>capable</w:t>
      </w:r>
      <w:r w:rsidR="00C86BDE" w:rsidRPr="0071782F">
        <w:rPr>
          <w:lang w:val="fr-CH"/>
        </w:rPr>
        <w:t>s</w:t>
      </w:r>
      <w:r w:rsidRPr="0071782F">
        <w:rPr>
          <w:lang w:val="fr-CH"/>
        </w:rPr>
        <w:t xml:space="preserve"> </w:t>
      </w:r>
      <w:r w:rsidR="00C86BDE" w:rsidRPr="0071782F">
        <w:rPr>
          <w:lang w:val="fr-CH"/>
        </w:rPr>
        <w:t>de répondre à leurs besoins en vue de la conclusion de contrats.</w:t>
      </w:r>
    </w:p>
    <w:p w:rsidR="00186B76" w:rsidRPr="0071782F" w:rsidRDefault="00186B76" w:rsidP="00A45A11">
      <w:pPr>
        <w:pStyle w:val="SingleTxtG"/>
        <w:ind w:left="1701"/>
        <w:rPr>
          <w:lang w:val="fr-CH"/>
        </w:rPr>
      </w:pPr>
      <w:r w:rsidRPr="0071782F">
        <w:rPr>
          <w:lang w:val="fr-CH"/>
        </w:rPr>
        <w:t>420.14</w:t>
      </w:r>
      <w:r w:rsidR="005D6873" w:rsidRPr="0071782F">
        <w:rPr>
          <w:lang w:val="fr-CH"/>
        </w:rPr>
        <w:t>.</w:t>
      </w:r>
      <w:r w:rsidRPr="0071782F">
        <w:rPr>
          <w:lang w:val="fr-CH"/>
        </w:rPr>
        <w:t xml:space="preserve"> </w:t>
      </w:r>
      <w:r w:rsidR="00210186" w:rsidRPr="0071782F">
        <w:rPr>
          <w:lang w:val="fr-CH"/>
        </w:rPr>
        <w:t xml:space="preserve">Dans le domaine de l’ingénierie, par exemple, le Ministère a signé un contrat avec trois universités pour la conception, la </w:t>
      </w:r>
      <w:r w:rsidRPr="0071782F">
        <w:rPr>
          <w:lang w:val="fr-CH"/>
        </w:rPr>
        <w:t xml:space="preserve">construction </w:t>
      </w:r>
      <w:r w:rsidR="00210186" w:rsidRPr="0071782F">
        <w:rPr>
          <w:lang w:val="fr-CH"/>
        </w:rPr>
        <w:t xml:space="preserve">et le lancement de trois petits </w:t>
      </w:r>
      <w:r w:rsidRPr="0071782F">
        <w:rPr>
          <w:lang w:val="fr-CH"/>
        </w:rPr>
        <w:t>satellites.</w:t>
      </w:r>
    </w:p>
    <w:p w:rsidR="00186B76" w:rsidRPr="0071782F" w:rsidRDefault="00186B76" w:rsidP="00A45A11">
      <w:pPr>
        <w:pStyle w:val="SingleTxtG"/>
        <w:ind w:left="1701"/>
        <w:rPr>
          <w:lang w:val="fr-CH"/>
        </w:rPr>
      </w:pPr>
      <w:r w:rsidRPr="0071782F">
        <w:rPr>
          <w:lang w:val="fr-CH"/>
        </w:rPr>
        <w:t>420.15</w:t>
      </w:r>
      <w:r w:rsidR="005D6873" w:rsidRPr="0071782F">
        <w:rPr>
          <w:lang w:val="fr-CH"/>
        </w:rPr>
        <w:t>.</w:t>
      </w:r>
      <w:r w:rsidRPr="0071782F">
        <w:rPr>
          <w:lang w:val="fr-CH"/>
        </w:rPr>
        <w:t xml:space="preserve"> </w:t>
      </w:r>
      <w:r w:rsidR="00210186" w:rsidRPr="0071782F">
        <w:rPr>
          <w:lang w:val="fr-CH"/>
        </w:rPr>
        <w:t>Autre exemple</w:t>
      </w:r>
      <w:r w:rsidR="008F7D33" w:rsidRPr="0071782F">
        <w:rPr>
          <w:lang w:val="fr-CH"/>
        </w:rPr>
        <w:t>:</w:t>
      </w:r>
      <w:r w:rsidR="00210186" w:rsidRPr="0071782F">
        <w:rPr>
          <w:lang w:val="fr-CH"/>
        </w:rPr>
        <w:t xml:space="preserve"> dans le domaine de la </w:t>
      </w:r>
      <w:r w:rsidRPr="0071782F">
        <w:rPr>
          <w:lang w:val="fr-CH"/>
        </w:rPr>
        <w:t xml:space="preserve">culture, </w:t>
      </w:r>
      <w:r w:rsidR="00210186" w:rsidRPr="0071782F">
        <w:rPr>
          <w:lang w:val="fr-CH"/>
        </w:rPr>
        <w:t xml:space="preserve">le lancement par des centres de recherche et des universités du pays de recherches sur la </w:t>
      </w:r>
      <w:r w:rsidRPr="0071782F">
        <w:rPr>
          <w:lang w:val="fr-CH"/>
        </w:rPr>
        <w:t xml:space="preserve">culture </w:t>
      </w:r>
      <w:r w:rsidR="00210186" w:rsidRPr="0071782F">
        <w:rPr>
          <w:lang w:val="fr-CH"/>
        </w:rPr>
        <w:t xml:space="preserve">et la </w:t>
      </w:r>
      <w:r w:rsidRPr="0071782F">
        <w:rPr>
          <w:lang w:val="fr-CH"/>
        </w:rPr>
        <w:t>civili</w:t>
      </w:r>
      <w:r w:rsidR="00210186" w:rsidRPr="0071782F">
        <w:rPr>
          <w:lang w:val="fr-CH"/>
        </w:rPr>
        <w:t>s</w:t>
      </w:r>
      <w:r w:rsidRPr="0071782F">
        <w:rPr>
          <w:lang w:val="fr-CH"/>
        </w:rPr>
        <w:t xml:space="preserve">ation </w:t>
      </w:r>
      <w:r w:rsidR="00210186" w:rsidRPr="0071782F">
        <w:rPr>
          <w:lang w:val="fr-CH"/>
        </w:rPr>
        <w:t>islamiques, et la coopération professionnelle entre ces établissements et le Haut Conseil culturel de la Révolution</w:t>
      </w:r>
      <w:r w:rsidRPr="0071782F">
        <w:rPr>
          <w:lang w:val="fr-CH"/>
        </w:rPr>
        <w:t>.</w:t>
      </w:r>
    </w:p>
    <w:p w:rsidR="00186B76" w:rsidRPr="0071782F" w:rsidRDefault="00186B76" w:rsidP="00A45A11">
      <w:pPr>
        <w:pStyle w:val="SingleTxtG"/>
        <w:ind w:left="1701"/>
        <w:rPr>
          <w:lang w:val="fr-CH"/>
        </w:rPr>
      </w:pPr>
      <w:r w:rsidRPr="0071782F">
        <w:rPr>
          <w:lang w:val="fr-CH"/>
        </w:rPr>
        <w:t>420.16</w:t>
      </w:r>
      <w:r w:rsidR="005D6873" w:rsidRPr="0071782F">
        <w:rPr>
          <w:lang w:val="fr-CH"/>
        </w:rPr>
        <w:t>.</w:t>
      </w:r>
      <w:r w:rsidR="00210186" w:rsidRPr="0071782F">
        <w:rPr>
          <w:lang w:val="fr-CH"/>
        </w:rPr>
        <w:t xml:space="preserve"> Planification et conception du projet de classement des universités du monde islamique</w:t>
      </w:r>
      <w:r w:rsidRPr="0071782F">
        <w:rPr>
          <w:lang w:val="fr-CH"/>
        </w:rPr>
        <w:t>.</w:t>
      </w:r>
    </w:p>
    <w:p w:rsidR="00186B76" w:rsidRPr="0071782F" w:rsidRDefault="00186B76" w:rsidP="00A45A11">
      <w:pPr>
        <w:pStyle w:val="H23G"/>
        <w:rPr>
          <w:lang w:val="fr-CH"/>
        </w:rPr>
      </w:pPr>
      <w:r w:rsidRPr="0071782F">
        <w:rPr>
          <w:lang w:val="fr-CH"/>
        </w:rPr>
        <w:tab/>
      </w:r>
      <w:r w:rsidRPr="0071782F">
        <w:rPr>
          <w:lang w:val="fr-CH"/>
        </w:rPr>
        <w:tab/>
      </w:r>
      <w:r w:rsidR="00210186" w:rsidRPr="0071782F">
        <w:rPr>
          <w:lang w:val="fr-CH"/>
        </w:rPr>
        <w:t xml:space="preserve">Étudiants </w:t>
      </w:r>
    </w:p>
    <w:p w:rsidR="00186B76" w:rsidRPr="0071782F" w:rsidRDefault="00186B76" w:rsidP="00A45A11">
      <w:pPr>
        <w:pStyle w:val="SingleTxtG"/>
        <w:rPr>
          <w:lang w:val="fr-CH"/>
        </w:rPr>
      </w:pPr>
      <w:r w:rsidRPr="0071782F">
        <w:rPr>
          <w:lang w:val="fr-CH"/>
        </w:rPr>
        <w:t>421.</w:t>
      </w:r>
      <w:r w:rsidRPr="0071782F">
        <w:rPr>
          <w:lang w:val="fr-CH"/>
        </w:rPr>
        <w:tab/>
      </w:r>
      <w:r w:rsidR="0001346D" w:rsidRPr="0071782F">
        <w:rPr>
          <w:lang w:val="fr-CH"/>
        </w:rPr>
        <w:t>À ce sujet, il convient de noter ce qui suit</w:t>
      </w:r>
      <w:r w:rsidR="008F7D33" w:rsidRPr="0071782F">
        <w:rPr>
          <w:lang w:val="fr-CH"/>
        </w:rPr>
        <w:t>:</w:t>
      </w:r>
    </w:p>
    <w:p w:rsidR="00186B76" w:rsidRPr="0071782F" w:rsidRDefault="00186B76" w:rsidP="00A45A11">
      <w:pPr>
        <w:pStyle w:val="SingleTxtG"/>
        <w:ind w:left="1701"/>
        <w:rPr>
          <w:lang w:val="fr-CH"/>
        </w:rPr>
      </w:pPr>
      <w:r w:rsidRPr="0071782F">
        <w:rPr>
          <w:lang w:val="fr-CH"/>
        </w:rPr>
        <w:t>421.1</w:t>
      </w:r>
      <w:r w:rsidR="005D6873" w:rsidRPr="0071782F">
        <w:rPr>
          <w:lang w:val="fr-CH"/>
        </w:rPr>
        <w:t>.</w:t>
      </w:r>
      <w:r w:rsidRPr="0071782F">
        <w:rPr>
          <w:lang w:val="fr-CH"/>
        </w:rPr>
        <w:tab/>
      </w:r>
      <w:r w:rsidR="008E28EE" w:rsidRPr="0071782F">
        <w:rPr>
          <w:lang w:val="fr-CH"/>
        </w:rPr>
        <w:t xml:space="preserve">Versement de </w:t>
      </w:r>
      <w:r w:rsidRPr="0071782F">
        <w:rPr>
          <w:lang w:val="fr-CH"/>
        </w:rPr>
        <w:t>3</w:t>
      </w:r>
      <w:r w:rsidR="00707DCC">
        <w:rPr>
          <w:lang w:val="fr-CH"/>
        </w:rPr>
        <w:t> </w:t>
      </w:r>
      <w:r w:rsidRPr="0071782F">
        <w:rPr>
          <w:lang w:val="fr-CH"/>
        </w:rPr>
        <w:t xml:space="preserve">547 </w:t>
      </w:r>
      <w:r w:rsidR="008E28EE" w:rsidRPr="0071782F">
        <w:rPr>
          <w:lang w:val="fr-CH"/>
        </w:rPr>
        <w:t>prêts au titre du mariage</w:t>
      </w:r>
      <w:r w:rsidRPr="0071782F">
        <w:rPr>
          <w:lang w:val="fr-CH"/>
        </w:rPr>
        <w:t xml:space="preserve">, </w:t>
      </w:r>
      <w:r w:rsidR="008E28EE" w:rsidRPr="0071782F">
        <w:rPr>
          <w:lang w:val="fr-CH"/>
        </w:rPr>
        <w:t>de 7</w:t>
      </w:r>
      <w:r w:rsidR="00707DCC">
        <w:rPr>
          <w:lang w:val="fr-CH"/>
        </w:rPr>
        <w:t> </w:t>
      </w:r>
      <w:r w:rsidRPr="0071782F">
        <w:rPr>
          <w:lang w:val="fr-CH"/>
        </w:rPr>
        <w:t xml:space="preserve">276 </w:t>
      </w:r>
      <w:r w:rsidR="008E28EE" w:rsidRPr="0071782F">
        <w:rPr>
          <w:lang w:val="fr-CH"/>
        </w:rPr>
        <w:t>prêts d’urgence</w:t>
      </w:r>
      <w:r w:rsidRPr="0071782F">
        <w:rPr>
          <w:lang w:val="fr-CH"/>
        </w:rPr>
        <w:t xml:space="preserve">, </w:t>
      </w:r>
      <w:r w:rsidR="008E28EE" w:rsidRPr="0071782F">
        <w:rPr>
          <w:lang w:val="fr-CH"/>
        </w:rPr>
        <w:t xml:space="preserve">de </w:t>
      </w:r>
      <w:r w:rsidRPr="0071782F">
        <w:rPr>
          <w:lang w:val="fr-CH"/>
        </w:rPr>
        <w:t>83</w:t>
      </w:r>
      <w:r w:rsidR="003B1403" w:rsidRPr="0071782F">
        <w:rPr>
          <w:lang w:val="fr-CH"/>
        </w:rPr>
        <w:t> </w:t>
      </w:r>
      <w:r w:rsidRPr="0071782F">
        <w:rPr>
          <w:lang w:val="fr-CH"/>
        </w:rPr>
        <w:t xml:space="preserve">234 </w:t>
      </w:r>
      <w:r w:rsidR="008E28EE" w:rsidRPr="0071782F">
        <w:rPr>
          <w:lang w:val="fr-CH"/>
        </w:rPr>
        <w:t>prêts pour études</w:t>
      </w:r>
      <w:r w:rsidRPr="0071782F">
        <w:rPr>
          <w:lang w:val="fr-CH"/>
        </w:rPr>
        <w:t xml:space="preserve">, </w:t>
      </w:r>
      <w:r w:rsidR="008E28EE" w:rsidRPr="0071782F">
        <w:rPr>
          <w:lang w:val="fr-CH"/>
        </w:rPr>
        <w:t xml:space="preserve">de </w:t>
      </w:r>
      <w:r w:rsidRPr="0071782F">
        <w:rPr>
          <w:lang w:val="fr-CH"/>
        </w:rPr>
        <w:t xml:space="preserve">952 </w:t>
      </w:r>
      <w:r w:rsidR="008E28EE" w:rsidRPr="0071782F">
        <w:rPr>
          <w:lang w:val="fr-CH"/>
        </w:rPr>
        <w:t>p</w:t>
      </w:r>
      <w:r w:rsidRPr="0071782F">
        <w:rPr>
          <w:lang w:val="fr-CH"/>
        </w:rPr>
        <w:t>r</w:t>
      </w:r>
      <w:r w:rsidR="008E28EE" w:rsidRPr="0071782F">
        <w:rPr>
          <w:lang w:val="fr-CH"/>
        </w:rPr>
        <w:t>êts destinés à financer un dépôt de garantie pour un loyer</w:t>
      </w:r>
      <w:r w:rsidRPr="0071782F">
        <w:rPr>
          <w:lang w:val="fr-CH"/>
        </w:rPr>
        <w:t xml:space="preserve">, </w:t>
      </w:r>
      <w:r w:rsidR="008E28EE" w:rsidRPr="0071782F">
        <w:rPr>
          <w:lang w:val="fr-CH"/>
        </w:rPr>
        <w:t xml:space="preserve">de </w:t>
      </w:r>
      <w:r w:rsidRPr="0071782F">
        <w:rPr>
          <w:lang w:val="fr-CH"/>
        </w:rPr>
        <w:t>7</w:t>
      </w:r>
      <w:r w:rsidR="00707DCC">
        <w:rPr>
          <w:lang w:val="fr-CH"/>
        </w:rPr>
        <w:t> </w:t>
      </w:r>
      <w:r w:rsidRPr="0071782F">
        <w:rPr>
          <w:lang w:val="fr-CH"/>
        </w:rPr>
        <w:t xml:space="preserve">457 </w:t>
      </w:r>
      <w:r w:rsidR="008E28EE" w:rsidRPr="0071782F">
        <w:rPr>
          <w:lang w:val="fr-CH"/>
        </w:rPr>
        <w:t>prêts destinés à financer une assurance médicale</w:t>
      </w:r>
      <w:r w:rsidRPr="0071782F">
        <w:rPr>
          <w:lang w:val="fr-CH"/>
        </w:rPr>
        <w:t xml:space="preserve">, </w:t>
      </w:r>
      <w:r w:rsidR="008E28EE" w:rsidRPr="0071782F">
        <w:rPr>
          <w:lang w:val="fr-CH"/>
        </w:rPr>
        <w:t xml:space="preserve">de </w:t>
      </w:r>
      <w:r w:rsidRPr="0071782F">
        <w:rPr>
          <w:lang w:val="fr-CH"/>
        </w:rPr>
        <w:t>3</w:t>
      </w:r>
      <w:r w:rsidR="008E28EE" w:rsidRPr="0071782F">
        <w:rPr>
          <w:lang w:val="fr-CH"/>
        </w:rPr>
        <w:t> </w:t>
      </w:r>
      <w:r w:rsidRPr="0071782F">
        <w:rPr>
          <w:lang w:val="fr-CH"/>
        </w:rPr>
        <w:t xml:space="preserve">158 </w:t>
      </w:r>
      <w:r w:rsidR="008E28EE" w:rsidRPr="0071782F">
        <w:rPr>
          <w:lang w:val="fr-CH"/>
        </w:rPr>
        <w:t>prêts pour études et prêts d’urgence pour étudiants brillants</w:t>
      </w:r>
      <w:r w:rsidRPr="0071782F">
        <w:rPr>
          <w:lang w:val="fr-CH"/>
        </w:rPr>
        <w:t>, champions</w:t>
      </w:r>
      <w:r w:rsidR="008E28EE" w:rsidRPr="0071782F">
        <w:rPr>
          <w:lang w:val="fr-CH"/>
        </w:rPr>
        <w:t xml:space="preserve"> sportifs et innovateurs</w:t>
      </w:r>
      <w:r w:rsidRPr="0071782F">
        <w:rPr>
          <w:lang w:val="fr-CH"/>
        </w:rPr>
        <w:t xml:space="preserve">, </w:t>
      </w:r>
      <w:r w:rsidR="008E28EE" w:rsidRPr="0071782F">
        <w:rPr>
          <w:lang w:val="fr-CH"/>
        </w:rPr>
        <w:t xml:space="preserve">et de </w:t>
      </w:r>
      <w:r w:rsidRPr="0071782F">
        <w:rPr>
          <w:lang w:val="fr-CH"/>
        </w:rPr>
        <w:t>30</w:t>
      </w:r>
      <w:r w:rsidR="00707DCC">
        <w:rPr>
          <w:lang w:val="fr-CH"/>
        </w:rPr>
        <w:t> </w:t>
      </w:r>
      <w:r w:rsidRPr="0071782F">
        <w:rPr>
          <w:lang w:val="fr-CH"/>
        </w:rPr>
        <w:t xml:space="preserve">311 </w:t>
      </w:r>
      <w:r w:rsidR="008E28EE" w:rsidRPr="0071782F">
        <w:rPr>
          <w:lang w:val="fr-CH"/>
        </w:rPr>
        <w:t>prêts destinés à financer les frais d’inscription d’étudiants souhaitant suivre des cours du soir et les cours d’établissements sans but lucratif</w:t>
      </w:r>
      <w:r w:rsidRPr="0071782F">
        <w:rPr>
          <w:lang w:val="fr-CH"/>
        </w:rPr>
        <w:t xml:space="preserve">. </w:t>
      </w:r>
    </w:p>
    <w:p w:rsidR="00186B76" w:rsidRPr="0071782F" w:rsidRDefault="00186B76" w:rsidP="00A45A11">
      <w:pPr>
        <w:pStyle w:val="SingleTxtG"/>
        <w:ind w:left="1701"/>
        <w:rPr>
          <w:lang w:val="fr-CH"/>
        </w:rPr>
      </w:pPr>
      <w:r w:rsidRPr="0071782F">
        <w:rPr>
          <w:lang w:val="fr-CH"/>
        </w:rPr>
        <w:t>421.2</w:t>
      </w:r>
      <w:r w:rsidR="005D6873" w:rsidRPr="0071782F">
        <w:rPr>
          <w:lang w:val="fr-CH"/>
        </w:rPr>
        <w:t>.</w:t>
      </w:r>
      <w:r w:rsidRPr="0071782F">
        <w:rPr>
          <w:lang w:val="fr-CH"/>
        </w:rPr>
        <w:tab/>
      </w:r>
      <w:r w:rsidR="0083216D" w:rsidRPr="0071782F">
        <w:rPr>
          <w:lang w:val="fr-CH"/>
        </w:rPr>
        <w:t>Égalis</w:t>
      </w:r>
      <w:r w:rsidR="0001346D" w:rsidRPr="0071782F">
        <w:rPr>
          <w:lang w:val="fr-CH"/>
        </w:rPr>
        <w:t xml:space="preserve">ation </w:t>
      </w:r>
      <w:r w:rsidR="0083216D" w:rsidRPr="0071782F">
        <w:rPr>
          <w:lang w:val="fr-CH"/>
        </w:rPr>
        <w:t xml:space="preserve">du coût des services fournis aux étudiants suivant des cours de jour et des cours du soir à partir de l’année universitaire </w:t>
      </w:r>
      <w:r w:rsidRPr="0071782F">
        <w:rPr>
          <w:lang w:val="fr-CH"/>
        </w:rPr>
        <w:t>2006</w:t>
      </w:r>
      <w:r w:rsidR="0083216D" w:rsidRPr="0071782F">
        <w:rPr>
          <w:lang w:val="fr-CH"/>
        </w:rPr>
        <w:t>-</w:t>
      </w:r>
      <w:r w:rsidRPr="0071782F">
        <w:rPr>
          <w:lang w:val="fr-CH"/>
        </w:rPr>
        <w:t>2007.</w:t>
      </w:r>
    </w:p>
    <w:p w:rsidR="00186B76" w:rsidRPr="0071782F" w:rsidRDefault="00186B76" w:rsidP="00A45A11">
      <w:pPr>
        <w:pStyle w:val="SingleTxtG"/>
        <w:ind w:left="1701"/>
        <w:rPr>
          <w:lang w:val="fr-CH"/>
        </w:rPr>
      </w:pPr>
      <w:r w:rsidRPr="0071782F">
        <w:rPr>
          <w:lang w:val="fr-CH"/>
        </w:rPr>
        <w:t>421.3</w:t>
      </w:r>
      <w:r w:rsidR="005D6873" w:rsidRPr="0071782F">
        <w:rPr>
          <w:lang w:val="fr-CH"/>
        </w:rPr>
        <w:t>.</w:t>
      </w:r>
      <w:r w:rsidRPr="0071782F">
        <w:rPr>
          <w:lang w:val="fr-CH"/>
        </w:rPr>
        <w:tab/>
      </w:r>
      <w:r w:rsidR="001B081B" w:rsidRPr="0071782F">
        <w:rPr>
          <w:lang w:val="fr-CH"/>
        </w:rPr>
        <w:t>I</w:t>
      </w:r>
      <w:r w:rsidRPr="0071782F">
        <w:rPr>
          <w:lang w:val="fr-CH"/>
        </w:rPr>
        <w:t xml:space="preserve">nspection </w:t>
      </w:r>
      <w:r w:rsidR="001B081B" w:rsidRPr="0071782F">
        <w:rPr>
          <w:lang w:val="fr-CH"/>
        </w:rPr>
        <w:t xml:space="preserve">périodique des résidences, </w:t>
      </w:r>
      <w:r w:rsidRPr="0071782F">
        <w:rPr>
          <w:lang w:val="fr-CH"/>
        </w:rPr>
        <w:t>caf</w:t>
      </w:r>
      <w:r w:rsidR="001B081B" w:rsidRPr="0071782F">
        <w:rPr>
          <w:lang w:val="fr-CH"/>
        </w:rPr>
        <w:t>é</w:t>
      </w:r>
      <w:r w:rsidRPr="0071782F">
        <w:rPr>
          <w:lang w:val="fr-CH"/>
        </w:rPr>
        <w:t>t</w:t>
      </w:r>
      <w:r w:rsidR="001B081B" w:rsidRPr="0071782F">
        <w:rPr>
          <w:lang w:val="fr-CH"/>
        </w:rPr>
        <w:t>é</w:t>
      </w:r>
      <w:r w:rsidRPr="0071782F">
        <w:rPr>
          <w:lang w:val="fr-CH"/>
        </w:rPr>
        <w:t>rias</w:t>
      </w:r>
      <w:r w:rsidR="001B081B" w:rsidRPr="0071782F">
        <w:rPr>
          <w:lang w:val="fr-CH"/>
        </w:rPr>
        <w:t xml:space="preserve"> et installations </w:t>
      </w:r>
      <w:r w:rsidRPr="0071782F">
        <w:rPr>
          <w:lang w:val="fr-CH"/>
        </w:rPr>
        <w:t>sport</w:t>
      </w:r>
      <w:r w:rsidR="001B081B" w:rsidRPr="0071782F">
        <w:rPr>
          <w:lang w:val="fr-CH"/>
        </w:rPr>
        <w:t>ive</w:t>
      </w:r>
      <w:r w:rsidRPr="0071782F">
        <w:rPr>
          <w:lang w:val="fr-CH"/>
        </w:rPr>
        <w:t xml:space="preserve">s </w:t>
      </w:r>
      <w:r w:rsidR="001B081B" w:rsidRPr="0071782F">
        <w:rPr>
          <w:lang w:val="fr-CH"/>
        </w:rPr>
        <w:t>des universités, conformément à un calendrier préétabli, et visites effectuées dans les provinces par le Conseil des ministres afin de contrôler le travail des universités dans ces domaines</w:t>
      </w:r>
      <w:r w:rsidRPr="0071782F">
        <w:rPr>
          <w:lang w:val="fr-CH"/>
        </w:rPr>
        <w:t>.</w:t>
      </w:r>
    </w:p>
    <w:p w:rsidR="00186B76" w:rsidRPr="0071782F" w:rsidRDefault="00186B76" w:rsidP="00A45A11">
      <w:pPr>
        <w:pStyle w:val="SingleTxtG"/>
        <w:ind w:left="1701"/>
        <w:rPr>
          <w:lang w:val="fr-CH"/>
        </w:rPr>
      </w:pPr>
      <w:r w:rsidRPr="0071782F">
        <w:rPr>
          <w:lang w:val="fr-CH"/>
        </w:rPr>
        <w:t>421.4</w:t>
      </w:r>
      <w:r w:rsidR="005D6873" w:rsidRPr="0071782F">
        <w:rPr>
          <w:lang w:val="fr-CH"/>
        </w:rPr>
        <w:t>.</w:t>
      </w:r>
      <w:r w:rsidRPr="0071782F">
        <w:rPr>
          <w:lang w:val="fr-CH"/>
        </w:rPr>
        <w:tab/>
      </w:r>
      <w:r w:rsidR="001B081B" w:rsidRPr="0071782F">
        <w:rPr>
          <w:lang w:val="fr-CH"/>
        </w:rPr>
        <w:t>Élaboration et adoption du nouveau règlement sur l’inscription d’étudiants étrangers visant à faciliter leur inscription et à augmenter leur allocation mensuelle</w:t>
      </w:r>
      <w:r w:rsidRPr="0071782F">
        <w:rPr>
          <w:lang w:val="fr-CH"/>
        </w:rPr>
        <w:t>.</w:t>
      </w:r>
    </w:p>
    <w:p w:rsidR="00186B76" w:rsidRPr="0071782F" w:rsidRDefault="00186B76" w:rsidP="00A45A11">
      <w:pPr>
        <w:pStyle w:val="SingleTxtG"/>
        <w:ind w:left="1701"/>
        <w:rPr>
          <w:lang w:val="fr-CH"/>
        </w:rPr>
      </w:pPr>
      <w:r w:rsidRPr="0071782F">
        <w:rPr>
          <w:lang w:val="fr-CH"/>
        </w:rPr>
        <w:t>421.5</w:t>
      </w:r>
      <w:r w:rsidR="005D6873" w:rsidRPr="0071782F">
        <w:rPr>
          <w:lang w:val="fr-CH"/>
        </w:rPr>
        <w:t>.</w:t>
      </w:r>
      <w:r w:rsidRPr="0071782F">
        <w:rPr>
          <w:lang w:val="fr-CH"/>
        </w:rPr>
        <w:tab/>
        <w:t>Organi</w:t>
      </w:r>
      <w:r w:rsidR="001B081B" w:rsidRPr="0071782F">
        <w:rPr>
          <w:lang w:val="fr-CH"/>
        </w:rPr>
        <w:t>s</w:t>
      </w:r>
      <w:r w:rsidRPr="0071782F">
        <w:rPr>
          <w:lang w:val="fr-CH"/>
        </w:rPr>
        <w:t xml:space="preserve">ation </w:t>
      </w:r>
      <w:r w:rsidR="001B081B" w:rsidRPr="0071782F">
        <w:rPr>
          <w:lang w:val="fr-CH"/>
        </w:rPr>
        <w:t xml:space="preserve">du premier </w:t>
      </w:r>
      <w:r w:rsidRPr="0071782F">
        <w:rPr>
          <w:lang w:val="fr-CH"/>
        </w:rPr>
        <w:t xml:space="preserve">festival </w:t>
      </w:r>
      <w:r w:rsidR="001B081B" w:rsidRPr="0071782F">
        <w:rPr>
          <w:lang w:val="fr-CH"/>
        </w:rPr>
        <w:t xml:space="preserve">des </w:t>
      </w:r>
      <w:r w:rsidRPr="0071782F">
        <w:rPr>
          <w:lang w:val="fr-CH"/>
        </w:rPr>
        <w:t>culture</w:t>
      </w:r>
      <w:r w:rsidR="001B081B" w:rsidRPr="0071782F">
        <w:rPr>
          <w:lang w:val="fr-CH"/>
        </w:rPr>
        <w:t>s</w:t>
      </w:r>
      <w:r w:rsidRPr="0071782F">
        <w:rPr>
          <w:lang w:val="fr-CH"/>
        </w:rPr>
        <w:t xml:space="preserve"> </w:t>
      </w:r>
      <w:r w:rsidR="001B081B" w:rsidRPr="0071782F">
        <w:rPr>
          <w:lang w:val="fr-CH"/>
        </w:rPr>
        <w:t xml:space="preserve">et des </w:t>
      </w:r>
      <w:r w:rsidRPr="0071782F">
        <w:rPr>
          <w:lang w:val="fr-CH"/>
        </w:rPr>
        <w:t xml:space="preserve">nations </w:t>
      </w:r>
      <w:r w:rsidR="001B081B" w:rsidRPr="0071782F">
        <w:rPr>
          <w:lang w:val="fr-CH"/>
        </w:rPr>
        <w:t>à l’intention des étudiants étrangers</w:t>
      </w:r>
      <w:r w:rsidRPr="0071782F">
        <w:rPr>
          <w:lang w:val="fr-CH"/>
        </w:rPr>
        <w:t>.</w:t>
      </w:r>
    </w:p>
    <w:p w:rsidR="00186B76" w:rsidRPr="0071782F" w:rsidRDefault="00186B76" w:rsidP="00A45A11">
      <w:pPr>
        <w:pStyle w:val="SingleTxtG"/>
        <w:ind w:left="1701"/>
        <w:rPr>
          <w:lang w:val="fr-CH"/>
        </w:rPr>
      </w:pPr>
      <w:r w:rsidRPr="0071782F">
        <w:rPr>
          <w:lang w:val="fr-CH"/>
        </w:rPr>
        <w:t>421.6</w:t>
      </w:r>
      <w:r w:rsidR="005D6873" w:rsidRPr="0071782F">
        <w:rPr>
          <w:lang w:val="fr-CH"/>
        </w:rPr>
        <w:t>.</w:t>
      </w:r>
      <w:r w:rsidRPr="0071782F">
        <w:rPr>
          <w:lang w:val="fr-CH"/>
        </w:rPr>
        <w:tab/>
      </w:r>
      <w:r w:rsidR="001B081B" w:rsidRPr="0071782F">
        <w:rPr>
          <w:lang w:val="fr-CH"/>
        </w:rPr>
        <w:t>Élaboration de plans-cadres pour la prévention de la toxicomanie et du suicide à l’université.</w:t>
      </w:r>
    </w:p>
    <w:p w:rsidR="00186B76" w:rsidRPr="0071782F" w:rsidRDefault="00186B76" w:rsidP="00A45A11">
      <w:pPr>
        <w:pStyle w:val="SingleTxtG"/>
        <w:ind w:left="1701"/>
        <w:rPr>
          <w:lang w:val="fr-CH"/>
        </w:rPr>
      </w:pPr>
      <w:r w:rsidRPr="0071782F">
        <w:rPr>
          <w:lang w:val="fr-CH"/>
        </w:rPr>
        <w:t>421.7</w:t>
      </w:r>
      <w:r w:rsidR="005D6873" w:rsidRPr="0071782F">
        <w:rPr>
          <w:lang w:val="fr-CH"/>
        </w:rPr>
        <w:t>.</w:t>
      </w:r>
      <w:r w:rsidRPr="0071782F">
        <w:rPr>
          <w:lang w:val="fr-CH"/>
        </w:rPr>
        <w:tab/>
      </w:r>
      <w:r w:rsidR="001B081B" w:rsidRPr="0071782F">
        <w:rPr>
          <w:lang w:val="fr-CH"/>
        </w:rPr>
        <w:t>Création du Bureau de la santé et des traitements, relevant du Département étudiants du Ministère, afin de fournir des services de santé préventive aux étudiants, et allocation d’un</w:t>
      </w:r>
      <w:r w:rsidR="00707DCC">
        <w:rPr>
          <w:lang w:val="fr-CH"/>
        </w:rPr>
        <w:t xml:space="preserve"> </w:t>
      </w:r>
      <w:r w:rsidR="008553D9" w:rsidRPr="0071782F">
        <w:rPr>
          <w:lang w:val="fr-CH"/>
        </w:rPr>
        <w:t>milliard</w:t>
      </w:r>
      <w:r w:rsidR="001B081B" w:rsidRPr="0071782F">
        <w:rPr>
          <w:lang w:val="fr-CH"/>
        </w:rPr>
        <w:t xml:space="preserve"> </w:t>
      </w:r>
      <w:r w:rsidR="003B1403" w:rsidRPr="0071782F">
        <w:rPr>
          <w:lang w:val="fr-CH"/>
        </w:rPr>
        <w:t>de rials</w:t>
      </w:r>
      <w:r w:rsidRPr="0071782F">
        <w:rPr>
          <w:lang w:val="fr-CH"/>
        </w:rPr>
        <w:t xml:space="preserve"> </w:t>
      </w:r>
      <w:r w:rsidR="001B081B" w:rsidRPr="0071782F">
        <w:rPr>
          <w:lang w:val="fr-CH"/>
        </w:rPr>
        <w:t>à plusieurs universités au titre des examens médicaux à faire passer aux nouveaux étudiants</w:t>
      </w:r>
      <w:r w:rsidRPr="0071782F">
        <w:rPr>
          <w:lang w:val="fr-CH"/>
        </w:rPr>
        <w:t>.</w:t>
      </w:r>
    </w:p>
    <w:p w:rsidR="00186B76" w:rsidRPr="0071782F" w:rsidRDefault="00186B76" w:rsidP="00A45A11">
      <w:pPr>
        <w:pStyle w:val="SingleTxtG"/>
        <w:ind w:left="1701"/>
        <w:rPr>
          <w:lang w:val="fr-CH"/>
        </w:rPr>
      </w:pPr>
      <w:r w:rsidRPr="0071782F">
        <w:rPr>
          <w:lang w:val="fr-CH"/>
        </w:rPr>
        <w:t>421.8</w:t>
      </w:r>
      <w:r w:rsidR="005D6873" w:rsidRPr="0071782F">
        <w:rPr>
          <w:lang w:val="fr-CH"/>
        </w:rPr>
        <w:t>.</w:t>
      </w:r>
      <w:r w:rsidRPr="0071782F">
        <w:rPr>
          <w:lang w:val="fr-CH"/>
        </w:rPr>
        <w:tab/>
      </w:r>
      <w:r w:rsidR="00581151" w:rsidRPr="0071782F">
        <w:rPr>
          <w:lang w:val="fr-CH"/>
        </w:rPr>
        <w:t>Octroi d’aides au titre de l’achat d’</w:t>
      </w:r>
      <w:r w:rsidR="0071782F" w:rsidRPr="0071782F">
        <w:rPr>
          <w:lang w:val="fr-CH"/>
        </w:rPr>
        <w:t>équipements</w:t>
      </w:r>
      <w:r w:rsidR="00581151" w:rsidRPr="0071782F">
        <w:rPr>
          <w:lang w:val="fr-CH"/>
        </w:rPr>
        <w:t xml:space="preserve"> pour</w:t>
      </w:r>
      <w:r w:rsidRPr="0071782F">
        <w:rPr>
          <w:lang w:val="fr-CH"/>
        </w:rPr>
        <w:t xml:space="preserve"> 48</w:t>
      </w:r>
      <w:r w:rsidR="003B1403" w:rsidRPr="0071782F">
        <w:rPr>
          <w:lang w:val="fr-CH"/>
        </w:rPr>
        <w:t> </w:t>
      </w:r>
      <w:r w:rsidRPr="0071782F">
        <w:rPr>
          <w:lang w:val="fr-CH"/>
        </w:rPr>
        <w:t>000</w:t>
      </w:r>
      <w:r w:rsidR="00AF44B8" w:rsidRPr="0071782F">
        <w:rPr>
          <w:lang w:val="fr-CH"/>
        </w:rPr>
        <w:t> m</w:t>
      </w:r>
      <w:r w:rsidR="003B1403" w:rsidRPr="0071782F">
        <w:rPr>
          <w:vertAlign w:val="superscript"/>
          <w:lang w:val="fr-CH"/>
        </w:rPr>
        <w:t>2</w:t>
      </w:r>
      <w:r w:rsidR="003B1403" w:rsidRPr="0071782F">
        <w:rPr>
          <w:lang w:val="fr-CH"/>
        </w:rPr>
        <w:t xml:space="preserve"> </w:t>
      </w:r>
      <w:r w:rsidR="00581151" w:rsidRPr="0071782F">
        <w:rPr>
          <w:lang w:val="fr-CH"/>
        </w:rPr>
        <w:t>d’installations sportives universitaires</w:t>
      </w:r>
      <w:r w:rsidRPr="0071782F">
        <w:rPr>
          <w:lang w:val="fr-CH"/>
        </w:rPr>
        <w:t>.</w:t>
      </w:r>
    </w:p>
    <w:p w:rsidR="00186B76" w:rsidRPr="0071782F" w:rsidRDefault="00186B76" w:rsidP="00A45A11">
      <w:pPr>
        <w:pStyle w:val="SingleTxtG"/>
        <w:ind w:left="1701"/>
        <w:rPr>
          <w:lang w:val="fr-CH"/>
        </w:rPr>
      </w:pPr>
      <w:r w:rsidRPr="0071782F">
        <w:rPr>
          <w:lang w:val="fr-CH"/>
        </w:rPr>
        <w:t>421.9</w:t>
      </w:r>
      <w:r w:rsidR="005D6873" w:rsidRPr="0071782F">
        <w:rPr>
          <w:lang w:val="fr-CH"/>
        </w:rPr>
        <w:t>.</w:t>
      </w:r>
      <w:r w:rsidRPr="0071782F">
        <w:rPr>
          <w:lang w:val="fr-CH"/>
        </w:rPr>
        <w:tab/>
      </w:r>
      <w:r w:rsidR="00813DDF" w:rsidRPr="0071782F">
        <w:rPr>
          <w:lang w:val="fr-CH"/>
        </w:rPr>
        <w:t xml:space="preserve">Fourniture aux universités d’une aide pour la construction de </w:t>
      </w:r>
      <w:r w:rsidRPr="0071782F">
        <w:rPr>
          <w:lang w:val="fr-CH"/>
        </w:rPr>
        <w:t>41</w:t>
      </w:r>
      <w:r w:rsidR="003F25A2">
        <w:rPr>
          <w:lang w:val="fr-CH"/>
        </w:rPr>
        <w:t> </w:t>
      </w:r>
      <w:r w:rsidRPr="0071782F">
        <w:rPr>
          <w:lang w:val="fr-CH"/>
        </w:rPr>
        <w:t>392</w:t>
      </w:r>
      <w:r w:rsidR="00AF44B8" w:rsidRPr="0071782F">
        <w:rPr>
          <w:lang w:val="fr-CH"/>
        </w:rPr>
        <w:t> </w:t>
      </w:r>
      <w:r w:rsidR="003F25A2" w:rsidRPr="003F25A2">
        <w:rPr>
          <w:lang w:val="fr-CH"/>
        </w:rPr>
        <w:t>m</w:t>
      </w:r>
      <w:r w:rsidR="003F25A2" w:rsidRPr="003F25A2">
        <w:rPr>
          <w:vertAlign w:val="superscript"/>
          <w:lang w:val="fr-CH"/>
        </w:rPr>
        <w:t>2</w:t>
      </w:r>
      <w:r w:rsidR="00813DDF" w:rsidRPr="0071782F">
        <w:rPr>
          <w:lang w:val="fr-CH"/>
        </w:rPr>
        <w:t xml:space="preserve"> d’installations sportives couvertes et de plein air. </w:t>
      </w:r>
    </w:p>
    <w:p w:rsidR="00186B76" w:rsidRPr="0071782F" w:rsidRDefault="00186B76" w:rsidP="00A45A11">
      <w:pPr>
        <w:pStyle w:val="SingleTxtG"/>
        <w:ind w:left="1701"/>
        <w:rPr>
          <w:lang w:val="fr-CH"/>
        </w:rPr>
      </w:pPr>
      <w:r w:rsidRPr="0071782F">
        <w:rPr>
          <w:lang w:val="fr-CH"/>
        </w:rPr>
        <w:t>421.10</w:t>
      </w:r>
      <w:r w:rsidR="005D6873" w:rsidRPr="0071782F">
        <w:rPr>
          <w:lang w:val="fr-CH"/>
        </w:rPr>
        <w:t>.</w:t>
      </w:r>
      <w:r w:rsidRPr="0071782F">
        <w:rPr>
          <w:lang w:val="fr-CH"/>
        </w:rPr>
        <w:t xml:space="preserve"> </w:t>
      </w:r>
      <w:r w:rsidR="00344267" w:rsidRPr="0071782F">
        <w:rPr>
          <w:lang w:val="fr-CH"/>
        </w:rPr>
        <w:t xml:space="preserve">Fourniture d’une aide pour la création de </w:t>
      </w:r>
      <w:r w:rsidRPr="0071782F">
        <w:rPr>
          <w:lang w:val="fr-CH"/>
        </w:rPr>
        <w:t xml:space="preserve">52 </w:t>
      </w:r>
      <w:r w:rsidR="00344267" w:rsidRPr="0071782F">
        <w:rPr>
          <w:lang w:val="fr-CH"/>
        </w:rPr>
        <w:t xml:space="preserve">centres de santé et installations destinées à la pratique des sports traditionnels iraniens </w:t>
      </w:r>
      <w:r w:rsidRPr="0071782F">
        <w:rPr>
          <w:lang w:val="fr-CH"/>
        </w:rPr>
        <w:t>(Zurkhaneh).</w:t>
      </w:r>
    </w:p>
    <w:p w:rsidR="00186B76" w:rsidRPr="0071782F" w:rsidRDefault="00186B76" w:rsidP="00A45A11">
      <w:pPr>
        <w:pStyle w:val="SingleTxtG"/>
        <w:ind w:left="1701"/>
        <w:rPr>
          <w:lang w:val="fr-CH"/>
        </w:rPr>
      </w:pPr>
      <w:r w:rsidRPr="0071782F">
        <w:rPr>
          <w:lang w:val="fr-CH"/>
        </w:rPr>
        <w:t>421.11</w:t>
      </w:r>
      <w:r w:rsidR="005D6873" w:rsidRPr="0071782F">
        <w:rPr>
          <w:lang w:val="fr-CH"/>
        </w:rPr>
        <w:t>.</w:t>
      </w:r>
      <w:r w:rsidRPr="0071782F">
        <w:rPr>
          <w:lang w:val="fr-CH"/>
        </w:rPr>
        <w:t xml:space="preserve"> Organi</w:t>
      </w:r>
      <w:r w:rsidR="00344267" w:rsidRPr="0071782F">
        <w:rPr>
          <w:lang w:val="fr-CH"/>
        </w:rPr>
        <w:t>s</w:t>
      </w:r>
      <w:r w:rsidRPr="0071782F">
        <w:rPr>
          <w:lang w:val="fr-CH"/>
        </w:rPr>
        <w:t xml:space="preserve">ation </w:t>
      </w:r>
      <w:r w:rsidR="00344267" w:rsidRPr="0071782F">
        <w:rPr>
          <w:lang w:val="fr-CH"/>
        </w:rPr>
        <w:t xml:space="preserve">à l’Université de Kerman de la huitième Olympiade sportive pour les étudiants iraniens, à laquelle ont participé </w:t>
      </w:r>
      <w:r w:rsidRPr="0071782F">
        <w:rPr>
          <w:lang w:val="fr-CH"/>
        </w:rPr>
        <w:t>4</w:t>
      </w:r>
      <w:r w:rsidR="00344267" w:rsidRPr="0071782F">
        <w:rPr>
          <w:lang w:val="fr-CH"/>
        </w:rPr>
        <w:t xml:space="preserve"> </w:t>
      </w:r>
      <w:r w:rsidRPr="0071782F">
        <w:rPr>
          <w:lang w:val="fr-CH"/>
        </w:rPr>
        <w:t xml:space="preserve">500 </w:t>
      </w:r>
      <w:r w:rsidR="00344267" w:rsidRPr="0071782F">
        <w:rPr>
          <w:lang w:val="fr-CH"/>
        </w:rPr>
        <w:t>étudiants et étudiantes.</w:t>
      </w:r>
    </w:p>
    <w:p w:rsidR="00186B76" w:rsidRPr="0071782F" w:rsidRDefault="00186B76" w:rsidP="00A45A11">
      <w:pPr>
        <w:pStyle w:val="SingleTxtG"/>
        <w:ind w:left="1701"/>
        <w:rPr>
          <w:lang w:val="fr-CH"/>
        </w:rPr>
      </w:pPr>
      <w:r w:rsidRPr="0071782F">
        <w:rPr>
          <w:lang w:val="fr-CH"/>
        </w:rPr>
        <w:t>421.12</w:t>
      </w:r>
      <w:r w:rsidR="005D6873" w:rsidRPr="0071782F">
        <w:rPr>
          <w:lang w:val="fr-CH"/>
        </w:rPr>
        <w:t>.</w:t>
      </w:r>
      <w:r w:rsidRPr="0071782F">
        <w:rPr>
          <w:lang w:val="fr-CH"/>
        </w:rPr>
        <w:t xml:space="preserve"> Organi</w:t>
      </w:r>
      <w:r w:rsidR="00344267" w:rsidRPr="0071782F">
        <w:rPr>
          <w:lang w:val="fr-CH"/>
        </w:rPr>
        <w:t>s</w:t>
      </w:r>
      <w:r w:rsidRPr="0071782F">
        <w:rPr>
          <w:lang w:val="fr-CH"/>
        </w:rPr>
        <w:t xml:space="preserve">ation </w:t>
      </w:r>
      <w:r w:rsidR="00344267" w:rsidRPr="0071782F">
        <w:rPr>
          <w:lang w:val="fr-CH"/>
        </w:rPr>
        <w:t xml:space="preserve">des premières compétitions sportives universitaires pour les enfants des </w:t>
      </w:r>
      <w:r w:rsidRPr="0071782F">
        <w:rPr>
          <w:lang w:val="fr-CH"/>
        </w:rPr>
        <w:t xml:space="preserve">martyrs </w:t>
      </w:r>
      <w:r w:rsidR="00344267" w:rsidRPr="0071782F">
        <w:rPr>
          <w:lang w:val="fr-CH"/>
        </w:rPr>
        <w:t xml:space="preserve">et invalides de guerre résidant à </w:t>
      </w:r>
      <w:r w:rsidRPr="0071782F">
        <w:rPr>
          <w:lang w:val="fr-CH"/>
        </w:rPr>
        <w:t>T</w:t>
      </w:r>
      <w:r w:rsidR="00344267" w:rsidRPr="0071782F">
        <w:rPr>
          <w:lang w:val="fr-CH"/>
        </w:rPr>
        <w:t>é</w:t>
      </w:r>
      <w:r w:rsidRPr="0071782F">
        <w:rPr>
          <w:lang w:val="fr-CH"/>
        </w:rPr>
        <w:t>h</w:t>
      </w:r>
      <w:r w:rsidR="00344267" w:rsidRPr="0071782F">
        <w:rPr>
          <w:lang w:val="fr-CH"/>
        </w:rPr>
        <w:t>é</w:t>
      </w:r>
      <w:r w:rsidRPr="0071782F">
        <w:rPr>
          <w:lang w:val="fr-CH"/>
        </w:rPr>
        <w:t>ran.</w:t>
      </w:r>
    </w:p>
    <w:p w:rsidR="00186B76" w:rsidRPr="0071782F" w:rsidRDefault="00186B76" w:rsidP="00A45A11">
      <w:pPr>
        <w:pStyle w:val="SingleTxtG"/>
        <w:ind w:left="1701"/>
        <w:rPr>
          <w:lang w:val="fr-CH"/>
        </w:rPr>
      </w:pPr>
      <w:r w:rsidRPr="0071782F">
        <w:rPr>
          <w:lang w:val="fr-CH"/>
        </w:rPr>
        <w:t>421.13</w:t>
      </w:r>
      <w:r w:rsidR="005D6873" w:rsidRPr="0071782F">
        <w:rPr>
          <w:lang w:val="fr-CH"/>
        </w:rPr>
        <w:t>.</w:t>
      </w:r>
      <w:r w:rsidRPr="0071782F">
        <w:rPr>
          <w:lang w:val="fr-CH"/>
        </w:rPr>
        <w:t xml:space="preserve"> Contribution </w:t>
      </w:r>
      <w:r w:rsidR="000257AE" w:rsidRPr="0071782F">
        <w:rPr>
          <w:lang w:val="fr-CH"/>
        </w:rPr>
        <w:t xml:space="preserve">à l’élaboration de la Charte du nouveau projet de </w:t>
      </w:r>
      <w:r w:rsidRPr="0071782F">
        <w:rPr>
          <w:lang w:val="fr-CH"/>
        </w:rPr>
        <w:t xml:space="preserve">Shahed </w:t>
      </w:r>
      <w:r w:rsidR="000257AE" w:rsidRPr="0071782F">
        <w:rPr>
          <w:lang w:val="fr-CH"/>
        </w:rPr>
        <w:t>et à son suivi par le Haut Conseil culturel de la Révolution</w:t>
      </w:r>
      <w:r w:rsidRPr="0071782F">
        <w:rPr>
          <w:lang w:val="fr-CH"/>
        </w:rPr>
        <w:t>.</w:t>
      </w:r>
    </w:p>
    <w:p w:rsidR="00186B76" w:rsidRPr="0071782F" w:rsidRDefault="00186B76" w:rsidP="00A45A11">
      <w:pPr>
        <w:pStyle w:val="SingleTxtG"/>
        <w:ind w:left="1701"/>
        <w:rPr>
          <w:lang w:val="fr-CH"/>
        </w:rPr>
      </w:pPr>
      <w:r w:rsidRPr="0071782F">
        <w:rPr>
          <w:lang w:val="fr-CH"/>
        </w:rPr>
        <w:t>421.14</w:t>
      </w:r>
      <w:r w:rsidR="005D6873" w:rsidRPr="0071782F">
        <w:rPr>
          <w:lang w:val="fr-CH"/>
        </w:rPr>
        <w:t>.</w:t>
      </w:r>
      <w:r w:rsidRPr="0071782F">
        <w:rPr>
          <w:lang w:val="fr-CH"/>
        </w:rPr>
        <w:t xml:space="preserve"> </w:t>
      </w:r>
      <w:r w:rsidR="000257AE" w:rsidRPr="0071782F">
        <w:rPr>
          <w:lang w:val="fr-CH"/>
        </w:rPr>
        <w:t xml:space="preserve">Mise au point du nouveau règlement sur les transferts d’étudiants de </w:t>
      </w:r>
      <w:r w:rsidRPr="0071782F">
        <w:rPr>
          <w:lang w:val="fr-CH"/>
        </w:rPr>
        <w:t xml:space="preserve">Shahed, </w:t>
      </w:r>
      <w:r w:rsidR="000257AE" w:rsidRPr="0071782F">
        <w:rPr>
          <w:lang w:val="fr-CH"/>
        </w:rPr>
        <w:t>qui a été approuvé par les Ministres de la s</w:t>
      </w:r>
      <w:r w:rsidRPr="0071782F">
        <w:rPr>
          <w:lang w:val="fr-CH"/>
        </w:rPr>
        <w:t xml:space="preserve">cience, </w:t>
      </w:r>
      <w:r w:rsidR="000257AE" w:rsidRPr="0071782F">
        <w:rPr>
          <w:lang w:val="fr-CH"/>
        </w:rPr>
        <w:t>de la recherche et de la technologie,</w:t>
      </w:r>
      <w:r w:rsidRPr="0071782F">
        <w:rPr>
          <w:lang w:val="fr-CH"/>
        </w:rPr>
        <w:t xml:space="preserve"> </w:t>
      </w:r>
      <w:r w:rsidR="000257AE" w:rsidRPr="0071782F">
        <w:rPr>
          <w:lang w:val="fr-CH"/>
        </w:rPr>
        <w:t xml:space="preserve">de la santé et de la formation médicale et de l’éducation, et par le directeur de la Fondation des </w:t>
      </w:r>
      <w:r w:rsidRPr="0071782F">
        <w:rPr>
          <w:lang w:val="fr-CH"/>
        </w:rPr>
        <w:t>martyrs.</w:t>
      </w:r>
    </w:p>
    <w:p w:rsidR="00186B76" w:rsidRPr="0071782F" w:rsidRDefault="00186B76" w:rsidP="00A45A11">
      <w:pPr>
        <w:pStyle w:val="SingleTxtG"/>
        <w:ind w:left="1701"/>
        <w:rPr>
          <w:lang w:val="fr-CH"/>
        </w:rPr>
      </w:pPr>
      <w:r w:rsidRPr="0071782F">
        <w:rPr>
          <w:lang w:val="fr-CH"/>
        </w:rPr>
        <w:t>421.15</w:t>
      </w:r>
      <w:r w:rsidR="005D6873" w:rsidRPr="0071782F">
        <w:rPr>
          <w:lang w:val="fr-CH"/>
        </w:rPr>
        <w:t>.</w:t>
      </w:r>
      <w:r w:rsidRPr="0071782F">
        <w:rPr>
          <w:lang w:val="fr-CH"/>
        </w:rPr>
        <w:t xml:space="preserve"> </w:t>
      </w:r>
      <w:r w:rsidR="00247A62" w:rsidRPr="0071782F">
        <w:rPr>
          <w:lang w:val="fr-CH"/>
        </w:rPr>
        <w:t xml:space="preserve">Modification des directives relatives aux bourses de doctorat </w:t>
      </w:r>
      <w:r w:rsidR="007F37CE" w:rsidRPr="0071782F">
        <w:rPr>
          <w:lang w:val="fr-CH"/>
        </w:rPr>
        <w:t>des personnes</w:t>
      </w:r>
      <w:r w:rsidR="00247A62" w:rsidRPr="0071782F">
        <w:rPr>
          <w:lang w:val="fr-CH"/>
        </w:rPr>
        <w:t xml:space="preserve"> souhaitant étudier à l’étranger, tendant à récompenser les étudiants les plus doués et exemplaires</w:t>
      </w:r>
      <w:r w:rsidRPr="0071782F">
        <w:rPr>
          <w:lang w:val="fr-CH"/>
        </w:rPr>
        <w:t>.</w:t>
      </w:r>
    </w:p>
    <w:p w:rsidR="00186B76" w:rsidRPr="0071782F" w:rsidRDefault="00186B76" w:rsidP="00A45A11">
      <w:pPr>
        <w:pStyle w:val="SingleTxtG"/>
        <w:ind w:left="1701"/>
        <w:rPr>
          <w:lang w:val="fr-CH"/>
        </w:rPr>
      </w:pPr>
      <w:r w:rsidRPr="0071782F">
        <w:rPr>
          <w:lang w:val="fr-CH"/>
        </w:rPr>
        <w:t>421.16</w:t>
      </w:r>
      <w:r w:rsidR="005D6873" w:rsidRPr="0071782F">
        <w:rPr>
          <w:lang w:val="fr-CH"/>
        </w:rPr>
        <w:t>.</w:t>
      </w:r>
      <w:r w:rsidRPr="0071782F">
        <w:rPr>
          <w:lang w:val="fr-CH"/>
        </w:rPr>
        <w:t xml:space="preserve"> R</w:t>
      </w:r>
      <w:r w:rsidR="00247A62" w:rsidRPr="0071782F">
        <w:rPr>
          <w:lang w:val="fr-CH"/>
        </w:rPr>
        <w:t>éexamen de la méthode des quotas de bourses de recherche</w:t>
      </w:r>
      <w:r w:rsidR="00F76218" w:rsidRPr="0071782F">
        <w:rPr>
          <w:lang w:val="fr-CH"/>
        </w:rPr>
        <w:t xml:space="preserve"> afin de </w:t>
      </w:r>
      <w:r w:rsidR="00247A62" w:rsidRPr="0071782F">
        <w:rPr>
          <w:lang w:val="fr-CH"/>
        </w:rPr>
        <w:t>privilégier les universités nouvellement créées et celles qui sont en extension</w:t>
      </w:r>
      <w:r w:rsidRPr="0071782F">
        <w:rPr>
          <w:lang w:val="fr-CH"/>
        </w:rPr>
        <w:t>.</w:t>
      </w:r>
    </w:p>
    <w:p w:rsidR="00186B76" w:rsidRPr="0071782F" w:rsidRDefault="00186B76" w:rsidP="00A45A11">
      <w:pPr>
        <w:pStyle w:val="SingleTxtG"/>
        <w:ind w:left="1701"/>
        <w:rPr>
          <w:lang w:val="fr-CH"/>
        </w:rPr>
      </w:pPr>
      <w:r w:rsidRPr="0071782F">
        <w:rPr>
          <w:lang w:val="fr-CH"/>
        </w:rPr>
        <w:t>421.17</w:t>
      </w:r>
      <w:r w:rsidR="005D6873" w:rsidRPr="0071782F">
        <w:rPr>
          <w:lang w:val="fr-CH"/>
        </w:rPr>
        <w:t>.</w:t>
      </w:r>
      <w:r w:rsidRPr="0071782F">
        <w:rPr>
          <w:lang w:val="fr-CH"/>
        </w:rPr>
        <w:t xml:space="preserve"> </w:t>
      </w:r>
      <w:r w:rsidR="00247A62" w:rsidRPr="0071782F">
        <w:rPr>
          <w:lang w:val="fr-CH"/>
        </w:rPr>
        <w:t xml:space="preserve">Création de bureaux de contrôle en </w:t>
      </w:r>
      <w:r w:rsidRPr="0071782F">
        <w:rPr>
          <w:lang w:val="fr-CH"/>
        </w:rPr>
        <w:t xml:space="preserve">Ukraine </w:t>
      </w:r>
      <w:r w:rsidR="00247A62" w:rsidRPr="0071782F">
        <w:rPr>
          <w:lang w:val="fr-CH"/>
        </w:rPr>
        <w:t xml:space="preserve">et en </w:t>
      </w:r>
      <w:r w:rsidRPr="0071782F">
        <w:rPr>
          <w:lang w:val="fr-CH"/>
        </w:rPr>
        <w:t>Mala</w:t>
      </w:r>
      <w:r w:rsidR="00247A62" w:rsidRPr="0071782F">
        <w:rPr>
          <w:lang w:val="fr-CH"/>
        </w:rPr>
        <w:t>isie</w:t>
      </w:r>
      <w:r w:rsidRPr="0071782F">
        <w:rPr>
          <w:lang w:val="fr-CH"/>
        </w:rPr>
        <w:t>.</w:t>
      </w:r>
    </w:p>
    <w:p w:rsidR="00186B76" w:rsidRPr="0071782F" w:rsidRDefault="00186B76" w:rsidP="00A45A11">
      <w:pPr>
        <w:pStyle w:val="SingleTxtG"/>
        <w:ind w:left="1701"/>
        <w:rPr>
          <w:lang w:val="fr-CH"/>
        </w:rPr>
      </w:pPr>
      <w:r w:rsidRPr="0071782F">
        <w:rPr>
          <w:lang w:val="fr-CH"/>
        </w:rPr>
        <w:t>421.18</w:t>
      </w:r>
      <w:r w:rsidR="005D6873" w:rsidRPr="0071782F">
        <w:rPr>
          <w:lang w:val="fr-CH"/>
        </w:rPr>
        <w:t>.</w:t>
      </w:r>
      <w:r w:rsidRPr="0071782F">
        <w:rPr>
          <w:lang w:val="fr-CH"/>
        </w:rPr>
        <w:t xml:space="preserve"> </w:t>
      </w:r>
      <w:r w:rsidR="00247A62" w:rsidRPr="0071782F">
        <w:rPr>
          <w:lang w:val="fr-CH"/>
        </w:rPr>
        <w:t xml:space="preserve">Augmentation du nombre de doctorants envoyés à l’étranger pour de courts séjours de recherche </w:t>
      </w:r>
      <w:r w:rsidRPr="0071782F">
        <w:rPr>
          <w:lang w:val="fr-CH"/>
        </w:rPr>
        <w:t>(</w:t>
      </w:r>
      <w:r w:rsidR="00247A62" w:rsidRPr="0071782F">
        <w:rPr>
          <w:lang w:val="fr-CH"/>
        </w:rPr>
        <w:t>entre six et neuf</w:t>
      </w:r>
      <w:r w:rsidR="001F3F05" w:rsidRPr="0071782F">
        <w:rPr>
          <w:lang w:val="fr-CH"/>
        </w:rPr>
        <w:t> mois</w:t>
      </w:r>
      <w:r w:rsidRPr="0071782F">
        <w:rPr>
          <w:lang w:val="fr-CH"/>
        </w:rPr>
        <w:t xml:space="preserve">) </w:t>
      </w:r>
      <w:r w:rsidR="00247A62" w:rsidRPr="0071782F">
        <w:rPr>
          <w:lang w:val="fr-CH"/>
        </w:rPr>
        <w:t xml:space="preserve">et </w:t>
      </w:r>
      <w:r w:rsidRPr="0071782F">
        <w:rPr>
          <w:lang w:val="fr-CH"/>
        </w:rPr>
        <w:t>r</w:t>
      </w:r>
      <w:r w:rsidR="00247A62" w:rsidRPr="0071782F">
        <w:rPr>
          <w:lang w:val="fr-CH"/>
        </w:rPr>
        <w:t>é</w:t>
      </w:r>
      <w:r w:rsidRPr="0071782F">
        <w:rPr>
          <w:lang w:val="fr-CH"/>
        </w:rPr>
        <w:t xml:space="preserve">duction </w:t>
      </w:r>
      <w:r w:rsidR="00247A62" w:rsidRPr="0071782F">
        <w:rPr>
          <w:lang w:val="fr-CH"/>
        </w:rPr>
        <w:t>des séjours de longue durée</w:t>
      </w:r>
      <w:r w:rsidRPr="0071782F">
        <w:rPr>
          <w:lang w:val="fr-CH"/>
        </w:rPr>
        <w:t>.</w:t>
      </w:r>
    </w:p>
    <w:p w:rsidR="00186B76" w:rsidRPr="0071782F" w:rsidRDefault="00186B76" w:rsidP="00A45A11">
      <w:pPr>
        <w:pStyle w:val="SingleTxtG"/>
        <w:ind w:left="1701"/>
        <w:rPr>
          <w:lang w:val="fr-CH"/>
        </w:rPr>
      </w:pPr>
      <w:r w:rsidRPr="0071782F">
        <w:rPr>
          <w:lang w:val="fr-CH"/>
        </w:rPr>
        <w:t>421.19</w:t>
      </w:r>
      <w:r w:rsidR="005D6873" w:rsidRPr="0071782F">
        <w:rPr>
          <w:lang w:val="fr-CH"/>
        </w:rPr>
        <w:t>.</w:t>
      </w:r>
      <w:r w:rsidRPr="0071782F">
        <w:rPr>
          <w:lang w:val="fr-CH"/>
        </w:rPr>
        <w:t xml:space="preserve"> </w:t>
      </w:r>
      <w:r w:rsidR="00247A62" w:rsidRPr="0071782F">
        <w:rPr>
          <w:lang w:val="fr-CH"/>
        </w:rPr>
        <w:t>Augmentation sensible du nombre de bourses de doctorat octroyées à des universitaires souhaitant faire des études à l’étranger.</w:t>
      </w:r>
    </w:p>
    <w:p w:rsidR="00186B76" w:rsidRPr="0071782F" w:rsidRDefault="00186B76" w:rsidP="00A45A11">
      <w:pPr>
        <w:pStyle w:val="SingleTxtG"/>
        <w:ind w:left="1701"/>
        <w:rPr>
          <w:lang w:val="fr-CH"/>
        </w:rPr>
      </w:pPr>
      <w:r w:rsidRPr="0071782F">
        <w:rPr>
          <w:lang w:val="fr-CH"/>
        </w:rPr>
        <w:t>421.20</w:t>
      </w:r>
      <w:r w:rsidR="005D6873" w:rsidRPr="0071782F">
        <w:rPr>
          <w:lang w:val="fr-CH"/>
        </w:rPr>
        <w:t>.</w:t>
      </w:r>
      <w:r w:rsidRPr="0071782F">
        <w:rPr>
          <w:lang w:val="fr-CH"/>
        </w:rPr>
        <w:t xml:space="preserve"> </w:t>
      </w:r>
      <w:r w:rsidR="00397D38" w:rsidRPr="0071782F">
        <w:rPr>
          <w:lang w:val="fr-CH"/>
        </w:rPr>
        <w:t>Augmentation du montant des bourses de doctorat octroyées à des universitaires souhaitant faire des études à l’étranger. Ces bourses passent ainsi du montant versé en 2002 aux universitaires préparant un doctorat au montant versé en</w:t>
      </w:r>
      <w:r w:rsidR="003B1403" w:rsidRPr="0071782F">
        <w:rPr>
          <w:lang w:val="fr-CH"/>
        </w:rPr>
        <w:t> </w:t>
      </w:r>
      <w:r w:rsidR="00397D38" w:rsidRPr="0071782F">
        <w:rPr>
          <w:lang w:val="fr-CH"/>
        </w:rPr>
        <w:t>2005 aux universitaires de premier niveau préparant un doctorat</w:t>
      </w:r>
      <w:r w:rsidRPr="0071782F">
        <w:rPr>
          <w:lang w:val="fr-CH"/>
        </w:rPr>
        <w:t xml:space="preserve">, </w:t>
      </w:r>
      <w:r w:rsidR="00397D38" w:rsidRPr="0071782F">
        <w:rPr>
          <w:lang w:val="fr-CH"/>
        </w:rPr>
        <w:t>majoré d’une certaine somme</w:t>
      </w:r>
      <w:r w:rsidRPr="0071782F">
        <w:rPr>
          <w:lang w:val="fr-CH"/>
        </w:rPr>
        <w:t>.</w:t>
      </w:r>
    </w:p>
    <w:p w:rsidR="00186B76" w:rsidRPr="0071782F" w:rsidRDefault="00186B76" w:rsidP="00A45A11">
      <w:pPr>
        <w:pStyle w:val="SingleTxtG"/>
        <w:ind w:left="1701"/>
        <w:rPr>
          <w:lang w:val="fr-CH"/>
        </w:rPr>
      </w:pPr>
      <w:r w:rsidRPr="0071782F">
        <w:rPr>
          <w:lang w:val="fr-CH"/>
        </w:rPr>
        <w:t>421.21</w:t>
      </w:r>
      <w:r w:rsidR="005D6873" w:rsidRPr="0071782F">
        <w:rPr>
          <w:lang w:val="fr-CH"/>
        </w:rPr>
        <w:t>.</w:t>
      </w:r>
      <w:r w:rsidRPr="0071782F">
        <w:rPr>
          <w:lang w:val="fr-CH"/>
        </w:rPr>
        <w:t xml:space="preserve"> </w:t>
      </w:r>
      <w:r w:rsidR="00397D38" w:rsidRPr="0071782F">
        <w:rPr>
          <w:lang w:val="fr-CH"/>
        </w:rPr>
        <w:t>Création de bureaux de contrôle pour les étudiants en Ukraine et en Malaisie, et préparatifs en vue de l’ouverture d’un bureau de ce type en Allemagne</w:t>
      </w:r>
      <w:r w:rsidRPr="0071782F">
        <w:rPr>
          <w:lang w:val="fr-CH"/>
        </w:rPr>
        <w:t>.</w:t>
      </w:r>
    </w:p>
    <w:p w:rsidR="00186B76" w:rsidRPr="0071782F" w:rsidRDefault="00186B76" w:rsidP="00A45A11">
      <w:pPr>
        <w:pStyle w:val="SingleTxtG"/>
        <w:ind w:left="1701"/>
        <w:rPr>
          <w:lang w:val="fr-CH"/>
        </w:rPr>
      </w:pPr>
      <w:r w:rsidRPr="0071782F">
        <w:rPr>
          <w:lang w:val="fr-CH"/>
        </w:rPr>
        <w:t>421.22</w:t>
      </w:r>
      <w:r w:rsidR="005D6873" w:rsidRPr="0071782F">
        <w:rPr>
          <w:lang w:val="fr-CH"/>
        </w:rPr>
        <w:t>.</w:t>
      </w:r>
      <w:r w:rsidRPr="0071782F">
        <w:rPr>
          <w:lang w:val="fr-CH"/>
        </w:rPr>
        <w:t xml:space="preserve"> </w:t>
      </w:r>
      <w:r w:rsidR="00DD016D" w:rsidRPr="0071782F">
        <w:rPr>
          <w:lang w:val="fr-CH"/>
        </w:rPr>
        <w:t>Analyse du système d’enseignement supérieur de l’</w:t>
      </w:r>
      <w:r w:rsidRPr="0071782F">
        <w:rPr>
          <w:lang w:val="fr-CH"/>
        </w:rPr>
        <w:t>Indon</w:t>
      </w:r>
      <w:r w:rsidR="00DD016D" w:rsidRPr="0071782F">
        <w:rPr>
          <w:lang w:val="fr-CH"/>
        </w:rPr>
        <w:t>é</w:t>
      </w:r>
      <w:r w:rsidRPr="0071782F">
        <w:rPr>
          <w:lang w:val="fr-CH"/>
        </w:rPr>
        <w:t>si</w:t>
      </w:r>
      <w:r w:rsidR="00DD016D" w:rsidRPr="0071782F">
        <w:rPr>
          <w:lang w:val="fr-CH"/>
        </w:rPr>
        <w:t>e</w:t>
      </w:r>
      <w:r w:rsidRPr="0071782F">
        <w:rPr>
          <w:lang w:val="fr-CH"/>
        </w:rPr>
        <w:t xml:space="preserve"> </w:t>
      </w:r>
      <w:r w:rsidR="00DD016D" w:rsidRPr="0071782F">
        <w:rPr>
          <w:lang w:val="fr-CH"/>
        </w:rPr>
        <w:t>et élaboration d’un système d’évaluation de ses diplômes</w:t>
      </w:r>
      <w:r w:rsidRPr="0071782F">
        <w:rPr>
          <w:lang w:val="fr-CH"/>
        </w:rPr>
        <w:t>.</w:t>
      </w:r>
    </w:p>
    <w:p w:rsidR="00186B76" w:rsidRPr="0071782F" w:rsidRDefault="00186B76" w:rsidP="00A45A11">
      <w:pPr>
        <w:pStyle w:val="SingleTxtG"/>
        <w:ind w:left="1701"/>
        <w:rPr>
          <w:lang w:val="fr-CH"/>
        </w:rPr>
      </w:pPr>
      <w:r w:rsidRPr="0071782F">
        <w:rPr>
          <w:lang w:val="fr-CH"/>
        </w:rPr>
        <w:t>421.23</w:t>
      </w:r>
      <w:r w:rsidR="005D6873" w:rsidRPr="0071782F">
        <w:rPr>
          <w:lang w:val="fr-CH"/>
        </w:rPr>
        <w:t>.</w:t>
      </w:r>
      <w:r w:rsidRPr="0071782F">
        <w:rPr>
          <w:lang w:val="fr-CH"/>
        </w:rPr>
        <w:t xml:space="preserve"> Organi</w:t>
      </w:r>
      <w:r w:rsidR="00DD016D" w:rsidRPr="0071782F">
        <w:rPr>
          <w:lang w:val="fr-CH"/>
        </w:rPr>
        <w:t>s</w:t>
      </w:r>
      <w:r w:rsidRPr="0071782F">
        <w:rPr>
          <w:lang w:val="fr-CH"/>
        </w:rPr>
        <w:t xml:space="preserve">ation </w:t>
      </w:r>
      <w:r w:rsidR="00DD016D" w:rsidRPr="0071782F">
        <w:rPr>
          <w:lang w:val="fr-CH"/>
        </w:rPr>
        <w:t xml:space="preserve">de réunions entre des responsables du Ministère et </w:t>
      </w:r>
      <w:r w:rsidR="007F37CE" w:rsidRPr="0071782F">
        <w:rPr>
          <w:lang w:val="fr-CH"/>
        </w:rPr>
        <w:t>des personnes</w:t>
      </w:r>
      <w:r w:rsidR="00DD016D" w:rsidRPr="0071782F">
        <w:rPr>
          <w:lang w:val="fr-CH"/>
        </w:rPr>
        <w:t xml:space="preserve"> étudiant à l’étranger afin d’étudier les problèmes que ces dernières rencontrent en </w:t>
      </w:r>
      <w:r w:rsidRPr="0071782F">
        <w:rPr>
          <w:lang w:val="fr-CH"/>
        </w:rPr>
        <w:t xml:space="preserve">France, </w:t>
      </w:r>
      <w:r w:rsidR="00DD016D" w:rsidRPr="0071782F">
        <w:rPr>
          <w:lang w:val="fr-CH"/>
        </w:rPr>
        <w:t xml:space="preserve">au Royaume-Uni de Grande-Bretagne et d’Irlande du Nord, au </w:t>
      </w:r>
      <w:r w:rsidRPr="0071782F">
        <w:rPr>
          <w:lang w:val="fr-CH"/>
        </w:rPr>
        <w:t xml:space="preserve">Pakistan, </w:t>
      </w:r>
      <w:r w:rsidR="00DD016D" w:rsidRPr="0071782F">
        <w:rPr>
          <w:lang w:val="fr-CH"/>
        </w:rPr>
        <w:t xml:space="preserve">en </w:t>
      </w:r>
      <w:r w:rsidRPr="0071782F">
        <w:rPr>
          <w:lang w:val="fr-CH"/>
        </w:rPr>
        <w:t>Ind</w:t>
      </w:r>
      <w:r w:rsidR="00DD016D" w:rsidRPr="0071782F">
        <w:rPr>
          <w:lang w:val="fr-CH"/>
        </w:rPr>
        <w:t>e</w:t>
      </w:r>
      <w:r w:rsidRPr="0071782F">
        <w:rPr>
          <w:lang w:val="fr-CH"/>
        </w:rPr>
        <w:t xml:space="preserve">, </w:t>
      </w:r>
      <w:r w:rsidR="00DD016D" w:rsidRPr="0071782F">
        <w:rPr>
          <w:lang w:val="fr-CH"/>
        </w:rPr>
        <w:t xml:space="preserve">en </w:t>
      </w:r>
      <w:r w:rsidRPr="0071782F">
        <w:rPr>
          <w:lang w:val="fr-CH"/>
        </w:rPr>
        <w:t>Ukraine</w:t>
      </w:r>
      <w:r w:rsidR="00DD016D" w:rsidRPr="0071782F">
        <w:rPr>
          <w:lang w:val="fr-CH"/>
        </w:rPr>
        <w:t xml:space="preserve"> et Russie</w:t>
      </w:r>
      <w:r w:rsidRPr="0071782F">
        <w:rPr>
          <w:lang w:val="fr-CH"/>
        </w:rPr>
        <w:t>.</w:t>
      </w:r>
    </w:p>
    <w:p w:rsidR="00186B76" w:rsidRPr="0071782F" w:rsidRDefault="00186B76" w:rsidP="00A45A11">
      <w:pPr>
        <w:pStyle w:val="SingleTxtG"/>
        <w:ind w:left="1701"/>
        <w:rPr>
          <w:lang w:val="fr-CH"/>
        </w:rPr>
      </w:pPr>
      <w:r w:rsidRPr="0071782F">
        <w:rPr>
          <w:lang w:val="fr-CH"/>
        </w:rPr>
        <w:t>421.24</w:t>
      </w:r>
      <w:r w:rsidR="005D6873" w:rsidRPr="0071782F">
        <w:rPr>
          <w:lang w:val="fr-CH"/>
        </w:rPr>
        <w:t>.</w:t>
      </w:r>
      <w:r w:rsidRPr="0071782F">
        <w:rPr>
          <w:lang w:val="fr-CH"/>
        </w:rPr>
        <w:t xml:space="preserve"> </w:t>
      </w:r>
      <w:r w:rsidR="00F76218" w:rsidRPr="0071782F">
        <w:rPr>
          <w:lang w:val="fr-CH"/>
        </w:rPr>
        <w:t xml:space="preserve">Analyse des systèmes d’enseignement supérieur de l’Italie, de l’Inde, du </w:t>
      </w:r>
      <w:r w:rsidRPr="0071782F">
        <w:rPr>
          <w:lang w:val="fr-CH"/>
        </w:rPr>
        <w:t xml:space="preserve">Pakistan, </w:t>
      </w:r>
      <w:r w:rsidR="00F76218" w:rsidRPr="0071782F">
        <w:rPr>
          <w:lang w:val="fr-CH"/>
        </w:rPr>
        <w:t xml:space="preserve">de la </w:t>
      </w:r>
      <w:r w:rsidRPr="0071782F">
        <w:rPr>
          <w:lang w:val="fr-CH"/>
        </w:rPr>
        <w:t xml:space="preserve">France, </w:t>
      </w:r>
      <w:r w:rsidR="00F76218" w:rsidRPr="0071782F">
        <w:rPr>
          <w:lang w:val="fr-CH"/>
        </w:rPr>
        <w:t xml:space="preserve">de </w:t>
      </w:r>
      <w:r w:rsidRPr="0071782F">
        <w:rPr>
          <w:lang w:val="fr-CH"/>
        </w:rPr>
        <w:t>C</w:t>
      </w:r>
      <w:r w:rsidR="00F76218" w:rsidRPr="0071782F">
        <w:rPr>
          <w:lang w:val="fr-CH"/>
        </w:rPr>
        <w:t>h</w:t>
      </w:r>
      <w:r w:rsidRPr="0071782F">
        <w:rPr>
          <w:lang w:val="fr-CH"/>
        </w:rPr>
        <w:t>y</w:t>
      </w:r>
      <w:r w:rsidR="00F76218" w:rsidRPr="0071782F">
        <w:rPr>
          <w:lang w:val="fr-CH"/>
        </w:rPr>
        <w:t>pre</w:t>
      </w:r>
      <w:r w:rsidRPr="0071782F">
        <w:rPr>
          <w:lang w:val="fr-CH"/>
        </w:rPr>
        <w:t xml:space="preserve">, </w:t>
      </w:r>
      <w:r w:rsidR="00F76218" w:rsidRPr="0071782F">
        <w:rPr>
          <w:lang w:val="fr-CH"/>
        </w:rPr>
        <w:t>du Royaume-Uni et des pays membres de la CEI, et élaboration d’un système d’évaluation de leurs diplômes</w:t>
      </w:r>
      <w:r w:rsidRPr="0071782F">
        <w:rPr>
          <w:lang w:val="fr-CH"/>
        </w:rPr>
        <w:t>.</w:t>
      </w:r>
    </w:p>
    <w:p w:rsidR="00186B76" w:rsidRPr="0071782F" w:rsidRDefault="00186B76" w:rsidP="00A45A11">
      <w:pPr>
        <w:pStyle w:val="SingleTxtG"/>
        <w:ind w:left="1701"/>
        <w:rPr>
          <w:lang w:val="fr-CH"/>
        </w:rPr>
      </w:pPr>
      <w:r w:rsidRPr="0071782F">
        <w:rPr>
          <w:lang w:val="fr-CH"/>
        </w:rPr>
        <w:t>421.25</w:t>
      </w:r>
      <w:r w:rsidR="005D6873" w:rsidRPr="0071782F">
        <w:rPr>
          <w:lang w:val="fr-CH"/>
        </w:rPr>
        <w:t>.</w:t>
      </w:r>
      <w:r w:rsidRPr="0071782F">
        <w:rPr>
          <w:lang w:val="fr-CH"/>
        </w:rPr>
        <w:t xml:space="preserve"> Publication </w:t>
      </w:r>
      <w:r w:rsidR="00F76218" w:rsidRPr="0071782F">
        <w:rPr>
          <w:lang w:val="fr-CH"/>
        </w:rPr>
        <w:t>de</w:t>
      </w:r>
      <w:r w:rsidRPr="0071782F">
        <w:rPr>
          <w:lang w:val="fr-CH"/>
        </w:rPr>
        <w:t xml:space="preserve"> 30 </w:t>
      </w:r>
      <w:r w:rsidR="00F76218" w:rsidRPr="0071782F">
        <w:rPr>
          <w:lang w:val="fr-CH"/>
        </w:rPr>
        <w:t xml:space="preserve">brochures éducatives sur la santé psychologique des étudiants, pour un tirage global de </w:t>
      </w:r>
      <w:r w:rsidRPr="0071782F">
        <w:rPr>
          <w:lang w:val="fr-CH"/>
        </w:rPr>
        <w:t>934</w:t>
      </w:r>
      <w:r w:rsidR="00F76218" w:rsidRPr="0071782F">
        <w:rPr>
          <w:lang w:val="fr-CH"/>
        </w:rPr>
        <w:t xml:space="preserve"> </w:t>
      </w:r>
      <w:r w:rsidRPr="0071782F">
        <w:rPr>
          <w:lang w:val="fr-CH"/>
        </w:rPr>
        <w:t xml:space="preserve">600 </w:t>
      </w:r>
      <w:r w:rsidR="00F76218" w:rsidRPr="0071782F">
        <w:rPr>
          <w:lang w:val="fr-CH"/>
        </w:rPr>
        <w:t>exemplaires</w:t>
      </w:r>
      <w:r w:rsidRPr="0071782F">
        <w:rPr>
          <w:lang w:val="fr-CH"/>
        </w:rPr>
        <w:t>.</w:t>
      </w:r>
    </w:p>
    <w:p w:rsidR="00186B76" w:rsidRPr="0071782F" w:rsidRDefault="00186B76" w:rsidP="00A45A11">
      <w:pPr>
        <w:pStyle w:val="SingleTxtG"/>
        <w:ind w:left="1701"/>
        <w:rPr>
          <w:lang w:val="fr-CH"/>
        </w:rPr>
      </w:pPr>
      <w:r w:rsidRPr="0071782F">
        <w:rPr>
          <w:lang w:val="fr-CH"/>
        </w:rPr>
        <w:t>421.26</w:t>
      </w:r>
      <w:r w:rsidR="005D6873" w:rsidRPr="0071782F">
        <w:rPr>
          <w:lang w:val="fr-CH"/>
        </w:rPr>
        <w:t>.</w:t>
      </w:r>
      <w:r w:rsidRPr="0071782F">
        <w:rPr>
          <w:lang w:val="fr-CH"/>
        </w:rPr>
        <w:t xml:space="preserve"> </w:t>
      </w:r>
      <w:r w:rsidR="00F76218" w:rsidRPr="0071782F">
        <w:rPr>
          <w:lang w:val="fr-CH"/>
        </w:rPr>
        <w:t>É</w:t>
      </w:r>
      <w:r w:rsidRPr="0071782F">
        <w:rPr>
          <w:lang w:val="fr-CH"/>
        </w:rPr>
        <w:t xml:space="preserve">valuation </w:t>
      </w:r>
      <w:r w:rsidR="00F76218" w:rsidRPr="0071782F">
        <w:rPr>
          <w:lang w:val="fr-CH"/>
        </w:rPr>
        <w:t xml:space="preserve">de </w:t>
      </w:r>
      <w:r w:rsidRPr="0071782F">
        <w:rPr>
          <w:lang w:val="fr-CH"/>
        </w:rPr>
        <w:t>1</w:t>
      </w:r>
      <w:r w:rsidR="00707DCC">
        <w:rPr>
          <w:lang w:val="fr-CH"/>
        </w:rPr>
        <w:t> </w:t>
      </w:r>
      <w:r w:rsidRPr="0071782F">
        <w:rPr>
          <w:lang w:val="fr-CH"/>
        </w:rPr>
        <w:t xml:space="preserve">630 </w:t>
      </w:r>
      <w:r w:rsidR="00F76218" w:rsidRPr="0071782F">
        <w:rPr>
          <w:lang w:val="fr-CH"/>
        </w:rPr>
        <w:t>diplômes étrangers décernés à des étudiants iraniens</w:t>
      </w:r>
      <w:r w:rsidRPr="0071782F">
        <w:rPr>
          <w:lang w:val="fr-CH"/>
        </w:rPr>
        <w:t>.</w:t>
      </w:r>
    </w:p>
    <w:p w:rsidR="00186B76" w:rsidRPr="0071782F" w:rsidRDefault="00186B76" w:rsidP="00A45A11">
      <w:pPr>
        <w:pStyle w:val="SingleTxtG"/>
        <w:ind w:left="1701"/>
        <w:rPr>
          <w:lang w:val="fr-CH"/>
        </w:rPr>
      </w:pPr>
      <w:r w:rsidRPr="0071782F">
        <w:rPr>
          <w:lang w:val="fr-CH"/>
        </w:rPr>
        <w:t>421.27</w:t>
      </w:r>
      <w:r w:rsidR="005D6873" w:rsidRPr="0071782F">
        <w:rPr>
          <w:lang w:val="fr-CH"/>
        </w:rPr>
        <w:t>.</w:t>
      </w:r>
      <w:r w:rsidRPr="0071782F">
        <w:rPr>
          <w:lang w:val="fr-CH"/>
        </w:rPr>
        <w:t xml:space="preserve"> Organi</w:t>
      </w:r>
      <w:r w:rsidR="00F76218" w:rsidRPr="0071782F">
        <w:rPr>
          <w:lang w:val="fr-CH"/>
        </w:rPr>
        <w:t>s</w:t>
      </w:r>
      <w:r w:rsidRPr="0071782F">
        <w:rPr>
          <w:lang w:val="fr-CH"/>
        </w:rPr>
        <w:t xml:space="preserve">ation </w:t>
      </w:r>
      <w:r w:rsidR="00F76218" w:rsidRPr="0071782F">
        <w:rPr>
          <w:lang w:val="fr-CH"/>
        </w:rPr>
        <w:t>à l’Université Kerman d’une Olympiade sportive pour étudiants et étudiantes</w:t>
      </w:r>
      <w:r w:rsidRPr="0071782F">
        <w:rPr>
          <w:lang w:val="fr-CH"/>
        </w:rPr>
        <w:t>.</w:t>
      </w:r>
    </w:p>
    <w:p w:rsidR="00186B76" w:rsidRPr="0071782F" w:rsidRDefault="00186B76" w:rsidP="00A45A11">
      <w:pPr>
        <w:pStyle w:val="H23G"/>
        <w:rPr>
          <w:lang w:val="fr-CH"/>
        </w:rPr>
      </w:pPr>
      <w:r w:rsidRPr="0071782F">
        <w:rPr>
          <w:lang w:val="fr-CH"/>
        </w:rPr>
        <w:tab/>
      </w:r>
      <w:r w:rsidRPr="0071782F">
        <w:rPr>
          <w:lang w:val="fr-CH"/>
        </w:rPr>
        <w:tab/>
        <w:t>Culture</w:t>
      </w:r>
    </w:p>
    <w:p w:rsidR="00186B76" w:rsidRPr="0071782F" w:rsidRDefault="00186B76" w:rsidP="00A45A11">
      <w:pPr>
        <w:pStyle w:val="SingleTxtG"/>
        <w:rPr>
          <w:lang w:val="fr-CH"/>
        </w:rPr>
      </w:pPr>
      <w:r w:rsidRPr="0071782F">
        <w:rPr>
          <w:lang w:val="fr-CH"/>
        </w:rPr>
        <w:t>422.</w:t>
      </w:r>
      <w:r w:rsidRPr="0071782F">
        <w:rPr>
          <w:lang w:val="fr-CH"/>
        </w:rPr>
        <w:tab/>
      </w:r>
      <w:r w:rsidR="00982035" w:rsidRPr="0071782F">
        <w:rPr>
          <w:lang w:val="fr-CH"/>
        </w:rPr>
        <w:t>À ce sujet, il convient de noter ce qui suit</w:t>
      </w:r>
      <w:r w:rsidR="008F7D33" w:rsidRPr="0071782F">
        <w:rPr>
          <w:lang w:val="fr-CH"/>
        </w:rPr>
        <w:t>:</w:t>
      </w:r>
    </w:p>
    <w:p w:rsidR="00186B76" w:rsidRPr="0071782F" w:rsidRDefault="00186B76" w:rsidP="00A45A11">
      <w:pPr>
        <w:pStyle w:val="SingleTxtG"/>
        <w:ind w:left="1701"/>
        <w:rPr>
          <w:lang w:val="fr-CH"/>
        </w:rPr>
      </w:pPr>
      <w:r w:rsidRPr="0071782F">
        <w:rPr>
          <w:lang w:val="fr-CH"/>
        </w:rPr>
        <w:t>422.1</w:t>
      </w:r>
      <w:r w:rsidR="005D6873" w:rsidRPr="0071782F">
        <w:rPr>
          <w:lang w:val="fr-CH"/>
        </w:rPr>
        <w:t>.</w:t>
      </w:r>
      <w:r w:rsidRPr="0071782F">
        <w:rPr>
          <w:lang w:val="fr-CH"/>
        </w:rPr>
        <w:tab/>
      </w:r>
      <w:r w:rsidR="00777D9C" w:rsidRPr="0071782F">
        <w:rPr>
          <w:lang w:val="fr-CH"/>
        </w:rPr>
        <w:t xml:space="preserve">Élaboration du plan social et culturel quinquennal des universités et autres établissements d’enseignement supérieur sur la base des </w:t>
      </w:r>
      <w:r w:rsidRPr="0071782F">
        <w:rPr>
          <w:lang w:val="fr-CH"/>
        </w:rPr>
        <w:t>recomm</w:t>
      </w:r>
      <w:r w:rsidR="00777D9C" w:rsidRPr="0071782F">
        <w:rPr>
          <w:lang w:val="fr-CH"/>
        </w:rPr>
        <w:t>a</w:t>
      </w:r>
      <w:r w:rsidRPr="0071782F">
        <w:rPr>
          <w:lang w:val="fr-CH"/>
        </w:rPr>
        <w:t xml:space="preserve">ndations </w:t>
      </w:r>
      <w:r w:rsidR="00777D9C" w:rsidRPr="0071782F">
        <w:rPr>
          <w:lang w:val="fr-CH"/>
        </w:rPr>
        <w:t>de feu l’</w:t>
      </w:r>
      <w:r w:rsidRPr="0071782F">
        <w:rPr>
          <w:lang w:val="fr-CH"/>
        </w:rPr>
        <w:t xml:space="preserve">Imam Khomeini </w:t>
      </w:r>
      <w:r w:rsidR="00777D9C" w:rsidRPr="0071782F">
        <w:rPr>
          <w:lang w:val="fr-CH"/>
        </w:rPr>
        <w:t>et de celles du Guide suprême, du Plan stratégique sur 20</w:t>
      </w:r>
      <w:r w:rsidR="00D82C96" w:rsidRPr="0071782F">
        <w:rPr>
          <w:lang w:val="fr-CH"/>
        </w:rPr>
        <w:t> ans</w:t>
      </w:r>
      <w:r w:rsidR="00777D9C" w:rsidRPr="0071782F">
        <w:rPr>
          <w:lang w:val="fr-CH"/>
        </w:rPr>
        <w:t xml:space="preserve">, du </w:t>
      </w:r>
      <w:r w:rsidR="00A90208" w:rsidRPr="0071782F">
        <w:rPr>
          <w:lang w:val="fr-CH"/>
        </w:rPr>
        <w:t>quatrième</w:t>
      </w:r>
      <w:r w:rsidR="00777D9C" w:rsidRPr="0071782F">
        <w:rPr>
          <w:lang w:val="fr-CH"/>
        </w:rPr>
        <w:t xml:space="preserve"> plan de développement et du </w:t>
      </w:r>
      <w:r w:rsidRPr="0071782F">
        <w:rPr>
          <w:lang w:val="fr-CH"/>
        </w:rPr>
        <w:t>program</w:t>
      </w:r>
      <w:r w:rsidR="00777D9C" w:rsidRPr="0071782F">
        <w:rPr>
          <w:lang w:val="fr-CH"/>
        </w:rPr>
        <w:t>me présenté au Parlement par le Ministre de l’enseignement supérieur</w:t>
      </w:r>
      <w:r w:rsidRPr="0071782F">
        <w:rPr>
          <w:lang w:val="fr-CH"/>
        </w:rPr>
        <w:t>.</w:t>
      </w:r>
    </w:p>
    <w:p w:rsidR="00186B76" w:rsidRPr="0071782F" w:rsidRDefault="00186B76" w:rsidP="00A45A11">
      <w:pPr>
        <w:pStyle w:val="SingleTxtG"/>
        <w:ind w:left="1701"/>
        <w:rPr>
          <w:lang w:val="fr-CH"/>
        </w:rPr>
      </w:pPr>
      <w:r w:rsidRPr="0071782F">
        <w:rPr>
          <w:lang w:val="fr-CH"/>
        </w:rPr>
        <w:t>422.2</w:t>
      </w:r>
      <w:r w:rsidR="005D6873" w:rsidRPr="0071782F">
        <w:rPr>
          <w:lang w:val="fr-CH"/>
        </w:rPr>
        <w:t>.</w:t>
      </w:r>
      <w:r w:rsidRPr="0071782F">
        <w:rPr>
          <w:lang w:val="fr-CH"/>
        </w:rPr>
        <w:tab/>
      </w:r>
      <w:r w:rsidR="003625FE" w:rsidRPr="0071782F">
        <w:rPr>
          <w:lang w:val="fr-CH"/>
        </w:rPr>
        <w:t xml:space="preserve">Création du groupe des professeurs d’élite d’Iran </w:t>
      </w:r>
      <w:r w:rsidRPr="0071782F">
        <w:rPr>
          <w:lang w:val="fr-CH"/>
        </w:rPr>
        <w:t xml:space="preserve">(JANA) </w:t>
      </w:r>
      <w:r w:rsidR="003625FE" w:rsidRPr="0071782F">
        <w:rPr>
          <w:lang w:val="fr-CH"/>
        </w:rPr>
        <w:t>en vue de mettre en place une cellule de réflexion pour le Ministère de l’enseignement supérieur et le gouvernement, et mise en relation de ce groupe avec la Fondation pour l’élite pour lui permettre de se faire reconnaître</w:t>
      </w:r>
      <w:r w:rsidRPr="0071782F">
        <w:rPr>
          <w:lang w:val="fr-CH"/>
        </w:rPr>
        <w:t>.</w:t>
      </w:r>
    </w:p>
    <w:p w:rsidR="00186B76" w:rsidRPr="0071782F" w:rsidRDefault="00186B76" w:rsidP="00A45A11">
      <w:pPr>
        <w:pStyle w:val="SingleTxtG"/>
        <w:ind w:left="1701"/>
        <w:rPr>
          <w:lang w:val="fr-CH"/>
        </w:rPr>
      </w:pPr>
      <w:r w:rsidRPr="0071782F">
        <w:rPr>
          <w:lang w:val="fr-CH"/>
        </w:rPr>
        <w:t>422.3</w:t>
      </w:r>
      <w:r w:rsidR="005D6873" w:rsidRPr="0071782F">
        <w:rPr>
          <w:lang w:val="fr-CH"/>
        </w:rPr>
        <w:t>.</w:t>
      </w:r>
      <w:r w:rsidRPr="0071782F">
        <w:rPr>
          <w:lang w:val="fr-CH"/>
        </w:rPr>
        <w:tab/>
      </w:r>
      <w:r w:rsidR="003625FE" w:rsidRPr="0071782F">
        <w:rPr>
          <w:lang w:val="fr-CH"/>
        </w:rPr>
        <w:t xml:space="preserve">Planification de la mise en </w:t>
      </w:r>
      <w:r w:rsidR="00D5366B" w:rsidRPr="0071782F">
        <w:rPr>
          <w:lang w:val="fr-CH"/>
        </w:rPr>
        <w:t>œuvre</w:t>
      </w:r>
      <w:r w:rsidR="003625FE" w:rsidRPr="0071782F">
        <w:rPr>
          <w:lang w:val="fr-CH"/>
        </w:rPr>
        <w:t xml:space="preserve"> </w:t>
      </w:r>
      <w:r w:rsidR="00A96335" w:rsidRPr="0071782F">
        <w:rPr>
          <w:lang w:val="fr-CH"/>
        </w:rPr>
        <w:t>du mot d’ordre</w:t>
      </w:r>
      <w:r w:rsidR="003625FE" w:rsidRPr="0071782F">
        <w:rPr>
          <w:lang w:val="fr-CH"/>
        </w:rPr>
        <w:t xml:space="preserve"> </w:t>
      </w:r>
      <w:r w:rsidR="00A62149" w:rsidRPr="0071782F">
        <w:rPr>
          <w:lang w:val="fr-CH"/>
        </w:rPr>
        <w:t>"</w:t>
      </w:r>
      <w:r w:rsidR="003625FE" w:rsidRPr="0071782F">
        <w:rPr>
          <w:lang w:val="fr-CH"/>
        </w:rPr>
        <w:t xml:space="preserve">une </w:t>
      </w:r>
      <w:r w:rsidRPr="0071782F">
        <w:rPr>
          <w:lang w:val="fr-CH"/>
        </w:rPr>
        <w:t xml:space="preserve">association </w:t>
      </w:r>
      <w:r w:rsidR="003625FE" w:rsidRPr="0071782F">
        <w:rPr>
          <w:lang w:val="fr-CH"/>
        </w:rPr>
        <w:t>d’étudiants par matière et par université</w:t>
      </w:r>
      <w:r w:rsidR="00A62149" w:rsidRPr="0071782F">
        <w:rPr>
          <w:lang w:val="fr-CH"/>
        </w:rPr>
        <w:t>"</w:t>
      </w:r>
      <w:r w:rsidRPr="0071782F">
        <w:rPr>
          <w:lang w:val="fr-CH"/>
        </w:rPr>
        <w:t>,</w:t>
      </w:r>
      <w:r w:rsidR="003625FE" w:rsidRPr="0071782F">
        <w:rPr>
          <w:lang w:val="fr-CH"/>
        </w:rPr>
        <w:t xml:space="preserve"> dans le cadre du discours scientifique en tant que discours universitaire dominant</w:t>
      </w:r>
      <w:r w:rsidRPr="0071782F">
        <w:rPr>
          <w:lang w:val="fr-CH"/>
        </w:rPr>
        <w:t xml:space="preserve">. </w:t>
      </w:r>
      <w:r w:rsidR="003625FE" w:rsidRPr="0071782F">
        <w:rPr>
          <w:lang w:val="fr-CH"/>
        </w:rPr>
        <w:t>Cinq</w:t>
      </w:r>
      <w:r w:rsidR="008553D9" w:rsidRPr="0071782F">
        <w:rPr>
          <w:lang w:val="fr-CH"/>
        </w:rPr>
        <w:t> milliard</w:t>
      </w:r>
      <w:r w:rsidR="00097CDB" w:rsidRPr="0071782F">
        <w:rPr>
          <w:lang w:val="fr-CH"/>
        </w:rPr>
        <w:t>s</w:t>
      </w:r>
      <w:r w:rsidR="003625FE" w:rsidRPr="0071782F">
        <w:rPr>
          <w:lang w:val="fr-CH"/>
        </w:rPr>
        <w:t xml:space="preserve"> </w:t>
      </w:r>
      <w:r w:rsidR="003B1403" w:rsidRPr="0071782F">
        <w:rPr>
          <w:lang w:val="fr-CH"/>
        </w:rPr>
        <w:t>de rials</w:t>
      </w:r>
      <w:r w:rsidR="003625FE" w:rsidRPr="0071782F">
        <w:rPr>
          <w:lang w:val="fr-CH"/>
        </w:rPr>
        <w:t xml:space="preserve"> ont été affectés à cette fin.</w:t>
      </w:r>
      <w:r w:rsidRPr="0071782F">
        <w:rPr>
          <w:lang w:val="fr-CH"/>
        </w:rPr>
        <w:t xml:space="preserve"> </w:t>
      </w:r>
      <w:r w:rsidR="003625FE" w:rsidRPr="0071782F">
        <w:rPr>
          <w:lang w:val="fr-CH"/>
        </w:rPr>
        <w:t xml:space="preserve">Le </w:t>
      </w:r>
      <w:r w:rsidR="003B48A4" w:rsidRPr="0071782F">
        <w:rPr>
          <w:lang w:val="fr-CH"/>
        </w:rPr>
        <w:t>nombre</w:t>
      </w:r>
      <w:r w:rsidRPr="0071782F">
        <w:rPr>
          <w:lang w:val="fr-CH"/>
        </w:rPr>
        <w:t xml:space="preserve"> </w:t>
      </w:r>
      <w:r w:rsidR="003625FE" w:rsidRPr="0071782F">
        <w:rPr>
          <w:lang w:val="fr-CH"/>
        </w:rPr>
        <w:t xml:space="preserve">de ces </w:t>
      </w:r>
      <w:r w:rsidRPr="0071782F">
        <w:rPr>
          <w:lang w:val="fr-CH"/>
        </w:rPr>
        <w:t xml:space="preserve">associations </w:t>
      </w:r>
      <w:r w:rsidR="003625FE" w:rsidRPr="0071782F">
        <w:rPr>
          <w:lang w:val="fr-CH"/>
        </w:rPr>
        <w:t xml:space="preserve">est passé de </w:t>
      </w:r>
      <w:r w:rsidRPr="0071782F">
        <w:rPr>
          <w:lang w:val="fr-CH"/>
        </w:rPr>
        <w:t xml:space="preserve">800 </w:t>
      </w:r>
      <w:r w:rsidR="003625FE" w:rsidRPr="0071782F">
        <w:rPr>
          <w:lang w:val="fr-CH"/>
        </w:rPr>
        <w:t>à</w:t>
      </w:r>
      <w:r w:rsidRPr="0071782F">
        <w:rPr>
          <w:lang w:val="fr-CH"/>
        </w:rPr>
        <w:t xml:space="preserve"> 1</w:t>
      </w:r>
      <w:r w:rsidR="003625FE" w:rsidRPr="0071782F">
        <w:rPr>
          <w:lang w:val="fr-CH"/>
        </w:rPr>
        <w:t xml:space="preserve"> </w:t>
      </w:r>
      <w:r w:rsidRPr="0071782F">
        <w:rPr>
          <w:lang w:val="fr-CH"/>
        </w:rPr>
        <w:t xml:space="preserve">600. </w:t>
      </w:r>
      <w:r w:rsidR="003625FE" w:rsidRPr="0071782F">
        <w:rPr>
          <w:lang w:val="fr-CH"/>
        </w:rPr>
        <w:t xml:space="preserve">Au cours de l’année qui vient, </w:t>
      </w:r>
      <w:r w:rsidRPr="0071782F">
        <w:rPr>
          <w:lang w:val="fr-CH"/>
        </w:rPr>
        <w:t>5</w:t>
      </w:r>
      <w:r w:rsidR="003625FE" w:rsidRPr="0071782F">
        <w:rPr>
          <w:lang w:val="fr-CH"/>
        </w:rPr>
        <w:t xml:space="preserve"> </w:t>
      </w:r>
      <w:r w:rsidRPr="0071782F">
        <w:rPr>
          <w:lang w:val="fr-CH"/>
        </w:rPr>
        <w:t>000</w:t>
      </w:r>
      <w:r w:rsidR="00860D09" w:rsidRPr="0071782F">
        <w:rPr>
          <w:lang w:val="fr-CH"/>
        </w:rPr>
        <w:t> rials</w:t>
      </w:r>
      <w:r w:rsidRPr="0071782F">
        <w:rPr>
          <w:lang w:val="fr-CH"/>
        </w:rPr>
        <w:t xml:space="preserve"> </w:t>
      </w:r>
      <w:r w:rsidR="003625FE" w:rsidRPr="0071782F">
        <w:rPr>
          <w:lang w:val="fr-CH"/>
        </w:rPr>
        <w:t>leur seront alloués pour y impulser la recherche et l’</w:t>
      </w:r>
      <w:r w:rsidRPr="0071782F">
        <w:rPr>
          <w:lang w:val="fr-CH"/>
        </w:rPr>
        <w:t xml:space="preserve">innovation </w:t>
      </w:r>
      <w:r w:rsidR="003625FE" w:rsidRPr="0071782F">
        <w:rPr>
          <w:lang w:val="fr-CH"/>
        </w:rPr>
        <w:t xml:space="preserve">dans les technologies de l’information. </w:t>
      </w:r>
    </w:p>
    <w:p w:rsidR="00186B76" w:rsidRPr="0071782F" w:rsidRDefault="00186B76" w:rsidP="00A45A11">
      <w:pPr>
        <w:pStyle w:val="SingleTxtG"/>
        <w:ind w:left="1701"/>
        <w:rPr>
          <w:lang w:val="fr-CH"/>
        </w:rPr>
      </w:pPr>
      <w:r w:rsidRPr="0071782F">
        <w:rPr>
          <w:lang w:val="fr-CH"/>
        </w:rPr>
        <w:t>422.4</w:t>
      </w:r>
      <w:r w:rsidR="005D6873" w:rsidRPr="0071782F">
        <w:rPr>
          <w:lang w:val="fr-CH"/>
        </w:rPr>
        <w:t>.</w:t>
      </w:r>
      <w:r w:rsidRPr="0071782F">
        <w:rPr>
          <w:lang w:val="fr-CH"/>
        </w:rPr>
        <w:tab/>
      </w:r>
      <w:r w:rsidR="00A96335" w:rsidRPr="0071782F">
        <w:rPr>
          <w:lang w:val="fr-CH"/>
        </w:rPr>
        <w:t xml:space="preserve">Création de </w:t>
      </w:r>
      <w:r w:rsidRPr="0071782F">
        <w:rPr>
          <w:lang w:val="fr-CH"/>
        </w:rPr>
        <w:t xml:space="preserve">15 </w:t>
      </w:r>
      <w:r w:rsidR="00A96335" w:rsidRPr="0071782F">
        <w:rPr>
          <w:lang w:val="fr-CH"/>
        </w:rPr>
        <w:t xml:space="preserve">maisons de la </w:t>
      </w:r>
      <w:r w:rsidRPr="0071782F">
        <w:rPr>
          <w:lang w:val="fr-CH"/>
        </w:rPr>
        <w:t xml:space="preserve">culture </w:t>
      </w:r>
      <w:r w:rsidR="00A96335" w:rsidRPr="0071782F">
        <w:rPr>
          <w:lang w:val="fr-CH"/>
        </w:rPr>
        <w:t xml:space="preserve">dans les résidences des régions défavorisées afin de mettre en </w:t>
      </w:r>
      <w:r w:rsidR="00D5366B" w:rsidRPr="0071782F">
        <w:rPr>
          <w:lang w:val="fr-CH"/>
        </w:rPr>
        <w:t>œuvre</w:t>
      </w:r>
      <w:r w:rsidR="00A96335" w:rsidRPr="0071782F">
        <w:rPr>
          <w:lang w:val="fr-CH"/>
        </w:rPr>
        <w:t xml:space="preserve"> le mot d’ordre de l’extension de la culture à travers le pays</w:t>
      </w:r>
      <w:r w:rsidRPr="0071782F">
        <w:rPr>
          <w:lang w:val="fr-CH"/>
        </w:rPr>
        <w:t xml:space="preserve">, </w:t>
      </w:r>
      <w:r w:rsidR="00A96335" w:rsidRPr="0071782F">
        <w:rPr>
          <w:lang w:val="fr-CH"/>
        </w:rPr>
        <w:t xml:space="preserve">et planification de la création d’au moins huit autres maisons de la culture dans le cadre du </w:t>
      </w:r>
      <w:r w:rsidR="00A62149" w:rsidRPr="0071782F">
        <w:rPr>
          <w:lang w:val="fr-CH"/>
        </w:rPr>
        <w:t>"</w:t>
      </w:r>
      <w:r w:rsidR="00A96335" w:rsidRPr="0071782F">
        <w:rPr>
          <w:lang w:val="fr-CH"/>
        </w:rPr>
        <w:t xml:space="preserve">travail </w:t>
      </w:r>
      <w:r w:rsidRPr="0071782F">
        <w:rPr>
          <w:lang w:val="fr-CH"/>
        </w:rPr>
        <w:t>cultur</w:t>
      </w:r>
      <w:r w:rsidR="00A96335" w:rsidRPr="0071782F">
        <w:rPr>
          <w:lang w:val="fr-CH"/>
        </w:rPr>
        <w:t>e</w:t>
      </w:r>
      <w:r w:rsidRPr="0071782F">
        <w:rPr>
          <w:lang w:val="fr-CH"/>
        </w:rPr>
        <w:t xml:space="preserve">l </w:t>
      </w:r>
      <w:r w:rsidR="00A96335" w:rsidRPr="0071782F">
        <w:rPr>
          <w:lang w:val="fr-CH"/>
        </w:rPr>
        <w:t>dans les résidences universitaires</w:t>
      </w:r>
      <w:r w:rsidR="00A62149" w:rsidRPr="0071782F">
        <w:rPr>
          <w:lang w:val="fr-CH"/>
        </w:rPr>
        <w:t>"</w:t>
      </w:r>
      <w:r w:rsidRPr="0071782F">
        <w:rPr>
          <w:lang w:val="fr-CH"/>
        </w:rPr>
        <w:t xml:space="preserve">. </w:t>
      </w:r>
      <w:r w:rsidR="00A96335" w:rsidRPr="0071782F">
        <w:rPr>
          <w:lang w:val="fr-CH"/>
        </w:rPr>
        <w:t>Quatre</w:t>
      </w:r>
      <w:r w:rsidR="00707DCC">
        <w:rPr>
          <w:lang w:val="fr-CH"/>
        </w:rPr>
        <w:t xml:space="preserve"> </w:t>
      </w:r>
      <w:r w:rsidR="008553D9" w:rsidRPr="0071782F">
        <w:rPr>
          <w:lang w:val="fr-CH"/>
        </w:rPr>
        <w:t>milliard</w:t>
      </w:r>
      <w:r w:rsidR="00097CDB" w:rsidRPr="0071782F">
        <w:rPr>
          <w:lang w:val="fr-CH"/>
        </w:rPr>
        <w:t>s</w:t>
      </w:r>
      <w:r w:rsidR="00A96335" w:rsidRPr="0071782F">
        <w:rPr>
          <w:lang w:val="fr-CH"/>
        </w:rPr>
        <w:t xml:space="preserve"> et demi </w:t>
      </w:r>
      <w:r w:rsidR="003B1403" w:rsidRPr="0071782F">
        <w:rPr>
          <w:lang w:val="fr-CH"/>
        </w:rPr>
        <w:t>de rials</w:t>
      </w:r>
      <w:r w:rsidRPr="0071782F">
        <w:rPr>
          <w:lang w:val="fr-CH"/>
        </w:rPr>
        <w:t xml:space="preserve"> </w:t>
      </w:r>
      <w:r w:rsidR="00A96335" w:rsidRPr="0071782F">
        <w:rPr>
          <w:lang w:val="fr-CH"/>
        </w:rPr>
        <w:t>ont été affectés à cette fin, à quoi est venu s’ajouter un montant égal fourni par les universités, et un autre montant de cinq</w:t>
      </w:r>
      <w:r w:rsidR="008553D9" w:rsidRPr="0071782F">
        <w:rPr>
          <w:lang w:val="fr-CH"/>
        </w:rPr>
        <w:t> milliard</w:t>
      </w:r>
      <w:r w:rsidR="00097CDB" w:rsidRPr="0071782F">
        <w:rPr>
          <w:lang w:val="fr-CH"/>
        </w:rPr>
        <w:t>s</w:t>
      </w:r>
      <w:r w:rsidR="00A96335" w:rsidRPr="0071782F">
        <w:rPr>
          <w:lang w:val="fr-CH"/>
        </w:rPr>
        <w:t xml:space="preserve"> sera fourni d’ici à la fin de l’année.</w:t>
      </w:r>
    </w:p>
    <w:p w:rsidR="00186B76" w:rsidRPr="0071782F" w:rsidRDefault="00186B76" w:rsidP="00F87E26">
      <w:pPr>
        <w:pStyle w:val="SingleTxtG"/>
        <w:ind w:left="1701"/>
        <w:rPr>
          <w:lang w:val="fr-CH"/>
        </w:rPr>
      </w:pPr>
      <w:r w:rsidRPr="0071782F">
        <w:rPr>
          <w:lang w:val="fr-CH"/>
        </w:rPr>
        <w:t>422.5</w:t>
      </w:r>
      <w:r w:rsidR="005D6873" w:rsidRPr="0071782F">
        <w:rPr>
          <w:lang w:val="fr-CH"/>
        </w:rPr>
        <w:t>.</w:t>
      </w:r>
      <w:r w:rsidRPr="0071782F">
        <w:rPr>
          <w:lang w:val="fr-CH"/>
        </w:rPr>
        <w:tab/>
      </w:r>
      <w:r w:rsidR="008B4149" w:rsidRPr="0071782F">
        <w:rPr>
          <w:lang w:val="fr-CH"/>
        </w:rPr>
        <w:t>Équipement culturel des résidences visant à y organiser le temps libre et allocation de ressources à tous les étudiants, et non pas seulement à ceux qui participent aux activités culturelles.</w:t>
      </w:r>
      <w:r w:rsidR="00D36718">
        <w:rPr>
          <w:lang w:val="fr-CH"/>
        </w:rPr>
        <w:t xml:space="preserve"> </w:t>
      </w:r>
      <w:r w:rsidR="008B4149" w:rsidRPr="0071782F">
        <w:rPr>
          <w:lang w:val="fr-CH"/>
        </w:rPr>
        <w:t>Quatre</w:t>
      </w:r>
      <w:r w:rsidR="00707DCC">
        <w:rPr>
          <w:lang w:val="fr-CH"/>
        </w:rPr>
        <w:t xml:space="preserve"> </w:t>
      </w:r>
      <w:r w:rsidR="008553D9" w:rsidRPr="0071782F">
        <w:rPr>
          <w:lang w:val="fr-CH"/>
        </w:rPr>
        <w:t>milliard</w:t>
      </w:r>
      <w:r w:rsidR="00097CDB" w:rsidRPr="0071782F">
        <w:rPr>
          <w:lang w:val="fr-CH"/>
        </w:rPr>
        <w:t>s</w:t>
      </w:r>
      <w:r w:rsidR="008B4149" w:rsidRPr="0071782F">
        <w:rPr>
          <w:lang w:val="fr-CH"/>
        </w:rPr>
        <w:t xml:space="preserve"> </w:t>
      </w:r>
      <w:r w:rsidR="003B1403" w:rsidRPr="0071782F">
        <w:rPr>
          <w:lang w:val="fr-CH"/>
        </w:rPr>
        <w:t>de rials</w:t>
      </w:r>
      <w:r w:rsidR="008B4149" w:rsidRPr="0071782F">
        <w:rPr>
          <w:lang w:val="fr-CH"/>
        </w:rPr>
        <w:t xml:space="preserve"> ont été affectés à</w:t>
      </w:r>
      <w:r w:rsidRPr="0071782F">
        <w:rPr>
          <w:lang w:val="fr-CH"/>
        </w:rPr>
        <w:t xml:space="preserve"> </w:t>
      </w:r>
      <w:r w:rsidR="008B4149" w:rsidRPr="0071782F">
        <w:rPr>
          <w:lang w:val="fr-CH"/>
        </w:rPr>
        <w:t xml:space="preserve">la fourniture d’équipements tels que </w:t>
      </w:r>
      <w:r w:rsidRPr="0071782F">
        <w:rPr>
          <w:lang w:val="fr-CH"/>
        </w:rPr>
        <w:t>t</w:t>
      </w:r>
      <w:r w:rsidR="008B4149" w:rsidRPr="0071782F">
        <w:rPr>
          <w:lang w:val="fr-CH"/>
        </w:rPr>
        <w:t>é</w:t>
      </w:r>
      <w:r w:rsidRPr="0071782F">
        <w:rPr>
          <w:lang w:val="fr-CH"/>
        </w:rPr>
        <w:t>l</w:t>
      </w:r>
      <w:r w:rsidR="008B4149" w:rsidRPr="0071782F">
        <w:rPr>
          <w:lang w:val="fr-CH"/>
        </w:rPr>
        <w:t>évisions, radios et magnétoscopes, qui vont être livrés avant le début de la nouvelle année universitaire.</w:t>
      </w:r>
      <w:r w:rsidRPr="0071782F">
        <w:rPr>
          <w:lang w:val="fr-CH"/>
        </w:rPr>
        <w:t xml:space="preserve"> </w:t>
      </w:r>
      <w:r w:rsidR="008B4149" w:rsidRPr="0071782F">
        <w:rPr>
          <w:lang w:val="fr-CH"/>
        </w:rPr>
        <w:t xml:space="preserve">Par ailleurs, les bibliothèques des résidences se conformeront bientôt, grâce à l’appui du Président, à la norme d’un livre pour cinq étudiants. </w:t>
      </w:r>
    </w:p>
    <w:p w:rsidR="00186B76" w:rsidRPr="0071782F" w:rsidRDefault="00186B76" w:rsidP="00F87E26">
      <w:pPr>
        <w:pStyle w:val="SingleTxtG"/>
        <w:ind w:left="1701"/>
        <w:rPr>
          <w:lang w:val="fr-CH"/>
        </w:rPr>
      </w:pPr>
      <w:r w:rsidRPr="0071782F">
        <w:rPr>
          <w:lang w:val="fr-CH"/>
        </w:rPr>
        <w:t>422.6</w:t>
      </w:r>
      <w:r w:rsidR="005D6873" w:rsidRPr="0071782F">
        <w:rPr>
          <w:lang w:val="fr-CH"/>
        </w:rPr>
        <w:t>.</w:t>
      </w:r>
      <w:r w:rsidRPr="0071782F">
        <w:rPr>
          <w:lang w:val="fr-CH"/>
        </w:rPr>
        <w:tab/>
      </w:r>
      <w:r w:rsidR="008B4149" w:rsidRPr="0071782F">
        <w:rPr>
          <w:lang w:val="fr-CH"/>
        </w:rPr>
        <w:t xml:space="preserve">Conception et implantation dans les universités de nouveaux organismes et fondations culturels tels que l’Association des foyers et des résidences, destinée à utiliser les capacités </w:t>
      </w:r>
      <w:r w:rsidR="004E45FB" w:rsidRPr="0071782F">
        <w:rPr>
          <w:lang w:val="fr-CH"/>
        </w:rPr>
        <w:t>des familles</w:t>
      </w:r>
      <w:r w:rsidR="008B4149" w:rsidRPr="0071782F">
        <w:rPr>
          <w:lang w:val="fr-CH"/>
        </w:rPr>
        <w:t xml:space="preserve"> s’agissant de promouvoir la santé culturelle et psychologique dans les résidences </w:t>
      </w:r>
      <w:r w:rsidRPr="0071782F">
        <w:rPr>
          <w:lang w:val="fr-CH"/>
        </w:rPr>
        <w:t>(</w:t>
      </w:r>
      <w:r w:rsidR="008B4149" w:rsidRPr="0071782F">
        <w:rPr>
          <w:lang w:val="fr-CH"/>
        </w:rPr>
        <w:t>ce projet est à l’étude et le règlement correspondant en cours d’élaboration</w:t>
      </w:r>
      <w:r w:rsidRPr="0071782F">
        <w:rPr>
          <w:lang w:val="fr-CH"/>
        </w:rPr>
        <w:t xml:space="preserve">); </w:t>
      </w:r>
      <w:r w:rsidR="008B4149" w:rsidRPr="0071782F">
        <w:rPr>
          <w:lang w:val="fr-CH"/>
        </w:rPr>
        <w:t>le Conseil des conseillers des étudiants, qui regroupe les présidents d’université et a pour objectifs un renforcement efficace des capacités institutionnelles civiles, l’organisation d’un échange bidirectionnel d’informations et la formulation de politiques et de demandes mutuelles</w:t>
      </w:r>
      <w:r w:rsidRPr="0071782F">
        <w:rPr>
          <w:lang w:val="fr-CH"/>
        </w:rPr>
        <w:t xml:space="preserve">; </w:t>
      </w:r>
      <w:r w:rsidR="008B4149" w:rsidRPr="0071782F">
        <w:rPr>
          <w:lang w:val="fr-CH"/>
        </w:rPr>
        <w:t xml:space="preserve">des </w:t>
      </w:r>
      <w:r w:rsidRPr="0071782F">
        <w:rPr>
          <w:lang w:val="fr-CH"/>
        </w:rPr>
        <w:t xml:space="preserve">complexes </w:t>
      </w:r>
      <w:r w:rsidR="008B4149" w:rsidRPr="0071782F">
        <w:rPr>
          <w:lang w:val="fr-CH"/>
        </w:rPr>
        <w:t>culturels destinés à organiser les activités des étudiants, notamment dans les domaines culture</w:t>
      </w:r>
      <w:r w:rsidRPr="0071782F">
        <w:rPr>
          <w:lang w:val="fr-CH"/>
        </w:rPr>
        <w:t>l, scientifi</w:t>
      </w:r>
      <w:r w:rsidR="008B4149" w:rsidRPr="0071782F">
        <w:rPr>
          <w:lang w:val="fr-CH"/>
        </w:rPr>
        <w:t>que</w:t>
      </w:r>
      <w:r w:rsidRPr="0071782F">
        <w:rPr>
          <w:lang w:val="fr-CH"/>
        </w:rPr>
        <w:t>, politi</w:t>
      </w:r>
      <w:r w:rsidR="008B4149" w:rsidRPr="0071782F">
        <w:rPr>
          <w:lang w:val="fr-CH"/>
        </w:rPr>
        <w:t>que et</w:t>
      </w:r>
      <w:r w:rsidRPr="0071782F">
        <w:rPr>
          <w:lang w:val="fr-CH"/>
        </w:rPr>
        <w:t xml:space="preserve"> profession</w:t>
      </w:r>
      <w:r w:rsidR="008B4149" w:rsidRPr="0071782F">
        <w:rPr>
          <w:lang w:val="fr-CH"/>
        </w:rPr>
        <w:t xml:space="preserve">nel </w:t>
      </w:r>
      <w:r w:rsidRPr="0071782F">
        <w:rPr>
          <w:lang w:val="fr-CH"/>
        </w:rPr>
        <w:t>(</w:t>
      </w:r>
      <w:r w:rsidR="008B4149" w:rsidRPr="0071782F">
        <w:rPr>
          <w:lang w:val="fr-CH"/>
        </w:rPr>
        <w:t>ce</w:t>
      </w:r>
      <w:r w:rsidRPr="0071782F">
        <w:rPr>
          <w:lang w:val="fr-CH"/>
        </w:rPr>
        <w:t xml:space="preserve"> p</w:t>
      </w:r>
      <w:r w:rsidR="008B4149" w:rsidRPr="0071782F">
        <w:rPr>
          <w:lang w:val="fr-CH"/>
        </w:rPr>
        <w:t>rojet est à l’étude et en cours de préparation</w:t>
      </w:r>
      <w:r w:rsidRPr="0071782F">
        <w:rPr>
          <w:lang w:val="fr-CH"/>
        </w:rPr>
        <w:t xml:space="preserve">); </w:t>
      </w:r>
      <w:r w:rsidR="008B4149" w:rsidRPr="0071782F">
        <w:rPr>
          <w:lang w:val="fr-CH"/>
        </w:rPr>
        <w:t xml:space="preserve">des maisons de la </w:t>
      </w:r>
      <w:r w:rsidRPr="0071782F">
        <w:rPr>
          <w:lang w:val="fr-CH"/>
        </w:rPr>
        <w:t xml:space="preserve">culture </w:t>
      </w:r>
      <w:r w:rsidR="008B4149" w:rsidRPr="0071782F">
        <w:rPr>
          <w:lang w:val="fr-CH"/>
        </w:rPr>
        <w:t>dans les résidences, visant à y créer une saine atmosphè</w:t>
      </w:r>
      <w:r w:rsidRPr="0071782F">
        <w:rPr>
          <w:lang w:val="fr-CH"/>
        </w:rPr>
        <w:t xml:space="preserve">re </w:t>
      </w:r>
      <w:r w:rsidR="008B4149" w:rsidRPr="0071782F">
        <w:rPr>
          <w:lang w:val="fr-CH"/>
        </w:rPr>
        <w:t xml:space="preserve">et à permettre aux étudiants de mieux utiliser leur temps libre </w:t>
      </w:r>
      <w:r w:rsidRPr="0071782F">
        <w:rPr>
          <w:lang w:val="fr-CH"/>
        </w:rPr>
        <w:t>(</w:t>
      </w:r>
      <w:r w:rsidR="008B4149" w:rsidRPr="0071782F">
        <w:rPr>
          <w:lang w:val="fr-CH"/>
        </w:rPr>
        <w:t>ce projet est en</w:t>
      </w:r>
      <w:r w:rsidR="00262CD0" w:rsidRPr="0071782F">
        <w:rPr>
          <w:lang w:val="fr-CH"/>
        </w:rPr>
        <w:t xml:space="preserve"> </w:t>
      </w:r>
      <w:r w:rsidR="008B4149" w:rsidRPr="0071782F">
        <w:rPr>
          <w:lang w:val="fr-CH"/>
        </w:rPr>
        <w:t xml:space="preserve">cours d’exécution et d’évaluation dans le but de créer des contenus adéquats pour ces maisons de la </w:t>
      </w:r>
      <w:r w:rsidRPr="0071782F">
        <w:rPr>
          <w:lang w:val="fr-CH"/>
        </w:rPr>
        <w:t>culture).</w:t>
      </w:r>
    </w:p>
    <w:p w:rsidR="00186B76" w:rsidRPr="0071782F" w:rsidRDefault="00186B76" w:rsidP="00F87E26">
      <w:pPr>
        <w:pStyle w:val="SingleTxtG"/>
        <w:ind w:left="1701"/>
        <w:rPr>
          <w:lang w:val="fr-CH"/>
        </w:rPr>
      </w:pPr>
      <w:r w:rsidRPr="0071782F">
        <w:rPr>
          <w:lang w:val="fr-CH"/>
        </w:rPr>
        <w:t>422.7</w:t>
      </w:r>
      <w:r w:rsidR="005D6873" w:rsidRPr="0071782F">
        <w:rPr>
          <w:lang w:val="fr-CH"/>
        </w:rPr>
        <w:t>.</w:t>
      </w:r>
      <w:r w:rsidRPr="0071782F">
        <w:rPr>
          <w:lang w:val="fr-CH"/>
        </w:rPr>
        <w:tab/>
      </w:r>
      <w:r w:rsidR="00704181" w:rsidRPr="0071782F">
        <w:rPr>
          <w:lang w:val="fr-CH"/>
        </w:rPr>
        <w:t>Renforcement et enrichissement de l’Omra Hajj des étudiants, mise en place de l’Omra Hajj pour les enseignants et affectation de fonds spéciaux pour l’Omra Hajj du personnel</w:t>
      </w:r>
      <w:r w:rsidRPr="0071782F">
        <w:rPr>
          <w:lang w:val="fr-CH"/>
        </w:rPr>
        <w:t xml:space="preserve">, </w:t>
      </w:r>
      <w:r w:rsidR="00704181" w:rsidRPr="0071782F">
        <w:rPr>
          <w:lang w:val="fr-CH"/>
        </w:rPr>
        <w:t xml:space="preserve">afin de promouvoir les trois éléments principaux des universités et de planifier leur pèlerinage vers les lieux saints de l’Iraq, ce qui s’est traduit par la création du comité du pèlerinage au sein du Bureau des affaires culturelles. </w:t>
      </w:r>
    </w:p>
    <w:p w:rsidR="00186B76" w:rsidRPr="0071782F" w:rsidRDefault="00186B76" w:rsidP="00F87E26">
      <w:pPr>
        <w:pStyle w:val="SingleTxtG"/>
        <w:ind w:left="1701"/>
        <w:rPr>
          <w:lang w:val="fr-CH"/>
        </w:rPr>
      </w:pPr>
      <w:r w:rsidRPr="0071782F">
        <w:rPr>
          <w:lang w:val="fr-CH"/>
        </w:rPr>
        <w:t>422.8</w:t>
      </w:r>
      <w:r w:rsidR="005D6873" w:rsidRPr="0071782F">
        <w:rPr>
          <w:lang w:val="fr-CH"/>
        </w:rPr>
        <w:t>.</w:t>
      </w:r>
      <w:r w:rsidRPr="0071782F">
        <w:rPr>
          <w:lang w:val="fr-CH"/>
        </w:rPr>
        <w:tab/>
      </w:r>
      <w:r w:rsidR="00704181" w:rsidRPr="0071782F">
        <w:rPr>
          <w:lang w:val="fr-CH"/>
        </w:rPr>
        <w:t xml:space="preserve">Conception et exécution du </w:t>
      </w:r>
      <w:r w:rsidRPr="0071782F">
        <w:rPr>
          <w:lang w:val="fr-CH"/>
        </w:rPr>
        <w:t>program</w:t>
      </w:r>
      <w:r w:rsidR="00FF70ED" w:rsidRPr="0071782F">
        <w:rPr>
          <w:lang w:val="fr-CH"/>
        </w:rPr>
        <w:t>me des</w:t>
      </w:r>
      <w:r w:rsidRPr="0071782F">
        <w:rPr>
          <w:lang w:val="fr-CH"/>
        </w:rPr>
        <w:t xml:space="preserve"> </w:t>
      </w:r>
      <w:r w:rsidR="00A62149" w:rsidRPr="0071782F">
        <w:rPr>
          <w:lang w:val="fr-CH"/>
        </w:rPr>
        <w:t>"</w:t>
      </w:r>
      <w:r w:rsidR="00FF70ED" w:rsidRPr="0071782F">
        <w:rPr>
          <w:lang w:val="fr-CH"/>
        </w:rPr>
        <w:t>sommités nationales</w:t>
      </w:r>
      <w:r w:rsidR="00A62149" w:rsidRPr="0071782F">
        <w:rPr>
          <w:lang w:val="fr-CH"/>
        </w:rPr>
        <w:t>"</w:t>
      </w:r>
      <w:r w:rsidRPr="0071782F">
        <w:rPr>
          <w:lang w:val="fr-CH"/>
        </w:rPr>
        <w:t xml:space="preserve"> </w:t>
      </w:r>
      <w:r w:rsidR="00FF70ED" w:rsidRPr="0071782F">
        <w:rPr>
          <w:lang w:val="fr-CH"/>
        </w:rPr>
        <w:t>destiné à préserver l’identité et la culture islamique de l’Iran et à consolider le sentiment national parmi les étudiants</w:t>
      </w:r>
      <w:r w:rsidRPr="0071782F">
        <w:rPr>
          <w:lang w:val="fr-CH"/>
        </w:rPr>
        <w:t xml:space="preserve">, </w:t>
      </w:r>
      <w:r w:rsidR="00FF70ED" w:rsidRPr="0071782F">
        <w:rPr>
          <w:lang w:val="fr-CH"/>
        </w:rPr>
        <w:t xml:space="preserve">venant s’ajouter à la création et à la </w:t>
      </w:r>
      <w:r w:rsidRPr="0071782F">
        <w:rPr>
          <w:lang w:val="fr-CH"/>
        </w:rPr>
        <w:t xml:space="preserve">promotion </w:t>
      </w:r>
      <w:r w:rsidR="00FF70ED" w:rsidRPr="0071782F">
        <w:rPr>
          <w:lang w:val="fr-CH"/>
        </w:rPr>
        <w:t>de sociétés d’iranologie qui doivent remplacer les sociétés ethniques, ce afin de réaliser l’objectif susvisé.</w:t>
      </w:r>
    </w:p>
    <w:p w:rsidR="00186B76" w:rsidRPr="0071782F" w:rsidRDefault="00186B76" w:rsidP="00F87E26">
      <w:pPr>
        <w:pStyle w:val="SingleTxtG"/>
        <w:ind w:left="1701"/>
        <w:rPr>
          <w:lang w:val="fr-CH"/>
        </w:rPr>
      </w:pPr>
      <w:r w:rsidRPr="0071782F">
        <w:rPr>
          <w:lang w:val="fr-CH"/>
        </w:rPr>
        <w:t>422.9</w:t>
      </w:r>
      <w:r w:rsidR="005D6873" w:rsidRPr="0071782F">
        <w:rPr>
          <w:lang w:val="fr-CH"/>
        </w:rPr>
        <w:t>.</w:t>
      </w:r>
      <w:r w:rsidRPr="0071782F">
        <w:rPr>
          <w:lang w:val="fr-CH"/>
        </w:rPr>
        <w:tab/>
      </w:r>
      <w:r w:rsidR="0071782F" w:rsidRPr="0071782F">
        <w:rPr>
          <w:lang w:val="fr-CH"/>
        </w:rPr>
        <w:t>Implantions</w:t>
      </w:r>
      <w:r w:rsidR="00A11326" w:rsidRPr="0071782F">
        <w:rPr>
          <w:lang w:val="fr-CH"/>
        </w:rPr>
        <w:t xml:space="preserve"> d’un Secrétariat permanent du Coran et de l’Itrat au sein du Comité d’organisation de l’Année du prophète</w:t>
      </w:r>
      <w:r w:rsidRPr="0071782F">
        <w:rPr>
          <w:lang w:val="fr-CH"/>
        </w:rPr>
        <w:t xml:space="preserve">; production </w:t>
      </w:r>
      <w:r w:rsidR="00A11326" w:rsidRPr="0071782F">
        <w:rPr>
          <w:lang w:val="fr-CH"/>
        </w:rPr>
        <w:t>de dossiers culturels aux fins de consommation intellectuelle dans le cadre d’activités collectives d’étudiants prenant la forme de conseils professionnels, de sociétés scientifiques</w:t>
      </w:r>
      <w:r w:rsidRPr="0071782F">
        <w:rPr>
          <w:lang w:val="fr-CH"/>
        </w:rPr>
        <w:t xml:space="preserve">, </w:t>
      </w:r>
      <w:r w:rsidR="00A11326" w:rsidRPr="0071782F">
        <w:rPr>
          <w:lang w:val="fr-CH"/>
        </w:rPr>
        <w:t>d’organisations politiques et d’associations sociales et culturelles; organis</w:t>
      </w:r>
      <w:r w:rsidRPr="0071782F">
        <w:rPr>
          <w:lang w:val="fr-CH"/>
        </w:rPr>
        <w:t xml:space="preserve">ation </w:t>
      </w:r>
      <w:r w:rsidR="00A11326" w:rsidRPr="0071782F">
        <w:rPr>
          <w:lang w:val="fr-CH"/>
        </w:rPr>
        <w:t xml:space="preserve">de stages de formation pour spécialistes et gestionnaires d’activités culturelles; et </w:t>
      </w:r>
      <w:r w:rsidR="00374D0A" w:rsidRPr="0071782F">
        <w:rPr>
          <w:lang w:val="fr-CH"/>
        </w:rPr>
        <w:t>u</w:t>
      </w:r>
      <w:r w:rsidR="00A11326" w:rsidRPr="0071782F">
        <w:rPr>
          <w:lang w:val="fr-CH"/>
        </w:rPr>
        <w:t>n</w:t>
      </w:r>
      <w:r w:rsidR="00374D0A" w:rsidRPr="0071782F">
        <w:rPr>
          <w:lang w:val="fr-CH"/>
        </w:rPr>
        <w:t>e</w:t>
      </w:r>
      <w:r w:rsidR="00A11326" w:rsidRPr="0071782F">
        <w:rPr>
          <w:lang w:val="fr-CH"/>
        </w:rPr>
        <w:t xml:space="preserve"> planification adéquate et complète pour les nouveaux étudiants. Toutes ces mesures partent du principe qu’il existe un décalage entre le niveau culturel réel et le niveau souhaité et sont conçues comme un moyen de réaliser l’objectif de l’ingénierie culturelle de l’université.</w:t>
      </w:r>
    </w:p>
    <w:p w:rsidR="00186B76" w:rsidRPr="0071782F" w:rsidRDefault="00186B76" w:rsidP="00F87E26">
      <w:pPr>
        <w:pStyle w:val="SingleTxtG"/>
        <w:ind w:left="1701"/>
        <w:rPr>
          <w:lang w:val="fr-CH"/>
        </w:rPr>
      </w:pPr>
      <w:r w:rsidRPr="0071782F">
        <w:rPr>
          <w:lang w:val="fr-CH"/>
        </w:rPr>
        <w:t>422.10</w:t>
      </w:r>
      <w:r w:rsidR="005D6873" w:rsidRPr="0071782F">
        <w:rPr>
          <w:lang w:val="fr-CH"/>
        </w:rPr>
        <w:t>.</w:t>
      </w:r>
      <w:r w:rsidRPr="0071782F">
        <w:rPr>
          <w:lang w:val="fr-CH"/>
        </w:rPr>
        <w:t xml:space="preserve"> </w:t>
      </w:r>
      <w:r w:rsidR="00374D0A" w:rsidRPr="0071782F">
        <w:rPr>
          <w:lang w:val="fr-CH"/>
        </w:rPr>
        <w:t xml:space="preserve">Réexamen des règlements régissant les activités collectives d’étudiants, tels que les règlements sur les </w:t>
      </w:r>
      <w:r w:rsidRPr="0071782F">
        <w:rPr>
          <w:lang w:val="fr-CH"/>
        </w:rPr>
        <w:t>associations</w:t>
      </w:r>
      <w:r w:rsidR="00374D0A" w:rsidRPr="0071782F">
        <w:rPr>
          <w:lang w:val="fr-CH"/>
        </w:rPr>
        <w:t xml:space="preserve"> professionnelles</w:t>
      </w:r>
      <w:r w:rsidRPr="0071782F">
        <w:rPr>
          <w:lang w:val="fr-CH"/>
        </w:rPr>
        <w:t xml:space="preserve">, </w:t>
      </w:r>
      <w:r w:rsidR="00374D0A" w:rsidRPr="0071782F">
        <w:rPr>
          <w:lang w:val="fr-CH"/>
        </w:rPr>
        <w:t>les sociétés scientifiques</w:t>
      </w:r>
      <w:r w:rsidRPr="0071782F">
        <w:rPr>
          <w:lang w:val="fr-CH"/>
        </w:rPr>
        <w:t xml:space="preserve">, </w:t>
      </w:r>
      <w:r w:rsidR="00374D0A" w:rsidRPr="0071782F">
        <w:rPr>
          <w:lang w:val="fr-CH"/>
        </w:rPr>
        <w:t>les associations culturelles</w:t>
      </w:r>
      <w:r w:rsidRPr="0071782F">
        <w:rPr>
          <w:lang w:val="fr-CH"/>
        </w:rPr>
        <w:t xml:space="preserve">, </w:t>
      </w:r>
      <w:r w:rsidR="00374D0A" w:rsidRPr="0071782F">
        <w:rPr>
          <w:lang w:val="fr-CH"/>
        </w:rPr>
        <w:t xml:space="preserve">les </w:t>
      </w:r>
      <w:r w:rsidRPr="0071782F">
        <w:rPr>
          <w:lang w:val="fr-CH"/>
        </w:rPr>
        <w:t>publications</w:t>
      </w:r>
      <w:r w:rsidR="00374D0A" w:rsidRPr="0071782F">
        <w:rPr>
          <w:lang w:val="fr-CH"/>
        </w:rPr>
        <w:t xml:space="preserve"> estudiantines et</w:t>
      </w:r>
      <w:r w:rsidRPr="0071782F">
        <w:rPr>
          <w:lang w:val="fr-CH"/>
        </w:rPr>
        <w:t xml:space="preserve"> </w:t>
      </w:r>
      <w:r w:rsidR="00374D0A" w:rsidRPr="0071782F">
        <w:rPr>
          <w:lang w:val="fr-CH"/>
        </w:rPr>
        <w:t>les organisations politiques, afin de mettre en place le discours fondé sur le respect des normes devant régir ces activités et d’autres activités universitaires.</w:t>
      </w:r>
    </w:p>
    <w:p w:rsidR="00186B76" w:rsidRPr="0071782F" w:rsidRDefault="00186B76" w:rsidP="00F87E26">
      <w:pPr>
        <w:pStyle w:val="SingleTxtG"/>
        <w:ind w:left="1701"/>
        <w:rPr>
          <w:lang w:val="fr-CH"/>
        </w:rPr>
      </w:pPr>
      <w:r w:rsidRPr="0071782F">
        <w:rPr>
          <w:lang w:val="fr-CH"/>
        </w:rPr>
        <w:t>422.11</w:t>
      </w:r>
      <w:r w:rsidR="005D6873" w:rsidRPr="0071782F">
        <w:rPr>
          <w:lang w:val="fr-CH"/>
        </w:rPr>
        <w:t>.</w:t>
      </w:r>
      <w:r w:rsidRPr="0071782F">
        <w:rPr>
          <w:lang w:val="fr-CH"/>
        </w:rPr>
        <w:t xml:space="preserve"> </w:t>
      </w:r>
      <w:r w:rsidR="00374D0A" w:rsidRPr="0071782F">
        <w:rPr>
          <w:lang w:val="fr-CH"/>
        </w:rPr>
        <w:t>Conception et fabrication de cartes culturelles pour les étudiants, en particulier pour ceux qui participent aux activités culturelles, afin de les inciter à profiter des biens culturels que la société met à leur disposition et de leur fournir des services culturels</w:t>
      </w:r>
      <w:r w:rsidRPr="0071782F">
        <w:rPr>
          <w:lang w:val="fr-CH"/>
        </w:rPr>
        <w:t xml:space="preserve">. </w:t>
      </w:r>
      <w:r w:rsidR="00374D0A" w:rsidRPr="0071782F">
        <w:rPr>
          <w:lang w:val="fr-CH"/>
        </w:rPr>
        <w:t>Il s’agit de cartes à puce qui peuvent être utilisées dans les cinémas, les théâtres, les musées, les expositions, etc.</w:t>
      </w:r>
      <w:r w:rsidRPr="0071782F">
        <w:rPr>
          <w:lang w:val="fr-CH"/>
        </w:rPr>
        <w:t xml:space="preserve">, </w:t>
      </w:r>
      <w:r w:rsidR="00374D0A" w:rsidRPr="0071782F">
        <w:rPr>
          <w:lang w:val="fr-CH"/>
        </w:rPr>
        <w:t xml:space="preserve">et permettent d’obtenir des remises importantes. Ce </w:t>
      </w:r>
      <w:r w:rsidRPr="0071782F">
        <w:rPr>
          <w:lang w:val="fr-CH"/>
        </w:rPr>
        <w:t>program</w:t>
      </w:r>
      <w:r w:rsidR="00374D0A" w:rsidRPr="0071782F">
        <w:rPr>
          <w:lang w:val="fr-CH"/>
        </w:rPr>
        <w:t xml:space="preserve">me vise également à accentuer l’identité des étudiants et à mettre en </w:t>
      </w:r>
      <w:r w:rsidR="00D5366B" w:rsidRPr="0071782F">
        <w:rPr>
          <w:lang w:val="fr-CH"/>
        </w:rPr>
        <w:t>œuvre</w:t>
      </w:r>
      <w:r w:rsidR="00374D0A" w:rsidRPr="0071782F">
        <w:rPr>
          <w:lang w:val="fr-CH"/>
        </w:rPr>
        <w:t xml:space="preserve"> la stratégie d’interaction avec les étudiants fondée sur la dignité des intéressés.</w:t>
      </w:r>
      <w:r w:rsidR="00D36718">
        <w:rPr>
          <w:lang w:val="fr-CH"/>
        </w:rPr>
        <w:t xml:space="preserve"> </w:t>
      </w:r>
    </w:p>
    <w:p w:rsidR="00186B76" w:rsidRPr="0071782F" w:rsidRDefault="00186B76" w:rsidP="00A45A11">
      <w:pPr>
        <w:pStyle w:val="SingleTxtG"/>
        <w:ind w:left="1701"/>
        <w:rPr>
          <w:lang w:val="fr-CH"/>
        </w:rPr>
      </w:pPr>
      <w:r w:rsidRPr="0071782F">
        <w:rPr>
          <w:lang w:val="fr-CH"/>
        </w:rPr>
        <w:t>422.12</w:t>
      </w:r>
      <w:r w:rsidR="005D6873" w:rsidRPr="0071782F">
        <w:rPr>
          <w:lang w:val="fr-CH"/>
        </w:rPr>
        <w:t>.</w:t>
      </w:r>
      <w:r w:rsidRPr="0071782F">
        <w:rPr>
          <w:lang w:val="fr-CH"/>
        </w:rPr>
        <w:t xml:space="preserve"> Plan</w:t>
      </w:r>
      <w:r w:rsidR="00966EE2" w:rsidRPr="0071782F">
        <w:rPr>
          <w:lang w:val="fr-CH"/>
        </w:rPr>
        <w:t xml:space="preserve">ification et début d’application de mesures destinées à promouvoir les sciences humaines dans le pays en mettant en </w:t>
      </w:r>
      <w:r w:rsidR="00D5366B" w:rsidRPr="0071782F">
        <w:rPr>
          <w:lang w:val="fr-CH"/>
        </w:rPr>
        <w:t>œuvre</w:t>
      </w:r>
      <w:r w:rsidR="00966EE2" w:rsidRPr="0071782F">
        <w:rPr>
          <w:lang w:val="fr-CH"/>
        </w:rPr>
        <w:t xml:space="preserve"> les trois programmes suivants</w:t>
      </w:r>
      <w:r w:rsidR="008F7D33" w:rsidRPr="0071782F">
        <w:rPr>
          <w:lang w:val="fr-CH"/>
        </w:rPr>
        <w:t>:</w:t>
      </w:r>
    </w:p>
    <w:p w:rsidR="00186B76" w:rsidRPr="0071782F" w:rsidRDefault="00186B76" w:rsidP="00A45A11">
      <w:pPr>
        <w:pStyle w:val="SingleTxtG"/>
        <w:ind w:left="1701"/>
        <w:rPr>
          <w:lang w:val="fr-CH"/>
        </w:rPr>
      </w:pPr>
      <w:r w:rsidRPr="0071782F">
        <w:rPr>
          <w:lang w:val="fr-CH"/>
        </w:rPr>
        <w:t>422.13</w:t>
      </w:r>
      <w:r w:rsidR="005D6873" w:rsidRPr="0071782F">
        <w:rPr>
          <w:lang w:val="fr-CH"/>
        </w:rPr>
        <w:t>.</w:t>
      </w:r>
      <w:r w:rsidRPr="0071782F">
        <w:rPr>
          <w:lang w:val="fr-CH"/>
        </w:rPr>
        <w:t xml:space="preserve"> D</w:t>
      </w:r>
      <w:r w:rsidR="006F62A8" w:rsidRPr="0071782F">
        <w:rPr>
          <w:lang w:val="fr-CH"/>
        </w:rPr>
        <w:t>é</w:t>
      </w:r>
      <w:r w:rsidRPr="0071782F">
        <w:rPr>
          <w:lang w:val="fr-CH"/>
        </w:rPr>
        <w:t xml:space="preserve">finition </w:t>
      </w:r>
      <w:r w:rsidR="006F62A8" w:rsidRPr="0071782F">
        <w:rPr>
          <w:lang w:val="fr-CH"/>
        </w:rPr>
        <w:t xml:space="preserve">et programmation de thèmes </w:t>
      </w:r>
      <w:r w:rsidRPr="0071782F">
        <w:rPr>
          <w:lang w:val="fr-CH"/>
        </w:rPr>
        <w:t>interdisciplina</w:t>
      </w:r>
      <w:r w:rsidR="006F62A8" w:rsidRPr="0071782F">
        <w:rPr>
          <w:lang w:val="fr-CH"/>
        </w:rPr>
        <w:t xml:space="preserve">ires dans le domaine des </w:t>
      </w:r>
      <w:r w:rsidRPr="0071782F">
        <w:rPr>
          <w:lang w:val="fr-CH"/>
        </w:rPr>
        <w:t xml:space="preserve">sciences </w:t>
      </w:r>
      <w:r w:rsidR="006F62A8" w:rsidRPr="0071782F">
        <w:rPr>
          <w:lang w:val="fr-CH"/>
        </w:rPr>
        <w:t>humaines afin d’en améliorer l’efficacité</w:t>
      </w:r>
      <w:r w:rsidRPr="0071782F">
        <w:rPr>
          <w:lang w:val="fr-CH"/>
        </w:rPr>
        <w:t>.</w:t>
      </w:r>
    </w:p>
    <w:p w:rsidR="00186B76" w:rsidRPr="0071782F" w:rsidRDefault="00186B76" w:rsidP="00A45A11">
      <w:pPr>
        <w:pStyle w:val="SingleTxtG"/>
        <w:ind w:left="1701"/>
        <w:rPr>
          <w:lang w:val="fr-CH"/>
        </w:rPr>
      </w:pPr>
      <w:r w:rsidRPr="0071782F">
        <w:rPr>
          <w:lang w:val="fr-CH"/>
        </w:rPr>
        <w:t>422.14</w:t>
      </w:r>
      <w:r w:rsidR="005D6873" w:rsidRPr="0071782F">
        <w:rPr>
          <w:lang w:val="fr-CH"/>
        </w:rPr>
        <w:t>.</w:t>
      </w:r>
      <w:r w:rsidRPr="0071782F">
        <w:rPr>
          <w:lang w:val="fr-CH"/>
        </w:rPr>
        <w:t xml:space="preserve"> </w:t>
      </w:r>
      <w:r w:rsidR="006F62A8" w:rsidRPr="0071782F">
        <w:rPr>
          <w:lang w:val="fr-CH"/>
        </w:rPr>
        <w:t xml:space="preserve">Définition et programmation du Festival </w:t>
      </w:r>
      <w:r w:rsidRPr="0071782F">
        <w:rPr>
          <w:lang w:val="fr-CH"/>
        </w:rPr>
        <w:t xml:space="preserve">Farabi </w:t>
      </w:r>
      <w:r w:rsidR="006F62A8" w:rsidRPr="0071782F">
        <w:rPr>
          <w:lang w:val="fr-CH"/>
        </w:rPr>
        <w:t xml:space="preserve">pour faire reconnaître les </w:t>
      </w:r>
      <w:r w:rsidRPr="0071782F">
        <w:rPr>
          <w:lang w:val="fr-CH"/>
        </w:rPr>
        <w:t xml:space="preserve">innovations </w:t>
      </w:r>
      <w:r w:rsidR="006F62A8" w:rsidRPr="0071782F">
        <w:rPr>
          <w:lang w:val="fr-CH"/>
        </w:rPr>
        <w:t xml:space="preserve">dans le domaine des </w:t>
      </w:r>
      <w:r w:rsidRPr="0071782F">
        <w:rPr>
          <w:lang w:val="fr-CH"/>
        </w:rPr>
        <w:t>sciences</w:t>
      </w:r>
      <w:r w:rsidR="006F62A8" w:rsidRPr="0071782F">
        <w:rPr>
          <w:lang w:val="fr-CH"/>
        </w:rPr>
        <w:t xml:space="preserve"> humaines</w:t>
      </w:r>
      <w:r w:rsidRPr="0071782F">
        <w:rPr>
          <w:lang w:val="fr-CH"/>
        </w:rPr>
        <w:t>.</w:t>
      </w:r>
    </w:p>
    <w:p w:rsidR="00186B76" w:rsidRPr="0071782F" w:rsidRDefault="00186B76" w:rsidP="00AD5035">
      <w:pPr>
        <w:pStyle w:val="SingleTxtG"/>
        <w:keepNext/>
        <w:keepLines/>
        <w:ind w:left="1701"/>
        <w:rPr>
          <w:lang w:val="fr-CH"/>
        </w:rPr>
      </w:pPr>
      <w:r w:rsidRPr="0071782F">
        <w:rPr>
          <w:lang w:val="fr-CH"/>
        </w:rPr>
        <w:t>422.15</w:t>
      </w:r>
      <w:r w:rsidR="005D6873" w:rsidRPr="0071782F">
        <w:rPr>
          <w:lang w:val="fr-CH"/>
        </w:rPr>
        <w:t>.</w:t>
      </w:r>
      <w:r w:rsidRPr="0071782F">
        <w:rPr>
          <w:lang w:val="fr-CH"/>
        </w:rPr>
        <w:t xml:space="preserve"> D</w:t>
      </w:r>
      <w:r w:rsidR="006F62A8" w:rsidRPr="0071782F">
        <w:rPr>
          <w:lang w:val="fr-CH"/>
        </w:rPr>
        <w:t>é</w:t>
      </w:r>
      <w:r w:rsidRPr="0071782F">
        <w:rPr>
          <w:lang w:val="fr-CH"/>
        </w:rPr>
        <w:t xml:space="preserve">finition </w:t>
      </w:r>
      <w:r w:rsidR="006F62A8" w:rsidRPr="0071782F">
        <w:rPr>
          <w:lang w:val="fr-CH"/>
        </w:rPr>
        <w:t>et création de chaires universitaires de théorie, de critique et de débat</w:t>
      </w:r>
      <w:r w:rsidRPr="0071782F">
        <w:rPr>
          <w:lang w:val="fr-CH"/>
        </w:rPr>
        <w:t xml:space="preserve">. </w:t>
      </w:r>
    </w:p>
    <w:p w:rsidR="00186B76" w:rsidRPr="0071782F" w:rsidRDefault="00186B76" w:rsidP="00AD5035">
      <w:pPr>
        <w:pStyle w:val="SingleTxtG"/>
        <w:keepNext/>
        <w:keepLines/>
        <w:ind w:left="1701"/>
        <w:rPr>
          <w:lang w:val="fr-CH"/>
        </w:rPr>
      </w:pPr>
      <w:r w:rsidRPr="0071782F">
        <w:rPr>
          <w:lang w:val="fr-CH"/>
        </w:rPr>
        <w:t>422.16</w:t>
      </w:r>
      <w:r w:rsidR="005D6873" w:rsidRPr="0071782F">
        <w:rPr>
          <w:lang w:val="fr-CH"/>
        </w:rPr>
        <w:t>.</w:t>
      </w:r>
      <w:r w:rsidRPr="0071782F">
        <w:rPr>
          <w:lang w:val="fr-CH"/>
        </w:rPr>
        <w:t xml:space="preserve"> </w:t>
      </w:r>
      <w:r w:rsidR="006F62A8" w:rsidRPr="0071782F">
        <w:rPr>
          <w:lang w:val="fr-CH"/>
        </w:rPr>
        <w:t xml:space="preserve">Le règlement régissant ce </w:t>
      </w:r>
      <w:r w:rsidRPr="0071782F">
        <w:rPr>
          <w:lang w:val="fr-CH"/>
        </w:rPr>
        <w:t>program</w:t>
      </w:r>
      <w:r w:rsidR="006F62A8" w:rsidRPr="0071782F">
        <w:rPr>
          <w:lang w:val="fr-CH"/>
        </w:rPr>
        <w:t>me a été établi; il reste à faire approuver ses thèmes de recherche et son intégration au règlement relatif à la promotion des universitaires</w:t>
      </w:r>
      <w:r w:rsidRPr="0071782F">
        <w:rPr>
          <w:lang w:val="fr-CH"/>
        </w:rPr>
        <w:t>.</w:t>
      </w:r>
    </w:p>
    <w:p w:rsidR="00186B76" w:rsidRPr="0071782F" w:rsidRDefault="00186B76" w:rsidP="00A45A11">
      <w:pPr>
        <w:pStyle w:val="SingleTxtG"/>
        <w:ind w:left="1701"/>
        <w:rPr>
          <w:lang w:val="fr-CH"/>
        </w:rPr>
      </w:pPr>
      <w:r w:rsidRPr="0071782F">
        <w:rPr>
          <w:lang w:val="fr-CH"/>
        </w:rPr>
        <w:t>422.17</w:t>
      </w:r>
      <w:r w:rsidR="005D6873" w:rsidRPr="0071782F">
        <w:rPr>
          <w:lang w:val="fr-CH"/>
        </w:rPr>
        <w:t>.</w:t>
      </w:r>
      <w:r w:rsidRPr="0071782F">
        <w:rPr>
          <w:lang w:val="fr-CH"/>
        </w:rPr>
        <w:t xml:space="preserve"> Plan</w:t>
      </w:r>
      <w:r w:rsidR="006F62A8" w:rsidRPr="0071782F">
        <w:rPr>
          <w:lang w:val="fr-CH"/>
        </w:rPr>
        <w:t xml:space="preserve">s de construction de mémoriaux aux </w:t>
      </w:r>
      <w:r w:rsidRPr="0071782F">
        <w:rPr>
          <w:lang w:val="fr-CH"/>
        </w:rPr>
        <w:t>martyrs</w:t>
      </w:r>
      <w:r w:rsidR="006F62A8" w:rsidRPr="0071782F">
        <w:rPr>
          <w:lang w:val="fr-CH"/>
        </w:rPr>
        <w:t xml:space="preserve"> dans les </w:t>
      </w:r>
      <w:r w:rsidRPr="0071782F">
        <w:rPr>
          <w:lang w:val="fr-CH"/>
        </w:rPr>
        <w:t>universit</w:t>
      </w:r>
      <w:r w:rsidR="006F62A8" w:rsidRPr="0071782F">
        <w:rPr>
          <w:lang w:val="fr-CH"/>
        </w:rPr>
        <w:t>é</w:t>
      </w:r>
      <w:r w:rsidRPr="0071782F">
        <w:rPr>
          <w:lang w:val="fr-CH"/>
        </w:rPr>
        <w:t>s.</w:t>
      </w:r>
    </w:p>
    <w:p w:rsidR="00186B76" w:rsidRPr="0071782F" w:rsidRDefault="00186B76" w:rsidP="00A45A11">
      <w:pPr>
        <w:pStyle w:val="SingleTxtG"/>
        <w:ind w:left="1701"/>
        <w:rPr>
          <w:lang w:val="fr-CH"/>
        </w:rPr>
      </w:pPr>
      <w:r w:rsidRPr="0071782F">
        <w:rPr>
          <w:lang w:val="fr-CH"/>
        </w:rPr>
        <w:t>422.18</w:t>
      </w:r>
      <w:r w:rsidR="005D6873" w:rsidRPr="0071782F">
        <w:rPr>
          <w:lang w:val="fr-CH"/>
        </w:rPr>
        <w:t>.</w:t>
      </w:r>
      <w:r w:rsidRPr="0071782F">
        <w:rPr>
          <w:lang w:val="fr-CH"/>
        </w:rPr>
        <w:t xml:space="preserve"> </w:t>
      </w:r>
      <w:r w:rsidR="006F62A8" w:rsidRPr="0071782F">
        <w:rPr>
          <w:lang w:val="fr-CH"/>
        </w:rPr>
        <w:t>Développement de la coopération scientifique et</w:t>
      </w:r>
      <w:r w:rsidRPr="0071782F">
        <w:rPr>
          <w:lang w:val="fr-CH"/>
        </w:rPr>
        <w:t xml:space="preserve"> international</w:t>
      </w:r>
      <w:r w:rsidR="006F62A8" w:rsidRPr="0071782F">
        <w:rPr>
          <w:lang w:val="fr-CH"/>
        </w:rPr>
        <w:t>e</w:t>
      </w:r>
      <w:r w:rsidRPr="0071782F">
        <w:rPr>
          <w:lang w:val="fr-CH"/>
        </w:rPr>
        <w:t xml:space="preserve">, </w:t>
      </w:r>
      <w:r w:rsidR="006F62A8" w:rsidRPr="0071782F">
        <w:rPr>
          <w:lang w:val="fr-CH"/>
        </w:rPr>
        <w:t>en particulier en ce qui concerne les chaires de langue et de littérature pers</w:t>
      </w:r>
      <w:r w:rsidR="008B13FB" w:rsidRPr="0071782F">
        <w:rPr>
          <w:lang w:val="fr-CH"/>
        </w:rPr>
        <w:t>an</w:t>
      </w:r>
      <w:r w:rsidR="006F62A8" w:rsidRPr="0071782F">
        <w:rPr>
          <w:lang w:val="fr-CH"/>
        </w:rPr>
        <w:t>es des universités étrangères.</w:t>
      </w:r>
    </w:p>
    <w:p w:rsidR="00186B76" w:rsidRPr="0071782F" w:rsidRDefault="00186B76" w:rsidP="00A45A11">
      <w:pPr>
        <w:pStyle w:val="SingleTxtG"/>
        <w:ind w:left="1701"/>
        <w:rPr>
          <w:lang w:val="fr-CH"/>
        </w:rPr>
      </w:pPr>
      <w:r w:rsidRPr="0071782F">
        <w:rPr>
          <w:lang w:val="fr-CH"/>
        </w:rPr>
        <w:t>422.19</w:t>
      </w:r>
      <w:r w:rsidR="005D6873" w:rsidRPr="0071782F">
        <w:rPr>
          <w:lang w:val="fr-CH"/>
        </w:rPr>
        <w:t>.</w:t>
      </w:r>
      <w:r w:rsidRPr="0071782F">
        <w:rPr>
          <w:lang w:val="fr-CH"/>
        </w:rPr>
        <w:t xml:space="preserve"> </w:t>
      </w:r>
      <w:r w:rsidR="006F62A8" w:rsidRPr="0071782F">
        <w:rPr>
          <w:lang w:val="fr-CH"/>
        </w:rPr>
        <w:t>Quasi-doublement en 2006 du nombre de centres d’insertion professionnelle opérant dans les universités</w:t>
      </w:r>
      <w:r w:rsidRPr="0071782F">
        <w:rPr>
          <w:lang w:val="fr-CH"/>
        </w:rPr>
        <w:t xml:space="preserve">, </w:t>
      </w:r>
      <w:r w:rsidR="006F62A8" w:rsidRPr="0071782F">
        <w:rPr>
          <w:lang w:val="fr-CH"/>
        </w:rPr>
        <w:t xml:space="preserve">l’objectif étant de faciliter l’entrée des étudiants et des diplômés sur le marché du travail. </w:t>
      </w:r>
    </w:p>
    <w:p w:rsidR="00186B76" w:rsidRPr="0071782F" w:rsidRDefault="00186B76" w:rsidP="00A45A11">
      <w:pPr>
        <w:pStyle w:val="SingleTxtG"/>
        <w:ind w:left="1701"/>
        <w:rPr>
          <w:lang w:val="fr-CH"/>
        </w:rPr>
      </w:pPr>
      <w:r w:rsidRPr="0071782F">
        <w:rPr>
          <w:lang w:val="fr-CH"/>
        </w:rPr>
        <w:t>422.20</w:t>
      </w:r>
      <w:r w:rsidR="005D6873" w:rsidRPr="0071782F">
        <w:rPr>
          <w:lang w:val="fr-CH"/>
        </w:rPr>
        <w:t>.</w:t>
      </w:r>
      <w:r w:rsidRPr="0071782F">
        <w:rPr>
          <w:lang w:val="fr-CH"/>
        </w:rPr>
        <w:t xml:space="preserve"> </w:t>
      </w:r>
      <w:r w:rsidR="00C24023" w:rsidRPr="0071782F">
        <w:rPr>
          <w:lang w:val="fr-CH"/>
        </w:rPr>
        <w:t>Suivi et</w:t>
      </w:r>
      <w:r w:rsidRPr="0071782F">
        <w:rPr>
          <w:lang w:val="fr-CH"/>
        </w:rPr>
        <w:t xml:space="preserve"> formulation </w:t>
      </w:r>
      <w:r w:rsidR="00C24023" w:rsidRPr="0071782F">
        <w:rPr>
          <w:lang w:val="fr-CH"/>
        </w:rPr>
        <w:t>d’accords de coopé</w:t>
      </w:r>
      <w:r w:rsidRPr="0071782F">
        <w:rPr>
          <w:lang w:val="fr-CH"/>
        </w:rPr>
        <w:t xml:space="preserve">ration </w:t>
      </w:r>
      <w:r w:rsidR="00C24023" w:rsidRPr="0071782F">
        <w:rPr>
          <w:lang w:val="fr-CH"/>
        </w:rPr>
        <w:t>entre le</w:t>
      </w:r>
      <w:r w:rsidRPr="0071782F">
        <w:rPr>
          <w:lang w:val="fr-CH"/>
        </w:rPr>
        <w:t xml:space="preserve"> </w:t>
      </w:r>
      <w:r w:rsidR="00C24023" w:rsidRPr="0071782F">
        <w:rPr>
          <w:lang w:val="fr-CH"/>
        </w:rPr>
        <w:t>Ministère de la s</w:t>
      </w:r>
      <w:r w:rsidRPr="0071782F">
        <w:rPr>
          <w:lang w:val="fr-CH"/>
        </w:rPr>
        <w:t xml:space="preserve">cience, </w:t>
      </w:r>
      <w:r w:rsidR="00C24023" w:rsidRPr="0071782F">
        <w:rPr>
          <w:lang w:val="fr-CH"/>
        </w:rPr>
        <w:t>de la recherche et de la technologie et le Ministère du travail et des affaires s</w:t>
      </w:r>
      <w:r w:rsidRPr="0071782F">
        <w:rPr>
          <w:lang w:val="fr-CH"/>
        </w:rPr>
        <w:t>ocial</w:t>
      </w:r>
      <w:r w:rsidR="00C24023" w:rsidRPr="0071782F">
        <w:rPr>
          <w:lang w:val="fr-CH"/>
        </w:rPr>
        <w:t>es portant sur les domaines suivants</w:t>
      </w:r>
      <w:r w:rsidR="008F7D33" w:rsidRPr="0071782F">
        <w:rPr>
          <w:lang w:val="fr-CH"/>
        </w:rPr>
        <w:t>:</w:t>
      </w:r>
      <w:r w:rsidR="00C24023" w:rsidRPr="0071782F">
        <w:rPr>
          <w:lang w:val="fr-CH"/>
        </w:rPr>
        <w:t xml:space="preserve"> formation à la création d’entreprises</w:t>
      </w:r>
      <w:r w:rsidRPr="0071782F">
        <w:rPr>
          <w:lang w:val="fr-CH"/>
        </w:rPr>
        <w:t xml:space="preserve">, </w:t>
      </w:r>
      <w:r w:rsidR="00C24023" w:rsidRPr="0071782F">
        <w:rPr>
          <w:lang w:val="fr-CH"/>
        </w:rPr>
        <w:t>création d’une université des sciences entrepreneuriales</w:t>
      </w:r>
      <w:r w:rsidRPr="0071782F">
        <w:rPr>
          <w:lang w:val="fr-CH"/>
        </w:rPr>
        <w:t xml:space="preserve">, </w:t>
      </w:r>
      <w:r w:rsidR="00C24023" w:rsidRPr="0071782F">
        <w:rPr>
          <w:lang w:val="fr-CH"/>
        </w:rPr>
        <w:t xml:space="preserve">réexamen de la </w:t>
      </w:r>
      <w:r w:rsidRPr="0071782F">
        <w:rPr>
          <w:lang w:val="fr-CH"/>
        </w:rPr>
        <w:t xml:space="preserve">situation </w:t>
      </w:r>
      <w:r w:rsidR="00C24023" w:rsidRPr="0071782F">
        <w:rPr>
          <w:lang w:val="fr-CH"/>
        </w:rPr>
        <w:t>de l’apprentissage et des stages en entreprise pour les étudiants, et évaluation des besoins du marché du travail par rapport aux matières enseignées à l’université</w:t>
      </w:r>
      <w:r w:rsidRPr="0071782F">
        <w:rPr>
          <w:lang w:val="fr-CH"/>
        </w:rPr>
        <w:t>.</w:t>
      </w:r>
    </w:p>
    <w:p w:rsidR="00186B76" w:rsidRPr="0071782F" w:rsidRDefault="00186B76" w:rsidP="00A45A11">
      <w:pPr>
        <w:pStyle w:val="SingleTxtG"/>
        <w:ind w:left="1701"/>
        <w:rPr>
          <w:lang w:val="fr-CH"/>
        </w:rPr>
      </w:pPr>
      <w:r w:rsidRPr="0071782F">
        <w:rPr>
          <w:lang w:val="fr-CH"/>
        </w:rPr>
        <w:t>422.21</w:t>
      </w:r>
      <w:r w:rsidR="005D6873" w:rsidRPr="0071782F">
        <w:rPr>
          <w:lang w:val="fr-CH"/>
        </w:rPr>
        <w:t>.</w:t>
      </w:r>
      <w:r w:rsidRPr="0071782F">
        <w:rPr>
          <w:lang w:val="fr-CH"/>
        </w:rPr>
        <w:t xml:space="preserve"> </w:t>
      </w:r>
      <w:r w:rsidR="00401EA2" w:rsidRPr="0071782F">
        <w:rPr>
          <w:lang w:val="fr-CH"/>
        </w:rPr>
        <w:t xml:space="preserve">Appui sans réserves à l’enregistrement des </w:t>
      </w:r>
      <w:r w:rsidRPr="0071782F">
        <w:rPr>
          <w:lang w:val="fr-CH"/>
        </w:rPr>
        <w:t xml:space="preserve">inventions </w:t>
      </w:r>
      <w:r w:rsidR="00401EA2" w:rsidRPr="0071782F">
        <w:rPr>
          <w:lang w:val="fr-CH"/>
        </w:rPr>
        <w:t>et brevets dans le pays, et aide intellectuelle et financière en ce sens, qui témoigne de la volonté du Ministère de la s</w:t>
      </w:r>
      <w:r w:rsidRPr="0071782F">
        <w:rPr>
          <w:lang w:val="fr-CH"/>
        </w:rPr>
        <w:t xml:space="preserve">cience, </w:t>
      </w:r>
      <w:r w:rsidR="00401EA2" w:rsidRPr="0071782F">
        <w:rPr>
          <w:lang w:val="fr-CH"/>
        </w:rPr>
        <w:t>de la r</w:t>
      </w:r>
      <w:r w:rsidRPr="0071782F">
        <w:rPr>
          <w:lang w:val="fr-CH"/>
        </w:rPr>
        <w:t>e</w:t>
      </w:r>
      <w:r w:rsidR="00401EA2" w:rsidRPr="0071782F">
        <w:rPr>
          <w:lang w:val="fr-CH"/>
        </w:rPr>
        <w:t>cherche et de la technologie</w:t>
      </w:r>
      <w:r w:rsidRPr="0071782F">
        <w:rPr>
          <w:lang w:val="fr-CH"/>
        </w:rPr>
        <w:t xml:space="preserve">, </w:t>
      </w:r>
      <w:r w:rsidR="00401EA2" w:rsidRPr="0071782F">
        <w:rPr>
          <w:lang w:val="fr-CH"/>
        </w:rPr>
        <w:t>des centres de recherche, des parcs scientifiques et technologiques et des organisations connexes de faciliter cet enregistrement tant à l’intérieur qu’à l’extérieur du pays</w:t>
      </w:r>
      <w:r w:rsidRPr="0071782F">
        <w:rPr>
          <w:lang w:val="fr-CH"/>
        </w:rPr>
        <w:t>.</w:t>
      </w:r>
    </w:p>
    <w:p w:rsidR="00186B76" w:rsidRPr="0071782F" w:rsidRDefault="00186B76" w:rsidP="00A45A11">
      <w:pPr>
        <w:pStyle w:val="SingleTxtG"/>
        <w:ind w:left="1701"/>
        <w:rPr>
          <w:lang w:val="fr-CH"/>
        </w:rPr>
      </w:pPr>
      <w:r w:rsidRPr="0071782F">
        <w:rPr>
          <w:lang w:val="fr-CH"/>
        </w:rPr>
        <w:t>422.22</w:t>
      </w:r>
      <w:r w:rsidR="005D6873" w:rsidRPr="0071782F">
        <w:rPr>
          <w:lang w:val="fr-CH"/>
        </w:rPr>
        <w:t>.</w:t>
      </w:r>
      <w:r w:rsidRPr="0071782F">
        <w:rPr>
          <w:lang w:val="fr-CH"/>
        </w:rPr>
        <w:t xml:space="preserve"> </w:t>
      </w:r>
      <w:r w:rsidR="00401EA2" w:rsidRPr="0071782F">
        <w:rPr>
          <w:lang w:val="fr-CH"/>
        </w:rPr>
        <w:t xml:space="preserve">Création en 2006 du Musée des sciences et des techniques, et analyse, conception et construction, pour la première fois depuis plusieurs siècles, des </w:t>
      </w:r>
      <w:r w:rsidRPr="0071782F">
        <w:rPr>
          <w:lang w:val="fr-CH"/>
        </w:rPr>
        <w:t xml:space="preserve">inventions </w:t>
      </w:r>
      <w:r w:rsidR="00401EA2" w:rsidRPr="0071782F">
        <w:rPr>
          <w:lang w:val="fr-CH"/>
        </w:rPr>
        <w:t>et</w:t>
      </w:r>
      <w:r w:rsidRPr="0071782F">
        <w:rPr>
          <w:lang w:val="fr-CH"/>
        </w:rPr>
        <w:t xml:space="preserve"> innovations </w:t>
      </w:r>
      <w:r w:rsidR="00401EA2" w:rsidRPr="0071782F">
        <w:rPr>
          <w:lang w:val="fr-CH"/>
        </w:rPr>
        <w:t xml:space="preserve">de scientifiques et d’ingénieurs iraniens et musulmans. </w:t>
      </w:r>
    </w:p>
    <w:p w:rsidR="00186B76" w:rsidRPr="0071782F" w:rsidRDefault="00186B76" w:rsidP="00A45A11">
      <w:pPr>
        <w:pStyle w:val="SingleTxtG"/>
        <w:ind w:left="1701"/>
        <w:rPr>
          <w:lang w:val="fr-CH"/>
        </w:rPr>
      </w:pPr>
      <w:r w:rsidRPr="0071782F">
        <w:rPr>
          <w:lang w:val="fr-CH"/>
        </w:rPr>
        <w:t>422.23</w:t>
      </w:r>
      <w:r w:rsidR="005D6873" w:rsidRPr="0071782F">
        <w:rPr>
          <w:lang w:val="fr-CH"/>
        </w:rPr>
        <w:t>.</w:t>
      </w:r>
      <w:r w:rsidRPr="0071782F">
        <w:rPr>
          <w:lang w:val="fr-CH"/>
        </w:rPr>
        <w:t xml:space="preserve"> Plan</w:t>
      </w:r>
      <w:r w:rsidR="00401EA2" w:rsidRPr="0071782F">
        <w:rPr>
          <w:lang w:val="fr-CH"/>
        </w:rPr>
        <w:t>s concernant la création, pour la première fois dans le pays, d’un cen</w:t>
      </w:r>
      <w:r w:rsidR="008934D5" w:rsidRPr="0071782F">
        <w:rPr>
          <w:lang w:val="fr-CH"/>
        </w:rPr>
        <w:t>t</w:t>
      </w:r>
      <w:r w:rsidR="00401EA2" w:rsidRPr="0071782F">
        <w:rPr>
          <w:lang w:val="fr-CH"/>
        </w:rPr>
        <w:t>re de données scientifiques</w:t>
      </w:r>
      <w:r w:rsidRPr="0071782F">
        <w:rPr>
          <w:lang w:val="fr-CH"/>
        </w:rPr>
        <w:t>.</w:t>
      </w:r>
    </w:p>
    <w:p w:rsidR="00186B76" w:rsidRPr="0071782F" w:rsidRDefault="00186B76" w:rsidP="00A45A11">
      <w:pPr>
        <w:pStyle w:val="H23G"/>
        <w:rPr>
          <w:lang w:val="fr-CH"/>
        </w:rPr>
      </w:pPr>
      <w:r w:rsidRPr="0071782F">
        <w:rPr>
          <w:lang w:val="fr-CH"/>
        </w:rPr>
        <w:tab/>
      </w:r>
      <w:r w:rsidRPr="0071782F">
        <w:rPr>
          <w:lang w:val="fr-CH"/>
        </w:rPr>
        <w:tab/>
        <w:t>Technolog</w:t>
      </w:r>
      <w:r w:rsidR="00401EA2" w:rsidRPr="0071782F">
        <w:rPr>
          <w:lang w:val="fr-CH"/>
        </w:rPr>
        <w:t>ie</w:t>
      </w:r>
    </w:p>
    <w:p w:rsidR="00186B76" w:rsidRPr="0071782F" w:rsidRDefault="00186B76" w:rsidP="00A45A11">
      <w:pPr>
        <w:pStyle w:val="SingleTxtG"/>
        <w:rPr>
          <w:lang w:val="fr-CH"/>
        </w:rPr>
      </w:pPr>
      <w:r w:rsidRPr="0071782F">
        <w:rPr>
          <w:lang w:val="fr-CH"/>
        </w:rPr>
        <w:t>423.</w:t>
      </w:r>
      <w:r w:rsidRPr="0071782F">
        <w:rPr>
          <w:lang w:val="fr-CH"/>
        </w:rPr>
        <w:tab/>
      </w:r>
      <w:r w:rsidR="008B13FB" w:rsidRPr="0071782F">
        <w:rPr>
          <w:lang w:val="fr-CH"/>
        </w:rPr>
        <w:t>À ce sujet, il convient de noter ce qui suit</w:t>
      </w:r>
      <w:r w:rsidR="008F7D33" w:rsidRPr="0071782F">
        <w:rPr>
          <w:lang w:val="fr-CH"/>
        </w:rPr>
        <w:t>:</w:t>
      </w:r>
    </w:p>
    <w:p w:rsidR="00186B76" w:rsidRPr="0071782F" w:rsidRDefault="00186B76" w:rsidP="00A45A11">
      <w:pPr>
        <w:pStyle w:val="SingleTxtG"/>
        <w:ind w:left="1701"/>
        <w:rPr>
          <w:lang w:val="fr-CH"/>
        </w:rPr>
      </w:pPr>
      <w:r w:rsidRPr="0071782F">
        <w:rPr>
          <w:lang w:val="fr-CH"/>
        </w:rPr>
        <w:t>423.1</w:t>
      </w:r>
      <w:r w:rsidR="005D6873" w:rsidRPr="0071782F">
        <w:rPr>
          <w:lang w:val="fr-CH"/>
        </w:rPr>
        <w:t>.</w:t>
      </w:r>
      <w:r w:rsidRPr="0071782F">
        <w:rPr>
          <w:lang w:val="fr-CH"/>
        </w:rPr>
        <w:tab/>
      </w:r>
      <w:r w:rsidR="008934D5" w:rsidRPr="0071782F">
        <w:rPr>
          <w:lang w:val="fr-CH"/>
        </w:rPr>
        <w:t xml:space="preserve">Enregistrement de </w:t>
      </w:r>
      <w:r w:rsidRPr="0071782F">
        <w:rPr>
          <w:lang w:val="fr-CH"/>
        </w:rPr>
        <w:t xml:space="preserve">14 </w:t>
      </w:r>
      <w:r w:rsidR="008934D5" w:rsidRPr="0071782F">
        <w:rPr>
          <w:lang w:val="fr-CH"/>
        </w:rPr>
        <w:t xml:space="preserve">nouvelles </w:t>
      </w:r>
      <w:r w:rsidRPr="0071782F">
        <w:rPr>
          <w:lang w:val="fr-CH"/>
        </w:rPr>
        <w:t xml:space="preserve">inventions </w:t>
      </w:r>
      <w:r w:rsidR="008934D5" w:rsidRPr="0071782F">
        <w:rPr>
          <w:lang w:val="fr-CH"/>
        </w:rPr>
        <w:t>dans les parcs technologiques et les centres de développement</w:t>
      </w:r>
      <w:r w:rsidRPr="0071782F">
        <w:rPr>
          <w:lang w:val="fr-CH"/>
        </w:rPr>
        <w:t>.</w:t>
      </w:r>
    </w:p>
    <w:p w:rsidR="00186B76" w:rsidRPr="0071782F" w:rsidRDefault="00186B76" w:rsidP="00A45A11">
      <w:pPr>
        <w:pStyle w:val="SingleTxtG"/>
        <w:ind w:left="1701"/>
        <w:rPr>
          <w:lang w:val="fr-CH"/>
        </w:rPr>
      </w:pPr>
      <w:r w:rsidRPr="0071782F">
        <w:rPr>
          <w:lang w:val="fr-CH"/>
        </w:rPr>
        <w:t>423.2</w:t>
      </w:r>
      <w:r w:rsidR="005D6873" w:rsidRPr="0071782F">
        <w:rPr>
          <w:lang w:val="fr-CH"/>
        </w:rPr>
        <w:t>.</w:t>
      </w:r>
      <w:r w:rsidRPr="0071782F">
        <w:rPr>
          <w:lang w:val="fr-CH"/>
        </w:rPr>
        <w:tab/>
      </w:r>
      <w:r w:rsidR="008934D5" w:rsidRPr="0071782F">
        <w:rPr>
          <w:lang w:val="fr-CH"/>
        </w:rPr>
        <w:t xml:space="preserve">Signature de </w:t>
      </w:r>
      <w:r w:rsidRPr="0071782F">
        <w:rPr>
          <w:lang w:val="fr-CH"/>
        </w:rPr>
        <w:t xml:space="preserve">19 </w:t>
      </w:r>
      <w:r w:rsidR="008934D5" w:rsidRPr="0071782F">
        <w:rPr>
          <w:lang w:val="fr-CH"/>
        </w:rPr>
        <w:t xml:space="preserve">accords de </w:t>
      </w:r>
      <w:r w:rsidRPr="0071782F">
        <w:rPr>
          <w:lang w:val="fr-CH"/>
        </w:rPr>
        <w:t>coop</w:t>
      </w:r>
      <w:r w:rsidR="008934D5" w:rsidRPr="0071782F">
        <w:rPr>
          <w:lang w:val="fr-CH"/>
        </w:rPr>
        <w:t>é</w:t>
      </w:r>
      <w:r w:rsidRPr="0071782F">
        <w:rPr>
          <w:lang w:val="fr-CH"/>
        </w:rPr>
        <w:t xml:space="preserve">ration </w:t>
      </w:r>
      <w:r w:rsidR="008934D5" w:rsidRPr="0071782F">
        <w:rPr>
          <w:lang w:val="fr-CH"/>
        </w:rPr>
        <w:t>entre des parcs technologiques et centres de développement et d’autres organisations et organismes d’exécution</w:t>
      </w:r>
      <w:r w:rsidRPr="0071782F">
        <w:rPr>
          <w:lang w:val="fr-CH"/>
        </w:rPr>
        <w:t>.</w:t>
      </w:r>
    </w:p>
    <w:p w:rsidR="00186B76" w:rsidRPr="0071782F" w:rsidRDefault="00186B76" w:rsidP="00A45A11">
      <w:pPr>
        <w:pStyle w:val="SingleTxtG"/>
        <w:ind w:left="1701"/>
        <w:rPr>
          <w:lang w:val="fr-CH"/>
        </w:rPr>
      </w:pPr>
      <w:r w:rsidRPr="0071782F">
        <w:rPr>
          <w:lang w:val="fr-CH"/>
        </w:rPr>
        <w:t>423.3</w:t>
      </w:r>
      <w:r w:rsidR="005D6873" w:rsidRPr="0071782F">
        <w:rPr>
          <w:lang w:val="fr-CH"/>
        </w:rPr>
        <w:t>.</w:t>
      </w:r>
      <w:r w:rsidRPr="0071782F">
        <w:rPr>
          <w:lang w:val="fr-CH"/>
        </w:rPr>
        <w:tab/>
        <w:t>Organi</w:t>
      </w:r>
      <w:r w:rsidR="008934D5" w:rsidRPr="0071782F">
        <w:rPr>
          <w:lang w:val="fr-CH"/>
        </w:rPr>
        <w:t>s</w:t>
      </w:r>
      <w:r w:rsidRPr="0071782F">
        <w:rPr>
          <w:lang w:val="fr-CH"/>
        </w:rPr>
        <w:t xml:space="preserve">ation </w:t>
      </w:r>
      <w:r w:rsidR="008934D5" w:rsidRPr="0071782F">
        <w:rPr>
          <w:lang w:val="fr-CH"/>
        </w:rPr>
        <w:t xml:space="preserve">dans les centres de développement de plus de </w:t>
      </w:r>
      <w:r w:rsidRPr="0071782F">
        <w:rPr>
          <w:lang w:val="fr-CH"/>
        </w:rPr>
        <w:t>3</w:t>
      </w:r>
      <w:r w:rsidR="00707DCC">
        <w:rPr>
          <w:lang w:val="fr-CH"/>
        </w:rPr>
        <w:t> </w:t>
      </w:r>
      <w:r w:rsidRPr="0071782F">
        <w:rPr>
          <w:lang w:val="fr-CH"/>
        </w:rPr>
        <w:t>000</w:t>
      </w:r>
      <w:r w:rsidR="00BF435F" w:rsidRPr="0071782F">
        <w:rPr>
          <w:lang w:val="fr-CH"/>
        </w:rPr>
        <w:t> heures</w:t>
      </w:r>
      <w:r w:rsidR="008934D5" w:rsidRPr="0071782F">
        <w:rPr>
          <w:lang w:val="fr-CH"/>
        </w:rPr>
        <w:t xml:space="preserve"> d’ateliers et de séminaires sur des thèmes tels que la commercialisation</w:t>
      </w:r>
      <w:r w:rsidRPr="0071782F">
        <w:rPr>
          <w:lang w:val="fr-CH"/>
        </w:rPr>
        <w:t xml:space="preserve">, </w:t>
      </w:r>
      <w:r w:rsidR="008934D5" w:rsidRPr="0071782F">
        <w:rPr>
          <w:lang w:val="fr-CH"/>
        </w:rPr>
        <w:t>les techniques financières, la vie économique et les questions juridiques</w:t>
      </w:r>
      <w:r w:rsidRPr="0071782F">
        <w:rPr>
          <w:lang w:val="fr-CH"/>
        </w:rPr>
        <w:t>.</w:t>
      </w:r>
    </w:p>
    <w:p w:rsidR="00186B76" w:rsidRPr="0071782F" w:rsidRDefault="00186B76" w:rsidP="00A45A11">
      <w:pPr>
        <w:pStyle w:val="SingleTxtG"/>
        <w:ind w:left="1701"/>
        <w:rPr>
          <w:lang w:val="fr-CH"/>
        </w:rPr>
      </w:pPr>
      <w:r w:rsidRPr="0071782F">
        <w:rPr>
          <w:lang w:val="fr-CH"/>
        </w:rPr>
        <w:t>423.4</w:t>
      </w:r>
      <w:r w:rsidR="005D6873" w:rsidRPr="0071782F">
        <w:rPr>
          <w:lang w:val="fr-CH"/>
        </w:rPr>
        <w:t>.</w:t>
      </w:r>
      <w:r w:rsidRPr="0071782F">
        <w:rPr>
          <w:lang w:val="fr-CH"/>
        </w:rPr>
        <w:tab/>
      </w:r>
      <w:r w:rsidR="008934D5" w:rsidRPr="0071782F">
        <w:rPr>
          <w:lang w:val="fr-CH"/>
        </w:rPr>
        <w:t xml:space="preserve">Création de deux nouvelles associations </w:t>
      </w:r>
      <w:r w:rsidRPr="0071782F">
        <w:rPr>
          <w:lang w:val="fr-CH"/>
        </w:rPr>
        <w:t>international</w:t>
      </w:r>
      <w:r w:rsidR="008934D5" w:rsidRPr="0071782F">
        <w:rPr>
          <w:lang w:val="fr-CH"/>
        </w:rPr>
        <w:t>es</w:t>
      </w:r>
      <w:r w:rsidRPr="0071782F">
        <w:rPr>
          <w:lang w:val="fr-CH"/>
        </w:rPr>
        <w:t xml:space="preserve"> </w:t>
      </w:r>
      <w:r w:rsidR="008934D5" w:rsidRPr="0071782F">
        <w:rPr>
          <w:lang w:val="fr-CH"/>
        </w:rPr>
        <w:t>de parcs technologiques et de centres de développement</w:t>
      </w:r>
      <w:r w:rsidRPr="0071782F">
        <w:rPr>
          <w:lang w:val="fr-CH"/>
        </w:rPr>
        <w:t>.</w:t>
      </w:r>
    </w:p>
    <w:p w:rsidR="00186B76" w:rsidRPr="0071782F" w:rsidRDefault="00186B76" w:rsidP="00A45A11">
      <w:pPr>
        <w:pStyle w:val="SingleTxtG"/>
        <w:ind w:left="1701"/>
        <w:rPr>
          <w:lang w:val="fr-CH"/>
        </w:rPr>
      </w:pPr>
      <w:r w:rsidRPr="0071782F">
        <w:rPr>
          <w:lang w:val="fr-CH"/>
        </w:rPr>
        <w:t>423.5</w:t>
      </w:r>
      <w:r w:rsidR="005D6873" w:rsidRPr="0071782F">
        <w:rPr>
          <w:lang w:val="fr-CH"/>
        </w:rPr>
        <w:t>.</w:t>
      </w:r>
      <w:r w:rsidRPr="0071782F">
        <w:rPr>
          <w:lang w:val="fr-CH"/>
        </w:rPr>
        <w:tab/>
      </w:r>
      <w:r w:rsidR="008934D5" w:rsidRPr="0071782F">
        <w:rPr>
          <w:lang w:val="fr-CH"/>
        </w:rPr>
        <w:t>Onze centres de développement et parcs technologiques primés lors de différents festivals</w:t>
      </w:r>
      <w:r w:rsidRPr="0071782F">
        <w:rPr>
          <w:lang w:val="fr-CH"/>
        </w:rPr>
        <w:t>.</w:t>
      </w:r>
    </w:p>
    <w:p w:rsidR="00186B76" w:rsidRPr="0071782F" w:rsidRDefault="00186B76" w:rsidP="00A45A11">
      <w:pPr>
        <w:pStyle w:val="SingleTxtG"/>
        <w:ind w:left="1701"/>
        <w:rPr>
          <w:lang w:val="fr-CH"/>
        </w:rPr>
      </w:pPr>
      <w:r w:rsidRPr="0071782F">
        <w:rPr>
          <w:lang w:val="fr-CH"/>
        </w:rPr>
        <w:t>423.6</w:t>
      </w:r>
      <w:r w:rsidR="005D6873" w:rsidRPr="0071782F">
        <w:rPr>
          <w:lang w:val="fr-CH"/>
        </w:rPr>
        <w:t>.</w:t>
      </w:r>
      <w:r w:rsidRPr="0071782F">
        <w:rPr>
          <w:lang w:val="fr-CH"/>
        </w:rPr>
        <w:tab/>
      </w:r>
      <w:r w:rsidR="00DC27EC" w:rsidRPr="0071782F">
        <w:rPr>
          <w:lang w:val="fr-CH"/>
        </w:rPr>
        <w:t xml:space="preserve">Quelque </w:t>
      </w:r>
      <w:r w:rsidRPr="0071782F">
        <w:rPr>
          <w:lang w:val="fr-CH"/>
        </w:rPr>
        <w:t>4</w:t>
      </w:r>
      <w:r w:rsidR="00707DCC">
        <w:rPr>
          <w:lang w:val="fr-CH"/>
        </w:rPr>
        <w:t> </w:t>
      </w:r>
      <w:r w:rsidRPr="0071782F">
        <w:rPr>
          <w:lang w:val="fr-CH"/>
        </w:rPr>
        <w:t>300</w:t>
      </w:r>
      <w:r w:rsidR="00097CDB" w:rsidRPr="0071782F">
        <w:rPr>
          <w:lang w:val="fr-CH"/>
        </w:rPr>
        <w:t> personnes</w:t>
      </w:r>
      <w:r w:rsidR="00DC27EC" w:rsidRPr="0071782F">
        <w:rPr>
          <w:lang w:val="fr-CH"/>
        </w:rPr>
        <w:t xml:space="preserve"> employées par des sociétés </w:t>
      </w:r>
      <w:r w:rsidRPr="0071782F">
        <w:rPr>
          <w:lang w:val="fr-CH"/>
        </w:rPr>
        <w:t>technolog</w:t>
      </w:r>
      <w:r w:rsidR="00DC27EC" w:rsidRPr="0071782F">
        <w:rPr>
          <w:lang w:val="fr-CH"/>
        </w:rPr>
        <w:t xml:space="preserve">iques dans des parcs technologiques et des centres de développement à la fin de </w:t>
      </w:r>
      <w:r w:rsidRPr="0071782F">
        <w:rPr>
          <w:lang w:val="fr-CH"/>
        </w:rPr>
        <w:t>2006.</w:t>
      </w:r>
    </w:p>
    <w:p w:rsidR="00186B76" w:rsidRPr="0071782F" w:rsidRDefault="00186B76" w:rsidP="00A45A11">
      <w:pPr>
        <w:pStyle w:val="SingleTxtG"/>
        <w:ind w:left="1701"/>
        <w:rPr>
          <w:lang w:val="fr-CH"/>
        </w:rPr>
      </w:pPr>
      <w:r w:rsidRPr="0071782F">
        <w:rPr>
          <w:lang w:val="fr-CH"/>
        </w:rPr>
        <w:t>423.7</w:t>
      </w:r>
      <w:r w:rsidR="005D6873" w:rsidRPr="0071782F">
        <w:rPr>
          <w:lang w:val="fr-CH"/>
        </w:rPr>
        <w:t>.</w:t>
      </w:r>
      <w:r w:rsidRPr="0071782F">
        <w:rPr>
          <w:lang w:val="fr-CH"/>
        </w:rPr>
        <w:tab/>
      </w:r>
      <w:r w:rsidR="00DC27EC" w:rsidRPr="0071782F">
        <w:rPr>
          <w:lang w:val="fr-CH"/>
        </w:rPr>
        <w:t xml:space="preserve">Création de </w:t>
      </w:r>
      <w:r w:rsidRPr="0071782F">
        <w:rPr>
          <w:lang w:val="fr-CH"/>
        </w:rPr>
        <w:t xml:space="preserve">830 </w:t>
      </w:r>
      <w:r w:rsidR="00DC27EC" w:rsidRPr="0071782F">
        <w:rPr>
          <w:lang w:val="fr-CH"/>
        </w:rPr>
        <w:t>sociétés technologiques dans des parcs technologiques et des centres de développement à la fin de 2006</w:t>
      </w:r>
      <w:r w:rsidRPr="0071782F">
        <w:rPr>
          <w:lang w:val="fr-CH"/>
        </w:rPr>
        <w:t>.</w:t>
      </w:r>
    </w:p>
    <w:p w:rsidR="00186B76" w:rsidRPr="0071782F" w:rsidRDefault="00186B76" w:rsidP="00A45A11">
      <w:pPr>
        <w:pStyle w:val="SingleTxtG"/>
        <w:ind w:left="1701"/>
        <w:rPr>
          <w:lang w:val="fr-CH"/>
        </w:rPr>
      </w:pPr>
      <w:r w:rsidRPr="0071782F">
        <w:rPr>
          <w:lang w:val="fr-CH"/>
        </w:rPr>
        <w:t>423.8</w:t>
      </w:r>
      <w:r w:rsidR="005D6873" w:rsidRPr="0071782F">
        <w:rPr>
          <w:lang w:val="fr-CH"/>
        </w:rPr>
        <w:t>.</w:t>
      </w:r>
      <w:r w:rsidRPr="0071782F">
        <w:rPr>
          <w:lang w:val="fr-CH"/>
        </w:rPr>
        <w:tab/>
      </w:r>
      <w:r w:rsidR="00DC27EC" w:rsidRPr="0071782F">
        <w:rPr>
          <w:lang w:val="fr-CH"/>
        </w:rPr>
        <w:t xml:space="preserve">Élaboration du règlement concernant les autorisations de parcs </w:t>
      </w:r>
      <w:r w:rsidRPr="0071782F">
        <w:rPr>
          <w:lang w:val="fr-CH"/>
        </w:rPr>
        <w:t>scien</w:t>
      </w:r>
      <w:r w:rsidR="00DC27EC" w:rsidRPr="0071782F">
        <w:rPr>
          <w:lang w:val="fr-CH"/>
        </w:rPr>
        <w:t xml:space="preserve">tifiques et </w:t>
      </w:r>
      <w:r w:rsidRPr="0071782F">
        <w:rPr>
          <w:lang w:val="fr-CH"/>
        </w:rPr>
        <w:t>technolog</w:t>
      </w:r>
      <w:r w:rsidR="00DC27EC" w:rsidRPr="0071782F">
        <w:rPr>
          <w:lang w:val="fr-CH"/>
        </w:rPr>
        <w:t>iques</w:t>
      </w:r>
      <w:r w:rsidRPr="0071782F">
        <w:rPr>
          <w:lang w:val="fr-CH"/>
        </w:rPr>
        <w:t>.</w:t>
      </w:r>
    </w:p>
    <w:p w:rsidR="00186B76" w:rsidRPr="0071782F" w:rsidRDefault="00186B76" w:rsidP="00A45A11">
      <w:pPr>
        <w:pStyle w:val="SingleTxtG"/>
        <w:ind w:left="1701"/>
        <w:rPr>
          <w:lang w:val="fr-CH"/>
        </w:rPr>
      </w:pPr>
      <w:r w:rsidRPr="0071782F">
        <w:rPr>
          <w:lang w:val="fr-CH"/>
        </w:rPr>
        <w:t>423.9</w:t>
      </w:r>
      <w:r w:rsidR="005D6873" w:rsidRPr="0071782F">
        <w:rPr>
          <w:lang w:val="fr-CH"/>
        </w:rPr>
        <w:t>.</w:t>
      </w:r>
      <w:r w:rsidRPr="0071782F">
        <w:rPr>
          <w:lang w:val="fr-CH"/>
        </w:rPr>
        <w:tab/>
      </w:r>
      <w:r w:rsidR="00DC27EC" w:rsidRPr="0071782F">
        <w:rPr>
          <w:lang w:val="fr-CH"/>
        </w:rPr>
        <w:t>Définition des indicateurs d’é</w:t>
      </w:r>
      <w:r w:rsidRPr="0071782F">
        <w:rPr>
          <w:lang w:val="fr-CH"/>
        </w:rPr>
        <w:t xml:space="preserve">valuation </w:t>
      </w:r>
      <w:r w:rsidR="00DC27EC" w:rsidRPr="0071782F">
        <w:rPr>
          <w:lang w:val="fr-CH"/>
        </w:rPr>
        <w:t>des parcs technologiques et des centres de développement</w:t>
      </w:r>
      <w:r w:rsidRPr="0071782F">
        <w:rPr>
          <w:lang w:val="fr-CH"/>
        </w:rPr>
        <w:t>.</w:t>
      </w:r>
    </w:p>
    <w:p w:rsidR="00186B76" w:rsidRPr="0071782F" w:rsidRDefault="00186B76" w:rsidP="00A45A11">
      <w:pPr>
        <w:pStyle w:val="SingleTxtG"/>
        <w:ind w:left="1701"/>
        <w:rPr>
          <w:lang w:val="fr-CH"/>
        </w:rPr>
      </w:pPr>
      <w:r w:rsidRPr="0071782F">
        <w:rPr>
          <w:lang w:val="fr-CH"/>
        </w:rPr>
        <w:t>423.10</w:t>
      </w:r>
      <w:r w:rsidR="005D6873" w:rsidRPr="0071782F">
        <w:rPr>
          <w:lang w:val="fr-CH"/>
        </w:rPr>
        <w:t>.</w:t>
      </w:r>
      <w:r w:rsidRPr="0071782F">
        <w:rPr>
          <w:lang w:val="fr-CH"/>
        </w:rPr>
        <w:t xml:space="preserve"> </w:t>
      </w:r>
      <w:r w:rsidR="00DC27EC" w:rsidRPr="0071782F">
        <w:rPr>
          <w:lang w:val="fr-CH"/>
        </w:rPr>
        <w:t xml:space="preserve">Élaboration du programme </w:t>
      </w:r>
      <w:r w:rsidRPr="0071782F">
        <w:rPr>
          <w:lang w:val="fr-CH"/>
        </w:rPr>
        <w:t>strat</w:t>
      </w:r>
      <w:r w:rsidR="00DC27EC" w:rsidRPr="0071782F">
        <w:rPr>
          <w:lang w:val="fr-CH"/>
        </w:rPr>
        <w:t>é</w:t>
      </w:r>
      <w:r w:rsidRPr="0071782F">
        <w:rPr>
          <w:lang w:val="fr-CH"/>
        </w:rPr>
        <w:t>gi</w:t>
      </w:r>
      <w:r w:rsidR="00DC27EC" w:rsidRPr="0071782F">
        <w:rPr>
          <w:lang w:val="fr-CH"/>
        </w:rPr>
        <w:t xml:space="preserve">que de </w:t>
      </w:r>
      <w:r w:rsidRPr="0071782F">
        <w:rPr>
          <w:lang w:val="fr-CH"/>
        </w:rPr>
        <w:t xml:space="preserve">promotion </w:t>
      </w:r>
      <w:r w:rsidR="00DC27EC" w:rsidRPr="0071782F">
        <w:rPr>
          <w:lang w:val="fr-CH"/>
        </w:rPr>
        <w:t xml:space="preserve">des technologies de l’information au </w:t>
      </w:r>
      <w:r w:rsidRPr="0071782F">
        <w:rPr>
          <w:lang w:val="fr-CH"/>
        </w:rPr>
        <w:t>Minist</w:t>
      </w:r>
      <w:r w:rsidR="00DC27EC" w:rsidRPr="0071782F">
        <w:rPr>
          <w:lang w:val="fr-CH"/>
        </w:rPr>
        <w:t>ère de la s</w:t>
      </w:r>
      <w:r w:rsidRPr="0071782F">
        <w:rPr>
          <w:lang w:val="fr-CH"/>
        </w:rPr>
        <w:t xml:space="preserve">cience, </w:t>
      </w:r>
      <w:r w:rsidR="00DC27EC" w:rsidRPr="0071782F">
        <w:rPr>
          <w:lang w:val="fr-CH"/>
        </w:rPr>
        <w:t>de la recherche et de la t</w:t>
      </w:r>
      <w:r w:rsidRPr="0071782F">
        <w:rPr>
          <w:lang w:val="fr-CH"/>
        </w:rPr>
        <w:t>echnolog</w:t>
      </w:r>
      <w:r w:rsidR="00DC27EC" w:rsidRPr="0071782F">
        <w:rPr>
          <w:lang w:val="fr-CH"/>
        </w:rPr>
        <w:t>ie</w:t>
      </w:r>
      <w:r w:rsidRPr="0071782F">
        <w:rPr>
          <w:lang w:val="fr-CH"/>
        </w:rPr>
        <w:t>.</w:t>
      </w:r>
    </w:p>
    <w:p w:rsidR="00186B76" w:rsidRPr="0071782F" w:rsidRDefault="00186B76" w:rsidP="00A45A11">
      <w:pPr>
        <w:pStyle w:val="SingleTxtG"/>
        <w:ind w:left="1701"/>
        <w:rPr>
          <w:lang w:val="fr-CH"/>
        </w:rPr>
      </w:pPr>
      <w:r w:rsidRPr="0071782F">
        <w:rPr>
          <w:lang w:val="fr-CH"/>
        </w:rPr>
        <w:t>423.11</w:t>
      </w:r>
      <w:r w:rsidR="005D6873" w:rsidRPr="0071782F">
        <w:rPr>
          <w:lang w:val="fr-CH"/>
        </w:rPr>
        <w:t>.</w:t>
      </w:r>
      <w:r w:rsidRPr="0071782F">
        <w:rPr>
          <w:lang w:val="fr-CH"/>
        </w:rPr>
        <w:t xml:space="preserve"> </w:t>
      </w:r>
      <w:r w:rsidR="00AE3C2F" w:rsidRPr="0071782F">
        <w:rPr>
          <w:lang w:val="fr-CH"/>
        </w:rPr>
        <w:t xml:space="preserve">Élaboration du programme </w:t>
      </w:r>
      <w:r w:rsidR="0023687E" w:rsidRPr="0071782F">
        <w:rPr>
          <w:lang w:val="fr-CH"/>
        </w:rPr>
        <w:t xml:space="preserve">d’organisation des </w:t>
      </w:r>
      <w:r w:rsidR="00AE3C2F" w:rsidRPr="0071782F">
        <w:rPr>
          <w:lang w:val="fr-CH"/>
        </w:rPr>
        <w:t>structures des technologies de l’information du Ministère</w:t>
      </w:r>
      <w:r w:rsidRPr="0071782F">
        <w:rPr>
          <w:lang w:val="fr-CH"/>
        </w:rPr>
        <w:t>.</w:t>
      </w:r>
    </w:p>
    <w:p w:rsidR="00186B76" w:rsidRPr="0071782F" w:rsidRDefault="00186B76" w:rsidP="00A45A11">
      <w:pPr>
        <w:pStyle w:val="SingleTxtG"/>
        <w:ind w:left="1701"/>
        <w:rPr>
          <w:lang w:val="fr-CH"/>
        </w:rPr>
      </w:pPr>
      <w:r w:rsidRPr="0071782F">
        <w:rPr>
          <w:lang w:val="fr-CH"/>
        </w:rPr>
        <w:t>423.12</w:t>
      </w:r>
      <w:r w:rsidR="005D6873" w:rsidRPr="0071782F">
        <w:rPr>
          <w:lang w:val="fr-CH"/>
        </w:rPr>
        <w:t>.</w:t>
      </w:r>
      <w:r w:rsidRPr="0071782F">
        <w:rPr>
          <w:lang w:val="fr-CH"/>
        </w:rPr>
        <w:t xml:space="preserve"> </w:t>
      </w:r>
      <w:r w:rsidR="00AE3C2F" w:rsidRPr="0071782F">
        <w:rPr>
          <w:lang w:val="fr-CH"/>
        </w:rPr>
        <w:t xml:space="preserve">Première place remportée pour les </w:t>
      </w:r>
      <w:r w:rsidRPr="0071782F">
        <w:rPr>
          <w:lang w:val="fr-CH"/>
        </w:rPr>
        <w:t>nanoscience</w:t>
      </w:r>
      <w:r w:rsidR="00AE3C2F" w:rsidRPr="0071782F">
        <w:rPr>
          <w:lang w:val="fr-CH"/>
        </w:rPr>
        <w:t>s</w:t>
      </w:r>
      <w:r w:rsidRPr="0071782F">
        <w:rPr>
          <w:lang w:val="fr-CH"/>
        </w:rPr>
        <w:t xml:space="preserve"> </w:t>
      </w:r>
      <w:r w:rsidR="00AE3C2F" w:rsidRPr="0071782F">
        <w:rPr>
          <w:lang w:val="fr-CH"/>
        </w:rPr>
        <w:t>parmi tous les organismes d’exécution du pays</w:t>
      </w:r>
      <w:r w:rsidRPr="0071782F">
        <w:rPr>
          <w:lang w:val="fr-CH"/>
        </w:rPr>
        <w:t>.</w:t>
      </w:r>
    </w:p>
    <w:p w:rsidR="00186B76" w:rsidRPr="0071782F" w:rsidRDefault="00186B76" w:rsidP="00A45A11">
      <w:pPr>
        <w:pStyle w:val="SingleTxtG"/>
        <w:ind w:left="1701"/>
        <w:rPr>
          <w:lang w:val="fr-CH"/>
        </w:rPr>
      </w:pPr>
      <w:r w:rsidRPr="0071782F">
        <w:rPr>
          <w:lang w:val="fr-CH"/>
        </w:rPr>
        <w:t>423.13</w:t>
      </w:r>
      <w:r w:rsidR="005D6873" w:rsidRPr="0071782F">
        <w:rPr>
          <w:lang w:val="fr-CH"/>
        </w:rPr>
        <w:t>.</w:t>
      </w:r>
      <w:r w:rsidRPr="0071782F">
        <w:rPr>
          <w:lang w:val="fr-CH"/>
        </w:rPr>
        <w:t xml:space="preserve"> Conclusion </w:t>
      </w:r>
      <w:r w:rsidR="00AE3C2F" w:rsidRPr="0071782F">
        <w:rPr>
          <w:lang w:val="fr-CH"/>
        </w:rPr>
        <w:t xml:space="preserve">d’un accord avec le Fonds public de coopération en vue de l’utilisation de ses services financiers par les </w:t>
      </w:r>
      <w:r w:rsidRPr="0071782F">
        <w:rPr>
          <w:lang w:val="fr-CH"/>
        </w:rPr>
        <w:t xml:space="preserve">institutions </w:t>
      </w:r>
      <w:r w:rsidR="00AE3C2F" w:rsidRPr="0071782F">
        <w:rPr>
          <w:lang w:val="fr-CH"/>
        </w:rPr>
        <w:t>implantées dans les parcs technologiques et les centres de développement</w:t>
      </w:r>
      <w:r w:rsidRPr="0071782F">
        <w:rPr>
          <w:lang w:val="fr-CH"/>
        </w:rPr>
        <w:t>.</w:t>
      </w:r>
    </w:p>
    <w:p w:rsidR="00186B76" w:rsidRPr="0071782F" w:rsidRDefault="00186B76" w:rsidP="00A45A11">
      <w:pPr>
        <w:pStyle w:val="SingleTxtG"/>
        <w:ind w:left="1701"/>
        <w:rPr>
          <w:lang w:val="fr-CH"/>
        </w:rPr>
      </w:pPr>
      <w:r w:rsidRPr="0071782F">
        <w:rPr>
          <w:lang w:val="fr-CH"/>
        </w:rPr>
        <w:t>423.14</w:t>
      </w:r>
      <w:r w:rsidR="005D6873" w:rsidRPr="0071782F">
        <w:rPr>
          <w:lang w:val="fr-CH"/>
        </w:rPr>
        <w:t>.</w:t>
      </w:r>
      <w:r w:rsidRPr="0071782F">
        <w:rPr>
          <w:lang w:val="fr-CH"/>
        </w:rPr>
        <w:t xml:space="preserve"> </w:t>
      </w:r>
      <w:r w:rsidR="00AE3C2F" w:rsidRPr="0071782F">
        <w:rPr>
          <w:lang w:val="fr-CH"/>
        </w:rPr>
        <w:t xml:space="preserve">Conception et mise en </w:t>
      </w:r>
      <w:r w:rsidR="00D5366B" w:rsidRPr="0071782F">
        <w:rPr>
          <w:lang w:val="fr-CH"/>
        </w:rPr>
        <w:t>œuvre</w:t>
      </w:r>
      <w:r w:rsidR="00AE3C2F" w:rsidRPr="0071782F">
        <w:rPr>
          <w:lang w:val="fr-CH"/>
        </w:rPr>
        <w:t xml:space="preserve"> de systèmes de technologies de l’information dans les parcs technologiques et les centres de développement.</w:t>
      </w:r>
    </w:p>
    <w:p w:rsidR="00186B76" w:rsidRPr="0071782F" w:rsidRDefault="00186B76" w:rsidP="00A45A11">
      <w:pPr>
        <w:pStyle w:val="SingleTxtG"/>
        <w:ind w:left="1701"/>
        <w:rPr>
          <w:lang w:val="fr-CH"/>
        </w:rPr>
      </w:pPr>
      <w:r w:rsidRPr="0071782F">
        <w:rPr>
          <w:lang w:val="fr-CH"/>
        </w:rPr>
        <w:t>423.15</w:t>
      </w:r>
      <w:r w:rsidR="005D6873" w:rsidRPr="0071782F">
        <w:rPr>
          <w:lang w:val="fr-CH"/>
        </w:rPr>
        <w:t>.</w:t>
      </w:r>
      <w:r w:rsidRPr="0071782F">
        <w:rPr>
          <w:lang w:val="fr-CH"/>
        </w:rPr>
        <w:t xml:space="preserve"> Allocation </w:t>
      </w:r>
      <w:r w:rsidR="00682D5F" w:rsidRPr="0071782F">
        <w:rPr>
          <w:lang w:val="fr-CH"/>
        </w:rPr>
        <w:t xml:space="preserve">de </w:t>
      </w:r>
      <w:r w:rsidRPr="0071782F">
        <w:rPr>
          <w:lang w:val="fr-CH"/>
        </w:rPr>
        <w:t>1,6</w:t>
      </w:r>
      <w:r w:rsidR="008553D9" w:rsidRPr="0071782F">
        <w:rPr>
          <w:lang w:val="fr-CH"/>
        </w:rPr>
        <w:t> milliard</w:t>
      </w:r>
      <w:r w:rsidR="00682D5F" w:rsidRPr="0071782F">
        <w:rPr>
          <w:lang w:val="fr-CH"/>
        </w:rPr>
        <w:t xml:space="preserve"> </w:t>
      </w:r>
      <w:r w:rsidR="003B1403" w:rsidRPr="0071782F">
        <w:rPr>
          <w:lang w:val="fr-CH"/>
        </w:rPr>
        <w:t>de rials</w:t>
      </w:r>
      <w:r w:rsidR="00682D5F" w:rsidRPr="0071782F">
        <w:rPr>
          <w:lang w:val="fr-CH"/>
        </w:rPr>
        <w:t xml:space="preserve"> en</w:t>
      </w:r>
      <w:r w:rsidRPr="0071782F">
        <w:rPr>
          <w:lang w:val="fr-CH"/>
        </w:rPr>
        <w:t xml:space="preserve"> 2006 </w:t>
      </w:r>
      <w:r w:rsidR="00133D7A" w:rsidRPr="0071782F">
        <w:rPr>
          <w:lang w:val="fr-CH"/>
        </w:rPr>
        <w:t>au titre du financement partiel des coûts d’enregistrement international des brevets d’invention et d’achat de licences scientifiques pour les brevets enregistrés en Iran</w:t>
      </w:r>
      <w:r w:rsidRPr="0071782F">
        <w:rPr>
          <w:lang w:val="fr-CH"/>
        </w:rPr>
        <w:t>.</w:t>
      </w:r>
    </w:p>
    <w:p w:rsidR="00186B76" w:rsidRPr="0071782F" w:rsidRDefault="00186B76" w:rsidP="00A45A11">
      <w:pPr>
        <w:pStyle w:val="SingleTxtG"/>
        <w:ind w:left="1701"/>
        <w:rPr>
          <w:lang w:val="fr-CH"/>
        </w:rPr>
      </w:pPr>
      <w:r w:rsidRPr="0071782F">
        <w:rPr>
          <w:lang w:val="fr-CH"/>
        </w:rPr>
        <w:t>423.16</w:t>
      </w:r>
      <w:r w:rsidR="005D6873" w:rsidRPr="0071782F">
        <w:rPr>
          <w:lang w:val="fr-CH"/>
        </w:rPr>
        <w:t>.</w:t>
      </w:r>
      <w:r w:rsidRPr="0071782F">
        <w:rPr>
          <w:lang w:val="fr-CH"/>
        </w:rPr>
        <w:t xml:space="preserve"> </w:t>
      </w:r>
      <w:r w:rsidR="00133D7A" w:rsidRPr="0071782F">
        <w:rPr>
          <w:lang w:val="fr-CH"/>
        </w:rPr>
        <w:t>É</w:t>
      </w:r>
      <w:r w:rsidRPr="0071782F">
        <w:rPr>
          <w:lang w:val="fr-CH"/>
        </w:rPr>
        <w:t xml:space="preserve">valuation </w:t>
      </w:r>
      <w:r w:rsidR="00133D7A" w:rsidRPr="0071782F">
        <w:rPr>
          <w:lang w:val="fr-CH"/>
        </w:rPr>
        <w:t>en 2006 de 198 inventions</w:t>
      </w:r>
      <w:r w:rsidRPr="0071782F">
        <w:rPr>
          <w:lang w:val="fr-CH"/>
        </w:rPr>
        <w:t xml:space="preserve"> </w:t>
      </w:r>
      <w:r w:rsidR="00133D7A" w:rsidRPr="0071782F">
        <w:rPr>
          <w:lang w:val="fr-CH"/>
        </w:rPr>
        <w:t>signalées par la Fo</w:t>
      </w:r>
      <w:r w:rsidR="0023687E" w:rsidRPr="0071782F">
        <w:rPr>
          <w:lang w:val="fr-CH"/>
        </w:rPr>
        <w:t>ndation nationale des élites et</w:t>
      </w:r>
      <w:r w:rsidR="00133D7A" w:rsidRPr="0071782F">
        <w:rPr>
          <w:lang w:val="fr-CH"/>
        </w:rPr>
        <w:t xml:space="preserve"> l’organisme d’enregistrement</w:t>
      </w:r>
      <w:r w:rsidRPr="0071782F">
        <w:rPr>
          <w:lang w:val="fr-CH"/>
        </w:rPr>
        <w:t>.</w:t>
      </w:r>
    </w:p>
    <w:p w:rsidR="00186B76" w:rsidRPr="0071782F" w:rsidRDefault="00186B76" w:rsidP="00A45A11">
      <w:pPr>
        <w:pStyle w:val="SingleTxtG"/>
        <w:ind w:left="1701"/>
        <w:rPr>
          <w:lang w:val="fr-CH"/>
        </w:rPr>
      </w:pPr>
      <w:r w:rsidRPr="0071782F">
        <w:rPr>
          <w:lang w:val="fr-CH"/>
        </w:rPr>
        <w:t>423.17</w:t>
      </w:r>
      <w:r w:rsidR="005D6873" w:rsidRPr="0071782F">
        <w:rPr>
          <w:lang w:val="fr-CH"/>
        </w:rPr>
        <w:t>.</w:t>
      </w:r>
      <w:r w:rsidRPr="0071782F">
        <w:rPr>
          <w:lang w:val="fr-CH"/>
        </w:rPr>
        <w:t xml:space="preserve"> Allocation </w:t>
      </w:r>
      <w:r w:rsidR="00133D7A" w:rsidRPr="0071782F">
        <w:rPr>
          <w:lang w:val="fr-CH"/>
        </w:rPr>
        <w:t>de</w:t>
      </w:r>
      <w:r w:rsidRPr="0071782F">
        <w:rPr>
          <w:lang w:val="fr-CH"/>
        </w:rPr>
        <w:t xml:space="preserve"> 3,5</w:t>
      </w:r>
      <w:r w:rsidR="008553D9" w:rsidRPr="0071782F">
        <w:rPr>
          <w:lang w:val="fr-CH"/>
        </w:rPr>
        <w:t> milliard</w:t>
      </w:r>
      <w:r w:rsidR="00097CDB" w:rsidRPr="0071782F">
        <w:rPr>
          <w:lang w:val="fr-CH"/>
        </w:rPr>
        <w:t>s</w:t>
      </w:r>
      <w:r w:rsidR="00133D7A" w:rsidRPr="0071782F">
        <w:rPr>
          <w:lang w:val="fr-CH"/>
        </w:rPr>
        <w:t xml:space="preserve"> </w:t>
      </w:r>
      <w:r w:rsidR="003B1403" w:rsidRPr="0071782F">
        <w:rPr>
          <w:lang w:val="fr-CH"/>
        </w:rPr>
        <w:t>de rials</w:t>
      </w:r>
      <w:r w:rsidRPr="0071782F">
        <w:rPr>
          <w:lang w:val="fr-CH"/>
        </w:rPr>
        <w:t xml:space="preserve"> </w:t>
      </w:r>
      <w:r w:rsidR="00133D7A" w:rsidRPr="0071782F">
        <w:rPr>
          <w:lang w:val="fr-CH"/>
        </w:rPr>
        <w:t xml:space="preserve">au titre de la fourniture d’une </w:t>
      </w:r>
      <w:r w:rsidRPr="0071782F">
        <w:rPr>
          <w:lang w:val="fr-CH"/>
        </w:rPr>
        <w:t xml:space="preserve">assistance </w:t>
      </w:r>
      <w:r w:rsidR="00133D7A" w:rsidRPr="0071782F">
        <w:rPr>
          <w:lang w:val="fr-CH"/>
        </w:rPr>
        <w:t xml:space="preserve">aux programmes de recherche </w:t>
      </w:r>
      <w:r w:rsidRPr="0071782F">
        <w:rPr>
          <w:lang w:val="fr-CH"/>
        </w:rPr>
        <w:t>semi-industri</w:t>
      </w:r>
      <w:r w:rsidR="00133D7A" w:rsidRPr="0071782F">
        <w:rPr>
          <w:lang w:val="fr-CH"/>
        </w:rPr>
        <w:t>els</w:t>
      </w:r>
      <w:r w:rsidRPr="0071782F">
        <w:rPr>
          <w:lang w:val="fr-CH"/>
        </w:rPr>
        <w:t>.</w:t>
      </w:r>
    </w:p>
    <w:p w:rsidR="00186B76" w:rsidRPr="0071782F" w:rsidRDefault="00186B76" w:rsidP="00A45A11">
      <w:pPr>
        <w:pStyle w:val="SingleTxtG"/>
        <w:ind w:left="1701"/>
        <w:rPr>
          <w:lang w:val="fr-CH"/>
        </w:rPr>
      </w:pPr>
      <w:r w:rsidRPr="0071782F">
        <w:rPr>
          <w:lang w:val="fr-CH"/>
        </w:rPr>
        <w:t>423.18</w:t>
      </w:r>
      <w:r w:rsidR="005D6873" w:rsidRPr="0071782F">
        <w:rPr>
          <w:lang w:val="fr-CH"/>
        </w:rPr>
        <w:t>.</w:t>
      </w:r>
      <w:r w:rsidR="00133D7A" w:rsidRPr="0071782F">
        <w:rPr>
          <w:lang w:val="fr-CH"/>
        </w:rPr>
        <w:t xml:space="preserve"> Organis</w:t>
      </w:r>
      <w:r w:rsidRPr="0071782F">
        <w:rPr>
          <w:lang w:val="fr-CH"/>
        </w:rPr>
        <w:t xml:space="preserve">ation </w:t>
      </w:r>
      <w:r w:rsidR="00133D7A" w:rsidRPr="0071782F">
        <w:rPr>
          <w:lang w:val="fr-CH"/>
        </w:rPr>
        <w:t xml:space="preserve">du Festival entrepreneurial </w:t>
      </w:r>
      <w:r w:rsidRPr="0071782F">
        <w:rPr>
          <w:lang w:val="fr-CH"/>
        </w:rPr>
        <w:t>Shaykh Baha</w:t>
      </w:r>
      <w:r w:rsidR="00A74604" w:rsidRPr="0071782F">
        <w:rPr>
          <w:lang w:val="fr-CH"/>
        </w:rPr>
        <w:t>’</w:t>
      </w:r>
      <w:r w:rsidRPr="0071782F">
        <w:rPr>
          <w:lang w:val="fr-CH"/>
        </w:rPr>
        <w:t>i.</w:t>
      </w:r>
    </w:p>
    <w:p w:rsidR="00186B76" w:rsidRPr="0071782F" w:rsidRDefault="00186B76" w:rsidP="00A45A11">
      <w:pPr>
        <w:pStyle w:val="SingleTxtG"/>
        <w:ind w:left="1701"/>
        <w:rPr>
          <w:lang w:val="fr-CH"/>
        </w:rPr>
      </w:pPr>
      <w:r w:rsidRPr="0071782F">
        <w:rPr>
          <w:lang w:val="fr-CH"/>
        </w:rPr>
        <w:t>423.19</w:t>
      </w:r>
      <w:r w:rsidR="005D6873" w:rsidRPr="0071782F">
        <w:rPr>
          <w:lang w:val="fr-CH"/>
        </w:rPr>
        <w:t>.</w:t>
      </w:r>
      <w:r w:rsidRPr="0071782F">
        <w:rPr>
          <w:lang w:val="fr-CH"/>
        </w:rPr>
        <w:t xml:space="preserve"> </w:t>
      </w:r>
      <w:r w:rsidR="00133D7A" w:rsidRPr="0071782F">
        <w:rPr>
          <w:lang w:val="fr-CH"/>
        </w:rPr>
        <w:t>Évaluation des réalisations des parcs scientifiques et technologiques et des centres de développement par</w:t>
      </w:r>
      <w:r w:rsidRPr="0071782F">
        <w:rPr>
          <w:lang w:val="fr-CH"/>
        </w:rPr>
        <w:t xml:space="preserve"> </w:t>
      </w:r>
      <w:r w:rsidR="00133D7A" w:rsidRPr="0071782F">
        <w:rPr>
          <w:lang w:val="fr-CH"/>
        </w:rPr>
        <w:t>l’Assemblée c</w:t>
      </w:r>
      <w:r w:rsidRPr="0071782F">
        <w:rPr>
          <w:lang w:val="fr-CH"/>
        </w:rPr>
        <w:t xml:space="preserve">onsultative </w:t>
      </w:r>
      <w:r w:rsidR="00133D7A" w:rsidRPr="0071782F">
        <w:rPr>
          <w:lang w:val="fr-CH"/>
        </w:rPr>
        <w:t>islamique en s</w:t>
      </w:r>
      <w:r w:rsidRPr="0071782F">
        <w:rPr>
          <w:lang w:val="fr-CH"/>
        </w:rPr>
        <w:t>eptemb</w:t>
      </w:r>
      <w:r w:rsidR="00133D7A" w:rsidRPr="0071782F">
        <w:rPr>
          <w:lang w:val="fr-CH"/>
        </w:rPr>
        <w:t>re</w:t>
      </w:r>
      <w:r w:rsidRPr="0071782F">
        <w:rPr>
          <w:lang w:val="fr-CH"/>
        </w:rPr>
        <w:t xml:space="preserve"> 2006.</w:t>
      </w:r>
    </w:p>
    <w:p w:rsidR="00186B76" w:rsidRPr="0071782F" w:rsidRDefault="00186B76" w:rsidP="00A45A11">
      <w:pPr>
        <w:pStyle w:val="SingleTxtG"/>
        <w:ind w:left="1701"/>
        <w:rPr>
          <w:lang w:val="fr-CH"/>
        </w:rPr>
      </w:pPr>
      <w:r w:rsidRPr="0071782F">
        <w:rPr>
          <w:lang w:val="fr-CH"/>
        </w:rPr>
        <w:t>423.20</w:t>
      </w:r>
      <w:r w:rsidR="005D6873" w:rsidRPr="0071782F">
        <w:rPr>
          <w:lang w:val="fr-CH"/>
        </w:rPr>
        <w:t>.</w:t>
      </w:r>
      <w:r w:rsidRPr="0071782F">
        <w:rPr>
          <w:lang w:val="fr-CH"/>
        </w:rPr>
        <w:t xml:space="preserve"> Organi</w:t>
      </w:r>
      <w:r w:rsidR="00133D7A" w:rsidRPr="0071782F">
        <w:rPr>
          <w:lang w:val="fr-CH"/>
        </w:rPr>
        <w:t>s</w:t>
      </w:r>
      <w:r w:rsidRPr="0071782F">
        <w:rPr>
          <w:lang w:val="fr-CH"/>
        </w:rPr>
        <w:t xml:space="preserve">ation </w:t>
      </w:r>
      <w:r w:rsidR="00133D7A" w:rsidRPr="0071782F">
        <w:rPr>
          <w:lang w:val="fr-CH"/>
        </w:rPr>
        <w:t xml:space="preserve">de la </w:t>
      </w:r>
      <w:r w:rsidR="00A90208" w:rsidRPr="0071782F">
        <w:rPr>
          <w:lang w:val="fr-CH"/>
        </w:rPr>
        <w:t>quatrième</w:t>
      </w:r>
      <w:r w:rsidRPr="0071782F">
        <w:rPr>
          <w:lang w:val="fr-CH"/>
        </w:rPr>
        <w:t xml:space="preserve"> ex</w:t>
      </w:r>
      <w:r w:rsidR="00133D7A" w:rsidRPr="0071782F">
        <w:rPr>
          <w:lang w:val="fr-CH"/>
        </w:rPr>
        <w:t xml:space="preserve">position sur la </w:t>
      </w:r>
      <w:r w:rsidRPr="0071782F">
        <w:rPr>
          <w:lang w:val="fr-CH"/>
        </w:rPr>
        <w:t xml:space="preserve">technique </w:t>
      </w:r>
      <w:r w:rsidR="00133D7A" w:rsidRPr="0071782F">
        <w:rPr>
          <w:lang w:val="fr-CH"/>
        </w:rPr>
        <w:t xml:space="preserve">du marché </w:t>
      </w:r>
      <w:r w:rsidRPr="0071782F">
        <w:rPr>
          <w:lang w:val="fr-CH"/>
        </w:rPr>
        <w:t xml:space="preserve">national </w:t>
      </w:r>
      <w:r w:rsidR="00133D7A" w:rsidRPr="0071782F">
        <w:rPr>
          <w:lang w:val="fr-CH"/>
        </w:rPr>
        <w:t xml:space="preserve">à l’occasion de la Semaine de la recherche et de la </w:t>
      </w:r>
      <w:r w:rsidRPr="0071782F">
        <w:rPr>
          <w:lang w:val="fr-CH"/>
        </w:rPr>
        <w:t>technolog</w:t>
      </w:r>
      <w:r w:rsidR="00133D7A" w:rsidRPr="0071782F">
        <w:rPr>
          <w:lang w:val="fr-CH"/>
        </w:rPr>
        <w:t>ie en j</w:t>
      </w:r>
      <w:r w:rsidRPr="0071782F">
        <w:rPr>
          <w:lang w:val="fr-CH"/>
        </w:rPr>
        <w:t>an</w:t>
      </w:r>
      <w:r w:rsidR="00133D7A" w:rsidRPr="0071782F">
        <w:rPr>
          <w:lang w:val="fr-CH"/>
        </w:rPr>
        <w:t xml:space="preserve">vier </w:t>
      </w:r>
      <w:r w:rsidRPr="0071782F">
        <w:rPr>
          <w:lang w:val="fr-CH"/>
        </w:rPr>
        <w:t>2007.</w:t>
      </w:r>
    </w:p>
    <w:p w:rsidR="00186B76" w:rsidRPr="0071782F" w:rsidRDefault="00186B76" w:rsidP="00A45A11">
      <w:pPr>
        <w:pStyle w:val="SingleTxtG"/>
        <w:ind w:left="1701"/>
        <w:rPr>
          <w:lang w:val="fr-CH"/>
        </w:rPr>
      </w:pPr>
      <w:r w:rsidRPr="0071782F">
        <w:rPr>
          <w:lang w:val="fr-CH"/>
        </w:rPr>
        <w:t>423.21</w:t>
      </w:r>
      <w:r w:rsidR="005D6873" w:rsidRPr="0071782F">
        <w:rPr>
          <w:lang w:val="fr-CH"/>
        </w:rPr>
        <w:t>.</w:t>
      </w:r>
      <w:r w:rsidRPr="0071782F">
        <w:rPr>
          <w:lang w:val="fr-CH"/>
        </w:rPr>
        <w:t xml:space="preserve"> Supervision </w:t>
      </w:r>
      <w:r w:rsidR="00350814" w:rsidRPr="0071782F">
        <w:rPr>
          <w:lang w:val="fr-CH"/>
        </w:rPr>
        <w:t xml:space="preserve">des activités des autorités </w:t>
      </w:r>
      <w:r w:rsidRPr="0071782F">
        <w:rPr>
          <w:lang w:val="fr-CH"/>
        </w:rPr>
        <w:t>r</w:t>
      </w:r>
      <w:r w:rsidR="00350814" w:rsidRPr="0071782F">
        <w:rPr>
          <w:lang w:val="fr-CH"/>
        </w:rPr>
        <w:t>é</w:t>
      </w:r>
      <w:r w:rsidRPr="0071782F">
        <w:rPr>
          <w:lang w:val="fr-CH"/>
        </w:rPr>
        <w:t>gional</w:t>
      </w:r>
      <w:r w:rsidR="00350814" w:rsidRPr="0071782F">
        <w:rPr>
          <w:lang w:val="fr-CH"/>
        </w:rPr>
        <w:t>es pour l’é</w:t>
      </w:r>
      <w:r w:rsidRPr="0071782F">
        <w:rPr>
          <w:lang w:val="fr-CH"/>
        </w:rPr>
        <w:t xml:space="preserve">valuation </w:t>
      </w:r>
      <w:r w:rsidR="00350814" w:rsidRPr="0071782F">
        <w:rPr>
          <w:lang w:val="fr-CH"/>
        </w:rPr>
        <w:t>des</w:t>
      </w:r>
      <w:r w:rsidRPr="0071782F">
        <w:rPr>
          <w:lang w:val="fr-CH"/>
        </w:rPr>
        <w:t xml:space="preserve"> inventions </w:t>
      </w:r>
      <w:r w:rsidR="00350814" w:rsidRPr="0071782F">
        <w:rPr>
          <w:lang w:val="fr-CH"/>
        </w:rPr>
        <w:t xml:space="preserve">et l’appui aux </w:t>
      </w:r>
      <w:r w:rsidRPr="0071782F">
        <w:rPr>
          <w:lang w:val="fr-CH"/>
        </w:rPr>
        <w:t>innovation</w:t>
      </w:r>
      <w:r w:rsidR="00350814" w:rsidRPr="0071782F">
        <w:rPr>
          <w:lang w:val="fr-CH"/>
        </w:rPr>
        <w:t>s à travers tout le pays</w:t>
      </w:r>
      <w:r w:rsidRPr="0071782F">
        <w:rPr>
          <w:lang w:val="fr-CH"/>
        </w:rPr>
        <w:t>.</w:t>
      </w:r>
    </w:p>
    <w:p w:rsidR="00186B76" w:rsidRPr="0071782F" w:rsidRDefault="00186B76" w:rsidP="00A45A11">
      <w:pPr>
        <w:pStyle w:val="SingleTxtG"/>
        <w:ind w:left="1701"/>
        <w:rPr>
          <w:lang w:val="fr-CH"/>
        </w:rPr>
      </w:pPr>
      <w:r w:rsidRPr="0071782F">
        <w:rPr>
          <w:lang w:val="fr-CH"/>
        </w:rPr>
        <w:t>423.22</w:t>
      </w:r>
      <w:r w:rsidR="005D6873" w:rsidRPr="0071782F">
        <w:rPr>
          <w:lang w:val="fr-CH"/>
        </w:rPr>
        <w:t>.</w:t>
      </w:r>
      <w:r w:rsidRPr="0071782F">
        <w:rPr>
          <w:lang w:val="fr-CH"/>
        </w:rPr>
        <w:t xml:space="preserve"> Coop</w:t>
      </w:r>
      <w:r w:rsidR="00CE44E3" w:rsidRPr="0071782F">
        <w:rPr>
          <w:lang w:val="fr-CH"/>
        </w:rPr>
        <w:t>é</w:t>
      </w:r>
      <w:r w:rsidRPr="0071782F">
        <w:rPr>
          <w:lang w:val="fr-CH"/>
        </w:rPr>
        <w:t xml:space="preserve">ration </w:t>
      </w:r>
      <w:r w:rsidR="009573DB" w:rsidRPr="0071782F">
        <w:rPr>
          <w:lang w:val="fr-CH"/>
        </w:rPr>
        <w:t>avec la Fondation nationale des élites au sujet de l’élaboration de directives et de l’examen des demandes relatives aux inventeurs et innovateurs</w:t>
      </w:r>
      <w:r w:rsidRPr="0071782F">
        <w:rPr>
          <w:lang w:val="fr-CH"/>
        </w:rPr>
        <w:t>.</w:t>
      </w:r>
    </w:p>
    <w:p w:rsidR="00186B76" w:rsidRPr="0071782F" w:rsidRDefault="00186B76" w:rsidP="00A45A11">
      <w:pPr>
        <w:pStyle w:val="SingleTxtG"/>
        <w:ind w:left="1701"/>
        <w:rPr>
          <w:lang w:val="fr-CH"/>
        </w:rPr>
      </w:pPr>
      <w:r w:rsidRPr="0071782F">
        <w:rPr>
          <w:lang w:val="fr-CH"/>
        </w:rPr>
        <w:t>423.23</w:t>
      </w:r>
      <w:r w:rsidR="005D6873" w:rsidRPr="0071782F">
        <w:rPr>
          <w:lang w:val="fr-CH"/>
        </w:rPr>
        <w:t>.</w:t>
      </w:r>
      <w:r w:rsidRPr="0071782F">
        <w:rPr>
          <w:lang w:val="fr-CH"/>
        </w:rPr>
        <w:t xml:space="preserve"> </w:t>
      </w:r>
      <w:r w:rsidR="009573DB" w:rsidRPr="0071782F">
        <w:rPr>
          <w:lang w:val="fr-CH"/>
        </w:rPr>
        <w:t xml:space="preserve">Relations </w:t>
      </w:r>
      <w:r w:rsidRPr="0071782F">
        <w:rPr>
          <w:lang w:val="fr-CH"/>
        </w:rPr>
        <w:t>international</w:t>
      </w:r>
      <w:r w:rsidR="009573DB" w:rsidRPr="0071782F">
        <w:rPr>
          <w:lang w:val="fr-CH"/>
        </w:rPr>
        <w:t>es établies avec d’autres pays en ce qui concerne les questions</w:t>
      </w:r>
      <w:r w:rsidR="00D36718">
        <w:rPr>
          <w:lang w:val="fr-CH"/>
        </w:rPr>
        <w:t xml:space="preserve"> </w:t>
      </w:r>
      <w:r w:rsidR="009573DB" w:rsidRPr="0071782F">
        <w:rPr>
          <w:lang w:val="fr-CH"/>
        </w:rPr>
        <w:t>technologiques</w:t>
      </w:r>
      <w:r w:rsidRPr="0071782F">
        <w:rPr>
          <w:lang w:val="fr-CH"/>
        </w:rPr>
        <w:t>.</w:t>
      </w:r>
    </w:p>
    <w:p w:rsidR="00186B76" w:rsidRPr="0071782F" w:rsidRDefault="00186B76" w:rsidP="00A45A11">
      <w:pPr>
        <w:pStyle w:val="SingleTxtG"/>
        <w:ind w:left="1701"/>
        <w:rPr>
          <w:lang w:val="fr-CH"/>
        </w:rPr>
      </w:pPr>
      <w:r w:rsidRPr="0071782F">
        <w:rPr>
          <w:lang w:val="fr-CH"/>
        </w:rPr>
        <w:t>423.24</w:t>
      </w:r>
      <w:r w:rsidR="005D6873" w:rsidRPr="0071782F">
        <w:rPr>
          <w:lang w:val="fr-CH"/>
        </w:rPr>
        <w:t>.</w:t>
      </w:r>
      <w:r w:rsidRPr="0071782F">
        <w:rPr>
          <w:lang w:val="fr-CH"/>
        </w:rPr>
        <w:t xml:space="preserve"> Coop</w:t>
      </w:r>
      <w:r w:rsidR="009573DB" w:rsidRPr="0071782F">
        <w:rPr>
          <w:lang w:val="fr-CH"/>
        </w:rPr>
        <w:t>é</w:t>
      </w:r>
      <w:r w:rsidRPr="0071782F">
        <w:rPr>
          <w:lang w:val="fr-CH"/>
        </w:rPr>
        <w:t xml:space="preserve">ration </w:t>
      </w:r>
      <w:r w:rsidR="009573DB" w:rsidRPr="0071782F">
        <w:rPr>
          <w:lang w:val="fr-CH"/>
        </w:rPr>
        <w:t xml:space="preserve">avec </w:t>
      </w:r>
      <w:r w:rsidRPr="0071782F">
        <w:rPr>
          <w:lang w:val="fr-CH"/>
        </w:rPr>
        <w:t xml:space="preserve">13 </w:t>
      </w:r>
      <w:r w:rsidR="009573DB" w:rsidRPr="0071782F">
        <w:rPr>
          <w:lang w:val="fr-CH"/>
        </w:rPr>
        <w:t xml:space="preserve">organisations </w:t>
      </w:r>
      <w:r w:rsidRPr="0071782F">
        <w:rPr>
          <w:lang w:val="fr-CH"/>
        </w:rPr>
        <w:t>international</w:t>
      </w:r>
      <w:r w:rsidR="009573DB" w:rsidRPr="0071782F">
        <w:rPr>
          <w:lang w:val="fr-CH"/>
        </w:rPr>
        <w:t>es dans le domaine de la</w:t>
      </w:r>
      <w:r w:rsidR="00D36718">
        <w:rPr>
          <w:lang w:val="fr-CH"/>
        </w:rPr>
        <w:t xml:space="preserve"> </w:t>
      </w:r>
      <w:r w:rsidRPr="0071782F">
        <w:rPr>
          <w:lang w:val="fr-CH"/>
        </w:rPr>
        <w:t>technolog</w:t>
      </w:r>
      <w:r w:rsidR="009573DB" w:rsidRPr="0071782F">
        <w:rPr>
          <w:lang w:val="fr-CH"/>
        </w:rPr>
        <w:t>ie</w:t>
      </w:r>
      <w:r w:rsidRPr="0071782F">
        <w:rPr>
          <w:lang w:val="fr-CH"/>
        </w:rPr>
        <w:t>.</w:t>
      </w:r>
    </w:p>
    <w:p w:rsidR="00186B76" w:rsidRPr="0071782F" w:rsidRDefault="00186B76" w:rsidP="00A45A11">
      <w:pPr>
        <w:pStyle w:val="SingleTxtG"/>
        <w:ind w:left="1701"/>
        <w:rPr>
          <w:lang w:val="fr-CH"/>
        </w:rPr>
      </w:pPr>
      <w:r w:rsidRPr="0071782F">
        <w:rPr>
          <w:lang w:val="fr-CH"/>
        </w:rPr>
        <w:t>423.25</w:t>
      </w:r>
      <w:r w:rsidR="005D6873" w:rsidRPr="0071782F">
        <w:rPr>
          <w:lang w:val="fr-CH"/>
        </w:rPr>
        <w:t>.</w:t>
      </w:r>
      <w:r w:rsidRPr="0071782F">
        <w:rPr>
          <w:lang w:val="fr-CH"/>
        </w:rPr>
        <w:t xml:space="preserve"> Contribution </w:t>
      </w:r>
      <w:r w:rsidR="009573DB" w:rsidRPr="0071782F">
        <w:rPr>
          <w:lang w:val="fr-CH"/>
        </w:rPr>
        <w:t xml:space="preserve">à l’augmentation du </w:t>
      </w:r>
      <w:r w:rsidR="003B48A4" w:rsidRPr="0071782F">
        <w:rPr>
          <w:lang w:val="fr-CH"/>
        </w:rPr>
        <w:t>nombre</w:t>
      </w:r>
      <w:r w:rsidRPr="0071782F">
        <w:rPr>
          <w:lang w:val="fr-CH"/>
        </w:rPr>
        <w:t xml:space="preserve"> </w:t>
      </w:r>
      <w:r w:rsidR="009573DB" w:rsidRPr="0071782F">
        <w:rPr>
          <w:lang w:val="fr-CH"/>
        </w:rPr>
        <w:t xml:space="preserve">de pays ayant signé des accords </w:t>
      </w:r>
      <w:r w:rsidRPr="0071782F">
        <w:rPr>
          <w:lang w:val="fr-CH"/>
        </w:rPr>
        <w:t>technolog</w:t>
      </w:r>
      <w:r w:rsidR="009573DB" w:rsidRPr="0071782F">
        <w:rPr>
          <w:lang w:val="fr-CH"/>
        </w:rPr>
        <w:t>iques avec l’</w:t>
      </w:r>
      <w:r w:rsidRPr="0071782F">
        <w:rPr>
          <w:lang w:val="fr-CH"/>
        </w:rPr>
        <w:t>Iran</w:t>
      </w:r>
      <w:r w:rsidR="009573DB" w:rsidRPr="0071782F">
        <w:rPr>
          <w:lang w:val="fr-CH"/>
        </w:rPr>
        <w:t xml:space="preserve">, passé de </w:t>
      </w:r>
      <w:r w:rsidRPr="0071782F">
        <w:rPr>
          <w:lang w:val="fr-CH"/>
        </w:rPr>
        <w:t xml:space="preserve">18 </w:t>
      </w:r>
      <w:r w:rsidR="009573DB" w:rsidRPr="0071782F">
        <w:rPr>
          <w:lang w:val="fr-CH"/>
        </w:rPr>
        <w:t>à</w:t>
      </w:r>
      <w:r w:rsidRPr="0071782F">
        <w:rPr>
          <w:lang w:val="fr-CH"/>
        </w:rPr>
        <w:t xml:space="preserve"> 44.</w:t>
      </w:r>
    </w:p>
    <w:p w:rsidR="00186B76" w:rsidRPr="0071782F" w:rsidRDefault="00186B76" w:rsidP="002847E7">
      <w:pPr>
        <w:pStyle w:val="SingleTxtG"/>
        <w:ind w:left="1701"/>
        <w:rPr>
          <w:lang w:val="fr-CH"/>
        </w:rPr>
      </w:pPr>
      <w:r w:rsidRPr="0071782F">
        <w:rPr>
          <w:lang w:val="fr-CH"/>
        </w:rPr>
        <w:t>423.26</w:t>
      </w:r>
      <w:r w:rsidR="005D6873" w:rsidRPr="0071782F">
        <w:rPr>
          <w:lang w:val="fr-CH"/>
        </w:rPr>
        <w:t>.</w:t>
      </w:r>
      <w:r w:rsidRPr="0071782F">
        <w:rPr>
          <w:lang w:val="fr-CH"/>
        </w:rPr>
        <w:t xml:space="preserve"> </w:t>
      </w:r>
      <w:r w:rsidR="0046758E" w:rsidRPr="0071782F">
        <w:rPr>
          <w:lang w:val="fr-CH"/>
        </w:rPr>
        <w:t>Suivi du</w:t>
      </w:r>
      <w:r w:rsidRPr="0071782F">
        <w:rPr>
          <w:lang w:val="fr-CH"/>
        </w:rPr>
        <w:t xml:space="preserve"> plan </w:t>
      </w:r>
      <w:r w:rsidR="0046758E" w:rsidRPr="0071782F">
        <w:rPr>
          <w:lang w:val="fr-CH"/>
        </w:rPr>
        <w:t xml:space="preserve">destiné à assurer la présence du Directeur des parcs technologiques dans les groupes de travail sur l’emploi dans les </w:t>
      </w:r>
      <w:r w:rsidRPr="0071782F">
        <w:rPr>
          <w:lang w:val="fr-CH"/>
        </w:rPr>
        <w:t>provinces.</w:t>
      </w:r>
    </w:p>
    <w:p w:rsidR="00186B76" w:rsidRPr="0071782F" w:rsidRDefault="00186B76" w:rsidP="00AD5035">
      <w:pPr>
        <w:pStyle w:val="H1G"/>
        <w:rPr>
          <w:lang w:val="fr-CH"/>
        </w:rPr>
      </w:pPr>
      <w:r w:rsidRPr="0071782F">
        <w:rPr>
          <w:lang w:val="fr-CH"/>
        </w:rPr>
        <w:tab/>
      </w:r>
      <w:r w:rsidRPr="0071782F">
        <w:rPr>
          <w:lang w:val="fr-CH"/>
        </w:rPr>
        <w:tab/>
      </w:r>
      <w:r w:rsidR="0046758E" w:rsidRPr="0071782F">
        <w:rPr>
          <w:lang w:val="fr-CH"/>
        </w:rPr>
        <w:t xml:space="preserve">Organisme public d’évaluation de l’éducation </w:t>
      </w:r>
    </w:p>
    <w:p w:rsidR="00186B76" w:rsidRPr="0071782F" w:rsidRDefault="00186B76" w:rsidP="00AD5035">
      <w:pPr>
        <w:pStyle w:val="SingleTxtG"/>
        <w:keepNext/>
        <w:keepLines/>
        <w:rPr>
          <w:lang w:val="fr-CH"/>
        </w:rPr>
      </w:pPr>
      <w:r w:rsidRPr="0071782F">
        <w:rPr>
          <w:lang w:val="fr-CH"/>
        </w:rPr>
        <w:t>424.</w:t>
      </w:r>
      <w:r w:rsidRPr="0071782F">
        <w:rPr>
          <w:lang w:val="fr-CH"/>
        </w:rPr>
        <w:tab/>
      </w:r>
      <w:r w:rsidR="0023687E" w:rsidRPr="0071782F">
        <w:rPr>
          <w:lang w:val="fr-CH"/>
        </w:rPr>
        <w:t>À ce sujet, il convient de noter ce qui suit</w:t>
      </w:r>
      <w:r w:rsidR="008F7D33" w:rsidRPr="0071782F">
        <w:rPr>
          <w:lang w:val="fr-CH"/>
        </w:rPr>
        <w:t>:</w:t>
      </w:r>
    </w:p>
    <w:p w:rsidR="00186B76" w:rsidRPr="0071782F" w:rsidRDefault="00186B76" w:rsidP="002847E7">
      <w:pPr>
        <w:pStyle w:val="SingleTxtG"/>
        <w:ind w:left="1701"/>
        <w:rPr>
          <w:lang w:val="fr-CH"/>
        </w:rPr>
      </w:pPr>
      <w:r w:rsidRPr="0071782F">
        <w:rPr>
          <w:lang w:val="fr-CH"/>
        </w:rPr>
        <w:t>424.1</w:t>
      </w:r>
      <w:r w:rsidR="005D6873" w:rsidRPr="0071782F">
        <w:rPr>
          <w:lang w:val="fr-CH"/>
        </w:rPr>
        <w:t>.</w:t>
      </w:r>
      <w:r w:rsidRPr="0071782F">
        <w:rPr>
          <w:lang w:val="fr-CH"/>
        </w:rPr>
        <w:tab/>
        <w:t>Organi</w:t>
      </w:r>
      <w:r w:rsidR="0046758E" w:rsidRPr="0071782F">
        <w:rPr>
          <w:lang w:val="fr-CH"/>
        </w:rPr>
        <w:t>s</w:t>
      </w:r>
      <w:r w:rsidRPr="0071782F">
        <w:rPr>
          <w:lang w:val="fr-CH"/>
        </w:rPr>
        <w:t xml:space="preserve">ation </w:t>
      </w:r>
      <w:r w:rsidR="0046758E" w:rsidRPr="0071782F">
        <w:rPr>
          <w:lang w:val="fr-CH"/>
        </w:rPr>
        <w:t xml:space="preserve">de plus de </w:t>
      </w:r>
      <w:r w:rsidRPr="0071782F">
        <w:rPr>
          <w:lang w:val="fr-CH"/>
        </w:rPr>
        <w:t xml:space="preserve">20 </w:t>
      </w:r>
      <w:r w:rsidR="0046758E" w:rsidRPr="0071782F">
        <w:rPr>
          <w:lang w:val="fr-CH"/>
        </w:rPr>
        <w:t xml:space="preserve">ateliers d’évaluation </w:t>
      </w:r>
      <w:r w:rsidRPr="0071782F">
        <w:rPr>
          <w:lang w:val="fr-CH"/>
        </w:rPr>
        <w:t>intern</w:t>
      </w:r>
      <w:r w:rsidR="0046758E" w:rsidRPr="0071782F">
        <w:rPr>
          <w:lang w:val="fr-CH"/>
        </w:rPr>
        <w:t xml:space="preserve">e et </w:t>
      </w:r>
      <w:r w:rsidRPr="0071782F">
        <w:rPr>
          <w:lang w:val="fr-CH"/>
        </w:rPr>
        <w:t>extern</w:t>
      </w:r>
      <w:r w:rsidR="0046758E" w:rsidRPr="0071782F">
        <w:rPr>
          <w:lang w:val="fr-CH"/>
        </w:rPr>
        <w:t>e</w:t>
      </w:r>
      <w:r w:rsidRPr="0071782F">
        <w:rPr>
          <w:lang w:val="fr-CH"/>
        </w:rPr>
        <w:t xml:space="preserve"> </w:t>
      </w:r>
      <w:r w:rsidR="0046758E" w:rsidRPr="0071782F">
        <w:rPr>
          <w:lang w:val="fr-CH"/>
        </w:rPr>
        <w:t>et d’</w:t>
      </w:r>
      <w:r w:rsidRPr="0071782F">
        <w:rPr>
          <w:lang w:val="fr-CH"/>
        </w:rPr>
        <w:t>entrepreneur</w:t>
      </w:r>
      <w:r w:rsidR="0046758E" w:rsidRPr="0071782F">
        <w:rPr>
          <w:lang w:val="fr-CH"/>
        </w:rPr>
        <w:t>iat dans les universités de l’ensemble du pays, et exécution du</w:t>
      </w:r>
      <w:r w:rsidR="00D36718">
        <w:rPr>
          <w:lang w:val="fr-CH"/>
        </w:rPr>
        <w:t xml:space="preserve"> </w:t>
      </w:r>
      <w:r w:rsidRPr="0071782F">
        <w:rPr>
          <w:lang w:val="fr-CH"/>
        </w:rPr>
        <w:t>program</w:t>
      </w:r>
      <w:r w:rsidR="0046758E" w:rsidRPr="0071782F">
        <w:rPr>
          <w:lang w:val="fr-CH"/>
        </w:rPr>
        <w:t>me d’é</w:t>
      </w:r>
      <w:r w:rsidRPr="0071782F">
        <w:rPr>
          <w:lang w:val="fr-CH"/>
        </w:rPr>
        <w:t xml:space="preserve">valuation </w:t>
      </w:r>
      <w:r w:rsidR="0046758E" w:rsidRPr="0071782F">
        <w:rPr>
          <w:lang w:val="fr-CH"/>
        </w:rPr>
        <w:t>interne des facultés de formation technique et professionnelle pour la première fois dans le pays</w:t>
      </w:r>
      <w:r w:rsidRPr="0071782F">
        <w:rPr>
          <w:lang w:val="fr-CH"/>
        </w:rPr>
        <w:t>.</w:t>
      </w:r>
    </w:p>
    <w:p w:rsidR="00186B76" w:rsidRPr="0071782F" w:rsidRDefault="00186B76" w:rsidP="00A45A11">
      <w:pPr>
        <w:pStyle w:val="SingleTxtG"/>
        <w:ind w:left="1701"/>
        <w:rPr>
          <w:lang w:val="fr-CH"/>
        </w:rPr>
      </w:pPr>
      <w:r w:rsidRPr="0071782F">
        <w:rPr>
          <w:lang w:val="fr-CH"/>
        </w:rPr>
        <w:t>424.2</w:t>
      </w:r>
      <w:r w:rsidR="005D6873" w:rsidRPr="0071782F">
        <w:rPr>
          <w:lang w:val="fr-CH"/>
        </w:rPr>
        <w:t>.</w:t>
      </w:r>
      <w:r w:rsidRPr="0071782F">
        <w:rPr>
          <w:lang w:val="fr-CH"/>
        </w:rPr>
        <w:tab/>
        <w:t>Organi</w:t>
      </w:r>
      <w:r w:rsidR="0046758E" w:rsidRPr="0071782F">
        <w:rPr>
          <w:lang w:val="fr-CH"/>
        </w:rPr>
        <w:t>s</w:t>
      </w:r>
      <w:r w:rsidRPr="0071782F">
        <w:rPr>
          <w:lang w:val="fr-CH"/>
        </w:rPr>
        <w:t xml:space="preserve">ation </w:t>
      </w:r>
      <w:r w:rsidR="0046758E" w:rsidRPr="0071782F">
        <w:rPr>
          <w:lang w:val="fr-CH"/>
        </w:rPr>
        <w:t>de quatre examens nationaux et de huit autres examens</w:t>
      </w:r>
      <w:r w:rsidRPr="0071782F">
        <w:rPr>
          <w:lang w:val="fr-CH"/>
        </w:rPr>
        <w:t>.</w:t>
      </w:r>
    </w:p>
    <w:p w:rsidR="00186B76" w:rsidRPr="0071782F" w:rsidRDefault="00186B76" w:rsidP="00A45A11">
      <w:pPr>
        <w:pStyle w:val="SingleTxtG"/>
        <w:ind w:left="1701"/>
        <w:rPr>
          <w:lang w:val="fr-CH"/>
        </w:rPr>
      </w:pPr>
      <w:r w:rsidRPr="0071782F">
        <w:rPr>
          <w:lang w:val="fr-CH"/>
        </w:rPr>
        <w:t>424.3</w:t>
      </w:r>
      <w:r w:rsidR="005D6873" w:rsidRPr="0071782F">
        <w:rPr>
          <w:lang w:val="fr-CH"/>
        </w:rPr>
        <w:t>.</w:t>
      </w:r>
      <w:r w:rsidRPr="0071782F">
        <w:rPr>
          <w:lang w:val="fr-CH"/>
        </w:rPr>
        <w:tab/>
      </w:r>
      <w:r w:rsidR="0046758E" w:rsidRPr="0071782F">
        <w:rPr>
          <w:lang w:val="fr-CH"/>
        </w:rPr>
        <w:t>Mise au point d’un logiciel d’inscription et d’examen et de portails pour les premières inscriptions à l’université</w:t>
      </w:r>
      <w:r w:rsidRPr="0071782F">
        <w:rPr>
          <w:lang w:val="fr-CH"/>
        </w:rPr>
        <w:t>.</w:t>
      </w:r>
    </w:p>
    <w:p w:rsidR="00186B76" w:rsidRPr="0071782F" w:rsidRDefault="00186B76" w:rsidP="00A45A11">
      <w:pPr>
        <w:pStyle w:val="SingleTxtG"/>
        <w:ind w:left="1701"/>
        <w:rPr>
          <w:lang w:val="fr-CH"/>
        </w:rPr>
      </w:pPr>
      <w:r w:rsidRPr="0071782F">
        <w:rPr>
          <w:lang w:val="fr-CH"/>
        </w:rPr>
        <w:t>424.4</w:t>
      </w:r>
      <w:r w:rsidR="005D6873" w:rsidRPr="0071782F">
        <w:rPr>
          <w:lang w:val="fr-CH"/>
        </w:rPr>
        <w:t>.</w:t>
      </w:r>
      <w:r w:rsidRPr="0071782F">
        <w:rPr>
          <w:lang w:val="fr-CH"/>
        </w:rPr>
        <w:tab/>
      </w:r>
      <w:r w:rsidR="0046758E" w:rsidRPr="0071782F">
        <w:rPr>
          <w:lang w:val="fr-CH"/>
        </w:rPr>
        <w:t>Inscription par l’</w:t>
      </w:r>
      <w:r w:rsidRPr="0071782F">
        <w:rPr>
          <w:lang w:val="fr-CH"/>
        </w:rPr>
        <w:t xml:space="preserve">Internet </w:t>
      </w:r>
      <w:r w:rsidR="0046758E" w:rsidRPr="0071782F">
        <w:rPr>
          <w:lang w:val="fr-CH"/>
        </w:rPr>
        <w:t>de 1 </w:t>
      </w:r>
      <w:r w:rsidRPr="0071782F">
        <w:rPr>
          <w:lang w:val="fr-CH"/>
        </w:rPr>
        <w:t>116</w:t>
      </w:r>
      <w:r w:rsidR="00707DCC">
        <w:rPr>
          <w:lang w:val="fr-CH"/>
        </w:rPr>
        <w:t> </w:t>
      </w:r>
      <w:r w:rsidRPr="0071782F">
        <w:rPr>
          <w:lang w:val="fr-CH"/>
        </w:rPr>
        <w:t>000</w:t>
      </w:r>
      <w:r w:rsidR="00097CDB" w:rsidRPr="0071782F">
        <w:rPr>
          <w:lang w:val="fr-CH"/>
        </w:rPr>
        <w:t> personnes</w:t>
      </w:r>
      <w:r w:rsidR="0046758E" w:rsidRPr="0071782F">
        <w:rPr>
          <w:lang w:val="fr-CH"/>
        </w:rPr>
        <w:t xml:space="preserve"> se présentant à l’examen d’entrée à l’université et sélection des matières pour 167</w:t>
      </w:r>
      <w:r w:rsidR="00707DCC">
        <w:rPr>
          <w:lang w:val="fr-CH"/>
        </w:rPr>
        <w:t> </w:t>
      </w:r>
      <w:r w:rsidRPr="0071782F">
        <w:rPr>
          <w:lang w:val="fr-CH"/>
        </w:rPr>
        <w:t xml:space="preserve">943 </w:t>
      </w:r>
      <w:r w:rsidR="0046758E" w:rsidRPr="0071782F">
        <w:rPr>
          <w:lang w:val="fr-CH"/>
        </w:rPr>
        <w:t>candidats</w:t>
      </w:r>
      <w:r w:rsidRPr="0071782F">
        <w:rPr>
          <w:lang w:val="fr-CH"/>
        </w:rPr>
        <w:t xml:space="preserve">, </w:t>
      </w:r>
      <w:r w:rsidR="0046758E" w:rsidRPr="0071782F">
        <w:rPr>
          <w:lang w:val="fr-CH"/>
        </w:rPr>
        <w:t>pour la première fois dans le pays</w:t>
      </w:r>
      <w:r w:rsidRPr="0071782F">
        <w:rPr>
          <w:lang w:val="fr-CH"/>
        </w:rPr>
        <w:t>.</w:t>
      </w:r>
    </w:p>
    <w:p w:rsidR="00186B76" w:rsidRPr="0071782F" w:rsidRDefault="00186B76" w:rsidP="00A45A11">
      <w:pPr>
        <w:pStyle w:val="SingleTxtG"/>
        <w:ind w:left="1701"/>
        <w:rPr>
          <w:lang w:val="fr-CH"/>
        </w:rPr>
      </w:pPr>
      <w:r w:rsidRPr="0071782F">
        <w:rPr>
          <w:lang w:val="fr-CH"/>
        </w:rPr>
        <w:t>424.5</w:t>
      </w:r>
      <w:r w:rsidR="005D6873" w:rsidRPr="0071782F">
        <w:rPr>
          <w:lang w:val="fr-CH"/>
        </w:rPr>
        <w:t>.</w:t>
      </w:r>
      <w:r w:rsidRPr="0071782F">
        <w:rPr>
          <w:lang w:val="fr-CH"/>
        </w:rPr>
        <w:tab/>
        <w:t>Organi</w:t>
      </w:r>
      <w:r w:rsidR="0046758E" w:rsidRPr="0071782F">
        <w:rPr>
          <w:lang w:val="fr-CH"/>
        </w:rPr>
        <w:t>s</w:t>
      </w:r>
      <w:r w:rsidRPr="0071782F">
        <w:rPr>
          <w:lang w:val="fr-CH"/>
        </w:rPr>
        <w:t xml:space="preserve">ation </w:t>
      </w:r>
      <w:r w:rsidR="0046758E" w:rsidRPr="0071782F">
        <w:rPr>
          <w:lang w:val="fr-CH"/>
        </w:rPr>
        <w:t>du premier examen professionnel d’ingénierie et du premier TOEFEL (</w:t>
      </w:r>
      <w:r w:rsidRPr="0071782F">
        <w:rPr>
          <w:lang w:val="fr-CH"/>
        </w:rPr>
        <w:t>Test of English as a Foreign Language</w:t>
      </w:r>
      <w:r w:rsidR="0046758E" w:rsidRPr="0071782F">
        <w:rPr>
          <w:lang w:val="fr-CH"/>
        </w:rPr>
        <w:t>)</w:t>
      </w:r>
      <w:r w:rsidRPr="0071782F">
        <w:rPr>
          <w:lang w:val="fr-CH"/>
        </w:rPr>
        <w:t xml:space="preserve"> </w:t>
      </w:r>
      <w:r w:rsidR="0046758E" w:rsidRPr="0071782F">
        <w:rPr>
          <w:lang w:val="fr-CH"/>
        </w:rPr>
        <w:t>sur l’Internet</w:t>
      </w:r>
      <w:r w:rsidRPr="0071782F">
        <w:rPr>
          <w:lang w:val="fr-CH"/>
        </w:rPr>
        <w:t>.</w:t>
      </w:r>
    </w:p>
    <w:p w:rsidR="00186B76" w:rsidRPr="0071782F" w:rsidRDefault="00186B76" w:rsidP="00A45A11">
      <w:pPr>
        <w:pStyle w:val="SingleTxtG"/>
        <w:ind w:left="1701"/>
        <w:rPr>
          <w:lang w:val="fr-CH"/>
        </w:rPr>
      </w:pPr>
      <w:r w:rsidRPr="0071782F">
        <w:rPr>
          <w:lang w:val="fr-CH"/>
        </w:rPr>
        <w:t>424.6</w:t>
      </w:r>
      <w:r w:rsidR="005D6873" w:rsidRPr="0071782F">
        <w:rPr>
          <w:lang w:val="fr-CH"/>
        </w:rPr>
        <w:t>.</w:t>
      </w:r>
      <w:r w:rsidRPr="0071782F">
        <w:rPr>
          <w:lang w:val="fr-CH"/>
        </w:rPr>
        <w:tab/>
      </w:r>
      <w:r w:rsidR="0046758E" w:rsidRPr="0071782F">
        <w:rPr>
          <w:lang w:val="fr-CH"/>
        </w:rPr>
        <w:t xml:space="preserve">Élaboration du </w:t>
      </w:r>
      <w:r w:rsidRPr="0071782F">
        <w:rPr>
          <w:lang w:val="fr-CH"/>
        </w:rPr>
        <w:t>program</w:t>
      </w:r>
      <w:r w:rsidR="0046758E" w:rsidRPr="0071782F">
        <w:rPr>
          <w:lang w:val="fr-CH"/>
        </w:rPr>
        <w:t xml:space="preserve">me du Groupe de la </w:t>
      </w:r>
      <w:r w:rsidRPr="0071782F">
        <w:rPr>
          <w:lang w:val="fr-CH"/>
        </w:rPr>
        <w:t>technolog</w:t>
      </w:r>
      <w:r w:rsidR="0046758E" w:rsidRPr="0071782F">
        <w:rPr>
          <w:lang w:val="fr-CH"/>
        </w:rPr>
        <w:t>ie intelligent</w:t>
      </w:r>
      <w:r w:rsidRPr="0071782F">
        <w:rPr>
          <w:lang w:val="fr-CH"/>
        </w:rPr>
        <w:t xml:space="preserve">e </w:t>
      </w:r>
      <w:r w:rsidR="0046758E" w:rsidRPr="0071782F">
        <w:rPr>
          <w:lang w:val="fr-CH"/>
        </w:rPr>
        <w:t>en vue de développer la recherche straté</w:t>
      </w:r>
      <w:r w:rsidRPr="0071782F">
        <w:rPr>
          <w:lang w:val="fr-CH"/>
        </w:rPr>
        <w:t>gi</w:t>
      </w:r>
      <w:r w:rsidR="0046758E" w:rsidRPr="0071782F">
        <w:rPr>
          <w:lang w:val="fr-CH"/>
        </w:rPr>
        <w:t xml:space="preserve">que et </w:t>
      </w:r>
      <w:r w:rsidRPr="0071782F">
        <w:rPr>
          <w:lang w:val="fr-CH"/>
        </w:rPr>
        <w:t>macro</w:t>
      </w:r>
      <w:r w:rsidR="0046758E" w:rsidRPr="0071782F">
        <w:rPr>
          <w:lang w:val="fr-CH"/>
        </w:rPr>
        <w:t>économique et d’accéder à un marché</w:t>
      </w:r>
      <w:r w:rsidR="00D36718">
        <w:rPr>
          <w:lang w:val="fr-CH"/>
        </w:rPr>
        <w:t xml:space="preserve"> </w:t>
      </w:r>
      <w:r w:rsidR="0046758E" w:rsidRPr="0071782F">
        <w:rPr>
          <w:lang w:val="fr-CH"/>
        </w:rPr>
        <w:t xml:space="preserve">évalué à </w:t>
      </w:r>
      <w:r w:rsidRPr="0071782F">
        <w:rPr>
          <w:lang w:val="fr-CH"/>
        </w:rPr>
        <w:t>400</w:t>
      </w:r>
      <w:r w:rsidR="008553D9" w:rsidRPr="0071782F">
        <w:rPr>
          <w:lang w:val="fr-CH"/>
        </w:rPr>
        <w:t> milliard</w:t>
      </w:r>
      <w:r w:rsidR="00097CDB" w:rsidRPr="0071782F">
        <w:rPr>
          <w:lang w:val="fr-CH"/>
        </w:rPr>
        <w:t>s</w:t>
      </w:r>
      <w:r w:rsidR="0046758E" w:rsidRPr="0071782F">
        <w:rPr>
          <w:lang w:val="fr-CH"/>
        </w:rPr>
        <w:t xml:space="preserve"> d’</w:t>
      </w:r>
      <w:r w:rsidRPr="0071782F">
        <w:rPr>
          <w:lang w:val="fr-CH"/>
        </w:rPr>
        <w:t>euros.</w:t>
      </w:r>
    </w:p>
    <w:p w:rsidR="00186B76" w:rsidRPr="0071782F" w:rsidRDefault="00186B76" w:rsidP="00A45A11">
      <w:pPr>
        <w:pStyle w:val="SingleTxtG"/>
        <w:ind w:left="1701"/>
        <w:rPr>
          <w:lang w:val="fr-CH"/>
        </w:rPr>
      </w:pPr>
      <w:r w:rsidRPr="0071782F">
        <w:rPr>
          <w:lang w:val="fr-CH"/>
        </w:rPr>
        <w:t>424.7</w:t>
      </w:r>
      <w:r w:rsidR="005D6873" w:rsidRPr="0071782F">
        <w:rPr>
          <w:lang w:val="fr-CH"/>
        </w:rPr>
        <w:t>.</w:t>
      </w:r>
      <w:r w:rsidRPr="0071782F">
        <w:rPr>
          <w:lang w:val="fr-CH"/>
        </w:rPr>
        <w:tab/>
      </w:r>
      <w:r w:rsidR="00E16B1A" w:rsidRPr="0071782F">
        <w:rPr>
          <w:lang w:val="fr-CH"/>
        </w:rPr>
        <w:t>Création d’un consortium de gestion des réseaux de technologies de l’information de l’université et de l’</w:t>
      </w:r>
      <w:r w:rsidRPr="0071782F">
        <w:rPr>
          <w:lang w:val="fr-CH"/>
        </w:rPr>
        <w:t>industr</w:t>
      </w:r>
      <w:r w:rsidR="00E16B1A" w:rsidRPr="0071782F">
        <w:rPr>
          <w:lang w:val="fr-CH"/>
        </w:rPr>
        <w:t>ie</w:t>
      </w:r>
      <w:r w:rsidRPr="0071782F">
        <w:rPr>
          <w:lang w:val="fr-CH"/>
        </w:rPr>
        <w:t xml:space="preserve">, </w:t>
      </w:r>
      <w:r w:rsidR="00E16B1A" w:rsidRPr="0071782F">
        <w:rPr>
          <w:lang w:val="fr-CH"/>
        </w:rPr>
        <w:t xml:space="preserve">regroupant des universités et </w:t>
      </w:r>
      <w:r w:rsidR="007F37CE" w:rsidRPr="0071782F">
        <w:rPr>
          <w:lang w:val="fr-CH"/>
        </w:rPr>
        <w:t>des personnes</w:t>
      </w:r>
      <w:r w:rsidRPr="0071782F">
        <w:rPr>
          <w:lang w:val="fr-CH"/>
        </w:rPr>
        <w:t xml:space="preserve"> </w:t>
      </w:r>
      <w:r w:rsidR="00E16B1A" w:rsidRPr="0071782F">
        <w:rPr>
          <w:lang w:val="fr-CH"/>
        </w:rPr>
        <w:t>physiques et morales ayant des activités dans ce domaine</w:t>
      </w:r>
      <w:r w:rsidRPr="0071782F">
        <w:rPr>
          <w:lang w:val="fr-CH"/>
        </w:rPr>
        <w:t>.</w:t>
      </w:r>
    </w:p>
    <w:p w:rsidR="00186B76" w:rsidRPr="0071782F" w:rsidRDefault="00186B76" w:rsidP="00A45A11">
      <w:pPr>
        <w:pStyle w:val="SingleTxtG"/>
        <w:ind w:left="1701"/>
        <w:rPr>
          <w:lang w:val="fr-CH"/>
        </w:rPr>
      </w:pPr>
      <w:r w:rsidRPr="0071782F">
        <w:rPr>
          <w:lang w:val="fr-CH"/>
        </w:rPr>
        <w:t>424.8</w:t>
      </w:r>
      <w:r w:rsidR="005D6873" w:rsidRPr="0071782F">
        <w:rPr>
          <w:lang w:val="fr-CH"/>
        </w:rPr>
        <w:t>.</w:t>
      </w:r>
      <w:r w:rsidRPr="0071782F">
        <w:rPr>
          <w:lang w:val="fr-CH"/>
        </w:rPr>
        <w:tab/>
      </w:r>
      <w:r w:rsidR="00E16B1A" w:rsidRPr="0071782F">
        <w:rPr>
          <w:lang w:val="fr-CH"/>
        </w:rPr>
        <w:t>É</w:t>
      </w:r>
      <w:r w:rsidRPr="0071782F">
        <w:rPr>
          <w:lang w:val="fr-CH"/>
        </w:rPr>
        <w:t xml:space="preserve">valuation </w:t>
      </w:r>
      <w:r w:rsidR="00E16B1A" w:rsidRPr="0071782F">
        <w:rPr>
          <w:lang w:val="fr-CH"/>
        </w:rPr>
        <w:t xml:space="preserve">et planification du projet de </w:t>
      </w:r>
      <w:r w:rsidRPr="0071782F">
        <w:rPr>
          <w:lang w:val="fr-CH"/>
        </w:rPr>
        <w:t xml:space="preserve">construction </w:t>
      </w:r>
      <w:r w:rsidR="00E16B1A" w:rsidRPr="0071782F">
        <w:rPr>
          <w:lang w:val="fr-CH"/>
        </w:rPr>
        <w:t xml:space="preserve">d’un portail </w:t>
      </w:r>
      <w:r w:rsidRPr="0071782F">
        <w:rPr>
          <w:lang w:val="fr-CH"/>
        </w:rPr>
        <w:t>universit</w:t>
      </w:r>
      <w:r w:rsidR="00E16B1A" w:rsidRPr="0071782F">
        <w:rPr>
          <w:lang w:val="fr-CH"/>
        </w:rPr>
        <w:t xml:space="preserve">aire comprenant plus de </w:t>
      </w:r>
      <w:r w:rsidRPr="0071782F">
        <w:rPr>
          <w:lang w:val="fr-CH"/>
        </w:rPr>
        <w:t>20 syst</w:t>
      </w:r>
      <w:r w:rsidR="00E16B1A" w:rsidRPr="0071782F">
        <w:rPr>
          <w:lang w:val="fr-CH"/>
        </w:rPr>
        <w:t>èmes et caractéristiques</w:t>
      </w:r>
      <w:r w:rsidRPr="0071782F">
        <w:rPr>
          <w:lang w:val="fr-CH"/>
        </w:rPr>
        <w:t>.</w:t>
      </w:r>
    </w:p>
    <w:p w:rsidR="00186B76" w:rsidRPr="0071782F" w:rsidRDefault="00186B76" w:rsidP="00A45A11">
      <w:pPr>
        <w:pStyle w:val="SingleTxtG"/>
        <w:ind w:left="1701"/>
        <w:rPr>
          <w:lang w:val="fr-CH"/>
        </w:rPr>
      </w:pPr>
      <w:r w:rsidRPr="0071782F">
        <w:rPr>
          <w:lang w:val="fr-CH"/>
        </w:rPr>
        <w:t>424.9</w:t>
      </w:r>
      <w:r w:rsidR="005D6873" w:rsidRPr="0071782F">
        <w:rPr>
          <w:lang w:val="fr-CH"/>
        </w:rPr>
        <w:t>.</w:t>
      </w:r>
      <w:r w:rsidRPr="0071782F">
        <w:rPr>
          <w:lang w:val="fr-CH"/>
        </w:rPr>
        <w:tab/>
      </w:r>
      <w:r w:rsidR="00E16B1A" w:rsidRPr="0071782F">
        <w:rPr>
          <w:lang w:val="fr-CH"/>
        </w:rPr>
        <w:t>Évaluation et planification du projet de construction d’un système de gestion de l’apprentissage en ligne adapté à l’université nationale virtuelle</w:t>
      </w:r>
      <w:r w:rsidRPr="0071782F">
        <w:rPr>
          <w:lang w:val="fr-CH"/>
        </w:rPr>
        <w:t>.</w:t>
      </w:r>
    </w:p>
    <w:p w:rsidR="00186B76" w:rsidRPr="0071782F" w:rsidRDefault="00186B76" w:rsidP="00A45A11">
      <w:pPr>
        <w:pStyle w:val="SingleTxtG"/>
        <w:ind w:left="1701"/>
        <w:rPr>
          <w:lang w:val="fr-CH"/>
        </w:rPr>
      </w:pPr>
      <w:r w:rsidRPr="0071782F">
        <w:rPr>
          <w:lang w:val="fr-CH"/>
        </w:rPr>
        <w:t>424.10</w:t>
      </w:r>
      <w:r w:rsidR="005D6873" w:rsidRPr="0071782F">
        <w:rPr>
          <w:lang w:val="fr-CH"/>
        </w:rPr>
        <w:t>.</w:t>
      </w:r>
      <w:r w:rsidRPr="0071782F">
        <w:rPr>
          <w:lang w:val="fr-CH"/>
        </w:rPr>
        <w:t xml:space="preserve"> </w:t>
      </w:r>
      <w:r w:rsidR="00E16B1A" w:rsidRPr="0071782F">
        <w:rPr>
          <w:lang w:val="fr-CH"/>
        </w:rPr>
        <w:t xml:space="preserve">Évaluation et planification de l’intégration au programme </w:t>
      </w:r>
      <w:r w:rsidR="00412047" w:rsidRPr="0071782F">
        <w:rPr>
          <w:lang w:val="fr-CH"/>
        </w:rPr>
        <w:t xml:space="preserve">relatif au </w:t>
      </w:r>
      <w:r w:rsidR="00E16B1A" w:rsidRPr="0071782F">
        <w:rPr>
          <w:lang w:val="fr-CH"/>
        </w:rPr>
        <w:t>réseau de connaissances Avicenne, en coopé</w:t>
      </w:r>
      <w:r w:rsidRPr="0071782F">
        <w:rPr>
          <w:lang w:val="fr-CH"/>
        </w:rPr>
        <w:t xml:space="preserve">ration </w:t>
      </w:r>
      <w:r w:rsidR="00E16B1A" w:rsidRPr="0071782F">
        <w:rPr>
          <w:lang w:val="fr-CH"/>
        </w:rPr>
        <w:t>avec les pays islamiques et européens et avec l’</w:t>
      </w:r>
      <w:r w:rsidRPr="0071782F">
        <w:rPr>
          <w:lang w:val="fr-CH"/>
        </w:rPr>
        <w:t>UNESCO.</w:t>
      </w:r>
    </w:p>
    <w:p w:rsidR="00186B76" w:rsidRPr="0071782F" w:rsidRDefault="00186B76" w:rsidP="00A45A11">
      <w:pPr>
        <w:pStyle w:val="SingleTxtG"/>
        <w:rPr>
          <w:lang w:val="fr-CH"/>
        </w:rPr>
      </w:pPr>
      <w:r w:rsidRPr="0071782F">
        <w:rPr>
          <w:lang w:val="fr-CH"/>
        </w:rPr>
        <w:t>425.</w:t>
      </w:r>
      <w:r w:rsidRPr="0071782F">
        <w:rPr>
          <w:lang w:val="fr-CH"/>
        </w:rPr>
        <w:tab/>
      </w:r>
      <w:r w:rsidR="00E16B1A" w:rsidRPr="0071782F">
        <w:rPr>
          <w:lang w:val="fr-CH"/>
        </w:rPr>
        <w:t>L’Organisme public d’évaluation de l’éducation a deux fonctions importantes</w:t>
      </w:r>
      <w:r w:rsidR="008F7D33" w:rsidRPr="0071782F">
        <w:rPr>
          <w:lang w:val="fr-CH"/>
        </w:rPr>
        <w:t>:</w:t>
      </w:r>
    </w:p>
    <w:p w:rsidR="00186B76" w:rsidRPr="0071782F" w:rsidRDefault="00186B76" w:rsidP="00A45A11">
      <w:pPr>
        <w:pStyle w:val="SingleTxtG"/>
        <w:ind w:left="1701"/>
        <w:rPr>
          <w:lang w:val="fr-CH"/>
        </w:rPr>
      </w:pPr>
      <w:r w:rsidRPr="0071782F">
        <w:rPr>
          <w:lang w:val="fr-CH"/>
        </w:rPr>
        <w:t>425.1</w:t>
      </w:r>
      <w:r w:rsidR="005D6873" w:rsidRPr="0071782F">
        <w:rPr>
          <w:lang w:val="fr-CH"/>
        </w:rPr>
        <w:t>.</w:t>
      </w:r>
      <w:r w:rsidRPr="0071782F">
        <w:rPr>
          <w:lang w:val="fr-CH"/>
        </w:rPr>
        <w:tab/>
      </w:r>
      <w:r w:rsidR="00412047" w:rsidRPr="0071782F">
        <w:rPr>
          <w:lang w:val="fr-CH"/>
        </w:rPr>
        <w:t>É</w:t>
      </w:r>
      <w:r w:rsidR="00E16B1A" w:rsidRPr="0071782F">
        <w:rPr>
          <w:lang w:val="fr-CH"/>
        </w:rPr>
        <w:t xml:space="preserve">valuation scientifique </w:t>
      </w:r>
      <w:r w:rsidR="007F37CE" w:rsidRPr="0071782F">
        <w:rPr>
          <w:lang w:val="fr-CH"/>
        </w:rPr>
        <w:t>des personnes</w:t>
      </w:r>
      <w:r w:rsidR="00E16B1A" w:rsidRPr="0071782F">
        <w:rPr>
          <w:lang w:val="fr-CH"/>
        </w:rPr>
        <w:t xml:space="preserve"> souhaitant faire des études supérieures</w:t>
      </w:r>
      <w:r w:rsidRPr="0071782F">
        <w:rPr>
          <w:lang w:val="fr-CH"/>
        </w:rPr>
        <w:t>.</w:t>
      </w:r>
    </w:p>
    <w:p w:rsidR="00186B76" w:rsidRPr="0071782F" w:rsidRDefault="00186B76" w:rsidP="00A45A11">
      <w:pPr>
        <w:pStyle w:val="SingleTxtG"/>
        <w:ind w:left="1701"/>
        <w:rPr>
          <w:lang w:val="fr-CH"/>
        </w:rPr>
      </w:pPr>
      <w:r w:rsidRPr="0071782F">
        <w:rPr>
          <w:lang w:val="fr-CH"/>
        </w:rPr>
        <w:t>425.2</w:t>
      </w:r>
      <w:r w:rsidR="005D6873" w:rsidRPr="0071782F">
        <w:rPr>
          <w:lang w:val="fr-CH"/>
        </w:rPr>
        <w:t>.</w:t>
      </w:r>
      <w:r w:rsidRPr="0071782F">
        <w:rPr>
          <w:lang w:val="fr-CH"/>
        </w:rPr>
        <w:tab/>
      </w:r>
      <w:r w:rsidR="00E16B1A" w:rsidRPr="0071782F">
        <w:rPr>
          <w:lang w:val="fr-CH"/>
        </w:rPr>
        <w:t>Évaluation et accréditation des université</w:t>
      </w:r>
      <w:r w:rsidRPr="0071782F">
        <w:rPr>
          <w:lang w:val="fr-CH"/>
        </w:rPr>
        <w:t xml:space="preserve">s </w:t>
      </w:r>
      <w:r w:rsidR="00E16B1A" w:rsidRPr="0071782F">
        <w:rPr>
          <w:lang w:val="fr-CH"/>
        </w:rPr>
        <w:t>et autres établissements d’enseignement supérieur</w:t>
      </w:r>
      <w:r w:rsidRPr="0071782F">
        <w:rPr>
          <w:lang w:val="fr-CH"/>
        </w:rPr>
        <w:t>.</w:t>
      </w:r>
    </w:p>
    <w:p w:rsidR="00186B76" w:rsidRPr="0071782F" w:rsidRDefault="00186B76" w:rsidP="00A45A11">
      <w:pPr>
        <w:pStyle w:val="SingleTxtG"/>
        <w:rPr>
          <w:lang w:val="fr-CH"/>
        </w:rPr>
      </w:pPr>
      <w:r w:rsidRPr="0071782F">
        <w:rPr>
          <w:lang w:val="fr-CH"/>
        </w:rPr>
        <w:t>426.</w:t>
      </w:r>
      <w:r w:rsidRPr="0071782F">
        <w:rPr>
          <w:lang w:val="fr-CH"/>
        </w:rPr>
        <w:tab/>
      </w:r>
      <w:r w:rsidR="00E16B1A" w:rsidRPr="0071782F">
        <w:rPr>
          <w:lang w:val="fr-CH"/>
        </w:rPr>
        <w:t>Les activités ci-après ont été entreprises pour réaliser les objectifs susvisés.</w:t>
      </w:r>
    </w:p>
    <w:p w:rsidR="00186B76" w:rsidRPr="0071782F" w:rsidRDefault="00186B76" w:rsidP="00A45A11">
      <w:pPr>
        <w:pStyle w:val="H1G"/>
        <w:rPr>
          <w:lang w:val="fr-CH"/>
        </w:rPr>
      </w:pPr>
      <w:r w:rsidRPr="0071782F">
        <w:rPr>
          <w:lang w:val="fr-CH"/>
        </w:rPr>
        <w:tab/>
      </w:r>
      <w:r w:rsidRPr="0071782F">
        <w:rPr>
          <w:lang w:val="fr-CH"/>
        </w:rPr>
        <w:tab/>
      </w:r>
      <w:r w:rsidR="00E16B1A" w:rsidRPr="0071782F">
        <w:rPr>
          <w:lang w:val="fr-CH"/>
        </w:rPr>
        <w:t>Évaluation scientifique</w:t>
      </w:r>
    </w:p>
    <w:p w:rsidR="00186B76" w:rsidRPr="0071782F" w:rsidRDefault="00186B76" w:rsidP="00A45A11">
      <w:pPr>
        <w:pStyle w:val="H23G"/>
        <w:rPr>
          <w:lang w:val="fr-CH"/>
        </w:rPr>
      </w:pPr>
      <w:r w:rsidRPr="0071782F">
        <w:rPr>
          <w:lang w:val="fr-CH"/>
        </w:rPr>
        <w:tab/>
      </w:r>
      <w:r w:rsidRPr="0071782F">
        <w:rPr>
          <w:lang w:val="fr-CH"/>
        </w:rPr>
        <w:tab/>
      </w:r>
      <w:r w:rsidR="00E16B1A" w:rsidRPr="0071782F">
        <w:rPr>
          <w:lang w:val="fr-CH"/>
        </w:rPr>
        <w:t xml:space="preserve">Inscription </w:t>
      </w:r>
    </w:p>
    <w:p w:rsidR="00186B76" w:rsidRPr="0071782F" w:rsidRDefault="00186B76" w:rsidP="00A45A11">
      <w:pPr>
        <w:pStyle w:val="SingleTxtG"/>
        <w:rPr>
          <w:lang w:val="fr-CH"/>
        </w:rPr>
      </w:pPr>
      <w:r w:rsidRPr="0071782F">
        <w:rPr>
          <w:lang w:val="fr-CH"/>
        </w:rPr>
        <w:t>427.</w:t>
      </w:r>
      <w:r w:rsidRPr="0071782F">
        <w:rPr>
          <w:lang w:val="fr-CH"/>
        </w:rPr>
        <w:tab/>
      </w:r>
      <w:r w:rsidR="00471E5E" w:rsidRPr="0071782F">
        <w:rPr>
          <w:lang w:val="fr-CH"/>
        </w:rPr>
        <w:t>À ce sujet, il convient de noter ce qui suit</w:t>
      </w:r>
      <w:r w:rsidR="008F7D33" w:rsidRPr="0071782F">
        <w:rPr>
          <w:lang w:val="fr-CH"/>
        </w:rPr>
        <w:t>:</w:t>
      </w:r>
    </w:p>
    <w:p w:rsidR="00186B76" w:rsidRPr="0071782F" w:rsidRDefault="00186B76" w:rsidP="00A45A11">
      <w:pPr>
        <w:pStyle w:val="SingleTxtG"/>
        <w:ind w:left="1701"/>
        <w:rPr>
          <w:lang w:val="fr-CH"/>
        </w:rPr>
      </w:pPr>
      <w:r w:rsidRPr="0071782F">
        <w:rPr>
          <w:lang w:val="fr-CH"/>
        </w:rPr>
        <w:t>427.1</w:t>
      </w:r>
      <w:r w:rsidR="005D6873" w:rsidRPr="0071782F">
        <w:rPr>
          <w:lang w:val="fr-CH"/>
        </w:rPr>
        <w:t>.</w:t>
      </w:r>
      <w:r w:rsidRPr="0071782F">
        <w:rPr>
          <w:lang w:val="fr-CH"/>
        </w:rPr>
        <w:tab/>
      </w:r>
      <w:r w:rsidR="00273C91" w:rsidRPr="0071782F">
        <w:rPr>
          <w:lang w:val="fr-CH"/>
        </w:rPr>
        <w:t>E</w:t>
      </w:r>
      <w:r w:rsidRPr="0071782F">
        <w:rPr>
          <w:lang w:val="fr-CH"/>
        </w:rPr>
        <w:t xml:space="preserve">n 2006, </w:t>
      </w:r>
      <w:r w:rsidR="00E8333E" w:rsidRPr="0071782F">
        <w:rPr>
          <w:lang w:val="fr-CH"/>
        </w:rPr>
        <w:t>le processus d’inscription aux examens a privilégié l’utilisation de l’</w:t>
      </w:r>
      <w:r w:rsidRPr="0071782F">
        <w:rPr>
          <w:lang w:val="fr-CH"/>
        </w:rPr>
        <w:t xml:space="preserve">Internet </w:t>
      </w:r>
      <w:r w:rsidR="00E8333E" w:rsidRPr="0071782F">
        <w:rPr>
          <w:lang w:val="fr-CH"/>
        </w:rPr>
        <w:t xml:space="preserve">et de la </w:t>
      </w:r>
      <w:r w:rsidRPr="0071782F">
        <w:rPr>
          <w:lang w:val="fr-CH"/>
        </w:rPr>
        <w:t>CBR.</w:t>
      </w:r>
    </w:p>
    <w:p w:rsidR="00186B76" w:rsidRPr="0071782F" w:rsidRDefault="00186B76" w:rsidP="005D6873">
      <w:pPr>
        <w:pStyle w:val="SingleTxtG"/>
        <w:spacing w:after="240"/>
        <w:ind w:left="1701"/>
        <w:rPr>
          <w:lang w:val="fr-CH"/>
        </w:rPr>
      </w:pPr>
      <w:r w:rsidRPr="0071782F">
        <w:rPr>
          <w:lang w:val="fr-CH"/>
        </w:rPr>
        <w:t>427.2</w:t>
      </w:r>
      <w:r w:rsidR="005D6873" w:rsidRPr="0071782F">
        <w:rPr>
          <w:lang w:val="fr-CH"/>
        </w:rPr>
        <w:t>.</w:t>
      </w:r>
      <w:r w:rsidRPr="0071782F">
        <w:rPr>
          <w:lang w:val="fr-CH"/>
        </w:rPr>
        <w:tab/>
      </w:r>
      <w:r w:rsidR="00E8333E" w:rsidRPr="0071782F">
        <w:rPr>
          <w:lang w:val="fr-CH"/>
        </w:rPr>
        <w:t>Cette année, les inscriptions, effectuées précédemment par courrier postal, se sont déroulées sur l’</w:t>
      </w:r>
      <w:r w:rsidRPr="0071782F">
        <w:rPr>
          <w:lang w:val="fr-CH"/>
        </w:rPr>
        <w:t xml:space="preserve">Internet. </w:t>
      </w:r>
      <w:r w:rsidR="00E8333E" w:rsidRPr="0071782F">
        <w:rPr>
          <w:lang w:val="fr-CH"/>
        </w:rPr>
        <w:t xml:space="preserve">Les tableaux qui suivent détaillent ce processus </w:t>
      </w:r>
    </w:p>
    <w:p w:rsidR="00186B76" w:rsidRPr="0071782F" w:rsidRDefault="00186B76" w:rsidP="00A45A11">
      <w:pPr>
        <w:pStyle w:val="Heading1"/>
        <w:rPr>
          <w:lang w:val="fr-CH"/>
        </w:rPr>
      </w:pPr>
      <w:r w:rsidRPr="0071782F">
        <w:rPr>
          <w:lang w:val="fr-CH"/>
        </w:rPr>
        <w:t>Table</w:t>
      </w:r>
      <w:r w:rsidR="00E8333E" w:rsidRPr="0071782F">
        <w:rPr>
          <w:lang w:val="fr-CH"/>
        </w:rPr>
        <w:t>au</w:t>
      </w:r>
      <w:r w:rsidRPr="0071782F">
        <w:rPr>
          <w:lang w:val="fr-CH"/>
        </w:rPr>
        <w:t xml:space="preserve"> 1</w:t>
      </w:r>
    </w:p>
    <w:p w:rsidR="00186B76" w:rsidRPr="0071782F" w:rsidRDefault="00186B76" w:rsidP="00A45A11">
      <w:pPr>
        <w:pStyle w:val="SingleTxtG"/>
        <w:rPr>
          <w:b/>
          <w:lang w:val="fr-CH"/>
        </w:rPr>
      </w:pPr>
      <w:r w:rsidRPr="0071782F">
        <w:rPr>
          <w:b/>
          <w:lang w:val="fr-CH"/>
        </w:rPr>
        <w:t>Statisti</w:t>
      </w:r>
      <w:r w:rsidR="00E8333E" w:rsidRPr="0071782F">
        <w:rPr>
          <w:b/>
          <w:lang w:val="fr-CH"/>
        </w:rPr>
        <w:t>que</w:t>
      </w:r>
      <w:r w:rsidRPr="0071782F">
        <w:rPr>
          <w:b/>
          <w:lang w:val="fr-CH"/>
        </w:rPr>
        <w:t xml:space="preserve">s </w:t>
      </w:r>
      <w:r w:rsidR="00E8333E" w:rsidRPr="0071782F">
        <w:rPr>
          <w:b/>
          <w:lang w:val="fr-CH"/>
        </w:rPr>
        <w:t xml:space="preserve">sur l’inscription sur l’Internet aux différents types d’examens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66"/>
        <w:gridCol w:w="4900"/>
        <w:gridCol w:w="2004"/>
      </w:tblGrid>
      <w:tr w:rsidR="00186B76" w:rsidRPr="0071782F">
        <w:trPr>
          <w:tblHeader/>
        </w:trPr>
        <w:tc>
          <w:tcPr>
            <w:tcW w:w="466" w:type="dxa"/>
            <w:tcBorders>
              <w:top w:val="single" w:sz="4" w:space="0" w:color="auto"/>
              <w:bottom w:val="single" w:sz="12" w:space="0" w:color="auto"/>
            </w:tcBorders>
            <w:shd w:val="clear" w:color="auto" w:fill="auto"/>
            <w:vAlign w:val="bottom"/>
          </w:tcPr>
          <w:p w:rsidR="00186B76" w:rsidRPr="0071782F" w:rsidRDefault="00186B76" w:rsidP="003B1403">
            <w:pPr>
              <w:widowControl w:val="0"/>
              <w:suppressAutoHyphens w:val="0"/>
              <w:spacing w:before="80" w:after="80" w:line="200" w:lineRule="exact"/>
              <w:rPr>
                <w:i/>
                <w:sz w:val="16"/>
                <w:lang w:val="fr-CH"/>
              </w:rPr>
            </w:pPr>
            <w:r w:rsidRPr="0071782F">
              <w:rPr>
                <w:i/>
                <w:sz w:val="16"/>
                <w:lang w:val="fr-CH"/>
              </w:rPr>
              <w:t>R</w:t>
            </w:r>
            <w:r w:rsidR="00E8333E" w:rsidRPr="0071782F">
              <w:rPr>
                <w:i/>
                <w:sz w:val="16"/>
                <w:lang w:val="fr-CH"/>
              </w:rPr>
              <w:t>ang</w:t>
            </w:r>
          </w:p>
        </w:tc>
        <w:tc>
          <w:tcPr>
            <w:tcW w:w="4900" w:type="dxa"/>
            <w:tcBorders>
              <w:top w:val="single" w:sz="4" w:space="0" w:color="auto"/>
              <w:bottom w:val="single" w:sz="12" w:space="0" w:color="auto"/>
            </w:tcBorders>
            <w:shd w:val="clear" w:color="auto" w:fill="auto"/>
            <w:vAlign w:val="bottom"/>
          </w:tcPr>
          <w:p w:rsidR="00186B76" w:rsidRPr="0071782F" w:rsidRDefault="00186B76" w:rsidP="003B1403">
            <w:pPr>
              <w:widowControl w:val="0"/>
              <w:suppressAutoHyphens w:val="0"/>
              <w:spacing w:before="80" w:after="80" w:line="200" w:lineRule="exact"/>
              <w:rPr>
                <w:i/>
                <w:sz w:val="16"/>
                <w:lang w:val="fr-CH"/>
              </w:rPr>
            </w:pPr>
            <w:r w:rsidRPr="0071782F">
              <w:rPr>
                <w:i/>
                <w:sz w:val="16"/>
                <w:lang w:val="fr-CH"/>
              </w:rPr>
              <w:t xml:space="preserve">Type </w:t>
            </w:r>
            <w:r w:rsidR="00E8333E" w:rsidRPr="0071782F">
              <w:rPr>
                <w:i/>
                <w:sz w:val="16"/>
                <w:lang w:val="fr-CH"/>
              </w:rPr>
              <w:t>d’</w:t>
            </w:r>
            <w:r w:rsidRPr="0071782F">
              <w:rPr>
                <w:i/>
                <w:sz w:val="16"/>
                <w:lang w:val="fr-CH"/>
              </w:rPr>
              <w:t>exam</w:t>
            </w:r>
            <w:r w:rsidR="00E8333E" w:rsidRPr="0071782F">
              <w:rPr>
                <w:i/>
                <w:sz w:val="16"/>
                <w:lang w:val="fr-CH"/>
              </w:rPr>
              <w:t xml:space="preserve">en </w:t>
            </w:r>
          </w:p>
        </w:tc>
        <w:tc>
          <w:tcPr>
            <w:tcW w:w="2004" w:type="dxa"/>
            <w:tcBorders>
              <w:top w:val="single" w:sz="4" w:space="0" w:color="auto"/>
              <w:bottom w:val="single" w:sz="12" w:space="0" w:color="auto"/>
            </w:tcBorders>
            <w:shd w:val="clear" w:color="auto" w:fill="auto"/>
            <w:vAlign w:val="bottom"/>
          </w:tcPr>
          <w:p w:rsidR="00186B76" w:rsidRPr="0071782F" w:rsidRDefault="00186B76" w:rsidP="003B1403">
            <w:pPr>
              <w:widowControl w:val="0"/>
              <w:suppressAutoHyphens w:val="0"/>
              <w:spacing w:before="80" w:after="80" w:line="200" w:lineRule="exact"/>
              <w:jc w:val="right"/>
              <w:rPr>
                <w:i/>
                <w:sz w:val="16"/>
                <w:lang w:val="fr-CH"/>
              </w:rPr>
            </w:pPr>
            <w:r w:rsidRPr="0071782F">
              <w:rPr>
                <w:i/>
                <w:sz w:val="16"/>
                <w:lang w:val="fr-CH"/>
              </w:rPr>
              <w:t>No</w:t>
            </w:r>
            <w:r w:rsidR="00E8333E" w:rsidRPr="0071782F">
              <w:rPr>
                <w:i/>
                <w:sz w:val="16"/>
                <w:lang w:val="fr-CH"/>
              </w:rPr>
              <w:t xml:space="preserve">mbre </w:t>
            </w:r>
            <w:r w:rsidR="00D82C96" w:rsidRPr="0071782F">
              <w:rPr>
                <w:i/>
                <w:sz w:val="16"/>
                <w:lang w:val="fr-CH"/>
              </w:rPr>
              <w:t>de personnes</w:t>
            </w:r>
            <w:r w:rsidRPr="0071782F">
              <w:rPr>
                <w:i/>
                <w:sz w:val="16"/>
                <w:lang w:val="fr-CH"/>
              </w:rPr>
              <w:t xml:space="preserve"> </w:t>
            </w:r>
            <w:r w:rsidR="00E8333E" w:rsidRPr="0071782F">
              <w:rPr>
                <w:i/>
                <w:sz w:val="16"/>
                <w:lang w:val="fr-CH"/>
              </w:rPr>
              <w:t xml:space="preserve">inscrites </w:t>
            </w:r>
          </w:p>
        </w:tc>
      </w:tr>
      <w:tr w:rsidR="00186B76" w:rsidRPr="0071782F">
        <w:tc>
          <w:tcPr>
            <w:tcW w:w="466" w:type="dxa"/>
            <w:tcBorders>
              <w:top w:val="single" w:sz="12" w:space="0" w:color="auto"/>
            </w:tcBorders>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1</w:t>
            </w:r>
          </w:p>
        </w:tc>
        <w:tc>
          <w:tcPr>
            <w:tcW w:w="4900" w:type="dxa"/>
            <w:tcBorders>
              <w:top w:val="single" w:sz="12" w:space="0" w:color="auto"/>
            </w:tcBorders>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Mast</w:t>
            </w:r>
            <w:r w:rsidR="00E8333E" w:rsidRPr="0071782F">
              <w:rPr>
                <w:sz w:val="18"/>
                <w:lang w:val="fr-CH"/>
              </w:rPr>
              <w:t xml:space="preserve">ère </w:t>
            </w:r>
          </w:p>
        </w:tc>
        <w:tc>
          <w:tcPr>
            <w:tcW w:w="2004" w:type="dxa"/>
            <w:tcBorders>
              <w:top w:val="single" w:sz="12" w:space="0" w:color="auto"/>
            </w:tcBorders>
            <w:shd w:val="clear" w:color="auto" w:fill="auto"/>
            <w:vAlign w:val="bottom"/>
          </w:tcPr>
          <w:p w:rsidR="00186B76" w:rsidRPr="0071782F" w:rsidRDefault="00186B76" w:rsidP="003B1403">
            <w:pPr>
              <w:widowControl w:val="0"/>
              <w:suppressAutoHyphens w:val="0"/>
              <w:spacing w:before="40" w:after="40" w:line="220" w:lineRule="exact"/>
              <w:jc w:val="right"/>
              <w:rPr>
                <w:sz w:val="18"/>
                <w:lang w:val="fr-CH"/>
              </w:rPr>
            </w:pPr>
            <w:r w:rsidRPr="0071782F">
              <w:rPr>
                <w:sz w:val="18"/>
                <w:lang w:val="fr-CH"/>
              </w:rPr>
              <w:t>530 935</w:t>
            </w:r>
          </w:p>
        </w:tc>
      </w:tr>
      <w:tr w:rsidR="00186B76" w:rsidRPr="0071782F">
        <w:tc>
          <w:tcPr>
            <w:tcW w:w="466" w:type="dxa"/>
            <w:tcBorders>
              <w:bottom w:val="nil"/>
            </w:tcBorders>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2</w:t>
            </w:r>
          </w:p>
        </w:tc>
        <w:tc>
          <w:tcPr>
            <w:tcW w:w="4900" w:type="dxa"/>
            <w:tcBorders>
              <w:bottom w:val="nil"/>
            </w:tcBorders>
            <w:shd w:val="clear" w:color="auto" w:fill="auto"/>
            <w:vAlign w:val="bottom"/>
          </w:tcPr>
          <w:p w:rsidR="00186B76" w:rsidRPr="0071782F" w:rsidRDefault="00E8333E" w:rsidP="003B1403">
            <w:pPr>
              <w:widowControl w:val="0"/>
              <w:suppressAutoHyphens w:val="0"/>
              <w:spacing w:before="40" w:after="40" w:line="220" w:lineRule="exact"/>
              <w:rPr>
                <w:sz w:val="18"/>
                <w:lang w:val="fr-CH"/>
              </w:rPr>
            </w:pPr>
            <w:r w:rsidRPr="0071782F">
              <w:rPr>
                <w:sz w:val="18"/>
                <w:lang w:val="fr-CH"/>
              </w:rPr>
              <w:t>Licence</w:t>
            </w:r>
          </w:p>
        </w:tc>
        <w:tc>
          <w:tcPr>
            <w:tcW w:w="2004" w:type="dxa"/>
            <w:tcBorders>
              <w:bottom w:val="nil"/>
            </w:tcBorders>
            <w:shd w:val="clear" w:color="auto" w:fill="auto"/>
            <w:vAlign w:val="bottom"/>
          </w:tcPr>
          <w:p w:rsidR="00186B76" w:rsidRPr="0071782F" w:rsidRDefault="00186B76" w:rsidP="003B1403">
            <w:pPr>
              <w:widowControl w:val="0"/>
              <w:suppressAutoHyphens w:val="0"/>
              <w:spacing w:before="40" w:after="40" w:line="220" w:lineRule="exact"/>
              <w:jc w:val="right"/>
              <w:rPr>
                <w:sz w:val="18"/>
                <w:lang w:val="fr-CH"/>
              </w:rPr>
            </w:pPr>
            <w:r w:rsidRPr="0071782F">
              <w:rPr>
                <w:sz w:val="18"/>
                <w:lang w:val="fr-CH"/>
              </w:rPr>
              <w:t>206 101</w:t>
            </w:r>
          </w:p>
        </w:tc>
      </w:tr>
      <w:tr w:rsidR="00186B76" w:rsidRPr="0071782F">
        <w:tc>
          <w:tcPr>
            <w:tcW w:w="466" w:type="dxa"/>
            <w:tcBorders>
              <w:top w:val="nil"/>
              <w:bottom w:val="nil"/>
            </w:tcBorders>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3</w:t>
            </w:r>
          </w:p>
        </w:tc>
        <w:tc>
          <w:tcPr>
            <w:tcW w:w="4900" w:type="dxa"/>
            <w:tcBorders>
              <w:top w:val="nil"/>
              <w:bottom w:val="nil"/>
            </w:tcBorders>
            <w:shd w:val="clear" w:color="auto" w:fill="auto"/>
            <w:vAlign w:val="bottom"/>
          </w:tcPr>
          <w:p w:rsidR="00186B76" w:rsidRPr="0071782F" w:rsidRDefault="00E8333E" w:rsidP="003B1403">
            <w:pPr>
              <w:widowControl w:val="0"/>
              <w:suppressAutoHyphens w:val="0"/>
              <w:spacing w:before="40" w:after="40" w:line="220" w:lineRule="exact"/>
              <w:rPr>
                <w:sz w:val="18"/>
                <w:lang w:val="fr-CH"/>
              </w:rPr>
            </w:pPr>
            <w:r w:rsidRPr="0071782F">
              <w:rPr>
                <w:sz w:val="18"/>
                <w:lang w:val="fr-CH"/>
              </w:rPr>
              <w:t>Premier diplôme universitaire de l’Université des sciences appliquées</w:t>
            </w:r>
            <w:r w:rsidR="00186B76" w:rsidRPr="0071782F">
              <w:rPr>
                <w:sz w:val="18"/>
                <w:lang w:val="fr-CH"/>
              </w:rPr>
              <w:t xml:space="preserve"> </w:t>
            </w:r>
          </w:p>
        </w:tc>
        <w:tc>
          <w:tcPr>
            <w:tcW w:w="2004" w:type="dxa"/>
            <w:tcBorders>
              <w:top w:val="nil"/>
              <w:bottom w:val="nil"/>
            </w:tcBorders>
            <w:shd w:val="clear" w:color="auto" w:fill="auto"/>
            <w:vAlign w:val="bottom"/>
          </w:tcPr>
          <w:p w:rsidR="00186B76" w:rsidRPr="0071782F" w:rsidRDefault="00186B76" w:rsidP="003B1403">
            <w:pPr>
              <w:widowControl w:val="0"/>
              <w:suppressAutoHyphens w:val="0"/>
              <w:spacing w:before="40" w:after="40" w:line="220" w:lineRule="exact"/>
              <w:jc w:val="right"/>
              <w:rPr>
                <w:sz w:val="18"/>
                <w:lang w:val="fr-CH"/>
              </w:rPr>
            </w:pPr>
            <w:r w:rsidRPr="0071782F">
              <w:rPr>
                <w:sz w:val="18"/>
                <w:lang w:val="fr-CH"/>
              </w:rPr>
              <w:t>240 262</w:t>
            </w:r>
          </w:p>
        </w:tc>
      </w:tr>
      <w:tr w:rsidR="00186B76" w:rsidRPr="0071782F">
        <w:tc>
          <w:tcPr>
            <w:tcW w:w="466" w:type="dxa"/>
            <w:tcBorders>
              <w:top w:val="nil"/>
            </w:tcBorders>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4</w:t>
            </w:r>
          </w:p>
        </w:tc>
        <w:tc>
          <w:tcPr>
            <w:tcW w:w="4900" w:type="dxa"/>
            <w:tcBorders>
              <w:top w:val="nil"/>
            </w:tcBorders>
            <w:shd w:val="clear" w:color="auto" w:fill="auto"/>
            <w:vAlign w:val="bottom"/>
          </w:tcPr>
          <w:p w:rsidR="00186B76" w:rsidRPr="0071782F" w:rsidRDefault="00E8333E" w:rsidP="003B1403">
            <w:pPr>
              <w:widowControl w:val="0"/>
              <w:suppressAutoHyphens w:val="0"/>
              <w:spacing w:before="40" w:after="40" w:line="220" w:lineRule="exact"/>
              <w:rPr>
                <w:sz w:val="18"/>
                <w:lang w:val="fr-CH"/>
              </w:rPr>
            </w:pPr>
            <w:r w:rsidRPr="0071782F">
              <w:rPr>
                <w:sz w:val="18"/>
                <w:lang w:val="fr-CH"/>
              </w:rPr>
              <w:t>Licence de l’Université des sciences appliquées</w:t>
            </w:r>
          </w:p>
        </w:tc>
        <w:tc>
          <w:tcPr>
            <w:tcW w:w="2004" w:type="dxa"/>
            <w:tcBorders>
              <w:top w:val="nil"/>
            </w:tcBorders>
            <w:shd w:val="clear" w:color="auto" w:fill="auto"/>
            <w:vAlign w:val="bottom"/>
          </w:tcPr>
          <w:p w:rsidR="00186B76" w:rsidRPr="0071782F" w:rsidRDefault="00186B76" w:rsidP="003B1403">
            <w:pPr>
              <w:widowControl w:val="0"/>
              <w:suppressAutoHyphens w:val="0"/>
              <w:spacing w:before="40" w:after="40" w:line="220" w:lineRule="exact"/>
              <w:jc w:val="right"/>
              <w:rPr>
                <w:sz w:val="18"/>
                <w:lang w:val="fr-CH"/>
              </w:rPr>
            </w:pPr>
            <w:r w:rsidRPr="0071782F">
              <w:rPr>
                <w:sz w:val="18"/>
                <w:lang w:val="fr-CH"/>
              </w:rPr>
              <w:t>83 524</w:t>
            </w:r>
          </w:p>
        </w:tc>
      </w:tr>
      <w:tr w:rsidR="00186B76" w:rsidRPr="0071782F">
        <w:tc>
          <w:tcPr>
            <w:tcW w:w="466" w:type="dxa"/>
            <w:tcBorders>
              <w:bottom w:val="nil"/>
            </w:tcBorders>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5</w:t>
            </w:r>
          </w:p>
        </w:tc>
        <w:tc>
          <w:tcPr>
            <w:tcW w:w="4900" w:type="dxa"/>
            <w:tcBorders>
              <w:bottom w:val="nil"/>
            </w:tcBorders>
            <w:shd w:val="clear" w:color="auto" w:fill="auto"/>
            <w:vAlign w:val="bottom"/>
          </w:tcPr>
          <w:p w:rsidR="00186B76" w:rsidRPr="0071782F" w:rsidRDefault="00E8333E" w:rsidP="003B1403">
            <w:pPr>
              <w:widowControl w:val="0"/>
              <w:suppressAutoHyphens w:val="0"/>
              <w:spacing w:before="40" w:after="40" w:line="220" w:lineRule="exact"/>
              <w:rPr>
                <w:sz w:val="18"/>
                <w:lang w:val="fr-CH"/>
              </w:rPr>
            </w:pPr>
            <w:r w:rsidRPr="0071782F">
              <w:rPr>
                <w:sz w:val="18"/>
                <w:lang w:val="fr-CH"/>
              </w:rPr>
              <w:t xml:space="preserve">Diplôme équivalent au premier diplôme universitaire </w:t>
            </w:r>
          </w:p>
        </w:tc>
        <w:tc>
          <w:tcPr>
            <w:tcW w:w="2004" w:type="dxa"/>
            <w:tcBorders>
              <w:bottom w:val="nil"/>
            </w:tcBorders>
            <w:shd w:val="clear" w:color="auto" w:fill="auto"/>
            <w:vAlign w:val="bottom"/>
          </w:tcPr>
          <w:p w:rsidR="00186B76" w:rsidRPr="0071782F" w:rsidRDefault="00186B76" w:rsidP="003B1403">
            <w:pPr>
              <w:widowControl w:val="0"/>
              <w:suppressAutoHyphens w:val="0"/>
              <w:spacing w:before="40" w:after="40" w:line="220" w:lineRule="exact"/>
              <w:jc w:val="right"/>
              <w:rPr>
                <w:sz w:val="18"/>
                <w:lang w:val="fr-CH"/>
              </w:rPr>
            </w:pPr>
            <w:r w:rsidRPr="0071782F">
              <w:rPr>
                <w:sz w:val="18"/>
                <w:lang w:val="fr-CH"/>
              </w:rPr>
              <w:t>17 620</w:t>
            </w:r>
          </w:p>
        </w:tc>
      </w:tr>
      <w:tr w:rsidR="00186B76" w:rsidRPr="0071782F">
        <w:tc>
          <w:tcPr>
            <w:tcW w:w="466" w:type="dxa"/>
            <w:tcBorders>
              <w:top w:val="nil"/>
              <w:bottom w:val="nil"/>
            </w:tcBorders>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6</w:t>
            </w:r>
          </w:p>
        </w:tc>
        <w:tc>
          <w:tcPr>
            <w:tcW w:w="4900" w:type="dxa"/>
            <w:tcBorders>
              <w:top w:val="nil"/>
              <w:bottom w:val="nil"/>
            </w:tcBorders>
            <w:shd w:val="clear" w:color="auto" w:fill="auto"/>
            <w:vAlign w:val="bottom"/>
          </w:tcPr>
          <w:p w:rsidR="00186B76" w:rsidRPr="0071782F" w:rsidRDefault="00E8333E" w:rsidP="003B1403">
            <w:pPr>
              <w:widowControl w:val="0"/>
              <w:suppressAutoHyphens w:val="0"/>
              <w:spacing w:before="40" w:after="40" w:line="220" w:lineRule="exact"/>
              <w:rPr>
                <w:sz w:val="18"/>
                <w:lang w:val="fr-CH"/>
              </w:rPr>
            </w:pPr>
            <w:r w:rsidRPr="0071782F">
              <w:rPr>
                <w:sz w:val="18"/>
                <w:lang w:val="fr-CH"/>
              </w:rPr>
              <w:t xml:space="preserve">Diplôme équivalent à la licence </w:t>
            </w:r>
          </w:p>
        </w:tc>
        <w:tc>
          <w:tcPr>
            <w:tcW w:w="2004" w:type="dxa"/>
            <w:tcBorders>
              <w:top w:val="nil"/>
              <w:bottom w:val="nil"/>
            </w:tcBorders>
            <w:shd w:val="clear" w:color="auto" w:fill="auto"/>
            <w:vAlign w:val="bottom"/>
          </w:tcPr>
          <w:p w:rsidR="00186B76" w:rsidRPr="0071782F" w:rsidRDefault="00186B76" w:rsidP="003B1403">
            <w:pPr>
              <w:widowControl w:val="0"/>
              <w:suppressAutoHyphens w:val="0"/>
              <w:spacing w:before="40" w:after="40" w:line="220" w:lineRule="exact"/>
              <w:jc w:val="right"/>
              <w:rPr>
                <w:sz w:val="18"/>
                <w:lang w:val="fr-CH"/>
              </w:rPr>
            </w:pPr>
            <w:r w:rsidRPr="0071782F">
              <w:rPr>
                <w:sz w:val="18"/>
                <w:lang w:val="fr-CH"/>
              </w:rPr>
              <w:t>29 775</w:t>
            </w:r>
          </w:p>
        </w:tc>
      </w:tr>
      <w:tr w:rsidR="00186B76" w:rsidRPr="0071782F">
        <w:tc>
          <w:tcPr>
            <w:tcW w:w="466" w:type="dxa"/>
            <w:tcBorders>
              <w:top w:val="nil"/>
            </w:tcBorders>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7</w:t>
            </w:r>
          </w:p>
        </w:tc>
        <w:tc>
          <w:tcPr>
            <w:tcW w:w="4900" w:type="dxa"/>
            <w:tcBorders>
              <w:top w:val="nil"/>
            </w:tcBorders>
            <w:shd w:val="clear" w:color="auto" w:fill="auto"/>
            <w:vAlign w:val="bottom"/>
          </w:tcPr>
          <w:p w:rsidR="00186B76" w:rsidRPr="0071782F" w:rsidRDefault="00E8333E" w:rsidP="003B1403">
            <w:pPr>
              <w:widowControl w:val="0"/>
              <w:suppressAutoHyphens w:val="0"/>
              <w:spacing w:before="40" w:after="40" w:line="220" w:lineRule="exact"/>
              <w:rPr>
                <w:sz w:val="18"/>
                <w:lang w:val="fr-CH"/>
              </w:rPr>
            </w:pPr>
            <w:r w:rsidRPr="0071782F">
              <w:rPr>
                <w:sz w:val="18"/>
                <w:lang w:val="fr-CH"/>
              </w:rPr>
              <w:t xml:space="preserve">Ingénierie </w:t>
            </w:r>
          </w:p>
        </w:tc>
        <w:tc>
          <w:tcPr>
            <w:tcW w:w="2004" w:type="dxa"/>
            <w:tcBorders>
              <w:top w:val="nil"/>
            </w:tcBorders>
            <w:shd w:val="clear" w:color="auto" w:fill="auto"/>
            <w:vAlign w:val="bottom"/>
          </w:tcPr>
          <w:p w:rsidR="00186B76" w:rsidRPr="0071782F" w:rsidRDefault="00186B76" w:rsidP="003B1403">
            <w:pPr>
              <w:widowControl w:val="0"/>
              <w:suppressAutoHyphens w:val="0"/>
              <w:spacing w:before="40" w:after="40" w:line="220" w:lineRule="exact"/>
              <w:jc w:val="right"/>
              <w:rPr>
                <w:sz w:val="18"/>
                <w:lang w:val="fr-CH"/>
              </w:rPr>
            </w:pPr>
            <w:r w:rsidRPr="0071782F">
              <w:rPr>
                <w:sz w:val="18"/>
                <w:lang w:val="fr-CH"/>
              </w:rPr>
              <w:t>147</w:t>
            </w:r>
          </w:p>
        </w:tc>
      </w:tr>
      <w:tr w:rsidR="00186B76" w:rsidRPr="0071782F">
        <w:tc>
          <w:tcPr>
            <w:tcW w:w="466" w:type="dxa"/>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8</w:t>
            </w:r>
          </w:p>
        </w:tc>
        <w:tc>
          <w:tcPr>
            <w:tcW w:w="4900" w:type="dxa"/>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TOEFL (13 exam</w:t>
            </w:r>
            <w:r w:rsidR="00E8333E" w:rsidRPr="0071782F">
              <w:rPr>
                <w:sz w:val="18"/>
                <w:lang w:val="fr-CH"/>
              </w:rPr>
              <w:t>ens</w:t>
            </w:r>
            <w:r w:rsidRPr="0071782F">
              <w:rPr>
                <w:sz w:val="18"/>
                <w:lang w:val="fr-CH"/>
              </w:rPr>
              <w:t>)</w:t>
            </w:r>
          </w:p>
        </w:tc>
        <w:tc>
          <w:tcPr>
            <w:tcW w:w="2004" w:type="dxa"/>
            <w:shd w:val="clear" w:color="auto" w:fill="auto"/>
            <w:vAlign w:val="bottom"/>
          </w:tcPr>
          <w:p w:rsidR="00186B76" w:rsidRPr="0071782F" w:rsidRDefault="00186B76" w:rsidP="003B1403">
            <w:pPr>
              <w:widowControl w:val="0"/>
              <w:suppressAutoHyphens w:val="0"/>
              <w:spacing w:before="40" w:after="40" w:line="220" w:lineRule="exact"/>
              <w:jc w:val="right"/>
              <w:rPr>
                <w:sz w:val="18"/>
                <w:lang w:val="fr-CH"/>
              </w:rPr>
            </w:pPr>
            <w:r w:rsidRPr="0071782F">
              <w:rPr>
                <w:sz w:val="18"/>
                <w:lang w:val="fr-CH"/>
              </w:rPr>
              <w:t>666</w:t>
            </w:r>
          </w:p>
        </w:tc>
      </w:tr>
      <w:tr w:rsidR="00186B76" w:rsidRPr="0071782F">
        <w:tc>
          <w:tcPr>
            <w:tcW w:w="466" w:type="dxa"/>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9</w:t>
            </w:r>
          </w:p>
        </w:tc>
        <w:tc>
          <w:tcPr>
            <w:tcW w:w="4900" w:type="dxa"/>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TOEFL (8 exam</w:t>
            </w:r>
            <w:r w:rsidR="00E8333E" w:rsidRPr="0071782F">
              <w:rPr>
                <w:sz w:val="18"/>
                <w:lang w:val="fr-CH"/>
              </w:rPr>
              <w:t xml:space="preserve">ens à la fin de l’année) </w:t>
            </w:r>
          </w:p>
        </w:tc>
        <w:tc>
          <w:tcPr>
            <w:tcW w:w="2004" w:type="dxa"/>
            <w:shd w:val="clear" w:color="auto" w:fill="auto"/>
            <w:vAlign w:val="bottom"/>
          </w:tcPr>
          <w:p w:rsidR="00186B76" w:rsidRPr="0071782F" w:rsidRDefault="00186B76" w:rsidP="003B1403">
            <w:pPr>
              <w:widowControl w:val="0"/>
              <w:suppressAutoHyphens w:val="0"/>
              <w:spacing w:before="40" w:after="40" w:line="220" w:lineRule="exact"/>
              <w:jc w:val="right"/>
              <w:rPr>
                <w:sz w:val="18"/>
                <w:lang w:val="fr-CH"/>
              </w:rPr>
            </w:pPr>
            <w:r w:rsidRPr="0071782F">
              <w:rPr>
                <w:sz w:val="18"/>
                <w:lang w:val="fr-CH"/>
              </w:rPr>
              <w:t>420</w:t>
            </w:r>
          </w:p>
        </w:tc>
      </w:tr>
      <w:tr w:rsidR="00186B76" w:rsidRPr="0071782F">
        <w:tc>
          <w:tcPr>
            <w:tcW w:w="466" w:type="dxa"/>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10</w:t>
            </w:r>
          </w:p>
        </w:tc>
        <w:tc>
          <w:tcPr>
            <w:tcW w:w="4900" w:type="dxa"/>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TOLEMO (3 exam</w:t>
            </w:r>
            <w:r w:rsidR="00E8333E" w:rsidRPr="0071782F">
              <w:rPr>
                <w:sz w:val="18"/>
                <w:lang w:val="fr-CH"/>
              </w:rPr>
              <w:t>ens</w:t>
            </w:r>
            <w:r w:rsidRPr="0071782F">
              <w:rPr>
                <w:sz w:val="18"/>
                <w:lang w:val="fr-CH"/>
              </w:rPr>
              <w:t>)</w:t>
            </w:r>
          </w:p>
        </w:tc>
        <w:tc>
          <w:tcPr>
            <w:tcW w:w="2004" w:type="dxa"/>
            <w:shd w:val="clear" w:color="auto" w:fill="auto"/>
            <w:vAlign w:val="bottom"/>
          </w:tcPr>
          <w:p w:rsidR="00186B76" w:rsidRPr="0071782F" w:rsidRDefault="00186B76" w:rsidP="003B1403">
            <w:pPr>
              <w:widowControl w:val="0"/>
              <w:suppressAutoHyphens w:val="0"/>
              <w:spacing w:before="40" w:after="40" w:line="220" w:lineRule="exact"/>
              <w:jc w:val="right"/>
              <w:rPr>
                <w:sz w:val="18"/>
                <w:lang w:val="fr-CH"/>
              </w:rPr>
            </w:pPr>
            <w:r w:rsidRPr="0071782F">
              <w:rPr>
                <w:sz w:val="18"/>
                <w:lang w:val="fr-CH"/>
              </w:rPr>
              <w:t>5 820</w:t>
            </w:r>
          </w:p>
        </w:tc>
      </w:tr>
    </w:tbl>
    <w:p w:rsidR="00186B76" w:rsidRPr="0071782F" w:rsidRDefault="00186B76" w:rsidP="00F97C8F">
      <w:pPr>
        <w:pStyle w:val="Heading1"/>
        <w:keepNext/>
        <w:spacing w:before="240"/>
        <w:rPr>
          <w:lang w:val="fr-CH"/>
        </w:rPr>
      </w:pPr>
      <w:r w:rsidRPr="0071782F">
        <w:rPr>
          <w:lang w:val="fr-CH"/>
        </w:rPr>
        <w:t>Table</w:t>
      </w:r>
      <w:r w:rsidR="00E8333E" w:rsidRPr="0071782F">
        <w:rPr>
          <w:lang w:val="fr-CH"/>
        </w:rPr>
        <w:t>au</w:t>
      </w:r>
      <w:r w:rsidRPr="0071782F">
        <w:rPr>
          <w:lang w:val="fr-CH"/>
        </w:rPr>
        <w:t xml:space="preserve"> 2</w:t>
      </w:r>
    </w:p>
    <w:p w:rsidR="00E8333E" w:rsidRPr="0071782F" w:rsidRDefault="00E8333E" w:rsidP="00E8333E">
      <w:pPr>
        <w:pStyle w:val="SingleTxtG"/>
        <w:rPr>
          <w:b/>
          <w:lang w:val="fr-CH"/>
        </w:rPr>
      </w:pPr>
      <w:r w:rsidRPr="0071782F">
        <w:rPr>
          <w:b/>
          <w:lang w:val="fr-CH"/>
        </w:rPr>
        <w:t>Statistiques sur l’inscription sur l’Internet aux différents types d’examens de passage</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66"/>
        <w:gridCol w:w="4900"/>
        <w:gridCol w:w="2004"/>
      </w:tblGrid>
      <w:tr w:rsidR="00186B76" w:rsidRPr="0071782F">
        <w:trPr>
          <w:tblHeader/>
        </w:trPr>
        <w:tc>
          <w:tcPr>
            <w:tcW w:w="466" w:type="dxa"/>
            <w:tcBorders>
              <w:top w:val="single" w:sz="4" w:space="0" w:color="auto"/>
              <w:bottom w:val="single" w:sz="12" w:space="0" w:color="auto"/>
            </w:tcBorders>
            <w:shd w:val="clear" w:color="auto" w:fill="auto"/>
            <w:vAlign w:val="bottom"/>
          </w:tcPr>
          <w:p w:rsidR="00186B76" w:rsidRPr="0071782F" w:rsidRDefault="00186B76" w:rsidP="003B1403">
            <w:pPr>
              <w:widowControl w:val="0"/>
              <w:suppressAutoHyphens w:val="0"/>
              <w:spacing w:before="80" w:after="80" w:line="200" w:lineRule="exact"/>
              <w:rPr>
                <w:i/>
                <w:sz w:val="16"/>
                <w:lang w:val="fr-CH"/>
              </w:rPr>
            </w:pPr>
            <w:r w:rsidRPr="0071782F">
              <w:rPr>
                <w:i/>
                <w:sz w:val="16"/>
                <w:lang w:val="fr-CH"/>
              </w:rPr>
              <w:t>R</w:t>
            </w:r>
            <w:r w:rsidR="00E8333E" w:rsidRPr="0071782F">
              <w:rPr>
                <w:i/>
                <w:sz w:val="16"/>
                <w:lang w:val="fr-CH"/>
              </w:rPr>
              <w:t>ang</w:t>
            </w:r>
          </w:p>
        </w:tc>
        <w:tc>
          <w:tcPr>
            <w:tcW w:w="4900" w:type="dxa"/>
            <w:tcBorders>
              <w:top w:val="single" w:sz="4" w:space="0" w:color="auto"/>
              <w:bottom w:val="single" w:sz="12" w:space="0" w:color="auto"/>
            </w:tcBorders>
            <w:shd w:val="clear" w:color="auto" w:fill="auto"/>
            <w:vAlign w:val="bottom"/>
          </w:tcPr>
          <w:p w:rsidR="00186B76" w:rsidRPr="0071782F" w:rsidRDefault="00E8333E" w:rsidP="003B1403">
            <w:pPr>
              <w:widowControl w:val="0"/>
              <w:suppressAutoHyphens w:val="0"/>
              <w:spacing w:before="80" w:after="80" w:line="200" w:lineRule="exact"/>
              <w:rPr>
                <w:i/>
                <w:sz w:val="16"/>
                <w:lang w:val="fr-CH"/>
              </w:rPr>
            </w:pPr>
            <w:r w:rsidRPr="0071782F">
              <w:rPr>
                <w:i/>
                <w:sz w:val="16"/>
                <w:lang w:val="fr-CH"/>
              </w:rPr>
              <w:t xml:space="preserve">Examen de passage </w:t>
            </w:r>
          </w:p>
        </w:tc>
        <w:tc>
          <w:tcPr>
            <w:tcW w:w="2004" w:type="dxa"/>
            <w:tcBorders>
              <w:top w:val="single" w:sz="4" w:space="0" w:color="auto"/>
              <w:bottom w:val="single" w:sz="12" w:space="0" w:color="auto"/>
            </w:tcBorders>
            <w:shd w:val="clear" w:color="auto" w:fill="auto"/>
            <w:vAlign w:val="bottom"/>
          </w:tcPr>
          <w:p w:rsidR="00186B76" w:rsidRPr="0071782F" w:rsidRDefault="00186B76" w:rsidP="003B1403">
            <w:pPr>
              <w:widowControl w:val="0"/>
              <w:suppressAutoHyphens w:val="0"/>
              <w:spacing w:before="80" w:after="80" w:line="200" w:lineRule="exact"/>
              <w:jc w:val="right"/>
              <w:rPr>
                <w:i/>
                <w:sz w:val="16"/>
                <w:lang w:val="fr-CH"/>
              </w:rPr>
            </w:pPr>
            <w:r w:rsidRPr="0071782F">
              <w:rPr>
                <w:i/>
                <w:sz w:val="16"/>
                <w:lang w:val="fr-CH"/>
              </w:rPr>
              <w:t>No</w:t>
            </w:r>
            <w:r w:rsidR="00E8333E" w:rsidRPr="0071782F">
              <w:rPr>
                <w:i/>
                <w:sz w:val="16"/>
                <w:lang w:val="fr-CH"/>
              </w:rPr>
              <w:t xml:space="preserve">mbre </w:t>
            </w:r>
            <w:r w:rsidR="00D82C96" w:rsidRPr="0071782F">
              <w:rPr>
                <w:i/>
                <w:sz w:val="16"/>
                <w:lang w:val="fr-CH"/>
              </w:rPr>
              <w:t>de personnes</w:t>
            </w:r>
            <w:r w:rsidRPr="0071782F">
              <w:rPr>
                <w:i/>
                <w:sz w:val="16"/>
                <w:lang w:val="fr-CH"/>
              </w:rPr>
              <w:t xml:space="preserve"> </w:t>
            </w:r>
            <w:r w:rsidR="00E8333E" w:rsidRPr="0071782F">
              <w:rPr>
                <w:i/>
                <w:sz w:val="16"/>
                <w:lang w:val="fr-CH"/>
              </w:rPr>
              <w:t xml:space="preserve">inscrites </w:t>
            </w:r>
          </w:p>
        </w:tc>
      </w:tr>
      <w:tr w:rsidR="00186B76" w:rsidRPr="0071782F">
        <w:tc>
          <w:tcPr>
            <w:tcW w:w="466" w:type="dxa"/>
            <w:tcBorders>
              <w:top w:val="single" w:sz="12" w:space="0" w:color="auto"/>
            </w:tcBorders>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1</w:t>
            </w:r>
          </w:p>
        </w:tc>
        <w:tc>
          <w:tcPr>
            <w:tcW w:w="4900" w:type="dxa"/>
            <w:tcBorders>
              <w:top w:val="single" w:sz="12" w:space="0" w:color="auto"/>
            </w:tcBorders>
            <w:shd w:val="clear" w:color="auto" w:fill="auto"/>
            <w:vAlign w:val="bottom"/>
          </w:tcPr>
          <w:p w:rsidR="00186B76" w:rsidRPr="0071782F" w:rsidRDefault="00E8333E" w:rsidP="003B1403">
            <w:pPr>
              <w:widowControl w:val="0"/>
              <w:suppressAutoHyphens w:val="0"/>
              <w:spacing w:before="40" w:after="40" w:line="220" w:lineRule="exact"/>
              <w:rPr>
                <w:sz w:val="18"/>
                <w:lang w:val="fr-CH"/>
              </w:rPr>
            </w:pPr>
            <w:r w:rsidRPr="0071782F">
              <w:rPr>
                <w:sz w:val="18"/>
                <w:lang w:val="fr-CH"/>
              </w:rPr>
              <w:t xml:space="preserve">Examens d’entrée </w:t>
            </w:r>
            <w:r w:rsidR="00186B76" w:rsidRPr="0071782F">
              <w:rPr>
                <w:sz w:val="18"/>
                <w:lang w:val="fr-CH"/>
              </w:rPr>
              <w:t>(2 exam</w:t>
            </w:r>
            <w:r w:rsidRPr="0071782F">
              <w:rPr>
                <w:sz w:val="18"/>
                <w:lang w:val="fr-CH"/>
              </w:rPr>
              <w:t>ens</w:t>
            </w:r>
            <w:r w:rsidR="00186B76" w:rsidRPr="0071782F">
              <w:rPr>
                <w:sz w:val="18"/>
                <w:lang w:val="fr-CH"/>
              </w:rPr>
              <w:t>)</w:t>
            </w:r>
          </w:p>
        </w:tc>
        <w:tc>
          <w:tcPr>
            <w:tcW w:w="2004" w:type="dxa"/>
            <w:tcBorders>
              <w:top w:val="single" w:sz="12" w:space="0" w:color="auto"/>
            </w:tcBorders>
            <w:shd w:val="clear" w:color="auto" w:fill="auto"/>
            <w:vAlign w:val="bottom"/>
          </w:tcPr>
          <w:p w:rsidR="00186B76" w:rsidRPr="0071782F" w:rsidRDefault="00186B76" w:rsidP="003B1403">
            <w:pPr>
              <w:widowControl w:val="0"/>
              <w:suppressAutoHyphens w:val="0"/>
              <w:spacing w:before="40" w:after="40" w:line="220" w:lineRule="exact"/>
              <w:jc w:val="right"/>
              <w:rPr>
                <w:sz w:val="18"/>
                <w:lang w:val="fr-CH"/>
              </w:rPr>
            </w:pPr>
            <w:r w:rsidRPr="0071782F">
              <w:rPr>
                <w:sz w:val="18"/>
                <w:lang w:val="fr-CH"/>
              </w:rPr>
              <w:t>121 861</w:t>
            </w:r>
          </w:p>
        </w:tc>
      </w:tr>
      <w:tr w:rsidR="00186B76" w:rsidRPr="0071782F">
        <w:tc>
          <w:tcPr>
            <w:tcW w:w="466" w:type="dxa"/>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2</w:t>
            </w:r>
          </w:p>
        </w:tc>
        <w:tc>
          <w:tcPr>
            <w:tcW w:w="4900" w:type="dxa"/>
            <w:shd w:val="clear" w:color="auto" w:fill="auto"/>
            <w:vAlign w:val="bottom"/>
          </w:tcPr>
          <w:p w:rsidR="00186B76" w:rsidRPr="0071782F" w:rsidRDefault="00E8333E" w:rsidP="003B1403">
            <w:pPr>
              <w:widowControl w:val="0"/>
              <w:suppressAutoHyphens w:val="0"/>
              <w:spacing w:before="40" w:after="40" w:line="220" w:lineRule="exact"/>
              <w:rPr>
                <w:sz w:val="18"/>
                <w:lang w:val="fr-CH"/>
              </w:rPr>
            </w:pPr>
            <w:r w:rsidRPr="0071782F">
              <w:rPr>
                <w:sz w:val="18"/>
                <w:lang w:val="fr-CH"/>
              </w:rPr>
              <w:t xml:space="preserve">Examen de passage entre le premier diplôme universitaire et la licence </w:t>
            </w:r>
          </w:p>
        </w:tc>
        <w:tc>
          <w:tcPr>
            <w:tcW w:w="2004" w:type="dxa"/>
            <w:shd w:val="clear" w:color="auto" w:fill="auto"/>
            <w:vAlign w:val="bottom"/>
          </w:tcPr>
          <w:p w:rsidR="00186B76" w:rsidRPr="0071782F" w:rsidRDefault="00186B76" w:rsidP="003B1403">
            <w:pPr>
              <w:widowControl w:val="0"/>
              <w:suppressAutoHyphens w:val="0"/>
              <w:spacing w:before="40" w:after="40" w:line="220" w:lineRule="exact"/>
              <w:jc w:val="right"/>
              <w:rPr>
                <w:sz w:val="18"/>
                <w:lang w:val="fr-CH"/>
              </w:rPr>
            </w:pPr>
            <w:r w:rsidRPr="0071782F">
              <w:rPr>
                <w:sz w:val="18"/>
                <w:lang w:val="fr-CH"/>
              </w:rPr>
              <w:t>31 531</w:t>
            </w:r>
          </w:p>
        </w:tc>
      </w:tr>
      <w:tr w:rsidR="00186B76" w:rsidRPr="0071782F">
        <w:tc>
          <w:tcPr>
            <w:tcW w:w="466" w:type="dxa"/>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3</w:t>
            </w:r>
          </w:p>
        </w:tc>
        <w:tc>
          <w:tcPr>
            <w:tcW w:w="4900" w:type="dxa"/>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Mast</w:t>
            </w:r>
            <w:r w:rsidR="00E8333E" w:rsidRPr="0071782F">
              <w:rPr>
                <w:sz w:val="18"/>
                <w:lang w:val="fr-CH"/>
              </w:rPr>
              <w:t>ère</w:t>
            </w:r>
          </w:p>
        </w:tc>
        <w:tc>
          <w:tcPr>
            <w:tcW w:w="2004" w:type="dxa"/>
            <w:shd w:val="clear" w:color="auto" w:fill="auto"/>
            <w:vAlign w:val="bottom"/>
          </w:tcPr>
          <w:p w:rsidR="00186B76" w:rsidRPr="0071782F" w:rsidRDefault="00186B76" w:rsidP="003B1403">
            <w:pPr>
              <w:widowControl w:val="0"/>
              <w:suppressAutoHyphens w:val="0"/>
              <w:spacing w:before="40" w:after="40" w:line="220" w:lineRule="exact"/>
              <w:jc w:val="right"/>
              <w:rPr>
                <w:sz w:val="18"/>
                <w:lang w:val="fr-CH"/>
              </w:rPr>
            </w:pPr>
            <w:r w:rsidRPr="0071782F">
              <w:rPr>
                <w:sz w:val="18"/>
                <w:lang w:val="fr-CH"/>
              </w:rPr>
              <w:t>2 346</w:t>
            </w:r>
          </w:p>
        </w:tc>
      </w:tr>
    </w:tbl>
    <w:p w:rsidR="00186B76" w:rsidRPr="0071782F" w:rsidRDefault="00186B76" w:rsidP="00A45A11">
      <w:pPr>
        <w:pStyle w:val="Heading1"/>
        <w:spacing w:before="240"/>
        <w:rPr>
          <w:lang w:val="fr-CH"/>
        </w:rPr>
      </w:pPr>
      <w:r w:rsidRPr="0071782F">
        <w:rPr>
          <w:lang w:val="fr-CH"/>
        </w:rPr>
        <w:t>Table</w:t>
      </w:r>
      <w:r w:rsidR="00E8333E" w:rsidRPr="0071782F">
        <w:rPr>
          <w:lang w:val="fr-CH"/>
        </w:rPr>
        <w:t>au</w:t>
      </w:r>
      <w:r w:rsidRPr="0071782F">
        <w:rPr>
          <w:lang w:val="fr-CH"/>
        </w:rPr>
        <w:t xml:space="preserve"> 3</w:t>
      </w:r>
    </w:p>
    <w:p w:rsidR="00186B76" w:rsidRPr="0071782F" w:rsidRDefault="00186B76" w:rsidP="00A45A11">
      <w:pPr>
        <w:pStyle w:val="SingleTxtG"/>
        <w:rPr>
          <w:b/>
          <w:lang w:val="fr-CH"/>
        </w:rPr>
      </w:pPr>
      <w:r w:rsidRPr="0071782F">
        <w:rPr>
          <w:b/>
          <w:lang w:val="fr-CH"/>
        </w:rPr>
        <w:t>Statisti</w:t>
      </w:r>
      <w:r w:rsidR="00E8333E" w:rsidRPr="0071782F">
        <w:rPr>
          <w:b/>
          <w:lang w:val="fr-CH"/>
        </w:rPr>
        <w:t>que sur l’inscription sur l’</w:t>
      </w:r>
      <w:r w:rsidRPr="0071782F">
        <w:rPr>
          <w:b/>
          <w:lang w:val="fr-CH"/>
        </w:rPr>
        <w:t xml:space="preserve">Internet </w:t>
      </w:r>
      <w:r w:rsidR="00E8333E" w:rsidRPr="0071782F">
        <w:rPr>
          <w:b/>
          <w:lang w:val="fr-CH"/>
        </w:rPr>
        <w:t xml:space="preserve">en ce qui concerne le choix des matières étudiées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890"/>
        <w:gridCol w:w="2708"/>
        <w:gridCol w:w="3772"/>
      </w:tblGrid>
      <w:tr w:rsidR="00186B76" w:rsidRPr="0071782F">
        <w:trPr>
          <w:tblHeader/>
        </w:trPr>
        <w:tc>
          <w:tcPr>
            <w:tcW w:w="828" w:type="dxa"/>
            <w:tcBorders>
              <w:top w:val="single" w:sz="4" w:space="0" w:color="auto"/>
              <w:bottom w:val="single" w:sz="12" w:space="0" w:color="auto"/>
            </w:tcBorders>
            <w:shd w:val="clear" w:color="auto" w:fill="auto"/>
            <w:vAlign w:val="bottom"/>
          </w:tcPr>
          <w:p w:rsidR="00186B76" w:rsidRPr="0071782F" w:rsidRDefault="00186B76" w:rsidP="003B1403">
            <w:pPr>
              <w:widowControl w:val="0"/>
              <w:suppressAutoHyphens w:val="0"/>
              <w:spacing w:before="80" w:after="80" w:line="200" w:lineRule="exact"/>
              <w:rPr>
                <w:i/>
                <w:sz w:val="16"/>
                <w:lang w:val="fr-CH"/>
              </w:rPr>
            </w:pPr>
            <w:r w:rsidRPr="0071782F">
              <w:rPr>
                <w:i/>
                <w:sz w:val="16"/>
                <w:lang w:val="fr-CH"/>
              </w:rPr>
              <w:t>R</w:t>
            </w:r>
            <w:r w:rsidR="00E8333E" w:rsidRPr="0071782F">
              <w:rPr>
                <w:i/>
                <w:sz w:val="16"/>
                <w:lang w:val="fr-CH"/>
              </w:rPr>
              <w:t>ang</w:t>
            </w:r>
          </w:p>
        </w:tc>
        <w:tc>
          <w:tcPr>
            <w:tcW w:w="2520" w:type="dxa"/>
            <w:tcBorders>
              <w:top w:val="single" w:sz="4" w:space="0" w:color="auto"/>
              <w:bottom w:val="single" w:sz="12" w:space="0" w:color="auto"/>
            </w:tcBorders>
            <w:shd w:val="clear" w:color="auto" w:fill="auto"/>
            <w:vAlign w:val="bottom"/>
          </w:tcPr>
          <w:p w:rsidR="00186B76" w:rsidRPr="0071782F" w:rsidRDefault="00E8333E" w:rsidP="003B1403">
            <w:pPr>
              <w:widowControl w:val="0"/>
              <w:suppressAutoHyphens w:val="0"/>
              <w:spacing w:before="80" w:after="80" w:line="200" w:lineRule="exact"/>
              <w:rPr>
                <w:i/>
                <w:sz w:val="16"/>
                <w:lang w:val="fr-CH"/>
              </w:rPr>
            </w:pPr>
            <w:r w:rsidRPr="0071782F">
              <w:rPr>
                <w:i/>
                <w:sz w:val="16"/>
                <w:lang w:val="fr-CH"/>
              </w:rPr>
              <w:t xml:space="preserve">Choix des matières </w:t>
            </w:r>
          </w:p>
        </w:tc>
        <w:tc>
          <w:tcPr>
            <w:tcW w:w="3510" w:type="dxa"/>
            <w:tcBorders>
              <w:top w:val="single" w:sz="4" w:space="0" w:color="auto"/>
              <w:bottom w:val="single" w:sz="12" w:space="0" w:color="auto"/>
            </w:tcBorders>
            <w:shd w:val="clear" w:color="auto" w:fill="auto"/>
            <w:vAlign w:val="bottom"/>
          </w:tcPr>
          <w:p w:rsidR="00186B76" w:rsidRPr="0071782F" w:rsidRDefault="00186B76" w:rsidP="003B1403">
            <w:pPr>
              <w:widowControl w:val="0"/>
              <w:suppressAutoHyphens w:val="0"/>
              <w:spacing w:before="80" w:after="80" w:line="200" w:lineRule="exact"/>
              <w:jc w:val="right"/>
              <w:rPr>
                <w:i/>
                <w:sz w:val="16"/>
                <w:lang w:val="fr-CH"/>
              </w:rPr>
            </w:pPr>
            <w:r w:rsidRPr="0071782F">
              <w:rPr>
                <w:i/>
                <w:sz w:val="16"/>
                <w:lang w:val="fr-CH"/>
              </w:rPr>
              <w:t>No</w:t>
            </w:r>
            <w:r w:rsidR="00E8333E" w:rsidRPr="0071782F">
              <w:rPr>
                <w:i/>
                <w:sz w:val="16"/>
                <w:lang w:val="fr-CH"/>
              </w:rPr>
              <w:t xml:space="preserve">mbre </w:t>
            </w:r>
            <w:r w:rsidR="00D82C96" w:rsidRPr="0071782F">
              <w:rPr>
                <w:i/>
                <w:sz w:val="16"/>
                <w:lang w:val="fr-CH"/>
              </w:rPr>
              <w:t>de personnes</w:t>
            </w:r>
            <w:r w:rsidRPr="0071782F">
              <w:rPr>
                <w:i/>
                <w:sz w:val="16"/>
                <w:lang w:val="fr-CH"/>
              </w:rPr>
              <w:t xml:space="preserve"> </w:t>
            </w:r>
            <w:r w:rsidR="00E8333E" w:rsidRPr="0071782F">
              <w:rPr>
                <w:i/>
                <w:sz w:val="16"/>
                <w:lang w:val="fr-CH"/>
              </w:rPr>
              <w:t xml:space="preserve">inscrites </w:t>
            </w:r>
          </w:p>
        </w:tc>
      </w:tr>
      <w:tr w:rsidR="00186B76" w:rsidRPr="0071782F">
        <w:tc>
          <w:tcPr>
            <w:tcW w:w="828" w:type="dxa"/>
            <w:tcBorders>
              <w:top w:val="single" w:sz="12" w:space="0" w:color="auto"/>
            </w:tcBorders>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1</w:t>
            </w:r>
          </w:p>
        </w:tc>
        <w:tc>
          <w:tcPr>
            <w:tcW w:w="2520" w:type="dxa"/>
            <w:tcBorders>
              <w:top w:val="single" w:sz="12" w:space="0" w:color="auto"/>
            </w:tcBorders>
            <w:shd w:val="clear" w:color="auto" w:fill="auto"/>
            <w:vAlign w:val="bottom"/>
          </w:tcPr>
          <w:p w:rsidR="00186B76" w:rsidRPr="0071782F" w:rsidRDefault="00186B76" w:rsidP="003B1403">
            <w:pPr>
              <w:widowControl w:val="0"/>
              <w:suppressAutoHyphens w:val="0"/>
              <w:spacing w:before="40" w:after="40" w:line="220" w:lineRule="exact"/>
              <w:rPr>
                <w:sz w:val="18"/>
                <w:lang w:val="fr-CH"/>
              </w:rPr>
            </w:pPr>
            <w:r w:rsidRPr="0071782F">
              <w:rPr>
                <w:sz w:val="18"/>
                <w:lang w:val="fr-CH"/>
              </w:rPr>
              <w:t>Semi-centrali</w:t>
            </w:r>
            <w:r w:rsidR="00E8333E" w:rsidRPr="0071782F">
              <w:rPr>
                <w:sz w:val="18"/>
                <w:lang w:val="fr-CH"/>
              </w:rPr>
              <w:t>sé</w:t>
            </w:r>
          </w:p>
        </w:tc>
        <w:tc>
          <w:tcPr>
            <w:tcW w:w="3510" w:type="dxa"/>
            <w:tcBorders>
              <w:top w:val="single" w:sz="12" w:space="0" w:color="auto"/>
            </w:tcBorders>
            <w:shd w:val="clear" w:color="auto" w:fill="auto"/>
            <w:vAlign w:val="bottom"/>
          </w:tcPr>
          <w:p w:rsidR="00186B76" w:rsidRPr="0071782F" w:rsidRDefault="00186B76" w:rsidP="003B1403">
            <w:pPr>
              <w:widowControl w:val="0"/>
              <w:suppressAutoHyphens w:val="0"/>
              <w:spacing w:before="40" w:after="40" w:line="220" w:lineRule="exact"/>
              <w:jc w:val="right"/>
              <w:rPr>
                <w:sz w:val="18"/>
                <w:lang w:val="fr-CH"/>
              </w:rPr>
            </w:pPr>
            <w:r w:rsidRPr="0071782F">
              <w:rPr>
                <w:sz w:val="18"/>
                <w:lang w:val="fr-CH"/>
              </w:rPr>
              <w:t>12 205</w:t>
            </w:r>
          </w:p>
        </w:tc>
      </w:tr>
    </w:tbl>
    <w:p w:rsidR="00186B76" w:rsidRPr="0071782F" w:rsidRDefault="00186B76" w:rsidP="00A45A11">
      <w:pPr>
        <w:pStyle w:val="H1G"/>
        <w:rPr>
          <w:lang w:val="fr-CH"/>
        </w:rPr>
      </w:pPr>
      <w:r w:rsidRPr="0071782F">
        <w:rPr>
          <w:lang w:val="fr-CH"/>
        </w:rPr>
        <w:tab/>
      </w:r>
      <w:r w:rsidRPr="0071782F">
        <w:rPr>
          <w:lang w:val="fr-CH"/>
        </w:rPr>
        <w:tab/>
      </w:r>
      <w:r w:rsidR="00E8333E" w:rsidRPr="0071782F">
        <w:rPr>
          <w:lang w:val="fr-CH"/>
        </w:rPr>
        <w:t xml:space="preserve">Évaluation et </w:t>
      </w:r>
      <w:r w:rsidRPr="0071782F">
        <w:rPr>
          <w:lang w:val="fr-CH"/>
        </w:rPr>
        <w:t>accr</w:t>
      </w:r>
      <w:r w:rsidR="00E8333E" w:rsidRPr="0071782F">
        <w:rPr>
          <w:lang w:val="fr-CH"/>
        </w:rPr>
        <w:t>é</w:t>
      </w:r>
      <w:r w:rsidRPr="0071782F">
        <w:rPr>
          <w:lang w:val="fr-CH"/>
        </w:rPr>
        <w:t xml:space="preserve">ditation </w:t>
      </w:r>
      <w:r w:rsidR="00E8333E" w:rsidRPr="0071782F">
        <w:rPr>
          <w:lang w:val="fr-CH"/>
        </w:rPr>
        <w:t xml:space="preserve">des établissements d’enseignement supérieur </w:t>
      </w:r>
    </w:p>
    <w:p w:rsidR="00186B76" w:rsidRPr="0071782F" w:rsidRDefault="00186B76" w:rsidP="00A45A11">
      <w:pPr>
        <w:pStyle w:val="SingleTxtG"/>
        <w:rPr>
          <w:lang w:val="fr-CH"/>
        </w:rPr>
      </w:pPr>
      <w:r w:rsidRPr="0071782F">
        <w:rPr>
          <w:lang w:val="fr-CH"/>
        </w:rPr>
        <w:t>428.</w:t>
      </w:r>
      <w:r w:rsidRPr="0071782F">
        <w:rPr>
          <w:lang w:val="fr-CH"/>
        </w:rPr>
        <w:tab/>
      </w:r>
      <w:r w:rsidR="000F2E80" w:rsidRPr="0071782F">
        <w:rPr>
          <w:lang w:val="fr-CH"/>
        </w:rPr>
        <w:t>À ce sujet, il convient de noter ce qui suit</w:t>
      </w:r>
      <w:r w:rsidR="008F7D33" w:rsidRPr="0071782F">
        <w:rPr>
          <w:lang w:val="fr-CH"/>
        </w:rPr>
        <w:t>:</w:t>
      </w:r>
    </w:p>
    <w:p w:rsidR="00186B76" w:rsidRPr="0071782F" w:rsidRDefault="00186B76" w:rsidP="00A45A11">
      <w:pPr>
        <w:pStyle w:val="SingleTxtG"/>
        <w:ind w:left="1701"/>
        <w:rPr>
          <w:lang w:val="fr-CH"/>
        </w:rPr>
      </w:pPr>
      <w:r w:rsidRPr="0071782F">
        <w:rPr>
          <w:lang w:val="fr-CH"/>
        </w:rPr>
        <w:t>428.1</w:t>
      </w:r>
      <w:r w:rsidR="006754DB" w:rsidRPr="0071782F">
        <w:rPr>
          <w:lang w:val="fr-CH"/>
        </w:rPr>
        <w:t>.</w:t>
      </w:r>
      <w:r w:rsidRPr="0071782F">
        <w:rPr>
          <w:lang w:val="fr-CH"/>
        </w:rPr>
        <w:tab/>
      </w:r>
      <w:r w:rsidR="00E572D2" w:rsidRPr="0071782F">
        <w:rPr>
          <w:lang w:val="fr-CH"/>
        </w:rPr>
        <w:t>Élaboration du document général sur le système de contrôle de la qualité de l’enseignement supérieur</w:t>
      </w:r>
      <w:r w:rsidRPr="0071782F">
        <w:rPr>
          <w:lang w:val="fr-CH"/>
        </w:rPr>
        <w:t>.</w:t>
      </w:r>
    </w:p>
    <w:p w:rsidR="00186B76" w:rsidRPr="0071782F" w:rsidRDefault="00186B76" w:rsidP="00A45A11">
      <w:pPr>
        <w:pStyle w:val="SingleTxtG"/>
        <w:ind w:left="1701"/>
        <w:rPr>
          <w:lang w:val="fr-CH"/>
        </w:rPr>
      </w:pPr>
      <w:r w:rsidRPr="0071782F">
        <w:rPr>
          <w:lang w:val="fr-CH"/>
        </w:rPr>
        <w:t>428.2</w:t>
      </w:r>
      <w:r w:rsidR="006754DB" w:rsidRPr="0071782F">
        <w:rPr>
          <w:lang w:val="fr-CH"/>
        </w:rPr>
        <w:t>.</w:t>
      </w:r>
      <w:r w:rsidR="00E572D2" w:rsidRPr="0071782F">
        <w:rPr>
          <w:lang w:val="fr-CH"/>
        </w:rPr>
        <w:tab/>
        <w:t>Organis</w:t>
      </w:r>
      <w:r w:rsidRPr="0071782F">
        <w:rPr>
          <w:lang w:val="fr-CH"/>
        </w:rPr>
        <w:t xml:space="preserve">ation </w:t>
      </w:r>
      <w:r w:rsidR="00E572D2" w:rsidRPr="0071782F">
        <w:rPr>
          <w:lang w:val="fr-CH"/>
        </w:rPr>
        <w:t>du premier cours spécialisé sur l’évaluation de la qualité de l’enseignement supérieur dans 55 universités du pays</w:t>
      </w:r>
      <w:r w:rsidR="002231E8" w:rsidRPr="0071782F">
        <w:rPr>
          <w:lang w:val="fr-CH"/>
        </w:rPr>
        <w:t>.</w:t>
      </w:r>
    </w:p>
    <w:p w:rsidR="00186B76" w:rsidRPr="0071782F" w:rsidRDefault="00186B76" w:rsidP="00A45A11">
      <w:pPr>
        <w:pStyle w:val="SingleTxtG"/>
        <w:ind w:left="1701"/>
        <w:rPr>
          <w:lang w:val="fr-CH"/>
        </w:rPr>
      </w:pPr>
      <w:r w:rsidRPr="0071782F">
        <w:rPr>
          <w:lang w:val="fr-CH"/>
        </w:rPr>
        <w:t>428.3</w:t>
      </w:r>
      <w:r w:rsidR="006754DB" w:rsidRPr="0071782F">
        <w:rPr>
          <w:lang w:val="fr-CH"/>
        </w:rPr>
        <w:t>.</w:t>
      </w:r>
      <w:r w:rsidR="00E572D2" w:rsidRPr="0071782F">
        <w:rPr>
          <w:lang w:val="fr-CH"/>
        </w:rPr>
        <w:tab/>
        <w:t>Organis</w:t>
      </w:r>
      <w:r w:rsidRPr="0071782F">
        <w:rPr>
          <w:lang w:val="fr-CH"/>
        </w:rPr>
        <w:t xml:space="preserve">ation </w:t>
      </w:r>
      <w:r w:rsidR="00E572D2" w:rsidRPr="0071782F">
        <w:rPr>
          <w:lang w:val="fr-CH"/>
        </w:rPr>
        <w:t xml:space="preserve">de </w:t>
      </w:r>
      <w:r w:rsidRPr="0071782F">
        <w:rPr>
          <w:lang w:val="fr-CH"/>
        </w:rPr>
        <w:t xml:space="preserve">15 </w:t>
      </w:r>
      <w:r w:rsidR="00E572D2" w:rsidRPr="0071782F">
        <w:rPr>
          <w:lang w:val="fr-CH"/>
        </w:rPr>
        <w:t xml:space="preserve">ateliers d’évaluation interne pour </w:t>
      </w:r>
      <w:r w:rsidRPr="0071782F">
        <w:rPr>
          <w:lang w:val="fr-CH"/>
        </w:rPr>
        <w:t xml:space="preserve">250 </w:t>
      </w:r>
      <w:r w:rsidR="00E572D2" w:rsidRPr="0071782F">
        <w:rPr>
          <w:lang w:val="fr-CH"/>
        </w:rPr>
        <w:t>professeurs de 15</w:t>
      </w:r>
      <w:r w:rsidR="003B1403" w:rsidRPr="0071782F">
        <w:rPr>
          <w:lang w:val="fr-CH"/>
        </w:rPr>
        <w:t> </w:t>
      </w:r>
      <w:r w:rsidR="00E572D2" w:rsidRPr="0071782F">
        <w:rPr>
          <w:lang w:val="fr-CH"/>
        </w:rPr>
        <w:t>université</w:t>
      </w:r>
      <w:r w:rsidRPr="0071782F">
        <w:rPr>
          <w:lang w:val="fr-CH"/>
        </w:rPr>
        <w:t>s.</w:t>
      </w:r>
    </w:p>
    <w:p w:rsidR="00186B76" w:rsidRPr="0071782F" w:rsidRDefault="00186B76" w:rsidP="002847E7">
      <w:pPr>
        <w:pStyle w:val="SingleTxtG"/>
        <w:ind w:left="1701"/>
        <w:rPr>
          <w:lang w:val="fr-CH"/>
        </w:rPr>
      </w:pPr>
      <w:r w:rsidRPr="0071782F">
        <w:rPr>
          <w:lang w:val="fr-CH"/>
        </w:rPr>
        <w:t>428.4</w:t>
      </w:r>
      <w:r w:rsidR="006754DB" w:rsidRPr="0071782F">
        <w:rPr>
          <w:lang w:val="fr-CH"/>
        </w:rPr>
        <w:t>.</w:t>
      </w:r>
      <w:r w:rsidRPr="0071782F">
        <w:rPr>
          <w:lang w:val="fr-CH"/>
        </w:rPr>
        <w:tab/>
        <w:t>D</w:t>
      </w:r>
      <w:r w:rsidR="00E572D2" w:rsidRPr="0071782F">
        <w:rPr>
          <w:lang w:val="fr-CH"/>
        </w:rPr>
        <w:t>istribution de 6</w:t>
      </w:r>
      <w:r w:rsidR="00707DCC">
        <w:rPr>
          <w:lang w:val="fr-CH"/>
        </w:rPr>
        <w:t> </w:t>
      </w:r>
      <w:r w:rsidRPr="0071782F">
        <w:rPr>
          <w:lang w:val="fr-CH"/>
        </w:rPr>
        <w:t xml:space="preserve">000 </w:t>
      </w:r>
      <w:r w:rsidR="00E572D2" w:rsidRPr="0071782F">
        <w:rPr>
          <w:lang w:val="fr-CH"/>
        </w:rPr>
        <w:t>paquets didactiques sur l’évaluation et l’</w:t>
      </w:r>
      <w:r w:rsidRPr="0071782F">
        <w:rPr>
          <w:lang w:val="fr-CH"/>
        </w:rPr>
        <w:t>accr</w:t>
      </w:r>
      <w:r w:rsidR="00E572D2" w:rsidRPr="0071782F">
        <w:rPr>
          <w:lang w:val="fr-CH"/>
        </w:rPr>
        <w:t>é</w:t>
      </w:r>
      <w:r w:rsidRPr="0071782F">
        <w:rPr>
          <w:lang w:val="fr-CH"/>
        </w:rPr>
        <w:t xml:space="preserve">ditation </w:t>
      </w:r>
      <w:r w:rsidR="00E572D2" w:rsidRPr="0071782F">
        <w:rPr>
          <w:lang w:val="fr-CH"/>
        </w:rPr>
        <w:t xml:space="preserve">de différentes </w:t>
      </w:r>
      <w:r w:rsidRPr="0071782F">
        <w:rPr>
          <w:lang w:val="fr-CH"/>
        </w:rPr>
        <w:t>universit</w:t>
      </w:r>
      <w:r w:rsidR="00E572D2" w:rsidRPr="0071782F">
        <w:rPr>
          <w:lang w:val="fr-CH"/>
        </w:rPr>
        <w:t>é</w:t>
      </w:r>
      <w:r w:rsidRPr="0071782F">
        <w:rPr>
          <w:lang w:val="fr-CH"/>
        </w:rPr>
        <w:t xml:space="preserve">s </w:t>
      </w:r>
      <w:r w:rsidR="00E572D2" w:rsidRPr="0071782F">
        <w:rPr>
          <w:lang w:val="fr-CH"/>
        </w:rPr>
        <w:t>et autres établissements d’enseignement supérieur</w:t>
      </w:r>
      <w:r w:rsidRPr="0071782F">
        <w:rPr>
          <w:lang w:val="fr-CH"/>
        </w:rPr>
        <w:t>.</w:t>
      </w:r>
    </w:p>
    <w:p w:rsidR="00186B76" w:rsidRPr="0071782F" w:rsidRDefault="00186B76" w:rsidP="002847E7">
      <w:pPr>
        <w:pStyle w:val="SingleTxtG"/>
        <w:ind w:left="1701"/>
        <w:rPr>
          <w:lang w:val="fr-CH"/>
        </w:rPr>
      </w:pPr>
      <w:r w:rsidRPr="0071782F">
        <w:rPr>
          <w:lang w:val="fr-CH"/>
        </w:rPr>
        <w:t>428.5</w:t>
      </w:r>
      <w:r w:rsidR="006754DB" w:rsidRPr="0071782F">
        <w:rPr>
          <w:lang w:val="fr-CH"/>
        </w:rPr>
        <w:t>.</w:t>
      </w:r>
      <w:r w:rsidRPr="0071782F">
        <w:rPr>
          <w:lang w:val="fr-CH"/>
        </w:rPr>
        <w:tab/>
      </w:r>
      <w:r w:rsidR="00B76A9C" w:rsidRPr="0071782F">
        <w:rPr>
          <w:lang w:val="fr-CH"/>
        </w:rPr>
        <w:t>Élaboration de directives pratiques pour l’évaluation interne et externe de l’enseignement supérieur en Iran et élaboration et traduction de six livres sur l’évaluation et le contrôle de la qualité de l’enseignement supérieur.</w:t>
      </w:r>
    </w:p>
    <w:p w:rsidR="00186B76" w:rsidRPr="0071782F" w:rsidRDefault="00186B76" w:rsidP="00A45A11">
      <w:pPr>
        <w:pStyle w:val="SingleTxtG"/>
        <w:ind w:left="1701"/>
        <w:rPr>
          <w:lang w:val="fr-CH"/>
        </w:rPr>
      </w:pPr>
      <w:r w:rsidRPr="0071782F">
        <w:rPr>
          <w:lang w:val="fr-CH"/>
        </w:rPr>
        <w:t>428.6</w:t>
      </w:r>
      <w:r w:rsidR="006754DB" w:rsidRPr="0071782F">
        <w:rPr>
          <w:lang w:val="fr-CH"/>
        </w:rPr>
        <w:t>.</w:t>
      </w:r>
      <w:r w:rsidRPr="0071782F">
        <w:rPr>
          <w:lang w:val="fr-CH"/>
        </w:rPr>
        <w:tab/>
        <w:t xml:space="preserve">Inclusion </w:t>
      </w:r>
      <w:r w:rsidR="00B76A9C" w:rsidRPr="0071782F">
        <w:rPr>
          <w:lang w:val="fr-CH"/>
        </w:rPr>
        <w:t xml:space="preserve">dans le </w:t>
      </w:r>
      <w:r w:rsidR="00A90208" w:rsidRPr="0071782F">
        <w:rPr>
          <w:lang w:val="fr-CH"/>
        </w:rPr>
        <w:t>quatrième</w:t>
      </w:r>
      <w:r w:rsidR="00B76A9C" w:rsidRPr="0071782F">
        <w:rPr>
          <w:lang w:val="fr-CH"/>
        </w:rPr>
        <w:t xml:space="preserve"> plan de développement des données présentées par les </w:t>
      </w:r>
      <w:r w:rsidRPr="0071782F">
        <w:rPr>
          <w:lang w:val="fr-CH"/>
        </w:rPr>
        <w:t>universit</w:t>
      </w:r>
      <w:r w:rsidR="00B76A9C" w:rsidRPr="0071782F">
        <w:rPr>
          <w:lang w:val="fr-CH"/>
        </w:rPr>
        <w:t>é</w:t>
      </w:r>
      <w:r w:rsidRPr="0071782F">
        <w:rPr>
          <w:lang w:val="fr-CH"/>
        </w:rPr>
        <w:t xml:space="preserve">s </w:t>
      </w:r>
      <w:r w:rsidR="00B76A9C" w:rsidRPr="0071782F">
        <w:rPr>
          <w:lang w:val="fr-CH"/>
        </w:rPr>
        <w:t>en ce qui concerne la planification financière du programme d’é</w:t>
      </w:r>
      <w:r w:rsidRPr="0071782F">
        <w:rPr>
          <w:lang w:val="fr-CH"/>
        </w:rPr>
        <w:t xml:space="preserve">valuation </w:t>
      </w:r>
      <w:r w:rsidR="00B76A9C" w:rsidRPr="0071782F">
        <w:rPr>
          <w:lang w:val="fr-CH"/>
        </w:rPr>
        <w:t>et d’</w:t>
      </w:r>
      <w:r w:rsidRPr="0071782F">
        <w:rPr>
          <w:lang w:val="fr-CH"/>
        </w:rPr>
        <w:t>accr</w:t>
      </w:r>
      <w:r w:rsidR="00B76A9C" w:rsidRPr="0071782F">
        <w:rPr>
          <w:lang w:val="fr-CH"/>
        </w:rPr>
        <w:t>é</w:t>
      </w:r>
      <w:r w:rsidRPr="0071782F">
        <w:rPr>
          <w:lang w:val="fr-CH"/>
        </w:rPr>
        <w:t xml:space="preserve">ditation </w:t>
      </w:r>
      <w:r w:rsidR="00B76A9C" w:rsidRPr="0071782F">
        <w:rPr>
          <w:lang w:val="fr-CH"/>
        </w:rPr>
        <w:t>des</w:t>
      </w:r>
      <w:r w:rsidRPr="0071782F">
        <w:rPr>
          <w:lang w:val="fr-CH"/>
        </w:rPr>
        <w:t xml:space="preserve"> universit</w:t>
      </w:r>
      <w:r w:rsidR="00B76A9C" w:rsidRPr="0071782F">
        <w:rPr>
          <w:lang w:val="fr-CH"/>
        </w:rPr>
        <w:t>é</w:t>
      </w:r>
      <w:r w:rsidRPr="0071782F">
        <w:rPr>
          <w:lang w:val="fr-CH"/>
        </w:rPr>
        <w:t>s.</w:t>
      </w:r>
    </w:p>
    <w:p w:rsidR="00186B76" w:rsidRPr="0071782F" w:rsidRDefault="00186B76" w:rsidP="00A45A11">
      <w:pPr>
        <w:pStyle w:val="SingleTxtG"/>
        <w:ind w:left="1701"/>
        <w:rPr>
          <w:lang w:val="fr-CH"/>
        </w:rPr>
      </w:pPr>
      <w:r w:rsidRPr="0071782F">
        <w:rPr>
          <w:lang w:val="fr-CH"/>
        </w:rPr>
        <w:t>428.7</w:t>
      </w:r>
      <w:r w:rsidR="006754DB" w:rsidRPr="0071782F">
        <w:rPr>
          <w:lang w:val="fr-CH"/>
        </w:rPr>
        <w:t>.</w:t>
      </w:r>
      <w:r w:rsidRPr="0071782F">
        <w:rPr>
          <w:lang w:val="fr-CH"/>
        </w:rPr>
        <w:tab/>
      </w:r>
      <w:r w:rsidR="00B76A9C" w:rsidRPr="0071782F">
        <w:rPr>
          <w:lang w:val="fr-CH"/>
        </w:rPr>
        <w:t>Programme de recherche sur la conception et la définition des indicateurs d’évaluation externe pour les groupes éducatifs</w:t>
      </w:r>
      <w:r w:rsidRPr="0071782F">
        <w:rPr>
          <w:lang w:val="fr-CH"/>
        </w:rPr>
        <w:t>.</w:t>
      </w:r>
    </w:p>
    <w:p w:rsidR="00186B76" w:rsidRPr="0071782F" w:rsidRDefault="00186B76" w:rsidP="00A45A11">
      <w:pPr>
        <w:pStyle w:val="SingleTxtG"/>
        <w:ind w:left="1701"/>
        <w:rPr>
          <w:lang w:val="fr-CH"/>
        </w:rPr>
      </w:pPr>
      <w:r w:rsidRPr="0071782F">
        <w:rPr>
          <w:lang w:val="fr-CH"/>
        </w:rPr>
        <w:t>428.8</w:t>
      </w:r>
      <w:r w:rsidR="006754DB" w:rsidRPr="0071782F">
        <w:rPr>
          <w:lang w:val="fr-CH"/>
        </w:rPr>
        <w:t>.</w:t>
      </w:r>
      <w:r w:rsidRPr="0071782F">
        <w:rPr>
          <w:lang w:val="fr-CH"/>
        </w:rPr>
        <w:tab/>
      </w:r>
      <w:r w:rsidR="00B76A9C" w:rsidRPr="0071782F">
        <w:rPr>
          <w:lang w:val="fr-CH"/>
        </w:rPr>
        <w:t xml:space="preserve">Suivi de l’affectation d’une rubrique budgétaire à </w:t>
      </w:r>
      <w:r w:rsidR="00A62149" w:rsidRPr="0071782F">
        <w:rPr>
          <w:lang w:val="fr-CH"/>
        </w:rPr>
        <w:t>"</w:t>
      </w:r>
      <w:r w:rsidR="00B76A9C" w:rsidRPr="0071782F">
        <w:rPr>
          <w:lang w:val="fr-CH"/>
        </w:rPr>
        <w:t xml:space="preserve">l’évaluation </w:t>
      </w:r>
      <w:r w:rsidRPr="0071782F">
        <w:rPr>
          <w:lang w:val="fr-CH"/>
        </w:rPr>
        <w:t>scientifi</w:t>
      </w:r>
      <w:r w:rsidR="00B76A9C" w:rsidRPr="0071782F">
        <w:rPr>
          <w:lang w:val="fr-CH"/>
        </w:rPr>
        <w:t>que et l’</w:t>
      </w:r>
      <w:r w:rsidRPr="0071782F">
        <w:rPr>
          <w:lang w:val="fr-CH"/>
        </w:rPr>
        <w:t>accr</w:t>
      </w:r>
      <w:r w:rsidR="00B76A9C" w:rsidRPr="0071782F">
        <w:rPr>
          <w:lang w:val="fr-CH"/>
        </w:rPr>
        <w:t>é</w:t>
      </w:r>
      <w:r w:rsidRPr="0071782F">
        <w:rPr>
          <w:lang w:val="fr-CH"/>
        </w:rPr>
        <w:t xml:space="preserve">ditation </w:t>
      </w:r>
      <w:r w:rsidR="00B76A9C" w:rsidRPr="0071782F">
        <w:rPr>
          <w:lang w:val="fr-CH"/>
        </w:rPr>
        <w:t xml:space="preserve">des </w:t>
      </w:r>
      <w:r w:rsidRPr="0071782F">
        <w:rPr>
          <w:lang w:val="fr-CH"/>
        </w:rPr>
        <w:t xml:space="preserve">institutions </w:t>
      </w:r>
      <w:r w:rsidR="00B76A9C" w:rsidRPr="0071782F">
        <w:rPr>
          <w:lang w:val="fr-CH"/>
        </w:rPr>
        <w:t>et des diplômés et l’</w:t>
      </w:r>
      <w:r w:rsidRPr="0071782F">
        <w:rPr>
          <w:lang w:val="fr-CH"/>
        </w:rPr>
        <w:t>organi</w:t>
      </w:r>
      <w:r w:rsidR="00B76A9C" w:rsidRPr="0071782F">
        <w:rPr>
          <w:lang w:val="fr-CH"/>
        </w:rPr>
        <w:t>s</w:t>
      </w:r>
      <w:r w:rsidRPr="0071782F">
        <w:rPr>
          <w:lang w:val="fr-CH"/>
        </w:rPr>
        <w:t xml:space="preserve">ation </w:t>
      </w:r>
      <w:r w:rsidR="000F2E80" w:rsidRPr="0071782F">
        <w:rPr>
          <w:lang w:val="fr-CH"/>
        </w:rPr>
        <w:t>d’examens spécialisés à l’é</w:t>
      </w:r>
      <w:r w:rsidR="00B76A9C" w:rsidRPr="0071782F">
        <w:rPr>
          <w:lang w:val="fr-CH"/>
        </w:rPr>
        <w:t>chelon national</w:t>
      </w:r>
      <w:r w:rsidR="00A62149" w:rsidRPr="0071782F">
        <w:rPr>
          <w:lang w:val="fr-CH"/>
        </w:rPr>
        <w:t>"</w:t>
      </w:r>
      <w:r w:rsidRPr="0071782F">
        <w:rPr>
          <w:lang w:val="fr-CH"/>
        </w:rPr>
        <w:t xml:space="preserve"> </w:t>
      </w:r>
      <w:r w:rsidR="00B76A9C" w:rsidRPr="0071782F">
        <w:rPr>
          <w:lang w:val="fr-CH"/>
        </w:rPr>
        <w:t>par les ministères compétents à l’intention de l’Organisme public d’évaluation de l’éducation</w:t>
      </w:r>
      <w:r w:rsidRPr="0071782F">
        <w:rPr>
          <w:lang w:val="fr-CH"/>
        </w:rPr>
        <w:t>.</w:t>
      </w:r>
    </w:p>
    <w:p w:rsidR="00186B76" w:rsidRPr="0071782F" w:rsidRDefault="00186B76" w:rsidP="00A45A11">
      <w:pPr>
        <w:pStyle w:val="H1G"/>
        <w:rPr>
          <w:lang w:val="fr-CH"/>
        </w:rPr>
      </w:pPr>
      <w:r w:rsidRPr="0071782F">
        <w:rPr>
          <w:lang w:val="fr-CH"/>
        </w:rPr>
        <w:tab/>
      </w:r>
      <w:r w:rsidRPr="0071782F">
        <w:rPr>
          <w:lang w:val="fr-CH"/>
        </w:rPr>
        <w:tab/>
      </w:r>
      <w:r w:rsidR="00B76A9C" w:rsidRPr="0071782F">
        <w:rPr>
          <w:lang w:val="fr-CH"/>
        </w:rPr>
        <w:t xml:space="preserve">Amélioration de l’accès à l’enseignement supérieur </w:t>
      </w:r>
    </w:p>
    <w:p w:rsidR="00186B76" w:rsidRPr="0071782F" w:rsidRDefault="00186B76" w:rsidP="00A45A11">
      <w:pPr>
        <w:pStyle w:val="SingleTxtG"/>
        <w:rPr>
          <w:lang w:val="fr-CH"/>
        </w:rPr>
      </w:pPr>
      <w:r w:rsidRPr="0071782F">
        <w:rPr>
          <w:lang w:val="fr-CH"/>
        </w:rPr>
        <w:t>429.</w:t>
      </w:r>
      <w:r w:rsidRPr="0071782F">
        <w:rPr>
          <w:lang w:val="fr-CH"/>
        </w:rPr>
        <w:tab/>
      </w:r>
      <w:r w:rsidR="00B76A9C" w:rsidRPr="0071782F">
        <w:rPr>
          <w:lang w:val="fr-CH"/>
        </w:rPr>
        <w:t xml:space="preserve">La diversification des méthodes de l’enseignement supérieur par le biais de la création de nouveaux domaines d’étude et de l’incorporation de nouvelles sciences </w:t>
      </w:r>
      <w:r w:rsidRPr="0071782F">
        <w:rPr>
          <w:lang w:val="fr-CH"/>
        </w:rPr>
        <w:t>interdisciplina</w:t>
      </w:r>
      <w:r w:rsidR="00B76A9C" w:rsidRPr="0071782F">
        <w:rPr>
          <w:lang w:val="fr-CH"/>
        </w:rPr>
        <w:t>ires</w:t>
      </w:r>
      <w:r w:rsidRPr="0071782F">
        <w:rPr>
          <w:lang w:val="fr-CH"/>
        </w:rPr>
        <w:t>,</w:t>
      </w:r>
      <w:r w:rsidR="00B76A9C" w:rsidRPr="0071782F">
        <w:rPr>
          <w:lang w:val="fr-CH"/>
        </w:rPr>
        <w:t xml:space="preserve"> l’augmentation du nombre de places dans les programmes d’études universitaires supérieures</w:t>
      </w:r>
      <w:r w:rsidRPr="0071782F">
        <w:rPr>
          <w:lang w:val="fr-CH"/>
        </w:rPr>
        <w:t xml:space="preserve"> </w:t>
      </w:r>
      <w:r w:rsidR="00B76A9C" w:rsidRPr="0071782F">
        <w:rPr>
          <w:lang w:val="fr-CH"/>
        </w:rPr>
        <w:t xml:space="preserve">et le développement de la formation médicale, des établissements supérieurs privés et à but non lucratif, des programmes gratuits et modulaires et de l’enseignement des sciences appliquées figurent parmi les principales activités entreprises dans le domaine de l’enseignement supérieur, de la recherche et de la technologie pour atteindre l’objectif qualitatif de l’amélioration de l’accès à l’enseignement supérieur, ce qui va dans le sens de l’objectif idéal du </w:t>
      </w:r>
      <w:r w:rsidR="00A90208" w:rsidRPr="0071782F">
        <w:rPr>
          <w:lang w:val="fr-CH"/>
        </w:rPr>
        <w:t>quatrième</w:t>
      </w:r>
      <w:r w:rsidR="00B76A9C" w:rsidRPr="0071782F">
        <w:rPr>
          <w:lang w:val="fr-CH"/>
        </w:rPr>
        <w:t xml:space="preserve"> plan de développement consistant à </w:t>
      </w:r>
      <w:r w:rsidR="00A62149" w:rsidRPr="0071782F">
        <w:rPr>
          <w:lang w:val="fr-CH"/>
        </w:rPr>
        <w:t>"</w:t>
      </w:r>
      <w:r w:rsidR="00B76A9C" w:rsidRPr="0071782F">
        <w:rPr>
          <w:lang w:val="fr-CH"/>
        </w:rPr>
        <w:t>faire advenir une société caractérisée par des connaissances avancées et utiles en matière de science et de technologie</w:t>
      </w:r>
      <w:r w:rsidR="00A62149" w:rsidRPr="0071782F">
        <w:rPr>
          <w:lang w:val="fr-CH"/>
        </w:rPr>
        <w:t>"</w:t>
      </w:r>
      <w:r w:rsidRPr="0071782F">
        <w:rPr>
          <w:lang w:val="fr-CH"/>
        </w:rPr>
        <w:t xml:space="preserve">. </w:t>
      </w:r>
      <w:r w:rsidR="00B76A9C" w:rsidRPr="0071782F">
        <w:rPr>
          <w:lang w:val="fr-CH"/>
        </w:rPr>
        <w:t>Conformément à ces objectifs,</w:t>
      </w:r>
    </w:p>
    <w:p w:rsidR="00186B76" w:rsidRPr="0071782F" w:rsidRDefault="00186B76" w:rsidP="00A45A11">
      <w:pPr>
        <w:pStyle w:val="SingleTxtG"/>
        <w:ind w:left="1701"/>
        <w:rPr>
          <w:lang w:val="fr-CH"/>
        </w:rPr>
      </w:pPr>
      <w:r w:rsidRPr="0071782F">
        <w:rPr>
          <w:lang w:val="fr-CH"/>
        </w:rPr>
        <w:t>429.1</w:t>
      </w:r>
      <w:r w:rsidR="006754DB" w:rsidRPr="0071782F">
        <w:rPr>
          <w:lang w:val="fr-CH"/>
        </w:rPr>
        <w:t>.</w:t>
      </w:r>
      <w:r w:rsidRPr="0071782F">
        <w:rPr>
          <w:lang w:val="fr-CH"/>
        </w:rPr>
        <w:tab/>
      </w:r>
      <w:r w:rsidR="00B76A9C" w:rsidRPr="0071782F">
        <w:rPr>
          <w:lang w:val="fr-CH"/>
        </w:rPr>
        <w:t xml:space="preserve">On a approuvé en 2007 la création de </w:t>
      </w:r>
      <w:r w:rsidRPr="0071782F">
        <w:rPr>
          <w:lang w:val="fr-CH"/>
        </w:rPr>
        <w:t xml:space="preserve">133 </w:t>
      </w:r>
      <w:r w:rsidR="00B76A9C" w:rsidRPr="0071782F">
        <w:rPr>
          <w:lang w:val="fr-CH"/>
        </w:rPr>
        <w:t>établissements d’enseignement supérieur</w:t>
      </w:r>
      <w:r w:rsidRPr="0071782F">
        <w:rPr>
          <w:lang w:val="fr-CH"/>
        </w:rPr>
        <w:t xml:space="preserve">, </w:t>
      </w:r>
      <w:r w:rsidR="00B76A9C" w:rsidRPr="0071782F">
        <w:rPr>
          <w:lang w:val="fr-CH"/>
        </w:rPr>
        <w:t xml:space="preserve">dont </w:t>
      </w:r>
      <w:r w:rsidRPr="0071782F">
        <w:rPr>
          <w:lang w:val="fr-CH"/>
        </w:rPr>
        <w:t>97</w:t>
      </w:r>
      <w:r w:rsidR="007E5125" w:rsidRPr="0071782F">
        <w:rPr>
          <w:lang w:val="fr-CH"/>
        </w:rPr>
        <w:t>%</w:t>
      </w:r>
      <w:r w:rsidR="00B76A9C" w:rsidRPr="0071782F">
        <w:rPr>
          <w:lang w:val="fr-CH"/>
        </w:rPr>
        <w:t xml:space="preserve"> étaient privés et à but non lucratif</w:t>
      </w:r>
      <w:r w:rsidRPr="0071782F">
        <w:rPr>
          <w:lang w:val="fr-CH"/>
        </w:rPr>
        <w:t xml:space="preserve">. </w:t>
      </w:r>
      <w:r w:rsidR="00B76A9C" w:rsidRPr="0071782F">
        <w:rPr>
          <w:lang w:val="fr-CH"/>
        </w:rPr>
        <w:t>En outre, on a approuvé la transformation de trois</w:t>
      </w:r>
      <w:r w:rsidR="00707DCC">
        <w:rPr>
          <w:lang w:val="fr-CH"/>
        </w:rPr>
        <w:t xml:space="preserve"> </w:t>
      </w:r>
      <w:r w:rsidR="00E83264" w:rsidRPr="0071782F">
        <w:rPr>
          <w:lang w:val="fr-CH"/>
        </w:rPr>
        <w:t>unités</w:t>
      </w:r>
      <w:r w:rsidR="00B76A9C" w:rsidRPr="0071782F">
        <w:rPr>
          <w:lang w:val="fr-CH"/>
        </w:rPr>
        <w:t xml:space="preserve"> universitaire</w:t>
      </w:r>
      <w:r w:rsidR="00A728DE" w:rsidRPr="0071782F">
        <w:rPr>
          <w:lang w:val="fr-CH"/>
        </w:rPr>
        <w:t>s</w:t>
      </w:r>
      <w:r w:rsidR="00B76A9C" w:rsidRPr="0071782F">
        <w:rPr>
          <w:lang w:val="fr-CH"/>
        </w:rPr>
        <w:t xml:space="preserve"> en un établissement </w:t>
      </w:r>
      <w:r w:rsidRPr="0071782F">
        <w:rPr>
          <w:lang w:val="fr-CH"/>
        </w:rPr>
        <w:t xml:space="preserve">(Payem-e Noor), </w:t>
      </w:r>
      <w:r w:rsidR="00B76A9C" w:rsidRPr="0071782F">
        <w:rPr>
          <w:lang w:val="fr-CH"/>
        </w:rPr>
        <w:t>ainsi que les chartes de 10</w:t>
      </w:r>
      <w:r w:rsidR="00707DCC">
        <w:rPr>
          <w:lang w:val="fr-CH"/>
        </w:rPr>
        <w:t> </w:t>
      </w:r>
      <w:r w:rsidR="00B76A9C" w:rsidRPr="0071782F">
        <w:rPr>
          <w:lang w:val="fr-CH"/>
        </w:rPr>
        <w:t>établissements privés sans but l</w:t>
      </w:r>
      <w:r w:rsidR="00A728DE" w:rsidRPr="0071782F">
        <w:rPr>
          <w:lang w:val="fr-CH"/>
        </w:rPr>
        <w:t>u</w:t>
      </w:r>
      <w:r w:rsidR="00B76A9C" w:rsidRPr="0071782F">
        <w:rPr>
          <w:lang w:val="fr-CH"/>
        </w:rPr>
        <w:t>cratif et de deux établissements publics; on a délivré des autorisation</w:t>
      </w:r>
      <w:r w:rsidR="004564A6" w:rsidRPr="0071782F">
        <w:rPr>
          <w:lang w:val="fr-CH"/>
        </w:rPr>
        <w:t>s</w:t>
      </w:r>
      <w:r w:rsidR="00B76A9C" w:rsidRPr="0071782F">
        <w:rPr>
          <w:lang w:val="fr-CH"/>
        </w:rPr>
        <w:t xml:space="preserve"> à </w:t>
      </w:r>
      <w:r w:rsidRPr="0071782F">
        <w:rPr>
          <w:lang w:val="fr-CH"/>
        </w:rPr>
        <w:t>85</w:t>
      </w:r>
      <w:r w:rsidR="00707DCC">
        <w:rPr>
          <w:lang w:val="fr-CH"/>
        </w:rPr>
        <w:t> </w:t>
      </w:r>
      <w:r w:rsidR="00B76A9C" w:rsidRPr="0071782F">
        <w:rPr>
          <w:lang w:val="fr-CH"/>
        </w:rPr>
        <w:t>établissements d’enseignement supérieur gratuit</w:t>
      </w:r>
      <w:r w:rsidR="004564A6" w:rsidRPr="0071782F">
        <w:rPr>
          <w:lang w:val="fr-CH"/>
        </w:rPr>
        <w:t>s</w:t>
      </w:r>
      <w:r w:rsidR="00B76A9C" w:rsidRPr="0071782F">
        <w:rPr>
          <w:lang w:val="fr-CH"/>
        </w:rPr>
        <w:t xml:space="preserve"> et approuvé à titre provisoire la création de </w:t>
      </w:r>
      <w:r w:rsidRPr="0071782F">
        <w:rPr>
          <w:lang w:val="fr-CH"/>
        </w:rPr>
        <w:t>65</w:t>
      </w:r>
      <w:r w:rsidR="003B1403" w:rsidRPr="0071782F">
        <w:rPr>
          <w:lang w:val="fr-CH"/>
        </w:rPr>
        <w:t> </w:t>
      </w:r>
      <w:r w:rsidR="00B76A9C" w:rsidRPr="0071782F">
        <w:rPr>
          <w:lang w:val="fr-CH"/>
        </w:rPr>
        <w:t>établissements et à titre définitif celle de 33 autres</w:t>
      </w:r>
      <w:r w:rsidRPr="0071782F">
        <w:rPr>
          <w:lang w:val="fr-CH"/>
        </w:rPr>
        <w:t>.</w:t>
      </w:r>
    </w:p>
    <w:p w:rsidR="00186B76" w:rsidRPr="0071782F" w:rsidRDefault="00186B76" w:rsidP="00A45A11">
      <w:pPr>
        <w:pStyle w:val="SingleTxtG"/>
        <w:ind w:left="1701"/>
        <w:rPr>
          <w:lang w:val="fr-CH"/>
        </w:rPr>
      </w:pPr>
      <w:r w:rsidRPr="0071782F">
        <w:rPr>
          <w:lang w:val="fr-CH"/>
        </w:rPr>
        <w:t>429.2</w:t>
      </w:r>
      <w:r w:rsidR="006754DB" w:rsidRPr="0071782F">
        <w:rPr>
          <w:lang w:val="fr-CH"/>
        </w:rPr>
        <w:t>.</w:t>
      </w:r>
      <w:r w:rsidRPr="0071782F">
        <w:rPr>
          <w:lang w:val="fr-CH"/>
        </w:rPr>
        <w:tab/>
      </w:r>
      <w:r w:rsidR="004564A6" w:rsidRPr="0071782F">
        <w:rPr>
          <w:lang w:val="fr-CH"/>
        </w:rPr>
        <w:t xml:space="preserve">Toujours en 2007, le Conseil a approuvé la création de nouvelles universités de médecine, à savoir </w:t>
      </w:r>
      <w:r w:rsidRPr="0071782F">
        <w:rPr>
          <w:lang w:val="fr-CH"/>
        </w:rPr>
        <w:t xml:space="preserve">50 </w:t>
      </w:r>
      <w:r w:rsidR="004564A6" w:rsidRPr="0071782F">
        <w:rPr>
          <w:lang w:val="fr-CH"/>
        </w:rPr>
        <w:t>établissements d’enseignement et centres de recherche</w:t>
      </w:r>
      <w:r w:rsidRPr="0071782F">
        <w:rPr>
          <w:lang w:val="fr-CH"/>
        </w:rPr>
        <w:t xml:space="preserve">. </w:t>
      </w:r>
      <w:r w:rsidR="004564A6" w:rsidRPr="0071782F">
        <w:rPr>
          <w:lang w:val="fr-CH"/>
        </w:rPr>
        <w:t xml:space="preserve">L’année précédente, huit seulement avaient été créés. Ces </w:t>
      </w:r>
      <w:r w:rsidRPr="0071782F">
        <w:rPr>
          <w:lang w:val="fr-CH"/>
        </w:rPr>
        <w:t xml:space="preserve">50 </w:t>
      </w:r>
      <w:r w:rsidR="004564A6" w:rsidRPr="0071782F">
        <w:rPr>
          <w:lang w:val="fr-CH"/>
        </w:rPr>
        <w:t>établissements se sont répartis comme suit</w:t>
      </w:r>
      <w:r w:rsidR="008F7D33" w:rsidRPr="0071782F">
        <w:rPr>
          <w:lang w:val="fr-CH"/>
        </w:rPr>
        <w:t>:</w:t>
      </w:r>
      <w:r w:rsidR="004564A6" w:rsidRPr="0071782F">
        <w:rPr>
          <w:lang w:val="fr-CH"/>
        </w:rPr>
        <w:t xml:space="preserve"> deux université</w:t>
      </w:r>
      <w:r w:rsidRPr="0071782F">
        <w:rPr>
          <w:lang w:val="fr-CH"/>
        </w:rPr>
        <w:t xml:space="preserve">s, 22 </w:t>
      </w:r>
      <w:r w:rsidR="004564A6" w:rsidRPr="0071782F">
        <w:rPr>
          <w:lang w:val="fr-CH"/>
        </w:rPr>
        <w:t>facultés</w:t>
      </w:r>
      <w:r w:rsidRPr="0071782F">
        <w:rPr>
          <w:lang w:val="fr-CH"/>
        </w:rPr>
        <w:t xml:space="preserve">, </w:t>
      </w:r>
      <w:r w:rsidR="004564A6" w:rsidRPr="0071782F">
        <w:rPr>
          <w:lang w:val="fr-CH"/>
        </w:rPr>
        <w:t>cinq centres de formation</w:t>
      </w:r>
      <w:r w:rsidRPr="0071782F">
        <w:rPr>
          <w:lang w:val="fr-CH"/>
        </w:rPr>
        <w:t>, 15</w:t>
      </w:r>
      <w:r w:rsidR="003B1403" w:rsidRPr="0071782F">
        <w:rPr>
          <w:lang w:val="fr-CH"/>
        </w:rPr>
        <w:t> </w:t>
      </w:r>
      <w:r w:rsidR="004564A6" w:rsidRPr="0071782F">
        <w:rPr>
          <w:lang w:val="fr-CH"/>
        </w:rPr>
        <w:t>centres de recherche</w:t>
      </w:r>
      <w:r w:rsidRPr="0071782F">
        <w:rPr>
          <w:lang w:val="fr-CH"/>
        </w:rPr>
        <w:t xml:space="preserve">, </w:t>
      </w:r>
      <w:r w:rsidR="004564A6" w:rsidRPr="0071782F">
        <w:rPr>
          <w:lang w:val="fr-CH"/>
        </w:rPr>
        <w:t xml:space="preserve">deux établissements d’enseignement supérieur à distance et quatre antennes </w:t>
      </w:r>
      <w:r w:rsidRPr="0071782F">
        <w:rPr>
          <w:lang w:val="fr-CH"/>
        </w:rPr>
        <w:t>international</w:t>
      </w:r>
      <w:r w:rsidR="004564A6" w:rsidRPr="0071782F">
        <w:rPr>
          <w:lang w:val="fr-CH"/>
        </w:rPr>
        <w:t>es</w:t>
      </w:r>
      <w:r w:rsidRPr="0071782F">
        <w:rPr>
          <w:lang w:val="fr-CH"/>
        </w:rPr>
        <w:t>.</w:t>
      </w:r>
    </w:p>
    <w:p w:rsidR="00186B76" w:rsidRPr="0071782F" w:rsidRDefault="00186B76" w:rsidP="00A45A11">
      <w:pPr>
        <w:pStyle w:val="H1G"/>
        <w:rPr>
          <w:lang w:val="fr-CH"/>
        </w:rPr>
      </w:pPr>
      <w:r w:rsidRPr="0071782F">
        <w:rPr>
          <w:lang w:val="fr-CH"/>
        </w:rPr>
        <w:tab/>
      </w:r>
      <w:r w:rsidRPr="0071782F">
        <w:rPr>
          <w:lang w:val="fr-CH"/>
        </w:rPr>
        <w:tab/>
        <w:t>Fem</w:t>
      </w:r>
      <w:r w:rsidR="004564A6" w:rsidRPr="0071782F">
        <w:rPr>
          <w:lang w:val="fr-CH"/>
        </w:rPr>
        <w:t xml:space="preserve">mes inscrites dans les universités et autres établissements d’enseignement supérieur </w:t>
      </w:r>
    </w:p>
    <w:p w:rsidR="00186B76" w:rsidRPr="0071782F" w:rsidRDefault="00186B76" w:rsidP="00A45A11">
      <w:pPr>
        <w:pStyle w:val="SingleTxtG"/>
        <w:rPr>
          <w:lang w:val="fr-CH"/>
        </w:rPr>
      </w:pPr>
      <w:r w:rsidRPr="0071782F">
        <w:rPr>
          <w:lang w:val="fr-CH"/>
        </w:rPr>
        <w:t>430.</w:t>
      </w:r>
      <w:r w:rsidRPr="0071782F">
        <w:rPr>
          <w:lang w:val="fr-CH"/>
        </w:rPr>
        <w:tab/>
      </w:r>
      <w:r w:rsidR="004564A6" w:rsidRPr="0071782F">
        <w:rPr>
          <w:lang w:val="fr-CH"/>
        </w:rPr>
        <w:t>En</w:t>
      </w:r>
      <w:r w:rsidRPr="0071782F">
        <w:rPr>
          <w:lang w:val="fr-CH"/>
        </w:rPr>
        <w:t xml:space="preserve"> 2007</w:t>
      </w:r>
      <w:r w:rsidR="004564A6" w:rsidRPr="0071782F">
        <w:rPr>
          <w:lang w:val="fr-CH"/>
        </w:rPr>
        <w:t>-</w:t>
      </w:r>
      <w:r w:rsidRPr="0071782F">
        <w:rPr>
          <w:lang w:val="fr-CH"/>
        </w:rPr>
        <w:t xml:space="preserve">2008, </w:t>
      </w:r>
      <w:r w:rsidR="004564A6" w:rsidRPr="0071782F">
        <w:rPr>
          <w:lang w:val="fr-CH"/>
        </w:rPr>
        <w:t xml:space="preserve">les universités et autres établissements d’enseignement supérieur ont accueilli 1 154 </w:t>
      </w:r>
      <w:r w:rsidRPr="0071782F">
        <w:rPr>
          <w:lang w:val="fr-CH"/>
        </w:rPr>
        <w:t>449 fem</w:t>
      </w:r>
      <w:r w:rsidR="004564A6" w:rsidRPr="0071782F">
        <w:rPr>
          <w:lang w:val="fr-CH"/>
        </w:rPr>
        <w:t xml:space="preserve">mes, soit </w:t>
      </w:r>
      <w:r w:rsidRPr="0071782F">
        <w:rPr>
          <w:lang w:val="fr-CH"/>
        </w:rPr>
        <w:t>59</w:t>
      </w:r>
      <w:r w:rsidR="004564A6" w:rsidRPr="0071782F">
        <w:rPr>
          <w:lang w:val="fr-CH"/>
        </w:rPr>
        <w:t>,</w:t>
      </w:r>
      <w:r w:rsidRPr="0071782F">
        <w:rPr>
          <w:lang w:val="fr-CH"/>
        </w:rPr>
        <w:t>21</w:t>
      </w:r>
      <w:r w:rsidR="007E5125" w:rsidRPr="0071782F">
        <w:rPr>
          <w:lang w:val="fr-CH"/>
        </w:rPr>
        <w:t>%</w:t>
      </w:r>
      <w:r w:rsidR="004564A6" w:rsidRPr="0071782F">
        <w:rPr>
          <w:lang w:val="fr-CH"/>
        </w:rPr>
        <w:t xml:space="preserve"> de la </w:t>
      </w:r>
      <w:r w:rsidRPr="0071782F">
        <w:rPr>
          <w:lang w:val="fr-CH"/>
        </w:rPr>
        <w:t>population</w:t>
      </w:r>
      <w:r w:rsidR="004564A6" w:rsidRPr="0071782F">
        <w:rPr>
          <w:lang w:val="fr-CH"/>
        </w:rPr>
        <w:t xml:space="preserve"> étudiante</w:t>
      </w:r>
      <w:r w:rsidRPr="0071782F">
        <w:rPr>
          <w:lang w:val="fr-CH"/>
        </w:rPr>
        <w:t xml:space="preserve">. </w:t>
      </w:r>
      <w:r w:rsidR="004564A6" w:rsidRPr="0071782F">
        <w:rPr>
          <w:lang w:val="fr-CH"/>
        </w:rPr>
        <w:t xml:space="preserve">Les établissements privés ont accueilli </w:t>
      </w:r>
      <w:r w:rsidRPr="0071782F">
        <w:rPr>
          <w:lang w:val="fr-CH"/>
        </w:rPr>
        <w:t>641</w:t>
      </w:r>
      <w:r w:rsidR="004564A6" w:rsidRPr="0071782F">
        <w:rPr>
          <w:lang w:val="fr-CH"/>
        </w:rPr>
        <w:t xml:space="preserve"> </w:t>
      </w:r>
      <w:r w:rsidRPr="0071782F">
        <w:rPr>
          <w:lang w:val="fr-CH"/>
        </w:rPr>
        <w:t>480 fem</w:t>
      </w:r>
      <w:r w:rsidR="004564A6" w:rsidRPr="0071782F">
        <w:rPr>
          <w:lang w:val="fr-CH"/>
        </w:rPr>
        <w:t xml:space="preserve">mes, soit </w:t>
      </w:r>
      <w:r w:rsidRPr="0071782F">
        <w:rPr>
          <w:lang w:val="fr-CH"/>
        </w:rPr>
        <w:t>44</w:t>
      </w:r>
      <w:r w:rsidR="004564A6" w:rsidRPr="0071782F">
        <w:rPr>
          <w:lang w:val="fr-CH"/>
        </w:rPr>
        <w:t>,</w:t>
      </w:r>
      <w:r w:rsidRPr="0071782F">
        <w:rPr>
          <w:lang w:val="fr-CH"/>
        </w:rPr>
        <w:t>49</w:t>
      </w:r>
      <w:r w:rsidR="007E5125" w:rsidRPr="0071782F">
        <w:rPr>
          <w:lang w:val="fr-CH"/>
        </w:rPr>
        <w:t>%</w:t>
      </w:r>
      <w:r w:rsidR="004564A6" w:rsidRPr="0071782F">
        <w:rPr>
          <w:lang w:val="fr-CH"/>
        </w:rPr>
        <w:t xml:space="preserve"> de ladite population</w:t>
      </w:r>
      <w:r w:rsidRPr="0071782F">
        <w:rPr>
          <w:lang w:val="fr-CH"/>
        </w:rPr>
        <w:t>.</w:t>
      </w:r>
    </w:p>
    <w:p w:rsidR="00AD5035" w:rsidRPr="0071782F" w:rsidRDefault="00AD5035" w:rsidP="00930639">
      <w:pPr>
        <w:pStyle w:val="H1G"/>
        <w:rPr>
          <w:lang w:val="fr-CH"/>
        </w:rPr>
      </w:pPr>
      <w:r w:rsidRPr="0071782F">
        <w:rPr>
          <w:lang w:val="fr-CH"/>
        </w:rPr>
        <w:tab/>
      </w:r>
      <w:r w:rsidRPr="0071782F">
        <w:rPr>
          <w:lang w:val="fr-CH"/>
        </w:rPr>
        <w:tab/>
      </w:r>
      <w:r w:rsidR="004564A6" w:rsidRPr="0071782F">
        <w:rPr>
          <w:lang w:val="fr-CH"/>
        </w:rPr>
        <w:t xml:space="preserve">Budget de fonctionnement du </w:t>
      </w:r>
      <w:r w:rsidRPr="0071782F">
        <w:rPr>
          <w:lang w:val="fr-CH"/>
        </w:rPr>
        <w:t>Minist</w:t>
      </w:r>
      <w:r w:rsidR="004564A6" w:rsidRPr="0071782F">
        <w:rPr>
          <w:lang w:val="fr-CH"/>
        </w:rPr>
        <w:t>ère de la s</w:t>
      </w:r>
      <w:r w:rsidRPr="0071782F">
        <w:rPr>
          <w:lang w:val="fr-CH"/>
        </w:rPr>
        <w:t xml:space="preserve">cience, </w:t>
      </w:r>
      <w:r w:rsidR="004564A6" w:rsidRPr="0071782F">
        <w:rPr>
          <w:lang w:val="fr-CH"/>
        </w:rPr>
        <w:t>de la recherche et de la technologie</w:t>
      </w:r>
    </w:p>
    <w:p w:rsidR="00AD5035" w:rsidRPr="0071782F" w:rsidRDefault="00AD5035" w:rsidP="00AD5035">
      <w:pPr>
        <w:pStyle w:val="SingleTxtG"/>
        <w:spacing w:after="0"/>
        <w:rPr>
          <w:lang w:val="fr-CH"/>
        </w:rPr>
      </w:pPr>
      <w:r w:rsidRPr="0071782F">
        <w:rPr>
          <w:lang w:val="fr-CH"/>
        </w:rPr>
        <w:t>431.</w:t>
      </w:r>
      <w:r w:rsidRPr="0071782F">
        <w:rPr>
          <w:lang w:val="fr-CH"/>
        </w:rPr>
        <w:tab/>
      </w:r>
      <w:r w:rsidR="004564A6" w:rsidRPr="0071782F">
        <w:rPr>
          <w:lang w:val="fr-CH"/>
        </w:rPr>
        <w:t>Le budget de fonctionnement du Ministère de la science, de la recherche et de la technologie et des établissements et centres de recherche qu</w:t>
      </w:r>
      <w:r w:rsidR="00707DCC">
        <w:rPr>
          <w:lang w:val="fr-CH"/>
        </w:rPr>
        <w:t>i en relèvent s’est élevé entre </w:t>
      </w:r>
      <w:r w:rsidR="004564A6" w:rsidRPr="0071782F">
        <w:rPr>
          <w:lang w:val="fr-CH"/>
        </w:rPr>
        <w:t xml:space="preserve">2000 et 2004 à 17 </w:t>
      </w:r>
      <w:r w:rsidRPr="0071782F">
        <w:rPr>
          <w:lang w:val="fr-CH"/>
        </w:rPr>
        <w:t>808,691</w:t>
      </w:r>
      <w:r w:rsidR="008553D9" w:rsidRPr="0071782F">
        <w:rPr>
          <w:lang w:val="fr-CH"/>
        </w:rPr>
        <w:t> milliard</w:t>
      </w:r>
      <w:r w:rsidR="00097CDB" w:rsidRPr="0071782F">
        <w:rPr>
          <w:lang w:val="fr-CH"/>
        </w:rPr>
        <w:t>s</w:t>
      </w:r>
      <w:r w:rsidR="004564A6" w:rsidRPr="0071782F">
        <w:rPr>
          <w:lang w:val="fr-CH"/>
        </w:rPr>
        <w:t xml:space="preserve"> </w:t>
      </w:r>
      <w:r w:rsidR="003B1403" w:rsidRPr="0071782F">
        <w:rPr>
          <w:lang w:val="fr-CH"/>
        </w:rPr>
        <w:t>de rials</w:t>
      </w:r>
      <w:r w:rsidRPr="0071782F">
        <w:rPr>
          <w:lang w:val="fr-CH"/>
        </w:rPr>
        <w:t xml:space="preserve">. </w:t>
      </w:r>
      <w:r w:rsidR="004564A6" w:rsidRPr="0071782F">
        <w:rPr>
          <w:lang w:val="fr-CH"/>
        </w:rPr>
        <w:t>Entre 2004 et 2009, ce budget est passé à 52</w:t>
      </w:r>
      <w:r w:rsidR="003B1403" w:rsidRPr="0071782F">
        <w:rPr>
          <w:lang w:val="fr-CH"/>
        </w:rPr>
        <w:t> </w:t>
      </w:r>
      <w:r w:rsidRPr="0071782F">
        <w:rPr>
          <w:lang w:val="fr-CH"/>
        </w:rPr>
        <w:t>941,245</w:t>
      </w:r>
      <w:r w:rsidR="008553D9" w:rsidRPr="0071782F">
        <w:rPr>
          <w:lang w:val="fr-CH"/>
        </w:rPr>
        <w:t> milliard</w:t>
      </w:r>
      <w:r w:rsidR="00097CDB" w:rsidRPr="0071782F">
        <w:rPr>
          <w:lang w:val="fr-CH"/>
        </w:rPr>
        <w:t>s</w:t>
      </w:r>
      <w:r w:rsidR="004564A6" w:rsidRPr="0071782F">
        <w:rPr>
          <w:lang w:val="fr-CH"/>
        </w:rPr>
        <w:t xml:space="preserve"> </w:t>
      </w:r>
      <w:r w:rsidR="003B1403" w:rsidRPr="0071782F">
        <w:rPr>
          <w:lang w:val="fr-CH"/>
        </w:rPr>
        <w:t>de rials</w:t>
      </w:r>
      <w:r w:rsidRPr="0071782F">
        <w:rPr>
          <w:lang w:val="fr-CH"/>
        </w:rPr>
        <w:t xml:space="preserve">, </w:t>
      </w:r>
      <w:r w:rsidR="004564A6" w:rsidRPr="0071782F">
        <w:rPr>
          <w:lang w:val="fr-CH"/>
        </w:rPr>
        <w:t xml:space="preserve">ce qui représente une augmentation de </w:t>
      </w:r>
      <w:r w:rsidRPr="0071782F">
        <w:rPr>
          <w:lang w:val="fr-CH"/>
        </w:rPr>
        <w:t>197</w:t>
      </w:r>
      <w:r w:rsidR="007E5125" w:rsidRPr="0071782F">
        <w:rPr>
          <w:lang w:val="fr-CH"/>
        </w:rPr>
        <w:t>%</w:t>
      </w:r>
      <w:r w:rsidRPr="0071782F">
        <w:rPr>
          <w:lang w:val="fr-CH"/>
        </w:rPr>
        <w:t xml:space="preserve"> </w:t>
      </w:r>
      <w:r w:rsidR="004564A6" w:rsidRPr="0071782F">
        <w:rPr>
          <w:lang w:val="fr-CH"/>
        </w:rPr>
        <w:t>(soit près du triple du chiffre précédent)</w:t>
      </w:r>
      <w:r w:rsidRPr="0071782F">
        <w:rPr>
          <w:lang w:val="fr-CH"/>
        </w:rPr>
        <w:t>.</w:t>
      </w:r>
    </w:p>
    <w:p w:rsidR="00AD5035" w:rsidRPr="0071782F" w:rsidRDefault="00AD5035" w:rsidP="00930639">
      <w:pPr>
        <w:pStyle w:val="H23G"/>
        <w:rPr>
          <w:lang w:val="fr-CH"/>
        </w:rPr>
      </w:pPr>
      <w:r w:rsidRPr="0071782F">
        <w:rPr>
          <w:lang w:val="fr-CH"/>
        </w:rPr>
        <w:tab/>
      </w:r>
      <w:r w:rsidRPr="0071782F">
        <w:rPr>
          <w:lang w:val="fr-CH"/>
        </w:rPr>
        <w:tab/>
      </w:r>
      <w:r w:rsidR="004564A6" w:rsidRPr="0071782F">
        <w:rPr>
          <w:lang w:val="fr-CH"/>
        </w:rPr>
        <w:t>Productions scientifiques</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127"/>
        <w:gridCol w:w="850"/>
        <w:gridCol w:w="851"/>
        <w:gridCol w:w="850"/>
        <w:gridCol w:w="850"/>
        <w:gridCol w:w="851"/>
        <w:gridCol w:w="850"/>
        <w:gridCol w:w="1276"/>
      </w:tblGrid>
      <w:tr w:rsidR="00AD5035" w:rsidRPr="0071782F">
        <w:trPr>
          <w:tblHeader/>
        </w:trPr>
        <w:tc>
          <w:tcPr>
            <w:tcW w:w="2127" w:type="dxa"/>
            <w:tcBorders>
              <w:top w:val="single" w:sz="4" w:space="0" w:color="auto"/>
              <w:bottom w:val="single" w:sz="12" w:space="0" w:color="auto"/>
            </w:tcBorders>
            <w:shd w:val="clear" w:color="auto" w:fill="auto"/>
            <w:vAlign w:val="bottom"/>
          </w:tcPr>
          <w:p w:rsidR="00AD5035" w:rsidRPr="0071782F" w:rsidRDefault="00AD5035" w:rsidP="003B1403">
            <w:pPr>
              <w:keepNext/>
              <w:suppressAutoHyphens w:val="0"/>
              <w:spacing w:before="80" w:after="80" w:line="200" w:lineRule="exact"/>
              <w:rPr>
                <w:i/>
                <w:sz w:val="16"/>
                <w:lang w:val="fr-CH"/>
              </w:rPr>
            </w:pPr>
          </w:p>
        </w:tc>
        <w:tc>
          <w:tcPr>
            <w:tcW w:w="850" w:type="dxa"/>
            <w:tcBorders>
              <w:top w:val="single" w:sz="4" w:space="0" w:color="auto"/>
              <w:bottom w:val="single" w:sz="12" w:space="0" w:color="auto"/>
            </w:tcBorders>
            <w:shd w:val="clear" w:color="auto" w:fill="auto"/>
            <w:vAlign w:val="bottom"/>
          </w:tcPr>
          <w:p w:rsidR="00AD5035" w:rsidRPr="0071782F" w:rsidRDefault="00AD5035" w:rsidP="002847E7">
            <w:pPr>
              <w:keepNext/>
              <w:suppressAutoHyphens w:val="0"/>
              <w:spacing w:before="80" w:after="80" w:line="200" w:lineRule="exact"/>
              <w:jc w:val="right"/>
              <w:rPr>
                <w:i/>
                <w:sz w:val="16"/>
                <w:lang w:val="fr-CH"/>
              </w:rPr>
            </w:pPr>
            <w:r w:rsidRPr="0071782F">
              <w:rPr>
                <w:i/>
                <w:sz w:val="16"/>
                <w:lang w:val="fr-CH"/>
              </w:rPr>
              <w:t>1981</w:t>
            </w:r>
            <w:r w:rsidR="002847E7">
              <w:rPr>
                <w:i/>
                <w:sz w:val="16"/>
                <w:lang w:val="fr-CH"/>
              </w:rPr>
              <w:t>-</w:t>
            </w:r>
            <w:r w:rsidRPr="0071782F">
              <w:rPr>
                <w:i/>
                <w:sz w:val="16"/>
                <w:lang w:val="fr-CH"/>
              </w:rPr>
              <w:t>1984</w:t>
            </w:r>
          </w:p>
        </w:tc>
        <w:tc>
          <w:tcPr>
            <w:tcW w:w="851" w:type="dxa"/>
            <w:tcBorders>
              <w:top w:val="single" w:sz="4" w:space="0" w:color="auto"/>
              <w:bottom w:val="single" w:sz="12" w:space="0" w:color="auto"/>
            </w:tcBorders>
            <w:shd w:val="clear" w:color="auto" w:fill="auto"/>
            <w:vAlign w:val="bottom"/>
          </w:tcPr>
          <w:p w:rsidR="00AD5035" w:rsidRPr="0071782F" w:rsidRDefault="00AD5035" w:rsidP="002847E7">
            <w:pPr>
              <w:keepNext/>
              <w:suppressAutoHyphens w:val="0"/>
              <w:spacing w:before="80" w:after="80" w:line="200" w:lineRule="exact"/>
              <w:jc w:val="right"/>
              <w:rPr>
                <w:i/>
                <w:sz w:val="16"/>
                <w:lang w:val="fr-CH"/>
              </w:rPr>
            </w:pPr>
            <w:r w:rsidRPr="0071782F">
              <w:rPr>
                <w:i/>
                <w:sz w:val="16"/>
                <w:lang w:val="fr-CH"/>
              </w:rPr>
              <w:t>1985</w:t>
            </w:r>
            <w:r w:rsidR="002847E7">
              <w:rPr>
                <w:i/>
                <w:sz w:val="16"/>
                <w:lang w:val="fr-CH"/>
              </w:rPr>
              <w:t>-</w:t>
            </w:r>
            <w:r w:rsidRPr="0071782F">
              <w:rPr>
                <w:i/>
                <w:sz w:val="16"/>
                <w:lang w:val="fr-CH"/>
              </w:rPr>
              <w:t>1989</w:t>
            </w:r>
          </w:p>
        </w:tc>
        <w:tc>
          <w:tcPr>
            <w:tcW w:w="850" w:type="dxa"/>
            <w:tcBorders>
              <w:top w:val="single" w:sz="4" w:space="0" w:color="auto"/>
              <w:bottom w:val="single" w:sz="12" w:space="0" w:color="auto"/>
            </w:tcBorders>
            <w:shd w:val="clear" w:color="auto" w:fill="auto"/>
            <w:vAlign w:val="bottom"/>
          </w:tcPr>
          <w:p w:rsidR="00AD5035" w:rsidRPr="0071782F" w:rsidRDefault="00AD5035" w:rsidP="002847E7">
            <w:pPr>
              <w:keepNext/>
              <w:suppressAutoHyphens w:val="0"/>
              <w:spacing w:before="80" w:after="80" w:line="200" w:lineRule="exact"/>
              <w:jc w:val="right"/>
              <w:rPr>
                <w:i/>
                <w:sz w:val="16"/>
                <w:lang w:val="fr-CH"/>
              </w:rPr>
            </w:pPr>
            <w:r w:rsidRPr="0071782F">
              <w:rPr>
                <w:i/>
                <w:sz w:val="16"/>
                <w:lang w:val="fr-CH"/>
              </w:rPr>
              <w:t>1989</w:t>
            </w:r>
            <w:r w:rsidR="002847E7">
              <w:rPr>
                <w:i/>
                <w:sz w:val="16"/>
                <w:lang w:val="fr-CH"/>
              </w:rPr>
              <w:t>-</w:t>
            </w:r>
            <w:r w:rsidRPr="0071782F">
              <w:rPr>
                <w:i/>
                <w:sz w:val="16"/>
                <w:lang w:val="fr-CH"/>
              </w:rPr>
              <w:t>1992</w:t>
            </w:r>
          </w:p>
        </w:tc>
        <w:tc>
          <w:tcPr>
            <w:tcW w:w="850" w:type="dxa"/>
            <w:tcBorders>
              <w:top w:val="single" w:sz="4" w:space="0" w:color="auto"/>
              <w:bottom w:val="single" w:sz="12" w:space="0" w:color="auto"/>
            </w:tcBorders>
            <w:shd w:val="clear" w:color="auto" w:fill="auto"/>
            <w:vAlign w:val="bottom"/>
          </w:tcPr>
          <w:p w:rsidR="00AD5035" w:rsidRPr="0071782F" w:rsidRDefault="00AD5035" w:rsidP="002847E7">
            <w:pPr>
              <w:keepNext/>
              <w:suppressAutoHyphens w:val="0"/>
              <w:spacing w:before="80" w:after="80" w:line="200" w:lineRule="exact"/>
              <w:jc w:val="right"/>
              <w:rPr>
                <w:i/>
                <w:sz w:val="16"/>
                <w:lang w:val="fr-CH"/>
              </w:rPr>
            </w:pPr>
            <w:r w:rsidRPr="0071782F">
              <w:rPr>
                <w:i/>
                <w:sz w:val="16"/>
                <w:lang w:val="fr-CH"/>
              </w:rPr>
              <w:t>1993</w:t>
            </w:r>
            <w:r w:rsidR="002847E7">
              <w:rPr>
                <w:i/>
                <w:sz w:val="16"/>
                <w:lang w:val="fr-CH"/>
              </w:rPr>
              <w:t>-</w:t>
            </w:r>
            <w:r w:rsidRPr="0071782F">
              <w:rPr>
                <w:i/>
                <w:sz w:val="16"/>
                <w:lang w:val="fr-CH"/>
              </w:rPr>
              <w:t>1996</w:t>
            </w:r>
          </w:p>
        </w:tc>
        <w:tc>
          <w:tcPr>
            <w:tcW w:w="851" w:type="dxa"/>
            <w:tcBorders>
              <w:top w:val="single" w:sz="4" w:space="0" w:color="auto"/>
              <w:bottom w:val="single" w:sz="12" w:space="0" w:color="auto"/>
            </w:tcBorders>
            <w:shd w:val="clear" w:color="auto" w:fill="auto"/>
            <w:vAlign w:val="bottom"/>
          </w:tcPr>
          <w:p w:rsidR="00AD5035" w:rsidRPr="0071782F" w:rsidRDefault="00AD5035" w:rsidP="002847E7">
            <w:pPr>
              <w:keepNext/>
              <w:suppressAutoHyphens w:val="0"/>
              <w:spacing w:before="80" w:after="80" w:line="200" w:lineRule="exact"/>
              <w:jc w:val="right"/>
              <w:rPr>
                <w:i/>
                <w:sz w:val="16"/>
                <w:lang w:val="fr-CH"/>
              </w:rPr>
            </w:pPr>
            <w:r w:rsidRPr="0071782F">
              <w:rPr>
                <w:i/>
                <w:sz w:val="16"/>
                <w:lang w:val="fr-CH"/>
              </w:rPr>
              <w:t>1997</w:t>
            </w:r>
            <w:r w:rsidR="002847E7">
              <w:rPr>
                <w:i/>
                <w:sz w:val="16"/>
                <w:lang w:val="fr-CH"/>
              </w:rPr>
              <w:t>-</w:t>
            </w:r>
            <w:r w:rsidRPr="0071782F">
              <w:rPr>
                <w:i/>
                <w:sz w:val="16"/>
                <w:lang w:val="fr-CH"/>
              </w:rPr>
              <w:t>2000</w:t>
            </w:r>
          </w:p>
        </w:tc>
        <w:tc>
          <w:tcPr>
            <w:tcW w:w="850" w:type="dxa"/>
            <w:tcBorders>
              <w:top w:val="single" w:sz="4" w:space="0" w:color="auto"/>
              <w:bottom w:val="single" w:sz="12" w:space="0" w:color="auto"/>
            </w:tcBorders>
            <w:shd w:val="clear" w:color="auto" w:fill="auto"/>
            <w:vAlign w:val="bottom"/>
          </w:tcPr>
          <w:p w:rsidR="00AD5035" w:rsidRPr="0071782F" w:rsidRDefault="00AD5035" w:rsidP="002847E7">
            <w:pPr>
              <w:keepNext/>
              <w:suppressAutoHyphens w:val="0"/>
              <w:spacing w:before="80" w:after="80" w:line="200" w:lineRule="exact"/>
              <w:jc w:val="right"/>
              <w:rPr>
                <w:i/>
                <w:sz w:val="16"/>
                <w:lang w:val="fr-CH"/>
              </w:rPr>
            </w:pPr>
            <w:r w:rsidRPr="0071782F">
              <w:rPr>
                <w:i/>
                <w:sz w:val="16"/>
                <w:lang w:val="fr-CH"/>
              </w:rPr>
              <w:t>2001</w:t>
            </w:r>
            <w:r w:rsidR="002847E7">
              <w:rPr>
                <w:i/>
                <w:sz w:val="16"/>
                <w:lang w:val="fr-CH"/>
              </w:rPr>
              <w:t>-</w:t>
            </w:r>
            <w:r w:rsidRPr="0071782F">
              <w:rPr>
                <w:i/>
                <w:sz w:val="16"/>
                <w:lang w:val="fr-CH"/>
              </w:rPr>
              <w:t>2004</w:t>
            </w:r>
          </w:p>
        </w:tc>
        <w:tc>
          <w:tcPr>
            <w:tcW w:w="1276" w:type="dxa"/>
            <w:tcBorders>
              <w:top w:val="single" w:sz="4" w:space="0" w:color="auto"/>
              <w:bottom w:val="single" w:sz="12" w:space="0" w:color="auto"/>
            </w:tcBorders>
            <w:shd w:val="clear" w:color="auto" w:fill="auto"/>
            <w:vAlign w:val="bottom"/>
          </w:tcPr>
          <w:p w:rsidR="00AD5035" w:rsidRPr="0071782F" w:rsidRDefault="00AD5035" w:rsidP="003B1403">
            <w:pPr>
              <w:keepNext/>
              <w:suppressAutoHyphens w:val="0"/>
              <w:spacing w:before="80" w:after="80" w:line="200" w:lineRule="exact"/>
              <w:jc w:val="right"/>
              <w:rPr>
                <w:i/>
                <w:sz w:val="16"/>
                <w:lang w:val="fr-CH"/>
              </w:rPr>
            </w:pPr>
            <w:r w:rsidRPr="0071782F">
              <w:rPr>
                <w:i/>
                <w:sz w:val="16"/>
                <w:lang w:val="fr-CH"/>
              </w:rPr>
              <w:t>2005</w:t>
            </w:r>
            <w:r w:rsidR="004564A6" w:rsidRPr="0071782F">
              <w:rPr>
                <w:i/>
                <w:sz w:val="16"/>
                <w:lang w:val="fr-CH"/>
              </w:rPr>
              <w:t>-av</w:t>
            </w:r>
            <w:r w:rsidRPr="0071782F">
              <w:rPr>
                <w:i/>
                <w:sz w:val="16"/>
                <w:lang w:val="fr-CH"/>
              </w:rPr>
              <w:t>ril 2009</w:t>
            </w:r>
          </w:p>
        </w:tc>
      </w:tr>
      <w:tr w:rsidR="00AD5035" w:rsidRPr="0071782F">
        <w:tc>
          <w:tcPr>
            <w:tcW w:w="2127" w:type="dxa"/>
            <w:tcBorders>
              <w:top w:val="single" w:sz="12" w:space="0" w:color="auto"/>
            </w:tcBorders>
            <w:shd w:val="clear" w:color="auto" w:fill="auto"/>
            <w:vAlign w:val="bottom"/>
          </w:tcPr>
          <w:p w:rsidR="00AD5035" w:rsidRPr="0071782F" w:rsidRDefault="004564A6" w:rsidP="003B1403">
            <w:pPr>
              <w:keepNext/>
              <w:suppressAutoHyphens w:val="0"/>
              <w:spacing w:before="40" w:after="40" w:line="220" w:lineRule="exact"/>
              <w:rPr>
                <w:sz w:val="18"/>
                <w:lang w:val="fr-CH"/>
              </w:rPr>
            </w:pPr>
            <w:r w:rsidRPr="0071782F">
              <w:rPr>
                <w:sz w:val="18"/>
                <w:lang w:val="fr-CH"/>
              </w:rPr>
              <w:t>Production scientifique</w:t>
            </w:r>
            <w:r w:rsidR="00CA2FDA" w:rsidRPr="0071782F">
              <w:rPr>
                <w:sz w:val="18"/>
                <w:lang w:val="fr-CH"/>
              </w:rPr>
              <w:br/>
            </w:r>
            <w:r w:rsidR="00AD5035" w:rsidRPr="0071782F">
              <w:rPr>
                <w:sz w:val="18"/>
                <w:lang w:val="fr-CH"/>
              </w:rPr>
              <w:t>(</w:t>
            </w:r>
            <w:r w:rsidRPr="0071782F">
              <w:rPr>
                <w:sz w:val="18"/>
                <w:lang w:val="fr-CH"/>
              </w:rPr>
              <w:t xml:space="preserve">indexée </w:t>
            </w:r>
            <w:r w:rsidR="00AD5035" w:rsidRPr="0071782F">
              <w:rPr>
                <w:sz w:val="18"/>
                <w:lang w:val="fr-CH"/>
              </w:rPr>
              <w:t>ISI)</w:t>
            </w:r>
          </w:p>
        </w:tc>
        <w:tc>
          <w:tcPr>
            <w:tcW w:w="850" w:type="dxa"/>
            <w:tcBorders>
              <w:top w:val="single" w:sz="12" w:space="0" w:color="auto"/>
            </w:tcBorders>
            <w:shd w:val="clear" w:color="auto" w:fill="auto"/>
            <w:vAlign w:val="bottom"/>
          </w:tcPr>
          <w:p w:rsidR="00AD5035" w:rsidRPr="0071782F" w:rsidRDefault="00AD5035" w:rsidP="003B1403">
            <w:pPr>
              <w:keepNext/>
              <w:suppressAutoHyphens w:val="0"/>
              <w:spacing w:before="40" w:after="40" w:line="220" w:lineRule="exact"/>
              <w:jc w:val="right"/>
              <w:rPr>
                <w:sz w:val="18"/>
                <w:lang w:val="fr-CH"/>
              </w:rPr>
            </w:pPr>
            <w:r w:rsidRPr="0071782F">
              <w:rPr>
                <w:sz w:val="18"/>
                <w:lang w:val="fr-CH"/>
              </w:rPr>
              <w:t>747</w:t>
            </w:r>
          </w:p>
        </w:tc>
        <w:tc>
          <w:tcPr>
            <w:tcW w:w="851" w:type="dxa"/>
            <w:tcBorders>
              <w:top w:val="single" w:sz="12" w:space="0" w:color="auto"/>
            </w:tcBorders>
            <w:shd w:val="clear" w:color="auto" w:fill="auto"/>
            <w:vAlign w:val="bottom"/>
          </w:tcPr>
          <w:p w:rsidR="00AD5035" w:rsidRPr="0071782F" w:rsidRDefault="00AD5035" w:rsidP="003B1403">
            <w:pPr>
              <w:keepNext/>
              <w:suppressAutoHyphens w:val="0"/>
              <w:spacing w:before="40" w:after="40" w:line="220" w:lineRule="exact"/>
              <w:jc w:val="right"/>
              <w:rPr>
                <w:sz w:val="18"/>
                <w:lang w:val="fr-CH"/>
              </w:rPr>
            </w:pPr>
            <w:r w:rsidRPr="0071782F">
              <w:rPr>
                <w:sz w:val="18"/>
                <w:lang w:val="fr-CH"/>
              </w:rPr>
              <w:t>580</w:t>
            </w:r>
          </w:p>
        </w:tc>
        <w:tc>
          <w:tcPr>
            <w:tcW w:w="850" w:type="dxa"/>
            <w:tcBorders>
              <w:top w:val="single" w:sz="12" w:space="0" w:color="auto"/>
            </w:tcBorders>
            <w:shd w:val="clear" w:color="auto" w:fill="auto"/>
            <w:vAlign w:val="bottom"/>
          </w:tcPr>
          <w:p w:rsidR="00AD5035" w:rsidRPr="0071782F" w:rsidRDefault="00AD5035" w:rsidP="003B1403">
            <w:pPr>
              <w:keepNext/>
              <w:suppressAutoHyphens w:val="0"/>
              <w:spacing w:before="40" w:after="40" w:line="220" w:lineRule="exact"/>
              <w:jc w:val="right"/>
              <w:rPr>
                <w:sz w:val="18"/>
                <w:lang w:val="fr-CH"/>
              </w:rPr>
            </w:pPr>
            <w:r w:rsidRPr="0071782F">
              <w:rPr>
                <w:sz w:val="18"/>
                <w:lang w:val="fr-CH"/>
              </w:rPr>
              <w:t>825</w:t>
            </w:r>
          </w:p>
        </w:tc>
        <w:tc>
          <w:tcPr>
            <w:tcW w:w="850" w:type="dxa"/>
            <w:tcBorders>
              <w:top w:val="single" w:sz="12" w:space="0" w:color="auto"/>
            </w:tcBorders>
            <w:shd w:val="clear" w:color="auto" w:fill="auto"/>
            <w:vAlign w:val="bottom"/>
          </w:tcPr>
          <w:p w:rsidR="00AD5035" w:rsidRPr="0071782F" w:rsidRDefault="00AD5035" w:rsidP="003B1403">
            <w:pPr>
              <w:keepNext/>
              <w:suppressAutoHyphens w:val="0"/>
              <w:spacing w:before="40" w:after="40" w:line="220" w:lineRule="exact"/>
              <w:jc w:val="right"/>
              <w:rPr>
                <w:sz w:val="18"/>
                <w:lang w:val="fr-CH"/>
              </w:rPr>
            </w:pPr>
            <w:r w:rsidRPr="0071782F">
              <w:rPr>
                <w:sz w:val="18"/>
                <w:lang w:val="fr-CH"/>
              </w:rPr>
              <w:t>1 811</w:t>
            </w:r>
          </w:p>
        </w:tc>
        <w:tc>
          <w:tcPr>
            <w:tcW w:w="851" w:type="dxa"/>
            <w:tcBorders>
              <w:top w:val="single" w:sz="12" w:space="0" w:color="auto"/>
            </w:tcBorders>
            <w:shd w:val="clear" w:color="auto" w:fill="auto"/>
            <w:vAlign w:val="bottom"/>
          </w:tcPr>
          <w:p w:rsidR="00AD5035" w:rsidRPr="0071782F" w:rsidRDefault="00AD5035" w:rsidP="003B1403">
            <w:pPr>
              <w:keepNext/>
              <w:suppressAutoHyphens w:val="0"/>
              <w:spacing w:before="40" w:after="40" w:line="220" w:lineRule="exact"/>
              <w:jc w:val="right"/>
              <w:rPr>
                <w:sz w:val="18"/>
                <w:lang w:val="fr-CH"/>
              </w:rPr>
            </w:pPr>
            <w:r w:rsidRPr="0071782F">
              <w:rPr>
                <w:sz w:val="18"/>
                <w:lang w:val="fr-CH"/>
              </w:rPr>
              <w:t>3 962</w:t>
            </w:r>
          </w:p>
        </w:tc>
        <w:tc>
          <w:tcPr>
            <w:tcW w:w="850" w:type="dxa"/>
            <w:tcBorders>
              <w:top w:val="single" w:sz="12" w:space="0" w:color="auto"/>
            </w:tcBorders>
            <w:shd w:val="clear" w:color="auto" w:fill="auto"/>
            <w:vAlign w:val="bottom"/>
          </w:tcPr>
          <w:p w:rsidR="00AD5035" w:rsidRPr="0071782F" w:rsidRDefault="00AD5035" w:rsidP="003B1403">
            <w:pPr>
              <w:keepNext/>
              <w:suppressAutoHyphens w:val="0"/>
              <w:spacing w:before="40" w:after="40" w:line="220" w:lineRule="exact"/>
              <w:jc w:val="right"/>
              <w:rPr>
                <w:sz w:val="18"/>
                <w:lang w:val="fr-CH"/>
              </w:rPr>
            </w:pPr>
            <w:r w:rsidRPr="0071782F">
              <w:rPr>
                <w:sz w:val="18"/>
                <w:lang w:val="fr-CH"/>
              </w:rPr>
              <w:t>10 850</w:t>
            </w:r>
          </w:p>
        </w:tc>
        <w:tc>
          <w:tcPr>
            <w:tcW w:w="1276" w:type="dxa"/>
            <w:tcBorders>
              <w:top w:val="single" w:sz="12" w:space="0" w:color="auto"/>
            </w:tcBorders>
            <w:shd w:val="clear" w:color="auto" w:fill="auto"/>
            <w:vAlign w:val="bottom"/>
          </w:tcPr>
          <w:p w:rsidR="00AD5035" w:rsidRPr="0071782F" w:rsidRDefault="00AD5035" w:rsidP="003B1403">
            <w:pPr>
              <w:keepNext/>
              <w:suppressAutoHyphens w:val="0"/>
              <w:spacing w:before="40" w:after="40" w:line="220" w:lineRule="exact"/>
              <w:jc w:val="right"/>
              <w:rPr>
                <w:sz w:val="18"/>
                <w:lang w:val="fr-CH"/>
              </w:rPr>
            </w:pPr>
            <w:r w:rsidRPr="0071782F">
              <w:rPr>
                <w:sz w:val="18"/>
                <w:lang w:val="fr-CH"/>
              </w:rPr>
              <w:t>34 893</w:t>
            </w:r>
          </w:p>
        </w:tc>
      </w:tr>
      <w:tr w:rsidR="00AD5035" w:rsidRPr="0071782F">
        <w:tc>
          <w:tcPr>
            <w:tcW w:w="2127" w:type="dxa"/>
            <w:shd w:val="clear" w:color="auto" w:fill="auto"/>
            <w:vAlign w:val="bottom"/>
          </w:tcPr>
          <w:p w:rsidR="00AD5035" w:rsidRPr="0071782F" w:rsidRDefault="004564A6" w:rsidP="003B1403">
            <w:pPr>
              <w:suppressAutoHyphens w:val="0"/>
              <w:spacing w:before="40" w:after="40" w:line="220" w:lineRule="exact"/>
              <w:rPr>
                <w:sz w:val="18"/>
                <w:lang w:val="fr-CH"/>
              </w:rPr>
            </w:pPr>
            <w:r w:rsidRPr="0071782F">
              <w:rPr>
                <w:sz w:val="18"/>
                <w:lang w:val="fr-CH"/>
              </w:rPr>
              <w:t>Nombre moyen de productions scientifiques sur le site de l’</w:t>
            </w:r>
            <w:r w:rsidR="00AD5035" w:rsidRPr="0071782F">
              <w:rPr>
                <w:sz w:val="18"/>
                <w:lang w:val="fr-CH"/>
              </w:rPr>
              <w:t xml:space="preserve">ISI </w:t>
            </w:r>
          </w:p>
        </w:tc>
        <w:tc>
          <w:tcPr>
            <w:tcW w:w="850"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190</w:t>
            </w:r>
          </w:p>
        </w:tc>
        <w:tc>
          <w:tcPr>
            <w:tcW w:w="851"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145</w:t>
            </w:r>
          </w:p>
        </w:tc>
        <w:tc>
          <w:tcPr>
            <w:tcW w:w="850"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200</w:t>
            </w:r>
          </w:p>
        </w:tc>
        <w:tc>
          <w:tcPr>
            <w:tcW w:w="850"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450</w:t>
            </w:r>
          </w:p>
        </w:tc>
        <w:tc>
          <w:tcPr>
            <w:tcW w:w="851"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990</w:t>
            </w:r>
          </w:p>
        </w:tc>
        <w:tc>
          <w:tcPr>
            <w:tcW w:w="850"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2 700</w:t>
            </w:r>
          </w:p>
        </w:tc>
        <w:tc>
          <w:tcPr>
            <w:tcW w:w="1276"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8 750</w:t>
            </w:r>
          </w:p>
        </w:tc>
      </w:tr>
    </w:tbl>
    <w:p w:rsidR="00AD5035" w:rsidRPr="0071782F" w:rsidRDefault="00AD5035" w:rsidP="00930639">
      <w:pPr>
        <w:pStyle w:val="H23G"/>
        <w:rPr>
          <w:lang w:val="fr-CH"/>
        </w:rPr>
      </w:pPr>
      <w:r w:rsidRPr="0071782F">
        <w:rPr>
          <w:lang w:val="fr-CH"/>
        </w:rPr>
        <w:tab/>
      </w:r>
      <w:r w:rsidRPr="0071782F">
        <w:rPr>
          <w:lang w:val="fr-CH"/>
        </w:rPr>
        <w:tab/>
      </w:r>
      <w:r w:rsidR="004564A6" w:rsidRPr="0071782F">
        <w:rPr>
          <w:lang w:val="fr-CH"/>
        </w:rPr>
        <w:t>I</w:t>
      </w:r>
      <w:r w:rsidRPr="0071782F">
        <w:rPr>
          <w:lang w:val="fr-CH"/>
        </w:rPr>
        <w:t>nventions</w:t>
      </w:r>
      <w:r w:rsidR="004564A6" w:rsidRPr="0071782F">
        <w:rPr>
          <w:lang w:val="fr-CH"/>
        </w:rPr>
        <w:t xml:space="preserve"> enregistrées</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127"/>
        <w:gridCol w:w="850"/>
        <w:gridCol w:w="851"/>
        <w:gridCol w:w="850"/>
        <w:gridCol w:w="851"/>
        <w:gridCol w:w="850"/>
        <w:gridCol w:w="851"/>
        <w:gridCol w:w="1275"/>
      </w:tblGrid>
      <w:tr w:rsidR="00AD5035" w:rsidRPr="0071782F">
        <w:trPr>
          <w:tblHeader/>
        </w:trPr>
        <w:tc>
          <w:tcPr>
            <w:tcW w:w="2127"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rPr>
                <w:i/>
                <w:sz w:val="16"/>
                <w:lang w:val="fr-CH"/>
              </w:rPr>
            </w:pPr>
          </w:p>
        </w:tc>
        <w:tc>
          <w:tcPr>
            <w:tcW w:w="850"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1981–1984</w:t>
            </w:r>
          </w:p>
        </w:tc>
        <w:tc>
          <w:tcPr>
            <w:tcW w:w="851"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1985–1989</w:t>
            </w:r>
          </w:p>
        </w:tc>
        <w:tc>
          <w:tcPr>
            <w:tcW w:w="850"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1989–1992</w:t>
            </w:r>
          </w:p>
        </w:tc>
        <w:tc>
          <w:tcPr>
            <w:tcW w:w="851"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1993–1996</w:t>
            </w:r>
          </w:p>
        </w:tc>
        <w:tc>
          <w:tcPr>
            <w:tcW w:w="850"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1997–2000</w:t>
            </w:r>
          </w:p>
        </w:tc>
        <w:tc>
          <w:tcPr>
            <w:tcW w:w="851"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2001–2004</w:t>
            </w:r>
          </w:p>
        </w:tc>
        <w:tc>
          <w:tcPr>
            <w:tcW w:w="1275"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2005</w:t>
            </w:r>
            <w:r w:rsidR="004564A6" w:rsidRPr="0071782F">
              <w:rPr>
                <w:i/>
                <w:sz w:val="16"/>
                <w:lang w:val="fr-CH"/>
              </w:rPr>
              <w:t>-av</w:t>
            </w:r>
            <w:r w:rsidRPr="0071782F">
              <w:rPr>
                <w:i/>
                <w:sz w:val="16"/>
                <w:lang w:val="fr-CH"/>
              </w:rPr>
              <w:t>ril 2009</w:t>
            </w:r>
          </w:p>
        </w:tc>
      </w:tr>
      <w:tr w:rsidR="00AD5035" w:rsidRPr="0071782F">
        <w:tc>
          <w:tcPr>
            <w:tcW w:w="2127"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rPr>
                <w:sz w:val="18"/>
                <w:lang w:val="fr-CH"/>
              </w:rPr>
            </w:pPr>
            <w:r w:rsidRPr="0071782F">
              <w:rPr>
                <w:sz w:val="18"/>
                <w:lang w:val="fr-CH"/>
              </w:rPr>
              <w:t>No</w:t>
            </w:r>
            <w:r w:rsidR="004564A6" w:rsidRPr="0071782F">
              <w:rPr>
                <w:sz w:val="18"/>
                <w:lang w:val="fr-CH"/>
              </w:rPr>
              <w:t>mbre d’</w:t>
            </w:r>
            <w:r w:rsidRPr="0071782F">
              <w:rPr>
                <w:sz w:val="18"/>
                <w:lang w:val="fr-CH"/>
              </w:rPr>
              <w:t xml:space="preserve">inventions </w:t>
            </w:r>
            <w:r w:rsidR="004564A6" w:rsidRPr="0071782F">
              <w:rPr>
                <w:sz w:val="18"/>
                <w:lang w:val="fr-CH"/>
              </w:rPr>
              <w:t>en</w:t>
            </w:r>
            <w:r w:rsidRPr="0071782F">
              <w:rPr>
                <w:sz w:val="18"/>
                <w:lang w:val="fr-CH"/>
              </w:rPr>
              <w:t>regist</w:t>
            </w:r>
            <w:r w:rsidR="004564A6" w:rsidRPr="0071782F">
              <w:rPr>
                <w:sz w:val="18"/>
                <w:lang w:val="fr-CH"/>
              </w:rPr>
              <w:t xml:space="preserve">rées en </w:t>
            </w:r>
            <w:r w:rsidRPr="0071782F">
              <w:rPr>
                <w:sz w:val="18"/>
                <w:lang w:val="fr-CH"/>
              </w:rPr>
              <w:t>Iran</w:t>
            </w:r>
          </w:p>
        </w:tc>
        <w:tc>
          <w:tcPr>
            <w:tcW w:w="850"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934</w:t>
            </w:r>
          </w:p>
        </w:tc>
        <w:tc>
          <w:tcPr>
            <w:tcW w:w="851"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521</w:t>
            </w:r>
          </w:p>
        </w:tc>
        <w:tc>
          <w:tcPr>
            <w:tcW w:w="850"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969</w:t>
            </w:r>
          </w:p>
        </w:tc>
        <w:tc>
          <w:tcPr>
            <w:tcW w:w="851"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774</w:t>
            </w:r>
          </w:p>
        </w:tc>
        <w:tc>
          <w:tcPr>
            <w:tcW w:w="850"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1 495</w:t>
            </w:r>
          </w:p>
        </w:tc>
        <w:tc>
          <w:tcPr>
            <w:tcW w:w="851"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4 322</w:t>
            </w:r>
          </w:p>
        </w:tc>
        <w:tc>
          <w:tcPr>
            <w:tcW w:w="1275"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25 899</w:t>
            </w:r>
          </w:p>
        </w:tc>
      </w:tr>
    </w:tbl>
    <w:p w:rsidR="00AD5035" w:rsidRPr="0071782F" w:rsidRDefault="00AD5035" w:rsidP="001344FE">
      <w:pPr>
        <w:pStyle w:val="H23G"/>
        <w:rPr>
          <w:lang w:val="fr-CH"/>
        </w:rPr>
      </w:pPr>
      <w:r w:rsidRPr="0071782F">
        <w:rPr>
          <w:lang w:val="fr-CH"/>
        </w:rPr>
        <w:tab/>
      </w:r>
      <w:r w:rsidRPr="0071782F">
        <w:rPr>
          <w:lang w:val="fr-CH"/>
        </w:rPr>
        <w:tab/>
      </w:r>
      <w:r w:rsidR="004564A6" w:rsidRPr="0071782F">
        <w:rPr>
          <w:lang w:val="fr-CH"/>
        </w:rPr>
        <w:t>Associations étudiantes scientifiques et sportives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969"/>
        <w:gridCol w:w="1418"/>
        <w:gridCol w:w="1983"/>
      </w:tblGrid>
      <w:tr w:rsidR="00AD5035" w:rsidRPr="0071782F">
        <w:trPr>
          <w:tblHeader/>
        </w:trPr>
        <w:tc>
          <w:tcPr>
            <w:tcW w:w="3969" w:type="dxa"/>
            <w:tcBorders>
              <w:top w:val="single" w:sz="4" w:space="0" w:color="auto"/>
              <w:bottom w:val="single" w:sz="12" w:space="0" w:color="auto"/>
            </w:tcBorders>
            <w:shd w:val="clear" w:color="auto" w:fill="auto"/>
            <w:vAlign w:val="bottom"/>
          </w:tcPr>
          <w:p w:rsidR="00AD5035" w:rsidRPr="0071782F" w:rsidRDefault="00AD5035" w:rsidP="003B1403">
            <w:pPr>
              <w:keepNext/>
              <w:keepLines/>
              <w:suppressAutoHyphens w:val="0"/>
              <w:spacing w:before="80" w:after="80" w:line="200" w:lineRule="exact"/>
              <w:rPr>
                <w:i/>
                <w:sz w:val="16"/>
                <w:lang w:val="fr-CH"/>
              </w:rPr>
            </w:pPr>
          </w:p>
        </w:tc>
        <w:tc>
          <w:tcPr>
            <w:tcW w:w="1418" w:type="dxa"/>
            <w:tcBorders>
              <w:top w:val="single" w:sz="4" w:space="0" w:color="auto"/>
              <w:bottom w:val="single" w:sz="12" w:space="0" w:color="auto"/>
            </w:tcBorders>
            <w:shd w:val="clear" w:color="auto" w:fill="auto"/>
            <w:vAlign w:val="bottom"/>
          </w:tcPr>
          <w:p w:rsidR="00AD5035" w:rsidRPr="0071782F" w:rsidRDefault="00AD5035" w:rsidP="003B1403">
            <w:pPr>
              <w:keepNext/>
              <w:keepLines/>
              <w:suppressAutoHyphens w:val="0"/>
              <w:spacing w:before="80" w:after="80" w:line="200" w:lineRule="exact"/>
              <w:jc w:val="right"/>
              <w:rPr>
                <w:i/>
                <w:sz w:val="16"/>
                <w:lang w:val="fr-CH"/>
              </w:rPr>
            </w:pPr>
            <w:r w:rsidRPr="0071782F">
              <w:rPr>
                <w:i/>
                <w:sz w:val="16"/>
                <w:lang w:val="fr-CH"/>
              </w:rPr>
              <w:t>1981–2004</w:t>
            </w:r>
          </w:p>
        </w:tc>
        <w:tc>
          <w:tcPr>
            <w:tcW w:w="1983" w:type="dxa"/>
            <w:tcBorders>
              <w:top w:val="single" w:sz="4" w:space="0" w:color="auto"/>
              <w:bottom w:val="single" w:sz="12" w:space="0" w:color="auto"/>
            </w:tcBorders>
            <w:shd w:val="clear" w:color="auto" w:fill="auto"/>
            <w:vAlign w:val="bottom"/>
          </w:tcPr>
          <w:p w:rsidR="00AD5035" w:rsidRPr="0071782F" w:rsidRDefault="00AD5035" w:rsidP="003B1403">
            <w:pPr>
              <w:keepNext/>
              <w:keepLines/>
              <w:suppressAutoHyphens w:val="0"/>
              <w:spacing w:before="80" w:after="80" w:line="200" w:lineRule="exact"/>
              <w:jc w:val="right"/>
              <w:rPr>
                <w:i/>
                <w:sz w:val="16"/>
                <w:lang w:val="fr-CH"/>
              </w:rPr>
            </w:pPr>
            <w:r w:rsidRPr="0071782F">
              <w:rPr>
                <w:i/>
                <w:sz w:val="16"/>
                <w:lang w:val="fr-CH"/>
              </w:rPr>
              <w:t>2005–2009</w:t>
            </w:r>
          </w:p>
        </w:tc>
      </w:tr>
      <w:tr w:rsidR="00AD5035" w:rsidRPr="0071782F">
        <w:tc>
          <w:tcPr>
            <w:tcW w:w="3969" w:type="dxa"/>
            <w:tcBorders>
              <w:top w:val="single" w:sz="12" w:space="0" w:color="auto"/>
            </w:tcBorders>
            <w:shd w:val="clear" w:color="auto" w:fill="auto"/>
            <w:vAlign w:val="bottom"/>
          </w:tcPr>
          <w:p w:rsidR="00AD5035" w:rsidRPr="0071782F" w:rsidRDefault="004564A6" w:rsidP="003B1403">
            <w:pPr>
              <w:suppressAutoHyphens w:val="0"/>
              <w:spacing w:before="40" w:after="40" w:line="220" w:lineRule="exact"/>
              <w:rPr>
                <w:sz w:val="18"/>
                <w:lang w:val="fr-CH"/>
              </w:rPr>
            </w:pPr>
            <w:r w:rsidRPr="0071782F">
              <w:rPr>
                <w:sz w:val="18"/>
                <w:lang w:val="fr-CH"/>
              </w:rPr>
              <w:t>A</w:t>
            </w:r>
            <w:r w:rsidR="00AD5035" w:rsidRPr="0071782F">
              <w:rPr>
                <w:sz w:val="18"/>
                <w:lang w:val="fr-CH"/>
              </w:rPr>
              <w:t>ssociations</w:t>
            </w:r>
            <w:r w:rsidRPr="0071782F">
              <w:rPr>
                <w:sz w:val="18"/>
                <w:lang w:val="fr-CH"/>
              </w:rPr>
              <w:t xml:space="preserve"> étudiantes sportives</w:t>
            </w:r>
          </w:p>
        </w:tc>
        <w:tc>
          <w:tcPr>
            <w:tcW w:w="1418"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810</w:t>
            </w:r>
          </w:p>
        </w:tc>
        <w:tc>
          <w:tcPr>
            <w:tcW w:w="1983"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1 005</w:t>
            </w:r>
          </w:p>
        </w:tc>
      </w:tr>
      <w:tr w:rsidR="00AD5035" w:rsidRPr="0071782F">
        <w:tc>
          <w:tcPr>
            <w:tcW w:w="3969" w:type="dxa"/>
            <w:shd w:val="clear" w:color="auto" w:fill="auto"/>
            <w:vAlign w:val="bottom"/>
          </w:tcPr>
          <w:p w:rsidR="00AD5035" w:rsidRPr="0071782F" w:rsidRDefault="004564A6" w:rsidP="003B1403">
            <w:pPr>
              <w:suppressAutoHyphens w:val="0"/>
              <w:spacing w:before="40" w:after="40" w:line="220" w:lineRule="exact"/>
              <w:rPr>
                <w:sz w:val="18"/>
                <w:lang w:val="fr-CH"/>
              </w:rPr>
            </w:pPr>
            <w:r w:rsidRPr="0071782F">
              <w:rPr>
                <w:sz w:val="18"/>
                <w:lang w:val="fr-CH"/>
              </w:rPr>
              <w:t>Associations étudiantes s</w:t>
            </w:r>
            <w:r w:rsidR="00AD5035" w:rsidRPr="0071782F">
              <w:rPr>
                <w:sz w:val="18"/>
                <w:lang w:val="fr-CH"/>
              </w:rPr>
              <w:t>cientifi</w:t>
            </w:r>
            <w:r w:rsidRPr="0071782F">
              <w:rPr>
                <w:sz w:val="18"/>
                <w:lang w:val="fr-CH"/>
              </w:rPr>
              <w:t>ques</w:t>
            </w:r>
          </w:p>
        </w:tc>
        <w:tc>
          <w:tcPr>
            <w:tcW w:w="1418"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640</w:t>
            </w:r>
          </w:p>
        </w:tc>
        <w:tc>
          <w:tcPr>
            <w:tcW w:w="1983"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2 214</w:t>
            </w:r>
          </w:p>
        </w:tc>
      </w:tr>
    </w:tbl>
    <w:p w:rsidR="00AD5035" w:rsidRPr="0071782F" w:rsidRDefault="00AD5035" w:rsidP="00930639">
      <w:pPr>
        <w:pStyle w:val="H23G"/>
        <w:rPr>
          <w:lang w:val="fr-CH"/>
        </w:rPr>
      </w:pPr>
      <w:r w:rsidRPr="0071782F">
        <w:rPr>
          <w:lang w:val="fr-CH"/>
        </w:rPr>
        <w:tab/>
      </w:r>
      <w:r w:rsidRPr="0071782F">
        <w:rPr>
          <w:lang w:val="fr-CH"/>
        </w:rPr>
        <w:tab/>
      </w:r>
      <w:r w:rsidR="004564A6" w:rsidRPr="0071782F">
        <w:rPr>
          <w:lang w:val="fr-CH"/>
        </w:rPr>
        <w:t>Sports u</w:t>
      </w:r>
      <w:r w:rsidRPr="0071782F">
        <w:rPr>
          <w:lang w:val="fr-CH"/>
        </w:rPr>
        <w:t>niversit</w:t>
      </w:r>
      <w:r w:rsidR="004564A6" w:rsidRPr="0071782F">
        <w:rPr>
          <w:lang w:val="fr-CH"/>
        </w:rPr>
        <w:t xml:space="preserve">aires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544"/>
        <w:gridCol w:w="992"/>
        <w:gridCol w:w="1418"/>
        <w:gridCol w:w="1416"/>
      </w:tblGrid>
      <w:tr w:rsidR="00AD5035" w:rsidRPr="0071782F">
        <w:trPr>
          <w:tblHeader/>
        </w:trPr>
        <w:tc>
          <w:tcPr>
            <w:tcW w:w="3544"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rPr>
                <w:i/>
                <w:sz w:val="16"/>
                <w:lang w:val="fr-CH"/>
              </w:rPr>
            </w:pPr>
          </w:p>
        </w:tc>
        <w:tc>
          <w:tcPr>
            <w:tcW w:w="992"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1997–2000</w:t>
            </w:r>
          </w:p>
        </w:tc>
        <w:tc>
          <w:tcPr>
            <w:tcW w:w="1418"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2001–2004</w:t>
            </w:r>
          </w:p>
        </w:tc>
        <w:tc>
          <w:tcPr>
            <w:tcW w:w="1416"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2005–2009</w:t>
            </w:r>
          </w:p>
        </w:tc>
      </w:tr>
      <w:tr w:rsidR="00AD5035" w:rsidRPr="0071782F">
        <w:tc>
          <w:tcPr>
            <w:tcW w:w="3544" w:type="dxa"/>
            <w:tcBorders>
              <w:top w:val="single" w:sz="12" w:space="0" w:color="auto"/>
            </w:tcBorders>
            <w:shd w:val="clear" w:color="auto" w:fill="auto"/>
            <w:vAlign w:val="bottom"/>
          </w:tcPr>
          <w:p w:rsidR="00AD5035" w:rsidRPr="0071782F" w:rsidRDefault="004564A6" w:rsidP="003B1403">
            <w:pPr>
              <w:suppressAutoHyphens w:val="0"/>
              <w:spacing w:before="40" w:after="40" w:line="220" w:lineRule="exact"/>
              <w:rPr>
                <w:sz w:val="18"/>
                <w:lang w:val="fr-CH"/>
              </w:rPr>
            </w:pPr>
            <w:r w:rsidRPr="0071782F">
              <w:rPr>
                <w:sz w:val="18"/>
                <w:lang w:val="fr-CH"/>
              </w:rPr>
              <w:t xml:space="preserve">Mètres carrés d’installations sportives </w:t>
            </w:r>
            <w:r w:rsidR="00AD5035" w:rsidRPr="0071782F">
              <w:rPr>
                <w:sz w:val="18"/>
                <w:lang w:val="fr-CH"/>
              </w:rPr>
              <w:t>universit</w:t>
            </w:r>
            <w:r w:rsidRPr="0071782F">
              <w:rPr>
                <w:sz w:val="18"/>
                <w:lang w:val="fr-CH"/>
              </w:rPr>
              <w:t xml:space="preserve">aires </w:t>
            </w:r>
          </w:p>
        </w:tc>
        <w:tc>
          <w:tcPr>
            <w:tcW w:w="992"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28 507</w:t>
            </w:r>
          </w:p>
        </w:tc>
        <w:tc>
          <w:tcPr>
            <w:tcW w:w="1418"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37 900</w:t>
            </w:r>
          </w:p>
        </w:tc>
        <w:tc>
          <w:tcPr>
            <w:tcW w:w="1416"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148 700</w:t>
            </w:r>
          </w:p>
        </w:tc>
      </w:tr>
      <w:tr w:rsidR="00AD5035" w:rsidRPr="0071782F">
        <w:tc>
          <w:tcPr>
            <w:tcW w:w="3544" w:type="dxa"/>
            <w:shd w:val="clear" w:color="auto" w:fill="auto"/>
            <w:vAlign w:val="bottom"/>
          </w:tcPr>
          <w:p w:rsidR="00AD5035" w:rsidRPr="0071782F" w:rsidRDefault="004564A6" w:rsidP="003B1403">
            <w:pPr>
              <w:suppressAutoHyphens w:val="0"/>
              <w:spacing w:before="40" w:after="40" w:line="220" w:lineRule="exact"/>
              <w:rPr>
                <w:sz w:val="18"/>
                <w:lang w:val="fr-CH"/>
              </w:rPr>
            </w:pPr>
            <w:r w:rsidRPr="0071782F">
              <w:rPr>
                <w:sz w:val="18"/>
                <w:lang w:val="fr-CH"/>
              </w:rPr>
              <w:t xml:space="preserve">Nombre d’étudiants pratiquant un sport </w:t>
            </w:r>
          </w:p>
        </w:tc>
        <w:tc>
          <w:tcPr>
            <w:tcW w:w="992"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76 900</w:t>
            </w:r>
          </w:p>
        </w:tc>
        <w:tc>
          <w:tcPr>
            <w:tcW w:w="1418"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104 960</w:t>
            </w:r>
          </w:p>
        </w:tc>
        <w:tc>
          <w:tcPr>
            <w:tcW w:w="1416"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303 949</w:t>
            </w:r>
          </w:p>
        </w:tc>
      </w:tr>
    </w:tbl>
    <w:p w:rsidR="00AD5035" w:rsidRPr="0071782F" w:rsidRDefault="00AD5035" w:rsidP="00930639">
      <w:pPr>
        <w:pStyle w:val="H23G"/>
        <w:rPr>
          <w:lang w:val="fr-CH"/>
        </w:rPr>
      </w:pPr>
      <w:r w:rsidRPr="0071782F">
        <w:rPr>
          <w:lang w:val="fr-CH"/>
        </w:rPr>
        <w:tab/>
      </w:r>
      <w:r w:rsidRPr="0071782F">
        <w:rPr>
          <w:lang w:val="fr-CH"/>
        </w:rPr>
        <w:tab/>
      </w:r>
      <w:r w:rsidR="004564A6" w:rsidRPr="0071782F">
        <w:rPr>
          <w:lang w:val="fr-CH"/>
        </w:rPr>
        <w:t>Parcs s</w:t>
      </w:r>
      <w:r w:rsidRPr="0071782F">
        <w:rPr>
          <w:lang w:val="fr-CH"/>
        </w:rPr>
        <w:t>cien</w:t>
      </w:r>
      <w:r w:rsidR="004564A6" w:rsidRPr="0071782F">
        <w:rPr>
          <w:lang w:val="fr-CH"/>
        </w:rPr>
        <w:t>tifiques et technologiques</w:t>
      </w:r>
      <w:r w:rsidR="00D36718">
        <w:rPr>
          <w:lang w:val="fr-CH"/>
        </w:rPr>
        <w:t xml:space="preserve"> </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464"/>
        <w:gridCol w:w="784"/>
        <w:gridCol w:w="770"/>
        <w:gridCol w:w="769"/>
        <w:gridCol w:w="770"/>
        <w:gridCol w:w="812"/>
        <w:gridCol w:w="798"/>
        <w:gridCol w:w="771"/>
        <w:gridCol w:w="567"/>
      </w:tblGrid>
      <w:tr w:rsidR="00AD5035" w:rsidRPr="0071782F">
        <w:trPr>
          <w:tblHeader/>
        </w:trPr>
        <w:tc>
          <w:tcPr>
            <w:tcW w:w="2464" w:type="dxa"/>
            <w:tcBorders>
              <w:top w:val="single" w:sz="4" w:space="0" w:color="auto"/>
              <w:bottom w:val="single" w:sz="12" w:space="0" w:color="auto"/>
            </w:tcBorders>
            <w:shd w:val="clear" w:color="auto" w:fill="auto"/>
            <w:vAlign w:val="bottom"/>
          </w:tcPr>
          <w:p w:rsidR="00AD5035" w:rsidRPr="0071782F" w:rsidRDefault="00AD5035" w:rsidP="00847A8E">
            <w:pPr>
              <w:keepNext/>
              <w:suppressAutoHyphens w:val="0"/>
              <w:spacing w:before="80" w:after="80" w:line="200" w:lineRule="exact"/>
              <w:rPr>
                <w:i/>
                <w:sz w:val="16"/>
                <w:lang w:val="fr-CH"/>
              </w:rPr>
            </w:pPr>
          </w:p>
        </w:tc>
        <w:tc>
          <w:tcPr>
            <w:tcW w:w="784" w:type="dxa"/>
            <w:tcBorders>
              <w:top w:val="single" w:sz="4" w:space="0" w:color="auto"/>
              <w:bottom w:val="single" w:sz="12" w:space="0" w:color="auto"/>
            </w:tcBorders>
            <w:shd w:val="clear" w:color="auto" w:fill="auto"/>
            <w:vAlign w:val="bottom"/>
          </w:tcPr>
          <w:p w:rsidR="00AD5035" w:rsidRPr="0071782F" w:rsidRDefault="00AD5035" w:rsidP="00847A8E">
            <w:pPr>
              <w:keepNext/>
              <w:suppressAutoHyphens w:val="0"/>
              <w:spacing w:before="80" w:after="80" w:line="200" w:lineRule="exact"/>
              <w:jc w:val="right"/>
              <w:rPr>
                <w:i/>
                <w:sz w:val="16"/>
                <w:lang w:val="fr-CH"/>
              </w:rPr>
            </w:pPr>
            <w:r w:rsidRPr="0071782F">
              <w:rPr>
                <w:i/>
                <w:sz w:val="16"/>
                <w:lang w:val="fr-CH"/>
              </w:rPr>
              <w:t>1981</w:t>
            </w:r>
            <w:r w:rsidR="00847A8E">
              <w:rPr>
                <w:i/>
                <w:sz w:val="16"/>
                <w:lang w:val="fr-CH"/>
              </w:rPr>
              <w:t>-</w:t>
            </w:r>
            <w:r w:rsidRPr="0071782F">
              <w:rPr>
                <w:i/>
                <w:sz w:val="16"/>
                <w:lang w:val="fr-CH"/>
              </w:rPr>
              <w:t>1984</w:t>
            </w:r>
          </w:p>
        </w:tc>
        <w:tc>
          <w:tcPr>
            <w:tcW w:w="770" w:type="dxa"/>
            <w:tcBorders>
              <w:top w:val="single" w:sz="4" w:space="0" w:color="auto"/>
              <w:bottom w:val="single" w:sz="12" w:space="0" w:color="auto"/>
            </w:tcBorders>
            <w:shd w:val="clear" w:color="auto" w:fill="auto"/>
            <w:vAlign w:val="bottom"/>
          </w:tcPr>
          <w:p w:rsidR="00AD5035" w:rsidRPr="0071782F" w:rsidRDefault="00AD5035" w:rsidP="00847A8E">
            <w:pPr>
              <w:keepNext/>
              <w:suppressAutoHyphens w:val="0"/>
              <w:spacing w:before="80" w:after="80" w:line="200" w:lineRule="exact"/>
              <w:jc w:val="right"/>
              <w:rPr>
                <w:i/>
                <w:sz w:val="16"/>
                <w:lang w:val="fr-CH"/>
              </w:rPr>
            </w:pPr>
            <w:r w:rsidRPr="0071782F">
              <w:rPr>
                <w:i/>
                <w:sz w:val="16"/>
                <w:lang w:val="fr-CH"/>
              </w:rPr>
              <w:t>1985</w:t>
            </w:r>
            <w:r w:rsidR="00847A8E">
              <w:rPr>
                <w:i/>
                <w:sz w:val="16"/>
                <w:lang w:val="fr-CH"/>
              </w:rPr>
              <w:t>-</w:t>
            </w:r>
            <w:r w:rsidRPr="0071782F">
              <w:rPr>
                <w:i/>
                <w:sz w:val="16"/>
                <w:lang w:val="fr-CH"/>
              </w:rPr>
              <w:t>1988</w:t>
            </w:r>
          </w:p>
        </w:tc>
        <w:tc>
          <w:tcPr>
            <w:tcW w:w="769" w:type="dxa"/>
            <w:tcBorders>
              <w:top w:val="single" w:sz="4" w:space="0" w:color="auto"/>
              <w:bottom w:val="single" w:sz="12" w:space="0" w:color="auto"/>
            </w:tcBorders>
            <w:shd w:val="clear" w:color="auto" w:fill="auto"/>
            <w:vAlign w:val="bottom"/>
          </w:tcPr>
          <w:p w:rsidR="00AD5035" w:rsidRPr="0071782F" w:rsidRDefault="00AD5035" w:rsidP="00847A8E">
            <w:pPr>
              <w:keepNext/>
              <w:suppressAutoHyphens w:val="0"/>
              <w:spacing w:before="80" w:after="80" w:line="200" w:lineRule="exact"/>
              <w:jc w:val="right"/>
              <w:rPr>
                <w:i/>
                <w:sz w:val="16"/>
                <w:lang w:val="fr-CH"/>
              </w:rPr>
            </w:pPr>
            <w:r w:rsidRPr="0071782F">
              <w:rPr>
                <w:i/>
                <w:sz w:val="16"/>
                <w:lang w:val="fr-CH"/>
              </w:rPr>
              <w:t>1989</w:t>
            </w:r>
            <w:r w:rsidR="00847A8E">
              <w:rPr>
                <w:i/>
                <w:sz w:val="16"/>
                <w:lang w:val="fr-CH"/>
              </w:rPr>
              <w:t>-</w:t>
            </w:r>
            <w:r w:rsidRPr="0071782F">
              <w:rPr>
                <w:i/>
                <w:sz w:val="16"/>
                <w:lang w:val="fr-CH"/>
              </w:rPr>
              <w:t>1992</w:t>
            </w:r>
          </w:p>
        </w:tc>
        <w:tc>
          <w:tcPr>
            <w:tcW w:w="770" w:type="dxa"/>
            <w:tcBorders>
              <w:top w:val="single" w:sz="4" w:space="0" w:color="auto"/>
              <w:bottom w:val="single" w:sz="12" w:space="0" w:color="auto"/>
            </w:tcBorders>
            <w:shd w:val="clear" w:color="auto" w:fill="auto"/>
            <w:vAlign w:val="bottom"/>
          </w:tcPr>
          <w:p w:rsidR="00AD5035" w:rsidRPr="0071782F" w:rsidRDefault="00AD5035" w:rsidP="00847A8E">
            <w:pPr>
              <w:keepNext/>
              <w:suppressAutoHyphens w:val="0"/>
              <w:spacing w:before="80" w:after="80" w:line="200" w:lineRule="exact"/>
              <w:jc w:val="right"/>
              <w:rPr>
                <w:i/>
                <w:sz w:val="16"/>
                <w:lang w:val="fr-CH"/>
              </w:rPr>
            </w:pPr>
            <w:r w:rsidRPr="0071782F">
              <w:rPr>
                <w:i/>
                <w:sz w:val="16"/>
                <w:lang w:val="fr-CH"/>
              </w:rPr>
              <w:t>1993</w:t>
            </w:r>
            <w:r w:rsidR="00847A8E">
              <w:rPr>
                <w:i/>
                <w:sz w:val="16"/>
                <w:lang w:val="fr-CH"/>
              </w:rPr>
              <w:t>-</w:t>
            </w:r>
            <w:r w:rsidRPr="0071782F">
              <w:rPr>
                <w:i/>
                <w:sz w:val="16"/>
                <w:lang w:val="fr-CH"/>
              </w:rPr>
              <w:t>1996</w:t>
            </w:r>
          </w:p>
        </w:tc>
        <w:tc>
          <w:tcPr>
            <w:tcW w:w="812" w:type="dxa"/>
            <w:tcBorders>
              <w:top w:val="single" w:sz="4" w:space="0" w:color="auto"/>
              <w:bottom w:val="single" w:sz="12" w:space="0" w:color="auto"/>
            </w:tcBorders>
            <w:shd w:val="clear" w:color="auto" w:fill="auto"/>
            <w:vAlign w:val="bottom"/>
          </w:tcPr>
          <w:p w:rsidR="00AD5035" w:rsidRPr="0071782F" w:rsidRDefault="00AD5035" w:rsidP="00847A8E">
            <w:pPr>
              <w:keepNext/>
              <w:suppressAutoHyphens w:val="0"/>
              <w:spacing w:before="80" w:after="80" w:line="200" w:lineRule="exact"/>
              <w:jc w:val="right"/>
              <w:rPr>
                <w:i/>
                <w:sz w:val="16"/>
                <w:lang w:val="fr-CH"/>
              </w:rPr>
            </w:pPr>
            <w:r w:rsidRPr="0071782F">
              <w:rPr>
                <w:i/>
                <w:sz w:val="16"/>
                <w:lang w:val="fr-CH"/>
              </w:rPr>
              <w:t>1997</w:t>
            </w:r>
            <w:r w:rsidR="00847A8E">
              <w:rPr>
                <w:i/>
                <w:sz w:val="16"/>
                <w:lang w:val="fr-CH"/>
              </w:rPr>
              <w:t>-</w:t>
            </w:r>
            <w:r w:rsidRPr="0071782F">
              <w:rPr>
                <w:i/>
                <w:sz w:val="16"/>
                <w:lang w:val="fr-CH"/>
              </w:rPr>
              <w:t>2000</w:t>
            </w:r>
          </w:p>
        </w:tc>
        <w:tc>
          <w:tcPr>
            <w:tcW w:w="798" w:type="dxa"/>
            <w:tcBorders>
              <w:top w:val="single" w:sz="4" w:space="0" w:color="auto"/>
              <w:bottom w:val="single" w:sz="12" w:space="0" w:color="auto"/>
            </w:tcBorders>
            <w:shd w:val="clear" w:color="auto" w:fill="auto"/>
            <w:vAlign w:val="bottom"/>
          </w:tcPr>
          <w:p w:rsidR="00AD5035" w:rsidRPr="0071782F" w:rsidRDefault="00AD5035" w:rsidP="00847A8E">
            <w:pPr>
              <w:keepNext/>
              <w:suppressAutoHyphens w:val="0"/>
              <w:spacing w:before="80" w:after="80" w:line="200" w:lineRule="exact"/>
              <w:jc w:val="right"/>
              <w:rPr>
                <w:i/>
                <w:sz w:val="16"/>
                <w:lang w:val="fr-CH"/>
              </w:rPr>
            </w:pPr>
            <w:r w:rsidRPr="0071782F">
              <w:rPr>
                <w:i/>
                <w:sz w:val="16"/>
                <w:lang w:val="fr-CH"/>
              </w:rPr>
              <w:t>2001</w:t>
            </w:r>
            <w:r w:rsidR="00847A8E">
              <w:rPr>
                <w:i/>
                <w:sz w:val="16"/>
                <w:lang w:val="fr-CH"/>
              </w:rPr>
              <w:t>-</w:t>
            </w:r>
            <w:r w:rsidRPr="0071782F">
              <w:rPr>
                <w:i/>
                <w:sz w:val="16"/>
                <w:lang w:val="fr-CH"/>
              </w:rPr>
              <w:t>2004</w:t>
            </w:r>
          </w:p>
        </w:tc>
        <w:tc>
          <w:tcPr>
            <w:tcW w:w="771" w:type="dxa"/>
            <w:tcBorders>
              <w:top w:val="single" w:sz="4" w:space="0" w:color="auto"/>
              <w:bottom w:val="single" w:sz="12" w:space="0" w:color="auto"/>
            </w:tcBorders>
            <w:shd w:val="clear" w:color="auto" w:fill="auto"/>
            <w:vAlign w:val="bottom"/>
          </w:tcPr>
          <w:p w:rsidR="00AD5035" w:rsidRPr="0071782F" w:rsidRDefault="00AD5035" w:rsidP="00847A8E">
            <w:pPr>
              <w:keepNext/>
              <w:suppressAutoHyphens w:val="0"/>
              <w:spacing w:before="80" w:after="80" w:line="200" w:lineRule="exact"/>
              <w:jc w:val="right"/>
              <w:rPr>
                <w:i/>
                <w:sz w:val="16"/>
                <w:lang w:val="fr-CH"/>
              </w:rPr>
            </w:pPr>
            <w:r w:rsidRPr="0071782F">
              <w:rPr>
                <w:i/>
                <w:sz w:val="16"/>
                <w:lang w:val="fr-CH"/>
              </w:rPr>
              <w:t>2005</w:t>
            </w:r>
            <w:r w:rsidR="00847A8E">
              <w:rPr>
                <w:i/>
                <w:sz w:val="16"/>
                <w:lang w:val="fr-CH"/>
              </w:rPr>
              <w:t>-</w:t>
            </w:r>
            <w:r w:rsidRPr="0071782F">
              <w:rPr>
                <w:i/>
                <w:sz w:val="16"/>
                <w:lang w:val="fr-CH"/>
              </w:rPr>
              <w:t>2008</w:t>
            </w:r>
          </w:p>
        </w:tc>
        <w:tc>
          <w:tcPr>
            <w:tcW w:w="567" w:type="dxa"/>
            <w:tcBorders>
              <w:top w:val="single" w:sz="4" w:space="0" w:color="auto"/>
              <w:bottom w:val="single" w:sz="12" w:space="0" w:color="auto"/>
            </w:tcBorders>
            <w:shd w:val="clear" w:color="auto" w:fill="auto"/>
            <w:vAlign w:val="bottom"/>
          </w:tcPr>
          <w:p w:rsidR="00AD5035" w:rsidRPr="0071782F" w:rsidRDefault="00AD5035" w:rsidP="00847A8E">
            <w:pPr>
              <w:keepNext/>
              <w:suppressAutoHyphens w:val="0"/>
              <w:spacing w:before="80" w:after="80" w:line="200" w:lineRule="exact"/>
              <w:jc w:val="right"/>
              <w:rPr>
                <w:b/>
                <w:i/>
                <w:sz w:val="16"/>
                <w:lang w:val="fr-CH"/>
              </w:rPr>
            </w:pPr>
            <w:r w:rsidRPr="0071782F">
              <w:rPr>
                <w:b/>
                <w:i/>
                <w:sz w:val="16"/>
                <w:lang w:val="fr-CH"/>
              </w:rPr>
              <w:t>Total</w:t>
            </w:r>
          </w:p>
        </w:tc>
      </w:tr>
      <w:tr w:rsidR="00BB0D66" w:rsidRPr="0071782F">
        <w:tc>
          <w:tcPr>
            <w:tcW w:w="2464" w:type="dxa"/>
            <w:tcBorders>
              <w:top w:val="single" w:sz="12" w:space="0" w:color="auto"/>
            </w:tcBorders>
            <w:shd w:val="clear" w:color="auto" w:fill="auto"/>
            <w:vAlign w:val="bottom"/>
          </w:tcPr>
          <w:p w:rsidR="00BB0D66" w:rsidRPr="0071782F" w:rsidRDefault="00BB0D66" w:rsidP="00847A8E">
            <w:pPr>
              <w:keepNext/>
              <w:suppressAutoHyphens w:val="0"/>
              <w:spacing w:before="40" w:after="40" w:line="220" w:lineRule="exact"/>
              <w:rPr>
                <w:sz w:val="18"/>
                <w:lang w:val="fr-CH"/>
              </w:rPr>
            </w:pPr>
            <w:r w:rsidRPr="0071782F">
              <w:rPr>
                <w:sz w:val="18"/>
                <w:lang w:val="fr-CH"/>
              </w:rPr>
              <w:t>No</w:t>
            </w:r>
            <w:r w:rsidR="004564A6" w:rsidRPr="0071782F">
              <w:rPr>
                <w:sz w:val="18"/>
                <w:lang w:val="fr-CH"/>
              </w:rPr>
              <w:t xml:space="preserve">mbre de parcs </w:t>
            </w:r>
            <w:r w:rsidRPr="0071782F">
              <w:rPr>
                <w:sz w:val="18"/>
                <w:lang w:val="fr-CH"/>
              </w:rPr>
              <w:t>scien</w:t>
            </w:r>
            <w:r w:rsidR="004564A6" w:rsidRPr="0071782F">
              <w:rPr>
                <w:sz w:val="18"/>
                <w:lang w:val="fr-CH"/>
              </w:rPr>
              <w:t>ti</w:t>
            </w:r>
            <w:r w:rsidR="0071782F">
              <w:rPr>
                <w:sz w:val="18"/>
                <w:lang w:val="fr-CH"/>
              </w:rPr>
              <w:t>fi</w:t>
            </w:r>
            <w:r w:rsidR="004564A6" w:rsidRPr="0071782F">
              <w:rPr>
                <w:sz w:val="18"/>
                <w:lang w:val="fr-CH"/>
              </w:rPr>
              <w:t>ques et technologiques</w:t>
            </w:r>
            <w:r w:rsidRPr="0071782F">
              <w:rPr>
                <w:sz w:val="18"/>
                <w:lang w:val="fr-CH"/>
              </w:rPr>
              <w:t xml:space="preserve"> </w:t>
            </w:r>
          </w:p>
        </w:tc>
        <w:tc>
          <w:tcPr>
            <w:tcW w:w="784" w:type="dxa"/>
            <w:tcBorders>
              <w:top w:val="single" w:sz="12" w:space="0" w:color="auto"/>
            </w:tcBorders>
            <w:shd w:val="clear" w:color="auto" w:fill="auto"/>
            <w:vAlign w:val="bottom"/>
          </w:tcPr>
          <w:p w:rsidR="00BB0D66" w:rsidRPr="0071782F" w:rsidRDefault="00BB0D66" w:rsidP="00847A8E">
            <w:pPr>
              <w:keepNext/>
              <w:suppressAutoHyphens w:val="0"/>
              <w:spacing w:before="40" w:after="40" w:line="220" w:lineRule="exact"/>
              <w:jc w:val="right"/>
              <w:rPr>
                <w:sz w:val="18"/>
                <w:lang w:val="fr-CH"/>
              </w:rPr>
            </w:pPr>
            <w:r w:rsidRPr="0071782F">
              <w:rPr>
                <w:sz w:val="18"/>
                <w:lang w:val="fr-CH"/>
              </w:rPr>
              <w:t>–</w:t>
            </w:r>
          </w:p>
        </w:tc>
        <w:tc>
          <w:tcPr>
            <w:tcW w:w="770" w:type="dxa"/>
            <w:tcBorders>
              <w:top w:val="single" w:sz="12" w:space="0" w:color="auto"/>
            </w:tcBorders>
            <w:shd w:val="clear" w:color="auto" w:fill="auto"/>
            <w:vAlign w:val="bottom"/>
          </w:tcPr>
          <w:p w:rsidR="00BB0D66" w:rsidRPr="0071782F" w:rsidRDefault="00BB0D66" w:rsidP="00847A8E">
            <w:pPr>
              <w:keepNext/>
              <w:suppressAutoHyphens w:val="0"/>
              <w:spacing w:before="40" w:after="40" w:line="220" w:lineRule="exact"/>
              <w:jc w:val="right"/>
              <w:rPr>
                <w:sz w:val="18"/>
                <w:lang w:val="fr-CH"/>
              </w:rPr>
            </w:pPr>
            <w:r w:rsidRPr="0071782F">
              <w:rPr>
                <w:sz w:val="18"/>
                <w:lang w:val="fr-CH"/>
              </w:rPr>
              <w:t>–</w:t>
            </w:r>
          </w:p>
        </w:tc>
        <w:tc>
          <w:tcPr>
            <w:tcW w:w="769" w:type="dxa"/>
            <w:tcBorders>
              <w:top w:val="single" w:sz="12" w:space="0" w:color="auto"/>
            </w:tcBorders>
            <w:shd w:val="clear" w:color="auto" w:fill="auto"/>
            <w:vAlign w:val="bottom"/>
          </w:tcPr>
          <w:p w:rsidR="00BB0D66" w:rsidRPr="0071782F" w:rsidRDefault="00BB0D66" w:rsidP="00847A8E">
            <w:pPr>
              <w:keepNext/>
              <w:suppressAutoHyphens w:val="0"/>
              <w:spacing w:before="40" w:after="40" w:line="220" w:lineRule="exact"/>
              <w:jc w:val="right"/>
              <w:rPr>
                <w:sz w:val="18"/>
                <w:lang w:val="fr-CH"/>
              </w:rPr>
            </w:pPr>
            <w:r w:rsidRPr="0071782F">
              <w:rPr>
                <w:sz w:val="18"/>
                <w:lang w:val="fr-CH"/>
              </w:rPr>
              <w:t>–</w:t>
            </w:r>
          </w:p>
        </w:tc>
        <w:tc>
          <w:tcPr>
            <w:tcW w:w="770" w:type="dxa"/>
            <w:tcBorders>
              <w:top w:val="single" w:sz="12" w:space="0" w:color="auto"/>
            </w:tcBorders>
            <w:shd w:val="clear" w:color="auto" w:fill="auto"/>
            <w:vAlign w:val="bottom"/>
          </w:tcPr>
          <w:p w:rsidR="00BB0D66" w:rsidRPr="0071782F" w:rsidRDefault="00BB0D66" w:rsidP="00847A8E">
            <w:pPr>
              <w:keepNext/>
              <w:suppressAutoHyphens w:val="0"/>
              <w:spacing w:before="40" w:after="40" w:line="220" w:lineRule="exact"/>
              <w:jc w:val="right"/>
              <w:rPr>
                <w:sz w:val="18"/>
                <w:lang w:val="fr-CH"/>
              </w:rPr>
            </w:pPr>
            <w:r w:rsidRPr="0071782F">
              <w:rPr>
                <w:sz w:val="18"/>
                <w:lang w:val="fr-CH"/>
              </w:rPr>
              <w:t>–</w:t>
            </w:r>
          </w:p>
        </w:tc>
        <w:tc>
          <w:tcPr>
            <w:tcW w:w="812" w:type="dxa"/>
            <w:tcBorders>
              <w:top w:val="single" w:sz="12" w:space="0" w:color="auto"/>
            </w:tcBorders>
            <w:shd w:val="clear" w:color="auto" w:fill="auto"/>
            <w:vAlign w:val="bottom"/>
          </w:tcPr>
          <w:p w:rsidR="00BB0D66" w:rsidRPr="0071782F" w:rsidRDefault="00BB0D66" w:rsidP="00847A8E">
            <w:pPr>
              <w:keepNext/>
              <w:suppressAutoHyphens w:val="0"/>
              <w:spacing w:before="40" w:after="40" w:line="220" w:lineRule="exact"/>
              <w:jc w:val="right"/>
              <w:rPr>
                <w:sz w:val="18"/>
                <w:lang w:val="fr-CH"/>
              </w:rPr>
            </w:pPr>
            <w:r w:rsidRPr="0071782F">
              <w:rPr>
                <w:sz w:val="18"/>
                <w:lang w:val="fr-CH"/>
              </w:rPr>
              <w:t>1</w:t>
            </w:r>
          </w:p>
        </w:tc>
        <w:tc>
          <w:tcPr>
            <w:tcW w:w="798" w:type="dxa"/>
            <w:tcBorders>
              <w:top w:val="single" w:sz="12" w:space="0" w:color="auto"/>
            </w:tcBorders>
            <w:shd w:val="clear" w:color="auto" w:fill="auto"/>
            <w:vAlign w:val="bottom"/>
          </w:tcPr>
          <w:p w:rsidR="00BB0D66" w:rsidRPr="0071782F" w:rsidRDefault="00BB0D66" w:rsidP="00847A8E">
            <w:pPr>
              <w:keepNext/>
              <w:suppressAutoHyphens w:val="0"/>
              <w:spacing w:before="40" w:after="40" w:line="220" w:lineRule="exact"/>
              <w:jc w:val="right"/>
              <w:rPr>
                <w:sz w:val="18"/>
                <w:lang w:val="fr-CH"/>
              </w:rPr>
            </w:pPr>
            <w:r w:rsidRPr="0071782F">
              <w:rPr>
                <w:sz w:val="18"/>
                <w:lang w:val="fr-CH"/>
              </w:rPr>
              <w:t>10</w:t>
            </w:r>
          </w:p>
        </w:tc>
        <w:tc>
          <w:tcPr>
            <w:tcW w:w="771" w:type="dxa"/>
            <w:tcBorders>
              <w:top w:val="single" w:sz="12" w:space="0" w:color="auto"/>
            </w:tcBorders>
            <w:shd w:val="clear" w:color="auto" w:fill="auto"/>
            <w:vAlign w:val="bottom"/>
          </w:tcPr>
          <w:p w:rsidR="00BB0D66" w:rsidRPr="0071782F" w:rsidRDefault="00BB0D66" w:rsidP="00847A8E">
            <w:pPr>
              <w:keepNext/>
              <w:suppressAutoHyphens w:val="0"/>
              <w:spacing w:before="40" w:after="40" w:line="220" w:lineRule="exact"/>
              <w:jc w:val="right"/>
              <w:rPr>
                <w:sz w:val="18"/>
                <w:lang w:val="fr-CH"/>
              </w:rPr>
            </w:pPr>
            <w:r w:rsidRPr="0071782F">
              <w:rPr>
                <w:sz w:val="18"/>
                <w:lang w:val="fr-CH"/>
              </w:rPr>
              <w:t>12</w:t>
            </w:r>
          </w:p>
        </w:tc>
        <w:tc>
          <w:tcPr>
            <w:tcW w:w="567" w:type="dxa"/>
            <w:tcBorders>
              <w:top w:val="single" w:sz="12" w:space="0" w:color="auto"/>
            </w:tcBorders>
            <w:shd w:val="clear" w:color="auto" w:fill="auto"/>
            <w:vAlign w:val="bottom"/>
          </w:tcPr>
          <w:p w:rsidR="00BB0D66" w:rsidRPr="0071782F" w:rsidRDefault="00BB0D66" w:rsidP="00847A8E">
            <w:pPr>
              <w:keepNext/>
              <w:suppressAutoHyphens w:val="0"/>
              <w:spacing w:before="40" w:after="40" w:line="220" w:lineRule="exact"/>
              <w:jc w:val="right"/>
              <w:rPr>
                <w:b/>
                <w:sz w:val="18"/>
                <w:lang w:val="fr-CH"/>
              </w:rPr>
            </w:pPr>
            <w:r w:rsidRPr="0071782F">
              <w:rPr>
                <w:b/>
                <w:sz w:val="18"/>
                <w:lang w:val="fr-CH"/>
              </w:rPr>
              <w:t>23</w:t>
            </w:r>
          </w:p>
        </w:tc>
      </w:tr>
      <w:tr w:rsidR="00BB0D66" w:rsidRPr="0071782F">
        <w:tc>
          <w:tcPr>
            <w:tcW w:w="2464" w:type="dxa"/>
            <w:shd w:val="clear" w:color="auto" w:fill="auto"/>
            <w:vAlign w:val="bottom"/>
          </w:tcPr>
          <w:p w:rsidR="00BB0D66" w:rsidRPr="0071782F" w:rsidRDefault="00BB0D66" w:rsidP="00847A8E">
            <w:pPr>
              <w:keepNext/>
              <w:suppressAutoHyphens w:val="0"/>
              <w:spacing w:before="40" w:after="40" w:line="220" w:lineRule="exact"/>
              <w:rPr>
                <w:sz w:val="18"/>
                <w:lang w:val="fr-CH"/>
              </w:rPr>
            </w:pPr>
            <w:r w:rsidRPr="0071782F">
              <w:rPr>
                <w:sz w:val="18"/>
                <w:lang w:val="fr-CH"/>
              </w:rPr>
              <w:t>No</w:t>
            </w:r>
            <w:r w:rsidR="004564A6" w:rsidRPr="0071782F">
              <w:rPr>
                <w:sz w:val="18"/>
                <w:lang w:val="fr-CH"/>
              </w:rPr>
              <w:t xml:space="preserve">mbres de centres de développement </w:t>
            </w:r>
            <w:r w:rsidRPr="0071782F">
              <w:rPr>
                <w:sz w:val="18"/>
                <w:lang w:val="fr-CH"/>
              </w:rPr>
              <w:t>technolog</w:t>
            </w:r>
            <w:r w:rsidR="004564A6" w:rsidRPr="0071782F">
              <w:rPr>
                <w:sz w:val="18"/>
                <w:lang w:val="fr-CH"/>
              </w:rPr>
              <w:t>ique</w:t>
            </w:r>
          </w:p>
        </w:tc>
        <w:tc>
          <w:tcPr>
            <w:tcW w:w="784" w:type="dxa"/>
            <w:shd w:val="clear" w:color="auto" w:fill="auto"/>
            <w:vAlign w:val="bottom"/>
          </w:tcPr>
          <w:p w:rsidR="00BB0D66" w:rsidRPr="0071782F" w:rsidRDefault="00BB0D66" w:rsidP="00847A8E">
            <w:pPr>
              <w:keepNext/>
              <w:suppressAutoHyphens w:val="0"/>
              <w:spacing w:before="40" w:after="40" w:line="220" w:lineRule="exact"/>
              <w:jc w:val="right"/>
              <w:rPr>
                <w:sz w:val="18"/>
                <w:lang w:val="fr-CH"/>
              </w:rPr>
            </w:pPr>
            <w:r w:rsidRPr="0071782F">
              <w:rPr>
                <w:sz w:val="18"/>
                <w:lang w:val="fr-CH"/>
              </w:rPr>
              <w:t>–</w:t>
            </w:r>
          </w:p>
        </w:tc>
        <w:tc>
          <w:tcPr>
            <w:tcW w:w="770" w:type="dxa"/>
            <w:shd w:val="clear" w:color="auto" w:fill="auto"/>
            <w:vAlign w:val="bottom"/>
          </w:tcPr>
          <w:p w:rsidR="00BB0D66" w:rsidRPr="0071782F" w:rsidRDefault="00BB0D66" w:rsidP="00847A8E">
            <w:pPr>
              <w:keepNext/>
              <w:suppressAutoHyphens w:val="0"/>
              <w:spacing w:before="40" w:after="40" w:line="220" w:lineRule="exact"/>
              <w:jc w:val="right"/>
              <w:rPr>
                <w:sz w:val="18"/>
                <w:lang w:val="fr-CH"/>
              </w:rPr>
            </w:pPr>
            <w:r w:rsidRPr="0071782F">
              <w:rPr>
                <w:sz w:val="18"/>
                <w:lang w:val="fr-CH"/>
              </w:rPr>
              <w:t>–</w:t>
            </w:r>
          </w:p>
        </w:tc>
        <w:tc>
          <w:tcPr>
            <w:tcW w:w="769" w:type="dxa"/>
            <w:shd w:val="clear" w:color="auto" w:fill="auto"/>
            <w:vAlign w:val="bottom"/>
          </w:tcPr>
          <w:p w:rsidR="00BB0D66" w:rsidRPr="0071782F" w:rsidRDefault="00BB0D66" w:rsidP="00847A8E">
            <w:pPr>
              <w:keepNext/>
              <w:suppressAutoHyphens w:val="0"/>
              <w:spacing w:before="40" w:after="40" w:line="220" w:lineRule="exact"/>
              <w:jc w:val="right"/>
              <w:rPr>
                <w:sz w:val="18"/>
                <w:lang w:val="fr-CH"/>
              </w:rPr>
            </w:pPr>
            <w:r w:rsidRPr="0071782F">
              <w:rPr>
                <w:sz w:val="18"/>
                <w:lang w:val="fr-CH"/>
              </w:rPr>
              <w:t>–</w:t>
            </w:r>
          </w:p>
        </w:tc>
        <w:tc>
          <w:tcPr>
            <w:tcW w:w="770" w:type="dxa"/>
            <w:shd w:val="clear" w:color="auto" w:fill="auto"/>
            <w:vAlign w:val="bottom"/>
          </w:tcPr>
          <w:p w:rsidR="00BB0D66" w:rsidRPr="0071782F" w:rsidRDefault="00BB0D66" w:rsidP="00847A8E">
            <w:pPr>
              <w:keepNext/>
              <w:suppressAutoHyphens w:val="0"/>
              <w:spacing w:before="40" w:after="40" w:line="220" w:lineRule="exact"/>
              <w:jc w:val="right"/>
              <w:rPr>
                <w:sz w:val="18"/>
                <w:lang w:val="fr-CH"/>
              </w:rPr>
            </w:pPr>
            <w:r w:rsidRPr="0071782F">
              <w:rPr>
                <w:sz w:val="18"/>
                <w:lang w:val="fr-CH"/>
              </w:rPr>
              <w:t>–</w:t>
            </w:r>
          </w:p>
        </w:tc>
        <w:tc>
          <w:tcPr>
            <w:tcW w:w="812" w:type="dxa"/>
            <w:shd w:val="clear" w:color="auto" w:fill="auto"/>
            <w:vAlign w:val="bottom"/>
          </w:tcPr>
          <w:p w:rsidR="00BB0D66" w:rsidRPr="0071782F" w:rsidRDefault="00BB0D66" w:rsidP="00847A8E">
            <w:pPr>
              <w:keepNext/>
              <w:suppressAutoHyphens w:val="0"/>
              <w:spacing w:before="40" w:after="40" w:line="220" w:lineRule="exact"/>
              <w:jc w:val="right"/>
              <w:rPr>
                <w:sz w:val="18"/>
                <w:lang w:val="fr-CH"/>
              </w:rPr>
            </w:pPr>
            <w:r w:rsidRPr="0071782F">
              <w:rPr>
                <w:sz w:val="18"/>
                <w:lang w:val="fr-CH"/>
              </w:rPr>
              <w:t>–</w:t>
            </w:r>
          </w:p>
        </w:tc>
        <w:tc>
          <w:tcPr>
            <w:tcW w:w="798" w:type="dxa"/>
            <w:shd w:val="clear" w:color="auto" w:fill="auto"/>
            <w:vAlign w:val="bottom"/>
          </w:tcPr>
          <w:p w:rsidR="00BB0D66" w:rsidRPr="0071782F" w:rsidRDefault="00BB0D66" w:rsidP="00847A8E">
            <w:pPr>
              <w:keepNext/>
              <w:suppressAutoHyphens w:val="0"/>
              <w:spacing w:before="40" w:after="40" w:line="220" w:lineRule="exact"/>
              <w:jc w:val="right"/>
              <w:rPr>
                <w:sz w:val="18"/>
                <w:lang w:val="fr-CH"/>
              </w:rPr>
            </w:pPr>
            <w:r w:rsidRPr="0071782F">
              <w:rPr>
                <w:sz w:val="18"/>
                <w:lang w:val="fr-CH"/>
              </w:rPr>
              <w:t>36</w:t>
            </w:r>
          </w:p>
        </w:tc>
        <w:tc>
          <w:tcPr>
            <w:tcW w:w="771" w:type="dxa"/>
            <w:shd w:val="clear" w:color="auto" w:fill="auto"/>
            <w:vAlign w:val="bottom"/>
          </w:tcPr>
          <w:p w:rsidR="00BB0D66" w:rsidRPr="0071782F" w:rsidRDefault="00BB0D66" w:rsidP="00847A8E">
            <w:pPr>
              <w:keepNext/>
              <w:suppressAutoHyphens w:val="0"/>
              <w:spacing w:before="40" w:after="40" w:line="220" w:lineRule="exact"/>
              <w:jc w:val="right"/>
              <w:rPr>
                <w:sz w:val="18"/>
                <w:lang w:val="fr-CH"/>
              </w:rPr>
            </w:pPr>
            <w:r w:rsidRPr="0071782F">
              <w:rPr>
                <w:sz w:val="18"/>
                <w:lang w:val="fr-CH"/>
              </w:rPr>
              <w:t>40</w:t>
            </w:r>
          </w:p>
        </w:tc>
        <w:tc>
          <w:tcPr>
            <w:tcW w:w="567" w:type="dxa"/>
            <w:shd w:val="clear" w:color="auto" w:fill="auto"/>
            <w:vAlign w:val="bottom"/>
          </w:tcPr>
          <w:p w:rsidR="00BB0D66" w:rsidRPr="0071782F" w:rsidRDefault="00BB0D66" w:rsidP="00847A8E">
            <w:pPr>
              <w:keepNext/>
              <w:suppressAutoHyphens w:val="0"/>
              <w:spacing w:before="40" w:after="40" w:line="220" w:lineRule="exact"/>
              <w:jc w:val="right"/>
              <w:rPr>
                <w:b/>
                <w:sz w:val="18"/>
                <w:lang w:val="fr-CH"/>
              </w:rPr>
            </w:pPr>
            <w:r w:rsidRPr="0071782F">
              <w:rPr>
                <w:b/>
                <w:sz w:val="18"/>
                <w:lang w:val="fr-CH"/>
              </w:rPr>
              <w:t>76</w:t>
            </w:r>
          </w:p>
        </w:tc>
      </w:tr>
      <w:tr w:rsidR="00BB0D66" w:rsidRPr="0071782F">
        <w:tc>
          <w:tcPr>
            <w:tcW w:w="2464" w:type="dxa"/>
            <w:shd w:val="clear" w:color="auto" w:fill="auto"/>
            <w:vAlign w:val="bottom"/>
          </w:tcPr>
          <w:p w:rsidR="00BB0D66" w:rsidRPr="0071782F" w:rsidRDefault="00BB0D66" w:rsidP="003B1403">
            <w:pPr>
              <w:suppressAutoHyphens w:val="0"/>
              <w:spacing w:before="40" w:after="40" w:line="220" w:lineRule="exact"/>
              <w:rPr>
                <w:sz w:val="18"/>
                <w:lang w:val="fr-CH"/>
              </w:rPr>
            </w:pPr>
            <w:r w:rsidRPr="0071782F">
              <w:rPr>
                <w:sz w:val="18"/>
                <w:lang w:val="fr-CH"/>
              </w:rPr>
              <w:t>No</w:t>
            </w:r>
            <w:r w:rsidR="004564A6" w:rsidRPr="0071782F">
              <w:rPr>
                <w:sz w:val="18"/>
                <w:lang w:val="fr-CH"/>
              </w:rPr>
              <w:t xml:space="preserve">mbre d’entreprises implantées dans les </w:t>
            </w:r>
            <w:r w:rsidR="00A728DE" w:rsidRPr="0071782F">
              <w:rPr>
                <w:sz w:val="18"/>
                <w:lang w:val="fr-CH"/>
              </w:rPr>
              <w:t xml:space="preserve">parcs </w:t>
            </w:r>
            <w:r w:rsidR="004564A6" w:rsidRPr="0071782F">
              <w:rPr>
                <w:sz w:val="18"/>
                <w:lang w:val="fr-CH"/>
              </w:rPr>
              <w:t>technologiques</w:t>
            </w:r>
          </w:p>
        </w:tc>
        <w:tc>
          <w:tcPr>
            <w:tcW w:w="784" w:type="dxa"/>
            <w:shd w:val="clear" w:color="auto" w:fill="auto"/>
            <w:vAlign w:val="bottom"/>
          </w:tcPr>
          <w:p w:rsidR="00BB0D66" w:rsidRPr="0071782F" w:rsidRDefault="00BB0D66" w:rsidP="003B1403">
            <w:pPr>
              <w:suppressAutoHyphens w:val="0"/>
              <w:spacing w:before="40" w:after="40" w:line="220" w:lineRule="exact"/>
              <w:jc w:val="right"/>
              <w:rPr>
                <w:sz w:val="18"/>
                <w:lang w:val="fr-CH"/>
              </w:rPr>
            </w:pPr>
            <w:r w:rsidRPr="0071782F">
              <w:rPr>
                <w:sz w:val="18"/>
                <w:lang w:val="fr-CH"/>
              </w:rPr>
              <w:t>–</w:t>
            </w:r>
          </w:p>
        </w:tc>
        <w:tc>
          <w:tcPr>
            <w:tcW w:w="770" w:type="dxa"/>
            <w:shd w:val="clear" w:color="auto" w:fill="auto"/>
            <w:vAlign w:val="bottom"/>
          </w:tcPr>
          <w:p w:rsidR="00BB0D66" w:rsidRPr="0071782F" w:rsidRDefault="00BB0D66" w:rsidP="003B1403">
            <w:pPr>
              <w:suppressAutoHyphens w:val="0"/>
              <w:spacing w:before="40" w:after="40" w:line="220" w:lineRule="exact"/>
              <w:jc w:val="right"/>
              <w:rPr>
                <w:sz w:val="18"/>
                <w:lang w:val="fr-CH"/>
              </w:rPr>
            </w:pPr>
            <w:r w:rsidRPr="0071782F">
              <w:rPr>
                <w:sz w:val="18"/>
                <w:lang w:val="fr-CH"/>
              </w:rPr>
              <w:t>–</w:t>
            </w:r>
          </w:p>
        </w:tc>
        <w:tc>
          <w:tcPr>
            <w:tcW w:w="769" w:type="dxa"/>
            <w:shd w:val="clear" w:color="auto" w:fill="auto"/>
            <w:vAlign w:val="bottom"/>
          </w:tcPr>
          <w:p w:rsidR="00BB0D66" w:rsidRPr="0071782F" w:rsidRDefault="00BB0D66" w:rsidP="003B1403">
            <w:pPr>
              <w:suppressAutoHyphens w:val="0"/>
              <w:spacing w:before="40" w:after="40" w:line="220" w:lineRule="exact"/>
              <w:jc w:val="right"/>
              <w:rPr>
                <w:sz w:val="18"/>
                <w:lang w:val="fr-CH"/>
              </w:rPr>
            </w:pPr>
            <w:r w:rsidRPr="0071782F">
              <w:rPr>
                <w:sz w:val="18"/>
                <w:lang w:val="fr-CH"/>
              </w:rPr>
              <w:t>–</w:t>
            </w:r>
          </w:p>
        </w:tc>
        <w:tc>
          <w:tcPr>
            <w:tcW w:w="770" w:type="dxa"/>
            <w:shd w:val="clear" w:color="auto" w:fill="auto"/>
            <w:vAlign w:val="bottom"/>
          </w:tcPr>
          <w:p w:rsidR="00BB0D66" w:rsidRPr="0071782F" w:rsidRDefault="00BB0D66" w:rsidP="003B1403">
            <w:pPr>
              <w:suppressAutoHyphens w:val="0"/>
              <w:spacing w:before="40" w:after="40" w:line="220" w:lineRule="exact"/>
              <w:jc w:val="right"/>
              <w:rPr>
                <w:sz w:val="18"/>
                <w:lang w:val="fr-CH"/>
              </w:rPr>
            </w:pPr>
            <w:r w:rsidRPr="0071782F">
              <w:rPr>
                <w:sz w:val="18"/>
                <w:lang w:val="fr-CH"/>
              </w:rPr>
              <w:t>–</w:t>
            </w:r>
          </w:p>
        </w:tc>
        <w:tc>
          <w:tcPr>
            <w:tcW w:w="812" w:type="dxa"/>
            <w:shd w:val="clear" w:color="auto" w:fill="auto"/>
            <w:vAlign w:val="bottom"/>
          </w:tcPr>
          <w:p w:rsidR="00BB0D66" w:rsidRPr="0071782F" w:rsidRDefault="00BB0D66" w:rsidP="003B1403">
            <w:pPr>
              <w:suppressAutoHyphens w:val="0"/>
              <w:spacing w:before="40" w:after="40" w:line="220" w:lineRule="exact"/>
              <w:jc w:val="right"/>
              <w:rPr>
                <w:sz w:val="18"/>
                <w:lang w:val="fr-CH"/>
              </w:rPr>
            </w:pPr>
            <w:r w:rsidRPr="0071782F">
              <w:rPr>
                <w:sz w:val="18"/>
                <w:lang w:val="fr-CH"/>
              </w:rPr>
              <w:t>12</w:t>
            </w:r>
          </w:p>
        </w:tc>
        <w:tc>
          <w:tcPr>
            <w:tcW w:w="798" w:type="dxa"/>
            <w:shd w:val="clear" w:color="auto" w:fill="auto"/>
            <w:vAlign w:val="bottom"/>
          </w:tcPr>
          <w:p w:rsidR="00BB0D66" w:rsidRPr="0071782F" w:rsidRDefault="00BB0D66" w:rsidP="003B1403">
            <w:pPr>
              <w:suppressAutoHyphens w:val="0"/>
              <w:spacing w:before="40" w:after="40" w:line="220" w:lineRule="exact"/>
              <w:jc w:val="right"/>
              <w:rPr>
                <w:sz w:val="18"/>
                <w:lang w:val="fr-CH"/>
              </w:rPr>
            </w:pPr>
            <w:r w:rsidRPr="0071782F">
              <w:rPr>
                <w:sz w:val="18"/>
                <w:lang w:val="fr-CH"/>
              </w:rPr>
              <w:t>551</w:t>
            </w:r>
          </w:p>
        </w:tc>
        <w:tc>
          <w:tcPr>
            <w:tcW w:w="771" w:type="dxa"/>
            <w:shd w:val="clear" w:color="auto" w:fill="auto"/>
            <w:vAlign w:val="bottom"/>
          </w:tcPr>
          <w:p w:rsidR="00BB0D66" w:rsidRPr="0071782F" w:rsidRDefault="00BB0D66" w:rsidP="003B1403">
            <w:pPr>
              <w:suppressAutoHyphens w:val="0"/>
              <w:spacing w:before="40" w:after="40" w:line="220" w:lineRule="exact"/>
              <w:jc w:val="right"/>
              <w:rPr>
                <w:sz w:val="18"/>
                <w:lang w:val="fr-CH"/>
              </w:rPr>
            </w:pPr>
            <w:r w:rsidRPr="0071782F">
              <w:rPr>
                <w:sz w:val="18"/>
                <w:lang w:val="fr-CH"/>
              </w:rPr>
              <w:t>1 025</w:t>
            </w:r>
          </w:p>
        </w:tc>
        <w:tc>
          <w:tcPr>
            <w:tcW w:w="567" w:type="dxa"/>
            <w:shd w:val="clear" w:color="auto" w:fill="auto"/>
            <w:vAlign w:val="bottom"/>
          </w:tcPr>
          <w:p w:rsidR="00BB0D66" w:rsidRPr="0071782F" w:rsidRDefault="00BB0D66" w:rsidP="003B1403">
            <w:pPr>
              <w:suppressAutoHyphens w:val="0"/>
              <w:spacing w:before="40" w:after="40" w:line="220" w:lineRule="exact"/>
              <w:jc w:val="right"/>
              <w:rPr>
                <w:b/>
                <w:sz w:val="18"/>
                <w:lang w:val="fr-CH"/>
              </w:rPr>
            </w:pPr>
            <w:r w:rsidRPr="0071782F">
              <w:rPr>
                <w:b/>
                <w:sz w:val="18"/>
                <w:lang w:val="fr-CH"/>
              </w:rPr>
              <w:t>1 588</w:t>
            </w:r>
          </w:p>
        </w:tc>
      </w:tr>
    </w:tbl>
    <w:p w:rsidR="00AD5035" w:rsidRPr="0071782F" w:rsidRDefault="00AD5035" w:rsidP="00930639">
      <w:pPr>
        <w:pStyle w:val="H23G"/>
        <w:rPr>
          <w:lang w:val="fr-CH"/>
        </w:rPr>
      </w:pPr>
      <w:r w:rsidRPr="0071782F">
        <w:rPr>
          <w:lang w:val="fr-CH"/>
        </w:rPr>
        <w:tab/>
      </w:r>
      <w:r w:rsidRPr="0071782F">
        <w:rPr>
          <w:lang w:val="fr-CH"/>
        </w:rPr>
        <w:tab/>
      </w:r>
      <w:r w:rsidR="003B48A4" w:rsidRPr="0071782F">
        <w:rPr>
          <w:lang w:val="fr-CH"/>
        </w:rPr>
        <w:t>Nombre</w:t>
      </w:r>
      <w:r w:rsidRPr="0071782F">
        <w:rPr>
          <w:lang w:val="fr-CH"/>
        </w:rPr>
        <w:t xml:space="preserve"> </w:t>
      </w:r>
      <w:r w:rsidR="004564A6" w:rsidRPr="0071782F">
        <w:rPr>
          <w:lang w:val="fr-CH"/>
        </w:rPr>
        <w:t xml:space="preserve">de centres de recherche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296"/>
        <w:gridCol w:w="1673"/>
        <w:gridCol w:w="3401"/>
      </w:tblGrid>
      <w:tr w:rsidR="00AD5035" w:rsidRPr="0071782F">
        <w:trPr>
          <w:tblHeader/>
        </w:trPr>
        <w:tc>
          <w:tcPr>
            <w:tcW w:w="2296"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rPr>
                <w:i/>
                <w:sz w:val="16"/>
                <w:lang w:val="fr-CH"/>
              </w:rPr>
            </w:pPr>
            <w:r w:rsidRPr="0071782F">
              <w:rPr>
                <w:i/>
                <w:sz w:val="16"/>
                <w:lang w:val="fr-CH"/>
              </w:rPr>
              <w:t>1981</w:t>
            </w:r>
          </w:p>
        </w:tc>
        <w:tc>
          <w:tcPr>
            <w:tcW w:w="1673"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2004</w:t>
            </w:r>
          </w:p>
        </w:tc>
        <w:tc>
          <w:tcPr>
            <w:tcW w:w="3401"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2008</w:t>
            </w:r>
          </w:p>
        </w:tc>
      </w:tr>
      <w:tr w:rsidR="00AD5035" w:rsidRPr="0071782F">
        <w:tc>
          <w:tcPr>
            <w:tcW w:w="2296"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rPr>
                <w:sz w:val="18"/>
                <w:lang w:val="fr-CH"/>
              </w:rPr>
            </w:pPr>
            <w:r w:rsidRPr="0071782F">
              <w:rPr>
                <w:sz w:val="18"/>
                <w:lang w:val="fr-CH"/>
              </w:rPr>
              <w:t>86</w:t>
            </w:r>
          </w:p>
        </w:tc>
        <w:tc>
          <w:tcPr>
            <w:tcW w:w="1673"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195</w:t>
            </w:r>
          </w:p>
        </w:tc>
        <w:tc>
          <w:tcPr>
            <w:tcW w:w="3401"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393</w:t>
            </w:r>
          </w:p>
        </w:tc>
      </w:tr>
    </w:tbl>
    <w:p w:rsidR="00AD5035" w:rsidRPr="0071782F" w:rsidRDefault="00AD5035" w:rsidP="00930639">
      <w:pPr>
        <w:pStyle w:val="H23G"/>
        <w:rPr>
          <w:lang w:val="fr-CH"/>
        </w:rPr>
      </w:pPr>
      <w:r w:rsidRPr="0071782F">
        <w:rPr>
          <w:lang w:val="fr-CH"/>
        </w:rPr>
        <w:tab/>
      </w:r>
      <w:r w:rsidRPr="0071782F">
        <w:rPr>
          <w:lang w:val="fr-CH"/>
        </w:rPr>
        <w:tab/>
      </w:r>
      <w:r w:rsidR="004564A6" w:rsidRPr="0071782F">
        <w:rPr>
          <w:lang w:val="fr-CH"/>
        </w:rPr>
        <w:t>Nombre t</w:t>
      </w:r>
      <w:r w:rsidRPr="0071782F">
        <w:rPr>
          <w:lang w:val="fr-CH"/>
        </w:rPr>
        <w:t xml:space="preserve">otal </w:t>
      </w:r>
      <w:r w:rsidR="004564A6" w:rsidRPr="0071782F">
        <w:rPr>
          <w:lang w:val="fr-CH"/>
        </w:rPr>
        <w:t xml:space="preserve">d’étudiants </w:t>
      </w:r>
      <w:r w:rsidRPr="0071782F">
        <w:rPr>
          <w:lang w:val="fr-CH"/>
        </w:rPr>
        <w:t>(</w:t>
      </w:r>
      <w:r w:rsidR="004564A6" w:rsidRPr="0071782F">
        <w:rPr>
          <w:lang w:val="fr-CH"/>
        </w:rPr>
        <w:t>universités publiques et privées</w:t>
      </w:r>
      <w:r w:rsidRPr="0071782F">
        <w:rPr>
          <w:lang w:val="fr-CH"/>
        </w:rPr>
        <w:t xml:space="preserve">) </w:t>
      </w:r>
      <w:r w:rsidR="004564A6" w:rsidRPr="0071782F">
        <w:rPr>
          <w:lang w:val="fr-CH"/>
        </w:rPr>
        <w:t>e</w:t>
      </w:r>
      <w:r w:rsidRPr="0071782F">
        <w:rPr>
          <w:lang w:val="fr-CH"/>
        </w:rPr>
        <w:t>n 2007</w:t>
      </w:r>
      <w:r w:rsidR="004564A6" w:rsidRPr="0071782F">
        <w:rPr>
          <w:lang w:val="fr-CH"/>
        </w:rPr>
        <w:t>-</w:t>
      </w:r>
      <w:r w:rsidRPr="0071782F">
        <w:rPr>
          <w:lang w:val="fr-CH"/>
        </w:rPr>
        <w:t>2008</w:t>
      </w:r>
    </w:p>
    <w:tbl>
      <w:tblPr>
        <w:tblW w:w="7371"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843"/>
        <w:gridCol w:w="992"/>
        <w:gridCol w:w="993"/>
        <w:gridCol w:w="850"/>
        <w:gridCol w:w="992"/>
        <w:gridCol w:w="850"/>
        <w:gridCol w:w="851"/>
      </w:tblGrid>
      <w:tr w:rsidR="00AD5035" w:rsidRPr="0071782F">
        <w:trPr>
          <w:tblHeader/>
        </w:trPr>
        <w:tc>
          <w:tcPr>
            <w:tcW w:w="1843" w:type="dxa"/>
            <w:tcBorders>
              <w:top w:val="single" w:sz="4" w:space="0" w:color="auto"/>
              <w:bottom w:val="single" w:sz="12" w:space="0" w:color="auto"/>
            </w:tcBorders>
            <w:shd w:val="clear" w:color="auto" w:fill="auto"/>
            <w:vAlign w:val="bottom"/>
          </w:tcPr>
          <w:p w:rsidR="00AD5035" w:rsidRPr="0071782F" w:rsidRDefault="00AD5035" w:rsidP="002847E7">
            <w:pPr>
              <w:keepNext/>
              <w:suppressAutoHyphens w:val="0"/>
              <w:spacing w:before="80" w:after="80" w:line="200" w:lineRule="exact"/>
              <w:rPr>
                <w:i/>
                <w:sz w:val="16"/>
                <w:lang w:val="fr-CH"/>
              </w:rPr>
            </w:pPr>
          </w:p>
        </w:tc>
        <w:tc>
          <w:tcPr>
            <w:tcW w:w="992" w:type="dxa"/>
            <w:tcBorders>
              <w:top w:val="single" w:sz="4" w:space="0" w:color="auto"/>
              <w:bottom w:val="single" w:sz="12" w:space="0" w:color="auto"/>
            </w:tcBorders>
            <w:shd w:val="clear" w:color="auto" w:fill="auto"/>
            <w:vAlign w:val="bottom"/>
          </w:tcPr>
          <w:p w:rsidR="00AD5035" w:rsidRPr="0071782F" w:rsidRDefault="004564A6" w:rsidP="002847E7">
            <w:pPr>
              <w:keepNext/>
              <w:suppressAutoHyphens w:val="0"/>
              <w:spacing w:before="80" w:after="80" w:line="200" w:lineRule="exact"/>
              <w:jc w:val="right"/>
              <w:rPr>
                <w:i/>
                <w:sz w:val="16"/>
                <w:lang w:val="fr-CH"/>
              </w:rPr>
            </w:pPr>
            <w:r w:rsidRPr="0071782F">
              <w:rPr>
                <w:i/>
                <w:sz w:val="16"/>
                <w:lang w:val="fr-CH"/>
              </w:rPr>
              <w:t>Premier diplôme universitaire</w:t>
            </w:r>
          </w:p>
        </w:tc>
        <w:tc>
          <w:tcPr>
            <w:tcW w:w="993" w:type="dxa"/>
            <w:tcBorders>
              <w:top w:val="single" w:sz="4" w:space="0" w:color="auto"/>
              <w:bottom w:val="single" w:sz="12" w:space="0" w:color="auto"/>
            </w:tcBorders>
            <w:shd w:val="clear" w:color="auto" w:fill="auto"/>
            <w:vAlign w:val="bottom"/>
          </w:tcPr>
          <w:p w:rsidR="00AD5035" w:rsidRPr="0071782F" w:rsidRDefault="004564A6" w:rsidP="002847E7">
            <w:pPr>
              <w:keepNext/>
              <w:suppressAutoHyphens w:val="0"/>
              <w:spacing w:before="80" w:after="80" w:line="200" w:lineRule="exact"/>
              <w:jc w:val="right"/>
              <w:rPr>
                <w:i/>
                <w:sz w:val="16"/>
                <w:lang w:val="fr-CH"/>
              </w:rPr>
            </w:pPr>
            <w:r w:rsidRPr="0071782F">
              <w:rPr>
                <w:i/>
                <w:sz w:val="16"/>
                <w:lang w:val="fr-CH"/>
              </w:rPr>
              <w:t>Licence</w:t>
            </w:r>
          </w:p>
        </w:tc>
        <w:tc>
          <w:tcPr>
            <w:tcW w:w="850" w:type="dxa"/>
            <w:tcBorders>
              <w:top w:val="single" w:sz="4" w:space="0" w:color="auto"/>
              <w:bottom w:val="single" w:sz="12" w:space="0" w:color="auto"/>
            </w:tcBorders>
            <w:shd w:val="clear" w:color="auto" w:fill="auto"/>
            <w:vAlign w:val="bottom"/>
          </w:tcPr>
          <w:p w:rsidR="00AD5035" w:rsidRPr="0071782F" w:rsidRDefault="004564A6" w:rsidP="002847E7">
            <w:pPr>
              <w:keepNext/>
              <w:suppressAutoHyphens w:val="0"/>
              <w:spacing w:before="80" w:after="80" w:line="200" w:lineRule="exact"/>
              <w:jc w:val="right"/>
              <w:rPr>
                <w:i/>
                <w:sz w:val="16"/>
                <w:lang w:val="fr-CH"/>
              </w:rPr>
            </w:pPr>
            <w:r w:rsidRPr="0071782F">
              <w:rPr>
                <w:i/>
                <w:sz w:val="16"/>
                <w:lang w:val="fr-CH"/>
              </w:rPr>
              <w:t>Mastère</w:t>
            </w:r>
          </w:p>
        </w:tc>
        <w:tc>
          <w:tcPr>
            <w:tcW w:w="992" w:type="dxa"/>
            <w:tcBorders>
              <w:top w:val="single" w:sz="4" w:space="0" w:color="auto"/>
              <w:bottom w:val="single" w:sz="12" w:space="0" w:color="auto"/>
            </w:tcBorders>
            <w:shd w:val="clear" w:color="auto" w:fill="auto"/>
            <w:vAlign w:val="bottom"/>
          </w:tcPr>
          <w:p w:rsidR="00AD5035" w:rsidRPr="0071782F" w:rsidRDefault="004564A6" w:rsidP="002847E7">
            <w:pPr>
              <w:keepNext/>
              <w:suppressAutoHyphens w:val="0"/>
              <w:spacing w:before="80" w:after="80" w:line="200" w:lineRule="exact"/>
              <w:jc w:val="right"/>
              <w:rPr>
                <w:i/>
                <w:sz w:val="16"/>
                <w:lang w:val="fr-CH"/>
              </w:rPr>
            </w:pPr>
            <w:r w:rsidRPr="0071782F">
              <w:rPr>
                <w:i/>
                <w:sz w:val="16"/>
                <w:lang w:val="fr-CH"/>
              </w:rPr>
              <w:t>Doctorat professionnel</w:t>
            </w:r>
          </w:p>
        </w:tc>
        <w:tc>
          <w:tcPr>
            <w:tcW w:w="850" w:type="dxa"/>
            <w:tcBorders>
              <w:top w:val="single" w:sz="4" w:space="0" w:color="auto"/>
              <w:bottom w:val="single" w:sz="12" w:space="0" w:color="auto"/>
            </w:tcBorders>
            <w:shd w:val="clear" w:color="auto" w:fill="auto"/>
            <w:vAlign w:val="bottom"/>
          </w:tcPr>
          <w:p w:rsidR="00AD5035" w:rsidRPr="0071782F" w:rsidRDefault="004564A6" w:rsidP="002847E7">
            <w:pPr>
              <w:keepNext/>
              <w:suppressAutoHyphens w:val="0"/>
              <w:spacing w:before="80" w:after="80" w:line="200" w:lineRule="exact"/>
              <w:jc w:val="right"/>
              <w:rPr>
                <w:i/>
                <w:sz w:val="16"/>
                <w:lang w:val="fr-CH"/>
              </w:rPr>
            </w:pPr>
            <w:r w:rsidRPr="0071782F">
              <w:rPr>
                <w:i/>
                <w:sz w:val="16"/>
                <w:lang w:val="fr-CH"/>
              </w:rPr>
              <w:t>Doctorat spécialisé</w:t>
            </w:r>
          </w:p>
        </w:tc>
        <w:tc>
          <w:tcPr>
            <w:tcW w:w="851" w:type="dxa"/>
            <w:tcBorders>
              <w:top w:val="single" w:sz="4" w:space="0" w:color="auto"/>
              <w:bottom w:val="single" w:sz="12" w:space="0" w:color="auto"/>
            </w:tcBorders>
            <w:shd w:val="clear" w:color="auto" w:fill="auto"/>
            <w:vAlign w:val="bottom"/>
          </w:tcPr>
          <w:p w:rsidR="00AD5035" w:rsidRPr="0071782F" w:rsidRDefault="00AD5035" w:rsidP="002847E7">
            <w:pPr>
              <w:keepNext/>
              <w:suppressAutoHyphens w:val="0"/>
              <w:spacing w:before="80" w:after="80" w:line="200" w:lineRule="exact"/>
              <w:jc w:val="right"/>
              <w:rPr>
                <w:b/>
                <w:i/>
                <w:sz w:val="16"/>
                <w:lang w:val="fr-CH"/>
              </w:rPr>
            </w:pPr>
            <w:r w:rsidRPr="0071782F">
              <w:rPr>
                <w:b/>
                <w:i/>
                <w:sz w:val="16"/>
                <w:lang w:val="fr-CH"/>
              </w:rPr>
              <w:t>Total</w:t>
            </w:r>
          </w:p>
        </w:tc>
      </w:tr>
      <w:tr w:rsidR="00AD5035" w:rsidRPr="0071782F">
        <w:tc>
          <w:tcPr>
            <w:tcW w:w="1843" w:type="dxa"/>
            <w:tcBorders>
              <w:top w:val="single" w:sz="12" w:space="0" w:color="auto"/>
            </w:tcBorders>
            <w:shd w:val="clear" w:color="auto" w:fill="auto"/>
          </w:tcPr>
          <w:p w:rsidR="00AD5035" w:rsidRPr="0071782F" w:rsidRDefault="00AD5035" w:rsidP="002847E7">
            <w:pPr>
              <w:keepNext/>
              <w:suppressAutoHyphens w:val="0"/>
              <w:spacing w:before="40" w:after="40" w:line="220" w:lineRule="exact"/>
              <w:rPr>
                <w:sz w:val="18"/>
                <w:lang w:val="fr-CH"/>
              </w:rPr>
            </w:pPr>
            <w:r w:rsidRPr="0071782F">
              <w:rPr>
                <w:sz w:val="18"/>
                <w:lang w:val="fr-CH"/>
              </w:rPr>
              <w:t>M</w:t>
            </w:r>
            <w:r w:rsidR="004564A6" w:rsidRPr="0071782F">
              <w:rPr>
                <w:sz w:val="18"/>
                <w:lang w:val="fr-CH"/>
              </w:rPr>
              <w:t>é</w:t>
            </w:r>
            <w:r w:rsidRPr="0071782F">
              <w:rPr>
                <w:sz w:val="18"/>
                <w:lang w:val="fr-CH"/>
              </w:rPr>
              <w:t>d</w:t>
            </w:r>
            <w:r w:rsidR="004564A6" w:rsidRPr="0071782F">
              <w:rPr>
                <w:sz w:val="18"/>
                <w:lang w:val="fr-CH"/>
              </w:rPr>
              <w:t>e</w:t>
            </w:r>
            <w:r w:rsidRPr="0071782F">
              <w:rPr>
                <w:sz w:val="18"/>
                <w:lang w:val="fr-CH"/>
              </w:rPr>
              <w:t>cine</w:t>
            </w:r>
          </w:p>
        </w:tc>
        <w:tc>
          <w:tcPr>
            <w:tcW w:w="992" w:type="dxa"/>
            <w:tcBorders>
              <w:top w:val="single" w:sz="12" w:space="0" w:color="auto"/>
            </w:tcBorders>
            <w:shd w:val="clear" w:color="auto" w:fill="auto"/>
            <w:vAlign w:val="bottom"/>
          </w:tcPr>
          <w:p w:rsidR="00AD5035" w:rsidRPr="0071782F" w:rsidRDefault="00AD5035" w:rsidP="002847E7">
            <w:pPr>
              <w:keepNext/>
              <w:suppressAutoHyphens w:val="0"/>
              <w:spacing w:before="40" w:after="40" w:line="220" w:lineRule="exact"/>
              <w:jc w:val="right"/>
              <w:rPr>
                <w:sz w:val="18"/>
                <w:lang w:val="fr-CH"/>
              </w:rPr>
            </w:pPr>
            <w:r w:rsidRPr="0071782F">
              <w:rPr>
                <w:sz w:val="18"/>
                <w:lang w:val="fr-CH"/>
              </w:rPr>
              <w:t>44 827</w:t>
            </w:r>
          </w:p>
        </w:tc>
        <w:tc>
          <w:tcPr>
            <w:tcW w:w="993" w:type="dxa"/>
            <w:tcBorders>
              <w:top w:val="single" w:sz="12" w:space="0" w:color="auto"/>
            </w:tcBorders>
            <w:shd w:val="clear" w:color="auto" w:fill="auto"/>
            <w:vAlign w:val="bottom"/>
          </w:tcPr>
          <w:p w:rsidR="00AD5035" w:rsidRPr="0071782F" w:rsidRDefault="00AD5035" w:rsidP="002847E7">
            <w:pPr>
              <w:keepNext/>
              <w:suppressAutoHyphens w:val="0"/>
              <w:spacing w:before="40" w:after="40" w:line="220" w:lineRule="exact"/>
              <w:jc w:val="right"/>
              <w:rPr>
                <w:sz w:val="18"/>
                <w:lang w:val="fr-CH"/>
              </w:rPr>
            </w:pPr>
            <w:r w:rsidRPr="0071782F">
              <w:rPr>
                <w:sz w:val="18"/>
                <w:lang w:val="fr-CH"/>
              </w:rPr>
              <w:t>123 741</w:t>
            </w:r>
          </w:p>
        </w:tc>
        <w:tc>
          <w:tcPr>
            <w:tcW w:w="850" w:type="dxa"/>
            <w:tcBorders>
              <w:top w:val="single" w:sz="12" w:space="0" w:color="auto"/>
            </w:tcBorders>
            <w:shd w:val="clear" w:color="auto" w:fill="auto"/>
            <w:vAlign w:val="bottom"/>
          </w:tcPr>
          <w:p w:rsidR="00AD5035" w:rsidRPr="0071782F" w:rsidRDefault="00AD5035" w:rsidP="002847E7">
            <w:pPr>
              <w:keepNext/>
              <w:suppressAutoHyphens w:val="0"/>
              <w:spacing w:before="40" w:after="40" w:line="220" w:lineRule="exact"/>
              <w:jc w:val="right"/>
              <w:rPr>
                <w:sz w:val="18"/>
                <w:lang w:val="fr-CH"/>
              </w:rPr>
            </w:pPr>
            <w:r w:rsidRPr="0071782F">
              <w:rPr>
                <w:sz w:val="18"/>
                <w:lang w:val="fr-CH"/>
              </w:rPr>
              <w:t>3 028</w:t>
            </w:r>
          </w:p>
        </w:tc>
        <w:tc>
          <w:tcPr>
            <w:tcW w:w="992" w:type="dxa"/>
            <w:tcBorders>
              <w:top w:val="single" w:sz="12" w:space="0" w:color="auto"/>
            </w:tcBorders>
            <w:shd w:val="clear" w:color="auto" w:fill="auto"/>
            <w:vAlign w:val="bottom"/>
          </w:tcPr>
          <w:p w:rsidR="00AD5035" w:rsidRPr="0071782F" w:rsidRDefault="00AD5035" w:rsidP="002847E7">
            <w:pPr>
              <w:keepNext/>
              <w:suppressAutoHyphens w:val="0"/>
              <w:spacing w:before="40" w:after="40" w:line="220" w:lineRule="exact"/>
              <w:jc w:val="right"/>
              <w:rPr>
                <w:sz w:val="18"/>
                <w:lang w:val="fr-CH"/>
              </w:rPr>
            </w:pPr>
            <w:r w:rsidRPr="0071782F">
              <w:rPr>
                <w:sz w:val="18"/>
                <w:lang w:val="fr-CH"/>
              </w:rPr>
              <w:t>37 503</w:t>
            </w:r>
          </w:p>
        </w:tc>
        <w:tc>
          <w:tcPr>
            <w:tcW w:w="850" w:type="dxa"/>
            <w:tcBorders>
              <w:top w:val="single" w:sz="12" w:space="0" w:color="auto"/>
            </w:tcBorders>
            <w:shd w:val="clear" w:color="auto" w:fill="auto"/>
            <w:vAlign w:val="bottom"/>
          </w:tcPr>
          <w:p w:rsidR="00AD5035" w:rsidRPr="0071782F" w:rsidRDefault="00AD5035" w:rsidP="002847E7">
            <w:pPr>
              <w:keepNext/>
              <w:suppressAutoHyphens w:val="0"/>
              <w:spacing w:before="40" w:after="40" w:line="220" w:lineRule="exact"/>
              <w:jc w:val="right"/>
              <w:rPr>
                <w:sz w:val="18"/>
                <w:lang w:val="fr-CH"/>
              </w:rPr>
            </w:pPr>
            <w:r w:rsidRPr="0071782F">
              <w:rPr>
                <w:sz w:val="18"/>
                <w:lang w:val="fr-CH"/>
              </w:rPr>
              <w:t>9 951</w:t>
            </w:r>
          </w:p>
        </w:tc>
        <w:tc>
          <w:tcPr>
            <w:tcW w:w="851" w:type="dxa"/>
            <w:tcBorders>
              <w:top w:val="single" w:sz="12" w:space="0" w:color="auto"/>
            </w:tcBorders>
            <w:shd w:val="clear" w:color="auto" w:fill="auto"/>
            <w:vAlign w:val="bottom"/>
          </w:tcPr>
          <w:p w:rsidR="00AD5035" w:rsidRPr="0071782F" w:rsidRDefault="00AD5035" w:rsidP="002847E7">
            <w:pPr>
              <w:keepNext/>
              <w:suppressAutoHyphens w:val="0"/>
              <w:spacing w:before="40" w:after="40" w:line="220" w:lineRule="exact"/>
              <w:jc w:val="right"/>
              <w:rPr>
                <w:b/>
                <w:sz w:val="18"/>
                <w:lang w:val="fr-CH"/>
              </w:rPr>
            </w:pPr>
            <w:r w:rsidRPr="0071782F">
              <w:rPr>
                <w:b/>
                <w:sz w:val="18"/>
                <w:lang w:val="fr-CH"/>
              </w:rPr>
              <w:t>219 050</w:t>
            </w:r>
          </w:p>
        </w:tc>
      </w:tr>
      <w:tr w:rsidR="001604E2" w:rsidRPr="0071782F">
        <w:tc>
          <w:tcPr>
            <w:tcW w:w="1843" w:type="dxa"/>
            <w:shd w:val="clear" w:color="auto" w:fill="auto"/>
          </w:tcPr>
          <w:p w:rsidR="001604E2" w:rsidRPr="0071782F" w:rsidRDefault="004564A6" w:rsidP="002847E7">
            <w:pPr>
              <w:keepNext/>
              <w:suppressAutoHyphens w:val="0"/>
              <w:spacing w:before="40" w:after="40" w:line="220" w:lineRule="exact"/>
              <w:rPr>
                <w:sz w:val="18"/>
                <w:lang w:val="fr-CH"/>
              </w:rPr>
            </w:pPr>
            <w:r w:rsidRPr="0071782F">
              <w:rPr>
                <w:sz w:val="18"/>
                <w:lang w:val="fr-CH"/>
              </w:rPr>
              <w:t>S</w:t>
            </w:r>
            <w:r w:rsidR="001604E2" w:rsidRPr="0071782F">
              <w:rPr>
                <w:sz w:val="18"/>
                <w:lang w:val="fr-CH"/>
              </w:rPr>
              <w:t>ciences</w:t>
            </w:r>
            <w:r w:rsidRPr="0071782F">
              <w:rPr>
                <w:sz w:val="18"/>
                <w:lang w:val="fr-CH"/>
              </w:rPr>
              <w:t xml:space="preserve"> humaines</w:t>
            </w:r>
          </w:p>
        </w:tc>
        <w:tc>
          <w:tcPr>
            <w:tcW w:w="992" w:type="dxa"/>
            <w:shd w:val="clear" w:color="auto" w:fill="auto"/>
            <w:vAlign w:val="bottom"/>
          </w:tcPr>
          <w:p w:rsidR="001604E2" w:rsidRPr="0071782F" w:rsidRDefault="001604E2" w:rsidP="002847E7">
            <w:pPr>
              <w:keepNext/>
              <w:suppressAutoHyphens w:val="0"/>
              <w:spacing w:before="40" w:after="40" w:line="220" w:lineRule="exact"/>
              <w:jc w:val="right"/>
              <w:rPr>
                <w:sz w:val="18"/>
                <w:lang w:val="fr-CH"/>
              </w:rPr>
            </w:pPr>
            <w:r w:rsidRPr="0071782F">
              <w:rPr>
                <w:sz w:val="18"/>
                <w:lang w:val="fr-CH"/>
              </w:rPr>
              <w:t>213 408</w:t>
            </w:r>
          </w:p>
        </w:tc>
        <w:tc>
          <w:tcPr>
            <w:tcW w:w="993" w:type="dxa"/>
            <w:shd w:val="clear" w:color="auto" w:fill="auto"/>
            <w:vAlign w:val="bottom"/>
          </w:tcPr>
          <w:p w:rsidR="001604E2" w:rsidRPr="0071782F" w:rsidRDefault="001604E2" w:rsidP="002847E7">
            <w:pPr>
              <w:keepNext/>
              <w:suppressAutoHyphens w:val="0"/>
              <w:spacing w:before="40" w:after="40" w:line="220" w:lineRule="exact"/>
              <w:jc w:val="right"/>
              <w:rPr>
                <w:sz w:val="18"/>
                <w:lang w:val="fr-CH"/>
              </w:rPr>
            </w:pPr>
            <w:r w:rsidRPr="0071782F">
              <w:rPr>
                <w:sz w:val="18"/>
                <w:lang w:val="fr-CH"/>
              </w:rPr>
              <w:t>1 229 788</w:t>
            </w:r>
          </w:p>
        </w:tc>
        <w:tc>
          <w:tcPr>
            <w:tcW w:w="850" w:type="dxa"/>
            <w:shd w:val="clear" w:color="auto" w:fill="auto"/>
            <w:vAlign w:val="bottom"/>
          </w:tcPr>
          <w:p w:rsidR="001604E2" w:rsidRPr="0071782F" w:rsidRDefault="001604E2" w:rsidP="002847E7">
            <w:pPr>
              <w:keepNext/>
              <w:suppressAutoHyphens w:val="0"/>
              <w:spacing w:before="40" w:after="40" w:line="220" w:lineRule="exact"/>
              <w:jc w:val="right"/>
              <w:rPr>
                <w:sz w:val="18"/>
                <w:lang w:val="fr-CH"/>
              </w:rPr>
            </w:pPr>
            <w:r w:rsidRPr="0071782F">
              <w:rPr>
                <w:sz w:val="18"/>
                <w:lang w:val="fr-CH"/>
              </w:rPr>
              <w:t>66 803</w:t>
            </w:r>
          </w:p>
        </w:tc>
        <w:tc>
          <w:tcPr>
            <w:tcW w:w="992" w:type="dxa"/>
            <w:shd w:val="clear" w:color="auto" w:fill="auto"/>
          </w:tcPr>
          <w:p w:rsidR="001604E2" w:rsidRPr="0071782F" w:rsidRDefault="001604E2" w:rsidP="002847E7">
            <w:pPr>
              <w:keepNext/>
              <w:suppressAutoHyphens w:val="0"/>
              <w:spacing w:before="40" w:after="40" w:line="220" w:lineRule="exact"/>
              <w:jc w:val="right"/>
              <w:rPr>
                <w:sz w:val="18"/>
                <w:lang w:val="fr-CH"/>
              </w:rPr>
            </w:pPr>
            <w:r w:rsidRPr="0071782F">
              <w:rPr>
                <w:sz w:val="18"/>
                <w:lang w:val="fr-CH"/>
              </w:rPr>
              <w:t>–</w:t>
            </w:r>
          </w:p>
        </w:tc>
        <w:tc>
          <w:tcPr>
            <w:tcW w:w="850" w:type="dxa"/>
            <w:shd w:val="clear" w:color="auto" w:fill="auto"/>
            <w:vAlign w:val="bottom"/>
          </w:tcPr>
          <w:p w:rsidR="001604E2" w:rsidRPr="0071782F" w:rsidRDefault="001604E2" w:rsidP="002847E7">
            <w:pPr>
              <w:keepNext/>
              <w:suppressAutoHyphens w:val="0"/>
              <w:spacing w:before="40" w:after="40" w:line="220" w:lineRule="exact"/>
              <w:jc w:val="right"/>
              <w:rPr>
                <w:sz w:val="18"/>
                <w:lang w:val="fr-CH"/>
              </w:rPr>
            </w:pPr>
            <w:r w:rsidRPr="0071782F">
              <w:rPr>
                <w:sz w:val="18"/>
                <w:lang w:val="fr-CH"/>
              </w:rPr>
              <w:t>5 928</w:t>
            </w:r>
          </w:p>
        </w:tc>
        <w:tc>
          <w:tcPr>
            <w:tcW w:w="851" w:type="dxa"/>
            <w:shd w:val="clear" w:color="auto" w:fill="auto"/>
            <w:vAlign w:val="bottom"/>
          </w:tcPr>
          <w:p w:rsidR="001604E2" w:rsidRPr="0071782F" w:rsidRDefault="001604E2" w:rsidP="002847E7">
            <w:pPr>
              <w:keepNext/>
              <w:suppressAutoHyphens w:val="0"/>
              <w:spacing w:before="40" w:after="40" w:line="220" w:lineRule="exact"/>
              <w:jc w:val="right"/>
              <w:rPr>
                <w:b/>
                <w:sz w:val="18"/>
                <w:lang w:val="fr-CH"/>
              </w:rPr>
            </w:pPr>
            <w:r w:rsidRPr="0071782F">
              <w:rPr>
                <w:b/>
                <w:sz w:val="18"/>
                <w:lang w:val="fr-CH"/>
              </w:rPr>
              <w:t>1 515 927</w:t>
            </w:r>
          </w:p>
        </w:tc>
      </w:tr>
      <w:tr w:rsidR="001604E2" w:rsidRPr="0071782F">
        <w:tc>
          <w:tcPr>
            <w:tcW w:w="1843" w:type="dxa"/>
            <w:shd w:val="clear" w:color="auto" w:fill="auto"/>
          </w:tcPr>
          <w:p w:rsidR="001604E2" w:rsidRPr="0071782F" w:rsidRDefault="008A4A0D" w:rsidP="002847E7">
            <w:pPr>
              <w:keepNext/>
              <w:suppressAutoHyphens w:val="0"/>
              <w:spacing w:before="40" w:after="40" w:line="220" w:lineRule="exact"/>
              <w:rPr>
                <w:sz w:val="18"/>
                <w:lang w:val="fr-CH"/>
              </w:rPr>
            </w:pPr>
            <w:r w:rsidRPr="0071782F">
              <w:rPr>
                <w:sz w:val="18"/>
                <w:lang w:val="fr-CH"/>
              </w:rPr>
              <w:t>S</w:t>
            </w:r>
            <w:r w:rsidR="001604E2" w:rsidRPr="0071782F">
              <w:rPr>
                <w:sz w:val="18"/>
                <w:lang w:val="fr-CH"/>
              </w:rPr>
              <w:t>ciences</w:t>
            </w:r>
            <w:r w:rsidRPr="0071782F">
              <w:rPr>
                <w:sz w:val="18"/>
                <w:lang w:val="fr-CH"/>
              </w:rPr>
              <w:t xml:space="preserve"> pures</w:t>
            </w:r>
          </w:p>
        </w:tc>
        <w:tc>
          <w:tcPr>
            <w:tcW w:w="992" w:type="dxa"/>
            <w:shd w:val="clear" w:color="auto" w:fill="auto"/>
            <w:vAlign w:val="bottom"/>
          </w:tcPr>
          <w:p w:rsidR="001604E2" w:rsidRPr="0071782F" w:rsidRDefault="001604E2" w:rsidP="002847E7">
            <w:pPr>
              <w:keepNext/>
              <w:suppressAutoHyphens w:val="0"/>
              <w:spacing w:before="40" w:after="40" w:line="220" w:lineRule="exact"/>
              <w:jc w:val="right"/>
              <w:rPr>
                <w:sz w:val="18"/>
                <w:lang w:val="fr-CH"/>
              </w:rPr>
            </w:pPr>
            <w:r w:rsidRPr="0071782F">
              <w:rPr>
                <w:sz w:val="18"/>
                <w:lang w:val="fr-CH"/>
              </w:rPr>
              <w:t>14 500</w:t>
            </w:r>
          </w:p>
        </w:tc>
        <w:tc>
          <w:tcPr>
            <w:tcW w:w="993" w:type="dxa"/>
            <w:shd w:val="clear" w:color="auto" w:fill="auto"/>
            <w:vAlign w:val="bottom"/>
          </w:tcPr>
          <w:p w:rsidR="001604E2" w:rsidRPr="0071782F" w:rsidRDefault="001604E2" w:rsidP="002847E7">
            <w:pPr>
              <w:keepNext/>
              <w:suppressAutoHyphens w:val="0"/>
              <w:spacing w:before="40" w:after="40" w:line="220" w:lineRule="exact"/>
              <w:jc w:val="right"/>
              <w:rPr>
                <w:sz w:val="18"/>
                <w:lang w:val="fr-CH"/>
              </w:rPr>
            </w:pPr>
            <w:r w:rsidRPr="0071782F">
              <w:rPr>
                <w:sz w:val="18"/>
                <w:lang w:val="fr-CH"/>
              </w:rPr>
              <w:t>299 390</w:t>
            </w:r>
          </w:p>
        </w:tc>
        <w:tc>
          <w:tcPr>
            <w:tcW w:w="850" w:type="dxa"/>
            <w:shd w:val="clear" w:color="auto" w:fill="auto"/>
            <w:vAlign w:val="bottom"/>
          </w:tcPr>
          <w:p w:rsidR="001604E2" w:rsidRPr="0071782F" w:rsidRDefault="001604E2" w:rsidP="002847E7">
            <w:pPr>
              <w:keepNext/>
              <w:suppressAutoHyphens w:val="0"/>
              <w:spacing w:before="40" w:after="40" w:line="220" w:lineRule="exact"/>
              <w:jc w:val="right"/>
              <w:rPr>
                <w:sz w:val="18"/>
                <w:lang w:val="fr-CH"/>
              </w:rPr>
            </w:pPr>
            <w:r w:rsidRPr="0071782F">
              <w:rPr>
                <w:sz w:val="18"/>
                <w:lang w:val="fr-CH"/>
              </w:rPr>
              <w:t>23 214</w:t>
            </w:r>
          </w:p>
        </w:tc>
        <w:tc>
          <w:tcPr>
            <w:tcW w:w="992" w:type="dxa"/>
            <w:shd w:val="clear" w:color="auto" w:fill="auto"/>
          </w:tcPr>
          <w:p w:rsidR="001604E2" w:rsidRPr="0071782F" w:rsidRDefault="001604E2" w:rsidP="002847E7">
            <w:pPr>
              <w:keepNext/>
              <w:suppressAutoHyphens w:val="0"/>
              <w:spacing w:before="40" w:after="40" w:line="220" w:lineRule="exact"/>
              <w:jc w:val="right"/>
              <w:rPr>
                <w:sz w:val="18"/>
                <w:lang w:val="fr-CH"/>
              </w:rPr>
            </w:pPr>
            <w:r w:rsidRPr="0071782F">
              <w:rPr>
                <w:sz w:val="18"/>
                <w:lang w:val="fr-CH"/>
              </w:rPr>
              <w:t>–</w:t>
            </w:r>
          </w:p>
        </w:tc>
        <w:tc>
          <w:tcPr>
            <w:tcW w:w="850" w:type="dxa"/>
            <w:shd w:val="clear" w:color="auto" w:fill="auto"/>
            <w:vAlign w:val="bottom"/>
          </w:tcPr>
          <w:p w:rsidR="001604E2" w:rsidRPr="0071782F" w:rsidRDefault="001604E2" w:rsidP="002847E7">
            <w:pPr>
              <w:keepNext/>
              <w:suppressAutoHyphens w:val="0"/>
              <w:spacing w:before="40" w:after="40" w:line="220" w:lineRule="exact"/>
              <w:jc w:val="right"/>
              <w:rPr>
                <w:sz w:val="18"/>
                <w:lang w:val="fr-CH"/>
              </w:rPr>
            </w:pPr>
            <w:r w:rsidRPr="0071782F">
              <w:rPr>
                <w:sz w:val="18"/>
                <w:lang w:val="fr-CH"/>
              </w:rPr>
              <w:t>4 033</w:t>
            </w:r>
          </w:p>
        </w:tc>
        <w:tc>
          <w:tcPr>
            <w:tcW w:w="851" w:type="dxa"/>
            <w:shd w:val="clear" w:color="auto" w:fill="auto"/>
            <w:vAlign w:val="bottom"/>
          </w:tcPr>
          <w:p w:rsidR="001604E2" w:rsidRPr="0071782F" w:rsidRDefault="001604E2" w:rsidP="002847E7">
            <w:pPr>
              <w:keepNext/>
              <w:suppressAutoHyphens w:val="0"/>
              <w:spacing w:before="40" w:after="40" w:line="220" w:lineRule="exact"/>
              <w:jc w:val="right"/>
              <w:rPr>
                <w:b/>
                <w:sz w:val="18"/>
                <w:lang w:val="fr-CH"/>
              </w:rPr>
            </w:pPr>
            <w:r w:rsidRPr="0071782F">
              <w:rPr>
                <w:b/>
                <w:sz w:val="18"/>
                <w:lang w:val="fr-CH"/>
              </w:rPr>
              <w:t>341 137</w:t>
            </w:r>
          </w:p>
        </w:tc>
      </w:tr>
      <w:tr w:rsidR="001604E2" w:rsidRPr="0071782F">
        <w:tc>
          <w:tcPr>
            <w:tcW w:w="1843" w:type="dxa"/>
            <w:shd w:val="clear" w:color="auto" w:fill="auto"/>
          </w:tcPr>
          <w:p w:rsidR="001604E2" w:rsidRPr="0071782F" w:rsidRDefault="008A4A0D" w:rsidP="002847E7">
            <w:pPr>
              <w:keepNext/>
              <w:suppressAutoHyphens w:val="0"/>
              <w:spacing w:before="40" w:after="40" w:line="220" w:lineRule="exact"/>
              <w:rPr>
                <w:sz w:val="18"/>
                <w:lang w:val="fr-CH"/>
              </w:rPr>
            </w:pPr>
            <w:r w:rsidRPr="0071782F">
              <w:rPr>
                <w:sz w:val="18"/>
                <w:lang w:val="fr-CH"/>
              </w:rPr>
              <w:t>Disciplines techniques</w:t>
            </w:r>
            <w:r w:rsidR="001604E2" w:rsidRPr="0071782F">
              <w:rPr>
                <w:sz w:val="18"/>
                <w:lang w:val="fr-CH"/>
              </w:rPr>
              <w:t>/</w:t>
            </w:r>
            <w:r w:rsidRPr="0071782F">
              <w:rPr>
                <w:sz w:val="18"/>
                <w:lang w:val="fr-CH"/>
              </w:rPr>
              <w:t>i</w:t>
            </w:r>
            <w:r w:rsidR="001604E2" w:rsidRPr="0071782F">
              <w:rPr>
                <w:sz w:val="18"/>
                <w:lang w:val="fr-CH"/>
              </w:rPr>
              <w:t>ng</w:t>
            </w:r>
            <w:r w:rsidRPr="0071782F">
              <w:rPr>
                <w:sz w:val="18"/>
                <w:lang w:val="fr-CH"/>
              </w:rPr>
              <w:t>énierie</w:t>
            </w:r>
          </w:p>
        </w:tc>
        <w:tc>
          <w:tcPr>
            <w:tcW w:w="992" w:type="dxa"/>
            <w:shd w:val="clear" w:color="auto" w:fill="auto"/>
            <w:vAlign w:val="bottom"/>
          </w:tcPr>
          <w:p w:rsidR="001604E2" w:rsidRPr="0071782F" w:rsidRDefault="001604E2" w:rsidP="002847E7">
            <w:pPr>
              <w:keepNext/>
              <w:suppressAutoHyphens w:val="0"/>
              <w:spacing w:before="40" w:after="40" w:line="220" w:lineRule="exact"/>
              <w:jc w:val="right"/>
              <w:rPr>
                <w:sz w:val="18"/>
                <w:lang w:val="fr-CH"/>
              </w:rPr>
            </w:pPr>
            <w:r w:rsidRPr="0071782F">
              <w:rPr>
                <w:sz w:val="18"/>
                <w:lang w:val="fr-CH"/>
              </w:rPr>
              <w:t>366 243</w:t>
            </w:r>
          </w:p>
        </w:tc>
        <w:tc>
          <w:tcPr>
            <w:tcW w:w="993" w:type="dxa"/>
            <w:shd w:val="clear" w:color="auto" w:fill="auto"/>
            <w:vAlign w:val="bottom"/>
          </w:tcPr>
          <w:p w:rsidR="001604E2" w:rsidRPr="0071782F" w:rsidRDefault="001604E2" w:rsidP="002847E7">
            <w:pPr>
              <w:keepNext/>
              <w:suppressAutoHyphens w:val="0"/>
              <w:spacing w:before="40" w:after="40" w:line="220" w:lineRule="exact"/>
              <w:jc w:val="right"/>
              <w:rPr>
                <w:sz w:val="18"/>
                <w:lang w:val="fr-CH"/>
              </w:rPr>
            </w:pPr>
            <w:r w:rsidRPr="0071782F">
              <w:rPr>
                <w:sz w:val="18"/>
                <w:lang w:val="fr-CH"/>
              </w:rPr>
              <w:t>574 978</w:t>
            </w:r>
          </w:p>
        </w:tc>
        <w:tc>
          <w:tcPr>
            <w:tcW w:w="850" w:type="dxa"/>
            <w:shd w:val="clear" w:color="auto" w:fill="auto"/>
            <w:vAlign w:val="bottom"/>
          </w:tcPr>
          <w:p w:rsidR="001604E2" w:rsidRPr="0071782F" w:rsidRDefault="001604E2" w:rsidP="002847E7">
            <w:pPr>
              <w:keepNext/>
              <w:suppressAutoHyphens w:val="0"/>
              <w:spacing w:before="40" w:after="40" w:line="220" w:lineRule="exact"/>
              <w:jc w:val="right"/>
              <w:rPr>
                <w:sz w:val="18"/>
                <w:lang w:val="fr-CH"/>
              </w:rPr>
            </w:pPr>
            <w:r w:rsidRPr="0071782F">
              <w:rPr>
                <w:sz w:val="18"/>
                <w:lang w:val="fr-CH"/>
              </w:rPr>
              <w:t>36 827</w:t>
            </w:r>
          </w:p>
        </w:tc>
        <w:tc>
          <w:tcPr>
            <w:tcW w:w="992" w:type="dxa"/>
            <w:shd w:val="clear" w:color="auto" w:fill="auto"/>
          </w:tcPr>
          <w:p w:rsidR="001604E2" w:rsidRPr="0071782F" w:rsidRDefault="001604E2" w:rsidP="002847E7">
            <w:pPr>
              <w:keepNext/>
              <w:suppressAutoHyphens w:val="0"/>
              <w:spacing w:before="40" w:after="40" w:line="220" w:lineRule="exact"/>
              <w:jc w:val="right"/>
              <w:rPr>
                <w:sz w:val="18"/>
                <w:lang w:val="fr-CH"/>
              </w:rPr>
            </w:pPr>
            <w:r w:rsidRPr="0071782F">
              <w:rPr>
                <w:sz w:val="18"/>
                <w:lang w:val="fr-CH"/>
              </w:rPr>
              <w:t>–</w:t>
            </w:r>
          </w:p>
        </w:tc>
        <w:tc>
          <w:tcPr>
            <w:tcW w:w="850" w:type="dxa"/>
            <w:shd w:val="clear" w:color="auto" w:fill="auto"/>
            <w:vAlign w:val="bottom"/>
          </w:tcPr>
          <w:p w:rsidR="001604E2" w:rsidRPr="0071782F" w:rsidRDefault="001604E2" w:rsidP="002847E7">
            <w:pPr>
              <w:keepNext/>
              <w:suppressAutoHyphens w:val="0"/>
              <w:spacing w:before="40" w:after="40" w:line="220" w:lineRule="exact"/>
              <w:jc w:val="right"/>
              <w:rPr>
                <w:sz w:val="18"/>
                <w:lang w:val="fr-CH"/>
              </w:rPr>
            </w:pPr>
            <w:r w:rsidRPr="0071782F">
              <w:rPr>
                <w:sz w:val="18"/>
                <w:lang w:val="fr-CH"/>
              </w:rPr>
              <w:t>4 407</w:t>
            </w:r>
          </w:p>
        </w:tc>
        <w:tc>
          <w:tcPr>
            <w:tcW w:w="851" w:type="dxa"/>
            <w:shd w:val="clear" w:color="auto" w:fill="auto"/>
            <w:vAlign w:val="bottom"/>
          </w:tcPr>
          <w:p w:rsidR="001604E2" w:rsidRPr="0071782F" w:rsidRDefault="001604E2" w:rsidP="002847E7">
            <w:pPr>
              <w:keepNext/>
              <w:suppressAutoHyphens w:val="0"/>
              <w:spacing w:before="40" w:after="40" w:line="220" w:lineRule="exact"/>
              <w:jc w:val="right"/>
              <w:rPr>
                <w:b/>
                <w:sz w:val="18"/>
                <w:lang w:val="fr-CH"/>
              </w:rPr>
            </w:pPr>
            <w:r w:rsidRPr="0071782F">
              <w:rPr>
                <w:b/>
                <w:sz w:val="18"/>
                <w:lang w:val="fr-CH"/>
              </w:rPr>
              <w:t>982 455</w:t>
            </w:r>
          </w:p>
        </w:tc>
      </w:tr>
      <w:tr w:rsidR="00AD5035" w:rsidRPr="0071782F">
        <w:tc>
          <w:tcPr>
            <w:tcW w:w="1843" w:type="dxa"/>
            <w:shd w:val="clear" w:color="auto" w:fill="auto"/>
          </w:tcPr>
          <w:p w:rsidR="00AD5035" w:rsidRPr="0071782F" w:rsidRDefault="00AD5035" w:rsidP="003B1403">
            <w:pPr>
              <w:suppressAutoHyphens w:val="0"/>
              <w:spacing w:before="40" w:after="40" w:line="220" w:lineRule="exact"/>
              <w:rPr>
                <w:sz w:val="18"/>
                <w:lang w:val="fr-CH"/>
              </w:rPr>
            </w:pPr>
            <w:r w:rsidRPr="0071782F">
              <w:rPr>
                <w:sz w:val="18"/>
                <w:lang w:val="fr-CH"/>
              </w:rPr>
              <w:t>Agriculture/</w:t>
            </w:r>
            <w:r w:rsidR="008A4A0D" w:rsidRPr="0071782F">
              <w:rPr>
                <w:sz w:val="18"/>
                <w:lang w:val="fr-CH"/>
              </w:rPr>
              <w:t xml:space="preserve">sciences </w:t>
            </w:r>
            <w:r w:rsidRPr="0071782F">
              <w:rPr>
                <w:sz w:val="18"/>
                <w:lang w:val="fr-CH"/>
              </w:rPr>
              <w:t>v</w:t>
            </w:r>
            <w:r w:rsidR="008A4A0D" w:rsidRPr="0071782F">
              <w:rPr>
                <w:sz w:val="18"/>
                <w:lang w:val="fr-CH"/>
              </w:rPr>
              <w:t>é</w:t>
            </w:r>
            <w:r w:rsidRPr="0071782F">
              <w:rPr>
                <w:sz w:val="18"/>
                <w:lang w:val="fr-CH"/>
              </w:rPr>
              <w:t>t</w:t>
            </w:r>
            <w:r w:rsidR="008A4A0D" w:rsidRPr="0071782F">
              <w:rPr>
                <w:sz w:val="18"/>
                <w:lang w:val="fr-CH"/>
              </w:rPr>
              <w:t>é</w:t>
            </w:r>
            <w:r w:rsidRPr="0071782F">
              <w:rPr>
                <w:sz w:val="18"/>
                <w:lang w:val="fr-CH"/>
              </w:rPr>
              <w:t>rina</w:t>
            </w:r>
            <w:r w:rsidR="008A4A0D" w:rsidRPr="0071782F">
              <w:rPr>
                <w:sz w:val="18"/>
                <w:lang w:val="fr-CH"/>
              </w:rPr>
              <w:t>ire</w:t>
            </w:r>
          </w:p>
        </w:tc>
        <w:tc>
          <w:tcPr>
            <w:tcW w:w="992"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44 220</w:t>
            </w:r>
          </w:p>
        </w:tc>
        <w:tc>
          <w:tcPr>
            <w:tcW w:w="993"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124 952</w:t>
            </w:r>
          </w:p>
        </w:tc>
        <w:tc>
          <w:tcPr>
            <w:tcW w:w="850"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11 397</w:t>
            </w:r>
          </w:p>
        </w:tc>
        <w:tc>
          <w:tcPr>
            <w:tcW w:w="992"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5 874</w:t>
            </w:r>
          </w:p>
        </w:tc>
        <w:tc>
          <w:tcPr>
            <w:tcW w:w="850"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2 472</w:t>
            </w:r>
          </w:p>
        </w:tc>
        <w:tc>
          <w:tcPr>
            <w:tcW w:w="851" w:type="dxa"/>
            <w:shd w:val="clear" w:color="auto" w:fill="auto"/>
            <w:vAlign w:val="bottom"/>
          </w:tcPr>
          <w:p w:rsidR="00AD5035" w:rsidRPr="0071782F" w:rsidRDefault="00AD5035" w:rsidP="003B1403">
            <w:pPr>
              <w:suppressAutoHyphens w:val="0"/>
              <w:spacing w:before="40" w:after="40" w:line="220" w:lineRule="exact"/>
              <w:jc w:val="right"/>
              <w:rPr>
                <w:b/>
                <w:sz w:val="18"/>
                <w:lang w:val="fr-CH"/>
              </w:rPr>
            </w:pPr>
            <w:r w:rsidRPr="0071782F">
              <w:rPr>
                <w:b/>
                <w:sz w:val="18"/>
                <w:lang w:val="fr-CH"/>
              </w:rPr>
              <w:t>188 915</w:t>
            </w:r>
          </w:p>
        </w:tc>
      </w:tr>
      <w:tr w:rsidR="00AD5035" w:rsidRPr="0071782F">
        <w:tc>
          <w:tcPr>
            <w:tcW w:w="1843" w:type="dxa"/>
            <w:tcBorders>
              <w:bottom w:val="single" w:sz="4" w:space="0" w:color="auto"/>
            </w:tcBorders>
            <w:shd w:val="clear" w:color="auto" w:fill="auto"/>
          </w:tcPr>
          <w:p w:rsidR="00AD5035" w:rsidRPr="0071782F" w:rsidRDefault="00AD5035" w:rsidP="003B1403">
            <w:pPr>
              <w:suppressAutoHyphens w:val="0"/>
              <w:spacing w:before="40" w:after="40" w:line="220" w:lineRule="exact"/>
              <w:rPr>
                <w:sz w:val="18"/>
                <w:lang w:val="fr-CH"/>
              </w:rPr>
            </w:pPr>
            <w:r w:rsidRPr="0071782F">
              <w:rPr>
                <w:sz w:val="18"/>
                <w:lang w:val="fr-CH"/>
              </w:rPr>
              <w:t>Arts</w:t>
            </w:r>
          </w:p>
        </w:tc>
        <w:tc>
          <w:tcPr>
            <w:tcW w:w="992" w:type="dxa"/>
            <w:tcBorders>
              <w:bottom w:val="single" w:sz="4"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83 684</w:t>
            </w:r>
          </w:p>
        </w:tc>
        <w:tc>
          <w:tcPr>
            <w:tcW w:w="993" w:type="dxa"/>
            <w:tcBorders>
              <w:bottom w:val="single" w:sz="4"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54 949</w:t>
            </w:r>
          </w:p>
        </w:tc>
        <w:tc>
          <w:tcPr>
            <w:tcW w:w="850" w:type="dxa"/>
            <w:tcBorders>
              <w:bottom w:val="single" w:sz="4"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5 336</w:t>
            </w:r>
          </w:p>
        </w:tc>
        <w:tc>
          <w:tcPr>
            <w:tcW w:w="992" w:type="dxa"/>
            <w:tcBorders>
              <w:bottom w:val="single" w:sz="4" w:space="0" w:color="auto"/>
            </w:tcBorders>
            <w:shd w:val="clear" w:color="auto" w:fill="auto"/>
            <w:vAlign w:val="bottom"/>
          </w:tcPr>
          <w:p w:rsidR="00AD5035" w:rsidRPr="0071782F" w:rsidRDefault="001604E2" w:rsidP="003B1403">
            <w:pPr>
              <w:suppressAutoHyphens w:val="0"/>
              <w:spacing w:before="40" w:after="40" w:line="220" w:lineRule="exact"/>
              <w:jc w:val="right"/>
              <w:rPr>
                <w:sz w:val="18"/>
                <w:lang w:val="fr-CH"/>
              </w:rPr>
            </w:pPr>
            <w:r w:rsidRPr="0071782F">
              <w:rPr>
                <w:sz w:val="18"/>
                <w:lang w:val="fr-CH"/>
              </w:rPr>
              <w:t>–</w:t>
            </w:r>
          </w:p>
        </w:tc>
        <w:tc>
          <w:tcPr>
            <w:tcW w:w="850" w:type="dxa"/>
            <w:tcBorders>
              <w:bottom w:val="single" w:sz="4"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399</w:t>
            </w:r>
          </w:p>
        </w:tc>
        <w:tc>
          <w:tcPr>
            <w:tcW w:w="851" w:type="dxa"/>
            <w:tcBorders>
              <w:bottom w:val="single" w:sz="4" w:space="0" w:color="auto"/>
            </w:tcBorders>
            <w:shd w:val="clear" w:color="auto" w:fill="auto"/>
            <w:vAlign w:val="bottom"/>
          </w:tcPr>
          <w:p w:rsidR="00AD5035" w:rsidRPr="0071782F" w:rsidRDefault="00AD5035" w:rsidP="003B1403">
            <w:pPr>
              <w:suppressAutoHyphens w:val="0"/>
              <w:spacing w:before="40" w:after="40" w:line="220" w:lineRule="exact"/>
              <w:jc w:val="right"/>
              <w:rPr>
                <w:b/>
                <w:sz w:val="18"/>
                <w:lang w:val="fr-CH"/>
              </w:rPr>
            </w:pPr>
            <w:r w:rsidRPr="0071782F">
              <w:rPr>
                <w:b/>
                <w:sz w:val="18"/>
                <w:lang w:val="fr-CH"/>
              </w:rPr>
              <w:t>144 368</w:t>
            </w:r>
          </w:p>
        </w:tc>
      </w:tr>
      <w:tr w:rsidR="00AD5035" w:rsidRPr="0071782F">
        <w:tc>
          <w:tcPr>
            <w:tcW w:w="1843" w:type="dxa"/>
            <w:tcBorders>
              <w:top w:val="single" w:sz="4" w:space="0" w:color="auto"/>
              <w:bottom w:val="single" w:sz="12" w:space="0" w:color="auto"/>
            </w:tcBorders>
            <w:shd w:val="clear" w:color="auto" w:fill="auto"/>
          </w:tcPr>
          <w:p w:rsidR="00AD5035" w:rsidRPr="0071782F" w:rsidRDefault="00AD5035" w:rsidP="00782B71">
            <w:pPr>
              <w:suppressAutoHyphens w:val="0"/>
              <w:spacing w:before="80" w:after="80" w:line="220" w:lineRule="exact"/>
              <w:ind w:left="284"/>
              <w:rPr>
                <w:b/>
                <w:sz w:val="18"/>
                <w:lang w:val="fr-CH"/>
              </w:rPr>
            </w:pPr>
            <w:r w:rsidRPr="0071782F">
              <w:rPr>
                <w:b/>
                <w:sz w:val="18"/>
                <w:lang w:val="fr-CH"/>
              </w:rPr>
              <w:t>Total</w:t>
            </w:r>
          </w:p>
        </w:tc>
        <w:tc>
          <w:tcPr>
            <w:tcW w:w="992"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20" w:lineRule="exact"/>
              <w:jc w:val="right"/>
              <w:rPr>
                <w:b/>
                <w:sz w:val="18"/>
                <w:lang w:val="fr-CH"/>
              </w:rPr>
            </w:pPr>
            <w:r w:rsidRPr="0071782F">
              <w:rPr>
                <w:b/>
                <w:sz w:val="18"/>
                <w:lang w:val="fr-CH"/>
              </w:rPr>
              <w:t>766 882</w:t>
            </w:r>
          </w:p>
        </w:tc>
        <w:tc>
          <w:tcPr>
            <w:tcW w:w="993"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20" w:lineRule="exact"/>
              <w:jc w:val="right"/>
              <w:rPr>
                <w:b/>
                <w:sz w:val="18"/>
                <w:lang w:val="fr-CH"/>
              </w:rPr>
            </w:pPr>
            <w:r w:rsidRPr="0071782F">
              <w:rPr>
                <w:b/>
                <w:sz w:val="18"/>
                <w:lang w:val="fr-CH"/>
              </w:rPr>
              <w:t>2 407 798</w:t>
            </w:r>
          </w:p>
        </w:tc>
        <w:tc>
          <w:tcPr>
            <w:tcW w:w="850"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20" w:lineRule="exact"/>
              <w:jc w:val="right"/>
              <w:rPr>
                <w:b/>
                <w:sz w:val="18"/>
                <w:lang w:val="fr-CH"/>
              </w:rPr>
            </w:pPr>
            <w:r w:rsidRPr="0071782F">
              <w:rPr>
                <w:b/>
                <w:sz w:val="18"/>
                <w:lang w:val="fr-CH"/>
              </w:rPr>
              <w:t>146 605</w:t>
            </w:r>
          </w:p>
        </w:tc>
        <w:tc>
          <w:tcPr>
            <w:tcW w:w="992"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20" w:lineRule="exact"/>
              <w:jc w:val="right"/>
              <w:rPr>
                <w:b/>
                <w:sz w:val="18"/>
                <w:lang w:val="fr-CH"/>
              </w:rPr>
            </w:pPr>
            <w:r w:rsidRPr="0071782F">
              <w:rPr>
                <w:b/>
                <w:sz w:val="18"/>
                <w:lang w:val="fr-CH"/>
              </w:rPr>
              <w:t>43 377</w:t>
            </w:r>
          </w:p>
        </w:tc>
        <w:tc>
          <w:tcPr>
            <w:tcW w:w="850"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20" w:lineRule="exact"/>
              <w:jc w:val="right"/>
              <w:rPr>
                <w:b/>
                <w:sz w:val="18"/>
                <w:lang w:val="fr-CH"/>
              </w:rPr>
            </w:pPr>
            <w:r w:rsidRPr="0071782F">
              <w:rPr>
                <w:b/>
                <w:sz w:val="18"/>
                <w:lang w:val="fr-CH"/>
              </w:rPr>
              <w:t>27 190</w:t>
            </w:r>
          </w:p>
        </w:tc>
        <w:tc>
          <w:tcPr>
            <w:tcW w:w="851"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20" w:lineRule="exact"/>
              <w:jc w:val="right"/>
              <w:rPr>
                <w:b/>
                <w:sz w:val="18"/>
                <w:lang w:val="fr-CH"/>
              </w:rPr>
            </w:pPr>
            <w:r w:rsidRPr="0071782F">
              <w:rPr>
                <w:b/>
                <w:sz w:val="18"/>
                <w:lang w:val="fr-CH"/>
              </w:rPr>
              <w:t>3 391 852</w:t>
            </w:r>
          </w:p>
        </w:tc>
      </w:tr>
    </w:tbl>
    <w:p w:rsidR="00AD5035" w:rsidRPr="0071782F" w:rsidRDefault="00AD5035" w:rsidP="00930639">
      <w:pPr>
        <w:pStyle w:val="H23G"/>
        <w:rPr>
          <w:lang w:val="fr-CH"/>
        </w:rPr>
      </w:pPr>
      <w:r w:rsidRPr="0071782F">
        <w:rPr>
          <w:lang w:val="fr-CH"/>
        </w:rPr>
        <w:tab/>
      </w:r>
      <w:r w:rsidRPr="0071782F">
        <w:rPr>
          <w:lang w:val="fr-CH"/>
        </w:rPr>
        <w:tab/>
      </w:r>
      <w:r w:rsidR="008A4A0D" w:rsidRPr="0071782F">
        <w:rPr>
          <w:lang w:val="fr-CH"/>
        </w:rPr>
        <w:t>Nombre t</w:t>
      </w:r>
      <w:r w:rsidRPr="0071782F">
        <w:rPr>
          <w:lang w:val="fr-CH"/>
        </w:rPr>
        <w:t xml:space="preserve">otal </w:t>
      </w:r>
      <w:r w:rsidR="008A4A0D" w:rsidRPr="0071782F">
        <w:rPr>
          <w:lang w:val="fr-CH"/>
        </w:rPr>
        <w:t xml:space="preserve">de places d’étudiant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268"/>
        <w:gridCol w:w="1276"/>
        <w:gridCol w:w="1843"/>
        <w:gridCol w:w="1983"/>
      </w:tblGrid>
      <w:tr w:rsidR="00AD5035" w:rsidRPr="0071782F">
        <w:trPr>
          <w:tblHeader/>
        </w:trPr>
        <w:tc>
          <w:tcPr>
            <w:tcW w:w="2268"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rPr>
                <w:i/>
                <w:sz w:val="16"/>
                <w:lang w:val="fr-CH"/>
              </w:rPr>
            </w:pPr>
          </w:p>
        </w:tc>
        <w:tc>
          <w:tcPr>
            <w:tcW w:w="1276"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2004</w:t>
            </w:r>
          </w:p>
        </w:tc>
        <w:tc>
          <w:tcPr>
            <w:tcW w:w="1843"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2008</w:t>
            </w:r>
          </w:p>
        </w:tc>
        <w:tc>
          <w:tcPr>
            <w:tcW w:w="1983"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2009</w:t>
            </w:r>
          </w:p>
        </w:tc>
      </w:tr>
      <w:tr w:rsidR="00AD5035" w:rsidRPr="0071782F">
        <w:tc>
          <w:tcPr>
            <w:tcW w:w="2268" w:type="dxa"/>
            <w:tcBorders>
              <w:top w:val="single" w:sz="12" w:space="0" w:color="auto"/>
              <w:bottom w:val="nil"/>
            </w:tcBorders>
            <w:shd w:val="clear" w:color="auto" w:fill="auto"/>
            <w:vAlign w:val="bottom"/>
          </w:tcPr>
          <w:p w:rsidR="00AD5035" w:rsidRPr="0071782F" w:rsidRDefault="008A4A0D" w:rsidP="003B1403">
            <w:pPr>
              <w:suppressAutoHyphens w:val="0"/>
              <w:spacing w:before="40" w:after="40" w:line="220" w:lineRule="exact"/>
              <w:rPr>
                <w:sz w:val="18"/>
                <w:lang w:val="fr-CH"/>
              </w:rPr>
            </w:pPr>
            <w:r w:rsidRPr="0071782F">
              <w:rPr>
                <w:sz w:val="18"/>
                <w:lang w:val="fr-CH"/>
              </w:rPr>
              <w:t xml:space="preserve">Cycle d’études sanctionnées par un premier diplôme universitaire </w:t>
            </w:r>
          </w:p>
        </w:tc>
        <w:tc>
          <w:tcPr>
            <w:tcW w:w="1276" w:type="dxa"/>
            <w:tcBorders>
              <w:top w:val="single" w:sz="12" w:space="0" w:color="auto"/>
              <w:bottom w:val="nil"/>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289 000</w:t>
            </w:r>
          </w:p>
        </w:tc>
        <w:tc>
          <w:tcPr>
            <w:tcW w:w="1843" w:type="dxa"/>
            <w:tcBorders>
              <w:top w:val="single" w:sz="12" w:space="0" w:color="auto"/>
              <w:bottom w:val="nil"/>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674 000</w:t>
            </w:r>
          </w:p>
        </w:tc>
        <w:tc>
          <w:tcPr>
            <w:tcW w:w="1983" w:type="dxa"/>
            <w:tcBorders>
              <w:top w:val="single" w:sz="12" w:space="0" w:color="auto"/>
              <w:bottom w:val="nil"/>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662 000</w:t>
            </w:r>
          </w:p>
        </w:tc>
      </w:tr>
      <w:tr w:rsidR="00AD5035" w:rsidRPr="0071782F">
        <w:tc>
          <w:tcPr>
            <w:tcW w:w="2268" w:type="dxa"/>
            <w:tcBorders>
              <w:top w:val="nil"/>
              <w:bottom w:val="nil"/>
            </w:tcBorders>
            <w:shd w:val="clear" w:color="auto" w:fill="auto"/>
            <w:vAlign w:val="bottom"/>
          </w:tcPr>
          <w:p w:rsidR="00AD5035" w:rsidRPr="0071782F" w:rsidRDefault="008A4A0D" w:rsidP="003B1403">
            <w:pPr>
              <w:suppressAutoHyphens w:val="0"/>
              <w:spacing w:before="40" w:after="40" w:line="220" w:lineRule="exact"/>
              <w:rPr>
                <w:sz w:val="18"/>
                <w:lang w:val="fr-CH"/>
              </w:rPr>
            </w:pPr>
            <w:r w:rsidRPr="0071782F">
              <w:rPr>
                <w:sz w:val="18"/>
                <w:lang w:val="fr-CH"/>
              </w:rPr>
              <w:t xml:space="preserve">Licence discontinue </w:t>
            </w:r>
          </w:p>
        </w:tc>
        <w:tc>
          <w:tcPr>
            <w:tcW w:w="1276" w:type="dxa"/>
            <w:tcBorders>
              <w:top w:val="nil"/>
              <w:bottom w:val="nil"/>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50 000</w:t>
            </w:r>
          </w:p>
        </w:tc>
        <w:tc>
          <w:tcPr>
            <w:tcW w:w="1843" w:type="dxa"/>
            <w:tcBorders>
              <w:top w:val="nil"/>
              <w:bottom w:val="nil"/>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120 000</w:t>
            </w:r>
          </w:p>
        </w:tc>
        <w:tc>
          <w:tcPr>
            <w:tcW w:w="1983" w:type="dxa"/>
            <w:tcBorders>
              <w:top w:val="nil"/>
              <w:bottom w:val="nil"/>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175 000</w:t>
            </w:r>
          </w:p>
        </w:tc>
      </w:tr>
      <w:tr w:rsidR="00AD5035" w:rsidRPr="0071782F">
        <w:tc>
          <w:tcPr>
            <w:tcW w:w="2268" w:type="dxa"/>
            <w:tcBorders>
              <w:top w:val="nil"/>
              <w:bottom w:val="single" w:sz="4" w:space="0" w:color="auto"/>
            </w:tcBorders>
            <w:shd w:val="clear" w:color="auto" w:fill="auto"/>
            <w:vAlign w:val="bottom"/>
          </w:tcPr>
          <w:p w:rsidR="00AD5035" w:rsidRPr="0071782F" w:rsidRDefault="008A4A0D" w:rsidP="003B1403">
            <w:pPr>
              <w:keepNext/>
              <w:keepLines/>
              <w:suppressAutoHyphens w:val="0"/>
              <w:spacing w:before="40" w:after="40" w:line="220" w:lineRule="exact"/>
              <w:rPr>
                <w:sz w:val="18"/>
                <w:lang w:val="fr-CH"/>
              </w:rPr>
            </w:pPr>
            <w:r w:rsidRPr="0071782F">
              <w:rPr>
                <w:sz w:val="18"/>
                <w:lang w:val="fr-CH"/>
              </w:rPr>
              <w:t>Licence</w:t>
            </w:r>
          </w:p>
        </w:tc>
        <w:tc>
          <w:tcPr>
            <w:tcW w:w="1276" w:type="dxa"/>
            <w:tcBorders>
              <w:top w:val="nil"/>
              <w:bottom w:val="single" w:sz="4" w:space="0" w:color="auto"/>
            </w:tcBorders>
            <w:shd w:val="clear" w:color="auto" w:fill="auto"/>
            <w:vAlign w:val="bottom"/>
          </w:tcPr>
          <w:p w:rsidR="00AD5035" w:rsidRPr="0071782F" w:rsidRDefault="00AD5035" w:rsidP="003B1403">
            <w:pPr>
              <w:keepNext/>
              <w:keepLines/>
              <w:suppressAutoHyphens w:val="0"/>
              <w:spacing w:before="40" w:after="40" w:line="220" w:lineRule="exact"/>
              <w:jc w:val="right"/>
              <w:rPr>
                <w:sz w:val="18"/>
                <w:lang w:val="fr-CH"/>
              </w:rPr>
            </w:pPr>
            <w:r w:rsidRPr="0071782F">
              <w:rPr>
                <w:sz w:val="18"/>
                <w:lang w:val="fr-CH"/>
              </w:rPr>
              <w:t>348 500</w:t>
            </w:r>
          </w:p>
        </w:tc>
        <w:tc>
          <w:tcPr>
            <w:tcW w:w="1843" w:type="dxa"/>
            <w:tcBorders>
              <w:top w:val="nil"/>
              <w:bottom w:val="single" w:sz="4" w:space="0" w:color="auto"/>
            </w:tcBorders>
            <w:shd w:val="clear" w:color="auto" w:fill="auto"/>
            <w:vAlign w:val="bottom"/>
          </w:tcPr>
          <w:p w:rsidR="00AD5035" w:rsidRPr="0071782F" w:rsidRDefault="00AD5035" w:rsidP="003B1403">
            <w:pPr>
              <w:keepNext/>
              <w:keepLines/>
              <w:suppressAutoHyphens w:val="0"/>
              <w:spacing w:before="40" w:after="40" w:line="220" w:lineRule="exact"/>
              <w:jc w:val="right"/>
              <w:rPr>
                <w:sz w:val="18"/>
                <w:lang w:val="fr-CH"/>
              </w:rPr>
            </w:pPr>
            <w:r w:rsidRPr="0071782F">
              <w:rPr>
                <w:sz w:val="18"/>
                <w:lang w:val="fr-CH"/>
              </w:rPr>
              <w:t>570 000</w:t>
            </w:r>
          </w:p>
        </w:tc>
        <w:tc>
          <w:tcPr>
            <w:tcW w:w="1983" w:type="dxa"/>
            <w:tcBorders>
              <w:top w:val="nil"/>
              <w:bottom w:val="single" w:sz="4" w:space="0" w:color="auto"/>
            </w:tcBorders>
            <w:shd w:val="clear" w:color="auto" w:fill="auto"/>
            <w:vAlign w:val="bottom"/>
          </w:tcPr>
          <w:p w:rsidR="00AD5035" w:rsidRPr="0071782F" w:rsidRDefault="00AD5035" w:rsidP="003B1403">
            <w:pPr>
              <w:keepNext/>
              <w:keepLines/>
              <w:suppressAutoHyphens w:val="0"/>
              <w:spacing w:before="40" w:after="40" w:line="220" w:lineRule="exact"/>
              <w:jc w:val="right"/>
              <w:rPr>
                <w:sz w:val="18"/>
                <w:lang w:val="fr-CH"/>
              </w:rPr>
            </w:pPr>
            <w:r w:rsidRPr="0071782F">
              <w:rPr>
                <w:sz w:val="18"/>
                <w:lang w:val="fr-CH"/>
              </w:rPr>
              <w:t>665 000</w:t>
            </w:r>
          </w:p>
        </w:tc>
      </w:tr>
      <w:tr w:rsidR="00AD5035" w:rsidRPr="0071782F">
        <w:tc>
          <w:tcPr>
            <w:tcW w:w="2268" w:type="dxa"/>
            <w:tcBorders>
              <w:top w:val="single" w:sz="4" w:space="0" w:color="auto"/>
              <w:bottom w:val="single" w:sz="12" w:space="0" w:color="auto"/>
            </w:tcBorders>
            <w:shd w:val="clear" w:color="auto" w:fill="auto"/>
            <w:vAlign w:val="bottom"/>
          </w:tcPr>
          <w:p w:rsidR="00AD5035" w:rsidRPr="0071782F" w:rsidRDefault="00AD5035" w:rsidP="00782B71">
            <w:pPr>
              <w:suppressAutoHyphens w:val="0"/>
              <w:spacing w:before="80" w:after="80" w:line="220" w:lineRule="exact"/>
              <w:ind w:left="284"/>
              <w:rPr>
                <w:b/>
                <w:sz w:val="18"/>
                <w:lang w:val="fr-CH"/>
              </w:rPr>
            </w:pPr>
            <w:r w:rsidRPr="0071782F">
              <w:rPr>
                <w:b/>
                <w:sz w:val="18"/>
                <w:lang w:val="fr-CH"/>
              </w:rPr>
              <w:t>Total</w:t>
            </w:r>
          </w:p>
        </w:tc>
        <w:tc>
          <w:tcPr>
            <w:tcW w:w="1276"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20" w:lineRule="exact"/>
              <w:jc w:val="right"/>
              <w:rPr>
                <w:b/>
                <w:sz w:val="18"/>
                <w:lang w:val="fr-CH"/>
              </w:rPr>
            </w:pPr>
            <w:r w:rsidRPr="0071782F">
              <w:rPr>
                <w:b/>
                <w:sz w:val="18"/>
                <w:lang w:val="fr-CH"/>
              </w:rPr>
              <w:t>687 500</w:t>
            </w:r>
          </w:p>
        </w:tc>
        <w:tc>
          <w:tcPr>
            <w:tcW w:w="1843"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20" w:lineRule="exact"/>
              <w:jc w:val="right"/>
              <w:rPr>
                <w:b/>
                <w:sz w:val="18"/>
                <w:lang w:val="fr-CH"/>
              </w:rPr>
            </w:pPr>
            <w:r w:rsidRPr="0071782F">
              <w:rPr>
                <w:b/>
                <w:sz w:val="18"/>
                <w:lang w:val="fr-CH"/>
              </w:rPr>
              <w:t>1 364 000</w:t>
            </w:r>
          </w:p>
        </w:tc>
        <w:tc>
          <w:tcPr>
            <w:tcW w:w="1983"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20" w:lineRule="exact"/>
              <w:jc w:val="right"/>
              <w:rPr>
                <w:b/>
                <w:sz w:val="18"/>
                <w:lang w:val="fr-CH"/>
              </w:rPr>
            </w:pPr>
            <w:r w:rsidRPr="0071782F">
              <w:rPr>
                <w:b/>
                <w:sz w:val="18"/>
                <w:lang w:val="fr-CH"/>
              </w:rPr>
              <w:t>1 502 000</w:t>
            </w:r>
          </w:p>
        </w:tc>
      </w:tr>
    </w:tbl>
    <w:p w:rsidR="00AD5035" w:rsidRPr="0071782F" w:rsidRDefault="00AD5035" w:rsidP="00930639">
      <w:pPr>
        <w:pStyle w:val="H23G"/>
        <w:rPr>
          <w:lang w:val="fr-CH"/>
        </w:rPr>
      </w:pPr>
      <w:r w:rsidRPr="0071782F">
        <w:rPr>
          <w:lang w:val="fr-CH"/>
        </w:rPr>
        <w:tab/>
      </w:r>
      <w:r w:rsidRPr="0071782F">
        <w:rPr>
          <w:lang w:val="fr-CH"/>
        </w:rPr>
        <w:tab/>
      </w:r>
      <w:r w:rsidR="008A4A0D" w:rsidRPr="0071782F">
        <w:rPr>
          <w:lang w:val="fr-CH"/>
        </w:rPr>
        <w:t xml:space="preserve">Nombre total de places d’étudiant </w:t>
      </w:r>
      <w:r w:rsidRPr="0071782F">
        <w:rPr>
          <w:lang w:val="fr-CH"/>
        </w:rPr>
        <w:t>(</w:t>
      </w:r>
      <w:r w:rsidR="008A4A0D" w:rsidRPr="0071782F">
        <w:rPr>
          <w:lang w:val="fr-CH"/>
        </w:rPr>
        <w:t>études universitaires supérieures</w:t>
      </w:r>
      <w:r w:rsidRPr="0071782F">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268"/>
        <w:gridCol w:w="1276"/>
        <w:gridCol w:w="1843"/>
        <w:gridCol w:w="1983"/>
      </w:tblGrid>
      <w:tr w:rsidR="00AD5035" w:rsidRPr="0071782F">
        <w:trPr>
          <w:tblHeader/>
        </w:trPr>
        <w:tc>
          <w:tcPr>
            <w:tcW w:w="2268"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rPr>
                <w:i/>
                <w:sz w:val="16"/>
                <w:lang w:val="fr-CH"/>
              </w:rPr>
            </w:pPr>
          </w:p>
        </w:tc>
        <w:tc>
          <w:tcPr>
            <w:tcW w:w="1276"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2004</w:t>
            </w:r>
          </w:p>
        </w:tc>
        <w:tc>
          <w:tcPr>
            <w:tcW w:w="1843"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2008</w:t>
            </w:r>
          </w:p>
        </w:tc>
        <w:tc>
          <w:tcPr>
            <w:tcW w:w="1983"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2009</w:t>
            </w:r>
          </w:p>
        </w:tc>
      </w:tr>
      <w:tr w:rsidR="00AD5035" w:rsidRPr="0071782F">
        <w:tc>
          <w:tcPr>
            <w:tcW w:w="2268"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rPr>
                <w:sz w:val="18"/>
                <w:lang w:val="fr-CH"/>
              </w:rPr>
            </w:pPr>
            <w:r w:rsidRPr="0071782F">
              <w:rPr>
                <w:sz w:val="18"/>
                <w:lang w:val="fr-CH"/>
              </w:rPr>
              <w:t>Mast</w:t>
            </w:r>
            <w:r w:rsidR="008A4A0D" w:rsidRPr="0071782F">
              <w:rPr>
                <w:sz w:val="18"/>
                <w:lang w:val="fr-CH"/>
              </w:rPr>
              <w:t>ère</w:t>
            </w:r>
          </w:p>
        </w:tc>
        <w:tc>
          <w:tcPr>
            <w:tcW w:w="1276"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25 765</w:t>
            </w:r>
          </w:p>
        </w:tc>
        <w:tc>
          <w:tcPr>
            <w:tcW w:w="1843"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57 950</w:t>
            </w:r>
          </w:p>
        </w:tc>
        <w:tc>
          <w:tcPr>
            <w:tcW w:w="1983"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75 000</w:t>
            </w:r>
          </w:p>
        </w:tc>
      </w:tr>
      <w:tr w:rsidR="00AD5035" w:rsidRPr="0071782F">
        <w:tc>
          <w:tcPr>
            <w:tcW w:w="2268" w:type="dxa"/>
            <w:tcBorders>
              <w:bottom w:val="single" w:sz="4" w:space="0" w:color="auto"/>
            </w:tcBorders>
            <w:shd w:val="clear" w:color="auto" w:fill="auto"/>
            <w:vAlign w:val="bottom"/>
          </w:tcPr>
          <w:p w:rsidR="00AD5035" w:rsidRPr="0071782F" w:rsidRDefault="00AD5035" w:rsidP="003B1403">
            <w:pPr>
              <w:suppressAutoHyphens w:val="0"/>
              <w:spacing w:before="40" w:after="40" w:line="220" w:lineRule="exact"/>
              <w:rPr>
                <w:sz w:val="18"/>
                <w:lang w:val="fr-CH"/>
              </w:rPr>
            </w:pPr>
            <w:r w:rsidRPr="0071782F">
              <w:rPr>
                <w:sz w:val="18"/>
                <w:lang w:val="fr-CH"/>
              </w:rPr>
              <w:t>D</w:t>
            </w:r>
            <w:r w:rsidR="008A4A0D" w:rsidRPr="0071782F">
              <w:rPr>
                <w:sz w:val="18"/>
                <w:lang w:val="fr-CH"/>
              </w:rPr>
              <w:t>octorat</w:t>
            </w:r>
          </w:p>
        </w:tc>
        <w:tc>
          <w:tcPr>
            <w:tcW w:w="1276" w:type="dxa"/>
            <w:tcBorders>
              <w:bottom w:val="single" w:sz="4"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2 490</w:t>
            </w:r>
          </w:p>
        </w:tc>
        <w:tc>
          <w:tcPr>
            <w:tcW w:w="1843" w:type="dxa"/>
            <w:tcBorders>
              <w:bottom w:val="single" w:sz="4"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5 110</w:t>
            </w:r>
          </w:p>
        </w:tc>
        <w:tc>
          <w:tcPr>
            <w:tcW w:w="1983" w:type="dxa"/>
            <w:tcBorders>
              <w:bottom w:val="single" w:sz="4"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6 000</w:t>
            </w:r>
          </w:p>
        </w:tc>
      </w:tr>
      <w:tr w:rsidR="00AD5035" w:rsidRPr="0071782F">
        <w:tc>
          <w:tcPr>
            <w:tcW w:w="2268" w:type="dxa"/>
            <w:tcBorders>
              <w:top w:val="single" w:sz="4" w:space="0" w:color="auto"/>
              <w:bottom w:val="single" w:sz="12" w:space="0" w:color="auto"/>
            </w:tcBorders>
            <w:shd w:val="clear" w:color="auto" w:fill="auto"/>
            <w:vAlign w:val="bottom"/>
          </w:tcPr>
          <w:p w:rsidR="00AD5035" w:rsidRPr="0071782F" w:rsidRDefault="00AD5035" w:rsidP="00782B71">
            <w:pPr>
              <w:suppressAutoHyphens w:val="0"/>
              <w:spacing w:before="80" w:after="80" w:line="220" w:lineRule="exact"/>
              <w:ind w:left="284"/>
              <w:rPr>
                <w:b/>
                <w:sz w:val="18"/>
                <w:lang w:val="fr-CH"/>
              </w:rPr>
            </w:pPr>
            <w:r w:rsidRPr="0071782F">
              <w:rPr>
                <w:b/>
                <w:sz w:val="18"/>
                <w:lang w:val="fr-CH"/>
              </w:rPr>
              <w:t>Total</w:t>
            </w:r>
          </w:p>
        </w:tc>
        <w:tc>
          <w:tcPr>
            <w:tcW w:w="1276"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20" w:lineRule="exact"/>
              <w:jc w:val="right"/>
              <w:rPr>
                <w:b/>
                <w:sz w:val="18"/>
                <w:lang w:val="fr-CH"/>
              </w:rPr>
            </w:pPr>
            <w:r w:rsidRPr="0071782F">
              <w:rPr>
                <w:b/>
                <w:sz w:val="18"/>
                <w:lang w:val="fr-CH"/>
              </w:rPr>
              <w:t>28 255</w:t>
            </w:r>
          </w:p>
        </w:tc>
        <w:tc>
          <w:tcPr>
            <w:tcW w:w="1843"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20" w:lineRule="exact"/>
              <w:jc w:val="right"/>
              <w:rPr>
                <w:b/>
                <w:sz w:val="18"/>
                <w:lang w:val="fr-CH"/>
              </w:rPr>
            </w:pPr>
            <w:r w:rsidRPr="0071782F">
              <w:rPr>
                <w:b/>
                <w:sz w:val="18"/>
                <w:lang w:val="fr-CH"/>
              </w:rPr>
              <w:t>63 060</w:t>
            </w:r>
          </w:p>
        </w:tc>
        <w:tc>
          <w:tcPr>
            <w:tcW w:w="1983"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20" w:lineRule="exact"/>
              <w:jc w:val="right"/>
              <w:rPr>
                <w:b/>
                <w:sz w:val="18"/>
                <w:lang w:val="fr-CH"/>
              </w:rPr>
            </w:pPr>
            <w:r w:rsidRPr="0071782F">
              <w:rPr>
                <w:b/>
                <w:sz w:val="18"/>
                <w:lang w:val="fr-CH"/>
              </w:rPr>
              <w:t>81 000</w:t>
            </w:r>
          </w:p>
        </w:tc>
      </w:tr>
    </w:tbl>
    <w:p w:rsidR="00AD5035" w:rsidRPr="0071782F" w:rsidRDefault="00AD5035" w:rsidP="00930639">
      <w:pPr>
        <w:pStyle w:val="H23G"/>
        <w:rPr>
          <w:lang w:val="fr-CH"/>
        </w:rPr>
      </w:pPr>
      <w:r w:rsidRPr="0071782F">
        <w:rPr>
          <w:lang w:val="fr-CH"/>
        </w:rPr>
        <w:tab/>
      </w:r>
      <w:r w:rsidRPr="0071782F">
        <w:rPr>
          <w:lang w:val="fr-CH"/>
        </w:rPr>
        <w:tab/>
      </w:r>
      <w:r w:rsidR="008A4A0D" w:rsidRPr="0071782F">
        <w:rPr>
          <w:lang w:val="fr-CH"/>
        </w:rPr>
        <w:t xml:space="preserve">Principaux </w:t>
      </w:r>
      <w:r w:rsidRPr="0071782F">
        <w:rPr>
          <w:lang w:val="fr-CH"/>
        </w:rPr>
        <w:t>indicat</w:t>
      </w:r>
      <w:r w:rsidR="008A4A0D" w:rsidRPr="0071782F">
        <w:rPr>
          <w:lang w:val="fr-CH"/>
        </w:rPr>
        <w:t>eu</w:t>
      </w:r>
      <w:r w:rsidRPr="0071782F">
        <w:rPr>
          <w:lang w:val="fr-CH"/>
        </w:rPr>
        <w:t xml:space="preserve">rs </w:t>
      </w:r>
      <w:r w:rsidR="008A4A0D" w:rsidRPr="0071782F">
        <w:rPr>
          <w:lang w:val="fr-CH"/>
        </w:rPr>
        <w:t xml:space="preserve">du développement </w:t>
      </w:r>
      <w:r w:rsidRPr="0071782F">
        <w:rPr>
          <w:lang w:val="fr-CH"/>
        </w:rPr>
        <w:t>quantitati</w:t>
      </w:r>
      <w:r w:rsidR="008A4A0D" w:rsidRPr="0071782F">
        <w:rPr>
          <w:lang w:val="fr-CH"/>
        </w:rPr>
        <w:t xml:space="preserve">f de l’enseignement supérieur, de la recherche et de la </w:t>
      </w:r>
      <w:r w:rsidR="0071782F" w:rsidRPr="0071782F">
        <w:rPr>
          <w:lang w:val="fr-CH"/>
        </w:rPr>
        <w:t>technologie</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828"/>
        <w:gridCol w:w="1275"/>
        <w:gridCol w:w="709"/>
        <w:gridCol w:w="709"/>
        <w:gridCol w:w="709"/>
        <w:gridCol w:w="1275"/>
      </w:tblGrid>
      <w:tr w:rsidR="00AD5035" w:rsidRPr="0071782F">
        <w:trPr>
          <w:tblHeader/>
        </w:trPr>
        <w:tc>
          <w:tcPr>
            <w:tcW w:w="3828"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rPr>
                <w:i/>
                <w:sz w:val="16"/>
                <w:lang w:val="fr-CH"/>
              </w:rPr>
            </w:pPr>
            <w:r w:rsidRPr="0071782F">
              <w:rPr>
                <w:i/>
                <w:sz w:val="16"/>
                <w:lang w:val="fr-CH"/>
              </w:rPr>
              <w:t>Indicat</w:t>
            </w:r>
            <w:r w:rsidR="008A4A0D" w:rsidRPr="0071782F">
              <w:rPr>
                <w:i/>
                <w:sz w:val="16"/>
                <w:lang w:val="fr-CH"/>
              </w:rPr>
              <w:t>eu</w:t>
            </w:r>
            <w:r w:rsidRPr="0071782F">
              <w:rPr>
                <w:i/>
                <w:sz w:val="16"/>
                <w:lang w:val="fr-CH"/>
              </w:rPr>
              <w:t>r</w:t>
            </w:r>
          </w:p>
        </w:tc>
        <w:tc>
          <w:tcPr>
            <w:tcW w:w="1275" w:type="dxa"/>
            <w:tcBorders>
              <w:top w:val="single" w:sz="4" w:space="0" w:color="auto"/>
              <w:bottom w:val="single" w:sz="12" w:space="0" w:color="auto"/>
            </w:tcBorders>
            <w:shd w:val="clear" w:color="auto" w:fill="auto"/>
            <w:vAlign w:val="bottom"/>
          </w:tcPr>
          <w:p w:rsidR="00AD5035" w:rsidRPr="0071782F" w:rsidRDefault="008A4A0D" w:rsidP="003B1403">
            <w:pPr>
              <w:suppressAutoHyphens w:val="0"/>
              <w:spacing w:before="80" w:after="80" w:line="200" w:lineRule="exact"/>
              <w:jc w:val="right"/>
              <w:rPr>
                <w:i/>
                <w:sz w:val="16"/>
                <w:lang w:val="fr-CH"/>
              </w:rPr>
            </w:pPr>
            <w:r w:rsidRPr="0071782F">
              <w:rPr>
                <w:i/>
                <w:sz w:val="16"/>
                <w:lang w:val="fr-CH"/>
              </w:rPr>
              <w:t>Fin du 3</w:t>
            </w:r>
            <w:r w:rsidRPr="009E6189">
              <w:rPr>
                <w:i/>
                <w:sz w:val="16"/>
                <w:vertAlign w:val="superscript"/>
                <w:lang w:val="fr-CH"/>
              </w:rPr>
              <w:t>e</w:t>
            </w:r>
            <w:r w:rsidRPr="0071782F">
              <w:rPr>
                <w:i/>
                <w:sz w:val="16"/>
                <w:lang w:val="fr-CH"/>
              </w:rPr>
              <w:t xml:space="preserve"> </w:t>
            </w:r>
            <w:r w:rsidR="00AD5035" w:rsidRPr="0071782F">
              <w:rPr>
                <w:i/>
                <w:sz w:val="16"/>
                <w:lang w:val="fr-CH"/>
              </w:rPr>
              <w:t>program</w:t>
            </w:r>
            <w:r w:rsidRPr="0071782F">
              <w:rPr>
                <w:i/>
                <w:sz w:val="16"/>
                <w:lang w:val="fr-CH"/>
              </w:rPr>
              <w:t>me de développement</w:t>
            </w:r>
            <w:r w:rsidR="00AD5035" w:rsidRPr="0071782F">
              <w:rPr>
                <w:i/>
                <w:sz w:val="16"/>
                <w:lang w:val="fr-CH"/>
              </w:rPr>
              <w:t xml:space="preserve"> (2004)</w:t>
            </w:r>
          </w:p>
        </w:tc>
        <w:tc>
          <w:tcPr>
            <w:tcW w:w="709"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2005</w:t>
            </w:r>
          </w:p>
        </w:tc>
        <w:tc>
          <w:tcPr>
            <w:tcW w:w="709"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2006</w:t>
            </w:r>
          </w:p>
        </w:tc>
        <w:tc>
          <w:tcPr>
            <w:tcW w:w="709" w:type="dxa"/>
            <w:tcBorders>
              <w:top w:val="single" w:sz="4" w:space="0" w:color="auto"/>
              <w:bottom w:val="single" w:sz="12" w:space="0" w:color="auto"/>
            </w:tcBorders>
            <w:shd w:val="clear" w:color="auto" w:fill="auto"/>
            <w:vAlign w:val="bottom"/>
          </w:tcPr>
          <w:p w:rsidR="00AD5035" w:rsidRPr="0071782F" w:rsidRDefault="00AD5035" w:rsidP="003B1403">
            <w:pPr>
              <w:suppressAutoHyphens w:val="0"/>
              <w:spacing w:before="80" w:after="80" w:line="200" w:lineRule="exact"/>
              <w:jc w:val="right"/>
              <w:rPr>
                <w:i/>
                <w:sz w:val="16"/>
                <w:lang w:val="fr-CH"/>
              </w:rPr>
            </w:pPr>
            <w:r w:rsidRPr="0071782F">
              <w:rPr>
                <w:i/>
                <w:sz w:val="16"/>
                <w:lang w:val="fr-CH"/>
              </w:rPr>
              <w:t>2007</w:t>
            </w:r>
          </w:p>
        </w:tc>
        <w:tc>
          <w:tcPr>
            <w:tcW w:w="1275" w:type="dxa"/>
            <w:tcBorders>
              <w:top w:val="single" w:sz="4" w:space="0" w:color="auto"/>
              <w:bottom w:val="single" w:sz="12" w:space="0" w:color="auto"/>
            </w:tcBorders>
            <w:shd w:val="clear" w:color="auto" w:fill="auto"/>
            <w:vAlign w:val="bottom"/>
          </w:tcPr>
          <w:p w:rsidR="00AD5035" w:rsidRPr="0071782F" w:rsidRDefault="008A4A0D" w:rsidP="003B1403">
            <w:pPr>
              <w:suppressAutoHyphens w:val="0"/>
              <w:spacing w:before="80" w:after="80" w:line="200" w:lineRule="exact"/>
              <w:jc w:val="right"/>
              <w:rPr>
                <w:i/>
                <w:sz w:val="16"/>
                <w:lang w:val="fr-CH"/>
              </w:rPr>
            </w:pPr>
            <w:r w:rsidRPr="0071782F">
              <w:rPr>
                <w:i/>
                <w:sz w:val="16"/>
                <w:lang w:val="fr-CH"/>
              </w:rPr>
              <w:t xml:space="preserve">Fin du </w:t>
            </w:r>
            <w:r w:rsidR="00A90208" w:rsidRPr="0071782F">
              <w:rPr>
                <w:i/>
                <w:sz w:val="16"/>
                <w:lang w:val="fr-CH"/>
              </w:rPr>
              <w:t>quatrième</w:t>
            </w:r>
            <w:r w:rsidRPr="0071782F">
              <w:rPr>
                <w:i/>
                <w:sz w:val="16"/>
                <w:lang w:val="fr-CH"/>
              </w:rPr>
              <w:t xml:space="preserve"> programme de développement </w:t>
            </w:r>
            <w:r w:rsidR="00AD5035" w:rsidRPr="0071782F">
              <w:rPr>
                <w:i/>
                <w:sz w:val="16"/>
                <w:lang w:val="fr-CH"/>
              </w:rPr>
              <w:t>(2009)</w:t>
            </w:r>
          </w:p>
        </w:tc>
      </w:tr>
      <w:tr w:rsidR="00AD5035" w:rsidRPr="0071782F">
        <w:tc>
          <w:tcPr>
            <w:tcW w:w="3828" w:type="dxa"/>
            <w:tcBorders>
              <w:top w:val="single" w:sz="12" w:space="0" w:color="auto"/>
            </w:tcBorders>
            <w:shd w:val="clear" w:color="auto" w:fill="auto"/>
            <w:vAlign w:val="bottom"/>
          </w:tcPr>
          <w:p w:rsidR="00AD5035" w:rsidRPr="0071782F" w:rsidRDefault="008A4A0D" w:rsidP="003B1403">
            <w:pPr>
              <w:suppressAutoHyphens w:val="0"/>
              <w:spacing w:before="40" w:after="40" w:line="220" w:lineRule="exact"/>
              <w:rPr>
                <w:sz w:val="18"/>
                <w:lang w:val="fr-CH"/>
              </w:rPr>
            </w:pPr>
            <w:r w:rsidRPr="0071782F">
              <w:rPr>
                <w:sz w:val="18"/>
                <w:lang w:val="fr-CH"/>
              </w:rPr>
              <w:t xml:space="preserve">Inscriptions dans l’enseignement supérieur </w:t>
            </w:r>
            <w:r w:rsidR="00AD5035" w:rsidRPr="0071782F">
              <w:rPr>
                <w:sz w:val="18"/>
                <w:lang w:val="fr-CH"/>
              </w:rPr>
              <w:t>(18</w:t>
            </w:r>
            <w:r w:rsidR="009E6189">
              <w:rPr>
                <w:sz w:val="18"/>
                <w:lang w:val="fr-CH"/>
              </w:rPr>
              <w:noBreakHyphen/>
            </w:r>
            <w:r w:rsidR="00AD5035" w:rsidRPr="0071782F">
              <w:rPr>
                <w:sz w:val="18"/>
                <w:lang w:val="fr-CH"/>
              </w:rPr>
              <w:t>24</w:t>
            </w:r>
            <w:r w:rsidR="00D82C96" w:rsidRPr="0071782F">
              <w:rPr>
                <w:sz w:val="18"/>
                <w:lang w:val="fr-CH"/>
              </w:rPr>
              <w:t> ans</w:t>
            </w:r>
            <w:r w:rsidR="00AD5035" w:rsidRPr="0071782F">
              <w:rPr>
                <w:sz w:val="18"/>
                <w:lang w:val="fr-CH"/>
              </w:rPr>
              <w:t>)</w:t>
            </w:r>
          </w:p>
        </w:tc>
        <w:tc>
          <w:tcPr>
            <w:tcW w:w="1275"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20%</w:t>
            </w:r>
          </w:p>
        </w:tc>
        <w:tc>
          <w:tcPr>
            <w:tcW w:w="709"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19</w:t>
            </w:r>
            <w:r w:rsidR="003B1403" w:rsidRPr="0071782F">
              <w:rPr>
                <w:sz w:val="18"/>
                <w:lang w:val="fr-CH"/>
              </w:rPr>
              <w:t>,</w:t>
            </w:r>
            <w:r w:rsidRPr="0071782F">
              <w:rPr>
                <w:sz w:val="18"/>
                <w:lang w:val="fr-CH"/>
              </w:rPr>
              <w:t>9%</w:t>
            </w:r>
          </w:p>
        </w:tc>
        <w:tc>
          <w:tcPr>
            <w:tcW w:w="709"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22</w:t>
            </w:r>
            <w:r w:rsidR="003B1403" w:rsidRPr="0071782F">
              <w:rPr>
                <w:sz w:val="18"/>
                <w:lang w:val="fr-CH"/>
              </w:rPr>
              <w:t>,</w:t>
            </w:r>
            <w:r w:rsidRPr="0071782F">
              <w:rPr>
                <w:sz w:val="18"/>
                <w:lang w:val="fr-CH"/>
              </w:rPr>
              <w:t>5%</w:t>
            </w:r>
          </w:p>
        </w:tc>
        <w:tc>
          <w:tcPr>
            <w:tcW w:w="709"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25</w:t>
            </w:r>
            <w:r w:rsidR="003B1403" w:rsidRPr="0071782F">
              <w:rPr>
                <w:sz w:val="18"/>
                <w:lang w:val="fr-CH"/>
              </w:rPr>
              <w:t>,</w:t>
            </w:r>
            <w:r w:rsidRPr="0071782F">
              <w:rPr>
                <w:sz w:val="18"/>
                <w:lang w:val="fr-CH"/>
              </w:rPr>
              <w:t>75%</w:t>
            </w:r>
          </w:p>
        </w:tc>
        <w:tc>
          <w:tcPr>
            <w:tcW w:w="1275" w:type="dxa"/>
            <w:tcBorders>
              <w:top w:val="single" w:sz="12" w:space="0" w:color="auto"/>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30%</w:t>
            </w:r>
          </w:p>
        </w:tc>
      </w:tr>
      <w:tr w:rsidR="00AD5035" w:rsidRPr="0071782F">
        <w:tc>
          <w:tcPr>
            <w:tcW w:w="3828" w:type="dxa"/>
            <w:shd w:val="clear" w:color="auto" w:fill="auto"/>
            <w:vAlign w:val="bottom"/>
          </w:tcPr>
          <w:p w:rsidR="00AD5035" w:rsidRPr="0071782F" w:rsidRDefault="00AD5035" w:rsidP="003B1403">
            <w:pPr>
              <w:suppressAutoHyphens w:val="0"/>
              <w:spacing w:before="40" w:after="40" w:line="220" w:lineRule="exact"/>
              <w:rPr>
                <w:sz w:val="18"/>
                <w:lang w:val="fr-CH"/>
              </w:rPr>
            </w:pPr>
            <w:r w:rsidRPr="0071782F">
              <w:rPr>
                <w:sz w:val="18"/>
                <w:lang w:val="fr-CH"/>
              </w:rPr>
              <w:t>No</w:t>
            </w:r>
            <w:r w:rsidR="008A4A0D" w:rsidRPr="0071782F">
              <w:rPr>
                <w:sz w:val="18"/>
                <w:lang w:val="fr-CH"/>
              </w:rPr>
              <w:t xml:space="preserve">mbre d’étudiants pour 100 </w:t>
            </w:r>
            <w:r w:rsidRPr="0071782F">
              <w:rPr>
                <w:sz w:val="18"/>
                <w:lang w:val="fr-CH"/>
              </w:rPr>
              <w:t>000</w:t>
            </w:r>
            <w:r w:rsidR="00BF435F" w:rsidRPr="0071782F">
              <w:rPr>
                <w:sz w:val="18"/>
                <w:lang w:val="fr-CH"/>
              </w:rPr>
              <w:t> habitants</w:t>
            </w:r>
            <w:r w:rsidR="008A4A0D" w:rsidRPr="0071782F">
              <w:rPr>
                <w:sz w:val="18"/>
                <w:lang w:val="fr-CH"/>
              </w:rPr>
              <w:t xml:space="preserve"> </w:t>
            </w:r>
          </w:p>
        </w:tc>
        <w:tc>
          <w:tcPr>
            <w:tcW w:w="1275"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3 200</w:t>
            </w:r>
          </w:p>
        </w:tc>
        <w:tc>
          <w:tcPr>
            <w:tcW w:w="709"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3 442</w:t>
            </w:r>
          </w:p>
        </w:tc>
        <w:tc>
          <w:tcPr>
            <w:tcW w:w="709"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4 000</w:t>
            </w:r>
          </w:p>
        </w:tc>
        <w:tc>
          <w:tcPr>
            <w:tcW w:w="709"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4 737</w:t>
            </w:r>
          </w:p>
        </w:tc>
        <w:tc>
          <w:tcPr>
            <w:tcW w:w="1275"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5 000</w:t>
            </w:r>
          </w:p>
        </w:tc>
      </w:tr>
      <w:tr w:rsidR="00AD5035" w:rsidRPr="0071782F">
        <w:tc>
          <w:tcPr>
            <w:tcW w:w="3828" w:type="dxa"/>
            <w:tcBorders>
              <w:bottom w:val="nil"/>
            </w:tcBorders>
            <w:shd w:val="clear" w:color="auto" w:fill="auto"/>
            <w:vAlign w:val="bottom"/>
          </w:tcPr>
          <w:p w:rsidR="00AD5035" w:rsidRPr="0071782F" w:rsidRDefault="008A4A0D" w:rsidP="003B1403">
            <w:pPr>
              <w:suppressAutoHyphens w:val="0"/>
              <w:spacing w:before="40" w:after="40" w:line="220" w:lineRule="exact"/>
              <w:rPr>
                <w:sz w:val="18"/>
                <w:lang w:val="fr-CH"/>
              </w:rPr>
            </w:pPr>
            <w:r w:rsidRPr="0071782F">
              <w:rPr>
                <w:sz w:val="18"/>
                <w:lang w:val="fr-CH"/>
              </w:rPr>
              <w:t xml:space="preserve">Proportion d’étudiants </w:t>
            </w:r>
            <w:r w:rsidR="00196FA5" w:rsidRPr="0071782F">
              <w:rPr>
                <w:sz w:val="18"/>
                <w:lang w:val="fr-CH"/>
              </w:rPr>
              <w:t>titulaires d’</w:t>
            </w:r>
            <w:r w:rsidRPr="0071782F">
              <w:rPr>
                <w:sz w:val="18"/>
                <w:lang w:val="fr-CH"/>
              </w:rPr>
              <w:t xml:space="preserve">un premier diplôme universitaire par rapport à l’ensemble de la population étudiante </w:t>
            </w:r>
          </w:p>
        </w:tc>
        <w:tc>
          <w:tcPr>
            <w:tcW w:w="1275" w:type="dxa"/>
            <w:tcBorders>
              <w:bottom w:val="nil"/>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32%</w:t>
            </w:r>
          </w:p>
        </w:tc>
        <w:tc>
          <w:tcPr>
            <w:tcW w:w="709" w:type="dxa"/>
            <w:tcBorders>
              <w:bottom w:val="nil"/>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29</w:t>
            </w:r>
            <w:r w:rsidR="003B1403" w:rsidRPr="0071782F">
              <w:rPr>
                <w:sz w:val="18"/>
                <w:lang w:val="fr-CH"/>
              </w:rPr>
              <w:t>,</w:t>
            </w:r>
            <w:r w:rsidRPr="0071782F">
              <w:rPr>
                <w:sz w:val="18"/>
                <w:lang w:val="fr-CH"/>
              </w:rPr>
              <w:t>8%</w:t>
            </w:r>
          </w:p>
        </w:tc>
        <w:tc>
          <w:tcPr>
            <w:tcW w:w="709" w:type="dxa"/>
            <w:tcBorders>
              <w:bottom w:val="nil"/>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26%</w:t>
            </w:r>
          </w:p>
        </w:tc>
        <w:tc>
          <w:tcPr>
            <w:tcW w:w="709" w:type="dxa"/>
            <w:tcBorders>
              <w:bottom w:val="nil"/>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22</w:t>
            </w:r>
            <w:r w:rsidR="003B1403" w:rsidRPr="0071782F">
              <w:rPr>
                <w:sz w:val="18"/>
                <w:lang w:val="fr-CH"/>
              </w:rPr>
              <w:t>,</w:t>
            </w:r>
            <w:r w:rsidRPr="0071782F">
              <w:rPr>
                <w:sz w:val="18"/>
                <w:lang w:val="fr-CH"/>
              </w:rPr>
              <w:t>6%</w:t>
            </w:r>
          </w:p>
        </w:tc>
        <w:tc>
          <w:tcPr>
            <w:tcW w:w="1275" w:type="dxa"/>
            <w:tcBorders>
              <w:bottom w:val="nil"/>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37</w:t>
            </w:r>
            <w:r w:rsidR="003B1403" w:rsidRPr="0071782F">
              <w:rPr>
                <w:sz w:val="18"/>
                <w:lang w:val="fr-CH"/>
              </w:rPr>
              <w:t>,</w:t>
            </w:r>
            <w:r w:rsidRPr="0071782F">
              <w:rPr>
                <w:sz w:val="18"/>
                <w:lang w:val="fr-CH"/>
              </w:rPr>
              <w:t>4%</w:t>
            </w:r>
          </w:p>
        </w:tc>
      </w:tr>
      <w:tr w:rsidR="00AD5035" w:rsidRPr="0071782F">
        <w:tc>
          <w:tcPr>
            <w:tcW w:w="3828" w:type="dxa"/>
            <w:tcBorders>
              <w:top w:val="nil"/>
              <w:bottom w:val="nil"/>
            </w:tcBorders>
            <w:shd w:val="clear" w:color="auto" w:fill="auto"/>
            <w:vAlign w:val="bottom"/>
          </w:tcPr>
          <w:p w:rsidR="00AD5035" w:rsidRPr="0071782F" w:rsidRDefault="007847EB" w:rsidP="003B1403">
            <w:pPr>
              <w:suppressAutoHyphens w:val="0"/>
              <w:spacing w:before="40" w:after="40" w:line="220" w:lineRule="exact"/>
              <w:rPr>
                <w:sz w:val="18"/>
                <w:lang w:val="fr-CH"/>
              </w:rPr>
            </w:pPr>
            <w:r w:rsidRPr="0071782F">
              <w:rPr>
                <w:sz w:val="18"/>
                <w:lang w:val="fr-CH"/>
              </w:rPr>
              <w:t xml:space="preserve">Proportion d’étudiants </w:t>
            </w:r>
            <w:r w:rsidR="00196FA5" w:rsidRPr="0071782F">
              <w:rPr>
                <w:sz w:val="18"/>
                <w:lang w:val="fr-CH"/>
              </w:rPr>
              <w:t>titulaires d’</w:t>
            </w:r>
            <w:r w:rsidRPr="0071782F">
              <w:rPr>
                <w:sz w:val="18"/>
                <w:lang w:val="fr-CH"/>
              </w:rPr>
              <w:t>une licence par rapport à l’ensemble de la population étudiante</w:t>
            </w:r>
          </w:p>
        </w:tc>
        <w:tc>
          <w:tcPr>
            <w:tcW w:w="1275" w:type="dxa"/>
            <w:tcBorders>
              <w:top w:val="nil"/>
              <w:bottom w:val="nil"/>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62%</w:t>
            </w:r>
          </w:p>
        </w:tc>
        <w:tc>
          <w:tcPr>
            <w:tcW w:w="709" w:type="dxa"/>
            <w:tcBorders>
              <w:top w:val="nil"/>
              <w:bottom w:val="nil"/>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63</w:t>
            </w:r>
            <w:r w:rsidR="003B1403" w:rsidRPr="0071782F">
              <w:rPr>
                <w:sz w:val="18"/>
                <w:lang w:val="fr-CH"/>
              </w:rPr>
              <w:t>,</w:t>
            </w:r>
            <w:r w:rsidRPr="0071782F">
              <w:rPr>
                <w:sz w:val="18"/>
                <w:lang w:val="fr-CH"/>
              </w:rPr>
              <w:t>8%</w:t>
            </w:r>
          </w:p>
        </w:tc>
        <w:tc>
          <w:tcPr>
            <w:tcW w:w="709" w:type="dxa"/>
            <w:tcBorders>
              <w:top w:val="nil"/>
              <w:bottom w:val="nil"/>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67</w:t>
            </w:r>
            <w:r w:rsidR="003B1403" w:rsidRPr="0071782F">
              <w:rPr>
                <w:sz w:val="18"/>
                <w:lang w:val="fr-CH"/>
              </w:rPr>
              <w:t>,</w:t>
            </w:r>
            <w:r w:rsidRPr="0071782F">
              <w:rPr>
                <w:sz w:val="18"/>
                <w:lang w:val="fr-CH"/>
              </w:rPr>
              <w:t>5%</w:t>
            </w:r>
          </w:p>
        </w:tc>
        <w:tc>
          <w:tcPr>
            <w:tcW w:w="709" w:type="dxa"/>
            <w:tcBorders>
              <w:top w:val="nil"/>
              <w:bottom w:val="nil"/>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71%</w:t>
            </w:r>
          </w:p>
        </w:tc>
        <w:tc>
          <w:tcPr>
            <w:tcW w:w="1275" w:type="dxa"/>
            <w:tcBorders>
              <w:top w:val="nil"/>
              <w:bottom w:val="nil"/>
            </w:tcBorders>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56</w:t>
            </w:r>
            <w:r w:rsidR="003B1403" w:rsidRPr="0071782F">
              <w:rPr>
                <w:sz w:val="18"/>
                <w:lang w:val="fr-CH"/>
              </w:rPr>
              <w:t>,</w:t>
            </w:r>
            <w:r w:rsidRPr="0071782F">
              <w:rPr>
                <w:sz w:val="18"/>
                <w:lang w:val="fr-CH"/>
              </w:rPr>
              <w:t>4%</w:t>
            </w:r>
          </w:p>
        </w:tc>
      </w:tr>
      <w:tr w:rsidR="00AD5035" w:rsidRPr="0071782F">
        <w:tc>
          <w:tcPr>
            <w:tcW w:w="3828" w:type="dxa"/>
            <w:tcBorders>
              <w:top w:val="nil"/>
            </w:tcBorders>
            <w:shd w:val="clear" w:color="auto" w:fill="auto"/>
            <w:vAlign w:val="bottom"/>
          </w:tcPr>
          <w:p w:rsidR="00AD5035" w:rsidRPr="0071782F" w:rsidRDefault="007847EB" w:rsidP="00782B71">
            <w:pPr>
              <w:keepNext/>
              <w:suppressAutoHyphens w:val="0"/>
              <w:spacing w:before="40" w:after="40" w:line="220" w:lineRule="exact"/>
              <w:rPr>
                <w:sz w:val="18"/>
                <w:lang w:val="fr-CH"/>
              </w:rPr>
            </w:pPr>
            <w:r w:rsidRPr="0071782F">
              <w:rPr>
                <w:sz w:val="18"/>
                <w:lang w:val="fr-CH"/>
              </w:rPr>
              <w:t xml:space="preserve">Proportion d’étudiants </w:t>
            </w:r>
            <w:r w:rsidR="00196FA5" w:rsidRPr="0071782F">
              <w:rPr>
                <w:sz w:val="18"/>
                <w:lang w:val="fr-CH"/>
              </w:rPr>
              <w:t>titulaires d’</w:t>
            </w:r>
            <w:r w:rsidR="00A05045" w:rsidRPr="0071782F">
              <w:rPr>
                <w:sz w:val="18"/>
                <w:lang w:val="fr-CH"/>
              </w:rPr>
              <w:t>u</w:t>
            </w:r>
            <w:r w:rsidRPr="0071782F">
              <w:rPr>
                <w:sz w:val="18"/>
                <w:lang w:val="fr-CH"/>
              </w:rPr>
              <w:t>n diplôme d’études universitaires supérieures par rapport à l’ensemble de la population étudiante</w:t>
            </w:r>
          </w:p>
        </w:tc>
        <w:tc>
          <w:tcPr>
            <w:tcW w:w="1275" w:type="dxa"/>
            <w:tcBorders>
              <w:top w:val="nil"/>
            </w:tcBorders>
            <w:shd w:val="clear" w:color="auto" w:fill="auto"/>
            <w:vAlign w:val="bottom"/>
          </w:tcPr>
          <w:p w:rsidR="00AD5035" w:rsidRPr="0071782F" w:rsidRDefault="00AD5035" w:rsidP="00782B71">
            <w:pPr>
              <w:keepNext/>
              <w:suppressAutoHyphens w:val="0"/>
              <w:spacing w:before="40" w:after="40" w:line="220" w:lineRule="exact"/>
              <w:jc w:val="right"/>
              <w:rPr>
                <w:sz w:val="18"/>
                <w:lang w:val="fr-CH"/>
              </w:rPr>
            </w:pPr>
            <w:r w:rsidRPr="0071782F">
              <w:rPr>
                <w:sz w:val="18"/>
                <w:lang w:val="fr-CH"/>
              </w:rPr>
              <w:t>6%</w:t>
            </w:r>
          </w:p>
        </w:tc>
        <w:tc>
          <w:tcPr>
            <w:tcW w:w="709" w:type="dxa"/>
            <w:tcBorders>
              <w:top w:val="nil"/>
            </w:tcBorders>
            <w:shd w:val="clear" w:color="auto" w:fill="auto"/>
            <w:vAlign w:val="bottom"/>
          </w:tcPr>
          <w:p w:rsidR="00AD5035" w:rsidRPr="0071782F" w:rsidRDefault="00AD5035" w:rsidP="00782B71">
            <w:pPr>
              <w:keepNext/>
              <w:suppressAutoHyphens w:val="0"/>
              <w:spacing w:before="40" w:after="40" w:line="220" w:lineRule="exact"/>
              <w:jc w:val="right"/>
              <w:rPr>
                <w:sz w:val="18"/>
                <w:lang w:val="fr-CH"/>
              </w:rPr>
            </w:pPr>
            <w:r w:rsidRPr="0071782F">
              <w:rPr>
                <w:sz w:val="18"/>
                <w:lang w:val="fr-CH"/>
              </w:rPr>
              <w:t>6</w:t>
            </w:r>
            <w:r w:rsidR="003B1403" w:rsidRPr="0071782F">
              <w:rPr>
                <w:sz w:val="18"/>
                <w:lang w:val="fr-CH"/>
              </w:rPr>
              <w:t>,</w:t>
            </w:r>
            <w:r w:rsidRPr="0071782F">
              <w:rPr>
                <w:sz w:val="18"/>
                <w:lang w:val="fr-CH"/>
              </w:rPr>
              <w:t>4%</w:t>
            </w:r>
          </w:p>
        </w:tc>
        <w:tc>
          <w:tcPr>
            <w:tcW w:w="709" w:type="dxa"/>
            <w:tcBorders>
              <w:top w:val="nil"/>
            </w:tcBorders>
            <w:shd w:val="clear" w:color="auto" w:fill="auto"/>
            <w:vAlign w:val="bottom"/>
          </w:tcPr>
          <w:p w:rsidR="00AD5035" w:rsidRPr="0071782F" w:rsidRDefault="00AD5035" w:rsidP="00782B71">
            <w:pPr>
              <w:keepNext/>
              <w:suppressAutoHyphens w:val="0"/>
              <w:spacing w:before="40" w:after="40" w:line="220" w:lineRule="exact"/>
              <w:jc w:val="right"/>
              <w:rPr>
                <w:sz w:val="18"/>
                <w:lang w:val="fr-CH"/>
              </w:rPr>
            </w:pPr>
            <w:r w:rsidRPr="0071782F">
              <w:rPr>
                <w:sz w:val="18"/>
                <w:lang w:val="fr-CH"/>
              </w:rPr>
              <w:t>6</w:t>
            </w:r>
            <w:r w:rsidR="003B1403" w:rsidRPr="0071782F">
              <w:rPr>
                <w:sz w:val="18"/>
                <w:lang w:val="fr-CH"/>
              </w:rPr>
              <w:t>,</w:t>
            </w:r>
            <w:r w:rsidRPr="0071782F">
              <w:rPr>
                <w:sz w:val="18"/>
                <w:lang w:val="fr-CH"/>
              </w:rPr>
              <w:t>4%</w:t>
            </w:r>
          </w:p>
        </w:tc>
        <w:tc>
          <w:tcPr>
            <w:tcW w:w="709" w:type="dxa"/>
            <w:tcBorders>
              <w:top w:val="nil"/>
            </w:tcBorders>
            <w:shd w:val="clear" w:color="auto" w:fill="auto"/>
            <w:vAlign w:val="bottom"/>
          </w:tcPr>
          <w:p w:rsidR="00AD5035" w:rsidRPr="0071782F" w:rsidRDefault="00AD5035" w:rsidP="00782B71">
            <w:pPr>
              <w:keepNext/>
              <w:suppressAutoHyphens w:val="0"/>
              <w:spacing w:before="40" w:after="40" w:line="220" w:lineRule="exact"/>
              <w:jc w:val="right"/>
              <w:rPr>
                <w:sz w:val="18"/>
                <w:lang w:val="fr-CH"/>
              </w:rPr>
            </w:pPr>
            <w:r w:rsidRPr="0071782F">
              <w:rPr>
                <w:sz w:val="18"/>
                <w:lang w:val="fr-CH"/>
              </w:rPr>
              <w:t>6</w:t>
            </w:r>
            <w:r w:rsidR="003B1403" w:rsidRPr="0071782F">
              <w:rPr>
                <w:sz w:val="18"/>
                <w:lang w:val="fr-CH"/>
              </w:rPr>
              <w:t>,</w:t>
            </w:r>
            <w:r w:rsidRPr="0071782F">
              <w:rPr>
                <w:sz w:val="18"/>
                <w:lang w:val="fr-CH"/>
              </w:rPr>
              <w:t>4%</w:t>
            </w:r>
          </w:p>
        </w:tc>
        <w:tc>
          <w:tcPr>
            <w:tcW w:w="1275" w:type="dxa"/>
            <w:tcBorders>
              <w:top w:val="nil"/>
            </w:tcBorders>
            <w:shd w:val="clear" w:color="auto" w:fill="auto"/>
            <w:vAlign w:val="bottom"/>
          </w:tcPr>
          <w:p w:rsidR="00AD5035" w:rsidRPr="0071782F" w:rsidRDefault="00AD5035" w:rsidP="00782B71">
            <w:pPr>
              <w:keepNext/>
              <w:suppressAutoHyphens w:val="0"/>
              <w:spacing w:before="40" w:after="40" w:line="220" w:lineRule="exact"/>
              <w:jc w:val="right"/>
              <w:rPr>
                <w:sz w:val="18"/>
                <w:lang w:val="fr-CH"/>
              </w:rPr>
            </w:pPr>
            <w:r w:rsidRPr="0071782F">
              <w:rPr>
                <w:sz w:val="18"/>
                <w:lang w:val="fr-CH"/>
              </w:rPr>
              <w:t>6</w:t>
            </w:r>
            <w:r w:rsidR="003B1403" w:rsidRPr="0071782F">
              <w:rPr>
                <w:sz w:val="18"/>
                <w:lang w:val="fr-CH"/>
              </w:rPr>
              <w:t>,</w:t>
            </w:r>
            <w:r w:rsidRPr="0071782F">
              <w:rPr>
                <w:sz w:val="18"/>
                <w:lang w:val="fr-CH"/>
              </w:rPr>
              <w:t>3%</w:t>
            </w:r>
          </w:p>
        </w:tc>
      </w:tr>
      <w:tr w:rsidR="00AD5035" w:rsidRPr="0071782F">
        <w:tc>
          <w:tcPr>
            <w:tcW w:w="3828" w:type="dxa"/>
            <w:shd w:val="clear" w:color="auto" w:fill="auto"/>
            <w:vAlign w:val="bottom"/>
          </w:tcPr>
          <w:p w:rsidR="00AD5035" w:rsidRPr="0071782F" w:rsidRDefault="00196FA5" w:rsidP="003B1403">
            <w:pPr>
              <w:suppressAutoHyphens w:val="0"/>
              <w:spacing w:before="40" w:after="40" w:line="220" w:lineRule="exact"/>
              <w:rPr>
                <w:sz w:val="18"/>
                <w:lang w:val="fr-CH"/>
              </w:rPr>
            </w:pPr>
            <w:r w:rsidRPr="0071782F">
              <w:rPr>
                <w:sz w:val="18"/>
                <w:lang w:val="fr-CH"/>
              </w:rPr>
              <w:t xml:space="preserve">Part du secteur privé dans l’enseignement supérieur </w:t>
            </w:r>
          </w:p>
        </w:tc>
        <w:tc>
          <w:tcPr>
            <w:tcW w:w="1275"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44</w:t>
            </w:r>
            <w:r w:rsidR="003B1403" w:rsidRPr="0071782F">
              <w:rPr>
                <w:sz w:val="18"/>
                <w:lang w:val="fr-CH"/>
              </w:rPr>
              <w:t>,</w:t>
            </w:r>
            <w:r w:rsidRPr="0071782F">
              <w:rPr>
                <w:sz w:val="18"/>
                <w:lang w:val="fr-CH"/>
              </w:rPr>
              <w:t>8%</w:t>
            </w:r>
          </w:p>
        </w:tc>
        <w:tc>
          <w:tcPr>
            <w:tcW w:w="709"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52</w:t>
            </w:r>
            <w:r w:rsidR="003B1403" w:rsidRPr="0071782F">
              <w:rPr>
                <w:sz w:val="18"/>
                <w:lang w:val="fr-CH"/>
              </w:rPr>
              <w:t>,</w:t>
            </w:r>
            <w:r w:rsidRPr="0071782F">
              <w:rPr>
                <w:sz w:val="18"/>
                <w:lang w:val="fr-CH"/>
              </w:rPr>
              <w:t>6%</w:t>
            </w:r>
          </w:p>
        </w:tc>
        <w:tc>
          <w:tcPr>
            <w:tcW w:w="709"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48</w:t>
            </w:r>
            <w:r w:rsidR="003B1403" w:rsidRPr="0071782F">
              <w:rPr>
                <w:sz w:val="18"/>
                <w:lang w:val="fr-CH"/>
              </w:rPr>
              <w:t>,</w:t>
            </w:r>
            <w:r w:rsidRPr="0071782F">
              <w:rPr>
                <w:sz w:val="18"/>
                <w:lang w:val="fr-CH"/>
              </w:rPr>
              <w:t>9%</w:t>
            </w:r>
          </w:p>
        </w:tc>
        <w:tc>
          <w:tcPr>
            <w:tcW w:w="709"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42</w:t>
            </w:r>
            <w:r w:rsidR="003B1403" w:rsidRPr="0071782F">
              <w:rPr>
                <w:sz w:val="18"/>
                <w:lang w:val="fr-CH"/>
              </w:rPr>
              <w:t>,</w:t>
            </w:r>
            <w:r w:rsidRPr="0071782F">
              <w:rPr>
                <w:sz w:val="18"/>
                <w:lang w:val="fr-CH"/>
              </w:rPr>
              <w:t>5%</w:t>
            </w:r>
          </w:p>
        </w:tc>
        <w:tc>
          <w:tcPr>
            <w:tcW w:w="1275" w:type="dxa"/>
            <w:shd w:val="clear" w:color="auto" w:fill="auto"/>
            <w:vAlign w:val="bottom"/>
          </w:tcPr>
          <w:p w:rsidR="00AD5035" w:rsidRPr="0071782F" w:rsidRDefault="00AD5035" w:rsidP="003B1403">
            <w:pPr>
              <w:suppressAutoHyphens w:val="0"/>
              <w:spacing w:before="40" w:after="40" w:line="220" w:lineRule="exact"/>
              <w:jc w:val="right"/>
              <w:rPr>
                <w:sz w:val="18"/>
                <w:lang w:val="fr-CH"/>
              </w:rPr>
            </w:pPr>
            <w:r w:rsidRPr="0071782F">
              <w:rPr>
                <w:sz w:val="18"/>
                <w:lang w:val="fr-CH"/>
              </w:rPr>
              <w:t>44</w:t>
            </w:r>
            <w:r w:rsidR="003B1403" w:rsidRPr="0071782F">
              <w:rPr>
                <w:sz w:val="18"/>
                <w:lang w:val="fr-CH"/>
              </w:rPr>
              <w:t>,</w:t>
            </w:r>
            <w:r w:rsidRPr="0071782F">
              <w:rPr>
                <w:sz w:val="18"/>
                <w:lang w:val="fr-CH"/>
              </w:rPr>
              <w:t>5%</w:t>
            </w:r>
          </w:p>
        </w:tc>
      </w:tr>
    </w:tbl>
    <w:p w:rsidR="00AD5035" w:rsidRPr="0071782F" w:rsidRDefault="00AD5035" w:rsidP="00782B71">
      <w:pPr>
        <w:pStyle w:val="H23G"/>
        <w:rPr>
          <w:lang w:val="fr-CH"/>
        </w:rPr>
      </w:pPr>
      <w:r w:rsidRPr="0071782F">
        <w:rPr>
          <w:lang w:val="fr-CH"/>
        </w:rPr>
        <w:tab/>
      </w:r>
      <w:r w:rsidRPr="0071782F">
        <w:rPr>
          <w:lang w:val="fr-CH"/>
        </w:rPr>
        <w:tab/>
        <w:t>Indicat</w:t>
      </w:r>
      <w:r w:rsidR="00196FA5" w:rsidRPr="0071782F">
        <w:rPr>
          <w:lang w:val="fr-CH"/>
        </w:rPr>
        <w:t>eu</w:t>
      </w:r>
      <w:r w:rsidRPr="0071782F">
        <w:rPr>
          <w:lang w:val="fr-CH"/>
        </w:rPr>
        <w:t xml:space="preserve">rs </w:t>
      </w:r>
      <w:r w:rsidR="00196FA5" w:rsidRPr="0071782F">
        <w:rPr>
          <w:lang w:val="fr-CH"/>
        </w:rPr>
        <w:t>du Ministère de la s</w:t>
      </w:r>
      <w:r w:rsidRPr="0071782F">
        <w:rPr>
          <w:lang w:val="fr-CH"/>
        </w:rPr>
        <w:t>cience</w:t>
      </w:r>
      <w:r w:rsidR="00196FA5" w:rsidRPr="0071782F">
        <w:rPr>
          <w:lang w:val="fr-CH"/>
        </w:rPr>
        <w:t>, de la recherche et de t</w:t>
      </w:r>
      <w:r w:rsidR="00C62E37" w:rsidRPr="0071782F">
        <w:rPr>
          <w:lang w:val="fr-CH"/>
        </w:rPr>
        <w:t>echnolog</w:t>
      </w:r>
      <w:r w:rsidR="00196FA5" w:rsidRPr="0071782F">
        <w:rPr>
          <w:lang w:val="fr-CH"/>
        </w:rPr>
        <w:t>ie</w:t>
      </w:r>
      <w:r w:rsidR="00782B71" w:rsidRPr="0071782F">
        <w:rPr>
          <w:lang w:val="fr-CH"/>
        </w:rPr>
        <w:br/>
      </w:r>
      <w:r w:rsidR="00196FA5" w:rsidRPr="0071782F">
        <w:rPr>
          <w:lang w:val="fr-CH"/>
        </w:rPr>
        <w:t>e</w:t>
      </w:r>
      <w:r w:rsidR="00C62E37" w:rsidRPr="0071782F">
        <w:rPr>
          <w:lang w:val="fr-CH"/>
        </w:rPr>
        <w:t>n 2005</w:t>
      </w:r>
      <w:r w:rsidR="00196FA5" w:rsidRPr="0071782F">
        <w:rPr>
          <w:lang w:val="fr-CH"/>
        </w:rPr>
        <w:t>-</w:t>
      </w:r>
      <w:r w:rsidR="00C62E37" w:rsidRPr="0071782F">
        <w:rPr>
          <w:lang w:val="fr-CH"/>
        </w:rPr>
        <w:t>2006</w:t>
      </w:r>
      <w:r w:rsidRPr="0071782F">
        <w:rPr>
          <w:b w:val="0"/>
          <w:i/>
          <w:vertAlign w:val="superscript"/>
          <w:lang w:val="fr-CH"/>
        </w:rPr>
        <w:t>(1)</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5250"/>
        <w:gridCol w:w="1376"/>
        <w:gridCol w:w="690"/>
        <w:gridCol w:w="1189"/>
      </w:tblGrid>
      <w:tr w:rsidR="00AD5035" w:rsidRPr="0071782F">
        <w:trPr>
          <w:tblHeader/>
        </w:trPr>
        <w:tc>
          <w:tcPr>
            <w:tcW w:w="5954" w:type="dxa"/>
            <w:tcBorders>
              <w:top w:val="single" w:sz="4" w:space="0" w:color="auto"/>
              <w:bottom w:val="single" w:sz="12" w:space="0" w:color="auto"/>
            </w:tcBorders>
            <w:shd w:val="clear" w:color="auto" w:fill="auto"/>
            <w:vAlign w:val="bottom"/>
          </w:tcPr>
          <w:p w:rsidR="00AD5035" w:rsidRPr="0071782F" w:rsidRDefault="00AD5035" w:rsidP="009C2132">
            <w:pPr>
              <w:suppressAutoHyphens w:val="0"/>
              <w:spacing w:before="80" w:after="80" w:line="200" w:lineRule="exact"/>
              <w:rPr>
                <w:i/>
                <w:sz w:val="16"/>
                <w:lang w:val="fr-CH"/>
              </w:rPr>
            </w:pPr>
            <w:r w:rsidRPr="0071782F">
              <w:rPr>
                <w:i/>
                <w:sz w:val="16"/>
                <w:lang w:val="fr-CH"/>
              </w:rPr>
              <w:t>Indicat</w:t>
            </w:r>
            <w:r w:rsidR="00196FA5" w:rsidRPr="0071782F">
              <w:rPr>
                <w:i/>
                <w:sz w:val="16"/>
                <w:lang w:val="fr-CH"/>
              </w:rPr>
              <w:t>eu</w:t>
            </w:r>
            <w:r w:rsidRPr="0071782F">
              <w:rPr>
                <w:i/>
                <w:sz w:val="16"/>
                <w:lang w:val="fr-CH"/>
              </w:rPr>
              <w:t>r</w:t>
            </w:r>
          </w:p>
        </w:tc>
        <w:tc>
          <w:tcPr>
            <w:tcW w:w="1559" w:type="dxa"/>
            <w:tcBorders>
              <w:top w:val="single" w:sz="4" w:space="0" w:color="auto"/>
              <w:bottom w:val="single" w:sz="12" w:space="0" w:color="auto"/>
            </w:tcBorders>
            <w:shd w:val="clear" w:color="auto" w:fill="auto"/>
            <w:vAlign w:val="bottom"/>
          </w:tcPr>
          <w:p w:rsidR="00AD5035" w:rsidRPr="0071782F" w:rsidRDefault="00AD5035" w:rsidP="009C2132">
            <w:pPr>
              <w:suppressAutoHyphens w:val="0"/>
              <w:spacing w:before="80" w:after="80" w:line="200" w:lineRule="exact"/>
              <w:ind w:left="57"/>
              <w:rPr>
                <w:i/>
                <w:sz w:val="16"/>
                <w:lang w:val="fr-CH"/>
              </w:rPr>
            </w:pPr>
            <w:r w:rsidRPr="0071782F">
              <w:rPr>
                <w:i/>
                <w:sz w:val="16"/>
                <w:lang w:val="fr-CH"/>
              </w:rPr>
              <w:t>Unit</w:t>
            </w:r>
            <w:r w:rsidR="00196FA5" w:rsidRPr="0071782F">
              <w:rPr>
                <w:i/>
                <w:sz w:val="16"/>
                <w:lang w:val="fr-CH"/>
              </w:rPr>
              <w:t>é</w:t>
            </w:r>
          </w:p>
        </w:tc>
        <w:tc>
          <w:tcPr>
            <w:tcW w:w="780" w:type="dxa"/>
            <w:tcBorders>
              <w:top w:val="single" w:sz="4" w:space="0" w:color="auto"/>
              <w:bottom w:val="single" w:sz="12" w:space="0" w:color="auto"/>
            </w:tcBorders>
            <w:shd w:val="clear" w:color="auto" w:fill="auto"/>
            <w:vAlign w:val="bottom"/>
          </w:tcPr>
          <w:p w:rsidR="00AD5035" w:rsidRPr="0071782F" w:rsidRDefault="00AD5035" w:rsidP="009C2132">
            <w:pPr>
              <w:suppressAutoHyphens w:val="0"/>
              <w:spacing w:before="80" w:after="80" w:line="200" w:lineRule="exact"/>
              <w:jc w:val="right"/>
              <w:rPr>
                <w:i/>
                <w:sz w:val="16"/>
                <w:lang w:val="fr-CH"/>
              </w:rPr>
            </w:pPr>
            <w:r w:rsidRPr="0071782F">
              <w:rPr>
                <w:i/>
                <w:sz w:val="16"/>
                <w:lang w:val="fr-CH"/>
              </w:rPr>
              <w:t>No</w:t>
            </w:r>
            <w:r w:rsidR="00196FA5" w:rsidRPr="0071782F">
              <w:rPr>
                <w:i/>
                <w:sz w:val="16"/>
                <w:lang w:val="fr-CH"/>
              </w:rPr>
              <w:t>mbre/</w:t>
            </w:r>
            <w:r w:rsidR="009C2132">
              <w:rPr>
                <w:i/>
                <w:sz w:val="16"/>
                <w:lang w:val="fr-CH"/>
              </w:rPr>
              <w:br/>
            </w:r>
            <w:r w:rsidR="00196FA5" w:rsidRPr="0071782F">
              <w:rPr>
                <w:i/>
                <w:sz w:val="16"/>
                <w:lang w:val="fr-CH"/>
              </w:rPr>
              <w:t>valeur</w:t>
            </w:r>
          </w:p>
        </w:tc>
        <w:tc>
          <w:tcPr>
            <w:tcW w:w="1346" w:type="dxa"/>
            <w:tcBorders>
              <w:top w:val="single" w:sz="4" w:space="0" w:color="auto"/>
              <w:bottom w:val="single" w:sz="12" w:space="0" w:color="auto"/>
            </w:tcBorders>
            <w:shd w:val="clear" w:color="auto" w:fill="auto"/>
            <w:vAlign w:val="bottom"/>
          </w:tcPr>
          <w:p w:rsidR="00AD5035" w:rsidRPr="0071782F" w:rsidRDefault="00196FA5" w:rsidP="009C2132">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AD5035" w:rsidRPr="0071782F">
        <w:tc>
          <w:tcPr>
            <w:tcW w:w="5954" w:type="dxa"/>
            <w:tcBorders>
              <w:top w:val="single" w:sz="12" w:space="0" w:color="auto"/>
            </w:tcBorders>
            <w:shd w:val="clear" w:color="auto" w:fill="auto"/>
            <w:vAlign w:val="bottom"/>
          </w:tcPr>
          <w:p w:rsidR="00AD5035" w:rsidRPr="0071782F" w:rsidRDefault="00AD5035" w:rsidP="009C2132">
            <w:pPr>
              <w:suppressAutoHyphens w:val="0"/>
              <w:spacing w:before="40" w:after="40" w:line="220" w:lineRule="exact"/>
              <w:rPr>
                <w:sz w:val="18"/>
                <w:lang w:val="fr-CH"/>
              </w:rPr>
            </w:pPr>
            <w:r w:rsidRPr="0071782F">
              <w:rPr>
                <w:sz w:val="18"/>
                <w:lang w:val="fr-CH"/>
              </w:rPr>
              <w:t>N</w:t>
            </w:r>
            <w:r w:rsidR="00196FA5" w:rsidRPr="0071782F">
              <w:rPr>
                <w:sz w:val="18"/>
                <w:lang w:val="fr-CH"/>
              </w:rPr>
              <w:t xml:space="preserve">ombre d’étudiants </w:t>
            </w:r>
          </w:p>
        </w:tc>
        <w:tc>
          <w:tcPr>
            <w:tcW w:w="1559" w:type="dxa"/>
            <w:tcBorders>
              <w:top w:val="single" w:sz="12" w:space="0" w:color="auto"/>
            </w:tcBorders>
            <w:shd w:val="clear" w:color="auto" w:fill="auto"/>
            <w:vAlign w:val="bottom"/>
          </w:tcPr>
          <w:p w:rsidR="00AD5035" w:rsidRPr="0071782F" w:rsidRDefault="00196FA5" w:rsidP="009C2132">
            <w:pPr>
              <w:suppressAutoHyphens w:val="0"/>
              <w:spacing w:before="40" w:after="40" w:line="220" w:lineRule="exact"/>
              <w:ind w:left="57"/>
              <w:rPr>
                <w:sz w:val="18"/>
                <w:lang w:val="fr-CH"/>
              </w:rPr>
            </w:pPr>
            <w:r w:rsidRPr="0071782F">
              <w:rPr>
                <w:sz w:val="18"/>
                <w:lang w:val="fr-CH"/>
              </w:rPr>
              <w:t xml:space="preserve">Personnes </w:t>
            </w:r>
            <w:r w:rsidR="00AD5035" w:rsidRPr="0071782F">
              <w:rPr>
                <w:sz w:val="18"/>
                <w:lang w:val="fr-CH"/>
              </w:rPr>
              <w:t>(</w:t>
            </w:r>
            <w:r w:rsidRPr="0071782F">
              <w:rPr>
                <w:sz w:val="18"/>
                <w:lang w:val="fr-CH"/>
              </w:rPr>
              <w:t>milliers</w:t>
            </w:r>
            <w:r w:rsidR="00AD5035" w:rsidRPr="0071782F">
              <w:rPr>
                <w:sz w:val="18"/>
                <w:lang w:val="fr-CH"/>
              </w:rPr>
              <w:t>)</w:t>
            </w:r>
          </w:p>
        </w:tc>
        <w:tc>
          <w:tcPr>
            <w:tcW w:w="780" w:type="dxa"/>
            <w:tcBorders>
              <w:top w:val="single" w:sz="12" w:space="0" w:color="auto"/>
            </w:tcBorders>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1 110</w:t>
            </w:r>
          </w:p>
        </w:tc>
        <w:tc>
          <w:tcPr>
            <w:tcW w:w="1346" w:type="dxa"/>
            <w:tcBorders>
              <w:top w:val="single" w:sz="12" w:space="0" w:color="auto"/>
            </w:tcBorders>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8</w:t>
            </w:r>
            <w:r w:rsidR="003B1403" w:rsidRPr="0071782F">
              <w:rPr>
                <w:sz w:val="18"/>
                <w:lang w:val="fr-CH"/>
              </w:rPr>
              <w:t>,</w:t>
            </w:r>
            <w:r w:rsidRPr="0071782F">
              <w:rPr>
                <w:sz w:val="18"/>
                <w:lang w:val="fr-CH"/>
              </w:rPr>
              <w:t>9</w:t>
            </w:r>
          </w:p>
        </w:tc>
      </w:tr>
      <w:tr w:rsidR="00AD5035" w:rsidRPr="0071782F">
        <w:tc>
          <w:tcPr>
            <w:tcW w:w="5954" w:type="dxa"/>
            <w:shd w:val="clear" w:color="auto" w:fill="auto"/>
            <w:vAlign w:val="bottom"/>
          </w:tcPr>
          <w:p w:rsidR="00AD5035" w:rsidRPr="0071782F" w:rsidRDefault="00AD5035" w:rsidP="009C2132">
            <w:pPr>
              <w:suppressAutoHyphens w:val="0"/>
              <w:spacing w:before="40" w:after="40" w:line="220" w:lineRule="exact"/>
              <w:rPr>
                <w:sz w:val="18"/>
                <w:lang w:val="fr-CH"/>
              </w:rPr>
            </w:pPr>
            <w:r w:rsidRPr="0071782F">
              <w:rPr>
                <w:sz w:val="18"/>
                <w:lang w:val="fr-CH"/>
              </w:rPr>
              <w:t>No</w:t>
            </w:r>
            <w:r w:rsidR="00196FA5" w:rsidRPr="0071782F">
              <w:rPr>
                <w:sz w:val="18"/>
                <w:lang w:val="fr-CH"/>
              </w:rPr>
              <w:t>mbre d’étudiants de sexe masculin</w:t>
            </w:r>
          </w:p>
        </w:tc>
        <w:tc>
          <w:tcPr>
            <w:tcW w:w="1559" w:type="dxa"/>
            <w:shd w:val="clear" w:color="auto" w:fill="auto"/>
            <w:vAlign w:val="bottom"/>
          </w:tcPr>
          <w:p w:rsidR="00AD5035" w:rsidRPr="0071782F" w:rsidRDefault="00196FA5" w:rsidP="009C2132">
            <w:pPr>
              <w:suppressAutoHyphens w:val="0"/>
              <w:spacing w:before="40" w:after="40" w:line="220" w:lineRule="exact"/>
              <w:ind w:left="57"/>
              <w:rPr>
                <w:sz w:val="18"/>
                <w:lang w:val="fr-CH"/>
              </w:rPr>
            </w:pPr>
            <w:r w:rsidRPr="0071782F">
              <w:rPr>
                <w:sz w:val="18"/>
                <w:lang w:val="fr-CH"/>
              </w:rPr>
              <w:t>Personnes (milliers)</w:t>
            </w:r>
          </w:p>
        </w:tc>
        <w:tc>
          <w:tcPr>
            <w:tcW w:w="780"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500</w:t>
            </w:r>
          </w:p>
        </w:tc>
        <w:tc>
          <w:tcPr>
            <w:tcW w:w="1346"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6</w:t>
            </w:r>
            <w:r w:rsidR="003B1403" w:rsidRPr="0071782F">
              <w:rPr>
                <w:sz w:val="18"/>
                <w:lang w:val="fr-CH"/>
              </w:rPr>
              <w:t>,</w:t>
            </w:r>
            <w:r w:rsidRPr="0071782F">
              <w:rPr>
                <w:sz w:val="18"/>
                <w:lang w:val="fr-CH"/>
              </w:rPr>
              <w:t>5</w:t>
            </w:r>
          </w:p>
        </w:tc>
      </w:tr>
      <w:tr w:rsidR="00AD5035" w:rsidRPr="0071782F">
        <w:tc>
          <w:tcPr>
            <w:tcW w:w="5954" w:type="dxa"/>
            <w:shd w:val="clear" w:color="auto" w:fill="auto"/>
            <w:vAlign w:val="bottom"/>
          </w:tcPr>
          <w:p w:rsidR="00AD5035" w:rsidRPr="0071782F" w:rsidRDefault="00AD5035" w:rsidP="009C2132">
            <w:pPr>
              <w:suppressAutoHyphens w:val="0"/>
              <w:spacing w:before="40" w:after="40" w:line="220" w:lineRule="exact"/>
              <w:rPr>
                <w:sz w:val="18"/>
                <w:lang w:val="fr-CH"/>
              </w:rPr>
            </w:pPr>
            <w:r w:rsidRPr="0071782F">
              <w:rPr>
                <w:sz w:val="18"/>
                <w:lang w:val="fr-CH"/>
              </w:rPr>
              <w:t>No</w:t>
            </w:r>
            <w:r w:rsidR="00196FA5" w:rsidRPr="0071782F">
              <w:rPr>
                <w:sz w:val="18"/>
                <w:lang w:val="fr-CH"/>
              </w:rPr>
              <w:t xml:space="preserve">mbre d’étudiantes </w:t>
            </w:r>
          </w:p>
        </w:tc>
        <w:tc>
          <w:tcPr>
            <w:tcW w:w="1559" w:type="dxa"/>
            <w:shd w:val="clear" w:color="auto" w:fill="auto"/>
            <w:vAlign w:val="bottom"/>
          </w:tcPr>
          <w:p w:rsidR="00AD5035" w:rsidRPr="0071782F" w:rsidRDefault="00196FA5" w:rsidP="009C2132">
            <w:pPr>
              <w:suppressAutoHyphens w:val="0"/>
              <w:spacing w:before="40" w:after="40" w:line="220" w:lineRule="exact"/>
              <w:ind w:left="57"/>
              <w:rPr>
                <w:sz w:val="18"/>
                <w:lang w:val="fr-CH"/>
              </w:rPr>
            </w:pPr>
            <w:r w:rsidRPr="0071782F">
              <w:rPr>
                <w:sz w:val="18"/>
                <w:lang w:val="fr-CH"/>
              </w:rPr>
              <w:t>Personnes (milliers)</w:t>
            </w:r>
          </w:p>
        </w:tc>
        <w:tc>
          <w:tcPr>
            <w:tcW w:w="780"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600</w:t>
            </w:r>
          </w:p>
        </w:tc>
        <w:tc>
          <w:tcPr>
            <w:tcW w:w="1346"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9</w:t>
            </w:r>
            <w:r w:rsidR="003B1403" w:rsidRPr="0071782F">
              <w:rPr>
                <w:sz w:val="18"/>
                <w:lang w:val="fr-CH"/>
              </w:rPr>
              <w:t>,</w:t>
            </w:r>
            <w:r w:rsidRPr="0071782F">
              <w:rPr>
                <w:sz w:val="18"/>
                <w:lang w:val="fr-CH"/>
              </w:rPr>
              <w:t>2</w:t>
            </w:r>
          </w:p>
        </w:tc>
      </w:tr>
      <w:tr w:rsidR="00AD5035" w:rsidRPr="0071782F">
        <w:tc>
          <w:tcPr>
            <w:tcW w:w="5954" w:type="dxa"/>
            <w:shd w:val="clear" w:color="auto" w:fill="auto"/>
            <w:vAlign w:val="bottom"/>
          </w:tcPr>
          <w:p w:rsidR="00AD5035" w:rsidRPr="0071782F" w:rsidRDefault="00196FA5" w:rsidP="009C2132">
            <w:pPr>
              <w:suppressAutoHyphens w:val="0"/>
              <w:spacing w:before="40" w:after="40" w:line="220" w:lineRule="exact"/>
              <w:rPr>
                <w:sz w:val="18"/>
                <w:lang w:val="fr-CH"/>
              </w:rPr>
            </w:pPr>
            <w:r w:rsidRPr="0071782F">
              <w:rPr>
                <w:sz w:val="18"/>
                <w:lang w:val="fr-CH"/>
              </w:rPr>
              <w:t xml:space="preserve">Ratio étudiants/professeurs </w:t>
            </w:r>
          </w:p>
        </w:tc>
        <w:tc>
          <w:tcPr>
            <w:tcW w:w="1559" w:type="dxa"/>
            <w:shd w:val="clear" w:color="auto" w:fill="auto"/>
            <w:vAlign w:val="bottom"/>
          </w:tcPr>
          <w:p w:rsidR="00AD5035" w:rsidRPr="0071782F" w:rsidRDefault="00AD5035" w:rsidP="009C2132">
            <w:pPr>
              <w:suppressAutoHyphens w:val="0"/>
              <w:spacing w:before="40" w:after="40" w:line="220" w:lineRule="exact"/>
              <w:ind w:left="57"/>
              <w:rPr>
                <w:sz w:val="18"/>
                <w:lang w:val="fr-CH"/>
              </w:rPr>
            </w:pPr>
            <w:r w:rsidRPr="0071782F">
              <w:rPr>
                <w:sz w:val="18"/>
                <w:lang w:val="fr-CH"/>
              </w:rPr>
              <w:t>%</w:t>
            </w:r>
          </w:p>
        </w:tc>
        <w:tc>
          <w:tcPr>
            <w:tcW w:w="780"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25</w:t>
            </w:r>
            <w:r w:rsidR="003B1403" w:rsidRPr="0071782F">
              <w:rPr>
                <w:sz w:val="18"/>
                <w:lang w:val="fr-CH"/>
              </w:rPr>
              <w:t>,</w:t>
            </w:r>
            <w:r w:rsidRPr="0071782F">
              <w:rPr>
                <w:sz w:val="18"/>
                <w:lang w:val="fr-CH"/>
              </w:rPr>
              <w:t>1</w:t>
            </w:r>
          </w:p>
        </w:tc>
        <w:tc>
          <w:tcPr>
            <w:tcW w:w="1346"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3</w:t>
            </w:r>
            <w:r w:rsidR="003B1403" w:rsidRPr="0071782F">
              <w:rPr>
                <w:sz w:val="18"/>
                <w:lang w:val="fr-CH"/>
              </w:rPr>
              <w:t>,</w:t>
            </w:r>
            <w:r w:rsidRPr="0071782F">
              <w:rPr>
                <w:sz w:val="18"/>
                <w:lang w:val="fr-CH"/>
              </w:rPr>
              <w:t>7</w:t>
            </w:r>
          </w:p>
        </w:tc>
      </w:tr>
      <w:tr w:rsidR="00AD5035" w:rsidRPr="0071782F">
        <w:tc>
          <w:tcPr>
            <w:tcW w:w="5954" w:type="dxa"/>
            <w:shd w:val="clear" w:color="auto" w:fill="auto"/>
            <w:vAlign w:val="bottom"/>
          </w:tcPr>
          <w:p w:rsidR="00AD5035" w:rsidRPr="0071782F" w:rsidRDefault="00AD5035" w:rsidP="009C2132">
            <w:pPr>
              <w:suppressAutoHyphens w:val="0"/>
              <w:spacing w:before="40" w:after="40" w:line="220" w:lineRule="exact"/>
              <w:rPr>
                <w:sz w:val="18"/>
                <w:lang w:val="fr-CH"/>
              </w:rPr>
            </w:pPr>
            <w:r w:rsidRPr="0071782F">
              <w:rPr>
                <w:sz w:val="18"/>
                <w:lang w:val="fr-CH"/>
              </w:rPr>
              <w:t>No</w:t>
            </w:r>
            <w:r w:rsidR="00196FA5" w:rsidRPr="0071782F">
              <w:rPr>
                <w:sz w:val="18"/>
                <w:lang w:val="fr-CH"/>
              </w:rPr>
              <w:t xml:space="preserve">mbre d’étudiants titulaires d’un premier diplôme universitaire </w:t>
            </w:r>
          </w:p>
        </w:tc>
        <w:tc>
          <w:tcPr>
            <w:tcW w:w="1559" w:type="dxa"/>
            <w:shd w:val="clear" w:color="auto" w:fill="auto"/>
            <w:vAlign w:val="bottom"/>
          </w:tcPr>
          <w:p w:rsidR="00AD5035" w:rsidRPr="0071782F" w:rsidRDefault="00AD5035" w:rsidP="009C2132">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780"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292 500</w:t>
            </w:r>
          </w:p>
        </w:tc>
        <w:tc>
          <w:tcPr>
            <w:tcW w:w="1346"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38</w:t>
            </w:r>
            <w:r w:rsidR="003B1403" w:rsidRPr="0071782F">
              <w:rPr>
                <w:sz w:val="18"/>
                <w:lang w:val="fr-CH"/>
              </w:rPr>
              <w:t>,</w:t>
            </w:r>
            <w:r w:rsidRPr="0071782F">
              <w:rPr>
                <w:sz w:val="18"/>
                <w:lang w:val="fr-CH"/>
              </w:rPr>
              <w:t>7</w:t>
            </w:r>
          </w:p>
        </w:tc>
      </w:tr>
      <w:tr w:rsidR="00AD5035" w:rsidRPr="0071782F">
        <w:tc>
          <w:tcPr>
            <w:tcW w:w="5954" w:type="dxa"/>
            <w:shd w:val="clear" w:color="auto" w:fill="auto"/>
            <w:vAlign w:val="bottom"/>
          </w:tcPr>
          <w:p w:rsidR="00AD5035" w:rsidRPr="0071782F" w:rsidRDefault="00196FA5" w:rsidP="009C2132">
            <w:pPr>
              <w:suppressAutoHyphens w:val="0"/>
              <w:spacing w:before="40" w:after="40" w:line="220" w:lineRule="exact"/>
              <w:rPr>
                <w:sz w:val="18"/>
                <w:lang w:val="fr-CH"/>
              </w:rPr>
            </w:pPr>
            <w:r w:rsidRPr="0071782F">
              <w:rPr>
                <w:sz w:val="18"/>
                <w:lang w:val="fr-CH"/>
              </w:rPr>
              <w:t>Nombre d’étudiants titulaires d’une licence</w:t>
            </w:r>
          </w:p>
        </w:tc>
        <w:tc>
          <w:tcPr>
            <w:tcW w:w="1559" w:type="dxa"/>
            <w:shd w:val="clear" w:color="auto" w:fill="auto"/>
            <w:vAlign w:val="bottom"/>
          </w:tcPr>
          <w:p w:rsidR="00AD5035" w:rsidRPr="0071782F" w:rsidRDefault="00AD5035" w:rsidP="009C2132">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780"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716 000</w:t>
            </w:r>
          </w:p>
        </w:tc>
        <w:tc>
          <w:tcPr>
            <w:tcW w:w="1346"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0</w:t>
            </w:r>
            <w:r w:rsidR="003B1403" w:rsidRPr="0071782F">
              <w:rPr>
                <w:sz w:val="18"/>
                <w:lang w:val="fr-CH"/>
              </w:rPr>
              <w:t>,</w:t>
            </w:r>
            <w:r w:rsidRPr="0071782F">
              <w:rPr>
                <w:sz w:val="18"/>
                <w:lang w:val="fr-CH"/>
              </w:rPr>
              <w:t>4</w:t>
            </w:r>
          </w:p>
        </w:tc>
      </w:tr>
      <w:tr w:rsidR="00AD5035" w:rsidRPr="0071782F">
        <w:tc>
          <w:tcPr>
            <w:tcW w:w="5954" w:type="dxa"/>
            <w:shd w:val="clear" w:color="auto" w:fill="auto"/>
            <w:vAlign w:val="bottom"/>
          </w:tcPr>
          <w:p w:rsidR="00AD5035" w:rsidRPr="0071782F" w:rsidRDefault="00196FA5" w:rsidP="009C2132">
            <w:pPr>
              <w:suppressAutoHyphens w:val="0"/>
              <w:spacing w:before="40" w:after="40" w:line="220" w:lineRule="exact"/>
              <w:rPr>
                <w:sz w:val="18"/>
                <w:lang w:val="fr-CH"/>
              </w:rPr>
            </w:pPr>
            <w:r w:rsidRPr="0071782F">
              <w:rPr>
                <w:sz w:val="18"/>
                <w:lang w:val="fr-CH"/>
              </w:rPr>
              <w:t>Nombre d’étudiants titulaires d’un mastère</w:t>
            </w:r>
          </w:p>
        </w:tc>
        <w:tc>
          <w:tcPr>
            <w:tcW w:w="1559" w:type="dxa"/>
            <w:shd w:val="clear" w:color="auto" w:fill="auto"/>
            <w:vAlign w:val="bottom"/>
          </w:tcPr>
          <w:p w:rsidR="00AD5035" w:rsidRPr="0071782F" w:rsidRDefault="00AD5035" w:rsidP="009C2132">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780"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55 800</w:t>
            </w:r>
          </w:p>
        </w:tc>
        <w:tc>
          <w:tcPr>
            <w:tcW w:w="1346"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11</w:t>
            </w:r>
            <w:r w:rsidR="003B1403" w:rsidRPr="0071782F">
              <w:rPr>
                <w:sz w:val="18"/>
                <w:lang w:val="fr-CH"/>
              </w:rPr>
              <w:t>,</w:t>
            </w:r>
            <w:r w:rsidRPr="0071782F">
              <w:rPr>
                <w:sz w:val="18"/>
                <w:lang w:val="fr-CH"/>
              </w:rPr>
              <w:t>1</w:t>
            </w:r>
          </w:p>
        </w:tc>
      </w:tr>
      <w:tr w:rsidR="00AD5035" w:rsidRPr="0071782F">
        <w:tc>
          <w:tcPr>
            <w:tcW w:w="5954" w:type="dxa"/>
            <w:shd w:val="clear" w:color="auto" w:fill="auto"/>
            <w:vAlign w:val="bottom"/>
          </w:tcPr>
          <w:p w:rsidR="00AD5035" w:rsidRPr="0071782F" w:rsidRDefault="00196FA5" w:rsidP="009C2132">
            <w:pPr>
              <w:suppressAutoHyphens w:val="0"/>
              <w:spacing w:before="40" w:after="40" w:line="220" w:lineRule="exact"/>
              <w:rPr>
                <w:sz w:val="18"/>
                <w:lang w:val="fr-CH"/>
              </w:rPr>
            </w:pPr>
            <w:r w:rsidRPr="0071782F">
              <w:rPr>
                <w:sz w:val="18"/>
                <w:lang w:val="fr-CH"/>
              </w:rPr>
              <w:t>Nombre d’étudiants titulaires d’un doctorat professionnel</w:t>
            </w:r>
          </w:p>
        </w:tc>
        <w:tc>
          <w:tcPr>
            <w:tcW w:w="1559" w:type="dxa"/>
            <w:shd w:val="clear" w:color="auto" w:fill="auto"/>
            <w:vAlign w:val="bottom"/>
          </w:tcPr>
          <w:p w:rsidR="00AD5035" w:rsidRPr="0071782F" w:rsidRDefault="00AD5035" w:rsidP="009C2132">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780"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29 200</w:t>
            </w:r>
          </w:p>
        </w:tc>
        <w:tc>
          <w:tcPr>
            <w:tcW w:w="1346"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-3</w:t>
            </w:r>
            <w:r w:rsidR="003B1403" w:rsidRPr="0071782F">
              <w:rPr>
                <w:sz w:val="18"/>
                <w:lang w:val="fr-CH"/>
              </w:rPr>
              <w:t>,</w:t>
            </w:r>
            <w:r w:rsidRPr="0071782F">
              <w:rPr>
                <w:sz w:val="18"/>
                <w:lang w:val="fr-CH"/>
              </w:rPr>
              <w:t>6</w:t>
            </w:r>
          </w:p>
        </w:tc>
      </w:tr>
      <w:tr w:rsidR="00AD5035" w:rsidRPr="0071782F">
        <w:tc>
          <w:tcPr>
            <w:tcW w:w="5954" w:type="dxa"/>
            <w:shd w:val="clear" w:color="auto" w:fill="auto"/>
            <w:vAlign w:val="bottom"/>
          </w:tcPr>
          <w:p w:rsidR="00AD5035" w:rsidRPr="0071782F" w:rsidRDefault="00196FA5" w:rsidP="009C2132">
            <w:pPr>
              <w:suppressAutoHyphens w:val="0"/>
              <w:spacing w:before="40" w:after="40" w:line="220" w:lineRule="exact"/>
              <w:rPr>
                <w:sz w:val="18"/>
                <w:lang w:val="fr-CH"/>
              </w:rPr>
            </w:pPr>
            <w:r w:rsidRPr="0071782F">
              <w:rPr>
                <w:sz w:val="18"/>
                <w:lang w:val="fr-CH"/>
              </w:rPr>
              <w:t>Nombre d’étudiants titulaires d’un doctorat spécialisé</w:t>
            </w:r>
          </w:p>
        </w:tc>
        <w:tc>
          <w:tcPr>
            <w:tcW w:w="1559" w:type="dxa"/>
            <w:shd w:val="clear" w:color="auto" w:fill="auto"/>
            <w:vAlign w:val="bottom"/>
          </w:tcPr>
          <w:p w:rsidR="00AD5035" w:rsidRPr="0071782F" w:rsidRDefault="00AD5035" w:rsidP="009C2132">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780"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16 500</w:t>
            </w:r>
          </w:p>
        </w:tc>
        <w:tc>
          <w:tcPr>
            <w:tcW w:w="1346"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16</w:t>
            </w:r>
            <w:r w:rsidR="003B1403" w:rsidRPr="0071782F">
              <w:rPr>
                <w:sz w:val="18"/>
                <w:lang w:val="fr-CH"/>
              </w:rPr>
              <w:t>,</w:t>
            </w:r>
            <w:r w:rsidRPr="0071782F">
              <w:rPr>
                <w:sz w:val="18"/>
                <w:lang w:val="fr-CH"/>
              </w:rPr>
              <w:t>5</w:t>
            </w:r>
          </w:p>
        </w:tc>
      </w:tr>
      <w:tr w:rsidR="00AD5035" w:rsidRPr="0071782F">
        <w:tc>
          <w:tcPr>
            <w:tcW w:w="5954" w:type="dxa"/>
            <w:shd w:val="clear" w:color="auto" w:fill="auto"/>
            <w:vAlign w:val="bottom"/>
          </w:tcPr>
          <w:p w:rsidR="00AD5035" w:rsidRPr="0071782F" w:rsidRDefault="00196FA5" w:rsidP="009C2132">
            <w:pPr>
              <w:suppressAutoHyphens w:val="0"/>
              <w:spacing w:before="40" w:after="40" w:line="220" w:lineRule="exact"/>
              <w:rPr>
                <w:sz w:val="18"/>
                <w:lang w:val="fr-CH"/>
              </w:rPr>
            </w:pPr>
            <w:r w:rsidRPr="0071782F">
              <w:rPr>
                <w:sz w:val="18"/>
                <w:lang w:val="fr-CH"/>
              </w:rPr>
              <w:t xml:space="preserve">Proportion d’étudiants titulaires d’un mastère ou d’un diplôme supérieur par rapport à l’ensemble de la population étudiante </w:t>
            </w:r>
          </w:p>
        </w:tc>
        <w:tc>
          <w:tcPr>
            <w:tcW w:w="1559" w:type="dxa"/>
            <w:shd w:val="clear" w:color="auto" w:fill="auto"/>
            <w:vAlign w:val="bottom"/>
          </w:tcPr>
          <w:p w:rsidR="00AD5035" w:rsidRPr="0071782F" w:rsidRDefault="00AD5035" w:rsidP="009C2132">
            <w:pPr>
              <w:suppressAutoHyphens w:val="0"/>
              <w:spacing w:before="40" w:after="40" w:line="220" w:lineRule="exact"/>
              <w:ind w:left="57"/>
              <w:rPr>
                <w:sz w:val="18"/>
                <w:lang w:val="fr-CH"/>
              </w:rPr>
            </w:pPr>
            <w:r w:rsidRPr="0071782F">
              <w:rPr>
                <w:sz w:val="18"/>
                <w:lang w:val="fr-CH"/>
              </w:rPr>
              <w:t>%</w:t>
            </w:r>
          </w:p>
        </w:tc>
        <w:tc>
          <w:tcPr>
            <w:tcW w:w="780"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9</w:t>
            </w:r>
            <w:r w:rsidR="003B1403" w:rsidRPr="0071782F">
              <w:rPr>
                <w:sz w:val="18"/>
                <w:lang w:val="fr-CH"/>
              </w:rPr>
              <w:t>,</w:t>
            </w:r>
            <w:r w:rsidRPr="0071782F">
              <w:rPr>
                <w:sz w:val="18"/>
                <w:lang w:val="fr-CH"/>
              </w:rPr>
              <w:t>0</w:t>
            </w:r>
          </w:p>
        </w:tc>
        <w:tc>
          <w:tcPr>
            <w:tcW w:w="1346"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-3</w:t>
            </w:r>
            <w:r w:rsidR="003B1403" w:rsidRPr="0071782F">
              <w:rPr>
                <w:sz w:val="18"/>
                <w:lang w:val="fr-CH"/>
              </w:rPr>
              <w:t>,</w:t>
            </w:r>
            <w:r w:rsidRPr="0071782F">
              <w:rPr>
                <w:sz w:val="18"/>
                <w:lang w:val="fr-CH"/>
              </w:rPr>
              <w:t>1</w:t>
            </w:r>
          </w:p>
        </w:tc>
      </w:tr>
      <w:tr w:rsidR="00AD5035" w:rsidRPr="0071782F">
        <w:tc>
          <w:tcPr>
            <w:tcW w:w="5954" w:type="dxa"/>
            <w:shd w:val="clear" w:color="auto" w:fill="auto"/>
            <w:vAlign w:val="bottom"/>
          </w:tcPr>
          <w:p w:rsidR="00AD5035" w:rsidRPr="0071782F" w:rsidRDefault="00196FA5" w:rsidP="009C2132">
            <w:pPr>
              <w:suppressAutoHyphens w:val="0"/>
              <w:spacing w:before="40" w:after="40" w:line="220" w:lineRule="exact"/>
              <w:rPr>
                <w:sz w:val="18"/>
                <w:lang w:val="fr-CH"/>
              </w:rPr>
            </w:pPr>
            <w:r w:rsidRPr="0071782F">
              <w:rPr>
                <w:sz w:val="18"/>
                <w:lang w:val="fr-CH"/>
              </w:rPr>
              <w:t xml:space="preserve">Proportion d’étudiants inscrits en sciences humaines par rapport à l’ensemble de la population étudiante </w:t>
            </w:r>
          </w:p>
        </w:tc>
        <w:tc>
          <w:tcPr>
            <w:tcW w:w="1559" w:type="dxa"/>
            <w:shd w:val="clear" w:color="auto" w:fill="auto"/>
            <w:vAlign w:val="bottom"/>
          </w:tcPr>
          <w:p w:rsidR="00AD5035" w:rsidRPr="0071782F" w:rsidRDefault="00AD5035" w:rsidP="009C2132">
            <w:pPr>
              <w:suppressAutoHyphens w:val="0"/>
              <w:spacing w:before="40" w:after="40" w:line="220" w:lineRule="exact"/>
              <w:ind w:left="57"/>
              <w:rPr>
                <w:sz w:val="18"/>
                <w:lang w:val="fr-CH"/>
              </w:rPr>
            </w:pPr>
            <w:r w:rsidRPr="0071782F">
              <w:rPr>
                <w:sz w:val="18"/>
                <w:lang w:val="fr-CH"/>
              </w:rPr>
              <w:t>%</w:t>
            </w:r>
          </w:p>
        </w:tc>
        <w:tc>
          <w:tcPr>
            <w:tcW w:w="780"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43</w:t>
            </w:r>
            <w:r w:rsidR="003B1403" w:rsidRPr="0071782F">
              <w:rPr>
                <w:sz w:val="18"/>
                <w:lang w:val="fr-CH"/>
              </w:rPr>
              <w:t>,</w:t>
            </w:r>
            <w:r w:rsidRPr="0071782F">
              <w:rPr>
                <w:sz w:val="18"/>
                <w:lang w:val="fr-CH"/>
              </w:rPr>
              <w:t>0</w:t>
            </w:r>
          </w:p>
        </w:tc>
        <w:tc>
          <w:tcPr>
            <w:tcW w:w="1346" w:type="dxa"/>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5</w:t>
            </w:r>
            <w:r w:rsidR="003B1403" w:rsidRPr="0071782F">
              <w:rPr>
                <w:sz w:val="18"/>
                <w:lang w:val="fr-CH"/>
              </w:rPr>
              <w:t>,</w:t>
            </w:r>
            <w:r w:rsidRPr="0071782F">
              <w:rPr>
                <w:sz w:val="18"/>
                <w:lang w:val="fr-CH"/>
              </w:rPr>
              <w:t>9</w:t>
            </w:r>
          </w:p>
        </w:tc>
      </w:tr>
      <w:tr w:rsidR="00AD5035" w:rsidRPr="0071782F">
        <w:tc>
          <w:tcPr>
            <w:tcW w:w="5954" w:type="dxa"/>
            <w:tcBorders>
              <w:bottom w:val="nil"/>
            </w:tcBorders>
            <w:shd w:val="clear" w:color="auto" w:fill="auto"/>
            <w:vAlign w:val="bottom"/>
          </w:tcPr>
          <w:p w:rsidR="00AD5035" w:rsidRPr="0071782F" w:rsidRDefault="00196FA5" w:rsidP="009C2132">
            <w:pPr>
              <w:suppressAutoHyphens w:val="0"/>
              <w:spacing w:before="40" w:after="40" w:line="220" w:lineRule="exact"/>
              <w:rPr>
                <w:sz w:val="18"/>
                <w:lang w:val="fr-CH"/>
              </w:rPr>
            </w:pPr>
            <w:r w:rsidRPr="0071782F">
              <w:rPr>
                <w:sz w:val="18"/>
                <w:lang w:val="fr-CH"/>
              </w:rPr>
              <w:t>Proportion d’étudiants inscrits en sciences pures par rapport à l’ensemble de la population étudiante</w:t>
            </w:r>
          </w:p>
        </w:tc>
        <w:tc>
          <w:tcPr>
            <w:tcW w:w="1559" w:type="dxa"/>
            <w:tcBorders>
              <w:bottom w:val="nil"/>
            </w:tcBorders>
            <w:shd w:val="clear" w:color="auto" w:fill="auto"/>
            <w:vAlign w:val="bottom"/>
          </w:tcPr>
          <w:p w:rsidR="00AD5035" w:rsidRPr="0071782F" w:rsidRDefault="00AD5035" w:rsidP="009C2132">
            <w:pPr>
              <w:suppressAutoHyphens w:val="0"/>
              <w:spacing w:before="40" w:after="40" w:line="220" w:lineRule="exact"/>
              <w:ind w:left="57"/>
              <w:rPr>
                <w:sz w:val="18"/>
                <w:lang w:val="fr-CH"/>
              </w:rPr>
            </w:pPr>
            <w:r w:rsidRPr="0071782F">
              <w:rPr>
                <w:sz w:val="18"/>
                <w:lang w:val="fr-CH"/>
              </w:rPr>
              <w:t>%</w:t>
            </w:r>
          </w:p>
        </w:tc>
        <w:tc>
          <w:tcPr>
            <w:tcW w:w="780" w:type="dxa"/>
            <w:tcBorders>
              <w:bottom w:val="nil"/>
            </w:tcBorders>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12</w:t>
            </w:r>
            <w:r w:rsidR="003B1403" w:rsidRPr="0071782F">
              <w:rPr>
                <w:sz w:val="18"/>
                <w:lang w:val="fr-CH"/>
              </w:rPr>
              <w:t>,</w:t>
            </w:r>
            <w:r w:rsidRPr="0071782F">
              <w:rPr>
                <w:sz w:val="18"/>
                <w:lang w:val="fr-CH"/>
              </w:rPr>
              <w:t>0</w:t>
            </w:r>
          </w:p>
        </w:tc>
        <w:tc>
          <w:tcPr>
            <w:tcW w:w="1346" w:type="dxa"/>
            <w:tcBorders>
              <w:bottom w:val="nil"/>
            </w:tcBorders>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-10</w:t>
            </w:r>
            <w:r w:rsidR="003B1403" w:rsidRPr="0071782F">
              <w:rPr>
                <w:sz w:val="18"/>
                <w:lang w:val="fr-CH"/>
              </w:rPr>
              <w:t>,</w:t>
            </w:r>
            <w:r w:rsidRPr="0071782F">
              <w:rPr>
                <w:sz w:val="18"/>
                <w:lang w:val="fr-CH"/>
              </w:rPr>
              <w:t>7</w:t>
            </w:r>
          </w:p>
        </w:tc>
      </w:tr>
      <w:tr w:rsidR="00AD5035" w:rsidRPr="0071782F">
        <w:tc>
          <w:tcPr>
            <w:tcW w:w="5954" w:type="dxa"/>
            <w:tcBorders>
              <w:top w:val="nil"/>
              <w:bottom w:val="nil"/>
            </w:tcBorders>
            <w:shd w:val="clear" w:color="auto" w:fill="auto"/>
            <w:vAlign w:val="bottom"/>
          </w:tcPr>
          <w:p w:rsidR="00AD5035" w:rsidRPr="0071782F" w:rsidRDefault="00196FA5" w:rsidP="009C2132">
            <w:pPr>
              <w:suppressAutoHyphens w:val="0"/>
              <w:spacing w:before="40" w:after="40" w:line="220" w:lineRule="exact"/>
              <w:rPr>
                <w:sz w:val="18"/>
                <w:lang w:val="fr-CH"/>
              </w:rPr>
            </w:pPr>
            <w:r w:rsidRPr="0071782F">
              <w:rPr>
                <w:sz w:val="18"/>
                <w:lang w:val="fr-CH"/>
              </w:rPr>
              <w:t xml:space="preserve">Proportion d’étudiants inscrits en sciences agronomiques et vétérinaires par rapport à l’ensemble de la population étudiante </w:t>
            </w:r>
          </w:p>
        </w:tc>
        <w:tc>
          <w:tcPr>
            <w:tcW w:w="1559" w:type="dxa"/>
            <w:tcBorders>
              <w:top w:val="nil"/>
              <w:bottom w:val="nil"/>
            </w:tcBorders>
            <w:shd w:val="clear" w:color="auto" w:fill="auto"/>
            <w:vAlign w:val="bottom"/>
          </w:tcPr>
          <w:p w:rsidR="00AD5035" w:rsidRPr="0071782F" w:rsidRDefault="00AD5035" w:rsidP="009C2132">
            <w:pPr>
              <w:suppressAutoHyphens w:val="0"/>
              <w:spacing w:before="40" w:after="40" w:line="220" w:lineRule="exact"/>
              <w:ind w:left="57"/>
              <w:rPr>
                <w:sz w:val="18"/>
                <w:lang w:val="fr-CH"/>
              </w:rPr>
            </w:pPr>
            <w:r w:rsidRPr="0071782F">
              <w:rPr>
                <w:sz w:val="18"/>
                <w:lang w:val="fr-CH"/>
              </w:rPr>
              <w:t>%</w:t>
            </w:r>
          </w:p>
        </w:tc>
        <w:tc>
          <w:tcPr>
            <w:tcW w:w="780" w:type="dxa"/>
            <w:tcBorders>
              <w:top w:val="nil"/>
              <w:bottom w:val="nil"/>
            </w:tcBorders>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7</w:t>
            </w:r>
            <w:r w:rsidR="003B1403" w:rsidRPr="0071782F">
              <w:rPr>
                <w:sz w:val="18"/>
                <w:lang w:val="fr-CH"/>
              </w:rPr>
              <w:t>,</w:t>
            </w:r>
            <w:r w:rsidRPr="0071782F">
              <w:rPr>
                <w:sz w:val="18"/>
                <w:lang w:val="fr-CH"/>
              </w:rPr>
              <w:t>0</w:t>
            </w:r>
          </w:p>
        </w:tc>
        <w:tc>
          <w:tcPr>
            <w:tcW w:w="1346" w:type="dxa"/>
            <w:tcBorders>
              <w:top w:val="nil"/>
              <w:bottom w:val="nil"/>
            </w:tcBorders>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14</w:t>
            </w:r>
            <w:r w:rsidR="003B1403" w:rsidRPr="0071782F">
              <w:rPr>
                <w:sz w:val="18"/>
                <w:lang w:val="fr-CH"/>
              </w:rPr>
              <w:t>,</w:t>
            </w:r>
            <w:r w:rsidRPr="0071782F">
              <w:rPr>
                <w:sz w:val="18"/>
                <w:lang w:val="fr-CH"/>
              </w:rPr>
              <w:t>9</w:t>
            </w:r>
          </w:p>
        </w:tc>
      </w:tr>
      <w:tr w:rsidR="00AD5035" w:rsidRPr="0071782F">
        <w:tc>
          <w:tcPr>
            <w:tcW w:w="5954" w:type="dxa"/>
            <w:tcBorders>
              <w:top w:val="nil"/>
              <w:bottom w:val="nil"/>
            </w:tcBorders>
            <w:shd w:val="clear" w:color="auto" w:fill="auto"/>
            <w:vAlign w:val="bottom"/>
          </w:tcPr>
          <w:p w:rsidR="00AD5035" w:rsidRPr="0071782F" w:rsidRDefault="00196FA5" w:rsidP="009C2132">
            <w:pPr>
              <w:suppressAutoHyphens w:val="0"/>
              <w:spacing w:before="40" w:after="40" w:line="220" w:lineRule="exact"/>
              <w:rPr>
                <w:sz w:val="18"/>
                <w:lang w:val="fr-CH"/>
              </w:rPr>
            </w:pPr>
            <w:r w:rsidRPr="0071782F">
              <w:rPr>
                <w:sz w:val="18"/>
                <w:lang w:val="fr-CH"/>
              </w:rPr>
              <w:t xml:space="preserve">Proportion d’étudiants inscrits dans les disciplines techniques et en ingénierie par rapport à l’ensemble de la population étudiante </w:t>
            </w:r>
          </w:p>
        </w:tc>
        <w:tc>
          <w:tcPr>
            <w:tcW w:w="1559" w:type="dxa"/>
            <w:tcBorders>
              <w:top w:val="nil"/>
              <w:bottom w:val="nil"/>
            </w:tcBorders>
            <w:shd w:val="clear" w:color="auto" w:fill="auto"/>
            <w:vAlign w:val="bottom"/>
          </w:tcPr>
          <w:p w:rsidR="00AD5035" w:rsidRPr="0071782F" w:rsidRDefault="00AD5035" w:rsidP="009C2132">
            <w:pPr>
              <w:suppressAutoHyphens w:val="0"/>
              <w:spacing w:before="40" w:after="40" w:line="220" w:lineRule="exact"/>
              <w:ind w:left="57"/>
              <w:rPr>
                <w:sz w:val="18"/>
                <w:lang w:val="fr-CH"/>
              </w:rPr>
            </w:pPr>
            <w:r w:rsidRPr="0071782F">
              <w:rPr>
                <w:sz w:val="18"/>
                <w:lang w:val="fr-CH"/>
              </w:rPr>
              <w:t>%</w:t>
            </w:r>
          </w:p>
        </w:tc>
        <w:tc>
          <w:tcPr>
            <w:tcW w:w="780" w:type="dxa"/>
            <w:tcBorders>
              <w:top w:val="nil"/>
              <w:bottom w:val="nil"/>
            </w:tcBorders>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24</w:t>
            </w:r>
            <w:r w:rsidR="003B1403" w:rsidRPr="0071782F">
              <w:rPr>
                <w:sz w:val="18"/>
                <w:lang w:val="fr-CH"/>
              </w:rPr>
              <w:t>,</w:t>
            </w:r>
            <w:r w:rsidRPr="0071782F">
              <w:rPr>
                <w:sz w:val="18"/>
                <w:lang w:val="fr-CH"/>
              </w:rPr>
              <w:t>0</w:t>
            </w:r>
          </w:p>
        </w:tc>
        <w:tc>
          <w:tcPr>
            <w:tcW w:w="1346" w:type="dxa"/>
            <w:tcBorders>
              <w:top w:val="nil"/>
              <w:bottom w:val="nil"/>
            </w:tcBorders>
            <w:shd w:val="clear" w:color="auto" w:fill="auto"/>
            <w:vAlign w:val="bottom"/>
          </w:tcPr>
          <w:p w:rsidR="00AD5035" w:rsidRPr="0071782F" w:rsidRDefault="00AD5035" w:rsidP="009C2132">
            <w:pPr>
              <w:suppressAutoHyphens w:val="0"/>
              <w:spacing w:before="40" w:after="40" w:line="220" w:lineRule="exact"/>
              <w:jc w:val="right"/>
              <w:rPr>
                <w:sz w:val="18"/>
                <w:lang w:val="fr-CH"/>
              </w:rPr>
            </w:pPr>
            <w:r w:rsidRPr="0071782F">
              <w:rPr>
                <w:sz w:val="18"/>
                <w:lang w:val="fr-CH"/>
              </w:rPr>
              <w:t>7</w:t>
            </w:r>
            <w:r w:rsidR="003B1403" w:rsidRPr="0071782F">
              <w:rPr>
                <w:sz w:val="18"/>
                <w:lang w:val="fr-CH"/>
              </w:rPr>
              <w:t>,</w:t>
            </w:r>
            <w:r w:rsidRPr="0071782F">
              <w:rPr>
                <w:sz w:val="18"/>
                <w:lang w:val="fr-CH"/>
              </w:rPr>
              <w:t>4</w:t>
            </w:r>
          </w:p>
        </w:tc>
      </w:tr>
      <w:tr w:rsidR="00AD5035" w:rsidRPr="0071782F">
        <w:tc>
          <w:tcPr>
            <w:tcW w:w="5954" w:type="dxa"/>
            <w:tcBorders>
              <w:top w:val="nil"/>
              <w:bottom w:val="nil"/>
            </w:tcBorders>
            <w:shd w:val="clear" w:color="auto" w:fill="auto"/>
            <w:vAlign w:val="bottom"/>
          </w:tcPr>
          <w:p w:rsidR="00AD5035" w:rsidRPr="0071782F" w:rsidRDefault="00196FA5" w:rsidP="009C2132">
            <w:pPr>
              <w:keepNext/>
              <w:suppressAutoHyphens w:val="0"/>
              <w:spacing w:before="40" w:after="40" w:line="220" w:lineRule="exact"/>
              <w:rPr>
                <w:sz w:val="18"/>
                <w:lang w:val="fr-CH"/>
              </w:rPr>
            </w:pPr>
            <w:r w:rsidRPr="0071782F">
              <w:rPr>
                <w:sz w:val="18"/>
                <w:lang w:val="fr-CH"/>
              </w:rPr>
              <w:t xml:space="preserve">Proportion d’étudiants inscrits en médecine par rapport à l’ensemble de la population étudiante </w:t>
            </w:r>
          </w:p>
        </w:tc>
        <w:tc>
          <w:tcPr>
            <w:tcW w:w="1559" w:type="dxa"/>
            <w:tcBorders>
              <w:top w:val="nil"/>
              <w:bottom w:val="nil"/>
            </w:tcBorders>
            <w:shd w:val="clear" w:color="auto" w:fill="auto"/>
            <w:vAlign w:val="bottom"/>
          </w:tcPr>
          <w:p w:rsidR="00AD5035" w:rsidRPr="0071782F" w:rsidRDefault="00AD5035" w:rsidP="009C2132">
            <w:pPr>
              <w:keepNext/>
              <w:suppressAutoHyphens w:val="0"/>
              <w:spacing w:before="40" w:after="40" w:line="220" w:lineRule="exact"/>
              <w:ind w:left="57"/>
              <w:rPr>
                <w:sz w:val="18"/>
                <w:lang w:val="fr-CH"/>
              </w:rPr>
            </w:pPr>
            <w:r w:rsidRPr="0071782F">
              <w:rPr>
                <w:sz w:val="18"/>
                <w:lang w:val="fr-CH"/>
              </w:rPr>
              <w:t>%</w:t>
            </w:r>
          </w:p>
        </w:tc>
        <w:tc>
          <w:tcPr>
            <w:tcW w:w="780" w:type="dxa"/>
            <w:tcBorders>
              <w:top w:val="nil"/>
              <w:bottom w:val="nil"/>
            </w:tcBorders>
            <w:shd w:val="clear" w:color="auto" w:fill="auto"/>
            <w:vAlign w:val="bottom"/>
          </w:tcPr>
          <w:p w:rsidR="00AD5035" w:rsidRPr="0071782F" w:rsidRDefault="00AD5035" w:rsidP="009C2132">
            <w:pPr>
              <w:keepNext/>
              <w:suppressAutoHyphens w:val="0"/>
              <w:spacing w:before="40" w:after="40" w:line="220" w:lineRule="exact"/>
              <w:jc w:val="right"/>
              <w:rPr>
                <w:sz w:val="18"/>
                <w:lang w:val="fr-CH"/>
              </w:rPr>
            </w:pPr>
            <w:r w:rsidRPr="0071782F">
              <w:rPr>
                <w:sz w:val="18"/>
                <w:lang w:val="fr-CH"/>
              </w:rPr>
              <w:t>9</w:t>
            </w:r>
            <w:r w:rsidR="003B1403" w:rsidRPr="0071782F">
              <w:rPr>
                <w:sz w:val="18"/>
                <w:lang w:val="fr-CH"/>
              </w:rPr>
              <w:t>,</w:t>
            </w:r>
            <w:r w:rsidRPr="0071782F">
              <w:rPr>
                <w:sz w:val="18"/>
                <w:lang w:val="fr-CH"/>
              </w:rPr>
              <w:t>0</w:t>
            </w:r>
          </w:p>
        </w:tc>
        <w:tc>
          <w:tcPr>
            <w:tcW w:w="1346" w:type="dxa"/>
            <w:tcBorders>
              <w:top w:val="nil"/>
              <w:bottom w:val="nil"/>
            </w:tcBorders>
            <w:shd w:val="clear" w:color="auto" w:fill="auto"/>
            <w:vAlign w:val="bottom"/>
          </w:tcPr>
          <w:p w:rsidR="00AD5035" w:rsidRPr="0071782F" w:rsidRDefault="00AD5035" w:rsidP="009C2132">
            <w:pPr>
              <w:keepNext/>
              <w:suppressAutoHyphens w:val="0"/>
              <w:spacing w:before="40" w:after="40" w:line="220" w:lineRule="exact"/>
              <w:jc w:val="right"/>
              <w:rPr>
                <w:sz w:val="18"/>
                <w:lang w:val="fr-CH"/>
              </w:rPr>
            </w:pPr>
            <w:r w:rsidRPr="0071782F">
              <w:rPr>
                <w:sz w:val="18"/>
                <w:lang w:val="fr-CH"/>
              </w:rPr>
              <w:t>0</w:t>
            </w:r>
            <w:r w:rsidR="003B1403" w:rsidRPr="0071782F">
              <w:rPr>
                <w:sz w:val="18"/>
                <w:lang w:val="fr-CH"/>
              </w:rPr>
              <w:t>,</w:t>
            </w:r>
            <w:r w:rsidRPr="0071782F">
              <w:rPr>
                <w:sz w:val="18"/>
                <w:lang w:val="fr-CH"/>
              </w:rPr>
              <w:t>5</w:t>
            </w:r>
          </w:p>
        </w:tc>
      </w:tr>
      <w:tr w:rsidR="00AD5035" w:rsidRPr="0071782F">
        <w:tc>
          <w:tcPr>
            <w:tcW w:w="5954" w:type="dxa"/>
            <w:tcBorders>
              <w:top w:val="nil"/>
              <w:bottom w:val="single" w:sz="4" w:space="0" w:color="auto"/>
            </w:tcBorders>
            <w:shd w:val="clear" w:color="auto" w:fill="auto"/>
            <w:vAlign w:val="bottom"/>
          </w:tcPr>
          <w:p w:rsidR="00AD5035" w:rsidRPr="0071782F" w:rsidRDefault="00196FA5" w:rsidP="009C2132">
            <w:pPr>
              <w:keepNext/>
              <w:suppressAutoHyphens w:val="0"/>
              <w:spacing w:before="40" w:after="40" w:line="220" w:lineRule="exact"/>
              <w:rPr>
                <w:sz w:val="18"/>
                <w:lang w:val="fr-CH"/>
              </w:rPr>
            </w:pPr>
            <w:r w:rsidRPr="0071782F">
              <w:rPr>
                <w:sz w:val="18"/>
                <w:lang w:val="fr-CH"/>
              </w:rPr>
              <w:t xml:space="preserve">Proportion d’étudiants inscrits dans les disciplines artistiques par rapport à l’ensemble de la population étudiante </w:t>
            </w:r>
          </w:p>
        </w:tc>
        <w:tc>
          <w:tcPr>
            <w:tcW w:w="1559" w:type="dxa"/>
            <w:tcBorders>
              <w:top w:val="nil"/>
              <w:bottom w:val="single" w:sz="4" w:space="0" w:color="auto"/>
            </w:tcBorders>
            <w:shd w:val="clear" w:color="auto" w:fill="auto"/>
            <w:vAlign w:val="bottom"/>
          </w:tcPr>
          <w:p w:rsidR="00AD5035" w:rsidRPr="0071782F" w:rsidRDefault="00AD5035" w:rsidP="009C2132">
            <w:pPr>
              <w:keepNext/>
              <w:suppressAutoHyphens w:val="0"/>
              <w:spacing w:before="40" w:after="40" w:line="220" w:lineRule="exact"/>
              <w:ind w:left="57"/>
              <w:rPr>
                <w:sz w:val="18"/>
                <w:lang w:val="fr-CH"/>
              </w:rPr>
            </w:pPr>
            <w:r w:rsidRPr="0071782F">
              <w:rPr>
                <w:sz w:val="18"/>
                <w:lang w:val="fr-CH"/>
              </w:rPr>
              <w:t>%</w:t>
            </w:r>
          </w:p>
        </w:tc>
        <w:tc>
          <w:tcPr>
            <w:tcW w:w="780" w:type="dxa"/>
            <w:tcBorders>
              <w:top w:val="nil"/>
              <w:bottom w:val="single" w:sz="4" w:space="0" w:color="auto"/>
            </w:tcBorders>
            <w:shd w:val="clear" w:color="auto" w:fill="auto"/>
            <w:vAlign w:val="bottom"/>
          </w:tcPr>
          <w:p w:rsidR="00AD5035" w:rsidRPr="0071782F" w:rsidRDefault="00AD5035" w:rsidP="009C2132">
            <w:pPr>
              <w:keepNext/>
              <w:suppressAutoHyphens w:val="0"/>
              <w:spacing w:before="40" w:after="40" w:line="220" w:lineRule="exact"/>
              <w:jc w:val="right"/>
              <w:rPr>
                <w:sz w:val="18"/>
                <w:lang w:val="fr-CH"/>
              </w:rPr>
            </w:pPr>
            <w:r w:rsidRPr="0071782F">
              <w:rPr>
                <w:sz w:val="18"/>
                <w:lang w:val="fr-CH"/>
              </w:rPr>
              <w:t>5</w:t>
            </w:r>
            <w:r w:rsidR="003B1403" w:rsidRPr="0071782F">
              <w:rPr>
                <w:sz w:val="18"/>
                <w:lang w:val="fr-CH"/>
              </w:rPr>
              <w:t>,</w:t>
            </w:r>
            <w:r w:rsidRPr="0071782F">
              <w:rPr>
                <w:sz w:val="18"/>
                <w:lang w:val="fr-CH"/>
              </w:rPr>
              <w:t>0</w:t>
            </w:r>
          </w:p>
        </w:tc>
        <w:tc>
          <w:tcPr>
            <w:tcW w:w="1346" w:type="dxa"/>
            <w:tcBorders>
              <w:top w:val="nil"/>
              <w:bottom w:val="single" w:sz="4" w:space="0" w:color="auto"/>
            </w:tcBorders>
            <w:shd w:val="clear" w:color="auto" w:fill="auto"/>
            <w:vAlign w:val="bottom"/>
          </w:tcPr>
          <w:p w:rsidR="00AD5035" w:rsidRPr="0071782F" w:rsidRDefault="00AD5035" w:rsidP="009C2132">
            <w:pPr>
              <w:keepNext/>
              <w:suppressAutoHyphens w:val="0"/>
              <w:spacing w:before="40" w:after="40" w:line="220" w:lineRule="exact"/>
              <w:jc w:val="right"/>
              <w:rPr>
                <w:sz w:val="18"/>
                <w:lang w:val="fr-CH"/>
              </w:rPr>
            </w:pPr>
            <w:r w:rsidRPr="0071782F">
              <w:rPr>
                <w:sz w:val="18"/>
                <w:lang w:val="fr-CH"/>
              </w:rPr>
              <w:t>44</w:t>
            </w:r>
            <w:r w:rsidR="003B1403" w:rsidRPr="0071782F">
              <w:rPr>
                <w:sz w:val="18"/>
                <w:lang w:val="fr-CH"/>
              </w:rPr>
              <w:t>,</w:t>
            </w:r>
            <w:r w:rsidRPr="0071782F">
              <w:rPr>
                <w:sz w:val="18"/>
                <w:lang w:val="fr-CH"/>
              </w:rPr>
              <w:t>5</w:t>
            </w:r>
          </w:p>
        </w:tc>
      </w:tr>
      <w:tr w:rsidR="00AD5035" w:rsidRPr="0071782F">
        <w:tc>
          <w:tcPr>
            <w:tcW w:w="5954" w:type="dxa"/>
            <w:tcBorders>
              <w:top w:val="single" w:sz="4" w:space="0" w:color="auto"/>
              <w:bottom w:val="single" w:sz="12" w:space="0" w:color="auto"/>
            </w:tcBorders>
            <w:shd w:val="clear" w:color="auto" w:fill="auto"/>
            <w:vAlign w:val="bottom"/>
          </w:tcPr>
          <w:p w:rsidR="00AD5035" w:rsidRPr="0071782F" w:rsidRDefault="00196FA5" w:rsidP="009C2132">
            <w:pPr>
              <w:suppressAutoHyphens w:val="0"/>
              <w:spacing w:before="80" w:after="80" w:line="220" w:lineRule="exact"/>
              <w:ind w:left="284"/>
              <w:rPr>
                <w:b/>
                <w:sz w:val="18"/>
                <w:lang w:val="fr-CH"/>
              </w:rPr>
            </w:pPr>
            <w:r w:rsidRPr="0071782F">
              <w:rPr>
                <w:b/>
                <w:sz w:val="18"/>
                <w:lang w:val="fr-CH"/>
              </w:rPr>
              <w:t>Nombre t</w:t>
            </w:r>
            <w:r w:rsidR="00AD5035" w:rsidRPr="0071782F">
              <w:rPr>
                <w:b/>
                <w:sz w:val="18"/>
                <w:lang w:val="fr-CH"/>
              </w:rPr>
              <w:t xml:space="preserve">otal </w:t>
            </w:r>
            <w:r w:rsidRPr="0071782F">
              <w:rPr>
                <w:b/>
                <w:sz w:val="18"/>
                <w:lang w:val="fr-CH"/>
              </w:rPr>
              <w:t xml:space="preserve">de diplômés </w:t>
            </w:r>
          </w:p>
        </w:tc>
        <w:tc>
          <w:tcPr>
            <w:tcW w:w="1559" w:type="dxa"/>
            <w:tcBorders>
              <w:top w:val="single" w:sz="4" w:space="0" w:color="auto"/>
              <w:bottom w:val="single" w:sz="12" w:space="0" w:color="auto"/>
            </w:tcBorders>
            <w:shd w:val="clear" w:color="auto" w:fill="auto"/>
            <w:vAlign w:val="bottom"/>
          </w:tcPr>
          <w:p w:rsidR="00AD5035" w:rsidRPr="0071782F" w:rsidRDefault="00AD5035" w:rsidP="009C2132">
            <w:pPr>
              <w:suppressAutoHyphens w:val="0"/>
              <w:spacing w:before="80" w:after="80" w:line="220" w:lineRule="exact"/>
              <w:ind w:left="57"/>
              <w:rPr>
                <w:b/>
                <w:sz w:val="18"/>
                <w:lang w:val="fr-CH"/>
              </w:rPr>
            </w:pPr>
            <w:r w:rsidRPr="0071782F">
              <w:rPr>
                <w:b/>
                <w:sz w:val="18"/>
                <w:lang w:val="fr-CH"/>
              </w:rPr>
              <w:t>Person</w:t>
            </w:r>
            <w:r w:rsidR="00196FA5" w:rsidRPr="0071782F">
              <w:rPr>
                <w:b/>
                <w:sz w:val="18"/>
                <w:lang w:val="fr-CH"/>
              </w:rPr>
              <w:t>nes</w:t>
            </w:r>
            <w:r w:rsidRPr="0071782F">
              <w:rPr>
                <w:b/>
                <w:sz w:val="18"/>
                <w:lang w:val="fr-CH"/>
              </w:rPr>
              <w:t xml:space="preserve"> (</w:t>
            </w:r>
            <w:r w:rsidR="00196FA5" w:rsidRPr="0071782F">
              <w:rPr>
                <w:b/>
                <w:sz w:val="18"/>
                <w:lang w:val="fr-CH"/>
              </w:rPr>
              <w:t>milliers</w:t>
            </w:r>
            <w:r w:rsidRPr="0071782F">
              <w:rPr>
                <w:b/>
                <w:sz w:val="18"/>
                <w:lang w:val="fr-CH"/>
              </w:rPr>
              <w:t>)</w:t>
            </w:r>
          </w:p>
        </w:tc>
        <w:tc>
          <w:tcPr>
            <w:tcW w:w="780" w:type="dxa"/>
            <w:tcBorders>
              <w:top w:val="single" w:sz="4" w:space="0" w:color="auto"/>
              <w:bottom w:val="single" w:sz="12" w:space="0" w:color="auto"/>
            </w:tcBorders>
            <w:shd w:val="clear" w:color="auto" w:fill="auto"/>
            <w:vAlign w:val="bottom"/>
          </w:tcPr>
          <w:p w:rsidR="00AD5035" w:rsidRPr="0071782F" w:rsidRDefault="00AD5035" w:rsidP="009C2132">
            <w:pPr>
              <w:suppressAutoHyphens w:val="0"/>
              <w:spacing w:before="80" w:after="80" w:line="220" w:lineRule="exact"/>
              <w:jc w:val="right"/>
              <w:rPr>
                <w:b/>
                <w:sz w:val="18"/>
                <w:lang w:val="fr-CH"/>
              </w:rPr>
            </w:pPr>
            <w:r w:rsidRPr="0071782F">
              <w:rPr>
                <w:b/>
                <w:sz w:val="18"/>
                <w:lang w:val="fr-CH"/>
              </w:rPr>
              <w:t>174</w:t>
            </w:r>
          </w:p>
        </w:tc>
        <w:tc>
          <w:tcPr>
            <w:tcW w:w="1346" w:type="dxa"/>
            <w:tcBorders>
              <w:top w:val="single" w:sz="4" w:space="0" w:color="auto"/>
              <w:bottom w:val="single" w:sz="12" w:space="0" w:color="auto"/>
            </w:tcBorders>
            <w:shd w:val="clear" w:color="auto" w:fill="auto"/>
            <w:vAlign w:val="bottom"/>
          </w:tcPr>
          <w:p w:rsidR="00AD5035" w:rsidRPr="0071782F" w:rsidRDefault="00AD5035" w:rsidP="009C2132">
            <w:pPr>
              <w:suppressAutoHyphens w:val="0"/>
              <w:spacing w:before="80" w:after="80" w:line="220" w:lineRule="exact"/>
              <w:jc w:val="right"/>
              <w:rPr>
                <w:b/>
                <w:sz w:val="18"/>
                <w:lang w:val="fr-CH"/>
              </w:rPr>
            </w:pPr>
            <w:r w:rsidRPr="0071782F">
              <w:rPr>
                <w:b/>
                <w:sz w:val="18"/>
                <w:lang w:val="fr-CH"/>
              </w:rPr>
              <w:t>18</w:t>
            </w:r>
            <w:r w:rsidR="003B1403" w:rsidRPr="0071782F">
              <w:rPr>
                <w:b/>
                <w:sz w:val="18"/>
                <w:lang w:val="fr-CH"/>
              </w:rPr>
              <w:t>,</w:t>
            </w:r>
            <w:r w:rsidRPr="0071782F">
              <w:rPr>
                <w:b/>
                <w:sz w:val="18"/>
                <w:lang w:val="fr-CH"/>
              </w:rPr>
              <w:t>1</w:t>
            </w:r>
          </w:p>
        </w:tc>
      </w:tr>
    </w:tbl>
    <w:p w:rsidR="00AD5035" w:rsidRPr="0071782F" w:rsidRDefault="00AD5035" w:rsidP="00C35570">
      <w:pPr>
        <w:spacing w:before="120"/>
        <w:ind w:left="1134" w:firstLine="170"/>
        <w:rPr>
          <w:sz w:val="18"/>
          <w:szCs w:val="18"/>
          <w:lang w:val="fr-CH"/>
        </w:rPr>
      </w:pPr>
      <w:r w:rsidRPr="0071782F">
        <w:rPr>
          <w:i/>
          <w:sz w:val="18"/>
          <w:szCs w:val="18"/>
          <w:lang w:val="fr-CH"/>
        </w:rPr>
        <w:t>Source</w:t>
      </w:r>
      <w:r w:rsidR="008F7D33" w:rsidRPr="0071782F">
        <w:rPr>
          <w:i/>
          <w:sz w:val="18"/>
          <w:szCs w:val="18"/>
          <w:lang w:val="fr-CH"/>
        </w:rPr>
        <w:t>:</w:t>
      </w:r>
      <w:r w:rsidRPr="0071782F">
        <w:rPr>
          <w:sz w:val="18"/>
          <w:szCs w:val="18"/>
          <w:lang w:val="fr-CH"/>
        </w:rPr>
        <w:t xml:space="preserve"> Minist</w:t>
      </w:r>
      <w:r w:rsidR="00196FA5" w:rsidRPr="0071782F">
        <w:rPr>
          <w:sz w:val="18"/>
          <w:szCs w:val="18"/>
          <w:lang w:val="fr-CH"/>
        </w:rPr>
        <w:t xml:space="preserve">ère de la </w:t>
      </w:r>
      <w:r w:rsidRPr="0071782F">
        <w:rPr>
          <w:sz w:val="18"/>
          <w:szCs w:val="18"/>
          <w:lang w:val="fr-CH"/>
        </w:rPr>
        <w:t xml:space="preserve">science, </w:t>
      </w:r>
      <w:r w:rsidR="00196FA5" w:rsidRPr="0071782F">
        <w:rPr>
          <w:sz w:val="18"/>
          <w:szCs w:val="18"/>
          <w:lang w:val="fr-CH"/>
        </w:rPr>
        <w:t>de la recherche et de la technologie</w:t>
      </w:r>
      <w:r w:rsidRPr="0071782F">
        <w:rPr>
          <w:sz w:val="18"/>
          <w:szCs w:val="18"/>
          <w:lang w:val="fr-CH"/>
        </w:rPr>
        <w:t>.</w:t>
      </w:r>
    </w:p>
    <w:p w:rsidR="00AD5035" w:rsidRPr="0071782F" w:rsidRDefault="00AD5035" w:rsidP="008520EF">
      <w:pPr>
        <w:spacing w:after="240"/>
        <w:ind w:left="1134" w:firstLine="170"/>
        <w:rPr>
          <w:sz w:val="18"/>
          <w:szCs w:val="18"/>
          <w:lang w:val="fr-CH"/>
        </w:rPr>
      </w:pPr>
      <w:r w:rsidRPr="0071782F">
        <w:rPr>
          <w:i/>
          <w:sz w:val="18"/>
          <w:szCs w:val="18"/>
          <w:vertAlign w:val="superscript"/>
          <w:lang w:val="fr-CH"/>
        </w:rPr>
        <w:t>(1)</w:t>
      </w:r>
      <w:r w:rsidRPr="0071782F">
        <w:rPr>
          <w:sz w:val="18"/>
          <w:szCs w:val="18"/>
          <w:lang w:val="fr-CH"/>
        </w:rPr>
        <w:t xml:space="preserve">  </w:t>
      </w:r>
      <w:r w:rsidR="00196FA5" w:rsidRPr="0071782F">
        <w:rPr>
          <w:sz w:val="18"/>
          <w:szCs w:val="18"/>
          <w:lang w:val="fr-CH"/>
        </w:rPr>
        <w:t xml:space="preserve">À l’exclusion de l’Université islamique </w:t>
      </w:r>
      <w:r w:rsidRPr="0071782F">
        <w:rPr>
          <w:sz w:val="18"/>
          <w:szCs w:val="18"/>
          <w:lang w:val="fr-CH"/>
        </w:rPr>
        <w:t>Azad.</w:t>
      </w:r>
    </w:p>
    <w:p w:rsidR="00AD5035" w:rsidRPr="0071782F" w:rsidRDefault="00AD5035" w:rsidP="00930639">
      <w:pPr>
        <w:pStyle w:val="H23G"/>
        <w:rPr>
          <w:lang w:val="fr-CH"/>
        </w:rPr>
      </w:pPr>
      <w:r w:rsidRPr="0071782F">
        <w:rPr>
          <w:lang w:val="fr-CH"/>
        </w:rPr>
        <w:tab/>
      </w:r>
      <w:r w:rsidRPr="0071782F">
        <w:rPr>
          <w:lang w:val="fr-CH"/>
        </w:rPr>
        <w:tab/>
        <w:t>Indicat</w:t>
      </w:r>
      <w:r w:rsidR="00196FA5" w:rsidRPr="0071782F">
        <w:rPr>
          <w:lang w:val="fr-CH"/>
        </w:rPr>
        <w:t>eu</w:t>
      </w:r>
      <w:r w:rsidRPr="0071782F">
        <w:rPr>
          <w:lang w:val="fr-CH"/>
        </w:rPr>
        <w:t xml:space="preserve">rs </w:t>
      </w:r>
      <w:r w:rsidR="00196FA5" w:rsidRPr="0071782F">
        <w:rPr>
          <w:lang w:val="fr-CH"/>
        </w:rPr>
        <w:t xml:space="preserve">de l’Université islamique </w:t>
      </w:r>
      <w:r w:rsidRPr="0071782F">
        <w:rPr>
          <w:lang w:val="fr-CH"/>
        </w:rPr>
        <w:t xml:space="preserve">Azad </w:t>
      </w:r>
      <w:r w:rsidR="00196FA5" w:rsidRPr="0071782F">
        <w:rPr>
          <w:lang w:val="fr-CH"/>
        </w:rPr>
        <w:t>en 2005-</w:t>
      </w:r>
      <w:r w:rsidR="00760C0E" w:rsidRPr="0071782F">
        <w:rPr>
          <w:lang w:val="fr-CH"/>
        </w:rPr>
        <w:t>2006</w:t>
      </w:r>
      <w:r w:rsidR="00760C0E" w:rsidRPr="0071782F">
        <w:rPr>
          <w:b w:val="0"/>
          <w:i/>
          <w:vertAlign w:val="superscript"/>
          <w:lang w:val="fr-CH"/>
        </w:rPr>
        <w:t>(</w:t>
      </w:r>
      <w:r w:rsidRPr="0071782F">
        <w:rPr>
          <w:b w:val="0"/>
          <w:i/>
          <w:vertAlign w:val="superscript"/>
          <w:lang w:val="fr-CH"/>
        </w:rPr>
        <w:t>1)</w:t>
      </w:r>
    </w:p>
    <w:tbl>
      <w:tblPr>
        <w:tblW w:w="9639"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5463"/>
        <w:gridCol w:w="1606"/>
        <w:gridCol w:w="1224"/>
        <w:gridCol w:w="1346"/>
      </w:tblGrid>
      <w:tr w:rsidR="00AD5035" w:rsidRPr="0071782F">
        <w:trPr>
          <w:tblHeader/>
        </w:trPr>
        <w:tc>
          <w:tcPr>
            <w:tcW w:w="4820" w:type="dxa"/>
            <w:tcBorders>
              <w:top w:val="single" w:sz="4" w:space="0" w:color="auto"/>
              <w:bottom w:val="single" w:sz="12" w:space="0" w:color="auto"/>
            </w:tcBorders>
            <w:shd w:val="clear" w:color="auto" w:fill="auto"/>
            <w:vAlign w:val="bottom"/>
          </w:tcPr>
          <w:p w:rsidR="00AD5035" w:rsidRPr="0071782F" w:rsidRDefault="00AD5035" w:rsidP="00881286">
            <w:pPr>
              <w:suppressAutoHyphens w:val="0"/>
              <w:spacing w:before="80" w:after="80" w:line="200" w:lineRule="exact"/>
              <w:rPr>
                <w:i/>
                <w:sz w:val="16"/>
                <w:lang w:val="fr-CH"/>
              </w:rPr>
            </w:pPr>
            <w:r w:rsidRPr="0071782F">
              <w:rPr>
                <w:i/>
                <w:sz w:val="16"/>
                <w:lang w:val="fr-CH"/>
              </w:rPr>
              <w:t>Indicat</w:t>
            </w:r>
            <w:r w:rsidR="00196FA5" w:rsidRPr="0071782F">
              <w:rPr>
                <w:i/>
                <w:sz w:val="16"/>
                <w:lang w:val="fr-CH"/>
              </w:rPr>
              <w:t>eu</w:t>
            </w:r>
            <w:r w:rsidRPr="0071782F">
              <w:rPr>
                <w:i/>
                <w:sz w:val="16"/>
                <w:lang w:val="fr-CH"/>
              </w:rPr>
              <w:t>r</w:t>
            </w:r>
          </w:p>
        </w:tc>
        <w:tc>
          <w:tcPr>
            <w:tcW w:w="1417" w:type="dxa"/>
            <w:tcBorders>
              <w:top w:val="single" w:sz="4" w:space="0" w:color="auto"/>
              <w:bottom w:val="single" w:sz="12" w:space="0" w:color="auto"/>
            </w:tcBorders>
            <w:shd w:val="clear" w:color="auto" w:fill="auto"/>
            <w:vAlign w:val="bottom"/>
          </w:tcPr>
          <w:p w:rsidR="00AD5035" w:rsidRPr="0071782F" w:rsidRDefault="00AD5035" w:rsidP="00B71235">
            <w:pPr>
              <w:suppressAutoHyphens w:val="0"/>
              <w:spacing w:before="80" w:after="80" w:line="200" w:lineRule="exact"/>
              <w:ind w:left="57"/>
              <w:rPr>
                <w:i/>
                <w:sz w:val="16"/>
                <w:lang w:val="fr-CH"/>
              </w:rPr>
            </w:pPr>
            <w:r w:rsidRPr="0071782F">
              <w:rPr>
                <w:i/>
                <w:sz w:val="16"/>
                <w:lang w:val="fr-CH"/>
              </w:rPr>
              <w:t>Unit</w:t>
            </w:r>
            <w:r w:rsidR="00196FA5" w:rsidRPr="0071782F">
              <w:rPr>
                <w:i/>
                <w:sz w:val="16"/>
                <w:lang w:val="fr-CH"/>
              </w:rPr>
              <w:t>é</w:t>
            </w:r>
          </w:p>
        </w:tc>
        <w:tc>
          <w:tcPr>
            <w:tcW w:w="1080" w:type="dxa"/>
            <w:tcBorders>
              <w:top w:val="single" w:sz="4" w:space="0" w:color="auto"/>
              <w:bottom w:val="single" w:sz="12" w:space="0" w:color="auto"/>
            </w:tcBorders>
            <w:shd w:val="clear" w:color="auto" w:fill="auto"/>
            <w:vAlign w:val="bottom"/>
          </w:tcPr>
          <w:p w:rsidR="00AD5035" w:rsidRPr="0071782F" w:rsidRDefault="00AD5035" w:rsidP="00881286">
            <w:pPr>
              <w:suppressAutoHyphens w:val="0"/>
              <w:spacing w:before="80" w:after="80" w:line="200" w:lineRule="exact"/>
              <w:jc w:val="right"/>
              <w:rPr>
                <w:i/>
                <w:sz w:val="16"/>
                <w:lang w:val="fr-CH"/>
              </w:rPr>
            </w:pPr>
            <w:r w:rsidRPr="0071782F">
              <w:rPr>
                <w:i/>
                <w:sz w:val="16"/>
                <w:lang w:val="fr-CH"/>
              </w:rPr>
              <w:t>No</w:t>
            </w:r>
            <w:r w:rsidR="00196FA5" w:rsidRPr="0071782F">
              <w:rPr>
                <w:i/>
                <w:sz w:val="16"/>
                <w:lang w:val="fr-CH"/>
              </w:rPr>
              <w:t>mbre</w:t>
            </w:r>
            <w:r w:rsidRPr="0071782F">
              <w:rPr>
                <w:i/>
                <w:sz w:val="16"/>
                <w:lang w:val="fr-CH"/>
              </w:rPr>
              <w:t>/</w:t>
            </w:r>
            <w:r w:rsidR="00196FA5" w:rsidRPr="0071782F">
              <w:rPr>
                <w:i/>
                <w:sz w:val="16"/>
                <w:lang w:val="fr-CH"/>
              </w:rPr>
              <w:t>valeur</w:t>
            </w:r>
          </w:p>
        </w:tc>
        <w:tc>
          <w:tcPr>
            <w:tcW w:w="1188" w:type="dxa"/>
            <w:tcBorders>
              <w:top w:val="single" w:sz="4" w:space="0" w:color="auto"/>
              <w:bottom w:val="single" w:sz="12" w:space="0" w:color="auto"/>
            </w:tcBorders>
            <w:shd w:val="clear" w:color="auto" w:fill="auto"/>
            <w:vAlign w:val="bottom"/>
          </w:tcPr>
          <w:p w:rsidR="00AD5035" w:rsidRPr="0071782F" w:rsidRDefault="00196FA5" w:rsidP="00881286">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AD5035" w:rsidRPr="0071782F">
        <w:tc>
          <w:tcPr>
            <w:tcW w:w="4820" w:type="dxa"/>
            <w:tcBorders>
              <w:top w:val="single" w:sz="12" w:space="0" w:color="auto"/>
            </w:tcBorders>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Nombre d’étudiants</w:t>
            </w:r>
          </w:p>
        </w:tc>
        <w:tc>
          <w:tcPr>
            <w:tcW w:w="1417" w:type="dxa"/>
            <w:tcBorders>
              <w:top w:val="single" w:sz="12" w:space="0" w:color="auto"/>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r w:rsidRPr="0071782F">
              <w:rPr>
                <w:sz w:val="18"/>
                <w:lang w:val="fr-CH"/>
              </w:rPr>
              <w:t xml:space="preserve"> (</w:t>
            </w:r>
            <w:r w:rsidR="00196FA5" w:rsidRPr="0071782F">
              <w:rPr>
                <w:sz w:val="18"/>
                <w:lang w:val="fr-CH"/>
              </w:rPr>
              <w:t>milliers</w:t>
            </w:r>
            <w:r w:rsidRPr="0071782F">
              <w:rPr>
                <w:sz w:val="18"/>
                <w:lang w:val="fr-CH"/>
              </w:rPr>
              <w:t>)</w:t>
            </w:r>
          </w:p>
        </w:tc>
        <w:tc>
          <w:tcPr>
            <w:tcW w:w="1080" w:type="dxa"/>
            <w:tcBorders>
              <w:top w:val="single" w:sz="12" w:space="0" w:color="auto"/>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1 198</w:t>
            </w:r>
          </w:p>
        </w:tc>
        <w:tc>
          <w:tcPr>
            <w:tcW w:w="1188" w:type="dxa"/>
            <w:tcBorders>
              <w:top w:val="single" w:sz="12" w:space="0" w:color="auto"/>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9</w:t>
            </w:r>
            <w:r w:rsidR="00881286" w:rsidRPr="0071782F">
              <w:rPr>
                <w:sz w:val="18"/>
                <w:lang w:val="fr-CH"/>
              </w:rPr>
              <w:t>,</w:t>
            </w:r>
            <w:r w:rsidRPr="0071782F">
              <w:rPr>
                <w:sz w:val="18"/>
                <w:lang w:val="fr-CH"/>
              </w:rPr>
              <w:t>0</w:t>
            </w:r>
          </w:p>
        </w:tc>
      </w:tr>
      <w:tr w:rsidR="00AD5035" w:rsidRPr="0071782F">
        <w:tc>
          <w:tcPr>
            <w:tcW w:w="4820" w:type="dxa"/>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Nombre d’étudiants de sexe masculin</w:t>
            </w:r>
          </w:p>
        </w:tc>
        <w:tc>
          <w:tcPr>
            <w:tcW w:w="1417" w:type="dxa"/>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p>
        </w:tc>
        <w:tc>
          <w:tcPr>
            <w:tcW w:w="1080"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623</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9</w:t>
            </w:r>
            <w:r w:rsidR="00881286" w:rsidRPr="0071782F">
              <w:rPr>
                <w:sz w:val="18"/>
                <w:lang w:val="fr-CH"/>
              </w:rPr>
              <w:t>,</w:t>
            </w:r>
            <w:r w:rsidRPr="0071782F">
              <w:rPr>
                <w:sz w:val="18"/>
                <w:lang w:val="fr-CH"/>
              </w:rPr>
              <w:t>5</w:t>
            </w:r>
          </w:p>
        </w:tc>
      </w:tr>
      <w:tr w:rsidR="00AD5035" w:rsidRPr="0071782F">
        <w:tc>
          <w:tcPr>
            <w:tcW w:w="4820" w:type="dxa"/>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Nombre d’étudiantes</w:t>
            </w:r>
          </w:p>
        </w:tc>
        <w:tc>
          <w:tcPr>
            <w:tcW w:w="1417" w:type="dxa"/>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p>
        </w:tc>
        <w:tc>
          <w:tcPr>
            <w:tcW w:w="1080"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575</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8</w:t>
            </w:r>
            <w:r w:rsidR="00881286" w:rsidRPr="0071782F">
              <w:rPr>
                <w:sz w:val="18"/>
                <w:lang w:val="fr-CH"/>
              </w:rPr>
              <w:t>,</w:t>
            </w:r>
            <w:r w:rsidRPr="0071782F">
              <w:rPr>
                <w:sz w:val="18"/>
                <w:lang w:val="fr-CH"/>
              </w:rPr>
              <w:t>5</w:t>
            </w:r>
          </w:p>
        </w:tc>
      </w:tr>
      <w:tr w:rsidR="00AD5035" w:rsidRPr="0071782F">
        <w:tc>
          <w:tcPr>
            <w:tcW w:w="4820" w:type="dxa"/>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Ratio étudiants/professeurs</w:t>
            </w:r>
          </w:p>
        </w:tc>
        <w:tc>
          <w:tcPr>
            <w:tcW w:w="1417"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080"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27</w:t>
            </w:r>
            <w:r w:rsidR="00881286" w:rsidRPr="0071782F">
              <w:rPr>
                <w:sz w:val="18"/>
                <w:lang w:val="fr-CH"/>
              </w:rPr>
              <w:t>,</w:t>
            </w:r>
            <w:r w:rsidRPr="0071782F">
              <w:rPr>
                <w:sz w:val="18"/>
                <w:lang w:val="fr-CH"/>
              </w:rPr>
              <w:t>26</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-18</w:t>
            </w:r>
            <w:r w:rsidR="00881286" w:rsidRPr="0071782F">
              <w:rPr>
                <w:sz w:val="18"/>
                <w:lang w:val="fr-CH"/>
              </w:rPr>
              <w:t>,</w:t>
            </w:r>
            <w:r w:rsidRPr="0071782F">
              <w:rPr>
                <w:sz w:val="18"/>
                <w:lang w:val="fr-CH"/>
              </w:rPr>
              <w:t>7</w:t>
            </w:r>
          </w:p>
        </w:tc>
      </w:tr>
      <w:tr w:rsidR="00AD5035" w:rsidRPr="0071782F">
        <w:tc>
          <w:tcPr>
            <w:tcW w:w="4820" w:type="dxa"/>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Nombre d’étudiants titulaires d’un premier diplôme universitaire</w:t>
            </w:r>
          </w:p>
        </w:tc>
        <w:tc>
          <w:tcPr>
            <w:tcW w:w="1417"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080"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417 262</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10</w:t>
            </w:r>
            <w:r w:rsidR="00881286" w:rsidRPr="0071782F">
              <w:rPr>
                <w:sz w:val="18"/>
                <w:lang w:val="fr-CH"/>
              </w:rPr>
              <w:t>,</w:t>
            </w:r>
            <w:r w:rsidRPr="0071782F">
              <w:rPr>
                <w:sz w:val="18"/>
                <w:lang w:val="fr-CH"/>
              </w:rPr>
              <w:t>3</w:t>
            </w:r>
          </w:p>
        </w:tc>
      </w:tr>
      <w:tr w:rsidR="00AD5035" w:rsidRPr="0071782F">
        <w:tc>
          <w:tcPr>
            <w:tcW w:w="4820" w:type="dxa"/>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Nombre d’étudiants titulaires d’une licence</w:t>
            </w:r>
          </w:p>
        </w:tc>
        <w:tc>
          <w:tcPr>
            <w:tcW w:w="1417"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080"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731 155</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8</w:t>
            </w:r>
            <w:r w:rsidR="00881286" w:rsidRPr="0071782F">
              <w:rPr>
                <w:sz w:val="18"/>
                <w:lang w:val="fr-CH"/>
              </w:rPr>
              <w:t>,</w:t>
            </w:r>
            <w:r w:rsidRPr="0071782F">
              <w:rPr>
                <w:sz w:val="18"/>
                <w:lang w:val="fr-CH"/>
              </w:rPr>
              <w:t>1</w:t>
            </w:r>
          </w:p>
        </w:tc>
      </w:tr>
      <w:tr w:rsidR="00AD5035" w:rsidRPr="0071782F">
        <w:tc>
          <w:tcPr>
            <w:tcW w:w="4820" w:type="dxa"/>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Nombre d’étudiants titulaires d’un mastère</w:t>
            </w:r>
          </w:p>
        </w:tc>
        <w:tc>
          <w:tcPr>
            <w:tcW w:w="1417"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080"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35 216</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16</w:t>
            </w:r>
            <w:r w:rsidR="00881286" w:rsidRPr="0071782F">
              <w:rPr>
                <w:sz w:val="18"/>
                <w:lang w:val="fr-CH"/>
              </w:rPr>
              <w:t>,</w:t>
            </w:r>
            <w:r w:rsidRPr="0071782F">
              <w:rPr>
                <w:sz w:val="18"/>
                <w:lang w:val="fr-CH"/>
              </w:rPr>
              <w:t>8</w:t>
            </w:r>
          </w:p>
        </w:tc>
      </w:tr>
      <w:tr w:rsidR="00AD5035" w:rsidRPr="0071782F">
        <w:tc>
          <w:tcPr>
            <w:tcW w:w="4820" w:type="dxa"/>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Nombre d’étudiants titulaires d’un doctorat professionnel</w:t>
            </w:r>
          </w:p>
        </w:tc>
        <w:tc>
          <w:tcPr>
            <w:tcW w:w="1417"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080"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10 786</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6</w:t>
            </w:r>
          </w:p>
        </w:tc>
      </w:tr>
      <w:tr w:rsidR="00AD5035" w:rsidRPr="0071782F">
        <w:tc>
          <w:tcPr>
            <w:tcW w:w="4820" w:type="dxa"/>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Nombre d’étudiants titulaires d’un doctorat spécialisé</w:t>
            </w:r>
          </w:p>
        </w:tc>
        <w:tc>
          <w:tcPr>
            <w:tcW w:w="1417"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080"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3 102</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13</w:t>
            </w:r>
            <w:r w:rsidR="00881286" w:rsidRPr="0071782F">
              <w:rPr>
                <w:sz w:val="18"/>
                <w:lang w:val="fr-CH"/>
              </w:rPr>
              <w:t>,</w:t>
            </w:r>
            <w:r w:rsidRPr="0071782F">
              <w:rPr>
                <w:sz w:val="18"/>
                <w:lang w:val="fr-CH"/>
              </w:rPr>
              <w:t>1</w:t>
            </w:r>
          </w:p>
        </w:tc>
      </w:tr>
      <w:tr w:rsidR="00AD5035" w:rsidRPr="0071782F">
        <w:tc>
          <w:tcPr>
            <w:tcW w:w="4820" w:type="dxa"/>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Proportion d’étudiants titulaires d’un mastère ou d’un diplôme supérieur par rapport à l’ensemble de la population étudiante</w:t>
            </w:r>
          </w:p>
        </w:tc>
        <w:tc>
          <w:tcPr>
            <w:tcW w:w="1417"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080"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4</w:t>
            </w:r>
            <w:r w:rsidR="00881286" w:rsidRPr="0071782F">
              <w:rPr>
                <w:sz w:val="18"/>
                <w:lang w:val="fr-CH"/>
              </w:rPr>
              <w:t>,</w:t>
            </w:r>
            <w:r w:rsidRPr="0071782F">
              <w:rPr>
                <w:sz w:val="18"/>
                <w:lang w:val="fr-CH"/>
              </w:rPr>
              <w:t>1</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0</w:t>
            </w:r>
            <w:r w:rsidRPr="0071782F">
              <w:rPr>
                <w:i/>
                <w:sz w:val="18"/>
                <w:vertAlign w:val="superscript"/>
                <w:lang w:val="fr-CH"/>
              </w:rPr>
              <w:t>(1)</w:t>
            </w:r>
          </w:p>
        </w:tc>
      </w:tr>
      <w:tr w:rsidR="00AD5035" w:rsidRPr="0071782F">
        <w:tc>
          <w:tcPr>
            <w:tcW w:w="4820" w:type="dxa"/>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Proportion d’étudiants inscrits en sciences humaines par rapport à l’ensemble de la population étudiante</w:t>
            </w:r>
          </w:p>
        </w:tc>
        <w:tc>
          <w:tcPr>
            <w:tcW w:w="1417"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080"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45</w:t>
            </w:r>
            <w:r w:rsidR="00881286" w:rsidRPr="0071782F">
              <w:rPr>
                <w:sz w:val="18"/>
                <w:lang w:val="fr-CH"/>
              </w:rPr>
              <w:t>,</w:t>
            </w:r>
            <w:r w:rsidRPr="0071782F">
              <w:rPr>
                <w:sz w:val="18"/>
                <w:lang w:val="fr-CH"/>
              </w:rPr>
              <w:t>2</w:t>
            </w:r>
          </w:p>
        </w:tc>
        <w:tc>
          <w:tcPr>
            <w:tcW w:w="1188" w:type="dxa"/>
            <w:shd w:val="clear" w:color="auto" w:fill="auto"/>
            <w:vAlign w:val="bottom"/>
          </w:tcPr>
          <w:p w:rsidR="00AD5035" w:rsidRPr="0071782F" w:rsidRDefault="00760C0E"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4</w:t>
            </w:r>
            <w:r w:rsidR="00AD5035" w:rsidRPr="0071782F">
              <w:rPr>
                <w:i/>
                <w:sz w:val="18"/>
                <w:vertAlign w:val="superscript"/>
                <w:lang w:val="fr-CH"/>
              </w:rPr>
              <w:t>(1)</w:t>
            </w:r>
          </w:p>
        </w:tc>
      </w:tr>
      <w:tr w:rsidR="00AD5035" w:rsidRPr="0071782F">
        <w:tc>
          <w:tcPr>
            <w:tcW w:w="4820" w:type="dxa"/>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Proportion d’étudiants inscrits en sciences pures par rapport à l’ensemble de la population étudiante</w:t>
            </w:r>
          </w:p>
        </w:tc>
        <w:tc>
          <w:tcPr>
            <w:tcW w:w="1417"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080"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8</w:t>
            </w:r>
            <w:r w:rsidR="00881286" w:rsidRPr="0071782F">
              <w:rPr>
                <w:sz w:val="18"/>
                <w:lang w:val="fr-CH"/>
              </w:rPr>
              <w:t>,</w:t>
            </w:r>
            <w:r w:rsidRPr="0071782F">
              <w:rPr>
                <w:sz w:val="18"/>
                <w:lang w:val="fr-CH"/>
              </w:rPr>
              <w:t>6</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w:t>
            </w:r>
            <w:r w:rsidR="00881286" w:rsidRPr="0071782F">
              <w:rPr>
                <w:sz w:val="18"/>
                <w:lang w:val="fr-CH"/>
              </w:rPr>
              <w:t>,</w:t>
            </w:r>
            <w:r w:rsidRPr="0071782F">
              <w:rPr>
                <w:sz w:val="18"/>
                <w:lang w:val="fr-CH"/>
              </w:rPr>
              <w:t>3</w:t>
            </w:r>
            <w:r w:rsidRPr="0071782F">
              <w:rPr>
                <w:i/>
                <w:sz w:val="18"/>
                <w:vertAlign w:val="superscript"/>
                <w:lang w:val="fr-CH"/>
              </w:rPr>
              <w:t>(1)</w:t>
            </w:r>
          </w:p>
        </w:tc>
      </w:tr>
      <w:tr w:rsidR="00AD5035" w:rsidRPr="0071782F">
        <w:tc>
          <w:tcPr>
            <w:tcW w:w="4820" w:type="dxa"/>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Proportion d’étudiants inscrits en sciences agronomiques et vétérinaires par rapport à l’ensemble de la population étudiante</w:t>
            </w:r>
          </w:p>
        </w:tc>
        <w:tc>
          <w:tcPr>
            <w:tcW w:w="1417"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080"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6</w:t>
            </w:r>
            <w:r w:rsidR="00881286" w:rsidRPr="0071782F">
              <w:rPr>
                <w:sz w:val="18"/>
                <w:lang w:val="fr-CH"/>
              </w:rPr>
              <w:t>,</w:t>
            </w:r>
            <w:r w:rsidRPr="0071782F">
              <w:rPr>
                <w:sz w:val="18"/>
                <w:lang w:val="fr-CH"/>
              </w:rPr>
              <w:t>9</w:t>
            </w:r>
          </w:p>
        </w:tc>
        <w:tc>
          <w:tcPr>
            <w:tcW w:w="1188" w:type="dxa"/>
            <w:shd w:val="clear" w:color="auto" w:fill="auto"/>
            <w:vAlign w:val="bottom"/>
          </w:tcPr>
          <w:p w:rsidR="00AD5035" w:rsidRPr="0071782F" w:rsidRDefault="00760C0E" w:rsidP="00881286">
            <w:pPr>
              <w:suppressAutoHyphens w:val="0"/>
              <w:spacing w:before="40" w:after="40" w:line="220" w:lineRule="exact"/>
              <w:jc w:val="right"/>
              <w:rPr>
                <w:sz w:val="18"/>
                <w:lang w:val="fr-CH"/>
              </w:rPr>
            </w:pPr>
            <w:r w:rsidRPr="0071782F">
              <w:rPr>
                <w:sz w:val="18"/>
                <w:lang w:val="fr-CH"/>
              </w:rPr>
              <w:t>-5</w:t>
            </w:r>
            <w:r w:rsidR="00881286" w:rsidRPr="0071782F">
              <w:rPr>
                <w:sz w:val="18"/>
                <w:lang w:val="fr-CH"/>
              </w:rPr>
              <w:t>,</w:t>
            </w:r>
            <w:r w:rsidRPr="0071782F">
              <w:rPr>
                <w:sz w:val="18"/>
                <w:lang w:val="fr-CH"/>
              </w:rPr>
              <w:t>7</w:t>
            </w:r>
            <w:r w:rsidR="00AD5035" w:rsidRPr="0071782F">
              <w:rPr>
                <w:i/>
                <w:sz w:val="18"/>
                <w:vertAlign w:val="superscript"/>
                <w:lang w:val="fr-CH"/>
              </w:rPr>
              <w:t>(1)</w:t>
            </w:r>
          </w:p>
        </w:tc>
      </w:tr>
      <w:tr w:rsidR="00AD5035" w:rsidRPr="0071782F">
        <w:tc>
          <w:tcPr>
            <w:tcW w:w="4820" w:type="dxa"/>
            <w:tcBorders>
              <w:bottom w:val="nil"/>
            </w:tcBorders>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 xml:space="preserve">Proportion d’étudiants inscrits dans les disciplines techniques et en ingénierie par rapport à l’ensemble de la population étudiante </w:t>
            </w:r>
          </w:p>
        </w:tc>
        <w:tc>
          <w:tcPr>
            <w:tcW w:w="1417" w:type="dxa"/>
            <w:tcBorders>
              <w:bottom w:val="nil"/>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080" w:type="dxa"/>
            <w:tcBorders>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32</w:t>
            </w:r>
            <w:r w:rsidR="00881286" w:rsidRPr="0071782F">
              <w:rPr>
                <w:sz w:val="18"/>
                <w:lang w:val="fr-CH"/>
              </w:rPr>
              <w:t>,</w:t>
            </w:r>
            <w:r w:rsidRPr="0071782F">
              <w:rPr>
                <w:sz w:val="18"/>
                <w:lang w:val="fr-CH"/>
              </w:rPr>
              <w:t>9</w:t>
            </w:r>
          </w:p>
        </w:tc>
        <w:tc>
          <w:tcPr>
            <w:tcW w:w="1188" w:type="dxa"/>
            <w:tcBorders>
              <w:bottom w:val="nil"/>
            </w:tcBorders>
            <w:shd w:val="clear" w:color="auto" w:fill="auto"/>
            <w:vAlign w:val="bottom"/>
          </w:tcPr>
          <w:p w:rsidR="00AD5035" w:rsidRPr="0071782F" w:rsidRDefault="00760C0E" w:rsidP="00881286">
            <w:pPr>
              <w:suppressAutoHyphens w:val="0"/>
              <w:spacing w:before="40" w:after="40" w:line="220" w:lineRule="exact"/>
              <w:jc w:val="right"/>
              <w:rPr>
                <w:sz w:val="18"/>
                <w:lang w:val="fr-CH"/>
              </w:rPr>
            </w:pPr>
            <w:r w:rsidRPr="0071782F">
              <w:rPr>
                <w:sz w:val="18"/>
                <w:lang w:val="fr-CH"/>
              </w:rPr>
              <w:t>2</w:t>
            </w:r>
            <w:r w:rsidR="00881286" w:rsidRPr="0071782F">
              <w:rPr>
                <w:sz w:val="18"/>
                <w:lang w:val="fr-CH"/>
              </w:rPr>
              <w:t>,</w:t>
            </w:r>
            <w:r w:rsidRPr="0071782F">
              <w:rPr>
                <w:sz w:val="18"/>
                <w:lang w:val="fr-CH"/>
              </w:rPr>
              <w:t>5</w:t>
            </w:r>
            <w:r w:rsidR="00AD5035" w:rsidRPr="0071782F">
              <w:rPr>
                <w:i/>
                <w:sz w:val="18"/>
                <w:vertAlign w:val="superscript"/>
                <w:lang w:val="fr-CH"/>
              </w:rPr>
              <w:t>(1)</w:t>
            </w:r>
          </w:p>
        </w:tc>
      </w:tr>
      <w:tr w:rsidR="00AD5035" w:rsidRPr="0071782F">
        <w:tc>
          <w:tcPr>
            <w:tcW w:w="4820" w:type="dxa"/>
            <w:tcBorders>
              <w:top w:val="nil"/>
              <w:bottom w:val="nil"/>
            </w:tcBorders>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Proportion d’étudiants inscrits en médecine par rapport à l’ensemble de la population étudiante</w:t>
            </w:r>
          </w:p>
        </w:tc>
        <w:tc>
          <w:tcPr>
            <w:tcW w:w="1417" w:type="dxa"/>
            <w:tcBorders>
              <w:top w:val="nil"/>
              <w:bottom w:val="nil"/>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080" w:type="dxa"/>
            <w:tcBorders>
              <w:top w:val="nil"/>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6</w:t>
            </w:r>
          </w:p>
        </w:tc>
        <w:tc>
          <w:tcPr>
            <w:tcW w:w="1188" w:type="dxa"/>
            <w:tcBorders>
              <w:top w:val="nil"/>
              <w:bottom w:val="nil"/>
            </w:tcBorders>
            <w:shd w:val="clear" w:color="auto" w:fill="auto"/>
            <w:vAlign w:val="bottom"/>
          </w:tcPr>
          <w:p w:rsidR="00AD5035" w:rsidRPr="0071782F" w:rsidRDefault="00760C0E" w:rsidP="00881286">
            <w:pPr>
              <w:suppressAutoHyphens w:val="0"/>
              <w:spacing w:before="40" w:after="40" w:line="220" w:lineRule="exact"/>
              <w:jc w:val="right"/>
              <w:rPr>
                <w:sz w:val="18"/>
                <w:lang w:val="fr-CH"/>
              </w:rPr>
            </w:pPr>
            <w:r w:rsidRPr="0071782F">
              <w:rPr>
                <w:sz w:val="18"/>
                <w:lang w:val="fr-CH"/>
              </w:rPr>
              <w:t>-4</w:t>
            </w:r>
            <w:r w:rsidR="00881286" w:rsidRPr="0071782F">
              <w:rPr>
                <w:sz w:val="18"/>
                <w:lang w:val="fr-CH"/>
              </w:rPr>
              <w:t>,</w:t>
            </w:r>
            <w:r w:rsidRPr="0071782F">
              <w:rPr>
                <w:sz w:val="18"/>
                <w:lang w:val="fr-CH"/>
              </w:rPr>
              <w:t>8</w:t>
            </w:r>
            <w:r w:rsidR="00AD5035" w:rsidRPr="0071782F">
              <w:rPr>
                <w:i/>
                <w:sz w:val="18"/>
                <w:vertAlign w:val="superscript"/>
                <w:lang w:val="fr-CH"/>
              </w:rPr>
              <w:t>(1)</w:t>
            </w:r>
          </w:p>
        </w:tc>
      </w:tr>
      <w:tr w:rsidR="00AD5035" w:rsidRPr="0071782F">
        <w:tc>
          <w:tcPr>
            <w:tcW w:w="4820" w:type="dxa"/>
            <w:tcBorders>
              <w:top w:val="nil"/>
              <w:bottom w:val="single" w:sz="4" w:space="0" w:color="auto"/>
            </w:tcBorders>
            <w:shd w:val="clear" w:color="auto" w:fill="auto"/>
            <w:vAlign w:val="bottom"/>
          </w:tcPr>
          <w:p w:rsidR="00AD5035" w:rsidRPr="0071782F" w:rsidRDefault="00196FA5" w:rsidP="00881286">
            <w:pPr>
              <w:keepNext/>
              <w:keepLines/>
              <w:suppressAutoHyphens w:val="0"/>
              <w:spacing w:before="40" w:after="40" w:line="220" w:lineRule="exact"/>
              <w:rPr>
                <w:sz w:val="18"/>
                <w:lang w:val="fr-CH"/>
              </w:rPr>
            </w:pPr>
            <w:r w:rsidRPr="0071782F">
              <w:rPr>
                <w:sz w:val="18"/>
                <w:lang w:val="fr-CH"/>
              </w:rPr>
              <w:t>Proportion d’étudiants inscrits dans les disciplines artistiques par rapport à l’ensemble de la population étudiante</w:t>
            </w:r>
          </w:p>
        </w:tc>
        <w:tc>
          <w:tcPr>
            <w:tcW w:w="1417" w:type="dxa"/>
            <w:tcBorders>
              <w:top w:val="nil"/>
              <w:bottom w:val="single" w:sz="4" w:space="0" w:color="auto"/>
            </w:tcBorders>
            <w:shd w:val="clear" w:color="auto" w:fill="auto"/>
            <w:vAlign w:val="bottom"/>
          </w:tcPr>
          <w:p w:rsidR="00AD5035" w:rsidRPr="0071782F" w:rsidRDefault="00AD5035" w:rsidP="00B71235">
            <w:pPr>
              <w:keepNext/>
              <w:keepLines/>
              <w:suppressAutoHyphens w:val="0"/>
              <w:spacing w:before="40" w:after="40" w:line="220" w:lineRule="exact"/>
              <w:ind w:left="57"/>
              <w:rPr>
                <w:sz w:val="18"/>
                <w:lang w:val="fr-CH"/>
              </w:rPr>
            </w:pPr>
            <w:r w:rsidRPr="0071782F">
              <w:rPr>
                <w:sz w:val="18"/>
                <w:lang w:val="fr-CH"/>
              </w:rPr>
              <w:t>%</w:t>
            </w:r>
          </w:p>
        </w:tc>
        <w:tc>
          <w:tcPr>
            <w:tcW w:w="1080" w:type="dxa"/>
            <w:tcBorders>
              <w:top w:val="nil"/>
              <w:bottom w:val="single" w:sz="4" w:space="0" w:color="auto"/>
            </w:tcBorders>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2</w:t>
            </w:r>
            <w:r w:rsidR="00881286" w:rsidRPr="0071782F">
              <w:rPr>
                <w:sz w:val="18"/>
                <w:lang w:val="fr-CH"/>
              </w:rPr>
              <w:t>,</w:t>
            </w:r>
            <w:r w:rsidRPr="0071782F">
              <w:rPr>
                <w:sz w:val="18"/>
                <w:lang w:val="fr-CH"/>
              </w:rPr>
              <w:t>8</w:t>
            </w:r>
          </w:p>
        </w:tc>
        <w:tc>
          <w:tcPr>
            <w:tcW w:w="1188" w:type="dxa"/>
            <w:tcBorders>
              <w:top w:val="nil"/>
              <w:bottom w:val="single" w:sz="4" w:space="0" w:color="auto"/>
            </w:tcBorders>
            <w:shd w:val="clear" w:color="auto" w:fill="auto"/>
            <w:vAlign w:val="bottom"/>
          </w:tcPr>
          <w:p w:rsidR="00AD5035" w:rsidRPr="0071782F" w:rsidRDefault="00760C0E" w:rsidP="00881286">
            <w:pPr>
              <w:keepNext/>
              <w:keepLines/>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4</w:t>
            </w:r>
            <w:r w:rsidR="00AD5035" w:rsidRPr="0071782F">
              <w:rPr>
                <w:i/>
                <w:sz w:val="18"/>
                <w:vertAlign w:val="superscript"/>
                <w:lang w:val="fr-CH"/>
              </w:rPr>
              <w:t>(1)</w:t>
            </w:r>
          </w:p>
        </w:tc>
      </w:tr>
      <w:tr w:rsidR="00AD5035" w:rsidRPr="0071782F">
        <w:tc>
          <w:tcPr>
            <w:tcW w:w="4820" w:type="dxa"/>
            <w:tcBorders>
              <w:top w:val="single" w:sz="4" w:space="0" w:color="auto"/>
              <w:bottom w:val="single" w:sz="12" w:space="0" w:color="auto"/>
            </w:tcBorders>
            <w:shd w:val="clear" w:color="auto" w:fill="auto"/>
            <w:vAlign w:val="bottom"/>
          </w:tcPr>
          <w:p w:rsidR="00AD5035" w:rsidRPr="0071782F" w:rsidRDefault="00196FA5" w:rsidP="00782B71">
            <w:pPr>
              <w:keepNext/>
              <w:keepLines/>
              <w:suppressAutoHyphens w:val="0"/>
              <w:spacing w:before="80" w:after="80" w:line="220" w:lineRule="exact"/>
              <w:ind w:left="284"/>
              <w:rPr>
                <w:b/>
                <w:sz w:val="18"/>
                <w:lang w:val="fr-CH"/>
              </w:rPr>
            </w:pPr>
            <w:r w:rsidRPr="0071782F">
              <w:rPr>
                <w:b/>
                <w:sz w:val="18"/>
                <w:lang w:val="fr-CH"/>
              </w:rPr>
              <w:t>Nombre total de diplômés</w:t>
            </w:r>
          </w:p>
        </w:tc>
        <w:tc>
          <w:tcPr>
            <w:tcW w:w="1417" w:type="dxa"/>
            <w:tcBorders>
              <w:top w:val="single" w:sz="4" w:space="0" w:color="auto"/>
              <w:bottom w:val="single" w:sz="12" w:space="0" w:color="auto"/>
            </w:tcBorders>
            <w:shd w:val="clear" w:color="auto" w:fill="auto"/>
            <w:vAlign w:val="bottom"/>
          </w:tcPr>
          <w:p w:rsidR="00AD5035" w:rsidRPr="0071782F" w:rsidRDefault="00AD5035" w:rsidP="00B71235">
            <w:pPr>
              <w:keepNext/>
              <w:keepLines/>
              <w:suppressAutoHyphens w:val="0"/>
              <w:spacing w:before="80" w:after="80" w:line="220" w:lineRule="exact"/>
              <w:ind w:left="57"/>
              <w:rPr>
                <w:b/>
                <w:sz w:val="18"/>
                <w:lang w:val="fr-CH"/>
              </w:rPr>
            </w:pPr>
            <w:r w:rsidRPr="0071782F">
              <w:rPr>
                <w:b/>
                <w:sz w:val="18"/>
                <w:lang w:val="fr-CH"/>
              </w:rPr>
              <w:t>Person</w:t>
            </w:r>
            <w:r w:rsidR="00196FA5" w:rsidRPr="0071782F">
              <w:rPr>
                <w:b/>
                <w:sz w:val="18"/>
                <w:lang w:val="fr-CH"/>
              </w:rPr>
              <w:t>nes</w:t>
            </w:r>
            <w:r w:rsidRPr="0071782F">
              <w:rPr>
                <w:b/>
                <w:sz w:val="18"/>
                <w:lang w:val="fr-CH"/>
              </w:rPr>
              <w:t xml:space="preserve"> (</w:t>
            </w:r>
            <w:r w:rsidR="00196FA5" w:rsidRPr="0071782F">
              <w:rPr>
                <w:b/>
                <w:sz w:val="18"/>
                <w:lang w:val="fr-CH"/>
              </w:rPr>
              <w:t>milliers</w:t>
            </w:r>
            <w:r w:rsidRPr="0071782F">
              <w:rPr>
                <w:b/>
                <w:sz w:val="18"/>
                <w:lang w:val="fr-CH"/>
              </w:rPr>
              <w:t>)</w:t>
            </w:r>
          </w:p>
        </w:tc>
        <w:tc>
          <w:tcPr>
            <w:tcW w:w="1080" w:type="dxa"/>
            <w:tcBorders>
              <w:top w:val="single" w:sz="4" w:space="0" w:color="auto"/>
              <w:bottom w:val="single" w:sz="12" w:space="0" w:color="auto"/>
            </w:tcBorders>
            <w:shd w:val="clear" w:color="auto" w:fill="auto"/>
            <w:vAlign w:val="bottom"/>
          </w:tcPr>
          <w:p w:rsidR="00AD5035" w:rsidRPr="0071782F" w:rsidRDefault="00AD5035" w:rsidP="00881286">
            <w:pPr>
              <w:keepNext/>
              <w:keepLines/>
              <w:suppressAutoHyphens w:val="0"/>
              <w:spacing w:before="80" w:after="80" w:line="220" w:lineRule="exact"/>
              <w:jc w:val="right"/>
              <w:rPr>
                <w:b/>
                <w:sz w:val="18"/>
                <w:lang w:val="fr-CH"/>
              </w:rPr>
            </w:pPr>
            <w:r w:rsidRPr="0071782F">
              <w:rPr>
                <w:b/>
                <w:sz w:val="18"/>
                <w:lang w:val="fr-CH"/>
              </w:rPr>
              <w:t>175</w:t>
            </w:r>
          </w:p>
        </w:tc>
        <w:tc>
          <w:tcPr>
            <w:tcW w:w="1188" w:type="dxa"/>
            <w:tcBorders>
              <w:top w:val="single" w:sz="4" w:space="0" w:color="auto"/>
              <w:bottom w:val="single" w:sz="12" w:space="0" w:color="auto"/>
            </w:tcBorders>
            <w:shd w:val="clear" w:color="auto" w:fill="auto"/>
            <w:vAlign w:val="bottom"/>
          </w:tcPr>
          <w:p w:rsidR="00AD5035" w:rsidRPr="0071782F" w:rsidRDefault="00AD5035" w:rsidP="00881286">
            <w:pPr>
              <w:keepNext/>
              <w:keepLines/>
              <w:suppressAutoHyphens w:val="0"/>
              <w:spacing w:before="80" w:after="80" w:line="220" w:lineRule="exact"/>
              <w:jc w:val="right"/>
              <w:rPr>
                <w:b/>
                <w:sz w:val="18"/>
                <w:lang w:val="fr-CH"/>
              </w:rPr>
            </w:pPr>
            <w:r w:rsidRPr="0071782F">
              <w:rPr>
                <w:b/>
                <w:sz w:val="18"/>
                <w:lang w:val="fr-CH"/>
              </w:rPr>
              <w:t>-18</w:t>
            </w:r>
            <w:r w:rsidR="00881286" w:rsidRPr="0071782F">
              <w:rPr>
                <w:b/>
                <w:sz w:val="18"/>
                <w:lang w:val="fr-CH"/>
              </w:rPr>
              <w:t>,</w:t>
            </w:r>
            <w:r w:rsidRPr="0071782F">
              <w:rPr>
                <w:b/>
                <w:sz w:val="18"/>
                <w:lang w:val="fr-CH"/>
              </w:rPr>
              <w:t>1</w:t>
            </w:r>
            <w:r w:rsidRPr="0071782F">
              <w:rPr>
                <w:i/>
                <w:sz w:val="18"/>
                <w:vertAlign w:val="superscript"/>
                <w:lang w:val="fr-CH"/>
              </w:rPr>
              <w:t>(1)</w:t>
            </w:r>
          </w:p>
        </w:tc>
      </w:tr>
    </w:tbl>
    <w:p w:rsidR="00AD5035" w:rsidRPr="0071782F" w:rsidRDefault="00AD5035" w:rsidP="009C2132">
      <w:pPr>
        <w:pStyle w:val="SingleTxtG"/>
        <w:spacing w:before="120" w:after="0"/>
        <w:ind w:left="0" w:firstLine="170"/>
        <w:rPr>
          <w:sz w:val="18"/>
          <w:szCs w:val="18"/>
          <w:lang w:val="fr-CH"/>
        </w:rPr>
      </w:pPr>
      <w:r w:rsidRPr="0071782F">
        <w:rPr>
          <w:i/>
          <w:sz w:val="18"/>
          <w:szCs w:val="18"/>
          <w:lang w:val="fr-CH"/>
        </w:rPr>
        <w:t>Source</w:t>
      </w:r>
      <w:r w:rsidR="008F7D33" w:rsidRPr="0071782F">
        <w:rPr>
          <w:i/>
          <w:sz w:val="18"/>
          <w:szCs w:val="18"/>
          <w:lang w:val="fr-CH"/>
        </w:rPr>
        <w:t>:</w:t>
      </w:r>
      <w:r w:rsidRPr="0071782F">
        <w:rPr>
          <w:sz w:val="18"/>
          <w:szCs w:val="18"/>
          <w:lang w:val="fr-CH"/>
        </w:rPr>
        <w:t xml:space="preserve"> </w:t>
      </w:r>
      <w:r w:rsidR="00196FA5" w:rsidRPr="0071782F">
        <w:rPr>
          <w:sz w:val="18"/>
          <w:szCs w:val="18"/>
          <w:lang w:val="fr-CH"/>
        </w:rPr>
        <w:t xml:space="preserve">Université islamique </w:t>
      </w:r>
      <w:r w:rsidRPr="0071782F">
        <w:rPr>
          <w:sz w:val="18"/>
          <w:szCs w:val="18"/>
          <w:lang w:val="fr-CH"/>
        </w:rPr>
        <w:t xml:space="preserve">Azad. </w:t>
      </w:r>
    </w:p>
    <w:p w:rsidR="00AD5035" w:rsidRPr="0071782F" w:rsidRDefault="00AD5035" w:rsidP="00745B3F">
      <w:pPr>
        <w:pStyle w:val="SingleTxtG"/>
        <w:spacing w:after="240"/>
        <w:ind w:left="0" w:right="0" w:firstLine="170"/>
        <w:rPr>
          <w:sz w:val="18"/>
          <w:szCs w:val="18"/>
          <w:lang w:val="fr-CH"/>
        </w:rPr>
      </w:pPr>
      <w:r w:rsidRPr="0071782F">
        <w:rPr>
          <w:i/>
          <w:sz w:val="18"/>
          <w:szCs w:val="18"/>
          <w:vertAlign w:val="superscript"/>
          <w:lang w:val="fr-CH"/>
        </w:rPr>
        <w:t>(1)</w:t>
      </w:r>
      <w:r w:rsidRPr="0071782F">
        <w:rPr>
          <w:sz w:val="18"/>
          <w:szCs w:val="18"/>
          <w:lang w:val="fr-CH"/>
        </w:rPr>
        <w:t xml:space="preserve">  </w:t>
      </w:r>
      <w:r w:rsidR="00196FA5" w:rsidRPr="0071782F">
        <w:rPr>
          <w:sz w:val="18"/>
          <w:szCs w:val="18"/>
          <w:lang w:val="fr-CH"/>
        </w:rPr>
        <w:t>Variation en pourcentage calculée sur la base des informations révisées pour l’année antérieure présentées par l’organisation co</w:t>
      </w:r>
      <w:r w:rsidR="00A05045" w:rsidRPr="0071782F">
        <w:rPr>
          <w:sz w:val="18"/>
          <w:szCs w:val="18"/>
          <w:lang w:val="fr-CH"/>
        </w:rPr>
        <w:t>ncernée</w:t>
      </w:r>
      <w:r w:rsidRPr="0071782F">
        <w:rPr>
          <w:sz w:val="18"/>
          <w:szCs w:val="18"/>
          <w:lang w:val="fr-CH"/>
        </w:rPr>
        <w:t>.</w:t>
      </w:r>
    </w:p>
    <w:p w:rsidR="00AD5035" w:rsidRPr="0071782F" w:rsidRDefault="00AD5035" w:rsidP="00930639">
      <w:pPr>
        <w:pStyle w:val="H23G"/>
        <w:rPr>
          <w:lang w:val="fr-CH"/>
        </w:rPr>
      </w:pPr>
      <w:r w:rsidRPr="0071782F">
        <w:rPr>
          <w:lang w:val="fr-CH"/>
        </w:rPr>
        <w:tab/>
      </w:r>
      <w:r w:rsidRPr="0071782F">
        <w:rPr>
          <w:lang w:val="fr-CH"/>
        </w:rPr>
        <w:tab/>
        <w:t>Indicat</w:t>
      </w:r>
      <w:r w:rsidR="00196FA5" w:rsidRPr="0071782F">
        <w:rPr>
          <w:lang w:val="fr-CH"/>
        </w:rPr>
        <w:t>eu</w:t>
      </w:r>
      <w:r w:rsidRPr="0071782F">
        <w:rPr>
          <w:lang w:val="fr-CH"/>
        </w:rPr>
        <w:t xml:space="preserve">rs </w:t>
      </w:r>
      <w:r w:rsidR="00196FA5" w:rsidRPr="0071782F">
        <w:rPr>
          <w:lang w:val="fr-CH"/>
        </w:rPr>
        <w:t xml:space="preserve">de l’enseignement supérieur en </w:t>
      </w:r>
      <w:r w:rsidRPr="0071782F">
        <w:rPr>
          <w:lang w:val="fr-CH"/>
        </w:rPr>
        <w:t>2005</w:t>
      </w:r>
      <w:r w:rsidR="00196FA5" w:rsidRPr="0071782F">
        <w:rPr>
          <w:lang w:val="fr-CH"/>
        </w:rPr>
        <w:t>-</w:t>
      </w:r>
      <w:r w:rsidRPr="0071782F">
        <w:rPr>
          <w:lang w:val="fr-CH"/>
        </w:rPr>
        <w:t>2006 (</w:t>
      </w:r>
      <w:r w:rsidR="00196FA5" w:rsidRPr="0071782F">
        <w:rPr>
          <w:lang w:val="fr-CH"/>
        </w:rPr>
        <w:t xml:space="preserve">à l’exclusion de l’Université islamique </w:t>
      </w:r>
      <w:r w:rsidRPr="0071782F">
        <w:rPr>
          <w:lang w:val="fr-CH"/>
        </w:rPr>
        <w:t>Azad)</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522"/>
        <w:gridCol w:w="1763"/>
        <w:gridCol w:w="1086"/>
        <w:gridCol w:w="1134"/>
      </w:tblGrid>
      <w:tr w:rsidR="00AD5035" w:rsidRPr="0071782F">
        <w:trPr>
          <w:tblHeader/>
        </w:trPr>
        <w:tc>
          <w:tcPr>
            <w:tcW w:w="4522" w:type="dxa"/>
            <w:tcBorders>
              <w:top w:val="single" w:sz="4" w:space="0" w:color="auto"/>
              <w:bottom w:val="single" w:sz="12" w:space="0" w:color="auto"/>
            </w:tcBorders>
            <w:shd w:val="clear" w:color="auto" w:fill="auto"/>
            <w:vAlign w:val="bottom"/>
          </w:tcPr>
          <w:p w:rsidR="00AD5035" w:rsidRPr="0071782F" w:rsidRDefault="00AD5035" w:rsidP="00881286">
            <w:pPr>
              <w:suppressAutoHyphens w:val="0"/>
              <w:spacing w:before="80" w:after="80" w:line="200" w:lineRule="exact"/>
              <w:rPr>
                <w:i/>
                <w:sz w:val="16"/>
                <w:lang w:val="fr-CH"/>
              </w:rPr>
            </w:pPr>
            <w:r w:rsidRPr="0071782F">
              <w:rPr>
                <w:i/>
                <w:sz w:val="16"/>
                <w:lang w:val="fr-CH"/>
              </w:rPr>
              <w:t>Indicat</w:t>
            </w:r>
            <w:r w:rsidR="00196FA5" w:rsidRPr="0071782F">
              <w:rPr>
                <w:i/>
                <w:sz w:val="16"/>
                <w:lang w:val="fr-CH"/>
              </w:rPr>
              <w:t>eu</w:t>
            </w:r>
            <w:r w:rsidRPr="0071782F">
              <w:rPr>
                <w:i/>
                <w:sz w:val="16"/>
                <w:lang w:val="fr-CH"/>
              </w:rPr>
              <w:t>r</w:t>
            </w:r>
          </w:p>
        </w:tc>
        <w:tc>
          <w:tcPr>
            <w:tcW w:w="1763" w:type="dxa"/>
            <w:tcBorders>
              <w:top w:val="single" w:sz="4" w:space="0" w:color="auto"/>
              <w:bottom w:val="single" w:sz="12" w:space="0" w:color="auto"/>
            </w:tcBorders>
            <w:shd w:val="clear" w:color="auto" w:fill="auto"/>
            <w:vAlign w:val="bottom"/>
          </w:tcPr>
          <w:p w:rsidR="00AD5035" w:rsidRPr="0071782F" w:rsidRDefault="00AD5035" w:rsidP="00B71235">
            <w:pPr>
              <w:suppressAutoHyphens w:val="0"/>
              <w:spacing w:before="80" w:after="80" w:line="200" w:lineRule="exact"/>
              <w:ind w:left="57"/>
              <w:rPr>
                <w:i/>
                <w:sz w:val="16"/>
                <w:lang w:val="fr-CH"/>
              </w:rPr>
            </w:pPr>
            <w:r w:rsidRPr="0071782F">
              <w:rPr>
                <w:i/>
                <w:sz w:val="16"/>
                <w:lang w:val="fr-CH"/>
              </w:rPr>
              <w:t>Unit</w:t>
            </w:r>
            <w:r w:rsidR="00196FA5" w:rsidRPr="0071782F">
              <w:rPr>
                <w:i/>
                <w:sz w:val="16"/>
                <w:lang w:val="fr-CH"/>
              </w:rPr>
              <w:t>é</w:t>
            </w:r>
          </w:p>
        </w:tc>
        <w:tc>
          <w:tcPr>
            <w:tcW w:w="1086" w:type="dxa"/>
            <w:tcBorders>
              <w:top w:val="single" w:sz="4" w:space="0" w:color="auto"/>
              <w:bottom w:val="single" w:sz="12" w:space="0" w:color="auto"/>
            </w:tcBorders>
            <w:shd w:val="clear" w:color="auto" w:fill="auto"/>
            <w:vAlign w:val="bottom"/>
          </w:tcPr>
          <w:p w:rsidR="00AD5035" w:rsidRPr="0071782F" w:rsidRDefault="00AD5035" w:rsidP="00881286">
            <w:pPr>
              <w:suppressAutoHyphens w:val="0"/>
              <w:spacing w:before="80" w:after="80" w:line="200" w:lineRule="exact"/>
              <w:jc w:val="right"/>
              <w:rPr>
                <w:i/>
                <w:sz w:val="16"/>
                <w:lang w:val="fr-CH"/>
              </w:rPr>
            </w:pPr>
            <w:r w:rsidRPr="0071782F">
              <w:rPr>
                <w:i/>
                <w:sz w:val="16"/>
                <w:lang w:val="fr-CH"/>
              </w:rPr>
              <w:t>No</w:t>
            </w:r>
            <w:r w:rsidR="00196FA5" w:rsidRPr="0071782F">
              <w:rPr>
                <w:i/>
                <w:sz w:val="16"/>
                <w:lang w:val="fr-CH"/>
              </w:rPr>
              <w:t>mbre</w:t>
            </w:r>
            <w:r w:rsidRPr="0071782F">
              <w:rPr>
                <w:i/>
                <w:sz w:val="16"/>
                <w:lang w:val="fr-CH"/>
              </w:rPr>
              <w:t>/</w:t>
            </w:r>
            <w:r w:rsidR="00196FA5" w:rsidRPr="0071782F">
              <w:rPr>
                <w:i/>
                <w:sz w:val="16"/>
                <w:lang w:val="fr-CH"/>
              </w:rPr>
              <w:t xml:space="preserve">valeur </w:t>
            </w:r>
          </w:p>
        </w:tc>
        <w:tc>
          <w:tcPr>
            <w:tcW w:w="1134" w:type="dxa"/>
            <w:tcBorders>
              <w:top w:val="single" w:sz="4" w:space="0" w:color="auto"/>
              <w:bottom w:val="single" w:sz="12" w:space="0" w:color="auto"/>
            </w:tcBorders>
            <w:shd w:val="clear" w:color="auto" w:fill="auto"/>
            <w:vAlign w:val="bottom"/>
          </w:tcPr>
          <w:p w:rsidR="00AD5035" w:rsidRPr="0071782F" w:rsidRDefault="00196FA5" w:rsidP="00881286">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AD5035" w:rsidRPr="0071782F">
        <w:tc>
          <w:tcPr>
            <w:tcW w:w="4522" w:type="dxa"/>
            <w:tcBorders>
              <w:top w:val="single" w:sz="12" w:space="0" w:color="auto"/>
              <w:bottom w:val="nil"/>
            </w:tcBorders>
            <w:shd w:val="clear" w:color="auto" w:fill="auto"/>
          </w:tcPr>
          <w:p w:rsidR="00AD5035" w:rsidRPr="0071782F" w:rsidRDefault="00196FA5" w:rsidP="00881286">
            <w:pPr>
              <w:suppressAutoHyphens w:val="0"/>
              <w:spacing w:before="40" w:after="40" w:line="220" w:lineRule="exact"/>
              <w:rPr>
                <w:sz w:val="18"/>
                <w:lang w:val="fr-CH"/>
              </w:rPr>
            </w:pPr>
            <w:r w:rsidRPr="0071782F">
              <w:rPr>
                <w:sz w:val="18"/>
                <w:lang w:val="fr-CH"/>
              </w:rPr>
              <w:t>Nombre d’étudiants</w:t>
            </w:r>
          </w:p>
        </w:tc>
        <w:tc>
          <w:tcPr>
            <w:tcW w:w="1763" w:type="dxa"/>
            <w:tcBorders>
              <w:top w:val="single" w:sz="12" w:space="0" w:color="auto"/>
              <w:bottom w:val="nil"/>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r w:rsidRPr="0071782F">
              <w:rPr>
                <w:sz w:val="18"/>
                <w:lang w:val="fr-CH"/>
              </w:rPr>
              <w:t xml:space="preserve"> (</w:t>
            </w:r>
            <w:r w:rsidR="00196FA5" w:rsidRPr="0071782F">
              <w:rPr>
                <w:sz w:val="18"/>
                <w:lang w:val="fr-CH"/>
              </w:rPr>
              <w:t>milliers</w:t>
            </w:r>
            <w:r w:rsidRPr="0071782F">
              <w:rPr>
                <w:sz w:val="18"/>
                <w:lang w:val="fr-CH"/>
              </w:rPr>
              <w:t>)</w:t>
            </w:r>
          </w:p>
        </w:tc>
        <w:tc>
          <w:tcPr>
            <w:tcW w:w="1086" w:type="dxa"/>
            <w:tcBorders>
              <w:top w:val="single" w:sz="12" w:space="0" w:color="auto"/>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1 191</w:t>
            </w:r>
          </w:p>
        </w:tc>
        <w:tc>
          <w:tcPr>
            <w:tcW w:w="1134" w:type="dxa"/>
            <w:tcBorders>
              <w:top w:val="single" w:sz="12" w:space="0" w:color="auto"/>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16</w:t>
            </w:r>
            <w:r w:rsidR="00881286" w:rsidRPr="0071782F">
              <w:rPr>
                <w:sz w:val="18"/>
                <w:lang w:val="fr-CH"/>
              </w:rPr>
              <w:t>,</w:t>
            </w:r>
            <w:r w:rsidRPr="0071782F">
              <w:rPr>
                <w:sz w:val="18"/>
                <w:lang w:val="fr-CH"/>
              </w:rPr>
              <w:t>9</w:t>
            </w:r>
          </w:p>
        </w:tc>
      </w:tr>
      <w:tr w:rsidR="00AD5035" w:rsidRPr="0071782F">
        <w:tc>
          <w:tcPr>
            <w:tcW w:w="4522" w:type="dxa"/>
            <w:tcBorders>
              <w:top w:val="nil"/>
              <w:bottom w:val="nil"/>
            </w:tcBorders>
            <w:shd w:val="clear" w:color="auto" w:fill="auto"/>
          </w:tcPr>
          <w:p w:rsidR="00AD5035" w:rsidRPr="0071782F" w:rsidRDefault="00196FA5" w:rsidP="00881286">
            <w:pPr>
              <w:suppressAutoHyphens w:val="0"/>
              <w:spacing w:before="40" w:after="40" w:line="220" w:lineRule="exact"/>
              <w:rPr>
                <w:sz w:val="18"/>
                <w:lang w:val="fr-CH"/>
              </w:rPr>
            </w:pPr>
            <w:r w:rsidRPr="0071782F">
              <w:rPr>
                <w:sz w:val="18"/>
                <w:lang w:val="fr-CH"/>
              </w:rPr>
              <w:t>Nombre d’étudiants de sexe masculin</w:t>
            </w:r>
          </w:p>
        </w:tc>
        <w:tc>
          <w:tcPr>
            <w:tcW w:w="1763" w:type="dxa"/>
            <w:tcBorders>
              <w:top w:val="nil"/>
              <w:bottom w:val="nil"/>
            </w:tcBorders>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p>
        </w:tc>
        <w:tc>
          <w:tcPr>
            <w:tcW w:w="1086" w:type="dxa"/>
            <w:tcBorders>
              <w:top w:val="nil"/>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534</w:t>
            </w:r>
          </w:p>
        </w:tc>
        <w:tc>
          <w:tcPr>
            <w:tcW w:w="1134" w:type="dxa"/>
            <w:tcBorders>
              <w:top w:val="nil"/>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13</w:t>
            </w:r>
            <w:r w:rsidR="00881286" w:rsidRPr="0071782F">
              <w:rPr>
                <w:sz w:val="18"/>
                <w:lang w:val="fr-CH"/>
              </w:rPr>
              <w:t>,</w:t>
            </w:r>
            <w:r w:rsidRPr="0071782F">
              <w:rPr>
                <w:sz w:val="18"/>
                <w:lang w:val="fr-CH"/>
              </w:rPr>
              <w:t>8</w:t>
            </w:r>
          </w:p>
        </w:tc>
      </w:tr>
      <w:tr w:rsidR="00AD5035" w:rsidRPr="0071782F">
        <w:tc>
          <w:tcPr>
            <w:tcW w:w="4522" w:type="dxa"/>
            <w:tcBorders>
              <w:top w:val="nil"/>
            </w:tcBorders>
            <w:shd w:val="clear" w:color="auto" w:fill="auto"/>
          </w:tcPr>
          <w:p w:rsidR="00AD5035" w:rsidRPr="0071782F" w:rsidRDefault="00196FA5" w:rsidP="00782B71">
            <w:pPr>
              <w:keepNext/>
              <w:suppressAutoHyphens w:val="0"/>
              <w:spacing w:before="40" w:after="40" w:line="220" w:lineRule="exact"/>
              <w:rPr>
                <w:sz w:val="18"/>
                <w:lang w:val="fr-CH"/>
              </w:rPr>
            </w:pPr>
            <w:r w:rsidRPr="0071782F">
              <w:rPr>
                <w:sz w:val="18"/>
                <w:lang w:val="fr-CH"/>
              </w:rPr>
              <w:t>Nombre d’étudiantes</w:t>
            </w:r>
          </w:p>
        </w:tc>
        <w:tc>
          <w:tcPr>
            <w:tcW w:w="1763" w:type="dxa"/>
            <w:tcBorders>
              <w:top w:val="nil"/>
            </w:tcBorders>
            <w:shd w:val="clear" w:color="auto" w:fill="auto"/>
            <w:vAlign w:val="bottom"/>
          </w:tcPr>
          <w:p w:rsidR="00AD5035" w:rsidRPr="0071782F" w:rsidRDefault="00196FA5" w:rsidP="00B71235">
            <w:pPr>
              <w:keepNext/>
              <w:suppressAutoHyphens w:val="0"/>
              <w:spacing w:before="40" w:after="40" w:line="220" w:lineRule="exact"/>
              <w:ind w:left="57"/>
              <w:rPr>
                <w:sz w:val="18"/>
                <w:lang w:val="fr-CH"/>
              </w:rPr>
            </w:pPr>
            <w:r w:rsidRPr="0071782F">
              <w:rPr>
                <w:sz w:val="18"/>
                <w:lang w:val="fr-CH"/>
              </w:rPr>
              <w:t>Personnes (milliers)</w:t>
            </w:r>
          </w:p>
        </w:tc>
        <w:tc>
          <w:tcPr>
            <w:tcW w:w="1086" w:type="dxa"/>
            <w:tcBorders>
              <w:top w:val="nil"/>
            </w:tcBorders>
            <w:shd w:val="clear" w:color="auto" w:fill="auto"/>
            <w:vAlign w:val="bottom"/>
          </w:tcPr>
          <w:p w:rsidR="00AD5035" w:rsidRPr="0071782F" w:rsidRDefault="00AD5035" w:rsidP="00782B71">
            <w:pPr>
              <w:keepNext/>
              <w:suppressAutoHyphens w:val="0"/>
              <w:spacing w:before="40" w:after="40" w:line="220" w:lineRule="exact"/>
              <w:jc w:val="right"/>
              <w:rPr>
                <w:sz w:val="18"/>
                <w:lang w:val="fr-CH"/>
              </w:rPr>
            </w:pPr>
            <w:r w:rsidRPr="0071782F">
              <w:rPr>
                <w:sz w:val="18"/>
                <w:lang w:val="fr-CH"/>
              </w:rPr>
              <w:t>657</w:t>
            </w:r>
          </w:p>
        </w:tc>
        <w:tc>
          <w:tcPr>
            <w:tcW w:w="1134" w:type="dxa"/>
            <w:tcBorders>
              <w:top w:val="nil"/>
            </w:tcBorders>
            <w:shd w:val="clear" w:color="auto" w:fill="auto"/>
            <w:vAlign w:val="bottom"/>
          </w:tcPr>
          <w:p w:rsidR="00AD5035" w:rsidRPr="0071782F" w:rsidRDefault="00AD5035" w:rsidP="00782B71">
            <w:pPr>
              <w:keepNext/>
              <w:suppressAutoHyphens w:val="0"/>
              <w:spacing w:before="40" w:after="40" w:line="220" w:lineRule="exact"/>
              <w:jc w:val="right"/>
              <w:rPr>
                <w:sz w:val="18"/>
                <w:lang w:val="fr-CH"/>
              </w:rPr>
            </w:pPr>
            <w:r w:rsidRPr="0071782F">
              <w:rPr>
                <w:sz w:val="18"/>
                <w:lang w:val="fr-CH"/>
              </w:rPr>
              <w:t>19</w:t>
            </w:r>
            <w:r w:rsidR="00881286" w:rsidRPr="0071782F">
              <w:rPr>
                <w:sz w:val="18"/>
                <w:lang w:val="fr-CH"/>
              </w:rPr>
              <w:t>,</w:t>
            </w:r>
            <w:r w:rsidRPr="0071782F">
              <w:rPr>
                <w:sz w:val="18"/>
                <w:lang w:val="fr-CH"/>
              </w:rPr>
              <w:t>5</w:t>
            </w:r>
          </w:p>
        </w:tc>
      </w:tr>
      <w:tr w:rsidR="008264C6" w:rsidRPr="0071782F">
        <w:tc>
          <w:tcPr>
            <w:tcW w:w="4522" w:type="dxa"/>
            <w:shd w:val="clear" w:color="auto" w:fill="auto"/>
          </w:tcPr>
          <w:p w:rsidR="008264C6" w:rsidRPr="0071782F" w:rsidRDefault="00196FA5" w:rsidP="00881286">
            <w:pPr>
              <w:suppressAutoHyphens w:val="0"/>
              <w:spacing w:before="40" w:after="40" w:line="220" w:lineRule="exact"/>
              <w:rPr>
                <w:sz w:val="18"/>
                <w:lang w:val="fr-CH"/>
              </w:rPr>
            </w:pPr>
            <w:r w:rsidRPr="0071782F">
              <w:rPr>
                <w:sz w:val="18"/>
                <w:lang w:val="fr-CH"/>
              </w:rPr>
              <w:t>Ratio étudiants/professeurs</w:t>
            </w:r>
          </w:p>
        </w:tc>
        <w:tc>
          <w:tcPr>
            <w:tcW w:w="1763" w:type="dxa"/>
            <w:shd w:val="clear" w:color="auto" w:fill="auto"/>
            <w:vAlign w:val="bottom"/>
          </w:tcPr>
          <w:p w:rsidR="008264C6" w:rsidRPr="0071782F" w:rsidRDefault="008264C6" w:rsidP="00B71235">
            <w:pPr>
              <w:suppressAutoHyphens w:val="0"/>
              <w:spacing w:before="40" w:after="40" w:line="220" w:lineRule="exact"/>
              <w:ind w:left="57"/>
              <w:rPr>
                <w:sz w:val="18"/>
                <w:lang w:val="fr-CH"/>
              </w:rPr>
            </w:pPr>
            <w:r w:rsidRPr="0071782F">
              <w:rPr>
                <w:sz w:val="18"/>
                <w:lang w:val="fr-CH"/>
              </w:rPr>
              <w:t>%</w:t>
            </w:r>
          </w:p>
        </w:tc>
        <w:tc>
          <w:tcPr>
            <w:tcW w:w="1086" w:type="dxa"/>
            <w:shd w:val="clear" w:color="auto" w:fill="auto"/>
            <w:vAlign w:val="bottom"/>
          </w:tcPr>
          <w:p w:rsidR="008264C6" w:rsidRPr="0071782F" w:rsidRDefault="008264C6" w:rsidP="00881286">
            <w:pPr>
              <w:suppressAutoHyphens w:val="0"/>
              <w:spacing w:before="40" w:after="40" w:line="220" w:lineRule="exact"/>
              <w:jc w:val="right"/>
              <w:rPr>
                <w:sz w:val="18"/>
                <w:lang w:val="fr-CH"/>
              </w:rPr>
            </w:pPr>
            <w:r w:rsidRPr="0071782F">
              <w:rPr>
                <w:sz w:val="18"/>
                <w:lang w:val="fr-CH"/>
              </w:rPr>
              <w:t>28</w:t>
            </w:r>
            <w:r w:rsidR="00881286" w:rsidRPr="0071782F">
              <w:rPr>
                <w:sz w:val="18"/>
                <w:lang w:val="fr-CH"/>
              </w:rPr>
              <w:t>,</w:t>
            </w:r>
            <w:r w:rsidRPr="0071782F">
              <w:rPr>
                <w:sz w:val="18"/>
                <w:lang w:val="fr-CH"/>
              </w:rPr>
              <w:t>4</w:t>
            </w:r>
          </w:p>
        </w:tc>
        <w:tc>
          <w:tcPr>
            <w:tcW w:w="1134" w:type="dxa"/>
            <w:shd w:val="clear" w:color="auto" w:fill="auto"/>
          </w:tcPr>
          <w:p w:rsidR="008264C6" w:rsidRPr="0071782F" w:rsidRDefault="008264C6" w:rsidP="00881286">
            <w:pPr>
              <w:suppressAutoHyphens w:val="0"/>
              <w:spacing w:before="40" w:after="40" w:line="220" w:lineRule="exact"/>
              <w:jc w:val="right"/>
              <w:rPr>
                <w:sz w:val="18"/>
                <w:lang w:val="fr-CH"/>
              </w:rPr>
            </w:pPr>
            <w:r w:rsidRPr="0071782F">
              <w:rPr>
                <w:sz w:val="18"/>
                <w:lang w:val="fr-CH"/>
              </w:rPr>
              <w:t>–</w:t>
            </w:r>
          </w:p>
        </w:tc>
      </w:tr>
      <w:tr w:rsidR="008264C6" w:rsidRPr="0071782F">
        <w:tc>
          <w:tcPr>
            <w:tcW w:w="4522" w:type="dxa"/>
            <w:tcBorders>
              <w:bottom w:val="nil"/>
            </w:tcBorders>
            <w:shd w:val="clear" w:color="auto" w:fill="auto"/>
          </w:tcPr>
          <w:p w:rsidR="008264C6" w:rsidRPr="0071782F" w:rsidRDefault="00196FA5" w:rsidP="00881286">
            <w:pPr>
              <w:suppressAutoHyphens w:val="0"/>
              <w:spacing w:before="40" w:after="40" w:line="220" w:lineRule="exact"/>
              <w:rPr>
                <w:sz w:val="18"/>
                <w:lang w:val="fr-CH"/>
              </w:rPr>
            </w:pPr>
            <w:r w:rsidRPr="0071782F">
              <w:rPr>
                <w:sz w:val="18"/>
                <w:lang w:val="fr-CH"/>
              </w:rPr>
              <w:t>Nombre d’étudiants titulaires d’un premier diplôme universitaire</w:t>
            </w:r>
          </w:p>
        </w:tc>
        <w:tc>
          <w:tcPr>
            <w:tcW w:w="1763" w:type="dxa"/>
            <w:tcBorders>
              <w:bottom w:val="nil"/>
            </w:tcBorders>
            <w:shd w:val="clear" w:color="auto" w:fill="auto"/>
            <w:vAlign w:val="bottom"/>
          </w:tcPr>
          <w:p w:rsidR="008264C6" w:rsidRPr="0071782F" w:rsidRDefault="008264C6"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086" w:type="dxa"/>
            <w:tcBorders>
              <w:bottom w:val="nil"/>
            </w:tcBorders>
            <w:shd w:val="clear" w:color="auto" w:fill="auto"/>
            <w:vAlign w:val="bottom"/>
          </w:tcPr>
          <w:p w:rsidR="008264C6" w:rsidRPr="0071782F" w:rsidRDefault="008264C6" w:rsidP="00881286">
            <w:pPr>
              <w:suppressAutoHyphens w:val="0"/>
              <w:spacing w:before="40" w:after="40" w:line="220" w:lineRule="exact"/>
              <w:jc w:val="right"/>
              <w:rPr>
                <w:sz w:val="18"/>
                <w:lang w:val="fr-CH"/>
              </w:rPr>
            </w:pPr>
            <w:r w:rsidRPr="0071782F">
              <w:rPr>
                <w:sz w:val="18"/>
                <w:lang w:val="fr-CH"/>
              </w:rPr>
              <w:t>293 422</w:t>
            </w:r>
          </w:p>
        </w:tc>
        <w:tc>
          <w:tcPr>
            <w:tcW w:w="1134" w:type="dxa"/>
            <w:tcBorders>
              <w:bottom w:val="nil"/>
            </w:tcBorders>
            <w:shd w:val="clear" w:color="auto" w:fill="auto"/>
          </w:tcPr>
          <w:p w:rsidR="008264C6" w:rsidRPr="0071782F" w:rsidRDefault="008264C6" w:rsidP="00881286">
            <w:pPr>
              <w:suppressAutoHyphens w:val="0"/>
              <w:spacing w:before="40" w:after="40" w:line="220" w:lineRule="exact"/>
              <w:jc w:val="right"/>
              <w:rPr>
                <w:sz w:val="18"/>
                <w:lang w:val="fr-CH"/>
              </w:rPr>
            </w:pPr>
            <w:r w:rsidRPr="0071782F">
              <w:rPr>
                <w:sz w:val="18"/>
                <w:lang w:val="fr-CH"/>
              </w:rPr>
              <w:t>–</w:t>
            </w:r>
          </w:p>
        </w:tc>
      </w:tr>
      <w:tr w:rsidR="008264C6" w:rsidRPr="0071782F">
        <w:tc>
          <w:tcPr>
            <w:tcW w:w="4522" w:type="dxa"/>
            <w:tcBorders>
              <w:top w:val="nil"/>
              <w:bottom w:val="nil"/>
            </w:tcBorders>
            <w:shd w:val="clear" w:color="auto" w:fill="auto"/>
          </w:tcPr>
          <w:p w:rsidR="008264C6" w:rsidRPr="0071782F" w:rsidRDefault="00196FA5" w:rsidP="00881286">
            <w:pPr>
              <w:suppressAutoHyphens w:val="0"/>
              <w:spacing w:before="40" w:after="40" w:line="220" w:lineRule="exact"/>
              <w:rPr>
                <w:sz w:val="18"/>
                <w:lang w:val="fr-CH"/>
              </w:rPr>
            </w:pPr>
            <w:r w:rsidRPr="0071782F">
              <w:rPr>
                <w:sz w:val="18"/>
                <w:lang w:val="fr-CH"/>
              </w:rPr>
              <w:t>Nombre d’étudiants titulaires d’une licence</w:t>
            </w:r>
          </w:p>
        </w:tc>
        <w:tc>
          <w:tcPr>
            <w:tcW w:w="1763" w:type="dxa"/>
            <w:tcBorders>
              <w:top w:val="nil"/>
              <w:bottom w:val="nil"/>
            </w:tcBorders>
            <w:shd w:val="clear" w:color="auto" w:fill="auto"/>
            <w:vAlign w:val="bottom"/>
          </w:tcPr>
          <w:p w:rsidR="008264C6" w:rsidRPr="0071782F" w:rsidRDefault="008264C6"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086" w:type="dxa"/>
            <w:tcBorders>
              <w:top w:val="nil"/>
              <w:bottom w:val="nil"/>
            </w:tcBorders>
            <w:shd w:val="clear" w:color="auto" w:fill="auto"/>
            <w:vAlign w:val="bottom"/>
          </w:tcPr>
          <w:p w:rsidR="008264C6" w:rsidRPr="0071782F" w:rsidRDefault="008264C6" w:rsidP="00881286">
            <w:pPr>
              <w:suppressAutoHyphens w:val="0"/>
              <w:spacing w:before="40" w:after="40" w:line="220" w:lineRule="exact"/>
              <w:jc w:val="right"/>
              <w:rPr>
                <w:sz w:val="18"/>
                <w:lang w:val="fr-CH"/>
              </w:rPr>
            </w:pPr>
            <w:r w:rsidRPr="0071782F">
              <w:rPr>
                <w:sz w:val="18"/>
                <w:lang w:val="fr-CH"/>
              </w:rPr>
              <w:t>794 955</w:t>
            </w:r>
          </w:p>
        </w:tc>
        <w:tc>
          <w:tcPr>
            <w:tcW w:w="1134" w:type="dxa"/>
            <w:tcBorders>
              <w:top w:val="nil"/>
              <w:bottom w:val="nil"/>
            </w:tcBorders>
            <w:shd w:val="clear" w:color="auto" w:fill="auto"/>
          </w:tcPr>
          <w:p w:rsidR="008264C6" w:rsidRPr="0071782F" w:rsidRDefault="008264C6" w:rsidP="00881286">
            <w:pPr>
              <w:suppressAutoHyphens w:val="0"/>
              <w:spacing w:before="40" w:after="40" w:line="220" w:lineRule="exact"/>
              <w:jc w:val="right"/>
              <w:rPr>
                <w:sz w:val="18"/>
                <w:lang w:val="fr-CH"/>
              </w:rPr>
            </w:pPr>
            <w:r w:rsidRPr="0071782F">
              <w:rPr>
                <w:sz w:val="18"/>
                <w:lang w:val="fr-CH"/>
              </w:rPr>
              <w:t>–</w:t>
            </w:r>
          </w:p>
        </w:tc>
      </w:tr>
      <w:tr w:rsidR="008264C6" w:rsidRPr="0071782F">
        <w:tc>
          <w:tcPr>
            <w:tcW w:w="4522" w:type="dxa"/>
            <w:tcBorders>
              <w:top w:val="nil"/>
            </w:tcBorders>
            <w:shd w:val="clear" w:color="auto" w:fill="auto"/>
          </w:tcPr>
          <w:p w:rsidR="008264C6" w:rsidRPr="0071782F" w:rsidRDefault="00196FA5" w:rsidP="00881286">
            <w:pPr>
              <w:suppressAutoHyphens w:val="0"/>
              <w:spacing w:before="40" w:after="40" w:line="220" w:lineRule="exact"/>
              <w:rPr>
                <w:sz w:val="18"/>
                <w:lang w:val="fr-CH"/>
              </w:rPr>
            </w:pPr>
            <w:r w:rsidRPr="0071782F">
              <w:rPr>
                <w:sz w:val="18"/>
                <w:lang w:val="fr-CH"/>
              </w:rPr>
              <w:t>Nombre d’étudiants titulaires d’un mastère</w:t>
            </w:r>
          </w:p>
        </w:tc>
        <w:tc>
          <w:tcPr>
            <w:tcW w:w="1763" w:type="dxa"/>
            <w:tcBorders>
              <w:top w:val="nil"/>
            </w:tcBorders>
            <w:shd w:val="clear" w:color="auto" w:fill="auto"/>
            <w:vAlign w:val="bottom"/>
          </w:tcPr>
          <w:p w:rsidR="008264C6" w:rsidRPr="0071782F" w:rsidRDefault="008264C6"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086" w:type="dxa"/>
            <w:tcBorders>
              <w:top w:val="nil"/>
            </w:tcBorders>
            <w:shd w:val="clear" w:color="auto" w:fill="auto"/>
            <w:vAlign w:val="bottom"/>
          </w:tcPr>
          <w:p w:rsidR="008264C6" w:rsidRPr="0071782F" w:rsidRDefault="008264C6" w:rsidP="00881286">
            <w:pPr>
              <w:suppressAutoHyphens w:val="0"/>
              <w:spacing w:before="40" w:after="40" w:line="220" w:lineRule="exact"/>
              <w:jc w:val="right"/>
              <w:rPr>
                <w:sz w:val="18"/>
                <w:lang w:val="fr-CH"/>
              </w:rPr>
            </w:pPr>
            <w:r w:rsidRPr="0071782F">
              <w:rPr>
                <w:sz w:val="18"/>
                <w:lang w:val="fr-CH"/>
              </w:rPr>
              <w:t>57 775</w:t>
            </w:r>
          </w:p>
        </w:tc>
        <w:tc>
          <w:tcPr>
            <w:tcW w:w="1134" w:type="dxa"/>
            <w:tcBorders>
              <w:top w:val="nil"/>
            </w:tcBorders>
            <w:shd w:val="clear" w:color="auto" w:fill="auto"/>
          </w:tcPr>
          <w:p w:rsidR="008264C6" w:rsidRPr="0071782F" w:rsidRDefault="008264C6" w:rsidP="00881286">
            <w:pPr>
              <w:suppressAutoHyphens w:val="0"/>
              <w:spacing w:before="40" w:after="40" w:line="220" w:lineRule="exact"/>
              <w:jc w:val="right"/>
              <w:rPr>
                <w:sz w:val="18"/>
                <w:lang w:val="fr-CH"/>
              </w:rPr>
            </w:pPr>
            <w:r w:rsidRPr="0071782F">
              <w:rPr>
                <w:sz w:val="18"/>
                <w:lang w:val="fr-CH"/>
              </w:rPr>
              <w:t>–</w:t>
            </w:r>
          </w:p>
        </w:tc>
      </w:tr>
      <w:tr w:rsidR="008264C6" w:rsidRPr="0071782F">
        <w:tc>
          <w:tcPr>
            <w:tcW w:w="4522" w:type="dxa"/>
            <w:shd w:val="clear" w:color="auto" w:fill="auto"/>
          </w:tcPr>
          <w:p w:rsidR="008264C6" w:rsidRPr="0071782F" w:rsidRDefault="00196FA5" w:rsidP="00881286">
            <w:pPr>
              <w:suppressAutoHyphens w:val="0"/>
              <w:spacing w:before="40" w:after="40" w:line="220" w:lineRule="exact"/>
              <w:rPr>
                <w:sz w:val="18"/>
                <w:lang w:val="fr-CH"/>
              </w:rPr>
            </w:pPr>
            <w:r w:rsidRPr="0071782F">
              <w:rPr>
                <w:sz w:val="18"/>
                <w:lang w:val="fr-CH"/>
              </w:rPr>
              <w:t>Nombre d’étudiants titulaires d’un doctorat professionnel</w:t>
            </w:r>
          </w:p>
        </w:tc>
        <w:tc>
          <w:tcPr>
            <w:tcW w:w="1763" w:type="dxa"/>
            <w:shd w:val="clear" w:color="auto" w:fill="auto"/>
            <w:vAlign w:val="bottom"/>
          </w:tcPr>
          <w:p w:rsidR="008264C6" w:rsidRPr="0071782F" w:rsidRDefault="008264C6"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086" w:type="dxa"/>
            <w:shd w:val="clear" w:color="auto" w:fill="auto"/>
            <w:vAlign w:val="bottom"/>
          </w:tcPr>
          <w:p w:rsidR="008264C6" w:rsidRPr="0071782F" w:rsidRDefault="008264C6" w:rsidP="00881286">
            <w:pPr>
              <w:suppressAutoHyphens w:val="0"/>
              <w:spacing w:before="40" w:after="40" w:line="220" w:lineRule="exact"/>
              <w:jc w:val="right"/>
              <w:rPr>
                <w:sz w:val="18"/>
                <w:lang w:val="fr-CH"/>
              </w:rPr>
            </w:pPr>
            <w:r w:rsidRPr="0071782F">
              <w:rPr>
                <w:sz w:val="18"/>
                <w:lang w:val="fr-CH"/>
              </w:rPr>
              <w:t>29 689</w:t>
            </w:r>
          </w:p>
        </w:tc>
        <w:tc>
          <w:tcPr>
            <w:tcW w:w="1134" w:type="dxa"/>
            <w:shd w:val="clear" w:color="auto" w:fill="auto"/>
          </w:tcPr>
          <w:p w:rsidR="008264C6" w:rsidRPr="0071782F" w:rsidRDefault="008264C6" w:rsidP="00881286">
            <w:pPr>
              <w:suppressAutoHyphens w:val="0"/>
              <w:spacing w:before="40" w:after="40" w:line="220" w:lineRule="exact"/>
              <w:jc w:val="right"/>
              <w:rPr>
                <w:sz w:val="18"/>
                <w:lang w:val="fr-CH"/>
              </w:rPr>
            </w:pPr>
            <w:r w:rsidRPr="0071782F">
              <w:rPr>
                <w:sz w:val="18"/>
                <w:lang w:val="fr-CH"/>
              </w:rPr>
              <w:t>–</w:t>
            </w:r>
          </w:p>
        </w:tc>
      </w:tr>
      <w:tr w:rsidR="008264C6" w:rsidRPr="0071782F">
        <w:tc>
          <w:tcPr>
            <w:tcW w:w="4522" w:type="dxa"/>
            <w:shd w:val="clear" w:color="auto" w:fill="auto"/>
          </w:tcPr>
          <w:p w:rsidR="008264C6" w:rsidRPr="0071782F" w:rsidRDefault="00196FA5" w:rsidP="00881286">
            <w:pPr>
              <w:suppressAutoHyphens w:val="0"/>
              <w:spacing w:before="40" w:after="40" w:line="220" w:lineRule="exact"/>
              <w:rPr>
                <w:sz w:val="18"/>
                <w:lang w:val="fr-CH"/>
              </w:rPr>
            </w:pPr>
            <w:r w:rsidRPr="0071782F">
              <w:rPr>
                <w:sz w:val="18"/>
                <w:lang w:val="fr-CH"/>
              </w:rPr>
              <w:t>Nombre d’étudiants titulaires d’un doctorat spécialisé</w:t>
            </w:r>
          </w:p>
        </w:tc>
        <w:tc>
          <w:tcPr>
            <w:tcW w:w="1763" w:type="dxa"/>
            <w:shd w:val="clear" w:color="auto" w:fill="auto"/>
            <w:vAlign w:val="bottom"/>
          </w:tcPr>
          <w:p w:rsidR="008264C6" w:rsidRPr="0071782F" w:rsidRDefault="008264C6"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086" w:type="dxa"/>
            <w:shd w:val="clear" w:color="auto" w:fill="auto"/>
            <w:vAlign w:val="bottom"/>
          </w:tcPr>
          <w:p w:rsidR="008264C6" w:rsidRPr="0071782F" w:rsidRDefault="008264C6" w:rsidP="00881286">
            <w:pPr>
              <w:suppressAutoHyphens w:val="0"/>
              <w:spacing w:before="40" w:after="40" w:line="220" w:lineRule="exact"/>
              <w:jc w:val="right"/>
              <w:rPr>
                <w:sz w:val="18"/>
                <w:lang w:val="fr-CH"/>
              </w:rPr>
            </w:pPr>
            <w:r w:rsidRPr="0071782F">
              <w:rPr>
                <w:sz w:val="18"/>
                <w:lang w:val="fr-CH"/>
              </w:rPr>
              <w:t>16 207</w:t>
            </w:r>
          </w:p>
        </w:tc>
        <w:tc>
          <w:tcPr>
            <w:tcW w:w="1134" w:type="dxa"/>
            <w:shd w:val="clear" w:color="auto" w:fill="auto"/>
          </w:tcPr>
          <w:p w:rsidR="008264C6" w:rsidRPr="0071782F" w:rsidRDefault="008264C6" w:rsidP="00881286">
            <w:pPr>
              <w:suppressAutoHyphens w:val="0"/>
              <w:spacing w:before="40" w:after="40" w:line="220" w:lineRule="exact"/>
              <w:jc w:val="right"/>
              <w:rPr>
                <w:sz w:val="18"/>
                <w:lang w:val="fr-CH"/>
              </w:rPr>
            </w:pPr>
            <w:r w:rsidRPr="0071782F">
              <w:rPr>
                <w:sz w:val="18"/>
                <w:lang w:val="fr-CH"/>
              </w:rPr>
              <w:t>–</w:t>
            </w:r>
          </w:p>
        </w:tc>
      </w:tr>
      <w:tr w:rsidR="008264C6" w:rsidRPr="0071782F">
        <w:tc>
          <w:tcPr>
            <w:tcW w:w="4522" w:type="dxa"/>
            <w:shd w:val="clear" w:color="auto" w:fill="auto"/>
          </w:tcPr>
          <w:p w:rsidR="008264C6" w:rsidRPr="0071782F" w:rsidRDefault="00196FA5" w:rsidP="00881286">
            <w:pPr>
              <w:suppressAutoHyphens w:val="0"/>
              <w:spacing w:before="40" w:after="40" w:line="220" w:lineRule="exact"/>
              <w:rPr>
                <w:sz w:val="18"/>
                <w:lang w:val="fr-CH"/>
              </w:rPr>
            </w:pPr>
            <w:r w:rsidRPr="0071782F">
              <w:rPr>
                <w:sz w:val="18"/>
                <w:lang w:val="fr-CH"/>
              </w:rPr>
              <w:t>Proportion d’étudiants titulaires d’un mastère ou d’un diplôme supérieur par rapport à l’ensemble de la population étudiante</w:t>
            </w:r>
          </w:p>
        </w:tc>
        <w:tc>
          <w:tcPr>
            <w:tcW w:w="1763" w:type="dxa"/>
            <w:shd w:val="clear" w:color="auto" w:fill="auto"/>
            <w:vAlign w:val="bottom"/>
          </w:tcPr>
          <w:p w:rsidR="008264C6" w:rsidRPr="0071782F" w:rsidRDefault="008264C6" w:rsidP="00B71235">
            <w:pPr>
              <w:suppressAutoHyphens w:val="0"/>
              <w:spacing w:before="40" w:after="40" w:line="220" w:lineRule="exact"/>
              <w:ind w:left="57"/>
              <w:rPr>
                <w:sz w:val="18"/>
                <w:lang w:val="fr-CH"/>
              </w:rPr>
            </w:pPr>
            <w:r w:rsidRPr="0071782F">
              <w:rPr>
                <w:sz w:val="18"/>
                <w:lang w:val="fr-CH"/>
              </w:rPr>
              <w:t>%</w:t>
            </w:r>
          </w:p>
        </w:tc>
        <w:tc>
          <w:tcPr>
            <w:tcW w:w="1086" w:type="dxa"/>
            <w:shd w:val="clear" w:color="auto" w:fill="auto"/>
            <w:vAlign w:val="bottom"/>
          </w:tcPr>
          <w:p w:rsidR="008264C6" w:rsidRPr="0071782F" w:rsidRDefault="008264C6" w:rsidP="00881286">
            <w:pPr>
              <w:suppressAutoHyphens w:val="0"/>
              <w:spacing w:before="40" w:after="40" w:line="220" w:lineRule="exact"/>
              <w:jc w:val="right"/>
              <w:rPr>
                <w:sz w:val="18"/>
                <w:lang w:val="fr-CH"/>
              </w:rPr>
            </w:pPr>
            <w:r w:rsidRPr="0071782F">
              <w:rPr>
                <w:sz w:val="18"/>
                <w:lang w:val="fr-CH"/>
              </w:rPr>
              <w:t>8</w:t>
            </w:r>
            <w:r w:rsidR="00881286" w:rsidRPr="0071782F">
              <w:rPr>
                <w:sz w:val="18"/>
                <w:lang w:val="fr-CH"/>
              </w:rPr>
              <w:t>,</w:t>
            </w:r>
            <w:r w:rsidRPr="0071782F">
              <w:rPr>
                <w:sz w:val="18"/>
                <w:lang w:val="fr-CH"/>
              </w:rPr>
              <w:t>7</w:t>
            </w:r>
          </w:p>
        </w:tc>
        <w:tc>
          <w:tcPr>
            <w:tcW w:w="1134" w:type="dxa"/>
            <w:shd w:val="clear" w:color="auto" w:fill="auto"/>
          </w:tcPr>
          <w:p w:rsidR="008264C6" w:rsidRPr="0071782F" w:rsidRDefault="008264C6" w:rsidP="00881286">
            <w:pPr>
              <w:suppressAutoHyphens w:val="0"/>
              <w:spacing w:before="40" w:after="40" w:line="220" w:lineRule="exact"/>
              <w:jc w:val="right"/>
              <w:rPr>
                <w:sz w:val="18"/>
                <w:lang w:val="fr-CH"/>
              </w:rPr>
            </w:pPr>
            <w:r w:rsidRPr="0071782F">
              <w:rPr>
                <w:sz w:val="18"/>
                <w:lang w:val="fr-CH"/>
              </w:rPr>
              <w:t>–</w:t>
            </w:r>
          </w:p>
        </w:tc>
      </w:tr>
      <w:tr w:rsidR="008264C6" w:rsidRPr="0071782F">
        <w:tc>
          <w:tcPr>
            <w:tcW w:w="4522" w:type="dxa"/>
            <w:shd w:val="clear" w:color="auto" w:fill="auto"/>
          </w:tcPr>
          <w:p w:rsidR="008264C6" w:rsidRPr="0071782F" w:rsidRDefault="00196FA5" w:rsidP="00881286">
            <w:pPr>
              <w:suppressAutoHyphens w:val="0"/>
              <w:spacing w:before="40" w:after="40" w:line="220" w:lineRule="exact"/>
              <w:rPr>
                <w:sz w:val="18"/>
                <w:lang w:val="fr-CH"/>
              </w:rPr>
            </w:pPr>
            <w:r w:rsidRPr="0071782F">
              <w:rPr>
                <w:sz w:val="18"/>
                <w:lang w:val="fr-CH"/>
              </w:rPr>
              <w:t>Proportion d’étudiants inscrits en sciences humaines par rapport à l’ensemble de la population étudiante</w:t>
            </w:r>
          </w:p>
        </w:tc>
        <w:tc>
          <w:tcPr>
            <w:tcW w:w="1763" w:type="dxa"/>
            <w:shd w:val="clear" w:color="auto" w:fill="auto"/>
            <w:vAlign w:val="bottom"/>
          </w:tcPr>
          <w:p w:rsidR="008264C6" w:rsidRPr="0071782F" w:rsidRDefault="008264C6" w:rsidP="00B71235">
            <w:pPr>
              <w:suppressAutoHyphens w:val="0"/>
              <w:spacing w:before="40" w:after="40" w:line="220" w:lineRule="exact"/>
              <w:ind w:left="57"/>
              <w:rPr>
                <w:sz w:val="18"/>
                <w:lang w:val="fr-CH"/>
              </w:rPr>
            </w:pPr>
            <w:r w:rsidRPr="0071782F">
              <w:rPr>
                <w:sz w:val="18"/>
                <w:lang w:val="fr-CH"/>
              </w:rPr>
              <w:t>%</w:t>
            </w:r>
          </w:p>
        </w:tc>
        <w:tc>
          <w:tcPr>
            <w:tcW w:w="1086" w:type="dxa"/>
            <w:shd w:val="clear" w:color="auto" w:fill="auto"/>
            <w:vAlign w:val="bottom"/>
          </w:tcPr>
          <w:p w:rsidR="008264C6" w:rsidRPr="0071782F" w:rsidRDefault="008264C6" w:rsidP="00881286">
            <w:pPr>
              <w:suppressAutoHyphens w:val="0"/>
              <w:spacing w:before="40" w:after="40" w:line="220" w:lineRule="exact"/>
              <w:jc w:val="right"/>
              <w:rPr>
                <w:sz w:val="18"/>
                <w:lang w:val="fr-CH"/>
              </w:rPr>
            </w:pPr>
            <w:r w:rsidRPr="0071782F">
              <w:rPr>
                <w:sz w:val="18"/>
                <w:lang w:val="fr-CH"/>
              </w:rPr>
              <w:t>44</w:t>
            </w:r>
            <w:r w:rsidR="00881286" w:rsidRPr="0071782F">
              <w:rPr>
                <w:sz w:val="18"/>
                <w:lang w:val="fr-CH"/>
              </w:rPr>
              <w:t>,</w:t>
            </w:r>
            <w:r w:rsidRPr="0071782F">
              <w:rPr>
                <w:sz w:val="18"/>
                <w:lang w:val="fr-CH"/>
              </w:rPr>
              <w:t>6</w:t>
            </w:r>
          </w:p>
        </w:tc>
        <w:tc>
          <w:tcPr>
            <w:tcW w:w="1134" w:type="dxa"/>
            <w:shd w:val="clear" w:color="auto" w:fill="auto"/>
          </w:tcPr>
          <w:p w:rsidR="008264C6" w:rsidRPr="0071782F" w:rsidRDefault="008264C6" w:rsidP="00881286">
            <w:pPr>
              <w:suppressAutoHyphens w:val="0"/>
              <w:spacing w:before="40" w:after="40" w:line="220" w:lineRule="exact"/>
              <w:jc w:val="right"/>
              <w:rPr>
                <w:sz w:val="18"/>
                <w:lang w:val="fr-CH"/>
              </w:rPr>
            </w:pPr>
            <w:r w:rsidRPr="0071782F">
              <w:rPr>
                <w:sz w:val="18"/>
                <w:lang w:val="fr-CH"/>
              </w:rPr>
              <w:t>–</w:t>
            </w:r>
          </w:p>
        </w:tc>
      </w:tr>
      <w:tr w:rsidR="008264C6" w:rsidRPr="0071782F">
        <w:tc>
          <w:tcPr>
            <w:tcW w:w="4522" w:type="dxa"/>
            <w:shd w:val="clear" w:color="auto" w:fill="auto"/>
          </w:tcPr>
          <w:p w:rsidR="008264C6" w:rsidRPr="0071782F" w:rsidRDefault="00196FA5" w:rsidP="00881286">
            <w:pPr>
              <w:suppressAutoHyphens w:val="0"/>
              <w:spacing w:before="40" w:after="40" w:line="220" w:lineRule="exact"/>
              <w:rPr>
                <w:sz w:val="18"/>
                <w:lang w:val="fr-CH"/>
              </w:rPr>
            </w:pPr>
            <w:r w:rsidRPr="0071782F">
              <w:rPr>
                <w:sz w:val="18"/>
                <w:lang w:val="fr-CH"/>
              </w:rPr>
              <w:t>Proportion d’étudiants inscrits en sciences pures par rapport à l’ensemble de la population étudiante</w:t>
            </w:r>
          </w:p>
        </w:tc>
        <w:tc>
          <w:tcPr>
            <w:tcW w:w="1763" w:type="dxa"/>
            <w:shd w:val="clear" w:color="auto" w:fill="auto"/>
            <w:vAlign w:val="bottom"/>
          </w:tcPr>
          <w:p w:rsidR="008264C6" w:rsidRPr="0071782F" w:rsidRDefault="008264C6" w:rsidP="00B71235">
            <w:pPr>
              <w:suppressAutoHyphens w:val="0"/>
              <w:spacing w:before="40" w:after="40" w:line="220" w:lineRule="exact"/>
              <w:ind w:left="57"/>
              <w:rPr>
                <w:sz w:val="18"/>
                <w:lang w:val="fr-CH"/>
              </w:rPr>
            </w:pPr>
            <w:r w:rsidRPr="0071782F">
              <w:rPr>
                <w:sz w:val="18"/>
                <w:lang w:val="fr-CH"/>
              </w:rPr>
              <w:t>%</w:t>
            </w:r>
          </w:p>
        </w:tc>
        <w:tc>
          <w:tcPr>
            <w:tcW w:w="1086" w:type="dxa"/>
            <w:shd w:val="clear" w:color="auto" w:fill="auto"/>
            <w:vAlign w:val="bottom"/>
          </w:tcPr>
          <w:p w:rsidR="008264C6" w:rsidRPr="0071782F" w:rsidRDefault="008264C6" w:rsidP="00881286">
            <w:pPr>
              <w:suppressAutoHyphens w:val="0"/>
              <w:spacing w:before="40" w:after="40" w:line="220" w:lineRule="exact"/>
              <w:jc w:val="right"/>
              <w:rPr>
                <w:sz w:val="18"/>
                <w:lang w:val="fr-CH"/>
              </w:rPr>
            </w:pPr>
            <w:r w:rsidRPr="0071782F">
              <w:rPr>
                <w:sz w:val="18"/>
                <w:lang w:val="fr-CH"/>
              </w:rPr>
              <w:t>13</w:t>
            </w:r>
            <w:r w:rsidR="00881286" w:rsidRPr="0071782F">
              <w:rPr>
                <w:sz w:val="18"/>
                <w:lang w:val="fr-CH"/>
              </w:rPr>
              <w:t>,</w:t>
            </w:r>
            <w:r w:rsidRPr="0071782F">
              <w:rPr>
                <w:sz w:val="18"/>
                <w:lang w:val="fr-CH"/>
              </w:rPr>
              <w:t>0</w:t>
            </w:r>
          </w:p>
        </w:tc>
        <w:tc>
          <w:tcPr>
            <w:tcW w:w="1134" w:type="dxa"/>
            <w:shd w:val="clear" w:color="auto" w:fill="auto"/>
          </w:tcPr>
          <w:p w:rsidR="008264C6" w:rsidRPr="0071782F" w:rsidRDefault="008264C6" w:rsidP="00881286">
            <w:pPr>
              <w:suppressAutoHyphens w:val="0"/>
              <w:spacing w:before="40" w:after="40" w:line="220" w:lineRule="exact"/>
              <w:jc w:val="right"/>
              <w:rPr>
                <w:sz w:val="18"/>
                <w:lang w:val="fr-CH"/>
              </w:rPr>
            </w:pPr>
            <w:r w:rsidRPr="0071782F">
              <w:rPr>
                <w:sz w:val="18"/>
                <w:lang w:val="fr-CH"/>
              </w:rPr>
              <w:t>–</w:t>
            </w:r>
          </w:p>
        </w:tc>
      </w:tr>
      <w:tr w:rsidR="008264C6" w:rsidRPr="0071782F">
        <w:tc>
          <w:tcPr>
            <w:tcW w:w="4522" w:type="dxa"/>
            <w:shd w:val="clear" w:color="auto" w:fill="auto"/>
          </w:tcPr>
          <w:p w:rsidR="008264C6" w:rsidRPr="0071782F" w:rsidRDefault="00196FA5" w:rsidP="00881286">
            <w:pPr>
              <w:suppressAutoHyphens w:val="0"/>
              <w:spacing w:before="40" w:after="40" w:line="220" w:lineRule="exact"/>
              <w:rPr>
                <w:sz w:val="18"/>
                <w:lang w:val="fr-CH"/>
              </w:rPr>
            </w:pPr>
            <w:r w:rsidRPr="0071782F">
              <w:rPr>
                <w:sz w:val="18"/>
                <w:lang w:val="fr-CH"/>
              </w:rPr>
              <w:t>Proportion d’étudiants inscrits en sciences agronomiques et vétérinaires par rapport à l’ensemble de la population étudiante</w:t>
            </w:r>
          </w:p>
        </w:tc>
        <w:tc>
          <w:tcPr>
            <w:tcW w:w="1763" w:type="dxa"/>
            <w:shd w:val="clear" w:color="auto" w:fill="auto"/>
            <w:vAlign w:val="bottom"/>
          </w:tcPr>
          <w:p w:rsidR="008264C6" w:rsidRPr="0071782F" w:rsidRDefault="008264C6" w:rsidP="00B71235">
            <w:pPr>
              <w:suppressAutoHyphens w:val="0"/>
              <w:spacing w:before="40" w:after="40" w:line="220" w:lineRule="exact"/>
              <w:ind w:left="57"/>
              <w:rPr>
                <w:sz w:val="18"/>
                <w:lang w:val="fr-CH"/>
              </w:rPr>
            </w:pPr>
            <w:r w:rsidRPr="0071782F">
              <w:rPr>
                <w:sz w:val="18"/>
                <w:lang w:val="fr-CH"/>
              </w:rPr>
              <w:t>%</w:t>
            </w:r>
          </w:p>
        </w:tc>
        <w:tc>
          <w:tcPr>
            <w:tcW w:w="1086" w:type="dxa"/>
            <w:shd w:val="clear" w:color="auto" w:fill="auto"/>
            <w:vAlign w:val="bottom"/>
          </w:tcPr>
          <w:p w:rsidR="008264C6" w:rsidRPr="0071782F" w:rsidRDefault="008264C6" w:rsidP="00881286">
            <w:pPr>
              <w:suppressAutoHyphens w:val="0"/>
              <w:spacing w:before="40" w:after="40" w:line="220" w:lineRule="exact"/>
              <w:jc w:val="right"/>
              <w:rPr>
                <w:sz w:val="18"/>
                <w:lang w:val="fr-CH"/>
              </w:rPr>
            </w:pPr>
            <w:r w:rsidRPr="0071782F">
              <w:rPr>
                <w:sz w:val="18"/>
                <w:lang w:val="fr-CH"/>
              </w:rPr>
              <w:t>6</w:t>
            </w:r>
            <w:r w:rsidR="00881286" w:rsidRPr="0071782F">
              <w:rPr>
                <w:sz w:val="18"/>
                <w:lang w:val="fr-CH"/>
              </w:rPr>
              <w:t>,</w:t>
            </w:r>
            <w:r w:rsidRPr="0071782F">
              <w:rPr>
                <w:sz w:val="18"/>
                <w:lang w:val="fr-CH"/>
              </w:rPr>
              <w:t>3</w:t>
            </w:r>
          </w:p>
        </w:tc>
        <w:tc>
          <w:tcPr>
            <w:tcW w:w="1134" w:type="dxa"/>
            <w:shd w:val="clear" w:color="auto" w:fill="auto"/>
          </w:tcPr>
          <w:p w:rsidR="008264C6" w:rsidRPr="0071782F" w:rsidRDefault="008264C6" w:rsidP="00881286">
            <w:pPr>
              <w:suppressAutoHyphens w:val="0"/>
              <w:spacing w:before="40" w:after="40" w:line="220" w:lineRule="exact"/>
              <w:jc w:val="right"/>
              <w:rPr>
                <w:sz w:val="18"/>
                <w:lang w:val="fr-CH"/>
              </w:rPr>
            </w:pPr>
            <w:r w:rsidRPr="0071782F">
              <w:rPr>
                <w:sz w:val="18"/>
                <w:lang w:val="fr-CH"/>
              </w:rPr>
              <w:t>–</w:t>
            </w:r>
          </w:p>
        </w:tc>
      </w:tr>
      <w:tr w:rsidR="008264C6" w:rsidRPr="0071782F">
        <w:tc>
          <w:tcPr>
            <w:tcW w:w="4522" w:type="dxa"/>
            <w:shd w:val="clear" w:color="auto" w:fill="auto"/>
          </w:tcPr>
          <w:p w:rsidR="008264C6" w:rsidRPr="0071782F" w:rsidRDefault="00196FA5" w:rsidP="00881286">
            <w:pPr>
              <w:suppressAutoHyphens w:val="0"/>
              <w:spacing w:before="40" w:after="40" w:line="220" w:lineRule="exact"/>
              <w:rPr>
                <w:sz w:val="18"/>
                <w:lang w:val="fr-CH"/>
              </w:rPr>
            </w:pPr>
            <w:r w:rsidRPr="0071782F">
              <w:rPr>
                <w:sz w:val="18"/>
                <w:lang w:val="fr-CH"/>
              </w:rPr>
              <w:t>Proportion d’étudiants inscrits dans les disciplines techniques et en ingénierie par rapport à l’ensemble de la population étudiante</w:t>
            </w:r>
          </w:p>
        </w:tc>
        <w:tc>
          <w:tcPr>
            <w:tcW w:w="1763" w:type="dxa"/>
            <w:shd w:val="clear" w:color="auto" w:fill="auto"/>
            <w:vAlign w:val="bottom"/>
          </w:tcPr>
          <w:p w:rsidR="008264C6" w:rsidRPr="0071782F" w:rsidRDefault="008264C6" w:rsidP="00B71235">
            <w:pPr>
              <w:suppressAutoHyphens w:val="0"/>
              <w:spacing w:before="40" w:after="40" w:line="220" w:lineRule="exact"/>
              <w:ind w:left="57"/>
              <w:rPr>
                <w:sz w:val="18"/>
                <w:lang w:val="fr-CH"/>
              </w:rPr>
            </w:pPr>
            <w:r w:rsidRPr="0071782F">
              <w:rPr>
                <w:sz w:val="18"/>
                <w:lang w:val="fr-CH"/>
              </w:rPr>
              <w:t>%</w:t>
            </w:r>
          </w:p>
        </w:tc>
        <w:tc>
          <w:tcPr>
            <w:tcW w:w="1086" w:type="dxa"/>
            <w:shd w:val="clear" w:color="auto" w:fill="auto"/>
            <w:vAlign w:val="bottom"/>
          </w:tcPr>
          <w:p w:rsidR="008264C6" w:rsidRPr="0071782F" w:rsidRDefault="008264C6" w:rsidP="00881286">
            <w:pPr>
              <w:suppressAutoHyphens w:val="0"/>
              <w:spacing w:before="40" w:after="40" w:line="220" w:lineRule="exact"/>
              <w:jc w:val="right"/>
              <w:rPr>
                <w:sz w:val="18"/>
                <w:lang w:val="fr-CH"/>
              </w:rPr>
            </w:pPr>
            <w:r w:rsidRPr="0071782F">
              <w:rPr>
                <w:sz w:val="18"/>
                <w:lang w:val="fr-CH"/>
              </w:rPr>
              <w:t>23</w:t>
            </w:r>
            <w:r w:rsidR="00881286" w:rsidRPr="0071782F">
              <w:rPr>
                <w:sz w:val="18"/>
                <w:lang w:val="fr-CH"/>
              </w:rPr>
              <w:t>,</w:t>
            </w:r>
            <w:r w:rsidRPr="0071782F">
              <w:rPr>
                <w:sz w:val="18"/>
                <w:lang w:val="fr-CH"/>
              </w:rPr>
              <w:t>8</w:t>
            </w:r>
          </w:p>
        </w:tc>
        <w:tc>
          <w:tcPr>
            <w:tcW w:w="1134" w:type="dxa"/>
            <w:shd w:val="clear" w:color="auto" w:fill="auto"/>
          </w:tcPr>
          <w:p w:rsidR="008264C6" w:rsidRPr="0071782F" w:rsidRDefault="008264C6" w:rsidP="00881286">
            <w:pPr>
              <w:suppressAutoHyphens w:val="0"/>
              <w:spacing w:before="40" w:after="40" w:line="220" w:lineRule="exact"/>
              <w:jc w:val="right"/>
              <w:rPr>
                <w:sz w:val="18"/>
                <w:lang w:val="fr-CH"/>
              </w:rPr>
            </w:pPr>
            <w:r w:rsidRPr="0071782F">
              <w:rPr>
                <w:sz w:val="18"/>
                <w:lang w:val="fr-CH"/>
              </w:rPr>
              <w:t>–</w:t>
            </w:r>
          </w:p>
        </w:tc>
      </w:tr>
      <w:tr w:rsidR="008264C6" w:rsidRPr="0071782F">
        <w:tc>
          <w:tcPr>
            <w:tcW w:w="4522" w:type="dxa"/>
            <w:shd w:val="clear" w:color="auto" w:fill="auto"/>
          </w:tcPr>
          <w:p w:rsidR="008264C6" w:rsidRPr="0071782F" w:rsidRDefault="00196FA5" w:rsidP="00881286">
            <w:pPr>
              <w:suppressAutoHyphens w:val="0"/>
              <w:spacing w:before="40" w:after="40" w:line="220" w:lineRule="exact"/>
              <w:rPr>
                <w:sz w:val="18"/>
                <w:lang w:val="fr-CH"/>
              </w:rPr>
            </w:pPr>
            <w:r w:rsidRPr="0071782F">
              <w:rPr>
                <w:sz w:val="18"/>
                <w:lang w:val="fr-CH"/>
              </w:rPr>
              <w:t>Proportion d’étudiants inscrits en médecine par rapport à l’ensemble de la population étudiante</w:t>
            </w:r>
          </w:p>
        </w:tc>
        <w:tc>
          <w:tcPr>
            <w:tcW w:w="1763" w:type="dxa"/>
            <w:shd w:val="clear" w:color="auto" w:fill="auto"/>
            <w:vAlign w:val="bottom"/>
          </w:tcPr>
          <w:p w:rsidR="008264C6" w:rsidRPr="0071782F" w:rsidRDefault="008264C6" w:rsidP="00B71235">
            <w:pPr>
              <w:suppressAutoHyphens w:val="0"/>
              <w:spacing w:before="40" w:after="40" w:line="220" w:lineRule="exact"/>
              <w:ind w:left="57"/>
              <w:rPr>
                <w:sz w:val="18"/>
                <w:lang w:val="fr-CH"/>
              </w:rPr>
            </w:pPr>
            <w:r w:rsidRPr="0071782F">
              <w:rPr>
                <w:sz w:val="18"/>
                <w:lang w:val="fr-CH"/>
              </w:rPr>
              <w:t>%</w:t>
            </w:r>
          </w:p>
        </w:tc>
        <w:tc>
          <w:tcPr>
            <w:tcW w:w="1086" w:type="dxa"/>
            <w:shd w:val="clear" w:color="auto" w:fill="auto"/>
            <w:vAlign w:val="bottom"/>
          </w:tcPr>
          <w:p w:rsidR="008264C6" w:rsidRPr="0071782F" w:rsidRDefault="008264C6" w:rsidP="00881286">
            <w:pPr>
              <w:suppressAutoHyphens w:val="0"/>
              <w:spacing w:before="40" w:after="40" w:line="220" w:lineRule="exact"/>
              <w:jc w:val="right"/>
              <w:rPr>
                <w:sz w:val="18"/>
                <w:lang w:val="fr-CH"/>
              </w:rPr>
            </w:pPr>
            <w:r w:rsidRPr="0071782F">
              <w:rPr>
                <w:sz w:val="18"/>
                <w:lang w:val="fr-CH"/>
              </w:rPr>
              <w:t>8</w:t>
            </w:r>
            <w:r w:rsidR="00881286" w:rsidRPr="0071782F">
              <w:rPr>
                <w:sz w:val="18"/>
                <w:lang w:val="fr-CH"/>
              </w:rPr>
              <w:t>,</w:t>
            </w:r>
            <w:r w:rsidRPr="0071782F">
              <w:rPr>
                <w:sz w:val="18"/>
                <w:lang w:val="fr-CH"/>
              </w:rPr>
              <w:t>0</w:t>
            </w:r>
          </w:p>
        </w:tc>
        <w:tc>
          <w:tcPr>
            <w:tcW w:w="1134" w:type="dxa"/>
            <w:shd w:val="clear" w:color="auto" w:fill="auto"/>
          </w:tcPr>
          <w:p w:rsidR="008264C6" w:rsidRPr="0071782F" w:rsidRDefault="008264C6" w:rsidP="00881286">
            <w:pPr>
              <w:suppressAutoHyphens w:val="0"/>
              <w:spacing w:before="40" w:after="40" w:line="220" w:lineRule="exact"/>
              <w:jc w:val="right"/>
              <w:rPr>
                <w:sz w:val="18"/>
                <w:lang w:val="fr-CH"/>
              </w:rPr>
            </w:pPr>
            <w:r w:rsidRPr="0071782F">
              <w:rPr>
                <w:sz w:val="18"/>
                <w:lang w:val="fr-CH"/>
              </w:rPr>
              <w:t>–</w:t>
            </w:r>
          </w:p>
        </w:tc>
      </w:tr>
      <w:tr w:rsidR="008264C6" w:rsidRPr="0071782F">
        <w:tc>
          <w:tcPr>
            <w:tcW w:w="4522" w:type="dxa"/>
            <w:tcBorders>
              <w:bottom w:val="single" w:sz="4" w:space="0" w:color="auto"/>
            </w:tcBorders>
            <w:shd w:val="clear" w:color="auto" w:fill="auto"/>
          </w:tcPr>
          <w:p w:rsidR="008264C6" w:rsidRPr="0071782F" w:rsidRDefault="00196FA5" w:rsidP="00881286">
            <w:pPr>
              <w:suppressAutoHyphens w:val="0"/>
              <w:spacing w:before="40" w:after="40" w:line="220" w:lineRule="exact"/>
              <w:rPr>
                <w:sz w:val="18"/>
                <w:lang w:val="fr-CH"/>
              </w:rPr>
            </w:pPr>
            <w:r w:rsidRPr="0071782F">
              <w:rPr>
                <w:sz w:val="18"/>
                <w:lang w:val="fr-CH"/>
              </w:rPr>
              <w:t>Proportion d’étudiants inscrits dans les disciplines artistiques par rapport à l’ensemble de la population étudiante</w:t>
            </w:r>
          </w:p>
        </w:tc>
        <w:tc>
          <w:tcPr>
            <w:tcW w:w="1763" w:type="dxa"/>
            <w:tcBorders>
              <w:bottom w:val="single" w:sz="4" w:space="0" w:color="auto"/>
            </w:tcBorders>
            <w:shd w:val="clear" w:color="auto" w:fill="auto"/>
            <w:vAlign w:val="bottom"/>
          </w:tcPr>
          <w:p w:rsidR="008264C6" w:rsidRPr="0071782F" w:rsidRDefault="008264C6" w:rsidP="00B71235">
            <w:pPr>
              <w:suppressAutoHyphens w:val="0"/>
              <w:spacing w:before="40" w:after="40" w:line="220" w:lineRule="exact"/>
              <w:ind w:left="57"/>
              <w:rPr>
                <w:sz w:val="18"/>
                <w:lang w:val="fr-CH"/>
              </w:rPr>
            </w:pPr>
            <w:r w:rsidRPr="0071782F">
              <w:rPr>
                <w:sz w:val="18"/>
                <w:lang w:val="fr-CH"/>
              </w:rPr>
              <w:t>%</w:t>
            </w:r>
          </w:p>
        </w:tc>
        <w:tc>
          <w:tcPr>
            <w:tcW w:w="1086" w:type="dxa"/>
            <w:tcBorders>
              <w:bottom w:val="single" w:sz="4" w:space="0" w:color="auto"/>
            </w:tcBorders>
            <w:shd w:val="clear" w:color="auto" w:fill="auto"/>
            <w:vAlign w:val="bottom"/>
          </w:tcPr>
          <w:p w:rsidR="008264C6" w:rsidRPr="0071782F" w:rsidRDefault="008264C6" w:rsidP="00881286">
            <w:pPr>
              <w:suppressAutoHyphens w:val="0"/>
              <w:spacing w:before="40" w:after="40" w:line="220" w:lineRule="exact"/>
              <w:jc w:val="right"/>
              <w:rPr>
                <w:sz w:val="18"/>
                <w:lang w:val="fr-CH"/>
              </w:rPr>
            </w:pPr>
            <w:r w:rsidRPr="0071782F">
              <w:rPr>
                <w:sz w:val="18"/>
                <w:lang w:val="fr-CH"/>
              </w:rPr>
              <w:t>4</w:t>
            </w:r>
            <w:r w:rsidR="00881286" w:rsidRPr="0071782F">
              <w:rPr>
                <w:sz w:val="18"/>
                <w:lang w:val="fr-CH"/>
              </w:rPr>
              <w:t>,</w:t>
            </w:r>
            <w:r w:rsidRPr="0071782F">
              <w:rPr>
                <w:sz w:val="18"/>
                <w:lang w:val="fr-CH"/>
              </w:rPr>
              <w:t>4</w:t>
            </w:r>
          </w:p>
        </w:tc>
        <w:tc>
          <w:tcPr>
            <w:tcW w:w="1134" w:type="dxa"/>
            <w:tcBorders>
              <w:bottom w:val="single" w:sz="4" w:space="0" w:color="auto"/>
            </w:tcBorders>
            <w:shd w:val="clear" w:color="auto" w:fill="auto"/>
          </w:tcPr>
          <w:p w:rsidR="008264C6" w:rsidRPr="0071782F" w:rsidRDefault="008264C6" w:rsidP="00881286">
            <w:pPr>
              <w:suppressAutoHyphens w:val="0"/>
              <w:spacing w:before="40" w:after="40" w:line="220" w:lineRule="exact"/>
              <w:jc w:val="right"/>
              <w:rPr>
                <w:sz w:val="18"/>
                <w:lang w:val="fr-CH"/>
              </w:rPr>
            </w:pPr>
            <w:r w:rsidRPr="0071782F">
              <w:rPr>
                <w:sz w:val="18"/>
                <w:lang w:val="fr-CH"/>
              </w:rPr>
              <w:t>–</w:t>
            </w:r>
          </w:p>
        </w:tc>
      </w:tr>
      <w:tr w:rsidR="00AD5035" w:rsidRPr="0071782F">
        <w:tc>
          <w:tcPr>
            <w:tcW w:w="4522" w:type="dxa"/>
            <w:tcBorders>
              <w:top w:val="single" w:sz="4" w:space="0" w:color="auto"/>
              <w:bottom w:val="single" w:sz="12" w:space="0" w:color="auto"/>
            </w:tcBorders>
            <w:shd w:val="clear" w:color="auto" w:fill="auto"/>
            <w:vAlign w:val="bottom"/>
          </w:tcPr>
          <w:p w:rsidR="00AD5035" w:rsidRPr="0071782F" w:rsidRDefault="00196FA5" w:rsidP="00782B71">
            <w:pPr>
              <w:suppressAutoHyphens w:val="0"/>
              <w:spacing w:before="80" w:after="80" w:line="220" w:lineRule="exact"/>
              <w:ind w:firstLine="284"/>
              <w:rPr>
                <w:b/>
                <w:sz w:val="18"/>
                <w:lang w:val="fr-CH"/>
              </w:rPr>
            </w:pPr>
            <w:r w:rsidRPr="0071782F">
              <w:rPr>
                <w:b/>
                <w:sz w:val="18"/>
                <w:lang w:val="fr-CH"/>
              </w:rPr>
              <w:t>Nombre total de diplômés</w:t>
            </w:r>
          </w:p>
        </w:tc>
        <w:tc>
          <w:tcPr>
            <w:tcW w:w="1763" w:type="dxa"/>
            <w:tcBorders>
              <w:top w:val="single" w:sz="4" w:space="0" w:color="auto"/>
              <w:bottom w:val="single" w:sz="12" w:space="0" w:color="auto"/>
            </w:tcBorders>
            <w:shd w:val="clear" w:color="auto" w:fill="auto"/>
            <w:vAlign w:val="bottom"/>
          </w:tcPr>
          <w:p w:rsidR="00AD5035" w:rsidRPr="0071782F" w:rsidRDefault="00AD5035" w:rsidP="00B71235">
            <w:pPr>
              <w:suppressAutoHyphens w:val="0"/>
              <w:spacing w:before="80" w:after="80" w:line="220" w:lineRule="exact"/>
              <w:ind w:left="57"/>
              <w:rPr>
                <w:b/>
                <w:sz w:val="18"/>
                <w:lang w:val="fr-CH"/>
              </w:rPr>
            </w:pPr>
            <w:r w:rsidRPr="0071782F">
              <w:rPr>
                <w:b/>
                <w:sz w:val="18"/>
                <w:lang w:val="fr-CH"/>
              </w:rPr>
              <w:t>Person</w:t>
            </w:r>
            <w:r w:rsidR="00196FA5" w:rsidRPr="0071782F">
              <w:rPr>
                <w:b/>
                <w:sz w:val="18"/>
                <w:lang w:val="fr-CH"/>
              </w:rPr>
              <w:t>nes</w:t>
            </w:r>
            <w:r w:rsidRPr="0071782F">
              <w:rPr>
                <w:b/>
                <w:sz w:val="18"/>
                <w:lang w:val="fr-CH"/>
              </w:rPr>
              <w:t xml:space="preserve"> (</w:t>
            </w:r>
            <w:r w:rsidR="00196FA5" w:rsidRPr="0071782F">
              <w:rPr>
                <w:b/>
                <w:sz w:val="18"/>
                <w:lang w:val="fr-CH"/>
              </w:rPr>
              <w:t>milliers</w:t>
            </w:r>
            <w:r w:rsidRPr="0071782F">
              <w:rPr>
                <w:b/>
                <w:sz w:val="18"/>
                <w:lang w:val="fr-CH"/>
              </w:rPr>
              <w:t>)</w:t>
            </w:r>
          </w:p>
        </w:tc>
        <w:tc>
          <w:tcPr>
            <w:tcW w:w="1086" w:type="dxa"/>
            <w:tcBorders>
              <w:top w:val="single" w:sz="4" w:space="0" w:color="auto"/>
              <w:bottom w:val="single" w:sz="12" w:space="0" w:color="auto"/>
            </w:tcBorders>
            <w:shd w:val="clear" w:color="auto" w:fill="auto"/>
            <w:vAlign w:val="bottom"/>
          </w:tcPr>
          <w:p w:rsidR="00AD5035" w:rsidRPr="0071782F" w:rsidRDefault="00AD5035" w:rsidP="00881286">
            <w:pPr>
              <w:suppressAutoHyphens w:val="0"/>
              <w:spacing w:before="80" w:after="80" w:line="220" w:lineRule="exact"/>
              <w:jc w:val="right"/>
              <w:rPr>
                <w:b/>
                <w:sz w:val="18"/>
                <w:lang w:val="fr-CH"/>
              </w:rPr>
            </w:pPr>
            <w:r w:rsidRPr="0071782F">
              <w:rPr>
                <w:b/>
                <w:sz w:val="18"/>
                <w:lang w:val="fr-CH"/>
              </w:rPr>
              <w:t>179</w:t>
            </w:r>
          </w:p>
        </w:tc>
        <w:tc>
          <w:tcPr>
            <w:tcW w:w="1134" w:type="dxa"/>
            <w:tcBorders>
              <w:top w:val="single" w:sz="4" w:space="0" w:color="auto"/>
              <w:bottom w:val="single" w:sz="12" w:space="0" w:color="auto"/>
            </w:tcBorders>
            <w:shd w:val="clear" w:color="auto" w:fill="auto"/>
            <w:vAlign w:val="bottom"/>
          </w:tcPr>
          <w:p w:rsidR="00AD5035" w:rsidRPr="0071782F" w:rsidRDefault="00AD5035" w:rsidP="00881286">
            <w:pPr>
              <w:suppressAutoHyphens w:val="0"/>
              <w:spacing w:before="80" w:after="80" w:line="220" w:lineRule="exact"/>
              <w:jc w:val="right"/>
              <w:rPr>
                <w:b/>
                <w:sz w:val="18"/>
                <w:lang w:val="fr-CH"/>
              </w:rPr>
            </w:pPr>
            <w:r w:rsidRPr="0071782F">
              <w:rPr>
                <w:b/>
                <w:sz w:val="18"/>
                <w:lang w:val="fr-CH"/>
              </w:rPr>
              <w:t>21</w:t>
            </w:r>
            <w:r w:rsidR="00881286" w:rsidRPr="0071782F">
              <w:rPr>
                <w:b/>
                <w:sz w:val="18"/>
                <w:lang w:val="fr-CH"/>
              </w:rPr>
              <w:t>,</w:t>
            </w:r>
            <w:r w:rsidRPr="0071782F">
              <w:rPr>
                <w:b/>
                <w:sz w:val="18"/>
                <w:lang w:val="fr-CH"/>
              </w:rPr>
              <w:t>7</w:t>
            </w:r>
            <w:r w:rsidRPr="0071782F">
              <w:rPr>
                <w:i/>
                <w:sz w:val="18"/>
                <w:vertAlign w:val="superscript"/>
                <w:lang w:val="fr-CH"/>
              </w:rPr>
              <w:t>(1)</w:t>
            </w:r>
          </w:p>
        </w:tc>
      </w:tr>
    </w:tbl>
    <w:p w:rsidR="00AD5035" w:rsidRPr="0071782F" w:rsidRDefault="00AD5035" w:rsidP="00930639">
      <w:pPr>
        <w:pStyle w:val="SingleTxtG"/>
        <w:spacing w:before="120" w:after="0"/>
        <w:ind w:firstLine="170"/>
        <w:rPr>
          <w:sz w:val="18"/>
          <w:szCs w:val="18"/>
          <w:lang w:val="fr-CH"/>
        </w:rPr>
      </w:pPr>
      <w:r w:rsidRPr="0071782F">
        <w:rPr>
          <w:i/>
          <w:sz w:val="18"/>
          <w:szCs w:val="18"/>
          <w:lang w:val="fr-CH"/>
        </w:rPr>
        <w:t>Source</w:t>
      </w:r>
      <w:r w:rsidR="008F7D33" w:rsidRPr="0071782F">
        <w:rPr>
          <w:i/>
          <w:sz w:val="18"/>
          <w:szCs w:val="18"/>
          <w:lang w:val="fr-CH"/>
        </w:rPr>
        <w:t>:</w:t>
      </w:r>
      <w:r w:rsidRPr="0071782F">
        <w:rPr>
          <w:sz w:val="18"/>
          <w:szCs w:val="18"/>
          <w:lang w:val="fr-CH"/>
        </w:rPr>
        <w:t xml:space="preserve"> </w:t>
      </w:r>
      <w:r w:rsidR="00196FA5" w:rsidRPr="0071782F">
        <w:rPr>
          <w:sz w:val="18"/>
          <w:szCs w:val="18"/>
          <w:lang w:val="fr-CH"/>
        </w:rPr>
        <w:t>Ministère de la science, de la recherche et de la technologie</w:t>
      </w:r>
      <w:r w:rsidRPr="0071782F">
        <w:rPr>
          <w:sz w:val="18"/>
          <w:szCs w:val="18"/>
          <w:lang w:val="fr-CH"/>
        </w:rPr>
        <w:t>.</w:t>
      </w:r>
    </w:p>
    <w:p w:rsidR="00AD5035" w:rsidRPr="0071782F" w:rsidRDefault="00AD5035" w:rsidP="008520EF">
      <w:pPr>
        <w:pStyle w:val="SingleTxtG"/>
        <w:spacing w:after="240"/>
        <w:ind w:firstLine="170"/>
        <w:rPr>
          <w:sz w:val="18"/>
          <w:szCs w:val="18"/>
          <w:lang w:val="fr-CH"/>
        </w:rPr>
      </w:pPr>
      <w:r w:rsidRPr="0071782F">
        <w:rPr>
          <w:i/>
          <w:sz w:val="18"/>
          <w:szCs w:val="18"/>
          <w:vertAlign w:val="superscript"/>
          <w:lang w:val="fr-CH"/>
        </w:rPr>
        <w:t>(1)</w:t>
      </w:r>
      <w:r w:rsidRPr="0071782F">
        <w:rPr>
          <w:sz w:val="18"/>
          <w:szCs w:val="18"/>
          <w:lang w:val="fr-CH"/>
        </w:rPr>
        <w:t xml:space="preserve">  </w:t>
      </w:r>
      <w:r w:rsidR="00196FA5" w:rsidRPr="0071782F">
        <w:rPr>
          <w:sz w:val="18"/>
          <w:szCs w:val="18"/>
          <w:lang w:val="fr-CH"/>
        </w:rPr>
        <w:t xml:space="preserve">Pour l’année universitaire </w:t>
      </w:r>
      <w:r w:rsidRPr="0071782F">
        <w:rPr>
          <w:sz w:val="18"/>
          <w:szCs w:val="18"/>
          <w:lang w:val="fr-CH"/>
        </w:rPr>
        <w:t>2004</w:t>
      </w:r>
      <w:r w:rsidR="00196FA5" w:rsidRPr="0071782F">
        <w:rPr>
          <w:sz w:val="18"/>
          <w:szCs w:val="18"/>
          <w:lang w:val="fr-CH"/>
        </w:rPr>
        <w:t>-</w:t>
      </w:r>
      <w:r w:rsidRPr="0071782F">
        <w:rPr>
          <w:sz w:val="18"/>
          <w:szCs w:val="18"/>
          <w:lang w:val="fr-CH"/>
        </w:rPr>
        <w:t>2005.</w:t>
      </w:r>
    </w:p>
    <w:p w:rsidR="00AD5035" w:rsidRPr="0071782F" w:rsidRDefault="00196FA5" w:rsidP="00930639">
      <w:pPr>
        <w:pStyle w:val="H23G"/>
        <w:rPr>
          <w:lang w:val="fr-CH"/>
        </w:rPr>
      </w:pPr>
      <w:r w:rsidRPr="0071782F">
        <w:rPr>
          <w:lang w:val="fr-CH"/>
        </w:rPr>
        <w:tab/>
      </w:r>
      <w:r w:rsidRPr="0071782F">
        <w:rPr>
          <w:lang w:val="fr-CH"/>
        </w:rPr>
        <w:tab/>
        <w:t>Indicateu</w:t>
      </w:r>
      <w:r w:rsidR="00AD5035" w:rsidRPr="0071782F">
        <w:rPr>
          <w:lang w:val="fr-CH"/>
        </w:rPr>
        <w:t xml:space="preserve">rs </w:t>
      </w:r>
      <w:r w:rsidRPr="0071782F">
        <w:rPr>
          <w:lang w:val="fr-CH"/>
        </w:rPr>
        <w:t>de l’enseignement supérieur e</w:t>
      </w:r>
      <w:r w:rsidR="00AD5035" w:rsidRPr="0071782F">
        <w:rPr>
          <w:lang w:val="fr-CH"/>
        </w:rPr>
        <w:t>n 2006</w:t>
      </w:r>
      <w:r w:rsidRPr="0071782F">
        <w:rPr>
          <w:lang w:val="fr-CH"/>
        </w:rPr>
        <w:t>-</w:t>
      </w:r>
      <w:r w:rsidR="00AD5035" w:rsidRPr="0071782F">
        <w:rPr>
          <w:lang w:val="fr-CH"/>
        </w:rPr>
        <w:t>2007 (</w:t>
      </w:r>
      <w:r w:rsidRPr="0071782F">
        <w:rPr>
          <w:lang w:val="fr-CH"/>
        </w:rPr>
        <w:t>Université islamique Azad</w:t>
      </w:r>
      <w:r w:rsidR="00AD5035" w:rsidRPr="0071782F">
        <w:rPr>
          <w:lang w:val="fr-CH"/>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494"/>
        <w:gridCol w:w="1743"/>
        <w:gridCol w:w="1134"/>
        <w:gridCol w:w="1134"/>
      </w:tblGrid>
      <w:tr w:rsidR="00AD5035" w:rsidRPr="0071782F">
        <w:trPr>
          <w:tblHeader/>
        </w:trPr>
        <w:tc>
          <w:tcPr>
            <w:tcW w:w="4494" w:type="dxa"/>
            <w:tcBorders>
              <w:top w:val="single" w:sz="4" w:space="0" w:color="auto"/>
              <w:bottom w:val="single" w:sz="12" w:space="0" w:color="auto"/>
            </w:tcBorders>
            <w:shd w:val="clear" w:color="auto" w:fill="auto"/>
            <w:vAlign w:val="bottom"/>
          </w:tcPr>
          <w:p w:rsidR="00AD5035" w:rsidRPr="0071782F" w:rsidRDefault="00AD5035" w:rsidP="00881286">
            <w:pPr>
              <w:suppressAutoHyphens w:val="0"/>
              <w:spacing w:before="80" w:after="80" w:line="200" w:lineRule="exact"/>
              <w:rPr>
                <w:i/>
                <w:sz w:val="16"/>
                <w:lang w:val="fr-CH"/>
              </w:rPr>
            </w:pPr>
            <w:r w:rsidRPr="0071782F">
              <w:rPr>
                <w:i/>
                <w:sz w:val="16"/>
                <w:lang w:val="fr-CH"/>
              </w:rPr>
              <w:t>Indicat</w:t>
            </w:r>
            <w:r w:rsidR="00196FA5" w:rsidRPr="0071782F">
              <w:rPr>
                <w:i/>
                <w:sz w:val="16"/>
                <w:lang w:val="fr-CH"/>
              </w:rPr>
              <w:t>eu</w:t>
            </w:r>
            <w:r w:rsidRPr="0071782F">
              <w:rPr>
                <w:i/>
                <w:sz w:val="16"/>
                <w:lang w:val="fr-CH"/>
              </w:rPr>
              <w:t>r</w:t>
            </w:r>
          </w:p>
        </w:tc>
        <w:tc>
          <w:tcPr>
            <w:tcW w:w="1743" w:type="dxa"/>
            <w:tcBorders>
              <w:top w:val="single" w:sz="4" w:space="0" w:color="auto"/>
              <w:bottom w:val="single" w:sz="12" w:space="0" w:color="auto"/>
            </w:tcBorders>
            <w:shd w:val="clear" w:color="auto" w:fill="auto"/>
            <w:vAlign w:val="bottom"/>
          </w:tcPr>
          <w:p w:rsidR="00AD5035" w:rsidRPr="0071782F" w:rsidRDefault="00AD5035" w:rsidP="00B71235">
            <w:pPr>
              <w:suppressAutoHyphens w:val="0"/>
              <w:spacing w:before="80" w:after="80" w:line="200" w:lineRule="exact"/>
              <w:ind w:left="57"/>
              <w:rPr>
                <w:i/>
                <w:sz w:val="16"/>
                <w:lang w:val="fr-CH"/>
              </w:rPr>
            </w:pPr>
            <w:r w:rsidRPr="0071782F">
              <w:rPr>
                <w:i/>
                <w:sz w:val="16"/>
                <w:lang w:val="fr-CH"/>
              </w:rPr>
              <w:t>Unit</w:t>
            </w:r>
            <w:r w:rsidR="00196FA5" w:rsidRPr="0071782F">
              <w:rPr>
                <w:i/>
                <w:sz w:val="16"/>
                <w:lang w:val="fr-CH"/>
              </w:rPr>
              <w:t>é</w:t>
            </w:r>
          </w:p>
        </w:tc>
        <w:tc>
          <w:tcPr>
            <w:tcW w:w="1134" w:type="dxa"/>
            <w:tcBorders>
              <w:top w:val="single" w:sz="4" w:space="0" w:color="auto"/>
              <w:bottom w:val="single" w:sz="12" w:space="0" w:color="auto"/>
            </w:tcBorders>
            <w:shd w:val="clear" w:color="auto" w:fill="auto"/>
            <w:vAlign w:val="bottom"/>
          </w:tcPr>
          <w:p w:rsidR="00AD5035" w:rsidRPr="0071782F" w:rsidRDefault="00AD5035" w:rsidP="00881286">
            <w:pPr>
              <w:suppressAutoHyphens w:val="0"/>
              <w:spacing w:before="80" w:after="80" w:line="200" w:lineRule="exact"/>
              <w:jc w:val="right"/>
              <w:rPr>
                <w:i/>
                <w:sz w:val="16"/>
                <w:lang w:val="fr-CH"/>
              </w:rPr>
            </w:pPr>
            <w:r w:rsidRPr="0071782F">
              <w:rPr>
                <w:i/>
                <w:sz w:val="16"/>
                <w:lang w:val="fr-CH"/>
              </w:rPr>
              <w:t>No</w:t>
            </w:r>
            <w:r w:rsidR="00196FA5" w:rsidRPr="0071782F">
              <w:rPr>
                <w:i/>
                <w:sz w:val="16"/>
                <w:lang w:val="fr-CH"/>
              </w:rPr>
              <w:t>mbre</w:t>
            </w:r>
            <w:r w:rsidRPr="0071782F">
              <w:rPr>
                <w:i/>
                <w:sz w:val="16"/>
                <w:lang w:val="fr-CH"/>
              </w:rPr>
              <w:t>/</w:t>
            </w:r>
            <w:r w:rsidR="00196FA5" w:rsidRPr="0071782F">
              <w:rPr>
                <w:i/>
                <w:sz w:val="16"/>
                <w:lang w:val="fr-CH"/>
              </w:rPr>
              <w:t>valeur</w:t>
            </w:r>
          </w:p>
        </w:tc>
        <w:tc>
          <w:tcPr>
            <w:tcW w:w="1134" w:type="dxa"/>
            <w:tcBorders>
              <w:top w:val="single" w:sz="4" w:space="0" w:color="auto"/>
              <w:bottom w:val="single" w:sz="12" w:space="0" w:color="auto"/>
            </w:tcBorders>
            <w:shd w:val="clear" w:color="auto" w:fill="auto"/>
            <w:vAlign w:val="bottom"/>
          </w:tcPr>
          <w:p w:rsidR="00AD5035" w:rsidRPr="0071782F" w:rsidRDefault="00196FA5" w:rsidP="00881286">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r w:rsidRPr="0071782F">
              <w:rPr>
                <w:i/>
                <w:sz w:val="16"/>
                <w:vertAlign w:val="superscript"/>
                <w:lang w:val="fr-CH"/>
              </w:rPr>
              <w:t xml:space="preserve"> </w:t>
            </w:r>
            <w:r w:rsidR="00AD5035" w:rsidRPr="0071782F">
              <w:rPr>
                <w:i/>
                <w:sz w:val="16"/>
                <w:vertAlign w:val="superscript"/>
                <w:lang w:val="fr-CH"/>
              </w:rPr>
              <w:t>(1)</w:t>
            </w:r>
          </w:p>
        </w:tc>
      </w:tr>
      <w:tr w:rsidR="00AD5035" w:rsidRPr="0071782F">
        <w:tc>
          <w:tcPr>
            <w:tcW w:w="4494" w:type="dxa"/>
            <w:tcBorders>
              <w:top w:val="single" w:sz="12" w:space="0" w:color="auto"/>
            </w:tcBorders>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Nombre d’étudiants</w:t>
            </w:r>
          </w:p>
        </w:tc>
        <w:tc>
          <w:tcPr>
            <w:tcW w:w="1743" w:type="dxa"/>
            <w:tcBorders>
              <w:top w:val="single" w:sz="12" w:space="0" w:color="auto"/>
            </w:tcBorders>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p>
        </w:tc>
        <w:tc>
          <w:tcPr>
            <w:tcW w:w="1134" w:type="dxa"/>
            <w:tcBorders>
              <w:top w:val="single" w:sz="12" w:space="0" w:color="auto"/>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1 290</w:t>
            </w:r>
          </w:p>
        </w:tc>
        <w:tc>
          <w:tcPr>
            <w:tcW w:w="1134" w:type="dxa"/>
            <w:tcBorders>
              <w:top w:val="single" w:sz="12" w:space="0" w:color="auto"/>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w:t>
            </w:r>
            <w:r w:rsidR="00881286" w:rsidRPr="0071782F">
              <w:rPr>
                <w:sz w:val="18"/>
                <w:lang w:val="fr-CH"/>
              </w:rPr>
              <w:t>,</w:t>
            </w:r>
            <w:r w:rsidRPr="0071782F">
              <w:rPr>
                <w:sz w:val="18"/>
                <w:lang w:val="fr-CH"/>
              </w:rPr>
              <w:t>6</w:t>
            </w:r>
          </w:p>
        </w:tc>
      </w:tr>
      <w:tr w:rsidR="00AD5035" w:rsidRPr="0071782F">
        <w:tc>
          <w:tcPr>
            <w:tcW w:w="4494" w:type="dxa"/>
            <w:tcBorders>
              <w:bottom w:val="nil"/>
            </w:tcBorders>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Nombre d’étudiants de sexe masculin</w:t>
            </w:r>
          </w:p>
        </w:tc>
        <w:tc>
          <w:tcPr>
            <w:tcW w:w="1743" w:type="dxa"/>
            <w:tcBorders>
              <w:bottom w:val="nil"/>
            </w:tcBorders>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p>
        </w:tc>
        <w:tc>
          <w:tcPr>
            <w:tcW w:w="1134" w:type="dxa"/>
            <w:tcBorders>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696</w:t>
            </w:r>
          </w:p>
        </w:tc>
        <w:tc>
          <w:tcPr>
            <w:tcW w:w="1134" w:type="dxa"/>
            <w:tcBorders>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11</w:t>
            </w:r>
            <w:r w:rsidR="00881286" w:rsidRPr="0071782F">
              <w:rPr>
                <w:sz w:val="18"/>
                <w:lang w:val="fr-CH"/>
              </w:rPr>
              <w:t>,</w:t>
            </w:r>
            <w:r w:rsidRPr="0071782F">
              <w:rPr>
                <w:sz w:val="18"/>
                <w:lang w:val="fr-CH"/>
              </w:rPr>
              <w:t>4</w:t>
            </w:r>
          </w:p>
        </w:tc>
      </w:tr>
      <w:tr w:rsidR="00AD5035" w:rsidRPr="0071782F">
        <w:tc>
          <w:tcPr>
            <w:tcW w:w="4494" w:type="dxa"/>
            <w:tcBorders>
              <w:top w:val="nil"/>
              <w:bottom w:val="single" w:sz="24" w:space="0" w:color="FFFFFF"/>
            </w:tcBorders>
            <w:shd w:val="clear" w:color="auto" w:fill="auto"/>
            <w:vAlign w:val="bottom"/>
          </w:tcPr>
          <w:p w:rsidR="00AD5035" w:rsidRPr="0071782F" w:rsidRDefault="00196FA5" w:rsidP="009C2132">
            <w:pPr>
              <w:keepNext/>
              <w:suppressAutoHyphens w:val="0"/>
              <w:spacing w:before="40" w:after="40" w:line="220" w:lineRule="exact"/>
              <w:rPr>
                <w:sz w:val="18"/>
                <w:lang w:val="fr-CH"/>
              </w:rPr>
            </w:pPr>
            <w:r w:rsidRPr="0071782F">
              <w:rPr>
                <w:sz w:val="18"/>
                <w:lang w:val="fr-CH"/>
              </w:rPr>
              <w:t>Nombre d’étudiantes</w:t>
            </w:r>
          </w:p>
        </w:tc>
        <w:tc>
          <w:tcPr>
            <w:tcW w:w="1743" w:type="dxa"/>
            <w:tcBorders>
              <w:top w:val="nil"/>
              <w:bottom w:val="single" w:sz="24" w:space="0" w:color="FFFFFF"/>
            </w:tcBorders>
            <w:shd w:val="clear" w:color="auto" w:fill="auto"/>
            <w:vAlign w:val="bottom"/>
          </w:tcPr>
          <w:p w:rsidR="00AD5035" w:rsidRPr="0071782F" w:rsidRDefault="00196FA5" w:rsidP="009C2132">
            <w:pPr>
              <w:keepNext/>
              <w:suppressAutoHyphens w:val="0"/>
              <w:spacing w:before="40" w:after="40" w:line="220" w:lineRule="exact"/>
              <w:ind w:left="57"/>
              <w:rPr>
                <w:sz w:val="18"/>
                <w:lang w:val="fr-CH"/>
              </w:rPr>
            </w:pPr>
            <w:r w:rsidRPr="0071782F">
              <w:rPr>
                <w:sz w:val="18"/>
                <w:lang w:val="fr-CH"/>
              </w:rPr>
              <w:t>Personnes (milliers)</w:t>
            </w:r>
          </w:p>
        </w:tc>
        <w:tc>
          <w:tcPr>
            <w:tcW w:w="1134" w:type="dxa"/>
            <w:tcBorders>
              <w:top w:val="nil"/>
              <w:bottom w:val="single" w:sz="24" w:space="0" w:color="FFFFFF"/>
            </w:tcBorders>
            <w:shd w:val="clear" w:color="auto" w:fill="auto"/>
            <w:vAlign w:val="bottom"/>
          </w:tcPr>
          <w:p w:rsidR="00AD5035" w:rsidRPr="0071782F" w:rsidRDefault="00AD5035" w:rsidP="009C2132">
            <w:pPr>
              <w:keepNext/>
              <w:suppressAutoHyphens w:val="0"/>
              <w:spacing w:before="40" w:after="40" w:line="220" w:lineRule="exact"/>
              <w:jc w:val="right"/>
              <w:rPr>
                <w:sz w:val="18"/>
                <w:lang w:val="fr-CH"/>
              </w:rPr>
            </w:pPr>
            <w:r w:rsidRPr="0071782F">
              <w:rPr>
                <w:sz w:val="18"/>
                <w:lang w:val="fr-CH"/>
              </w:rPr>
              <w:t>593</w:t>
            </w:r>
          </w:p>
        </w:tc>
        <w:tc>
          <w:tcPr>
            <w:tcW w:w="1134" w:type="dxa"/>
            <w:tcBorders>
              <w:top w:val="nil"/>
              <w:bottom w:val="single" w:sz="24" w:space="0" w:color="FFFFFF"/>
            </w:tcBorders>
            <w:shd w:val="clear" w:color="auto" w:fill="auto"/>
            <w:vAlign w:val="bottom"/>
          </w:tcPr>
          <w:p w:rsidR="00AD5035" w:rsidRPr="0071782F" w:rsidRDefault="00AD5035" w:rsidP="009C2132">
            <w:pPr>
              <w:keepNext/>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3</w:t>
            </w:r>
          </w:p>
        </w:tc>
      </w:tr>
      <w:tr w:rsidR="00AD5035" w:rsidRPr="0071782F">
        <w:tc>
          <w:tcPr>
            <w:tcW w:w="4494" w:type="dxa"/>
            <w:tcBorders>
              <w:top w:val="single" w:sz="24" w:space="0" w:color="FFFFFF"/>
            </w:tcBorders>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Ratio étudiants/professeurs</w:t>
            </w:r>
          </w:p>
        </w:tc>
        <w:tc>
          <w:tcPr>
            <w:tcW w:w="1743" w:type="dxa"/>
            <w:tcBorders>
              <w:top w:val="single" w:sz="24" w:space="0" w:color="FFFFFF"/>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134" w:type="dxa"/>
            <w:tcBorders>
              <w:top w:val="single" w:sz="24" w:space="0" w:color="FFFFFF"/>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24</w:t>
            </w:r>
            <w:r w:rsidR="00881286" w:rsidRPr="0071782F">
              <w:rPr>
                <w:sz w:val="18"/>
                <w:lang w:val="fr-CH"/>
              </w:rPr>
              <w:t>,</w:t>
            </w:r>
            <w:r w:rsidRPr="0071782F">
              <w:rPr>
                <w:sz w:val="18"/>
                <w:lang w:val="fr-CH"/>
              </w:rPr>
              <w:t>8</w:t>
            </w:r>
          </w:p>
        </w:tc>
        <w:tc>
          <w:tcPr>
            <w:tcW w:w="1134" w:type="dxa"/>
            <w:tcBorders>
              <w:top w:val="single" w:sz="24" w:space="0" w:color="FFFFFF"/>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8</w:t>
            </w:r>
          </w:p>
        </w:tc>
      </w:tr>
      <w:tr w:rsidR="00AD5035" w:rsidRPr="0071782F">
        <w:tc>
          <w:tcPr>
            <w:tcW w:w="4494" w:type="dxa"/>
            <w:tcBorders>
              <w:bottom w:val="nil"/>
            </w:tcBorders>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Nombre d’étudiants titulaires d’un premier diplôme universitaire</w:t>
            </w:r>
          </w:p>
        </w:tc>
        <w:tc>
          <w:tcPr>
            <w:tcW w:w="1743" w:type="dxa"/>
            <w:tcBorders>
              <w:bottom w:val="nil"/>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134" w:type="dxa"/>
            <w:tcBorders>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453 446</w:t>
            </w:r>
          </w:p>
        </w:tc>
        <w:tc>
          <w:tcPr>
            <w:tcW w:w="1134" w:type="dxa"/>
            <w:tcBorders>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w:t>
            </w:r>
            <w:r w:rsidR="00881286" w:rsidRPr="0071782F">
              <w:rPr>
                <w:sz w:val="18"/>
                <w:lang w:val="fr-CH"/>
              </w:rPr>
              <w:t>,</w:t>
            </w:r>
            <w:r w:rsidRPr="0071782F">
              <w:rPr>
                <w:sz w:val="18"/>
                <w:lang w:val="fr-CH"/>
              </w:rPr>
              <w:t>4</w:t>
            </w:r>
          </w:p>
        </w:tc>
      </w:tr>
      <w:tr w:rsidR="00AD5035" w:rsidRPr="0071782F">
        <w:tc>
          <w:tcPr>
            <w:tcW w:w="4494" w:type="dxa"/>
            <w:tcBorders>
              <w:top w:val="nil"/>
              <w:bottom w:val="nil"/>
            </w:tcBorders>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Nombre d’étudiants titulaires d’une licence</w:t>
            </w:r>
          </w:p>
        </w:tc>
        <w:tc>
          <w:tcPr>
            <w:tcW w:w="1743" w:type="dxa"/>
            <w:tcBorders>
              <w:top w:val="nil"/>
              <w:bottom w:val="nil"/>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134" w:type="dxa"/>
            <w:tcBorders>
              <w:top w:val="nil"/>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779 308</w:t>
            </w:r>
          </w:p>
        </w:tc>
        <w:tc>
          <w:tcPr>
            <w:tcW w:w="1134" w:type="dxa"/>
            <w:tcBorders>
              <w:top w:val="nil"/>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w:t>
            </w:r>
            <w:r w:rsidR="00881286" w:rsidRPr="0071782F">
              <w:rPr>
                <w:sz w:val="18"/>
                <w:lang w:val="fr-CH"/>
              </w:rPr>
              <w:t>,</w:t>
            </w:r>
            <w:r w:rsidRPr="0071782F">
              <w:rPr>
                <w:sz w:val="18"/>
                <w:lang w:val="fr-CH"/>
              </w:rPr>
              <w:t>0</w:t>
            </w:r>
          </w:p>
        </w:tc>
      </w:tr>
      <w:tr w:rsidR="00AD5035" w:rsidRPr="0071782F">
        <w:tc>
          <w:tcPr>
            <w:tcW w:w="4494" w:type="dxa"/>
            <w:tcBorders>
              <w:top w:val="nil"/>
              <w:bottom w:val="nil"/>
            </w:tcBorders>
            <w:shd w:val="clear" w:color="auto" w:fill="auto"/>
            <w:vAlign w:val="bottom"/>
          </w:tcPr>
          <w:p w:rsidR="00AD5035" w:rsidRPr="0071782F" w:rsidRDefault="00196FA5" w:rsidP="00881286">
            <w:pPr>
              <w:keepNext/>
              <w:keepLines/>
              <w:suppressAutoHyphens w:val="0"/>
              <w:spacing w:before="40" w:after="40" w:line="220" w:lineRule="exact"/>
              <w:rPr>
                <w:sz w:val="18"/>
                <w:lang w:val="fr-CH"/>
              </w:rPr>
            </w:pPr>
            <w:r w:rsidRPr="0071782F">
              <w:rPr>
                <w:sz w:val="18"/>
                <w:lang w:val="fr-CH"/>
              </w:rPr>
              <w:t>Nombre d’étudiants titulaires d’un mastère</w:t>
            </w:r>
          </w:p>
        </w:tc>
        <w:tc>
          <w:tcPr>
            <w:tcW w:w="1743" w:type="dxa"/>
            <w:tcBorders>
              <w:top w:val="nil"/>
              <w:bottom w:val="nil"/>
            </w:tcBorders>
            <w:shd w:val="clear" w:color="auto" w:fill="auto"/>
            <w:vAlign w:val="bottom"/>
          </w:tcPr>
          <w:p w:rsidR="00AD5035" w:rsidRPr="0071782F" w:rsidRDefault="00AD5035" w:rsidP="00B71235">
            <w:pPr>
              <w:keepNext/>
              <w:keepLines/>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134" w:type="dxa"/>
            <w:tcBorders>
              <w:top w:val="nil"/>
              <w:bottom w:val="nil"/>
            </w:tcBorders>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41 464</w:t>
            </w:r>
          </w:p>
        </w:tc>
        <w:tc>
          <w:tcPr>
            <w:tcW w:w="1134" w:type="dxa"/>
            <w:tcBorders>
              <w:top w:val="nil"/>
              <w:bottom w:val="nil"/>
            </w:tcBorders>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19</w:t>
            </w:r>
            <w:r w:rsidR="00881286" w:rsidRPr="0071782F">
              <w:rPr>
                <w:sz w:val="18"/>
                <w:lang w:val="fr-CH"/>
              </w:rPr>
              <w:t>,</w:t>
            </w:r>
            <w:r w:rsidRPr="0071782F">
              <w:rPr>
                <w:sz w:val="18"/>
                <w:lang w:val="fr-CH"/>
              </w:rPr>
              <w:t>3</w:t>
            </w:r>
          </w:p>
        </w:tc>
      </w:tr>
      <w:tr w:rsidR="00AD5035" w:rsidRPr="0071782F">
        <w:tc>
          <w:tcPr>
            <w:tcW w:w="4494" w:type="dxa"/>
            <w:tcBorders>
              <w:top w:val="nil"/>
              <w:bottom w:val="nil"/>
            </w:tcBorders>
            <w:shd w:val="clear" w:color="auto" w:fill="auto"/>
            <w:vAlign w:val="bottom"/>
          </w:tcPr>
          <w:p w:rsidR="00AD5035" w:rsidRPr="0071782F" w:rsidRDefault="00196FA5" w:rsidP="00881286">
            <w:pPr>
              <w:keepNext/>
              <w:keepLines/>
              <w:suppressAutoHyphens w:val="0"/>
              <w:spacing w:before="40" w:after="40" w:line="220" w:lineRule="exact"/>
              <w:rPr>
                <w:sz w:val="18"/>
                <w:lang w:val="fr-CH"/>
              </w:rPr>
            </w:pPr>
            <w:r w:rsidRPr="0071782F">
              <w:rPr>
                <w:sz w:val="18"/>
                <w:lang w:val="fr-CH"/>
              </w:rPr>
              <w:t>Nombre d’étudiants titulaires d’un doctorat professionnel</w:t>
            </w:r>
          </w:p>
        </w:tc>
        <w:tc>
          <w:tcPr>
            <w:tcW w:w="1743" w:type="dxa"/>
            <w:tcBorders>
              <w:top w:val="nil"/>
              <w:bottom w:val="nil"/>
            </w:tcBorders>
            <w:shd w:val="clear" w:color="auto" w:fill="auto"/>
            <w:vAlign w:val="bottom"/>
          </w:tcPr>
          <w:p w:rsidR="00AD5035" w:rsidRPr="0071782F" w:rsidRDefault="00AD5035" w:rsidP="00B71235">
            <w:pPr>
              <w:keepNext/>
              <w:keepLines/>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134" w:type="dxa"/>
            <w:tcBorders>
              <w:top w:val="nil"/>
              <w:bottom w:val="nil"/>
            </w:tcBorders>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11 595</w:t>
            </w:r>
          </w:p>
        </w:tc>
        <w:tc>
          <w:tcPr>
            <w:tcW w:w="1134" w:type="dxa"/>
            <w:tcBorders>
              <w:top w:val="nil"/>
              <w:bottom w:val="nil"/>
            </w:tcBorders>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10</w:t>
            </w:r>
            <w:r w:rsidR="00881286" w:rsidRPr="0071782F">
              <w:rPr>
                <w:sz w:val="18"/>
                <w:lang w:val="fr-CH"/>
              </w:rPr>
              <w:t>,</w:t>
            </w:r>
            <w:r w:rsidRPr="0071782F">
              <w:rPr>
                <w:sz w:val="18"/>
                <w:lang w:val="fr-CH"/>
              </w:rPr>
              <w:t>1</w:t>
            </w:r>
          </w:p>
        </w:tc>
      </w:tr>
      <w:tr w:rsidR="00AD5035" w:rsidRPr="0071782F">
        <w:tc>
          <w:tcPr>
            <w:tcW w:w="4494" w:type="dxa"/>
            <w:tcBorders>
              <w:top w:val="nil"/>
            </w:tcBorders>
            <w:shd w:val="clear" w:color="auto" w:fill="auto"/>
            <w:vAlign w:val="bottom"/>
          </w:tcPr>
          <w:p w:rsidR="00AD5035" w:rsidRPr="0071782F" w:rsidRDefault="00196FA5" w:rsidP="00881286">
            <w:pPr>
              <w:keepNext/>
              <w:keepLines/>
              <w:suppressAutoHyphens w:val="0"/>
              <w:spacing w:before="40" w:after="40" w:line="220" w:lineRule="exact"/>
              <w:rPr>
                <w:sz w:val="18"/>
                <w:lang w:val="fr-CH"/>
              </w:rPr>
            </w:pPr>
            <w:r w:rsidRPr="0071782F">
              <w:rPr>
                <w:sz w:val="18"/>
                <w:lang w:val="fr-CH"/>
              </w:rPr>
              <w:t>Nombre d’étudiants titulaires d’un doctorat spécialisé</w:t>
            </w:r>
          </w:p>
        </w:tc>
        <w:tc>
          <w:tcPr>
            <w:tcW w:w="1743" w:type="dxa"/>
            <w:tcBorders>
              <w:top w:val="nil"/>
            </w:tcBorders>
            <w:shd w:val="clear" w:color="auto" w:fill="auto"/>
            <w:vAlign w:val="bottom"/>
          </w:tcPr>
          <w:p w:rsidR="00AD5035" w:rsidRPr="0071782F" w:rsidRDefault="00AD5035" w:rsidP="00B71235">
            <w:pPr>
              <w:keepNext/>
              <w:keepLines/>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134" w:type="dxa"/>
            <w:tcBorders>
              <w:top w:val="nil"/>
            </w:tcBorders>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3 824</w:t>
            </w:r>
          </w:p>
        </w:tc>
        <w:tc>
          <w:tcPr>
            <w:tcW w:w="1134" w:type="dxa"/>
            <w:tcBorders>
              <w:top w:val="nil"/>
            </w:tcBorders>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26</w:t>
            </w:r>
            <w:r w:rsidR="00881286" w:rsidRPr="0071782F">
              <w:rPr>
                <w:sz w:val="18"/>
                <w:lang w:val="fr-CH"/>
              </w:rPr>
              <w:t>,</w:t>
            </w:r>
            <w:r w:rsidRPr="0071782F">
              <w:rPr>
                <w:sz w:val="18"/>
                <w:lang w:val="fr-CH"/>
              </w:rPr>
              <w:t>2</w:t>
            </w:r>
          </w:p>
        </w:tc>
      </w:tr>
      <w:tr w:rsidR="00AD5035" w:rsidRPr="0071782F">
        <w:tc>
          <w:tcPr>
            <w:tcW w:w="4494" w:type="dxa"/>
            <w:shd w:val="clear" w:color="auto" w:fill="auto"/>
            <w:vAlign w:val="bottom"/>
          </w:tcPr>
          <w:p w:rsidR="00AD5035" w:rsidRPr="0071782F" w:rsidRDefault="00196FA5" w:rsidP="00881286">
            <w:pPr>
              <w:keepNext/>
              <w:keepLines/>
              <w:suppressAutoHyphens w:val="0"/>
              <w:spacing w:before="40" w:after="40" w:line="220" w:lineRule="exact"/>
              <w:rPr>
                <w:sz w:val="18"/>
                <w:lang w:val="fr-CH"/>
              </w:rPr>
            </w:pPr>
            <w:r w:rsidRPr="0071782F">
              <w:rPr>
                <w:sz w:val="18"/>
                <w:lang w:val="fr-CH"/>
              </w:rPr>
              <w:t>Proportion d’étudiants titulaires d’un mastère ou d’un diplôme supérieur par rapport à l’ensemble de la population étudiante</w:t>
            </w:r>
          </w:p>
        </w:tc>
        <w:tc>
          <w:tcPr>
            <w:tcW w:w="1743" w:type="dxa"/>
            <w:shd w:val="clear" w:color="auto" w:fill="auto"/>
            <w:vAlign w:val="bottom"/>
          </w:tcPr>
          <w:p w:rsidR="00AD5035" w:rsidRPr="0071782F" w:rsidRDefault="00AD5035" w:rsidP="00B71235">
            <w:pPr>
              <w:keepNext/>
              <w:keepLines/>
              <w:suppressAutoHyphens w:val="0"/>
              <w:spacing w:before="40" w:after="40" w:line="220" w:lineRule="exact"/>
              <w:ind w:left="57"/>
              <w:rPr>
                <w:sz w:val="18"/>
                <w:lang w:val="fr-CH"/>
              </w:rPr>
            </w:pPr>
            <w:r w:rsidRPr="0071782F">
              <w:rPr>
                <w:sz w:val="18"/>
                <w:lang w:val="fr-CH"/>
              </w:rPr>
              <w:t>%</w:t>
            </w:r>
          </w:p>
        </w:tc>
        <w:tc>
          <w:tcPr>
            <w:tcW w:w="1134" w:type="dxa"/>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4</w:t>
            </w:r>
            <w:r w:rsidR="00881286" w:rsidRPr="0071782F">
              <w:rPr>
                <w:sz w:val="18"/>
                <w:lang w:val="fr-CH"/>
              </w:rPr>
              <w:t>,</w:t>
            </w:r>
            <w:r w:rsidRPr="0071782F">
              <w:rPr>
                <w:sz w:val="18"/>
                <w:lang w:val="fr-CH"/>
              </w:rPr>
              <w:t>4</w:t>
            </w:r>
          </w:p>
        </w:tc>
        <w:tc>
          <w:tcPr>
            <w:tcW w:w="1134" w:type="dxa"/>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4</w:t>
            </w:r>
            <w:r w:rsidRPr="0071782F">
              <w:rPr>
                <w:i/>
                <w:sz w:val="18"/>
                <w:vertAlign w:val="superscript"/>
                <w:lang w:val="fr-CH"/>
              </w:rPr>
              <w:t>(2)</w:t>
            </w:r>
          </w:p>
        </w:tc>
      </w:tr>
      <w:tr w:rsidR="00AD5035" w:rsidRPr="0071782F">
        <w:tc>
          <w:tcPr>
            <w:tcW w:w="4494" w:type="dxa"/>
            <w:shd w:val="clear" w:color="auto" w:fill="auto"/>
            <w:vAlign w:val="bottom"/>
          </w:tcPr>
          <w:p w:rsidR="00AD5035" w:rsidRPr="0071782F" w:rsidRDefault="00196FA5" w:rsidP="00881286">
            <w:pPr>
              <w:keepNext/>
              <w:keepLines/>
              <w:suppressAutoHyphens w:val="0"/>
              <w:spacing w:before="40" w:after="40" w:line="220" w:lineRule="exact"/>
              <w:rPr>
                <w:sz w:val="18"/>
                <w:lang w:val="fr-CH"/>
              </w:rPr>
            </w:pPr>
            <w:r w:rsidRPr="0071782F">
              <w:rPr>
                <w:sz w:val="18"/>
                <w:lang w:val="fr-CH"/>
              </w:rPr>
              <w:t>Proportion d’étudiants inscrits en sciences humaines par rapport à l’ensemble de la population étudiante</w:t>
            </w:r>
          </w:p>
        </w:tc>
        <w:tc>
          <w:tcPr>
            <w:tcW w:w="1743" w:type="dxa"/>
            <w:shd w:val="clear" w:color="auto" w:fill="auto"/>
            <w:vAlign w:val="bottom"/>
          </w:tcPr>
          <w:p w:rsidR="00AD5035" w:rsidRPr="0071782F" w:rsidRDefault="00AD5035" w:rsidP="00B71235">
            <w:pPr>
              <w:keepNext/>
              <w:keepLines/>
              <w:suppressAutoHyphens w:val="0"/>
              <w:spacing w:before="40" w:after="40" w:line="220" w:lineRule="exact"/>
              <w:ind w:left="57"/>
              <w:rPr>
                <w:sz w:val="18"/>
                <w:lang w:val="fr-CH"/>
              </w:rPr>
            </w:pPr>
            <w:r w:rsidRPr="0071782F">
              <w:rPr>
                <w:sz w:val="18"/>
                <w:lang w:val="fr-CH"/>
              </w:rPr>
              <w:t>%</w:t>
            </w:r>
          </w:p>
        </w:tc>
        <w:tc>
          <w:tcPr>
            <w:tcW w:w="1134" w:type="dxa"/>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42</w:t>
            </w:r>
            <w:r w:rsidR="00881286" w:rsidRPr="0071782F">
              <w:rPr>
                <w:sz w:val="18"/>
                <w:lang w:val="fr-CH"/>
              </w:rPr>
              <w:t>,</w:t>
            </w:r>
            <w:r w:rsidRPr="0071782F">
              <w:rPr>
                <w:sz w:val="18"/>
                <w:lang w:val="fr-CH"/>
              </w:rPr>
              <w:t>9</w:t>
            </w:r>
          </w:p>
        </w:tc>
        <w:tc>
          <w:tcPr>
            <w:tcW w:w="1134" w:type="dxa"/>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-2</w:t>
            </w:r>
            <w:r w:rsidR="00881286" w:rsidRPr="0071782F">
              <w:rPr>
                <w:sz w:val="18"/>
                <w:lang w:val="fr-CH"/>
              </w:rPr>
              <w:t>,</w:t>
            </w:r>
            <w:r w:rsidRPr="0071782F">
              <w:rPr>
                <w:sz w:val="18"/>
                <w:lang w:val="fr-CH"/>
              </w:rPr>
              <w:t>4</w:t>
            </w:r>
            <w:r w:rsidRPr="0071782F">
              <w:rPr>
                <w:i/>
                <w:sz w:val="18"/>
                <w:vertAlign w:val="superscript"/>
                <w:lang w:val="fr-CH"/>
              </w:rPr>
              <w:t>(2)</w:t>
            </w:r>
          </w:p>
        </w:tc>
      </w:tr>
      <w:tr w:rsidR="00AD5035" w:rsidRPr="0071782F">
        <w:tc>
          <w:tcPr>
            <w:tcW w:w="4494" w:type="dxa"/>
            <w:shd w:val="clear" w:color="auto" w:fill="auto"/>
            <w:vAlign w:val="bottom"/>
          </w:tcPr>
          <w:p w:rsidR="00AD5035" w:rsidRPr="0071782F" w:rsidRDefault="00196FA5" w:rsidP="00881286">
            <w:pPr>
              <w:keepNext/>
              <w:keepLines/>
              <w:suppressAutoHyphens w:val="0"/>
              <w:spacing w:before="40" w:after="40" w:line="220" w:lineRule="exact"/>
              <w:rPr>
                <w:sz w:val="18"/>
                <w:lang w:val="fr-CH"/>
              </w:rPr>
            </w:pPr>
            <w:r w:rsidRPr="0071782F">
              <w:rPr>
                <w:sz w:val="18"/>
                <w:lang w:val="fr-CH"/>
              </w:rPr>
              <w:t>Proportion d’étudiants inscrits en sciences pures par rapport à l’ensemble de la population étudiante</w:t>
            </w:r>
          </w:p>
        </w:tc>
        <w:tc>
          <w:tcPr>
            <w:tcW w:w="1743" w:type="dxa"/>
            <w:shd w:val="clear" w:color="auto" w:fill="auto"/>
            <w:vAlign w:val="bottom"/>
          </w:tcPr>
          <w:p w:rsidR="00AD5035" w:rsidRPr="0071782F" w:rsidRDefault="00AD5035" w:rsidP="00B71235">
            <w:pPr>
              <w:keepNext/>
              <w:keepLines/>
              <w:suppressAutoHyphens w:val="0"/>
              <w:spacing w:before="40" w:after="40" w:line="220" w:lineRule="exact"/>
              <w:ind w:left="57"/>
              <w:rPr>
                <w:sz w:val="18"/>
                <w:lang w:val="fr-CH"/>
              </w:rPr>
            </w:pPr>
            <w:r w:rsidRPr="0071782F">
              <w:rPr>
                <w:sz w:val="18"/>
                <w:lang w:val="fr-CH"/>
              </w:rPr>
              <w:t>%</w:t>
            </w:r>
          </w:p>
        </w:tc>
        <w:tc>
          <w:tcPr>
            <w:tcW w:w="1134" w:type="dxa"/>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8</w:t>
            </w:r>
            <w:r w:rsidR="00881286" w:rsidRPr="0071782F">
              <w:rPr>
                <w:sz w:val="18"/>
                <w:lang w:val="fr-CH"/>
              </w:rPr>
              <w:t>,</w:t>
            </w:r>
            <w:r w:rsidRPr="0071782F">
              <w:rPr>
                <w:sz w:val="18"/>
                <w:lang w:val="fr-CH"/>
              </w:rPr>
              <w:t>2</w:t>
            </w:r>
          </w:p>
        </w:tc>
        <w:tc>
          <w:tcPr>
            <w:tcW w:w="1134" w:type="dxa"/>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3</w:t>
            </w:r>
            <w:r w:rsidRPr="0071782F">
              <w:rPr>
                <w:i/>
                <w:sz w:val="18"/>
                <w:vertAlign w:val="superscript"/>
                <w:lang w:val="fr-CH"/>
              </w:rPr>
              <w:t>(2)</w:t>
            </w:r>
          </w:p>
        </w:tc>
      </w:tr>
      <w:tr w:rsidR="00AD5035" w:rsidRPr="0071782F">
        <w:tc>
          <w:tcPr>
            <w:tcW w:w="4494" w:type="dxa"/>
            <w:shd w:val="clear" w:color="auto" w:fill="auto"/>
            <w:vAlign w:val="bottom"/>
          </w:tcPr>
          <w:p w:rsidR="00AD5035" w:rsidRPr="0071782F" w:rsidRDefault="00196FA5" w:rsidP="00881286">
            <w:pPr>
              <w:keepNext/>
              <w:keepLines/>
              <w:suppressAutoHyphens w:val="0"/>
              <w:spacing w:before="40" w:after="40" w:line="220" w:lineRule="exact"/>
              <w:rPr>
                <w:sz w:val="18"/>
                <w:lang w:val="fr-CH"/>
              </w:rPr>
            </w:pPr>
            <w:r w:rsidRPr="0071782F">
              <w:rPr>
                <w:sz w:val="18"/>
                <w:lang w:val="fr-CH"/>
              </w:rPr>
              <w:t>Proportion d’étudiants inscrits en sciences agronomiques et vétérinaires par rapport à l’ensemble de la population étudiante</w:t>
            </w:r>
          </w:p>
        </w:tc>
        <w:tc>
          <w:tcPr>
            <w:tcW w:w="1743" w:type="dxa"/>
            <w:shd w:val="clear" w:color="auto" w:fill="auto"/>
            <w:vAlign w:val="bottom"/>
          </w:tcPr>
          <w:p w:rsidR="00AD5035" w:rsidRPr="0071782F" w:rsidRDefault="00AD5035" w:rsidP="00B71235">
            <w:pPr>
              <w:keepNext/>
              <w:keepLines/>
              <w:suppressAutoHyphens w:val="0"/>
              <w:spacing w:before="40" w:after="40" w:line="220" w:lineRule="exact"/>
              <w:ind w:left="57"/>
              <w:rPr>
                <w:sz w:val="18"/>
                <w:lang w:val="fr-CH"/>
              </w:rPr>
            </w:pPr>
            <w:r w:rsidRPr="0071782F">
              <w:rPr>
                <w:sz w:val="18"/>
                <w:lang w:val="fr-CH"/>
              </w:rPr>
              <w:t>%</w:t>
            </w:r>
          </w:p>
        </w:tc>
        <w:tc>
          <w:tcPr>
            <w:tcW w:w="1134" w:type="dxa"/>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6</w:t>
            </w:r>
            <w:r w:rsidR="00881286" w:rsidRPr="0071782F">
              <w:rPr>
                <w:sz w:val="18"/>
                <w:lang w:val="fr-CH"/>
              </w:rPr>
              <w:t>,</w:t>
            </w:r>
            <w:r w:rsidRPr="0071782F">
              <w:rPr>
                <w:sz w:val="18"/>
                <w:lang w:val="fr-CH"/>
              </w:rPr>
              <w:t>5</w:t>
            </w:r>
          </w:p>
        </w:tc>
        <w:tc>
          <w:tcPr>
            <w:tcW w:w="1134" w:type="dxa"/>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3</w:t>
            </w:r>
            <w:r w:rsidRPr="0071782F">
              <w:rPr>
                <w:i/>
                <w:sz w:val="18"/>
                <w:vertAlign w:val="superscript"/>
                <w:lang w:val="fr-CH"/>
              </w:rPr>
              <w:t>(2)</w:t>
            </w:r>
          </w:p>
        </w:tc>
      </w:tr>
      <w:tr w:rsidR="00AD5035" w:rsidRPr="0071782F">
        <w:tc>
          <w:tcPr>
            <w:tcW w:w="4494" w:type="dxa"/>
            <w:shd w:val="clear" w:color="auto" w:fill="auto"/>
            <w:vAlign w:val="bottom"/>
          </w:tcPr>
          <w:p w:rsidR="00AD5035" w:rsidRPr="0071782F" w:rsidRDefault="00196FA5" w:rsidP="00881286">
            <w:pPr>
              <w:keepNext/>
              <w:keepLines/>
              <w:suppressAutoHyphens w:val="0"/>
              <w:spacing w:before="40" w:after="40" w:line="220" w:lineRule="exact"/>
              <w:rPr>
                <w:sz w:val="18"/>
                <w:lang w:val="fr-CH"/>
              </w:rPr>
            </w:pPr>
            <w:r w:rsidRPr="0071782F">
              <w:rPr>
                <w:sz w:val="18"/>
                <w:lang w:val="fr-CH"/>
              </w:rPr>
              <w:t>Proportion d’étudiants inscrits dans les disciplines techniques et en ingénierie par rapport à l’ensemble de la population étudiante</w:t>
            </w:r>
          </w:p>
        </w:tc>
        <w:tc>
          <w:tcPr>
            <w:tcW w:w="1743" w:type="dxa"/>
            <w:shd w:val="clear" w:color="auto" w:fill="auto"/>
            <w:vAlign w:val="bottom"/>
          </w:tcPr>
          <w:p w:rsidR="00AD5035" w:rsidRPr="0071782F" w:rsidRDefault="00AD5035" w:rsidP="00B71235">
            <w:pPr>
              <w:keepNext/>
              <w:keepLines/>
              <w:suppressAutoHyphens w:val="0"/>
              <w:spacing w:before="40" w:after="40" w:line="220" w:lineRule="exact"/>
              <w:ind w:left="57"/>
              <w:rPr>
                <w:sz w:val="18"/>
                <w:lang w:val="fr-CH"/>
              </w:rPr>
            </w:pPr>
            <w:r w:rsidRPr="0071782F">
              <w:rPr>
                <w:sz w:val="18"/>
                <w:lang w:val="fr-CH"/>
              </w:rPr>
              <w:t>%</w:t>
            </w:r>
          </w:p>
        </w:tc>
        <w:tc>
          <w:tcPr>
            <w:tcW w:w="1134" w:type="dxa"/>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36</w:t>
            </w:r>
            <w:r w:rsidR="00881286" w:rsidRPr="0071782F">
              <w:rPr>
                <w:sz w:val="18"/>
                <w:lang w:val="fr-CH"/>
              </w:rPr>
              <w:t>,</w:t>
            </w:r>
            <w:r w:rsidRPr="0071782F">
              <w:rPr>
                <w:sz w:val="18"/>
                <w:lang w:val="fr-CH"/>
              </w:rPr>
              <w:t>1</w:t>
            </w:r>
          </w:p>
        </w:tc>
        <w:tc>
          <w:tcPr>
            <w:tcW w:w="1134" w:type="dxa"/>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0</w:t>
            </w:r>
            <w:r w:rsidRPr="0071782F">
              <w:rPr>
                <w:i/>
                <w:sz w:val="18"/>
                <w:vertAlign w:val="superscript"/>
                <w:lang w:val="fr-CH"/>
              </w:rPr>
              <w:t>(2)</w:t>
            </w:r>
          </w:p>
        </w:tc>
      </w:tr>
      <w:tr w:rsidR="00AD5035" w:rsidRPr="0071782F">
        <w:tc>
          <w:tcPr>
            <w:tcW w:w="4494" w:type="dxa"/>
            <w:shd w:val="clear" w:color="auto" w:fill="auto"/>
            <w:vAlign w:val="bottom"/>
          </w:tcPr>
          <w:p w:rsidR="00AD5035" w:rsidRPr="0071782F" w:rsidRDefault="00196FA5" w:rsidP="00881286">
            <w:pPr>
              <w:keepNext/>
              <w:keepLines/>
              <w:suppressAutoHyphens w:val="0"/>
              <w:spacing w:before="40" w:after="40" w:line="220" w:lineRule="exact"/>
              <w:rPr>
                <w:sz w:val="18"/>
                <w:lang w:val="fr-CH"/>
              </w:rPr>
            </w:pPr>
            <w:r w:rsidRPr="0071782F">
              <w:rPr>
                <w:sz w:val="18"/>
                <w:lang w:val="fr-CH"/>
              </w:rPr>
              <w:t>Proportion d’étudiants inscrits en médecine par rapport à l’ensemble de la population étudiante</w:t>
            </w:r>
          </w:p>
        </w:tc>
        <w:tc>
          <w:tcPr>
            <w:tcW w:w="1743" w:type="dxa"/>
            <w:shd w:val="clear" w:color="auto" w:fill="auto"/>
            <w:vAlign w:val="bottom"/>
          </w:tcPr>
          <w:p w:rsidR="00AD5035" w:rsidRPr="0071782F" w:rsidRDefault="00AD5035" w:rsidP="00B71235">
            <w:pPr>
              <w:keepNext/>
              <w:keepLines/>
              <w:suppressAutoHyphens w:val="0"/>
              <w:spacing w:before="40" w:after="40" w:line="220" w:lineRule="exact"/>
              <w:ind w:left="57"/>
              <w:rPr>
                <w:sz w:val="18"/>
                <w:lang w:val="fr-CH"/>
              </w:rPr>
            </w:pPr>
            <w:r w:rsidRPr="0071782F">
              <w:rPr>
                <w:sz w:val="18"/>
                <w:lang w:val="fr-CH"/>
              </w:rPr>
              <w:t>%</w:t>
            </w:r>
          </w:p>
        </w:tc>
        <w:tc>
          <w:tcPr>
            <w:tcW w:w="1134" w:type="dxa"/>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4</w:t>
            </w:r>
          </w:p>
        </w:tc>
        <w:tc>
          <w:tcPr>
            <w:tcW w:w="1134" w:type="dxa"/>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1</w:t>
            </w:r>
            <w:r w:rsidRPr="0071782F">
              <w:rPr>
                <w:i/>
                <w:sz w:val="18"/>
                <w:vertAlign w:val="superscript"/>
                <w:lang w:val="fr-CH"/>
              </w:rPr>
              <w:t>(2)</w:t>
            </w:r>
          </w:p>
        </w:tc>
      </w:tr>
      <w:tr w:rsidR="00AD5035" w:rsidRPr="0071782F">
        <w:tc>
          <w:tcPr>
            <w:tcW w:w="4494" w:type="dxa"/>
            <w:tcBorders>
              <w:bottom w:val="single" w:sz="4" w:space="0" w:color="auto"/>
            </w:tcBorders>
            <w:shd w:val="clear" w:color="auto" w:fill="auto"/>
            <w:vAlign w:val="bottom"/>
          </w:tcPr>
          <w:p w:rsidR="00AD5035" w:rsidRPr="0071782F" w:rsidRDefault="00196FA5" w:rsidP="00881286">
            <w:pPr>
              <w:keepNext/>
              <w:keepLines/>
              <w:suppressAutoHyphens w:val="0"/>
              <w:spacing w:before="40" w:after="40" w:line="220" w:lineRule="exact"/>
              <w:rPr>
                <w:sz w:val="18"/>
                <w:lang w:val="fr-CH"/>
              </w:rPr>
            </w:pPr>
            <w:r w:rsidRPr="0071782F">
              <w:rPr>
                <w:sz w:val="18"/>
                <w:lang w:val="fr-CH"/>
              </w:rPr>
              <w:t>Proportion d’étudiants inscrits dans les disciplines artistiques par rapport à l’ensemble de la population étudiante</w:t>
            </w:r>
          </w:p>
        </w:tc>
        <w:tc>
          <w:tcPr>
            <w:tcW w:w="1743" w:type="dxa"/>
            <w:tcBorders>
              <w:bottom w:val="single" w:sz="4" w:space="0" w:color="auto"/>
            </w:tcBorders>
            <w:shd w:val="clear" w:color="auto" w:fill="auto"/>
            <w:vAlign w:val="bottom"/>
          </w:tcPr>
          <w:p w:rsidR="00AD5035" w:rsidRPr="0071782F" w:rsidRDefault="00AD5035" w:rsidP="00B71235">
            <w:pPr>
              <w:keepNext/>
              <w:keepLines/>
              <w:suppressAutoHyphens w:val="0"/>
              <w:spacing w:before="40" w:after="40" w:line="220" w:lineRule="exact"/>
              <w:ind w:left="57"/>
              <w:rPr>
                <w:sz w:val="18"/>
                <w:lang w:val="fr-CH"/>
              </w:rPr>
            </w:pPr>
            <w:r w:rsidRPr="0071782F">
              <w:rPr>
                <w:sz w:val="18"/>
                <w:lang w:val="fr-CH"/>
              </w:rPr>
              <w:t>%</w:t>
            </w:r>
          </w:p>
        </w:tc>
        <w:tc>
          <w:tcPr>
            <w:tcW w:w="1134" w:type="dxa"/>
            <w:tcBorders>
              <w:bottom w:val="single" w:sz="4" w:space="0" w:color="auto"/>
            </w:tcBorders>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0</w:t>
            </w:r>
          </w:p>
        </w:tc>
        <w:tc>
          <w:tcPr>
            <w:tcW w:w="1134" w:type="dxa"/>
            <w:tcBorders>
              <w:bottom w:val="single" w:sz="4" w:space="0" w:color="auto"/>
            </w:tcBorders>
            <w:shd w:val="clear" w:color="auto" w:fill="auto"/>
            <w:vAlign w:val="bottom"/>
          </w:tcPr>
          <w:p w:rsidR="00AD5035" w:rsidRPr="0071782F" w:rsidRDefault="00AD5035" w:rsidP="00881286">
            <w:pPr>
              <w:keepNext/>
              <w:keepLines/>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2</w:t>
            </w:r>
            <w:r w:rsidRPr="0071782F">
              <w:rPr>
                <w:i/>
                <w:sz w:val="18"/>
                <w:vertAlign w:val="superscript"/>
                <w:lang w:val="fr-CH"/>
              </w:rPr>
              <w:t>(2)</w:t>
            </w:r>
          </w:p>
        </w:tc>
      </w:tr>
      <w:tr w:rsidR="00AD5035" w:rsidRPr="0071782F">
        <w:tc>
          <w:tcPr>
            <w:tcW w:w="4494" w:type="dxa"/>
            <w:tcBorders>
              <w:top w:val="single" w:sz="4" w:space="0" w:color="auto"/>
              <w:bottom w:val="single" w:sz="12" w:space="0" w:color="auto"/>
            </w:tcBorders>
            <w:shd w:val="clear" w:color="auto" w:fill="auto"/>
            <w:vAlign w:val="bottom"/>
          </w:tcPr>
          <w:p w:rsidR="00AD5035" w:rsidRPr="0071782F" w:rsidRDefault="00196FA5" w:rsidP="00782B71">
            <w:pPr>
              <w:keepNext/>
              <w:keepLines/>
              <w:suppressAutoHyphens w:val="0"/>
              <w:spacing w:before="80" w:after="80" w:line="220" w:lineRule="exact"/>
              <w:ind w:left="284"/>
              <w:rPr>
                <w:b/>
                <w:sz w:val="18"/>
                <w:lang w:val="fr-CH"/>
              </w:rPr>
            </w:pPr>
            <w:r w:rsidRPr="0071782F">
              <w:rPr>
                <w:b/>
                <w:sz w:val="18"/>
                <w:lang w:val="fr-CH"/>
              </w:rPr>
              <w:t>Nombre total de diplômés</w:t>
            </w:r>
            <w:r w:rsidR="00AD5035" w:rsidRPr="0071782F">
              <w:rPr>
                <w:i/>
                <w:sz w:val="18"/>
                <w:vertAlign w:val="superscript"/>
                <w:lang w:val="fr-CH"/>
              </w:rPr>
              <w:t>(3)</w:t>
            </w:r>
          </w:p>
        </w:tc>
        <w:tc>
          <w:tcPr>
            <w:tcW w:w="1743" w:type="dxa"/>
            <w:tcBorders>
              <w:top w:val="single" w:sz="4" w:space="0" w:color="auto"/>
              <w:bottom w:val="single" w:sz="12" w:space="0" w:color="auto"/>
            </w:tcBorders>
            <w:shd w:val="clear" w:color="auto" w:fill="auto"/>
            <w:vAlign w:val="bottom"/>
          </w:tcPr>
          <w:p w:rsidR="00AD5035" w:rsidRPr="0071782F" w:rsidRDefault="00AD5035" w:rsidP="00B71235">
            <w:pPr>
              <w:keepNext/>
              <w:keepLines/>
              <w:suppressAutoHyphens w:val="0"/>
              <w:spacing w:before="80" w:after="80" w:line="220" w:lineRule="exact"/>
              <w:ind w:left="57"/>
              <w:rPr>
                <w:b/>
                <w:sz w:val="18"/>
                <w:lang w:val="fr-CH"/>
              </w:rPr>
            </w:pPr>
            <w:r w:rsidRPr="0071782F">
              <w:rPr>
                <w:b/>
                <w:sz w:val="18"/>
                <w:lang w:val="fr-CH"/>
              </w:rPr>
              <w:t>Person</w:t>
            </w:r>
            <w:r w:rsidR="00196FA5" w:rsidRPr="0071782F">
              <w:rPr>
                <w:b/>
                <w:sz w:val="18"/>
                <w:lang w:val="fr-CH"/>
              </w:rPr>
              <w:t>nes</w:t>
            </w:r>
            <w:r w:rsidRPr="0071782F">
              <w:rPr>
                <w:b/>
                <w:sz w:val="18"/>
                <w:lang w:val="fr-CH"/>
              </w:rPr>
              <w:t xml:space="preserve"> (</w:t>
            </w:r>
            <w:r w:rsidR="00196FA5" w:rsidRPr="0071782F">
              <w:rPr>
                <w:b/>
                <w:sz w:val="18"/>
                <w:lang w:val="fr-CH"/>
              </w:rPr>
              <w:t>milliers</w:t>
            </w:r>
            <w:r w:rsidRPr="0071782F">
              <w:rPr>
                <w:b/>
                <w:sz w:val="18"/>
                <w:lang w:val="fr-CH"/>
              </w:rPr>
              <w:t>)</w:t>
            </w:r>
          </w:p>
        </w:tc>
        <w:tc>
          <w:tcPr>
            <w:tcW w:w="1134" w:type="dxa"/>
            <w:tcBorders>
              <w:top w:val="single" w:sz="4" w:space="0" w:color="auto"/>
              <w:bottom w:val="single" w:sz="12" w:space="0" w:color="auto"/>
            </w:tcBorders>
            <w:shd w:val="clear" w:color="auto" w:fill="auto"/>
            <w:vAlign w:val="bottom"/>
          </w:tcPr>
          <w:p w:rsidR="00AD5035" w:rsidRPr="0071782F" w:rsidRDefault="00AD5035" w:rsidP="00881286">
            <w:pPr>
              <w:keepNext/>
              <w:keepLines/>
              <w:suppressAutoHyphens w:val="0"/>
              <w:spacing w:before="80" w:after="80" w:line="220" w:lineRule="exact"/>
              <w:jc w:val="right"/>
              <w:rPr>
                <w:b/>
                <w:sz w:val="18"/>
                <w:lang w:val="fr-CH"/>
              </w:rPr>
            </w:pPr>
            <w:r w:rsidRPr="0071782F">
              <w:rPr>
                <w:b/>
                <w:sz w:val="18"/>
                <w:lang w:val="fr-CH"/>
              </w:rPr>
              <w:t>164</w:t>
            </w:r>
          </w:p>
        </w:tc>
        <w:tc>
          <w:tcPr>
            <w:tcW w:w="1134" w:type="dxa"/>
            <w:tcBorders>
              <w:top w:val="single" w:sz="4" w:space="0" w:color="auto"/>
              <w:bottom w:val="single" w:sz="12" w:space="0" w:color="auto"/>
            </w:tcBorders>
            <w:shd w:val="clear" w:color="auto" w:fill="auto"/>
            <w:vAlign w:val="bottom"/>
          </w:tcPr>
          <w:p w:rsidR="00AD5035" w:rsidRPr="0071782F" w:rsidRDefault="00AD5035" w:rsidP="00881286">
            <w:pPr>
              <w:keepNext/>
              <w:keepLines/>
              <w:suppressAutoHyphens w:val="0"/>
              <w:spacing w:before="80" w:after="80" w:line="220" w:lineRule="exact"/>
              <w:jc w:val="right"/>
              <w:rPr>
                <w:b/>
                <w:sz w:val="18"/>
                <w:lang w:val="fr-CH"/>
              </w:rPr>
            </w:pPr>
            <w:r w:rsidRPr="0071782F">
              <w:rPr>
                <w:b/>
                <w:sz w:val="18"/>
                <w:lang w:val="fr-CH"/>
              </w:rPr>
              <w:t>-6</w:t>
            </w:r>
            <w:r w:rsidR="00881286" w:rsidRPr="0071782F">
              <w:rPr>
                <w:b/>
                <w:sz w:val="18"/>
                <w:lang w:val="fr-CH"/>
              </w:rPr>
              <w:t>,</w:t>
            </w:r>
            <w:r w:rsidRPr="0071782F">
              <w:rPr>
                <w:b/>
                <w:sz w:val="18"/>
                <w:lang w:val="fr-CH"/>
              </w:rPr>
              <w:t>7</w:t>
            </w:r>
          </w:p>
        </w:tc>
      </w:tr>
    </w:tbl>
    <w:p w:rsidR="00AD5035" w:rsidRPr="0071782F" w:rsidRDefault="00AD5035" w:rsidP="00745B3F">
      <w:pPr>
        <w:pStyle w:val="SingleTxtG"/>
        <w:spacing w:before="120" w:after="0"/>
        <w:ind w:right="0" w:firstLine="170"/>
        <w:rPr>
          <w:sz w:val="18"/>
          <w:szCs w:val="18"/>
          <w:lang w:val="fr-CH"/>
        </w:rPr>
      </w:pPr>
      <w:r w:rsidRPr="0071782F">
        <w:rPr>
          <w:i/>
          <w:sz w:val="18"/>
          <w:szCs w:val="18"/>
          <w:lang w:val="fr-CH"/>
        </w:rPr>
        <w:t>Source</w:t>
      </w:r>
      <w:r w:rsidR="008F7D33" w:rsidRPr="0071782F">
        <w:rPr>
          <w:i/>
          <w:sz w:val="18"/>
          <w:szCs w:val="18"/>
          <w:lang w:val="fr-CH"/>
        </w:rPr>
        <w:t>:</w:t>
      </w:r>
      <w:r w:rsidR="0071782F">
        <w:rPr>
          <w:sz w:val="18"/>
          <w:szCs w:val="18"/>
          <w:lang w:val="fr-CH"/>
        </w:rPr>
        <w:t xml:space="preserve"> </w:t>
      </w:r>
      <w:r w:rsidR="00196FA5" w:rsidRPr="0071782F">
        <w:rPr>
          <w:sz w:val="18"/>
          <w:szCs w:val="18"/>
          <w:lang w:val="fr-CH"/>
        </w:rPr>
        <w:t xml:space="preserve">Université islamique </w:t>
      </w:r>
      <w:r w:rsidRPr="0071782F">
        <w:rPr>
          <w:sz w:val="18"/>
          <w:szCs w:val="18"/>
          <w:lang w:val="fr-CH"/>
        </w:rPr>
        <w:t>Azad.</w:t>
      </w:r>
    </w:p>
    <w:p w:rsidR="00AD5035" w:rsidRPr="0071782F" w:rsidRDefault="00AD5035" w:rsidP="00745B3F">
      <w:pPr>
        <w:pStyle w:val="SingleTxtG"/>
        <w:spacing w:after="0"/>
        <w:ind w:right="0" w:firstLine="170"/>
        <w:rPr>
          <w:sz w:val="18"/>
          <w:szCs w:val="18"/>
          <w:lang w:val="fr-CH"/>
        </w:rPr>
      </w:pPr>
      <w:r w:rsidRPr="0071782F">
        <w:rPr>
          <w:i/>
          <w:sz w:val="18"/>
          <w:szCs w:val="18"/>
          <w:vertAlign w:val="superscript"/>
          <w:lang w:val="fr-CH"/>
        </w:rPr>
        <w:t>(1)</w:t>
      </w:r>
      <w:r w:rsidRPr="0071782F">
        <w:rPr>
          <w:sz w:val="18"/>
          <w:szCs w:val="18"/>
          <w:lang w:val="fr-CH"/>
        </w:rPr>
        <w:t xml:space="preserve">  </w:t>
      </w:r>
      <w:r w:rsidR="00196FA5" w:rsidRPr="0071782F">
        <w:rPr>
          <w:sz w:val="18"/>
          <w:szCs w:val="18"/>
          <w:lang w:val="fr-CH"/>
        </w:rPr>
        <w:t>Variation en pourcentage calculée sur la base des informations révisées pour l’année antérieure présentées par l’organisation co</w:t>
      </w:r>
      <w:r w:rsidR="00A05045" w:rsidRPr="0071782F">
        <w:rPr>
          <w:sz w:val="18"/>
          <w:szCs w:val="18"/>
          <w:lang w:val="fr-CH"/>
        </w:rPr>
        <w:t>ncernée</w:t>
      </w:r>
      <w:r w:rsidRPr="0071782F">
        <w:rPr>
          <w:sz w:val="18"/>
          <w:szCs w:val="18"/>
          <w:lang w:val="fr-CH"/>
        </w:rPr>
        <w:t>.</w:t>
      </w:r>
    </w:p>
    <w:p w:rsidR="00AD5035" w:rsidRPr="0071782F" w:rsidRDefault="00AD5035" w:rsidP="00745B3F">
      <w:pPr>
        <w:pStyle w:val="SingleTxtG"/>
        <w:spacing w:after="0"/>
        <w:ind w:right="0" w:firstLine="170"/>
        <w:rPr>
          <w:sz w:val="18"/>
          <w:szCs w:val="18"/>
          <w:lang w:val="fr-CH"/>
        </w:rPr>
      </w:pPr>
      <w:r w:rsidRPr="0071782F">
        <w:rPr>
          <w:i/>
          <w:sz w:val="18"/>
          <w:szCs w:val="18"/>
          <w:vertAlign w:val="superscript"/>
          <w:lang w:val="fr-CH"/>
        </w:rPr>
        <w:t>(2)</w:t>
      </w:r>
      <w:r w:rsidRPr="0071782F">
        <w:rPr>
          <w:sz w:val="18"/>
          <w:szCs w:val="18"/>
          <w:lang w:val="fr-CH"/>
        </w:rPr>
        <w:t xml:space="preserve">  </w:t>
      </w:r>
      <w:r w:rsidR="00196FA5" w:rsidRPr="0071782F">
        <w:rPr>
          <w:sz w:val="18"/>
          <w:szCs w:val="18"/>
          <w:lang w:val="fr-CH"/>
        </w:rPr>
        <w:t>Chiffre calculé sur la base de la variation de l’</w:t>
      </w:r>
      <w:r w:rsidRPr="0071782F">
        <w:rPr>
          <w:sz w:val="18"/>
          <w:szCs w:val="18"/>
          <w:lang w:val="fr-CH"/>
        </w:rPr>
        <w:t>indicat</w:t>
      </w:r>
      <w:r w:rsidR="00196FA5" w:rsidRPr="0071782F">
        <w:rPr>
          <w:sz w:val="18"/>
          <w:szCs w:val="18"/>
          <w:lang w:val="fr-CH"/>
        </w:rPr>
        <w:t>eu</w:t>
      </w:r>
      <w:r w:rsidRPr="0071782F">
        <w:rPr>
          <w:sz w:val="18"/>
          <w:szCs w:val="18"/>
          <w:lang w:val="fr-CH"/>
        </w:rPr>
        <w:t>r</w:t>
      </w:r>
      <w:r w:rsidR="00A05045" w:rsidRPr="0071782F">
        <w:rPr>
          <w:sz w:val="18"/>
          <w:szCs w:val="18"/>
          <w:lang w:val="fr-CH"/>
        </w:rPr>
        <w:t xml:space="preserve"> </w:t>
      </w:r>
      <w:r w:rsidR="00196FA5" w:rsidRPr="0071782F">
        <w:rPr>
          <w:sz w:val="18"/>
          <w:szCs w:val="18"/>
          <w:lang w:val="fr-CH"/>
        </w:rPr>
        <w:t>par rapport à l’année antérieure</w:t>
      </w:r>
      <w:r w:rsidRPr="0071782F">
        <w:rPr>
          <w:sz w:val="18"/>
          <w:szCs w:val="18"/>
          <w:lang w:val="fr-CH"/>
        </w:rPr>
        <w:t>.</w:t>
      </w:r>
    </w:p>
    <w:p w:rsidR="00AD5035" w:rsidRPr="0071782F" w:rsidRDefault="00AD5035" w:rsidP="00745B3F">
      <w:pPr>
        <w:pStyle w:val="SingleTxtG"/>
        <w:spacing w:after="240"/>
        <w:ind w:right="0" w:firstLine="170"/>
        <w:rPr>
          <w:sz w:val="18"/>
          <w:szCs w:val="18"/>
          <w:lang w:val="fr-CH"/>
        </w:rPr>
      </w:pPr>
      <w:r w:rsidRPr="0071782F">
        <w:rPr>
          <w:i/>
          <w:sz w:val="18"/>
          <w:szCs w:val="18"/>
          <w:vertAlign w:val="superscript"/>
          <w:lang w:val="fr-CH"/>
        </w:rPr>
        <w:t>(3)</w:t>
      </w:r>
      <w:r w:rsidRPr="0071782F">
        <w:rPr>
          <w:sz w:val="18"/>
          <w:szCs w:val="18"/>
          <w:lang w:val="fr-CH"/>
        </w:rPr>
        <w:t xml:space="preserve">  </w:t>
      </w:r>
      <w:r w:rsidR="00196FA5" w:rsidRPr="0071782F">
        <w:rPr>
          <w:sz w:val="18"/>
          <w:szCs w:val="18"/>
          <w:lang w:val="fr-CH"/>
        </w:rPr>
        <w:t xml:space="preserve">Donnée correspondant à l’année universitaire </w:t>
      </w:r>
      <w:r w:rsidRPr="0071782F">
        <w:rPr>
          <w:sz w:val="18"/>
          <w:szCs w:val="18"/>
          <w:lang w:val="fr-CH"/>
        </w:rPr>
        <w:t>2005</w:t>
      </w:r>
      <w:r w:rsidR="00196FA5" w:rsidRPr="0071782F">
        <w:rPr>
          <w:sz w:val="18"/>
          <w:szCs w:val="18"/>
          <w:lang w:val="fr-CH"/>
        </w:rPr>
        <w:t>-</w:t>
      </w:r>
      <w:r w:rsidRPr="0071782F">
        <w:rPr>
          <w:sz w:val="18"/>
          <w:szCs w:val="18"/>
          <w:lang w:val="fr-CH"/>
        </w:rPr>
        <w:t>2006.</w:t>
      </w:r>
    </w:p>
    <w:p w:rsidR="00AD5035" w:rsidRPr="0071782F" w:rsidRDefault="00AD5035" w:rsidP="00930639">
      <w:pPr>
        <w:pStyle w:val="H23G"/>
        <w:rPr>
          <w:lang w:val="fr-CH"/>
        </w:rPr>
      </w:pPr>
      <w:r w:rsidRPr="0071782F">
        <w:rPr>
          <w:lang w:val="fr-CH"/>
        </w:rPr>
        <w:tab/>
      </w:r>
      <w:r w:rsidRPr="0071782F">
        <w:rPr>
          <w:lang w:val="fr-CH"/>
        </w:rPr>
        <w:tab/>
      </w:r>
      <w:r w:rsidR="00196FA5" w:rsidRPr="0071782F">
        <w:rPr>
          <w:lang w:val="fr-CH"/>
        </w:rPr>
        <w:t>Indicateurs de l’enseignement supérieur en 2007-2008 (Université islamique Azad)</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424"/>
        <w:gridCol w:w="1702"/>
        <w:gridCol w:w="1245"/>
        <w:gridCol w:w="1134"/>
      </w:tblGrid>
      <w:tr w:rsidR="00AD5035" w:rsidRPr="0071782F">
        <w:trPr>
          <w:tblHeader/>
        </w:trPr>
        <w:tc>
          <w:tcPr>
            <w:tcW w:w="4424" w:type="dxa"/>
            <w:tcBorders>
              <w:top w:val="single" w:sz="4" w:space="0" w:color="auto"/>
              <w:bottom w:val="single" w:sz="12" w:space="0" w:color="auto"/>
            </w:tcBorders>
            <w:shd w:val="clear" w:color="auto" w:fill="auto"/>
            <w:vAlign w:val="bottom"/>
          </w:tcPr>
          <w:p w:rsidR="00AD5035" w:rsidRPr="0071782F" w:rsidRDefault="00AD5035" w:rsidP="00881286">
            <w:pPr>
              <w:suppressAutoHyphens w:val="0"/>
              <w:spacing w:before="80" w:after="80" w:line="200" w:lineRule="exact"/>
              <w:rPr>
                <w:i/>
                <w:sz w:val="16"/>
                <w:lang w:val="fr-CH"/>
              </w:rPr>
            </w:pPr>
            <w:r w:rsidRPr="0071782F">
              <w:rPr>
                <w:i/>
                <w:sz w:val="16"/>
                <w:lang w:val="fr-CH"/>
              </w:rPr>
              <w:t>Indicat</w:t>
            </w:r>
            <w:r w:rsidR="00196FA5" w:rsidRPr="0071782F">
              <w:rPr>
                <w:i/>
                <w:sz w:val="16"/>
                <w:lang w:val="fr-CH"/>
              </w:rPr>
              <w:t>eu</w:t>
            </w:r>
            <w:r w:rsidRPr="0071782F">
              <w:rPr>
                <w:i/>
                <w:sz w:val="16"/>
                <w:lang w:val="fr-CH"/>
              </w:rPr>
              <w:t>r</w:t>
            </w:r>
          </w:p>
        </w:tc>
        <w:tc>
          <w:tcPr>
            <w:tcW w:w="1702" w:type="dxa"/>
            <w:tcBorders>
              <w:top w:val="single" w:sz="4" w:space="0" w:color="auto"/>
              <w:bottom w:val="single" w:sz="12" w:space="0" w:color="auto"/>
            </w:tcBorders>
            <w:shd w:val="clear" w:color="auto" w:fill="auto"/>
            <w:vAlign w:val="bottom"/>
          </w:tcPr>
          <w:p w:rsidR="00AD5035" w:rsidRPr="0071782F" w:rsidRDefault="00AD5035" w:rsidP="00B71235">
            <w:pPr>
              <w:suppressAutoHyphens w:val="0"/>
              <w:spacing w:before="80" w:after="80" w:line="200" w:lineRule="exact"/>
              <w:ind w:left="57"/>
              <w:rPr>
                <w:i/>
                <w:sz w:val="16"/>
                <w:lang w:val="fr-CH"/>
              </w:rPr>
            </w:pPr>
            <w:r w:rsidRPr="0071782F">
              <w:rPr>
                <w:i/>
                <w:sz w:val="16"/>
                <w:lang w:val="fr-CH"/>
              </w:rPr>
              <w:t>Unit</w:t>
            </w:r>
            <w:r w:rsidR="00196FA5" w:rsidRPr="0071782F">
              <w:rPr>
                <w:i/>
                <w:sz w:val="16"/>
                <w:lang w:val="fr-CH"/>
              </w:rPr>
              <w:t>é</w:t>
            </w:r>
          </w:p>
        </w:tc>
        <w:tc>
          <w:tcPr>
            <w:tcW w:w="1245" w:type="dxa"/>
            <w:tcBorders>
              <w:top w:val="single" w:sz="4" w:space="0" w:color="auto"/>
              <w:bottom w:val="single" w:sz="12" w:space="0" w:color="auto"/>
            </w:tcBorders>
            <w:shd w:val="clear" w:color="auto" w:fill="auto"/>
            <w:vAlign w:val="bottom"/>
          </w:tcPr>
          <w:p w:rsidR="00AD5035" w:rsidRPr="0071782F" w:rsidRDefault="00AD5035" w:rsidP="00881286">
            <w:pPr>
              <w:suppressAutoHyphens w:val="0"/>
              <w:spacing w:before="80" w:after="80" w:line="200" w:lineRule="exact"/>
              <w:jc w:val="right"/>
              <w:rPr>
                <w:i/>
                <w:sz w:val="16"/>
                <w:lang w:val="fr-CH"/>
              </w:rPr>
            </w:pPr>
            <w:r w:rsidRPr="0071782F">
              <w:rPr>
                <w:i/>
                <w:sz w:val="16"/>
                <w:lang w:val="fr-CH"/>
              </w:rPr>
              <w:t>No</w:t>
            </w:r>
            <w:r w:rsidR="00196FA5" w:rsidRPr="0071782F">
              <w:rPr>
                <w:i/>
                <w:sz w:val="16"/>
                <w:lang w:val="fr-CH"/>
              </w:rPr>
              <w:t>mbre</w:t>
            </w:r>
            <w:r w:rsidRPr="0071782F">
              <w:rPr>
                <w:i/>
                <w:sz w:val="16"/>
                <w:lang w:val="fr-CH"/>
              </w:rPr>
              <w:t>/</w:t>
            </w:r>
            <w:r w:rsidR="00196FA5" w:rsidRPr="0071782F">
              <w:rPr>
                <w:i/>
                <w:sz w:val="16"/>
                <w:lang w:val="fr-CH"/>
              </w:rPr>
              <w:t>valeur</w:t>
            </w:r>
          </w:p>
        </w:tc>
        <w:tc>
          <w:tcPr>
            <w:tcW w:w="1134" w:type="dxa"/>
            <w:tcBorders>
              <w:top w:val="single" w:sz="4" w:space="0" w:color="auto"/>
              <w:bottom w:val="single" w:sz="12" w:space="0" w:color="auto"/>
            </w:tcBorders>
            <w:shd w:val="clear" w:color="auto" w:fill="auto"/>
            <w:vAlign w:val="bottom"/>
          </w:tcPr>
          <w:p w:rsidR="00AD5035" w:rsidRPr="0071782F" w:rsidRDefault="00196FA5" w:rsidP="00881286">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 </w:t>
            </w:r>
          </w:p>
        </w:tc>
      </w:tr>
      <w:tr w:rsidR="00AD5035" w:rsidRPr="0071782F">
        <w:tc>
          <w:tcPr>
            <w:tcW w:w="4424" w:type="dxa"/>
            <w:tcBorders>
              <w:top w:val="single" w:sz="12" w:space="0" w:color="auto"/>
            </w:tcBorders>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Nombre d’étudiants</w:t>
            </w:r>
          </w:p>
        </w:tc>
        <w:tc>
          <w:tcPr>
            <w:tcW w:w="1702" w:type="dxa"/>
            <w:tcBorders>
              <w:top w:val="single" w:sz="12" w:space="0" w:color="auto"/>
            </w:tcBorders>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p>
        </w:tc>
        <w:tc>
          <w:tcPr>
            <w:tcW w:w="1245" w:type="dxa"/>
            <w:tcBorders>
              <w:top w:val="single" w:sz="12" w:space="0" w:color="auto"/>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1 303</w:t>
            </w:r>
          </w:p>
        </w:tc>
        <w:tc>
          <w:tcPr>
            <w:tcW w:w="1134" w:type="dxa"/>
            <w:tcBorders>
              <w:top w:val="single" w:sz="12" w:space="0" w:color="auto"/>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w:t>
            </w:r>
            <w:r w:rsidR="00881286" w:rsidRPr="0071782F">
              <w:rPr>
                <w:sz w:val="18"/>
                <w:lang w:val="fr-CH"/>
              </w:rPr>
              <w:t>,</w:t>
            </w:r>
            <w:r w:rsidRPr="0071782F">
              <w:rPr>
                <w:sz w:val="18"/>
                <w:lang w:val="fr-CH"/>
              </w:rPr>
              <w:t>0</w:t>
            </w:r>
          </w:p>
        </w:tc>
      </w:tr>
      <w:tr w:rsidR="00AD5035" w:rsidRPr="0071782F">
        <w:tc>
          <w:tcPr>
            <w:tcW w:w="4424" w:type="dxa"/>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Nombre d’étudiants de sexe masculin</w:t>
            </w:r>
          </w:p>
        </w:tc>
        <w:tc>
          <w:tcPr>
            <w:tcW w:w="1702" w:type="dxa"/>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p>
        </w:tc>
        <w:tc>
          <w:tcPr>
            <w:tcW w:w="1245"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735</w:t>
            </w:r>
          </w:p>
        </w:tc>
        <w:tc>
          <w:tcPr>
            <w:tcW w:w="1134"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5</w:t>
            </w:r>
            <w:r w:rsidR="00881286" w:rsidRPr="0071782F">
              <w:rPr>
                <w:sz w:val="18"/>
                <w:lang w:val="fr-CH"/>
              </w:rPr>
              <w:t>,</w:t>
            </w:r>
            <w:r w:rsidRPr="0071782F">
              <w:rPr>
                <w:sz w:val="18"/>
                <w:lang w:val="fr-CH"/>
              </w:rPr>
              <w:t>5</w:t>
            </w:r>
          </w:p>
        </w:tc>
      </w:tr>
      <w:tr w:rsidR="00AD5035" w:rsidRPr="0071782F">
        <w:tc>
          <w:tcPr>
            <w:tcW w:w="4424" w:type="dxa"/>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Nombre d’étudiantes</w:t>
            </w:r>
          </w:p>
        </w:tc>
        <w:tc>
          <w:tcPr>
            <w:tcW w:w="1702" w:type="dxa"/>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p>
        </w:tc>
        <w:tc>
          <w:tcPr>
            <w:tcW w:w="1245"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568</w:t>
            </w:r>
          </w:p>
        </w:tc>
        <w:tc>
          <w:tcPr>
            <w:tcW w:w="1134"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-4</w:t>
            </w:r>
            <w:r w:rsidR="00881286" w:rsidRPr="0071782F">
              <w:rPr>
                <w:sz w:val="18"/>
                <w:lang w:val="fr-CH"/>
              </w:rPr>
              <w:t>,</w:t>
            </w:r>
            <w:r w:rsidRPr="0071782F">
              <w:rPr>
                <w:sz w:val="18"/>
                <w:lang w:val="fr-CH"/>
              </w:rPr>
              <w:t>3</w:t>
            </w:r>
          </w:p>
        </w:tc>
      </w:tr>
      <w:tr w:rsidR="00AD5035" w:rsidRPr="0071782F">
        <w:tc>
          <w:tcPr>
            <w:tcW w:w="4424" w:type="dxa"/>
            <w:tcBorders>
              <w:bottom w:val="nil"/>
            </w:tcBorders>
            <w:shd w:val="clear" w:color="auto" w:fill="auto"/>
            <w:vAlign w:val="bottom"/>
          </w:tcPr>
          <w:p w:rsidR="00AD5035" w:rsidRPr="0071782F" w:rsidRDefault="00196FA5" w:rsidP="00881286">
            <w:pPr>
              <w:suppressAutoHyphens w:val="0"/>
              <w:spacing w:before="40" w:after="40" w:line="220" w:lineRule="exact"/>
              <w:rPr>
                <w:sz w:val="18"/>
                <w:lang w:val="fr-CH"/>
              </w:rPr>
            </w:pPr>
            <w:r w:rsidRPr="0071782F">
              <w:rPr>
                <w:sz w:val="18"/>
                <w:lang w:val="fr-CH"/>
              </w:rPr>
              <w:t>Ratio étudiants/professeurs</w:t>
            </w:r>
          </w:p>
        </w:tc>
        <w:tc>
          <w:tcPr>
            <w:tcW w:w="1702" w:type="dxa"/>
            <w:tcBorders>
              <w:bottom w:val="nil"/>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245" w:type="dxa"/>
            <w:tcBorders>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23</w:t>
            </w:r>
            <w:r w:rsidR="00881286" w:rsidRPr="0071782F">
              <w:rPr>
                <w:sz w:val="18"/>
                <w:lang w:val="fr-CH"/>
              </w:rPr>
              <w:t>,</w:t>
            </w:r>
            <w:r w:rsidRPr="0071782F">
              <w:rPr>
                <w:sz w:val="18"/>
                <w:lang w:val="fr-CH"/>
              </w:rPr>
              <w:t>2</w:t>
            </w:r>
          </w:p>
        </w:tc>
        <w:tc>
          <w:tcPr>
            <w:tcW w:w="1134" w:type="dxa"/>
            <w:tcBorders>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-6</w:t>
            </w:r>
            <w:r w:rsidR="00881286" w:rsidRPr="0071782F">
              <w:rPr>
                <w:sz w:val="18"/>
                <w:lang w:val="fr-CH"/>
              </w:rPr>
              <w:t>,</w:t>
            </w:r>
            <w:r w:rsidRPr="0071782F">
              <w:rPr>
                <w:sz w:val="18"/>
                <w:lang w:val="fr-CH"/>
              </w:rPr>
              <w:t>5</w:t>
            </w:r>
          </w:p>
        </w:tc>
      </w:tr>
      <w:tr w:rsidR="00AD5035" w:rsidRPr="0071782F">
        <w:tc>
          <w:tcPr>
            <w:tcW w:w="4424" w:type="dxa"/>
            <w:tcBorders>
              <w:top w:val="nil"/>
              <w:bottom w:val="single" w:sz="24" w:space="0" w:color="FFFFFF"/>
            </w:tcBorders>
            <w:shd w:val="clear" w:color="auto" w:fill="auto"/>
            <w:vAlign w:val="bottom"/>
          </w:tcPr>
          <w:p w:rsidR="00AD5035" w:rsidRPr="0071782F" w:rsidRDefault="008B2C9D" w:rsidP="00881286">
            <w:pPr>
              <w:suppressAutoHyphens w:val="0"/>
              <w:spacing w:before="40" w:after="40" w:line="220" w:lineRule="exact"/>
              <w:rPr>
                <w:sz w:val="18"/>
                <w:lang w:val="fr-CH"/>
              </w:rPr>
            </w:pPr>
            <w:r w:rsidRPr="0071782F">
              <w:rPr>
                <w:sz w:val="18"/>
                <w:lang w:val="fr-CH"/>
              </w:rPr>
              <w:t>Nombre d’étudiants titulaires d’un premier diplôme universitaire</w:t>
            </w:r>
          </w:p>
        </w:tc>
        <w:tc>
          <w:tcPr>
            <w:tcW w:w="1702" w:type="dxa"/>
            <w:tcBorders>
              <w:top w:val="nil"/>
              <w:bottom w:val="single" w:sz="24" w:space="0" w:color="FFFFFF"/>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245" w:type="dxa"/>
            <w:tcBorders>
              <w:top w:val="nil"/>
              <w:bottom w:val="single" w:sz="24" w:space="0" w:color="FFFFFF"/>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451 704</w:t>
            </w:r>
          </w:p>
        </w:tc>
        <w:tc>
          <w:tcPr>
            <w:tcW w:w="1134" w:type="dxa"/>
            <w:tcBorders>
              <w:top w:val="nil"/>
              <w:bottom w:val="single" w:sz="24" w:space="0" w:color="FFFFFF"/>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4</w:t>
            </w:r>
          </w:p>
        </w:tc>
      </w:tr>
      <w:tr w:rsidR="00AD5035" w:rsidRPr="0071782F">
        <w:tc>
          <w:tcPr>
            <w:tcW w:w="4424" w:type="dxa"/>
            <w:tcBorders>
              <w:top w:val="single" w:sz="24" w:space="0" w:color="FFFFFF"/>
            </w:tcBorders>
            <w:shd w:val="clear" w:color="auto" w:fill="auto"/>
            <w:vAlign w:val="bottom"/>
          </w:tcPr>
          <w:p w:rsidR="00AD5035" w:rsidRPr="0071782F" w:rsidRDefault="008B2C9D" w:rsidP="00881286">
            <w:pPr>
              <w:suppressAutoHyphens w:val="0"/>
              <w:spacing w:before="40" w:after="40" w:line="220" w:lineRule="exact"/>
              <w:rPr>
                <w:sz w:val="18"/>
                <w:lang w:val="fr-CH"/>
              </w:rPr>
            </w:pPr>
            <w:r w:rsidRPr="0071782F">
              <w:rPr>
                <w:sz w:val="18"/>
                <w:lang w:val="fr-CH"/>
              </w:rPr>
              <w:t>Nombre d’étudiants titulaires d’une licence</w:t>
            </w:r>
          </w:p>
        </w:tc>
        <w:tc>
          <w:tcPr>
            <w:tcW w:w="1702" w:type="dxa"/>
            <w:tcBorders>
              <w:top w:val="single" w:sz="24" w:space="0" w:color="FFFFFF"/>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245" w:type="dxa"/>
            <w:tcBorders>
              <w:top w:val="single" w:sz="24" w:space="0" w:color="FFFFFF"/>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783 158</w:t>
            </w:r>
          </w:p>
        </w:tc>
        <w:tc>
          <w:tcPr>
            <w:tcW w:w="1134" w:type="dxa"/>
            <w:tcBorders>
              <w:top w:val="single" w:sz="24" w:space="0" w:color="FFFFFF"/>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5</w:t>
            </w:r>
          </w:p>
        </w:tc>
      </w:tr>
      <w:tr w:rsidR="00AD5035" w:rsidRPr="0071782F">
        <w:tc>
          <w:tcPr>
            <w:tcW w:w="4424" w:type="dxa"/>
            <w:shd w:val="clear" w:color="auto" w:fill="auto"/>
            <w:vAlign w:val="bottom"/>
          </w:tcPr>
          <w:p w:rsidR="00AD5035" w:rsidRPr="0071782F" w:rsidRDefault="008B2C9D" w:rsidP="00881286">
            <w:pPr>
              <w:suppressAutoHyphens w:val="0"/>
              <w:spacing w:before="40" w:after="40" w:line="220" w:lineRule="exact"/>
              <w:rPr>
                <w:sz w:val="18"/>
                <w:lang w:val="fr-CH"/>
              </w:rPr>
            </w:pPr>
            <w:r w:rsidRPr="0071782F">
              <w:rPr>
                <w:sz w:val="18"/>
                <w:lang w:val="fr-CH"/>
              </w:rPr>
              <w:t>Nombre d’étudiants titulaires d’un mastère</w:t>
            </w:r>
          </w:p>
        </w:tc>
        <w:tc>
          <w:tcPr>
            <w:tcW w:w="1702"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245"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52 503</w:t>
            </w:r>
          </w:p>
        </w:tc>
        <w:tc>
          <w:tcPr>
            <w:tcW w:w="1134"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26</w:t>
            </w:r>
            <w:r w:rsidR="00881286" w:rsidRPr="0071782F">
              <w:rPr>
                <w:sz w:val="18"/>
                <w:lang w:val="fr-CH"/>
              </w:rPr>
              <w:t>,</w:t>
            </w:r>
            <w:r w:rsidRPr="0071782F">
              <w:rPr>
                <w:sz w:val="18"/>
                <w:lang w:val="fr-CH"/>
              </w:rPr>
              <w:t>6</w:t>
            </w:r>
          </w:p>
        </w:tc>
      </w:tr>
      <w:tr w:rsidR="00AD5035" w:rsidRPr="0071782F">
        <w:tc>
          <w:tcPr>
            <w:tcW w:w="4424" w:type="dxa"/>
            <w:tcBorders>
              <w:bottom w:val="nil"/>
            </w:tcBorders>
            <w:shd w:val="clear" w:color="auto" w:fill="auto"/>
            <w:vAlign w:val="bottom"/>
          </w:tcPr>
          <w:p w:rsidR="00AD5035" w:rsidRPr="0071782F" w:rsidRDefault="008B2C9D" w:rsidP="00881286">
            <w:pPr>
              <w:suppressAutoHyphens w:val="0"/>
              <w:spacing w:before="40" w:after="40" w:line="220" w:lineRule="exact"/>
              <w:rPr>
                <w:sz w:val="18"/>
                <w:lang w:val="fr-CH"/>
              </w:rPr>
            </w:pPr>
            <w:r w:rsidRPr="0071782F">
              <w:rPr>
                <w:sz w:val="18"/>
                <w:lang w:val="fr-CH"/>
              </w:rPr>
              <w:t>Nombre d’étudiants titulaires d’un doctorat professionnel</w:t>
            </w:r>
          </w:p>
        </w:tc>
        <w:tc>
          <w:tcPr>
            <w:tcW w:w="1702" w:type="dxa"/>
            <w:tcBorders>
              <w:bottom w:val="nil"/>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245" w:type="dxa"/>
            <w:tcBorders>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11 238</w:t>
            </w:r>
          </w:p>
        </w:tc>
        <w:tc>
          <w:tcPr>
            <w:tcW w:w="1134" w:type="dxa"/>
            <w:tcBorders>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w:t>
            </w:r>
            <w:r w:rsidR="00881286" w:rsidRPr="0071782F">
              <w:rPr>
                <w:sz w:val="18"/>
                <w:lang w:val="fr-CH"/>
              </w:rPr>
              <w:t>,</w:t>
            </w:r>
            <w:r w:rsidRPr="0071782F">
              <w:rPr>
                <w:sz w:val="18"/>
                <w:lang w:val="fr-CH"/>
              </w:rPr>
              <w:t>8</w:t>
            </w:r>
          </w:p>
        </w:tc>
      </w:tr>
      <w:tr w:rsidR="00AD5035" w:rsidRPr="0071782F">
        <w:tc>
          <w:tcPr>
            <w:tcW w:w="4424" w:type="dxa"/>
            <w:tcBorders>
              <w:top w:val="nil"/>
              <w:bottom w:val="nil"/>
            </w:tcBorders>
            <w:shd w:val="clear" w:color="auto" w:fill="auto"/>
            <w:vAlign w:val="bottom"/>
          </w:tcPr>
          <w:p w:rsidR="00AD5035" w:rsidRPr="0071782F" w:rsidRDefault="008B2C9D" w:rsidP="00881286">
            <w:pPr>
              <w:suppressAutoHyphens w:val="0"/>
              <w:spacing w:before="40" w:after="40" w:line="220" w:lineRule="exact"/>
              <w:rPr>
                <w:sz w:val="18"/>
                <w:lang w:val="fr-CH"/>
              </w:rPr>
            </w:pPr>
            <w:r w:rsidRPr="0071782F">
              <w:rPr>
                <w:sz w:val="18"/>
                <w:lang w:val="fr-CH"/>
              </w:rPr>
              <w:t>Nombre d’étudiants titulaires d’un doctorat spécialisé</w:t>
            </w:r>
          </w:p>
        </w:tc>
        <w:tc>
          <w:tcPr>
            <w:tcW w:w="1702" w:type="dxa"/>
            <w:tcBorders>
              <w:top w:val="nil"/>
              <w:bottom w:val="nil"/>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245" w:type="dxa"/>
            <w:tcBorders>
              <w:top w:val="nil"/>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3 966</w:t>
            </w:r>
          </w:p>
        </w:tc>
        <w:tc>
          <w:tcPr>
            <w:tcW w:w="1134" w:type="dxa"/>
            <w:tcBorders>
              <w:top w:val="nil"/>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7</w:t>
            </w:r>
          </w:p>
        </w:tc>
      </w:tr>
      <w:tr w:rsidR="00AD5035" w:rsidRPr="0071782F">
        <w:tc>
          <w:tcPr>
            <w:tcW w:w="4424" w:type="dxa"/>
            <w:tcBorders>
              <w:top w:val="nil"/>
            </w:tcBorders>
            <w:shd w:val="clear" w:color="auto" w:fill="auto"/>
            <w:vAlign w:val="bottom"/>
          </w:tcPr>
          <w:p w:rsidR="00AD5035" w:rsidRPr="0071782F" w:rsidRDefault="008B2C9D" w:rsidP="00782B71">
            <w:pPr>
              <w:keepNext/>
              <w:suppressAutoHyphens w:val="0"/>
              <w:spacing w:before="40" w:after="40" w:line="220" w:lineRule="exact"/>
              <w:rPr>
                <w:sz w:val="18"/>
                <w:lang w:val="fr-CH"/>
              </w:rPr>
            </w:pPr>
            <w:r w:rsidRPr="0071782F">
              <w:rPr>
                <w:sz w:val="18"/>
                <w:lang w:val="fr-CH"/>
              </w:rPr>
              <w:t>Proportion d’étudiants titulaires d’un mastère ou d’un diplôme supérieur par rapport à l’ensemble de la population étudiante</w:t>
            </w:r>
          </w:p>
        </w:tc>
        <w:tc>
          <w:tcPr>
            <w:tcW w:w="1702" w:type="dxa"/>
            <w:tcBorders>
              <w:top w:val="nil"/>
            </w:tcBorders>
            <w:shd w:val="clear" w:color="auto" w:fill="auto"/>
            <w:vAlign w:val="bottom"/>
          </w:tcPr>
          <w:p w:rsidR="00AD5035" w:rsidRPr="0071782F" w:rsidRDefault="00AD5035" w:rsidP="00B71235">
            <w:pPr>
              <w:keepNext/>
              <w:suppressAutoHyphens w:val="0"/>
              <w:spacing w:before="40" w:after="40" w:line="220" w:lineRule="exact"/>
              <w:ind w:left="57"/>
              <w:rPr>
                <w:sz w:val="18"/>
                <w:lang w:val="fr-CH"/>
              </w:rPr>
            </w:pPr>
            <w:r w:rsidRPr="0071782F">
              <w:rPr>
                <w:sz w:val="18"/>
                <w:lang w:val="fr-CH"/>
              </w:rPr>
              <w:t>%</w:t>
            </w:r>
          </w:p>
        </w:tc>
        <w:tc>
          <w:tcPr>
            <w:tcW w:w="1245" w:type="dxa"/>
            <w:tcBorders>
              <w:top w:val="nil"/>
            </w:tcBorders>
            <w:shd w:val="clear" w:color="auto" w:fill="auto"/>
            <w:vAlign w:val="bottom"/>
          </w:tcPr>
          <w:p w:rsidR="00AD5035" w:rsidRPr="0071782F" w:rsidRDefault="00AD5035" w:rsidP="00782B71">
            <w:pPr>
              <w:keepNext/>
              <w:suppressAutoHyphens w:val="0"/>
              <w:spacing w:before="40" w:after="40" w:line="220" w:lineRule="exact"/>
              <w:jc w:val="right"/>
              <w:rPr>
                <w:sz w:val="18"/>
                <w:lang w:val="fr-CH"/>
              </w:rPr>
            </w:pPr>
            <w:r w:rsidRPr="0071782F">
              <w:rPr>
                <w:sz w:val="18"/>
                <w:lang w:val="fr-CH"/>
              </w:rPr>
              <w:t>5</w:t>
            </w:r>
            <w:r w:rsidR="00881286" w:rsidRPr="0071782F">
              <w:rPr>
                <w:sz w:val="18"/>
                <w:lang w:val="fr-CH"/>
              </w:rPr>
              <w:t>,</w:t>
            </w:r>
            <w:r w:rsidRPr="0071782F">
              <w:rPr>
                <w:sz w:val="18"/>
                <w:lang w:val="fr-CH"/>
              </w:rPr>
              <w:t>2</w:t>
            </w:r>
          </w:p>
        </w:tc>
        <w:tc>
          <w:tcPr>
            <w:tcW w:w="1134" w:type="dxa"/>
            <w:tcBorders>
              <w:top w:val="nil"/>
            </w:tcBorders>
            <w:shd w:val="clear" w:color="auto" w:fill="auto"/>
            <w:vAlign w:val="bottom"/>
          </w:tcPr>
          <w:p w:rsidR="00AD5035" w:rsidRPr="0071782F" w:rsidRDefault="00AD5035" w:rsidP="00782B71">
            <w:pPr>
              <w:keepNext/>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8</w:t>
            </w:r>
            <w:r w:rsidR="00934F67" w:rsidRPr="0071782F">
              <w:rPr>
                <w:i/>
                <w:sz w:val="18"/>
                <w:vertAlign w:val="superscript"/>
                <w:lang w:val="fr-CH"/>
              </w:rPr>
              <w:t>(</w:t>
            </w:r>
            <w:r w:rsidRPr="0071782F">
              <w:rPr>
                <w:i/>
                <w:sz w:val="18"/>
                <w:vertAlign w:val="superscript"/>
                <w:lang w:val="fr-CH"/>
              </w:rPr>
              <w:t>1)</w:t>
            </w:r>
          </w:p>
        </w:tc>
      </w:tr>
      <w:tr w:rsidR="00AD5035" w:rsidRPr="0071782F">
        <w:tc>
          <w:tcPr>
            <w:tcW w:w="4424" w:type="dxa"/>
            <w:shd w:val="clear" w:color="auto" w:fill="auto"/>
            <w:vAlign w:val="bottom"/>
          </w:tcPr>
          <w:p w:rsidR="00AD5035" w:rsidRPr="0071782F" w:rsidRDefault="008B2C9D" w:rsidP="00881286">
            <w:pPr>
              <w:suppressAutoHyphens w:val="0"/>
              <w:spacing w:before="40" w:after="40" w:line="220" w:lineRule="exact"/>
              <w:rPr>
                <w:sz w:val="18"/>
                <w:lang w:val="fr-CH"/>
              </w:rPr>
            </w:pPr>
            <w:r w:rsidRPr="0071782F">
              <w:rPr>
                <w:sz w:val="18"/>
                <w:lang w:val="fr-CH"/>
              </w:rPr>
              <w:t>Proportion d’étudiants inscrits en sciences humaines par rapport à l’ensemble de la population étudiante</w:t>
            </w:r>
          </w:p>
        </w:tc>
        <w:tc>
          <w:tcPr>
            <w:tcW w:w="1702"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245"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41</w:t>
            </w:r>
            <w:r w:rsidR="00881286" w:rsidRPr="0071782F">
              <w:rPr>
                <w:sz w:val="18"/>
                <w:lang w:val="fr-CH"/>
              </w:rPr>
              <w:t>,</w:t>
            </w:r>
            <w:r w:rsidRPr="0071782F">
              <w:rPr>
                <w:sz w:val="18"/>
                <w:lang w:val="fr-CH"/>
              </w:rPr>
              <w:t>4</w:t>
            </w:r>
          </w:p>
        </w:tc>
        <w:tc>
          <w:tcPr>
            <w:tcW w:w="1134"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w:t>
            </w:r>
            <w:r w:rsidR="00881286" w:rsidRPr="0071782F">
              <w:rPr>
                <w:sz w:val="18"/>
                <w:lang w:val="fr-CH"/>
              </w:rPr>
              <w:t>,</w:t>
            </w:r>
            <w:r w:rsidRPr="0071782F">
              <w:rPr>
                <w:sz w:val="18"/>
                <w:lang w:val="fr-CH"/>
              </w:rPr>
              <w:t>5</w:t>
            </w:r>
            <w:r w:rsidRPr="0071782F">
              <w:rPr>
                <w:i/>
                <w:sz w:val="18"/>
                <w:vertAlign w:val="superscript"/>
                <w:lang w:val="fr-CH"/>
              </w:rPr>
              <w:t>(1)</w:t>
            </w:r>
          </w:p>
        </w:tc>
      </w:tr>
      <w:tr w:rsidR="00AD5035" w:rsidRPr="0071782F">
        <w:tc>
          <w:tcPr>
            <w:tcW w:w="4424" w:type="dxa"/>
            <w:shd w:val="clear" w:color="auto" w:fill="auto"/>
            <w:vAlign w:val="bottom"/>
          </w:tcPr>
          <w:p w:rsidR="00AD5035" w:rsidRPr="0071782F" w:rsidRDefault="008B2C9D" w:rsidP="00881286">
            <w:pPr>
              <w:suppressAutoHyphens w:val="0"/>
              <w:spacing w:before="40" w:after="40" w:line="220" w:lineRule="exact"/>
              <w:rPr>
                <w:sz w:val="18"/>
                <w:lang w:val="fr-CH"/>
              </w:rPr>
            </w:pPr>
            <w:r w:rsidRPr="0071782F">
              <w:rPr>
                <w:sz w:val="18"/>
                <w:lang w:val="fr-CH"/>
              </w:rPr>
              <w:t>Proportion d’étudiants inscrits en sciences pures par rapport à l’ensemble de la population étudiante</w:t>
            </w:r>
          </w:p>
        </w:tc>
        <w:tc>
          <w:tcPr>
            <w:tcW w:w="1702"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245"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w:t>
            </w:r>
            <w:r w:rsidR="00881286" w:rsidRPr="0071782F">
              <w:rPr>
                <w:sz w:val="18"/>
                <w:lang w:val="fr-CH"/>
              </w:rPr>
              <w:t>,</w:t>
            </w:r>
            <w:r w:rsidRPr="0071782F">
              <w:rPr>
                <w:sz w:val="18"/>
                <w:lang w:val="fr-CH"/>
              </w:rPr>
              <w:t>6</w:t>
            </w:r>
          </w:p>
        </w:tc>
        <w:tc>
          <w:tcPr>
            <w:tcW w:w="1134"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6</w:t>
            </w:r>
            <w:r w:rsidRPr="0071782F">
              <w:rPr>
                <w:i/>
                <w:sz w:val="18"/>
                <w:vertAlign w:val="superscript"/>
                <w:lang w:val="fr-CH"/>
              </w:rPr>
              <w:t>(1)</w:t>
            </w:r>
          </w:p>
        </w:tc>
      </w:tr>
      <w:tr w:rsidR="00AD5035" w:rsidRPr="0071782F">
        <w:tc>
          <w:tcPr>
            <w:tcW w:w="4424" w:type="dxa"/>
            <w:shd w:val="clear" w:color="auto" w:fill="auto"/>
            <w:vAlign w:val="bottom"/>
          </w:tcPr>
          <w:p w:rsidR="00AD5035" w:rsidRPr="0071782F" w:rsidRDefault="008B2C9D" w:rsidP="00881286">
            <w:pPr>
              <w:suppressAutoHyphens w:val="0"/>
              <w:spacing w:before="40" w:after="40" w:line="220" w:lineRule="exact"/>
              <w:rPr>
                <w:sz w:val="18"/>
                <w:lang w:val="fr-CH"/>
              </w:rPr>
            </w:pPr>
            <w:r w:rsidRPr="0071782F">
              <w:rPr>
                <w:sz w:val="18"/>
                <w:lang w:val="fr-CH"/>
              </w:rPr>
              <w:t>Proportion d’étudiants inscrits en sciences agronomiques et vétérinaires par rapport à l’ensemble de la population étudiante</w:t>
            </w:r>
          </w:p>
        </w:tc>
        <w:tc>
          <w:tcPr>
            <w:tcW w:w="1702"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245"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6</w:t>
            </w:r>
            <w:r w:rsidR="00881286" w:rsidRPr="0071782F">
              <w:rPr>
                <w:sz w:val="18"/>
                <w:lang w:val="fr-CH"/>
              </w:rPr>
              <w:t>,</w:t>
            </w:r>
            <w:r w:rsidRPr="0071782F">
              <w:rPr>
                <w:sz w:val="18"/>
                <w:lang w:val="fr-CH"/>
              </w:rPr>
              <w:t>2</w:t>
            </w:r>
          </w:p>
        </w:tc>
        <w:tc>
          <w:tcPr>
            <w:tcW w:w="1134"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3</w:t>
            </w:r>
            <w:r w:rsidRPr="0071782F">
              <w:rPr>
                <w:i/>
                <w:sz w:val="18"/>
                <w:vertAlign w:val="superscript"/>
                <w:lang w:val="fr-CH"/>
              </w:rPr>
              <w:t>(1)</w:t>
            </w:r>
          </w:p>
        </w:tc>
      </w:tr>
      <w:tr w:rsidR="00AD5035" w:rsidRPr="0071782F">
        <w:tc>
          <w:tcPr>
            <w:tcW w:w="4424" w:type="dxa"/>
            <w:shd w:val="clear" w:color="auto" w:fill="auto"/>
            <w:vAlign w:val="bottom"/>
          </w:tcPr>
          <w:p w:rsidR="00AD5035" w:rsidRPr="0071782F" w:rsidRDefault="008B2C9D" w:rsidP="00881286">
            <w:pPr>
              <w:suppressAutoHyphens w:val="0"/>
              <w:spacing w:before="40" w:after="40" w:line="220" w:lineRule="exact"/>
              <w:rPr>
                <w:sz w:val="18"/>
                <w:lang w:val="fr-CH"/>
              </w:rPr>
            </w:pPr>
            <w:r w:rsidRPr="0071782F">
              <w:rPr>
                <w:sz w:val="18"/>
                <w:lang w:val="fr-CH"/>
              </w:rPr>
              <w:t>Proportion d’étudiants inscrits dans les disciplines techniques et en ingénierie par rapport à l’ensemble de la population étudiante</w:t>
            </w:r>
          </w:p>
        </w:tc>
        <w:tc>
          <w:tcPr>
            <w:tcW w:w="1702"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245"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38</w:t>
            </w:r>
            <w:r w:rsidR="00881286" w:rsidRPr="0071782F">
              <w:rPr>
                <w:sz w:val="18"/>
                <w:lang w:val="fr-CH"/>
              </w:rPr>
              <w:t>,</w:t>
            </w:r>
            <w:r w:rsidRPr="0071782F">
              <w:rPr>
                <w:sz w:val="18"/>
                <w:lang w:val="fr-CH"/>
              </w:rPr>
              <w:t>5</w:t>
            </w:r>
          </w:p>
        </w:tc>
        <w:tc>
          <w:tcPr>
            <w:tcW w:w="1134"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w:t>
            </w:r>
            <w:r w:rsidR="00881286" w:rsidRPr="0071782F">
              <w:rPr>
                <w:sz w:val="18"/>
                <w:lang w:val="fr-CH"/>
              </w:rPr>
              <w:t>,</w:t>
            </w:r>
            <w:r w:rsidRPr="0071782F">
              <w:rPr>
                <w:sz w:val="18"/>
                <w:lang w:val="fr-CH"/>
              </w:rPr>
              <w:t>5</w:t>
            </w:r>
            <w:r w:rsidR="00934F67" w:rsidRPr="0071782F">
              <w:rPr>
                <w:i/>
                <w:sz w:val="18"/>
                <w:vertAlign w:val="superscript"/>
                <w:lang w:val="fr-CH"/>
              </w:rPr>
              <w:t>(</w:t>
            </w:r>
            <w:r w:rsidRPr="0071782F">
              <w:rPr>
                <w:i/>
                <w:sz w:val="18"/>
                <w:vertAlign w:val="superscript"/>
                <w:lang w:val="fr-CH"/>
              </w:rPr>
              <w:t>1)</w:t>
            </w:r>
          </w:p>
        </w:tc>
      </w:tr>
      <w:tr w:rsidR="00AD5035" w:rsidRPr="0071782F">
        <w:tc>
          <w:tcPr>
            <w:tcW w:w="4424" w:type="dxa"/>
            <w:shd w:val="clear" w:color="auto" w:fill="auto"/>
            <w:vAlign w:val="bottom"/>
          </w:tcPr>
          <w:p w:rsidR="00AD5035" w:rsidRPr="0071782F" w:rsidRDefault="008B2C9D" w:rsidP="00881286">
            <w:pPr>
              <w:suppressAutoHyphens w:val="0"/>
              <w:spacing w:before="40" w:after="40" w:line="220" w:lineRule="exact"/>
              <w:rPr>
                <w:sz w:val="18"/>
                <w:lang w:val="fr-CH"/>
              </w:rPr>
            </w:pPr>
            <w:r w:rsidRPr="0071782F">
              <w:rPr>
                <w:sz w:val="18"/>
                <w:lang w:val="fr-CH"/>
              </w:rPr>
              <w:t>Proportion d’étudiants inscrits en médecine par rapport à l’ensemble de la population étudiante</w:t>
            </w:r>
          </w:p>
        </w:tc>
        <w:tc>
          <w:tcPr>
            <w:tcW w:w="1702"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245"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2</w:t>
            </w:r>
          </w:p>
        </w:tc>
        <w:tc>
          <w:tcPr>
            <w:tcW w:w="1134"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2</w:t>
            </w:r>
            <w:r w:rsidRPr="0071782F">
              <w:rPr>
                <w:i/>
                <w:sz w:val="18"/>
                <w:vertAlign w:val="superscript"/>
                <w:lang w:val="fr-CH"/>
              </w:rPr>
              <w:t>(1)</w:t>
            </w:r>
          </w:p>
        </w:tc>
      </w:tr>
      <w:tr w:rsidR="00AD5035" w:rsidRPr="0071782F">
        <w:tc>
          <w:tcPr>
            <w:tcW w:w="4424" w:type="dxa"/>
            <w:tcBorders>
              <w:bottom w:val="single" w:sz="4" w:space="0" w:color="auto"/>
            </w:tcBorders>
            <w:shd w:val="clear" w:color="auto" w:fill="auto"/>
            <w:vAlign w:val="bottom"/>
          </w:tcPr>
          <w:p w:rsidR="00AD5035" w:rsidRPr="0071782F" w:rsidRDefault="008B2C9D" w:rsidP="00881286">
            <w:pPr>
              <w:suppressAutoHyphens w:val="0"/>
              <w:spacing w:before="40" w:after="40" w:line="220" w:lineRule="exact"/>
              <w:rPr>
                <w:sz w:val="18"/>
                <w:lang w:val="fr-CH"/>
              </w:rPr>
            </w:pPr>
            <w:r w:rsidRPr="0071782F">
              <w:rPr>
                <w:sz w:val="18"/>
                <w:lang w:val="fr-CH"/>
              </w:rPr>
              <w:t>Proportion d’étudiants inscrits dans les disciplines artistiques par rapport à l’ensemble de la population étudiante</w:t>
            </w:r>
          </w:p>
        </w:tc>
        <w:tc>
          <w:tcPr>
            <w:tcW w:w="1702" w:type="dxa"/>
            <w:tcBorders>
              <w:bottom w:val="single" w:sz="4" w:space="0" w:color="auto"/>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245" w:type="dxa"/>
            <w:tcBorders>
              <w:bottom w:val="single" w:sz="4" w:space="0" w:color="auto"/>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1</w:t>
            </w:r>
          </w:p>
        </w:tc>
        <w:tc>
          <w:tcPr>
            <w:tcW w:w="1134" w:type="dxa"/>
            <w:tcBorders>
              <w:bottom w:val="single" w:sz="4" w:space="0" w:color="auto"/>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1</w:t>
            </w:r>
            <w:r w:rsidRPr="0071782F">
              <w:rPr>
                <w:i/>
                <w:sz w:val="18"/>
                <w:vertAlign w:val="superscript"/>
                <w:lang w:val="fr-CH"/>
              </w:rPr>
              <w:t>(1)</w:t>
            </w:r>
          </w:p>
        </w:tc>
      </w:tr>
      <w:tr w:rsidR="00AD5035" w:rsidRPr="0071782F">
        <w:tc>
          <w:tcPr>
            <w:tcW w:w="4424" w:type="dxa"/>
            <w:tcBorders>
              <w:top w:val="single" w:sz="4" w:space="0" w:color="auto"/>
              <w:bottom w:val="single" w:sz="4" w:space="0" w:color="auto"/>
            </w:tcBorders>
            <w:shd w:val="clear" w:color="auto" w:fill="auto"/>
            <w:vAlign w:val="bottom"/>
          </w:tcPr>
          <w:p w:rsidR="00AD5035" w:rsidRPr="0071782F" w:rsidRDefault="008B2C9D" w:rsidP="00A51F76">
            <w:pPr>
              <w:suppressAutoHyphens w:val="0"/>
              <w:spacing w:before="80" w:after="80" w:line="220" w:lineRule="exact"/>
              <w:ind w:firstLine="284"/>
              <w:rPr>
                <w:b/>
                <w:sz w:val="18"/>
                <w:lang w:val="fr-CH"/>
              </w:rPr>
            </w:pPr>
            <w:r w:rsidRPr="0071782F">
              <w:rPr>
                <w:b/>
                <w:sz w:val="18"/>
                <w:lang w:val="fr-CH"/>
              </w:rPr>
              <w:t>Nombre total de diplômés</w:t>
            </w:r>
            <w:r w:rsidR="00AD5035" w:rsidRPr="0071782F">
              <w:rPr>
                <w:i/>
                <w:sz w:val="18"/>
                <w:vertAlign w:val="superscript"/>
                <w:lang w:val="fr-CH"/>
              </w:rPr>
              <w:t>(2)</w:t>
            </w:r>
          </w:p>
        </w:tc>
        <w:tc>
          <w:tcPr>
            <w:tcW w:w="1702" w:type="dxa"/>
            <w:tcBorders>
              <w:top w:val="single" w:sz="4" w:space="0" w:color="auto"/>
              <w:bottom w:val="single" w:sz="4" w:space="0" w:color="auto"/>
            </w:tcBorders>
            <w:shd w:val="clear" w:color="auto" w:fill="auto"/>
            <w:vAlign w:val="bottom"/>
          </w:tcPr>
          <w:p w:rsidR="00AD5035" w:rsidRPr="0071782F" w:rsidRDefault="00196FA5" w:rsidP="00B71235">
            <w:pPr>
              <w:suppressAutoHyphens w:val="0"/>
              <w:spacing w:before="80" w:after="80" w:line="220" w:lineRule="exact"/>
              <w:ind w:left="57"/>
              <w:rPr>
                <w:b/>
                <w:sz w:val="18"/>
                <w:lang w:val="fr-CH"/>
              </w:rPr>
            </w:pPr>
            <w:r w:rsidRPr="0071782F">
              <w:rPr>
                <w:b/>
                <w:sz w:val="18"/>
                <w:lang w:val="fr-CH"/>
              </w:rPr>
              <w:t>Personnes (milliers)</w:t>
            </w:r>
          </w:p>
        </w:tc>
        <w:tc>
          <w:tcPr>
            <w:tcW w:w="1245" w:type="dxa"/>
            <w:tcBorders>
              <w:top w:val="single" w:sz="4" w:space="0" w:color="auto"/>
              <w:bottom w:val="single" w:sz="4" w:space="0" w:color="auto"/>
            </w:tcBorders>
            <w:shd w:val="clear" w:color="auto" w:fill="auto"/>
            <w:vAlign w:val="bottom"/>
          </w:tcPr>
          <w:p w:rsidR="00AD5035" w:rsidRPr="0071782F" w:rsidRDefault="00AD5035" w:rsidP="00881286">
            <w:pPr>
              <w:suppressAutoHyphens w:val="0"/>
              <w:spacing w:before="80" w:after="80" w:line="220" w:lineRule="exact"/>
              <w:jc w:val="right"/>
              <w:rPr>
                <w:b/>
                <w:sz w:val="18"/>
                <w:lang w:val="fr-CH"/>
              </w:rPr>
            </w:pPr>
            <w:r w:rsidRPr="0071782F">
              <w:rPr>
                <w:b/>
                <w:sz w:val="18"/>
                <w:lang w:val="fr-CH"/>
              </w:rPr>
              <w:t>170</w:t>
            </w:r>
          </w:p>
        </w:tc>
        <w:tc>
          <w:tcPr>
            <w:tcW w:w="1134" w:type="dxa"/>
            <w:tcBorders>
              <w:top w:val="single" w:sz="4" w:space="0" w:color="auto"/>
              <w:bottom w:val="single" w:sz="4" w:space="0" w:color="auto"/>
            </w:tcBorders>
            <w:shd w:val="clear" w:color="auto" w:fill="auto"/>
            <w:vAlign w:val="bottom"/>
          </w:tcPr>
          <w:p w:rsidR="00AD5035" w:rsidRPr="0071782F" w:rsidRDefault="00AD5035" w:rsidP="00881286">
            <w:pPr>
              <w:suppressAutoHyphens w:val="0"/>
              <w:spacing w:before="80" w:after="80" w:line="220" w:lineRule="exact"/>
              <w:jc w:val="right"/>
              <w:rPr>
                <w:b/>
                <w:sz w:val="18"/>
                <w:lang w:val="fr-CH"/>
              </w:rPr>
            </w:pPr>
            <w:r w:rsidRPr="0071782F">
              <w:rPr>
                <w:b/>
                <w:sz w:val="18"/>
                <w:lang w:val="fr-CH"/>
              </w:rPr>
              <w:t>4</w:t>
            </w:r>
            <w:r w:rsidR="00881286" w:rsidRPr="0071782F">
              <w:rPr>
                <w:b/>
                <w:sz w:val="18"/>
                <w:lang w:val="fr-CH"/>
              </w:rPr>
              <w:t>,</w:t>
            </w:r>
            <w:r w:rsidRPr="0071782F">
              <w:rPr>
                <w:b/>
                <w:sz w:val="18"/>
                <w:lang w:val="fr-CH"/>
              </w:rPr>
              <w:t>5</w:t>
            </w:r>
            <w:r w:rsidRPr="0071782F">
              <w:rPr>
                <w:i/>
                <w:sz w:val="18"/>
                <w:vertAlign w:val="superscript"/>
                <w:lang w:val="fr-CH"/>
              </w:rPr>
              <w:t>(2)</w:t>
            </w:r>
          </w:p>
        </w:tc>
      </w:tr>
      <w:tr w:rsidR="00AD5035" w:rsidRPr="0071782F">
        <w:tc>
          <w:tcPr>
            <w:tcW w:w="4424" w:type="dxa"/>
            <w:tcBorders>
              <w:top w:val="single" w:sz="4" w:space="0" w:color="auto"/>
            </w:tcBorders>
            <w:shd w:val="clear" w:color="auto" w:fill="auto"/>
            <w:vAlign w:val="bottom"/>
          </w:tcPr>
          <w:p w:rsidR="00AD5035" w:rsidRPr="0071782F" w:rsidRDefault="005A2C23" w:rsidP="00881286">
            <w:pPr>
              <w:suppressAutoHyphens w:val="0"/>
              <w:spacing w:before="40" w:after="40" w:line="220" w:lineRule="exact"/>
              <w:rPr>
                <w:sz w:val="18"/>
                <w:lang w:val="fr-CH"/>
              </w:rPr>
            </w:pPr>
            <w:r w:rsidRPr="0071782F">
              <w:rPr>
                <w:sz w:val="18"/>
                <w:lang w:val="fr-CH"/>
              </w:rPr>
              <w:t>Nombre d’étudiants de sexe masculin</w:t>
            </w:r>
          </w:p>
        </w:tc>
        <w:tc>
          <w:tcPr>
            <w:tcW w:w="1702" w:type="dxa"/>
            <w:tcBorders>
              <w:top w:val="single" w:sz="4" w:space="0" w:color="auto"/>
            </w:tcBorders>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p>
        </w:tc>
        <w:tc>
          <w:tcPr>
            <w:tcW w:w="1245" w:type="dxa"/>
            <w:tcBorders>
              <w:top w:val="single" w:sz="4" w:space="0" w:color="auto"/>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87</w:t>
            </w:r>
          </w:p>
        </w:tc>
        <w:tc>
          <w:tcPr>
            <w:tcW w:w="1134" w:type="dxa"/>
            <w:tcBorders>
              <w:top w:val="single" w:sz="4" w:space="0" w:color="auto"/>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w:t>
            </w:r>
            <w:r w:rsidR="00881286" w:rsidRPr="0071782F">
              <w:rPr>
                <w:sz w:val="18"/>
                <w:lang w:val="fr-CH"/>
              </w:rPr>
              <w:t>,</w:t>
            </w:r>
            <w:r w:rsidRPr="0071782F">
              <w:rPr>
                <w:sz w:val="18"/>
                <w:lang w:val="fr-CH"/>
              </w:rPr>
              <w:t>3</w:t>
            </w:r>
          </w:p>
        </w:tc>
      </w:tr>
      <w:tr w:rsidR="00AD5035" w:rsidRPr="0071782F">
        <w:tc>
          <w:tcPr>
            <w:tcW w:w="4424" w:type="dxa"/>
            <w:shd w:val="clear" w:color="auto" w:fill="auto"/>
            <w:vAlign w:val="bottom"/>
          </w:tcPr>
          <w:p w:rsidR="00AD5035" w:rsidRPr="0071782F" w:rsidRDefault="005A2C23" w:rsidP="00881286">
            <w:pPr>
              <w:suppressAutoHyphens w:val="0"/>
              <w:spacing w:before="40" w:after="40" w:line="220" w:lineRule="exact"/>
              <w:rPr>
                <w:sz w:val="18"/>
                <w:lang w:val="fr-CH"/>
              </w:rPr>
            </w:pPr>
            <w:r w:rsidRPr="0071782F">
              <w:rPr>
                <w:sz w:val="18"/>
                <w:lang w:val="fr-CH"/>
              </w:rPr>
              <w:t>Nombre d’étudiantes</w:t>
            </w:r>
          </w:p>
        </w:tc>
        <w:tc>
          <w:tcPr>
            <w:tcW w:w="1702" w:type="dxa"/>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p>
        </w:tc>
        <w:tc>
          <w:tcPr>
            <w:tcW w:w="1245"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83</w:t>
            </w:r>
          </w:p>
        </w:tc>
        <w:tc>
          <w:tcPr>
            <w:tcW w:w="1134"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w:t>
            </w:r>
            <w:r w:rsidR="00881286" w:rsidRPr="0071782F">
              <w:rPr>
                <w:sz w:val="18"/>
                <w:lang w:val="fr-CH"/>
              </w:rPr>
              <w:t>,</w:t>
            </w:r>
            <w:r w:rsidRPr="0071782F">
              <w:rPr>
                <w:sz w:val="18"/>
                <w:lang w:val="fr-CH"/>
              </w:rPr>
              <w:t>0</w:t>
            </w:r>
          </w:p>
        </w:tc>
      </w:tr>
    </w:tbl>
    <w:p w:rsidR="00AD5035" w:rsidRPr="0071782F" w:rsidRDefault="00AD5035" w:rsidP="00745B3F">
      <w:pPr>
        <w:pStyle w:val="SingleTxtG"/>
        <w:spacing w:before="120" w:after="0"/>
        <w:ind w:right="0" w:firstLine="170"/>
        <w:rPr>
          <w:sz w:val="18"/>
          <w:szCs w:val="18"/>
          <w:lang w:val="fr-CH"/>
        </w:rPr>
      </w:pPr>
      <w:r w:rsidRPr="0071782F">
        <w:rPr>
          <w:i/>
          <w:sz w:val="18"/>
          <w:szCs w:val="18"/>
          <w:lang w:val="fr-CH"/>
        </w:rPr>
        <w:t>Source</w:t>
      </w:r>
      <w:r w:rsidR="008F7D33" w:rsidRPr="0071782F">
        <w:rPr>
          <w:i/>
          <w:sz w:val="18"/>
          <w:szCs w:val="18"/>
          <w:lang w:val="fr-CH"/>
        </w:rPr>
        <w:t>:</w:t>
      </w:r>
      <w:r w:rsidR="00DB5FF4">
        <w:rPr>
          <w:sz w:val="18"/>
          <w:szCs w:val="18"/>
          <w:lang w:val="fr-CH"/>
        </w:rPr>
        <w:t xml:space="preserve"> </w:t>
      </w:r>
      <w:r w:rsidR="005A2C23" w:rsidRPr="0071782F">
        <w:rPr>
          <w:sz w:val="18"/>
          <w:szCs w:val="18"/>
          <w:lang w:val="fr-CH"/>
        </w:rPr>
        <w:t>Université islamique Azad</w:t>
      </w:r>
      <w:r w:rsidRPr="0071782F">
        <w:rPr>
          <w:sz w:val="18"/>
          <w:szCs w:val="18"/>
          <w:lang w:val="fr-CH"/>
        </w:rPr>
        <w:t>.</w:t>
      </w:r>
    </w:p>
    <w:p w:rsidR="00AD5035" w:rsidRPr="0071782F" w:rsidRDefault="00AD5035" w:rsidP="00745B3F">
      <w:pPr>
        <w:pStyle w:val="SingleTxtG"/>
        <w:spacing w:after="0"/>
        <w:ind w:right="0" w:firstLine="170"/>
        <w:rPr>
          <w:sz w:val="18"/>
          <w:szCs w:val="18"/>
          <w:lang w:val="fr-CH"/>
        </w:rPr>
      </w:pPr>
      <w:r w:rsidRPr="0071782F">
        <w:rPr>
          <w:i/>
          <w:sz w:val="18"/>
          <w:szCs w:val="18"/>
          <w:vertAlign w:val="superscript"/>
          <w:lang w:val="fr-CH"/>
        </w:rPr>
        <w:t>(1)</w:t>
      </w:r>
      <w:r w:rsidRPr="0071782F">
        <w:rPr>
          <w:sz w:val="18"/>
          <w:szCs w:val="18"/>
          <w:lang w:val="fr-CH"/>
        </w:rPr>
        <w:t xml:space="preserve">  </w:t>
      </w:r>
      <w:r w:rsidR="005A2C23" w:rsidRPr="0071782F">
        <w:rPr>
          <w:sz w:val="18"/>
          <w:szCs w:val="18"/>
          <w:lang w:val="fr-CH"/>
        </w:rPr>
        <w:t>Chiffre calculé sur la base de la variation de l’indicateur</w:t>
      </w:r>
      <w:r w:rsidR="00A05045" w:rsidRPr="0071782F">
        <w:rPr>
          <w:sz w:val="18"/>
          <w:szCs w:val="18"/>
          <w:lang w:val="fr-CH"/>
        </w:rPr>
        <w:t xml:space="preserve"> </w:t>
      </w:r>
      <w:r w:rsidR="005A2C23" w:rsidRPr="0071782F">
        <w:rPr>
          <w:sz w:val="18"/>
          <w:szCs w:val="18"/>
          <w:lang w:val="fr-CH"/>
        </w:rPr>
        <w:t>par rapport à l’année antérieure</w:t>
      </w:r>
      <w:r w:rsidRPr="0071782F">
        <w:rPr>
          <w:sz w:val="18"/>
          <w:szCs w:val="18"/>
          <w:lang w:val="fr-CH"/>
        </w:rPr>
        <w:t>.</w:t>
      </w:r>
    </w:p>
    <w:p w:rsidR="00AD5035" w:rsidRPr="0071782F" w:rsidRDefault="00AD5035" w:rsidP="00745B3F">
      <w:pPr>
        <w:pStyle w:val="SingleTxtG"/>
        <w:spacing w:after="0"/>
        <w:ind w:right="0" w:firstLine="170"/>
        <w:rPr>
          <w:sz w:val="18"/>
          <w:szCs w:val="18"/>
          <w:lang w:val="fr-CH"/>
        </w:rPr>
      </w:pPr>
      <w:r w:rsidRPr="0071782F">
        <w:rPr>
          <w:i/>
          <w:sz w:val="18"/>
          <w:szCs w:val="18"/>
          <w:vertAlign w:val="superscript"/>
          <w:lang w:val="fr-CH"/>
        </w:rPr>
        <w:t>(2)</w:t>
      </w:r>
      <w:r w:rsidRPr="0071782F">
        <w:rPr>
          <w:sz w:val="18"/>
          <w:szCs w:val="18"/>
          <w:lang w:val="fr-CH"/>
        </w:rPr>
        <w:t xml:space="preserve">  </w:t>
      </w:r>
      <w:r w:rsidR="005A2C23" w:rsidRPr="0071782F">
        <w:rPr>
          <w:sz w:val="18"/>
          <w:szCs w:val="18"/>
          <w:lang w:val="fr-CH"/>
        </w:rPr>
        <w:t xml:space="preserve">Donnée correspondant à l’année universitaire </w:t>
      </w:r>
      <w:r w:rsidRPr="0071782F">
        <w:rPr>
          <w:sz w:val="18"/>
          <w:szCs w:val="18"/>
          <w:lang w:val="fr-CH"/>
        </w:rPr>
        <w:t>2006</w:t>
      </w:r>
      <w:r w:rsidR="005A2C23" w:rsidRPr="0071782F">
        <w:rPr>
          <w:sz w:val="18"/>
          <w:szCs w:val="18"/>
          <w:lang w:val="fr-CH"/>
        </w:rPr>
        <w:t>-</w:t>
      </w:r>
      <w:r w:rsidRPr="0071782F">
        <w:rPr>
          <w:sz w:val="18"/>
          <w:szCs w:val="18"/>
          <w:lang w:val="fr-CH"/>
        </w:rPr>
        <w:t>2007.</w:t>
      </w:r>
    </w:p>
    <w:p w:rsidR="00AD5035" w:rsidRPr="0071782F" w:rsidRDefault="00AD5035" w:rsidP="00745B3F">
      <w:pPr>
        <w:pStyle w:val="SingleTxtG"/>
        <w:spacing w:after="240"/>
        <w:ind w:right="0" w:firstLine="170"/>
        <w:rPr>
          <w:sz w:val="18"/>
          <w:szCs w:val="18"/>
          <w:lang w:val="fr-CH"/>
        </w:rPr>
      </w:pPr>
      <w:r w:rsidRPr="0071782F">
        <w:rPr>
          <w:i/>
          <w:sz w:val="18"/>
          <w:szCs w:val="18"/>
          <w:vertAlign w:val="superscript"/>
          <w:lang w:val="fr-CH"/>
        </w:rPr>
        <w:t>(3)</w:t>
      </w:r>
      <w:r w:rsidRPr="0056792B">
        <w:rPr>
          <w:i/>
          <w:sz w:val="18"/>
          <w:szCs w:val="18"/>
          <w:vertAlign w:val="superscript"/>
          <w:lang w:val="fr-CH"/>
        </w:rPr>
        <w:t xml:space="preserve"> </w:t>
      </w:r>
      <w:r w:rsidRPr="0056792B">
        <w:rPr>
          <w:sz w:val="18"/>
          <w:szCs w:val="18"/>
          <w:vertAlign w:val="superscript"/>
          <w:lang w:val="fr-CH"/>
        </w:rPr>
        <w:t xml:space="preserve"> </w:t>
      </w:r>
      <w:r w:rsidR="005A2C23" w:rsidRPr="0071782F">
        <w:rPr>
          <w:sz w:val="18"/>
          <w:szCs w:val="18"/>
          <w:lang w:val="fr-CH"/>
        </w:rPr>
        <w:t>Variation en pourcentage calculée sur la base des informations révisées pour l’année antérieure présentées par l’organisation co</w:t>
      </w:r>
      <w:r w:rsidR="00A05045" w:rsidRPr="0071782F">
        <w:rPr>
          <w:sz w:val="18"/>
          <w:szCs w:val="18"/>
          <w:lang w:val="fr-CH"/>
        </w:rPr>
        <w:t>ncernée</w:t>
      </w:r>
      <w:r w:rsidRPr="0071782F">
        <w:rPr>
          <w:sz w:val="18"/>
          <w:szCs w:val="18"/>
          <w:lang w:val="fr-CH"/>
        </w:rPr>
        <w:t>.</w:t>
      </w:r>
      <w:r w:rsidR="005A2C23" w:rsidRPr="0071782F">
        <w:rPr>
          <w:lang w:val="fr-CH"/>
        </w:rPr>
        <w:t xml:space="preserve"> </w:t>
      </w:r>
    </w:p>
    <w:p w:rsidR="00AD5035" w:rsidRPr="0071782F" w:rsidRDefault="00AD5035" w:rsidP="00930639">
      <w:pPr>
        <w:pStyle w:val="H23G"/>
        <w:rPr>
          <w:lang w:val="fr-CH"/>
        </w:rPr>
      </w:pPr>
      <w:r w:rsidRPr="0071782F">
        <w:rPr>
          <w:lang w:val="fr-CH"/>
        </w:rPr>
        <w:tab/>
      </w:r>
      <w:r w:rsidRPr="0071782F">
        <w:rPr>
          <w:lang w:val="fr-CH"/>
        </w:rPr>
        <w:tab/>
      </w:r>
      <w:r w:rsidR="005A2C23" w:rsidRPr="0071782F">
        <w:rPr>
          <w:lang w:val="fr-CH"/>
        </w:rPr>
        <w:t>Indicateurs de l’enseignement supérieur en 2008</w:t>
      </w:r>
      <w:r w:rsidR="0056792B">
        <w:rPr>
          <w:lang w:val="fr-CH"/>
        </w:rPr>
        <w:t>-</w:t>
      </w:r>
      <w:r w:rsidR="005A2C23" w:rsidRPr="0071782F">
        <w:rPr>
          <w:lang w:val="fr-CH"/>
        </w:rPr>
        <w:t xml:space="preserve">2009 (à l’exclusion de l’Université islamique Azad) </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480"/>
        <w:gridCol w:w="1646"/>
        <w:gridCol w:w="1191"/>
        <w:gridCol w:w="1188"/>
      </w:tblGrid>
      <w:tr w:rsidR="00AD5035" w:rsidRPr="0071782F">
        <w:trPr>
          <w:tblHeader/>
        </w:trPr>
        <w:tc>
          <w:tcPr>
            <w:tcW w:w="4480" w:type="dxa"/>
            <w:tcBorders>
              <w:top w:val="single" w:sz="4" w:space="0" w:color="auto"/>
              <w:bottom w:val="single" w:sz="12" w:space="0" w:color="auto"/>
            </w:tcBorders>
            <w:shd w:val="clear" w:color="auto" w:fill="auto"/>
            <w:vAlign w:val="bottom"/>
          </w:tcPr>
          <w:p w:rsidR="00AD5035" w:rsidRPr="0071782F" w:rsidRDefault="00AD5035" w:rsidP="00881286">
            <w:pPr>
              <w:suppressAutoHyphens w:val="0"/>
              <w:spacing w:before="80" w:after="80" w:line="200" w:lineRule="exact"/>
              <w:rPr>
                <w:i/>
                <w:sz w:val="16"/>
                <w:lang w:val="fr-CH"/>
              </w:rPr>
            </w:pPr>
            <w:r w:rsidRPr="0071782F">
              <w:rPr>
                <w:i/>
                <w:sz w:val="16"/>
                <w:lang w:val="fr-CH"/>
              </w:rPr>
              <w:t>Indicat</w:t>
            </w:r>
            <w:r w:rsidR="00592083" w:rsidRPr="0071782F">
              <w:rPr>
                <w:i/>
                <w:sz w:val="16"/>
                <w:lang w:val="fr-CH"/>
              </w:rPr>
              <w:t>eu</w:t>
            </w:r>
            <w:r w:rsidRPr="0071782F">
              <w:rPr>
                <w:i/>
                <w:sz w:val="16"/>
                <w:lang w:val="fr-CH"/>
              </w:rPr>
              <w:t>r</w:t>
            </w:r>
          </w:p>
        </w:tc>
        <w:tc>
          <w:tcPr>
            <w:tcW w:w="1646" w:type="dxa"/>
            <w:tcBorders>
              <w:top w:val="single" w:sz="4" w:space="0" w:color="auto"/>
              <w:bottom w:val="single" w:sz="12" w:space="0" w:color="auto"/>
            </w:tcBorders>
            <w:shd w:val="clear" w:color="auto" w:fill="auto"/>
            <w:vAlign w:val="bottom"/>
          </w:tcPr>
          <w:p w:rsidR="00AD5035" w:rsidRPr="0071782F" w:rsidRDefault="00AD5035" w:rsidP="00B71235">
            <w:pPr>
              <w:suppressAutoHyphens w:val="0"/>
              <w:spacing w:before="80" w:after="80" w:line="200" w:lineRule="exact"/>
              <w:ind w:left="57"/>
              <w:rPr>
                <w:i/>
                <w:sz w:val="16"/>
                <w:lang w:val="fr-CH"/>
              </w:rPr>
            </w:pPr>
            <w:r w:rsidRPr="0071782F">
              <w:rPr>
                <w:i/>
                <w:sz w:val="16"/>
                <w:lang w:val="fr-CH"/>
              </w:rPr>
              <w:t>Unit</w:t>
            </w:r>
            <w:r w:rsidR="00592083" w:rsidRPr="0071782F">
              <w:rPr>
                <w:i/>
                <w:sz w:val="16"/>
                <w:lang w:val="fr-CH"/>
              </w:rPr>
              <w:t>é</w:t>
            </w:r>
          </w:p>
        </w:tc>
        <w:tc>
          <w:tcPr>
            <w:tcW w:w="1191" w:type="dxa"/>
            <w:tcBorders>
              <w:top w:val="single" w:sz="4" w:space="0" w:color="auto"/>
              <w:bottom w:val="single" w:sz="12" w:space="0" w:color="auto"/>
            </w:tcBorders>
            <w:shd w:val="clear" w:color="auto" w:fill="auto"/>
            <w:vAlign w:val="bottom"/>
          </w:tcPr>
          <w:p w:rsidR="00AD5035" w:rsidRPr="0071782F" w:rsidRDefault="00AD5035" w:rsidP="0056792B">
            <w:pPr>
              <w:suppressAutoHyphens w:val="0"/>
              <w:spacing w:before="80" w:after="80" w:line="200" w:lineRule="exact"/>
              <w:ind w:right="113"/>
              <w:jc w:val="right"/>
              <w:rPr>
                <w:i/>
                <w:sz w:val="16"/>
                <w:lang w:val="fr-CH"/>
              </w:rPr>
            </w:pPr>
            <w:r w:rsidRPr="0071782F">
              <w:rPr>
                <w:i/>
                <w:sz w:val="16"/>
                <w:lang w:val="fr-CH"/>
              </w:rPr>
              <w:t>No</w:t>
            </w:r>
            <w:r w:rsidR="00592083" w:rsidRPr="0071782F">
              <w:rPr>
                <w:i/>
                <w:sz w:val="16"/>
                <w:lang w:val="fr-CH"/>
              </w:rPr>
              <w:t>mbre</w:t>
            </w:r>
            <w:r w:rsidRPr="0071782F">
              <w:rPr>
                <w:i/>
                <w:sz w:val="16"/>
                <w:lang w:val="fr-CH"/>
              </w:rPr>
              <w:t>/</w:t>
            </w:r>
            <w:r w:rsidR="0071782F" w:rsidRPr="0071782F">
              <w:rPr>
                <w:i/>
                <w:sz w:val="16"/>
                <w:lang w:val="fr-CH"/>
              </w:rPr>
              <w:t>valeur</w:t>
            </w:r>
          </w:p>
        </w:tc>
        <w:tc>
          <w:tcPr>
            <w:tcW w:w="1188" w:type="dxa"/>
            <w:tcBorders>
              <w:top w:val="single" w:sz="4" w:space="0" w:color="auto"/>
              <w:bottom w:val="single" w:sz="12" w:space="0" w:color="auto"/>
            </w:tcBorders>
            <w:shd w:val="clear" w:color="auto" w:fill="auto"/>
            <w:vAlign w:val="bottom"/>
          </w:tcPr>
          <w:p w:rsidR="00AD5035" w:rsidRPr="0071782F" w:rsidRDefault="00196FA5" w:rsidP="00881286">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AD5035" w:rsidRPr="0071782F">
        <w:tc>
          <w:tcPr>
            <w:tcW w:w="4480" w:type="dxa"/>
            <w:tcBorders>
              <w:top w:val="single" w:sz="12" w:space="0" w:color="auto"/>
            </w:tcBorders>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d’étudiants</w:t>
            </w:r>
          </w:p>
        </w:tc>
        <w:tc>
          <w:tcPr>
            <w:tcW w:w="1646" w:type="dxa"/>
            <w:tcBorders>
              <w:top w:val="single" w:sz="12" w:space="0" w:color="auto"/>
            </w:tcBorders>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r w:rsidR="00AD5035" w:rsidRPr="0071782F">
              <w:rPr>
                <w:sz w:val="18"/>
                <w:lang w:val="fr-CH"/>
              </w:rPr>
              <w:t>)</w:t>
            </w:r>
          </w:p>
        </w:tc>
        <w:tc>
          <w:tcPr>
            <w:tcW w:w="1191" w:type="dxa"/>
            <w:tcBorders>
              <w:top w:val="single" w:sz="12" w:space="0" w:color="auto"/>
            </w:tcBorders>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2 077</w:t>
            </w:r>
          </w:p>
        </w:tc>
        <w:tc>
          <w:tcPr>
            <w:tcW w:w="1188" w:type="dxa"/>
            <w:tcBorders>
              <w:top w:val="single" w:sz="12" w:space="0" w:color="auto"/>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6</w:t>
            </w:r>
          </w:p>
        </w:tc>
      </w:tr>
      <w:tr w:rsidR="00AD5035" w:rsidRPr="0071782F">
        <w:tc>
          <w:tcPr>
            <w:tcW w:w="4480"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d’étudiants de sexe masculin</w:t>
            </w:r>
          </w:p>
        </w:tc>
        <w:tc>
          <w:tcPr>
            <w:tcW w:w="1646" w:type="dxa"/>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883</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-26</w:t>
            </w:r>
            <w:r w:rsidR="00881286" w:rsidRPr="0071782F">
              <w:rPr>
                <w:sz w:val="18"/>
                <w:lang w:val="fr-CH"/>
              </w:rPr>
              <w:t>,</w:t>
            </w:r>
            <w:r w:rsidRPr="0071782F">
              <w:rPr>
                <w:sz w:val="18"/>
                <w:lang w:val="fr-CH"/>
              </w:rPr>
              <w:t>5</w:t>
            </w:r>
          </w:p>
        </w:tc>
      </w:tr>
      <w:tr w:rsidR="00AD5035" w:rsidRPr="0071782F">
        <w:tc>
          <w:tcPr>
            <w:tcW w:w="4480"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d’étudiantes</w:t>
            </w:r>
          </w:p>
        </w:tc>
        <w:tc>
          <w:tcPr>
            <w:tcW w:w="1646" w:type="dxa"/>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1 193</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34</w:t>
            </w:r>
            <w:r w:rsidR="00881286" w:rsidRPr="0071782F">
              <w:rPr>
                <w:sz w:val="18"/>
                <w:lang w:val="fr-CH"/>
              </w:rPr>
              <w:t>,</w:t>
            </w:r>
            <w:r w:rsidRPr="0071782F">
              <w:rPr>
                <w:sz w:val="18"/>
                <w:lang w:val="fr-CH"/>
              </w:rPr>
              <w:t>3</w:t>
            </w:r>
          </w:p>
        </w:tc>
      </w:tr>
      <w:tr w:rsidR="00F12C1F" w:rsidRPr="0071782F">
        <w:tc>
          <w:tcPr>
            <w:tcW w:w="4480" w:type="dxa"/>
            <w:tcBorders>
              <w:bottom w:val="nil"/>
            </w:tcBorders>
            <w:shd w:val="clear" w:color="auto" w:fill="auto"/>
            <w:vAlign w:val="bottom"/>
          </w:tcPr>
          <w:p w:rsidR="00F12C1F" w:rsidRPr="0071782F" w:rsidRDefault="00592083" w:rsidP="00881286">
            <w:pPr>
              <w:suppressAutoHyphens w:val="0"/>
              <w:spacing w:before="40" w:after="40" w:line="220" w:lineRule="exact"/>
              <w:rPr>
                <w:sz w:val="18"/>
                <w:lang w:val="fr-CH"/>
              </w:rPr>
            </w:pPr>
            <w:r w:rsidRPr="0071782F">
              <w:rPr>
                <w:sz w:val="18"/>
                <w:lang w:val="fr-CH"/>
              </w:rPr>
              <w:t>Ratio étudiants/professeurs</w:t>
            </w:r>
          </w:p>
        </w:tc>
        <w:tc>
          <w:tcPr>
            <w:tcW w:w="1646" w:type="dxa"/>
            <w:tcBorders>
              <w:bottom w:val="nil"/>
            </w:tcBorders>
            <w:shd w:val="clear" w:color="auto" w:fill="auto"/>
            <w:vAlign w:val="bottom"/>
          </w:tcPr>
          <w:p w:rsidR="00F12C1F" w:rsidRPr="0071782F" w:rsidRDefault="00F12C1F" w:rsidP="00B71235">
            <w:pPr>
              <w:suppressAutoHyphens w:val="0"/>
              <w:spacing w:before="40" w:after="40" w:line="220" w:lineRule="exact"/>
              <w:ind w:left="57"/>
              <w:rPr>
                <w:sz w:val="18"/>
                <w:lang w:val="fr-CH"/>
              </w:rPr>
            </w:pPr>
            <w:r w:rsidRPr="0071782F">
              <w:rPr>
                <w:sz w:val="18"/>
                <w:lang w:val="fr-CH"/>
              </w:rPr>
              <w:t>%</w:t>
            </w:r>
          </w:p>
        </w:tc>
        <w:tc>
          <w:tcPr>
            <w:tcW w:w="1191" w:type="dxa"/>
            <w:tcBorders>
              <w:bottom w:val="nil"/>
            </w:tcBorders>
            <w:shd w:val="clear" w:color="auto" w:fill="auto"/>
          </w:tcPr>
          <w:p w:rsidR="00F12C1F" w:rsidRPr="0071782F" w:rsidRDefault="00F12C1F" w:rsidP="0056792B">
            <w:pPr>
              <w:suppressAutoHyphens w:val="0"/>
              <w:spacing w:before="40" w:after="40" w:line="220" w:lineRule="exact"/>
              <w:ind w:right="113"/>
              <w:jc w:val="right"/>
              <w:rPr>
                <w:sz w:val="18"/>
                <w:lang w:val="fr-CH"/>
              </w:rPr>
            </w:pPr>
            <w:r w:rsidRPr="0071782F">
              <w:rPr>
                <w:sz w:val="18"/>
                <w:lang w:val="fr-CH"/>
              </w:rPr>
              <w:t>–</w:t>
            </w:r>
          </w:p>
        </w:tc>
        <w:tc>
          <w:tcPr>
            <w:tcW w:w="1188" w:type="dxa"/>
            <w:tcBorders>
              <w:bottom w:val="nil"/>
            </w:tcBorders>
            <w:shd w:val="clear" w:color="auto" w:fill="auto"/>
          </w:tcPr>
          <w:p w:rsidR="00F12C1F" w:rsidRPr="0071782F" w:rsidRDefault="00F12C1F" w:rsidP="00881286">
            <w:pPr>
              <w:suppressAutoHyphens w:val="0"/>
              <w:spacing w:before="40" w:after="40" w:line="220" w:lineRule="exact"/>
              <w:jc w:val="right"/>
              <w:rPr>
                <w:sz w:val="18"/>
                <w:lang w:val="fr-CH"/>
              </w:rPr>
            </w:pPr>
            <w:r w:rsidRPr="0071782F">
              <w:rPr>
                <w:sz w:val="18"/>
                <w:lang w:val="fr-CH"/>
              </w:rPr>
              <w:t>–</w:t>
            </w:r>
          </w:p>
        </w:tc>
      </w:tr>
      <w:tr w:rsidR="00AD5035" w:rsidRPr="0071782F">
        <w:tc>
          <w:tcPr>
            <w:tcW w:w="4480" w:type="dxa"/>
            <w:tcBorders>
              <w:top w:val="nil"/>
              <w:bottom w:val="single" w:sz="24" w:space="0" w:color="FFFFFF"/>
            </w:tcBorders>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d’étudiants titulaires d’un premier diplôme universitaire</w:t>
            </w:r>
          </w:p>
        </w:tc>
        <w:tc>
          <w:tcPr>
            <w:tcW w:w="1646" w:type="dxa"/>
            <w:tcBorders>
              <w:top w:val="nil"/>
              <w:bottom w:val="single" w:sz="24" w:space="0" w:color="FFFFFF"/>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191" w:type="dxa"/>
            <w:tcBorders>
              <w:top w:val="nil"/>
              <w:bottom w:val="single" w:sz="24" w:space="0" w:color="FFFFFF"/>
            </w:tcBorders>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489 584</w:t>
            </w:r>
          </w:p>
        </w:tc>
        <w:tc>
          <w:tcPr>
            <w:tcW w:w="1188" w:type="dxa"/>
            <w:tcBorders>
              <w:top w:val="nil"/>
              <w:bottom w:val="single" w:sz="24" w:space="0" w:color="FFFFFF"/>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55</w:t>
            </w:r>
            <w:r w:rsidR="00881286" w:rsidRPr="0071782F">
              <w:rPr>
                <w:sz w:val="18"/>
                <w:lang w:val="fr-CH"/>
              </w:rPr>
              <w:t>,</w:t>
            </w:r>
            <w:r w:rsidRPr="0071782F">
              <w:rPr>
                <w:sz w:val="18"/>
                <w:lang w:val="fr-CH"/>
              </w:rPr>
              <w:t>3</w:t>
            </w:r>
          </w:p>
        </w:tc>
      </w:tr>
      <w:tr w:rsidR="00AD5035" w:rsidRPr="0071782F">
        <w:tc>
          <w:tcPr>
            <w:tcW w:w="4480" w:type="dxa"/>
            <w:tcBorders>
              <w:top w:val="single" w:sz="24" w:space="0" w:color="FFFFFF"/>
            </w:tcBorders>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d’étudiants titulaires d’une licence</w:t>
            </w:r>
          </w:p>
        </w:tc>
        <w:tc>
          <w:tcPr>
            <w:tcW w:w="1646" w:type="dxa"/>
            <w:tcBorders>
              <w:top w:val="single" w:sz="24" w:space="0" w:color="FFFFFF"/>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191" w:type="dxa"/>
            <w:tcBorders>
              <w:top w:val="single" w:sz="24" w:space="0" w:color="FFFFFF"/>
            </w:tcBorders>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1 428 012</w:t>
            </w:r>
          </w:p>
        </w:tc>
        <w:tc>
          <w:tcPr>
            <w:tcW w:w="1188" w:type="dxa"/>
            <w:tcBorders>
              <w:top w:val="single" w:sz="24" w:space="0" w:color="FFFFFF"/>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-12</w:t>
            </w:r>
            <w:r w:rsidR="00881286" w:rsidRPr="0071782F">
              <w:rPr>
                <w:sz w:val="18"/>
                <w:lang w:val="fr-CH"/>
              </w:rPr>
              <w:t>,</w:t>
            </w:r>
            <w:r w:rsidRPr="0071782F">
              <w:rPr>
                <w:sz w:val="18"/>
                <w:lang w:val="fr-CH"/>
              </w:rPr>
              <w:t>1</w:t>
            </w:r>
          </w:p>
        </w:tc>
      </w:tr>
      <w:tr w:rsidR="00AD5035" w:rsidRPr="0071782F">
        <w:tc>
          <w:tcPr>
            <w:tcW w:w="4480"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d’étudiants titulaires d’un mastère</w:t>
            </w:r>
          </w:p>
        </w:tc>
        <w:tc>
          <w:tcPr>
            <w:tcW w:w="1646"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104 431</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11</w:t>
            </w:r>
            <w:r w:rsidR="00881286" w:rsidRPr="0071782F">
              <w:rPr>
                <w:sz w:val="18"/>
                <w:lang w:val="fr-CH"/>
              </w:rPr>
              <w:t>,</w:t>
            </w:r>
            <w:r w:rsidRPr="0071782F">
              <w:rPr>
                <w:sz w:val="18"/>
                <w:lang w:val="fr-CH"/>
              </w:rPr>
              <w:t>0</w:t>
            </w:r>
          </w:p>
        </w:tc>
      </w:tr>
      <w:tr w:rsidR="00AD5035" w:rsidRPr="0071782F">
        <w:tc>
          <w:tcPr>
            <w:tcW w:w="4480" w:type="dxa"/>
            <w:tcBorders>
              <w:bottom w:val="nil"/>
            </w:tcBorders>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d’étudiants titulaires d’un doctorat professionnel</w:t>
            </w:r>
          </w:p>
        </w:tc>
        <w:tc>
          <w:tcPr>
            <w:tcW w:w="1646" w:type="dxa"/>
            <w:tcBorders>
              <w:bottom w:val="nil"/>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191" w:type="dxa"/>
            <w:tcBorders>
              <w:bottom w:val="nil"/>
            </w:tcBorders>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30 259</w:t>
            </w:r>
          </w:p>
        </w:tc>
        <w:tc>
          <w:tcPr>
            <w:tcW w:w="1188" w:type="dxa"/>
            <w:tcBorders>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-5</w:t>
            </w:r>
            <w:r w:rsidR="00881286" w:rsidRPr="0071782F">
              <w:rPr>
                <w:sz w:val="18"/>
                <w:lang w:val="fr-CH"/>
              </w:rPr>
              <w:t>,</w:t>
            </w:r>
            <w:r w:rsidRPr="0071782F">
              <w:rPr>
                <w:sz w:val="18"/>
                <w:lang w:val="fr-CH"/>
              </w:rPr>
              <w:t>8</w:t>
            </w:r>
          </w:p>
        </w:tc>
      </w:tr>
      <w:tr w:rsidR="00AD5035" w:rsidRPr="0071782F">
        <w:tc>
          <w:tcPr>
            <w:tcW w:w="4480" w:type="dxa"/>
            <w:tcBorders>
              <w:top w:val="nil"/>
              <w:bottom w:val="nil"/>
            </w:tcBorders>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d’étudiants titulaires d’un doctorat spécialisé</w:t>
            </w:r>
          </w:p>
        </w:tc>
        <w:tc>
          <w:tcPr>
            <w:tcW w:w="1646" w:type="dxa"/>
            <w:tcBorders>
              <w:top w:val="nil"/>
              <w:bottom w:val="nil"/>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191" w:type="dxa"/>
            <w:tcBorders>
              <w:top w:val="nil"/>
              <w:bottom w:val="nil"/>
            </w:tcBorders>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24 681</w:t>
            </w:r>
          </w:p>
        </w:tc>
        <w:tc>
          <w:tcPr>
            <w:tcW w:w="1188" w:type="dxa"/>
            <w:tcBorders>
              <w:top w:val="nil"/>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6</w:t>
            </w:r>
            <w:r w:rsidR="00881286" w:rsidRPr="0071782F">
              <w:rPr>
                <w:sz w:val="18"/>
                <w:lang w:val="fr-CH"/>
              </w:rPr>
              <w:t>,</w:t>
            </w:r>
            <w:r w:rsidRPr="0071782F">
              <w:rPr>
                <w:sz w:val="18"/>
                <w:lang w:val="fr-CH"/>
              </w:rPr>
              <w:t>3</w:t>
            </w:r>
          </w:p>
        </w:tc>
      </w:tr>
      <w:tr w:rsidR="00AD5035" w:rsidRPr="0071782F">
        <w:tc>
          <w:tcPr>
            <w:tcW w:w="4480" w:type="dxa"/>
            <w:tcBorders>
              <w:top w:val="nil"/>
              <w:bottom w:val="nil"/>
            </w:tcBorders>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Proportion d’étudiants titulaires d’un mastère ou d’un diplôme supérieur par rapport à l’ensemble de la population étudiante</w:t>
            </w:r>
          </w:p>
        </w:tc>
        <w:tc>
          <w:tcPr>
            <w:tcW w:w="1646" w:type="dxa"/>
            <w:tcBorders>
              <w:top w:val="nil"/>
              <w:bottom w:val="nil"/>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191" w:type="dxa"/>
            <w:tcBorders>
              <w:top w:val="nil"/>
              <w:bottom w:val="nil"/>
            </w:tcBorders>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7</w:t>
            </w:r>
            <w:r w:rsidR="00881286" w:rsidRPr="0071782F">
              <w:rPr>
                <w:sz w:val="18"/>
                <w:lang w:val="fr-CH"/>
              </w:rPr>
              <w:t>,</w:t>
            </w:r>
            <w:r w:rsidRPr="0071782F">
              <w:rPr>
                <w:sz w:val="18"/>
                <w:lang w:val="fr-CH"/>
              </w:rPr>
              <w:t>7</w:t>
            </w:r>
          </w:p>
        </w:tc>
        <w:tc>
          <w:tcPr>
            <w:tcW w:w="1188" w:type="dxa"/>
            <w:tcBorders>
              <w:top w:val="nil"/>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5</w:t>
            </w:r>
            <w:r w:rsidRPr="0071782F">
              <w:rPr>
                <w:i/>
                <w:sz w:val="18"/>
                <w:vertAlign w:val="superscript"/>
                <w:lang w:val="fr-CH"/>
              </w:rPr>
              <w:t>(1)</w:t>
            </w:r>
          </w:p>
        </w:tc>
      </w:tr>
      <w:tr w:rsidR="00AD5035" w:rsidRPr="0071782F">
        <w:tc>
          <w:tcPr>
            <w:tcW w:w="4480" w:type="dxa"/>
            <w:tcBorders>
              <w:top w:val="nil"/>
              <w:bottom w:val="nil"/>
            </w:tcBorders>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Proportion d’étudiants inscrits en sciences humaines par rapport à l’ensemble de la population étudiante</w:t>
            </w:r>
          </w:p>
        </w:tc>
        <w:tc>
          <w:tcPr>
            <w:tcW w:w="1646" w:type="dxa"/>
            <w:tcBorders>
              <w:top w:val="nil"/>
              <w:bottom w:val="nil"/>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191" w:type="dxa"/>
            <w:tcBorders>
              <w:top w:val="nil"/>
              <w:bottom w:val="nil"/>
            </w:tcBorders>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49</w:t>
            </w:r>
            <w:r w:rsidR="00881286" w:rsidRPr="0071782F">
              <w:rPr>
                <w:sz w:val="18"/>
                <w:lang w:val="fr-CH"/>
              </w:rPr>
              <w:t>,</w:t>
            </w:r>
            <w:r w:rsidRPr="0071782F">
              <w:rPr>
                <w:sz w:val="18"/>
                <w:lang w:val="fr-CH"/>
              </w:rPr>
              <w:t>2</w:t>
            </w:r>
          </w:p>
        </w:tc>
        <w:tc>
          <w:tcPr>
            <w:tcW w:w="1188" w:type="dxa"/>
            <w:tcBorders>
              <w:top w:val="nil"/>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w:t>
            </w:r>
            <w:r w:rsidR="00881286" w:rsidRPr="0071782F">
              <w:rPr>
                <w:sz w:val="18"/>
                <w:lang w:val="fr-CH"/>
              </w:rPr>
              <w:t>,</w:t>
            </w:r>
            <w:r w:rsidRPr="0071782F">
              <w:rPr>
                <w:sz w:val="18"/>
                <w:lang w:val="fr-CH"/>
              </w:rPr>
              <w:t>4</w:t>
            </w:r>
            <w:r w:rsidRPr="0071782F">
              <w:rPr>
                <w:i/>
                <w:sz w:val="18"/>
                <w:vertAlign w:val="superscript"/>
                <w:lang w:val="fr-CH"/>
              </w:rPr>
              <w:t>(1)</w:t>
            </w:r>
          </w:p>
        </w:tc>
      </w:tr>
      <w:tr w:rsidR="00AD5035" w:rsidRPr="0071782F">
        <w:tc>
          <w:tcPr>
            <w:tcW w:w="4480" w:type="dxa"/>
            <w:tcBorders>
              <w:top w:val="nil"/>
            </w:tcBorders>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Proportion d’étudiants inscrits en sciences pures par rapport à l’ensemble de la population étudiante</w:t>
            </w:r>
          </w:p>
        </w:tc>
        <w:tc>
          <w:tcPr>
            <w:tcW w:w="1646" w:type="dxa"/>
            <w:tcBorders>
              <w:top w:val="nil"/>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191" w:type="dxa"/>
            <w:tcBorders>
              <w:top w:val="nil"/>
            </w:tcBorders>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9</w:t>
            </w:r>
            <w:r w:rsidR="00881286" w:rsidRPr="0071782F">
              <w:rPr>
                <w:sz w:val="18"/>
                <w:lang w:val="fr-CH"/>
              </w:rPr>
              <w:t>,</w:t>
            </w:r>
            <w:r w:rsidRPr="0071782F">
              <w:rPr>
                <w:sz w:val="18"/>
                <w:lang w:val="fr-CH"/>
              </w:rPr>
              <w:t>6</w:t>
            </w:r>
          </w:p>
        </w:tc>
        <w:tc>
          <w:tcPr>
            <w:tcW w:w="1188" w:type="dxa"/>
            <w:tcBorders>
              <w:top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w:t>
            </w:r>
            <w:r w:rsidR="00881286" w:rsidRPr="0071782F">
              <w:rPr>
                <w:sz w:val="18"/>
                <w:lang w:val="fr-CH"/>
              </w:rPr>
              <w:t>,</w:t>
            </w:r>
            <w:r w:rsidRPr="0071782F">
              <w:rPr>
                <w:sz w:val="18"/>
                <w:lang w:val="fr-CH"/>
              </w:rPr>
              <w:t>2</w:t>
            </w:r>
            <w:r w:rsidRPr="0071782F">
              <w:rPr>
                <w:i/>
                <w:sz w:val="18"/>
                <w:vertAlign w:val="superscript"/>
                <w:lang w:val="fr-CH"/>
              </w:rPr>
              <w:t>(1)</w:t>
            </w:r>
          </w:p>
        </w:tc>
      </w:tr>
      <w:tr w:rsidR="00AD5035" w:rsidRPr="0071782F">
        <w:tc>
          <w:tcPr>
            <w:tcW w:w="4480"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Proportion d’étudiants inscrits en sciences agronomiques et vétérinaires par rapport à l’ensemble de la population étudiante</w:t>
            </w:r>
          </w:p>
        </w:tc>
        <w:tc>
          <w:tcPr>
            <w:tcW w:w="1646"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5</w:t>
            </w:r>
            <w:r w:rsidR="00881286" w:rsidRPr="0071782F">
              <w:rPr>
                <w:sz w:val="18"/>
                <w:lang w:val="fr-CH"/>
              </w:rPr>
              <w:t>,</w:t>
            </w:r>
            <w:r w:rsidRPr="0071782F">
              <w:rPr>
                <w:sz w:val="18"/>
                <w:lang w:val="fr-CH"/>
              </w:rPr>
              <w:t>9</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4</w:t>
            </w:r>
            <w:r w:rsidRPr="0071782F">
              <w:rPr>
                <w:i/>
                <w:sz w:val="18"/>
                <w:vertAlign w:val="superscript"/>
                <w:lang w:val="fr-CH"/>
              </w:rPr>
              <w:t>(1)</w:t>
            </w:r>
          </w:p>
        </w:tc>
      </w:tr>
      <w:tr w:rsidR="00AD5035" w:rsidRPr="0071782F">
        <w:tc>
          <w:tcPr>
            <w:tcW w:w="4480"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Proportion d’étudiants inscrits dans les disciplines techniques et en ingénierie par rapport à l’ensemble de la population étudiante</w:t>
            </w:r>
          </w:p>
        </w:tc>
        <w:tc>
          <w:tcPr>
            <w:tcW w:w="1646"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24</w:t>
            </w:r>
            <w:r w:rsidR="00881286" w:rsidRPr="0071782F">
              <w:rPr>
                <w:sz w:val="18"/>
                <w:lang w:val="fr-CH"/>
              </w:rPr>
              <w:t>,</w:t>
            </w:r>
            <w:r w:rsidRPr="0071782F">
              <w:rPr>
                <w:sz w:val="18"/>
                <w:lang w:val="fr-CH"/>
              </w:rPr>
              <w:t>6</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3</w:t>
            </w:r>
            <w:r w:rsidRPr="0071782F">
              <w:rPr>
                <w:i/>
                <w:sz w:val="18"/>
                <w:vertAlign w:val="superscript"/>
                <w:lang w:val="fr-CH"/>
              </w:rPr>
              <w:t>(1)</w:t>
            </w:r>
          </w:p>
        </w:tc>
      </w:tr>
      <w:tr w:rsidR="00AD5035" w:rsidRPr="0071782F">
        <w:tc>
          <w:tcPr>
            <w:tcW w:w="4480"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Proportion d’étudiants inscrits en médecine par rapport à l’ensemble de la population étudiante</w:t>
            </w:r>
          </w:p>
        </w:tc>
        <w:tc>
          <w:tcPr>
            <w:tcW w:w="1646"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5</w:t>
            </w:r>
            <w:r w:rsidR="00881286" w:rsidRPr="0071782F">
              <w:rPr>
                <w:sz w:val="18"/>
                <w:lang w:val="fr-CH"/>
              </w:rPr>
              <w:t>,</w:t>
            </w:r>
            <w:r w:rsidRPr="0071782F">
              <w:rPr>
                <w:sz w:val="18"/>
                <w:lang w:val="fr-CH"/>
              </w:rPr>
              <w:t>1</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1</w:t>
            </w:r>
            <w:r w:rsidRPr="0071782F">
              <w:rPr>
                <w:i/>
                <w:sz w:val="18"/>
                <w:vertAlign w:val="superscript"/>
                <w:lang w:val="fr-CH"/>
              </w:rPr>
              <w:t>(1)</w:t>
            </w:r>
          </w:p>
        </w:tc>
      </w:tr>
      <w:tr w:rsidR="00AD5035" w:rsidRPr="0071782F">
        <w:tc>
          <w:tcPr>
            <w:tcW w:w="4480" w:type="dxa"/>
            <w:tcBorders>
              <w:bottom w:val="single" w:sz="4" w:space="0" w:color="auto"/>
            </w:tcBorders>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Proportion d’étudiants inscrits dans les disciplines artistiques par rapport à l’ensemble de la population étudiante</w:t>
            </w:r>
          </w:p>
        </w:tc>
        <w:tc>
          <w:tcPr>
            <w:tcW w:w="1646" w:type="dxa"/>
            <w:tcBorders>
              <w:bottom w:val="single" w:sz="4" w:space="0" w:color="auto"/>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191" w:type="dxa"/>
            <w:tcBorders>
              <w:bottom w:val="single" w:sz="4" w:space="0" w:color="auto"/>
            </w:tcBorders>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5</w:t>
            </w:r>
            <w:r w:rsidR="00881286" w:rsidRPr="0071782F">
              <w:rPr>
                <w:sz w:val="18"/>
                <w:lang w:val="fr-CH"/>
              </w:rPr>
              <w:t>,</w:t>
            </w:r>
            <w:r w:rsidRPr="0071782F">
              <w:rPr>
                <w:sz w:val="18"/>
                <w:lang w:val="fr-CH"/>
              </w:rPr>
              <w:t>7</w:t>
            </w:r>
          </w:p>
        </w:tc>
        <w:tc>
          <w:tcPr>
            <w:tcW w:w="1188" w:type="dxa"/>
            <w:tcBorders>
              <w:bottom w:val="single" w:sz="4" w:space="0" w:color="auto"/>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w:t>
            </w:r>
            <w:r w:rsidR="00881286" w:rsidRPr="0071782F">
              <w:rPr>
                <w:sz w:val="18"/>
                <w:lang w:val="fr-CH"/>
              </w:rPr>
              <w:t>,</w:t>
            </w:r>
            <w:r w:rsidRPr="0071782F">
              <w:rPr>
                <w:sz w:val="18"/>
                <w:lang w:val="fr-CH"/>
              </w:rPr>
              <w:t>2</w:t>
            </w:r>
            <w:r w:rsidRPr="0071782F">
              <w:rPr>
                <w:i/>
                <w:sz w:val="18"/>
                <w:vertAlign w:val="superscript"/>
                <w:lang w:val="fr-CH"/>
              </w:rPr>
              <w:t>(1)</w:t>
            </w:r>
          </w:p>
        </w:tc>
      </w:tr>
      <w:tr w:rsidR="00AD5035" w:rsidRPr="0071782F">
        <w:tc>
          <w:tcPr>
            <w:tcW w:w="4480" w:type="dxa"/>
            <w:tcBorders>
              <w:top w:val="single" w:sz="4" w:space="0" w:color="auto"/>
              <w:bottom w:val="single" w:sz="12" w:space="0" w:color="auto"/>
            </w:tcBorders>
            <w:shd w:val="clear" w:color="auto" w:fill="auto"/>
            <w:vAlign w:val="bottom"/>
          </w:tcPr>
          <w:p w:rsidR="00AD5035" w:rsidRPr="0071782F" w:rsidRDefault="00592083" w:rsidP="00881286">
            <w:pPr>
              <w:suppressAutoHyphens w:val="0"/>
              <w:spacing w:before="80" w:after="80" w:line="220" w:lineRule="exact"/>
              <w:rPr>
                <w:b/>
                <w:sz w:val="18"/>
                <w:lang w:val="fr-CH"/>
              </w:rPr>
            </w:pPr>
            <w:r w:rsidRPr="0071782F">
              <w:rPr>
                <w:b/>
                <w:sz w:val="18"/>
                <w:lang w:val="fr-CH"/>
              </w:rPr>
              <w:t>Nombre total de diplômés</w:t>
            </w:r>
          </w:p>
        </w:tc>
        <w:tc>
          <w:tcPr>
            <w:tcW w:w="1646" w:type="dxa"/>
            <w:tcBorders>
              <w:top w:val="single" w:sz="4" w:space="0" w:color="auto"/>
              <w:bottom w:val="single" w:sz="12" w:space="0" w:color="auto"/>
            </w:tcBorders>
            <w:shd w:val="clear" w:color="auto" w:fill="auto"/>
            <w:vAlign w:val="bottom"/>
          </w:tcPr>
          <w:p w:rsidR="00AD5035" w:rsidRPr="0071782F" w:rsidRDefault="00AD5035" w:rsidP="00B71235">
            <w:pPr>
              <w:suppressAutoHyphens w:val="0"/>
              <w:spacing w:before="80" w:after="80" w:line="220" w:lineRule="exact"/>
              <w:ind w:left="57"/>
              <w:rPr>
                <w:b/>
                <w:sz w:val="18"/>
                <w:lang w:val="fr-CH"/>
              </w:rPr>
            </w:pPr>
            <w:r w:rsidRPr="0071782F">
              <w:rPr>
                <w:b/>
                <w:sz w:val="18"/>
                <w:lang w:val="fr-CH"/>
              </w:rPr>
              <w:t>Person</w:t>
            </w:r>
            <w:r w:rsidR="00196FA5" w:rsidRPr="0071782F">
              <w:rPr>
                <w:b/>
                <w:sz w:val="18"/>
                <w:lang w:val="fr-CH"/>
              </w:rPr>
              <w:t>nes</w:t>
            </w:r>
            <w:r w:rsidRPr="0071782F">
              <w:rPr>
                <w:b/>
                <w:sz w:val="18"/>
                <w:lang w:val="fr-CH"/>
              </w:rPr>
              <w:t xml:space="preserve"> (</w:t>
            </w:r>
            <w:r w:rsidR="00196FA5" w:rsidRPr="0071782F">
              <w:rPr>
                <w:b/>
                <w:sz w:val="18"/>
                <w:lang w:val="fr-CH"/>
              </w:rPr>
              <w:t>milliers</w:t>
            </w:r>
            <w:r w:rsidRPr="0071782F">
              <w:rPr>
                <w:b/>
                <w:sz w:val="18"/>
                <w:lang w:val="fr-CH"/>
              </w:rPr>
              <w:t>)</w:t>
            </w:r>
          </w:p>
        </w:tc>
        <w:tc>
          <w:tcPr>
            <w:tcW w:w="1191" w:type="dxa"/>
            <w:tcBorders>
              <w:top w:val="single" w:sz="4" w:space="0" w:color="auto"/>
              <w:bottom w:val="single" w:sz="12" w:space="0" w:color="auto"/>
            </w:tcBorders>
            <w:shd w:val="clear" w:color="auto" w:fill="auto"/>
            <w:vAlign w:val="bottom"/>
          </w:tcPr>
          <w:p w:rsidR="00AD5035" w:rsidRPr="0071782F" w:rsidRDefault="00AD5035" w:rsidP="0056792B">
            <w:pPr>
              <w:suppressAutoHyphens w:val="0"/>
              <w:spacing w:before="80" w:after="80" w:line="220" w:lineRule="exact"/>
              <w:ind w:right="113"/>
              <w:jc w:val="right"/>
              <w:rPr>
                <w:b/>
                <w:sz w:val="18"/>
                <w:lang w:val="fr-CH"/>
              </w:rPr>
            </w:pPr>
            <w:r w:rsidRPr="0071782F">
              <w:rPr>
                <w:b/>
                <w:sz w:val="18"/>
                <w:lang w:val="fr-CH"/>
              </w:rPr>
              <w:t>368</w:t>
            </w:r>
            <w:r w:rsidRPr="0071782F">
              <w:rPr>
                <w:i/>
                <w:sz w:val="18"/>
                <w:vertAlign w:val="superscript"/>
                <w:lang w:val="fr-CH"/>
              </w:rPr>
              <w:t>(2)</w:t>
            </w:r>
            <w:r w:rsidR="00967483" w:rsidRPr="0071782F">
              <w:rPr>
                <w:i/>
                <w:sz w:val="18"/>
                <w:vertAlign w:val="superscript"/>
                <w:lang w:val="fr-CH"/>
              </w:rPr>
              <w:t xml:space="preserve"> </w:t>
            </w:r>
            <w:r w:rsidRPr="0071782F">
              <w:rPr>
                <w:i/>
                <w:sz w:val="18"/>
                <w:vertAlign w:val="superscript"/>
                <w:lang w:val="fr-CH"/>
              </w:rPr>
              <w:t>(3)</w:t>
            </w:r>
          </w:p>
        </w:tc>
        <w:tc>
          <w:tcPr>
            <w:tcW w:w="1188" w:type="dxa"/>
            <w:tcBorders>
              <w:top w:val="single" w:sz="4" w:space="0" w:color="auto"/>
              <w:bottom w:val="single" w:sz="12" w:space="0" w:color="auto"/>
            </w:tcBorders>
            <w:shd w:val="clear" w:color="auto" w:fill="auto"/>
            <w:vAlign w:val="bottom"/>
          </w:tcPr>
          <w:p w:rsidR="00AD5035" w:rsidRPr="0071782F" w:rsidRDefault="00F12C1F" w:rsidP="00881286">
            <w:pPr>
              <w:suppressAutoHyphens w:val="0"/>
              <w:spacing w:before="80" w:after="80" w:line="220" w:lineRule="exact"/>
              <w:jc w:val="right"/>
              <w:rPr>
                <w:b/>
                <w:sz w:val="18"/>
                <w:lang w:val="fr-CH"/>
              </w:rPr>
            </w:pPr>
            <w:r w:rsidRPr="0071782F">
              <w:rPr>
                <w:sz w:val="18"/>
                <w:lang w:val="fr-CH"/>
              </w:rPr>
              <w:t>–</w:t>
            </w:r>
          </w:p>
        </w:tc>
      </w:tr>
    </w:tbl>
    <w:p w:rsidR="00AD5035" w:rsidRPr="0071782F" w:rsidRDefault="00AD5035" w:rsidP="00930639">
      <w:pPr>
        <w:pStyle w:val="H23G"/>
        <w:rPr>
          <w:lang w:val="fr-CH"/>
        </w:rPr>
      </w:pPr>
      <w:r w:rsidRPr="0071782F">
        <w:rPr>
          <w:lang w:val="fr-CH"/>
        </w:rPr>
        <w:tab/>
      </w:r>
      <w:r w:rsidRPr="0071782F">
        <w:rPr>
          <w:lang w:val="fr-CH"/>
        </w:rPr>
        <w:tab/>
      </w:r>
      <w:r w:rsidR="00592083" w:rsidRPr="0071782F">
        <w:rPr>
          <w:lang w:val="fr-CH"/>
        </w:rPr>
        <w:t>Indicateurs de l’enseignement supérieur en 2008-2009 (Université islamique Azad)</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535"/>
        <w:gridCol w:w="1591"/>
        <w:gridCol w:w="1191"/>
        <w:gridCol w:w="1188"/>
      </w:tblGrid>
      <w:tr w:rsidR="00AD5035" w:rsidRPr="0071782F">
        <w:trPr>
          <w:tblHeader/>
        </w:trPr>
        <w:tc>
          <w:tcPr>
            <w:tcW w:w="4535" w:type="dxa"/>
            <w:tcBorders>
              <w:top w:val="single" w:sz="4" w:space="0" w:color="auto"/>
              <w:bottom w:val="single" w:sz="12" w:space="0" w:color="auto"/>
            </w:tcBorders>
            <w:shd w:val="clear" w:color="auto" w:fill="auto"/>
            <w:vAlign w:val="bottom"/>
          </w:tcPr>
          <w:p w:rsidR="00AD5035" w:rsidRPr="0071782F" w:rsidRDefault="00AD5035" w:rsidP="00881286">
            <w:pPr>
              <w:suppressAutoHyphens w:val="0"/>
              <w:spacing w:before="80" w:after="80" w:line="200" w:lineRule="exact"/>
              <w:rPr>
                <w:i/>
                <w:sz w:val="16"/>
                <w:lang w:val="fr-CH"/>
              </w:rPr>
            </w:pPr>
            <w:r w:rsidRPr="0071782F">
              <w:rPr>
                <w:i/>
                <w:sz w:val="16"/>
                <w:lang w:val="fr-CH"/>
              </w:rPr>
              <w:t>Indicat</w:t>
            </w:r>
            <w:r w:rsidR="00592083" w:rsidRPr="0071782F">
              <w:rPr>
                <w:i/>
                <w:sz w:val="16"/>
                <w:lang w:val="fr-CH"/>
              </w:rPr>
              <w:t>eu</w:t>
            </w:r>
            <w:r w:rsidRPr="0071782F">
              <w:rPr>
                <w:i/>
                <w:sz w:val="16"/>
                <w:lang w:val="fr-CH"/>
              </w:rPr>
              <w:t>r</w:t>
            </w:r>
          </w:p>
        </w:tc>
        <w:tc>
          <w:tcPr>
            <w:tcW w:w="1591" w:type="dxa"/>
            <w:tcBorders>
              <w:top w:val="single" w:sz="4" w:space="0" w:color="auto"/>
              <w:bottom w:val="single" w:sz="12" w:space="0" w:color="auto"/>
            </w:tcBorders>
            <w:shd w:val="clear" w:color="auto" w:fill="auto"/>
            <w:vAlign w:val="bottom"/>
          </w:tcPr>
          <w:p w:rsidR="00AD5035" w:rsidRPr="0071782F" w:rsidRDefault="00AD5035" w:rsidP="00B71235">
            <w:pPr>
              <w:suppressAutoHyphens w:val="0"/>
              <w:spacing w:before="80" w:after="80" w:line="200" w:lineRule="exact"/>
              <w:ind w:left="57"/>
              <w:rPr>
                <w:i/>
                <w:sz w:val="16"/>
                <w:lang w:val="fr-CH"/>
              </w:rPr>
            </w:pPr>
            <w:r w:rsidRPr="0071782F">
              <w:rPr>
                <w:i/>
                <w:sz w:val="16"/>
                <w:lang w:val="fr-CH"/>
              </w:rPr>
              <w:t>Unit</w:t>
            </w:r>
            <w:r w:rsidR="00592083" w:rsidRPr="0071782F">
              <w:rPr>
                <w:i/>
                <w:sz w:val="16"/>
                <w:lang w:val="fr-CH"/>
              </w:rPr>
              <w:t>é</w:t>
            </w:r>
          </w:p>
        </w:tc>
        <w:tc>
          <w:tcPr>
            <w:tcW w:w="1191" w:type="dxa"/>
            <w:tcBorders>
              <w:top w:val="single" w:sz="4" w:space="0" w:color="auto"/>
              <w:bottom w:val="single" w:sz="12" w:space="0" w:color="auto"/>
            </w:tcBorders>
            <w:shd w:val="clear" w:color="auto" w:fill="auto"/>
            <w:vAlign w:val="bottom"/>
          </w:tcPr>
          <w:p w:rsidR="00AD5035" w:rsidRPr="0071782F" w:rsidRDefault="00AD5035" w:rsidP="0056792B">
            <w:pPr>
              <w:suppressAutoHyphens w:val="0"/>
              <w:spacing w:before="80" w:after="80" w:line="200" w:lineRule="exact"/>
              <w:ind w:right="113"/>
              <w:jc w:val="right"/>
              <w:rPr>
                <w:i/>
                <w:sz w:val="16"/>
                <w:lang w:val="fr-CH"/>
              </w:rPr>
            </w:pPr>
            <w:r w:rsidRPr="0071782F">
              <w:rPr>
                <w:i/>
                <w:sz w:val="16"/>
                <w:lang w:val="fr-CH"/>
              </w:rPr>
              <w:t>No</w:t>
            </w:r>
            <w:r w:rsidR="00592083" w:rsidRPr="0071782F">
              <w:rPr>
                <w:i/>
                <w:sz w:val="16"/>
                <w:lang w:val="fr-CH"/>
              </w:rPr>
              <w:t>mbre</w:t>
            </w:r>
            <w:r w:rsidRPr="0071782F">
              <w:rPr>
                <w:i/>
                <w:sz w:val="16"/>
                <w:lang w:val="fr-CH"/>
              </w:rPr>
              <w:t>/</w:t>
            </w:r>
            <w:r w:rsidR="00592083" w:rsidRPr="0071782F">
              <w:rPr>
                <w:i/>
                <w:sz w:val="16"/>
                <w:lang w:val="fr-CH"/>
              </w:rPr>
              <w:t>valeur</w:t>
            </w:r>
            <w:r w:rsidRPr="0071782F">
              <w:rPr>
                <w:i/>
                <w:sz w:val="16"/>
                <w:lang w:val="fr-CH"/>
              </w:rPr>
              <w:t>t</w:t>
            </w:r>
          </w:p>
        </w:tc>
        <w:tc>
          <w:tcPr>
            <w:tcW w:w="1188" w:type="dxa"/>
            <w:tcBorders>
              <w:top w:val="single" w:sz="4" w:space="0" w:color="auto"/>
              <w:bottom w:val="single" w:sz="12" w:space="0" w:color="auto"/>
            </w:tcBorders>
            <w:shd w:val="clear" w:color="auto" w:fill="auto"/>
            <w:vAlign w:val="bottom"/>
          </w:tcPr>
          <w:p w:rsidR="00AD5035" w:rsidRPr="0071782F" w:rsidRDefault="00196FA5" w:rsidP="00881286">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AD5035" w:rsidRPr="0071782F">
        <w:tc>
          <w:tcPr>
            <w:tcW w:w="4535" w:type="dxa"/>
            <w:tcBorders>
              <w:top w:val="single" w:sz="12" w:space="0" w:color="auto"/>
            </w:tcBorders>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d’étudiants</w:t>
            </w:r>
          </w:p>
        </w:tc>
        <w:tc>
          <w:tcPr>
            <w:tcW w:w="1591" w:type="dxa"/>
            <w:tcBorders>
              <w:top w:val="single" w:sz="12" w:space="0" w:color="auto"/>
            </w:tcBorders>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r w:rsidR="00AD5035" w:rsidRPr="0071782F">
              <w:rPr>
                <w:sz w:val="18"/>
                <w:lang w:val="fr-CH"/>
              </w:rPr>
              <w:t>)</w:t>
            </w:r>
          </w:p>
        </w:tc>
        <w:tc>
          <w:tcPr>
            <w:tcW w:w="1191" w:type="dxa"/>
            <w:tcBorders>
              <w:top w:val="single" w:sz="12" w:space="0" w:color="auto"/>
            </w:tcBorders>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1 392</w:t>
            </w:r>
          </w:p>
        </w:tc>
        <w:tc>
          <w:tcPr>
            <w:tcW w:w="1188" w:type="dxa"/>
            <w:tcBorders>
              <w:top w:val="single" w:sz="12" w:space="0" w:color="auto"/>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6</w:t>
            </w:r>
            <w:r w:rsidR="00881286" w:rsidRPr="0071782F">
              <w:rPr>
                <w:sz w:val="18"/>
                <w:lang w:val="fr-CH"/>
              </w:rPr>
              <w:t>,</w:t>
            </w:r>
            <w:r w:rsidRPr="0071782F">
              <w:rPr>
                <w:sz w:val="18"/>
                <w:lang w:val="fr-CH"/>
              </w:rPr>
              <w:t>8</w:t>
            </w:r>
          </w:p>
        </w:tc>
      </w:tr>
      <w:tr w:rsidR="00AD5035" w:rsidRPr="0071782F">
        <w:tc>
          <w:tcPr>
            <w:tcW w:w="4535"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d’étudiants de sexe masculin</w:t>
            </w:r>
          </w:p>
        </w:tc>
        <w:tc>
          <w:tcPr>
            <w:tcW w:w="1591" w:type="dxa"/>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819</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11</w:t>
            </w:r>
            <w:r w:rsidR="00881286" w:rsidRPr="0071782F">
              <w:rPr>
                <w:sz w:val="18"/>
                <w:lang w:val="fr-CH"/>
              </w:rPr>
              <w:t>,</w:t>
            </w:r>
            <w:r w:rsidRPr="0071782F">
              <w:rPr>
                <w:sz w:val="18"/>
                <w:lang w:val="fr-CH"/>
              </w:rPr>
              <w:t>4</w:t>
            </w:r>
          </w:p>
        </w:tc>
      </w:tr>
      <w:tr w:rsidR="00AD5035" w:rsidRPr="0071782F">
        <w:tc>
          <w:tcPr>
            <w:tcW w:w="4535"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d’étudiantes</w:t>
            </w:r>
          </w:p>
        </w:tc>
        <w:tc>
          <w:tcPr>
            <w:tcW w:w="1591" w:type="dxa"/>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573</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9</w:t>
            </w:r>
          </w:p>
        </w:tc>
      </w:tr>
      <w:tr w:rsidR="00AD5035" w:rsidRPr="0071782F">
        <w:tc>
          <w:tcPr>
            <w:tcW w:w="4535"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Ratio étudiants/professeurs</w:t>
            </w:r>
          </w:p>
        </w:tc>
        <w:tc>
          <w:tcPr>
            <w:tcW w:w="1591"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21</w:t>
            </w:r>
            <w:r w:rsidR="00881286" w:rsidRPr="0071782F">
              <w:rPr>
                <w:sz w:val="18"/>
                <w:lang w:val="fr-CH"/>
              </w:rPr>
              <w:t>,</w:t>
            </w:r>
            <w:r w:rsidRPr="0071782F">
              <w:rPr>
                <w:sz w:val="18"/>
                <w:lang w:val="fr-CH"/>
              </w:rPr>
              <w:t>5</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w:t>
            </w:r>
            <w:r w:rsidR="00881286" w:rsidRPr="0071782F">
              <w:rPr>
                <w:sz w:val="18"/>
                <w:lang w:val="fr-CH"/>
              </w:rPr>
              <w:t>,</w:t>
            </w:r>
            <w:r w:rsidRPr="0071782F">
              <w:rPr>
                <w:sz w:val="18"/>
                <w:lang w:val="fr-CH"/>
              </w:rPr>
              <w:t>3</w:t>
            </w:r>
          </w:p>
        </w:tc>
      </w:tr>
      <w:tr w:rsidR="00AD5035" w:rsidRPr="0071782F">
        <w:tc>
          <w:tcPr>
            <w:tcW w:w="4535"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d’étudiants titulaires d’un premier diplôme universitaire</w:t>
            </w:r>
          </w:p>
        </w:tc>
        <w:tc>
          <w:tcPr>
            <w:tcW w:w="1591"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434 283</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9</w:t>
            </w:r>
          </w:p>
        </w:tc>
      </w:tr>
      <w:tr w:rsidR="00AD5035" w:rsidRPr="0071782F">
        <w:tc>
          <w:tcPr>
            <w:tcW w:w="4535"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d’étudiants titulaires d’une licence</w:t>
            </w:r>
          </w:p>
        </w:tc>
        <w:tc>
          <w:tcPr>
            <w:tcW w:w="1591"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865 535</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10</w:t>
            </w:r>
            <w:r w:rsidR="00881286" w:rsidRPr="0071782F">
              <w:rPr>
                <w:sz w:val="18"/>
                <w:lang w:val="fr-CH"/>
              </w:rPr>
              <w:t>,</w:t>
            </w:r>
            <w:r w:rsidRPr="0071782F">
              <w:rPr>
                <w:sz w:val="18"/>
                <w:lang w:val="fr-CH"/>
              </w:rPr>
              <w:t>5</w:t>
            </w:r>
          </w:p>
        </w:tc>
      </w:tr>
      <w:tr w:rsidR="00AD5035" w:rsidRPr="0071782F">
        <w:tc>
          <w:tcPr>
            <w:tcW w:w="4535"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d’étudiants titulaires d’un mastère</w:t>
            </w:r>
          </w:p>
        </w:tc>
        <w:tc>
          <w:tcPr>
            <w:tcW w:w="1591"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74 759</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42</w:t>
            </w:r>
            <w:r w:rsidR="00881286" w:rsidRPr="0071782F">
              <w:rPr>
                <w:sz w:val="18"/>
                <w:lang w:val="fr-CH"/>
              </w:rPr>
              <w:t>,</w:t>
            </w:r>
            <w:r w:rsidRPr="0071782F">
              <w:rPr>
                <w:sz w:val="18"/>
                <w:lang w:val="fr-CH"/>
              </w:rPr>
              <w:t>4</w:t>
            </w:r>
          </w:p>
        </w:tc>
      </w:tr>
      <w:tr w:rsidR="00AD5035" w:rsidRPr="0071782F">
        <w:tc>
          <w:tcPr>
            <w:tcW w:w="4535"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d’étudiants titulaires d’un doctorat professionnel</w:t>
            </w:r>
          </w:p>
        </w:tc>
        <w:tc>
          <w:tcPr>
            <w:tcW w:w="1591"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12 671</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12</w:t>
            </w:r>
            <w:r w:rsidR="00881286" w:rsidRPr="0071782F">
              <w:rPr>
                <w:sz w:val="18"/>
                <w:lang w:val="fr-CH"/>
              </w:rPr>
              <w:t>,</w:t>
            </w:r>
            <w:r w:rsidRPr="0071782F">
              <w:rPr>
                <w:sz w:val="18"/>
                <w:lang w:val="fr-CH"/>
              </w:rPr>
              <w:t>8</w:t>
            </w:r>
          </w:p>
        </w:tc>
      </w:tr>
      <w:tr w:rsidR="00AD5035" w:rsidRPr="0071782F">
        <w:tc>
          <w:tcPr>
            <w:tcW w:w="4535"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d’étudiants titulaires d’un doctorat spécialisé</w:t>
            </w:r>
          </w:p>
        </w:tc>
        <w:tc>
          <w:tcPr>
            <w:tcW w:w="1591"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Person</w:t>
            </w:r>
            <w:r w:rsidR="00196FA5" w:rsidRPr="0071782F">
              <w:rPr>
                <w:sz w:val="18"/>
                <w:lang w:val="fr-CH"/>
              </w:rPr>
              <w:t>nes</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4 626</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16</w:t>
            </w:r>
            <w:r w:rsidR="00881286" w:rsidRPr="0071782F">
              <w:rPr>
                <w:sz w:val="18"/>
                <w:lang w:val="fr-CH"/>
              </w:rPr>
              <w:t>,</w:t>
            </w:r>
            <w:r w:rsidRPr="0071782F">
              <w:rPr>
                <w:sz w:val="18"/>
                <w:lang w:val="fr-CH"/>
              </w:rPr>
              <w:t>6</w:t>
            </w:r>
          </w:p>
        </w:tc>
      </w:tr>
      <w:tr w:rsidR="00AD5035" w:rsidRPr="0071782F">
        <w:tc>
          <w:tcPr>
            <w:tcW w:w="4535"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Proportion d’étudiants titulaires d’un mastère ou d’un diplôme supérieur par rapport à l’ensemble de la population étudiante</w:t>
            </w:r>
          </w:p>
        </w:tc>
        <w:tc>
          <w:tcPr>
            <w:tcW w:w="1591"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6</w:t>
            </w:r>
            <w:r w:rsidR="00881286" w:rsidRPr="0071782F">
              <w:rPr>
                <w:sz w:val="18"/>
                <w:lang w:val="fr-CH"/>
              </w:rPr>
              <w:t>,</w:t>
            </w:r>
            <w:r w:rsidRPr="0071782F">
              <w:rPr>
                <w:sz w:val="18"/>
                <w:lang w:val="fr-CH"/>
              </w:rPr>
              <w:t>6</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w:t>
            </w:r>
            <w:r w:rsidR="00881286" w:rsidRPr="0071782F">
              <w:rPr>
                <w:sz w:val="18"/>
                <w:lang w:val="fr-CH"/>
              </w:rPr>
              <w:t>,</w:t>
            </w:r>
            <w:r w:rsidRPr="0071782F">
              <w:rPr>
                <w:sz w:val="18"/>
                <w:lang w:val="fr-CH"/>
              </w:rPr>
              <w:t>4</w:t>
            </w:r>
            <w:r w:rsidRPr="0071782F">
              <w:rPr>
                <w:i/>
                <w:sz w:val="18"/>
                <w:vertAlign w:val="superscript"/>
                <w:lang w:val="fr-CH"/>
              </w:rPr>
              <w:t>(1)</w:t>
            </w:r>
          </w:p>
        </w:tc>
      </w:tr>
      <w:tr w:rsidR="00AD5035" w:rsidRPr="0071782F">
        <w:tc>
          <w:tcPr>
            <w:tcW w:w="4535"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Proportion d’étudiants inscrits en sciences humaines par rapport à l’ensemble de la population étudiante</w:t>
            </w:r>
          </w:p>
        </w:tc>
        <w:tc>
          <w:tcPr>
            <w:tcW w:w="1591" w:type="dxa"/>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39</w:t>
            </w:r>
            <w:r w:rsidR="00881286" w:rsidRPr="0071782F">
              <w:rPr>
                <w:sz w:val="18"/>
                <w:lang w:val="fr-CH"/>
              </w:rPr>
              <w:t>,</w:t>
            </w:r>
            <w:r w:rsidRPr="0071782F">
              <w:rPr>
                <w:sz w:val="18"/>
                <w:lang w:val="fr-CH"/>
              </w:rPr>
              <w:t>7</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w:t>
            </w:r>
            <w:r w:rsidR="00881286" w:rsidRPr="0071782F">
              <w:rPr>
                <w:sz w:val="18"/>
                <w:lang w:val="fr-CH"/>
              </w:rPr>
              <w:t>,</w:t>
            </w:r>
            <w:r w:rsidRPr="0071782F">
              <w:rPr>
                <w:sz w:val="18"/>
                <w:lang w:val="fr-CH"/>
              </w:rPr>
              <w:t>7</w:t>
            </w:r>
            <w:r w:rsidRPr="0071782F">
              <w:rPr>
                <w:i/>
                <w:sz w:val="18"/>
                <w:vertAlign w:val="superscript"/>
                <w:lang w:val="fr-CH"/>
              </w:rPr>
              <w:t>(1)</w:t>
            </w:r>
          </w:p>
        </w:tc>
      </w:tr>
      <w:tr w:rsidR="00AD5035" w:rsidRPr="0071782F">
        <w:tc>
          <w:tcPr>
            <w:tcW w:w="4535" w:type="dxa"/>
            <w:tcBorders>
              <w:bottom w:val="nil"/>
            </w:tcBorders>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Proportion d’étudiants inscrits en sciences pures par rapport à l’ensemble de la population étudiante</w:t>
            </w:r>
          </w:p>
        </w:tc>
        <w:tc>
          <w:tcPr>
            <w:tcW w:w="1591" w:type="dxa"/>
            <w:tcBorders>
              <w:bottom w:val="nil"/>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191" w:type="dxa"/>
            <w:tcBorders>
              <w:bottom w:val="nil"/>
            </w:tcBorders>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7</w:t>
            </w:r>
            <w:r w:rsidR="00881286" w:rsidRPr="0071782F">
              <w:rPr>
                <w:sz w:val="18"/>
                <w:lang w:val="fr-CH"/>
              </w:rPr>
              <w:t>,</w:t>
            </w:r>
            <w:r w:rsidRPr="0071782F">
              <w:rPr>
                <w:sz w:val="18"/>
                <w:lang w:val="fr-CH"/>
              </w:rPr>
              <w:t>3</w:t>
            </w:r>
          </w:p>
        </w:tc>
        <w:tc>
          <w:tcPr>
            <w:tcW w:w="1188" w:type="dxa"/>
            <w:tcBorders>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3</w:t>
            </w:r>
            <w:r w:rsidRPr="0071782F">
              <w:rPr>
                <w:i/>
                <w:sz w:val="18"/>
                <w:vertAlign w:val="superscript"/>
                <w:lang w:val="fr-CH"/>
              </w:rPr>
              <w:t>(1)</w:t>
            </w:r>
          </w:p>
        </w:tc>
      </w:tr>
      <w:tr w:rsidR="00AD5035" w:rsidRPr="0071782F">
        <w:tc>
          <w:tcPr>
            <w:tcW w:w="4535" w:type="dxa"/>
            <w:tcBorders>
              <w:top w:val="nil"/>
              <w:bottom w:val="nil"/>
            </w:tcBorders>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Proportion d’étudiants inscrits en sciences agronomiques et vétérinaires par rapport à l’ensemble de la population étudiante</w:t>
            </w:r>
          </w:p>
        </w:tc>
        <w:tc>
          <w:tcPr>
            <w:tcW w:w="1591" w:type="dxa"/>
            <w:tcBorders>
              <w:top w:val="nil"/>
              <w:bottom w:val="nil"/>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191" w:type="dxa"/>
            <w:tcBorders>
              <w:top w:val="nil"/>
              <w:bottom w:val="nil"/>
            </w:tcBorders>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5</w:t>
            </w:r>
            <w:r w:rsidR="00881286" w:rsidRPr="0071782F">
              <w:rPr>
                <w:sz w:val="18"/>
                <w:lang w:val="fr-CH"/>
              </w:rPr>
              <w:t>,</w:t>
            </w:r>
            <w:r w:rsidRPr="0071782F">
              <w:rPr>
                <w:sz w:val="18"/>
                <w:lang w:val="fr-CH"/>
              </w:rPr>
              <w:t>8</w:t>
            </w:r>
          </w:p>
        </w:tc>
        <w:tc>
          <w:tcPr>
            <w:tcW w:w="1188" w:type="dxa"/>
            <w:tcBorders>
              <w:top w:val="nil"/>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4</w:t>
            </w:r>
            <w:r w:rsidRPr="0071782F">
              <w:rPr>
                <w:i/>
                <w:sz w:val="18"/>
                <w:vertAlign w:val="superscript"/>
                <w:lang w:val="fr-CH"/>
              </w:rPr>
              <w:t>(1)</w:t>
            </w:r>
          </w:p>
        </w:tc>
      </w:tr>
      <w:tr w:rsidR="00AD5035" w:rsidRPr="0071782F">
        <w:tc>
          <w:tcPr>
            <w:tcW w:w="4535" w:type="dxa"/>
            <w:tcBorders>
              <w:top w:val="nil"/>
              <w:bottom w:val="nil"/>
            </w:tcBorders>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Proportion d’étudiants inscrits dans les disciplines techniques et en ingénierie par rapport à l’ensemble de la population étudiante</w:t>
            </w:r>
          </w:p>
        </w:tc>
        <w:tc>
          <w:tcPr>
            <w:tcW w:w="1591" w:type="dxa"/>
            <w:tcBorders>
              <w:top w:val="nil"/>
              <w:bottom w:val="nil"/>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191" w:type="dxa"/>
            <w:tcBorders>
              <w:top w:val="nil"/>
              <w:bottom w:val="nil"/>
            </w:tcBorders>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40</w:t>
            </w:r>
            <w:r w:rsidR="00881286" w:rsidRPr="0071782F">
              <w:rPr>
                <w:sz w:val="18"/>
                <w:lang w:val="fr-CH"/>
              </w:rPr>
              <w:t>,</w:t>
            </w:r>
            <w:r w:rsidRPr="0071782F">
              <w:rPr>
                <w:sz w:val="18"/>
                <w:lang w:val="fr-CH"/>
              </w:rPr>
              <w:t>5</w:t>
            </w:r>
          </w:p>
        </w:tc>
        <w:tc>
          <w:tcPr>
            <w:tcW w:w="1188" w:type="dxa"/>
            <w:tcBorders>
              <w:top w:val="nil"/>
              <w:bottom w:val="nil"/>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w:t>
            </w:r>
            <w:r w:rsidR="00881286" w:rsidRPr="0071782F">
              <w:rPr>
                <w:sz w:val="18"/>
                <w:lang w:val="fr-CH"/>
              </w:rPr>
              <w:t>,</w:t>
            </w:r>
            <w:r w:rsidRPr="0071782F">
              <w:rPr>
                <w:sz w:val="18"/>
                <w:lang w:val="fr-CH"/>
              </w:rPr>
              <w:t>0</w:t>
            </w:r>
            <w:r w:rsidRPr="0071782F">
              <w:rPr>
                <w:i/>
                <w:sz w:val="18"/>
                <w:vertAlign w:val="superscript"/>
                <w:lang w:val="fr-CH"/>
              </w:rPr>
              <w:t>(1)</w:t>
            </w:r>
          </w:p>
        </w:tc>
      </w:tr>
      <w:tr w:rsidR="00AD5035" w:rsidRPr="0071782F">
        <w:tc>
          <w:tcPr>
            <w:tcW w:w="4535" w:type="dxa"/>
            <w:tcBorders>
              <w:top w:val="nil"/>
            </w:tcBorders>
            <w:shd w:val="clear" w:color="auto" w:fill="auto"/>
            <w:vAlign w:val="bottom"/>
          </w:tcPr>
          <w:p w:rsidR="00AD5035" w:rsidRPr="0071782F" w:rsidRDefault="00592083" w:rsidP="00A51F76">
            <w:pPr>
              <w:keepNext/>
              <w:suppressAutoHyphens w:val="0"/>
              <w:spacing w:before="40" w:after="40" w:line="220" w:lineRule="exact"/>
              <w:rPr>
                <w:sz w:val="18"/>
                <w:lang w:val="fr-CH"/>
              </w:rPr>
            </w:pPr>
            <w:r w:rsidRPr="0071782F">
              <w:rPr>
                <w:sz w:val="18"/>
                <w:lang w:val="fr-CH"/>
              </w:rPr>
              <w:t>Proportion d’étudiants inscrits en médecine par rapport à l’ensemble de la population étudiante</w:t>
            </w:r>
          </w:p>
        </w:tc>
        <w:tc>
          <w:tcPr>
            <w:tcW w:w="1591" w:type="dxa"/>
            <w:tcBorders>
              <w:top w:val="nil"/>
            </w:tcBorders>
            <w:shd w:val="clear" w:color="auto" w:fill="auto"/>
            <w:vAlign w:val="bottom"/>
          </w:tcPr>
          <w:p w:rsidR="00AD5035" w:rsidRPr="0071782F" w:rsidRDefault="00AD5035" w:rsidP="00B71235">
            <w:pPr>
              <w:keepNext/>
              <w:suppressAutoHyphens w:val="0"/>
              <w:spacing w:before="40" w:after="40" w:line="220" w:lineRule="exact"/>
              <w:ind w:left="57"/>
              <w:rPr>
                <w:sz w:val="18"/>
                <w:lang w:val="fr-CH"/>
              </w:rPr>
            </w:pPr>
            <w:r w:rsidRPr="0071782F">
              <w:rPr>
                <w:sz w:val="18"/>
                <w:lang w:val="fr-CH"/>
              </w:rPr>
              <w:t>%</w:t>
            </w:r>
          </w:p>
        </w:tc>
        <w:tc>
          <w:tcPr>
            <w:tcW w:w="1191" w:type="dxa"/>
            <w:tcBorders>
              <w:top w:val="nil"/>
            </w:tcBorders>
            <w:shd w:val="clear" w:color="auto" w:fill="auto"/>
            <w:vAlign w:val="bottom"/>
          </w:tcPr>
          <w:p w:rsidR="00AD5035" w:rsidRPr="0071782F" w:rsidRDefault="00AD5035" w:rsidP="0056792B">
            <w:pPr>
              <w:keepNext/>
              <w:suppressAutoHyphens w:val="0"/>
              <w:spacing w:before="40" w:after="40" w:line="220" w:lineRule="exact"/>
              <w:ind w:right="113"/>
              <w:jc w:val="right"/>
              <w:rPr>
                <w:sz w:val="18"/>
                <w:lang w:val="fr-CH"/>
              </w:rPr>
            </w:pPr>
            <w:r w:rsidRPr="0071782F">
              <w:rPr>
                <w:sz w:val="18"/>
                <w:lang w:val="fr-CH"/>
              </w:rPr>
              <w:t>3</w:t>
            </w:r>
            <w:r w:rsidR="00881286" w:rsidRPr="0071782F">
              <w:rPr>
                <w:sz w:val="18"/>
                <w:lang w:val="fr-CH"/>
              </w:rPr>
              <w:t>,</w:t>
            </w:r>
            <w:r w:rsidRPr="0071782F">
              <w:rPr>
                <w:sz w:val="18"/>
                <w:lang w:val="fr-CH"/>
              </w:rPr>
              <w:t>2</w:t>
            </w:r>
          </w:p>
        </w:tc>
        <w:tc>
          <w:tcPr>
            <w:tcW w:w="1188" w:type="dxa"/>
            <w:tcBorders>
              <w:top w:val="nil"/>
            </w:tcBorders>
            <w:shd w:val="clear" w:color="auto" w:fill="auto"/>
            <w:vAlign w:val="bottom"/>
          </w:tcPr>
          <w:p w:rsidR="00AD5035" w:rsidRPr="0071782F" w:rsidRDefault="00AD5035" w:rsidP="00A51F76">
            <w:pPr>
              <w:keepNext/>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0</w:t>
            </w:r>
            <w:r w:rsidRPr="0071782F">
              <w:rPr>
                <w:i/>
                <w:sz w:val="18"/>
                <w:vertAlign w:val="superscript"/>
                <w:lang w:val="fr-CH"/>
              </w:rPr>
              <w:t>(1)</w:t>
            </w:r>
          </w:p>
        </w:tc>
      </w:tr>
      <w:tr w:rsidR="00AD5035" w:rsidRPr="0071782F">
        <w:tc>
          <w:tcPr>
            <w:tcW w:w="4535" w:type="dxa"/>
            <w:tcBorders>
              <w:bottom w:val="single" w:sz="4" w:space="0" w:color="auto"/>
            </w:tcBorders>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Proportion d’étudiants inscrits dans les disciplines artistiques par rapport à l’ensemble de la population étudiante</w:t>
            </w:r>
          </w:p>
        </w:tc>
        <w:tc>
          <w:tcPr>
            <w:tcW w:w="1591" w:type="dxa"/>
            <w:tcBorders>
              <w:bottom w:val="single" w:sz="4" w:space="0" w:color="auto"/>
            </w:tcBorders>
            <w:shd w:val="clear" w:color="auto" w:fill="auto"/>
            <w:vAlign w:val="bottom"/>
          </w:tcPr>
          <w:p w:rsidR="00AD5035" w:rsidRPr="0071782F" w:rsidRDefault="00AD5035" w:rsidP="00B71235">
            <w:pPr>
              <w:suppressAutoHyphens w:val="0"/>
              <w:spacing w:before="40" w:after="40" w:line="220" w:lineRule="exact"/>
              <w:ind w:left="57"/>
              <w:rPr>
                <w:sz w:val="18"/>
                <w:lang w:val="fr-CH"/>
              </w:rPr>
            </w:pPr>
            <w:r w:rsidRPr="0071782F">
              <w:rPr>
                <w:sz w:val="18"/>
                <w:lang w:val="fr-CH"/>
              </w:rPr>
              <w:t>%</w:t>
            </w:r>
          </w:p>
        </w:tc>
        <w:tc>
          <w:tcPr>
            <w:tcW w:w="1191" w:type="dxa"/>
            <w:tcBorders>
              <w:bottom w:val="single" w:sz="4" w:space="0" w:color="auto"/>
            </w:tcBorders>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3</w:t>
            </w:r>
            <w:r w:rsidR="00881286" w:rsidRPr="0071782F">
              <w:rPr>
                <w:sz w:val="18"/>
                <w:lang w:val="fr-CH"/>
              </w:rPr>
              <w:t>,</w:t>
            </w:r>
            <w:r w:rsidRPr="0071782F">
              <w:rPr>
                <w:sz w:val="18"/>
                <w:lang w:val="fr-CH"/>
              </w:rPr>
              <w:t>4</w:t>
            </w:r>
          </w:p>
        </w:tc>
        <w:tc>
          <w:tcPr>
            <w:tcW w:w="1188" w:type="dxa"/>
            <w:tcBorders>
              <w:bottom w:val="single" w:sz="4" w:space="0" w:color="auto"/>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3</w:t>
            </w:r>
            <w:r w:rsidRPr="0071782F">
              <w:rPr>
                <w:i/>
                <w:sz w:val="18"/>
                <w:vertAlign w:val="superscript"/>
                <w:lang w:val="fr-CH"/>
              </w:rPr>
              <w:t>(1)</w:t>
            </w:r>
          </w:p>
        </w:tc>
      </w:tr>
      <w:tr w:rsidR="00AD5035" w:rsidRPr="0071782F">
        <w:tc>
          <w:tcPr>
            <w:tcW w:w="4535" w:type="dxa"/>
            <w:tcBorders>
              <w:top w:val="single" w:sz="4" w:space="0" w:color="auto"/>
              <w:bottom w:val="single" w:sz="4" w:space="0" w:color="auto"/>
            </w:tcBorders>
            <w:shd w:val="clear" w:color="auto" w:fill="auto"/>
            <w:vAlign w:val="bottom"/>
          </w:tcPr>
          <w:p w:rsidR="00AD5035" w:rsidRPr="0071782F" w:rsidRDefault="00592083" w:rsidP="00A51F76">
            <w:pPr>
              <w:suppressAutoHyphens w:val="0"/>
              <w:spacing w:before="80" w:after="80" w:line="220" w:lineRule="exact"/>
              <w:ind w:left="284"/>
              <w:rPr>
                <w:b/>
                <w:sz w:val="18"/>
                <w:lang w:val="fr-CH"/>
              </w:rPr>
            </w:pPr>
            <w:r w:rsidRPr="0071782F">
              <w:rPr>
                <w:b/>
                <w:sz w:val="18"/>
                <w:lang w:val="fr-CH"/>
              </w:rPr>
              <w:t>Nombre total de diplômés</w:t>
            </w:r>
          </w:p>
        </w:tc>
        <w:tc>
          <w:tcPr>
            <w:tcW w:w="1591" w:type="dxa"/>
            <w:tcBorders>
              <w:top w:val="single" w:sz="4" w:space="0" w:color="auto"/>
              <w:bottom w:val="single" w:sz="4" w:space="0" w:color="auto"/>
            </w:tcBorders>
            <w:shd w:val="clear" w:color="auto" w:fill="auto"/>
            <w:vAlign w:val="bottom"/>
          </w:tcPr>
          <w:p w:rsidR="00AD5035" w:rsidRPr="0071782F" w:rsidRDefault="00AD5035" w:rsidP="00B71235">
            <w:pPr>
              <w:suppressAutoHyphens w:val="0"/>
              <w:spacing w:before="80" w:after="80" w:line="220" w:lineRule="exact"/>
              <w:ind w:left="57"/>
              <w:rPr>
                <w:b/>
                <w:sz w:val="18"/>
                <w:lang w:val="fr-CH"/>
              </w:rPr>
            </w:pPr>
            <w:r w:rsidRPr="0071782F">
              <w:rPr>
                <w:b/>
                <w:sz w:val="18"/>
                <w:lang w:val="fr-CH"/>
              </w:rPr>
              <w:t>Person</w:t>
            </w:r>
            <w:r w:rsidR="00196FA5" w:rsidRPr="0071782F">
              <w:rPr>
                <w:b/>
                <w:sz w:val="18"/>
                <w:lang w:val="fr-CH"/>
              </w:rPr>
              <w:t xml:space="preserve">nes </w:t>
            </w:r>
            <w:r w:rsidRPr="0071782F">
              <w:rPr>
                <w:b/>
                <w:sz w:val="18"/>
                <w:lang w:val="fr-CH"/>
              </w:rPr>
              <w:t>(</w:t>
            </w:r>
            <w:r w:rsidR="00196FA5" w:rsidRPr="0071782F">
              <w:rPr>
                <w:b/>
                <w:sz w:val="18"/>
                <w:lang w:val="fr-CH"/>
              </w:rPr>
              <w:t>milliers</w:t>
            </w:r>
            <w:r w:rsidRPr="0071782F">
              <w:rPr>
                <w:b/>
                <w:sz w:val="18"/>
                <w:lang w:val="fr-CH"/>
              </w:rPr>
              <w:t>)</w:t>
            </w:r>
          </w:p>
        </w:tc>
        <w:tc>
          <w:tcPr>
            <w:tcW w:w="1191" w:type="dxa"/>
            <w:tcBorders>
              <w:top w:val="single" w:sz="4" w:space="0" w:color="auto"/>
              <w:bottom w:val="single" w:sz="4" w:space="0" w:color="auto"/>
            </w:tcBorders>
            <w:shd w:val="clear" w:color="auto" w:fill="auto"/>
            <w:vAlign w:val="bottom"/>
          </w:tcPr>
          <w:p w:rsidR="00AD5035" w:rsidRPr="0071782F" w:rsidRDefault="00AD5035" w:rsidP="0056792B">
            <w:pPr>
              <w:suppressAutoHyphens w:val="0"/>
              <w:spacing w:before="80" w:after="80" w:line="220" w:lineRule="exact"/>
              <w:ind w:right="113"/>
              <w:jc w:val="right"/>
              <w:rPr>
                <w:b/>
                <w:sz w:val="18"/>
                <w:lang w:val="fr-CH"/>
              </w:rPr>
            </w:pPr>
            <w:r w:rsidRPr="0071782F">
              <w:rPr>
                <w:b/>
                <w:sz w:val="18"/>
                <w:lang w:val="fr-CH"/>
              </w:rPr>
              <w:t>183</w:t>
            </w:r>
          </w:p>
        </w:tc>
        <w:tc>
          <w:tcPr>
            <w:tcW w:w="1188" w:type="dxa"/>
            <w:tcBorders>
              <w:top w:val="single" w:sz="4" w:space="0" w:color="auto"/>
              <w:bottom w:val="single" w:sz="4" w:space="0" w:color="auto"/>
            </w:tcBorders>
            <w:shd w:val="clear" w:color="auto" w:fill="auto"/>
            <w:vAlign w:val="bottom"/>
          </w:tcPr>
          <w:p w:rsidR="00AD5035" w:rsidRPr="0071782F" w:rsidRDefault="00AD5035" w:rsidP="00881286">
            <w:pPr>
              <w:suppressAutoHyphens w:val="0"/>
              <w:spacing w:before="80" w:after="80" w:line="220" w:lineRule="exact"/>
              <w:jc w:val="right"/>
              <w:rPr>
                <w:b/>
                <w:sz w:val="18"/>
                <w:lang w:val="fr-CH"/>
              </w:rPr>
            </w:pPr>
            <w:r w:rsidRPr="0071782F">
              <w:rPr>
                <w:b/>
                <w:sz w:val="18"/>
                <w:lang w:val="fr-CH"/>
              </w:rPr>
              <w:t>7</w:t>
            </w:r>
            <w:r w:rsidR="00881286" w:rsidRPr="0071782F">
              <w:rPr>
                <w:b/>
                <w:sz w:val="18"/>
                <w:lang w:val="fr-CH"/>
              </w:rPr>
              <w:t>,</w:t>
            </w:r>
            <w:r w:rsidRPr="0071782F">
              <w:rPr>
                <w:b/>
                <w:sz w:val="18"/>
                <w:lang w:val="fr-CH"/>
              </w:rPr>
              <w:t>6</w:t>
            </w:r>
          </w:p>
        </w:tc>
      </w:tr>
      <w:tr w:rsidR="00AD5035" w:rsidRPr="0071782F">
        <w:tc>
          <w:tcPr>
            <w:tcW w:w="4535" w:type="dxa"/>
            <w:tcBorders>
              <w:top w:val="single" w:sz="4" w:space="0" w:color="auto"/>
            </w:tcBorders>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d’étudiants de sexe masculin</w:t>
            </w:r>
          </w:p>
        </w:tc>
        <w:tc>
          <w:tcPr>
            <w:tcW w:w="1591" w:type="dxa"/>
            <w:tcBorders>
              <w:top w:val="single" w:sz="4" w:space="0" w:color="auto"/>
            </w:tcBorders>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p>
        </w:tc>
        <w:tc>
          <w:tcPr>
            <w:tcW w:w="1191" w:type="dxa"/>
            <w:tcBorders>
              <w:top w:val="single" w:sz="4" w:space="0" w:color="auto"/>
            </w:tcBorders>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97</w:t>
            </w:r>
          </w:p>
        </w:tc>
        <w:tc>
          <w:tcPr>
            <w:tcW w:w="1188" w:type="dxa"/>
            <w:tcBorders>
              <w:top w:val="single" w:sz="4" w:space="0" w:color="auto"/>
            </w:tcBorders>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11</w:t>
            </w:r>
            <w:r w:rsidR="00881286" w:rsidRPr="0071782F">
              <w:rPr>
                <w:sz w:val="18"/>
                <w:lang w:val="fr-CH"/>
              </w:rPr>
              <w:t>,</w:t>
            </w:r>
            <w:r w:rsidRPr="0071782F">
              <w:rPr>
                <w:sz w:val="18"/>
                <w:lang w:val="fr-CH"/>
              </w:rPr>
              <w:t>5</w:t>
            </w:r>
          </w:p>
        </w:tc>
      </w:tr>
      <w:tr w:rsidR="00AD5035" w:rsidRPr="0071782F">
        <w:tc>
          <w:tcPr>
            <w:tcW w:w="4535" w:type="dxa"/>
            <w:shd w:val="clear" w:color="auto"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Nombre d’étudiantes</w:t>
            </w:r>
          </w:p>
        </w:tc>
        <w:tc>
          <w:tcPr>
            <w:tcW w:w="1591" w:type="dxa"/>
            <w:shd w:val="clear" w:color="auto" w:fill="auto"/>
            <w:vAlign w:val="bottom"/>
          </w:tcPr>
          <w:p w:rsidR="00AD5035" w:rsidRPr="0071782F" w:rsidRDefault="00196FA5" w:rsidP="00B71235">
            <w:pPr>
              <w:suppressAutoHyphens w:val="0"/>
              <w:spacing w:before="40" w:after="40" w:line="220" w:lineRule="exact"/>
              <w:ind w:left="57"/>
              <w:rPr>
                <w:sz w:val="18"/>
                <w:lang w:val="fr-CH"/>
              </w:rPr>
            </w:pPr>
            <w:r w:rsidRPr="0071782F">
              <w:rPr>
                <w:sz w:val="18"/>
                <w:lang w:val="fr-CH"/>
              </w:rPr>
              <w:t>Personnes (milliers)</w:t>
            </w:r>
          </w:p>
        </w:tc>
        <w:tc>
          <w:tcPr>
            <w:tcW w:w="1191" w:type="dxa"/>
            <w:shd w:val="clear" w:color="auto" w:fill="auto"/>
            <w:vAlign w:val="bottom"/>
          </w:tcPr>
          <w:p w:rsidR="00AD5035" w:rsidRPr="0071782F" w:rsidRDefault="00AD5035" w:rsidP="0056792B">
            <w:pPr>
              <w:suppressAutoHyphens w:val="0"/>
              <w:spacing w:before="40" w:after="40" w:line="220" w:lineRule="exact"/>
              <w:ind w:right="113"/>
              <w:jc w:val="right"/>
              <w:rPr>
                <w:sz w:val="18"/>
                <w:lang w:val="fr-CH"/>
              </w:rPr>
            </w:pPr>
            <w:r w:rsidRPr="0071782F">
              <w:rPr>
                <w:sz w:val="18"/>
                <w:lang w:val="fr-CH"/>
              </w:rPr>
              <w:t>86</w:t>
            </w:r>
          </w:p>
        </w:tc>
        <w:tc>
          <w:tcPr>
            <w:tcW w:w="1188" w:type="dxa"/>
            <w:shd w:val="clear" w:color="auto"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6</w:t>
            </w:r>
          </w:p>
        </w:tc>
      </w:tr>
    </w:tbl>
    <w:p w:rsidR="00AD5035" w:rsidRPr="0071782F" w:rsidRDefault="00AD5035" w:rsidP="00930639">
      <w:pPr>
        <w:pStyle w:val="H23G"/>
        <w:rPr>
          <w:lang w:val="fr-CH"/>
        </w:rPr>
      </w:pPr>
      <w:r w:rsidRPr="0071782F">
        <w:rPr>
          <w:lang w:val="fr-CH"/>
        </w:rPr>
        <w:tab/>
      </w:r>
      <w:r w:rsidRPr="0071782F">
        <w:rPr>
          <w:lang w:val="fr-CH"/>
        </w:rPr>
        <w:tab/>
      </w:r>
      <w:r w:rsidR="00592083" w:rsidRPr="0071782F">
        <w:rPr>
          <w:lang w:val="fr-CH"/>
        </w:rPr>
        <w:t xml:space="preserve">Étudiants des </w:t>
      </w:r>
      <w:r w:rsidRPr="0071782F">
        <w:rPr>
          <w:lang w:val="fr-CH"/>
        </w:rPr>
        <w:t>universit</w:t>
      </w:r>
      <w:r w:rsidR="00592083" w:rsidRPr="0071782F">
        <w:rPr>
          <w:lang w:val="fr-CH"/>
        </w:rPr>
        <w:t>é</w:t>
      </w:r>
      <w:r w:rsidRPr="0071782F">
        <w:rPr>
          <w:lang w:val="fr-CH"/>
        </w:rPr>
        <w:t xml:space="preserve">s </w:t>
      </w:r>
      <w:r w:rsidR="00592083" w:rsidRPr="0071782F">
        <w:rPr>
          <w:lang w:val="fr-CH"/>
        </w:rPr>
        <w:t xml:space="preserve">et des autres établissements d’enseignement supérieur ventilés par sexe et par domaine d’étude </w:t>
      </w:r>
    </w:p>
    <w:tbl>
      <w:tblPr>
        <w:tblW w:w="8505" w:type="dxa"/>
        <w:tblInd w:w="1134"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1276"/>
        <w:gridCol w:w="851"/>
        <w:gridCol w:w="850"/>
        <w:gridCol w:w="851"/>
        <w:gridCol w:w="850"/>
        <w:gridCol w:w="709"/>
        <w:gridCol w:w="709"/>
        <w:gridCol w:w="850"/>
        <w:gridCol w:w="851"/>
        <w:gridCol w:w="708"/>
      </w:tblGrid>
      <w:tr w:rsidR="00AD5035" w:rsidRPr="0071782F">
        <w:trPr>
          <w:tblHeader/>
        </w:trPr>
        <w:tc>
          <w:tcPr>
            <w:tcW w:w="1276" w:type="dxa"/>
            <w:tcBorders>
              <w:top w:val="single" w:sz="4" w:space="0" w:color="auto"/>
              <w:bottom w:val="single" w:sz="24" w:space="0" w:color="FFFFFF"/>
            </w:tcBorders>
            <w:shd w:val="clear" w:color="000000" w:fill="auto"/>
            <w:vAlign w:val="bottom"/>
          </w:tcPr>
          <w:p w:rsidR="00AD5035" w:rsidRPr="0071782F" w:rsidRDefault="00AD5035" w:rsidP="00881286">
            <w:pPr>
              <w:suppressAutoHyphens w:val="0"/>
              <w:spacing w:before="80" w:after="80" w:line="200" w:lineRule="exact"/>
              <w:rPr>
                <w:i/>
                <w:sz w:val="16"/>
                <w:szCs w:val="16"/>
                <w:lang w:val="fr-CH"/>
              </w:rPr>
            </w:pPr>
          </w:p>
        </w:tc>
        <w:tc>
          <w:tcPr>
            <w:tcW w:w="2552" w:type="dxa"/>
            <w:gridSpan w:val="3"/>
            <w:tcBorders>
              <w:top w:val="single" w:sz="4" w:space="0" w:color="auto"/>
              <w:bottom w:val="single" w:sz="4" w:space="0" w:color="auto"/>
              <w:right w:val="single" w:sz="24" w:space="0" w:color="FFFFFF"/>
            </w:tcBorders>
            <w:shd w:val="clear" w:color="000000" w:fill="auto"/>
            <w:vAlign w:val="bottom"/>
          </w:tcPr>
          <w:p w:rsidR="00AD5035" w:rsidRPr="0071782F" w:rsidRDefault="00AD5035" w:rsidP="00881286">
            <w:pPr>
              <w:suppressAutoHyphens w:val="0"/>
              <w:spacing w:before="80" w:after="80" w:line="200" w:lineRule="exact"/>
              <w:jc w:val="center"/>
              <w:rPr>
                <w:b/>
                <w:i/>
                <w:sz w:val="16"/>
                <w:szCs w:val="16"/>
                <w:lang w:val="fr-CH"/>
              </w:rPr>
            </w:pPr>
            <w:r w:rsidRPr="0071782F">
              <w:rPr>
                <w:b/>
                <w:i/>
                <w:sz w:val="16"/>
                <w:szCs w:val="16"/>
                <w:lang w:val="fr-CH"/>
              </w:rPr>
              <w:t>Total</w:t>
            </w:r>
          </w:p>
        </w:tc>
        <w:tc>
          <w:tcPr>
            <w:tcW w:w="2268" w:type="dxa"/>
            <w:gridSpan w:val="3"/>
            <w:tcBorders>
              <w:top w:val="single" w:sz="4" w:space="0" w:color="auto"/>
              <w:left w:val="single" w:sz="24" w:space="0" w:color="FFFFFF"/>
              <w:bottom w:val="single" w:sz="4" w:space="0" w:color="auto"/>
              <w:right w:val="single" w:sz="24" w:space="0" w:color="FFFFFF"/>
            </w:tcBorders>
            <w:shd w:val="clear" w:color="000000" w:fill="auto"/>
            <w:vAlign w:val="bottom"/>
          </w:tcPr>
          <w:p w:rsidR="00AD5035" w:rsidRPr="0071782F" w:rsidRDefault="00592083" w:rsidP="00881286">
            <w:pPr>
              <w:suppressAutoHyphens w:val="0"/>
              <w:spacing w:before="80" w:after="80" w:line="200" w:lineRule="exact"/>
              <w:jc w:val="center"/>
              <w:rPr>
                <w:i/>
                <w:sz w:val="16"/>
                <w:szCs w:val="16"/>
                <w:lang w:val="fr-CH"/>
              </w:rPr>
            </w:pPr>
            <w:r w:rsidRPr="0071782F">
              <w:rPr>
                <w:i/>
                <w:sz w:val="16"/>
                <w:szCs w:val="16"/>
                <w:lang w:val="fr-CH"/>
              </w:rPr>
              <w:t>Premier diplôme universitaire</w:t>
            </w:r>
          </w:p>
        </w:tc>
        <w:tc>
          <w:tcPr>
            <w:tcW w:w="2409" w:type="dxa"/>
            <w:gridSpan w:val="3"/>
            <w:tcBorders>
              <w:top w:val="single" w:sz="4" w:space="0" w:color="auto"/>
              <w:left w:val="single" w:sz="24" w:space="0" w:color="FFFFFF"/>
              <w:bottom w:val="single" w:sz="4" w:space="0" w:color="auto"/>
            </w:tcBorders>
            <w:shd w:val="clear" w:color="000000" w:fill="auto"/>
            <w:vAlign w:val="bottom"/>
          </w:tcPr>
          <w:p w:rsidR="00AD5035" w:rsidRPr="0071782F" w:rsidRDefault="00592083" w:rsidP="00881286">
            <w:pPr>
              <w:suppressAutoHyphens w:val="0"/>
              <w:spacing w:before="80" w:after="80" w:line="200" w:lineRule="exact"/>
              <w:jc w:val="center"/>
              <w:rPr>
                <w:i/>
                <w:sz w:val="16"/>
                <w:szCs w:val="16"/>
                <w:lang w:val="fr-CH"/>
              </w:rPr>
            </w:pPr>
            <w:r w:rsidRPr="0071782F">
              <w:rPr>
                <w:i/>
                <w:sz w:val="16"/>
                <w:szCs w:val="16"/>
                <w:lang w:val="fr-CH"/>
              </w:rPr>
              <w:t>Licence</w:t>
            </w:r>
          </w:p>
        </w:tc>
      </w:tr>
      <w:tr w:rsidR="00AD5035" w:rsidRPr="0071782F">
        <w:trPr>
          <w:tblHeader/>
        </w:trPr>
        <w:tc>
          <w:tcPr>
            <w:tcW w:w="1276" w:type="dxa"/>
            <w:tcBorders>
              <w:top w:val="single" w:sz="24" w:space="0" w:color="FFFFFF"/>
              <w:bottom w:val="single" w:sz="12" w:space="0" w:color="auto"/>
            </w:tcBorders>
            <w:shd w:val="clear" w:color="000000" w:fill="auto"/>
            <w:vAlign w:val="bottom"/>
          </w:tcPr>
          <w:p w:rsidR="00AD5035" w:rsidRPr="0071782F" w:rsidRDefault="00592083" w:rsidP="00881286">
            <w:pPr>
              <w:suppressAutoHyphens w:val="0"/>
              <w:spacing w:before="80" w:after="80" w:line="200" w:lineRule="exact"/>
              <w:rPr>
                <w:i/>
                <w:sz w:val="16"/>
                <w:szCs w:val="16"/>
                <w:lang w:val="fr-CH"/>
              </w:rPr>
            </w:pPr>
            <w:r w:rsidRPr="0071782F">
              <w:rPr>
                <w:i/>
                <w:sz w:val="16"/>
                <w:szCs w:val="16"/>
                <w:lang w:val="fr-CH"/>
              </w:rPr>
              <w:t>Année universitaire</w:t>
            </w:r>
            <w:r w:rsidR="00AD5035" w:rsidRPr="0071782F">
              <w:rPr>
                <w:i/>
                <w:sz w:val="16"/>
                <w:szCs w:val="16"/>
                <w:lang w:val="fr-CH"/>
              </w:rPr>
              <w:t>/</w:t>
            </w:r>
            <w:r w:rsidR="00AD5035" w:rsidRPr="0071782F">
              <w:rPr>
                <w:i/>
                <w:sz w:val="16"/>
                <w:szCs w:val="16"/>
                <w:lang w:val="fr-CH"/>
              </w:rPr>
              <w:br/>
            </w:r>
            <w:r w:rsidRPr="0071782F">
              <w:rPr>
                <w:i/>
                <w:sz w:val="16"/>
                <w:szCs w:val="16"/>
                <w:lang w:val="fr-CH"/>
              </w:rPr>
              <w:t>domine d’étude</w:t>
            </w:r>
          </w:p>
        </w:tc>
        <w:tc>
          <w:tcPr>
            <w:tcW w:w="851" w:type="dxa"/>
            <w:tcBorders>
              <w:top w:val="single" w:sz="4" w:space="0" w:color="auto"/>
              <w:bottom w:val="single" w:sz="12" w:space="0" w:color="auto"/>
            </w:tcBorders>
            <w:shd w:val="clear" w:color="000000" w:fill="auto"/>
            <w:vAlign w:val="bottom"/>
          </w:tcPr>
          <w:p w:rsidR="00AD5035" w:rsidRPr="0071782F" w:rsidRDefault="00592083" w:rsidP="00881286">
            <w:pPr>
              <w:suppressAutoHyphens w:val="0"/>
              <w:spacing w:before="80" w:after="80" w:line="200" w:lineRule="exact"/>
              <w:jc w:val="right"/>
              <w:rPr>
                <w:b/>
                <w:i/>
                <w:sz w:val="16"/>
                <w:szCs w:val="16"/>
                <w:lang w:val="fr-CH"/>
              </w:rPr>
            </w:pPr>
            <w:r w:rsidRPr="0071782F">
              <w:rPr>
                <w:b/>
                <w:i/>
                <w:sz w:val="16"/>
                <w:szCs w:val="16"/>
                <w:lang w:val="fr-CH"/>
              </w:rPr>
              <w:t xml:space="preserve">Hommes et femmes </w:t>
            </w:r>
          </w:p>
        </w:tc>
        <w:tc>
          <w:tcPr>
            <w:tcW w:w="850" w:type="dxa"/>
            <w:tcBorders>
              <w:top w:val="single" w:sz="4" w:space="0" w:color="auto"/>
              <w:bottom w:val="single" w:sz="12" w:space="0" w:color="auto"/>
            </w:tcBorders>
            <w:shd w:val="clear" w:color="000000" w:fill="auto"/>
            <w:vAlign w:val="bottom"/>
          </w:tcPr>
          <w:p w:rsidR="00AD5035" w:rsidRPr="0071782F" w:rsidRDefault="00592083" w:rsidP="00881286">
            <w:pPr>
              <w:suppressAutoHyphens w:val="0"/>
              <w:spacing w:before="80" w:after="80" w:line="200" w:lineRule="exact"/>
              <w:jc w:val="right"/>
              <w:rPr>
                <w:b/>
                <w:i/>
                <w:sz w:val="16"/>
                <w:szCs w:val="16"/>
                <w:lang w:val="fr-CH"/>
              </w:rPr>
            </w:pPr>
            <w:r w:rsidRPr="0071782F">
              <w:rPr>
                <w:b/>
                <w:i/>
                <w:sz w:val="16"/>
                <w:szCs w:val="16"/>
                <w:lang w:val="fr-CH"/>
              </w:rPr>
              <w:t>Hommes</w:t>
            </w:r>
          </w:p>
        </w:tc>
        <w:tc>
          <w:tcPr>
            <w:tcW w:w="851" w:type="dxa"/>
            <w:tcBorders>
              <w:top w:val="single" w:sz="4" w:space="0" w:color="auto"/>
              <w:bottom w:val="single" w:sz="12" w:space="0" w:color="auto"/>
              <w:right w:val="single" w:sz="24" w:space="0" w:color="FFFFFF"/>
            </w:tcBorders>
            <w:shd w:val="clear" w:color="000000" w:fill="auto"/>
            <w:vAlign w:val="bottom"/>
          </w:tcPr>
          <w:p w:rsidR="00AD5035" w:rsidRPr="0071782F" w:rsidRDefault="00592083" w:rsidP="00881286">
            <w:pPr>
              <w:suppressAutoHyphens w:val="0"/>
              <w:spacing w:before="80" w:after="80" w:line="200" w:lineRule="exact"/>
              <w:jc w:val="right"/>
              <w:rPr>
                <w:b/>
                <w:i/>
                <w:sz w:val="16"/>
                <w:szCs w:val="16"/>
                <w:lang w:val="fr-CH"/>
              </w:rPr>
            </w:pPr>
            <w:r w:rsidRPr="0071782F">
              <w:rPr>
                <w:b/>
                <w:i/>
                <w:sz w:val="16"/>
                <w:szCs w:val="16"/>
                <w:lang w:val="fr-CH"/>
              </w:rPr>
              <w:t>Femmes</w:t>
            </w:r>
          </w:p>
        </w:tc>
        <w:tc>
          <w:tcPr>
            <w:tcW w:w="850" w:type="dxa"/>
            <w:tcBorders>
              <w:top w:val="single" w:sz="4" w:space="0" w:color="auto"/>
              <w:left w:val="single" w:sz="24" w:space="0" w:color="FFFFFF"/>
              <w:bottom w:val="single" w:sz="12" w:space="0" w:color="auto"/>
            </w:tcBorders>
            <w:shd w:val="clear" w:color="000000" w:fill="auto"/>
            <w:vAlign w:val="bottom"/>
          </w:tcPr>
          <w:p w:rsidR="00AD5035" w:rsidRPr="0071782F" w:rsidRDefault="00592083" w:rsidP="00881286">
            <w:pPr>
              <w:suppressAutoHyphens w:val="0"/>
              <w:spacing w:before="80" w:after="80" w:line="200" w:lineRule="exact"/>
              <w:jc w:val="right"/>
              <w:rPr>
                <w:i/>
                <w:sz w:val="16"/>
                <w:szCs w:val="16"/>
                <w:lang w:val="fr-CH"/>
              </w:rPr>
            </w:pPr>
            <w:r w:rsidRPr="0071782F">
              <w:rPr>
                <w:i/>
                <w:sz w:val="16"/>
                <w:szCs w:val="16"/>
                <w:lang w:val="fr-CH"/>
              </w:rPr>
              <w:t>Hommes et femmes</w:t>
            </w:r>
          </w:p>
        </w:tc>
        <w:tc>
          <w:tcPr>
            <w:tcW w:w="709" w:type="dxa"/>
            <w:tcBorders>
              <w:top w:val="single" w:sz="4" w:space="0" w:color="auto"/>
              <w:bottom w:val="single" w:sz="12" w:space="0" w:color="auto"/>
            </w:tcBorders>
            <w:shd w:val="clear" w:color="000000" w:fill="auto"/>
            <w:vAlign w:val="bottom"/>
          </w:tcPr>
          <w:p w:rsidR="00AD5035" w:rsidRPr="0071782F" w:rsidRDefault="00592083" w:rsidP="00881286">
            <w:pPr>
              <w:suppressAutoHyphens w:val="0"/>
              <w:spacing w:before="80" w:after="80" w:line="200" w:lineRule="exact"/>
              <w:jc w:val="right"/>
              <w:rPr>
                <w:i/>
                <w:sz w:val="16"/>
                <w:szCs w:val="16"/>
                <w:lang w:val="fr-CH"/>
              </w:rPr>
            </w:pPr>
            <w:r w:rsidRPr="0071782F">
              <w:rPr>
                <w:i/>
                <w:sz w:val="16"/>
                <w:szCs w:val="16"/>
                <w:lang w:val="fr-CH"/>
              </w:rPr>
              <w:t>Hommes</w:t>
            </w:r>
          </w:p>
        </w:tc>
        <w:tc>
          <w:tcPr>
            <w:tcW w:w="709" w:type="dxa"/>
            <w:tcBorders>
              <w:top w:val="single" w:sz="4" w:space="0" w:color="auto"/>
              <w:bottom w:val="single" w:sz="12" w:space="0" w:color="auto"/>
              <w:right w:val="single" w:sz="24" w:space="0" w:color="FFFFFF"/>
            </w:tcBorders>
            <w:shd w:val="clear" w:color="000000" w:fill="auto"/>
            <w:vAlign w:val="bottom"/>
          </w:tcPr>
          <w:p w:rsidR="00AD5035" w:rsidRPr="0071782F" w:rsidRDefault="00592083" w:rsidP="00881286">
            <w:pPr>
              <w:suppressAutoHyphens w:val="0"/>
              <w:spacing w:before="80" w:after="80" w:line="200" w:lineRule="exact"/>
              <w:jc w:val="right"/>
              <w:rPr>
                <w:i/>
                <w:sz w:val="16"/>
                <w:szCs w:val="16"/>
                <w:lang w:val="fr-CH"/>
              </w:rPr>
            </w:pPr>
            <w:r w:rsidRPr="0071782F">
              <w:rPr>
                <w:i/>
                <w:sz w:val="16"/>
                <w:szCs w:val="16"/>
                <w:lang w:val="fr-CH"/>
              </w:rPr>
              <w:t>Femmes</w:t>
            </w:r>
          </w:p>
        </w:tc>
        <w:tc>
          <w:tcPr>
            <w:tcW w:w="850" w:type="dxa"/>
            <w:tcBorders>
              <w:top w:val="single" w:sz="4" w:space="0" w:color="auto"/>
              <w:left w:val="single" w:sz="24" w:space="0" w:color="FFFFFF"/>
              <w:bottom w:val="single" w:sz="12" w:space="0" w:color="auto"/>
            </w:tcBorders>
            <w:shd w:val="clear" w:color="000000" w:fill="auto"/>
            <w:vAlign w:val="bottom"/>
          </w:tcPr>
          <w:p w:rsidR="00AD5035" w:rsidRPr="0071782F" w:rsidRDefault="00592083" w:rsidP="00881286">
            <w:pPr>
              <w:suppressAutoHyphens w:val="0"/>
              <w:spacing w:before="80" w:after="80" w:line="200" w:lineRule="exact"/>
              <w:jc w:val="right"/>
              <w:rPr>
                <w:i/>
                <w:sz w:val="16"/>
                <w:szCs w:val="16"/>
                <w:lang w:val="fr-CH"/>
              </w:rPr>
            </w:pPr>
            <w:r w:rsidRPr="0071782F">
              <w:rPr>
                <w:i/>
                <w:sz w:val="16"/>
                <w:szCs w:val="16"/>
                <w:lang w:val="fr-CH"/>
              </w:rPr>
              <w:t>Hommes et femmes</w:t>
            </w:r>
          </w:p>
        </w:tc>
        <w:tc>
          <w:tcPr>
            <w:tcW w:w="851" w:type="dxa"/>
            <w:tcBorders>
              <w:top w:val="single" w:sz="4" w:space="0" w:color="auto"/>
              <w:bottom w:val="single" w:sz="12" w:space="0" w:color="auto"/>
            </w:tcBorders>
            <w:shd w:val="clear" w:color="000000" w:fill="auto"/>
            <w:vAlign w:val="bottom"/>
          </w:tcPr>
          <w:p w:rsidR="00AD5035" w:rsidRPr="0071782F" w:rsidRDefault="00592083" w:rsidP="00881286">
            <w:pPr>
              <w:suppressAutoHyphens w:val="0"/>
              <w:spacing w:before="80" w:after="80" w:line="200" w:lineRule="exact"/>
              <w:jc w:val="right"/>
              <w:rPr>
                <w:i/>
                <w:sz w:val="16"/>
                <w:szCs w:val="16"/>
                <w:lang w:val="fr-CH"/>
              </w:rPr>
            </w:pPr>
            <w:r w:rsidRPr="0071782F">
              <w:rPr>
                <w:i/>
                <w:sz w:val="16"/>
                <w:szCs w:val="16"/>
                <w:lang w:val="fr-CH"/>
              </w:rPr>
              <w:t>Hommes</w:t>
            </w:r>
          </w:p>
        </w:tc>
        <w:tc>
          <w:tcPr>
            <w:tcW w:w="708" w:type="dxa"/>
            <w:tcBorders>
              <w:top w:val="single" w:sz="4" w:space="0" w:color="auto"/>
              <w:bottom w:val="single" w:sz="12" w:space="0" w:color="auto"/>
            </w:tcBorders>
            <w:shd w:val="clear" w:color="000000" w:fill="auto"/>
            <w:vAlign w:val="bottom"/>
          </w:tcPr>
          <w:p w:rsidR="00AD5035" w:rsidRPr="0071782F" w:rsidRDefault="00592083" w:rsidP="00881286">
            <w:pPr>
              <w:suppressAutoHyphens w:val="0"/>
              <w:spacing w:before="80" w:after="80" w:line="200" w:lineRule="exact"/>
              <w:jc w:val="right"/>
              <w:rPr>
                <w:i/>
                <w:sz w:val="16"/>
                <w:szCs w:val="16"/>
                <w:lang w:val="fr-CH"/>
              </w:rPr>
            </w:pPr>
            <w:r w:rsidRPr="0071782F">
              <w:rPr>
                <w:i/>
                <w:sz w:val="16"/>
                <w:szCs w:val="16"/>
                <w:lang w:val="fr-CH"/>
              </w:rPr>
              <w:t>Femmes</w:t>
            </w:r>
          </w:p>
        </w:tc>
      </w:tr>
      <w:tr w:rsidR="00AD5035" w:rsidRPr="0071782F">
        <w:tc>
          <w:tcPr>
            <w:tcW w:w="1276" w:type="dxa"/>
            <w:tcBorders>
              <w:top w:val="single" w:sz="12" w:space="0" w:color="auto"/>
            </w:tcBorders>
            <w:shd w:val="clear" w:color="000000" w:fill="auto"/>
            <w:vAlign w:val="bottom"/>
          </w:tcPr>
          <w:p w:rsidR="00AD5035" w:rsidRPr="0071782F" w:rsidRDefault="00AD5035" w:rsidP="00881286">
            <w:pPr>
              <w:suppressAutoHyphens w:val="0"/>
              <w:spacing w:before="40" w:after="40" w:line="220" w:lineRule="exact"/>
              <w:rPr>
                <w:sz w:val="18"/>
                <w:lang w:val="fr-CH"/>
              </w:rPr>
            </w:pPr>
            <w:r w:rsidRPr="0071782F">
              <w:rPr>
                <w:sz w:val="18"/>
                <w:lang w:val="fr-CH"/>
              </w:rPr>
              <w:t>1991/92</w:t>
            </w:r>
          </w:p>
        </w:tc>
        <w:tc>
          <w:tcPr>
            <w:tcW w:w="851" w:type="dxa"/>
            <w:tcBorders>
              <w:top w:val="single" w:sz="12" w:space="0" w:color="auto"/>
            </w:tcBorders>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344 045</w:t>
            </w:r>
          </w:p>
        </w:tc>
        <w:tc>
          <w:tcPr>
            <w:tcW w:w="850" w:type="dxa"/>
            <w:tcBorders>
              <w:top w:val="single" w:sz="12" w:space="0" w:color="auto"/>
            </w:tcBorders>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247 076</w:t>
            </w:r>
          </w:p>
        </w:tc>
        <w:tc>
          <w:tcPr>
            <w:tcW w:w="851" w:type="dxa"/>
            <w:tcBorders>
              <w:top w:val="single" w:sz="12" w:space="0" w:color="auto"/>
            </w:tcBorders>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96 969</w:t>
            </w:r>
          </w:p>
        </w:tc>
        <w:tc>
          <w:tcPr>
            <w:tcW w:w="850" w:type="dxa"/>
            <w:tcBorders>
              <w:top w:val="single" w:sz="12" w:space="0" w:color="auto"/>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43 141</w:t>
            </w:r>
          </w:p>
        </w:tc>
        <w:tc>
          <w:tcPr>
            <w:tcW w:w="709" w:type="dxa"/>
            <w:tcBorders>
              <w:top w:val="single" w:sz="12" w:space="0" w:color="auto"/>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36 670</w:t>
            </w:r>
          </w:p>
        </w:tc>
        <w:tc>
          <w:tcPr>
            <w:tcW w:w="709" w:type="dxa"/>
            <w:tcBorders>
              <w:top w:val="single" w:sz="12" w:space="0" w:color="auto"/>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6 471</w:t>
            </w:r>
          </w:p>
        </w:tc>
        <w:tc>
          <w:tcPr>
            <w:tcW w:w="850" w:type="dxa"/>
            <w:tcBorders>
              <w:top w:val="single" w:sz="12" w:space="0" w:color="auto"/>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242 835</w:t>
            </w:r>
          </w:p>
        </w:tc>
        <w:tc>
          <w:tcPr>
            <w:tcW w:w="851" w:type="dxa"/>
            <w:tcBorders>
              <w:top w:val="single" w:sz="12" w:space="0" w:color="auto"/>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167 349</w:t>
            </w:r>
          </w:p>
        </w:tc>
        <w:tc>
          <w:tcPr>
            <w:tcW w:w="708" w:type="dxa"/>
            <w:tcBorders>
              <w:top w:val="single" w:sz="12" w:space="0" w:color="auto"/>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75 486</w:t>
            </w:r>
          </w:p>
        </w:tc>
      </w:tr>
      <w:tr w:rsidR="00AD5035" w:rsidRPr="0071782F">
        <w:tc>
          <w:tcPr>
            <w:tcW w:w="1276" w:type="dxa"/>
            <w:shd w:val="clear" w:color="000000" w:fill="auto"/>
            <w:vAlign w:val="bottom"/>
          </w:tcPr>
          <w:p w:rsidR="00AD5035" w:rsidRPr="0071782F" w:rsidRDefault="00AD5035" w:rsidP="00881286">
            <w:pPr>
              <w:suppressAutoHyphens w:val="0"/>
              <w:spacing w:before="40" w:after="40" w:line="220" w:lineRule="exact"/>
              <w:rPr>
                <w:sz w:val="18"/>
                <w:lang w:val="fr-CH"/>
              </w:rPr>
            </w:pPr>
            <w:r w:rsidRPr="0071782F">
              <w:rPr>
                <w:sz w:val="18"/>
                <w:lang w:val="fr-CH"/>
              </w:rPr>
              <w:t>1996/97</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579 070</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369 907</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209 163</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85 165</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58 209</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26 956</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418 692</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257 327</w:t>
            </w:r>
          </w:p>
        </w:tc>
        <w:tc>
          <w:tcPr>
            <w:tcW w:w="708"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161 365</w:t>
            </w:r>
          </w:p>
        </w:tc>
      </w:tr>
      <w:tr w:rsidR="00AD5035" w:rsidRPr="0071782F">
        <w:tc>
          <w:tcPr>
            <w:tcW w:w="1276" w:type="dxa"/>
            <w:tcBorders>
              <w:bottom w:val="nil"/>
            </w:tcBorders>
            <w:shd w:val="clear" w:color="000000" w:fill="auto"/>
            <w:vAlign w:val="bottom"/>
          </w:tcPr>
          <w:p w:rsidR="00AD5035" w:rsidRPr="0071782F" w:rsidRDefault="00AD5035" w:rsidP="00881286">
            <w:pPr>
              <w:suppressAutoHyphens w:val="0"/>
              <w:spacing w:before="40" w:after="40" w:line="220" w:lineRule="exact"/>
              <w:rPr>
                <w:sz w:val="18"/>
                <w:lang w:val="fr-CH"/>
              </w:rPr>
            </w:pPr>
            <w:r w:rsidRPr="0071782F">
              <w:rPr>
                <w:sz w:val="18"/>
                <w:lang w:val="fr-CH"/>
              </w:rPr>
              <w:t>2001/02</w:t>
            </w:r>
          </w:p>
        </w:tc>
        <w:tc>
          <w:tcPr>
            <w:tcW w:w="851" w:type="dxa"/>
            <w:tcBorders>
              <w:bottom w:val="nil"/>
            </w:tcBorders>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759 870</w:t>
            </w:r>
          </w:p>
        </w:tc>
        <w:tc>
          <w:tcPr>
            <w:tcW w:w="850" w:type="dxa"/>
            <w:tcBorders>
              <w:bottom w:val="nil"/>
            </w:tcBorders>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381 505</w:t>
            </w:r>
          </w:p>
        </w:tc>
        <w:tc>
          <w:tcPr>
            <w:tcW w:w="851" w:type="dxa"/>
            <w:tcBorders>
              <w:bottom w:val="nil"/>
            </w:tcBorders>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378 365</w:t>
            </w:r>
          </w:p>
        </w:tc>
        <w:tc>
          <w:tcPr>
            <w:tcW w:w="850" w:type="dxa"/>
            <w:tcBorders>
              <w:bottom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146 389</w:t>
            </w:r>
          </w:p>
        </w:tc>
        <w:tc>
          <w:tcPr>
            <w:tcW w:w="709" w:type="dxa"/>
            <w:tcBorders>
              <w:bottom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90 302</w:t>
            </w:r>
          </w:p>
        </w:tc>
        <w:tc>
          <w:tcPr>
            <w:tcW w:w="709" w:type="dxa"/>
            <w:tcBorders>
              <w:bottom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56 087</w:t>
            </w:r>
          </w:p>
        </w:tc>
        <w:tc>
          <w:tcPr>
            <w:tcW w:w="850" w:type="dxa"/>
            <w:tcBorders>
              <w:bottom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532 525</w:t>
            </w:r>
          </w:p>
        </w:tc>
        <w:tc>
          <w:tcPr>
            <w:tcW w:w="851" w:type="dxa"/>
            <w:tcBorders>
              <w:bottom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238 509</w:t>
            </w:r>
          </w:p>
        </w:tc>
        <w:tc>
          <w:tcPr>
            <w:tcW w:w="708" w:type="dxa"/>
            <w:tcBorders>
              <w:bottom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294 016</w:t>
            </w:r>
          </w:p>
        </w:tc>
      </w:tr>
      <w:tr w:rsidR="00AD5035" w:rsidRPr="0071782F">
        <w:tc>
          <w:tcPr>
            <w:tcW w:w="1276" w:type="dxa"/>
            <w:tcBorders>
              <w:top w:val="nil"/>
              <w:bottom w:val="nil"/>
            </w:tcBorders>
            <w:shd w:val="clear" w:color="000000" w:fill="auto"/>
            <w:vAlign w:val="bottom"/>
          </w:tcPr>
          <w:p w:rsidR="00AD5035" w:rsidRPr="0071782F" w:rsidRDefault="00AD5035" w:rsidP="00881286">
            <w:pPr>
              <w:suppressAutoHyphens w:val="0"/>
              <w:spacing w:before="40" w:after="40" w:line="220" w:lineRule="exact"/>
              <w:rPr>
                <w:sz w:val="18"/>
                <w:lang w:val="fr-CH"/>
              </w:rPr>
            </w:pPr>
            <w:r w:rsidRPr="0071782F">
              <w:rPr>
                <w:sz w:val="18"/>
                <w:lang w:val="fr-CH"/>
              </w:rPr>
              <w:t>2003/04</w:t>
            </w:r>
          </w:p>
        </w:tc>
        <w:tc>
          <w:tcPr>
            <w:tcW w:w="851" w:type="dxa"/>
            <w:tcBorders>
              <w:top w:val="nil"/>
              <w:bottom w:val="nil"/>
            </w:tcBorders>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923 913</w:t>
            </w:r>
          </w:p>
        </w:tc>
        <w:tc>
          <w:tcPr>
            <w:tcW w:w="850" w:type="dxa"/>
            <w:tcBorders>
              <w:top w:val="nil"/>
              <w:bottom w:val="nil"/>
            </w:tcBorders>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430 493</w:t>
            </w:r>
          </w:p>
        </w:tc>
        <w:tc>
          <w:tcPr>
            <w:tcW w:w="851" w:type="dxa"/>
            <w:tcBorders>
              <w:top w:val="nil"/>
              <w:bottom w:val="nil"/>
            </w:tcBorders>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493 420</w:t>
            </w:r>
          </w:p>
        </w:tc>
        <w:tc>
          <w:tcPr>
            <w:tcW w:w="850" w:type="dxa"/>
            <w:tcBorders>
              <w:top w:val="nil"/>
              <w:bottom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195 369</w:t>
            </w:r>
          </w:p>
        </w:tc>
        <w:tc>
          <w:tcPr>
            <w:tcW w:w="709" w:type="dxa"/>
            <w:tcBorders>
              <w:top w:val="nil"/>
              <w:bottom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124 155</w:t>
            </w:r>
          </w:p>
        </w:tc>
        <w:tc>
          <w:tcPr>
            <w:tcW w:w="709" w:type="dxa"/>
            <w:tcBorders>
              <w:top w:val="nil"/>
              <w:bottom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71 214</w:t>
            </w:r>
          </w:p>
        </w:tc>
        <w:tc>
          <w:tcPr>
            <w:tcW w:w="850" w:type="dxa"/>
            <w:tcBorders>
              <w:top w:val="nil"/>
              <w:bottom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641 718</w:t>
            </w:r>
          </w:p>
        </w:tc>
        <w:tc>
          <w:tcPr>
            <w:tcW w:w="851" w:type="dxa"/>
            <w:tcBorders>
              <w:top w:val="nil"/>
              <w:bottom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252 517</w:t>
            </w:r>
          </w:p>
        </w:tc>
        <w:tc>
          <w:tcPr>
            <w:tcW w:w="708" w:type="dxa"/>
            <w:tcBorders>
              <w:top w:val="nil"/>
              <w:bottom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389 201</w:t>
            </w:r>
          </w:p>
        </w:tc>
      </w:tr>
      <w:tr w:rsidR="00AD5035" w:rsidRPr="0071782F">
        <w:tc>
          <w:tcPr>
            <w:tcW w:w="1276" w:type="dxa"/>
            <w:tcBorders>
              <w:top w:val="nil"/>
            </w:tcBorders>
            <w:shd w:val="clear" w:color="000000" w:fill="auto"/>
            <w:vAlign w:val="bottom"/>
          </w:tcPr>
          <w:p w:rsidR="00AD5035" w:rsidRPr="0071782F" w:rsidRDefault="00AD5035" w:rsidP="00881286">
            <w:pPr>
              <w:suppressAutoHyphens w:val="0"/>
              <w:spacing w:before="40" w:after="40" w:line="220" w:lineRule="exact"/>
              <w:rPr>
                <w:sz w:val="18"/>
                <w:lang w:val="fr-CH"/>
              </w:rPr>
            </w:pPr>
            <w:r w:rsidRPr="0071782F">
              <w:rPr>
                <w:sz w:val="18"/>
                <w:lang w:val="fr-CH"/>
              </w:rPr>
              <w:t>2004/05</w:t>
            </w:r>
          </w:p>
        </w:tc>
        <w:tc>
          <w:tcPr>
            <w:tcW w:w="851" w:type="dxa"/>
            <w:tcBorders>
              <w:top w:val="nil"/>
            </w:tcBorders>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1 018 980</w:t>
            </w:r>
          </w:p>
        </w:tc>
        <w:tc>
          <w:tcPr>
            <w:tcW w:w="850" w:type="dxa"/>
            <w:tcBorders>
              <w:top w:val="nil"/>
            </w:tcBorders>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469 410</w:t>
            </w:r>
          </w:p>
        </w:tc>
        <w:tc>
          <w:tcPr>
            <w:tcW w:w="851" w:type="dxa"/>
            <w:tcBorders>
              <w:top w:val="nil"/>
            </w:tcBorders>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549 570</w:t>
            </w:r>
          </w:p>
        </w:tc>
        <w:tc>
          <w:tcPr>
            <w:tcW w:w="850" w:type="dxa"/>
            <w:tcBorders>
              <w:top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210 845</w:t>
            </w:r>
          </w:p>
        </w:tc>
        <w:tc>
          <w:tcPr>
            <w:tcW w:w="709" w:type="dxa"/>
            <w:tcBorders>
              <w:top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136 046</w:t>
            </w:r>
          </w:p>
        </w:tc>
        <w:tc>
          <w:tcPr>
            <w:tcW w:w="709" w:type="dxa"/>
            <w:tcBorders>
              <w:top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73 799</w:t>
            </w:r>
          </w:p>
        </w:tc>
        <w:tc>
          <w:tcPr>
            <w:tcW w:w="850" w:type="dxa"/>
            <w:tcBorders>
              <w:top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713 461</w:t>
            </w:r>
          </w:p>
        </w:tc>
        <w:tc>
          <w:tcPr>
            <w:tcW w:w="851" w:type="dxa"/>
            <w:tcBorders>
              <w:top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274 524</w:t>
            </w:r>
          </w:p>
        </w:tc>
        <w:tc>
          <w:tcPr>
            <w:tcW w:w="708" w:type="dxa"/>
            <w:tcBorders>
              <w:top w:val="nil"/>
            </w:tcBorders>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438 937</w:t>
            </w:r>
          </w:p>
        </w:tc>
      </w:tr>
      <w:tr w:rsidR="00AD5035" w:rsidRPr="0071782F">
        <w:tc>
          <w:tcPr>
            <w:tcW w:w="1276" w:type="dxa"/>
            <w:shd w:val="clear" w:color="000000" w:fill="auto"/>
            <w:vAlign w:val="bottom"/>
          </w:tcPr>
          <w:p w:rsidR="00AD5035" w:rsidRPr="0071782F" w:rsidRDefault="00AD5035" w:rsidP="00881286">
            <w:pPr>
              <w:suppressAutoHyphens w:val="0"/>
              <w:spacing w:before="40" w:after="40" w:line="220" w:lineRule="exact"/>
              <w:rPr>
                <w:sz w:val="18"/>
                <w:lang w:val="fr-CH"/>
              </w:rPr>
            </w:pPr>
            <w:r w:rsidRPr="0071782F">
              <w:rPr>
                <w:sz w:val="18"/>
                <w:lang w:val="fr-CH"/>
              </w:rPr>
              <w:t>2005/06</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1 191 048</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534 201</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656 847</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293 422</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173 603</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119 819</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793 955</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299 345</w:t>
            </w:r>
          </w:p>
        </w:tc>
        <w:tc>
          <w:tcPr>
            <w:tcW w:w="708"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494 610</w:t>
            </w:r>
          </w:p>
        </w:tc>
      </w:tr>
      <w:tr w:rsidR="00AD5035" w:rsidRPr="0071782F">
        <w:tc>
          <w:tcPr>
            <w:tcW w:w="1276" w:type="dxa"/>
            <w:shd w:val="clear" w:color="000000" w:fill="auto"/>
            <w:vAlign w:val="bottom"/>
          </w:tcPr>
          <w:p w:rsidR="00AD5035" w:rsidRPr="0071782F" w:rsidRDefault="00AD5035" w:rsidP="00881286">
            <w:pPr>
              <w:suppressAutoHyphens w:val="0"/>
              <w:spacing w:before="40" w:after="40" w:line="220" w:lineRule="exact"/>
              <w:rPr>
                <w:sz w:val="18"/>
                <w:lang w:val="fr-CH"/>
              </w:rPr>
            </w:pPr>
            <w:r w:rsidRPr="0071782F">
              <w:rPr>
                <w:sz w:val="18"/>
                <w:lang w:val="fr-CH"/>
              </w:rPr>
              <w:t>2006/07</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1 538 874</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650 075</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888 799</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283 284</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160 800</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122 484</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1 131 538</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420 798</w:t>
            </w:r>
          </w:p>
        </w:tc>
        <w:tc>
          <w:tcPr>
            <w:tcW w:w="708"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710 740</w:t>
            </w:r>
          </w:p>
        </w:tc>
      </w:tr>
      <w:tr w:rsidR="00AD5035" w:rsidRPr="0071782F">
        <w:tc>
          <w:tcPr>
            <w:tcW w:w="1276" w:type="dxa"/>
            <w:shd w:val="clear" w:color="000000" w:fill="auto"/>
            <w:vAlign w:val="bottom"/>
          </w:tcPr>
          <w:p w:rsidR="00AD5035" w:rsidRPr="0071782F" w:rsidRDefault="00AD5035" w:rsidP="00881286">
            <w:pPr>
              <w:suppressAutoHyphens w:val="0"/>
              <w:spacing w:before="40" w:after="40" w:line="220" w:lineRule="exact"/>
              <w:rPr>
                <w:sz w:val="18"/>
                <w:lang w:val="fr-CH"/>
              </w:rPr>
            </w:pPr>
            <w:r w:rsidRPr="0071782F">
              <w:rPr>
                <w:sz w:val="18"/>
                <w:lang w:val="fr-CH"/>
              </w:rPr>
              <w:t>2007/08</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2 089 283</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1 201 107</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888 176</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315 178</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168 502</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146 676</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1 624 640</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948 520</w:t>
            </w:r>
          </w:p>
        </w:tc>
        <w:tc>
          <w:tcPr>
            <w:tcW w:w="708"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676 120</w:t>
            </w:r>
          </w:p>
        </w:tc>
      </w:tr>
      <w:tr w:rsidR="00AD5035" w:rsidRPr="0071782F">
        <w:tc>
          <w:tcPr>
            <w:tcW w:w="1276" w:type="dxa"/>
            <w:shd w:val="clear" w:color="000000" w:fill="auto"/>
            <w:vAlign w:val="bottom"/>
          </w:tcPr>
          <w:p w:rsidR="00AD5035" w:rsidRPr="0071782F" w:rsidRDefault="00AD5035" w:rsidP="00881286">
            <w:pPr>
              <w:suppressAutoHyphens w:val="0"/>
              <w:spacing w:before="40" w:after="40" w:line="220" w:lineRule="exact"/>
              <w:rPr>
                <w:sz w:val="18"/>
                <w:lang w:val="fr-CH"/>
              </w:rPr>
            </w:pPr>
            <w:r w:rsidRPr="0071782F">
              <w:rPr>
                <w:sz w:val="18"/>
                <w:lang w:val="fr-CH"/>
              </w:rPr>
              <w:t>M</w:t>
            </w:r>
            <w:r w:rsidR="00592083" w:rsidRPr="0071782F">
              <w:rPr>
                <w:sz w:val="18"/>
                <w:lang w:val="fr-CH"/>
              </w:rPr>
              <w:t>éde</w:t>
            </w:r>
            <w:r w:rsidRPr="0071782F">
              <w:rPr>
                <w:sz w:val="18"/>
                <w:lang w:val="fr-CH"/>
              </w:rPr>
              <w:t>cine</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172 779</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73 894</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98 885</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31 920</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9 032</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22 888</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98 508</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44 926</w:t>
            </w:r>
          </w:p>
        </w:tc>
        <w:tc>
          <w:tcPr>
            <w:tcW w:w="708"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53 582</w:t>
            </w:r>
          </w:p>
        </w:tc>
      </w:tr>
      <w:tr w:rsidR="00AD5035" w:rsidRPr="0071782F">
        <w:tc>
          <w:tcPr>
            <w:tcW w:w="1276" w:type="dxa"/>
            <w:shd w:val="clear" w:color="000000"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 xml:space="preserve">Sciences humaines </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976 277</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560 117</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416 160</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77 416</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33 296</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44 120</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857 750</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503 258</w:t>
            </w:r>
          </w:p>
        </w:tc>
        <w:tc>
          <w:tcPr>
            <w:tcW w:w="708"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354 465</w:t>
            </w:r>
          </w:p>
        </w:tc>
      </w:tr>
      <w:tr w:rsidR="00AD5035" w:rsidRPr="0071782F">
        <w:tc>
          <w:tcPr>
            <w:tcW w:w="1276" w:type="dxa"/>
            <w:shd w:val="clear" w:color="000000"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S</w:t>
            </w:r>
            <w:r w:rsidR="00AD5035" w:rsidRPr="0071782F">
              <w:rPr>
                <w:sz w:val="18"/>
                <w:lang w:val="fr-CH"/>
              </w:rPr>
              <w:t>cience</w:t>
            </w:r>
            <w:r w:rsidRPr="0071782F">
              <w:rPr>
                <w:sz w:val="18"/>
                <w:lang w:val="fr-CH"/>
              </w:rPr>
              <w:t>s pures</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246 021</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134 753</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111 268</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2 260</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945</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1 315</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223 793</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124 054</w:t>
            </w:r>
          </w:p>
        </w:tc>
        <w:tc>
          <w:tcPr>
            <w:tcW w:w="708"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99 739</w:t>
            </w:r>
          </w:p>
        </w:tc>
      </w:tr>
      <w:tr w:rsidR="00AD5035" w:rsidRPr="0071782F">
        <w:tc>
          <w:tcPr>
            <w:tcW w:w="1276" w:type="dxa"/>
            <w:shd w:val="clear" w:color="000000"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Dis</w:t>
            </w:r>
            <w:r w:rsidR="00A05045" w:rsidRPr="0071782F">
              <w:rPr>
                <w:sz w:val="18"/>
                <w:lang w:val="fr-CH"/>
              </w:rPr>
              <w:t>ci</w:t>
            </w:r>
            <w:r w:rsidRPr="0071782F">
              <w:rPr>
                <w:sz w:val="18"/>
                <w:lang w:val="fr-CH"/>
              </w:rPr>
              <w:t>plines techniques</w:t>
            </w:r>
            <w:r w:rsidR="00AD5035" w:rsidRPr="0071782F">
              <w:rPr>
                <w:sz w:val="18"/>
                <w:lang w:val="fr-CH"/>
              </w:rPr>
              <w:t>/</w:t>
            </w:r>
            <w:r w:rsidR="00AD5035" w:rsidRPr="0071782F">
              <w:rPr>
                <w:sz w:val="18"/>
                <w:lang w:val="fr-CH"/>
              </w:rPr>
              <w:br/>
            </w:r>
            <w:r w:rsidRPr="0071782F">
              <w:rPr>
                <w:sz w:val="18"/>
                <w:lang w:val="fr-CH"/>
              </w:rPr>
              <w:t>ingénierie</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507 599</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350 751</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156 848</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138 231</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98 005</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40 226</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338 382</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229 276</w:t>
            </w:r>
          </w:p>
        </w:tc>
        <w:tc>
          <w:tcPr>
            <w:tcW w:w="708"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109 106</w:t>
            </w:r>
          </w:p>
        </w:tc>
      </w:tr>
      <w:tr w:rsidR="00AD5035" w:rsidRPr="0071782F">
        <w:tc>
          <w:tcPr>
            <w:tcW w:w="1276" w:type="dxa"/>
            <w:shd w:val="clear" w:color="000000" w:fill="auto"/>
            <w:vAlign w:val="bottom"/>
          </w:tcPr>
          <w:p w:rsidR="00AD5035" w:rsidRPr="0071782F" w:rsidRDefault="00592083" w:rsidP="00881286">
            <w:pPr>
              <w:suppressAutoHyphens w:val="0"/>
              <w:spacing w:before="40" w:after="40" w:line="220" w:lineRule="exact"/>
              <w:rPr>
                <w:sz w:val="18"/>
                <w:lang w:val="fr-CH"/>
              </w:rPr>
            </w:pPr>
            <w:r w:rsidRPr="0071782F">
              <w:rPr>
                <w:sz w:val="18"/>
                <w:lang w:val="fr-CH"/>
              </w:rPr>
              <w:t>Sciences agronomiques</w:t>
            </w:r>
            <w:r w:rsidR="00AD5035" w:rsidRPr="0071782F">
              <w:rPr>
                <w:sz w:val="18"/>
                <w:lang w:val="fr-CH"/>
              </w:rPr>
              <w:t>/</w:t>
            </w:r>
            <w:r w:rsidR="00AD5035" w:rsidRPr="0071782F">
              <w:rPr>
                <w:sz w:val="18"/>
                <w:lang w:val="fr-CH"/>
              </w:rPr>
              <w:br/>
              <w:t>v</w:t>
            </w:r>
            <w:r w:rsidRPr="0071782F">
              <w:rPr>
                <w:sz w:val="18"/>
                <w:lang w:val="fr-CH"/>
              </w:rPr>
              <w:t>é</w:t>
            </w:r>
            <w:r w:rsidR="00AD5035" w:rsidRPr="0071782F">
              <w:rPr>
                <w:sz w:val="18"/>
                <w:lang w:val="fr-CH"/>
              </w:rPr>
              <w:t>t</w:t>
            </w:r>
            <w:r w:rsidRPr="0071782F">
              <w:rPr>
                <w:sz w:val="18"/>
                <w:lang w:val="fr-CH"/>
              </w:rPr>
              <w:t>é</w:t>
            </w:r>
            <w:r w:rsidR="00AD5035" w:rsidRPr="0071782F">
              <w:rPr>
                <w:sz w:val="18"/>
                <w:lang w:val="fr-CH"/>
              </w:rPr>
              <w:t>rina</w:t>
            </w:r>
            <w:r w:rsidRPr="0071782F">
              <w:rPr>
                <w:sz w:val="18"/>
                <w:lang w:val="fr-CH"/>
              </w:rPr>
              <w:t>ires</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113 724</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56 101</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57 623</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30 729</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17 155</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13 574</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72 004</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33 505</w:t>
            </w:r>
          </w:p>
        </w:tc>
        <w:tc>
          <w:tcPr>
            <w:tcW w:w="708"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38 499</w:t>
            </w:r>
          </w:p>
        </w:tc>
      </w:tr>
      <w:tr w:rsidR="00AD5035" w:rsidRPr="0071782F">
        <w:tc>
          <w:tcPr>
            <w:tcW w:w="1276" w:type="dxa"/>
            <w:shd w:val="clear" w:color="000000" w:fill="auto"/>
            <w:vAlign w:val="bottom"/>
          </w:tcPr>
          <w:p w:rsidR="00AD5035" w:rsidRPr="0071782F" w:rsidRDefault="00AD5035" w:rsidP="00881286">
            <w:pPr>
              <w:suppressAutoHyphens w:val="0"/>
              <w:spacing w:before="40" w:after="40" w:line="220" w:lineRule="exact"/>
              <w:rPr>
                <w:sz w:val="18"/>
                <w:lang w:val="fr-CH"/>
              </w:rPr>
            </w:pPr>
            <w:r w:rsidRPr="0071782F">
              <w:rPr>
                <w:sz w:val="18"/>
                <w:lang w:val="fr-CH"/>
              </w:rPr>
              <w:t>Arts</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72 883</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25 491</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b/>
                <w:sz w:val="18"/>
                <w:lang w:val="fr-CH"/>
              </w:rPr>
            </w:pPr>
            <w:r w:rsidRPr="0071782F">
              <w:rPr>
                <w:b/>
                <w:sz w:val="18"/>
                <w:lang w:val="fr-CH"/>
              </w:rPr>
              <w:t>47 392</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34 622</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10 096</w:t>
            </w:r>
          </w:p>
        </w:tc>
        <w:tc>
          <w:tcPr>
            <w:tcW w:w="709"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24 553</w:t>
            </w:r>
          </w:p>
        </w:tc>
        <w:tc>
          <w:tcPr>
            <w:tcW w:w="850"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34 203</w:t>
            </w:r>
          </w:p>
        </w:tc>
        <w:tc>
          <w:tcPr>
            <w:tcW w:w="851"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13 474</w:t>
            </w:r>
          </w:p>
        </w:tc>
        <w:tc>
          <w:tcPr>
            <w:tcW w:w="708" w:type="dxa"/>
            <w:shd w:val="clear" w:color="000000" w:fill="auto"/>
            <w:vAlign w:val="bottom"/>
          </w:tcPr>
          <w:p w:rsidR="00AD5035" w:rsidRPr="0071782F" w:rsidRDefault="00AD5035" w:rsidP="00881286">
            <w:pPr>
              <w:suppressAutoHyphens w:val="0"/>
              <w:spacing w:before="40" w:after="40" w:line="220" w:lineRule="exact"/>
              <w:jc w:val="right"/>
              <w:rPr>
                <w:sz w:val="18"/>
                <w:lang w:val="fr-CH"/>
              </w:rPr>
            </w:pPr>
            <w:r w:rsidRPr="0071782F">
              <w:rPr>
                <w:sz w:val="18"/>
                <w:lang w:val="fr-CH"/>
              </w:rPr>
              <w:t>20 729</w:t>
            </w:r>
          </w:p>
        </w:tc>
      </w:tr>
    </w:tbl>
    <w:p w:rsidR="00AD5035" w:rsidRPr="0071782F" w:rsidRDefault="00AD5035" w:rsidP="00E20BB9">
      <w:pPr>
        <w:pStyle w:val="HChG"/>
        <w:rPr>
          <w:lang w:val="fr-CH"/>
        </w:rPr>
      </w:pPr>
      <w:r w:rsidRPr="0071782F">
        <w:rPr>
          <w:lang w:val="fr-CH"/>
        </w:rPr>
        <w:tab/>
      </w:r>
      <w:r w:rsidRPr="0071782F">
        <w:rPr>
          <w:lang w:val="fr-CH"/>
        </w:rPr>
        <w:tab/>
      </w:r>
      <w:r w:rsidR="00943A69" w:rsidRPr="0071782F">
        <w:rPr>
          <w:lang w:val="fr-CH"/>
        </w:rPr>
        <w:t>Article </w:t>
      </w:r>
      <w:r w:rsidRPr="0071782F">
        <w:rPr>
          <w:lang w:val="fr-CH"/>
        </w:rPr>
        <w:t>15</w:t>
      </w:r>
      <w:r w:rsidR="0056792B">
        <w:rPr>
          <w:lang w:val="fr-CH"/>
        </w:rPr>
        <w:br/>
      </w:r>
      <w:r w:rsidR="00592083" w:rsidRPr="0071782F">
        <w:rPr>
          <w:lang w:val="fr-CH"/>
        </w:rPr>
        <w:t xml:space="preserve">Développement culturel </w:t>
      </w:r>
    </w:p>
    <w:p w:rsidR="00AD5035" w:rsidRPr="0071782F" w:rsidRDefault="00AD5035" w:rsidP="00E20BB9">
      <w:pPr>
        <w:pStyle w:val="H1G"/>
        <w:rPr>
          <w:lang w:val="fr-CH"/>
        </w:rPr>
      </w:pPr>
      <w:r w:rsidRPr="0071782F">
        <w:rPr>
          <w:lang w:val="fr-CH"/>
        </w:rPr>
        <w:tab/>
      </w:r>
      <w:r w:rsidRPr="0071782F">
        <w:rPr>
          <w:lang w:val="fr-CH"/>
        </w:rPr>
        <w:tab/>
        <w:t>Introduction</w:t>
      </w:r>
    </w:p>
    <w:p w:rsidR="00AD5035" w:rsidRPr="0071782F" w:rsidRDefault="00AD5035" w:rsidP="00E20BB9">
      <w:pPr>
        <w:pStyle w:val="SingleTxtG"/>
        <w:keepNext/>
        <w:rPr>
          <w:lang w:val="fr-CH"/>
        </w:rPr>
      </w:pPr>
      <w:r w:rsidRPr="0071782F">
        <w:rPr>
          <w:lang w:val="fr-CH"/>
        </w:rPr>
        <w:t>432.</w:t>
      </w:r>
      <w:r w:rsidRPr="0071782F">
        <w:rPr>
          <w:lang w:val="fr-CH"/>
        </w:rPr>
        <w:tab/>
      </w:r>
      <w:r w:rsidR="002A6461" w:rsidRPr="0071782F">
        <w:rPr>
          <w:lang w:val="fr-CH"/>
        </w:rPr>
        <w:t>Les activités culturelles de la République i</w:t>
      </w:r>
      <w:r w:rsidRPr="0071782F">
        <w:rPr>
          <w:lang w:val="fr-CH"/>
        </w:rPr>
        <w:t>slami</w:t>
      </w:r>
      <w:r w:rsidR="00B259B8" w:rsidRPr="0071782F">
        <w:rPr>
          <w:lang w:val="fr-CH"/>
        </w:rPr>
        <w:t>que</w:t>
      </w:r>
      <w:r w:rsidRPr="0071782F">
        <w:rPr>
          <w:lang w:val="fr-CH"/>
        </w:rPr>
        <w:t xml:space="preserve"> </w:t>
      </w:r>
      <w:r w:rsidR="002A6461" w:rsidRPr="0071782F">
        <w:rPr>
          <w:lang w:val="fr-CH"/>
        </w:rPr>
        <w:t>d’</w:t>
      </w:r>
      <w:r w:rsidRPr="0071782F">
        <w:rPr>
          <w:lang w:val="fr-CH"/>
        </w:rPr>
        <w:t xml:space="preserve">Iran </w:t>
      </w:r>
      <w:r w:rsidR="002A6461" w:rsidRPr="0071782F">
        <w:rPr>
          <w:lang w:val="fr-CH"/>
        </w:rPr>
        <w:t>englobent différents domaines</w:t>
      </w:r>
      <w:r w:rsidR="008F7D33" w:rsidRPr="0071782F">
        <w:rPr>
          <w:lang w:val="fr-CH"/>
        </w:rPr>
        <w:t>:</w:t>
      </w:r>
      <w:r w:rsidR="002A6461" w:rsidRPr="0071782F">
        <w:rPr>
          <w:lang w:val="fr-CH"/>
        </w:rPr>
        <w:t xml:space="preserve"> les livres</w:t>
      </w:r>
      <w:r w:rsidRPr="0071782F">
        <w:rPr>
          <w:lang w:val="fr-CH"/>
        </w:rPr>
        <w:t xml:space="preserve">, </w:t>
      </w:r>
      <w:r w:rsidR="002A6461" w:rsidRPr="0071782F">
        <w:rPr>
          <w:lang w:val="fr-CH"/>
        </w:rPr>
        <w:t xml:space="preserve">les </w:t>
      </w:r>
      <w:r w:rsidRPr="0071782F">
        <w:rPr>
          <w:lang w:val="fr-CH"/>
        </w:rPr>
        <w:t>m</w:t>
      </w:r>
      <w:r w:rsidR="002A6461" w:rsidRPr="0071782F">
        <w:rPr>
          <w:lang w:val="fr-CH"/>
        </w:rPr>
        <w:t>é</w:t>
      </w:r>
      <w:r w:rsidRPr="0071782F">
        <w:rPr>
          <w:lang w:val="fr-CH"/>
        </w:rPr>
        <w:t>dia</w:t>
      </w:r>
      <w:r w:rsidR="002A6461" w:rsidRPr="0071782F">
        <w:rPr>
          <w:lang w:val="fr-CH"/>
        </w:rPr>
        <w:t>s</w:t>
      </w:r>
      <w:r w:rsidRPr="0071782F">
        <w:rPr>
          <w:lang w:val="fr-CH"/>
        </w:rPr>
        <w:t xml:space="preserve">, </w:t>
      </w:r>
      <w:r w:rsidR="002A6461" w:rsidRPr="0071782F">
        <w:rPr>
          <w:lang w:val="fr-CH"/>
        </w:rPr>
        <w:t xml:space="preserve">le </w:t>
      </w:r>
      <w:r w:rsidRPr="0071782F">
        <w:rPr>
          <w:lang w:val="fr-CH"/>
        </w:rPr>
        <w:t>cin</w:t>
      </w:r>
      <w:r w:rsidR="002A6461" w:rsidRPr="0071782F">
        <w:rPr>
          <w:lang w:val="fr-CH"/>
        </w:rPr>
        <w:t>é</w:t>
      </w:r>
      <w:r w:rsidRPr="0071782F">
        <w:rPr>
          <w:lang w:val="fr-CH"/>
        </w:rPr>
        <w:t xml:space="preserve">ma, </w:t>
      </w:r>
      <w:r w:rsidR="002A6461" w:rsidRPr="0071782F">
        <w:rPr>
          <w:lang w:val="fr-CH"/>
        </w:rPr>
        <w:t>le théâtre, les arts conceptue</w:t>
      </w:r>
      <w:r w:rsidRPr="0071782F">
        <w:rPr>
          <w:lang w:val="fr-CH"/>
        </w:rPr>
        <w:t>l</w:t>
      </w:r>
      <w:r w:rsidR="002A6461" w:rsidRPr="0071782F">
        <w:rPr>
          <w:lang w:val="fr-CH"/>
        </w:rPr>
        <w:t>s</w:t>
      </w:r>
      <w:r w:rsidRPr="0071782F">
        <w:rPr>
          <w:lang w:val="fr-CH"/>
        </w:rPr>
        <w:t xml:space="preserve">, </w:t>
      </w:r>
      <w:r w:rsidR="002A6461" w:rsidRPr="0071782F">
        <w:rPr>
          <w:lang w:val="fr-CH"/>
        </w:rPr>
        <w:t>le patrimoine culturel</w:t>
      </w:r>
      <w:r w:rsidRPr="0071782F">
        <w:rPr>
          <w:lang w:val="fr-CH"/>
        </w:rPr>
        <w:t xml:space="preserve">, </w:t>
      </w:r>
      <w:r w:rsidR="002A6461" w:rsidRPr="0071782F">
        <w:rPr>
          <w:lang w:val="fr-CH"/>
        </w:rPr>
        <w:t xml:space="preserve">le </w:t>
      </w:r>
      <w:r w:rsidRPr="0071782F">
        <w:rPr>
          <w:lang w:val="fr-CH"/>
        </w:rPr>
        <w:t>tourism</w:t>
      </w:r>
      <w:r w:rsidR="002A6461" w:rsidRPr="0071782F">
        <w:rPr>
          <w:lang w:val="fr-CH"/>
        </w:rPr>
        <w:t>e</w:t>
      </w:r>
      <w:r w:rsidRPr="0071782F">
        <w:rPr>
          <w:lang w:val="fr-CH"/>
        </w:rPr>
        <w:t xml:space="preserve">, </w:t>
      </w:r>
      <w:r w:rsidR="002A6461" w:rsidRPr="0071782F">
        <w:rPr>
          <w:lang w:val="fr-CH"/>
        </w:rPr>
        <w:t xml:space="preserve">le </w:t>
      </w:r>
      <w:r w:rsidRPr="0071782F">
        <w:rPr>
          <w:lang w:val="fr-CH"/>
        </w:rPr>
        <w:t>ha</w:t>
      </w:r>
      <w:r w:rsidR="002A6461" w:rsidRPr="0071782F">
        <w:rPr>
          <w:lang w:val="fr-CH"/>
        </w:rPr>
        <w:t>d</w:t>
      </w:r>
      <w:r w:rsidRPr="0071782F">
        <w:rPr>
          <w:lang w:val="fr-CH"/>
        </w:rPr>
        <w:t xml:space="preserve">j </w:t>
      </w:r>
      <w:r w:rsidR="002A6461" w:rsidRPr="0071782F">
        <w:rPr>
          <w:lang w:val="fr-CH"/>
        </w:rPr>
        <w:t xml:space="preserve">et les pèlerinages, les fondations et les activités caritatives, la diffusion d’informations et la coopération </w:t>
      </w:r>
      <w:r w:rsidRPr="0071782F">
        <w:rPr>
          <w:lang w:val="fr-CH"/>
        </w:rPr>
        <w:t>international</w:t>
      </w:r>
      <w:r w:rsidR="002A6461" w:rsidRPr="0071782F">
        <w:rPr>
          <w:lang w:val="fr-CH"/>
        </w:rPr>
        <w:t>e</w:t>
      </w:r>
      <w:r w:rsidRPr="0071782F">
        <w:rPr>
          <w:lang w:val="fr-CH"/>
        </w:rPr>
        <w:t xml:space="preserve">. </w:t>
      </w:r>
      <w:r w:rsidR="002A6461" w:rsidRPr="0071782F">
        <w:rPr>
          <w:lang w:val="fr-CH"/>
        </w:rPr>
        <w:t xml:space="preserve">La présente partie du rapport comprend trois sections, dont chacune décrit les lois et les activités relatives à un domaine particulier. La première section traite de la </w:t>
      </w:r>
      <w:r w:rsidRPr="0071782F">
        <w:rPr>
          <w:lang w:val="fr-CH"/>
        </w:rPr>
        <w:t xml:space="preserve">participation </w:t>
      </w:r>
      <w:r w:rsidR="002A6461" w:rsidRPr="0071782F">
        <w:rPr>
          <w:lang w:val="fr-CH"/>
        </w:rPr>
        <w:t>à la vie culturelle</w:t>
      </w:r>
      <w:r w:rsidRPr="0071782F">
        <w:rPr>
          <w:lang w:val="fr-CH"/>
        </w:rPr>
        <w:t xml:space="preserve">. </w:t>
      </w:r>
      <w:r w:rsidR="002A6461" w:rsidRPr="0071782F">
        <w:rPr>
          <w:lang w:val="fr-CH"/>
        </w:rPr>
        <w:t>La deuxième est consacrée à la protection des intérêts moraux et matériels des créateurs d’</w:t>
      </w:r>
      <w:r w:rsidR="00D5366B" w:rsidRPr="0071782F">
        <w:rPr>
          <w:lang w:val="fr-CH"/>
        </w:rPr>
        <w:t>œuvre</w:t>
      </w:r>
      <w:r w:rsidR="002A6461" w:rsidRPr="0071782F">
        <w:rPr>
          <w:lang w:val="fr-CH"/>
        </w:rPr>
        <w:t>s artistiques</w:t>
      </w:r>
      <w:r w:rsidRPr="0071782F">
        <w:rPr>
          <w:lang w:val="fr-CH"/>
        </w:rPr>
        <w:t xml:space="preserve">. </w:t>
      </w:r>
      <w:r w:rsidR="002A6461" w:rsidRPr="0071782F">
        <w:rPr>
          <w:lang w:val="fr-CH"/>
        </w:rPr>
        <w:t xml:space="preserve">La troisième approfondit les échanges et la coopération régionaux et </w:t>
      </w:r>
      <w:r w:rsidRPr="0071782F">
        <w:rPr>
          <w:lang w:val="fr-CH"/>
        </w:rPr>
        <w:t>internationa</w:t>
      </w:r>
      <w:r w:rsidR="002A6461" w:rsidRPr="0071782F">
        <w:rPr>
          <w:lang w:val="fr-CH"/>
        </w:rPr>
        <w:t>ux</w:t>
      </w:r>
      <w:r w:rsidRPr="0071782F">
        <w:rPr>
          <w:lang w:val="fr-CH"/>
        </w:rPr>
        <w:t xml:space="preserve">. </w:t>
      </w:r>
    </w:p>
    <w:p w:rsidR="00AD5035" w:rsidRPr="0071782F" w:rsidRDefault="00AD5035" w:rsidP="00930639">
      <w:pPr>
        <w:pStyle w:val="H1G"/>
        <w:rPr>
          <w:lang w:val="fr-CH"/>
        </w:rPr>
      </w:pPr>
      <w:r w:rsidRPr="0071782F">
        <w:rPr>
          <w:lang w:val="fr-CH"/>
        </w:rPr>
        <w:tab/>
      </w:r>
      <w:r w:rsidRPr="0071782F">
        <w:rPr>
          <w:lang w:val="fr-CH"/>
        </w:rPr>
        <w:tab/>
      </w:r>
      <w:r w:rsidR="002A6461" w:rsidRPr="0071782F">
        <w:rPr>
          <w:lang w:val="fr-CH"/>
        </w:rPr>
        <w:t>La</w:t>
      </w:r>
      <w:r w:rsidRPr="0071782F">
        <w:rPr>
          <w:lang w:val="fr-CH"/>
        </w:rPr>
        <w:t xml:space="preserve"> Constitution </w:t>
      </w:r>
      <w:r w:rsidR="002A6461" w:rsidRPr="0071782F">
        <w:rPr>
          <w:lang w:val="fr-CH"/>
        </w:rPr>
        <w:t xml:space="preserve">et la </w:t>
      </w:r>
      <w:r w:rsidRPr="0071782F">
        <w:rPr>
          <w:lang w:val="fr-CH"/>
        </w:rPr>
        <w:t xml:space="preserve">participation </w:t>
      </w:r>
      <w:r w:rsidR="002A6461" w:rsidRPr="0071782F">
        <w:rPr>
          <w:lang w:val="fr-CH"/>
        </w:rPr>
        <w:t xml:space="preserve">à la vie culturelle </w:t>
      </w:r>
    </w:p>
    <w:p w:rsidR="00AD5035" w:rsidRPr="0071782F" w:rsidRDefault="00AD5035" w:rsidP="00930639">
      <w:pPr>
        <w:pStyle w:val="SingleTxtG"/>
        <w:rPr>
          <w:lang w:val="fr-CH"/>
        </w:rPr>
      </w:pPr>
      <w:r w:rsidRPr="0071782F">
        <w:rPr>
          <w:lang w:val="fr-CH"/>
        </w:rPr>
        <w:t>433.</w:t>
      </w:r>
      <w:r w:rsidRPr="0071782F">
        <w:rPr>
          <w:lang w:val="fr-CH"/>
        </w:rPr>
        <w:tab/>
      </w:r>
      <w:r w:rsidR="002A6461" w:rsidRPr="0071782F">
        <w:rPr>
          <w:lang w:val="fr-CH"/>
        </w:rPr>
        <w:t xml:space="preserve">En ce qui concerne la participation publique à la vie sociale et culturelle, le préambule de la </w:t>
      </w:r>
      <w:r w:rsidRPr="0071782F">
        <w:rPr>
          <w:lang w:val="fr-CH"/>
        </w:rPr>
        <w:t xml:space="preserve">Constitution </w:t>
      </w:r>
      <w:r w:rsidR="002A6461" w:rsidRPr="0071782F">
        <w:rPr>
          <w:lang w:val="fr-CH"/>
        </w:rPr>
        <w:t>énonce ce qui suit</w:t>
      </w:r>
      <w:r w:rsidR="008F7D33" w:rsidRPr="0071782F">
        <w:rPr>
          <w:lang w:val="fr-CH"/>
        </w:rPr>
        <w:t>:</w:t>
      </w:r>
    </w:p>
    <w:p w:rsidR="00AD5035" w:rsidRPr="0071782F" w:rsidRDefault="00A62149" w:rsidP="00930639">
      <w:pPr>
        <w:pStyle w:val="SingleTxtG"/>
        <w:ind w:left="1701"/>
        <w:rPr>
          <w:lang w:val="fr-CH"/>
        </w:rPr>
      </w:pPr>
      <w:r w:rsidRPr="0071782F">
        <w:rPr>
          <w:lang w:val="fr-CH"/>
        </w:rPr>
        <w:t>"</w:t>
      </w:r>
      <w:r w:rsidR="002A6461" w:rsidRPr="0071782F">
        <w:rPr>
          <w:lang w:val="fr-CH"/>
        </w:rPr>
        <w:t>Étant donné que le gouvernement a pour fin de contribuer au développement de l’homme dans sa progression vers un ordre divin ainsi qu’à la floraison de ses talents, destinés à révéler les différents facettes qui l’assimilent à Dieu</w:t>
      </w:r>
      <w:r w:rsidR="00AD5035" w:rsidRPr="0071782F">
        <w:rPr>
          <w:lang w:val="fr-CH"/>
        </w:rPr>
        <w:t xml:space="preserve">, </w:t>
      </w:r>
      <w:r w:rsidR="002A6461" w:rsidRPr="0071782F">
        <w:rPr>
          <w:lang w:val="fr-CH"/>
        </w:rPr>
        <w:t>cette progression pourrait n’être possible qu’au prix d’une participation active et entière de tous les éléments de la société au processus de son développement</w:t>
      </w:r>
      <w:r w:rsidR="00AD5035" w:rsidRPr="0071782F">
        <w:rPr>
          <w:lang w:val="fr-CH"/>
        </w:rPr>
        <w:t>.</w:t>
      </w:r>
      <w:r w:rsidRPr="0071782F">
        <w:rPr>
          <w:lang w:val="fr-CH"/>
        </w:rPr>
        <w:t>"</w:t>
      </w:r>
    </w:p>
    <w:p w:rsidR="00AD5035" w:rsidRPr="0071782F" w:rsidRDefault="00AD5035" w:rsidP="00930639">
      <w:pPr>
        <w:pStyle w:val="SingleTxtG"/>
        <w:rPr>
          <w:lang w:val="fr-CH"/>
        </w:rPr>
      </w:pPr>
      <w:r w:rsidRPr="0071782F">
        <w:rPr>
          <w:lang w:val="fr-CH"/>
        </w:rPr>
        <w:t>434.</w:t>
      </w:r>
      <w:r w:rsidRPr="0071782F">
        <w:rPr>
          <w:lang w:val="fr-CH"/>
        </w:rPr>
        <w:tab/>
      </w:r>
      <w:r w:rsidR="002A6461" w:rsidRPr="0071782F">
        <w:rPr>
          <w:lang w:val="fr-CH"/>
        </w:rPr>
        <w:t xml:space="preserve">Selon </w:t>
      </w:r>
      <w:r w:rsidR="00723F2B" w:rsidRPr="0071782F">
        <w:rPr>
          <w:lang w:val="fr-CH"/>
        </w:rPr>
        <w:t>l’</w:t>
      </w:r>
      <w:r w:rsidR="00943A69" w:rsidRPr="0071782F">
        <w:rPr>
          <w:lang w:val="fr-CH"/>
        </w:rPr>
        <w:t>article </w:t>
      </w:r>
      <w:r w:rsidRPr="0071782F">
        <w:rPr>
          <w:lang w:val="fr-CH"/>
        </w:rPr>
        <w:t xml:space="preserve">19 </w:t>
      </w:r>
      <w:r w:rsidR="002A6461" w:rsidRPr="0071782F">
        <w:rPr>
          <w:lang w:val="fr-CH"/>
        </w:rPr>
        <w:t xml:space="preserve">de la </w:t>
      </w:r>
      <w:r w:rsidRPr="0071782F">
        <w:rPr>
          <w:lang w:val="fr-CH"/>
        </w:rPr>
        <w:t>Constitution</w:t>
      </w:r>
      <w:r w:rsidR="002A6461" w:rsidRPr="0071782F">
        <w:rPr>
          <w:lang w:val="fr-CH"/>
        </w:rPr>
        <w:t>,</w:t>
      </w:r>
    </w:p>
    <w:p w:rsidR="00AD5035" w:rsidRPr="0071782F" w:rsidRDefault="00A62149" w:rsidP="00930639">
      <w:pPr>
        <w:pStyle w:val="SingleTxtG"/>
        <w:ind w:left="1701"/>
        <w:rPr>
          <w:lang w:val="fr-CH"/>
        </w:rPr>
      </w:pPr>
      <w:r w:rsidRPr="0071782F">
        <w:rPr>
          <w:lang w:val="fr-CH"/>
        </w:rPr>
        <w:t>"</w:t>
      </w:r>
      <w:r w:rsidR="002A6461" w:rsidRPr="0071782F">
        <w:rPr>
          <w:lang w:val="fr-CH"/>
        </w:rPr>
        <w:t>Tous les Iraniens</w:t>
      </w:r>
      <w:r w:rsidR="00AD5035" w:rsidRPr="0071782F">
        <w:rPr>
          <w:lang w:val="fr-CH"/>
        </w:rPr>
        <w:t xml:space="preserve">, </w:t>
      </w:r>
      <w:r w:rsidR="002A6461" w:rsidRPr="0071782F">
        <w:rPr>
          <w:lang w:val="fr-CH"/>
        </w:rPr>
        <w:t xml:space="preserve">à quelque groupe ethnique ou tribu qu’ils appartiennent, jouissent des mêmes droits, et la </w:t>
      </w:r>
      <w:r w:rsidR="00AD5035" w:rsidRPr="0071782F">
        <w:rPr>
          <w:lang w:val="fr-CH"/>
        </w:rPr>
        <w:t>co</w:t>
      </w:r>
      <w:r w:rsidR="002A6461" w:rsidRPr="0071782F">
        <w:rPr>
          <w:lang w:val="fr-CH"/>
        </w:rPr>
        <w:t>u</w:t>
      </w:r>
      <w:r w:rsidR="00AD5035" w:rsidRPr="0071782F">
        <w:rPr>
          <w:lang w:val="fr-CH"/>
        </w:rPr>
        <w:t>l</w:t>
      </w:r>
      <w:r w:rsidR="002A6461" w:rsidRPr="0071782F">
        <w:rPr>
          <w:lang w:val="fr-CH"/>
        </w:rPr>
        <w:t>eu</w:t>
      </w:r>
      <w:r w:rsidR="00AD5035" w:rsidRPr="0071782F">
        <w:rPr>
          <w:lang w:val="fr-CH"/>
        </w:rPr>
        <w:t xml:space="preserve">r, </w:t>
      </w:r>
      <w:r w:rsidR="002A6461" w:rsidRPr="0071782F">
        <w:rPr>
          <w:lang w:val="fr-CH"/>
        </w:rPr>
        <w:t xml:space="preserve">la </w:t>
      </w:r>
      <w:r w:rsidR="00AD5035" w:rsidRPr="0071782F">
        <w:rPr>
          <w:lang w:val="fr-CH"/>
        </w:rPr>
        <w:t xml:space="preserve">race, </w:t>
      </w:r>
      <w:r w:rsidR="002A6461" w:rsidRPr="0071782F">
        <w:rPr>
          <w:lang w:val="fr-CH"/>
        </w:rPr>
        <w:t xml:space="preserve">la </w:t>
      </w:r>
      <w:r w:rsidR="00AD5035" w:rsidRPr="0071782F">
        <w:rPr>
          <w:lang w:val="fr-CH"/>
        </w:rPr>
        <w:t xml:space="preserve">langue, </w:t>
      </w:r>
      <w:r w:rsidR="002A6461" w:rsidRPr="0071782F">
        <w:rPr>
          <w:lang w:val="fr-CH"/>
        </w:rPr>
        <w:t xml:space="preserve">etc., ne confèrent aucun </w:t>
      </w:r>
      <w:r w:rsidR="00AD5035" w:rsidRPr="0071782F">
        <w:rPr>
          <w:lang w:val="fr-CH"/>
        </w:rPr>
        <w:t>privil</w:t>
      </w:r>
      <w:r w:rsidR="002A6461" w:rsidRPr="0071782F">
        <w:rPr>
          <w:lang w:val="fr-CH"/>
        </w:rPr>
        <w:t>ège</w:t>
      </w:r>
      <w:r w:rsidR="00AD5035" w:rsidRPr="0071782F">
        <w:rPr>
          <w:lang w:val="fr-CH"/>
        </w:rPr>
        <w:t>.</w:t>
      </w:r>
      <w:r w:rsidRPr="0071782F">
        <w:rPr>
          <w:lang w:val="fr-CH"/>
        </w:rPr>
        <w:t>"</w:t>
      </w:r>
    </w:p>
    <w:p w:rsidR="00AD5035" w:rsidRPr="0071782F" w:rsidRDefault="00AD5035" w:rsidP="00930639">
      <w:pPr>
        <w:pStyle w:val="SingleTxtG"/>
        <w:rPr>
          <w:lang w:val="fr-CH"/>
        </w:rPr>
      </w:pPr>
      <w:r w:rsidRPr="0071782F">
        <w:rPr>
          <w:lang w:val="fr-CH"/>
        </w:rPr>
        <w:t>435.</w:t>
      </w:r>
      <w:r w:rsidRPr="0071782F">
        <w:rPr>
          <w:lang w:val="fr-CH"/>
        </w:rPr>
        <w:tab/>
      </w:r>
      <w:r w:rsidR="002A6461" w:rsidRPr="0071782F">
        <w:rPr>
          <w:lang w:val="fr-CH"/>
        </w:rPr>
        <w:t xml:space="preserve">Selon </w:t>
      </w:r>
      <w:r w:rsidR="00723F2B" w:rsidRPr="0071782F">
        <w:rPr>
          <w:lang w:val="fr-CH"/>
        </w:rPr>
        <w:t>l’</w:t>
      </w:r>
      <w:r w:rsidR="00943A69" w:rsidRPr="0071782F">
        <w:rPr>
          <w:lang w:val="fr-CH"/>
        </w:rPr>
        <w:t>article </w:t>
      </w:r>
      <w:r w:rsidR="002A6461" w:rsidRPr="0071782F">
        <w:rPr>
          <w:lang w:val="fr-CH"/>
        </w:rPr>
        <w:t>20 de la Constitution,</w:t>
      </w:r>
    </w:p>
    <w:p w:rsidR="00AD5035" w:rsidRPr="0071782F" w:rsidRDefault="00A62149" w:rsidP="00930639">
      <w:pPr>
        <w:pStyle w:val="SingleTxtG"/>
        <w:ind w:left="1701"/>
        <w:rPr>
          <w:lang w:val="fr-CH"/>
        </w:rPr>
      </w:pPr>
      <w:r w:rsidRPr="0071782F">
        <w:rPr>
          <w:lang w:val="fr-CH"/>
        </w:rPr>
        <w:t>"</w:t>
      </w:r>
      <w:r w:rsidR="00AB259B" w:rsidRPr="0071782F">
        <w:rPr>
          <w:lang w:val="fr-CH"/>
        </w:rPr>
        <w:t xml:space="preserve">Tous les citoyens du pays, hommes ou femmes, jouissent également de la protection de la loi et de tous les droits humains, </w:t>
      </w:r>
      <w:r w:rsidR="00AD5035" w:rsidRPr="0071782F">
        <w:rPr>
          <w:lang w:val="fr-CH"/>
        </w:rPr>
        <w:t>politi</w:t>
      </w:r>
      <w:r w:rsidR="00AB259B" w:rsidRPr="0071782F">
        <w:rPr>
          <w:lang w:val="fr-CH"/>
        </w:rPr>
        <w:t>ques</w:t>
      </w:r>
      <w:r w:rsidR="00AD5035" w:rsidRPr="0071782F">
        <w:rPr>
          <w:lang w:val="fr-CH"/>
        </w:rPr>
        <w:t xml:space="preserve">, </w:t>
      </w:r>
      <w:r w:rsidR="00AB259B" w:rsidRPr="0071782F">
        <w:rPr>
          <w:lang w:val="fr-CH"/>
        </w:rPr>
        <w:t>é</w:t>
      </w:r>
      <w:r w:rsidR="00AD5035" w:rsidRPr="0071782F">
        <w:rPr>
          <w:lang w:val="fr-CH"/>
        </w:rPr>
        <w:t>conomi</w:t>
      </w:r>
      <w:r w:rsidR="00AB259B" w:rsidRPr="0071782F">
        <w:rPr>
          <w:lang w:val="fr-CH"/>
        </w:rPr>
        <w:t>ques</w:t>
      </w:r>
      <w:r w:rsidR="00AD5035" w:rsidRPr="0071782F">
        <w:rPr>
          <w:lang w:val="fr-CH"/>
        </w:rPr>
        <w:t>, socia</w:t>
      </w:r>
      <w:r w:rsidR="00AB259B" w:rsidRPr="0071782F">
        <w:rPr>
          <w:lang w:val="fr-CH"/>
        </w:rPr>
        <w:t>ux et</w:t>
      </w:r>
      <w:r w:rsidR="00AD5035" w:rsidRPr="0071782F">
        <w:rPr>
          <w:lang w:val="fr-CH"/>
        </w:rPr>
        <w:t xml:space="preserve"> </w:t>
      </w:r>
      <w:r w:rsidR="00AB259B" w:rsidRPr="0071782F">
        <w:rPr>
          <w:lang w:val="fr-CH"/>
        </w:rPr>
        <w:t>culturel</w:t>
      </w:r>
      <w:r w:rsidR="00AD5035" w:rsidRPr="0071782F">
        <w:rPr>
          <w:lang w:val="fr-CH"/>
        </w:rPr>
        <w:t>,</w:t>
      </w:r>
      <w:r w:rsidR="00AB259B" w:rsidRPr="0071782F">
        <w:rPr>
          <w:lang w:val="fr-CH"/>
        </w:rPr>
        <w:t xml:space="preserve"> conformément aux valeurs islamiques</w:t>
      </w:r>
      <w:r w:rsidR="00AD5035" w:rsidRPr="0071782F">
        <w:rPr>
          <w:lang w:val="fr-CH"/>
        </w:rPr>
        <w:t>.</w:t>
      </w:r>
      <w:r w:rsidRPr="0071782F">
        <w:rPr>
          <w:lang w:val="fr-CH"/>
        </w:rPr>
        <w:t>"</w:t>
      </w:r>
    </w:p>
    <w:p w:rsidR="00AD5035" w:rsidRPr="0071782F" w:rsidRDefault="00AD5035" w:rsidP="00930639">
      <w:pPr>
        <w:pStyle w:val="SingleTxtG"/>
        <w:rPr>
          <w:lang w:val="fr-CH"/>
        </w:rPr>
      </w:pPr>
      <w:r w:rsidRPr="0071782F">
        <w:rPr>
          <w:lang w:val="fr-CH"/>
        </w:rPr>
        <w:t>436.</w:t>
      </w:r>
      <w:r w:rsidRPr="0071782F">
        <w:rPr>
          <w:lang w:val="fr-CH"/>
        </w:rPr>
        <w:tab/>
      </w:r>
      <w:r w:rsidR="00723F2B" w:rsidRPr="0071782F">
        <w:rPr>
          <w:lang w:val="fr-CH"/>
        </w:rPr>
        <w:t>L’</w:t>
      </w:r>
      <w:r w:rsidR="00943A69" w:rsidRPr="0071782F">
        <w:rPr>
          <w:lang w:val="fr-CH"/>
        </w:rPr>
        <w:t>article </w:t>
      </w:r>
      <w:r w:rsidRPr="0071782F">
        <w:rPr>
          <w:lang w:val="fr-CH"/>
        </w:rPr>
        <w:t xml:space="preserve">15 </w:t>
      </w:r>
      <w:r w:rsidR="00AB259B" w:rsidRPr="0071782F">
        <w:rPr>
          <w:lang w:val="fr-CH"/>
        </w:rPr>
        <w:t>dispose ce qui suit</w:t>
      </w:r>
      <w:r w:rsidR="008F7D33" w:rsidRPr="0071782F">
        <w:rPr>
          <w:lang w:val="fr-CH"/>
        </w:rPr>
        <w:t>:</w:t>
      </w:r>
    </w:p>
    <w:p w:rsidR="00AD5035" w:rsidRPr="0071782F" w:rsidRDefault="00A62149" w:rsidP="00930639">
      <w:pPr>
        <w:pStyle w:val="SingleTxtG"/>
        <w:ind w:left="1701"/>
        <w:rPr>
          <w:lang w:val="fr-CH"/>
        </w:rPr>
      </w:pPr>
      <w:r w:rsidRPr="0071782F">
        <w:rPr>
          <w:lang w:val="fr-CH"/>
        </w:rPr>
        <w:t>"</w:t>
      </w:r>
      <w:r w:rsidR="00AB259B" w:rsidRPr="0071782F">
        <w:rPr>
          <w:lang w:val="fr-CH"/>
        </w:rPr>
        <w:t>Le persan est la langue et l’alphabet officiels de l’Iran et la</w:t>
      </w:r>
      <w:r w:rsidR="00AD5035" w:rsidRPr="0071782F">
        <w:rPr>
          <w:lang w:val="fr-CH"/>
        </w:rPr>
        <w:t xml:space="preserve"> lingua franca </w:t>
      </w:r>
      <w:r w:rsidR="00AB259B" w:rsidRPr="0071782F">
        <w:rPr>
          <w:lang w:val="fr-CH"/>
        </w:rPr>
        <w:t>de sa population</w:t>
      </w:r>
      <w:r w:rsidR="00AD5035" w:rsidRPr="0071782F">
        <w:rPr>
          <w:lang w:val="fr-CH"/>
        </w:rPr>
        <w:t xml:space="preserve">. </w:t>
      </w:r>
      <w:r w:rsidR="00AB259B" w:rsidRPr="0071782F">
        <w:rPr>
          <w:lang w:val="fr-CH"/>
        </w:rPr>
        <w:t xml:space="preserve">Les </w:t>
      </w:r>
      <w:r w:rsidR="00AD5035" w:rsidRPr="0071782F">
        <w:rPr>
          <w:lang w:val="fr-CH"/>
        </w:rPr>
        <w:t xml:space="preserve">documents, </w:t>
      </w:r>
      <w:r w:rsidR="00AB259B" w:rsidRPr="0071782F">
        <w:rPr>
          <w:lang w:val="fr-CH"/>
        </w:rPr>
        <w:t>la corresponda</w:t>
      </w:r>
      <w:r w:rsidR="00AD5035" w:rsidRPr="0071782F">
        <w:rPr>
          <w:lang w:val="fr-CH"/>
        </w:rPr>
        <w:t>nce</w:t>
      </w:r>
      <w:r w:rsidR="00AB259B" w:rsidRPr="0071782F">
        <w:rPr>
          <w:lang w:val="fr-CH"/>
        </w:rPr>
        <w:t xml:space="preserve"> et les </w:t>
      </w:r>
      <w:r w:rsidR="00AD5035" w:rsidRPr="0071782F">
        <w:rPr>
          <w:lang w:val="fr-CH"/>
        </w:rPr>
        <w:t>text</w:t>
      </w:r>
      <w:r w:rsidR="00AB259B" w:rsidRPr="0071782F">
        <w:rPr>
          <w:lang w:val="fr-CH"/>
        </w:rPr>
        <w:t>e</w:t>
      </w:r>
      <w:r w:rsidR="00AD5035" w:rsidRPr="0071782F">
        <w:rPr>
          <w:lang w:val="fr-CH"/>
        </w:rPr>
        <w:t>s</w:t>
      </w:r>
      <w:r w:rsidR="00AB259B" w:rsidRPr="0071782F">
        <w:rPr>
          <w:lang w:val="fr-CH"/>
        </w:rPr>
        <w:t xml:space="preserve"> officiels</w:t>
      </w:r>
      <w:r w:rsidR="00AD5035" w:rsidRPr="0071782F">
        <w:rPr>
          <w:lang w:val="fr-CH"/>
        </w:rPr>
        <w:t>, a</w:t>
      </w:r>
      <w:r w:rsidR="00AB259B" w:rsidRPr="0071782F">
        <w:rPr>
          <w:lang w:val="fr-CH"/>
        </w:rPr>
        <w:t>insi que les manuels doivent être rédigé</w:t>
      </w:r>
      <w:r w:rsidR="00AD5035" w:rsidRPr="0071782F">
        <w:rPr>
          <w:lang w:val="fr-CH"/>
        </w:rPr>
        <w:t>s</w:t>
      </w:r>
      <w:r w:rsidR="00AB259B" w:rsidRPr="0071782F">
        <w:rPr>
          <w:lang w:val="fr-CH"/>
        </w:rPr>
        <w:t xml:space="preserve"> dans cette langue et avec cet alphabet. Toutefois, l’utilisation des langues régionales et tribales est autorisée, en plus du persan, dans la presse et les médias, ainsi que dans l’enseignement des langues régionales et tribales dans les écoles</w:t>
      </w:r>
      <w:r w:rsidR="00AD5035" w:rsidRPr="0071782F">
        <w:rPr>
          <w:lang w:val="fr-CH"/>
        </w:rPr>
        <w:t>.</w:t>
      </w:r>
      <w:r w:rsidRPr="0071782F">
        <w:rPr>
          <w:lang w:val="fr-CH"/>
        </w:rPr>
        <w:t>"</w:t>
      </w:r>
    </w:p>
    <w:p w:rsidR="00AD5035" w:rsidRPr="0071782F" w:rsidRDefault="00AD5035" w:rsidP="00930639">
      <w:pPr>
        <w:pStyle w:val="SingleTxtG"/>
        <w:rPr>
          <w:lang w:val="fr-CH"/>
        </w:rPr>
      </w:pPr>
      <w:r w:rsidRPr="0071782F">
        <w:rPr>
          <w:lang w:val="fr-CH"/>
        </w:rPr>
        <w:t>437.</w:t>
      </w:r>
      <w:r w:rsidRPr="0071782F">
        <w:rPr>
          <w:lang w:val="fr-CH"/>
        </w:rPr>
        <w:tab/>
      </w:r>
      <w:r w:rsidR="00AB259B" w:rsidRPr="0071782F">
        <w:rPr>
          <w:lang w:val="fr-CH"/>
        </w:rPr>
        <w:t xml:space="preserve">Le </w:t>
      </w:r>
      <w:r w:rsidR="00723F2B" w:rsidRPr="0071782F">
        <w:rPr>
          <w:lang w:val="fr-CH"/>
        </w:rPr>
        <w:t>paragraphe </w:t>
      </w:r>
      <w:r w:rsidRPr="0071782F">
        <w:rPr>
          <w:lang w:val="fr-CH"/>
        </w:rPr>
        <w:t xml:space="preserve">8 </w:t>
      </w:r>
      <w:r w:rsidR="00AB259B" w:rsidRPr="0071782F">
        <w:rPr>
          <w:lang w:val="fr-CH"/>
        </w:rPr>
        <w:t xml:space="preserve">de </w:t>
      </w:r>
      <w:r w:rsidR="00723F2B" w:rsidRPr="0071782F">
        <w:rPr>
          <w:lang w:val="fr-CH"/>
        </w:rPr>
        <w:t>l’</w:t>
      </w:r>
      <w:r w:rsidR="00943A69" w:rsidRPr="0071782F">
        <w:rPr>
          <w:lang w:val="fr-CH"/>
        </w:rPr>
        <w:t>article </w:t>
      </w:r>
      <w:r w:rsidRPr="0071782F">
        <w:rPr>
          <w:lang w:val="fr-CH"/>
        </w:rPr>
        <w:t xml:space="preserve">3 </w:t>
      </w:r>
      <w:r w:rsidR="00AB259B" w:rsidRPr="0071782F">
        <w:rPr>
          <w:lang w:val="fr-CH"/>
        </w:rPr>
        <w:t xml:space="preserve">souligne </w:t>
      </w:r>
      <w:r w:rsidR="00A62149" w:rsidRPr="0071782F">
        <w:rPr>
          <w:lang w:val="fr-CH"/>
        </w:rPr>
        <w:t>"</w:t>
      </w:r>
      <w:r w:rsidR="00AB259B" w:rsidRPr="0071782F">
        <w:rPr>
          <w:lang w:val="fr-CH"/>
        </w:rPr>
        <w:t xml:space="preserve">la </w:t>
      </w:r>
      <w:r w:rsidRPr="0071782F">
        <w:rPr>
          <w:lang w:val="fr-CH"/>
        </w:rPr>
        <w:t xml:space="preserve">participation </w:t>
      </w:r>
      <w:r w:rsidR="00AB259B" w:rsidRPr="0071782F">
        <w:rPr>
          <w:lang w:val="fr-CH"/>
        </w:rPr>
        <w:t xml:space="preserve">de toute la population à la </w:t>
      </w:r>
      <w:r w:rsidRPr="0071782F">
        <w:rPr>
          <w:lang w:val="fr-CH"/>
        </w:rPr>
        <w:t>d</w:t>
      </w:r>
      <w:r w:rsidR="00AB259B" w:rsidRPr="0071782F">
        <w:rPr>
          <w:lang w:val="fr-CH"/>
        </w:rPr>
        <w:t>é</w:t>
      </w:r>
      <w:r w:rsidRPr="0071782F">
        <w:rPr>
          <w:lang w:val="fr-CH"/>
        </w:rPr>
        <w:t>termin</w:t>
      </w:r>
      <w:r w:rsidR="00AB259B" w:rsidRPr="0071782F">
        <w:rPr>
          <w:lang w:val="fr-CH"/>
        </w:rPr>
        <w:t>ation de son destin politique</w:t>
      </w:r>
      <w:r w:rsidRPr="0071782F">
        <w:rPr>
          <w:lang w:val="fr-CH"/>
        </w:rPr>
        <w:t xml:space="preserve">, </w:t>
      </w:r>
      <w:r w:rsidR="00AB259B" w:rsidRPr="0071782F">
        <w:rPr>
          <w:lang w:val="fr-CH"/>
        </w:rPr>
        <w:t>é</w:t>
      </w:r>
      <w:r w:rsidRPr="0071782F">
        <w:rPr>
          <w:lang w:val="fr-CH"/>
        </w:rPr>
        <w:t>conomi</w:t>
      </w:r>
      <w:r w:rsidR="00AB259B" w:rsidRPr="0071782F">
        <w:rPr>
          <w:lang w:val="fr-CH"/>
        </w:rPr>
        <w:t>que</w:t>
      </w:r>
      <w:r w:rsidRPr="0071782F">
        <w:rPr>
          <w:lang w:val="fr-CH"/>
        </w:rPr>
        <w:t>, social</w:t>
      </w:r>
      <w:r w:rsidR="00AB259B" w:rsidRPr="0071782F">
        <w:rPr>
          <w:lang w:val="fr-CH"/>
        </w:rPr>
        <w:t xml:space="preserve"> et </w:t>
      </w:r>
      <w:r w:rsidRPr="0071782F">
        <w:rPr>
          <w:lang w:val="fr-CH"/>
        </w:rPr>
        <w:t>cultur</w:t>
      </w:r>
      <w:r w:rsidR="00AB259B" w:rsidRPr="0071782F">
        <w:rPr>
          <w:lang w:val="fr-CH"/>
        </w:rPr>
        <w:t>e</w:t>
      </w:r>
      <w:r w:rsidRPr="0071782F">
        <w:rPr>
          <w:lang w:val="fr-CH"/>
        </w:rPr>
        <w:t>l</w:t>
      </w:r>
      <w:r w:rsidR="00A62149" w:rsidRPr="0071782F">
        <w:rPr>
          <w:lang w:val="fr-CH"/>
        </w:rPr>
        <w:t>"</w:t>
      </w:r>
      <w:r w:rsidR="008E34EF" w:rsidRPr="0071782F">
        <w:rPr>
          <w:lang w:val="fr-CH"/>
        </w:rPr>
        <w:t>.</w:t>
      </w:r>
    </w:p>
    <w:p w:rsidR="00AD5035" w:rsidRPr="0071782F" w:rsidRDefault="00AD5035" w:rsidP="00930639">
      <w:pPr>
        <w:pStyle w:val="SingleTxtG"/>
        <w:rPr>
          <w:lang w:val="fr-CH"/>
        </w:rPr>
      </w:pPr>
      <w:r w:rsidRPr="0071782F">
        <w:rPr>
          <w:lang w:val="fr-CH"/>
        </w:rPr>
        <w:t>438.</w:t>
      </w:r>
      <w:r w:rsidRPr="0071782F">
        <w:rPr>
          <w:lang w:val="fr-CH"/>
        </w:rPr>
        <w:tab/>
      </w:r>
      <w:r w:rsidR="00AB259B" w:rsidRPr="0071782F">
        <w:rPr>
          <w:lang w:val="fr-CH"/>
        </w:rPr>
        <w:t xml:space="preserve">Selon </w:t>
      </w:r>
      <w:r w:rsidR="00723F2B" w:rsidRPr="0071782F">
        <w:rPr>
          <w:lang w:val="fr-CH"/>
        </w:rPr>
        <w:t>l’</w:t>
      </w:r>
      <w:r w:rsidR="00943A69" w:rsidRPr="0071782F">
        <w:rPr>
          <w:lang w:val="fr-CH"/>
        </w:rPr>
        <w:t>article </w:t>
      </w:r>
      <w:r w:rsidRPr="0071782F">
        <w:rPr>
          <w:lang w:val="fr-CH"/>
        </w:rPr>
        <w:t>24</w:t>
      </w:r>
      <w:r w:rsidR="00AB259B" w:rsidRPr="0071782F">
        <w:rPr>
          <w:lang w:val="fr-CH"/>
        </w:rPr>
        <w:t>,</w:t>
      </w:r>
      <w:r w:rsidRPr="0071782F">
        <w:rPr>
          <w:lang w:val="fr-CH"/>
        </w:rPr>
        <w:t xml:space="preserve"> </w:t>
      </w:r>
    </w:p>
    <w:p w:rsidR="00AD5035" w:rsidRPr="0071782F" w:rsidRDefault="00A62149" w:rsidP="00930639">
      <w:pPr>
        <w:pStyle w:val="SingleTxtG"/>
        <w:ind w:left="1701"/>
        <w:rPr>
          <w:lang w:val="fr-CH"/>
        </w:rPr>
      </w:pPr>
      <w:r w:rsidRPr="0071782F">
        <w:rPr>
          <w:lang w:val="fr-CH"/>
        </w:rPr>
        <w:t>"</w:t>
      </w:r>
      <w:r w:rsidR="00AB259B" w:rsidRPr="0071782F">
        <w:rPr>
          <w:lang w:val="fr-CH"/>
        </w:rPr>
        <w:t>Les p</w:t>
      </w:r>
      <w:r w:rsidR="00AD5035" w:rsidRPr="0071782F">
        <w:rPr>
          <w:lang w:val="fr-CH"/>
        </w:rPr>
        <w:t xml:space="preserve">ublications </w:t>
      </w:r>
      <w:r w:rsidR="00AB259B" w:rsidRPr="0071782F">
        <w:rPr>
          <w:lang w:val="fr-CH"/>
        </w:rPr>
        <w:t xml:space="preserve">et la </w:t>
      </w:r>
      <w:r w:rsidR="00AD5035" w:rsidRPr="0071782F">
        <w:rPr>
          <w:lang w:val="fr-CH"/>
        </w:rPr>
        <w:t>press</w:t>
      </w:r>
      <w:r w:rsidR="00AB259B" w:rsidRPr="0071782F">
        <w:rPr>
          <w:lang w:val="fr-CH"/>
        </w:rPr>
        <w:t>e</w:t>
      </w:r>
      <w:r w:rsidR="00AD5035" w:rsidRPr="0071782F">
        <w:rPr>
          <w:lang w:val="fr-CH"/>
        </w:rPr>
        <w:t xml:space="preserve"> </w:t>
      </w:r>
      <w:r w:rsidR="00AB259B" w:rsidRPr="0071782F">
        <w:rPr>
          <w:lang w:val="fr-CH"/>
        </w:rPr>
        <w:t>jouissent de la liberté d’</w:t>
      </w:r>
      <w:r w:rsidR="00AD5035" w:rsidRPr="0071782F">
        <w:rPr>
          <w:lang w:val="fr-CH"/>
        </w:rPr>
        <w:t xml:space="preserve">expression </w:t>
      </w:r>
      <w:r w:rsidR="00AB259B" w:rsidRPr="0071782F">
        <w:rPr>
          <w:lang w:val="fr-CH"/>
        </w:rPr>
        <w:t>sauf lorsqu’elles portent préjudice aux principes fondamentaux de l’islam ou aux droits de la population</w:t>
      </w:r>
      <w:r w:rsidR="00AD5035" w:rsidRPr="0071782F">
        <w:rPr>
          <w:lang w:val="fr-CH"/>
        </w:rPr>
        <w:t xml:space="preserve">. </w:t>
      </w:r>
      <w:r w:rsidR="00AB259B" w:rsidRPr="0071782F">
        <w:rPr>
          <w:lang w:val="fr-CH"/>
        </w:rPr>
        <w:t xml:space="preserve">Les aspects concrets de cette </w:t>
      </w:r>
      <w:r w:rsidR="00AD5035" w:rsidRPr="0071782F">
        <w:rPr>
          <w:lang w:val="fr-CH"/>
        </w:rPr>
        <w:t xml:space="preserve">exception </w:t>
      </w:r>
      <w:r w:rsidR="00AB259B" w:rsidRPr="0071782F">
        <w:rPr>
          <w:lang w:val="fr-CH"/>
        </w:rPr>
        <w:t>seront fixés par la loi</w:t>
      </w:r>
      <w:r w:rsidR="00AD5035" w:rsidRPr="0071782F">
        <w:rPr>
          <w:lang w:val="fr-CH"/>
        </w:rPr>
        <w:t>.</w:t>
      </w:r>
      <w:r w:rsidRPr="0071782F">
        <w:rPr>
          <w:lang w:val="fr-CH"/>
        </w:rPr>
        <w:t>"</w:t>
      </w:r>
    </w:p>
    <w:p w:rsidR="00AD5035" w:rsidRPr="0071782F" w:rsidRDefault="00AD5035" w:rsidP="00930639">
      <w:pPr>
        <w:pStyle w:val="SingleTxtG"/>
        <w:rPr>
          <w:lang w:val="fr-CH"/>
        </w:rPr>
      </w:pPr>
      <w:r w:rsidRPr="0071782F">
        <w:rPr>
          <w:lang w:val="fr-CH"/>
        </w:rPr>
        <w:t>439.</w:t>
      </w:r>
      <w:r w:rsidRPr="0071782F">
        <w:rPr>
          <w:lang w:val="fr-CH"/>
        </w:rPr>
        <w:tab/>
      </w:r>
      <w:r w:rsidR="00AB259B" w:rsidRPr="0071782F">
        <w:rPr>
          <w:lang w:val="fr-CH"/>
        </w:rPr>
        <w:t xml:space="preserve">Les </w:t>
      </w:r>
      <w:r w:rsidR="00F739E0">
        <w:rPr>
          <w:lang w:val="fr-CH"/>
        </w:rPr>
        <w:t xml:space="preserve">articles </w:t>
      </w:r>
      <w:r w:rsidR="00AB259B" w:rsidRPr="0071782F">
        <w:rPr>
          <w:lang w:val="fr-CH"/>
        </w:rPr>
        <w:t xml:space="preserve">de la </w:t>
      </w:r>
      <w:r w:rsidRPr="0071782F">
        <w:rPr>
          <w:lang w:val="fr-CH"/>
        </w:rPr>
        <w:t xml:space="preserve">Constitution, </w:t>
      </w:r>
      <w:r w:rsidR="00AB259B" w:rsidRPr="0071782F">
        <w:rPr>
          <w:lang w:val="fr-CH"/>
        </w:rPr>
        <w:t xml:space="preserve">outre qu’ils reconnaissent les libertés culturelles de la population, font obligation au gouvernement, afin de protéger et de réaliser les droits culturels de la population et d’augmenter sa </w:t>
      </w:r>
      <w:r w:rsidRPr="0071782F">
        <w:rPr>
          <w:lang w:val="fr-CH"/>
        </w:rPr>
        <w:t xml:space="preserve">participation </w:t>
      </w:r>
      <w:r w:rsidR="00AB259B" w:rsidRPr="0071782F">
        <w:rPr>
          <w:lang w:val="fr-CH"/>
        </w:rPr>
        <w:t>à la vie culturelle, d’axer ses efforts sur la réalisation des objectifs suivants</w:t>
      </w:r>
      <w:r w:rsidR="008F7D33" w:rsidRPr="0071782F">
        <w:rPr>
          <w:lang w:val="fr-CH"/>
        </w:rPr>
        <w:t>:</w:t>
      </w:r>
      <w:r w:rsidR="00AB259B" w:rsidRPr="0071782F">
        <w:rPr>
          <w:lang w:val="fr-CH"/>
        </w:rPr>
        <w:t xml:space="preserve"> </w:t>
      </w:r>
    </w:p>
    <w:p w:rsidR="00AD5035" w:rsidRPr="0071782F" w:rsidRDefault="00AD5035" w:rsidP="00930639">
      <w:pPr>
        <w:pStyle w:val="Bullet1G"/>
        <w:rPr>
          <w:lang w:val="fr-CH"/>
        </w:rPr>
      </w:pPr>
      <w:r w:rsidRPr="0071782F">
        <w:rPr>
          <w:lang w:val="fr-CH"/>
        </w:rPr>
        <w:t>Cr</w:t>
      </w:r>
      <w:r w:rsidR="00AB259B" w:rsidRPr="0071782F">
        <w:rPr>
          <w:lang w:val="fr-CH"/>
        </w:rPr>
        <w:t>é</w:t>
      </w:r>
      <w:r w:rsidR="009E7ED4" w:rsidRPr="0071782F">
        <w:rPr>
          <w:lang w:val="fr-CH"/>
        </w:rPr>
        <w:t xml:space="preserve">er </w:t>
      </w:r>
      <w:r w:rsidR="00AB259B" w:rsidRPr="0071782F">
        <w:rPr>
          <w:lang w:val="fr-CH"/>
        </w:rPr>
        <w:t xml:space="preserve">un environnement </w:t>
      </w:r>
      <w:r w:rsidRPr="0071782F">
        <w:rPr>
          <w:lang w:val="fr-CH"/>
        </w:rPr>
        <w:t xml:space="preserve">favorable </w:t>
      </w:r>
      <w:r w:rsidR="00AB259B" w:rsidRPr="0071782F">
        <w:rPr>
          <w:lang w:val="fr-CH"/>
        </w:rPr>
        <w:t>au développement des vertus morales</w:t>
      </w:r>
      <w:r w:rsidR="00C363E1" w:rsidRPr="0071782F">
        <w:rPr>
          <w:lang w:val="fr-CH"/>
        </w:rPr>
        <w:t xml:space="preserve"> basées sur la foi et la piété et à la lutte contre toutes les formes de vice et de </w:t>
      </w:r>
      <w:r w:rsidRPr="0071782F">
        <w:rPr>
          <w:lang w:val="fr-CH"/>
        </w:rPr>
        <w:t xml:space="preserve">corruption </w:t>
      </w:r>
    </w:p>
    <w:p w:rsidR="00AD5035" w:rsidRPr="0071782F" w:rsidRDefault="00C363E1" w:rsidP="00930639">
      <w:pPr>
        <w:pStyle w:val="Bullet1G"/>
        <w:rPr>
          <w:lang w:val="fr-CH"/>
        </w:rPr>
      </w:pPr>
      <w:r w:rsidRPr="0071782F">
        <w:rPr>
          <w:lang w:val="fr-CH"/>
        </w:rPr>
        <w:t xml:space="preserve">Élever le niveau de conscience de l’opinion publique dans tous les domaines en utilisant comme il convient la presse, les médias et d’autres moyens </w:t>
      </w:r>
    </w:p>
    <w:p w:rsidR="00AD5035" w:rsidRPr="0071782F" w:rsidRDefault="00C363E1" w:rsidP="00930639">
      <w:pPr>
        <w:pStyle w:val="Bullet1G"/>
        <w:rPr>
          <w:lang w:val="fr-CH"/>
        </w:rPr>
      </w:pPr>
      <w:r w:rsidRPr="0071782F">
        <w:rPr>
          <w:lang w:val="fr-CH"/>
        </w:rPr>
        <w:t>Renforcer l’esprit d’enquête, de recherche et d’</w:t>
      </w:r>
      <w:r w:rsidR="00AD5035" w:rsidRPr="0071782F">
        <w:rPr>
          <w:lang w:val="fr-CH"/>
        </w:rPr>
        <w:t xml:space="preserve">innovation </w:t>
      </w:r>
      <w:r w:rsidRPr="0071782F">
        <w:rPr>
          <w:lang w:val="fr-CH"/>
        </w:rPr>
        <w:t xml:space="preserve">dans tous les domaines de la </w:t>
      </w:r>
      <w:r w:rsidR="00AD5035" w:rsidRPr="0071782F">
        <w:rPr>
          <w:lang w:val="fr-CH"/>
        </w:rPr>
        <w:t xml:space="preserve">science, </w:t>
      </w:r>
      <w:r w:rsidRPr="0071782F">
        <w:rPr>
          <w:lang w:val="fr-CH"/>
        </w:rPr>
        <w:t xml:space="preserve">de la technologie et de la </w:t>
      </w:r>
      <w:r w:rsidR="00AD5035" w:rsidRPr="0071782F">
        <w:rPr>
          <w:lang w:val="fr-CH"/>
        </w:rPr>
        <w:t xml:space="preserve">culture, </w:t>
      </w:r>
      <w:r w:rsidRPr="0071782F">
        <w:rPr>
          <w:lang w:val="fr-CH"/>
        </w:rPr>
        <w:t>ainsi que dans les études islamiques, en créant des centres de recherche et en encourageant les chercheurs</w:t>
      </w:r>
      <w:r w:rsidR="00D36718">
        <w:rPr>
          <w:lang w:val="fr-CH"/>
        </w:rPr>
        <w:t xml:space="preserve"> </w:t>
      </w:r>
    </w:p>
    <w:p w:rsidR="00AD5035" w:rsidRPr="0071782F" w:rsidRDefault="00C363E1" w:rsidP="00930639">
      <w:pPr>
        <w:pStyle w:val="Bullet1G"/>
        <w:rPr>
          <w:lang w:val="fr-CH"/>
        </w:rPr>
      </w:pPr>
      <w:r w:rsidRPr="0071782F">
        <w:rPr>
          <w:lang w:val="fr-CH"/>
        </w:rPr>
        <w:t>Favoriser la p</w:t>
      </w:r>
      <w:r w:rsidR="00AD5035" w:rsidRPr="0071782F">
        <w:rPr>
          <w:lang w:val="fr-CH"/>
        </w:rPr>
        <w:t xml:space="preserve">articipation </w:t>
      </w:r>
      <w:r w:rsidRPr="0071782F">
        <w:rPr>
          <w:lang w:val="fr-CH"/>
        </w:rPr>
        <w:t>de toute la population à la détermination de son destin politique, économique, social et culturel</w:t>
      </w:r>
    </w:p>
    <w:p w:rsidR="00AD5035" w:rsidRPr="0071782F" w:rsidRDefault="00C363E1" w:rsidP="00930639">
      <w:pPr>
        <w:pStyle w:val="Bullet1G"/>
        <w:rPr>
          <w:lang w:val="fr-CH"/>
        </w:rPr>
      </w:pPr>
      <w:r w:rsidRPr="0071782F">
        <w:rPr>
          <w:lang w:val="fr-CH"/>
        </w:rPr>
        <w:t xml:space="preserve">Éliminer toutes les </w:t>
      </w:r>
      <w:r w:rsidR="00AD5035" w:rsidRPr="0071782F">
        <w:rPr>
          <w:lang w:val="fr-CH"/>
        </w:rPr>
        <w:t>form</w:t>
      </w:r>
      <w:r w:rsidRPr="0071782F">
        <w:rPr>
          <w:lang w:val="fr-CH"/>
        </w:rPr>
        <w:t>e</w:t>
      </w:r>
      <w:r w:rsidR="00AD5035" w:rsidRPr="0071782F">
        <w:rPr>
          <w:lang w:val="fr-CH"/>
        </w:rPr>
        <w:t xml:space="preserve">s </w:t>
      </w:r>
      <w:r w:rsidRPr="0071782F">
        <w:rPr>
          <w:lang w:val="fr-CH"/>
        </w:rPr>
        <w:t xml:space="preserve">de </w:t>
      </w:r>
      <w:r w:rsidR="00AD5035" w:rsidRPr="0071782F">
        <w:rPr>
          <w:lang w:val="fr-CH"/>
        </w:rPr>
        <w:t xml:space="preserve">discrimination </w:t>
      </w:r>
      <w:r w:rsidRPr="0071782F">
        <w:rPr>
          <w:lang w:val="fr-CH"/>
        </w:rPr>
        <w:t xml:space="preserve">injuste et offrir à tous d’égales possibilités sur les plans tant matériel qu’intellectuel </w:t>
      </w:r>
    </w:p>
    <w:p w:rsidR="00AD5035" w:rsidRPr="0071782F" w:rsidRDefault="00AD5035" w:rsidP="00930639">
      <w:pPr>
        <w:pStyle w:val="H1G"/>
        <w:rPr>
          <w:lang w:val="fr-CH"/>
        </w:rPr>
      </w:pPr>
      <w:r w:rsidRPr="0071782F">
        <w:rPr>
          <w:lang w:val="fr-CH"/>
        </w:rPr>
        <w:tab/>
      </w:r>
      <w:r w:rsidRPr="0071782F">
        <w:rPr>
          <w:lang w:val="fr-CH"/>
        </w:rPr>
        <w:tab/>
      </w:r>
      <w:r w:rsidR="00C363E1" w:rsidRPr="0071782F">
        <w:rPr>
          <w:lang w:val="fr-CH"/>
        </w:rPr>
        <w:t>P</w:t>
      </w:r>
      <w:r w:rsidRPr="0071782F">
        <w:rPr>
          <w:lang w:val="fr-CH"/>
        </w:rPr>
        <w:t xml:space="preserve">articipation </w:t>
      </w:r>
      <w:r w:rsidR="00EA22EB" w:rsidRPr="0071782F">
        <w:rPr>
          <w:lang w:val="fr-CH"/>
        </w:rPr>
        <w:t>de la population</w:t>
      </w:r>
      <w:r w:rsidR="00C363E1" w:rsidRPr="0071782F">
        <w:rPr>
          <w:lang w:val="fr-CH"/>
        </w:rPr>
        <w:t xml:space="preserve"> à la loi sur les objectifs et responsa</w:t>
      </w:r>
      <w:r w:rsidRPr="0071782F">
        <w:rPr>
          <w:lang w:val="fr-CH"/>
        </w:rPr>
        <w:t>bilit</w:t>
      </w:r>
      <w:r w:rsidR="00C363E1" w:rsidRPr="0071782F">
        <w:rPr>
          <w:lang w:val="fr-CH"/>
        </w:rPr>
        <w:t>é</w:t>
      </w:r>
      <w:r w:rsidRPr="0071782F">
        <w:rPr>
          <w:lang w:val="fr-CH"/>
        </w:rPr>
        <w:t xml:space="preserve">s </w:t>
      </w:r>
      <w:r w:rsidR="00C363E1" w:rsidRPr="0071782F">
        <w:rPr>
          <w:lang w:val="fr-CH"/>
        </w:rPr>
        <w:t xml:space="preserve">du </w:t>
      </w:r>
      <w:r w:rsidRPr="0071782F">
        <w:rPr>
          <w:lang w:val="fr-CH"/>
        </w:rPr>
        <w:t>Minist</w:t>
      </w:r>
      <w:r w:rsidR="00C363E1" w:rsidRPr="0071782F">
        <w:rPr>
          <w:lang w:val="fr-CH"/>
        </w:rPr>
        <w:t>ère de la c</w:t>
      </w:r>
      <w:r w:rsidRPr="0071782F">
        <w:rPr>
          <w:lang w:val="fr-CH"/>
        </w:rPr>
        <w:t xml:space="preserve">ulture </w:t>
      </w:r>
      <w:r w:rsidR="00C363E1" w:rsidRPr="0071782F">
        <w:rPr>
          <w:lang w:val="fr-CH"/>
        </w:rPr>
        <w:t>et de l’orientation i</w:t>
      </w:r>
      <w:r w:rsidRPr="0071782F">
        <w:rPr>
          <w:lang w:val="fr-CH"/>
        </w:rPr>
        <w:t>slami</w:t>
      </w:r>
      <w:r w:rsidR="00C363E1" w:rsidRPr="0071782F">
        <w:rPr>
          <w:lang w:val="fr-CH"/>
        </w:rPr>
        <w:t xml:space="preserve">que </w:t>
      </w:r>
    </w:p>
    <w:p w:rsidR="00AD5035" w:rsidRPr="0071782F" w:rsidRDefault="00AD5035" w:rsidP="00930639">
      <w:pPr>
        <w:pStyle w:val="SingleTxtG"/>
        <w:rPr>
          <w:lang w:val="fr-CH"/>
        </w:rPr>
      </w:pPr>
      <w:r w:rsidRPr="0071782F">
        <w:rPr>
          <w:lang w:val="fr-CH"/>
        </w:rPr>
        <w:t>440.</w:t>
      </w:r>
      <w:r w:rsidRPr="0071782F">
        <w:rPr>
          <w:lang w:val="fr-CH"/>
        </w:rPr>
        <w:tab/>
      </w:r>
      <w:r w:rsidR="00EA22EB" w:rsidRPr="0071782F">
        <w:rPr>
          <w:lang w:val="fr-CH"/>
        </w:rPr>
        <w:t>Conformément à l’objectif consistant à promouvoir la participation de la population à la vie culturelle, la loi énumère les responsabilités du Ministère de la culture et de l’orientation islamique ci-après</w:t>
      </w:r>
      <w:r w:rsidR="008F7D33" w:rsidRPr="0071782F">
        <w:rPr>
          <w:lang w:val="fr-CH"/>
        </w:rPr>
        <w:t>:</w:t>
      </w:r>
    </w:p>
    <w:p w:rsidR="00AD5035" w:rsidRPr="0071782F" w:rsidRDefault="00A62149" w:rsidP="00930639">
      <w:pPr>
        <w:pStyle w:val="SingleTxtG"/>
        <w:ind w:left="1701"/>
        <w:rPr>
          <w:lang w:val="fr-CH"/>
        </w:rPr>
      </w:pPr>
      <w:r w:rsidRPr="0071782F">
        <w:rPr>
          <w:lang w:val="fr-CH"/>
        </w:rPr>
        <w:t>"</w:t>
      </w:r>
      <w:r w:rsidR="00856269" w:rsidRPr="0071782F">
        <w:rPr>
          <w:lang w:val="fr-CH"/>
        </w:rPr>
        <w:t xml:space="preserve">Promouvoir le </w:t>
      </w:r>
      <w:r w:rsidR="00AD5035" w:rsidRPr="0071782F">
        <w:rPr>
          <w:lang w:val="fr-CH"/>
        </w:rPr>
        <w:t>tourism</w:t>
      </w:r>
      <w:r w:rsidR="00856269" w:rsidRPr="0071782F">
        <w:rPr>
          <w:lang w:val="fr-CH"/>
        </w:rPr>
        <w:t>e à l’intérieur et à l’extérieur de l’</w:t>
      </w:r>
      <w:r w:rsidR="00AD5035" w:rsidRPr="0071782F">
        <w:rPr>
          <w:lang w:val="fr-CH"/>
        </w:rPr>
        <w:t>Iran; cr</w:t>
      </w:r>
      <w:r w:rsidR="00856269" w:rsidRPr="0071782F">
        <w:rPr>
          <w:lang w:val="fr-CH"/>
        </w:rPr>
        <w:t xml:space="preserve">éer, développer et équiper des bibliothèques publiques ainsi que des centres </w:t>
      </w:r>
      <w:r w:rsidR="00AD5035" w:rsidRPr="0071782F">
        <w:rPr>
          <w:lang w:val="fr-CH"/>
        </w:rPr>
        <w:t>cultur</w:t>
      </w:r>
      <w:r w:rsidR="00856269" w:rsidRPr="0071782F">
        <w:rPr>
          <w:lang w:val="fr-CH"/>
        </w:rPr>
        <w:t>els</w:t>
      </w:r>
      <w:r w:rsidR="00AD5035" w:rsidRPr="0071782F">
        <w:rPr>
          <w:lang w:val="fr-CH"/>
        </w:rPr>
        <w:t>, artisti</w:t>
      </w:r>
      <w:r w:rsidR="00856269" w:rsidRPr="0071782F">
        <w:rPr>
          <w:lang w:val="fr-CH"/>
        </w:rPr>
        <w:t xml:space="preserve">ques et </w:t>
      </w:r>
      <w:r w:rsidR="00AD5035" w:rsidRPr="0071782F">
        <w:rPr>
          <w:lang w:val="fr-CH"/>
        </w:rPr>
        <w:t>cin</w:t>
      </w:r>
      <w:r w:rsidR="00856269" w:rsidRPr="0071782F">
        <w:rPr>
          <w:lang w:val="fr-CH"/>
        </w:rPr>
        <w:t>é</w:t>
      </w:r>
      <w:r w:rsidR="00AD5035" w:rsidRPr="0071782F">
        <w:rPr>
          <w:lang w:val="fr-CH"/>
        </w:rPr>
        <w:t>mat</w:t>
      </w:r>
      <w:r w:rsidR="00856269" w:rsidRPr="0071782F">
        <w:rPr>
          <w:lang w:val="fr-CH"/>
        </w:rPr>
        <w:t>ographiques dans tout le pays</w:t>
      </w:r>
      <w:r w:rsidR="00AD5035" w:rsidRPr="0071782F">
        <w:rPr>
          <w:lang w:val="fr-CH"/>
        </w:rPr>
        <w:t xml:space="preserve">; </w:t>
      </w:r>
      <w:r w:rsidR="00856269" w:rsidRPr="0071782F">
        <w:rPr>
          <w:lang w:val="fr-CH"/>
        </w:rPr>
        <w:t xml:space="preserve">délivrer des autorisations en vue de la création de sociétés de publicité, d’impression et de </w:t>
      </w:r>
      <w:r w:rsidR="00AD5035" w:rsidRPr="0071782F">
        <w:rPr>
          <w:lang w:val="fr-CH"/>
        </w:rPr>
        <w:t xml:space="preserve">distribution; </w:t>
      </w:r>
      <w:r w:rsidR="00856269" w:rsidRPr="0071782F">
        <w:rPr>
          <w:lang w:val="fr-CH"/>
        </w:rPr>
        <w:t xml:space="preserve">délivrer des autorisations en vue de la création d’institutions </w:t>
      </w:r>
      <w:r w:rsidR="00AD5035" w:rsidRPr="0071782F">
        <w:rPr>
          <w:lang w:val="fr-CH"/>
        </w:rPr>
        <w:t>artisti</w:t>
      </w:r>
      <w:r w:rsidR="00856269" w:rsidRPr="0071782F">
        <w:rPr>
          <w:lang w:val="fr-CH"/>
        </w:rPr>
        <w:t>ques</w:t>
      </w:r>
      <w:r w:rsidR="00AD5035" w:rsidRPr="0071782F">
        <w:rPr>
          <w:lang w:val="fr-CH"/>
        </w:rPr>
        <w:t>, cultur</w:t>
      </w:r>
      <w:r w:rsidR="00856269" w:rsidRPr="0071782F">
        <w:rPr>
          <w:lang w:val="fr-CH"/>
        </w:rPr>
        <w:t xml:space="preserve">elles et </w:t>
      </w:r>
      <w:r w:rsidR="00DB5FF4" w:rsidRPr="0071782F">
        <w:rPr>
          <w:lang w:val="fr-CH"/>
        </w:rPr>
        <w:t>cinématographiques</w:t>
      </w:r>
      <w:r w:rsidR="00856269" w:rsidRPr="0071782F">
        <w:rPr>
          <w:lang w:val="fr-CH"/>
        </w:rPr>
        <w:t xml:space="preserve"> libres, ainsi que de sociétés culturelles et artistiques</w:t>
      </w:r>
      <w:r w:rsidR="00AD5035" w:rsidRPr="0071782F">
        <w:rPr>
          <w:lang w:val="fr-CH"/>
        </w:rPr>
        <w:t xml:space="preserve">; </w:t>
      </w:r>
      <w:r w:rsidR="00856269" w:rsidRPr="0071782F">
        <w:rPr>
          <w:lang w:val="fr-CH"/>
        </w:rPr>
        <w:t xml:space="preserve">délivrer des autorisations en vue de la création ou de la </w:t>
      </w:r>
      <w:r w:rsidR="00AD5035" w:rsidRPr="0071782F">
        <w:rPr>
          <w:lang w:val="fr-CH"/>
        </w:rPr>
        <w:t xml:space="preserve">dissolution </w:t>
      </w:r>
      <w:r w:rsidR="00856269" w:rsidRPr="0071782F">
        <w:rPr>
          <w:lang w:val="fr-CH"/>
        </w:rPr>
        <w:t xml:space="preserve">de centres, institutions et sociétés </w:t>
      </w:r>
      <w:r w:rsidR="00AD5035" w:rsidRPr="0071782F">
        <w:rPr>
          <w:lang w:val="fr-CH"/>
        </w:rPr>
        <w:t>cultur</w:t>
      </w:r>
      <w:r w:rsidR="00856269" w:rsidRPr="0071782F">
        <w:rPr>
          <w:lang w:val="fr-CH"/>
        </w:rPr>
        <w:t>els</w:t>
      </w:r>
      <w:r w:rsidR="00AD5035" w:rsidRPr="0071782F">
        <w:rPr>
          <w:lang w:val="fr-CH"/>
        </w:rPr>
        <w:t xml:space="preserve">, </w:t>
      </w:r>
      <w:r w:rsidR="00856269" w:rsidRPr="0071782F">
        <w:rPr>
          <w:lang w:val="fr-CH"/>
        </w:rPr>
        <w:t>de presse, d’information, d’art, de cinéma et d’</w:t>
      </w:r>
      <w:r w:rsidR="00D5366B" w:rsidRPr="0071782F">
        <w:rPr>
          <w:lang w:val="fr-CH"/>
        </w:rPr>
        <w:t>œuvre</w:t>
      </w:r>
      <w:r w:rsidR="00856269" w:rsidRPr="0071782F">
        <w:rPr>
          <w:lang w:val="fr-CH"/>
        </w:rPr>
        <w:t>s audiovisuelles, ainsi que d’institutions d’édition et de publicité</w:t>
      </w:r>
      <w:r w:rsidR="00AD5035" w:rsidRPr="0071782F">
        <w:rPr>
          <w:lang w:val="fr-CH"/>
        </w:rPr>
        <w:t xml:space="preserve">; </w:t>
      </w:r>
      <w:r w:rsidR="00856269" w:rsidRPr="0071782F">
        <w:rPr>
          <w:lang w:val="fr-CH"/>
        </w:rPr>
        <w:t xml:space="preserve">fournir une </w:t>
      </w:r>
      <w:r w:rsidR="00AD5035" w:rsidRPr="0071782F">
        <w:rPr>
          <w:lang w:val="fr-CH"/>
        </w:rPr>
        <w:t xml:space="preserve">assistance </w:t>
      </w:r>
      <w:r w:rsidR="00856269" w:rsidRPr="0071782F">
        <w:rPr>
          <w:lang w:val="fr-CH"/>
        </w:rPr>
        <w:t>aux activités des institutions cinématographiques et d’établissement de scénarios, des cinémas, des</w:t>
      </w:r>
      <w:r w:rsidR="00AD5035" w:rsidRPr="0071782F">
        <w:rPr>
          <w:lang w:val="fr-CH"/>
        </w:rPr>
        <w:t xml:space="preserve"> cent</w:t>
      </w:r>
      <w:r w:rsidR="00856269" w:rsidRPr="0071782F">
        <w:rPr>
          <w:lang w:val="fr-CH"/>
        </w:rPr>
        <w:t>re</w:t>
      </w:r>
      <w:r w:rsidR="00AD5035" w:rsidRPr="0071782F">
        <w:rPr>
          <w:lang w:val="fr-CH"/>
        </w:rPr>
        <w:t xml:space="preserve">s </w:t>
      </w:r>
      <w:r w:rsidR="00856269" w:rsidRPr="0071782F">
        <w:rPr>
          <w:lang w:val="fr-CH"/>
        </w:rPr>
        <w:t>de projection de films, des magasins de photographie et des producteurs de bandes audio et vidéo</w:t>
      </w:r>
      <w:r w:rsidR="00AD5035" w:rsidRPr="0071782F">
        <w:rPr>
          <w:lang w:val="fr-CH"/>
        </w:rPr>
        <w:t xml:space="preserve">, </w:t>
      </w:r>
      <w:r w:rsidR="00856269" w:rsidRPr="0071782F">
        <w:rPr>
          <w:lang w:val="fr-CH"/>
        </w:rPr>
        <w:t>et délivrer des autorisations en vue de leur création ou de leur dissolution</w:t>
      </w:r>
      <w:r w:rsidR="00AD5035" w:rsidRPr="0071782F">
        <w:rPr>
          <w:lang w:val="fr-CH"/>
        </w:rPr>
        <w:t xml:space="preserve">; </w:t>
      </w:r>
      <w:r w:rsidR="00381A0C" w:rsidRPr="0071782F">
        <w:rPr>
          <w:lang w:val="fr-CH"/>
        </w:rPr>
        <w:t>mener à bien la planification culturelle et promotionnelle en vue du renforcement de la coopération de la population avec le gouvernement, et évaluer les répercussions des programmes et activité</w:t>
      </w:r>
      <w:r w:rsidR="001E37B5" w:rsidRPr="0071782F">
        <w:rPr>
          <w:lang w:val="fr-CH"/>
        </w:rPr>
        <w:t>s gouvernementaux sur l’opinion publique et les informations présentées au Conseil des ministres</w:t>
      </w:r>
      <w:r w:rsidR="00AD5035" w:rsidRPr="0071782F">
        <w:rPr>
          <w:lang w:val="fr-CH"/>
        </w:rPr>
        <w:t>.</w:t>
      </w:r>
      <w:r w:rsidRPr="0071782F">
        <w:rPr>
          <w:lang w:val="fr-CH"/>
        </w:rPr>
        <w:t>"</w:t>
      </w:r>
    </w:p>
    <w:p w:rsidR="00AD5035" w:rsidRPr="0071782F" w:rsidRDefault="00AD5035" w:rsidP="00930639">
      <w:pPr>
        <w:pStyle w:val="H1G"/>
        <w:rPr>
          <w:lang w:val="fr-CH"/>
        </w:rPr>
      </w:pPr>
      <w:r w:rsidRPr="0071782F">
        <w:rPr>
          <w:lang w:val="fr-CH"/>
        </w:rPr>
        <w:tab/>
      </w:r>
      <w:r w:rsidRPr="0071782F">
        <w:rPr>
          <w:lang w:val="fr-CH"/>
        </w:rPr>
        <w:tab/>
      </w:r>
      <w:r w:rsidR="001E37B5" w:rsidRPr="0071782F">
        <w:rPr>
          <w:lang w:val="fr-CH"/>
        </w:rPr>
        <w:t>P</w:t>
      </w:r>
      <w:r w:rsidRPr="0071782F">
        <w:rPr>
          <w:lang w:val="fr-CH"/>
        </w:rPr>
        <w:t xml:space="preserve">rincipes </w:t>
      </w:r>
      <w:r w:rsidR="001E37B5" w:rsidRPr="0071782F">
        <w:rPr>
          <w:lang w:val="fr-CH"/>
        </w:rPr>
        <w:t xml:space="preserve">de la politique culturelle du pays </w:t>
      </w:r>
    </w:p>
    <w:p w:rsidR="00AD5035" w:rsidRPr="0071782F" w:rsidRDefault="00AD5035" w:rsidP="00930639">
      <w:pPr>
        <w:pStyle w:val="SingleTxtG"/>
        <w:rPr>
          <w:lang w:val="fr-CH"/>
        </w:rPr>
      </w:pPr>
      <w:r w:rsidRPr="0071782F">
        <w:rPr>
          <w:lang w:val="fr-CH"/>
        </w:rPr>
        <w:t>441.</w:t>
      </w:r>
      <w:r w:rsidRPr="0071782F">
        <w:rPr>
          <w:lang w:val="fr-CH"/>
        </w:rPr>
        <w:tab/>
      </w:r>
      <w:r w:rsidR="001E37B5" w:rsidRPr="0071782F">
        <w:rPr>
          <w:lang w:val="fr-CH"/>
        </w:rPr>
        <w:t xml:space="preserve">La mesure juridique la plus </w:t>
      </w:r>
      <w:r w:rsidRPr="0071782F">
        <w:rPr>
          <w:lang w:val="fr-CH"/>
        </w:rPr>
        <w:t>important</w:t>
      </w:r>
      <w:r w:rsidR="001E37B5" w:rsidRPr="0071782F">
        <w:rPr>
          <w:lang w:val="fr-CH"/>
        </w:rPr>
        <w:t xml:space="preserve">e et englobante prise par la </w:t>
      </w:r>
      <w:r w:rsidRPr="0071782F">
        <w:rPr>
          <w:lang w:val="fr-CH"/>
        </w:rPr>
        <w:t>R</w:t>
      </w:r>
      <w:r w:rsidR="001E37B5" w:rsidRPr="0071782F">
        <w:rPr>
          <w:lang w:val="fr-CH"/>
        </w:rPr>
        <w:t>é</w:t>
      </w:r>
      <w:r w:rsidRPr="0071782F">
        <w:rPr>
          <w:lang w:val="fr-CH"/>
        </w:rPr>
        <w:t>publi</w:t>
      </w:r>
      <w:r w:rsidR="001E37B5" w:rsidRPr="0071782F">
        <w:rPr>
          <w:lang w:val="fr-CH"/>
        </w:rPr>
        <w:t>que islamique d’</w:t>
      </w:r>
      <w:r w:rsidRPr="0071782F">
        <w:rPr>
          <w:lang w:val="fr-CH"/>
        </w:rPr>
        <w:t xml:space="preserve">Iran </w:t>
      </w:r>
      <w:r w:rsidR="001E37B5" w:rsidRPr="0071782F">
        <w:rPr>
          <w:lang w:val="fr-CH"/>
        </w:rPr>
        <w:t xml:space="preserve">dans le domaine de la </w:t>
      </w:r>
      <w:r w:rsidRPr="0071782F">
        <w:rPr>
          <w:lang w:val="fr-CH"/>
        </w:rPr>
        <w:t xml:space="preserve">culture </w:t>
      </w:r>
      <w:r w:rsidR="001E37B5" w:rsidRPr="0071782F">
        <w:rPr>
          <w:lang w:val="fr-CH"/>
        </w:rPr>
        <w:t>a été l’adoption par le Haut Conseil culturel de la Ré</w:t>
      </w:r>
      <w:r w:rsidRPr="0071782F">
        <w:rPr>
          <w:lang w:val="fr-CH"/>
        </w:rPr>
        <w:t xml:space="preserve">volution, </w:t>
      </w:r>
      <w:r w:rsidR="001E37B5" w:rsidRPr="0071782F">
        <w:rPr>
          <w:lang w:val="fr-CH"/>
        </w:rPr>
        <w:t xml:space="preserve">le 11 août </w:t>
      </w:r>
      <w:r w:rsidRPr="0071782F">
        <w:rPr>
          <w:lang w:val="fr-CH"/>
        </w:rPr>
        <w:t>1992</w:t>
      </w:r>
      <w:r w:rsidR="001E37B5" w:rsidRPr="0071782F">
        <w:rPr>
          <w:lang w:val="fr-CH"/>
        </w:rPr>
        <w:t>,</w:t>
      </w:r>
      <w:r w:rsidRPr="0071782F">
        <w:rPr>
          <w:lang w:val="fr-CH"/>
        </w:rPr>
        <w:t xml:space="preserve"> </w:t>
      </w:r>
      <w:r w:rsidR="001E37B5" w:rsidRPr="0071782F">
        <w:rPr>
          <w:lang w:val="fr-CH"/>
        </w:rPr>
        <w:t xml:space="preserve">des </w:t>
      </w:r>
      <w:r w:rsidR="00A62149" w:rsidRPr="0071782F">
        <w:rPr>
          <w:lang w:val="fr-CH"/>
        </w:rPr>
        <w:t>"</w:t>
      </w:r>
      <w:r w:rsidR="001E37B5" w:rsidRPr="0071782F">
        <w:rPr>
          <w:lang w:val="fr-CH"/>
        </w:rPr>
        <w:t>principes de la politique culturelle du pays</w:t>
      </w:r>
      <w:r w:rsidR="00A62149" w:rsidRPr="0071782F">
        <w:rPr>
          <w:lang w:val="fr-CH"/>
        </w:rPr>
        <w:t>"</w:t>
      </w:r>
      <w:r w:rsidR="001E37B5" w:rsidRPr="0071782F">
        <w:rPr>
          <w:lang w:val="fr-CH"/>
        </w:rPr>
        <w:t>. Cette loi a été accompagnée de directives d’exécution à l’intention des responsables culturels du pays et a été utilisée pour élaborer les aspects culturels des plans quinquennaux de développement.</w:t>
      </w:r>
      <w:r w:rsidRPr="0071782F">
        <w:rPr>
          <w:lang w:val="fr-CH"/>
        </w:rPr>
        <w:t xml:space="preserve"> </w:t>
      </w:r>
      <w:r w:rsidR="001E37B5" w:rsidRPr="0071782F">
        <w:rPr>
          <w:lang w:val="fr-CH"/>
        </w:rPr>
        <w:t xml:space="preserve">Elle définit les principes concernant la création des conditions propices à la </w:t>
      </w:r>
      <w:r w:rsidRPr="0071782F">
        <w:rPr>
          <w:lang w:val="fr-CH"/>
        </w:rPr>
        <w:t xml:space="preserve">participation </w:t>
      </w:r>
      <w:r w:rsidR="001E37B5" w:rsidRPr="0071782F">
        <w:rPr>
          <w:lang w:val="fr-CH"/>
        </w:rPr>
        <w:t>de la population à la vie culturelle, l’identification de la diversité culturelle, la</w:t>
      </w:r>
      <w:r w:rsidRPr="0071782F">
        <w:rPr>
          <w:lang w:val="fr-CH"/>
        </w:rPr>
        <w:t xml:space="preserve"> pr</w:t>
      </w:r>
      <w:r w:rsidR="001E37B5" w:rsidRPr="0071782F">
        <w:rPr>
          <w:lang w:val="fr-CH"/>
        </w:rPr>
        <w:t>é</w:t>
      </w:r>
      <w:r w:rsidRPr="0071782F">
        <w:rPr>
          <w:lang w:val="fr-CH"/>
        </w:rPr>
        <w:t xml:space="preserve">servation </w:t>
      </w:r>
      <w:r w:rsidR="001E37B5" w:rsidRPr="0071782F">
        <w:rPr>
          <w:lang w:val="fr-CH"/>
        </w:rPr>
        <w:t xml:space="preserve">et le renouveau du patrimoine culturel, la formation et la recherche culturelles, la </w:t>
      </w:r>
      <w:r w:rsidRPr="0071782F">
        <w:rPr>
          <w:lang w:val="fr-CH"/>
        </w:rPr>
        <w:t>populari</w:t>
      </w:r>
      <w:r w:rsidR="001E37B5" w:rsidRPr="0071782F">
        <w:rPr>
          <w:lang w:val="fr-CH"/>
        </w:rPr>
        <w:t>s</w:t>
      </w:r>
      <w:r w:rsidRPr="0071782F">
        <w:rPr>
          <w:lang w:val="fr-CH"/>
        </w:rPr>
        <w:t xml:space="preserve">ation, </w:t>
      </w:r>
      <w:r w:rsidR="001E37B5" w:rsidRPr="0071782F">
        <w:rPr>
          <w:lang w:val="fr-CH"/>
        </w:rPr>
        <w:t xml:space="preserve">la </w:t>
      </w:r>
      <w:r w:rsidRPr="0071782F">
        <w:rPr>
          <w:lang w:val="fr-CH"/>
        </w:rPr>
        <w:t xml:space="preserve">production </w:t>
      </w:r>
      <w:r w:rsidR="001E37B5" w:rsidRPr="0071782F">
        <w:rPr>
          <w:lang w:val="fr-CH"/>
        </w:rPr>
        <w:t>et la consommation de produits culturels</w:t>
      </w:r>
      <w:r w:rsidRPr="0071782F">
        <w:rPr>
          <w:lang w:val="fr-CH"/>
        </w:rPr>
        <w:t xml:space="preserve">, </w:t>
      </w:r>
      <w:r w:rsidR="001E37B5" w:rsidRPr="0071782F">
        <w:rPr>
          <w:lang w:val="fr-CH"/>
        </w:rPr>
        <w:t>les efforts à déployer pour élever le niveau de conscience culturelle de la population</w:t>
      </w:r>
      <w:r w:rsidRPr="0071782F">
        <w:rPr>
          <w:lang w:val="fr-CH"/>
        </w:rPr>
        <w:t xml:space="preserve">, </w:t>
      </w:r>
      <w:r w:rsidR="001E37B5" w:rsidRPr="0071782F">
        <w:rPr>
          <w:lang w:val="fr-CH"/>
        </w:rPr>
        <w:t>l’appui aux productions privées dans le domaine de la culture et la création et le développement de centres, institutions et espaces culturels</w:t>
      </w:r>
      <w:r w:rsidRPr="0071782F">
        <w:rPr>
          <w:lang w:val="fr-CH"/>
        </w:rPr>
        <w:t xml:space="preserve">. </w:t>
      </w:r>
    </w:p>
    <w:p w:rsidR="00AD5035" w:rsidRPr="000B7788" w:rsidRDefault="00AD5035" w:rsidP="00930639">
      <w:pPr>
        <w:pStyle w:val="SingleTxtG"/>
        <w:rPr>
          <w:spacing w:val="-2"/>
          <w:lang w:val="fr-CH"/>
        </w:rPr>
      </w:pPr>
      <w:r w:rsidRPr="000B7788">
        <w:rPr>
          <w:spacing w:val="-2"/>
          <w:lang w:val="fr-CH"/>
        </w:rPr>
        <w:t>442.</w:t>
      </w:r>
      <w:r w:rsidRPr="000B7788">
        <w:rPr>
          <w:spacing w:val="-2"/>
          <w:lang w:val="fr-CH"/>
        </w:rPr>
        <w:tab/>
      </w:r>
      <w:r w:rsidR="00EC13C4" w:rsidRPr="000B7788">
        <w:rPr>
          <w:spacing w:val="-2"/>
          <w:lang w:val="fr-CH"/>
        </w:rPr>
        <w:t xml:space="preserve">Ces principes sont notamment le développement de l’espace de </w:t>
      </w:r>
      <w:r w:rsidRPr="000B7788">
        <w:rPr>
          <w:spacing w:val="-2"/>
          <w:lang w:val="fr-CH"/>
        </w:rPr>
        <w:t xml:space="preserve">participation </w:t>
      </w:r>
      <w:r w:rsidR="00EC13C4" w:rsidRPr="000B7788">
        <w:rPr>
          <w:spacing w:val="-2"/>
          <w:lang w:val="fr-CH"/>
        </w:rPr>
        <w:t>de la population aux activités culturelles</w:t>
      </w:r>
      <w:r w:rsidRPr="000B7788">
        <w:rPr>
          <w:spacing w:val="-2"/>
          <w:lang w:val="fr-CH"/>
        </w:rPr>
        <w:t>, artisti</w:t>
      </w:r>
      <w:r w:rsidR="00EC13C4" w:rsidRPr="000B7788">
        <w:rPr>
          <w:spacing w:val="-2"/>
          <w:lang w:val="fr-CH"/>
        </w:rPr>
        <w:t>ques</w:t>
      </w:r>
      <w:r w:rsidRPr="000B7788">
        <w:rPr>
          <w:spacing w:val="-2"/>
          <w:lang w:val="fr-CH"/>
        </w:rPr>
        <w:t>, scientifi</w:t>
      </w:r>
      <w:r w:rsidR="00EC13C4" w:rsidRPr="000B7788">
        <w:rPr>
          <w:spacing w:val="-2"/>
          <w:lang w:val="fr-CH"/>
        </w:rPr>
        <w:t>ques</w:t>
      </w:r>
      <w:r w:rsidRPr="000B7788">
        <w:rPr>
          <w:spacing w:val="-2"/>
          <w:lang w:val="fr-CH"/>
        </w:rPr>
        <w:t xml:space="preserve"> </w:t>
      </w:r>
      <w:r w:rsidR="00EC13C4" w:rsidRPr="000B7788">
        <w:rPr>
          <w:spacing w:val="-2"/>
          <w:lang w:val="fr-CH"/>
        </w:rPr>
        <w:t>et</w:t>
      </w:r>
      <w:r w:rsidRPr="000B7788">
        <w:rPr>
          <w:spacing w:val="-2"/>
          <w:lang w:val="fr-CH"/>
        </w:rPr>
        <w:t xml:space="preserve"> social</w:t>
      </w:r>
      <w:r w:rsidR="00EC13C4" w:rsidRPr="000B7788">
        <w:rPr>
          <w:spacing w:val="-2"/>
          <w:lang w:val="fr-CH"/>
        </w:rPr>
        <w:t>es, et l’appui à ce</w:t>
      </w:r>
      <w:r w:rsidRPr="000B7788">
        <w:rPr>
          <w:spacing w:val="-2"/>
          <w:lang w:val="fr-CH"/>
        </w:rPr>
        <w:t xml:space="preserve">s </w:t>
      </w:r>
      <w:r w:rsidR="00EC13C4" w:rsidRPr="000B7788">
        <w:rPr>
          <w:spacing w:val="-2"/>
          <w:lang w:val="fr-CH"/>
        </w:rPr>
        <w:t>activités sous le contrôle de l’État</w:t>
      </w:r>
      <w:r w:rsidRPr="000B7788">
        <w:rPr>
          <w:spacing w:val="-2"/>
          <w:lang w:val="fr-CH"/>
        </w:rPr>
        <w:t xml:space="preserve">; </w:t>
      </w:r>
      <w:r w:rsidR="00DA5C17" w:rsidRPr="000B7788">
        <w:rPr>
          <w:spacing w:val="-2"/>
          <w:lang w:val="fr-CH"/>
        </w:rPr>
        <w:t xml:space="preserve">la promotion de la </w:t>
      </w:r>
      <w:r w:rsidRPr="000B7788">
        <w:rPr>
          <w:spacing w:val="-2"/>
          <w:lang w:val="fr-CH"/>
        </w:rPr>
        <w:t xml:space="preserve">culture </w:t>
      </w:r>
      <w:r w:rsidR="00DA5C17" w:rsidRPr="000B7788">
        <w:rPr>
          <w:spacing w:val="-2"/>
          <w:lang w:val="fr-CH"/>
        </w:rPr>
        <w:t xml:space="preserve">et des </w:t>
      </w:r>
      <w:r w:rsidRPr="000B7788">
        <w:rPr>
          <w:spacing w:val="-2"/>
          <w:lang w:val="fr-CH"/>
        </w:rPr>
        <w:t>art</w:t>
      </w:r>
      <w:r w:rsidR="00DA5C17" w:rsidRPr="000B7788">
        <w:rPr>
          <w:spacing w:val="-2"/>
          <w:lang w:val="fr-CH"/>
        </w:rPr>
        <w:t xml:space="preserve">s dans les </w:t>
      </w:r>
      <w:r w:rsidRPr="000B7788">
        <w:rPr>
          <w:spacing w:val="-2"/>
          <w:lang w:val="fr-CH"/>
        </w:rPr>
        <w:t xml:space="preserve">villages </w:t>
      </w:r>
      <w:r w:rsidR="00DA5C17" w:rsidRPr="000B7788">
        <w:rPr>
          <w:spacing w:val="-2"/>
          <w:lang w:val="fr-CH"/>
        </w:rPr>
        <w:t>dans le but d’élever le niveau culturel de ces derniers</w:t>
      </w:r>
      <w:r w:rsidRPr="000B7788">
        <w:rPr>
          <w:spacing w:val="-2"/>
          <w:lang w:val="fr-CH"/>
        </w:rPr>
        <w:t xml:space="preserve">; </w:t>
      </w:r>
      <w:r w:rsidR="00DA5C17" w:rsidRPr="000B7788">
        <w:rPr>
          <w:spacing w:val="-2"/>
          <w:lang w:val="fr-CH"/>
        </w:rPr>
        <w:t xml:space="preserve">la </w:t>
      </w:r>
      <w:r w:rsidRPr="000B7788">
        <w:rPr>
          <w:spacing w:val="-2"/>
          <w:lang w:val="fr-CH"/>
        </w:rPr>
        <w:t>r</w:t>
      </w:r>
      <w:r w:rsidR="00DA5C17" w:rsidRPr="000B7788">
        <w:rPr>
          <w:spacing w:val="-2"/>
          <w:lang w:val="fr-CH"/>
        </w:rPr>
        <w:t>éé</w:t>
      </w:r>
      <w:r w:rsidRPr="000B7788">
        <w:rPr>
          <w:spacing w:val="-2"/>
          <w:lang w:val="fr-CH"/>
        </w:rPr>
        <w:t xml:space="preserve">valuation </w:t>
      </w:r>
      <w:r w:rsidR="00DA5C17" w:rsidRPr="000B7788">
        <w:rPr>
          <w:spacing w:val="-2"/>
          <w:lang w:val="fr-CH"/>
        </w:rPr>
        <w:t xml:space="preserve">du patrimoine et des traditions </w:t>
      </w:r>
      <w:r w:rsidRPr="000B7788">
        <w:rPr>
          <w:spacing w:val="-2"/>
          <w:lang w:val="fr-CH"/>
        </w:rPr>
        <w:t>histori</w:t>
      </w:r>
      <w:r w:rsidR="00DA5C17" w:rsidRPr="000B7788">
        <w:rPr>
          <w:spacing w:val="-2"/>
          <w:lang w:val="fr-CH"/>
        </w:rPr>
        <w:t xml:space="preserve">ques et </w:t>
      </w:r>
      <w:r w:rsidRPr="000B7788">
        <w:rPr>
          <w:spacing w:val="-2"/>
          <w:lang w:val="fr-CH"/>
        </w:rPr>
        <w:t>national</w:t>
      </w:r>
      <w:r w:rsidR="00DA5C17" w:rsidRPr="000B7788">
        <w:rPr>
          <w:spacing w:val="-2"/>
          <w:lang w:val="fr-CH"/>
        </w:rPr>
        <w:t>es</w:t>
      </w:r>
      <w:r w:rsidRPr="000B7788">
        <w:rPr>
          <w:spacing w:val="-2"/>
          <w:lang w:val="fr-CH"/>
        </w:rPr>
        <w:t xml:space="preserve"> </w:t>
      </w:r>
      <w:r w:rsidR="00DA5C17" w:rsidRPr="000B7788">
        <w:rPr>
          <w:spacing w:val="-2"/>
          <w:lang w:val="fr-CH"/>
        </w:rPr>
        <w:t xml:space="preserve">dans divers domaines </w:t>
      </w:r>
      <w:r w:rsidRPr="000B7788">
        <w:rPr>
          <w:spacing w:val="-2"/>
          <w:lang w:val="fr-CH"/>
        </w:rPr>
        <w:t>religi</w:t>
      </w:r>
      <w:r w:rsidR="00DA5C17" w:rsidRPr="000B7788">
        <w:rPr>
          <w:spacing w:val="-2"/>
          <w:lang w:val="fr-CH"/>
        </w:rPr>
        <w:t>eux, scientifiques</w:t>
      </w:r>
      <w:r w:rsidRPr="000B7788">
        <w:rPr>
          <w:spacing w:val="-2"/>
          <w:lang w:val="fr-CH"/>
        </w:rPr>
        <w:t>, lit</w:t>
      </w:r>
      <w:r w:rsidR="00DA5C17" w:rsidRPr="000B7788">
        <w:rPr>
          <w:spacing w:val="-2"/>
          <w:lang w:val="fr-CH"/>
        </w:rPr>
        <w:t>té</w:t>
      </w:r>
      <w:r w:rsidRPr="000B7788">
        <w:rPr>
          <w:spacing w:val="-2"/>
          <w:lang w:val="fr-CH"/>
        </w:rPr>
        <w:t>ra</w:t>
      </w:r>
      <w:r w:rsidR="00DA5C17" w:rsidRPr="000B7788">
        <w:rPr>
          <w:spacing w:val="-2"/>
          <w:lang w:val="fr-CH"/>
        </w:rPr>
        <w:t>ires</w:t>
      </w:r>
      <w:r w:rsidRPr="000B7788">
        <w:rPr>
          <w:spacing w:val="-2"/>
          <w:lang w:val="fr-CH"/>
        </w:rPr>
        <w:t>, artisti</w:t>
      </w:r>
      <w:r w:rsidR="00DA5C17" w:rsidRPr="000B7788">
        <w:rPr>
          <w:spacing w:val="-2"/>
          <w:lang w:val="fr-CH"/>
        </w:rPr>
        <w:t>ques et culturels, et la</w:t>
      </w:r>
      <w:r w:rsidR="001E5C85" w:rsidRPr="000B7788">
        <w:rPr>
          <w:spacing w:val="-2"/>
          <w:lang w:val="fr-CH"/>
        </w:rPr>
        <w:t xml:space="preserve"> protection des </w:t>
      </w:r>
      <w:r w:rsidR="00D5366B" w:rsidRPr="000B7788">
        <w:rPr>
          <w:spacing w:val="-2"/>
          <w:lang w:val="fr-CH"/>
        </w:rPr>
        <w:t>œuvre</w:t>
      </w:r>
      <w:r w:rsidR="001E5C85" w:rsidRPr="000B7788">
        <w:rPr>
          <w:spacing w:val="-2"/>
          <w:lang w:val="fr-CH"/>
        </w:rPr>
        <w:t xml:space="preserve">s de ce patrimoine historique et </w:t>
      </w:r>
      <w:r w:rsidRPr="000B7788">
        <w:rPr>
          <w:spacing w:val="-2"/>
          <w:lang w:val="fr-CH"/>
        </w:rPr>
        <w:t xml:space="preserve">national; </w:t>
      </w:r>
      <w:r w:rsidR="001E5C85" w:rsidRPr="000B7788">
        <w:rPr>
          <w:spacing w:val="-2"/>
          <w:lang w:val="fr-CH"/>
        </w:rPr>
        <w:t xml:space="preserve">la création des conditions propices à la floraison des talents et de la créativité, et l’appui aux </w:t>
      </w:r>
      <w:r w:rsidRPr="000B7788">
        <w:rPr>
          <w:spacing w:val="-2"/>
          <w:lang w:val="fr-CH"/>
        </w:rPr>
        <w:t xml:space="preserve">innovations </w:t>
      </w:r>
      <w:r w:rsidR="001E5C85" w:rsidRPr="000B7788">
        <w:rPr>
          <w:spacing w:val="-2"/>
          <w:lang w:val="fr-CH"/>
        </w:rPr>
        <w:t>et</w:t>
      </w:r>
      <w:r w:rsidRPr="000B7788">
        <w:rPr>
          <w:spacing w:val="-2"/>
          <w:lang w:val="fr-CH"/>
        </w:rPr>
        <w:t xml:space="preserve"> inventions; </w:t>
      </w:r>
      <w:r w:rsidR="001E5C85" w:rsidRPr="000B7788">
        <w:rPr>
          <w:spacing w:val="-2"/>
          <w:lang w:val="fr-CH"/>
        </w:rPr>
        <w:t xml:space="preserve">l’effort constant fait pour soutenir le développement </w:t>
      </w:r>
      <w:r w:rsidRPr="000B7788">
        <w:rPr>
          <w:spacing w:val="-2"/>
          <w:lang w:val="fr-CH"/>
        </w:rPr>
        <w:t>scientifi</w:t>
      </w:r>
      <w:r w:rsidR="001E5C85" w:rsidRPr="000B7788">
        <w:rPr>
          <w:spacing w:val="-2"/>
          <w:lang w:val="fr-CH"/>
        </w:rPr>
        <w:t>que</w:t>
      </w:r>
      <w:r w:rsidRPr="000B7788">
        <w:rPr>
          <w:spacing w:val="-2"/>
          <w:lang w:val="fr-CH"/>
        </w:rPr>
        <w:t>, cultur</w:t>
      </w:r>
      <w:r w:rsidR="001E5C85" w:rsidRPr="000B7788">
        <w:rPr>
          <w:spacing w:val="-2"/>
          <w:lang w:val="fr-CH"/>
        </w:rPr>
        <w:t>e</w:t>
      </w:r>
      <w:r w:rsidRPr="000B7788">
        <w:rPr>
          <w:spacing w:val="-2"/>
          <w:lang w:val="fr-CH"/>
        </w:rPr>
        <w:t xml:space="preserve">l </w:t>
      </w:r>
      <w:r w:rsidR="001E5C85" w:rsidRPr="000B7788">
        <w:rPr>
          <w:spacing w:val="-2"/>
          <w:lang w:val="fr-CH"/>
        </w:rPr>
        <w:t>et technologique de la société, ainsi que l’alphabétisation et l’éducation pour tous</w:t>
      </w:r>
      <w:r w:rsidRPr="000B7788">
        <w:rPr>
          <w:spacing w:val="-2"/>
          <w:lang w:val="fr-CH"/>
        </w:rPr>
        <w:t xml:space="preserve">; </w:t>
      </w:r>
      <w:r w:rsidR="001E5C85" w:rsidRPr="000B7788">
        <w:rPr>
          <w:spacing w:val="-2"/>
          <w:lang w:val="fr-CH"/>
        </w:rPr>
        <w:t>l’é</w:t>
      </w:r>
      <w:r w:rsidRPr="000B7788">
        <w:rPr>
          <w:spacing w:val="-2"/>
          <w:lang w:val="fr-CH"/>
        </w:rPr>
        <w:t xml:space="preserve">laboration </w:t>
      </w:r>
      <w:r w:rsidR="001E5C85" w:rsidRPr="000B7788">
        <w:rPr>
          <w:spacing w:val="-2"/>
          <w:lang w:val="fr-CH"/>
        </w:rPr>
        <w:t xml:space="preserve">de politiques </w:t>
      </w:r>
      <w:r w:rsidRPr="000B7788">
        <w:rPr>
          <w:spacing w:val="-2"/>
          <w:lang w:val="fr-CH"/>
        </w:rPr>
        <w:t>positive</w:t>
      </w:r>
      <w:r w:rsidR="001E5C85" w:rsidRPr="000B7788">
        <w:rPr>
          <w:spacing w:val="-2"/>
          <w:lang w:val="fr-CH"/>
        </w:rPr>
        <w:t>s</w:t>
      </w:r>
      <w:r w:rsidRPr="000B7788">
        <w:rPr>
          <w:spacing w:val="-2"/>
          <w:lang w:val="fr-CH"/>
        </w:rPr>
        <w:t xml:space="preserve"> </w:t>
      </w:r>
      <w:r w:rsidR="001E5C85" w:rsidRPr="000B7788">
        <w:rPr>
          <w:spacing w:val="-2"/>
          <w:lang w:val="fr-CH"/>
        </w:rPr>
        <w:t>dans les domaines culture</w:t>
      </w:r>
      <w:r w:rsidRPr="000B7788">
        <w:rPr>
          <w:spacing w:val="-2"/>
          <w:lang w:val="fr-CH"/>
        </w:rPr>
        <w:t>l, artisti</w:t>
      </w:r>
      <w:r w:rsidR="001E5C85" w:rsidRPr="000B7788">
        <w:rPr>
          <w:spacing w:val="-2"/>
          <w:lang w:val="fr-CH"/>
        </w:rPr>
        <w:t xml:space="preserve">que et </w:t>
      </w:r>
      <w:r w:rsidRPr="000B7788">
        <w:rPr>
          <w:spacing w:val="-2"/>
          <w:lang w:val="fr-CH"/>
        </w:rPr>
        <w:t>social</w:t>
      </w:r>
      <w:r w:rsidR="001E5C85" w:rsidRPr="000B7788">
        <w:rPr>
          <w:spacing w:val="-2"/>
          <w:lang w:val="fr-CH"/>
        </w:rPr>
        <w:t>, et la</w:t>
      </w:r>
      <w:r w:rsidR="00D36718" w:rsidRPr="000B7788">
        <w:rPr>
          <w:spacing w:val="-2"/>
          <w:lang w:val="fr-CH"/>
        </w:rPr>
        <w:t xml:space="preserve"> </w:t>
      </w:r>
      <w:r w:rsidRPr="000B7788">
        <w:rPr>
          <w:spacing w:val="-2"/>
          <w:lang w:val="fr-CH"/>
        </w:rPr>
        <w:t>cr</w:t>
      </w:r>
      <w:r w:rsidR="001E5C85" w:rsidRPr="000B7788">
        <w:rPr>
          <w:spacing w:val="-2"/>
          <w:lang w:val="fr-CH"/>
        </w:rPr>
        <w:t>é</w:t>
      </w:r>
      <w:r w:rsidRPr="000B7788">
        <w:rPr>
          <w:spacing w:val="-2"/>
          <w:lang w:val="fr-CH"/>
        </w:rPr>
        <w:t xml:space="preserve">ation </w:t>
      </w:r>
      <w:r w:rsidR="001E5C85" w:rsidRPr="000B7788">
        <w:rPr>
          <w:spacing w:val="-2"/>
          <w:lang w:val="fr-CH"/>
        </w:rPr>
        <w:t xml:space="preserve">de </w:t>
      </w:r>
      <w:r w:rsidRPr="000B7788">
        <w:rPr>
          <w:spacing w:val="-2"/>
          <w:lang w:val="fr-CH"/>
        </w:rPr>
        <w:t xml:space="preserve">conditions </w:t>
      </w:r>
      <w:r w:rsidR="001E5C85" w:rsidRPr="000B7788">
        <w:rPr>
          <w:spacing w:val="-2"/>
          <w:lang w:val="fr-CH"/>
        </w:rPr>
        <w:t>et de moyens suffisants pour l’étude et la recherche, ainsi que l’</w:t>
      </w:r>
      <w:r w:rsidRPr="000B7788">
        <w:rPr>
          <w:spacing w:val="-2"/>
          <w:lang w:val="fr-CH"/>
        </w:rPr>
        <w:t xml:space="preserve">application </w:t>
      </w:r>
      <w:r w:rsidR="001E5C85" w:rsidRPr="000B7788">
        <w:rPr>
          <w:spacing w:val="-2"/>
          <w:lang w:val="fr-CH"/>
        </w:rPr>
        <w:t>de leurs résultats dans tous les domaines</w:t>
      </w:r>
      <w:r w:rsidRPr="000B7788">
        <w:rPr>
          <w:spacing w:val="-2"/>
          <w:lang w:val="fr-CH"/>
        </w:rPr>
        <w:t xml:space="preserve">; </w:t>
      </w:r>
      <w:r w:rsidR="00795993" w:rsidRPr="000B7788">
        <w:rPr>
          <w:spacing w:val="-2"/>
          <w:lang w:val="fr-CH"/>
        </w:rPr>
        <w:t>une action multiforme devant permettre de déterminer les</w:t>
      </w:r>
      <w:r w:rsidRPr="000B7788">
        <w:rPr>
          <w:spacing w:val="-2"/>
          <w:lang w:val="fr-CH"/>
        </w:rPr>
        <w:t xml:space="preserve"> </w:t>
      </w:r>
      <w:r w:rsidR="00795993" w:rsidRPr="000B7788">
        <w:rPr>
          <w:spacing w:val="-2"/>
          <w:lang w:val="fr-CH"/>
        </w:rPr>
        <w:t>é</w:t>
      </w:r>
      <w:r w:rsidRPr="000B7788">
        <w:rPr>
          <w:spacing w:val="-2"/>
          <w:lang w:val="fr-CH"/>
        </w:rPr>
        <w:t xml:space="preserve">nergies, </w:t>
      </w:r>
      <w:r w:rsidR="00795993" w:rsidRPr="000B7788">
        <w:rPr>
          <w:spacing w:val="-2"/>
          <w:lang w:val="fr-CH"/>
        </w:rPr>
        <w:t xml:space="preserve">les besoins et les exigences </w:t>
      </w:r>
      <w:r w:rsidRPr="000B7788">
        <w:rPr>
          <w:spacing w:val="-2"/>
          <w:lang w:val="fr-CH"/>
        </w:rPr>
        <w:t>physi</w:t>
      </w:r>
      <w:r w:rsidR="00795993" w:rsidRPr="000B7788">
        <w:rPr>
          <w:spacing w:val="-2"/>
          <w:lang w:val="fr-CH"/>
        </w:rPr>
        <w:t xml:space="preserve">ques et psychologiques des jeunes du pays, et la création des conditions propices au développement de leur vocation </w:t>
      </w:r>
      <w:r w:rsidRPr="000B7788">
        <w:rPr>
          <w:spacing w:val="-2"/>
          <w:lang w:val="fr-CH"/>
        </w:rPr>
        <w:t>scientifi</w:t>
      </w:r>
      <w:r w:rsidR="00795993" w:rsidRPr="000B7788">
        <w:rPr>
          <w:spacing w:val="-2"/>
          <w:lang w:val="fr-CH"/>
        </w:rPr>
        <w:t>que et religieuse ainsi que de leur sens des responsabilités, et l’accroissement de la participation directe à divers domaines de la vie personnelle et sociale</w:t>
      </w:r>
      <w:r w:rsidRPr="000B7788">
        <w:rPr>
          <w:spacing w:val="-2"/>
          <w:lang w:val="fr-CH"/>
        </w:rPr>
        <w:t>.</w:t>
      </w:r>
    </w:p>
    <w:p w:rsidR="00AD5035" w:rsidRPr="0071782F" w:rsidRDefault="00AD5035" w:rsidP="00930639">
      <w:pPr>
        <w:pStyle w:val="H1G"/>
        <w:rPr>
          <w:lang w:val="fr-CH"/>
        </w:rPr>
      </w:pPr>
      <w:r w:rsidRPr="0071782F">
        <w:rPr>
          <w:lang w:val="fr-CH"/>
        </w:rPr>
        <w:tab/>
      </w:r>
      <w:r w:rsidRPr="0071782F">
        <w:rPr>
          <w:lang w:val="fr-CH"/>
        </w:rPr>
        <w:tab/>
      </w:r>
      <w:r w:rsidR="00795993" w:rsidRPr="0071782F">
        <w:rPr>
          <w:lang w:val="fr-CH"/>
        </w:rPr>
        <w:t xml:space="preserve">Le développement culturel sous l’angle de la loi </w:t>
      </w:r>
      <w:r w:rsidR="000F16C1" w:rsidRPr="0071782F">
        <w:rPr>
          <w:lang w:val="fr-CH"/>
        </w:rPr>
        <w:t xml:space="preserve">relative au </w:t>
      </w:r>
      <w:r w:rsidR="00A90208" w:rsidRPr="0071782F">
        <w:rPr>
          <w:lang w:val="fr-CH"/>
        </w:rPr>
        <w:t>quatrième</w:t>
      </w:r>
      <w:r w:rsidR="00795993" w:rsidRPr="0071782F">
        <w:rPr>
          <w:lang w:val="fr-CH"/>
        </w:rPr>
        <w:t xml:space="preserve"> plan quinquennal de développement </w:t>
      </w:r>
    </w:p>
    <w:p w:rsidR="00AD5035" w:rsidRPr="0071782F" w:rsidRDefault="00AD5035" w:rsidP="00930639">
      <w:pPr>
        <w:pStyle w:val="SingleTxtG"/>
        <w:rPr>
          <w:lang w:val="fr-CH"/>
        </w:rPr>
      </w:pPr>
      <w:r w:rsidRPr="0071782F">
        <w:rPr>
          <w:lang w:val="fr-CH"/>
        </w:rPr>
        <w:t>443.</w:t>
      </w:r>
      <w:r w:rsidRPr="0071782F">
        <w:rPr>
          <w:lang w:val="fr-CH"/>
        </w:rPr>
        <w:tab/>
      </w:r>
      <w:r w:rsidR="00795993" w:rsidRPr="0071782F">
        <w:rPr>
          <w:lang w:val="fr-CH"/>
        </w:rPr>
        <w:t xml:space="preserve">En vertu de </w:t>
      </w:r>
      <w:r w:rsidR="00723F2B" w:rsidRPr="0071782F">
        <w:rPr>
          <w:lang w:val="fr-CH"/>
        </w:rPr>
        <w:t>l’</w:t>
      </w:r>
      <w:r w:rsidR="00943A69" w:rsidRPr="0071782F">
        <w:rPr>
          <w:lang w:val="fr-CH"/>
        </w:rPr>
        <w:t>article </w:t>
      </w:r>
      <w:r w:rsidRPr="0071782F">
        <w:rPr>
          <w:lang w:val="fr-CH"/>
        </w:rPr>
        <w:t>98</w:t>
      </w:r>
      <w:r w:rsidR="00795993" w:rsidRPr="0071782F">
        <w:rPr>
          <w:lang w:val="fr-CH"/>
        </w:rPr>
        <w:t>,</w:t>
      </w:r>
    </w:p>
    <w:p w:rsidR="00AD5035" w:rsidRPr="0071782F" w:rsidRDefault="00A62149" w:rsidP="00930639">
      <w:pPr>
        <w:pStyle w:val="SingleTxtG"/>
        <w:ind w:left="1701"/>
        <w:rPr>
          <w:lang w:val="fr-CH"/>
        </w:rPr>
      </w:pPr>
      <w:r w:rsidRPr="0071782F">
        <w:rPr>
          <w:lang w:val="fr-CH"/>
        </w:rPr>
        <w:t>"</w:t>
      </w:r>
      <w:r w:rsidR="00C938B3" w:rsidRPr="0071782F">
        <w:rPr>
          <w:lang w:val="fr-CH"/>
        </w:rPr>
        <w:t xml:space="preserve">Afin de </w:t>
      </w:r>
      <w:r w:rsidR="00AD5035" w:rsidRPr="0071782F">
        <w:rPr>
          <w:lang w:val="fr-CH"/>
        </w:rPr>
        <w:t>prot</w:t>
      </w:r>
      <w:r w:rsidR="00C938B3" w:rsidRPr="0071782F">
        <w:rPr>
          <w:lang w:val="fr-CH"/>
        </w:rPr>
        <w:t xml:space="preserve">éger et de </w:t>
      </w:r>
      <w:r w:rsidR="00AD5035" w:rsidRPr="0071782F">
        <w:rPr>
          <w:lang w:val="fr-CH"/>
        </w:rPr>
        <w:t>promo</w:t>
      </w:r>
      <w:r w:rsidR="00C938B3" w:rsidRPr="0071782F">
        <w:rPr>
          <w:lang w:val="fr-CH"/>
        </w:rPr>
        <w:t xml:space="preserve">uvoir le </w:t>
      </w:r>
      <w:r w:rsidR="00AD5035" w:rsidRPr="0071782F">
        <w:rPr>
          <w:lang w:val="fr-CH"/>
        </w:rPr>
        <w:t>capital</w:t>
      </w:r>
      <w:r w:rsidR="00C938B3" w:rsidRPr="0071782F">
        <w:rPr>
          <w:lang w:val="fr-CH"/>
        </w:rPr>
        <w:t xml:space="preserve"> social</w:t>
      </w:r>
      <w:r w:rsidR="00AD5035" w:rsidRPr="0071782F">
        <w:rPr>
          <w:lang w:val="fr-CH"/>
        </w:rPr>
        <w:t xml:space="preserve">, </w:t>
      </w:r>
      <w:r w:rsidR="00C938B3" w:rsidRPr="0071782F">
        <w:rPr>
          <w:lang w:val="fr-CH"/>
        </w:rPr>
        <w:t xml:space="preserve">d’améliorer le niveau de </w:t>
      </w:r>
      <w:r w:rsidR="00AD5035" w:rsidRPr="0071782F">
        <w:rPr>
          <w:lang w:val="fr-CH"/>
        </w:rPr>
        <w:t>satisfaction</w:t>
      </w:r>
      <w:r w:rsidR="00C938B3" w:rsidRPr="0071782F">
        <w:rPr>
          <w:lang w:val="fr-CH"/>
        </w:rPr>
        <w:t xml:space="preserve"> de la population et de développer les </w:t>
      </w:r>
      <w:r w:rsidR="00AD5035" w:rsidRPr="0071782F">
        <w:rPr>
          <w:lang w:val="fr-CH"/>
        </w:rPr>
        <w:t>institutions</w:t>
      </w:r>
      <w:r w:rsidR="00C938B3" w:rsidRPr="0071782F">
        <w:rPr>
          <w:lang w:val="fr-CH"/>
        </w:rPr>
        <w:t xml:space="preserve"> civiles</w:t>
      </w:r>
      <w:r w:rsidR="00AD5035" w:rsidRPr="0071782F">
        <w:rPr>
          <w:lang w:val="fr-CH"/>
        </w:rPr>
        <w:t xml:space="preserve">, </w:t>
      </w:r>
      <w:r w:rsidR="00C938B3" w:rsidRPr="0071782F">
        <w:rPr>
          <w:lang w:val="fr-CH"/>
        </w:rPr>
        <w:t>l’État est tenu d’adopter les mesures ci-après</w:t>
      </w:r>
      <w:r w:rsidR="008F7D33" w:rsidRPr="0071782F">
        <w:rPr>
          <w:lang w:val="fr-CH"/>
        </w:rPr>
        <w:t>:</w:t>
      </w:r>
    </w:p>
    <w:p w:rsidR="00AD5035" w:rsidRPr="0071782F" w:rsidRDefault="00AD5035" w:rsidP="00930639">
      <w:pPr>
        <w:pStyle w:val="SingleTxtG"/>
        <w:ind w:left="1701"/>
        <w:rPr>
          <w:lang w:val="fr-CH"/>
        </w:rPr>
      </w:pPr>
      <w:r w:rsidRPr="0071782F">
        <w:rPr>
          <w:lang w:val="fr-CH"/>
        </w:rPr>
        <w:t>443.1.</w:t>
      </w:r>
      <w:r w:rsidRPr="0071782F">
        <w:rPr>
          <w:lang w:val="fr-CH"/>
        </w:rPr>
        <w:tab/>
      </w:r>
      <w:r w:rsidR="00C938B3" w:rsidRPr="0071782F">
        <w:rPr>
          <w:lang w:val="fr-CH"/>
        </w:rPr>
        <w:t>Création de mécanismes d’é</w:t>
      </w:r>
      <w:r w:rsidRPr="0071782F">
        <w:rPr>
          <w:lang w:val="fr-CH"/>
        </w:rPr>
        <w:t xml:space="preserve">valuation </w:t>
      </w:r>
      <w:r w:rsidR="00C938B3" w:rsidRPr="0071782F">
        <w:rPr>
          <w:lang w:val="fr-CH"/>
        </w:rPr>
        <w:t xml:space="preserve">du </w:t>
      </w:r>
      <w:r w:rsidRPr="0071782F">
        <w:rPr>
          <w:lang w:val="fr-CH"/>
        </w:rPr>
        <w:t xml:space="preserve">capital </w:t>
      </w:r>
      <w:r w:rsidR="00C938B3" w:rsidRPr="0071782F">
        <w:rPr>
          <w:lang w:val="fr-CH"/>
        </w:rPr>
        <w:t>social du pays</w:t>
      </w:r>
      <w:r w:rsidRPr="0071782F">
        <w:rPr>
          <w:lang w:val="fr-CH"/>
        </w:rPr>
        <w:t>.</w:t>
      </w:r>
    </w:p>
    <w:p w:rsidR="00AD5035" w:rsidRPr="0071782F" w:rsidRDefault="00AD5035" w:rsidP="00930639">
      <w:pPr>
        <w:pStyle w:val="SingleTxtG"/>
        <w:ind w:left="1701"/>
        <w:rPr>
          <w:lang w:val="fr-CH"/>
        </w:rPr>
      </w:pPr>
      <w:r w:rsidRPr="0071782F">
        <w:rPr>
          <w:lang w:val="fr-CH"/>
        </w:rPr>
        <w:t>443.2.</w:t>
      </w:r>
      <w:r w:rsidRPr="0071782F">
        <w:rPr>
          <w:lang w:val="fr-CH"/>
        </w:rPr>
        <w:tab/>
      </w:r>
      <w:r w:rsidR="00C938B3" w:rsidRPr="0071782F">
        <w:rPr>
          <w:lang w:val="fr-CH"/>
        </w:rPr>
        <w:t xml:space="preserve">Présentation de rapports annuels sur le capital </w:t>
      </w:r>
      <w:r w:rsidRPr="0071782F">
        <w:rPr>
          <w:lang w:val="fr-CH"/>
        </w:rPr>
        <w:t xml:space="preserve">social </w:t>
      </w:r>
      <w:r w:rsidR="00C938B3" w:rsidRPr="0071782F">
        <w:rPr>
          <w:lang w:val="fr-CH"/>
        </w:rPr>
        <w:t>du pays et les facteurs qui le déterminent</w:t>
      </w:r>
      <w:r w:rsidRPr="0071782F">
        <w:rPr>
          <w:lang w:val="fr-CH"/>
        </w:rPr>
        <w:t>.</w:t>
      </w:r>
    </w:p>
    <w:p w:rsidR="00AD5035" w:rsidRPr="0071782F" w:rsidRDefault="00AD5035" w:rsidP="00930639">
      <w:pPr>
        <w:pStyle w:val="SingleTxtG"/>
        <w:ind w:left="1701"/>
        <w:rPr>
          <w:lang w:val="fr-CH"/>
        </w:rPr>
      </w:pPr>
      <w:r w:rsidRPr="0071782F">
        <w:rPr>
          <w:lang w:val="fr-CH"/>
        </w:rPr>
        <w:t>443.3.</w:t>
      </w:r>
      <w:r w:rsidRPr="0071782F">
        <w:rPr>
          <w:lang w:val="fr-CH"/>
        </w:rPr>
        <w:tab/>
        <w:t>A</w:t>
      </w:r>
      <w:r w:rsidR="00C938B3" w:rsidRPr="0071782F">
        <w:rPr>
          <w:lang w:val="fr-CH"/>
        </w:rPr>
        <w:t xml:space="preserve">doption des mécanismes d’exécution nécessaires pour accroître le </w:t>
      </w:r>
      <w:r w:rsidRPr="0071782F">
        <w:rPr>
          <w:lang w:val="fr-CH"/>
        </w:rPr>
        <w:t>capital</w:t>
      </w:r>
      <w:r w:rsidR="00C938B3" w:rsidRPr="0071782F">
        <w:rPr>
          <w:lang w:val="fr-CH"/>
        </w:rPr>
        <w:t xml:space="preserve"> social</w:t>
      </w:r>
      <w:r w:rsidRPr="0071782F">
        <w:rPr>
          <w:lang w:val="fr-CH"/>
        </w:rPr>
        <w:t xml:space="preserve">, </w:t>
      </w:r>
      <w:r w:rsidR="00C938B3" w:rsidRPr="0071782F">
        <w:rPr>
          <w:lang w:val="fr-CH"/>
        </w:rPr>
        <w:t>à savoir notamment la confiance du public, la loyauté sociale, le respect de la loi et la conscience personnelle et sociale</w:t>
      </w:r>
      <w:r w:rsidRPr="0071782F">
        <w:rPr>
          <w:lang w:val="fr-CH"/>
        </w:rPr>
        <w:t>.</w:t>
      </w:r>
    </w:p>
    <w:p w:rsidR="00AD5035" w:rsidRPr="0071782F" w:rsidRDefault="00AD5035" w:rsidP="00930639">
      <w:pPr>
        <w:pStyle w:val="SingleTxtG"/>
        <w:ind w:left="1701"/>
        <w:rPr>
          <w:lang w:val="fr-CH"/>
        </w:rPr>
      </w:pPr>
      <w:r w:rsidRPr="0071782F">
        <w:rPr>
          <w:lang w:val="fr-CH"/>
        </w:rPr>
        <w:t>443.4.</w:t>
      </w:r>
      <w:r w:rsidRPr="0071782F">
        <w:rPr>
          <w:lang w:val="fr-CH"/>
        </w:rPr>
        <w:tab/>
      </w:r>
      <w:r w:rsidR="00C938B3" w:rsidRPr="0071782F">
        <w:rPr>
          <w:lang w:val="fr-CH"/>
        </w:rPr>
        <w:t>É</w:t>
      </w:r>
      <w:r w:rsidRPr="0071782F">
        <w:rPr>
          <w:lang w:val="fr-CH"/>
        </w:rPr>
        <w:t xml:space="preserve">valuation </w:t>
      </w:r>
      <w:r w:rsidR="00C938B3" w:rsidRPr="0071782F">
        <w:rPr>
          <w:lang w:val="fr-CH"/>
        </w:rPr>
        <w:t xml:space="preserve">annuelle du niveau de </w:t>
      </w:r>
      <w:r w:rsidRPr="0071782F">
        <w:rPr>
          <w:lang w:val="fr-CH"/>
        </w:rPr>
        <w:t xml:space="preserve">satisfaction </w:t>
      </w:r>
      <w:r w:rsidR="00C938B3" w:rsidRPr="0071782F">
        <w:rPr>
          <w:lang w:val="fr-CH"/>
        </w:rPr>
        <w:t>du public et diffusion des changements que l’action publique permet d’introduire</w:t>
      </w:r>
      <w:r w:rsidRPr="0071782F">
        <w:rPr>
          <w:lang w:val="fr-CH"/>
        </w:rPr>
        <w:t>.</w:t>
      </w:r>
    </w:p>
    <w:p w:rsidR="00AD5035" w:rsidRPr="0071782F" w:rsidRDefault="00AD5035" w:rsidP="00930639">
      <w:pPr>
        <w:pStyle w:val="SingleTxtG"/>
        <w:ind w:left="1701"/>
        <w:rPr>
          <w:lang w:val="fr-CH"/>
        </w:rPr>
      </w:pPr>
      <w:r w:rsidRPr="0071782F">
        <w:rPr>
          <w:lang w:val="fr-CH"/>
        </w:rPr>
        <w:t>443.5.</w:t>
      </w:r>
      <w:r w:rsidRPr="0071782F">
        <w:rPr>
          <w:lang w:val="fr-CH"/>
        </w:rPr>
        <w:tab/>
      </w:r>
      <w:r w:rsidR="00C938B3" w:rsidRPr="0071782F">
        <w:rPr>
          <w:lang w:val="fr-CH"/>
        </w:rPr>
        <w:t xml:space="preserve">Élaboration et adoption du plan-cadre pour l’autonomisation des femmes et la protection de leurs droits dans </w:t>
      </w:r>
      <w:r w:rsidR="000F16C1" w:rsidRPr="0071782F">
        <w:rPr>
          <w:lang w:val="fr-CH"/>
        </w:rPr>
        <w:t xml:space="preserve">les </w:t>
      </w:r>
      <w:r w:rsidR="00C938B3" w:rsidRPr="0071782F">
        <w:rPr>
          <w:lang w:val="fr-CH"/>
        </w:rPr>
        <w:t>différents domaines juridiques, sociaux et économiques, et application de ce plan-cadre par les autorités compétentes</w:t>
      </w:r>
      <w:r w:rsidRPr="0071782F">
        <w:rPr>
          <w:lang w:val="fr-CH"/>
        </w:rPr>
        <w:t>.</w:t>
      </w:r>
    </w:p>
    <w:p w:rsidR="00AD5035" w:rsidRPr="0071782F" w:rsidRDefault="00AD5035" w:rsidP="00930639">
      <w:pPr>
        <w:pStyle w:val="SingleTxtG"/>
        <w:ind w:left="1701"/>
        <w:rPr>
          <w:lang w:val="fr-CH"/>
        </w:rPr>
      </w:pPr>
      <w:r w:rsidRPr="0071782F">
        <w:rPr>
          <w:lang w:val="fr-CH"/>
        </w:rPr>
        <w:t>443.6.</w:t>
      </w:r>
      <w:r w:rsidRPr="0071782F">
        <w:rPr>
          <w:lang w:val="fr-CH"/>
        </w:rPr>
        <w:tab/>
      </w:r>
      <w:r w:rsidR="00C938B3" w:rsidRPr="0071782F">
        <w:rPr>
          <w:lang w:val="fr-CH"/>
        </w:rPr>
        <w:t>Élaboration d’un plan-cadre pour la</w:t>
      </w:r>
      <w:r w:rsidRPr="0071782F">
        <w:rPr>
          <w:lang w:val="fr-CH"/>
        </w:rPr>
        <w:t xml:space="preserve"> participation </w:t>
      </w:r>
      <w:r w:rsidR="00C938B3" w:rsidRPr="0071782F">
        <w:rPr>
          <w:lang w:val="fr-CH"/>
        </w:rPr>
        <w:t xml:space="preserve">du public, des organisations et institutions privées et des conseils islamiques au développement durable du pays et pour leur supervision de ce développement, et </w:t>
      </w:r>
      <w:r w:rsidRPr="0071782F">
        <w:rPr>
          <w:lang w:val="fr-CH"/>
        </w:rPr>
        <w:t>cr</w:t>
      </w:r>
      <w:r w:rsidR="00C938B3" w:rsidRPr="0071782F">
        <w:rPr>
          <w:lang w:val="fr-CH"/>
        </w:rPr>
        <w:t>é</w:t>
      </w:r>
      <w:r w:rsidRPr="0071782F">
        <w:rPr>
          <w:lang w:val="fr-CH"/>
        </w:rPr>
        <w:t xml:space="preserve">ation </w:t>
      </w:r>
      <w:r w:rsidR="00C938B3" w:rsidRPr="0071782F">
        <w:rPr>
          <w:lang w:val="fr-CH"/>
        </w:rPr>
        <w:t>des conditions propices au développement quantitatif et qualitatif des institutions civiles par le biais de politiques d’incitation</w:t>
      </w:r>
      <w:r w:rsidRPr="0071782F">
        <w:rPr>
          <w:lang w:val="fr-CH"/>
        </w:rPr>
        <w:t>.</w:t>
      </w:r>
      <w:r w:rsidR="00A62149" w:rsidRPr="0071782F">
        <w:rPr>
          <w:lang w:val="fr-CH"/>
        </w:rPr>
        <w:t>"</w:t>
      </w:r>
    </w:p>
    <w:p w:rsidR="00AD5035" w:rsidRPr="0071782F" w:rsidRDefault="00AD5035" w:rsidP="00930639">
      <w:pPr>
        <w:pStyle w:val="SingleTxtG"/>
        <w:rPr>
          <w:lang w:val="fr-CH"/>
        </w:rPr>
      </w:pPr>
      <w:r w:rsidRPr="0071782F">
        <w:rPr>
          <w:lang w:val="fr-CH"/>
        </w:rPr>
        <w:t>444.</w:t>
      </w:r>
      <w:r w:rsidRPr="0071782F">
        <w:rPr>
          <w:lang w:val="fr-CH"/>
        </w:rPr>
        <w:tab/>
      </w:r>
      <w:r w:rsidR="00C938B3" w:rsidRPr="0071782F">
        <w:rPr>
          <w:lang w:val="fr-CH"/>
        </w:rPr>
        <w:t xml:space="preserve">Selon </w:t>
      </w:r>
      <w:r w:rsidR="00723F2B" w:rsidRPr="0071782F">
        <w:rPr>
          <w:lang w:val="fr-CH"/>
        </w:rPr>
        <w:t>l’</w:t>
      </w:r>
      <w:r w:rsidR="00943A69" w:rsidRPr="0071782F">
        <w:rPr>
          <w:lang w:val="fr-CH"/>
        </w:rPr>
        <w:t>article </w:t>
      </w:r>
      <w:r w:rsidR="00C938B3" w:rsidRPr="0071782F">
        <w:rPr>
          <w:lang w:val="fr-CH"/>
        </w:rPr>
        <w:t>104,</w:t>
      </w:r>
    </w:p>
    <w:p w:rsidR="00AD5035" w:rsidRPr="0071782F" w:rsidRDefault="00A62149" w:rsidP="00930639">
      <w:pPr>
        <w:pStyle w:val="SingleTxtG"/>
        <w:ind w:left="1701"/>
        <w:rPr>
          <w:lang w:val="fr-CH"/>
        </w:rPr>
      </w:pPr>
      <w:r w:rsidRPr="0071782F">
        <w:rPr>
          <w:lang w:val="fr-CH"/>
        </w:rPr>
        <w:t>"</w:t>
      </w:r>
      <w:r w:rsidR="00E359E4" w:rsidRPr="0071782F">
        <w:rPr>
          <w:lang w:val="fr-CH"/>
        </w:rPr>
        <w:t xml:space="preserve">Aux fins de la floraison de l’économie de la </w:t>
      </w:r>
      <w:r w:rsidR="00AD5035" w:rsidRPr="0071782F">
        <w:rPr>
          <w:lang w:val="fr-CH"/>
        </w:rPr>
        <w:t xml:space="preserve">culture, </w:t>
      </w:r>
      <w:r w:rsidR="00E359E4" w:rsidRPr="0071782F">
        <w:rPr>
          <w:lang w:val="fr-CH"/>
        </w:rPr>
        <w:t xml:space="preserve">de la création d’emplois, de l’amélioration de la qualité des biens et des </w:t>
      </w:r>
      <w:r w:rsidR="00AD5035" w:rsidRPr="0071782F">
        <w:rPr>
          <w:lang w:val="fr-CH"/>
        </w:rPr>
        <w:t xml:space="preserve">services, </w:t>
      </w:r>
      <w:r w:rsidR="00E359E4" w:rsidRPr="0071782F">
        <w:rPr>
          <w:lang w:val="fr-CH"/>
        </w:rPr>
        <w:t>de la compé</w:t>
      </w:r>
      <w:r w:rsidR="00AD5035" w:rsidRPr="0071782F">
        <w:rPr>
          <w:lang w:val="fr-CH"/>
        </w:rPr>
        <w:t>titiv</w:t>
      </w:r>
      <w:r w:rsidR="00E359E4" w:rsidRPr="0071782F">
        <w:rPr>
          <w:lang w:val="fr-CH"/>
        </w:rPr>
        <w:t>ité</w:t>
      </w:r>
      <w:r w:rsidR="00AD5035" w:rsidRPr="0071782F">
        <w:rPr>
          <w:lang w:val="fr-CH"/>
        </w:rPr>
        <w:t xml:space="preserve">, </w:t>
      </w:r>
      <w:r w:rsidR="00E359E4" w:rsidRPr="0071782F">
        <w:rPr>
          <w:lang w:val="fr-CH"/>
        </w:rPr>
        <w:t xml:space="preserve">de la </w:t>
      </w:r>
      <w:r w:rsidR="00AD5035" w:rsidRPr="0071782F">
        <w:rPr>
          <w:lang w:val="fr-CH"/>
        </w:rPr>
        <w:t>cr</w:t>
      </w:r>
      <w:r w:rsidR="00E359E4" w:rsidRPr="0071782F">
        <w:rPr>
          <w:lang w:val="fr-CH"/>
        </w:rPr>
        <w:t>é</w:t>
      </w:r>
      <w:r w:rsidR="00AD5035" w:rsidRPr="0071782F">
        <w:rPr>
          <w:lang w:val="fr-CH"/>
        </w:rPr>
        <w:t xml:space="preserve">ation </w:t>
      </w:r>
      <w:r w:rsidR="00E359E4" w:rsidRPr="0071782F">
        <w:rPr>
          <w:lang w:val="fr-CH"/>
        </w:rPr>
        <w:t>de nouvelles ressources, de la distribution équitable des produits et services culturels, de la création des conditions favorables à l’accès aux marchés culturels et artistiques mondiaux, et de l’exposition efficiente des produits culturels, l’État est tenu d’adopter les mesures ci-après</w:t>
      </w:r>
      <w:r w:rsidR="008F7D33" w:rsidRPr="0071782F">
        <w:rPr>
          <w:lang w:val="fr-CH"/>
        </w:rPr>
        <w:t>:</w:t>
      </w:r>
    </w:p>
    <w:p w:rsidR="00AD5035" w:rsidRPr="0071782F" w:rsidRDefault="00AD5035" w:rsidP="00930639">
      <w:pPr>
        <w:pStyle w:val="SingleTxtG"/>
        <w:ind w:left="1701"/>
        <w:rPr>
          <w:lang w:val="fr-CH"/>
        </w:rPr>
      </w:pPr>
      <w:r w:rsidRPr="0071782F">
        <w:rPr>
          <w:lang w:val="fr-CH"/>
        </w:rPr>
        <w:t>444.1.</w:t>
      </w:r>
      <w:r w:rsidRPr="0071782F">
        <w:rPr>
          <w:lang w:val="fr-CH"/>
        </w:rPr>
        <w:tab/>
      </w:r>
      <w:r w:rsidR="00E359E4" w:rsidRPr="0071782F">
        <w:rPr>
          <w:lang w:val="fr-CH"/>
        </w:rPr>
        <w:t xml:space="preserve">Modification des lois et règlements de façon à éliminer les </w:t>
      </w:r>
      <w:r w:rsidRPr="0071782F">
        <w:rPr>
          <w:lang w:val="fr-CH"/>
        </w:rPr>
        <w:t xml:space="preserve">monopoles, </w:t>
      </w:r>
      <w:r w:rsidR="00CA0E7F" w:rsidRPr="0071782F">
        <w:rPr>
          <w:lang w:val="fr-CH"/>
        </w:rPr>
        <w:t xml:space="preserve">à favoriser la concurrence et à créer les conditions propices à la </w:t>
      </w:r>
      <w:r w:rsidRPr="0071782F">
        <w:rPr>
          <w:lang w:val="fr-CH"/>
        </w:rPr>
        <w:t xml:space="preserve">participation </w:t>
      </w:r>
      <w:r w:rsidR="00CA0E7F" w:rsidRPr="0071782F">
        <w:rPr>
          <w:lang w:val="fr-CH"/>
        </w:rPr>
        <w:t>de la population et des organisations privées et professionnelles aux affaires culturelles et artistiques</w:t>
      </w:r>
      <w:r w:rsidRPr="0071782F">
        <w:rPr>
          <w:lang w:val="fr-CH"/>
        </w:rPr>
        <w:t>.</w:t>
      </w:r>
    </w:p>
    <w:p w:rsidR="00AD5035" w:rsidRPr="0071782F" w:rsidRDefault="00AD5035" w:rsidP="00930639">
      <w:pPr>
        <w:pStyle w:val="SingleTxtG"/>
        <w:ind w:left="1701"/>
        <w:rPr>
          <w:lang w:val="fr-CH"/>
        </w:rPr>
      </w:pPr>
      <w:r w:rsidRPr="0071782F">
        <w:rPr>
          <w:lang w:val="fr-CH"/>
        </w:rPr>
        <w:t>444.2.</w:t>
      </w:r>
      <w:r w:rsidRPr="0071782F">
        <w:rPr>
          <w:lang w:val="fr-CH"/>
        </w:rPr>
        <w:tab/>
        <w:t xml:space="preserve">Adoption </w:t>
      </w:r>
      <w:r w:rsidR="00CA0E7F" w:rsidRPr="0071782F">
        <w:rPr>
          <w:lang w:val="fr-CH"/>
        </w:rPr>
        <w:t xml:space="preserve">des mesures juridiques nécessaires à la création de fonds de garantie privés ayant pour objet d’appuyer la </w:t>
      </w:r>
      <w:r w:rsidRPr="0071782F">
        <w:rPr>
          <w:lang w:val="fr-CH"/>
        </w:rPr>
        <w:t xml:space="preserve">production, </w:t>
      </w:r>
      <w:r w:rsidR="00CA0E7F" w:rsidRPr="0071782F">
        <w:rPr>
          <w:lang w:val="fr-CH"/>
        </w:rPr>
        <w:t xml:space="preserve">la </w:t>
      </w:r>
      <w:r w:rsidRPr="0071782F">
        <w:rPr>
          <w:lang w:val="fr-CH"/>
        </w:rPr>
        <w:t>distribution</w:t>
      </w:r>
      <w:r w:rsidR="00CA0E7F" w:rsidRPr="0071782F">
        <w:rPr>
          <w:lang w:val="fr-CH"/>
        </w:rPr>
        <w:t xml:space="preserve"> et l’</w:t>
      </w:r>
      <w:r w:rsidRPr="0071782F">
        <w:rPr>
          <w:lang w:val="fr-CH"/>
        </w:rPr>
        <w:t>export</w:t>
      </w:r>
      <w:r w:rsidR="00CA0E7F" w:rsidRPr="0071782F">
        <w:rPr>
          <w:lang w:val="fr-CH"/>
        </w:rPr>
        <w:t xml:space="preserve">ation de produits </w:t>
      </w:r>
      <w:r w:rsidRPr="0071782F">
        <w:rPr>
          <w:lang w:val="fr-CH"/>
        </w:rPr>
        <w:t>cultur</w:t>
      </w:r>
      <w:r w:rsidR="00CA0E7F" w:rsidRPr="0071782F">
        <w:rPr>
          <w:lang w:val="fr-CH"/>
        </w:rPr>
        <w:t>els</w:t>
      </w:r>
      <w:r w:rsidRPr="0071782F">
        <w:rPr>
          <w:lang w:val="fr-CH"/>
        </w:rPr>
        <w:t>, artisti</w:t>
      </w:r>
      <w:r w:rsidR="00CA0E7F" w:rsidRPr="0071782F">
        <w:rPr>
          <w:lang w:val="fr-CH"/>
        </w:rPr>
        <w:t>ques</w:t>
      </w:r>
      <w:r w:rsidRPr="0071782F">
        <w:rPr>
          <w:lang w:val="fr-CH"/>
        </w:rPr>
        <w:t>, cin</w:t>
      </w:r>
      <w:r w:rsidR="00CA0E7F" w:rsidRPr="0071782F">
        <w:rPr>
          <w:lang w:val="fr-CH"/>
        </w:rPr>
        <w:t>é</w:t>
      </w:r>
      <w:r w:rsidRPr="0071782F">
        <w:rPr>
          <w:lang w:val="fr-CH"/>
        </w:rPr>
        <w:t>mat</w:t>
      </w:r>
      <w:r w:rsidR="00CA0E7F" w:rsidRPr="0071782F">
        <w:rPr>
          <w:lang w:val="fr-CH"/>
        </w:rPr>
        <w:t>ographiques, médiatiques et sportifs aux niveaux</w:t>
      </w:r>
      <w:r w:rsidRPr="0071782F">
        <w:rPr>
          <w:lang w:val="fr-CH"/>
        </w:rPr>
        <w:t xml:space="preserve"> national </w:t>
      </w:r>
      <w:r w:rsidR="00CA0E7F" w:rsidRPr="0071782F">
        <w:rPr>
          <w:lang w:val="fr-CH"/>
        </w:rPr>
        <w:t>et</w:t>
      </w:r>
      <w:r w:rsidRPr="0071782F">
        <w:rPr>
          <w:lang w:val="fr-CH"/>
        </w:rPr>
        <w:t xml:space="preserve"> international.</w:t>
      </w:r>
    </w:p>
    <w:p w:rsidR="00AD5035" w:rsidRPr="0071782F" w:rsidRDefault="00AD5035" w:rsidP="00930639">
      <w:pPr>
        <w:pStyle w:val="SingleTxtG"/>
        <w:ind w:left="1701"/>
        <w:rPr>
          <w:lang w:val="fr-CH"/>
        </w:rPr>
      </w:pPr>
      <w:r w:rsidRPr="0071782F">
        <w:rPr>
          <w:lang w:val="fr-CH"/>
        </w:rPr>
        <w:t>444.3.</w:t>
      </w:r>
      <w:r w:rsidRPr="0071782F">
        <w:rPr>
          <w:lang w:val="fr-CH"/>
        </w:rPr>
        <w:tab/>
      </w:r>
      <w:r w:rsidR="00DE79F6" w:rsidRPr="0071782F">
        <w:rPr>
          <w:lang w:val="fr-CH"/>
        </w:rPr>
        <w:t xml:space="preserve">Détermination et augmentation de la part assignée à la culture dans la loi de finances conformément à des indicateurs spécifiques de l’économie nationale et à une évaluation adéquate des taux de croissance annuelle, afin de définir des normes nationales qui doivent être approuvées par le gouvernement au cours de la première année du </w:t>
      </w:r>
      <w:r w:rsidR="00A90208" w:rsidRPr="0071782F">
        <w:rPr>
          <w:lang w:val="fr-CH"/>
        </w:rPr>
        <w:t>quatrième</w:t>
      </w:r>
      <w:r w:rsidR="00DE79F6" w:rsidRPr="0071782F">
        <w:rPr>
          <w:lang w:val="fr-CH"/>
        </w:rPr>
        <w:t xml:space="preserve"> plan de développement</w:t>
      </w:r>
      <w:r w:rsidRPr="0071782F">
        <w:rPr>
          <w:lang w:val="fr-CH"/>
        </w:rPr>
        <w:t>.</w:t>
      </w:r>
    </w:p>
    <w:p w:rsidR="00AD5035" w:rsidRPr="0071782F" w:rsidRDefault="00AD5035" w:rsidP="00930639">
      <w:pPr>
        <w:pStyle w:val="SingleTxtG"/>
        <w:ind w:left="1701"/>
        <w:rPr>
          <w:lang w:val="fr-CH"/>
        </w:rPr>
      </w:pPr>
      <w:r w:rsidRPr="0071782F">
        <w:rPr>
          <w:lang w:val="fr-CH"/>
        </w:rPr>
        <w:t>444.4.</w:t>
      </w:r>
      <w:r w:rsidRPr="0071782F">
        <w:rPr>
          <w:lang w:val="fr-CH"/>
        </w:rPr>
        <w:tab/>
        <w:t>A</w:t>
      </w:r>
      <w:r w:rsidR="00DE79F6" w:rsidRPr="0071782F">
        <w:rPr>
          <w:lang w:val="fr-CH"/>
        </w:rPr>
        <w:t xml:space="preserve">doption et </w:t>
      </w:r>
      <w:r w:rsidRPr="0071782F">
        <w:rPr>
          <w:lang w:val="fr-CH"/>
        </w:rPr>
        <w:t xml:space="preserve">notification </w:t>
      </w:r>
      <w:r w:rsidR="00DE79F6" w:rsidRPr="0071782F">
        <w:rPr>
          <w:lang w:val="fr-CH"/>
        </w:rPr>
        <w:t>des normes d’</w:t>
      </w:r>
      <w:r w:rsidRPr="0071782F">
        <w:rPr>
          <w:lang w:val="fr-CH"/>
        </w:rPr>
        <w:t>utili</w:t>
      </w:r>
      <w:r w:rsidR="00DE79F6" w:rsidRPr="0071782F">
        <w:rPr>
          <w:lang w:val="fr-CH"/>
        </w:rPr>
        <w:t>sation des espaces culture</w:t>
      </w:r>
      <w:r w:rsidRPr="0071782F">
        <w:rPr>
          <w:lang w:val="fr-CH"/>
        </w:rPr>
        <w:t>l</w:t>
      </w:r>
      <w:r w:rsidR="00DE79F6" w:rsidRPr="0071782F">
        <w:rPr>
          <w:lang w:val="fr-CH"/>
        </w:rPr>
        <w:t>s</w:t>
      </w:r>
      <w:r w:rsidRPr="0071782F">
        <w:rPr>
          <w:lang w:val="fr-CH"/>
        </w:rPr>
        <w:t>, artisti</w:t>
      </w:r>
      <w:r w:rsidR="00DE79F6" w:rsidRPr="0071782F">
        <w:rPr>
          <w:lang w:val="fr-CH"/>
        </w:rPr>
        <w:t>ques</w:t>
      </w:r>
      <w:r w:rsidRPr="0071782F">
        <w:rPr>
          <w:lang w:val="fr-CH"/>
        </w:rPr>
        <w:t>, sport</w:t>
      </w:r>
      <w:r w:rsidR="00DE79F6" w:rsidRPr="0071782F">
        <w:rPr>
          <w:lang w:val="fr-CH"/>
        </w:rPr>
        <w:t>if</w:t>
      </w:r>
      <w:r w:rsidRPr="0071782F">
        <w:rPr>
          <w:lang w:val="fr-CH"/>
        </w:rPr>
        <w:t>s</w:t>
      </w:r>
      <w:r w:rsidR="00DE79F6" w:rsidRPr="0071782F">
        <w:rPr>
          <w:lang w:val="fr-CH"/>
        </w:rPr>
        <w:t xml:space="preserve"> et </w:t>
      </w:r>
      <w:r w:rsidRPr="0071782F">
        <w:rPr>
          <w:lang w:val="fr-CH"/>
        </w:rPr>
        <w:t>touris</w:t>
      </w:r>
      <w:r w:rsidR="00DE79F6" w:rsidRPr="0071782F">
        <w:rPr>
          <w:lang w:val="fr-CH"/>
        </w:rPr>
        <w:t>tiques de différentes régions du pays</w:t>
      </w:r>
      <w:r w:rsidRPr="0071782F">
        <w:rPr>
          <w:lang w:val="fr-CH"/>
        </w:rPr>
        <w:t xml:space="preserve">, </w:t>
      </w:r>
      <w:r w:rsidR="00DE79F6" w:rsidRPr="0071782F">
        <w:rPr>
          <w:lang w:val="fr-CH"/>
        </w:rPr>
        <w:t xml:space="preserve">et </w:t>
      </w:r>
      <w:r w:rsidRPr="0071782F">
        <w:rPr>
          <w:lang w:val="fr-CH"/>
        </w:rPr>
        <w:t xml:space="preserve">allocation </w:t>
      </w:r>
      <w:r w:rsidR="00DE79F6" w:rsidRPr="0071782F">
        <w:rPr>
          <w:lang w:val="fr-CH"/>
        </w:rPr>
        <w:t>et</w:t>
      </w:r>
      <w:r w:rsidRPr="0071782F">
        <w:rPr>
          <w:lang w:val="fr-CH"/>
        </w:rPr>
        <w:t xml:space="preserve"> </w:t>
      </w:r>
      <w:r w:rsidR="00DE79F6" w:rsidRPr="0071782F">
        <w:rPr>
          <w:lang w:val="fr-CH"/>
        </w:rPr>
        <w:t xml:space="preserve">répartition de fonds nationaux et </w:t>
      </w:r>
      <w:r w:rsidRPr="0071782F">
        <w:rPr>
          <w:lang w:val="fr-CH"/>
        </w:rPr>
        <w:t>provincia</w:t>
      </w:r>
      <w:r w:rsidR="00DE79F6" w:rsidRPr="0071782F">
        <w:rPr>
          <w:lang w:val="fr-CH"/>
        </w:rPr>
        <w:t>ux</w:t>
      </w:r>
      <w:r w:rsidRPr="0071782F">
        <w:rPr>
          <w:lang w:val="fr-CH"/>
        </w:rPr>
        <w:t xml:space="preserve"> </w:t>
      </w:r>
      <w:r w:rsidR="00DE79F6" w:rsidRPr="0071782F">
        <w:rPr>
          <w:lang w:val="fr-CH"/>
        </w:rPr>
        <w:t xml:space="preserve">entre les rubriques budgétaires des programmes connexes pendant chaque année du </w:t>
      </w:r>
      <w:r w:rsidR="00A90208" w:rsidRPr="0071782F">
        <w:rPr>
          <w:lang w:val="fr-CH"/>
        </w:rPr>
        <w:t>quatrième</w:t>
      </w:r>
      <w:r w:rsidR="00DE79F6" w:rsidRPr="0071782F">
        <w:rPr>
          <w:lang w:val="fr-CH"/>
        </w:rPr>
        <w:t xml:space="preserve"> plan de développement, afin d’atteindre les objectifs fixés et les normes définies conformément aux indicateurs correspondant à la première année du </w:t>
      </w:r>
      <w:r w:rsidR="00A90208" w:rsidRPr="0071782F">
        <w:rPr>
          <w:lang w:val="fr-CH"/>
        </w:rPr>
        <w:t>quatrième</w:t>
      </w:r>
      <w:r w:rsidR="00DE79F6" w:rsidRPr="0071782F">
        <w:rPr>
          <w:lang w:val="fr-CH"/>
        </w:rPr>
        <w:t xml:space="preserve"> plan de développement qui doivent être approuvés par le Conseil des ministres</w:t>
      </w:r>
      <w:r w:rsidRPr="0071782F">
        <w:rPr>
          <w:lang w:val="fr-CH"/>
        </w:rPr>
        <w:t>.</w:t>
      </w:r>
    </w:p>
    <w:p w:rsidR="00AD5035" w:rsidRPr="0071782F" w:rsidRDefault="00AD5035" w:rsidP="00930639">
      <w:pPr>
        <w:pStyle w:val="SingleTxtG"/>
        <w:ind w:left="1701"/>
        <w:rPr>
          <w:lang w:val="fr-CH"/>
        </w:rPr>
      </w:pPr>
      <w:r w:rsidRPr="0071782F">
        <w:rPr>
          <w:lang w:val="fr-CH"/>
        </w:rPr>
        <w:t>444.5.</w:t>
      </w:r>
      <w:r w:rsidRPr="0071782F">
        <w:rPr>
          <w:lang w:val="fr-CH"/>
        </w:rPr>
        <w:tab/>
      </w:r>
      <w:r w:rsidR="00DE79F6" w:rsidRPr="0071782F">
        <w:rPr>
          <w:lang w:val="fr-CH"/>
        </w:rPr>
        <w:t xml:space="preserve">Renforcement des </w:t>
      </w:r>
      <w:r w:rsidRPr="0071782F">
        <w:rPr>
          <w:lang w:val="fr-CH"/>
        </w:rPr>
        <w:t xml:space="preserve">structures </w:t>
      </w:r>
      <w:r w:rsidR="00DE79F6" w:rsidRPr="0071782F">
        <w:rPr>
          <w:lang w:val="fr-CH"/>
        </w:rPr>
        <w:t>et</w:t>
      </w:r>
      <w:r w:rsidRPr="0071782F">
        <w:rPr>
          <w:lang w:val="fr-CH"/>
        </w:rPr>
        <w:t xml:space="preserve"> infrastructures n</w:t>
      </w:r>
      <w:r w:rsidR="00DE79F6" w:rsidRPr="0071782F">
        <w:rPr>
          <w:lang w:val="fr-CH"/>
        </w:rPr>
        <w:t>é</w:t>
      </w:r>
      <w:r w:rsidRPr="0071782F">
        <w:rPr>
          <w:lang w:val="fr-CH"/>
        </w:rPr>
        <w:t>cessa</w:t>
      </w:r>
      <w:r w:rsidR="00DE79F6" w:rsidRPr="0071782F">
        <w:rPr>
          <w:lang w:val="fr-CH"/>
        </w:rPr>
        <w:t xml:space="preserve">ires au développement de la </w:t>
      </w:r>
      <w:r w:rsidRPr="0071782F">
        <w:rPr>
          <w:lang w:val="fr-CH"/>
        </w:rPr>
        <w:t xml:space="preserve">production </w:t>
      </w:r>
      <w:r w:rsidR="00DE79F6" w:rsidRPr="0071782F">
        <w:rPr>
          <w:lang w:val="fr-CH"/>
        </w:rPr>
        <w:t xml:space="preserve">et de la </w:t>
      </w:r>
      <w:r w:rsidRPr="0071782F">
        <w:rPr>
          <w:lang w:val="fr-CH"/>
        </w:rPr>
        <w:t xml:space="preserve">distribution </w:t>
      </w:r>
      <w:r w:rsidR="00DE79F6" w:rsidRPr="0071782F">
        <w:rPr>
          <w:lang w:val="fr-CH"/>
        </w:rPr>
        <w:t>de produits culturels</w:t>
      </w:r>
      <w:r w:rsidRPr="0071782F">
        <w:rPr>
          <w:lang w:val="fr-CH"/>
        </w:rPr>
        <w:t>, artisti</w:t>
      </w:r>
      <w:r w:rsidR="00DE79F6" w:rsidRPr="0071782F">
        <w:rPr>
          <w:lang w:val="fr-CH"/>
        </w:rPr>
        <w:t>ques et sportifs par le secteur privé et celui des coopératives</w:t>
      </w:r>
      <w:r w:rsidRPr="0071782F">
        <w:rPr>
          <w:lang w:val="fr-CH"/>
        </w:rPr>
        <w:t xml:space="preserve">, </w:t>
      </w:r>
      <w:r w:rsidR="00DE79F6" w:rsidRPr="0071782F">
        <w:rPr>
          <w:lang w:val="fr-CH"/>
        </w:rPr>
        <w:t xml:space="preserve">compte dûment tenu des </w:t>
      </w:r>
      <w:r w:rsidRPr="0071782F">
        <w:rPr>
          <w:lang w:val="fr-CH"/>
        </w:rPr>
        <w:t>priorit</w:t>
      </w:r>
      <w:r w:rsidR="00DE79F6" w:rsidRPr="0071782F">
        <w:rPr>
          <w:lang w:val="fr-CH"/>
        </w:rPr>
        <w:t>é</w:t>
      </w:r>
      <w:r w:rsidRPr="0071782F">
        <w:rPr>
          <w:lang w:val="fr-CH"/>
        </w:rPr>
        <w:t>s.</w:t>
      </w:r>
    </w:p>
    <w:p w:rsidR="00AD5035" w:rsidRPr="0071782F" w:rsidRDefault="00AD5035" w:rsidP="00930639">
      <w:pPr>
        <w:pStyle w:val="SingleTxtG"/>
        <w:ind w:left="1701"/>
        <w:rPr>
          <w:lang w:val="fr-CH"/>
        </w:rPr>
      </w:pPr>
      <w:r w:rsidRPr="0071782F">
        <w:rPr>
          <w:lang w:val="fr-CH"/>
        </w:rPr>
        <w:t>444.6.</w:t>
      </w:r>
      <w:r w:rsidRPr="0071782F">
        <w:rPr>
          <w:lang w:val="fr-CH"/>
        </w:rPr>
        <w:tab/>
      </w:r>
      <w:r w:rsidR="00AA2741" w:rsidRPr="0071782F">
        <w:rPr>
          <w:lang w:val="fr-CH"/>
        </w:rPr>
        <w:t xml:space="preserve">Création de conditions spéciales pour faciliter l’importation des matières premières, machines et équipements dont sont tributaires les </w:t>
      </w:r>
      <w:r w:rsidRPr="0071782F">
        <w:rPr>
          <w:lang w:val="fr-CH"/>
        </w:rPr>
        <w:t xml:space="preserve">industries </w:t>
      </w:r>
      <w:r w:rsidR="00AA2741" w:rsidRPr="0071782F">
        <w:rPr>
          <w:lang w:val="fr-CH"/>
        </w:rPr>
        <w:t xml:space="preserve">liées à la </w:t>
      </w:r>
      <w:r w:rsidRPr="0071782F">
        <w:rPr>
          <w:lang w:val="fr-CH"/>
        </w:rPr>
        <w:t xml:space="preserve">culture, </w:t>
      </w:r>
      <w:r w:rsidR="00AA2741" w:rsidRPr="0071782F">
        <w:rPr>
          <w:lang w:val="fr-CH"/>
        </w:rPr>
        <w:t>afin d’améliorer la qualité des produits et de favoriser l’exportation de produits</w:t>
      </w:r>
      <w:r w:rsidR="00BF7680">
        <w:rPr>
          <w:lang w:val="fr-CH"/>
        </w:rPr>
        <w:t xml:space="preserve"> </w:t>
      </w:r>
      <w:r w:rsidRPr="0071782F">
        <w:rPr>
          <w:lang w:val="fr-CH"/>
        </w:rPr>
        <w:t>cultur</w:t>
      </w:r>
      <w:r w:rsidR="00AA2741" w:rsidRPr="0071782F">
        <w:rPr>
          <w:lang w:val="fr-CH"/>
        </w:rPr>
        <w:t>els</w:t>
      </w:r>
      <w:r w:rsidRPr="0071782F">
        <w:rPr>
          <w:lang w:val="fr-CH"/>
        </w:rPr>
        <w:t>, artisti</w:t>
      </w:r>
      <w:r w:rsidR="00AA2741" w:rsidRPr="0071782F">
        <w:rPr>
          <w:lang w:val="fr-CH"/>
        </w:rPr>
        <w:t xml:space="preserve">ques et sportifs sur le plan </w:t>
      </w:r>
      <w:r w:rsidRPr="0071782F">
        <w:rPr>
          <w:lang w:val="fr-CH"/>
        </w:rPr>
        <w:t>international.</w:t>
      </w:r>
    </w:p>
    <w:p w:rsidR="00AD5035" w:rsidRPr="0071782F" w:rsidRDefault="00AA2741" w:rsidP="00930639">
      <w:pPr>
        <w:pStyle w:val="SingleTxtG"/>
        <w:ind w:left="1701"/>
        <w:rPr>
          <w:lang w:val="fr-CH"/>
        </w:rPr>
      </w:pPr>
      <w:r w:rsidRPr="0071782F">
        <w:rPr>
          <w:lang w:val="fr-CH"/>
        </w:rPr>
        <w:t>444.7.</w:t>
      </w:r>
      <w:r w:rsidRPr="0071782F">
        <w:rPr>
          <w:lang w:val="fr-CH"/>
        </w:rPr>
        <w:tab/>
        <w:t>Organis</w:t>
      </w:r>
      <w:r w:rsidR="00AD5035" w:rsidRPr="0071782F">
        <w:rPr>
          <w:lang w:val="fr-CH"/>
        </w:rPr>
        <w:t xml:space="preserve">ation </w:t>
      </w:r>
      <w:r w:rsidRPr="0071782F">
        <w:rPr>
          <w:lang w:val="fr-CH"/>
        </w:rPr>
        <w:t xml:space="preserve">du système de technologies de l’information dans le secteur culturel, la priorité étant accordée aux enfants, aux écoliers et aux étudiants </w:t>
      </w:r>
      <w:r w:rsidR="00EB2690" w:rsidRPr="0071782F">
        <w:rPr>
          <w:lang w:val="fr-CH"/>
        </w:rPr>
        <w:t xml:space="preserve">sur la base d’une réorientation du système de subventions, accordées non plus à la production, mais à la consommation, pour tous les groupes de la société et pour l’achat de produits culturels. </w:t>
      </w:r>
    </w:p>
    <w:p w:rsidR="00AD5035" w:rsidRPr="0071782F" w:rsidRDefault="00AD5035" w:rsidP="00930639">
      <w:pPr>
        <w:pStyle w:val="SingleTxtG"/>
        <w:ind w:left="1701"/>
        <w:rPr>
          <w:lang w:val="fr-CH"/>
        </w:rPr>
      </w:pPr>
      <w:r w:rsidRPr="0071782F">
        <w:rPr>
          <w:lang w:val="fr-CH"/>
        </w:rPr>
        <w:t>444.8.</w:t>
      </w:r>
      <w:r w:rsidRPr="0071782F">
        <w:rPr>
          <w:lang w:val="fr-CH"/>
        </w:rPr>
        <w:tab/>
      </w:r>
      <w:r w:rsidR="0029026D" w:rsidRPr="0071782F">
        <w:rPr>
          <w:lang w:val="fr-CH"/>
        </w:rPr>
        <w:t xml:space="preserve">Appui ou offre de </w:t>
      </w:r>
      <w:r w:rsidRPr="0071782F">
        <w:rPr>
          <w:lang w:val="fr-CH"/>
        </w:rPr>
        <w:t>coop</w:t>
      </w:r>
      <w:r w:rsidR="0029026D" w:rsidRPr="0071782F">
        <w:rPr>
          <w:lang w:val="fr-CH"/>
        </w:rPr>
        <w:t>é</w:t>
      </w:r>
      <w:r w:rsidRPr="0071782F">
        <w:rPr>
          <w:lang w:val="fr-CH"/>
        </w:rPr>
        <w:t xml:space="preserve">ration </w:t>
      </w:r>
      <w:r w:rsidR="0029026D" w:rsidRPr="0071782F">
        <w:rPr>
          <w:lang w:val="fr-CH"/>
        </w:rPr>
        <w:t xml:space="preserve">aux </w:t>
      </w:r>
      <w:r w:rsidRPr="0071782F">
        <w:rPr>
          <w:lang w:val="fr-CH"/>
        </w:rPr>
        <w:t>artist</w:t>
      </w:r>
      <w:r w:rsidR="0029026D" w:rsidRPr="0071782F">
        <w:rPr>
          <w:lang w:val="fr-CH"/>
        </w:rPr>
        <w:t>e</w:t>
      </w:r>
      <w:r w:rsidRPr="0071782F">
        <w:rPr>
          <w:lang w:val="fr-CH"/>
        </w:rPr>
        <w:t xml:space="preserve">s </w:t>
      </w:r>
      <w:r w:rsidR="0029026D" w:rsidRPr="0071782F">
        <w:rPr>
          <w:lang w:val="fr-CH"/>
        </w:rPr>
        <w:t xml:space="preserve">et propriétaires souhaitant créer des </w:t>
      </w:r>
      <w:r w:rsidRPr="0071782F">
        <w:rPr>
          <w:lang w:val="fr-CH"/>
        </w:rPr>
        <w:t>mus</w:t>
      </w:r>
      <w:r w:rsidR="0029026D" w:rsidRPr="0071782F">
        <w:rPr>
          <w:lang w:val="fr-CH"/>
        </w:rPr>
        <w:t>ée</w:t>
      </w:r>
      <w:r w:rsidRPr="0071782F">
        <w:rPr>
          <w:lang w:val="fr-CH"/>
        </w:rPr>
        <w:t xml:space="preserve">s </w:t>
      </w:r>
      <w:r w:rsidR="0029026D" w:rsidRPr="0071782F">
        <w:rPr>
          <w:lang w:val="fr-CH"/>
        </w:rPr>
        <w:t xml:space="preserve">pour abriter leurs </w:t>
      </w:r>
      <w:r w:rsidR="00D5366B" w:rsidRPr="0071782F">
        <w:rPr>
          <w:lang w:val="fr-CH"/>
        </w:rPr>
        <w:t>œuvre</w:t>
      </w:r>
      <w:r w:rsidR="0029026D" w:rsidRPr="0071782F">
        <w:rPr>
          <w:lang w:val="fr-CH"/>
        </w:rPr>
        <w:t xml:space="preserve">s d’art ou bibliothèques personnelles, y compris en mettant à leur disposition des espaces publics </w:t>
      </w:r>
      <w:r w:rsidR="00E6355E" w:rsidRPr="0071782F">
        <w:rPr>
          <w:lang w:val="fr-CH"/>
        </w:rPr>
        <w:t xml:space="preserve">dans le cadre </w:t>
      </w:r>
      <w:r w:rsidR="0029026D" w:rsidRPr="0071782F">
        <w:rPr>
          <w:lang w:val="fr-CH"/>
        </w:rPr>
        <w:t>de prêt</w:t>
      </w:r>
      <w:r w:rsidR="00E6355E" w:rsidRPr="0071782F">
        <w:rPr>
          <w:lang w:val="fr-CH"/>
        </w:rPr>
        <w:t>s</w:t>
      </w:r>
      <w:r w:rsidR="0029026D" w:rsidRPr="0071782F">
        <w:rPr>
          <w:lang w:val="fr-CH"/>
        </w:rPr>
        <w:t>, avec la coopé</w:t>
      </w:r>
      <w:r w:rsidRPr="0071782F">
        <w:rPr>
          <w:lang w:val="fr-CH"/>
        </w:rPr>
        <w:t xml:space="preserve">ration </w:t>
      </w:r>
      <w:r w:rsidR="0029026D" w:rsidRPr="0071782F">
        <w:rPr>
          <w:lang w:val="fr-CH"/>
        </w:rPr>
        <w:t xml:space="preserve">du </w:t>
      </w:r>
      <w:r w:rsidRPr="0071782F">
        <w:rPr>
          <w:lang w:val="fr-CH"/>
        </w:rPr>
        <w:t>Minist</w:t>
      </w:r>
      <w:r w:rsidR="0029026D" w:rsidRPr="0071782F">
        <w:rPr>
          <w:lang w:val="fr-CH"/>
        </w:rPr>
        <w:t>ère de la c</w:t>
      </w:r>
      <w:r w:rsidRPr="0071782F">
        <w:rPr>
          <w:lang w:val="fr-CH"/>
        </w:rPr>
        <w:t xml:space="preserve">ulture </w:t>
      </w:r>
      <w:r w:rsidR="0029026D" w:rsidRPr="0071782F">
        <w:rPr>
          <w:lang w:val="fr-CH"/>
        </w:rPr>
        <w:t>et de l’orientation i</w:t>
      </w:r>
      <w:r w:rsidRPr="0071782F">
        <w:rPr>
          <w:lang w:val="fr-CH"/>
        </w:rPr>
        <w:t>slami</w:t>
      </w:r>
      <w:r w:rsidR="0029026D" w:rsidRPr="0071782F">
        <w:rPr>
          <w:lang w:val="fr-CH"/>
        </w:rPr>
        <w:t>que</w:t>
      </w:r>
      <w:r w:rsidRPr="0071782F">
        <w:rPr>
          <w:lang w:val="fr-CH"/>
        </w:rPr>
        <w:t xml:space="preserve">, </w:t>
      </w:r>
      <w:r w:rsidR="0029026D" w:rsidRPr="0071782F">
        <w:rPr>
          <w:lang w:val="fr-CH"/>
        </w:rPr>
        <w:t xml:space="preserve">du </w:t>
      </w:r>
      <w:r w:rsidRPr="0071782F">
        <w:rPr>
          <w:lang w:val="fr-CH"/>
        </w:rPr>
        <w:t>Minist</w:t>
      </w:r>
      <w:r w:rsidR="0029026D" w:rsidRPr="0071782F">
        <w:rPr>
          <w:lang w:val="fr-CH"/>
        </w:rPr>
        <w:t>ère du logement et de l’aménagement urbain et de toutes les municipalités et organisations connexes</w:t>
      </w:r>
      <w:r w:rsidRPr="0071782F">
        <w:rPr>
          <w:lang w:val="fr-CH"/>
        </w:rPr>
        <w:t>.</w:t>
      </w:r>
    </w:p>
    <w:p w:rsidR="00AD5035" w:rsidRPr="0071782F" w:rsidRDefault="00AD5035" w:rsidP="00AB2503">
      <w:pPr>
        <w:pStyle w:val="SingleTxtG"/>
        <w:tabs>
          <w:tab w:val="left" w:pos="3822"/>
        </w:tabs>
        <w:ind w:left="1701"/>
        <w:rPr>
          <w:lang w:val="fr-CH"/>
        </w:rPr>
      </w:pPr>
      <w:r w:rsidRPr="0071782F">
        <w:rPr>
          <w:lang w:val="fr-CH"/>
        </w:rPr>
        <w:t xml:space="preserve">444.10. </w:t>
      </w:r>
      <w:r w:rsidR="00AB2503" w:rsidRPr="0071782F">
        <w:rPr>
          <w:lang w:val="fr-CH"/>
        </w:rPr>
        <w:t>L’État est habilité à affecter</w:t>
      </w:r>
      <w:r w:rsidRPr="0071782F">
        <w:rPr>
          <w:lang w:val="fr-CH"/>
        </w:rPr>
        <w:t xml:space="preserve"> 0</w:t>
      </w:r>
      <w:r w:rsidR="00AB2503" w:rsidRPr="0071782F">
        <w:rPr>
          <w:lang w:val="fr-CH"/>
        </w:rPr>
        <w:t>,</w:t>
      </w:r>
      <w:r w:rsidRPr="0071782F">
        <w:rPr>
          <w:lang w:val="fr-CH"/>
        </w:rPr>
        <w:t>5</w:t>
      </w:r>
      <w:r w:rsidR="007E5125" w:rsidRPr="0071782F">
        <w:rPr>
          <w:lang w:val="fr-CH"/>
        </w:rPr>
        <w:t>%</w:t>
      </w:r>
      <w:r w:rsidR="00AB2503" w:rsidRPr="0071782F">
        <w:rPr>
          <w:lang w:val="fr-CH"/>
        </w:rPr>
        <w:t xml:space="preserve"> du </w:t>
      </w:r>
      <w:r w:rsidRPr="0071782F">
        <w:rPr>
          <w:lang w:val="fr-CH"/>
        </w:rPr>
        <w:t xml:space="preserve">budget </w:t>
      </w:r>
      <w:r w:rsidR="00AB2503" w:rsidRPr="0071782F">
        <w:rPr>
          <w:lang w:val="fr-CH"/>
        </w:rPr>
        <w:t xml:space="preserve">des entités visées à </w:t>
      </w:r>
      <w:r w:rsidR="00723F2B" w:rsidRPr="0071782F">
        <w:rPr>
          <w:lang w:val="fr-CH"/>
        </w:rPr>
        <w:t>l’</w:t>
      </w:r>
      <w:r w:rsidR="00943A69" w:rsidRPr="0071782F">
        <w:rPr>
          <w:lang w:val="fr-CH"/>
        </w:rPr>
        <w:t>article </w:t>
      </w:r>
      <w:r w:rsidRPr="0071782F">
        <w:rPr>
          <w:lang w:val="fr-CH"/>
        </w:rPr>
        <w:t xml:space="preserve">160 </w:t>
      </w:r>
      <w:r w:rsidR="00AB2503" w:rsidRPr="0071782F">
        <w:rPr>
          <w:lang w:val="fr-CH"/>
        </w:rPr>
        <w:t xml:space="preserve">de la présente loi, avec l’autorisation du directeur de l’organisation, à des activités </w:t>
      </w:r>
      <w:r w:rsidRPr="0071782F">
        <w:rPr>
          <w:lang w:val="fr-CH"/>
        </w:rPr>
        <w:t>cultur</w:t>
      </w:r>
      <w:r w:rsidR="00AB2503" w:rsidRPr="0071782F">
        <w:rPr>
          <w:lang w:val="fr-CH"/>
        </w:rPr>
        <w:t>elles</w:t>
      </w:r>
      <w:r w:rsidRPr="0071782F">
        <w:rPr>
          <w:lang w:val="fr-CH"/>
        </w:rPr>
        <w:t>, artisti</w:t>
      </w:r>
      <w:r w:rsidR="00AB2503" w:rsidRPr="0071782F">
        <w:rPr>
          <w:lang w:val="fr-CH"/>
        </w:rPr>
        <w:t>ques</w:t>
      </w:r>
      <w:r w:rsidRPr="0071782F">
        <w:rPr>
          <w:lang w:val="fr-CH"/>
        </w:rPr>
        <w:t>, cin</w:t>
      </w:r>
      <w:r w:rsidR="00AB2503" w:rsidRPr="0071782F">
        <w:rPr>
          <w:lang w:val="fr-CH"/>
        </w:rPr>
        <w:t>ématographiques et médiatiques destinées à promouvoir parmi leurs employés l’éthique musulmane et la connaissance de l’islam</w:t>
      </w:r>
      <w:r w:rsidRPr="0071782F">
        <w:rPr>
          <w:lang w:val="fr-CH"/>
        </w:rPr>
        <w:t xml:space="preserve">. </w:t>
      </w:r>
    </w:p>
    <w:p w:rsidR="00AD5035" w:rsidRPr="0071782F" w:rsidRDefault="00AB2503" w:rsidP="00930639">
      <w:pPr>
        <w:pStyle w:val="SingleTxtG"/>
        <w:ind w:left="1701"/>
        <w:rPr>
          <w:lang w:val="fr-CH"/>
        </w:rPr>
      </w:pPr>
      <w:r w:rsidRPr="0071782F">
        <w:rPr>
          <w:lang w:val="fr-CH"/>
        </w:rPr>
        <w:t xml:space="preserve">444.11. Le règlement d’application de ce </w:t>
      </w:r>
      <w:r w:rsidR="00723F2B" w:rsidRPr="0071782F">
        <w:rPr>
          <w:lang w:val="fr-CH"/>
        </w:rPr>
        <w:t>paragraphe </w:t>
      </w:r>
      <w:r w:rsidRPr="0071782F">
        <w:rPr>
          <w:lang w:val="fr-CH"/>
        </w:rPr>
        <w:t>sera établi par le Ministère de la c</w:t>
      </w:r>
      <w:r w:rsidR="00AD5035" w:rsidRPr="0071782F">
        <w:rPr>
          <w:lang w:val="fr-CH"/>
        </w:rPr>
        <w:t xml:space="preserve">ulture </w:t>
      </w:r>
      <w:r w:rsidRPr="0071782F">
        <w:rPr>
          <w:lang w:val="fr-CH"/>
        </w:rPr>
        <w:t>et de l’orientation islamique et l’Organisme public de gestion et de planification, avant d’être présenté au Conseil des ministres pour approbation.</w:t>
      </w:r>
    </w:p>
    <w:p w:rsidR="00AD5035" w:rsidRPr="0071782F" w:rsidRDefault="00AD5035" w:rsidP="00930639">
      <w:pPr>
        <w:pStyle w:val="SingleTxtG"/>
        <w:ind w:left="1701"/>
        <w:rPr>
          <w:lang w:val="fr-CH"/>
        </w:rPr>
      </w:pPr>
      <w:r w:rsidRPr="0071782F">
        <w:rPr>
          <w:lang w:val="fr-CH"/>
        </w:rPr>
        <w:t xml:space="preserve">444.12. </w:t>
      </w:r>
      <w:r w:rsidR="00AB2503" w:rsidRPr="0071782F">
        <w:rPr>
          <w:lang w:val="fr-CH"/>
        </w:rPr>
        <w:t xml:space="preserve">Conformément aux caractéristiques </w:t>
      </w:r>
      <w:r w:rsidRPr="0071782F">
        <w:rPr>
          <w:lang w:val="fr-CH"/>
        </w:rPr>
        <w:t>d</w:t>
      </w:r>
      <w:r w:rsidR="00AB2503" w:rsidRPr="0071782F">
        <w:rPr>
          <w:lang w:val="fr-CH"/>
        </w:rPr>
        <w:t>é</w:t>
      </w:r>
      <w:r w:rsidRPr="0071782F">
        <w:rPr>
          <w:lang w:val="fr-CH"/>
        </w:rPr>
        <w:t>mographi</w:t>
      </w:r>
      <w:r w:rsidR="00AB2503" w:rsidRPr="0071782F">
        <w:rPr>
          <w:lang w:val="fr-CH"/>
        </w:rPr>
        <w:t>ques</w:t>
      </w:r>
      <w:r w:rsidRPr="0071782F">
        <w:rPr>
          <w:lang w:val="fr-CH"/>
        </w:rPr>
        <w:t>, social</w:t>
      </w:r>
      <w:r w:rsidR="00AB2503" w:rsidRPr="0071782F">
        <w:rPr>
          <w:lang w:val="fr-CH"/>
        </w:rPr>
        <w:t xml:space="preserve">es et </w:t>
      </w:r>
      <w:r w:rsidRPr="0071782F">
        <w:rPr>
          <w:lang w:val="fr-CH"/>
        </w:rPr>
        <w:t>cultur</w:t>
      </w:r>
      <w:r w:rsidR="00AB2503" w:rsidRPr="0071782F">
        <w:rPr>
          <w:lang w:val="fr-CH"/>
        </w:rPr>
        <w:t xml:space="preserve">elles </w:t>
      </w:r>
      <w:r w:rsidR="00156DE3" w:rsidRPr="0071782F">
        <w:rPr>
          <w:lang w:val="fr-CH"/>
        </w:rPr>
        <w:t>et</w:t>
      </w:r>
      <w:r w:rsidR="00C70344" w:rsidRPr="0071782F">
        <w:rPr>
          <w:lang w:val="fr-CH"/>
        </w:rPr>
        <w:t xml:space="preserve"> aux besoins minimaux, adopter, en </w:t>
      </w:r>
      <w:r w:rsidRPr="0071782F">
        <w:rPr>
          <w:lang w:val="fr-CH"/>
        </w:rPr>
        <w:t xml:space="preserve">collaboration </w:t>
      </w:r>
      <w:r w:rsidR="00BC27A9" w:rsidRPr="0071782F">
        <w:rPr>
          <w:lang w:val="fr-CH"/>
        </w:rPr>
        <w:t>avec le secteur</w:t>
      </w:r>
      <w:r w:rsidR="00C70344" w:rsidRPr="0071782F">
        <w:rPr>
          <w:lang w:val="fr-CH"/>
        </w:rPr>
        <w:t xml:space="preserve"> privé et </w:t>
      </w:r>
      <w:r w:rsidR="00BC27A9" w:rsidRPr="0071782F">
        <w:rPr>
          <w:lang w:val="fr-CH"/>
        </w:rPr>
        <w:t xml:space="preserve">celui des </w:t>
      </w:r>
      <w:r w:rsidR="00C70344" w:rsidRPr="0071782F">
        <w:rPr>
          <w:lang w:val="fr-CH"/>
        </w:rPr>
        <w:t>coopérati</w:t>
      </w:r>
      <w:r w:rsidR="00BC27A9" w:rsidRPr="0071782F">
        <w:rPr>
          <w:lang w:val="fr-CH"/>
        </w:rPr>
        <w:t>ves</w:t>
      </w:r>
      <w:r w:rsidR="00C70344" w:rsidRPr="0071782F">
        <w:rPr>
          <w:lang w:val="fr-CH"/>
        </w:rPr>
        <w:t xml:space="preserve">, les </w:t>
      </w:r>
      <w:r w:rsidRPr="0071782F">
        <w:rPr>
          <w:lang w:val="fr-CH"/>
        </w:rPr>
        <w:t>municipalit</w:t>
      </w:r>
      <w:r w:rsidR="00C70344" w:rsidRPr="0071782F">
        <w:rPr>
          <w:lang w:val="fr-CH"/>
        </w:rPr>
        <w:t>é</w:t>
      </w:r>
      <w:r w:rsidRPr="0071782F">
        <w:rPr>
          <w:lang w:val="fr-CH"/>
        </w:rPr>
        <w:t>s</w:t>
      </w:r>
      <w:r w:rsidR="00C70344" w:rsidRPr="0071782F">
        <w:rPr>
          <w:lang w:val="fr-CH"/>
        </w:rPr>
        <w:t xml:space="preserve"> et les ressources publiques</w:t>
      </w:r>
      <w:r w:rsidRPr="0071782F">
        <w:rPr>
          <w:lang w:val="fr-CH"/>
        </w:rPr>
        <w:t xml:space="preserve">, </w:t>
      </w:r>
      <w:r w:rsidR="00C70344" w:rsidRPr="0071782F">
        <w:rPr>
          <w:lang w:val="fr-CH"/>
        </w:rPr>
        <w:t xml:space="preserve">des mesures pour créer dans toutes les villes, d’ici la fin du </w:t>
      </w:r>
      <w:r w:rsidR="00A90208" w:rsidRPr="0071782F">
        <w:rPr>
          <w:lang w:val="fr-CH"/>
        </w:rPr>
        <w:t>quatrième</w:t>
      </w:r>
      <w:r w:rsidR="00C70344" w:rsidRPr="0071782F">
        <w:rPr>
          <w:lang w:val="fr-CH"/>
        </w:rPr>
        <w:t xml:space="preserve"> plan de développement, des installations </w:t>
      </w:r>
      <w:r w:rsidRPr="0071782F">
        <w:rPr>
          <w:lang w:val="fr-CH"/>
        </w:rPr>
        <w:t>c</w:t>
      </w:r>
      <w:r w:rsidR="00C70344" w:rsidRPr="0071782F">
        <w:rPr>
          <w:lang w:val="fr-CH"/>
        </w:rPr>
        <w:t>ulturelles et</w:t>
      </w:r>
      <w:r w:rsidRPr="0071782F">
        <w:rPr>
          <w:lang w:val="fr-CH"/>
        </w:rPr>
        <w:t xml:space="preserve"> </w:t>
      </w:r>
      <w:r w:rsidR="00C70344" w:rsidRPr="0071782F">
        <w:rPr>
          <w:lang w:val="fr-CH"/>
        </w:rPr>
        <w:t>artistiques</w:t>
      </w:r>
      <w:r w:rsidRPr="0071782F">
        <w:rPr>
          <w:lang w:val="fr-CH"/>
        </w:rPr>
        <w:t xml:space="preserve"> </w:t>
      </w:r>
      <w:r w:rsidR="00C70344" w:rsidRPr="0071782F">
        <w:rPr>
          <w:lang w:val="fr-CH"/>
        </w:rPr>
        <w:t>telles que des bibliothèques centrales, des locaux artistiques et culturels, des complexes cinématographiques, des musées d’art moderne et des sites pour expositions culturelles et artistiques permanentes</w:t>
      </w:r>
      <w:r w:rsidRPr="0071782F">
        <w:rPr>
          <w:lang w:val="fr-CH"/>
        </w:rPr>
        <w:t>.</w:t>
      </w:r>
    </w:p>
    <w:p w:rsidR="00AD5035" w:rsidRPr="0071782F" w:rsidRDefault="00AD5035" w:rsidP="00930639">
      <w:pPr>
        <w:pStyle w:val="SingleTxtG"/>
        <w:ind w:left="1701"/>
        <w:rPr>
          <w:lang w:val="fr-CH"/>
        </w:rPr>
      </w:pPr>
      <w:r w:rsidRPr="0071782F">
        <w:rPr>
          <w:lang w:val="fr-CH"/>
        </w:rPr>
        <w:t xml:space="preserve">444.13. </w:t>
      </w:r>
      <w:r w:rsidR="00C70344" w:rsidRPr="0071782F">
        <w:rPr>
          <w:lang w:val="fr-CH"/>
        </w:rPr>
        <w:t>Financer 50</w:t>
      </w:r>
      <w:r w:rsidR="007E5125" w:rsidRPr="0071782F">
        <w:rPr>
          <w:lang w:val="fr-CH"/>
        </w:rPr>
        <w:t>%</w:t>
      </w:r>
      <w:r w:rsidR="00C70344" w:rsidRPr="0071782F">
        <w:rPr>
          <w:lang w:val="fr-CH"/>
        </w:rPr>
        <w:t xml:space="preserve"> du coût d’achèvement de centres culturels et artistiques privés non achevés pour lesquels existe une demande sociale</w:t>
      </w:r>
      <w:r w:rsidRPr="0071782F">
        <w:rPr>
          <w:lang w:val="fr-CH"/>
        </w:rPr>
        <w:t xml:space="preserve">, </w:t>
      </w:r>
      <w:r w:rsidR="00C70344" w:rsidRPr="0071782F">
        <w:rPr>
          <w:lang w:val="fr-CH"/>
        </w:rPr>
        <w:t xml:space="preserve">conformément au règlement </w:t>
      </w:r>
      <w:r w:rsidR="00316F0D" w:rsidRPr="0071782F">
        <w:rPr>
          <w:lang w:val="fr-CH"/>
        </w:rPr>
        <w:t>adopté</w:t>
      </w:r>
      <w:r w:rsidR="00C70344" w:rsidRPr="0071782F">
        <w:rPr>
          <w:lang w:val="fr-CH"/>
        </w:rPr>
        <w:t xml:space="preserve"> par le Conseil</w:t>
      </w:r>
      <w:r w:rsidR="00316F0D" w:rsidRPr="0071782F">
        <w:rPr>
          <w:lang w:val="fr-CH"/>
        </w:rPr>
        <w:t xml:space="preserve"> des ministres</w:t>
      </w:r>
      <w:r w:rsidRPr="0071782F">
        <w:rPr>
          <w:lang w:val="fr-CH"/>
        </w:rPr>
        <w:t xml:space="preserve">. </w:t>
      </w:r>
      <w:r w:rsidR="00316F0D" w:rsidRPr="0071782F">
        <w:rPr>
          <w:lang w:val="fr-CH"/>
        </w:rPr>
        <w:t>En cas de privatisation de ces centres, les fonds doivent être remboursés aux prix courants.</w:t>
      </w:r>
    </w:p>
    <w:p w:rsidR="00AD5035" w:rsidRPr="0071782F" w:rsidRDefault="00AD5035" w:rsidP="00930639">
      <w:pPr>
        <w:pStyle w:val="SingleTxtG"/>
        <w:ind w:left="1701"/>
        <w:rPr>
          <w:lang w:val="fr-CH"/>
        </w:rPr>
      </w:pPr>
      <w:r w:rsidRPr="0071782F">
        <w:rPr>
          <w:lang w:val="fr-CH"/>
        </w:rPr>
        <w:t xml:space="preserve">444.14. </w:t>
      </w:r>
      <w:r w:rsidR="00316F0D" w:rsidRPr="0071782F">
        <w:rPr>
          <w:lang w:val="fr-CH"/>
        </w:rPr>
        <w:t xml:space="preserve">Toutes les organisations visées par </w:t>
      </w:r>
      <w:r w:rsidR="00723F2B" w:rsidRPr="0071782F">
        <w:rPr>
          <w:lang w:val="fr-CH"/>
        </w:rPr>
        <w:t>l’</w:t>
      </w:r>
      <w:r w:rsidR="00943A69" w:rsidRPr="0071782F">
        <w:rPr>
          <w:lang w:val="fr-CH"/>
        </w:rPr>
        <w:t>article </w:t>
      </w:r>
      <w:r w:rsidRPr="0071782F">
        <w:rPr>
          <w:lang w:val="fr-CH"/>
        </w:rPr>
        <w:t xml:space="preserve">160 </w:t>
      </w:r>
      <w:r w:rsidR="00316F0D" w:rsidRPr="0071782F">
        <w:rPr>
          <w:lang w:val="fr-CH"/>
        </w:rPr>
        <w:t xml:space="preserve">de la présente loi sont tenues de mettre les espaces culturels, artistiques et sportifs en leur possession à la disposition </w:t>
      </w:r>
      <w:r w:rsidR="007F37CE" w:rsidRPr="0071782F">
        <w:rPr>
          <w:lang w:val="fr-CH"/>
        </w:rPr>
        <w:t>des personnes</w:t>
      </w:r>
      <w:r w:rsidR="00316F0D" w:rsidRPr="0071782F">
        <w:rPr>
          <w:lang w:val="fr-CH"/>
        </w:rPr>
        <w:t xml:space="preserve"> qui en sollicitent l’utilisation aux fins d’activités culturelles, artistiques et sportives, conformément au règlement que le Conseil des ministres doit adopter</w:t>
      </w:r>
      <w:r w:rsidRPr="0071782F">
        <w:rPr>
          <w:lang w:val="fr-CH"/>
        </w:rPr>
        <w:t>.</w:t>
      </w:r>
      <w:r w:rsidR="00A62149" w:rsidRPr="0071782F">
        <w:rPr>
          <w:lang w:val="fr-CH"/>
        </w:rPr>
        <w:t>"</w:t>
      </w:r>
    </w:p>
    <w:p w:rsidR="00AD5035" w:rsidRPr="0071782F" w:rsidRDefault="00AD5035" w:rsidP="00930639">
      <w:pPr>
        <w:pStyle w:val="SingleTxtG"/>
        <w:rPr>
          <w:lang w:val="fr-CH"/>
        </w:rPr>
      </w:pPr>
      <w:r w:rsidRPr="0071782F">
        <w:rPr>
          <w:lang w:val="fr-CH"/>
        </w:rPr>
        <w:t>445.</w:t>
      </w:r>
      <w:r w:rsidRPr="0071782F">
        <w:rPr>
          <w:lang w:val="fr-CH"/>
        </w:rPr>
        <w:tab/>
      </w:r>
      <w:r w:rsidR="00316F0D" w:rsidRPr="0071782F">
        <w:rPr>
          <w:lang w:val="fr-CH"/>
        </w:rPr>
        <w:t xml:space="preserve">En vertu de </w:t>
      </w:r>
      <w:r w:rsidR="00723F2B" w:rsidRPr="0071782F">
        <w:rPr>
          <w:lang w:val="fr-CH"/>
        </w:rPr>
        <w:t>l’</w:t>
      </w:r>
      <w:r w:rsidR="00943A69" w:rsidRPr="0071782F">
        <w:rPr>
          <w:lang w:val="fr-CH"/>
        </w:rPr>
        <w:t>article </w:t>
      </w:r>
      <w:r w:rsidRPr="0071782F">
        <w:rPr>
          <w:lang w:val="fr-CH"/>
        </w:rPr>
        <w:t>105</w:t>
      </w:r>
      <w:r w:rsidR="00316F0D" w:rsidRPr="0071782F">
        <w:rPr>
          <w:lang w:val="fr-CH"/>
        </w:rPr>
        <w:t>,</w:t>
      </w:r>
    </w:p>
    <w:p w:rsidR="00AD5035" w:rsidRPr="0071782F" w:rsidRDefault="00A62149" w:rsidP="00930639">
      <w:pPr>
        <w:pStyle w:val="SingleTxtG"/>
        <w:ind w:left="1701"/>
        <w:rPr>
          <w:lang w:val="fr-CH"/>
        </w:rPr>
      </w:pPr>
      <w:r w:rsidRPr="0071782F">
        <w:rPr>
          <w:lang w:val="fr-CH"/>
        </w:rPr>
        <w:t>"</w:t>
      </w:r>
      <w:r w:rsidR="00FE4FE5" w:rsidRPr="0071782F">
        <w:rPr>
          <w:lang w:val="fr-CH"/>
        </w:rPr>
        <w:t xml:space="preserve">Les </w:t>
      </w:r>
      <w:r w:rsidR="00723F2B" w:rsidRPr="0071782F">
        <w:rPr>
          <w:lang w:val="fr-CH"/>
        </w:rPr>
        <w:t>articles </w:t>
      </w:r>
      <w:r w:rsidR="00FE4FE5" w:rsidRPr="0071782F">
        <w:rPr>
          <w:lang w:val="fr-CH"/>
        </w:rPr>
        <w:t>156 et</w:t>
      </w:r>
      <w:r w:rsidR="00AD5035" w:rsidRPr="0071782F">
        <w:rPr>
          <w:lang w:val="fr-CH"/>
        </w:rPr>
        <w:t xml:space="preserve"> 161</w:t>
      </w:r>
      <w:r w:rsidR="00FE4FE5" w:rsidRPr="0071782F">
        <w:rPr>
          <w:lang w:val="fr-CH"/>
        </w:rPr>
        <w:t xml:space="preserve"> et le </w:t>
      </w:r>
      <w:r w:rsidR="00723F2B" w:rsidRPr="0071782F">
        <w:rPr>
          <w:lang w:val="fr-CH"/>
        </w:rPr>
        <w:t>paragraphe </w:t>
      </w:r>
      <w:r w:rsidR="00AD5035" w:rsidRPr="0071782F">
        <w:rPr>
          <w:lang w:val="fr-CH"/>
        </w:rPr>
        <w:t xml:space="preserve">A </w:t>
      </w:r>
      <w:r w:rsidR="00FE4FE5" w:rsidRPr="0071782F">
        <w:rPr>
          <w:lang w:val="fr-CH"/>
        </w:rPr>
        <w:t xml:space="preserve">de </w:t>
      </w:r>
      <w:r w:rsidR="00723F2B" w:rsidRPr="0071782F">
        <w:rPr>
          <w:lang w:val="fr-CH"/>
        </w:rPr>
        <w:t>l’</w:t>
      </w:r>
      <w:r w:rsidR="00943A69" w:rsidRPr="0071782F">
        <w:rPr>
          <w:lang w:val="fr-CH"/>
        </w:rPr>
        <w:t>article </w:t>
      </w:r>
      <w:r w:rsidR="00AD5035" w:rsidRPr="0071782F">
        <w:rPr>
          <w:lang w:val="fr-CH"/>
        </w:rPr>
        <w:t xml:space="preserve">162 </w:t>
      </w:r>
      <w:r w:rsidR="00FE4FE5" w:rsidRPr="0071782F">
        <w:rPr>
          <w:lang w:val="fr-CH"/>
        </w:rPr>
        <w:t xml:space="preserve">du </w:t>
      </w:r>
      <w:r w:rsidR="009E6189">
        <w:rPr>
          <w:lang w:val="fr-CH"/>
        </w:rPr>
        <w:t xml:space="preserve">troisième </w:t>
      </w:r>
      <w:r w:rsidR="00FE4FE5" w:rsidRPr="0071782F">
        <w:rPr>
          <w:lang w:val="fr-CH"/>
        </w:rPr>
        <w:t>plan de développement économique</w:t>
      </w:r>
      <w:r w:rsidR="00AD5035" w:rsidRPr="0071782F">
        <w:rPr>
          <w:lang w:val="fr-CH"/>
        </w:rPr>
        <w:t xml:space="preserve">, social </w:t>
      </w:r>
      <w:r w:rsidR="00FE4FE5" w:rsidRPr="0071782F">
        <w:rPr>
          <w:lang w:val="fr-CH"/>
        </w:rPr>
        <w:t>et</w:t>
      </w:r>
      <w:r w:rsidR="00AD5035" w:rsidRPr="0071782F">
        <w:rPr>
          <w:lang w:val="fr-CH"/>
        </w:rPr>
        <w:t xml:space="preserve"> cultur</w:t>
      </w:r>
      <w:r w:rsidR="00FE4FE5" w:rsidRPr="0071782F">
        <w:rPr>
          <w:lang w:val="fr-CH"/>
        </w:rPr>
        <w:t>e</w:t>
      </w:r>
      <w:r w:rsidR="00AD5035" w:rsidRPr="0071782F">
        <w:rPr>
          <w:lang w:val="fr-CH"/>
        </w:rPr>
        <w:t xml:space="preserve">l </w:t>
      </w:r>
      <w:r w:rsidR="00FE4FE5" w:rsidRPr="0071782F">
        <w:rPr>
          <w:lang w:val="fr-CH"/>
        </w:rPr>
        <w:t xml:space="preserve">de la République islamique d’Iran, adopté le 6 avril </w:t>
      </w:r>
      <w:r w:rsidR="00AD5035" w:rsidRPr="0071782F">
        <w:rPr>
          <w:lang w:val="fr-CH"/>
        </w:rPr>
        <w:t xml:space="preserve">2000, </w:t>
      </w:r>
      <w:r w:rsidR="00FE4FE5" w:rsidRPr="0071782F">
        <w:rPr>
          <w:lang w:val="fr-CH"/>
        </w:rPr>
        <w:t xml:space="preserve">et les modifications apportées par le </w:t>
      </w:r>
      <w:r w:rsidR="00A90208" w:rsidRPr="0071782F">
        <w:rPr>
          <w:lang w:val="fr-CH"/>
        </w:rPr>
        <w:t>quatrième</w:t>
      </w:r>
      <w:r w:rsidR="00FE4FE5" w:rsidRPr="0071782F">
        <w:rPr>
          <w:lang w:val="fr-CH"/>
        </w:rPr>
        <w:t xml:space="preserve"> plan de développement économique, social et culturel de la République islamique d’Iran </w:t>
      </w:r>
      <w:r w:rsidR="00AD5035" w:rsidRPr="0071782F">
        <w:rPr>
          <w:lang w:val="fr-CH"/>
        </w:rPr>
        <w:t>(2005</w:t>
      </w:r>
      <w:r w:rsidR="00FE4FE5" w:rsidRPr="0071782F">
        <w:rPr>
          <w:lang w:val="fr-CH"/>
        </w:rPr>
        <w:t>-</w:t>
      </w:r>
      <w:r w:rsidR="00AD5035" w:rsidRPr="0071782F">
        <w:rPr>
          <w:lang w:val="fr-CH"/>
        </w:rPr>
        <w:t xml:space="preserve">2009) </w:t>
      </w:r>
      <w:r w:rsidR="00FE4FE5" w:rsidRPr="0071782F">
        <w:rPr>
          <w:lang w:val="fr-CH"/>
        </w:rPr>
        <w:t xml:space="preserve">sont ainsi </w:t>
      </w:r>
      <w:r w:rsidR="00AD5035" w:rsidRPr="0071782F">
        <w:rPr>
          <w:lang w:val="fr-CH"/>
        </w:rPr>
        <w:t>notifi</w:t>
      </w:r>
      <w:r w:rsidR="00FE4FE5" w:rsidRPr="0071782F">
        <w:rPr>
          <w:lang w:val="fr-CH"/>
        </w:rPr>
        <w:t>és</w:t>
      </w:r>
      <w:r w:rsidR="00AD5035" w:rsidRPr="0071782F">
        <w:rPr>
          <w:lang w:val="fr-CH"/>
        </w:rPr>
        <w:t>.</w:t>
      </w:r>
      <w:r w:rsidRPr="0071782F">
        <w:rPr>
          <w:lang w:val="fr-CH"/>
        </w:rPr>
        <w:t>"</w:t>
      </w:r>
      <w:r w:rsidR="00AD5035" w:rsidRPr="0071782F">
        <w:rPr>
          <w:lang w:val="fr-CH"/>
        </w:rPr>
        <w:t xml:space="preserve"> </w:t>
      </w:r>
    </w:p>
    <w:p w:rsidR="00AD5035" w:rsidRPr="0071782F" w:rsidRDefault="00FE4FE5" w:rsidP="00930639">
      <w:pPr>
        <w:pStyle w:val="SingleTxtG"/>
        <w:rPr>
          <w:lang w:val="fr-CH"/>
        </w:rPr>
      </w:pPr>
      <w:r w:rsidRPr="0071782F">
        <w:rPr>
          <w:lang w:val="fr-CH"/>
        </w:rPr>
        <w:t>446.</w:t>
      </w:r>
      <w:r w:rsidRPr="0071782F">
        <w:rPr>
          <w:lang w:val="fr-CH"/>
        </w:rPr>
        <w:tab/>
      </w:r>
      <w:r w:rsidR="00723F2B" w:rsidRPr="0071782F">
        <w:rPr>
          <w:lang w:val="fr-CH"/>
        </w:rPr>
        <w:t>L’</w:t>
      </w:r>
      <w:r w:rsidR="00943A69" w:rsidRPr="0071782F">
        <w:rPr>
          <w:lang w:val="fr-CH"/>
        </w:rPr>
        <w:t>article </w:t>
      </w:r>
      <w:r w:rsidRPr="0071782F">
        <w:rPr>
          <w:lang w:val="fr-CH"/>
        </w:rPr>
        <w:t xml:space="preserve">156 du </w:t>
      </w:r>
      <w:r w:rsidR="009E6189">
        <w:rPr>
          <w:lang w:val="fr-CH"/>
        </w:rPr>
        <w:t>troisième</w:t>
      </w:r>
      <w:r w:rsidRPr="0071782F">
        <w:rPr>
          <w:lang w:val="fr-CH"/>
        </w:rPr>
        <w:t xml:space="preserve"> plan de développement est ainsi libellé</w:t>
      </w:r>
      <w:r w:rsidR="008F7D33" w:rsidRPr="0071782F">
        <w:rPr>
          <w:lang w:val="fr-CH"/>
        </w:rPr>
        <w:t>:</w:t>
      </w:r>
    </w:p>
    <w:p w:rsidR="00AD5035" w:rsidRPr="0071782F" w:rsidRDefault="00A62149" w:rsidP="00930639">
      <w:pPr>
        <w:pStyle w:val="SingleTxtG"/>
        <w:ind w:left="1701"/>
        <w:rPr>
          <w:lang w:val="fr-CH"/>
        </w:rPr>
      </w:pPr>
      <w:r w:rsidRPr="0071782F">
        <w:rPr>
          <w:lang w:val="fr-CH"/>
        </w:rPr>
        <w:t>"</w:t>
      </w:r>
      <w:r w:rsidR="00FE4FE5" w:rsidRPr="0071782F">
        <w:rPr>
          <w:lang w:val="fr-CH"/>
        </w:rPr>
        <w:t>Afin que les capacités des conseils islamiques des villes e</w:t>
      </w:r>
      <w:r w:rsidR="00FD3363" w:rsidRPr="0071782F">
        <w:rPr>
          <w:lang w:val="fr-CH"/>
        </w:rPr>
        <w:t>t des villages puissent être ut</w:t>
      </w:r>
      <w:r w:rsidR="00FE4FE5" w:rsidRPr="0071782F">
        <w:rPr>
          <w:lang w:val="fr-CH"/>
        </w:rPr>
        <w:t>ilisées pour gérer les affaires religieuses et culturelles, ces conseils sont tenus, en sus des obligations prescrites par la loi qui les a créés, d’exercer les responsabilités ci-après</w:t>
      </w:r>
      <w:r w:rsidR="008F7D33" w:rsidRPr="0071782F">
        <w:rPr>
          <w:lang w:val="fr-CH"/>
        </w:rPr>
        <w:t>:</w:t>
      </w:r>
    </w:p>
    <w:p w:rsidR="00AD5035" w:rsidRPr="0071782F" w:rsidRDefault="00AD5035" w:rsidP="00930639">
      <w:pPr>
        <w:pStyle w:val="SingleTxtG"/>
        <w:ind w:left="1701"/>
        <w:rPr>
          <w:lang w:val="fr-CH"/>
        </w:rPr>
      </w:pPr>
      <w:r w:rsidRPr="0071782F">
        <w:rPr>
          <w:lang w:val="fr-CH"/>
        </w:rPr>
        <w:t>446.1.</w:t>
      </w:r>
      <w:r w:rsidRPr="0071782F">
        <w:rPr>
          <w:lang w:val="fr-CH"/>
        </w:rPr>
        <w:tab/>
        <w:t>Exam</w:t>
      </w:r>
      <w:r w:rsidR="00FE4FE5" w:rsidRPr="0071782F">
        <w:rPr>
          <w:lang w:val="fr-CH"/>
        </w:rPr>
        <w:t>iner les carences sur les plans culture</w:t>
      </w:r>
      <w:r w:rsidRPr="0071782F">
        <w:rPr>
          <w:lang w:val="fr-CH"/>
        </w:rPr>
        <w:t>l, artisti</w:t>
      </w:r>
      <w:r w:rsidR="00FE4FE5" w:rsidRPr="0071782F">
        <w:rPr>
          <w:lang w:val="fr-CH"/>
        </w:rPr>
        <w:t>que</w:t>
      </w:r>
      <w:r w:rsidRPr="0071782F">
        <w:rPr>
          <w:lang w:val="fr-CH"/>
        </w:rPr>
        <w:t>, sport</w:t>
      </w:r>
      <w:r w:rsidR="00FE4FE5" w:rsidRPr="0071782F">
        <w:rPr>
          <w:lang w:val="fr-CH"/>
        </w:rPr>
        <w:t>if et é</w:t>
      </w:r>
      <w:r w:rsidRPr="0071782F">
        <w:rPr>
          <w:lang w:val="fr-CH"/>
        </w:rPr>
        <w:t>ducati</w:t>
      </w:r>
      <w:r w:rsidR="00FE4FE5" w:rsidRPr="0071782F">
        <w:rPr>
          <w:lang w:val="fr-CH"/>
        </w:rPr>
        <w:t>f, et formuler les recomma</w:t>
      </w:r>
      <w:r w:rsidRPr="0071782F">
        <w:rPr>
          <w:lang w:val="fr-CH"/>
        </w:rPr>
        <w:t xml:space="preserve">ndations </w:t>
      </w:r>
      <w:r w:rsidR="00FE4FE5" w:rsidRPr="0071782F">
        <w:rPr>
          <w:lang w:val="fr-CH"/>
        </w:rPr>
        <w:t>qui s’imposent à l’intention des autorités et organisations compétentes</w:t>
      </w:r>
      <w:r w:rsidRPr="0071782F">
        <w:rPr>
          <w:lang w:val="fr-CH"/>
        </w:rPr>
        <w:t>.</w:t>
      </w:r>
    </w:p>
    <w:p w:rsidR="00AD5035" w:rsidRPr="0071782F" w:rsidRDefault="00AD5035" w:rsidP="00930639">
      <w:pPr>
        <w:pStyle w:val="SingleTxtG"/>
        <w:ind w:left="1701"/>
        <w:rPr>
          <w:lang w:val="fr-CH"/>
        </w:rPr>
      </w:pPr>
      <w:r w:rsidRPr="0071782F">
        <w:rPr>
          <w:lang w:val="fr-CH"/>
        </w:rPr>
        <w:t>446.2.</w:t>
      </w:r>
      <w:r w:rsidRPr="0071782F">
        <w:rPr>
          <w:lang w:val="fr-CH"/>
        </w:rPr>
        <w:tab/>
      </w:r>
      <w:r w:rsidR="00FE4FE5" w:rsidRPr="0071782F">
        <w:rPr>
          <w:lang w:val="fr-CH"/>
        </w:rPr>
        <w:t xml:space="preserve">Aider et </w:t>
      </w:r>
      <w:r w:rsidRPr="0071782F">
        <w:rPr>
          <w:lang w:val="fr-CH"/>
        </w:rPr>
        <w:t>particip</w:t>
      </w:r>
      <w:r w:rsidR="00FE4FE5" w:rsidRPr="0071782F">
        <w:rPr>
          <w:lang w:val="fr-CH"/>
        </w:rPr>
        <w:t xml:space="preserve">er à la </w:t>
      </w:r>
      <w:r w:rsidRPr="0071782F">
        <w:rPr>
          <w:lang w:val="fr-CH"/>
        </w:rPr>
        <w:t xml:space="preserve">protection </w:t>
      </w:r>
      <w:r w:rsidR="00FE4FE5" w:rsidRPr="0071782F">
        <w:rPr>
          <w:lang w:val="fr-CH"/>
        </w:rPr>
        <w:t xml:space="preserve">et à l’entretien des </w:t>
      </w:r>
      <w:r w:rsidRPr="0071782F">
        <w:rPr>
          <w:lang w:val="fr-CH"/>
        </w:rPr>
        <w:t xml:space="preserve">monuments </w:t>
      </w:r>
      <w:r w:rsidR="00FE4FE5" w:rsidRPr="0071782F">
        <w:rPr>
          <w:lang w:val="fr-CH"/>
        </w:rPr>
        <w:t>culturels et des cimetières des martyrs et à l’utilisation des installations culturelles</w:t>
      </w:r>
      <w:r w:rsidRPr="0071782F">
        <w:rPr>
          <w:lang w:val="fr-CH"/>
        </w:rPr>
        <w:t>, artisti</w:t>
      </w:r>
      <w:r w:rsidR="00FE4FE5" w:rsidRPr="0071782F">
        <w:rPr>
          <w:lang w:val="fr-CH"/>
        </w:rPr>
        <w:t>ques et sportives</w:t>
      </w:r>
      <w:r w:rsidRPr="0071782F">
        <w:rPr>
          <w:lang w:val="fr-CH"/>
        </w:rPr>
        <w:t xml:space="preserve">, </w:t>
      </w:r>
      <w:r w:rsidR="00FE4FE5" w:rsidRPr="0071782F">
        <w:rPr>
          <w:lang w:val="fr-CH"/>
        </w:rPr>
        <w:t xml:space="preserve">et s’employer à obtenir la </w:t>
      </w:r>
      <w:r w:rsidRPr="0071782F">
        <w:rPr>
          <w:lang w:val="fr-CH"/>
        </w:rPr>
        <w:t>coop</w:t>
      </w:r>
      <w:r w:rsidR="00FE4FE5" w:rsidRPr="0071782F">
        <w:rPr>
          <w:lang w:val="fr-CH"/>
        </w:rPr>
        <w:t>é</w:t>
      </w:r>
      <w:r w:rsidRPr="0071782F">
        <w:rPr>
          <w:lang w:val="fr-CH"/>
        </w:rPr>
        <w:t xml:space="preserve">ration </w:t>
      </w:r>
      <w:r w:rsidR="00FE4FE5" w:rsidRPr="0071782F">
        <w:rPr>
          <w:lang w:val="fr-CH"/>
        </w:rPr>
        <w:t xml:space="preserve">de la population en vue de la </w:t>
      </w:r>
      <w:r w:rsidRPr="0071782F">
        <w:rPr>
          <w:lang w:val="fr-CH"/>
        </w:rPr>
        <w:t xml:space="preserve">construction </w:t>
      </w:r>
      <w:r w:rsidR="00FE4FE5" w:rsidRPr="0071782F">
        <w:rPr>
          <w:lang w:val="fr-CH"/>
        </w:rPr>
        <w:t>des installations et espaces nécessaires</w:t>
      </w:r>
      <w:r w:rsidRPr="0071782F">
        <w:rPr>
          <w:lang w:val="fr-CH"/>
        </w:rPr>
        <w:t>.</w:t>
      </w:r>
    </w:p>
    <w:p w:rsidR="00AD5035" w:rsidRPr="0071782F" w:rsidRDefault="00AD5035" w:rsidP="00930639">
      <w:pPr>
        <w:pStyle w:val="SingleTxtG"/>
        <w:ind w:left="1701"/>
        <w:rPr>
          <w:lang w:val="fr-CH"/>
        </w:rPr>
      </w:pPr>
      <w:r w:rsidRPr="0071782F">
        <w:rPr>
          <w:lang w:val="fr-CH"/>
        </w:rPr>
        <w:t>446.3.</w:t>
      </w:r>
      <w:r w:rsidRPr="0071782F">
        <w:rPr>
          <w:lang w:val="fr-CH"/>
        </w:rPr>
        <w:tab/>
        <w:t>Coop</w:t>
      </w:r>
      <w:r w:rsidR="00A37820" w:rsidRPr="0071782F">
        <w:rPr>
          <w:lang w:val="fr-CH"/>
        </w:rPr>
        <w:t xml:space="preserve">érer à la </w:t>
      </w:r>
      <w:r w:rsidRPr="0071782F">
        <w:rPr>
          <w:lang w:val="fr-CH"/>
        </w:rPr>
        <w:t xml:space="preserve">protection </w:t>
      </w:r>
      <w:r w:rsidR="00A37820" w:rsidRPr="0071782F">
        <w:rPr>
          <w:lang w:val="fr-CH"/>
        </w:rPr>
        <w:t xml:space="preserve">des bâtiments, </w:t>
      </w:r>
      <w:r w:rsidR="00D5366B" w:rsidRPr="0071782F">
        <w:rPr>
          <w:lang w:val="fr-CH"/>
        </w:rPr>
        <w:t>œuvre</w:t>
      </w:r>
      <w:r w:rsidR="00A37820" w:rsidRPr="0071782F">
        <w:rPr>
          <w:lang w:val="fr-CH"/>
        </w:rPr>
        <w:t>s, quartiers et zones ayant une valeur historique et culturelle, et éviter qu’ils ne soient utilisés à d’autres fins.</w:t>
      </w:r>
      <w:r w:rsidR="00A62149" w:rsidRPr="0071782F">
        <w:rPr>
          <w:lang w:val="fr-CH"/>
        </w:rPr>
        <w:t>"</w:t>
      </w:r>
    </w:p>
    <w:p w:rsidR="00AD5035" w:rsidRPr="0071782F" w:rsidRDefault="00AD5035" w:rsidP="00930639">
      <w:pPr>
        <w:pStyle w:val="SingleTxtG"/>
        <w:rPr>
          <w:lang w:val="fr-CH"/>
        </w:rPr>
      </w:pPr>
      <w:r w:rsidRPr="0071782F">
        <w:rPr>
          <w:lang w:val="fr-CH"/>
        </w:rPr>
        <w:t>447.</w:t>
      </w:r>
      <w:r w:rsidRPr="0071782F">
        <w:rPr>
          <w:lang w:val="fr-CH"/>
        </w:rPr>
        <w:tab/>
      </w:r>
      <w:r w:rsidR="00A37820" w:rsidRPr="0071782F">
        <w:rPr>
          <w:lang w:val="fr-CH"/>
        </w:rPr>
        <w:t xml:space="preserve">En vertu de </w:t>
      </w:r>
      <w:r w:rsidR="00723F2B" w:rsidRPr="0071782F">
        <w:rPr>
          <w:lang w:val="fr-CH"/>
        </w:rPr>
        <w:t>l’</w:t>
      </w:r>
      <w:r w:rsidR="00943A69" w:rsidRPr="0071782F">
        <w:rPr>
          <w:lang w:val="fr-CH"/>
        </w:rPr>
        <w:t>article </w:t>
      </w:r>
      <w:r w:rsidRPr="0071782F">
        <w:rPr>
          <w:lang w:val="fr-CH"/>
        </w:rPr>
        <w:t xml:space="preserve">161 </w:t>
      </w:r>
      <w:r w:rsidR="00A37820" w:rsidRPr="0071782F">
        <w:rPr>
          <w:lang w:val="fr-CH"/>
        </w:rPr>
        <w:t xml:space="preserve">du </w:t>
      </w:r>
      <w:r w:rsidR="009E6189">
        <w:rPr>
          <w:lang w:val="fr-CH"/>
        </w:rPr>
        <w:t>troisième</w:t>
      </w:r>
      <w:r w:rsidR="00A37820" w:rsidRPr="0071782F">
        <w:rPr>
          <w:lang w:val="fr-CH"/>
        </w:rPr>
        <w:t xml:space="preserve"> plan de développement</w:t>
      </w:r>
      <w:r w:rsidR="000B7788">
        <w:rPr>
          <w:lang w:val="fr-CH"/>
        </w:rPr>
        <w:t>:</w:t>
      </w:r>
    </w:p>
    <w:p w:rsidR="00AD5035" w:rsidRPr="0071782F" w:rsidRDefault="00A62149" w:rsidP="00930639">
      <w:pPr>
        <w:pStyle w:val="SingleTxtG"/>
        <w:ind w:left="1701"/>
        <w:rPr>
          <w:lang w:val="fr-CH"/>
        </w:rPr>
      </w:pPr>
      <w:r w:rsidRPr="0071782F">
        <w:rPr>
          <w:lang w:val="fr-CH"/>
        </w:rPr>
        <w:t>"</w:t>
      </w:r>
      <w:r w:rsidR="00A37820" w:rsidRPr="0071782F">
        <w:rPr>
          <w:lang w:val="fr-CH"/>
        </w:rPr>
        <w:t>Afin de rénover les salles de cinéma et les centres culturels et de construire de nouveaux cinémas, centres culturels et théâtres dans les villes de plus de 15 000</w:t>
      </w:r>
      <w:r w:rsidR="00BF435F" w:rsidRPr="0071782F">
        <w:rPr>
          <w:lang w:val="fr-CH"/>
        </w:rPr>
        <w:t> habitants</w:t>
      </w:r>
      <w:r w:rsidR="00A37820" w:rsidRPr="0071782F">
        <w:rPr>
          <w:lang w:val="fr-CH"/>
        </w:rPr>
        <w:t>,</w:t>
      </w:r>
    </w:p>
    <w:p w:rsidR="00AD5035" w:rsidRPr="0071782F" w:rsidRDefault="00AD5035" w:rsidP="00930639">
      <w:pPr>
        <w:pStyle w:val="SingleTxtG"/>
        <w:ind w:left="1701"/>
        <w:rPr>
          <w:lang w:val="fr-CH"/>
        </w:rPr>
      </w:pPr>
      <w:r w:rsidRPr="0071782F">
        <w:rPr>
          <w:lang w:val="fr-CH"/>
        </w:rPr>
        <w:t>447.1.</w:t>
      </w:r>
      <w:r w:rsidRPr="0071782F">
        <w:rPr>
          <w:lang w:val="fr-CH"/>
        </w:rPr>
        <w:tab/>
      </w:r>
      <w:r w:rsidR="00A37820" w:rsidRPr="0071782F">
        <w:rPr>
          <w:lang w:val="fr-CH"/>
        </w:rPr>
        <w:t>Les municipalité</w:t>
      </w:r>
      <w:r w:rsidRPr="0071782F">
        <w:rPr>
          <w:lang w:val="fr-CH"/>
        </w:rPr>
        <w:t xml:space="preserve">s </w:t>
      </w:r>
      <w:r w:rsidR="00A37820" w:rsidRPr="0071782F">
        <w:rPr>
          <w:lang w:val="fr-CH"/>
        </w:rPr>
        <w:t xml:space="preserve">peuvent, par elles-mêmes ou en </w:t>
      </w:r>
      <w:r w:rsidRPr="0071782F">
        <w:rPr>
          <w:lang w:val="fr-CH"/>
        </w:rPr>
        <w:t>co</w:t>
      </w:r>
      <w:r w:rsidR="00A37820" w:rsidRPr="0071782F">
        <w:rPr>
          <w:lang w:val="fr-CH"/>
        </w:rPr>
        <w:t xml:space="preserve">llaboration avec </w:t>
      </w:r>
      <w:r w:rsidR="007F37CE" w:rsidRPr="0071782F">
        <w:rPr>
          <w:lang w:val="fr-CH"/>
        </w:rPr>
        <w:t>des personnes</w:t>
      </w:r>
      <w:r w:rsidR="00A37820" w:rsidRPr="0071782F">
        <w:rPr>
          <w:lang w:val="fr-CH"/>
        </w:rPr>
        <w:t xml:space="preserve"> physiques ou morales, recourir aux services bancaires pour construire ou rénover des cinémas.</w:t>
      </w:r>
    </w:p>
    <w:p w:rsidR="00AD5035" w:rsidRPr="0071782F" w:rsidRDefault="00AD5035" w:rsidP="00930639">
      <w:pPr>
        <w:pStyle w:val="SingleTxtG"/>
        <w:ind w:left="1701"/>
        <w:rPr>
          <w:lang w:val="fr-CH"/>
        </w:rPr>
      </w:pPr>
      <w:r w:rsidRPr="0071782F">
        <w:rPr>
          <w:lang w:val="fr-CH"/>
        </w:rPr>
        <w:t>447.2.</w:t>
      </w:r>
      <w:r w:rsidRPr="0071782F">
        <w:rPr>
          <w:lang w:val="fr-CH"/>
        </w:rPr>
        <w:tab/>
      </w:r>
      <w:r w:rsidR="00BD264B" w:rsidRPr="0071782F">
        <w:rPr>
          <w:lang w:val="fr-CH"/>
        </w:rPr>
        <w:t xml:space="preserve">L’affectation de terrains à la </w:t>
      </w:r>
      <w:r w:rsidRPr="0071782F">
        <w:rPr>
          <w:lang w:val="fr-CH"/>
        </w:rPr>
        <w:t xml:space="preserve">construction </w:t>
      </w:r>
      <w:r w:rsidR="00BD264B" w:rsidRPr="0071782F">
        <w:rPr>
          <w:lang w:val="fr-CH"/>
        </w:rPr>
        <w:t xml:space="preserve">de </w:t>
      </w:r>
      <w:r w:rsidRPr="0071782F">
        <w:rPr>
          <w:lang w:val="fr-CH"/>
        </w:rPr>
        <w:t>cin</w:t>
      </w:r>
      <w:r w:rsidR="00BD264B" w:rsidRPr="0071782F">
        <w:rPr>
          <w:lang w:val="fr-CH"/>
        </w:rPr>
        <w:t>é</w:t>
      </w:r>
      <w:r w:rsidRPr="0071782F">
        <w:rPr>
          <w:lang w:val="fr-CH"/>
        </w:rPr>
        <w:t xml:space="preserve">mas </w:t>
      </w:r>
      <w:r w:rsidR="00BD264B" w:rsidRPr="0071782F">
        <w:rPr>
          <w:lang w:val="fr-CH"/>
        </w:rPr>
        <w:t>et de centres culturels relève de la responsabilité du Ministère du logement et de l’aménagement urbain dans le cas des villes nouvelles et des municipalités dans celui des plans d’aménagement urbain</w:t>
      </w:r>
      <w:r w:rsidRPr="0071782F">
        <w:rPr>
          <w:lang w:val="fr-CH"/>
        </w:rPr>
        <w:t>.</w:t>
      </w:r>
    </w:p>
    <w:p w:rsidR="00AD5035" w:rsidRPr="0071782F" w:rsidRDefault="00AD5035" w:rsidP="00930639">
      <w:pPr>
        <w:pStyle w:val="SingleTxtG"/>
        <w:ind w:left="1701"/>
        <w:rPr>
          <w:lang w:val="fr-CH"/>
        </w:rPr>
      </w:pPr>
      <w:r w:rsidRPr="0071782F">
        <w:rPr>
          <w:lang w:val="fr-CH"/>
        </w:rPr>
        <w:t>447.3.</w:t>
      </w:r>
      <w:r w:rsidRPr="0071782F">
        <w:rPr>
          <w:lang w:val="fr-CH"/>
        </w:rPr>
        <w:tab/>
      </w:r>
      <w:r w:rsidR="00BD264B" w:rsidRPr="0071782F">
        <w:rPr>
          <w:lang w:val="fr-CH"/>
        </w:rPr>
        <w:t xml:space="preserve">Les terrains visés au </w:t>
      </w:r>
      <w:r w:rsidR="00723F2B" w:rsidRPr="0071782F">
        <w:rPr>
          <w:lang w:val="fr-CH"/>
        </w:rPr>
        <w:t>paragraphe </w:t>
      </w:r>
      <w:r w:rsidRPr="0071782F">
        <w:rPr>
          <w:lang w:val="fr-CH"/>
        </w:rPr>
        <w:t xml:space="preserve">B </w:t>
      </w:r>
      <w:r w:rsidR="00BD264B" w:rsidRPr="0071782F">
        <w:rPr>
          <w:lang w:val="fr-CH"/>
        </w:rPr>
        <w:t xml:space="preserve">doivent être mis à la disposition </w:t>
      </w:r>
      <w:r w:rsidR="007F37CE" w:rsidRPr="0071782F">
        <w:rPr>
          <w:lang w:val="fr-CH"/>
        </w:rPr>
        <w:t>des personnes</w:t>
      </w:r>
      <w:r w:rsidR="00BD264B" w:rsidRPr="0071782F">
        <w:rPr>
          <w:lang w:val="fr-CH"/>
        </w:rPr>
        <w:t xml:space="preserve"> physiques ou morales aux prix courants et à des échéances de 10</w:t>
      </w:r>
      <w:r w:rsidR="00D82C96" w:rsidRPr="0071782F">
        <w:rPr>
          <w:lang w:val="fr-CH"/>
        </w:rPr>
        <w:t> ans</w:t>
      </w:r>
      <w:r w:rsidR="00BD264B" w:rsidRPr="0071782F">
        <w:rPr>
          <w:lang w:val="fr-CH"/>
        </w:rPr>
        <w:t>.</w:t>
      </w:r>
    </w:p>
    <w:p w:rsidR="00AD5035" w:rsidRPr="0071782F" w:rsidRDefault="00AD5035" w:rsidP="00930639">
      <w:pPr>
        <w:pStyle w:val="SingleTxtG"/>
        <w:ind w:left="1701"/>
        <w:rPr>
          <w:lang w:val="fr-CH"/>
        </w:rPr>
      </w:pPr>
      <w:r w:rsidRPr="0071782F">
        <w:rPr>
          <w:lang w:val="fr-CH"/>
        </w:rPr>
        <w:t>447.4.</w:t>
      </w:r>
      <w:r w:rsidRPr="0071782F">
        <w:rPr>
          <w:lang w:val="fr-CH"/>
        </w:rPr>
        <w:tab/>
      </w:r>
      <w:r w:rsidR="00BD264B" w:rsidRPr="0071782F">
        <w:rPr>
          <w:lang w:val="fr-CH"/>
        </w:rPr>
        <w:t xml:space="preserve">Les autorités municipales des villes susvisées sont autorisées à mettre les terrains en leur possession à la disposition </w:t>
      </w:r>
      <w:r w:rsidR="00D82C96" w:rsidRPr="0071782F">
        <w:rPr>
          <w:lang w:val="fr-CH"/>
        </w:rPr>
        <w:t>de personnes</w:t>
      </w:r>
      <w:r w:rsidR="00BD264B" w:rsidRPr="0071782F">
        <w:rPr>
          <w:lang w:val="fr-CH"/>
        </w:rPr>
        <w:t xml:space="preserve"> physiques ou morales pendant une période de 25</w:t>
      </w:r>
      <w:r w:rsidR="00D82C96" w:rsidRPr="0071782F">
        <w:rPr>
          <w:lang w:val="fr-CH"/>
        </w:rPr>
        <w:t> ans</w:t>
      </w:r>
      <w:r w:rsidR="00BD264B" w:rsidRPr="0071782F">
        <w:rPr>
          <w:lang w:val="fr-CH"/>
        </w:rPr>
        <w:t xml:space="preserve"> sans transfert de propriété, dans le cadre d’un contrat prévoyant le versement d’un montant minimal, terrains destinés à la </w:t>
      </w:r>
      <w:r w:rsidRPr="0071782F">
        <w:rPr>
          <w:lang w:val="fr-CH"/>
        </w:rPr>
        <w:t xml:space="preserve">construction </w:t>
      </w:r>
      <w:r w:rsidR="00BD264B" w:rsidRPr="0071782F">
        <w:rPr>
          <w:lang w:val="fr-CH"/>
        </w:rPr>
        <w:t xml:space="preserve">de </w:t>
      </w:r>
      <w:r w:rsidRPr="0071782F">
        <w:rPr>
          <w:lang w:val="fr-CH"/>
        </w:rPr>
        <w:t>cin</w:t>
      </w:r>
      <w:r w:rsidR="00BD264B" w:rsidRPr="0071782F">
        <w:rPr>
          <w:lang w:val="fr-CH"/>
        </w:rPr>
        <w:t>é</w:t>
      </w:r>
      <w:r w:rsidRPr="0071782F">
        <w:rPr>
          <w:lang w:val="fr-CH"/>
        </w:rPr>
        <w:t xml:space="preserve">mas </w:t>
      </w:r>
      <w:r w:rsidR="00BD264B" w:rsidRPr="0071782F">
        <w:rPr>
          <w:lang w:val="fr-CH"/>
        </w:rPr>
        <w:t>et de centres culturels</w:t>
      </w:r>
      <w:r w:rsidRPr="0071782F">
        <w:rPr>
          <w:lang w:val="fr-CH"/>
        </w:rPr>
        <w:t xml:space="preserve">. </w:t>
      </w:r>
    </w:p>
    <w:p w:rsidR="00AD5035" w:rsidRPr="00F739E0" w:rsidRDefault="00AD5035" w:rsidP="00930639">
      <w:pPr>
        <w:pStyle w:val="SingleTxtG"/>
        <w:ind w:left="1701"/>
        <w:rPr>
          <w:spacing w:val="-2"/>
          <w:lang w:val="fr-CH"/>
        </w:rPr>
      </w:pPr>
      <w:r w:rsidRPr="00F739E0">
        <w:rPr>
          <w:spacing w:val="-2"/>
          <w:lang w:val="fr-CH"/>
        </w:rPr>
        <w:t>447.5.</w:t>
      </w:r>
      <w:r w:rsidRPr="00F739E0">
        <w:rPr>
          <w:spacing w:val="-2"/>
          <w:lang w:val="fr-CH"/>
        </w:rPr>
        <w:tab/>
      </w:r>
      <w:r w:rsidR="003E47A9" w:rsidRPr="00F739E0">
        <w:rPr>
          <w:spacing w:val="-2"/>
          <w:lang w:val="fr-CH"/>
        </w:rPr>
        <w:t xml:space="preserve">S’agissant de la </w:t>
      </w:r>
      <w:r w:rsidRPr="00F739E0">
        <w:rPr>
          <w:spacing w:val="-2"/>
          <w:lang w:val="fr-CH"/>
        </w:rPr>
        <w:t>r</w:t>
      </w:r>
      <w:r w:rsidR="003E47A9" w:rsidRPr="00F739E0">
        <w:rPr>
          <w:spacing w:val="-2"/>
          <w:lang w:val="fr-CH"/>
        </w:rPr>
        <w:t>é</w:t>
      </w:r>
      <w:r w:rsidRPr="00F739E0">
        <w:rPr>
          <w:spacing w:val="-2"/>
          <w:lang w:val="fr-CH"/>
        </w:rPr>
        <w:t xml:space="preserve">novation </w:t>
      </w:r>
      <w:r w:rsidR="003E47A9" w:rsidRPr="00F739E0">
        <w:rPr>
          <w:spacing w:val="-2"/>
          <w:lang w:val="fr-CH"/>
        </w:rPr>
        <w:t xml:space="preserve">de cinémas et de centres culturels ou de la </w:t>
      </w:r>
      <w:r w:rsidRPr="00F739E0">
        <w:rPr>
          <w:spacing w:val="-2"/>
          <w:lang w:val="fr-CH"/>
        </w:rPr>
        <w:t xml:space="preserve">construction </w:t>
      </w:r>
      <w:r w:rsidR="003E47A9" w:rsidRPr="00F739E0">
        <w:rPr>
          <w:spacing w:val="-2"/>
          <w:lang w:val="fr-CH"/>
        </w:rPr>
        <w:t xml:space="preserve">de nouveaux cinémas et théâtres, les </w:t>
      </w:r>
      <w:r w:rsidRPr="00F739E0">
        <w:rPr>
          <w:spacing w:val="-2"/>
          <w:lang w:val="fr-CH"/>
        </w:rPr>
        <w:t>municipalit</w:t>
      </w:r>
      <w:r w:rsidR="003E47A9" w:rsidRPr="00F739E0">
        <w:rPr>
          <w:spacing w:val="-2"/>
          <w:lang w:val="fr-CH"/>
        </w:rPr>
        <w:t>é</w:t>
      </w:r>
      <w:r w:rsidRPr="00F739E0">
        <w:rPr>
          <w:spacing w:val="-2"/>
          <w:lang w:val="fr-CH"/>
        </w:rPr>
        <w:t xml:space="preserve">s </w:t>
      </w:r>
      <w:r w:rsidR="003E47A9" w:rsidRPr="00F739E0">
        <w:rPr>
          <w:spacing w:val="-2"/>
          <w:lang w:val="fr-CH"/>
        </w:rPr>
        <w:t>sont tenues de délivrer des permis de construire sans frais et, s’ils sont conformes au plan directeur urbain, ces permis doivent prévoir une utilisation entrepreneuriale et commerciale et la superficie maximale de la construction</w:t>
      </w:r>
      <w:r w:rsidRPr="00F739E0">
        <w:rPr>
          <w:spacing w:val="-2"/>
          <w:lang w:val="fr-CH"/>
        </w:rPr>
        <w:t xml:space="preserve">. </w:t>
      </w:r>
      <w:r w:rsidR="003E47A9" w:rsidRPr="00F739E0">
        <w:rPr>
          <w:spacing w:val="-2"/>
          <w:lang w:val="fr-CH"/>
        </w:rPr>
        <w:t xml:space="preserve">Les </w:t>
      </w:r>
      <w:r w:rsidRPr="00F739E0">
        <w:rPr>
          <w:spacing w:val="-2"/>
          <w:lang w:val="fr-CH"/>
        </w:rPr>
        <w:t>cin</w:t>
      </w:r>
      <w:r w:rsidR="003E47A9" w:rsidRPr="00F739E0">
        <w:rPr>
          <w:spacing w:val="-2"/>
          <w:lang w:val="fr-CH"/>
        </w:rPr>
        <w:t>é</w:t>
      </w:r>
      <w:r w:rsidRPr="00F739E0">
        <w:rPr>
          <w:spacing w:val="-2"/>
          <w:lang w:val="fr-CH"/>
        </w:rPr>
        <w:t xml:space="preserve">mas </w:t>
      </w:r>
      <w:r w:rsidR="003E47A9" w:rsidRPr="00F739E0">
        <w:rPr>
          <w:spacing w:val="-2"/>
          <w:lang w:val="fr-CH"/>
        </w:rPr>
        <w:t>et centres culturels construits sur ces sites ne peuvent pas être affectés à d’autres utilisations pendant au moins 10</w:t>
      </w:r>
      <w:r w:rsidR="00D82C96" w:rsidRPr="00F739E0">
        <w:rPr>
          <w:spacing w:val="-2"/>
          <w:lang w:val="fr-CH"/>
        </w:rPr>
        <w:t> ans</w:t>
      </w:r>
      <w:r w:rsidRPr="00F739E0">
        <w:rPr>
          <w:spacing w:val="-2"/>
          <w:lang w:val="fr-CH"/>
        </w:rPr>
        <w:t>.</w:t>
      </w:r>
    </w:p>
    <w:p w:rsidR="00AD5035" w:rsidRPr="0071782F" w:rsidRDefault="003E47A9" w:rsidP="00930639">
      <w:pPr>
        <w:pStyle w:val="SingleTxtG"/>
        <w:ind w:left="2268"/>
        <w:rPr>
          <w:lang w:val="fr-CH"/>
        </w:rPr>
      </w:pPr>
      <w:r w:rsidRPr="0071782F">
        <w:rPr>
          <w:lang w:val="fr-CH"/>
        </w:rPr>
        <w:t xml:space="preserve">Le règlement d’exécution du présent </w:t>
      </w:r>
      <w:r w:rsidR="00943A69" w:rsidRPr="0071782F">
        <w:rPr>
          <w:lang w:val="fr-CH"/>
        </w:rPr>
        <w:t>article </w:t>
      </w:r>
      <w:r w:rsidRPr="0071782F">
        <w:rPr>
          <w:lang w:val="fr-CH"/>
        </w:rPr>
        <w:t>sera adopté par le Conseil des ministres sur la recommandation du Ministère de la c</w:t>
      </w:r>
      <w:r w:rsidR="00AD5035" w:rsidRPr="0071782F">
        <w:rPr>
          <w:lang w:val="fr-CH"/>
        </w:rPr>
        <w:t xml:space="preserve">ulture </w:t>
      </w:r>
      <w:r w:rsidRPr="0071782F">
        <w:rPr>
          <w:lang w:val="fr-CH"/>
        </w:rPr>
        <w:t>et de l’orientation islamique et de l’Organisme public de gestion et de planification</w:t>
      </w:r>
      <w:r w:rsidR="00AD5035" w:rsidRPr="0071782F">
        <w:rPr>
          <w:lang w:val="fr-CH"/>
        </w:rPr>
        <w:t>.</w:t>
      </w:r>
      <w:r w:rsidR="00A62149" w:rsidRPr="0071782F">
        <w:rPr>
          <w:lang w:val="fr-CH"/>
        </w:rPr>
        <w:t>"</w:t>
      </w:r>
    </w:p>
    <w:p w:rsidR="00AD5035" w:rsidRPr="0071782F" w:rsidRDefault="00AD5035" w:rsidP="00930639">
      <w:pPr>
        <w:pStyle w:val="SingleTxtG"/>
        <w:rPr>
          <w:lang w:val="fr-CH"/>
        </w:rPr>
      </w:pPr>
      <w:r w:rsidRPr="0071782F">
        <w:rPr>
          <w:lang w:val="fr-CH"/>
        </w:rPr>
        <w:t>448.</w:t>
      </w:r>
      <w:r w:rsidRPr="0071782F">
        <w:rPr>
          <w:lang w:val="fr-CH"/>
        </w:rPr>
        <w:tab/>
      </w:r>
      <w:r w:rsidR="003E47A9" w:rsidRPr="0071782F">
        <w:rPr>
          <w:lang w:val="fr-CH"/>
        </w:rPr>
        <w:t xml:space="preserve">Le </w:t>
      </w:r>
      <w:r w:rsidR="00723F2B" w:rsidRPr="0071782F">
        <w:rPr>
          <w:lang w:val="fr-CH"/>
        </w:rPr>
        <w:t>paragraphe </w:t>
      </w:r>
      <w:r w:rsidRPr="0071782F">
        <w:rPr>
          <w:lang w:val="fr-CH"/>
        </w:rPr>
        <w:t xml:space="preserve">A </w:t>
      </w:r>
      <w:r w:rsidR="003E47A9" w:rsidRPr="0071782F">
        <w:rPr>
          <w:lang w:val="fr-CH"/>
        </w:rPr>
        <w:t xml:space="preserve">de </w:t>
      </w:r>
      <w:r w:rsidR="00723F2B" w:rsidRPr="0071782F">
        <w:rPr>
          <w:lang w:val="fr-CH"/>
        </w:rPr>
        <w:t>l’</w:t>
      </w:r>
      <w:r w:rsidR="00943A69" w:rsidRPr="0071782F">
        <w:rPr>
          <w:lang w:val="fr-CH"/>
        </w:rPr>
        <w:t>article </w:t>
      </w:r>
      <w:r w:rsidRPr="0071782F">
        <w:rPr>
          <w:lang w:val="fr-CH"/>
        </w:rPr>
        <w:t>162</w:t>
      </w:r>
      <w:r w:rsidR="003E47A9" w:rsidRPr="0071782F">
        <w:rPr>
          <w:lang w:val="fr-CH"/>
        </w:rPr>
        <w:t xml:space="preserve"> est ainsi libellé</w:t>
      </w:r>
      <w:r w:rsidR="008F7D33" w:rsidRPr="0071782F">
        <w:rPr>
          <w:lang w:val="fr-CH"/>
        </w:rPr>
        <w:t>:</w:t>
      </w:r>
    </w:p>
    <w:p w:rsidR="00AD5035" w:rsidRPr="0071782F" w:rsidRDefault="00A62149" w:rsidP="00930639">
      <w:pPr>
        <w:pStyle w:val="SingleTxtG"/>
        <w:ind w:left="1701"/>
        <w:rPr>
          <w:lang w:val="fr-CH"/>
        </w:rPr>
      </w:pPr>
      <w:r w:rsidRPr="0071782F">
        <w:rPr>
          <w:lang w:val="fr-CH"/>
        </w:rPr>
        <w:t>"</w:t>
      </w:r>
      <w:r w:rsidR="00AD5035" w:rsidRPr="0071782F">
        <w:rPr>
          <w:lang w:val="fr-CH"/>
        </w:rPr>
        <w:t xml:space="preserve">A. </w:t>
      </w:r>
      <w:r w:rsidR="000F091F" w:rsidRPr="0071782F">
        <w:rPr>
          <w:lang w:val="fr-CH"/>
        </w:rPr>
        <w:t>Il incombe au Ministère de la culture et de l’orientation i</w:t>
      </w:r>
      <w:r w:rsidR="00AD5035" w:rsidRPr="0071782F">
        <w:rPr>
          <w:lang w:val="fr-CH"/>
        </w:rPr>
        <w:t>slami</w:t>
      </w:r>
      <w:r w:rsidR="000F091F" w:rsidRPr="0071782F">
        <w:rPr>
          <w:lang w:val="fr-CH"/>
        </w:rPr>
        <w:t>que de réaliser les études nécessaires, de déterminer les principaux concepts et définitions du secteur culturel et de formuler des indicateurs culturels adaptés aux objectifs et idéaux de la République islamique d’Iran et aux politiques du Haut Conseil culturel de la Révolution</w:t>
      </w:r>
      <w:r w:rsidR="00AD5035" w:rsidRPr="0071782F">
        <w:rPr>
          <w:lang w:val="fr-CH"/>
        </w:rPr>
        <w:t xml:space="preserve">. </w:t>
      </w:r>
      <w:r w:rsidR="000F091F" w:rsidRPr="0071782F">
        <w:rPr>
          <w:lang w:val="fr-CH"/>
        </w:rPr>
        <w:t>Une fois qu’ils auront été adoptés par ce Conseil, le Ministère les utilisera comme critère</w:t>
      </w:r>
      <w:r w:rsidR="00757FD1" w:rsidRPr="0071782F">
        <w:rPr>
          <w:lang w:val="fr-CH"/>
        </w:rPr>
        <w:t>s</w:t>
      </w:r>
      <w:r w:rsidR="000F091F" w:rsidRPr="0071782F">
        <w:rPr>
          <w:lang w:val="fr-CH"/>
        </w:rPr>
        <w:t xml:space="preserve"> et collaborera avec le Centre iranien de statistique pour produire des informations s’y rapportant et suivra l’évolution de ces indicateurs pendant toute la durée du plan de développement.</w:t>
      </w:r>
    </w:p>
    <w:p w:rsidR="00AD5035" w:rsidRPr="0071782F" w:rsidRDefault="00AD5035" w:rsidP="00930639">
      <w:pPr>
        <w:pStyle w:val="SingleTxtG"/>
        <w:ind w:left="1701"/>
        <w:rPr>
          <w:lang w:val="fr-CH"/>
        </w:rPr>
      </w:pPr>
      <w:r w:rsidRPr="0071782F">
        <w:rPr>
          <w:lang w:val="fr-CH"/>
        </w:rPr>
        <w:t>448.1.</w:t>
      </w:r>
      <w:r w:rsidRPr="0071782F">
        <w:rPr>
          <w:lang w:val="fr-CH"/>
        </w:rPr>
        <w:tab/>
      </w:r>
      <w:r w:rsidR="000F091F" w:rsidRPr="0071782F">
        <w:rPr>
          <w:lang w:val="fr-CH"/>
        </w:rPr>
        <w:t>Tous les deux</w:t>
      </w:r>
      <w:r w:rsidR="00D82C96" w:rsidRPr="0071782F">
        <w:rPr>
          <w:lang w:val="fr-CH"/>
        </w:rPr>
        <w:t> ans</w:t>
      </w:r>
      <w:r w:rsidR="000F091F" w:rsidRPr="0071782F">
        <w:rPr>
          <w:lang w:val="fr-CH"/>
        </w:rPr>
        <w:t>, il devra mesurer les changements intervenus dans les indicateurs sur l’évolution des perspectives et attitudes intellectuelles de la société et les soumettre à l’examen des autorités et organismes concernés.</w:t>
      </w:r>
      <w:r w:rsidRPr="0071782F">
        <w:rPr>
          <w:lang w:val="fr-CH"/>
        </w:rPr>
        <w:t xml:space="preserve"> </w:t>
      </w:r>
    </w:p>
    <w:p w:rsidR="00AD5035" w:rsidRPr="0071782F" w:rsidRDefault="00AD5035" w:rsidP="00930639">
      <w:pPr>
        <w:pStyle w:val="SingleTxtG"/>
        <w:ind w:left="1701"/>
        <w:rPr>
          <w:lang w:val="fr-CH"/>
        </w:rPr>
      </w:pPr>
      <w:r w:rsidRPr="0071782F">
        <w:rPr>
          <w:lang w:val="fr-CH"/>
        </w:rPr>
        <w:t>448.2.</w:t>
      </w:r>
      <w:r w:rsidRPr="0071782F">
        <w:rPr>
          <w:lang w:val="fr-CH"/>
        </w:rPr>
        <w:tab/>
      </w:r>
      <w:r w:rsidR="000F091F" w:rsidRPr="0071782F">
        <w:rPr>
          <w:lang w:val="fr-CH"/>
        </w:rPr>
        <w:t>Chaque année</w:t>
      </w:r>
      <w:r w:rsidRPr="0071782F">
        <w:rPr>
          <w:lang w:val="fr-CH"/>
        </w:rPr>
        <w:t xml:space="preserve">, </w:t>
      </w:r>
      <w:r w:rsidR="000F091F" w:rsidRPr="0071782F">
        <w:rPr>
          <w:lang w:val="fr-CH"/>
        </w:rPr>
        <w:t>il devra mesurer les changements intervenus dans les indicateurs sur le niveau de consommation des produits et services culturels à travers le pays et selon les régions.</w:t>
      </w:r>
    </w:p>
    <w:p w:rsidR="00AD5035" w:rsidRPr="00F739E0" w:rsidRDefault="00AD5035" w:rsidP="00930639">
      <w:pPr>
        <w:pStyle w:val="SingleTxtG"/>
        <w:ind w:left="1701"/>
        <w:rPr>
          <w:spacing w:val="-2"/>
          <w:lang w:val="fr-CH"/>
        </w:rPr>
      </w:pPr>
      <w:r w:rsidRPr="00F739E0">
        <w:rPr>
          <w:spacing w:val="-2"/>
          <w:lang w:val="fr-CH"/>
        </w:rPr>
        <w:t>448.3.</w:t>
      </w:r>
      <w:r w:rsidRPr="00F739E0">
        <w:rPr>
          <w:spacing w:val="-2"/>
          <w:lang w:val="fr-CH"/>
        </w:rPr>
        <w:tab/>
      </w:r>
      <w:r w:rsidR="000F091F" w:rsidRPr="00F739E0">
        <w:rPr>
          <w:spacing w:val="-2"/>
          <w:lang w:val="fr-CH"/>
        </w:rPr>
        <w:t>Chaque année, il devra élaborer des informations et des statistiques au niveau des provinces sur les changements constatés dans les indicateurs relatifs aux ressources humaines et aux espaces et équipements culturels, tant publics que privés</w:t>
      </w:r>
      <w:r w:rsidRPr="00F739E0">
        <w:rPr>
          <w:spacing w:val="-2"/>
          <w:lang w:val="fr-CH"/>
        </w:rPr>
        <w:t>.</w:t>
      </w:r>
      <w:r w:rsidR="00A62149" w:rsidRPr="00F739E0">
        <w:rPr>
          <w:spacing w:val="-2"/>
          <w:lang w:val="fr-CH"/>
        </w:rPr>
        <w:t>"</w:t>
      </w:r>
    </w:p>
    <w:p w:rsidR="00AD5035" w:rsidRPr="0071782F" w:rsidRDefault="00AD5035" w:rsidP="00930639">
      <w:pPr>
        <w:pStyle w:val="SingleTxtG"/>
        <w:rPr>
          <w:lang w:val="fr-CH"/>
        </w:rPr>
      </w:pPr>
      <w:r w:rsidRPr="0071782F">
        <w:rPr>
          <w:lang w:val="fr-CH"/>
        </w:rPr>
        <w:t>449.</w:t>
      </w:r>
      <w:r w:rsidRPr="0071782F">
        <w:rPr>
          <w:lang w:val="fr-CH"/>
        </w:rPr>
        <w:tab/>
      </w:r>
      <w:r w:rsidR="00723F2B" w:rsidRPr="0071782F">
        <w:rPr>
          <w:lang w:val="fr-CH"/>
        </w:rPr>
        <w:t>L’</w:t>
      </w:r>
      <w:r w:rsidR="00943A69" w:rsidRPr="0071782F">
        <w:rPr>
          <w:lang w:val="fr-CH"/>
        </w:rPr>
        <w:t>article </w:t>
      </w:r>
      <w:r w:rsidRPr="0071782F">
        <w:rPr>
          <w:lang w:val="fr-CH"/>
        </w:rPr>
        <w:t xml:space="preserve">106 </w:t>
      </w:r>
      <w:r w:rsidR="000F091F" w:rsidRPr="0071782F">
        <w:rPr>
          <w:lang w:val="fr-CH"/>
        </w:rPr>
        <w:t>est ainsi libellé</w:t>
      </w:r>
      <w:r w:rsidR="008F7D33" w:rsidRPr="0071782F">
        <w:rPr>
          <w:lang w:val="fr-CH"/>
        </w:rPr>
        <w:t>:</w:t>
      </w:r>
    </w:p>
    <w:p w:rsidR="00AD5035" w:rsidRPr="0071782F" w:rsidRDefault="00AD5035" w:rsidP="00930639">
      <w:pPr>
        <w:pStyle w:val="SingleTxtG"/>
        <w:ind w:left="1701"/>
        <w:rPr>
          <w:lang w:val="fr-CH"/>
        </w:rPr>
      </w:pPr>
      <w:r w:rsidRPr="0071782F">
        <w:rPr>
          <w:lang w:val="fr-CH"/>
        </w:rPr>
        <w:t>449.1.</w:t>
      </w:r>
      <w:r w:rsidRPr="0071782F">
        <w:rPr>
          <w:lang w:val="fr-CH"/>
        </w:rPr>
        <w:tab/>
      </w:r>
      <w:r w:rsidR="00A62149" w:rsidRPr="0071782F">
        <w:rPr>
          <w:lang w:val="fr-CH"/>
        </w:rPr>
        <w:t>"</w:t>
      </w:r>
      <w:r w:rsidR="000F091F" w:rsidRPr="0071782F">
        <w:rPr>
          <w:lang w:val="fr-CH"/>
        </w:rPr>
        <w:t>Afin d’approfondir les valeurs, les croyances et la culture spirituelles, de protéger l’identité islamique de l’Iran</w:t>
      </w:r>
      <w:r w:rsidRPr="0071782F">
        <w:rPr>
          <w:lang w:val="fr-CH"/>
        </w:rPr>
        <w:t xml:space="preserve">, </w:t>
      </w:r>
      <w:r w:rsidR="000F091F" w:rsidRPr="0071782F">
        <w:rPr>
          <w:lang w:val="fr-CH"/>
        </w:rPr>
        <w:t>de promouvoir la connaissance de la</w:t>
      </w:r>
      <w:r w:rsidRPr="0071782F">
        <w:rPr>
          <w:lang w:val="fr-CH"/>
        </w:rPr>
        <w:t xml:space="preserve"> religio</w:t>
      </w:r>
      <w:r w:rsidR="000F091F" w:rsidRPr="0071782F">
        <w:rPr>
          <w:lang w:val="fr-CH"/>
        </w:rPr>
        <w:t>n</w:t>
      </w:r>
      <w:r w:rsidRPr="0071782F">
        <w:rPr>
          <w:lang w:val="fr-CH"/>
        </w:rPr>
        <w:t xml:space="preserve"> </w:t>
      </w:r>
      <w:r w:rsidR="000F091F" w:rsidRPr="0071782F">
        <w:rPr>
          <w:lang w:val="fr-CH"/>
        </w:rPr>
        <w:t xml:space="preserve">et de diffuser la </w:t>
      </w:r>
      <w:r w:rsidRPr="0071782F">
        <w:rPr>
          <w:lang w:val="fr-CH"/>
        </w:rPr>
        <w:t xml:space="preserve">culture </w:t>
      </w:r>
      <w:r w:rsidR="000F091F" w:rsidRPr="0071782F">
        <w:rPr>
          <w:lang w:val="fr-CH"/>
        </w:rPr>
        <w:t>coranique</w:t>
      </w:r>
      <w:r w:rsidRPr="0071782F">
        <w:rPr>
          <w:lang w:val="fr-CH"/>
        </w:rPr>
        <w:t xml:space="preserve">, </w:t>
      </w:r>
      <w:r w:rsidR="000F091F" w:rsidRPr="0071782F">
        <w:rPr>
          <w:lang w:val="fr-CH"/>
        </w:rPr>
        <w:t>l’État est tenu d’adopter les mesures ci-après</w:t>
      </w:r>
      <w:r w:rsidR="008F7D33" w:rsidRPr="0071782F">
        <w:rPr>
          <w:lang w:val="fr-CH"/>
        </w:rPr>
        <w:t>:</w:t>
      </w:r>
    </w:p>
    <w:p w:rsidR="00AD5035" w:rsidRPr="0071782F" w:rsidRDefault="00AD5035" w:rsidP="00930639">
      <w:pPr>
        <w:pStyle w:val="SingleTxtG"/>
        <w:ind w:left="1701"/>
        <w:rPr>
          <w:lang w:val="fr-CH"/>
        </w:rPr>
      </w:pPr>
      <w:r w:rsidRPr="0071782F">
        <w:rPr>
          <w:lang w:val="fr-CH"/>
        </w:rPr>
        <w:t>449.2.</w:t>
      </w:r>
      <w:r w:rsidRPr="0071782F">
        <w:rPr>
          <w:lang w:val="fr-CH"/>
        </w:rPr>
        <w:tab/>
        <w:t xml:space="preserve">Promotion </w:t>
      </w:r>
      <w:r w:rsidR="00AA41CF" w:rsidRPr="0071782F">
        <w:rPr>
          <w:lang w:val="fr-CH"/>
        </w:rPr>
        <w:t xml:space="preserve">de la conscience et des vertus morales des différentes classes sociales et </w:t>
      </w:r>
      <w:r w:rsidRPr="0071782F">
        <w:rPr>
          <w:lang w:val="fr-CH"/>
        </w:rPr>
        <w:t>cr</w:t>
      </w:r>
      <w:r w:rsidR="00AA41CF" w:rsidRPr="0071782F">
        <w:rPr>
          <w:lang w:val="fr-CH"/>
        </w:rPr>
        <w:t>é</w:t>
      </w:r>
      <w:r w:rsidRPr="0071782F">
        <w:rPr>
          <w:lang w:val="fr-CH"/>
        </w:rPr>
        <w:t xml:space="preserve">ation </w:t>
      </w:r>
      <w:r w:rsidR="00AA41CF" w:rsidRPr="0071782F">
        <w:rPr>
          <w:lang w:val="fr-CH"/>
        </w:rPr>
        <w:t>des conditions nécessaires à un environnement culturel sain et propice au renouvellement de l’obligation religieuse de faire le bien et de proscrire le mal</w:t>
      </w:r>
      <w:r w:rsidRPr="0071782F">
        <w:rPr>
          <w:lang w:val="fr-CH"/>
        </w:rPr>
        <w:t>.</w:t>
      </w:r>
    </w:p>
    <w:p w:rsidR="00AD5035" w:rsidRPr="0071782F" w:rsidRDefault="00AD5035" w:rsidP="00930639">
      <w:pPr>
        <w:pStyle w:val="SingleTxtG"/>
        <w:ind w:left="1701"/>
        <w:rPr>
          <w:lang w:val="fr-CH"/>
        </w:rPr>
      </w:pPr>
      <w:r w:rsidRPr="0071782F">
        <w:rPr>
          <w:lang w:val="fr-CH"/>
        </w:rPr>
        <w:t>449.3.</w:t>
      </w:r>
      <w:r w:rsidRPr="0071782F">
        <w:rPr>
          <w:lang w:val="fr-CH"/>
        </w:rPr>
        <w:tab/>
      </w:r>
      <w:r w:rsidR="00AA41CF" w:rsidRPr="0071782F">
        <w:rPr>
          <w:lang w:val="fr-CH"/>
        </w:rPr>
        <w:t>Développement des activité</w:t>
      </w:r>
      <w:r w:rsidRPr="0071782F">
        <w:rPr>
          <w:lang w:val="fr-CH"/>
        </w:rPr>
        <w:t xml:space="preserve">s </w:t>
      </w:r>
      <w:r w:rsidR="00AA41CF" w:rsidRPr="0071782F">
        <w:rPr>
          <w:lang w:val="fr-CH"/>
        </w:rPr>
        <w:t>des médias nationaux contre les attaques culturelles; création d’un environnement public sain;</w:t>
      </w:r>
      <w:r w:rsidRPr="0071782F">
        <w:rPr>
          <w:lang w:val="fr-CH"/>
        </w:rPr>
        <w:t xml:space="preserve"> </w:t>
      </w:r>
      <w:r w:rsidR="00AA41CF" w:rsidRPr="0071782F">
        <w:rPr>
          <w:lang w:val="fr-CH"/>
        </w:rPr>
        <w:t xml:space="preserve">diffusion d’informations exactes et mise en </w:t>
      </w:r>
      <w:r w:rsidR="00D5366B" w:rsidRPr="0071782F">
        <w:rPr>
          <w:lang w:val="fr-CH"/>
        </w:rPr>
        <w:t>œuvre</w:t>
      </w:r>
      <w:r w:rsidR="00AA41CF" w:rsidRPr="0071782F">
        <w:rPr>
          <w:lang w:val="fr-CH"/>
        </w:rPr>
        <w:t xml:space="preserve"> des dispositions générales du </w:t>
      </w:r>
      <w:r w:rsidR="00A90208" w:rsidRPr="0071782F">
        <w:rPr>
          <w:lang w:val="fr-CH"/>
        </w:rPr>
        <w:t>quatrième</w:t>
      </w:r>
      <w:r w:rsidR="00AA41CF" w:rsidRPr="0071782F">
        <w:rPr>
          <w:lang w:val="fr-CH"/>
        </w:rPr>
        <w:t xml:space="preserve"> plan de développement par le biais de la </w:t>
      </w:r>
      <w:r w:rsidRPr="0071782F">
        <w:rPr>
          <w:lang w:val="fr-CH"/>
        </w:rPr>
        <w:t xml:space="preserve">publication </w:t>
      </w:r>
      <w:r w:rsidR="00AA41CF" w:rsidRPr="0071782F">
        <w:rPr>
          <w:lang w:val="fr-CH"/>
        </w:rPr>
        <w:t xml:space="preserve">de rapports sur les résultats obtenus par les </w:t>
      </w:r>
      <w:r w:rsidRPr="0071782F">
        <w:rPr>
          <w:lang w:val="fr-CH"/>
        </w:rPr>
        <w:t>institutions</w:t>
      </w:r>
      <w:r w:rsidR="00AA41CF" w:rsidRPr="0071782F">
        <w:rPr>
          <w:lang w:val="fr-CH"/>
        </w:rPr>
        <w:t xml:space="preserve">; et amélioration de l’accès de la population à l’enseignement général, </w:t>
      </w:r>
      <w:r w:rsidRPr="0071782F">
        <w:rPr>
          <w:lang w:val="fr-CH"/>
        </w:rPr>
        <w:t>techni</w:t>
      </w:r>
      <w:r w:rsidR="00AA41CF" w:rsidRPr="0071782F">
        <w:rPr>
          <w:lang w:val="fr-CH"/>
        </w:rPr>
        <w:t xml:space="preserve">que, professionnel, </w:t>
      </w:r>
      <w:r w:rsidRPr="0071782F">
        <w:rPr>
          <w:lang w:val="fr-CH"/>
        </w:rPr>
        <w:t>religi</w:t>
      </w:r>
      <w:r w:rsidR="00AA41CF" w:rsidRPr="0071782F">
        <w:rPr>
          <w:lang w:val="fr-CH"/>
        </w:rPr>
        <w:t>eux et supérieur par les chaînes de l’</w:t>
      </w:r>
      <w:r w:rsidRPr="0071782F">
        <w:rPr>
          <w:lang w:val="fr-CH"/>
        </w:rPr>
        <w:t>IRIB.</w:t>
      </w:r>
    </w:p>
    <w:p w:rsidR="00AD5035" w:rsidRPr="0071782F" w:rsidRDefault="00AD5035" w:rsidP="00930639">
      <w:pPr>
        <w:pStyle w:val="SingleTxtG"/>
        <w:ind w:left="1701"/>
        <w:rPr>
          <w:lang w:val="fr-CH"/>
        </w:rPr>
      </w:pPr>
      <w:r w:rsidRPr="0071782F">
        <w:rPr>
          <w:lang w:val="fr-CH"/>
        </w:rPr>
        <w:t>449.4.</w:t>
      </w:r>
      <w:r w:rsidRPr="0071782F">
        <w:rPr>
          <w:lang w:val="fr-CH"/>
        </w:rPr>
        <w:tab/>
      </w:r>
      <w:r w:rsidR="00257B90" w:rsidRPr="0071782F">
        <w:rPr>
          <w:lang w:val="fr-CH"/>
        </w:rPr>
        <w:t xml:space="preserve">Appui à la recherche </w:t>
      </w:r>
      <w:r w:rsidRPr="0071782F">
        <w:rPr>
          <w:lang w:val="fr-CH"/>
        </w:rPr>
        <w:t>strat</w:t>
      </w:r>
      <w:r w:rsidR="00257B90" w:rsidRPr="0071782F">
        <w:rPr>
          <w:lang w:val="fr-CH"/>
        </w:rPr>
        <w:t xml:space="preserve">égique et </w:t>
      </w:r>
      <w:r w:rsidRPr="0071782F">
        <w:rPr>
          <w:lang w:val="fr-CH"/>
        </w:rPr>
        <w:t>f</w:t>
      </w:r>
      <w:r w:rsidR="00257B90" w:rsidRPr="0071782F">
        <w:rPr>
          <w:lang w:val="fr-CH"/>
        </w:rPr>
        <w:t>o</w:t>
      </w:r>
      <w:r w:rsidRPr="0071782F">
        <w:rPr>
          <w:lang w:val="fr-CH"/>
        </w:rPr>
        <w:t>ndamental</w:t>
      </w:r>
      <w:r w:rsidR="00257B90" w:rsidRPr="0071782F">
        <w:rPr>
          <w:lang w:val="fr-CH"/>
        </w:rPr>
        <w:t>e destinée à promouvoir la connaissance de la religion et à développer les activités coraniques</w:t>
      </w:r>
      <w:r w:rsidRPr="0071782F">
        <w:rPr>
          <w:lang w:val="fr-CH"/>
        </w:rPr>
        <w:t>.</w:t>
      </w:r>
    </w:p>
    <w:p w:rsidR="00AD5035" w:rsidRPr="0071782F" w:rsidRDefault="00AD5035" w:rsidP="00930639">
      <w:pPr>
        <w:pStyle w:val="SingleTxtG"/>
        <w:ind w:left="1701"/>
        <w:rPr>
          <w:lang w:val="fr-CH"/>
        </w:rPr>
      </w:pPr>
      <w:r w:rsidRPr="0071782F">
        <w:rPr>
          <w:lang w:val="fr-CH"/>
        </w:rPr>
        <w:t>449.5.</w:t>
      </w:r>
      <w:r w:rsidRPr="0071782F">
        <w:rPr>
          <w:lang w:val="fr-CH"/>
        </w:rPr>
        <w:tab/>
      </w:r>
      <w:r w:rsidR="00927D85" w:rsidRPr="0071782F">
        <w:rPr>
          <w:lang w:val="fr-CH"/>
        </w:rPr>
        <w:t>Élaboration d’un plan-cadre pour la diffusion et le développement de la culture de la prière</w:t>
      </w:r>
      <w:r w:rsidRPr="0071782F">
        <w:rPr>
          <w:lang w:val="fr-CH"/>
        </w:rPr>
        <w:t>.</w:t>
      </w:r>
    </w:p>
    <w:p w:rsidR="00AD5035" w:rsidRPr="0071782F" w:rsidRDefault="00AD5035" w:rsidP="00930639">
      <w:pPr>
        <w:pStyle w:val="SingleTxtG"/>
        <w:ind w:left="1701"/>
        <w:rPr>
          <w:lang w:val="fr-CH"/>
        </w:rPr>
      </w:pPr>
      <w:r w:rsidRPr="0071782F">
        <w:rPr>
          <w:lang w:val="fr-CH"/>
        </w:rPr>
        <w:t>449.6.</w:t>
      </w:r>
      <w:r w:rsidRPr="0071782F">
        <w:rPr>
          <w:lang w:val="fr-CH"/>
        </w:rPr>
        <w:tab/>
      </w:r>
      <w:r w:rsidR="00927D85" w:rsidRPr="0071782F">
        <w:rPr>
          <w:lang w:val="fr-CH"/>
        </w:rPr>
        <w:t xml:space="preserve">Élaboration par l’Organisme de diffusion de l’islam et l’Organisme des donations et affaires caritatives, en collaboration avec l’Organisme du patrimoine culturel, d’un plan-cadre </w:t>
      </w:r>
      <w:r w:rsidR="00246A07" w:rsidRPr="0071782F">
        <w:rPr>
          <w:lang w:val="fr-CH"/>
        </w:rPr>
        <w:t>visant à</w:t>
      </w:r>
      <w:r w:rsidR="00927D85" w:rsidRPr="0071782F">
        <w:rPr>
          <w:lang w:val="fr-CH"/>
        </w:rPr>
        <w:t xml:space="preserve"> augmenter le nombre des espaces religieux et des mosquées d’ici à la fin du </w:t>
      </w:r>
      <w:r w:rsidR="00A90208" w:rsidRPr="0071782F">
        <w:rPr>
          <w:lang w:val="fr-CH"/>
        </w:rPr>
        <w:t>quatrième</w:t>
      </w:r>
      <w:r w:rsidR="00927D85" w:rsidRPr="0071782F">
        <w:rPr>
          <w:lang w:val="fr-CH"/>
        </w:rPr>
        <w:t xml:space="preserve"> plan de développement</w:t>
      </w:r>
      <w:r w:rsidRPr="0071782F">
        <w:rPr>
          <w:lang w:val="fr-CH"/>
        </w:rPr>
        <w:t>.</w:t>
      </w:r>
    </w:p>
    <w:p w:rsidR="00AD5035" w:rsidRPr="0071782F" w:rsidRDefault="00AD5035" w:rsidP="00930639">
      <w:pPr>
        <w:pStyle w:val="SingleTxtG"/>
        <w:ind w:left="1701"/>
        <w:rPr>
          <w:lang w:val="fr-CH"/>
        </w:rPr>
      </w:pPr>
      <w:r w:rsidRPr="0071782F">
        <w:rPr>
          <w:lang w:val="fr-CH"/>
        </w:rPr>
        <w:t>449.7.</w:t>
      </w:r>
      <w:r w:rsidRPr="0071782F">
        <w:rPr>
          <w:lang w:val="fr-CH"/>
        </w:rPr>
        <w:tab/>
      </w:r>
      <w:r w:rsidR="00927D85" w:rsidRPr="0071782F">
        <w:rPr>
          <w:lang w:val="fr-CH"/>
        </w:rPr>
        <w:t>Poursuite du mouvement pour l’enseignement du Coran</w:t>
      </w:r>
      <w:r w:rsidRPr="0071782F">
        <w:rPr>
          <w:lang w:val="fr-CH"/>
        </w:rPr>
        <w:t>.</w:t>
      </w:r>
    </w:p>
    <w:p w:rsidR="00AD5035" w:rsidRPr="0071782F" w:rsidRDefault="00AD5035" w:rsidP="00930639">
      <w:pPr>
        <w:pStyle w:val="SingleTxtG"/>
        <w:ind w:left="1701"/>
        <w:rPr>
          <w:lang w:val="fr-CH"/>
        </w:rPr>
      </w:pPr>
      <w:r w:rsidRPr="0071782F">
        <w:rPr>
          <w:lang w:val="fr-CH"/>
        </w:rPr>
        <w:t>449.8.</w:t>
      </w:r>
      <w:r w:rsidRPr="0071782F">
        <w:rPr>
          <w:lang w:val="fr-CH"/>
        </w:rPr>
        <w:tab/>
      </w:r>
      <w:r w:rsidR="00B025F7" w:rsidRPr="0071782F">
        <w:rPr>
          <w:lang w:val="fr-CH"/>
        </w:rPr>
        <w:t>Augmentation du nombre de livres religieux lus dans le pays, en particulier dans les régions défavorisées, et création de bibliothèques religieuses dans les mosquées et autres lieux de culte.</w:t>
      </w:r>
    </w:p>
    <w:p w:rsidR="00AD5035" w:rsidRPr="0071782F" w:rsidRDefault="00AD5035" w:rsidP="00930639">
      <w:pPr>
        <w:pStyle w:val="SingleTxtG"/>
        <w:ind w:left="1701"/>
        <w:rPr>
          <w:lang w:val="fr-CH"/>
        </w:rPr>
      </w:pPr>
      <w:r w:rsidRPr="0071782F">
        <w:rPr>
          <w:lang w:val="fr-CH"/>
        </w:rPr>
        <w:t>449.9.</w:t>
      </w:r>
      <w:r w:rsidRPr="0071782F">
        <w:rPr>
          <w:lang w:val="fr-CH"/>
        </w:rPr>
        <w:tab/>
      </w:r>
      <w:r w:rsidR="00B025F7" w:rsidRPr="0071782F">
        <w:rPr>
          <w:lang w:val="fr-CH"/>
        </w:rPr>
        <w:t>Élaboration d’un plan-cadre pour le développement de la culture du don et de la charité</w:t>
      </w:r>
      <w:r w:rsidRPr="0071782F">
        <w:rPr>
          <w:lang w:val="fr-CH"/>
        </w:rPr>
        <w:t>.</w:t>
      </w:r>
    </w:p>
    <w:p w:rsidR="00AD5035" w:rsidRPr="0071782F" w:rsidRDefault="00AD5035" w:rsidP="00930639">
      <w:pPr>
        <w:pStyle w:val="SingleTxtG"/>
        <w:ind w:left="1701"/>
        <w:rPr>
          <w:lang w:val="fr-CH"/>
        </w:rPr>
      </w:pPr>
      <w:r w:rsidRPr="0071782F">
        <w:rPr>
          <w:lang w:val="fr-CH"/>
        </w:rPr>
        <w:t xml:space="preserve">449.10. </w:t>
      </w:r>
      <w:r w:rsidR="00B025F7" w:rsidRPr="0071782F">
        <w:rPr>
          <w:lang w:val="fr-CH"/>
        </w:rPr>
        <w:t xml:space="preserve">Mise en </w:t>
      </w:r>
      <w:r w:rsidR="00D5366B" w:rsidRPr="0071782F">
        <w:rPr>
          <w:lang w:val="fr-CH"/>
        </w:rPr>
        <w:t>œuvre</w:t>
      </w:r>
      <w:r w:rsidR="00B025F7" w:rsidRPr="0071782F">
        <w:rPr>
          <w:lang w:val="fr-CH"/>
        </w:rPr>
        <w:t xml:space="preserve"> de méthodes, de stratégies et d’outils modernes de diffusion de la religion</w:t>
      </w:r>
      <w:r w:rsidRPr="0071782F">
        <w:rPr>
          <w:lang w:val="fr-CH"/>
        </w:rPr>
        <w:t>.</w:t>
      </w:r>
    </w:p>
    <w:p w:rsidR="00AD5035" w:rsidRPr="0071782F" w:rsidRDefault="00AD5035" w:rsidP="00930639">
      <w:pPr>
        <w:pStyle w:val="SingleTxtG"/>
        <w:ind w:left="1701"/>
        <w:rPr>
          <w:lang w:val="fr-CH"/>
        </w:rPr>
      </w:pPr>
      <w:r w:rsidRPr="0071782F">
        <w:rPr>
          <w:lang w:val="fr-CH"/>
        </w:rPr>
        <w:t xml:space="preserve">449.11. </w:t>
      </w:r>
      <w:r w:rsidR="00B025F7" w:rsidRPr="0071782F">
        <w:rPr>
          <w:lang w:val="fr-CH"/>
        </w:rPr>
        <w:t>Appui à la planification de la diffusion de la religion, à l’évaluation des besoins en la matière et à la formation des agents de cette diffusion en vue d’en améliorer la qualité</w:t>
      </w:r>
      <w:r w:rsidRPr="0071782F">
        <w:rPr>
          <w:lang w:val="fr-CH"/>
        </w:rPr>
        <w:t>.</w:t>
      </w:r>
    </w:p>
    <w:p w:rsidR="00AD5035" w:rsidRPr="0071782F" w:rsidRDefault="00AD5035" w:rsidP="00930639">
      <w:pPr>
        <w:pStyle w:val="SingleTxtG"/>
        <w:ind w:left="1701"/>
        <w:rPr>
          <w:lang w:val="fr-CH"/>
        </w:rPr>
      </w:pPr>
      <w:r w:rsidRPr="0071782F">
        <w:rPr>
          <w:lang w:val="fr-CH"/>
        </w:rPr>
        <w:t xml:space="preserve">449.12. </w:t>
      </w:r>
      <w:r w:rsidR="00B025F7" w:rsidRPr="0071782F">
        <w:rPr>
          <w:lang w:val="fr-CH"/>
        </w:rPr>
        <w:t xml:space="preserve">Poursuite du </w:t>
      </w:r>
      <w:r w:rsidRPr="0071782F">
        <w:rPr>
          <w:lang w:val="fr-CH"/>
        </w:rPr>
        <w:t>program</w:t>
      </w:r>
      <w:r w:rsidR="00B025F7" w:rsidRPr="0071782F">
        <w:rPr>
          <w:lang w:val="fr-CH"/>
        </w:rPr>
        <w:t xml:space="preserve">me de </w:t>
      </w:r>
      <w:r w:rsidRPr="0071782F">
        <w:rPr>
          <w:lang w:val="fr-CH"/>
        </w:rPr>
        <w:t>promoti</w:t>
      </w:r>
      <w:r w:rsidR="00B025F7" w:rsidRPr="0071782F">
        <w:rPr>
          <w:lang w:val="fr-CH"/>
        </w:rPr>
        <w:t xml:space="preserve">on de la </w:t>
      </w:r>
      <w:r w:rsidRPr="0071782F">
        <w:rPr>
          <w:lang w:val="fr-CH"/>
        </w:rPr>
        <w:t xml:space="preserve">culture </w:t>
      </w:r>
      <w:r w:rsidR="00B025F7" w:rsidRPr="0071782F">
        <w:rPr>
          <w:lang w:val="fr-CH"/>
        </w:rPr>
        <w:t>du</w:t>
      </w:r>
      <w:r w:rsidRPr="0071782F">
        <w:rPr>
          <w:lang w:val="fr-CH"/>
        </w:rPr>
        <w:t xml:space="preserve"> sacrifice </w:t>
      </w:r>
      <w:r w:rsidR="00B025F7" w:rsidRPr="0071782F">
        <w:rPr>
          <w:lang w:val="fr-CH"/>
        </w:rPr>
        <w:t>et du martyre</w:t>
      </w:r>
      <w:r w:rsidRPr="0071782F">
        <w:rPr>
          <w:lang w:val="fr-CH"/>
        </w:rPr>
        <w:t>.</w:t>
      </w:r>
    </w:p>
    <w:p w:rsidR="00AD5035" w:rsidRPr="0071782F" w:rsidRDefault="00B025F7" w:rsidP="00930639">
      <w:pPr>
        <w:pStyle w:val="SingleTxtG"/>
        <w:ind w:left="1701"/>
        <w:rPr>
          <w:lang w:val="fr-CH"/>
        </w:rPr>
      </w:pPr>
      <w:r w:rsidRPr="0071782F">
        <w:rPr>
          <w:lang w:val="fr-CH"/>
        </w:rPr>
        <w:t>449.13. Organis</w:t>
      </w:r>
      <w:r w:rsidR="00AD5035" w:rsidRPr="0071782F">
        <w:rPr>
          <w:lang w:val="fr-CH"/>
        </w:rPr>
        <w:t xml:space="preserve">ation </w:t>
      </w:r>
      <w:r w:rsidRPr="0071782F">
        <w:rPr>
          <w:lang w:val="fr-CH"/>
        </w:rPr>
        <w:t>de la diffusion médiatique</w:t>
      </w:r>
      <w:r w:rsidR="00AD5035" w:rsidRPr="0071782F">
        <w:rPr>
          <w:lang w:val="fr-CH"/>
        </w:rPr>
        <w:t xml:space="preserve">, </w:t>
      </w:r>
      <w:r w:rsidRPr="0071782F">
        <w:rPr>
          <w:lang w:val="fr-CH"/>
        </w:rPr>
        <w:t>amélioration du contenu des manuels, mise en place d’un cadre et de structures juridiques destinés à protéger et à approfondir l’identité islamique de l’Iran, et renforcement de l’institution familiale conformément à la tradition spirituelle de la société iranienne</w:t>
      </w:r>
      <w:r w:rsidR="00AD5035" w:rsidRPr="0071782F">
        <w:rPr>
          <w:lang w:val="fr-CH"/>
        </w:rPr>
        <w:t>.</w:t>
      </w:r>
    </w:p>
    <w:p w:rsidR="00AD5035" w:rsidRPr="0071782F" w:rsidRDefault="00AD5035" w:rsidP="00930639">
      <w:pPr>
        <w:pStyle w:val="SingleTxtG"/>
        <w:ind w:left="1701"/>
        <w:rPr>
          <w:lang w:val="fr-CH"/>
        </w:rPr>
      </w:pPr>
      <w:r w:rsidRPr="0071782F">
        <w:rPr>
          <w:lang w:val="fr-CH"/>
        </w:rPr>
        <w:t xml:space="preserve">449.14. </w:t>
      </w:r>
      <w:r w:rsidR="00905B1A" w:rsidRPr="0071782F">
        <w:rPr>
          <w:lang w:val="fr-CH"/>
        </w:rPr>
        <w:t xml:space="preserve">Élaboration et exécution de programmes éducatifs et de diffusion à tous les niveaux de la société pour développer et approfondir la culture du travail et de l’ordre social, et pour souligner la valeur du temps et la nécessité d’en tenir compte dans toutes les activités. </w:t>
      </w:r>
    </w:p>
    <w:p w:rsidR="00AD5035" w:rsidRPr="0071782F" w:rsidRDefault="00AD5035" w:rsidP="00930639">
      <w:pPr>
        <w:pStyle w:val="SingleTxtG"/>
        <w:ind w:left="1701"/>
        <w:rPr>
          <w:lang w:val="fr-CH"/>
        </w:rPr>
      </w:pPr>
      <w:r w:rsidRPr="0071782F">
        <w:rPr>
          <w:lang w:val="fr-CH"/>
        </w:rPr>
        <w:t xml:space="preserve">449.15. </w:t>
      </w:r>
      <w:r w:rsidR="00905B1A" w:rsidRPr="0071782F">
        <w:rPr>
          <w:lang w:val="fr-CH"/>
        </w:rPr>
        <w:t xml:space="preserve">Élaboration, au plus tard à la fin du </w:t>
      </w:r>
      <w:r w:rsidR="00A90208" w:rsidRPr="0071782F">
        <w:rPr>
          <w:lang w:val="fr-CH"/>
        </w:rPr>
        <w:t>quatrième</w:t>
      </w:r>
      <w:r w:rsidR="00905B1A" w:rsidRPr="0071782F">
        <w:rPr>
          <w:lang w:val="fr-CH"/>
        </w:rPr>
        <w:t xml:space="preserve"> plan de développement, du plan-cadre pour l’étude et l’application de la convergence religieuse</w:t>
      </w:r>
      <w:r w:rsidRPr="0071782F">
        <w:rPr>
          <w:lang w:val="fr-CH"/>
        </w:rPr>
        <w:t xml:space="preserve">, </w:t>
      </w:r>
      <w:r w:rsidR="00905B1A" w:rsidRPr="0071782F">
        <w:rPr>
          <w:lang w:val="fr-CH"/>
        </w:rPr>
        <w:t xml:space="preserve">dans le but de renforcer la </w:t>
      </w:r>
      <w:r w:rsidRPr="0071782F">
        <w:rPr>
          <w:lang w:val="fr-CH"/>
        </w:rPr>
        <w:t xml:space="preserve">convergence </w:t>
      </w:r>
      <w:r w:rsidR="00905B1A" w:rsidRPr="0071782F">
        <w:rPr>
          <w:lang w:val="fr-CH"/>
        </w:rPr>
        <w:t xml:space="preserve">entre les différentes </w:t>
      </w:r>
      <w:r w:rsidRPr="0071782F">
        <w:rPr>
          <w:lang w:val="fr-CH"/>
        </w:rPr>
        <w:t>sect</w:t>
      </w:r>
      <w:r w:rsidR="00905B1A" w:rsidRPr="0071782F">
        <w:rPr>
          <w:lang w:val="fr-CH"/>
        </w:rPr>
        <w:t>e</w:t>
      </w:r>
      <w:r w:rsidRPr="0071782F">
        <w:rPr>
          <w:lang w:val="fr-CH"/>
        </w:rPr>
        <w:t xml:space="preserve">s </w:t>
      </w:r>
      <w:r w:rsidR="00905B1A" w:rsidRPr="0071782F">
        <w:rPr>
          <w:lang w:val="fr-CH"/>
        </w:rPr>
        <w:t>et</w:t>
      </w:r>
      <w:r w:rsidRPr="0071782F">
        <w:rPr>
          <w:lang w:val="fr-CH"/>
        </w:rPr>
        <w:t xml:space="preserve"> religions </w:t>
      </w:r>
      <w:r w:rsidR="00905B1A" w:rsidRPr="0071782F">
        <w:rPr>
          <w:lang w:val="fr-CH"/>
        </w:rPr>
        <w:t>du pays</w:t>
      </w:r>
      <w:r w:rsidRPr="0071782F">
        <w:rPr>
          <w:lang w:val="fr-CH"/>
        </w:rPr>
        <w:t>.</w:t>
      </w:r>
    </w:p>
    <w:p w:rsidR="00AD5035" w:rsidRPr="0071782F" w:rsidRDefault="00AD5035" w:rsidP="00930639">
      <w:pPr>
        <w:pStyle w:val="SingleTxtG"/>
        <w:ind w:left="1701"/>
        <w:rPr>
          <w:lang w:val="fr-CH"/>
        </w:rPr>
      </w:pPr>
      <w:r w:rsidRPr="0071782F">
        <w:rPr>
          <w:lang w:val="fr-CH"/>
        </w:rPr>
        <w:t xml:space="preserve">449.16. </w:t>
      </w:r>
      <w:r w:rsidR="00791EF6" w:rsidRPr="0071782F">
        <w:rPr>
          <w:lang w:val="fr-CH"/>
        </w:rPr>
        <w:t xml:space="preserve">Développement de la participation de la population dans le domaine de la culture religieuse, et planification et </w:t>
      </w:r>
      <w:r w:rsidRPr="0071782F">
        <w:rPr>
          <w:lang w:val="fr-CH"/>
        </w:rPr>
        <w:t xml:space="preserve">adoption </w:t>
      </w:r>
      <w:r w:rsidR="00791EF6" w:rsidRPr="0071782F">
        <w:rPr>
          <w:lang w:val="fr-CH"/>
        </w:rPr>
        <w:t xml:space="preserve">des mesures nécessaires à la </w:t>
      </w:r>
      <w:r w:rsidRPr="0071782F">
        <w:rPr>
          <w:lang w:val="fr-CH"/>
        </w:rPr>
        <w:t xml:space="preserve">protection </w:t>
      </w:r>
      <w:r w:rsidR="00791EF6" w:rsidRPr="0071782F">
        <w:rPr>
          <w:lang w:val="fr-CH"/>
        </w:rPr>
        <w:t xml:space="preserve">des organisations et groupes religieux afin d’améliorer la qualité des activités et d’éviter </w:t>
      </w:r>
      <w:r w:rsidRPr="0071782F">
        <w:rPr>
          <w:lang w:val="fr-CH"/>
        </w:rPr>
        <w:t xml:space="preserve">superstitions </w:t>
      </w:r>
      <w:r w:rsidR="00791EF6" w:rsidRPr="0071782F">
        <w:rPr>
          <w:lang w:val="fr-CH"/>
        </w:rPr>
        <w:t>et</w:t>
      </w:r>
      <w:r w:rsidRPr="0071782F">
        <w:rPr>
          <w:lang w:val="fr-CH"/>
        </w:rPr>
        <w:t xml:space="preserve"> d</w:t>
      </w:r>
      <w:r w:rsidR="00791EF6" w:rsidRPr="0071782F">
        <w:rPr>
          <w:lang w:val="fr-CH"/>
        </w:rPr>
        <w:t>é</w:t>
      </w:r>
      <w:r w:rsidRPr="0071782F">
        <w:rPr>
          <w:lang w:val="fr-CH"/>
        </w:rPr>
        <w:t>viations.</w:t>
      </w:r>
      <w:r w:rsidR="00BF7680">
        <w:rPr>
          <w:lang w:val="fr-CH"/>
        </w:rPr>
        <w:t xml:space="preserve"> </w:t>
      </w:r>
    </w:p>
    <w:p w:rsidR="00AD5035" w:rsidRPr="0071782F" w:rsidRDefault="00AD5035" w:rsidP="00930639">
      <w:pPr>
        <w:pStyle w:val="SingleTxtG"/>
        <w:ind w:left="1701"/>
        <w:rPr>
          <w:lang w:val="fr-CH"/>
        </w:rPr>
      </w:pPr>
      <w:r w:rsidRPr="0071782F">
        <w:rPr>
          <w:lang w:val="fr-CH"/>
        </w:rPr>
        <w:t xml:space="preserve">449.17. </w:t>
      </w:r>
      <w:r w:rsidR="000334C5" w:rsidRPr="0071782F">
        <w:rPr>
          <w:lang w:val="fr-CH"/>
        </w:rPr>
        <w:t>Octroi aux séminaires religieux des mêmes moyens et exemptions que ceux dont bénéficient les établissements d’enseignement et de recherche.</w:t>
      </w:r>
    </w:p>
    <w:p w:rsidR="00AD5035" w:rsidRPr="0071782F" w:rsidRDefault="00AD5035" w:rsidP="00930639">
      <w:pPr>
        <w:pStyle w:val="SingleTxtG"/>
        <w:ind w:left="1701"/>
        <w:rPr>
          <w:lang w:val="fr-CH"/>
        </w:rPr>
      </w:pPr>
      <w:r w:rsidRPr="0071782F">
        <w:rPr>
          <w:lang w:val="fr-CH"/>
        </w:rPr>
        <w:t xml:space="preserve">449.18. </w:t>
      </w:r>
      <w:r w:rsidR="000334C5" w:rsidRPr="0071782F">
        <w:rPr>
          <w:lang w:val="fr-CH"/>
        </w:rPr>
        <w:t>Afin d’améliorer la recherche sur les fondements théoriques et religieux du système, et de traiter les questions religieuses qui se posent aujourd’hui à la République islamique d’Iran</w:t>
      </w:r>
      <w:r w:rsidRPr="0071782F">
        <w:rPr>
          <w:lang w:val="fr-CH"/>
        </w:rPr>
        <w:t xml:space="preserve">, </w:t>
      </w:r>
      <w:r w:rsidR="000334C5" w:rsidRPr="0071782F">
        <w:rPr>
          <w:lang w:val="fr-CH"/>
        </w:rPr>
        <w:t xml:space="preserve">le Bureau de diffusion de la religion du séminaire de </w:t>
      </w:r>
      <w:r w:rsidRPr="0071782F">
        <w:rPr>
          <w:lang w:val="fr-CH"/>
        </w:rPr>
        <w:t xml:space="preserve">Qom </w:t>
      </w:r>
      <w:r w:rsidR="000334C5" w:rsidRPr="0071782F">
        <w:rPr>
          <w:lang w:val="fr-CH"/>
        </w:rPr>
        <w:t xml:space="preserve">est tenu, dans le cadre du </w:t>
      </w:r>
      <w:r w:rsidR="00A90208" w:rsidRPr="0071782F">
        <w:rPr>
          <w:lang w:val="fr-CH"/>
        </w:rPr>
        <w:t>quatrième</w:t>
      </w:r>
      <w:r w:rsidR="000334C5" w:rsidRPr="0071782F">
        <w:rPr>
          <w:lang w:val="fr-CH"/>
        </w:rPr>
        <w:t xml:space="preserve"> plan de développement, de faciliter comme il convient cette entreprise en utilisant tou</w:t>
      </w:r>
      <w:r w:rsidRPr="0071782F">
        <w:rPr>
          <w:lang w:val="fr-CH"/>
        </w:rPr>
        <w:t xml:space="preserve">s </w:t>
      </w:r>
      <w:r w:rsidR="000334C5" w:rsidRPr="0071782F">
        <w:rPr>
          <w:lang w:val="fr-CH"/>
        </w:rPr>
        <w:t>les moyens et capacités scientifiques disponibles</w:t>
      </w:r>
      <w:r w:rsidRPr="0071782F">
        <w:rPr>
          <w:lang w:val="fr-CH"/>
        </w:rPr>
        <w:t xml:space="preserve"> </w:t>
      </w:r>
      <w:r w:rsidR="000334C5" w:rsidRPr="0071782F">
        <w:rPr>
          <w:lang w:val="fr-CH"/>
        </w:rPr>
        <w:t>dans le domaine de la recherche religieuse</w:t>
      </w:r>
      <w:r w:rsidRPr="0071782F">
        <w:rPr>
          <w:lang w:val="fr-CH"/>
        </w:rPr>
        <w:t>.</w:t>
      </w:r>
      <w:r w:rsidR="00A62149" w:rsidRPr="0071782F">
        <w:rPr>
          <w:lang w:val="fr-CH"/>
        </w:rPr>
        <w:t>"</w:t>
      </w:r>
    </w:p>
    <w:p w:rsidR="00AD5035" w:rsidRPr="0071782F" w:rsidRDefault="00AD5035" w:rsidP="00930639">
      <w:pPr>
        <w:pStyle w:val="SingleTxtG"/>
        <w:rPr>
          <w:lang w:val="fr-CH"/>
        </w:rPr>
      </w:pPr>
      <w:r w:rsidRPr="0071782F">
        <w:rPr>
          <w:lang w:val="fr-CH"/>
        </w:rPr>
        <w:t>450.</w:t>
      </w:r>
      <w:r w:rsidRPr="0071782F">
        <w:rPr>
          <w:lang w:val="fr-CH"/>
        </w:rPr>
        <w:tab/>
      </w:r>
      <w:r w:rsidR="000334C5" w:rsidRPr="0071782F">
        <w:rPr>
          <w:lang w:val="fr-CH"/>
        </w:rPr>
        <w:t xml:space="preserve">En vertu de </w:t>
      </w:r>
      <w:r w:rsidR="00723F2B" w:rsidRPr="0071782F">
        <w:rPr>
          <w:lang w:val="fr-CH"/>
        </w:rPr>
        <w:t>l’</w:t>
      </w:r>
      <w:r w:rsidR="00943A69" w:rsidRPr="0071782F">
        <w:rPr>
          <w:lang w:val="fr-CH"/>
        </w:rPr>
        <w:t>article </w:t>
      </w:r>
      <w:r w:rsidRPr="0071782F">
        <w:rPr>
          <w:lang w:val="fr-CH"/>
        </w:rPr>
        <w:t>107</w:t>
      </w:r>
      <w:r w:rsidR="000334C5" w:rsidRPr="0071782F">
        <w:rPr>
          <w:lang w:val="fr-CH"/>
        </w:rPr>
        <w:t>,</w:t>
      </w:r>
      <w:r w:rsidRPr="0071782F">
        <w:rPr>
          <w:lang w:val="fr-CH"/>
        </w:rPr>
        <w:t xml:space="preserve"> </w:t>
      </w:r>
    </w:p>
    <w:p w:rsidR="00AD5035" w:rsidRPr="0071782F" w:rsidRDefault="00A62149" w:rsidP="00930639">
      <w:pPr>
        <w:pStyle w:val="SingleTxtG"/>
        <w:ind w:left="1701"/>
        <w:rPr>
          <w:lang w:val="fr-CH"/>
        </w:rPr>
      </w:pPr>
      <w:r w:rsidRPr="0071782F">
        <w:rPr>
          <w:lang w:val="fr-CH"/>
        </w:rPr>
        <w:t>"</w:t>
      </w:r>
      <w:r w:rsidR="00723F2B" w:rsidRPr="0071782F">
        <w:rPr>
          <w:lang w:val="fr-CH"/>
        </w:rPr>
        <w:t>L’</w:t>
      </w:r>
      <w:r w:rsidR="00943A69" w:rsidRPr="0071782F">
        <w:rPr>
          <w:lang w:val="fr-CH"/>
        </w:rPr>
        <w:t>article </w:t>
      </w:r>
      <w:r w:rsidR="00AD5035" w:rsidRPr="0071782F">
        <w:rPr>
          <w:lang w:val="fr-CH"/>
        </w:rPr>
        <w:t xml:space="preserve">163 </w:t>
      </w:r>
      <w:r w:rsidR="000334C5" w:rsidRPr="0071782F">
        <w:rPr>
          <w:lang w:val="fr-CH"/>
        </w:rPr>
        <w:t xml:space="preserve">du </w:t>
      </w:r>
      <w:r w:rsidR="009E6189" w:rsidRPr="009E6189">
        <w:rPr>
          <w:lang w:val="fr-CH"/>
        </w:rPr>
        <w:t>troisième</w:t>
      </w:r>
      <w:r w:rsidR="009E6189">
        <w:rPr>
          <w:lang w:val="fr-CH"/>
        </w:rPr>
        <w:t xml:space="preserve"> </w:t>
      </w:r>
      <w:r w:rsidR="000334C5" w:rsidRPr="0071782F">
        <w:rPr>
          <w:lang w:val="fr-CH"/>
        </w:rPr>
        <w:t>plan de développement économique</w:t>
      </w:r>
      <w:r w:rsidR="00AD5035" w:rsidRPr="0071782F">
        <w:rPr>
          <w:lang w:val="fr-CH"/>
        </w:rPr>
        <w:t xml:space="preserve">, social </w:t>
      </w:r>
      <w:r w:rsidR="000334C5" w:rsidRPr="0071782F">
        <w:rPr>
          <w:lang w:val="fr-CH"/>
        </w:rPr>
        <w:t>et</w:t>
      </w:r>
      <w:r w:rsidR="00AD5035" w:rsidRPr="0071782F">
        <w:rPr>
          <w:lang w:val="fr-CH"/>
        </w:rPr>
        <w:t xml:space="preserve"> cultur</w:t>
      </w:r>
      <w:r w:rsidR="000334C5" w:rsidRPr="0071782F">
        <w:rPr>
          <w:lang w:val="fr-CH"/>
        </w:rPr>
        <w:t>e</w:t>
      </w:r>
      <w:r w:rsidR="00AD5035" w:rsidRPr="0071782F">
        <w:rPr>
          <w:lang w:val="fr-CH"/>
        </w:rPr>
        <w:t>l</w:t>
      </w:r>
      <w:r w:rsidR="000334C5" w:rsidRPr="0071782F">
        <w:rPr>
          <w:lang w:val="fr-CH"/>
        </w:rPr>
        <w:t xml:space="preserve"> de la République islamique d’Iran, adopté le 6 avril 2000, et les modifications apportées à l’occasion du </w:t>
      </w:r>
      <w:r w:rsidR="00A90208" w:rsidRPr="0071782F">
        <w:rPr>
          <w:lang w:val="fr-CH"/>
        </w:rPr>
        <w:t>quatrième</w:t>
      </w:r>
      <w:r w:rsidR="000334C5" w:rsidRPr="0071782F">
        <w:rPr>
          <w:lang w:val="fr-CH"/>
        </w:rPr>
        <w:t xml:space="preserve"> plan de développement économique, social et culturel de la République islamique d’Iran </w:t>
      </w:r>
      <w:r w:rsidR="00AD5035" w:rsidRPr="0071782F">
        <w:rPr>
          <w:lang w:val="fr-CH"/>
        </w:rPr>
        <w:t>(2005</w:t>
      </w:r>
      <w:r w:rsidR="000334C5" w:rsidRPr="0071782F">
        <w:rPr>
          <w:lang w:val="fr-CH"/>
        </w:rPr>
        <w:t>-</w:t>
      </w:r>
      <w:r w:rsidR="00AD5035" w:rsidRPr="0071782F">
        <w:rPr>
          <w:lang w:val="fr-CH"/>
        </w:rPr>
        <w:t xml:space="preserve">2009) </w:t>
      </w:r>
      <w:r w:rsidR="000334C5" w:rsidRPr="0071782F">
        <w:rPr>
          <w:lang w:val="fr-CH"/>
        </w:rPr>
        <w:t>sont ainsi notifiés</w:t>
      </w:r>
      <w:r w:rsidR="00AD5035" w:rsidRPr="0071782F">
        <w:rPr>
          <w:lang w:val="fr-CH"/>
        </w:rPr>
        <w:t>.</w:t>
      </w:r>
      <w:r w:rsidRPr="0071782F">
        <w:rPr>
          <w:lang w:val="fr-CH"/>
        </w:rPr>
        <w:t>"</w:t>
      </w:r>
    </w:p>
    <w:p w:rsidR="00AD5035" w:rsidRPr="0071782F" w:rsidRDefault="00AD5035" w:rsidP="00930639">
      <w:pPr>
        <w:pStyle w:val="SingleTxtG"/>
        <w:rPr>
          <w:lang w:val="fr-CH"/>
        </w:rPr>
      </w:pPr>
      <w:r w:rsidRPr="0071782F">
        <w:rPr>
          <w:lang w:val="fr-CH"/>
        </w:rPr>
        <w:t>451.</w:t>
      </w:r>
      <w:r w:rsidRPr="0071782F">
        <w:rPr>
          <w:lang w:val="fr-CH"/>
        </w:rPr>
        <w:tab/>
      </w:r>
      <w:r w:rsidR="00723F2B" w:rsidRPr="0071782F">
        <w:rPr>
          <w:lang w:val="fr-CH"/>
        </w:rPr>
        <w:t>L’</w:t>
      </w:r>
      <w:r w:rsidR="00943A69" w:rsidRPr="0071782F">
        <w:rPr>
          <w:lang w:val="fr-CH"/>
        </w:rPr>
        <w:t>article </w:t>
      </w:r>
      <w:r w:rsidRPr="0071782F">
        <w:rPr>
          <w:lang w:val="fr-CH"/>
        </w:rPr>
        <w:t xml:space="preserve">163 </w:t>
      </w:r>
      <w:r w:rsidR="000334C5" w:rsidRPr="0071782F">
        <w:rPr>
          <w:lang w:val="fr-CH"/>
        </w:rPr>
        <w:t xml:space="preserve">du </w:t>
      </w:r>
      <w:r w:rsidR="009E6189" w:rsidRPr="009E6189">
        <w:rPr>
          <w:lang w:val="fr-CH"/>
        </w:rPr>
        <w:t>troisième</w:t>
      </w:r>
      <w:r w:rsidR="009E6189">
        <w:rPr>
          <w:lang w:val="fr-CH"/>
        </w:rPr>
        <w:t xml:space="preserve"> </w:t>
      </w:r>
      <w:r w:rsidR="000334C5" w:rsidRPr="0071782F">
        <w:rPr>
          <w:lang w:val="fr-CH"/>
        </w:rPr>
        <w:t>plan de développement est ainsi libellé</w:t>
      </w:r>
      <w:r w:rsidR="008F7D33" w:rsidRPr="0071782F">
        <w:rPr>
          <w:lang w:val="fr-CH"/>
        </w:rPr>
        <w:t>:</w:t>
      </w:r>
    </w:p>
    <w:p w:rsidR="00AD5035" w:rsidRPr="0071782F" w:rsidRDefault="00A62149" w:rsidP="00930639">
      <w:pPr>
        <w:pStyle w:val="SingleTxtG"/>
        <w:ind w:left="1701"/>
        <w:rPr>
          <w:lang w:val="fr-CH"/>
        </w:rPr>
      </w:pPr>
      <w:r w:rsidRPr="0071782F">
        <w:rPr>
          <w:lang w:val="fr-CH"/>
        </w:rPr>
        <w:t>"</w:t>
      </w:r>
      <w:r w:rsidR="004976EE" w:rsidRPr="0071782F">
        <w:rPr>
          <w:lang w:val="fr-CH"/>
        </w:rPr>
        <w:t>Étant donné l’</w:t>
      </w:r>
      <w:r w:rsidR="00AD5035" w:rsidRPr="0071782F">
        <w:rPr>
          <w:lang w:val="fr-CH"/>
        </w:rPr>
        <w:t xml:space="preserve">importance </w:t>
      </w:r>
      <w:r w:rsidR="004976EE" w:rsidRPr="0071782F">
        <w:rPr>
          <w:lang w:val="fr-CH"/>
        </w:rPr>
        <w:t xml:space="preserve">des espaces religieux et des mosquées, les organismes d’exécution visés par le présent </w:t>
      </w:r>
      <w:r w:rsidR="00943A69" w:rsidRPr="0071782F">
        <w:rPr>
          <w:lang w:val="fr-CH"/>
        </w:rPr>
        <w:t>article </w:t>
      </w:r>
      <w:r w:rsidR="004976EE" w:rsidRPr="0071782F">
        <w:rPr>
          <w:lang w:val="fr-CH"/>
        </w:rPr>
        <w:t xml:space="preserve">doivent, au moment de construire, de rénover et d’équiper des mosquées en </w:t>
      </w:r>
      <w:r w:rsidR="00AD5035" w:rsidRPr="0071782F">
        <w:rPr>
          <w:lang w:val="fr-CH"/>
        </w:rPr>
        <w:t xml:space="preserve">collaboration </w:t>
      </w:r>
      <w:r w:rsidR="004976EE" w:rsidRPr="0071782F">
        <w:rPr>
          <w:lang w:val="fr-CH"/>
        </w:rPr>
        <w:t>avec la population et les conseils de ville et de village, adopter les mesures ci-après pendant toute la phase d’exécution du plan de développement</w:t>
      </w:r>
      <w:r w:rsidR="008F7D33" w:rsidRPr="0071782F">
        <w:rPr>
          <w:lang w:val="fr-CH"/>
        </w:rPr>
        <w:t>:</w:t>
      </w:r>
    </w:p>
    <w:p w:rsidR="00AD5035" w:rsidRPr="0071782F" w:rsidRDefault="00AD5035" w:rsidP="00930639">
      <w:pPr>
        <w:pStyle w:val="SingleTxtG"/>
        <w:ind w:left="1701"/>
        <w:rPr>
          <w:lang w:val="fr-CH"/>
        </w:rPr>
      </w:pPr>
      <w:r w:rsidRPr="0071782F">
        <w:rPr>
          <w:lang w:val="fr-CH"/>
        </w:rPr>
        <w:t>451.1.</w:t>
      </w:r>
      <w:r w:rsidRPr="0071782F">
        <w:rPr>
          <w:lang w:val="fr-CH"/>
        </w:rPr>
        <w:tab/>
      </w:r>
      <w:r w:rsidR="004976EE" w:rsidRPr="0071782F">
        <w:rPr>
          <w:lang w:val="fr-CH"/>
        </w:rPr>
        <w:t>Le Ministère du logement et de l’aménagement urbain, les municipalité</w:t>
      </w:r>
      <w:r w:rsidRPr="0071782F">
        <w:rPr>
          <w:lang w:val="fr-CH"/>
        </w:rPr>
        <w:t>s</w:t>
      </w:r>
      <w:r w:rsidR="004976EE" w:rsidRPr="0071782F">
        <w:rPr>
          <w:lang w:val="fr-CH"/>
        </w:rPr>
        <w:t xml:space="preserve"> et les autres entités chargées de concevoir et d’appliquer les directives et les plans-cadres urbains et ruraux doivent appliquer ces plans de manière à renforcer le rôle central des mosquées.</w:t>
      </w:r>
    </w:p>
    <w:p w:rsidR="00AD5035" w:rsidRPr="0071782F" w:rsidRDefault="00AD5035" w:rsidP="00930639">
      <w:pPr>
        <w:pStyle w:val="SingleTxtG"/>
        <w:ind w:left="1701"/>
        <w:rPr>
          <w:lang w:val="fr-CH"/>
        </w:rPr>
      </w:pPr>
      <w:r w:rsidRPr="0071782F">
        <w:rPr>
          <w:lang w:val="fr-CH"/>
        </w:rPr>
        <w:t>451.2.</w:t>
      </w:r>
      <w:r w:rsidRPr="0071782F">
        <w:rPr>
          <w:lang w:val="fr-CH"/>
        </w:rPr>
        <w:tab/>
      </w:r>
      <w:r w:rsidR="007F60DD" w:rsidRPr="0071782F">
        <w:rPr>
          <w:lang w:val="fr-CH"/>
        </w:rPr>
        <w:t xml:space="preserve">Afin de faciliter l’accès aux lieux de culte, le Ministère des routes et des transports et le Ministère du pétrole doivent affecter des crédits imputés à leurs budgets de capital et de fonctionnement à la </w:t>
      </w:r>
      <w:r w:rsidRPr="0071782F">
        <w:rPr>
          <w:lang w:val="fr-CH"/>
        </w:rPr>
        <w:t>construct</w:t>
      </w:r>
      <w:r w:rsidR="007F60DD" w:rsidRPr="0071782F">
        <w:rPr>
          <w:lang w:val="fr-CH"/>
        </w:rPr>
        <w:t>ion de</w:t>
      </w:r>
      <w:r w:rsidRPr="0071782F">
        <w:rPr>
          <w:lang w:val="fr-CH"/>
        </w:rPr>
        <w:t xml:space="preserve"> mosqu</w:t>
      </w:r>
      <w:r w:rsidR="007F60DD" w:rsidRPr="0071782F">
        <w:rPr>
          <w:lang w:val="fr-CH"/>
        </w:rPr>
        <w:t>é</w:t>
      </w:r>
      <w:r w:rsidRPr="0071782F">
        <w:rPr>
          <w:lang w:val="fr-CH"/>
        </w:rPr>
        <w:t xml:space="preserve">es </w:t>
      </w:r>
      <w:r w:rsidR="007F60DD" w:rsidRPr="0071782F">
        <w:rPr>
          <w:lang w:val="fr-CH"/>
        </w:rPr>
        <w:t>et de maisons de prière, et à la gestion et à l’entretien des mosquées et maisons de prière existantes et nouvelles dans les gares de voyageurs et les stations-service positionnées sur le bord des routes</w:t>
      </w:r>
      <w:r w:rsidRPr="0071782F">
        <w:rPr>
          <w:lang w:val="fr-CH"/>
        </w:rPr>
        <w:t xml:space="preserve">. </w:t>
      </w:r>
    </w:p>
    <w:p w:rsidR="00AD5035" w:rsidRPr="0071782F" w:rsidRDefault="00AD5035" w:rsidP="00930639">
      <w:pPr>
        <w:pStyle w:val="SingleTxtG"/>
        <w:ind w:left="1701"/>
        <w:rPr>
          <w:lang w:val="fr-CH"/>
        </w:rPr>
      </w:pPr>
      <w:r w:rsidRPr="0071782F">
        <w:rPr>
          <w:lang w:val="fr-CH"/>
        </w:rPr>
        <w:t>451.3.</w:t>
      </w:r>
      <w:r w:rsidRPr="0071782F">
        <w:rPr>
          <w:lang w:val="fr-CH"/>
        </w:rPr>
        <w:tab/>
      </w:r>
      <w:r w:rsidR="007F60DD" w:rsidRPr="0071782F">
        <w:rPr>
          <w:lang w:val="fr-CH"/>
        </w:rPr>
        <w:t xml:space="preserve">Le </w:t>
      </w:r>
      <w:r w:rsidRPr="0071782F">
        <w:rPr>
          <w:lang w:val="fr-CH"/>
        </w:rPr>
        <w:t>Minist</w:t>
      </w:r>
      <w:r w:rsidR="007F60DD" w:rsidRPr="0071782F">
        <w:rPr>
          <w:lang w:val="fr-CH"/>
        </w:rPr>
        <w:t xml:space="preserve">ère </w:t>
      </w:r>
      <w:r w:rsidR="009B748C" w:rsidRPr="0071782F">
        <w:rPr>
          <w:lang w:val="fr-CH"/>
        </w:rPr>
        <w:t xml:space="preserve">des finances et des affaires économiques </w:t>
      </w:r>
      <w:r w:rsidR="007F60DD" w:rsidRPr="0071782F">
        <w:rPr>
          <w:lang w:val="fr-CH"/>
        </w:rPr>
        <w:t xml:space="preserve">doit considérer comme une dépense légitime </w:t>
      </w:r>
      <w:r w:rsidR="007F37CE" w:rsidRPr="0071782F">
        <w:rPr>
          <w:lang w:val="fr-CH"/>
        </w:rPr>
        <w:t>des personnes</w:t>
      </w:r>
      <w:r w:rsidR="007F60DD" w:rsidRPr="0071782F">
        <w:rPr>
          <w:lang w:val="fr-CH"/>
        </w:rPr>
        <w:t xml:space="preserve"> physiques et morales tout coût occasionné par la </w:t>
      </w:r>
      <w:r w:rsidRPr="0071782F">
        <w:rPr>
          <w:lang w:val="fr-CH"/>
        </w:rPr>
        <w:t xml:space="preserve">construction, </w:t>
      </w:r>
      <w:r w:rsidR="007F60DD" w:rsidRPr="0071782F">
        <w:rPr>
          <w:lang w:val="fr-CH"/>
        </w:rPr>
        <w:t xml:space="preserve">la réparation et l’entretien de </w:t>
      </w:r>
      <w:r w:rsidRPr="0071782F">
        <w:rPr>
          <w:lang w:val="fr-CH"/>
        </w:rPr>
        <w:t>mosqu</w:t>
      </w:r>
      <w:r w:rsidR="007F60DD" w:rsidRPr="0071782F">
        <w:rPr>
          <w:lang w:val="fr-CH"/>
        </w:rPr>
        <w:t>é</w:t>
      </w:r>
      <w:r w:rsidRPr="0071782F">
        <w:rPr>
          <w:lang w:val="fr-CH"/>
        </w:rPr>
        <w:t xml:space="preserve">es </w:t>
      </w:r>
      <w:r w:rsidR="007F60DD" w:rsidRPr="0071782F">
        <w:rPr>
          <w:lang w:val="fr-CH"/>
        </w:rPr>
        <w:t>et autres lieux de culte</w:t>
      </w:r>
      <w:r w:rsidRPr="0071782F">
        <w:rPr>
          <w:lang w:val="fr-CH"/>
        </w:rPr>
        <w:t>.</w:t>
      </w:r>
    </w:p>
    <w:p w:rsidR="00AD5035" w:rsidRPr="0071782F" w:rsidRDefault="00AD5035" w:rsidP="00930639">
      <w:pPr>
        <w:pStyle w:val="SingleTxtG"/>
        <w:ind w:left="1701"/>
        <w:rPr>
          <w:lang w:val="fr-CH"/>
        </w:rPr>
      </w:pPr>
      <w:r w:rsidRPr="0071782F">
        <w:rPr>
          <w:lang w:val="fr-CH"/>
        </w:rPr>
        <w:t>451.4.</w:t>
      </w:r>
      <w:r w:rsidRPr="0071782F">
        <w:rPr>
          <w:lang w:val="fr-CH"/>
        </w:rPr>
        <w:tab/>
      </w:r>
      <w:r w:rsidR="007F60DD" w:rsidRPr="0071782F">
        <w:rPr>
          <w:lang w:val="fr-CH"/>
        </w:rPr>
        <w:t>Les m</w:t>
      </w:r>
      <w:r w:rsidRPr="0071782F">
        <w:rPr>
          <w:lang w:val="fr-CH"/>
        </w:rPr>
        <w:t>unicipalit</w:t>
      </w:r>
      <w:r w:rsidR="007F60DD" w:rsidRPr="0071782F">
        <w:rPr>
          <w:lang w:val="fr-CH"/>
        </w:rPr>
        <w:t>é</w:t>
      </w:r>
      <w:r w:rsidRPr="0071782F">
        <w:rPr>
          <w:lang w:val="fr-CH"/>
        </w:rPr>
        <w:t xml:space="preserve">s </w:t>
      </w:r>
      <w:r w:rsidR="007F60DD" w:rsidRPr="0071782F">
        <w:rPr>
          <w:lang w:val="fr-CH"/>
        </w:rPr>
        <w:t xml:space="preserve">et l’Organisme de gestion des forêts et pâturages sont tenus d’affecter, dans les parcs nationaux et publics, des espaces appropriés pour les mosquées et les maisons de prière. </w:t>
      </w:r>
    </w:p>
    <w:p w:rsidR="00AD5035" w:rsidRPr="0071782F" w:rsidRDefault="00AD5035" w:rsidP="00930639">
      <w:pPr>
        <w:pStyle w:val="SingleTxtG"/>
        <w:ind w:left="1701"/>
        <w:rPr>
          <w:lang w:val="fr-CH"/>
        </w:rPr>
      </w:pPr>
      <w:r w:rsidRPr="0071782F">
        <w:rPr>
          <w:lang w:val="fr-CH"/>
        </w:rPr>
        <w:t>451.5.</w:t>
      </w:r>
      <w:r w:rsidRPr="0071782F">
        <w:rPr>
          <w:lang w:val="fr-CH"/>
        </w:rPr>
        <w:tab/>
      </w:r>
      <w:r w:rsidR="007F60DD" w:rsidRPr="0071782F">
        <w:rPr>
          <w:lang w:val="fr-CH"/>
        </w:rPr>
        <w:t xml:space="preserve">Afin de promouvoir la participation des </w:t>
      </w:r>
      <w:r w:rsidRPr="0071782F">
        <w:rPr>
          <w:lang w:val="fr-CH"/>
        </w:rPr>
        <w:t>mosqu</w:t>
      </w:r>
      <w:r w:rsidR="007F60DD" w:rsidRPr="0071782F">
        <w:rPr>
          <w:lang w:val="fr-CH"/>
        </w:rPr>
        <w:t>é</w:t>
      </w:r>
      <w:r w:rsidRPr="0071782F">
        <w:rPr>
          <w:lang w:val="fr-CH"/>
        </w:rPr>
        <w:t xml:space="preserve">es </w:t>
      </w:r>
      <w:r w:rsidR="007F60DD" w:rsidRPr="0071782F">
        <w:rPr>
          <w:lang w:val="fr-CH"/>
        </w:rPr>
        <w:t xml:space="preserve">et des écoles aux activités sociales et </w:t>
      </w:r>
      <w:r w:rsidRPr="0071782F">
        <w:rPr>
          <w:lang w:val="fr-CH"/>
        </w:rPr>
        <w:t>cultur</w:t>
      </w:r>
      <w:r w:rsidR="007F60DD" w:rsidRPr="0071782F">
        <w:rPr>
          <w:lang w:val="fr-CH"/>
        </w:rPr>
        <w:t xml:space="preserve">elles des quartiers, </w:t>
      </w:r>
      <w:r w:rsidRPr="0071782F">
        <w:rPr>
          <w:lang w:val="fr-CH"/>
        </w:rPr>
        <w:t>villages</w:t>
      </w:r>
      <w:r w:rsidR="007F60DD" w:rsidRPr="0071782F">
        <w:rPr>
          <w:lang w:val="fr-CH"/>
        </w:rPr>
        <w:t xml:space="preserve"> et</w:t>
      </w:r>
      <w:r w:rsidRPr="0071782F">
        <w:rPr>
          <w:lang w:val="fr-CH"/>
        </w:rPr>
        <w:t xml:space="preserve"> </w:t>
      </w:r>
      <w:r w:rsidR="007F60DD" w:rsidRPr="0071782F">
        <w:rPr>
          <w:lang w:val="fr-CH"/>
        </w:rPr>
        <w:t>villes</w:t>
      </w:r>
      <w:r w:rsidRPr="0071782F">
        <w:rPr>
          <w:lang w:val="fr-CH"/>
        </w:rPr>
        <w:t xml:space="preserve">, </w:t>
      </w:r>
      <w:r w:rsidR="007F60DD" w:rsidRPr="0071782F">
        <w:rPr>
          <w:lang w:val="fr-CH"/>
        </w:rPr>
        <w:t>et d’en coordonner les activités organisées, de promouvoir la foi et les valeurs spirituelles et éthiques, et de contribuer à la floraison de l’activité scientifique</w:t>
      </w:r>
      <w:r w:rsidRPr="0071782F">
        <w:rPr>
          <w:lang w:val="fr-CH"/>
        </w:rPr>
        <w:t>, cultur</w:t>
      </w:r>
      <w:r w:rsidR="007F60DD" w:rsidRPr="0071782F">
        <w:rPr>
          <w:lang w:val="fr-CH"/>
        </w:rPr>
        <w:t xml:space="preserve">elle et </w:t>
      </w:r>
      <w:r w:rsidRPr="0071782F">
        <w:rPr>
          <w:lang w:val="fr-CH"/>
        </w:rPr>
        <w:t>artisti</w:t>
      </w:r>
      <w:r w:rsidR="007F60DD" w:rsidRPr="0071782F">
        <w:rPr>
          <w:lang w:val="fr-CH"/>
        </w:rPr>
        <w:t xml:space="preserve">que des différents groupes de la société, et en particulier des jeunes, les mesures ci-après devront être adoptées dans le cadre du </w:t>
      </w:r>
      <w:r w:rsidR="009E6189" w:rsidRPr="009E6189">
        <w:rPr>
          <w:lang w:val="fr-CH"/>
        </w:rPr>
        <w:t>troisième plan</w:t>
      </w:r>
      <w:r w:rsidR="007F60DD" w:rsidRPr="0071782F">
        <w:rPr>
          <w:lang w:val="fr-CH"/>
        </w:rPr>
        <w:t xml:space="preserve"> de développement</w:t>
      </w:r>
      <w:r w:rsidR="008F7D33" w:rsidRPr="0071782F">
        <w:rPr>
          <w:lang w:val="fr-CH"/>
        </w:rPr>
        <w:t>:</w:t>
      </w:r>
      <w:r w:rsidRPr="0071782F">
        <w:rPr>
          <w:lang w:val="fr-CH"/>
        </w:rPr>
        <w:t xml:space="preserve"> </w:t>
      </w:r>
    </w:p>
    <w:p w:rsidR="00AD5035" w:rsidRPr="0071782F" w:rsidRDefault="00E548A6" w:rsidP="00930639">
      <w:pPr>
        <w:pStyle w:val="SingleTxtG"/>
        <w:ind w:left="2268"/>
        <w:rPr>
          <w:lang w:val="fr-CH"/>
        </w:rPr>
      </w:pPr>
      <w:r w:rsidRPr="0071782F">
        <w:rPr>
          <w:lang w:val="fr-CH"/>
        </w:rPr>
        <w:t xml:space="preserve">451.5.1. </w:t>
      </w:r>
      <w:r w:rsidR="00112D14" w:rsidRPr="0071782F">
        <w:rPr>
          <w:lang w:val="fr-CH"/>
        </w:rPr>
        <w:t>Appui f</w:t>
      </w:r>
      <w:r w:rsidR="00AD5035" w:rsidRPr="0071782F">
        <w:rPr>
          <w:lang w:val="fr-CH"/>
        </w:rPr>
        <w:t>inanci</w:t>
      </w:r>
      <w:r w:rsidR="00112D14" w:rsidRPr="0071782F">
        <w:rPr>
          <w:lang w:val="fr-CH"/>
        </w:rPr>
        <w:t>er et juridique à la recherche appliquée visant à recenser les stratégies d’exécution permettant de promouvoir la participation des mosquées et des écoles aux activités sociales et culturelles du pays.</w:t>
      </w:r>
      <w:r w:rsidR="00AD5035" w:rsidRPr="0071782F">
        <w:rPr>
          <w:lang w:val="fr-CH"/>
        </w:rPr>
        <w:t xml:space="preserve"> </w:t>
      </w:r>
    </w:p>
    <w:p w:rsidR="00AD5035" w:rsidRPr="0071782F" w:rsidRDefault="00AD5035" w:rsidP="00930639">
      <w:pPr>
        <w:pStyle w:val="SingleTxtG"/>
        <w:ind w:left="2268"/>
        <w:rPr>
          <w:lang w:val="fr-CH"/>
        </w:rPr>
      </w:pPr>
      <w:r w:rsidRPr="0071782F">
        <w:rPr>
          <w:lang w:val="fr-CH"/>
        </w:rPr>
        <w:t>451.5.2.</w:t>
      </w:r>
      <w:r w:rsidR="00E548A6" w:rsidRPr="0071782F">
        <w:rPr>
          <w:lang w:val="fr-CH"/>
        </w:rPr>
        <w:t xml:space="preserve"> </w:t>
      </w:r>
      <w:r w:rsidRPr="0071782F">
        <w:rPr>
          <w:lang w:val="fr-CH"/>
        </w:rPr>
        <w:t>D</w:t>
      </w:r>
      <w:r w:rsidR="00112D14" w:rsidRPr="0071782F">
        <w:rPr>
          <w:lang w:val="fr-CH"/>
        </w:rPr>
        <w:t>é</w:t>
      </w:r>
      <w:r w:rsidRPr="0071782F">
        <w:rPr>
          <w:lang w:val="fr-CH"/>
        </w:rPr>
        <w:t xml:space="preserve">finition </w:t>
      </w:r>
      <w:r w:rsidR="00112D14" w:rsidRPr="0071782F">
        <w:rPr>
          <w:lang w:val="fr-CH"/>
        </w:rPr>
        <w:t xml:space="preserve">d’activités conjointes sur les plans éducatif, culturel et </w:t>
      </w:r>
      <w:r w:rsidRPr="0071782F">
        <w:rPr>
          <w:lang w:val="fr-CH"/>
        </w:rPr>
        <w:t>artisti</w:t>
      </w:r>
      <w:r w:rsidR="00112D14" w:rsidRPr="0071782F">
        <w:rPr>
          <w:lang w:val="fr-CH"/>
        </w:rPr>
        <w:t>que des mosquées et des écoles conformément aux règles et règlements applicables aux secteurs éducatif, culture</w:t>
      </w:r>
      <w:r w:rsidRPr="0071782F">
        <w:rPr>
          <w:lang w:val="fr-CH"/>
        </w:rPr>
        <w:t>l, artisti</w:t>
      </w:r>
      <w:r w:rsidR="00112D14" w:rsidRPr="0071782F">
        <w:rPr>
          <w:lang w:val="fr-CH"/>
        </w:rPr>
        <w:t>que</w:t>
      </w:r>
      <w:r w:rsidRPr="0071782F">
        <w:rPr>
          <w:lang w:val="fr-CH"/>
        </w:rPr>
        <w:t xml:space="preserve">, </w:t>
      </w:r>
      <w:r w:rsidR="00112D14" w:rsidRPr="0071782F">
        <w:rPr>
          <w:lang w:val="fr-CH"/>
        </w:rPr>
        <w:t>de diffusion de l’islam, de l’éducation physique et du sport</w:t>
      </w:r>
      <w:r w:rsidRPr="0071782F">
        <w:rPr>
          <w:lang w:val="fr-CH"/>
        </w:rPr>
        <w:t>.</w:t>
      </w:r>
    </w:p>
    <w:p w:rsidR="00AD5035" w:rsidRPr="0071782F" w:rsidRDefault="00AD5035" w:rsidP="00930639">
      <w:pPr>
        <w:pStyle w:val="SingleTxtG"/>
        <w:rPr>
          <w:lang w:val="fr-CH"/>
        </w:rPr>
      </w:pPr>
      <w:r w:rsidRPr="0071782F">
        <w:rPr>
          <w:lang w:val="fr-CH"/>
        </w:rPr>
        <w:t>452.</w:t>
      </w:r>
      <w:r w:rsidRPr="0071782F">
        <w:rPr>
          <w:lang w:val="fr-CH"/>
        </w:rPr>
        <w:tab/>
      </w:r>
      <w:r w:rsidR="00C3124B" w:rsidRPr="0071782F">
        <w:rPr>
          <w:lang w:val="fr-CH"/>
        </w:rPr>
        <w:t>Afin de planifier l’affectation et l’utilisation des fonds publics destinés au renouveau et à la rénovation des mosquées, l’</w:t>
      </w:r>
      <w:r w:rsidRPr="0071782F">
        <w:rPr>
          <w:lang w:val="fr-CH"/>
        </w:rPr>
        <w:t xml:space="preserve">assistance </w:t>
      </w:r>
      <w:r w:rsidR="00C3124B" w:rsidRPr="0071782F">
        <w:rPr>
          <w:lang w:val="fr-CH"/>
        </w:rPr>
        <w:t xml:space="preserve">aux centres de recherche des séminaires religieux, les activités de diffusion de la religion et le renforcement de la participation de la population au financement de ces activités, l’Organisme de diffusion de l’islam est tenu d’élaborer, en l’espace d’un an (sur la base des directives du Guide suprême et en consultation avec les autorités compétentes, et une fois les études pertinentes réalisées en </w:t>
      </w:r>
      <w:r w:rsidRPr="0071782F">
        <w:rPr>
          <w:lang w:val="fr-CH"/>
        </w:rPr>
        <w:t xml:space="preserve">collaboration </w:t>
      </w:r>
      <w:r w:rsidR="00C3124B" w:rsidRPr="0071782F">
        <w:rPr>
          <w:lang w:val="fr-CH"/>
        </w:rPr>
        <w:t xml:space="preserve">avec l’Organisme public des affaires </w:t>
      </w:r>
      <w:r w:rsidRPr="0071782F">
        <w:rPr>
          <w:lang w:val="fr-CH"/>
        </w:rPr>
        <w:t>administrative</w:t>
      </w:r>
      <w:r w:rsidR="00C3124B" w:rsidRPr="0071782F">
        <w:rPr>
          <w:lang w:val="fr-CH"/>
        </w:rPr>
        <w:t>s et professionnelles)</w:t>
      </w:r>
      <w:r w:rsidRPr="0071782F">
        <w:rPr>
          <w:lang w:val="fr-CH"/>
        </w:rPr>
        <w:t xml:space="preserve">, </w:t>
      </w:r>
      <w:r w:rsidR="00C3124B" w:rsidRPr="0071782F">
        <w:rPr>
          <w:lang w:val="fr-CH"/>
        </w:rPr>
        <w:t xml:space="preserve">un </w:t>
      </w:r>
      <w:r w:rsidRPr="0071782F">
        <w:rPr>
          <w:lang w:val="fr-CH"/>
        </w:rPr>
        <w:t>program</w:t>
      </w:r>
      <w:r w:rsidR="00C3124B" w:rsidRPr="0071782F">
        <w:rPr>
          <w:lang w:val="fr-CH"/>
        </w:rPr>
        <w:t>me et de le soumettre au Conseil des ministres pour que celui-ci l’examine, l’approuve et en fasse la base de l’utilisation des fonds publics dans ce domaine.</w:t>
      </w:r>
    </w:p>
    <w:p w:rsidR="00AD5035" w:rsidRPr="0071782F" w:rsidRDefault="00B71907" w:rsidP="00930639">
      <w:pPr>
        <w:pStyle w:val="SingleTxtG"/>
        <w:ind w:left="1701"/>
        <w:rPr>
          <w:lang w:val="fr-CH"/>
        </w:rPr>
      </w:pPr>
      <w:r w:rsidRPr="0071782F">
        <w:rPr>
          <w:lang w:val="fr-CH"/>
        </w:rPr>
        <w:t>Note </w:t>
      </w:r>
      <w:r w:rsidR="00AD5035" w:rsidRPr="0071782F">
        <w:rPr>
          <w:lang w:val="fr-CH"/>
        </w:rPr>
        <w:t xml:space="preserve">– </w:t>
      </w:r>
      <w:r w:rsidR="008B574C" w:rsidRPr="0071782F">
        <w:rPr>
          <w:lang w:val="fr-CH"/>
        </w:rPr>
        <w:t>Dans les zones rurales où la population prend à sa charge 50</w:t>
      </w:r>
      <w:r w:rsidR="007E5125" w:rsidRPr="0071782F">
        <w:rPr>
          <w:lang w:val="fr-CH"/>
        </w:rPr>
        <w:t>%</w:t>
      </w:r>
      <w:r w:rsidR="008B574C" w:rsidRPr="0071782F">
        <w:rPr>
          <w:lang w:val="fr-CH"/>
        </w:rPr>
        <w:t xml:space="preserve"> du coût de la construction d’une mosquée, l’État est tenu de fournir les 50</w:t>
      </w:r>
      <w:r w:rsidR="007E5125" w:rsidRPr="0071782F">
        <w:rPr>
          <w:lang w:val="fr-CH"/>
        </w:rPr>
        <w:t>%</w:t>
      </w:r>
      <w:r w:rsidR="008B574C" w:rsidRPr="0071782F">
        <w:rPr>
          <w:lang w:val="fr-CH"/>
        </w:rPr>
        <w:t xml:space="preserve"> restants</w:t>
      </w:r>
      <w:r w:rsidR="00AD5035" w:rsidRPr="0071782F">
        <w:rPr>
          <w:lang w:val="fr-CH"/>
        </w:rPr>
        <w:t>.</w:t>
      </w:r>
      <w:r w:rsidR="00A62149" w:rsidRPr="0071782F">
        <w:rPr>
          <w:lang w:val="fr-CH"/>
        </w:rPr>
        <w:t>"</w:t>
      </w:r>
    </w:p>
    <w:p w:rsidR="00AD5035" w:rsidRPr="0071782F" w:rsidRDefault="00AD5035" w:rsidP="00930639">
      <w:pPr>
        <w:pStyle w:val="SingleTxtG"/>
        <w:rPr>
          <w:lang w:val="fr-CH"/>
        </w:rPr>
      </w:pPr>
      <w:r w:rsidRPr="0071782F">
        <w:rPr>
          <w:lang w:val="fr-CH"/>
        </w:rPr>
        <w:t>453.</w:t>
      </w:r>
      <w:r w:rsidRPr="0071782F">
        <w:rPr>
          <w:lang w:val="fr-CH"/>
        </w:rPr>
        <w:tab/>
      </w:r>
      <w:r w:rsidR="00723F2B" w:rsidRPr="0071782F">
        <w:rPr>
          <w:lang w:val="fr-CH"/>
        </w:rPr>
        <w:t>L’</w:t>
      </w:r>
      <w:r w:rsidR="00943A69" w:rsidRPr="0071782F">
        <w:rPr>
          <w:lang w:val="fr-CH"/>
        </w:rPr>
        <w:t>article </w:t>
      </w:r>
      <w:r w:rsidRPr="0071782F">
        <w:rPr>
          <w:lang w:val="fr-CH"/>
        </w:rPr>
        <w:t xml:space="preserve">109 </w:t>
      </w:r>
      <w:r w:rsidR="008B574C" w:rsidRPr="0071782F">
        <w:rPr>
          <w:lang w:val="fr-CH"/>
        </w:rPr>
        <w:t>est ainsi libellé</w:t>
      </w:r>
      <w:r w:rsidR="008F7D33" w:rsidRPr="0071782F">
        <w:rPr>
          <w:lang w:val="fr-CH"/>
        </w:rPr>
        <w:t>:</w:t>
      </w:r>
    </w:p>
    <w:p w:rsidR="00AD5035" w:rsidRPr="0071782F" w:rsidRDefault="00A62149" w:rsidP="00930639">
      <w:pPr>
        <w:pStyle w:val="SingleTxtG"/>
        <w:ind w:left="1701"/>
        <w:rPr>
          <w:lang w:val="fr-CH"/>
        </w:rPr>
      </w:pPr>
      <w:r w:rsidRPr="0071782F">
        <w:rPr>
          <w:lang w:val="fr-CH"/>
        </w:rPr>
        <w:t>"</w:t>
      </w:r>
      <w:r w:rsidR="007D4DD2" w:rsidRPr="0071782F">
        <w:rPr>
          <w:lang w:val="fr-CH"/>
        </w:rPr>
        <w:t>Afin de protéger et de faire connaître l’identité historique de l’Iran et d’utiliser les éléments de l’identité iranienne, en particulier la langue persane, l’État est tenu de prendre les mesures ci-après</w:t>
      </w:r>
      <w:r w:rsidR="008F7D33" w:rsidRPr="0071782F">
        <w:rPr>
          <w:lang w:val="fr-CH"/>
        </w:rPr>
        <w:t>:</w:t>
      </w:r>
    </w:p>
    <w:p w:rsidR="00AD5035" w:rsidRPr="0071782F" w:rsidRDefault="00AD5035" w:rsidP="00930639">
      <w:pPr>
        <w:pStyle w:val="SingleTxtG"/>
        <w:ind w:left="1701"/>
        <w:rPr>
          <w:lang w:val="fr-CH"/>
        </w:rPr>
      </w:pPr>
      <w:r w:rsidRPr="0071782F">
        <w:rPr>
          <w:lang w:val="fr-CH"/>
        </w:rPr>
        <w:t>453.1.</w:t>
      </w:r>
      <w:r w:rsidRPr="0071782F">
        <w:rPr>
          <w:lang w:val="fr-CH"/>
        </w:rPr>
        <w:tab/>
      </w:r>
      <w:r w:rsidR="001B2DDA" w:rsidRPr="0071782F">
        <w:rPr>
          <w:lang w:val="fr-CH"/>
        </w:rPr>
        <w:t>Appui à la recherche scientifique et</w:t>
      </w:r>
      <w:r w:rsidRPr="0071782F">
        <w:rPr>
          <w:lang w:val="fr-CH"/>
        </w:rPr>
        <w:t xml:space="preserve"> </w:t>
      </w:r>
      <w:r w:rsidR="001B2DDA" w:rsidRPr="0071782F">
        <w:rPr>
          <w:lang w:val="fr-CH"/>
        </w:rPr>
        <w:t>interdisciplinaire sur l’</w:t>
      </w:r>
      <w:r w:rsidRPr="0071782F">
        <w:rPr>
          <w:lang w:val="fr-CH"/>
        </w:rPr>
        <w:t xml:space="preserve">Iran </w:t>
      </w:r>
      <w:r w:rsidR="001B2DDA" w:rsidRPr="0071782F">
        <w:rPr>
          <w:lang w:val="fr-CH"/>
        </w:rPr>
        <w:t xml:space="preserve">et sa </w:t>
      </w:r>
      <w:r w:rsidRPr="0071782F">
        <w:rPr>
          <w:lang w:val="fr-CH"/>
        </w:rPr>
        <w:t>long</w:t>
      </w:r>
      <w:r w:rsidR="001B2DDA" w:rsidRPr="0071782F">
        <w:rPr>
          <w:lang w:val="fr-CH"/>
        </w:rPr>
        <w:t>ue</w:t>
      </w:r>
      <w:r w:rsidRPr="0071782F">
        <w:rPr>
          <w:lang w:val="fr-CH"/>
        </w:rPr>
        <w:t xml:space="preserve"> histo</w:t>
      </w:r>
      <w:r w:rsidR="001B2DDA" w:rsidRPr="0071782F">
        <w:rPr>
          <w:lang w:val="fr-CH"/>
        </w:rPr>
        <w:t>ire</w:t>
      </w:r>
      <w:r w:rsidRPr="0071782F">
        <w:rPr>
          <w:lang w:val="fr-CH"/>
        </w:rPr>
        <w:t xml:space="preserve">, </w:t>
      </w:r>
      <w:r w:rsidR="001B2DDA" w:rsidRPr="0071782F">
        <w:rPr>
          <w:lang w:val="fr-CH"/>
        </w:rPr>
        <w:t>et à l’élaboration des ouvrages et des rapports nécessaires sur les plans général, éducatif et de la recherche.</w:t>
      </w:r>
    </w:p>
    <w:p w:rsidR="00AD5035" w:rsidRPr="0071782F" w:rsidRDefault="00AD5035" w:rsidP="00930639">
      <w:pPr>
        <w:pStyle w:val="SingleTxtG"/>
        <w:ind w:left="1701"/>
        <w:rPr>
          <w:lang w:val="fr-CH"/>
        </w:rPr>
      </w:pPr>
      <w:r w:rsidRPr="0071782F">
        <w:rPr>
          <w:lang w:val="fr-CH"/>
        </w:rPr>
        <w:t>453.2.</w:t>
      </w:r>
      <w:r w:rsidRPr="0071782F">
        <w:rPr>
          <w:lang w:val="fr-CH"/>
        </w:rPr>
        <w:tab/>
      </w:r>
      <w:r w:rsidR="001B2DDA" w:rsidRPr="0071782F">
        <w:rPr>
          <w:lang w:val="fr-CH"/>
        </w:rPr>
        <w:t xml:space="preserve">Étude et collecte organisée des éléments de l’histoire orale, des dialectes, des coutumes et des éléments de la culture </w:t>
      </w:r>
      <w:r w:rsidRPr="0071782F">
        <w:rPr>
          <w:lang w:val="fr-CH"/>
        </w:rPr>
        <w:t>national</w:t>
      </w:r>
      <w:r w:rsidR="001B2DDA" w:rsidRPr="0071782F">
        <w:rPr>
          <w:lang w:val="fr-CH"/>
        </w:rPr>
        <w:t xml:space="preserve">e et </w:t>
      </w:r>
      <w:r w:rsidRPr="0071782F">
        <w:rPr>
          <w:lang w:val="fr-CH"/>
        </w:rPr>
        <w:t>local</w:t>
      </w:r>
      <w:r w:rsidR="001B2DDA" w:rsidRPr="0071782F">
        <w:rPr>
          <w:lang w:val="fr-CH"/>
        </w:rPr>
        <w:t>e</w:t>
      </w:r>
      <w:r w:rsidRPr="0071782F">
        <w:rPr>
          <w:lang w:val="fr-CH"/>
        </w:rPr>
        <w:t>.</w:t>
      </w:r>
    </w:p>
    <w:p w:rsidR="00AD5035" w:rsidRPr="0071782F" w:rsidRDefault="00AD5035" w:rsidP="00930639">
      <w:pPr>
        <w:pStyle w:val="SingleTxtG"/>
        <w:ind w:left="1701"/>
        <w:rPr>
          <w:lang w:val="fr-CH"/>
        </w:rPr>
      </w:pPr>
      <w:r w:rsidRPr="0071782F">
        <w:rPr>
          <w:lang w:val="fr-CH"/>
        </w:rPr>
        <w:t>453.3.</w:t>
      </w:r>
      <w:r w:rsidRPr="0071782F">
        <w:rPr>
          <w:lang w:val="fr-CH"/>
        </w:rPr>
        <w:tab/>
      </w:r>
      <w:r w:rsidR="001B2DDA" w:rsidRPr="0071782F">
        <w:rPr>
          <w:lang w:val="fr-CH"/>
        </w:rPr>
        <w:t xml:space="preserve">Appui à la création de nouvelles ressources et de nouveaux moyens d’information en langue persane, et définition et adoption de normes </w:t>
      </w:r>
      <w:r w:rsidRPr="0071782F">
        <w:rPr>
          <w:lang w:val="fr-CH"/>
        </w:rPr>
        <w:t>national</w:t>
      </w:r>
      <w:r w:rsidR="001B2DDA" w:rsidRPr="0071782F">
        <w:rPr>
          <w:lang w:val="fr-CH"/>
        </w:rPr>
        <w:t>es et</w:t>
      </w:r>
      <w:r w:rsidRPr="0071782F">
        <w:rPr>
          <w:lang w:val="fr-CH"/>
        </w:rPr>
        <w:t xml:space="preserve"> </w:t>
      </w:r>
      <w:r w:rsidR="001B2DDA" w:rsidRPr="0071782F">
        <w:rPr>
          <w:lang w:val="fr-CH"/>
        </w:rPr>
        <w:t>internationales d’inclusion de l’alphabet persan dans les médias électroniques</w:t>
      </w:r>
      <w:r w:rsidRPr="0071782F">
        <w:rPr>
          <w:lang w:val="fr-CH"/>
        </w:rPr>
        <w:t>.</w:t>
      </w:r>
    </w:p>
    <w:p w:rsidR="00AD5035" w:rsidRPr="0071782F" w:rsidRDefault="00AD5035" w:rsidP="00930639">
      <w:pPr>
        <w:pStyle w:val="SingleTxtG"/>
        <w:ind w:left="1701"/>
        <w:rPr>
          <w:lang w:val="fr-CH"/>
        </w:rPr>
      </w:pPr>
      <w:r w:rsidRPr="0071782F">
        <w:rPr>
          <w:lang w:val="fr-CH"/>
        </w:rPr>
        <w:t>453.4.</w:t>
      </w:r>
      <w:r w:rsidRPr="0071782F">
        <w:rPr>
          <w:lang w:val="fr-CH"/>
        </w:rPr>
        <w:tab/>
      </w:r>
      <w:r w:rsidR="001B2DDA" w:rsidRPr="0071782F">
        <w:rPr>
          <w:lang w:val="fr-CH"/>
        </w:rPr>
        <w:t xml:space="preserve">Formation et </w:t>
      </w:r>
      <w:r w:rsidRPr="0071782F">
        <w:rPr>
          <w:lang w:val="fr-CH"/>
        </w:rPr>
        <w:t xml:space="preserve">motivation </w:t>
      </w:r>
      <w:r w:rsidR="001B2DDA" w:rsidRPr="0071782F">
        <w:rPr>
          <w:lang w:val="fr-CH"/>
        </w:rPr>
        <w:t>de professeurs de persan expérimentés à tous les niveaux, en particulier l’enseignement primaire</w:t>
      </w:r>
      <w:r w:rsidRPr="0071782F">
        <w:rPr>
          <w:lang w:val="fr-CH"/>
        </w:rPr>
        <w:t>.</w:t>
      </w:r>
    </w:p>
    <w:p w:rsidR="00AD5035" w:rsidRPr="0071782F" w:rsidRDefault="00AD5035" w:rsidP="00930639">
      <w:pPr>
        <w:pStyle w:val="SingleTxtG"/>
        <w:ind w:left="1701"/>
        <w:rPr>
          <w:lang w:val="fr-CH"/>
        </w:rPr>
      </w:pPr>
      <w:r w:rsidRPr="0071782F">
        <w:rPr>
          <w:lang w:val="fr-CH"/>
        </w:rPr>
        <w:t>453.5.</w:t>
      </w:r>
      <w:r w:rsidRPr="0071782F">
        <w:rPr>
          <w:lang w:val="fr-CH"/>
        </w:rPr>
        <w:tab/>
      </w:r>
      <w:r w:rsidR="00E73BB8" w:rsidRPr="0071782F">
        <w:rPr>
          <w:lang w:val="fr-CH"/>
        </w:rPr>
        <w:t xml:space="preserve">Renforcement du dialogue entre les cultures et langues locales et la culture et le patrimoine spirituels de la nation, et incorporation de différents </w:t>
      </w:r>
      <w:r w:rsidRPr="0071782F">
        <w:rPr>
          <w:lang w:val="fr-CH"/>
        </w:rPr>
        <w:t xml:space="preserve">aspects </w:t>
      </w:r>
      <w:r w:rsidR="00E73BB8" w:rsidRPr="0071782F">
        <w:rPr>
          <w:lang w:val="fr-CH"/>
        </w:rPr>
        <w:t>des cultures locales au niveau national, dans le but de consolider l’unité nationale, notamment aux niveaux du système éducatif du pays, des médias et des produits culturels et artistiques</w:t>
      </w:r>
      <w:r w:rsidRPr="0071782F">
        <w:rPr>
          <w:lang w:val="fr-CH"/>
        </w:rPr>
        <w:t>.</w:t>
      </w:r>
    </w:p>
    <w:p w:rsidR="00AD5035" w:rsidRPr="0071782F" w:rsidRDefault="00AD5035" w:rsidP="00930639">
      <w:pPr>
        <w:pStyle w:val="SingleTxtG"/>
        <w:ind w:left="1701"/>
        <w:rPr>
          <w:lang w:val="fr-CH"/>
        </w:rPr>
      </w:pPr>
      <w:r w:rsidRPr="0071782F">
        <w:rPr>
          <w:lang w:val="fr-CH"/>
        </w:rPr>
        <w:t>453.6.</w:t>
      </w:r>
      <w:r w:rsidRPr="0071782F">
        <w:rPr>
          <w:lang w:val="fr-CH"/>
        </w:rPr>
        <w:tab/>
      </w:r>
      <w:r w:rsidR="000A3452" w:rsidRPr="0071782F">
        <w:rPr>
          <w:lang w:val="fr-CH"/>
        </w:rPr>
        <w:t>Sélection, reconnaissance et présentation d’éminentes personnalités et d’</w:t>
      </w:r>
      <w:r w:rsidR="00D5366B" w:rsidRPr="0071782F">
        <w:rPr>
          <w:lang w:val="fr-CH"/>
        </w:rPr>
        <w:t>œuvre</w:t>
      </w:r>
      <w:r w:rsidR="000A3452" w:rsidRPr="0071782F">
        <w:rPr>
          <w:lang w:val="fr-CH"/>
        </w:rPr>
        <w:t xml:space="preserve">s exceptionnelles dans les domaines de la </w:t>
      </w:r>
      <w:r w:rsidRPr="0071782F">
        <w:rPr>
          <w:lang w:val="fr-CH"/>
        </w:rPr>
        <w:t xml:space="preserve">religion, </w:t>
      </w:r>
      <w:r w:rsidR="000A3452" w:rsidRPr="0071782F">
        <w:rPr>
          <w:lang w:val="fr-CH"/>
        </w:rPr>
        <w:t xml:space="preserve">de la </w:t>
      </w:r>
      <w:r w:rsidRPr="0071782F">
        <w:rPr>
          <w:lang w:val="fr-CH"/>
        </w:rPr>
        <w:t xml:space="preserve">culture, </w:t>
      </w:r>
      <w:r w:rsidR="000A3452" w:rsidRPr="0071782F">
        <w:rPr>
          <w:lang w:val="fr-CH"/>
        </w:rPr>
        <w:t>du sport</w:t>
      </w:r>
      <w:r w:rsidRPr="0071782F">
        <w:rPr>
          <w:lang w:val="fr-CH"/>
        </w:rPr>
        <w:t xml:space="preserve">, </w:t>
      </w:r>
      <w:r w:rsidR="000A3452" w:rsidRPr="0071782F">
        <w:rPr>
          <w:lang w:val="fr-CH"/>
        </w:rPr>
        <w:t xml:space="preserve">des </w:t>
      </w:r>
      <w:r w:rsidRPr="0071782F">
        <w:rPr>
          <w:lang w:val="fr-CH"/>
        </w:rPr>
        <w:t xml:space="preserve">arts, </w:t>
      </w:r>
      <w:r w:rsidR="000A3452" w:rsidRPr="0071782F">
        <w:rPr>
          <w:lang w:val="fr-CH"/>
        </w:rPr>
        <w:t xml:space="preserve">de la </w:t>
      </w:r>
      <w:r w:rsidRPr="0071782F">
        <w:rPr>
          <w:lang w:val="fr-CH"/>
        </w:rPr>
        <w:t>science</w:t>
      </w:r>
      <w:r w:rsidR="000A3452" w:rsidRPr="0071782F">
        <w:rPr>
          <w:lang w:val="fr-CH"/>
        </w:rPr>
        <w:t xml:space="preserve"> et de la </w:t>
      </w:r>
      <w:r w:rsidRPr="0071782F">
        <w:rPr>
          <w:lang w:val="fr-CH"/>
        </w:rPr>
        <w:t>lit</w:t>
      </w:r>
      <w:r w:rsidR="000A3452" w:rsidRPr="0071782F">
        <w:rPr>
          <w:lang w:val="fr-CH"/>
        </w:rPr>
        <w:t>té</w:t>
      </w:r>
      <w:r w:rsidRPr="0071782F">
        <w:rPr>
          <w:lang w:val="fr-CH"/>
        </w:rPr>
        <w:t xml:space="preserve">rature </w:t>
      </w:r>
      <w:r w:rsidR="000A3452" w:rsidRPr="0071782F">
        <w:rPr>
          <w:lang w:val="fr-CH"/>
        </w:rPr>
        <w:t>du pays, conformément aux règles du Haut</w:t>
      </w:r>
      <w:r w:rsidR="00BF7680">
        <w:rPr>
          <w:lang w:val="fr-CH"/>
        </w:rPr>
        <w:t xml:space="preserve"> </w:t>
      </w:r>
      <w:r w:rsidR="000A3452" w:rsidRPr="0071782F">
        <w:rPr>
          <w:lang w:val="fr-CH"/>
        </w:rPr>
        <w:t>Conseil culturel de la Révolution</w:t>
      </w:r>
      <w:r w:rsidRPr="0071782F">
        <w:rPr>
          <w:lang w:val="fr-CH"/>
        </w:rPr>
        <w:t>.</w:t>
      </w:r>
    </w:p>
    <w:p w:rsidR="00AD5035" w:rsidRPr="0071782F" w:rsidRDefault="00AD5035" w:rsidP="00930639">
      <w:pPr>
        <w:pStyle w:val="SingleTxtG"/>
        <w:ind w:left="1701"/>
        <w:rPr>
          <w:lang w:val="fr-CH"/>
        </w:rPr>
      </w:pPr>
      <w:r w:rsidRPr="0071782F">
        <w:rPr>
          <w:lang w:val="fr-CH"/>
        </w:rPr>
        <w:t>453.7.</w:t>
      </w:r>
      <w:r w:rsidRPr="0071782F">
        <w:rPr>
          <w:lang w:val="fr-CH"/>
        </w:rPr>
        <w:tab/>
      </w:r>
      <w:r w:rsidR="000A3452" w:rsidRPr="0071782F">
        <w:rPr>
          <w:lang w:val="fr-CH"/>
        </w:rPr>
        <w:t>Formulation des princip</w:t>
      </w:r>
      <w:r w:rsidRPr="0071782F">
        <w:rPr>
          <w:lang w:val="fr-CH"/>
        </w:rPr>
        <w:t xml:space="preserve">es </w:t>
      </w:r>
      <w:r w:rsidR="000A3452" w:rsidRPr="0071782F">
        <w:rPr>
          <w:lang w:val="fr-CH"/>
        </w:rPr>
        <w:t xml:space="preserve">de la </w:t>
      </w:r>
      <w:r w:rsidRPr="0071782F">
        <w:rPr>
          <w:lang w:val="fr-CH"/>
        </w:rPr>
        <w:t xml:space="preserve">formation </w:t>
      </w:r>
      <w:r w:rsidR="000A3452" w:rsidRPr="0071782F">
        <w:rPr>
          <w:lang w:val="fr-CH"/>
        </w:rPr>
        <w:t>de</w:t>
      </w:r>
      <w:r w:rsidRPr="0071782F">
        <w:rPr>
          <w:lang w:val="fr-CH"/>
        </w:rPr>
        <w:t xml:space="preserve"> </w:t>
      </w:r>
      <w:r w:rsidR="000A3452" w:rsidRPr="0071782F">
        <w:rPr>
          <w:lang w:val="fr-CH"/>
        </w:rPr>
        <w:t>l’</w:t>
      </w:r>
      <w:r w:rsidRPr="0071782F">
        <w:rPr>
          <w:lang w:val="fr-CH"/>
        </w:rPr>
        <w:t xml:space="preserve">architecture </w:t>
      </w:r>
      <w:r w:rsidR="000A3452" w:rsidRPr="0071782F">
        <w:rPr>
          <w:lang w:val="fr-CH"/>
        </w:rPr>
        <w:t xml:space="preserve">irano-islamique dans les villes et </w:t>
      </w:r>
      <w:r w:rsidRPr="0071782F">
        <w:rPr>
          <w:lang w:val="fr-CH"/>
        </w:rPr>
        <w:t xml:space="preserve">villages </w:t>
      </w:r>
      <w:r w:rsidR="000A3452" w:rsidRPr="0071782F">
        <w:rPr>
          <w:lang w:val="fr-CH"/>
        </w:rPr>
        <w:t>du pays, afin d’établir les caractéristiques de cette architecture en engageant des recherches dans ce domaine</w:t>
      </w:r>
      <w:r w:rsidRPr="0071782F">
        <w:rPr>
          <w:lang w:val="fr-CH"/>
        </w:rPr>
        <w:t>.</w:t>
      </w:r>
      <w:r w:rsidR="00A62149" w:rsidRPr="0071782F">
        <w:rPr>
          <w:lang w:val="fr-CH"/>
        </w:rPr>
        <w:t>"</w:t>
      </w:r>
      <w:r w:rsidRPr="0071782F">
        <w:rPr>
          <w:lang w:val="fr-CH"/>
        </w:rPr>
        <w:t xml:space="preserve"> </w:t>
      </w:r>
    </w:p>
    <w:p w:rsidR="00AD5035" w:rsidRPr="0071782F" w:rsidRDefault="00AD5035" w:rsidP="00B71235">
      <w:pPr>
        <w:pStyle w:val="SingleTxtG"/>
        <w:keepNext/>
        <w:rPr>
          <w:lang w:val="fr-CH"/>
        </w:rPr>
      </w:pPr>
      <w:r w:rsidRPr="0071782F">
        <w:rPr>
          <w:lang w:val="fr-CH"/>
        </w:rPr>
        <w:t>454.</w:t>
      </w:r>
      <w:r w:rsidRPr="0071782F">
        <w:rPr>
          <w:lang w:val="fr-CH"/>
        </w:rPr>
        <w:tab/>
      </w:r>
      <w:r w:rsidR="00723F2B" w:rsidRPr="0071782F">
        <w:rPr>
          <w:lang w:val="fr-CH"/>
        </w:rPr>
        <w:t>L’</w:t>
      </w:r>
      <w:r w:rsidR="00943A69" w:rsidRPr="0071782F">
        <w:rPr>
          <w:lang w:val="fr-CH"/>
        </w:rPr>
        <w:t>article </w:t>
      </w:r>
      <w:r w:rsidRPr="0071782F">
        <w:rPr>
          <w:lang w:val="fr-CH"/>
        </w:rPr>
        <w:t xml:space="preserve">110 </w:t>
      </w:r>
      <w:r w:rsidR="000A3452" w:rsidRPr="0071782F">
        <w:rPr>
          <w:lang w:val="fr-CH"/>
        </w:rPr>
        <w:t>est ainsi libellé</w:t>
      </w:r>
      <w:r w:rsidR="008F7D33" w:rsidRPr="0071782F">
        <w:rPr>
          <w:lang w:val="fr-CH"/>
        </w:rPr>
        <w:t>:</w:t>
      </w:r>
    </w:p>
    <w:p w:rsidR="00AD5035" w:rsidRPr="0071782F" w:rsidRDefault="00A62149" w:rsidP="00F739E0">
      <w:pPr>
        <w:pStyle w:val="SingleTxtG"/>
        <w:ind w:left="1701"/>
        <w:rPr>
          <w:lang w:val="fr-CH"/>
        </w:rPr>
      </w:pPr>
      <w:r w:rsidRPr="0071782F">
        <w:rPr>
          <w:lang w:val="fr-CH"/>
        </w:rPr>
        <w:t>"</w:t>
      </w:r>
      <w:r w:rsidR="002F7989" w:rsidRPr="0071782F">
        <w:rPr>
          <w:lang w:val="fr-CH"/>
        </w:rPr>
        <w:t xml:space="preserve">Afin de promouvoir la </w:t>
      </w:r>
      <w:r w:rsidR="00AD5035" w:rsidRPr="0071782F">
        <w:rPr>
          <w:lang w:val="fr-CH"/>
        </w:rPr>
        <w:t xml:space="preserve">culture </w:t>
      </w:r>
      <w:r w:rsidR="002F7989" w:rsidRPr="0071782F">
        <w:rPr>
          <w:lang w:val="fr-CH"/>
        </w:rPr>
        <w:t xml:space="preserve">de la paix, de la compréhension mutuelle, de la non-violence et de la </w:t>
      </w:r>
      <w:r w:rsidR="00AD5035" w:rsidRPr="0071782F">
        <w:rPr>
          <w:lang w:val="fr-CH"/>
        </w:rPr>
        <w:t xml:space="preserve">coexistence </w:t>
      </w:r>
      <w:r w:rsidR="002F7989" w:rsidRPr="0071782F">
        <w:rPr>
          <w:lang w:val="fr-CH"/>
        </w:rPr>
        <w:t xml:space="preserve">pacifique entre les </w:t>
      </w:r>
      <w:r w:rsidR="00AD5035" w:rsidRPr="0071782F">
        <w:rPr>
          <w:lang w:val="fr-CH"/>
        </w:rPr>
        <w:t>nations</w:t>
      </w:r>
      <w:r w:rsidR="002F7989" w:rsidRPr="0071782F">
        <w:rPr>
          <w:lang w:val="fr-CH"/>
        </w:rPr>
        <w:t xml:space="preserve">, dans le domaine des relations </w:t>
      </w:r>
      <w:r w:rsidR="00AD5035" w:rsidRPr="0071782F">
        <w:rPr>
          <w:lang w:val="fr-CH"/>
        </w:rPr>
        <w:t>international</w:t>
      </w:r>
      <w:r w:rsidR="002F7989" w:rsidRPr="0071782F">
        <w:rPr>
          <w:lang w:val="fr-CH"/>
        </w:rPr>
        <w:t>es</w:t>
      </w:r>
      <w:r w:rsidR="00AD5035" w:rsidRPr="0071782F">
        <w:rPr>
          <w:lang w:val="fr-CH"/>
        </w:rPr>
        <w:t xml:space="preserve">, </w:t>
      </w:r>
      <w:r w:rsidR="002F7989" w:rsidRPr="0071782F">
        <w:rPr>
          <w:lang w:val="fr-CH"/>
        </w:rPr>
        <w:t xml:space="preserve">et de concrétiser le </w:t>
      </w:r>
      <w:r w:rsidR="00AD5035" w:rsidRPr="0071782F">
        <w:rPr>
          <w:lang w:val="fr-CH"/>
        </w:rPr>
        <w:t xml:space="preserve">dialogue </w:t>
      </w:r>
      <w:r w:rsidR="002F7989" w:rsidRPr="0071782F">
        <w:rPr>
          <w:lang w:val="fr-CH"/>
        </w:rPr>
        <w:t xml:space="preserve">entre les </w:t>
      </w:r>
      <w:r w:rsidR="00AD5035" w:rsidRPr="0071782F">
        <w:rPr>
          <w:lang w:val="fr-CH"/>
        </w:rPr>
        <w:t xml:space="preserve">cultures </w:t>
      </w:r>
      <w:r w:rsidR="002F7989" w:rsidRPr="0071782F">
        <w:rPr>
          <w:lang w:val="fr-CH"/>
        </w:rPr>
        <w:t xml:space="preserve">et les </w:t>
      </w:r>
      <w:r w:rsidR="00AD5035" w:rsidRPr="0071782F">
        <w:rPr>
          <w:lang w:val="fr-CH"/>
        </w:rPr>
        <w:t>civili</w:t>
      </w:r>
      <w:r w:rsidR="002F7989" w:rsidRPr="0071782F">
        <w:rPr>
          <w:lang w:val="fr-CH"/>
        </w:rPr>
        <w:t>s</w:t>
      </w:r>
      <w:r w:rsidR="00AD5035" w:rsidRPr="0071782F">
        <w:rPr>
          <w:lang w:val="fr-CH"/>
        </w:rPr>
        <w:t xml:space="preserve">ations, </w:t>
      </w:r>
      <w:r w:rsidR="002F7989" w:rsidRPr="0071782F">
        <w:rPr>
          <w:lang w:val="fr-CH"/>
        </w:rPr>
        <w:t>l’État est tenu d’adopter les mesures suivantes</w:t>
      </w:r>
      <w:r w:rsidR="008F7D33" w:rsidRPr="0071782F">
        <w:rPr>
          <w:lang w:val="fr-CH"/>
        </w:rPr>
        <w:t>:</w:t>
      </w:r>
    </w:p>
    <w:p w:rsidR="00AD5035" w:rsidRPr="0071782F" w:rsidRDefault="00AD5035" w:rsidP="00930639">
      <w:pPr>
        <w:pStyle w:val="SingleTxtG"/>
        <w:ind w:left="1701"/>
        <w:rPr>
          <w:lang w:val="fr-CH"/>
        </w:rPr>
      </w:pPr>
      <w:r w:rsidRPr="0071782F">
        <w:rPr>
          <w:lang w:val="fr-CH"/>
        </w:rPr>
        <w:t>454.1.</w:t>
      </w:r>
      <w:r w:rsidRPr="0071782F">
        <w:rPr>
          <w:lang w:val="fr-CH"/>
        </w:rPr>
        <w:tab/>
        <w:t>Plan</w:t>
      </w:r>
      <w:r w:rsidR="005F7ED6" w:rsidRPr="0071782F">
        <w:rPr>
          <w:lang w:val="fr-CH"/>
        </w:rPr>
        <w:t xml:space="preserve">ifier les relations de </w:t>
      </w:r>
      <w:r w:rsidRPr="0071782F">
        <w:rPr>
          <w:lang w:val="fr-CH"/>
        </w:rPr>
        <w:t>coop</w:t>
      </w:r>
      <w:r w:rsidR="005F7ED6" w:rsidRPr="0071782F">
        <w:rPr>
          <w:lang w:val="fr-CH"/>
        </w:rPr>
        <w:t>é</w:t>
      </w:r>
      <w:r w:rsidRPr="0071782F">
        <w:rPr>
          <w:lang w:val="fr-CH"/>
        </w:rPr>
        <w:t xml:space="preserve">ration </w:t>
      </w:r>
      <w:r w:rsidR="005F7ED6" w:rsidRPr="0071782F">
        <w:rPr>
          <w:lang w:val="fr-CH"/>
        </w:rPr>
        <w:t xml:space="preserve">et la </w:t>
      </w:r>
      <w:r w:rsidRPr="0071782F">
        <w:rPr>
          <w:lang w:val="fr-CH"/>
        </w:rPr>
        <w:t xml:space="preserve">participation </w:t>
      </w:r>
      <w:r w:rsidR="005F7ED6" w:rsidRPr="0071782F">
        <w:rPr>
          <w:lang w:val="fr-CH"/>
        </w:rPr>
        <w:t xml:space="preserve">active aux processus </w:t>
      </w:r>
      <w:r w:rsidRPr="0071782F">
        <w:rPr>
          <w:lang w:val="fr-CH"/>
        </w:rPr>
        <w:t>r</w:t>
      </w:r>
      <w:r w:rsidR="005F7ED6" w:rsidRPr="0071782F">
        <w:rPr>
          <w:lang w:val="fr-CH"/>
        </w:rPr>
        <w:t>é</w:t>
      </w:r>
      <w:r w:rsidRPr="0071782F">
        <w:rPr>
          <w:lang w:val="fr-CH"/>
        </w:rPr>
        <w:t>giona</w:t>
      </w:r>
      <w:r w:rsidR="005F7ED6" w:rsidRPr="0071782F">
        <w:rPr>
          <w:lang w:val="fr-CH"/>
        </w:rPr>
        <w:t>ux et internationaux et aux organismes et groupes créés en vue</w:t>
      </w:r>
      <w:r w:rsidR="002B3404" w:rsidRPr="0071782F">
        <w:rPr>
          <w:lang w:val="fr-CH"/>
        </w:rPr>
        <w:t xml:space="preserve"> du dialogue des civilisations</w:t>
      </w:r>
      <w:r w:rsidRPr="0071782F">
        <w:rPr>
          <w:lang w:val="fr-CH"/>
        </w:rPr>
        <w:t>.</w:t>
      </w:r>
    </w:p>
    <w:p w:rsidR="00AD5035" w:rsidRPr="0071782F" w:rsidRDefault="00AD5035" w:rsidP="00930639">
      <w:pPr>
        <w:pStyle w:val="SingleTxtG"/>
        <w:ind w:left="1701"/>
        <w:rPr>
          <w:lang w:val="fr-CH"/>
        </w:rPr>
      </w:pPr>
      <w:r w:rsidRPr="0071782F">
        <w:rPr>
          <w:lang w:val="fr-CH"/>
        </w:rPr>
        <w:t>454.2.</w:t>
      </w:r>
      <w:r w:rsidR="005F7ED6" w:rsidRPr="0071782F">
        <w:rPr>
          <w:lang w:val="fr-CH"/>
        </w:rPr>
        <w:tab/>
        <w:t xml:space="preserve">Créer les </w:t>
      </w:r>
      <w:r w:rsidRPr="0071782F">
        <w:rPr>
          <w:lang w:val="fr-CH"/>
        </w:rPr>
        <w:t xml:space="preserve">conditions </w:t>
      </w:r>
      <w:r w:rsidR="005F7ED6" w:rsidRPr="0071782F">
        <w:rPr>
          <w:lang w:val="fr-CH"/>
        </w:rPr>
        <w:t xml:space="preserve">nécessaires à l’échange de vues et d’opinions entre penseurs, </w:t>
      </w:r>
      <w:r w:rsidRPr="0071782F">
        <w:rPr>
          <w:lang w:val="fr-CH"/>
        </w:rPr>
        <w:t>scienti</w:t>
      </w:r>
      <w:r w:rsidR="005F7ED6" w:rsidRPr="0071782F">
        <w:rPr>
          <w:lang w:val="fr-CH"/>
        </w:rPr>
        <w:t>fiques</w:t>
      </w:r>
      <w:r w:rsidRPr="0071782F">
        <w:rPr>
          <w:lang w:val="fr-CH"/>
        </w:rPr>
        <w:t>, artist</w:t>
      </w:r>
      <w:r w:rsidR="005F7ED6" w:rsidRPr="0071782F">
        <w:rPr>
          <w:lang w:val="fr-CH"/>
        </w:rPr>
        <w:t>e</w:t>
      </w:r>
      <w:r w:rsidRPr="0071782F">
        <w:rPr>
          <w:lang w:val="fr-CH"/>
        </w:rPr>
        <w:t>s</w:t>
      </w:r>
      <w:r w:rsidR="005F7ED6" w:rsidRPr="0071782F">
        <w:rPr>
          <w:lang w:val="fr-CH"/>
        </w:rPr>
        <w:t xml:space="preserve"> et organisations scientifiques</w:t>
      </w:r>
      <w:r w:rsidRPr="0071782F">
        <w:rPr>
          <w:lang w:val="fr-CH"/>
        </w:rPr>
        <w:t>, cultur</w:t>
      </w:r>
      <w:r w:rsidR="005F7ED6" w:rsidRPr="0071782F">
        <w:rPr>
          <w:lang w:val="fr-CH"/>
        </w:rPr>
        <w:t>elles et civiles</w:t>
      </w:r>
      <w:r w:rsidRPr="0071782F">
        <w:rPr>
          <w:lang w:val="fr-CH"/>
        </w:rPr>
        <w:t>.</w:t>
      </w:r>
    </w:p>
    <w:p w:rsidR="00AD5035" w:rsidRPr="0071782F" w:rsidRDefault="00AD5035" w:rsidP="00930639">
      <w:pPr>
        <w:pStyle w:val="SingleTxtG"/>
        <w:ind w:left="1701"/>
        <w:rPr>
          <w:lang w:val="fr-CH"/>
        </w:rPr>
      </w:pPr>
      <w:r w:rsidRPr="0071782F">
        <w:rPr>
          <w:lang w:val="fr-CH"/>
        </w:rPr>
        <w:t>454.3.</w:t>
      </w:r>
      <w:r w:rsidRPr="0071782F">
        <w:rPr>
          <w:lang w:val="fr-CH"/>
        </w:rPr>
        <w:tab/>
      </w:r>
      <w:r w:rsidR="005F7ED6" w:rsidRPr="0071782F">
        <w:rPr>
          <w:lang w:val="fr-CH"/>
        </w:rPr>
        <w:t>S’employer à présenter les manifestations culturelles</w:t>
      </w:r>
      <w:r w:rsidRPr="0071782F">
        <w:rPr>
          <w:lang w:val="fr-CH"/>
        </w:rPr>
        <w:t>, artisti</w:t>
      </w:r>
      <w:r w:rsidR="005F7ED6" w:rsidRPr="0071782F">
        <w:rPr>
          <w:lang w:val="fr-CH"/>
        </w:rPr>
        <w:t>ques et littéraires de l’Iran dans les autres parties du monde, et jeter les bases de la compréhension active et de la sélection des</w:t>
      </w:r>
      <w:r w:rsidRPr="0071782F">
        <w:rPr>
          <w:lang w:val="fr-CH"/>
        </w:rPr>
        <w:t xml:space="preserve"> institutions </w:t>
      </w:r>
      <w:r w:rsidR="005F7ED6" w:rsidRPr="0071782F">
        <w:rPr>
          <w:lang w:val="fr-CH"/>
        </w:rPr>
        <w:t>scientifiques et culturelles les plus avancées de l’</w:t>
      </w:r>
      <w:r w:rsidRPr="0071782F">
        <w:rPr>
          <w:lang w:val="fr-CH"/>
        </w:rPr>
        <w:t xml:space="preserve">Iran </w:t>
      </w:r>
      <w:r w:rsidR="005F7ED6" w:rsidRPr="0071782F">
        <w:rPr>
          <w:lang w:val="fr-CH"/>
        </w:rPr>
        <w:t xml:space="preserve">dans l’optique des nouvelles réalisations culturelles </w:t>
      </w:r>
      <w:r w:rsidR="004D30C4" w:rsidRPr="0071782F">
        <w:rPr>
          <w:lang w:val="fr-CH"/>
        </w:rPr>
        <w:t>mondiales</w:t>
      </w:r>
      <w:r w:rsidR="005F7ED6" w:rsidRPr="0071782F">
        <w:rPr>
          <w:lang w:val="fr-CH"/>
        </w:rPr>
        <w:t>.</w:t>
      </w:r>
    </w:p>
    <w:p w:rsidR="00AD5035" w:rsidRPr="0071782F" w:rsidRDefault="00AD5035" w:rsidP="00930639">
      <w:pPr>
        <w:pStyle w:val="SingleTxtG"/>
        <w:ind w:left="1701"/>
        <w:rPr>
          <w:lang w:val="fr-CH"/>
        </w:rPr>
      </w:pPr>
      <w:r w:rsidRPr="0071782F">
        <w:rPr>
          <w:lang w:val="fr-CH"/>
        </w:rPr>
        <w:t>454.4.</w:t>
      </w:r>
      <w:r w:rsidRPr="0071782F">
        <w:rPr>
          <w:lang w:val="fr-CH"/>
        </w:rPr>
        <w:tab/>
        <w:t>Conclu</w:t>
      </w:r>
      <w:r w:rsidR="00CB1F41" w:rsidRPr="0071782F">
        <w:rPr>
          <w:lang w:val="fr-CH"/>
        </w:rPr>
        <w:t xml:space="preserve">re des accords </w:t>
      </w:r>
      <w:r w:rsidRPr="0071782F">
        <w:rPr>
          <w:lang w:val="fr-CH"/>
        </w:rPr>
        <w:t>r</w:t>
      </w:r>
      <w:r w:rsidR="00CB1F41" w:rsidRPr="0071782F">
        <w:rPr>
          <w:lang w:val="fr-CH"/>
        </w:rPr>
        <w:t>é</w:t>
      </w:r>
      <w:r w:rsidRPr="0071782F">
        <w:rPr>
          <w:lang w:val="fr-CH"/>
        </w:rPr>
        <w:t>giona</w:t>
      </w:r>
      <w:r w:rsidR="00CB1F41" w:rsidRPr="0071782F">
        <w:rPr>
          <w:lang w:val="fr-CH"/>
        </w:rPr>
        <w:t>ux</w:t>
      </w:r>
      <w:r w:rsidRPr="0071782F">
        <w:rPr>
          <w:lang w:val="fr-CH"/>
        </w:rPr>
        <w:t>, continenta</w:t>
      </w:r>
      <w:r w:rsidR="00CB1F41" w:rsidRPr="0071782F">
        <w:rPr>
          <w:lang w:val="fr-CH"/>
        </w:rPr>
        <w:t xml:space="preserve">ux et </w:t>
      </w:r>
      <w:r w:rsidRPr="0071782F">
        <w:rPr>
          <w:lang w:val="fr-CH"/>
        </w:rPr>
        <w:t>internat</w:t>
      </w:r>
      <w:r w:rsidR="00CB1F41" w:rsidRPr="0071782F">
        <w:rPr>
          <w:lang w:val="fr-CH"/>
        </w:rPr>
        <w:t>ionaux</w:t>
      </w:r>
      <w:r w:rsidRPr="0071782F">
        <w:rPr>
          <w:lang w:val="fr-CH"/>
        </w:rPr>
        <w:t xml:space="preserve">, </w:t>
      </w:r>
      <w:r w:rsidR="00CB1F41" w:rsidRPr="0071782F">
        <w:rPr>
          <w:lang w:val="fr-CH"/>
        </w:rPr>
        <w:t>et créer les conditions d’application de ces accords dans le cadre des programmes des organismes d’exécution.</w:t>
      </w:r>
    </w:p>
    <w:p w:rsidR="00AD5035" w:rsidRPr="0071782F" w:rsidRDefault="00AD5035" w:rsidP="00930639">
      <w:pPr>
        <w:pStyle w:val="SingleTxtG"/>
        <w:ind w:left="1701"/>
        <w:rPr>
          <w:lang w:val="fr-CH"/>
        </w:rPr>
      </w:pPr>
      <w:r w:rsidRPr="0071782F">
        <w:rPr>
          <w:lang w:val="fr-CH"/>
        </w:rPr>
        <w:t>454.5.</w:t>
      </w:r>
      <w:r w:rsidRPr="0071782F">
        <w:rPr>
          <w:lang w:val="fr-CH"/>
        </w:rPr>
        <w:tab/>
      </w:r>
      <w:r w:rsidR="0001284C" w:rsidRPr="0071782F">
        <w:rPr>
          <w:lang w:val="fr-CH"/>
        </w:rPr>
        <w:t xml:space="preserve">Améliorer les </w:t>
      </w:r>
      <w:r w:rsidRPr="0071782F">
        <w:rPr>
          <w:lang w:val="fr-CH"/>
        </w:rPr>
        <w:t xml:space="preserve">structures </w:t>
      </w:r>
      <w:r w:rsidR="0001284C" w:rsidRPr="0071782F">
        <w:rPr>
          <w:lang w:val="fr-CH"/>
        </w:rPr>
        <w:t xml:space="preserve">d’exécution et appuyer la création d’organisations non gouvernementales dans le cadre de l’instauration du </w:t>
      </w:r>
      <w:r w:rsidRPr="0071782F">
        <w:rPr>
          <w:lang w:val="fr-CH"/>
        </w:rPr>
        <w:t xml:space="preserve">dialogue </w:t>
      </w:r>
      <w:r w:rsidR="0001284C" w:rsidRPr="0071782F">
        <w:rPr>
          <w:lang w:val="fr-CH"/>
        </w:rPr>
        <w:t xml:space="preserve">des </w:t>
      </w:r>
      <w:r w:rsidRPr="0071782F">
        <w:rPr>
          <w:lang w:val="fr-CH"/>
        </w:rPr>
        <w:t xml:space="preserve">cultures </w:t>
      </w:r>
      <w:r w:rsidR="0001284C" w:rsidRPr="0071782F">
        <w:rPr>
          <w:lang w:val="fr-CH"/>
        </w:rPr>
        <w:t xml:space="preserve">et des </w:t>
      </w:r>
      <w:r w:rsidRPr="0071782F">
        <w:rPr>
          <w:lang w:val="fr-CH"/>
        </w:rPr>
        <w:t>civili</w:t>
      </w:r>
      <w:r w:rsidR="0001284C" w:rsidRPr="0071782F">
        <w:rPr>
          <w:lang w:val="fr-CH"/>
        </w:rPr>
        <w:t>sations, dans la perspective de la réduction du rôle de l’État, et promouvoir la participation de ces organisations dans ce domaine</w:t>
      </w:r>
      <w:r w:rsidRPr="0071782F">
        <w:rPr>
          <w:lang w:val="fr-CH"/>
        </w:rPr>
        <w:t>.</w:t>
      </w:r>
      <w:r w:rsidR="00A62149" w:rsidRPr="0071782F">
        <w:rPr>
          <w:lang w:val="fr-CH"/>
        </w:rPr>
        <w:t>"</w:t>
      </w:r>
    </w:p>
    <w:p w:rsidR="00AD5035" w:rsidRPr="0071782F" w:rsidRDefault="00AD5035" w:rsidP="00930639">
      <w:pPr>
        <w:pStyle w:val="SingleTxtG"/>
        <w:rPr>
          <w:lang w:val="fr-CH"/>
        </w:rPr>
      </w:pPr>
      <w:r w:rsidRPr="0071782F">
        <w:rPr>
          <w:lang w:val="fr-CH"/>
        </w:rPr>
        <w:t>455.</w:t>
      </w:r>
      <w:r w:rsidRPr="0071782F">
        <w:rPr>
          <w:lang w:val="fr-CH"/>
        </w:rPr>
        <w:tab/>
      </w:r>
      <w:r w:rsidR="00723F2B" w:rsidRPr="0071782F">
        <w:rPr>
          <w:lang w:val="fr-CH"/>
        </w:rPr>
        <w:t>L’</w:t>
      </w:r>
      <w:r w:rsidR="00943A69" w:rsidRPr="0071782F">
        <w:rPr>
          <w:lang w:val="fr-CH"/>
        </w:rPr>
        <w:t>article </w:t>
      </w:r>
      <w:r w:rsidRPr="0071782F">
        <w:rPr>
          <w:lang w:val="fr-CH"/>
        </w:rPr>
        <w:t xml:space="preserve">112 </w:t>
      </w:r>
      <w:r w:rsidR="0001284C" w:rsidRPr="0071782F">
        <w:rPr>
          <w:lang w:val="fr-CH"/>
        </w:rPr>
        <w:t>est ainsi libellé</w:t>
      </w:r>
      <w:r w:rsidR="008F7D33" w:rsidRPr="0071782F">
        <w:rPr>
          <w:lang w:val="fr-CH"/>
        </w:rPr>
        <w:t>:</w:t>
      </w:r>
    </w:p>
    <w:p w:rsidR="00AD5035" w:rsidRPr="0071782F" w:rsidRDefault="00A62149" w:rsidP="00930639">
      <w:pPr>
        <w:pStyle w:val="SingleTxtG"/>
        <w:ind w:left="1701"/>
        <w:rPr>
          <w:lang w:val="fr-CH"/>
        </w:rPr>
      </w:pPr>
      <w:r w:rsidRPr="0071782F">
        <w:rPr>
          <w:lang w:val="fr-CH"/>
        </w:rPr>
        <w:t>"</w:t>
      </w:r>
      <w:r w:rsidR="00E022C2" w:rsidRPr="0071782F">
        <w:rPr>
          <w:lang w:val="fr-CH"/>
        </w:rPr>
        <w:t>Afin de développer et de renforcer le rôle des jeunes en tant que capital humain et social du pays, et de veiller tout spécialement à favoriser l’éducation et le développement des jeunes, l’État doit élaborer, dans les six</w:t>
      </w:r>
      <w:r w:rsidR="001F3F05" w:rsidRPr="0071782F">
        <w:rPr>
          <w:lang w:val="fr-CH"/>
        </w:rPr>
        <w:t> mois</w:t>
      </w:r>
      <w:r w:rsidR="00E022C2" w:rsidRPr="0071782F">
        <w:rPr>
          <w:lang w:val="fr-CH"/>
        </w:rPr>
        <w:t xml:space="preserve"> qui suivront l’adoption de la présente loi, un </w:t>
      </w:r>
      <w:r w:rsidR="00AD5035" w:rsidRPr="0071782F">
        <w:rPr>
          <w:lang w:val="fr-CH"/>
        </w:rPr>
        <w:t>program</w:t>
      </w:r>
      <w:r w:rsidR="00E022C2" w:rsidRPr="0071782F">
        <w:rPr>
          <w:lang w:val="fr-CH"/>
        </w:rPr>
        <w:t>me de gestion des affaires de la jeunesse qui repose notamment sur des méthodes destinées à remédier à certaines représentations du public et sur la promotion d’idées positives sur la jeunesse; jeter les bases du développement intellectuel et scientifique des jeunes ainsi que du renforcement de leur autonomie et de leur participation pleine et entière au processus du développement durable du pays;</w:t>
      </w:r>
      <w:r w:rsidR="00AD5035" w:rsidRPr="0071782F">
        <w:rPr>
          <w:lang w:val="fr-CH"/>
        </w:rPr>
        <w:t xml:space="preserve"> </w:t>
      </w:r>
      <w:r w:rsidR="00E022C2" w:rsidRPr="0071782F">
        <w:rPr>
          <w:lang w:val="fr-CH"/>
        </w:rPr>
        <w:t xml:space="preserve">améliorer leur niveau de bien-être et leur santé </w:t>
      </w:r>
      <w:r w:rsidR="00AD5035" w:rsidRPr="0071782F">
        <w:rPr>
          <w:lang w:val="fr-CH"/>
        </w:rPr>
        <w:t>physi</w:t>
      </w:r>
      <w:r w:rsidR="00E022C2" w:rsidRPr="0071782F">
        <w:rPr>
          <w:lang w:val="fr-CH"/>
        </w:rPr>
        <w:t>que et psychologique; les motiver et leur donner espoir en l’avenir; éliminer les préoccupations qu’ils peuvent avoir en ce qui concerne l’emploi, le mariage, le logement et les préjudices sociaux</w:t>
      </w:r>
      <w:r w:rsidR="00AD5035" w:rsidRPr="0071782F">
        <w:rPr>
          <w:lang w:val="fr-CH"/>
        </w:rPr>
        <w:t xml:space="preserve">, </w:t>
      </w:r>
      <w:r w:rsidR="00E022C2" w:rsidRPr="0071782F">
        <w:rPr>
          <w:lang w:val="fr-CH"/>
        </w:rPr>
        <w:t>dans un cadre intersectorie</w:t>
      </w:r>
      <w:r w:rsidR="00AD5035" w:rsidRPr="0071782F">
        <w:rPr>
          <w:lang w:val="fr-CH"/>
        </w:rPr>
        <w:t>l</w:t>
      </w:r>
      <w:r w:rsidR="00E022C2" w:rsidRPr="0071782F">
        <w:rPr>
          <w:lang w:val="fr-CH"/>
        </w:rPr>
        <w:t xml:space="preserve"> et en tant que stratégie principale</w:t>
      </w:r>
      <w:r w:rsidR="00AD5035" w:rsidRPr="0071782F">
        <w:rPr>
          <w:lang w:val="fr-CH"/>
        </w:rPr>
        <w:t xml:space="preserve">, </w:t>
      </w:r>
      <w:r w:rsidR="00E022C2" w:rsidRPr="0071782F">
        <w:rPr>
          <w:lang w:val="fr-CH"/>
        </w:rPr>
        <w:t xml:space="preserve">en tirant le meilleur parti possible des capacités existantes des organismes d’exécution et des organisations privées, par le biais de la </w:t>
      </w:r>
      <w:r w:rsidR="00DB5FF4" w:rsidRPr="0071782F">
        <w:rPr>
          <w:lang w:val="fr-CH"/>
        </w:rPr>
        <w:t>création</w:t>
      </w:r>
      <w:r w:rsidR="00E022C2" w:rsidRPr="0071782F">
        <w:rPr>
          <w:lang w:val="fr-CH"/>
        </w:rPr>
        <w:t xml:space="preserve"> de nouvelles capacités dans le pays et d’une réforme des structures </w:t>
      </w:r>
      <w:r w:rsidR="00AD5035" w:rsidRPr="0071782F">
        <w:rPr>
          <w:lang w:val="fr-CH"/>
        </w:rPr>
        <w:t>administrative</w:t>
      </w:r>
      <w:r w:rsidR="00E022C2" w:rsidRPr="0071782F">
        <w:rPr>
          <w:lang w:val="fr-CH"/>
        </w:rPr>
        <w:t>s</w:t>
      </w:r>
      <w:r w:rsidR="00AD5035" w:rsidRPr="0071782F">
        <w:rPr>
          <w:lang w:val="fr-CH"/>
        </w:rPr>
        <w:t xml:space="preserve">, </w:t>
      </w:r>
      <w:r w:rsidR="00E022C2" w:rsidRPr="0071782F">
        <w:rPr>
          <w:lang w:val="fr-CH"/>
        </w:rPr>
        <w:t>é</w:t>
      </w:r>
      <w:r w:rsidR="00AD5035" w:rsidRPr="0071782F">
        <w:rPr>
          <w:lang w:val="fr-CH"/>
        </w:rPr>
        <w:t>conomi</w:t>
      </w:r>
      <w:r w:rsidR="00E022C2" w:rsidRPr="0071782F">
        <w:rPr>
          <w:lang w:val="fr-CH"/>
        </w:rPr>
        <w:t>ques</w:t>
      </w:r>
      <w:r w:rsidR="00AD5035" w:rsidRPr="0071782F">
        <w:rPr>
          <w:lang w:val="fr-CH"/>
        </w:rPr>
        <w:t>, social</w:t>
      </w:r>
      <w:r w:rsidR="00E022C2" w:rsidRPr="0071782F">
        <w:rPr>
          <w:lang w:val="fr-CH"/>
        </w:rPr>
        <w:t>es et culturelles</w:t>
      </w:r>
      <w:r w:rsidR="00AD5035" w:rsidRPr="0071782F">
        <w:rPr>
          <w:lang w:val="fr-CH"/>
        </w:rPr>
        <w:t xml:space="preserve">, </w:t>
      </w:r>
      <w:r w:rsidR="00E022C2" w:rsidRPr="0071782F">
        <w:rPr>
          <w:lang w:val="fr-CH"/>
        </w:rPr>
        <w:t xml:space="preserve">ainsi que d’une gestion stratégique dans le cadre du </w:t>
      </w:r>
      <w:r w:rsidR="00A90208" w:rsidRPr="0071782F">
        <w:rPr>
          <w:lang w:val="fr-CH"/>
        </w:rPr>
        <w:t>quatrième</w:t>
      </w:r>
      <w:r w:rsidR="00E022C2" w:rsidRPr="0071782F">
        <w:rPr>
          <w:lang w:val="fr-CH"/>
        </w:rPr>
        <w:t xml:space="preserve"> plan de développement</w:t>
      </w:r>
      <w:r w:rsidR="00AD5035" w:rsidRPr="0071782F">
        <w:rPr>
          <w:lang w:val="fr-CH"/>
        </w:rPr>
        <w:t>.</w:t>
      </w:r>
      <w:r w:rsidRPr="0071782F">
        <w:rPr>
          <w:lang w:val="fr-CH"/>
        </w:rPr>
        <w:t>"</w:t>
      </w:r>
    </w:p>
    <w:p w:rsidR="00AD5035" w:rsidRPr="0071782F" w:rsidRDefault="00AD5035" w:rsidP="00930639">
      <w:pPr>
        <w:pStyle w:val="SingleTxtG"/>
        <w:rPr>
          <w:lang w:val="fr-CH"/>
        </w:rPr>
      </w:pPr>
      <w:r w:rsidRPr="0071782F">
        <w:rPr>
          <w:lang w:val="fr-CH"/>
        </w:rPr>
        <w:t>456.</w:t>
      </w:r>
      <w:r w:rsidRPr="0071782F">
        <w:rPr>
          <w:lang w:val="fr-CH"/>
        </w:rPr>
        <w:tab/>
      </w:r>
      <w:r w:rsidR="00723F2B" w:rsidRPr="0071782F">
        <w:rPr>
          <w:lang w:val="fr-CH"/>
        </w:rPr>
        <w:t>L’</w:t>
      </w:r>
      <w:r w:rsidR="00943A69" w:rsidRPr="0071782F">
        <w:rPr>
          <w:lang w:val="fr-CH"/>
        </w:rPr>
        <w:t>article </w:t>
      </w:r>
      <w:r w:rsidRPr="0071782F">
        <w:rPr>
          <w:lang w:val="fr-CH"/>
        </w:rPr>
        <w:t xml:space="preserve">133 </w:t>
      </w:r>
      <w:r w:rsidR="00E022C2" w:rsidRPr="0071782F">
        <w:rPr>
          <w:lang w:val="fr-CH"/>
        </w:rPr>
        <w:t>est ainsi libellé</w:t>
      </w:r>
      <w:r w:rsidR="008F7D33" w:rsidRPr="0071782F">
        <w:rPr>
          <w:lang w:val="fr-CH"/>
        </w:rPr>
        <w:t>:</w:t>
      </w:r>
    </w:p>
    <w:p w:rsidR="00AD5035" w:rsidRPr="0071782F" w:rsidRDefault="00A62149" w:rsidP="00930639">
      <w:pPr>
        <w:pStyle w:val="SingleTxtG"/>
        <w:ind w:left="1701"/>
        <w:rPr>
          <w:lang w:val="fr-CH"/>
        </w:rPr>
      </w:pPr>
      <w:r w:rsidRPr="0071782F">
        <w:rPr>
          <w:lang w:val="fr-CH"/>
        </w:rPr>
        <w:t>"</w:t>
      </w:r>
      <w:r w:rsidR="00E022C2" w:rsidRPr="0071782F">
        <w:rPr>
          <w:lang w:val="fr-CH"/>
        </w:rPr>
        <w:t xml:space="preserve">Compte tenu de la </w:t>
      </w:r>
      <w:r w:rsidR="00AD5035" w:rsidRPr="0071782F">
        <w:rPr>
          <w:lang w:val="fr-CH"/>
        </w:rPr>
        <w:t xml:space="preserve">manifestation </w:t>
      </w:r>
      <w:r w:rsidR="00E022C2" w:rsidRPr="0071782F">
        <w:rPr>
          <w:lang w:val="fr-CH"/>
        </w:rPr>
        <w:t xml:space="preserve">et de l’extension des </w:t>
      </w:r>
      <w:r w:rsidR="00AD5035" w:rsidRPr="0071782F">
        <w:rPr>
          <w:lang w:val="fr-CH"/>
        </w:rPr>
        <w:t>symbol</w:t>
      </w:r>
      <w:r w:rsidR="00E022C2" w:rsidRPr="0071782F">
        <w:rPr>
          <w:lang w:val="fr-CH"/>
        </w:rPr>
        <w:t>e</w:t>
      </w:r>
      <w:r w:rsidR="00AD5035" w:rsidRPr="0071782F">
        <w:rPr>
          <w:lang w:val="fr-CH"/>
        </w:rPr>
        <w:t xml:space="preserve">s </w:t>
      </w:r>
      <w:r w:rsidR="00E022C2" w:rsidRPr="0071782F">
        <w:rPr>
          <w:lang w:val="fr-CH"/>
        </w:rPr>
        <w:t>de la culture islamico-iranienne dans les structures</w:t>
      </w:r>
      <w:r w:rsidR="00AD5035" w:rsidRPr="0071782F">
        <w:rPr>
          <w:lang w:val="fr-CH"/>
        </w:rPr>
        <w:t xml:space="preserve"> politi</w:t>
      </w:r>
      <w:r w:rsidR="00E022C2" w:rsidRPr="0071782F">
        <w:rPr>
          <w:lang w:val="fr-CH"/>
        </w:rPr>
        <w:t>ques</w:t>
      </w:r>
      <w:r w:rsidR="00AD5035" w:rsidRPr="0071782F">
        <w:rPr>
          <w:lang w:val="fr-CH"/>
        </w:rPr>
        <w:t xml:space="preserve">, </w:t>
      </w:r>
      <w:r w:rsidR="00E022C2" w:rsidRPr="0071782F">
        <w:rPr>
          <w:lang w:val="fr-CH"/>
        </w:rPr>
        <w:t>économiques</w:t>
      </w:r>
      <w:r w:rsidR="00AD5035" w:rsidRPr="0071782F">
        <w:rPr>
          <w:lang w:val="fr-CH"/>
        </w:rPr>
        <w:t>, social</w:t>
      </w:r>
      <w:r w:rsidR="00E022C2" w:rsidRPr="0071782F">
        <w:rPr>
          <w:lang w:val="fr-CH"/>
        </w:rPr>
        <w:t>es et scientifiques</w:t>
      </w:r>
      <w:r w:rsidR="00AD5035" w:rsidRPr="0071782F">
        <w:rPr>
          <w:lang w:val="fr-CH"/>
        </w:rPr>
        <w:t xml:space="preserve">, </w:t>
      </w:r>
      <w:r w:rsidR="00E022C2" w:rsidRPr="0071782F">
        <w:rPr>
          <w:lang w:val="fr-CH"/>
        </w:rPr>
        <w:t xml:space="preserve">ainsi que d’une interaction véritable des dimensions culturelle, historique, géographique et linguistique </w:t>
      </w:r>
      <w:r w:rsidR="00223323" w:rsidRPr="0071782F">
        <w:rPr>
          <w:lang w:val="fr-CH"/>
        </w:rPr>
        <w:t xml:space="preserve">du patrimoine </w:t>
      </w:r>
      <w:r w:rsidR="00E022C2" w:rsidRPr="0071782F">
        <w:rPr>
          <w:lang w:val="fr-CH"/>
        </w:rPr>
        <w:t>de l’Iran</w:t>
      </w:r>
      <w:r w:rsidR="00AD5035" w:rsidRPr="0071782F">
        <w:rPr>
          <w:lang w:val="fr-CH"/>
        </w:rPr>
        <w:t xml:space="preserve">, </w:t>
      </w:r>
      <w:r w:rsidR="00E022C2" w:rsidRPr="0071782F">
        <w:rPr>
          <w:lang w:val="fr-CH"/>
        </w:rPr>
        <w:t xml:space="preserve">et dans la perspective </w:t>
      </w:r>
      <w:r w:rsidR="00445ED1" w:rsidRPr="0071782F">
        <w:rPr>
          <w:lang w:val="fr-CH"/>
        </w:rPr>
        <w:t>du développement durable</w:t>
      </w:r>
      <w:r w:rsidR="00AD5035" w:rsidRPr="0071782F">
        <w:rPr>
          <w:lang w:val="fr-CH"/>
        </w:rPr>
        <w:t xml:space="preserve">, </w:t>
      </w:r>
      <w:r w:rsidR="00223323" w:rsidRPr="0071782F">
        <w:rPr>
          <w:lang w:val="fr-CH"/>
        </w:rPr>
        <w:t>l’État doit</w:t>
      </w:r>
      <w:r w:rsidR="008F7D33" w:rsidRPr="0071782F">
        <w:rPr>
          <w:lang w:val="fr-CH"/>
        </w:rPr>
        <w:t>:</w:t>
      </w:r>
    </w:p>
    <w:p w:rsidR="00AD5035" w:rsidRPr="0071782F" w:rsidRDefault="00AD5035" w:rsidP="00930639">
      <w:pPr>
        <w:pStyle w:val="SingleTxtG"/>
        <w:ind w:left="1701"/>
        <w:rPr>
          <w:lang w:val="fr-CH"/>
        </w:rPr>
      </w:pPr>
      <w:r w:rsidRPr="0071782F">
        <w:rPr>
          <w:lang w:val="fr-CH"/>
        </w:rPr>
        <w:t>456.1.</w:t>
      </w:r>
      <w:r w:rsidRPr="0071782F">
        <w:rPr>
          <w:lang w:val="fr-CH"/>
        </w:rPr>
        <w:tab/>
      </w:r>
      <w:r w:rsidR="00223323" w:rsidRPr="0071782F">
        <w:rPr>
          <w:lang w:val="fr-CH"/>
        </w:rPr>
        <w:t xml:space="preserve">Exécuter le programme sur la fonction des signes, des symboles et des </w:t>
      </w:r>
      <w:r w:rsidR="00D5366B" w:rsidRPr="0071782F">
        <w:rPr>
          <w:lang w:val="fr-CH"/>
        </w:rPr>
        <w:t>œuvre</w:t>
      </w:r>
      <w:r w:rsidR="00223323" w:rsidRPr="0071782F">
        <w:rPr>
          <w:lang w:val="fr-CH"/>
        </w:rPr>
        <w:t xml:space="preserve">s d’art de l’Iran et du monde islamique dans l’architecture, l’aménagement urbain et la désignation des lieux et des produits nationaux pendant la première année du </w:t>
      </w:r>
      <w:r w:rsidR="00A90208" w:rsidRPr="0071782F">
        <w:rPr>
          <w:lang w:val="fr-CH"/>
        </w:rPr>
        <w:t>quatrième</w:t>
      </w:r>
      <w:r w:rsidR="00223323" w:rsidRPr="0071782F">
        <w:rPr>
          <w:lang w:val="fr-CH"/>
        </w:rPr>
        <w:t xml:space="preserve"> plan de développement et les années suivantes</w:t>
      </w:r>
      <w:r w:rsidRPr="0071782F">
        <w:rPr>
          <w:lang w:val="fr-CH"/>
        </w:rPr>
        <w:t>.</w:t>
      </w:r>
    </w:p>
    <w:p w:rsidR="00AD5035" w:rsidRPr="0071782F" w:rsidRDefault="00AD5035" w:rsidP="00930639">
      <w:pPr>
        <w:pStyle w:val="SingleTxtG"/>
        <w:ind w:left="1701"/>
        <w:rPr>
          <w:lang w:val="fr-CH"/>
        </w:rPr>
      </w:pPr>
      <w:r w:rsidRPr="0071782F">
        <w:rPr>
          <w:lang w:val="fr-CH"/>
        </w:rPr>
        <w:t>456.2.</w:t>
      </w:r>
      <w:r w:rsidRPr="0071782F">
        <w:rPr>
          <w:lang w:val="fr-CH"/>
        </w:rPr>
        <w:tab/>
      </w:r>
      <w:r w:rsidR="00223323" w:rsidRPr="0071782F">
        <w:rPr>
          <w:lang w:val="fr-CH"/>
        </w:rPr>
        <w:t xml:space="preserve">Jeter les bases de la création de musées de la </w:t>
      </w:r>
      <w:r w:rsidRPr="0071782F">
        <w:rPr>
          <w:lang w:val="fr-CH"/>
        </w:rPr>
        <w:t xml:space="preserve">science </w:t>
      </w:r>
      <w:r w:rsidR="00223323" w:rsidRPr="0071782F">
        <w:rPr>
          <w:lang w:val="fr-CH"/>
        </w:rPr>
        <w:t>et de la technologie</w:t>
      </w:r>
      <w:r w:rsidRPr="0071782F">
        <w:rPr>
          <w:lang w:val="fr-CH"/>
        </w:rPr>
        <w:t xml:space="preserve">; </w:t>
      </w:r>
      <w:r w:rsidR="00223323" w:rsidRPr="0071782F">
        <w:rPr>
          <w:lang w:val="fr-CH"/>
        </w:rPr>
        <w:t>de parcs scientifiques publics</w:t>
      </w:r>
      <w:r w:rsidRPr="0071782F">
        <w:rPr>
          <w:lang w:val="fr-CH"/>
        </w:rPr>
        <w:t xml:space="preserve">; </w:t>
      </w:r>
      <w:r w:rsidR="00223323" w:rsidRPr="0071782F">
        <w:rPr>
          <w:lang w:val="fr-CH"/>
        </w:rPr>
        <w:t>de petits musées consacrés à la culture, au sport, à l’histoire, à l’industrie et à la sainte défense</w:t>
      </w:r>
      <w:r w:rsidRPr="0071782F">
        <w:rPr>
          <w:lang w:val="fr-CH"/>
        </w:rPr>
        <w:t xml:space="preserve">; </w:t>
      </w:r>
      <w:r w:rsidR="00223323" w:rsidRPr="0071782F">
        <w:rPr>
          <w:lang w:val="fr-CH"/>
        </w:rPr>
        <w:t>et d’expositions sur les réalisations industrielles contemporaines du pays</w:t>
      </w:r>
      <w:r w:rsidRPr="0071782F">
        <w:rPr>
          <w:lang w:val="fr-CH"/>
        </w:rPr>
        <w:t>.</w:t>
      </w:r>
    </w:p>
    <w:p w:rsidR="00AD5035" w:rsidRPr="0071782F" w:rsidRDefault="00AD5035" w:rsidP="00930639">
      <w:pPr>
        <w:pStyle w:val="SingleTxtG"/>
        <w:ind w:left="1701"/>
        <w:rPr>
          <w:lang w:val="fr-CH"/>
        </w:rPr>
      </w:pPr>
      <w:r w:rsidRPr="0071782F">
        <w:rPr>
          <w:lang w:val="fr-CH"/>
        </w:rPr>
        <w:t>456.3.</w:t>
      </w:r>
      <w:r w:rsidRPr="0071782F">
        <w:rPr>
          <w:lang w:val="fr-CH"/>
        </w:rPr>
        <w:tab/>
      </w:r>
      <w:r w:rsidR="00223323" w:rsidRPr="0071782F">
        <w:rPr>
          <w:lang w:val="fr-CH"/>
        </w:rPr>
        <w:t xml:space="preserve">Élaborer et appliquer des politiques d’appui aux créateurs dont les produits reflètent les avantages et éléments culturels du pays. </w:t>
      </w:r>
    </w:p>
    <w:p w:rsidR="00AD5035" w:rsidRPr="0071782F" w:rsidRDefault="00AD5035" w:rsidP="00930639">
      <w:pPr>
        <w:pStyle w:val="SingleTxtG"/>
        <w:ind w:left="1701"/>
        <w:rPr>
          <w:lang w:val="fr-CH"/>
        </w:rPr>
      </w:pPr>
      <w:r w:rsidRPr="0071782F">
        <w:rPr>
          <w:lang w:val="fr-CH"/>
        </w:rPr>
        <w:t>456.4.</w:t>
      </w:r>
      <w:r w:rsidRPr="0071782F">
        <w:rPr>
          <w:lang w:val="fr-CH"/>
        </w:rPr>
        <w:tab/>
      </w:r>
      <w:r w:rsidR="00223323" w:rsidRPr="0071782F">
        <w:rPr>
          <w:lang w:val="fr-CH"/>
        </w:rPr>
        <w:t xml:space="preserve">Mettre à profit les avantages et capacités culturels pour faciliter et améliorer les relations </w:t>
      </w:r>
      <w:r w:rsidRPr="0071782F">
        <w:rPr>
          <w:lang w:val="fr-CH"/>
        </w:rPr>
        <w:t>international</w:t>
      </w:r>
      <w:r w:rsidR="00223323" w:rsidRPr="0071782F">
        <w:rPr>
          <w:lang w:val="fr-CH"/>
        </w:rPr>
        <w:t>es</w:t>
      </w:r>
      <w:r w:rsidRPr="0071782F">
        <w:rPr>
          <w:lang w:val="fr-CH"/>
        </w:rPr>
        <w:t>.</w:t>
      </w:r>
    </w:p>
    <w:p w:rsidR="00AD5035" w:rsidRPr="0071782F" w:rsidRDefault="00AD5035" w:rsidP="00930639">
      <w:pPr>
        <w:pStyle w:val="SingleTxtG"/>
        <w:ind w:left="1701"/>
        <w:rPr>
          <w:lang w:val="fr-CH"/>
        </w:rPr>
      </w:pPr>
      <w:r w:rsidRPr="0071782F">
        <w:rPr>
          <w:lang w:val="fr-CH"/>
        </w:rPr>
        <w:t>456.5.</w:t>
      </w:r>
      <w:r w:rsidRPr="0071782F">
        <w:rPr>
          <w:lang w:val="fr-CH"/>
        </w:rPr>
        <w:tab/>
        <w:t>Adopt</w:t>
      </w:r>
      <w:r w:rsidR="00223323" w:rsidRPr="0071782F">
        <w:rPr>
          <w:lang w:val="fr-CH"/>
        </w:rPr>
        <w:t xml:space="preserve">er des mesures concernant la formulation de politiques, la </w:t>
      </w:r>
      <w:r w:rsidRPr="0071782F">
        <w:rPr>
          <w:lang w:val="fr-CH"/>
        </w:rPr>
        <w:t>coordination</w:t>
      </w:r>
      <w:r w:rsidR="00223323" w:rsidRPr="0071782F">
        <w:rPr>
          <w:lang w:val="fr-CH"/>
        </w:rPr>
        <w:t xml:space="preserve"> et l’appui aux activités culturelles à l’étranger, ainsi que la mise en place et la planification de politiques culturelles pour les Iraniens résidant à l’étranger.</w:t>
      </w:r>
    </w:p>
    <w:p w:rsidR="00AD5035" w:rsidRPr="0071782F" w:rsidRDefault="00AD5035" w:rsidP="00930639">
      <w:pPr>
        <w:pStyle w:val="SingleTxtG"/>
        <w:ind w:left="1701"/>
        <w:rPr>
          <w:lang w:val="fr-CH"/>
        </w:rPr>
      </w:pPr>
      <w:r w:rsidRPr="0071782F">
        <w:rPr>
          <w:lang w:val="fr-CH"/>
        </w:rPr>
        <w:t>456.6.</w:t>
      </w:r>
      <w:r w:rsidRPr="0071782F">
        <w:rPr>
          <w:lang w:val="fr-CH"/>
        </w:rPr>
        <w:tab/>
      </w:r>
      <w:r w:rsidR="00223323" w:rsidRPr="0071782F">
        <w:rPr>
          <w:lang w:val="fr-CH"/>
        </w:rPr>
        <w:t>Tous les organismes d’exécution et les responsables de projets d’investissement sont autorisés à consacrer 1</w:t>
      </w:r>
      <w:r w:rsidR="007E5125" w:rsidRPr="0071782F">
        <w:rPr>
          <w:lang w:val="fr-CH"/>
        </w:rPr>
        <w:t>%</w:t>
      </w:r>
      <w:r w:rsidR="00223323" w:rsidRPr="0071782F">
        <w:rPr>
          <w:lang w:val="fr-CH"/>
        </w:rPr>
        <w:t xml:space="preserve"> de leur budget à la construction de structures et de bâtiments devant servir à la conception, à la construction, à l’</w:t>
      </w:r>
      <w:r w:rsidRPr="0071782F">
        <w:rPr>
          <w:lang w:val="fr-CH"/>
        </w:rPr>
        <w:t>installation</w:t>
      </w:r>
      <w:r w:rsidR="00223323" w:rsidRPr="0071782F">
        <w:rPr>
          <w:lang w:val="fr-CH"/>
        </w:rPr>
        <w:t xml:space="preserve"> et à l’exposition d’</w:t>
      </w:r>
      <w:r w:rsidR="00D5366B" w:rsidRPr="0071782F">
        <w:rPr>
          <w:lang w:val="fr-CH"/>
        </w:rPr>
        <w:t>œuvre</w:t>
      </w:r>
      <w:r w:rsidR="00223323" w:rsidRPr="0071782F">
        <w:rPr>
          <w:lang w:val="fr-CH"/>
        </w:rPr>
        <w:t>s d’art conformes à la culture religieuse et nationale</w:t>
      </w:r>
      <w:r w:rsidRPr="0071782F">
        <w:rPr>
          <w:lang w:val="fr-CH"/>
        </w:rPr>
        <w:t>,</w:t>
      </w:r>
      <w:r w:rsidR="00223323" w:rsidRPr="0071782F">
        <w:rPr>
          <w:lang w:val="fr-CH"/>
        </w:rPr>
        <w:t xml:space="preserve"> et de mémoriaux à la sainte défense</w:t>
      </w:r>
      <w:r w:rsidRPr="0071782F">
        <w:rPr>
          <w:lang w:val="fr-CH"/>
        </w:rPr>
        <w:t>.</w:t>
      </w:r>
      <w:r w:rsidR="00A62149" w:rsidRPr="0071782F">
        <w:rPr>
          <w:lang w:val="fr-CH"/>
        </w:rPr>
        <w:t>"</w:t>
      </w:r>
      <w:r w:rsidRPr="0071782F">
        <w:rPr>
          <w:lang w:val="fr-CH"/>
        </w:rPr>
        <w:t xml:space="preserve"> </w:t>
      </w:r>
    </w:p>
    <w:p w:rsidR="00AD5035" w:rsidRPr="0071782F" w:rsidRDefault="00AD5035" w:rsidP="00930639">
      <w:pPr>
        <w:pStyle w:val="SingleTxtG"/>
        <w:rPr>
          <w:lang w:val="fr-CH"/>
        </w:rPr>
      </w:pPr>
      <w:r w:rsidRPr="0071782F">
        <w:rPr>
          <w:lang w:val="fr-CH"/>
        </w:rPr>
        <w:t>457.</w:t>
      </w:r>
      <w:r w:rsidRPr="0071782F">
        <w:rPr>
          <w:lang w:val="fr-CH"/>
        </w:rPr>
        <w:tab/>
      </w:r>
      <w:r w:rsidR="00723F2B" w:rsidRPr="0071782F">
        <w:rPr>
          <w:lang w:val="fr-CH"/>
        </w:rPr>
        <w:t>L’</w:t>
      </w:r>
      <w:r w:rsidR="00943A69" w:rsidRPr="0071782F">
        <w:rPr>
          <w:lang w:val="fr-CH"/>
        </w:rPr>
        <w:t>article </w:t>
      </w:r>
      <w:r w:rsidRPr="0071782F">
        <w:rPr>
          <w:lang w:val="fr-CH"/>
        </w:rPr>
        <w:t xml:space="preserve">114 </w:t>
      </w:r>
      <w:r w:rsidR="00223323" w:rsidRPr="0071782F">
        <w:rPr>
          <w:lang w:val="fr-CH"/>
        </w:rPr>
        <w:t>est ainsi libellé</w:t>
      </w:r>
      <w:r w:rsidR="008F7D33" w:rsidRPr="0071782F">
        <w:rPr>
          <w:lang w:val="fr-CH"/>
        </w:rPr>
        <w:t>:</w:t>
      </w:r>
    </w:p>
    <w:p w:rsidR="00AD5035" w:rsidRPr="0071782F" w:rsidRDefault="00A62149" w:rsidP="00930639">
      <w:pPr>
        <w:pStyle w:val="SingleTxtG"/>
        <w:ind w:left="1701"/>
        <w:rPr>
          <w:lang w:val="fr-CH"/>
        </w:rPr>
      </w:pPr>
      <w:r w:rsidRPr="0071782F">
        <w:rPr>
          <w:lang w:val="fr-CH"/>
        </w:rPr>
        <w:t>"</w:t>
      </w:r>
      <w:r w:rsidR="00D3773D" w:rsidRPr="0071782F">
        <w:rPr>
          <w:lang w:val="fr-CH"/>
        </w:rPr>
        <w:t>Afin d’axer les efforts au niveau national sur l’</w:t>
      </w:r>
      <w:r w:rsidR="00AD5035" w:rsidRPr="0071782F">
        <w:rPr>
          <w:lang w:val="fr-CH"/>
        </w:rPr>
        <w:t xml:space="preserve">identification, </w:t>
      </w:r>
      <w:r w:rsidR="00D3773D" w:rsidRPr="0071782F">
        <w:rPr>
          <w:lang w:val="fr-CH"/>
        </w:rPr>
        <w:t xml:space="preserve">la </w:t>
      </w:r>
      <w:r w:rsidR="00AD5035" w:rsidRPr="0071782F">
        <w:rPr>
          <w:lang w:val="fr-CH"/>
        </w:rPr>
        <w:t xml:space="preserve">protection, </w:t>
      </w:r>
      <w:r w:rsidR="00D3773D" w:rsidRPr="0071782F">
        <w:rPr>
          <w:lang w:val="fr-CH"/>
        </w:rPr>
        <w:t xml:space="preserve">l’étude, la restauration, le renouveau, l’utilisation et la diffusion du patrimoine culturel du pays, et de renforcer le </w:t>
      </w:r>
      <w:r w:rsidR="00AD5035" w:rsidRPr="0071782F">
        <w:rPr>
          <w:lang w:val="fr-CH"/>
        </w:rPr>
        <w:t>tourism</w:t>
      </w:r>
      <w:r w:rsidR="00D3773D" w:rsidRPr="0071782F">
        <w:rPr>
          <w:lang w:val="fr-CH"/>
        </w:rPr>
        <w:t>e</w:t>
      </w:r>
      <w:r w:rsidR="00AD5035" w:rsidRPr="0071782F">
        <w:rPr>
          <w:lang w:val="fr-CH"/>
        </w:rPr>
        <w:t xml:space="preserve">, </w:t>
      </w:r>
      <w:r w:rsidR="00D3773D" w:rsidRPr="0071782F">
        <w:rPr>
          <w:lang w:val="fr-CH"/>
        </w:rPr>
        <w:t xml:space="preserve">la création de richesses et d’emplois et les échanges culturels dans le pays, l’État est tenu d’adopter les mesures ci-après pendant toutes les années du </w:t>
      </w:r>
      <w:r w:rsidR="00A90208" w:rsidRPr="0071782F">
        <w:rPr>
          <w:lang w:val="fr-CH"/>
        </w:rPr>
        <w:t>quatrième</w:t>
      </w:r>
      <w:r w:rsidR="00881286" w:rsidRPr="0071782F">
        <w:rPr>
          <w:lang w:val="fr-CH"/>
        </w:rPr>
        <w:t> </w:t>
      </w:r>
      <w:r w:rsidR="00D3773D" w:rsidRPr="0071782F">
        <w:rPr>
          <w:lang w:val="fr-CH"/>
        </w:rPr>
        <w:t>plan de développement.</w:t>
      </w:r>
    </w:p>
    <w:p w:rsidR="00AD5035" w:rsidRPr="0071782F" w:rsidRDefault="00AD5035" w:rsidP="00930639">
      <w:pPr>
        <w:pStyle w:val="SingleTxtG"/>
        <w:ind w:left="1701"/>
        <w:rPr>
          <w:lang w:val="fr-CH"/>
        </w:rPr>
      </w:pPr>
      <w:r w:rsidRPr="0071782F">
        <w:rPr>
          <w:lang w:val="fr-CH"/>
        </w:rPr>
        <w:t>457.1.</w:t>
      </w:r>
      <w:r w:rsidRPr="0071782F">
        <w:rPr>
          <w:lang w:val="fr-CH"/>
        </w:rPr>
        <w:tab/>
      </w:r>
      <w:r w:rsidR="00D3773D" w:rsidRPr="0071782F">
        <w:rPr>
          <w:lang w:val="fr-CH"/>
        </w:rPr>
        <w:t xml:space="preserve">Concevoir et exécuter des </w:t>
      </w:r>
      <w:r w:rsidRPr="0071782F">
        <w:rPr>
          <w:lang w:val="fr-CH"/>
        </w:rPr>
        <w:t>program</w:t>
      </w:r>
      <w:r w:rsidR="00D3773D" w:rsidRPr="0071782F">
        <w:rPr>
          <w:lang w:val="fr-CH"/>
        </w:rPr>
        <w:t>me</w:t>
      </w:r>
      <w:r w:rsidRPr="0071782F">
        <w:rPr>
          <w:lang w:val="fr-CH"/>
        </w:rPr>
        <w:t xml:space="preserve">s </w:t>
      </w:r>
      <w:r w:rsidR="00D3773D" w:rsidRPr="0071782F">
        <w:rPr>
          <w:lang w:val="fr-CH"/>
        </w:rPr>
        <w:t>d’appui aux propriétaires, occupants légaux et utilisateurs de bâtiments ayant une valeur historico-culture</w:t>
      </w:r>
      <w:r w:rsidRPr="0071782F">
        <w:rPr>
          <w:lang w:val="fr-CH"/>
        </w:rPr>
        <w:t>l</w:t>
      </w:r>
      <w:r w:rsidR="00D3773D" w:rsidRPr="0071782F">
        <w:rPr>
          <w:lang w:val="fr-CH"/>
        </w:rPr>
        <w:t>le et des biens situés à proximité</w:t>
      </w:r>
      <w:r w:rsidRPr="0071782F">
        <w:rPr>
          <w:lang w:val="fr-CH"/>
        </w:rPr>
        <w:t xml:space="preserve">, </w:t>
      </w:r>
      <w:r w:rsidR="00D3773D" w:rsidRPr="0071782F">
        <w:rPr>
          <w:lang w:val="fr-CH"/>
        </w:rPr>
        <w:t xml:space="preserve">et gérer l’organisation et le contrôle des biens meubles légaux ayant une valeur historico-culturelle et appuyer les propriétaires de ces biens, d’ici à la fin de la première année du </w:t>
      </w:r>
      <w:r w:rsidR="00A90208" w:rsidRPr="0071782F">
        <w:rPr>
          <w:lang w:val="fr-CH"/>
        </w:rPr>
        <w:t>quatrième</w:t>
      </w:r>
      <w:r w:rsidR="00881286" w:rsidRPr="0071782F">
        <w:rPr>
          <w:lang w:val="fr-CH"/>
        </w:rPr>
        <w:t> </w:t>
      </w:r>
      <w:r w:rsidR="00D3773D" w:rsidRPr="0071782F">
        <w:rPr>
          <w:lang w:val="fr-CH"/>
        </w:rPr>
        <w:t>plan de développement</w:t>
      </w:r>
      <w:r w:rsidRPr="0071782F">
        <w:rPr>
          <w:lang w:val="fr-CH"/>
        </w:rPr>
        <w:t>.</w:t>
      </w:r>
    </w:p>
    <w:p w:rsidR="00AD5035" w:rsidRPr="0071782F" w:rsidRDefault="00AD5035" w:rsidP="00930639">
      <w:pPr>
        <w:pStyle w:val="SingleTxtG"/>
        <w:ind w:left="1701"/>
        <w:rPr>
          <w:lang w:val="fr-CH"/>
        </w:rPr>
      </w:pPr>
      <w:r w:rsidRPr="0071782F">
        <w:rPr>
          <w:lang w:val="fr-CH"/>
        </w:rPr>
        <w:t>457.2.</w:t>
      </w:r>
      <w:r w:rsidRPr="0071782F">
        <w:rPr>
          <w:lang w:val="fr-CH"/>
        </w:rPr>
        <w:tab/>
      </w:r>
      <w:r w:rsidR="004010C5" w:rsidRPr="0071782F">
        <w:rPr>
          <w:lang w:val="fr-CH"/>
        </w:rPr>
        <w:t>Créer et développer des musées de recherche spécialisés rattachés à des organismes d’exécution</w:t>
      </w:r>
      <w:r w:rsidRPr="0071782F">
        <w:rPr>
          <w:lang w:val="fr-CH"/>
        </w:rPr>
        <w:t>.</w:t>
      </w:r>
    </w:p>
    <w:p w:rsidR="00AD5035" w:rsidRPr="0071782F" w:rsidRDefault="00AD5035" w:rsidP="0075591A">
      <w:pPr>
        <w:pStyle w:val="SingleTxtG"/>
        <w:spacing w:before="240"/>
        <w:ind w:left="1701"/>
        <w:rPr>
          <w:lang w:val="fr-CH"/>
        </w:rPr>
      </w:pPr>
      <w:r w:rsidRPr="0071782F">
        <w:rPr>
          <w:lang w:val="fr-CH"/>
        </w:rPr>
        <w:t>457.3.</w:t>
      </w:r>
      <w:r w:rsidRPr="0071782F">
        <w:rPr>
          <w:lang w:val="fr-CH"/>
        </w:rPr>
        <w:tab/>
        <w:t>Identifi</w:t>
      </w:r>
      <w:r w:rsidR="0075591A" w:rsidRPr="0071782F">
        <w:rPr>
          <w:lang w:val="fr-CH"/>
        </w:rPr>
        <w:t xml:space="preserve">er, documents à l’appui, des </w:t>
      </w:r>
      <w:r w:rsidR="00D5366B" w:rsidRPr="0071782F">
        <w:rPr>
          <w:lang w:val="fr-CH"/>
        </w:rPr>
        <w:t>œuvre</w:t>
      </w:r>
      <w:r w:rsidR="0075591A" w:rsidRPr="0071782F">
        <w:rPr>
          <w:lang w:val="fr-CH"/>
        </w:rPr>
        <w:t xml:space="preserve">s ayant une valeur historico-culturelle situées dans le champ géographique du projet, tâche menée à bien par l’organisme d’exécution avec l’approbation et sous la </w:t>
      </w:r>
      <w:r w:rsidRPr="0071782F">
        <w:rPr>
          <w:lang w:val="fr-CH"/>
        </w:rPr>
        <w:t xml:space="preserve">supervision </w:t>
      </w:r>
      <w:r w:rsidR="0075591A" w:rsidRPr="0071782F">
        <w:rPr>
          <w:lang w:val="fr-CH"/>
        </w:rPr>
        <w:t>de l’Organisme du patrimoine culturel et du tourisme.</w:t>
      </w:r>
    </w:p>
    <w:p w:rsidR="00AD5035" w:rsidRPr="0071782F" w:rsidRDefault="00AD5035" w:rsidP="00930639">
      <w:pPr>
        <w:pStyle w:val="SingleTxtG"/>
        <w:ind w:left="1701"/>
        <w:rPr>
          <w:lang w:val="fr-CH"/>
        </w:rPr>
      </w:pPr>
      <w:r w:rsidRPr="0071782F">
        <w:rPr>
          <w:lang w:val="fr-CH"/>
        </w:rPr>
        <w:t>457.4.</w:t>
      </w:r>
      <w:r w:rsidRPr="0071782F">
        <w:rPr>
          <w:lang w:val="fr-CH"/>
        </w:rPr>
        <w:tab/>
      </w:r>
      <w:r w:rsidR="003A372E" w:rsidRPr="0071782F">
        <w:rPr>
          <w:lang w:val="fr-CH"/>
        </w:rPr>
        <w:t>Créer et équiper des centres consacrés au patrimoine culturel sur les sites historiques importants du pays</w:t>
      </w:r>
      <w:r w:rsidRPr="0071782F">
        <w:rPr>
          <w:lang w:val="fr-CH"/>
        </w:rPr>
        <w:t xml:space="preserve"> </w:t>
      </w:r>
      <w:r w:rsidR="003A372E" w:rsidRPr="0071782F">
        <w:rPr>
          <w:lang w:val="fr-CH"/>
        </w:rPr>
        <w:t xml:space="preserve">et dans d’autres instances </w:t>
      </w:r>
      <w:r w:rsidRPr="0071782F">
        <w:rPr>
          <w:lang w:val="fr-CH"/>
        </w:rPr>
        <w:t>important</w:t>
      </w:r>
      <w:r w:rsidR="003A372E" w:rsidRPr="0071782F">
        <w:rPr>
          <w:lang w:val="fr-CH"/>
        </w:rPr>
        <w:t>es en matière de patrimoine culturel</w:t>
      </w:r>
      <w:r w:rsidRPr="0071782F">
        <w:rPr>
          <w:lang w:val="fr-CH"/>
        </w:rPr>
        <w:t>.</w:t>
      </w:r>
    </w:p>
    <w:p w:rsidR="00AD5035" w:rsidRPr="0071782F" w:rsidRDefault="00AD5035" w:rsidP="00930639">
      <w:pPr>
        <w:pStyle w:val="SingleTxtG"/>
        <w:ind w:left="1701"/>
        <w:rPr>
          <w:lang w:val="fr-CH"/>
        </w:rPr>
      </w:pPr>
      <w:r w:rsidRPr="0071782F">
        <w:rPr>
          <w:lang w:val="fr-CH"/>
        </w:rPr>
        <w:t>457.5.</w:t>
      </w:r>
      <w:r w:rsidRPr="0071782F">
        <w:rPr>
          <w:lang w:val="fr-CH"/>
        </w:rPr>
        <w:tab/>
      </w:r>
      <w:r w:rsidR="003A372E" w:rsidRPr="0071782F">
        <w:rPr>
          <w:lang w:val="fr-CH"/>
        </w:rPr>
        <w:t xml:space="preserve">Recenser comme patrimoine culturel commun les </w:t>
      </w:r>
      <w:r w:rsidR="00D5366B" w:rsidRPr="0071782F">
        <w:rPr>
          <w:lang w:val="fr-CH"/>
        </w:rPr>
        <w:t>œuvre</w:t>
      </w:r>
      <w:r w:rsidR="003A372E" w:rsidRPr="0071782F">
        <w:rPr>
          <w:lang w:val="fr-CH"/>
        </w:rPr>
        <w:t xml:space="preserve">s culturelles et historiques liées à la culture iranienne situées dans les pays voisins et de la région, et consacrer des ressources à ces </w:t>
      </w:r>
      <w:r w:rsidR="00D5366B" w:rsidRPr="0071782F">
        <w:rPr>
          <w:lang w:val="fr-CH"/>
        </w:rPr>
        <w:t>œuvre</w:t>
      </w:r>
      <w:r w:rsidR="003A372E" w:rsidRPr="0071782F">
        <w:rPr>
          <w:lang w:val="fr-CH"/>
        </w:rPr>
        <w:t>s.</w:t>
      </w:r>
      <w:r w:rsidR="00D36718">
        <w:rPr>
          <w:lang w:val="fr-CH"/>
        </w:rPr>
        <w:t xml:space="preserve"> </w:t>
      </w:r>
    </w:p>
    <w:p w:rsidR="00AD5035" w:rsidRPr="0071782F" w:rsidRDefault="00AD5035" w:rsidP="00930639">
      <w:pPr>
        <w:pStyle w:val="SingleTxtG"/>
        <w:ind w:left="1701"/>
        <w:rPr>
          <w:lang w:val="fr-CH"/>
        </w:rPr>
      </w:pPr>
      <w:r w:rsidRPr="0071782F">
        <w:rPr>
          <w:lang w:val="fr-CH"/>
        </w:rPr>
        <w:t>457.6.</w:t>
      </w:r>
      <w:r w:rsidRPr="0071782F">
        <w:rPr>
          <w:lang w:val="fr-CH"/>
        </w:rPr>
        <w:tab/>
      </w:r>
      <w:r w:rsidR="00C57256" w:rsidRPr="0071782F">
        <w:rPr>
          <w:lang w:val="fr-CH"/>
        </w:rPr>
        <w:t>Pour stimuler la coopé</w:t>
      </w:r>
      <w:r w:rsidRPr="0071782F">
        <w:rPr>
          <w:lang w:val="fr-CH"/>
        </w:rPr>
        <w:t xml:space="preserve">ration </w:t>
      </w:r>
      <w:r w:rsidR="00C57256" w:rsidRPr="0071782F">
        <w:rPr>
          <w:lang w:val="fr-CH"/>
        </w:rPr>
        <w:t>du secteur privé et des coopératives, l’Organisme du patrimoine culturel et du tourisme est habilité à délivrer des autorisations à des musées et à des sociétés de conseil privés et spécialisés, à des institutions spécialisées dans le patrimoine culturel</w:t>
      </w:r>
      <w:r w:rsidRPr="0071782F">
        <w:rPr>
          <w:lang w:val="fr-CH"/>
        </w:rPr>
        <w:t xml:space="preserve">, </w:t>
      </w:r>
      <w:r w:rsidR="00C57256" w:rsidRPr="0071782F">
        <w:rPr>
          <w:lang w:val="fr-CH"/>
        </w:rPr>
        <w:t>à des ateliers de restauration de biens culturels</w:t>
      </w:r>
      <w:r w:rsidRPr="0071782F">
        <w:rPr>
          <w:lang w:val="fr-CH"/>
        </w:rPr>
        <w:t xml:space="preserve"> </w:t>
      </w:r>
      <w:r w:rsidR="00C57256" w:rsidRPr="0071782F">
        <w:rPr>
          <w:lang w:val="fr-CH"/>
        </w:rPr>
        <w:t>et</w:t>
      </w:r>
      <w:r w:rsidRPr="0071782F">
        <w:rPr>
          <w:lang w:val="fr-CH"/>
        </w:rPr>
        <w:t xml:space="preserve"> histori</w:t>
      </w:r>
      <w:r w:rsidR="00C57256" w:rsidRPr="0071782F">
        <w:rPr>
          <w:lang w:val="fr-CH"/>
        </w:rPr>
        <w:t>ques meubles et immeubles, à des institutions de gestion de musées et de sites culturels et historiques</w:t>
      </w:r>
      <w:r w:rsidRPr="0071782F">
        <w:rPr>
          <w:lang w:val="fr-CH"/>
        </w:rPr>
        <w:t xml:space="preserve">, </w:t>
      </w:r>
      <w:r w:rsidR="00C57256" w:rsidRPr="0071782F">
        <w:rPr>
          <w:lang w:val="fr-CH"/>
        </w:rPr>
        <w:t xml:space="preserve">à des </w:t>
      </w:r>
      <w:r w:rsidRPr="0071782F">
        <w:rPr>
          <w:lang w:val="fr-CH"/>
        </w:rPr>
        <w:t xml:space="preserve">institutions </w:t>
      </w:r>
      <w:r w:rsidR="00C57256" w:rsidRPr="0071782F">
        <w:rPr>
          <w:lang w:val="fr-CH"/>
        </w:rPr>
        <w:t xml:space="preserve">spécialisées dans les </w:t>
      </w:r>
      <w:r w:rsidR="00D5366B" w:rsidRPr="0071782F">
        <w:rPr>
          <w:lang w:val="fr-CH"/>
        </w:rPr>
        <w:t>œuvre</w:t>
      </w:r>
      <w:r w:rsidR="00C57256" w:rsidRPr="0071782F">
        <w:rPr>
          <w:lang w:val="fr-CH"/>
        </w:rPr>
        <w:t>s culturelles et historiques</w:t>
      </w:r>
      <w:r w:rsidRPr="0071782F">
        <w:rPr>
          <w:lang w:val="fr-CH"/>
        </w:rPr>
        <w:t xml:space="preserve">, </w:t>
      </w:r>
      <w:r w:rsidR="00C57256" w:rsidRPr="0071782F">
        <w:rPr>
          <w:lang w:val="fr-CH"/>
        </w:rPr>
        <w:t xml:space="preserve">à des ateliers d’arts traditionnels et à d’autres </w:t>
      </w:r>
      <w:r w:rsidRPr="0071782F">
        <w:rPr>
          <w:lang w:val="fr-CH"/>
        </w:rPr>
        <w:t xml:space="preserve">institutions </w:t>
      </w:r>
      <w:r w:rsidR="00C57256" w:rsidRPr="0071782F">
        <w:rPr>
          <w:lang w:val="fr-CH"/>
        </w:rPr>
        <w:t>privées liées au patrimoine culturel</w:t>
      </w:r>
      <w:r w:rsidRPr="0071782F">
        <w:rPr>
          <w:lang w:val="fr-CH"/>
        </w:rPr>
        <w:t xml:space="preserve">. </w:t>
      </w:r>
      <w:r w:rsidR="00C57256" w:rsidRPr="0071782F">
        <w:rPr>
          <w:lang w:val="fr-CH"/>
        </w:rPr>
        <w:t xml:space="preserve">Le règlement d’exécution du présent </w:t>
      </w:r>
      <w:r w:rsidR="00F739E0">
        <w:rPr>
          <w:lang w:val="fr-CH"/>
        </w:rPr>
        <w:t xml:space="preserve">paragraphe </w:t>
      </w:r>
      <w:r w:rsidR="00C57256" w:rsidRPr="0071782F">
        <w:rPr>
          <w:lang w:val="fr-CH"/>
        </w:rPr>
        <w:t>sera approuvé par le Conseil des ministres sur recommandation de l’Organisme du patrimoine culturel et du tourisme.</w:t>
      </w:r>
      <w:r w:rsidR="00BF7680">
        <w:rPr>
          <w:lang w:val="fr-CH"/>
        </w:rPr>
        <w:t xml:space="preserve"> </w:t>
      </w:r>
    </w:p>
    <w:p w:rsidR="00AD5035" w:rsidRPr="0071782F" w:rsidRDefault="00AD5035" w:rsidP="00930639">
      <w:pPr>
        <w:pStyle w:val="SingleTxtG"/>
        <w:ind w:left="1701"/>
        <w:rPr>
          <w:lang w:val="fr-CH"/>
        </w:rPr>
      </w:pPr>
      <w:r w:rsidRPr="0071782F">
        <w:rPr>
          <w:lang w:val="fr-CH"/>
        </w:rPr>
        <w:t>457.7.</w:t>
      </w:r>
      <w:r w:rsidRPr="0071782F">
        <w:rPr>
          <w:lang w:val="fr-CH"/>
        </w:rPr>
        <w:tab/>
      </w:r>
      <w:r w:rsidR="00514A01" w:rsidRPr="0071782F">
        <w:rPr>
          <w:lang w:val="fr-CH"/>
        </w:rPr>
        <w:t>Dans le but de délivrer des autorisations relatives à une exploitation appropriée de bâtiments et sites historiques susceptibles d’être remis en service à l’aide d’investissements du secteur privé national et étranger, l’Organisme du patrimoine culturel et du tourisme est habilité à créer le fonds de restauration et de remise en service des bâtiments et sites culturels et historiques.</w:t>
      </w:r>
      <w:r w:rsidR="00BF7680">
        <w:rPr>
          <w:lang w:val="fr-CH"/>
        </w:rPr>
        <w:t xml:space="preserve"> </w:t>
      </w:r>
      <w:r w:rsidR="00514A01" w:rsidRPr="0071782F">
        <w:rPr>
          <w:lang w:val="fr-CH"/>
        </w:rPr>
        <w:t xml:space="preserve">Les bâtiments et sites susceptibles d’être remis en service, à l’exclusion des </w:t>
      </w:r>
      <w:r w:rsidR="00D5366B" w:rsidRPr="0071782F">
        <w:rPr>
          <w:lang w:val="fr-CH"/>
        </w:rPr>
        <w:t>œuvre</w:t>
      </w:r>
      <w:r w:rsidR="00514A01" w:rsidRPr="0071782F">
        <w:rPr>
          <w:lang w:val="fr-CH"/>
        </w:rPr>
        <w:t>s d’art nationales</w:t>
      </w:r>
      <w:r w:rsidR="00BF7680">
        <w:rPr>
          <w:lang w:val="fr-CH"/>
        </w:rPr>
        <w:t xml:space="preserve"> </w:t>
      </w:r>
      <w:r w:rsidR="00514A01" w:rsidRPr="0071782F">
        <w:rPr>
          <w:lang w:val="fr-CH"/>
        </w:rPr>
        <w:t xml:space="preserve">(biens meubles et immeubles), sont, conformément à la décision de l’Organisme en question, exclus du champ d’application de </w:t>
      </w:r>
      <w:r w:rsidR="00723F2B" w:rsidRPr="0071782F">
        <w:rPr>
          <w:lang w:val="fr-CH"/>
        </w:rPr>
        <w:t>l’</w:t>
      </w:r>
      <w:r w:rsidR="00943A69" w:rsidRPr="0071782F">
        <w:rPr>
          <w:lang w:val="fr-CH"/>
        </w:rPr>
        <w:t>article </w:t>
      </w:r>
      <w:r w:rsidRPr="0071782F">
        <w:rPr>
          <w:lang w:val="fr-CH"/>
        </w:rPr>
        <w:t xml:space="preserve">151 </w:t>
      </w:r>
      <w:r w:rsidR="00514A01" w:rsidRPr="0071782F">
        <w:rPr>
          <w:lang w:val="fr-CH"/>
        </w:rPr>
        <w:t xml:space="preserve">de la loi de comptabilité générale, adoptée le 23 août </w:t>
      </w:r>
      <w:r w:rsidRPr="0071782F">
        <w:rPr>
          <w:lang w:val="fr-CH"/>
        </w:rPr>
        <w:t>1987.</w:t>
      </w:r>
    </w:p>
    <w:p w:rsidR="00AD5035" w:rsidRPr="0071782F" w:rsidRDefault="00AD5035" w:rsidP="00930639">
      <w:pPr>
        <w:pStyle w:val="SingleTxtG"/>
        <w:ind w:left="1701"/>
        <w:rPr>
          <w:lang w:val="fr-CH"/>
        </w:rPr>
      </w:pPr>
      <w:r w:rsidRPr="0071782F">
        <w:rPr>
          <w:lang w:val="fr-CH"/>
        </w:rPr>
        <w:t>457.8.</w:t>
      </w:r>
      <w:r w:rsidRPr="0071782F">
        <w:rPr>
          <w:lang w:val="fr-CH"/>
        </w:rPr>
        <w:tab/>
        <w:t>Promo</w:t>
      </w:r>
      <w:r w:rsidR="00A54440" w:rsidRPr="0071782F">
        <w:rPr>
          <w:lang w:val="fr-CH"/>
        </w:rPr>
        <w:t xml:space="preserve">uvoir le statut du secteur des ONG et renforcer la compétitivité de l’industrie touristique par le biais de la révision de leurs règles et règlements et de la mise en place des infrastructures nécessaires; définir des règlements </w:t>
      </w:r>
      <w:r w:rsidRPr="0071782F">
        <w:rPr>
          <w:lang w:val="fr-CH"/>
        </w:rPr>
        <w:t>administrati</w:t>
      </w:r>
      <w:r w:rsidR="00A54440" w:rsidRPr="0071782F">
        <w:rPr>
          <w:lang w:val="fr-CH"/>
        </w:rPr>
        <w:t>fs et bancaires favorables aux ONG</w:t>
      </w:r>
      <w:r w:rsidRPr="0071782F">
        <w:rPr>
          <w:lang w:val="fr-CH"/>
        </w:rPr>
        <w:t>; att</w:t>
      </w:r>
      <w:r w:rsidR="00A54440" w:rsidRPr="0071782F">
        <w:rPr>
          <w:lang w:val="fr-CH"/>
        </w:rPr>
        <w:t xml:space="preserve">irer les investisseurs et les institutions spécialisées nationales et </w:t>
      </w:r>
      <w:r w:rsidRPr="0071782F">
        <w:rPr>
          <w:lang w:val="fr-CH"/>
        </w:rPr>
        <w:t>international</w:t>
      </w:r>
      <w:r w:rsidR="00A54440" w:rsidRPr="0071782F">
        <w:rPr>
          <w:lang w:val="fr-CH"/>
        </w:rPr>
        <w:t>es</w:t>
      </w:r>
      <w:r w:rsidRPr="0071782F">
        <w:rPr>
          <w:lang w:val="fr-CH"/>
        </w:rPr>
        <w:t xml:space="preserve">; </w:t>
      </w:r>
      <w:r w:rsidR="00A54440" w:rsidRPr="0071782F">
        <w:rPr>
          <w:lang w:val="fr-CH"/>
        </w:rPr>
        <w:t>souscrire des assurances pour les touristes étrangers; et soumettre ces mesures à l’Assemblée c</w:t>
      </w:r>
      <w:r w:rsidRPr="0071782F">
        <w:rPr>
          <w:lang w:val="fr-CH"/>
        </w:rPr>
        <w:t xml:space="preserve">onsultative </w:t>
      </w:r>
      <w:r w:rsidR="00A54440" w:rsidRPr="0071782F">
        <w:rPr>
          <w:lang w:val="fr-CH"/>
        </w:rPr>
        <w:t>islamique</w:t>
      </w:r>
      <w:r w:rsidRPr="0071782F">
        <w:rPr>
          <w:lang w:val="fr-CH"/>
        </w:rPr>
        <w:t>.</w:t>
      </w:r>
    </w:p>
    <w:p w:rsidR="00AD5035" w:rsidRPr="0071782F" w:rsidRDefault="00AD5035" w:rsidP="00930639">
      <w:pPr>
        <w:pStyle w:val="SingleTxtG"/>
        <w:ind w:left="1701"/>
        <w:rPr>
          <w:lang w:val="fr-CH"/>
        </w:rPr>
      </w:pPr>
      <w:r w:rsidRPr="0071782F">
        <w:rPr>
          <w:lang w:val="fr-CH"/>
        </w:rPr>
        <w:t>457.9.</w:t>
      </w:r>
      <w:r w:rsidRPr="0071782F">
        <w:rPr>
          <w:lang w:val="fr-CH"/>
        </w:rPr>
        <w:tab/>
      </w:r>
      <w:r w:rsidR="00A54440" w:rsidRPr="0071782F">
        <w:rPr>
          <w:lang w:val="fr-CH"/>
        </w:rPr>
        <w:t>Achever la mise en place du système intégré de statistiques du tourisme, sous la supervision et avec l’assistance du Centre iranien de statistique.</w:t>
      </w:r>
      <w:r w:rsidR="00BF7680">
        <w:rPr>
          <w:lang w:val="fr-CH"/>
        </w:rPr>
        <w:t xml:space="preserve"> </w:t>
      </w:r>
    </w:p>
    <w:p w:rsidR="00AD5035" w:rsidRPr="0071782F" w:rsidRDefault="00AD5035" w:rsidP="00930639">
      <w:pPr>
        <w:pStyle w:val="SingleTxtG"/>
        <w:ind w:left="1701"/>
        <w:rPr>
          <w:lang w:val="fr-CH"/>
        </w:rPr>
      </w:pPr>
      <w:r w:rsidRPr="0071782F">
        <w:rPr>
          <w:lang w:val="fr-CH"/>
        </w:rPr>
        <w:t xml:space="preserve">457.10. </w:t>
      </w:r>
      <w:r w:rsidR="009633C2" w:rsidRPr="0071782F">
        <w:rPr>
          <w:lang w:val="fr-CH"/>
        </w:rPr>
        <w:t xml:space="preserve">Afin de protéger les </w:t>
      </w:r>
      <w:r w:rsidR="00D5366B" w:rsidRPr="0071782F">
        <w:rPr>
          <w:lang w:val="fr-CH"/>
        </w:rPr>
        <w:t>œuvre</w:t>
      </w:r>
      <w:r w:rsidR="009633C2" w:rsidRPr="0071782F">
        <w:rPr>
          <w:lang w:val="fr-CH"/>
        </w:rPr>
        <w:t>s et les cultures traditionnelles</w:t>
      </w:r>
      <w:r w:rsidRPr="0071782F">
        <w:rPr>
          <w:lang w:val="fr-CH"/>
        </w:rPr>
        <w:t>, ethni</w:t>
      </w:r>
      <w:r w:rsidR="009633C2" w:rsidRPr="0071782F">
        <w:rPr>
          <w:lang w:val="fr-CH"/>
        </w:rPr>
        <w:t>ques</w:t>
      </w:r>
      <w:r w:rsidRPr="0071782F">
        <w:rPr>
          <w:lang w:val="fr-CH"/>
        </w:rPr>
        <w:t>, tribal</w:t>
      </w:r>
      <w:r w:rsidR="009633C2" w:rsidRPr="0071782F">
        <w:rPr>
          <w:lang w:val="fr-CH"/>
        </w:rPr>
        <w:t xml:space="preserve">es et </w:t>
      </w:r>
      <w:r w:rsidRPr="0071782F">
        <w:rPr>
          <w:lang w:val="fr-CH"/>
        </w:rPr>
        <w:t>national</w:t>
      </w:r>
      <w:r w:rsidR="009633C2" w:rsidRPr="0071782F">
        <w:rPr>
          <w:lang w:val="fr-CH"/>
        </w:rPr>
        <w:t>es</w:t>
      </w:r>
      <w:r w:rsidRPr="0071782F">
        <w:rPr>
          <w:lang w:val="fr-CH"/>
        </w:rPr>
        <w:t xml:space="preserve">, </w:t>
      </w:r>
      <w:r w:rsidR="009633C2" w:rsidRPr="0071782F">
        <w:rPr>
          <w:lang w:val="fr-CH"/>
        </w:rPr>
        <w:t xml:space="preserve">d’attirer les touristes et de favoriser la croissance de l’industrie touristique du pays, l’État est tenu de créer des centres de </w:t>
      </w:r>
      <w:r w:rsidRPr="0071782F">
        <w:rPr>
          <w:lang w:val="fr-CH"/>
        </w:rPr>
        <w:t xml:space="preserve">protection </w:t>
      </w:r>
      <w:r w:rsidR="009633C2" w:rsidRPr="0071782F">
        <w:rPr>
          <w:lang w:val="fr-CH"/>
        </w:rPr>
        <w:t xml:space="preserve">des </w:t>
      </w:r>
      <w:r w:rsidR="00D5366B" w:rsidRPr="0071782F">
        <w:rPr>
          <w:lang w:val="fr-CH"/>
        </w:rPr>
        <w:t>œuvre</w:t>
      </w:r>
      <w:r w:rsidR="009633C2" w:rsidRPr="0071782F">
        <w:rPr>
          <w:lang w:val="fr-CH"/>
        </w:rPr>
        <w:t xml:space="preserve">s et des cultures tribales dans les </w:t>
      </w:r>
      <w:r w:rsidRPr="0071782F">
        <w:rPr>
          <w:lang w:val="fr-CH"/>
        </w:rPr>
        <w:t xml:space="preserve">districts </w:t>
      </w:r>
      <w:r w:rsidR="009633C2" w:rsidRPr="0071782F">
        <w:rPr>
          <w:lang w:val="fr-CH"/>
        </w:rPr>
        <w:t xml:space="preserve">et </w:t>
      </w:r>
      <w:r w:rsidRPr="0071782F">
        <w:rPr>
          <w:lang w:val="fr-CH"/>
        </w:rPr>
        <w:t xml:space="preserve">provinces </w:t>
      </w:r>
      <w:r w:rsidR="009633C2" w:rsidRPr="0071782F">
        <w:rPr>
          <w:lang w:val="fr-CH"/>
        </w:rPr>
        <w:t>du pays (</w:t>
      </w:r>
      <w:r w:rsidRPr="0071782F">
        <w:rPr>
          <w:lang w:val="fr-CH"/>
        </w:rPr>
        <w:t xml:space="preserve">villages </w:t>
      </w:r>
      <w:r w:rsidR="009633C2" w:rsidRPr="0071782F">
        <w:rPr>
          <w:lang w:val="fr-CH"/>
        </w:rPr>
        <w:t>et centres touristiques</w:t>
      </w:r>
      <w:r w:rsidRPr="0071782F">
        <w:rPr>
          <w:lang w:val="fr-CH"/>
        </w:rPr>
        <w:t xml:space="preserve">, </w:t>
      </w:r>
      <w:r w:rsidR="009633C2" w:rsidRPr="0071782F">
        <w:rPr>
          <w:lang w:val="fr-CH"/>
        </w:rPr>
        <w:t>zones de loisirs, musées et expositions tribaux, etc.) et de les doter des fonds et installations nécessaires en vertu de la loi de finances</w:t>
      </w:r>
      <w:r w:rsidRPr="0071782F">
        <w:rPr>
          <w:lang w:val="fr-CH"/>
        </w:rPr>
        <w:t xml:space="preserve">. </w:t>
      </w:r>
      <w:r w:rsidR="009633C2" w:rsidRPr="0071782F">
        <w:rPr>
          <w:lang w:val="fr-CH"/>
        </w:rPr>
        <w:t xml:space="preserve">La </w:t>
      </w:r>
      <w:r w:rsidRPr="0071782F">
        <w:rPr>
          <w:lang w:val="fr-CH"/>
        </w:rPr>
        <w:t xml:space="preserve">participation </w:t>
      </w:r>
      <w:r w:rsidR="009633C2" w:rsidRPr="0071782F">
        <w:rPr>
          <w:lang w:val="fr-CH"/>
        </w:rPr>
        <w:t xml:space="preserve">des secteurs public et privé et l’octroi de terres et d’installations au secteur privé en vue de l’exécution de ces projets sont autorisés. Le règlement d’exécution du présent </w:t>
      </w:r>
      <w:r w:rsidR="00881286" w:rsidRPr="0071782F">
        <w:rPr>
          <w:lang w:val="fr-CH"/>
        </w:rPr>
        <w:t xml:space="preserve">paragraphe </w:t>
      </w:r>
      <w:r w:rsidR="009633C2" w:rsidRPr="0071782F">
        <w:rPr>
          <w:lang w:val="fr-CH"/>
        </w:rPr>
        <w:t xml:space="preserve">sera approuvé par le Conseil des ministres sur recommandation du Ministère de l’agriculture </w:t>
      </w:r>
      <w:r w:rsidRPr="0071782F">
        <w:rPr>
          <w:lang w:val="fr-CH"/>
        </w:rPr>
        <w:t>(</w:t>
      </w:r>
      <w:r w:rsidR="009633C2" w:rsidRPr="0071782F">
        <w:rPr>
          <w:lang w:val="fr-CH"/>
        </w:rPr>
        <w:t>Organisme chargé des affaires nomades</w:t>
      </w:r>
      <w:r w:rsidRPr="0071782F">
        <w:rPr>
          <w:lang w:val="fr-CH"/>
        </w:rPr>
        <w:t xml:space="preserve">), </w:t>
      </w:r>
      <w:r w:rsidR="009633C2" w:rsidRPr="0071782F">
        <w:rPr>
          <w:lang w:val="fr-CH"/>
        </w:rPr>
        <w:t xml:space="preserve">du </w:t>
      </w:r>
      <w:r w:rsidRPr="0071782F">
        <w:rPr>
          <w:lang w:val="fr-CH"/>
        </w:rPr>
        <w:t>Minist</w:t>
      </w:r>
      <w:r w:rsidR="009633C2" w:rsidRPr="0071782F">
        <w:rPr>
          <w:lang w:val="fr-CH"/>
        </w:rPr>
        <w:t>ère de la c</w:t>
      </w:r>
      <w:r w:rsidRPr="0071782F">
        <w:rPr>
          <w:lang w:val="fr-CH"/>
        </w:rPr>
        <w:t xml:space="preserve">ulture </w:t>
      </w:r>
      <w:r w:rsidR="009633C2" w:rsidRPr="0071782F">
        <w:rPr>
          <w:lang w:val="fr-CH"/>
        </w:rPr>
        <w:t>et de l’orientation islamique, et du B</w:t>
      </w:r>
      <w:r w:rsidRPr="0071782F">
        <w:rPr>
          <w:lang w:val="fr-CH"/>
        </w:rPr>
        <w:t xml:space="preserve">ureau </w:t>
      </w:r>
      <w:r w:rsidR="009633C2" w:rsidRPr="0071782F">
        <w:rPr>
          <w:lang w:val="fr-CH"/>
        </w:rPr>
        <w:t>des régions défavorisées de la Présidence</w:t>
      </w:r>
      <w:r w:rsidRPr="0071782F">
        <w:rPr>
          <w:lang w:val="fr-CH"/>
        </w:rPr>
        <w:t>.</w:t>
      </w:r>
      <w:r w:rsidR="00A62149" w:rsidRPr="0071782F">
        <w:rPr>
          <w:lang w:val="fr-CH"/>
        </w:rPr>
        <w:t>"</w:t>
      </w:r>
      <w:r w:rsidRPr="0071782F">
        <w:rPr>
          <w:lang w:val="fr-CH"/>
        </w:rPr>
        <w:t xml:space="preserve"> </w:t>
      </w:r>
    </w:p>
    <w:p w:rsidR="00AD5035" w:rsidRPr="0071782F" w:rsidRDefault="00AD5035" w:rsidP="00930639">
      <w:pPr>
        <w:pStyle w:val="SingleTxtG"/>
        <w:rPr>
          <w:lang w:val="fr-CH"/>
        </w:rPr>
      </w:pPr>
      <w:r w:rsidRPr="0071782F">
        <w:rPr>
          <w:lang w:val="fr-CH"/>
        </w:rPr>
        <w:t>458.</w:t>
      </w:r>
      <w:r w:rsidRPr="0071782F">
        <w:rPr>
          <w:lang w:val="fr-CH"/>
        </w:rPr>
        <w:tab/>
      </w:r>
      <w:r w:rsidR="00723F2B" w:rsidRPr="0071782F">
        <w:rPr>
          <w:lang w:val="fr-CH"/>
        </w:rPr>
        <w:t>L’</w:t>
      </w:r>
      <w:r w:rsidR="00943A69" w:rsidRPr="0071782F">
        <w:rPr>
          <w:lang w:val="fr-CH"/>
        </w:rPr>
        <w:t>article </w:t>
      </w:r>
      <w:r w:rsidRPr="0071782F">
        <w:rPr>
          <w:lang w:val="fr-CH"/>
        </w:rPr>
        <w:t xml:space="preserve">115 </w:t>
      </w:r>
      <w:r w:rsidR="009633C2" w:rsidRPr="0071782F">
        <w:rPr>
          <w:lang w:val="fr-CH"/>
        </w:rPr>
        <w:t>dispose ce qui suit</w:t>
      </w:r>
      <w:r w:rsidR="008F7D33" w:rsidRPr="0071782F">
        <w:rPr>
          <w:lang w:val="fr-CH"/>
        </w:rPr>
        <w:t>:</w:t>
      </w:r>
    </w:p>
    <w:p w:rsidR="00AD5035" w:rsidRPr="0071782F" w:rsidRDefault="00A62149" w:rsidP="00930639">
      <w:pPr>
        <w:pStyle w:val="SingleTxtG"/>
        <w:ind w:left="1701"/>
        <w:rPr>
          <w:lang w:val="fr-CH"/>
        </w:rPr>
      </w:pPr>
      <w:r w:rsidRPr="0071782F">
        <w:rPr>
          <w:lang w:val="fr-CH"/>
        </w:rPr>
        <w:t>"</w:t>
      </w:r>
      <w:r w:rsidR="009633C2" w:rsidRPr="0071782F">
        <w:rPr>
          <w:lang w:val="fr-CH"/>
        </w:rPr>
        <w:t xml:space="preserve">Les </w:t>
      </w:r>
      <w:r w:rsidR="00723F2B" w:rsidRPr="0071782F">
        <w:rPr>
          <w:lang w:val="fr-CH"/>
        </w:rPr>
        <w:t>articles </w:t>
      </w:r>
      <w:r w:rsidR="00AD5035" w:rsidRPr="0071782F">
        <w:rPr>
          <w:lang w:val="fr-CH"/>
        </w:rPr>
        <w:t xml:space="preserve">165 </w:t>
      </w:r>
      <w:r w:rsidR="009633C2" w:rsidRPr="0071782F">
        <w:rPr>
          <w:lang w:val="fr-CH"/>
        </w:rPr>
        <w:t>et</w:t>
      </w:r>
      <w:r w:rsidR="00AD5035" w:rsidRPr="0071782F">
        <w:rPr>
          <w:lang w:val="fr-CH"/>
        </w:rPr>
        <w:t xml:space="preserve"> 166 </w:t>
      </w:r>
      <w:r w:rsidR="009633C2" w:rsidRPr="0071782F">
        <w:rPr>
          <w:lang w:val="fr-CH"/>
        </w:rPr>
        <w:t xml:space="preserve">du </w:t>
      </w:r>
      <w:r w:rsidR="009E6189" w:rsidRPr="009E6189">
        <w:rPr>
          <w:lang w:val="fr-CH"/>
        </w:rPr>
        <w:t>troisième plan</w:t>
      </w:r>
      <w:r w:rsidR="009633C2" w:rsidRPr="0071782F">
        <w:rPr>
          <w:lang w:val="fr-CH"/>
        </w:rPr>
        <w:t xml:space="preserve"> de développement é</w:t>
      </w:r>
      <w:r w:rsidR="00AD5035" w:rsidRPr="0071782F">
        <w:rPr>
          <w:lang w:val="fr-CH"/>
        </w:rPr>
        <w:t>conomi</w:t>
      </w:r>
      <w:r w:rsidR="009633C2" w:rsidRPr="0071782F">
        <w:rPr>
          <w:lang w:val="fr-CH"/>
        </w:rPr>
        <w:t>que</w:t>
      </w:r>
      <w:r w:rsidR="00AD5035" w:rsidRPr="0071782F">
        <w:rPr>
          <w:lang w:val="fr-CH"/>
        </w:rPr>
        <w:t xml:space="preserve">, social </w:t>
      </w:r>
      <w:r w:rsidR="009633C2" w:rsidRPr="0071782F">
        <w:rPr>
          <w:lang w:val="fr-CH"/>
        </w:rPr>
        <w:t>et</w:t>
      </w:r>
      <w:r w:rsidR="00AD5035" w:rsidRPr="0071782F">
        <w:rPr>
          <w:lang w:val="fr-CH"/>
        </w:rPr>
        <w:t xml:space="preserve"> cultur</w:t>
      </w:r>
      <w:r w:rsidR="009633C2" w:rsidRPr="0071782F">
        <w:rPr>
          <w:lang w:val="fr-CH"/>
        </w:rPr>
        <w:t>e</w:t>
      </w:r>
      <w:r w:rsidR="00AD5035" w:rsidRPr="0071782F">
        <w:rPr>
          <w:lang w:val="fr-CH"/>
        </w:rPr>
        <w:t>l</w:t>
      </w:r>
      <w:r w:rsidR="009633C2" w:rsidRPr="0071782F">
        <w:rPr>
          <w:lang w:val="fr-CH"/>
        </w:rPr>
        <w:t xml:space="preserve"> de la République islamique d’Iran, adopté le 6 avril </w:t>
      </w:r>
      <w:r w:rsidR="00AD5035" w:rsidRPr="0071782F">
        <w:rPr>
          <w:lang w:val="fr-CH"/>
        </w:rPr>
        <w:t xml:space="preserve">2000, </w:t>
      </w:r>
      <w:r w:rsidR="009633C2" w:rsidRPr="0071782F">
        <w:rPr>
          <w:lang w:val="fr-CH"/>
        </w:rPr>
        <w:t xml:space="preserve">et les modifications apportées en vue du </w:t>
      </w:r>
      <w:r w:rsidR="00A90208" w:rsidRPr="0071782F">
        <w:rPr>
          <w:lang w:val="fr-CH"/>
        </w:rPr>
        <w:t>quatrième</w:t>
      </w:r>
      <w:r w:rsidR="009633C2" w:rsidRPr="0071782F">
        <w:rPr>
          <w:lang w:val="fr-CH"/>
        </w:rPr>
        <w:t xml:space="preserve"> plan de développement économique, social et culturel de la République islamique d’Iran </w:t>
      </w:r>
      <w:r w:rsidR="00AD5035" w:rsidRPr="0071782F">
        <w:rPr>
          <w:lang w:val="fr-CH"/>
        </w:rPr>
        <w:t>(2005</w:t>
      </w:r>
      <w:r w:rsidR="009633C2" w:rsidRPr="0071782F">
        <w:rPr>
          <w:lang w:val="fr-CH"/>
        </w:rPr>
        <w:t>-</w:t>
      </w:r>
      <w:r w:rsidR="00AD5035" w:rsidRPr="0071782F">
        <w:rPr>
          <w:lang w:val="fr-CH"/>
        </w:rPr>
        <w:t xml:space="preserve">2009) </w:t>
      </w:r>
      <w:r w:rsidR="009633C2" w:rsidRPr="0071782F">
        <w:rPr>
          <w:lang w:val="fr-CH"/>
        </w:rPr>
        <w:t>sont ainsi notifiés</w:t>
      </w:r>
      <w:r w:rsidR="00AD5035" w:rsidRPr="0071782F">
        <w:rPr>
          <w:lang w:val="fr-CH"/>
        </w:rPr>
        <w:t>.</w:t>
      </w:r>
      <w:r w:rsidRPr="0071782F">
        <w:rPr>
          <w:lang w:val="fr-CH"/>
        </w:rPr>
        <w:t>"</w:t>
      </w:r>
    </w:p>
    <w:p w:rsidR="00AD5035" w:rsidRPr="0071782F" w:rsidRDefault="00AD5035" w:rsidP="00930639">
      <w:pPr>
        <w:pStyle w:val="SingleTxtG"/>
        <w:rPr>
          <w:lang w:val="fr-CH"/>
        </w:rPr>
      </w:pPr>
      <w:r w:rsidRPr="0071782F">
        <w:rPr>
          <w:lang w:val="fr-CH"/>
        </w:rPr>
        <w:t>459.</w:t>
      </w:r>
      <w:r w:rsidRPr="0071782F">
        <w:rPr>
          <w:lang w:val="fr-CH"/>
        </w:rPr>
        <w:tab/>
      </w:r>
      <w:r w:rsidR="00723F2B" w:rsidRPr="0071782F">
        <w:rPr>
          <w:lang w:val="fr-CH"/>
        </w:rPr>
        <w:t>L’</w:t>
      </w:r>
      <w:r w:rsidR="00943A69" w:rsidRPr="0071782F">
        <w:rPr>
          <w:lang w:val="fr-CH"/>
        </w:rPr>
        <w:t>article </w:t>
      </w:r>
      <w:r w:rsidRPr="0071782F">
        <w:rPr>
          <w:lang w:val="fr-CH"/>
        </w:rPr>
        <w:t xml:space="preserve">165 </w:t>
      </w:r>
      <w:r w:rsidR="009633C2" w:rsidRPr="0071782F">
        <w:rPr>
          <w:lang w:val="fr-CH"/>
        </w:rPr>
        <w:t xml:space="preserve">du </w:t>
      </w:r>
      <w:r w:rsidR="009E6189" w:rsidRPr="009E6189">
        <w:rPr>
          <w:lang w:val="fr-CH"/>
        </w:rPr>
        <w:t>troisième plan</w:t>
      </w:r>
      <w:r w:rsidR="009633C2" w:rsidRPr="0071782F">
        <w:rPr>
          <w:lang w:val="fr-CH"/>
        </w:rPr>
        <w:t xml:space="preserve"> de développement est ainsi libellé</w:t>
      </w:r>
      <w:r w:rsidR="008F7D33" w:rsidRPr="0071782F">
        <w:rPr>
          <w:lang w:val="fr-CH"/>
        </w:rPr>
        <w:t>:</w:t>
      </w:r>
    </w:p>
    <w:p w:rsidR="00AD5035" w:rsidRPr="0071782F" w:rsidRDefault="00A62149" w:rsidP="00930639">
      <w:pPr>
        <w:pStyle w:val="SingleTxtG"/>
        <w:ind w:left="1701"/>
        <w:rPr>
          <w:lang w:val="fr-CH"/>
        </w:rPr>
      </w:pPr>
      <w:r w:rsidRPr="0071782F">
        <w:rPr>
          <w:lang w:val="fr-CH"/>
        </w:rPr>
        <w:t>"</w:t>
      </w:r>
      <w:r w:rsidR="009633C2" w:rsidRPr="0071782F">
        <w:rPr>
          <w:lang w:val="fr-CH"/>
        </w:rPr>
        <w:t>Afin de protéger et de sauvegarder le patrimoine culturel du pays,</w:t>
      </w:r>
    </w:p>
    <w:p w:rsidR="00AD5035" w:rsidRPr="0071782F" w:rsidRDefault="00AD5035" w:rsidP="00930639">
      <w:pPr>
        <w:pStyle w:val="SingleTxtG"/>
        <w:ind w:left="1701"/>
        <w:rPr>
          <w:lang w:val="fr-CH"/>
        </w:rPr>
      </w:pPr>
      <w:r w:rsidRPr="0071782F">
        <w:rPr>
          <w:lang w:val="fr-CH"/>
        </w:rPr>
        <w:t>459.1.</w:t>
      </w:r>
      <w:r w:rsidRPr="0071782F">
        <w:rPr>
          <w:lang w:val="fr-CH"/>
        </w:rPr>
        <w:tab/>
      </w:r>
      <w:r w:rsidR="009633C2" w:rsidRPr="0071782F">
        <w:rPr>
          <w:lang w:val="fr-CH"/>
        </w:rPr>
        <w:t>L’Organisme du patrimoine culturel et du tourisme, agissant avec l’autorisation du chef d’état-major des armées, crée la brigade de sauvegarde du patrimoine culturel du pays, placée sous son propre contrôle</w:t>
      </w:r>
      <w:r w:rsidRPr="0071782F">
        <w:rPr>
          <w:lang w:val="fr-CH"/>
        </w:rPr>
        <w:t>.</w:t>
      </w:r>
    </w:p>
    <w:p w:rsidR="00AD5035" w:rsidRPr="0071782F" w:rsidRDefault="00AD5035" w:rsidP="00930639">
      <w:pPr>
        <w:pStyle w:val="SingleTxtG"/>
        <w:ind w:left="1701"/>
        <w:rPr>
          <w:lang w:val="fr-CH"/>
        </w:rPr>
      </w:pPr>
      <w:r w:rsidRPr="0071782F">
        <w:rPr>
          <w:lang w:val="fr-CH"/>
        </w:rPr>
        <w:t>459.2.</w:t>
      </w:r>
      <w:r w:rsidRPr="0071782F">
        <w:rPr>
          <w:lang w:val="fr-CH"/>
        </w:rPr>
        <w:tab/>
      </w:r>
      <w:r w:rsidR="00450E34" w:rsidRPr="0071782F">
        <w:rPr>
          <w:lang w:val="fr-CH"/>
        </w:rPr>
        <w:t>Le montant des amendes infligées pour excavations illégales et pour contrebande d’objets historiques et culturels est versé au Trésor public. L’intégralité de ce montant est, dans le cadre des lois de finances et conformément au règlement qui sera recommandé par le Ministère de la culture et de l’orientation islamique et approuvé par le Conseil des ministres, affectée aux fins ci-après</w:t>
      </w:r>
      <w:r w:rsidR="008F7D33" w:rsidRPr="0071782F">
        <w:rPr>
          <w:lang w:val="fr-CH"/>
        </w:rPr>
        <w:t>:</w:t>
      </w:r>
      <w:r w:rsidRPr="0071782F">
        <w:rPr>
          <w:lang w:val="fr-CH"/>
        </w:rPr>
        <w:t xml:space="preserve"> </w:t>
      </w:r>
    </w:p>
    <w:p w:rsidR="00AD5035" w:rsidRPr="0071782F" w:rsidRDefault="00AD5035" w:rsidP="00930639">
      <w:pPr>
        <w:pStyle w:val="SingleTxtG"/>
        <w:ind w:left="2268"/>
        <w:rPr>
          <w:lang w:val="fr-CH"/>
        </w:rPr>
      </w:pPr>
      <w:r w:rsidRPr="0071782F">
        <w:rPr>
          <w:lang w:val="fr-CH"/>
        </w:rPr>
        <w:t>459.2.1.</w:t>
      </w:r>
      <w:r w:rsidR="001C0F0C" w:rsidRPr="0071782F">
        <w:rPr>
          <w:lang w:val="fr-CH"/>
        </w:rPr>
        <w:t xml:space="preserve"> </w:t>
      </w:r>
      <w:r w:rsidR="00450E34" w:rsidRPr="0071782F">
        <w:rPr>
          <w:lang w:val="fr-CH"/>
        </w:rPr>
        <w:t xml:space="preserve">Versement d’honoraires ou de primes </w:t>
      </w:r>
      <w:r w:rsidR="00175962" w:rsidRPr="0071782F">
        <w:rPr>
          <w:lang w:val="fr-CH"/>
        </w:rPr>
        <w:t>aux personnes</w:t>
      </w:r>
      <w:r w:rsidR="00450E34" w:rsidRPr="0071782F">
        <w:rPr>
          <w:lang w:val="fr-CH"/>
        </w:rPr>
        <w:t xml:space="preserve"> qui permettent de découvrir des </w:t>
      </w:r>
      <w:r w:rsidR="00D5366B" w:rsidRPr="0071782F">
        <w:rPr>
          <w:lang w:val="fr-CH"/>
        </w:rPr>
        <w:t>œuvre</w:t>
      </w:r>
      <w:r w:rsidR="00450E34" w:rsidRPr="0071782F">
        <w:rPr>
          <w:lang w:val="fr-CH"/>
        </w:rPr>
        <w:t xml:space="preserve">s de contrebande ou de démasquer </w:t>
      </w:r>
      <w:r w:rsidR="007F37CE" w:rsidRPr="0071782F">
        <w:rPr>
          <w:lang w:val="fr-CH"/>
        </w:rPr>
        <w:t>des personnes</w:t>
      </w:r>
      <w:r w:rsidR="00450E34" w:rsidRPr="0071782F">
        <w:rPr>
          <w:lang w:val="fr-CH"/>
        </w:rPr>
        <w:t xml:space="preserve"> physiques ou morales se livrant à la contrebande. </w:t>
      </w:r>
    </w:p>
    <w:p w:rsidR="00AD5035" w:rsidRPr="0071782F" w:rsidRDefault="00AD5035" w:rsidP="00930639">
      <w:pPr>
        <w:pStyle w:val="SingleTxtG"/>
        <w:ind w:left="2268"/>
        <w:rPr>
          <w:lang w:val="fr-CH"/>
        </w:rPr>
      </w:pPr>
      <w:r w:rsidRPr="0071782F">
        <w:rPr>
          <w:lang w:val="fr-CH"/>
        </w:rPr>
        <w:t>459.2.2.</w:t>
      </w:r>
      <w:r w:rsidR="001C0F0C" w:rsidRPr="0071782F">
        <w:rPr>
          <w:lang w:val="fr-CH"/>
        </w:rPr>
        <w:t xml:space="preserve"> </w:t>
      </w:r>
      <w:r w:rsidRPr="0071782F">
        <w:rPr>
          <w:lang w:val="fr-CH"/>
        </w:rPr>
        <w:t>F</w:t>
      </w:r>
      <w:r w:rsidR="00450E34" w:rsidRPr="0071782F">
        <w:rPr>
          <w:lang w:val="fr-CH"/>
        </w:rPr>
        <w:t>inancement des dépenses engagées au titre de la protection du patrimoine culturel.</w:t>
      </w:r>
    </w:p>
    <w:p w:rsidR="00AD5035" w:rsidRPr="0071782F" w:rsidRDefault="00AD5035" w:rsidP="00930639">
      <w:pPr>
        <w:pStyle w:val="SingleTxtG"/>
        <w:ind w:left="1701"/>
        <w:rPr>
          <w:lang w:val="fr-CH"/>
        </w:rPr>
      </w:pPr>
      <w:r w:rsidRPr="0071782F">
        <w:rPr>
          <w:lang w:val="fr-CH"/>
        </w:rPr>
        <w:t>459.3.</w:t>
      </w:r>
      <w:r w:rsidRPr="0071782F">
        <w:rPr>
          <w:lang w:val="fr-CH"/>
        </w:rPr>
        <w:tab/>
      </w:r>
      <w:r w:rsidR="00450E34" w:rsidRPr="0071782F">
        <w:rPr>
          <w:lang w:val="fr-CH"/>
        </w:rPr>
        <w:t>La sortie du pays d’</w:t>
      </w:r>
      <w:r w:rsidR="00D5366B" w:rsidRPr="0071782F">
        <w:rPr>
          <w:lang w:val="fr-CH"/>
        </w:rPr>
        <w:t>œuvre</w:t>
      </w:r>
      <w:r w:rsidR="00450E34" w:rsidRPr="0071782F">
        <w:rPr>
          <w:lang w:val="fr-CH"/>
        </w:rPr>
        <w:t>s historiques et culturelles meubles à des fins d’étude, de restauration ou à toute autre fin s’effectue moyennant une autorisation délivrée par l’Organisme du patrimoine culturel et du tourisme</w:t>
      </w:r>
      <w:r w:rsidRPr="0071782F">
        <w:rPr>
          <w:lang w:val="fr-CH"/>
        </w:rPr>
        <w:t>.</w:t>
      </w:r>
      <w:r w:rsidR="00A62149" w:rsidRPr="0071782F">
        <w:rPr>
          <w:lang w:val="fr-CH"/>
        </w:rPr>
        <w:t>"</w:t>
      </w:r>
    </w:p>
    <w:p w:rsidR="00AD5035" w:rsidRPr="0071782F" w:rsidRDefault="00AD5035" w:rsidP="00930639">
      <w:pPr>
        <w:pStyle w:val="SingleTxtG"/>
        <w:rPr>
          <w:lang w:val="fr-CH"/>
        </w:rPr>
      </w:pPr>
      <w:r w:rsidRPr="0071782F">
        <w:rPr>
          <w:lang w:val="fr-CH"/>
        </w:rPr>
        <w:t>460.</w:t>
      </w:r>
      <w:r w:rsidRPr="0071782F">
        <w:rPr>
          <w:lang w:val="fr-CH"/>
        </w:rPr>
        <w:tab/>
      </w:r>
      <w:r w:rsidR="00723F2B" w:rsidRPr="0071782F">
        <w:rPr>
          <w:lang w:val="fr-CH"/>
        </w:rPr>
        <w:t>L’</w:t>
      </w:r>
      <w:r w:rsidR="00943A69" w:rsidRPr="0071782F">
        <w:rPr>
          <w:lang w:val="fr-CH"/>
        </w:rPr>
        <w:t>article </w:t>
      </w:r>
      <w:r w:rsidRPr="0071782F">
        <w:rPr>
          <w:lang w:val="fr-CH"/>
        </w:rPr>
        <w:t xml:space="preserve">166 </w:t>
      </w:r>
      <w:r w:rsidR="00450E34" w:rsidRPr="0071782F">
        <w:rPr>
          <w:lang w:val="fr-CH"/>
        </w:rPr>
        <w:t xml:space="preserve">du </w:t>
      </w:r>
      <w:r w:rsidR="009E6189" w:rsidRPr="009E6189">
        <w:rPr>
          <w:lang w:val="fr-CH"/>
        </w:rPr>
        <w:t>troisième plan</w:t>
      </w:r>
      <w:r w:rsidR="00450E34" w:rsidRPr="0071782F">
        <w:rPr>
          <w:lang w:val="fr-CH"/>
        </w:rPr>
        <w:t xml:space="preserve"> de développement est ainsi libellé</w:t>
      </w:r>
      <w:r w:rsidR="008F7D33" w:rsidRPr="0071782F">
        <w:rPr>
          <w:lang w:val="fr-CH"/>
        </w:rPr>
        <w:t>:</w:t>
      </w:r>
    </w:p>
    <w:p w:rsidR="00AD5035" w:rsidRPr="0071782F" w:rsidRDefault="00A62149" w:rsidP="00930639">
      <w:pPr>
        <w:pStyle w:val="SingleTxtG"/>
        <w:ind w:left="1701"/>
        <w:rPr>
          <w:lang w:val="fr-CH"/>
        </w:rPr>
      </w:pPr>
      <w:r w:rsidRPr="0071782F">
        <w:rPr>
          <w:lang w:val="fr-CH"/>
        </w:rPr>
        <w:t>"</w:t>
      </w:r>
      <w:r w:rsidR="00CA5AAB" w:rsidRPr="0071782F">
        <w:rPr>
          <w:lang w:val="fr-CH"/>
        </w:rPr>
        <w:t>Pour exécuter comme il convient les obligations énoncées dans la Charte de l’Organisme du patrimoine culturel et du tourisme, adoptée le 21 avril 1988, en ce qui concerne la restauration et la remise en service de quartiers et bâtiments historiques, les mesures ci-après doivent être prises</w:t>
      </w:r>
      <w:r w:rsidR="008F7D33" w:rsidRPr="0071782F">
        <w:rPr>
          <w:lang w:val="fr-CH"/>
        </w:rPr>
        <w:t>:</w:t>
      </w:r>
    </w:p>
    <w:p w:rsidR="00AD5035" w:rsidRPr="0071782F" w:rsidRDefault="00AD5035" w:rsidP="00930639">
      <w:pPr>
        <w:pStyle w:val="SingleTxtG"/>
        <w:ind w:left="1701"/>
        <w:rPr>
          <w:lang w:val="fr-CH"/>
        </w:rPr>
      </w:pPr>
      <w:r w:rsidRPr="0071782F">
        <w:rPr>
          <w:lang w:val="fr-CH"/>
        </w:rPr>
        <w:t>460.1.</w:t>
      </w:r>
      <w:r w:rsidRPr="0071782F">
        <w:rPr>
          <w:lang w:val="fr-CH"/>
        </w:rPr>
        <w:tab/>
      </w:r>
      <w:r w:rsidR="00CA5AAB" w:rsidRPr="0071782F">
        <w:rPr>
          <w:lang w:val="fr-CH"/>
        </w:rPr>
        <w:t>Le Directeur de l’Organisme du patrimoine culturel et du tourisme devient membre du Haut Conseil de l’aménagement urbain et d’architecture, et les autres membres de l’Organisme deviennent membres de la C</w:t>
      </w:r>
      <w:r w:rsidRPr="0071782F">
        <w:rPr>
          <w:lang w:val="fr-CH"/>
        </w:rPr>
        <w:t xml:space="preserve">ommission </w:t>
      </w:r>
      <w:r w:rsidR="00CA5AAB" w:rsidRPr="0071782F">
        <w:rPr>
          <w:lang w:val="fr-CH"/>
        </w:rPr>
        <w:t xml:space="preserve">sur </w:t>
      </w:r>
      <w:r w:rsidR="00723F2B" w:rsidRPr="0071782F">
        <w:rPr>
          <w:lang w:val="fr-CH"/>
        </w:rPr>
        <w:t>l’</w:t>
      </w:r>
      <w:r w:rsidR="00943A69" w:rsidRPr="0071782F">
        <w:rPr>
          <w:lang w:val="fr-CH"/>
        </w:rPr>
        <w:t>article </w:t>
      </w:r>
      <w:r w:rsidRPr="0071782F">
        <w:rPr>
          <w:lang w:val="fr-CH"/>
        </w:rPr>
        <w:t>5 (</w:t>
      </w:r>
      <w:r w:rsidR="00CA5AAB" w:rsidRPr="0071782F">
        <w:rPr>
          <w:lang w:val="fr-CH"/>
        </w:rPr>
        <w:t>loi portant création du Haut Conseil de l’aménagement urbain et d’architecture</w:t>
      </w:r>
      <w:r w:rsidRPr="0071782F">
        <w:rPr>
          <w:lang w:val="fr-CH"/>
        </w:rPr>
        <w:t>, a</w:t>
      </w:r>
      <w:r w:rsidR="00CA5AAB" w:rsidRPr="0071782F">
        <w:rPr>
          <w:lang w:val="fr-CH"/>
        </w:rPr>
        <w:t xml:space="preserve">doptée le 13 mars </w:t>
      </w:r>
      <w:r w:rsidRPr="0071782F">
        <w:rPr>
          <w:lang w:val="fr-CH"/>
        </w:rPr>
        <w:t xml:space="preserve">1972, </w:t>
      </w:r>
      <w:r w:rsidR="00CA5AAB" w:rsidRPr="0071782F">
        <w:rPr>
          <w:lang w:val="fr-CH"/>
        </w:rPr>
        <w:t>et modifications ultérieures</w:t>
      </w:r>
      <w:r w:rsidRPr="0071782F">
        <w:rPr>
          <w:lang w:val="fr-CH"/>
        </w:rPr>
        <w:t xml:space="preserve">) </w:t>
      </w:r>
      <w:r w:rsidR="00CA5AAB" w:rsidRPr="0071782F">
        <w:rPr>
          <w:lang w:val="fr-CH"/>
        </w:rPr>
        <w:t>à</w:t>
      </w:r>
      <w:r w:rsidRPr="0071782F">
        <w:rPr>
          <w:lang w:val="fr-CH"/>
        </w:rPr>
        <w:t xml:space="preserve"> T</w:t>
      </w:r>
      <w:r w:rsidR="00CA5AAB" w:rsidRPr="0071782F">
        <w:rPr>
          <w:lang w:val="fr-CH"/>
        </w:rPr>
        <w:t>é</w:t>
      </w:r>
      <w:r w:rsidRPr="0071782F">
        <w:rPr>
          <w:lang w:val="fr-CH"/>
        </w:rPr>
        <w:t>h</w:t>
      </w:r>
      <w:r w:rsidR="00CA5AAB" w:rsidRPr="0071782F">
        <w:rPr>
          <w:lang w:val="fr-CH"/>
        </w:rPr>
        <w:t>é</w:t>
      </w:r>
      <w:r w:rsidR="00D258E6" w:rsidRPr="0071782F">
        <w:rPr>
          <w:lang w:val="fr-CH"/>
        </w:rPr>
        <w:t>r</w:t>
      </w:r>
      <w:r w:rsidRPr="0071782F">
        <w:rPr>
          <w:lang w:val="fr-CH"/>
        </w:rPr>
        <w:t xml:space="preserve">an </w:t>
      </w:r>
      <w:r w:rsidR="00CA5AAB" w:rsidRPr="0071782F">
        <w:rPr>
          <w:lang w:val="fr-CH"/>
        </w:rPr>
        <w:t xml:space="preserve">et dans les </w:t>
      </w:r>
      <w:r w:rsidRPr="0071782F">
        <w:rPr>
          <w:lang w:val="fr-CH"/>
        </w:rPr>
        <w:t>provinces.</w:t>
      </w:r>
    </w:p>
    <w:p w:rsidR="00AD5035" w:rsidRPr="0071782F" w:rsidRDefault="00AD5035" w:rsidP="00930639">
      <w:pPr>
        <w:pStyle w:val="SingleTxtG"/>
        <w:ind w:left="1701"/>
        <w:rPr>
          <w:lang w:val="fr-CH"/>
        </w:rPr>
      </w:pPr>
      <w:r w:rsidRPr="0071782F">
        <w:rPr>
          <w:lang w:val="fr-CH"/>
        </w:rPr>
        <w:t>460.2.</w:t>
      </w:r>
      <w:r w:rsidRPr="0071782F">
        <w:rPr>
          <w:lang w:val="fr-CH"/>
        </w:rPr>
        <w:tab/>
      </w:r>
      <w:r w:rsidR="00F54E99" w:rsidRPr="0071782F">
        <w:rPr>
          <w:lang w:val="fr-CH"/>
        </w:rPr>
        <w:t xml:space="preserve">Dans les villes où existent des quartiers ayant une valeur historique et dont la délimitation relève et continuera de relever de </w:t>
      </w:r>
      <w:r w:rsidR="00723F2B" w:rsidRPr="0071782F">
        <w:rPr>
          <w:lang w:val="fr-CH"/>
        </w:rPr>
        <w:t>l’</w:t>
      </w:r>
      <w:r w:rsidR="00943A69" w:rsidRPr="0071782F">
        <w:rPr>
          <w:lang w:val="fr-CH"/>
        </w:rPr>
        <w:t>article </w:t>
      </w:r>
      <w:r w:rsidRPr="0071782F">
        <w:rPr>
          <w:lang w:val="fr-CH"/>
        </w:rPr>
        <w:t xml:space="preserve">3 </w:t>
      </w:r>
      <w:r w:rsidR="00F54E99" w:rsidRPr="0071782F">
        <w:rPr>
          <w:lang w:val="fr-CH"/>
        </w:rPr>
        <w:t xml:space="preserve">de la Charte de l’Organisme du patrimoine culturel et du tourisme, adoptée le 21 avril </w:t>
      </w:r>
      <w:r w:rsidRPr="0071782F">
        <w:rPr>
          <w:lang w:val="fr-CH"/>
        </w:rPr>
        <w:t>1988,</w:t>
      </w:r>
      <w:r w:rsidR="00F54E99" w:rsidRPr="0071782F">
        <w:rPr>
          <w:lang w:val="fr-CH"/>
        </w:rPr>
        <w:t xml:space="preserve"> les</w:t>
      </w:r>
      <w:r w:rsidRPr="0071782F">
        <w:rPr>
          <w:lang w:val="fr-CH"/>
        </w:rPr>
        <w:t xml:space="preserve"> structures </w:t>
      </w:r>
      <w:r w:rsidR="00F54E99" w:rsidRPr="0071782F">
        <w:rPr>
          <w:lang w:val="fr-CH"/>
        </w:rPr>
        <w:t>des municipalité</w:t>
      </w:r>
      <w:r w:rsidRPr="0071782F">
        <w:rPr>
          <w:lang w:val="fr-CH"/>
        </w:rPr>
        <w:t xml:space="preserve">s </w:t>
      </w:r>
      <w:r w:rsidR="00F54E99" w:rsidRPr="0071782F">
        <w:rPr>
          <w:lang w:val="fr-CH"/>
        </w:rPr>
        <w:t>doivent être réexaminées et des mécanismes de gestion appropriés mis en place pour réaliser des activités de protection de ces quartiers historiques</w:t>
      </w:r>
      <w:r w:rsidR="004A46E5" w:rsidRPr="0071782F">
        <w:rPr>
          <w:lang w:val="fr-CH"/>
        </w:rPr>
        <w:t>.</w:t>
      </w:r>
    </w:p>
    <w:p w:rsidR="00AD5035" w:rsidRPr="0071782F" w:rsidRDefault="00AD5035" w:rsidP="00930639">
      <w:pPr>
        <w:pStyle w:val="SingleTxtG"/>
        <w:ind w:left="1701"/>
        <w:rPr>
          <w:lang w:val="fr-CH"/>
        </w:rPr>
      </w:pPr>
      <w:r w:rsidRPr="0071782F">
        <w:rPr>
          <w:lang w:val="fr-CH"/>
        </w:rPr>
        <w:t>460.3.</w:t>
      </w:r>
      <w:r w:rsidRPr="0071782F">
        <w:rPr>
          <w:lang w:val="fr-CH"/>
        </w:rPr>
        <w:tab/>
      </w:r>
      <w:r w:rsidR="00F54E99" w:rsidRPr="0071782F">
        <w:rPr>
          <w:lang w:val="fr-CH"/>
        </w:rPr>
        <w:t xml:space="preserve">Les conseils municipaux doivent affecter un certain pourcentage des recettes municipales, conformément aux besoins des quartiers historiques considérés, au département municipal chargé de restaurer les bâtiments, centres et quartiers historiques sous la </w:t>
      </w:r>
      <w:r w:rsidRPr="0071782F">
        <w:rPr>
          <w:lang w:val="fr-CH"/>
        </w:rPr>
        <w:t xml:space="preserve">supervision </w:t>
      </w:r>
      <w:r w:rsidR="00F54E99" w:rsidRPr="0071782F">
        <w:rPr>
          <w:lang w:val="fr-CH"/>
        </w:rPr>
        <w:t>des services de l’Organisme du patrimoine culturel et du tourisme disséminés à travers le pays.</w:t>
      </w:r>
    </w:p>
    <w:p w:rsidR="00AD5035" w:rsidRPr="0071782F" w:rsidRDefault="00F54E99" w:rsidP="00930639">
      <w:pPr>
        <w:pStyle w:val="SingleTxtG"/>
        <w:ind w:left="2268"/>
        <w:rPr>
          <w:lang w:val="fr-CH"/>
        </w:rPr>
      </w:pPr>
      <w:r w:rsidRPr="0071782F">
        <w:rPr>
          <w:lang w:val="fr-CH"/>
        </w:rPr>
        <w:t xml:space="preserve">L’État est tenu de créer les conditions et de fournir les moyens nécessaires pour faciliter l’accès aux ressources financières, au capital </w:t>
      </w:r>
      <w:r w:rsidR="00AD5035" w:rsidRPr="0071782F">
        <w:rPr>
          <w:lang w:val="fr-CH"/>
        </w:rPr>
        <w:t>international</w:t>
      </w:r>
      <w:r w:rsidRPr="0071782F">
        <w:rPr>
          <w:lang w:val="fr-CH"/>
        </w:rPr>
        <w:t xml:space="preserve"> et aux fonds des organisations culturelles </w:t>
      </w:r>
      <w:r w:rsidR="00AD5035" w:rsidRPr="0071782F">
        <w:rPr>
          <w:lang w:val="fr-CH"/>
        </w:rPr>
        <w:t>international</w:t>
      </w:r>
      <w:r w:rsidRPr="0071782F">
        <w:rPr>
          <w:lang w:val="fr-CH"/>
        </w:rPr>
        <w:t>es, telles que l’</w:t>
      </w:r>
      <w:r w:rsidR="00AD5035" w:rsidRPr="0071782F">
        <w:rPr>
          <w:lang w:val="fr-CH"/>
        </w:rPr>
        <w:t xml:space="preserve">UNESCO, </w:t>
      </w:r>
      <w:r w:rsidRPr="0071782F">
        <w:rPr>
          <w:lang w:val="fr-CH"/>
        </w:rPr>
        <w:t xml:space="preserve">afin d’améliorer les installations et la protection des </w:t>
      </w:r>
      <w:r w:rsidR="00AD5035" w:rsidRPr="0071782F">
        <w:rPr>
          <w:lang w:val="fr-CH"/>
        </w:rPr>
        <w:t xml:space="preserve">monuments </w:t>
      </w:r>
      <w:r w:rsidRPr="0071782F">
        <w:rPr>
          <w:lang w:val="fr-CH"/>
        </w:rPr>
        <w:t xml:space="preserve">nationaux et du patrimoine culturel, un premier investissement national devant intervenir d’ici à la fin de la deuxième année du </w:t>
      </w:r>
      <w:r w:rsidR="009E6189" w:rsidRPr="009E6189">
        <w:rPr>
          <w:lang w:val="fr-CH"/>
        </w:rPr>
        <w:t xml:space="preserve">troisième plan </w:t>
      </w:r>
      <w:r w:rsidRPr="0071782F">
        <w:rPr>
          <w:lang w:val="fr-CH"/>
        </w:rPr>
        <w:t>de développement</w:t>
      </w:r>
      <w:r w:rsidR="00AD5035" w:rsidRPr="0071782F">
        <w:rPr>
          <w:lang w:val="fr-CH"/>
        </w:rPr>
        <w:t>.</w:t>
      </w:r>
      <w:r w:rsidR="00A62149" w:rsidRPr="0071782F">
        <w:rPr>
          <w:lang w:val="fr-CH"/>
        </w:rPr>
        <w:t>"</w:t>
      </w:r>
    </w:p>
    <w:p w:rsidR="00AD5035" w:rsidRPr="0071782F" w:rsidRDefault="00AD5035" w:rsidP="00930639">
      <w:pPr>
        <w:pStyle w:val="SingleTxtG"/>
        <w:rPr>
          <w:lang w:val="fr-CH"/>
        </w:rPr>
      </w:pPr>
      <w:r w:rsidRPr="0071782F">
        <w:rPr>
          <w:lang w:val="fr-CH"/>
        </w:rPr>
        <w:t>461.</w:t>
      </w:r>
      <w:r w:rsidRPr="0071782F">
        <w:rPr>
          <w:lang w:val="fr-CH"/>
        </w:rPr>
        <w:tab/>
      </w:r>
      <w:r w:rsidR="00723F2B" w:rsidRPr="0071782F">
        <w:rPr>
          <w:lang w:val="fr-CH"/>
        </w:rPr>
        <w:t>L’</w:t>
      </w:r>
      <w:r w:rsidR="00943A69" w:rsidRPr="0071782F">
        <w:rPr>
          <w:lang w:val="fr-CH"/>
        </w:rPr>
        <w:t>article </w:t>
      </w:r>
      <w:r w:rsidRPr="0071782F">
        <w:rPr>
          <w:lang w:val="fr-CH"/>
        </w:rPr>
        <w:t xml:space="preserve">116 </w:t>
      </w:r>
      <w:r w:rsidR="00F54E99" w:rsidRPr="0071782F">
        <w:rPr>
          <w:lang w:val="fr-CH"/>
        </w:rPr>
        <w:t>est ainsi libellé</w:t>
      </w:r>
      <w:r w:rsidR="008F7D33" w:rsidRPr="0071782F">
        <w:rPr>
          <w:lang w:val="fr-CH"/>
        </w:rPr>
        <w:t>:</w:t>
      </w:r>
    </w:p>
    <w:p w:rsidR="00AD5035" w:rsidRPr="0071782F" w:rsidRDefault="00A62149" w:rsidP="00930639">
      <w:pPr>
        <w:pStyle w:val="SingleTxtG"/>
        <w:ind w:left="1701"/>
        <w:rPr>
          <w:lang w:val="fr-CH"/>
        </w:rPr>
      </w:pPr>
      <w:r w:rsidRPr="0071782F">
        <w:rPr>
          <w:lang w:val="fr-CH"/>
        </w:rPr>
        <w:t>"</w:t>
      </w:r>
      <w:r w:rsidR="00E011E7" w:rsidRPr="0071782F">
        <w:rPr>
          <w:lang w:val="fr-CH"/>
        </w:rPr>
        <w:t>Afin de protéger les droits des créateurs d’</w:t>
      </w:r>
      <w:r w:rsidR="00D5366B" w:rsidRPr="0071782F">
        <w:rPr>
          <w:lang w:val="fr-CH"/>
        </w:rPr>
        <w:t>œuvre</w:t>
      </w:r>
      <w:r w:rsidR="00E011E7" w:rsidRPr="0071782F">
        <w:rPr>
          <w:lang w:val="fr-CH"/>
        </w:rPr>
        <w:t xml:space="preserve">s </w:t>
      </w:r>
      <w:r w:rsidR="00AD5035" w:rsidRPr="0071782F">
        <w:rPr>
          <w:lang w:val="fr-CH"/>
        </w:rPr>
        <w:t>cultur</w:t>
      </w:r>
      <w:r w:rsidR="00E011E7" w:rsidRPr="0071782F">
        <w:rPr>
          <w:lang w:val="fr-CH"/>
        </w:rPr>
        <w:t>elles et artistiques</w:t>
      </w:r>
      <w:r w:rsidR="00AD5035" w:rsidRPr="0071782F">
        <w:rPr>
          <w:lang w:val="fr-CH"/>
        </w:rPr>
        <w:t xml:space="preserve">; </w:t>
      </w:r>
      <w:r w:rsidR="00E011E7" w:rsidRPr="0071782F">
        <w:rPr>
          <w:lang w:val="fr-CH"/>
        </w:rPr>
        <w:t xml:space="preserve">d’apporter la sécurité d’emploi </w:t>
      </w:r>
      <w:r w:rsidR="00175962" w:rsidRPr="0071782F">
        <w:rPr>
          <w:lang w:val="fr-CH"/>
        </w:rPr>
        <w:t>aux personnes</w:t>
      </w:r>
      <w:r w:rsidR="00E011E7" w:rsidRPr="0071782F">
        <w:rPr>
          <w:lang w:val="fr-CH"/>
        </w:rPr>
        <w:t xml:space="preserve"> actives dans les domaines de la </w:t>
      </w:r>
      <w:r w:rsidR="00AD5035" w:rsidRPr="0071782F">
        <w:rPr>
          <w:lang w:val="fr-CH"/>
        </w:rPr>
        <w:t xml:space="preserve">culture, </w:t>
      </w:r>
      <w:r w:rsidR="00E011E7" w:rsidRPr="0071782F">
        <w:rPr>
          <w:lang w:val="fr-CH"/>
        </w:rPr>
        <w:t xml:space="preserve">des </w:t>
      </w:r>
      <w:r w:rsidR="00AD5035" w:rsidRPr="0071782F">
        <w:rPr>
          <w:lang w:val="fr-CH"/>
        </w:rPr>
        <w:t xml:space="preserve">arts, </w:t>
      </w:r>
      <w:r w:rsidR="00E011E7" w:rsidRPr="0071782F">
        <w:rPr>
          <w:lang w:val="fr-CH"/>
        </w:rPr>
        <w:t xml:space="preserve">de la </w:t>
      </w:r>
      <w:r w:rsidR="00AD5035" w:rsidRPr="0071782F">
        <w:rPr>
          <w:lang w:val="fr-CH"/>
        </w:rPr>
        <w:t>press</w:t>
      </w:r>
      <w:r w:rsidR="00E011E7" w:rsidRPr="0071782F">
        <w:rPr>
          <w:lang w:val="fr-CH"/>
        </w:rPr>
        <w:t>e et de la littérature</w:t>
      </w:r>
      <w:r w:rsidR="00AD5035" w:rsidRPr="0071782F">
        <w:rPr>
          <w:lang w:val="fr-CH"/>
        </w:rPr>
        <w:t xml:space="preserve">; </w:t>
      </w:r>
      <w:r w:rsidR="00E011E7" w:rsidRPr="0071782F">
        <w:rPr>
          <w:lang w:val="fr-CH"/>
        </w:rPr>
        <w:t xml:space="preserve">de jeter les bases d’une présence </w:t>
      </w:r>
      <w:r w:rsidR="00AD5035" w:rsidRPr="0071782F">
        <w:rPr>
          <w:lang w:val="fr-CH"/>
        </w:rPr>
        <w:t>international</w:t>
      </w:r>
      <w:r w:rsidR="00E011E7" w:rsidRPr="0071782F">
        <w:rPr>
          <w:lang w:val="fr-CH"/>
        </w:rPr>
        <w:t>e</w:t>
      </w:r>
      <w:r w:rsidR="00AD5035" w:rsidRPr="0071782F">
        <w:rPr>
          <w:lang w:val="fr-CH"/>
        </w:rPr>
        <w:t xml:space="preserve"> </w:t>
      </w:r>
      <w:r w:rsidR="00E011E7" w:rsidRPr="0071782F">
        <w:rPr>
          <w:lang w:val="fr-CH"/>
        </w:rPr>
        <w:t xml:space="preserve">dans les </w:t>
      </w:r>
      <w:r w:rsidR="0076034D" w:rsidRPr="0071782F">
        <w:rPr>
          <w:lang w:val="fr-CH"/>
        </w:rPr>
        <w:t>secteur</w:t>
      </w:r>
      <w:r w:rsidR="00E011E7" w:rsidRPr="0071782F">
        <w:rPr>
          <w:lang w:val="fr-CH"/>
        </w:rPr>
        <w:t>s culturel et artistique</w:t>
      </w:r>
      <w:r w:rsidR="00AD5035" w:rsidRPr="0071782F">
        <w:rPr>
          <w:lang w:val="fr-CH"/>
        </w:rPr>
        <w:t xml:space="preserve">; </w:t>
      </w:r>
      <w:r w:rsidR="00E011E7" w:rsidRPr="0071782F">
        <w:rPr>
          <w:lang w:val="fr-CH"/>
        </w:rPr>
        <w:t xml:space="preserve">et de </w:t>
      </w:r>
      <w:r w:rsidR="00AD5035" w:rsidRPr="0071782F">
        <w:rPr>
          <w:lang w:val="fr-CH"/>
        </w:rPr>
        <w:t>coord</w:t>
      </w:r>
      <w:r w:rsidR="00E011E7" w:rsidRPr="0071782F">
        <w:rPr>
          <w:lang w:val="fr-CH"/>
        </w:rPr>
        <w:t xml:space="preserve">onner les </w:t>
      </w:r>
      <w:r w:rsidR="00AD5035" w:rsidRPr="0071782F">
        <w:rPr>
          <w:lang w:val="fr-CH"/>
        </w:rPr>
        <w:t xml:space="preserve">relations </w:t>
      </w:r>
      <w:r w:rsidR="00E011E7" w:rsidRPr="0071782F">
        <w:rPr>
          <w:lang w:val="fr-CH"/>
        </w:rPr>
        <w:t xml:space="preserve">entre </w:t>
      </w:r>
      <w:r w:rsidR="00A233C2" w:rsidRPr="0071782F">
        <w:rPr>
          <w:lang w:val="fr-CH"/>
        </w:rPr>
        <w:t>les personnes</w:t>
      </w:r>
      <w:r w:rsidR="00AD5035" w:rsidRPr="0071782F">
        <w:rPr>
          <w:lang w:val="fr-CH"/>
        </w:rPr>
        <w:t xml:space="preserve"> </w:t>
      </w:r>
      <w:r w:rsidR="00E011E7" w:rsidRPr="0071782F">
        <w:rPr>
          <w:lang w:val="fr-CH"/>
        </w:rPr>
        <w:t>physiques et juridiques dans le domaine de la vie culturelle et artistique</w:t>
      </w:r>
      <w:r w:rsidR="00AD5035" w:rsidRPr="0071782F">
        <w:rPr>
          <w:lang w:val="fr-CH"/>
        </w:rPr>
        <w:t xml:space="preserve">, </w:t>
      </w:r>
      <w:r w:rsidR="00E011E7" w:rsidRPr="0071782F">
        <w:rPr>
          <w:lang w:val="fr-CH"/>
        </w:rPr>
        <w:t>l’État est tenu d’adopter les mesures ci-après</w:t>
      </w:r>
      <w:r w:rsidR="008F7D33" w:rsidRPr="0071782F">
        <w:rPr>
          <w:lang w:val="fr-CH"/>
        </w:rPr>
        <w:t>:</w:t>
      </w:r>
    </w:p>
    <w:p w:rsidR="00AD5035" w:rsidRPr="00E20BB9" w:rsidRDefault="00AD5035" w:rsidP="00930639">
      <w:pPr>
        <w:pStyle w:val="SingleTxtG"/>
        <w:ind w:left="1701"/>
        <w:rPr>
          <w:spacing w:val="-2"/>
          <w:lang w:val="fr-CH"/>
        </w:rPr>
      </w:pPr>
      <w:r w:rsidRPr="00E20BB9">
        <w:rPr>
          <w:spacing w:val="-2"/>
          <w:lang w:val="fr-CH"/>
        </w:rPr>
        <w:t>461.1.</w:t>
      </w:r>
      <w:r w:rsidRPr="00E20BB9">
        <w:rPr>
          <w:spacing w:val="-2"/>
          <w:lang w:val="fr-CH"/>
        </w:rPr>
        <w:tab/>
      </w:r>
      <w:r w:rsidR="00E011E7" w:rsidRPr="00E20BB9">
        <w:rPr>
          <w:spacing w:val="-2"/>
          <w:lang w:val="fr-CH"/>
        </w:rPr>
        <w:t xml:space="preserve">Élaboration de la loi sur la sécurité de l’emploi </w:t>
      </w:r>
      <w:r w:rsidR="007F37CE" w:rsidRPr="00E20BB9">
        <w:rPr>
          <w:spacing w:val="-2"/>
          <w:lang w:val="fr-CH"/>
        </w:rPr>
        <w:t>des personnes</w:t>
      </w:r>
      <w:r w:rsidR="00E011E7" w:rsidRPr="00E20BB9">
        <w:rPr>
          <w:spacing w:val="-2"/>
          <w:lang w:val="fr-CH"/>
        </w:rPr>
        <w:t xml:space="preserve"> actives dans les domaines culturel et artistique, et création de l’association professionnelle du domaine culturel</w:t>
      </w:r>
      <w:r w:rsidRPr="00E20BB9">
        <w:rPr>
          <w:spacing w:val="-2"/>
          <w:lang w:val="fr-CH"/>
        </w:rPr>
        <w:t xml:space="preserve">, </w:t>
      </w:r>
      <w:r w:rsidR="00E011E7" w:rsidRPr="00E20BB9">
        <w:rPr>
          <w:spacing w:val="-2"/>
          <w:lang w:val="fr-CH"/>
        </w:rPr>
        <w:t xml:space="preserve">d’ici à la fin de la première année du </w:t>
      </w:r>
      <w:r w:rsidR="00A90208" w:rsidRPr="00E20BB9">
        <w:rPr>
          <w:spacing w:val="-2"/>
          <w:lang w:val="fr-CH"/>
        </w:rPr>
        <w:t>quatrième</w:t>
      </w:r>
      <w:r w:rsidR="00E011E7" w:rsidRPr="00E20BB9">
        <w:rPr>
          <w:spacing w:val="-2"/>
          <w:lang w:val="fr-CH"/>
        </w:rPr>
        <w:t xml:space="preserve"> plan de développement</w:t>
      </w:r>
      <w:r w:rsidRPr="00E20BB9">
        <w:rPr>
          <w:spacing w:val="-2"/>
          <w:lang w:val="fr-CH"/>
        </w:rPr>
        <w:t>.</w:t>
      </w:r>
    </w:p>
    <w:p w:rsidR="00AD5035" w:rsidRPr="0071782F" w:rsidRDefault="00AD5035" w:rsidP="00930639">
      <w:pPr>
        <w:pStyle w:val="SingleTxtG"/>
        <w:ind w:left="1701"/>
        <w:rPr>
          <w:lang w:val="fr-CH"/>
        </w:rPr>
      </w:pPr>
      <w:r w:rsidRPr="0071782F">
        <w:rPr>
          <w:lang w:val="fr-CH"/>
        </w:rPr>
        <w:t>461.2.</w:t>
      </w:r>
      <w:r w:rsidRPr="0071782F">
        <w:rPr>
          <w:lang w:val="fr-CH"/>
        </w:rPr>
        <w:tab/>
      </w:r>
      <w:r w:rsidR="0076034D" w:rsidRPr="0071782F">
        <w:rPr>
          <w:lang w:val="fr-CH"/>
        </w:rPr>
        <w:t>Examen et modification des lois sur la presse et la publicité, et de l’ensemble du système juridique relatif à la presse, aux médias et à la publicité.</w:t>
      </w:r>
    </w:p>
    <w:p w:rsidR="00AD5035" w:rsidRPr="0071782F" w:rsidRDefault="00AD5035" w:rsidP="00930639">
      <w:pPr>
        <w:pStyle w:val="SingleTxtG"/>
        <w:ind w:left="1701"/>
        <w:rPr>
          <w:lang w:val="fr-CH"/>
        </w:rPr>
      </w:pPr>
      <w:r w:rsidRPr="0071782F">
        <w:rPr>
          <w:lang w:val="fr-CH"/>
        </w:rPr>
        <w:t>461.3.</w:t>
      </w:r>
      <w:r w:rsidRPr="0071782F">
        <w:rPr>
          <w:lang w:val="fr-CH"/>
        </w:rPr>
        <w:tab/>
      </w:r>
      <w:r w:rsidR="00A233C2" w:rsidRPr="0071782F">
        <w:rPr>
          <w:lang w:val="fr-CH"/>
        </w:rPr>
        <w:t>Les personnes</w:t>
      </w:r>
      <w:r w:rsidRPr="0071782F">
        <w:rPr>
          <w:lang w:val="fr-CH"/>
        </w:rPr>
        <w:t xml:space="preserve"> employ</w:t>
      </w:r>
      <w:r w:rsidR="0076034D" w:rsidRPr="0071782F">
        <w:rPr>
          <w:lang w:val="fr-CH"/>
        </w:rPr>
        <w:t>ées dans les secteurs culture</w:t>
      </w:r>
      <w:r w:rsidRPr="0071782F">
        <w:rPr>
          <w:lang w:val="fr-CH"/>
        </w:rPr>
        <w:t xml:space="preserve">l </w:t>
      </w:r>
      <w:r w:rsidR="0076034D" w:rsidRPr="0071782F">
        <w:rPr>
          <w:lang w:val="fr-CH"/>
        </w:rPr>
        <w:t>et</w:t>
      </w:r>
      <w:r w:rsidRPr="0071782F">
        <w:rPr>
          <w:lang w:val="fr-CH"/>
        </w:rPr>
        <w:t xml:space="preserve"> artisti</w:t>
      </w:r>
      <w:r w:rsidR="0076034D" w:rsidRPr="0071782F">
        <w:rPr>
          <w:lang w:val="fr-CH"/>
        </w:rPr>
        <w:t xml:space="preserve">que touchent, sur </w:t>
      </w:r>
      <w:r w:rsidRPr="0071782F">
        <w:rPr>
          <w:lang w:val="fr-CH"/>
        </w:rPr>
        <w:t>d</w:t>
      </w:r>
      <w:r w:rsidR="0076034D" w:rsidRPr="0071782F">
        <w:rPr>
          <w:lang w:val="fr-CH"/>
        </w:rPr>
        <w:t>é</w:t>
      </w:r>
      <w:r w:rsidRPr="0071782F">
        <w:rPr>
          <w:lang w:val="fr-CH"/>
        </w:rPr>
        <w:t xml:space="preserve">cision </w:t>
      </w:r>
      <w:r w:rsidR="0076034D" w:rsidRPr="0071782F">
        <w:rPr>
          <w:lang w:val="fr-CH"/>
        </w:rPr>
        <w:t>du gouvernement, une assurance chômage</w:t>
      </w:r>
      <w:r w:rsidRPr="0071782F">
        <w:rPr>
          <w:lang w:val="fr-CH"/>
        </w:rPr>
        <w:t xml:space="preserve">. </w:t>
      </w:r>
      <w:r w:rsidR="0076034D" w:rsidRPr="0071782F">
        <w:rPr>
          <w:lang w:val="fr-CH"/>
        </w:rPr>
        <w:t>Le gouvernement alimente la caisse d’assurance chômage par imputation sur les budgets annuels</w:t>
      </w:r>
      <w:r w:rsidRPr="0071782F">
        <w:rPr>
          <w:lang w:val="fr-CH"/>
        </w:rPr>
        <w:t>.</w:t>
      </w:r>
      <w:r w:rsidR="00A62149" w:rsidRPr="0071782F">
        <w:rPr>
          <w:lang w:val="fr-CH"/>
        </w:rPr>
        <w:t>"</w:t>
      </w:r>
    </w:p>
    <w:p w:rsidR="00AD5035" w:rsidRPr="0071782F" w:rsidRDefault="00AD5035" w:rsidP="00731380">
      <w:pPr>
        <w:pStyle w:val="SingleTxtG"/>
        <w:keepNext/>
        <w:rPr>
          <w:lang w:val="fr-CH"/>
        </w:rPr>
      </w:pPr>
      <w:r w:rsidRPr="0071782F">
        <w:rPr>
          <w:lang w:val="fr-CH"/>
        </w:rPr>
        <w:t>462.</w:t>
      </w:r>
      <w:r w:rsidRPr="0071782F">
        <w:rPr>
          <w:lang w:val="fr-CH"/>
        </w:rPr>
        <w:tab/>
      </w:r>
      <w:r w:rsidR="00723F2B" w:rsidRPr="0071782F">
        <w:rPr>
          <w:lang w:val="fr-CH"/>
        </w:rPr>
        <w:t>L’</w:t>
      </w:r>
      <w:r w:rsidR="00943A69" w:rsidRPr="0071782F">
        <w:rPr>
          <w:lang w:val="fr-CH"/>
        </w:rPr>
        <w:t>article </w:t>
      </w:r>
      <w:r w:rsidRPr="0071782F">
        <w:rPr>
          <w:lang w:val="fr-CH"/>
        </w:rPr>
        <w:t xml:space="preserve">117 </w:t>
      </w:r>
      <w:r w:rsidR="0076034D" w:rsidRPr="0071782F">
        <w:rPr>
          <w:lang w:val="fr-CH"/>
        </w:rPr>
        <w:t>est ainsi libellé</w:t>
      </w:r>
      <w:r w:rsidR="008F7D33" w:rsidRPr="0071782F">
        <w:rPr>
          <w:lang w:val="fr-CH"/>
        </w:rPr>
        <w:t>:</w:t>
      </w:r>
    </w:p>
    <w:p w:rsidR="00AD5035" w:rsidRPr="0071782F" w:rsidRDefault="00A62149" w:rsidP="00930639">
      <w:pPr>
        <w:pStyle w:val="SingleTxtG"/>
        <w:ind w:left="1701"/>
        <w:rPr>
          <w:lang w:val="fr-CH"/>
        </w:rPr>
      </w:pPr>
      <w:r w:rsidRPr="0071782F">
        <w:rPr>
          <w:lang w:val="fr-CH"/>
        </w:rPr>
        <w:t>"</w:t>
      </w:r>
      <w:r w:rsidR="000B7691" w:rsidRPr="0071782F">
        <w:rPr>
          <w:lang w:val="fr-CH"/>
        </w:rPr>
        <w:t xml:space="preserve">Afin de réformer la </w:t>
      </w:r>
      <w:r w:rsidR="00AD5035" w:rsidRPr="0071782F">
        <w:rPr>
          <w:lang w:val="fr-CH"/>
        </w:rPr>
        <w:t xml:space="preserve">structure </w:t>
      </w:r>
      <w:r w:rsidR="000B7691" w:rsidRPr="0071782F">
        <w:rPr>
          <w:lang w:val="fr-CH"/>
        </w:rPr>
        <w:t>de l’éducation physique</w:t>
      </w:r>
      <w:r w:rsidR="00AD5035" w:rsidRPr="0071782F">
        <w:rPr>
          <w:lang w:val="fr-CH"/>
        </w:rPr>
        <w:t xml:space="preserve">, </w:t>
      </w:r>
      <w:r w:rsidR="000B7691" w:rsidRPr="0071782F">
        <w:rPr>
          <w:lang w:val="fr-CH"/>
        </w:rPr>
        <w:t xml:space="preserve">de </w:t>
      </w:r>
      <w:r w:rsidR="00AD5035" w:rsidRPr="0071782F">
        <w:rPr>
          <w:lang w:val="fr-CH"/>
        </w:rPr>
        <w:t>promo</w:t>
      </w:r>
      <w:r w:rsidR="000B7691" w:rsidRPr="0071782F">
        <w:rPr>
          <w:lang w:val="fr-CH"/>
        </w:rPr>
        <w:t xml:space="preserve">uvoir la </w:t>
      </w:r>
      <w:r w:rsidR="00AD5035" w:rsidRPr="0071782F">
        <w:rPr>
          <w:lang w:val="fr-CH"/>
        </w:rPr>
        <w:t xml:space="preserve">culture </w:t>
      </w:r>
      <w:r w:rsidR="000B7691" w:rsidRPr="0071782F">
        <w:rPr>
          <w:lang w:val="fr-CH"/>
        </w:rPr>
        <w:t>du sport</w:t>
      </w:r>
      <w:r w:rsidR="00AD5035" w:rsidRPr="0071782F">
        <w:rPr>
          <w:lang w:val="fr-CH"/>
        </w:rPr>
        <w:t xml:space="preserve">, </w:t>
      </w:r>
      <w:r w:rsidR="000B7691" w:rsidRPr="0071782F">
        <w:rPr>
          <w:lang w:val="fr-CH"/>
        </w:rPr>
        <w:t xml:space="preserve">d’améliorer </w:t>
      </w:r>
      <w:r w:rsidR="00AD5035" w:rsidRPr="0071782F">
        <w:rPr>
          <w:lang w:val="fr-CH"/>
        </w:rPr>
        <w:t>quantitative</w:t>
      </w:r>
      <w:r w:rsidR="000B7691" w:rsidRPr="0071782F">
        <w:rPr>
          <w:lang w:val="fr-CH"/>
        </w:rPr>
        <w:t>ment et qualitativement l’</w:t>
      </w:r>
      <w:r w:rsidR="00AD5035" w:rsidRPr="0071782F">
        <w:rPr>
          <w:lang w:val="fr-CH"/>
        </w:rPr>
        <w:t>acc</w:t>
      </w:r>
      <w:r w:rsidR="000B7691" w:rsidRPr="0071782F">
        <w:rPr>
          <w:lang w:val="fr-CH"/>
        </w:rPr>
        <w:t xml:space="preserve">ès aux sports de développement et aux sports publics ainsi qu’au système de détection des talents, en renforçant la </w:t>
      </w:r>
      <w:r w:rsidR="00AD5035" w:rsidRPr="0071782F">
        <w:rPr>
          <w:lang w:val="fr-CH"/>
        </w:rPr>
        <w:t xml:space="preserve">participation </w:t>
      </w:r>
      <w:r w:rsidR="000B7691" w:rsidRPr="0071782F">
        <w:rPr>
          <w:lang w:val="fr-CH"/>
        </w:rPr>
        <w:t xml:space="preserve">du secteur privé, et de développer les activités de recherche et la formation de ressources humaines de qualité, dans le </w:t>
      </w:r>
      <w:r w:rsidR="00A90208" w:rsidRPr="0071782F">
        <w:rPr>
          <w:lang w:val="fr-CH"/>
        </w:rPr>
        <w:t>quatrième</w:t>
      </w:r>
      <w:r w:rsidR="000B7691" w:rsidRPr="0071782F">
        <w:rPr>
          <w:lang w:val="fr-CH"/>
        </w:rPr>
        <w:t xml:space="preserve"> plan de développement,</w:t>
      </w:r>
    </w:p>
    <w:p w:rsidR="00AD5035" w:rsidRPr="00E20BB9" w:rsidRDefault="00AD5035" w:rsidP="00930639">
      <w:pPr>
        <w:pStyle w:val="SingleTxtG"/>
        <w:ind w:left="1701"/>
        <w:rPr>
          <w:spacing w:val="-2"/>
          <w:lang w:val="fr-CH"/>
        </w:rPr>
      </w:pPr>
      <w:r w:rsidRPr="00E20BB9">
        <w:rPr>
          <w:spacing w:val="-2"/>
          <w:lang w:val="fr-CH"/>
        </w:rPr>
        <w:t>462.1.</w:t>
      </w:r>
      <w:r w:rsidRPr="00E20BB9">
        <w:rPr>
          <w:spacing w:val="-2"/>
          <w:lang w:val="fr-CH"/>
        </w:rPr>
        <w:tab/>
      </w:r>
      <w:r w:rsidR="000B7691" w:rsidRPr="00E20BB9">
        <w:rPr>
          <w:spacing w:val="-2"/>
          <w:lang w:val="fr-CH"/>
        </w:rPr>
        <w:t xml:space="preserve">Conformément au document stratégique sur le système intégré de développement de l’éducation physique, l’État doit, en collaboration avec le secteur privé, fournir l’assistance nécessaire au sport dans le pays en ce qui concerne les ressources financières, la </w:t>
      </w:r>
      <w:r w:rsidRPr="00E20BB9">
        <w:rPr>
          <w:spacing w:val="-2"/>
          <w:lang w:val="fr-CH"/>
        </w:rPr>
        <w:t>structure</w:t>
      </w:r>
      <w:r w:rsidR="000B7691" w:rsidRPr="00E20BB9">
        <w:rPr>
          <w:spacing w:val="-2"/>
          <w:lang w:val="fr-CH"/>
        </w:rPr>
        <w:t xml:space="preserve"> organisationnelle et la formulation des règles nécessaires à la formation des ressources humaines. L’objectif consiste</w:t>
      </w:r>
      <w:r w:rsidRPr="00E20BB9">
        <w:rPr>
          <w:spacing w:val="-2"/>
          <w:lang w:val="fr-CH"/>
        </w:rPr>
        <w:t xml:space="preserve"> </w:t>
      </w:r>
      <w:r w:rsidR="000B7691" w:rsidRPr="00E20BB9">
        <w:rPr>
          <w:spacing w:val="-2"/>
          <w:lang w:val="fr-CH"/>
        </w:rPr>
        <w:t>à porter à un mètre carré par habitant d’ici à la fin du plan de développement la superficie des installations sportives (de plein air et couvertes).</w:t>
      </w:r>
      <w:r w:rsidRPr="00E20BB9">
        <w:rPr>
          <w:spacing w:val="-2"/>
          <w:lang w:val="fr-CH"/>
        </w:rPr>
        <w:t xml:space="preserve"> </w:t>
      </w:r>
      <w:r w:rsidR="000B7691" w:rsidRPr="00E20BB9">
        <w:rPr>
          <w:spacing w:val="-2"/>
          <w:lang w:val="fr-CH"/>
        </w:rPr>
        <w:t xml:space="preserve">Le </w:t>
      </w:r>
      <w:r w:rsidRPr="00E20BB9">
        <w:rPr>
          <w:spacing w:val="-2"/>
          <w:lang w:val="fr-CH"/>
        </w:rPr>
        <w:t xml:space="preserve">document </w:t>
      </w:r>
      <w:r w:rsidR="000B7691" w:rsidRPr="00E20BB9">
        <w:rPr>
          <w:spacing w:val="-2"/>
          <w:lang w:val="fr-CH"/>
        </w:rPr>
        <w:t>susvisé servira de base à l’organisation des activités de l’Organisme de l’éducation physique et de tous les autres organismes.</w:t>
      </w:r>
    </w:p>
    <w:p w:rsidR="00AD5035" w:rsidRPr="0071782F" w:rsidRDefault="00AD5035" w:rsidP="00930639">
      <w:pPr>
        <w:pStyle w:val="SingleTxtG"/>
        <w:ind w:left="1701"/>
        <w:rPr>
          <w:lang w:val="fr-CH"/>
        </w:rPr>
      </w:pPr>
      <w:r w:rsidRPr="0071782F">
        <w:rPr>
          <w:lang w:val="fr-CH"/>
        </w:rPr>
        <w:t>462.2.</w:t>
      </w:r>
      <w:r w:rsidRPr="0071782F">
        <w:rPr>
          <w:lang w:val="fr-CH"/>
        </w:rPr>
        <w:tab/>
      </w:r>
      <w:r w:rsidR="00EC69DB" w:rsidRPr="0071782F">
        <w:rPr>
          <w:lang w:val="fr-CH"/>
        </w:rPr>
        <w:t xml:space="preserve">Tous les organismes publics non gouvernementaux, ainsi que les </w:t>
      </w:r>
      <w:r w:rsidRPr="0071782F">
        <w:rPr>
          <w:lang w:val="fr-CH"/>
        </w:rPr>
        <w:t>municipalit</w:t>
      </w:r>
      <w:r w:rsidR="00EC69DB" w:rsidRPr="0071782F">
        <w:rPr>
          <w:lang w:val="fr-CH"/>
        </w:rPr>
        <w:t>é</w:t>
      </w:r>
      <w:r w:rsidRPr="0071782F">
        <w:rPr>
          <w:lang w:val="fr-CH"/>
        </w:rPr>
        <w:t xml:space="preserve">s </w:t>
      </w:r>
      <w:r w:rsidR="00EC69DB" w:rsidRPr="0071782F">
        <w:rPr>
          <w:lang w:val="fr-CH"/>
        </w:rPr>
        <w:t xml:space="preserve">et les </w:t>
      </w:r>
      <w:r w:rsidRPr="0071782F">
        <w:rPr>
          <w:lang w:val="fr-CH"/>
        </w:rPr>
        <w:t xml:space="preserve">districts </w:t>
      </w:r>
      <w:r w:rsidR="00EC69DB" w:rsidRPr="0071782F">
        <w:rPr>
          <w:lang w:val="fr-CH"/>
        </w:rPr>
        <w:t>ruraux</w:t>
      </w:r>
      <w:r w:rsidR="001F7468" w:rsidRPr="0071782F">
        <w:rPr>
          <w:lang w:val="fr-CH"/>
        </w:rPr>
        <w:t>,</w:t>
      </w:r>
      <w:r w:rsidR="00EC69DB" w:rsidRPr="0071782F">
        <w:rPr>
          <w:lang w:val="fr-CH"/>
        </w:rPr>
        <w:t xml:space="preserve"> sont tenus de fournir l’assistance nécessaire pour développer et renforcer les sports publics et mettre en place les moyens devant faciliter l’accès de la population aux installations sportives</w:t>
      </w:r>
      <w:r w:rsidRPr="0071782F">
        <w:rPr>
          <w:lang w:val="fr-CH"/>
        </w:rPr>
        <w:t>.</w:t>
      </w:r>
    </w:p>
    <w:p w:rsidR="00AD5035" w:rsidRPr="0071782F" w:rsidRDefault="00AD5035" w:rsidP="00930639">
      <w:pPr>
        <w:pStyle w:val="SingleTxtG"/>
        <w:ind w:left="1701"/>
        <w:rPr>
          <w:lang w:val="fr-CH"/>
        </w:rPr>
      </w:pPr>
      <w:r w:rsidRPr="0071782F">
        <w:rPr>
          <w:lang w:val="fr-CH"/>
        </w:rPr>
        <w:t>462.3.</w:t>
      </w:r>
      <w:r w:rsidRPr="0071782F">
        <w:rPr>
          <w:lang w:val="fr-CH"/>
        </w:rPr>
        <w:tab/>
      </w:r>
      <w:r w:rsidR="001F7468" w:rsidRPr="0071782F">
        <w:rPr>
          <w:lang w:val="fr-CH"/>
        </w:rPr>
        <w:t xml:space="preserve">Conformément au </w:t>
      </w:r>
      <w:r w:rsidR="00723F2B" w:rsidRPr="0071782F">
        <w:rPr>
          <w:lang w:val="fr-CH"/>
        </w:rPr>
        <w:t>paragraphe </w:t>
      </w:r>
      <w:r w:rsidR="001F7468" w:rsidRPr="0071782F">
        <w:rPr>
          <w:lang w:val="fr-CH"/>
        </w:rPr>
        <w:t>1 ci-dessus, le Ministère de l’é</w:t>
      </w:r>
      <w:r w:rsidRPr="0071782F">
        <w:rPr>
          <w:lang w:val="fr-CH"/>
        </w:rPr>
        <w:t>ducation</w:t>
      </w:r>
      <w:r w:rsidR="001F7468" w:rsidRPr="0071782F">
        <w:rPr>
          <w:lang w:val="fr-CH"/>
        </w:rPr>
        <w:t xml:space="preserve">, le Ministère de la </w:t>
      </w:r>
      <w:r w:rsidRPr="0071782F">
        <w:rPr>
          <w:lang w:val="fr-CH"/>
        </w:rPr>
        <w:t xml:space="preserve">science, </w:t>
      </w:r>
      <w:r w:rsidR="001F7468" w:rsidRPr="0071782F">
        <w:rPr>
          <w:lang w:val="fr-CH"/>
        </w:rPr>
        <w:t xml:space="preserve">de la recherche et de technologie, et le Ministère de la santé et </w:t>
      </w:r>
      <w:r w:rsidR="00321C6B" w:rsidRPr="0071782F">
        <w:rPr>
          <w:lang w:val="fr-CH"/>
        </w:rPr>
        <w:t>de la formation médicale élaborent et mettent en pratique, une fois que le Conseil des ministres l’a approuvé, le programme intégré de promotion du sport scolaire et public et de cohé</w:t>
      </w:r>
      <w:r w:rsidRPr="0071782F">
        <w:rPr>
          <w:lang w:val="fr-CH"/>
        </w:rPr>
        <w:t xml:space="preserve">sion </w:t>
      </w:r>
      <w:r w:rsidR="00321C6B" w:rsidRPr="0071782F">
        <w:rPr>
          <w:lang w:val="fr-CH"/>
        </w:rPr>
        <w:t>et de développement du sport universitaire</w:t>
      </w:r>
      <w:r w:rsidRPr="0071782F">
        <w:rPr>
          <w:lang w:val="fr-CH"/>
        </w:rPr>
        <w:t xml:space="preserve">; </w:t>
      </w:r>
      <w:r w:rsidR="00205DA6" w:rsidRPr="0071782F">
        <w:rPr>
          <w:lang w:val="fr-CH"/>
        </w:rPr>
        <w:t>développent le sport dans d</w:t>
      </w:r>
      <w:r w:rsidR="00321C6B" w:rsidRPr="0071782F">
        <w:rPr>
          <w:lang w:val="fr-CH"/>
        </w:rPr>
        <w:t>es installations couvertes (en donnant la pri</w:t>
      </w:r>
      <w:r w:rsidR="00DC55E4" w:rsidRPr="0071782F">
        <w:rPr>
          <w:lang w:val="fr-CH"/>
        </w:rPr>
        <w:t>or</w:t>
      </w:r>
      <w:r w:rsidR="00321C6B" w:rsidRPr="0071782F">
        <w:rPr>
          <w:lang w:val="fr-CH"/>
        </w:rPr>
        <w:t>ité aux femmes</w:t>
      </w:r>
      <w:r w:rsidRPr="0071782F">
        <w:rPr>
          <w:lang w:val="fr-CH"/>
        </w:rPr>
        <w:t xml:space="preserve">) </w:t>
      </w:r>
      <w:r w:rsidR="00321C6B" w:rsidRPr="0071782F">
        <w:rPr>
          <w:lang w:val="fr-CH"/>
        </w:rPr>
        <w:t>et de plein air</w:t>
      </w:r>
      <w:r w:rsidRPr="0071782F">
        <w:rPr>
          <w:lang w:val="fr-CH"/>
        </w:rPr>
        <w:t xml:space="preserve">; </w:t>
      </w:r>
      <w:r w:rsidR="00321C6B" w:rsidRPr="0071782F">
        <w:rPr>
          <w:lang w:val="fr-CH"/>
        </w:rPr>
        <w:t xml:space="preserve">augmentent le </w:t>
      </w:r>
      <w:r w:rsidR="003B48A4" w:rsidRPr="0071782F">
        <w:rPr>
          <w:lang w:val="fr-CH"/>
        </w:rPr>
        <w:t>nombre</w:t>
      </w:r>
      <w:r w:rsidRPr="0071782F">
        <w:rPr>
          <w:lang w:val="fr-CH"/>
        </w:rPr>
        <w:t xml:space="preserve"> </w:t>
      </w:r>
      <w:r w:rsidR="00321C6B" w:rsidRPr="0071782F">
        <w:rPr>
          <w:lang w:val="fr-CH"/>
        </w:rPr>
        <w:t>d’heures d’éducation physique</w:t>
      </w:r>
      <w:r w:rsidRPr="0071782F">
        <w:rPr>
          <w:lang w:val="fr-CH"/>
        </w:rPr>
        <w:t xml:space="preserve">; </w:t>
      </w:r>
      <w:r w:rsidR="00321C6B" w:rsidRPr="0071782F">
        <w:rPr>
          <w:lang w:val="fr-CH"/>
        </w:rPr>
        <w:t>créent des clubs sportifs</w:t>
      </w:r>
      <w:r w:rsidRPr="0071782F">
        <w:rPr>
          <w:lang w:val="fr-CH"/>
        </w:rPr>
        <w:t xml:space="preserve">; </w:t>
      </w:r>
      <w:r w:rsidR="00321C6B" w:rsidRPr="0071782F">
        <w:rPr>
          <w:lang w:val="fr-CH"/>
        </w:rPr>
        <w:t>et forment les ressources humaines dont a besoin le secteur de l’éducation physique</w:t>
      </w:r>
      <w:r w:rsidRPr="0071782F">
        <w:rPr>
          <w:lang w:val="fr-CH"/>
        </w:rPr>
        <w:t xml:space="preserve">. </w:t>
      </w:r>
      <w:r w:rsidR="00321C6B" w:rsidRPr="0071782F">
        <w:rPr>
          <w:lang w:val="fr-CH"/>
        </w:rPr>
        <w:t xml:space="preserve">En outre, il importe d’organiser l’éducation physique avec le concours d’experts et de spécialistes nationaux et, le cas échéant, étrangers pour exécuter et appuyer ses programmes conformément au </w:t>
      </w:r>
      <w:r w:rsidR="00723F2B" w:rsidRPr="0071782F">
        <w:rPr>
          <w:lang w:val="fr-CH"/>
        </w:rPr>
        <w:t>paragraphe </w:t>
      </w:r>
      <w:r w:rsidRPr="0071782F">
        <w:rPr>
          <w:lang w:val="fr-CH"/>
        </w:rPr>
        <w:t xml:space="preserve">1 </w:t>
      </w:r>
      <w:r w:rsidR="00321C6B" w:rsidRPr="0071782F">
        <w:rPr>
          <w:lang w:val="fr-CH"/>
        </w:rPr>
        <w:t>ci-dessus</w:t>
      </w:r>
      <w:r w:rsidRPr="0071782F">
        <w:rPr>
          <w:lang w:val="fr-CH"/>
        </w:rPr>
        <w:t>.</w:t>
      </w:r>
    </w:p>
    <w:p w:rsidR="00AD5035" w:rsidRPr="0071782F" w:rsidRDefault="00AD5035" w:rsidP="00930639">
      <w:pPr>
        <w:pStyle w:val="SingleTxtG"/>
        <w:ind w:left="1701"/>
        <w:rPr>
          <w:lang w:val="fr-CH"/>
        </w:rPr>
      </w:pPr>
      <w:r w:rsidRPr="0071782F">
        <w:rPr>
          <w:lang w:val="fr-CH"/>
        </w:rPr>
        <w:t>462.4.</w:t>
      </w:r>
      <w:r w:rsidRPr="0071782F">
        <w:rPr>
          <w:lang w:val="fr-CH"/>
        </w:rPr>
        <w:tab/>
      </w:r>
      <w:r w:rsidR="00DC55E4" w:rsidRPr="0071782F">
        <w:rPr>
          <w:lang w:val="fr-CH"/>
        </w:rPr>
        <w:t xml:space="preserve">Tous les organismes visés par </w:t>
      </w:r>
      <w:r w:rsidR="00723F2B" w:rsidRPr="0071782F">
        <w:rPr>
          <w:lang w:val="fr-CH"/>
        </w:rPr>
        <w:t>l’</w:t>
      </w:r>
      <w:r w:rsidR="00943A69" w:rsidRPr="0071782F">
        <w:rPr>
          <w:lang w:val="fr-CH"/>
        </w:rPr>
        <w:t>article </w:t>
      </w:r>
      <w:r w:rsidRPr="0071782F">
        <w:rPr>
          <w:lang w:val="fr-CH"/>
        </w:rPr>
        <w:t xml:space="preserve">160 </w:t>
      </w:r>
      <w:r w:rsidR="00DC55E4" w:rsidRPr="0071782F">
        <w:rPr>
          <w:lang w:val="fr-CH"/>
        </w:rPr>
        <w:t xml:space="preserve">de la présente loi sont habilités, pendant toute la durée du </w:t>
      </w:r>
      <w:r w:rsidR="00A90208" w:rsidRPr="0071782F">
        <w:rPr>
          <w:lang w:val="fr-CH"/>
        </w:rPr>
        <w:t>quatrième</w:t>
      </w:r>
      <w:r w:rsidR="00DC55E4" w:rsidRPr="0071782F">
        <w:rPr>
          <w:lang w:val="fr-CH"/>
        </w:rPr>
        <w:t xml:space="preserve"> plan de développement, à affecter </w:t>
      </w:r>
      <w:r w:rsidRPr="0071782F">
        <w:rPr>
          <w:lang w:val="fr-CH"/>
        </w:rPr>
        <w:t>1</w:t>
      </w:r>
      <w:r w:rsidR="007E5125" w:rsidRPr="0071782F">
        <w:rPr>
          <w:lang w:val="fr-CH"/>
        </w:rPr>
        <w:t>%</w:t>
      </w:r>
      <w:r w:rsidR="00DC55E4" w:rsidRPr="0071782F">
        <w:rPr>
          <w:lang w:val="fr-CH"/>
        </w:rPr>
        <w:t xml:space="preserve"> de leur budget à l’éducation physique et aux activités liées au sport, telles que la</w:t>
      </w:r>
      <w:r w:rsidRPr="0071782F">
        <w:rPr>
          <w:lang w:val="fr-CH"/>
        </w:rPr>
        <w:t xml:space="preserve"> construction </w:t>
      </w:r>
      <w:r w:rsidR="00DC55E4" w:rsidRPr="0071782F">
        <w:rPr>
          <w:lang w:val="fr-CH"/>
        </w:rPr>
        <w:t>et le développement des installations sportives, la prestation de services dans le domaine du sport et l’appui à l’Organisme de l’éducation physique, au Comité olympique national et aux clubs et fédérations sportifs</w:t>
      </w:r>
      <w:r w:rsidRPr="0071782F">
        <w:rPr>
          <w:lang w:val="fr-CH"/>
        </w:rPr>
        <w:t xml:space="preserve">, </w:t>
      </w:r>
      <w:r w:rsidR="00DC55E4" w:rsidRPr="0071782F">
        <w:rPr>
          <w:lang w:val="fr-CH"/>
        </w:rPr>
        <w:t xml:space="preserve">dans le cadre des règlements en cours d’élaboration et en </w:t>
      </w:r>
      <w:r w:rsidRPr="0071782F">
        <w:rPr>
          <w:lang w:val="fr-CH"/>
        </w:rPr>
        <w:t xml:space="preserve">coordination </w:t>
      </w:r>
      <w:r w:rsidR="00DC55E4" w:rsidRPr="0071782F">
        <w:rPr>
          <w:lang w:val="fr-CH"/>
        </w:rPr>
        <w:t>avec l’Organisme de l’éducation physique</w:t>
      </w:r>
      <w:r w:rsidRPr="0071782F">
        <w:rPr>
          <w:lang w:val="fr-CH"/>
        </w:rPr>
        <w:t xml:space="preserve">. </w:t>
      </w:r>
    </w:p>
    <w:p w:rsidR="00963C03" w:rsidRPr="0071782F" w:rsidRDefault="00963C03" w:rsidP="00AC3472">
      <w:pPr>
        <w:pStyle w:val="SingleTxtG"/>
        <w:ind w:left="1701"/>
        <w:rPr>
          <w:lang w:val="fr-CH"/>
        </w:rPr>
      </w:pPr>
      <w:r w:rsidRPr="0071782F">
        <w:rPr>
          <w:lang w:val="fr-CH"/>
        </w:rPr>
        <w:t>462.5.</w:t>
      </w:r>
      <w:r w:rsidRPr="0071782F">
        <w:rPr>
          <w:lang w:val="fr-CH"/>
        </w:rPr>
        <w:tab/>
      </w:r>
      <w:r w:rsidR="00C13744" w:rsidRPr="0071782F">
        <w:rPr>
          <w:lang w:val="fr-CH"/>
        </w:rPr>
        <w:t>Les installations sportives privées affectées à d’autres usages après avoir reçu une assistance de ce type doivent rembourser le montant des aides financières ajusté en fonction de l’inflation</w:t>
      </w:r>
      <w:r w:rsidRPr="0071782F">
        <w:rPr>
          <w:lang w:val="fr-CH"/>
        </w:rPr>
        <w:t>.</w:t>
      </w:r>
    </w:p>
    <w:p w:rsidR="00963C03" w:rsidRPr="0071782F" w:rsidRDefault="00963C03" w:rsidP="00AC3472">
      <w:pPr>
        <w:pStyle w:val="SingleTxtG"/>
        <w:ind w:left="1701"/>
        <w:rPr>
          <w:lang w:val="fr-CH"/>
        </w:rPr>
      </w:pPr>
      <w:r w:rsidRPr="0071782F">
        <w:rPr>
          <w:lang w:val="fr-CH"/>
        </w:rPr>
        <w:t>462.6.</w:t>
      </w:r>
      <w:r w:rsidRPr="0071782F">
        <w:rPr>
          <w:lang w:val="fr-CH"/>
        </w:rPr>
        <w:tab/>
      </w:r>
      <w:r w:rsidR="00C13744" w:rsidRPr="0071782F">
        <w:rPr>
          <w:lang w:val="fr-CH"/>
        </w:rPr>
        <w:t>Les organismes visés par la présente disposition doivent présenter des rapports annuels complets sur les activités correspondantes à l’Organisme public de gestion et de planification et aux commissions de planification, du budget et de vérification des comptes et de la culture de l’Assemblée c</w:t>
      </w:r>
      <w:r w:rsidRPr="0071782F">
        <w:rPr>
          <w:lang w:val="fr-CH"/>
        </w:rPr>
        <w:t xml:space="preserve">onsultative </w:t>
      </w:r>
      <w:r w:rsidR="00C13744" w:rsidRPr="0071782F">
        <w:rPr>
          <w:lang w:val="fr-CH"/>
        </w:rPr>
        <w:t>islamique</w:t>
      </w:r>
      <w:r w:rsidRPr="0071782F">
        <w:rPr>
          <w:lang w:val="fr-CH"/>
        </w:rPr>
        <w:t>.</w:t>
      </w:r>
    </w:p>
    <w:p w:rsidR="00963C03" w:rsidRPr="0071782F" w:rsidRDefault="00963C03" w:rsidP="00AC3472">
      <w:pPr>
        <w:pStyle w:val="SingleTxtG"/>
        <w:ind w:left="1701"/>
        <w:rPr>
          <w:lang w:val="fr-CH"/>
        </w:rPr>
      </w:pPr>
      <w:r w:rsidRPr="0071782F">
        <w:rPr>
          <w:lang w:val="fr-CH"/>
        </w:rPr>
        <w:t>462.7.</w:t>
      </w:r>
      <w:r w:rsidRPr="0071782F">
        <w:rPr>
          <w:lang w:val="fr-CH"/>
        </w:rPr>
        <w:tab/>
      </w:r>
      <w:r w:rsidR="002E2E2A" w:rsidRPr="0071782F">
        <w:rPr>
          <w:lang w:val="fr-CH"/>
        </w:rPr>
        <w:t>Le Ministère de l’agriculture doit mettre gratuitement à la disposition de l’Organisme de l’éducation physique, dans le but d’y construire et d’y développer des installations sportives, les terrains dont il dispose à l’intérieur des villes et qui sont utilisées à des fins agricoles et ne relèvent pas des quatre catégories environnementales</w:t>
      </w:r>
      <w:r w:rsidRPr="0071782F">
        <w:rPr>
          <w:lang w:val="fr-CH"/>
        </w:rPr>
        <w:t xml:space="preserve">. </w:t>
      </w:r>
      <w:r w:rsidR="002E2E2A" w:rsidRPr="0071782F">
        <w:rPr>
          <w:lang w:val="fr-CH"/>
        </w:rPr>
        <w:t xml:space="preserve">Le Ministère est également tenu de fournir des terrains au secteur privé et aux coopératives pour la </w:t>
      </w:r>
      <w:r w:rsidRPr="0071782F">
        <w:rPr>
          <w:lang w:val="fr-CH"/>
        </w:rPr>
        <w:t xml:space="preserve">construction </w:t>
      </w:r>
      <w:r w:rsidR="002E2E2A" w:rsidRPr="0071782F">
        <w:rPr>
          <w:lang w:val="fr-CH"/>
        </w:rPr>
        <w:t xml:space="preserve">d’installations sportives à des prix fixés par le Ministère </w:t>
      </w:r>
      <w:r w:rsidR="009B748C" w:rsidRPr="0071782F">
        <w:rPr>
          <w:lang w:val="fr-CH"/>
        </w:rPr>
        <w:t>des finances et des affaires économiques</w:t>
      </w:r>
      <w:r w:rsidRPr="0071782F">
        <w:rPr>
          <w:lang w:val="fr-CH"/>
        </w:rPr>
        <w:t xml:space="preserve">. </w:t>
      </w:r>
      <w:r w:rsidR="002E2E2A" w:rsidRPr="0071782F">
        <w:rPr>
          <w:lang w:val="fr-CH"/>
        </w:rPr>
        <w:t>L’utilisation de ces terrains ne peut être modifiée en aucune circonstance</w:t>
      </w:r>
      <w:r w:rsidRPr="0071782F">
        <w:rPr>
          <w:lang w:val="fr-CH"/>
        </w:rPr>
        <w:t xml:space="preserve">. </w:t>
      </w:r>
      <w:r w:rsidR="002E2E2A" w:rsidRPr="0071782F">
        <w:rPr>
          <w:lang w:val="fr-CH"/>
        </w:rPr>
        <w:t xml:space="preserve">Le présent </w:t>
      </w:r>
      <w:r w:rsidR="00723F2B" w:rsidRPr="0071782F">
        <w:rPr>
          <w:lang w:val="fr-CH"/>
        </w:rPr>
        <w:t>paragraphe </w:t>
      </w:r>
      <w:r w:rsidR="002E2E2A" w:rsidRPr="0071782F">
        <w:rPr>
          <w:lang w:val="fr-CH"/>
        </w:rPr>
        <w:t xml:space="preserve">ne s’applique pas aux quatre catégories </w:t>
      </w:r>
      <w:r w:rsidRPr="0071782F">
        <w:rPr>
          <w:lang w:val="fr-CH"/>
        </w:rPr>
        <w:t>environ</w:t>
      </w:r>
      <w:r w:rsidR="002E2E2A" w:rsidRPr="0071782F">
        <w:rPr>
          <w:lang w:val="fr-CH"/>
        </w:rPr>
        <w:t>ne</w:t>
      </w:r>
      <w:r w:rsidRPr="0071782F">
        <w:rPr>
          <w:lang w:val="fr-CH"/>
        </w:rPr>
        <w:t>mental</w:t>
      </w:r>
      <w:r w:rsidR="002E2E2A" w:rsidRPr="0071782F">
        <w:rPr>
          <w:lang w:val="fr-CH"/>
        </w:rPr>
        <w:t>es</w:t>
      </w:r>
      <w:r w:rsidRPr="0071782F">
        <w:rPr>
          <w:lang w:val="fr-CH"/>
        </w:rPr>
        <w:t>.</w:t>
      </w:r>
    </w:p>
    <w:p w:rsidR="00963C03" w:rsidRPr="0071782F" w:rsidRDefault="00963C03" w:rsidP="00AC3472">
      <w:pPr>
        <w:pStyle w:val="SingleTxtG"/>
        <w:ind w:left="1701"/>
        <w:rPr>
          <w:lang w:val="fr-CH"/>
        </w:rPr>
      </w:pPr>
      <w:r w:rsidRPr="0071782F">
        <w:rPr>
          <w:lang w:val="fr-CH"/>
        </w:rPr>
        <w:t>462.8.</w:t>
      </w:r>
      <w:r w:rsidRPr="0071782F">
        <w:rPr>
          <w:lang w:val="fr-CH"/>
        </w:rPr>
        <w:tab/>
      </w:r>
      <w:r w:rsidR="002F2F9D" w:rsidRPr="0071782F">
        <w:rPr>
          <w:lang w:val="fr-CH"/>
        </w:rPr>
        <w:t>Aux fins de la création et de la répartition équitables d’installations et de centres é</w:t>
      </w:r>
      <w:r w:rsidRPr="0071782F">
        <w:rPr>
          <w:lang w:val="fr-CH"/>
        </w:rPr>
        <w:t>ducati</w:t>
      </w:r>
      <w:r w:rsidR="002F2F9D" w:rsidRPr="0071782F">
        <w:rPr>
          <w:lang w:val="fr-CH"/>
        </w:rPr>
        <w:t xml:space="preserve">fs, sportifs et culturels, le Ministère du logement et de l’aménagement urbain, ainsi que les </w:t>
      </w:r>
      <w:r w:rsidRPr="0071782F">
        <w:rPr>
          <w:lang w:val="fr-CH"/>
        </w:rPr>
        <w:t>municipalit</w:t>
      </w:r>
      <w:r w:rsidR="002F2F9D" w:rsidRPr="0071782F">
        <w:rPr>
          <w:lang w:val="fr-CH"/>
        </w:rPr>
        <w:t>é</w:t>
      </w:r>
      <w:r w:rsidRPr="0071782F">
        <w:rPr>
          <w:lang w:val="fr-CH"/>
        </w:rPr>
        <w:t xml:space="preserve">s, </w:t>
      </w:r>
      <w:r w:rsidR="002F2F9D" w:rsidRPr="0071782F">
        <w:rPr>
          <w:lang w:val="fr-CH"/>
        </w:rPr>
        <w:t>sont tenus, au moment de délivrer les autorisations correspondantes, d’informer les propriétaires de projets de construction en milieu urbain qu’ils sont tenus de créer des espaces de ce type en proportion de la superficie des zones bâties.</w:t>
      </w:r>
    </w:p>
    <w:p w:rsidR="00963C03" w:rsidRPr="0071782F" w:rsidRDefault="00963C03" w:rsidP="00AC3472">
      <w:pPr>
        <w:pStyle w:val="SingleTxtG"/>
        <w:ind w:left="1701"/>
        <w:rPr>
          <w:lang w:val="fr-CH"/>
        </w:rPr>
      </w:pPr>
      <w:r w:rsidRPr="0071782F">
        <w:rPr>
          <w:lang w:val="fr-CH"/>
        </w:rPr>
        <w:t>462.9.</w:t>
      </w:r>
      <w:r w:rsidRPr="0071782F">
        <w:rPr>
          <w:lang w:val="fr-CH"/>
        </w:rPr>
        <w:tab/>
      </w:r>
      <w:r w:rsidR="002F2F9D" w:rsidRPr="0071782F">
        <w:rPr>
          <w:lang w:val="fr-CH"/>
        </w:rPr>
        <w:t>Le Ministère du logement et de l’aménagement urbain est tenu, en coordination avec l’Organisme de l’éducation physique, d’acheter des terrains de sport dans l’ensemble du pays et de les céder selon les modalités suivantes</w:t>
      </w:r>
      <w:r w:rsidR="008F7D33" w:rsidRPr="0071782F">
        <w:rPr>
          <w:lang w:val="fr-CH"/>
        </w:rPr>
        <w:t>:</w:t>
      </w:r>
      <w:r w:rsidR="002F2F9D" w:rsidRPr="0071782F">
        <w:rPr>
          <w:lang w:val="fr-CH"/>
        </w:rPr>
        <w:t xml:space="preserve"> </w:t>
      </w:r>
    </w:p>
    <w:p w:rsidR="00963C03" w:rsidRPr="0071782F" w:rsidRDefault="00963C03" w:rsidP="00AC3472">
      <w:pPr>
        <w:pStyle w:val="SingleTxtG"/>
        <w:ind w:left="1701"/>
        <w:rPr>
          <w:lang w:val="fr-CH"/>
        </w:rPr>
      </w:pPr>
      <w:r w:rsidRPr="0071782F">
        <w:rPr>
          <w:lang w:val="fr-CH"/>
        </w:rPr>
        <w:t>462.10.</w:t>
      </w:r>
      <w:r w:rsidR="00AC3472" w:rsidRPr="0071782F">
        <w:rPr>
          <w:lang w:val="fr-CH"/>
        </w:rPr>
        <w:t xml:space="preserve"> </w:t>
      </w:r>
      <w:r w:rsidR="00023358" w:rsidRPr="0071782F">
        <w:rPr>
          <w:lang w:val="fr-CH"/>
        </w:rPr>
        <w:t>Gratuitement à l’Organisme de l’éducation physique et à l’entreprise de développement et d’entretien des installations sportives du pays.</w:t>
      </w:r>
    </w:p>
    <w:p w:rsidR="00963C03" w:rsidRPr="0071782F" w:rsidRDefault="00963C03" w:rsidP="00AC3472">
      <w:pPr>
        <w:pStyle w:val="SingleTxtG"/>
        <w:ind w:left="1701"/>
        <w:rPr>
          <w:lang w:val="fr-CH"/>
        </w:rPr>
      </w:pPr>
      <w:r w:rsidRPr="0071782F">
        <w:rPr>
          <w:lang w:val="fr-CH"/>
        </w:rPr>
        <w:t>462.11.</w:t>
      </w:r>
      <w:r w:rsidR="00AC3472" w:rsidRPr="0071782F">
        <w:rPr>
          <w:lang w:val="fr-CH"/>
        </w:rPr>
        <w:t xml:space="preserve"> </w:t>
      </w:r>
      <w:r w:rsidRPr="0071782F">
        <w:rPr>
          <w:lang w:val="fr-CH"/>
        </w:rPr>
        <w:t>A</w:t>
      </w:r>
      <w:r w:rsidR="00023358" w:rsidRPr="0071782F">
        <w:rPr>
          <w:lang w:val="fr-CH"/>
        </w:rPr>
        <w:t>u prix d’acquisition au secteur privé et aux coopératives</w:t>
      </w:r>
      <w:r w:rsidRPr="0071782F">
        <w:rPr>
          <w:lang w:val="fr-CH"/>
        </w:rPr>
        <w:t>.</w:t>
      </w:r>
    </w:p>
    <w:p w:rsidR="00963C03" w:rsidRPr="0071782F" w:rsidRDefault="00963C03" w:rsidP="00AC3472">
      <w:pPr>
        <w:pStyle w:val="SingleTxtG"/>
        <w:ind w:left="1701"/>
        <w:rPr>
          <w:lang w:val="fr-CH"/>
        </w:rPr>
      </w:pPr>
      <w:r w:rsidRPr="0071782F">
        <w:rPr>
          <w:lang w:val="fr-CH"/>
        </w:rPr>
        <w:t>462.12.</w:t>
      </w:r>
      <w:r w:rsidR="00AC3472" w:rsidRPr="0071782F">
        <w:rPr>
          <w:lang w:val="fr-CH"/>
        </w:rPr>
        <w:t xml:space="preserve"> </w:t>
      </w:r>
      <w:r w:rsidR="00023358" w:rsidRPr="0071782F">
        <w:rPr>
          <w:lang w:val="fr-CH"/>
        </w:rPr>
        <w:t>La taxe d’enregistrement et les autres dépenses liées à la cession d’installations et de clubs sportifs et de stades sont calculées au même taux que celles des centres et espaces culturels et sont approuvées par l’Organisme de l’éducation physique.</w:t>
      </w:r>
    </w:p>
    <w:p w:rsidR="00963C03" w:rsidRPr="00F739E0" w:rsidRDefault="00963C03" w:rsidP="00AC3472">
      <w:pPr>
        <w:pStyle w:val="SingleTxtG"/>
        <w:ind w:left="1701"/>
        <w:rPr>
          <w:spacing w:val="-2"/>
          <w:lang w:val="fr-CH"/>
        </w:rPr>
      </w:pPr>
      <w:r w:rsidRPr="00F739E0">
        <w:rPr>
          <w:spacing w:val="-2"/>
          <w:lang w:val="fr-CH"/>
        </w:rPr>
        <w:t>462.13.</w:t>
      </w:r>
      <w:r w:rsidR="00AC3472" w:rsidRPr="00F739E0">
        <w:rPr>
          <w:spacing w:val="-2"/>
          <w:lang w:val="fr-CH"/>
        </w:rPr>
        <w:t xml:space="preserve"> </w:t>
      </w:r>
      <w:r w:rsidR="000C0F44" w:rsidRPr="00F739E0">
        <w:rPr>
          <w:spacing w:val="-2"/>
          <w:lang w:val="fr-CH"/>
        </w:rPr>
        <w:t>Il convient d’appuyer le secteur privé, les coopé</w:t>
      </w:r>
      <w:r w:rsidRPr="00F739E0">
        <w:rPr>
          <w:spacing w:val="-2"/>
          <w:lang w:val="fr-CH"/>
        </w:rPr>
        <w:t>rative</w:t>
      </w:r>
      <w:r w:rsidR="000C0F44" w:rsidRPr="00F739E0">
        <w:rPr>
          <w:spacing w:val="-2"/>
          <w:lang w:val="fr-CH"/>
        </w:rPr>
        <w:t>s et</w:t>
      </w:r>
      <w:r w:rsidRPr="00F739E0">
        <w:rPr>
          <w:spacing w:val="-2"/>
          <w:lang w:val="fr-CH"/>
        </w:rPr>
        <w:t xml:space="preserve"> </w:t>
      </w:r>
      <w:r w:rsidR="000C0F44" w:rsidRPr="00F739E0">
        <w:rPr>
          <w:spacing w:val="-2"/>
          <w:lang w:val="fr-CH"/>
        </w:rPr>
        <w:t>les clubs professionnels qui participent à la promotion du sport professionnel et de compétition en réformant la</w:t>
      </w:r>
      <w:r w:rsidRPr="00F739E0">
        <w:rPr>
          <w:spacing w:val="-2"/>
          <w:lang w:val="fr-CH"/>
        </w:rPr>
        <w:t xml:space="preserve"> structure </w:t>
      </w:r>
      <w:r w:rsidR="000C0F44" w:rsidRPr="00F739E0">
        <w:rPr>
          <w:spacing w:val="-2"/>
          <w:lang w:val="fr-CH"/>
        </w:rPr>
        <w:t xml:space="preserve">de l’éducation physique et du sport et en fournissant une </w:t>
      </w:r>
      <w:r w:rsidRPr="00F739E0">
        <w:rPr>
          <w:spacing w:val="-2"/>
          <w:lang w:val="fr-CH"/>
        </w:rPr>
        <w:t xml:space="preserve">assistance </w:t>
      </w:r>
      <w:r w:rsidR="000C0F44" w:rsidRPr="00F739E0">
        <w:rPr>
          <w:spacing w:val="-2"/>
          <w:lang w:val="fr-CH"/>
        </w:rPr>
        <w:t>administrative</w:t>
      </w:r>
      <w:r w:rsidRPr="00F739E0">
        <w:rPr>
          <w:spacing w:val="-2"/>
          <w:lang w:val="fr-CH"/>
        </w:rPr>
        <w:t>, financ</w:t>
      </w:r>
      <w:r w:rsidR="000C0F44" w:rsidRPr="00F739E0">
        <w:rPr>
          <w:spacing w:val="-2"/>
          <w:lang w:val="fr-CH"/>
        </w:rPr>
        <w:t>ièr</w:t>
      </w:r>
      <w:r w:rsidRPr="00F739E0">
        <w:rPr>
          <w:spacing w:val="-2"/>
          <w:lang w:val="fr-CH"/>
        </w:rPr>
        <w:t>e</w:t>
      </w:r>
      <w:r w:rsidR="000C0F44" w:rsidRPr="00F739E0">
        <w:rPr>
          <w:spacing w:val="-2"/>
          <w:lang w:val="fr-CH"/>
        </w:rPr>
        <w:t xml:space="preserve"> et en matière de ressources humaines</w:t>
      </w:r>
      <w:r w:rsidRPr="00F739E0">
        <w:rPr>
          <w:spacing w:val="-2"/>
          <w:lang w:val="fr-CH"/>
        </w:rPr>
        <w:t xml:space="preserve">, </w:t>
      </w:r>
      <w:r w:rsidR="000C0F44" w:rsidRPr="00F739E0">
        <w:rPr>
          <w:spacing w:val="-2"/>
          <w:lang w:val="fr-CH"/>
        </w:rPr>
        <w:t>de manière à avoir atteint, à la fin du plan de développement, les objectifs ci-après</w:t>
      </w:r>
      <w:r w:rsidR="008F7D33" w:rsidRPr="00F739E0">
        <w:rPr>
          <w:spacing w:val="-2"/>
          <w:lang w:val="fr-CH"/>
        </w:rPr>
        <w:t>:</w:t>
      </w:r>
    </w:p>
    <w:p w:rsidR="00963C03" w:rsidRPr="0071782F" w:rsidRDefault="00AC3472" w:rsidP="00AC3472">
      <w:pPr>
        <w:pStyle w:val="SingleTxtG"/>
        <w:ind w:left="2268"/>
        <w:rPr>
          <w:lang w:val="fr-CH"/>
        </w:rPr>
      </w:pPr>
      <w:r w:rsidRPr="0071782F">
        <w:rPr>
          <w:lang w:val="fr-CH"/>
        </w:rPr>
        <w:t xml:space="preserve">462.13.1. </w:t>
      </w:r>
      <w:r w:rsidR="002A6AEA" w:rsidRPr="0071782F">
        <w:rPr>
          <w:lang w:val="fr-CH"/>
        </w:rPr>
        <w:t>Le secteur non gouvernemental et les clubs privés représentent au</w:t>
      </w:r>
      <w:r w:rsidR="001F3F05" w:rsidRPr="0071782F">
        <w:rPr>
          <w:lang w:val="fr-CH"/>
        </w:rPr>
        <w:t> mois</w:t>
      </w:r>
      <w:r w:rsidR="002A6AEA" w:rsidRPr="0071782F">
        <w:rPr>
          <w:lang w:val="fr-CH"/>
        </w:rPr>
        <w:t xml:space="preserve"> 50</w:t>
      </w:r>
      <w:r w:rsidR="007E5125" w:rsidRPr="0071782F">
        <w:rPr>
          <w:lang w:val="fr-CH"/>
        </w:rPr>
        <w:t>%</w:t>
      </w:r>
      <w:r w:rsidR="002A6AEA" w:rsidRPr="0071782F">
        <w:rPr>
          <w:lang w:val="fr-CH"/>
        </w:rPr>
        <w:t xml:space="preserve"> du développement des sports de compétition</w:t>
      </w:r>
      <w:r w:rsidR="00963C03" w:rsidRPr="0071782F">
        <w:rPr>
          <w:lang w:val="fr-CH"/>
        </w:rPr>
        <w:t>.</w:t>
      </w:r>
    </w:p>
    <w:p w:rsidR="00963C03" w:rsidRPr="0071782F" w:rsidRDefault="00AC3472" w:rsidP="00AC3472">
      <w:pPr>
        <w:pStyle w:val="SingleTxtG"/>
        <w:ind w:left="2268"/>
        <w:rPr>
          <w:lang w:val="fr-CH"/>
        </w:rPr>
      </w:pPr>
      <w:r w:rsidRPr="0071782F">
        <w:rPr>
          <w:lang w:val="fr-CH"/>
        </w:rPr>
        <w:t xml:space="preserve">462.13.2. </w:t>
      </w:r>
      <w:r w:rsidR="002A6AEA" w:rsidRPr="0071782F">
        <w:rPr>
          <w:lang w:val="fr-CH"/>
        </w:rPr>
        <w:t xml:space="preserve">Le secteur privé, le secteur des coopératives et les clubs prennent en charge </w:t>
      </w:r>
      <w:r w:rsidR="00963C03" w:rsidRPr="0071782F">
        <w:rPr>
          <w:lang w:val="fr-CH"/>
        </w:rPr>
        <w:t>100</w:t>
      </w:r>
      <w:r w:rsidR="007E5125" w:rsidRPr="0071782F">
        <w:rPr>
          <w:lang w:val="fr-CH"/>
        </w:rPr>
        <w:t>%</w:t>
      </w:r>
      <w:r w:rsidR="002A6AEA" w:rsidRPr="0071782F">
        <w:rPr>
          <w:lang w:val="fr-CH"/>
        </w:rPr>
        <w:t xml:space="preserve"> des activités d’exécution et des ressources fournies au sport professionnel, l’apport de l’État se limitant à une assistance juridique et </w:t>
      </w:r>
      <w:r w:rsidR="00963C03" w:rsidRPr="0071782F">
        <w:rPr>
          <w:lang w:val="fr-CH"/>
        </w:rPr>
        <w:t xml:space="preserve">administrative </w:t>
      </w:r>
      <w:r w:rsidR="002A6AEA" w:rsidRPr="0071782F">
        <w:rPr>
          <w:lang w:val="fr-CH"/>
        </w:rPr>
        <w:t>et à la prestation d’aides financières ponctuelles</w:t>
      </w:r>
      <w:r w:rsidR="00963C03" w:rsidRPr="0071782F">
        <w:rPr>
          <w:lang w:val="fr-CH"/>
        </w:rPr>
        <w:t>.</w:t>
      </w:r>
      <w:r w:rsidR="00A62149" w:rsidRPr="0071782F">
        <w:rPr>
          <w:lang w:val="fr-CH"/>
        </w:rPr>
        <w:t>"</w:t>
      </w:r>
    </w:p>
    <w:p w:rsidR="00963C03" w:rsidRPr="0071782F" w:rsidRDefault="00963C03" w:rsidP="00AC3472">
      <w:pPr>
        <w:pStyle w:val="SingleTxtG"/>
        <w:rPr>
          <w:lang w:val="fr-CH"/>
        </w:rPr>
      </w:pPr>
      <w:r w:rsidRPr="0071782F">
        <w:rPr>
          <w:lang w:val="fr-CH"/>
        </w:rPr>
        <w:t>463.</w:t>
      </w:r>
      <w:r w:rsidRPr="0071782F">
        <w:rPr>
          <w:lang w:val="fr-CH"/>
        </w:rPr>
        <w:tab/>
      </w:r>
      <w:r w:rsidR="00A62149" w:rsidRPr="0071782F">
        <w:rPr>
          <w:lang w:val="fr-CH"/>
        </w:rPr>
        <w:t>"</w:t>
      </w:r>
      <w:r w:rsidR="002A6AEA" w:rsidRPr="0071782F">
        <w:rPr>
          <w:lang w:val="fr-CH"/>
        </w:rPr>
        <w:t xml:space="preserve">Les </w:t>
      </w:r>
      <w:r w:rsidR="00723F2B" w:rsidRPr="0071782F">
        <w:rPr>
          <w:lang w:val="fr-CH"/>
        </w:rPr>
        <w:t>articles </w:t>
      </w:r>
      <w:r w:rsidRPr="0071782F">
        <w:rPr>
          <w:lang w:val="fr-CH"/>
        </w:rPr>
        <w:t xml:space="preserve">169 </w:t>
      </w:r>
      <w:r w:rsidR="002A6AEA" w:rsidRPr="0071782F">
        <w:rPr>
          <w:lang w:val="fr-CH"/>
        </w:rPr>
        <w:t>et</w:t>
      </w:r>
      <w:r w:rsidRPr="0071782F">
        <w:rPr>
          <w:lang w:val="fr-CH"/>
        </w:rPr>
        <w:t xml:space="preserve"> 170 </w:t>
      </w:r>
      <w:r w:rsidR="002A6AEA" w:rsidRPr="0071782F">
        <w:rPr>
          <w:lang w:val="fr-CH"/>
        </w:rPr>
        <w:t xml:space="preserve">du </w:t>
      </w:r>
      <w:r w:rsidR="009E6189" w:rsidRPr="009E6189">
        <w:rPr>
          <w:lang w:val="fr-CH"/>
        </w:rPr>
        <w:t>troisième plan</w:t>
      </w:r>
      <w:r w:rsidR="002A6AEA" w:rsidRPr="0071782F">
        <w:rPr>
          <w:lang w:val="fr-CH"/>
        </w:rPr>
        <w:t xml:space="preserve"> de développement économique</w:t>
      </w:r>
      <w:r w:rsidRPr="0071782F">
        <w:rPr>
          <w:lang w:val="fr-CH"/>
        </w:rPr>
        <w:t xml:space="preserve">, social </w:t>
      </w:r>
      <w:r w:rsidR="002A6AEA" w:rsidRPr="0071782F">
        <w:rPr>
          <w:lang w:val="fr-CH"/>
        </w:rPr>
        <w:t>et</w:t>
      </w:r>
      <w:r w:rsidRPr="0071782F">
        <w:rPr>
          <w:lang w:val="fr-CH"/>
        </w:rPr>
        <w:t xml:space="preserve"> cultur</w:t>
      </w:r>
      <w:r w:rsidR="002A6AEA" w:rsidRPr="0071782F">
        <w:rPr>
          <w:lang w:val="fr-CH"/>
        </w:rPr>
        <w:t>e</w:t>
      </w:r>
      <w:r w:rsidRPr="0071782F">
        <w:rPr>
          <w:lang w:val="fr-CH"/>
        </w:rPr>
        <w:t>l</w:t>
      </w:r>
      <w:r w:rsidR="002A6AEA" w:rsidRPr="0071782F">
        <w:rPr>
          <w:lang w:val="fr-CH"/>
        </w:rPr>
        <w:t xml:space="preserve"> de la </w:t>
      </w:r>
      <w:r w:rsidRPr="0071782F">
        <w:rPr>
          <w:lang w:val="fr-CH"/>
        </w:rPr>
        <w:t>R</w:t>
      </w:r>
      <w:r w:rsidR="002A6AEA" w:rsidRPr="0071782F">
        <w:rPr>
          <w:lang w:val="fr-CH"/>
        </w:rPr>
        <w:t>é</w:t>
      </w:r>
      <w:r w:rsidRPr="0071782F">
        <w:rPr>
          <w:lang w:val="fr-CH"/>
        </w:rPr>
        <w:t>publi</w:t>
      </w:r>
      <w:r w:rsidR="002A6AEA" w:rsidRPr="0071782F">
        <w:rPr>
          <w:lang w:val="fr-CH"/>
        </w:rPr>
        <w:t>que islamique d’</w:t>
      </w:r>
      <w:r w:rsidRPr="0071782F">
        <w:rPr>
          <w:lang w:val="fr-CH"/>
        </w:rPr>
        <w:t>Iran, a</w:t>
      </w:r>
      <w:r w:rsidR="002A6AEA" w:rsidRPr="0071782F">
        <w:rPr>
          <w:lang w:val="fr-CH"/>
        </w:rPr>
        <w:t xml:space="preserve">dopté le 6 avril </w:t>
      </w:r>
      <w:r w:rsidRPr="0071782F">
        <w:rPr>
          <w:lang w:val="fr-CH"/>
        </w:rPr>
        <w:t xml:space="preserve">2000, </w:t>
      </w:r>
      <w:r w:rsidR="002A6AEA" w:rsidRPr="0071782F">
        <w:rPr>
          <w:lang w:val="fr-CH"/>
        </w:rPr>
        <w:t xml:space="preserve">et les modifications apportées en vue du </w:t>
      </w:r>
      <w:r w:rsidR="00A90208" w:rsidRPr="0071782F">
        <w:rPr>
          <w:lang w:val="fr-CH"/>
        </w:rPr>
        <w:t>quatrième</w:t>
      </w:r>
      <w:r w:rsidR="002A6AEA" w:rsidRPr="0071782F">
        <w:rPr>
          <w:lang w:val="fr-CH"/>
        </w:rPr>
        <w:t xml:space="preserve"> plan de développement économique, social et culturel de la République islamique d’Iran </w:t>
      </w:r>
      <w:r w:rsidRPr="0071782F">
        <w:rPr>
          <w:lang w:val="fr-CH"/>
        </w:rPr>
        <w:t>(2005</w:t>
      </w:r>
      <w:r w:rsidR="002A6AEA" w:rsidRPr="0071782F">
        <w:rPr>
          <w:lang w:val="fr-CH"/>
        </w:rPr>
        <w:t>-</w:t>
      </w:r>
      <w:r w:rsidRPr="0071782F">
        <w:rPr>
          <w:lang w:val="fr-CH"/>
        </w:rPr>
        <w:t xml:space="preserve">2009) </w:t>
      </w:r>
      <w:r w:rsidR="002A6AEA" w:rsidRPr="0071782F">
        <w:rPr>
          <w:lang w:val="fr-CH"/>
        </w:rPr>
        <w:t>sont ainsi notifiés</w:t>
      </w:r>
      <w:r w:rsidRPr="0071782F">
        <w:rPr>
          <w:lang w:val="fr-CH"/>
        </w:rPr>
        <w:t>.</w:t>
      </w:r>
      <w:r w:rsidR="00A62149" w:rsidRPr="0071782F">
        <w:rPr>
          <w:lang w:val="fr-CH"/>
        </w:rPr>
        <w:t>"</w:t>
      </w:r>
    </w:p>
    <w:p w:rsidR="00963C03" w:rsidRPr="0071782F" w:rsidRDefault="00963C03" w:rsidP="00AC3472">
      <w:pPr>
        <w:pStyle w:val="SingleTxtG"/>
        <w:rPr>
          <w:lang w:val="fr-CH"/>
        </w:rPr>
      </w:pPr>
      <w:r w:rsidRPr="0071782F">
        <w:rPr>
          <w:lang w:val="fr-CH"/>
        </w:rPr>
        <w:t>464.</w:t>
      </w:r>
      <w:r w:rsidRPr="0071782F">
        <w:rPr>
          <w:lang w:val="fr-CH"/>
        </w:rPr>
        <w:tab/>
      </w:r>
      <w:r w:rsidR="00723F2B" w:rsidRPr="0071782F">
        <w:rPr>
          <w:lang w:val="fr-CH"/>
        </w:rPr>
        <w:t>L’</w:t>
      </w:r>
      <w:r w:rsidR="00943A69" w:rsidRPr="0071782F">
        <w:rPr>
          <w:lang w:val="fr-CH"/>
        </w:rPr>
        <w:t>article </w:t>
      </w:r>
      <w:r w:rsidRPr="0071782F">
        <w:rPr>
          <w:lang w:val="fr-CH"/>
        </w:rPr>
        <w:t xml:space="preserve">169 </w:t>
      </w:r>
      <w:r w:rsidR="002A6AEA" w:rsidRPr="0071782F">
        <w:rPr>
          <w:lang w:val="fr-CH"/>
        </w:rPr>
        <w:t xml:space="preserve">du </w:t>
      </w:r>
      <w:r w:rsidR="009E6189">
        <w:rPr>
          <w:lang w:val="fr-CH"/>
        </w:rPr>
        <w:t>troisième plan</w:t>
      </w:r>
      <w:r w:rsidR="002A6AEA" w:rsidRPr="0071782F">
        <w:rPr>
          <w:lang w:val="fr-CH"/>
        </w:rPr>
        <w:t xml:space="preserve"> de développement dispose ce qui suit</w:t>
      </w:r>
      <w:r w:rsidR="008F7D33" w:rsidRPr="0071782F">
        <w:rPr>
          <w:lang w:val="fr-CH"/>
        </w:rPr>
        <w:t>:</w:t>
      </w:r>
    </w:p>
    <w:p w:rsidR="00963C03" w:rsidRPr="0071782F" w:rsidRDefault="00A62149" w:rsidP="00AC3472">
      <w:pPr>
        <w:pStyle w:val="SingleTxtG"/>
        <w:ind w:left="1701"/>
        <w:rPr>
          <w:lang w:val="fr-CH"/>
        </w:rPr>
      </w:pPr>
      <w:r w:rsidRPr="0071782F">
        <w:rPr>
          <w:lang w:val="fr-CH"/>
        </w:rPr>
        <w:t>"</w:t>
      </w:r>
      <w:r w:rsidR="002A6AEA" w:rsidRPr="0071782F">
        <w:rPr>
          <w:lang w:val="fr-CH"/>
        </w:rPr>
        <w:t xml:space="preserve">Afin de fournir une assistance juridique et financière aux compétitions sportives publiques pendant les années d’exécution du </w:t>
      </w:r>
      <w:r w:rsidR="009E6189">
        <w:rPr>
          <w:lang w:val="fr-CH"/>
        </w:rPr>
        <w:t>troisième plan</w:t>
      </w:r>
      <w:r w:rsidR="002A6AEA" w:rsidRPr="0071782F">
        <w:rPr>
          <w:lang w:val="fr-CH"/>
        </w:rPr>
        <w:t xml:space="preserve"> de développement, et avec l’approbation de l’Organisme de l’éducation physique, les montants versés par </w:t>
      </w:r>
      <w:r w:rsidR="007F37CE" w:rsidRPr="0071782F">
        <w:rPr>
          <w:lang w:val="fr-CH"/>
        </w:rPr>
        <w:t>des personnes</w:t>
      </w:r>
      <w:r w:rsidR="002A6AEA" w:rsidRPr="0071782F">
        <w:rPr>
          <w:lang w:val="fr-CH"/>
        </w:rPr>
        <w:t xml:space="preserve"> physiques ou morales pour construire et mettre en service des espaces, installations et clubs sportifs</w:t>
      </w:r>
      <w:r w:rsidR="00963C03" w:rsidRPr="0071782F">
        <w:rPr>
          <w:lang w:val="fr-CH"/>
        </w:rPr>
        <w:t xml:space="preserve">, </w:t>
      </w:r>
      <w:r w:rsidR="002A6AEA" w:rsidRPr="0071782F">
        <w:rPr>
          <w:lang w:val="fr-CH"/>
        </w:rPr>
        <w:t xml:space="preserve">et fournir des services sportifs, ou pour aider l’Organisme de l’éducation physique, le Comité olympique national iranien et les groupes et associations de sport et d’éducation physique des forces armées </w:t>
      </w:r>
      <w:r w:rsidR="00963C03" w:rsidRPr="0071782F">
        <w:rPr>
          <w:lang w:val="fr-CH"/>
        </w:rPr>
        <w:t>s</w:t>
      </w:r>
      <w:r w:rsidR="002A6AEA" w:rsidRPr="0071782F">
        <w:rPr>
          <w:lang w:val="fr-CH"/>
        </w:rPr>
        <w:t>ont considérés comme des dépenses légitimes</w:t>
      </w:r>
      <w:r w:rsidR="00963C03" w:rsidRPr="0071782F">
        <w:rPr>
          <w:lang w:val="fr-CH"/>
        </w:rPr>
        <w:t>.</w:t>
      </w:r>
    </w:p>
    <w:p w:rsidR="00963C03" w:rsidRPr="0071782F" w:rsidRDefault="00963C03" w:rsidP="00AC3472">
      <w:pPr>
        <w:pStyle w:val="H1G"/>
        <w:rPr>
          <w:lang w:val="fr-CH"/>
        </w:rPr>
      </w:pPr>
      <w:r w:rsidRPr="0071782F">
        <w:rPr>
          <w:lang w:val="fr-CH"/>
        </w:rPr>
        <w:tab/>
      </w:r>
      <w:r w:rsidRPr="0071782F">
        <w:rPr>
          <w:lang w:val="fr-CH"/>
        </w:rPr>
        <w:tab/>
      </w:r>
      <w:r w:rsidR="007C64B7" w:rsidRPr="0071782F">
        <w:rPr>
          <w:lang w:val="fr-CH"/>
        </w:rPr>
        <w:t xml:space="preserve">Développement culturel et </w:t>
      </w:r>
      <w:r w:rsidRPr="0071782F">
        <w:rPr>
          <w:lang w:val="fr-CH"/>
        </w:rPr>
        <w:t xml:space="preserve">social </w:t>
      </w:r>
      <w:r w:rsidR="007C64B7" w:rsidRPr="0071782F">
        <w:rPr>
          <w:lang w:val="fr-CH"/>
        </w:rPr>
        <w:t>dans le Plan stratégique sur 20</w:t>
      </w:r>
      <w:r w:rsidR="00D82C96" w:rsidRPr="0071782F">
        <w:rPr>
          <w:lang w:val="fr-CH"/>
        </w:rPr>
        <w:t> ans</w:t>
      </w:r>
      <w:r w:rsidR="007C64B7" w:rsidRPr="0071782F">
        <w:rPr>
          <w:lang w:val="fr-CH"/>
        </w:rPr>
        <w:t xml:space="preserve"> pour le développement de l’Iran </w:t>
      </w:r>
      <w:r w:rsidRPr="0071782F">
        <w:rPr>
          <w:lang w:val="fr-CH"/>
        </w:rPr>
        <w:t>(Iran 2015)</w:t>
      </w:r>
    </w:p>
    <w:p w:rsidR="00963C03" w:rsidRPr="0071782F" w:rsidRDefault="00963C03" w:rsidP="00AA22EB">
      <w:pPr>
        <w:pStyle w:val="H23G"/>
        <w:rPr>
          <w:lang w:val="fr-CH"/>
        </w:rPr>
      </w:pPr>
      <w:r w:rsidRPr="0071782F">
        <w:rPr>
          <w:lang w:val="fr-CH"/>
        </w:rPr>
        <w:tab/>
      </w:r>
      <w:r w:rsidRPr="0071782F">
        <w:rPr>
          <w:lang w:val="fr-CH"/>
        </w:rPr>
        <w:tab/>
      </w:r>
      <w:r w:rsidR="007C64B7" w:rsidRPr="0071782F">
        <w:rPr>
          <w:lang w:val="fr-CH"/>
        </w:rPr>
        <w:t>Questions c</w:t>
      </w:r>
      <w:r w:rsidRPr="0071782F">
        <w:rPr>
          <w:lang w:val="fr-CH"/>
        </w:rPr>
        <w:t>ultur</w:t>
      </w:r>
      <w:r w:rsidR="007C64B7" w:rsidRPr="0071782F">
        <w:rPr>
          <w:lang w:val="fr-CH"/>
        </w:rPr>
        <w:t>elles</w:t>
      </w:r>
      <w:r w:rsidRPr="0071782F">
        <w:rPr>
          <w:lang w:val="fr-CH"/>
        </w:rPr>
        <w:t>, scientifi</w:t>
      </w:r>
      <w:r w:rsidR="007C64B7" w:rsidRPr="0071782F">
        <w:rPr>
          <w:lang w:val="fr-CH"/>
        </w:rPr>
        <w:t>ques et</w:t>
      </w:r>
      <w:r w:rsidRPr="0071782F">
        <w:rPr>
          <w:lang w:val="fr-CH"/>
        </w:rPr>
        <w:t xml:space="preserve"> </w:t>
      </w:r>
      <w:r w:rsidR="007C64B7" w:rsidRPr="0071782F">
        <w:rPr>
          <w:lang w:val="fr-CH"/>
        </w:rPr>
        <w:t xml:space="preserve">technologiques </w:t>
      </w:r>
    </w:p>
    <w:p w:rsidR="00963C03" w:rsidRPr="0071782F" w:rsidRDefault="00963C03" w:rsidP="00AA22EB">
      <w:pPr>
        <w:pStyle w:val="SingleTxtG"/>
        <w:rPr>
          <w:lang w:val="fr-CH"/>
        </w:rPr>
      </w:pPr>
      <w:r w:rsidRPr="0071782F">
        <w:rPr>
          <w:lang w:val="fr-CH"/>
        </w:rPr>
        <w:t>465.</w:t>
      </w:r>
      <w:r w:rsidRPr="0071782F">
        <w:rPr>
          <w:lang w:val="fr-CH"/>
        </w:rPr>
        <w:tab/>
      </w:r>
      <w:r w:rsidR="007C64B7" w:rsidRPr="0071782F">
        <w:rPr>
          <w:lang w:val="fr-CH"/>
        </w:rPr>
        <w:t>Il convient notamment de signaler ce qui suit</w:t>
      </w:r>
      <w:r w:rsidR="008F7D33" w:rsidRPr="0071782F">
        <w:rPr>
          <w:lang w:val="fr-CH"/>
        </w:rPr>
        <w:t>:</w:t>
      </w:r>
    </w:p>
    <w:p w:rsidR="00963C03" w:rsidRPr="00E20BB9" w:rsidRDefault="00963C03" w:rsidP="00E7258D">
      <w:pPr>
        <w:pStyle w:val="SingleTxtG"/>
        <w:ind w:left="1701"/>
        <w:rPr>
          <w:spacing w:val="-2"/>
          <w:lang w:val="fr-CH"/>
        </w:rPr>
      </w:pPr>
      <w:r w:rsidRPr="00E20BB9">
        <w:rPr>
          <w:spacing w:val="-2"/>
          <w:lang w:val="fr-CH"/>
        </w:rPr>
        <w:t>465.1.</w:t>
      </w:r>
      <w:r w:rsidRPr="00E20BB9">
        <w:rPr>
          <w:spacing w:val="-2"/>
          <w:lang w:val="fr-CH"/>
        </w:rPr>
        <w:tab/>
      </w:r>
      <w:r w:rsidR="007C64B7" w:rsidRPr="00E20BB9">
        <w:rPr>
          <w:spacing w:val="-2"/>
          <w:lang w:val="fr-CH"/>
        </w:rPr>
        <w:t xml:space="preserve">Amélioration et approfondissement des connaissances et des attitudes religieuses, conformément aux enseignements du Coran et de </w:t>
      </w:r>
      <w:r w:rsidR="00B71907" w:rsidRPr="00E20BB9">
        <w:rPr>
          <w:spacing w:val="-2"/>
          <w:lang w:val="fr-CH"/>
        </w:rPr>
        <w:t>la famille</w:t>
      </w:r>
      <w:r w:rsidR="007C64B7" w:rsidRPr="00E20BB9">
        <w:rPr>
          <w:spacing w:val="-2"/>
          <w:lang w:val="fr-CH"/>
        </w:rPr>
        <w:t xml:space="preserve"> du saint prophète</w:t>
      </w:r>
      <w:r w:rsidR="002231E8" w:rsidRPr="00E20BB9">
        <w:rPr>
          <w:spacing w:val="-2"/>
          <w:lang w:val="fr-CH"/>
        </w:rPr>
        <w:t>.</w:t>
      </w:r>
    </w:p>
    <w:p w:rsidR="00963C03" w:rsidRPr="0071782F" w:rsidRDefault="00963C03" w:rsidP="00E7258D">
      <w:pPr>
        <w:pStyle w:val="SingleTxtG"/>
        <w:ind w:left="1701"/>
        <w:rPr>
          <w:lang w:val="fr-CH"/>
        </w:rPr>
      </w:pPr>
      <w:r w:rsidRPr="0071782F">
        <w:rPr>
          <w:lang w:val="fr-CH"/>
        </w:rPr>
        <w:t>465.2.</w:t>
      </w:r>
      <w:r w:rsidRPr="0071782F">
        <w:rPr>
          <w:lang w:val="fr-CH"/>
        </w:rPr>
        <w:tab/>
        <w:t>Institutio</w:t>
      </w:r>
      <w:r w:rsidR="007C64B7" w:rsidRPr="0071782F">
        <w:rPr>
          <w:lang w:val="fr-CH"/>
        </w:rPr>
        <w:t>n</w:t>
      </w:r>
      <w:r w:rsidRPr="0071782F">
        <w:rPr>
          <w:lang w:val="fr-CH"/>
        </w:rPr>
        <w:t>nali</w:t>
      </w:r>
      <w:r w:rsidR="007C64B7" w:rsidRPr="0071782F">
        <w:rPr>
          <w:lang w:val="fr-CH"/>
        </w:rPr>
        <w:t>s</w:t>
      </w:r>
      <w:r w:rsidRPr="0071782F">
        <w:rPr>
          <w:lang w:val="fr-CH"/>
        </w:rPr>
        <w:t xml:space="preserve">ation </w:t>
      </w:r>
      <w:r w:rsidR="007C64B7" w:rsidRPr="0071782F">
        <w:rPr>
          <w:lang w:val="fr-CH"/>
        </w:rPr>
        <w:t>des valeurs de la Révolution islamique sur le plan des idées comme sur celui de l’action</w:t>
      </w:r>
      <w:r w:rsidRPr="0071782F">
        <w:rPr>
          <w:lang w:val="fr-CH"/>
        </w:rPr>
        <w:t>.</w:t>
      </w:r>
    </w:p>
    <w:p w:rsidR="00963C03" w:rsidRPr="0071782F" w:rsidRDefault="00963C03" w:rsidP="00E7258D">
      <w:pPr>
        <w:pStyle w:val="SingleTxtG"/>
        <w:ind w:left="1701"/>
        <w:rPr>
          <w:lang w:val="fr-CH"/>
        </w:rPr>
      </w:pPr>
      <w:r w:rsidRPr="0071782F">
        <w:rPr>
          <w:lang w:val="fr-CH"/>
        </w:rPr>
        <w:t>465.3.</w:t>
      </w:r>
      <w:r w:rsidRPr="0071782F">
        <w:rPr>
          <w:lang w:val="fr-CH"/>
        </w:rPr>
        <w:tab/>
        <w:t>Plan</w:t>
      </w:r>
      <w:r w:rsidR="007C64B7" w:rsidRPr="0071782F">
        <w:rPr>
          <w:lang w:val="fr-CH"/>
        </w:rPr>
        <w:t xml:space="preserve">ification des activités de </w:t>
      </w:r>
      <w:r w:rsidRPr="0071782F">
        <w:rPr>
          <w:lang w:val="fr-CH"/>
        </w:rPr>
        <w:t xml:space="preserve">correction </w:t>
      </w:r>
      <w:r w:rsidR="007C64B7" w:rsidRPr="0071782F">
        <w:rPr>
          <w:lang w:val="fr-CH"/>
        </w:rPr>
        <w:t>des comportements individuels et sociaux</w:t>
      </w:r>
      <w:r w:rsidRPr="0071782F">
        <w:rPr>
          <w:lang w:val="fr-CH"/>
        </w:rPr>
        <w:t>.</w:t>
      </w:r>
    </w:p>
    <w:p w:rsidR="00963C03" w:rsidRPr="0071782F" w:rsidRDefault="00963C03" w:rsidP="00E7258D">
      <w:pPr>
        <w:pStyle w:val="SingleTxtG"/>
        <w:ind w:left="1701"/>
        <w:rPr>
          <w:lang w:val="fr-CH"/>
        </w:rPr>
      </w:pPr>
      <w:r w:rsidRPr="0071782F">
        <w:rPr>
          <w:lang w:val="fr-CH"/>
        </w:rPr>
        <w:t>465.4.</w:t>
      </w:r>
      <w:r w:rsidRPr="0071782F">
        <w:rPr>
          <w:lang w:val="fr-CH"/>
        </w:rPr>
        <w:tab/>
      </w:r>
      <w:r w:rsidR="006C3D23" w:rsidRPr="0071782F">
        <w:rPr>
          <w:lang w:val="fr-CH"/>
        </w:rPr>
        <w:t>Conservation de la pensée religieuse et politique de feu l’Imam Khomeini en tant que critère fondamental de toute planification et activité politique</w:t>
      </w:r>
      <w:r w:rsidRPr="0071782F">
        <w:rPr>
          <w:lang w:val="fr-CH"/>
        </w:rPr>
        <w:t>.</w:t>
      </w:r>
    </w:p>
    <w:p w:rsidR="00963C03" w:rsidRPr="0071782F" w:rsidRDefault="00963C03" w:rsidP="00E7258D">
      <w:pPr>
        <w:pStyle w:val="SingleTxtG"/>
        <w:ind w:left="1701"/>
        <w:rPr>
          <w:lang w:val="fr-CH"/>
        </w:rPr>
      </w:pPr>
      <w:r w:rsidRPr="0071782F">
        <w:rPr>
          <w:lang w:val="fr-CH"/>
        </w:rPr>
        <w:t>465.5.</w:t>
      </w:r>
      <w:r w:rsidRPr="0071782F">
        <w:rPr>
          <w:lang w:val="fr-CH"/>
        </w:rPr>
        <w:tab/>
      </w:r>
      <w:r w:rsidR="006C3D23" w:rsidRPr="0071782F">
        <w:rPr>
          <w:lang w:val="fr-CH"/>
        </w:rPr>
        <w:t xml:space="preserve">Renforcement de l’éthique du travail, de la </w:t>
      </w:r>
      <w:r w:rsidRPr="0071782F">
        <w:rPr>
          <w:lang w:val="fr-CH"/>
        </w:rPr>
        <w:t>discipline</w:t>
      </w:r>
      <w:r w:rsidR="006C3D23" w:rsidRPr="0071782F">
        <w:rPr>
          <w:lang w:val="fr-CH"/>
        </w:rPr>
        <w:t xml:space="preserve"> sociale</w:t>
      </w:r>
      <w:r w:rsidRPr="0071782F">
        <w:rPr>
          <w:lang w:val="fr-CH"/>
        </w:rPr>
        <w:t xml:space="preserve">, </w:t>
      </w:r>
      <w:r w:rsidR="006C3D23" w:rsidRPr="0071782F">
        <w:rPr>
          <w:lang w:val="fr-CH"/>
        </w:rPr>
        <w:t>de l’</w:t>
      </w:r>
      <w:r w:rsidRPr="0071782F">
        <w:rPr>
          <w:lang w:val="fr-CH"/>
        </w:rPr>
        <w:t xml:space="preserve">innovation, </w:t>
      </w:r>
      <w:r w:rsidR="006C3D23" w:rsidRPr="0071782F">
        <w:rPr>
          <w:lang w:val="fr-CH"/>
        </w:rPr>
        <w:t>de l’esprit d’entreprise, de l’honnêteté, de la frugalité et de l’amélioration de la qualité de la production</w:t>
      </w:r>
      <w:r w:rsidRPr="0071782F">
        <w:rPr>
          <w:lang w:val="fr-CH"/>
        </w:rPr>
        <w:t>.</w:t>
      </w:r>
    </w:p>
    <w:p w:rsidR="00963C03" w:rsidRPr="00E20BB9" w:rsidRDefault="00963C03" w:rsidP="00E7258D">
      <w:pPr>
        <w:pStyle w:val="SingleTxtG"/>
        <w:ind w:left="1701"/>
        <w:rPr>
          <w:spacing w:val="-2"/>
          <w:lang w:val="fr-CH"/>
        </w:rPr>
      </w:pPr>
      <w:r w:rsidRPr="00E20BB9">
        <w:rPr>
          <w:spacing w:val="-2"/>
          <w:lang w:val="fr-CH"/>
        </w:rPr>
        <w:t>465.6.</w:t>
      </w:r>
      <w:r w:rsidRPr="00E20BB9">
        <w:rPr>
          <w:spacing w:val="-2"/>
          <w:lang w:val="fr-CH"/>
        </w:rPr>
        <w:tab/>
      </w:r>
      <w:r w:rsidR="006C3D23" w:rsidRPr="00E20BB9">
        <w:rPr>
          <w:spacing w:val="-2"/>
          <w:lang w:val="fr-CH"/>
        </w:rPr>
        <w:t>Développement d’une culture axée sur la consommation de produits nationaux et augmentation de la production et de l’exportation de biens et de services.</w:t>
      </w:r>
    </w:p>
    <w:p w:rsidR="00963C03" w:rsidRPr="0071782F" w:rsidRDefault="00963C03" w:rsidP="00E7258D">
      <w:pPr>
        <w:pStyle w:val="SingleTxtG"/>
        <w:ind w:left="1701"/>
        <w:rPr>
          <w:lang w:val="fr-CH"/>
        </w:rPr>
      </w:pPr>
      <w:r w:rsidRPr="0071782F">
        <w:rPr>
          <w:lang w:val="fr-CH"/>
        </w:rPr>
        <w:t>465.7.</w:t>
      </w:r>
      <w:r w:rsidRPr="0071782F">
        <w:rPr>
          <w:lang w:val="fr-CH"/>
        </w:rPr>
        <w:tab/>
      </w:r>
      <w:r w:rsidR="006C3D23" w:rsidRPr="0071782F">
        <w:rPr>
          <w:lang w:val="fr-CH"/>
        </w:rPr>
        <w:t>Résolution nationale s’agissant d’atteindre les objectifs du Plan stratégique</w:t>
      </w:r>
      <w:r w:rsidRPr="0071782F">
        <w:rPr>
          <w:lang w:val="fr-CH"/>
        </w:rPr>
        <w:t>.</w:t>
      </w:r>
    </w:p>
    <w:p w:rsidR="00963C03" w:rsidRPr="00F739E0" w:rsidRDefault="00963C03" w:rsidP="00E7258D">
      <w:pPr>
        <w:pStyle w:val="SingleTxtG"/>
        <w:ind w:left="1701"/>
        <w:rPr>
          <w:spacing w:val="-2"/>
          <w:lang w:val="fr-CH"/>
        </w:rPr>
      </w:pPr>
      <w:r w:rsidRPr="00F739E0">
        <w:rPr>
          <w:spacing w:val="-2"/>
          <w:lang w:val="fr-CH"/>
        </w:rPr>
        <w:t>465.8.</w:t>
      </w:r>
      <w:r w:rsidRPr="00F739E0">
        <w:rPr>
          <w:spacing w:val="-2"/>
          <w:lang w:val="fr-CH"/>
        </w:rPr>
        <w:tab/>
      </w:r>
      <w:r w:rsidR="006C3D23" w:rsidRPr="00F739E0">
        <w:rPr>
          <w:spacing w:val="-2"/>
          <w:lang w:val="fr-CH"/>
        </w:rPr>
        <w:t>Promotion de l’unité et de l’identité nationales reposant sur l’islam, la Révolution islamique et le système de la République islamique, et d’une connaissance suffisante de l’histoire de l’Iran et de la culture, de l’art et de la civilisation islamico-iraniens, une attention particulière étant accordée à la langue persane.</w:t>
      </w:r>
    </w:p>
    <w:p w:rsidR="00963C03" w:rsidRPr="0071782F" w:rsidRDefault="00963C03" w:rsidP="00E7258D">
      <w:pPr>
        <w:pStyle w:val="SingleTxtG"/>
        <w:ind w:left="1701"/>
        <w:rPr>
          <w:lang w:val="fr-CH"/>
        </w:rPr>
      </w:pPr>
      <w:r w:rsidRPr="0071782F">
        <w:rPr>
          <w:lang w:val="fr-CH"/>
        </w:rPr>
        <w:t>465.9.</w:t>
      </w:r>
      <w:r w:rsidRPr="0071782F">
        <w:rPr>
          <w:lang w:val="fr-CH"/>
        </w:rPr>
        <w:tab/>
      </w:r>
      <w:r w:rsidR="00132FBA" w:rsidRPr="0071782F">
        <w:rPr>
          <w:lang w:val="fr-CH"/>
        </w:rPr>
        <w:t>Développement de l’esprit qui permet de reconnaître l’ennemi de la Révolution islamique et des intérêts nationaux, et promotion de l’esprit de lutte contre l’oppression et d’insurrection contre l’arrogance de la domination mondiale.</w:t>
      </w:r>
    </w:p>
    <w:p w:rsidR="00963C03" w:rsidRPr="0071782F" w:rsidRDefault="00E7258D" w:rsidP="00E7258D">
      <w:pPr>
        <w:pStyle w:val="SingleTxtG"/>
        <w:ind w:left="1701"/>
        <w:rPr>
          <w:lang w:val="fr-CH"/>
        </w:rPr>
      </w:pPr>
      <w:r w:rsidRPr="0071782F">
        <w:rPr>
          <w:lang w:val="fr-CH"/>
        </w:rPr>
        <w:t xml:space="preserve">465.10. </w:t>
      </w:r>
      <w:r w:rsidR="00D44595" w:rsidRPr="0071782F">
        <w:rPr>
          <w:lang w:val="fr-CH"/>
        </w:rPr>
        <w:t>Création des conditions nécessaires à un environnement culturel sain et développement des connaissances et vertus éthiques, s’agissant en particulier de l’obligation de faire le bien et de proscrire le mal</w:t>
      </w:r>
      <w:r w:rsidR="00963C03" w:rsidRPr="0071782F">
        <w:rPr>
          <w:lang w:val="fr-CH"/>
        </w:rPr>
        <w:t>.</w:t>
      </w:r>
    </w:p>
    <w:p w:rsidR="00963C03" w:rsidRPr="0071782F" w:rsidRDefault="00963C03" w:rsidP="00E7258D">
      <w:pPr>
        <w:pStyle w:val="SingleTxtG"/>
        <w:ind w:left="1701"/>
        <w:rPr>
          <w:lang w:val="fr-CH"/>
        </w:rPr>
      </w:pPr>
      <w:r w:rsidRPr="0071782F">
        <w:rPr>
          <w:lang w:val="fr-CH"/>
        </w:rPr>
        <w:t>465.11.</w:t>
      </w:r>
      <w:r w:rsidR="00E7258D" w:rsidRPr="0071782F">
        <w:rPr>
          <w:lang w:val="fr-CH"/>
        </w:rPr>
        <w:t xml:space="preserve"> </w:t>
      </w:r>
      <w:r w:rsidR="00D44595" w:rsidRPr="0071782F">
        <w:rPr>
          <w:lang w:val="fr-CH"/>
        </w:rPr>
        <w:t>Diffusion adéquate d’</w:t>
      </w:r>
      <w:r w:rsidRPr="0071782F">
        <w:rPr>
          <w:lang w:val="fr-CH"/>
        </w:rPr>
        <w:t>information</w:t>
      </w:r>
      <w:r w:rsidR="00D44595" w:rsidRPr="0071782F">
        <w:rPr>
          <w:lang w:val="fr-CH"/>
        </w:rPr>
        <w:t>s sur la réalisation des objectifs du Plan stratégique</w:t>
      </w:r>
      <w:r w:rsidRPr="0071782F">
        <w:rPr>
          <w:lang w:val="fr-CH"/>
        </w:rPr>
        <w:t>.</w:t>
      </w:r>
    </w:p>
    <w:p w:rsidR="00963C03" w:rsidRPr="0071782F" w:rsidRDefault="00963C03" w:rsidP="00F739E0">
      <w:pPr>
        <w:pStyle w:val="SingleTxtG"/>
        <w:ind w:left="1701"/>
        <w:rPr>
          <w:lang w:val="fr-CH"/>
        </w:rPr>
      </w:pPr>
      <w:r w:rsidRPr="0071782F">
        <w:rPr>
          <w:lang w:val="fr-CH"/>
        </w:rPr>
        <w:t>465.12.</w:t>
      </w:r>
      <w:r w:rsidR="00E7258D" w:rsidRPr="0071782F">
        <w:rPr>
          <w:lang w:val="fr-CH"/>
        </w:rPr>
        <w:t xml:space="preserve"> </w:t>
      </w:r>
      <w:r w:rsidR="00D44595" w:rsidRPr="0071782F">
        <w:rPr>
          <w:lang w:val="fr-CH"/>
        </w:rPr>
        <w:t>Lutte contre l’invasion culturelle.</w:t>
      </w:r>
    </w:p>
    <w:p w:rsidR="00963C03" w:rsidRPr="0071782F" w:rsidRDefault="00963C03" w:rsidP="00F739E0">
      <w:pPr>
        <w:pStyle w:val="SingleTxtG"/>
        <w:ind w:left="1701"/>
        <w:rPr>
          <w:lang w:val="fr-CH"/>
        </w:rPr>
      </w:pPr>
      <w:r w:rsidRPr="0071782F">
        <w:rPr>
          <w:lang w:val="fr-CH"/>
        </w:rPr>
        <w:t>465.13.</w:t>
      </w:r>
      <w:r w:rsidR="00E7258D" w:rsidRPr="0071782F">
        <w:rPr>
          <w:lang w:val="fr-CH"/>
        </w:rPr>
        <w:t xml:space="preserve"> </w:t>
      </w:r>
      <w:r w:rsidR="00D44595" w:rsidRPr="0071782F">
        <w:rPr>
          <w:lang w:val="fr-CH"/>
        </w:rPr>
        <w:t>Élargissement des activités des médias nationaux compte tenu des objectifs et des succès de la République islamique dans le monde</w:t>
      </w:r>
      <w:r w:rsidRPr="0071782F">
        <w:rPr>
          <w:lang w:val="fr-CH"/>
        </w:rPr>
        <w:t>.</w:t>
      </w:r>
    </w:p>
    <w:p w:rsidR="00963C03" w:rsidRPr="0071782F" w:rsidRDefault="00963C03" w:rsidP="00E7258D">
      <w:pPr>
        <w:pStyle w:val="SingleTxtG"/>
        <w:ind w:left="1701"/>
        <w:rPr>
          <w:lang w:val="fr-CH"/>
        </w:rPr>
      </w:pPr>
      <w:r w:rsidRPr="0071782F">
        <w:rPr>
          <w:lang w:val="fr-CH"/>
        </w:rPr>
        <w:t>465.14.</w:t>
      </w:r>
      <w:r w:rsidR="00E7258D" w:rsidRPr="0071782F">
        <w:rPr>
          <w:lang w:val="fr-CH"/>
        </w:rPr>
        <w:t xml:space="preserve"> </w:t>
      </w:r>
      <w:r w:rsidR="00D44595" w:rsidRPr="0071782F">
        <w:rPr>
          <w:lang w:val="fr-CH"/>
        </w:rPr>
        <w:t xml:space="preserve">Gestion et </w:t>
      </w:r>
      <w:r w:rsidRPr="0071782F">
        <w:rPr>
          <w:lang w:val="fr-CH"/>
        </w:rPr>
        <w:t>mobili</w:t>
      </w:r>
      <w:r w:rsidR="00D44595" w:rsidRPr="0071782F">
        <w:rPr>
          <w:lang w:val="fr-CH"/>
        </w:rPr>
        <w:t>s</w:t>
      </w:r>
      <w:r w:rsidRPr="0071782F">
        <w:rPr>
          <w:lang w:val="fr-CH"/>
        </w:rPr>
        <w:t xml:space="preserve">ation </w:t>
      </w:r>
      <w:r w:rsidR="00D44595" w:rsidRPr="0071782F">
        <w:rPr>
          <w:lang w:val="fr-CH"/>
        </w:rPr>
        <w:t>du potentiel et des capacités du pays en conformité avec la place de plus en plus importante qu’il occupe dans la production scientifique mondiale</w:t>
      </w:r>
      <w:r w:rsidRPr="0071782F">
        <w:rPr>
          <w:lang w:val="fr-CH"/>
        </w:rPr>
        <w:t>.</w:t>
      </w:r>
    </w:p>
    <w:p w:rsidR="00963C03" w:rsidRPr="0071782F" w:rsidRDefault="00963C03" w:rsidP="00E7258D">
      <w:pPr>
        <w:pStyle w:val="SingleTxtG"/>
        <w:ind w:left="1701"/>
        <w:rPr>
          <w:lang w:val="fr-CH"/>
        </w:rPr>
      </w:pPr>
      <w:r w:rsidRPr="0071782F">
        <w:rPr>
          <w:lang w:val="fr-CH"/>
        </w:rPr>
        <w:t>465.15.</w:t>
      </w:r>
      <w:r w:rsidR="00E7258D" w:rsidRPr="0071782F">
        <w:rPr>
          <w:lang w:val="fr-CH"/>
        </w:rPr>
        <w:t xml:space="preserve"> </w:t>
      </w:r>
      <w:r w:rsidR="00EE32B1" w:rsidRPr="0071782F">
        <w:rPr>
          <w:lang w:val="fr-CH"/>
        </w:rPr>
        <w:t>Progrès dans le domaine de la technologie</w:t>
      </w:r>
      <w:r w:rsidRPr="0071782F">
        <w:rPr>
          <w:lang w:val="fr-CH"/>
        </w:rPr>
        <w:t xml:space="preserve">, </w:t>
      </w:r>
      <w:r w:rsidR="00EE32B1" w:rsidRPr="0071782F">
        <w:rPr>
          <w:lang w:val="fr-CH"/>
        </w:rPr>
        <w:t xml:space="preserve">en particulier dans les technologies modernes telles que les </w:t>
      </w:r>
      <w:r w:rsidRPr="0071782F">
        <w:rPr>
          <w:lang w:val="fr-CH"/>
        </w:rPr>
        <w:t>nano</w:t>
      </w:r>
      <w:r w:rsidR="00EE32B1" w:rsidRPr="0071782F">
        <w:rPr>
          <w:lang w:val="fr-CH"/>
        </w:rPr>
        <w:t>technologies et biotechnologies</w:t>
      </w:r>
      <w:r w:rsidRPr="0071782F">
        <w:rPr>
          <w:lang w:val="fr-CH"/>
        </w:rPr>
        <w:t xml:space="preserve">, </w:t>
      </w:r>
      <w:r w:rsidR="00EE32B1" w:rsidRPr="0071782F">
        <w:rPr>
          <w:lang w:val="fr-CH"/>
        </w:rPr>
        <w:t>les technologies de l’</w:t>
      </w:r>
      <w:r w:rsidRPr="0071782F">
        <w:rPr>
          <w:lang w:val="fr-CH"/>
        </w:rPr>
        <w:t xml:space="preserve">information </w:t>
      </w:r>
      <w:r w:rsidR="00EE32B1" w:rsidRPr="0071782F">
        <w:rPr>
          <w:lang w:val="fr-CH"/>
        </w:rPr>
        <w:t xml:space="preserve">et de la </w:t>
      </w:r>
      <w:r w:rsidRPr="0071782F">
        <w:rPr>
          <w:lang w:val="fr-CH"/>
        </w:rPr>
        <w:t xml:space="preserve">communication, </w:t>
      </w:r>
      <w:r w:rsidR="00EE32B1" w:rsidRPr="0071782F">
        <w:rPr>
          <w:lang w:val="fr-CH"/>
        </w:rPr>
        <w:t>et les technologies environnementales, aérospatiales et nucléaires.</w:t>
      </w:r>
    </w:p>
    <w:p w:rsidR="00963C03" w:rsidRPr="0071782F" w:rsidRDefault="00963C03" w:rsidP="00E7258D">
      <w:pPr>
        <w:pStyle w:val="SingleTxtG"/>
        <w:ind w:left="1701"/>
        <w:rPr>
          <w:lang w:val="fr-CH"/>
        </w:rPr>
      </w:pPr>
      <w:r w:rsidRPr="0071782F">
        <w:rPr>
          <w:lang w:val="fr-CH"/>
        </w:rPr>
        <w:t>465.16.</w:t>
      </w:r>
      <w:r w:rsidR="00E7258D" w:rsidRPr="0071782F">
        <w:rPr>
          <w:lang w:val="fr-CH"/>
        </w:rPr>
        <w:t xml:space="preserve"> </w:t>
      </w:r>
      <w:r w:rsidRPr="0071782F">
        <w:rPr>
          <w:lang w:val="fr-CH"/>
        </w:rPr>
        <w:t>R</w:t>
      </w:r>
      <w:r w:rsidR="00EE32B1" w:rsidRPr="0071782F">
        <w:rPr>
          <w:lang w:val="fr-CH"/>
        </w:rPr>
        <w:t>é</w:t>
      </w:r>
      <w:r w:rsidRPr="0071782F">
        <w:rPr>
          <w:lang w:val="fr-CH"/>
        </w:rPr>
        <w:t>form</w:t>
      </w:r>
      <w:r w:rsidR="00EE32B1" w:rsidRPr="0071782F">
        <w:rPr>
          <w:lang w:val="fr-CH"/>
        </w:rPr>
        <w:t>e du système éducatif du pays, notamment de l’enseignement primaire et secondaire, technique et professionnel, et supérieur, et amélioration de son efficacité afin de produire les ressources humaines nécessaires à la réalisation des objectifs du Plan stratégique.</w:t>
      </w:r>
    </w:p>
    <w:p w:rsidR="00963C03" w:rsidRPr="0071782F" w:rsidRDefault="00963C03" w:rsidP="00E7258D">
      <w:pPr>
        <w:pStyle w:val="SingleTxtG"/>
        <w:ind w:left="1701"/>
        <w:rPr>
          <w:lang w:val="fr-CH"/>
        </w:rPr>
      </w:pPr>
      <w:r w:rsidRPr="0071782F">
        <w:rPr>
          <w:lang w:val="fr-CH"/>
        </w:rPr>
        <w:t>465.17.</w:t>
      </w:r>
      <w:r w:rsidR="00E7258D" w:rsidRPr="0071782F">
        <w:rPr>
          <w:lang w:val="fr-CH"/>
        </w:rPr>
        <w:t xml:space="preserve"> </w:t>
      </w:r>
      <w:r w:rsidR="00EE32B1" w:rsidRPr="0071782F">
        <w:rPr>
          <w:lang w:val="fr-CH"/>
        </w:rPr>
        <w:t xml:space="preserve">Efforts déployés pour jeter et consolider les bases de la démocratie religieuse, et </w:t>
      </w:r>
      <w:r w:rsidRPr="0071782F">
        <w:rPr>
          <w:lang w:val="fr-CH"/>
        </w:rPr>
        <w:t>institutio</w:t>
      </w:r>
      <w:r w:rsidR="00EE32B1" w:rsidRPr="0071782F">
        <w:rPr>
          <w:lang w:val="fr-CH"/>
        </w:rPr>
        <w:t>n</w:t>
      </w:r>
      <w:r w:rsidRPr="0071782F">
        <w:rPr>
          <w:lang w:val="fr-CH"/>
        </w:rPr>
        <w:t>nali</w:t>
      </w:r>
      <w:r w:rsidR="00EE32B1" w:rsidRPr="0071782F">
        <w:rPr>
          <w:lang w:val="fr-CH"/>
        </w:rPr>
        <w:t>s</w:t>
      </w:r>
      <w:r w:rsidRPr="0071782F">
        <w:rPr>
          <w:lang w:val="fr-CH"/>
        </w:rPr>
        <w:t xml:space="preserve">ation </w:t>
      </w:r>
      <w:r w:rsidR="00EE32B1" w:rsidRPr="0071782F">
        <w:rPr>
          <w:lang w:val="fr-CH"/>
        </w:rPr>
        <w:t>des libertés légitimes par le biais de l’é</w:t>
      </w:r>
      <w:r w:rsidRPr="0071782F">
        <w:rPr>
          <w:lang w:val="fr-CH"/>
        </w:rPr>
        <w:t xml:space="preserve">ducation, </w:t>
      </w:r>
      <w:r w:rsidR="00EE32B1" w:rsidRPr="0071782F">
        <w:rPr>
          <w:lang w:val="fr-CH"/>
        </w:rPr>
        <w:t>de la sensibilisation et de la législation</w:t>
      </w:r>
      <w:r w:rsidRPr="0071782F">
        <w:rPr>
          <w:lang w:val="fr-CH"/>
        </w:rPr>
        <w:t>.</w:t>
      </w:r>
    </w:p>
    <w:p w:rsidR="00963C03" w:rsidRPr="0071782F" w:rsidRDefault="00963C03" w:rsidP="00AA22EB">
      <w:pPr>
        <w:pStyle w:val="H23G"/>
        <w:rPr>
          <w:lang w:val="fr-CH"/>
        </w:rPr>
      </w:pPr>
      <w:r w:rsidRPr="0071782F">
        <w:rPr>
          <w:lang w:val="fr-CH"/>
        </w:rPr>
        <w:tab/>
      </w:r>
      <w:r w:rsidRPr="0071782F">
        <w:rPr>
          <w:lang w:val="fr-CH"/>
        </w:rPr>
        <w:tab/>
        <w:t xml:space="preserve">Art </w:t>
      </w:r>
      <w:r w:rsidR="00EE32B1" w:rsidRPr="0071782F">
        <w:rPr>
          <w:lang w:val="fr-CH"/>
        </w:rPr>
        <w:t>et</w:t>
      </w:r>
      <w:r w:rsidRPr="0071782F">
        <w:rPr>
          <w:lang w:val="fr-CH"/>
        </w:rPr>
        <w:t xml:space="preserve"> culture</w:t>
      </w:r>
    </w:p>
    <w:p w:rsidR="00963C03" w:rsidRPr="0071782F" w:rsidRDefault="00963C03" w:rsidP="00AA22EB">
      <w:pPr>
        <w:pStyle w:val="H23G"/>
        <w:rPr>
          <w:lang w:val="fr-CH"/>
        </w:rPr>
      </w:pPr>
      <w:r w:rsidRPr="0071782F">
        <w:rPr>
          <w:lang w:val="fr-CH"/>
        </w:rPr>
        <w:tab/>
      </w:r>
      <w:r w:rsidRPr="0071782F">
        <w:rPr>
          <w:lang w:val="fr-CH"/>
        </w:rPr>
        <w:tab/>
      </w:r>
      <w:r w:rsidR="00EE32B1" w:rsidRPr="0071782F">
        <w:rPr>
          <w:lang w:val="fr-CH"/>
        </w:rPr>
        <w:t>Bibliothèques p</w:t>
      </w:r>
      <w:r w:rsidRPr="0071782F">
        <w:rPr>
          <w:lang w:val="fr-CH"/>
        </w:rPr>
        <w:t>ubli</w:t>
      </w:r>
      <w:r w:rsidR="00EE32B1" w:rsidRPr="0071782F">
        <w:rPr>
          <w:lang w:val="fr-CH"/>
        </w:rPr>
        <w:t xml:space="preserve">ques du pays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077"/>
        <w:gridCol w:w="4293"/>
      </w:tblGrid>
      <w:tr w:rsidR="00963C03" w:rsidRPr="0071782F">
        <w:trPr>
          <w:tblHeader/>
        </w:trPr>
        <w:tc>
          <w:tcPr>
            <w:tcW w:w="1548" w:type="dxa"/>
            <w:tcBorders>
              <w:top w:val="single" w:sz="4" w:space="0" w:color="auto"/>
              <w:bottom w:val="single" w:sz="12" w:space="0" w:color="auto"/>
            </w:tcBorders>
            <w:shd w:val="clear" w:color="auto" w:fill="auto"/>
            <w:vAlign w:val="bottom"/>
          </w:tcPr>
          <w:p w:rsidR="00963C03" w:rsidRPr="0071782F" w:rsidRDefault="00EE32B1" w:rsidP="00E20BB9">
            <w:pPr>
              <w:suppressAutoHyphens w:val="0"/>
              <w:spacing w:before="80" w:after="80" w:line="200" w:lineRule="exact"/>
              <w:rPr>
                <w:i/>
                <w:sz w:val="16"/>
                <w:lang w:val="fr-CH"/>
              </w:rPr>
            </w:pPr>
            <w:r w:rsidRPr="0071782F">
              <w:rPr>
                <w:i/>
                <w:sz w:val="16"/>
                <w:lang w:val="fr-CH"/>
              </w:rPr>
              <w:t>Année</w:t>
            </w:r>
          </w:p>
        </w:tc>
        <w:tc>
          <w:tcPr>
            <w:tcW w:w="2160" w:type="dxa"/>
            <w:tcBorders>
              <w:top w:val="single" w:sz="4" w:space="0" w:color="auto"/>
              <w:bottom w:val="single" w:sz="12" w:space="0" w:color="auto"/>
            </w:tcBorders>
            <w:shd w:val="clear" w:color="auto" w:fill="auto"/>
            <w:vAlign w:val="bottom"/>
          </w:tcPr>
          <w:p w:rsidR="00963C03" w:rsidRPr="0071782F" w:rsidRDefault="00EE32B1" w:rsidP="00E20BB9">
            <w:pPr>
              <w:suppressAutoHyphens w:val="0"/>
              <w:spacing w:before="80" w:after="80" w:line="200" w:lineRule="exact"/>
              <w:jc w:val="right"/>
              <w:rPr>
                <w:i/>
                <w:sz w:val="16"/>
                <w:lang w:val="fr-CH"/>
              </w:rPr>
            </w:pPr>
            <w:r w:rsidRPr="0071782F">
              <w:rPr>
                <w:i/>
                <w:sz w:val="16"/>
                <w:lang w:val="fr-CH"/>
              </w:rPr>
              <w:t>Nombre de bibliothèques</w:t>
            </w:r>
          </w:p>
        </w:tc>
      </w:tr>
      <w:tr w:rsidR="00963C03" w:rsidRPr="0071782F">
        <w:tc>
          <w:tcPr>
            <w:tcW w:w="1548" w:type="dxa"/>
            <w:tcBorders>
              <w:top w:val="single" w:sz="12" w:space="0" w:color="auto"/>
            </w:tcBorders>
            <w:shd w:val="clear" w:color="auto" w:fill="auto"/>
          </w:tcPr>
          <w:p w:rsidR="00963C03" w:rsidRPr="0071782F" w:rsidRDefault="00963C03" w:rsidP="00E20BB9">
            <w:pPr>
              <w:suppressAutoHyphens w:val="0"/>
              <w:spacing w:before="40" w:after="40" w:line="220" w:lineRule="exact"/>
              <w:rPr>
                <w:sz w:val="18"/>
                <w:lang w:val="fr-CH"/>
              </w:rPr>
            </w:pPr>
            <w:r w:rsidRPr="0071782F">
              <w:rPr>
                <w:sz w:val="18"/>
                <w:lang w:val="fr-CH"/>
              </w:rPr>
              <w:t>1991</w:t>
            </w:r>
          </w:p>
        </w:tc>
        <w:tc>
          <w:tcPr>
            <w:tcW w:w="2160" w:type="dxa"/>
            <w:tcBorders>
              <w:top w:val="single" w:sz="12" w:space="0" w:color="auto"/>
            </w:tcBorders>
            <w:shd w:val="clear" w:color="auto" w:fill="auto"/>
            <w:vAlign w:val="bottom"/>
          </w:tcPr>
          <w:p w:rsidR="00963C03" w:rsidRPr="0071782F" w:rsidRDefault="00963C03" w:rsidP="00E20BB9">
            <w:pPr>
              <w:suppressAutoHyphens w:val="0"/>
              <w:spacing w:before="40" w:after="40" w:line="220" w:lineRule="exact"/>
              <w:jc w:val="right"/>
              <w:rPr>
                <w:sz w:val="18"/>
                <w:lang w:val="fr-CH"/>
              </w:rPr>
            </w:pPr>
            <w:r w:rsidRPr="0071782F">
              <w:rPr>
                <w:sz w:val="18"/>
                <w:lang w:val="fr-CH"/>
              </w:rPr>
              <w:t>0</w:t>
            </w:r>
          </w:p>
        </w:tc>
      </w:tr>
      <w:tr w:rsidR="00963C03" w:rsidRPr="0071782F">
        <w:tc>
          <w:tcPr>
            <w:tcW w:w="1548" w:type="dxa"/>
            <w:shd w:val="clear" w:color="auto" w:fill="auto"/>
          </w:tcPr>
          <w:p w:rsidR="00963C03" w:rsidRPr="0071782F" w:rsidRDefault="00963C03" w:rsidP="00E20BB9">
            <w:pPr>
              <w:suppressAutoHyphens w:val="0"/>
              <w:spacing w:before="40" w:after="40" w:line="220" w:lineRule="exact"/>
              <w:rPr>
                <w:sz w:val="18"/>
                <w:lang w:val="fr-CH"/>
              </w:rPr>
            </w:pPr>
            <w:r w:rsidRPr="0071782F">
              <w:rPr>
                <w:sz w:val="18"/>
                <w:lang w:val="fr-CH"/>
              </w:rPr>
              <w:t>1996</w:t>
            </w:r>
          </w:p>
        </w:tc>
        <w:tc>
          <w:tcPr>
            <w:tcW w:w="2160" w:type="dxa"/>
            <w:shd w:val="clear" w:color="auto" w:fill="auto"/>
            <w:vAlign w:val="bottom"/>
          </w:tcPr>
          <w:p w:rsidR="00963C03" w:rsidRPr="0071782F" w:rsidRDefault="00963C03" w:rsidP="00E20BB9">
            <w:pPr>
              <w:suppressAutoHyphens w:val="0"/>
              <w:spacing w:before="40" w:after="40" w:line="220" w:lineRule="exact"/>
              <w:jc w:val="right"/>
              <w:rPr>
                <w:sz w:val="18"/>
                <w:lang w:val="fr-CH"/>
              </w:rPr>
            </w:pPr>
            <w:r w:rsidRPr="0071782F">
              <w:rPr>
                <w:sz w:val="18"/>
                <w:lang w:val="fr-CH"/>
              </w:rPr>
              <w:t>1 047</w:t>
            </w:r>
          </w:p>
        </w:tc>
      </w:tr>
      <w:tr w:rsidR="00963C03" w:rsidRPr="0071782F">
        <w:tc>
          <w:tcPr>
            <w:tcW w:w="1548" w:type="dxa"/>
            <w:shd w:val="clear" w:color="auto" w:fill="auto"/>
          </w:tcPr>
          <w:p w:rsidR="00963C03" w:rsidRPr="0071782F" w:rsidRDefault="00963C03" w:rsidP="00E20BB9">
            <w:pPr>
              <w:suppressAutoHyphens w:val="0"/>
              <w:spacing w:before="40" w:after="40" w:line="220" w:lineRule="exact"/>
              <w:rPr>
                <w:sz w:val="18"/>
                <w:lang w:val="fr-CH"/>
              </w:rPr>
            </w:pPr>
            <w:r w:rsidRPr="0071782F">
              <w:rPr>
                <w:sz w:val="18"/>
                <w:lang w:val="fr-CH"/>
              </w:rPr>
              <w:t>2001</w:t>
            </w:r>
          </w:p>
        </w:tc>
        <w:tc>
          <w:tcPr>
            <w:tcW w:w="2160" w:type="dxa"/>
            <w:shd w:val="clear" w:color="auto" w:fill="auto"/>
            <w:vAlign w:val="bottom"/>
          </w:tcPr>
          <w:p w:rsidR="00963C03" w:rsidRPr="0071782F" w:rsidRDefault="00963C03" w:rsidP="00E20BB9">
            <w:pPr>
              <w:suppressAutoHyphens w:val="0"/>
              <w:spacing w:before="40" w:after="40" w:line="220" w:lineRule="exact"/>
              <w:jc w:val="right"/>
              <w:rPr>
                <w:sz w:val="18"/>
                <w:lang w:val="fr-CH"/>
              </w:rPr>
            </w:pPr>
            <w:r w:rsidRPr="0071782F">
              <w:rPr>
                <w:sz w:val="18"/>
                <w:lang w:val="fr-CH"/>
              </w:rPr>
              <w:t>1 502</w:t>
            </w:r>
          </w:p>
        </w:tc>
      </w:tr>
      <w:tr w:rsidR="00963C03" w:rsidRPr="0071782F">
        <w:tc>
          <w:tcPr>
            <w:tcW w:w="1548" w:type="dxa"/>
            <w:shd w:val="clear" w:color="auto" w:fill="auto"/>
          </w:tcPr>
          <w:p w:rsidR="00963C03" w:rsidRPr="0071782F" w:rsidRDefault="00963C03" w:rsidP="00E20BB9">
            <w:pPr>
              <w:suppressAutoHyphens w:val="0"/>
              <w:spacing w:before="40" w:after="40" w:line="220" w:lineRule="exact"/>
              <w:rPr>
                <w:sz w:val="18"/>
                <w:lang w:val="fr-CH"/>
              </w:rPr>
            </w:pPr>
            <w:r w:rsidRPr="0071782F">
              <w:rPr>
                <w:sz w:val="18"/>
                <w:lang w:val="fr-CH"/>
              </w:rPr>
              <w:t>2003</w:t>
            </w:r>
          </w:p>
        </w:tc>
        <w:tc>
          <w:tcPr>
            <w:tcW w:w="2160" w:type="dxa"/>
            <w:shd w:val="clear" w:color="auto" w:fill="auto"/>
            <w:vAlign w:val="bottom"/>
          </w:tcPr>
          <w:p w:rsidR="00963C03" w:rsidRPr="0071782F" w:rsidRDefault="00963C03" w:rsidP="00E20BB9">
            <w:pPr>
              <w:suppressAutoHyphens w:val="0"/>
              <w:spacing w:before="40" w:after="40" w:line="220" w:lineRule="exact"/>
              <w:jc w:val="right"/>
              <w:rPr>
                <w:sz w:val="18"/>
                <w:lang w:val="fr-CH"/>
              </w:rPr>
            </w:pPr>
            <w:r w:rsidRPr="0071782F">
              <w:rPr>
                <w:sz w:val="18"/>
                <w:lang w:val="fr-CH"/>
              </w:rPr>
              <w:t>1 577</w:t>
            </w:r>
          </w:p>
        </w:tc>
      </w:tr>
      <w:tr w:rsidR="00963C03" w:rsidRPr="0071782F">
        <w:tc>
          <w:tcPr>
            <w:tcW w:w="1548" w:type="dxa"/>
            <w:tcBorders>
              <w:bottom w:val="nil"/>
            </w:tcBorders>
            <w:shd w:val="clear" w:color="auto" w:fill="auto"/>
          </w:tcPr>
          <w:p w:rsidR="00963C03" w:rsidRPr="0071782F" w:rsidRDefault="00963C03" w:rsidP="00E20BB9">
            <w:pPr>
              <w:suppressAutoHyphens w:val="0"/>
              <w:spacing w:before="40" w:after="40" w:line="220" w:lineRule="exact"/>
              <w:rPr>
                <w:sz w:val="18"/>
                <w:lang w:val="fr-CH"/>
              </w:rPr>
            </w:pPr>
            <w:r w:rsidRPr="0071782F">
              <w:rPr>
                <w:sz w:val="18"/>
                <w:lang w:val="fr-CH"/>
              </w:rPr>
              <w:t>2004</w:t>
            </w:r>
          </w:p>
        </w:tc>
        <w:tc>
          <w:tcPr>
            <w:tcW w:w="2160" w:type="dxa"/>
            <w:tcBorders>
              <w:bottom w:val="nil"/>
            </w:tcBorders>
            <w:shd w:val="clear" w:color="auto" w:fill="auto"/>
            <w:vAlign w:val="bottom"/>
          </w:tcPr>
          <w:p w:rsidR="00963C03" w:rsidRPr="0071782F" w:rsidRDefault="00963C03" w:rsidP="00E20BB9">
            <w:pPr>
              <w:suppressAutoHyphens w:val="0"/>
              <w:spacing w:before="40" w:after="40" w:line="220" w:lineRule="exact"/>
              <w:jc w:val="right"/>
              <w:rPr>
                <w:sz w:val="18"/>
                <w:lang w:val="fr-CH"/>
              </w:rPr>
            </w:pPr>
            <w:r w:rsidRPr="0071782F">
              <w:rPr>
                <w:sz w:val="18"/>
                <w:lang w:val="fr-CH"/>
              </w:rPr>
              <w:t>1 580</w:t>
            </w:r>
          </w:p>
        </w:tc>
      </w:tr>
      <w:tr w:rsidR="00963C03" w:rsidRPr="0071782F">
        <w:tc>
          <w:tcPr>
            <w:tcW w:w="1548" w:type="dxa"/>
            <w:tcBorders>
              <w:top w:val="nil"/>
              <w:bottom w:val="nil"/>
            </w:tcBorders>
            <w:shd w:val="clear" w:color="auto" w:fill="auto"/>
          </w:tcPr>
          <w:p w:rsidR="00963C03" w:rsidRPr="0071782F" w:rsidRDefault="00963C03" w:rsidP="00E20BB9">
            <w:pPr>
              <w:suppressAutoHyphens w:val="0"/>
              <w:spacing w:before="40" w:after="40" w:line="220" w:lineRule="exact"/>
              <w:rPr>
                <w:sz w:val="18"/>
                <w:lang w:val="fr-CH"/>
              </w:rPr>
            </w:pPr>
            <w:r w:rsidRPr="0071782F">
              <w:rPr>
                <w:sz w:val="18"/>
                <w:lang w:val="fr-CH"/>
              </w:rPr>
              <w:t>2005</w:t>
            </w:r>
          </w:p>
        </w:tc>
        <w:tc>
          <w:tcPr>
            <w:tcW w:w="2160" w:type="dxa"/>
            <w:tcBorders>
              <w:top w:val="nil"/>
              <w:bottom w:val="nil"/>
            </w:tcBorders>
            <w:shd w:val="clear" w:color="auto" w:fill="auto"/>
            <w:vAlign w:val="bottom"/>
          </w:tcPr>
          <w:p w:rsidR="00963C03" w:rsidRPr="0071782F" w:rsidRDefault="00963C03" w:rsidP="00E20BB9">
            <w:pPr>
              <w:suppressAutoHyphens w:val="0"/>
              <w:spacing w:before="40" w:after="40" w:line="220" w:lineRule="exact"/>
              <w:jc w:val="right"/>
              <w:rPr>
                <w:sz w:val="18"/>
                <w:lang w:val="fr-CH"/>
              </w:rPr>
            </w:pPr>
            <w:r w:rsidRPr="0071782F">
              <w:rPr>
                <w:sz w:val="18"/>
                <w:lang w:val="fr-CH"/>
              </w:rPr>
              <w:t>1 641</w:t>
            </w:r>
          </w:p>
        </w:tc>
      </w:tr>
      <w:tr w:rsidR="00963C03" w:rsidRPr="0071782F">
        <w:tc>
          <w:tcPr>
            <w:tcW w:w="1548" w:type="dxa"/>
            <w:tcBorders>
              <w:top w:val="nil"/>
            </w:tcBorders>
            <w:shd w:val="clear" w:color="auto" w:fill="auto"/>
          </w:tcPr>
          <w:p w:rsidR="00963C03" w:rsidRPr="0071782F" w:rsidRDefault="00963C03" w:rsidP="00E20BB9">
            <w:pPr>
              <w:suppressAutoHyphens w:val="0"/>
              <w:spacing w:before="40" w:after="40" w:line="220" w:lineRule="exact"/>
              <w:rPr>
                <w:sz w:val="18"/>
                <w:lang w:val="fr-CH"/>
              </w:rPr>
            </w:pPr>
            <w:r w:rsidRPr="0071782F">
              <w:rPr>
                <w:sz w:val="18"/>
                <w:lang w:val="fr-CH"/>
              </w:rPr>
              <w:t>2006</w:t>
            </w:r>
          </w:p>
        </w:tc>
        <w:tc>
          <w:tcPr>
            <w:tcW w:w="2160" w:type="dxa"/>
            <w:tcBorders>
              <w:top w:val="nil"/>
            </w:tcBorders>
            <w:shd w:val="clear" w:color="auto" w:fill="auto"/>
            <w:vAlign w:val="bottom"/>
          </w:tcPr>
          <w:p w:rsidR="00963C03" w:rsidRPr="0071782F" w:rsidRDefault="00963C03" w:rsidP="00E20BB9">
            <w:pPr>
              <w:suppressAutoHyphens w:val="0"/>
              <w:spacing w:before="40" w:after="40" w:line="220" w:lineRule="exact"/>
              <w:jc w:val="right"/>
              <w:rPr>
                <w:sz w:val="18"/>
                <w:lang w:val="fr-CH"/>
              </w:rPr>
            </w:pPr>
            <w:r w:rsidRPr="0071782F">
              <w:rPr>
                <w:sz w:val="18"/>
                <w:lang w:val="fr-CH"/>
              </w:rPr>
              <w:t>1 729</w:t>
            </w:r>
          </w:p>
        </w:tc>
      </w:tr>
      <w:tr w:rsidR="00963C03" w:rsidRPr="0071782F">
        <w:tc>
          <w:tcPr>
            <w:tcW w:w="1548" w:type="dxa"/>
            <w:shd w:val="clear" w:color="auto" w:fill="auto"/>
          </w:tcPr>
          <w:p w:rsidR="00963C03" w:rsidRPr="0071782F" w:rsidRDefault="00963C03" w:rsidP="00E20BB9">
            <w:pPr>
              <w:suppressAutoHyphens w:val="0"/>
              <w:spacing w:before="40" w:after="40" w:line="220" w:lineRule="exact"/>
              <w:rPr>
                <w:sz w:val="18"/>
                <w:lang w:val="fr-CH"/>
              </w:rPr>
            </w:pPr>
            <w:r w:rsidRPr="0071782F">
              <w:rPr>
                <w:sz w:val="18"/>
                <w:lang w:val="fr-CH"/>
              </w:rPr>
              <w:t>2007</w:t>
            </w:r>
          </w:p>
        </w:tc>
        <w:tc>
          <w:tcPr>
            <w:tcW w:w="2160" w:type="dxa"/>
            <w:shd w:val="clear" w:color="auto" w:fill="auto"/>
            <w:vAlign w:val="bottom"/>
          </w:tcPr>
          <w:p w:rsidR="00963C03" w:rsidRPr="0071782F" w:rsidRDefault="00963C03" w:rsidP="00E20BB9">
            <w:pPr>
              <w:suppressAutoHyphens w:val="0"/>
              <w:spacing w:before="40" w:after="40" w:line="220" w:lineRule="exact"/>
              <w:jc w:val="right"/>
              <w:rPr>
                <w:sz w:val="18"/>
                <w:lang w:val="fr-CH"/>
              </w:rPr>
            </w:pPr>
            <w:r w:rsidRPr="0071782F">
              <w:rPr>
                <w:sz w:val="18"/>
                <w:lang w:val="fr-CH"/>
              </w:rPr>
              <w:t>1 785</w:t>
            </w:r>
          </w:p>
        </w:tc>
      </w:tr>
    </w:tbl>
    <w:p w:rsidR="00963C03" w:rsidRPr="0071782F" w:rsidRDefault="00963C03" w:rsidP="00BA46A5">
      <w:pPr>
        <w:suppressAutoHyphens w:val="0"/>
        <w:spacing w:before="120" w:after="240" w:line="240" w:lineRule="auto"/>
        <w:ind w:left="1134" w:right="1134" w:firstLine="170"/>
        <w:rPr>
          <w:sz w:val="18"/>
          <w:szCs w:val="18"/>
          <w:lang w:val="fr-CH"/>
        </w:rPr>
      </w:pPr>
      <w:r w:rsidRPr="0071782F">
        <w:rPr>
          <w:i/>
          <w:sz w:val="18"/>
          <w:szCs w:val="18"/>
          <w:lang w:val="fr-CH"/>
        </w:rPr>
        <w:t>Source</w:t>
      </w:r>
      <w:r w:rsidR="008F7D33" w:rsidRPr="0071782F">
        <w:rPr>
          <w:i/>
          <w:sz w:val="18"/>
          <w:szCs w:val="18"/>
          <w:lang w:val="fr-CH"/>
        </w:rPr>
        <w:t>:</w:t>
      </w:r>
      <w:r w:rsidR="00DB5FF4">
        <w:rPr>
          <w:sz w:val="18"/>
          <w:szCs w:val="18"/>
          <w:lang w:val="fr-CH"/>
        </w:rPr>
        <w:t xml:space="preserve"> </w:t>
      </w:r>
      <w:r w:rsidRPr="0071782F">
        <w:rPr>
          <w:sz w:val="18"/>
          <w:szCs w:val="18"/>
          <w:lang w:val="fr-CH"/>
        </w:rPr>
        <w:t>Minist</w:t>
      </w:r>
      <w:r w:rsidR="008C1B3C" w:rsidRPr="0071782F">
        <w:rPr>
          <w:sz w:val="18"/>
          <w:szCs w:val="18"/>
          <w:lang w:val="fr-CH"/>
        </w:rPr>
        <w:t>ère de la c</w:t>
      </w:r>
      <w:r w:rsidRPr="0071782F">
        <w:rPr>
          <w:sz w:val="18"/>
          <w:szCs w:val="18"/>
          <w:lang w:val="fr-CH"/>
        </w:rPr>
        <w:t xml:space="preserve">ulture </w:t>
      </w:r>
      <w:r w:rsidR="008C1B3C" w:rsidRPr="0071782F">
        <w:rPr>
          <w:sz w:val="18"/>
          <w:szCs w:val="18"/>
          <w:lang w:val="fr-CH"/>
        </w:rPr>
        <w:t>et de l’orientation i</w:t>
      </w:r>
      <w:r w:rsidRPr="0071782F">
        <w:rPr>
          <w:sz w:val="18"/>
          <w:szCs w:val="18"/>
          <w:lang w:val="fr-CH"/>
        </w:rPr>
        <w:t>slami</w:t>
      </w:r>
      <w:r w:rsidR="008C1B3C" w:rsidRPr="0071782F">
        <w:rPr>
          <w:sz w:val="18"/>
          <w:szCs w:val="18"/>
          <w:lang w:val="fr-CH"/>
        </w:rPr>
        <w:t>que et Conseil d’administration des bibliothèques publiques</w:t>
      </w:r>
      <w:r w:rsidRPr="0071782F">
        <w:rPr>
          <w:sz w:val="18"/>
          <w:szCs w:val="18"/>
          <w:lang w:val="fr-CH"/>
        </w:rPr>
        <w:t>.</w:t>
      </w:r>
    </w:p>
    <w:p w:rsidR="00963C03" w:rsidRPr="0071782F" w:rsidRDefault="00963C03" w:rsidP="00AA22EB">
      <w:pPr>
        <w:pStyle w:val="H23G"/>
        <w:rPr>
          <w:lang w:val="fr-CH"/>
        </w:rPr>
      </w:pPr>
      <w:r w:rsidRPr="0071782F">
        <w:rPr>
          <w:lang w:val="fr-CH"/>
        </w:rPr>
        <w:tab/>
      </w:r>
      <w:r w:rsidRPr="0071782F">
        <w:rPr>
          <w:lang w:val="fr-CH"/>
        </w:rPr>
        <w:tab/>
      </w:r>
      <w:r w:rsidR="008C1B3C" w:rsidRPr="0071782F">
        <w:rPr>
          <w:lang w:val="fr-CH"/>
        </w:rPr>
        <w:t xml:space="preserve">Indicateurs culturels en </w:t>
      </w:r>
      <w:r w:rsidRPr="0071782F">
        <w:rPr>
          <w:lang w:val="fr-CH"/>
        </w:rPr>
        <w:t>2005 (mus</w:t>
      </w:r>
      <w:r w:rsidR="008C1B3C" w:rsidRPr="0071782F">
        <w:rPr>
          <w:lang w:val="fr-CH"/>
        </w:rPr>
        <w:t>ée</w:t>
      </w:r>
      <w:r w:rsidRPr="0071782F">
        <w:rPr>
          <w:lang w:val="fr-CH"/>
        </w:rPr>
        <w:t xml:space="preserve">s </w:t>
      </w:r>
      <w:r w:rsidR="008C1B3C" w:rsidRPr="0071782F">
        <w:rPr>
          <w:lang w:val="fr-CH"/>
        </w:rPr>
        <w:t>et sites historiques</w:t>
      </w:r>
      <w:r w:rsidRPr="0071782F">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253"/>
        <w:gridCol w:w="1134"/>
        <w:gridCol w:w="674"/>
        <w:gridCol w:w="1309"/>
      </w:tblGrid>
      <w:tr w:rsidR="00963C03" w:rsidRPr="0071782F">
        <w:trPr>
          <w:tblHeader/>
        </w:trPr>
        <w:tc>
          <w:tcPr>
            <w:tcW w:w="4253"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Indicat</w:t>
            </w:r>
            <w:r w:rsidR="008C1B3C" w:rsidRPr="0071782F">
              <w:rPr>
                <w:i/>
                <w:sz w:val="16"/>
                <w:lang w:val="fr-CH"/>
              </w:rPr>
              <w:t>eu</w:t>
            </w:r>
            <w:r w:rsidRPr="0071782F">
              <w:rPr>
                <w:i/>
                <w:sz w:val="16"/>
                <w:lang w:val="fr-CH"/>
              </w:rPr>
              <w:t>r</w:t>
            </w:r>
          </w:p>
        </w:tc>
        <w:tc>
          <w:tcPr>
            <w:tcW w:w="1134"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Unit</w:t>
            </w:r>
            <w:r w:rsidR="008C1B3C" w:rsidRPr="0071782F">
              <w:rPr>
                <w:i/>
                <w:sz w:val="16"/>
                <w:lang w:val="fr-CH"/>
              </w:rPr>
              <w:t>é</w:t>
            </w:r>
          </w:p>
        </w:tc>
        <w:tc>
          <w:tcPr>
            <w:tcW w:w="674"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No</w:t>
            </w:r>
            <w:r w:rsidR="008C1B3C" w:rsidRPr="0071782F">
              <w:rPr>
                <w:i/>
                <w:sz w:val="16"/>
                <w:lang w:val="fr-CH"/>
              </w:rPr>
              <w:t>mbre</w:t>
            </w:r>
            <w:r w:rsidRPr="0071782F">
              <w:rPr>
                <w:i/>
                <w:sz w:val="16"/>
                <w:lang w:val="fr-CH"/>
              </w:rPr>
              <w:t>/</w:t>
            </w:r>
            <w:r w:rsidR="00917D86">
              <w:rPr>
                <w:i/>
                <w:sz w:val="16"/>
                <w:lang w:val="fr-CH"/>
              </w:rPr>
              <w:br/>
            </w:r>
            <w:r w:rsidR="008C1B3C" w:rsidRPr="0071782F">
              <w:rPr>
                <w:i/>
                <w:sz w:val="16"/>
                <w:lang w:val="fr-CH"/>
              </w:rPr>
              <w:t>valeur</w:t>
            </w:r>
          </w:p>
        </w:tc>
        <w:tc>
          <w:tcPr>
            <w:tcW w:w="1309" w:type="dxa"/>
            <w:tcBorders>
              <w:top w:val="single" w:sz="4" w:space="0" w:color="auto"/>
              <w:bottom w:val="single" w:sz="12" w:space="0" w:color="auto"/>
            </w:tcBorders>
            <w:shd w:val="clear" w:color="auto" w:fill="auto"/>
            <w:vAlign w:val="bottom"/>
          </w:tcPr>
          <w:p w:rsidR="00963C03" w:rsidRPr="0071782F" w:rsidRDefault="008C1B3C" w:rsidP="00881286">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963C03" w:rsidRPr="0071782F">
        <w:tc>
          <w:tcPr>
            <w:tcW w:w="4253" w:type="dxa"/>
            <w:tcBorders>
              <w:top w:val="single" w:sz="12" w:space="0" w:color="auto"/>
            </w:tcBorders>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8C1B3C" w:rsidRPr="0071782F">
              <w:rPr>
                <w:sz w:val="18"/>
                <w:lang w:val="fr-CH"/>
              </w:rPr>
              <w:t>mbre</w:t>
            </w:r>
            <w:r w:rsidRPr="0071782F">
              <w:rPr>
                <w:sz w:val="18"/>
                <w:lang w:val="fr-CH"/>
              </w:rPr>
              <w:t xml:space="preserve"> </w:t>
            </w:r>
            <w:r w:rsidR="008C1B3C" w:rsidRPr="0071782F">
              <w:rPr>
                <w:sz w:val="18"/>
                <w:lang w:val="fr-CH"/>
              </w:rPr>
              <w:t xml:space="preserve">de musées historiques et culturels en fin d’année </w:t>
            </w:r>
          </w:p>
        </w:tc>
        <w:tc>
          <w:tcPr>
            <w:tcW w:w="1134"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w:t>
            </w:r>
            <w:r w:rsidR="000E290C" w:rsidRPr="0071782F">
              <w:rPr>
                <w:sz w:val="18"/>
                <w:lang w:val="fr-CH"/>
              </w:rPr>
              <w:t>ombre</w:t>
            </w:r>
          </w:p>
        </w:tc>
        <w:tc>
          <w:tcPr>
            <w:tcW w:w="674"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100</w:t>
            </w:r>
          </w:p>
        </w:tc>
        <w:tc>
          <w:tcPr>
            <w:tcW w:w="1309"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7</w:t>
            </w:r>
            <w:r w:rsidR="00881286" w:rsidRPr="0071782F">
              <w:rPr>
                <w:sz w:val="18"/>
                <w:lang w:val="fr-CH"/>
              </w:rPr>
              <w:t>,</w:t>
            </w:r>
            <w:r w:rsidRPr="0071782F">
              <w:rPr>
                <w:sz w:val="18"/>
                <w:lang w:val="fr-CH"/>
              </w:rPr>
              <w:t>5</w:t>
            </w:r>
          </w:p>
        </w:tc>
      </w:tr>
      <w:tr w:rsidR="00963C03" w:rsidRPr="0071782F">
        <w:tc>
          <w:tcPr>
            <w:tcW w:w="4253"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8C1B3C" w:rsidRPr="0071782F">
              <w:rPr>
                <w:sz w:val="18"/>
                <w:lang w:val="fr-CH"/>
              </w:rPr>
              <w:t xml:space="preserve">mbre de visiteurs des musées et sites d’intérêt </w:t>
            </w:r>
            <w:r w:rsidRPr="0071782F">
              <w:rPr>
                <w:sz w:val="18"/>
                <w:lang w:val="fr-CH"/>
              </w:rPr>
              <w:t>cultur</w:t>
            </w:r>
            <w:r w:rsidR="008C1B3C" w:rsidRPr="0071782F">
              <w:rPr>
                <w:sz w:val="18"/>
                <w:lang w:val="fr-CH"/>
              </w:rPr>
              <w:t>e</w:t>
            </w:r>
            <w:r w:rsidRPr="0071782F">
              <w:rPr>
                <w:sz w:val="18"/>
                <w:lang w:val="fr-CH"/>
              </w:rPr>
              <w:t xml:space="preserve">l </w:t>
            </w:r>
            <w:r w:rsidR="008C1B3C" w:rsidRPr="0071782F">
              <w:rPr>
                <w:sz w:val="18"/>
                <w:lang w:val="fr-CH"/>
              </w:rPr>
              <w:t>et</w:t>
            </w:r>
            <w:r w:rsidRPr="0071782F">
              <w:rPr>
                <w:sz w:val="18"/>
                <w:lang w:val="fr-CH"/>
              </w:rPr>
              <w:t xml:space="preserve"> histori</w:t>
            </w:r>
            <w:r w:rsidR="008C1B3C" w:rsidRPr="0071782F">
              <w:rPr>
                <w:sz w:val="18"/>
                <w:lang w:val="fr-CH"/>
              </w:rPr>
              <w:t xml:space="preserve">que </w:t>
            </w:r>
          </w:p>
        </w:tc>
        <w:tc>
          <w:tcPr>
            <w:tcW w:w="1134" w:type="dxa"/>
            <w:shd w:val="clear" w:color="auto" w:fill="auto"/>
            <w:vAlign w:val="bottom"/>
          </w:tcPr>
          <w:p w:rsidR="00963C03" w:rsidRPr="0071782F" w:rsidRDefault="000011B3" w:rsidP="00881286">
            <w:pPr>
              <w:suppressAutoHyphens w:val="0"/>
              <w:spacing w:before="40" w:after="40" w:line="220" w:lineRule="exact"/>
              <w:rPr>
                <w:sz w:val="18"/>
                <w:lang w:val="fr-CH"/>
              </w:rPr>
            </w:pPr>
            <w:r w:rsidRPr="0071782F">
              <w:rPr>
                <w:sz w:val="18"/>
                <w:lang w:val="fr-CH"/>
              </w:rPr>
              <w:t>Personnes</w:t>
            </w:r>
            <w:r w:rsidR="00963C03" w:rsidRPr="0071782F">
              <w:rPr>
                <w:sz w:val="18"/>
                <w:lang w:val="fr-CH"/>
              </w:rPr>
              <w:t xml:space="preserve"> (</w:t>
            </w:r>
            <w:r w:rsidR="008C1B3C" w:rsidRPr="0071782F">
              <w:rPr>
                <w:sz w:val="18"/>
                <w:lang w:val="fr-CH"/>
              </w:rPr>
              <w:t>milliers</w:t>
            </w:r>
            <w:r w:rsidR="00963C03" w:rsidRPr="0071782F">
              <w:rPr>
                <w:sz w:val="18"/>
                <w:lang w:val="fr-CH"/>
              </w:rPr>
              <w:t>)</w:t>
            </w:r>
          </w:p>
        </w:tc>
        <w:tc>
          <w:tcPr>
            <w:tcW w:w="67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15 810</w:t>
            </w:r>
          </w:p>
        </w:tc>
        <w:tc>
          <w:tcPr>
            <w:tcW w:w="1309"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47</w:t>
            </w:r>
            <w:r w:rsidR="00881286" w:rsidRPr="0071782F">
              <w:rPr>
                <w:sz w:val="18"/>
                <w:lang w:val="fr-CH"/>
              </w:rPr>
              <w:t>,</w:t>
            </w:r>
            <w:r w:rsidRPr="0071782F">
              <w:rPr>
                <w:sz w:val="18"/>
                <w:lang w:val="fr-CH"/>
              </w:rPr>
              <w:t>9</w:t>
            </w:r>
          </w:p>
        </w:tc>
      </w:tr>
      <w:tr w:rsidR="00963C03" w:rsidRPr="0071782F">
        <w:tc>
          <w:tcPr>
            <w:tcW w:w="4253"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8C1B3C" w:rsidRPr="0071782F">
              <w:rPr>
                <w:sz w:val="18"/>
                <w:lang w:val="fr-CH"/>
              </w:rPr>
              <w:t>mbre de</w:t>
            </w:r>
            <w:r w:rsidRPr="0071782F">
              <w:rPr>
                <w:sz w:val="18"/>
                <w:lang w:val="fr-CH"/>
              </w:rPr>
              <w:t xml:space="preserve"> monuments </w:t>
            </w:r>
            <w:r w:rsidR="008C1B3C" w:rsidRPr="0071782F">
              <w:rPr>
                <w:sz w:val="18"/>
                <w:lang w:val="fr-CH"/>
              </w:rPr>
              <w:t xml:space="preserve">inscrits sur la liste </w:t>
            </w:r>
            <w:r w:rsidR="00F012BD" w:rsidRPr="0071782F">
              <w:rPr>
                <w:sz w:val="18"/>
                <w:lang w:val="fr-CH"/>
              </w:rPr>
              <w:t xml:space="preserve">nationale </w:t>
            </w:r>
            <w:r w:rsidR="008C1B3C" w:rsidRPr="0071782F">
              <w:rPr>
                <w:sz w:val="18"/>
                <w:lang w:val="fr-CH"/>
              </w:rPr>
              <w:t xml:space="preserve">des </w:t>
            </w:r>
            <w:r w:rsidR="00D5366B" w:rsidRPr="0071782F">
              <w:rPr>
                <w:sz w:val="18"/>
                <w:lang w:val="fr-CH"/>
              </w:rPr>
              <w:t>œuvre</w:t>
            </w:r>
            <w:r w:rsidR="008C1B3C" w:rsidRPr="0071782F">
              <w:rPr>
                <w:sz w:val="18"/>
                <w:lang w:val="fr-CH"/>
              </w:rPr>
              <w:t xml:space="preserve">s d’intérêt </w:t>
            </w:r>
            <w:r w:rsidRPr="0071782F">
              <w:rPr>
                <w:sz w:val="18"/>
                <w:lang w:val="fr-CH"/>
              </w:rPr>
              <w:t>histori</w:t>
            </w:r>
            <w:r w:rsidR="008C1B3C" w:rsidRPr="0071782F">
              <w:rPr>
                <w:sz w:val="18"/>
                <w:lang w:val="fr-CH"/>
              </w:rPr>
              <w:t>que</w:t>
            </w:r>
            <w:r w:rsidR="00E7258D" w:rsidRPr="0071782F">
              <w:rPr>
                <w:i/>
                <w:sz w:val="18"/>
                <w:vertAlign w:val="superscript"/>
                <w:lang w:val="fr-CH"/>
              </w:rPr>
              <w:t>(</w:t>
            </w:r>
            <w:r w:rsidRPr="0071782F">
              <w:rPr>
                <w:i/>
                <w:sz w:val="18"/>
                <w:vertAlign w:val="superscript"/>
                <w:lang w:val="fr-CH"/>
              </w:rPr>
              <w:t>1</w:t>
            </w:r>
            <w:r w:rsidR="00E7258D" w:rsidRPr="0071782F">
              <w:rPr>
                <w:i/>
                <w:sz w:val="18"/>
                <w:vertAlign w:val="superscript"/>
                <w:lang w:val="fr-CH"/>
              </w:rPr>
              <w:t>)</w:t>
            </w:r>
          </w:p>
        </w:tc>
        <w:tc>
          <w:tcPr>
            <w:tcW w:w="1134"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w:t>
            </w:r>
            <w:r w:rsidR="000E290C" w:rsidRPr="0071782F">
              <w:rPr>
                <w:sz w:val="18"/>
                <w:lang w:val="fr-CH"/>
              </w:rPr>
              <w:t>ombre</w:t>
            </w:r>
          </w:p>
        </w:tc>
        <w:tc>
          <w:tcPr>
            <w:tcW w:w="67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3 620</w:t>
            </w:r>
          </w:p>
        </w:tc>
        <w:tc>
          <w:tcPr>
            <w:tcW w:w="1309"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380</w:t>
            </w:r>
            <w:r w:rsidR="00881286" w:rsidRPr="0071782F">
              <w:rPr>
                <w:sz w:val="18"/>
                <w:lang w:val="fr-CH"/>
              </w:rPr>
              <w:t>,</w:t>
            </w:r>
            <w:r w:rsidRPr="0071782F">
              <w:rPr>
                <w:sz w:val="18"/>
                <w:lang w:val="fr-CH"/>
              </w:rPr>
              <w:t>7</w:t>
            </w:r>
          </w:p>
        </w:tc>
      </w:tr>
    </w:tbl>
    <w:p w:rsidR="00963C03" w:rsidRPr="0071782F" w:rsidRDefault="00963C03" w:rsidP="00E7258D">
      <w:pPr>
        <w:suppressAutoHyphens w:val="0"/>
        <w:spacing w:before="120" w:line="240" w:lineRule="auto"/>
        <w:ind w:left="1134" w:right="1134" w:firstLine="170"/>
        <w:rPr>
          <w:sz w:val="18"/>
          <w:szCs w:val="18"/>
          <w:lang w:val="fr-CH"/>
        </w:rPr>
      </w:pPr>
      <w:r w:rsidRPr="0071782F">
        <w:rPr>
          <w:i/>
          <w:sz w:val="18"/>
          <w:szCs w:val="18"/>
          <w:lang w:val="fr-CH"/>
        </w:rPr>
        <w:t>Source</w:t>
      </w:r>
      <w:r w:rsidR="008F7D33" w:rsidRPr="0071782F">
        <w:rPr>
          <w:i/>
          <w:sz w:val="18"/>
          <w:szCs w:val="18"/>
          <w:lang w:val="fr-CH"/>
        </w:rPr>
        <w:t>:</w:t>
      </w:r>
      <w:r w:rsidR="00DB5FF4">
        <w:rPr>
          <w:sz w:val="18"/>
          <w:szCs w:val="18"/>
          <w:lang w:val="fr-CH"/>
        </w:rPr>
        <w:t xml:space="preserve"> </w:t>
      </w:r>
      <w:r w:rsidR="008C1B3C" w:rsidRPr="0071782F">
        <w:rPr>
          <w:sz w:val="18"/>
          <w:szCs w:val="18"/>
          <w:lang w:val="fr-CH"/>
        </w:rPr>
        <w:t>Organisme du patrimoine culture</w:t>
      </w:r>
      <w:r w:rsidRPr="0071782F">
        <w:rPr>
          <w:sz w:val="18"/>
          <w:szCs w:val="18"/>
          <w:lang w:val="fr-CH"/>
        </w:rPr>
        <w:t xml:space="preserve">l </w:t>
      </w:r>
      <w:r w:rsidR="008C1B3C" w:rsidRPr="0071782F">
        <w:rPr>
          <w:sz w:val="18"/>
          <w:szCs w:val="18"/>
          <w:lang w:val="fr-CH"/>
        </w:rPr>
        <w:t xml:space="preserve">et du </w:t>
      </w:r>
      <w:r w:rsidRPr="0071782F">
        <w:rPr>
          <w:sz w:val="18"/>
          <w:szCs w:val="18"/>
          <w:lang w:val="fr-CH"/>
        </w:rPr>
        <w:t>tourism</w:t>
      </w:r>
      <w:r w:rsidR="008C1B3C" w:rsidRPr="0071782F">
        <w:rPr>
          <w:sz w:val="18"/>
          <w:szCs w:val="18"/>
          <w:lang w:val="fr-CH"/>
        </w:rPr>
        <w:t>e</w:t>
      </w:r>
      <w:r w:rsidRPr="0071782F">
        <w:rPr>
          <w:sz w:val="18"/>
          <w:szCs w:val="18"/>
          <w:lang w:val="fr-CH"/>
        </w:rPr>
        <w:t>.</w:t>
      </w:r>
    </w:p>
    <w:p w:rsidR="00963C03" w:rsidRPr="0071782F" w:rsidRDefault="00E7258D" w:rsidP="00BA46A5">
      <w:pPr>
        <w:suppressAutoHyphens w:val="0"/>
        <w:spacing w:after="240" w:line="240" w:lineRule="auto"/>
        <w:ind w:left="1134" w:right="1134" w:firstLine="170"/>
        <w:rPr>
          <w:sz w:val="18"/>
          <w:szCs w:val="18"/>
          <w:lang w:val="fr-CH"/>
        </w:rPr>
      </w:pPr>
      <w:r w:rsidRPr="0071782F">
        <w:rPr>
          <w:i/>
          <w:sz w:val="18"/>
          <w:szCs w:val="18"/>
          <w:vertAlign w:val="superscript"/>
          <w:lang w:val="fr-CH"/>
        </w:rPr>
        <w:t>(</w:t>
      </w:r>
      <w:r w:rsidR="00963C03" w:rsidRPr="0071782F">
        <w:rPr>
          <w:i/>
          <w:sz w:val="18"/>
          <w:szCs w:val="18"/>
          <w:vertAlign w:val="superscript"/>
          <w:lang w:val="fr-CH"/>
        </w:rPr>
        <w:t>1</w:t>
      </w:r>
      <w:r w:rsidRPr="0071782F">
        <w:rPr>
          <w:i/>
          <w:sz w:val="18"/>
          <w:szCs w:val="18"/>
          <w:vertAlign w:val="superscript"/>
          <w:lang w:val="fr-CH"/>
        </w:rPr>
        <w:t>)</w:t>
      </w:r>
      <w:r w:rsidR="00963C03" w:rsidRPr="0071782F">
        <w:rPr>
          <w:sz w:val="18"/>
          <w:szCs w:val="18"/>
          <w:lang w:val="fr-CH"/>
        </w:rPr>
        <w:t xml:space="preserve">  </w:t>
      </w:r>
      <w:r w:rsidR="008C1B3C" w:rsidRPr="0071782F">
        <w:rPr>
          <w:sz w:val="18"/>
          <w:szCs w:val="18"/>
          <w:lang w:val="fr-CH"/>
        </w:rPr>
        <w:t xml:space="preserve">Les </w:t>
      </w:r>
      <w:r w:rsidR="00D5366B" w:rsidRPr="0071782F">
        <w:rPr>
          <w:sz w:val="18"/>
          <w:szCs w:val="18"/>
          <w:lang w:val="fr-CH"/>
        </w:rPr>
        <w:t>œuvre</w:t>
      </w:r>
      <w:r w:rsidR="008C1B3C" w:rsidRPr="0071782F">
        <w:rPr>
          <w:sz w:val="18"/>
          <w:szCs w:val="18"/>
          <w:lang w:val="fr-CH"/>
        </w:rPr>
        <w:t xml:space="preserve">s </w:t>
      </w:r>
      <w:r w:rsidR="000E290C" w:rsidRPr="0071782F">
        <w:rPr>
          <w:sz w:val="18"/>
          <w:szCs w:val="18"/>
          <w:lang w:val="fr-CH"/>
        </w:rPr>
        <w:t>d’intérêt historique</w:t>
      </w:r>
      <w:r w:rsidR="008C1B3C" w:rsidRPr="0071782F">
        <w:rPr>
          <w:sz w:val="18"/>
          <w:szCs w:val="18"/>
          <w:lang w:val="fr-CH"/>
        </w:rPr>
        <w:t xml:space="preserve"> comprennent les </w:t>
      </w:r>
      <w:r w:rsidR="00963C03" w:rsidRPr="0071782F">
        <w:rPr>
          <w:sz w:val="18"/>
          <w:szCs w:val="18"/>
          <w:lang w:val="fr-CH"/>
        </w:rPr>
        <w:t xml:space="preserve">sites, </w:t>
      </w:r>
      <w:r w:rsidR="008C1B3C" w:rsidRPr="0071782F">
        <w:rPr>
          <w:sz w:val="18"/>
          <w:szCs w:val="18"/>
          <w:lang w:val="fr-CH"/>
        </w:rPr>
        <w:t>bâtiments</w:t>
      </w:r>
      <w:r w:rsidR="00963C03" w:rsidRPr="0071782F">
        <w:rPr>
          <w:sz w:val="18"/>
          <w:szCs w:val="18"/>
          <w:lang w:val="fr-CH"/>
        </w:rPr>
        <w:t xml:space="preserve">, </w:t>
      </w:r>
      <w:r w:rsidR="008C1B3C" w:rsidRPr="0071782F">
        <w:rPr>
          <w:sz w:val="18"/>
          <w:szCs w:val="18"/>
          <w:lang w:val="fr-CH"/>
        </w:rPr>
        <w:t xml:space="preserve">collines, zones, quartiers et </w:t>
      </w:r>
      <w:r w:rsidR="00963C03" w:rsidRPr="0071782F">
        <w:rPr>
          <w:sz w:val="18"/>
          <w:szCs w:val="18"/>
          <w:lang w:val="fr-CH"/>
        </w:rPr>
        <w:t>complexes.</w:t>
      </w:r>
    </w:p>
    <w:p w:rsidR="00963C03" w:rsidRPr="0071782F" w:rsidRDefault="00963C03" w:rsidP="00AA22EB">
      <w:pPr>
        <w:pStyle w:val="H23G"/>
        <w:rPr>
          <w:lang w:val="fr-CH"/>
        </w:rPr>
      </w:pPr>
      <w:r w:rsidRPr="0071782F">
        <w:rPr>
          <w:lang w:val="fr-CH"/>
        </w:rPr>
        <w:tab/>
      </w:r>
      <w:r w:rsidRPr="0071782F">
        <w:rPr>
          <w:lang w:val="fr-CH"/>
        </w:rPr>
        <w:tab/>
      </w:r>
      <w:r w:rsidR="008C1B3C" w:rsidRPr="0071782F">
        <w:rPr>
          <w:lang w:val="fr-CH"/>
        </w:rPr>
        <w:t xml:space="preserve">Indicateurs culturels en 2005 </w:t>
      </w:r>
      <w:r w:rsidRPr="0071782F">
        <w:rPr>
          <w:lang w:val="fr-CH"/>
        </w:rPr>
        <w:t>(</w:t>
      </w:r>
      <w:r w:rsidR="008C1B3C" w:rsidRPr="0071782F">
        <w:rPr>
          <w:lang w:val="fr-CH"/>
        </w:rPr>
        <w:t>publication de livres</w:t>
      </w:r>
      <w:r w:rsidRPr="0071782F">
        <w:rPr>
          <w:lang w:val="fr-CH"/>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1984"/>
        <w:gridCol w:w="755"/>
        <w:gridCol w:w="1370"/>
      </w:tblGrid>
      <w:tr w:rsidR="00963C03" w:rsidRPr="0071782F">
        <w:trPr>
          <w:tblHeader/>
        </w:trPr>
        <w:tc>
          <w:tcPr>
            <w:tcW w:w="3261"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Indicat</w:t>
            </w:r>
            <w:r w:rsidR="008C1B3C" w:rsidRPr="0071782F">
              <w:rPr>
                <w:i/>
                <w:sz w:val="16"/>
                <w:lang w:val="fr-CH"/>
              </w:rPr>
              <w:t>eu</w:t>
            </w:r>
            <w:r w:rsidRPr="0071782F">
              <w:rPr>
                <w:i/>
                <w:sz w:val="16"/>
                <w:lang w:val="fr-CH"/>
              </w:rPr>
              <w:t>r</w:t>
            </w:r>
          </w:p>
        </w:tc>
        <w:tc>
          <w:tcPr>
            <w:tcW w:w="1984"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Unit</w:t>
            </w:r>
            <w:r w:rsidR="008C1B3C" w:rsidRPr="0071782F">
              <w:rPr>
                <w:i/>
                <w:sz w:val="16"/>
                <w:lang w:val="fr-CH"/>
              </w:rPr>
              <w:t>é</w:t>
            </w:r>
          </w:p>
        </w:tc>
        <w:tc>
          <w:tcPr>
            <w:tcW w:w="755"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No</w:t>
            </w:r>
            <w:r w:rsidR="008C1B3C" w:rsidRPr="0071782F">
              <w:rPr>
                <w:i/>
                <w:sz w:val="16"/>
                <w:lang w:val="fr-CH"/>
              </w:rPr>
              <w:t>mbre</w:t>
            </w:r>
            <w:r w:rsidRPr="0071782F">
              <w:rPr>
                <w:i/>
                <w:sz w:val="16"/>
                <w:lang w:val="fr-CH"/>
              </w:rPr>
              <w:t>/</w:t>
            </w:r>
            <w:r w:rsidR="00917D86">
              <w:rPr>
                <w:i/>
                <w:sz w:val="16"/>
                <w:lang w:val="fr-CH"/>
              </w:rPr>
              <w:br/>
            </w:r>
            <w:r w:rsidR="008C1B3C" w:rsidRPr="0071782F">
              <w:rPr>
                <w:i/>
                <w:sz w:val="16"/>
                <w:lang w:val="fr-CH"/>
              </w:rPr>
              <w:t xml:space="preserve">valeur </w:t>
            </w:r>
          </w:p>
        </w:tc>
        <w:tc>
          <w:tcPr>
            <w:tcW w:w="1370" w:type="dxa"/>
            <w:tcBorders>
              <w:top w:val="single" w:sz="4" w:space="0" w:color="auto"/>
              <w:bottom w:val="single" w:sz="12" w:space="0" w:color="auto"/>
            </w:tcBorders>
            <w:shd w:val="clear" w:color="auto" w:fill="auto"/>
            <w:vAlign w:val="bottom"/>
          </w:tcPr>
          <w:p w:rsidR="00963C03" w:rsidRPr="0071782F" w:rsidRDefault="008C1B3C" w:rsidP="00881286">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963C03" w:rsidRPr="0071782F">
        <w:tc>
          <w:tcPr>
            <w:tcW w:w="3261" w:type="dxa"/>
            <w:tcBorders>
              <w:top w:val="single" w:sz="12" w:space="0" w:color="auto"/>
            </w:tcBorders>
            <w:shd w:val="clear" w:color="auto" w:fill="auto"/>
          </w:tcPr>
          <w:p w:rsidR="00963C03" w:rsidRPr="0071782F" w:rsidRDefault="00D843B7" w:rsidP="00881286">
            <w:pPr>
              <w:suppressAutoHyphens w:val="0"/>
              <w:spacing w:before="40" w:after="40" w:line="220" w:lineRule="exact"/>
              <w:rPr>
                <w:sz w:val="18"/>
                <w:lang w:val="fr-CH"/>
              </w:rPr>
            </w:pPr>
            <w:r w:rsidRPr="0071782F">
              <w:rPr>
                <w:sz w:val="18"/>
                <w:lang w:val="fr-CH"/>
              </w:rPr>
              <w:t>Nombre de livres publiés</w:t>
            </w:r>
          </w:p>
        </w:tc>
        <w:tc>
          <w:tcPr>
            <w:tcW w:w="1984"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Tit</w:t>
            </w:r>
            <w:r w:rsidR="00D843B7" w:rsidRPr="0071782F">
              <w:rPr>
                <w:sz w:val="18"/>
                <w:lang w:val="fr-CH"/>
              </w:rPr>
              <w:t>r</w:t>
            </w:r>
            <w:r w:rsidRPr="0071782F">
              <w:rPr>
                <w:sz w:val="18"/>
                <w:lang w:val="fr-CH"/>
              </w:rPr>
              <w:t>e</w:t>
            </w:r>
          </w:p>
        </w:tc>
        <w:tc>
          <w:tcPr>
            <w:tcW w:w="755"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50 813</w:t>
            </w:r>
          </w:p>
        </w:tc>
        <w:tc>
          <w:tcPr>
            <w:tcW w:w="1370"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24</w:t>
            </w:r>
            <w:r w:rsidR="00881286" w:rsidRPr="0071782F">
              <w:rPr>
                <w:sz w:val="18"/>
                <w:lang w:val="fr-CH"/>
              </w:rPr>
              <w:t>,</w:t>
            </w:r>
            <w:r w:rsidRPr="0071782F">
              <w:rPr>
                <w:sz w:val="18"/>
                <w:lang w:val="fr-CH"/>
              </w:rPr>
              <w:t>2</w:t>
            </w:r>
            <w:r w:rsidR="004F2A00" w:rsidRPr="0071782F">
              <w:rPr>
                <w:sz w:val="18"/>
                <w:vertAlign w:val="superscript"/>
                <w:lang w:val="fr-CH"/>
              </w:rPr>
              <w:t>(</w:t>
            </w:r>
            <w:r w:rsidRPr="0071782F">
              <w:rPr>
                <w:i/>
                <w:sz w:val="18"/>
                <w:vertAlign w:val="superscript"/>
                <w:lang w:val="fr-CH"/>
              </w:rPr>
              <w:t>1</w:t>
            </w:r>
            <w:r w:rsidR="004F2A00" w:rsidRPr="0071782F">
              <w:rPr>
                <w:i/>
                <w:sz w:val="18"/>
                <w:vertAlign w:val="superscript"/>
                <w:lang w:val="fr-CH"/>
              </w:rPr>
              <w:t>)</w:t>
            </w:r>
          </w:p>
        </w:tc>
      </w:tr>
      <w:tr w:rsidR="00963C03" w:rsidRPr="0071782F">
        <w:tc>
          <w:tcPr>
            <w:tcW w:w="3261" w:type="dxa"/>
            <w:shd w:val="clear" w:color="auto" w:fill="auto"/>
          </w:tcPr>
          <w:p w:rsidR="00963C03" w:rsidRPr="0071782F" w:rsidRDefault="00D843B7" w:rsidP="00881286">
            <w:pPr>
              <w:suppressAutoHyphens w:val="0"/>
              <w:spacing w:before="40" w:after="40" w:line="220" w:lineRule="exact"/>
              <w:rPr>
                <w:sz w:val="18"/>
                <w:lang w:val="fr-CH"/>
              </w:rPr>
            </w:pPr>
            <w:r w:rsidRPr="0071782F">
              <w:rPr>
                <w:sz w:val="18"/>
                <w:lang w:val="fr-CH"/>
              </w:rPr>
              <w:t>Nombre d’exemplaires de livres publiés</w:t>
            </w:r>
          </w:p>
        </w:tc>
        <w:tc>
          <w:tcPr>
            <w:tcW w:w="1984"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Million</w:t>
            </w:r>
            <w:r w:rsidR="00D843B7" w:rsidRPr="0071782F">
              <w:rPr>
                <w:sz w:val="18"/>
                <w:lang w:val="fr-CH"/>
              </w:rPr>
              <w:t>s d’exemplaires</w:t>
            </w:r>
            <w:r w:rsidRPr="0071782F">
              <w:rPr>
                <w:sz w:val="18"/>
                <w:lang w:val="fr-CH"/>
              </w:rPr>
              <w:t xml:space="preserve"> </w:t>
            </w:r>
          </w:p>
        </w:tc>
        <w:tc>
          <w:tcPr>
            <w:tcW w:w="755"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215</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22</w:t>
            </w:r>
            <w:r w:rsidR="00881286" w:rsidRPr="0071782F">
              <w:rPr>
                <w:sz w:val="18"/>
                <w:lang w:val="fr-CH"/>
              </w:rPr>
              <w:t>,</w:t>
            </w:r>
            <w:r w:rsidRPr="0071782F">
              <w:rPr>
                <w:sz w:val="18"/>
                <w:lang w:val="fr-CH"/>
              </w:rPr>
              <w:t>8</w:t>
            </w:r>
            <w:r w:rsidR="000C39AB" w:rsidRPr="0071782F">
              <w:rPr>
                <w:sz w:val="18"/>
                <w:vertAlign w:val="superscript"/>
                <w:lang w:val="fr-CH"/>
              </w:rPr>
              <w:t>(</w:t>
            </w:r>
            <w:r w:rsidR="000C39AB" w:rsidRPr="0071782F">
              <w:rPr>
                <w:i/>
                <w:sz w:val="18"/>
                <w:vertAlign w:val="superscript"/>
                <w:lang w:val="fr-CH"/>
              </w:rPr>
              <w:t>1)</w:t>
            </w:r>
          </w:p>
        </w:tc>
      </w:tr>
      <w:tr w:rsidR="00963C03" w:rsidRPr="0071782F">
        <w:tc>
          <w:tcPr>
            <w:tcW w:w="3261" w:type="dxa"/>
            <w:shd w:val="clear" w:color="auto" w:fill="auto"/>
          </w:tcPr>
          <w:p w:rsidR="00963C03" w:rsidRPr="0071782F" w:rsidRDefault="00D843B7" w:rsidP="00881286">
            <w:pPr>
              <w:suppressAutoHyphens w:val="0"/>
              <w:spacing w:before="40" w:after="40" w:line="220" w:lineRule="exact"/>
              <w:rPr>
                <w:sz w:val="18"/>
                <w:lang w:val="fr-CH"/>
              </w:rPr>
            </w:pPr>
            <w:r w:rsidRPr="0071782F">
              <w:rPr>
                <w:sz w:val="18"/>
                <w:lang w:val="fr-CH"/>
              </w:rPr>
              <w:t>Nombre de livres traduits</w:t>
            </w:r>
          </w:p>
        </w:tc>
        <w:tc>
          <w:tcPr>
            <w:tcW w:w="1984"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Tit</w:t>
            </w:r>
            <w:r w:rsidR="00D843B7" w:rsidRPr="0071782F">
              <w:rPr>
                <w:sz w:val="18"/>
                <w:lang w:val="fr-CH"/>
              </w:rPr>
              <w:t>re</w:t>
            </w:r>
          </w:p>
        </w:tc>
        <w:tc>
          <w:tcPr>
            <w:tcW w:w="755"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11 862</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25</w:t>
            </w:r>
            <w:r w:rsidR="00881286" w:rsidRPr="0071782F">
              <w:rPr>
                <w:sz w:val="18"/>
                <w:lang w:val="fr-CH"/>
              </w:rPr>
              <w:t>,</w:t>
            </w:r>
            <w:r w:rsidRPr="0071782F">
              <w:rPr>
                <w:sz w:val="18"/>
                <w:lang w:val="fr-CH"/>
              </w:rPr>
              <w:t>2</w:t>
            </w:r>
            <w:r w:rsidR="000C39AB" w:rsidRPr="0071782F">
              <w:rPr>
                <w:sz w:val="18"/>
                <w:vertAlign w:val="superscript"/>
                <w:lang w:val="fr-CH"/>
              </w:rPr>
              <w:t>(</w:t>
            </w:r>
            <w:r w:rsidR="000C39AB" w:rsidRPr="0071782F">
              <w:rPr>
                <w:i/>
                <w:sz w:val="18"/>
                <w:vertAlign w:val="superscript"/>
                <w:lang w:val="fr-CH"/>
              </w:rPr>
              <w:t>1)</w:t>
            </w:r>
          </w:p>
        </w:tc>
      </w:tr>
      <w:tr w:rsidR="00963C03" w:rsidRPr="0071782F">
        <w:tc>
          <w:tcPr>
            <w:tcW w:w="3261" w:type="dxa"/>
            <w:shd w:val="clear" w:color="auto" w:fill="auto"/>
          </w:tcPr>
          <w:p w:rsidR="00963C03" w:rsidRPr="0071782F" w:rsidRDefault="00D843B7" w:rsidP="00881286">
            <w:pPr>
              <w:suppressAutoHyphens w:val="0"/>
              <w:spacing w:before="40" w:after="40" w:line="220" w:lineRule="exact"/>
              <w:rPr>
                <w:sz w:val="18"/>
                <w:lang w:val="fr-CH"/>
              </w:rPr>
            </w:pPr>
            <w:r w:rsidRPr="0071782F">
              <w:rPr>
                <w:sz w:val="18"/>
                <w:lang w:val="fr-CH"/>
              </w:rPr>
              <w:t>Nombre de livres d’auteur</w:t>
            </w:r>
          </w:p>
        </w:tc>
        <w:tc>
          <w:tcPr>
            <w:tcW w:w="1984"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Tit</w:t>
            </w:r>
            <w:r w:rsidR="00D843B7" w:rsidRPr="0071782F">
              <w:rPr>
                <w:sz w:val="18"/>
                <w:lang w:val="fr-CH"/>
              </w:rPr>
              <w:t>r</w:t>
            </w:r>
            <w:r w:rsidRPr="0071782F">
              <w:rPr>
                <w:sz w:val="18"/>
                <w:lang w:val="fr-CH"/>
              </w:rPr>
              <w:t>e</w:t>
            </w:r>
          </w:p>
        </w:tc>
        <w:tc>
          <w:tcPr>
            <w:tcW w:w="755"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38 987</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23</w:t>
            </w:r>
            <w:r w:rsidR="00881286" w:rsidRPr="0071782F">
              <w:rPr>
                <w:sz w:val="18"/>
                <w:lang w:val="fr-CH"/>
              </w:rPr>
              <w:t>,</w:t>
            </w:r>
            <w:r w:rsidRPr="0071782F">
              <w:rPr>
                <w:sz w:val="18"/>
                <w:lang w:val="fr-CH"/>
              </w:rPr>
              <w:t>9</w:t>
            </w:r>
            <w:r w:rsidR="000C39AB" w:rsidRPr="0071782F">
              <w:rPr>
                <w:sz w:val="18"/>
                <w:vertAlign w:val="superscript"/>
                <w:lang w:val="fr-CH"/>
              </w:rPr>
              <w:t>(</w:t>
            </w:r>
            <w:r w:rsidR="000C39AB" w:rsidRPr="0071782F">
              <w:rPr>
                <w:i/>
                <w:sz w:val="18"/>
                <w:vertAlign w:val="superscript"/>
                <w:lang w:val="fr-CH"/>
              </w:rPr>
              <w:t>1)</w:t>
            </w:r>
          </w:p>
        </w:tc>
      </w:tr>
      <w:tr w:rsidR="00963C03" w:rsidRPr="0071782F">
        <w:tc>
          <w:tcPr>
            <w:tcW w:w="3261" w:type="dxa"/>
            <w:shd w:val="clear" w:color="auto" w:fill="auto"/>
          </w:tcPr>
          <w:p w:rsidR="00963C03" w:rsidRPr="0071782F" w:rsidRDefault="00D843B7" w:rsidP="00881286">
            <w:pPr>
              <w:suppressAutoHyphens w:val="0"/>
              <w:spacing w:before="40" w:after="40" w:line="220" w:lineRule="exact"/>
              <w:rPr>
                <w:sz w:val="18"/>
                <w:lang w:val="fr-CH"/>
              </w:rPr>
            </w:pPr>
            <w:r w:rsidRPr="0071782F">
              <w:rPr>
                <w:sz w:val="18"/>
                <w:lang w:val="fr-CH"/>
              </w:rPr>
              <w:t xml:space="preserve">Nombre de publications </w:t>
            </w:r>
            <w:r w:rsidR="00963C03" w:rsidRPr="0071782F">
              <w:rPr>
                <w:sz w:val="18"/>
                <w:lang w:val="fr-CH"/>
              </w:rPr>
              <w:t>p</w:t>
            </w:r>
            <w:r w:rsidRPr="0071782F">
              <w:rPr>
                <w:sz w:val="18"/>
                <w:lang w:val="fr-CH"/>
              </w:rPr>
              <w:t>é</w:t>
            </w:r>
            <w:r w:rsidR="00963C03" w:rsidRPr="0071782F">
              <w:rPr>
                <w:sz w:val="18"/>
                <w:lang w:val="fr-CH"/>
              </w:rPr>
              <w:t>riodi</w:t>
            </w:r>
            <w:r w:rsidRPr="0071782F">
              <w:rPr>
                <w:sz w:val="18"/>
                <w:lang w:val="fr-CH"/>
              </w:rPr>
              <w:t>ques</w:t>
            </w:r>
            <w:r w:rsidR="000C39AB" w:rsidRPr="0071782F">
              <w:rPr>
                <w:i/>
                <w:sz w:val="18"/>
                <w:vertAlign w:val="superscript"/>
                <w:lang w:val="fr-CH"/>
              </w:rPr>
              <w:t>(</w:t>
            </w:r>
            <w:r w:rsidR="00963C03" w:rsidRPr="0071782F">
              <w:rPr>
                <w:i/>
                <w:sz w:val="18"/>
                <w:vertAlign w:val="superscript"/>
                <w:lang w:val="fr-CH"/>
              </w:rPr>
              <w:t>2</w:t>
            </w:r>
            <w:r w:rsidR="000C39AB" w:rsidRPr="0071782F">
              <w:rPr>
                <w:i/>
                <w:sz w:val="18"/>
                <w:vertAlign w:val="superscript"/>
                <w:lang w:val="fr-CH"/>
              </w:rPr>
              <w:t>)</w:t>
            </w:r>
          </w:p>
        </w:tc>
        <w:tc>
          <w:tcPr>
            <w:tcW w:w="1984" w:type="dxa"/>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755"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3261" w:type="dxa"/>
            <w:tcBorders>
              <w:bottom w:val="single" w:sz="4" w:space="0" w:color="auto"/>
            </w:tcBorders>
            <w:shd w:val="clear" w:color="auto" w:fill="auto"/>
          </w:tcPr>
          <w:p w:rsidR="00963C03" w:rsidRPr="0071782F" w:rsidRDefault="00D843B7" w:rsidP="00881286">
            <w:pPr>
              <w:suppressAutoHyphens w:val="0"/>
              <w:spacing w:before="40" w:after="40" w:line="220" w:lineRule="exact"/>
              <w:rPr>
                <w:sz w:val="18"/>
                <w:lang w:val="fr-CH"/>
              </w:rPr>
            </w:pPr>
            <w:r w:rsidRPr="0071782F">
              <w:rPr>
                <w:sz w:val="18"/>
                <w:lang w:val="fr-CH"/>
              </w:rPr>
              <w:t>Nombre d’exemplaires de publications périodiques</w:t>
            </w:r>
            <w:r w:rsidRPr="0071782F">
              <w:rPr>
                <w:i/>
                <w:sz w:val="18"/>
                <w:vertAlign w:val="superscript"/>
                <w:lang w:val="fr-CH"/>
              </w:rPr>
              <w:t xml:space="preserve"> </w:t>
            </w:r>
            <w:r w:rsidR="000C39AB" w:rsidRPr="0071782F">
              <w:rPr>
                <w:i/>
                <w:sz w:val="18"/>
                <w:vertAlign w:val="superscript"/>
                <w:lang w:val="fr-CH"/>
              </w:rPr>
              <w:t>(2)</w:t>
            </w:r>
          </w:p>
        </w:tc>
        <w:tc>
          <w:tcPr>
            <w:tcW w:w="1984" w:type="dxa"/>
            <w:tcBorders>
              <w:bottom w:val="single" w:sz="4" w:space="0" w:color="auto"/>
            </w:tcBorders>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755" w:type="dxa"/>
            <w:tcBorders>
              <w:bottom w:val="single" w:sz="4"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c>
          <w:tcPr>
            <w:tcW w:w="1370" w:type="dxa"/>
            <w:tcBorders>
              <w:bottom w:val="single" w:sz="4"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3261" w:type="dxa"/>
            <w:tcBorders>
              <w:top w:val="single" w:sz="4" w:space="0" w:color="auto"/>
              <w:bottom w:val="single" w:sz="4" w:space="0" w:color="auto"/>
            </w:tcBorders>
            <w:shd w:val="clear" w:color="auto" w:fill="auto"/>
          </w:tcPr>
          <w:p w:rsidR="00963C03" w:rsidRPr="0071782F" w:rsidRDefault="00D843B7" w:rsidP="00745B3F">
            <w:pPr>
              <w:suppressAutoHyphens w:val="0"/>
              <w:spacing w:before="80" w:after="80" w:line="220" w:lineRule="exact"/>
              <w:ind w:left="284"/>
              <w:rPr>
                <w:b/>
                <w:sz w:val="18"/>
                <w:lang w:val="fr-CH"/>
              </w:rPr>
            </w:pPr>
            <w:r w:rsidRPr="0071782F">
              <w:rPr>
                <w:b/>
                <w:sz w:val="18"/>
                <w:lang w:val="fr-CH"/>
              </w:rPr>
              <w:t>Nombre total de bibliothèques publiques</w:t>
            </w:r>
            <w:r w:rsidR="000C39AB" w:rsidRPr="0071782F">
              <w:rPr>
                <w:i/>
                <w:sz w:val="18"/>
                <w:vertAlign w:val="superscript"/>
                <w:lang w:val="fr-CH"/>
              </w:rPr>
              <w:t>(2)</w:t>
            </w:r>
          </w:p>
        </w:tc>
        <w:tc>
          <w:tcPr>
            <w:tcW w:w="1984" w:type="dxa"/>
            <w:tcBorders>
              <w:top w:val="single" w:sz="4" w:space="0" w:color="auto"/>
              <w:bottom w:val="single" w:sz="4" w:space="0" w:color="auto"/>
            </w:tcBorders>
            <w:shd w:val="clear" w:color="auto" w:fill="auto"/>
            <w:vAlign w:val="bottom"/>
          </w:tcPr>
          <w:p w:rsidR="00963C03" w:rsidRPr="0071782F" w:rsidRDefault="00963C03" w:rsidP="00881286">
            <w:pPr>
              <w:suppressAutoHyphens w:val="0"/>
              <w:spacing w:before="80" w:after="80" w:line="220" w:lineRule="exact"/>
              <w:rPr>
                <w:b/>
                <w:sz w:val="18"/>
                <w:lang w:val="fr-CH"/>
              </w:rPr>
            </w:pPr>
          </w:p>
        </w:tc>
        <w:tc>
          <w:tcPr>
            <w:tcW w:w="755" w:type="dxa"/>
            <w:tcBorders>
              <w:top w:val="single" w:sz="4" w:space="0" w:color="auto"/>
              <w:bottom w:val="single" w:sz="4" w:space="0" w:color="auto"/>
            </w:tcBorders>
            <w:shd w:val="clear" w:color="auto" w:fill="auto"/>
            <w:vAlign w:val="bottom"/>
          </w:tcPr>
          <w:p w:rsidR="00963C03" w:rsidRPr="0071782F" w:rsidRDefault="00963C03" w:rsidP="00881286">
            <w:pPr>
              <w:suppressAutoHyphens w:val="0"/>
              <w:spacing w:before="80" w:after="80" w:line="220" w:lineRule="exact"/>
              <w:jc w:val="right"/>
              <w:rPr>
                <w:b/>
                <w:sz w:val="18"/>
                <w:lang w:val="fr-CH"/>
              </w:rPr>
            </w:pPr>
          </w:p>
        </w:tc>
        <w:tc>
          <w:tcPr>
            <w:tcW w:w="1370" w:type="dxa"/>
            <w:tcBorders>
              <w:top w:val="single" w:sz="4" w:space="0" w:color="auto"/>
              <w:bottom w:val="single" w:sz="4" w:space="0" w:color="auto"/>
            </w:tcBorders>
            <w:shd w:val="clear" w:color="auto" w:fill="auto"/>
            <w:vAlign w:val="bottom"/>
          </w:tcPr>
          <w:p w:rsidR="00963C03" w:rsidRPr="0071782F" w:rsidRDefault="00963C03" w:rsidP="00881286">
            <w:pPr>
              <w:suppressAutoHyphens w:val="0"/>
              <w:spacing w:before="80" w:after="80" w:line="220" w:lineRule="exact"/>
              <w:jc w:val="right"/>
              <w:rPr>
                <w:b/>
                <w:sz w:val="18"/>
                <w:lang w:val="fr-CH"/>
              </w:rPr>
            </w:pPr>
          </w:p>
        </w:tc>
      </w:tr>
      <w:tr w:rsidR="00963C03" w:rsidRPr="0071782F">
        <w:tc>
          <w:tcPr>
            <w:tcW w:w="3261" w:type="dxa"/>
            <w:tcBorders>
              <w:top w:val="single" w:sz="4" w:space="0" w:color="auto"/>
              <w:bottom w:val="single" w:sz="4" w:space="0" w:color="auto"/>
            </w:tcBorders>
            <w:shd w:val="clear" w:color="auto" w:fill="auto"/>
          </w:tcPr>
          <w:p w:rsidR="00963C03" w:rsidRPr="0071782F" w:rsidRDefault="00D843B7" w:rsidP="00745B3F">
            <w:pPr>
              <w:suppressAutoHyphens w:val="0"/>
              <w:spacing w:before="80" w:after="80" w:line="220" w:lineRule="exact"/>
              <w:ind w:left="284"/>
              <w:rPr>
                <w:b/>
                <w:sz w:val="18"/>
                <w:lang w:val="fr-CH"/>
              </w:rPr>
            </w:pPr>
            <w:r w:rsidRPr="0071782F">
              <w:rPr>
                <w:b/>
                <w:sz w:val="18"/>
                <w:lang w:val="fr-CH"/>
              </w:rPr>
              <w:t>Nombre total de membres des bibliothèques publiques</w:t>
            </w:r>
            <w:r w:rsidR="000C39AB" w:rsidRPr="0071782F">
              <w:rPr>
                <w:i/>
                <w:sz w:val="18"/>
                <w:vertAlign w:val="superscript"/>
                <w:lang w:val="fr-CH"/>
              </w:rPr>
              <w:t>(2)</w:t>
            </w:r>
          </w:p>
        </w:tc>
        <w:tc>
          <w:tcPr>
            <w:tcW w:w="1984" w:type="dxa"/>
            <w:tcBorders>
              <w:top w:val="single" w:sz="4" w:space="0" w:color="auto"/>
              <w:bottom w:val="single" w:sz="4" w:space="0" w:color="auto"/>
            </w:tcBorders>
            <w:shd w:val="clear" w:color="auto" w:fill="auto"/>
            <w:vAlign w:val="bottom"/>
          </w:tcPr>
          <w:p w:rsidR="00963C03" w:rsidRPr="0071782F" w:rsidRDefault="00963C03" w:rsidP="00881286">
            <w:pPr>
              <w:suppressAutoHyphens w:val="0"/>
              <w:spacing w:before="80" w:after="80" w:line="220" w:lineRule="exact"/>
              <w:rPr>
                <w:b/>
                <w:sz w:val="18"/>
                <w:lang w:val="fr-CH"/>
              </w:rPr>
            </w:pPr>
          </w:p>
        </w:tc>
        <w:tc>
          <w:tcPr>
            <w:tcW w:w="755" w:type="dxa"/>
            <w:tcBorders>
              <w:top w:val="single" w:sz="4" w:space="0" w:color="auto"/>
              <w:bottom w:val="single" w:sz="4" w:space="0" w:color="auto"/>
            </w:tcBorders>
            <w:shd w:val="clear" w:color="auto" w:fill="auto"/>
            <w:vAlign w:val="bottom"/>
          </w:tcPr>
          <w:p w:rsidR="00963C03" w:rsidRPr="0071782F" w:rsidRDefault="00963C03" w:rsidP="00881286">
            <w:pPr>
              <w:suppressAutoHyphens w:val="0"/>
              <w:spacing w:before="80" w:after="80" w:line="220" w:lineRule="exact"/>
              <w:jc w:val="right"/>
              <w:rPr>
                <w:b/>
                <w:sz w:val="18"/>
                <w:lang w:val="fr-CH"/>
              </w:rPr>
            </w:pPr>
          </w:p>
        </w:tc>
        <w:tc>
          <w:tcPr>
            <w:tcW w:w="1370" w:type="dxa"/>
            <w:tcBorders>
              <w:top w:val="single" w:sz="4" w:space="0" w:color="auto"/>
              <w:bottom w:val="single" w:sz="4" w:space="0" w:color="auto"/>
            </w:tcBorders>
            <w:shd w:val="clear" w:color="auto" w:fill="auto"/>
            <w:vAlign w:val="bottom"/>
          </w:tcPr>
          <w:p w:rsidR="00963C03" w:rsidRPr="0071782F" w:rsidRDefault="00963C03" w:rsidP="00881286">
            <w:pPr>
              <w:suppressAutoHyphens w:val="0"/>
              <w:spacing w:before="80" w:after="80" w:line="220" w:lineRule="exact"/>
              <w:jc w:val="right"/>
              <w:rPr>
                <w:b/>
                <w:sz w:val="18"/>
                <w:lang w:val="fr-CH"/>
              </w:rPr>
            </w:pPr>
          </w:p>
        </w:tc>
      </w:tr>
      <w:tr w:rsidR="00963C03" w:rsidRPr="0071782F">
        <w:tc>
          <w:tcPr>
            <w:tcW w:w="3261" w:type="dxa"/>
            <w:tcBorders>
              <w:top w:val="single" w:sz="4" w:space="0" w:color="auto"/>
            </w:tcBorders>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D843B7" w:rsidRPr="0071782F">
              <w:rPr>
                <w:sz w:val="18"/>
                <w:lang w:val="fr-CH"/>
              </w:rPr>
              <w:t>mbre de centres culturels et artistique</w:t>
            </w:r>
            <w:r w:rsidR="00CA3D78" w:rsidRPr="0071782F">
              <w:rPr>
                <w:sz w:val="18"/>
                <w:lang w:val="fr-CH"/>
              </w:rPr>
              <w:t>s</w:t>
            </w:r>
            <w:r w:rsidR="00D843B7" w:rsidRPr="0071782F">
              <w:rPr>
                <w:sz w:val="18"/>
                <w:lang w:val="fr-CH"/>
              </w:rPr>
              <w:t xml:space="preserve"> de mosquées en fin d’année </w:t>
            </w:r>
          </w:p>
        </w:tc>
        <w:tc>
          <w:tcPr>
            <w:tcW w:w="1984" w:type="dxa"/>
            <w:tcBorders>
              <w:top w:val="single" w:sz="4" w:space="0" w:color="auto"/>
            </w:tcBorders>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D843B7" w:rsidRPr="0071782F">
              <w:rPr>
                <w:sz w:val="18"/>
                <w:lang w:val="fr-CH"/>
              </w:rPr>
              <w:t>mbre</w:t>
            </w:r>
          </w:p>
        </w:tc>
        <w:tc>
          <w:tcPr>
            <w:tcW w:w="755" w:type="dxa"/>
            <w:tcBorders>
              <w:top w:val="single" w:sz="4"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3 000</w:t>
            </w:r>
          </w:p>
        </w:tc>
        <w:tc>
          <w:tcPr>
            <w:tcW w:w="1370" w:type="dxa"/>
            <w:tcBorders>
              <w:top w:val="single" w:sz="4"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68</w:t>
            </w:r>
            <w:r w:rsidR="00881286" w:rsidRPr="0071782F">
              <w:rPr>
                <w:sz w:val="18"/>
                <w:lang w:val="fr-CH"/>
              </w:rPr>
              <w:t>,</w:t>
            </w:r>
            <w:r w:rsidRPr="0071782F">
              <w:rPr>
                <w:sz w:val="18"/>
                <w:lang w:val="fr-CH"/>
              </w:rPr>
              <w:t>2</w:t>
            </w:r>
          </w:p>
        </w:tc>
      </w:tr>
    </w:tbl>
    <w:p w:rsidR="00963C03" w:rsidRPr="0071782F" w:rsidRDefault="00963C03" w:rsidP="00AA22EB">
      <w:pPr>
        <w:pStyle w:val="H23G"/>
        <w:rPr>
          <w:lang w:val="fr-CH"/>
        </w:rPr>
      </w:pPr>
      <w:r w:rsidRPr="0071782F">
        <w:rPr>
          <w:lang w:val="fr-CH"/>
        </w:rPr>
        <w:tab/>
      </w:r>
      <w:r w:rsidRPr="0071782F">
        <w:rPr>
          <w:lang w:val="fr-CH"/>
        </w:rPr>
        <w:tab/>
      </w:r>
      <w:r w:rsidR="00D843B7" w:rsidRPr="0071782F">
        <w:rPr>
          <w:lang w:val="fr-CH"/>
        </w:rPr>
        <w:t xml:space="preserve">Indicateurs culturels en </w:t>
      </w:r>
      <w:r w:rsidRPr="0071782F">
        <w:rPr>
          <w:lang w:val="fr-CH"/>
        </w:rPr>
        <w:t>2006</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1559"/>
        <w:gridCol w:w="992"/>
        <w:gridCol w:w="1558"/>
      </w:tblGrid>
      <w:tr w:rsidR="00963C03" w:rsidRPr="0071782F">
        <w:trPr>
          <w:tblHeader/>
        </w:trPr>
        <w:tc>
          <w:tcPr>
            <w:tcW w:w="3261"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Indicat</w:t>
            </w:r>
            <w:r w:rsidR="00D843B7" w:rsidRPr="0071782F">
              <w:rPr>
                <w:i/>
                <w:sz w:val="16"/>
                <w:lang w:val="fr-CH"/>
              </w:rPr>
              <w:t>eu</w:t>
            </w:r>
            <w:r w:rsidRPr="0071782F">
              <w:rPr>
                <w:i/>
                <w:sz w:val="16"/>
                <w:lang w:val="fr-CH"/>
              </w:rPr>
              <w:t>r</w:t>
            </w:r>
          </w:p>
        </w:tc>
        <w:tc>
          <w:tcPr>
            <w:tcW w:w="1559" w:type="dxa"/>
            <w:tcBorders>
              <w:top w:val="single" w:sz="4" w:space="0" w:color="auto"/>
              <w:bottom w:val="single" w:sz="12" w:space="0" w:color="auto"/>
            </w:tcBorders>
            <w:shd w:val="clear" w:color="auto" w:fill="auto"/>
            <w:vAlign w:val="bottom"/>
          </w:tcPr>
          <w:p w:rsidR="00963C03" w:rsidRPr="0071782F" w:rsidRDefault="00963C03" w:rsidP="004162F4">
            <w:pPr>
              <w:suppressAutoHyphens w:val="0"/>
              <w:spacing w:before="80" w:after="80" w:line="200" w:lineRule="exact"/>
              <w:rPr>
                <w:i/>
                <w:sz w:val="16"/>
                <w:lang w:val="fr-CH"/>
              </w:rPr>
            </w:pPr>
            <w:r w:rsidRPr="0071782F">
              <w:rPr>
                <w:i/>
                <w:sz w:val="16"/>
                <w:lang w:val="fr-CH"/>
              </w:rPr>
              <w:t>Unit</w:t>
            </w:r>
            <w:r w:rsidR="00D843B7" w:rsidRPr="0071782F">
              <w:rPr>
                <w:i/>
                <w:sz w:val="16"/>
                <w:lang w:val="fr-CH"/>
              </w:rPr>
              <w:t>é</w:t>
            </w:r>
          </w:p>
        </w:tc>
        <w:tc>
          <w:tcPr>
            <w:tcW w:w="992"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No</w:t>
            </w:r>
            <w:r w:rsidR="00D843B7" w:rsidRPr="0071782F">
              <w:rPr>
                <w:i/>
                <w:sz w:val="16"/>
                <w:lang w:val="fr-CH"/>
              </w:rPr>
              <w:t>mbre/valeur</w:t>
            </w:r>
          </w:p>
        </w:tc>
        <w:tc>
          <w:tcPr>
            <w:tcW w:w="1558" w:type="dxa"/>
            <w:tcBorders>
              <w:top w:val="single" w:sz="4" w:space="0" w:color="auto"/>
              <w:bottom w:val="single" w:sz="12" w:space="0" w:color="auto"/>
            </w:tcBorders>
            <w:shd w:val="clear" w:color="auto" w:fill="auto"/>
            <w:vAlign w:val="bottom"/>
          </w:tcPr>
          <w:p w:rsidR="00963C03" w:rsidRPr="0071782F" w:rsidRDefault="00D843B7" w:rsidP="00881286">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963C03" w:rsidRPr="0071782F">
        <w:tc>
          <w:tcPr>
            <w:tcW w:w="3261" w:type="dxa"/>
            <w:tcBorders>
              <w:top w:val="single" w:sz="12" w:space="0" w:color="auto"/>
              <w:bottom w:val="nil"/>
            </w:tcBorders>
            <w:shd w:val="clear" w:color="auto" w:fill="auto"/>
          </w:tcPr>
          <w:p w:rsidR="00963C03" w:rsidRPr="0071782F" w:rsidRDefault="00D843B7" w:rsidP="00881286">
            <w:pPr>
              <w:suppressAutoHyphens w:val="0"/>
              <w:spacing w:before="40" w:after="40" w:line="220" w:lineRule="exact"/>
              <w:rPr>
                <w:sz w:val="18"/>
                <w:lang w:val="fr-CH"/>
              </w:rPr>
            </w:pPr>
            <w:r w:rsidRPr="0071782F">
              <w:rPr>
                <w:sz w:val="18"/>
                <w:lang w:val="fr-CH"/>
              </w:rPr>
              <w:t>Nombre de musées historiques et culturels en fin d’année</w:t>
            </w:r>
          </w:p>
        </w:tc>
        <w:tc>
          <w:tcPr>
            <w:tcW w:w="1559" w:type="dxa"/>
            <w:tcBorders>
              <w:top w:val="single" w:sz="12" w:space="0" w:color="auto"/>
              <w:bottom w:val="nil"/>
            </w:tcBorders>
            <w:shd w:val="clear" w:color="auto" w:fill="auto"/>
            <w:vAlign w:val="bottom"/>
          </w:tcPr>
          <w:p w:rsidR="00963C03" w:rsidRPr="0071782F" w:rsidRDefault="00F012BD" w:rsidP="004162F4">
            <w:pPr>
              <w:suppressAutoHyphens w:val="0"/>
              <w:spacing w:before="40" w:after="40" w:line="220" w:lineRule="exact"/>
              <w:rPr>
                <w:sz w:val="18"/>
                <w:lang w:val="fr-CH"/>
              </w:rPr>
            </w:pPr>
            <w:r w:rsidRPr="0071782F">
              <w:rPr>
                <w:sz w:val="18"/>
                <w:lang w:val="fr-CH"/>
              </w:rPr>
              <w:t>Nombre</w:t>
            </w:r>
          </w:p>
        </w:tc>
        <w:tc>
          <w:tcPr>
            <w:tcW w:w="992" w:type="dxa"/>
            <w:tcBorders>
              <w:top w:val="single" w:sz="12" w:space="0" w:color="auto"/>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318</w:t>
            </w:r>
          </w:p>
        </w:tc>
        <w:tc>
          <w:tcPr>
            <w:tcW w:w="1558" w:type="dxa"/>
            <w:tcBorders>
              <w:top w:val="single" w:sz="12" w:space="0" w:color="auto"/>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w:t>
            </w:r>
            <w:r w:rsidR="00881286" w:rsidRPr="0071782F">
              <w:rPr>
                <w:sz w:val="18"/>
                <w:lang w:val="fr-CH"/>
              </w:rPr>
              <w:t>,</w:t>
            </w:r>
            <w:r w:rsidRPr="0071782F">
              <w:rPr>
                <w:sz w:val="18"/>
                <w:lang w:val="fr-CH"/>
              </w:rPr>
              <w:t>3</w:t>
            </w:r>
            <w:r w:rsidR="003805D3" w:rsidRPr="0071782F">
              <w:rPr>
                <w:i/>
                <w:sz w:val="18"/>
                <w:vertAlign w:val="superscript"/>
                <w:lang w:val="fr-CH"/>
              </w:rPr>
              <w:t>(</w:t>
            </w:r>
            <w:r w:rsidRPr="0071782F">
              <w:rPr>
                <w:i/>
                <w:sz w:val="18"/>
                <w:vertAlign w:val="superscript"/>
                <w:lang w:val="fr-CH"/>
              </w:rPr>
              <w:t>1</w:t>
            </w:r>
            <w:r w:rsidR="003805D3" w:rsidRPr="0071782F">
              <w:rPr>
                <w:i/>
                <w:sz w:val="18"/>
                <w:vertAlign w:val="superscript"/>
                <w:lang w:val="fr-CH"/>
              </w:rPr>
              <w:t>)</w:t>
            </w:r>
          </w:p>
        </w:tc>
      </w:tr>
      <w:tr w:rsidR="00963C03" w:rsidRPr="0071782F">
        <w:tc>
          <w:tcPr>
            <w:tcW w:w="3261" w:type="dxa"/>
            <w:tcBorders>
              <w:top w:val="nil"/>
              <w:bottom w:val="nil"/>
            </w:tcBorders>
            <w:shd w:val="clear" w:color="auto" w:fill="auto"/>
          </w:tcPr>
          <w:p w:rsidR="00963C03" w:rsidRPr="0071782F" w:rsidRDefault="00F012BD" w:rsidP="00881286">
            <w:pPr>
              <w:suppressAutoHyphens w:val="0"/>
              <w:spacing w:before="40" w:after="40" w:line="220" w:lineRule="exact"/>
              <w:rPr>
                <w:sz w:val="18"/>
                <w:lang w:val="fr-CH"/>
              </w:rPr>
            </w:pPr>
            <w:r w:rsidRPr="0071782F">
              <w:rPr>
                <w:sz w:val="18"/>
                <w:lang w:val="fr-CH"/>
              </w:rPr>
              <w:t xml:space="preserve">Nombre de visiteurs des musées, bâtiments et sites d’intérêt historique et culturel </w:t>
            </w:r>
          </w:p>
        </w:tc>
        <w:tc>
          <w:tcPr>
            <w:tcW w:w="1559" w:type="dxa"/>
            <w:tcBorders>
              <w:top w:val="nil"/>
              <w:bottom w:val="nil"/>
            </w:tcBorders>
            <w:shd w:val="clear" w:color="auto" w:fill="auto"/>
            <w:vAlign w:val="bottom"/>
          </w:tcPr>
          <w:p w:rsidR="00963C03" w:rsidRPr="0071782F" w:rsidRDefault="00963C03" w:rsidP="004162F4">
            <w:pPr>
              <w:suppressAutoHyphens w:val="0"/>
              <w:spacing w:before="40" w:after="40" w:line="220" w:lineRule="exact"/>
              <w:rPr>
                <w:sz w:val="18"/>
                <w:lang w:val="fr-CH"/>
              </w:rPr>
            </w:pPr>
            <w:r w:rsidRPr="0071782F">
              <w:rPr>
                <w:sz w:val="18"/>
                <w:lang w:val="fr-CH"/>
              </w:rPr>
              <w:t>Person</w:t>
            </w:r>
            <w:r w:rsidR="00F012BD" w:rsidRPr="0071782F">
              <w:rPr>
                <w:sz w:val="18"/>
                <w:lang w:val="fr-CH"/>
              </w:rPr>
              <w:t>nes</w:t>
            </w:r>
            <w:r w:rsidRPr="0071782F">
              <w:rPr>
                <w:sz w:val="18"/>
                <w:lang w:val="fr-CH"/>
              </w:rPr>
              <w:t xml:space="preserve"> (</w:t>
            </w:r>
            <w:r w:rsidR="00F012BD" w:rsidRPr="0071782F">
              <w:rPr>
                <w:sz w:val="18"/>
                <w:lang w:val="fr-CH"/>
              </w:rPr>
              <w:t>milliers</w:t>
            </w:r>
            <w:r w:rsidRPr="0071782F">
              <w:rPr>
                <w:sz w:val="18"/>
                <w:lang w:val="fr-CH"/>
              </w:rPr>
              <w:t>)</w:t>
            </w:r>
          </w:p>
        </w:tc>
        <w:tc>
          <w:tcPr>
            <w:tcW w:w="992"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15 700</w:t>
            </w:r>
          </w:p>
        </w:tc>
        <w:tc>
          <w:tcPr>
            <w:tcW w:w="1558"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w:t>
            </w:r>
            <w:r w:rsidR="00881286" w:rsidRPr="0071782F">
              <w:rPr>
                <w:sz w:val="18"/>
                <w:lang w:val="fr-CH"/>
              </w:rPr>
              <w:t>,</w:t>
            </w:r>
            <w:r w:rsidRPr="0071782F">
              <w:rPr>
                <w:sz w:val="18"/>
                <w:lang w:val="fr-CH"/>
              </w:rPr>
              <w:t>5</w:t>
            </w:r>
            <w:r w:rsidR="003805D3" w:rsidRPr="0071782F">
              <w:rPr>
                <w:i/>
                <w:sz w:val="18"/>
                <w:vertAlign w:val="superscript"/>
                <w:lang w:val="fr-CH"/>
              </w:rPr>
              <w:t>(</w:t>
            </w:r>
            <w:r w:rsidRPr="0071782F">
              <w:rPr>
                <w:i/>
                <w:sz w:val="18"/>
                <w:vertAlign w:val="superscript"/>
                <w:lang w:val="fr-CH"/>
              </w:rPr>
              <w:t>1</w:t>
            </w:r>
            <w:r w:rsidR="003805D3" w:rsidRPr="0071782F">
              <w:rPr>
                <w:i/>
                <w:sz w:val="18"/>
                <w:vertAlign w:val="superscript"/>
                <w:lang w:val="fr-CH"/>
              </w:rPr>
              <w:t>)</w:t>
            </w:r>
          </w:p>
        </w:tc>
      </w:tr>
      <w:tr w:rsidR="00963C03" w:rsidRPr="0071782F">
        <w:tc>
          <w:tcPr>
            <w:tcW w:w="3261" w:type="dxa"/>
            <w:tcBorders>
              <w:top w:val="nil"/>
            </w:tcBorders>
            <w:shd w:val="clear" w:color="auto" w:fill="auto"/>
          </w:tcPr>
          <w:p w:rsidR="00963C03" w:rsidRPr="0071782F" w:rsidRDefault="00F012BD" w:rsidP="00881286">
            <w:pPr>
              <w:suppressAutoHyphens w:val="0"/>
              <w:spacing w:before="40" w:after="40" w:line="220" w:lineRule="exact"/>
              <w:rPr>
                <w:sz w:val="18"/>
                <w:lang w:val="fr-CH"/>
              </w:rPr>
            </w:pPr>
            <w:r w:rsidRPr="0071782F">
              <w:rPr>
                <w:sz w:val="18"/>
                <w:lang w:val="fr-CH"/>
              </w:rPr>
              <w:t xml:space="preserve">Nombre de monuments inscrits sur la liste nationale des </w:t>
            </w:r>
            <w:r w:rsidR="00D5366B" w:rsidRPr="0071782F">
              <w:rPr>
                <w:sz w:val="18"/>
                <w:lang w:val="fr-CH"/>
              </w:rPr>
              <w:t>œuvre</w:t>
            </w:r>
            <w:r w:rsidRPr="0071782F">
              <w:rPr>
                <w:sz w:val="18"/>
                <w:lang w:val="fr-CH"/>
              </w:rPr>
              <w:t>s d’intérêt historique</w:t>
            </w:r>
          </w:p>
        </w:tc>
        <w:tc>
          <w:tcPr>
            <w:tcW w:w="1559" w:type="dxa"/>
            <w:tcBorders>
              <w:top w:val="nil"/>
            </w:tcBorders>
            <w:shd w:val="clear" w:color="auto" w:fill="auto"/>
            <w:vAlign w:val="bottom"/>
          </w:tcPr>
          <w:p w:rsidR="00963C03" w:rsidRPr="0071782F" w:rsidRDefault="00963C03" w:rsidP="004162F4">
            <w:pPr>
              <w:suppressAutoHyphens w:val="0"/>
              <w:spacing w:before="40" w:after="40" w:line="220" w:lineRule="exact"/>
              <w:rPr>
                <w:sz w:val="18"/>
                <w:lang w:val="fr-CH"/>
              </w:rPr>
            </w:pPr>
            <w:r w:rsidRPr="0071782F">
              <w:rPr>
                <w:sz w:val="18"/>
                <w:lang w:val="fr-CH"/>
              </w:rPr>
              <w:t>No</w:t>
            </w:r>
            <w:r w:rsidR="00F012BD" w:rsidRPr="0071782F">
              <w:rPr>
                <w:sz w:val="18"/>
                <w:lang w:val="fr-CH"/>
              </w:rPr>
              <w:t>mbre</w:t>
            </w:r>
          </w:p>
        </w:tc>
        <w:tc>
          <w:tcPr>
            <w:tcW w:w="992"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3 651</w:t>
            </w:r>
          </w:p>
        </w:tc>
        <w:tc>
          <w:tcPr>
            <w:tcW w:w="1558"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9</w:t>
            </w:r>
          </w:p>
        </w:tc>
      </w:tr>
    </w:tbl>
    <w:p w:rsidR="00963C03" w:rsidRPr="0071782F" w:rsidRDefault="00963C03" w:rsidP="003805D3">
      <w:pPr>
        <w:suppressAutoHyphens w:val="0"/>
        <w:spacing w:before="120" w:line="240" w:lineRule="auto"/>
        <w:ind w:left="1134" w:right="1134" w:firstLine="170"/>
        <w:rPr>
          <w:sz w:val="18"/>
          <w:szCs w:val="18"/>
          <w:lang w:val="fr-CH"/>
        </w:rPr>
      </w:pPr>
      <w:r w:rsidRPr="0071782F">
        <w:rPr>
          <w:i/>
          <w:sz w:val="18"/>
          <w:szCs w:val="18"/>
          <w:lang w:val="fr-CH"/>
        </w:rPr>
        <w:t>Source</w:t>
      </w:r>
      <w:r w:rsidR="008F7D33" w:rsidRPr="0071782F">
        <w:rPr>
          <w:i/>
          <w:sz w:val="18"/>
          <w:szCs w:val="18"/>
          <w:lang w:val="fr-CH"/>
        </w:rPr>
        <w:t>:</w:t>
      </w:r>
      <w:r w:rsidR="00DB5FF4">
        <w:rPr>
          <w:sz w:val="18"/>
          <w:szCs w:val="18"/>
          <w:lang w:val="fr-CH"/>
        </w:rPr>
        <w:t xml:space="preserve"> </w:t>
      </w:r>
      <w:r w:rsidR="00F012BD" w:rsidRPr="0071782F">
        <w:rPr>
          <w:sz w:val="18"/>
          <w:szCs w:val="18"/>
          <w:lang w:val="fr-CH"/>
        </w:rPr>
        <w:t>Organisme du patrimoine culturel et du tourisme</w:t>
      </w:r>
      <w:r w:rsidRPr="0071782F">
        <w:rPr>
          <w:sz w:val="18"/>
          <w:szCs w:val="18"/>
          <w:lang w:val="fr-CH"/>
        </w:rPr>
        <w:t>.</w:t>
      </w:r>
    </w:p>
    <w:p w:rsidR="00963C03" w:rsidRPr="0071782F" w:rsidRDefault="002D6B52" w:rsidP="003805D3">
      <w:pPr>
        <w:suppressAutoHyphens w:val="0"/>
        <w:spacing w:line="240" w:lineRule="auto"/>
        <w:ind w:left="1134" w:right="1134" w:firstLine="170"/>
        <w:rPr>
          <w:sz w:val="18"/>
          <w:szCs w:val="18"/>
          <w:lang w:val="fr-CH"/>
        </w:rPr>
      </w:pPr>
      <w:r w:rsidRPr="0071782F">
        <w:rPr>
          <w:i/>
          <w:sz w:val="18"/>
          <w:szCs w:val="18"/>
          <w:vertAlign w:val="superscript"/>
          <w:lang w:val="fr-CH"/>
        </w:rPr>
        <w:t>(</w:t>
      </w:r>
      <w:r w:rsidR="00963C03" w:rsidRPr="0071782F">
        <w:rPr>
          <w:i/>
          <w:sz w:val="18"/>
          <w:szCs w:val="18"/>
          <w:vertAlign w:val="superscript"/>
          <w:lang w:val="fr-CH"/>
        </w:rPr>
        <w:t>1</w:t>
      </w:r>
      <w:r w:rsidRPr="0071782F">
        <w:rPr>
          <w:i/>
          <w:sz w:val="18"/>
          <w:szCs w:val="18"/>
          <w:vertAlign w:val="superscript"/>
          <w:lang w:val="fr-CH"/>
        </w:rPr>
        <w:t>)</w:t>
      </w:r>
      <w:r w:rsidR="00963C03" w:rsidRPr="0071782F">
        <w:rPr>
          <w:sz w:val="18"/>
          <w:szCs w:val="18"/>
          <w:lang w:val="fr-CH"/>
        </w:rPr>
        <w:t xml:space="preserve">  </w:t>
      </w:r>
      <w:r w:rsidR="00F012BD" w:rsidRPr="0071782F">
        <w:rPr>
          <w:sz w:val="18"/>
          <w:szCs w:val="18"/>
          <w:lang w:val="fr-CH"/>
        </w:rPr>
        <w:t xml:space="preserve">La variation en pourcentage est calculée à partir des chiffres révisés fournis par l’organisme </w:t>
      </w:r>
      <w:r w:rsidR="000E290C" w:rsidRPr="0071782F">
        <w:rPr>
          <w:sz w:val="18"/>
          <w:szCs w:val="18"/>
          <w:lang w:val="fr-CH"/>
        </w:rPr>
        <w:t>concerné</w:t>
      </w:r>
      <w:r w:rsidR="00963C03" w:rsidRPr="0071782F">
        <w:rPr>
          <w:sz w:val="18"/>
          <w:szCs w:val="18"/>
          <w:lang w:val="fr-CH"/>
        </w:rPr>
        <w:t>.</w:t>
      </w:r>
    </w:p>
    <w:p w:rsidR="00963C03" w:rsidRPr="0071782F" w:rsidRDefault="002D6B52" w:rsidP="00BA46A5">
      <w:pPr>
        <w:suppressAutoHyphens w:val="0"/>
        <w:spacing w:after="240" w:line="240" w:lineRule="auto"/>
        <w:ind w:left="1134" w:right="1134" w:firstLine="170"/>
        <w:rPr>
          <w:sz w:val="18"/>
          <w:szCs w:val="18"/>
          <w:lang w:val="fr-CH"/>
        </w:rPr>
      </w:pPr>
      <w:r w:rsidRPr="0071782F">
        <w:rPr>
          <w:i/>
          <w:sz w:val="18"/>
          <w:vertAlign w:val="superscript"/>
          <w:lang w:val="fr-CH"/>
        </w:rPr>
        <w:t>(2)</w:t>
      </w:r>
      <w:r w:rsidR="00963C03" w:rsidRPr="0071782F">
        <w:rPr>
          <w:sz w:val="18"/>
          <w:szCs w:val="18"/>
          <w:lang w:val="fr-CH"/>
        </w:rPr>
        <w:t xml:space="preserve">  </w:t>
      </w:r>
      <w:r w:rsidR="00CA3D78" w:rsidRPr="0071782F">
        <w:rPr>
          <w:sz w:val="18"/>
          <w:szCs w:val="18"/>
          <w:lang w:val="fr-CH"/>
        </w:rPr>
        <w:t xml:space="preserve">Les </w:t>
      </w:r>
      <w:r w:rsidR="00D5366B" w:rsidRPr="0071782F">
        <w:rPr>
          <w:sz w:val="18"/>
          <w:szCs w:val="18"/>
          <w:lang w:val="fr-CH"/>
        </w:rPr>
        <w:t>œuvre</w:t>
      </w:r>
      <w:r w:rsidR="00CA3D78" w:rsidRPr="0071782F">
        <w:rPr>
          <w:sz w:val="18"/>
          <w:szCs w:val="18"/>
          <w:lang w:val="fr-CH"/>
        </w:rPr>
        <w:t>s</w:t>
      </w:r>
      <w:r w:rsidR="000E290C" w:rsidRPr="0071782F">
        <w:rPr>
          <w:sz w:val="18"/>
          <w:szCs w:val="18"/>
          <w:lang w:val="fr-CH"/>
        </w:rPr>
        <w:t xml:space="preserve"> d’intérêt historique</w:t>
      </w:r>
      <w:r w:rsidR="00CA3D78" w:rsidRPr="0071782F">
        <w:rPr>
          <w:sz w:val="18"/>
          <w:szCs w:val="18"/>
          <w:lang w:val="fr-CH"/>
        </w:rPr>
        <w:t xml:space="preserve"> comprennent les sites, bâtiments, collines, zones, quartiers et complexes</w:t>
      </w:r>
      <w:r w:rsidR="00963C03" w:rsidRPr="0071782F">
        <w:rPr>
          <w:sz w:val="18"/>
          <w:szCs w:val="18"/>
          <w:lang w:val="fr-CH"/>
        </w:rPr>
        <w:t>.</w:t>
      </w:r>
    </w:p>
    <w:p w:rsidR="00963C03" w:rsidRPr="0071782F" w:rsidRDefault="00963C03" w:rsidP="00AA22EB">
      <w:pPr>
        <w:pStyle w:val="H23G"/>
        <w:rPr>
          <w:lang w:val="fr-CH"/>
        </w:rPr>
      </w:pPr>
      <w:r w:rsidRPr="0071782F">
        <w:rPr>
          <w:lang w:val="fr-CH"/>
        </w:rPr>
        <w:tab/>
      </w:r>
      <w:r w:rsidRPr="0071782F">
        <w:rPr>
          <w:lang w:val="fr-CH"/>
        </w:rPr>
        <w:tab/>
      </w:r>
      <w:r w:rsidR="00CA3D78" w:rsidRPr="0071782F">
        <w:rPr>
          <w:lang w:val="fr-CH"/>
        </w:rPr>
        <w:t>Indicateurs culturels en 2006</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1559"/>
        <w:gridCol w:w="1180"/>
        <w:gridCol w:w="1370"/>
      </w:tblGrid>
      <w:tr w:rsidR="00963C03" w:rsidRPr="0071782F">
        <w:trPr>
          <w:tblHeader/>
        </w:trPr>
        <w:tc>
          <w:tcPr>
            <w:tcW w:w="3261"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Indicat</w:t>
            </w:r>
            <w:r w:rsidR="00CA3D78" w:rsidRPr="0071782F">
              <w:rPr>
                <w:i/>
                <w:sz w:val="16"/>
                <w:lang w:val="fr-CH"/>
              </w:rPr>
              <w:t>eu</w:t>
            </w:r>
            <w:r w:rsidRPr="0071782F">
              <w:rPr>
                <w:i/>
                <w:sz w:val="16"/>
                <w:lang w:val="fr-CH"/>
              </w:rPr>
              <w:t>r</w:t>
            </w:r>
          </w:p>
        </w:tc>
        <w:tc>
          <w:tcPr>
            <w:tcW w:w="1559"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Unit</w:t>
            </w:r>
            <w:r w:rsidR="00CA3D78" w:rsidRPr="0071782F">
              <w:rPr>
                <w:i/>
                <w:sz w:val="16"/>
                <w:lang w:val="fr-CH"/>
              </w:rPr>
              <w:t>é</w:t>
            </w:r>
          </w:p>
        </w:tc>
        <w:tc>
          <w:tcPr>
            <w:tcW w:w="1180"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No</w:t>
            </w:r>
            <w:r w:rsidR="00CA3D78" w:rsidRPr="0071782F">
              <w:rPr>
                <w:i/>
                <w:sz w:val="16"/>
                <w:lang w:val="fr-CH"/>
              </w:rPr>
              <w:t>mbre</w:t>
            </w:r>
            <w:r w:rsidRPr="0071782F">
              <w:rPr>
                <w:i/>
                <w:sz w:val="16"/>
                <w:lang w:val="fr-CH"/>
              </w:rPr>
              <w:t>/</w:t>
            </w:r>
            <w:r w:rsidR="00CA3D78" w:rsidRPr="0071782F">
              <w:rPr>
                <w:i/>
                <w:sz w:val="16"/>
                <w:lang w:val="fr-CH"/>
              </w:rPr>
              <w:t>valeur</w:t>
            </w:r>
          </w:p>
        </w:tc>
        <w:tc>
          <w:tcPr>
            <w:tcW w:w="1370" w:type="dxa"/>
            <w:tcBorders>
              <w:top w:val="single" w:sz="4" w:space="0" w:color="auto"/>
              <w:bottom w:val="single" w:sz="12" w:space="0" w:color="auto"/>
            </w:tcBorders>
            <w:shd w:val="clear" w:color="auto" w:fill="auto"/>
            <w:vAlign w:val="bottom"/>
          </w:tcPr>
          <w:p w:rsidR="00963C03" w:rsidRPr="0071782F" w:rsidRDefault="00CA3D78" w:rsidP="00881286">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963C03" w:rsidRPr="0071782F">
        <w:tc>
          <w:tcPr>
            <w:tcW w:w="3261" w:type="dxa"/>
            <w:tcBorders>
              <w:top w:val="single" w:sz="12" w:space="0" w:color="auto"/>
            </w:tcBorders>
            <w:shd w:val="clear" w:color="auto" w:fill="auto"/>
          </w:tcPr>
          <w:p w:rsidR="00963C03" w:rsidRPr="0071782F" w:rsidRDefault="00CA3D78" w:rsidP="00881286">
            <w:pPr>
              <w:suppressAutoHyphens w:val="0"/>
              <w:spacing w:before="40" w:after="40" w:line="220" w:lineRule="exact"/>
              <w:rPr>
                <w:sz w:val="18"/>
                <w:lang w:val="fr-CH"/>
              </w:rPr>
            </w:pPr>
            <w:r w:rsidRPr="0071782F">
              <w:rPr>
                <w:sz w:val="18"/>
                <w:lang w:val="fr-CH"/>
              </w:rPr>
              <w:t>Nombre de livres publiés</w:t>
            </w:r>
          </w:p>
        </w:tc>
        <w:tc>
          <w:tcPr>
            <w:tcW w:w="1559"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Tit</w:t>
            </w:r>
            <w:r w:rsidR="00CA3D78" w:rsidRPr="0071782F">
              <w:rPr>
                <w:sz w:val="18"/>
                <w:lang w:val="fr-CH"/>
              </w:rPr>
              <w:t>r</w:t>
            </w:r>
            <w:r w:rsidRPr="0071782F">
              <w:rPr>
                <w:sz w:val="18"/>
                <w:lang w:val="fr-CH"/>
              </w:rPr>
              <w:t>e</w:t>
            </w:r>
          </w:p>
        </w:tc>
        <w:tc>
          <w:tcPr>
            <w:tcW w:w="1180"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51 347</w:t>
            </w:r>
          </w:p>
        </w:tc>
        <w:tc>
          <w:tcPr>
            <w:tcW w:w="1370"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w:t>
            </w:r>
            <w:r w:rsidR="00881286" w:rsidRPr="0071782F">
              <w:rPr>
                <w:sz w:val="18"/>
                <w:lang w:val="fr-CH"/>
              </w:rPr>
              <w:t>,</w:t>
            </w:r>
            <w:r w:rsidRPr="0071782F">
              <w:rPr>
                <w:sz w:val="18"/>
                <w:lang w:val="fr-CH"/>
              </w:rPr>
              <w:t>1</w:t>
            </w:r>
          </w:p>
        </w:tc>
      </w:tr>
      <w:tr w:rsidR="00963C03" w:rsidRPr="0071782F">
        <w:tc>
          <w:tcPr>
            <w:tcW w:w="3261" w:type="dxa"/>
            <w:shd w:val="clear" w:color="auto" w:fill="auto"/>
          </w:tcPr>
          <w:p w:rsidR="00963C03" w:rsidRPr="0071782F" w:rsidRDefault="00CA3D78" w:rsidP="00881286">
            <w:pPr>
              <w:suppressAutoHyphens w:val="0"/>
              <w:spacing w:before="40" w:after="40" w:line="220" w:lineRule="exact"/>
              <w:rPr>
                <w:sz w:val="18"/>
                <w:lang w:val="fr-CH"/>
              </w:rPr>
            </w:pPr>
            <w:r w:rsidRPr="0071782F">
              <w:rPr>
                <w:sz w:val="18"/>
                <w:lang w:val="fr-CH"/>
              </w:rPr>
              <w:t>Nombre d’exemplaires de livres publiés</w:t>
            </w:r>
          </w:p>
        </w:tc>
        <w:tc>
          <w:tcPr>
            <w:tcW w:w="1559"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 xml:space="preserve">Million </w:t>
            </w:r>
            <w:r w:rsidR="00CA3D78" w:rsidRPr="0071782F">
              <w:rPr>
                <w:sz w:val="18"/>
                <w:lang w:val="fr-CH"/>
              </w:rPr>
              <w:t>d’exemplaires</w:t>
            </w:r>
          </w:p>
        </w:tc>
        <w:tc>
          <w:tcPr>
            <w:tcW w:w="118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220</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w:t>
            </w:r>
            <w:r w:rsidR="00881286" w:rsidRPr="0071782F">
              <w:rPr>
                <w:sz w:val="18"/>
                <w:lang w:val="fr-CH"/>
              </w:rPr>
              <w:t>,</w:t>
            </w:r>
            <w:r w:rsidRPr="0071782F">
              <w:rPr>
                <w:sz w:val="18"/>
                <w:lang w:val="fr-CH"/>
              </w:rPr>
              <w:t>3</w:t>
            </w:r>
          </w:p>
        </w:tc>
      </w:tr>
      <w:tr w:rsidR="00963C03" w:rsidRPr="0071782F">
        <w:tc>
          <w:tcPr>
            <w:tcW w:w="3261" w:type="dxa"/>
            <w:shd w:val="clear" w:color="auto" w:fill="auto"/>
          </w:tcPr>
          <w:p w:rsidR="00963C03" w:rsidRPr="0071782F" w:rsidRDefault="00CA3D78" w:rsidP="00881286">
            <w:pPr>
              <w:suppressAutoHyphens w:val="0"/>
              <w:spacing w:before="40" w:after="40" w:line="220" w:lineRule="exact"/>
              <w:rPr>
                <w:sz w:val="18"/>
                <w:lang w:val="fr-CH"/>
              </w:rPr>
            </w:pPr>
            <w:r w:rsidRPr="0071782F">
              <w:rPr>
                <w:sz w:val="18"/>
                <w:lang w:val="fr-CH"/>
              </w:rPr>
              <w:t>Nombre de livres traduits</w:t>
            </w:r>
          </w:p>
        </w:tc>
        <w:tc>
          <w:tcPr>
            <w:tcW w:w="1559" w:type="dxa"/>
            <w:shd w:val="clear" w:color="auto" w:fill="auto"/>
            <w:vAlign w:val="bottom"/>
          </w:tcPr>
          <w:p w:rsidR="00963C03" w:rsidRPr="0071782F" w:rsidRDefault="00CA3D78" w:rsidP="00881286">
            <w:pPr>
              <w:suppressAutoHyphens w:val="0"/>
              <w:spacing w:before="40" w:after="40" w:line="220" w:lineRule="exact"/>
              <w:rPr>
                <w:sz w:val="18"/>
                <w:lang w:val="fr-CH"/>
              </w:rPr>
            </w:pPr>
            <w:r w:rsidRPr="0071782F">
              <w:rPr>
                <w:sz w:val="18"/>
                <w:lang w:val="fr-CH"/>
              </w:rPr>
              <w:t>Titr</w:t>
            </w:r>
            <w:r w:rsidR="00963C03" w:rsidRPr="0071782F">
              <w:rPr>
                <w:sz w:val="18"/>
                <w:lang w:val="fr-CH"/>
              </w:rPr>
              <w:t>e</w:t>
            </w:r>
          </w:p>
        </w:tc>
        <w:tc>
          <w:tcPr>
            <w:tcW w:w="118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10 800</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-8</w:t>
            </w:r>
            <w:r w:rsidR="00881286" w:rsidRPr="0071782F">
              <w:rPr>
                <w:sz w:val="18"/>
                <w:lang w:val="fr-CH"/>
              </w:rPr>
              <w:t>,</w:t>
            </w:r>
            <w:r w:rsidRPr="0071782F">
              <w:rPr>
                <w:sz w:val="18"/>
                <w:lang w:val="fr-CH"/>
              </w:rPr>
              <w:t>7</w:t>
            </w:r>
          </w:p>
        </w:tc>
      </w:tr>
      <w:tr w:rsidR="00963C03" w:rsidRPr="0071782F">
        <w:tc>
          <w:tcPr>
            <w:tcW w:w="3261" w:type="dxa"/>
            <w:tcBorders>
              <w:bottom w:val="nil"/>
            </w:tcBorders>
            <w:shd w:val="clear" w:color="auto" w:fill="auto"/>
          </w:tcPr>
          <w:p w:rsidR="00963C03" w:rsidRPr="0071782F" w:rsidRDefault="00CA3D78" w:rsidP="00881286">
            <w:pPr>
              <w:suppressAutoHyphens w:val="0"/>
              <w:spacing w:before="40" w:after="40" w:line="220" w:lineRule="exact"/>
              <w:rPr>
                <w:sz w:val="18"/>
                <w:lang w:val="fr-CH"/>
              </w:rPr>
            </w:pPr>
            <w:r w:rsidRPr="0071782F">
              <w:rPr>
                <w:sz w:val="18"/>
                <w:lang w:val="fr-CH"/>
              </w:rPr>
              <w:t>Nombre d’exemplaires de livres traduits publiés</w:t>
            </w:r>
          </w:p>
        </w:tc>
        <w:tc>
          <w:tcPr>
            <w:tcW w:w="1559" w:type="dxa"/>
            <w:tcBorders>
              <w:bottom w:val="nil"/>
            </w:tcBorders>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 xml:space="preserve">Million </w:t>
            </w:r>
            <w:r w:rsidR="00CA3D78" w:rsidRPr="0071782F">
              <w:rPr>
                <w:sz w:val="18"/>
                <w:lang w:val="fr-CH"/>
              </w:rPr>
              <w:t>d’exemplaires</w:t>
            </w:r>
          </w:p>
        </w:tc>
        <w:tc>
          <w:tcPr>
            <w:tcW w:w="1180"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44</w:t>
            </w:r>
          </w:p>
        </w:tc>
        <w:tc>
          <w:tcPr>
            <w:tcW w:w="1370"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r>
      <w:tr w:rsidR="00963C03" w:rsidRPr="0071782F">
        <w:tc>
          <w:tcPr>
            <w:tcW w:w="3261" w:type="dxa"/>
            <w:tcBorders>
              <w:top w:val="nil"/>
              <w:bottom w:val="nil"/>
            </w:tcBorders>
            <w:shd w:val="clear" w:color="auto" w:fill="auto"/>
          </w:tcPr>
          <w:p w:rsidR="00963C03" w:rsidRPr="0071782F" w:rsidRDefault="00CA3D78" w:rsidP="00881286">
            <w:pPr>
              <w:suppressAutoHyphens w:val="0"/>
              <w:spacing w:before="40" w:after="40" w:line="220" w:lineRule="exact"/>
              <w:rPr>
                <w:sz w:val="18"/>
                <w:lang w:val="fr-CH"/>
              </w:rPr>
            </w:pPr>
            <w:r w:rsidRPr="0071782F">
              <w:rPr>
                <w:sz w:val="18"/>
                <w:lang w:val="fr-CH"/>
              </w:rPr>
              <w:t>Nombre de livres d’auteur</w:t>
            </w:r>
          </w:p>
        </w:tc>
        <w:tc>
          <w:tcPr>
            <w:tcW w:w="1559" w:type="dxa"/>
            <w:tcBorders>
              <w:top w:val="nil"/>
              <w:bottom w:val="nil"/>
            </w:tcBorders>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Tit</w:t>
            </w:r>
            <w:r w:rsidR="00CA3D78" w:rsidRPr="0071782F">
              <w:rPr>
                <w:sz w:val="18"/>
                <w:lang w:val="fr-CH"/>
              </w:rPr>
              <w:t>r</w:t>
            </w:r>
            <w:r w:rsidRPr="0071782F">
              <w:rPr>
                <w:sz w:val="18"/>
                <w:lang w:val="fr-CH"/>
              </w:rPr>
              <w:t>e</w:t>
            </w:r>
          </w:p>
        </w:tc>
        <w:tc>
          <w:tcPr>
            <w:tcW w:w="1180"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40 550</w:t>
            </w:r>
          </w:p>
        </w:tc>
        <w:tc>
          <w:tcPr>
            <w:tcW w:w="1370"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w:t>
            </w:r>
            <w:r w:rsidR="00881286" w:rsidRPr="0071782F">
              <w:rPr>
                <w:sz w:val="18"/>
                <w:lang w:val="fr-CH"/>
              </w:rPr>
              <w:t>,</w:t>
            </w:r>
            <w:r w:rsidRPr="0071782F">
              <w:rPr>
                <w:sz w:val="18"/>
                <w:lang w:val="fr-CH"/>
              </w:rPr>
              <w:t>0</w:t>
            </w:r>
          </w:p>
        </w:tc>
      </w:tr>
      <w:tr w:rsidR="00963C03" w:rsidRPr="0071782F">
        <w:tc>
          <w:tcPr>
            <w:tcW w:w="3261" w:type="dxa"/>
            <w:tcBorders>
              <w:top w:val="nil"/>
            </w:tcBorders>
            <w:shd w:val="clear" w:color="auto" w:fill="auto"/>
          </w:tcPr>
          <w:p w:rsidR="00963C03" w:rsidRPr="0071782F" w:rsidRDefault="00CA3D78" w:rsidP="004162F4">
            <w:pPr>
              <w:keepNext/>
              <w:suppressAutoHyphens w:val="0"/>
              <w:spacing w:before="40" w:after="40" w:line="220" w:lineRule="exact"/>
              <w:rPr>
                <w:sz w:val="18"/>
                <w:lang w:val="fr-CH"/>
              </w:rPr>
            </w:pPr>
            <w:r w:rsidRPr="0071782F">
              <w:rPr>
                <w:sz w:val="18"/>
                <w:lang w:val="fr-CH"/>
              </w:rPr>
              <w:t>Nombre d’exemplaires de livres d’auteur</w:t>
            </w:r>
          </w:p>
        </w:tc>
        <w:tc>
          <w:tcPr>
            <w:tcW w:w="1559" w:type="dxa"/>
            <w:tcBorders>
              <w:top w:val="nil"/>
            </w:tcBorders>
            <w:shd w:val="clear" w:color="auto" w:fill="auto"/>
            <w:vAlign w:val="bottom"/>
          </w:tcPr>
          <w:p w:rsidR="00963C03" w:rsidRPr="0071782F" w:rsidRDefault="00963C03" w:rsidP="004162F4">
            <w:pPr>
              <w:keepNext/>
              <w:suppressAutoHyphens w:val="0"/>
              <w:spacing w:before="40" w:after="40" w:line="220" w:lineRule="exact"/>
              <w:rPr>
                <w:sz w:val="18"/>
                <w:lang w:val="fr-CH"/>
              </w:rPr>
            </w:pPr>
            <w:r w:rsidRPr="0071782F">
              <w:rPr>
                <w:sz w:val="18"/>
                <w:lang w:val="fr-CH"/>
              </w:rPr>
              <w:t xml:space="preserve">Million </w:t>
            </w:r>
            <w:r w:rsidR="00CA3D78" w:rsidRPr="0071782F">
              <w:rPr>
                <w:sz w:val="18"/>
                <w:lang w:val="fr-CH"/>
              </w:rPr>
              <w:t>d’exemplaires</w:t>
            </w:r>
          </w:p>
        </w:tc>
        <w:tc>
          <w:tcPr>
            <w:tcW w:w="1180" w:type="dxa"/>
            <w:tcBorders>
              <w:top w:val="nil"/>
            </w:tcBorders>
            <w:shd w:val="clear" w:color="auto" w:fill="auto"/>
            <w:vAlign w:val="bottom"/>
          </w:tcPr>
          <w:p w:rsidR="00963C03" w:rsidRPr="0071782F" w:rsidRDefault="00963C03" w:rsidP="004162F4">
            <w:pPr>
              <w:keepNext/>
              <w:suppressAutoHyphens w:val="0"/>
              <w:spacing w:before="40" w:after="40" w:line="220" w:lineRule="exact"/>
              <w:jc w:val="right"/>
              <w:rPr>
                <w:sz w:val="18"/>
                <w:lang w:val="fr-CH"/>
              </w:rPr>
            </w:pPr>
            <w:r w:rsidRPr="0071782F">
              <w:rPr>
                <w:sz w:val="18"/>
                <w:lang w:val="fr-CH"/>
              </w:rPr>
              <w:t>176</w:t>
            </w:r>
          </w:p>
        </w:tc>
        <w:tc>
          <w:tcPr>
            <w:tcW w:w="1370" w:type="dxa"/>
            <w:tcBorders>
              <w:top w:val="nil"/>
            </w:tcBorders>
            <w:shd w:val="clear" w:color="auto" w:fill="auto"/>
            <w:vAlign w:val="bottom"/>
          </w:tcPr>
          <w:p w:rsidR="00963C03" w:rsidRPr="0071782F" w:rsidRDefault="00963C03" w:rsidP="004162F4">
            <w:pPr>
              <w:keepNext/>
              <w:suppressAutoHyphens w:val="0"/>
              <w:spacing w:before="40" w:after="40" w:line="220" w:lineRule="exact"/>
              <w:jc w:val="right"/>
              <w:rPr>
                <w:sz w:val="18"/>
                <w:lang w:val="fr-CH"/>
              </w:rPr>
            </w:pPr>
            <w:r w:rsidRPr="0071782F">
              <w:rPr>
                <w:sz w:val="18"/>
                <w:lang w:val="fr-CH"/>
              </w:rPr>
              <w:t>-</w:t>
            </w:r>
          </w:p>
        </w:tc>
      </w:tr>
      <w:tr w:rsidR="00963C03" w:rsidRPr="0071782F">
        <w:tc>
          <w:tcPr>
            <w:tcW w:w="3261" w:type="dxa"/>
            <w:shd w:val="clear" w:color="auto" w:fill="auto"/>
          </w:tcPr>
          <w:p w:rsidR="00963C03" w:rsidRPr="0071782F" w:rsidRDefault="00CA3D78" w:rsidP="00881286">
            <w:pPr>
              <w:suppressAutoHyphens w:val="0"/>
              <w:spacing w:before="40" w:after="40" w:line="220" w:lineRule="exact"/>
              <w:rPr>
                <w:sz w:val="18"/>
                <w:lang w:val="fr-CH"/>
              </w:rPr>
            </w:pPr>
            <w:r w:rsidRPr="0071782F">
              <w:rPr>
                <w:sz w:val="18"/>
                <w:lang w:val="fr-CH"/>
              </w:rPr>
              <w:t>Nombre de publications périodiques</w:t>
            </w:r>
            <w:r w:rsidRPr="0071782F">
              <w:rPr>
                <w:i/>
                <w:sz w:val="18"/>
                <w:vertAlign w:val="superscript"/>
                <w:lang w:val="fr-CH"/>
              </w:rPr>
              <w:t xml:space="preserve"> </w:t>
            </w:r>
            <w:r w:rsidR="002C15C8" w:rsidRPr="0071782F">
              <w:rPr>
                <w:i/>
                <w:sz w:val="18"/>
                <w:vertAlign w:val="superscript"/>
                <w:lang w:val="fr-CH"/>
              </w:rPr>
              <w:t>(1)</w:t>
            </w:r>
          </w:p>
        </w:tc>
        <w:tc>
          <w:tcPr>
            <w:tcW w:w="1559" w:type="dxa"/>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118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326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CA3D78" w:rsidRPr="0071782F">
              <w:rPr>
                <w:sz w:val="18"/>
                <w:lang w:val="fr-CH"/>
              </w:rPr>
              <w:t>mbre de</w:t>
            </w:r>
            <w:r w:rsidRPr="0071782F">
              <w:rPr>
                <w:sz w:val="18"/>
                <w:lang w:val="fr-CH"/>
              </w:rPr>
              <w:t xml:space="preserve"> </w:t>
            </w:r>
            <w:r w:rsidR="00CA3D78" w:rsidRPr="0071782F">
              <w:rPr>
                <w:sz w:val="18"/>
                <w:lang w:val="fr-CH"/>
              </w:rPr>
              <w:t>bibliothèques</w:t>
            </w:r>
            <w:r w:rsidRPr="0071782F">
              <w:rPr>
                <w:sz w:val="18"/>
                <w:lang w:val="fr-CH"/>
              </w:rPr>
              <w:t xml:space="preserve"> publi</w:t>
            </w:r>
            <w:r w:rsidR="00CA3D78" w:rsidRPr="0071782F">
              <w:rPr>
                <w:sz w:val="18"/>
                <w:lang w:val="fr-CH"/>
              </w:rPr>
              <w:t>ques</w:t>
            </w:r>
          </w:p>
        </w:tc>
        <w:tc>
          <w:tcPr>
            <w:tcW w:w="1559"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CA3D78" w:rsidRPr="0071782F">
              <w:rPr>
                <w:sz w:val="18"/>
                <w:lang w:val="fr-CH"/>
              </w:rPr>
              <w:t>mbre</w:t>
            </w:r>
          </w:p>
        </w:tc>
        <w:tc>
          <w:tcPr>
            <w:tcW w:w="118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1 705</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r>
      <w:tr w:rsidR="00963C03" w:rsidRPr="0071782F">
        <w:tc>
          <w:tcPr>
            <w:tcW w:w="326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CA3D78" w:rsidRPr="0071782F">
              <w:rPr>
                <w:sz w:val="18"/>
                <w:lang w:val="fr-CH"/>
              </w:rPr>
              <w:t xml:space="preserve">mbre de membres des bibliothèques publiques </w:t>
            </w:r>
          </w:p>
        </w:tc>
        <w:tc>
          <w:tcPr>
            <w:tcW w:w="1559"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Person</w:t>
            </w:r>
            <w:r w:rsidR="00CA3D78" w:rsidRPr="0071782F">
              <w:rPr>
                <w:sz w:val="18"/>
                <w:lang w:val="fr-CH"/>
              </w:rPr>
              <w:t>nes</w:t>
            </w:r>
            <w:r w:rsidRPr="0071782F">
              <w:rPr>
                <w:sz w:val="18"/>
                <w:lang w:val="fr-CH"/>
              </w:rPr>
              <w:t xml:space="preserve"> (</w:t>
            </w:r>
            <w:r w:rsidR="00CA3D78" w:rsidRPr="0071782F">
              <w:rPr>
                <w:sz w:val="18"/>
                <w:lang w:val="fr-CH"/>
              </w:rPr>
              <w:t>milliers</w:t>
            </w:r>
            <w:r w:rsidRPr="0071782F">
              <w:rPr>
                <w:sz w:val="18"/>
                <w:lang w:val="fr-CH"/>
              </w:rPr>
              <w:t>)</w:t>
            </w:r>
          </w:p>
        </w:tc>
        <w:tc>
          <w:tcPr>
            <w:tcW w:w="118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1 070</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r>
      <w:tr w:rsidR="00963C03" w:rsidRPr="0071782F">
        <w:tc>
          <w:tcPr>
            <w:tcW w:w="3261" w:type="dxa"/>
            <w:tcBorders>
              <w:bottom w:val="nil"/>
            </w:tcBorders>
            <w:shd w:val="clear" w:color="auto" w:fill="auto"/>
          </w:tcPr>
          <w:p w:rsidR="00963C03" w:rsidRPr="0071782F" w:rsidRDefault="00CA3D78" w:rsidP="00881286">
            <w:pPr>
              <w:suppressAutoHyphens w:val="0"/>
              <w:spacing w:before="40" w:after="40" w:line="220" w:lineRule="exact"/>
              <w:rPr>
                <w:sz w:val="18"/>
                <w:lang w:val="fr-CH"/>
              </w:rPr>
            </w:pPr>
            <w:r w:rsidRPr="0071782F">
              <w:rPr>
                <w:sz w:val="18"/>
                <w:lang w:val="fr-CH"/>
              </w:rPr>
              <w:t xml:space="preserve">Nombre de centres culturels et artistiques de mosquées en fin d’année </w:t>
            </w:r>
          </w:p>
        </w:tc>
        <w:tc>
          <w:tcPr>
            <w:tcW w:w="1559" w:type="dxa"/>
            <w:tcBorders>
              <w:bottom w:val="nil"/>
            </w:tcBorders>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CA3D78" w:rsidRPr="0071782F">
              <w:rPr>
                <w:sz w:val="18"/>
                <w:lang w:val="fr-CH"/>
              </w:rPr>
              <w:t>mbre</w:t>
            </w:r>
          </w:p>
        </w:tc>
        <w:tc>
          <w:tcPr>
            <w:tcW w:w="1180"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3 000</w:t>
            </w:r>
          </w:p>
        </w:tc>
        <w:tc>
          <w:tcPr>
            <w:tcW w:w="1370"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-28</w:t>
            </w:r>
            <w:r w:rsidR="00881286" w:rsidRPr="0071782F">
              <w:rPr>
                <w:sz w:val="18"/>
                <w:lang w:val="fr-CH"/>
              </w:rPr>
              <w:t>,</w:t>
            </w:r>
            <w:r w:rsidRPr="0071782F">
              <w:rPr>
                <w:sz w:val="18"/>
                <w:lang w:val="fr-CH"/>
              </w:rPr>
              <w:t>9</w:t>
            </w:r>
            <w:r w:rsidR="002C15C8" w:rsidRPr="0071782F">
              <w:rPr>
                <w:i/>
                <w:sz w:val="18"/>
                <w:vertAlign w:val="superscript"/>
                <w:lang w:val="fr-CH"/>
              </w:rPr>
              <w:t>(2)</w:t>
            </w:r>
          </w:p>
        </w:tc>
      </w:tr>
      <w:tr w:rsidR="00963C03" w:rsidRPr="0071782F">
        <w:tc>
          <w:tcPr>
            <w:tcW w:w="3261" w:type="dxa"/>
            <w:tcBorders>
              <w:top w:val="nil"/>
              <w:bottom w:val="nil"/>
            </w:tcBorders>
            <w:shd w:val="clear" w:color="auto" w:fill="auto"/>
          </w:tcPr>
          <w:p w:rsidR="00963C03" w:rsidRPr="0071782F" w:rsidRDefault="00963C03" w:rsidP="00881286">
            <w:pPr>
              <w:keepNext/>
              <w:keepLines/>
              <w:suppressAutoHyphens w:val="0"/>
              <w:spacing w:before="40" w:after="40" w:line="220" w:lineRule="exact"/>
              <w:rPr>
                <w:sz w:val="18"/>
                <w:lang w:val="fr-CH"/>
              </w:rPr>
            </w:pPr>
            <w:r w:rsidRPr="0071782F">
              <w:rPr>
                <w:sz w:val="18"/>
                <w:lang w:val="fr-CH"/>
              </w:rPr>
              <w:t>No</w:t>
            </w:r>
            <w:r w:rsidR="00CA3D78" w:rsidRPr="0071782F">
              <w:rPr>
                <w:sz w:val="18"/>
                <w:lang w:val="fr-CH"/>
              </w:rPr>
              <w:t xml:space="preserve">mbre d’institutions </w:t>
            </w:r>
            <w:r w:rsidRPr="0071782F">
              <w:rPr>
                <w:sz w:val="18"/>
                <w:lang w:val="fr-CH"/>
              </w:rPr>
              <w:t>cultur</w:t>
            </w:r>
            <w:r w:rsidR="00CA3D78" w:rsidRPr="0071782F">
              <w:rPr>
                <w:sz w:val="18"/>
                <w:lang w:val="fr-CH"/>
              </w:rPr>
              <w:t>elles et artistiques</w:t>
            </w:r>
            <w:r w:rsidR="002C15C8" w:rsidRPr="0071782F">
              <w:rPr>
                <w:i/>
                <w:sz w:val="18"/>
                <w:vertAlign w:val="superscript"/>
                <w:lang w:val="fr-CH"/>
              </w:rPr>
              <w:t>(1)</w:t>
            </w:r>
          </w:p>
        </w:tc>
        <w:tc>
          <w:tcPr>
            <w:tcW w:w="1559" w:type="dxa"/>
            <w:tcBorders>
              <w:top w:val="nil"/>
              <w:bottom w:val="nil"/>
            </w:tcBorders>
            <w:shd w:val="clear" w:color="auto" w:fill="auto"/>
            <w:vAlign w:val="bottom"/>
          </w:tcPr>
          <w:p w:rsidR="00963C03" w:rsidRPr="0071782F" w:rsidRDefault="00963C03" w:rsidP="00881286">
            <w:pPr>
              <w:keepNext/>
              <w:keepLines/>
              <w:suppressAutoHyphens w:val="0"/>
              <w:spacing w:before="40" w:after="40" w:line="220" w:lineRule="exact"/>
              <w:rPr>
                <w:sz w:val="18"/>
                <w:lang w:val="fr-CH"/>
              </w:rPr>
            </w:pPr>
          </w:p>
        </w:tc>
        <w:tc>
          <w:tcPr>
            <w:tcW w:w="1180" w:type="dxa"/>
            <w:tcBorders>
              <w:top w:val="nil"/>
              <w:bottom w:val="nil"/>
            </w:tcBorders>
            <w:shd w:val="clear" w:color="auto" w:fill="auto"/>
            <w:vAlign w:val="bottom"/>
          </w:tcPr>
          <w:p w:rsidR="00963C03" w:rsidRPr="0071782F" w:rsidRDefault="00963C03" w:rsidP="00881286">
            <w:pPr>
              <w:keepNext/>
              <w:keepLines/>
              <w:suppressAutoHyphens w:val="0"/>
              <w:spacing w:before="40" w:after="40" w:line="220" w:lineRule="exact"/>
              <w:jc w:val="right"/>
              <w:rPr>
                <w:sz w:val="18"/>
                <w:lang w:val="fr-CH"/>
              </w:rPr>
            </w:pPr>
          </w:p>
        </w:tc>
        <w:tc>
          <w:tcPr>
            <w:tcW w:w="1370" w:type="dxa"/>
            <w:tcBorders>
              <w:top w:val="nil"/>
              <w:bottom w:val="nil"/>
            </w:tcBorders>
            <w:shd w:val="clear" w:color="auto" w:fill="auto"/>
            <w:vAlign w:val="bottom"/>
          </w:tcPr>
          <w:p w:rsidR="00963C03" w:rsidRPr="0071782F" w:rsidRDefault="00963C03" w:rsidP="00881286">
            <w:pPr>
              <w:keepNext/>
              <w:keepLines/>
              <w:suppressAutoHyphens w:val="0"/>
              <w:spacing w:before="40" w:after="40" w:line="220" w:lineRule="exact"/>
              <w:jc w:val="right"/>
              <w:rPr>
                <w:sz w:val="18"/>
                <w:lang w:val="fr-CH"/>
              </w:rPr>
            </w:pPr>
          </w:p>
        </w:tc>
      </w:tr>
      <w:tr w:rsidR="00963C03" w:rsidRPr="0071782F">
        <w:tc>
          <w:tcPr>
            <w:tcW w:w="3261" w:type="dxa"/>
            <w:tcBorders>
              <w:top w:val="nil"/>
            </w:tcBorders>
            <w:shd w:val="clear" w:color="auto" w:fill="auto"/>
          </w:tcPr>
          <w:p w:rsidR="00963C03" w:rsidRPr="0071782F" w:rsidRDefault="00963C03" w:rsidP="00881286">
            <w:pPr>
              <w:keepNext/>
              <w:keepLines/>
              <w:suppressAutoHyphens w:val="0"/>
              <w:spacing w:before="40" w:after="40" w:line="220" w:lineRule="exact"/>
              <w:rPr>
                <w:sz w:val="18"/>
                <w:lang w:val="fr-CH"/>
              </w:rPr>
            </w:pPr>
            <w:r w:rsidRPr="0071782F">
              <w:rPr>
                <w:sz w:val="18"/>
                <w:lang w:val="fr-CH"/>
              </w:rPr>
              <w:t>No</w:t>
            </w:r>
            <w:r w:rsidR="00CA3D78" w:rsidRPr="0071782F">
              <w:rPr>
                <w:sz w:val="18"/>
                <w:lang w:val="fr-CH"/>
              </w:rPr>
              <w:t xml:space="preserve">mbre de cinémas en fonctionnement </w:t>
            </w:r>
          </w:p>
        </w:tc>
        <w:tc>
          <w:tcPr>
            <w:tcW w:w="1559" w:type="dxa"/>
            <w:tcBorders>
              <w:top w:val="nil"/>
            </w:tcBorders>
            <w:shd w:val="clear" w:color="auto" w:fill="auto"/>
            <w:vAlign w:val="bottom"/>
          </w:tcPr>
          <w:p w:rsidR="00963C03" w:rsidRPr="0071782F" w:rsidRDefault="00963C03" w:rsidP="00881286">
            <w:pPr>
              <w:keepNext/>
              <w:keepLines/>
              <w:suppressAutoHyphens w:val="0"/>
              <w:spacing w:before="40" w:after="40" w:line="220" w:lineRule="exact"/>
              <w:rPr>
                <w:sz w:val="18"/>
                <w:lang w:val="fr-CH"/>
              </w:rPr>
            </w:pPr>
            <w:r w:rsidRPr="0071782F">
              <w:rPr>
                <w:sz w:val="18"/>
                <w:lang w:val="fr-CH"/>
              </w:rPr>
              <w:t>Cin</w:t>
            </w:r>
            <w:r w:rsidR="00CA3D78" w:rsidRPr="0071782F">
              <w:rPr>
                <w:sz w:val="18"/>
                <w:lang w:val="fr-CH"/>
              </w:rPr>
              <w:t>é</w:t>
            </w:r>
            <w:r w:rsidRPr="0071782F">
              <w:rPr>
                <w:sz w:val="18"/>
                <w:lang w:val="fr-CH"/>
              </w:rPr>
              <w:t>ma</w:t>
            </w:r>
          </w:p>
        </w:tc>
        <w:tc>
          <w:tcPr>
            <w:tcW w:w="1180" w:type="dxa"/>
            <w:tcBorders>
              <w:top w:val="nil"/>
            </w:tcBorders>
            <w:shd w:val="clear" w:color="auto" w:fill="auto"/>
            <w:vAlign w:val="bottom"/>
          </w:tcPr>
          <w:p w:rsidR="00963C03" w:rsidRPr="0071782F" w:rsidRDefault="00963C03" w:rsidP="00881286">
            <w:pPr>
              <w:keepNext/>
              <w:keepLines/>
              <w:suppressAutoHyphens w:val="0"/>
              <w:spacing w:before="40" w:after="40" w:line="220" w:lineRule="exact"/>
              <w:jc w:val="right"/>
              <w:rPr>
                <w:sz w:val="18"/>
                <w:lang w:val="fr-CH"/>
              </w:rPr>
            </w:pPr>
            <w:r w:rsidRPr="0071782F">
              <w:rPr>
                <w:sz w:val="18"/>
                <w:lang w:val="fr-CH"/>
              </w:rPr>
              <w:t>218</w:t>
            </w:r>
          </w:p>
        </w:tc>
        <w:tc>
          <w:tcPr>
            <w:tcW w:w="1370" w:type="dxa"/>
            <w:tcBorders>
              <w:top w:val="nil"/>
            </w:tcBorders>
            <w:shd w:val="clear" w:color="auto" w:fill="auto"/>
            <w:vAlign w:val="bottom"/>
          </w:tcPr>
          <w:p w:rsidR="00963C03" w:rsidRPr="0071782F" w:rsidRDefault="00963C03" w:rsidP="00881286">
            <w:pPr>
              <w:keepNext/>
              <w:keepLines/>
              <w:suppressAutoHyphens w:val="0"/>
              <w:spacing w:before="40" w:after="40" w:line="220" w:lineRule="exact"/>
              <w:jc w:val="right"/>
              <w:rPr>
                <w:sz w:val="18"/>
                <w:lang w:val="fr-CH"/>
              </w:rPr>
            </w:pPr>
            <w:r w:rsidRPr="0071782F">
              <w:rPr>
                <w:sz w:val="18"/>
                <w:lang w:val="fr-CH"/>
              </w:rPr>
              <w:t>-</w:t>
            </w:r>
          </w:p>
        </w:tc>
      </w:tr>
      <w:tr w:rsidR="00963C03" w:rsidRPr="0071782F">
        <w:tc>
          <w:tcPr>
            <w:tcW w:w="3261" w:type="dxa"/>
            <w:shd w:val="clear" w:color="auto" w:fill="auto"/>
          </w:tcPr>
          <w:p w:rsidR="00963C03" w:rsidRPr="0071782F" w:rsidRDefault="00CA3D78" w:rsidP="00881286">
            <w:pPr>
              <w:suppressAutoHyphens w:val="0"/>
              <w:spacing w:before="40" w:after="40" w:line="220" w:lineRule="exact"/>
              <w:rPr>
                <w:sz w:val="18"/>
                <w:lang w:val="fr-CH"/>
              </w:rPr>
            </w:pPr>
            <w:r w:rsidRPr="0071782F">
              <w:rPr>
                <w:sz w:val="18"/>
                <w:lang w:val="fr-CH"/>
              </w:rPr>
              <w:t xml:space="preserve">Nombre de cinémas ne fonctionnant pas </w:t>
            </w:r>
          </w:p>
        </w:tc>
        <w:tc>
          <w:tcPr>
            <w:tcW w:w="1559"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Cin</w:t>
            </w:r>
            <w:r w:rsidR="00CA3D78" w:rsidRPr="0071782F">
              <w:rPr>
                <w:sz w:val="18"/>
                <w:lang w:val="fr-CH"/>
              </w:rPr>
              <w:t>é</w:t>
            </w:r>
            <w:r w:rsidRPr="0071782F">
              <w:rPr>
                <w:sz w:val="18"/>
                <w:lang w:val="fr-CH"/>
              </w:rPr>
              <w:t>ma</w:t>
            </w:r>
          </w:p>
        </w:tc>
        <w:tc>
          <w:tcPr>
            <w:tcW w:w="118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214</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r>
    </w:tbl>
    <w:p w:rsidR="00963C03" w:rsidRPr="0071782F" w:rsidRDefault="00963C03" w:rsidP="00AA22EB">
      <w:pPr>
        <w:suppressAutoHyphens w:val="0"/>
        <w:spacing w:before="120" w:line="240" w:lineRule="auto"/>
        <w:ind w:left="1134" w:right="1134" w:firstLine="170"/>
        <w:rPr>
          <w:sz w:val="18"/>
          <w:szCs w:val="18"/>
          <w:lang w:val="fr-CH"/>
        </w:rPr>
      </w:pPr>
      <w:r w:rsidRPr="0071782F">
        <w:rPr>
          <w:i/>
          <w:sz w:val="18"/>
          <w:szCs w:val="18"/>
          <w:lang w:val="fr-CH"/>
        </w:rPr>
        <w:t>Source</w:t>
      </w:r>
      <w:r w:rsidR="008F7D33" w:rsidRPr="0071782F">
        <w:rPr>
          <w:i/>
          <w:sz w:val="18"/>
          <w:szCs w:val="18"/>
          <w:lang w:val="fr-CH"/>
        </w:rPr>
        <w:t>:</w:t>
      </w:r>
      <w:r w:rsidRPr="0071782F">
        <w:rPr>
          <w:sz w:val="18"/>
          <w:szCs w:val="18"/>
          <w:lang w:val="fr-CH"/>
        </w:rPr>
        <w:t xml:space="preserve"> Minist</w:t>
      </w:r>
      <w:r w:rsidR="00CA3D78" w:rsidRPr="0071782F">
        <w:rPr>
          <w:sz w:val="18"/>
          <w:szCs w:val="18"/>
          <w:lang w:val="fr-CH"/>
        </w:rPr>
        <w:t>ère de la c</w:t>
      </w:r>
      <w:r w:rsidRPr="0071782F">
        <w:rPr>
          <w:sz w:val="18"/>
          <w:szCs w:val="18"/>
          <w:lang w:val="fr-CH"/>
        </w:rPr>
        <w:t xml:space="preserve">ulture </w:t>
      </w:r>
      <w:r w:rsidR="00CA3D78" w:rsidRPr="0071782F">
        <w:rPr>
          <w:sz w:val="18"/>
          <w:szCs w:val="18"/>
          <w:lang w:val="fr-CH"/>
        </w:rPr>
        <w:t>et de l’orientation islamique</w:t>
      </w:r>
      <w:r w:rsidRPr="0071782F">
        <w:rPr>
          <w:sz w:val="18"/>
          <w:szCs w:val="18"/>
          <w:lang w:val="fr-CH"/>
        </w:rPr>
        <w:t>.</w:t>
      </w:r>
    </w:p>
    <w:p w:rsidR="00963C03" w:rsidRPr="0071782F" w:rsidRDefault="00AA4791" w:rsidP="00AA22EB">
      <w:pPr>
        <w:suppressAutoHyphens w:val="0"/>
        <w:spacing w:line="240" w:lineRule="auto"/>
        <w:ind w:left="1134" w:right="1134" w:firstLine="170"/>
        <w:rPr>
          <w:sz w:val="18"/>
          <w:szCs w:val="18"/>
          <w:lang w:val="fr-CH"/>
        </w:rPr>
      </w:pPr>
      <w:r w:rsidRPr="0071782F">
        <w:rPr>
          <w:i/>
          <w:sz w:val="18"/>
          <w:vertAlign w:val="superscript"/>
          <w:lang w:val="fr-CH"/>
        </w:rPr>
        <w:t>(1)</w:t>
      </w:r>
      <w:r w:rsidR="00963C03" w:rsidRPr="0071782F">
        <w:rPr>
          <w:sz w:val="18"/>
          <w:szCs w:val="18"/>
          <w:lang w:val="fr-CH"/>
        </w:rPr>
        <w:t xml:space="preserve">  </w:t>
      </w:r>
      <w:r w:rsidR="00CA3D78" w:rsidRPr="0071782F">
        <w:rPr>
          <w:sz w:val="18"/>
          <w:szCs w:val="18"/>
          <w:lang w:val="fr-CH"/>
        </w:rPr>
        <w:t>Données non disponibles au moment de la publication</w:t>
      </w:r>
      <w:r w:rsidR="00963C03" w:rsidRPr="0071782F">
        <w:rPr>
          <w:sz w:val="18"/>
          <w:szCs w:val="18"/>
          <w:lang w:val="fr-CH"/>
        </w:rPr>
        <w:t>.</w:t>
      </w:r>
    </w:p>
    <w:p w:rsidR="00963C03" w:rsidRPr="0071782F" w:rsidRDefault="00AA4791" w:rsidP="00BA46A5">
      <w:pPr>
        <w:suppressAutoHyphens w:val="0"/>
        <w:spacing w:after="240" w:line="240" w:lineRule="auto"/>
        <w:ind w:left="1134" w:right="1134" w:firstLine="170"/>
        <w:rPr>
          <w:sz w:val="18"/>
          <w:szCs w:val="18"/>
          <w:lang w:val="fr-CH"/>
        </w:rPr>
      </w:pPr>
      <w:r w:rsidRPr="0071782F">
        <w:rPr>
          <w:i/>
          <w:sz w:val="18"/>
          <w:vertAlign w:val="superscript"/>
          <w:lang w:val="fr-CH"/>
        </w:rPr>
        <w:t>(2)</w:t>
      </w:r>
      <w:r w:rsidR="00963C03" w:rsidRPr="0071782F">
        <w:rPr>
          <w:sz w:val="18"/>
          <w:szCs w:val="18"/>
          <w:lang w:val="fr-CH"/>
        </w:rPr>
        <w:t xml:space="preserve">  </w:t>
      </w:r>
      <w:r w:rsidR="00CA3D78" w:rsidRPr="0071782F">
        <w:rPr>
          <w:sz w:val="18"/>
          <w:szCs w:val="18"/>
          <w:lang w:val="fr-CH"/>
        </w:rPr>
        <w:t xml:space="preserve">La variation en pourcentage est calculée à partir des chiffres révisés fournis par l’organisme </w:t>
      </w:r>
      <w:r w:rsidR="000E290C" w:rsidRPr="0071782F">
        <w:rPr>
          <w:sz w:val="18"/>
          <w:szCs w:val="18"/>
          <w:lang w:val="fr-CH"/>
        </w:rPr>
        <w:t>concerné</w:t>
      </w:r>
      <w:r w:rsidR="00963C03" w:rsidRPr="0071782F">
        <w:rPr>
          <w:sz w:val="18"/>
          <w:szCs w:val="18"/>
          <w:lang w:val="fr-CH"/>
        </w:rPr>
        <w:t>.</w:t>
      </w:r>
    </w:p>
    <w:p w:rsidR="00963C03" w:rsidRPr="0071782F" w:rsidRDefault="00963C03" w:rsidP="00AA22EB">
      <w:pPr>
        <w:pStyle w:val="H23G"/>
        <w:rPr>
          <w:lang w:val="fr-CH"/>
        </w:rPr>
      </w:pPr>
      <w:r w:rsidRPr="0071782F">
        <w:rPr>
          <w:lang w:val="fr-CH"/>
        </w:rPr>
        <w:tab/>
      </w:r>
      <w:r w:rsidRPr="0071782F">
        <w:rPr>
          <w:lang w:val="fr-CH"/>
        </w:rPr>
        <w:tab/>
      </w:r>
      <w:r w:rsidR="00CA3D78" w:rsidRPr="0071782F">
        <w:rPr>
          <w:lang w:val="fr-CH"/>
        </w:rPr>
        <w:t xml:space="preserve">Indicateurs culturels en </w:t>
      </w:r>
      <w:r w:rsidRPr="0071782F">
        <w:rPr>
          <w:lang w:val="fr-CH"/>
        </w:rPr>
        <w:t>2007</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1984"/>
        <w:gridCol w:w="755"/>
        <w:gridCol w:w="1370"/>
      </w:tblGrid>
      <w:tr w:rsidR="00963C03" w:rsidRPr="0071782F">
        <w:trPr>
          <w:tblHeader/>
        </w:trPr>
        <w:tc>
          <w:tcPr>
            <w:tcW w:w="3261"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Indicat</w:t>
            </w:r>
            <w:r w:rsidR="00E1081A" w:rsidRPr="0071782F">
              <w:rPr>
                <w:i/>
                <w:sz w:val="16"/>
                <w:lang w:val="fr-CH"/>
              </w:rPr>
              <w:t>eu</w:t>
            </w:r>
            <w:r w:rsidRPr="0071782F">
              <w:rPr>
                <w:i/>
                <w:sz w:val="16"/>
                <w:lang w:val="fr-CH"/>
              </w:rPr>
              <w:t>r</w:t>
            </w:r>
          </w:p>
        </w:tc>
        <w:tc>
          <w:tcPr>
            <w:tcW w:w="1984"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Unit</w:t>
            </w:r>
            <w:r w:rsidR="00E1081A" w:rsidRPr="0071782F">
              <w:rPr>
                <w:i/>
                <w:sz w:val="16"/>
                <w:lang w:val="fr-CH"/>
              </w:rPr>
              <w:t>é</w:t>
            </w:r>
          </w:p>
        </w:tc>
        <w:tc>
          <w:tcPr>
            <w:tcW w:w="755"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No</w:t>
            </w:r>
            <w:r w:rsidR="00E1081A" w:rsidRPr="0071782F">
              <w:rPr>
                <w:i/>
                <w:sz w:val="16"/>
                <w:lang w:val="fr-CH"/>
              </w:rPr>
              <w:t>mbre</w:t>
            </w:r>
            <w:r w:rsidRPr="0071782F">
              <w:rPr>
                <w:i/>
                <w:sz w:val="16"/>
                <w:lang w:val="fr-CH"/>
              </w:rPr>
              <w:t>/</w:t>
            </w:r>
            <w:r w:rsidR="00917D86">
              <w:rPr>
                <w:i/>
                <w:sz w:val="16"/>
                <w:lang w:val="fr-CH"/>
              </w:rPr>
              <w:br/>
            </w:r>
            <w:r w:rsidR="00E1081A" w:rsidRPr="0071782F">
              <w:rPr>
                <w:i/>
                <w:sz w:val="16"/>
                <w:lang w:val="fr-CH"/>
              </w:rPr>
              <w:t>valeur</w:t>
            </w:r>
          </w:p>
        </w:tc>
        <w:tc>
          <w:tcPr>
            <w:tcW w:w="1370" w:type="dxa"/>
            <w:tcBorders>
              <w:top w:val="single" w:sz="4" w:space="0" w:color="auto"/>
              <w:bottom w:val="single" w:sz="12" w:space="0" w:color="auto"/>
            </w:tcBorders>
            <w:shd w:val="clear" w:color="auto" w:fill="auto"/>
            <w:vAlign w:val="bottom"/>
          </w:tcPr>
          <w:p w:rsidR="00963C03" w:rsidRPr="0071782F" w:rsidRDefault="00E1081A" w:rsidP="00881286">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r w:rsidRPr="0071782F">
              <w:rPr>
                <w:i/>
                <w:sz w:val="18"/>
                <w:vertAlign w:val="superscript"/>
                <w:lang w:val="fr-CH"/>
              </w:rPr>
              <w:t xml:space="preserve"> </w:t>
            </w:r>
            <w:r w:rsidR="00195185" w:rsidRPr="0071782F">
              <w:rPr>
                <w:i/>
                <w:sz w:val="18"/>
                <w:vertAlign w:val="superscript"/>
                <w:lang w:val="fr-CH"/>
              </w:rPr>
              <w:t>(1)</w:t>
            </w:r>
          </w:p>
        </w:tc>
      </w:tr>
      <w:tr w:rsidR="00963C03" w:rsidRPr="0071782F">
        <w:tc>
          <w:tcPr>
            <w:tcW w:w="3261" w:type="dxa"/>
            <w:tcBorders>
              <w:top w:val="single" w:sz="12" w:space="0" w:color="auto"/>
            </w:tcBorders>
            <w:shd w:val="clear" w:color="auto" w:fill="auto"/>
          </w:tcPr>
          <w:p w:rsidR="00963C03" w:rsidRPr="0071782F" w:rsidRDefault="00E1081A" w:rsidP="00881286">
            <w:pPr>
              <w:suppressAutoHyphens w:val="0"/>
              <w:spacing w:before="40" w:after="40" w:line="220" w:lineRule="exact"/>
              <w:rPr>
                <w:sz w:val="18"/>
                <w:lang w:val="fr-CH"/>
              </w:rPr>
            </w:pPr>
            <w:r w:rsidRPr="0071782F">
              <w:rPr>
                <w:sz w:val="18"/>
                <w:lang w:val="fr-CH"/>
              </w:rPr>
              <w:t>Nombre de musées historiques et culturels en fin d’année</w:t>
            </w:r>
          </w:p>
        </w:tc>
        <w:tc>
          <w:tcPr>
            <w:tcW w:w="1984"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E1081A" w:rsidRPr="0071782F">
              <w:rPr>
                <w:sz w:val="18"/>
                <w:lang w:val="fr-CH"/>
              </w:rPr>
              <w:t>mbre</w:t>
            </w:r>
          </w:p>
        </w:tc>
        <w:tc>
          <w:tcPr>
            <w:tcW w:w="755"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204</w:t>
            </w:r>
          </w:p>
        </w:tc>
        <w:tc>
          <w:tcPr>
            <w:tcW w:w="1370"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-6</w:t>
            </w:r>
            <w:r w:rsidR="00881286" w:rsidRPr="0071782F">
              <w:rPr>
                <w:sz w:val="18"/>
                <w:lang w:val="fr-CH"/>
              </w:rPr>
              <w:t>,</w:t>
            </w:r>
            <w:r w:rsidRPr="0071782F">
              <w:rPr>
                <w:sz w:val="18"/>
                <w:lang w:val="fr-CH"/>
              </w:rPr>
              <w:t>0</w:t>
            </w:r>
          </w:p>
        </w:tc>
      </w:tr>
      <w:tr w:rsidR="00963C03" w:rsidRPr="0071782F">
        <w:tc>
          <w:tcPr>
            <w:tcW w:w="3261" w:type="dxa"/>
            <w:shd w:val="clear" w:color="auto" w:fill="auto"/>
          </w:tcPr>
          <w:p w:rsidR="00963C03" w:rsidRPr="0071782F" w:rsidRDefault="00E1081A" w:rsidP="00881286">
            <w:pPr>
              <w:suppressAutoHyphens w:val="0"/>
              <w:spacing w:before="40" w:after="40" w:line="220" w:lineRule="exact"/>
              <w:rPr>
                <w:sz w:val="18"/>
                <w:lang w:val="fr-CH"/>
              </w:rPr>
            </w:pPr>
            <w:r w:rsidRPr="0071782F">
              <w:rPr>
                <w:sz w:val="18"/>
                <w:lang w:val="fr-CH"/>
              </w:rPr>
              <w:t xml:space="preserve">Visiteurs nationaux de musées </w:t>
            </w:r>
          </w:p>
        </w:tc>
        <w:tc>
          <w:tcPr>
            <w:tcW w:w="1984"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Person</w:t>
            </w:r>
            <w:r w:rsidR="00E1081A" w:rsidRPr="0071782F">
              <w:rPr>
                <w:sz w:val="18"/>
                <w:lang w:val="fr-CH"/>
              </w:rPr>
              <w:t>nes</w:t>
            </w:r>
            <w:r w:rsidRPr="0071782F">
              <w:rPr>
                <w:sz w:val="18"/>
                <w:lang w:val="fr-CH"/>
              </w:rPr>
              <w:t xml:space="preserve"> (</w:t>
            </w:r>
            <w:r w:rsidR="00E1081A" w:rsidRPr="0071782F">
              <w:rPr>
                <w:sz w:val="18"/>
                <w:lang w:val="fr-CH"/>
              </w:rPr>
              <w:t>milliers</w:t>
            </w:r>
            <w:r w:rsidRPr="0071782F">
              <w:rPr>
                <w:sz w:val="18"/>
                <w:lang w:val="fr-CH"/>
              </w:rPr>
              <w:t>)</w:t>
            </w:r>
          </w:p>
        </w:tc>
        <w:tc>
          <w:tcPr>
            <w:tcW w:w="755"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2 683</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-24</w:t>
            </w:r>
            <w:r w:rsidR="00881286" w:rsidRPr="0071782F">
              <w:rPr>
                <w:sz w:val="18"/>
                <w:lang w:val="fr-CH"/>
              </w:rPr>
              <w:t>,</w:t>
            </w:r>
            <w:r w:rsidRPr="0071782F">
              <w:rPr>
                <w:sz w:val="18"/>
                <w:lang w:val="fr-CH"/>
              </w:rPr>
              <w:t>8</w:t>
            </w:r>
          </w:p>
        </w:tc>
      </w:tr>
      <w:tr w:rsidR="00963C03" w:rsidRPr="0071782F">
        <w:tc>
          <w:tcPr>
            <w:tcW w:w="3261" w:type="dxa"/>
            <w:tcBorders>
              <w:bottom w:val="nil"/>
            </w:tcBorders>
            <w:shd w:val="clear" w:color="auto" w:fill="auto"/>
          </w:tcPr>
          <w:p w:rsidR="00963C03" w:rsidRPr="0071782F" w:rsidRDefault="00E1081A" w:rsidP="00881286">
            <w:pPr>
              <w:suppressAutoHyphens w:val="0"/>
              <w:spacing w:before="40" w:after="40" w:line="220" w:lineRule="exact"/>
              <w:rPr>
                <w:sz w:val="18"/>
                <w:lang w:val="fr-CH"/>
              </w:rPr>
            </w:pPr>
            <w:r w:rsidRPr="0071782F">
              <w:rPr>
                <w:sz w:val="18"/>
                <w:lang w:val="fr-CH"/>
              </w:rPr>
              <w:t xml:space="preserve">Visiteurs nationaux de sites d’intérêt </w:t>
            </w:r>
            <w:r w:rsidR="00963C03" w:rsidRPr="0071782F">
              <w:rPr>
                <w:sz w:val="18"/>
                <w:lang w:val="fr-CH"/>
              </w:rPr>
              <w:t>cultur</w:t>
            </w:r>
            <w:r w:rsidRPr="0071782F">
              <w:rPr>
                <w:sz w:val="18"/>
                <w:lang w:val="fr-CH"/>
              </w:rPr>
              <w:t>e</w:t>
            </w:r>
            <w:r w:rsidR="00963C03" w:rsidRPr="0071782F">
              <w:rPr>
                <w:sz w:val="18"/>
                <w:lang w:val="fr-CH"/>
              </w:rPr>
              <w:t xml:space="preserve">l </w:t>
            </w:r>
            <w:r w:rsidRPr="0071782F">
              <w:rPr>
                <w:sz w:val="18"/>
                <w:lang w:val="fr-CH"/>
              </w:rPr>
              <w:t xml:space="preserve">et </w:t>
            </w:r>
            <w:r w:rsidR="00963C03" w:rsidRPr="0071782F">
              <w:rPr>
                <w:sz w:val="18"/>
                <w:lang w:val="fr-CH"/>
              </w:rPr>
              <w:t>histori</w:t>
            </w:r>
            <w:r w:rsidRPr="0071782F">
              <w:rPr>
                <w:sz w:val="18"/>
                <w:lang w:val="fr-CH"/>
              </w:rPr>
              <w:t xml:space="preserve">que </w:t>
            </w:r>
          </w:p>
        </w:tc>
        <w:tc>
          <w:tcPr>
            <w:tcW w:w="1984" w:type="dxa"/>
            <w:tcBorders>
              <w:bottom w:val="nil"/>
            </w:tcBorders>
            <w:shd w:val="clear" w:color="auto" w:fill="auto"/>
            <w:vAlign w:val="bottom"/>
          </w:tcPr>
          <w:p w:rsidR="00963C03" w:rsidRPr="0071782F" w:rsidRDefault="00E1081A" w:rsidP="00881286">
            <w:pPr>
              <w:suppressAutoHyphens w:val="0"/>
              <w:spacing w:before="40" w:after="40" w:line="220" w:lineRule="exact"/>
              <w:rPr>
                <w:sz w:val="18"/>
                <w:lang w:val="fr-CH"/>
              </w:rPr>
            </w:pPr>
            <w:r w:rsidRPr="0071782F">
              <w:rPr>
                <w:sz w:val="18"/>
                <w:lang w:val="fr-CH"/>
              </w:rPr>
              <w:t>Personnes (milliers)</w:t>
            </w:r>
          </w:p>
        </w:tc>
        <w:tc>
          <w:tcPr>
            <w:tcW w:w="755"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12 608</w:t>
            </w:r>
          </w:p>
        </w:tc>
        <w:tc>
          <w:tcPr>
            <w:tcW w:w="1370"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-14</w:t>
            </w:r>
            <w:r w:rsidR="00881286" w:rsidRPr="0071782F">
              <w:rPr>
                <w:sz w:val="18"/>
                <w:lang w:val="fr-CH"/>
              </w:rPr>
              <w:t>,</w:t>
            </w:r>
            <w:r w:rsidRPr="0071782F">
              <w:rPr>
                <w:sz w:val="18"/>
                <w:lang w:val="fr-CH"/>
              </w:rPr>
              <w:t>6</w:t>
            </w:r>
          </w:p>
        </w:tc>
      </w:tr>
      <w:tr w:rsidR="00963C03" w:rsidRPr="0071782F">
        <w:tc>
          <w:tcPr>
            <w:tcW w:w="3261" w:type="dxa"/>
            <w:tcBorders>
              <w:top w:val="nil"/>
              <w:bottom w:val="nil"/>
            </w:tcBorders>
            <w:shd w:val="clear" w:color="auto" w:fill="auto"/>
          </w:tcPr>
          <w:p w:rsidR="00963C03" w:rsidRPr="0071782F" w:rsidRDefault="00E1081A" w:rsidP="00881286">
            <w:pPr>
              <w:suppressAutoHyphens w:val="0"/>
              <w:spacing w:before="40" w:after="40" w:line="220" w:lineRule="exact"/>
              <w:rPr>
                <w:sz w:val="18"/>
                <w:lang w:val="fr-CH"/>
              </w:rPr>
            </w:pPr>
            <w:r w:rsidRPr="0071782F">
              <w:rPr>
                <w:sz w:val="18"/>
                <w:lang w:val="fr-CH"/>
              </w:rPr>
              <w:t>Visiteurs étrangers de musées</w:t>
            </w:r>
          </w:p>
        </w:tc>
        <w:tc>
          <w:tcPr>
            <w:tcW w:w="1984" w:type="dxa"/>
            <w:tcBorders>
              <w:top w:val="nil"/>
              <w:bottom w:val="nil"/>
            </w:tcBorders>
            <w:shd w:val="clear" w:color="auto" w:fill="auto"/>
            <w:vAlign w:val="bottom"/>
          </w:tcPr>
          <w:p w:rsidR="00963C03" w:rsidRPr="0071782F" w:rsidRDefault="00E1081A" w:rsidP="00881286">
            <w:pPr>
              <w:suppressAutoHyphens w:val="0"/>
              <w:spacing w:before="40" w:after="40" w:line="220" w:lineRule="exact"/>
              <w:rPr>
                <w:sz w:val="18"/>
                <w:lang w:val="fr-CH"/>
              </w:rPr>
            </w:pPr>
            <w:r w:rsidRPr="0071782F">
              <w:rPr>
                <w:sz w:val="18"/>
                <w:lang w:val="fr-CH"/>
              </w:rPr>
              <w:t>Personnes (milliers)</w:t>
            </w:r>
          </w:p>
        </w:tc>
        <w:tc>
          <w:tcPr>
            <w:tcW w:w="755"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93</w:t>
            </w:r>
          </w:p>
        </w:tc>
        <w:tc>
          <w:tcPr>
            <w:tcW w:w="1370"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8</w:t>
            </w:r>
            <w:r w:rsidR="00881286" w:rsidRPr="0071782F">
              <w:rPr>
                <w:sz w:val="18"/>
                <w:lang w:val="fr-CH"/>
              </w:rPr>
              <w:t>,</w:t>
            </w:r>
            <w:r w:rsidRPr="0071782F">
              <w:rPr>
                <w:sz w:val="18"/>
                <w:lang w:val="fr-CH"/>
              </w:rPr>
              <w:t>4</w:t>
            </w:r>
          </w:p>
        </w:tc>
      </w:tr>
      <w:tr w:rsidR="00963C03" w:rsidRPr="0071782F">
        <w:tc>
          <w:tcPr>
            <w:tcW w:w="3261" w:type="dxa"/>
            <w:tcBorders>
              <w:top w:val="nil"/>
            </w:tcBorders>
            <w:shd w:val="clear" w:color="auto" w:fill="auto"/>
          </w:tcPr>
          <w:p w:rsidR="00963C03" w:rsidRPr="0071782F" w:rsidRDefault="00E1081A" w:rsidP="00881286">
            <w:pPr>
              <w:suppressAutoHyphens w:val="0"/>
              <w:spacing w:before="40" w:after="40" w:line="220" w:lineRule="exact"/>
              <w:rPr>
                <w:sz w:val="18"/>
                <w:lang w:val="fr-CH"/>
              </w:rPr>
            </w:pPr>
            <w:r w:rsidRPr="0071782F">
              <w:rPr>
                <w:sz w:val="18"/>
                <w:lang w:val="fr-CH"/>
              </w:rPr>
              <w:t xml:space="preserve">Visiteurs étrangers de sites d’intérêt culturel et historique </w:t>
            </w:r>
          </w:p>
        </w:tc>
        <w:tc>
          <w:tcPr>
            <w:tcW w:w="1984" w:type="dxa"/>
            <w:tcBorders>
              <w:top w:val="nil"/>
            </w:tcBorders>
            <w:shd w:val="clear" w:color="auto" w:fill="auto"/>
            <w:vAlign w:val="bottom"/>
          </w:tcPr>
          <w:p w:rsidR="00963C03" w:rsidRPr="0071782F" w:rsidRDefault="00E1081A" w:rsidP="00881286">
            <w:pPr>
              <w:suppressAutoHyphens w:val="0"/>
              <w:spacing w:before="40" w:after="40" w:line="220" w:lineRule="exact"/>
              <w:rPr>
                <w:sz w:val="18"/>
                <w:lang w:val="fr-CH"/>
              </w:rPr>
            </w:pPr>
            <w:r w:rsidRPr="0071782F">
              <w:rPr>
                <w:sz w:val="18"/>
                <w:lang w:val="fr-CH"/>
              </w:rPr>
              <w:t>Personnes (milliers)</w:t>
            </w:r>
          </w:p>
        </w:tc>
        <w:tc>
          <w:tcPr>
            <w:tcW w:w="755"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393</w:t>
            </w:r>
          </w:p>
        </w:tc>
        <w:tc>
          <w:tcPr>
            <w:tcW w:w="1370"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12</w:t>
            </w:r>
            <w:r w:rsidR="00881286" w:rsidRPr="0071782F">
              <w:rPr>
                <w:sz w:val="18"/>
                <w:lang w:val="fr-CH"/>
              </w:rPr>
              <w:t>,</w:t>
            </w:r>
            <w:r w:rsidRPr="0071782F">
              <w:rPr>
                <w:sz w:val="18"/>
                <w:lang w:val="fr-CH"/>
              </w:rPr>
              <w:t>9</w:t>
            </w:r>
          </w:p>
        </w:tc>
      </w:tr>
      <w:tr w:rsidR="00963C03" w:rsidRPr="0071782F">
        <w:tc>
          <w:tcPr>
            <w:tcW w:w="3261" w:type="dxa"/>
            <w:shd w:val="clear" w:color="auto" w:fill="auto"/>
          </w:tcPr>
          <w:p w:rsidR="00963C03" w:rsidRPr="0071782F" w:rsidRDefault="00E1081A" w:rsidP="00881286">
            <w:pPr>
              <w:suppressAutoHyphens w:val="0"/>
              <w:spacing w:before="40" w:after="40" w:line="220" w:lineRule="exact"/>
              <w:rPr>
                <w:sz w:val="18"/>
                <w:lang w:val="fr-CH"/>
              </w:rPr>
            </w:pPr>
            <w:r w:rsidRPr="0071782F">
              <w:rPr>
                <w:sz w:val="18"/>
                <w:lang w:val="fr-CH"/>
              </w:rPr>
              <w:t xml:space="preserve">Nombre de monuments inscrits sur la liste nationale des </w:t>
            </w:r>
            <w:r w:rsidR="00D5366B" w:rsidRPr="0071782F">
              <w:rPr>
                <w:sz w:val="18"/>
                <w:lang w:val="fr-CH"/>
              </w:rPr>
              <w:t>œuvre</w:t>
            </w:r>
            <w:r w:rsidRPr="0071782F">
              <w:rPr>
                <w:sz w:val="18"/>
                <w:lang w:val="fr-CH"/>
              </w:rPr>
              <w:t>s d’intérêt historique</w:t>
            </w:r>
            <w:r w:rsidR="00195185" w:rsidRPr="0071782F">
              <w:rPr>
                <w:i/>
                <w:sz w:val="18"/>
                <w:vertAlign w:val="superscript"/>
                <w:lang w:val="fr-CH"/>
              </w:rPr>
              <w:t>(2)</w:t>
            </w:r>
          </w:p>
        </w:tc>
        <w:tc>
          <w:tcPr>
            <w:tcW w:w="1984" w:type="dxa"/>
            <w:shd w:val="clear" w:color="auto" w:fill="auto"/>
            <w:vAlign w:val="bottom"/>
          </w:tcPr>
          <w:p w:rsidR="00963C03" w:rsidRPr="0071782F" w:rsidRDefault="00E1081A" w:rsidP="00881286">
            <w:pPr>
              <w:suppressAutoHyphens w:val="0"/>
              <w:spacing w:before="40" w:after="40" w:line="220" w:lineRule="exact"/>
              <w:rPr>
                <w:sz w:val="18"/>
                <w:lang w:val="fr-CH"/>
              </w:rPr>
            </w:pPr>
            <w:r w:rsidRPr="0071782F">
              <w:rPr>
                <w:sz w:val="18"/>
                <w:lang w:val="fr-CH"/>
              </w:rPr>
              <w:t>Nombre</w:t>
            </w:r>
          </w:p>
        </w:tc>
        <w:tc>
          <w:tcPr>
            <w:tcW w:w="755"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3 720</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w:t>
            </w:r>
            <w:r w:rsidR="00881286" w:rsidRPr="0071782F">
              <w:rPr>
                <w:sz w:val="18"/>
                <w:lang w:val="fr-CH"/>
              </w:rPr>
              <w:t>,</w:t>
            </w:r>
            <w:r w:rsidRPr="0071782F">
              <w:rPr>
                <w:sz w:val="18"/>
                <w:lang w:val="fr-CH"/>
              </w:rPr>
              <w:t>9</w:t>
            </w:r>
          </w:p>
        </w:tc>
      </w:tr>
    </w:tbl>
    <w:p w:rsidR="00963C03" w:rsidRPr="0071782F" w:rsidRDefault="00963C03" w:rsidP="00AA22EB">
      <w:pPr>
        <w:suppressAutoHyphens w:val="0"/>
        <w:spacing w:before="120" w:line="240" w:lineRule="auto"/>
        <w:ind w:left="1134" w:right="1134" w:firstLine="170"/>
        <w:rPr>
          <w:sz w:val="18"/>
          <w:szCs w:val="18"/>
          <w:lang w:val="fr-CH"/>
        </w:rPr>
      </w:pPr>
      <w:r w:rsidRPr="0071782F">
        <w:rPr>
          <w:i/>
          <w:sz w:val="18"/>
          <w:szCs w:val="18"/>
          <w:lang w:val="fr-CH"/>
        </w:rPr>
        <w:t>Source</w:t>
      </w:r>
      <w:r w:rsidR="008F7D33" w:rsidRPr="0071782F">
        <w:rPr>
          <w:i/>
          <w:sz w:val="18"/>
          <w:szCs w:val="18"/>
          <w:lang w:val="fr-CH"/>
        </w:rPr>
        <w:t>:</w:t>
      </w:r>
      <w:r w:rsidR="00DB5FF4">
        <w:rPr>
          <w:sz w:val="18"/>
          <w:szCs w:val="18"/>
          <w:lang w:val="fr-CH"/>
        </w:rPr>
        <w:t xml:space="preserve"> </w:t>
      </w:r>
      <w:r w:rsidR="00E1081A" w:rsidRPr="0071782F">
        <w:rPr>
          <w:sz w:val="18"/>
          <w:szCs w:val="18"/>
          <w:lang w:val="fr-CH"/>
        </w:rPr>
        <w:t>Organisme du patrimoine culturel et du tourisme</w:t>
      </w:r>
      <w:r w:rsidRPr="0071782F">
        <w:rPr>
          <w:sz w:val="18"/>
          <w:szCs w:val="18"/>
          <w:lang w:val="fr-CH"/>
        </w:rPr>
        <w:t>.</w:t>
      </w:r>
    </w:p>
    <w:p w:rsidR="00963C03" w:rsidRPr="0071782F" w:rsidRDefault="00195185" w:rsidP="00AA22EB">
      <w:pPr>
        <w:suppressAutoHyphens w:val="0"/>
        <w:spacing w:line="240" w:lineRule="auto"/>
        <w:ind w:left="1134" w:right="1134" w:firstLine="170"/>
        <w:rPr>
          <w:sz w:val="18"/>
          <w:szCs w:val="18"/>
          <w:lang w:val="fr-CH"/>
        </w:rPr>
      </w:pPr>
      <w:r w:rsidRPr="0071782F">
        <w:rPr>
          <w:i/>
          <w:sz w:val="18"/>
          <w:vertAlign w:val="superscript"/>
          <w:lang w:val="fr-CH"/>
        </w:rPr>
        <w:t>(1)</w:t>
      </w:r>
      <w:r w:rsidR="00963C03" w:rsidRPr="0071782F">
        <w:rPr>
          <w:sz w:val="18"/>
          <w:szCs w:val="18"/>
          <w:lang w:val="fr-CH"/>
        </w:rPr>
        <w:t xml:space="preserve">  </w:t>
      </w:r>
      <w:r w:rsidR="00E1081A" w:rsidRPr="0071782F">
        <w:rPr>
          <w:sz w:val="18"/>
          <w:szCs w:val="18"/>
          <w:lang w:val="fr-CH"/>
        </w:rPr>
        <w:t xml:space="preserve">La variation en pourcentage est calculée à partir des chiffres révisés fournis par l’organisme </w:t>
      </w:r>
      <w:r w:rsidR="000E290C" w:rsidRPr="0071782F">
        <w:rPr>
          <w:sz w:val="18"/>
          <w:szCs w:val="18"/>
          <w:lang w:val="fr-CH"/>
        </w:rPr>
        <w:t>concerné</w:t>
      </w:r>
      <w:r w:rsidR="00963C03" w:rsidRPr="0071782F">
        <w:rPr>
          <w:sz w:val="18"/>
          <w:szCs w:val="18"/>
          <w:lang w:val="fr-CH"/>
        </w:rPr>
        <w:t>.</w:t>
      </w:r>
    </w:p>
    <w:p w:rsidR="00963C03" w:rsidRPr="0071782F" w:rsidRDefault="00195185" w:rsidP="00BA46A5">
      <w:pPr>
        <w:suppressAutoHyphens w:val="0"/>
        <w:spacing w:after="240" w:line="240" w:lineRule="auto"/>
        <w:ind w:left="1134" w:right="1134" w:firstLine="170"/>
        <w:rPr>
          <w:sz w:val="18"/>
          <w:szCs w:val="18"/>
          <w:lang w:val="fr-CH"/>
        </w:rPr>
      </w:pPr>
      <w:r w:rsidRPr="0071782F">
        <w:rPr>
          <w:i/>
          <w:sz w:val="18"/>
          <w:vertAlign w:val="superscript"/>
          <w:lang w:val="fr-CH"/>
        </w:rPr>
        <w:t>(2)</w:t>
      </w:r>
      <w:r w:rsidR="00963C03" w:rsidRPr="0071782F">
        <w:rPr>
          <w:sz w:val="18"/>
          <w:szCs w:val="18"/>
          <w:lang w:val="fr-CH"/>
        </w:rPr>
        <w:t xml:space="preserve">  </w:t>
      </w:r>
      <w:r w:rsidR="00E1081A" w:rsidRPr="0071782F">
        <w:rPr>
          <w:sz w:val="18"/>
          <w:szCs w:val="18"/>
          <w:lang w:val="fr-CH"/>
        </w:rPr>
        <w:t xml:space="preserve">Les </w:t>
      </w:r>
      <w:r w:rsidR="00D5366B" w:rsidRPr="0071782F">
        <w:rPr>
          <w:sz w:val="18"/>
          <w:szCs w:val="18"/>
          <w:lang w:val="fr-CH"/>
        </w:rPr>
        <w:t>œuvre</w:t>
      </w:r>
      <w:r w:rsidR="00E1081A" w:rsidRPr="0071782F">
        <w:rPr>
          <w:sz w:val="18"/>
          <w:szCs w:val="18"/>
          <w:lang w:val="fr-CH"/>
        </w:rPr>
        <w:t xml:space="preserve">s </w:t>
      </w:r>
      <w:r w:rsidR="000E290C" w:rsidRPr="0071782F">
        <w:rPr>
          <w:sz w:val="18"/>
          <w:szCs w:val="18"/>
          <w:lang w:val="fr-CH"/>
        </w:rPr>
        <w:t>d’intérêt historique</w:t>
      </w:r>
      <w:r w:rsidR="00E1081A" w:rsidRPr="0071782F">
        <w:rPr>
          <w:sz w:val="18"/>
          <w:szCs w:val="18"/>
          <w:lang w:val="fr-CH"/>
        </w:rPr>
        <w:t xml:space="preserve"> comprennent les sites, bâtiments, collines, zones, quartiers et complexes</w:t>
      </w:r>
      <w:r w:rsidR="00963C03" w:rsidRPr="0071782F">
        <w:rPr>
          <w:sz w:val="18"/>
          <w:szCs w:val="18"/>
          <w:lang w:val="fr-CH"/>
        </w:rPr>
        <w:t>.</w:t>
      </w:r>
    </w:p>
    <w:p w:rsidR="00963C03" w:rsidRPr="0071782F" w:rsidRDefault="00963C03" w:rsidP="004162F4">
      <w:pPr>
        <w:pStyle w:val="H23G"/>
        <w:rPr>
          <w:lang w:val="fr-CH"/>
        </w:rPr>
      </w:pPr>
      <w:r w:rsidRPr="0071782F">
        <w:rPr>
          <w:lang w:val="fr-CH"/>
        </w:rPr>
        <w:tab/>
      </w:r>
      <w:r w:rsidRPr="0071782F">
        <w:rPr>
          <w:lang w:val="fr-CH"/>
        </w:rPr>
        <w:tab/>
      </w:r>
      <w:r w:rsidR="00E1081A" w:rsidRPr="0071782F">
        <w:rPr>
          <w:lang w:val="fr-CH"/>
        </w:rPr>
        <w:t xml:space="preserve">Indicateurs culturels en </w:t>
      </w:r>
      <w:r w:rsidRPr="0071782F">
        <w:rPr>
          <w:lang w:val="fr-CH"/>
        </w:rPr>
        <w:t>2007</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1369"/>
        <w:gridCol w:w="1370"/>
        <w:gridCol w:w="1370"/>
      </w:tblGrid>
      <w:tr w:rsidR="00963C03" w:rsidRPr="0071782F">
        <w:trPr>
          <w:tblHeader/>
        </w:trPr>
        <w:tc>
          <w:tcPr>
            <w:tcW w:w="3261" w:type="dxa"/>
            <w:tcBorders>
              <w:top w:val="single" w:sz="4" w:space="0" w:color="auto"/>
              <w:bottom w:val="single" w:sz="12" w:space="0" w:color="auto"/>
            </w:tcBorders>
            <w:shd w:val="clear" w:color="auto" w:fill="auto"/>
            <w:vAlign w:val="bottom"/>
          </w:tcPr>
          <w:p w:rsidR="00963C03" w:rsidRPr="0071782F" w:rsidRDefault="00963C03" w:rsidP="004162F4">
            <w:pPr>
              <w:keepNext/>
              <w:suppressAutoHyphens w:val="0"/>
              <w:spacing w:before="80" w:after="80" w:line="200" w:lineRule="exact"/>
              <w:rPr>
                <w:i/>
                <w:sz w:val="16"/>
                <w:lang w:val="fr-CH"/>
              </w:rPr>
            </w:pPr>
            <w:r w:rsidRPr="0071782F">
              <w:rPr>
                <w:i/>
                <w:sz w:val="16"/>
                <w:lang w:val="fr-CH"/>
              </w:rPr>
              <w:t>Indicat</w:t>
            </w:r>
            <w:r w:rsidR="00E1081A" w:rsidRPr="0071782F">
              <w:rPr>
                <w:i/>
                <w:sz w:val="16"/>
                <w:lang w:val="fr-CH"/>
              </w:rPr>
              <w:t>eu</w:t>
            </w:r>
            <w:r w:rsidRPr="0071782F">
              <w:rPr>
                <w:i/>
                <w:sz w:val="16"/>
                <w:lang w:val="fr-CH"/>
              </w:rPr>
              <w:t>r</w:t>
            </w:r>
          </w:p>
        </w:tc>
        <w:tc>
          <w:tcPr>
            <w:tcW w:w="1369" w:type="dxa"/>
            <w:tcBorders>
              <w:top w:val="single" w:sz="4" w:space="0" w:color="auto"/>
              <w:bottom w:val="single" w:sz="12" w:space="0" w:color="auto"/>
            </w:tcBorders>
            <w:shd w:val="clear" w:color="auto" w:fill="auto"/>
            <w:vAlign w:val="bottom"/>
          </w:tcPr>
          <w:p w:rsidR="00963C03" w:rsidRPr="0071782F" w:rsidRDefault="00963C03" w:rsidP="004162F4">
            <w:pPr>
              <w:keepNext/>
              <w:suppressAutoHyphens w:val="0"/>
              <w:spacing w:before="80" w:after="80" w:line="200" w:lineRule="exact"/>
              <w:rPr>
                <w:i/>
                <w:sz w:val="16"/>
                <w:lang w:val="fr-CH"/>
              </w:rPr>
            </w:pPr>
            <w:r w:rsidRPr="0071782F">
              <w:rPr>
                <w:i/>
                <w:sz w:val="16"/>
                <w:lang w:val="fr-CH"/>
              </w:rPr>
              <w:t>Unit</w:t>
            </w:r>
            <w:r w:rsidR="00E1081A" w:rsidRPr="0071782F">
              <w:rPr>
                <w:i/>
                <w:sz w:val="16"/>
                <w:lang w:val="fr-CH"/>
              </w:rPr>
              <w:t>é</w:t>
            </w:r>
          </w:p>
        </w:tc>
        <w:tc>
          <w:tcPr>
            <w:tcW w:w="1370" w:type="dxa"/>
            <w:tcBorders>
              <w:top w:val="single" w:sz="4" w:space="0" w:color="auto"/>
              <w:bottom w:val="single" w:sz="12" w:space="0" w:color="auto"/>
            </w:tcBorders>
            <w:shd w:val="clear" w:color="auto" w:fill="auto"/>
            <w:vAlign w:val="bottom"/>
          </w:tcPr>
          <w:p w:rsidR="00963C03" w:rsidRPr="0071782F" w:rsidRDefault="00963C03" w:rsidP="004162F4">
            <w:pPr>
              <w:keepNext/>
              <w:suppressAutoHyphens w:val="0"/>
              <w:spacing w:before="80" w:after="80" w:line="200" w:lineRule="exact"/>
              <w:jc w:val="right"/>
              <w:rPr>
                <w:i/>
                <w:sz w:val="16"/>
                <w:lang w:val="fr-CH"/>
              </w:rPr>
            </w:pPr>
            <w:r w:rsidRPr="0071782F">
              <w:rPr>
                <w:i/>
                <w:sz w:val="16"/>
                <w:lang w:val="fr-CH"/>
              </w:rPr>
              <w:t>No</w:t>
            </w:r>
            <w:r w:rsidR="00E1081A" w:rsidRPr="0071782F">
              <w:rPr>
                <w:i/>
                <w:sz w:val="16"/>
                <w:lang w:val="fr-CH"/>
              </w:rPr>
              <w:t>mbre</w:t>
            </w:r>
            <w:r w:rsidRPr="0071782F">
              <w:rPr>
                <w:i/>
                <w:sz w:val="16"/>
                <w:lang w:val="fr-CH"/>
              </w:rPr>
              <w:t>/</w:t>
            </w:r>
            <w:r w:rsidR="00E1081A" w:rsidRPr="0071782F">
              <w:rPr>
                <w:i/>
                <w:sz w:val="16"/>
                <w:lang w:val="fr-CH"/>
              </w:rPr>
              <w:t>valeur</w:t>
            </w:r>
          </w:p>
        </w:tc>
        <w:tc>
          <w:tcPr>
            <w:tcW w:w="1370" w:type="dxa"/>
            <w:tcBorders>
              <w:top w:val="single" w:sz="4" w:space="0" w:color="auto"/>
              <w:bottom w:val="single" w:sz="12" w:space="0" w:color="auto"/>
            </w:tcBorders>
            <w:shd w:val="clear" w:color="auto" w:fill="auto"/>
            <w:vAlign w:val="bottom"/>
          </w:tcPr>
          <w:p w:rsidR="00963C03" w:rsidRPr="0071782F" w:rsidRDefault="00E1081A" w:rsidP="004162F4">
            <w:pPr>
              <w:keepNext/>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963C03" w:rsidRPr="0071782F">
        <w:tc>
          <w:tcPr>
            <w:tcW w:w="3261" w:type="dxa"/>
            <w:tcBorders>
              <w:top w:val="single" w:sz="12" w:space="0" w:color="auto"/>
            </w:tcBorders>
            <w:shd w:val="clear" w:color="auto" w:fill="auto"/>
          </w:tcPr>
          <w:p w:rsidR="00963C03" w:rsidRPr="0071782F" w:rsidRDefault="00C26F55" w:rsidP="004162F4">
            <w:pPr>
              <w:keepNext/>
              <w:suppressAutoHyphens w:val="0"/>
              <w:spacing w:before="40" w:after="40" w:line="220" w:lineRule="exact"/>
              <w:rPr>
                <w:sz w:val="18"/>
                <w:lang w:val="fr-CH"/>
              </w:rPr>
            </w:pPr>
            <w:r w:rsidRPr="0071782F">
              <w:rPr>
                <w:sz w:val="18"/>
                <w:lang w:val="fr-CH"/>
              </w:rPr>
              <w:t>Nombre de livres publiés</w:t>
            </w:r>
          </w:p>
        </w:tc>
        <w:tc>
          <w:tcPr>
            <w:tcW w:w="1369" w:type="dxa"/>
            <w:tcBorders>
              <w:top w:val="single" w:sz="12" w:space="0" w:color="auto"/>
            </w:tcBorders>
            <w:shd w:val="clear" w:color="auto" w:fill="auto"/>
            <w:vAlign w:val="bottom"/>
          </w:tcPr>
          <w:p w:rsidR="00963C03" w:rsidRPr="0071782F" w:rsidRDefault="00C26F55" w:rsidP="004162F4">
            <w:pPr>
              <w:keepNext/>
              <w:suppressAutoHyphens w:val="0"/>
              <w:spacing w:before="40" w:after="40" w:line="220" w:lineRule="exact"/>
              <w:rPr>
                <w:sz w:val="18"/>
                <w:lang w:val="fr-CH"/>
              </w:rPr>
            </w:pPr>
            <w:r w:rsidRPr="0071782F">
              <w:rPr>
                <w:sz w:val="18"/>
                <w:lang w:val="fr-CH"/>
              </w:rPr>
              <w:t>Titr</w:t>
            </w:r>
            <w:r w:rsidR="00963C03" w:rsidRPr="0071782F">
              <w:rPr>
                <w:sz w:val="18"/>
                <w:lang w:val="fr-CH"/>
              </w:rPr>
              <w:t>e</w:t>
            </w:r>
          </w:p>
        </w:tc>
        <w:tc>
          <w:tcPr>
            <w:tcW w:w="1370" w:type="dxa"/>
            <w:tcBorders>
              <w:top w:val="single" w:sz="12" w:space="0" w:color="auto"/>
            </w:tcBorders>
            <w:shd w:val="clear" w:color="auto" w:fill="auto"/>
            <w:vAlign w:val="bottom"/>
          </w:tcPr>
          <w:p w:rsidR="00963C03" w:rsidRPr="0071782F" w:rsidRDefault="00963C03" w:rsidP="004162F4">
            <w:pPr>
              <w:keepNext/>
              <w:suppressAutoHyphens w:val="0"/>
              <w:spacing w:before="40" w:after="40" w:line="220" w:lineRule="exact"/>
              <w:jc w:val="right"/>
              <w:rPr>
                <w:sz w:val="18"/>
                <w:lang w:val="fr-CH"/>
              </w:rPr>
            </w:pPr>
            <w:r w:rsidRPr="0071782F">
              <w:rPr>
                <w:sz w:val="18"/>
                <w:lang w:val="fr-CH"/>
              </w:rPr>
              <w:t>54 739</w:t>
            </w:r>
          </w:p>
        </w:tc>
        <w:tc>
          <w:tcPr>
            <w:tcW w:w="1370" w:type="dxa"/>
            <w:tcBorders>
              <w:top w:val="single" w:sz="12" w:space="0" w:color="auto"/>
            </w:tcBorders>
            <w:shd w:val="clear" w:color="auto" w:fill="auto"/>
            <w:vAlign w:val="bottom"/>
          </w:tcPr>
          <w:p w:rsidR="00963C03" w:rsidRPr="0071782F" w:rsidRDefault="00963C03" w:rsidP="004162F4">
            <w:pPr>
              <w:keepNext/>
              <w:suppressAutoHyphens w:val="0"/>
              <w:spacing w:before="40" w:after="40" w:line="220" w:lineRule="exact"/>
              <w:jc w:val="right"/>
              <w:rPr>
                <w:sz w:val="18"/>
                <w:lang w:val="fr-CH"/>
              </w:rPr>
            </w:pPr>
            <w:r w:rsidRPr="0071782F">
              <w:rPr>
                <w:sz w:val="18"/>
                <w:lang w:val="fr-CH"/>
              </w:rPr>
              <w:t>6</w:t>
            </w:r>
            <w:r w:rsidR="00881286" w:rsidRPr="0071782F">
              <w:rPr>
                <w:sz w:val="18"/>
                <w:lang w:val="fr-CH"/>
              </w:rPr>
              <w:t>,</w:t>
            </w:r>
            <w:r w:rsidRPr="0071782F">
              <w:rPr>
                <w:sz w:val="18"/>
                <w:lang w:val="fr-CH"/>
              </w:rPr>
              <w:t>6</w:t>
            </w:r>
          </w:p>
        </w:tc>
      </w:tr>
      <w:tr w:rsidR="00963C03" w:rsidRPr="0071782F">
        <w:tc>
          <w:tcPr>
            <w:tcW w:w="3261" w:type="dxa"/>
            <w:shd w:val="clear" w:color="auto" w:fill="auto"/>
          </w:tcPr>
          <w:p w:rsidR="00963C03" w:rsidRPr="0071782F" w:rsidRDefault="00C26F55" w:rsidP="004162F4">
            <w:pPr>
              <w:keepNext/>
              <w:suppressAutoHyphens w:val="0"/>
              <w:spacing w:before="40" w:after="40" w:line="220" w:lineRule="exact"/>
              <w:rPr>
                <w:sz w:val="18"/>
                <w:lang w:val="fr-CH"/>
              </w:rPr>
            </w:pPr>
            <w:r w:rsidRPr="0071782F">
              <w:rPr>
                <w:sz w:val="18"/>
                <w:lang w:val="fr-CH"/>
              </w:rPr>
              <w:t>Nombre d’exemplaires de livres publiés</w:t>
            </w:r>
          </w:p>
        </w:tc>
        <w:tc>
          <w:tcPr>
            <w:tcW w:w="1369" w:type="dxa"/>
            <w:shd w:val="clear" w:color="auto" w:fill="auto"/>
            <w:vAlign w:val="bottom"/>
          </w:tcPr>
          <w:p w:rsidR="00963C03" w:rsidRPr="0071782F" w:rsidRDefault="00963C03" w:rsidP="004162F4">
            <w:pPr>
              <w:keepNext/>
              <w:suppressAutoHyphens w:val="0"/>
              <w:spacing w:before="40" w:after="40" w:line="220" w:lineRule="exact"/>
              <w:rPr>
                <w:sz w:val="18"/>
                <w:lang w:val="fr-CH"/>
              </w:rPr>
            </w:pPr>
            <w:r w:rsidRPr="0071782F">
              <w:rPr>
                <w:sz w:val="18"/>
                <w:lang w:val="fr-CH"/>
              </w:rPr>
              <w:t xml:space="preserve">Million </w:t>
            </w:r>
            <w:r w:rsidR="00C26F55" w:rsidRPr="0071782F">
              <w:rPr>
                <w:sz w:val="18"/>
                <w:lang w:val="fr-CH"/>
              </w:rPr>
              <w:t xml:space="preserve">d’exemplaires </w:t>
            </w:r>
          </w:p>
        </w:tc>
        <w:tc>
          <w:tcPr>
            <w:tcW w:w="1370" w:type="dxa"/>
            <w:shd w:val="clear" w:color="auto" w:fill="auto"/>
            <w:vAlign w:val="bottom"/>
          </w:tcPr>
          <w:p w:rsidR="00963C03" w:rsidRPr="0071782F" w:rsidRDefault="00963C03" w:rsidP="004162F4">
            <w:pPr>
              <w:keepNext/>
              <w:suppressAutoHyphens w:val="0"/>
              <w:spacing w:before="40" w:after="40" w:line="220" w:lineRule="exact"/>
              <w:jc w:val="right"/>
              <w:rPr>
                <w:sz w:val="18"/>
                <w:lang w:val="fr-CH"/>
              </w:rPr>
            </w:pPr>
            <w:r w:rsidRPr="0071782F">
              <w:rPr>
                <w:sz w:val="18"/>
                <w:lang w:val="fr-CH"/>
              </w:rPr>
              <w:t>212</w:t>
            </w:r>
          </w:p>
        </w:tc>
        <w:tc>
          <w:tcPr>
            <w:tcW w:w="1370" w:type="dxa"/>
            <w:shd w:val="clear" w:color="auto" w:fill="auto"/>
            <w:vAlign w:val="bottom"/>
          </w:tcPr>
          <w:p w:rsidR="00963C03" w:rsidRPr="0071782F" w:rsidRDefault="00963C03" w:rsidP="004162F4">
            <w:pPr>
              <w:keepNext/>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6</w:t>
            </w:r>
          </w:p>
        </w:tc>
      </w:tr>
      <w:tr w:rsidR="00963C03" w:rsidRPr="0071782F">
        <w:tc>
          <w:tcPr>
            <w:tcW w:w="3261" w:type="dxa"/>
            <w:shd w:val="clear" w:color="auto" w:fill="auto"/>
          </w:tcPr>
          <w:p w:rsidR="00963C03" w:rsidRPr="0071782F" w:rsidRDefault="00C26F55" w:rsidP="004162F4">
            <w:pPr>
              <w:keepNext/>
              <w:suppressAutoHyphens w:val="0"/>
              <w:spacing w:before="40" w:after="40" w:line="220" w:lineRule="exact"/>
              <w:rPr>
                <w:sz w:val="18"/>
                <w:lang w:val="fr-CH"/>
              </w:rPr>
            </w:pPr>
            <w:r w:rsidRPr="0071782F">
              <w:rPr>
                <w:sz w:val="18"/>
                <w:lang w:val="fr-CH"/>
              </w:rPr>
              <w:t>Nombre de livres traduits</w:t>
            </w:r>
          </w:p>
        </w:tc>
        <w:tc>
          <w:tcPr>
            <w:tcW w:w="1369" w:type="dxa"/>
            <w:shd w:val="clear" w:color="auto" w:fill="auto"/>
            <w:vAlign w:val="bottom"/>
          </w:tcPr>
          <w:p w:rsidR="00963C03" w:rsidRPr="0071782F" w:rsidRDefault="00C26F55" w:rsidP="004162F4">
            <w:pPr>
              <w:keepNext/>
              <w:suppressAutoHyphens w:val="0"/>
              <w:spacing w:before="40" w:after="40" w:line="220" w:lineRule="exact"/>
              <w:rPr>
                <w:sz w:val="18"/>
                <w:lang w:val="fr-CH"/>
              </w:rPr>
            </w:pPr>
            <w:r w:rsidRPr="0071782F">
              <w:rPr>
                <w:sz w:val="18"/>
                <w:lang w:val="fr-CH"/>
              </w:rPr>
              <w:t>Titr</w:t>
            </w:r>
            <w:r w:rsidR="00963C03" w:rsidRPr="0071782F">
              <w:rPr>
                <w:sz w:val="18"/>
                <w:lang w:val="fr-CH"/>
              </w:rPr>
              <w:t>e</w:t>
            </w:r>
          </w:p>
        </w:tc>
        <w:tc>
          <w:tcPr>
            <w:tcW w:w="1370" w:type="dxa"/>
            <w:shd w:val="clear" w:color="auto" w:fill="auto"/>
            <w:vAlign w:val="bottom"/>
          </w:tcPr>
          <w:p w:rsidR="00963C03" w:rsidRPr="0071782F" w:rsidRDefault="00963C03" w:rsidP="004162F4">
            <w:pPr>
              <w:keepNext/>
              <w:suppressAutoHyphens w:val="0"/>
              <w:spacing w:before="40" w:after="40" w:line="220" w:lineRule="exact"/>
              <w:jc w:val="right"/>
              <w:rPr>
                <w:sz w:val="18"/>
                <w:lang w:val="fr-CH"/>
              </w:rPr>
            </w:pPr>
            <w:r w:rsidRPr="0071782F">
              <w:rPr>
                <w:sz w:val="18"/>
                <w:lang w:val="fr-CH"/>
              </w:rPr>
              <w:t>11 761</w:t>
            </w:r>
          </w:p>
        </w:tc>
        <w:tc>
          <w:tcPr>
            <w:tcW w:w="1370" w:type="dxa"/>
            <w:shd w:val="clear" w:color="auto" w:fill="auto"/>
            <w:vAlign w:val="bottom"/>
          </w:tcPr>
          <w:p w:rsidR="00963C03" w:rsidRPr="0071782F" w:rsidRDefault="00963C03" w:rsidP="004162F4">
            <w:pPr>
              <w:keepNext/>
              <w:suppressAutoHyphens w:val="0"/>
              <w:spacing w:before="40" w:after="40" w:line="220" w:lineRule="exact"/>
              <w:jc w:val="right"/>
              <w:rPr>
                <w:sz w:val="18"/>
                <w:lang w:val="fr-CH"/>
              </w:rPr>
            </w:pPr>
            <w:r w:rsidRPr="0071782F">
              <w:rPr>
                <w:sz w:val="18"/>
                <w:lang w:val="fr-CH"/>
              </w:rPr>
              <w:t>8</w:t>
            </w:r>
            <w:r w:rsidR="00881286" w:rsidRPr="0071782F">
              <w:rPr>
                <w:sz w:val="18"/>
                <w:lang w:val="fr-CH"/>
              </w:rPr>
              <w:t>,</w:t>
            </w:r>
            <w:r w:rsidRPr="0071782F">
              <w:rPr>
                <w:sz w:val="18"/>
                <w:lang w:val="fr-CH"/>
              </w:rPr>
              <w:t>9</w:t>
            </w:r>
          </w:p>
        </w:tc>
      </w:tr>
      <w:tr w:rsidR="00963C03" w:rsidRPr="0071782F">
        <w:tc>
          <w:tcPr>
            <w:tcW w:w="3261" w:type="dxa"/>
            <w:shd w:val="clear" w:color="auto" w:fill="auto"/>
          </w:tcPr>
          <w:p w:rsidR="00963C03" w:rsidRPr="0071782F" w:rsidRDefault="00C26F55" w:rsidP="004162F4">
            <w:pPr>
              <w:keepNext/>
              <w:suppressAutoHyphens w:val="0"/>
              <w:spacing w:before="40" w:after="40" w:line="220" w:lineRule="exact"/>
              <w:rPr>
                <w:sz w:val="18"/>
                <w:lang w:val="fr-CH"/>
              </w:rPr>
            </w:pPr>
            <w:r w:rsidRPr="0071782F">
              <w:rPr>
                <w:sz w:val="18"/>
                <w:lang w:val="fr-CH"/>
              </w:rPr>
              <w:t>Nombre d’exemplaires de livres traduits publiés</w:t>
            </w:r>
          </w:p>
        </w:tc>
        <w:tc>
          <w:tcPr>
            <w:tcW w:w="1369" w:type="dxa"/>
            <w:shd w:val="clear" w:color="auto" w:fill="auto"/>
            <w:vAlign w:val="bottom"/>
          </w:tcPr>
          <w:p w:rsidR="00963C03" w:rsidRPr="0071782F" w:rsidRDefault="00963C03" w:rsidP="004162F4">
            <w:pPr>
              <w:keepNext/>
              <w:suppressAutoHyphens w:val="0"/>
              <w:spacing w:before="40" w:after="40" w:line="220" w:lineRule="exact"/>
              <w:rPr>
                <w:sz w:val="18"/>
                <w:lang w:val="fr-CH"/>
              </w:rPr>
            </w:pPr>
            <w:r w:rsidRPr="0071782F">
              <w:rPr>
                <w:sz w:val="18"/>
                <w:lang w:val="fr-CH"/>
              </w:rPr>
              <w:t xml:space="preserve">Million </w:t>
            </w:r>
            <w:r w:rsidR="00C26F55" w:rsidRPr="0071782F">
              <w:rPr>
                <w:sz w:val="18"/>
                <w:lang w:val="fr-CH"/>
              </w:rPr>
              <w:t>d’exemplaires</w:t>
            </w:r>
          </w:p>
        </w:tc>
        <w:tc>
          <w:tcPr>
            <w:tcW w:w="1370" w:type="dxa"/>
            <w:shd w:val="clear" w:color="auto" w:fill="auto"/>
            <w:vAlign w:val="bottom"/>
          </w:tcPr>
          <w:p w:rsidR="00963C03" w:rsidRPr="0071782F" w:rsidRDefault="00963C03" w:rsidP="004162F4">
            <w:pPr>
              <w:keepNext/>
              <w:suppressAutoHyphens w:val="0"/>
              <w:spacing w:before="40" w:after="40" w:line="220" w:lineRule="exact"/>
              <w:jc w:val="right"/>
              <w:rPr>
                <w:sz w:val="18"/>
                <w:lang w:val="fr-CH"/>
              </w:rPr>
            </w:pPr>
            <w:r w:rsidRPr="0071782F">
              <w:rPr>
                <w:sz w:val="18"/>
                <w:lang w:val="fr-CH"/>
              </w:rPr>
              <w:t>42</w:t>
            </w:r>
          </w:p>
        </w:tc>
        <w:tc>
          <w:tcPr>
            <w:tcW w:w="1370" w:type="dxa"/>
            <w:shd w:val="clear" w:color="auto" w:fill="auto"/>
            <w:vAlign w:val="bottom"/>
          </w:tcPr>
          <w:p w:rsidR="00963C03" w:rsidRPr="0071782F" w:rsidRDefault="00963C03" w:rsidP="004162F4">
            <w:pPr>
              <w:keepNext/>
              <w:suppressAutoHyphens w:val="0"/>
              <w:spacing w:before="40" w:after="40" w:line="220" w:lineRule="exact"/>
              <w:jc w:val="right"/>
              <w:rPr>
                <w:sz w:val="18"/>
                <w:lang w:val="fr-CH"/>
              </w:rPr>
            </w:pPr>
            <w:r w:rsidRPr="0071782F">
              <w:rPr>
                <w:sz w:val="18"/>
                <w:lang w:val="fr-CH"/>
              </w:rPr>
              <w:t>-4</w:t>
            </w:r>
            <w:r w:rsidR="00881286" w:rsidRPr="0071782F">
              <w:rPr>
                <w:sz w:val="18"/>
                <w:lang w:val="fr-CH"/>
              </w:rPr>
              <w:t>,</w:t>
            </w:r>
            <w:r w:rsidRPr="0071782F">
              <w:rPr>
                <w:sz w:val="18"/>
                <w:lang w:val="fr-CH"/>
              </w:rPr>
              <w:t>5</w:t>
            </w:r>
          </w:p>
        </w:tc>
      </w:tr>
      <w:tr w:rsidR="00963C03" w:rsidRPr="0071782F">
        <w:tc>
          <w:tcPr>
            <w:tcW w:w="3261" w:type="dxa"/>
            <w:shd w:val="clear" w:color="auto" w:fill="auto"/>
          </w:tcPr>
          <w:p w:rsidR="00963C03" w:rsidRPr="0071782F" w:rsidRDefault="00C26F55" w:rsidP="00881286">
            <w:pPr>
              <w:suppressAutoHyphens w:val="0"/>
              <w:spacing w:before="40" w:after="40" w:line="220" w:lineRule="exact"/>
              <w:rPr>
                <w:sz w:val="18"/>
                <w:lang w:val="fr-CH"/>
              </w:rPr>
            </w:pPr>
            <w:r w:rsidRPr="0071782F">
              <w:rPr>
                <w:sz w:val="18"/>
                <w:lang w:val="fr-CH"/>
              </w:rPr>
              <w:t>Nombre de livres d’auteur</w:t>
            </w:r>
          </w:p>
        </w:tc>
        <w:tc>
          <w:tcPr>
            <w:tcW w:w="1369"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Tit</w:t>
            </w:r>
            <w:r w:rsidR="00C26F55" w:rsidRPr="0071782F">
              <w:rPr>
                <w:sz w:val="18"/>
                <w:lang w:val="fr-CH"/>
              </w:rPr>
              <w:t>r</w:t>
            </w:r>
            <w:r w:rsidRPr="0071782F">
              <w:rPr>
                <w:sz w:val="18"/>
                <w:lang w:val="fr-CH"/>
              </w:rPr>
              <w:t>e</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42 978</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6</w:t>
            </w:r>
            <w:r w:rsidR="00881286" w:rsidRPr="0071782F">
              <w:rPr>
                <w:sz w:val="18"/>
                <w:lang w:val="fr-CH"/>
              </w:rPr>
              <w:t>,</w:t>
            </w:r>
            <w:r w:rsidRPr="0071782F">
              <w:rPr>
                <w:sz w:val="18"/>
                <w:lang w:val="fr-CH"/>
              </w:rPr>
              <w:t>0</w:t>
            </w:r>
          </w:p>
        </w:tc>
      </w:tr>
      <w:tr w:rsidR="00963C03" w:rsidRPr="0071782F">
        <w:tc>
          <w:tcPr>
            <w:tcW w:w="3261" w:type="dxa"/>
            <w:shd w:val="clear" w:color="auto" w:fill="auto"/>
          </w:tcPr>
          <w:p w:rsidR="00963C03" w:rsidRPr="0071782F" w:rsidRDefault="00C26F55" w:rsidP="00881286">
            <w:pPr>
              <w:suppressAutoHyphens w:val="0"/>
              <w:spacing w:before="40" w:after="40" w:line="220" w:lineRule="exact"/>
              <w:rPr>
                <w:sz w:val="18"/>
                <w:lang w:val="fr-CH"/>
              </w:rPr>
            </w:pPr>
            <w:r w:rsidRPr="0071782F">
              <w:rPr>
                <w:sz w:val="18"/>
                <w:lang w:val="fr-CH"/>
              </w:rPr>
              <w:t>Nombre d’exemplaires de livres d’auteur</w:t>
            </w:r>
          </w:p>
        </w:tc>
        <w:tc>
          <w:tcPr>
            <w:tcW w:w="1369"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 xml:space="preserve">Million </w:t>
            </w:r>
            <w:r w:rsidR="00C26F55" w:rsidRPr="0071782F">
              <w:rPr>
                <w:sz w:val="18"/>
                <w:lang w:val="fr-CH"/>
              </w:rPr>
              <w:t>d’exemplaires</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170</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4</w:t>
            </w:r>
          </w:p>
        </w:tc>
      </w:tr>
      <w:tr w:rsidR="00963C03" w:rsidRPr="0071782F">
        <w:tc>
          <w:tcPr>
            <w:tcW w:w="3261" w:type="dxa"/>
            <w:shd w:val="clear" w:color="auto" w:fill="auto"/>
          </w:tcPr>
          <w:p w:rsidR="00963C03" w:rsidRPr="0071782F" w:rsidRDefault="00C26F55" w:rsidP="00881286">
            <w:pPr>
              <w:suppressAutoHyphens w:val="0"/>
              <w:spacing w:before="40" w:after="40" w:line="220" w:lineRule="exact"/>
              <w:rPr>
                <w:sz w:val="18"/>
                <w:lang w:val="fr-CH"/>
              </w:rPr>
            </w:pPr>
            <w:r w:rsidRPr="0071782F">
              <w:rPr>
                <w:sz w:val="18"/>
                <w:lang w:val="fr-CH"/>
              </w:rPr>
              <w:t>Nombre de publications périodiques</w:t>
            </w:r>
          </w:p>
        </w:tc>
        <w:tc>
          <w:tcPr>
            <w:tcW w:w="1369" w:type="dxa"/>
            <w:shd w:val="clear" w:color="auto" w:fill="auto"/>
            <w:vAlign w:val="bottom"/>
          </w:tcPr>
          <w:p w:rsidR="00963C03" w:rsidRPr="0071782F" w:rsidRDefault="00C26F55" w:rsidP="00881286">
            <w:pPr>
              <w:suppressAutoHyphens w:val="0"/>
              <w:spacing w:before="40" w:after="40" w:line="220" w:lineRule="exact"/>
              <w:rPr>
                <w:sz w:val="18"/>
                <w:lang w:val="fr-CH"/>
              </w:rPr>
            </w:pPr>
            <w:r w:rsidRPr="0071782F">
              <w:rPr>
                <w:sz w:val="18"/>
                <w:lang w:val="fr-CH"/>
              </w:rPr>
              <w:t>Titr</w:t>
            </w:r>
            <w:r w:rsidR="00963C03" w:rsidRPr="0071782F">
              <w:rPr>
                <w:sz w:val="18"/>
                <w:lang w:val="fr-CH"/>
              </w:rPr>
              <w:t>e</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2 140</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r>
      <w:tr w:rsidR="00963C03" w:rsidRPr="0071782F">
        <w:tc>
          <w:tcPr>
            <w:tcW w:w="3261" w:type="dxa"/>
            <w:shd w:val="clear" w:color="auto" w:fill="auto"/>
          </w:tcPr>
          <w:p w:rsidR="00963C03" w:rsidRPr="0071782F" w:rsidRDefault="00C26F55" w:rsidP="00881286">
            <w:pPr>
              <w:suppressAutoHyphens w:val="0"/>
              <w:spacing w:before="40" w:after="40" w:line="220" w:lineRule="exact"/>
              <w:rPr>
                <w:sz w:val="18"/>
                <w:lang w:val="fr-CH"/>
              </w:rPr>
            </w:pPr>
            <w:r w:rsidRPr="0071782F">
              <w:rPr>
                <w:sz w:val="18"/>
                <w:lang w:val="fr-CH"/>
              </w:rPr>
              <w:t xml:space="preserve">Nombre d’exemplaires de publications périodiques </w:t>
            </w:r>
          </w:p>
        </w:tc>
        <w:tc>
          <w:tcPr>
            <w:tcW w:w="1369"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 xml:space="preserve">Million </w:t>
            </w:r>
            <w:r w:rsidR="00C26F55" w:rsidRPr="0071782F">
              <w:rPr>
                <w:sz w:val="18"/>
                <w:lang w:val="fr-CH"/>
              </w:rPr>
              <w:t>d’exemplaires</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1 250</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r>
      <w:tr w:rsidR="00963C03" w:rsidRPr="0071782F">
        <w:tc>
          <w:tcPr>
            <w:tcW w:w="3261" w:type="dxa"/>
            <w:shd w:val="clear" w:color="auto" w:fill="auto"/>
          </w:tcPr>
          <w:p w:rsidR="00963C03" w:rsidRPr="0071782F" w:rsidRDefault="00C26F55" w:rsidP="00881286">
            <w:pPr>
              <w:suppressAutoHyphens w:val="0"/>
              <w:spacing w:before="40" w:after="40" w:line="220" w:lineRule="exact"/>
              <w:rPr>
                <w:sz w:val="18"/>
                <w:lang w:val="fr-CH"/>
              </w:rPr>
            </w:pPr>
            <w:r w:rsidRPr="0071782F">
              <w:rPr>
                <w:sz w:val="18"/>
                <w:lang w:val="fr-CH"/>
              </w:rPr>
              <w:t>Nombre de bibliothèques publiques</w:t>
            </w:r>
          </w:p>
        </w:tc>
        <w:tc>
          <w:tcPr>
            <w:tcW w:w="1369"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C26F55" w:rsidRPr="0071782F">
              <w:rPr>
                <w:sz w:val="18"/>
                <w:lang w:val="fr-CH"/>
              </w:rPr>
              <w:t>mbre</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1 756</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0</w:t>
            </w:r>
          </w:p>
        </w:tc>
      </w:tr>
      <w:tr w:rsidR="00963C03" w:rsidRPr="0071782F">
        <w:tc>
          <w:tcPr>
            <w:tcW w:w="3261" w:type="dxa"/>
            <w:shd w:val="clear" w:color="auto" w:fill="auto"/>
          </w:tcPr>
          <w:p w:rsidR="00963C03" w:rsidRPr="0071782F" w:rsidRDefault="00C26F55" w:rsidP="00881286">
            <w:pPr>
              <w:suppressAutoHyphens w:val="0"/>
              <w:spacing w:before="40" w:after="40" w:line="220" w:lineRule="exact"/>
              <w:rPr>
                <w:sz w:val="18"/>
                <w:lang w:val="fr-CH"/>
              </w:rPr>
            </w:pPr>
            <w:r w:rsidRPr="0071782F">
              <w:rPr>
                <w:sz w:val="18"/>
                <w:lang w:val="fr-CH"/>
              </w:rPr>
              <w:t>Nombre de membres des bibliothèques publiques</w:t>
            </w:r>
          </w:p>
        </w:tc>
        <w:tc>
          <w:tcPr>
            <w:tcW w:w="1369"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Person</w:t>
            </w:r>
            <w:r w:rsidR="00C26F55" w:rsidRPr="0071782F">
              <w:rPr>
                <w:sz w:val="18"/>
                <w:lang w:val="fr-CH"/>
              </w:rPr>
              <w:t>nes</w:t>
            </w:r>
            <w:r w:rsidRPr="0071782F">
              <w:rPr>
                <w:sz w:val="18"/>
                <w:lang w:val="fr-CH"/>
              </w:rPr>
              <w:t xml:space="preserve"> (</w:t>
            </w:r>
            <w:r w:rsidR="00C26F55" w:rsidRPr="0071782F">
              <w:rPr>
                <w:sz w:val="18"/>
                <w:lang w:val="fr-CH"/>
              </w:rPr>
              <w:t>milliers</w:t>
            </w:r>
            <w:r w:rsidRPr="0071782F">
              <w:rPr>
                <w:sz w:val="18"/>
                <w:lang w:val="fr-CH"/>
              </w:rPr>
              <w:t>)</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1 039</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w:t>
            </w:r>
            <w:r w:rsidR="00881286" w:rsidRPr="0071782F">
              <w:rPr>
                <w:sz w:val="18"/>
                <w:lang w:val="fr-CH"/>
              </w:rPr>
              <w:t>,</w:t>
            </w:r>
            <w:r w:rsidRPr="0071782F">
              <w:rPr>
                <w:sz w:val="18"/>
                <w:lang w:val="fr-CH"/>
              </w:rPr>
              <w:t>9</w:t>
            </w:r>
          </w:p>
        </w:tc>
      </w:tr>
      <w:tr w:rsidR="00963C03" w:rsidRPr="0071782F">
        <w:tc>
          <w:tcPr>
            <w:tcW w:w="3261" w:type="dxa"/>
            <w:shd w:val="clear" w:color="auto" w:fill="auto"/>
          </w:tcPr>
          <w:p w:rsidR="00963C03" w:rsidRPr="0071782F" w:rsidRDefault="00C26F55" w:rsidP="00881286">
            <w:pPr>
              <w:suppressAutoHyphens w:val="0"/>
              <w:spacing w:before="40" w:after="40" w:line="220" w:lineRule="exact"/>
              <w:rPr>
                <w:sz w:val="18"/>
                <w:lang w:val="fr-CH"/>
              </w:rPr>
            </w:pPr>
            <w:r w:rsidRPr="0071782F">
              <w:rPr>
                <w:sz w:val="18"/>
                <w:lang w:val="fr-CH"/>
              </w:rPr>
              <w:t>Nombre de centres culturels et artistiques de mosquées en fin d’année</w:t>
            </w:r>
          </w:p>
        </w:tc>
        <w:tc>
          <w:tcPr>
            <w:tcW w:w="1369"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C26F55" w:rsidRPr="0071782F">
              <w:rPr>
                <w:sz w:val="18"/>
                <w:lang w:val="fr-CH"/>
              </w:rPr>
              <w:t>mbre</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4 287</w:t>
            </w:r>
          </w:p>
        </w:tc>
        <w:tc>
          <w:tcPr>
            <w:tcW w:w="13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42</w:t>
            </w:r>
            <w:r w:rsidR="00881286" w:rsidRPr="0071782F">
              <w:rPr>
                <w:sz w:val="18"/>
                <w:lang w:val="fr-CH"/>
              </w:rPr>
              <w:t>,</w:t>
            </w:r>
            <w:r w:rsidRPr="0071782F">
              <w:rPr>
                <w:sz w:val="18"/>
                <w:lang w:val="fr-CH"/>
              </w:rPr>
              <w:t>9</w:t>
            </w:r>
          </w:p>
        </w:tc>
      </w:tr>
      <w:tr w:rsidR="00963C03" w:rsidRPr="0071782F">
        <w:tc>
          <w:tcPr>
            <w:tcW w:w="3261" w:type="dxa"/>
            <w:tcBorders>
              <w:bottom w:val="nil"/>
            </w:tcBorders>
            <w:shd w:val="clear" w:color="auto" w:fill="auto"/>
          </w:tcPr>
          <w:p w:rsidR="00963C03" w:rsidRPr="0071782F" w:rsidRDefault="00C26F55" w:rsidP="00881286">
            <w:pPr>
              <w:suppressAutoHyphens w:val="0"/>
              <w:spacing w:before="40" w:after="40" w:line="220" w:lineRule="exact"/>
              <w:rPr>
                <w:sz w:val="18"/>
                <w:lang w:val="fr-CH"/>
              </w:rPr>
            </w:pPr>
            <w:r w:rsidRPr="0071782F">
              <w:rPr>
                <w:sz w:val="18"/>
                <w:lang w:val="fr-CH"/>
              </w:rPr>
              <w:t>Nombre d’institutions culturelles et artistiques</w:t>
            </w:r>
          </w:p>
        </w:tc>
        <w:tc>
          <w:tcPr>
            <w:tcW w:w="1369" w:type="dxa"/>
            <w:tcBorders>
              <w:bottom w:val="nil"/>
            </w:tcBorders>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C26F55" w:rsidRPr="0071782F">
              <w:rPr>
                <w:sz w:val="18"/>
                <w:lang w:val="fr-CH"/>
              </w:rPr>
              <w:t>mbre</w:t>
            </w:r>
          </w:p>
        </w:tc>
        <w:tc>
          <w:tcPr>
            <w:tcW w:w="1370"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233</w:t>
            </w:r>
          </w:p>
        </w:tc>
        <w:tc>
          <w:tcPr>
            <w:tcW w:w="1370"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r>
      <w:tr w:rsidR="00963C03" w:rsidRPr="0071782F">
        <w:tc>
          <w:tcPr>
            <w:tcW w:w="3261" w:type="dxa"/>
            <w:tcBorders>
              <w:top w:val="nil"/>
              <w:bottom w:val="nil"/>
            </w:tcBorders>
            <w:shd w:val="clear" w:color="auto" w:fill="auto"/>
          </w:tcPr>
          <w:p w:rsidR="00963C03" w:rsidRPr="0071782F" w:rsidRDefault="00C26F55" w:rsidP="00881286">
            <w:pPr>
              <w:suppressAutoHyphens w:val="0"/>
              <w:spacing w:before="40" w:after="40" w:line="220" w:lineRule="exact"/>
              <w:rPr>
                <w:sz w:val="18"/>
                <w:lang w:val="fr-CH"/>
              </w:rPr>
            </w:pPr>
            <w:r w:rsidRPr="0071782F">
              <w:rPr>
                <w:sz w:val="18"/>
                <w:lang w:val="fr-CH"/>
              </w:rPr>
              <w:t xml:space="preserve">Nombre de cinémas en fonctionnement </w:t>
            </w:r>
            <w:r w:rsidR="00F55A64" w:rsidRPr="0071782F">
              <w:rPr>
                <w:i/>
                <w:sz w:val="18"/>
                <w:vertAlign w:val="superscript"/>
                <w:lang w:val="fr-CH"/>
              </w:rPr>
              <w:t>(1)</w:t>
            </w:r>
          </w:p>
        </w:tc>
        <w:tc>
          <w:tcPr>
            <w:tcW w:w="1369" w:type="dxa"/>
            <w:tcBorders>
              <w:top w:val="nil"/>
              <w:bottom w:val="nil"/>
            </w:tcBorders>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1370"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c>
          <w:tcPr>
            <w:tcW w:w="1370"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3261" w:type="dxa"/>
            <w:tcBorders>
              <w:top w:val="nil"/>
            </w:tcBorders>
            <w:shd w:val="clear" w:color="auto" w:fill="auto"/>
          </w:tcPr>
          <w:p w:rsidR="00963C03" w:rsidRPr="0071782F" w:rsidRDefault="00C26F55" w:rsidP="00881286">
            <w:pPr>
              <w:suppressAutoHyphens w:val="0"/>
              <w:spacing w:before="40" w:after="40" w:line="220" w:lineRule="exact"/>
              <w:rPr>
                <w:sz w:val="18"/>
                <w:lang w:val="fr-CH"/>
              </w:rPr>
            </w:pPr>
            <w:r w:rsidRPr="0071782F">
              <w:rPr>
                <w:sz w:val="18"/>
                <w:lang w:val="fr-CH"/>
              </w:rPr>
              <w:t>Nombre de cinémas ne fonctionnant pas</w:t>
            </w:r>
            <w:r w:rsidR="00F55A64" w:rsidRPr="0071782F">
              <w:rPr>
                <w:i/>
                <w:sz w:val="18"/>
                <w:vertAlign w:val="superscript"/>
                <w:lang w:val="fr-CH"/>
              </w:rPr>
              <w:t>(1)</w:t>
            </w:r>
          </w:p>
        </w:tc>
        <w:tc>
          <w:tcPr>
            <w:tcW w:w="1369" w:type="dxa"/>
            <w:tcBorders>
              <w:top w:val="nil"/>
            </w:tcBorders>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1370"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c>
          <w:tcPr>
            <w:tcW w:w="1370"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bl>
    <w:p w:rsidR="00963C03" w:rsidRPr="0071782F" w:rsidRDefault="00963C03" w:rsidP="00AA22EB">
      <w:pPr>
        <w:suppressAutoHyphens w:val="0"/>
        <w:spacing w:before="120" w:line="240" w:lineRule="auto"/>
        <w:ind w:left="1134" w:right="1134" w:firstLine="170"/>
        <w:rPr>
          <w:sz w:val="18"/>
          <w:szCs w:val="18"/>
          <w:lang w:val="fr-CH"/>
        </w:rPr>
      </w:pPr>
      <w:r w:rsidRPr="0071782F">
        <w:rPr>
          <w:i/>
          <w:sz w:val="18"/>
          <w:szCs w:val="18"/>
          <w:lang w:val="fr-CH"/>
        </w:rPr>
        <w:t>Source</w:t>
      </w:r>
      <w:r w:rsidR="008F7D33" w:rsidRPr="0071782F">
        <w:rPr>
          <w:i/>
          <w:sz w:val="18"/>
          <w:szCs w:val="18"/>
          <w:lang w:val="fr-CH"/>
        </w:rPr>
        <w:t>:</w:t>
      </w:r>
      <w:r w:rsidR="00DB5FF4">
        <w:rPr>
          <w:sz w:val="18"/>
          <w:szCs w:val="18"/>
          <w:lang w:val="fr-CH"/>
        </w:rPr>
        <w:t xml:space="preserve"> </w:t>
      </w:r>
      <w:r w:rsidR="00C26F55" w:rsidRPr="0071782F">
        <w:rPr>
          <w:sz w:val="18"/>
          <w:szCs w:val="18"/>
          <w:lang w:val="fr-CH"/>
        </w:rPr>
        <w:t>Ministère de la culture et de l’orientation islamique</w:t>
      </w:r>
      <w:r w:rsidRPr="0071782F">
        <w:rPr>
          <w:sz w:val="18"/>
          <w:szCs w:val="18"/>
          <w:lang w:val="fr-CH"/>
        </w:rPr>
        <w:t>.</w:t>
      </w:r>
    </w:p>
    <w:p w:rsidR="00963C03" w:rsidRPr="0071782F" w:rsidRDefault="00F55A64" w:rsidP="00BA46A5">
      <w:pPr>
        <w:suppressAutoHyphens w:val="0"/>
        <w:spacing w:after="240" w:line="240" w:lineRule="auto"/>
        <w:ind w:left="1134" w:right="1134" w:firstLine="170"/>
        <w:rPr>
          <w:sz w:val="18"/>
          <w:szCs w:val="18"/>
          <w:lang w:val="fr-CH"/>
        </w:rPr>
      </w:pPr>
      <w:r w:rsidRPr="0071782F">
        <w:rPr>
          <w:i/>
          <w:sz w:val="18"/>
          <w:vertAlign w:val="superscript"/>
          <w:lang w:val="fr-CH"/>
        </w:rPr>
        <w:t>(1)</w:t>
      </w:r>
      <w:r w:rsidRPr="0071782F">
        <w:rPr>
          <w:sz w:val="18"/>
          <w:lang w:val="fr-CH"/>
        </w:rPr>
        <w:t xml:space="preserve">  </w:t>
      </w:r>
      <w:r w:rsidR="00C26F55" w:rsidRPr="0071782F">
        <w:rPr>
          <w:sz w:val="18"/>
          <w:szCs w:val="18"/>
          <w:lang w:val="fr-CH"/>
        </w:rPr>
        <w:t>Données non disponibles au moment de la publication</w:t>
      </w:r>
      <w:r w:rsidR="00963C03" w:rsidRPr="0071782F">
        <w:rPr>
          <w:sz w:val="18"/>
          <w:szCs w:val="18"/>
          <w:lang w:val="fr-CH"/>
        </w:rPr>
        <w:t>.</w:t>
      </w:r>
    </w:p>
    <w:p w:rsidR="00963C03" w:rsidRPr="0071782F" w:rsidRDefault="00963C03" w:rsidP="00AA22EB">
      <w:pPr>
        <w:pStyle w:val="H23G"/>
        <w:rPr>
          <w:lang w:val="fr-CH"/>
        </w:rPr>
      </w:pPr>
      <w:r w:rsidRPr="0071782F">
        <w:rPr>
          <w:lang w:val="fr-CH"/>
        </w:rPr>
        <w:tab/>
      </w:r>
      <w:r w:rsidRPr="0071782F">
        <w:rPr>
          <w:lang w:val="fr-CH"/>
        </w:rPr>
        <w:tab/>
      </w:r>
      <w:r w:rsidR="00C26F55" w:rsidRPr="0071782F">
        <w:rPr>
          <w:lang w:val="fr-CH"/>
        </w:rPr>
        <w:t xml:space="preserve">Indicateurs culturels en </w:t>
      </w:r>
      <w:r w:rsidRPr="0071782F">
        <w:rPr>
          <w:lang w:val="fr-CH"/>
        </w:rPr>
        <w:t>2008</w:t>
      </w:r>
      <w:r w:rsidR="005E5B9D" w:rsidRPr="0071782F">
        <w:rPr>
          <w:b w:val="0"/>
          <w:i/>
          <w:sz w:val="18"/>
          <w:vertAlign w:val="superscript"/>
          <w:lang w:val="fr-CH"/>
        </w:rPr>
        <w:t>(1</w:t>
      </w:r>
      <w:r w:rsidR="005E5B9D" w:rsidRPr="0071782F">
        <w:rPr>
          <w:i/>
          <w:sz w:val="18"/>
          <w:vertAlign w:val="superscript"/>
          <w:lang w:val="fr-CH"/>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962"/>
        <w:gridCol w:w="1417"/>
        <w:gridCol w:w="709"/>
        <w:gridCol w:w="1417"/>
      </w:tblGrid>
      <w:tr w:rsidR="00963C03" w:rsidRPr="0071782F">
        <w:trPr>
          <w:tblHeader/>
        </w:trPr>
        <w:tc>
          <w:tcPr>
            <w:tcW w:w="4962" w:type="dxa"/>
            <w:tcBorders>
              <w:top w:val="single" w:sz="4" w:space="0" w:color="auto"/>
              <w:bottom w:val="single" w:sz="12" w:space="0" w:color="auto"/>
            </w:tcBorders>
            <w:shd w:val="clear" w:color="auto" w:fill="auto"/>
            <w:vAlign w:val="bottom"/>
          </w:tcPr>
          <w:p w:rsidR="00963C03" w:rsidRPr="0071782F" w:rsidRDefault="00963C03" w:rsidP="00881286">
            <w:pPr>
              <w:keepNext/>
              <w:suppressAutoHyphens w:val="0"/>
              <w:spacing w:before="80" w:after="80" w:line="200" w:lineRule="exact"/>
              <w:rPr>
                <w:i/>
                <w:sz w:val="16"/>
                <w:lang w:val="fr-CH"/>
              </w:rPr>
            </w:pPr>
            <w:r w:rsidRPr="0071782F">
              <w:rPr>
                <w:i/>
                <w:sz w:val="16"/>
                <w:lang w:val="fr-CH"/>
              </w:rPr>
              <w:t>Indicat</w:t>
            </w:r>
            <w:r w:rsidR="002C0FAD" w:rsidRPr="0071782F">
              <w:rPr>
                <w:i/>
                <w:sz w:val="16"/>
                <w:lang w:val="fr-CH"/>
              </w:rPr>
              <w:t>eu</w:t>
            </w:r>
            <w:r w:rsidRPr="0071782F">
              <w:rPr>
                <w:i/>
                <w:sz w:val="16"/>
                <w:lang w:val="fr-CH"/>
              </w:rPr>
              <w:t>r</w:t>
            </w:r>
          </w:p>
        </w:tc>
        <w:tc>
          <w:tcPr>
            <w:tcW w:w="1417" w:type="dxa"/>
            <w:tcBorders>
              <w:top w:val="single" w:sz="4" w:space="0" w:color="auto"/>
              <w:bottom w:val="single" w:sz="12" w:space="0" w:color="auto"/>
            </w:tcBorders>
            <w:shd w:val="clear" w:color="auto" w:fill="auto"/>
            <w:vAlign w:val="bottom"/>
          </w:tcPr>
          <w:p w:rsidR="00963C03" w:rsidRPr="0071782F" w:rsidRDefault="00963C03" w:rsidP="00240E7D">
            <w:pPr>
              <w:keepNext/>
              <w:suppressAutoHyphens w:val="0"/>
              <w:spacing w:before="80" w:after="80" w:line="200" w:lineRule="exact"/>
              <w:ind w:left="113"/>
              <w:rPr>
                <w:i/>
                <w:sz w:val="16"/>
                <w:lang w:val="fr-CH"/>
              </w:rPr>
            </w:pPr>
            <w:r w:rsidRPr="0071782F">
              <w:rPr>
                <w:i/>
                <w:sz w:val="16"/>
                <w:lang w:val="fr-CH"/>
              </w:rPr>
              <w:t>Unit</w:t>
            </w:r>
            <w:r w:rsidR="002C0FAD" w:rsidRPr="0071782F">
              <w:rPr>
                <w:i/>
                <w:sz w:val="16"/>
                <w:lang w:val="fr-CH"/>
              </w:rPr>
              <w:t>é</w:t>
            </w:r>
          </w:p>
        </w:tc>
        <w:tc>
          <w:tcPr>
            <w:tcW w:w="709" w:type="dxa"/>
            <w:tcBorders>
              <w:top w:val="single" w:sz="4" w:space="0" w:color="auto"/>
              <w:bottom w:val="single" w:sz="12" w:space="0" w:color="auto"/>
            </w:tcBorders>
            <w:shd w:val="clear" w:color="auto" w:fill="auto"/>
            <w:vAlign w:val="bottom"/>
          </w:tcPr>
          <w:p w:rsidR="00963C03" w:rsidRPr="0071782F" w:rsidRDefault="00963C03" w:rsidP="00881286">
            <w:pPr>
              <w:keepNext/>
              <w:suppressAutoHyphens w:val="0"/>
              <w:spacing w:before="80" w:after="80" w:line="200" w:lineRule="exact"/>
              <w:jc w:val="right"/>
              <w:rPr>
                <w:i/>
                <w:sz w:val="16"/>
                <w:lang w:val="fr-CH"/>
              </w:rPr>
            </w:pPr>
            <w:r w:rsidRPr="0071782F">
              <w:rPr>
                <w:i/>
                <w:sz w:val="16"/>
                <w:lang w:val="fr-CH"/>
              </w:rPr>
              <w:t>No</w:t>
            </w:r>
            <w:r w:rsidR="002C0FAD" w:rsidRPr="0071782F">
              <w:rPr>
                <w:i/>
                <w:sz w:val="16"/>
                <w:lang w:val="fr-CH"/>
              </w:rPr>
              <w:t>mbre</w:t>
            </w:r>
            <w:r w:rsidRPr="0071782F">
              <w:rPr>
                <w:i/>
                <w:sz w:val="16"/>
                <w:lang w:val="fr-CH"/>
              </w:rPr>
              <w:t>/</w:t>
            </w:r>
            <w:r w:rsidR="00240E7D">
              <w:rPr>
                <w:i/>
                <w:sz w:val="16"/>
                <w:lang w:val="fr-CH"/>
              </w:rPr>
              <w:br/>
            </w:r>
            <w:r w:rsidR="002C0FAD" w:rsidRPr="0071782F">
              <w:rPr>
                <w:i/>
                <w:sz w:val="16"/>
                <w:lang w:val="fr-CH"/>
              </w:rPr>
              <w:t>valeur</w:t>
            </w:r>
          </w:p>
        </w:tc>
        <w:tc>
          <w:tcPr>
            <w:tcW w:w="1417" w:type="dxa"/>
            <w:tcBorders>
              <w:top w:val="single" w:sz="4" w:space="0" w:color="auto"/>
              <w:bottom w:val="single" w:sz="12" w:space="0" w:color="auto"/>
            </w:tcBorders>
            <w:shd w:val="clear" w:color="auto" w:fill="auto"/>
            <w:vAlign w:val="bottom"/>
          </w:tcPr>
          <w:p w:rsidR="00963C03" w:rsidRPr="0071782F" w:rsidRDefault="002C0FAD" w:rsidP="00881286">
            <w:pPr>
              <w:keepNext/>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963C03" w:rsidRPr="0071782F">
        <w:tc>
          <w:tcPr>
            <w:tcW w:w="4962" w:type="dxa"/>
            <w:tcBorders>
              <w:top w:val="single" w:sz="12" w:space="0" w:color="auto"/>
            </w:tcBorders>
            <w:shd w:val="clear" w:color="auto" w:fill="auto"/>
          </w:tcPr>
          <w:p w:rsidR="00963C03" w:rsidRPr="0071782F" w:rsidRDefault="002C0FAD" w:rsidP="00881286">
            <w:pPr>
              <w:keepNext/>
              <w:suppressAutoHyphens w:val="0"/>
              <w:spacing w:before="40" w:after="40" w:line="220" w:lineRule="exact"/>
              <w:rPr>
                <w:sz w:val="18"/>
                <w:lang w:val="fr-CH"/>
              </w:rPr>
            </w:pPr>
            <w:r w:rsidRPr="0071782F">
              <w:rPr>
                <w:sz w:val="18"/>
                <w:lang w:val="fr-CH"/>
              </w:rPr>
              <w:t>Nombre de musées historiques et culturels en fonctionnement</w:t>
            </w:r>
          </w:p>
        </w:tc>
        <w:tc>
          <w:tcPr>
            <w:tcW w:w="1417" w:type="dxa"/>
            <w:tcBorders>
              <w:top w:val="single" w:sz="12" w:space="0" w:color="auto"/>
            </w:tcBorders>
            <w:shd w:val="clear" w:color="auto" w:fill="auto"/>
            <w:vAlign w:val="bottom"/>
          </w:tcPr>
          <w:p w:rsidR="00963C03" w:rsidRPr="0071782F" w:rsidRDefault="00963C03" w:rsidP="00240E7D">
            <w:pPr>
              <w:keepNext/>
              <w:suppressAutoHyphens w:val="0"/>
              <w:spacing w:before="40" w:after="40" w:line="220" w:lineRule="exact"/>
              <w:ind w:left="113"/>
              <w:rPr>
                <w:sz w:val="18"/>
                <w:lang w:val="fr-CH"/>
              </w:rPr>
            </w:pPr>
            <w:r w:rsidRPr="0071782F">
              <w:rPr>
                <w:sz w:val="18"/>
                <w:lang w:val="fr-CH"/>
              </w:rPr>
              <w:t>No</w:t>
            </w:r>
            <w:r w:rsidR="002C0FAD" w:rsidRPr="0071782F">
              <w:rPr>
                <w:sz w:val="18"/>
                <w:lang w:val="fr-CH"/>
              </w:rPr>
              <w:t>mbre</w:t>
            </w:r>
          </w:p>
        </w:tc>
        <w:tc>
          <w:tcPr>
            <w:tcW w:w="709" w:type="dxa"/>
            <w:tcBorders>
              <w:top w:val="single" w:sz="12" w:space="0" w:color="auto"/>
            </w:tcBorders>
            <w:shd w:val="clear" w:color="auto" w:fill="auto"/>
            <w:vAlign w:val="bottom"/>
          </w:tcPr>
          <w:p w:rsidR="00963C03" w:rsidRPr="0071782F" w:rsidRDefault="00963C03" w:rsidP="00881286">
            <w:pPr>
              <w:keepNext/>
              <w:suppressAutoHyphens w:val="0"/>
              <w:spacing w:before="40" w:after="40" w:line="220" w:lineRule="exact"/>
              <w:jc w:val="right"/>
              <w:rPr>
                <w:sz w:val="18"/>
                <w:lang w:val="fr-CH"/>
              </w:rPr>
            </w:pPr>
            <w:r w:rsidRPr="0071782F">
              <w:rPr>
                <w:sz w:val="18"/>
                <w:lang w:val="fr-CH"/>
              </w:rPr>
              <w:t>181</w:t>
            </w:r>
          </w:p>
        </w:tc>
        <w:tc>
          <w:tcPr>
            <w:tcW w:w="1417" w:type="dxa"/>
            <w:tcBorders>
              <w:top w:val="single" w:sz="12" w:space="0" w:color="auto"/>
            </w:tcBorders>
            <w:shd w:val="clear" w:color="auto" w:fill="auto"/>
            <w:vAlign w:val="bottom"/>
          </w:tcPr>
          <w:p w:rsidR="00963C03" w:rsidRPr="0071782F" w:rsidRDefault="00963C03" w:rsidP="00881286">
            <w:pPr>
              <w:keepNext/>
              <w:suppressAutoHyphens w:val="0"/>
              <w:spacing w:before="40" w:after="40" w:line="220" w:lineRule="exact"/>
              <w:jc w:val="right"/>
              <w:rPr>
                <w:sz w:val="18"/>
                <w:lang w:val="fr-CH"/>
              </w:rPr>
            </w:pPr>
            <w:r w:rsidRPr="0071782F">
              <w:rPr>
                <w:sz w:val="18"/>
                <w:lang w:val="fr-CH"/>
              </w:rPr>
              <w:t>14</w:t>
            </w:r>
            <w:r w:rsidR="00881286" w:rsidRPr="0071782F">
              <w:rPr>
                <w:sz w:val="18"/>
                <w:lang w:val="fr-CH"/>
              </w:rPr>
              <w:t>,</w:t>
            </w:r>
            <w:r w:rsidRPr="0071782F">
              <w:rPr>
                <w:sz w:val="18"/>
                <w:lang w:val="fr-CH"/>
              </w:rPr>
              <w:t>6</w:t>
            </w:r>
          </w:p>
        </w:tc>
      </w:tr>
      <w:tr w:rsidR="00963C03" w:rsidRPr="0071782F">
        <w:tc>
          <w:tcPr>
            <w:tcW w:w="4962" w:type="dxa"/>
            <w:shd w:val="clear" w:color="auto" w:fill="auto"/>
          </w:tcPr>
          <w:p w:rsidR="00963C03" w:rsidRPr="0071782F" w:rsidRDefault="00963C03" w:rsidP="00881286">
            <w:pPr>
              <w:keepNext/>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de visiteurs nationaux de musées, bâtiments et sites d’intérêt culturel et historique </w:t>
            </w:r>
          </w:p>
        </w:tc>
        <w:tc>
          <w:tcPr>
            <w:tcW w:w="1417" w:type="dxa"/>
            <w:shd w:val="clear" w:color="auto" w:fill="auto"/>
            <w:vAlign w:val="bottom"/>
          </w:tcPr>
          <w:p w:rsidR="00963C03" w:rsidRPr="0071782F" w:rsidRDefault="00963C03" w:rsidP="00240E7D">
            <w:pPr>
              <w:keepNext/>
              <w:suppressAutoHyphens w:val="0"/>
              <w:spacing w:before="40" w:after="40" w:line="220" w:lineRule="exact"/>
              <w:ind w:left="113"/>
              <w:rPr>
                <w:sz w:val="18"/>
                <w:lang w:val="fr-CH"/>
              </w:rPr>
            </w:pPr>
            <w:r w:rsidRPr="0071782F">
              <w:rPr>
                <w:sz w:val="18"/>
                <w:lang w:val="fr-CH"/>
              </w:rPr>
              <w:t>Person</w:t>
            </w:r>
            <w:r w:rsidR="002C0FAD" w:rsidRPr="0071782F">
              <w:rPr>
                <w:sz w:val="18"/>
                <w:lang w:val="fr-CH"/>
              </w:rPr>
              <w:t>nes</w:t>
            </w:r>
            <w:r w:rsidRPr="0071782F">
              <w:rPr>
                <w:sz w:val="18"/>
                <w:lang w:val="fr-CH"/>
              </w:rPr>
              <w:t xml:space="preserve"> (</w:t>
            </w:r>
            <w:r w:rsidR="002C0FAD" w:rsidRPr="0071782F">
              <w:rPr>
                <w:sz w:val="18"/>
                <w:lang w:val="fr-CH"/>
              </w:rPr>
              <w:t>milliers</w:t>
            </w:r>
            <w:r w:rsidRPr="0071782F">
              <w:rPr>
                <w:sz w:val="18"/>
                <w:lang w:val="fr-CH"/>
              </w:rPr>
              <w:t>)</w:t>
            </w:r>
          </w:p>
        </w:tc>
        <w:tc>
          <w:tcPr>
            <w:tcW w:w="709" w:type="dxa"/>
            <w:shd w:val="clear" w:color="auto" w:fill="auto"/>
            <w:vAlign w:val="bottom"/>
          </w:tcPr>
          <w:p w:rsidR="00963C03" w:rsidRPr="0071782F" w:rsidRDefault="00963C03" w:rsidP="00881286">
            <w:pPr>
              <w:keepNext/>
              <w:suppressAutoHyphens w:val="0"/>
              <w:spacing w:before="40" w:after="40" w:line="220" w:lineRule="exact"/>
              <w:jc w:val="right"/>
              <w:rPr>
                <w:sz w:val="18"/>
                <w:lang w:val="fr-CH"/>
              </w:rPr>
            </w:pPr>
            <w:r w:rsidRPr="0071782F">
              <w:rPr>
                <w:sz w:val="18"/>
                <w:lang w:val="fr-CH"/>
              </w:rPr>
              <w:t>15 468</w:t>
            </w:r>
          </w:p>
        </w:tc>
        <w:tc>
          <w:tcPr>
            <w:tcW w:w="1417" w:type="dxa"/>
            <w:shd w:val="clear" w:color="auto" w:fill="auto"/>
            <w:vAlign w:val="bottom"/>
          </w:tcPr>
          <w:p w:rsidR="00963C03" w:rsidRPr="0071782F" w:rsidRDefault="00963C03" w:rsidP="00881286">
            <w:pPr>
              <w:keepNext/>
              <w:suppressAutoHyphens w:val="0"/>
              <w:spacing w:before="40" w:after="40" w:line="220" w:lineRule="exact"/>
              <w:jc w:val="right"/>
              <w:rPr>
                <w:sz w:val="18"/>
                <w:lang w:val="fr-CH"/>
              </w:rPr>
            </w:pPr>
            <w:r w:rsidRPr="0071782F">
              <w:rPr>
                <w:sz w:val="18"/>
                <w:lang w:val="fr-CH"/>
              </w:rPr>
              <w:t>27</w:t>
            </w:r>
            <w:r w:rsidR="00881286" w:rsidRPr="0071782F">
              <w:rPr>
                <w:sz w:val="18"/>
                <w:lang w:val="fr-CH"/>
              </w:rPr>
              <w:t>,</w:t>
            </w:r>
            <w:r w:rsidRPr="0071782F">
              <w:rPr>
                <w:sz w:val="18"/>
                <w:lang w:val="fr-CH"/>
              </w:rPr>
              <w:t>4</w:t>
            </w:r>
          </w:p>
        </w:tc>
      </w:tr>
      <w:tr w:rsidR="00963C03" w:rsidRPr="0071782F">
        <w:tc>
          <w:tcPr>
            <w:tcW w:w="4962" w:type="dxa"/>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Nombre de visiteurs étrangers de musées, bâtiments et sites d’intérêt culturel et historique</w:t>
            </w:r>
          </w:p>
        </w:tc>
        <w:tc>
          <w:tcPr>
            <w:tcW w:w="1417" w:type="dxa"/>
            <w:shd w:val="clear" w:color="auto" w:fill="auto"/>
            <w:vAlign w:val="bottom"/>
          </w:tcPr>
          <w:p w:rsidR="00963C03" w:rsidRPr="0071782F" w:rsidRDefault="002C0FAD" w:rsidP="00240E7D">
            <w:pPr>
              <w:suppressAutoHyphens w:val="0"/>
              <w:spacing w:before="40" w:after="40" w:line="220" w:lineRule="exact"/>
              <w:ind w:left="113"/>
              <w:rPr>
                <w:sz w:val="18"/>
                <w:lang w:val="fr-CH"/>
              </w:rPr>
            </w:pPr>
            <w:r w:rsidRPr="0071782F">
              <w:rPr>
                <w:sz w:val="18"/>
                <w:lang w:val="fr-CH"/>
              </w:rPr>
              <w:t>Personnes (milliers)</w:t>
            </w:r>
          </w:p>
        </w:tc>
        <w:tc>
          <w:tcPr>
            <w:tcW w:w="709"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478</w:t>
            </w:r>
          </w:p>
        </w:tc>
        <w:tc>
          <w:tcPr>
            <w:tcW w:w="14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33</w:t>
            </w:r>
            <w:r w:rsidR="00881286" w:rsidRPr="0071782F">
              <w:rPr>
                <w:sz w:val="18"/>
                <w:lang w:val="fr-CH"/>
              </w:rPr>
              <w:t>,</w:t>
            </w:r>
            <w:r w:rsidRPr="0071782F">
              <w:rPr>
                <w:sz w:val="18"/>
                <w:lang w:val="fr-CH"/>
              </w:rPr>
              <w:t>9</w:t>
            </w:r>
          </w:p>
        </w:tc>
      </w:tr>
      <w:tr w:rsidR="00963C03" w:rsidRPr="0071782F">
        <w:tc>
          <w:tcPr>
            <w:tcW w:w="4962" w:type="dxa"/>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 xml:space="preserve">Nombre de monuments inscrits sur la liste nationale des </w:t>
            </w:r>
            <w:r w:rsidR="00D5366B" w:rsidRPr="0071782F">
              <w:rPr>
                <w:sz w:val="18"/>
                <w:lang w:val="fr-CH"/>
              </w:rPr>
              <w:t>œuvre</w:t>
            </w:r>
            <w:r w:rsidRPr="0071782F">
              <w:rPr>
                <w:sz w:val="18"/>
                <w:lang w:val="fr-CH"/>
              </w:rPr>
              <w:t>s d’intérêt historique</w:t>
            </w:r>
            <w:r w:rsidR="00543B38" w:rsidRPr="0071782F">
              <w:rPr>
                <w:i/>
                <w:sz w:val="18"/>
                <w:vertAlign w:val="superscript"/>
                <w:lang w:val="fr-CH"/>
              </w:rPr>
              <w:t>(2)</w:t>
            </w:r>
          </w:p>
        </w:tc>
        <w:tc>
          <w:tcPr>
            <w:tcW w:w="1417" w:type="dxa"/>
            <w:shd w:val="clear" w:color="auto" w:fill="auto"/>
            <w:vAlign w:val="bottom"/>
          </w:tcPr>
          <w:p w:rsidR="00963C03" w:rsidRPr="0071782F" w:rsidRDefault="00963C03" w:rsidP="00240E7D">
            <w:pPr>
              <w:suppressAutoHyphens w:val="0"/>
              <w:spacing w:before="40" w:after="40" w:line="220" w:lineRule="exact"/>
              <w:ind w:left="113"/>
              <w:rPr>
                <w:sz w:val="18"/>
                <w:lang w:val="fr-CH"/>
              </w:rPr>
            </w:pPr>
            <w:r w:rsidRPr="0071782F">
              <w:rPr>
                <w:sz w:val="18"/>
                <w:lang w:val="fr-CH"/>
              </w:rPr>
              <w:t>No</w:t>
            </w:r>
            <w:r w:rsidR="002C0FAD" w:rsidRPr="0071782F">
              <w:rPr>
                <w:sz w:val="18"/>
                <w:lang w:val="fr-CH"/>
              </w:rPr>
              <w:t>mbre</w:t>
            </w:r>
          </w:p>
        </w:tc>
        <w:tc>
          <w:tcPr>
            <w:tcW w:w="709"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3 801</w:t>
            </w:r>
          </w:p>
        </w:tc>
        <w:tc>
          <w:tcPr>
            <w:tcW w:w="14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r>
    </w:tbl>
    <w:p w:rsidR="00963C03" w:rsidRPr="0071782F" w:rsidRDefault="00963C03" w:rsidP="00745B3F">
      <w:pPr>
        <w:suppressAutoHyphens w:val="0"/>
        <w:spacing w:before="120" w:line="240" w:lineRule="auto"/>
        <w:ind w:left="1134" w:firstLine="170"/>
        <w:rPr>
          <w:sz w:val="18"/>
          <w:szCs w:val="18"/>
          <w:lang w:val="fr-CH"/>
        </w:rPr>
      </w:pPr>
      <w:r w:rsidRPr="0071782F">
        <w:rPr>
          <w:i/>
          <w:sz w:val="18"/>
          <w:szCs w:val="18"/>
          <w:lang w:val="fr-CH"/>
        </w:rPr>
        <w:t>Source</w:t>
      </w:r>
      <w:r w:rsidR="008F7D33" w:rsidRPr="0071782F">
        <w:rPr>
          <w:i/>
          <w:sz w:val="18"/>
          <w:szCs w:val="18"/>
          <w:lang w:val="fr-CH"/>
        </w:rPr>
        <w:t>:</w:t>
      </w:r>
      <w:r w:rsidR="00DB5FF4">
        <w:rPr>
          <w:sz w:val="18"/>
          <w:szCs w:val="18"/>
          <w:lang w:val="fr-CH"/>
        </w:rPr>
        <w:t xml:space="preserve"> </w:t>
      </w:r>
      <w:r w:rsidR="002C0FAD" w:rsidRPr="0071782F">
        <w:rPr>
          <w:sz w:val="18"/>
          <w:szCs w:val="18"/>
          <w:lang w:val="fr-CH"/>
        </w:rPr>
        <w:t>Organisme du patrimoine culturel et du tourisme</w:t>
      </w:r>
      <w:r w:rsidRPr="0071782F">
        <w:rPr>
          <w:sz w:val="18"/>
          <w:szCs w:val="18"/>
          <w:lang w:val="fr-CH"/>
        </w:rPr>
        <w:t>.</w:t>
      </w:r>
    </w:p>
    <w:p w:rsidR="00963C03" w:rsidRPr="0071782F" w:rsidRDefault="00543B38" w:rsidP="00745B3F">
      <w:pPr>
        <w:suppressAutoHyphens w:val="0"/>
        <w:spacing w:line="240" w:lineRule="auto"/>
        <w:ind w:left="1134" w:firstLine="170"/>
        <w:rPr>
          <w:sz w:val="18"/>
          <w:szCs w:val="18"/>
          <w:lang w:val="fr-CH"/>
        </w:rPr>
      </w:pPr>
      <w:r w:rsidRPr="0071782F">
        <w:rPr>
          <w:i/>
          <w:sz w:val="18"/>
          <w:vertAlign w:val="superscript"/>
          <w:lang w:val="fr-CH"/>
        </w:rPr>
        <w:t>(1)</w:t>
      </w:r>
      <w:r w:rsidR="00963C03" w:rsidRPr="0071782F">
        <w:rPr>
          <w:sz w:val="18"/>
          <w:szCs w:val="18"/>
          <w:lang w:val="fr-CH"/>
        </w:rPr>
        <w:t xml:space="preserve">  </w:t>
      </w:r>
      <w:r w:rsidR="002C0FAD" w:rsidRPr="0071782F">
        <w:rPr>
          <w:sz w:val="18"/>
          <w:szCs w:val="18"/>
          <w:lang w:val="fr-CH"/>
        </w:rPr>
        <w:t>Donnant portant sur une période de neuf</w:t>
      </w:r>
      <w:r w:rsidR="001F3F05" w:rsidRPr="0071782F">
        <w:rPr>
          <w:sz w:val="18"/>
          <w:szCs w:val="18"/>
          <w:lang w:val="fr-CH"/>
        </w:rPr>
        <w:t> mois</w:t>
      </w:r>
      <w:r w:rsidR="00963C03" w:rsidRPr="0071782F">
        <w:rPr>
          <w:sz w:val="18"/>
          <w:szCs w:val="18"/>
          <w:lang w:val="fr-CH"/>
        </w:rPr>
        <w:t>.</w:t>
      </w:r>
    </w:p>
    <w:p w:rsidR="00963C03" w:rsidRPr="0071782F" w:rsidRDefault="00543B38" w:rsidP="00745B3F">
      <w:pPr>
        <w:suppressAutoHyphens w:val="0"/>
        <w:spacing w:after="240" w:line="240" w:lineRule="auto"/>
        <w:ind w:left="1134" w:firstLine="170"/>
        <w:rPr>
          <w:sz w:val="18"/>
          <w:szCs w:val="18"/>
          <w:lang w:val="fr-CH"/>
        </w:rPr>
      </w:pPr>
      <w:r w:rsidRPr="0071782F">
        <w:rPr>
          <w:i/>
          <w:sz w:val="18"/>
          <w:vertAlign w:val="superscript"/>
          <w:lang w:val="fr-CH"/>
        </w:rPr>
        <w:t>(2)</w:t>
      </w:r>
      <w:r w:rsidR="00963C03" w:rsidRPr="0071782F">
        <w:rPr>
          <w:sz w:val="18"/>
          <w:szCs w:val="18"/>
          <w:lang w:val="fr-CH"/>
        </w:rPr>
        <w:t xml:space="preserve">  </w:t>
      </w:r>
      <w:r w:rsidR="002C0FAD" w:rsidRPr="0071782F">
        <w:rPr>
          <w:sz w:val="18"/>
          <w:szCs w:val="18"/>
          <w:lang w:val="fr-CH"/>
        </w:rPr>
        <w:t xml:space="preserve">Les </w:t>
      </w:r>
      <w:r w:rsidR="00D5366B" w:rsidRPr="0071782F">
        <w:rPr>
          <w:sz w:val="18"/>
          <w:szCs w:val="18"/>
          <w:lang w:val="fr-CH"/>
        </w:rPr>
        <w:t>œuvre</w:t>
      </w:r>
      <w:r w:rsidR="002C0FAD" w:rsidRPr="0071782F">
        <w:rPr>
          <w:sz w:val="18"/>
          <w:szCs w:val="18"/>
          <w:lang w:val="fr-CH"/>
        </w:rPr>
        <w:t xml:space="preserve">s </w:t>
      </w:r>
      <w:r w:rsidR="00B3207F" w:rsidRPr="0071782F">
        <w:rPr>
          <w:sz w:val="18"/>
          <w:szCs w:val="18"/>
          <w:lang w:val="fr-CH"/>
        </w:rPr>
        <w:t>d’intérêt historique</w:t>
      </w:r>
      <w:r w:rsidR="002C0FAD" w:rsidRPr="0071782F">
        <w:rPr>
          <w:sz w:val="18"/>
          <w:szCs w:val="18"/>
          <w:lang w:val="fr-CH"/>
        </w:rPr>
        <w:t xml:space="preserve"> comprennent les sites, bâtiments, collines, zones, quartiers et complexes</w:t>
      </w:r>
      <w:r w:rsidR="00963C03" w:rsidRPr="0071782F">
        <w:rPr>
          <w:sz w:val="18"/>
          <w:szCs w:val="18"/>
          <w:lang w:val="fr-CH"/>
        </w:rPr>
        <w:t>.</w:t>
      </w:r>
    </w:p>
    <w:p w:rsidR="00963C03" w:rsidRPr="0071782F" w:rsidRDefault="00963C03" w:rsidP="00AA22EB">
      <w:pPr>
        <w:pStyle w:val="H23G"/>
        <w:rPr>
          <w:lang w:val="fr-CH"/>
        </w:rPr>
      </w:pPr>
      <w:r w:rsidRPr="0071782F">
        <w:rPr>
          <w:lang w:val="fr-CH"/>
        </w:rPr>
        <w:tab/>
      </w:r>
      <w:r w:rsidRPr="0071782F">
        <w:rPr>
          <w:lang w:val="fr-CH"/>
        </w:rPr>
        <w:tab/>
      </w:r>
      <w:r w:rsidR="002C0FAD" w:rsidRPr="0071782F">
        <w:rPr>
          <w:lang w:val="fr-CH"/>
        </w:rPr>
        <w:t xml:space="preserve">Indicateurs culturels en </w:t>
      </w:r>
      <w:r w:rsidRPr="0071782F">
        <w:rPr>
          <w:lang w:val="fr-CH"/>
        </w:rPr>
        <w:t>2008</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969"/>
        <w:gridCol w:w="1985"/>
        <w:gridCol w:w="1134"/>
        <w:gridCol w:w="1417"/>
      </w:tblGrid>
      <w:tr w:rsidR="00963C03" w:rsidRPr="0071782F">
        <w:trPr>
          <w:tblHeader/>
        </w:trPr>
        <w:tc>
          <w:tcPr>
            <w:tcW w:w="3969"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Indicat</w:t>
            </w:r>
            <w:r w:rsidR="002C0FAD" w:rsidRPr="0071782F">
              <w:rPr>
                <w:i/>
                <w:sz w:val="16"/>
                <w:lang w:val="fr-CH"/>
              </w:rPr>
              <w:t>eu</w:t>
            </w:r>
            <w:r w:rsidRPr="0071782F">
              <w:rPr>
                <w:i/>
                <w:sz w:val="16"/>
                <w:lang w:val="fr-CH"/>
              </w:rPr>
              <w:t>r</w:t>
            </w:r>
          </w:p>
        </w:tc>
        <w:tc>
          <w:tcPr>
            <w:tcW w:w="1985"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Unit</w:t>
            </w:r>
            <w:r w:rsidR="002C0FAD" w:rsidRPr="0071782F">
              <w:rPr>
                <w:i/>
                <w:sz w:val="16"/>
                <w:lang w:val="fr-CH"/>
              </w:rPr>
              <w:t>é</w:t>
            </w:r>
          </w:p>
        </w:tc>
        <w:tc>
          <w:tcPr>
            <w:tcW w:w="1134"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No</w:t>
            </w:r>
            <w:r w:rsidR="002C0FAD" w:rsidRPr="0071782F">
              <w:rPr>
                <w:i/>
                <w:sz w:val="16"/>
                <w:lang w:val="fr-CH"/>
              </w:rPr>
              <w:t>mbre</w:t>
            </w:r>
            <w:r w:rsidRPr="0071782F">
              <w:rPr>
                <w:i/>
                <w:sz w:val="16"/>
                <w:lang w:val="fr-CH"/>
              </w:rPr>
              <w:t>/</w:t>
            </w:r>
            <w:r w:rsidR="002C0FAD" w:rsidRPr="0071782F">
              <w:rPr>
                <w:i/>
                <w:sz w:val="16"/>
                <w:lang w:val="fr-CH"/>
              </w:rPr>
              <w:t>valeur</w:t>
            </w:r>
          </w:p>
        </w:tc>
        <w:tc>
          <w:tcPr>
            <w:tcW w:w="1417" w:type="dxa"/>
            <w:tcBorders>
              <w:top w:val="single" w:sz="4" w:space="0" w:color="auto"/>
              <w:bottom w:val="single" w:sz="12" w:space="0" w:color="auto"/>
            </w:tcBorders>
            <w:shd w:val="clear" w:color="auto" w:fill="auto"/>
            <w:vAlign w:val="bottom"/>
          </w:tcPr>
          <w:p w:rsidR="00963C03" w:rsidRPr="0071782F" w:rsidRDefault="002C0FAD" w:rsidP="00881286">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963C03" w:rsidRPr="0071782F">
        <w:tc>
          <w:tcPr>
            <w:tcW w:w="3969" w:type="dxa"/>
            <w:tcBorders>
              <w:top w:val="single" w:sz="12" w:space="0" w:color="auto"/>
            </w:tcBorders>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Nombre de livres publiés</w:t>
            </w:r>
          </w:p>
        </w:tc>
        <w:tc>
          <w:tcPr>
            <w:tcW w:w="1985" w:type="dxa"/>
            <w:tcBorders>
              <w:top w:val="single" w:sz="12" w:space="0" w:color="auto"/>
            </w:tcBorders>
            <w:shd w:val="clear" w:color="auto" w:fill="auto"/>
            <w:vAlign w:val="bottom"/>
          </w:tcPr>
          <w:p w:rsidR="00963C03" w:rsidRPr="0071782F" w:rsidRDefault="00963C03" w:rsidP="00240E7D">
            <w:pPr>
              <w:suppressAutoHyphens w:val="0"/>
              <w:spacing w:before="40" w:after="40" w:line="220" w:lineRule="exact"/>
              <w:ind w:left="113"/>
              <w:rPr>
                <w:sz w:val="18"/>
                <w:lang w:val="fr-CH"/>
              </w:rPr>
            </w:pPr>
            <w:r w:rsidRPr="0071782F">
              <w:rPr>
                <w:sz w:val="18"/>
                <w:lang w:val="fr-CH"/>
              </w:rPr>
              <w:t>Tit</w:t>
            </w:r>
            <w:r w:rsidR="002C0FAD" w:rsidRPr="0071782F">
              <w:rPr>
                <w:sz w:val="18"/>
                <w:lang w:val="fr-CH"/>
              </w:rPr>
              <w:t>r</w:t>
            </w:r>
            <w:r w:rsidRPr="0071782F">
              <w:rPr>
                <w:sz w:val="18"/>
                <w:lang w:val="fr-CH"/>
              </w:rPr>
              <w:t>e</w:t>
            </w:r>
          </w:p>
        </w:tc>
        <w:tc>
          <w:tcPr>
            <w:tcW w:w="1134"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55 554</w:t>
            </w:r>
          </w:p>
        </w:tc>
        <w:tc>
          <w:tcPr>
            <w:tcW w:w="1417"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w:t>
            </w:r>
            <w:r w:rsidR="00881286" w:rsidRPr="0071782F">
              <w:rPr>
                <w:sz w:val="18"/>
                <w:lang w:val="fr-CH"/>
              </w:rPr>
              <w:t>,</w:t>
            </w:r>
            <w:r w:rsidRPr="0071782F">
              <w:rPr>
                <w:sz w:val="18"/>
                <w:lang w:val="fr-CH"/>
              </w:rPr>
              <w:t>5</w:t>
            </w:r>
          </w:p>
        </w:tc>
      </w:tr>
      <w:tr w:rsidR="00963C03" w:rsidRPr="0071782F">
        <w:tc>
          <w:tcPr>
            <w:tcW w:w="3969" w:type="dxa"/>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Nombre d’exemplaires de livres publiés</w:t>
            </w:r>
          </w:p>
        </w:tc>
        <w:tc>
          <w:tcPr>
            <w:tcW w:w="1985" w:type="dxa"/>
            <w:shd w:val="clear" w:color="auto" w:fill="auto"/>
            <w:vAlign w:val="bottom"/>
          </w:tcPr>
          <w:p w:rsidR="00963C03" w:rsidRPr="0071782F" w:rsidRDefault="00963C03" w:rsidP="00240E7D">
            <w:pPr>
              <w:suppressAutoHyphens w:val="0"/>
              <w:spacing w:before="40" w:after="40" w:line="220" w:lineRule="exact"/>
              <w:ind w:left="113"/>
              <w:rPr>
                <w:sz w:val="18"/>
                <w:lang w:val="fr-CH"/>
              </w:rPr>
            </w:pPr>
            <w:r w:rsidRPr="0071782F">
              <w:rPr>
                <w:sz w:val="18"/>
                <w:lang w:val="fr-CH"/>
              </w:rPr>
              <w:t xml:space="preserve">Million </w:t>
            </w:r>
            <w:r w:rsidR="002C0FAD" w:rsidRPr="0071782F">
              <w:rPr>
                <w:sz w:val="18"/>
                <w:lang w:val="fr-CH"/>
              </w:rPr>
              <w:t xml:space="preserve">d’exemplaires </w:t>
            </w:r>
          </w:p>
        </w:tc>
        <w:tc>
          <w:tcPr>
            <w:tcW w:w="113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218</w:t>
            </w:r>
          </w:p>
        </w:tc>
        <w:tc>
          <w:tcPr>
            <w:tcW w:w="14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w:t>
            </w:r>
            <w:r w:rsidR="00881286" w:rsidRPr="0071782F">
              <w:rPr>
                <w:sz w:val="18"/>
                <w:lang w:val="fr-CH"/>
              </w:rPr>
              <w:t>,</w:t>
            </w:r>
            <w:r w:rsidRPr="0071782F">
              <w:rPr>
                <w:sz w:val="18"/>
                <w:lang w:val="fr-CH"/>
              </w:rPr>
              <w:t>8</w:t>
            </w:r>
          </w:p>
        </w:tc>
      </w:tr>
      <w:tr w:rsidR="00963C03" w:rsidRPr="0071782F">
        <w:tc>
          <w:tcPr>
            <w:tcW w:w="3969" w:type="dxa"/>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Nombre de livres traduits</w:t>
            </w:r>
          </w:p>
        </w:tc>
        <w:tc>
          <w:tcPr>
            <w:tcW w:w="1985" w:type="dxa"/>
            <w:shd w:val="clear" w:color="auto" w:fill="auto"/>
            <w:vAlign w:val="bottom"/>
          </w:tcPr>
          <w:p w:rsidR="00963C03" w:rsidRPr="0071782F" w:rsidRDefault="00963C03" w:rsidP="00240E7D">
            <w:pPr>
              <w:suppressAutoHyphens w:val="0"/>
              <w:spacing w:before="40" w:after="40" w:line="220" w:lineRule="exact"/>
              <w:ind w:left="113"/>
              <w:rPr>
                <w:sz w:val="18"/>
                <w:lang w:val="fr-CH"/>
              </w:rPr>
            </w:pPr>
            <w:r w:rsidRPr="0071782F">
              <w:rPr>
                <w:sz w:val="18"/>
                <w:lang w:val="fr-CH"/>
              </w:rPr>
              <w:t>Tit</w:t>
            </w:r>
            <w:r w:rsidR="002C0FAD" w:rsidRPr="0071782F">
              <w:rPr>
                <w:sz w:val="18"/>
                <w:lang w:val="fr-CH"/>
              </w:rPr>
              <w:t>r</w:t>
            </w:r>
            <w:r w:rsidRPr="0071782F">
              <w:rPr>
                <w:sz w:val="18"/>
                <w:lang w:val="fr-CH"/>
              </w:rPr>
              <w:t>e</w:t>
            </w:r>
          </w:p>
        </w:tc>
        <w:tc>
          <w:tcPr>
            <w:tcW w:w="113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12 305</w:t>
            </w:r>
          </w:p>
        </w:tc>
        <w:tc>
          <w:tcPr>
            <w:tcW w:w="14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w:t>
            </w:r>
            <w:r w:rsidR="00881286" w:rsidRPr="0071782F">
              <w:rPr>
                <w:sz w:val="18"/>
                <w:lang w:val="fr-CH"/>
              </w:rPr>
              <w:t>,</w:t>
            </w:r>
            <w:r w:rsidRPr="0071782F">
              <w:rPr>
                <w:sz w:val="18"/>
                <w:lang w:val="fr-CH"/>
              </w:rPr>
              <w:t>6</w:t>
            </w:r>
          </w:p>
        </w:tc>
      </w:tr>
      <w:tr w:rsidR="00963C03" w:rsidRPr="0071782F">
        <w:tc>
          <w:tcPr>
            <w:tcW w:w="3969" w:type="dxa"/>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Nombre d’exemplaires de livres traduits publiés</w:t>
            </w:r>
          </w:p>
        </w:tc>
        <w:tc>
          <w:tcPr>
            <w:tcW w:w="1985" w:type="dxa"/>
            <w:shd w:val="clear" w:color="auto" w:fill="auto"/>
            <w:vAlign w:val="bottom"/>
          </w:tcPr>
          <w:p w:rsidR="00963C03" w:rsidRPr="0071782F" w:rsidRDefault="00963C03" w:rsidP="00240E7D">
            <w:pPr>
              <w:suppressAutoHyphens w:val="0"/>
              <w:spacing w:before="40" w:after="40" w:line="220" w:lineRule="exact"/>
              <w:ind w:left="113"/>
              <w:rPr>
                <w:sz w:val="18"/>
                <w:lang w:val="fr-CH"/>
              </w:rPr>
            </w:pPr>
            <w:r w:rsidRPr="0071782F">
              <w:rPr>
                <w:sz w:val="18"/>
                <w:lang w:val="fr-CH"/>
              </w:rPr>
              <w:t xml:space="preserve">Million </w:t>
            </w:r>
            <w:r w:rsidR="002C0FAD" w:rsidRPr="0071782F">
              <w:rPr>
                <w:sz w:val="18"/>
                <w:lang w:val="fr-CH"/>
              </w:rPr>
              <w:t>d’exemplaires</w:t>
            </w:r>
          </w:p>
        </w:tc>
        <w:tc>
          <w:tcPr>
            <w:tcW w:w="113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46</w:t>
            </w:r>
          </w:p>
        </w:tc>
        <w:tc>
          <w:tcPr>
            <w:tcW w:w="14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9</w:t>
            </w:r>
            <w:r w:rsidR="00881286" w:rsidRPr="0071782F">
              <w:rPr>
                <w:sz w:val="18"/>
                <w:lang w:val="fr-CH"/>
              </w:rPr>
              <w:t>,</w:t>
            </w:r>
            <w:r w:rsidRPr="0071782F">
              <w:rPr>
                <w:sz w:val="18"/>
                <w:lang w:val="fr-CH"/>
              </w:rPr>
              <w:t>5</w:t>
            </w:r>
          </w:p>
        </w:tc>
      </w:tr>
      <w:tr w:rsidR="00963C03" w:rsidRPr="0071782F">
        <w:tc>
          <w:tcPr>
            <w:tcW w:w="3969"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de livres d’auteur </w:t>
            </w:r>
          </w:p>
        </w:tc>
        <w:tc>
          <w:tcPr>
            <w:tcW w:w="1985" w:type="dxa"/>
            <w:shd w:val="clear" w:color="auto" w:fill="auto"/>
            <w:vAlign w:val="bottom"/>
          </w:tcPr>
          <w:p w:rsidR="00963C03" w:rsidRPr="0071782F" w:rsidRDefault="002C0FAD" w:rsidP="00240E7D">
            <w:pPr>
              <w:suppressAutoHyphens w:val="0"/>
              <w:spacing w:before="40" w:after="40" w:line="220" w:lineRule="exact"/>
              <w:ind w:left="113"/>
              <w:rPr>
                <w:sz w:val="18"/>
                <w:lang w:val="fr-CH"/>
              </w:rPr>
            </w:pPr>
            <w:r w:rsidRPr="0071782F">
              <w:rPr>
                <w:sz w:val="18"/>
                <w:lang w:val="fr-CH"/>
              </w:rPr>
              <w:t>Titr</w:t>
            </w:r>
            <w:r w:rsidR="00963C03" w:rsidRPr="0071782F">
              <w:rPr>
                <w:sz w:val="18"/>
                <w:lang w:val="fr-CH"/>
              </w:rPr>
              <w:t>e</w:t>
            </w:r>
          </w:p>
        </w:tc>
        <w:tc>
          <w:tcPr>
            <w:tcW w:w="113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43 249</w:t>
            </w:r>
          </w:p>
        </w:tc>
        <w:tc>
          <w:tcPr>
            <w:tcW w:w="14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6</w:t>
            </w:r>
          </w:p>
        </w:tc>
      </w:tr>
      <w:tr w:rsidR="00963C03" w:rsidRPr="0071782F">
        <w:tc>
          <w:tcPr>
            <w:tcW w:w="3969" w:type="dxa"/>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Nombre d’exemplaires de livres d’auteur</w:t>
            </w:r>
            <w:r w:rsidR="00963C03" w:rsidRPr="0071782F">
              <w:rPr>
                <w:sz w:val="18"/>
                <w:lang w:val="fr-CH"/>
              </w:rPr>
              <w:t xml:space="preserve"> </w:t>
            </w:r>
          </w:p>
        </w:tc>
        <w:tc>
          <w:tcPr>
            <w:tcW w:w="1985" w:type="dxa"/>
            <w:shd w:val="clear" w:color="auto" w:fill="auto"/>
            <w:vAlign w:val="bottom"/>
          </w:tcPr>
          <w:p w:rsidR="00963C03" w:rsidRPr="0071782F" w:rsidRDefault="00963C03" w:rsidP="00240E7D">
            <w:pPr>
              <w:suppressAutoHyphens w:val="0"/>
              <w:spacing w:before="40" w:after="40" w:line="220" w:lineRule="exact"/>
              <w:ind w:left="113"/>
              <w:rPr>
                <w:sz w:val="18"/>
                <w:lang w:val="fr-CH"/>
              </w:rPr>
            </w:pPr>
            <w:r w:rsidRPr="0071782F">
              <w:rPr>
                <w:sz w:val="18"/>
                <w:lang w:val="fr-CH"/>
              </w:rPr>
              <w:t xml:space="preserve">Million </w:t>
            </w:r>
            <w:r w:rsidR="002C0FAD" w:rsidRPr="0071782F">
              <w:rPr>
                <w:sz w:val="18"/>
                <w:lang w:val="fr-CH"/>
              </w:rPr>
              <w:t>d’exemplaires</w:t>
            </w:r>
          </w:p>
        </w:tc>
        <w:tc>
          <w:tcPr>
            <w:tcW w:w="113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173</w:t>
            </w:r>
          </w:p>
        </w:tc>
        <w:tc>
          <w:tcPr>
            <w:tcW w:w="14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w:t>
            </w:r>
            <w:r w:rsidR="00881286" w:rsidRPr="0071782F">
              <w:rPr>
                <w:sz w:val="18"/>
                <w:lang w:val="fr-CH"/>
              </w:rPr>
              <w:t>,</w:t>
            </w:r>
            <w:r w:rsidRPr="0071782F">
              <w:rPr>
                <w:sz w:val="18"/>
                <w:lang w:val="fr-CH"/>
              </w:rPr>
              <w:t>8</w:t>
            </w:r>
          </w:p>
        </w:tc>
      </w:tr>
      <w:tr w:rsidR="00963C03" w:rsidRPr="0071782F">
        <w:tc>
          <w:tcPr>
            <w:tcW w:w="3969" w:type="dxa"/>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Nombre de publications périodiques</w:t>
            </w:r>
          </w:p>
        </w:tc>
        <w:tc>
          <w:tcPr>
            <w:tcW w:w="1985" w:type="dxa"/>
            <w:shd w:val="clear" w:color="auto" w:fill="auto"/>
            <w:vAlign w:val="bottom"/>
          </w:tcPr>
          <w:p w:rsidR="00963C03" w:rsidRPr="0071782F" w:rsidRDefault="002C0FAD" w:rsidP="00240E7D">
            <w:pPr>
              <w:suppressAutoHyphens w:val="0"/>
              <w:spacing w:before="40" w:after="40" w:line="220" w:lineRule="exact"/>
              <w:ind w:left="113"/>
              <w:rPr>
                <w:sz w:val="18"/>
                <w:lang w:val="fr-CH"/>
              </w:rPr>
            </w:pPr>
            <w:r w:rsidRPr="0071782F">
              <w:rPr>
                <w:sz w:val="18"/>
                <w:lang w:val="fr-CH"/>
              </w:rPr>
              <w:t>Titr</w:t>
            </w:r>
            <w:r w:rsidR="00963C03" w:rsidRPr="0071782F">
              <w:rPr>
                <w:sz w:val="18"/>
                <w:lang w:val="fr-CH"/>
              </w:rPr>
              <w:t>e</w:t>
            </w:r>
          </w:p>
        </w:tc>
        <w:tc>
          <w:tcPr>
            <w:tcW w:w="113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2 200</w:t>
            </w:r>
          </w:p>
        </w:tc>
        <w:tc>
          <w:tcPr>
            <w:tcW w:w="14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r>
      <w:tr w:rsidR="00963C03" w:rsidRPr="0071782F">
        <w:tc>
          <w:tcPr>
            <w:tcW w:w="3969" w:type="dxa"/>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Nombre d’exemplaires de publications périodiques</w:t>
            </w:r>
          </w:p>
        </w:tc>
        <w:tc>
          <w:tcPr>
            <w:tcW w:w="1985" w:type="dxa"/>
            <w:shd w:val="clear" w:color="auto" w:fill="auto"/>
            <w:vAlign w:val="bottom"/>
          </w:tcPr>
          <w:p w:rsidR="00963C03" w:rsidRPr="0071782F" w:rsidRDefault="00963C03" w:rsidP="00240E7D">
            <w:pPr>
              <w:suppressAutoHyphens w:val="0"/>
              <w:spacing w:before="40" w:after="40" w:line="220" w:lineRule="exact"/>
              <w:ind w:left="113"/>
              <w:rPr>
                <w:sz w:val="18"/>
                <w:lang w:val="fr-CH"/>
              </w:rPr>
            </w:pPr>
            <w:r w:rsidRPr="0071782F">
              <w:rPr>
                <w:sz w:val="18"/>
                <w:lang w:val="fr-CH"/>
              </w:rPr>
              <w:t xml:space="preserve">Million </w:t>
            </w:r>
            <w:r w:rsidR="002C0FAD" w:rsidRPr="0071782F">
              <w:rPr>
                <w:sz w:val="18"/>
                <w:lang w:val="fr-CH"/>
              </w:rPr>
              <w:t>d’exemplaires</w:t>
            </w:r>
          </w:p>
        </w:tc>
        <w:tc>
          <w:tcPr>
            <w:tcW w:w="113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1 280</w:t>
            </w:r>
          </w:p>
        </w:tc>
        <w:tc>
          <w:tcPr>
            <w:tcW w:w="14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r>
      <w:tr w:rsidR="00963C03" w:rsidRPr="0071782F">
        <w:tc>
          <w:tcPr>
            <w:tcW w:w="3969" w:type="dxa"/>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Nombre de bibliothèques publiques</w:t>
            </w:r>
          </w:p>
        </w:tc>
        <w:tc>
          <w:tcPr>
            <w:tcW w:w="1985" w:type="dxa"/>
            <w:shd w:val="clear" w:color="auto" w:fill="auto"/>
            <w:vAlign w:val="bottom"/>
          </w:tcPr>
          <w:p w:rsidR="00963C03" w:rsidRPr="0071782F" w:rsidRDefault="00963C03" w:rsidP="00240E7D">
            <w:pPr>
              <w:suppressAutoHyphens w:val="0"/>
              <w:spacing w:before="40" w:after="40" w:line="220" w:lineRule="exact"/>
              <w:ind w:left="113"/>
              <w:rPr>
                <w:sz w:val="18"/>
                <w:lang w:val="fr-CH"/>
              </w:rPr>
            </w:pPr>
            <w:r w:rsidRPr="0071782F">
              <w:rPr>
                <w:sz w:val="18"/>
                <w:lang w:val="fr-CH"/>
              </w:rPr>
              <w:t>No</w:t>
            </w:r>
            <w:r w:rsidR="002C0FAD" w:rsidRPr="0071782F">
              <w:rPr>
                <w:sz w:val="18"/>
                <w:lang w:val="fr-CH"/>
              </w:rPr>
              <w:t>mbre</w:t>
            </w:r>
          </w:p>
        </w:tc>
        <w:tc>
          <w:tcPr>
            <w:tcW w:w="113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1 874</w:t>
            </w:r>
          </w:p>
        </w:tc>
        <w:tc>
          <w:tcPr>
            <w:tcW w:w="14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6</w:t>
            </w:r>
            <w:r w:rsidR="00881286" w:rsidRPr="0071782F">
              <w:rPr>
                <w:sz w:val="18"/>
                <w:lang w:val="fr-CH"/>
              </w:rPr>
              <w:t>,</w:t>
            </w:r>
            <w:r w:rsidRPr="0071782F">
              <w:rPr>
                <w:sz w:val="18"/>
                <w:lang w:val="fr-CH"/>
              </w:rPr>
              <w:t>7</w:t>
            </w:r>
          </w:p>
        </w:tc>
      </w:tr>
      <w:tr w:rsidR="00963C03" w:rsidRPr="0071782F">
        <w:tc>
          <w:tcPr>
            <w:tcW w:w="3969" w:type="dxa"/>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Nombre de membres des bibliothèques publiques</w:t>
            </w:r>
          </w:p>
        </w:tc>
        <w:tc>
          <w:tcPr>
            <w:tcW w:w="1985" w:type="dxa"/>
            <w:shd w:val="clear" w:color="auto" w:fill="auto"/>
            <w:vAlign w:val="bottom"/>
          </w:tcPr>
          <w:p w:rsidR="00963C03" w:rsidRPr="0071782F" w:rsidRDefault="00963C03" w:rsidP="00240E7D">
            <w:pPr>
              <w:suppressAutoHyphens w:val="0"/>
              <w:spacing w:before="40" w:after="40" w:line="220" w:lineRule="exact"/>
              <w:ind w:left="113"/>
              <w:rPr>
                <w:sz w:val="18"/>
                <w:lang w:val="fr-CH"/>
              </w:rPr>
            </w:pPr>
            <w:r w:rsidRPr="0071782F">
              <w:rPr>
                <w:sz w:val="18"/>
                <w:lang w:val="fr-CH"/>
              </w:rPr>
              <w:t>Person</w:t>
            </w:r>
            <w:r w:rsidR="002C0FAD" w:rsidRPr="0071782F">
              <w:rPr>
                <w:sz w:val="18"/>
                <w:lang w:val="fr-CH"/>
              </w:rPr>
              <w:t>nes</w:t>
            </w:r>
            <w:r w:rsidRPr="0071782F">
              <w:rPr>
                <w:sz w:val="18"/>
                <w:lang w:val="fr-CH"/>
              </w:rPr>
              <w:t xml:space="preserve"> (</w:t>
            </w:r>
            <w:r w:rsidR="002C0FAD" w:rsidRPr="0071782F">
              <w:rPr>
                <w:sz w:val="18"/>
                <w:lang w:val="fr-CH"/>
              </w:rPr>
              <w:t>milliers</w:t>
            </w:r>
            <w:r w:rsidRPr="0071782F">
              <w:rPr>
                <w:sz w:val="18"/>
                <w:lang w:val="fr-CH"/>
              </w:rPr>
              <w:t>)</w:t>
            </w:r>
          </w:p>
        </w:tc>
        <w:tc>
          <w:tcPr>
            <w:tcW w:w="113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1 127</w:t>
            </w:r>
          </w:p>
        </w:tc>
        <w:tc>
          <w:tcPr>
            <w:tcW w:w="14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8</w:t>
            </w:r>
            <w:r w:rsidR="00881286" w:rsidRPr="0071782F">
              <w:rPr>
                <w:sz w:val="18"/>
                <w:lang w:val="fr-CH"/>
              </w:rPr>
              <w:t>,</w:t>
            </w:r>
            <w:r w:rsidRPr="0071782F">
              <w:rPr>
                <w:sz w:val="18"/>
                <w:lang w:val="fr-CH"/>
              </w:rPr>
              <w:t>5</w:t>
            </w:r>
          </w:p>
        </w:tc>
      </w:tr>
      <w:tr w:rsidR="00963C03" w:rsidRPr="0071782F">
        <w:tc>
          <w:tcPr>
            <w:tcW w:w="3969" w:type="dxa"/>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Nombre de centres culturels et artistiques de mosquées en fin d’année</w:t>
            </w:r>
          </w:p>
        </w:tc>
        <w:tc>
          <w:tcPr>
            <w:tcW w:w="1985" w:type="dxa"/>
            <w:shd w:val="clear" w:color="auto" w:fill="auto"/>
            <w:vAlign w:val="bottom"/>
          </w:tcPr>
          <w:p w:rsidR="00963C03" w:rsidRPr="0071782F" w:rsidRDefault="00963C03" w:rsidP="00240E7D">
            <w:pPr>
              <w:suppressAutoHyphens w:val="0"/>
              <w:spacing w:before="40" w:after="40" w:line="220" w:lineRule="exact"/>
              <w:ind w:left="113"/>
              <w:rPr>
                <w:sz w:val="18"/>
                <w:lang w:val="fr-CH"/>
              </w:rPr>
            </w:pPr>
            <w:r w:rsidRPr="0071782F">
              <w:rPr>
                <w:sz w:val="18"/>
                <w:lang w:val="fr-CH"/>
              </w:rPr>
              <w:t>No</w:t>
            </w:r>
            <w:r w:rsidR="002C0FAD" w:rsidRPr="0071782F">
              <w:rPr>
                <w:sz w:val="18"/>
                <w:lang w:val="fr-CH"/>
              </w:rPr>
              <w:t>mbre</w:t>
            </w:r>
          </w:p>
        </w:tc>
        <w:tc>
          <w:tcPr>
            <w:tcW w:w="113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5 067</w:t>
            </w:r>
          </w:p>
        </w:tc>
        <w:tc>
          <w:tcPr>
            <w:tcW w:w="14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18</w:t>
            </w:r>
            <w:r w:rsidR="00881286" w:rsidRPr="0071782F">
              <w:rPr>
                <w:sz w:val="18"/>
                <w:lang w:val="fr-CH"/>
              </w:rPr>
              <w:t>,</w:t>
            </w:r>
            <w:r w:rsidRPr="0071782F">
              <w:rPr>
                <w:sz w:val="18"/>
                <w:lang w:val="fr-CH"/>
              </w:rPr>
              <w:t>2</w:t>
            </w:r>
          </w:p>
        </w:tc>
      </w:tr>
      <w:tr w:rsidR="00963C03" w:rsidRPr="0071782F">
        <w:tc>
          <w:tcPr>
            <w:tcW w:w="3969" w:type="dxa"/>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 xml:space="preserve">Nombre d’institutions culturelles et artistiques </w:t>
            </w:r>
          </w:p>
        </w:tc>
        <w:tc>
          <w:tcPr>
            <w:tcW w:w="1985" w:type="dxa"/>
            <w:shd w:val="clear" w:color="auto" w:fill="auto"/>
            <w:vAlign w:val="bottom"/>
          </w:tcPr>
          <w:p w:rsidR="00963C03" w:rsidRPr="0071782F" w:rsidRDefault="002C0FAD" w:rsidP="00240E7D">
            <w:pPr>
              <w:suppressAutoHyphens w:val="0"/>
              <w:spacing w:before="40" w:after="40" w:line="220" w:lineRule="exact"/>
              <w:ind w:left="113"/>
              <w:rPr>
                <w:sz w:val="18"/>
                <w:lang w:val="fr-CH"/>
              </w:rPr>
            </w:pPr>
            <w:r w:rsidRPr="0071782F">
              <w:rPr>
                <w:sz w:val="18"/>
                <w:lang w:val="fr-CH"/>
              </w:rPr>
              <w:t>Nombre</w:t>
            </w:r>
          </w:p>
        </w:tc>
        <w:tc>
          <w:tcPr>
            <w:tcW w:w="113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168</w:t>
            </w:r>
          </w:p>
        </w:tc>
        <w:tc>
          <w:tcPr>
            <w:tcW w:w="14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-27</w:t>
            </w:r>
            <w:r w:rsidR="00881286" w:rsidRPr="0071782F">
              <w:rPr>
                <w:sz w:val="18"/>
                <w:lang w:val="fr-CH"/>
              </w:rPr>
              <w:t>,</w:t>
            </w:r>
            <w:r w:rsidRPr="0071782F">
              <w:rPr>
                <w:sz w:val="18"/>
                <w:lang w:val="fr-CH"/>
              </w:rPr>
              <w:t>9</w:t>
            </w:r>
          </w:p>
        </w:tc>
      </w:tr>
      <w:tr w:rsidR="00963C03" w:rsidRPr="0071782F">
        <w:tc>
          <w:tcPr>
            <w:tcW w:w="3969" w:type="dxa"/>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Nombre de cinémas en fonctionnement</w:t>
            </w:r>
            <w:r w:rsidR="00210806" w:rsidRPr="0071782F">
              <w:rPr>
                <w:i/>
                <w:sz w:val="18"/>
                <w:vertAlign w:val="superscript"/>
                <w:lang w:val="fr-CH"/>
              </w:rPr>
              <w:t>(1)</w:t>
            </w:r>
          </w:p>
        </w:tc>
        <w:tc>
          <w:tcPr>
            <w:tcW w:w="1985" w:type="dxa"/>
            <w:shd w:val="clear" w:color="auto" w:fill="auto"/>
            <w:vAlign w:val="bottom"/>
          </w:tcPr>
          <w:p w:rsidR="00963C03" w:rsidRPr="0071782F" w:rsidRDefault="00963C03" w:rsidP="00240E7D">
            <w:pPr>
              <w:suppressAutoHyphens w:val="0"/>
              <w:spacing w:before="40" w:after="40" w:line="220" w:lineRule="exact"/>
              <w:ind w:left="113"/>
              <w:rPr>
                <w:sz w:val="18"/>
                <w:lang w:val="fr-CH"/>
              </w:rPr>
            </w:pPr>
          </w:p>
        </w:tc>
        <w:tc>
          <w:tcPr>
            <w:tcW w:w="113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226</w:t>
            </w:r>
          </w:p>
        </w:tc>
        <w:tc>
          <w:tcPr>
            <w:tcW w:w="14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w:t>
            </w:r>
            <w:r w:rsidR="00881286" w:rsidRPr="0071782F">
              <w:rPr>
                <w:sz w:val="18"/>
                <w:lang w:val="fr-CH"/>
              </w:rPr>
              <w:t>,</w:t>
            </w:r>
            <w:r w:rsidRPr="0071782F">
              <w:rPr>
                <w:sz w:val="18"/>
                <w:lang w:val="fr-CH"/>
              </w:rPr>
              <w:t>3</w:t>
            </w:r>
          </w:p>
        </w:tc>
      </w:tr>
      <w:tr w:rsidR="00963C03" w:rsidRPr="0071782F">
        <w:tc>
          <w:tcPr>
            <w:tcW w:w="3969" w:type="dxa"/>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Nombre de cinémas ne fonctionnant pas</w:t>
            </w:r>
            <w:r w:rsidR="00210806" w:rsidRPr="0071782F">
              <w:rPr>
                <w:i/>
                <w:sz w:val="18"/>
                <w:vertAlign w:val="superscript"/>
                <w:lang w:val="fr-CH"/>
              </w:rPr>
              <w:t>(1)</w:t>
            </w:r>
          </w:p>
        </w:tc>
        <w:tc>
          <w:tcPr>
            <w:tcW w:w="1985" w:type="dxa"/>
            <w:shd w:val="clear" w:color="auto" w:fill="auto"/>
            <w:vAlign w:val="bottom"/>
          </w:tcPr>
          <w:p w:rsidR="00963C03" w:rsidRPr="0071782F" w:rsidRDefault="00963C03" w:rsidP="00240E7D">
            <w:pPr>
              <w:suppressAutoHyphens w:val="0"/>
              <w:spacing w:before="40" w:after="40" w:line="220" w:lineRule="exact"/>
              <w:ind w:left="113"/>
              <w:rPr>
                <w:sz w:val="18"/>
                <w:lang w:val="fr-CH"/>
              </w:rPr>
            </w:pPr>
          </w:p>
        </w:tc>
        <w:tc>
          <w:tcPr>
            <w:tcW w:w="113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213</w:t>
            </w:r>
          </w:p>
        </w:tc>
        <w:tc>
          <w:tcPr>
            <w:tcW w:w="14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7</w:t>
            </w:r>
            <w:r w:rsidR="00881286" w:rsidRPr="0071782F">
              <w:rPr>
                <w:sz w:val="18"/>
                <w:lang w:val="fr-CH"/>
              </w:rPr>
              <w:t>,</w:t>
            </w:r>
            <w:r w:rsidRPr="0071782F">
              <w:rPr>
                <w:sz w:val="18"/>
                <w:lang w:val="fr-CH"/>
              </w:rPr>
              <w:t>6</w:t>
            </w:r>
          </w:p>
        </w:tc>
      </w:tr>
    </w:tbl>
    <w:p w:rsidR="00963C03" w:rsidRPr="0071782F" w:rsidRDefault="00963C03" w:rsidP="00BA46A5">
      <w:pPr>
        <w:suppressAutoHyphens w:val="0"/>
        <w:spacing w:before="120" w:after="240" w:line="240" w:lineRule="auto"/>
        <w:ind w:left="1134" w:right="1134" w:firstLine="170"/>
        <w:rPr>
          <w:sz w:val="18"/>
          <w:szCs w:val="18"/>
          <w:lang w:val="fr-CH"/>
        </w:rPr>
      </w:pPr>
      <w:r w:rsidRPr="0071782F">
        <w:rPr>
          <w:i/>
          <w:sz w:val="18"/>
          <w:szCs w:val="18"/>
          <w:lang w:val="fr-CH"/>
        </w:rPr>
        <w:t>Source:</w:t>
      </w:r>
      <w:r w:rsidR="00DB5FF4">
        <w:rPr>
          <w:sz w:val="18"/>
          <w:szCs w:val="18"/>
          <w:lang w:val="fr-CH"/>
        </w:rPr>
        <w:t xml:space="preserve"> </w:t>
      </w:r>
      <w:r w:rsidR="002C0FAD" w:rsidRPr="0071782F">
        <w:rPr>
          <w:sz w:val="18"/>
          <w:szCs w:val="18"/>
          <w:lang w:val="fr-CH"/>
        </w:rPr>
        <w:t>Ministère de la culture et de l’orientation islamique</w:t>
      </w:r>
      <w:r w:rsidRPr="0071782F">
        <w:rPr>
          <w:sz w:val="18"/>
          <w:szCs w:val="18"/>
          <w:lang w:val="fr-CH"/>
        </w:rPr>
        <w:t>.</w:t>
      </w:r>
    </w:p>
    <w:p w:rsidR="00963C03" w:rsidRPr="0071782F" w:rsidRDefault="00963C03" w:rsidP="00AA22EB">
      <w:pPr>
        <w:pStyle w:val="H23G"/>
        <w:rPr>
          <w:lang w:val="fr-CH"/>
        </w:rPr>
      </w:pPr>
      <w:r w:rsidRPr="0071782F">
        <w:rPr>
          <w:lang w:val="fr-CH"/>
        </w:rPr>
        <w:tab/>
      </w:r>
      <w:r w:rsidRPr="0071782F">
        <w:rPr>
          <w:lang w:val="fr-CH"/>
        </w:rPr>
        <w:tab/>
      </w:r>
      <w:r w:rsidR="002C0FAD" w:rsidRPr="0071782F">
        <w:rPr>
          <w:lang w:val="fr-CH"/>
        </w:rPr>
        <w:t>Résultats</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764"/>
        <w:gridCol w:w="1185"/>
        <w:gridCol w:w="1185"/>
        <w:gridCol w:w="1185"/>
        <w:gridCol w:w="1186"/>
      </w:tblGrid>
      <w:tr w:rsidR="00963C03" w:rsidRPr="0071782F">
        <w:trPr>
          <w:tblHeader/>
        </w:trPr>
        <w:tc>
          <w:tcPr>
            <w:tcW w:w="3261" w:type="dxa"/>
            <w:tcBorders>
              <w:top w:val="single" w:sz="4" w:space="0" w:color="auto"/>
              <w:bottom w:val="single" w:sz="12" w:space="0" w:color="auto"/>
            </w:tcBorders>
            <w:shd w:val="clear" w:color="auto" w:fill="auto"/>
            <w:vAlign w:val="bottom"/>
          </w:tcPr>
          <w:p w:rsidR="00963C03" w:rsidRPr="0071782F" w:rsidRDefault="002C0FAD" w:rsidP="00881286">
            <w:pPr>
              <w:suppressAutoHyphens w:val="0"/>
              <w:spacing w:before="80" w:after="80" w:line="200" w:lineRule="exact"/>
              <w:rPr>
                <w:i/>
                <w:sz w:val="16"/>
                <w:lang w:val="fr-CH"/>
              </w:rPr>
            </w:pPr>
            <w:r w:rsidRPr="0071782F">
              <w:rPr>
                <w:i/>
                <w:sz w:val="16"/>
                <w:lang w:val="fr-CH"/>
              </w:rPr>
              <w:t>Indicateu</w:t>
            </w:r>
            <w:r w:rsidR="00963C03" w:rsidRPr="0071782F">
              <w:rPr>
                <w:i/>
                <w:sz w:val="16"/>
                <w:lang w:val="fr-CH"/>
              </w:rPr>
              <w:t>rs</w:t>
            </w:r>
          </w:p>
        </w:tc>
        <w:tc>
          <w:tcPr>
            <w:tcW w:w="1027"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2004</w:t>
            </w:r>
          </w:p>
        </w:tc>
        <w:tc>
          <w:tcPr>
            <w:tcW w:w="1027"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2005</w:t>
            </w:r>
          </w:p>
        </w:tc>
        <w:tc>
          <w:tcPr>
            <w:tcW w:w="1027"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2006</w:t>
            </w:r>
          </w:p>
        </w:tc>
        <w:tc>
          <w:tcPr>
            <w:tcW w:w="1028"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2007</w:t>
            </w:r>
          </w:p>
        </w:tc>
      </w:tr>
      <w:tr w:rsidR="00963C03" w:rsidRPr="0071782F">
        <w:tc>
          <w:tcPr>
            <w:tcW w:w="3261" w:type="dxa"/>
            <w:tcBorders>
              <w:top w:val="single" w:sz="12" w:space="0" w:color="auto"/>
              <w:bottom w:val="nil"/>
            </w:tcBorders>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Nombre de livres publiés</w:t>
            </w:r>
          </w:p>
        </w:tc>
        <w:tc>
          <w:tcPr>
            <w:tcW w:w="1027" w:type="dxa"/>
            <w:tcBorders>
              <w:top w:val="single" w:sz="12" w:space="0" w:color="auto"/>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38 546</w:t>
            </w:r>
          </w:p>
        </w:tc>
        <w:tc>
          <w:tcPr>
            <w:tcW w:w="1027" w:type="dxa"/>
            <w:tcBorders>
              <w:top w:val="single" w:sz="12" w:space="0" w:color="auto"/>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51 916</w:t>
            </w:r>
          </w:p>
        </w:tc>
        <w:tc>
          <w:tcPr>
            <w:tcW w:w="1027" w:type="dxa"/>
            <w:tcBorders>
              <w:top w:val="single" w:sz="12" w:space="0" w:color="auto"/>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52 428</w:t>
            </w:r>
          </w:p>
        </w:tc>
        <w:tc>
          <w:tcPr>
            <w:tcW w:w="1028" w:type="dxa"/>
            <w:tcBorders>
              <w:top w:val="single" w:sz="12" w:space="0" w:color="auto"/>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54 658</w:t>
            </w:r>
          </w:p>
        </w:tc>
      </w:tr>
      <w:tr w:rsidR="00963C03" w:rsidRPr="0071782F">
        <w:tc>
          <w:tcPr>
            <w:tcW w:w="3261" w:type="dxa"/>
            <w:tcBorders>
              <w:top w:val="nil"/>
            </w:tcBorders>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Nombre d’exemplaires de livres publiés</w:t>
            </w:r>
          </w:p>
        </w:tc>
        <w:tc>
          <w:tcPr>
            <w:tcW w:w="1027"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169</w:t>
            </w:r>
          </w:p>
        </w:tc>
        <w:tc>
          <w:tcPr>
            <w:tcW w:w="1027"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219 000 000</w:t>
            </w:r>
          </w:p>
        </w:tc>
        <w:tc>
          <w:tcPr>
            <w:tcW w:w="1027"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224 137 058</w:t>
            </w:r>
          </w:p>
        </w:tc>
        <w:tc>
          <w:tcPr>
            <w:tcW w:w="1028"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211 059 630</w:t>
            </w:r>
          </w:p>
        </w:tc>
      </w:tr>
      <w:tr w:rsidR="00963C03" w:rsidRPr="0071782F">
        <w:tc>
          <w:tcPr>
            <w:tcW w:w="326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d’éditeurs en activité </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3 449</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4 345</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r>
      <w:tr w:rsidR="00963C03" w:rsidRPr="0071782F">
        <w:tc>
          <w:tcPr>
            <w:tcW w:w="326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de livres pour enfants et </w:t>
            </w:r>
            <w:r w:rsidR="00B13F4B" w:rsidRPr="0071782F">
              <w:rPr>
                <w:sz w:val="18"/>
                <w:lang w:val="fr-CH"/>
              </w:rPr>
              <w:t>adolescents</w:t>
            </w:r>
            <w:r w:rsidR="002C0FAD" w:rsidRPr="0071782F">
              <w:rPr>
                <w:sz w:val="18"/>
                <w:lang w:val="fr-CH"/>
              </w:rPr>
              <w:t xml:space="preserve"> </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33 000</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48 000</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r>
      <w:tr w:rsidR="00963C03" w:rsidRPr="0071782F">
        <w:tc>
          <w:tcPr>
            <w:tcW w:w="326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mbre</w:t>
            </w:r>
            <w:r w:rsidRPr="0071782F">
              <w:rPr>
                <w:sz w:val="18"/>
                <w:lang w:val="fr-CH"/>
              </w:rPr>
              <w:t xml:space="preserve"> </w:t>
            </w:r>
            <w:r w:rsidR="002C0FAD" w:rsidRPr="0071782F">
              <w:rPr>
                <w:sz w:val="18"/>
                <w:lang w:val="fr-CH"/>
              </w:rPr>
              <w:t xml:space="preserve">de livres pour enfants </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5 042</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7 335</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r>
    </w:tbl>
    <w:p w:rsidR="00963C03" w:rsidRPr="0071782F" w:rsidRDefault="00963C03" w:rsidP="00AA22EB">
      <w:pPr>
        <w:pStyle w:val="H23G"/>
        <w:rPr>
          <w:lang w:val="fr-CH"/>
        </w:rPr>
      </w:pPr>
      <w:r w:rsidRPr="0071782F">
        <w:rPr>
          <w:lang w:val="fr-CH"/>
        </w:rPr>
        <w:tab/>
      </w:r>
      <w:r w:rsidRPr="0071782F">
        <w:rPr>
          <w:lang w:val="fr-CH"/>
        </w:rPr>
        <w:tab/>
      </w:r>
      <w:r w:rsidR="002C0FAD" w:rsidRPr="0071782F">
        <w:rPr>
          <w:lang w:val="fr-CH"/>
        </w:rPr>
        <w:t xml:space="preserve">Bref aperçu des statistiques de l’art et de la culture </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491"/>
        <w:gridCol w:w="3904"/>
        <w:gridCol w:w="1027"/>
        <w:gridCol w:w="1028"/>
        <w:gridCol w:w="1027"/>
        <w:gridCol w:w="1028"/>
      </w:tblGrid>
      <w:tr w:rsidR="00963C03" w:rsidRPr="0071782F">
        <w:trPr>
          <w:tblHeader/>
        </w:trPr>
        <w:tc>
          <w:tcPr>
            <w:tcW w:w="491"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R</w:t>
            </w:r>
            <w:r w:rsidR="002C0FAD" w:rsidRPr="0071782F">
              <w:rPr>
                <w:i/>
                <w:sz w:val="16"/>
                <w:lang w:val="fr-CH"/>
              </w:rPr>
              <w:t>ang</w:t>
            </w:r>
          </w:p>
        </w:tc>
        <w:tc>
          <w:tcPr>
            <w:tcW w:w="3904" w:type="dxa"/>
            <w:tcBorders>
              <w:top w:val="single" w:sz="4" w:space="0" w:color="auto"/>
              <w:bottom w:val="single" w:sz="12" w:space="0" w:color="auto"/>
            </w:tcBorders>
            <w:shd w:val="clear" w:color="auto" w:fill="auto"/>
            <w:vAlign w:val="bottom"/>
          </w:tcPr>
          <w:p w:rsidR="00963C03" w:rsidRPr="0071782F" w:rsidRDefault="002C0FAD" w:rsidP="00881286">
            <w:pPr>
              <w:suppressAutoHyphens w:val="0"/>
              <w:spacing w:before="80" w:after="80" w:line="200" w:lineRule="exact"/>
              <w:rPr>
                <w:i/>
                <w:sz w:val="16"/>
                <w:lang w:val="fr-CH"/>
              </w:rPr>
            </w:pPr>
            <w:r w:rsidRPr="0071782F">
              <w:rPr>
                <w:i/>
                <w:sz w:val="16"/>
                <w:lang w:val="fr-CH"/>
              </w:rPr>
              <w:t>Indicateu</w:t>
            </w:r>
            <w:r w:rsidR="00963C03" w:rsidRPr="0071782F">
              <w:rPr>
                <w:i/>
                <w:sz w:val="16"/>
                <w:lang w:val="fr-CH"/>
              </w:rPr>
              <w:t>r</w:t>
            </w:r>
          </w:p>
        </w:tc>
        <w:tc>
          <w:tcPr>
            <w:tcW w:w="1027"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2004</w:t>
            </w:r>
          </w:p>
        </w:tc>
        <w:tc>
          <w:tcPr>
            <w:tcW w:w="1028"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2005</w:t>
            </w:r>
          </w:p>
        </w:tc>
        <w:tc>
          <w:tcPr>
            <w:tcW w:w="1027"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2006</w:t>
            </w:r>
          </w:p>
        </w:tc>
        <w:tc>
          <w:tcPr>
            <w:tcW w:w="1028"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2007</w:t>
            </w:r>
          </w:p>
        </w:tc>
      </w:tr>
      <w:tr w:rsidR="00963C03" w:rsidRPr="0071782F">
        <w:tc>
          <w:tcPr>
            <w:tcW w:w="491" w:type="dxa"/>
            <w:tcBorders>
              <w:top w:val="single" w:sz="12" w:space="0" w:color="auto"/>
            </w:tcBorders>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1</w:t>
            </w:r>
          </w:p>
        </w:tc>
        <w:tc>
          <w:tcPr>
            <w:tcW w:w="3904"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de </w:t>
            </w:r>
            <w:r w:rsidRPr="0071782F">
              <w:rPr>
                <w:sz w:val="18"/>
                <w:lang w:val="fr-CH"/>
              </w:rPr>
              <w:t>publication</w:t>
            </w:r>
            <w:r w:rsidR="002C0FAD" w:rsidRPr="0071782F">
              <w:rPr>
                <w:sz w:val="18"/>
                <w:lang w:val="fr-CH"/>
              </w:rPr>
              <w:t>s périodiques</w:t>
            </w:r>
          </w:p>
        </w:tc>
        <w:tc>
          <w:tcPr>
            <w:tcW w:w="1027"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2 817</w:t>
            </w:r>
          </w:p>
        </w:tc>
        <w:tc>
          <w:tcPr>
            <w:tcW w:w="1028"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3 261</w:t>
            </w:r>
          </w:p>
        </w:tc>
        <w:tc>
          <w:tcPr>
            <w:tcW w:w="1027"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3 382</w:t>
            </w:r>
          </w:p>
        </w:tc>
        <w:tc>
          <w:tcPr>
            <w:tcW w:w="1028"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3 378</w:t>
            </w: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2</w:t>
            </w:r>
          </w:p>
        </w:tc>
        <w:tc>
          <w:tcPr>
            <w:tcW w:w="3904"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de </w:t>
            </w:r>
            <w:r w:rsidRPr="0071782F">
              <w:rPr>
                <w:sz w:val="18"/>
                <w:lang w:val="fr-CH"/>
              </w:rPr>
              <w:t>films produ</w:t>
            </w:r>
            <w:r w:rsidR="002C0FAD" w:rsidRPr="0071782F">
              <w:rPr>
                <w:sz w:val="18"/>
                <w:lang w:val="fr-CH"/>
              </w:rPr>
              <w:t>its</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62</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62</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82</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99</w:t>
            </w: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3</w:t>
            </w:r>
          </w:p>
        </w:tc>
        <w:tc>
          <w:tcPr>
            <w:tcW w:w="3904"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d’agences de publicité </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2 447</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3 564</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4 080</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4 468</w:t>
            </w: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4</w:t>
            </w:r>
          </w:p>
        </w:tc>
        <w:tc>
          <w:tcPr>
            <w:tcW w:w="3904" w:type="dxa"/>
            <w:shd w:val="clear" w:color="auto" w:fill="auto"/>
            <w:vAlign w:val="bottom"/>
          </w:tcPr>
          <w:p w:rsidR="00963C03" w:rsidRPr="0071782F" w:rsidRDefault="002C0FAD" w:rsidP="00881286">
            <w:pPr>
              <w:suppressAutoHyphens w:val="0"/>
              <w:spacing w:before="40" w:after="40" w:line="220" w:lineRule="exact"/>
              <w:rPr>
                <w:sz w:val="18"/>
                <w:lang w:val="fr-CH"/>
              </w:rPr>
            </w:pPr>
            <w:r w:rsidRPr="0071782F">
              <w:rPr>
                <w:sz w:val="18"/>
                <w:lang w:val="fr-CH"/>
              </w:rPr>
              <w:t>Nombre de publications périodiques locales</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420</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500</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650</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660</w:t>
            </w:r>
          </w:p>
        </w:tc>
      </w:tr>
      <w:tr w:rsidR="00963C03" w:rsidRPr="0071782F">
        <w:tc>
          <w:tcPr>
            <w:tcW w:w="491" w:type="dxa"/>
            <w:tcBorders>
              <w:bottom w:val="nil"/>
            </w:tcBorders>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5</w:t>
            </w:r>
          </w:p>
        </w:tc>
        <w:tc>
          <w:tcPr>
            <w:tcW w:w="3904" w:type="dxa"/>
            <w:tcBorders>
              <w:bottom w:val="nil"/>
            </w:tcBorders>
            <w:shd w:val="clear" w:color="auto" w:fill="auto"/>
            <w:vAlign w:val="bottom"/>
          </w:tcPr>
          <w:p w:rsidR="00963C03" w:rsidRPr="0071782F" w:rsidRDefault="002C0FAD" w:rsidP="00881286">
            <w:pPr>
              <w:suppressAutoHyphens w:val="0"/>
              <w:spacing w:before="40" w:after="40" w:line="220" w:lineRule="exact"/>
              <w:rPr>
                <w:sz w:val="18"/>
                <w:lang w:val="fr-CH"/>
              </w:rPr>
            </w:pPr>
            <w:r w:rsidRPr="0071782F">
              <w:rPr>
                <w:sz w:val="18"/>
                <w:lang w:val="fr-CH"/>
              </w:rPr>
              <w:t>Agences de presse non gouvernementales</w:t>
            </w:r>
            <w:r w:rsidR="00963C03" w:rsidRPr="0071782F">
              <w:rPr>
                <w:sz w:val="18"/>
                <w:lang w:val="fr-CH"/>
              </w:rPr>
              <w:t xml:space="preserve"> </w:t>
            </w:r>
          </w:p>
        </w:tc>
        <w:tc>
          <w:tcPr>
            <w:tcW w:w="1027"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8</w:t>
            </w:r>
          </w:p>
        </w:tc>
        <w:tc>
          <w:tcPr>
            <w:tcW w:w="1028"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10</w:t>
            </w:r>
          </w:p>
        </w:tc>
        <w:tc>
          <w:tcPr>
            <w:tcW w:w="1027"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11</w:t>
            </w:r>
          </w:p>
        </w:tc>
        <w:tc>
          <w:tcPr>
            <w:tcW w:w="1028"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12</w:t>
            </w:r>
          </w:p>
        </w:tc>
      </w:tr>
      <w:tr w:rsidR="00963C03" w:rsidRPr="0071782F">
        <w:tc>
          <w:tcPr>
            <w:tcW w:w="491" w:type="dxa"/>
            <w:tcBorders>
              <w:top w:val="nil"/>
              <w:bottom w:val="nil"/>
            </w:tcBorders>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6</w:t>
            </w:r>
          </w:p>
        </w:tc>
        <w:tc>
          <w:tcPr>
            <w:tcW w:w="3904" w:type="dxa"/>
            <w:tcBorders>
              <w:top w:val="nil"/>
              <w:bottom w:val="nil"/>
            </w:tcBorders>
            <w:shd w:val="clear" w:color="auto" w:fill="auto"/>
            <w:vAlign w:val="bottom"/>
          </w:tcPr>
          <w:p w:rsidR="00963C03" w:rsidRPr="0071782F" w:rsidRDefault="002C0FAD" w:rsidP="00881286">
            <w:pPr>
              <w:suppressAutoHyphens w:val="0"/>
              <w:spacing w:before="40" w:after="40" w:line="220" w:lineRule="exact"/>
              <w:rPr>
                <w:sz w:val="18"/>
                <w:lang w:val="fr-CH"/>
              </w:rPr>
            </w:pPr>
            <w:r w:rsidRPr="0071782F">
              <w:rPr>
                <w:sz w:val="18"/>
                <w:lang w:val="fr-CH"/>
              </w:rPr>
              <w:t xml:space="preserve">Bureaux de </w:t>
            </w:r>
            <w:r w:rsidR="00963C03" w:rsidRPr="0071782F">
              <w:rPr>
                <w:sz w:val="18"/>
                <w:lang w:val="fr-CH"/>
              </w:rPr>
              <w:t>repr</w:t>
            </w:r>
            <w:r w:rsidRPr="0071782F">
              <w:rPr>
                <w:sz w:val="18"/>
                <w:lang w:val="fr-CH"/>
              </w:rPr>
              <w:t>é</w:t>
            </w:r>
            <w:r w:rsidR="00963C03" w:rsidRPr="0071782F">
              <w:rPr>
                <w:sz w:val="18"/>
                <w:lang w:val="fr-CH"/>
              </w:rPr>
              <w:t>sentati</w:t>
            </w:r>
            <w:r w:rsidRPr="0071782F">
              <w:rPr>
                <w:sz w:val="18"/>
                <w:lang w:val="fr-CH"/>
              </w:rPr>
              <w:t xml:space="preserve">on des médias étrangers en </w:t>
            </w:r>
            <w:r w:rsidR="00963C03" w:rsidRPr="0071782F">
              <w:rPr>
                <w:sz w:val="18"/>
                <w:lang w:val="fr-CH"/>
              </w:rPr>
              <w:t>Iran</w:t>
            </w:r>
          </w:p>
        </w:tc>
        <w:tc>
          <w:tcPr>
            <w:tcW w:w="1027"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103</w:t>
            </w:r>
          </w:p>
        </w:tc>
        <w:tc>
          <w:tcPr>
            <w:tcW w:w="1028"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106</w:t>
            </w:r>
          </w:p>
        </w:tc>
        <w:tc>
          <w:tcPr>
            <w:tcW w:w="1027"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107</w:t>
            </w:r>
          </w:p>
        </w:tc>
        <w:tc>
          <w:tcPr>
            <w:tcW w:w="1028"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121</w:t>
            </w:r>
          </w:p>
        </w:tc>
      </w:tr>
      <w:tr w:rsidR="00963C03" w:rsidRPr="0071782F">
        <w:tc>
          <w:tcPr>
            <w:tcW w:w="491" w:type="dxa"/>
            <w:tcBorders>
              <w:top w:val="nil"/>
            </w:tcBorders>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7</w:t>
            </w:r>
          </w:p>
        </w:tc>
        <w:tc>
          <w:tcPr>
            <w:tcW w:w="3904" w:type="dxa"/>
            <w:tcBorders>
              <w:top w:val="nil"/>
            </w:tcBorders>
            <w:shd w:val="clear" w:color="auto" w:fill="auto"/>
            <w:vAlign w:val="bottom"/>
          </w:tcPr>
          <w:p w:rsidR="00963C03" w:rsidRPr="0071782F" w:rsidRDefault="002C0FAD" w:rsidP="00881286">
            <w:pPr>
              <w:suppressAutoHyphens w:val="0"/>
              <w:spacing w:before="40" w:after="40" w:line="220" w:lineRule="exact"/>
              <w:rPr>
                <w:sz w:val="18"/>
                <w:lang w:val="fr-CH"/>
              </w:rPr>
            </w:pPr>
            <w:r w:rsidRPr="0071782F">
              <w:rPr>
                <w:sz w:val="18"/>
                <w:lang w:val="fr-CH"/>
              </w:rPr>
              <w:t>Pé</w:t>
            </w:r>
            <w:r w:rsidR="00963C03" w:rsidRPr="0071782F">
              <w:rPr>
                <w:sz w:val="18"/>
                <w:lang w:val="fr-CH"/>
              </w:rPr>
              <w:t>riodi</w:t>
            </w:r>
            <w:r w:rsidRPr="0071782F">
              <w:rPr>
                <w:sz w:val="18"/>
                <w:lang w:val="fr-CH"/>
              </w:rPr>
              <w:t xml:space="preserve">ques pour enfants </w:t>
            </w:r>
          </w:p>
        </w:tc>
        <w:tc>
          <w:tcPr>
            <w:tcW w:w="1027"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25</w:t>
            </w:r>
          </w:p>
        </w:tc>
        <w:tc>
          <w:tcPr>
            <w:tcW w:w="1028"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30</w:t>
            </w:r>
          </w:p>
        </w:tc>
        <w:tc>
          <w:tcPr>
            <w:tcW w:w="1027"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35</w:t>
            </w:r>
          </w:p>
        </w:tc>
        <w:tc>
          <w:tcPr>
            <w:tcW w:w="1028"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40</w:t>
            </w: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8</w:t>
            </w:r>
          </w:p>
        </w:tc>
        <w:tc>
          <w:tcPr>
            <w:tcW w:w="3904" w:type="dxa"/>
            <w:shd w:val="clear" w:color="auto" w:fill="auto"/>
            <w:vAlign w:val="bottom"/>
          </w:tcPr>
          <w:p w:rsidR="00963C03" w:rsidRPr="0071782F" w:rsidRDefault="002C0FAD" w:rsidP="00881286">
            <w:pPr>
              <w:suppressAutoHyphens w:val="0"/>
              <w:spacing w:before="40" w:after="40" w:line="220" w:lineRule="exact"/>
              <w:rPr>
                <w:sz w:val="18"/>
                <w:lang w:val="fr-CH"/>
              </w:rPr>
            </w:pPr>
            <w:r w:rsidRPr="0071782F">
              <w:rPr>
                <w:sz w:val="18"/>
                <w:lang w:val="fr-CH"/>
              </w:rPr>
              <w:t>Périodiques r</w:t>
            </w:r>
            <w:r w:rsidR="00963C03" w:rsidRPr="0071782F">
              <w:rPr>
                <w:sz w:val="18"/>
                <w:lang w:val="fr-CH"/>
              </w:rPr>
              <w:t>eligi</w:t>
            </w:r>
            <w:r w:rsidRPr="0071782F">
              <w:rPr>
                <w:sz w:val="18"/>
                <w:lang w:val="fr-CH"/>
              </w:rPr>
              <w:t xml:space="preserve">eux </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92</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93</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100</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100</w:t>
            </w: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9</w:t>
            </w:r>
          </w:p>
        </w:tc>
        <w:tc>
          <w:tcPr>
            <w:tcW w:w="3904"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d’expositions d’arts conceptuels en </w:t>
            </w:r>
            <w:r w:rsidRPr="0071782F">
              <w:rPr>
                <w:sz w:val="18"/>
                <w:lang w:val="fr-CH"/>
              </w:rPr>
              <w:t>Iran</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44</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48</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12</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25 (6</w:t>
            </w:r>
            <w:r w:rsidR="001F3F05" w:rsidRPr="0071782F">
              <w:rPr>
                <w:sz w:val="18"/>
                <w:lang w:val="fr-CH"/>
              </w:rPr>
              <w:t> mois</w:t>
            </w:r>
            <w:r w:rsidRPr="0071782F">
              <w:rPr>
                <w:sz w:val="18"/>
                <w:lang w:val="fr-CH"/>
              </w:rPr>
              <w:t>)</w:t>
            </w:r>
          </w:p>
        </w:tc>
      </w:tr>
      <w:tr w:rsidR="00963C03" w:rsidRPr="0071782F">
        <w:tc>
          <w:tcPr>
            <w:tcW w:w="491" w:type="dxa"/>
            <w:tcBorders>
              <w:bottom w:val="nil"/>
            </w:tcBorders>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10</w:t>
            </w:r>
          </w:p>
        </w:tc>
        <w:tc>
          <w:tcPr>
            <w:tcW w:w="3904" w:type="dxa"/>
            <w:tcBorders>
              <w:bottom w:val="nil"/>
            </w:tcBorders>
            <w:shd w:val="clear" w:color="auto" w:fill="auto"/>
            <w:vAlign w:val="bottom"/>
          </w:tcPr>
          <w:p w:rsidR="00963C03" w:rsidRPr="0071782F" w:rsidRDefault="002C0FAD" w:rsidP="00881286">
            <w:pPr>
              <w:suppressAutoHyphens w:val="0"/>
              <w:spacing w:before="40" w:after="40" w:line="220" w:lineRule="exact"/>
              <w:rPr>
                <w:sz w:val="18"/>
                <w:lang w:val="fr-CH"/>
              </w:rPr>
            </w:pPr>
            <w:r w:rsidRPr="0071782F">
              <w:rPr>
                <w:sz w:val="18"/>
                <w:lang w:val="fr-CH"/>
              </w:rPr>
              <w:t xml:space="preserve">Nombre d’expositions d’arts conceptuels à l’étranger </w:t>
            </w:r>
          </w:p>
        </w:tc>
        <w:tc>
          <w:tcPr>
            <w:tcW w:w="1027"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44</w:t>
            </w:r>
          </w:p>
        </w:tc>
        <w:tc>
          <w:tcPr>
            <w:tcW w:w="1028"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48</w:t>
            </w:r>
          </w:p>
        </w:tc>
        <w:tc>
          <w:tcPr>
            <w:tcW w:w="1027"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12</w:t>
            </w:r>
          </w:p>
        </w:tc>
        <w:tc>
          <w:tcPr>
            <w:tcW w:w="1028"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6 (6</w:t>
            </w:r>
            <w:r w:rsidR="001F3F05" w:rsidRPr="0071782F">
              <w:rPr>
                <w:sz w:val="18"/>
                <w:lang w:val="fr-CH"/>
              </w:rPr>
              <w:t> mois</w:t>
            </w:r>
            <w:r w:rsidRPr="0071782F">
              <w:rPr>
                <w:sz w:val="18"/>
                <w:lang w:val="fr-CH"/>
              </w:rPr>
              <w:t>)</w:t>
            </w:r>
          </w:p>
        </w:tc>
      </w:tr>
      <w:tr w:rsidR="00963C03" w:rsidRPr="0071782F">
        <w:tc>
          <w:tcPr>
            <w:tcW w:w="491" w:type="dxa"/>
            <w:tcBorders>
              <w:top w:val="nil"/>
              <w:bottom w:val="nil"/>
            </w:tcBorders>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11</w:t>
            </w:r>
          </w:p>
        </w:tc>
        <w:tc>
          <w:tcPr>
            <w:tcW w:w="3904" w:type="dxa"/>
            <w:tcBorders>
              <w:top w:val="nil"/>
              <w:bottom w:val="nil"/>
            </w:tcBorders>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de galeries d’art en fonctionnement </w:t>
            </w:r>
          </w:p>
        </w:tc>
        <w:tc>
          <w:tcPr>
            <w:tcW w:w="1027"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300</w:t>
            </w:r>
          </w:p>
        </w:tc>
        <w:tc>
          <w:tcPr>
            <w:tcW w:w="1028"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300</w:t>
            </w:r>
          </w:p>
        </w:tc>
        <w:tc>
          <w:tcPr>
            <w:tcW w:w="1027"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310</w:t>
            </w:r>
          </w:p>
        </w:tc>
        <w:tc>
          <w:tcPr>
            <w:tcW w:w="1028"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315</w:t>
            </w:r>
          </w:p>
        </w:tc>
      </w:tr>
      <w:tr w:rsidR="00963C03" w:rsidRPr="0071782F">
        <w:tc>
          <w:tcPr>
            <w:tcW w:w="491" w:type="dxa"/>
            <w:tcBorders>
              <w:top w:val="nil"/>
            </w:tcBorders>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12</w:t>
            </w:r>
          </w:p>
        </w:tc>
        <w:tc>
          <w:tcPr>
            <w:tcW w:w="3904" w:type="dxa"/>
            <w:tcBorders>
              <w:top w:val="nil"/>
            </w:tcBorders>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d’autorisations délivrées pour la création de galeries d’art </w:t>
            </w:r>
          </w:p>
        </w:tc>
        <w:tc>
          <w:tcPr>
            <w:tcW w:w="1027"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34</w:t>
            </w:r>
          </w:p>
        </w:tc>
        <w:tc>
          <w:tcPr>
            <w:tcW w:w="1028"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34</w:t>
            </w:r>
          </w:p>
        </w:tc>
        <w:tc>
          <w:tcPr>
            <w:tcW w:w="1027"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29</w:t>
            </w:r>
          </w:p>
        </w:tc>
        <w:tc>
          <w:tcPr>
            <w:tcW w:w="1028"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13 (6</w:t>
            </w:r>
            <w:r w:rsidR="001F3F05" w:rsidRPr="0071782F">
              <w:rPr>
                <w:sz w:val="18"/>
                <w:lang w:val="fr-CH"/>
              </w:rPr>
              <w:t> mois</w:t>
            </w:r>
            <w:r w:rsidRPr="0071782F">
              <w:rPr>
                <w:sz w:val="18"/>
                <w:lang w:val="fr-CH"/>
              </w:rPr>
              <w:t>)</w:t>
            </w: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13</w:t>
            </w:r>
          </w:p>
        </w:tc>
        <w:tc>
          <w:tcPr>
            <w:tcW w:w="3904"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de </w:t>
            </w:r>
            <w:r w:rsidRPr="0071782F">
              <w:rPr>
                <w:sz w:val="18"/>
                <w:lang w:val="fr-CH"/>
              </w:rPr>
              <w:t xml:space="preserve">festivals </w:t>
            </w:r>
            <w:r w:rsidR="002C0FAD" w:rsidRPr="0071782F">
              <w:rPr>
                <w:sz w:val="18"/>
                <w:lang w:val="fr-CH"/>
              </w:rPr>
              <w:t xml:space="preserve">artistiques </w:t>
            </w:r>
            <w:r w:rsidRPr="0071782F">
              <w:rPr>
                <w:sz w:val="18"/>
                <w:lang w:val="fr-CH"/>
              </w:rPr>
              <w:t>organi</w:t>
            </w:r>
            <w:r w:rsidR="002C0FAD" w:rsidRPr="0071782F">
              <w:rPr>
                <w:sz w:val="18"/>
                <w:lang w:val="fr-CH"/>
              </w:rPr>
              <w:t>sés</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16</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20</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24</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13</w:t>
            </w: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14</w:t>
            </w:r>
          </w:p>
        </w:tc>
        <w:tc>
          <w:tcPr>
            <w:tcW w:w="3904"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de titres de produits audio </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396</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413</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344</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105 (6</w:t>
            </w:r>
            <w:r w:rsidR="001F3F05" w:rsidRPr="0071782F">
              <w:rPr>
                <w:sz w:val="18"/>
                <w:lang w:val="fr-CH"/>
              </w:rPr>
              <w:t> mois</w:t>
            </w:r>
            <w:r w:rsidRPr="0071782F">
              <w:rPr>
                <w:sz w:val="18"/>
                <w:lang w:val="fr-CH"/>
              </w:rPr>
              <w:t>)</w:t>
            </w: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15</w:t>
            </w:r>
          </w:p>
        </w:tc>
        <w:tc>
          <w:tcPr>
            <w:tcW w:w="3904" w:type="dxa"/>
            <w:shd w:val="clear" w:color="auto" w:fill="auto"/>
            <w:vAlign w:val="bottom"/>
          </w:tcPr>
          <w:p w:rsidR="00963C03" w:rsidRPr="0071782F" w:rsidRDefault="002C0FAD" w:rsidP="00881286">
            <w:pPr>
              <w:suppressAutoHyphens w:val="0"/>
              <w:spacing w:before="40" w:after="40" w:line="220" w:lineRule="exact"/>
              <w:rPr>
                <w:sz w:val="18"/>
                <w:lang w:val="fr-CH"/>
              </w:rPr>
            </w:pPr>
            <w:r w:rsidRPr="0071782F">
              <w:rPr>
                <w:sz w:val="18"/>
                <w:lang w:val="fr-CH"/>
              </w:rPr>
              <w:t xml:space="preserve">Nombre d’autorisations délivrées pour des paroles </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6 054</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7 236</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5 658</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4 093</w:t>
            </w: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16</w:t>
            </w:r>
          </w:p>
        </w:tc>
        <w:tc>
          <w:tcPr>
            <w:tcW w:w="3904"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de </w:t>
            </w:r>
            <w:r w:rsidRPr="0071782F">
              <w:rPr>
                <w:sz w:val="18"/>
                <w:lang w:val="fr-CH"/>
              </w:rPr>
              <w:t>concerts</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917</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506</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489</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321</w:t>
            </w: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17</w:t>
            </w:r>
          </w:p>
        </w:tc>
        <w:tc>
          <w:tcPr>
            <w:tcW w:w="3904"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de spectacles traditionnels de </w:t>
            </w:r>
            <w:r w:rsidRPr="0071782F">
              <w:rPr>
                <w:sz w:val="18"/>
                <w:lang w:val="fr-CH"/>
              </w:rPr>
              <w:t xml:space="preserve">sofr-e khan-e </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5 325</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5 600</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4 979</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3 798</w:t>
            </w: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18</w:t>
            </w:r>
          </w:p>
        </w:tc>
        <w:tc>
          <w:tcPr>
            <w:tcW w:w="3904" w:type="dxa"/>
            <w:shd w:val="clear" w:color="auto" w:fill="auto"/>
            <w:vAlign w:val="bottom"/>
          </w:tcPr>
          <w:p w:rsidR="00963C03" w:rsidRPr="0071782F" w:rsidRDefault="002C0FAD" w:rsidP="00881286">
            <w:pPr>
              <w:suppressAutoHyphens w:val="0"/>
              <w:spacing w:before="40" w:after="40" w:line="220" w:lineRule="exact"/>
              <w:rPr>
                <w:sz w:val="18"/>
                <w:lang w:val="fr-CH"/>
              </w:rPr>
            </w:pPr>
            <w:r w:rsidRPr="0071782F">
              <w:rPr>
                <w:sz w:val="18"/>
                <w:lang w:val="fr-CH"/>
              </w:rPr>
              <w:t>Nombre de bibliothèques publiques</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1 615</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1 641</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1 727</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19</w:t>
            </w:r>
          </w:p>
        </w:tc>
        <w:tc>
          <w:tcPr>
            <w:tcW w:w="3904" w:type="dxa"/>
            <w:shd w:val="clear" w:color="auto" w:fill="auto"/>
            <w:vAlign w:val="bottom"/>
          </w:tcPr>
          <w:p w:rsidR="00963C03" w:rsidRPr="0071782F" w:rsidRDefault="002C0FAD" w:rsidP="00881286">
            <w:pPr>
              <w:suppressAutoHyphens w:val="0"/>
              <w:spacing w:before="40" w:after="40" w:line="220" w:lineRule="exact"/>
              <w:rPr>
                <w:sz w:val="18"/>
                <w:lang w:val="fr-CH"/>
              </w:rPr>
            </w:pPr>
            <w:r w:rsidRPr="0071782F">
              <w:rPr>
                <w:sz w:val="18"/>
                <w:lang w:val="fr-CH"/>
              </w:rPr>
              <w:t>Nombre de livres des bibliothèques publiques</w:t>
            </w:r>
            <w:r w:rsidR="00963C03" w:rsidRPr="0071782F">
              <w:rPr>
                <w:sz w:val="18"/>
                <w:lang w:val="fr-CH"/>
              </w:rPr>
              <w:t xml:space="preserve"> </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14 600 000</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15 000 000</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15 400 000</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20</w:t>
            </w:r>
          </w:p>
        </w:tc>
        <w:tc>
          <w:tcPr>
            <w:tcW w:w="3904" w:type="dxa"/>
            <w:shd w:val="clear" w:color="auto" w:fill="auto"/>
            <w:vAlign w:val="bottom"/>
          </w:tcPr>
          <w:p w:rsidR="00963C03" w:rsidRPr="0071782F" w:rsidRDefault="002C0FAD" w:rsidP="00881286">
            <w:pPr>
              <w:suppressAutoHyphens w:val="0"/>
              <w:spacing w:before="40" w:after="40" w:line="220" w:lineRule="exact"/>
              <w:rPr>
                <w:sz w:val="18"/>
                <w:lang w:val="fr-CH"/>
              </w:rPr>
            </w:pPr>
            <w:r w:rsidRPr="0071782F">
              <w:rPr>
                <w:sz w:val="18"/>
                <w:lang w:val="fr-CH"/>
              </w:rPr>
              <w:t xml:space="preserve">Nombre de membres des bibliothèques publiques </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1 070 000</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1 100 000</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1 130 000</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21</w:t>
            </w:r>
          </w:p>
        </w:tc>
        <w:tc>
          <w:tcPr>
            <w:tcW w:w="3904" w:type="dxa"/>
            <w:shd w:val="clear" w:color="auto" w:fill="auto"/>
            <w:vAlign w:val="bottom"/>
          </w:tcPr>
          <w:p w:rsidR="00963C03" w:rsidRPr="0071782F" w:rsidRDefault="002C0FAD" w:rsidP="00881286">
            <w:pPr>
              <w:suppressAutoHyphens w:val="0"/>
              <w:spacing w:before="40" w:after="40" w:line="220" w:lineRule="exact"/>
              <w:rPr>
                <w:sz w:val="18"/>
                <w:lang w:val="fr-CH"/>
              </w:rPr>
            </w:pPr>
            <w:r w:rsidRPr="0071782F">
              <w:rPr>
                <w:sz w:val="18"/>
                <w:lang w:val="fr-CH"/>
              </w:rPr>
              <w:t xml:space="preserve">Nombre de visiteurs des bibliothèques publiques </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42 000 000</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43 000 000</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44 000 000</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22</w:t>
            </w:r>
          </w:p>
        </w:tc>
        <w:tc>
          <w:tcPr>
            <w:tcW w:w="3904" w:type="dxa"/>
            <w:shd w:val="clear" w:color="auto" w:fill="auto"/>
            <w:vAlign w:val="bottom"/>
          </w:tcPr>
          <w:p w:rsidR="00963C03" w:rsidRPr="0071782F" w:rsidRDefault="002C0FAD" w:rsidP="00881286">
            <w:pPr>
              <w:suppressAutoHyphens w:val="0"/>
              <w:spacing w:before="40" w:after="40" w:line="220" w:lineRule="exact"/>
              <w:rPr>
                <w:sz w:val="18"/>
                <w:lang w:val="fr-CH"/>
              </w:rPr>
            </w:pPr>
            <w:r w:rsidRPr="0071782F">
              <w:rPr>
                <w:sz w:val="18"/>
                <w:lang w:val="fr-CH"/>
              </w:rPr>
              <w:t>Nombre de bibliothèques</w:t>
            </w:r>
            <w:r w:rsidR="00963C03" w:rsidRPr="0071782F">
              <w:rPr>
                <w:sz w:val="18"/>
                <w:lang w:val="fr-CH"/>
              </w:rPr>
              <w:t xml:space="preserve"> </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1 511</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1 525</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1 596</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23</w:t>
            </w:r>
          </w:p>
        </w:tc>
        <w:tc>
          <w:tcPr>
            <w:tcW w:w="3904" w:type="dxa"/>
            <w:shd w:val="clear" w:color="auto" w:fill="auto"/>
            <w:vAlign w:val="bottom"/>
          </w:tcPr>
          <w:p w:rsidR="00963C03" w:rsidRPr="0071782F" w:rsidRDefault="002C0FAD" w:rsidP="00881286">
            <w:pPr>
              <w:suppressAutoHyphens w:val="0"/>
              <w:spacing w:before="40" w:after="40" w:line="220" w:lineRule="exact"/>
              <w:rPr>
                <w:sz w:val="18"/>
                <w:lang w:val="fr-CH"/>
              </w:rPr>
            </w:pPr>
            <w:r w:rsidRPr="0071782F">
              <w:rPr>
                <w:sz w:val="18"/>
                <w:lang w:val="fr-CH"/>
              </w:rPr>
              <w:t xml:space="preserve">Nombre de bibliothèques publiques </w:t>
            </w:r>
            <w:r w:rsidR="00963C03" w:rsidRPr="0071782F">
              <w:rPr>
                <w:sz w:val="18"/>
                <w:lang w:val="fr-CH"/>
              </w:rPr>
              <w:t>urba</w:t>
            </w:r>
            <w:r w:rsidRPr="0071782F">
              <w:rPr>
                <w:sz w:val="18"/>
                <w:lang w:val="fr-CH"/>
              </w:rPr>
              <w:t xml:space="preserve">ines </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1 261</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1 275</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1 311</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24</w:t>
            </w:r>
          </w:p>
        </w:tc>
        <w:tc>
          <w:tcPr>
            <w:tcW w:w="3904" w:type="dxa"/>
            <w:shd w:val="clear" w:color="auto" w:fill="auto"/>
            <w:vAlign w:val="bottom"/>
          </w:tcPr>
          <w:p w:rsidR="00963C03" w:rsidRPr="0071782F" w:rsidRDefault="002C0FAD" w:rsidP="00881286">
            <w:pPr>
              <w:suppressAutoHyphens w:val="0"/>
              <w:spacing w:before="40" w:after="40" w:line="220" w:lineRule="exact"/>
              <w:rPr>
                <w:sz w:val="18"/>
                <w:lang w:val="fr-CH"/>
              </w:rPr>
            </w:pPr>
            <w:r w:rsidRPr="0071782F">
              <w:rPr>
                <w:sz w:val="18"/>
                <w:lang w:val="fr-CH"/>
              </w:rPr>
              <w:t xml:space="preserve">Nombre de bibliothèques </w:t>
            </w:r>
            <w:r w:rsidR="00963C03" w:rsidRPr="0071782F">
              <w:rPr>
                <w:sz w:val="18"/>
                <w:lang w:val="fr-CH"/>
              </w:rPr>
              <w:t>rural</w:t>
            </w:r>
            <w:r w:rsidRPr="0071782F">
              <w:rPr>
                <w:sz w:val="18"/>
                <w:lang w:val="fr-CH"/>
              </w:rPr>
              <w:t>es</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250</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250</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285</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25</w:t>
            </w:r>
          </w:p>
        </w:tc>
        <w:tc>
          <w:tcPr>
            <w:tcW w:w="3904"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de foires du livre organisées </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7</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12</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21</w:t>
            </w: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26</w:t>
            </w:r>
          </w:p>
        </w:tc>
        <w:tc>
          <w:tcPr>
            <w:tcW w:w="3904"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d’entrées de correspondants étrangers </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791</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796</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905</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999</w:t>
            </w:r>
          </w:p>
        </w:tc>
      </w:tr>
      <w:tr w:rsidR="00963C03" w:rsidRPr="0071782F">
        <w:tc>
          <w:tcPr>
            <w:tcW w:w="49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27</w:t>
            </w:r>
          </w:p>
        </w:tc>
        <w:tc>
          <w:tcPr>
            <w:tcW w:w="3904"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2C0FAD" w:rsidRPr="0071782F">
              <w:rPr>
                <w:sz w:val="18"/>
                <w:lang w:val="fr-CH"/>
              </w:rPr>
              <w:t xml:space="preserve">mbre de visas délivrés à des journalistes </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1 109</w:t>
            </w:r>
          </w:p>
        </w:tc>
        <w:tc>
          <w:tcPr>
            <w:tcW w:w="102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1 207</w:t>
            </w:r>
          </w:p>
        </w:tc>
        <w:tc>
          <w:tcPr>
            <w:tcW w:w="1028"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1 442</w:t>
            </w:r>
          </w:p>
        </w:tc>
      </w:tr>
    </w:tbl>
    <w:p w:rsidR="00963C03" w:rsidRPr="0071782F" w:rsidRDefault="00963C03" w:rsidP="00AA22EB">
      <w:pPr>
        <w:pStyle w:val="H23G"/>
        <w:rPr>
          <w:lang w:val="fr-CH"/>
        </w:rPr>
      </w:pPr>
      <w:r w:rsidRPr="0071782F">
        <w:rPr>
          <w:lang w:val="fr-CH"/>
        </w:rPr>
        <w:tab/>
      </w:r>
      <w:r w:rsidRPr="0071782F">
        <w:rPr>
          <w:lang w:val="fr-CH"/>
        </w:rPr>
        <w:tab/>
        <w:t>Sub</w:t>
      </w:r>
      <w:r w:rsidR="002C0FAD" w:rsidRPr="0071782F">
        <w:rPr>
          <w:lang w:val="fr-CH"/>
        </w:rPr>
        <w:t xml:space="preserve">ventions destinées aux publications </w:t>
      </w:r>
      <w:r w:rsidRPr="0071782F">
        <w:rPr>
          <w:lang w:val="fr-CH"/>
        </w:rPr>
        <w:t>p</w:t>
      </w:r>
      <w:r w:rsidR="002C0FAD" w:rsidRPr="0071782F">
        <w:rPr>
          <w:lang w:val="fr-CH"/>
        </w:rPr>
        <w:t>é</w:t>
      </w:r>
      <w:r w:rsidRPr="0071782F">
        <w:rPr>
          <w:lang w:val="fr-CH"/>
        </w:rPr>
        <w:t>riodi</w:t>
      </w:r>
      <w:r w:rsidR="002C0FAD" w:rsidRPr="0071782F">
        <w:rPr>
          <w:lang w:val="fr-CH"/>
        </w:rPr>
        <w:t>que</w:t>
      </w:r>
      <w:r w:rsidRPr="0071782F">
        <w:rPr>
          <w:lang w:val="fr-CH"/>
        </w:rPr>
        <w:t>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678"/>
        <w:gridCol w:w="5692"/>
      </w:tblGrid>
      <w:tr w:rsidR="00963C03" w:rsidRPr="0071782F" w:rsidTr="00277E50">
        <w:trPr>
          <w:tblHeader/>
        </w:trPr>
        <w:tc>
          <w:tcPr>
            <w:tcW w:w="1008" w:type="dxa"/>
            <w:tcBorders>
              <w:top w:val="single" w:sz="12" w:space="0" w:color="auto"/>
              <w:bottom w:val="single" w:sz="4" w:space="0" w:color="auto"/>
            </w:tcBorders>
            <w:shd w:val="clear" w:color="auto" w:fill="auto"/>
            <w:vAlign w:val="bottom"/>
          </w:tcPr>
          <w:p w:rsidR="00963C03" w:rsidRPr="0071782F" w:rsidRDefault="00963C03" w:rsidP="00881286">
            <w:pPr>
              <w:suppressAutoHyphens w:val="0"/>
              <w:spacing w:before="40" w:after="40" w:line="220" w:lineRule="exact"/>
              <w:rPr>
                <w:i/>
                <w:sz w:val="16"/>
                <w:lang w:val="fr-CH"/>
              </w:rPr>
            </w:pPr>
            <w:r w:rsidRPr="0071782F">
              <w:rPr>
                <w:sz w:val="18"/>
                <w:lang w:val="fr-CH"/>
              </w:rPr>
              <w:t>2007</w:t>
            </w:r>
          </w:p>
        </w:tc>
        <w:tc>
          <w:tcPr>
            <w:tcW w:w="3420" w:type="dxa"/>
            <w:tcBorders>
              <w:top w:val="single" w:sz="12" w:space="0" w:color="auto"/>
              <w:bottom w:val="single" w:sz="4"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407 584 932 000</w:t>
            </w:r>
            <w:r w:rsidR="00860D09" w:rsidRPr="0071782F">
              <w:rPr>
                <w:sz w:val="18"/>
                <w:lang w:val="fr-CH"/>
              </w:rPr>
              <w:t> rials</w:t>
            </w:r>
          </w:p>
        </w:tc>
      </w:tr>
      <w:tr w:rsidR="00963C03" w:rsidRPr="0071782F" w:rsidTr="00277E50">
        <w:tc>
          <w:tcPr>
            <w:tcW w:w="1008" w:type="dxa"/>
            <w:tcBorders>
              <w:top w:val="single" w:sz="4" w:space="0" w:color="auto"/>
            </w:tcBorders>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2008</w:t>
            </w:r>
          </w:p>
        </w:tc>
        <w:tc>
          <w:tcPr>
            <w:tcW w:w="3420" w:type="dxa"/>
            <w:tcBorders>
              <w:top w:val="single" w:sz="4"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356 990 034 000</w:t>
            </w:r>
            <w:r w:rsidR="00860D09" w:rsidRPr="0071782F">
              <w:rPr>
                <w:sz w:val="18"/>
                <w:lang w:val="fr-CH"/>
              </w:rPr>
              <w:t> rials</w:t>
            </w:r>
          </w:p>
        </w:tc>
      </w:tr>
    </w:tbl>
    <w:p w:rsidR="00963C03" w:rsidRPr="0071782F" w:rsidRDefault="00963C03" w:rsidP="00AA22EB">
      <w:pPr>
        <w:pStyle w:val="H23G"/>
        <w:rPr>
          <w:lang w:val="fr-CH"/>
        </w:rPr>
      </w:pPr>
      <w:r w:rsidRPr="0071782F">
        <w:rPr>
          <w:lang w:val="fr-CH"/>
        </w:rPr>
        <w:tab/>
      </w:r>
      <w:r w:rsidRPr="0071782F">
        <w:rPr>
          <w:lang w:val="fr-CH"/>
        </w:rPr>
        <w:tab/>
      </w:r>
      <w:r w:rsidR="002C0FAD" w:rsidRPr="0071782F">
        <w:rPr>
          <w:lang w:val="fr-CH"/>
        </w:rPr>
        <w:t xml:space="preserve">Publications périodiques ventilées par propriétaire </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6295"/>
        <w:gridCol w:w="1075"/>
      </w:tblGrid>
      <w:tr w:rsidR="00963C03" w:rsidRPr="0071782F">
        <w:trPr>
          <w:tblHeader/>
        </w:trPr>
        <w:tc>
          <w:tcPr>
            <w:tcW w:w="6858" w:type="dxa"/>
            <w:tcBorders>
              <w:top w:val="single" w:sz="4" w:space="0" w:color="auto"/>
              <w:bottom w:val="single" w:sz="12" w:space="0" w:color="auto"/>
            </w:tcBorders>
            <w:shd w:val="clear" w:color="auto" w:fill="auto"/>
            <w:vAlign w:val="bottom"/>
          </w:tcPr>
          <w:p w:rsidR="00963C03" w:rsidRPr="0071782F" w:rsidRDefault="002C0FAD" w:rsidP="00881286">
            <w:pPr>
              <w:suppressAutoHyphens w:val="0"/>
              <w:spacing w:before="80" w:after="80" w:line="200" w:lineRule="exact"/>
              <w:rPr>
                <w:i/>
                <w:sz w:val="16"/>
                <w:lang w:val="fr-CH"/>
              </w:rPr>
            </w:pPr>
            <w:r w:rsidRPr="0071782F">
              <w:rPr>
                <w:i/>
                <w:sz w:val="16"/>
                <w:lang w:val="fr-CH"/>
              </w:rPr>
              <w:t xml:space="preserve">Propriétaire </w:t>
            </w:r>
          </w:p>
        </w:tc>
        <w:tc>
          <w:tcPr>
            <w:tcW w:w="1170"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w:t>
            </w:r>
          </w:p>
        </w:tc>
      </w:tr>
      <w:tr w:rsidR="00963C03" w:rsidRPr="0071782F">
        <w:tc>
          <w:tcPr>
            <w:tcW w:w="6858" w:type="dxa"/>
            <w:tcBorders>
              <w:top w:val="single" w:sz="12" w:space="0" w:color="auto"/>
            </w:tcBorders>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P</w:t>
            </w:r>
            <w:r w:rsidR="000011B3" w:rsidRPr="0071782F">
              <w:rPr>
                <w:sz w:val="18"/>
                <w:lang w:val="fr-CH"/>
              </w:rPr>
              <w:t>ersonnes</w:t>
            </w:r>
            <w:r w:rsidRPr="0071782F">
              <w:rPr>
                <w:sz w:val="18"/>
                <w:lang w:val="fr-CH"/>
              </w:rPr>
              <w:t xml:space="preserve"> physiques</w:t>
            </w:r>
          </w:p>
        </w:tc>
        <w:tc>
          <w:tcPr>
            <w:tcW w:w="1170"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65</w:t>
            </w:r>
            <w:r w:rsidR="00881286" w:rsidRPr="0071782F">
              <w:rPr>
                <w:sz w:val="18"/>
                <w:lang w:val="fr-CH"/>
              </w:rPr>
              <w:t>,</w:t>
            </w:r>
            <w:r w:rsidRPr="0071782F">
              <w:rPr>
                <w:sz w:val="18"/>
                <w:lang w:val="fr-CH"/>
              </w:rPr>
              <w:t>3</w:t>
            </w:r>
          </w:p>
        </w:tc>
      </w:tr>
      <w:tr w:rsidR="00963C03" w:rsidRPr="0071782F">
        <w:tc>
          <w:tcPr>
            <w:tcW w:w="6858" w:type="dxa"/>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O</w:t>
            </w:r>
            <w:r w:rsidR="00963C03" w:rsidRPr="0071782F">
              <w:rPr>
                <w:sz w:val="18"/>
                <w:lang w:val="fr-CH"/>
              </w:rPr>
              <w:t>rgani</w:t>
            </w:r>
            <w:r w:rsidRPr="0071782F">
              <w:rPr>
                <w:sz w:val="18"/>
                <w:lang w:val="fr-CH"/>
              </w:rPr>
              <w:t>s</w:t>
            </w:r>
            <w:r w:rsidR="00963C03" w:rsidRPr="0071782F">
              <w:rPr>
                <w:sz w:val="18"/>
                <w:lang w:val="fr-CH"/>
              </w:rPr>
              <w:t xml:space="preserve">ations, </w:t>
            </w:r>
            <w:r w:rsidRPr="0071782F">
              <w:rPr>
                <w:sz w:val="18"/>
                <w:lang w:val="fr-CH"/>
              </w:rPr>
              <w:t>organismes</w:t>
            </w:r>
            <w:r w:rsidR="00963C03" w:rsidRPr="0071782F">
              <w:rPr>
                <w:sz w:val="18"/>
                <w:lang w:val="fr-CH"/>
              </w:rPr>
              <w:t>, institutions</w:t>
            </w:r>
            <w:r w:rsidRPr="0071782F">
              <w:rPr>
                <w:sz w:val="18"/>
                <w:lang w:val="fr-CH"/>
              </w:rPr>
              <w:t xml:space="preserve"> et fondations publiques </w:t>
            </w:r>
          </w:p>
        </w:tc>
        <w:tc>
          <w:tcPr>
            <w:tcW w:w="11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17</w:t>
            </w:r>
            <w:r w:rsidR="00881286" w:rsidRPr="0071782F">
              <w:rPr>
                <w:sz w:val="18"/>
                <w:lang w:val="fr-CH"/>
              </w:rPr>
              <w:t>,</w:t>
            </w:r>
            <w:r w:rsidRPr="0071782F">
              <w:rPr>
                <w:sz w:val="18"/>
                <w:lang w:val="fr-CH"/>
              </w:rPr>
              <w:t>9</w:t>
            </w:r>
          </w:p>
        </w:tc>
      </w:tr>
      <w:tr w:rsidR="00963C03" w:rsidRPr="0071782F">
        <w:tc>
          <w:tcPr>
            <w:tcW w:w="6858" w:type="dxa"/>
            <w:shd w:val="clear" w:color="auto" w:fill="auto"/>
          </w:tcPr>
          <w:p w:rsidR="00963C03" w:rsidRPr="0071782F" w:rsidRDefault="002C0FAD" w:rsidP="00881286">
            <w:pPr>
              <w:suppressAutoHyphens w:val="0"/>
              <w:spacing w:before="40" w:after="40" w:line="220" w:lineRule="exact"/>
              <w:rPr>
                <w:sz w:val="18"/>
                <w:lang w:val="fr-CH"/>
              </w:rPr>
            </w:pPr>
            <w:r w:rsidRPr="0071782F">
              <w:rPr>
                <w:sz w:val="18"/>
                <w:lang w:val="fr-CH"/>
              </w:rPr>
              <w:t>Organis</w:t>
            </w:r>
            <w:r w:rsidR="00963C03" w:rsidRPr="0071782F">
              <w:rPr>
                <w:sz w:val="18"/>
                <w:lang w:val="fr-CH"/>
              </w:rPr>
              <w:t xml:space="preserve">ations </w:t>
            </w:r>
            <w:r w:rsidRPr="0071782F">
              <w:rPr>
                <w:sz w:val="18"/>
                <w:lang w:val="fr-CH"/>
              </w:rPr>
              <w:t>et</w:t>
            </w:r>
            <w:r w:rsidR="00963C03" w:rsidRPr="0071782F">
              <w:rPr>
                <w:sz w:val="18"/>
                <w:lang w:val="fr-CH"/>
              </w:rPr>
              <w:t xml:space="preserve"> institutions</w:t>
            </w:r>
            <w:r w:rsidRPr="0071782F">
              <w:rPr>
                <w:sz w:val="18"/>
                <w:lang w:val="fr-CH"/>
              </w:rPr>
              <w:t xml:space="preserve"> non gouvernementales</w:t>
            </w:r>
          </w:p>
        </w:tc>
        <w:tc>
          <w:tcPr>
            <w:tcW w:w="117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16</w:t>
            </w:r>
            <w:r w:rsidR="00881286" w:rsidRPr="0071782F">
              <w:rPr>
                <w:sz w:val="18"/>
                <w:lang w:val="fr-CH"/>
              </w:rPr>
              <w:t>,</w:t>
            </w:r>
            <w:r w:rsidRPr="0071782F">
              <w:rPr>
                <w:sz w:val="18"/>
                <w:lang w:val="fr-CH"/>
              </w:rPr>
              <w:t>8</w:t>
            </w:r>
          </w:p>
        </w:tc>
      </w:tr>
    </w:tbl>
    <w:p w:rsidR="00963C03" w:rsidRPr="00240E7D" w:rsidRDefault="00963C03" w:rsidP="005F12CE">
      <w:pPr>
        <w:pStyle w:val="SingleTxtG"/>
        <w:spacing w:before="240"/>
        <w:rPr>
          <w:spacing w:val="-2"/>
          <w:lang w:val="fr-CH"/>
        </w:rPr>
      </w:pPr>
      <w:r w:rsidRPr="00240E7D">
        <w:rPr>
          <w:spacing w:val="-2"/>
          <w:lang w:val="fr-CH"/>
        </w:rPr>
        <w:t>466.</w:t>
      </w:r>
      <w:r w:rsidRPr="00240E7D">
        <w:rPr>
          <w:spacing w:val="-2"/>
          <w:lang w:val="fr-CH"/>
        </w:rPr>
        <w:tab/>
      </w:r>
      <w:r w:rsidR="00EE0C6E" w:rsidRPr="00240E7D">
        <w:rPr>
          <w:spacing w:val="-2"/>
          <w:lang w:val="fr-CH"/>
        </w:rPr>
        <w:t>Les responsables du Département des questions cinématographiques et audiovisuelles ont prévu trois grands programmes</w:t>
      </w:r>
      <w:r w:rsidR="008F7D33" w:rsidRPr="00240E7D">
        <w:rPr>
          <w:spacing w:val="-2"/>
          <w:lang w:val="fr-CH"/>
        </w:rPr>
        <w:t>:</w:t>
      </w:r>
      <w:r w:rsidRPr="00240E7D">
        <w:rPr>
          <w:spacing w:val="-2"/>
          <w:lang w:val="fr-CH"/>
        </w:rPr>
        <w:t xml:space="preserve"> </w:t>
      </w:r>
      <w:r w:rsidR="00EE0C6E" w:rsidRPr="00240E7D">
        <w:rPr>
          <w:spacing w:val="-2"/>
          <w:lang w:val="fr-CH"/>
        </w:rPr>
        <w:t xml:space="preserve">le </w:t>
      </w:r>
      <w:r w:rsidRPr="00240E7D">
        <w:rPr>
          <w:spacing w:val="-2"/>
          <w:lang w:val="fr-CH"/>
        </w:rPr>
        <w:t xml:space="preserve">plan </w:t>
      </w:r>
      <w:r w:rsidR="00EE0C6E" w:rsidRPr="00240E7D">
        <w:rPr>
          <w:spacing w:val="-2"/>
          <w:lang w:val="fr-CH"/>
        </w:rPr>
        <w:t>pour la production de films de qualité</w:t>
      </w:r>
      <w:r w:rsidRPr="00240E7D">
        <w:rPr>
          <w:spacing w:val="-2"/>
          <w:lang w:val="fr-CH"/>
        </w:rPr>
        <w:t xml:space="preserve">, </w:t>
      </w:r>
      <w:r w:rsidR="00EE0C6E" w:rsidRPr="00240E7D">
        <w:rPr>
          <w:spacing w:val="-2"/>
          <w:lang w:val="fr-CH"/>
        </w:rPr>
        <w:t xml:space="preserve">le plan pour la création de théâtres de qualité et le </w:t>
      </w:r>
      <w:r w:rsidRPr="00240E7D">
        <w:rPr>
          <w:spacing w:val="-2"/>
          <w:lang w:val="fr-CH"/>
        </w:rPr>
        <w:t xml:space="preserve">plan </w:t>
      </w:r>
      <w:r w:rsidR="00EE0C6E" w:rsidRPr="00240E7D">
        <w:rPr>
          <w:spacing w:val="-2"/>
          <w:lang w:val="fr-CH"/>
        </w:rPr>
        <w:t>pour des projections de qualité</w:t>
      </w:r>
      <w:r w:rsidRPr="00240E7D">
        <w:rPr>
          <w:spacing w:val="-2"/>
          <w:lang w:val="fr-CH"/>
        </w:rPr>
        <w:t>.</w:t>
      </w:r>
    </w:p>
    <w:p w:rsidR="00963C03" w:rsidRPr="0071782F" w:rsidRDefault="00963C03" w:rsidP="00AA22EB">
      <w:pPr>
        <w:pStyle w:val="SingleTxtG"/>
        <w:rPr>
          <w:lang w:val="fr-CH"/>
        </w:rPr>
      </w:pPr>
      <w:r w:rsidRPr="0071782F">
        <w:rPr>
          <w:lang w:val="fr-CH"/>
        </w:rPr>
        <w:t>467.</w:t>
      </w:r>
      <w:r w:rsidRPr="0071782F">
        <w:rPr>
          <w:lang w:val="fr-CH"/>
        </w:rPr>
        <w:tab/>
      </w:r>
      <w:r w:rsidR="007A5611" w:rsidRPr="0071782F">
        <w:rPr>
          <w:lang w:val="fr-CH"/>
        </w:rPr>
        <w:t>Dans cet ordre d’idées, les programmes ci-après sont en cours d’exécution</w:t>
      </w:r>
      <w:r w:rsidR="008F7D33" w:rsidRPr="0071782F">
        <w:rPr>
          <w:lang w:val="fr-CH"/>
        </w:rPr>
        <w:t>:</w:t>
      </w:r>
      <w:r w:rsidR="007A5611" w:rsidRPr="0071782F">
        <w:rPr>
          <w:lang w:val="fr-CH"/>
        </w:rPr>
        <w:t xml:space="preserve"> le Programme d’appui à des productions cinématographiques de grande qualité, le Programme intégré de </w:t>
      </w:r>
      <w:r w:rsidRPr="0071782F">
        <w:rPr>
          <w:lang w:val="fr-CH"/>
        </w:rPr>
        <w:t>r</w:t>
      </w:r>
      <w:r w:rsidR="007A5611" w:rsidRPr="0071782F">
        <w:rPr>
          <w:lang w:val="fr-CH"/>
        </w:rPr>
        <w:t>é</w:t>
      </w:r>
      <w:r w:rsidRPr="0071782F">
        <w:rPr>
          <w:lang w:val="fr-CH"/>
        </w:rPr>
        <w:t xml:space="preserve">novation </w:t>
      </w:r>
      <w:r w:rsidR="007A5611" w:rsidRPr="0071782F">
        <w:rPr>
          <w:lang w:val="fr-CH"/>
        </w:rPr>
        <w:t>des techniques et équipements de production et de projection de films</w:t>
      </w:r>
      <w:r w:rsidRPr="0071782F">
        <w:rPr>
          <w:lang w:val="fr-CH"/>
        </w:rPr>
        <w:t xml:space="preserve">, </w:t>
      </w:r>
      <w:r w:rsidR="007A5611" w:rsidRPr="0071782F">
        <w:rPr>
          <w:lang w:val="fr-CH"/>
        </w:rPr>
        <w:t xml:space="preserve">et les </w:t>
      </w:r>
      <w:r w:rsidRPr="0071782F">
        <w:rPr>
          <w:lang w:val="fr-CH"/>
        </w:rPr>
        <w:t>program</w:t>
      </w:r>
      <w:r w:rsidR="007A5611" w:rsidRPr="0071782F">
        <w:rPr>
          <w:lang w:val="fr-CH"/>
        </w:rPr>
        <w:t xml:space="preserve">mes de </w:t>
      </w:r>
      <w:r w:rsidRPr="0071782F">
        <w:rPr>
          <w:lang w:val="fr-CH"/>
        </w:rPr>
        <w:t>r</w:t>
      </w:r>
      <w:r w:rsidR="007A5611" w:rsidRPr="0071782F">
        <w:rPr>
          <w:lang w:val="fr-CH"/>
        </w:rPr>
        <w:t>é</w:t>
      </w:r>
      <w:r w:rsidRPr="0071782F">
        <w:rPr>
          <w:lang w:val="fr-CH"/>
        </w:rPr>
        <w:t xml:space="preserve">novation </w:t>
      </w:r>
      <w:r w:rsidR="007A5611" w:rsidRPr="0071782F">
        <w:rPr>
          <w:lang w:val="fr-CH"/>
        </w:rPr>
        <w:t>des cinémas</w:t>
      </w:r>
      <w:r w:rsidRPr="0071782F">
        <w:rPr>
          <w:lang w:val="fr-CH"/>
        </w:rPr>
        <w:t xml:space="preserve">, </w:t>
      </w:r>
      <w:r w:rsidR="007A5611" w:rsidRPr="0071782F">
        <w:rPr>
          <w:lang w:val="fr-CH"/>
        </w:rPr>
        <w:t xml:space="preserve">d’aide à la </w:t>
      </w:r>
      <w:r w:rsidRPr="0071782F">
        <w:rPr>
          <w:lang w:val="fr-CH"/>
        </w:rPr>
        <w:t xml:space="preserve">construction </w:t>
      </w:r>
      <w:r w:rsidR="007A5611" w:rsidRPr="0071782F">
        <w:rPr>
          <w:lang w:val="fr-CH"/>
        </w:rPr>
        <w:t>de nouveaux cinémas</w:t>
      </w:r>
      <w:r w:rsidRPr="0071782F">
        <w:rPr>
          <w:lang w:val="fr-CH"/>
        </w:rPr>
        <w:t xml:space="preserve">, </w:t>
      </w:r>
      <w:r w:rsidR="007A5611" w:rsidRPr="0071782F">
        <w:rPr>
          <w:lang w:val="fr-CH"/>
        </w:rPr>
        <w:t xml:space="preserve">de </w:t>
      </w:r>
      <w:r w:rsidRPr="0071782F">
        <w:rPr>
          <w:lang w:val="fr-CH"/>
        </w:rPr>
        <w:t xml:space="preserve">protection </w:t>
      </w:r>
      <w:r w:rsidR="007A5611" w:rsidRPr="0071782F">
        <w:rPr>
          <w:lang w:val="fr-CH"/>
        </w:rPr>
        <w:t xml:space="preserve">des consommateurs et producteurs du cinéma iranien, d’appui à la projection des productions </w:t>
      </w:r>
      <w:r w:rsidRPr="0071782F">
        <w:rPr>
          <w:lang w:val="fr-CH"/>
        </w:rPr>
        <w:t>international</w:t>
      </w:r>
      <w:r w:rsidR="007A5611" w:rsidRPr="0071782F">
        <w:rPr>
          <w:lang w:val="fr-CH"/>
        </w:rPr>
        <w:t>es</w:t>
      </w:r>
      <w:r w:rsidRPr="0071782F">
        <w:rPr>
          <w:lang w:val="fr-CH"/>
        </w:rPr>
        <w:t xml:space="preserve"> </w:t>
      </w:r>
      <w:r w:rsidR="007A5611" w:rsidRPr="0071782F">
        <w:rPr>
          <w:lang w:val="fr-CH"/>
        </w:rPr>
        <w:t>du cinéma iranien</w:t>
      </w:r>
      <w:r w:rsidRPr="0071782F">
        <w:rPr>
          <w:lang w:val="fr-CH"/>
        </w:rPr>
        <w:t xml:space="preserve">, </w:t>
      </w:r>
      <w:r w:rsidR="007A5611" w:rsidRPr="0071782F">
        <w:rPr>
          <w:lang w:val="fr-CH"/>
        </w:rPr>
        <w:t xml:space="preserve">d’appui à la </w:t>
      </w:r>
      <w:r w:rsidRPr="0071782F">
        <w:rPr>
          <w:lang w:val="fr-CH"/>
        </w:rPr>
        <w:t xml:space="preserve">distribution </w:t>
      </w:r>
      <w:r w:rsidR="007A5611" w:rsidRPr="0071782F">
        <w:rPr>
          <w:lang w:val="fr-CH"/>
        </w:rPr>
        <w:t xml:space="preserve">de produits </w:t>
      </w:r>
      <w:r w:rsidRPr="0071782F">
        <w:rPr>
          <w:lang w:val="fr-CH"/>
        </w:rPr>
        <w:t>cin</w:t>
      </w:r>
      <w:r w:rsidR="007A5611" w:rsidRPr="0071782F">
        <w:rPr>
          <w:lang w:val="fr-CH"/>
        </w:rPr>
        <w:t>é</w:t>
      </w:r>
      <w:r w:rsidRPr="0071782F">
        <w:rPr>
          <w:lang w:val="fr-CH"/>
        </w:rPr>
        <w:t>mat</w:t>
      </w:r>
      <w:r w:rsidR="007A5611" w:rsidRPr="0071782F">
        <w:rPr>
          <w:lang w:val="fr-CH"/>
        </w:rPr>
        <w:t>ographiques à usage national</w:t>
      </w:r>
      <w:r w:rsidRPr="0071782F">
        <w:rPr>
          <w:lang w:val="fr-CH"/>
        </w:rPr>
        <w:t xml:space="preserve">, </w:t>
      </w:r>
      <w:r w:rsidR="007A5611" w:rsidRPr="0071782F">
        <w:rPr>
          <w:lang w:val="fr-CH"/>
        </w:rPr>
        <w:t>d’appui aux jeunes cinéastes</w:t>
      </w:r>
      <w:r w:rsidRPr="0071782F">
        <w:rPr>
          <w:lang w:val="fr-CH"/>
        </w:rPr>
        <w:t xml:space="preserve">, </w:t>
      </w:r>
      <w:r w:rsidR="007A5611" w:rsidRPr="0071782F">
        <w:rPr>
          <w:lang w:val="fr-CH"/>
        </w:rPr>
        <w:t xml:space="preserve">de </w:t>
      </w:r>
      <w:r w:rsidRPr="0071782F">
        <w:rPr>
          <w:lang w:val="fr-CH"/>
        </w:rPr>
        <w:t xml:space="preserve">promotion </w:t>
      </w:r>
      <w:r w:rsidR="007A5611" w:rsidRPr="0071782F">
        <w:rPr>
          <w:lang w:val="fr-CH"/>
        </w:rPr>
        <w:t>de films documentaires et d’</w:t>
      </w:r>
      <w:r w:rsidRPr="0071782F">
        <w:rPr>
          <w:lang w:val="fr-CH"/>
        </w:rPr>
        <w:t xml:space="preserve">animation, </w:t>
      </w:r>
      <w:r w:rsidR="007A5611" w:rsidRPr="0071782F">
        <w:rPr>
          <w:lang w:val="fr-CH"/>
        </w:rPr>
        <w:t xml:space="preserve">de </w:t>
      </w:r>
      <w:r w:rsidRPr="0071782F">
        <w:rPr>
          <w:lang w:val="fr-CH"/>
        </w:rPr>
        <w:t xml:space="preserve">construction </w:t>
      </w:r>
      <w:r w:rsidR="007A5611" w:rsidRPr="0071782F">
        <w:rPr>
          <w:lang w:val="fr-CH"/>
        </w:rPr>
        <w:t xml:space="preserve">de la ville du cinéma de </w:t>
      </w:r>
      <w:r w:rsidRPr="0071782F">
        <w:rPr>
          <w:lang w:val="fr-CH"/>
        </w:rPr>
        <w:t>Hashtgerd</w:t>
      </w:r>
      <w:r w:rsidR="007A5611" w:rsidRPr="0071782F">
        <w:rPr>
          <w:lang w:val="fr-CH"/>
        </w:rPr>
        <w:t xml:space="preserve"> et de la création de la Fondation </w:t>
      </w:r>
      <w:r w:rsidRPr="0071782F">
        <w:rPr>
          <w:lang w:val="fr-CH"/>
        </w:rPr>
        <w:t>national</w:t>
      </w:r>
      <w:r w:rsidR="007A5611" w:rsidRPr="0071782F">
        <w:rPr>
          <w:lang w:val="fr-CH"/>
        </w:rPr>
        <w:t>e des jeux électroniques</w:t>
      </w:r>
      <w:r w:rsidRPr="0071782F">
        <w:rPr>
          <w:lang w:val="fr-CH"/>
        </w:rPr>
        <w:t>.</w:t>
      </w:r>
    </w:p>
    <w:p w:rsidR="00963C03" w:rsidRPr="00240E7D" w:rsidRDefault="00963C03" w:rsidP="00AA22EB">
      <w:pPr>
        <w:pStyle w:val="SingleTxtG"/>
        <w:rPr>
          <w:spacing w:val="-2"/>
          <w:lang w:val="fr-CH"/>
        </w:rPr>
      </w:pPr>
      <w:r w:rsidRPr="00240E7D">
        <w:rPr>
          <w:spacing w:val="-2"/>
          <w:lang w:val="fr-CH"/>
        </w:rPr>
        <w:t>468.</w:t>
      </w:r>
      <w:r w:rsidRPr="00240E7D">
        <w:rPr>
          <w:spacing w:val="-2"/>
          <w:lang w:val="fr-CH"/>
        </w:rPr>
        <w:tab/>
      </w:r>
      <w:r w:rsidR="00BD35A4" w:rsidRPr="00240E7D">
        <w:rPr>
          <w:spacing w:val="-2"/>
          <w:lang w:val="fr-CH"/>
        </w:rPr>
        <w:t xml:space="preserve">L’augmentation des </w:t>
      </w:r>
      <w:r w:rsidRPr="00240E7D">
        <w:rPr>
          <w:spacing w:val="-2"/>
          <w:lang w:val="fr-CH"/>
        </w:rPr>
        <w:t xml:space="preserve">indices </w:t>
      </w:r>
      <w:r w:rsidR="00BD35A4" w:rsidRPr="00240E7D">
        <w:rPr>
          <w:spacing w:val="-2"/>
          <w:lang w:val="fr-CH"/>
        </w:rPr>
        <w:t xml:space="preserve">de ce secteur fait apparaître une croissance moyenne annuelle de </w:t>
      </w:r>
      <w:r w:rsidRPr="00240E7D">
        <w:rPr>
          <w:spacing w:val="-2"/>
          <w:lang w:val="fr-CH"/>
        </w:rPr>
        <w:t>15</w:t>
      </w:r>
      <w:r w:rsidR="00BD35A4" w:rsidRPr="00240E7D">
        <w:rPr>
          <w:spacing w:val="-2"/>
          <w:lang w:val="fr-CH"/>
        </w:rPr>
        <w:t>,</w:t>
      </w:r>
      <w:r w:rsidRPr="00240E7D">
        <w:rPr>
          <w:spacing w:val="-2"/>
          <w:lang w:val="fr-CH"/>
        </w:rPr>
        <w:t>47</w:t>
      </w:r>
      <w:r w:rsidR="007E5125" w:rsidRPr="00240E7D">
        <w:rPr>
          <w:spacing w:val="-2"/>
          <w:lang w:val="fr-CH"/>
        </w:rPr>
        <w:t>%</w:t>
      </w:r>
      <w:r w:rsidR="00BD35A4" w:rsidRPr="00240E7D">
        <w:rPr>
          <w:spacing w:val="-2"/>
          <w:lang w:val="fr-CH"/>
        </w:rPr>
        <w:t xml:space="preserve"> pour la </w:t>
      </w:r>
      <w:r w:rsidRPr="00240E7D">
        <w:rPr>
          <w:spacing w:val="-2"/>
          <w:lang w:val="fr-CH"/>
        </w:rPr>
        <w:t xml:space="preserve">production </w:t>
      </w:r>
      <w:r w:rsidR="00BD35A4" w:rsidRPr="00240E7D">
        <w:rPr>
          <w:spacing w:val="-2"/>
          <w:lang w:val="fr-CH"/>
        </w:rPr>
        <w:t>de</w:t>
      </w:r>
      <w:r w:rsidRPr="00240E7D">
        <w:rPr>
          <w:spacing w:val="-2"/>
          <w:lang w:val="fr-CH"/>
        </w:rPr>
        <w:t xml:space="preserve"> films, </w:t>
      </w:r>
      <w:r w:rsidR="00BD35A4" w:rsidRPr="00240E7D">
        <w:rPr>
          <w:spacing w:val="-2"/>
          <w:lang w:val="fr-CH"/>
        </w:rPr>
        <w:t xml:space="preserve">passée de </w:t>
      </w:r>
      <w:r w:rsidRPr="00240E7D">
        <w:rPr>
          <w:spacing w:val="-2"/>
          <w:lang w:val="fr-CH"/>
        </w:rPr>
        <w:t xml:space="preserve">75 </w:t>
      </w:r>
      <w:r w:rsidR="00BD35A4" w:rsidRPr="00240E7D">
        <w:rPr>
          <w:spacing w:val="-2"/>
          <w:lang w:val="fr-CH"/>
        </w:rPr>
        <w:t>à</w:t>
      </w:r>
      <w:r w:rsidRPr="00240E7D">
        <w:rPr>
          <w:spacing w:val="-2"/>
          <w:lang w:val="fr-CH"/>
        </w:rPr>
        <w:t xml:space="preserve"> 100 tit</w:t>
      </w:r>
      <w:r w:rsidR="00BD35A4" w:rsidRPr="00240E7D">
        <w:rPr>
          <w:spacing w:val="-2"/>
          <w:lang w:val="fr-CH"/>
        </w:rPr>
        <w:t xml:space="preserve">res, et une croissance de </w:t>
      </w:r>
      <w:r w:rsidRPr="00240E7D">
        <w:rPr>
          <w:spacing w:val="-2"/>
          <w:lang w:val="fr-CH"/>
        </w:rPr>
        <w:t>65</w:t>
      </w:r>
      <w:r w:rsidR="00BD35A4" w:rsidRPr="00240E7D">
        <w:rPr>
          <w:spacing w:val="-2"/>
          <w:lang w:val="fr-CH"/>
        </w:rPr>
        <w:t>,</w:t>
      </w:r>
      <w:r w:rsidRPr="00240E7D">
        <w:rPr>
          <w:spacing w:val="-2"/>
          <w:lang w:val="fr-CH"/>
        </w:rPr>
        <w:t>39</w:t>
      </w:r>
      <w:r w:rsidR="007E5125" w:rsidRPr="00240E7D">
        <w:rPr>
          <w:spacing w:val="-2"/>
          <w:lang w:val="fr-CH"/>
        </w:rPr>
        <w:t>%</w:t>
      </w:r>
      <w:r w:rsidR="00BD35A4" w:rsidRPr="00240E7D">
        <w:rPr>
          <w:spacing w:val="-2"/>
          <w:lang w:val="fr-CH"/>
        </w:rPr>
        <w:t xml:space="preserve"> pour celle de courts métrages, passée de </w:t>
      </w:r>
      <w:r w:rsidRPr="00240E7D">
        <w:rPr>
          <w:spacing w:val="-2"/>
          <w:lang w:val="fr-CH"/>
        </w:rPr>
        <w:t>459 tit</w:t>
      </w:r>
      <w:r w:rsidR="00BD35A4" w:rsidRPr="00240E7D">
        <w:rPr>
          <w:spacing w:val="-2"/>
          <w:lang w:val="fr-CH"/>
        </w:rPr>
        <w:t>r</w:t>
      </w:r>
      <w:r w:rsidRPr="00240E7D">
        <w:rPr>
          <w:spacing w:val="-2"/>
          <w:lang w:val="fr-CH"/>
        </w:rPr>
        <w:t xml:space="preserve">es </w:t>
      </w:r>
      <w:r w:rsidR="00BD35A4" w:rsidRPr="00240E7D">
        <w:rPr>
          <w:spacing w:val="-2"/>
          <w:lang w:val="fr-CH"/>
        </w:rPr>
        <w:t xml:space="preserve">avant </w:t>
      </w:r>
      <w:r w:rsidRPr="00240E7D">
        <w:rPr>
          <w:spacing w:val="-2"/>
          <w:lang w:val="fr-CH"/>
        </w:rPr>
        <w:t xml:space="preserve">2007 </w:t>
      </w:r>
      <w:r w:rsidR="00BD35A4" w:rsidRPr="00240E7D">
        <w:rPr>
          <w:spacing w:val="-2"/>
          <w:lang w:val="fr-CH"/>
        </w:rPr>
        <w:t>à</w:t>
      </w:r>
      <w:r w:rsidRPr="00240E7D">
        <w:rPr>
          <w:spacing w:val="-2"/>
          <w:lang w:val="fr-CH"/>
        </w:rPr>
        <w:t xml:space="preserve"> 982 </w:t>
      </w:r>
      <w:r w:rsidR="00BD35A4" w:rsidRPr="00240E7D">
        <w:rPr>
          <w:spacing w:val="-2"/>
          <w:lang w:val="fr-CH"/>
        </w:rPr>
        <w:t>cette année-là</w:t>
      </w:r>
      <w:r w:rsidRPr="00240E7D">
        <w:rPr>
          <w:spacing w:val="-2"/>
          <w:lang w:val="fr-CH"/>
        </w:rPr>
        <w:t>.</w:t>
      </w:r>
    </w:p>
    <w:p w:rsidR="00963C03" w:rsidRPr="0071782F" w:rsidRDefault="00963C03" w:rsidP="00AA22EB">
      <w:pPr>
        <w:pStyle w:val="SingleTxtG"/>
        <w:rPr>
          <w:lang w:val="fr-CH"/>
        </w:rPr>
      </w:pPr>
      <w:r w:rsidRPr="0071782F">
        <w:rPr>
          <w:lang w:val="fr-CH"/>
        </w:rPr>
        <w:t>469.</w:t>
      </w:r>
      <w:r w:rsidRPr="0071782F">
        <w:rPr>
          <w:lang w:val="fr-CH"/>
        </w:rPr>
        <w:tab/>
      </w:r>
      <w:r w:rsidR="00BD35A4" w:rsidRPr="0071782F">
        <w:rPr>
          <w:lang w:val="fr-CH"/>
        </w:rPr>
        <w:t xml:space="preserve">De son côté, le nombre de cinémas en fonctionnement a augmenté de </w:t>
      </w:r>
      <w:r w:rsidRPr="0071782F">
        <w:rPr>
          <w:lang w:val="fr-CH"/>
        </w:rPr>
        <w:t>6</w:t>
      </w:r>
      <w:r w:rsidR="00BD35A4" w:rsidRPr="0071782F">
        <w:rPr>
          <w:lang w:val="fr-CH"/>
        </w:rPr>
        <w:t>,</w:t>
      </w:r>
      <w:r w:rsidRPr="0071782F">
        <w:rPr>
          <w:lang w:val="fr-CH"/>
        </w:rPr>
        <w:t>32</w:t>
      </w:r>
      <w:r w:rsidR="007E5125" w:rsidRPr="0071782F">
        <w:rPr>
          <w:lang w:val="fr-CH"/>
        </w:rPr>
        <w:t>%</w:t>
      </w:r>
      <w:r w:rsidR="00BD35A4" w:rsidRPr="0071782F">
        <w:rPr>
          <w:lang w:val="fr-CH"/>
        </w:rPr>
        <w:t xml:space="preserve"> par an entre 2005 et </w:t>
      </w:r>
      <w:r w:rsidRPr="0071782F">
        <w:rPr>
          <w:lang w:val="fr-CH"/>
        </w:rPr>
        <w:t>2007.</w:t>
      </w:r>
    </w:p>
    <w:p w:rsidR="00963C03" w:rsidRPr="0071782F" w:rsidRDefault="00963C03" w:rsidP="00AA22EB">
      <w:pPr>
        <w:pStyle w:val="SingleTxtG"/>
        <w:rPr>
          <w:lang w:val="fr-CH"/>
        </w:rPr>
      </w:pPr>
      <w:r w:rsidRPr="0071782F">
        <w:rPr>
          <w:lang w:val="fr-CH"/>
        </w:rPr>
        <w:t>470.</w:t>
      </w:r>
      <w:r w:rsidRPr="0071782F">
        <w:rPr>
          <w:lang w:val="fr-CH"/>
        </w:rPr>
        <w:tab/>
      </w:r>
      <w:r w:rsidR="00BD35A4" w:rsidRPr="0071782F">
        <w:rPr>
          <w:lang w:val="fr-CH"/>
        </w:rPr>
        <w:t>La p</w:t>
      </w:r>
      <w:r w:rsidRPr="0071782F">
        <w:rPr>
          <w:lang w:val="fr-CH"/>
        </w:rPr>
        <w:t xml:space="preserve">roduction </w:t>
      </w:r>
      <w:r w:rsidR="00BD35A4" w:rsidRPr="0071782F">
        <w:rPr>
          <w:lang w:val="fr-CH"/>
        </w:rPr>
        <w:t xml:space="preserve">de films </w:t>
      </w:r>
      <w:r w:rsidRPr="0071782F">
        <w:rPr>
          <w:lang w:val="fr-CH"/>
        </w:rPr>
        <w:t>vid</w:t>
      </w:r>
      <w:r w:rsidR="00BD35A4" w:rsidRPr="0071782F">
        <w:rPr>
          <w:lang w:val="fr-CH"/>
        </w:rPr>
        <w:t>é</w:t>
      </w:r>
      <w:r w:rsidRPr="0071782F">
        <w:rPr>
          <w:lang w:val="fr-CH"/>
        </w:rPr>
        <w:t xml:space="preserve">o </w:t>
      </w:r>
      <w:r w:rsidR="00BD35A4" w:rsidRPr="0071782F">
        <w:rPr>
          <w:lang w:val="fr-CH"/>
        </w:rPr>
        <w:t xml:space="preserve">a enregistré un taux de croissance annuel de </w:t>
      </w:r>
      <w:r w:rsidRPr="0071782F">
        <w:rPr>
          <w:lang w:val="fr-CH"/>
        </w:rPr>
        <w:t>30</w:t>
      </w:r>
      <w:r w:rsidR="00BD35A4" w:rsidRPr="0071782F">
        <w:rPr>
          <w:lang w:val="fr-CH"/>
        </w:rPr>
        <w:t>,</w:t>
      </w:r>
      <w:r w:rsidRPr="0071782F">
        <w:rPr>
          <w:lang w:val="fr-CH"/>
        </w:rPr>
        <w:t>09</w:t>
      </w:r>
      <w:r w:rsidR="007E5125" w:rsidRPr="0071782F">
        <w:rPr>
          <w:lang w:val="fr-CH"/>
        </w:rPr>
        <w:t>%</w:t>
      </w:r>
      <w:r w:rsidRPr="0071782F">
        <w:rPr>
          <w:lang w:val="fr-CH"/>
        </w:rPr>
        <w:t xml:space="preserve">. </w:t>
      </w:r>
      <w:r w:rsidR="00AC0072" w:rsidRPr="0071782F">
        <w:rPr>
          <w:lang w:val="fr-CH"/>
        </w:rPr>
        <w:t xml:space="preserve">En 2007, 154 films de ce type ont reçu des aides, contre 91 titres les années précédentes. </w:t>
      </w:r>
    </w:p>
    <w:p w:rsidR="00963C03" w:rsidRPr="0071782F" w:rsidRDefault="00963C03" w:rsidP="00AA22EB">
      <w:pPr>
        <w:pStyle w:val="SingleTxtG"/>
        <w:rPr>
          <w:lang w:val="fr-CH"/>
        </w:rPr>
      </w:pPr>
      <w:r w:rsidRPr="0071782F">
        <w:rPr>
          <w:lang w:val="fr-CH"/>
        </w:rPr>
        <w:t>471.</w:t>
      </w:r>
      <w:r w:rsidRPr="0071782F">
        <w:rPr>
          <w:lang w:val="fr-CH"/>
        </w:rPr>
        <w:tab/>
      </w:r>
      <w:r w:rsidR="00947425" w:rsidRPr="0071782F">
        <w:rPr>
          <w:lang w:val="fr-CH"/>
        </w:rPr>
        <w:t>Jusqu’en 2007, le pays organisait 23 festivals de cinéma et d’</w:t>
      </w:r>
      <w:r w:rsidR="00D5366B" w:rsidRPr="0071782F">
        <w:rPr>
          <w:lang w:val="fr-CH"/>
        </w:rPr>
        <w:t>œuvre</w:t>
      </w:r>
      <w:r w:rsidR="00947425" w:rsidRPr="0071782F">
        <w:rPr>
          <w:lang w:val="fr-CH"/>
        </w:rPr>
        <w:t xml:space="preserve">s audiovisuelles. Cette année-là, ce nombre est passé à 42, en augmentation de </w:t>
      </w:r>
      <w:r w:rsidRPr="0071782F">
        <w:rPr>
          <w:lang w:val="fr-CH"/>
        </w:rPr>
        <w:t>35</w:t>
      </w:r>
      <w:r w:rsidR="00947425" w:rsidRPr="0071782F">
        <w:rPr>
          <w:lang w:val="fr-CH"/>
        </w:rPr>
        <w:t>,</w:t>
      </w:r>
      <w:r w:rsidRPr="0071782F">
        <w:rPr>
          <w:lang w:val="fr-CH"/>
        </w:rPr>
        <w:t>13</w:t>
      </w:r>
      <w:r w:rsidR="007E5125" w:rsidRPr="0071782F">
        <w:rPr>
          <w:lang w:val="fr-CH"/>
        </w:rPr>
        <w:t>%</w:t>
      </w:r>
      <w:r w:rsidR="00947425" w:rsidRPr="0071782F">
        <w:rPr>
          <w:lang w:val="fr-CH"/>
        </w:rPr>
        <w:t xml:space="preserve"> </w:t>
      </w:r>
      <w:r w:rsidRPr="0071782F">
        <w:rPr>
          <w:lang w:val="fr-CH"/>
        </w:rPr>
        <w:t>per cent.</w:t>
      </w:r>
    </w:p>
    <w:p w:rsidR="00963C03" w:rsidRPr="0071782F" w:rsidRDefault="00963C03" w:rsidP="00AA22EB">
      <w:pPr>
        <w:pStyle w:val="SingleTxtG"/>
        <w:rPr>
          <w:lang w:val="fr-CH"/>
        </w:rPr>
      </w:pPr>
      <w:r w:rsidRPr="0071782F">
        <w:rPr>
          <w:lang w:val="fr-CH"/>
        </w:rPr>
        <w:t>472.</w:t>
      </w:r>
      <w:r w:rsidRPr="0071782F">
        <w:rPr>
          <w:lang w:val="fr-CH"/>
        </w:rPr>
        <w:tab/>
      </w:r>
      <w:r w:rsidR="00947425" w:rsidRPr="0071782F">
        <w:rPr>
          <w:lang w:val="fr-CH"/>
        </w:rPr>
        <w:t xml:space="preserve">Le Département de la </w:t>
      </w:r>
      <w:r w:rsidRPr="0071782F">
        <w:rPr>
          <w:lang w:val="fr-CH"/>
        </w:rPr>
        <w:t>press</w:t>
      </w:r>
      <w:r w:rsidR="00947425" w:rsidRPr="0071782F">
        <w:rPr>
          <w:lang w:val="fr-CH"/>
        </w:rPr>
        <w:t>e et de l’</w:t>
      </w:r>
      <w:r w:rsidRPr="0071782F">
        <w:rPr>
          <w:lang w:val="fr-CH"/>
        </w:rPr>
        <w:t xml:space="preserve">information </w:t>
      </w:r>
      <w:r w:rsidR="00947425" w:rsidRPr="0071782F">
        <w:rPr>
          <w:lang w:val="fr-CH"/>
        </w:rPr>
        <w:t>a basé son activité sur les mots d’ordre fon</w:t>
      </w:r>
      <w:r w:rsidRPr="0071782F">
        <w:rPr>
          <w:lang w:val="fr-CH"/>
        </w:rPr>
        <w:t>d</w:t>
      </w:r>
      <w:r w:rsidR="00947425" w:rsidRPr="0071782F">
        <w:rPr>
          <w:lang w:val="fr-CH"/>
        </w:rPr>
        <w:t xml:space="preserve">amentaux du neuvième gouvernement et applique les mots d’ordre et les programmes du </w:t>
      </w:r>
      <w:r w:rsidRPr="0071782F">
        <w:rPr>
          <w:lang w:val="fr-CH"/>
        </w:rPr>
        <w:t>Pr</w:t>
      </w:r>
      <w:r w:rsidR="00947425" w:rsidRPr="0071782F">
        <w:rPr>
          <w:lang w:val="fr-CH"/>
        </w:rPr>
        <w:t>é</w:t>
      </w:r>
      <w:r w:rsidRPr="0071782F">
        <w:rPr>
          <w:lang w:val="fr-CH"/>
        </w:rPr>
        <w:t xml:space="preserve">sident </w:t>
      </w:r>
      <w:r w:rsidR="00947425" w:rsidRPr="0071782F">
        <w:rPr>
          <w:lang w:val="fr-CH"/>
        </w:rPr>
        <w:t>et du Ministre de la c</w:t>
      </w:r>
      <w:r w:rsidRPr="0071782F">
        <w:rPr>
          <w:lang w:val="fr-CH"/>
        </w:rPr>
        <w:t xml:space="preserve">ulture </w:t>
      </w:r>
      <w:r w:rsidR="00947425" w:rsidRPr="0071782F">
        <w:rPr>
          <w:lang w:val="fr-CH"/>
        </w:rPr>
        <w:t>et de l’orientation i</w:t>
      </w:r>
      <w:r w:rsidRPr="0071782F">
        <w:rPr>
          <w:lang w:val="fr-CH"/>
        </w:rPr>
        <w:t>slami</w:t>
      </w:r>
      <w:r w:rsidR="00947425" w:rsidRPr="0071782F">
        <w:rPr>
          <w:lang w:val="fr-CH"/>
        </w:rPr>
        <w:t>que</w:t>
      </w:r>
      <w:r w:rsidRPr="0071782F">
        <w:rPr>
          <w:lang w:val="fr-CH"/>
        </w:rPr>
        <w:t>.</w:t>
      </w:r>
    </w:p>
    <w:p w:rsidR="00963C03" w:rsidRPr="0071782F" w:rsidRDefault="00963C03" w:rsidP="00AA22EB">
      <w:pPr>
        <w:pStyle w:val="SingleTxtG"/>
        <w:rPr>
          <w:lang w:val="fr-CH"/>
        </w:rPr>
      </w:pPr>
      <w:r w:rsidRPr="0071782F">
        <w:rPr>
          <w:lang w:val="fr-CH"/>
        </w:rPr>
        <w:t>473.</w:t>
      </w:r>
      <w:r w:rsidRPr="0071782F">
        <w:rPr>
          <w:lang w:val="fr-CH"/>
        </w:rPr>
        <w:tab/>
      </w:r>
      <w:r w:rsidR="001F1ED7" w:rsidRPr="0071782F">
        <w:rPr>
          <w:lang w:val="fr-CH"/>
        </w:rPr>
        <w:t>Parmi les activités menées dans ce domaine, on peut citer le système intégré des médias, l’Organisme d’appui à la presse</w:t>
      </w:r>
      <w:r w:rsidRPr="0071782F">
        <w:rPr>
          <w:lang w:val="fr-CH"/>
        </w:rPr>
        <w:t xml:space="preserve">, </w:t>
      </w:r>
      <w:r w:rsidR="001F1ED7" w:rsidRPr="0071782F">
        <w:rPr>
          <w:lang w:val="fr-CH"/>
        </w:rPr>
        <w:t>l’Organisme public de la publicité et la délivrance d’autorisations pour les publications périodiques, la priorité allant aux</w:t>
      </w:r>
      <w:r w:rsidRPr="0071782F">
        <w:rPr>
          <w:lang w:val="fr-CH"/>
        </w:rPr>
        <w:t xml:space="preserve"> provinces </w:t>
      </w:r>
      <w:r w:rsidR="001F1ED7" w:rsidRPr="0071782F">
        <w:rPr>
          <w:lang w:val="fr-CH"/>
        </w:rPr>
        <w:t>et aux régions défavorisées et aux publications techniques et étudiantes</w:t>
      </w:r>
      <w:r w:rsidRPr="0071782F">
        <w:rPr>
          <w:lang w:val="fr-CH"/>
        </w:rPr>
        <w:t>.</w:t>
      </w:r>
    </w:p>
    <w:p w:rsidR="00963C03" w:rsidRPr="0071782F" w:rsidRDefault="00963C03" w:rsidP="00AA22EB">
      <w:pPr>
        <w:pStyle w:val="H1G"/>
        <w:rPr>
          <w:lang w:val="fr-CH"/>
        </w:rPr>
      </w:pPr>
      <w:r w:rsidRPr="0071782F">
        <w:rPr>
          <w:lang w:val="fr-CH"/>
        </w:rPr>
        <w:tab/>
      </w:r>
      <w:r w:rsidRPr="0071782F">
        <w:rPr>
          <w:lang w:val="fr-CH"/>
        </w:rPr>
        <w:tab/>
      </w:r>
      <w:r w:rsidR="001F1ED7" w:rsidRPr="0071782F">
        <w:rPr>
          <w:lang w:val="fr-CH"/>
        </w:rPr>
        <w:t xml:space="preserve">Minorités religieuses et ethniques </w:t>
      </w:r>
    </w:p>
    <w:p w:rsidR="00963C03" w:rsidRPr="0071782F" w:rsidRDefault="00963C03" w:rsidP="00AA22EB">
      <w:pPr>
        <w:pStyle w:val="H23G"/>
        <w:rPr>
          <w:lang w:val="fr-CH"/>
        </w:rPr>
      </w:pPr>
      <w:r w:rsidRPr="0071782F">
        <w:rPr>
          <w:lang w:val="fr-CH"/>
        </w:rPr>
        <w:tab/>
      </w:r>
      <w:r w:rsidRPr="0071782F">
        <w:rPr>
          <w:lang w:val="fr-CH"/>
        </w:rPr>
        <w:tab/>
      </w:r>
      <w:r w:rsidR="001F1ED7" w:rsidRPr="0071782F">
        <w:rPr>
          <w:lang w:val="fr-CH"/>
        </w:rPr>
        <w:t xml:space="preserve">Minorités religieuses </w:t>
      </w:r>
    </w:p>
    <w:p w:rsidR="00963C03" w:rsidRPr="0071782F" w:rsidRDefault="00963C03" w:rsidP="00AA22EB">
      <w:pPr>
        <w:pStyle w:val="SingleTxtG"/>
        <w:rPr>
          <w:lang w:val="fr-CH"/>
        </w:rPr>
      </w:pPr>
      <w:r w:rsidRPr="0071782F">
        <w:rPr>
          <w:lang w:val="fr-CH"/>
        </w:rPr>
        <w:t>474.</w:t>
      </w:r>
      <w:r w:rsidRPr="0071782F">
        <w:rPr>
          <w:lang w:val="fr-CH"/>
        </w:rPr>
        <w:tab/>
      </w:r>
      <w:r w:rsidR="00C44748" w:rsidRPr="0071782F">
        <w:rPr>
          <w:lang w:val="fr-CH"/>
        </w:rPr>
        <w:t>L’attitude prédominante des musulmans iraniens à l’égard des minorités religieuses de la République islamique d’Iran consiste à c</w:t>
      </w:r>
      <w:r w:rsidRPr="0071782F">
        <w:rPr>
          <w:lang w:val="fr-CH"/>
        </w:rPr>
        <w:t>onsolid</w:t>
      </w:r>
      <w:r w:rsidR="00C44748" w:rsidRPr="0071782F">
        <w:rPr>
          <w:lang w:val="fr-CH"/>
        </w:rPr>
        <w:t>er les relations humanitaires et à renforcer la compréhension mutuelle et l’unité nationale</w:t>
      </w:r>
      <w:r w:rsidRPr="0071782F">
        <w:rPr>
          <w:lang w:val="fr-CH"/>
        </w:rPr>
        <w:t xml:space="preserve">. </w:t>
      </w:r>
      <w:r w:rsidR="00C44748" w:rsidRPr="0071782F">
        <w:rPr>
          <w:lang w:val="fr-CH"/>
        </w:rPr>
        <w:t>Des trois minorités religieuses officielles, à savoir les minorités chrétienne, juive et z</w:t>
      </w:r>
      <w:r w:rsidRPr="0071782F">
        <w:rPr>
          <w:lang w:val="fr-CH"/>
        </w:rPr>
        <w:t>oroastri</w:t>
      </w:r>
      <w:r w:rsidR="00C44748" w:rsidRPr="0071782F">
        <w:rPr>
          <w:lang w:val="fr-CH"/>
        </w:rPr>
        <w:t>enne</w:t>
      </w:r>
      <w:r w:rsidRPr="0071782F">
        <w:rPr>
          <w:lang w:val="fr-CH"/>
        </w:rPr>
        <w:t xml:space="preserve">, </w:t>
      </w:r>
      <w:r w:rsidR="00C44748" w:rsidRPr="0071782F">
        <w:rPr>
          <w:lang w:val="fr-CH"/>
        </w:rPr>
        <w:t>la première est la plus nombreuse</w:t>
      </w:r>
      <w:r w:rsidRPr="0071782F">
        <w:rPr>
          <w:lang w:val="fr-CH"/>
        </w:rPr>
        <w:t xml:space="preserve">. </w:t>
      </w:r>
      <w:r w:rsidR="00C44748" w:rsidRPr="0071782F">
        <w:rPr>
          <w:lang w:val="fr-CH"/>
        </w:rPr>
        <w:t xml:space="preserve">L’Iran compte plus de </w:t>
      </w:r>
      <w:r w:rsidRPr="0071782F">
        <w:rPr>
          <w:lang w:val="fr-CH"/>
        </w:rPr>
        <w:t>100</w:t>
      </w:r>
      <w:r w:rsidR="00C44748" w:rsidRPr="0071782F">
        <w:rPr>
          <w:lang w:val="fr-CH"/>
        </w:rPr>
        <w:t xml:space="preserve"> </w:t>
      </w:r>
      <w:r w:rsidRPr="0071782F">
        <w:rPr>
          <w:lang w:val="fr-CH"/>
        </w:rPr>
        <w:t xml:space="preserve">000 </w:t>
      </w:r>
      <w:r w:rsidR="00C44748" w:rsidRPr="0071782F">
        <w:rPr>
          <w:lang w:val="fr-CH"/>
        </w:rPr>
        <w:t>chrétiens, membres de sectes telles que celles des Arméniens, des</w:t>
      </w:r>
      <w:r w:rsidRPr="0071782F">
        <w:rPr>
          <w:lang w:val="fr-CH"/>
        </w:rPr>
        <w:t xml:space="preserve"> Assyri</w:t>
      </w:r>
      <w:r w:rsidR="00C44748" w:rsidRPr="0071782F">
        <w:rPr>
          <w:lang w:val="fr-CH"/>
        </w:rPr>
        <w:t>e</w:t>
      </w:r>
      <w:r w:rsidRPr="0071782F">
        <w:rPr>
          <w:lang w:val="fr-CH"/>
        </w:rPr>
        <w:t>ns</w:t>
      </w:r>
      <w:r w:rsidR="00C44748" w:rsidRPr="0071782F">
        <w:rPr>
          <w:lang w:val="fr-CH"/>
        </w:rPr>
        <w:t xml:space="preserve"> et des </w:t>
      </w:r>
      <w:r w:rsidRPr="0071782F">
        <w:rPr>
          <w:lang w:val="fr-CH"/>
        </w:rPr>
        <w:t>Chald</w:t>
      </w:r>
      <w:r w:rsidR="00C44748" w:rsidRPr="0071782F">
        <w:rPr>
          <w:lang w:val="fr-CH"/>
        </w:rPr>
        <w:t>éens c</w:t>
      </w:r>
      <w:r w:rsidRPr="0071782F">
        <w:rPr>
          <w:lang w:val="fr-CH"/>
        </w:rPr>
        <w:t>atholi</w:t>
      </w:r>
      <w:r w:rsidR="00C44748" w:rsidRPr="0071782F">
        <w:rPr>
          <w:lang w:val="fr-CH"/>
        </w:rPr>
        <w:t>ques, or</w:t>
      </w:r>
      <w:r w:rsidRPr="0071782F">
        <w:rPr>
          <w:lang w:val="fr-CH"/>
        </w:rPr>
        <w:t>thodox</w:t>
      </w:r>
      <w:r w:rsidR="00C44748" w:rsidRPr="0071782F">
        <w:rPr>
          <w:lang w:val="fr-CH"/>
        </w:rPr>
        <w:t>es</w:t>
      </w:r>
      <w:r w:rsidRPr="0071782F">
        <w:rPr>
          <w:lang w:val="fr-CH"/>
        </w:rPr>
        <w:t xml:space="preserve"> </w:t>
      </w:r>
      <w:r w:rsidR="00C44748" w:rsidRPr="0071782F">
        <w:rPr>
          <w:lang w:val="fr-CH"/>
        </w:rPr>
        <w:t>et</w:t>
      </w:r>
      <w:r w:rsidRPr="0071782F">
        <w:rPr>
          <w:lang w:val="fr-CH"/>
        </w:rPr>
        <w:t xml:space="preserve"> </w:t>
      </w:r>
      <w:r w:rsidR="00C44748" w:rsidRPr="0071782F">
        <w:rPr>
          <w:lang w:val="fr-CH"/>
        </w:rPr>
        <w:t>p</w:t>
      </w:r>
      <w:r w:rsidRPr="0071782F">
        <w:rPr>
          <w:lang w:val="fr-CH"/>
        </w:rPr>
        <w:t>rotestant</w:t>
      </w:r>
      <w:r w:rsidR="00C44748" w:rsidRPr="0071782F">
        <w:rPr>
          <w:lang w:val="fr-CH"/>
        </w:rPr>
        <w:t xml:space="preserve">s. Ils jouissent tous de droits </w:t>
      </w:r>
      <w:r w:rsidRPr="0071782F">
        <w:rPr>
          <w:lang w:val="fr-CH"/>
        </w:rPr>
        <w:t>socia</w:t>
      </w:r>
      <w:r w:rsidR="00C44748" w:rsidRPr="0071782F">
        <w:rPr>
          <w:lang w:val="fr-CH"/>
        </w:rPr>
        <w:t>ux</w:t>
      </w:r>
      <w:r w:rsidRPr="0071782F">
        <w:rPr>
          <w:lang w:val="fr-CH"/>
        </w:rPr>
        <w:t>, cultur</w:t>
      </w:r>
      <w:r w:rsidR="00C44748" w:rsidRPr="0071782F">
        <w:rPr>
          <w:lang w:val="fr-CH"/>
        </w:rPr>
        <w:t>e</w:t>
      </w:r>
      <w:r w:rsidRPr="0071782F">
        <w:rPr>
          <w:lang w:val="fr-CH"/>
        </w:rPr>
        <w:t>l</w:t>
      </w:r>
      <w:r w:rsidR="00C44748" w:rsidRPr="0071782F">
        <w:rPr>
          <w:lang w:val="fr-CH"/>
        </w:rPr>
        <w:t>s</w:t>
      </w:r>
      <w:r w:rsidRPr="0071782F">
        <w:rPr>
          <w:lang w:val="fr-CH"/>
        </w:rPr>
        <w:t>, politi</w:t>
      </w:r>
      <w:r w:rsidR="00C44748" w:rsidRPr="0071782F">
        <w:rPr>
          <w:lang w:val="fr-CH"/>
        </w:rPr>
        <w:t>ques et économiques</w:t>
      </w:r>
      <w:r w:rsidRPr="0071782F">
        <w:rPr>
          <w:lang w:val="fr-CH"/>
        </w:rPr>
        <w:t>.</w:t>
      </w:r>
    </w:p>
    <w:p w:rsidR="00963C03" w:rsidRPr="0071782F" w:rsidRDefault="00963C03" w:rsidP="00AA22EB">
      <w:pPr>
        <w:pStyle w:val="SingleTxtG"/>
        <w:rPr>
          <w:lang w:val="fr-CH"/>
        </w:rPr>
      </w:pPr>
      <w:r w:rsidRPr="0071782F">
        <w:rPr>
          <w:lang w:val="fr-CH"/>
        </w:rPr>
        <w:t>475.</w:t>
      </w:r>
      <w:r w:rsidRPr="0071782F">
        <w:rPr>
          <w:lang w:val="fr-CH"/>
        </w:rPr>
        <w:tab/>
      </w:r>
      <w:r w:rsidR="00C44748" w:rsidRPr="0071782F">
        <w:rPr>
          <w:lang w:val="fr-CH"/>
        </w:rPr>
        <w:t>Les Iraniens musulmans et z</w:t>
      </w:r>
      <w:r w:rsidRPr="0071782F">
        <w:rPr>
          <w:lang w:val="fr-CH"/>
        </w:rPr>
        <w:t>oroastri</w:t>
      </w:r>
      <w:r w:rsidR="00C44748" w:rsidRPr="0071782F">
        <w:rPr>
          <w:lang w:val="fr-CH"/>
        </w:rPr>
        <w:t>e</w:t>
      </w:r>
      <w:r w:rsidRPr="0071782F">
        <w:rPr>
          <w:lang w:val="fr-CH"/>
        </w:rPr>
        <w:t>n</w:t>
      </w:r>
      <w:r w:rsidR="00C44748" w:rsidRPr="0071782F">
        <w:rPr>
          <w:lang w:val="fr-CH"/>
        </w:rPr>
        <w:t xml:space="preserve">s coexistent pacifiquement depuis plus de </w:t>
      </w:r>
      <w:r w:rsidRPr="0071782F">
        <w:rPr>
          <w:lang w:val="fr-CH"/>
        </w:rPr>
        <w:t>1</w:t>
      </w:r>
      <w:r w:rsidR="00881286" w:rsidRPr="0071782F">
        <w:rPr>
          <w:lang w:val="fr-CH"/>
        </w:rPr>
        <w:t> </w:t>
      </w:r>
      <w:r w:rsidRPr="0071782F">
        <w:rPr>
          <w:lang w:val="fr-CH"/>
        </w:rPr>
        <w:t>400</w:t>
      </w:r>
      <w:r w:rsidR="00D82C96" w:rsidRPr="0071782F">
        <w:rPr>
          <w:lang w:val="fr-CH"/>
        </w:rPr>
        <w:t> ans</w:t>
      </w:r>
      <w:r w:rsidR="00C44748" w:rsidRPr="0071782F">
        <w:rPr>
          <w:lang w:val="fr-CH"/>
        </w:rPr>
        <w:t xml:space="preserve"> et la création de liens étroits entre les deux communautés a été non seulement un principe, mais une priorité. Aujourd’hui, plus de </w:t>
      </w:r>
      <w:r w:rsidRPr="0071782F">
        <w:rPr>
          <w:lang w:val="fr-CH"/>
        </w:rPr>
        <w:t>50</w:t>
      </w:r>
      <w:r w:rsidR="00C44748" w:rsidRPr="0071782F">
        <w:rPr>
          <w:lang w:val="fr-CH"/>
        </w:rPr>
        <w:t xml:space="preserve"> </w:t>
      </w:r>
      <w:r w:rsidRPr="0071782F">
        <w:rPr>
          <w:lang w:val="fr-CH"/>
        </w:rPr>
        <w:t>000 Zoroastri</w:t>
      </w:r>
      <w:r w:rsidR="00C44748" w:rsidRPr="0071782F">
        <w:rPr>
          <w:lang w:val="fr-CH"/>
        </w:rPr>
        <w:t>e</w:t>
      </w:r>
      <w:r w:rsidRPr="0071782F">
        <w:rPr>
          <w:lang w:val="fr-CH"/>
        </w:rPr>
        <w:t xml:space="preserve">ns </w:t>
      </w:r>
      <w:r w:rsidR="00C44748" w:rsidRPr="0071782F">
        <w:rPr>
          <w:lang w:val="fr-CH"/>
        </w:rPr>
        <w:t xml:space="preserve">vivent parmi leurs compatriotes comme des frères et des amis. </w:t>
      </w:r>
    </w:p>
    <w:p w:rsidR="00963C03" w:rsidRPr="0071782F" w:rsidRDefault="00963C03" w:rsidP="00AA22EB">
      <w:pPr>
        <w:pStyle w:val="SingleTxtG"/>
        <w:rPr>
          <w:lang w:val="fr-CH"/>
        </w:rPr>
      </w:pPr>
      <w:r w:rsidRPr="0071782F">
        <w:rPr>
          <w:lang w:val="fr-CH"/>
        </w:rPr>
        <w:t>476.</w:t>
      </w:r>
      <w:r w:rsidRPr="0071782F">
        <w:rPr>
          <w:lang w:val="fr-CH"/>
        </w:rPr>
        <w:tab/>
      </w:r>
      <w:r w:rsidR="00C44748" w:rsidRPr="0071782F">
        <w:rPr>
          <w:lang w:val="fr-CH"/>
        </w:rPr>
        <w:t xml:space="preserve">Plus de </w:t>
      </w:r>
      <w:r w:rsidRPr="0071782F">
        <w:rPr>
          <w:lang w:val="fr-CH"/>
        </w:rPr>
        <w:t>25</w:t>
      </w:r>
      <w:r w:rsidR="00240E7D">
        <w:rPr>
          <w:lang w:val="fr-CH"/>
        </w:rPr>
        <w:t> </w:t>
      </w:r>
      <w:r w:rsidRPr="0071782F">
        <w:rPr>
          <w:lang w:val="fr-CH"/>
        </w:rPr>
        <w:t xml:space="preserve">000 </w:t>
      </w:r>
      <w:r w:rsidR="00C44748" w:rsidRPr="0071782F">
        <w:rPr>
          <w:lang w:val="fr-CH"/>
        </w:rPr>
        <w:t>juifs vivent aux côtés de leurs compatriote musulmans, chrétiens et z</w:t>
      </w:r>
      <w:r w:rsidRPr="0071782F">
        <w:rPr>
          <w:lang w:val="fr-CH"/>
        </w:rPr>
        <w:t>oroastri</w:t>
      </w:r>
      <w:r w:rsidR="00C44748" w:rsidRPr="0071782F">
        <w:rPr>
          <w:lang w:val="fr-CH"/>
        </w:rPr>
        <w:t>ens, avec lesquels ils partagent un sentiment patriotique qui s’est développé et consolidé au cours des siècles.</w:t>
      </w:r>
    </w:p>
    <w:p w:rsidR="00963C03" w:rsidRPr="0071782F" w:rsidRDefault="00963C03" w:rsidP="00AA22EB">
      <w:pPr>
        <w:pStyle w:val="SingleTxtG"/>
        <w:rPr>
          <w:lang w:val="fr-CH"/>
        </w:rPr>
      </w:pPr>
      <w:r w:rsidRPr="0071782F">
        <w:rPr>
          <w:lang w:val="fr-CH"/>
        </w:rPr>
        <w:t>477.</w:t>
      </w:r>
      <w:r w:rsidRPr="0071782F">
        <w:rPr>
          <w:lang w:val="fr-CH"/>
        </w:rPr>
        <w:tab/>
      </w:r>
      <w:r w:rsidR="00C44748" w:rsidRPr="0071782F">
        <w:rPr>
          <w:lang w:val="fr-CH"/>
        </w:rPr>
        <w:t xml:space="preserve">La </w:t>
      </w:r>
      <w:r w:rsidRPr="0071782F">
        <w:rPr>
          <w:lang w:val="fr-CH"/>
        </w:rPr>
        <w:t>R</w:t>
      </w:r>
      <w:r w:rsidR="00C44748" w:rsidRPr="0071782F">
        <w:rPr>
          <w:lang w:val="fr-CH"/>
        </w:rPr>
        <w:t>é</w:t>
      </w:r>
      <w:r w:rsidRPr="0071782F">
        <w:rPr>
          <w:lang w:val="fr-CH"/>
        </w:rPr>
        <w:t>publi</w:t>
      </w:r>
      <w:r w:rsidR="00C44748" w:rsidRPr="0071782F">
        <w:rPr>
          <w:lang w:val="fr-CH"/>
        </w:rPr>
        <w:t>que islamique d’</w:t>
      </w:r>
      <w:r w:rsidRPr="0071782F">
        <w:rPr>
          <w:lang w:val="fr-CH"/>
        </w:rPr>
        <w:t>Iran continue</w:t>
      </w:r>
      <w:r w:rsidR="00C44748" w:rsidRPr="0071782F">
        <w:rPr>
          <w:lang w:val="fr-CH"/>
        </w:rPr>
        <w:t xml:space="preserve"> de jeter les bases de la </w:t>
      </w:r>
      <w:r w:rsidRPr="0071782F">
        <w:rPr>
          <w:lang w:val="fr-CH"/>
        </w:rPr>
        <w:t xml:space="preserve">participation </w:t>
      </w:r>
      <w:r w:rsidR="00C44748" w:rsidRPr="0071782F">
        <w:rPr>
          <w:lang w:val="fr-CH"/>
        </w:rPr>
        <w:t>des minorités religieuses aux affaires culturelles</w:t>
      </w:r>
      <w:r w:rsidRPr="0071782F">
        <w:rPr>
          <w:lang w:val="fr-CH"/>
        </w:rPr>
        <w:t>, scientifi</w:t>
      </w:r>
      <w:r w:rsidR="00C44748" w:rsidRPr="0071782F">
        <w:rPr>
          <w:lang w:val="fr-CH"/>
        </w:rPr>
        <w:t>ques</w:t>
      </w:r>
      <w:r w:rsidRPr="0071782F">
        <w:rPr>
          <w:lang w:val="fr-CH"/>
        </w:rPr>
        <w:t>, artisti</w:t>
      </w:r>
      <w:r w:rsidR="00C44748" w:rsidRPr="0071782F">
        <w:rPr>
          <w:lang w:val="fr-CH"/>
        </w:rPr>
        <w:t>ques</w:t>
      </w:r>
      <w:r w:rsidRPr="0071782F">
        <w:rPr>
          <w:lang w:val="fr-CH"/>
        </w:rPr>
        <w:t>, social</w:t>
      </w:r>
      <w:r w:rsidR="00C44748" w:rsidRPr="0071782F">
        <w:rPr>
          <w:lang w:val="fr-CH"/>
        </w:rPr>
        <w:t>es et littéraires</w:t>
      </w:r>
      <w:r w:rsidRPr="0071782F">
        <w:rPr>
          <w:lang w:val="fr-CH"/>
        </w:rPr>
        <w:t xml:space="preserve">. </w:t>
      </w:r>
      <w:r w:rsidR="00C44748" w:rsidRPr="0071782F">
        <w:rPr>
          <w:lang w:val="fr-CH"/>
        </w:rPr>
        <w:t xml:space="preserve">Les mesures nécessaires sont prises pour assurer la floraison des talents et de la créativité et appuyer les </w:t>
      </w:r>
      <w:r w:rsidRPr="0071782F">
        <w:rPr>
          <w:lang w:val="fr-CH"/>
        </w:rPr>
        <w:t xml:space="preserve">innovations </w:t>
      </w:r>
      <w:r w:rsidR="00C44748" w:rsidRPr="0071782F">
        <w:rPr>
          <w:lang w:val="fr-CH"/>
        </w:rPr>
        <w:t xml:space="preserve">et les </w:t>
      </w:r>
      <w:r w:rsidRPr="0071782F">
        <w:rPr>
          <w:lang w:val="fr-CH"/>
        </w:rPr>
        <w:t xml:space="preserve">inventions, </w:t>
      </w:r>
      <w:r w:rsidR="00C44748" w:rsidRPr="0071782F">
        <w:rPr>
          <w:lang w:val="fr-CH"/>
        </w:rPr>
        <w:t>notamment par la création de complexes culturels et artistiques</w:t>
      </w:r>
      <w:r w:rsidRPr="0071782F">
        <w:rPr>
          <w:lang w:val="fr-CH"/>
        </w:rPr>
        <w:t xml:space="preserve">, </w:t>
      </w:r>
      <w:r w:rsidR="00C44748" w:rsidRPr="0071782F">
        <w:rPr>
          <w:lang w:val="fr-CH"/>
        </w:rPr>
        <w:t xml:space="preserve">la </w:t>
      </w:r>
      <w:r w:rsidRPr="0071782F">
        <w:rPr>
          <w:lang w:val="fr-CH"/>
        </w:rPr>
        <w:t xml:space="preserve">promotion </w:t>
      </w:r>
      <w:r w:rsidR="00C44748" w:rsidRPr="0071782F">
        <w:rPr>
          <w:lang w:val="fr-CH"/>
        </w:rPr>
        <w:t>des produits culture</w:t>
      </w:r>
      <w:r w:rsidRPr="0071782F">
        <w:rPr>
          <w:lang w:val="fr-CH"/>
        </w:rPr>
        <w:t>l</w:t>
      </w:r>
      <w:r w:rsidR="00C44748" w:rsidRPr="0071782F">
        <w:rPr>
          <w:lang w:val="fr-CH"/>
        </w:rPr>
        <w:t>s</w:t>
      </w:r>
      <w:r w:rsidRPr="0071782F">
        <w:rPr>
          <w:lang w:val="fr-CH"/>
        </w:rPr>
        <w:t xml:space="preserve"> </w:t>
      </w:r>
      <w:r w:rsidR="00C44748" w:rsidRPr="0071782F">
        <w:rPr>
          <w:lang w:val="fr-CH"/>
        </w:rPr>
        <w:t>et artistiques</w:t>
      </w:r>
      <w:r w:rsidRPr="0071782F">
        <w:rPr>
          <w:lang w:val="fr-CH"/>
        </w:rPr>
        <w:t xml:space="preserve">, </w:t>
      </w:r>
      <w:r w:rsidR="00C44748" w:rsidRPr="0071782F">
        <w:rPr>
          <w:lang w:val="fr-CH"/>
        </w:rPr>
        <w:t>la création d’institutions religieuses et historiques</w:t>
      </w:r>
      <w:r w:rsidRPr="0071782F">
        <w:rPr>
          <w:lang w:val="fr-CH"/>
        </w:rPr>
        <w:t xml:space="preserve">, </w:t>
      </w:r>
      <w:r w:rsidR="00C44748" w:rsidRPr="0071782F">
        <w:rPr>
          <w:lang w:val="fr-CH"/>
        </w:rPr>
        <w:t>de bibliothèques et de clubs sportifs</w:t>
      </w:r>
      <w:r w:rsidRPr="0071782F">
        <w:rPr>
          <w:lang w:val="fr-CH"/>
        </w:rPr>
        <w:t xml:space="preserve">, </w:t>
      </w:r>
      <w:r w:rsidR="00C44748" w:rsidRPr="0071782F">
        <w:rPr>
          <w:lang w:val="fr-CH"/>
        </w:rPr>
        <w:t>et les aides aux activités culturelles telles que l’</w:t>
      </w:r>
      <w:r w:rsidRPr="0071782F">
        <w:rPr>
          <w:lang w:val="fr-CH"/>
        </w:rPr>
        <w:t>organi</w:t>
      </w:r>
      <w:r w:rsidR="00C44748" w:rsidRPr="0071782F">
        <w:rPr>
          <w:lang w:val="fr-CH"/>
        </w:rPr>
        <w:t>s</w:t>
      </w:r>
      <w:r w:rsidRPr="0071782F">
        <w:rPr>
          <w:lang w:val="fr-CH"/>
        </w:rPr>
        <w:t xml:space="preserve">ation </w:t>
      </w:r>
      <w:r w:rsidR="00C44748" w:rsidRPr="0071782F">
        <w:rPr>
          <w:lang w:val="fr-CH"/>
        </w:rPr>
        <w:t xml:space="preserve">d’expositions </w:t>
      </w:r>
      <w:r w:rsidRPr="0071782F">
        <w:rPr>
          <w:lang w:val="fr-CH"/>
        </w:rPr>
        <w:t>cultur</w:t>
      </w:r>
      <w:r w:rsidR="00C44748" w:rsidRPr="0071782F">
        <w:rPr>
          <w:lang w:val="fr-CH"/>
        </w:rPr>
        <w:t>elles et artistiques</w:t>
      </w:r>
      <w:r w:rsidRPr="0071782F">
        <w:rPr>
          <w:lang w:val="fr-CH"/>
        </w:rPr>
        <w:t xml:space="preserve">, </w:t>
      </w:r>
      <w:r w:rsidR="00C44748" w:rsidRPr="0071782F">
        <w:rPr>
          <w:lang w:val="fr-CH"/>
        </w:rPr>
        <w:t xml:space="preserve">de foires du livre, de </w:t>
      </w:r>
      <w:r w:rsidRPr="0071782F">
        <w:rPr>
          <w:lang w:val="fr-CH"/>
        </w:rPr>
        <w:t xml:space="preserve">festivals, </w:t>
      </w:r>
      <w:r w:rsidR="00C44748" w:rsidRPr="0071782F">
        <w:rPr>
          <w:lang w:val="fr-CH"/>
        </w:rPr>
        <w:t>de sé</w:t>
      </w:r>
      <w:r w:rsidRPr="0071782F">
        <w:rPr>
          <w:lang w:val="fr-CH"/>
        </w:rPr>
        <w:t>mina</w:t>
      </w:r>
      <w:r w:rsidR="00C44748" w:rsidRPr="0071782F">
        <w:rPr>
          <w:lang w:val="fr-CH"/>
        </w:rPr>
        <w:t>ires et de concours</w:t>
      </w:r>
      <w:r w:rsidRPr="0071782F">
        <w:rPr>
          <w:lang w:val="fr-CH"/>
        </w:rPr>
        <w:t>.</w:t>
      </w:r>
    </w:p>
    <w:p w:rsidR="00963C03" w:rsidRPr="0071782F" w:rsidRDefault="00963C03" w:rsidP="00AA22EB">
      <w:pPr>
        <w:pStyle w:val="SingleTxtG"/>
        <w:rPr>
          <w:lang w:val="fr-CH"/>
        </w:rPr>
      </w:pPr>
      <w:r w:rsidRPr="0071782F">
        <w:rPr>
          <w:lang w:val="fr-CH"/>
        </w:rPr>
        <w:t>478.</w:t>
      </w:r>
      <w:r w:rsidRPr="0071782F">
        <w:rPr>
          <w:lang w:val="fr-CH"/>
        </w:rPr>
        <w:tab/>
      </w:r>
      <w:r w:rsidR="006409BE" w:rsidRPr="0071782F">
        <w:rPr>
          <w:lang w:val="fr-CH"/>
        </w:rPr>
        <w:t xml:space="preserve">En ce qui concerne la consolidation des relations </w:t>
      </w:r>
      <w:r w:rsidRPr="0071782F">
        <w:rPr>
          <w:lang w:val="fr-CH"/>
        </w:rPr>
        <w:t>cultur</w:t>
      </w:r>
      <w:r w:rsidR="006409BE" w:rsidRPr="0071782F">
        <w:rPr>
          <w:lang w:val="fr-CH"/>
        </w:rPr>
        <w:t>elles entre les musulmans et les chrétiens, des mesures importantes sont prises depuis 1991 pour réunir des personnalités intellectuelles et</w:t>
      </w:r>
      <w:r w:rsidRPr="0071782F">
        <w:rPr>
          <w:lang w:val="fr-CH"/>
        </w:rPr>
        <w:t xml:space="preserve"> </w:t>
      </w:r>
      <w:r w:rsidR="006409BE" w:rsidRPr="0071782F">
        <w:rPr>
          <w:lang w:val="fr-CH"/>
        </w:rPr>
        <w:t>culturelles des minorités religieuses</w:t>
      </w:r>
      <w:r w:rsidRPr="0071782F">
        <w:rPr>
          <w:lang w:val="fr-CH"/>
        </w:rPr>
        <w:t>. N</w:t>
      </w:r>
      <w:r w:rsidR="006409BE" w:rsidRPr="0071782F">
        <w:rPr>
          <w:lang w:val="fr-CH"/>
        </w:rPr>
        <w:t xml:space="preserve">euf rencontres pour un dialogue </w:t>
      </w:r>
      <w:r w:rsidRPr="0071782F">
        <w:rPr>
          <w:lang w:val="fr-CH"/>
        </w:rPr>
        <w:t>interreligi</w:t>
      </w:r>
      <w:r w:rsidR="006409BE" w:rsidRPr="0071782F">
        <w:rPr>
          <w:lang w:val="fr-CH"/>
        </w:rPr>
        <w:t xml:space="preserve">eux ont été organisées sur le thème de </w:t>
      </w:r>
      <w:r w:rsidR="00A62149" w:rsidRPr="0071782F">
        <w:rPr>
          <w:lang w:val="fr-CH"/>
        </w:rPr>
        <w:t>"</w:t>
      </w:r>
      <w:r w:rsidR="006409BE" w:rsidRPr="0071782F">
        <w:rPr>
          <w:lang w:val="fr-CH"/>
        </w:rPr>
        <w:t xml:space="preserve">La </w:t>
      </w:r>
      <w:r w:rsidRPr="0071782F">
        <w:rPr>
          <w:lang w:val="fr-CH"/>
        </w:rPr>
        <w:t xml:space="preserve">coexistence </w:t>
      </w:r>
      <w:r w:rsidR="006409BE" w:rsidRPr="0071782F">
        <w:rPr>
          <w:lang w:val="fr-CH"/>
        </w:rPr>
        <w:t>pacifique des musulmans</w:t>
      </w:r>
      <w:r w:rsidR="00A62149" w:rsidRPr="0071782F">
        <w:rPr>
          <w:lang w:val="fr-CH"/>
        </w:rPr>
        <w:t>"</w:t>
      </w:r>
      <w:r w:rsidRPr="0071782F">
        <w:rPr>
          <w:lang w:val="fr-CH"/>
        </w:rPr>
        <w:t xml:space="preserve">. </w:t>
      </w:r>
      <w:r w:rsidR="006409BE" w:rsidRPr="0071782F">
        <w:rPr>
          <w:lang w:val="fr-CH"/>
        </w:rPr>
        <w:t>Trois de ces rencontres ont été organisées avec des chrétiens catholiques, deux avec des chrétiens protestants et ortho</w:t>
      </w:r>
      <w:r w:rsidR="00DB5FF4">
        <w:rPr>
          <w:lang w:val="fr-CH"/>
        </w:rPr>
        <w:t>do</w:t>
      </w:r>
      <w:r w:rsidR="006409BE" w:rsidRPr="0071782F">
        <w:rPr>
          <w:lang w:val="fr-CH"/>
        </w:rPr>
        <w:t xml:space="preserve">xes orientaux, une avec des Arméniens sur le thème de </w:t>
      </w:r>
      <w:r w:rsidR="00A62149" w:rsidRPr="0071782F">
        <w:rPr>
          <w:lang w:val="fr-CH"/>
        </w:rPr>
        <w:t>"</w:t>
      </w:r>
      <w:r w:rsidR="006409BE" w:rsidRPr="0071782F">
        <w:rPr>
          <w:lang w:val="fr-CH"/>
        </w:rPr>
        <w:t xml:space="preserve">La </w:t>
      </w:r>
      <w:r w:rsidRPr="0071782F">
        <w:rPr>
          <w:lang w:val="fr-CH"/>
        </w:rPr>
        <w:t xml:space="preserve">coexistence </w:t>
      </w:r>
      <w:r w:rsidR="006409BE" w:rsidRPr="0071782F">
        <w:rPr>
          <w:lang w:val="fr-CH"/>
        </w:rPr>
        <w:t>pacifique entre les musulmans et les chrétiens arméniens</w:t>
      </w:r>
      <w:r w:rsidR="00A62149" w:rsidRPr="0071782F">
        <w:rPr>
          <w:lang w:val="fr-CH"/>
        </w:rPr>
        <w:t>"</w:t>
      </w:r>
      <w:r w:rsidR="006409BE" w:rsidRPr="0071782F">
        <w:rPr>
          <w:lang w:val="fr-CH"/>
        </w:rPr>
        <w:t xml:space="preserve"> et trois avec des chrétiens orthodoxes orientaux sur le thème de </w:t>
      </w:r>
      <w:r w:rsidR="00A62149" w:rsidRPr="0071782F">
        <w:rPr>
          <w:lang w:val="fr-CH"/>
        </w:rPr>
        <w:t>"</w:t>
      </w:r>
      <w:r w:rsidR="006409BE" w:rsidRPr="0071782F">
        <w:rPr>
          <w:lang w:val="fr-CH"/>
        </w:rPr>
        <w:t xml:space="preserve">La paix et la </w:t>
      </w:r>
      <w:r w:rsidRPr="0071782F">
        <w:rPr>
          <w:lang w:val="fr-CH"/>
        </w:rPr>
        <w:t xml:space="preserve">justice </w:t>
      </w:r>
      <w:r w:rsidR="006409BE" w:rsidRPr="0071782F">
        <w:rPr>
          <w:lang w:val="fr-CH"/>
        </w:rPr>
        <w:t>selon les penseurs musulmans et chrétiens</w:t>
      </w:r>
      <w:r w:rsidR="00A62149" w:rsidRPr="0071782F">
        <w:rPr>
          <w:lang w:val="fr-CH"/>
        </w:rPr>
        <w:t>"</w:t>
      </w:r>
      <w:r w:rsidRPr="0071782F">
        <w:rPr>
          <w:lang w:val="fr-CH"/>
        </w:rPr>
        <w:t xml:space="preserve">. </w:t>
      </w:r>
      <w:r w:rsidR="006409BE" w:rsidRPr="0071782F">
        <w:rPr>
          <w:lang w:val="fr-CH"/>
        </w:rPr>
        <w:t xml:space="preserve">Ce sont là quelques-uns des programmes menés à bien par la République islamique d’Iran pour promouvoir une plus grande </w:t>
      </w:r>
      <w:r w:rsidRPr="0071782F">
        <w:rPr>
          <w:lang w:val="fr-CH"/>
        </w:rPr>
        <w:t xml:space="preserve">participation </w:t>
      </w:r>
      <w:r w:rsidR="006409BE" w:rsidRPr="0071782F">
        <w:rPr>
          <w:lang w:val="fr-CH"/>
        </w:rPr>
        <w:t>des chrétiens iraniens aux affaires culturelles et artistiques et leur donner confiance dans le développement des relations culturelles et la consolidation de la solidarité nationale.</w:t>
      </w:r>
    </w:p>
    <w:p w:rsidR="00963C03" w:rsidRPr="0071782F" w:rsidRDefault="00963C03" w:rsidP="00AA22EB">
      <w:pPr>
        <w:pStyle w:val="SingleTxtG"/>
        <w:rPr>
          <w:lang w:val="fr-CH"/>
        </w:rPr>
      </w:pPr>
      <w:r w:rsidRPr="0071782F">
        <w:rPr>
          <w:lang w:val="fr-CH"/>
        </w:rPr>
        <w:t>479.</w:t>
      </w:r>
      <w:r w:rsidRPr="0071782F">
        <w:rPr>
          <w:lang w:val="fr-CH"/>
        </w:rPr>
        <w:tab/>
      </w:r>
      <w:r w:rsidR="006409BE" w:rsidRPr="0071782F">
        <w:rPr>
          <w:lang w:val="fr-CH"/>
        </w:rPr>
        <w:t xml:space="preserve">L’Iran compte </w:t>
      </w:r>
      <w:r w:rsidRPr="0071782F">
        <w:rPr>
          <w:lang w:val="fr-CH"/>
        </w:rPr>
        <w:t>284</w:t>
      </w:r>
      <w:r w:rsidR="00240E7D">
        <w:rPr>
          <w:lang w:val="fr-CH"/>
        </w:rPr>
        <w:t> </w:t>
      </w:r>
      <w:r w:rsidR="006409BE" w:rsidRPr="0071782F">
        <w:rPr>
          <w:lang w:val="fr-CH"/>
        </w:rPr>
        <w:t xml:space="preserve">églises chrétiennes, dont </w:t>
      </w:r>
      <w:r w:rsidRPr="0071782F">
        <w:rPr>
          <w:lang w:val="fr-CH"/>
        </w:rPr>
        <w:t>61</w:t>
      </w:r>
      <w:r w:rsidR="00240E7D">
        <w:rPr>
          <w:lang w:val="fr-CH"/>
        </w:rPr>
        <w:t> </w:t>
      </w:r>
      <w:r w:rsidR="006409BE" w:rsidRPr="0071782F">
        <w:rPr>
          <w:lang w:val="fr-CH"/>
        </w:rPr>
        <w:t>églises orthodoxes orientales</w:t>
      </w:r>
      <w:r w:rsidRPr="0071782F">
        <w:rPr>
          <w:lang w:val="fr-CH"/>
        </w:rPr>
        <w:t>, 11</w:t>
      </w:r>
      <w:r w:rsidR="00881286" w:rsidRPr="0071782F">
        <w:rPr>
          <w:lang w:val="fr-CH"/>
        </w:rPr>
        <w:t> </w:t>
      </w:r>
      <w:r w:rsidR="006409BE" w:rsidRPr="0071782F">
        <w:rPr>
          <w:lang w:val="fr-CH"/>
        </w:rPr>
        <w:t>protestantes a</w:t>
      </w:r>
      <w:r w:rsidRPr="0071782F">
        <w:rPr>
          <w:lang w:val="fr-CH"/>
        </w:rPr>
        <w:t>ssyri</w:t>
      </w:r>
      <w:r w:rsidR="006409BE" w:rsidRPr="0071782F">
        <w:rPr>
          <w:lang w:val="fr-CH"/>
        </w:rPr>
        <w:t>ennes</w:t>
      </w:r>
      <w:r w:rsidRPr="0071782F">
        <w:rPr>
          <w:lang w:val="fr-CH"/>
        </w:rPr>
        <w:t xml:space="preserve">, </w:t>
      </w:r>
      <w:r w:rsidR="006409BE" w:rsidRPr="0071782F">
        <w:rPr>
          <w:lang w:val="fr-CH"/>
        </w:rPr>
        <w:t>sept</w:t>
      </w:r>
      <w:r w:rsidRPr="0071782F">
        <w:rPr>
          <w:lang w:val="fr-CH"/>
        </w:rPr>
        <w:t xml:space="preserve"> </w:t>
      </w:r>
      <w:r w:rsidR="006409BE" w:rsidRPr="0071782F">
        <w:rPr>
          <w:lang w:val="fr-CH"/>
        </w:rPr>
        <w:t>protestantes a</w:t>
      </w:r>
      <w:r w:rsidRPr="0071782F">
        <w:rPr>
          <w:lang w:val="fr-CH"/>
        </w:rPr>
        <w:t>ssyri</w:t>
      </w:r>
      <w:r w:rsidR="006409BE" w:rsidRPr="0071782F">
        <w:rPr>
          <w:lang w:val="fr-CH"/>
        </w:rPr>
        <w:t>ennes chaldéennes</w:t>
      </w:r>
      <w:r w:rsidRPr="0071782F">
        <w:rPr>
          <w:lang w:val="fr-CH"/>
        </w:rPr>
        <w:t xml:space="preserve">, </w:t>
      </w:r>
      <w:r w:rsidR="006409BE" w:rsidRPr="0071782F">
        <w:rPr>
          <w:lang w:val="fr-CH"/>
        </w:rPr>
        <w:t>cinq catholiques romaines</w:t>
      </w:r>
      <w:r w:rsidRPr="0071782F">
        <w:rPr>
          <w:lang w:val="fr-CH"/>
        </w:rPr>
        <w:t xml:space="preserve">, </w:t>
      </w:r>
      <w:r w:rsidR="006409BE" w:rsidRPr="0071782F">
        <w:rPr>
          <w:lang w:val="fr-CH"/>
        </w:rPr>
        <w:t>cinq</w:t>
      </w:r>
      <w:r w:rsidRPr="0071782F">
        <w:rPr>
          <w:lang w:val="fr-CH"/>
        </w:rPr>
        <w:t xml:space="preserve"> </w:t>
      </w:r>
      <w:r w:rsidR="006409BE" w:rsidRPr="0071782F">
        <w:rPr>
          <w:lang w:val="fr-CH"/>
        </w:rPr>
        <w:t>catholiques arméniennes</w:t>
      </w:r>
      <w:r w:rsidRPr="0071782F">
        <w:rPr>
          <w:lang w:val="fr-CH"/>
        </w:rPr>
        <w:t>, 12</w:t>
      </w:r>
      <w:r w:rsidR="00240E7D">
        <w:rPr>
          <w:lang w:val="fr-CH"/>
        </w:rPr>
        <w:t> </w:t>
      </w:r>
      <w:r w:rsidR="006409BE" w:rsidRPr="0071782F">
        <w:rPr>
          <w:lang w:val="fr-CH"/>
        </w:rPr>
        <w:t>bibliques assyriennes</w:t>
      </w:r>
      <w:r w:rsidRPr="0071782F">
        <w:rPr>
          <w:lang w:val="fr-CH"/>
        </w:rPr>
        <w:t xml:space="preserve">, </w:t>
      </w:r>
      <w:r w:rsidR="006409BE" w:rsidRPr="0071782F">
        <w:rPr>
          <w:lang w:val="fr-CH"/>
        </w:rPr>
        <w:t>six a</w:t>
      </w:r>
      <w:r w:rsidRPr="0071782F">
        <w:rPr>
          <w:lang w:val="fr-CH"/>
        </w:rPr>
        <w:t>dventist</w:t>
      </w:r>
      <w:r w:rsidR="006409BE" w:rsidRPr="0071782F">
        <w:rPr>
          <w:lang w:val="fr-CH"/>
        </w:rPr>
        <w:t>es</w:t>
      </w:r>
      <w:r w:rsidRPr="0071782F">
        <w:rPr>
          <w:lang w:val="fr-CH"/>
        </w:rPr>
        <w:t xml:space="preserve">, </w:t>
      </w:r>
      <w:r w:rsidR="006409BE" w:rsidRPr="0071782F">
        <w:rPr>
          <w:lang w:val="fr-CH"/>
        </w:rPr>
        <w:t>deux bibliques de langue persane</w:t>
      </w:r>
      <w:r w:rsidRPr="0071782F">
        <w:rPr>
          <w:lang w:val="fr-CH"/>
        </w:rPr>
        <w:t xml:space="preserve">, </w:t>
      </w:r>
      <w:r w:rsidR="006409BE" w:rsidRPr="0071782F">
        <w:rPr>
          <w:lang w:val="fr-CH"/>
        </w:rPr>
        <w:t>une</w:t>
      </w:r>
      <w:r w:rsidRPr="0071782F">
        <w:rPr>
          <w:lang w:val="fr-CH"/>
        </w:rPr>
        <w:t xml:space="preserve"> patriarc</w:t>
      </w:r>
      <w:r w:rsidR="006409BE" w:rsidRPr="0071782F">
        <w:rPr>
          <w:lang w:val="fr-CH"/>
        </w:rPr>
        <w:t>ale</w:t>
      </w:r>
      <w:r w:rsidRPr="0071782F">
        <w:rPr>
          <w:lang w:val="fr-CH"/>
        </w:rPr>
        <w:t xml:space="preserve">, </w:t>
      </w:r>
      <w:r w:rsidR="006409BE" w:rsidRPr="0071782F">
        <w:rPr>
          <w:lang w:val="fr-CH"/>
        </w:rPr>
        <w:t>six de la</w:t>
      </w:r>
      <w:r w:rsidRPr="0071782F">
        <w:rPr>
          <w:lang w:val="fr-CH"/>
        </w:rPr>
        <w:t xml:space="preserve"> divine communion, 160 </w:t>
      </w:r>
      <w:r w:rsidR="006409BE" w:rsidRPr="0071782F">
        <w:rPr>
          <w:lang w:val="fr-CH"/>
        </w:rPr>
        <w:t>a</w:t>
      </w:r>
      <w:r w:rsidRPr="0071782F">
        <w:rPr>
          <w:lang w:val="fr-CH"/>
        </w:rPr>
        <w:t>rm</w:t>
      </w:r>
      <w:r w:rsidR="006409BE" w:rsidRPr="0071782F">
        <w:rPr>
          <w:lang w:val="fr-CH"/>
        </w:rPr>
        <w:t>é</w:t>
      </w:r>
      <w:r w:rsidRPr="0071782F">
        <w:rPr>
          <w:lang w:val="fr-CH"/>
        </w:rPr>
        <w:t>ni</w:t>
      </w:r>
      <w:r w:rsidR="006409BE" w:rsidRPr="0071782F">
        <w:rPr>
          <w:lang w:val="fr-CH"/>
        </w:rPr>
        <w:t>ennes et huit bibliques arméniennes</w:t>
      </w:r>
      <w:r w:rsidRPr="0071782F">
        <w:rPr>
          <w:lang w:val="fr-CH"/>
        </w:rPr>
        <w:t>.</w:t>
      </w:r>
    </w:p>
    <w:p w:rsidR="00963C03" w:rsidRPr="0071782F" w:rsidRDefault="00963C03" w:rsidP="00AA22EB">
      <w:pPr>
        <w:pStyle w:val="SingleTxtG"/>
        <w:rPr>
          <w:lang w:val="fr-CH"/>
        </w:rPr>
      </w:pPr>
      <w:r w:rsidRPr="0071782F">
        <w:rPr>
          <w:lang w:val="fr-CH"/>
        </w:rPr>
        <w:t>480.</w:t>
      </w:r>
      <w:r w:rsidRPr="0071782F">
        <w:rPr>
          <w:lang w:val="fr-CH"/>
        </w:rPr>
        <w:tab/>
      </w:r>
      <w:r w:rsidR="00873C00" w:rsidRPr="0071782F">
        <w:rPr>
          <w:lang w:val="fr-CH"/>
        </w:rPr>
        <w:t xml:space="preserve">Conformément au souci de la République islamique d’Iran de préserver le patrimoine culturel du pays, </w:t>
      </w:r>
      <w:r w:rsidRPr="0071782F">
        <w:rPr>
          <w:lang w:val="fr-CH"/>
        </w:rPr>
        <w:t xml:space="preserve">40 </w:t>
      </w:r>
      <w:r w:rsidR="00873C00" w:rsidRPr="0071782F">
        <w:rPr>
          <w:lang w:val="fr-CH"/>
        </w:rPr>
        <w:t>églises ont été restaurées et rénovées ces dernières années.</w:t>
      </w:r>
      <w:r w:rsidRPr="0071782F">
        <w:rPr>
          <w:lang w:val="fr-CH"/>
        </w:rPr>
        <w:t xml:space="preserve"> </w:t>
      </w:r>
      <w:r w:rsidR="00873C00" w:rsidRPr="0071782F">
        <w:rPr>
          <w:lang w:val="fr-CH"/>
        </w:rPr>
        <w:t>Vingt-sept églises ont été déclarées monuments nationaux et 21 autres le seront bientôt. On a recommandé l’inscription de l’église du Paon sacré</w:t>
      </w:r>
      <w:r w:rsidRPr="0071782F">
        <w:rPr>
          <w:lang w:val="fr-CH"/>
        </w:rPr>
        <w:t xml:space="preserve"> (Qarah Kelisa) </w:t>
      </w:r>
      <w:r w:rsidR="00873C00" w:rsidRPr="0071782F">
        <w:rPr>
          <w:lang w:val="fr-CH"/>
        </w:rPr>
        <w:t>sur la liste du patrimoine mondial</w:t>
      </w:r>
      <w:r w:rsidRPr="0071782F">
        <w:rPr>
          <w:lang w:val="fr-CH"/>
        </w:rPr>
        <w:t>.</w:t>
      </w:r>
    </w:p>
    <w:p w:rsidR="00963C03" w:rsidRPr="0071782F" w:rsidRDefault="00963C03" w:rsidP="00AA22EB">
      <w:pPr>
        <w:pStyle w:val="SingleTxtG"/>
        <w:rPr>
          <w:lang w:val="fr-CH"/>
        </w:rPr>
      </w:pPr>
      <w:r w:rsidRPr="0071782F">
        <w:rPr>
          <w:lang w:val="fr-CH"/>
        </w:rPr>
        <w:t>481.</w:t>
      </w:r>
      <w:r w:rsidRPr="0071782F">
        <w:rPr>
          <w:lang w:val="fr-CH"/>
        </w:rPr>
        <w:tab/>
      </w:r>
      <w:r w:rsidR="00873C00" w:rsidRPr="0071782F">
        <w:rPr>
          <w:lang w:val="fr-CH"/>
        </w:rPr>
        <w:t xml:space="preserve">Il </w:t>
      </w:r>
      <w:r w:rsidRPr="0071782F">
        <w:rPr>
          <w:lang w:val="fr-CH"/>
        </w:rPr>
        <w:t>exist</w:t>
      </w:r>
      <w:r w:rsidR="00873C00" w:rsidRPr="0071782F">
        <w:rPr>
          <w:lang w:val="fr-CH"/>
        </w:rPr>
        <w:t>e</w:t>
      </w:r>
      <w:r w:rsidRPr="0071782F">
        <w:rPr>
          <w:lang w:val="fr-CH"/>
        </w:rPr>
        <w:t xml:space="preserve"> 52 </w:t>
      </w:r>
      <w:r w:rsidR="00873C00" w:rsidRPr="0071782F">
        <w:rPr>
          <w:lang w:val="fr-CH"/>
        </w:rPr>
        <w:t>sociétés, associations et organisations culture</w:t>
      </w:r>
      <w:r w:rsidRPr="0071782F">
        <w:rPr>
          <w:lang w:val="fr-CH"/>
        </w:rPr>
        <w:t>l</w:t>
      </w:r>
      <w:r w:rsidR="00873C00" w:rsidRPr="0071782F">
        <w:rPr>
          <w:lang w:val="fr-CH"/>
        </w:rPr>
        <w:t>les</w:t>
      </w:r>
      <w:r w:rsidRPr="0071782F">
        <w:rPr>
          <w:lang w:val="fr-CH"/>
        </w:rPr>
        <w:t>, artisti</w:t>
      </w:r>
      <w:r w:rsidR="00873C00" w:rsidRPr="0071782F">
        <w:rPr>
          <w:lang w:val="fr-CH"/>
        </w:rPr>
        <w:t>ques</w:t>
      </w:r>
      <w:r w:rsidRPr="0071782F">
        <w:rPr>
          <w:lang w:val="fr-CH"/>
        </w:rPr>
        <w:t>, social</w:t>
      </w:r>
      <w:r w:rsidR="00873C00" w:rsidRPr="0071782F">
        <w:rPr>
          <w:lang w:val="fr-CH"/>
        </w:rPr>
        <w:t>es et éducatives chrétiennes</w:t>
      </w:r>
      <w:r w:rsidRPr="0071782F">
        <w:rPr>
          <w:lang w:val="fr-CH"/>
        </w:rPr>
        <w:t>.</w:t>
      </w:r>
    </w:p>
    <w:p w:rsidR="00963C03" w:rsidRPr="0071782F" w:rsidRDefault="00963C03" w:rsidP="00AA22EB">
      <w:pPr>
        <w:pStyle w:val="SingleTxtG"/>
        <w:rPr>
          <w:lang w:val="fr-CH"/>
        </w:rPr>
      </w:pPr>
      <w:r w:rsidRPr="0071782F">
        <w:rPr>
          <w:lang w:val="fr-CH"/>
        </w:rPr>
        <w:t>482.</w:t>
      </w:r>
      <w:r w:rsidRPr="0071782F">
        <w:rPr>
          <w:lang w:val="fr-CH"/>
        </w:rPr>
        <w:tab/>
      </w:r>
      <w:r w:rsidR="00873C00" w:rsidRPr="0071782F">
        <w:rPr>
          <w:lang w:val="fr-CH"/>
        </w:rPr>
        <w:t xml:space="preserve">Les sociétés et ONG chrétiennes éditent plusieurs publications périodiques, telles que </w:t>
      </w:r>
      <w:r w:rsidRPr="0071782F">
        <w:rPr>
          <w:i/>
          <w:lang w:val="fr-CH"/>
        </w:rPr>
        <w:t>Alik</w:t>
      </w:r>
      <w:r w:rsidRPr="0071782F">
        <w:rPr>
          <w:lang w:val="fr-CH"/>
        </w:rPr>
        <w:t xml:space="preserve">, </w:t>
      </w:r>
      <w:r w:rsidRPr="0071782F">
        <w:rPr>
          <w:i/>
          <w:lang w:val="fr-CH"/>
        </w:rPr>
        <w:t>Apaga</w:t>
      </w:r>
      <w:r w:rsidRPr="0071782F">
        <w:rPr>
          <w:lang w:val="fr-CH"/>
        </w:rPr>
        <w:t xml:space="preserve">, </w:t>
      </w:r>
      <w:r w:rsidRPr="0071782F">
        <w:rPr>
          <w:i/>
          <w:lang w:val="fr-CH"/>
        </w:rPr>
        <w:t>Lewis</w:t>
      </w:r>
      <w:r w:rsidRPr="0071782F">
        <w:rPr>
          <w:lang w:val="fr-CH"/>
        </w:rPr>
        <w:t xml:space="preserve">, </w:t>
      </w:r>
      <w:r w:rsidRPr="0071782F">
        <w:rPr>
          <w:i/>
          <w:lang w:val="fr-CH"/>
        </w:rPr>
        <w:t>Arax</w:t>
      </w:r>
      <w:r w:rsidR="00873C00" w:rsidRPr="0071782F">
        <w:rPr>
          <w:lang w:val="fr-CH"/>
        </w:rPr>
        <w:t xml:space="preserve">, </w:t>
      </w:r>
      <w:r w:rsidR="00873C00" w:rsidRPr="0071782F">
        <w:rPr>
          <w:i/>
          <w:lang w:val="fr-CH"/>
        </w:rPr>
        <w:t xml:space="preserve">Le </w:t>
      </w:r>
      <w:r w:rsidRPr="0071782F">
        <w:rPr>
          <w:i/>
          <w:lang w:val="fr-CH"/>
        </w:rPr>
        <w:t xml:space="preserve">Message </w:t>
      </w:r>
      <w:r w:rsidR="00873C00" w:rsidRPr="0071782F">
        <w:rPr>
          <w:i/>
          <w:lang w:val="fr-CH"/>
        </w:rPr>
        <w:t>des Assyrie</w:t>
      </w:r>
      <w:r w:rsidRPr="0071782F">
        <w:rPr>
          <w:i/>
          <w:lang w:val="fr-CH"/>
        </w:rPr>
        <w:t>ns</w:t>
      </w:r>
      <w:r w:rsidR="00873C00" w:rsidRPr="0071782F">
        <w:rPr>
          <w:lang w:val="fr-CH"/>
        </w:rPr>
        <w:t xml:space="preserve"> et </w:t>
      </w:r>
      <w:r w:rsidR="00873C00" w:rsidRPr="0071782F">
        <w:rPr>
          <w:i/>
          <w:lang w:val="fr-CH"/>
        </w:rPr>
        <w:t>Alliance</w:t>
      </w:r>
      <w:r w:rsidRPr="0071782F">
        <w:rPr>
          <w:lang w:val="fr-CH"/>
        </w:rPr>
        <w:t>.</w:t>
      </w:r>
    </w:p>
    <w:p w:rsidR="00963C03" w:rsidRPr="0071782F" w:rsidRDefault="00963C03" w:rsidP="00AA22EB">
      <w:pPr>
        <w:pStyle w:val="SingleTxtG"/>
        <w:rPr>
          <w:lang w:val="fr-CH"/>
        </w:rPr>
      </w:pPr>
      <w:r w:rsidRPr="0071782F">
        <w:rPr>
          <w:lang w:val="fr-CH"/>
        </w:rPr>
        <w:t>483.</w:t>
      </w:r>
      <w:r w:rsidRPr="0071782F">
        <w:rPr>
          <w:lang w:val="fr-CH"/>
        </w:rPr>
        <w:tab/>
      </w:r>
      <w:r w:rsidR="0063086E" w:rsidRPr="0071782F">
        <w:rPr>
          <w:lang w:val="fr-CH"/>
        </w:rPr>
        <w:t xml:space="preserve">Au cours des neuf dernières années, on a produit et projeté quatre films à thématique sociale sur le christianisme grâce à la </w:t>
      </w:r>
      <w:r w:rsidRPr="0071782F">
        <w:rPr>
          <w:lang w:val="fr-CH"/>
        </w:rPr>
        <w:t>coop</w:t>
      </w:r>
      <w:r w:rsidR="0063086E" w:rsidRPr="0071782F">
        <w:rPr>
          <w:lang w:val="fr-CH"/>
        </w:rPr>
        <w:t>é</w:t>
      </w:r>
      <w:r w:rsidRPr="0071782F">
        <w:rPr>
          <w:lang w:val="fr-CH"/>
        </w:rPr>
        <w:t xml:space="preserve">ration </w:t>
      </w:r>
      <w:r w:rsidR="0063086E" w:rsidRPr="0071782F">
        <w:rPr>
          <w:lang w:val="fr-CH"/>
        </w:rPr>
        <w:t>d’associations cinématographiques et artistiques chrétiennes et musulmanes</w:t>
      </w:r>
      <w:r w:rsidRPr="0071782F">
        <w:rPr>
          <w:lang w:val="fr-CH"/>
        </w:rPr>
        <w:t xml:space="preserve">. </w:t>
      </w:r>
      <w:r w:rsidR="0063086E" w:rsidRPr="0071782F">
        <w:rPr>
          <w:lang w:val="fr-CH"/>
        </w:rPr>
        <w:t xml:space="preserve">Ces films ont pour titre </w:t>
      </w:r>
      <w:r w:rsidRPr="0071782F">
        <w:rPr>
          <w:i/>
          <w:lang w:val="fr-CH"/>
        </w:rPr>
        <w:t>Baniz Ally</w:t>
      </w:r>
      <w:r w:rsidRPr="0071782F">
        <w:rPr>
          <w:lang w:val="fr-CH"/>
        </w:rPr>
        <w:t xml:space="preserve">, </w:t>
      </w:r>
      <w:r w:rsidR="0063086E" w:rsidRPr="0071782F">
        <w:rPr>
          <w:i/>
          <w:lang w:val="fr-CH"/>
        </w:rPr>
        <w:t>La Vierge Marie</w:t>
      </w:r>
      <w:r w:rsidRPr="0071782F">
        <w:rPr>
          <w:lang w:val="fr-CH"/>
        </w:rPr>
        <w:t xml:space="preserve">, </w:t>
      </w:r>
      <w:r w:rsidR="0063086E" w:rsidRPr="0071782F">
        <w:rPr>
          <w:i/>
          <w:lang w:val="fr-CH"/>
        </w:rPr>
        <w:t>Le Fils de Marie</w:t>
      </w:r>
      <w:r w:rsidR="0063086E" w:rsidRPr="0071782F">
        <w:rPr>
          <w:lang w:val="fr-CH"/>
        </w:rPr>
        <w:t xml:space="preserve"> et </w:t>
      </w:r>
      <w:r w:rsidR="0063086E" w:rsidRPr="0071782F">
        <w:rPr>
          <w:i/>
          <w:lang w:val="fr-CH"/>
        </w:rPr>
        <w:t>Rencontre</w:t>
      </w:r>
      <w:r w:rsidRPr="0071782F">
        <w:rPr>
          <w:lang w:val="fr-CH"/>
        </w:rPr>
        <w:t>.</w:t>
      </w:r>
    </w:p>
    <w:p w:rsidR="00963C03" w:rsidRPr="0071782F" w:rsidRDefault="00963C03" w:rsidP="00FF61F7">
      <w:pPr>
        <w:pStyle w:val="SingleTxtG"/>
        <w:rPr>
          <w:lang w:val="fr-CH"/>
        </w:rPr>
      </w:pPr>
      <w:r w:rsidRPr="0071782F">
        <w:rPr>
          <w:lang w:val="fr-CH"/>
        </w:rPr>
        <w:t>484.</w:t>
      </w:r>
      <w:r w:rsidRPr="0071782F">
        <w:rPr>
          <w:lang w:val="fr-CH"/>
        </w:rPr>
        <w:tab/>
      </w:r>
      <w:r w:rsidR="00CB5AE0" w:rsidRPr="0071782F">
        <w:rPr>
          <w:lang w:val="fr-CH"/>
        </w:rPr>
        <w:t xml:space="preserve">Les éditeurs arméniens ont publié plus de </w:t>
      </w:r>
      <w:r w:rsidRPr="0071782F">
        <w:rPr>
          <w:lang w:val="fr-CH"/>
        </w:rPr>
        <w:t>60 tit</w:t>
      </w:r>
      <w:r w:rsidR="00CB5AE0" w:rsidRPr="0071782F">
        <w:rPr>
          <w:lang w:val="fr-CH"/>
        </w:rPr>
        <w:t>r</w:t>
      </w:r>
      <w:r w:rsidRPr="0071782F">
        <w:rPr>
          <w:lang w:val="fr-CH"/>
        </w:rPr>
        <w:t xml:space="preserve">es </w:t>
      </w:r>
      <w:r w:rsidR="00CB5AE0" w:rsidRPr="0071782F">
        <w:rPr>
          <w:lang w:val="fr-CH"/>
        </w:rPr>
        <w:t xml:space="preserve">sur les </w:t>
      </w:r>
      <w:r w:rsidRPr="0071782F">
        <w:rPr>
          <w:lang w:val="fr-CH"/>
        </w:rPr>
        <w:t>Arm</w:t>
      </w:r>
      <w:r w:rsidR="00CB5AE0" w:rsidRPr="0071782F">
        <w:rPr>
          <w:lang w:val="fr-CH"/>
        </w:rPr>
        <w:t>é</w:t>
      </w:r>
      <w:r w:rsidRPr="0071782F">
        <w:rPr>
          <w:lang w:val="fr-CH"/>
        </w:rPr>
        <w:t>ni</w:t>
      </w:r>
      <w:r w:rsidR="00CB5AE0" w:rsidRPr="0071782F">
        <w:rPr>
          <w:lang w:val="fr-CH"/>
        </w:rPr>
        <w:t>e</w:t>
      </w:r>
      <w:r w:rsidRPr="0071782F">
        <w:rPr>
          <w:lang w:val="fr-CH"/>
        </w:rPr>
        <w:t xml:space="preserve">ns, </w:t>
      </w:r>
      <w:r w:rsidR="00CB5AE0" w:rsidRPr="0071782F">
        <w:rPr>
          <w:lang w:val="fr-CH"/>
        </w:rPr>
        <w:t>la littérature et l’église a</w:t>
      </w:r>
      <w:r w:rsidRPr="0071782F">
        <w:rPr>
          <w:lang w:val="fr-CH"/>
        </w:rPr>
        <w:t>rm</w:t>
      </w:r>
      <w:r w:rsidR="00CB5AE0" w:rsidRPr="0071782F">
        <w:rPr>
          <w:lang w:val="fr-CH"/>
        </w:rPr>
        <w:t>é</w:t>
      </w:r>
      <w:r w:rsidRPr="0071782F">
        <w:rPr>
          <w:lang w:val="fr-CH"/>
        </w:rPr>
        <w:t>ni</w:t>
      </w:r>
      <w:r w:rsidR="00CB5AE0" w:rsidRPr="0071782F">
        <w:rPr>
          <w:lang w:val="fr-CH"/>
        </w:rPr>
        <w:t>ennes</w:t>
      </w:r>
      <w:r w:rsidRPr="0071782F">
        <w:rPr>
          <w:lang w:val="fr-CH"/>
        </w:rPr>
        <w:t xml:space="preserve">, etc., </w:t>
      </w:r>
      <w:r w:rsidR="00CB5AE0" w:rsidRPr="0071782F">
        <w:rPr>
          <w:lang w:val="fr-CH"/>
        </w:rPr>
        <w:t>tant en arménien qu’en persan</w:t>
      </w:r>
      <w:r w:rsidRPr="0071782F">
        <w:rPr>
          <w:lang w:val="fr-CH"/>
        </w:rPr>
        <w:t>.</w:t>
      </w:r>
    </w:p>
    <w:p w:rsidR="00963C03" w:rsidRPr="0071782F" w:rsidRDefault="00963C03" w:rsidP="00FF61F7">
      <w:pPr>
        <w:pStyle w:val="SingleTxtG"/>
        <w:rPr>
          <w:lang w:val="fr-CH"/>
        </w:rPr>
      </w:pPr>
      <w:r w:rsidRPr="0071782F">
        <w:rPr>
          <w:lang w:val="fr-CH"/>
        </w:rPr>
        <w:t>485.</w:t>
      </w:r>
      <w:r w:rsidRPr="0071782F">
        <w:rPr>
          <w:lang w:val="fr-CH"/>
        </w:rPr>
        <w:tab/>
      </w:r>
      <w:r w:rsidR="008A6633" w:rsidRPr="0071782F">
        <w:rPr>
          <w:lang w:val="fr-CH"/>
        </w:rPr>
        <w:t>Les groupes sportifs chrétiens organisent régulièrement diverses compétitions sportives dans tout le pays, notamment le trophée sportif Tamuz 6</w:t>
      </w:r>
      <w:r w:rsidR="00240E7D">
        <w:rPr>
          <w:lang w:val="fr-CH"/>
        </w:rPr>
        <w:t> </w:t>
      </w:r>
      <w:r w:rsidRPr="0071782F">
        <w:rPr>
          <w:lang w:val="fr-CH"/>
        </w:rPr>
        <w:t>751.</w:t>
      </w:r>
    </w:p>
    <w:p w:rsidR="00963C03" w:rsidRPr="0071782F" w:rsidRDefault="00963C03" w:rsidP="00FF61F7">
      <w:pPr>
        <w:pStyle w:val="SingleTxtG"/>
        <w:rPr>
          <w:lang w:val="fr-CH"/>
        </w:rPr>
      </w:pPr>
      <w:r w:rsidRPr="0071782F">
        <w:rPr>
          <w:lang w:val="fr-CH"/>
        </w:rPr>
        <w:t>486.</w:t>
      </w:r>
      <w:r w:rsidRPr="0071782F">
        <w:rPr>
          <w:lang w:val="fr-CH"/>
        </w:rPr>
        <w:tab/>
      </w:r>
      <w:r w:rsidR="008A6633" w:rsidRPr="0071782F">
        <w:rPr>
          <w:lang w:val="fr-CH"/>
        </w:rPr>
        <w:t>Les Zoroastrie</w:t>
      </w:r>
      <w:r w:rsidRPr="0071782F">
        <w:rPr>
          <w:lang w:val="fr-CH"/>
        </w:rPr>
        <w:t xml:space="preserve">ns, </w:t>
      </w:r>
      <w:r w:rsidR="008A6633" w:rsidRPr="0071782F">
        <w:rPr>
          <w:lang w:val="fr-CH"/>
        </w:rPr>
        <w:t xml:space="preserve">qui vivent essentiellement dans les cinq </w:t>
      </w:r>
      <w:r w:rsidRPr="0071782F">
        <w:rPr>
          <w:lang w:val="fr-CH"/>
        </w:rPr>
        <w:t xml:space="preserve">provinces </w:t>
      </w:r>
      <w:r w:rsidR="008A6633" w:rsidRPr="0071782F">
        <w:rPr>
          <w:lang w:val="fr-CH"/>
        </w:rPr>
        <w:t xml:space="preserve">de </w:t>
      </w:r>
      <w:r w:rsidRPr="0071782F">
        <w:rPr>
          <w:lang w:val="fr-CH"/>
        </w:rPr>
        <w:t>T</w:t>
      </w:r>
      <w:r w:rsidR="008A6633" w:rsidRPr="0071782F">
        <w:rPr>
          <w:lang w:val="fr-CH"/>
        </w:rPr>
        <w:t>é</w:t>
      </w:r>
      <w:r w:rsidRPr="0071782F">
        <w:rPr>
          <w:lang w:val="fr-CH"/>
        </w:rPr>
        <w:t>h</w:t>
      </w:r>
      <w:r w:rsidR="008A6633" w:rsidRPr="0071782F">
        <w:rPr>
          <w:lang w:val="fr-CH"/>
        </w:rPr>
        <w:t>é</w:t>
      </w:r>
      <w:r w:rsidRPr="0071782F">
        <w:rPr>
          <w:lang w:val="fr-CH"/>
        </w:rPr>
        <w:t xml:space="preserve">ran, Yazd, Kerman, Shiraz </w:t>
      </w:r>
      <w:r w:rsidR="008A6633" w:rsidRPr="0071782F">
        <w:rPr>
          <w:lang w:val="fr-CH"/>
        </w:rPr>
        <w:t>et Ispahan</w:t>
      </w:r>
      <w:r w:rsidRPr="0071782F">
        <w:rPr>
          <w:lang w:val="fr-CH"/>
        </w:rPr>
        <w:t xml:space="preserve">, </w:t>
      </w:r>
      <w:r w:rsidR="008A6633" w:rsidRPr="0071782F">
        <w:rPr>
          <w:lang w:val="fr-CH"/>
        </w:rPr>
        <w:t xml:space="preserve">ont comme tous les autres </w:t>
      </w:r>
      <w:r w:rsidRPr="0071782F">
        <w:rPr>
          <w:lang w:val="fr-CH"/>
        </w:rPr>
        <w:t>Irani</w:t>
      </w:r>
      <w:r w:rsidR="008A6633" w:rsidRPr="0071782F">
        <w:rPr>
          <w:lang w:val="fr-CH"/>
        </w:rPr>
        <w:t>e</w:t>
      </w:r>
      <w:r w:rsidRPr="0071782F">
        <w:rPr>
          <w:lang w:val="fr-CH"/>
        </w:rPr>
        <w:t>ns</w:t>
      </w:r>
      <w:r w:rsidR="008A6633" w:rsidRPr="0071782F">
        <w:rPr>
          <w:lang w:val="fr-CH"/>
        </w:rPr>
        <w:t xml:space="preserve"> le droit de participer aux affaires culturelles</w:t>
      </w:r>
      <w:r w:rsidRPr="0071782F">
        <w:rPr>
          <w:lang w:val="fr-CH"/>
        </w:rPr>
        <w:t>, social</w:t>
      </w:r>
      <w:r w:rsidR="008A6633" w:rsidRPr="0071782F">
        <w:rPr>
          <w:lang w:val="fr-CH"/>
        </w:rPr>
        <w:t>es</w:t>
      </w:r>
      <w:r w:rsidRPr="0071782F">
        <w:rPr>
          <w:lang w:val="fr-CH"/>
        </w:rPr>
        <w:t>, artisti</w:t>
      </w:r>
      <w:r w:rsidR="008A6633" w:rsidRPr="0071782F">
        <w:rPr>
          <w:lang w:val="fr-CH"/>
        </w:rPr>
        <w:t>ques et autres</w:t>
      </w:r>
      <w:r w:rsidRPr="0071782F">
        <w:rPr>
          <w:lang w:val="fr-CH"/>
        </w:rPr>
        <w:t>.</w:t>
      </w:r>
    </w:p>
    <w:p w:rsidR="00963C03" w:rsidRPr="0071782F" w:rsidRDefault="00963C03" w:rsidP="00FF61F7">
      <w:pPr>
        <w:pStyle w:val="SingleTxtG"/>
        <w:rPr>
          <w:lang w:val="fr-CH"/>
        </w:rPr>
      </w:pPr>
      <w:r w:rsidRPr="0071782F">
        <w:rPr>
          <w:lang w:val="fr-CH"/>
        </w:rPr>
        <w:t>487.</w:t>
      </w:r>
      <w:r w:rsidRPr="0071782F">
        <w:rPr>
          <w:lang w:val="fr-CH"/>
        </w:rPr>
        <w:tab/>
      </w:r>
      <w:r w:rsidR="008A6633" w:rsidRPr="0071782F">
        <w:rPr>
          <w:lang w:val="fr-CH"/>
        </w:rPr>
        <w:t xml:space="preserve">Les Zoroastriens ont </w:t>
      </w:r>
      <w:r w:rsidRPr="0071782F">
        <w:rPr>
          <w:lang w:val="fr-CH"/>
        </w:rPr>
        <w:t xml:space="preserve">38 </w:t>
      </w:r>
      <w:r w:rsidR="008A6633" w:rsidRPr="0071782F">
        <w:rPr>
          <w:lang w:val="fr-CH"/>
        </w:rPr>
        <w:t>centres d’enseignement</w:t>
      </w:r>
      <w:r w:rsidRPr="0071782F">
        <w:rPr>
          <w:lang w:val="fr-CH"/>
        </w:rPr>
        <w:t xml:space="preserve">, 40 </w:t>
      </w:r>
      <w:r w:rsidR="008A6633" w:rsidRPr="0071782F">
        <w:rPr>
          <w:lang w:val="fr-CH"/>
        </w:rPr>
        <w:t xml:space="preserve">centres </w:t>
      </w:r>
      <w:r w:rsidRPr="0071782F">
        <w:rPr>
          <w:lang w:val="fr-CH"/>
        </w:rPr>
        <w:t>cultur</w:t>
      </w:r>
      <w:r w:rsidR="008A6633" w:rsidRPr="0071782F">
        <w:rPr>
          <w:lang w:val="fr-CH"/>
        </w:rPr>
        <w:t>els</w:t>
      </w:r>
      <w:r w:rsidRPr="0071782F">
        <w:rPr>
          <w:lang w:val="fr-CH"/>
        </w:rPr>
        <w:t xml:space="preserve">, 40 </w:t>
      </w:r>
      <w:r w:rsidR="008A6633" w:rsidRPr="0071782F">
        <w:rPr>
          <w:lang w:val="fr-CH"/>
        </w:rPr>
        <w:t xml:space="preserve">centres </w:t>
      </w:r>
      <w:r w:rsidRPr="0071782F">
        <w:rPr>
          <w:lang w:val="fr-CH"/>
        </w:rPr>
        <w:t>religi</w:t>
      </w:r>
      <w:r w:rsidR="008A6633" w:rsidRPr="0071782F">
        <w:rPr>
          <w:lang w:val="fr-CH"/>
        </w:rPr>
        <w:t>eux</w:t>
      </w:r>
      <w:r w:rsidRPr="0071782F">
        <w:rPr>
          <w:lang w:val="fr-CH"/>
        </w:rPr>
        <w:t xml:space="preserve">, </w:t>
      </w:r>
      <w:r w:rsidR="008A6633" w:rsidRPr="0071782F">
        <w:rPr>
          <w:lang w:val="fr-CH"/>
        </w:rPr>
        <w:t>neuf centres de soins médicaux</w:t>
      </w:r>
      <w:r w:rsidRPr="0071782F">
        <w:rPr>
          <w:lang w:val="fr-CH"/>
        </w:rPr>
        <w:t xml:space="preserve">, </w:t>
      </w:r>
      <w:r w:rsidR="008A6633" w:rsidRPr="0071782F">
        <w:rPr>
          <w:lang w:val="fr-CH"/>
        </w:rPr>
        <w:t>sept</w:t>
      </w:r>
      <w:r w:rsidRPr="0071782F">
        <w:rPr>
          <w:lang w:val="fr-CH"/>
        </w:rPr>
        <w:t xml:space="preserve"> </w:t>
      </w:r>
      <w:r w:rsidR="008A6633" w:rsidRPr="0071782F">
        <w:rPr>
          <w:lang w:val="fr-CH"/>
        </w:rPr>
        <w:t>bibliothèques</w:t>
      </w:r>
      <w:r w:rsidRPr="0071782F">
        <w:rPr>
          <w:lang w:val="fr-CH"/>
        </w:rPr>
        <w:t xml:space="preserve">, 10 </w:t>
      </w:r>
      <w:r w:rsidR="008A6633" w:rsidRPr="0071782F">
        <w:rPr>
          <w:lang w:val="fr-CH"/>
        </w:rPr>
        <w:t xml:space="preserve">centres </w:t>
      </w:r>
      <w:r w:rsidRPr="0071782F">
        <w:rPr>
          <w:lang w:val="fr-CH"/>
        </w:rPr>
        <w:t>sport</w:t>
      </w:r>
      <w:r w:rsidR="008A6633" w:rsidRPr="0071782F">
        <w:rPr>
          <w:lang w:val="fr-CH"/>
        </w:rPr>
        <w:t>if</w:t>
      </w:r>
      <w:r w:rsidRPr="0071782F">
        <w:rPr>
          <w:lang w:val="fr-CH"/>
        </w:rPr>
        <w:t>s, 36</w:t>
      </w:r>
      <w:r w:rsidR="00881286" w:rsidRPr="0071782F">
        <w:rPr>
          <w:lang w:val="fr-CH"/>
        </w:rPr>
        <w:t> </w:t>
      </w:r>
      <w:r w:rsidRPr="0071782F">
        <w:rPr>
          <w:lang w:val="fr-CH"/>
        </w:rPr>
        <w:t xml:space="preserve">associations </w:t>
      </w:r>
      <w:r w:rsidR="008A6633" w:rsidRPr="0071782F">
        <w:rPr>
          <w:lang w:val="fr-CH"/>
        </w:rPr>
        <w:t>et</w:t>
      </w:r>
      <w:r w:rsidRPr="0071782F">
        <w:rPr>
          <w:lang w:val="fr-CH"/>
        </w:rPr>
        <w:t xml:space="preserve"> organi</w:t>
      </w:r>
      <w:r w:rsidR="008A6633" w:rsidRPr="0071782F">
        <w:rPr>
          <w:lang w:val="fr-CH"/>
        </w:rPr>
        <w:t>s</w:t>
      </w:r>
      <w:r w:rsidRPr="0071782F">
        <w:rPr>
          <w:lang w:val="fr-CH"/>
        </w:rPr>
        <w:t xml:space="preserve">ations </w:t>
      </w:r>
      <w:r w:rsidR="008A6633" w:rsidRPr="0071782F">
        <w:rPr>
          <w:lang w:val="fr-CH"/>
        </w:rPr>
        <w:t>à</w:t>
      </w:r>
      <w:r w:rsidRPr="0071782F">
        <w:rPr>
          <w:lang w:val="fr-CH"/>
        </w:rPr>
        <w:t xml:space="preserve"> T</w:t>
      </w:r>
      <w:r w:rsidR="008A6633" w:rsidRPr="0071782F">
        <w:rPr>
          <w:lang w:val="fr-CH"/>
        </w:rPr>
        <w:t>é</w:t>
      </w:r>
      <w:r w:rsidRPr="0071782F">
        <w:rPr>
          <w:lang w:val="fr-CH"/>
        </w:rPr>
        <w:t>h</w:t>
      </w:r>
      <w:r w:rsidR="008A6633" w:rsidRPr="0071782F">
        <w:rPr>
          <w:lang w:val="fr-CH"/>
        </w:rPr>
        <w:t>é</w:t>
      </w:r>
      <w:r w:rsidRPr="0071782F">
        <w:rPr>
          <w:lang w:val="fr-CH"/>
        </w:rPr>
        <w:t xml:space="preserve">ran, 22 </w:t>
      </w:r>
      <w:r w:rsidR="008A6633" w:rsidRPr="0071782F">
        <w:rPr>
          <w:lang w:val="fr-CH"/>
        </w:rPr>
        <w:t>lieux de culte</w:t>
      </w:r>
      <w:r w:rsidRPr="0071782F">
        <w:rPr>
          <w:lang w:val="fr-CH"/>
        </w:rPr>
        <w:t xml:space="preserve">, </w:t>
      </w:r>
      <w:r w:rsidR="008A6633" w:rsidRPr="0071782F">
        <w:rPr>
          <w:lang w:val="fr-CH"/>
        </w:rPr>
        <w:t>six lieux de pèlerinage et</w:t>
      </w:r>
      <w:r w:rsidRPr="0071782F">
        <w:rPr>
          <w:lang w:val="fr-CH"/>
        </w:rPr>
        <w:t xml:space="preserve"> </w:t>
      </w:r>
      <w:r w:rsidR="008A6633" w:rsidRPr="0071782F">
        <w:rPr>
          <w:lang w:val="fr-CH"/>
        </w:rPr>
        <w:t xml:space="preserve">quatre clubs </w:t>
      </w:r>
      <w:r w:rsidRPr="0071782F">
        <w:rPr>
          <w:lang w:val="fr-CH"/>
        </w:rPr>
        <w:t>sport</w:t>
      </w:r>
      <w:r w:rsidR="008A6633" w:rsidRPr="0071782F">
        <w:rPr>
          <w:lang w:val="fr-CH"/>
        </w:rPr>
        <w:t>if</w:t>
      </w:r>
      <w:r w:rsidRPr="0071782F">
        <w:rPr>
          <w:lang w:val="fr-CH"/>
        </w:rPr>
        <w:t xml:space="preserve">s </w:t>
      </w:r>
      <w:r w:rsidR="008A6633" w:rsidRPr="0071782F">
        <w:rPr>
          <w:lang w:val="fr-CH"/>
        </w:rPr>
        <w:t>et</w:t>
      </w:r>
      <w:r w:rsidRPr="0071782F">
        <w:rPr>
          <w:lang w:val="fr-CH"/>
        </w:rPr>
        <w:t xml:space="preserve"> art</w:t>
      </w:r>
      <w:r w:rsidR="008A6633" w:rsidRPr="0071782F">
        <w:rPr>
          <w:lang w:val="fr-CH"/>
        </w:rPr>
        <w:t>istique</w:t>
      </w:r>
      <w:r w:rsidRPr="0071782F">
        <w:rPr>
          <w:lang w:val="fr-CH"/>
        </w:rPr>
        <w:t xml:space="preserve">s </w:t>
      </w:r>
      <w:r w:rsidR="008A6633" w:rsidRPr="0071782F">
        <w:rPr>
          <w:lang w:val="fr-CH"/>
        </w:rPr>
        <w:t>dans les villes de Shiraz, Kerman et</w:t>
      </w:r>
      <w:r w:rsidRPr="0071782F">
        <w:rPr>
          <w:lang w:val="fr-CH"/>
        </w:rPr>
        <w:t xml:space="preserve"> Yazd.</w:t>
      </w:r>
    </w:p>
    <w:p w:rsidR="00963C03" w:rsidRPr="0071782F" w:rsidRDefault="00963C03" w:rsidP="00AA22EB">
      <w:pPr>
        <w:pStyle w:val="SingleTxtG"/>
        <w:rPr>
          <w:lang w:val="fr-CH"/>
        </w:rPr>
      </w:pPr>
      <w:r w:rsidRPr="0071782F">
        <w:rPr>
          <w:lang w:val="fr-CH"/>
        </w:rPr>
        <w:t>488.</w:t>
      </w:r>
      <w:r w:rsidRPr="0071782F">
        <w:rPr>
          <w:lang w:val="fr-CH"/>
        </w:rPr>
        <w:tab/>
      </w:r>
      <w:r w:rsidR="008A74CC" w:rsidRPr="0071782F">
        <w:rPr>
          <w:lang w:val="fr-CH"/>
        </w:rPr>
        <w:t xml:space="preserve">Huit nouvelles associations zoroastriennes ont été créées en </w:t>
      </w:r>
      <w:r w:rsidRPr="0071782F">
        <w:rPr>
          <w:lang w:val="fr-CH"/>
        </w:rPr>
        <w:t xml:space="preserve">2000. </w:t>
      </w:r>
      <w:r w:rsidR="008A74CC" w:rsidRPr="0071782F">
        <w:rPr>
          <w:lang w:val="fr-CH"/>
        </w:rPr>
        <w:t>E</w:t>
      </w:r>
      <w:r w:rsidRPr="0071782F">
        <w:rPr>
          <w:lang w:val="fr-CH"/>
        </w:rPr>
        <w:t xml:space="preserve">n 2002, </w:t>
      </w:r>
      <w:r w:rsidR="008A74CC" w:rsidRPr="0071782F">
        <w:rPr>
          <w:lang w:val="fr-CH"/>
        </w:rPr>
        <w:t>il y avait deux éditeurs et quatre périodiques zoroastriens</w:t>
      </w:r>
      <w:r w:rsidRPr="0071782F">
        <w:rPr>
          <w:lang w:val="fr-CH"/>
        </w:rPr>
        <w:t xml:space="preserve">. </w:t>
      </w:r>
      <w:r w:rsidR="008A74CC" w:rsidRPr="0071782F">
        <w:rPr>
          <w:lang w:val="fr-CH"/>
        </w:rPr>
        <w:t xml:space="preserve">À la fin de 2001, </w:t>
      </w:r>
      <w:r w:rsidRPr="0071782F">
        <w:rPr>
          <w:lang w:val="fr-CH"/>
        </w:rPr>
        <w:t xml:space="preserve">87 </w:t>
      </w:r>
      <w:r w:rsidR="008A74CC" w:rsidRPr="0071782F">
        <w:rPr>
          <w:lang w:val="fr-CH"/>
        </w:rPr>
        <w:t>titres z</w:t>
      </w:r>
      <w:r w:rsidRPr="0071782F">
        <w:rPr>
          <w:lang w:val="fr-CH"/>
        </w:rPr>
        <w:t>oroastri</w:t>
      </w:r>
      <w:r w:rsidR="008A74CC" w:rsidRPr="0071782F">
        <w:rPr>
          <w:lang w:val="fr-CH"/>
        </w:rPr>
        <w:t>ens avaient été publiés</w:t>
      </w:r>
      <w:r w:rsidRPr="0071782F">
        <w:rPr>
          <w:lang w:val="fr-CH"/>
        </w:rPr>
        <w:t>.</w:t>
      </w:r>
    </w:p>
    <w:p w:rsidR="00963C03" w:rsidRPr="0071782F" w:rsidRDefault="00963C03" w:rsidP="00AA22EB">
      <w:pPr>
        <w:pStyle w:val="SingleTxtG"/>
        <w:rPr>
          <w:lang w:val="fr-CH"/>
        </w:rPr>
      </w:pPr>
      <w:r w:rsidRPr="0071782F">
        <w:rPr>
          <w:lang w:val="fr-CH"/>
        </w:rPr>
        <w:t>489.</w:t>
      </w:r>
      <w:r w:rsidRPr="0071782F">
        <w:rPr>
          <w:lang w:val="fr-CH"/>
        </w:rPr>
        <w:tab/>
      </w:r>
      <w:r w:rsidR="008A74CC" w:rsidRPr="0071782F">
        <w:rPr>
          <w:lang w:val="fr-CH"/>
        </w:rPr>
        <w:t>Au nombre des autres activités des Zoroastrie</w:t>
      </w:r>
      <w:r w:rsidRPr="0071782F">
        <w:rPr>
          <w:lang w:val="fr-CH"/>
        </w:rPr>
        <w:t>ns</w:t>
      </w:r>
      <w:r w:rsidR="008A74CC" w:rsidRPr="0071782F">
        <w:rPr>
          <w:lang w:val="fr-CH"/>
        </w:rPr>
        <w:t>, il convient de mentionner le Festival national de théâtre zoroastrien, le sixième Congrès mondial z</w:t>
      </w:r>
      <w:r w:rsidRPr="0071782F">
        <w:rPr>
          <w:lang w:val="fr-CH"/>
        </w:rPr>
        <w:t>oroastri</w:t>
      </w:r>
      <w:r w:rsidR="008A74CC" w:rsidRPr="0071782F">
        <w:rPr>
          <w:lang w:val="fr-CH"/>
        </w:rPr>
        <w:t>e</w:t>
      </w:r>
      <w:r w:rsidRPr="0071782F">
        <w:rPr>
          <w:lang w:val="fr-CH"/>
        </w:rPr>
        <w:t>n</w:t>
      </w:r>
      <w:r w:rsidR="008A74CC" w:rsidRPr="0071782F">
        <w:rPr>
          <w:lang w:val="fr-CH"/>
        </w:rPr>
        <w:t xml:space="preserve"> de 2000</w:t>
      </w:r>
      <w:r w:rsidRPr="0071782F">
        <w:rPr>
          <w:lang w:val="fr-CH"/>
        </w:rPr>
        <w:t xml:space="preserve">, </w:t>
      </w:r>
      <w:r w:rsidR="008A74CC" w:rsidRPr="0071782F">
        <w:rPr>
          <w:lang w:val="fr-CH"/>
        </w:rPr>
        <w:t>tenu à Téhéran, une conférence artistique de quatre jours tenue à</w:t>
      </w:r>
      <w:r w:rsidRPr="0071782F">
        <w:rPr>
          <w:lang w:val="fr-CH"/>
        </w:rPr>
        <w:t xml:space="preserve"> T</w:t>
      </w:r>
      <w:r w:rsidR="008A74CC" w:rsidRPr="0071782F">
        <w:rPr>
          <w:lang w:val="fr-CH"/>
        </w:rPr>
        <w:t>é</w:t>
      </w:r>
      <w:r w:rsidRPr="0071782F">
        <w:rPr>
          <w:lang w:val="fr-CH"/>
        </w:rPr>
        <w:t>h</w:t>
      </w:r>
      <w:r w:rsidR="008A74CC" w:rsidRPr="0071782F">
        <w:rPr>
          <w:lang w:val="fr-CH"/>
        </w:rPr>
        <w:t>é</w:t>
      </w:r>
      <w:r w:rsidRPr="0071782F">
        <w:rPr>
          <w:lang w:val="fr-CH"/>
        </w:rPr>
        <w:t xml:space="preserve">ran </w:t>
      </w:r>
      <w:r w:rsidR="008A74CC" w:rsidRPr="0071782F">
        <w:rPr>
          <w:lang w:val="fr-CH"/>
        </w:rPr>
        <w:t>e</w:t>
      </w:r>
      <w:r w:rsidRPr="0071782F">
        <w:rPr>
          <w:lang w:val="fr-CH"/>
        </w:rPr>
        <w:t xml:space="preserve">n 2000, </w:t>
      </w:r>
      <w:r w:rsidR="008A74CC" w:rsidRPr="0071782F">
        <w:rPr>
          <w:lang w:val="fr-CH"/>
        </w:rPr>
        <w:t xml:space="preserve">le Congrès </w:t>
      </w:r>
      <w:r w:rsidRPr="0071782F">
        <w:rPr>
          <w:lang w:val="fr-CH"/>
        </w:rPr>
        <w:t xml:space="preserve">international </w:t>
      </w:r>
      <w:r w:rsidR="008A74CC" w:rsidRPr="0071782F">
        <w:rPr>
          <w:lang w:val="fr-CH"/>
        </w:rPr>
        <w:t>de</w:t>
      </w:r>
      <w:r w:rsidRPr="0071782F">
        <w:rPr>
          <w:lang w:val="fr-CH"/>
        </w:rPr>
        <w:t xml:space="preserve"> c</w:t>
      </w:r>
      <w:r w:rsidR="008A74CC" w:rsidRPr="0071782F">
        <w:rPr>
          <w:lang w:val="fr-CH"/>
        </w:rPr>
        <w:t xml:space="preserve">élébration des </w:t>
      </w:r>
      <w:r w:rsidRPr="0071782F">
        <w:rPr>
          <w:lang w:val="fr-CH"/>
        </w:rPr>
        <w:t>3</w:t>
      </w:r>
      <w:r w:rsidR="008A74CC" w:rsidRPr="0071782F">
        <w:rPr>
          <w:lang w:val="fr-CH"/>
        </w:rPr>
        <w:t xml:space="preserve"> </w:t>
      </w:r>
      <w:r w:rsidRPr="0071782F">
        <w:rPr>
          <w:lang w:val="fr-CH"/>
        </w:rPr>
        <w:t>000</w:t>
      </w:r>
      <w:r w:rsidR="00D82C96" w:rsidRPr="0071782F">
        <w:rPr>
          <w:lang w:val="fr-CH"/>
        </w:rPr>
        <w:t> ans</w:t>
      </w:r>
      <w:r w:rsidR="008A74CC" w:rsidRPr="0071782F">
        <w:rPr>
          <w:lang w:val="fr-CH"/>
        </w:rPr>
        <w:t xml:space="preserve"> de culture z</w:t>
      </w:r>
      <w:r w:rsidRPr="0071782F">
        <w:rPr>
          <w:lang w:val="fr-CH"/>
        </w:rPr>
        <w:t>oroastri</w:t>
      </w:r>
      <w:r w:rsidR="008A74CC" w:rsidRPr="0071782F">
        <w:rPr>
          <w:lang w:val="fr-CH"/>
        </w:rPr>
        <w:t xml:space="preserve">enne, tenu à </w:t>
      </w:r>
      <w:r w:rsidRPr="0071782F">
        <w:rPr>
          <w:lang w:val="fr-CH"/>
        </w:rPr>
        <w:t>T</w:t>
      </w:r>
      <w:r w:rsidR="008A74CC" w:rsidRPr="0071782F">
        <w:rPr>
          <w:lang w:val="fr-CH"/>
        </w:rPr>
        <w:t>é</w:t>
      </w:r>
      <w:r w:rsidRPr="0071782F">
        <w:rPr>
          <w:lang w:val="fr-CH"/>
        </w:rPr>
        <w:t>h</w:t>
      </w:r>
      <w:r w:rsidR="008A74CC" w:rsidRPr="0071782F">
        <w:rPr>
          <w:lang w:val="fr-CH"/>
        </w:rPr>
        <w:t>é</w:t>
      </w:r>
      <w:r w:rsidRPr="0071782F">
        <w:rPr>
          <w:lang w:val="fr-CH"/>
        </w:rPr>
        <w:t xml:space="preserve">ran </w:t>
      </w:r>
      <w:r w:rsidR="008A74CC" w:rsidRPr="0071782F">
        <w:rPr>
          <w:lang w:val="fr-CH"/>
        </w:rPr>
        <w:t>e</w:t>
      </w:r>
      <w:r w:rsidRPr="0071782F">
        <w:rPr>
          <w:lang w:val="fr-CH"/>
        </w:rPr>
        <w:t xml:space="preserve">n 2003, </w:t>
      </w:r>
      <w:r w:rsidR="008A74CC" w:rsidRPr="0071782F">
        <w:rPr>
          <w:lang w:val="fr-CH"/>
        </w:rPr>
        <w:t xml:space="preserve">et six </w:t>
      </w:r>
      <w:r w:rsidRPr="0071782F">
        <w:rPr>
          <w:lang w:val="fr-CH"/>
        </w:rPr>
        <w:t>comp</w:t>
      </w:r>
      <w:r w:rsidR="008A74CC" w:rsidRPr="0071782F">
        <w:rPr>
          <w:lang w:val="fr-CH"/>
        </w:rPr>
        <w:t>é</w:t>
      </w:r>
      <w:r w:rsidRPr="0071782F">
        <w:rPr>
          <w:lang w:val="fr-CH"/>
        </w:rPr>
        <w:t>titions</w:t>
      </w:r>
      <w:r w:rsidR="008A74CC" w:rsidRPr="0071782F">
        <w:rPr>
          <w:lang w:val="fr-CH"/>
        </w:rPr>
        <w:t xml:space="preserve"> sportives</w:t>
      </w:r>
      <w:r w:rsidRPr="0071782F">
        <w:rPr>
          <w:lang w:val="fr-CH"/>
        </w:rPr>
        <w:t xml:space="preserve">, </w:t>
      </w:r>
      <w:r w:rsidR="008A74CC" w:rsidRPr="0071782F">
        <w:rPr>
          <w:lang w:val="fr-CH"/>
        </w:rPr>
        <w:t>dont l’une était organisée pour les femmes</w:t>
      </w:r>
      <w:r w:rsidRPr="0071782F">
        <w:rPr>
          <w:lang w:val="fr-CH"/>
        </w:rPr>
        <w:t>.</w:t>
      </w:r>
    </w:p>
    <w:p w:rsidR="00963C03" w:rsidRPr="0071782F" w:rsidRDefault="00963C03" w:rsidP="00AA22EB">
      <w:pPr>
        <w:pStyle w:val="SingleTxtG"/>
        <w:rPr>
          <w:lang w:val="fr-CH"/>
        </w:rPr>
      </w:pPr>
      <w:r w:rsidRPr="0071782F">
        <w:rPr>
          <w:lang w:val="fr-CH"/>
        </w:rPr>
        <w:t>490.</w:t>
      </w:r>
      <w:r w:rsidRPr="0071782F">
        <w:rPr>
          <w:lang w:val="fr-CH"/>
        </w:rPr>
        <w:tab/>
      </w:r>
      <w:r w:rsidR="006036DC" w:rsidRPr="0071782F">
        <w:rPr>
          <w:lang w:val="fr-CH"/>
        </w:rPr>
        <w:t xml:space="preserve">La majorité des juifs iraniens vivent dans les villes de </w:t>
      </w:r>
      <w:r w:rsidRPr="0071782F">
        <w:rPr>
          <w:lang w:val="fr-CH"/>
        </w:rPr>
        <w:t>T</w:t>
      </w:r>
      <w:r w:rsidR="006036DC" w:rsidRPr="0071782F">
        <w:rPr>
          <w:lang w:val="fr-CH"/>
        </w:rPr>
        <w:t>é</w:t>
      </w:r>
      <w:r w:rsidRPr="0071782F">
        <w:rPr>
          <w:lang w:val="fr-CH"/>
        </w:rPr>
        <w:t>h</w:t>
      </w:r>
      <w:r w:rsidR="006036DC" w:rsidRPr="0071782F">
        <w:rPr>
          <w:lang w:val="fr-CH"/>
        </w:rPr>
        <w:t>é</w:t>
      </w:r>
      <w:r w:rsidRPr="0071782F">
        <w:rPr>
          <w:lang w:val="fr-CH"/>
        </w:rPr>
        <w:t xml:space="preserve">ran, Shiraz, </w:t>
      </w:r>
      <w:r w:rsidR="00A56628" w:rsidRPr="0071782F">
        <w:rPr>
          <w:lang w:val="fr-CH"/>
        </w:rPr>
        <w:t>Ispahan</w:t>
      </w:r>
      <w:r w:rsidRPr="0071782F">
        <w:rPr>
          <w:lang w:val="fr-CH"/>
        </w:rPr>
        <w:t>, Rafsanjan, Kerman, Sanandaj, Hamedan, Kermanshah</w:t>
      </w:r>
      <w:r w:rsidR="00A56628" w:rsidRPr="0071782F">
        <w:rPr>
          <w:lang w:val="fr-CH"/>
        </w:rPr>
        <w:t xml:space="preserve"> et</w:t>
      </w:r>
      <w:r w:rsidRPr="0071782F">
        <w:rPr>
          <w:lang w:val="fr-CH"/>
        </w:rPr>
        <w:t xml:space="preserve"> Yazd. </w:t>
      </w:r>
      <w:r w:rsidR="00A56628" w:rsidRPr="0071782F">
        <w:rPr>
          <w:lang w:val="fr-CH"/>
        </w:rPr>
        <w:t xml:space="preserve">Ils célèbrent régulièrement leur culte dans </w:t>
      </w:r>
      <w:r w:rsidRPr="0071782F">
        <w:rPr>
          <w:lang w:val="fr-CH"/>
        </w:rPr>
        <w:t>76 synagogues.</w:t>
      </w:r>
    </w:p>
    <w:p w:rsidR="00963C03" w:rsidRPr="0071782F" w:rsidRDefault="00963C03" w:rsidP="00AA22EB">
      <w:pPr>
        <w:pStyle w:val="SingleTxtG"/>
        <w:rPr>
          <w:lang w:val="fr-CH"/>
        </w:rPr>
      </w:pPr>
      <w:r w:rsidRPr="0071782F">
        <w:rPr>
          <w:lang w:val="fr-CH"/>
        </w:rPr>
        <w:t>491.</w:t>
      </w:r>
      <w:r w:rsidRPr="0071782F">
        <w:rPr>
          <w:lang w:val="fr-CH"/>
        </w:rPr>
        <w:tab/>
      </w:r>
      <w:r w:rsidR="00A56628" w:rsidRPr="0071782F">
        <w:rPr>
          <w:lang w:val="fr-CH"/>
        </w:rPr>
        <w:t xml:space="preserve">Il </w:t>
      </w:r>
      <w:r w:rsidRPr="0071782F">
        <w:rPr>
          <w:lang w:val="fr-CH"/>
        </w:rPr>
        <w:t>exist</w:t>
      </w:r>
      <w:r w:rsidR="00A56628" w:rsidRPr="0071782F">
        <w:rPr>
          <w:lang w:val="fr-CH"/>
        </w:rPr>
        <w:t>e</w:t>
      </w:r>
      <w:r w:rsidRPr="0071782F">
        <w:rPr>
          <w:lang w:val="fr-CH"/>
        </w:rPr>
        <w:t xml:space="preserve"> 19 associations </w:t>
      </w:r>
      <w:r w:rsidR="00A56628" w:rsidRPr="0071782F">
        <w:rPr>
          <w:lang w:val="fr-CH"/>
        </w:rPr>
        <w:t xml:space="preserve">et organisations étrangères juives à </w:t>
      </w:r>
      <w:r w:rsidRPr="0071782F">
        <w:rPr>
          <w:lang w:val="fr-CH"/>
        </w:rPr>
        <w:t>T</w:t>
      </w:r>
      <w:r w:rsidR="00A56628" w:rsidRPr="0071782F">
        <w:rPr>
          <w:lang w:val="fr-CH"/>
        </w:rPr>
        <w:t>é</w:t>
      </w:r>
      <w:r w:rsidRPr="0071782F">
        <w:rPr>
          <w:lang w:val="fr-CH"/>
        </w:rPr>
        <w:t>h</w:t>
      </w:r>
      <w:r w:rsidR="00A56628" w:rsidRPr="0071782F">
        <w:rPr>
          <w:lang w:val="fr-CH"/>
        </w:rPr>
        <w:t>é</w:t>
      </w:r>
      <w:r w:rsidRPr="0071782F">
        <w:rPr>
          <w:lang w:val="fr-CH"/>
        </w:rPr>
        <w:t xml:space="preserve">ran, 13 associations </w:t>
      </w:r>
      <w:r w:rsidR="00A56628" w:rsidRPr="0071782F">
        <w:rPr>
          <w:lang w:val="fr-CH"/>
        </w:rPr>
        <w:t xml:space="preserve">à </w:t>
      </w:r>
      <w:r w:rsidRPr="0071782F">
        <w:rPr>
          <w:lang w:val="fr-CH"/>
        </w:rPr>
        <w:t>Shiraz</w:t>
      </w:r>
      <w:r w:rsidR="00A56628" w:rsidRPr="0071782F">
        <w:rPr>
          <w:lang w:val="fr-CH"/>
        </w:rPr>
        <w:t xml:space="preserve"> et plusieurs </w:t>
      </w:r>
      <w:r w:rsidRPr="0071782F">
        <w:rPr>
          <w:lang w:val="fr-CH"/>
        </w:rPr>
        <w:t xml:space="preserve">associations </w:t>
      </w:r>
      <w:r w:rsidR="00A56628" w:rsidRPr="0071782F">
        <w:rPr>
          <w:lang w:val="fr-CH"/>
        </w:rPr>
        <w:t>dans d’autres villes</w:t>
      </w:r>
      <w:r w:rsidRPr="0071782F">
        <w:rPr>
          <w:lang w:val="fr-CH"/>
        </w:rPr>
        <w:t>.</w:t>
      </w:r>
    </w:p>
    <w:p w:rsidR="00963C03" w:rsidRPr="0071782F" w:rsidRDefault="00963C03" w:rsidP="00AA22EB">
      <w:pPr>
        <w:pStyle w:val="SingleTxtG"/>
        <w:rPr>
          <w:lang w:val="fr-CH"/>
        </w:rPr>
      </w:pPr>
      <w:r w:rsidRPr="0071782F">
        <w:rPr>
          <w:lang w:val="fr-CH"/>
        </w:rPr>
        <w:t>492.</w:t>
      </w:r>
      <w:r w:rsidRPr="0071782F">
        <w:rPr>
          <w:lang w:val="fr-CH"/>
        </w:rPr>
        <w:tab/>
      </w:r>
      <w:r w:rsidR="00A56628" w:rsidRPr="0071782F">
        <w:rPr>
          <w:lang w:val="fr-CH"/>
        </w:rPr>
        <w:t>L’une des activités culturelles et artistiques des juifs est l’organisation, depuis six</w:t>
      </w:r>
      <w:r w:rsidR="00D82C96" w:rsidRPr="0071782F">
        <w:rPr>
          <w:lang w:val="fr-CH"/>
        </w:rPr>
        <w:t> ans</w:t>
      </w:r>
      <w:r w:rsidR="00A56628" w:rsidRPr="0071782F">
        <w:rPr>
          <w:lang w:val="fr-CH"/>
        </w:rPr>
        <w:t>, du Festival de culture et d’art juifs d’Iran</w:t>
      </w:r>
      <w:r w:rsidRPr="0071782F">
        <w:rPr>
          <w:lang w:val="fr-CH"/>
        </w:rPr>
        <w:t xml:space="preserve">. </w:t>
      </w:r>
      <w:r w:rsidR="00A56628" w:rsidRPr="0071782F">
        <w:rPr>
          <w:lang w:val="fr-CH"/>
        </w:rPr>
        <w:t>L’</w:t>
      </w:r>
      <w:r w:rsidRPr="0071782F">
        <w:rPr>
          <w:lang w:val="fr-CH"/>
        </w:rPr>
        <w:t xml:space="preserve">Association </w:t>
      </w:r>
      <w:r w:rsidR="00A56628" w:rsidRPr="0071782F">
        <w:rPr>
          <w:lang w:val="fr-CH"/>
        </w:rPr>
        <w:t xml:space="preserve">d’édition juive d’Iran publie des livres sur le judaïsme. La publication la plus récente, intitulée </w:t>
      </w:r>
      <w:r w:rsidRPr="0071782F">
        <w:rPr>
          <w:i/>
          <w:lang w:val="fr-CH"/>
        </w:rPr>
        <w:t>Tahilim</w:t>
      </w:r>
      <w:r w:rsidRPr="0071782F">
        <w:rPr>
          <w:lang w:val="fr-CH"/>
        </w:rPr>
        <w:t xml:space="preserve">, </w:t>
      </w:r>
      <w:r w:rsidR="00A56628" w:rsidRPr="0071782F">
        <w:rPr>
          <w:lang w:val="fr-CH"/>
        </w:rPr>
        <w:t>est une traduction des Psaumes en persan</w:t>
      </w:r>
      <w:r w:rsidRPr="0071782F">
        <w:rPr>
          <w:lang w:val="fr-CH"/>
        </w:rPr>
        <w:t>.</w:t>
      </w:r>
    </w:p>
    <w:p w:rsidR="00963C03" w:rsidRPr="0071782F" w:rsidRDefault="00963C03" w:rsidP="00AA22EB">
      <w:pPr>
        <w:pStyle w:val="SingleTxtG"/>
        <w:rPr>
          <w:lang w:val="fr-CH"/>
        </w:rPr>
      </w:pPr>
      <w:r w:rsidRPr="0071782F">
        <w:rPr>
          <w:lang w:val="fr-CH"/>
        </w:rPr>
        <w:t>493.</w:t>
      </w:r>
      <w:r w:rsidRPr="0071782F">
        <w:rPr>
          <w:lang w:val="fr-CH"/>
        </w:rPr>
        <w:tab/>
      </w:r>
      <w:r w:rsidR="009D7F16" w:rsidRPr="0071782F">
        <w:rPr>
          <w:lang w:val="fr-CH"/>
        </w:rPr>
        <w:t xml:space="preserve">Aujourd’hui, les poètes juifs entretiennent des liens étroits avec la littérature persane. Les jeunes et les universitaires iraniens, tant musulmans que juifs, participent régulièrement à des récitals de poésie et y présentent leurs </w:t>
      </w:r>
      <w:r w:rsidR="00D5366B" w:rsidRPr="0071782F">
        <w:rPr>
          <w:lang w:val="fr-CH"/>
        </w:rPr>
        <w:t>œuvre</w:t>
      </w:r>
      <w:r w:rsidR="009D7F16" w:rsidRPr="0071782F">
        <w:rPr>
          <w:lang w:val="fr-CH"/>
        </w:rPr>
        <w:t>s</w:t>
      </w:r>
      <w:r w:rsidRPr="0071782F">
        <w:rPr>
          <w:lang w:val="fr-CH"/>
        </w:rPr>
        <w:t>.</w:t>
      </w:r>
    </w:p>
    <w:p w:rsidR="00963C03" w:rsidRPr="0071782F" w:rsidRDefault="00963C03" w:rsidP="00AA22EB">
      <w:pPr>
        <w:pStyle w:val="SingleTxtG"/>
        <w:rPr>
          <w:lang w:val="fr-CH"/>
        </w:rPr>
      </w:pPr>
      <w:r w:rsidRPr="0071782F">
        <w:rPr>
          <w:lang w:val="fr-CH"/>
        </w:rPr>
        <w:t>494.</w:t>
      </w:r>
      <w:r w:rsidRPr="0071782F">
        <w:rPr>
          <w:lang w:val="fr-CH"/>
        </w:rPr>
        <w:tab/>
      </w:r>
      <w:r w:rsidR="00B9017B" w:rsidRPr="0071782F">
        <w:rPr>
          <w:lang w:val="fr-CH"/>
        </w:rPr>
        <w:t xml:space="preserve">La </w:t>
      </w:r>
      <w:r w:rsidRPr="0071782F">
        <w:rPr>
          <w:lang w:val="fr-CH"/>
        </w:rPr>
        <w:t>pr</w:t>
      </w:r>
      <w:r w:rsidR="00B9017B" w:rsidRPr="0071782F">
        <w:rPr>
          <w:lang w:val="fr-CH"/>
        </w:rPr>
        <w:t>é</w:t>
      </w:r>
      <w:r w:rsidRPr="0071782F">
        <w:rPr>
          <w:lang w:val="fr-CH"/>
        </w:rPr>
        <w:t xml:space="preserve">sence </w:t>
      </w:r>
      <w:r w:rsidR="00B9017B" w:rsidRPr="0071782F">
        <w:rPr>
          <w:lang w:val="fr-CH"/>
        </w:rPr>
        <w:t>d’un cinéaste juif parmi les metteurs en scène les plus populaires d’Iran est révélatrice de la coopération existant entre les musulmans et les minorités religieuses du pays</w:t>
      </w:r>
      <w:r w:rsidRPr="0071782F">
        <w:rPr>
          <w:lang w:val="fr-CH"/>
        </w:rPr>
        <w:t>.</w:t>
      </w:r>
    </w:p>
    <w:p w:rsidR="00963C03" w:rsidRPr="0071782F" w:rsidRDefault="00963C03" w:rsidP="00AA22EB">
      <w:pPr>
        <w:pStyle w:val="SingleTxtG"/>
        <w:rPr>
          <w:lang w:val="fr-CH"/>
        </w:rPr>
      </w:pPr>
      <w:r w:rsidRPr="0071782F">
        <w:rPr>
          <w:lang w:val="fr-CH"/>
        </w:rPr>
        <w:t>495.</w:t>
      </w:r>
      <w:r w:rsidRPr="0071782F">
        <w:rPr>
          <w:lang w:val="fr-CH"/>
        </w:rPr>
        <w:tab/>
      </w:r>
      <w:r w:rsidR="00B9017B" w:rsidRPr="0071782F">
        <w:rPr>
          <w:lang w:val="fr-CH"/>
        </w:rPr>
        <w:t>L’</w:t>
      </w:r>
      <w:r w:rsidRPr="0071782F">
        <w:rPr>
          <w:lang w:val="fr-CH"/>
        </w:rPr>
        <w:t xml:space="preserve">existence </w:t>
      </w:r>
      <w:r w:rsidR="00B9017B" w:rsidRPr="0071782F">
        <w:rPr>
          <w:lang w:val="fr-CH"/>
        </w:rPr>
        <w:t xml:space="preserve">de six </w:t>
      </w:r>
      <w:r w:rsidRPr="0071782F">
        <w:rPr>
          <w:lang w:val="fr-CH"/>
        </w:rPr>
        <w:t xml:space="preserve">restaurants, </w:t>
      </w:r>
      <w:r w:rsidR="00B9017B" w:rsidRPr="0071782F">
        <w:rPr>
          <w:lang w:val="fr-CH"/>
        </w:rPr>
        <w:t xml:space="preserve">de cinq centres </w:t>
      </w:r>
      <w:r w:rsidRPr="0071782F">
        <w:rPr>
          <w:lang w:val="fr-CH"/>
        </w:rPr>
        <w:t>cultur</w:t>
      </w:r>
      <w:r w:rsidR="00B9017B" w:rsidRPr="0071782F">
        <w:rPr>
          <w:lang w:val="fr-CH"/>
        </w:rPr>
        <w:t>e</w:t>
      </w:r>
      <w:r w:rsidRPr="0071782F">
        <w:rPr>
          <w:lang w:val="fr-CH"/>
        </w:rPr>
        <w:t>l</w:t>
      </w:r>
      <w:r w:rsidR="00B9017B" w:rsidRPr="0071782F">
        <w:rPr>
          <w:lang w:val="fr-CH"/>
        </w:rPr>
        <w:t>s</w:t>
      </w:r>
      <w:r w:rsidRPr="0071782F">
        <w:rPr>
          <w:lang w:val="fr-CH"/>
        </w:rPr>
        <w:t xml:space="preserve"> </w:t>
      </w:r>
      <w:r w:rsidR="00B9017B" w:rsidRPr="0071782F">
        <w:rPr>
          <w:lang w:val="fr-CH"/>
        </w:rPr>
        <w:t>et sportifs pour les jeunes, les hommes et les femmes de confession juive, ainsi que de centres sociaux et de loisirs,</w:t>
      </w:r>
      <w:r w:rsidR="00D36718">
        <w:rPr>
          <w:lang w:val="fr-CH"/>
        </w:rPr>
        <w:t xml:space="preserve"> </w:t>
      </w:r>
      <w:r w:rsidR="00B9017B" w:rsidRPr="0071782F">
        <w:rPr>
          <w:lang w:val="fr-CH"/>
        </w:rPr>
        <w:t xml:space="preserve">d’organisations caritatives, de foyers d’accueil </w:t>
      </w:r>
      <w:r w:rsidR="00D82C96" w:rsidRPr="0071782F">
        <w:rPr>
          <w:lang w:val="fr-CH"/>
        </w:rPr>
        <w:t>de personnes</w:t>
      </w:r>
      <w:r w:rsidR="00B9017B" w:rsidRPr="0071782F">
        <w:rPr>
          <w:lang w:val="fr-CH"/>
        </w:rPr>
        <w:t xml:space="preserve"> âgées, de clubs sportifs, d’hôpitaux et d’abattoirs conformes aux prescriptions religieuses juives, </w:t>
      </w:r>
      <w:r w:rsidRPr="0071782F">
        <w:rPr>
          <w:lang w:val="fr-CH"/>
        </w:rPr>
        <w:t xml:space="preserve">etc., </w:t>
      </w:r>
      <w:r w:rsidR="00B9017B" w:rsidRPr="0071782F">
        <w:rPr>
          <w:lang w:val="fr-CH"/>
        </w:rPr>
        <w:t xml:space="preserve">montre bien que cette minorité religieuse jouit de droits </w:t>
      </w:r>
      <w:r w:rsidRPr="0071782F">
        <w:rPr>
          <w:lang w:val="fr-CH"/>
        </w:rPr>
        <w:t>socia</w:t>
      </w:r>
      <w:r w:rsidR="00B9017B" w:rsidRPr="0071782F">
        <w:rPr>
          <w:lang w:val="fr-CH"/>
        </w:rPr>
        <w:t>ux, culture</w:t>
      </w:r>
      <w:r w:rsidRPr="0071782F">
        <w:rPr>
          <w:lang w:val="fr-CH"/>
        </w:rPr>
        <w:t>l</w:t>
      </w:r>
      <w:r w:rsidR="00B9017B" w:rsidRPr="0071782F">
        <w:rPr>
          <w:lang w:val="fr-CH"/>
        </w:rPr>
        <w:t>s, politiques et é</w:t>
      </w:r>
      <w:r w:rsidRPr="0071782F">
        <w:rPr>
          <w:lang w:val="fr-CH"/>
        </w:rPr>
        <w:t>conomi</w:t>
      </w:r>
      <w:r w:rsidR="00B9017B" w:rsidRPr="0071782F">
        <w:rPr>
          <w:lang w:val="fr-CH"/>
        </w:rPr>
        <w:t>ques</w:t>
      </w:r>
      <w:r w:rsidRPr="0071782F">
        <w:rPr>
          <w:lang w:val="fr-CH"/>
        </w:rPr>
        <w:t>.</w:t>
      </w:r>
    </w:p>
    <w:p w:rsidR="00963C03" w:rsidRPr="0071782F" w:rsidRDefault="00963C03" w:rsidP="00AA22EB">
      <w:pPr>
        <w:pStyle w:val="H23G"/>
        <w:rPr>
          <w:lang w:val="fr-CH"/>
        </w:rPr>
      </w:pPr>
      <w:r w:rsidRPr="0071782F">
        <w:rPr>
          <w:lang w:val="fr-CH"/>
        </w:rPr>
        <w:tab/>
      </w:r>
      <w:r w:rsidRPr="0071782F">
        <w:rPr>
          <w:lang w:val="fr-CH"/>
        </w:rPr>
        <w:tab/>
      </w:r>
      <w:r w:rsidR="00B9017B" w:rsidRPr="0071782F">
        <w:rPr>
          <w:lang w:val="fr-CH"/>
        </w:rPr>
        <w:t>Minorité</w:t>
      </w:r>
      <w:r w:rsidR="00285E23" w:rsidRPr="0071782F">
        <w:rPr>
          <w:lang w:val="fr-CH"/>
        </w:rPr>
        <w:t>s</w:t>
      </w:r>
      <w:r w:rsidR="00B9017B" w:rsidRPr="0071782F">
        <w:rPr>
          <w:lang w:val="fr-CH"/>
        </w:rPr>
        <w:t xml:space="preserve"> ethniques </w:t>
      </w:r>
    </w:p>
    <w:p w:rsidR="00963C03" w:rsidRPr="0071782F" w:rsidRDefault="00963C03" w:rsidP="00AA22EB">
      <w:pPr>
        <w:pStyle w:val="SingleTxtG"/>
        <w:rPr>
          <w:lang w:val="fr-CH"/>
        </w:rPr>
      </w:pPr>
      <w:r w:rsidRPr="0071782F">
        <w:rPr>
          <w:lang w:val="fr-CH"/>
        </w:rPr>
        <w:t>496.</w:t>
      </w:r>
      <w:r w:rsidRPr="0071782F">
        <w:rPr>
          <w:lang w:val="fr-CH"/>
        </w:rPr>
        <w:tab/>
      </w:r>
      <w:r w:rsidR="00B9017B" w:rsidRPr="0071782F">
        <w:rPr>
          <w:lang w:val="fr-CH"/>
        </w:rPr>
        <w:t>L’</w:t>
      </w:r>
      <w:r w:rsidRPr="0071782F">
        <w:rPr>
          <w:lang w:val="fr-CH"/>
        </w:rPr>
        <w:t xml:space="preserve">Iran </w:t>
      </w:r>
      <w:r w:rsidR="00B9017B" w:rsidRPr="0071782F">
        <w:rPr>
          <w:lang w:val="fr-CH"/>
        </w:rPr>
        <w:t xml:space="preserve">est caractérisé par une grande diversité </w:t>
      </w:r>
      <w:r w:rsidRPr="0071782F">
        <w:rPr>
          <w:lang w:val="fr-CH"/>
        </w:rPr>
        <w:t>religi</w:t>
      </w:r>
      <w:r w:rsidR="00B9017B" w:rsidRPr="0071782F">
        <w:rPr>
          <w:lang w:val="fr-CH"/>
        </w:rPr>
        <w:t>euse</w:t>
      </w:r>
      <w:r w:rsidRPr="0071782F">
        <w:rPr>
          <w:lang w:val="fr-CH"/>
        </w:rPr>
        <w:t>, ethni</w:t>
      </w:r>
      <w:r w:rsidR="00B9017B" w:rsidRPr="0071782F">
        <w:rPr>
          <w:lang w:val="fr-CH"/>
        </w:rPr>
        <w:t>que et linguistique</w:t>
      </w:r>
      <w:r w:rsidRPr="0071782F">
        <w:rPr>
          <w:lang w:val="fr-CH"/>
        </w:rPr>
        <w:t xml:space="preserve">. </w:t>
      </w:r>
      <w:r w:rsidR="00B9017B" w:rsidRPr="0071782F">
        <w:rPr>
          <w:lang w:val="fr-CH"/>
        </w:rPr>
        <w:t xml:space="preserve">Des groupes ethniques tels que les </w:t>
      </w:r>
      <w:r w:rsidRPr="0071782F">
        <w:rPr>
          <w:lang w:val="fr-CH"/>
        </w:rPr>
        <w:t>Az</w:t>
      </w:r>
      <w:r w:rsidR="00B9017B" w:rsidRPr="0071782F">
        <w:rPr>
          <w:lang w:val="fr-CH"/>
        </w:rPr>
        <w:t>é</w:t>
      </w:r>
      <w:r w:rsidRPr="0071782F">
        <w:rPr>
          <w:lang w:val="fr-CH"/>
        </w:rPr>
        <w:t xml:space="preserve">ris, </w:t>
      </w:r>
      <w:r w:rsidR="00B9017B" w:rsidRPr="0071782F">
        <w:rPr>
          <w:lang w:val="fr-CH"/>
        </w:rPr>
        <w:t xml:space="preserve">les </w:t>
      </w:r>
      <w:r w:rsidRPr="0071782F">
        <w:rPr>
          <w:lang w:val="fr-CH"/>
        </w:rPr>
        <w:t xml:space="preserve">Lors, </w:t>
      </w:r>
      <w:r w:rsidR="00B9017B" w:rsidRPr="0071782F">
        <w:rPr>
          <w:lang w:val="fr-CH"/>
        </w:rPr>
        <w:t xml:space="preserve">les </w:t>
      </w:r>
      <w:r w:rsidRPr="0071782F">
        <w:rPr>
          <w:lang w:val="fr-CH"/>
        </w:rPr>
        <w:t>Arab</w:t>
      </w:r>
      <w:r w:rsidR="00B9017B" w:rsidRPr="0071782F">
        <w:rPr>
          <w:lang w:val="fr-CH"/>
        </w:rPr>
        <w:t>e</w:t>
      </w:r>
      <w:r w:rsidRPr="0071782F">
        <w:rPr>
          <w:lang w:val="fr-CH"/>
        </w:rPr>
        <w:t>s</w:t>
      </w:r>
      <w:r w:rsidR="00B9017B" w:rsidRPr="0071782F">
        <w:rPr>
          <w:lang w:val="fr-CH"/>
        </w:rPr>
        <w:t xml:space="preserve"> et les </w:t>
      </w:r>
      <w:r w:rsidRPr="0071782F">
        <w:rPr>
          <w:lang w:val="fr-CH"/>
        </w:rPr>
        <w:t>Bal</w:t>
      </w:r>
      <w:r w:rsidR="00B9017B" w:rsidRPr="0071782F">
        <w:rPr>
          <w:lang w:val="fr-CH"/>
        </w:rPr>
        <w:t>outches</w:t>
      </w:r>
      <w:r w:rsidRPr="0071782F">
        <w:rPr>
          <w:lang w:val="fr-CH"/>
        </w:rPr>
        <w:t xml:space="preserve">, </w:t>
      </w:r>
      <w:r w:rsidR="00B9017B" w:rsidRPr="0071782F">
        <w:rPr>
          <w:lang w:val="fr-CH"/>
        </w:rPr>
        <w:t>vivent en paix avec leurs concitoyens per</w:t>
      </w:r>
      <w:r w:rsidR="00773B71" w:rsidRPr="0071782F">
        <w:rPr>
          <w:lang w:val="fr-CH"/>
        </w:rPr>
        <w:t>san</w:t>
      </w:r>
      <w:r w:rsidR="00B9017B" w:rsidRPr="0071782F">
        <w:rPr>
          <w:lang w:val="fr-CH"/>
        </w:rPr>
        <w:t xml:space="preserve">s. </w:t>
      </w:r>
    </w:p>
    <w:p w:rsidR="00963C03" w:rsidRPr="0071782F" w:rsidRDefault="00963C03" w:rsidP="00F739E0">
      <w:pPr>
        <w:pStyle w:val="SingleTxtG"/>
        <w:rPr>
          <w:lang w:val="fr-CH"/>
        </w:rPr>
      </w:pPr>
      <w:r w:rsidRPr="0071782F">
        <w:rPr>
          <w:lang w:val="fr-CH"/>
        </w:rPr>
        <w:t>497.</w:t>
      </w:r>
      <w:r w:rsidRPr="0071782F">
        <w:rPr>
          <w:lang w:val="fr-CH"/>
        </w:rPr>
        <w:tab/>
      </w:r>
      <w:r w:rsidR="003A6C6E" w:rsidRPr="0071782F">
        <w:rPr>
          <w:lang w:val="fr-CH"/>
        </w:rPr>
        <w:t xml:space="preserve">En sus du </w:t>
      </w:r>
      <w:r w:rsidRPr="0071782F">
        <w:rPr>
          <w:lang w:val="fr-CH"/>
        </w:rPr>
        <w:t xml:space="preserve">respect </w:t>
      </w:r>
      <w:r w:rsidR="003A6C6E" w:rsidRPr="0071782F">
        <w:rPr>
          <w:lang w:val="fr-CH"/>
        </w:rPr>
        <w:t xml:space="preserve">prescrit par l’islam et la </w:t>
      </w:r>
      <w:r w:rsidRPr="0071782F">
        <w:rPr>
          <w:lang w:val="fr-CH"/>
        </w:rPr>
        <w:t>Constitution</w:t>
      </w:r>
      <w:r w:rsidR="003A6C6E" w:rsidRPr="0071782F">
        <w:rPr>
          <w:lang w:val="fr-CH"/>
        </w:rPr>
        <w:t xml:space="preserve"> pour les adeptes d’autres religions et pour les membres d’autres groupes ethniques</w:t>
      </w:r>
      <w:r w:rsidRPr="0071782F">
        <w:rPr>
          <w:lang w:val="fr-CH"/>
        </w:rPr>
        <w:t xml:space="preserve">, </w:t>
      </w:r>
      <w:r w:rsidR="003A6C6E" w:rsidRPr="0071782F">
        <w:rPr>
          <w:lang w:val="fr-CH"/>
        </w:rPr>
        <w:t>le Conseil de discernement a indiqué, lors de sa réunion du 22 décembre</w:t>
      </w:r>
      <w:r w:rsidRPr="0071782F">
        <w:rPr>
          <w:lang w:val="fr-CH"/>
        </w:rPr>
        <w:t xml:space="preserve"> 2001,</w:t>
      </w:r>
      <w:r w:rsidR="003A6C6E" w:rsidRPr="0071782F">
        <w:rPr>
          <w:lang w:val="fr-CH"/>
        </w:rPr>
        <w:t xml:space="preserve"> qu’il convenait de jeter les bases d’un dialogue entre </w:t>
      </w:r>
      <w:r w:rsidRPr="0071782F">
        <w:rPr>
          <w:lang w:val="fr-CH"/>
        </w:rPr>
        <w:t xml:space="preserve">religions </w:t>
      </w:r>
      <w:r w:rsidR="003A6C6E" w:rsidRPr="0071782F">
        <w:rPr>
          <w:lang w:val="fr-CH"/>
        </w:rPr>
        <w:t xml:space="preserve">et sectes, d’approfondir les enseignements communs et d’éviter de mettre l’accent sur les </w:t>
      </w:r>
      <w:r w:rsidRPr="0071782F">
        <w:rPr>
          <w:lang w:val="fr-CH"/>
        </w:rPr>
        <w:t xml:space="preserve">points </w:t>
      </w:r>
      <w:r w:rsidR="003A6C6E" w:rsidRPr="0071782F">
        <w:rPr>
          <w:lang w:val="fr-CH"/>
        </w:rPr>
        <w:t xml:space="preserve">de </w:t>
      </w:r>
      <w:r w:rsidRPr="0071782F">
        <w:rPr>
          <w:lang w:val="fr-CH"/>
        </w:rPr>
        <w:t>divergence.</w:t>
      </w:r>
    </w:p>
    <w:p w:rsidR="00963C03" w:rsidRPr="0071782F" w:rsidRDefault="00963C03" w:rsidP="00AA22EB">
      <w:pPr>
        <w:pStyle w:val="SingleTxtG"/>
        <w:rPr>
          <w:lang w:val="fr-CH"/>
        </w:rPr>
      </w:pPr>
      <w:r w:rsidRPr="0071782F">
        <w:rPr>
          <w:lang w:val="fr-CH"/>
        </w:rPr>
        <w:t>498.</w:t>
      </w:r>
      <w:r w:rsidRPr="0071782F">
        <w:rPr>
          <w:lang w:val="fr-CH"/>
        </w:rPr>
        <w:tab/>
      </w:r>
      <w:r w:rsidR="003A6C6E" w:rsidRPr="0071782F">
        <w:rPr>
          <w:lang w:val="fr-CH"/>
        </w:rPr>
        <w:t xml:space="preserve">Dans sa décision, le Conseil a relevé que toutes les classes et tous les groupes ethniques, linguistiques et religieux de la population iranienne forment une seule et même nation et doivent être protégés moyennant le respect des particularités culturelles, la </w:t>
      </w:r>
      <w:r w:rsidRPr="0071782F">
        <w:rPr>
          <w:lang w:val="fr-CH"/>
        </w:rPr>
        <w:t xml:space="preserve">consolidation </w:t>
      </w:r>
      <w:r w:rsidR="003A6C6E" w:rsidRPr="0071782F">
        <w:rPr>
          <w:lang w:val="fr-CH"/>
        </w:rPr>
        <w:t xml:space="preserve">de la </w:t>
      </w:r>
      <w:r w:rsidRPr="0071782F">
        <w:rPr>
          <w:lang w:val="fr-CH"/>
        </w:rPr>
        <w:t>culture</w:t>
      </w:r>
      <w:r w:rsidR="003A6C6E" w:rsidRPr="0071782F">
        <w:rPr>
          <w:lang w:val="fr-CH"/>
        </w:rPr>
        <w:t xml:space="preserve"> nationale et la </w:t>
      </w:r>
      <w:r w:rsidRPr="0071782F">
        <w:rPr>
          <w:lang w:val="fr-CH"/>
        </w:rPr>
        <w:t xml:space="preserve">convergence </w:t>
      </w:r>
      <w:r w:rsidR="003A6C6E" w:rsidRPr="0071782F">
        <w:rPr>
          <w:lang w:val="fr-CH"/>
        </w:rPr>
        <w:t>des particularités</w:t>
      </w:r>
      <w:r w:rsidRPr="0071782F">
        <w:rPr>
          <w:lang w:val="fr-CH"/>
        </w:rPr>
        <w:t xml:space="preserve"> cultur</w:t>
      </w:r>
      <w:r w:rsidR="003A6C6E" w:rsidRPr="0071782F">
        <w:rPr>
          <w:lang w:val="fr-CH"/>
        </w:rPr>
        <w:t>elles au sein de la culture nationale</w:t>
      </w:r>
      <w:r w:rsidRPr="0071782F">
        <w:rPr>
          <w:lang w:val="fr-CH"/>
        </w:rPr>
        <w:t xml:space="preserve">. </w:t>
      </w:r>
      <w:r w:rsidR="003A6C6E" w:rsidRPr="0071782F">
        <w:rPr>
          <w:lang w:val="fr-CH"/>
        </w:rPr>
        <w:t xml:space="preserve">Afin de renforcer la culture </w:t>
      </w:r>
      <w:r w:rsidRPr="0071782F">
        <w:rPr>
          <w:lang w:val="fr-CH"/>
        </w:rPr>
        <w:t>national</w:t>
      </w:r>
      <w:r w:rsidR="003A6C6E" w:rsidRPr="0071782F">
        <w:rPr>
          <w:lang w:val="fr-CH"/>
        </w:rPr>
        <w:t>e</w:t>
      </w:r>
      <w:r w:rsidRPr="0071782F">
        <w:rPr>
          <w:lang w:val="fr-CH"/>
        </w:rPr>
        <w:t xml:space="preserve">, </w:t>
      </w:r>
      <w:r w:rsidR="003A6C6E" w:rsidRPr="0071782F">
        <w:rPr>
          <w:lang w:val="fr-CH"/>
        </w:rPr>
        <w:t>toutes les politiques d’exécution doivent prendre en considé</w:t>
      </w:r>
      <w:r w:rsidRPr="0071782F">
        <w:rPr>
          <w:lang w:val="fr-CH"/>
        </w:rPr>
        <w:t xml:space="preserve">ration </w:t>
      </w:r>
      <w:r w:rsidR="003A6C6E" w:rsidRPr="0071782F">
        <w:rPr>
          <w:lang w:val="fr-CH"/>
        </w:rPr>
        <w:t xml:space="preserve">les </w:t>
      </w:r>
      <w:r w:rsidRPr="0071782F">
        <w:rPr>
          <w:lang w:val="fr-CH"/>
        </w:rPr>
        <w:t>process</w:t>
      </w:r>
      <w:r w:rsidR="003A6C6E" w:rsidRPr="0071782F">
        <w:rPr>
          <w:lang w:val="fr-CH"/>
        </w:rPr>
        <w:t>u</w:t>
      </w:r>
      <w:r w:rsidRPr="0071782F">
        <w:rPr>
          <w:lang w:val="fr-CH"/>
        </w:rPr>
        <w:t xml:space="preserve">s </w:t>
      </w:r>
      <w:r w:rsidR="003A6C6E" w:rsidRPr="0071782F">
        <w:rPr>
          <w:lang w:val="fr-CH"/>
        </w:rPr>
        <w:t>qui favorisent la solidarité sociale et</w:t>
      </w:r>
      <w:r w:rsidRPr="0071782F">
        <w:rPr>
          <w:lang w:val="fr-CH"/>
        </w:rPr>
        <w:t xml:space="preserve"> </w:t>
      </w:r>
      <w:r w:rsidR="003A6C6E" w:rsidRPr="0071782F">
        <w:rPr>
          <w:lang w:val="fr-CH"/>
        </w:rPr>
        <w:t>réalisent l’harmonie entre les particularités culturelles et la culture nationale</w:t>
      </w:r>
      <w:r w:rsidRPr="0071782F">
        <w:rPr>
          <w:lang w:val="fr-CH"/>
        </w:rPr>
        <w:t>.</w:t>
      </w:r>
    </w:p>
    <w:p w:rsidR="00963C03" w:rsidRPr="0071782F" w:rsidRDefault="00963C03" w:rsidP="00AA22EB">
      <w:pPr>
        <w:pStyle w:val="SingleTxtG"/>
        <w:rPr>
          <w:lang w:val="fr-CH"/>
        </w:rPr>
      </w:pPr>
      <w:r w:rsidRPr="0071782F">
        <w:rPr>
          <w:lang w:val="fr-CH"/>
        </w:rPr>
        <w:t>499.</w:t>
      </w:r>
      <w:r w:rsidRPr="0071782F">
        <w:rPr>
          <w:lang w:val="fr-CH"/>
        </w:rPr>
        <w:tab/>
      </w:r>
      <w:r w:rsidR="00B0523F" w:rsidRPr="0071782F">
        <w:rPr>
          <w:lang w:val="fr-CH"/>
        </w:rPr>
        <w:t xml:space="preserve">Conformément à l’objectif de </w:t>
      </w:r>
      <w:r w:rsidRPr="0071782F">
        <w:rPr>
          <w:lang w:val="fr-CH"/>
        </w:rPr>
        <w:t xml:space="preserve">consolidation </w:t>
      </w:r>
      <w:r w:rsidR="00B0523F" w:rsidRPr="0071782F">
        <w:rPr>
          <w:lang w:val="fr-CH"/>
        </w:rPr>
        <w:t xml:space="preserve">de l’unité </w:t>
      </w:r>
      <w:r w:rsidRPr="0071782F">
        <w:rPr>
          <w:lang w:val="fr-CH"/>
        </w:rPr>
        <w:t>national</w:t>
      </w:r>
      <w:r w:rsidR="00B0523F" w:rsidRPr="0071782F">
        <w:rPr>
          <w:lang w:val="fr-CH"/>
        </w:rPr>
        <w:t>e et de resserrement des liens entre les groupes ethniques, le gouvernement a adopté ces dernières années des politiques sociales spécifiques, dont certaines sont décrites succinctement ci-après.</w:t>
      </w:r>
      <w:r w:rsidR="00D36718">
        <w:rPr>
          <w:lang w:val="fr-CH"/>
        </w:rPr>
        <w:t xml:space="preserve"> </w:t>
      </w:r>
    </w:p>
    <w:p w:rsidR="00963C03" w:rsidRPr="0071782F" w:rsidRDefault="00963C03" w:rsidP="00AA22EB">
      <w:pPr>
        <w:pStyle w:val="SingleTxtG"/>
        <w:rPr>
          <w:lang w:val="fr-CH"/>
        </w:rPr>
      </w:pPr>
      <w:r w:rsidRPr="0071782F">
        <w:rPr>
          <w:lang w:val="fr-CH"/>
        </w:rPr>
        <w:t>500.</w:t>
      </w:r>
      <w:r w:rsidRPr="0071782F">
        <w:rPr>
          <w:lang w:val="fr-CH"/>
        </w:rPr>
        <w:tab/>
        <w:t>Publications</w:t>
      </w:r>
      <w:r w:rsidR="008F7D33" w:rsidRPr="0071782F">
        <w:rPr>
          <w:lang w:val="fr-CH"/>
        </w:rPr>
        <w:t>:</w:t>
      </w:r>
      <w:r w:rsidRPr="0071782F">
        <w:rPr>
          <w:lang w:val="fr-CH"/>
        </w:rPr>
        <w:t xml:space="preserve"> </w:t>
      </w:r>
      <w:r w:rsidR="00663988" w:rsidRPr="0071782F">
        <w:rPr>
          <w:lang w:val="fr-CH"/>
        </w:rPr>
        <w:t xml:space="preserve">en </w:t>
      </w:r>
      <w:r w:rsidRPr="0071782F">
        <w:rPr>
          <w:lang w:val="fr-CH"/>
        </w:rPr>
        <w:t xml:space="preserve">2001, </w:t>
      </w:r>
      <w:r w:rsidR="00663988" w:rsidRPr="0071782F">
        <w:rPr>
          <w:lang w:val="fr-CH"/>
        </w:rPr>
        <w:t xml:space="preserve">les minorités ethniques avaient publié </w:t>
      </w:r>
      <w:r w:rsidRPr="0071782F">
        <w:rPr>
          <w:lang w:val="fr-CH"/>
        </w:rPr>
        <w:t>503 tit</w:t>
      </w:r>
      <w:r w:rsidR="00663988" w:rsidRPr="0071782F">
        <w:rPr>
          <w:lang w:val="fr-CH"/>
        </w:rPr>
        <w:t>r</w:t>
      </w:r>
      <w:r w:rsidRPr="0071782F">
        <w:rPr>
          <w:lang w:val="fr-CH"/>
        </w:rPr>
        <w:t xml:space="preserve">es, </w:t>
      </w:r>
      <w:r w:rsidR="00663988" w:rsidRPr="0071782F">
        <w:rPr>
          <w:lang w:val="fr-CH"/>
        </w:rPr>
        <w:t xml:space="preserve">dont </w:t>
      </w:r>
      <w:r w:rsidRPr="0071782F">
        <w:rPr>
          <w:lang w:val="fr-CH"/>
        </w:rPr>
        <w:t xml:space="preserve">222 </w:t>
      </w:r>
      <w:r w:rsidR="00663988" w:rsidRPr="0071782F">
        <w:rPr>
          <w:lang w:val="fr-CH"/>
        </w:rPr>
        <w:t xml:space="preserve">en kurde et </w:t>
      </w:r>
      <w:r w:rsidRPr="0071782F">
        <w:rPr>
          <w:lang w:val="fr-CH"/>
        </w:rPr>
        <w:t xml:space="preserve">216 </w:t>
      </w:r>
      <w:r w:rsidR="00663988" w:rsidRPr="0071782F">
        <w:rPr>
          <w:lang w:val="fr-CH"/>
        </w:rPr>
        <w:t>en azé</w:t>
      </w:r>
      <w:r w:rsidRPr="0071782F">
        <w:rPr>
          <w:lang w:val="fr-CH"/>
        </w:rPr>
        <w:t>ri</w:t>
      </w:r>
      <w:r w:rsidR="00663988" w:rsidRPr="0071782F">
        <w:rPr>
          <w:lang w:val="fr-CH"/>
        </w:rPr>
        <w:t>;</w:t>
      </w:r>
      <w:r w:rsidRPr="0071782F">
        <w:rPr>
          <w:lang w:val="fr-CH"/>
        </w:rPr>
        <w:t xml:space="preserve"> 160 </w:t>
      </w:r>
      <w:r w:rsidR="00663988" w:rsidRPr="0071782F">
        <w:rPr>
          <w:lang w:val="fr-CH"/>
        </w:rPr>
        <w:t xml:space="preserve">parlaient des </w:t>
      </w:r>
      <w:r w:rsidRPr="0071782F">
        <w:rPr>
          <w:lang w:val="fr-CH"/>
        </w:rPr>
        <w:t>Kurd</w:t>
      </w:r>
      <w:r w:rsidR="00663988" w:rsidRPr="0071782F">
        <w:rPr>
          <w:lang w:val="fr-CH"/>
        </w:rPr>
        <w:t>e</w:t>
      </w:r>
      <w:r w:rsidRPr="0071782F">
        <w:rPr>
          <w:lang w:val="fr-CH"/>
        </w:rPr>
        <w:t xml:space="preserve">s, 47 </w:t>
      </w:r>
      <w:r w:rsidR="00663988" w:rsidRPr="0071782F">
        <w:rPr>
          <w:lang w:val="fr-CH"/>
        </w:rPr>
        <w:t xml:space="preserve">des </w:t>
      </w:r>
      <w:r w:rsidRPr="0071782F">
        <w:rPr>
          <w:lang w:val="fr-CH"/>
        </w:rPr>
        <w:t>Az</w:t>
      </w:r>
      <w:r w:rsidR="00663988" w:rsidRPr="0071782F">
        <w:rPr>
          <w:lang w:val="fr-CH"/>
        </w:rPr>
        <w:t>é</w:t>
      </w:r>
      <w:r w:rsidRPr="0071782F">
        <w:rPr>
          <w:lang w:val="fr-CH"/>
        </w:rPr>
        <w:t>ris</w:t>
      </w:r>
      <w:r w:rsidR="00663988" w:rsidRPr="0071782F">
        <w:rPr>
          <w:lang w:val="fr-CH"/>
        </w:rPr>
        <w:t xml:space="preserve"> et deux des Baloutches</w:t>
      </w:r>
      <w:r w:rsidRPr="0071782F">
        <w:rPr>
          <w:lang w:val="fr-CH"/>
        </w:rPr>
        <w:t>.</w:t>
      </w:r>
    </w:p>
    <w:p w:rsidR="00963C03" w:rsidRPr="0071782F" w:rsidRDefault="00963C03" w:rsidP="00AA22EB">
      <w:pPr>
        <w:pStyle w:val="SingleTxtG"/>
        <w:rPr>
          <w:lang w:val="fr-CH"/>
        </w:rPr>
      </w:pPr>
      <w:r w:rsidRPr="0071782F">
        <w:rPr>
          <w:lang w:val="fr-CH"/>
        </w:rPr>
        <w:t>501.</w:t>
      </w:r>
      <w:r w:rsidRPr="0071782F">
        <w:rPr>
          <w:lang w:val="fr-CH"/>
        </w:rPr>
        <w:tab/>
      </w:r>
      <w:r w:rsidR="00663988" w:rsidRPr="0071782F">
        <w:rPr>
          <w:lang w:val="fr-CH"/>
        </w:rPr>
        <w:t>F</w:t>
      </w:r>
      <w:r w:rsidRPr="0071782F">
        <w:rPr>
          <w:lang w:val="fr-CH"/>
        </w:rPr>
        <w:t>estivals</w:t>
      </w:r>
      <w:r w:rsidR="00663988" w:rsidRPr="0071782F">
        <w:rPr>
          <w:lang w:val="fr-CH"/>
        </w:rPr>
        <w:t xml:space="preserve"> culturels et artistiques</w:t>
      </w:r>
      <w:r w:rsidR="008F7D33" w:rsidRPr="0071782F">
        <w:rPr>
          <w:lang w:val="fr-CH"/>
        </w:rPr>
        <w:t>:</w:t>
      </w:r>
    </w:p>
    <w:p w:rsidR="00963C03" w:rsidRPr="0071782F" w:rsidRDefault="00963C03" w:rsidP="00AA22EB">
      <w:pPr>
        <w:pStyle w:val="SingleTxtG"/>
        <w:ind w:left="1701"/>
        <w:rPr>
          <w:lang w:val="fr-CH"/>
        </w:rPr>
      </w:pPr>
      <w:r w:rsidRPr="0071782F">
        <w:rPr>
          <w:lang w:val="fr-CH"/>
        </w:rPr>
        <w:t>501.1.</w:t>
      </w:r>
      <w:r w:rsidRPr="0071782F">
        <w:rPr>
          <w:lang w:val="fr-CH"/>
        </w:rPr>
        <w:tab/>
      </w:r>
      <w:r w:rsidR="00663988" w:rsidRPr="0071782F">
        <w:rPr>
          <w:lang w:val="fr-CH"/>
        </w:rPr>
        <w:t>Douze</w:t>
      </w:r>
      <w:r w:rsidRPr="0071782F">
        <w:rPr>
          <w:lang w:val="fr-CH"/>
        </w:rPr>
        <w:t xml:space="preserve"> festivals</w:t>
      </w:r>
      <w:r w:rsidR="00663988" w:rsidRPr="0071782F">
        <w:rPr>
          <w:lang w:val="fr-CH"/>
        </w:rPr>
        <w:t xml:space="preserve"> de cinéma</w:t>
      </w:r>
      <w:r w:rsidRPr="0071782F">
        <w:rPr>
          <w:lang w:val="fr-CH"/>
        </w:rPr>
        <w:t xml:space="preserve">, </w:t>
      </w:r>
      <w:r w:rsidR="00663988" w:rsidRPr="0071782F">
        <w:rPr>
          <w:lang w:val="fr-CH"/>
        </w:rPr>
        <w:t xml:space="preserve">avec des films </w:t>
      </w:r>
      <w:r w:rsidRPr="0071782F">
        <w:rPr>
          <w:lang w:val="fr-CH"/>
        </w:rPr>
        <w:t>th</w:t>
      </w:r>
      <w:r w:rsidR="00663988" w:rsidRPr="0071782F">
        <w:rPr>
          <w:lang w:val="fr-CH"/>
        </w:rPr>
        <w:t>é</w:t>
      </w:r>
      <w:r w:rsidRPr="0071782F">
        <w:rPr>
          <w:lang w:val="fr-CH"/>
        </w:rPr>
        <w:t>mati</w:t>
      </w:r>
      <w:r w:rsidR="00663988" w:rsidRPr="0071782F">
        <w:rPr>
          <w:lang w:val="fr-CH"/>
        </w:rPr>
        <w:t>ques</w:t>
      </w:r>
      <w:r w:rsidRPr="0071782F">
        <w:rPr>
          <w:lang w:val="fr-CH"/>
        </w:rPr>
        <w:t>, socia</w:t>
      </w:r>
      <w:r w:rsidR="00663988" w:rsidRPr="0071782F">
        <w:rPr>
          <w:lang w:val="fr-CH"/>
        </w:rPr>
        <w:t>ux et familiaux, des comé</w:t>
      </w:r>
      <w:r w:rsidRPr="0071782F">
        <w:rPr>
          <w:lang w:val="fr-CH"/>
        </w:rPr>
        <w:t>dies, etc.</w:t>
      </w:r>
    </w:p>
    <w:p w:rsidR="00963C03" w:rsidRPr="0071782F" w:rsidRDefault="00963C03" w:rsidP="00AA22EB">
      <w:pPr>
        <w:pStyle w:val="SingleTxtG"/>
        <w:ind w:left="1701"/>
        <w:rPr>
          <w:lang w:val="fr-CH"/>
        </w:rPr>
      </w:pPr>
      <w:r w:rsidRPr="0071782F">
        <w:rPr>
          <w:lang w:val="fr-CH"/>
        </w:rPr>
        <w:t>501.2.</w:t>
      </w:r>
      <w:r w:rsidRPr="0071782F">
        <w:rPr>
          <w:lang w:val="fr-CH"/>
        </w:rPr>
        <w:tab/>
      </w:r>
      <w:r w:rsidR="00663988" w:rsidRPr="0071782F">
        <w:rPr>
          <w:lang w:val="fr-CH"/>
        </w:rPr>
        <w:t>Onze</w:t>
      </w:r>
      <w:r w:rsidRPr="0071782F">
        <w:rPr>
          <w:lang w:val="fr-CH"/>
        </w:rPr>
        <w:t xml:space="preserve"> </w:t>
      </w:r>
      <w:r w:rsidR="00663988" w:rsidRPr="0071782F">
        <w:rPr>
          <w:lang w:val="fr-CH"/>
        </w:rPr>
        <w:t>fêtes du tourisme iranien importantes</w:t>
      </w:r>
      <w:r w:rsidRPr="0071782F">
        <w:rPr>
          <w:lang w:val="fr-CH"/>
        </w:rPr>
        <w:t xml:space="preserve">, </w:t>
      </w:r>
      <w:r w:rsidR="00663988" w:rsidRPr="0071782F">
        <w:rPr>
          <w:lang w:val="fr-CH"/>
        </w:rPr>
        <w:t xml:space="preserve">sur des </w:t>
      </w:r>
      <w:r w:rsidRPr="0071782F">
        <w:rPr>
          <w:lang w:val="fr-CH"/>
        </w:rPr>
        <w:t>th</w:t>
      </w:r>
      <w:r w:rsidR="00663988" w:rsidRPr="0071782F">
        <w:rPr>
          <w:lang w:val="fr-CH"/>
        </w:rPr>
        <w:t>è</w:t>
      </w:r>
      <w:r w:rsidRPr="0071782F">
        <w:rPr>
          <w:lang w:val="fr-CH"/>
        </w:rPr>
        <w:t xml:space="preserve">mes </w:t>
      </w:r>
      <w:r w:rsidR="00663988" w:rsidRPr="0071782F">
        <w:rPr>
          <w:lang w:val="fr-CH"/>
        </w:rPr>
        <w:t xml:space="preserve">tels que la nature, l’artisanat, l’art régional, le </w:t>
      </w:r>
      <w:r w:rsidRPr="0071782F">
        <w:rPr>
          <w:lang w:val="fr-CH"/>
        </w:rPr>
        <w:t xml:space="preserve">dialogue </w:t>
      </w:r>
      <w:r w:rsidR="00663988" w:rsidRPr="0071782F">
        <w:rPr>
          <w:lang w:val="fr-CH"/>
        </w:rPr>
        <w:t xml:space="preserve">des </w:t>
      </w:r>
      <w:r w:rsidRPr="0071782F">
        <w:rPr>
          <w:lang w:val="fr-CH"/>
        </w:rPr>
        <w:t>civili</w:t>
      </w:r>
      <w:r w:rsidR="00663988" w:rsidRPr="0071782F">
        <w:rPr>
          <w:lang w:val="fr-CH"/>
        </w:rPr>
        <w:t>s</w:t>
      </w:r>
      <w:r w:rsidRPr="0071782F">
        <w:rPr>
          <w:lang w:val="fr-CH"/>
        </w:rPr>
        <w:t xml:space="preserve">ations, </w:t>
      </w:r>
      <w:r w:rsidR="00663988" w:rsidRPr="0071782F">
        <w:rPr>
          <w:lang w:val="fr-CH"/>
        </w:rPr>
        <w:t>les coutumes nomades</w:t>
      </w:r>
      <w:r w:rsidRPr="0071782F">
        <w:rPr>
          <w:lang w:val="fr-CH"/>
        </w:rPr>
        <w:t>, etc.</w:t>
      </w:r>
    </w:p>
    <w:p w:rsidR="00963C03" w:rsidRPr="0071782F" w:rsidRDefault="00963C03" w:rsidP="00AA22EB">
      <w:pPr>
        <w:pStyle w:val="SingleTxtG"/>
        <w:rPr>
          <w:lang w:val="fr-CH"/>
        </w:rPr>
      </w:pPr>
      <w:r w:rsidRPr="0071782F">
        <w:rPr>
          <w:lang w:val="fr-CH"/>
        </w:rPr>
        <w:t>502.</w:t>
      </w:r>
      <w:r w:rsidRPr="0071782F">
        <w:rPr>
          <w:lang w:val="fr-CH"/>
        </w:rPr>
        <w:tab/>
      </w:r>
      <w:r w:rsidR="00252708" w:rsidRPr="0071782F">
        <w:rPr>
          <w:lang w:val="fr-CH"/>
        </w:rPr>
        <w:t xml:space="preserve">Expositions culturelles </w:t>
      </w:r>
      <w:r w:rsidRPr="0071782F">
        <w:rPr>
          <w:lang w:val="fr-CH"/>
        </w:rPr>
        <w:t>34 ex</w:t>
      </w:r>
      <w:r w:rsidR="00252708" w:rsidRPr="0071782F">
        <w:rPr>
          <w:lang w:val="fr-CH"/>
        </w:rPr>
        <w:t>positions de photographies</w:t>
      </w:r>
      <w:r w:rsidRPr="0071782F">
        <w:rPr>
          <w:lang w:val="fr-CH"/>
        </w:rPr>
        <w:t xml:space="preserve">, </w:t>
      </w:r>
      <w:r w:rsidR="00252708" w:rsidRPr="0071782F">
        <w:rPr>
          <w:lang w:val="fr-CH"/>
        </w:rPr>
        <w:t>de livres</w:t>
      </w:r>
      <w:r w:rsidRPr="0071782F">
        <w:rPr>
          <w:lang w:val="fr-CH"/>
        </w:rPr>
        <w:t xml:space="preserve">, </w:t>
      </w:r>
      <w:r w:rsidR="00252708" w:rsidRPr="0071782F">
        <w:rPr>
          <w:lang w:val="fr-CH"/>
        </w:rPr>
        <w:t xml:space="preserve">d’arts </w:t>
      </w:r>
      <w:r w:rsidRPr="0071782F">
        <w:rPr>
          <w:lang w:val="fr-CH"/>
        </w:rPr>
        <w:t>conceptu</w:t>
      </w:r>
      <w:r w:rsidR="00252708" w:rsidRPr="0071782F">
        <w:rPr>
          <w:lang w:val="fr-CH"/>
        </w:rPr>
        <w:t>els</w:t>
      </w:r>
      <w:r w:rsidRPr="0071782F">
        <w:rPr>
          <w:lang w:val="fr-CH"/>
        </w:rPr>
        <w:t xml:space="preserve">, </w:t>
      </w:r>
      <w:r w:rsidR="00252708" w:rsidRPr="0071782F">
        <w:rPr>
          <w:lang w:val="fr-CH"/>
        </w:rPr>
        <w:t>d’artisanat et de peintures</w:t>
      </w:r>
      <w:r w:rsidRPr="0071782F">
        <w:rPr>
          <w:lang w:val="fr-CH"/>
        </w:rPr>
        <w:t>.</w:t>
      </w:r>
    </w:p>
    <w:p w:rsidR="00963C03" w:rsidRPr="0071782F" w:rsidRDefault="00963C03" w:rsidP="00AA22EB">
      <w:pPr>
        <w:pStyle w:val="SingleTxtG"/>
        <w:rPr>
          <w:lang w:val="fr-CH"/>
        </w:rPr>
      </w:pPr>
      <w:r w:rsidRPr="0071782F">
        <w:rPr>
          <w:lang w:val="fr-CH"/>
        </w:rPr>
        <w:t>503.</w:t>
      </w:r>
      <w:r w:rsidRPr="0071782F">
        <w:rPr>
          <w:lang w:val="fr-CH"/>
        </w:rPr>
        <w:tab/>
        <w:t>Publications</w:t>
      </w:r>
      <w:r w:rsidR="008F7D33" w:rsidRPr="0071782F">
        <w:rPr>
          <w:lang w:val="fr-CH"/>
        </w:rPr>
        <w:t>:</w:t>
      </w:r>
      <w:r w:rsidRPr="0071782F">
        <w:rPr>
          <w:lang w:val="fr-CH"/>
        </w:rPr>
        <w:t xml:space="preserve"> </w:t>
      </w:r>
      <w:r w:rsidR="008673D2" w:rsidRPr="0071782F">
        <w:rPr>
          <w:lang w:val="fr-CH"/>
        </w:rPr>
        <w:t>à l’heure actuelle, une dizaine de revues sont publiées en divers dialectes, comme l’azéri, le lor et le kurde. Il s’agit, par exemple, des revues suivantes</w:t>
      </w:r>
      <w:r w:rsidR="008F7D33" w:rsidRPr="0071782F">
        <w:rPr>
          <w:lang w:val="fr-CH"/>
        </w:rPr>
        <w:t>:</w:t>
      </w:r>
      <w:r w:rsidR="008673D2" w:rsidRPr="0071782F">
        <w:rPr>
          <w:lang w:val="fr-CH"/>
        </w:rPr>
        <w:t xml:space="preserve"> </w:t>
      </w:r>
      <w:r w:rsidR="008673D2" w:rsidRPr="0071782F">
        <w:rPr>
          <w:i/>
          <w:lang w:val="fr-CH"/>
        </w:rPr>
        <w:t>L’Opinion de la nation</w:t>
      </w:r>
      <w:r w:rsidRPr="0071782F">
        <w:rPr>
          <w:lang w:val="fr-CH"/>
        </w:rPr>
        <w:t xml:space="preserve">, </w:t>
      </w:r>
      <w:r w:rsidR="008673D2" w:rsidRPr="0071782F">
        <w:rPr>
          <w:i/>
          <w:lang w:val="fr-CH"/>
        </w:rPr>
        <w:t>Le Conseil</w:t>
      </w:r>
      <w:r w:rsidRPr="0071782F">
        <w:rPr>
          <w:lang w:val="fr-CH"/>
        </w:rPr>
        <w:t xml:space="preserve">, </w:t>
      </w:r>
      <w:r w:rsidRPr="0071782F">
        <w:rPr>
          <w:i/>
          <w:lang w:val="fr-CH"/>
        </w:rPr>
        <w:t>Abidar</w:t>
      </w:r>
      <w:r w:rsidRPr="0071782F">
        <w:rPr>
          <w:lang w:val="fr-CH"/>
        </w:rPr>
        <w:t xml:space="preserve">, </w:t>
      </w:r>
      <w:r w:rsidRPr="0071782F">
        <w:rPr>
          <w:i/>
          <w:lang w:val="fr-CH"/>
        </w:rPr>
        <w:t>Siravan</w:t>
      </w:r>
      <w:r w:rsidRPr="0071782F">
        <w:rPr>
          <w:lang w:val="fr-CH"/>
        </w:rPr>
        <w:t xml:space="preserve">, </w:t>
      </w:r>
      <w:r w:rsidRPr="0071782F">
        <w:rPr>
          <w:i/>
          <w:lang w:val="fr-CH"/>
        </w:rPr>
        <w:t>Mahabad</w:t>
      </w:r>
      <w:r w:rsidRPr="0071782F">
        <w:rPr>
          <w:lang w:val="fr-CH"/>
        </w:rPr>
        <w:t xml:space="preserve">, </w:t>
      </w:r>
      <w:r w:rsidR="008673D2" w:rsidRPr="0071782F">
        <w:rPr>
          <w:i/>
          <w:lang w:val="fr-CH"/>
        </w:rPr>
        <w:t xml:space="preserve">Le </w:t>
      </w:r>
      <w:r w:rsidRPr="0071782F">
        <w:rPr>
          <w:i/>
          <w:lang w:val="fr-CH"/>
        </w:rPr>
        <w:t xml:space="preserve">Message </w:t>
      </w:r>
      <w:r w:rsidR="008673D2" w:rsidRPr="0071782F">
        <w:rPr>
          <w:i/>
          <w:lang w:val="fr-CH"/>
        </w:rPr>
        <w:t>de l’</w:t>
      </w:r>
      <w:r w:rsidRPr="0071782F">
        <w:rPr>
          <w:i/>
          <w:lang w:val="fr-CH"/>
        </w:rPr>
        <w:t>Azerba</w:t>
      </w:r>
      <w:r w:rsidR="008673D2" w:rsidRPr="0071782F">
        <w:rPr>
          <w:i/>
          <w:lang w:val="fr-CH"/>
        </w:rPr>
        <w:t>ïdjan</w:t>
      </w:r>
      <w:r w:rsidR="008673D2" w:rsidRPr="0071782F">
        <w:rPr>
          <w:lang w:val="fr-CH"/>
        </w:rPr>
        <w:t xml:space="preserve"> et</w:t>
      </w:r>
      <w:r w:rsidRPr="0071782F">
        <w:rPr>
          <w:lang w:val="fr-CH"/>
        </w:rPr>
        <w:t xml:space="preserve"> </w:t>
      </w:r>
      <w:r w:rsidRPr="0071782F">
        <w:rPr>
          <w:i/>
          <w:lang w:val="fr-CH"/>
        </w:rPr>
        <w:t>Shams-e Tabriz</w:t>
      </w:r>
      <w:r w:rsidRPr="0071782F">
        <w:rPr>
          <w:lang w:val="fr-CH"/>
        </w:rPr>
        <w:t>.</w:t>
      </w:r>
    </w:p>
    <w:p w:rsidR="00963C03" w:rsidRPr="0071782F" w:rsidRDefault="00963C03" w:rsidP="00AA22EB">
      <w:pPr>
        <w:pStyle w:val="SingleTxtG"/>
        <w:rPr>
          <w:lang w:val="fr-CH"/>
        </w:rPr>
      </w:pPr>
      <w:r w:rsidRPr="0071782F">
        <w:rPr>
          <w:lang w:val="fr-CH"/>
        </w:rPr>
        <w:t>504.</w:t>
      </w:r>
      <w:r w:rsidRPr="0071782F">
        <w:rPr>
          <w:lang w:val="fr-CH"/>
        </w:rPr>
        <w:tab/>
      </w:r>
      <w:r w:rsidR="00131F62" w:rsidRPr="0071782F">
        <w:rPr>
          <w:lang w:val="fr-CH"/>
        </w:rPr>
        <w:t xml:space="preserve">Il existe </w:t>
      </w:r>
      <w:r w:rsidRPr="0071782F">
        <w:rPr>
          <w:lang w:val="fr-CH"/>
        </w:rPr>
        <w:t xml:space="preserve">350 </w:t>
      </w:r>
      <w:r w:rsidR="00131F62" w:rsidRPr="0071782F">
        <w:rPr>
          <w:lang w:val="fr-CH"/>
        </w:rPr>
        <w:t xml:space="preserve">ONG et associations des minorités ethniques qui participent activement à diverses activités </w:t>
      </w:r>
      <w:r w:rsidRPr="0071782F">
        <w:rPr>
          <w:lang w:val="fr-CH"/>
        </w:rPr>
        <w:t>social</w:t>
      </w:r>
      <w:r w:rsidR="00131F62" w:rsidRPr="0071782F">
        <w:rPr>
          <w:lang w:val="fr-CH"/>
        </w:rPr>
        <w:t>es</w:t>
      </w:r>
      <w:r w:rsidRPr="0071782F">
        <w:rPr>
          <w:lang w:val="fr-CH"/>
        </w:rPr>
        <w:t>, cultur</w:t>
      </w:r>
      <w:r w:rsidR="00131F62" w:rsidRPr="0071782F">
        <w:rPr>
          <w:lang w:val="fr-CH"/>
        </w:rPr>
        <w:t>elles</w:t>
      </w:r>
      <w:r w:rsidRPr="0071782F">
        <w:rPr>
          <w:lang w:val="fr-CH"/>
        </w:rPr>
        <w:t>, artisti</w:t>
      </w:r>
      <w:r w:rsidR="00131F62" w:rsidRPr="0071782F">
        <w:rPr>
          <w:lang w:val="fr-CH"/>
        </w:rPr>
        <w:t>ques</w:t>
      </w:r>
      <w:r w:rsidRPr="0071782F">
        <w:rPr>
          <w:lang w:val="fr-CH"/>
        </w:rPr>
        <w:t xml:space="preserve">, </w:t>
      </w:r>
      <w:r w:rsidR="00131F62" w:rsidRPr="0071782F">
        <w:rPr>
          <w:lang w:val="fr-CH"/>
        </w:rPr>
        <w:t xml:space="preserve">de </w:t>
      </w:r>
      <w:r w:rsidRPr="0071782F">
        <w:rPr>
          <w:lang w:val="fr-CH"/>
        </w:rPr>
        <w:t>service</w:t>
      </w:r>
      <w:r w:rsidR="00131F62" w:rsidRPr="0071782F">
        <w:rPr>
          <w:lang w:val="fr-CH"/>
        </w:rPr>
        <w:t>s et d’i</w:t>
      </w:r>
      <w:r w:rsidRPr="0071782F">
        <w:rPr>
          <w:lang w:val="fr-CH"/>
        </w:rPr>
        <w:t>ranologi</w:t>
      </w:r>
      <w:r w:rsidR="00131F62" w:rsidRPr="0071782F">
        <w:rPr>
          <w:lang w:val="fr-CH"/>
        </w:rPr>
        <w:t>e</w:t>
      </w:r>
      <w:r w:rsidRPr="0071782F">
        <w:rPr>
          <w:lang w:val="fr-CH"/>
        </w:rPr>
        <w:t>.</w:t>
      </w:r>
    </w:p>
    <w:p w:rsidR="00963C03" w:rsidRPr="0071782F" w:rsidRDefault="00963C03" w:rsidP="00AA22EB">
      <w:pPr>
        <w:pStyle w:val="H1G"/>
        <w:rPr>
          <w:lang w:val="fr-CH"/>
        </w:rPr>
      </w:pPr>
      <w:r w:rsidRPr="0071782F">
        <w:rPr>
          <w:lang w:val="fr-CH"/>
        </w:rPr>
        <w:tab/>
      </w:r>
      <w:r w:rsidRPr="0071782F">
        <w:rPr>
          <w:lang w:val="fr-CH"/>
        </w:rPr>
        <w:tab/>
      </w:r>
      <w:r w:rsidR="00131F62" w:rsidRPr="0071782F">
        <w:rPr>
          <w:lang w:val="fr-CH"/>
        </w:rPr>
        <w:t>Éducation p</w:t>
      </w:r>
      <w:r w:rsidRPr="0071782F">
        <w:rPr>
          <w:lang w:val="fr-CH"/>
        </w:rPr>
        <w:t>hysi</w:t>
      </w:r>
      <w:r w:rsidR="00131F62" w:rsidRPr="0071782F">
        <w:rPr>
          <w:lang w:val="fr-CH"/>
        </w:rPr>
        <w:t xml:space="preserve">que et </w:t>
      </w:r>
      <w:r w:rsidRPr="0071782F">
        <w:rPr>
          <w:lang w:val="fr-CH"/>
        </w:rPr>
        <w:t>sports</w:t>
      </w:r>
    </w:p>
    <w:p w:rsidR="00963C03" w:rsidRPr="0071782F" w:rsidRDefault="00963C03" w:rsidP="005F12CE">
      <w:pPr>
        <w:pStyle w:val="SingleTxtG"/>
        <w:spacing w:after="240"/>
        <w:rPr>
          <w:lang w:val="fr-CH"/>
        </w:rPr>
      </w:pPr>
      <w:r w:rsidRPr="0071782F">
        <w:rPr>
          <w:lang w:val="fr-CH"/>
        </w:rPr>
        <w:t>505.</w:t>
      </w:r>
      <w:r w:rsidRPr="0071782F">
        <w:rPr>
          <w:lang w:val="fr-CH"/>
        </w:rPr>
        <w:tab/>
      </w:r>
      <w:r w:rsidR="00131F62" w:rsidRPr="0071782F">
        <w:rPr>
          <w:lang w:val="fr-CH"/>
        </w:rPr>
        <w:t xml:space="preserve">L’Organisme de l’éducation physique d’Iran a la haute main sur le sport et son directeur est en même temps l’un des Vice-Présidents du pays. L’Organisme a son siège à </w:t>
      </w:r>
      <w:r w:rsidRPr="0071782F">
        <w:rPr>
          <w:lang w:val="fr-CH"/>
        </w:rPr>
        <w:t>T</w:t>
      </w:r>
      <w:r w:rsidR="00131F62" w:rsidRPr="0071782F">
        <w:rPr>
          <w:lang w:val="fr-CH"/>
        </w:rPr>
        <w:t>é</w:t>
      </w:r>
      <w:r w:rsidRPr="0071782F">
        <w:rPr>
          <w:lang w:val="fr-CH"/>
        </w:rPr>
        <w:t>h</w:t>
      </w:r>
      <w:r w:rsidR="00131F62" w:rsidRPr="0071782F">
        <w:rPr>
          <w:lang w:val="fr-CH"/>
        </w:rPr>
        <w:t>ér</w:t>
      </w:r>
      <w:r w:rsidRPr="0071782F">
        <w:rPr>
          <w:lang w:val="fr-CH"/>
        </w:rPr>
        <w:t>an</w:t>
      </w:r>
      <w:r w:rsidR="00131F62" w:rsidRPr="0071782F">
        <w:rPr>
          <w:lang w:val="fr-CH"/>
        </w:rPr>
        <w:t xml:space="preserve"> et des bureaux généraux dans toutes les </w:t>
      </w:r>
      <w:r w:rsidRPr="0071782F">
        <w:rPr>
          <w:lang w:val="fr-CH"/>
        </w:rPr>
        <w:t xml:space="preserve">provinces. </w:t>
      </w:r>
      <w:r w:rsidR="00131F62" w:rsidRPr="0071782F">
        <w:rPr>
          <w:lang w:val="fr-CH"/>
        </w:rPr>
        <w:t>Il supervise tous les groupes sportifs</w:t>
      </w:r>
      <w:r w:rsidRPr="0071782F">
        <w:rPr>
          <w:lang w:val="fr-CH"/>
        </w:rPr>
        <w:t xml:space="preserve">. </w:t>
      </w:r>
      <w:r w:rsidR="00131F62" w:rsidRPr="0071782F">
        <w:rPr>
          <w:lang w:val="fr-CH"/>
        </w:rPr>
        <w:t>E</w:t>
      </w:r>
      <w:r w:rsidRPr="0071782F">
        <w:rPr>
          <w:lang w:val="fr-CH"/>
        </w:rPr>
        <w:t xml:space="preserve">n 2004, </w:t>
      </w:r>
      <w:r w:rsidR="00131F62" w:rsidRPr="0071782F">
        <w:rPr>
          <w:lang w:val="fr-CH"/>
        </w:rPr>
        <w:t xml:space="preserve">le </w:t>
      </w:r>
      <w:r w:rsidRPr="0071782F">
        <w:rPr>
          <w:lang w:val="fr-CH"/>
        </w:rPr>
        <w:t xml:space="preserve">document </w:t>
      </w:r>
      <w:r w:rsidR="00131F62" w:rsidRPr="0071782F">
        <w:rPr>
          <w:lang w:val="fr-CH"/>
        </w:rPr>
        <w:t xml:space="preserve">national sur le développement du sport dans le pays a été élaboré dans le but de promouvoir sur le long terme tous les types de sports </w:t>
      </w:r>
      <w:r w:rsidRPr="0071782F">
        <w:rPr>
          <w:lang w:val="fr-CH"/>
        </w:rPr>
        <w:t>(</w:t>
      </w:r>
      <w:r w:rsidR="00131F62" w:rsidRPr="0071782F">
        <w:rPr>
          <w:lang w:val="fr-CH"/>
        </w:rPr>
        <w:t>de compétition</w:t>
      </w:r>
      <w:r w:rsidRPr="0071782F">
        <w:rPr>
          <w:lang w:val="fr-CH"/>
        </w:rPr>
        <w:t>, profession</w:t>
      </w:r>
      <w:r w:rsidR="00131F62" w:rsidRPr="0071782F">
        <w:rPr>
          <w:lang w:val="fr-CH"/>
        </w:rPr>
        <w:t>nel</w:t>
      </w:r>
      <w:r w:rsidRPr="0071782F">
        <w:rPr>
          <w:lang w:val="fr-CH"/>
        </w:rPr>
        <w:t>, tradition</w:t>
      </w:r>
      <w:r w:rsidR="00131F62" w:rsidRPr="0071782F">
        <w:rPr>
          <w:lang w:val="fr-CH"/>
        </w:rPr>
        <w:t>nel</w:t>
      </w:r>
      <w:r w:rsidRPr="0071782F">
        <w:rPr>
          <w:lang w:val="fr-CH"/>
        </w:rPr>
        <w:t>, public</w:t>
      </w:r>
      <w:r w:rsidR="00131F62" w:rsidRPr="0071782F">
        <w:rPr>
          <w:lang w:val="fr-CH"/>
        </w:rPr>
        <w:t xml:space="preserve"> et de loisir</w:t>
      </w:r>
      <w:r w:rsidRPr="0071782F">
        <w:rPr>
          <w:lang w:val="fr-CH"/>
        </w:rPr>
        <w:t>)</w:t>
      </w:r>
      <w:r w:rsidR="00131F62" w:rsidRPr="0071782F">
        <w:rPr>
          <w:lang w:val="fr-CH"/>
        </w:rPr>
        <w:t xml:space="preserve">; ce document contient les </w:t>
      </w:r>
      <w:r w:rsidRPr="0071782F">
        <w:rPr>
          <w:lang w:val="fr-CH"/>
        </w:rPr>
        <w:t>strat</w:t>
      </w:r>
      <w:r w:rsidR="00131F62" w:rsidRPr="0071782F">
        <w:rPr>
          <w:lang w:val="fr-CH"/>
        </w:rPr>
        <w:t>é</w:t>
      </w:r>
      <w:r w:rsidRPr="0071782F">
        <w:rPr>
          <w:lang w:val="fr-CH"/>
        </w:rPr>
        <w:t xml:space="preserve">gies, </w:t>
      </w:r>
      <w:r w:rsidR="00131F62" w:rsidRPr="0071782F">
        <w:rPr>
          <w:lang w:val="fr-CH"/>
        </w:rPr>
        <w:t xml:space="preserve">les objectifs et les </w:t>
      </w:r>
      <w:r w:rsidRPr="0071782F">
        <w:rPr>
          <w:lang w:val="fr-CH"/>
        </w:rPr>
        <w:t>program</w:t>
      </w:r>
      <w:r w:rsidR="00131F62" w:rsidRPr="0071782F">
        <w:rPr>
          <w:lang w:val="fr-CH"/>
        </w:rPr>
        <w:t>me</w:t>
      </w:r>
      <w:r w:rsidRPr="0071782F">
        <w:rPr>
          <w:lang w:val="fr-CH"/>
        </w:rPr>
        <w:t xml:space="preserve">s </w:t>
      </w:r>
      <w:r w:rsidR="00131F62" w:rsidRPr="0071782F">
        <w:rPr>
          <w:lang w:val="fr-CH"/>
        </w:rPr>
        <w:t>de ce secteur</w:t>
      </w:r>
      <w:r w:rsidRPr="0071782F">
        <w:rPr>
          <w:lang w:val="fr-CH"/>
        </w:rPr>
        <w:t>.</w:t>
      </w:r>
    </w:p>
    <w:tbl>
      <w:tblPr>
        <w:tblW w:w="9639" w:type="dxa"/>
        <w:tblBorders>
          <w:top w:val="single" w:sz="4" w:space="0" w:color="auto"/>
          <w:bottom w:val="single" w:sz="12" w:space="0" w:color="auto"/>
        </w:tblBorders>
        <w:shd w:val="clear" w:color="000000" w:fill="auto"/>
        <w:tblLayout w:type="fixed"/>
        <w:tblCellMar>
          <w:left w:w="0" w:type="dxa"/>
          <w:right w:w="0" w:type="dxa"/>
        </w:tblCellMar>
        <w:tblLook w:val="00A0" w:firstRow="1" w:lastRow="0" w:firstColumn="1" w:lastColumn="0" w:noHBand="0" w:noVBand="0"/>
      </w:tblPr>
      <w:tblGrid>
        <w:gridCol w:w="4253"/>
        <w:gridCol w:w="1843"/>
        <w:gridCol w:w="814"/>
        <w:gridCol w:w="963"/>
        <w:gridCol w:w="964"/>
        <w:gridCol w:w="802"/>
      </w:tblGrid>
      <w:tr w:rsidR="00963C03" w:rsidRPr="0071782F">
        <w:trPr>
          <w:tblHeader/>
        </w:trPr>
        <w:tc>
          <w:tcPr>
            <w:tcW w:w="6096" w:type="dxa"/>
            <w:gridSpan w:val="2"/>
            <w:tcBorders>
              <w:top w:val="single" w:sz="4" w:space="0" w:color="auto"/>
              <w:bottom w:val="single" w:sz="12" w:space="0" w:color="auto"/>
            </w:tcBorders>
            <w:shd w:val="clear" w:color="000000"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Indicat</w:t>
            </w:r>
            <w:r w:rsidR="00131F62" w:rsidRPr="0071782F">
              <w:rPr>
                <w:i/>
                <w:sz w:val="16"/>
                <w:lang w:val="fr-CH"/>
              </w:rPr>
              <w:t>eu</w:t>
            </w:r>
            <w:r w:rsidR="00774E61" w:rsidRPr="0071782F">
              <w:rPr>
                <w:i/>
                <w:sz w:val="16"/>
                <w:lang w:val="fr-CH"/>
              </w:rPr>
              <w:t>rs</w:t>
            </w:r>
          </w:p>
        </w:tc>
        <w:tc>
          <w:tcPr>
            <w:tcW w:w="814" w:type="dxa"/>
            <w:tcBorders>
              <w:top w:val="single" w:sz="4" w:space="0" w:color="auto"/>
              <w:bottom w:val="single" w:sz="12" w:space="0" w:color="auto"/>
            </w:tcBorders>
            <w:shd w:val="clear" w:color="000000"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2005</w:t>
            </w:r>
          </w:p>
        </w:tc>
        <w:tc>
          <w:tcPr>
            <w:tcW w:w="963" w:type="dxa"/>
            <w:tcBorders>
              <w:top w:val="single" w:sz="4" w:space="0" w:color="auto"/>
              <w:bottom w:val="single" w:sz="12" w:space="0" w:color="auto"/>
            </w:tcBorders>
            <w:shd w:val="clear" w:color="000000"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2006</w:t>
            </w:r>
          </w:p>
        </w:tc>
        <w:tc>
          <w:tcPr>
            <w:tcW w:w="964" w:type="dxa"/>
            <w:tcBorders>
              <w:top w:val="single" w:sz="4" w:space="0" w:color="auto"/>
              <w:bottom w:val="single" w:sz="12" w:space="0" w:color="auto"/>
            </w:tcBorders>
            <w:shd w:val="clear" w:color="000000"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2007</w:t>
            </w:r>
          </w:p>
        </w:tc>
        <w:tc>
          <w:tcPr>
            <w:tcW w:w="802" w:type="dxa"/>
            <w:tcBorders>
              <w:top w:val="single" w:sz="4" w:space="0" w:color="auto"/>
              <w:bottom w:val="single" w:sz="12" w:space="0" w:color="auto"/>
            </w:tcBorders>
            <w:shd w:val="clear" w:color="000000"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2008</w:t>
            </w:r>
          </w:p>
        </w:tc>
      </w:tr>
      <w:tr w:rsidR="00963C03" w:rsidRPr="0071782F">
        <w:tc>
          <w:tcPr>
            <w:tcW w:w="4253" w:type="dxa"/>
            <w:vMerge w:val="restart"/>
            <w:tcBorders>
              <w:top w:val="single" w:sz="12" w:space="0" w:color="auto"/>
            </w:tcBorders>
            <w:shd w:val="clear" w:color="000000" w:fill="auto"/>
          </w:tcPr>
          <w:p w:rsidR="00963C03" w:rsidRPr="0071782F" w:rsidRDefault="00963C03" w:rsidP="00B6070A">
            <w:pPr>
              <w:suppressAutoHyphens w:val="0"/>
              <w:spacing w:before="40" w:after="30" w:line="220" w:lineRule="exact"/>
              <w:rPr>
                <w:sz w:val="18"/>
                <w:lang w:val="fr-CH"/>
              </w:rPr>
            </w:pPr>
            <w:r w:rsidRPr="0071782F">
              <w:rPr>
                <w:sz w:val="18"/>
                <w:lang w:val="fr-CH"/>
              </w:rPr>
              <w:t>No</w:t>
            </w:r>
            <w:r w:rsidR="00131F62" w:rsidRPr="0071782F">
              <w:rPr>
                <w:sz w:val="18"/>
                <w:lang w:val="fr-CH"/>
              </w:rPr>
              <w:t xml:space="preserve">mbre </w:t>
            </w:r>
            <w:r w:rsidR="00D82C96" w:rsidRPr="0071782F">
              <w:rPr>
                <w:sz w:val="18"/>
                <w:lang w:val="fr-CH"/>
              </w:rPr>
              <w:t>de personnes</w:t>
            </w:r>
            <w:r w:rsidRPr="0071782F">
              <w:rPr>
                <w:sz w:val="18"/>
                <w:lang w:val="fr-CH"/>
              </w:rPr>
              <w:t xml:space="preserve"> </w:t>
            </w:r>
            <w:r w:rsidR="00131F62" w:rsidRPr="0071782F">
              <w:rPr>
                <w:sz w:val="18"/>
                <w:lang w:val="fr-CH"/>
              </w:rPr>
              <w:t xml:space="preserve">pratiquant un sport public </w:t>
            </w:r>
          </w:p>
        </w:tc>
        <w:tc>
          <w:tcPr>
            <w:tcW w:w="1843" w:type="dxa"/>
            <w:tcBorders>
              <w:top w:val="single" w:sz="12" w:space="0" w:color="auto"/>
            </w:tcBorders>
            <w:shd w:val="clear" w:color="000000" w:fill="auto"/>
          </w:tcPr>
          <w:p w:rsidR="00963C03" w:rsidRPr="0071782F" w:rsidRDefault="00963C03" w:rsidP="00B6070A">
            <w:pPr>
              <w:suppressAutoHyphens w:val="0"/>
              <w:spacing w:before="40" w:after="30" w:line="220" w:lineRule="exact"/>
              <w:rPr>
                <w:sz w:val="18"/>
                <w:lang w:val="fr-CH"/>
              </w:rPr>
            </w:pPr>
            <w:r w:rsidRPr="0071782F">
              <w:rPr>
                <w:sz w:val="18"/>
                <w:lang w:val="fr-CH"/>
              </w:rPr>
              <w:t>Fem</w:t>
            </w:r>
            <w:r w:rsidR="00131F62" w:rsidRPr="0071782F">
              <w:rPr>
                <w:sz w:val="18"/>
                <w:lang w:val="fr-CH"/>
              </w:rPr>
              <w:t>mes</w:t>
            </w:r>
          </w:p>
        </w:tc>
        <w:tc>
          <w:tcPr>
            <w:tcW w:w="814" w:type="dxa"/>
            <w:tcBorders>
              <w:top w:val="single" w:sz="12" w:space="0" w:color="auto"/>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2 502 712</w:t>
            </w:r>
          </w:p>
        </w:tc>
        <w:tc>
          <w:tcPr>
            <w:tcW w:w="963" w:type="dxa"/>
            <w:tcBorders>
              <w:top w:val="single" w:sz="12" w:space="0" w:color="auto"/>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3 246 810</w:t>
            </w:r>
          </w:p>
        </w:tc>
        <w:tc>
          <w:tcPr>
            <w:tcW w:w="964" w:type="dxa"/>
            <w:tcBorders>
              <w:top w:val="single" w:sz="12" w:space="0" w:color="auto"/>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526 331</w:t>
            </w:r>
          </w:p>
        </w:tc>
        <w:tc>
          <w:tcPr>
            <w:tcW w:w="802" w:type="dxa"/>
            <w:tcBorders>
              <w:top w:val="single" w:sz="12" w:space="0" w:color="auto"/>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r>
      <w:tr w:rsidR="00963C03" w:rsidRPr="0071782F">
        <w:tc>
          <w:tcPr>
            <w:tcW w:w="4253" w:type="dxa"/>
            <w:vMerge/>
            <w:tcBorders>
              <w:bottom w:val="nil"/>
            </w:tcBorders>
            <w:shd w:val="clear" w:color="000000" w:fill="auto"/>
          </w:tcPr>
          <w:p w:rsidR="00963C03" w:rsidRPr="0071782F" w:rsidRDefault="00963C03" w:rsidP="00B6070A">
            <w:pPr>
              <w:suppressAutoHyphens w:val="0"/>
              <w:spacing w:before="40" w:after="30" w:line="220" w:lineRule="exact"/>
              <w:rPr>
                <w:sz w:val="18"/>
                <w:lang w:val="fr-CH"/>
              </w:rPr>
            </w:pPr>
          </w:p>
        </w:tc>
        <w:tc>
          <w:tcPr>
            <w:tcW w:w="1843" w:type="dxa"/>
            <w:tcBorders>
              <w:bottom w:val="nil"/>
            </w:tcBorders>
            <w:shd w:val="clear" w:color="000000" w:fill="auto"/>
          </w:tcPr>
          <w:p w:rsidR="00963C03" w:rsidRPr="0071782F" w:rsidRDefault="00131F62" w:rsidP="00B6070A">
            <w:pPr>
              <w:suppressAutoHyphens w:val="0"/>
              <w:spacing w:before="40" w:after="30" w:line="220" w:lineRule="exact"/>
              <w:rPr>
                <w:sz w:val="18"/>
                <w:lang w:val="fr-CH"/>
              </w:rPr>
            </w:pPr>
            <w:r w:rsidRPr="0071782F">
              <w:rPr>
                <w:sz w:val="18"/>
                <w:lang w:val="fr-CH"/>
              </w:rPr>
              <w:t>Hommes</w:t>
            </w:r>
          </w:p>
        </w:tc>
        <w:tc>
          <w:tcPr>
            <w:tcW w:w="814" w:type="dxa"/>
            <w:tcBorders>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5 036 004</w:t>
            </w:r>
          </w:p>
        </w:tc>
        <w:tc>
          <w:tcPr>
            <w:tcW w:w="963" w:type="dxa"/>
            <w:tcBorders>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4 369 538</w:t>
            </w:r>
          </w:p>
        </w:tc>
        <w:tc>
          <w:tcPr>
            <w:tcW w:w="964" w:type="dxa"/>
            <w:tcBorders>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788 957</w:t>
            </w:r>
          </w:p>
        </w:tc>
        <w:tc>
          <w:tcPr>
            <w:tcW w:w="802" w:type="dxa"/>
            <w:tcBorders>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r>
      <w:tr w:rsidR="00963C03" w:rsidRPr="0071782F">
        <w:tc>
          <w:tcPr>
            <w:tcW w:w="4253" w:type="dxa"/>
            <w:vMerge w:val="restart"/>
            <w:tcBorders>
              <w:top w:val="nil"/>
              <w:bottom w:val="nil"/>
            </w:tcBorders>
            <w:shd w:val="clear" w:color="000000" w:fill="auto"/>
          </w:tcPr>
          <w:p w:rsidR="00963C03" w:rsidRPr="0071782F" w:rsidRDefault="00131F62" w:rsidP="00B6070A">
            <w:pPr>
              <w:suppressAutoHyphens w:val="0"/>
              <w:spacing w:before="40" w:after="30" w:line="220" w:lineRule="exact"/>
              <w:rPr>
                <w:sz w:val="18"/>
                <w:lang w:val="fr-CH"/>
              </w:rPr>
            </w:pPr>
            <w:r w:rsidRPr="0071782F">
              <w:rPr>
                <w:sz w:val="18"/>
                <w:lang w:val="fr-CH"/>
              </w:rPr>
              <w:t>Memb</w:t>
            </w:r>
            <w:r w:rsidR="00963C03" w:rsidRPr="0071782F">
              <w:rPr>
                <w:sz w:val="18"/>
                <w:lang w:val="fr-CH"/>
              </w:rPr>
              <w:t>r</w:t>
            </w:r>
            <w:r w:rsidRPr="0071782F">
              <w:rPr>
                <w:sz w:val="18"/>
                <w:lang w:val="fr-CH"/>
              </w:rPr>
              <w:t>e</w:t>
            </w:r>
            <w:r w:rsidR="00963C03" w:rsidRPr="0071782F">
              <w:rPr>
                <w:sz w:val="18"/>
                <w:lang w:val="fr-CH"/>
              </w:rPr>
              <w:t xml:space="preserve">s </w:t>
            </w:r>
            <w:r w:rsidRPr="0071782F">
              <w:rPr>
                <w:sz w:val="18"/>
                <w:lang w:val="fr-CH"/>
              </w:rPr>
              <w:t xml:space="preserve">d’équipes </w:t>
            </w:r>
            <w:r w:rsidR="00963C03" w:rsidRPr="0071782F">
              <w:rPr>
                <w:sz w:val="18"/>
                <w:lang w:val="fr-CH"/>
              </w:rPr>
              <w:t>national</w:t>
            </w:r>
            <w:r w:rsidRPr="0071782F">
              <w:rPr>
                <w:sz w:val="18"/>
                <w:lang w:val="fr-CH"/>
              </w:rPr>
              <w:t>es</w:t>
            </w:r>
            <w:r w:rsidR="00963C03" w:rsidRPr="0071782F">
              <w:rPr>
                <w:sz w:val="18"/>
                <w:lang w:val="fr-CH"/>
              </w:rPr>
              <w:t xml:space="preserve"> </w:t>
            </w:r>
          </w:p>
        </w:tc>
        <w:tc>
          <w:tcPr>
            <w:tcW w:w="1843" w:type="dxa"/>
            <w:tcBorders>
              <w:top w:val="nil"/>
              <w:bottom w:val="nil"/>
            </w:tcBorders>
            <w:shd w:val="clear" w:color="000000" w:fill="auto"/>
          </w:tcPr>
          <w:p w:rsidR="00963C03" w:rsidRPr="0071782F" w:rsidRDefault="00131F62" w:rsidP="00B6070A">
            <w:pPr>
              <w:suppressAutoHyphens w:val="0"/>
              <w:spacing w:before="40" w:after="30" w:line="220" w:lineRule="exact"/>
              <w:rPr>
                <w:sz w:val="18"/>
                <w:lang w:val="fr-CH"/>
              </w:rPr>
            </w:pPr>
            <w:r w:rsidRPr="0071782F">
              <w:rPr>
                <w:sz w:val="18"/>
                <w:lang w:val="fr-CH"/>
              </w:rPr>
              <w:t>Femmes</w:t>
            </w:r>
          </w:p>
        </w:tc>
        <w:tc>
          <w:tcPr>
            <w:tcW w:w="814" w:type="dxa"/>
            <w:tcBorders>
              <w:top w:val="nil"/>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c>
          <w:tcPr>
            <w:tcW w:w="963" w:type="dxa"/>
            <w:tcBorders>
              <w:top w:val="nil"/>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247</w:t>
            </w:r>
          </w:p>
        </w:tc>
        <w:tc>
          <w:tcPr>
            <w:tcW w:w="964" w:type="dxa"/>
            <w:tcBorders>
              <w:top w:val="nil"/>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444</w:t>
            </w:r>
          </w:p>
        </w:tc>
        <w:tc>
          <w:tcPr>
            <w:tcW w:w="802" w:type="dxa"/>
            <w:tcBorders>
              <w:top w:val="nil"/>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r>
      <w:tr w:rsidR="00963C03" w:rsidRPr="0071782F">
        <w:tc>
          <w:tcPr>
            <w:tcW w:w="4253" w:type="dxa"/>
            <w:vMerge/>
            <w:tcBorders>
              <w:top w:val="nil"/>
              <w:bottom w:val="nil"/>
            </w:tcBorders>
            <w:shd w:val="clear" w:color="000000" w:fill="auto"/>
          </w:tcPr>
          <w:p w:rsidR="00963C03" w:rsidRPr="0071782F" w:rsidRDefault="00963C03" w:rsidP="00B6070A">
            <w:pPr>
              <w:suppressAutoHyphens w:val="0"/>
              <w:spacing w:before="40" w:after="30" w:line="220" w:lineRule="exact"/>
              <w:rPr>
                <w:sz w:val="18"/>
                <w:lang w:val="fr-CH"/>
              </w:rPr>
            </w:pPr>
          </w:p>
        </w:tc>
        <w:tc>
          <w:tcPr>
            <w:tcW w:w="1843" w:type="dxa"/>
            <w:tcBorders>
              <w:top w:val="nil"/>
              <w:bottom w:val="nil"/>
            </w:tcBorders>
            <w:shd w:val="clear" w:color="000000" w:fill="auto"/>
          </w:tcPr>
          <w:p w:rsidR="00963C03" w:rsidRPr="0071782F" w:rsidRDefault="00131F62" w:rsidP="00B6070A">
            <w:pPr>
              <w:suppressAutoHyphens w:val="0"/>
              <w:spacing w:before="40" w:after="30" w:line="220" w:lineRule="exact"/>
              <w:rPr>
                <w:sz w:val="18"/>
                <w:lang w:val="fr-CH"/>
              </w:rPr>
            </w:pPr>
            <w:r w:rsidRPr="0071782F">
              <w:rPr>
                <w:sz w:val="18"/>
                <w:lang w:val="fr-CH"/>
              </w:rPr>
              <w:t>Hommes</w:t>
            </w:r>
          </w:p>
        </w:tc>
        <w:tc>
          <w:tcPr>
            <w:tcW w:w="814" w:type="dxa"/>
            <w:tcBorders>
              <w:top w:val="nil"/>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c>
          <w:tcPr>
            <w:tcW w:w="963" w:type="dxa"/>
            <w:tcBorders>
              <w:top w:val="nil"/>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1 445</w:t>
            </w:r>
          </w:p>
        </w:tc>
        <w:tc>
          <w:tcPr>
            <w:tcW w:w="964" w:type="dxa"/>
            <w:tcBorders>
              <w:top w:val="nil"/>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2 415</w:t>
            </w:r>
          </w:p>
        </w:tc>
        <w:tc>
          <w:tcPr>
            <w:tcW w:w="802" w:type="dxa"/>
            <w:tcBorders>
              <w:top w:val="nil"/>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r>
      <w:tr w:rsidR="00963C03" w:rsidRPr="0071782F">
        <w:tc>
          <w:tcPr>
            <w:tcW w:w="4253" w:type="dxa"/>
            <w:vMerge w:val="restart"/>
            <w:tcBorders>
              <w:top w:val="nil"/>
              <w:bottom w:val="nil"/>
            </w:tcBorders>
            <w:shd w:val="clear" w:color="000000" w:fill="auto"/>
          </w:tcPr>
          <w:p w:rsidR="00963C03" w:rsidRPr="0071782F" w:rsidRDefault="00963C03" w:rsidP="00B6070A">
            <w:pPr>
              <w:keepNext/>
              <w:suppressAutoHyphens w:val="0"/>
              <w:spacing w:before="40" w:after="30" w:line="220" w:lineRule="exact"/>
              <w:rPr>
                <w:sz w:val="18"/>
                <w:lang w:val="fr-CH"/>
              </w:rPr>
            </w:pPr>
            <w:r w:rsidRPr="0071782F">
              <w:rPr>
                <w:sz w:val="18"/>
                <w:lang w:val="fr-CH"/>
              </w:rPr>
              <w:t>No</w:t>
            </w:r>
            <w:r w:rsidR="00131F62" w:rsidRPr="0071782F">
              <w:rPr>
                <w:sz w:val="18"/>
                <w:lang w:val="fr-CH"/>
              </w:rPr>
              <w:t>mbre d’</w:t>
            </w:r>
            <w:r w:rsidRPr="0071782F">
              <w:rPr>
                <w:sz w:val="18"/>
                <w:lang w:val="fr-CH"/>
              </w:rPr>
              <w:t>athl</w:t>
            </w:r>
            <w:r w:rsidR="00131F62" w:rsidRPr="0071782F">
              <w:rPr>
                <w:sz w:val="18"/>
                <w:lang w:val="fr-CH"/>
              </w:rPr>
              <w:t>è</w:t>
            </w:r>
            <w:r w:rsidRPr="0071782F">
              <w:rPr>
                <w:sz w:val="18"/>
                <w:lang w:val="fr-CH"/>
              </w:rPr>
              <w:t xml:space="preserve">tes </w:t>
            </w:r>
            <w:r w:rsidR="00131F62" w:rsidRPr="0071782F">
              <w:rPr>
                <w:sz w:val="18"/>
                <w:lang w:val="fr-CH"/>
              </w:rPr>
              <w:t xml:space="preserve">ayant une assurance sportive </w:t>
            </w:r>
          </w:p>
        </w:tc>
        <w:tc>
          <w:tcPr>
            <w:tcW w:w="1843" w:type="dxa"/>
            <w:tcBorders>
              <w:top w:val="nil"/>
              <w:bottom w:val="nil"/>
            </w:tcBorders>
            <w:shd w:val="clear" w:color="000000" w:fill="auto"/>
          </w:tcPr>
          <w:p w:rsidR="00963C03" w:rsidRPr="0071782F" w:rsidRDefault="00131F62" w:rsidP="00B6070A">
            <w:pPr>
              <w:keepNext/>
              <w:suppressAutoHyphens w:val="0"/>
              <w:spacing w:before="40" w:after="30" w:line="220" w:lineRule="exact"/>
              <w:rPr>
                <w:sz w:val="18"/>
                <w:lang w:val="fr-CH"/>
              </w:rPr>
            </w:pPr>
            <w:r w:rsidRPr="0071782F">
              <w:rPr>
                <w:sz w:val="18"/>
                <w:lang w:val="fr-CH"/>
              </w:rPr>
              <w:t>Femmes</w:t>
            </w:r>
          </w:p>
        </w:tc>
        <w:tc>
          <w:tcPr>
            <w:tcW w:w="814" w:type="dxa"/>
            <w:tcBorders>
              <w:top w:val="nil"/>
              <w:bottom w:val="nil"/>
            </w:tcBorders>
            <w:shd w:val="clear" w:color="000000" w:fill="auto"/>
            <w:vAlign w:val="bottom"/>
          </w:tcPr>
          <w:p w:rsidR="00963C03" w:rsidRPr="0071782F" w:rsidRDefault="00963C03" w:rsidP="00B6070A">
            <w:pPr>
              <w:keepNext/>
              <w:suppressAutoHyphens w:val="0"/>
              <w:spacing w:before="40" w:after="30" w:line="220" w:lineRule="exact"/>
              <w:jc w:val="right"/>
              <w:rPr>
                <w:sz w:val="18"/>
                <w:lang w:val="fr-CH"/>
              </w:rPr>
            </w:pPr>
          </w:p>
        </w:tc>
        <w:tc>
          <w:tcPr>
            <w:tcW w:w="963" w:type="dxa"/>
            <w:tcBorders>
              <w:top w:val="nil"/>
              <w:bottom w:val="nil"/>
            </w:tcBorders>
            <w:shd w:val="clear" w:color="000000" w:fill="auto"/>
            <w:vAlign w:val="bottom"/>
          </w:tcPr>
          <w:p w:rsidR="00963C03" w:rsidRPr="0071782F" w:rsidRDefault="00963C03" w:rsidP="00B6070A">
            <w:pPr>
              <w:keepNext/>
              <w:suppressAutoHyphens w:val="0"/>
              <w:spacing w:before="40" w:after="30" w:line="220" w:lineRule="exact"/>
              <w:jc w:val="right"/>
              <w:rPr>
                <w:sz w:val="18"/>
                <w:lang w:val="fr-CH"/>
              </w:rPr>
            </w:pPr>
            <w:r w:rsidRPr="0071782F">
              <w:rPr>
                <w:sz w:val="18"/>
                <w:lang w:val="fr-CH"/>
              </w:rPr>
              <w:t>63 370</w:t>
            </w:r>
          </w:p>
        </w:tc>
        <w:tc>
          <w:tcPr>
            <w:tcW w:w="964" w:type="dxa"/>
            <w:tcBorders>
              <w:top w:val="nil"/>
              <w:bottom w:val="nil"/>
            </w:tcBorders>
            <w:shd w:val="clear" w:color="000000" w:fill="auto"/>
            <w:vAlign w:val="bottom"/>
          </w:tcPr>
          <w:p w:rsidR="00963C03" w:rsidRPr="0071782F" w:rsidRDefault="00FF61F7" w:rsidP="00B6070A">
            <w:pPr>
              <w:keepNext/>
              <w:suppressAutoHyphens w:val="0"/>
              <w:spacing w:before="40" w:after="30" w:line="220" w:lineRule="exact"/>
              <w:jc w:val="right"/>
              <w:rPr>
                <w:sz w:val="18"/>
                <w:lang w:val="fr-CH"/>
              </w:rPr>
            </w:pPr>
            <w:r w:rsidRPr="0071782F">
              <w:rPr>
                <w:sz w:val="18"/>
                <w:lang w:val="fr-CH"/>
              </w:rPr>
              <w:t>–</w:t>
            </w:r>
          </w:p>
        </w:tc>
        <w:tc>
          <w:tcPr>
            <w:tcW w:w="802" w:type="dxa"/>
            <w:tcBorders>
              <w:top w:val="nil"/>
              <w:bottom w:val="nil"/>
            </w:tcBorders>
            <w:shd w:val="clear" w:color="000000" w:fill="auto"/>
            <w:vAlign w:val="bottom"/>
          </w:tcPr>
          <w:p w:rsidR="00963C03" w:rsidRPr="0071782F" w:rsidRDefault="00963C03" w:rsidP="00B6070A">
            <w:pPr>
              <w:keepNext/>
              <w:suppressAutoHyphens w:val="0"/>
              <w:spacing w:before="40" w:after="30" w:line="220" w:lineRule="exact"/>
              <w:jc w:val="right"/>
              <w:rPr>
                <w:sz w:val="18"/>
                <w:lang w:val="fr-CH"/>
              </w:rPr>
            </w:pPr>
          </w:p>
        </w:tc>
      </w:tr>
      <w:tr w:rsidR="00963C03" w:rsidRPr="0071782F">
        <w:tc>
          <w:tcPr>
            <w:tcW w:w="4253" w:type="dxa"/>
            <w:vMerge/>
            <w:tcBorders>
              <w:top w:val="nil"/>
              <w:bottom w:val="nil"/>
            </w:tcBorders>
            <w:shd w:val="clear" w:color="000000" w:fill="auto"/>
          </w:tcPr>
          <w:p w:rsidR="00963C03" w:rsidRPr="0071782F" w:rsidRDefault="00963C03" w:rsidP="00B6070A">
            <w:pPr>
              <w:suppressAutoHyphens w:val="0"/>
              <w:spacing w:before="40" w:after="30" w:line="220" w:lineRule="exact"/>
              <w:rPr>
                <w:sz w:val="18"/>
                <w:lang w:val="fr-CH"/>
              </w:rPr>
            </w:pPr>
          </w:p>
        </w:tc>
        <w:tc>
          <w:tcPr>
            <w:tcW w:w="1843" w:type="dxa"/>
            <w:tcBorders>
              <w:top w:val="nil"/>
              <w:bottom w:val="nil"/>
            </w:tcBorders>
            <w:shd w:val="clear" w:color="000000" w:fill="auto"/>
          </w:tcPr>
          <w:p w:rsidR="00963C03" w:rsidRPr="0071782F" w:rsidRDefault="00131F62" w:rsidP="00B6070A">
            <w:pPr>
              <w:suppressAutoHyphens w:val="0"/>
              <w:spacing w:before="40" w:after="30" w:line="220" w:lineRule="exact"/>
              <w:rPr>
                <w:sz w:val="18"/>
                <w:lang w:val="fr-CH"/>
              </w:rPr>
            </w:pPr>
            <w:r w:rsidRPr="0071782F">
              <w:rPr>
                <w:sz w:val="18"/>
                <w:lang w:val="fr-CH"/>
              </w:rPr>
              <w:t>Hommes</w:t>
            </w:r>
          </w:p>
        </w:tc>
        <w:tc>
          <w:tcPr>
            <w:tcW w:w="814" w:type="dxa"/>
            <w:tcBorders>
              <w:top w:val="nil"/>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c>
          <w:tcPr>
            <w:tcW w:w="963" w:type="dxa"/>
            <w:tcBorders>
              <w:top w:val="nil"/>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1 351 785</w:t>
            </w:r>
          </w:p>
        </w:tc>
        <w:tc>
          <w:tcPr>
            <w:tcW w:w="964" w:type="dxa"/>
            <w:tcBorders>
              <w:top w:val="nil"/>
              <w:bottom w:val="nil"/>
            </w:tcBorders>
            <w:shd w:val="clear" w:color="000000" w:fill="auto"/>
            <w:vAlign w:val="bottom"/>
          </w:tcPr>
          <w:p w:rsidR="00963C03" w:rsidRPr="0071782F" w:rsidRDefault="00FF61F7" w:rsidP="00B6070A">
            <w:pPr>
              <w:suppressAutoHyphens w:val="0"/>
              <w:spacing w:before="40" w:after="30" w:line="220" w:lineRule="exact"/>
              <w:jc w:val="right"/>
              <w:rPr>
                <w:sz w:val="18"/>
                <w:lang w:val="fr-CH"/>
              </w:rPr>
            </w:pPr>
            <w:r w:rsidRPr="0071782F">
              <w:rPr>
                <w:sz w:val="18"/>
                <w:lang w:val="fr-CH"/>
              </w:rPr>
              <w:t>–</w:t>
            </w:r>
          </w:p>
        </w:tc>
        <w:tc>
          <w:tcPr>
            <w:tcW w:w="802" w:type="dxa"/>
            <w:tcBorders>
              <w:top w:val="nil"/>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r>
      <w:tr w:rsidR="00963C03" w:rsidRPr="0071782F">
        <w:tc>
          <w:tcPr>
            <w:tcW w:w="4253" w:type="dxa"/>
            <w:vMerge w:val="restart"/>
            <w:tcBorders>
              <w:top w:val="nil"/>
              <w:bottom w:val="nil"/>
            </w:tcBorders>
            <w:shd w:val="clear" w:color="000000" w:fill="auto"/>
          </w:tcPr>
          <w:p w:rsidR="00963C03" w:rsidRPr="0071782F" w:rsidRDefault="00963C03" w:rsidP="00B6070A">
            <w:pPr>
              <w:suppressAutoHyphens w:val="0"/>
              <w:spacing w:before="40" w:after="30" w:line="220" w:lineRule="exact"/>
              <w:rPr>
                <w:sz w:val="18"/>
                <w:lang w:val="fr-CH"/>
              </w:rPr>
            </w:pPr>
            <w:r w:rsidRPr="0071782F">
              <w:rPr>
                <w:sz w:val="18"/>
                <w:lang w:val="fr-CH"/>
              </w:rPr>
              <w:t>No</w:t>
            </w:r>
            <w:r w:rsidR="00131F62" w:rsidRPr="0071782F">
              <w:rPr>
                <w:sz w:val="18"/>
                <w:lang w:val="fr-CH"/>
              </w:rPr>
              <w:t xml:space="preserve">mbre d’installations sportives de plein air </w:t>
            </w:r>
          </w:p>
        </w:tc>
        <w:tc>
          <w:tcPr>
            <w:tcW w:w="1843" w:type="dxa"/>
            <w:tcBorders>
              <w:top w:val="nil"/>
              <w:bottom w:val="nil"/>
            </w:tcBorders>
            <w:shd w:val="clear" w:color="000000" w:fill="auto"/>
          </w:tcPr>
          <w:p w:rsidR="00963C03" w:rsidRPr="0071782F" w:rsidRDefault="00131F62" w:rsidP="00B6070A">
            <w:pPr>
              <w:suppressAutoHyphens w:val="0"/>
              <w:spacing w:before="40" w:after="30" w:line="220" w:lineRule="exact"/>
              <w:rPr>
                <w:sz w:val="18"/>
                <w:lang w:val="fr-CH"/>
              </w:rPr>
            </w:pPr>
            <w:r w:rsidRPr="0071782F">
              <w:rPr>
                <w:sz w:val="18"/>
                <w:lang w:val="fr-CH"/>
              </w:rPr>
              <w:t>Éducation p</w:t>
            </w:r>
            <w:r w:rsidR="00963C03" w:rsidRPr="0071782F">
              <w:rPr>
                <w:sz w:val="18"/>
                <w:lang w:val="fr-CH"/>
              </w:rPr>
              <w:t>hysi</w:t>
            </w:r>
            <w:r w:rsidRPr="0071782F">
              <w:rPr>
                <w:sz w:val="18"/>
                <w:lang w:val="fr-CH"/>
              </w:rPr>
              <w:t xml:space="preserve">que </w:t>
            </w:r>
          </w:p>
        </w:tc>
        <w:tc>
          <w:tcPr>
            <w:tcW w:w="814" w:type="dxa"/>
            <w:tcBorders>
              <w:top w:val="nil"/>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c>
          <w:tcPr>
            <w:tcW w:w="963" w:type="dxa"/>
            <w:tcBorders>
              <w:top w:val="nil"/>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w:t>
            </w:r>
          </w:p>
        </w:tc>
        <w:tc>
          <w:tcPr>
            <w:tcW w:w="964" w:type="dxa"/>
            <w:tcBorders>
              <w:top w:val="nil"/>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1 862</w:t>
            </w:r>
          </w:p>
        </w:tc>
        <w:tc>
          <w:tcPr>
            <w:tcW w:w="802" w:type="dxa"/>
            <w:vMerge w:val="restart"/>
            <w:tcBorders>
              <w:top w:val="nil"/>
              <w:bottom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2 862</w:t>
            </w:r>
          </w:p>
        </w:tc>
      </w:tr>
      <w:tr w:rsidR="00963C03" w:rsidRPr="0071782F">
        <w:tc>
          <w:tcPr>
            <w:tcW w:w="4253" w:type="dxa"/>
            <w:vMerge/>
            <w:tcBorders>
              <w:top w:val="nil"/>
            </w:tcBorders>
            <w:shd w:val="clear" w:color="000000" w:fill="auto"/>
          </w:tcPr>
          <w:p w:rsidR="00963C03" w:rsidRPr="0071782F" w:rsidRDefault="00963C03" w:rsidP="00B6070A">
            <w:pPr>
              <w:suppressAutoHyphens w:val="0"/>
              <w:spacing w:before="40" w:after="30" w:line="220" w:lineRule="exact"/>
              <w:rPr>
                <w:sz w:val="18"/>
                <w:lang w:val="fr-CH"/>
              </w:rPr>
            </w:pPr>
          </w:p>
        </w:tc>
        <w:tc>
          <w:tcPr>
            <w:tcW w:w="1843" w:type="dxa"/>
            <w:tcBorders>
              <w:top w:val="nil"/>
            </w:tcBorders>
            <w:shd w:val="clear" w:color="000000" w:fill="auto"/>
          </w:tcPr>
          <w:p w:rsidR="00963C03" w:rsidRPr="0071782F" w:rsidRDefault="00131F62" w:rsidP="00B6070A">
            <w:pPr>
              <w:suppressAutoHyphens w:val="0"/>
              <w:spacing w:before="40" w:after="30" w:line="220" w:lineRule="exact"/>
              <w:rPr>
                <w:sz w:val="18"/>
                <w:lang w:val="fr-CH"/>
              </w:rPr>
            </w:pPr>
            <w:r w:rsidRPr="0071782F">
              <w:rPr>
                <w:sz w:val="18"/>
                <w:lang w:val="fr-CH"/>
              </w:rPr>
              <w:t>Publiques</w:t>
            </w:r>
          </w:p>
        </w:tc>
        <w:tc>
          <w:tcPr>
            <w:tcW w:w="814" w:type="dxa"/>
            <w:tcBorders>
              <w:top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c>
          <w:tcPr>
            <w:tcW w:w="963" w:type="dxa"/>
            <w:tcBorders>
              <w:top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1 263</w:t>
            </w:r>
          </w:p>
        </w:tc>
        <w:tc>
          <w:tcPr>
            <w:tcW w:w="964" w:type="dxa"/>
            <w:tcBorders>
              <w:top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1 251</w:t>
            </w:r>
          </w:p>
        </w:tc>
        <w:tc>
          <w:tcPr>
            <w:tcW w:w="802" w:type="dxa"/>
            <w:vMerge/>
            <w:tcBorders>
              <w:top w:val="nil"/>
            </w:tcBorders>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r>
      <w:tr w:rsidR="00963C03" w:rsidRPr="0071782F">
        <w:tc>
          <w:tcPr>
            <w:tcW w:w="4253" w:type="dxa"/>
            <w:vMerge/>
            <w:shd w:val="clear" w:color="000000" w:fill="auto"/>
          </w:tcPr>
          <w:p w:rsidR="00963C03" w:rsidRPr="0071782F" w:rsidRDefault="00963C03" w:rsidP="00B6070A">
            <w:pPr>
              <w:suppressAutoHyphens w:val="0"/>
              <w:spacing w:before="40" w:after="30" w:line="220" w:lineRule="exact"/>
              <w:rPr>
                <w:sz w:val="18"/>
                <w:lang w:val="fr-CH"/>
              </w:rPr>
            </w:pPr>
          </w:p>
        </w:tc>
        <w:tc>
          <w:tcPr>
            <w:tcW w:w="1843" w:type="dxa"/>
            <w:shd w:val="clear" w:color="000000" w:fill="auto"/>
          </w:tcPr>
          <w:p w:rsidR="00963C03" w:rsidRPr="0071782F" w:rsidRDefault="00963C03" w:rsidP="00B6070A">
            <w:pPr>
              <w:suppressAutoHyphens w:val="0"/>
              <w:spacing w:before="40" w:after="30" w:line="220" w:lineRule="exact"/>
              <w:rPr>
                <w:sz w:val="18"/>
                <w:lang w:val="fr-CH"/>
              </w:rPr>
            </w:pPr>
            <w:r w:rsidRPr="0071782F">
              <w:rPr>
                <w:sz w:val="18"/>
                <w:lang w:val="fr-CH"/>
              </w:rPr>
              <w:t>Priv</w:t>
            </w:r>
            <w:r w:rsidR="00131F62" w:rsidRPr="0071782F">
              <w:rPr>
                <w:sz w:val="18"/>
                <w:lang w:val="fr-CH"/>
              </w:rPr>
              <w:t>ées</w:t>
            </w:r>
          </w:p>
        </w:tc>
        <w:tc>
          <w:tcPr>
            <w:tcW w:w="814"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c>
          <w:tcPr>
            <w:tcW w:w="963"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224</w:t>
            </w:r>
          </w:p>
        </w:tc>
        <w:tc>
          <w:tcPr>
            <w:tcW w:w="964"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348</w:t>
            </w:r>
          </w:p>
        </w:tc>
        <w:tc>
          <w:tcPr>
            <w:tcW w:w="802" w:type="dxa"/>
            <w:vMerge/>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r>
      <w:tr w:rsidR="00963C03" w:rsidRPr="0071782F">
        <w:tc>
          <w:tcPr>
            <w:tcW w:w="4253" w:type="dxa"/>
            <w:vMerge w:val="restart"/>
            <w:shd w:val="clear" w:color="000000" w:fill="auto"/>
          </w:tcPr>
          <w:p w:rsidR="00963C03" w:rsidRPr="0071782F" w:rsidRDefault="00131F62" w:rsidP="00B6070A">
            <w:pPr>
              <w:suppressAutoHyphens w:val="0"/>
              <w:spacing w:before="40" w:after="30" w:line="220" w:lineRule="exact"/>
              <w:rPr>
                <w:sz w:val="18"/>
                <w:lang w:val="fr-CH"/>
              </w:rPr>
            </w:pPr>
            <w:r w:rsidRPr="0071782F">
              <w:rPr>
                <w:sz w:val="18"/>
                <w:lang w:val="fr-CH"/>
              </w:rPr>
              <w:t>Nombre d’installations sportives couvertes</w:t>
            </w:r>
          </w:p>
        </w:tc>
        <w:tc>
          <w:tcPr>
            <w:tcW w:w="1843" w:type="dxa"/>
            <w:shd w:val="clear" w:color="000000" w:fill="auto"/>
          </w:tcPr>
          <w:p w:rsidR="00963C03" w:rsidRPr="0071782F" w:rsidRDefault="00131F62" w:rsidP="00B6070A">
            <w:pPr>
              <w:suppressAutoHyphens w:val="0"/>
              <w:spacing w:before="40" w:after="30" w:line="220" w:lineRule="exact"/>
              <w:rPr>
                <w:sz w:val="18"/>
                <w:lang w:val="fr-CH"/>
              </w:rPr>
            </w:pPr>
            <w:r w:rsidRPr="0071782F">
              <w:rPr>
                <w:sz w:val="18"/>
                <w:lang w:val="fr-CH"/>
              </w:rPr>
              <w:t>Éducation physique</w:t>
            </w:r>
          </w:p>
        </w:tc>
        <w:tc>
          <w:tcPr>
            <w:tcW w:w="814"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c>
          <w:tcPr>
            <w:tcW w:w="963"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2 785</w:t>
            </w:r>
          </w:p>
        </w:tc>
        <w:tc>
          <w:tcPr>
            <w:tcW w:w="964"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3 308</w:t>
            </w:r>
          </w:p>
        </w:tc>
        <w:tc>
          <w:tcPr>
            <w:tcW w:w="802" w:type="dxa"/>
            <w:vMerge w:val="restart"/>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5 893</w:t>
            </w:r>
          </w:p>
        </w:tc>
      </w:tr>
      <w:tr w:rsidR="00963C03" w:rsidRPr="0071782F">
        <w:tc>
          <w:tcPr>
            <w:tcW w:w="4253" w:type="dxa"/>
            <w:vMerge/>
            <w:shd w:val="clear" w:color="000000" w:fill="auto"/>
          </w:tcPr>
          <w:p w:rsidR="00963C03" w:rsidRPr="0071782F" w:rsidRDefault="00963C03" w:rsidP="00B6070A">
            <w:pPr>
              <w:suppressAutoHyphens w:val="0"/>
              <w:spacing w:before="40" w:after="30" w:line="220" w:lineRule="exact"/>
              <w:rPr>
                <w:sz w:val="18"/>
                <w:lang w:val="fr-CH"/>
              </w:rPr>
            </w:pPr>
          </w:p>
        </w:tc>
        <w:tc>
          <w:tcPr>
            <w:tcW w:w="1843" w:type="dxa"/>
            <w:shd w:val="clear" w:color="000000" w:fill="auto"/>
          </w:tcPr>
          <w:p w:rsidR="00963C03" w:rsidRPr="0071782F" w:rsidRDefault="00131F62" w:rsidP="00B6070A">
            <w:pPr>
              <w:suppressAutoHyphens w:val="0"/>
              <w:spacing w:before="40" w:after="30" w:line="220" w:lineRule="exact"/>
              <w:rPr>
                <w:sz w:val="18"/>
                <w:lang w:val="fr-CH"/>
              </w:rPr>
            </w:pPr>
            <w:r w:rsidRPr="0071782F">
              <w:rPr>
                <w:sz w:val="18"/>
                <w:lang w:val="fr-CH"/>
              </w:rPr>
              <w:t>Publiques</w:t>
            </w:r>
          </w:p>
        </w:tc>
        <w:tc>
          <w:tcPr>
            <w:tcW w:w="814"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c>
          <w:tcPr>
            <w:tcW w:w="963"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2 131</w:t>
            </w:r>
          </w:p>
        </w:tc>
        <w:tc>
          <w:tcPr>
            <w:tcW w:w="964"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2 656</w:t>
            </w:r>
          </w:p>
        </w:tc>
        <w:tc>
          <w:tcPr>
            <w:tcW w:w="802" w:type="dxa"/>
            <w:vMerge/>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r>
      <w:tr w:rsidR="00963C03" w:rsidRPr="0071782F">
        <w:tc>
          <w:tcPr>
            <w:tcW w:w="4253" w:type="dxa"/>
            <w:vMerge/>
            <w:shd w:val="clear" w:color="000000" w:fill="auto"/>
          </w:tcPr>
          <w:p w:rsidR="00963C03" w:rsidRPr="0071782F" w:rsidRDefault="00963C03" w:rsidP="00B6070A">
            <w:pPr>
              <w:suppressAutoHyphens w:val="0"/>
              <w:spacing w:before="40" w:after="30" w:line="220" w:lineRule="exact"/>
              <w:rPr>
                <w:sz w:val="18"/>
                <w:lang w:val="fr-CH"/>
              </w:rPr>
            </w:pPr>
          </w:p>
        </w:tc>
        <w:tc>
          <w:tcPr>
            <w:tcW w:w="1843" w:type="dxa"/>
            <w:shd w:val="clear" w:color="000000" w:fill="auto"/>
          </w:tcPr>
          <w:p w:rsidR="00963C03" w:rsidRPr="0071782F" w:rsidRDefault="00963C03" w:rsidP="00B6070A">
            <w:pPr>
              <w:suppressAutoHyphens w:val="0"/>
              <w:spacing w:before="40" w:after="30" w:line="220" w:lineRule="exact"/>
              <w:rPr>
                <w:sz w:val="18"/>
                <w:lang w:val="fr-CH"/>
              </w:rPr>
            </w:pPr>
            <w:r w:rsidRPr="0071782F">
              <w:rPr>
                <w:sz w:val="18"/>
                <w:lang w:val="fr-CH"/>
              </w:rPr>
              <w:t>Priv</w:t>
            </w:r>
            <w:r w:rsidR="00131F62" w:rsidRPr="0071782F">
              <w:rPr>
                <w:sz w:val="18"/>
                <w:lang w:val="fr-CH"/>
              </w:rPr>
              <w:t>ées</w:t>
            </w:r>
          </w:p>
        </w:tc>
        <w:tc>
          <w:tcPr>
            <w:tcW w:w="814"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c>
          <w:tcPr>
            <w:tcW w:w="963"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4 639</w:t>
            </w:r>
          </w:p>
        </w:tc>
        <w:tc>
          <w:tcPr>
            <w:tcW w:w="964"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5 391</w:t>
            </w:r>
          </w:p>
        </w:tc>
        <w:tc>
          <w:tcPr>
            <w:tcW w:w="802" w:type="dxa"/>
            <w:vMerge/>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r>
      <w:tr w:rsidR="00963C03" w:rsidRPr="0071782F">
        <w:tc>
          <w:tcPr>
            <w:tcW w:w="4253" w:type="dxa"/>
            <w:shd w:val="clear" w:color="000000" w:fill="auto"/>
          </w:tcPr>
          <w:p w:rsidR="00963C03" w:rsidRPr="0071782F" w:rsidRDefault="00131F62" w:rsidP="00B6070A">
            <w:pPr>
              <w:suppressAutoHyphens w:val="0"/>
              <w:spacing w:before="40" w:after="30" w:line="220" w:lineRule="exact"/>
              <w:rPr>
                <w:sz w:val="18"/>
                <w:lang w:val="fr-CH"/>
              </w:rPr>
            </w:pPr>
            <w:r w:rsidRPr="0071782F">
              <w:rPr>
                <w:sz w:val="18"/>
                <w:lang w:val="fr-CH"/>
              </w:rPr>
              <w:t>Nombre d’installations sportives pour femmes</w:t>
            </w:r>
          </w:p>
        </w:tc>
        <w:tc>
          <w:tcPr>
            <w:tcW w:w="1843" w:type="dxa"/>
            <w:shd w:val="clear" w:color="000000" w:fill="auto"/>
          </w:tcPr>
          <w:p w:rsidR="00963C03" w:rsidRPr="0071782F" w:rsidRDefault="00963C03" w:rsidP="00B6070A">
            <w:pPr>
              <w:suppressAutoHyphens w:val="0"/>
              <w:spacing w:before="40" w:after="30" w:line="220" w:lineRule="exact"/>
              <w:rPr>
                <w:sz w:val="18"/>
                <w:lang w:val="fr-CH"/>
              </w:rPr>
            </w:pPr>
          </w:p>
        </w:tc>
        <w:tc>
          <w:tcPr>
            <w:tcW w:w="814"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506</w:t>
            </w:r>
          </w:p>
        </w:tc>
        <w:tc>
          <w:tcPr>
            <w:tcW w:w="963"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490</w:t>
            </w:r>
          </w:p>
        </w:tc>
        <w:tc>
          <w:tcPr>
            <w:tcW w:w="964"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556</w:t>
            </w:r>
          </w:p>
        </w:tc>
        <w:tc>
          <w:tcPr>
            <w:tcW w:w="802"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r>
      <w:tr w:rsidR="00963C03" w:rsidRPr="0071782F">
        <w:tc>
          <w:tcPr>
            <w:tcW w:w="4253" w:type="dxa"/>
            <w:vMerge w:val="restart"/>
            <w:shd w:val="clear" w:color="000000" w:fill="auto"/>
          </w:tcPr>
          <w:p w:rsidR="00963C03" w:rsidRPr="0071782F" w:rsidRDefault="00131F62" w:rsidP="00B6070A">
            <w:pPr>
              <w:suppressAutoHyphens w:val="0"/>
              <w:spacing w:before="40" w:after="30" w:line="220" w:lineRule="exact"/>
              <w:rPr>
                <w:sz w:val="18"/>
                <w:lang w:val="fr-CH"/>
              </w:rPr>
            </w:pPr>
            <w:r w:rsidRPr="0071782F">
              <w:rPr>
                <w:sz w:val="18"/>
                <w:lang w:val="fr-CH"/>
              </w:rPr>
              <w:t>Nombre d’athlètes associés</w:t>
            </w:r>
          </w:p>
        </w:tc>
        <w:tc>
          <w:tcPr>
            <w:tcW w:w="1843" w:type="dxa"/>
            <w:shd w:val="clear" w:color="000000" w:fill="auto"/>
          </w:tcPr>
          <w:p w:rsidR="00963C03" w:rsidRPr="0071782F" w:rsidRDefault="00131F62" w:rsidP="00B6070A">
            <w:pPr>
              <w:suppressAutoHyphens w:val="0"/>
              <w:spacing w:before="40" w:after="30" w:line="220" w:lineRule="exact"/>
              <w:rPr>
                <w:sz w:val="18"/>
                <w:lang w:val="fr-CH"/>
              </w:rPr>
            </w:pPr>
            <w:r w:rsidRPr="0071782F">
              <w:rPr>
                <w:sz w:val="18"/>
                <w:lang w:val="fr-CH"/>
              </w:rPr>
              <w:t>Femmes</w:t>
            </w:r>
          </w:p>
        </w:tc>
        <w:tc>
          <w:tcPr>
            <w:tcW w:w="814"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435 486</w:t>
            </w:r>
          </w:p>
        </w:tc>
        <w:tc>
          <w:tcPr>
            <w:tcW w:w="963"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c>
          <w:tcPr>
            <w:tcW w:w="964"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p>
        </w:tc>
        <w:tc>
          <w:tcPr>
            <w:tcW w:w="802" w:type="dxa"/>
            <w:shd w:val="clear" w:color="000000" w:fill="auto"/>
            <w:vAlign w:val="bottom"/>
          </w:tcPr>
          <w:p w:rsidR="00963C03" w:rsidRPr="0071782F" w:rsidRDefault="00963C03" w:rsidP="00B6070A">
            <w:pPr>
              <w:suppressAutoHyphens w:val="0"/>
              <w:spacing w:before="40" w:after="30" w:line="220" w:lineRule="exact"/>
              <w:jc w:val="right"/>
              <w:rPr>
                <w:sz w:val="18"/>
                <w:lang w:val="fr-CH"/>
              </w:rPr>
            </w:pPr>
            <w:r w:rsidRPr="0071782F">
              <w:rPr>
                <w:sz w:val="18"/>
                <w:lang w:val="fr-CH"/>
              </w:rPr>
              <w:t>779 322</w:t>
            </w:r>
          </w:p>
        </w:tc>
      </w:tr>
      <w:tr w:rsidR="00963C03" w:rsidRPr="0071782F">
        <w:tc>
          <w:tcPr>
            <w:tcW w:w="4253" w:type="dxa"/>
            <w:vMerge/>
            <w:shd w:val="clear" w:color="000000" w:fill="auto"/>
          </w:tcPr>
          <w:p w:rsidR="00963C03" w:rsidRPr="0071782F" w:rsidRDefault="00963C03" w:rsidP="00881286">
            <w:pPr>
              <w:suppressAutoHyphens w:val="0"/>
              <w:spacing w:before="40" w:after="40" w:line="220" w:lineRule="exact"/>
              <w:rPr>
                <w:sz w:val="18"/>
                <w:lang w:val="fr-CH"/>
              </w:rPr>
            </w:pPr>
          </w:p>
        </w:tc>
        <w:tc>
          <w:tcPr>
            <w:tcW w:w="1843" w:type="dxa"/>
            <w:shd w:val="clear" w:color="000000" w:fill="auto"/>
          </w:tcPr>
          <w:p w:rsidR="00963C03" w:rsidRPr="0071782F" w:rsidRDefault="00131F62" w:rsidP="00881286">
            <w:pPr>
              <w:suppressAutoHyphens w:val="0"/>
              <w:spacing w:before="40" w:after="40" w:line="220" w:lineRule="exact"/>
              <w:rPr>
                <w:sz w:val="18"/>
                <w:lang w:val="fr-CH"/>
              </w:rPr>
            </w:pPr>
            <w:r w:rsidRPr="0071782F">
              <w:rPr>
                <w:sz w:val="18"/>
                <w:lang w:val="fr-CH"/>
              </w:rPr>
              <w:t>Hommes</w:t>
            </w:r>
          </w:p>
        </w:tc>
        <w:tc>
          <w:tcPr>
            <w:tcW w:w="814" w:type="dxa"/>
            <w:shd w:val="clear" w:color="000000"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991 126</w:t>
            </w:r>
          </w:p>
        </w:tc>
        <w:tc>
          <w:tcPr>
            <w:tcW w:w="963" w:type="dxa"/>
            <w:shd w:val="clear" w:color="000000"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1 966 000</w:t>
            </w:r>
          </w:p>
        </w:tc>
        <w:tc>
          <w:tcPr>
            <w:tcW w:w="964" w:type="dxa"/>
            <w:shd w:val="clear" w:color="000000" w:fill="auto"/>
            <w:vAlign w:val="bottom"/>
          </w:tcPr>
          <w:p w:rsidR="00963C03" w:rsidRPr="0071782F" w:rsidRDefault="00963C03" w:rsidP="00881286">
            <w:pPr>
              <w:suppressAutoHyphens w:val="0"/>
              <w:spacing w:before="40" w:after="40" w:line="220" w:lineRule="exact"/>
              <w:jc w:val="right"/>
              <w:rPr>
                <w:sz w:val="18"/>
                <w:lang w:val="fr-CH"/>
              </w:rPr>
            </w:pPr>
          </w:p>
        </w:tc>
        <w:tc>
          <w:tcPr>
            <w:tcW w:w="802" w:type="dxa"/>
            <w:shd w:val="clear" w:color="000000"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1 622 723</w:t>
            </w:r>
          </w:p>
        </w:tc>
      </w:tr>
    </w:tbl>
    <w:p w:rsidR="00963C03" w:rsidRPr="0071782F" w:rsidRDefault="00131F62" w:rsidP="00AA22EB">
      <w:pPr>
        <w:pStyle w:val="H23G"/>
        <w:rPr>
          <w:lang w:val="fr-CH"/>
        </w:rPr>
      </w:pPr>
      <w:r w:rsidRPr="0071782F">
        <w:rPr>
          <w:lang w:val="fr-CH"/>
        </w:rPr>
        <w:tab/>
      </w:r>
      <w:r w:rsidRPr="0071782F">
        <w:rPr>
          <w:lang w:val="fr-CH"/>
        </w:rPr>
        <w:tab/>
        <w:t>Indicateu</w:t>
      </w:r>
      <w:r w:rsidR="00963C03" w:rsidRPr="0071782F">
        <w:rPr>
          <w:lang w:val="fr-CH"/>
        </w:rPr>
        <w:t xml:space="preserve">rs </w:t>
      </w:r>
      <w:r w:rsidRPr="0071782F">
        <w:rPr>
          <w:lang w:val="fr-CH"/>
        </w:rPr>
        <w:t xml:space="preserve">de l’éducation </w:t>
      </w:r>
      <w:r w:rsidR="00963C03" w:rsidRPr="0071782F">
        <w:rPr>
          <w:lang w:val="fr-CH"/>
        </w:rPr>
        <w:t>physi</w:t>
      </w:r>
      <w:r w:rsidRPr="0071782F">
        <w:rPr>
          <w:lang w:val="fr-CH"/>
        </w:rPr>
        <w:t>que e</w:t>
      </w:r>
      <w:r w:rsidR="00963C03" w:rsidRPr="0071782F">
        <w:rPr>
          <w:lang w:val="fr-CH"/>
        </w:rPr>
        <w:t>n 2005</w:t>
      </w:r>
      <w:r w:rsidR="00845DAD" w:rsidRPr="0071782F">
        <w:rPr>
          <w:b w:val="0"/>
          <w:i/>
          <w:sz w:val="18"/>
          <w:vertAlign w:val="superscript"/>
          <w:lang w:val="fr-CH"/>
        </w:rPr>
        <w:t>(1</w:t>
      </w:r>
      <w:r w:rsidR="00845DAD" w:rsidRPr="0071782F">
        <w:rPr>
          <w:i/>
          <w:sz w:val="18"/>
          <w:vertAlign w:val="superscript"/>
          <w:lang w:val="fr-CH"/>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762"/>
        <w:gridCol w:w="1613"/>
        <w:gridCol w:w="817"/>
        <w:gridCol w:w="2313"/>
      </w:tblGrid>
      <w:tr w:rsidR="00963C03" w:rsidRPr="0071782F">
        <w:trPr>
          <w:tblHeader/>
        </w:trPr>
        <w:tc>
          <w:tcPr>
            <w:tcW w:w="3762"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Indicat</w:t>
            </w:r>
            <w:r w:rsidR="00131F62" w:rsidRPr="0071782F">
              <w:rPr>
                <w:i/>
                <w:sz w:val="16"/>
                <w:lang w:val="fr-CH"/>
              </w:rPr>
              <w:t>eu</w:t>
            </w:r>
            <w:r w:rsidRPr="0071782F">
              <w:rPr>
                <w:i/>
                <w:sz w:val="16"/>
                <w:lang w:val="fr-CH"/>
              </w:rPr>
              <w:t>rs</w:t>
            </w:r>
          </w:p>
        </w:tc>
        <w:tc>
          <w:tcPr>
            <w:tcW w:w="1613"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Unit</w:t>
            </w:r>
            <w:r w:rsidR="00131F62" w:rsidRPr="0071782F">
              <w:rPr>
                <w:i/>
                <w:sz w:val="16"/>
                <w:lang w:val="fr-CH"/>
              </w:rPr>
              <w:t>é</w:t>
            </w:r>
          </w:p>
        </w:tc>
        <w:tc>
          <w:tcPr>
            <w:tcW w:w="817"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jc w:val="right"/>
              <w:rPr>
                <w:i/>
                <w:sz w:val="16"/>
                <w:lang w:val="fr-CH"/>
              </w:rPr>
            </w:pPr>
            <w:r w:rsidRPr="0071782F">
              <w:rPr>
                <w:i/>
                <w:sz w:val="16"/>
                <w:lang w:val="fr-CH"/>
              </w:rPr>
              <w:t>No</w:t>
            </w:r>
            <w:r w:rsidR="00131F62" w:rsidRPr="0071782F">
              <w:rPr>
                <w:i/>
                <w:sz w:val="16"/>
                <w:lang w:val="fr-CH"/>
              </w:rPr>
              <w:t>mbre</w:t>
            </w:r>
          </w:p>
        </w:tc>
        <w:tc>
          <w:tcPr>
            <w:tcW w:w="2313" w:type="dxa"/>
            <w:tcBorders>
              <w:top w:val="single" w:sz="4" w:space="0" w:color="auto"/>
              <w:bottom w:val="single" w:sz="12" w:space="0" w:color="auto"/>
            </w:tcBorders>
            <w:shd w:val="clear" w:color="auto" w:fill="auto"/>
            <w:vAlign w:val="bottom"/>
          </w:tcPr>
          <w:p w:rsidR="00963C03" w:rsidRPr="0071782F" w:rsidRDefault="00131F62" w:rsidP="00881286">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963C03" w:rsidRPr="0071782F">
        <w:tc>
          <w:tcPr>
            <w:tcW w:w="3762" w:type="dxa"/>
            <w:tcBorders>
              <w:top w:val="single" w:sz="12" w:space="0" w:color="auto"/>
            </w:tcBorders>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Nombre d’athlètes associés</w:t>
            </w:r>
          </w:p>
        </w:tc>
        <w:tc>
          <w:tcPr>
            <w:tcW w:w="1613"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Person</w:t>
            </w:r>
            <w:r w:rsidR="00131F62" w:rsidRPr="0071782F">
              <w:rPr>
                <w:sz w:val="18"/>
                <w:lang w:val="fr-CH"/>
              </w:rPr>
              <w:t xml:space="preserve">nes </w:t>
            </w:r>
            <w:r w:rsidRPr="0071782F">
              <w:rPr>
                <w:sz w:val="18"/>
                <w:lang w:val="fr-CH"/>
              </w:rPr>
              <w:t>(</w:t>
            </w:r>
            <w:r w:rsidR="00131F62" w:rsidRPr="0071782F">
              <w:rPr>
                <w:sz w:val="18"/>
                <w:lang w:val="fr-CH"/>
              </w:rPr>
              <w:t>milliers</w:t>
            </w:r>
            <w:r w:rsidRPr="0071782F">
              <w:rPr>
                <w:sz w:val="18"/>
                <w:lang w:val="fr-CH"/>
              </w:rPr>
              <w:t>)</w:t>
            </w:r>
          </w:p>
        </w:tc>
        <w:tc>
          <w:tcPr>
            <w:tcW w:w="817"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1 831</w:t>
            </w:r>
          </w:p>
        </w:tc>
        <w:tc>
          <w:tcPr>
            <w:tcW w:w="2313"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20</w:t>
            </w:r>
            <w:r w:rsidR="00881286" w:rsidRPr="0071782F">
              <w:rPr>
                <w:sz w:val="18"/>
                <w:lang w:val="fr-CH"/>
              </w:rPr>
              <w:t>,</w:t>
            </w:r>
            <w:r w:rsidRPr="0071782F">
              <w:rPr>
                <w:sz w:val="18"/>
                <w:lang w:val="fr-CH"/>
              </w:rPr>
              <w:t>2</w:t>
            </w:r>
          </w:p>
        </w:tc>
      </w:tr>
      <w:tr w:rsidR="00963C03" w:rsidRPr="0071782F">
        <w:tc>
          <w:tcPr>
            <w:tcW w:w="3762" w:type="dxa"/>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Nombre d’athlètes associés de sexe masculin</w:t>
            </w:r>
          </w:p>
        </w:tc>
        <w:tc>
          <w:tcPr>
            <w:tcW w:w="1613" w:type="dxa"/>
            <w:shd w:val="clear" w:color="auto" w:fill="auto"/>
            <w:vAlign w:val="bottom"/>
          </w:tcPr>
          <w:p w:rsidR="00963C03" w:rsidRPr="0071782F" w:rsidRDefault="00131F62" w:rsidP="00881286">
            <w:pPr>
              <w:suppressAutoHyphens w:val="0"/>
              <w:spacing w:before="40" w:after="40" w:line="220" w:lineRule="exact"/>
              <w:rPr>
                <w:sz w:val="18"/>
                <w:lang w:val="fr-CH"/>
              </w:rPr>
            </w:pPr>
            <w:r w:rsidRPr="0071782F">
              <w:rPr>
                <w:sz w:val="18"/>
                <w:lang w:val="fr-CH"/>
              </w:rPr>
              <w:t>Personnes (milliers)</w:t>
            </w:r>
          </w:p>
        </w:tc>
        <w:tc>
          <w:tcPr>
            <w:tcW w:w="8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1 254</w:t>
            </w: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18</w:t>
            </w:r>
            <w:r w:rsidR="00881286" w:rsidRPr="0071782F">
              <w:rPr>
                <w:sz w:val="18"/>
                <w:lang w:val="fr-CH"/>
              </w:rPr>
              <w:t>,</w:t>
            </w:r>
            <w:r w:rsidRPr="0071782F">
              <w:rPr>
                <w:sz w:val="18"/>
                <w:lang w:val="fr-CH"/>
              </w:rPr>
              <w:t>6</w:t>
            </w:r>
          </w:p>
        </w:tc>
      </w:tr>
      <w:tr w:rsidR="00963C03" w:rsidRPr="0071782F">
        <w:tc>
          <w:tcPr>
            <w:tcW w:w="3762" w:type="dxa"/>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Nombre d’athlètes associés de sexe féminin</w:t>
            </w:r>
          </w:p>
        </w:tc>
        <w:tc>
          <w:tcPr>
            <w:tcW w:w="1613" w:type="dxa"/>
            <w:shd w:val="clear" w:color="auto" w:fill="auto"/>
            <w:vAlign w:val="bottom"/>
          </w:tcPr>
          <w:p w:rsidR="00963C03" w:rsidRPr="0071782F" w:rsidRDefault="00131F62" w:rsidP="00881286">
            <w:pPr>
              <w:suppressAutoHyphens w:val="0"/>
              <w:spacing w:before="40" w:after="40" w:line="220" w:lineRule="exact"/>
              <w:rPr>
                <w:sz w:val="18"/>
                <w:lang w:val="fr-CH"/>
              </w:rPr>
            </w:pPr>
            <w:r w:rsidRPr="0071782F">
              <w:rPr>
                <w:sz w:val="18"/>
                <w:lang w:val="fr-CH"/>
              </w:rPr>
              <w:t>Personnes (milliers)</w:t>
            </w:r>
          </w:p>
        </w:tc>
        <w:tc>
          <w:tcPr>
            <w:tcW w:w="8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577</w:t>
            </w: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23</w:t>
            </w:r>
            <w:r w:rsidR="00881286" w:rsidRPr="0071782F">
              <w:rPr>
                <w:sz w:val="18"/>
                <w:lang w:val="fr-CH"/>
              </w:rPr>
              <w:t>,</w:t>
            </w:r>
            <w:r w:rsidRPr="0071782F">
              <w:rPr>
                <w:sz w:val="18"/>
                <w:lang w:val="fr-CH"/>
              </w:rPr>
              <w:t>7</w:t>
            </w:r>
          </w:p>
        </w:tc>
      </w:tr>
      <w:tr w:rsidR="00963C03" w:rsidRPr="0071782F">
        <w:tc>
          <w:tcPr>
            <w:tcW w:w="3762" w:type="dxa"/>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Nombre d’athlètes de compétition</w:t>
            </w:r>
          </w:p>
        </w:tc>
        <w:tc>
          <w:tcPr>
            <w:tcW w:w="1613" w:type="dxa"/>
            <w:shd w:val="clear" w:color="auto" w:fill="auto"/>
            <w:vAlign w:val="bottom"/>
          </w:tcPr>
          <w:p w:rsidR="00963C03" w:rsidRPr="0071782F" w:rsidRDefault="00FF61F7" w:rsidP="00881286">
            <w:pPr>
              <w:suppressAutoHyphens w:val="0"/>
              <w:spacing w:before="40" w:after="40" w:line="220" w:lineRule="exact"/>
              <w:rPr>
                <w:sz w:val="18"/>
                <w:lang w:val="fr-CH"/>
              </w:rPr>
            </w:pPr>
            <w:r w:rsidRPr="0071782F">
              <w:rPr>
                <w:sz w:val="18"/>
                <w:lang w:val="fr-CH"/>
              </w:rPr>
              <w:t>–</w:t>
            </w:r>
          </w:p>
        </w:tc>
        <w:tc>
          <w:tcPr>
            <w:tcW w:w="817" w:type="dxa"/>
            <w:shd w:val="clear" w:color="auto" w:fill="auto"/>
            <w:vAlign w:val="bottom"/>
          </w:tcPr>
          <w:p w:rsidR="00963C03" w:rsidRPr="0071782F" w:rsidRDefault="00FF61F7" w:rsidP="00881286">
            <w:pPr>
              <w:suppressAutoHyphens w:val="0"/>
              <w:spacing w:before="40" w:after="40" w:line="220" w:lineRule="exact"/>
              <w:jc w:val="right"/>
              <w:rPr>
                <w:sz w:val="18"/>
                <w:lang w:val="fr-CH"/>
              </w:rPr>
            </w:pPr>
            <w:r w:rsidRPr="0071782F">
              <w:rPr>
                <w:sz w:val="18"/>
                <w:lang w:val="fr-CH"/>
              </w:rPr>
              <w:t>–</w:t>
            </w:r>
          </w:p>
        </w:tc>
        <w:tc>
          <w:tcPr>
            <w:tcW w:w="2313" w:type="dxa"/>
            <w:shd w:val="clear" w:color="auto" w:fill="auto"/>
            <w:vAlign w:val="bottom"/>
          </w:tcPr>
          <w:p w:rsidR="00963C03" w:rsidRPr="0071782F" w:rsidRDefault="00FF61F7" w:rsidP="00881286">
            <w:pPr>
              <w:suppressAutoHyphens w:val="0"/>
              <w:spacing w:before="40" w:after="40" w:line="220" w:lineRule="exact"/>
              <w:jc w:val="right"/>
              <w:rPr>
                <w:sz w:val="18"/>
                <w:lang w:val="fr-CH"/>
              </w:rPr>
            </w:pPr>
            <w:r w:rsidRPr="0071782F">
              <w:rPr>
                <w:sz w:val="18"/>
                <w:lang w:val="fr-CH"/>
              </w:rPr>
              <w:t>–</w:t>
            </w:r>
          </w:p>
        </w:tc>
      </w:tr>
      <w:tr w:rsidR="00963C03" w:rsidRPr="0071782F">
        <w:tc>
          <w:tcPr>
            <w:tcW w:w="3762"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131F62" w:rsidRPr="0071782F">
              <w:rPr>
                <w:sz w:val="18"/>
                <w:lang w:val="fr-CH"/>
              </w:rPr>
              <w:t xml:space="preserve">mbre d’entraîneurs sportifs </w:t>
            </w:r>
          </w:p>
        </w:tc>
        <w:tc>
          <w:tcPr>
            <w:tcW w:w="1613" w:type="dxa"/>
            <w:shd w:val="clear" w:color="auto" w:fill="auto"/>
            <w:vAlign w:val="bottom"/>
          </w:tcPr>
          <w:p w:rsidR="00963C03" w:rsidRPr="0071782F" w:rsidRDefault="00131F62" w:rsidP="00881286">
            <w:pPr>
              <w:suppressAutoHyphens w:val="0"/>
              <w:spacing w:before="40" w:after="40" w:line="220" w:lineRule="exact"/>
              <w:rPr>
                <w:sz w:val="18"/>
                <w:lang w:val="fr-CH"/>
              </w:rPr>
            </w:pPr>
            <w:r w:rsidRPr="0071782F">
              <w:rPr>
                <w:sz w:val="18"/>
                <w:lang w:val="fr-CH"/>
              </w:rPr>
              <w:t>Personnes (milliers)</w:t>
            </w:r>
          </w:p>
        </w:tc>
        <w:tc>
          <w:tcPr>
            <w:tcW w:w="8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92</w:t>
            </w: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23</w:t>
            </w:r>
            <w:r w:rsidR="00881286" w:rsidRPr="0071782F">
              <w:rPr>
                <w:sz w:val="18"/>
                <w:lang w:val="fr-CH"/>
              </w:rPr>
              <w:t>,</w:t>
            </w:r>
            <w:r w:rsidRPr="0071782F">
              <w:rPr>
                <w:sz w:val="18"/>
                <w:lang w:val="fr-CH"/>
              </w:rPr>
              <w:t>0</w:t>
            </w:r>
          </w:p>
        </w:tc>
      </w:tr>
      <w:tr w:rsidR="00963C03" w:rsidRPr="0071782F">
        <w:trPr>
          <w:trHeight w:val="238"/>
        </w:trPr>
        <w:tc>
          <w:tcPr>
            <w:tcW w:w="3762"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131F62" w:rsidRPr="0071782F">
              <w:rPr>
                <w:sz w:val="18"/>
                <w:lang w:val="fr-CH"/>
              </w:rPr>
              <w:t xml:space="preserve">mbre d’arbitres </w:t>
            </w:r>
          </w:p>
        </w:tc>
        <w:tc>
          <w:tcPr>
            <w:tcW w:w="1613" w:type="dxa"/>
            <w:shd w:val="clear" w:color="auto" w:fill="auto"/>
            <w:vAlign w:val="bottom"/>
          </w:tcPr>
          <w:p w:rsidR="00963C03" w:rsidRPr="0071782F" w:rsidRDefault="00131F62" w:rsidP="00881286">
            <w:pPr>
              <w:suppressAutoHyphens w:val="0"/>
              <w:spacing w:before="40" w:after="40" w:line="220" w:lineRule="exact"/>
              <w:rPr>
                <w:sz w:val="18"/>
                <w:lang w:val="fr-CH"/>
              </w:rPr>
            </w:pPr>
            <w:r w:rsidRPr="0071782F">
              <w:rPr>
                <w:sz w:val="18"/>
                <w:lang w:val="fr-CH"/>
              </w:rPr>
              <w:t>Personnes (milliers)</w:t>
            </w:r>
          </w:p>
        </w:tc>
        <w:tc>
          <w:tcPr>
            <w:tcW w:w="8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52</w:t>
            </w: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44</w:t>
            </w:r>
            <w:r w:rsidR="00881286" w:rsidRPr="0071782F">
              <w:rPr>
                <w:sz w:val="18"/>
                <w:lang w:val="fr-CH"/>
              </w:rPr>
              <w:t>,</w:t>
            </w:r>
            <w:r w:rsidRPr="0071782F">
              <w:rPr>
                <w:sz w:val="18"/>
                <w:lang w:val="fr-CH"/>
              </w:rPr>
              <w:t>3</w:t>
            </w:r>
          </w:p>
        </w:tc>
      </w:tr>
    </w:tbl>
    <w:p w:rsidR="00963C03" w:rsidRPr="0071782F" w:rsidRDefault="00963C03" w:rsidP="00471EDF">
      <w:pPr>
        <w:suppressAutoHyphens w:val="0"/>
        <w:spacing w:before="120" w:line="240" w:lineRule="auto"/>
        <w:ind w:left="1134" w:right="1134" w:firstLine="170"/>
        <w:rPr>
          <w:sz w:val="18"/>
          <w:szCs w:val="18"/>
          <w:lang w:val="fr-CH"/>
        </w:rPr>
      </w:pPr>
      <w:r w:rsidRPr="0071782F">
        <w:rPr>
          <w:i/>
          <w:sz w:val="18"/>
          <w:szCs w:val="18"/>
          <w:lang w:val="fr-CH"/>
        </w:rPr>
        <w:t>Source</w:t>
      </w:r>
      <w:r w:rsidR="008F7D33" w:rsidRPr="0071782F">
        <w:rPr>
          <w:i/>
          <w:sz w:val="18"/>
          <w:szCs w:val="18"/>
          <w:lang w:val="fr-CH"/>
        </w:rPr>
        <w:t>:</w:t>
      </w:r>
      <w:r w:rsidR="00DB5FF4">
        <w:rPr>
          <w:sz w:val="18"/>
          <w:szCs w:val="18"/>
          <w:lang w:val="fr-CH"/>
        </w:rPr>
        <w:t xml:space="preserve"> </w:t>
      </w:r>
      <w:r w:rsidR="00131F62" w:rsidRPr="0071782F">
        <w:rPr>
          <w:sz w:val="18"/>
          <w:szCs w:val="18"/>
          <w:lang w:val="fr-CH"/>
        </w:rPr>
        <w:t>Organisme de l’éducation physique</w:t>
      </w:r>
      <w:r w:rsidRPr="0071782F">
        <w:rPr>
          <w:sz w:val="18"/>
          <w:szCs w:val="18"/>
          <w:lang w:val="fr-CH"/>
        </w:rPr>
        <w:t>.</w:t>
      </w:r>
    </w:p>
    <w:p w:rsidR="00963C03" w:rsidRPr="0071782F" w:rsidRDefault="00471EDF" w:rsidP="00BA46A5">
      <w:pPr>
        <w:suppressAutoHyphens w:val="0"/>
        <w:spacing w:after="240" w:line="240" w:lineRule="auto"/>
        <w:ind w:left="1134" w:right="1134" w:firstLine="170"/>
        <w:rPr>
          <w:sz w:val="18"/>
          <w:szCs w:val="18"/>
          <w:lang w:val="fr-CH"/>
        </w:rPr>
      </w:pPr>
      <w:r w:rsidRPr="0071782F">
        <w:rPr>
          <w:i/>
          <w:sz w:val="18"/>
          <w:vertAlign w:val="superscript"/>
          <w:lang w:val="fr-CH"/>
        </w:rPr>
        <w:t>(1)</w:t>
      </w:r>
      <w:r w:rsidR="00D36718" w:rsidRPr="008F16E6">
        <w:rPr>
          <w:i/>
          <w:sz w:val="18"/>
          <w:lang w:val="fr-CH"/>
        </w:rPr>
        <w:t xml:space="preserve"> </w:t>
      </w:r>
      <w:r w:rsidR="00D36718" w:rsidRPr="008F16E6">
        <w:rPr>
          <w:sz w:val="18"/>
          <w:szCs w:val="18"/>
          <w:lang w:val="fr-CH"/>
        </w:rPr>
        <w:t xml:space="preserve"> </w:t>
      </w:r>
      <w:r w:rsidR="00963C03" w:rsidRPr="0071782F">
        <w:rPr>
          <w:sz w:val="18"/>
          <w:szCs w:val="18"/>
          <w:lang w:val="fr-CH"/>
        </w:rPr>
        <w:t>D</w:t>
      </w:r>
      <w:r w:rsidR="00131F62" w:rsidRPr="0071782F">
        <w:rPr>
          <w:sz w:val="18"/>
          <w:szCs w:val="18"/>
          <w:lang w:val="fr-CH"/>
        </w:rPr>
        <w:t>onnées de fin d’année</w:t>
      </w:r>
      <w:r w:rsidR="00963C03" w:rsidRPr="0071782F">
        <w:rPr>
          <w:sz w:val="18"/>
          <w:szCs w:val="18"/>
          <w:lang w:val="fr-CH"/>
        </w:rPr>
        <w:t>.</w:t>
      </w:r>
    </w:p>
    <w:p w:rsidR="00963C03" w:rsidRPr="0071782F" w:rsidRDefault="00963C03" w:rsidP="00176844">
      <w:pPr>
        <w:pStyle w:val="H23G"/>
        <w:rPr>
          <w:lang w:val="fr-CH"/>
        </w:rPr>
      </w:pPr>
      <w:r w:rsidRPr="0071782F">
        <w:rPr>
          <w:lang w:val="fr-CH"/>
        </w:rPr>
        <w:tab/>
      </w:r>
      <w:r w:rsidRPr="0071782F">
        <w:rPr>
          <w:lang w:val="fr-CH"/>
        </w:rPr>
        <w:tab/>
      </w:r>
      <w:r w:rsidR="00131F62" w:rsidRPr="0071782F">
        <w:rPr>
          <w:lang w:val="fr-CH"/>
        </w:rPr>
        <w:t xml:space="preserve">Indicateurs de l’éducation physique en </w:t>
      </w:r>
      <w:r w:rsidRPr="0071782F">
        <w:rPr>
          <w:lang w:val="fr-CH"/>
        </w:rPr>
        <w:t>2006</w:t>
      </w:r>
      <w:r w:rsidR="00786CCB" w:rsidRPr="0071782F">
        <w:rPr>
          <w:b w:val="0"/>
          <w:i/>
          <w:sz w:val="18"/>
          <w:vertAlign w:val="superscript"/>
          <w:lang w:val="fr-CH"/>
        </w:rPr>
        <w:t>(1</w:t>
      </w:r>
      <w:r w:rsidR="00786CCB" w:rsidRPr="0071782F">
        <w:rPr>
          <w:i/>
          <w:sz w:val="18"/>
          <w:vertAlign w:val="superscript"/>
          <w:lang w:val="fr-CH"/>
        </w:rPr>
        <w:t>)</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768"/>
        <w:gridCol w:w="1607"/>
        <w:gridCol w:w="817"/>
        <w:gridCol w:w="2313"/>
      </w:tblGrid>
      <w:tr w:rsidR="00963C03" w:rsidRPr="0071782F">
        <w:trPr>
          <w:tblHeader/>
        </w:trPr>
        <w:tc>
          <w:tcPr>
            <w:tcW w:w="3768" w:type="dxa"/>
            <w:tcBorders>
              <w:top w:val="single" w:sz="4" w:space="0" w:color="auto"/>
              <w:bottom w:val="single" w:sz="12" w:space="0" w:color="auto"/>
            </w:tcBorders>
            <w:shd w:val="clear" w:color="auto" w:fill="auto"/>
            <w:vAlign w:val="bottom"/>
          </w:tcPr>
          <w:p w:rsidR="00963C03" w:rsidRPr="0071782F" w:rsidRDefault="00963C03" w:rsidP="00881286">
            <w:pPr>
              <w:keepNext/>
              <w:suppressAutoHyphens w:val="0"/>
              <w:spacing w:before="80" w:after="80" w:line="200" w:lineRule="exact"/>
              <w:rPr>
                <w:i/>
                <w:sz w:val="16"/>
                <w:lang w:val="fr-CH"/>
              </w:rPr>
            </w:pPr>
            <w:r w:rsidRPr="0071782F">
              <w:rPr>
                <w:i/>
                <w:sz w:val="16"/>
                <w:lang w:val="fr-CH"/>
              </w:rPr>
              <w:t>Indicat</w:t>
            </w:r>
            <w:r w:rsidR="00131F62" w:rsidRPr="0071782F">
              <w:rPr>
                <w:i/>
                <w:sz w:val="16"/>
                <w:lang w:val="fr-CH"/>
              </w:rPr>
              <w:t>eu</w:t>
            </w:r>
            <w:r w:rsidRPr="0071782F">
              <w:rPr>
                <w:i/>
                <w:sz w:val="16"/>
                <w:lang w:val="fr-CH"/>
              </w:rPr>
              <w:t>rs</w:t>
            </w:r>
          </w:p>
        </w:tc>
        <w:tc>
          <w:tcPr>
            <w:tcW w:w="1607" w:type="dxa"/>
            <w:tcBorders>
              <w:top w:val="single" w:sz="4" w:space="0" w:color="auto"/>
              <w:bottom w:val="single" w:sz="12" w:space="0" w:color="auto"/>
            </w:tcBorders>
            <w:shd w:val="clear" w:color="auto" w:fill="auto"/>
            <w:vAlign w:val="bottom"/>
          </w:tcPr>
          <w:p w:rsidR="00963C03" w:rsidRPr="0071782F" w:rsidRDefault="00963C03" w:rsidP="00881286">
            <w:pPr>
              <w:keepNext/>
              <w:suppressAutoHyphens w:val="0"/>
              <w:spacing w:before="80" w:after="80" w:line="200" w:lineRule="exact"/>
              <w:rPr>
                <w:i/>
                <w:sz w:val="16"/>
                <w:lang w:val="fr-CH"/>
              </w:rPr>
            </w:pPr>
            <w:r w:rsidRPr="0071782F">
              <w:rPr>
                <w:i/>
                <w:sz w:val="16"/>
                <w:lang w:val="fr-CH"/>
              </w:rPr>
              <w:t>Unit</w:t>
            </w:r>
            <w:r w:rsidR="00131F62" w:rsidRPr="0071782F">
              <w:rPr>
                <w:i/>
                <w:sz w:val="16"/>
                <w:lang w:val="fr-CH"/>
              </w:rPr>
              <w:t>é</w:t>
            </w:r>
          </w:p>
        </w:tc>
        <w:tc>
          <w:tcPr>
            <w:tcW w:w="817" w:type="dxa"/>
            <w:tcBorders>
              <w:top w:val="single" w:sz="4" w:space="0" w:color="auto"/>
              <w:bottom w:val="single" w:sz="12" w:space="0" w:color="auto"/>
            </w:tcBorders>
            <w:shd w:val="clear" w:color="auto" w:fill="auto"/>
            <w:vAlign w:val="bottom"/>
          </w:tcPr>
          <w:p w:rsidR="00963C03" w:rsidRPr="0071782F" w:rsidRDefault="00963C03" w:rsidP="00881286">
            <w:pPr>
              <w:keepNext/>
              <w:suppressAutoHyphens w:val="0"/>
              <w:spacing w:before="80" w:after="80" w:line="200" w:lineRule="exact"/>
              <w:jc w:val="right"/>
              <w:rPr>
                <w:i/>
                <w:sz w:val="16"/>
                <w:lang w:val="fr-CH"/>
              </w:rPr>
            </w:pPr>
            <w:r w:rsidRPr="0071782F">
              <w:rPr>
                <w:i/>
                <w:sz w:val="16"/>
                <w:lang w:val="fr-CH"/>
              </w:rPr>
              <w:t>No</w:t>
            </w:r>
            <w:r w:rsidR="00131F62" w:rsidRPr="0071782F">
              <w:rPr>
                <w:i/>
                <w:sz w:val="16"/>
                <w:lang w:val="fr-CH"/>
              </w:rPr>
              <w:t>mbre</w:t>
            </w:r>
          </w:p>
        </w:tc>
        <w:tc>
          <w:tcPr>
            <w:tcW w:w="2313" w:type="dxa"/>
            <w:tcBorders>
              <w:top w:val="single" w:sz="4" w:space="0" w:color="auto"/>
              <w:bottom w:val="single" w:sz="12" w:space="0" w:color="auto"/>
            </w:tcBorders>
            <w:shd w:val="clear" w:color="auto" w:fill="auto"/>
            <w:vAlign w:val="bottom"/>
          </w:tcPr>
          <w:p w:rsidR="00963C03" w:rsidRPr="0071782F" w:rsidRDefault="00131F62" w:rsidP="00881286">
            <w:pPr>
              <w:keepNext/>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963C03" w:rsidRPr="0071782F">
        <w:tc>
          <w:tcPr>
            <w:tcW w:w="3768" w:type="dxa"/>
            <w:tcBorders>
              <w:top w:val="single" w:sz="12" w:space="0" w:color="auto"/>
            </w:tcBorders>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Nombre d’athlètes associés</w:t>
            </w:r>
          </w:p>
        </w:tc>
        <w:tc>
          <w:tcPr>
            <w:tcW w:w="1607" w:type="dxa"/>
            <w:tcBorders>
              <w:top w:val="single" w:sz="12" w:space="0" w:color="auto"/>
            </w:tcBorders>
            <w:shd w:val="clear" w:color="auto" w:fill="auto"/>
            <w:vAlign w:val="bottom"/>
          </w:tcPr>
          <w:p w:rsidR="00963C03" w:rsidRPr="0071782F" w:rsidRDefault="00131F62" w:rsidP="00881286">
            <w:pPr>
              <w:suppressAutoHyphens w:val="0"/>
              <w:spacing w:before="40" w:after="40" w:line="220" w:lineRule="exact"/>
              <w:rPr>
                <w:sz w:val="18"/>
                <w:lang w:val="fr-CH"/>
              </w:rPr>
            </w:pPr>
            <w:r w:rsidRPr="0071782F">
              <w:rPr>
                <w:sz w:val="18"/>
                <w:lang w:val="fr-CH"/>
              </w:rPr>
              <w:t>Personnes (milliers)</w:t>
            </w:r>
          </w:p>
        </w:tc>
        <w:tc>
          <w:tcPr>
            <w:tcW w:w="817"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3 311</w:t>
            </w:r>
          </w:p>
        </w:tc>
        <w:tc>
          <w:tcPr>
            <w:tcW w:w="2313"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80</w:t>
            </w:r>
            <w:r w:rsidR="00881286" w:rsidRPr="0071782F">
              <w:rPr>
                <w:sz w:val="18"/>
                <w:lang w:val="fr-CH"/>
              </w:rPr>
              <w:t>,</w:t>
            </w:r>
            <w:r w:rsidRPr="0071782F">
              <w:rPr>
                <w:sz w:val="18"/>
                <w:lang w:val="fr-CH"/>
              </w:rPr>
              <w:t>8</w:t>
            </w:r>
          </w:p>
        </w:tc>
      </w:tr>
      <w:tr w:rsidR="00963C03" w:rsidRPr="0071782F">
        <w:tc>
          <w:tcPr>
            <w:tcW w:w="3768" w:type="dxa"/>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Nombre d’athlètes associés de sexe masculin</w:t>
            </w:r>
          </w:p>
        </w:tc>
        <w:tc>
          <w:tcPr>
            <w:tcW w:w="1607" w:type="dxa"/>
            <w:shd w:val="clear" w:color="auto" w:fill="auto"/>
            <w:vAlign w:val="bottom"/>
          </w:tcPr>
          <w:p w:rsidR="00963C03" w:rsidRPr="0071782F" w:rsidRDefault="00131F62" w:rsidP="00881286">
            <w:pPr>
              <w:suppressAutoHyphens w:val="0"/>
              <w:spacing w:before="40" w:after="40" w:line="220" w:lineRule="exact"/>
              <w:rPr>
                <w:sz w:val="18"/>
                <w:lang w:val="fr-CH"/>
              </w:rPr>
            </w:pPr>
            <w:r w:rsidRPr="0071782F">
              <w:rPr>
                <w:sz w:val="18"/>
                <w:lang w:val="fr-CH"/>
              </w:rPr>
              <w:t>Personnes (milliers)</w:t>
            </w:r>
          </w:p>
        </w:tc>
        <w:tc>
          <w:tcPr>
            <w:tcW w:w="8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1 966</w:t>
            </w: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56</w:t>
            </w:r>
            <w:r w:rsidR="00881286" w:rsidRPr="0071782F">
              <w:rPr>
                <w:sz w:val="18"/>
                <w:lang w:val="fr-CH"/>
              </w:rPr>
              <w:t>,</w:t>
            </w:r>
            <w:r w:rsidRPr="0071782F">
              <w:rPr>
                <w:sz w:val="18"/>
                <w:lang w:val="fr-CH"/>
              </w:rPr>
              <w:t>8</w:t>
            </w:r>
          </w:p>
        </w:tc>
      </w:tr>
      <w:tr w:rsidR="00963C03" w:rsidRPr="0071782F">
        <w:tc>
          <w:tcPr>
            <w:tcW w:w="3768" w:type="dxa"/>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Nombre d’athlètes associés de sexe féminin</w:t>
            </w:r>
          </w:p>
        </w:tc>
        <w:tc>
          <w:tcPr>
            <w:tcW w:w="1607" w:type="dxa"/>
            <w:shd w:val="clear" w:color="auto" w:fill="auto"/>
            <w:vAlign w:val="bottom"/>
          </w:tcPr>
          <w:p w:rsidR="00963C03" w:rsidRPr="0071782F" w:rsidRDefault="00131F62" w:rsidP="00881286">
            <w:pPr>
              <w:suppressAutoHyphens w:val="0"/>
              <w:spacing w:before="40" w:after="40" w:line="220" w:lineRule="exact"/>
              <w:rPr>
                <w:sz w:val="18"/>
                <w:lang w:val="fr-CH"/>
              </w:rPr>
            </w:pPr>
            <w:r w:rsidRPr="0071782F">
              <w:rPr>
                <w:sz w:val="18"/>
                <w:lang w:val="fr-CH"/>
              </w:rPr>
              <w:t>Personnes (milliers)</w:t>
            </w:r>
          </w:p>
        </w:tc>
        <w:tc>
          <w:tcPr>
            <w:tcW w:w="8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1 345</w:t>
            </w: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133</w:t>
            </w:r>
            <w:r w:rsidR="00881286" w:rsidRPr="0071782F">
              <w:rPr>
                <w:sz w:val="18"/>
                <w:lang w:val="fr-CH"/>
              </w:rPr>
              <w:t>,</w:t>
            </w:r>
            <w:r w:rsidRPr="0071782F">
              <w:rPr>
                <w:sz w:val="18"/>
                <w:lang w:val="fr-CH"/>
              </w:rPr>
              <w:t>1</w:t>
            </w:r>
          </w:p>
        </w:tc>
      </w:tr>
      <w:tr w:rsidR="00963C03" w:rsidRPr="0071782F">
        <w:tc>
          <w:tcPr>
            <w:tcW w:w="3768" w:type="dxa"/>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Nombre d’athlètes de compétition</w:t>
            </w:r>
            <w:r w:rsidR="00786CCB" w:rsidRPr="0071782F">
              <w:rPr>
                <w:i/>
                <w:sz w:val="18"/>
                <w:vertAlign w:val="superscript"/>
                <w:lang w:val="fr-CH"/>
              </w:rPr>
              <w:t>(2)</w:t>
            </w:r>
          </w:p>
        </w:tc>
        <w:tc>
          <w:tcPr>
            <w:tcW w:w="1607" w:type="dxa"/>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8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3768" w:type="dxa"/>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Nombre d’entraîneurs sportifs</w:t>
            </w:r>
            <w:r w:rsidR="00786CCB" w:rsidRPr="0071782F">
              <w:rPr>
                <w:i/>
                <w:sz w:val="18"/>
                <w:vertAlign w:val="superscript"/>
                <w:lang w:val="fr-CH"/>
              </w:rPr>
              <w:t>(2)</w:t>
            </w:r>
          </w:p>
        </w:tc>
        <w:tc>
          <w:tcPr>
            <w:tcW w:w="1607" w:type="dxa"/>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8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3768" w:type="dxa"/>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Nombre d’arbitres</w:t>
            </w:r>
            <w:r w:rsidR="00786CCB" w:rsidRPr="0071782F">
              <w:rPr>
                <w:i/>
                <w:sz w:val="18"/>
                <w:vertAlign w:val="superscript"/>
                <w:lang w:val="fr-CH"/>
              </w:rPr>
              <w:t>(2)</w:t>
            </w:r>
          </w:p>
        </w:tc>
        <w:tc>
          <w:tcPr>
            <w:tcW w:w="1607" w:type="dxa"/>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8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3768"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131F62" w:rsidRPr="0071782F">
              <w:rPr>
                <w:sz w:val="18"/>
                <w:lang w:val="fr-CH"/>
              </w:rPr>
              <w:t>mbre d’installations sportives mises en service</w:t>
            </w:r>
            <w:r w:rsidR="00786CCB" w:rsidRPr="0071782F">
              <w:rPr>
                <w:i/>
                <w:sz w:val="18"/>
                <w:vertAlign w:val="superscript"/>
                <w:lang w:val="fr-CH"/>
              </w:rPr>
              <w:t>(2)</w:t>
            </w:r>
          </w:p>
        </w:tc>
        <w:tc>
          <w:tcPr>
            <w:tcW w:w="1607" w:type="dxa"/>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8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3768" w:type="dxa"/>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 xml:space="preserve">Nombre </w:t>
            </w:r>
            <w:r w:rsidR="00C767F3" w:rsidRPr="0071782F">
              <w:rPr>
                <w:sz w:val="18"/>
                <w:lang w:val="fr-CH"/>
              </w:rPr>
              <w:t>de mètres</w:t>
            </w:r>
            <w:r w:rsidRPr="0071782F">
              <w:rPr>
                <w:sz w:val="18"/>
                <w:lang w:val="fr-CH"/>
              </w:rPr>
              <w:t xml:space="preserve"> carrés d’installations sportives pour 1 000</w:t>
            </w:r>
            <w:r w:rsidR="00BF435F" w:rsidRPr="0071782F">
              <w:rPr>
                <w:sz w:val="18"/>
                <w:lang w:val="fr-CH"/>
              </w:rPr>
              <w:t> habitants</w:t>
            </w:r>
            <w:r w:rsidR="00786CCB" w:rsidRPr="0071782F">
              <w:rPr>
                <w:i/>
                <w:sz w:val="18"/>
                <w:vertAlign w:val="superscript"/>
                <w:lang w:val="fr-CH"/>
              </w:rPr>
              <w:t>(2)</w:t>
            </w:r>
          </w:p>
        </w:tc>
        <w:tc>
          <w:tcPr>
            <w:tcW w:w="1607" w:type="dxa"/>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8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bl>
    <w:p w:rsidR="00963C03" w:rsidRPr="0071782F" w:rsidRDefault="00963C03" w:rsidP="00786CCB">
      <w:pPr>
        <w:suppressAutoHyphens w:val="0"/>
        <w:spacing w:before="120" w:line="240" w:lineRule="auto"/>
        <w:ind w:left="1134" w:right="1134" w:firstLine="170"/>
        <w:rPr>
          <w:sz w:val="18"/>
          <w:szCs w:val="18"/>
          <w:lang w:val="fr-CH"/>
        </w:rPr>
      </w:pPr>
      <w:r w:rsidRPr="0071782F">
        <w:rPr>
          <w:i/>
          <w:sz w:val="18"/>
          <w:szCs w:val="18"/>
          <w:lang w:val="fr-CH"/>
        </w:rPr>
        <w:t>Source</w:t>
      </w:r>
      <w:r w:rsidR="008F7D33" w:rsidRPr="0071782F">
        <w:rPr>
          <w:i/>
          <w:sz w:val="18"/>
          <w:szCs w:val="18"/>
          <w:lang w:val="fr-CH"/>
        </w:rPr>
        <w:t>:</w:t>
      </w:r>
      <w:r w:rsidRPr="0071782F">
        <w:rPr>
          <w:sz w:val="18"/>
          <w:szCs w:val="18"/>
          <w:lang w:val="fr-CH"/>
        </w:rPr>
        <w:t xml:space="preserve"> </w:t>
      </w:r>
      <w:r w:rsidR="00131F62" w:rsidRPr="0071782F">
        <w:rPr>
          <w:sz w:val="18"/>
          <w:szCs w:val="18"/>
          <w:lang w:val="fr-CH"/>
        </w:rPr>
        <w:t>Organisme de l’éducation physique</w:t>
      </w:r>
      <w:r w:rsidRPr="0071782F">
        <w:rPr>
          <w:sz w:val="18"/>
          <w:szCs w:val="18"/>
          <w:lang w:val="fr-CH"/>
        </w:rPr>
        <w:t>.</w:t>
      </w:r>
    </w:p>
    <w:p w:rsidR="00963C03" w:rsidRPr="0071782F" w:rsidRDefault="00786CCB" w:rsidP="00AA22EB">
      <w:pPr>
        <w:suppressAutoHyphens w:val="0"/>
        <w:spacing w:line="240" w:lineRule="auto"/>
        <w:ind w:left="1134" w:right="1134" w:firstLine="170"/>
        <w:rPr>
          <w:sz w:val="18"/>
          <w:szCs w:val="18"/>
          <w:lang w:val="fr-CH"/>
        </w:rPr>
      </w:pPr>
      <w:r w:rsidRPr="0071782F">
        <w:rPr>
          <w:i/>
          <w:sz w:val="18"/>
          <w:vertAlign w:val="superscript"/>
          <w:lang w:val="fr-CH"/>
        </w:rPr>
        <w:t>(1)</w:t>
      </w:r>
      <w:r w:rsidR="00963C03" w:rsidRPr="0071782F">
        <w:rPr>
          <w:sz w:val="18"/>
          <w:szCs w:val="18"/>
          <w:lang w:val="fr-CH"/>
        </w:rPr>
        <w:t xml:space="preserve">  </w:t>
      </w:r>
      <w:r w:rsidR="00131F62" w:rsidRPr="0071782F">
        <w:rPr>
          <w:sz w:val="18"/>
          <w:szCs w:val="18"/>
          <w:lang w:val="fr-CH"/>
        </w:rPr>
        <w:t>Données de fin d’année</w:t>
      </w:r>
      <w:r w:rsidR="00963C03" w:rsidRPr="0071782F">
        <w:rPr>
          <w:sz w:val="18"/>
          <w:szCs w:val="18"/>
          <w:lang w:val="fr-CH"/>
        </w:rPr>
        <w:t>.</w:t>
      </w:r>
    </w:p>
    <w:p w:rsidR="00963C03" w:rsidRPr="0071782F" w:rsidRDefault="00786CCB" w:rsidP="00BA46A5">
      <w:pPr>
        <w:suppressAutoHyphens w:val="0"/>
        <w:spacing w:after="240" w:line="240" w:lineRule="auto"/>
        <w:ind w:left="1134" w:right="1134" w:firstLine="170"/>
        <w:rPr>
          <w:sz w:val="18"/>
          <w:szCs w:val="18"/>
          <w:lang w:val="fr-CH"/>
        </w:rPr>
      </w:pPr>
      <w:r w:rsidRPr="0071782F">
        <w:rPr>
          <w:i/>
          <w:sz w:val="18"/>
          <w:vertAlign w:val="superscript"/>
          <w:lang w:val="fr-CH"/>
        </w:rPr>
        <w:t>(2)</w:t>
      </w:r>
      <w:r w:rsidR="00963C03" w:rsidRPr="0071782F">
        <w:rPr>
          <w:sz w:val="18"/>
          <w:szCs w:val="18"/>
          <w:lang w:val="fr-CH"/>
        </w:rPr>
        <w:t xml:space="preserve">  D</w:t>
      </w:r>
      <w:r w:rsidR="00131F62" w:rsidRPr="0071782F">
        <w:rPr>
          <w:sz w:val="18"/>
          <w:szCs w:val="18"/>
          <w:lang w:val="fr-CH"/>
        </w:rPr>
        <w:t xml:space="preserve">onnées non disponibles au moment de la </w:t>
      </w:r>
      <w:r w:rsidR="00963C03" w:rsidRPr="0071782F">
        <w:rPr>
          <w:sz w:val="18"/>
          <w:szCs w:val="18"/>
          <w:lang w:val="fr-CH"/>
        </w:rPr>
        <w:t>publication.</w:t>
      </w:r>
    </w:p>
    <w:p w:rsidR="00963C03" w:rsidRPr="0071782F" w:rsidRDefault="00963C03" w:rsidP="00566292">
      <w:pPr>
        <w:pStyle w:val="H23G"/>
        <w:rPr>
          <w:lang w:val="fr-CH"/>
        </w:rPr>
      </w:pPr>
      <w:r w:rsidRPr="0071782F">
        <w:rPr>
          <w:lang w:val="fr-CH"/>
        </w:rPr>
        <w:tab/>
      </w:r>
      <w:r w:rsidRPr="0071782F">
        <w:rPr>
          <w:lang w:val="fr-CH"/>
        </w:rPr>
        <w:tab/>
      </w:r>
      <w:r w:rsidR="00131F62" w:rsidRPr="0071782F">
        <w:rPr>
          <w:lang w:val="fr-CH"/>
        </w:rPr>
        <w:t xml:space="preserve">Indicateurs de l’éducation physique en </w:t>
      </w:r>
      <w:r w:rsidRPr="0071782F">
        <w:rPr>
          <w:lang w:val="fr-CH"/>
        </w:rPr>
        <w:t>2007</w:t>
      </w:r>
      <w:r w:rsidR="00E324AA" w:rsidRPr="0071782F">
        <w:rPr>
          <w:b w:val="0"/>
          <w:i/>
          <w:sz w:val="18"/>
          <w:vertAlign w:val="superscript"/>
          <w:lang w:val="fr-CH"/>
        </w:rPr>
        <w:t>(1)</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768"/>
        <w:gridCol w:w="1607"/>
        <w:gridCol w:w="817"/>
        <w:gridCol w:w="2313"/>
      </w:tblGrid>
      <w:tr w:rsidR="00963C03" w:rsidRPr="0071782F">
        <w:trPr>
          <w:tblHeader/>
        </w:trPr>
        <w:tc>
          <w:tcPr>
            <w:tcW w:w="3768" w:type="dxa"/>
            <w:tcBorders>
              <w:top w:val="single" w:sz="4" w:space="0" w:color="auto"/>
              <w:bottom w:val="single" w:sz="12" w:space="0" w:color="auto"/>
            </w:tcBorders>
            <w:shd w:val="clear" w:color="auto" w:fill="auto"/>
            <w:vAlign w:val="bottom"/>
          </w:tcPr>
          <w:p w:rsidR="00963C03" w:rsidRPr="0071782F" w:rsidRDefault="00963C03" w:rsidP="00881286">
            <w:pPr>
              <w:keepNext/>
              <w:keepLines/>
              <w:suppressAutoHyphens w:val="0"/>
              <w:spacing w:before="80" w:after="80" w:line="200" w:lineRule="exact"/>
              <w:rPr>
                <w:i/>
                <w:sz w:val="16"/>
                <w:lang w:val="fr-CH"/>
              </w:rPr>
            </w:pPr>
            <w:r w:rsidRPr="0071782F">
              <w:rPr>
                <w:i/>
                <w:sz w:val="16"/>
                <w:lang w:val="fr-CH"/>
              </w:rPr>
              <w:t>Indicat</w:t>
            </w:r>
            <w:r w:rsidR="00131F62" w:rsidRPr="0071782F">
              <w:rPr>
                <w:i/>
                <w:sz w:val="16"/>
                <w:lang w:val="fr-CH"/>
              </w:rPr>
              <w:t>eu</w:t>
            </w:r>
            <w:r w:rsidRPr="0071782F">
              <w:rPr>
                <w:i/>
                <w:sz w:val="16"/>
                <w:lang w:val="fr-CH"/>
              </w:rPr>
              <w:t>rs</w:t>
            </w:r>
          </w:p>
        </w:tc>
        <w:tc>
          <w:tcPr>
            <w:tcW w:w="1607" w:type="dxa"/>
            <w:tcBorders>
              <w:top w:val="single" w:sz="4" w:space="0" w:color="auto"/>
              <w:bottom w:val="single" w:sz="12" w:space="0" w:color="auto"/>
            </w:tcBorders>
            <w:shd w:val="clear" w:color="auto" w:fill="auto"/>
            <w:vAlign w:val="bottom"/>
          </w:tcPr>
          <w:p w:rsidR="00963C03" w:rsidRPr="0071782F" w:rsidRDefault="00963C03" w:rsidP="00881286">
            <w:pPr>
              <w:keepNext/>
              <w:keepLines/>
              <w:suppressAutoHyphens w:val="0"/>
              <w:spacing w:before="80" w:after="80" w:line="200" w:lineRule="exact"/>
              <w:rPr>
                <w:i/>
                <w:sz w:val="16"/>
                <w:lang w:val="fr-CH"/>
              </w:rPr>
            </w:pPr>
            <w:r w:rsidRPr="0071782F">
              <w:rPr>
                <w:i/>
                <w:sz w:val="16"/>
                <w:lang w:val="fr-CH"/>
              </w:rPr>
              <w:t>Unit</w:t>
            </w:r>
            <w:r w:rsidR="00131F62" w:rsidRPr="0071782F">
              <w:rPr>
                <w:i/>
                <w:sz w:val="16"/>
                <w:lang w:val="fr-CH"/>
              </w:rPr>
              <w:t>é</w:t>
            </w:r>
          </w:p>
        </w:tc>
        <w:tc>
          <w:tcPr>
            <w:tcW w:w="817" w:type="dxa"/>
            <w:tcBorders>
              <w:top w:val="single" w:sz="4" w:space="0" w:color="auto"/>
              <w:bottom w:val="single" w:sz="12" w:space="0" w:color="auto"/>
            </w:tcBorders>
            <w:shd w:val="clear" w:color="auto" w:fill="auto"/>
            <w:vAlign w:val="bottom"/>
          </w:tcPr>
          <w:p w:rsidR="00963C03" w:rsidRPr="0071782F" w:rsidRDefault="00963C03" w:rsidP="00881286">
            <w:pPr>
              <w:keepNext/>
              <w:keepLines/>
              <w:suppressAutoHyphens w:val="0"/>
              <w:spacing w:before="80" w:after="80" w:line="200" w:lineRule="exact"/>
              <w:jc w:val="right"/>
              <w:rPr>
                <w:i/>
                <w:sz w:val="16"/>
                <w:lang w:val="fr-CH"/>
              </w:rPr>
            </w:pPr>
            <w:r w:rsidRPr="0071782F">
              <w:rPr>
                <w:i/>
                <w:sz w:val="16"/>
                <w:lang w:val="fr-CH"/>
              </w:rPr>
              <w:t>No</w:t>
            </w:r>
            <w:r w:rsidR="00131F62" w:rsidRPr="0071782F">
              <w:rPr>
                <w:i/>
                <w:sz w:val="16"/>
                <w:lang w:val="fr-CH"/>
              </w:rPr>
              <w:t>mbre</w:t>
            </w:r>
          </w:p>
        </w:tc>
        <w:tc>
          <w:tcPr>
            <w:tcW w:w="2313" w:type="dxa"/>
            <w:tcBorders>
              <w:top w:val="single" w:sz="4" w:space="0" w:color="auto"/>
              <w:bottom w:val="single" w:sz="12" w:space="0" w:color="auto"/>
            </w:tcBorders>
            <w:shd w:val="clear" w:color="auto" w:fill="auto"/>
            <w:vAlign w:val="bottom"/>
          </w:tcPr>
          <w:p w:rsidR="00963C03" w:rsidRPr="0071782F" w:rsidRDefault="00131F62" w:rsidP="00881286">
            <w:pPr>
              <w:keepNext/>
              <w:keepLines/>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963C03" w:rsidRPr="0071782F">
        <w:tc>
          <w:tcPr>
            <w:tcW w:w="3768" w:type="dxa"/>
            <w:tcBorders>
              <w:top w:val="single" w:sz="12" w:space="0" w:color="auto"/>
            </w:tcBorders>
            <w:shd w:val="clear" w:color="auto" w:fill="auto"/>
          </w:tcPr>
          <w:p w:rsidR="00963C03" w:rsidRPr="0071782F" w:rsidRDefault="00DB3A94" w:rsidP="00881286">
            <w:pPr>
              <w:keepNext/>
              <w:keepLines/>
              <w:suppressAutoHyphens w:val="0"/>
              <w:spacing w:before="40" w:after="40" w:line="220" w:lineRule="exact"/>
              <w:rPr>
                <w:sz w:val="18"/>
                <w:lang w:val="fr-CH"/>
              </w:rPr>
            </w:pPr>
            <w:r w:rsidRPr="0071782F">
              <w:rPr>
                <w:sz w:val="18"/>
                <w:lang w:val="fr-CH"/>
              </w:rPr>
              <w:t>Nombre d’athlètes associés</w:t>
            </w:r>
          </w:p>
        </w:tc>
        <w:tc>
          <w:tcPr>
            <w:tcW w:w="1607" w:type="dxa"/>
            <w:tcBorders>
              <w:top w:val="single" w:sz="12" w:space="0" w:color="auto"/>
            </w:tcBorders>
            <w:shd w:val="clear" w:color="auto" w:fill="auto"/>
            <w:vAlign w:val="bottom"/>
          </w:tcPr>
          <w:p w:rsidR="00963C03" w:rsidRPr="0071782F" w:rsidRDefault="00131F62" w:rsidP="00881286">
            <w:pPr>
              <w:keepNext/>
              <w:keepLines/>
              <w:suppressAutoHyphens w:val="0"/>
              <w:spacing w:before="40" w:after="40" w:line="220" w:lineRule="exact"/>
              <w:rPr>
                <w:sz w:val="18"/>
                <w:lang w:val="fr-CH"/>
              </w:rPr>
            </w:pPr>
            <w:r w:rsidRPr="0071782F">
              <w:rPr>
                <w:sz w:val="18"/>
                <w:lang w:val="fr-CH"/>
              </w:rPr>
              <w:t>Personnes (milliers)</w:t>
            </w:r>
          </w:p>
        </w:tc>
        <w:tc>
          <w:tcPr>
            <w:tcW w:w="817" w:type="dxa"/>
            <w:tcBorders>
              <w:top w:val="single" w:sz="12" w:space="0" w:color="auto"/>
            </w:tcBorders>
            <w:shd w:val="clear" w:color="auto" w:fill="auto"/>
            <w:vAlign w:val="bottom"/>
          </w:tcPr>
          <w:p w:rsidR="00963C03" w:rsidRPr="0071782F" w:rsidRDefault="00963C03" w:rsidP="00881286">
            <w:pPr>
              <w:keepNext/>
              <w:keepLines/>
              <w:suppressAutoHyphens w:val="0"/>
              <w:spacing w:before="40" w:after="40" w:line="220" w:lineRule="exact"/>
              <w:jc w:val="right"/>
              <w:rPr>
                <w:sz w:val="18"/>
                <w:lang w:val="fr-CH"/>
              </w:rPr>
            </w:pPr>
            <w:r w:rsidRPr="0071782F">
              <w:rPr>
                <w:sz w:val="18"/>
                <w:lang w:val="fr-CH"/>
              </w:rPr>
              <w:t>2 274</w:t>
            </w:r>
          </w:p>
        </w:tc>
        <w:tc>
          <w:tcPr>
            <w:tcW w:w="2313" w:type="dxa"/>
            <w:tcBorders>
              <w:top w:val="single" w:sz="12" w:space="0" w:color="auto"/>
            </w:tcBorders>
            <w:shd w:val="clear" w:color="auto" w:fill="auto"/>
            <w:vAlign w:val="bottom"/>
          </w:tcPr>
          <w:p w:rsidR="00963C03" w:rsidRPr="0071782F" w:rsidRDefault="00963C03" w:rsidP="00881286">
            <w:pPr>
              <w:keepNext/>
              <w:keepLines/>
              <w:suppressAutoHyphens w:val="0"/>
              <w:spacing w:before="40" w:after="40" w:line="220" w:lineRule="exact"/>
              <w:jc w:val="right"/>
              <w:rPr>
                <w:sz w:val="18"/>
                <w:lang w:val="fr-CH"/>
              </w:rPr>
            </w:pPr>
            <w:r w:rsidRPr="0071782F">
              <w:rPr>
                <w:sz w:val="18"/>
                <w:lang w:val="fr-CH"/>
              </w:rPr>
              <w:t>15</w:t>
            </w:r>
            <w:r w:rsidR="00881286" w:rsidRPr="0071782F">
              <w:rPr>
                <w:sz w:val="18"/>
                <w:lang w:val="fr-CH"/>
              </w:rPr>
              <w:t>,</w:t>
            </w:r>
            <w:r w:rsidRPr="0071782F">
              <w:rPr>
                <w:sz w:val="18"/>
                <w:lang w:val="fr-CH"/>
              </w:rPr>
              <w:t>7</w:t>
            </w:r>
          </w:p>
        </w:tc>
      </w:tr>
      <w:tr w:rsidR="00963C03" w:rsidRPr="0071782F">
        <w:tc>
          <w:tcPr>
            <w:tcW w:w="3768" w:type="dxa"/>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Nombre d’athlètes associés de sexe masculin</w:t>
            </w:r>
          </w:p>
        </w:tc>
        <w:tc>
          <w:tcPr>
            <w:tcW w:w="1607" w:type="dxa"/>
            <w:shd w:val="clear" w:color="auto" w:fill="auto"/>
            <w:vAlign w:val="bottom"/>
          </w:tcPr>
          <w:p w:rsidR="00963C03" w:rsidRPr="0071782F" w:rsidRDefault="00131F62" w:rsidP="00881286">
            <w:pPr>
              <w:suppressAutoHyphens w:val="0"/>
              <w:spacing w:before="40" w:after="40" w:line="220" w:lineRule="exact"/>
              <w:rPr>
                <w:sz w:val="18"/>
                <w:lang w:val="fr-CH"/>
              </w:rPr>
            </w:pPr>
            <w:r w:rsidRPr="0071782F">
              <w:rPr>
                <w:sz w:val="18"/>
                <w:lang w:val="fr-CH"/>
              </w:rPr>
              <w:t>Personnes (milliers)</w:t>
            </w:r>
          </w:p>
        </w:tc>
        <w:tc>
          <w:tcPr>
            <w:tcW w:w="8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1 571</w:t>
            </w: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16</w:t>
            </w:r>
            <w:r w:rsidR="00881286" w:rsidRPr="0071782F">
              <w:rPr>
                <w:sz w:val="18"/>
                <w:lang w:val="fr-CH"/>
              </w:rPr>
              <w:t>,</w:t>
            </w:r>
            <w:r w:rsidRPr="0071782F">
              <w:rPr>
                <w:sz w:val="18"/>
                <w:lang w:val="fr-CH"/>
              </w:rPr>
              <w:t>8</w:t>
            </w:r>
          </w:p>
        </w:tc>
      </w:tr>
      <w:tr w:rsidR="00963C03" w:rsidRPr="0071782F">
        <w:tc>
          <w:tcPr>
            <w:tcW w:w="3768" w:type="dxa"/>
            <w:tcBorders>
              <w:bottom w:val="nil"/>
            </w:tcBorders>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Nombre d’athlètes associés de sexe féminin</w:t>
            </w:r>
          </w:p>
        </w:tc>
        <w:tc>
          <w:tcPr>
            <w:tcW w:w="1607" w:type="dxa"/>
            <w:tcBorders>
              <w:bottom w:val="nil"/>
            </w:tcBorders>
            <w:shd w:val="clear" w:color="auto" w:fill="auto"/>
            <w:vAlign w:val="bottom"/>
          </w:tcPr>
          <w:p w:rsidR="00963C03" w:rsidRPr="0071782F" w:rsidRDefault="00131F62" w:rsidP="00881286">
            <w:pPr>
              <w:suppressAutoHyphens w:val="0"/>
              <w:spacing w:before="40" w:after="40" w:line="220" w:lineRule="exact"/>
              <w:rPr>
                <w:sz w:val="18"/>
                <w:lang w:val="fr-CH"/>
              </w:rPr>
            </w:pPr>
            <w:r w:rsidRPr="0071782F">
              <w:rPr>
                <w:sz w:val="18"/>
                <w:lang w:val="fr-CH"/>
              </w:rPr>
              <w:t>Personnes (milliers)</w:t>
            </w:r>
          </w:p>
        </w:tc>
        <w:tc>
          <w:tcPr>
            <w:tcW w:w="817"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703</w:t>
            </w:r>
          </w:p>
        </w:tc>
        <w:tc>
          <w:tcPr>
            <w:tcW w:w="2313"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13</w:t>
            </w:r>
            <w:r w:rsidR="00881286" w:rsidRPr="0071782F">
              <w:rPr>
                <w:sz w:val="18"/>
                <w:lang w:val="fr-CH"/>
              </w:rPr>
              <w:t>,</w:t>
            </w:r>
            <w:r w:rsidRPr="0071782F">
              <w:rPr>
                <w:sz w:val="18"/>
                <w:lang w:val="fr-CH"/>
              </w:rPr>
              <w:t>2</w:t>
            </w:r>
          </w:p>
        </w:tc>
      </w:tr>
      <w:tr w:rsidR="00963C03" w:rsidRPr="0071782F">
        <w:tc>
          <w:tcPr>
            <w:tcW w:w="3768" w:type="dxa"/>
            <w:tcBorders>
              <w:top w:val="nil"/>
              <w:bottom w:val="nil"/>
            </w:tcBorders>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Nombre d’athlètes de compétition</w:t>
            </w:r>
            <w:r w:rsidR="00E324AA" w:rsidRPr="0071782F">
              <w:rPr>
                <w:i/>
                <w:sz w:val="18"/>
                <w:vertAlign w:val="superscript"/>
                <w:lang w:val="fr-CH"/>
              </w:rPr>
              <w:t>(2)</w:t>
            </w:r>
          </w:p>
        </w:tc>
        <w:tc>
          <w:tcPr>
            <w:tcW w:w="1607" w:type="dxa"/>
            <w:tcBorders>
              <w:top w:val="nil"/>
              <w:bottom w:val="nil"/>
            </w:tcBorders>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817"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c>
          <w:tcPr>
            <w:tcW w:w="2313"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3768" w:type="dxa"/>
            <w:tcBorders>
              <w:top w:val="nil"/>
            </w:tcBorders>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Nombre d’entraîneurs sportifs</w:t>
            </w:r>
          </w:p>
        </w:tc>
        <w:tc>
          <w:tcPr>
            <w:tcW w:w="1607" w:type="dxa"/>
            <w:tcBorders>
              <w:top w:val="nil"/>
            </w:tcBorders>
            <w:shd w:val="clear" w:color="auto" w:fill="auto"/>
            <w:vAlign w:val="bottom"/>
          </w:tcPr>
          <w:p w:rsidR="00963C03" w:rsidRPr="0071782F" w:rsidRDefault="00131F62" w:rsidP="00881286">
            <w:pPr>
              <w:suppressAutoHyphens w:val="0"/>
              <w:spacing w:before="40" w:after="40" w:line="220" w:lineRule="exact"/>
              <w:rPr>
                <w:sz w:val="18"/>
                <w:lang w:val="fr-CH"/>
              </w:rPr>
            </w:pPr>
            <w:r w:rsidRPr="0071782F">
              <w:rPr>
                <w:sz w:val="18"/>
                <w:lang w:val="fr-CH"/>
              </w:rPr>
              <w:t>Personnes (milliers)</w:t>
            </w:r>
          </w:p>
        </w:tc>
        <w:tc>
          <w:tcPr>
            <w:tcW w:w="817"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104</w:t>
            </w:r>
          </w:p>
        </w:tc>
        <w:tc>
          <w:tcPr>
            <w:tcW w:w="2313"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-6</w:t>
            </w:r>
            <w:r w:rsidR="00881286" w:rsidRPr="0071782F">
              <w:rPr>
                <w:sz w:val="18"/>
                <w:lang w:val="fr-CH"/>
              </w:rPr>
              <w:t>,</w:t>
            </w:r>
            <w:r w:rsidRPr="0071782F">
              <w:rPr>
                <w:sz w:val="18"/>
                <w:lang w:val="fr-CH"/>
              </w:rPr>
              <w:t>3</w:t>
            </w:r>
          </w:p>
        </w:tc>
      </w:tr>
      <w:tr w:rsidR="00963C03" w:rsidRPr="0071782F">
        <w:tc>
          <w:tcPr>
            <w:tcW w:w="3768" w:type="dxa"/>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Nombre d’arbitres</w:t>
            </w:r>
          </w:p>
        </w:tc>
        <w:tc>
          <w:tcPr>
            <w:tcW w:w="1607" w:type="dxa"/>
            <w:shd w:val="clear" w:color="auto" w:fill="auto"/>
            <w:vAlign w:val="bottom"/>
          </w:tcPr>
          <w:p w:rsidR="00963C03" w:rsidRPr="0071782F" w:rsidRDefault="00131F62" w:rsidP="00881286">
            <w:pPr>
              <w:suppressAutoHyphens w:val="0"/>
              <w:spacing w:before="40" w:after="40" w:line="220" w:lineRule="exact"/>
              <w:rPr>
                <w:sz w:val="18"/>
                <w:lang w:val="fr-CH"/>
              </w:rPr>
            </w:pPr>
            <w:r w:rsidRPr="0071782F">
              <w:rPr>
                <w:sz w:val="18"/>
                <w:lang w:val="fr-CH"/>
              </w:rPr>
              <w:t>Personnes (milliers)</w:t>
            </w:r>
          </w:p>
        </w:tc>
        <w:tc>
          <w:tcPr>
            <w:tcW w:w="8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70</w:t>
            </w: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21</w:t>
            </w:r>
            <w:r w:rsidR="00881286" w:rsidRPr="0071782F">
              <w:rPr>
                <w:sz w:val="18"/>
                <w:lang w:val="fr-CH"/>
              </w:rPr>
              <w:t>,</w:t>
            </w:r>
            <w:r w:rsidRPr="0071782F">
              <w:rPr>
                <w:sz w:val="18"/>
                <w:lang w:val="fr-CH"/>
              </w:rPr>
              <w:t>9</w:t>
            </w:r>
          </w:p>
        </w:tc>
      </w:tr>
      <w:tr w:rsidR="00963C03" w:rsidRPr="0071782F">
        <w:tc>
          <w:tcPr>
            <w:tcW w:w="3768" w:type="dxa"/>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Nombre d’installations sportives mises en service</w:t>
            </w:r>
          </w:p>
        </w:tc>
        <w:tc>
          <w:tcPr>
            <w:tcW w:w="1607"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No</w:t>
            </w:r>
            <w:r w:rsidR="00131F62" w:rsidRPr="0071782F">
              <w:rPr>
                <w:sz w:val="18"/>
                <w:lang w:val="fr-CH"/>
              </w:rPr>
              <w:t>mbre</w:t>
            </w:r>
          </w:p>
        </w:tc>
        <w:tc>
          <w:tcPr>
            <w:tcW w:w="8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14 321</w:t>
            </w: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44</w:t>
            </w:r>
            <w:r w:rsidR="00881286" w:rsidRPr="0071782F">
              <w:rPr>
                <w:sz w:val="18"/>
                <w:lang w:val="fr-CH"/>
              </w:rPr>
              <w:t>,</w:t>
            </w:r>
            <w:r w:rsidRPr="0071782F">
              <w:rPr>
                <w:sz w:val="18"/>
                <w:lang w:val="fr-CH"/>
              </w:rPr>
              <w:t>2</w:t>
            </w:r>
          </w:p>
        </w:tc>
      </w:tr>
      <w:tr w:rsidR="00963C03" w:rsidRPr="0071782F">
        <w:tc>
          <w:tcPr>
            <w:tcW w:w="3768" w:type="dxa"/>
            <w:shd w:val="clear" w:color="auto" w:fill="auto"/>
          </w:tcPr>
          <w:p w:rsidR="00963C03" w:rsidRPr="0071782F" w:rsidRDefault="00131F62" w:rsidP="00881286">
            <w:pPr>
              <w:suppressAutoHyphens w:val="0"/>
              <w:spacing w:before="40" w:after="40" w:line="220" w:lineRule="exact"/>
              <w:rPr>
                <w:sz w:val="18"/>
                <w:lang w:val="fr-CH"/>
              </w:rPr>
            </w:pPr>
            <w:r w:rsidRPr="0071782F">
              <w:rPr>
                <w:sz w:val="18"/>
                <w:lang w:val="fr-CH"/>
              </w:rPr>
              <w:t xml:space="preserve">Nombre </w:t>
            </w:r>
            <w:r w:rsidR="00C767F3" w:rsidRPr="0071782F">
              <w:rPr>
                <w:sz w:val="18"/>
                <w:lang w:val="fr-CH"/>
              </w:rPr>
              <w:t>de mètres</w:t>
            </w:r>
            <w:r w:rsidRPr="0071782F">
              <w:rPr>
                <w:sz w:val="18"/>
                <w:lang w:val="fr-CH"/>
              </w:rPr>
              <w:t xml:space="preserve"> carrés d’installations sportives pour 1 000</w:t>
            </w:r>
            <w:r w:rsidR="00BF435F" w:rsidRPr="0071782F">
              <w:rPr>
                <w:sz w:val="18"/>
                <w:lang w:val="fr-CH"/>
              </w:rPr>
              <w:t> habitants</w:t>
            </w:r>
            <w:r w:rsidR="00E324AA" w:rsidRPr="0071782F">
              <w:rPr>
                <w:i/>
                <w:sz w:val="18"/>
                <w:vertAlign w:val="superscript"/>
                <w:lang w:val="fr-CH"/>
              </w:rPr>
              <w:t>(2)</w:t>
            </w:r>
          </w:p>
        </w:tc>
        <w:tc>
          <w:tcPr>
            <w:tcW w:w="1607" w:type="dxa"/>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817"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bl>
    <w:p w:rsidR="00963C03" w:rsidRPr="0071782F" w:rsidRDefault="00963C03" w:rsidP="00AA22EB">
      <w:pPr>
        <w:suppressAutoHyphens w:val="0"/>
        <w:spacing w:before="120" w:line="240" w:lineRule="auto"/>
        <w:ind w:left="1134" w:right="1134" w:firstLine="170"/>
        <w:rPr>
          <w:sz w:val="18"/>
          <w:szCs w:val="18"/>
          <w:lang w:val="fr-CH"/>
        </w:rPr>
      </w:pPr>
      <w:r w:rsidRPr="0071782F">
        <w:rPr>
          <w:i/>
          <w:sz w:val="18"/>
          <w:szCs w:val="18"/>
          <w:lang w:val="fr-CH"/>
        </w:rPr>
        <w:t>Source</w:t>
      </w:r>
      <w:r w:rsidR="008F7D33" w:rsidRPr="0071782F">
        <w:rPr>
          <w:i/>
          <w:sz w:val="18"/>
          <w:szCs w:val="18"/>
          <w:lang w:val="fr-CH"/>
        </w:rPr>
        <w:t>:</w:t>
      </w:r>
      <w:r w:rsidRPr="0071782F">
        <w:rPr>
          <w:sz w:val="18"/>
          <w:szCs w:val="18"/>
          <w:lang w:val="fr-CH"/>
        </w:rPr>
        <w:t xml:space="preserve"> </w:t>
      </w:r>
      <w:r w:rsidR="00131F62" w:rsidRPr="0071782F">
        <w:rPr>
          <w:sz w:val="18"/>
          <w:szCs w:val="18"/>
          <w:lang w:val="fr-CH"/>
        </w:rPr>
        <w:t>Organisme de l’éducation physique</w:t>
      </w:r>
      <w:r w:rsidRPr="0071782F">
        <w:rPr>
          <w:sz w:val="18"/>
          <w:szCs w:val="18"/>
          <w:lang w:val="fr-CH"/>
        </w:rPr>
        <w:t>.</w:t>
      </w:r>
    </w:p>
    <w:p w:rsidR="00963C03" w:rsidRPr="0071782F" w:rsidRDefault="001257E8" w:rsidP="00AA22EB">
      <w:pPr>
        <w:suppressAutoHyphens w:val="0"/>
        <w:spacing w:line="240" w:lineRule="auto"/>
        <w:ind w:left="1134" w:right="1134" w:firstLine="170"/>
        <w:rPr>
          <w:sz w:val="18"/>
          <w:szCs w:val="18"/>
          <w:lang w:val="fr-CH"/>
        </w:rPr>
      </w:pPr>
      <w:r w:rsidRPr="0071782F">
        <w:rPr>
          <w:i/>
          <w:sz w:val="18"/>
          <w:vertAlign w:val="superscript"/>
          <w:lang w:val="fr-CH"/>
        </w:rPr>
        <w:t>(1)</w:t>
      </w:r>
      <w:r w:rsidR="00963C03" w:rsidRPr="0071782F">
        <w:rPr>
          <w:sz w:val="18"/>
          <w:szCs w:val="18"/>
          <w:lang w:val="fr-CH"/>
        </w:rPr>
        <w:t xml:space="preserve">  </w:t>
      </w:r>
      <w:r w:rsidR="00131F62" w:rsidRPr="0071782F">
        <w:rPr>
          <w:sz w:val="18"/>
          <w:szCs w:val="18"/>
          <w:lang w:val="fr-CH"/>
        </w:rPr>
        <w:t>Données de fin d’année</w:t>
      </w:r>
      <w:r w:rsidR="00963C03" w:rsidRPr="0071782F">
        <w:rPr>
          <w:sz w:val="18"/>
          <w:szCs w:val="18"/>
          <w:lang w:val="fr-CH"/>
        </w:rPr>
        <w:t>.</w:t>
      </w:r>
    </w:p>
    <w:p w:rsidR="00963C03" w:rsidRPr="0071782F" w:rsidRDefault="001257E8" w:rsidP="00BA46A5">
      <w:pPr>
        <w:suppressAutoHyphens w:val="0"/>
        <w:spacing w:after="240" w:line="240" w:lineRule="auto"/>
        <w:ind w:left="1134" w:right="1134" w:firstLine="170"/>
        <w:rPr>
          <w:sz w:val="18"/>
          <w:szCs w:val="18"/>
          <w:lang w:val="fr-CH"/>
        </w:rPr>
      </w:pPr>
      <w:r w:rsidRPr="0071782F">
        <w:rPr>
          <w:i/>
          <w:sz w:val="18"/>
          <w:vertAlign w:val="superscript"/>
          <w:lang w:val="fr-CH"/>
        </w:rPr>
        <w:t>(2)</w:t>
      </w:r>
      <w:r w:rsidR="00963C03" w:rsidRPr="0071782F">
        <w:rPr>
          <w:sz w:val="18"/>
          <w:szCs w:val="18"/>
          <w:lang w:val="fr-CH"/>
        </w:rPr>
        <w:t xml:space="preserve">  </w:t>
      </w:r>
      <w:r w:rsidR="00131F62" w:rsidRPr="0071782F">
        <w:rPr>
          <w:sz w:val="18"/>
          <w:szCs w:val="18"/>
          <w:lang w:val="fr-CH"/>
        </w:rPr>
        <w:t>Données non disponibles au moment de la publication</w:t>
      </w:r>
      <w:r w:rsidR="00963C03" w:rsidRPr="0071782F">
        <w:rPr>
          <w:sz w:val="18"/>
          <w:szCs w:val="18"/>
          <w:lang w:val="fr-CH"/>
        </w:rPr>
        <w:t>.</w:t>
      </w:r>
    </w:p>
    <w:p w:rsidR="00963C03" w:rsidRPr="0071782F" w:rsidRDefault="00963C03" w:rsidP="00AA22EB">
      <w:pPr>
        <w:pStyle w:val="H23G"/>
        <w:rPr>
          <w:lang w:val="fr-CH"/>
        </w:rPr>
      </w:pPr>
      <w:r w:rsidRPr="0071782F">
        <w:rPr>
          <w:lang w:val="fr-CH"/>
        </w:rPr>
        <w:tab/>
      </w:r>
      <w:r w:rsidRPr="0071782F">
        <w:rPr>
          <w:lang w:val="fr-CH"/>
        </w:rPr>
        <w:tab/>
      </w:r>
      <w:r w:rsidR="003C0E5E" w:rsidRPr="0071782F">
        <w:rPr>
          <w:lang w:val="fr-CH"/>
        </w:rPr>
        <w:t xml:space="preserve">Indicateurs de l’éducation physique en </w:t>
      </w:r>
      <w:r w:rsidRPr="0071782F">
        <w:rPr>
          <w:lang w:val="fr-CH"/>
        </w:rPr>
        <w:t>2008</w:t>
      </w:r>
      <w:r w:rsidR="00A0494F" w:rsidRPr="0071782F">
        <w:rPr>
          <w:b w:val="0"/>
          <w:i/>
          <w:sz w:val="18"/>
          <w:vertAlign w:val="superscript"/>
          <w:lang w:val="fr-CH"/>
        </w:rPr>
        <w:t>(1)</w:t>
      </w:r>
    </w:p>
    <w:tbl>
      <w:tblPr>
        <w:tblW w:w="8505"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768"/>
        <w:gridCol w:w="1621"/>
        <w:gridCol w:w="803"/>
        <w:gridCol w:w="2313"/>
      </w:tblGrid>
      <w:tr w:rsidR="00963C03" w:rsidRPr="0071782F">
        <w:trPr>
          <w:tblHeader/>
        </w:trPr>
        <w:tc>
          <w:tcPr>
            <w:tcW w:w="3768" w:type="dxa"/>
            <w:tcBorders>
              <w:top w:val="single" w:sz="4" w:space="0" w:color="auto"/>
              <w:bottom w:val="single" w:sz="12" w:space="0" w:color="auto"/>
            </w:tcBorders>
            <w:shd w:val="clear" w:color="auto" w:fill="auto"/>
            <w:vAlign w:val="bottom"/>
          </w:tcPr>
          <w:p w:rsidR="00963C03" w:rsidRPr="0071782F" w:rsidRDefault="00963C03" w:rsidP="00881286">
            <w:pPr>
              <w:pStyle w:val="SingleTxtG"/>
              <w:suppressAutoHyphens w:val="0"/>
              <w:spacing w:before="80" w:after="80" w:line="200" w:lineRule="exact"/>
              <w:ind w:left="0" w:right="0"/>
              <w:jc w:val="left"/>
              <w:rPr>
                <w:i/>
                <w:sz w:val="16"/>
                <w:lang w:val="fr-CH"/>
              </w:rPr>
            </w:pPr>
            <w:r w:rsidRPr="0071782F">
              <w:rPr>
                <w:i/>
                <w:sz w:val="16"/>
                <w:lang w:val="fr-CH"/>
              </w:rPr>
              <w:t>Indicat</w:t>
            </w:r>
            <w:r w:rsidR="003C0E5E" w:rsidRPr="0071782F">
              <w:rPr>
                <w:i/>
                <w:sz w:val="16"/>
                <w:lang w:val="fr-CH"/>
              </w:rPr>
              <w:t>eu</w:t>
            </w:r>
            <w:r w:rsidRPr="0071782F">
              <w:rPr>
                <w:i/>
                <w:sz w:val="16"/>
                <w:lang w:val="fr-CH"/>
              </w:rPr>
              <w:t>rs</w:t>
            </w:r>
          </w:p>
        </w:tc>
        <w:tc>
          <w:tcPr>
            <w:tcW w:w="1621"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Unit</w:t>
            </w:r>
            <w:r w:rsidR="003C0E5E" w:rsidRPr="0071782F">
              <w:rPr>
                <w:i/>
                <w:sz w:val="16"/>
                <w:lang w:val="fr-CH"/>
              </w:rPr>
              <w:t>é</w:t>
            </w:r>
          </w:p>
        </w:tc>
        <w:tc>
          <w:tcPr>
            <w:tcW w:w="803" w:type="dxa"/>
            <w:tcBorders>
              <w:top w:val="single" w:sz="4" w:space="0" w:color="auto"/>
              <w:bottom w:val="single" w:sz="12" w:space="0" w:color="auto"/>
            </w:tcBorders>
            <w:shd w:val="clear" w:color="auto" w:fill="auto"/>
            <w:vAlign w:val="bottom"/>
          </w:tcPr>
          <w:p w:rsidR="00963C03" w:rsidRPr="0071782F" w:rsidRDefault="003C0E5E" w:rsidP="00881286">
            <w:pPr>
              <w:suppressAutoHyphens w:val="0"/>
              <w:spacing w:before="80" w:after="80" w:line="200" w:lineRule="exact"/>
              <w:jc w:val="right"/>
              <w:rPr>
                <w:i/>
                <w:sz w:val="16"/>
                <w:lang w:val="fr-CH"/>
              </w:rPr>
            </w:pPr>
            <w:r w:rsidRPr="0071782F">
              <w:rPr>
                <w:i/>
                <w:sz w:val="16"/>
                <w:lang w:val="fr-CH"/>
              </w:rPr>
              <w:t>Nombre</w:t>
            </w:r>
          </w:p>
        </w:tc>
        <w:tc>
          <w:tcPr>
            <w:tcW w:w="2313" w:type="dxa"/>
            <w:tcBorders>
              <w:top w:val="single" w:sz="4" w:space="0" w:color="auto"/>
              <w:bottom w:val="single" w:sz="12" w:space="0" w:color="auto"/>
            </w:tcBorders>
            <w:shd w:val="clear" w:color="auto" w:fill="auto"/>
            <w:vAlign w:val="bottom"/>
          </w:tcPr>
          <w:p w:rsidR="00963C03" w:rsidRPr="0071782F" w:rsidRDefault="003C0E5E" w:rsidP="00881286">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963C03" w:rsidRPr="0071782F">
        <w:tc>
          <w:tcPr>
            <w:tcW w:w="3768" w:type="dxa"/>
            <w:tcBorders>
              <w:top w:val="single" w:sz="12" w:space="0" w:color="auto"/>
            </w:tcBorders>
            <w:shd w:val="clear" w:color="auto" w:fill="auto"/>
          </w:tcPr>
          <w:p w:rsidR="00963C03" w:rsidRPr="0071782F" w:rsidRDefault="00DB3A94" w:rsidP="00881286">
            <w:pPr>
              <w:suppressAutoHyphens w:val="0"/>
              <w:spacing w:before="40" w:after="40" w:line="220" w:lineRule="exact"/>
              <w:rPr>
                <w:sz w:val="18"/>
                <w:lang w:val="fr-CH"/>
              </w:rPr>
            </w:pPr>
            <w:r w:rsidRPr="0071782F">
              <w:rPr>
                <w:sz w:val="18"/>
                <w:lang w:val="fr-CH"/>
              </w:rPr>
              <w:t>Nombre d’athlètes associés</w:t>
            </w:r>
          </w:p>
        </w:tc>
        <w:tc>
          <w:tcPr>
            <w:tcW w:w="1621" w:type="dxa"/>
            <w:tcBorders>
              <w:top w:val="single" w:sz="12" w:space="0" w:color="auto"/>
            </w:tcBorders>
            <w:shd w:val="clear" w:color="auto" w:fill="auto"/>
            <w:vAlign w:val="bottom"/>
          </w:tcPr>
          <w:p w:rsidR="00963C03" w:rsidRPr="0071782F" w:rsidRDefault="00131F62" w:rsidP="00881286">
            <w:pPr>
              <w:suppressAutoHyphens w:val="0"/>
              <w:spacing w:before="40" w:after="40" w:line="220" w:lineRule="exact"/>
              <w:rPr>
                <w:sz w:val="18"/>
                <w:lang w:val="fr-CH"/>
              </w:rPr>
            </w:pPr>
            <w:r w:rsidRPr="0071782F">
              <w:rPr>
                <w:sz w:val="18"/>
                <w:lang w:val="fr-CH"/>
              </w:rPr>
              <w:t>Personnes (milliers)</w:t>
            </w:r>
          </w:p>
        </w:tc>
        <w:tc>
          <w:tcPr>
            <w:tcW w:w="803"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2 402</w:t>
            </w:r>
          </w:p>
        </w:tc>
        <w:tc>
          <w:tcPr>
            <w:tcW w:w="2313"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7</w:t>
            </w:r>
          </w:p>
        </w:tc>
      </w:tr>
      <w:tr w:rsidR="00963C03" w:rsidRPr="0071782F">
        <w:tc>
          <w:tcPr>
            <w:tcW w:w="3768" w:type="dxa"/>
            <w:shd w:val="clear" w:color="auto" w:fill="auto"/>
          </w:tcPr>
          <w:p w:rsidR="00963C03" w:rsidRPr="0071782F" w:rsidRDefault="00DB3A94" w:rsidP="00881286">
            <w:pPr>
              <w:suppressAutoHyphens w:val="0"/>
              <w:spacing w:before="40" w:after="40" w:line="220" w:lineRule="exact"/>
              <w:rPr>
                <w:sz w:val="18"/>
                <w:lang w:val="fr-CH"/>
              </w:rPr>
            </w:pPr>
            <w:r w:rsidRPr="0071782F">
              <w:rPr>
                <w:sz w:val="18"/>
                <w:lang w:val="fr-CH"/>
              </w:rPr>
              <w:t>Nombre d’athlètes associés de sexe masculin</w:t>
            </w:r>
          </w:p>
        </w:tc>
        <w:tc>
          <w:tcPr>
            <w:tcW w:w="1621" w:type="dxa"/>
            <w:shd w:val="clear" w:color="auto" w:fill="auto"/>
            <w:vAlign w:val="bottom"/>
          </w:tcPr>
          <w:p w:rsidR="00963C03" w:rsidRPr="0071782F" w:rsidRDefault="00131F62" w:rsidP="00881286">
            <w:pPr>
              <w:suppressAutoHyphens w:val="0"/>
              <w:spacing w:before="40" w:after="40" w:line="220" w:lineRule="exact"/>
              <w:rPr>
                <w:sz w:val="18"/>
                <w:lang w:val="fr-CH"/>
              </w:rPr>
            </w:pPr>
            <w:r w:rsidRPr="0071782F">
              <w:rPr>
                <w:sz w:val="18"/>
                <w:lang w:val="fr-CH"/>
              </w:rPr>
              <w:t>Personnes (milliers)</w:t>
            </w:r>
          </w:p>
        </w:tc>
        <w:tc>
          <w:tcPr>
            <w:tcW w:w="80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1 623</w:t>
            </w: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w:t>
            </w:r>
            <w:r w:rsidR="00881286" w:rsidRPr="0071782F">
              <w:rPr>
                <w:sz w:val="18"/>
                <w:lang w:val="fr-CH"/>
              </w:rPr>
              <w:t>,</w:t>
            </w:r>
            <w:r w:rsidRPr="0071782F">
              <w:rPr>
                <w:sz w:val="18"/>
                <w:lang w:val="fr-CH"/>
              </w:rPr>
              <w:t>9</w:t>
            </w:r>
          </w:p>
        </w:tc>
      </w:tr>
      <w:tr w:rsidR="00963C03" w:rsidRPr="0071782F">
        <w:tc>
          <w:tcPr>
            <w:tcW w:w="3768" w:type="dxa"/>
            <w:shd w:val="clear" w:color="auto" w:fill="auto"/>
          </w:tcPr>
          <w:p w:rsidR="00963C03" w:rsidRPr="0071782F" w:rsidRDefault="00DB3A94" w:rsidP="00881286">
            <w:pPr>
              <w:suppressAutoHyphens w:val="0"/>
              <w:spacing w:before="40" w:after="40" w:line="220" w:lineRule="exact"/>
              <w:rPr>
                <w:sz w:val="18"/>
                <w:lang w:val="fr-CH"/>
              </w:rPr>
            </w:pPr>
            <w:r w:rsidRPr="0071782F">
              <w:rPr>
                <w:sz w:val="18"/>
                <w:lang w:val="fr-CH"/>
              </w:rPr>
              <w:t>Nombre d’athlètes associés de sexe féminin</w:t>
            </w:r>
          </w:p>
        </w:tc>
        <w:tc>
          <w:tcPr>
            <w:tcW w:w="1621" w:type="dxa"/>
            <w:shd w:val="clear" w:color="auto" w:fill="auto"/>
            <w:vAlign w:val="bottom"/>
          </w:tcPr>
          <w:p w:rsidR="00963C03" w:rsidRPr="0071782F" w:rsidRDefault="00131F62" w:rsidP="00881286">
            <w:pPr>
              <w:suppressAutoHyphens w:val="0"/>
              <w:spacing w:before="40" w:after="40" w:line="220" w:lineRule="exact"/>
              <w:rPr>
                <w:sz w:val="18"/>
                <w:lang w:val="fr-CH"/>
              </w:rPr>
            </w:pPr>
            <w:r w:rsidRPr="0071782F">
              <w:rPr>
                <w:sz w:val="18"/>
                <w:lang w:val="fr-CH"/>
              </w:rPr>
              <w:t>Personnes (milliers)</w:t>
            </w:r>
          </w:p>
        </w:tc>
        <w:tc>
          <w:tcPr>
            <w:tcW w:w="80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779</w:t>
            </w: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w:t>
            </w:r>
            <w:r w:rsidR="00881286" w:rsidRPr="0071782F">
              <w:rPr>
                <w:sz w:val="18"/>
                <w:lang w:val="fr-CH"/>
              </w:rPr>
              <w:t>,</w:t>
            </w:r>
            <w:r w:rsidRPr="0071782F">
              <w:rPr>
                <w:sz w:val="18"/>
                <w:lang w:val="fr-CH"/>
              </w:rPr>
              <w:t>2</w:t>
            </w:r>
          </w:p>
        </w:tc>
      </w:tr>
      <w:tr w:rsidR="00963C03" w:rsidRPr="0071782F">
        <w:tc>
          <w:tcPr>
            <w:tcW w:w="3768" w:type="dxa"/>
            <w:shd w:val="clear" w:color="auto" w:fill="auto"/>
          </w:tcPr>
          <w:p w:rsidR="00963C03" w:rsidRPr="0071782F" w:rsidRDefault="00DB3A94" w:rsidP="00881286">
            <w:pPr>
              <w:suppressAutoHyphens w:val="0"/>
              <w:spacing w:before="40" w:after="40" w:line="220" w:lineRule="exact"/>
              <w:rPr>
                <w:sz w:val="18"/>
                <w:lang w:val="fr-CH"/>
              </w:rPr>
            </w:pPr>
            <w:r w:rsidRPr="0071782F">
              <w:rPr>
                <w:sz w:val="18"/>
                <w:lang w:val="fr-CH"/>
              </w:rPr>
              <w:t>Nombre d’athlètes de compétition</w:t>
            </w:r>
          </w:p>
        </w:tc>
        <w:tc>
          <w:tcPr>
            <w:tcW w:w="1621" w:type="dxa"/>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80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24</w:t>
            </w:r>
          </w:p>
        </w:tc>
        <w:tc>
          <w:tcPr>
            <w:tcW w:w="2313" w:type="dxa"/>
            <w:shd w:val="clear" w:color="auto" w:fill="auto"/>
            <w:vAlign w:val="bottom"/>
          </w:tcPr>
          <w:p w:rsidR="00963C03" w:rsidRPr="0071782F" w:rsidRDefault="00ED7D87" w:rsidP="00881286">
            <w:pPr>
              <w:suppressAutoHyphens w:val="0"/>
              <w:spacing w:before="40" w:after="40" w:line="220" w:lineRule="exact"/>
              <w:jc w:val="right"/>
              <w:rPr>
                <w:sz w:val="18"/>
                <w:lang w:val="fr-CH"/>
              </w:rPr>
            </w:pPr>
            <w:r w:rsidRPr="0071782F">
              <w:rPr>
                <w:sz w:val="18"/>
                <w:lang w:val="fr-CH"/>
              </w:rPr>
              <w:t>–</w:t>
            </w:r>
          </w:p>
        </w:tc>
      </w:tr>
      <w:tr w:rsidR="00963C03" w:rsidRPr="0071782F">
        <w:tc>
          <w:tcPr>
            <w:tcW w:w="3768" w:type="dxa"/>
            <w:shd w:val="clear" w:color="auto" w:fill="auto"/>
          </w:tcPr>
          <w:p w:rsidR="00963C03" w:rsidRPr="0071782F" w:rsidRDefault="00DB3A94" w:rsidP="00881286">
            <w:pPr>
              <w:suppressAutoHyphens w:val="0"/>
              <w:spacing w:before="40" w:after="40" w:line="220" w:lineRule="exact"/>
              <w:rPr>
                <w:sz w:val="18"/>
                <w:lang w:val="fr-CH"/>
              </w:rPr>
            </w:pPr>
            <w:r w:rsidRPr="0071782F">
              <w:rPr>
                <w:sz w:val="18"/>
                <w:lang w:val="fr-CH"/>
              </w:rPr>
              <w:t>Nombre d’entraîneurs sportifs</w:t>
            </w:r>
          </w:p>
        </w:tc>
        <w:tc>
          <w:tcPr>
            <w:tcW w:w="1621" w:type="dxa"/>
            <w:shd w:val="clear" w:color="auto" w:fill="auto"/>
            <w:vAlign w:val="bottom"/>
          </w:tcPr>
          <w:p w:rsidR="00963C03" w:rsidRPr="0071782F" w:rsidRDefault="00131F62" w:rsidP="00881286">
            <w:pPr>
              <w:suppressAutoHyphens w:val="0"/>
              <w:spacing w:before="40" w:after="40" w:line="220" w:lineRule="exact"/>
              <w:rPr>
                <w:sz w:val="18"/>
                <w:lang w:val="fr-CH"/>
              </w:rPr>
            </w:pPr>
            <w:r w:rsidRPr="0071782F">
              <w:rPr>
                <w:sz w:val="18"/>
                <w:lang w:val="fr-CH"/>
              </w:rPr>
              <w:t>Personnes (milliers)</w:t>
            </w:r>
          </w:p>
        </w:tc>
        <w:tc>
          <w:tcPr>
            <w:tcW w:w="80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149</w:t>
            </w: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43</w:t>
            </w:r>
            <w:r w:rsidR="00881286" w:rsidRPr="0071782F">
              <w:rPr>
                <w:sz w:val="18"/>
                <w:lang w:val="fr-CH"/>
              </w:rPr>
              <w:t>,</w:t>
            </w:r>
            <w:r w:rsidRPr="0071782F">
              <w:rPr>
                <w:sz w:val="18"/>
                <w:lang w:val="fr-CH"/>
              </w:rPr>
              <w:t>2</w:t>
            </w:r>
          </w:p>
        </w:tc>
      </w:tr>
      <w:tr w:rsidR="00963C03" w:rsidRPr="0071782F">
        <w:tc>
          <w:tcPr>
            <w:tcW w:w="3768" w:type="dxa"/>
            <w:shd w:val="clear" w:color="auto" w:fill="auto"/>
          </w:tcPr>
          <w:p w:rsidR="00963C03" w:rsidRPr="0071782F" w:rsidRDefault="00DB3A94" w:rsidP="00881286">
            <w:pPr>
              <w:suppressAutoHyphens w:val="0"/>
              <w:spacing w:before="40" w:after="40" w:line="220" w:lineRule="exact"/>
              <w:rPr>
                <w:sz w:val="18"/>
                <w:lang w:val="fr-CH"/>
              </w:rPr>
            </w:pPr>
            <w:r w:rsidRPr="0071782F">
              <w:rPr>
                <w:sz w:val="18"/>
                <w:lang w:val="fr-CH"/>
              </w:rPr>
              <w:t>Nombre d’arbitres</w:t>
            </w:r>
          </w:p>
        </w:tc>
        <w:tc>
          <w:tcPr>
            <w:tcW w:w="1621" w:type="dxa"/>
            <w:shd w:val="clear" w:color="auto" w:fill="auto"/>
            <w:vAlign w:val="bottom"/>
          </w:tcPr>
          <w:p w:rsidR="00963C03" w:rsidRPr="0071782F" w:rsidRDefault="00131F62" w:rsidP="00881286">
            <w:pPr>
              <w:suppressAutoHyphens w:val="0"/>
              <w:spacing w:before="40" w:after="40" w:line="220" w:lineRule="exact"/>
              <w:rPr>
                <w:sz w:val="18"/>
                <w:lang w:val="fr-CH"/>
              </w:rPr>
            </w:pPr>
            <w:r w:rsidRPr="0071782F">
              <w:rPr>
                <w:sz w:val="18"/>
                <w:lang w:val="fr-CH"/>
              </w:rPr>
              <w:t>Personnes (milliers)</w:t>
            </w:r>
          </w:p>
        </w:tc>
        <w:tc>
          <w:tcPr>
            <w:tcW w:w="80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95</w:t>
            </w: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36</w:t>
            </w:r>
            <w:r w:rsidR="00881286" w:rsidRPr="0071782F">
              <w:rPr>
                <w:sz w:val="18"/>
                <w:lang w:val="fr-CH"/>
              </w:rPr>
              <w:t>,</w:t>
            </w:r>
            <w:r w:rsidRPr="0071782F">
              <w:rPr>
                <w:sz w:val="18"/>
                <w:lang w:val="fr-CH"/>
              </w:rPr>
              <w:t>5</w:t>
            </w:r>
          </w:p>
        </w:tc>
      </w:tr>
      <w:tr w:rsidR="00963C03" w:rsidRPr="0071782F">
        <w:tc>
          <w:tcPr>
            <w:tcW w:w="3768" w:type="dxa"/>
            <w:shd w:val="clear" w:color="auto" w:fill="auto"/>
          </w:tcPr>
          <w:p w:rsidR="00963C03" w:rsidRPr="0071782F" w:rsidRDefault="00DB3A94" w:rsidP="00881286">
            <w:pPr>
              <w:suppressAutoHyphens w:val="0"/>
              <w:spacing w:before="40" w:after="40" w:line="220" w:lineRule="exact"/>
              <w:rPr>
                <w:sz w:val="18"/>
                <w:lang w:val="fr-CH"/>
              </w:rPr>
            </w:pPr>
            <w:r w:rsidRPr="0071782F">
              <w:rPr>
                <w:sz w:val="18"/>
                <w:lang w:val="fr-CH"/>
              </w:rPr>
              <w:t>Nombre d’installations sportives mises en service</w:t>
            </w:r>
          </w:p>
        </w:tc>
        <w:tc>
          <w:tcPr>
            <w:tcW w:w="1621" w:type="dxa"/>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80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3768" w:type="dxa"/>
            <w:shd w:val="clear" w:color="auto" w:fill="auto"/>
          </w:tcPr>
          <w:p w:rsidR="00963C03" w:rsidRPr="0071782F" w:rsidRDefault="00DB3A94" w:rsidP="00881286">
            <w:pPr>
              <w:suppressAutoHyphens w:val="0"/>
              <w:spacing w:before="40" w:after="40" w:line="220" w:lineRule="exact"/>
              <w:rPr>
                <w:sz w:val="18"/>
                <w:lang w:val="fr-CH"/>
              </w:rPr>
            </w:pPr>
            <w:r w:rsidRPr="0071782F">
              <w:rPr>
                <w:sz w:val="18"/>
                <w:lang w:val="fr-CH"/>
              </w:rPr>
              <w:t xml:space="preserve">Nombre </w:t>
            </w:r>
            <w:r w:rsidR="00C767F3" w:rsidRPr="0071782F">
              <w:rPr>
                <w:sz w:val="18"/>
                <w:lang w:val="fr-CH"/>
              </w:rPr>
              <w:t>de mètres</w:t>
            </w:r>
            <w:r w:rsidRPr="0071782F">
              <w:rPr>
                <w:sz w:val="18"/>
                <w:lang w:val="fr-CH"/>
              </w:rPr>
              <w:t xml:space="preserve"> carrés d’installations sportives pour 1 000</w:t>
            </w:r>
            <w:r w:rsidR="00BF435F" w:rsidRPr="0071782F">
              <w:rPr>
                <w:sz w:val="18"/>
                <w:lang w:val="fr-CH"/>
              </w:rPr>
              <w:t> habitants</w:t>
            </w:r>
          </w:p>
        </w:tc>
        <w:tc>
          <w:tcPr>
            <w:tcW w:w="1621" w:type="dxa"/>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80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c>
          <w:tcPr>
            <w:tcW w:w="2313"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bl>
    <w:p w:rsidR="00963C03" w:rsidRPr="0071782F" w:rsidRDefault="00963C03" w:rsidP="00AA22EB">
      <w:pPr>
        <w:suppressAutoHyphens w:val="0"/>
        <w:spacing w:before="120" w:line="240" w:lineRule="auto"/>
        <w:ind w:left="1134" w:right="1134" w:firstLine="170"/>
        <w:rPr>
          <w:sz w:val="18"/>
          <w:szCs w:val="18"/>
          <w:lang w:val="fr-CH"/>
        </w:rPr>
      </w:pPr>
      <w:r w:rsidRPr="0071782F">
        <w:rPr>
          <w:i/>
          <w:sz w:val="18"/>
          <w:szCs w:val="18"/>
          <w:lang w:val="fr-CH"/>
        </w:rPr>
        <w:t>Source</w:t>
      </w:r>
      <w:r w:rsidR="008F7D33" w:rsidRPr="0071782F">
        <w:rPr>
          <w:i/>
          <w:sz w:val="18"/>
          <w:szCs w:val="18"/>
          <w:lang w:val="fr-CH"/>
        </w:rPr>
        <w:t>:</w:t>
      </w:r>
      <w:r w:rsidRPr="0071782F">
        <w:rPr>
          <w:sz w:val="18"/>
          <w:szCs w:val="18"/>
          <w:lang w:val="fr-CH"/>
        </w:rPr>
        <w:t xml:space="preserve"> </w:t>
      </w:r>
      <w:r w:rsidR="00DB3A94" w:rsidRPr="0071782F">
        <w:rPr>
          <w:sz w:val="18"/>
          <w:szCs w:val="18"/>
          <w:lang w:val="fr-CH"/>
        </w:rPr>
        <w:t>Organisme de l’éducation physique</w:t>
      </w:r>
      <w:r w:rsidRPr="0071782F">
        <w:rPr>
          <w:sz w:val="18"/>
          <w:szCs w:val="18"/>
          <w:lang w:val="fr-CH"/>
        </w:rPr>
        <w:t>.</w:t>
      </w:r>
    </w:p>
    <w:p w:rsidR="00963C03" w:rsidRPr="0071782F" w:rsidRDefault="00A0494F" w:rsidP="00AA22EB">
      <w:pPr>
        <w:suppressAutoHyphens w:val="0"/>
        <w:spacing w:line="240" w:lineRule="auto"/>
        <w:ind w:left="1134" w:right="1134" w:firstLine="170"/>
        <w:rPr>
          <w:sz w:val="18"/>
          <w:szCs w:val="18"/>
          <w:lang w:val="fr-CH"/>
        </w:rPr>
      </w:pPr>
      <w:r w:rsidRPr="0071782F">
        <w:rPr>
          <w:i/>
          <w:sz w:val="18"/>
          <w:vertAlign w:val="superscript"/>
          <w:lang w:val="fr-CH"/>
        </w:rPr>
        <w:t>(1)</w:t>
      </w:r>
      <w:r w:rsidR="00963C03" w:rsidRPr="0071782F">
        <w:rPr>
          <w:sz w:val="18"/>
          <w:szCs w:val="18"/>
          <w:lang w:val="fr-CH"/>
        </w:rPr>
        <w:t xml:space="preserve">  </w:t>
      </w:r>
      <w:r w:rsidR="00DB3A94" w:rsidRPr="0071782F">
        <w:rPr>
          <w:sz w:val="18"/>
          <w:szCs w:val="18"/>
          <w:lang w:val="fr-CH"/>
        </w:rPr>
        <w:t>Données de fin d’année</w:t>
      </w:r>
      <w:r w:rsidR="00963C03" w:rsidRPr="0071782F">
        <w:rPr>
          <w:sz w:val="18"/>
          <w:szCs w:val="18"/>
          <w:lang w:val="fr-CH"/>
        </w:rPr>
        <w:t>.</w:t>
      </w:r>
    </w:p>
    <w:p w:rsidR="00963C03" w:rsidRPr="0071782F" w:rsidRDefault="00A0494F" w:rsidP="00BA46A5">
      <w:pPr>
        <w:suppressAutoHyphens w:val="0"/>
        <w:spacing w:after="240" w:line="240" w:lineRule="auto"/>
        <w:ind w:left="1134" w:right="1134" w:firstLine="170"/>
        <w:rPr>
          <w:sz w:val="18"/>
          <w:szCs w:val="18"/>
          <w:lang w:val="fr-CH"/>
        </w:rPr>
      </w:pPr>
      <w:r w:rsidRPr="0071782F">
        <w:rPr>
          <w:i/>
          <w:sz w:val="18"/>
          <w:vertAlign w:val="superscript"/>
          <w:lang w:val="fr-CH"/>
        </w:rPr>
        <w:t>(2)</w:t>
      </w:r>
      <w:r w:rsidR="00963C03" w:rsidRPr="0071782F">
        <w:rPr>
          <w:sz w:val="18"/>
          <w:szCs w:val="18"/>
          <w:lang w:val="fr-CH"/>
        </w:rPr>
        <w:t xml:space="preserve">  </w:t>
      </w:r>
      <w:r w:rsidR="00DB3A94" w:rsidRPr="0071782F">
        <w:rPr>
          <w:sz w:val="18"/>
          <w:szCs w:val="18"/>
          <w:lang w:val="fr-CH"/>
        </w:rPr>
        <w:t>Données non disponibles au moment de la publication</w:t>
      </w:r>
      <w:r w:rsidR="00963C03" w:rsidRPr="0071782F">
        <w:rPr>
          <w:sz w:val="18"/>
          <w:szCs w:val="18"/>
          <w:lang w:val="fr-CH"/>
        </w:rPr>
        <w:t>.</w:t>
      </w:r>
    </w:p>
    <w:p w:rsidR="00963C03" w:rsidRPr="0071782F" w:rsidRDefault="00963C03" w:rsidP="00AA22EB">
      <w:pPr>
        <w:pStyle w:val="H23G"/>
        <w:rPr>
          <w:lang w:val="fr-CH"/>
        </w:rPr>
      </w:pPr>
      <w:r w:rsidRPr="0071782F">
        <w:rPr>
          <w:lang w:val="fr-CH"/>
        </w:rPr>
        <w:tab/>
      </w:r>
      <w:r w:rsidRPr="0071782F">
        <w:rPr>
          <w:lang w:val="fr-CH"/>
        </w:rPr>
        <w:tab/>
      </w:r>
      <w:r w:rsidR="007E06F7" w:rsidRPr="0071782F">
        <w:rPr>
          <w:lang w:val="fr-CH"/>
        </w:rPr>
        <w:t>Budget t</w:t>
      </w:r>
      <w:r w:rsidRPr="0071782F">
        <w:rPr>
          <w:lang w:val="fr-CH"/>
        </w:rPr>
        <w:t xml:space="preserve">otal </w:t>
      </w:r>
      <w:r w:rsidR="007E06F7" w:rsidRPr="0071782F">
        <w:rPr>
          <w:lang w:val="fr-CH"/>
        </w:rPr>
        <w:t xml:space="preserve">de l’éducation physique pour la période </w:t>
      </w:r>
      <w:r w:rsidRPr="0071782F">
        <w:rPr>
          <w:lang w:val="fr-CH"/>
        </w:rPr>
        <w:t>2004</w:t>
      </w:r>
      <w:r w:rsidR="007E06F7" w:rsidRPr="0071782F">
        <w:rPr>
          <w:lang w:val="fr-CH"/>
        </w:rPr>
        <w:t>-</w:t>
      </w:r>
      <w:r w:rsidRPr="0071782F">
        <w:rPr>
          <w:lang w:val="fr-CH"/>
        </w:rPr>
        <w:t>2007</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376"/>
        <w:gridCol w:w="3037"/>
        <w:gridCol w:w="2957"/>
      </w:tblGrid>
      <w:tr w:rsidR="00963C03" w:rsidRPr="0071782F">
        <w:trPr>
          <w:tblHeader/>
        </w:trPr>
        <w:tc>
          <w:tcPr>
            <w:tcW w:w="1548" w:type="dxa"/>
            <w:tcBorders>
              <w:top w:val="single" w:sz="4" w:space="0" w:color="auto"/>
              <w:bottom w:val="single" w:sz="12" w:space="0" w:color="auto"/>
            </w:tcBorders>
            <w:shd w:val="clear" w:color="auto" w:fill="auto"/>
            <w:vAlign w:val="bottom"/>
          </w:tcPr>
          <w:p w:rsidR="00963C03" w:rsidRPr="0071782F" w:rsidRDefault="007E06F7" w:rsidP="00881286">
            <w:pPr>
              <w:suppressAutoHyphens w:val="0"/>
              <w:spacing w:before="80" w:after="80" w:line="200" w:lineRule="exact"/>
              <w:rPr>
                <w:i/>
                <w:sz w:val="16"/>
                <w:lang w:val="fr-CH"/>
              </w:rPr>
            </w:pPr>
            <w:r w:rsidRPr="0071782F">
              <w:rPr>
                <w:i/>
                <w:sz w:val="16"/>
                <w:lang w:val="fr-CH"/>
              </w:rPr>
              <w:t>Année</w:t>
            </w:r>
          </w:p>
        </w:tc>
        <w:tc>
          <w:tcPr>
            <w:tcW w:w="3420" w:type="dxa"/>
            <w:tcBorders>
              <w:top w:val="single" w:sz="4" w:space="0" w:color="auto"/>
              <w:bottom w:val="single" w:sz="12" w:space="0" w:color="auto"/>
            </w:tcBorders>
            <w:shd w:val="clear" w:color="auto" w:fill="auto"/>
            <w:vAlign w:val="bottom"/>
          </w:tcPr>
          <w:p w:rsidR="00963C03" w:rsidRPr="0071782F" w:rsidRDefault="007E06F7" w:rsidP="00881286">
            <w:pPr>
              <w:suppressAutoHyphens w:val="0"/>
              <w:spacing w:before="80" w:after="80" w:line="200" w:lineRule="exact"/>
              <w:jc w:val="right"/>
              <w:rPr>
                <w:b/>
                <w:i/>
                <w:sz w:val="16"/>
                <w:lang w:val="fr-CH"/>
              </w:rPr>
            </w:pPr>
            <w:r w:rsidRPr="0071782F">
              <w:rPr>
                <w:b/>
                <w:i/>
                <w:sz w:val="16"/>
                <w:lang w:val="fr-CH"/>
              </w:rPr>
              <w:t>Budget t</w:t>
            </w:r>
            <w:r w:rsidR="00963C03" w:rsidRPr="0071782F">
              <w:rPr>
                <w:b/>
                <w:i/>
                <w:sz w:val="16"/>
                <w:lang w:val="fr-CH"/>
              </w:rPr>
              <w:t>otal (million</w:t>
            </w:r>
            <w:r w:rsidRPr="0071782F">
              <w:rPr>
                <w:b/>
                <w:i/>
                <w:sz w:val="16"/>
                <w:lang w:val="fr-CH"/>
              </w:rPr>
              <w:t>s</w:t>
            </w:r>
            <w:r w:rsidR="00963C03" w:rsidRPr="0071782F">
              <w:rPr>
                <w:b/>
                <w:i/>
                <w:sz w:val="16"/>
                <w:lang w:val="fr-CH"/>
              </w:rPr>
              <w:t xml:space="preserve"> </w:t>
            </w:r>
            <w:r w:rsidR="003B1403" w:rsidRPr="0071782F">
              <w:rPr>
                <w:b/>
                <w:i/>
                <w:sz w:val="16"/>
                <w:lang w:val="fr-CH"/>
              </w:rPr>
              <w:t>de rials</w:t>
            </w:r>
            <w:r w:rsidR="00963C03" w:rsidRPr="0071782F">
              <w:rPr>
                <w:b/>
                <w:i/>
                <w:sz w:val="16"/>
                <w:lang w:val="fr-CH"/>
              </w:rPr>
              <w:t>)</w:t>
            </w:r>
          </w:p>
        </w:tc>
        <w:tc>
          <w:tcPr>
            <w:tcW w:w="3330" w:type="dxa"/>
            <w:tcBorders>
              <w:top w:val="single" w:sz="4" w:space="0" w:color="auto"/>
              <w:bottom w:val="single" w:sz="12" w:space="0" w:color="auto"/>
            </w:tcBorders>
            <w:shd w:val="clear" w:color="auto" w:fill="auto"/>
            <w:vAlign w:val="bottom"/>
          </w:tcPr>
          <w:p w:rsidR="00963C03" w:rsidRPr="0071782F" w:rsidRDefault="003C0E5E" w:rsidP="00881286">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963C03" w:rsidRPr="0071782F">
        <w:tc>
          <w:tcPr>
            <w:tcW w:w="1548" w:type="dxa"/>
            <w:tcBorders>
              <w:top w:val="single" w:sz="12" w:space="0" w:color="auto"/>
            </w:tcBorders>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2004</w:t>
            </w:r>
          </w:p>
        </w:tc>
        <w:tc>
          <w:tcPr>
            <w:tcW w:w="3420"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b/>
                <w:sz w:val="18"/>
                <w:lang w:val="fr-CH"/>
              </w:rPr>
            </w:pPr>
            <w:r w:rsidRPr="0071782F">
              <w:rPr>
                <w:b/>
                <w:sz w:val="18"/>
                <w:lang w:val="fr-CH"/>
              </w:rPr>
              <w:t>1 636 222</w:t>
            </w:r>
          </w:p>
        </w:tc>
        <w:tc>
          <w:tcPr>
            <w:tcW w:w="3330"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11</w:t>
            </w:r>
          </w:p>
        </w:tc>
      </w:tr>
      <w:tr w:rsidR="00963C03" w:rsidRPr="0071782F">
        <w:tc>
          <w:tcPr>
            <w:tcW w:w="1548"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2005</w:t>
            </w:r>
          </w:p>
        </w:tc>
        <w:tc>
          <w:tcPr>
            <w:tcW w:w="3420" w:type="dxa"/>
            <w:shd w:val="clear" w:color="auto" w:fill="auto"/>
            <w:vAlign w:val="bottom"/>
          </w:tcPr>
          <w:p w:rsidR="00963C03" w:rsidRPr="0071782F" w:rsidRDefault="00963C03" w:rsidP="00881286">
            <w:pPr>
              <w:suppressAutoHyphens w:val="0"/>
              <w:spacing w:before="40" w:after="40" w:line="220" w:lineRule="exact"/>
              <w:jc w:val="right"/>
              <w:rPr>
                <w:b/>
                <w:sz w:val="18"/>
                <w:lang w:val="fr-CH"/>
              </w:rPr>
            </w:pPr>
            <w:r w:rsidRPr="0071782F">
              <w:rPr>
                <w:b/>
                <w:sz w:val="18"/>
                <w:lang w:val="fr-CH"/>
              </w:rPr>
              <w:t>2 674 598</w:t>
            </w:r>
          </w:p>
        </w:tc>
        <w:tc>
          <w:tcPr>
            <w:tcW w:w="333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63</w:t>
            </w:r>
          </w:p>
        </w:tc>
      </w:tr>
      <w:tr w:rsidR="00963C03" w:rsidRPr="0071782F">
        <w:tc>
          <w:tcPr>
            <w:tcW w:w="1548"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2006</w:t>
            </w:r>
          </w:p>
        </w:tc>
        <w:tc>
          <w:tcPr>
            <w:tcW w:w="3420" w:type="dxa"/>
            <w:shd w:val="clear" w:color="auto" w:fill="auto"/>
            <w:vAlign w:val="bottom"/>
          </w:tcPr>
          <w:p w:rsidR="00963C03" w:rsidRPr="0071782F" w:rsidRDefault="00963C03" w:rsidP="00881286">
            <w:pPr>
              <w:suppressAutoHyphens w:val="0"/>
              <w:spacing w:before="40" w:after="40" w:line="220" w:lineRule="exact"/>
              <w:jc w:val="right"/>
              <w:rPr>
                <w:b/>
                <w:sz w:val="18"/>
                <w:lang w:val="fr-CH"/>
              </w:rPr>
            </w:pPr>
            <w:r w:rsidRPr="0071782F">
              <w:rPr>
                <w:b/>
                <w:sz w:val="18"/>
                <w:lang w:val="fr-CH"/>
              </w:rPr>
              <w:t>6 608 720</w:t>
            </w:r>
          </w:p>
        </w:tc>
        <w:tc>
          <w:tcPr>
            <w:tcW w:w="333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35</w:t>
            </w:r>
          </w:p>
        </w:tc>
      </w:tr>
      <w:tr w:rsidR="00963C03" w:rsidRPr="0071782F">
        <w:tc>
          <w:tcPr>
            <w:tcW w:w="1548"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2007</w:t>
            </w:r>
          </w:p>
        </w:tc>
        <w:tc>
          <w:tcPr>
            <w:tcW w:w="3420" w:type="dxa"/>
            <w:shd w:val="clear" w:color="auto" w:fill="auto"/>
            <w:vAlign w:val="bottom"/>
          </w:tcPr>
          <w:p w:rsidR="00963C03" w:rsidRPr="0071782F" w:rsidRDefault="00963C03" w:rsidP="00881286">
            <w:pPr>
              <w:suppressAutoHyphens w:val="0"/>
              <w:spacing w:before="40" w:after="40" w:line="220" w:lineRule="exact"/>
              <w:jc w:val="right"/>
              <w:rPr>
                <w:b/>
                <w:sz w:val="18"/>
                <w:lang w:val="fr-CH"/>
              </w:rPr>
            </w:pPr>
            <w:r w:rsidRPr="0071782F">
              <w:rPr>
                <w:b/>
                <w:sz w:val="18"/>
                <w:lang w:val="fr-CH"/>
              </w:rPr>
              <w:t>5 076 215</w:t>
            </w:r>
          </w:p>
        </w:tc>
        <w:tc>
          <w:tcPr>
            <w:tcW w:w="333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41</w:t>
            </w:r>
          </w:p>
        </w:tc>
      </w:tr>
    </w:tbl>
    <w:p w:rsidR="00963C03" w:rsidRPr="0071782F" w:rsidRDefault="00963C03" w:rsidP="00AA22EB">
      <w:pPr>
        <w:pStyle w:val="H1G"/>
        <w:rPr>
          <w:lang w:val="fr-CH"/>
        </w:rPr>
      </w:pPr>
      <w:r w:rsidRPr="0071782F">
        <w:rPr>
          <w:lang w:val="fr-CH"/>
        </w:rPr>
        <w:tab/>
      </w:r>
      <w:r w:rsidRPr="0071782F">
        <w:rPr>
          <w:lang w:val="fr-CH"/>
        </w:rPr>
        <w:tab/>
      </w:r>
      <w:r w:rsidR="00DE1733" w:rsidRPr="0071782F">
        <w:rPr>
          <w:lang w:val="fr-CH"/>
        </w:rPr>
        <w:t xml:space="preserve">L’Organisme de radiodiffusion de la République islamique d’Iran </w:t>
      </w:r>
      <w:r w:rsidRPr="0071782F">
        <w:rPr>
          <w:lang w:val="fr-CH"/>
        </w:rPr>
        <w:t>(IRIB)</w:t>
      </w:r>
    </w:p>
    <w:p w:rsidR="00963C03" w:rsidRPr="0071782F" w:rsidRDefault="00963C03" w:rsidP="00273B75">
      <w:pPr>
        <w:pStyle w:val="SingleTxtG"/>
        <w:spacing w:after="0"/>
        <w:rPr>
          <w:lang w:val="fr-CH"/>
        </w:rPr>
      </w:pPr>
      <w:r w:rsidRPr="0071782F">
        <w:rPr>
          <w:lang w:val="fr-CH"/>
        </w:rPr>
        <w:t>506.</w:t>
      </w:r>
      <w:r w:rsidRPr="0071782F">
        <w:rPr>
          <w:lang w:val="fr-CH"/>
        </w:rPr>
        <w:tab/>
      </w:r>
      <w:r w:rsidR="00BF3F53" w:rsidRPr="0071782F">
        <w:rPr>
          <w:lang w:val="fr-CH"/>
        </w:rPr>
        <w:t xml:space="preserve">En vertu de la </w:t>
      </w:r>
      <w:r w:rsidRPr="0071782F">
        <w:rPr>
          <w:lang w:val="fr-CH"/>
        </w:rPr>
        <w:t xml:space="preserve">Constitution, </w:t>
      </w:r>
      <w:r w:rsidR="00BF3F53" w:rsidRPr="0071782F">
        <w:rPr>
          <w:lang w:val="fr-CH"/>
        </w:rPr>
        <w:t>l’Organisme de radiodiffusion de la République islamique d’Iran est supervisé par le gouvernement</w:t>
      </w:r>
      <w:r w:rsidRPr="0071782F">
        <w:rPr>
          <w:lang w:val="fr-CH"/>
        </w:rPr>
        <w:t xml:space="preserve">. </w:t>
      </w:r>
      <w:r w:rsidR="00BF3F53" w:rsidRPr="0071782F">
        <w:rPr>
          <w:lang w:val="fr-CH"/>
        </w:rPr>
        <w:t>À l’heure actuelle, les émissions de radio et de télévision de l’</w:t>
      </w:r>
      <w:r w:rsidRPr="0071782F">
        <w:rPr>
          <w:lang w:val="fr-CH"/>
        </w:rPr>
        <w:t xml:space="preserve">IRIB </w:t>
      </w:r>
      <w:r w:rsidR="00BF3F53" w:rsidRPr="0071782F">
        <w:rPr>
          <w:lang w:val="fr-CH"/>
        </w:rPr>
        <w:t>ont diffusé</w:t>
      </w:r>
      <w:r w:rsidR="00485992" w:rsidRPr="0071782F">
        <w:rPr>
          <w:lang w:val="fr-CH"/>
        </w:rPr>
        <w:t>e</w:t>
      </w:r>
      <w:r w:rsidR="00BF3F53" w:rsidRPr="0071782F">
        <w:rPr>
          <w:lang w:val="fr-CH"/>
        </w:rPr>
        <w:t>s par huit chaînes de télévision nationales, 32</w:t>
      </w:r>
      <w:r w:rsidR="00881286" w:rsidRPr="0071782F">
        <w:rPr>
          <w:lang w:val="fr-CH"/>
        </w:rPr>
        <w:t> </w:t>
      </w:r>
      <w:r w:rsidR="00BF3F53" w:rsidRPr="0071782F">
        <w:rPr>
          <w:lang w:val="fr-CH"/>
        </w:rPr>
        <w:t xml:space="preserve">chaînes de télévision </w:t>
      </w:r>
      <w:r w:rsidRPr="0071782F">
        <w:rPr>
          <w:lang w:val="fr-CH"/>
        </w:rPr>
        <w:t>provincial</w:t>
      </w:r>
      <w:r w:rsidR="00BF3F53" w:rsidRPr="0071782F">
        <w:rPr>
          <w:lang w:val="fr-CH"/>
        </w:rPr>
        <w:t>es</w:t>
      </w:r>
      <w:r w:rsidRPr="0071782F">
        <w:rPr>
          <w:lang w:val="fr-CH"/>
        </w:rPr>
        <w:t xml:space="preserve">, 15 </w:t>
      </w:r>
      <w:r w:rsidR="00BF3F53" w:rsidRPr="0071782F">
        <w:rPr>
          <w:lang w:val="fr-CH"/>
        </w:rPr>
        <w:t xml:space="preserve">stations de </w:t>
      </w:r>
      <w:r w:rsidRPr="0071782F">
        <w:rPr>
          <w:lang w:val="fr-CH"/>
        </w:rPr>
        <w:t>radio</w:t>
      </w:r>
      <w:r w:rsidR="00BF3F53" w:rsidRPr="0071782F">
        <w:rPr>
          <w:lang w:val="fr-CH"/>
        </w:rPr>
        <w:t xml:space="preserve"> et</w:t>
      </w:r>
      <w:r w:rsidRPr="0071782F">
        <w:rPr>
          <w:lang w:val="fr-CH"/>
        </w:rPr>
        <w:t xml:space="preserve"> </w:t>
      </w:r>
      <w:r w:rsidR="00BF3F53" w:rsidRPr="0071782F">
        <w:rPr>
          <w:lang w:val="fr-CH"/>
        </w:rPr>
        <w:t xml:space="preserve">cinq chaînes internationales en différentes langues, ainsi que la chaîne </w:t>
      </w:r>
      <w:r w:rsidRPr="0071782F">
        <w:rPr>
          <w:lang w:val="fr-CH"/>
        </w:rPr>
        <w:t xml:space="preserve">Jam-e Jam </w:t>
      </w:r>
      <w:r w:rsidR="00BF3F53" w:rsidRPr="0071782F">
        <w:rPr>
          <w:lang w:val="fr-CH"/>
        </w:rPr>
        <w:t xml:space="preserve">et les chaînes </w:t>
      </w:r>
      <w:r w:rsidRPr="0071782F">
        <w:rPr>
          <w:lang w:val="fr-CH"/>
        </w:rPr>
        <w:t>1, 2</w:t>
      </w:r>
      <w:r w:rsidR="00BF3F53" w:rsidRPr="0071782F">
        <w:rPr>
          <w:lang w:val="fr-CH"/>
        </w:rPr>
        <w:t xml:space="preserve"> et</w:t>
      </w:r>
      <w:r w:rsidRPr="0071782F">
        <w:rPr>
          <w:lang w:val="fr-CH"/>
        </w:rPr>
        <w:t xml:space="preserve"> 3</w:t>
      </w:r>
      <w:r w:rsidR="00BF3F53" w:rsidRPr="0071782F">
        <w:rPr>
          <w:lang w:val="fr-CH"/>
        </w:rPr>
        <w:t xml:space="preserve"> pour les Iraniens résidant à l’étranger.</w:t>
      </w:r>
      <w:r w:rsidRPr="0071782F">
        <w:rPr>
          <w:lang w:val="fr-CH"/>
        </w:rPr>
        <w:t xml:space="preserve"> </w:t>
      </w:r>
      <w:r w:rsidR="00BF3F53" w:rsidRPr="0071782F">
        <w:rPr>
          <w:lang w:val="fr-CH"/>
        </w:rPr>
        <w:t>Les studios de l’</w:t>
      </w:r>
      <w:r w:rsidRPr="0071782F">
        <w:rPr>
          <w:lang w:val="fr-CH"/>
        </w:rPr>
        <w:t xml:space="preserve">IRIB </w:t>
      </w:r>
      <w:r w:rsidR="00BF3F53" w:rsidRPr="0071782F">
        <w:rPr>
          <w:lang w:val="fr-CH"/>
        </w:rPr>
        <w:t xml:space="preserve">se trouvent à </w:t>
      </w:r>
      <w:r w:rsidRPr="0071782F">
        <w:rPr>
          <w:lang w:val="fr-CH"/>
        </w:rPr>
        <w:t>T</w:t>
      </w:r>
      <w:r w:rsidR="00BF3F53" w:rsidRPr="0071782F">
        <w:rPr>
          <w:lang w:val="fr-CH"/>
        </w:rPr>
        <w:t>é</w:t>
      </w:r>
      <w:r w:rsidRPr="0071782F">
        <w:rPr>
          <w:lang w:val="fr-CH"/>
        </w:rPr>
        <w:t>h</w:t>
      </w:r>
      <w:r w:rsidR="00BF3F53" w:rsidRPr="0071782F">
        <w:rPr>
          <w:lang w:val="fr-CH"/>
        </w:rPr>
        <w:t>é</w:t>
      </w:r>
      <w:r w:rsidRPr="0071782F">
        <w:rPr>
          <w:lang w:val="fr-CH"/>
        </w:rPr>
        <w:t xml:space="preserve">ran </w:t>
      </w:r>
      <w:r w:rsidR="00BF3F53" w:rsidRPr="0071782F">
        <w:rPr>
          <w:lang w:val="fr-CH"/>
        </w:rPr>
        <w:t>et fonctionnent sous le contrôle du Conseil de s</w:t>
      </w:r>
      <w:r w:rsidRPr="0071782F">
        <w:rPr>
          <w:lang w:val="fr-CH"/>
        </w:rPr>
        <w:t xml:space="preserve">upervision. </w:t>
      </w:r>
      <w:r w:rsidR="00BF3F53" w:rsidRPr="0071782F">
        <w:rPr>
          <w:lang w:val="fr-CH"/>
        </w:rPr>
        <w:t xml:space="preserve">Toutes les </w:t>
      </w:r>
      <w:r w:rsidRPr="0071782F">
        <w:rPr>
          <w:lang w:val="fr-CH"/>
        </w:rPr>
        <w:t xml:space="preserve">provinces </w:t>
      </w:r>
      <w:r w:rsidR="00BF3F53" w:rsidRPr="0071782F">
        <w:rPr>
          <w:lang w:val="fr-CH"/>
        </w:rPr>
        <w:t xml:space="preserve">peuvent créer leurs propres chaînes de </w:t>
      </w:r>
      <w:r w:rsidRPr="0071782F">
        <w:rPr>
          <w:lang w:val="fr-CH"/>
        </w:rPr>
        <w:t xml:space="preserve">radio </w:t>
      </w:r>
      <w:r w:rsidR="00BF3F53" w:rsidRPr="0071782F">
        <w:rPr>
          <w:lang w:val="fr-CH"/>
        </w:rPr>
        <w:t xml:space="preserve">et de </w:t>
      </w:r>
      <w:r w:rsidRPr="0071782F">
        <w:rPr>
          <w:lang w:val="fr-CH"/>
        </w:rPr>
        <w:t>t</w:t>
      </w:r>
      <w:r w:rsidR="00BF3F53" w:rsidRPr="0071782F">
        <w:rPr>
          <w:lang w:val="fr-CH"/>
        </w:rPr>
        <w:t>é</w:t>
      </w:r>
      <w:r w:rsidRPr="0071782F">
        <w:rPr>
          <w:lang w:val="fr-CH"/>
        </w:rPr>
        <w:t>l</w:t>
      </w:r>
      <w:r w:rsidR="00BF3F53" w:rsidRPr="0071782F">
        <w:rPr>
          <w:lang w:val="fr-CH"/>
        </w:rPr>
        <w:t>é</w:t>
      </w:r>
      <w:r w:rsidRPr="0071782F">
        <w:rPr>
          <w:lang w:val="fr-CH"/>
        </w:rPr>
        <w:t xml:space="preserve">vision </w:t>
      </w:r>
      <w:r w:rsidR="00BF3F53" w:rsidRPr="0071782F">
        <w:rPr>
          <w:lang w:val="fr-CH"/>
        </w:rPr>
        <w:t>indépendantes</w:t>
      </w:r>
      <w:r w:rsidRPr="0071782F">
        <w:rPr>
          <w:lang w:val="fr-CH"/>
        </w:rPr>
        <w:t>.</w:t>
      </w:r>
    </w:p>
    <w:p w:rsidR="00963C03" w:rsidRPr="0071782F" w:rsidRDefault="00963C03" w:rsidP="00AA22EB">
      <w:pPr>
        <w:pStyle w:val="H23G"/>
        <w:rPr>
          <w:lang w:val="fr-CH"/>
        </w:rPr>
      </w:pPr>
      <w:r w:rsidRPr="0071782F">
        <w:rPr>
          <w:lang w:val="fr-CH"/>
        </w:rPr>
        <w:tab/>
      </w:r>
      <w:r w:rsidRPr="0071782F">
        <w:rPr>
          <w:lang w:val="fr-CH"/>
        </w:rPr>
        <w:tab/>
        <w:t>Indicat</w:t>
      </w:r>
      <w:r w:rsidR="00485992" w:rsidRPr="0071782F">
        <w:rPr>
          <w:lang w:val="fr-CH"/>
        </w:rPr>
        <w:t>eur</w:t>
      </w:r>
      <w:r w:rsidRPr="0071782F">
        <w:rPr>
          <w:lang w:val="fr-CH"/>
        </w:rPr>
        <w:t xml:space="preserve">s </w:t>
      </w:r>
      <w:r w:rsidR="00485992" w:rsidRPr="0071782F">
        <w:rPr>
          <w:lang w:val="fr-CH"/>
        </w:rPr>
        <w:t xml:space="preserve">de l’Organisme de radiodiffusion de la République islamique d’Iran en </w:t>
      </w:r>
      <w:r w:rsidRPr="0071782F">
        <w:rPr>
          <w:lang w:val="fr-CH"/>
        </w:rPr>
        <w:t>2005</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605"/>
        <w:gridCol w:w="1400"/>
        <w:gridCol w:w="2104"/>
      </w:tblGrid>
      <w:tr w:rsidR="00963C03" w:rsidRPr="0071782F">
        <w:trPr>
          <w:tblHeader/>
        </w:trPr>
        <w:tc>
          <w:tcPr>
            <w:tcW w:w="3261"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Indicat</w:t>
            </w:r>
            <w:r w:rsidR="00485992" w:rsidRPr="0071782F">
              <w:rPr>
                <w:i/>
                <w:sz w:val="16"/>
                <w:lang w:val="fr-CH"/>
              </w:rPr>
              <w:t>eu</w:t>
            </w:r>
            <w:r w:rsidRPr="0071782F">
              <w:rPr>
                <w:i/>
                <w:sz w:val="16"/>
                <w:lang w:val="fr-CH"/>
              </w:rPr>
              <w:t>r</w:t>
            </w:r>
          </w:p>
        </w:tc>
        <w:tc>
          <w:tcPr>
            <w:tcW w:w="605" w:type="dxa"/>
            <w:tcBorders>
              <w:top w:val="single" w:sz="4" w:space="0" w:color="auto"/>
              <w:bottom w:val="single" w:sz="12" w:space="0" w:color="auto"/>
            </w:tcBorders>
            <w:shd w:val="clear" w:color="auto" w:fill="auto"/>
            <w:vAlign w:val="bottom"/>
          </w:tcPr>
          <w:p w:rsidR="00963C03" w:rsidRPr="0071782F" w:rsidRDefault="00963C03" w:rsidP="00881286">
            <w:pPr>
              <w:suppressAutoHyphens w:val="0"/>
              <w:spacing w:before="80" w:after="80" w:line="200" w:lineRule="exact"/>
              <w:rPr>
                <w:i/>
                <w:sz w:val="16"/>
                <w:lang w:val="fr-CH"/>
              </w:rPr>
            </w:pPr>
            <w:r w:rsidRPr="0071782F">
              <w:rPr>
                <w:i/>
                <w:sz w:val="16"/>
                <w:lang w:val="fr-CH"/>
              </w:rPr>
              <w:t>Unit</w:t>
            </w:r>
            <w:r w:rsidR="00485992" w:rsidRPr="0071782F">
              <w:rPr>
                <w:i/>
                <w:sz w:val="16"/>
                <w:lang w:val="fr-CH"/>
              </w:rPr>
              <w:t>é</w:t>
            </w:r>
          </w:p>
        </w:tc>
        <w:tc>
          <w:tcPr>
            <w:tcW w:w="1400" w:type="dxa"/>
            <w:tcBorders>
              <w:top w:val="single" w:sz="4" w:space="0" w:color="auto"/>
              <w:bottom w:val="single" w:sz="12" w:space="0" w:color="auto"/>
            </w:tcBorders>
            <w:shd w:val="clear" w:color="auto" w:fill="auto"/>
            <w:vAlign w:val="bottom"/>
          </w:tcPr>
          <w:p w:rsidR="00963C03" w:rsidRPr="0071782F" w:rsidRDefault="00485992" w:rsidP="00881286">
            <w:pPr>
              <w:suppressAutoHyphens w:val="0"/>
              <w:spacing w:before="80" w:after="80" w:line="200" w:lineRule="exact"/>
              <w:jc w:val="right"/>
              <w:rPr>
                <w:i/>
                <w:sz w:val="16"/>
                <w:lang w:val="fr-CH"/>
              </w:rPr>
            </w:pPr>
            <w:r w:rsidRPr="0071782F">
              <w:rPr>
                <w:i/>
                <w:sz w:val="16"/>
                <w:lang w:val="fr-CH"/>
              </w:rPr>
              <w:t>Nombre</w:t>
            </w:r>
          </w:p>
        </w:tc>
        <w:tc>
          <w:tcPr>
            <w:tcW w:w="2104" w:type="dxa"/>
            <w:tcBorders>
              <w:top w:val="single" w:sz="4" w:space="0" w:color="auto"/>
              <w:bottom w:val="single" w:sz="12" w:space="0" w:color="auto"/>
            </w:tcBorders>
            <w:shd w:val="clear" w:color="auto" w:fill="auto"/>
            <w:vAlign w:val="bottom"/>
          </w:tcPr>
          <w:p w:rsidR="00963C03" w:rsidRPr="0071782F" w:rsidRDefault="00485992" w:rsidP="00881286">
            <w:pPr>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963C03" w:rsidRPr="0071782F">
        <w:tc>
          <w:tcPr>
            <w:tcW w:w="3261" w:type="dxa"/>
            <w:tcBorders>
              <w:top w:val="single" w:sz="12" w:space="0" w:color="auto"/>
            </w:tcBorders>
            <w:shd w:val="clear" w:color="auto" w:fill="auto"/>
          </w:tcPr>
          <w:p w:rsidR="00963C03" w:rsidRPr="0071782F" w:rsidRDefault="00485992" w:rsidP="00881286">
            <w:pPr>
              <w:suppressAutoHyphens w:val="0"/>
              <w:spacing w:before="40" w:after="40" w:line="220" w:lineRule="exact"/>
              <w:rPr>
                <w:sz w:val="18"/>
                <w:lang w:val="fr-CH"/>
              </w:rPr>
            </w:pPr>
            <w:r w:rsidRPr="0071782F">
              <w:rPr>
                <w:sz w:val="18"/>
                <w:lang w:val="fr-CH"/>
              </w:rPr>
              <w:t xml:space="preserve">Émissions nationales </w:t>
            </w:r>
          </w:p>
        </w:tc>
        <w:tc>
          <w:tcPr>
            <w:tcW w:w="605"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1400"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c>
          <w:tcPr>
            <w:tcW w:w="2104" w:type="dxa"/>
            <w:tcBorders>
              <w:top w:val="single" w:sz="12" w:space="0" w:color="auto"/>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3261" w:type="dxa"/>
            <w:shd w:val="clear" w:color="auto" w:fill="auto"/>
          </w:tcPr>
          <w:p w:rsidR="00963C03" w:rsidRPr="0071782F" w:rsidRDefault="00963C03" w:rsidP="00881286">
            <w:pPr>
              <w:suppressAutoHyphens w:val="0"/>
              <w:spacing w:before="40" w:after="40" w:line="220" w:lineRule="exact"/>
              <w:rPr>
                <w:sz w:val="18"/>
                <w:lang w:val="fr-CH"/>
              </w:rPr>
            </w:pPr>
            <w:r w:rsidRPr="0071782F">
              <w:rPr>
                <w:sz w:val="18"/>
                <w:lang w:val="fr-CH"/>
              </w:rPr>
              <w:t xml:space="preserve">Production </w:t>
            </w:r>
            <w:r w:rsidR="00485992" w:rsidRPr="0071782F">
              <w:rPr>
                <w:sz w:val="18"/>
                <w:lang w:val="fr-CH"/>
              </w:rPr>
              <w:t xml:space="preserve">d’émissions de </w:t>
            </w:r>
            <w:r w:rsidRPr="0071782F">
              <w:rPr>
                <w:sz w:val="18"/>
                <w:lang w:val="fr-CH"/>
              </w:rPr>
              <w:t xml:space="preserve">radio </w:t>
            </w:r>
          </w:p>
        </w:tc>
        <w:tc>
          <w:tcPr>
            <w:tcW w:w="605" w:type="dxa"/>
            <w:shd w:val="clear" w:color="auto" w:fill="auto"/>
            <w:vAlign w:val="bottom"/>
          </w:tcPr>
          <w:p w:rsidR="00963C03" w:rsidRPr="0071782F" w:rsidRDefault="00963C03" w:rsidP="00881286">
            <w:pPr>
              <w:suppressAutoHyphens w:val="0"/>
              <w:spacing w:before="40" w:after="40" w:line="220" w:lineRule="exact"/>
              <w:rPr>
                <w:sz w:val="18"/>
                <w:lang w:val="fr-CH"/>
              </w:rPr>
            </w:pPr>
            <w:r w:rsidRPr="0071782F">
              <w:rPr>
                <w:sz w:val="18"/>
                <w:lang w:val="fr-CH"/>
              </w:rPr>
              <w:t>H</w:t>
            </w:r>
            <w:r w:rsidR="00485992" w:rsidRPr="0071782F">
              <w:rPr>
                <w:sz w:val="18"/>
                <w:lang w:val="fr-CH"/>
              </w:rPr>
              <w:t>eure</w:t>
            </w:r>
            <w:r w:rsidRPr="0071782F">
              <w:rPr>
                <w:sz w:val="18"/>
                <w:lang w:val="fr-CH"/>
              </w:rPr>
              <w:t>s</w:t>
            </w:r>
          </w:p>
        </w:tc>
        <w:tc>
          <w:tcPr>
            <w:tcW w:w="140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177 863</w:t>
            </w:r>
          </w:p>
        </w:tc>
        <w:tc>
          <w:tcPr>
            <w:tcW w:w="210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w:t>
            </w:r>
            <w:r w:rsidR="00881286" w:rsidRPr="0071782F">
              <w:rPr>
                <w:sz w:val="18"/>
                <w:lang w:val="fr-CH"/>
              </w:rPr>
              <w:t>,</w:t>
            </w:r>
            <w:r w:rsidRPr="0071782F">
              <w:rPr>
                <w:sz w:val="18"/>
                <w:lang w:val="fr-CH"/>
              </w:rPr>
              <w:t>0</w:t>
            </w:r>
          </w:p>
        </w:tc>
      </w:tr>
      <w:tr w:rsidR="00963C03" w:rsidRPr="0071782F">
        <w:tc>
          <w:tcPr>
            <w:tcW w:w="3261" w:type="dxa"/>
            <w:shd w:val="clear" w:color="auto" w:fill="auto"/>
          </w:tcPr>
          <w:p w:rsidR="00963C03" w:rsidRPr="0071782F" w:rsidRDefault="00485992" w:rsidP="00881286">
            <w:pPr>
              <w:suppressAutoHyphens w:val="0"/>
              <w:spacing w:before="40" w:after="40" w:line="220" w:lineRule="exact"/>
              <w:rPr>
                <w:sz w:val="18"/>
                <w:lang w:val="fr-CH"/>
              </w:rPr>
            </w:pPr>
            <w:r w:rsidRPr="0071782F">
              <w:rPr>
                <w:sz w:val="18"/>
                <w:lang w:val="fr-CH"/>
              </w:rPr>
              <w:t xml:space="preserve">Diffusion d’émissions de radio </w:t>
            </w:r>
          </w:p>
        </w:tc>
        <w:tc>
          <w:tcPr>
            <w:tcW w:w="605" w:type="dxa"/>
            <w:shd w:val="clear" w:color="auto" w:fill="auto"/>
            <w:vAlign w:val="bottom"/>
          </w:tcPr>
          <w:p w:rsidR="00963C03" w:rsidRPr="0071782F" w:rsidRDefault="00485992" w:rsidP="00881286">
            <w:pPr>
              <w:suppressAutoHyphens w:val="0"/>
              <w:spacing w:before="40" w:after="40" w:line="220" w:lineRule="exact"/>
              <w:rPr>
                <w:sz w:val="18"/>
                <w:lang w:val="fr-CH"/>
              </w:rPr>
            </w:pPr>
            <w:r w:rsidRPr="0071782F">
              <w:rPr>
                <w:sz w:val="18"/>
                <w:lang w:val="fr-CH"/>
              </w:rPr>
              <w:t>Heures</w:t>
            </w:r>
          </w:p>
        </w:tc>
        <w:tc>
          <w:tcPr>
            <w:tcW w:w="140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216 356</w:t>
            </w:r>
          </w:p>
        </w:tc>
        <w:tc>
          <w:tcPr>
            <w:tcW w:w="210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w:t>
            </w:r>
            <w:r w:rsidR="00881286" w:rsidRPr="0071782F">
              <w:rPr>
                <w:sz w:val="18"/>
                <w:lang w:val="fr-CH"/>
              </w:rPr>
              <w:t>,</w:t>
            </w:r>
            <w:r w:rsidRPr="0071782F">
              <w:rPr>
                <w:sz w:val="18"/>
                <w:lang w:val="fr-CH"/>
              </w:rPr>
              <w:t>8</w:t>
            </w:r>
          </w:p>
        </w:tc>
      </w:tr>
      <w:tr w:rsidR="00963C03" w:rsidRPr="0071782F">
        <w:tc>
          <w:tcPr>
            <w:tcW w:w="3261" w:type="dxa"/>
            <w:tcBorders>
              <w:bottom w:val="nil"/>
            </w:tcBorders>
            <w:shd w:val="clear" w:color="auto" w:fill="auto"/>
          </w:tcPr>
          <w:p w:rsidR="00963C03" w:rsidRPr="0071782F" w:rsidRDefault="00485992" w:rsidP="00881286">
            <w:pPr>
              <w:suppressAutoHyphens w:val="0"/>
              <w:spacing w:before="40" w:after="40" w:line="220" w:lineRule="exact"/>
              <w:rPr>
                <w:sz w:val="18"/>
                <w:lang w:val="fr-CH"/>
              </w:rPr>
            </w:pPr>
            <w:r w:rsidRPr="0071782F">
              <w:rPr>
                <w:sz w:val="18"/>
                <w:lang w:val="fr-CH"/>
              </w:rPr>
              <w:t>Production d’émissions de té</w:t>
            </w:r>
            <w:r w:rsidR="00963C03" w:rsidRPr="0071782F">
              <w:rPr>
                <w:sz w:val="18"/>
                <w:lang w:val="fr-CH"/>
              </w:rPr>
              <w:t>l</w:t>
            </w:r>
            <w:r w:rsidRPr="0071782F">
              <w:rPr>
                <w:sz w:val="18"/>
                <w:lang w:val="fr-CH"/>
              </w:rPr>
              <w:t>é</w:t>
            </w:r>
            <w:r w:rsidR="00963C03" w:rsidRPr="0071782F">
              <w:rPr>
                <w:sz w:val="18"/>
                <w:lang w:val="fr-CH"/>
              </w:rPr>
              <w:t xml:space="preserve">vision </w:t>
            </w:r>
          </w:p>
        </w:tc>
        <w:tc>
          <w:tcPr>
            <w:tcW w:w="605" w:type="dxa"/>
            <w:tcBorders>
              <w:bottom w:val="nil"/>
            </w:tcBorders>
            <w:shd w:val="clear" w:color="auto" w:fill="auto"/>
            <w:vAlign w:val="bottom"/>
          </w:tcPr>
          <w:p w:rsidR="00963C03" w:rsidRPr="0071782F" w:rsidRDefault="00485992" w:rsidP="00881286">
            <w:pPr>
              <w:suppressAutoHyphens w:val="0"/>
              <w:spacing w:before="40" w:after="40" w:line="220" w:lineRule="exact"/>
              <w:rPr>
                <w:sz w:val="18"/>
                <w:lang w:val="fr-CH"/>
              </w:rPr>
            </w:pPr>
            <w:r w:rsidRPr="0071782F">
              <w:rPr>
                <w:sz w:val="18"/>
                <w:lang w:val="fr-CH"/>
              </w:rPr>
              <w:t>Heures</w:t>
            </w:r>
          </w:p>
        </w:tc>
        <w:tc>
          <w:tcPr>
            <w:tcW w:w="1400"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51 973</w:t>
            </w:r>
          </w:p>
        </w:tc>
        <w:tc>
          <w:tcPr>
            <w:tcW w:w="2104" w:type="dxa"/>
            <w:tcBorders>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w:t>
            </w:r>
            <w:r w:rsidR="00881286" w:rsidRPr="0071782F">
              <w:rPr>
                <w:sz w:val="18"/>
                <w:lang w:val="fr-CH"/>
              </w:rPr>
              <w:t>,</w:t>
            </w:r>
            <w:r w:rsidRPr="0071782F">
              <w:rPr>
                <w:sz w:val="18"/>
                <w:lang w:val="fr-CH"/>
              </w:rPr>
              <w:t>2</w:t>
            </w:r>
          </w:p>
        </w:tc>
      </w:tr>
      <w:tr w:rsidR="00963C03" w:rsidRPr="0071782F">
        <w:tc>
          <w:tcPr>
            <w:tcW w:w="3261" w:type="dxa"/>
            <w:tcBorders>
              <w:top w:val="nil"/>
              <w:bottom w:val="nil"/>
            </w:tcBorders>
            <w:shd w:val="clear" w:color="auto" w:fill="auto"/>
          </w:tcPr>
          <w:p w:rsidR="00963C03" w:rsidRPr="0071782F" w:rsidRDefault="00485992" w:rsidP="00881286">
            <w:pPr>
              <w:suppressAutoHyphens w:val="0"/>
              <w:spacing w:before="40" w:after="40" w:line="220" w:lineRule="exact"/>
              <w:rPr>
                <w:sz w:val="18"/>
                <w:lang w:val="fr-CH"/>
              </w:rPr>
            </w:pPr>
            <w:r w:rsidRPr="0071782F">
              <w:rPr>
                <w:sz w:val="18"/>
                <w:lang w:val="fr-CH"/>
              </w:rPr>
              <w:t>Diffusion d’émissions de té</w:t>
            </w:r>
            <w:r w:rsidR="00963C03" w:rsidRPr="0071782F">
              <w:rPr>
                <w:sz w:val="18"/>
                <w:lang w:val="fr-CH"/>
              </w:rPr>
              <w:t>l</w:t>
            </w:r>
            <w:r w:rsidRPr="0071782F">
              <w:rPr>
                <w:sz w:val="18"/>
                <w:lang w:val="fr-CH"/>
              </w:rPr>
              <w:t>é</w:t>
            </w:r>
            <w:r w:rsidR="00963C03" w:rsidRPr="0071782F">
              <w:rPr>
                <w:sz w:val="18"/>
                <w:lang w:val="fr-CH"/>
              </w:rPr>
              <w:t xml:space="preserve">vision </w:t>
            </w:r>
          </w:p>
        </w:tc>
        <w:tc>
          <w:tcPr>
            <w:tcW w:w="605" w:type="dxa"/>
            <w:tcBorders>
              <w:top w:val="nil"/>
              <w:bottom w:val="nil"/>
            </w:tcBorders>
            <w:shd w:val="clear" w:color="auto" w:fill="auto"/>
            <w:vAlign w:val="bottom"/>
          </w:tcPr>
          <w:p w:rsidR="00963C03" w:rsidRPr="0071782F" w:rsidRDefault="00485992" w:rsidP="00881286">
            <w:pPr>
              <w:suppressAutoHyphens w:val="0"/>
              <w:spacing w:before="40" w:after="40" w:line="220" w:lineRule="exact"/>
              <w:rPr>
                <w:sz w:val="18"/>
                <w:lang w:val="fr-CH"/>
              </w:rPr>
            </w:pPr>
            <w:r w:rsidRPr="0071782F">
              <w:rPr>
                <w:sz w:val="18"/>
                <w:lang w:val="fr-CH"/>
              </w:rPr>
              <w:t>Heures</w:t>
            </w:r>
          </w:p>
        </w:tc>
        <w:tc>
          <w:tcPr>
            <w:tcW w:w="1400"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136 172</w:t>
            </w:r>
          </w:p>
        </w:tc>
        <w:tc>
          <w:tcPr>
            <w:tcW w:w="2104"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10</w:t>
            </w:r>
            <w:r w:rsidR="00881286" w:rsidRPr="0071782F">
              <w:rPr>
                <w:sz w:val="18"/>
                <w:lang w:val="fr-CH"/>
              </w:rPr>
              <w:t>,</w:t>
            </w:r>
            <w:r w:rsidRPr="0071782F">
              <w:rPr>
                <w:sz w:val="18"/>
                <w:lang w:val="fr-CH"/>
              </w:rPr>
              <w:t>7</w:t>
            </w:r>
          </w:p>
        </w:tc>
      </w:tr>
      <w:tr w:rsidR="00963C03" w:rsidRPr="0071782F">
        <w:tc>
          <w:tcPr>
            <w:tcW w:w="3261" w:type="dxa"/>
            <w:tcBorders>
              <w:top w:val="nil"/>
            </w:tcBorders>
            <w:shd w:val="clear" w:color="auto" w:fill="auto"/>
          </w:tcPr>
          <w:p w:rsidR="00963C03" w:rsidRPr="0071782F" w:rsidRDefault="00485992" w:rsidP="00881286">
            <w:pPr>
              <w:suppressAutoHyphens w:val="0"/>
              <w:spacing w:before="40" w:after="40" w:line="220" w:lineRule="exact"/>
              <w:rPr>
                <w:sz w:val="18"/>
                <w:lang w:val="fr-CH"/>
              </w:rPr>
            </w:pPr>
            <w:r w:rsidRPr="0071782F">
              <w:rPr>
                <w:sz w:val="18"/>
                <w:lang w:val="fr-CH"/>
              </w:rPr>
              <w:t>Émissions i</w:t>
            </w:r>
            <w:r w:rsidR="00963C03" w:rsidRPr="0071782F">
              <w:rPr>
                <w:sz w:val="18"/>
                <w:lang w:val="fr-CH"/>
              </w:rPr>
              <w:t>nternational</w:t>
            </w:r>
            <w:r w:rsidRPr="0071782F">
              <w:rPr>
                <w:sz w:val="18"/>
                <w:lang w:val="fr-CH"/>
              </w:rPr>
              <w:t>es</w:t>
            </w:r>
          </w:p>
        </w:tc>
        <w:tc>
          <w:tcPr>
            <w:tcW w:w="605" w:type="dxa"/>
            <w:tcBorders>
              <w:top w:val="nil"/>
            </w:tcBorders>
            <w:shd w:val="clear" w:color="auto" w:fill="auto"/>
            <w:vAlign w:val="bottom"/>
          </w:tcPr>
          <w:p w:rsidR="00963C03" w:rsidRPr="0071782F" w:rsidRDefault="00963C03" w:rsidP="00881286">
            <w:pPr>
              <w:suppressAutoHyphens w:val="0"/>
              <w:spacing w:before="40" w:after="40" w:line="220" w:lineRule="exact"/>
              <w:rPr>
                <w:sz w:val="18"/>
                <w:lang w:val="fr-CH"/>
              </w:rPr>
            </w:pPr>
          </w:p>
        </w:tc>
        <w:tc>
          <w:tcPr>
            <w:tcW w:w="1400"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c>
          <w:tcPr>
            <w:tcW w:w="2104" w:type="dxa"/>
            <w:tcBorders>
              <w:top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p>
        </w:tc>
      </w:tr>
      <w:tr w:rsidR="00963C03" w:rsidRPr="0071782F">
        <w:tc>
          <w:tcPr>
            <w:tcW w:w="3261" w:type="dxa"/>
            <w:shd w:val="clear" w:color="auto" w:fill="auto"/>
          </w:tcPr>
          <w:p w:rsidR="00963C03" w:rsidRPr="0071782F" w:rsidRDefault="00485992" w:rsidP="00881286">
            <w:pPr>
              <w:suppressAutoHyphens w:val="0"/>
              <w:spacing w:before="40" w:after="40" w:line="220" w:lineRule="exact"/>
              <w:rPr>
                <w:sz w:val="18"/>
                <w:lang w:val="fr-CH"/>
              </w:rPr>
            </w:pPr>
            <w:r w:rsidRPr="0071782F">
              <w:rPr>
                <w:sz w:val="18"/>
                <w:lang w:val="fr-CH"/>
              </w:rPr>
              <w:t>Production d’émissions de radio</w:t>
            </w:r>
          </w:p>
        </w:tc>
        <w:tc>
          <w:tcPr>
            <w:tcW w:w="605" w:type="dxa"/>
            <w:shd w:val="clear" w:color="auto" w:fill="auto"/>
            <w:vAlign w:val="bottom"/>
          </w:tcPr>
          <w:p w:rsidR="00963C03" w:rsidRPr="0071782F" w:rsidRDefault="00485992" w:rsidP="00881286">
            <w:pPr>
              <w:suppressAutoHyphens w:val="0"/>
              <w:spacing w:before="40" w:after="40" w:line="220" w:lineRule="exact"/>
              <w:rPr>
                <w:sz w:val="18"/>
                <w:lang w:val="fr-CH"/>
              </w:rPr>
            </w:pPr>
            <w:r w:rsidRPr="0071782F">
              <w:rPr>
                <w:sz w:val="18"/>
                <w:lang w:val="fr-CH"/>
              </w:rPr>
              <w:t>Heures</w:t>
            </w:r>
          </w:p>
        </w:tc>
        <w:tc>
          <w:tcPr>
            <w:tcW w:w="140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26 943</w:t>
            </w:r>
          </w:p>
        </w:tc>
        <w:tc>
          <w:tcPr>
            <w:tcW w:w="210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35</w:t>
            </w:r>
            <w:r w:rsidR="00881286" w:rsidRPr="0071782F">
              <w:rPr>
                <w:sz w:val="18"/>
                <w:lang w:val="fr-CH"/>
              </w:rPr>
              <w:t>,</w:t>
            </w:r>
            <w:r w:rsidRPr="0071782F">
              <w:rPr>
                <w:sz w:val="18"/>
                <w:lang w:val="fr-CH"/>
              </w:rPr>
              <w:t>8</w:t>
            </w:r>
          </w:p>
        </w:tc>
      </w:tr>
      <w:tr w:rsidR="00963C03" w:rsidRPr="0071782F">
        <w:tc>
          <w:tcPr>
            <w:tcW w:w="3261" w:type="dxa"/>
            <w:shd w:val="clear" w:color="auto" w:fill="auto"/>
          </w:tcPr>
          <w:p w:rsidR="00963C03" w:rsidRPr="0071782F" w:rsidRDefault="00485992" w:rsidP="00881286">
            <w:pPr>
              <w:suppressAutoHyphens w:val="0"/>
              <w:spacing w:before="40" w:after="40" w:line="220" w:lineRule="exact"/>
              <w:rPr>
                <w:sz w:val="18"/>
                <w:lang w:val="fr-CH"/>
              </w:rPr>
            </w:pPr>
            <w:r w:rsidRPr="0071782F">
              <w:rPr>
                <w:sz w:val="18"/>
                <w:lang w:val="fr-CH"/>
              </w:rPr>
              <w:t>Diffusion d’émissions de radio</w:t>
            </w:r>
          </w:p>
        </w:tc>
        <w:tc>
          <w:tcPr>
            <w:tcW w:w="605" w:type="dxa"/>
            <w:shd w:val="clear" w:color="auto" w:fill="auto"/>
            <w:vAlign w:val="bottom"/>
          </w:tcPr>
          <w:p w:rsidR="00963C03" w:rsidRPr="0071782F" w:rsidRDefault="00485992" w:rsidP="00881286">
            <w:pPr>
              <w:suppressAutoHyphens w:val="0"/>
              <w:spacing w:before="40" w:after="40" w:line="220" w:lineRule="exact"/>
              <w:rPr>
                <w:sz w:val="18"/>
                <w:lang w:val="fr-CH"/>
              </w:rPr>
            </w:pPr>
            <w:r w:rsidRPr="0071782F">
              <w:rPr>
                <w:sz w:val="18"/>
                <w:lang w:val="fr-CH"/>
              </w:rPr>
              <w:t>Heures</w:t>
            </w:r>
          </w:p>
        </w:tc>
        <w:tc>
          <w:tcPr>
            <w:tcW w:w="140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52 751</w:t>
            </w:r>
          </w:p>
        </w:tc>
        <w:tc>
          <w:tcPr>
            <w:tcW w:w="210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20</w:t>
            </w:r>
            <w:r w:rsidR="00881286" w:rsidRPr="0071782F">
              <w:rPr>
                <w:sz w:val="18"/>
                <w:lang w:val="fr-CH"/>
              </w:rPr>
              <w:t>,</w:t>
            </w:r>
            <w:r w:rsidRPr="0071782F">
              <w:rPr>
                <w:sz w:val="18"/>
                <w:lang w:val="fr-CH"/>
              </w:rPr>
              <w:t>2</w:t>
            </w:r>
          </w:p>
        </w:tc>
      </w:tr>
      <w:tr w:rsidR="00963C03" w:rsidRPr="0071782F">
        <w:tc>
          <w:tcPr>
            <w:tcW w:w="3261" w:type="dxa"/>
            <w:shd w:val="clear" w:color="auto" w:fill="auto"/>
          </w:tcPr>
          <w:p w:rsidR="00963C03" w:rsidRPr="0071782F" w:rsidRDefault="00485992" w:rsidP="00881286">
            <w:pPr>
              <w:suppressAutoHyphens w:val="0"/>
              <w:spacing w:before="40" w:after="40" w:line="220" w:lineRule="exact"/>
              <w:rPr>
                <w:sz w:val="18"/>
                <w:lang w:val="fr-CH"/>
              </w:rPr>
            </w:pPr>
            <w:r w:rsidRPr="0071782F">
              <w:rPr>
                <w:sz w:val="18"/>
                <w:lang w:val="fr-CH"/>
              </w:rPr>
              <w:t>Production d’émissions de télévision</w:t>
            </w:r>
          </w:p>
        </w:tc>
        <w:tc>
          <w:tcPr>
            <w:tcW w:w="605" w:type="dxa"/>
            <w:shd w:val="clear" w:color="auto" w:fill="auto"/>
            <w:vAlign w:val="bottom"/>
          </w:tcPr>
          <w:p w:rsidR="00963C03" w:rsidRPr="0071782F" w:rsidRDefault="00485992" w:rsidP="00881286">
            <w:pPr>
              <w:suppressAutoHyphens w:val="0"/>
              <w:spacing w:before="40" w:after="40" w:line="220" w:lineRule="exact"/>
              <w:rPr>
                <w:sz w:val="18"/>
                <w:lang w:val="fr-CH"/>
              </w:rPr>
            </w:pPr>
            <w:r w:rsidRPr="0071782F">
              <w:rPr>
                <w:sz w:val="18"/>
                <w:lang w:val="fr-CH"/>
              </w:rPr>
              <w:t>Heures</w:t>
            </w:r>
          </w:p>
        </w:tc>
        <w:tc>
          <w:tcPr>
            <w:tcW w:w="140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8 732</w:t>
            </w:r>
          </w:p>
        </w:tc>
        <w:tc>
          <w:tcPr>
            <w:tcW w:w="210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8</w:t>
            </w:r>
            <w:r w:rsidR="00881286" w:rsidRPr="0071782F">
              <w:rPr>
                <w:sz w:val="18"/>
                <w:lang w:val="fr-CH"/>
              </w:rPr>
              <w:t>,</w:t>
            </w:r>
            <w:r w:rsidRPr="0071782F">
              <w:rPr>
                <w:sz w:val="18"/>
                <w:lang w:val="fr-CH"/>
              </w:rPr>
              <w:t>5</w:t>
            </w:r>
          </w:p>
        </w:tc>
      </w:tr>
      <w:tr w:rsidR="00963C03" w:rsidRPr="0071782F">
        <w:tc>
          <w:tcPr>
            <w:tcW w:w="3261" w:type="dxa"/>
            <w:shd w:val="clear" w:color="auto" w:fill="auto"/>
          </w:tcPr>
          <w:p w:rsidR="00963C03" w:rsidRPr="0071782F" w:rsidRDefault="00485992" w:rsidP="00881286">
            <w:pPr>
              <w:suppressAutoHyphens w:val="0"/>
              <w:spacing w:before="40" w:after="40" w:line="220" w:lineRule="exact"/>
              <w:rPr>
                <w:sz w:val="18"/>
                <w:lang w:val="fr-CH"/>
              </w:rPr>
            </w:pPr>
            <w:r w:rsidRPr="0071782F">
              <w:rPr>
                <w:sz w:val="18"/>
                <w:lang w:val="fr-CH"/>
              </w:rPr>
              <w:t>Diffusion d’émissions de télévision</w:t>
            </w:r>
          </w:p>
        </w:tc>
        <w:tc>
          <w:tcPr>
            <w:tcW w:w="605" w:type="dxa"/>
            <w:shd w:val="clear" w:color="auto" w:fill="auto"/>
            <w:vAlign w:val="bottom"/>
          </w:tcPr>
          <w:p w:rsidR="00963C03" w:rsidRPr="0071782F" w:rsidRDefault="00485992" w:rsidP="00881286">
            <w:pPr>
              <w:suppressAutoHyphens w:val="0"/>
              <w:spacing w:before="40" w:after="40" w:line="220" w:lineRule="exact"/>
              <w:rPr>
                <w:sz w:val="18"/>
                <w:lang w:val="fr-CH"/>
              </w:rPr>
            </w:pPr>
            <w:r w:rsidRPr="0071782F">
              <w:rPr>
                <w:sz w:val="18"/>
                <w:lang w:val="fr-CH"/>
              </w:rPr>
              <w:t>Heures</w:t>
            </w:r>
          </w:p>
        </w:tc>
        <w:tc>
          <w:tcPr>
            <w:tcW w:w="140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47 005</w:t>
            </w:r>
          </w:p>
        </w:tc>
        <w:tc>
          <w:tcPr>
            <w:tcW w:w="210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1</w:t>
            </w:r>
            <w:r w:rsidR="00881286" w:rsidRPr="0071782F">
              <w:rPr>
                <w:sz w:val="18"/>
                <w:lang w:val="fr-CH"/>
              </w:rPr>
              <w:t>,</w:t>
            </w:r>
            <w:r w:rsidRPr="0071782F">
              <w:rPr>
                <w:sz w:val="18"/>
                <w:lang w:val="fr-CH"/>
              </w:rPr>
              <w:t>8</w:t>
            </w:r>
          </w:p>
        </w:tc>
      </w:tr>
    </w:tbl>
    <w:p w:rsidR="00963C03" w:rsidRPr="0071782F" w:rsidRDefault="00963C03" w:rsidP="00BA46A5">
      <w:pPr>
        <w:suppressAutoHyphens w:val="0"/>
        <w:spacing w:before="120" w:after="240" w:line="240" w:lineRule="auto"/>
        <w:ind w:left="1134" w:right="1134" w:firstLine="170"/>
        <w:rPr>
          <w:sz w:val="18"/>
          <w:szCs w:val="18"/>
          <w:lang w:val="fr-CH"/>
        </w:rPr>
      </w:pPr>
      <w:r w:rsidRPr="0071782F">
        <w:rPr>
          <w:i/>
          <w:sz w:val="18"/>
          <w:szCs w:val="18"/>
          <w:lang w:val="fr-CH"/>
        </w:rPr>
        <w:t>Source</w:t>
      </w:r>
      <w:r w:rsidR="008F7D33" w:rsidRPr="0071782F">
        <w:rPr>
          <w:i/>
          <w:sz w:val="18"/>
          <w:szCs w:val="18"/>
          <w:lang w:val="fr-CH"/>
        </w:rPr>
        <w:t>:</w:t>
      </w:r>
      <w:r w:rsidRPr="0071782F">
        <w:rPr>
          <w:sz w:val="18"/>
          <w:szCs w:val="18"/>
          <w:lang w:val="fr-CH"/>
        </w:rPr>
        <w:t xml:space="preserve"> </w:t>
      </w:r>
      <w:r w:rsidR="00485992" w:rsidRPr="0071782F">
        <w:rPr>
          <w:sz w:val="18"/>
          <w:szCs w:val="18"/>
          <w:lang w:val="fr-CH"/>
        </w:rPr>
        <w:t>Organisme de radiodiffusion de la République islamique d’Iran</w:t>
      </w:r>
      <w:r w:rsidRPr="0071782F">
        <w:rPr>
          <w:sz w:val="18"/>
          <w:szCs w:val="18"/>
          <w:lang w:val="fr-CH"/>
        </w:rPr>
        <w:t>.</w:t>
      </w:r>
    </w:p>
    <w:p w:rsidR="00963C03" w:rsidRPr="0071782F" w:rsidRDefault="00963C03" w:rsidP="006E4143">
      <w:pPr>
        <w:pStyle w:val="H23G"/>
        <w:rPr>
          <w:lang w:val="fr-CH"/>
        </w:rPr>
      </w:pPr>
      <w:r w:rsidRPr="0071782F">
        <w:rPr>
          <w:lang w:val="fr-CH"/>
        </w:rPr>
        <w:tab/>
      </w:r>
      <w:r w:rsidRPr="0071782F">
        <w:rPr>
          <w:lang w:val="fr-CH"/>
        </w:rPr>
        <w:tab/>
      </w:r>
      <w:r w:rsidR="00485992" w:rsidRPr="0071782F">
        <w:rPr>
          <w:lang w:val="fr-CH"/>
        </w:rPr>
        <w:t xml:space="preserve">Indicateurs de l’Organisme de radiodiffusion de la République islamique d’Iran en </w:t>
      </w:r>
      <w:r w:rsidRPr="0071782F">
        <w:rPr>
          <w:lang w:val="fr-CH"/>
        </w:rPr>
        <w:t>2006</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261"/>
        <w:gridCol w:w="605"/>
        <w:gridCol w:w="1400"/>
        <w:gridCol w:w="2104"/>
      </w:tblGrid>
      <w:tr w:rsidR="00963C03" w:rsidRPr="0071782F">
        <w:trPr>
          <w:tblHeader/>
        </w:trPr>
        <w:tc>
          <w:tcPr>
            <w:tcW w:w="3261" w:type="dxa"/>
            <w:tcBorders>
              <w:top w:val="single" w:sz="4" w:space="0" w:color="auto"/>
              <w:bottom w:val="single" w:sz="12" w:space="0" w:color="auto"/>
            </w:tcBorders>
            <w:shd w:val="clear" w:color="auto" w:fill="auto"/>
            <w:vAlign w:val="bottom"/>
          </w:tcPr>
          <w:p w:rsidR="00963C03" w:rsidRPr="0071782F" w:rsidRDefault="00963C03" w:rsidP="006E4143">
            <w:pPr>
              <w:keepNext/>
              <w:suppressAutoHyphens w:val="0"/>
              <w:spacing w:before="80" w:after="80" w:line="200" w:lineRule="exact"/>
              <w:rPr>
                <w:i/>
                <w:sz w:val="16"/>
                <w:lang w:val="fr-CH"/>
              </w:rPr>
            </w:pPr>
            <w:r w:rsidRPr="0071782F">
              <w:rPr>
                <w:i/>
                <w:sz w:val="16"/>
                <w:lang w:val="fr-CH"/>
              </w:rPr>
              <w:t>Indicat</w:t>
            </w:r>
            <w:r w:rsidR="00485992" w:rsidRPr="0071782F">
              <w:rPr>
                <w:i/>
                <w:sz w:val="16"/>
                <w:lang w:val="fr-CH"/>
              </w:rPr>
              <w:t>eu</w:t>
            </w:r>
            <w:r w:rsidRPr="0071782F">
              <w:rPr>
                <w:i/>
                <w:sz w:val="16"/>
                <w:lang w:val="fr-CH"/>
              </w:rPr>
              <w:t>r</w:t>
            </w:r>
          </w:p>
        </w:tc>
        <w:tc>
          <w:tcPr>
            <w:tcW w:w="605" w:type="dxa"/>
            <w:tcBorders>
              <w:top w:val="single" w:sz="4" w:space="0" w:color="auto"/>
              <w:bottom w:val="single" w:sz="12" w:space="0" w:color="auto"/>
            </w:tcBorders>
            <w:shd w:val="clear" w:color="auto" w:fill="auto"/>
            <w:vAlign w:val="bottom"/>
          </w:tcPr>
          <w:p w:rsidR="00963C03" w:rsidRPr="0071782F" w:rsidRDefault="00963C03" w:rsidP="006E4143">
            <w:pPr>
              <w:keepNext/>
              <w:suppressAutoHyphens w:val="0"/>
              <w:spacing w:before="80" w:after="80" w:line="200" w:lineRule="exact"/>
              <w:rPr>
                <w:i/>
                <w:sz w:val="16"/>
                <w:lang w:val="fr-CH"/>
              </w:rPr>
            </w:pPr>
            <w:r w:rsidRPr="0071782F">
              <w:rPr>
                <w:i/>
                <w:sz w:val="16"/>
                <w:lang w:val="fr-CH"/>
              </w:rPr>
              <w:t>Unit</w:t>
            </w:r>
            <w:r w:rsidR="00485992" w:rsidRPr="0071782F">
              <w:rPr>
                <w:i/>
                <w:sz w:val="16"/>
                <w:lang w:val="fr-CH"/>
              </w:rPr>
              <w:t>é</w:t>
            </w:r>
          </w:p>
        </w:tc>
        <w:tc>
          <w:tcPr>
            <w:tcW w:w="1400" w:type="dxa"/>
            <w:tcBorders>
              <w:top w:val="single" w:sz="4" w:space="0" w:color="auto"/>
              <w:bottom w:val="single" w:sz="12" w:space="0" w:color="auto"/>
            </w:tcBorders>
            <w:shd w:val="clear" w:color="auto" w:fill="auto"/>
            <w:vAlign w:val="bottom"/>
          </w:tcPr>
          <w:p w:rsidR="00963C03" w:rsidRPr="0071782F" w:rsidRDefault="00485992" w:rsidP="006E4143">
            <w:pPr>
              <w:keepNext/>
              <w:suppressAutoHyphens w:val="0"/>
              <w:spacing w:before="80" w:after="80" w:line="200" w:lineRule="exact"/>
              <w:jc w:val="right"/>
              <w:rPr>
                <w:i/>
                <w:sz w:val="16"/>
                <w:lang w:val="fr-CH"/>
              </w:rPr>
            </w:pPr>
            <w:r w:rsidRPr="0071782F">
              <w:rPr>
                <w:i/>
                <w:sz w:val="16"/>
                <w:lang w:val="fr-CH"/>
              </w:rPr>
              <w:t>Nombre</w:t>
            </w:r>
          </w:p>
        </w:tc>
        <w:tc>
          <w:tcPr>
            <w:tcW w:w="2104" w:type="dxa"/>
            <w:tcBorders>
              <w:top w:val="single" w:sz="4" w:space="0" w:color="auto"/>
              <w:bottom w:val="single" w:sz="12" w:space="0" w:color="auto"/>
            </w:tcBorders>
            <w:shd w:val="clear" w:color="auto" w:fill="auto"/>
            <w:vAlign w:val="bottom"/>
          </w:tcPr>
          <w:p w:rsidR="00963C03" w:rsidRPr="0071782F" w:rsidRDefault="00485992" w:rsidP="006E4143">
            <w:pPr>
              <w:keepNext/>
              <w:suppressAutoHyphens w:val="0"/>
              <w:spacing w:before="80" w:after="80" w:line="200" w:lineRule="exact"/>
              <w:jc w:val="right"/>
              <w:rPr>
                <w:i/>
                <w:sz w:val="16"/>
                <w:lang w:val="fr-CH"/>
              </w:rPr>
            </w:pPr>
            <w:r w:rsidRPr="0071782F">
              <w:rPr>
                <w:i/>
                <w:sz w:val="16"/>
                <w:lang w:val="fr-CH"/>
              </w:rPr>
              <w:t xml:space="preserve">Variation </w:t>
            </w:r>
            <w:r w:rsidR="00946A73">
              <w:rPr>
                <w:i/>
                <w:sz w:val="16"/>
                <w:lang w:val="fr-CH"/>
              </w:rPr>
              <w:t>en %</w:t>
            </w:r>
            <w:r w:rsidRPr="0071782F">
              <w:rPr>
                <w:i/>
                <w:sz w:val="16"/>
                <w:lang w:val="fr-CH"/>
              </w:rPr>
              <w:t xml:space="preserve"> par rapport à l’année antérieure</w:t>
            </w:r>
          </w:p>
        </w:tc>
      </w:tr>
      <w:tr w:rsidR="00963C03" w:rsidRPr="0071782F">
        <w:tc>
          <w:tcPr>
            <w:tcW w:w="3261" w:type="dxa"/>
            <w:tcBorders>
              <w:top w:val="single" w:sz="12" w:space="0" w:color="auto"/>
            </w:tcBorders>
            <w:shd w:val="clear" w:color="auto" w:fill="auto"/>
          </w:tcPr>
          <w:p w:rsidR="00963C03" w:rsidRPr="0071782F" w:rsidRDefault="00485992" w:rsidP="006E4143">
            <w:pPr>
              <w:keepNext/>
              <w:suppressAutoHyphens w:val="0"/>
              <w:spacing w:before="40" w:after="40" w:line="220" w:lineRule="exact"/>
              <w:rPr>
                <w:sz w:val="18"/>
                <w:lang w:val="fr-CH"/>
              </w:rPr>
            </w:pPr>
            <w:r w:rsidRPr="0071782F">
              <w:rPr>
                <w:sz w:val="18"/>
                <w:lang w:val="fr-CH"/>
              </w:rPr>
              <w:t>Émissions nationales</w:t>
            </w:r>
          </w:p>
        </w:tc>
        <w:tc>
          <w:tcPr>
            <w:tcW w:w="605" w:type="dxa"/>
            <w:tcBorders>
              <w:top w:val="single" w:sz="12" w:space="0" w:color="auto"/>
            </w:tcBorders>
            <w:shd w:val="clear" w:color="auto" w:fill="auto"/>
            <w:vAlign w:val="bottom"/>
          </w:tcPr>
          <w:p w:rsidR="00963C03" w:rsidRPr="0071782F" w:rsidRDefault="00963C03" w:rsidP="006E4143">
            <w:pPr>
              <w:keepNext/>
              <w:suppressAutoHyphens w:val="0"/>
              <w:spacing w:before="40" w:after="40" w:line="220" w:lineRule="exact"/>
              <w:rPr>
                <w:sz w:val="18"/>
                <w:lang w:val="fr-CH"/>
              </w:rPr>
            </w:pPr>
          </w:p>
        </w:tc>
        <w:tc>
          <w:tcPr>
            <w:tcW w:w="1400" w:type="dxa"/>
            <w:tcBorders>
              <w:top w:val="single" w:sz="12" w:space="0" w:color="auto"/>
            </w:tcBorders>
            <w:shd w:val="clear" w:color="auto" w:fill="auto"/>
            <w:vAlign w:val="bottom"/>
          </w:tcPr>
          <w:p w:rsidR="00963C03" w:rsidRPr="0071782F" w:rsidRDefault="00963C03" w:rsidP="006E4143">
            <w:pPr>
              <w:keepNext/>
              <w:suppressAutoHyphens w:val="0"/>
              <w:spacing w:before="40" w:after="40" w:line="220" w:lineRule="exact"/>
              <w:jc w:val="right"/>
              <w:rPr>
                <w:sz w:val="18"/>
                <w:lang w:val="fr-CH"/>
              </w:rPr>
            </w:pPr>
          </w:p>
        </w:tc>
        <w:tc>
          <w:tcPr>
            <w:tcW w:w="2104" w:type="dxa"/>
            <w:tcBorders>
              <w:top w:val="single" w:sz="12" w:space="0" w:color="auto"/>
            </w:tcBorders>
            <w:shd w:val="clear" w:color="auto" w:fill="auto"/>
            <w:vAlign w:val="bottom"/>
          </w:tcPr>
          <w:p w:rsidR="00963C03" w:rsidRPr="0071782F" w:rsidRDefault="00963C03" w:rsidP="006E4143">
            <w:pPr>
              <w:keepNext/>
              <w:suppressAutoHyphens w:val="0"/>
              <w:spacing w:before="40" w:after="40" w:line="220" w:lineRule="exact"/>
              <w:jc w:val="right"/>
              <w:rPr>
                <w:sz w:val="18"/>
                <w:lang w:val="fr-CH"/>
              </w:rPr>
            </w:pPr>
          </w:p>
        </w:tc>
      </w:tr>
      <w:tr w:rsidR="00963C03" w:rsidRPr="0071782F">
        <w:tc>
          <w:tcPr>
            <w:tcW w:w="3261" w:type="dxa"/>
            <w:shd w:val="clear" w:color="auto" w:fill="auto"/>
          </w:tcPr>
          <w:p w:rsidR="00963C03" w:rsidRPr="0071782F" w:rsidRDefault="00485992" w:rsidP="006E4143">
            <w:pPr>
              <w:keepNext/>
              <w:suppressAutoHyphens w:val="0"/>
              <w:spacing w:before="40" w:after="40" w:line="220" w:lineRule="exact"/>
              <w:rPr>
                <w:sz w:val="18"/>
                <w:lang w:val="fr-CH"/>
              </w:rPr>
            </w:pPr>
            <w:r w:rsidRPr="0071782F">
              <w:rPr>
                <w:sz w:val="18"/>
                <w:lang w:val="fr-CH"/>
              </w:rPr>
              <w:t>Production d’émissions de radio</w:t>
            </w:r>
          </w:p>
        </w:tc>
        <w:tc>
          <w:tcPr>
            <w:tcW w:w="605" w:type="dxa"/>
            <w:shd w:val="clear" w:color="auto" w:fill="auto"/>
            <w:vAlign w:val="bottom"/>
          </w:tcPr>
          <w:p w:rsidR="00963C03" w:rsidRPr="0071782F" w:rsidRDefault="00485992" w:rsidP="006E4143">
            <w:pPr>
              <w:keepNext/>
              <w:suppressAutoHyphens w:val="0"/>
              <w:spacing w:before="40" w:after="40" w:line="220" w:lineRule="exact"/>
              <w:rPr>
                <w:sz w:val="18"/>
                <w:lang w:val="fr-CH"/>
              </w:rPr>
            </w:pPr>
            <w:r w:rsidRPr="0071782F">
              <w:rPr>
                <w:sz w:val="18"/>
                <w:lang w:val="fr-CH"/>
              </w:rPr>
              <w:t>Heures</w:t>
            </w:r>
          </w:p>
        </w:tc>
        <w:tc>
          <w:tcPr>
            <w:tcW w:w="1400" w:type="dxa"/>
            <w:shd w:val="clear" w:color="auto" w:fill="auto"/>
            <w:vAlign w:val="bottom"/>
          </w:tcPr>
          <w:p w:rsidR="00963C03" w:rsidRPr="0071782F" w:rsidRDefault="00963C03" w:rsidP="006E4143">
            <w:pPr>
              <w:keepNext/>
              <w:suppressAutoHyphens w:val="0"/>
              <w:spacing w:before="40" w:after="40" w:line="220" w:lineRule="exact"/>
              <w:jc w:val="right"/>
              <w:rPr>
                <w:sz w:val="18"/>
                <w:lang w:val="fr-CH"/>
              </w:rPr>
            </w:pPr>
            <w:r w:rsidRPr="0071782F">
              <w:rPr>
                <w:sz w:val="18"/>
                <w:lang w:val="fr-CH"/>
              </w:rPr>
              <w:t>176 044</w:t>
            </w:r>
          </w:p>
        </w:tc>
        <w:tc>
          <w:tcPr>
            <w:tcW w:w="2104" w:type="dxa"/>
            <w:shd w:val="clear" w:color="auto" w:fill="auto"/>
            <w:vAlign w:val="bottom"/>
          </w:tcPr>
          <w:p w:rsidR="00963C03" w:rsidRPr="0071782F" w:rsidRDefault="00963C03" w:rsidP="006E4143">
            <w:pPr>
              <w:keepNext/>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9</w:t>
            </w:r>
            <w:r w:rsidR="00AE6307" w:rsidRPr="0071782F">
              <w:rPr>
                <w:i/>
                <w:sz w:val="18"/>
                <w:vertAlign w:val="superscript"/>
                <w:lang w:val="fr-CH"/>
              </w:rPr>
              <w:t>(1)</w:t>
            </w:r>
          </w:p>
        </w:tc>
      </w:tr>
      <w:tr w:rsidR="00963C03" w:rsidRPr="0071782F">
        <w:tc>
          <w:tcPr>
            <w:tcW w:w="3261" w:type="dxa"/>
            <w:shd w:val="clear" w:color="auto" w:fill="auto"/>
          </w:tcPr>
          <w:p w:rsidR="00963C03" w:rsidRPr="0071782F" w:rsidRDefault="00485992" w:rsidP="006E4143">
            <w:pPr>
              <w:keepNext/>
              <w:suppressAutoHyphens w:val="0"/>
              <w:spacing w:before="40" w:after="40" w:line="220" w:lineRule="exact"/>
              <w:rPr>
                <w:sz w:val="18"/>
                <w:lang w:val="fr-CH"/>
              </w:rPr>
            </w:pPr>
            <w:r w:rsidRPr="0071782F">
              <w:rPr>
                <w:sz w:val="18"/>
                <w:lang w:val="fr-CH"/>
              </w:rPr>
              <w:t>Diffusion d’émissions de radio</w:t>
            </w:r>
          </w:p>
        </w:tc>
        <w:tc>
          <w:tcPr>
            <w:tcW w:w="605" w:type="dxa"/>
            <w:shd w:val="clear" w:color="auto" w:fill="auto"/>
            <w:vAlign w:val="bottom"/>
          </w:tcPr>
          <w:p w:rsidR="00963C03" w:rsidRPr="0071782F" w:rsidRDefault="00485992" w:rsidP="006E4143">
            <w:pPr>
              <w:keepNext/>
              <w:suppressAutoHyphens w:val="0"/>
              <w:spacing w:before="40" w:after="40" w:line="220" w:lineRule="exact"/>
              <w:rPr>
                <w:sz w:val="18"/>
                <w:lang w:val="fr-CH"/>
              </w:rPr>
            </w:pPr>
            <w:r w:rsidRPr="0071782F">
              <w:rPr>
                <w:sz w:val="18"/>
                <w:lang w:val="fr-CH"/>
              </w:rPr>
              <w:t>Heures</w:t>
            </w:r>
          </w:p>
        </w:tc>
        <w:tc>
          <w:tcPr>
            <w:tcW w:w="1400" w:type="dxa"/>
            <w:shd w:val="clear" w:color="auto" w:fill="auto"/>
            <w:vAlign w:val="bottom"/>
          </w:tcPr>
          <w:p w:rsidR="00963C03" w:rsidRPr="0071782F" w:rsidRDefault="00963C03" w:rsidP="006E4143">
            <w:pPr>
              <w:keepNext/>
              <w:suppressAutoHyphens w:val="0"/>
              <w:spacing w:before="40" w:after="40" w:line="220" w:lineRule="exact"/>
              <w:jc w:val="right"/>
              <w:rPr>
                <w:sz w:val="18"/>
                <w:lang w:val="fr-CH"/>
              </w:rPr>
            </w:pPr>
            <w:r w:rsidRPr="0071782F">
              <w:rPr>
                <w:sz w:val="18"/>
                <w:lang w:val="fr-CH"/>
              </w:rPr>
              <w:t>218 278</w:t>
            </w:r>
          </w:p>
        </w:tc>
        <w:tc>
          <w:tcPr>
            <w:tcW w:w="2104" w:type="dxa"/>
            <w:shd w:val="clear" w:color="auto" w:fill="auto"/>
            <w:vAlign w:val="bottom"/>
          </w:tcPr>
          <w:p w:rsidR="00963C03" w:rsidRPr="0071782F" w:rsidRDefault="00963C03" w:rsidP="006E4143">
            <w:pPr>
              <w:keepNext/>
              <w:suppressAutoHyphens w:val="0"/>
              <w:spacing w:before="40" w:after="40" w:line="220" w:lineRule="exact"/>
              <w:jc w:val="right"/>
              <w:rPr>
                <w:sz w:val="18"/>
                <w:lang w:val="fr-CH"/>
              </w:rPr>
            </w:pPr>
            <w:r w:rsidRPr="0071782F">
              <w:rPr>
                <w:sz w:val="18"/>
                <w:lang w:val="fr-CH"/>
              </w:rPr>
              <w:t>1</w:t>
            </w:r>
            <w:r w:rsidR="00881286" w:rsidRPr="0071782F">
              <w:rPr>
                <w:sz w:val="18"/>
                <w:lang w:val="fr-CH"/>
              </w:rPr>
              <w:t>,</w:t>
            </w:r>
            <w:r w:rsidRPr="0071782F">
              <w:rPr>
                <w:sz w:val="18"/>
                <w:lang w:val="fr-CH"/>
              </w:rPr>
              <w:t>2</w:t>
            </w:r>
            <w:r w:rsidR="00AE6307" w:rsidRPr="0071782F">
              <w:rPr>
                <w:i/>
                <w:sz w:val="18"/>
                <w:vertAlign w:val="superscript"/>
                <w:lang w:val="fr-CH"/>
              </w:rPr>
              <w:t>(1)</w:t>
            </w:r>
          </w:p>
        </w:tc>
      </w:tr>
      <w:tr w:rsidR="00963C03" w:rsidRPr="0071782F">
        <w:tc>
          <w:tcPr>
            <w:tcW w:w="3261" w:type="dxa"/>
            <w:tcBorders>
              <w:bottom w:val="nil"/>
            </w:tcBorders>
            <w:shd w:val="clear" w:color="auto" w:fill="auto"/>
          </w:tcPr>
          <w:p w:rsidR="00963C03" w:rsidRPr="0071782F" w:rsidRDefault="00485992" w:rsidP="006E4143">
            <w:pPr>
              <w:keepNext/>
              <w:suppressAutoHyphens w:val="0"/>
              <w:spacing w:before="40" w:after="40" w:line="220" w:lineRule="exact"/>
              <w:rPr>
                <w:sz w:val="18"/>
                <w:lang w:val="fr-CH"/>
              </w:rPr>
            </w:pPr>
            <w:r w:rsidRPr="0071782F">
              <w:rPr>
                <w:sz w:val="18"/>
                <w:lang w:val="fr-CH"/>
              </w:rPr>
              <w:t>Production d’émissions de télévision</w:t>
            </w:r>
          </w:p>
        </w:tc>
        <w:tc>
          <w:tcPr>
            <w:tcW w:w="605" w:type="dxa"/>
            <w:tcBorders>
              <w:bottom w:val="nil"/>
            </w:tcBorders>
            <w:shd w:val="clear" w:color="auto" w:fill="auto"/>
            <w:vAlign w:val="bottom"/>
          </w:tcPr>
          <w:p w:rsidR="00963C03" w:rsidRPr="0071782F" w:rsidRDefault="00485992" w:rsidP="006E4143">
            <w:pPr>
              <w:keepNext/>
              <w:suppressAutoHyphens w:val="0"/>
              <w:spacing w:before="40" w:after="40" w:line="220" w:lineRule="exact"/>
              <w:rPr>
                <w:sz w:val="18"/>
                <w:lang w:val="fr-CH"/>
              </w:rPr>
            </w:pPr>
            <w:r w:rsidRPr="0071782F">
              <w:rPr>
                <w:sz w:val="18"/>
                <w:lang w:val="fr-CH"/>
              </w:rPr>
              <w:t>Heures</w:t>
            </w:r>
          </w:p>
        </w:tc>
        <w:tc>
          <w:tcPr>
            <w:tcW w:w="1400" w:type="dxa"/>
            <w:tcBorders>
              <w:bottom w:val="nil"/>
            </w:tcBorders>
            <w:shd w:val="clear" w:color="auto" w:fill="auto"/>
            <w:vAlign w:val="bottom"/>
          </w:tcPr>
          <w:p w:rsidR="00963C03" w:rsidRPr="0071782F" w:rsidRDefault="00963C03" w:rsidP="006E4143">
            <w:pPr>
              <w:keepNext/>
              <w:suppressAutoHyphens w:val="0"/>
              <w:spacing w:before="40" w:after="40" w:line="220" w:lineRule="exact"/>
              <w:jc w:val="right"/>
              <w:rPr>
                <w:sz w:val="18"/>
                <w:lang w:val="fr-CH"/>
              </w:rPr>
            </w:pPr>
            <w:r w:rsidRPr="0071782F">
              <w:rPr>
                <w:sz w:val="18"/>
                <w:lang w:val="fr-CH"/>
              </w:rPr>
              <w:t>57 596</w:t>
            </w:r>
          </w:p>
        </w:tc>
        <w:tc>
          <w:tcPr>
            <w:tcW w:w="2104" w:type="dxa"/>
            <w:tcBorders>
              <w:bottom w:val="nil"/>
            </w:tcBorders>
            <w:shd w:val="clear" w:color="auto" w:fill="auto"/>
            <w:vAlign w:val="bottom"/>
          </w:tcPr>
          <w:p w:rsidR="00963C03" w:rsidRPr="0071782F" w:rsidRDefault="00963C03" w:rsidP="006E4143">
            <w:pPr>
              <w:keepNext/>
              <w:suppressAutoHyphens w:val="0"/>
              <w:spacing w:before="40" w:after="40" w:line="220" w:lineRule="exact"/>
              <w:jc w:val="right"/>
              <w:rPr>
                <w:sz w:val="18"/>
                <w:lang w:val="fr-CH"/>
              </w:rPr>
            </w:pPr>
            <w:r w:rsidRPr="0071782F">
              <w:rPr>
                <w:sz w:val="18"/>
                <w:lang w:val="fr-CH"/>
              </w:rPr>
              <w:t>10</w:t>
            </w:r>
            <w:r w:rsidR="00881286" w:rsidRPr="0071782F">
              <w:rPr>
                <w:sz w:val="18"/>
                <w:lang w:val="fr-CH"/>
              </w:rPr>
              <w:t>,</w:t>
            </w:r>
            <w:r w:rsidRPr="0071782F">
              <w:rPr>
                <w:sz w:val="18"/>
                <w:lang w:val="fr-CH"/>
              </w:rPr>
              <w:t>9</w:t>
            </w:r>
            <w:r w:rsidR="00AE6307" w:rsidRPr="0071782F">
              <w:rPr>
                <w:i/>
                <w:sz w:val="18"/>
                <w:vertAlign w:val="superscript"/>
                <w:lang w:val="fr-CH"/>
              </w:rPr>
              <w:t>(1)</w:t>
            </w:r>
          </w:p>
        </w:tc>
      </w:tr>
      <w:tr w:rsidR="00963C03" w:rsidRPr="0071782F">
        <w:tc>
          <w:tcPr>
            <w:tcW w:w="3261" w:type="dxa"/>
            <w:tcBorders>
              <w:top w:val="nil"/>
              <w:bottom w:val="nil"/>
            </w:tcBorders>
            <w:shd w:val="clear" w:color="auto" w:fill="auto"/>
          </w:tcPr>
          <w:p w:rsidR="00963C03" w:rsidRPr="0071782F" w:rsidRDefault="00485992" w:rsidP="006E4143">
            <w:pPr>
              <w:keepNext/>
              <w:suppressAutoHyphens w:val="0"/>
              <w:spacing w:before="40" w:after="40" w:line="220" w:lineRule="exact"/>
              <w:rPr>
                <w:sz w:val="18"/>
                <w:lang w:val="fr-CH"/>
              </w:rPr>
            </w:pPr>
            <w:r w:rsidRPr="0071782F">
              <w:rPr>
                <w:sz w:val="18"/>
                <w:lang w:val="fr-CH"/>
              </w:rPr>
              <w:t>Diffusion d’émissions de télévision</w:t>
            </w:r>
          </w:p>
        </w:tc>
        <w:tc>
          <w:tcPr>
            <w:tcW w:w="605" w:type="dxa"/>
            <w:tcBorders>
              <w:top w:val="nil"/>
              <w:bottom w:val="nil"/>
            </w:tcBorders>
            <w:shd w:val="clear" w:color="auto" w:fill="auto"/>
            <w:vAlign w:val="bottom"/>
          </w:tcPr>
          <w:p w:rsidR="00963C03" w:rsidRPr="0071782F" w:rsidRDefault="00485992" w:rsidP="006E4143">
            <w:pPr>
              <w:keepNext/>
              <w:suppressAutoHyphens w:val="0"/>
              <w:spacing w:before="40" w:after="40" w:line="220" w:lineRule="exact"/>
              <w:rPr>
                <w:sz w:val="18"/>
                <w:lang w:val="fr-CH"/>
              </w:rPr>
            </w:pPr>
            <w:r w:rsidRPr="0071782F">
              <w:rPr>
                <w:sz w:val="18"/>
                <w:lang w:val="fr-CH"/>
              </w:rPr>
              <w:t>Heures</w:t>
            </w:r>
          </w:p>
        </w:tc>
        <w:tc>
          <w:tcPr>
            <w:tcW w:w="1400" w:type="dxa"/>
            <w:tcBorders>
              <w:top w:val="nil"/>
              <w:bottom w:val="nil"/>
            </w:tcBorders>
            <w:shd w:val="clear" w:color="auto" w:fill="auto"/>
            <w:vAlign w:val="bottom"/>
          </w:tcPr>
          <w:p w:rsidR="00963C03" w:rsidRPr="0071782F" w:rsidRDefault="00963C03" w:rsidP="006E4143">
            <w:pPr>
              <w:keepNext/>
              <w:suppressAutoHyphens w:val="0"/>
              <w:spacing w:before="40" w:after="40" w:line="220" w:lineRule="exact"/>
              <w:jc w:val="right"/>
              <w:rPr>
                <w:sz w:val="18"/>
                <w:lang w:val="fr-CH"/>
              </w:rPr>
            </w:pPr>
            <w:r w:rsidRPr="0071782F">
              <w:rPr>
                <w:sz w:val="18"/>
                <w:lang w:val="fr-CH"/>
              </w:rPr>
              <w:t>144 985</w:t>
            </w:r>
          </w:p>
        </w:tc>
        <w:tc>
          <w:tcPr>
            <w:tcW w:w="2104" w:type="dxa"/>
            <w:tcBorders>
              <w:top w:val="nil"/>
              <w:bottom w:val="nil"/>
            </w:tcBorders>
            <w:shd w:val="clear" w:color="auto" w:fill="auto"/>
            <w:vAlign w:val="bottom"/>
          </w:tcPr>
          <w:p w:rsidR="00963C03" w:rsidRPr="0071782F" w:rsidRDefault="00963C03" w:rsidP="006E4143">
            <w:pPr>
              <w:keepNext/>
              <w:suppressAutoHyphens w:val="0"/>
              <w:spacing w:before="40" w:after="40" w:line="220" w:lineRule="exact"/>
              <w:jc w:val="right"/>
              <w:rPr>
                <w:sz w:val="18"/>
                <w:lang w:val="fr-CH"/>
              </w:rPr>
            </w:pPr>
            <w:r w:rsidRPr="0071782F">
              <w:rPr>
                <w:sz w:val="18"/>
                <w:lang w:val="fr-CH"/>
              </w:rPr>
              <w:t>10</w:t>
            </w:r>
            <w:r w:rsidR="00881286" w:rsidRPr="0071782F">
              <w:rPr>
                <w:sz w:val="18"/>
                <w:lang w:val="fr-CH"/>
              </w:rPr>
              <w:t>,</w:t>
            </w:r>
            <w:r w:rsidRPr="0071782F">
              <w:rPr>
                <w:sz w:val="18"/>
                <w:lang w:val="fr-CH"/>
              </w:rPr>
              <w:t>2</w:t>
            </w:r>
            <w:r w:rsidR="00AE6307" w:rsidRPr="0071782F">
              <w:rPr>
                <w:i/>
                <w:sz w:val="18"/>
                <w:vertAlign w:val="superscript"/>
                <w:lang w:val="fr-CH"/>
              </w:rPr>
              <w:t>(1)</w:t>
            </w:r>
          </w:p>
        </w:tc>
      </w:tr>
      <w:tr w:rsidR="00963C03" w:rsidRPr="0071782F">
        <w:tc>
          <w:tcPr>
            <w:tcW w:w="3261" w:type="dxa"/>
            <w:tcBorders>
              <w:top w:val="nil"/>
              <w:bottom w:val="nil"/>
            </w:tcBorders>
            <w:shd w:val="clear" w:color="auto" w:fill="auto"/>
          </w:tcPr>
          <w:p w:rsidR="00963C03" w:rsidRPr="0071782F" w:rsidRDefault="00485992" w:rsidP="006E4143">
            <w:pPr>
              <w:keepNext/>
              <w:suppressAutoHyphens w:val="0"/>
              <w:spacing w:before="40" w:after="40" w:line="220" w:lineRule="exact"/>
              <w:rPr>
                <w:sz w:val="18"/>
                <w:lang w:val="fr-CH"/>
              </w:rPr>
            </w:pPr>
            <w:r w:rsidRPr="0071782F">
              <w:rPr>
                <w:sz w:val="18"/>
                <w:lang w:val="fr-CH"/>
              </w:rPr>
              <w:t>Émissions internationales</w:t>
            </w:r>
          </w:p>
        </w:tc>
        <w:tc>
          <w:tcPr>
            <w:tcW w:w="605" w:type="dxa"/>
            <w:tcBorders>
              <w:top w:val="nil"/>
              <w:bottom w:val="nil"/>
            </w:tcBorders>
            <w:shd w:val="clear" w:color="auto" w:fill="auto"/>
            <w:vAlign w:val="bottom"/>
          </w:tcPr>
          <w:p w:rsidR="00963C03" w:rsidRPr="0071782F" w:rsidRDefault="00963C03" w:rsidP="006E4143">
            <w:pPr>
              <w:keepNext/>
              <w:suppressAutoHyphens w:val="0"/>
              <w:spacing w:before="40" w:after="40" w:line="220" w:lineRule="exact"/>
              <w:rPr>
                <w:sz w:val="18"/>
                <w:lang w:val="fr-CH"/>
              </w:rPr>
            </w:pPr>
          </w:p>
        </w:tc>
        <w:tc>
          <w:tcPr>
            <w:tcW w:w="1400" w:type="dxa"/>
            <w:tcBorders>
              <w:top w:val="nil"/>
              <w:bottom w:val="nil"/>
            </w:tcBorders>
            <w:shd w:val="clear" w:color="auto" w:fill="auto"/>
            <w:vAlign w:val="bottom"/>
          </w:tcPr>
          <w:p w:rsidR="00963C03" w:rsidRPr="0071782F" w:rsidRDefault="00963C03" w:rsidP="006E4143">
            <w:pPr>
              <w:keepNext/>
              <w:suppressAutoHyphens w:val="0"/>
              <w:spacing w:before="40" w:after="40" w:line="220" w:lineRule="exact"/>
              <w:jc w:val="right"/>
              <w:rPr>
                <w:sz w:val="18"/>
                <w:lang w:val="fr-CH"/>
              </w:rPr>
            </w:pPr>
          </w:p>
        </w:tc>
        <w:tc>
          <w:tcPr>
            <w:tcW w:w="2104" w:type="dxa"/>
            <w:tcBorders>
              <w:top w:val="nil"/>
              <w:bottom w:val="nil"/>
            </w:tcBorders>
            <w:shd w:val="clear" w:color="auto" w:fill="auto"/>
            <w:vAlign w:val="bottom"/>
          </w:tcPr>
          <w:p w:rsidR="00963C03" w:rsidRPr="0071782F" w:rsidRDefault="00963C03" w:rsidP="006E4143">
            <w:pPr>
              <w:keepNext/>
              <w:suppressAutoHyphens w:val="0"/>
              <w:spacing w:before="40" w:after="40" w:line="220" w:lineRule="exact"/>
              <w:jc w:val="right"/>
              <w:rPr>
                <w:sz w:val="18"/>
                <w:lang w:val="fr-CH"/>
              </w:rPr>
            </w:pPr>
          </w:p>
        </w:tc>
      </w:tr>
      <w:tr w:rsidR="00963C03" w:rsidRPr="0071782F">
        <w:tc>
          <w:tcPr>
            <w:tcW w:w="3261" w:type="dxa"/>
            <w:tcBorders>
              <w:top w:val="nil"/>
              <w:bottom w:val="nil"/>
            </w:tcBorders>
            <w:shd w:val="clear" w:color="auto" w:fill="auto"/>
          </w:tcPr>
          <w:p w:rsidR="00963C03" w:rsidRPr="0071782F" w:rsidRDefault="00485992" w:rsidP="00881286">
            <w:pPr>
              <w:suppressAutoHyphens w:val="0"/>
              <w:spacing w:before="40" w:after="40" w:line="220" w:lineRule="exact"/>
              <w:rPr>
                <w:sz w:val="18"/>
                <w:lang w:val="fr-CH"/>
              </w:rPr>
            </w:pPr>
            <w:r w:rsidRPr="0071782F">
              <w:rPr>
                <w:sz w:val="18"/>
                <w:lang w:val="fr-CH"/>
              </w:rPr>
              <w:t>Production d’émissions de radio</w:t>
            </w:r>
          </w:p>
        </w:tc>
        <w:tc>
          <w:tcPr>
            <w:tcW w:w="605" w:type="dxa"/>
            <w:tcBorders>
              <w:top w:val="nil"/>
              <w:bottom w:val="nil"/>
            </w:tcBorders>
            <w:shd w:val="clear" w:color="auto" w:fill="auto"/>
            <w:vAlign w:val="bottom"/>
          </w:tcPr>
          <w:p w:rsidR="00963C03" w:rsidRPr="0071782F" w:rsidRDefault="00485992" w:rsidP="00881286">
            <w:pPr>
              <w:suppressAutoHyphens w:val="0"/>
              <w:spacing w:before="40" w:after="40" w:line="220" w:lineRule="exact"/>
              <w:rPr>
                <w:sz w:val="18"/>
                <w:lang w:val="fr-CH"/>
              </w:rPr>
            </w:pPr>
            <w:r w:rsidRPr="0071782F">
              <w:rPr>
                <w:sz w:val="18"/>
                <w:lang w:val="fr-CH"/>
              </w:rPr>
              <w:t>Heures</w:t>
            </w:r>
          </w:p>
        </w:tc>
        <w:tc>
          <w:tcPr>
            <w:tcW w:w="1400"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27 191</w:t>
            </w:r>
          </w:p>
        </w:tc>
        <w:tc>
          <w:tcPr>
            <w:tcW w:w="2104" w:type="dxa"/>
            <w:tcBorders>
              <w:top w:val="nil"/>
              <w:bottom w:val="nil"/>
            </w:tcBorders>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9</w:t>
            </w:r>
          </w:p>
        </w:tc>
      </w:tr>
      <w:tr w:rsidR="00963C03" w:rsidRPr="0071782F">
        <w:tc>
          <w:tcPr>
            <w:tcW w:w="3261" w:type="dxa"/>
            <w:tcBorders>
              <w:top w:val="nil"/>
            </w:tcBorders>
            <w:shd w:val="clear" w:color="auto" w:fill="auto"/>
          </w:tcPr>
          <w:p w:rsidR="00963C03" w:rsidRPr="0071782F" w:rsidRDefault="00485992" w:rsidP="00881286">
            <w:pPr>
              <w:keepNext/>
              <w:suppressAutoHyphens w:val="0"/>
              <w:spacing w:before="40" w:after="40" w:line="220" w:lineRule="exact"/>
              <w:rPr>
                <w:sz w:val="18"/>
                <w:lang w:val="fr-CH"/>
              </w:rPr>
            </w:pPr>
            <w:r w:rsidRPr="0071782F">
              <w:rPr>
                <w:sz w:val="18"/>
                <w:lang w:val="fr-CH"/>
              </w:rPr>
              <w:t>Diffusion d’émissions de radio</w:t>
            </w:r>
          </w:p>
        </w:tc>
        <w:tc>
          <w:tcPr>
            <w:tcW w:w="605" w:type="dxa"/>
            <w:tcBorders>
              <w:top w:val="nil"/>
            </w:tcBorders>
            <w:shd w:val="clear" w:color="auto" w:fill="auto"/>
            <w:vAlign w:val="bottom"/>
          </w:tcPr>
          <w:p w:rsidR="00963C03" w:rsidRPr="0071782F" w:rsidRDefault="00485992" w:rsidP="00881286">
            <w:pPr>
              <w:keepNext/>
              <w:suppressAutoHyphens w:val="0"/>
              <w:spacing w:before="40" w:after="40" w:line="220" w:lineRule="exact"/>
              <w:rPr>
                <w:sz w:val="18"/>
                <w:lang w:val="fr-CH"/>
              </w:rPr>
            </w:pPr>
            <w:r w:rsidRPr="0071782F">
              <w:rPr>
                <w:sz w:val="18"/>
                <w:lang w:val="fr-CH"/>
              </w:rPr>
              <w:t>Heures</w:t>
            </w:r>
          </w:p>
        </w:tc>
        <w:tc>
          <w:tcPr>
            <w:tcW w:w="1400" w:type="dxa"/>
            <w:tcBorders>
              <w:top w:val="nil"/>
            </w:tcBorders>
            <w:shd w:val="clear" w:color="auto" w:fill="auto"/>
            <w:vAlign w:val="bottom"/>
          </w:tcPr>
          <w:p w:rsidR="00963C03" w:rsidRPr="0071782F" w:rsidRDefault="00963C03" w:rsidP="00881286">
            <w:pPr>
              <w:keepNext/>
              <w:suppressAutoHyphens w:val="0"/>
              <w:spacing w:before="40" w:after="40" w:line="220" w:lineRule="exact"/>
              <w:jc w:val="right"/>
              <w:rPr>
                <w:sz w:val="18"/>
                <w:lang w:val="fr-CH"/>
              </w:rPr>
            </w:pPr>
            <w:r w:rsidRPr="0071782F">
              <w:rPr>
                <w:sz w:val="18"/>
                <w:lang w:val="fr-CH"/>
              </w:rPr>
              <w:t>52 695</w:t>
            </w:r>
          </w:p>
        </w:tc>
        <w:tc>
          <w:tcPr>
            <w:tcW w:w="2104" w:type="dxa"/>
            <w:tcBorders>
              <w:top w:val="nil"/>
            </w:tcBorders>
            <w:shd w:val="clear" w:color="auto" w:fill="auto"/>
            <w:vAlign w:val="bottom"/>
          </w:tcPr>
          <w:p w:rsidR="00963C03" w:rsidRPr="0071782F" w:rsidRDefault="00963C03" w:rsidP="00881286">
            <w:pPr>
              <w:keepNext/>
              <w:suppressAutoHyphens w:val="0"/>
              <w:spacing w:before="40" w:after="40" w:line="220" w:lineRule="exact"/>
              <w:jc w:val="right"/>
              <w:rPr>
                <w:sz w:val="18"/>
                <w:lang w:val="fr-CH"/>
              </w:rPr>
            </w:pPr>
            <w:r w:rsidRPr="0071782F">
              <w:rPr>
                <w:sz w:val="18"/>
                <w:lang w:val="fr-CH"/>
              </w:rPr>
              <w:t>-0</w:t>
            </w:r>
            <w:r w:rsidR="00881286" w:rsidRPr="0071782F">
              <w:rPr>
                <w:sz w:val="18"/>
                <w:lang w:val="fr-CH"/>
              </w:rPr>
              <w:t>,</w:t>
            </w:r>
            <w:r w:rsidRPr="0071782F">
              <w:rPr>
                <w:sz w:val="18"/>
                <w:lang w:val="fr-CH"/>
              </w:rPr>
              <w:t>1</w:t>
            </w:r>
          </w:p>
        </w:tc>
      </w:tr>
      <w:tr w:rsidR="00963C03" w:rsidRPr="0071782F">
        <w:tc>
          <w:tcPr>
            <w:tcW w:w="3261" w:type="dxa"/>
            <w:shd w:val="clear" w:color="auto" w:fill="auto"/>
          </w:tcPr>
          <w:p w:rsidR="00963C03" w:rsidRPr="0071782F" w:rsidRDefault="00485992" w:rsidP="00881286">
            <w:pPr>
              <w:keepNext/>
              <w:suppressAutoHyphens w:val="0"/>
              <w:spacing w:before="40" w:after="40" w:line="220" w:lineRule="exact"/>
              <w:rPr>
                <w:sz w:val="18"/>
                <w:lang w:val="fr-CH"/>
              </w:rPr>
            </w:pPr>
            <w:r w:rsidRPr="0071782F">
              <w:rPr>
                <w:sz w:val="18"/>
                <w:lang w:val="fr-CH"/>
              </w:rPr>
              <w:t>Production d’émissions de télévision</w:t>
            </w:r>
          </w:p>
        </w:tc>
        <w:tc>
          <w:tcPr>
            <w:tcW w:w="605" w:type="dxa"/>
            <w:shd w:val="clear" w:color="auto" w:fill="auto"/>
            <w:vAlign w:val="bottom"/>
          </w:tcPr>
          <w:p w:rsidR="00963C03" w:rsidRPr="0071782F" w:rsidRDefault="00485992" w:rsidP="00881286">
            <w:pPr>
              <w:keepNext/>
              <w:suppressAutoHyphens w:val="0"/>
              <w:spacing w:before="40" w:after="40" w:line="220" w:lineRule="exact"/>
              <w:rPr>
                <w:sz w:val="18"/>
                <w:lang w:val="fr-CH"/>
              </w:rPr>
            </w:pPr>
            <w:r w:rsidRPr="0071782F">
              <w:rPr>
                <w:sz w:val="18"/>
                <w:lang w:val="fr-CH"/>
              </w:rPr>
              <w:t>Heures</w:t>
            </w:r>
          </w:p>
        </w:tc>
        <w:tc>
          <w:tcPr>
            <w:tcW w:w="1400" w:type="dxa"/>
            <w:shd w:val="clear" w:color="auto" w:fill="auto"/>
            <w:vAlign w:val="bottom"/>
          </w:tcPr>
          <w:p w:rsidR="00963C03" w:rsidRPr="0071782F" w:rsidRDefault="00963C03" w:rsidP="00881286">
            <w:pPr>
              <w:keepNext/>
              <w:suppressAutoHyphens w:val="0"/>
              <w:spacing w:before="40" w:after="40" w:line="220" w:lineRule="exact"/>
              <w:jc w:val="right"/>
              <w:rPr>
                <w:sz w:val="18"/>
                <w:lang w:val="fr-CH"/>
              </w:rPr>
            </w:pPr>
            <w:r w:rsidRPr="0071782F">
              <w:rPr>
                <w:sz w:val="18"/>
                <w:lang w:val="fr-CH"/>
              </w:rPr>
              <w:t>9 001</w:t>
            </w:r>
          </w:p>
        </w:tc>
        <w:tc>
          <w:tcPr>
            <w:tcW w:w="2104" w:type="dxa"/>
            <w:shd w:val="clear" w:color="auto" w:fill="auto"/>
            <w:vAlign w:val="bottom"/>
          </w:tcPr>
          <w:p w:rsidR="00963C03" w:rsidRPr="0071782F" w:rsidRDefault="00963C03" w:rsidP="00881286">
            <w:pPr>
              <w:keepNext/>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1</w:t>
            </w:r>
          </w:p>
        </w:tc>
      </w:tr>
      <w:tr w:rsidR="00963C03" w:rsidRPr="0071782F">
        <w:tc>
          <w:tcPr>
            <w:tcW w:w="3261" w:type="dxa"/>
            <w:shd w:val="clear" w:color="auto" w:fill="auto"/>
          </w:tcPr>
          <w:p w:rsidR="00963C03" w:rsidRPr="0071782F" w:rsidRDefault="00485992" w:rsidP="00881286">
            <w:pPr>
              <w:suppressAutoHyphens w:val="0"/>
              <w:spacing w:before="40" w:after="40" w:line="220" w:lineRule="exact"/>
              <w:rPr>
                <w:sz w:val="18"/>
                <w:lang w:val="fr-CH"/>
              </w:rPr>
            </w:pPr>
            <w:r w:rsidRPr="0071782F">
              <w:rPr>
                <w:sz w:val="18"/>
                <w:lang w:val="fr-CH"/>
              </w:rPr>
              <w:t>Diffusion d’émissions de télévision</w:t>
            </w:r>
          </w:p>
        </w:tc>
        <w:tc>
          <w:tcPr>
            <w:tcW w:w="605" w:type="dxa"/>
            <w:shd w:val="clear" w:color="auto" w:fill="auto"/>
            <w:vAlign w:val="bottom"/>
          </w:tcPr>
          <w:p w:rsidR="00963C03" w:rsidRPr="0071782F" w:rsidRDefault="00485992" w:rsidP="00881286">
            <w:pPr>
              <w:suppressAutoHyphens w:val="0"/>
              <w:spacing w:before="40" w:after="40" w:line="220" w:lineRule="exact"/>
              <w:rPr>
                <w:sz w:val="18"/>
                <w:lang w:val="fr-CH"/>
              </w:rPr>
            </w:pPr>
            <w:r w:rsidRPr="0071782F">
              <w:rPr>
                <w:sz w:val="18"/>
                <w:lang w:val="fr-CH"/>
              </w:rPr>
              <w:t>Heures</w:t>
            </w:r>
          </w:p>
        </w:tc>
        <w:tc>
          <w:tcPr>
            <w:tcW w:w="1400"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48 858</w:t>
            </w:r>
          </w:p>
        </w:tc>
        <w:tc>
          <w:tcPr>
            <w:tcW w:w="2104" w:type="dxa"/>
            <w:shd w:val="clear" w:color="auto" w:fill="auto"/>
            <w:vAlign w:val="bottom"/>
          </w:tcPr>
          <w:p w:rsidR="00963C03" w:rsidRPr="0071782F" w:rsidRDefault="00963C03" w:rsidP="00881286">
            <w:pPr>
              <w:suppressAutoHyphens w:val="0"/>
              <w:spacing w:before="40" w:after="40" w:line="220" w:lineRule="exact"/>
              <w:jc w:val="right"/>
              <w:rPr>
                <w:sz w:val="18"/>
                <w:lang w:val="fr-CH"/>
              </w:rPr>
            </w:pPr>
            <w:r w:rsidRPr="0071782F">
              <w:rPr>
                <w:sz w:val="18"/>
                <w:lang w:val="fr-CH"/>
              </w:rPr>
              <w:t>3</w:t>
            </w:r>
            <w:r w:rsidR="00881286" w:rsidRPr="0071782F">
              <w:rPr>
                <w:sz w:val="18"/>
                <w:lang w:val="fr-CH"/>
              </w:rPr>
              <w:t>,</w:t>
            </w:r>
            <w:r w:rsidRPr="0071782F">
              <w:rPr>
                <w:sz w:val="18"/>
                <w:lang w:val="fr-CH"/>
              </w:rPr>
              <w:t>9</w:t>
            </w:r>
          </w:p>
        </w:tc>
      </w:tr>
    </w:tbl>
    <w:p w:rsidR="00963C03" w:rsidRPr="0071782F" w:rsidRDefault="00963C03" w:rsidP="007A6D78">
      <w:pPr>
        <w:suppressAutoHyphens w:val="0"/>
        <w:spacing w:before="120" w:line="240" w:lineRule="auto"/>
        <w:ind w:left="1134" w:right="1134" w:firstLine="170"/>
        <w:rPr>
          <w:sz w:val="18"/>
          <w:szCs w:val="18"/>
          <w:lang w:val="fr-CH"/>
        </w:rPr>
      </w:pPr>
      <w:r w:rsidRPr="0071782F">
        <w:rPr>
          <w:i/>
          <w:sz w:val="18"/>
          <w:szCs w:val="18"/>
          <w:lang w:val="fr-CH"/>
        </w:rPr>
        <w:t>Source</w:t>
      </w:r>
      <w:r w:rsidR="008F7D33" w:rsidRPr="0071782F">
        <w:rPr>
          <w:i/>
          <w:sz w:val="18"/>
          <w:szCs w:val="18"/>
          <w:lang w:val="fr-CH"/>
        </w:rPr>
        <w:t>:</w:t>
      </w:r>
      <w:r w:rsidRPr="0071782F">
        <w:rPr>
          <w:sz w:val="18"/>
          <w:szCs w:val="18"/>
          <w:lang w:val="fr-CH"/>
        </w:rPr>
        <w:t xml:space="preserve"> </w:t>
      </w:r>
      <w:r w:rsidR="00485992" w:rsidRPr="0071782F">
        <w:rPr>
          <w:sz w:val="18"/>
          <w:szCs w:val="18"/>
          <w:lang w:val="fr-CH"/>
        </w:rPr>
        <w:t>Organisme de radiodiffusion de la République islamique d’Iran</w:t>
      </w:r>
      <w:r w:rsidRPr="0071782F">
        <w:rPr>
          <w:sz w:val="18"/>
          <w:szCs w:val="18"/>
          <w:lang w:val="fr-CH"/>
        </w:rPr>
        <w:t>.</w:t>
      </w:r>
    </w:p>
    <w:p w:rsidR="00963C03" w:rsidRDefault="007A6D78" w:rsidP="00BA46A5">
      <w:pPr>
        <w:suppressAutoHyphens w:val="0"/>
        <w:spacing w:after="240" w:line="240" w:lineRule="auto"/>
        <w:ind w:left="1134" w:right="1134" w:firstLine="170"/>
        <w:rPr>
          <w:sz w:val="18"/>
          <w:szCs w:val="18"/>
          <w:lang w:val="fr-CH"/>
        </w:rPr>
      </w:pPr>
      <w:r w:rsidRPr="0071782F">
        <w:rPr>
          <w:i/>
          <w:sz w:val="18"/>
          <w:vertAlign w:val="superscript"/>
          <w:lang w:val="fr-CH"/>
        </w:rPr>
        <w:t>(1)</w:t>
      </w:r>
      <w:r w:rsidR="00963C03" w:rsidRPr="0071782F">
        <w:rPr>
          <w:sz w:val="18"/>
          <w:szCs w:val="18"/>
          <w:lang w:val="fr-CH"/>
        </w:rPr>
        <w:t xml:space="preserve">  </w:t>
      </w:r>
      <w:r w:rsidR="00485992" w:rsidRPr="0071782F">
        <w:rPr>
          <w:sz w:val="18"/>
          <w:szCs w:val="18"/>
          <w:lang w:val="fr-CH"/>
        </w:rPr>
        <w:t xml:space="preserve">La variation en pourcentage est calculée à partir des chiffres révisés fournis par l’organisme </w:t>
      </w:r>
      <w:r w:rsidR="00774E61" w:rsidRPr="0071782F">
        <w:rPr>
          <w:sz w:val="18"/>
          <w:szCs w:val="18"/>
          <w:lang w:val="fr-CH"/>
        </w:rPr>
        <w:t>concerné</w:t>
      </w:r>
      <w:r w:rsidR="00963C03" w:rsidRPr="0071782F">
        <w:rPr>
          <w:sz w:val="18"/>
          <w:szCs w:val="18"/>
          <w:lang w:val="fr-CH"/>
        </w:rPr>
        <w:t>.</w:t>
      </w:r>
    </w:p>
    <w:p w:rsidR="00470081" w:rsidRPr="00470081" w:rsidRDefault="00470081" w:rsidP="00470081">
      <w:pPr>
        <w:spacing w:before="240"/>
        <w:ind w:left="1134" w:right="1134"/>
        <w:jc w:val="center"/>
        <w:rPr>
          <w:sz w:val="18"/>
          <w:szCs w:val="18"/>
          <w:u w:val="single"/>
          <w:lang w:val="fr-CH"/>
        </w:rPr>
      </w:pPr>
      <w:r>
        <w:rPr>
          <w:sz w:val="18"/>
          <w:szCs w:val="18"/>
          <w:u w:val="single"/>
          <w:lang w:val="fr-CH"/>
        </w:rPr>
        <w:tab/>
      </w:r>
      <w:r>
        <w:rPr>
          <w:sz w:val="18"/>
          <w:szCs w:val="18"/>
          <w:u w:val="single"/>
          <w:lang w:val="fr-CH"/>
        </w:rPr>
        <w:tab/>
      </w:r>
      <w:r>
        <w:rPr>
          <w:sz w:val="18"/>
          <w:szCs w:val="18"/>
          <w:u w:val="single"/>
          <w:lang w:val="fr-CH"/>
        </w:rPr>
        <w:tab/>
      </w:r>
    </w:p>
    <w:sectPr w:rsidR="00470081" w:rsidRPr="00470081" w:rsidSect="008B74D2">
      <w:headerReference w:type="even" r:id="rId25"/>
      <w:headerReference w:type="default" r:id="rId26"/>
      <w:footerReference w:type="even" r:id="rId27"/>
      <w:footerReference w:type="default" r:id="rId28"/>
      <w:endnotePr>
        <w:numFmt w:val="decimal"/>
      </w:endnotePr>
      <w:pgSz w:w="11906" w:h="16838"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F9" w:rsidRDefault="000625F9"/>
  </w:endnote>
  <w:endnote w:type="continuationSeparator" w:id="0">
    <w:p w:rsidR="000625F9" w:rsidRDefault="000625F9"/>
  </w:endnote>
  <w:endnote w:type="continuationNotice" w:id="1">
    <w:p w:rsidR="000625F9" w:rsidRDefault="00062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E7" w:rsidRPr="007273A4" w:rsidRDefault="002847E7" w:rsidP="007273A4">
    <w:pPr>
      <w:pStyle w:val="Footer"/>
      <w:tabs>
        <w:tab w:val="right" w:pos="9598"/>
      </w:tabs>
    </w:pPr>
    <w:r w:rsidRPr="007273A4">
      <w:rPr>
        <w:b/>
        <w:sz w:val="18"/>
      </w:rPr>
      <w:fldChar w:fldCharType="begin"/>
    </w:r>
    <w:r w:rsidRPr="007273A4">
      <w:rPr>
        <w:b/>
        <w:sz w:val="18"/>
      </w:rPr>
      <w:instrText xml:space="preserve"> PAGE  \* MERGEFORMAT </w:instrText>
    </w:r>
    <w:r w:rsidRPr="007273A4">
      <w:rPr>
        <w:b/>
        <w:sz w:val="18"/>
      </w:rPr>
      <w:fldChar w:fldCharType="separate"/>
    </w:r>
    <w:r w:rsidR="00670B7B">
      <w:rPr>
        <w:b/>
        <w:noProof/>
        <w:sz w:val="18"/>
      </w:rPr>
      <w:t>24</w:t>
    </w:r>
    <w:r w:rsidRPr="007273A4">
      <w:rPr>
        <w:b/>
        <w:sz w:val="18"/>
      </w:rPr>
      <w:fldChar w:fldCharType="end"/>
    </w:r>
    <w:r>
      <w:rPr>
        <w:sz w:val="18"/>
      </w:rPr>
      <w:tab/>
    </w:r>
    <w:r>
      <w:t>GE.11-42891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E7" w:rsidRPr="00177D28" w:rsidRDefault="002847E7" w:rsidP="00177D28">
    <w:pPr>
      <w:pStyle w:val="Footer"/>
      <w:tabs>
        <w:tab w:val="right" w:pos="9598"/>
      </w:tabs>
      <w:rPr>
        <w:b/>
        <w:sz w:val="18"/>
      </w:rPr>
    </w:pPr>
    <w:r>
      <w:t>GE.11-42891  (EXT)</w:t>
    </w:r>
    <w:r>
      <w:tab/>
    </w:r>
    <w:r w:rsidRPr="00177D28">
      <w:rPr>
        <w:b/>
        <w:sz w:val="18"/>
      </w:rPr>
      <w:fldChar w:fldCharType="begin"/>
    </w:r>
    <w:r w:rsidRPr="00177D28">
      <w:rPr>
        <w:b/>
        <w:sz w:val="18"/>
      </w:rPr>
      <w:instrText xml:space="preserve"> PAGE  \* MERGEFORMAT </w:instrText>
    </w:r>
    <w:r w:rsidRPr="00177D28">
      <w:rPr>
        <w:b/>
        <w:sz w:val="18"/>
      </w:rPr>
      <w:fldChar w:fldCharType="separate"/>
    </w:r>
    <w:r w:rsidR="00670B7B">
      <w:rPr>
        <w:b/>
        <w:noProof/>
        <w:sz w:val="18"/>
      </w:rPr>
      <w:t>25</w:t>
    </w:r>
    <w:r w:rsidRPr="00177D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E7" w:rsidRPr="0048397A" w:rsidRDefault="002847E7">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396.9pt;margin-top:-8.5pt;width:86.95pt;height:18.35pt;z-index:5">
          <v:imagedata r:id="rId1" o:title="recycle_French"/>
        </v:shape>
      </w:pict>
    </w:r>
    <w:r>
      <w:rPr>
        <w:sz w:val="20"/>
      </w:rPr>
      <w:t>GE.11-42891  (EXT)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E7" w:rsidRPr="00177D28" w:rsidRDefault="002847E7" w:rsidP="00177D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E7" w:rsidRPr="00177D28" w:rsidRDefault="002847E7" w:rsidP="00177D2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E7" w:rsidRPr="008B74D2" w:rsidRDefault="002847E7" w:rsidP="008077B0">
    <w:pPr>
      <w:pStyle w:val="Footer"/>
      <w:tabs>
        <w:tab w:val="right" w:pos="9598"/>
      </w:tabs>
      <w:rPr>
        <w:b/>
        <w:sz w:val="18"/>
      </w:rPr>
    </w:pPr>
    <w:r w:rsidRPr="008B74D2">
      <w:rPr>
        <w:b/>
        <w:sz w:val="18"/>
      </w:rPr>
      <w:fldChar w:fldCharType="begin"/>
    </w:r>
    <w:r w:rsidRPr="008B74D2">
      <w:rPr>
        <w:b/>
        <w:sz w:val="18"/>
      </w:rPr>
      <w:instrText xml:space="preserve"> PAGE  \* MERGEFORMAT </w:instrText>
    </w:r>
    <w:r w:rsidRPr="008B74D2">
      <w:rPr>
        <w:b/>
        <w:sz w:val="18"/>
      </w:rPr>
      <w:fldChar w:fldCharType="separate"/>
    </w:r>
    <w:r w:rsidR="006931C9">
      <w:rPr>
        <w:b/>
        <w:noProof/>
        <w:sz w:val="18"/>
      </w:rPr>
      <w:t>160</w:t>
    </w:r>
    <w:r w:rsidRPr="008B74D2">
      <w:rPr>
        <w:b/>
        <w:sz w:val="18"/>
      </w:rPr>
      <w:fldChar w:fldCharType="end"/>
    </w:r>
    <w:r>
      <w:rPr>
        <w:b/>
        <w:sz w:val="18"/>
      </w:rPr>
      <w:tab/>
    </w:r>
    <w:r w:rsidRPr="008B74D2">
      <w:t>GE.11-4289</w:t>
    </w:r>
    <w:r>
      <w:t>1  (EXT)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E7" w:rsidRPr="008B74D2" w:rsidRDefault="002847E7" w:rsidP="008077B0">
    <w:pPr>
      <w:pStyle w:val="Footer"/>
      <w:tabs>
        <w:tab w:val="right" w:pos="9598"/>
      </w:tabs>
      <w:rPr>
        <w:b/>
        <w:sz w:val="18"/>
      </w:rPr>
    </w:pPr>
    <w:r>
      <w:t>GE.11-42891  (EXT)</w:t>
    </w:r>
    <w:r>
      <w:tab/>
    </w:r>
    <w:r w:rsidRPr="008B74D2">
      <w:rPr>
        <w:b/>
        <w:sz w:val="18"/>
      </w:rPr>
      <w:fldChar w:fldCharType="begin"/>
    </w:r>
    <w:r w:rsidRPr="008B74D2">
      <w:rPr>
        <w:b/>
        <w:sz w:val="18"/>
      </w:rPr>
      <w:instrText xml:space="preserve"> PAGE  \* MERGEFORMAT </w:instrText>
    </w:r>
    <w:r w:rsidRPr="008B74D2">
      <w:rPr>
        <w:b/>
        <w:sz w:val="18"/>
      </w:rPr>
      <w:fldChar w:fldCharType="separate"/>
    </w:r>
    <w:r w:rsidR="006931C9">
      <w:rPr>
        <w:b/>
        <w:noProof/>
        <w:sz w:val="18"/>
      </w:rPr>
      <w:t>159</w:t>
    </w:r>
    <w:r w:rsidRPr="008B74D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F9" w:rsidRPr="000B175B" w:rsidRDefault="000625F9" w:rsidP="000B175B">
      <w:pPr>
        <w:tabs>
          <w:tab w:val="right" w:pos="2155"/>
        </w:tabs>
        <w:spacing w:after="80"/>
        <w:ind w:left="680"/>
        <w:rPr>
          <w:u w:val="single"/>
        </w:rPr>
      </w:pPr>
      <w:r>
        <w:rPr>
          <w:u w:val="single"/>
        </w:rPr>
        <w:tab/>
      </w:r>
    </w:p>
  </w:footnote>
  <w:footnote w:type="continuationSeparator" w:id="0">
    <w:p w:rsidR="000625F9" w:rsidRPr="00FC68B7" w:rsidRDefault="000625F9" w:rsidP="00FC68B7">
      <w:pPr>
        <w:tabs>
          <w:tab w:val="left" w:pos="2155"/>
        </w:tabs>
        <w:spacing w:after="80"/>
        <w:ind w:left="680"/>
        <w:rPr>
          <w:u w:val="single"/>
        </w:rPr>
      </w:pPr>
      <w:r>
        <w:rPr>
          <w:u w:val="single"/>
        </w:rPr>
        <w:tab/>
      </w:r>
    </w:p>
  </w:footnote>
  <w:footnote w:type="continuationNotice" w:id="1">
    <w:p w:rsidR="000625F9" w:rsidRDefault="000625F9"/>
  </w:footnote>
  <w:footnote w:id="2">
    <w:p w:rsidR="002847E7" w:rsidRPr="00723F2B" w:rsidRDefault="002847E7">
      <w:pPr>
        <w:pStyle w:val="FootnoteText"/>
        <w:rPr>
          <w:lang w:val="fr-CH"/>
        </w:rPr>
      </w:pPr>
      <w:r>
        <w:tab/>
      </w:r>
      <w:r w:rsidRPr="00723F2B">
        <w:rPr>
          <w:rStyle w:val="FootnoteReference"/>
          <w:sz w:val="20"/>
          <w:vertAlign w:val="baseline"/>
          <w:lang w:val="fr-CH"/>
        </w:rPr>
        <w:t>*</w:t>
      </w:r>
      <w:r w:rsidRPr="00723F2B">
        <w:rPr>
          <w:sz w:val="20"/>
          <w:lang w:val="fr-CH"/>
        </w:rPr>
        <w:tab/>
      </w:r>
      <w:r w:rsidRPr="00723F2B">
        <w:rPr>
          <w:lang w:val="fr-CH"/>
        </w:rPr>
        <w:t>Conformément aux informations communiquées aux États parties concernant le traitement de leurs rapports, le présent document n’a pas été revu par les services d’édition avant d’être envoyé aux services de traduction de l’Organisation des Nations Unies</w:t>
      </w:r>
      <w:r w:rsidRPr="00723F2B">
        <w:rPr>
          <w:szCs w:val="18"/>
          <w:lang w:val="fr-CH"/>
        </w:rPr>
        <w:t>.</w:t>
      </w:r>
    </w:p>
  </w:footnote>
  <w:footnote w:id="3">
    <w:p w:rsidR="002847E7" w:rsidRPr="00723F2B" w:rsidRDefault="002847E7" w:rsidP="00A45A11">
      <w:pPr>
        <w:pStyle w:val="FootnoteText"/>
        <w:widowControl w:val="0"/>
        <w:tabs>
          <w:tab w:val="clear" w:pos="1021"/>
          <w:tab w:val="right" w:pos="1020"/>
        </w:tabs>
        <w:rPr>
          <w:lang w:val="fr-CH"/>
        </w:rPr>
      </w:pPr>
      <w:r w:rsidRPr="00723F2B">
        <w:rPr>
          <w:lang w:val="fr-CH"/>
        </w:rPr>
        <w:tab/>
      </w:r>
      <w:r>
        <w:rPr>
          <w:rStyle w:val="FootnoteReference"/>
        </w:rPr>
        <w:footnoteRef/>
      </w:r>
      <w:r w:rsidRPr="00723F2B">
        <w:rPr>
          <w:lang w:val="fr-CH"/>
        </w:rPr>
        <w:tab/>
        <w:t>Les cours pour enfants sont dispensés à ceux qui suivent l’enseignement obligatoire.</w:t>
      </w:r>
    </w:p>
  </w:footnote>
  <w:footnote w:id="4">
    <w:p w:rsidR="002847E7" w:rsidRPr="00723F2B" w:rsidRDefault="002847E7" w:rsidP="00A45A11">
      <w:pPr>
        <w:pStyle w:val="FootnoteText"/>
        <w:widowControl w:val="0"/>
        <w:tabs>
          <w:tab w:val="clear" w:pos="1021"/>
          <w:tab w:val="right" w:pos="1020"/>
        </w:tabs>
        <w:rPr>
          <w:lang w:val="fr-CH"/>
        </w:rPr>
      </w:pPr>
      <w:r w:rsidRPr="00723F2B">
        <w:rPr>
          <w:lang w:val="fr-CH"/>
        </w:rPr>
        <w:tab/>
      </w:r>
      <w:r>
        <w:rPr>
          <w:rStyle w:val="FootnoteReference"/>
        </w:rPr>
        <w:footnoteRef/>
      </w:r>
      <w:r w:rsidRPr="00723F2B">
        <w:rPr>
          <w:lang w:val="fr-CH"/>
        </w:rPr>
        <w:tab/>
        <w:t>Il s’agit du premier niveau du cours d’alphabétisation. Il consiste à enseigner l’alphabet et son utilisation  pour lire et écrire des textes simples en persan, ainsi que des notions de mathématiques suffisantes pour la vie quotidienne.</w:t>
      </w:r>
    </w:p>
  </w:footnote>
  <w:footnote w:id="5">
    <w:p w:rsidR="002847E7" w:rsidRPr="00723F2B" w:rsidRDefault="002847E7" w:rsidP="00A45A11">
      <w:pPr>
        <w:pStyle w:val="FootnoteText"/>
        <w:widowControl w:val="0"/>
        <w:tabs>
          <w:tab w:val="clear" w:pos="1021"/>
          <w:tab w:val="right" w:pos="1020"/>
        </w:tabs>
        <w:rPr>
          <w:lang w:val="fr-CH"/>
        </w:rPr>
      </w:pPr>
      <w:r w:rsidRPr="00723F2B">
        <w:rPr>
          <w:lang w:val="fr-CH"/>
        </w:rPr>
        <w:tab/>
      </w:r>
      <w:r>
        <w:rPr>
          <w:rStyle w:val="FootnoteReference"/>
        </w:rPr>
        <w:footnoteRef/>
      </w:r>
      <w:r w:rsidRPr="00723F2B">
        <w:rPr>
          <w:lang w:val="fr-CH"/>
        </w:rPr>
        <w:tab/>
        <w:t>Il s’agit du niveau suivant, auquel les élèves titulaires du certificat de premier niveau ou son équivalent commencent à lire et à écrire des textes simples pour apprendre à exprimer leurs idées et à comprendre celles d’autrui. Par ailleurs, ils apprennent à lire le Coran, améliorent leurs aptitudes en mathématiques pour pouvoir résoudre des questions se posant dans la vie quotidienne et, d’une façon générale, améliorent leurs connaissances.</w:t>
      </w:r>
    </w:p>
  </w:footnote>
  <w:footnote w:id="6">
    <w:p w:rsidR="002847E7" w:rsidRPr="00723F2B" w:rsidRDefault="002847E7" w:rsidP="00A45A11">
      <w:pPr>
        <w:pStyle w:val="FootnoteText"/>
        <w:widowControl w:val="0"/>
        <w:tabs>
          <w:tab w:val="clear" w:pos="1021"/>
          <w:tab w:val="right" w:pos="1020"/>
        </w:tabs>
        <w:rPr>
          <w:lang w:val="fr-CH"/>
        </w:rPr>
      </w:pPr>
      <w:r w:rsidRPr="00723F2B">
        <w:rPr>
          <w:lang w:val="fr-CH"/>
        </w:rPr>
        <w:tab/>
      </w:r>
      <w:r>
        <w:rPr>
          <w:rStyle w:val="FootnoteReference"/>
        </w:rPr>
        <w:footnoteRef/>
      </w:r>
      <w:r w:rsidRPr="00723F2B">
        <w:rPr>
          <w:lang w:val="fr-CH"/>
        </w:rPr>
        <w:tab/>
        <w:t xml:space="preserve">Il s’agit du troisième niveau, qui équivaut à la </w:t>
      </w:r>
      <w:r>
        <w:rPr>
          <w:lang w:val="fr-CH"/>
        </w:rPr>
        <w:t>quatrième </w:t>
      </w:r>
      <w:r w:rsidRPr="00723F2B">
        <w:rPr>
          <w:lang w:val="fr-CH"/>
        </w:rPr>
        <w:t>année de l’enseignement primaire. Les cours dispensés à ce niveau opèrent la synthèse des niveaux précédents et les élèves préparent les examens leur permettant d’accéder au niveau correspondant à la cinquième année de l’enseignement officiel.</w:t>
      </w:r>
    </w:p>
  </w:footnote>
  <w:footnote w:id="7">
    <w:p w:rsidR="002847E7" w:rsidRPr="00723F2B" w:rsidRDefault="002847E7" w:rsidP="00A45A11">
      <w:pPr>
        <w:pStyle w:val="FootnoteText"/>
        <w:widowControl w:val="0"/>
        <w:tabs>
          <w:tab w:val="clear" w:pos="1021"/>
          <w:tab w:val="right" w:pos="1020"/>
        </w:tabs>
        <w:rPr>
          <w:lang w:val="fr-CH"/>
        </w:rPr>
      </w:pPr>
      <w:r w:rsidRPr="00723F2B">
        <w:rPr>
          <w:lang w:val="fr-CH"/>
        </w:rPr>
        <w:tab/>
      </w:r>
      <w:r>
        <w:rPr>
          <w:rStyle w:val="FootnoteReference"/>
        </w:rPr>
        <w:footnoteRef/>
      </w:r>
      <w:r w:rsidRPr="00723F2B">
        <w:rPr>
          <w:lang w:val="fr-CH"/>
        </w:rPr>
        <w:tab/>
        <w:t>Il s’agit du quatrième niveau du cours d’alphabétisation, niveau auquel les élèves utilisent les manuels officiels de 5</w:t>
      </w:r>
      <w:r w:rsidRPr="003B1403">
        <w:rPr>
          <w:vertAlign w:val="superscript"/>
          <w:lang w:val="fr-CH"/>
        </w:rPr>
        <w:t>e</w:t>
      </w:r>
      <w:r>
        <w:rPr>
          <w:lang w:val="fr-CH"/>
        </w:rPr>
        <w:t> </w:t>
      </w:r>
      <w:r w:rsidRPr="00723F2B">
        <w:rPr>
          <w:lang w:val="fr-CH"/>
        </w:rPr>
        <w:t>année. S’ils réussi</w:t>
      </w:r>
      <w:r>
        <w:rPr>
          <w:lang w:val="fr-CH"/>
        </w:rPr>
        <w:t>ss</w:t>
      </w:r>
      <w:r w:rsidRPr="00723F2B">
        <w:rPr>
          <w:lang w:val="fr-CH"/>
        </w:rPr>
        <w:t>ent aux examens, ils peuvent poursuivre leurs études dans le système éducatif officiel.</w:t>
      </w:r>
    </w:p>
  </w:footnote>
  <w:footnote w:id="8">
    <w:p w:rsidR="002847E7" w:rsidRPr="00723F2B" w:rsidRDefault="002847E7" w:rsidP="00A45A11">
      <w:pPr>
        <w:pStyle w:val="FootnoteText"/>
        <w:widowControl w:val="0"/>
        <w:tabs>
          <w:tab w:val="clear" w:pos="1021"/>
          <w:tab w:val="right" w:pos="1020"/>
        </w:tabs>
        <w:rPr>
          <w:lang w:val="fr-CH"/>
        </w:rPr>
      </w:pPr>
      <w:r w:rsidRPr="00723F2B">
        <w:rPr>
          <w:lang w:val="fr-CH"/>
        </w:rPr>
        <w:tab/>
      </w:r>
      <w:r>
        <w:rPr>
          <w:rStyle w:val="FootnoteReference"/>
        </w:rPr>
        <w:footnoteRef/>
      </w:r>
      <w:r w:rsidRPr="00723F2B">
        <w:rPr>
          <w:lang w:val="fr-CH"/>
        </w:rPr>
        <w:tab/>
        <w:t>Un centre d’apprentissage local est le fruit de la coopération entre le Mouvement et les organismes communautaires et d’exécution locaux d’une zone rurale ou urbaine. En sus d’une formation initiale, complémentaire et continue, ces centres proposent une formation à la vie pratique et une formation professionnelle visant à renforcer l’autonomie des élèves et à créer des emplois à leur intention.</w:t>
      </w:r>
    </w:p>
  </w:footnote>
  <w:footnote w:id="9">
    <w:p w:rsidR="002847E7" w:rsidRPr="00723F2B" w:rsidRDefault="002847E7" w:rsidP="00A45A11">
      <w:pPr>
        <w:pStyle w:val="FootnoteText"/>
        <w:widowControl w:val="0"/>
        <w:tabs>
          <w:tab w:val="clear" w:pos="1021"/>
          <w:tab w:val="right" w:pos="1020"/>
        </w:tabs>
        <w:rPr>
          <w:lang w:val="fr-CH"/>
        </w:rPr>
      </w:pPr>
      <w:r w:rsidRPr="00723F2B">
        <w:rPr>
          <w:lang w:val="fr-CH"/>
        </w:rPr>
        <w:tab/>
      </w:r>
      <w:r>
        <w:rPr>
          <w:rStyle w:val="FootnoteReference"/>
        </w:rPr>
        <w:footnoteRef/>
      </w:r>
      <w:r w:rsidRPr="00723F2B">
        <w:rPr>
          <w:lang w:val="fr-CH"/>
        </w:rPr>
        <w:tab/>
        <w:t>Ces groupes font partie intégrante du programme d’éducation continue qui, sous la forme d’un programme d’enseignement général à mi-temps divisé en trois phases, prépare l’élève à l’apprentissage indépendant et à l’enseignement à distance.</w:t>
      </w:r>
    </w:p>
  </w:footnote>
  <w:footnote w:id="10">
    <w:p w:rsidR="002847E7" w:rsidRPr="00723F2B" w:rsidRDefault="002847E7" w:rsidP="00A45A11">
      <w:pPr>
        <w:pStyle w:val="FootnoteText"/>
        <w:widowControl w:val="0"/>
        <w:tabs>
          <w:tab w:val="clear" w:pos="1021"/>
          <w:tab w:val="right" w:pos="1020"/>
        </w:tabs>
        <w:rPr>
          <w:lang w:val="fr-CH"/>
        </w:rPr>
      </w:pPr>
      <w:r w:rsidRPr="00723F2B">
        <w:rPr>
          <w:lang w:val="fr-CH"/>
        </w:rPr>
        <w:tab/>
      </w:r>
      <w:r>
        <w:rPr>
          <w:rStyle w:val="FootnoteReference"/>
        </w:rPr>
        <w:footnoteRef/>
      </w:r>
      <w:r w:rsidRPr="00723F2B">
        <w:rPr>
          <w:lang w:val="fr-CH"/>
        </w:rPr>
        <w:tab/>
        <w:t>Ces groupes font partie intégrante du programme d’éducation continue. L’enseignement correspondant  est dispensé sur trois années consécutives à l’aide d’un paquet éducatif adressé par voie postale. Il prépare l’élève à étudier de manière indépendante et à acquérir les capacités requises pour s’inscrire à divers programmes éducatifs dispensés à l’aide de médias.</w:t>
      </w:r>
    </w:p>
  </w:footnote>
  <w:footnote w:id="11">
    <w:p w:rsidR="002847E7" w:rsidRPr="00723F2B" w:rsidRDefault="002847E7" w:rsidP="00A45A11">
      <w:pPr>
        <w:pStyle w:val="FootnoteText"/>
        <w:widowControl w:val="0"/>
        <w:tabs>
          <w:tab w:val="clear" w:pos="1021"/>
          <w:tab w:val="right" w:pos="1020"/>
        </w:tabs>
        <w:rPr>
          <w:lang w:val="fr-CH"/>
        </w:rPr>
      </w:pPr>
      <w:r w:rsidRPr="00723F2B">
        <w:rPr>
          <w:lang w:val="fr-CH"/>
        </w:rPr>
        <w:tab/>
      </w:r>
      <w:r>
        <w:rPr>
          <w:rStyle w:val="FootnoteReference"/>
        </w:rPr>
        <w:footnoteRef/>
      </w:r>
      <w:r w:rsidRPr="00723F2B">
        <w:rPr>
          <w:lang w:val="fr-CH"/>
        </w:rPr>
        <w:tab/>
        <w:t>L’éducation dispensée à l’aide de ressources multimédias fait partie intégrante du programme d’éducation continue et s’appuie sur l’enseignement à distance et l’utilisation de revues, brochures, etc., adressées à l’élève par courrier. Elle vise à promouvoir une culture de l’étude et à développer les connaissances des apprenants dans les domaines social, culturel, sanitaire et autres.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E7" w:rsidRPr="007273A4" w:rsidRDefault="002847E7" w:rsidP="007273A4">
    <w:pPr>
      <w:pStyle w:val="Header"/>
    </w:pPr>
    <w:r w:rsidRPr="007273A4">
      <w:t>E/C.12/IRN/2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E7" w:rsidRPr="007273A4" w:rsidRDefault="002847E7" w:rsidP="007273A4">
    <w:pPr>
      <w:pStyle w:val="Header"/>
      <w:jc w:val="right"/>
    </w:pPr>
    <w:r w:rsidRPr="007273A4">
      <w:t>E/C.12/IRN/2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E7" w:rsidRPr="00177D28" w:rsidRDefault="002847E7" w:rsidP="00177D28">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3" type="#_x0000_t202" style="position:absolute;margin-left:83.3pt;margin-top:56.65pt;width:17.55pt;height:481.9pt;z-index:2;mso-position-horizontal-relative:page;mso-position-vertical-relative:page" stroked="f">
          <v:textbox style="layout-flow:vertical;mso-next-textbox:#_x0000_s2053" inset="0,0,0,0">
            <w:txbxContent>
              <w:p w:rsidR="002847E7" w:rsidRDefault="002847E7" w:rsidP="008077B0">
                <w:pPr>
                  <w:pStyle w:val="Footer"/>
                  <w:tabs>
                    <w:tab w:val="right" w:pos="9598"/>
                  </w:tabs>
                </w:pPr>
                <w:r w:rsidRPr="009F4A79">
                  <w:rPr>
                    <w:b/>
                    <w:sz w:val="18"/>
                    <w:szCs w:val="18"/>
                  </w:rPr>
                  <w:fldChar w:fldCharType="begin"/>
                </w:r>
                <w:r w:rsidRPr="009F4A79">
                  <w:rPr>
                    <w:b/>
                    <w:sz w:val="18"/>
                    <w:szCs w:val="18"/>
                  </w:rPr>
                  <w:instrText xml:space="preserve"> PAGE  \* MERGEFORMAT </w:instrText>
                </w:r>
                <w:r w:rsidRPr="009F4A79">
                  <w:rPr>
                    <w:b/>
                    <w:sz w:val="18"/>
                    <w:szCs w:val="18"/>
                  </w:rPr>
                  <w:fldChar w:fldCharType="separate"/>
                </w:r>
                <w:r w:rsidR="00670B7B">
                  <w:rPr>
                    <w:b/>
                    <w:noProof/>
                    <w:sz w:val="18"/>
                    <w:szCs w:val="18"/>
                  </w:rPr>
                  <w:t>26</w:t>
                </w:r>
                <w:r w:rsidRPr="009F4A79">
                  <w:rPr>
                    <w:b/>
                    <w:sz w:val="18"/>
                    <w:szCs w:val="18"/>
                  </w:rPr>
                  <w:fldChar w:fldCharType="end"/>
                </w:r>
                <w:r>
                  <w:tab/>
                  <w:t>GE.11-42891  (EXT)</w:t>
                </w:r>
              </w:p>
            </w:txbxContent>
          </v:textbox>
          <w10:anchorlock/>
        </v:shape>
      </w:pict>
    </w:r>
    <w:r>
      <w:rPr>
        <w:noProof/>
        <w:lang w:val="en-US"/>
      </w:rPr>
      <w:pict>
        <v:shape id="_x0000_s2052" type="#_x0000_t202" style="position:absolute;margin-left:771pt;margin-top:56.65pt;width:17.55pt;height:481.9pt;z-index:1;mso-position-horizontal-relative:page;mso-position-vertical-relative:page" stroked="f">
          <v:textbox style="layout-flow:vertical;mso-next-textbox:#_x0000_s2052" inset="0,0,0,0">
            <w:txbxContent>
              <w:p w:rsidR="002847E7" w:rsidRPr="00177D28" w:rsidRDefault="002847E7" w:rsidP="00177D28">
                <w:pPr>
                  <w:pStyle w:val="Header"/>
                </w:pPr>
                <w:r w:rsidRPr="007273A4">
                  <w:t>E/C.12/IRN/2</w:t>
                </w:r>
              </w:p>
              <w:p w:rsidR="002847E7" w:rsidRDefault="002847E7"/>
            </w:txbxContent>
          </v:textbox>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E7" w:rsidRPr="00177D28" w:rsidRDefault="002847E7" w:rsidP="00177D28">
    <w:pPr>
      <w:pStyle w:val="Header"/>
      <w:pBdr>
        <w:bottom w:val="none" w:sz="0" w:space="0" w:color="auto"/>
      </w:pBdr>
    </w:pPr>
    <w:r>
      <w:rPr>
        <w:noProof/>
        <w:lang w:val="en-US"/>
      </w:rPr>
      <w:pict>
        <v:shapetype id="_x0000_t202" coordsize="21600,21600" o:spt="202" path="m,l,21600r21600,l21600,xe">
          <v:stroke joinstyle="miter"/>
          <v:path gradientshapeok="t" o:connecttype="rect"/>
        </v:shapetype>
        <v:shape id="_x0000_s2055" type="#_x0000_t202" style="position:absolute;margin-left:78.5pt;margin-top:56.65pt;width:17.55pt;height:481.9pt;z-index:4;mso-position-horizontal-relative:page;mso-position-vertical-relative:page" stroked="f">
          <v:textbox style="layout-flow:vertical;mso-next-textbox:#_x0000_s2055" inset="0,0,0,0">
            <w:txbxContent>
              <w:p w:rsidR="002847E7" w:rsidRPr="00177D28" w:rsidRDefault="002847E7" w:rsidP="00177D28">
                <w:pPr>
                  <w:pStyle w:val="Footer"/>
                  <w:tabs>
                    <w:tab w:val="right" w:pos="9598"/>
                  </w:tabs>
                  <w:rPr>
                    <w:b/>
                    <w:sz w:val="18"/>
                  </w:rPr>
                </w:pPr>
                <w:r>
                  <w:t>GE.11-1111111111111</w:t>
                </w:r>
                <w:r>
                  <w:tab/>
                </w:r>
                <w:r w:rsidRPr="00177D28">
                  <w:rPr>
                    <w:b/>
                    <w:sz w:val="18"/>
                  </w:rPr>
                  <w:fldChar w:fldCharType="begin"/>
                </w:r>
                <w:r w:rsidRPr="00177D28">
                  <w:rPr>
                    <w:b/>
                    <w:sz w:val="18"/>
                  </w:rPr>
                  <w:instrText xml:space="preserve"> PAGE  \* MERGEFORMAT </w:instrText>
                </w:r>
                <w:r w:rsidRPr="00177D28">
                  <w:rPr>
                    <w:b/>
                    <w:sz w:val="18"/>
                  </w:rPr>
                  <w:fldChar w:fldCharType="separate"/>
                </w:r>
                <w:r>
                  <w:rPr>
                    <w:b/>
                    <w:noProof/>
                    <w:sz w:val="18"/>
                  </w:rPr>
                  <w:t>27</w:t>
                </w:r>
                <w:r w:rsidRPr="00177D28">
                  <w:rPr>
                    <w:b/>
                    <w:sz w:val="18"/>
                  </w:rPr>
                  <w:fldChar w:fldCharType="end"/>
                </w:r>
              </w:p>
              <w:p w:rsidR="002847E7" w:rsidRDefault="002847E7"/>
            </w:txbxContent>
          </v:textbox>
          <w10:anchorlock/>
        </v:shape>
      </w:pict>
    </w:r>
    <w:r>
      <w:rPr>
        <w:noProof/>
        <w:lang w:val="en-US"/>
      </w:rPr>
      <w:pict>
        <v:shape id="_x0000_s2054" type="#_x0000_t202" style="position:absolute;margin-left:768.15pt;margin-top:56.65pt;width:17.55pt;height:481.9pt;z-index:3;mso-position-horizontal-relative:page;mso-position-vertical-relative:page" stroked="f">
          <v:textbox style="layout-flow:vertical;mso-next-textbox:#_x0000_s2054" inset="0,0,0,0">
            <w:txbxContent>
              <w:p w:rsidR="002847E7" w:rsidRPr="007273A4" w:rsidRDefault="002847E7" w:rsidP="00177D28">
                <w:pPr>
                  <w:pStyle w:val="Header"/>
                  <w:jc w:val="right"/>
                </w:pPr>
                <w:r w:rsidRPr="007273A4">
                  <w:t>E/C.12/IRN/2</w:t>
                </w:r>
              </w:p>
              <w:p w:rsidR="002847E7" w:rsidRDefault="002847E7"/>
            </w:txbxContent>
          </v:textbox>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E7" w:rsidRPr="008B74D2" w:rsidRDefault="002847E7" w:rsidP="008B74D2">
    <w:pPr>
      <w:pStyle w:val="Header"/>
    </w:pPr>
    <w:r>
      <w:t>E/C.12/IRN/2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E7" w:rsidRPr="008B74D2" w:rsidRDefault="002847E7" w:rsidP="008B74D2">
    <w:pPr>
      <w:pStyle w:val="Header"/>
      <w:jc w:val="right"/>
    </w:pPr>
    <w:r>
      <w:t>E/C.12/IRN/2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4707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 w:numId="18">
    <w:abstractNumId w:val="14"/>
  </w:num>
  <w:num w:numId="19">
    <w:abstractNumId w:val="14"/>
  </w:num>
  <w:num w:numId="20">
    <w:abstractNumId w:val="14"/>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D44"/>
    <w:rsid w:val="00000356"/>
    <w:rsid w:val="000011B3"/>
    <w:rsid w:val="000042EA"/>
    <w:rsid w:val="00004DAE"/>
    <w:rsid w:val="00004FFD"/>
    <w:rsid w:val="000067FE"/>
    <w:rsid w:val="0000713A"/>
    <w:rsid w:val="00007147"/>
    <w:rsid w:val="0000752B"/>
    <w:rsid w:val="0001036F"/>
    <w:rsid w:val="00011273"/>
    <w:rsid w:val="0001209D"/>
    <w:rsid w:val="00012703"/>
    <w:rsid w:val="0001284C"/>
    <w:rsid w:val="00013151"/>
    <w:rsid w:val="0001346D"/>
    <w:rsid w:val="00013EAB"/>
    <w:rsid w:val="00015987"/>
    <w:rsid w:val="00016976"/>
    <w:rsid w:val="00017C36"/>
    <w:rsid w:val="00020E93"/>
    <w:rsid w:val="0002294F"/>
    <w:rsid w:val="00022BDA"/>
    <w:rsid w:val="00023358"/>
    <w:rsid w:val="0002497C"/>
    <w:rsid w:val="000249C6"/>
    <w:rsid w:val="0002573B"/>
    <w:rsid w:val="000257AE"/>
    <w:rsid w:val="00025E54"/>
    <w:rsid w:val="000269B6"/>
    <w:rsid w:val="000331DB"/>
    <w:rsid w:val="000334C5"/>
    <w:rsid w:val="0003397E"/>
    <w:rsid w:val="00033DC4"/>
    <w:rsid w:val="00035380"/>
    <w:rsid w:val="00036423"/>
    <w:rsid w:val="00037192"/>
    <w:rsid w:val="00037E6A"/>
    <w:rsid w:val="00040335"/>
    <w:rsid w:val="00041CA2"/>
    <w:rsid w:val="00041DFE"/>
    <w:rsid w:val="000444FC"/>
    <w:rsid w:val="00046312"/>
    <w:rsid w:val="0004659A"/>
    <w:rsid w:val="00046B1F"/>
    <w:rsid w:val="000507B7"/>
    <w:rsid w:val="00050F6B"/>
    <w:rsid w:val="00051794"/>
    <w:rsid w:val="00051931"/>
    <w:rsid w:val="00052575"/>
    <w:rsid w:val="00052667"/>
    <w:rsid w:val="00052803"/>
    <w:rsid w:val="0005284D"/>
    <w:rsid w:val="000528EC"/>
    <w:rsid w:val="0005329A"/>
    <w:rsid w:val="00055204"/>
    <w:rsid w:val="000553CD"/>
    <w:rsid w:val="00057B12"/>
    <w:rsid w:val="00057E97"/>
    <w:rsid w:val="000601AE"/>
    <w:rsid w:val="0006072D"/>
    <w:rsid w:val="000607CA"/>
    <w:rsid w:val="000613AA"/>
    <w:rsid w:val="000625F9"/>
    <w:rsid w:val="00063818"/>
    <w:rsid w:val="00063BCE"/>
    <w:rsid w:val="00063E1D"/>
    <w:rsid w:val="00064CBA"/>
    <w:rsid w:val="000656AC"/>
    <w:rsid w:val="0006576E"/>
    <w:rsid w:val="00066B1A"/>
    <w:rsid w:val="000673F0"/>
    <w:rsid w:val="00067E03"/>
    <w:rsid w:val="00070424"/>
    <w:rsid w:val="000718F9"/>
    <w:rsid w:val="00072C8C"/>
    <w:rsid w:val="00072DB2"/>
    <w:rsid w:val="000733B5"/>
    <w:rsid w:val="000759EF"/>
    <w:rsid w:val="00081815"/>
    <w:rsid w:val="00082D42"/>
    <w:rsid w:val="000831B2"/>
    <w:rsid w:val="0008384E"/>
    <w:rsid w:val="000838E6"/>
    <w:rsid w:val="000841D5"/>
    <w:rsid w:val="00085620"/>
    <w:rsid w:val="00090777"/>
    <w:rsid w:val="00091B39"/>
    <w:rsid w:val="0009296B"/>
    <w:rsid w:val="000929EB"/>
    <w:rsid w:val="000931C0"/>
    <w:rsid w:val="00093EB8"/>
    <w:rsid w:val="00094192"/>
    <w:rsid w:val="000945ED"/>
    <w:rsid w:val="000961EB"/>
    <w:rsid w:val="0009671F"/>
    <w:rsid w:val="00096F25"/>
    <w:rsid w:val="00097413"/>
    <w:rsid w:val="000979D6"/>
    <w:rsid w:val="00097CDB"/>
    <w:rsid w:val="00097ED1"/>
    <w:rsid w:val="000A0021"/>
    <w:rsid w:val="000A06BA"/>
    <w:rsid w:val="000A29B4"/>
    <w:rsid w:val="000A3452"/>
    <w:rsid w:val="000A35A5"/>
    <w:rsid w:val="000A3FC7"/>
    <w:rsid w:val="000A419F"/>
    <w:rsid w:val="000A4AA0"/>
    <w:rsid w:val="000A5041"/>
    <w:rsid w:val="000A7B19"/>
    <w:rsid w:val="000B0595"/>
    <w:rsid w:val="000B175B"/>
    <w:rsid w:val="000B1A65"/>
    <w:rsid w:val="000B1EAA"/>
    <w:rsid w:val="000B2212"/>
    <w:rsid w:val="000B2AE6"/>
    <w:rsid w:val="000B34B7"/>
    <w:rsid w:val="000B3A0F"/>
    <w:rsid w:val="000B432D"/>
    <w:rsid w:val="000B4B76"/>
    <w:rsid w:val="000B4C5E"/>
    <w:rsid w:val="000B4EF7"/>
    <w:rsid w:val="000B524F"/>
    <w:rsid w:val="000B5D58"/>
    <w:rsid w:val="000B5DE7"/>
    <w:rsid w:val="000B670F"/>
    <w:rsid w:val="000B7691"/>
    <w:rsid w:val="000B7788"/>
    <w:rsid w:val="000B7B15"/>
    <w:rsid w:val="000C0F44"/>
    <w:rsid w:val="000C2C03"/>
    <w:rsid w:val="000C2D2E"/>
    <w:rsid w:val="000C39AB"/>
    <w:rsid w:val="000C4721"/>
    <w:rsid w:val="000C490A"/>
    <w:rsid w:val="000C5DBA"/>
    <w:rsid w:val="000C7ECF"/>
    <w:rsid w:val="000D0965"/>
    <w:rsid w:val="000D11E3"/>
    <w:rsid w:val="000D13BE"/>
    <w:rsid w:val="000D1A67"/>
    <w:rsid w:val="000D2376"/>
    <w:rsid w:val="000D40CB"/>
    <w:rsid w:val="000D49E3"/>
    <w:rsid w:val="000E0415"/>
    <w:rsid w:val="000E1F6B"/>
    <w:rsid w:val="000E290C"/>
    <w:rsid w:val="000E38AC"/>
    <w:rsid w:val="000E3AE8"/>
    <w:rsid w:val="000E4F15"/>
    <w:rsid w:val="000E70EB"/>
    <w:rsid w:val="000E7951"/>
    <w:rsid w:val="000E7A9B"/>
    <w:rsid w:val="000E7C70"/>
    <w:rsid w:val="000F091F"/>
    <w:rsid w:val="000F09C4"/>
    <w:rsid w:val="000F16C1"/>
    <w:rsid w:val="000F23AA"/>
    <w:rsid w:val="000F24FB"/>
    <w:rsid w:val="000F2555"/>
    <w:rsid w:val="000F2E80"/>
    <w:rsid w:val="000F2ED4"/>
    <w:rsid w:val="000F4757"/>
    <w:rsid w:val="000F6728"/>
    <w:rsid w:val="000F68D2"/>
    <w:rsid w:val="000F74B0"/>
    <w:rsid w:val="001002B0"/>
    <w:rsid w:val="001015B1"/>
    <w:rsid w:val="00103FD8"/>
    <w:rsid w:val="001052F4"/>
    <w:rsid w:val="0010532A"/>
    <w:rsid w:val="001057E0"/>
    <w:rsid w:val="0010697E"/>
    <w:rsid w:val="001078DD"/>
    <w:rsid w:val="001103AA"/>
    <w:rsid w:val="00110431"/>
    <w:rsid w:val="00110D29"/>
    <w:rsid w:val="001119CD"/>
    <w:rsid w:val="00111A2E"/>
    <w:rsid w:val="00112D14"/>
    <w:rsid w:val="00114587"/>
    <w:rsid w:val="0011666B"/>
    <w:rsid w:val="00120345"/>
    <w:rsid w:val="00120407"/>
    <w:rsid w:val="00120C2E"/>
    <w:rsid w:val="00120D68"/>
    <w:rsid w:val="001217E2"/>
    <w:rsid w:val="00121821"/>
    <w:rsid w:val="001219B1"/>
    <w:rsid w:val="001242E8"/>
    <w:rsid w:val="00124CFC"/>
    <w:rsid w:val="00124D0C"/>
    <w:rsid w:val="00124EBD"/>
    <w:rsid w:val="001257E8"/>
    <w:rsid w:val="00125E6E"/>
    <w:rsid w:val="00125FA1"/>
    <w:rsid w:val="0012728B"/>
    <w:rsid w:val="001275ED"/>
    <w:rsid w:val="00130ABE"/>
    <w:rsid w:val="00130AEB"/>
    <w:rsid w:val="0013102E"/>
    <w:rsid w:val="00131474"/>
    <w:rsid w:val="00131F62"/>
    <w:rsid w:val="00132CA4"/>
    <w:rsid w:val="00132FBA"/>
    <w:rsid w:val="00133101"/>
    <w:rsid w:val="00133D7A"/>
    <w:rsid w:val="001344FE"/>
    <w:rsid w:val="00134688"/>
    <w:rsid w:val="001357F2"/>
    <w:rsid w:val="00136376"/>
    <w:rsid w:val="00136D20"/>
    <w:rsid w:val="00137DBD"/>
    <w:rsid w:val="00140B27"/>
    <w:rsid w:val="00140FE0"/>
    <w:rsid w:val="00143793"/>
    <w:rsid w:val="00144A05"/>
    <w:rsid w:val="00146D08"/>
    <w:rsid w:val="0014758E"/>
    <w:rsid w:val="00152CC0"/>
    <w:rsid w:val="00153047"/>
    <w:rsid w:val="00154621"/>
    <w:rsid w:val="00154F96"/>
    <w:rsid w:val="001554D1"/>
    <w:rsid w:val="00155727"/>
    <w:rsid w:val="00155B77"/>
    <w:rsid w:val="00155C57"/>
    <w:rsid w:val="00155D8B"/>
    <w:rsid w:val="00156DE3"/>
    <w:rsid w:val="00157958"/>
    <w:rsid w:val="00157CB3"/>
    <w:rsid w:val="001601C5"/>
    <w:rsid w:val="001604E2"/>
    <w:rsid w:val="001604F3"/>
    <w:rsid w:val="00160811"/>
    <w:rsid w:val="001624C4"/>
    <w:rsid w:val="00162B07"/>
    <w:rsid w:val="001644E2"/>
    <w:rsid w:val="00165F3A"/>
    <w:rsid w:val="00166DB6"/>
    <w:rsid w:val="00167396"/>
    <w:rsid w:val="001703A5"/>
    <w:rsid w:val="0017057A"/>
    <w:rsid w:val="001717AA"/>
    <w:rsid w:val="00172905"/>
    <w:rsid w:val="001737AF"/>
    <w:rsid w:val="001754C2"/>
    <w:rsid w:val="00175520"/>
    <w:rsid w:val="001758FE"/>
    <w:rsid w:val="00175962"/>
    <w:rsid w:val="00176844"/>
    <w:rsid w:val="00177313"/>
    <w:rsid w:val="00177D28"/>
    <w:rsid w:val="00177F70"/>
    <w:rsid w:val="00180444"/>
    <w:rsid w:val="0018172B"/>
    <w:rsid w:val="00185201"/>
    <w:rsid w:val="00185D70"/>
    <w:rsid w:val="00185FA6"/>
    <w:rsid w:val="0018666B"/>
    <w:rsid w:val="00186B76"/>
    <w:rsid w:val="00187E83"/>
    <w:rsid w:val="00187FCF"/>
    <w:rsid w:val="001922A7"/>
    <w:rsid w:val="001943A0"/>
    <w:rsid w:val="001943A1"/>
    <w:rsid w:val="0019515F"/>
    <w:rsid w:val="00195185"/>
    <w:rsid w:val="00195262"/>
    <w:rsid w:val="001965A7"/>
    <w:rsid w:val="00196FA5"/>
    <w:rsid w:val="00197BA2"/>
    <w:rsid w:val="001A1261"/>
    <w:rsid w:val="001A18F5"/>
    <w:rsid w:val="001A53EE"/>
    <w:rsid w:val="001B081B"/>
    <w:rsid w:val="001B0E44"/>
    <w:rsid w:val="001B0FBA"/>
    <w:rsid w:val="001B24DF"/>
    <w:rsid w:val="001B2D36"/>
    <w:rsid w:val="001B2DDA"/>
    <w:rsid w:val="001B3CED"/>
    <w:rsid w:val="001B4B04"/>
    <w:rsid w:val="001B5925"/>
    <w:rsid w:val="001B7099"/>
    <w:rsid w:val="001B78E0"/>
    <w:rsid w:val="001C0F0C"/>
    <w:rsid w:val="001C164E"/>
    <w:rsid w:val="001C1B4E"/>
    <w:rsid w:val="001C299D"/>
    <w:rsid w:val="001C2A42"/>
    <w:rsid w:val="001C38AB"/>
    <w:rsid w:val="001C453B"/>
    <w:rsid w:val="001C4954"/>
    <w:rsid w:val="001C5F6B"/>
    <w:rsid w:val="001C6663"/>
    <w:rsid w:val="001C7895"/>
    <w:rsid w:val="001D01B5"/>
    <w:rsid w:val="001D0C8C"/>
    <w:rsid w:val="001D0FDE"/>
    <w:rsid w:val="001D1419"/>
    <w:rsid w:val="001D1475"/>
    <w:rsid w:val="001D1AA5"/>
    <w:rsid w:val="001D1FA2"/>
    <w:rsid w:val="001D26DF"/>
    <w:rsid w:val="001D385D"/>
    <w:rsid w:val="001D3A03"/>
    <w:rsid w:val="001D6699"/>
    <w:rsid w:val="001D6CE9"/>
    <w:rsid w:val="001E0866"/>
    <w:rsid w:val="001E0FFC"/>
    <w:rsid w:val="001E1976"/>
    <w:rsid w:val="001E2A5C"/>
    <w:rsid w:val="001E37B5"/>
    <w:rsid w:val="001E386E"/>
    <w:rsid w:val="001E5C85"/>
    <w:rsid w:val="001E7782"/>
    <w:rsid w:val="001E7B67"/>
    <w:rsid w:val="001F0E73"/>
    <w:rsid w:val="001F1ED7"/>
    <w:rsid w:val="001F3010"/>
    <w:rsid w:val="001F3F05"/>
    <w:rsid w:val="001F4745"/>
    <w:rsid w:val="001F4FEB"/>
    <w:rsid w:val="001F548C"/>
    <w:rsid w:val="001F6314"/>
    <w:rsid w:val="001F6CAD"/>
    <w:rsid w:val="001F7468"/>
    <w:rsid w:val="001F7C88"/>
    <w:rsid w:val="002004EC"/>
    <w:rsid w:val="002007C9"/>
    <w:rsid w:val="00200E5B"/>
    <w:rsid w:val="00202DA8"/>
    <w:rsid w:val="002033A1"/>
    <w:rsid w:val="00204410"/>
    <w:rsid w:val="00205555"/>
    <w:rsid w:val="002055A2"/>
    <w:rsid w:val="00205DA6"/>
    <w:rsid w:val="0020639F"/>
    <w:rsid w:val="002063C3"/>
    <w:rsid w:val="002070A9"/>
    <w:rsid w:val="00210186"/>
    <w:rsid w:val="00210806"/>
    <w:rsid w:val="0021095C"/>
    <w:rsid w:val="00211E0B"/>
    <w:rsid w:val="0021463A"/>
    <w:rsid w:val="00214BCE"/>
    <w:rsid w:val="00215811"/>
    <w:rsid w:val="0021668E"/>
    <w:rsid w:val="00216ABF"/>
    <w:rsid w:val="00217786"/>
    <w:rsid w:val="00217F5F"/>
    <w:rsid w:val="002205FD"/>
    <w:rsid w:val="00220811"/>
    <w:rsid w:val="00220EE4"/>
    <w:rsid w:val="00221709"/>
    <w:rsid w:val="00221A72"/>
    <w:rsid w:val="00221B71"/>
    <w:rsid w:val="002231E8"/>
    <w:rsid w:val="00223323"/>
    <w:rsid w:val="002241CD"/>
    <w:rsid w:val="0022448D"/>
    <w:rsid w:val="00225A2A"/>
    <w:rsid w:val="00226995"/>
    <w:rsid w:val="002272E7"/>
    <w:rsid w:val="00230157"/>
    <w:rsid w:val="00234256"/>
    <w:rsid w:val="002349A4"/>
    <w:rsid w:val="00234CD7"/>
    <w:rsid w:val="0023687E"/>
    <w:rsid w:val="00236B58"/>
    <w:rsid w:val="00236D75"/>
    <w:rsid w:val="00240B9F"/>
    <w:rsid w:val="00240E7D"/>
    <w:rsid w:val="0024233B"/>
    <w:rsid w:val="00242639"/>
    <w:rsid w:val="00243970"/>
    <w:rsid w:val="00246662"/>
    <w:rsid w:val="00246A07"/>
    <w:rsid w:val="00246D32"/>
    <w:rsid w:val="00246E1F"/>
    <w:rsid w:val="00247A62"/>
    <w:rsid w:val="00247E43"/>
    <w:rsid w:val="0025159A"/>
    <w:rsid w:val="0025182F"/>
    <w:rsid w:val="002518B0"/>
    <w:rsid w:val="002521A0"/>
    <w:rsid w:val="00252708"/>
    <w:rsid w:val="00252F7F"/>
    <w:rsid w:val="0025306C"/>
    <w:rsid w:val="00254128"/>
    <w:rsid w:val="0025706D"/>
    <w:rsid w:val="0025727E"/>
    <w:rsid w:val="002572F6"/>
    <w:rsid w:val="00257B90"/>
    <w:rsid w:val="002602EA"/>
    <w:rsid w:val="00260FF2"/>
    <w:rsid w:val="002618D5"/>
    <w:rsid w:val="00262CD0"/>
    <w:rsid w:val="00263DF5"/>
    <w:rsid w:val="00264080"/>
    <w:rsid w:val="0026494E"/>
    <w:rsid w:val="002653D6"/>
    <w:rsid w:val="00265797"/>
    <w:rsid w:val="002660F7"/>
    <w:rsid w:val="00266125"/>
    <w:rsid w:val="00267F5F"/>
    <w:rsid w:val="00271C0D"/>
    <w:rsid w:val="00272066"/>
    <w:rsid w:val="002721A7"/>
    <w:rsid w:val="00272DA8"/>
    <w:rsid w:val="00273381"/>
    <w:rsid w:val="00273386"/>
    <w:rsid w:val="00273B75"/>
    <w:rsid w:val="00273C91"/>
    <w:rsid w:val="002742BA"/>
    <w:rsid w:val="0027452A"/>
    <w:rsid w:val="002746DB"/>
    <w:rsid w:val="00275368"/>
    <w:rsid w:val="00276067"/>
    <w:rsid w:val="00277E50"/>
    <w:rsid w:val="00280BEF"/>
    <w:rsid w:val="00280E41"/>
    <w:rsid w:val="002846F0"/>
    <w:rsid w:val="002847E7"/>
    <w:rsid w:val="00285E23"/>
    <w:rsid w:val="00286B4D"/>
    <w:rsid w:val="0029026D"/>
    <w:rsid w:val="00291877"/>
    <w:rsid w:val="00291974"/>
    <w:rsid w:val="00292B3F"/>
    <w:rsid w:val="002967FD"/>
    <w:rsid w:val="002A0059"/>
    <w:rsid w:val="002A0BF6"/>
    <w:rsid w:val="002A0C7A"/>
    <w:rsid w:val="002A0EA4"/>
    <w:rsid w:val="002A3423"/>
    <w:rsid w:val="002A4937"/>
    <w:rsid w:val="002A552D"/>
    <w:rsid w:val="002A6461"/>
    <w:rsid w:val="002A67A2"/>
    <w:rsid w:val="002A6AEA"/>
    <w:rsid w:val="002A7CC3"/>
    <w:rsid w:val="002A7D0F"/>
    <w:rsid w:val="002B07EC"/>
    <w:rsid w:val="002B23DB"/>
    <w:rsid w:val="002B3404"/>
    <w:rsid w:val="002B39FA"/>
    <w:rsid w:val="002B470D"/>
    <w:rsid w:val="002B693B"/>
    <w:rsid w:val="002B753C"/>
    <w:rsid w:val="002B76C0"/>
    <w:rsid w:val="002C0B1D"/>
    <w:rsid w:val="002C0FAD"/>
    <w:rsid w:val="002C15C8"/>
    <w:rsid w:val="002C27BF"/>
    <w:rsid w:val="002C30DA"/>
    <w:rsid w:val="002C402F"/>
    <w:rsid w:val="002C49D0"/>
    <w:rsid w:val="002C4FEA"/>
    <w:rsid w:val="002C506C"/>
    <w:rsid w:val="002C666C"/>
    <w:rsid w:val="002C73A6"/>
    <w:rsid w:val="002D0C53"/>
    <w:rsid w:val="002D31C9"/>
    <w:rsid w:val="002D3CFB"/>
    <w:rsid w:val="002D4643"/>
    <w:rsid w:val="002D4F25"/>
    <w:rsid w:val="002D5515"/>
    <w:rsid w:val="002D5AE4"/>
    <w:rsid w:val="002D5BC6"/>
    <w:rsid w:val="002D6B52"/>
    <w:rsid w:val="002D7C50"/>
    <w:rsid w:val="002E29F2"/>
    <w:rsid w:val="002E2E2A"/>
    <w:rsid w:val="002E58AF"/>
    <w:rsid w:val="002E6FE6"/>
    <w:rsid w:val="002E7F55"/>
    <w:rsid w:val="002F175C"/>
    <w:rsid w:val="002F1FB0"/>
    <w:rsid w:val="002F28E5"/>
    <w:rsid w:val="002F2F81"/>
    <w:rsid w:val="002F2F9D"/>
    <w:rsid w:val="002F3288"/>
    <w:rsid w:val="002F33B6"/>
    <w:rsid w:val="002F4731"/>
    <w:rsid w:val="002F4836"/>
    <w:rsid w:val="002F4FB1"/>
    <w:rsid w:val="002F527E"/>
    <w:rsid w:val="002F59E7"/>
    <w:rsid w:val="002F626C"/>
    <w:rsid w:val="002F7989"/>
    <w:rsid w:val="00300B59"/>
    <w:rsid w:val="00301D79"/>
    <w:rsid w:val="003026E8"/>
    <w:rsid w:val="00302880"/>
    <w:rsid w:val="00302E18"/>
    <w:rsid w:val="00302EE2"/>
    <w:rsid w:val="00305B0A"/>
    <w:rsid w:val="003066D5"/>
    <w:rsid w:val="00311068"/>
    <w:rsid w:val="003114FD"/>
    <w:rsid w:val="00311ED6"/>
    <w:rsid w:val="003123FD"/>
    <w:rsid w:val="003126CF"/>
    <w:rsid w:val="0031271B"/>
    <w:rsid w:val="00312CB3"/>
    <w:rsid w:val="00312DF0"/>
    <w:rsid w:val="003139C1"/>
    <w:rsid w:val="0031499D"/>
    <w:rsid w:val="00314E0E"/>
    <w:rsid w:val="00316AA0"/>
    <w:rsid w:val="00316F0D"/>
    <w:rsid w:val="0031760C"/>
    <w:rsid w:val="00317C3B"/>
    <w:rsid w:val="003206F9"/>
    <w:rsid w:val="00321C6B"/>
    <w:rsid w:val="003229D8"/>
    <w:rsid w:val="0032395F"/>
    <w:rsid w:val="00324A51"/>
    <w:rsid w:val="003309C1"/>
    <w:rsid w:val="00332C60"/>
    <w:rsid w:val="00333944"/>
    <w:rsid w:val="00335865"/>
    <w:rsid w:val="00335EF4"/>
    <w:rsid w:val="00336106"/>
    <w:rsid w:val="00336877"/>
    <w:rsid w:val="00336FAB"/>
    <w:rsid w:val="00337CC7"/>
    <w:rsid w:val="00337D13"/>
    <w:rsid w:val="00341955"/>
    <w:rsid w:val="00343FC0"/>
    <w:rsid w:val="00344267"/>
    <w:rsid w:val="003460C9"/>
    <w:rsid w:val="00346694"/>
    <w:rsid w:val="00347123"/>
    <w:rsid w:val="00350332"/>
    <w:rsid w:val="00350814"/>
    <w:rsid w:val="00351511"/>
    <w:rsid w:val="0035165E"/>
    <w:rsid w:val="00352709"/>
    <w:rsid w:val="00354103"/>
    <w:rsid w:val="003556B8"/>
    <w:rsid w:val="0035581F"/>
    <w:rsid w:val="00355A59"/>
    <w:rsid w:val="00357539"/>
    <w:rsid w:val="00357A53"/>
    <w:rsid w:val="00357B64"/>
    <w:rsid w:val="003604D0"/>
    <w:rsid w:val="003625FE"/>
    <w:rsid w:val="00363121"/>
    <w:rsid w:val="00363E15"/>
    <w:rsid w:val="00363E2D"/>
    <w:rsid w:val="003643A1"/>
    <w:rsid w:val="0036523D"/>
    <w:rsid w:val="00371178"/>
    <w:rsid w:val="00371E5A"/>
    <w:rsid w:val="00372051"/>
    <w:rsid w:val="00373C8E"/>
    <w:rsid w:val="00374045"/>
    <w:rsid w:val="00374D0A"/>
    <w:rsid w:val="00376A93"/>
    <w:rsid w:val="00376BC5"/>
    <w:rsid w:val="0037718D"/>
    <w:rsid w:val="003805D3"/>
    <w:rsid w:val="00380FEE"/>
    <w:rsid w:val="00381A0C"/>
    <w:rsid w:val="00381A53"/>
    <w:rsid w:val="00383098"/>
    <w:rsid w:val="003832AA"/>
    <w:rsid w:val="00383B34"/>
    <w:rsid w:val="00383F94"/>
    <w:rsid w:val="003904E1"/>
    <w:rsid w:val="00390A20"/>
    <w:rsid w:val="00390AA7"/>
    <w:rsid w:val="00391E55"/>
    <w:rsid w:val="003926BF"/>
    <w:rsid w:val="00393E3D"/>
    <w:rsid w:val="00396637"/>
    <w:rsid w:val="00396AE4"/>
    <w:rsid w:val="0039728C"/>
    <w:rsid w:val="00397D38"/>
    <w:rsid w:val="00397D41"/>
    <w:rsid w:val="003A029B"/>
    <w:rsid w:val="003A13AF"/>
    <w:rsid w:val="003A372E"/>
    <w:rsid w:val="003A4FA6"/>
    <w:rsid w:val="003A6810"/>
    <w:rsid w:val="003A6C6E"/>
    <w:rsid w:val="003A6D8B"/>
    <w:rsid w:val="003A7628"/>
    <w:rsid w:val="003A764D"/>
    <w:rsid w:val="003A77BF"/>
    <w:rsid w:val="003A79A1"/>
    <w:rsid w:val="003B071A"/>
    <w:rsid w:val="003B0865"/>
    <w:rsid w:val="003B1403"/>
    <w:rsid w:val="003B141B"/>
    <w:rsid w:val="003B3673"/>
    <w:rsid w:val="003B396B"/>
    <w:rsid w:val="003B3BA3"/>
    <w:rsid w:val="003B431D"/>
    <w:rsid w:val="003B48A4"/>
    <w:rsid w:val="003B4E20"/>
    <w:rsid w:val="003B5467"/>
    <w:rsid w:val="003C0E5E"/>
    <w:rsid w:val="003C1F35"/>
    <w:rsid w:val="003C2288"/>
    <w:rsid w:val="003C239D"/>
    <w:rsid w:val="003C2CC4"/>
    <w:rsid w:val="003C3B15"/>
    <w:rsid w:val="003C4F1C"/>
    <w:rsid w:val="003C5A76"/>
    <w:rsid w:val="003C5AE0"/>
    <w:rsid w:val="003C62B9"/>
    <w:rsid w:val="003C79F5"/>
    <w:rsid w:val="003D0AEA"/>
    <w:rsid w:val="003D24E8"/>
    <w:rsid w:val="003D2CBE"/>
    <w:rsid w:val="003D3F62"/>
    <w:rsid w:val="003D43D2"/>
    <w:rsid w:val="003D4B23"/>
    <w:rsid w:val="003D58D0"/>
    <w:rsid w:val="003D63D7"/>
    <w:rsid w:val="003D6850"/>
    <w:rsid w:val="003D7BF9"/>
    <w:rsid w:val="003E2399"/>
    <w:rsid w:val="003E47A9"/>
    <w:rsid w:val="003E659C"/>
    <w:rsid w:val="003E7011"/>
    <w:rsid w:val="003E75EC"/>
    <w:rsid w:val="003E782C"/>
    <w:rsid w:val="003E7B99"/>
    <w:rsid w:val="003F0E89"/>
    <w:rsid w:val="003F0F72"/>
    <w:rsid w:val="003F1D66"/>
    <w:rsid w:val="003F25A2"/>
    <w:rsid w:val="003F3D4E"/>
    <w:rsid w:val="003F43D3"/>
    <w:rsid w:val="003F44F0"/>
    <w:rsid w:val="003F4914"/>
    <w:rsid w:val="003F58AD"/>
    <w:rsid w:val="003F5CB0"/>
    <w:rsid w:val="004001A0"/>
    <w:rsid w:val="004003C8"/>
    <w:rsid w:val="00400C7C"/>
    <w:rsid w:val="004010C5"/>
    <w:rsid w:val="0040117B"/>
    <w:rsid w:val="00401CAF"/>
    <w:rsid w:val="00401EA2"/>
    <w:rsid w:val="00402662"/>
    <w:rsid w:val="00402757"/>
    <w:rsid w:val="00402EE2"/>
    <w:rsid w:val="004032A5"/>
    <w:rsid w:val="00403D83"/>
    <w:rsid w:val="0040494E"/>
    <w:rsid w:val="00404BEB"/>
    <w:rsid w:val="00404E1E"/>
    <w:rsid w:val="004052CD"/>
    <w:rsid w:val="0040593F"/>
    <w:rsid w:val="00405FED"/>
    <w:rsid w:val="004107BE"/>
    <w:rsid w:val="00410C89"/>
    <w:rsid w:val="00412047"/>
    <w:rsid w:val="004126B2"/>
    <w:rsid w:val="00413A64"/>
    <w:rsid w:val="00414674"/>
    <w:rsid w:val="00414AC8"/>
    <w:rsid w:val="004162F4"/>
    <w:rsid w:val="00422390"/>
    <w:rsid w:val="00422E03"/>
    <w:rsid w:val="00423086"/>
    <w:rsid w:val="00425B8C"/>
    <w:rsid w:val="00426B9B"/>
    <w:rsid w:val="00430415"/>
    <w:rsid w:val="00431D04"/>
    <w:rsid w:val="004325CB"/>
    <w:rsid w:val="00433CEF"/>
    <w:rsid w:val="004340B2"/>
    <w:rsid w:val="0043463E"/>
    <w:rsid w:val="004352B3"/>
    <w:rsid w:val="0043596C"/>
    <w:rsid w:val="0043598E"/>
    <w:rsid w:val="0043681C"/>
    <w:rsid w:val="004373B2"/>
    <w:rsid w:val="0044240B"/>
    <w:rsid w:val="00442A83"/>
    <w:rsid w:val="00443015"/>
    <w:rsid w:val="00443A0E"/>
    <w:rsid w:val="00444153"/>
    <w:rsid w:val="00445CD1"/>
    <w:rsid w:val="00445ED1"/>
    <w:rsid w:val="00446FB9"/>
    <w:rsid w:val="00450D5E"/>
    <w:rsid w:val="00450E34"/>
    <w:rsid w:val="004524EB"/>
    <w:rsid w:val="0045310D"/>
    <w:rsid w:val="0045335C"/>
    <w:rsid w:val="0045495B"/>
    <w:rsid w:val="004551FC"/>
    <w:rsid w:val="004564A6"/>
    <w:rsid w:val="00457342"/>
    <w:rsid w:val="00460588"/>
    <w:rsid w:val="00463CA4"/>
    <w:rsid w:val="004648A6"/>
    <w:rsid w:val="00465FFC"/>
    <w:rsid w:val="0046758E"/>
    <w:rsid w:val="00470081"/>
    <w:rsid w:val="004701C7"/>
    <w:rsid w:val="00471BCD"/>
    <w:rsid w:val="00471C7A"/>
    <w:rsid w:val="00471E57"/>
    <w:rsid w:val="00471E5E"/>
    <w:rsid w:val="00471EDF"/>
    <w:rsid w:val="004727A4"/>
    <w:rsid w:val="00472BB3"/>
    <w:rsid w:val="004730BA"/>
    <w:rsid w:val="0047372C"/>
    <w:rsid w:val="00475FAD"/>
    <w:rsid w:val="00477121"/>
    <w:rsid w:val="00477C24"/>
    <w:rsid w:val="00477D04"/>
    <w:rsid w:val="004804B7"/>
    <w:rsid w:val="004810DD"/>
    <w:rsid w:val="00481138"/>
    <w:rsid w:val="004818F3"/>
    <w:rsid w:val="00481D67"/>
    <w:rsid w:val="0048397A"/>
    <w:rsid w:val="00483C88"/>
    <w:rsid w:val="00484C1C"/>
    <w:rsid w:val="004851FE"/>
    <w:rsid w:val="00485992"/>
    <w:rsid w:val="004860EB"/>
    <w:rsid w:val="004861EF"/>
    <w:rsid w:val="004868FB"/>
    <w:rsid w:val="00487675"/>
    <w:rsid w:val="00487826"/>
    <w:rsid w:val="004904E4"/>
    <w:rsid w:val="0049071C"/>
    <w:rsid w:val="00490ADD"/>
    <w:rsid w:val="0049116C"/>
    <w:rsid w:val="0049131C"/>
    <w:rsid w:val="00491DBE"/>
    <w:rsid w:val="00492B46"/>
    <w:rsid w:val="00493353"/>
    <w:rsid w:val="00493C88"/>
    <w:rsid w:val="00494470"/>
    <w:rsid w:val="004945F8"/>
    <w:rsid w:val="004957B9"/>
    <w:rsid w:val="0049639A"/>
    <w:rsid w:val="0049682B"/>
    <w:rsid w:val="00496C06"/>
    <w:rsid w:val="004976EE"/>
    <w:rsid w:val="00497BEB"/>
    <w:rsid w:val="004A0480"/>
    <w:rsid w:val="004A0DCE"/>
    <w:rsid w:val="004A46E5"/>
    <w:rsid w:val="004A4D40"/>
    <w:rsid w:val="004A7581"/>
    <w:rsid w:val="004A7689"/>
    <w:rsid w:val="004B0EDD"/>
    <w:rsid w:val="004B1B4E"/>
    <w:rsid w:val="004B2988"/>
    <w:rsid w:val="004B3260"/>
    <w:rsid w:val="004B389C"/>
    <w:rsid w:val="004B6624"/>
    <w:rsid w:val="004C2461"/>
    <w:rsid w:val="004C2B7A"/>
    <w:rsid w:val="004C50C0"/>
    <w:rsid w:val="004C5BDD"/>
    <w:rsid w:val="004C5CEE"/>
    <w:rsid w:val="004C61C3"/>
    <w:rsid w:val="004C673D"/>
    <w:rsid w:val="004C6963"/>
    <w:rsid w:val="004C6C93"/>
    <w:rsid w:val="004C7462"/>
    <w:rsid w:val="004D086E"/>
    <w:rsid w:val="004D2261"/>
    <w:rsid w:val="004D30C4"/>
    <w:rsid w:val="004D3C18"/>
    <w:rsid w:val="004D6336"/>
    <w:rsid w:val="004D70E3"/>
    <w:rsid w:val="004E1022"/>
    <w:rsid w:val="004E1642"/>
    <w:rsid w:val="004E3E7E"/>
    <w:rsid w:val="004E45FB"/>
    <w:rsid w:val="004E52E5"/>
    <w:rsid w:val="004E53F2"/>
    <w:rsid w:val="004E6305"/>
    <w:rsid w:val="004E77B2"/>
    <w:rsid w:val="004E79AE"/>
    <w:rsid w:val="004F055E"/>
    <w:rsid w:val="004F07CF"/>
    <w:rsid w:val="004F0BD6"/>
    <w:rsid w:val="004F1156"/>
    <w:rsid w:val="004F22ED"/>
    <w:rsid w:val="004F2A00"/>
    <w:rsid w:val="004F2D7C"/>
    <w:rsid w:val="004F3CCD"/>
    <w:rsid w:val="004F41DC"/>
    <w:rsid w:val="004F4E39"/>
    <w:rsid w:val="004F5038"/>
    <w:rsid w:val="004F5476"/>
    <w:rsid w:val="004F58D5"/>
    <w:rsid w:val="004F5F16"/>
    <w:rsid w:val="00500442"/>
    <w:rsid w:val="00501B81"/>
    <w:rsid w:val="005023C0"/>
    <w:rsid w:val="00504B2D"/>
    <w:rsid w:val="00505CA0"/>
    <w:rsid w:val="00505E7B"/>
    <w:rsid w:val="0050601F"/>
    <w:rsid w:val="00510E2C"/>
    <w:rsid w:val="00514A01"/>
    <w:rsid w:val="0051503E"/>
    <w:rsid w:val="005164C3"/>
    <w:rsid w:val="0051656E"/>
    <w:rsid w:val="00516817"/>
    <w:rsid w:val="005176B8"/>
    <w:rsid w:val="00517C47"/>
    <w:rsid w:val="0052136D"/>
    <w:rsid w:val="005215CC"/>
    <w:rsid w:val="00522B58"/>
    <w:rsid w:val="00523B38"/>
    <w:rsid w:val="00524180"/>
    <w:rsid w:val="005242D7"/>
    <w:rsid w:val="0052544D"/>
    <w:rsid w:val="0052545D"/>
    <w:rsid w:val="0052656C"/>
    <w:rsid w:val="0052775E"/>
    <w:rsid w:val="005307C0"/>
    <w:rsid w:val="00533832"/>
    <w:rsid w:val="005342C5"/>
    <w:rsid w:val="0053454A"/>
    <w:rsid w:val="00535A90"/>
    <w:rsid w:val="005402D7"/>
    <w:rsid w:val="00541EC2"/>
    <w:rsid w:val="005420F2"/>
    <w:rsid w:val="00542ECA"/>
    <w:rsid w:val="00543B38"/>
    <w:rsid w:val="00543C5A"/>
    <w:rsid w:val="00543C8E"/>
    <w:rsid w:val="00545C3C"/>
    <w:rsid w:val="00546D34"/>
    <w:rsid w:val="00546DD8"/>
    <w:rsid w:val="00550509"/>
    <w:rsid w:val="00552583"/>
    <w:rsid w:val="00556802"/>
    <w:rsid w:val="00556AD5"/>
    <w:rsid w:val="005602EA"/>
    <w:rsid w:val="00560617"/>
    <w:rsid w:val="005627FE"/>
    <w:rsid w:val="005628B6"/>
    <w:rsid w:val="0056515D"/>
    <w:rsid w:val="00565959"/>
    <w:rsid w:val="00565DCA"/>
    <w:rsid w:val="00566292"/>
    <w:rsid w:val="005672D3"/>
    <w:rsid w:val="0056792B"/>
    <w:rsid w:val="00570011"/>
    <w:rsid w:val="005709EE"/>
    <w:rsid w:val="00571B6F"/>
    <w:rsid w:val="005721FB"/>
    <w:rsid w:val="005724E6"/>
    <w:rsid w:val="00574061"/>
    <w:rsid w:val="00575FB9"/>
    <w:rsid w:val="0057603B"/>
    <w:rsid w:val="005779EE"/>
    <w:rsid w:val="00577B4E"/>
    <w:rsid w:val="00577BC3"/>
    <w:rsid w:val="00577FC0"/>
    <w:rsid w:val="0058082E"/>
    <w:rsid w:val="00581151"/>
    <w:rsid w:val="005829B8"/>
    <w:rsid w:val="00586C48"/>
    <w:rsid w:val="00586EBA"/>
    <w:rsid w:val="00586F9A"/>
    <w:rsid w:val="00590C97"/>
    <w:rsid w:val="00592083"/>
    <w:rsid w:val="00592C01"/>
    <w:rsid w:val="00594C9B"/>
    <w:rsid w:val="00595617"/>
    <w:rsid w:val="00595B2A"/>
    <w:rsid w:val="00596EA9"/>
    <w:rsid w:val="00597357"/>
    <w:rsid w:val="005974EF"/>
    <w:rsid w:val="005A0F13"/>
    <w:rsid w:val="005A13A9"/>
    <w:rsid w:val="005A2C23"/>
    <w:rsid w:val="005A30CF"/>
    <w:rsid w:val="005A683B"/>
    <w:rsid w:val="005B1BE9"/>
    <w:rsid w:val="005B1FE2"/>
    <w:rsid w:val="005B3B2E"/>
    <w:rsid w:val="005B3CFE"/>
    <w:rsid w:val="005B3DB3"/>
    <w:rsid w:val="005B45A4"/>
    <w:rsid w:val="005B4E13"/>
    <w:rsid w:val="005B77F0"/>
    <w:rsid w:val="005B7D55"/>
    <w:rsid w:val="005C0E89"/>
    <w:rsid w:val="005C23B1"/>
    <w:rsid w:val="005C26B5"/>
    <w:rsid w:val="005C2AB7"/>
    <w:rsid w:val="005C3369"/>
    <w:rsid w:val="005C41F4"/>
    <w:rsid w:val="005C595C"/>
    <w:rsid w:val="005C68A4"/>
    <w:rsid w:val="005C6C51"/>
    <w:rsid w:val="005D087A"/>
    <w:rsid w:val="005D3C65"/>
    <w:rsid w:val="005D4568"/>
    <w:rsid w:val="005D4C79"/>
    <w:rsid w:val="005D5024"/>
    <w:rsid w:val="005D6016"/>
    <w:rsid w:val="005D6873"/>
    <w:rsid w:val="005E01C1"/>
    <w:rsid w:val="005E02B1"/>
    <w:rsid w:val="005E0B6F"/>
    <w:rsid w:val="005E132C"/>
    <w:rsid w:val="005E329A"/>
    <w:rsid w:val="005E4167"/>
    <w:rsid w:val="005E5B9D"/>
    <w:rsid w:val="005E77CD"/>
    <w:rsid w:val="005F0E56"/>
    <w:rsid w:val="005F1276"/>
    <w:rsid w:val="005F12CE"/>
    <w:rsid w:val="005F3317"/>
    <w:rsid w:val="005F5DE8"/>
    <w:rsid w:val="005F6DB4"/>
    <w:rsid w:val="005F7B75"/>
    <w:rsid w:val="005F7ED6"/>
    <w:rsid w:val="005F7F28"/>
    <w:rsid w:val="006001EE"/>
    <w:rsid w:val="0060040F"/>
    <w:rsid w:val="00600AB2"/>
    <w:rsid w:val="00601135"/>
    <w:rsid w:val="006023A7"/>
    <w:rsid w:val="0060256E"/>
    <w:rsid w:val="006036DC"/>
    <w:rsid w:val="00605042"/>
    <w:rsid w:val="006052DF"/>
    <w:rsid w:val="006053E7"/>
    <w:rsid w:val="0060588F"/>
    <w:rsid w:val="00606772"/>
    <w:rsid w:val="00607118"/>
    <w:rsid w:val="006071DA"/>
    <w:rsid w:val="00610140"/>
    <w:rsid w:val="00611FC4"/>
    <w:rsid w:val="006140ED"/>
    <w:rsid w:val="00614657"/>
    <w:rsid w:val="00615464"/>
    <w:rsid w:val="00615FC7"/>
    <w:rsid w:val="006176FB"/>
    <w:rsid w:val="00621744"/>
    <w:rsid w:val="00623F51"/>
    <w:rsid w:val="00624011"/>
    <w:rsid w:val="0062608C"/>
    <w:rsid w:val="00626195"/>
    <w:rsid w:val="006262AC"/>
    <w:rsid w:val="0062768D"/>
    <w:rsid w:val="00627BC4"/>
    <w:rsid w:val="00627CBB"/>
    <w:rsid w:val="00627FB4"/>
    <w:rsid w:val="0063000B"/>
    <w:rsid w:val="00630107"/>
    <w:rsid w:val="0063018B"/>
    <w:rsid w:val="0063086E"/>
    <w:rsid w:val="00630F67"/>
    <w:rsid w:val="006318EA"/>
    <w:rsid w:val="0063391D"/>
    <w:rsid w:val="0063416E"/>
    <w:rsid w:val="00634A0D"/>
    <w:rsid w:val="00636063"/>
    <w:rsid w:val="00636CFE"/>
    <w:rsid w:val="00637706"/>
    <w:rsid w:val="00637E67"/>
    <w:rsid w:val="006409BE"/>
    <w:rsid w:val="00640B26"/>
    <w:rsid w:val="00642A57"/>
    <w:rsid w:val="00643309"/>
    <w:rsid w:val="006445DC"/>
    <w:rsid w:val="0064506B"/>
    <w:rsid w:val="0064696A"/>
    <w:rsid w:val="006474A3"/>
    <w:rsid w:val="006478AE"/>
    <w:rsid w:val="006479BB"/>
    <w:rsid w:val="00652D0A"/>
    <w:rsid w:val="006538BC"/>
    <w:rsid w:val="0065606C"/>
    <w:rsid w:val="0065621B"/>
    <w:rsid w:val="00656310"/>
    <w:rsid w:val="006602DC"/>
    <w:rsid w:val="0066054D"/>
    <w:rsid w:val="006623D5"/>
    <w:rsid w:val="00662526"/>
    <w:rsid w:val="00662760"/>
    <w:rsid w:val="00662BB6"/>
    <w:rsid w:val="00663988"/>
    <w:rsid w:val="0066496F"/>
    <w:rsid w:val="006659C7"/>
    <w:rsid w:val="00666189"/>
    <w:rsid w:val="00667255"/>
    <w:rsid w:val="00670311"/>
    <w:rsid w:val="0067049F"/>
    <w:rsid w:val="00670602"/>
    <w:rsid w:val="00670B7B"/>
    <w:rsid w:val="0067252F"/>
    <w:rsid w:val="00673EDF"/>
    <w:rsid w:val="006754DB"/>
    <w:rsid w:val="00676914"/>
    <w:rsid w:val="00676ED4"/>
    <w:rsid w:val="00677BF7"/>
    <w:rsid w:val="0068065D"/>
    <w:rsid w:val="006814E9"/>
    <w:rsid w:val="006817E2"/>
    <w:rsid w:val="00682096"/>
    <w:rsid w:val="00682D5F"/>
    <w:rsid w:val="00683211"/>
    <w:rsid w:val="00684B4B"/>
    <w:rsid w:val="00684C21"/>
    <w:rsid w:val="00685B1F"/>
    <w:rsid w:val="00686673"/>
    <w:rsid w:val="00687EFD"/>
    <w:rsid w:val="00690874"/>
    <w:rsid w:val="00690905"/>
    <w:rsid w:val="006931C9"/>
    <w:rsid w:val="00693322"/>
    <w:rsid w:val="00693FF7"/>
    <w:rsid w:val="00694D69"/>
    <w:rsid w:val="00695FF7"/>
    <w:rsid w:val="0069627E"/>
    <w:rsid w:val="00697389"/>
    <w:rsid w:val="00697843"/>
    <w:rsid w:val="00697B05"/>
    <w:rsid w:val="006A2530"/>
    <w:rsid w:val="006A443A"/>
    <w:rsid w:val="006A4873"/>
    <w:rsid w:val="006A5CFD"/>
    <w:rsid w:val="006A64A2"/>
    <w:rsid w:val="006A6DB9"/>
    <w:rsid w:val="006A73BD"/>
    <w:rsid w:val="006B0302"/>
    <w:rsid w:val="006B10E2"/>
    <w:rsid w:val="006B5174"/>
    <w:rsid w:val="006B5C6C"/>
    <w:rsid w:val="006B5DC8"/>
    <w:rsid w:val="006B786B"/>
    <w:rsid w:val="006C0006"/>
    <w:rsid w:val="006C0AA2"/>
    <w:rsid w:val="006C3589"/>
    <w:rsid w:val="006C3D23"/>
    <w:rsid w:val="006C40D6"/>
    <w:rsid w:val="006D0A3D"/>
    <w:rsid w:val="006D0E0C"/>
    <w:rsid w:val="006D1350"/>
    <w:rsid w:val="006D1BAC"/>
    <w:rsid w:val="006D37AF"/>
    <w:rsid w:val="006D3D1A"/>
    <w:rsid w:val="006D51D0"/>
    <w:rsid w:val="006D520C"/>
    <w:rsid w:val="006D7AC5"/>
    <w:rsid w:val="006D7D2D"/>
    <w:rsid w:val="006E1E53"/>
    <w:rsid w:val="006E23CB"/>
    <w:rsid w:val="006E329D"/>
    <w:rsid w:val="006E4143"/>
    <w:rsid w:val="006E51F0"/>
    <w:rsid w:val="006E564B"/>
    <w:rsid w:val="006E61FD"/>
    <w:rsid w:val="006E7191"/>
    <w:rsid w:val="006E7F14"/>
    <w:rsid w:val="006F1D70"/>
    <w:rsid w:val="006F1E00"/>
    <w:rsid w:val="006F32D1"/>
    <w:rsid w:val="006F3CE6"/>
    <w:rsid w:val="006F62A8"/>
    <w:rsid w:val="006F747B"/>
    <w:rsid w:val="006F7EFE"/>
    <w:rsid w:val="00703577"/>
    <w:rsid w:val="00704181"/>
    <w:rsid w:val="00704462"/>
    <w:rsid w:val="00705894"/>
    <w:rsid w:val="0070678F"/>
    <w:rsid w:val="00707DCC"/>
    <w:rsid w:val="0071197A"/>
    <w:rsid w:val="00712713"/>
    <w:rsid w:val="00712D85"/>
    <w:rsid w:val="00713FFE"/>
    <w:rsid w:val="00714844"/>
    <w:rsid w:val="007168D8"/>
    <w:rsid w:val="00717774"/>
    <w:rsid w:val="007177D2"/>
    <w:rsid w:val="0071782F"/>
    <w:rsid w:val="0071799E"/>
    <w:rsid w:val="00717E77"/>
    <w:rsid w:val="00720788"/>
    <w:rsid w:val="00720B7D"/>
    <w:rsid w:val="007211D2"/>
    <w:rsid w:val="00722B47"/>
    <w:rsid w:val="00722CDE"/>
    <w:rsid w:val="00722D8F"/>
    <w:rsid w:val="00723580"/>
    <w:rsid w:val="00723F2B"/>
    <w:rsid w:val="0072557F"/>
    <w:rsid w:val="0072632A"/>
    <w:rsid w:val="007270B7"/>
    <w:rsid w:val="007273A4"/>
    <w:rsid w:val="00731380"/>
    <w:rsid w:val="00731552"/>
    <w:rsid w:val="007327C7"/>
    <w:rsid w:val="007327D5"/>
    <w:rsid w:val="00733DA6"/>
    <w:rsid w:val="007342B6"/>
    <w:rsid w:val="00735614"/>
    <w:rsid w:val="007358E4"/>
    <w:rsid w:val="00740448"/>
    <w:rsid w:val="00740733"/>
    <w:rsid w:val="00741585"/>
    <w:rsid w:val="007423CA"/>
    <w:rsid w:val="00744FD2"/>
    <w:rsid w:val="00745040"/>
    <w:rsid w:val="00745B3F"/>
    <w:rsid w:val="007464B9"/>
    <w:rsid w:val="007468DE"/>
    <w:rsid w:val="00750B2E"/>
    <w:rsid w:val="00751ED4"/>
    <w:rsid w:val="007527F4"/>
    <w:rsid w:val="00752BAB"/>
    <w:rsid w:val="00752C2F"/>
    <w:rsid w:val="0075591A"/>
    <w:rsid w:val="0075601B"/>
    <w:rsid w:val="00757FD1"/>
    <w:rsid w:val="0076034D"/>
    <w:rsid w:val="00760C0E"/>
    <w:rsid w:val="00762701"/>
    <w:rsid w:val="007629C8"/>
    <w:rsid w:val="00762CB3"/>
    <w:rsid w:val="0076330B"/>
    <w:rsid w:val="00763978"/>
    <w:rsid w:val="007639C4"/>
    <w:rsid w:val="007648C7"/>
    <w:rsid w:val="0076517B"/>
    <w:rsid w:val="00765DC4"/>
    <w:rsid w:val="0076651C"/>
    <w:rsid w:val="0077047D"/>
    <w:rsid w:val="007708CD"/>
    <w:rsid w:val="00770D52"/>
    <w:rsid w:val="00772025"/>
    <w:rsid w:val="00772A2C"/>
    <w:rsid w:val="00773008"/>
    <w:rsid w:val="00773B71"/>
    <w:rsid w:val="00773F1E"/>
    <w:rsid w:val="00774C70"/>
    <w:rsid w:val="00774E61"/>
    <w:rsid w:val="00774F8B"/>
    <w:rsid w:val="00776A61"/>
    <w:rsid w:val="00777486"/>
    <w:rsid w:val="00777C67"/>
    <w:rsid w:val="00777D9C"/>
    <w:rsid w:val="00777F33"/>
    <w:rsid w:val="00777FFB"/>
    <w:rsid w:val="00780310"/>
    <w:rsid w:val="007812CB"/>
    <w:rsid w:val="007814BF"/>
    <w:rsid w:val="00781571"/>
    <w:rsid w:val="00782549"/>
    <w:rsid w:val="00782B71"/>
    <w:rsid w:val="0078380F"/>
    <w:rsid w:val="0078387E"/>
    <w:rsid w:val="007847EB"/>
    <w:rsid w:val="00786702"/>
    <w:rsid w:val="00786CCB"/>
    <w:rsid w:val="007875F1"/>
    <w:rsid w:val="00790BDF"/>
    <w:rsid w:val="00791CF5"/>
    <w:rsid w:val="00791EF6"/>
    <w:rsid w:val="00793565"/>
    <w:rsid w:val="0079492E"/>
    <w:rsid w:val="0079509B"/>
    <w:rsid w:val="00795993"/>
    <w:rsid w:val="00795C29"/>
    <w:rsid w:val="00797EE2"/>
    <w:rsid w:val="007A0D36"/>
    <w:rsid w:val="007A1E2D"/>
    <w:rsid w:val="007A2F5D"/>
    <w:rsid w:val="007A4B1E"/>
    <w:rsid w:val="007A5611"/>
    <w:rsid w:val="007A6D78"/>
    <w:rsid w:val="007A6F35"/>
    <w:rsid w:val="007A7380"/>
    <w:rsid w:val="007A7663"/>
    <w:rsid w:val="007B033A"/>
    <w:rsid w:val="007B1FF1"/>
    <w:rsid w:val="007B2FBF"/>
    <w:rsid w:val="007B4A2E"/>
    <w:rsid w:val="007B6BA5"/>
    <w:rsid w:val="007B795E"/>
    <w:rsid w:val="007C23C4"/>
    <w:rsid w:val="007C3390"/>
    <w:rsid w:val="007C4CC8"/>
    <w:rsid w:val="007C4F4B"/>
    <w:rsid w:val="007C597B"/>
    <w:rsid w:val="007C64B7"/>
    <w:rsid w:val="007C718B"/>
    <w:rsid w:val="007D002B"/>
    <w:rsid w:val="007D1B67"/>
    <w:rsid w:val="007D201E"/>
    <w:rsid w:val="007D20FF"/>
    <w:rsid w:val="007D30CE"/>
    <w:rsid w:val="007D3C4B"/>
    <w:rsid w:val="007D4374"/>
    <w:rsid w:val="007D4798"/>
    <w:rsid w:val="007D4DD2"/>
    <w:rsid w:val="007D7166"/>
    <w:rsid w:val="007E01E9"/>
    <w:rsid w:val="007E06F7"/>
    <w:rsid w:val="007E19B7"/>
    <w:rsid w:val="007E27F5"/>
    <w:rsid w:val="007E3820"/>
    <w:rsid w:val="007E3B23"/>
    <w:rsid w:val="007E5125"/>
    <w:rsid w:val="007E5F3A"/>
    <w:rsid w:val="007E63F3"/>
    <w:rsid w:val="007F2F52"/>
    <w:rsid w:val="007F37CE"/>
    <w:rsid w:val="007F41F4"/>
    <w:rsid w:val="007F48AC"/>
    <w:rsid w:val="007F4D23"/>
    <w:rsid w:val="007F53A5"/>
    <w:rsid w:val="007F60DD"/>
    <w:rsid w:val="007F6611"/>
    <w:rsid w:val="007F76AD"/>
    <w:rsid w:val="008006AA"/>
    <w:rsid w:val="008018C9"/>
    <w:rsid w:val="008028E1"/>
    <w:rsid w:val="008039C4"/>
    <w:rsid w:val="00805D5B"/>
    <w:rsid w:val="008077B0"/>
    <w:rsid w:val="008078BA"/>
    <w:rsid w:val="00811920"/>
    <w:rsid w:val="008127CA"/>
    <w:rsid w:val="00812EF3"/>
    <w:rsid w:val="00813DDF"/>
    <w:rsid w:val="0081574F"/>
    <w:rsid w:val="0081596C"/>
    <w:rsid w:val="00815AD0"/>
    <w:rsid w:val="0081605D"/>
    <w:rsid w:val="00816714"/>
    <w:rsid w:val="00821712"/>
    <w:rsid w:val="00823600"/>
    <w:rsid w:val="008242D7"/>
    <w:rsid w:val="00824C7E"/>
    <w:rsid w:val="008257B1"/>
    <w:rsid w:val="00825D2D"/>
    <w:rsid w:val="008264C6"/>
    <w:rsid w:val="0082653D"/>
    <w:rsid w:val="00826B50"/>
    <w:rsid w:val="00827DB2"/>
    <w:rsid w:val="008302C0"/>
    <w:rsid w:val="00830F80"/>
    <w:rsid w:val="0083183B"/>
    <w:rsid w:val="00831D34"/>
    <w:rsid w:val="0083216D"/>
    <w:rsid w:val="00832617"/>
    <w:rsid w:val="00832638"/>
    <w:rsid w:val="00832663"/>
    <w:rsid w:val="008328E7"/>
    <w:rsid w:val="0083463D"/>
    <w:rsid w:val="00836D3A"/>
    <w:rsid w:val="008405A8"/>
    <w:rsid w:val="008430C7"/>
    <w:rsid w:val="00843767"/>
    <w:rsid w:val="0084440C"/>
    <w:rsid w:val="00844AE1"/>
    <w:rsid w:val="00845DAD"/>
    <w:rsid w:val="00846881"/>
    <w:rsid w:val="00846B8D"/>
    <w:rsid w:val="00847A71"/>
    <w:rsid w:val="00847A8E"/>
    <w:rsid w:val="008520EF"/>
    <w:rsid w:val="00852DD5"/>
    <w:rsid w:val="00853594"/>
    <w:rsid w:val="008545C3"/>
    <w:rsid w:val="00854C0E"/>
    <w:rsid w:val="008553D9"/>
    <w:rsid w:val="00856269"/>
    <w:rsid w:val="008572D3"/>
    <w:rsid w:val="0086023C"/>
    <w:rsid w:val="0086054C"/>
    <w:rsid w:val="00860D09"/>
    <w:rsid w:val="008613E1"/>
    <w:rsid w:val="00861AEE"/>
    <w:rsid w:val="008639B1"/>
    <w:rsid w:val="00863C5A"/>
    <w:rsid w:val="00864CD6"/>
    <w:rsid w:val="00864EA3"/>
    <w:rsid w:val="00864F47"/>
    <w:rsid w:val="008673D2"/>
    <w:rsid w:val="008679D9"/>
    <w:rsid w:val="00867A98"/>
    <w:rsid w:val="00867B77"/>
    <w:rsid w:val="0087082A"/>
    <w:rsid w:val="00871CBE"/>
    <w:rsid w:val="008736C2"/>
    <w:rsid w:val="008738B3"/>
    <w:rsid w:val="00873C00"/>
    <w:rsid w:val="00874AEB"/>
    <w:rsid w:val="0087597A"/>
    <w:rsid w:val="00877B0F"/>
    <w:rsid w:val="0088083D"/>
    <w:rsid w:val="00881286"/>
    <w:rsid w:val="00881287"/>
    <w:rsid w:val="008822E8"/>
    <w:rsid w:val="008827C1"/>
    <w:rsid w:val="008828A7"/>
    <w:rsid w:val="00882AEA"/>
    <w:rsid w:val="00883ED9"/>
    <w:rsid w:val="008840C8"/>
    <w:rsid w:val="008867D3"/>
    <w:rsid w:val="00887244"/>
    <w:rsid w:val="008878DE"/>
    <w:rsid w:val="00887956"/>
    <w:rsid w:val="0089146B"/>
    <w:rsid w:val="008917E5"/>
    <w:rsid w:val="00891B54"/>
    <w:rsid w:val="00892198"/>
    <w:rsid w:val="00892D83"/>
    <w:rsid w:val="008933E9"/>
    <w:rsid w:val="008934D5"/>
    <w:rsid w:val="00893980"/>
    <w:rsid w:val="00895C53"/>
    <w:rsid w:val="00897343"/>
    <w:rsid w:val="008979B1"/>
    <w:rsid w:val="008A0917"/>
    <w:rsid w:val="008A0F8A"/>
    <w:rsid w:val="008A30BB"/>
    <w:rsid w:val="008A3E74"/>
    <w:rsid w:val="008A4A0D"/>
    <w:rsid w:val="008A4A98"/>
    <w:rsid w:val="008A6633"/>
    <w:rsid w:val="008A69F2"/>
    <w:rsid w:val="008A6B25"/>
    <w:rsid w:val="008A6B93"/>
    <w:rsid w:val="008A6C4F"/>
    <w:rsid w:val="008A6DF6"/>
    <w:rsid w:val="008A7415"/>
    <w:rsid w:val="008A74CC"/>
    <w:rsid w:val="008A78F4"/>
    <w:rsid w:val="008A7BA2"/>
    <w:rsid w:val="008B13FB"/>
    <w:rsid w:val="008B17A5"/>
    <w:rsid w:val="008B1CFD"/>
    <w:rsid w:val="008B2335"/>
    <w:rsid w:val="008B25ED"/>
    <w:rsid w:val="008B26DA"/>
    <w:rsid w:val="008B2C9D"/>
    <w:rsid w:val="008B3492"/>
    <w:rsid w:val="008B4149"/>
    <w:rsid w:val="008B4A38"/>
    <w:rsid w:val="008B5333"/>
    <w:rsid w:val="008B574C"/>
    <w:rsid w:val="008B5EB3"/>
    <w:rsid w:val="008B74D2"/>
    <w:rsid w:val="008B7F9E"/>
    <w:rsid w:val="008C0351"/>
    <w:rsid w:val="008C102E"/>
    <w:rsid w:val="008C1B3C"/>
    <w:rsid w:val="008C5856"/>
    <w:rsid w:val="008C5889"/>
    <w:rsid w:val="008C58A6"/>
    <w:rsid w:val="008C7A0E"/>
    <w:rsid w:val="008D0214"/>
    <w:rsid w:val="008D420F"/>
    <w:rsid w:val="008D446F"/>
    <w:rsid w:val="008D6B77"/>
    <w:rsid w:val="008D7425"/>
    <w:rsid w:val="008E0678"/>
    <w:rsid w:val="008E2423"/>
    <w:rsid w:val="008E28EE"/>
    <w:rsid w:val="008E34EF"/>
    <w:rsid w:val="008E3865"/>
    <w:rsid w:val="008E4437"/>
    <w:rsid w:val="008E56C6"/>
    <w:rsid w:val="008E5705"/>
    <w:rsid w:val="008E6527"/>
    <w:rsid w:val="008E766A"/>
    <w:rsid w:val="008F05FB"/>
    <w:rsid w:val="008F16E6"/>
    <w:rsid w:val="008F22E5"/>
    <w:rsid w:val="008F24C9"/>
    <w:rsid w:val="008F28C7"/>
    <w:rsid w:val="008F3C52"/>
    <w:rsid w:val="008F4138"/>
    <w:rsid w:val="008F448B"/>
    <w:rsid w:val="008F51E1"/>
    <w:rsid w:val="008F5530"/>
    <w:rsid w:val="008F6006"/>
    <w:rsid w:val="008F7D33"/>
    <w:rsid w:val="00900083"/>
    <w:rsid w:val="009021C7"/>
    <w:rsid w:val="00902783"/>
    <w:rsid w:val="00902B8F"/>
    <w:rsid w:val="009049EC"/>
    <w:rsid w:val="00904D04"/>
    <w:rsid w:val="00905B1A"/>
    <w:rsid w:val="0091074D"/>
    <w:rsid w:val="0091338E"/>
    <w:rsid w:val="00913C59"/>
    <w:rsid w:val="009166F6"/>
    <w:rsid w:val="00917009"/>
    <w:rsid w:val="00917D86"/>
    <w:rsid w:val="00921E65"/>
    <w:rsid w:val="009223CA"/>
    <w:rsid w:val="009236BB"/>
    <w:rsid w:val="00924575"/>
    <w:rsid w:val="0092511D"/>
    <w:rsid w:val="009257E3"/>
    <w:rsid w:val="00927233"/>
    <w:rsid w:val="00927D85"/>
    <w:rsid w:val="00930639"/>
    <w:rsid w:val="009310CD"/>
    <w:rsid w:val="00931593"/>
    <w:rsid w:val="00931821"/>
    <w:rsid w:val="00932D55"/>
    <w:rsid w:val="0093382D"/>
    <w:rsid w:val="009338E4"/>
    <w:rsid w:val="00934050"/>
    <w:rsid w:val="0093435E"/>
    <w:rsid w:val="00934656"/>
    <w:rsid w:val="00934F67"/>
    <w:rsid w:val="00940907"/>
    <w:rsid w:val="009409E3"/>
    <w:rsid w:val="00940B08"/>
    <w:rsid w:val="00940F93"/>
    <w:rsid w:val="0094231D"/>
    <w:rsid w:val="009426F7"/>
    <w:rsid w:val="009429FF"/>
    <w:rsid w:val="00943A69"/>
    <w:rsid w:val="00945EC3"/>
    <w:rsid w:val="00946A73"/>
    <w:rsid w:val="009473AE"/>
    <w:rsid w:val="00947425"/>
    <w:rsid w:val="009500B0"/>
    <w:rsid w:val="00950878"/>
    <w:rsid w:val="009517FB"/>
    <w:rsid w:val="009522F4"/>
    <w:rsid w:val="00952628"/>
    <w:rsid w:val="00952F7E"/>
    <w:rsid w:val="0095400E"/>
    <w:rsid w:val="00954387"/>
    <w:rsid w:val="009573DB"/>
    <w:rsid w:val="00963018"/>
    <w:rsid w:val="009633C2"/>
    <w:rsid w:val="00963C03"/>
    <w:rsid w:val="00964611"/>
    <w:rsid w:val="00965230"/>
    <w:rsid w:val="00965821"/>
    <w:rsid w:val="00966186"/>
    <w:rsid w:val="00966BE0"/>
    <w:rsid w:val="00966EE2"/>
    <w:rsid w:val="00967483"/>
    <w:rsid w:val="00967E1D"/>
    <w:rsid w:val="00970042"/>
    <w:rsid w:val="0097132A"/>
    <w:rsid w:val="00972AC7"/>
    <w:rsid w:val="00972E67"/>
    <w:rsid w:val="009734FE"/>
    <w:rsid w:val="00973504"/>
    <w:rsid w:val="0097416C"/>
    <w:rsid w:val="00974C6B"/>
    <w:rsid w:val="009759EC"/>
    <w:rsid w:val="009760F3"/>
    <w:rsid w:val="00976F26"/>
    <w:rsid w:val="0097736B"/>
    <w:rsid w:val="0098021E"/>
    <w:rsid w:val="00980501"/>
    <w:rsid w:val="00982035"/>
    <w:rsid w:val="00986DE6"/>
    <w:rsid w:val="00987C18"/>
    <w:rsid w:val="00987C7F"/>
    <w:rsid w:val="009919EE"/>
    <w:rsid w:val="00991A24"/>
    <w:rsid w:val="00992A4B"/>
    <w:rsid w:val="00992A80"/>
    <w:rsid w:val="00992FA3"/>
    <w:rsid w:val="0099391F"/>
    <w:rsid w:val="00994431"/>
    <w:rsid w:val="0099453E"/>
    <w:rsid w:val="00994C35"/>
    <w:rsid w:val="0099526A"/>
    <w:rsid w:val="009A065E"/>
    <w:rsid w:val="009A0E8D"/>
    <w:rsid w:val="009A208A"/>
    <w:rsid w:val="009A20F3"/>
    <w:rsid w:val="009A3270"/>
    <w:rsid w:val="009A327E"/>
    <w:rsid w:val="009A3877"/>
    <w:rsid w:val="009A46DA"/>
    <w:rsid w:val="009A4AD2"/>
    <w:rsid w:val="009A7517"/>
    <w:rsid w:val="009A78A8"/>
    <w:rsid w:val="009B17FA"/>
    <w:rsid w:val="009B21CE"/>
    <w:rsid w:val="009B2569"/>
    <w:rsid w:val="009B26E7"/>
    <w:rsid w:val="009B314D"/>
    <w:rsid w:val="009B513C"/>
    <w:rsid w:val="009B55DF"/>
    <w:rsid w:val="009B59F2"/>
    <w:rsid w:val="009B5AC9"/>
    <w:rsid w:val="009B5B4F"/>
    <w:rsid w:val="009B61BA"/>
    <w:rsid w:val="009B748C"/>
    <w:rsid w:val="009C0C56"/>
    <w:rsid w:val="009C179E"/>
    <w:rsid w:val="009C1BC7"/>
    <w:rsid w:val="009C2132"/>
    <w:rsid w:val="009C2BD5"/>
    <w:rsid w:val="009C433A"/>
    <w:rsid w:val="009C434D"/>
    <w:rsid w:val="009C50C4"/>
    <w:rsid w:val="009C5A32"/>
    <w:rsid w:val="009C65FA"/>
    <w:rsid w:val="009C72BA"/>
    <w:rsid w:val="009C76CF"/>
    <w:rsid w:val="009D038B"/>
    <w:rsid w:val="009D0F8D"/>
    <w:rsid w:val="009D16F4"/>
    <w:rsid w:val="009D2898"/>
    <w:rsid w:val="009D3873"/>
    <w:rsid w:val="009D390E"/>
    <w:rsid w:val="009D3DF5"/>
    <w:rsid w:val="009D471E"/>
    <w:rsid w:val="009D57FA"/>
    <w:rsid w:val="009D647B"/>
    <w:rsid w:val="009D7118"/>
    <w:rsid w:val="009D7F16"/>
    <w:rsid w:val="009E1230"/>
    <w:rsid w:val="009E1EDF"/>
    <w:rsid w:val="009E2AD4"/>
    <w:rsid w:val="009E3619"/>
    <w:rsid w:val="009E3A5C"/>
    <w:rsid w:val="009E3FF2"/>
    <w:rsid w:val="009E5047"/>
    <w:rsid w:val="009E5135"/>
    <w:rsid w:val="009E6056"/>
    <w:rsid w:val="009E6189"/>
    <w:rsid w:val="009E70C9"/>
    <w:rsid w:val="009E7ED4"/>
    <w:rsid w:val="009F29D4"/>
    <w:rsid w:val="009F4355"/>
    <w:rsid w:val="009F4A79"/>
    <w:rsid w:val="009F6746"/>
    <w:rsid w:val="009F71EA"/>
    <w:rsid w:val="009F7C7F"/>
    <w:rsid w:val="00A00A3F"/>
    <w:rsid w:val="00A01489"/>
    <w:rsid w:val="00A0154D"/>
    <w:rsid w:val="00A016F5"/>
    <w:rsid w:val="00A02AFE"/>
    <w:rsid w:val="00A02BDF"/>
    <w:rsid w:val="00A02D20"/>
    <w:rsid w:val="00A033B1"/>
    <w:rsid w:val="00A040F9"/>
    <w:rsid w:val="00A048EF"/>
    <w:rsid w:val="00A0494F"/>
    <w:rsid w:val="00A04A7D"/>
    <w:rsid w:val="00A05045"/>
    <w:rsid w:val="00A053D6"/>
    <w:rsid w:val="00A111EC"/>
    <w:rsid w:val="00A11326"/>
    <w:rsid w:val="00A12407"/>
    <w:rsid w:val="00A13A80"/>
    <w:rsid w:val="00A143BC"/>
    <w:rsid w:val="00A1692C"/>
    <w:rsid w:val="00A16DF5"/>
    <w:rsid w:val="00A2055B"/>
    <w:rsid w:val="00A212C2"/>
    <w:rsid w:val="00A22A46"/>
    <w:rsid w:val="00A23286"/>
    <w:rsid w:val="00A233C2"/>
    <w:rsid w:val="00A234C2"/>
    <w:rsid w:val="00A234E8"/>
    <w:rsid w:val="00A2381F"/>
    <w:rsid w:val="00A25A52"/>
    <w:rsid w:val="00A26292"/>
    <w:rsid w:val="00A26431"/>
    <w:rsid w:val="00A26568"/>
    <w:rsid w:val="00A26C35"/>
    <w:rsid w:val="00A3026E"/>
    <w:rsid w:val="00A305E1"/>
    <w:rsid w:val="00A30B84"/>
    <w:rsid w:val="00A30D94"/>
    <w:rsid w:val="00A3370B"/>
    <w:rsid w:val="00A338F1"/>
    <w:rsid w:val="00A33E36"/>
    <w:rsid w:val="00A33E51"/>
    <w:rsid w:val="00A348FE"/>
    <w:rsid w:val="00A3774C"/>
    <w:rsid w:val="00A37820"/>
    <w:rsid w:val="00A41126"/>
    <w:rsid w:val="00A41B6E"/>
    <w:rsid w:val="00A43EF8"/>
    <w:rsid w:val="00A448F4"/>
    <w:rsid w:val="00A452CE"/>
    <w:rsid w:val="00A45A11"/>
    <w:rsid w:val="00A463E5"/>
    <w:rsid w:val="00A466F9"/>
    <w:rsid w:val="00A467F6"/>
    <w:rsid w:val="00A46DF8"/>
    <w:rsid w:val="00A47A57"/>
    <w:rsid w:val="00A50D40"/>
    <w:rsid w:val="00A5171D"/>
    <w:rsid w:val="00A51C38"/>
    <w:rsid w:val="00A51F76"/>
    <w:rsid w:val="00A529DD"/>
    <w:rsid w:val="00A52AF7"/>
    <w:rsid w:val="00A54440"/>
    <w:rsid w:val="00A54455"/>
    <w:rsid w:val="00A565CC"/>
    <w:rsid w:val="00A56628"/>
    <w:rsid w:val="00A573EC"/>
    <w:rsid w:val="00A5752C"/>
    <w:rsid w:val="00A57DDF"/>
    <w:rsid w:val="00A61696"/>
    <w:rsid w:val="00A62149"/>
    <w:rsid w:val="00A629DE"/>
    <w:rsid w:val="00A62B4E"/>
    <w:rsid w:val="00A631AE"/>
    <w:rsid w:val="00A6353E"/>
    <w:rsid w:val="00A64012"/>
    <w:rsid w:val="00A6455C"/>
    <w:rsid w:val="00A64B4B"/>
    <w:rsid w:val="00A66551"/>
    <w:rsid w:val="00A670E0"/>
    <w:rsid w:val="00A7044C"/>
    <w:rsid w:val="00A728DE"/>
    <w:rsid w:val="00A72F22"/>
    <w:rsid w:val="00A7303A"/>
    <w:rsid w:val="00A7360F"/>
    <w:rsid w:val="00A7453D"/>
    <w:rsid w:val="00A74604"/>
    <w:rsid w:val="00A748A6"/>
    <w:rsid w:val="00A75101"/>
    <w:rsid w:val="00A758F9"/>
    <w:rsid w:val="00A75A5C"/>
    <w:rsid w:val="00A75EC4"/>
    <w:rsid w:val="00A76830"/>
    <w:rsid w:val="00A769F4"/>
    <w:rsid w:val="00A774F8"/>
    <w:rsid w:val="00A776B4"/>
    <w:rsid w:val="00A800F3"/>
    <w:rsid w:val="00A80F24"/>
    <w:rsid w:val="00A82212"/>
    <w:rsid w:val="00A83442"/>
    <w:rsid w:val="00A83D4B"/>
    <w:rsid w:val="00A86C98"/>
    <w:rsid w:val="00A8723D"/>
    <w:rsid w:val="00A87D3B"/>
    <w:rsid w:val="00A90208"/>
    <w:rsid w:val="00A91A8D"/>
    <w:rsid w:val="00A91B37"/>
    <w:rsid w:val="00A925C7"/>
    <w:rsid w:val="00A92DFD"/>
    <w:rsid w:val="00A93852"/>
    <w:rsid w:val="00A9385B"/>
    <w:rsid w:val="00A94361"/>
    <w:rsid w:val="00A95E98"/>
    <w:rsid w:val="00A96335"/>
    <w:rsid w:val="00A97890"/>
    <w:rsid w:val="00A97A11"/>
    <w:rsid w:val="00AA1228"/>
    <w:rsid w:val="00AA2133"/>
    <w:rsid w:val="00AA22EB"/>
    <w:rsid w:val="00AA249E"/>
    <w:rsid w:val="00AA2741"/>
    <w:rsid w:val="00AA293C"/>
    <w:rsid w:val="00AA41CF"/>
    <w:rsid w:val="00AA4791"/>
    <w:rsid w:val="00AA4A8F"/>
    <w:rsid w:val="00AA4FEF"/>
    <w:rsid w:val="00AA5F6F"/>
    <w:rsid w:val="00AA6792"/>
    <w:rsid w:val="00AA780F"/>
    <w:rsid w:val="00AB0686"/>
    <w:rsid w:val="00AB0BC8"/>
    <w:rsid w:val="00AB0C1F"/>
    <w:rsid w:val="00AB11FA"/>
    <w:rsid w:val="00AB2503"/>
    <w:rsid w:val="00AB259B"/>
    <w:rsid w:val="00AB273A"/>
    <w:rsid w:val="00AB45CD"/>
    <w:rsid w:val="00AB72B6"/>
    <w:rsid w:val="00AB7339"/>
    <w:rsid w:val="00AB7462"/>
    <w:rsid w:val="00AC0072"/>
    <w:rsid w:val="00AC0AAF"/>
    <w:rsid w:val="00AC0EFD"/>
    <w:rsid w:val="00AC1B84"/>
    <w:rsid w:val="00AC3472"/>
    <w:rsid w:val="00AC424B"/>
    <w:rsid w:val="00AC55AB"/>
    <w:rsid w:val="00AC6182"/>
    <w:rsid w:val="00AC73B1"/>
    <w:rsid w:val="00AD0267"/>
    <w:rsid w:val="00AD0317"/>
    <w:rsid w:val="00AD0ADD"/>
    <w:rsid w:val="00AD0D98"/>
    <w:rsid w:val="00AD12F8"/>
    <w:rsid w:val="00AD16A1"/>
    <w:rsid w:val="00AD23E2"/>
    <w:rsid w:val="00AD3587"/>
    <w:rsid w:val="00AD3823"/>
    <w:rsid w:val="00AD5035"/>
    <w:rsid w:val="00AD587C"/>
    <w:rsid w:val="00AD6C67"/>
    <w:rsid w:val="00AD76C4"/>
    <w:rsid w:val="00AD7F91"/>
    <w:rsid w:val="00AE0B82"/>
    <w:rsid w:val="00AE0D7C"/>
    <w:rsid w:val="00AE105F"/>
    <w:rsid w:val="00AE1AB6"/>
    <w:rsid w:val="00AE1B86"/>
    <w:rsid w:val="00AE1F0A"/>
    <w:rsid w:val="00AE2154"/>
    <w:rsid w:val="00AE37C1"/>
    <w:rsid w:val="00AE3C2F"/>
    <w:rsid w:val="00AE4959"/>
    <w:rsid w:val="00AE4C1A"/>
    <w:rsid w:val="00AE4F61"/>
    <w:rsid w:val="00AE6307"/>
    <w:rsid w:val="00AE7C65"/>
    <w:rsid w:val="00AF0852"/>
    <w:rsid w:val="00AF3A7F"/>
    <w:rsid w:val="00AF44B8"/>
    <w:rsid w:val="00AF7059"/>
    <w:rsid w:val="00B00574"/>
    <w:rsid w:val="00B025F7"/>
    <w:rsid w:val="00B02D31"/>
    <w:rsid w:val="00B0377D"/>
    <w:rsid w:val="00B0389C"/>
    <w:rsid w:val="00B0408C"/>
    <w:rsid w:val="00B04A59"/>
    <w:rsid w:val="00B04EA8"/>
    <w:rsid w:val="00B0523F"/>
    <w:rsid w:val="00B05D69"/>
    <w:rsid w:val="00B06554"/>
    <w:rsid w:val="00B07302"/>
    <w:rsid w:val="00B07C67"/>
    <w:rsid w:val="00B07D34"/>
    <w:rsid w:val="00B1057C"/>
    <w:rsid w:val="00B114DD"/>
    <w:rsid w:val="00B118F2"/>
    <w:rsid w:val="00B12D3A"/>
    <w:rsid w:val="00B12DED"/>
    <w:rsid w:val="00B13F4B"/>
    <w:rsid w:val="00B14994"/>
    <w:rsid w:val="00B155EC"/>
    <w:rsid w:val="00B16613"/>
    <w:rsid w:val="00B16CB3"/>
    <w:rsid w:val="00B174F3"/>
    <w:rsid w:val="00B205D1"/>
    <w:rsid w:val="00B21024"/>
    <w:rsid w:val="00B212D9"/>
    <w:rsid w:val="00B2191A"/>
    <w:rsid w:val="00B21E51"/>
    <w:rsid w:val="00B247E6"/>
    <w:rsid w:val="00B24FBB"/>
    <w:rsid w:val="00B259B8"/>
    <w:rsid w:val="00B26001"/>
    <w:rsid w:val="00B26E16"/>
    <w:rsid w:val="00B270D7"/>
    <w:rsid w:val="00B27C58"/>
    <w:rsid w:val="00B30179"/>
    <w:rsid w:val="00B3207F"/>
    <w:rsid w:val="00B3277D"/>
    <w:rsid w:val="00B32B93"/>
    <w:rsid w:val="00B349BB"/>
    <w:rsid w:val="00B34B73"/>
    <w:rsid w:val="00B350D6"/>
    <w:rsid w:val="00B36D44"/>
    <w:rsid w:val="00B36E28"/>
    <w:rsid w:val="00B37B6E"/>
    <w:rsid w:val="00B421C1"/>
    <w:rsid w:val="00B44057"/>
    <w:rsid w:val="00B4429A"/>
    <w:rsid w:val="00B44915"/>
    <w:rsid w:val="00B45417"/>
    <w:rsid w:val="00B46E85"/>
    <w:rsid w:val="00B50901"/>
    <w:rsid w:val="00B513D6"/>
    <w:rsid w:val="00B5198C"/>
    <w:rsid w:val="00B531C2"/>
    <w:rsid w:val="00B53353"/>
    <w:rsid w:val="00B5489F"/>
    <w:rsid w:val="00B54EA5"/>
    <w:rsid w:val="00B55247"/>
    <w:rsid w:val="00B55403"/>
    <w:rsid w:val="00B558B8"/>
    <w:rsid w:val="00B55C71"/>
    <w:rsid w:val="00B56E4A"/>
    <w:rsid w:val="00B56E9C"/>
    <w:rsid w:val="00B5708D"/>
    <w:rsid w:val="00B5785F"/>
    <w:rsid w:val="00B6070A"/>
    <w:rsid w:val="00B60A05"/>
    <w:rsid w:val="00B640EE"/>
    <w:rsid w:val="00B64B1F"/>
    <w:rsid w:val="00B65050"/>
    <w:rsid w:val="00B6553F"/>
    <w:rsid w:val="00B65737"/>
    <w:rsid w:val="00B66435"/>
    <w:rsid w:val="00B671E2"/>
    <w:rsid w:val="00B70BC3"/>
    <w:rsid w:val="00B70F5E"/>
    <w:rsid w:val="00B71235"/>
    <w:rsid w:val="00B71907"/>
    <w:rsid w:val="00B71AD9"/>
    <w:rsid w:val="00B762CA"/>
    <w:rsid w:val="00B76A3A"/>
    <w:rsid w:val="00B76A9C"/>
    <w:rsid w:val="00B77D05"/>
    <w:rsid w:val="00B80CD1"/>
    <w:rsid w:val="00B81206"/>
    <w:rsid w:val="00B81E12"/>
    <w:rsid w:val="00B825C5"/>
    <w:rsid w:val="00B8306D"/>
    <w:rsid w:val="00B832AA"/>
    <w:rsid w:val="00B86E48"/>
    <w:rsid w:val="00B9017B"/>
    <w:rsid w:val="00B90316"/>
    <w:rsid w:val="00B91149"/>
    <w:rsid w:val="00B92D7E"/>
    <w:rsid w:val="00B93527"/>
    <w:rsid w:val="00B9587C"/>
    <w:rsid w:val="00B95D34"/>
    <w:rsid w:val="00B97D66"/>
    <w:rsid w:val="00BA10B9"/>
    <w:rsid w:val="00BA2370"/>
    <w:rsid w:val="00BA29F8"/>
    <w:rsid w:val="00BA31AA"/>
    <w:rsid w:val="00BA3F25"/>
    <w:rsid w:val="00BA46A5"/>
    <w:rsid w:val="00BA77C7"/>
    <w:rsid w:val="00BB0D66"/>
    <w:rsid w:val="00BB47F7"/>
    <w:rsid w:val="00BC0919"/>
    <w:rsid w:val="00BC0DF2"/>
    <w:rsid w:val="00BC107A"/>
    <w:rsid w:val="00BC27A9"/>
    <w:rsid w:val="00BC3FA0"/>
    <w:rsid w:val="00BC46AB"/>
    <w:rsid w:val="00BC475F"/>
    <w:rsid w:val="00BC6F14"/>
    <w:rsid w:val="00BC739D"/>
    <w:rsid w:val="00BC74E9"/>
    <w:rsid w:val="00BD13E3"/>
    <w:rsid w:val="00BD18AE"/>
    <w:rsid w:val="00BD264B"/>
    <w:rsid w:val="00BD35A4"/>
    <w:rsid w:val="00BD3839"/>
    <w:rsid w:val="00BD3B96"/>
    <w:rsid w:val="00BD4082"/>
    <w:rsid w:val="00BD5308"/>
    <w:rsid w:val="00BD5DC6"/>
    <w:rsid w:val="00BD5F61"/>
    <w:rsid w:val="00BD5FF1"/>
    <w:rsid w:val="00BE1B74"/>
    <w:rsid w:val="00BE2FED"/>
    <w:rsid w:val="00BE3E6F"/>
    <w:rsid w:val="00BE4D4F"/>
    <w:rsid w:val="00BE6159"/>
    <w:rsid w:val="00BE665C"/>
    <w:rsid w:val="00BF029C"/>
    <w:rsid w:val="00BF08CC"/>
    <w:rsid w:val="00BF17BF"/>
    <w:rsid w:val="00BF223D"/>
    <w:rsid w:val="00BF2586"/>
    <w:rsid w:val="00BF27ED"/>
    <w:rsid w:val="00BF33E5"/>
    <w:rsid w:val="00BF3F53"/>
    <w:rsid w:val="00BF435F"/>
    <w:rsid w:val="00BF48F4"/>
    <w:rsid w:val="00BF5CEC"/>
    <w:rsid w:val="00BF68A8"/>
    <w:rsid w:val="00BF7171"/>
    <w:rsid w:val="00BF7680"/>
    <w:rsid w:val="00C006BB"/>
    <w:rsid w:val="00C01E17"/>
    <w:rsid w:val="00C03629"/>
    <w:rsid w:val="00C03B3D"/>
    <w:rsid w:val="00C0403B"/>
    <w:rsid w:val="00C06474"/>
    <w:rsid w:val="00C066BB"/>
    <w:rsid w:val="00C10A56"/>
    <w:rsid w:val="00C11A03"/>
    <w:rsid w:val="00C12C5D"/>
    <w:rsid w:val="00C13744"/>
    <w:rsid w:val="00C148BE"/>
    <w:rsid w:val="00C15363"/>
    <w:rsid w:val="00C153CC"/>
    <w:rsid w:val="00C15F63"/>
    <w:rsid w:val="00C165FB"/>
    <w:rsid w:val="00C16972"/>
    <w:rsid w:val="00C175FF"/>
    <w:rsid w:val="00C17CC1"/>
    <w:rsid w:val="00C2083C"/>
    <w:rsid w:val="00C2279D"/>
    <w:rsid w:val="00C22C0C"/>
    <w:rsid w:val="00C22D10"/>
    <w:rsid w:val="00C232FA"/>
    <w:rsid w:val="00C23D75"/>
    <w:rsid w:val="00C24023"/>
    <w:rsid w:val="00C24F88"/>
    <w:rsid w:val="00C25584"/>
    <w:rsid w:val="00C26F55"/>
    <w:rsid w:val="00C27D02"/>
    <w:rsid w:val="00C30AA0"/>
    <w:rsid w:val="00C3124B"/>
    <w:rsid w:val="00C32793"/>
    <w:rsid w:val="00C3355E"/>
    <w:rsid w:val="00C34219"/>
    <w:rsid w:val="00C350AA"/>
    <w:rsid w:val="00C3515D"/>
    <w:rsid w:val="00C35570"/>
    <w:rsid w:val="00C35E8B"/>
    <w:rsid w:val="00C363E1"/>
    <w:rsid w:val="00C36750"/>
    <w:rsid w:val="00C405F3"/>
    <w:rsid w:val="00C4376F"/>
    <w:rsid w:val="00C44456"/>
    <w:rsid w:val="00C44748"/>
    <w:rsid w:val="00C4527F"/>
    <w:rsid w:val="00C458C8"/>
    <w:rsid w:val="00C45E1E"/>
    <w:rsid w:val="00C463DD"/>
    <w:rsid w:val="00C465C3"/>
    <w:rsid w:val="00C4724C"/>
    <w:rsid w:val="00C47A13"/>
    <w:rsid w:val="00C50086"/>
    <w:rsid w:val="00C5050D"/>
    <w:rsid w:val="00C519B2"/>
    <w:rsid w:val="00C524CD"/>
    <w:rsid w:val="00C52544"/>
    <w:rsid w:val="00C5322F"/>
    <w:rsid w:val="00C54437"/>
    <w:rsid w:val="00C55676"/>
    <w:rsid w:val="00C56D76"/>
    <w:rsid w:val="00C57256"/>
    <w:rsid w:val="00C57FBF"/>
    <w:rsid w:val="00C6093C"/>
    <w:rsid w:val="00C629A0"/>
    <w:rsid w:val="00C62E37"/>
    <w:rsid w:val="00C633BE"/>
    <w:rsid w:val="00C63638"/>
    <w:rsid w:val="00C64629"/>
    <w:rsid w:val="00C64DB1"/>
    <w:rsid w:val="00C65FBC"/>
    <w:rsid w:val="00C70344"/>
    <w:rsid w:val="00C70988"/>
    <w:rsid w:val="00C72F7A"/>
    <w:rsid w:val="00C7318F"/>
    <w:rsid w:val="00C745C3"/>
    <w:rsid w:val="00C74F0D"/>
    <w:rsid w:val="00C767F3"/>
    <w:rsid w:val="00C76D37"/>
    <w:rsid w:val="00C76DDF"/>
    <w:rsid w:val="00C801BE"/>
    <w:rsid w:val="00C81363"/>
    <w:rsid w:val="00C8208E"/>
    <w:rsid w:val="00C844F1"/>
    <w:rsid w:val="00C85630"/>
    <w:rsid w:val="00C86BDE"/>
    <w:rsid w:val="00C877DA"/>
    <w:rsid w:val="00C87EE9"/>
    <w:rsid w:val="00C92079"/>
    <w:rsid w:val="00C92B66"/>
    <w:rsid w:val="00C938B3"/>
    <w:rsid w:val="00C93F5D"/>
    <w:rsid w:val="00C97549"/>
    <w:rsid w:val="00C97E8E"/>
    <w:rsid w:val="00CA0E7F"/>
    <w:rsid w:val="00CA1EB0"/>
    <w:rsid w:val="00CA2688"/>
    <w:rsid w:val="00CA2FDA"/>
    <w:rsid w:val="00CA3D78"/>
    <w:rsid w:val="00CA5378"/>
    <w:rsid w:val="00CA5AAB"/>
    <w:rsid w:val="00CA67D2"/>
    <w:rsid w:val="00CA698E"/>
    <w:rsid w:val="00CB0B29"/>
    <w:rsid w:val="00CB1491"/>
    <w:rsid w:val="00CB1A9C"/>
    <w:rsid w:val="00CB1F41"/>
    <w:rsid w:val="00CB3867"/>
    <w:rsid w:val="00CB3E03"/>
    <w:rsid w:val="00CB4281"/>
    <w:rsid w:val="00CB4BD7"/>
    <w:rsid w:val="00CB5549"/>
    <w:rsid w:val="00CB5AE0"/>
    <w:rsid w:val="00CB7BCB"/>
    <w:rsid w:val="00CC2267"/>
    <w:rsid w:val="00CC38C1"/>
    <w:rsid w:val="00CC4089"/>
    <w:rsid w:val="00CC42D1"/>
    <w:rsid w:val="00CC4D09"/>
    <w:rsid w:val="00CC79A4"/>
    <w:rsid w:val="00CD0516"/>
    <w:rsid w:val="00CD111F"/>
    <w:rsid w:val="00CD1674"/>
    <w:rsid w:val="00CD16EC"/>
    <w:rsid w:val="00CD21A5"/>
    <w:rsid w:val="00CD35D7"/>
    <w:rsid w:val="00CD6101"/>
    <w:rsid w:val="00CD7D36"/>
    <w:rsid w:val="00CE0798"/>
    <w:rsid w:val="00CE29DB"/>
    <w:rsid w:val="00CE3119"/>
    <w:rsid w:val="00CE315D"/>
    <w:rsid w:val="00CE3BF5"/>
    <w:rsid w:val="00CE44E3"/>
    <w:rsid w:val="00CE4A8F"/>
    <w:rsid w:val="00CE4AD1"/>
    <w:rsid w:val="00CE52E5"/>
    <w:rsid w:val="00CE555D"/>
    <w:rsid w:val="00CE6D56"/>
    <w:rsid w:val="00CF03DE"/>
    <w:rsid w:val="00CF2D34"/>
    <w:rsid w:val="00CF3133"/>
    <w:rsid w:val="00CF35CF"/>
    <w:rsid w:val="00CF4601"/>
    <w:rsid w:val="00CF49B0"/>
    <w:rsid w:val="00CF4B2E"/>
    <w:rsid w:val="00CF54E9"/>
    <w:rsid w:val="00CF57F2"/>
    <w:rsid w:val="00CF6896"/>
    <w:rsid w:val="00CF6F59"/>
    <w:rsid w:val="00CF7144"/>
    <w:rsid w:val="00D00FC5"/>
    <w:rsid w:val="00D00FF9"/>
    <w:rsid w:val="00D0211E"/>
    <w:rsid w:val="00D025CF"/>
    <w:rsid w:val="00D026E7"/>
    <w:rsid w:val="00D02762"/>
    <w:rsid w:val="00D0318D"/>
    <w:rsid w:val="00D03C01"/>
    <w:rsid w:val="00D06297"/>
    <w:rsid w:val="00D07EC8"/>
    <w:rsid w:val="00D102FD"/>
    <w:rsid w:val="00D1177E"/>
    <w:rsid w:val="00D12AC5"/>
    <w:rsid w:val="00D13F4E"/>
    <w:rsid w:val="00D1509E"/>
    <w:rsid w:val="00D1518C"/>
    <w:rsid w:val="00D15645"/>
    <w:rsid w:val="00D2031B"/>
    <w:rsid w:val="00D20C85"/>
    <w:rsid w:val="00D21456"/>
    <w:rsid w:val="00D216A1"/>
    <w:rsid w:val="00D22E81"/>
    <w:rsid w:val="00D258E6"/>
    <w:rsid w:val="00D25983"/>
    <w:rsid w:val="00D25FE2"/>
    <w:rsid w:val="00D269E7"/>
    <w:rsid w:val="00D2784A"/>
    <w:rsid w:val="00D27D6F"/>
    <w:rsid w:val="00D3163F"/>
    <w:rsid w:val="00D31AF5"/>
    <w:rsid w:val="00D325E9"/>
    <w:rsid w:val="00D32966"/>
    <w:rsid w:val="00D32ED5"/>
    <w:rsid w:val="00D333E6"/>
    <w:rsid w:val="00D3560C"/>
    <w:rsid w:val="00D36718"/>
    <w:rsid w:val="00D36B50"/>
    <w:rsid w:val="00D3773D"/>
    <w:rsid w:val="00D40B3A"/>
    <w:rsid w:val="00D43252"/>
    <w:rsid w:val="00D43B0B"/>
    <w:rsid w:val="00D43BCD"/>
    <w:rsid w:val="00D43E2C"/>
    <w:rsid w:val="00D44595"/>
    <w:rsid w:val="00D4637F"/>
    <w:rsid w:val="00D46E30"/>
    <w:rsid w:val="00D47EEA"/>
    <w:rsid w:val="00D50123"/>
    <w:rsid w:val="00D52344"/>
    <w:rsid w:val="00D5366B"/>
    <w:rsid w:val="00D5455D"/>
    <w:rsid w:val="00D55ED4"/>
    <w:rsid w:val="00D56AB4"/>
    <w:rsid w:val="00D61041"/>
    <w:rsid w:val="00D61515"/>
    <w:rsid w:val="00D61682"/>
    <w:rsid w:val="00D624FB"/>
    <w:rsid w:val="00D6275F"/>
    <w:rsid w:val="00D63026"/>
    <w:rsid w:val="00D639D5"/>
    <w:rsid w:val="00D64731"/>
    <w:rsid w:val="00D66979"/>
    <w:rsid w:val="00D72612"/>
    <w:rsid w:val="00D733D3"/>
    <w:rsid w:val="00D7423A"/>
    <w:rsid w:val="00D7458E"/>
    <w:rsid w:val="00D74C68"/>
    <w:rsid w:val="00D74C80"/>
    <w:rsid w:val="00D75111"/>
    <w:rsid w:val="00D760BB"/>
    <w:rsid w:val="00D76D9D"/>
    <w:rsid w:val="00D7723B"/>
    <w:rsid w:val="00D773DF"/>
    <w:rsid w:val="00D7754A"/>
    <w:rsid w:val="00D77781"/>
    <w:rsid w:val="00D80616"/>
    <w:rsid w:val="00D8225C"/>
    <w:rsid w:val="00D82C96"/>
    <w:rsid w:val="00D8341F"/>
    <w:rsid w:val="00D843B7"/>
    <w:rsid w:val="00D844B3"/>
    <w:rsid w:val="00D85991"/>
    <w:rsid w:val="00D865A3"/>
    <w:rsid w:val="00D87F43"/>
    <w:rsid w:val="00D903AE"/>
    <w:rsid w:val="00D91432"/>
    <w:rsid w:val="00D914E1"/>
    <w:rsid w:val="00D93011"/>
    <w:rsid w:val="00D9327F"/>
    <w:rsid w:val="00D94DBE"/>
    <w:rsid w:val="00D95024"/>
    <w:rsid w:val="00D95303"/>
    <w:rsid w:val="00D95A1E"/>
    <w:rsid w:val="00D978C6"/>
    <w:rsid w:val="00D97922"/>
    <w:rsid w:val="00DA097D"/>
    <w:rsid w:val="00DA3C1C"/>
    <w:rsid w:val="00DA43EC"/>
    <w:rsid w:val="00DA45B9"/>
    <w:rsid w:val="00DA5C17"/>
    <w:rsid w:val="00DA5CA1"/>
    <w:rsid w:val="00DA616D"/>
    <w:rsid w:val="00DB0332"/>
    <w:rsid w:val="00DB3A94"/>
    <w:rsid w:val="00DB4197"/>
    <w:rsid w:val="00DB434C"/>
    <w:rsid w:val="00DB434F"/>
    <w:rsid w:val="00DB5FF4"/>
    <w:rsid w:val="00DB781B"/>
    <w:rsid w:val="00DC27EC"/>
    <w:rsid w:val="00DC4247"/>
    <w:rsid w:val="00DC55E4"/>
    <w:rsid w:val="00DC5F56"/>
    <w:rsid w:val="00DC7EA2"/>
    <w:rsid w:val="00DC7ED2"/>
    <w:rsid w:val="00DD016D"/>
    <w:rsid w:val="00DD2B20"/>
    <w:rsid w:val="00DD3DB1"/>
    <w:rsid w:val="00DD4B42"/>
    <w:rsid w:val="00DD517B"/>
    <w:rsid w:val="00DD6A99"/>
    <w:rsid w:val="00DD79C1"/>
    <w:rsid w:val="00DD7BE0"/>
    <w:rsid w:val="00DD7CE1"/>
    <w:rsid w:val="00DD7D9E"/>
    <w:rsid w:val="00DE0A10"/>
    <w:rsid w:val="00DE0CCA"/>
    <w:rsid w:val="00DE1026"/>
    <w:rsid w:val="00DE1733"/>
    <w:rsid w:val="00DE1D0C"/>
    <w:rsid w:val="00DE2153"/>
    <w:rsid w:val="00DE2609"/>
    <w:rsid w:val="00DE37E9"/>
    <w:rsid w:val="00DE3E42"/>
    <w:rsid w:val="00DE49CE"/>
    <w:rsid w:val="00DE5D42"/>
    <w:rsid w:val="00DE79F6"/>
    <w:rsid w:val="00DF0830"/>
    <w:rsid w:val="00DF1058"/>
    <w:rsid w:val="00DF3B1C"/>
    <w:rsid w:val="00DF482D"/>
    <w:rsid w:val="00DF5F55"/>
    <w:rsid w:val="00DF7010"/>
    <w:rsid w:val="00DF7766"/>
    <w:rsid w:val="00DF78A1"/>
    <w:rsid w:val="00DF7F6C"/>
    <w:rsid w:val="00E00C95"/>
    <w:rsid w:val="00E011E7"/>
    <w:rsid w:val="00E01C5F"/>
    <w:rsid w:val="00E01CA3"/>
    <w:rsid w:val="00E022C2"/>
    <w:rsid w:val="00E022E2"/>
    <w:rsid w:val="00E024A3"/>
    <w:rsid w:val="00E046DF"/>
    <w:rsid w:val="00E052D9"/>
    <w:rsid w:val="00E05C06"/>
    <w:rsid w:val="00E06730"/>
    <w:rsid w:val="00E0707C"/>
    <w:rsid w:val="00E07338"/>
    <w:rsid w:val="00E10019"/>
    <w:rsid w:val="00E1081A"/>
    <w:rsid w:val="00E10922"/>
    <w:rsid w:val="00E1395C"/>
    <w:rsid w:val="00E13BE4"/>
    <w:rsid w:val="00E13D1C"/>
    <w:rsid w:val="00E14881"/>
    <w:rsid w:val="00E15139"/>
    <w:rsid w:val="00E16059"/>
    <w:rsid w:val="00E16A78"/>
    <w:rsid w:val="00E16B1A"/>
    <w:rsid w:val="00E179DF"/>
    <w:rsid w:val="00E20B36"/>
    <w:rsid w:val="00E20BB9"/>
    <w:rsid w:val="00E22EB0"/>
    <w:rsid w:val="00E26283"/>
    <w:rsid w:val="00E26F55"/>
    <w:rsid w:val="00E27346"/>
    <w:rsid w:val="00E31A8B"/>
    <w:rsid w:val="00E324AA"/>
    <w:rsid w:val="00E34DA9"/>
    <w:rsid w:val="00E3557C"/>
    <w:rsid w:val="00E359B1"/>
    <w:rsid w:val="00E359E4"/>
    <w:rsid w:val="00E37803"/>
    <w:rsid w:val="00E418E1"/>
    <w:rsid w:val="00E442E1"/>
    <w:rsid w:val="00E45494"/>
    <w:rsid w:val="00E46A2F"/>
    <w:rsid w:val="00E46CC5"/>
    <w:rsid w:val="00E46E5D"/>
    <w:rsid w:val="00E5019F"/>
    <w:rsid w:val="00E50683"/>
    <w:rsid w:val="00E5081B"/>
    <w:rsid w:val="00E50C9E"/>
    <w:rsid w:val="00E5244D"/>
    <w:rsid w:val="00E532CF"/>
    <w:rsid w:val="00E53632"/>
    <w:rsid w:val="00E540BB"/>
    <w:rsid w:val="00E548A6"/>
    <w:rsid w:val="00E564ED"/>
    <w:rsid w:val="00E572D2"/>
    <w:rsid w:val="00E60A4F"/>
    <w:rsid w:val="00E61CEE"/>
    <w:rsid w:val="00E622FE"/>
    <w:rsid w:val="00E6355E"/>
    <w:rsid w:val="00E63898"/>
    <w:rsid w:val="00E644D8"/>
    <w:rsid w:val="00E6538B"/>
    <w:rsid w:val="00E65C3B"/>
    <w:rsid w:val="00E663E5"/>
    <w:rsid w:val="00E6767B"/>
    <w:rsid w:val="00E70E28"/>
    <w:rsid w:val="00E718F9"/>
    <w:rsid w:val="00E71BC8"/>
    <w:rsid w:val="00E7258D"/>
    <w:rsid w:val="00E7260F"/>
    <w:rsid w:val="00E73741"/>
    <w:rsid w:val="00E73987"/>
    <w:rsid w:val="00E73BB8"/>
    <w:rsid w:val="00E73F5D"/>
    <w:rsid w:val="00E74323"/>
    <w:rsid w:val="00E76D44"/>
    <w:rsid w:val="00E76FA0"/>
    <w:rsid w:val="00E77E4E"/>
    <w:rsid w:val="00E80B85"/>
    <w:rsid w:val="00E810B1"/>
    <w:rsid w:val="00E83264"/>
    <w:rsid w:val="00E8333E"/>
    <w:rsid w:val="00E84A1D"/>
    <w:rsid w:val="00E84B01"/>
    <w:rsid w:val="00E86031"/>
    <w:rsid w:val="00E86ABC"/>
    <w:rsid w:val="00E87174"/>
    <w:rsid w:val="00E9273F"/>
    <w:rsid w:val="00E92AA0"/>
    <w:rsid w:val="00E9360B"/>
    <w:rsid w:val="00E941A5"/>
    <w:rsid w:val="00E9477D"/>
    <w:rsid w:val="00E96630"/>
    <w:rsid w:val="00E9739E"/>
    <w:rsid w:val="00E9774A"/>
    <w:rsid w:val="00E97CAD"/>
    <w:rsid w:val="00E97D22"/>
    <w:rsid w:val="00EA22EB"/>
    <w:rsid w:val="00EA3C78"/>
    <w:rsid w:val="00EA4A9E"/>
    <w:rsid w:val="00EA64A0"/>
    <w:rsid w:val="00EB0089"/>
    <w:rsid w:val="00EB04F0"/>
    <w:rsid w:val="00EB120D"/>
    <w:rsid w:val="00EB151E"/>
    <w:rsid w:val="00EB1A05"/>
    <w:rsid w:val="00EB1B88"/>
    <w:rsid w:val="00EB2690"/>
    <w:rsid w:val="00EB3A91"/>
    <w:rsid w:val="00EB4869"/>
    <w:rsid w:val="00EB67B4"/>
    <w:rsid w:val="00EB71C6"/>
    <w:rsid w:val="00EC0B81"/>
    <w:rsid w:val="00EC13C4"/>
    <w:rsid w:val="00EC1556"/>
    <w:rsid w:val="00EC2263"/>
    <w:rsid w:val="00EC4840"/>
    <w:rsid w:val="00EC5163"/>
    <w:rsid w:val="00EC5771"/>
    <w:rsid w:val="00EC6060"/>
    <w:rsid w:val="00EC69DB"/>
    <w:rsid w:val="00ED06D3"/>
    <w:rsid w:val="00ED0FFD"/>
    <w:rsid w:val="00ED122F"/>
    <w:rsid w:val="00ED2BFF"/>
    <w:rsid w:val="00ED2D8E"/>
    <w:rsid w:val="00ED4342"/>
    <w:rsid w:val="00ED4643"/>
    <w:rsid w:val="00ED548E"/>
    <w:rsid w:val="00ED6393"/>
    <w:rsid w:val="00ED7A2A"/>
    <w:rsid w:val="00ED7D87"/>
    <w:rsid w:val="00EE0C6E"/>
    <w:rsid w:val="00EE22AC"/>
    <w:rsid w:val="00EE32B1"/>
    <w:rsid w:val="00EE44EB"/>
    <w:rsid w:val="00EE498D"/>
    <w:rsid w:val="00EE4B84"/>
    <w:rsid w:val="00EE5107"/>
    <w:rsid w:val="00EE6742"/>
    <w:rsid w:val="00EE683B"/>
    <w:rsid w:val="00EE7C73"/>
    <w:rsid w:val="00EF139A"/>
    <w:rsid w:val="00EF1459"/>
    <w:rsid w:val="00EF1A47"/>
    <w:rsid w:val="00EF1D7F"/>
    <w:rsid w:val="00EF3B75"/>
    <w:rsid w:val="00EF4949"/>
    <w:rsid w:val="00EF5378"/>
    <w:rsid w:val="00EF5867"/>
    <w:rsid w:val="00EF6CFA"/>
    <w:rsid w:val="00EF74F4"/>
    <w:rsid w:val="00EF7C2D"/>
    <w:rsid w:val="00EF7CFE"/>
    <w:rsid w:val="00F00AB1"/>
    <w:rsid w:val="00F012BD"/>
    <w:rsid w:val="00F01AD1"/>
    <w:rsid w:val="00F03A49"/>
    <w:rsid w:val="00F04312"/>
    <w:rsid w:val="00F04B76"/>
    <w:rsid w:val="00F06848"/>
    <w:rsid w:val="00F071D1"/>
    <w:rsid w:val="00F07687"/>
    <w:rsid w:val="00F07DD6"/>
    <w:rsid w:val="00F11CE3"/>
    <w:rsid w:val="00F12C1F"/>
    <w:rsid w:val="00F149D4"/>
    <w:rsid w:val="00F159A3"/>
    <w:rsid w:val="00F1768C"/>
    <w:rsid w:val="00F20904"/>
    <w:rsid w:val="00F21B05"/>
    <w:rsid w:val="00F24AE6"/>
    <w:rsid w:val="00F24CE7"/>
    <w:rsid w:val="00F269F8"/>
    <w:rsid w:val="00F26ACB"/>
    <w:rsid w:val="00F26B67"/>
    <w:rsid w:val="00F3085D"/>
    <w:rsid w:val="00F30CB7"/>
    <w:rsid w:val="00F30E1C"/>
    <w:rsid w:val="00F31E5F"/>
    <w:rsid w:val="00F33032"/>
    <w:rsid w:val="00F3340E"/>
    <w:rsid w:val="00F34910"/>
    <w:rsid w:val="00F34EE5"/>
    <w:rsid w:val="00F360FB"/>
    <w:rsid w:val="00F402F1"/>
    <w:rsid w:val="00F42E57"/>
    <w:rsid w:val="00F42F0A"/>
    <w:rsid w:val="00F430D5"/>
    <w:rsid w:val="00F449AD"/>
    <w:rsid w:val="00F4510F"/>
    <w:rsid w:val="00F474E3"/>
    <w:rsid w:val="00F515B8"/>
    <w:rsid w:val="00F523E1"/>
    <w:rsid w:val="00F52DAF"/>
    <w:rsid w:val="00F530EC"/>
    <w:rsid w:val="00F5485D"/>
    <w:rsid w:val="00F54D48"/>
    <w:rsid w:val="00F54E99"/>
    <w:rsid w:val="00F55A64"/>
    <w:rsid w:val="00F6100A"/>
    <w:rsid w:val="00F638B2"/>
    <w:rsid w:val="00F64305"/>
    <w:rsid w:val="00F660F8"/>
    <w:rsid w:val="00F67740"/>
    <w:rsid w:val="00F67961"/>
    <w:rsid w:val="00F7210D"/>
    <w:rsid w:val="00F72DDB"/>
    <w:rsid w:val="00F732C5"/>
    <w:rsid w:val="00F739E0"/>
    <w:rsid w:val="00F7432F"/>
    <w:rsid w:val="00F76218"/>
    <w:rsid w:val="00F77B91"/>
    <w:rsid w:val="00F77EAE"/>
    <w:rsid w:val="00F77FAC"/>
    <w:rsid w:val="00F80163"/>
    <w:rsid w:val="00F8068D"/>
    <w:rsid w:val="00F81665"/>
    <w:rsid w:val="00F84CB8"/>
    <w:rsid w:val="00F85817"/>
    <w:rsid w:val="00F86B64"/>
    <w:rsid w:val="00F87C4B"/>
    <w:rsid w:val="00F87E26"/>
    <w:rsid w:val="00F90130"/>
    <w:rsid w:val="00F9071B"/>
    <w:rsid w:val="00F90CC4"/>
    <w:rsid w:val="00F91C69"/>
    <w:rsid w:val="00F92094"/>
    <w:rsid w:val="00F93781"/>
    <w:rsid w:val="00F95198"/>
    <w:rsid w:val="00F9584C"/>
    <w:rsid w:val="00F95D89"/>
    <w:rsid w:val="00F964CE"/>
    <w:rsid w:val="00F96693"/>
    <w:rsid w:val="00F9703F"/>
    <w:rsid w:val="00F97C8F"/>
    <w:rsid w:val="00FA2719"/>
    <w:rsid w:val="00FA395F"/>
    <w:rsid w:val="00FA42E5"/>
    <w:rsid w:val="00FA461D"/>
    <w:rsid w:val="00FA4D7F"/>
    <w:rsid w:val="00FA58D3"/>
    <w:rsid w:val="00FA5E28"/>
    <w:rsid w:val="00FA5F61"/>
    <w:rsid w:val="00FA7336"/>
    <w:rsid w:val="00FA776E"/>
    <w:rsid w:val="00FB1343"/>
    <w:rsid w:val="00FB2B07"/>
    <w:rsid w:val="00FB3194"/>
    <w:rsid w:val="00FB3248"/>
    <w:rsid w:val="00FB40EE"/>
    <w:rsid w:val="00FB43A4"/>
    <w:rsid w:val="00FB5C70"/>
    <w:rsid w:val="00FB5FD4"/>
    <w:rsid w:val="00FB613B"/>
    <w:rsid w:val="00FB7C89"/>
    <w:rsid w:val="00FB7E1F"/>
    <w:rsid w:val="00FC0184"/>
    <w:rsid w:val="00FC03B2"/>
    <w:rsid w:val="00FC0454"/>
    <w:rsid w:val="00FC2361"/>
    <w:rsid w:val="00FC351D"/>
    <w:rsid w:val="00FC536A"/>
    <w:rsid w:val="00FC5580"/>
    <w:rsid w:val="00FC5C16"/>
    <w:rsid w:val="00FC68B7"/>
    <w:rsid w:val="00FC71F0"/>
    <w:rsid w:val="00FD11EE"/>
    <w:rsid w:val="00FD1775"/>
    <w:rsid w:val="00FD2CF0"/>
    <w:rsid w:val="00FD3363"/>
    <w:rsid w:val="00FD3B92"/>
    <w:rsid w:val="00FD4368"/>
    <w:rsid w:val="00FD463B"/>
    <w:rsid w:val="00FD5BAD"/>
    <w:rsid w:val="00FD6E8D"/>
    <w:rsid w:val="00FD73AD"/>
    <w:rsid w:val="00FD76D5"/>
    <w:rsid w:val="00FE0DEE"/>
    <w:rsid w:val="00FE106A"/>
    <w:rsid w:val="00FE18EF"/>
    <w:rsid w:val="00FE1A86"/>
    <w:rsid w:val="00FE22B4"/>
    <w:rsid w:val="00FE2C96"/>
    <w:rsid w:val="00FE4FE5"/>
    <w:rsid w:val="00FF145D"/>
    <w:rsid w:val="00FF1C6B"/>
    <w:rsid w:val="00FF1DA7"/>
    <w:rsid w:val="00FF2321"/>
    <w:rsid w:val="00FF2AB7"/>
    <w:rsid w:val="00FF3300"/>
    <w:rsid w:val="00FF5A1C"/>
    <w:rsid w:val="00FF5D5B"/>
    <w:rsid w:val="00FF5E93"/>
    <w:rsid w:val="00FF61D8"/>
    <w:rsid w:val="00FF61F7"/>
    <w:rsid w:val="00FF62EC"/>
    <w:rsid w:val="00FF6A65"/>
    <w:rsid w:val="00FF70ED"/>
    <w:rsid w:val="00FF77FB"/>
    <w:rsid w:val="00FF7A84"/>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rsid w:val="00DD2B20"/>
    <w:rPr>
      <w:lang w:val="en-GB" w:eastAsia="en-US" w:bidi="ar-SA"/>
    </w:rPr>
  </w:style>
  <w:style w:type="character" w:customStyle="1" w:styleId="H23GChar">
    <w:name w:val="_ H_2/3_G Char"/>
    <w:link w:val="H23G"/>
    <w:rsid w:val="00963C03"/>
    <w:rPr>
      <w:b/>
      <w:lang w:val="en-GB" w:eastAsia="en-US" w:bidi="ar-SA"/>
    </w:rPr>
  </w:style>
  <w:style w:type="character" w:customStyle="1" w:styleId="apple-style-span">
    <w:name w:val="apple-style-span"/>
    <w:basedOn w:val="DefaultParagraphFont"/>
    <w:rsid w:val="0089146B"/>
  </w:style>
  <w:style w:type="character" w:customStyle="1" w:styleId="apple-converted-space">
    <w:name w:val="apple-converted-space"/>
    <w:basedOn w:val="DefaultParagraphFont"/>
    <w:rsid w:val="00DF1058"/>
  </w:style>
  <w:style w:type="character" w:customStyle="1" w:styleId="FooterChar">
    <w:name w:val="Footer Char"/>
    <w:aliases w:val="3_G Char"/>
    <w:link w:val="Footer"/>
    <w:rsid w:val="006C0AA2"/>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9.emf"/><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footer" Target="foot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39</TotalTime>
  <Pages>1</Pages>
  <Words>132869</Words>
  <Characters>717495</Characters>
  <Application>Microsoft Office Word</Application>
  <DocSecurity>4</DocSecurity>
  <Lines>19391</Lines>
  <Paragraphs>12148</Paragraphs>
  <ScaleCrop>false</ScaleCrop>
  <HeadingPairs>
    <vt:vector size="2" baseType="variant">
      <vt:variant>
        <vt:lpstr>Title</vt:lpstr>
      </vt:variant>
      <vt:variant>
        <vt:i4>1</vt:i4>
      </vt:variant>
    </vt:vector>
  </HeadingPairs>
  <TitlesOfParts>
    <vt:vector size="1" baseType="lpstr">
      <vt:lpstr>1142890</vt:lpstr>
    </vt:vector>
  </TitlesOfParts>
  <Company>EXT</Company>
  <LinksUpToDate>false</LinksUpToDate>
  <CharactersWithSpaces>838216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1142890</dc:title>
  <dc:subject>E/C.12/IRN/2</dc:subject>
  <dc:creator>Christine Fanelli</dc:creator>
  <cp:keywords/>
  <dc:description>final</dc:description>
  <cp:lastModifiedBy>CSD</cp:lastModifiedBy>
  <cp:revision>7</cp:revision>
  <cp:lastPrinted>2011-05-27T09:48:00Z</cp:lastPrinted>
  <dcterms:created xsi:type="dcterms:W3CDTF">2012-02-02T08:41:00Z</dcterms:created>
  <dcterms:modified xsi:type="dcterms:W3CDTF">2012-02-02T09:16:00Z</dcterms:modified>
</cp:coreProperties>
</file>